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D1A4F" w14:textId="77777777" w:rsidR="00C06E53" w:rsidRDefault="00C06E53"/>
    <w:p w14:paraId="71D7090F" w14:textId="7C69DC83" w:rsidR="00247391" w:rsidRPr="00731A0E" w:rsidRDefault="00731A0E">
      <w:pPr>
        <w:rPr>
          <w:rFonts w:ascii="Arial" w:hAnsi="Arial" w:cs="Arial"/>
          <w:b/>
          <w:bCs/>
        </w:rPr>
      </w:pPr>
      <w:r>
        <w:tab/>
      </w:r>
      <w:r>
        <w:tab/>
      </w:r>
      <w:r>
        <w:tab/>
      </w:r>
      <w:r>
        <w:tab/>
      </w:r>
      <w:r>
        <w:tab/>
      </w:r>
      <w:r>
        <w:tab/>
      </w:r>
      <w:r>
        <w:tab/>
      </w:r>
      <w:r>
        <w:tab/>
      </w:r>
      <w:r>
        <w:tab/>
      </w:r>
    </w:p>
    <w:p w14:paraId="618385C6" w14:textId="4624C896" w:rsidR="00247391" w:rsidRPr="00DF05E9" w:rsidRDefault="00247391" w:rsidP="00DF05E9">
      <w:pPr>
        <w:jc w:val="right"/>
        <w:rPr>
          <w:rFonts w:ascii="Arial" w:hAnsi="Arial" w:cs="Arial"/>
          <w:b/>
          <w:bCs/>
        </w:rPr>
      </w:pPr>
    </w:p>
    <w:p w14:paraId="0DAFEA8E" w14:textId="77777777" w:rsidR="00247391" w:rsidRDefault="00247391"/>
    <w:p w14:paraId="30C5F319" w14:textId="77777777" w:rsidR="00247391" w:rsidRDefault="00247391"/>
    <w:p w14:paraId="350BD1B0" w14:textId="77777777" w:rsidR="00247391" w:rsidRDefault="00247391"/>
    <w:p w14:paraId="21780AFB" w14:textId="77777777" w:rsidR="00B46E93" w:rsidRDefault="00B46E93"/>
    <w:p w14:paraId="14987BC9" w14:textId="77777777" w:rsidR="002D1277" w:rsidRDefault="002D1277"/>
    <w:p w14:paraId="589B3439" w14:textId="77777777" w:rsidR="002D1277" w:rsidRDefault="002D1277"/>
    <w:p w14:paraId="1557F78C" w14:textId="77777777" w:rsidR="002D1277" w:rsidRDefault="002D1277"/>
    <w:p w14:paraId="71CF82D6" w14:textId="77777777" w:rsidR="002D1277" w:rsidRDefault="002D1277"/>
    <w:p w14:paraId="11133F24" w14:textId="77777777" w:rsidR="002D1277" w:rsidRDefault="002D1277"/>
    <w:p w14:paraId="3DB955B5" w14:textId="77777777" w:rsidR="002D1277" w:rsidRDefault="002D1277"/>
    <w:p w14:paraId="1DCF804A" w14:textId="77777777" w:rsidR="002D1277" w:rsidRDefault="002D1277"/>
    <w:p w14:paraId="154A01F3" w14:textId="77777777" w:rsidR="00B46E93" w:rsidRDefault="00B46E93"/>
    <w:p w14:paraId="533974AF" w14:textId="77777777" w:rsidR="00247391" w:rsidRDefault="00247391"/>
    <w:p w14:paraId="5E3E3A42" w14:textId="77777777" w:rsidR="00247391" w:rsidRDefault="00247391"/>
    <w:p w14:paraId="144DEA45" w14:textId="77777777" w:rsidR="00247391" w:rsidRDefault="00247391"/>
    <w:p w14:paraId="0C2108F3" w14:textId="77777777" w:rsidR="00247391" w:rsidRDefault="00247391"/>
    <w:p w14:paraId="6A610860" w14:textId="77777777" w:rsidR="00247391" w:rsidRDefault="00247391"/>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7391" w14:paraId="20E10896" w14:textId="77777777" w:rsidTr="00247391">
        <w:tc>
          <w:tcPr>
            <w:tcW w:w="9062" w:type="dxa"/>
          </w:tcPr>
          <w:p w14:paraId="278B2A43" w14:textId="7C287D9E" w:rsidR="00247391" w:rsidRPr="00247391" w:rsidRDefault="004D3DCE" w:rsidP="00763B38">
            <w:pPr>
              <w:jc w:val="center"/>
              <w:rPr>
                <w:rFonts w:ascii="Arial" w:hAnsi="Arial" w:cs="Arial"/>
                <w:b/>
              </w:rPr>
            </w:pPr>
            <w:r>
              <w:rPr>
                <w:rFonts w:ascii="Arial" w:hAnsi="Arial" w:cs="Arial"/>
                <w:b/>
              </w:rPr>
              <w:t xml:space="preserve"> </w:t>
            </w:r>
            <w:r w:rsidR="00A907BF">
              <w:rPr>
                <w:rFonts w:ascii="Arial" w:hAnsi="Arial" w:cs="Arial"/>
                <w:b/>
              </w:rPr>
              <w:t xml:space="preserve"> </w:t>
            </w:r>
            <w:r w:rsidR="007B67FC">
              <w:rPr>
                <w:rFonts w:ascii="Arial" w:hAnsi="Arial" w:cs="Arial"/>
                <w:b/>
              </w:rPr>
              <w:t xml:space="preserve"> </w:t>
            </w:r>
            <w:r w:rsidR="00DF05E9">
              <w:rPr>
                <w:rFonts w:ascii="Arial" w:hAnsi="Arial" w:cs="Arial"/>
                <w:b/>
              </w:rPr>
              <w:t xml:space="preserve">PRVE IZMJENE I DOPUNE </w:t>
            </w:r>
            <w:r w:rsidR="00FE4F87">
              <w:rPr>
                <w:rFonts w:ascii="Arial" w:hAnsi="Arial" w:cs="Arial"/>
                <w:b/>
              </w:rPr>
              <w:t>P</w:t>
            </w:r>
            <w:r w:rsidR="00A907BF">
              <w:rPr>
                <w:rFonts w:ascii="Arial" w:hAnsi="Arial" w:cs="Arial"/>
                <w:b/>
              </w:rPr>
              <w:t>RORAČUN</w:t>
            </w:r>
            <w:r w:rsidR="00A54576">
              <w:rPr>
                <w:rFonts w:ascii="Arial" w:hAnsi="Arial" w:cs="Arial"/>
                <w:b/>
              </w:rPr>
              <w:t>A GRADA LABINA ZA 202</w:t>
            </w:r>
            <w:r w:rsidR="00950446">
              <w:rPr>
                <w:rFonts w:ascii="Arial" w:hAnsi="Arial" w:cs="Arial"/>
                <w:b/>
              </w:rPr>
              <w:t>5</w:t>
            </w:r>
            <w:r>
              <w:rPr>
                <w:rFonts w:ascii="Arial" w:hAnsi="Arial" w:cs="Arial"/>
                <w:b/>
              </w:rPr>
              <w:t>. GODINU I PROJEKCIJE ZA 202</w:t>
            </w:r>
            <w:r w:rsidR="00950446">
              <w:rPr>
                <w:rFonts w:ascii="Arial" w:hAnsi="Arial" w:cs="Arial"/>
                <w:b/>
              </w:rPr>
              <w:t>6</w:t>
            </w:r>
            <w:r w:rsidR="009E6E9B">
              <w:rPr>
                <w:rFonts w:ascii="Arial" w:hAnsi="Arial" w:cs="Arial"/>
                <w:b/>
              </w:rPr>
              <w:t xml:space="preserve">. I </w:t>
            </w:r>
            <w:r w:rsidR="007B67FC">
              <w:rPr>
                <w:rFonts w:ascii="Arial" w:hAnsi="Arial" w:cs="Arial"/>
                <w:b/>
              </w:rPr>
              <w:t xml:space="preserve"> </w:t>
            </w:r>
            <w:r w:rsidR="009E6E9B">
              <w:rPr>
                <w:rFonts w:ascii="Arial" w:hAnsi="Arial" w:cs="Arial"/>
                <w:b/>
              </w:rPr>
              <w:t>202</w:t>
            </w:r>
            <w:r w:rsidR="00950446">
              <w:rPr>
                <w:rFonts w:ascii="Arial" w:hAnsi="Arial" w:cs="Arial"/>
                <w:b/>
              </w:rPr>
              <w:t>7</w:t>
            </w:r>
            <w:r w:rsidR="00247391" w:rsidRPr="00247391">
              <w:rPr>
                <w:rFonts w:ascii="Arial" w:hAnsi="Arial" w:cs="Arial"/>
                <w:b/>
              </w:rPr>
              <w:t>. GODINU</w:t>
            </w:r>
          </w:p>
        </w:tc>
      </w:tr>
    </w:tbl>
    <w:p w14:paraId="74131777" w14:textId="77777777" w:rsidR="00247391" w:rsidRDefault="00247391"/>
    <w:p w14:paraId="1B781A2F" w14:textId="77777777" w:rsidR="00247391" w:rsidRDefault="00247391"/>
    <w:p w14:paraId="69912A8E" w14:textId="77777777" w:rsidR="00247391" w:rsidRDefault="00247391"/>
    <w:p w14:paraId="011A6D3F" w14:textId="77777777" w:rsidR="00247391" w:rsidRDefault="00247391"/>
    <w:p w14:paraId="6DDDAD53" w14:textId="77777777" w:rsidR="00247391" w:rsidRDefault="00247391"/>
    <w:p w14:paraId="6C4F4622" w14:textId="77777777" w:rsidR="00247391" w:rsidRDefault="00247391"/>
    <w:p w14:paraId="38426AD5" w14:textId="77777777" w:rsidR="00247391" w:rsidRDefault="00247391"/>
    <w:p w14:paraId="6709372E" w14:textId="77777777" w:rsidR="00247391" w:rsidRDefault="00247391"/>
    <w:p w14:paraId="6796DCB0" w14:textId="77777777" w:rsidR="00247391" w:rsidRDefault="00247391"/>
    <w:p w14:paraId="219D4B3E" w14:textId="77777777" w:rsidR="00247391" w:rsidRDefault="00247391"/>
    <w:p w14:paraId="2A5C544E" w14:textId="77777777" w:rsidR="00247391" w:rsidRDefault="00247391"/>
    <w:p w14:paraId="0F6FBF57" w14:textId="77777777" w:rsidR="002D1277" w:rsidRDefault="002D1277"/>
    <w:p w14:paraId="6479DFD6" w14:textId="77777777" w:rsidR="002D1277" w:rsidRDefault="002D1277"/>
    <w:p w14:paraId="641C96A0" w14:textId="77777777" w:rsidR="002D1277" w:rsidRDefault="002D1277"/>
    <w:p w14:paraId="120DD4A0" w14:textId="77777777" w:rsidR="002D1277" w:rsidRDefault="002D1277"/>
    <w:p w14:paraId="774AB533" w14:textId="77777777" w:rsidR="002D1277" w:rsidRDefault="002D1277"/>
    <w:p w14:paraId="5F12BFA0" w14:textId="77777777" w:rsidR="002D1277" w:rsidRDefault="002D1277"/>
    <w:p w14:paraId="705CA856" w14:textId="77777777" w:rsidR="002D1277" w:rsidRDefault="002D1277"/>
    <w:p w14:paraId="3F8179E4" w14:textId="77777777" w:rsidR="002D1277" w:rsidRDefault="002D1277"/>
    <w:p w14:paraId="309BFD9D" w14:textId="77777777" w:rsidR="002D1277" w:rsidRDefault="002D1277"/>
    <w:p w14:paraId="713BF255" w14:textId="77777777" w:rsidR="002D1277" w:rsidRDefault="002D1277"/>
    <w:p w14:paraId="7DDF1A9D" w14:textId="77777777" w:rsidR="002D1277" w:rsidRDefault="002D1277"/>
    <w:p w14:paraId="522D1D37" w14:textId="77777777" w:rsidR="002D1277" w:rsidRDefault="002D1277"/>
    <w:p w14:paraId="0CF448DB" w14:textId="77777777" w:rsidR="002D1277" w:rsidRDefault="002D1277"/>
    <w:p w14:paraId="7C18A39B" w14:textId="77777777" w:rsidR="002D1277" w:rsidRDefault="002D1277"/>
    <w:p w14:paraId="331AF274" w14:textId="77777777" w:rsidR="00247391" w:rsidRDefault="00247391"/>
    <w:p w14:paraId="2BD415DF" w14:textId="77777777" w:rsidR="00247391" w:rsidRDefault="00247391"/>
    <w:p w14:paraId="0257DBAA" w14:textId="77777777" w:rsidR="00247391" w:rsidRDefault="00247391"/>
    <w:p w14:paraId="7F92BF74" w14:textId="77777777" w:rsidR="00247391" w:rsidRDefault="00247391"/>
    <w:p w14:paraId="0FE0B502" w14:textId="77777777" w:rsidR="00DC3A08" w:rsidRDefault="00DC3A08"/>
    <w:p w14:paraId="6F711A05" w14:textId="5BC83227" w:rsidR="00CA4CB9" w:rsidRPr="007B1780" w:rsidRDefault="00216304">
      <w:pPr>
        <w:rPr>
          <w:rFonts w:ascii="Arial" w:hAnsi="Arial" w:cs="Arial"/>
          <w:b/>
          <w:bCs/>
          <w:sz w:val="22"/>
        </w:rPr>
      </w:pPr>
      <w:r w:rsidRPr="007B1780">
        <w:rPr>
          <w:rFonts w:ascii="Arial" w:hAnsi="Arial" w:cs="Arial"/>
          <w:b/>
          <w:bCs/>
          <w:sz w:val="22"/>
        </w:rPr>
        <w:t>SADRŽAJ</w:t>
      </w:r>
    </w:p>
    <w:tbl>
      <w:tblPr>
        <w:tblStyle w:val="Reetkatablice"/>
        <w:tblW w:w="9209" w:type="dxa"/>
        <w:tblLook w:val="04A0" w:firstRow="1" w:lastRow="0" w:firstColumn="1" w:lastColumn="0" w:noHBand="0" w:noVBand="1"/>
      </w:tblPr>
      <w:tblGrid>
        <w:gridCol w:w="717"/>
        <w:gridCol w:w="7358"/>
        <w:gridCol w:w="1134"/>
      </w:tblGrid>
      <w:tr w:rsidR="00B978C5" w:rsidRPr="001F6B25" w14:paraId="497B71B8" w14:textId="77777777" w:rsidTr="001F6B25">
        <w:tc>
          <w:tcPr>
            <w:tcW w:w="717" w:type="dxa"/>
          </w:tcPr>
          <w:p w14:paraId="6C683870" w14:textId="77777777" w:rsidR="00B978C5" w:rsidRPr="001F6B25" w:rsidRDefault="00B978C5">
            <w:pPr>
              <w:rPr>
                <w:rFonts w:ascii="Arial" w:hAnsi="Arial" w:cs="Arial"/>
                <w:sz w:val="20"/>
                <w:szCs w:val="20"/>
              </w:rPr>
            </w:pPr>
          </w:p>
        </w:tc>
        <w:tc>
          <w:tcPr>
            <w:tcW w:w="7358" w:type="dxa"/>
          </w:tcPr>
          <w:p w14:paraId="754A0863" w14:textId="77777777" w:rsidR="00B978C5" w:rsidRPr="001F6B25" w:rsidRDefault="00B978C5">
            <w:pPr>
              <w:rPr>
                <w:rFonts w:ascii="Arial" w:hAnsi="Arial" w:cs="Arial"/>
                <w:sz w:val="20"/>
                <w:szCs w:val="20"/>
              </w:rPr>
            </w:pPr>
          </w:p>
        </w:tc>
        <w:tc>
          <w:tcPr>
            <w:tcW w:w="1134" w:type="dxa"/>
          </w:tcPr>
          <w:p w14:paraId="3430A6CA" w14:textId="337D1B48" w:rsidR="00B978C5" w:rsidRPr="001F6B25" w:rsidRDefault="00B978C5" w:rsidP="00B978C5">
            <w:pPr>
              <w:jc w:val="right"/>
              <w:rPr>
                <w:rFonts w:ascii="Arial" w:hAnsi="Arial" w:cs="Arial"/>
                <w:b/>
                <w:bCs/>
                <w:sz w:val="20"/>
                <w:szCs w:val="20"/>
              </w:rPr>
            </w:pPr>
            <w:r w:rsidRPr="001F6B25">
              <w:rPr>
                <w:rFonts w:ascii="Arial" w:hAnsi="Arial" w:cs="Arial"/>
                <w:b/>
                <w:bCs/>
                <w:sz w:val="20"/>
                <w:szCs w:val="20"/>
              </w:rPr>
              <w:t>STR.</w:t>
            </w:r>
          </w:p>
        </w:tc>
      </w:tr>
      <w:tr w:rsidR="00B978C5" w:rsidRPr="001F6B25" w14:paraId="705CE35F" w14:textId="77777777" w:rsidTr="001F6B25">
        <w:tc>
          <w:tcPr>
            <w:tcW w:w="717" w:type="dxa"/>
          </w:tcPr>
          <w:p w14:paraId="1FC66D9F" w14:textId="45B05D19" w:rsidR="00B978C5" w:rsidRPr="001F6B25" w:rsidRDefault="00B978C5">
            <w:pPr>
              <w:rPr>
                <w:rFonts w:ascii="Arial" w:hAnsi="Arial" w:cs="Arial"/>
                <w:b/>
                <w:bCs/>
                <w:sz w:val="22"/>
              </w:rPr>
            </w:pPr>
          </w:p>
        </w:tc>
        <w:tc>
          <w:tcPr>
            <w:tcW w:w="7358" w:type="dxa"/>
          </w:tcPr>
          <w:p w14:paraId="1A683512" w14:textId="098602BC" w:rsidR="00B978C5" w:rsidRPr="001F6B25" w:rsidRDefault="00B978C5">
            <w:pPr>
              <w:rPr>
                <w:rFonts w:ascii="Arial" w:hAnsi="Arial" w:cs="Arial"/>
                <w:b/>
                <w:bCs/>
                <w:sz w:val="22"/>
              </w:rPr>
            </w:pPr>
            <w:r w:rsidRPr="001F6B25">
              <w:rPr>
                <w:rFonts w:ascii="Arial" w:hAnsi="Arial" w:cs="Arial"/>
                <w:b/>
                <w:bCs/>
                <w:sz w:val="22"/>
              </w:rPr>
              <w:t>PRVE</w:t>
            </w:r>
            <w:r w:rsidRPr="001F6B25">
              <w:rPr>
                <w:rFonts w:ascii="Arial" w:hAnsi="Arial" w:cs="Arial"/>
                <w:b/>
                <w:bCs/>
                <w:spacing w:val="-1"/>
                <w:sz w:val="22"/>
              </w:rPr>
              <w:t xml:space="preserve"> </w:t>
            </w:r>
            <w:r w:rsidRPr="001F6B25">
              <w:rPr>
                <w:rFonts w:ascii="Arial" w:hAnsi="Arial" w:cs="Arial"/>
                <w:b/>
                <w:bCs/>
                <w:sz w:val="22"/>
              </w:rPr>
              <w:t>IZMJENE</w:t>
            </w:r>
            <w:r w:rsidRPr="001F6B25">
              <w:rPr>
                <w:rFonts w:ascii="Arial" w:hAnsi="Arial" w:cs="Arial"/>
                <w:b/>
                <w:bCs/>
                <w:spacing w:val="-3"/>
                <w:sz w:val="22"/>
              </w:rPr>
              <w:t xml:space="preserve"> </w:t>
            </w:r>
            <w:r w:rsidRPr="001F6B25">
              <w:rPr>
                <w:rFonts w:ascii="Arial" w:hAnsi="Arial" w:cs="Arial"/>
                <w:b/>
                <w:bCs/>
                <w:sz w:val="22"/>
              </w:rPr>
              <w:t>I</w:t>
            </w:r>
            <w:r w:rsidRPr="001F6B25">
              <w:rPr>
                <w:rFonts w:ascii="Arial" w:hAnsi="Arial" w:cs="Arial"/>
                <w:b/>
                <w:bCs/>
                <w:spacing w:val="1"/>
                <w:sz w:val="22"/>
              </w:rPr>
              <w:t xml:space="preserve"> </w:t>
            </w:r>
            <w:r w:rsidRPr="001F6B25">
              <w:rPr>
                <w:rFonts w:ascii="Arial" w:hAnsi="Arial" w:cs="Arial"/>
                <w:b/>
                <w:bCs/>
                <w:sz w:val="22"/>
              </w:rPr>
              <w:t>DOPUNE</w:t>
            </w:r>
            <w:r w:rsidRPr="001F6B25">
              <w:rPr>
                <w:rFonts w:ascii="Arial" w:hAnsi="Arial" w:cs="Arial"/>
                <w:b/>
                <w:bCs/>
                <w:spacing w:val="1"/>
                <w:sz w:val="22"/>
              </w:rPr>
              <w:t xml:space="preserve"> </w:t>
            </w:r>
            <w:r w:rsidRPr="001F6B25">
              <w:rPr>
                <w:rFonts w:ascii="Arial" w:hAnsi="Arial" w:cs="Arial"/>
                <w:b/>
                <w:bCs/>
                <w:sz w:val="22"/>
              </w:rPr>
              <w:t>PRORAČUNA GRADA</w:t>
            </w:r>
            <w:r w:rsidRPr="001F6B25">
              <w:rPr>
                <w:rFonts w:ascii="Arial" w:hAnsi="Arial" w:cs="Arial"/>
                <w:b/>
                <w:bCs/>
                <w:spacing w:val="1"/>
                <w:sz w:val="22"/>
              </w:rPr>
              <w:t xml:space="preserve"> </w:t>
            </w:r>
            <w:r w:rsidRPr="001F6B25">
              <w:rPr>
                <w:rFonts w:ascii="Arial" w:hAnsi="Arial" w:cs="Arial"/>
                <w:b/>
                <w:bCs/>
                <w:sz w:val="22"/>
              </w:rPr>
              <w:t>LABINA ZA 202</w:t>
            </w:r>
            <w:r w:rsidR="00950446">
              <w:rPr>
                <w:rFonts w:ascii="Arial" w:hAnsi="Arial" w:cs="Arial"/>
                <w:b/>
                <w:bCs/>
                <w:sz w:val="22"/>
              </w:rPr>
              <w:t>5</w:t>
            </w:r>
            <w:r w:rsidRPr="001F6B25">
              <w:rPr>
                <w:rFonts w:ascii="Arial" w:hAnsi="Arial" w:cs="Arial"/>
                <w:b/>
                <w:bCs/>
                <w:sz w:val="22"/>
              </w:rPr>
              <w:t>. GODINU</w:t>
            </w:r>
          </w:p>
        </w:tc>
        <w:tc>
          <w:tcPr>
            <w:tcW w:w="1134" w:type="dxa"/>
          </w:tcPr>
          <w:p w14:paraId="2AC8B1E2" w14:textId="7AEEB86B" w:rsidR="00B978C5" w:rsidRPr="001F6B25" w:rsidRDefault="0042269C" w:rsidP="008E25F6">
            <w:pPr>
              <w:jc w:val="right"/>
              <w:rPr>
                <w:rFonts w:ascii="Arial" w:hAnsi="Arial" w:cs="Arial"/>
                <w:b/>
                <w:bCs/>
                <w:sz w:val="20"/>
                <w:szCs w:val="20"/>
              </w:rPr>
            </w:pPr>
            <w:r>
              <w:rPr>
                <w:rFonts w:ascii="Arial" w:hAnsi="Arial" w:cs="Arial"/>
                <w:b/>
                <w:bCs/>
                <w:sz w:val="20"/>
                <w:szCs w:val="20"/>
              </w:rPr>
              <w:t>4</w:t>
            </w:r>
          </w:p>
        </w:tc>
      </w:tr>
      <w:tr w:rsidR="00B978C5" w:rsidRPr="001F6B25" w14:paraId="3AF63CEC" w14:textId="77777777" w:rsidTr="001F6B25">
        <w:tc>
          <w:tcPr>
            <w:tcW w:w="717" w:type="dxa"/>
          </w:tcPr>
          <w:p w14:paraId="368B9D29" w14:textId="1DDE7A37" w:rsidR="00B978C5" w:rsidRPr="001F6B25" w:rsidRDefault="00B978C5" w:rsidP="00865E95">
            <w:pPr>
              <w:rPr>
                <w:rFonts w:ascii="Arial" w:hAnsi="Arial" w:cs="Arial"/>
                <w:b/>
                <w:bCs/>
                <w:sz w:val="22"/>
              </w:rPr>
            </w:pPr>
            <w:r w:rsidRPr="001F6B25">
              <w:rPr>
                <w:rFonts w:ascii="Arial" w:hAnsi="Arial" w:cs="Arial"/>
                <w:b/>
                <w:bCs/>
                <w:sz w:val="22"/>
              </w:rPr>
              <w:t>1.</w:t>
            </w:r>
          </w:p>
        </w:tc>
        <w:tc>
          <w:tcPr>
            <w:tcW w:w="7358" w:type="dxa"/>
          </w:tcPr>
          <w:p w14:paraId="25190C3B" w14:textId="7EF2CEA7" w:rsidR="00B978C5" w:rsidRPr="001F6B25" w:rsidRDefault="00B978C5">
            <w:pPr>
              <w:rPr>
                <w:rFonts w:ascii="Arial" w:hAnsi="Arial" w:cs="Arial"/>
                <w:b/>
                <w:bCs/>
                <w:sz w:val="22"/>
              </w:rPr>
            </w:pPr>
            <w:r w:rsidRPr="001F6B25">
              <w:rPr>
                <w:rFonts w:ascii="Arial" w:hAnsi="Arial" w:cs="Arial"/>
                <w:b/>
                <w:bCs/>
                <w:sz w:val="22"/>
              </w:rPr>
              <w:t>OPĆI DIO</w:t>
            </w:r>
            <w:r w:rsidR="00C8513B" w:rsidRPr="001F6B25">
              <w:rPr>
                <w:rFonts w:ascii="Arial" w:hAnsi="Arial" w:cs="Arial"/>
                <w:b/>
                <w:bCs/>
                <w:sz w:val="22"/>
              </w:rPr>
              <w:t xml:space="preserve"> PRORAČUN</w:t>
            </w:r>
            <w:r w:rsidR="00C03D4E" w:rsidRPr="001F6B25">
              <w:rPr>
                <w:rFonts w:ascii="Arial" w:hAnsi="Arial" w:cs="Arial"/>
                <w:b/>
                <w:bCs/>
                <w:sz w:val="22"/>
              </w:rPr>
              <w:t>A</w:t>
            </w:r>
          </w:p>
        </w:tc>
        <w:tc>
          <w:tcPr>
            <w:tcW w:w="1134" w:type="dxa"/>
          </w:tcPr>
          <w:p w14:paraId="4CF70135" w14:textId="50D3753B" w:rsidR="00B978C5" w:rsidRPr="001F6B25" w:rsidRDefault="0042269C" w:rsidP="008E25F6">
            <w:pPr>
              <w:jc w:val="right"/>
              <w:rPr>
                <w:rFonts w:ascii="Arial" w:hAnsi="Arial" w:cs="Arial"/>
                <w:b/>
                <w:bCs/>
                <w:sz w:val="20"/>
                <w:szCs w:val="20"/>
              </w:rPr>
            </w:pPr>
            <w:r>
              <w:rPr>
                <w:rFonts w:ascii="Arial" w:hAnsi="Arial" w:cs="Arial"/>
                <w:b/>
                <w:bCs/>
                <w:sz w:val="20"/>
                <w:szCs w:val="20"/>
              </w:rPr>
              <w:t>6</w:t>
            </w:r>
          </w:p>
        </w:tc>
      </w:tr>
      <w:tr w:rsidR="00B978C5" w:rsidRPr="001F6B25" w14:paraId="4F169306" w14:textId="77777777" w:rsidTr="001F6B25">
        <w:tc>
          <w:tcPr>
            <w:tcW w:w="717" w:type="dxa"/>
          </w:tcPr>
          <w:p w14:paraId="138C0E71" w14:textId="6BC8A4FE" w:rsidR="00B978C5" w:rsidRPr="001F6B25" w:rsidRDefault="00B978C5" w:rsidP="008A06B4">
            <w:pPr>
              <w:rPr>
                <w:rFonts w:ascii="Arial" w:hAnsi="Arial" w:cs="Arial"/>
                <w:b/>
                <w:bCs/>
                <w:sz w:val="20"/>
                <w:szCs w:val="20"/>
              </w:rPr>
            </w:pPr>
            <w:r w:rsidRPr="001F6B25">
              <w:rPr>
                <w:rFonts w:ascii="Arial" w:hAnsi="Arial" w:cs="Arial"/>
                <w:b/>
                <w:bCs/>
                <w:sz w:val="20"/>
                <w:szCs w:val="20"/>
              </w:rPr>
              <w:t>1.1.</w:t>
            </w:r>
          </w:p>
        </w:tc>
        <w:tc>
          <w:tcPr>
            <w:tcW w:w="7358" w:type="dxa"/>
          </w:tcPr>
          <w:p w14:paraId="7F12BD52" w14:textId="4B437EB6" w:rsidR="00B978C5" w:rsidRPr="001F6B25" w:rsidRDefault="008A06B4">
            <w:pPr>
              <w:rPr>
                <w:rFonts w:ascii="Arial" w:hAnsi="Arial" w:cs="Arial"/>
                <w:sz w:val="20"/>
                <w:szCs w:val="20"/>
              </w:rPr>
            </w:pPr>
            <w:r w:rsidRPr="001F6B25">
              <w:rPr>
                <w:rFonts w:ascii="Arial" w:hAnsi="Arial" w:cs="Arial"/>
                <w:b/>
                <w:bCs/>
                <w:sz w:val="20"/>
                <w:szCs w:val="20"/>
              </w:rPr>
              <w:t>R</w:t>
            </w:r>
            <w:r w:rsidR="008E25F6" w:rsidRPr="001F6B25">
              <w:rPr>
                <w:rFonts w:ascii="Arial" w:hAnsi="Arial" w:cs="Arial"/>
                <w:b/>
                <w:bCs/>
                <w:sz w:val="20"/>
                <w:szCs w:val="20"/>
              </w:rPr>
              <w:t>AČUN PRIHODA I RASHODA</w:t>
            </w:r>
          </w:p>
        </w:tc>
        <w:tc>
          <w:tcPr>
            <w:tcW w:w="1134" w:type="dxa"/>
          </w:tcPr>
          <w:p w14:paraId="0CF5DC71" w14:textId="4D9E50CE" w:rsidR="00B978C5" w:rsidRPr="001F6B25" w:rsidRDefault="0042269C" w:rsidP="008E25F6">
            <w:pPr>
              <w:jc w:val="right"/>
              <w:rPr>
                <w:rFonts w:ascii="Arial" w:hAnsi="Arial" w:cs="Arial"/>
                <w:b/>
                <w:bCs/>
                <w:sz w:val="20"/>
                <w:szCs w:val="20"/>
              </w:rPr>
            </w:pPr>
            <w:r>
              <w:rPr>
                <w:rFonts w:ascii="Arial" w:hAnsi="Arial" w:cs="Arial"/>
                <w:b/>
                <w:bCs/>
                <w:sz w:val="20"/>
                <w:szCs w:val="20"/>
              </w:rPr>
              <w:t>7</w:t>
            </w:r>
          </w:p>
        </w:tc>
      </w:tr>
      <w:tr w:rsidR="00B978C5" w:rsidRPr="001F6B25" w14:paraId="0F29760E" w14:textId="77777777" w:rsidTr="001F6B25">
        <w:tc>
          <w:tcPr>
            <w:tcW w:w="717" w:type="dxa"/>
          </w:tcPr>
          <w:p w14:paraId="30131AF5" w14:textId="285361E4" w:rsidR="00B978C5" w:rsidRPr="001F6B25" w:rsidRDefault="008A06B4" w:rsidP="008A06B4">
            <w:pPr>
              <w:rPr>
                <w:rFonts w:ascii="Arial" w:hAnsi="Arial" w:cs="Arial"/>
                <w:sz w:val="20"/>
                <w:szCs w:val="20"/>
              </w:rPr>
            </w:pPr>
            <w:r w:rsidRPr="001F6B25">
              <w:rPr>
                <w:rFonts w:ascii="Arial" w:hAnsi="Arial" w:cs="Arial"/>
                <w:sz w:val="20"/>
                <w:szCs w:val="20"/>
              </w:rPr>
              <w:t>1.1.1.</w:t>
            </w:r>
          </w:p>
        </w:tc>
        <w:tc>
          <w:tcPr>
            <w:tcW w:w="7358" w:type="dxa"/>
          </w:tcPr>
          <w:p w14:paraId="67FDF14F" w14:textId="36E818FA" w:rsidR="00B978C5" w:rsidRPr="001F6B25" w:rsidRDefault="008A06B4">
            <w:pPr>
              <w:rPr>
                <w:rFonts w:ascii="Arial" w:hAnsi="Arial" w:cs="Arial"/>
                <w:sz w:val="20"/>
                <w:szCs w:val="20"/>
              </w:rPr>
            </w:pPr>
            <w:r w:rsidRPr="001F6B25">
              <w:rPr>
                <w:rFonts w:ascii="Arial" w:hAnsi="Arial" w:cs="Arial"/>
                <w:sz w:val="20"/>
                <w:szCs w:val="20"/>
              </w:rPr>
              <w:t>Prihodi i rashodi  prema ekonomskoj  klasifikaciji</w:t>
            </w:r>
          </w:p>
        </w:tc>
        <w:tc>
          <w:tcPr>
            <w:tcW w:w="1134" w:type="dxa"/>
          </w:tcPr>
          <w:p w14:paraId="141F4868" w14:textId="5B4531E6" w:rsidR="00B978C5" w:rsidRPr="001F6B25" w:rsidRDefault="0042269C" w:rsidP="008E25F6">
            <w:pPr>
              <w:jc w:val="right"/>
              <w:rPr>
                <w:rFonts w:ascii="Arial" w:hAnsi="Arial" w:cs="Arial"/>
                <w:sz w:val="20"/>
                <w:szCs w:val="20"/>
              </w:rPr>
            </w:pPr>
            <w:r>
              <w:rPr>
                <w:rFonts w:ascii="Arial" w:hAnsi="Arial" w:cs="Arial"/>
                <w:sz w:val="20"/>
                <w:szCs w:val="20"/>
              </w:rPr>
              <w:t>7</w:t>
            </w:r>
          </w:p>
        </w:tc>
      </w:tr>
      <w:tr w:rsidR="00B978C5" w:rsidRPr="001F6B25" w14:paraId="4F312B32" w14:textId="77777777" w:rsidTr="001F6B25">
        <w:tc>
          <w:tcPr>
            <w:tcW w:w="717" w:type="dxa"/>
          </w:tcPr>
          <w:p w14:paraId="44A2BA5F" w14:textId="5BECEC38" w:rsidR="00B978C5" w:rsidRPr="001F6B25" w:rsidRDefault="008A06B4" w:rsidP="008A06B4">
            <w:pPr>
              <w:rPr>
                <w:rFonts w:ascii="Arial" w:hAnsi="Arial" w:cs="Arial"/>
                <w:sz w:val="20"/>
                <w:szCs w:val="20"/>
              </w:rPr>
            </w:pPr>
            <w:r w:rsidRPr="001F6B25">
              <w:rPr>
                <w:rFonts w:ascii="Arial" w:hAnsi="Arial" w:cs="Arial"/>
                <w:sz w:val="20"/>
                <w:szCs w:val="20"/>
              </w:rPr>
              <w:t>1.1.2.</w:t>
            </w:r>
          </w:p>
        </w:tc>
        <w:tc>
          <w:tcPr>
            <w:tcW w:w="7358" w:type="dxa"/>
          </w:tcPr>
          <w:p w14:paraId="31D4ACB3" w14:textId="3CE6C2BD" w:rsidR="00B978C5" w:rsidRPr="001F6B25" w:rsidRDefault="008A06B4">
            <w:pPr>
              <w:rPr>
                <w:rFonts w:ascii="Arial" w:hAnsi="Arial" w:cs="Arial"/>
                <w:sz w:val="20"/>
                <w:szCs w:val="20"/>
              </w:rPr>
            </w:pPr>
            <w:r w:rsidRPr="001F6B25">
              <w:rPr>
                <w:rFonts w:ascii="Arial" w:hAnsi="Arial" w:cs="Arial"/>
                <w:sz w:val="20"/>
                <w:szCs w:val="20"/>
              </w:rPr>
              <w:t>Prihodi i rashodi prema izvorima financiranja</w:t>
            </w:r>
          </w:p>
        </w:tc>
        <w:tc>
          <w:tcPr>
            <w:tcW w:w="1134" w:type="dxa"/>
          </w:tcPr>
          <w:p w14:paraId="46F20EDE" w14:textId="089819C0" w:rsidR="00B978C5" w:rsidRPr="001F6B25" w:rsidRDefault="0042269C" w:rsidP="008E25F6">
            <w:pPr>
              <w:jc w:val="right"/>
              <w:rPr>
                <w:rFonts w:ascii="Arial" w:hAnsi="Arial" w:cs="Arial"/>
                <w:sz w:val="20"/>
                <w:szCs w:val="20"/>
              </w:rPr>
            </w:pPr>
            <w:r>
              <w:rPr>
                <w:rFonts w:ascii="Arial" w:hAnsi="Arial" w:cs="Arial"/>
                <w:sz w:val="20"/>
                <w:szCs w:val="20"/>
              </w:rPr>
              <w:t>9</w:t>
            </w:r>
          </w:p>
        </w:tc>
      </w:tr>
      <w:tr w:rsidR="00B978C5" w:rsidRPr="001F6B25" w14:paraId="63D621FE" w14:textId="77777777" w:rsidTr="001F6B25">
        <w:tc>
          <w:tcPr>
            <w:tcW w:w="717" w:type="dxa"/>
          </w:tcPr>
          <w:p w14:paraId="2C53011F" w14:textId="768280B5" w:rsidR="00B978C5" w:rsidRPr="001F6B25" w:rsidRDefault="008A06B4" w:rsidP="008A06B4">
            <w:pPr>
              <w:rPr>
                <w:rFonts w:ascii="Arial" w:hAnsi="Arial" w:cs="Arial"/>
                <w:sz w:val="20"/>
                <w:szCs w:val="20"/>
              </w:rPr>
            </w:pPr>
            <w:r w:rsidRPr="001F6B25">
              <w:rPr>
                <w:rFonts w:ascii="Arial" w:hAnsi="Arial" w:cs="Arial"/>
                <w:sz w:val="20"/>
                <w:szCs w:val="20"/>
              </w:rPr>
              <w:t>1.1.3.</w:t>
            </w:r>
          </w:p>
        </w:tc>
        <w:tc>
          <w:tcPr>
            <w:tcW w:w="7358" w:type="dxa"/>
          </w:tcPr>
          <w:p w14:paraId="075EC194" w14:textId="4F1DB493" w:rsidR="00B978C5" w:rsidRPr="001F6B25" w:rsidRDefault="008A06B4">
            <w:pPr>
              <w:rPr>
                <w:rFonts w:ascii="Arial" w:hAnsi="Arial" w:cs="Arial"/>
                <w:sz w:val="20"/>
                <w:szCs w:val="20"/>
              </w:rPr>
            </w:pPr>
            <w:r w:rsidRPr="001F6B25">
              <w:rPr>
                <w:rFonts w:ascii="Arial" w:hAnsi="Arial" w:cs="Arial"/>
                <w:sz w:val="20"/>
                <w:szCs w:val="20"/>
              </w:rPr>
              <w:t>Rashodi prema funkcijskoj klasifikaciji</w:t>
            </w:r>
          </w:p>
        </w:tc>
        <w:tc>
          <w:tcPr>
            <w:tcW w:w="1134" w:type="dxa"/>
          </w:tcPr>
          <w:p w14:paraId="593510E6" w14:textId="550255F4" w:rsidR="00B978C5" w:rsidRPr="001F6B25" w:rsidRDefault="0042269C" w:rsidP="008E25F6">
            <w:pPr>
              <w:jc w:val="right"/>
              <w:rPr>
                <w:rFonts w:ascii="Arial" w:hAnsi="Arial" w:cs="Arial"/>
                <w:sz w:val="20"/>
                <w:szCs w:val="20"/>
              </w:rPr>
            </w:pPr>
            <w:r>
              <w:rPr>
                <w:rFonts w:ascii="Arial" w:hAnsi="Arial" w:cs="Arial"/>
                <w:sz w:val="20"/>
                <w:szCs w:val="20"/>
              </w:rPr>
              <w:t>12</w:t>
            </w:r>
          </w:p>
        </w:tc>
      </w:tr>
      <w:tr w:rsidR="00B978C5" w:rsidRPr="001F6B25" w14:paraId="55BBF01B" w14:textId="77777777" w:rsidTr="001F6B25">
        <w:tc>
          <w:tcPr>
            <w:tcW w:w="717" w:type="dxa"/>
          </w:tcPr>
          <w:p w14:paraId="28E2F055" w14:textId="5B4C72E6" w:rsidR="00B978C5" w:rsidRPr="001F6B25" w:rsidRDefault="008A06B4" w:rsidP="008A06B4">
            <w:pPr>
              <w:rPr>
                <w:rFonts w:ascii="Arial" w:hAnsi="Arial" w:cs="Arial"/>
                <w:b/>
                <w:bCs/>
                <w:sz w:val="20"/>
                <w:szCs w:val="20"/>
              </w:rPr>
            </w:pPr>
            <w:r w:rsidRPr="001F6B25">
              <w:rPr>
                <w:rFonts w:ascii="Arial" w:hAnsi="Arial" w:cs="Arial"/>
                <w:b/>
                <w:bCs/>
                <w:sz w:val="20"/>
                <w:szCs w:val="20"/>
              </w:rPr>
              <w:t>1.2.</w:t>
            </w:r>
          </w:p>
        </w:tc>
        <w:tc>
          <w:tcPr>
            <w:tcW w:w="7358" w:type="dxa"/>
          </w:tcPr>
          <w:p w14:paraId="252AA54D" w14:textId="75B60A06" w:rsidR="00B978C5" w:rsidRPr="001F6B25" w:rsidRDefault="008A06B4">
            <w:pPr>
              <w:rPr>
                <w:rFonts w:ascii="Arial" w:hAnsi="Arial" w:cs="Arial"/>
                <w:sz w:val="20"/>
                <w:szCs w:val="20"/>
              </w:rPr>
            </w:pPr>
            <w:r w:rsidRPr="001F6B25">
              <w:rPr>
                <w:rFonts w:ascii="Arial" w:hAnsi="Arial" w:cs="Arial"/>
                <w:b/>
                <w:bCs/>
                <w:sz w:val="20"/>
                <w:szCs w:val="20"/>
              </w:rPr>
              <w:t>R</w:t>
            </w:r>
            <w:r w:rsidR="008E25F6" w:rsidRPr="001F6B25">
              <w:rPr>
                <w:rFonts w:ascii="Arial" w:hAnsi="Arial" w:cs="Arial"/>
                <w:b/>
                <w:bCs/>
                <w:sz w:val="20"/>
                <w:szCs w:val="20"/>
              </w:rPr>
              <w:t>AČUN FINANCIRANJA</w:t>
            </w:r>
          </w:p>
        </w:tc>
        <w:tc>
          <w:tcPr>
            <w:tcW w:w="1134" w:type="dxa"/>
          </w:tcPr>
          <w:p w14:paraId="70144C31" w14:textId="34EB9947" w:rsidR="00B978C5" w:rsidRPr="001F6B25" w:rsidRDefault="0042269C" w:rsidP="008E25F6">
            <w:pPr>
              <w:jc w:val="right"/>
              <w:rPr>
                <w:rFonts w:ascii="Arial" w:hAnsi="Arial" w:cs="Arial"/>
                <w:b/>
                <w:bCs/>
                <w:sz w:val="20"/>
                <w:szCs w:val="20"/>
              </w:rPr>
            </w:pPr>
            <w:r>
              <w:rPr>
                <w:rFonts w:ascii="Arial" w:hAnsi="Arial" w:cs="Arial"/>
                <w:b/>
                <w:bCs/>
                <w:sz w:val="20"/>
                <w:szCs w:val="20"/>
              </w:rPr>
              <w:t>14</w:t>
            </w:r>
          </w:p>
        </w:tc>
      </w:tr>
      <w:tr w:rsidR="00C8513B" w:rsidRPr="001F6B25" w14:paraId="6D3DC0C2" w14:textId="77777777" w:rsidTr="001F6B25">
        <w:tc>
          <w:tcPr>
            <w:tcW w:w="717" w:type="dxa"/>
          </w:tcPr>
          <w:p w14:paraId="68033477" w14:textId="04BC7A1E" w:rsidR="00C8513B" w:rsidRPr="001F6B25" w:rsidRDefault="00C8513B" w:rsidP="008A06B4">
            <w:pPr>
              <w:rPr>
                <w:rFonts w:ascii="Arial" w:hAnsi="Arial" w:cs="Arial"/>
                <w:sz w:val="20"/>
                <w:szCs w:val="20"/>
              </w:rPr>
            </w:pPr>
            <w:r w:rsidRPr="001F6B25">
              <w:rPr>
                <w:rFonts w:ascii="Arial" w:hAnsi="Arial" w:cs="Arial"/>
                <w:sz w:val="20"/>
                <w:szCs w:val="20"/>
              </w:rPr>
              <w:t>1.2.1.</w:t>
            </w:r>
          </w:p>
        </w:tc>
        <w:tc>
          <w:tcPr>
            <w:tcW w:w="7358" w:type="dxa"/>
          </w:tcPr>
          <w:p w14:paraId="5E00B78F" w14:textId="4C4EC7CF" w:rsidR="00C8513B" w:rsidRPr="001F6B25" w:rsidRDefault="00C8513B">
            <w:pPr>
              <w:rPr>
                <w:rFonts w:ascii="Arial" w:hAnsi="Arial" w:cs="Arial"/>
                <w:b/>
                <w:bCs/>
                <w:sz w:val="20"/>
                <w:szCs w:val="20"/>
              </w:rPr>
            </w:pPr>
            <w:r w:rsidRPr="001F6B25">
              <w:rPr>
                <w:rFonts w:ascii="Arial" w:hAnsi="Arial" w:cs="Arial"/>
                <w:sz w:val="20"/>
                <w:szCs w:val="20"/>
              </w:rPr>
              <w:t>Račun financiranja prema ekonomskoj  klasifikaciji</w:t>
            </w:r>
          </w:p>
        </w:tc>
        <w:tc>
          <w:tcPr>
            <w:tcW w:w="1134" w:type="dxa"/>
          </w:tcPr>
          <w:p w14:paraId="5C8ECC3A" w14:textId="12D28689" w:rsidR="00C8513B" w:rsidRPr="001F6B25" w:rsidRDefault="0042269C" w:rsidP="008E25F6">
            <w:pPr>
              <w:jc w:val="right"/>
              <w:rPr>
                <w:rFonts w:ascii="Arial" w:hAnsi="Arial" w:cs="Arial"/>
                <w:sz w:val="20"/>
                <w:szCs w:val="20"/>
              </w:rPr>
            </w:pPr>
            <w:r>
              <w:rPr>
                <w:rFonts w:ascii="Arial" w:hAnsi="Arial" w:cs="Arial"/>
                <w:sz w:val="20"/>
                <w:szCs w:val="20"/>
              </w:rPr>
              <w:t>14</w:t>
            </w:r>
          </w:p>
        </w:tc>
      </w:tr>
      <w:tr w:rsidR="00C8513B" w:rsidRPr="001F6B25" w14:paraId="1327EA45" w14:textId="77777777" w:rsidTr="001F6B25">
        <w:tc>
          <w:tcPr>
            <w:tcW w:w="717" w:type="dxa"/>
          </w:tcPr>
          <w:p w14:paraId="247CD9FD" w14:textId="3F2A9BA1" w:rsidR="00C8513B" w:rsidRPr="001F6B25" w:rsidRDefault="00C8513B" w:rsidP="008A06B4">
            <w:pPr>
              <w:rPr>
                <w:rFonts w:ascii="Arial" w:hAnsi="Arial" w:cs="Arial"/>
                <w:sz w:val="20"/>
                <w:szCs w:val="20"/>
              </w:rPr>
            </w:pPr>
            <w:r w:rsidRPr="001F6B25">
              <w:rPr>
                <w:rFonts w:ascii="Arial" w:hAnsi="Arial" w:cs="Arial"/>
                <w:sz w:val="20"/>
                <w:szCs w:val="20"/>
              </w:rPr>
              <w:t>1.2.2.</w:t>
            </w:r>
          </w:p>
        </w:tc>
        <w:tc>
          <w:tcPr>
            <w:tcW w:w="7358" w:type="dxa"/>
          </w:tcPr>
          <w:p w14:paraId="64C37B86" w14:textId="64DB05B0" w:rsidR="00C8513B" w:rsidRPr="001F6B25" w:rsidRDefault="00C8513B">
            <w:pPr>
              <w:rPr>
                <w:rFonts w:ascii="Arial" w:hAnsi="Arial" w:cs="Arial"/>
                <w:b/>
                <w:bCs/>
                <w:sz w:val="20"/>
                <w:szCs w:val="20"/>
              </w:rPr>
            </w:pPr>
            <w:r w:rsidRPr="001F6B25">
              <w:rPr>
                <w:rFonts w:ascii="Arial" w:hAnsi="Arial" w:cs="Arial"/>
                <w:sz w:val="20"/>
                <w:szCs w:val="20"/>
              </w:rPr>
              <w:t>Račun financiranja prema izvorima financiranja</w:t>
            </w:r>
          </w:p>
        </w:tc>
        <w:tc>
          <w:tcPr>
            <w:tcW w:w="1134" w:type="dxa"/>
          </w:tcPr>
          <w:p w14:paraId="3A66C1DC" w14:textId="14F8727B" w:rsidR="00C8513B" w:rsidRPr="001F6B25" w:rsidRDefault="0042269C" w:rsidP="008E25F6">
            <w:pPr>
              <w:jc w:val="right"/>
              <w:rPr>
                <w:rFonts w:ascii="Arial" w:hAnsi="Arial" w:cs="Arial"/>
                <w:sz w:val="20"/>
                <w:szCs w:val="20"/>
              </w:rPr>
            </w:pPr>
            <w:r>
              <w:rPr>
                <w:rFonts w:ascii="Arial" w:hAnsi="Arial" w:cs="Arial"/>
                <w:sz w:val="20"/>
                <w:szCs w:val="20"/>
              </w:rPr>
              <w:t>15</w:t>
            </w:r>
          </w:p>
        </w:tc>
      </w:tr>
      <w:tr w:rsidR="00B978C5" w:rsidRPr="001F6B25" w14:paraId="01337B89" w14:textId="77777777" w:rsidTr="001F6B25">
        <w:tc>
          <w:tcPr>
            <w:tcW w:w="717" w:type="dxa"/>
          </w:tcPr>
          <w:p w14:paraId="25F722D6" w14:textId="6E79C709" w:rsidR="00B978C5" w:rsidRPr="001F6B25" w:rsidRDefault="00865E95" w:rsidP="00865E95">
            <w:pPr>
              <w:rPr>
                <w:rFonts w:ascii="Arial" w:hAnsi="Arial" w:cs="Arial"/>
                <w:b/>
                <w:bCs/>
                <w:sz w:val="22"/>
              </w:rPr>
            </w:pPr>
            <w:r w:rsidRPr="001F6B25">
              <w:rPr>
                <w:rFonts w:ascii="Arial" w:hAnsi="Arial" w:cs="Arial"/>
                <w:b/>
                <w:bCs/>
                <w:sz w:val="22"/>
              </w:rPr>
              <w:t>2</w:t>
            </w:r>
            <w:r w:rsidR="008A06B4" w:rsidRPr="001F6B25">
              <w:rPr>
                <w:rFonts w:ascii="Arial" w:hAnsi="Arial" w:cs="Arial"/>
                <w:b/>
                <w:bCs/>
                <w:sz w:val="22"/>
              </w:rPr>
              <w:t xml:space="preserve">. </w:t>
            </w:r>
          </w:p>
        </w:tc>
        <w:tc>
          <w:tcPr>
            <w:tcW w:w="7358" w:type="dxa"/>
          </w:tcPr>
          <w:p w14:paraId="15003C38" w14:textId="790771D9" w:rsidR="00B978C5" w:rsidRPr="001F6B25" w:rsidRDefault="008A06B4">
            <w:pPr>
              <w:rPr>
                <w:rFonts w:ascii="Arial" w:hAnsi="Arial" w:cs="Arial"/>
                <w:b/>
                <w:bCs/>
                <w:sz w:val="22"/>
              </w:rPr>
            </w:pPr>
            <w:r w:rsidRPr="001F6B25">
              <w:rPr>
                <w:rFonts w:ascii="Arial" w:hAnsi="Arial" w:cs="Arial"/>
                <w:b/>
                <w:bCs/>
                <w:sz w:val="22"/>
              </w:rPr>
              <w:t>POSEBNI DIO</w:t>
            </w:r>
            <w:r w:rsidR="00C8513B" w:rsidRPr="001F6B25">
              <w:rPr>
                <w:rFonts w:ascii="Arial" w:hAnsi="Arial" w:cs="Arial"/>
                <w:b/>
                <w:bCs/>
                <w:sz w:val="22"/>
              </w:rPr>
              <w:t xml:space="preserve"> PRORAČUNA</w:t>
            </w:r>
          </w:p>
        </w:tc>
        <w:tc>
          <w:tcPr>
            <w:tcW w:w="1134" w:type="dxa"/>
          </w:tcPr>
          <w:p w14:paraId="4512E6F7" w14:textId="086A12E3" w:rsidR="00B978C5" w:rsidRPr="001F6B25" w:rsidRDefault="0042269C" w:rsidP="008E25F6">
            <w:pPr>
              <w:jc w:val="right"/>
              <w:rPr>
                <w:rFonts w:ascii="Arial" w:hAnsi="Arial" w:cs="Arial"/>
                <w:b/>
                <w:bCs/>
                <w:sz w:val="20"/>
                <w:szCs w:val="20"/>
              </w:rPr>
            </w:pPr>
            <w:r>
              <w:rPr>
                <w:rFonts w:ascii="Arial" w:hAnsi="Arial" w:cs="Arial"/>
                <w:b/>
                <w:bCs/>
                <w:sz w:val="20"/>
                <w:szCs w:val="20"/>
              </w:rPr>
              <w:t>16</w:t>
            </w:r>
          </w:p>
        </w:tc>
      </w:tr>
      <w:tr w:rsidR="00B978C5" w:rsidRPr="001F6B25" w14:paraId="3C634CA3" w14:textId="77777777" w:rsidTr="001F6B25">
        <w:tc>
          <w:tcPr>
            <w:tcW w:w="717" w:type="dxa"/>
          </w:tcPr>
          <w:p w14:paraId="4BDB09EE" w14:textId="77777777" w:rsidR="008A06B4" w:rsidRPr="001F6B25" w:rsidRDefault="008A06B4" w:rsidP="008A06B4">
            <w:pPr>
              <w:rPr>
                <w:rFonts w:ascii="Arial" w:hAnsi="Arial" w:cs="Arial"/>
                <w:b/>
                <w:bCs/>
                <w:sz w:val="22"/>
              </w:rPr>
            </w:pPr>
          </w:p>
          <w:p w14:paraId="2F16D62A" w14:textId="1E49442C" w:rsidR="00B978C5" w:rsidRPr="001F6B25" w:rsidRDefault="00865E95" w:rsidP="008A06B4">
            <w:pPr>
              <w:rPr>
                <w:rFonts w:ascii="Arial" w:hAnsi="Arial" w:cs="Arial"/>
                <w:b/>
                <w:bCs/>
                <w:sz w:val="22"/>
              </w:rPr>
            </w:pPr>
            <w:r w:rsidRPr="001F6B25">
              <w:rPr>
                <w:rFonts w:ascii="Arial" w:hAnsi="Arial" w:cs="Arial"/>
                <w:b/>
                <w:bCs/>
                <w:sz w:val="22"/>
              </w:rPr>
              <w:t>3</w:t>
            </w:r>
            <w:r w:rsidR="008A06B4" w:rsidRPr="001F6B25">
              <w:rPr>
                <w:rFonts w:ascii="Arial" w:hAnsi="Arial" w:cs="Arial"/>
                <w:b/>
                <w:bCs/>
                <w:sz w:val="22"/>
              </w:rPr>
              <w:t>.</w:t>
            </w:r>
          </w:p>
        </w:tc>
        <w:tc>
          <w:tcPr>
            <w:tcW w:w="7358" w:type="dxa"/>
          </w:tcPr>
          <w:p w14:paraId="1A22E739" w14:textId="718735D5" w:rsidR="00B978C5" w:rsidRPr="001F6B25" w:rsidRDefault="008A06B4">
            <w:pPr>
              <w:rPr>
                <w:rFonts w:ascii="Arial" w:hAnsi="Arial" w:cs="Arial"/>
                <w:b/>
                <w:bCs/>
                <w:sz w:val="22"/>
              </w:rPr>
            </w:pPr>
            <w:r w:rsidRPr="001F6B25">
              <w:rPr>
                <w:rFonts w:ascii="Arial" w:hAnsi="Arial" w:cs="Arial"/>
                <w:b/>
                <w:bCs/>
                <w:sz w:val="22"/>
              </w:rPr>
              <w:t>OBRAZLOŽENJE PRVIH IZMJENA I DOPUNA PRORAČUNA GRADA LABINA ZA 202</w:t>
            </w:r>
            <w:r w:rsidR="00950446">
              <w:rPr>
                <w:rFonts w:ascii="Arial" w:hAnsi="Arial" w:cs="Arial"/>
                <w:b/>
                <w:bCs/>
                <w:sz w:val="22"/>
              </w:rPr>
              <w:t>5</w:t>
            </w:r>
            <w:r w:rsidRPr="001F6B25">
              <w:rPr>
                <w:rFonts w:ascii="Arial" w:hAnsi="Arial" w:cs="Arial"/>
                <w:b/>
                <w:bCs/>
                <w:sz w:val="22"/>
              </w:rPr>
              <w:t>. GODINU</w:t>
            </w:r>
          </w:p>
        </w:tc>
        <w:tc>
          <w:tcPr>
            <w:tcW w:w="1134" w:type="dxa"/>
          </w:tcPr>
          <w:p w14:paraId="480D2C24" w14:textId="40FFC214" w:rsidR="00D90B59" w:rsidRPr="001F6B25" w:rsidRDefault="0042269C" w:rsidP="008E25F6">
            <w:pPr>
              <w:jc w:val="right"/>
              <w:rPr>
                <w:rFonts w:ascii="Arial" w:hAnsi="Arial" w:cs="Arial"/>
                <w:b/>
                <w:bCs/>
                <w:sz w:val="20"/>
                <w:szCs w:val="20"/>
              </w:rPr>
            </w:pPr>
            <w:r>
              <w:rPr>
                <w:rFonts w:ascii="Arial" w:hAnsi="Arial" w:cs="Arial"/>
                <w:b/>
                <w:bCs/>
                <w:sz w:val="20"/>
                <w:szCs w:val="20"/>
              </w:rPr>
              <w:t>88</w:t>
            </w:r>
          </w:p>
        </w:tc>
      </w:tr>
      <w:tr w:rsidR="00B978C5" w:rsidRPr="001F6B25" w14:paraId="12DCC45F" w14:textId="77777777" w:rsidTr="001F6B25">
        <w:tc>
          <w:tcPr>
            <w:tcW w:w="717" w:type="dxa"/>
          </w:tcPr>
          <w:p w14:paraId="487FEC6B" w14:textId="6C921A48" w:rsidR="00B978C5" w:rsidRPr="001F6B25" w:rsidRDefault="00865E95" w:rsidP="008A06B4">
            <w:pPr>
              <w:jc w:val="right"/>
              <w:rPr>
                <w:rFonts w:ascii="Arial" w:hAnsi="Arial" w:cs="Arial"/>
                <w:sz w:val="20"/>
                <w:szCs w:val="20"/>
              </w:rPr>
            </w:pPr>
            <w:r w:rsidRPr="001F6B25">
              <w:rPr>
                <w:rFonts w:ascii="Arial" w:hAnsi="Arial" w:cs="Arial"/>
                <w:b/>
                <w:bCs/>
                <w:sz w:val="20"/>
                <w:szCs w:val="20"/>
              </w:rPr>
              <w:t>3</w:t>
            </w:r>
            <w:r w:rsidR="008A06B4" w:rsidRPr="001F6B25">
              <w:rPr>
                <w:rFonts w:ascii="Arial" w:hAnsi="Arial" w:cs="Arial"/>
                <w:b/>
                <w:bCs/>
                <w:sz w:val="20"/>
                <w:szCs w:val="20"/>
              </w:rPr>
              <w:t>.1</w:t>
            </w:r>
            <w:r w:rsidR="008A06B4" w:rsidRPr="001F6B25">
              <w:rPr>
                <w:rFonts w:ascii="Arial" w:hAnsi="Arial" w:cs="Arial"/>
                <w:sz w:val="20"/>
                <w:szCs w:val="20"/>
              </w:rPr>
              <w:t>.</w:t>
            </w:r>
          </w:p>
        </w:tc>
        <w:tc>
          <w:tcPr>
            <w:tcW w:w="7358" w:type="dxa"/>
          </w:tcPr>
          <w:p w14:paraId="6E9DB197" w14:textId="785E1ACE" w:rsidR="00B978C5" w:rsidRPr="001F6B25" w:rsidRDefault="008A06B4">
            <w:pPr>
              <w:rPr>
                <w:rFonts w:ascii="Arial" w:hAnsi="Arial" w:cs="Arial"/>
                <w:b/>
                <w:bCs/>
                <w:sz w:val="20"/>
                <w:szCs w:val="20"/>
              </w:rPr>
            </w:pPr>
            <w:r w:rsidRPr="001F6B25">
              <w:rPr>
                <w:rFonts w:ascii="Arial" w:hAnsi="Arial" w:cs="Arial"/>
                <w:b/>
                <w:bCs/>
                <w:sz w:val="20"/>
                <w:szCs w:val="20"/>
              </w:rPr>
              <w:t>OBRAZLOŽENJE OPĆEG DIJELA PRORAČUNA</w:t>
            </w:r>
          </w:p>
        </w:tc>
        <w:tc>
          <w:tcPr>
            <w:tcW w:w="1134" w:type="dxa"/>
          </w:tcPr>
          <w:p w14:paraId="32B2DD33" w14:textId="63E3DB0A" w:rsidR="00B978C5" w:rsidRPr="001F6B25" w:rsidRDefault="0042269C" w:rsidP="008E25F6">
            <w:pPr>
              <w:jc w:val="right"/>
              <w:rPr>
                <w:rFonts w:ascii="Arial" w:hAnsi="Arial" w:cs="Arial"/>
                <w:b/>
                <w:bCs/>
                <w:sz w:val="20"/>
                <w:szCs w:val="20"/>
              </w:rPr>
            </w:pPr>
            <w:r>
              <w:rPr>
                <w:rFonts w:ascii="Arial" w:hAnsi="Arial" w:cs="Arial"/>
                <w:b/>
                <w:bCs/>
                <w:sz w:val="20"/>
                <w:szCs w:val="20"/>
              </w:rPr>
              <w:t>88</w:t>
            </w:r>
          </w:p>
        </w:tc>
      </w:tr>
      <w:tr w:rsidR="00B978C5" w:rsidRPr="001F6B25" w14:paraId="3C683DAE" w14:textId="77777777" w:rsidTr="001F6B25">
        <w:tc>
          <w:tcPr>
            <w:tcW w:w="717" w:type="dxa"/>
          </w:tcPr>
          <w:p w14:paraId="3A6637FE" w14:textId="7B0B3988" w:rsidR="00B978C5" w:rsidRPr="001F6B25" w:rsidRDefault="00865E95" w:rsidP="008A06B4">
            <w:pPr>
              <w:jc w:val="right"/>
              <w:rPr>
                <w:rFonts w:ascii="Arial" w:hAnsi="Arial" w:cs="Arial"/>
                <w:sz w:val="20"/>
                <w:szCs w:val="20"/>
              </w:rPr>
            </w:pPr>
            <w:r w:rsidRPr="001F6B25">
              <w:rPr>
                <w:rFonts w:ascii="Arial" w:hAnsi="Arial" w:cs="Arial"/>
                <w:sz w:val="20"/>
                <w:szCs w:val="20"/>
              </w:rPr>
              <w:t>3</w:t>
            </w:r>
            <w:r w:rsidR="008A06B4" w:rsidRPr="001F6B25">
              <w:rPr>
                <w:rFonts w:ascii="Arial" w:hAnsi="Arial" w:cs="Arial"/>
                <w:sz w:val="20"/>
                <w:szCs w:val="20"/>
              </w:rPr>
              <w:t>.1.1.</w:t>
            </w:r>
          </w:p>
        </w:tc>
        <w:tc>
          <w:tcPr>
            <w:tcW w:w="7358" w:type="dxa"/>
          </w:tcPr>
          <w:p w14:paraId="7E7EF00C" w14:textId="1D8A5B47" w:rsidR="00B978C5" w:rsidRPr="001F6B25" w:rsidRDefault="008A06B4">
            <w:pPr>
              <w:rPr>
                <w:rFonts w:ascii="Arial" w:hAnsi="Arial" w:cs="Arial"/>
                <w:sz w:val="20"/>
                <w:szCs w:val="20"/>
              </w:rPr>
            </w:pPr>
            <w:r w:rsidRPr="001F6B25">
              <w:rPr>
                <w:rFonts w:ascii="Arial" w:hAnsi="Arial" w:cs="Arial"/>
                <w:sz w:val="22"/>
              </w:rPr>
              <w:t>Obrazloženje prihoda i primitaka</w:t>
            </w:r>
          </w:p>
        </w:tc>
        <w:tc>
          <w:tcPr>
            <w:tcW w:w="1134" w:type="dxa"/>
          </w:tcPr>
          <w:p w14:paraId="66CC0853" w14:textId="1CF8D1EF" w:rsidR="00B978C5" w:rsidRPr="001F6B25" w:rsidRDefault="0042269C" w:rsidP="008E25F6">
            <w:pPr>
              <w:jc w:val="right"/>
              <w:rPr>
                <w:rFonts w:ascii="Arial" w:hAnsi="Arial" w:cs="Arial"/>
                <w:sz w:val="20"/>
                <w:szCs w:val="20"/>
              </w:rPr>
            </w:pPr>
            <w:r>
              <w:rPr>
                <w:rFonts w:ascii="Arial" w:hAnsi="Arial" w:cs="Arial"/>
                <w:sz w:val="20"/>
                <w:szCs w:val="20"/>
              </w:rPr>
              <w:t>88</w:t>
            </w:r>
          </w:p>
        </w:tc>
      </w:tr>
      <w:tr w:rsidR="00B978C5" w:rsidRPr="001F6B25" w14:paraId="76458EA0" w14:textId="77777777" w:rsidTr="001F6B25">
        <w:tc>
          <w:tcPr>
            <w:tcW w:w="717" w:type="dxa"/>
          </w:tcPr>
          <w:p w14:paraId="06131AC6" w14:textId="533F367E" w:rsidR="00B978C5" w:rsidRPr="001F6B25" w:rsidRDefault="00865E95" w:rsidP="00865E95">
            <w:pPr>
              <w:jc w:val="center"/>
              <w:rPr>
                <w:rFonts w:ascii="Arial" w:hAnsi="Arial" w:cs="Arial"/>
                <w:sz w:val="20"/>
                <w:szCs w:val="20"/>
              </w:rPr>
            </w:pPr>
            <w:r w:rsidRPr="001F6B25">
              <w:rPr>
                <w:rFonts w:ascii="Arial" w:hAnsi="Arial" w:cs="Arial"/>
                <w:sz w:val="20"/>
                <w:szCs w:val="20"/>
              </w:rPr>
              <w:t>3</w:t>
            </w:r>
            <w:r w:rsidR="008A06B4" w:rsidRPr="001F6B25">
              <w:rPr>
                <w:rFonts w:ascii="Arial" w:hAnsi="Arial" w:cs="Arial"/>
                <w:sz w:val="20"/>
                <w:szCs w:val="20"/>
              </w:rPr>
              <w:t>.1.2.</w:t>
            </w:r>
          </w:p>
        </w:tc>
        <w:tc>
          <w:tcPr>
            <w:tcW w:w="7358" w:type="dxa"/>
          </w:tcPr>
          <w:p w14:paraId="25F6DA40" w14:textId="716D6F37" w:rsidR="00B978C5" w:rsidRPr="001F6B25" w:rsidRDefault="008A06B4">
            <w:pPr>
              <w:rPr>
                <w:rFonts w:ascii="Arial" w:hAnsi="Arial" w:cs="Arial"/>
                <w:sz w:val="20"/>
                <w:szCs w:val="20"/>
              </w:rPr>
            </w:pPr>
            <w:r w:rsidRPr="001F6B25">
              <w:rPr>
                <w:rFonts w:ascii="Arial" w:hAnsi="Arial" w:cs="Arial"/>
                <w:sz w:val="22"/>
              </w:rPr>
              <w:t>Obrazloženje rashoda i izdataka</w:t>
            </w:r>
          </w:p>
        </w:tc>
        <w:tc>
          <w:tcPr>
            <w:tcW w:w="1134" w:type="dxa"/>
          </w:tcPr>
          <w:p w14:paraId="0A1F8532" w14:textId="0F94CD2D" w:rsidR="00B978C5" w:rsidRPr="001F6B25" w:rsidRDefault="0042269C" w:rsidP="008E25F6">
            <w:pPr>
              <w:jc w:val="right"/>
              <w:rPr>
                <w:rFonts w:ascii="Arial" w:hAnsi="Arial" w:cs="Arial"/>
                <w:sz w:val="20"/>
                <w:szCs w:val="20"/>
              </w:rPr>
            </w:pPr>
            <w:r>
              <w:rPr>
                <w:rFonts w:ascii="Arial" w:hAnsi="Arial" w:cs="Arial"/>
                <w:sz w:val="20"/>
                <w:szCs w:val="20"/>
              </w:rPr>
              <w:t>93</w:t>
            </w:r>
          </w:p>
        </w:tc>
      </w:tr>
      <w:tr w:rsidR="00B978C5" w:rsidRPr="001F6B25" w14:paraId="2E376169" w14:textId="77777777" w:rsidTr="001F6B25">
        <w:tc>
          <w:tcPr>
            <w:tcW w:w="717" w:type="dxa"/>
          </w:tcPr>
          <w:p w14:paraId="657D8A8E" w14:textId="00D500B5" w:rsidR="00B978C5" w:rsidRPr="001F6B25" w:rsidRDefault="00865E95" w:rsidP="008A06B4">
            <w:pPr>
              <w:jc w:val="right"/>
              <w:rPr>
                <w:rFonts w:ascii="Arial" w:hAnsi="Arial" w:cs="Arial"/>
                <w:sz w:val="20"/>
                <w:szCs w:val="20"/>
              </w:rPr>
            </w:pPr>
            <w:r w:rsidRPr="001F6B25">
              <w:rPr>
                <w:rFonts w:ascii="Arial" w:hAnsi="Arial" w:cs="Arial"/>
                <w:b/>
                <w:bCs/>
                <w:sz w:val="20"/>
                <w:szCs w:val="20"/>
              </w:rPr>
              <w:t>3</w:t>
            </w:r>
            <w:r w:rsidR="008A06B4" w:rsidRPr="001F6B25">
              <w:rPr>
                <w:rFonts w:ascii="Arial" w:hAnsi="Arial" w:cs="Arial"/>
                <w:b/>
                <w:bCs/>
                <w:sz w:val="20"/>
                <w:szCs w:val="20"/>
              </w:rPr>
              <w:t>.2</w:t>
            </w:r>
            <w:r w:rsidR="008A06B4" w:rsidRPr="001F6B25">
              <w:rPr>
                <w:rFonts w:ascii="Arial" w:hAnsi="Arial" w:cs="Arial"/>
                <w:sz w:val="20"/>
                <w:szCs w:val="20"/>
              </w:rPr>
              <w:t>.</w:t>
            </w:r>
          </w:p>
        </w:tc>
        <w:tc>
          <w:tcPr>
            <w:tcW w:w="7358" w:type="dxa"/>
          </w:tcPr>
          <w:p w14:paraId="1C39624C" w14:textId="6018003F" w:rsidR="00B978C5" w:rsidRPr="001F6B25" w:rsidRDefault="008A06B4">
            <w:pPr>
              <w:rPr>
                <w:rFonts w:ascii="Arial" w:hAnsi="Arial" w:cs="Arial"/>
                <w:b/>
                <w:bCs/>
                <w:sz w:val="20"/>
                <w:szCs w:val="20"/>
              </w:rPr>
            </w:pPr>
            <w:r w:rsidRPr="001F6B25">
              <w:rPr>
                <w:rFonts w:ascii="Arial" w:hAnsi="Arial" w:cs="Arial"/>
                <w:b/>
                <w:bCs/>
                <w:sz w:val="20"/>
                <w:szCs w:val="20"/>
              </w:rPr>
              <w:t>OBRAZLOŽENJE POSEBNOG DIJELA PRORAČUNA</w:t>
            </w:r>
          </w:p>
        </w:tc>
        <w:tc>
          <w:tcPr>
            <w:tcW w:w="1134" w:type="dxa"/>
          </w:tcPr>
          <w:p w14:paraId="607CC8FC" w14:textId="37EEE3F4" w:rsidR="00B978C5" w:rsidRPr="001F6B25" w:rsidRDefault="009501D7" w:rsidP="008E25F6">
            <w:pPr>
              <w:jc w:val="right"/>
              <w:rPr>
                <w:rFonts w:ascii="Arial" w:hAnsi="Arial" w:cs="Arial"/>
                <w:b/>
                <w:bCs/>
                <w:sz w:val="20"/>
                <w:szCs w:val="20"/>
              </w:rPr>
            </w:pPr>
            <w:r>
              <w:rPr>
                <w:rFonts w:ascii="Arial" w:hAnsi="Arial" w:cs="Arial"/>
                <w:b/>
                <w:bCs/>
                <w:sz w:val="20"/>
                <w:szCs w:val="20"/>
              </w:rPr>
              <w:t>108</w:t>
            </w:r>
          </w:p>
        </w:tc>
      </w:tr>
      <w:tr w:rsidR="00B978C5" w:rsidRPr="001F6B25" w14:paraId="6D396D86" w14:textId="77777777" w:rsidTr="001F6B25">
        <w:tc>
          <w:tcPr>
            <w:tcW w:w="717" w:type="dxa"/>
          </w:tcPr>
          <w:p w14:paraId="1DA0C845" w14:textId="47D7AA3B" w:rsidR="00B978C5" w:rsidRPr="001F6B25" w:rsidRDefault="00865E95" w:rsidP="008A06B4">
            <w:pPr>
              <w:jc w:val="right"/>
              <w:rPr>
                <w:rFonts w:ascii="Arial" w:hAnsi="Arial" w:cs="Arial"/>
                <w:sz w:val="20"/>
                <w:szCs w:val="20"/>
              </w:rPr>
            </w:pPr>
            <w:r w:rsidRPr="001F6B25">
              <w:rPr>
                <w:rFonts w:ascii="Arial" w:hAnsi="Arial" w:cs="Arial"/>
                <w:sz w:val="20"/>
                <w:szCs w:val="20"/>
              </w:rPr>
              <w:t>3</w:t>
            </w:r>
            <w:r w:rsidR="00216304" w:rsidRPr="001F6B25">
              <w:rPr>
                <w:rFonts w:ascii="Arial" w:hAnsi="Arial" w:cs="Arial"/>
                <w:sz w:val="20"/>
                <w:szCs w:val="20"/>
              </w:rPr>
              <w:t>.2.1.</w:t>
            </w:r>
          </w:p>
        </w:tc>
        <w:tc>
          <w:tcPr>
            <w:tcW w:w="7358" w:type="dxa"/>
          </w:tcPr>
          <w:p w14:paraId="3C2FD1B6" w14:textId="1B555DE6" w:rsidR="00B978C5" w:rsidRPr="001F6B25" w:rsidRDefault="00216304">
            <w:pPr>
              <w:rPr>
                <w:rFonts w:ascii="Arial" w:hAnsi="Arial" w:cs="Arial"/>
                <w:sz w:val="20"/>
                <w:szCs w:val="20"/>
              </w:rPr>
            </w:pPr>
            <w:r w:rsidRPr="001F6B25">
              <w:rPr>
                <w:rFonts w:ascii="Arial" w:hAnsi="Arial" w:cs="Arial"/>
                <w:sz w:val="20"/>
                <w:szCs w:val="20"/>
              </w:rPr>
              <w:t>Upravni odjel za poslove Gradonačelnika, Gradsko vijeće i opće poslove</w:t>
            </w:r>
          </w:p>
        </w:tc>
        <w:tc>
          <w:tcPr>
            <w:tcW w:w="1134" w:type="dxa"/>
          </w:tcPr>
          <w:p w14:paraId="118D1A5F" w14:textId="6D73A7BF" w:rsidR="00B978C5" w:rsidRPr="001F6B25" w:rsidRDefault="009501D7" w:rsidP="008E25F6">
            <w:pPr>
              <w:jc w:val="right"/>
              <w:rPr>
                <w:rFonts w:ascii="Arial" w:hAnsi="Arial" w:cs="Arial"/>
                <w:sz w:val="20"/>
                <w:szCs w:val="20"/>
              </w:rPr>
            </w:pPr>
            <w:r>
              <w:rPr>
                <w:rFonts w:ascii="Arial" w:hAnsi="Arial" w:cs="Arial"/>
                <w:sz w:val="20"/>
                <w:szCs w:val="20"/>
              </w:rPr>
              <w:t>108</w:t>
            </w:r>
          </w:p>
        </w:tc>
      </w:tr>
      <w:tr w:rsidR="00216304" w:rsidRPr="001F6B25" w14:paraId="70B5059B" w14:textId="77777777" w:rsidTr="001F6B25">
        <w:tc>
          <w:tcPr>
            <w:tcW w:w="717" w:type="dxa"/>
          </w:tcPr>
          <w:p w14:paraId="7105561E" w14:textId="210238FA" w:rsidR="00216304" w:rsidRPr="001F6B25" w:rsidRDefault="00865E95" w:rsidP="008A06B4">
            <w:pPr>
              <w:jc w:val="right"/>
              <w:rPr>
                <w:rFonts w:ascii="Arial" w:hAnsi="Arial" w:cs="Arial"/>
                <w:sz w:val="20"/>
                <w:szCs w:val="20"/>
              </w:rPr>
            </w:pPr>
            <w:r w:rsidRPr="001F6B25">
              <w:rPr>
                <w:rFonts w:ascii="Arial" w:hAnsi="Arial" w:cs="Arial"/>
                <w:sz w:val="20"/>
                <w:szCs w:val="20"/>
              </w:rPr>
              <w:t>3</w:t>
            </w:r>
            <w:r w:rsidR="00216304" w:rsidRPr="001F6B25">
              <w:rPr>
                <w:rFonts w:ascii="Arial" w:hAnsi="Arial" w:cs="Arial"/>
                <w:sz w:val="20"/>
                <w:szCs w:val="20"/>
              </w:rPr>
              <w:t>.2.2.</w:t>
            </w:r>
          </w:p>
        </w:tc>
        <w:tc>
          <w:tcPr>
            <w:tcW w:w="7358" w:type="dxa"/>
          </w:tcPr>
          <w:p w14:paraId="74C5BEE5" w14:textId="7541E6D3" w:rsidR="00216304" w:rsidRPr="001F6B25" w:rsidRDefault="00216304">
            <w:pPr>
              <w:rPr>
                <w:rFonts w:ascii="Arial" w:hAnsi="Arial" w:cs="Arial"/>
                <w:sz w:val="20"/>
                <w:szCs w:val="20"/>
              </w:rPr>
            </w:pPr>
            <w:r w:rsidRPr="001F6B25">
              <w:rPr>
                <w:rFonts w:ascii="Arial" w:hAnsi="Arial" w:cs="Arial"/>
                <w:sz w:val="20"/>
                <w:szCs w:val="20"/>
              </w:rPr>
              <w:t>Upravni odjel za proračun i financije</w:t>
            </w:r>
          </w:p>
        </w:tc>
        <w:tc>
          <w:tcPr>
            <w:tcW w:w="1134" w:type="dxa"/>
          </w:tcPr>
          <w:p w14:paraId="61395D16" w14:textId="2F6CDEBD" w:rsidR="00216304" w:rsidRPr="001F6B25" w:rsidRDefault="009501D7" w:rsidP="008E25F6">
            <w:pPr>
              <w:jc w:val="right"/>
              <w:rPr>
                <w:rFonts w:ascii="Arial" w:hAnsi="Arial" w:cs="Arial"/>
                <w:sz w:val="20"/>
                <w:szCs w:val="20"/>
              </w:rPr>
            </w:pPr>
            <w:r>
              <w:rPr>
                <w:rFonts w:ascii="Arial" w:hAnsi="Arial" w:cs="Arial"/>
                <w:sz w:val="20"/>
                <w:szCs w:val="20"/>
              </w:rPr>
              <w:t>117</w:t>
            </w:r>
          </w:p>
        </w:tc>
      </w:tr>
      <w:tr w:rsidR="00216304" w:rsidRPr="001F6B25" w14:paraId="300635AF" w14:textId="77777777" w:rsidTr="001F6B25">
        <w:tc>
          <w:tcPr>
            <w:tcW w:w="717" w:type="dxa"/>
          </w:tcPr>
          <w:p w14:paraId="68D2716B" w14:textId="46135EBA" w:rsidR="00216304" w:rsidRPr="001F6B25" w:rsidRDefault="00865E95" w:rsidP="008A06B4">
            <w:pPr>
              <w:jc w:val="right"/>
              <w:rPr>
                <w:rFonts w:ascii="Arial" w:hAnsi="Arial" w:cs="Arial"/>
                <w:sz w:val="20"/>
                <w:szCs w:val="20"/>
              </w:rPr>
            </w:pPr>
            <w:r w:rsidRPr="001F6B25">
              <w:rPr>
                <w:rFonts w:ascii="Arial" w:hAnsi="Arial" w:cs="Arial"/>
                <w:sz w:val="20"/>
                <w:szCs w:val="20"/>
              </w:rPr>
              <w:t>3</w:t>
            </w:r>
            <w:r w:rsidR="00216304" w:rsidRPr="001F6B25">
              <w:rPr>
                <w:rFonts w:ascii="Arial" w:hAnsi="Arial" w:cs="Arial"/>
                <w:sz w:val="20"/>
                <w:szCs w:val="20"/>
              </w:rPr>
              <w:t>.2.3.</w:t>
            </w:r>
          </w:p>
        </w:tc>
        <w:tc>
          <w:tcPr>
            <w:tcW w:w="7358" w:type="dxa"/>
          </w:tcPr>
          <w:p w14:paraId="6C55FA0C" w14:textId="2C0A445A" w:rsidR="00216304" w:rsidRPr="001F6B25" w:rsidRDefault="00216304">
            <w:pPr>
              <w:rPr>
                <w:rFonts w:ascii="Arial" w:hAnsi="Arial" w:cs="Arial"/>
                <w:sz w:val="20"/>
                <w:szCs w:val="20"/>
              </w:rPr>
            </w:pPr>
            <w:r w:rsidRPr="001F6B25">
              <w:rPr>
                <w:rFonts w:ascii="Arial" w:hAnsi="Arial" w:cs="Arial"/>
                <w:sz w:val="20"/>
                <w:szCs w:val="20"/>
              </w:rPr>
              <w:t>Upravni odjel za prostorno uređenje, zaštitu okoliša i izdavanje akata za gradn</w:t>
            </w:r>
            <w:r w:rsidRPr="001F6B25">
              <w:rPr>
                <w:rFonts w:ascii="Arial" w:hAnsi="Arial" w:cs="Arial"/>
                <w:webHidden/>
                <w:sz w:val="20"/>
                <w:szCs w:val="20"/>
              </w:rPr>
              <w:t>ju</w:t>
            </w:r>
          </w:p>
        </w:tc>
        <w:tc>
          <w:tcPr>
            <w:tcW w:w="1134" w:type="dxa"/>
          </w:tcPr>
          <w:p w14:paraId="396698F1" w14:textId="009B3E85" w:rsidR="00216304" w:rsidRPr="001F6B25" w:rsidRDefault="009501D7" w:rsidP="008E25F6">
            <w:pPr>
              <w:jc w:val="right"/>
              <w:rPr>
                <w:rFonts w:ascii="Arial" w:hAnsi="Arial" w:cs="Arial"/>
                <w:sz w:val="20"/>
                <w:szCs w:val="20"/>
              </w:rPr>
            </w:pPr>
            <w:r>
              <w:rPr>
                <w:rFonts w:ascii="Arial" w:hAnsi="Arial" w:cs="Arial"/>
                <w:sz w:val="20"/>
                <w:szCs w:val="20"/>
              </w:rPr>
              <w:t>119</w:t>
            </w:r>
          </w:p>
        </w:tc>
      </w:tr>
      <w:tr w:rsidR="00216304" w:rsidRPr="001F6B25" w14:paraId="10DA6164" w14:textId="77777777" w:rsidTr="001F6B25">
        <w:tc>
          <w:tcPr>
            <w:tcW w:w="717" w:type="dxa"/>
          </w:tcPr>
          <w:p w14:paraId="7DBBC634" w14:textId="795D00C7" w:rsidR="00216304" w:rsidRPr="001F6B25" w:rsidRDefault="00865E95" w:rsidP="00865E95">
            <w:pPr>
              <w:jc w:val="center"/>
              <w:rPr>
                <w:rFonts w:ascii="Arial" w:hAnsi="Arial" w:cs="Arial"/>
                <w:sz w:val="20"/>
                <w:szCs w:val="20"/>
              </w:rPr>
            </w:pPr>
            <w:r w:rsidRPr="001F6B25">
              <w:rPr>
                <w:rFonts w:ascii="Arial" w:hAnsi="Arial" w:cs="Arial"/>
                <w:sz w:val="20"/>
                <w:szCs w:val="20"/>
              </w:rPr>
              <w:t>3</w:t>
            </w:r>
            <w:r w:rsidR="00216304" w:rsidRPr="001F6B25">
              <w:rPr>
                <w:rFonts w:ascii="Arial" w:hAnsi="Arial" w:cs="Arial"/>
                <w:sz w:val="20"/>
                <w:szCs w:val="20"/>
              </w:rPr>
              <w:t>.2.4.</w:t>
            </w:r>
          </w:p>
        </w:tc>
        <w:tc>
          <w:tcPr>
            <w:tcW w:w="7358" w:type="dxa"/>
          </w:tcPr>
          <w:p w14:paraId="27AFA29E" w14:textId="764AF8B3" w:rsidR="00216304" w:rsidRPr="001F6B25" w:rsidRDefault="00216304">
            <w:pPr>
              <w:rPr>
                <w:rFonts w:ascii="Arial" w:hAnsi="Arial" w:cs="Arial"/>
                <w:sz w:val="20"/>
                <w:szCs w:val="20"/>
              </w:rPr>
            </w:pPr>
            <w:r w:rsidRPr="001F6B25">
              <w:rPr>
                <w:rFonts w:ascii="Arial" w:hAnsi="Arial" w:cs="Arial"/>
                <w:sz w:val="20"/>
                <w:szCs w:val="20"/>
              </w:rPr>
              <w:t>Upravni odjel za komunalno gospodarstvo i upravljanje imovinom</w:t>
            </w:r>
          </w:p>
        </w:tc>
        <w:tc>
          <w:tcPr>
            <w:tcW w:w="1134" w:type="dxa"/>
          </w:tcPr>
          <w:p w14:paraId="17FE4644" w14:textId="2B285077" w:rsidR="00216304" w:rsidRPr="001F6B25" w:rsidRDefault="009501D7" w:rsidP="008E25F6">
            <w:pPr>
              <w:jc w:val="right"/>
              <w:rPr>
                <w:rFonts w:ascii="Arial" w:hAnsi="Arial" w:cs="Arial"/>
                <w:sz w:val="20"/>
                <w:szCs w:val="20"/>
              </w:rPr>
            </w:pPr>
            <w:r>
              <w:rPr>
                <w:rFonts w:ascii="Arial" w:hAnsi="Arial" w:cs="Arial"/>
                <w:sz w:val="20"/>
                <w:szCs w:val="20"/>
              </w:rPr>
              <w:t>127</w:t>
            </w:r>
          </w:p>
        </w:tc>
      </w:tr>
      <w:tr w:rsidR="00216304" w:rsidRPr="001F6B25" w14:paraId="754FEBEE" w14:textId="77777777" w:rsidTr="001F6B25">
        <w:tc>
          <w:tcPr>
            <w:tcW w:w="717" w:type="dxa"/>
          </w:tcPr>
          <w:p w14:paraId="7CE6749B" w14:textId="45FC399C" w:rsidR="00216304" w:rsidRPr="001F6B25" w:rsidRDefault="00865E95" w:rsidP="008A06B4">
            <w:pPr>
              <w:jc w:val="right"/>
              <w:rPr>
                <w:rFonts w:ascii="Arial" w:hAnsi="Arial" w:cs="Arial"/>
                <w:sz w:val="20"/>
                <w:szCs w:val="20"/>
              </w:rPr>
            </w:pPr>
            <w:r w:rsidRPr="001F6B25">
              <w:rPr>
                <w:rFonts w:ascii="Arial" w:hAnsi="Arial" w:cs="Arial"/>
                <w:sz w:val="20"/>
                <w:szCs w:val="20"/>
              </w:rPr>
              <w:t>3</w:t>
            </w:r>
            <w:r w:rsidR="00216304" w:rsidRPr="001F6B25">
              <w:rPr>
                <w:rFonts w:ascii="Arial" w:hAnsi="Arial" w:cs="Arial"/>
                <w:sz w:val="20"/>
                <w:szCs w:val="20"/>
              </w:rPr>
              <w:t>.2.5.</w:t>
            </w:r>
          </w:p>
        </w:tc>
        <w:tc>
          <w:tcPr>
            <w:tcW w:w="7358" w:type="dxa"/>
          </w:tcPr>
          <w:p w14:paraId="30145DB0" w14:textId="133C80AB" w:rsidR="00216304" w:rsidRPr="001F6B25" w:rsidRDefault="00216304">
            <w:pPr>
              <w:rPr>
                <w:rFonts w:ascii="Arial" w:hAnsi="Arial" w:cs="Arial"/>
                <w:sz w:val="20"/>
                <w:szCs w:val="20"/>
              </w:rPr>
            </w:pPr>
            <w:r w:rsidRPr="001F6B25">
              <w:rPr>
                <w:rFonts w:ascii="Arial" w:hAnsi="Arial" w:cs="Arial"/>
                <w:sz w:val="20"/>
                <w:szCs w:val="20"/>
              </w:rPr>
              <w:t>Upravni odjel za društvene djelatnosti</w:t>
            </w:r>
          </w:p>
        </w:tc>
        <w:tc>
          <w:tcPr>
            <w:tcW w:w="1134" w:type="dxa"/>
          </w:tcPr>
          <w:p w14:paraId="185AFAB0" w14:textId="75A6BA52" w:rsidR="00216304" w:rsidRPr="001F6B25" w:rsidRDefault="009501D7" w:rsidP="008E25F6">
            <w:pPr>
              <w:jc w:val="right"/>
              <w:rPr>
                <w:rFonts w:ascii="Arial" w:hAnsi="Arial" w:cs="Arial"/>
                <w:sz w:val="20"/>
                <w:szCs w:val="20"/>
              </w:rPr>
            </w:pPr>
            <w:r>
              <w:rPr>
                <w:rFonts w:ascii="Arial" w:hAnsi="Arial" w:cs="Arial"/>
                <w:sz w:val="20"/>
                <w:szCs w:val="20"/>
              </w:rPr>
              <w:t>131</w:t>
            </w:r>
          </w:p>
        </w:tc>
      </w:tr>
      <w:tr w:rsidR="00216304" w:rsidRPr="001F6B25" w14:paraId="11221325" w14:textId="77777777" w:rsidTr="001F6B25">
        <w:tc>
          <w:tcPr>
            <w:tcW w:w="717" w:type="dxa"/>
          </w:tcPr>
          <w:p w14:paraId="38EC26CC" w14:textId="094537C8" w:rsidR="00216304" w:rsidRPr="001F6B25" w:rsidRDefault="00865E95" w:rsidP="008A06B4">
            <w:pPr>
              <w:jc w:val="right"/>
              <w:rPr>
                <w:rFonts w:ascii="Arial" w:hAnsi="Arial" w:cs="Arial"/>
                <w:sz w:val="20"/>
                <w:szCs w:val="20"/>
              </w:rPr>
            </w:pPr>
            <w:r w:rsidRPr="001F6B25">
              <w:rPr>
                <w:rFonts w:ascii="Arial" w:hAnsi="Arial" w:cs="Arial"/>
                <w:sz w:val="20"/>
                <w:szCs w:val="20"/>
              </w:rPr>
              <w:t>3</w:t>
            </w:r>
            <w:r w:rsidR="00216304" w:rsidRPr="001F6B25">
              <w:rPr>
                <w:rFonts w:ascii="Arial" w:hAnsi="Arial" w:cs="Arial"/>
                <w:sz w:val="20"/>
                <w:szCs w:val="20"/>
              </w:rPr>
              <w:t>.2.6.</w:t>
            </w:r>
          </w:p>
        </w:tc>
        <w:tc>
          <w:tcPr>
            <w:tcW w:w="7358" w:type="dxa"/>
          </w:tcPr>
          <w:p w14:paraId="5699287D" w14:textId="2F0117EC" w:rsidR="00216304" w:rsidRPr="001F6B25" w:rsidRDefault="00216304">
            <w:pPr>
              <w:rPr>
                <w:rFonts w:ascii="Arial" w:hAnsi="Arial" w:cs="Arial"/>
                <w:sz w:val="22"/>
              </w:rPr>
            </w:pPr>
            <w:r w:rsidRPr="001F6B25">
              <w:rPr>
                <w:rFonts w:ascii="Arial" w:hAnsi="Arial" w:cs="Arial"/>
                <w:sz w:val="22"/>
              </w:rPr>
              <w:t>Upravni odjel za gospodarstvo i EU projekte</w:t>
            </w:r>
          </w:p>
        </w:tc>
        <w:tc>
          <w:tcPr>
            <w:tcW w:w="1134" w:type="dxa"/>
          </w:tcPr>
          <w:p w14:paraId="4CB32F15" w14:textId="5A0E3FC5" w:rsidR="00216304" w:rsidRPr="001F6B25" w:rsidRDefault="009501D7" w:rsidP="008E25F6">
            <w:pPr>
              <w:jc w:val="right"/>
              <w:rPr>
                <w:rFonts w:ascii="Arial" w:hAnsi="Arial" w:cs="Arial"/>
                <w:sz w:val="20"/>
                <w:szCs w:val="20"/>
              </w:rPr>
            </w:pPr>
            <w:r>
              <w:rPr>
                <w:rFonts w:ascii="Arial" w:hAnsi="Arial" w:cs="Arial"/>
                <w:sz w:val="20"/>
                <w:szCs w:val="20"/>
              </w:rPr>
              <w:t>204</w:t>
            </w:r>
          </w:p>
        </w:tc>
      </w:tr>
    </w:tbl>
    <w:p w14:paraId="30C3B72D" w14:textId="77777777" w:rsidR="002A689D" w:rsidRPr="001F6B25" w:rsidRDefault="002A689D">
      <w:pPr>
        <w:rPr>
          <w:rFonts w:ascii="Arial" w:hAnsi="Arial" w:cs="Arial"/>
        </w:rPr>
      </w:pPr>
    </w:p>
    <w:p w14:paraId="269137C3" w14:textId="77777777" w:rsidR="002A689D" w:rsidRDefault="002A689D"/>
    <w:p w14:paraId="124977AC" w14:textId="77777777" w:rsidR="00DF05E9" w:rsidRDefault="00DF05E9"/>
    <w:p w14:paraId="0F3B0F17" w14:textId="77777777" w:rsidR="00DF05E9" w:rsidRDefault="00DF05E9"/>
    <w:p w14:paraId="15A3B8EF" w14:textId="77777777" w:rsidR="00DF05E9" w:rsidRDefault="00DF05E9"/>
    <w:p w14:paraId="29109A55" w14:textId="7CFD699F" w:rsidR="00C44969" w:rsidRDefault="00C44969"/>
    <w:p w14:paraId="07A877D3" w14:textId="77777777" w:rsidR="00216304" w:rsidRDefault="00216304"/>
    <w:p w14:paraId="3A0221F7" w14:textId="77777777" w:rsidR="00216304" w:rsidRDefault="00216304"/>
    <w:p w14:paraId="1C98ECEF" w14:textId="77777777" w:rsidR="00216304" w:rsidRDefault="00216304"/>
    <w:p w14:paraId="1FE80144" w14:textId="77777777" w:rsidR="00216304" w:rsidRDefault="00216304"/>
    <w:p w14:paraId="6D8F8E77" w14:textId="77777777" w:rsidR="00216304" w:rsidRDefault="00216304"/>
    <w:p w14:paraId="7BF15946" w14:textId="77777777" w:rsidR="00216304" w:rsidRDefault="00216304"/>
    <w:p w14:paraId="574F6D13" w14:textId="77777777" w:rsidR="00216304" w:rsidRDefault="00216304"/>
    <w:p w14:paraId="4A7FEE47" w14:textId="77777777" w:rsidR="00216304" w:rsidRDefault="00216304"/>
    <w:p w14:paraId="739F914B" w14:textId="77777777" w:rsidR="00216304" w:rsidRDefault="00216304"/>
    <w:p w14:paraId="20C9E230" w14:textId="77777777" w:rsidR="00C44969" w:rsidRDefault="00C44969"/>
    <w:p w14:paraId="64225512" w14:textId="77777777" w:rsidR="00DC3A08" w:rsidRDefault="00DC3A08"/>
    <w:p w14:paraId="524D0425" w14:textId="77777777" w:rsidR="00216304" w:rsidRDefault="00216304" w:rsidP="00E01D8D">
      <w:pPr>
        <w:pStyle w:val="Naslov1"/>
        <w:ind w:left="720"/>
        <w:jc w:val="center"/>
        <w:rPr>
          <w:rFonts w:ascii="Arial" w:hAnsi="Arial" w:cs="Arial"/>
          <w:b/>
          <w:color w:val="000000" w:themeColor="text1"/>
          <w:sz w:val="24"/>
          <w:szCs w:val="24"/>
        </w:rPr>
      </w:pPr>
      <w:bookmarkStart w:id="0" w:name="_Toc116629380"/>
    </w:p>
    <w:p w14:paraId="6721721C" w14:textId="77777777" w:rsidR="009C3597" w:rsidRDefault="009C3597" w:rsidP="009C3597"/>
    <w:p w14:paraId="18451D83" w14:textId="77777777" w:rsidR="00BB73FB" w:rsidRDefault="00BB73FB" w:rsidP="009C3597"/>
    <w:p w14:paraId="7E9F6FBA" w14:textId="77777777" w:rsidR="00BB73FB" w:rsidRPr="009C3597" w:rsidRDefault="00BB73FB" w:rsidP="009C3597"/>
    <w:p w14:paraId="208FA395" w14:textId="77777777" w:rsidR="00216304" w:rsidRDefault="00216304" w:rsidP="00E01D8D">
      <w:pPr>
        <w:pStyle w:val="Naslov1"/>
        <w:ind w:left="720"/>
        <w:jc w:val="center"/>
        <w:rPr>
          <w:rFonts w:ascii="Arial" w:hAnsi="Arial" w:cs="Arial"/>
          <w:b/>
          <w:color w:val="000000" w:themeColor="text1"/>
          <w:sz w:val="24"/>
          <w:szCs w:val="24"/>
        </w:rPr>
      </w:pPr>
    </w:p>
    <w:p w14:paraId="66472C79" w14:textId="77777777" w:rsidR="00216304" w:rsidRDefault="00216304" w:rsidP="00E01D8D">
      <w:pPr>
        <w:pStyle w:val="Naslov1"/>
        <w:ind w:left="720"/>
        <w:jc w:val="center"/>
        <w:rPr>
          <w:rFonts w:ascii="Arial" w:hAnsi="Arial" w:cs="Arial"/>
          <w:b/>
          <w:color w:val="000000" w:themeColor="text1"/>
          <w:sz w:val="24"/>
          <w:szCs w:val="24"/>
        </w:rPr>
      </w:pPr>
    </w:p>
    <w:p w14:paraId="40DA676E" w14:textId="77777777" w:rsidR="00216304" w:rsidRDefault="00216304" w:rsidP="00E01D8D">
      <w:pPr>
        <w:pStyle w:val="Naslov1"/>
        <w:ind w:left="720"/>
        <w:jc w:val="center"/>
        <w:rPr>
          <w:rFonts w:ascii="Arial" w:hAnsi="Arial" w:cs="Arial"/>
          <w:b/>
          <w:color w:val="000000" w:themeColor="text1"/>
          <w:sz w:val="24"/>
          <w:szCs w:val="24"/>
        </w:rPr>
      </w:pPr>
    </w:p>
    <w:p w14:paraId="348ADC4A" w14:textId="77777777" w:rsidR="002D1277" w:rsidRDefault="002D1277" w:rsidP="002D1277"/>
    <w:p w14:paraId="69BC9913" w14:textId="77777777" w:rsidR="002D1277" w:rsidRDefault="002D1277" w:rsidP="002D1277"/>
    <w:p w14:paraId="3200BFC4" w14:textId="77777777" w:rsidR="002D1277" w:rsidRDefault="002D1277" w:rsidP="002D1277"/>
    <w:p w14:paraId="0F90CDDF" w14:textId="77777777" w:rsidR="002D1277" w:rsidRDefault="002D1277" w:rsidP="002D1277"/>
    <w:p w14:paraId="670AE052" w14:textId="77777777" w:rsidR="002D1277" w:rsidRPr="002D1277" w:rsidRDefault="002D1277" w:rsidP="002D1277"/>
    <w:p w14:paraId="79811BA5" w14:textId="77777777" w:rsidR="00BB73FB" w:rsidRPr="00BB73FB" w:rsidRDefault="00BB73FB" w:rsidP="00BB73FB"/>
    <w:p w14:paraId="5208895E" w14:textId="77777777" w:rsidR="00216304" w:rsidRDefault="00216304" w:rsidP="00E01D8D">
      <w:pPr>
        <w:pStyle w:val="Naslov1"/>
        <w:ind w:left="720"/>
        <w:jc w:val="center"/>
        <w:rPr>
          <w:rFonts w:ascii="Arial" w:hAnsi="Arial" w:cs="Arial"/>
          <w:b/>
          <w:color w:val="000000" w:themeColor="text1"/>
          <w:sz w:val="24"/>
          <w:szCs w:val="24"/>
        </w:rPr>
      </w:pPr>
    </w:p>
    <w:p w14:paraId="48059A86" w14:textId="77777777" w:rsidR="002D1277" w:rsidRDefault="002D1277" w:rsidP="002D1277"/>
    <w:p w14:paraId="6FD650BA" w14:textId="77777777" w:rsidR="002D1277" w:rsidRDefault="002D1277" w:rsidP="002D1277"/>
    <w:p w14:paraId="3E7E7E33" w14:textId="77777777" w:rsidR="002D1277" w:rsidRDefault="002D1277" w:rsidP="002D1277"/>
    <w:p w14:paraId="727DBCFB" w14:textId="77777777" w:rsidR="002D1277" w:rsidRPr="002D1277" w:rsidRDefault="002D1277" w:rsidP="002D1277"/>
    <w:p w14:paraId="624808D2" w14:textId="77777777" w:rsidR="00216304" w:rsidRDefault="00216304" w:rsidP="00E01D8D">
      <w:pPr>
        <w:pStyle w:val="Naslov1"/>
        <w:ind w:left="720"/>
        <w:jc w:val="center"/>
        <w:rPr>
          <w:rFonts w:ascii="Arial" w:hAnsi="Arial" w:cs="Arial"/>
          <w:b/>
          <w:color w:val="000000" w:themeColor="text1"/>
          <w:sz w:val="24"/>
          <w:szCs w:val="24"/>
        </w:rPr>
      </w:pPr>
    </w:p>
    <w:p w14:paraId="5F46903A" w14:textId="77777777" w:rsidR="00216304" w:rsidRDefault="00216304" w:rsidP="00E01D8D">
      <w:pPr>
        <w:pStyle w:val="Naslov1"/>
        <w:ind w:left="720"/>
        <w:jc w:val="center"/>
        <w:rPr>
          <w:rFonts w:ascii="Arial" w:hAnsi="Arial" w:cs="Arial"/>
          <w:b/>
          <w:color w:val="000000" w:themeColor="text1"/>
          <w:sz w:val="24"/>
          <w:szCs w:val="24"/>
        </w:rPr>
      </w:pPr>
    </w:p>
    <w:p w14:paraId="142676AC" w14:textId="091B6C0D" w:rsidR="00247391" w:rsidRPr="000E7111" w:rsidRDefault="009D12C6" w:rsidP="00E01D8D">
      <w:pPr>
        <w:pStyle w:val="Naslov1"/>
        <w:ind w:left="720"/>
        <w:jc w:val="center"/>
        <w:rPr>
          <w:rFonts w:ascii="Arial" w:hAnsi="Arial" w:cs="Arial"/>
          <w:b/>
          <w:color w:val="000000" w:themeColor="text1"/>
          <w:sz w:val="24"/>
          <w:szCs w:val="24"/>
        </w:rPr>
      </w:pPr>
      <w:r>
        <w:rPr>
          <w:rFonts w:ascii="Arial" w:hAnsi="Arial" w:cs="Arial"/>
          <w:b/>
          <w:color w:val="000000" w:themeColor="text1"/>
          <w:sz w:val="24"/>
          <w:szCs w:val="24"/>
        </w:rPr>
        <w:t xml:space="preserve"> </w:t>
      </w:r>
      <w:r w:rsidR="00763B38">
        <w:rPr>
          <w:rFonts w:ascii="Arial" w:hAnsi="Arial" w:cs="Arial"/>
          <w:b/>
          <w:color w:val="000000" w:themeColor="text1"/>
          <w:sz w:val="24"/>
          <w:szCs w:val="24"/>
        </w:rPr>
        <w:t xml:space="preserve">Prve izmjene i dopune </w:t>
      </w:r>
      <w:r w:rsidR="00247391" w:rsidRPr="000E7111">
        <w:rPr>
          <w:rFonts w:ascii="Arial" w:hAnsi="Arial" w:cs="Arial"/>
          <w:b/>
          <w:color w:val="000000" w:themeColor="text1"/>
          <w:sz w:val="24"/>
          <w:szCs w:val="24"/>
        </w:rPr>
        <w:t>Proračun</w:t>
      </w:r>
      <w:r>
        <w:rPr>
          <w:rFonts w:ascii="Arial" w:hAnsi="Arial" w:cs="Arial"/>
          <w:b/>
          <w:color w:val="000000" w:themeColor="text1"/>
          <w:sz w:val="24"/>
          <w:szCs w:val="24"/>
        </w:rPr>
        <w:t>a</w:t>
      </w:r>
      <w:r w:rsidR="00247391" w:rsidRPr="000E7111">
        <w:rPr>
          <w:rFonts w:ascii="Arial" w:hAnsi="Arial" w:cs="Arial"/>
          <w:b/>
          <w:color w:val="000000" w:themeColor="text1"/>
          <w:sz w:val="24"/>
          <w:szCs w:val="24"/>
        </w:rPr>
        <w:t xml:space="preserve"> Grada Labina za 2</w:t>
      </w:r>
      <w:r w:rsidR="005F6FFD">
        <w:rPr>
          <w:rFonts w:ascii="Arial" w:hAnsi="Arial" w:cs="Arial"/>
          <w:b/>
          <w:color w:val="000000" w:themeColor="text1"/>
          <w:sz w:val="24"/>
          <w:szCs w:val="24"/>
        </w:rPr>
        <w:t>02</w:t>
      </w:r>
      <w:r w:rsidR="00950446">
        <w:rPr>
          <w:rFonts w:ascii="Arial" w:hAnsi="Arial" w:cs="Arial"/>
          <w:b/>
          <w:color w:val="000000" w:themeColor="text1"/>
          <w:sz w:val="24"/>
          <w:szCs w:val="24"/>
        </w:rPr>
        <w:t>5</w:t>
      </w:r>
      <w:r>
        <w:rPr>
          <w:rFonts w:ascii="Arial" w:hAnsi="Arial" w:cs="Arial"/>
          <w:b/>
          <w:color w:val="000000" w:themeColor="text1"/>
          <w:sz w:val="24"/>
          <w:szCs w:val="24"/>
        </w:rPr>
        <w:t>. godinu i projekcije za 202</w:t>
      </w:r>
      <w:r w:rsidR="00950446">
        <w:rPr>
          <w:rFonts w:ascii="Arial" w:hAnsi="Arial" w:cs="Arial"/>
          <w:b/>
          <w:color w:val="000000" w:themeColor="text1"/>
          <w:sz w:val="24"/>
          <w:szCs w:val="24"/>
        </w:rPr>
        <w:t>6</w:t>
      </w:r>
      <w:r w:rsidR="005F6FFD">
        <w:rPr>
          <w:rFonts w:ascii="Arial" w:hAnsi="Arial" w:cs="Arial"/>
          <w:b/>
          <w:color w:val="000000" w:themeColor="text1"/>
          <w:sz w:val="24"/>
          <w:szCs w:val="24"/>
        </w:rPr>
        <w:t>. i 202</w:t>
      </w:r>
      <w:r w:rsidR="00950446">
        <w:rPr>
          <w:rFonts w:ascii="Arial" w:hAnsi="Arial" w:cs="Arial"/>
          <w:b/>
          <w:color w:val="000000" w:themeColor="text1"/>
          <w:sz w:val="24"/>
          <w:szCs w:val="24"/>
        </w:rPr>
        <w:t>7</w:t>
      </w:r>
      <w:r w:rsidR="00247391" w:rsidRPr="000E7111">
        <w:rPr>
          <w:rFonts w:ascii="Arial" w:hAnsi="Arial" w:cs="Arial"/>
          <w:b/>
          <w:color w:val="000000" w:themeColor="text1"/>
          <w:sz w:val="24"/>
          <w:szCs w:val="24"/>
        </w:rPr>
        <w:t>. godinu</w:t>
      </w:r>
      <w:bookmarkEnd w:id="0"/>
    </w:p>
    <w:p w14:paraId="22A363E0" w14:textId="77777777" w:rsidR="00247391" w:rsidRDefault="00247391" w:rsidP="00E01D8D">
      <w:pPr>
        <w:jc w:val="center"/>
        <w:rPr>
          <w:rFonts w:ascii="Arial" w:hAnsi="Arial" w:cs="Arial"/>
        </w:rPr>
      </w:pPr>
    </w:p>
    <w:p w14:paraId="713B5579" w14:textId="77777777" w:rsidR="00DC3A08" w:rsidRDefault="00DC3A08" w:rsidP="00247391">
      <w:pPr>
        <w:rPr>
          <w:rFonts w:ascii="Arial" w:hAnsi="Arial" w:cs="Arial"/>
        </w:rPr>
      </w:pPr>
    </w:p>
    <w:p w14:paraId="0C4AFFA4" w14:textId="77777777" w:rsidR="00DC3A08" w:rsidRDefault="00DC3A08" w:rsidP="00247391">
      <w:pPr>
        <w:rPr>
          <w:rFonts w:ascii="Arial" w:hAnsi="Arial" w:cs="Arial"/>
        </w:rPr>
      </w:pPr>
    </w:p>
    <w:p w14:paraId="343DF3A5" w14:textId="77777777" w:rsidR="00DC3A08" w:rsidRDefault="00DC3A08" w:rsidP="00247391">
      <w:pPr>
        <w:rPr>
          <w:rFonts w:ascii="Arial" w:hAnsi="Arial" w:cs="Arial"/>
        </w:rPr>
      </w:pPr>
    </w:p>
    <w:p w14:paraId="47B8DC34" w14:textId="77777777" w:rsidR="00DC3A08" w:rsidRDefault="00DC3A08" w:rsidP="00247391">
      <w:pPr>
        <w:rPr>
          <w:rFonts w:ascii="Arial" w:hAnsi="Arial" w:cs="Arial"/>
        </w:rPr>
      </w:pPr>
    </w:p>
    <w:p w14:paraId="19E499E0" w14:textId="77777777" w:rsidR="00DC3A08" w:rsidRDefault="00DC3A08" w:rsidP="00247391">
      <w:pPr>
        <w:rPr>
          <w:rFonts w:ascii="Arial" w:hAnsi="Arial" w:cs="Arial"/>
        </w:rPr>
      </w:pPr>
    </w:p>
    <w:p w14:paraId="71EFD7D3" w14:textId="77777777" w:rsidR="00DC3A08" w:rsidRDefault="00DC3A08" w:rsidP="00247391">
      <w:pPr>
        <w:rPr>
          <w:rFonts w:ascii="Arial" w:hAnsi="Arial" w:cs="Arial"/>
        </w:rPr>
      </w:pPr>
    </w:p>
    <w:p w14:paraId="1937B55D" w14:textId="77777777" w:rsidR="00DC3A08" w:rsidRDefault="00DC3A08" w:rsidP="00247391">
      <w:pPr>
        <w:rPr>
          <w:rFonts w:ascii="Arial" w:hAnsi="Arial" w:cs="Arial"/>
        </w:rPr>
      </w:pPr>
    </w:p>
    <w:p w14:paraId="09356012" w14:textId="77777777" w:rsidR="004E1DC2" w:rsidRDefault="004E1DC2" w:rsidP="00247391">
      <w:pPr>
        <w:rPr>
          <w:rFonts w:ascii="Arial" w:hAnsi="Arial" w:cs="Arial"/>
        </w:rPr>
      </w:pPr>
    </w:p>
    <w:p w14:paraId="4081A535" w14:textId="77777777" w:rsidR="002D1277" w:rsidRDefault="002D1277" w:rsidP="00247391">
      <w:pPr>
        <w:rPr>
          <w:rFonts w:ascii="Arial" w:hAnsi="Arial" w:cs="Arial"/>
        </w:rPr>
      </w:pPr>
    </w:p>
    <w:p w14:paraId="0013AE1E" w14:textId="77777777" w:rsidR="002D1277" w:rsidRDefault="002D1277" w:rsidP="00247391">
      <w:pPr>
        <w:rPr>
          <w:rFonts w:ascii="Arial" w:hAnsi="Arial" w:cs="Arial"/>
        </w:rPr>
      </w:pPr>
    </w:p>
    <w:p w14:paraId="6756B50C" w14:textId="77777777" w:rsidR="002D1277" w:rsidRDefault="002D1277" w:rsidP="00247391">
      <w:pPr>
        <w:rPr>
          <w:rFonts w:ascii="Arial" w:hAnsi="Arial" w:cs="Arial"/>
        </w:rPr>
      </w:pPr>
    </w:p>
    <w:p w14:paraId="4E6751A6" w14:textId="77777777" w:rsidR="002D1277" w:rsidRDefault="002D1277" w:rsidP="00247391">
      <w:pPr>
        <w:rPr>
          <w:rFonts w:ascii="Arial" w:hAnsi="Arial" w:cs="Arial"/>
        </w:rPr>
      </w:pPr>
    </w:p>
    <w:p w14:paraId="547FBCEF" w14:textId="77777777" w:rsidR="002D1277" w:rsidRDefault="002D1277" w:rsidP="00247391">
      <w:pPr>
        <w:rPr>
          <w:rFonts w:ascii="Arial" w:hAnsi="Arial" w:cs="Arial"/>
        </w:rPr>
      </w:pPr>
    </w:p>
    <w:p w14:paraId="20CA568D" w14:textId="77777777" w:rsidR="002D1277" w:rsidRDefault="002D1277" w:rsidP="00247391">
      <w:pPr>
        <w:rPr>
          <w:rFonts w:ascii="Arial" w:hAnsi="Arial" w:cs="Arial"/>
        </w:rPr>
      </w:pPr>
    </w:p>
    <w:p w14:paraId="5FB33741" w14:textId="77777777" w:rsidR="004E1DC2" w:rsidRDefault="004E1DC2" w:rsidP="00247391">
      <w:pPr>
        <w:rPr>
          <w:rFonts w:ascii="Arial" w:hAnsi="Arial" w:cs="Arial"/>
        </w:rPr>
      </w:pPr>
    </w:p>
    <w:p w14:paraId="6627B3D4" w14:textId="77777777" w:rsidR="00665719" w:rsidRDefault="00665719" w:rsidP="00247391">
      <w:pPr>
        <w:rPr>
          <w:rFonts w:ascii="Arial" w:hAnsi="Arial" w:cs="Arial"/>
        </w:rPr>
      </w:pPr>
    </w:p>
    <w:p w14:paraId="795B9299" w14:textId="77777777" w:rsidR="00C52AB5" w:rsidRDefault="00C52AB5" w:rsidP="00247391">
      <w:pPr>
        <w:rPr>
          <w:rFonts w:ascii="Arial" w:hAnsi="Arial" w:cs="Arial"/>
        </w:rPr>
      </w:pPr>
    </w:p>
    <w:p w14:paraId="4913FD8E" w14:textId="77777777" w:rsidR="00C52AB5" w:rsidRDefault="00C52AB5" w:rsidP="00247391">
      <w:pPr>
        <w:rPr>
          <w:rFonts w:ascii="Arial" w:hAnsi="Arial" w:cs="Arial"/>
        </w:rPr>
      </w:pPr>
    </w:p>
    <w:p w14:paraId="1C0E5D4C" w14:textId="77777777" w:rsidR="00665719" w:rsidRDefault="00665719" w:rsidP="00247391">
      <w:pPr>
        <w:rPr>
          <w:rFonts w:ascii="Arial" w:hAnsi="Arial" w:cs="Arial"/>
        </w:rPr>
      </w:pPr>
    </w:p>
    <w:p w14:paraId="78D1B530" w14:textId="77777777" w:rsidR="004B75D4" w:rsidRDefault="004B75D4" w:rsidP="00247391">
      <w:pPr>
        <w:rPr>
          <w:rFonts w:ascii="Arial" w:hAnsi="Arial" w:cs="Arial"/>
        </w:rPr>
      </w:pPr>
    </w:p>
    <w:p w14:paraId="27F892B5" w14:textId="77777777" w:rsidR="004B75D4" w:rsidRDefault="004B75D4" w:rsidP="00247391">
      <w:pPr>
        <w:rPr>
          <w:rFonts w:ascii="Arial" w:hAnsi="Arial" w:cs="Arial"/>
        </w:rPr>
      </w:pPr>
    </w:p>
    <w:p w14:paraId="336A09A9" w14:textId="77777777" w:rsidR="002D1277" w:rsidRDefault="002D1277" w:rsidP="00247391">
      <w:pPr>
        <w:rPr>
          <w:rFonts w:ascii="Arial" w:hAnsi="Arial" w:cs="Arial"/>
        </w:rPr>
      </w:pPr>
    </w:p>
    <w:p w14:paraId="7C2FCB84" w14:textId="77777777" w:rsidR="002D1277" w:rsidRDefault="002D1277" w:rsidP="00247391">
      <w:pPr>
        <w:rPr>
          <w:rFonts w:ascii="Arial" w:hAnsi="Arial" w:cs="Arial"/>
        </w:rPr>
      </w:pPr>
    </w:p>
    <w:p w14:paraId="4754758A" w14:textId="77777777" w:rsidR="002D1277" w:rsidRDefault="002D1277" w:rsidP="00247391">
      <w:pPr>
        <w:rPr>
          <w:rFonts w:ascii="Arial" w:hAnsi="Arial" w:cs="Arial"/>
        </w:rPr>
      </w:pPr>
    </w:p>
    <w:p w14:paraId="37DBC5EE" w14:textId="77777777" w:rsidR="00E713B5" w:rsidRDefault="00E713B5" w:rsidP="00247391">
      <w:pPr>
        <w:rPr>
          <w:rFonts w:ascii="Arial" w:hAnsi="Arial" w:cs="Arial"/>
        </w:rPr>
      </w:pPr>
    </w:p>
    <w:p w14:paraId="1EF301BC" w14:textId="77777777" w:rsidR="00C52AB5" w:rsidRDefault="00C52AB5" w:rsidP="00247391">
      <w:pPr>
        <w:rPr>
          <w:rFonts w:ascii="Arial" w:hAnsi="Arial" w:cs="Arial"/>
        </w:rPr>
      </w:pPr>
    </w:p>
    <w:p w14:paraId="669D8548" w14:textId="282F76CE" w:rsidR="005579B0" w:rsidRPr="005579B0" w:rsidRDefault="005579B0" w:rsidP="005579B0">
      <w:pPr>
        <w:rPr>
          <w:rFonts w:cs="Arial"/>
          <w:b/>
          <w:lang w:val="en-GB"/>
        </w:rPr>
      </w:pPr>
      <w:r w:rsidRPr="005579B0">
        <w:rPr>
          <w:rFonts w:cs="Arial"/>
          <w:noProof/>
        </w:rPr>
        <w:lastRenderedPageBreak/>
        <w:drawing>
          <wp:inline distT="0" distB="0" distL="0" distR="0" wp14:anchorId="6E8AE47B" wp14:editId="616C26F0">
            <wp:extent cx="542925" cy="685800"/>
            <wp:effectExtent l="0" t="0" r="9525" b="0"/>
            <wp:docPr id="2" name="Slika 2" descr="Slika na kojoj se prikazuje tekst, provjer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tekst, provjer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5579B0">
        <w:rPr>
          <w:rFonts w:cs="Arial"/>
          <w:b/>
          <w:lang w:val="en-GB"/>
        </w:rPr>
        <w:tab/>
      </w:r>
      <w:r w:rsidRPr="005579B0">
        <w:rPr>
          <w:rFonts w:cs="Arial"/>
          <w:b/>
          <w:lang w:val="en-GB"/>
        </w:rPr>
        <w:tab/>
      </w:r>
      <w:r w:rsidRPr="005579B0">
        <w:rPr>
          <w:rFonts w:cs="Arial"/>
          <w:b/>
          <w:lang w:val="en-GB"/>
        </w:rPr>
        <w:tab/>
      </w:r>
      <w:r w:rsidRPr="005579B0">
        <w:rPr>
          <w:rFonts w:cs="Arial"/>
          <w:b/>
          <w:lang w:val="en-GB"/>
        </w:rPr>
        <w:tab/>
      </w:r>
      <w:r w:rsidRPr="005579B0">
        <w:rPr>
          <w:rFonts w:cs="Arial"/>
          <w:b/>
          <w:lang w:val="en-GB"/>
        </w:rPr>
        <w:tab/>
      </w:r>
      <w:r w:rsidRPr="005579B0">
        <w:rPr>
          <w:rFonts w:cs="Arial"/>
          <w:b/>
          <w:lang w:val="en-GB"/>
        </w:rPr>
        <w:tab/>
      </w:r>
      <w:r w:rsidRPr="005579B0">
        <w:rPr>
          <w:rFonts w:cs="Arial"/>
          <w:b/>
          <w:lang w:val="en-GB"/>
        </w:rPr>
        <w:tab/>
      </w:r>
      <w:r w:rsidRPr="005579B0">
        <w:rPr>
          <w:rFonts w:cs="Arial"/>
          <w:b/>
          <w:lang w:val="en-GB"/>
        </w:rPr>
        <w:tab/>
      </w:r>
      <w:r w:rsidRPr="005579B0">
        <w:rPr>
          <w:rFonts w:cs="Arial"/>
          <w:b/>
          <w:lang w:val="en-GB"/>
        </w:rPr>
        <w:tab/>
      </w:r>
    </w:p>
    <w:p w14:paraId="440F1032" w14:textId="77777777" w:rsidR="005579B0" w:rsidRPr="005579B0" w:rsidRDefault="005579B0" w:rsidP="005579B0">
      <w:pPr>
        <w:rPr>
          <w:rFonts w:ascii="Arial" w:hAnsi="Arial" w:cs="Arial"/>
          <w:b/>
          <w:sz w:val="22"/>
          <w:lang w:val="en-GB"/>
        </w:rPr>
      </w:pPr>
      <w:r w:rsidRPr="005579B0">
        <w:rPr>
          <w:rFonts w:ascii="Arial" w:hAnsi="Arial" w:cs="Arial"/>
          <w:b/>
          <w:sz w:val="22"/>
          <w:lang w:val="en-GB"/>
        </w:rPr>
        <w:t>REPUBLIKA HRVATSKA</w:t>
      </w:r>
      <w:r w:rsidRPr="005579B0">
        <w:rPr>
          <w:rFonts w:ascii="Arial" w:hAnsi="Arial" w:cs="Arial"/>
          <w:b/>
          <w:sz w:val="22"/>
          <w:lang w:val="en-GB"/>
        </w:rPr>
        <w:tab/>
      </w:r>
      <w:r w:rsidRPr="005579B0">
        <w:rPr>
          <w:rFonts w:ascii="Arial" w:hAnsi="Arial" w:cs="Arial"/>
          <w:b/>
          <w:sz w:val="22"/>
          <w:lang w:val="en-GB"/>
        </w:rPr>
        <w:tab/>
      </w:r>
      <w:r w:rsidRPr="005579B0">
        <w:rPr>
          <w:rFonts w:ascii="Arial" w:hAnsi="Arial" w:cs="Arial"/>
          <w:b/>
          <w:sz w:val="22"/>
          <w:lang w:val="en-GB"/>
        </w:rPr>
        <w:tab/>
      </w:r>
      <w:r w:rsidRPr="005579B0">
        <w:rPr>
          <w:rFonts w:ascii="Arial" w:hAnsi="Arial" w:cs="Arial"/>
          <w:b/>
          <w:sz w:val="22"/>
          <w:lang w:val="en-GB"/>
        </w:rPr>
        <w:tab/>
      </w:r>
      <w:r w:rsidRPr="005579B0">
        <w:rPr>
          <w:rFonts w:ascii="Arial" w:hAnsi="Arial" w:cs="Arial"/>
          <w:b/>
          <w:sz w:val="22"/>
          <w:lang w:val="en-GB"/>
        </w:rPr>
        <w:tab/>
      </w:r>
      <w:r w:rsidRPr="005579B0">
        <w:rPr>
          <w:rFonts w:ascii="Arial" w:hAnsi="Arial" w:cs="Arial"/>
          <w:b/>
          <w:sz w:val="22"/>
          <w:lang w:val="en-GB"/>
        </w:rPr>
        <w:tab/>
      </w:r>
    </w:p>
    <w:p w14:paraId="10ED1D5E" w14:textId="77777777" w:rsidR="005579B0" w:rsidRPr="005579B0" w:rsidRDefault="005579B0" w:rsidP="005579B0">
      <w:pPr>
        <w:rPr>
          <w:rFonts w:ascii="Arial" w:hAnsi="Arial" w:cs="Arial"/>
          <w:b/>
          <w:sz w:val="22"/>
          <w:lang w:val="en-GB"/>
        </w:rPr>
      </w:pPr>
      <w:r w:rsidRPr="005579B0">
        <w:rPr>
          <w:rFonts w:ascii="Arial" w:hAnsi="Arial" w:cs="Arial"/>
          <w:b/>
          <w:sz w:val="22"/>
          <w:lang w:val="en-GB"/>
        </w:rPr>
        <w:t>ISTARSKA ŽUPANIJA</w:t>
      </w:r>
    </w:p>
    <w:p w14:paraId="738C5266" w14:textId="77777777" w:rsidR="005579B0" w:rsidRPr="005579B0" w:rsidRDefault="005579B0" w:rsidP="005579B0">
      <w:pPr>
        <w:rPr>
          <w:rFonts w:ascii="Arial" w:hAnsi="Arial" w:cs="Arial"/>
          <w:b/>
          <w:sz w:val="22"/>
          <w:lang w:val="en-GB"/>
        </w:rPr>
      </w:pPr>
      <w:r w:rsidRPr="005579B0">
        <w:rPr>
          <w:rFonts w:ascii="Arial" w:hAnsi="Arial" w:cs="Arial"/>
          <w:b/>
          <w:sz w:val="22"/>
          <w:lang w:val="en-GB"/>
        </w:rPr>
        <w:t>GRAD LABIN</w:t>
      </w:r>
    </w:p>
    <w:p w14:paraId="6941F62F" w14:textId="77777777" w:rsidR="005579B0" w:rsidRPr="005579B0" w:rsidRDefault="005579B0" w:rsidP="005579B0">
      <w:pPr>
        <w:rPr>
          <w:rFonts w:ascii="Arial" w:hAnsi="Arial" w:cs="Arial"/>
          <w:b/>
          <w:sz w:val="22"/>
          <w:lang w:val="en-GB"/>
        </w:rPr>
      </w:pPr>
      <w:r w:rsidRPr="005579B0">
        <w:rPr>
          <w:rFonts w:ascii="Arial" w:hAnsi="Arial" w:cs="Arial"/>
          <w:b/>
          <w:sz w:val="22"/>
          <w:lang w:val="en-GB"/>
        </w:rPr>
        <w:t xml:space="preserve">Gradsko </w:t>
      </w:r>
      <w:proofErr w:type="spellStart"/>
      <w:r w:rsidRPr="005579B0">
        <w:rPr>
          <w:rFonts w:ascii="Arial" w:hAnsi="Arial" w:cs="Arial"/>
          <w:b/>
          <w:sz w:val="22"/>
          <w:lang w:val="en-GB"/>
        </w:rPr>
        <w:t>vijeće</w:t>
      </w:r>
      <w:proofErr w:type="spellEnd"/>
    </w:p>
    <w:p w14:paraId="228E4EE7" w14:textId="77777777" w:rsidR="005579B0" w:rsidRPr="005579B0" w:rsidRDefault="005579B0" w:rsidP="005579B0">
      <w:pPr>
        <w:rPr>
          <w:rFonts w:ascii="Arial" w:hAnsi="Arial" w:cs="Arial"/>
          <w:sz w:val="22"/>
          <w:lang w:val="en-GB"/>
        </w:rPr>
      </w:pPr>
    </w:p>
    <w:p w14:paraId="4875C7FD" w14:textId="36864A7B" w:rsidR="005579B0" w:rsidRPr="005579B0" w:rsidRDefault="005579B0" w:rsidP="005579B0">
      <w:pPr>
        <w:rPr>
          <w:rFonts w:ascii="Arial" w:hAnsi="Arial" w:cs="Arial"/>
          <w:sz w:val="22"/>
          <w:lang w:val="en-GB"/>
        </w:rPr>
      </w:pPr>
      <w:r w:rsidRPr="005579B0">
        <w:rPr>
          <w:rFonts w:ascii="Arial" w:hAnsi="Arial" w:cs="Arial"/>
          <w:sz w:val="22"/>
          <w:lang w:val="en-GB"/>
        </w:rPr>
        <w:t>KLASA: 02</w:t>
      </w:r>
      <w:r w:rsidR="00566B7E">
        <w:rPr>
          <w:rFonts w:ascii="Arial" w:hAnsi="Arial" w:cs="Arial"/>
          <w:sz w:val="22"/>
          <w:lang w:val="en-GB"/>
        </w:rPr>
        <w:t>4</w:t>
      </w:r>
      <w:r w:rsidRPr="005579B0">
        <w:rPr>
          <w:rFonts w:ascii="Arial" w:hAnsi="Arial" w:cs="Arial"/>
          <w:sz w:val="22"/>
          <w:lang w:val="en-GB"/>
        </w:rPr>
        <w:t>-0</w:t>
      </w:r>
      <w:r w:rsidR="00D76D81">
        <w:rPr>
          <w:rFonts w:ascii="Arial" w:hAnsi="Arial" w:cs="Arial"/>
          <w:sz w:val="22"/>
          <w:lang w:val="en-GB"/>
        </w:rPr>
        <w:t>3</w:t>
      </w:r>
      <w:r w:rsidRPr="005579B0">
        <w:rPr>
          <w:rFonts w:ascii="Arial" w:hAnsi="Arial" w:cs="Arial"/>
          <w:sz w:val="22"/>
          <w:lang w:val="en-GB"/>
        </w:rPr>
        <w:t>/2</w:t>
      </w:r>
      <w:r w:rsidR="00E73DEA">
        <w:rPr>
          <w:rFonts w:ascii="Arial" w:hAnsi="Arial" w:cs="Arial"/>
          <w:sz w:val="22"/>
          <w:lang w:val="en-GB"/>
        </w:rPr>
        <w:t>5</w:t>
      </w:r>
      <w:r w:rsidRPr="005579B0">
        <w:rPr>
          <w:rFonts w:ascii="Arial" w:hAnsi="Arial" w:cs="Arial"/>
          <w:sz w:val="22"/>
          <w:lang w:val="en-GB"/>
        </w:rPr>
        <w:t>-0</w:t>
      </w:r>
      <w:r w:rsidR="00D76D81">
        <w:rPr>
          <w:rFonts w:ascii="Arial" w:hAnsi="Arial" w:cs="Arial"/>
          <w:sz w:val="22"/>
          <w:lang w:val="en-GB"/>
        </w:rPr>
        <w:t>3</w:t>
      </w:r>
      <w:r w:rsidRPr="005579B0">
        <w:rPr>
          <w:rFonts w:ascii="Arial" w:hAnsi="Arial" w:cs="Arial"/>
          <w:sz w:val="22"/>
          <w:lang w:val="en-GB"/>
        </w:rPr>
        <w:t>/</w:t>
      </w:r>
      <w:r w:rsidR="00566B7E">
        <w:rPr>
          <w:rFonts w:ascii="Arial" w:hAnsi="Arial" w:cs="Arial"/>
          <w:sz w:val="22"/>
          <w:lang w:val="en-GB"/>
        </w:rPr>
        <w:t>43</w:t>
      </w:r>
    </w:p>
    <w:p w14:paraId="6986071B" w14:textId="58E42BCC" w:rsidR="005579B0" w:rsidRPr="005579B0" w:rsidRDefault="005579B0" w:rsidP="005579B0">
      <w:pPr>
        <w:rPr>
          <w:rFonts w:ascii="Arial" w:hAnsi="Arial" w:cs="Arial"/>
          <w:sz w:val="22"/>
          <w:lang w:val="en-GB"/>
        </w:rPr>
      </w:pPr>
      <w:r w:rsidRPr="005579B0">
        <w:rPr>
          <w:rFonts w:ascii="Arial" w:hAnsi="Arial" w:cs="Arial"/>
          <w:sz w:val="22"/>
          <w:lang w:val="en-GB"/>
        </w:rPr>
        <w:t>URBROJ: 21</w:t>
      </w:r>
      <w:r w:rsidR="00D76D81">
        <w:rPr>
          <w:rFonts w:ascii="Arial" w:hAnsi="Arial" w:cs="Arial"/>
          <w:sz w:val="22"/>
          <w:lang w:val="en-GB"/>
        </w:rPr>
        <w:t>63-4</w:t>
      </w:r>
      <w:r w:rsidRPr="005579B0">
        <w:rPr>
          <w:rFonts w:ascii="Arial" w:hAnsi="Arial" w:cs="Arial"/>
          <w:sz w:val="22"/>
          <w:lang w:val="en-GB"/>
        </w:rPr>
        <w:t>-01-2</w:t>
      </w:r>
      <w:r w:rsidR="00E73DEA">
        <w:rPr>
          <w:rFonts w:ascii="Arial" w:hAnsi="Arial" w:cs="Arial"/>
          <w:sz w:val="22"/>
          <w:lang w:val="en-GB"/>
        </w:rPr>
        <w:t>5</w:t>
      </w:r>
      <w:r w:rsidRPr="005579B0">
        <w:rPr>
          <w:rFonts w:ascii="Arial" w:hAnsi="Arial" w:cs="Arial"/>
          <w:sz w:val="22"/>
          <w:lang w:val="en-GB"/>
        </w:rPr>
        <w:t>-</w:t>
      </w:r>
      <w:r w:rsidR="00566B7E">
        <w:rPr>
          <w:rFonts w:ascii="Arial" w:hAnsi="Arial" w:cs="Arial"/>
          <w:sz w:val="22"/>
          <w:lang w:val="en-GB"/>
        </w:rPr>
        <w:t>1</w:t>
      </w:r>
    </w:p>
    <w:p w14:paraId="55CB7A9D" w14:textId="1741597C" w:rsidR="005579B0" w:rsidRPr="005579B0" w:rsidRDefault="005579B0" w:rsidP="005579B0">
      <w:pPr>
        <w:rPr>
          <w:rFonts w:ascii="Arial" w:hAnsi="Arial" w:cs="Arial"/>
          <w:sz w:val="22"/>
          <w:lang w:val="en-GB"/>
        </w:rPr>
      </w:pPr>
      <w:r w:rsidRPr="005579B0">
        <w:rPr>
          <w:rFonts w:ascii="Arial" w:hAnsi="Arial" w:cs="Arial"/>
          <w:sz w:val="22"/>
          <w:lang w:val="en-GB"/>
        </w:rPr>
        <w:t>Labin,</w:t>
      </w:r>
      <w:r w:rsidR="00D520DA">
        <w:rPr>
          <w:rFonts w:ascii="Arial" w:hAnsi="Arial" w:cs="Arial"/>
          <w:sz w:val="22"/>
          <w:lang w:val="en-GB"/>
        </w:rPr>
        <w:t xml:space="preserve"> </w:t>
      </w:r>
      <w:r w:rsidR="00E73DEA">
        <w:rPr>
          <w:rFonts w:ascii="Arial" w:hAnsi="Arial" w:cs="Arial"/>
          <w:sz w:val="22"/>
          <w:lang w:val="en-GB"/>
        </w:rPr>
        <w:t>22</w:t>
      </w:r>
      <w:r w:rsidR="00395543">
        <w:rPr>
          <w:rFonts w:ascii="Arial" w:hAnsi="Arial" w:cs="Arial"/>
          <w:sz w:val="22"/>
          <w:lang w:val="en-GB"/>
        </w:rPr>
        <w:t xml:space="preserve">. </w:t>
      </w:r>
      <w:proofErr w:type="spellStart"/>
      <w:proofErr w:type="gramStart"/>
      <w:r w:rsidR="00E73DEA">
        <w:rPr>
          <w:rFonts w:ascii="Arial" w:hAnsi="Arial" w:cs="Arial"/>
          <w:sz w:val="22"/>
          <w:lang w:val="en-GB"/>
        </w:rPr>
        <w:t>srpanj</w:t>
      </w:r>
      <w:proofErr w:type="spellEnd"/>
      <w:r w:rsidR="00E73DEA">
        <w:rPr>
          <w:rFonts w:ascii="Arial" w:hAnsi="Arial" w:cs="Arial"/>
          <w:sz w:val="22"/>
          <w:lang w:val="en-GB"/>
        </w:rPr>
        <w:t xml:space="preserve"> </w:t>
      </w:r>
      <w:r w:rsidRPr="005579B0">
        <w:rPr>
          <w:rFonts w:ascii="Arial" w:hAnsi="Arial" w:cs="Arial"/>
          <w:sz w:val="22"/>
          <w:lang w:val="en-GB"/>
        </w:rPr>
        <w:t xml:space="preserve"> 202</w:t>
      </w:r>
      <w:r w:rsidR="00E73DEA">
        <w:rPr>
          <w:rFonts w:ascii="Arial" w:hAnsi="Arial" w:cs="Arial"/>
          <w:sz w:val="22"/>
          <w:lang w:val="en-GB"/>
        </w:rPr>
        <w:t>5</w:t>
      </w:r>
      <w:proofErr w:type="gramEnd"/>
      <w:r w:rsidRPr="005579B0">
        <w:rPr>
          <w:rFonts w:ascii="Arial" w:hAnsi="Arial" w:cs="Arial"/>
          <w:sz w:val="22"/>
          <w:lang w:val="en-GB"/>
        </w:rPr>
        <w:t>.</w:t>
      </w:r>
    </w:p>
    <w:p w14:paraId="7A2BB0C6" w14:textId="77777777" w:rsidR="005579B0" w:rsidRPr="005579B0" w:rsidRDefault="005579B0" w:rsidP="005579B0">
      <w:pPr>
        <w:ind w:firstLine="720"/>
        <w:jc w:val="both"/>
        <w:rPr>
          <w:rFonts w:cs="Arial"/>
          <w:sz w:val="22"/>
        </w:rPr>
      </w:pPr>
    </w:p>
    <w:p w14:paraId="792990AA" w14:textId="77777777" w:rsidR="005579B0" w:rsidRPr="005579B0" w:rsidRDefault="005579B0" w:rsidP="005579B0">
      <w:pPr>
        <w:ind w:firstLine="720"/>
        <w:jc w:val="both"/>
        <w:rPr>
          <w:rFonts w:ascii="Arial" w:hAnsi="Arial" w:cs="Arial"/>
          <w:sz w:val="22"/>
        </w:rPr>
      </w:pPr>
    </w:p>
    <w:p w14:paraId="4A9FC9F6" w14:textId="0727CEFA" w:rsidR="005579B0" w:rsidRPr="005579B0" w:rsidRDefault="005579B0" w:rsidP="005579B0">
      <w:pPr>
        <w:ind w:firstLine="720"/>
        <w:jc w:val="both"/>
        <w:rPr>
          <w:rFonts w:ascii="Arial" w:hAnsi="Arial" w:cs="Arial"/>
          <w:sz w:val="22"/>
        </w:rPr>
      </w:pPr>
      <w:r w:rsidRPr="005579B0">
        <w:rPr>
          <w:rFonts w:ascii="Arial" w:hAnsi="Arial" w:cs="Arial"/>
          <w:sz w:val="22"/>
        </w:rPr>
        <w:t xml:space="preserve">Na temelju članka </w:t>
      </w:r>
      <w:r w:rsidR="00E91FEE">
        <w:rPr>
          <w:rFonts w:ascii="Arial" w:hAnsi="Arial" w:cs="Arial"/>
          <w:sz w:val="22"/>
        </w:rPr>
        <w:t>45</w:t>
      </w:r>
      <w:r w:rsidRPr="005579B0">
        <w:rPr>
          <w:rFonts w:ascii="Arial" w:hAnsi="Arial" w:cs="Arial"/>
          <w:sz w:val="22"/>
        </w:rPr>
        <w:t>. Zakona o proračunu ("Narodne novine", broj 144/21.) i članka 31. Statuta Grada Labina ("Službene novine Grada Labina", broj 09/09., 9/10.- lektorirani tekst, 8/13.,3/16.,2/18., 5/19.–pročišćeni tekst  2/20. i 1/21.), Gradsko vijeće Grada Labina na sjednici</w:t>
      </w:r>
      <w:r w:rsidR="00566B7E">
        <w:rPr>
          <w:rFonts w:ascii="Arial" w:hAnsi="Arial" w:cs="Arial"/>
          <w:sz w:val="22"/>
        </w:rPr>
        <w:t xml:space="preserve"> 22. srpnja</w:t>
      </w:r>
      <w:r w:rsidR="00950446">
        <w:rPr>
          <w:rFonts w:ascii="Arial" w:hAnsi="Arial" w:cs="Arial"/>
          <w:sz w:val="22"/>
        </w:rPr>
        <w:t xml:space="preserve"> </w:t>
      </w:r>
      <w:r w:rsidR="00DF05E9">
        <w:rPr>
          <w:rFonts w:ascii="Arial" w:hAnsi="Arial" w:cs="Arial"/>
          <w:sz w:val="22"/>
        </w:rPr>
        <w:t>202</w:t>
      </w:r>
      <w:r w:rsidR="00950446">
        <w:rPr>
          <w:rFonts w:ascii="Arial" w:hAnsi="Arial" w:cs="Arial"/>
          <w:sz w:val="22"/>
        </w:rPr>
        <w:t>5</w:t>
      </w:r>
      <w:r w:rsidR="00DF05E9">
        <w:rPr>
          <w:rFonts w:ascii="Arial" w:hAnsi="Arial" w:cs="Arial"/>
          <w:sz w:val="22"/>
        </w:rPr>
        <w:t>.</w:t>
      </w:r>
      <w:r w:rsidRPr="005579B0">
        <w:rPr>
          <w:rFonts w:ascii="Arial" w:hAnsi="Arial" w:cs="Arial"/>
          <w:sz w:val="22"/>
        </w:rPr>
        <w:t xml:space="preserve"> godine, donijelo je</w:t>
      </w:r>
    </w:p>
    <w:p w14:paraId="6F13B41D" w14:textId="77777777" w:rsidR="005579B0" w:rsidRPr="005579B0" w:rsidRDefault="005579B0" w:rsidP="005579B0">
      <w:pPr>
        <w:ind w:firstLine="720"/>
        <w:jc w:val="both"/>
        <w:rPr>
          <w:rFonts w:ascii="Arial" w:hAnsi="Arial" w:cs="Arial"/>
          <w:sz w:val="22"/>
        </w:rPr>
      </w:pPr>
    </w:p>
    <w:p w14:paraId="61F19CE4" w14:textId="77777777" w:rsidR="005579B0" w:rsidRPr="005579B0" w:rsidRDefault="005579B0" w:rsidP="005579B0">
      <w:pPr>
        <w:ind w:firstLine="720"/>
        <w:jc w:val="both"/>
        <w:rPr>
          <w:rFonts w:ascii="Arial" w:hAnsi="Arial" w:cs="Arial"/>
          <w:sz w:val="22"/>
        </w:rPr>
      </w:pPr>
    </w:p>
    <w:p w14:paraId="0D1CC773" w14:textId="77777777" w:rsidR="005579B0" w:rsidRPr="005579B0" w:rsidRDefault="005579B0" w:rsidP="005579B0">
      <w:pPr>
        <w:jc w:val="both"/>
        <w:rPr>
          <w:rFonts w:cs="Arial"/>
          <w:b/>
          <w:sz w:val="22"/>
        </w:rPr>
      </w:pPr>
    </w:p>
    <w:p w14:paraId="241C3A7B" w14:textId="2DAFC6E7" w:rsidR="005579B0" w:rsidRPr="005579B0" w:rsidRDefault="005579B0" w:rsidP="005579B0">
      <w:pPr>
        <w:jc w:val="center"/>
        <w:rPr>
          <w:rFonts w:ascii="Arial" w:eastAsia="Calibri" w:hAnsi="Arial" w:cs="Arial"/>
          <w:b/>
          <w:sz w:val="22"/>
        </w:rPr>
      </w:pPr>
      <w:r w:rsidRPr="005579B0">
        <w:rPr>
          <w:rFonts w:ascii="Arial" w:eastAsia="Calibri" w:hAnsi="Arial" w:cs="Arial"/>
          <w:b/>
          <w:sz w:val="22"/>
        </w:rPr>
        <w:t xml:space="preserve"> </w:t>
      </w:r>
      <w:r w:rsidR="00DF05E9">
        <w:rPr>
          <w:rFonts w:ascii="Arial" w:eastAsia="Calibri" w:hAnsi="Arial" w:cs="Arial"/>
          <w:b/>
          <w:sz w:val="22"/>
        </w:rPr>
        <w:t xml:space="preserve">PRVE IZMJENE I DOPUNE </w:t>
      </w:r>
      <w:r w:rsidRPr="005579B0">
        <w:rPr>
          <w:rFonts w:ascii="Arial" w:eastAsia="Calibri" w:hAnsi="Arial" w:cs="Arial"/>
          <w:b/>
          <w:sz w:val="22"/>
        </w:rPr>
        <w:t>PRORAČUN GRADA LABINA ZA 202</w:t>
      </w:r>
      <w:r w:rsidR="00950446">
        <w:rPr>
          <w:rFonts w:ascii="Arial" w:eastAsia="Calibri" w:hAnsi="Arial" w:cs="Arial"/>
          <w:b/>
          <w:sz w:val="22"/>
        </w:rPr>
        <w:t>5</w:t>
      </w:r>
      <w:r w:rsidRPr="005579B0">
        <w:rPr>
          <w:rFonts w:ascii="Arial" w:eastAsia="Calibri" w:hAnsi="Arial" w:cs="Arial"/>
          <w:b/>
          <w:sz w:val="22"/>
        </w:rPr>
        <w:t>. GODINU</w:t>
      </w:r>
    </w:p>
    <w:p w14:paraId="69FC40E5" w14:textId="7247587F" w:rsidR="005579B0" w:rsidRPr="005579B0" w:rsidRDefault="005579B0" w:rsidP="005579B0">
      <w:pPr>
        <w:jc w:val="center"/>
        <w:rPr>
          <w:rFonts w:ascii="Arial" w:eastAsia="Calibri" w:hAnsi="Arial" w:cs="Arial"/>
          <w:b/>
          <w:sz w:val="22"/>
        </w:rPr>
      </w:pPr>
      <w:r w:rsidRPr="005579B0">
        <w:rPr>
          <w:rFonts w:ascii="Arial" w:eastAsia="Calibri" w:hAnsi="Arial" w:cs="Arial"/>
          <w:b/>
          <w:sz w:val="22"/>
        </w:rPr>
        <w:t>I PROJEKCIJE ZA 202</w:t>
      </w:r>
      <w:r w:rsidR="00950446">
        <w:rPr>
          <w:rFonts w:ascii="Arial" w:eastAsia="Calibri" w:hAnsi="Arial" w:cs="Arial"/>
          <w:b/>
          <w:sz w:val="22"/>
        </w:rPr>
        <w:t>6</w:t>
      </w:r>
      <w:r w:rsidRPr="005579B0">
        <w:rPr>
          <w:rFonts w:ascii="Arial" w:eastAsia="Calibri" w:hAnsi="Arial" w:cs="Arial"/>
          <w:b/>
          <w:sz w:val="22"/>
        </w:rPr>
        <w:t>. I 202</w:t>
      </w:r>
      <w:r w:rsidR="00950446">
        <w:rPr>
          <w:rFonts w:ascii="Arial" w:eastAsia="Calibri" w:hAnsi="Arial" w:cs="Arial"/>
          <w:b/>
          <w:sz w:val="22"/>
        </w:rPr>
        <w:t>7</w:t>
      </w:r>
      <w:r w:rsidRPr="005579B0">
        <w:rPr>
          <w:rFonts w:ascii="Arial" w:eastAsia="Calibri" w:hAnsi="Arial" w:cs="Arial"/>
          <w:b/>
          <w:sz w:val="22"/>
        </w:rPr>
        <w:t>. GODINU</w:t>
      </w:r>
    </w:p>
    <w:p w14:paraId="0D528496" w14:textId="77777777" w:rsidR="005579B0" w:rsidRPr="005579B0" w:rsidRDefault="005579B0" w:rsidP="005579B0">
      <w:pPr>
        <w:rPr>
          <w:rFonts w:ascii="Arial" w:hAnsi="Arial" w:cs="Arial"/>
          <w:sz w:val="22"/>
        </w:rPr>
      </w:pPr>
    </w:p>
    <w:p w14:paraId="31B5177B" w14:textId="77777777" w:rsidR="005579B0" w:rsidRPr="005579B0" w:rsidRDefault="005579B0" w:rsidP="005579B0">
      <w:pPr>
        <w:numPr>
          <w:ilvl w:val="0"/>
          <w:numId w:val="1"/>
        </w:numPr>
        <w:spacing w:after="200" w:line="276" w:lineRule="auto"/>
        <w:contextualSpacing/>
        <w:rPr>
          <w:rFonts w:ascii="Arial" w:eastAsia="Calibri" w:hAnsi="Arial" w:cs="Arial"/>
          <w:sz w:val="22"/>
        </w:rPr>
      </w:pPr>
      <w:r w:rsidRPr="005579B0">
        <w:rPr>
          <w:rFonts w:ascii="Arial" w:eastAsia="Calibri" w:hAnsi="Arial" w:cs="Arial"/>
          <w:sz w:val="22"/>
        </w:rPr>
        <w:t>OPĆI  DIO</w:t>
      </w:r>
    </w:p>
    <w:p w14:paraId="0B528AE0" w14:textId="77777777" w:rsidR="005579B0" w:rsidRPr="005579B0" w:rsidRDefault="005579B0" w:rsidP="005579B0">
      <w:pPr>
        <w:spacing w:after="200" w:line="276" w:lineRule="auto"/>
        <w:ind w:left="1080"/>
        <w:contextualSpacing/>
        <w:rPr>
          <w:rFonts w:ascii="Arial" w:eastAsia="Calibri" w:hAnsi="Arial" w:cs="Arial"/>
          <w:sz w:val="22"/>
        </w:rPr>
      </w:pPr>
    </w:p>
    <w:p w14:paraId="78A667E6" w14:textId="77777777" w:rsidR="005579B0" w:rsidRPr="005579B0" w:rsidRDefault="005579B0" w:rsidP="005579B0">
      <w:pPr>
        <w:jc w:val="center"/>
        <w:rPr>
          <w:rFonts w:ascii="Arial" w:hAnsi="Arial" w:cs="Arial"/>
          <w:b/>
          <w:bCs/>
          <w:sz w:val="22"/>
        </w:rPr>
      </w:pPr>
      <w:r w:rsidRPr="005579B0">
        <w:rPr>
          <w:rFonts w:ascii="Arial" w:hAnsi="Arial" w:cs="Arial"/>
          <w:b/>
          <w:bCs/>
          <w:sz w:val="22"/>
        </w:rPr>
        <w:t>Članak 1.</w:t>
      </w:r>
    </w:p>
    <w:p w14:paraId="22ECC90F" w14:textId="77777777" w:rsidR="005579B0" w:rsidRPr="005579B0" w:rsidRDefault="005579B0" w:rsidP="005579B0">
      <w:pPr>
        <w:jc w:val="both"/>
        <w:rPr>
          <w:rFonts w:ascii="Arial" w:hAnsi="Arial" w:cs="Arial"/>
          <w:b/>
          <w:bCs/>
          <w:sz w:val="22"/>
        </w:rPr>
      </w:pPr>
    </w:p>
    <w:p w14:paraId="70EA0A81" w14:textId="489F589C" w:rsidR="005579B0" w:rsidRDefault="005579B0" w:rsidP="005579B0">
      <w:pPr>
        <w:ind w:firstLine="360"/>
        <w:jc w:val="both"/>
        <w:rPr>
          <w:rFonts w:ascii="Arial" w:hAnsi="Arial" w:cs="Arial"/>
          <w:sz w:val="22"/>
        </w:rPr>
      </w:pPr>
      <w:r w:rsidRPr="005579B0">
        <w:rPr>
          <w:rFonts w:ascii="Arial" w:hAnsi="Arial" w:cs="Arial"/>
          <w:sz w:val="22"/>
        </w:rPr>
        <w:t>Proračun Grada Labina za 202</w:t>
      </w:r>
      <w:r w:rsidR="00950446">
        <w:rPr>
          <w:rFonts w:ascii="Arial" w:hAnsi="Arial" w:cs="Arial"/>
          <w:sz w:val="22"/>
        </w:rPr>
        <w:t>5</w:t>
      </w:r>
      <w:r w:rsidRPr="005579B0">
        <w:rPr>
          <w:rFonts w:ascii="Arial" w:hAnsi="Arial" w:cs="Arial"/>
          <w:sz w:val="22"/>
        </w:rPr>
        <w:t>. godinu i projekcija za 202</w:t>
      </w:r>
      <w:r w:rsidR="00950446">
        <w:rPr>
          <w:rFonts w:ascii="Arial" w:hAnsi="Arial" w:cs="Arial"/>
          <w:sz w:val="22"/>
        </w:rPr>
        <w:t>6</w:t>
      </w:r>
      <w:r w:rsidRPr="005579B0">
        <w:rPr>
          <w:rFonts w:ascii="Arial" w:hAnsi="Arial" w:cs="Arial"/>
          <w:sz w:val="22"/>
        </w:rPr>
        <w:t>. i 202</w:t>
      </w:r>
      <w:r w:rsidR="00950446">
        <w:rPr>
          <w:rFonts w:ascii="Arial" w:hAnsi="Arial" w:cs="Arial"/>
          <w:sz w:val="22"/>
        </w:rPr>
        <w:t>7</w:t>
      </w:r>
      <w:r w:rsidRPr="005579B0">
        <w:rPr>
          <w:rFonts w:ascii="Arial" w:hAnsi="Arial" w:cs="Arial"/>
          <w:sz w:val="22"/>
        </w:rPr>
        <w:t xml:space="preserve">. godinu </w:t>
      </w:r>
    </w:p>
    <w:p w14:paraId="4800F3CF" w14:textId="77777777" w:rsidR="00C77724" w:rsidRPr="005579B0" w:rsidRDefault="00C77724" w:rsidP="005579B0">
      <w:pPr>
        <w:ind w:firstLine="360"/>
        <w:jc w:val="both"/>
        <w:rPr>
          <w:rFonts w:ascii="Arial" w:hAnsi="Arial" w:cs="Arial"/>
          <w:sz w:val="22"/>
        </w:rPr>
      </w:pPr>
    </w:p>
    <w:p w14:paraId="5DA1F0B2" w14:textId="77777777" w:rsidR="005579B0" w:rsidRDefault="005579B0" w:rsidP="005579B0">
      <w:pPr>
        <w:jc w:val="both"/>
        <w:rPr>
          <w:rFonts w:ascii="Arial" w:hAnsi="Arial" w:cs="Arial"/>
          <w:sz w:val="22"/>
        </w:rPr>
      </w:pPr>
    </w:p>
    <w:p w14:paraId="289BC3FE" w14:textId="77777777" w:rsidR="005579B0" w:rsidRDefault="005579B0" w:rsidP="005579B0">
      <w:pPr>
        <w:numPr>
          <w:ilvl w:val="0"/>
          <w:numId w:val="2"/>
        </w:numPr>
        <w:spacing w:after="200" w:line="276" w:lineRule="auto"/>
        <w:contextualSpacing/>
        <w:rPr>
          <w:rFonts w:ascii="Arial" w:eastAsia="Calibri" w:hAnsi="Arial" w:cs="Arial"/>
          <w:b/>
          <w:sz w:val="22"/>
        </w:rPr>
      </w:pPr>
      <w:r w:rsidRPr="005579B0">
        <w:rPr>
          <w:rFonts w:ascii="Arial" w:eastAsia="Calibri" w:hAnsi="Arial" w:cs="Arial"/>
          <w:b/>
          <w:sz w:val="22"/>
        </w:rPr>
        <w:t>RAČUNA PRIHODA I RASHODA</w:t>
      </w:r>
    </w:p>
    <w:p w14:paraId="37DF1243" w14:textId="77777777" w:rsidR="00C85D9C" w:rsidRDefault="00C85D9C" w:rsidP="00C85D9C">
      <w:pPr>
        <w:spacing w:after="200" w:line="276" w:lineRule="auto"/>
        <w:ind w:left="360"/>
        <w:contextualSpacing/>
        <w:rPr>
          <w:rFonts w:ascii="Arial" w:eastAsia="Calibri" w:hAnsi="Arial" w:cs="Arial"/>
          <w:b/>
          <w:sz w:val="22"/>
        </w:rPr>
      </w:pPr>
    </w:p>
    <w:p w14:paraId="4A2AC8EA" w14:textId="75628151" w:rsidR="00432E4F" w:rsidRDefault="00C85D9C" w:rsidP="00C85D9C">
      <w:pPr>
        <w:spacing w:after="200" w:line="276" w:lineRule="auto"/>
        <w:ind w:left="7092" w:firstLine="696"/>
        <w:contextualSpacing/>
        <w:rPr>
          <w:rFonts w:ascii="Arial" w:eastAsia="Calibri" w:hAnsi="Arial" w:cs="Arial"/>
          <w:b/>
          <w:sz w:val="22"/>
        </w:rPr>
      </w:pPr>
      <w:r>
        <w:rPr>
          <w:rFonts w:ascii="Arial" w:eastAsia="Calibri" w:hAnsi="Arial" w:cs="Arial"/>
          <w:b/>
          <w:sz w:val="22"/>
        </w:rPr>
        <w:t>U EUR</w:t>
      </w:r>
    </w:p>
    <w:tbl>
      <w:tblPr>
        <w:tblStyle w:val="Reetkatablice"/>
        <w:tblW w:w="9634" w:type="dxa"/>
        <w:tblLook w:val="04A0" w:firstRow="1" w:lastRow="0" w:firstColumn="1" w:lastColumn="0" w:noHBand="0" w:noVBand="1"/>
      </w:tblPr>
      <w:tblGrid>
        <w:gridCol w:w="4248"/>
        <w:gridCol w:w="1984"/>
        <w:gridCol w:w="1701"/>
        <w:gridCol w:w="1701"/>
      </w:tblGrid>
      <w:tr w:rsidR="008F4EEC" w:rsidRPr="008F4EEC" w14:paraId="15BECC90" w14:textId="77777777" w:rsidTr="00031DF4">
        <w:tc>
          <w:tcPr>
            <w:tcW w:w="9634" w:type="dxa"/>
            <w:gridSpan w:val="4"/>
          </w:tcPr>
          <w:p w14:paraId="2DB1B6CE" w14:textId="6601459B" w:rsidR="00F34C53" w:rsidRPr="008F4EEC" w:rsidRDefault="00F34C53" w:rsidP="00432E4F">
            <w:pPr>
              <w:jc w:val="center"/>
              <w:rPr>
                <w:rFonts w:ascii="Arial" w:eastAsia="Calibri" w:hAnsi="Arial" w:cs="Arial"/>
                <w:b/>
                <w:bCs/>
                <w:sz w:val="22"/>
                <w:szCs w:val="22"/>
              </w:rPr>
            </w:pPr>
            <w:r w:rsidRPr="008F4EEC">
              <w:rPr>
                <w:rFonts w:ascii="Arial" w:hAnsi="Arial" w:cs="Arial"/>
                <w:b/>
                <w:bCs/>
                <w:sz w:val="22"/>
                <w:szCs w:val="22"/>
              </w:rPr>
              <w:t>PLAN PRORAČUNA</w:t>
            </w:r>
          </w:p>
        </w:tc>
      </w:tr>
      <w:tr w:rsidR="008F4EEC" w:rsidRPr="008F4EEC" w14:paraId="4D5876CB" w14:textId="77777777" w:rsidTr="00CD2DBD">
        <w:tc>
          <w:tcPr>
            <w:tcW w:w="4248" w:type="dxa"/>
          </w:tcPr>
          <w:p w14:paraId="53BA6DFA" w14:textId="77777777" w:rsidR="008F4EEC" w:rsidRPr="008F4EEC" w:rsidRDefault="008F4EEC" w:rsidP="008F4EEC">
            <w:pPr>
              <w:rPr>
                <w:rFonts w:ascii="Arial" w:eastAsia="Calibri" w:hAnsi="Arial" w:cs="Arial"/>
                <w:b/>
                <w:bCs/>
                <w:sz w:val="22"/>
                <w:szCs w:val="22"/>
              </w:rPr>
            </w:pPr>
          </w:p>
        </w:tc>
        <w:tc>
          <w:tcPr>
            <w:tcW w:w="1984" w:type="dxa"/>
          </w:tcPr>
          <w:p w14:paraId="3219FC78" w14:textId="2C651F2F" w:rsidR="008F4EEC" w:rsidRPr="008F4EEC" w:rsidRDefault="008F4EEC" w:rsidP="008F4EEC">
            <w:pPr>
              <w:jc w:val="right"/>
              <w:rPr>
                <w:rFonts w:ascii="Arial" w:eastAsia="Calibri" w:hAnsi="Arial" w:cs="Arial"/>
                <w:b/>
                <w:bCs/>
                <w:sz w:val="22"/>
                <w:szCs w:val="22"/>
              </w:rPr>
            </w:pPr>
            <w:r w:rsidRPr="008F4EEC">
              <w:rPr>
                <w:rFonts w:ascii="Arial" w:hAnsi="Arial" w:cs="Arial"/>
                <w:b/>
                <w:bCs/>
                <w:sz w:val="22"/>
                <w:szCs w:val="22"/>
              </w:rPr>
              <w:t>PLAN ZA 2025.</w:t>
            </w:r>
          </w:p>
        </w:tc>
        <w:tc>
          <w:tcPr>
            <w:tcW w:w="1701" w:type="dxa"/>
          </w:tcPr>
          <w:p w14:paraId="29F7499B" w14:textId="3E6A243E" w:rsidR="008F4EEC" w:rsidRPr="008F4EEC" w:rsidRDefault="008F4EEC" w:rsidP="008F4EEC">
            <w:pPr>
              <w:jc w:val="right"/>
              <w:rPr>
                <w:rFonts w:ascii="Arial" w:eastAsia="Calibri" w:hAnsi="Arial" w:cs="Arial"/>
                <w:b/>
                <w:bCs/>
                <w:sz w:val="22"/>
                <w:szCs w:val="22"/>
              </w:rPr>
            </w:pPr>
            <w:r w:rsidRPr="008F4EEC">
              <w:rPr>
                <w:rFonts w:ascii="Arial" w:hAnsi="Arial" w:cs="Arial"/>
                <w:b/>
                <w:bCs/>
                <w:sz w:val="22"/>
                <w:szCs w:val="22"/>
              </w:rPr>
              <w:t>POVEĆANJE/ SMANJENJE</w:t>
            </w:r>
          </w:p>
        </w:tc>
        <w:tc>
          <w:tcPr>
            <w:tcW w:w="1701" w:type="dxa"/>
          </w:tcPr>
          <w:p w14:paraId="29734943" w14:textId="043BE34B" w:rsidR="008F4EEC" w:rsidRPr="008F4EEC" w:rsidRDefault="008F4EEC" w:rsidP="008F4EEC">
            <w:pPr>
              <w:jc w:val="center"/>
              <w:rPr>
                <w:rFonts w:ascii="Arial" w:hAnsi="Arial" w:cs="Arial"/>
                <w:b/>
                <w:bCs/>
                <w:sz w:val="22"/>
                <w:szCs w:val="22"/>
              </w:rPr>
            </w:pPr>
            <w:r w:rsidRPr="008F4EEC">
              <w:rPr>
                <w:rFonts w:ascii="Arial" w:hAnsi="Arial" w:cs="Arial"/>
                <w:b/>
                <w:bCs/>
                <w:sz w:val="22"/>
                <w:szCs w:val="22"/>
              </w:rPr>
              <w:t>NOVI PLAN ZA 2025.</w:t>
            </w:r>
          </w:p>
          <w:p w14:paraId="0ECF9A20" w14:textId="6FB8B4BF" w:rsidR="008F4EEC" w:rsidRPr="008F4EEC" w:rsidRDefault="008F4EEC" w:rsidP="008F4EEC">
            <w:pPr>
              <w:jc w:val="right"/>
              <w:rPr>
                <w:rFonts w:ascii="Arial" w:eastAsia="Calibri" w:hAnsi="Arial" w:cs="Arial"/>
                <w:b/>
                <w:bCs/>
                <w:sz w:val="22"/>
                <w:szCs w:val="22"/>
              </w:rPr>
            </w:pPr>
          </w:p>
        </w:tc>
      </w:tr>
      <w:tr w:rsidR="008F4EEC" w:rsidRPr="008F4EEC" w14:paraId="63539EF6" w14:textId="77777777" w:rsidTr="00CD2DBD">
        <w:tc>
          <w:tcPr>
            <w:tcW w:w="4248" w:type="dxa"/>
          </w:tcPr>
          <w:p w14:paraId="01EBA7B0" w14:textId="77777777" w:rsidR="00F34C53" w:rsidRPr="008F4EEC" w:rsidRDefault="00F34C53" w:rsidP="00F34C53">
            <w:pPr>
              <w:jc w:val="both"/>
              <w:rPr>
                <w:rFonts w:ascii="Arial" w:hAnsi="Arial" w:cs="Arial"/>
                <w:sz w:val="22"/>
              </w:rPr>
            </w:pPr>
          </w:p>
          <w:p w14:paraId="55D23A4A" w14:textId="6155CFE3" w:rsidR="00F34C53" w:rsidRPr="008F4EEC" w:rsidRDefault="008E77E3" w:rsidP="008E77E3">
            <w:pPr>
              <w:jc w:val="both"/>
              <w:rPr>
                <w:rFonts w:ascii="Arial" w:eastAsia="Calibri" w:hAnsi="Arial" w:cs="Arial"/>
                <w:sz w:val="22"/>
              </w:rPr>
            </w:pPr>
            <w:r w:rsidRPr="008F4EEC">
              <w:rPr>
                <w:rFonts w:ascii="Arial" w:eastAsia="Calibri" w:hAnsi="Arial" w:cs="Arial"/>
                <w:sz w:val="22"/>
              </w:rPr>
              <w:t>PRIHODI POSLOVANJA</w:t>
            </w:r>
          </w:p>
        </w:tc>
        <w:tc>
          <w:tcPr>
            <w:tcW w:w="1984" w:type="dxa"/>
          </w:tcPr>
          <w:p w14:paraId="53473C6B" w14:textId="77777777" w:rsidR="002334DA" w:rsidRPr="008F4EEC" w:rsidRDefault="002334DA" w:rsidP="008E77E3">
            <w:pPr>
              <w:jc w:val="right"/>
              <w:rPr>
                <w:rFonts w:ascii="Arial" w:eastAsia="Calibri" w:hAnsi="Arial" w:cs="Arial"/>
                <w:sz w:val="22"/>
              </w:rPr>
            </w:pPr>
          </w:p>
          <w:p w14:paraId="7D12FBFA" w14:textId="331FFE12" w:rsidR="00C85D9C" w:rsidRPr="008F4EEC" w:rsidRDefault="00C85D9C" w:rsidP="008E77E3">
            <w:pPr>
              <w:jc w:val="right"/>
              <w:rPr>
                <w:rFonts w:ascii="Arial" w:eastAsia="Calibri" w:hAnsi="Arial" w:cs="Arial"/>
                <w:sz w:val="22"/>
              </w:rPr>
            </w:pPr>
            <w:r w:rsidRPr="008F4EEC">
              <w:rPr>
                <w:rFonts w:ascii="Arial" w:eastAsia="Calibri" w:hAnsi="Arial" w:cs="Arial"/>
                <w:sz w:val="22"/>
              </w:rPr>
              <w:t>25.216.864,00</w:t>
            </w:r>
          </w:p>
        </w:tc>
        <w:tc>
          <w:tcPr>
            <w:tcW w:w="1701" w:type="dxa"/>
          </w:tcPr>
          <w:p w14:paraId="51720234" w14:textId="77777777" w:rsidR="0048161F" w:rsidRPr="008F4EEC" w:rsidRDefault="0048161F" w:rsidP="008E77E3">
            <w:pPr>
              <w:jc w:val="right"/>
              <w:rPr>
                <w:rFonts w:ascii="Arial" w:eastAsia="Calibri" w:hAnsi="Arial" w:cs="Arial"/>
                <w:sz w:val="22"/>
              </w:rPr>
            </w:pPr>
          </w:p>
          <w:p w14:paraId="5C599084" w14:textId="2A1861E1" w:rsidR="00395D29" w:rsidRPr="008F4EEC" w:rsidRDefault="00395D29" w:rsidP="008E77E3">
            <w:pPr>
              <w:jc w:val="right"/>
              <w:rPr>
                <w:rFonts w:ascii="Arial" w:eastAsia="Calibri" w:hAnsi="Arial" w:cs="Arial"/>
                <w:sz w:val="22"/>
              </w:rPr>
            </w:pPr>
            <w:r w:rsidRPr="008F4EEC">
              <w:rPr>
                <w:rFonts w:ascii="Arial" w:eastAsia="Calibri" w:hAnsi="Arial" w:cs="Arial"/>
                <w:sz w:val="22"/>
              </w:rPr>
              <w:t>922.094,00</w:t>
            </w:r>
          </w:p>
        </w:tc>
        <w:tc>
          <w:tcPr>
            <w:tcW w:w="1701" w:type="dxa"/>
          </w:tcPr>
          <w:p w14:paraId="4F048491" w14:textId="77777777" w:rsidR="0048161F" w:rsidRPr="008F4EEC" w:rsidRDefault="0048161F" w:rsidP="008E77E3">
            <w:pPr>
              <w:jc w:val="right"/>
              <w:rPr>
                <w:rFonts w:ascii="Arial" w:eastAsia="Calibri" w:hAnsi="Arial" w:cs="Arial"/>
                <w:sz w:val="22"/>
              </w:rPr>
            </w:pPr>
          </w:p>
          <w:p w14:paraId="730A0AF7" w14:textId="0D897498" w:rsidR="00395D29" w:rsidRPr="008F4EEC" w:rsidRDefault="00395D29" w:rsidP="008E77E3">
            <w:pPr>
              <w:jc w:val="right"/>
              <w:rPr>
                <w:rFonts w:ascii="Arial" w:eastAsia="Calibri" w:hAnsi="Arial" w:cs="Arial"/>
                <w:sz w:val="22"/>
              </w:rPr>
            </w:pPr>
            <w:r w:rsidRPr="008F4EEC">
              <w:rPr>
                <w:rFonts w:ascii="Arial" w:eastAsia="Calibri" w:hAnsi="Arial" w:cs="Arial"/>
                <w:sz w:val="22"/>
              </w:rPr>
              <w:t>26.138.958,00</w:t>
            </w:r>
          </w:p>
        </w:tc>
      </w:tr>
      <w:tr w:rsidR="008F4EEC" w:rsidRPr="008F4EEC" w14:paraId="77385793" w14:textId="77777777" w:rsidTr="00CD2DBD">
        <w:tc>
          <w:tcPr>
            <w:tcW w:w="4248" w:type="dxa"/>
          </w:tcPr>
          <w:p w14:paraId="1A063FAD" w14:textId="06732921" w:rsidR="00F34C53" w:rsidRPr="008F4EEC" w:rsidRDefault="00F34C53" w:rsidP="005579B0">
            <w:pPr>
              <w:rPr>
                <w:rFonts w:ascii="Arial" w:eastAsia="Calibri" w:hAnsi="Arial" w:cs="Arial"/>
                <w:sz w:val="22"/>
              </w:rPr>
            </w:pPr>
            <w:r w:rsidRPr="008F4EEC">
              <w:rPr>
                <w:rFonts w:ascii="Arial" w:hAnsi="Arial" w:cs="Arial"/>
                <w:sz w:val="22"/>
              </w:rPr>
              <w:t>PRIHODI OD PRODAJE NEFINANCIJSKE IMOVINE</w:t>
            </w:r>
          </w:p>
        </w:tc>
        <w:tc>
          <w:tcPr>
            <w:tcW w:w="1984" w:type="dxa"/>
          </w:tcPr>
          <w:p w14:paraId="7F36F28F" w14:textId="77777777" w:rsidR="002334DA" w:rsidRPr="008F4EEC" w:rsidRDefault="002334DA" w:rsidP="008E77E3">
            <w:pPr>
              <w:jc w:val="right"/>
              <w:rPr>
                <w:rFonts w:ascii="Arial" w:eastAsia="Calibri" w:hAnsi="Arial" w:cs="Arial"/>
                <w:sz w:val="22"/>
              </w:rPr>
            </w:pPr>
          </w:p>
          <w:p w14:paraId="7CC5906F" w14:textId="62FC11EF" w:rsidR="00C85D9C" w:rsidRPr="008F4EEC" w:rsidRDefault="00C85D9C" w:rsidP="008E77E3">
            <w:pPr>
              <w:jc w:val="right"/>
              <w:rPr>
                <w:rFonts w:ascii="Arial" w:eastAsia="Calibri" w:hAnsi="Arial" w:cs="Arial"/>
                <w:sz w:val="22"/>
              </w:rPr>
            </w:pPr>
            <w:r w:rsidRPr="008F4EEC">
              <w:rPr>
                <w:rFonts w:ascii="Arial" w:eastAsia="Calibri" w:hAnsi="Arial" w:cs="Arial"/>
                <w:sz w:val="22"/>
              </w:rPr>
              <w:t>2.239.910,00</w:t>
            </w:r>
          </w:p>
        </w:tc>
        <w:tc>
          <w:tcPr>
            <w:tcW w:w="1701" w:type="dxa"/>
          </w:tcPr>
          <w:p w14:paraId="638B9AC4" w14:textId="77777777" w:rsidR="0048161F" w:rsidRPr="008F4EEC" w:rsidRDefault="0048161F" w:rsidP="008E77E3">
            <w:pPr>
              <w:jc w:val="right"/>
              <w:rPr>
                <w:rFonts w:ascii="Arial" w:eastAsia="Calibri" w:hAnsi="Arial" w:cs="Arial"/>
                <w:sz w:val="22"/>
              </w:rPr>
            </w:pPr>
          </w:p>
          <w:p w14:paraId="4242E231" w14:textId="1CECDD2A" w:rsidR="00395D29" w:rsidRPr="008F4EEC" w:rsidRDefault="00395D29" w:rsidP="008E77E3">
            <w:pPr>
              <w:jc w:val="right"/>
              <w:rPr>
                <w:rFonts w:ascii="Arial" w:eastAsia="Calibri" w:hAnsi="Arial" w:cs="Arial"/>
                <w:sz w:val="22"/>
              </w:rPr>
            </w:pPr>
            <w:r w:rsidRPr="008F4EEC">
              <w:rPr>
                <w:rFonts w:ascii="Arial" w:eastAsia="Calibri" w:hAnsi="Arial" w:cs="Arial"/>
                <w:sz w:val="22"/>
              </w:rPr>
              <w:t>-731.120,00</w:t>
            </w:r>
          </w:p>
        </w:tc>
        <w:tc>
          <w:tcPr>
            <w:tcW w:w="1701" w:type="dxa"/>
          </w:tcPr>
          <w:p w14:paraId="3AE8A8D7" w14:textId="77777777" w:rsidR="0048161F" w:rsidRPr="008F4EEC" w:rsidRDefault="0048161F" w:rsidP="008E77E3">
            <w:pPr>
              <w:jc w:val="right"/>
              <w:rPr>
                <w:rFonts w:ascii="Arial" w:eastAsia="Calibri" w:hAnsi="Arial" w:cs="Arial"/>
                <w:sz w:val="22"/>
              </w:rPr>
            </w:pPr>
          </w:p>
          <w:p w14:paraId="1AEC52FC" w14:textId="44AEC8F9" w:rsidR="00395D29" w:rsidRPr="008F4EEC" w:rsidRDefault="00395D29" w:rsidP="008E77E3">
            <w:pPr>
              <w:jc w:val="right"/>
              <w:rPr>
                <w:rFonts w:ascii="Arial" w:eastAsia="Calibri" w:hAnsi="Arial" w:cs="Arial"/>
                <w:sz w:val="22"/>
              </w:rPr>
            </w:pPr>
            <w:r w:rsidRPr="008F4EEC">
              <w:rPr>
                <w:rFonts w:ascii="Arial" w:eastAsia="Calibri" w:hAnsi="Arial" w:cs="Arial"/>
                <w:sz w:val="22"/>
              </w:rPr>
              <w:t>1.508.790,00</w:t>
            </w:r>
          </w:p>
        </w:tc>
      </w:tr>
      <w:tr w:rsidR="008F4EEC" w:rsidRPr="008F4EEC" w14:paraId="67CD8A99" w14:textId="77777777" w:rsidTr="00CD2DBD">
        <w:tc>
          <w:tcPr>
            <w:tcW w:w="4248" w:type="dxa"/>
          </w:tcPr>
          <w:p w14:paraId="47848DED" w14:textId="16359F75" w:rsidR="00F34C53" w:rsidRPr="008F4EEC" w:rsidRDefault="008E77E3" w:rsidP="005579B0">
            <w:pPr>
              <w:rPr>
                <w:rFonts w:ascii="Arial" w:eastAsia="Calibri" w:hAnsi="Arial" w:cs="Arial"/>
                <w:b/>
                <w:bCs/>
                <w:i/>
                <w:iCs/>
                <w:sz w:val="22"/>
              </w:rPr>
            </w:pPr>
            <w:r w:rsidRPr="008F4EEC">
              <w:rPr>
                <w:rFonts w:ascii="Arial" w:eastAsia="Calibri" w:hAnsi="Arial" w:cs="Arial"/>
                <w:b/>
                <w:bCs/>
                <w:i/>
                <w:iCs/>
                <w:sz w:val="22"/>
              </w:rPr>
              <w:t xml:space="preserve">UKUPNO PRIHODI: </w:t>
            </w:r>
          </w:p>
        </w:tc>
        <w:tc>
          <w:tcPr>
            <w:tcW w:w="1984" w:type="dxa"/>
          </w:tcPr>
          <w:p w14:paraId="434589C0" w14:textId="141FCD09" w:rsidR="00F34C53" w:rsidRPr="008F4EEC" w:rsidRDefault="00C85D9C" w:rsidP="008E77E3">
            <w:pPr>
              <w:jc w:val="right"/>
              <w:rPr>
                <w:rFonts w:ascii="Arial" w:eastAsia="Calibri" w:hAnsi="Arial" w:cs="Arial"/>
                <w:b/>
                <w:bCs/>
                <w:i/>
                <w:iCs/>
                <w:sz w:val="22"/>
              </w:rPr>
            </w:pPr>
            <w:r w:rsidRPr="008F4EEC">
              <w:rPr>
                <w:rFonts w:ascii="Arial" w:eastAsia="Calibri" w:hAnsi="Arial" w:cs="Arial"/>
                <w:b/>
                <w:bCs/>
                <w:i/>
                <w:iCs/>
                <w:sz w:val="22"/>
              </w:rPr>
              <w:t>27.456.774,00</w:t>
            </w:r>
          </w:p>
        </w:tc>
        <w:tc>
          <w:tcPr>
            <w:tcW w:w="1701" w:type="dxa"/>
          </w:tcPr>
          <w:p w14:paraId="5DC25D9F" w14:textId="6CA15B4E" w:rsidR="00F34C53" w:rsidRPr="008F4EEC" w:rsidRDefault="00395D29" w:rsidP="001C5106">
            <w:pPr>
              <w:jc w:val="right"/>
              <w:rPr>
                <w:rFonts w:ascii="Arial" w:eastAsia="Calibri" w:hAnsi="Arial" w:cs="Arial"/>
                <w:b/>
                <w:bCs/>
                <w:i/>
                <w:iCs/>
                <w:sz w:val="22"/>
              </w:rPr>
            </w:pPr>
            <w:r w:rsidRPr="008F4EEC">
              <w:rPr>
                <w:rFonts w:ascii="Arial" w:eastAsia="Calibri" w:hAnsi="Arial" w:cs="Arial"/>
                <w:b/>
                <w:bCs/>
                <w:i/>
                <w:iCs/>
                <w:sz w:val="22"/>
              </w:rPr>
              <w:t>190.974,00</w:t>
            </w:r>
          </w:p>
        </w:tc>
        <w:tc>
          <w:tcPr>
            <w:tcW w:w="1701" w:type="dxa"/>
          </w:tcPr>
          <w:p w14:paraId="048E728F" w14:textId="363FBFC9" w:rsidR="00F34C53" w:rsidRPr="008F4EEC" w:rsidRDefault="00395D29" w:rsidP="001C5106">
            <w:pPr>
              <w:jc w:val="right"/>
              <w:rPr>
                <w:rFonts w:ascii="Arial" w:eastAsia="Calibri" w:hAnsi="Arial" w:cs="Arial"/>
                <w:b/>
                <w:bCs/>
                <w:i/>
                <w:iCs/>
                <w:sz w:val="22"/>
              </w:rPr>
            </w:pPr>
            <w:r w:rsidRPr="008F4EEC">
              <w:rPr>
                <w:rFonts w:ascii="Arial" w:eastAsia="Calibri" w:hAnsi="Arial" w:cs="Arial"/>
                <w:b/>
                <w:bCs/>
                <w:i/>
                <w:iCs/>
                <w:sz w:val="22"/>
              </w:rPr>
              <w:t>27.647.748,00</w:t>
            </w:r>
          </w:p>
        </w:tc>
      </w:tr>
      <w:tr w:rsidR="008F4EEC" w:rsidRPr="008F4EEC" w14:paraId="3DBB4069" w14:textId="77777777" w:rsidTr="00CD2DBD">
        <w:tc>
          <w:tcPr>
            <w:tcW w:w="4248" w:type="dxa"/>
          </w:tcPr>
          <w:p w14:paraId="534B07B1" w14:textId="59E23CC4" w:rsidR="00F34C53" w:rsidRPr="008F4EEC" w:rsidRDefault="008E77E3" w:rsidP="008E77E3">
            <w:pPr>
              <w:jc w:val="both"/>
              <w:rPr>
                <w:rFonts w:ascii="Arial" w:eastAsia="Calibri" w:hAnsi="Arial" w:cs="Arial"/>
                <w:sz w:val="22"/>
              </w:rPr>
            </w:pPr>
            <w:r w:rsidRPr="008F4EEC">
              <w:rPr>
                <w:rFonts w:ascii="Arial" w:eastAsia="Calibri" w:hAnsi="Arial" w:cs="Arial"/>
                <w:sz w:val="22"/>
              </w:rPr>
              <w:t>RASHODI POSLOVANJA</w:t>
            </w:r>
          </w:p>
        </w:tc>
        <w:tc>
          <w:tcPr>
            <w:tcW w:w="1984" w:type="dxa"/>
          </w:tcPr>
          <w:p w14:paraId="0072F1AA" w14:textId="5928C340" w:rsidR="00F34C53" w:rsidRPr="008F4EEC" w:rsidRDefault="00C85D9C" w:rsidP="008E77E3">
            <w:pPr>
              <w:jc w:val="right"/>
              <w:rPr>
                <w:rFonts w:ascii="Arial" w:eastAsia="Calibri" w:hAnsi="Arial" w:cs="Arial"/>
                <w:sz w:val="22"/>
              </w:rPr>
            </w:pPr>
            <w:r w:rsidRPr="008F4EEC">
              <w:rPr>
                <w:rFonts w:ascii="Arial" w:eastAsia="Calibri" w:hAnsi="Arial" w:cs="Arial"/>
                <w:sz w:val="22"/>
              </w:rPr>
              <w:t>21.688.842,00</w:t>
            </w:r>
          </w:p>
        </w:tc>
        <w:tc>
          <w:tcPr>
            <w:tcW w:w="1701" w:type="dxa"/>
          </w:tcPr>
          <w:p w14:paraId="54ADAA7F" w14:textId="181B8452" w:rsidR="00F34C53" w:rsidRPr="008F4EEC" w:rsidRDefault="00395D29" w:rsidP="001C5106">
            <w:pPr>
              <w:jc w:val="right"/>
              <w:rPr>
                <w:rFonts w:ascii="Arial" w:eastAsia="Calibri" w:hAnsi="Arial" w:cs="Arial"/>
                <w:sz w:val="22"/>
              </w:rPr>
            </w:pPr>
            <w:r w:rsidRPr="008F4EEC">
              <w:rPr>
                <w:rFonts w:ascii="Arial" w:eastAsia="Calibri" w:hAnsi="Arial" w:cs="Arial"/>
                <w:sz w:val="22"/>
              </w:rPr>
              <w:t>1.212.466,00</w:t>
            </w:r>
          </w:p>
        </w:tc>
        <w:tc>
          <w:tcPr>
            <w:tcW w:w="1701" w:type="dxa"/>
          </w:tcPr>
          <w:p w14:paraId="2572BCA1" w14:textId="4ED06323" w:rsidR="00F34C53" w:rsidRPr="008F4EEC" w:rsidRDefault="00395D29" w:rsidP="001C5106">
            <w:pPr>
              <w:jc w:val="right"/>
              <w:rPr>
                <w:rFonts w:ascii="Arial" w:eastAsia="Calibri" w:hAnsi="Arial" w:cs="Arial"/>
                <w:sz w:val="22"/>
              </w:rPr>
            </w:pPr>
            <w:r w:rsidRPr="008F4EEC">
              <w:rPr>
                <w:rFonts w:ascii="Arial" w:eastAsia="Calibri" w:hAnsi="Arial" w:cs="Arial"/>
                <w:sz w:val="22"/>
              </w:rPr>
              <w:t>22.901.308,00</w:t>
            </w:r>
          </w:p>
        </w:tc>
      </w:tr>
      <w:tr w:rsidR="008F4EEC" w:rsidRPr="008F4EEC" w14:paraId="54EB1B29" w14:textId="77777777" w:rsidTr="00CD2DBD">
        <w:tc>
          <w:tcPr>
            <w:tcW w:w="4248" w:type="dxa"/>
          </w:tcPr>
          <w:p w14:paraId="53A2C067" w14:textId="0E09A0D9" w:rsidR="00F34C53" w:rsidRPr="008F4EEC" w:rsidRDefault="008E77E3" w:rsidP="005579B0">
            <w:pPr>
              <w:rPr>
                <w:rFonts w:ascii="Arial" w:eastAsia="Calibri" w:hAnsi="Arial" w:cs="Arial"/>
                <w:sz w:val="22"/>
              </w:rPr>
            </w:pPr>
            <w:r w:rsidRPr="008F4EEC">
              <w:rPr>
                <w:rFonts w:ascii="Arial" w:eastAsia="Calibri" w:hAnsi="Arial" w:cs="Arial"/>
                <w:sz w:val="22"/>
              </w:rPr>
              <w:t>RASHODI ZA NABAVU NEFINANCIJSKE IMOVINE</w:t>
            </w:r>
          </w:p>
        </w:tc>
        <w:tc>
          <w:tcPr>
            <w:tcW w:w="1984" w:type="dxa"/>
          </w:tcPr>
          <w:p w14:paraId="09F011EB" w14:textId="77777777" w:rsidR="002334DA" w:rsidRPr="008F4EEC" w:rsidRDefault="002334DA" w:rsidP="008E77E3">
            <w:pPr>
              <w:jc w:val="right"/>
              <w:rPr>
                <w:rFonts w:ascii="Arial" w:eastAsia="Calibri" w:hAnsi="Arial" w:cs="Arial"/>
                <w:sz w:val="22"/>
              </w:rPr>
            </w:pPr>
          </w:p>
          <w:p w14:paraId="25BC1B77" w14:textId="66EABBA1" w:rsidR="00C85D9C" w:rsidRPr="008F4EEC" w:rsidRDefault="00C85D9C" w:rsidP="008E77E3">
            <w:pPr>
              <w:jc w:val="right"/>
              <w:rPr>
                <w:rFonts w:ascii="Arial" w:eastAsia="Calibri" w:hAnsi="Arial" w:cs="Arial"/>
                <w:sz w:val="22"/>
              </w:rPr>
            </w:pPr>
            <w:r w:rsidRPr="008F4EEC">
              <w:rPr>
                <w:rFonts w:ascii="Arial" w:eastAsia="Calibri" w:hAnsi="Arial" w:cs="Arial"/>
                <w:sz w:val="22"/>
              </w:rPr>
              <w:t>5.097.718,00</w:t>
            </w:r>
          </w:p>
        </w:tc>
        <w:tc>
          <w:tcPr>
            <w:tcW w:w="1701" w:type="dxa"/>
          </w:tcPr>
          <w:p w14:paraId="379AB087" w14:textId="77777777" w:rsidR="0048161F" w:rsidRPr="008F4EEC" w:rsidRDefault="0048161F" w:rsidP="001C5106">
            <w:pPr>
              <w:jc w:val="right"/>
              <w:rPr>
                <w:rFonts w:ascii="Arial" w:eastAsia="Calibri" w:hAnsi="Arial" w:cs="Arial"/>
                <w:sz w:val="22"/>
              </w:rPr>
            </w:pPr>
          </w:p>
          <w:p w14:paraId="3C767B39" w14:textId="78B2B910" w:rsidR="00395D29" w:rsidRPr="008F4EEC" w:rsidRDefault="00395D29" w:rsidP="001C5106">
            <w:pPr>
              <w:jc w:val="right"/>
              <w:rPr>
                <w:rFonts w:ascii="Arial" w:eastAsia="Calibri" w:hAnsi="Arial" w:cs="Arial"/>
                <w:sz w:val="22"/>
              </w:rPr>
            </w:pPr>
            <w:r w:rsidRPr="008F4EEC">
              <w:rPr>
                <w:rFonts w:ascii="Arial" w:eastAsia="Calibri" w:hAnsi="Arial" w:cs="Arial"/>
                <w:sz w:val="22"/>
              </w:rPr>
              <w:t>-279.171,00</w:t>
            </w:r>
          </w:p>
        </w:tc>
        <w:tc>
          <w:tcPr>
            <w:tcW w:w="1701" w:type="dxa"/>
          </w:tcPr>
          <w:p w14:paraId="731FA353" w14:textId="77777777" w:rsidR="0048161F" w:rsidRPr="008F4EEC" w:rsidRDefault="0048161F" w:rsidP="001C5106">
            <w:pPr>
              <w:jc w:val="right"/>
              <w:rPr>
                <w:rFonts w:ascii="Arial" w:eastAsia="Calibri" w:hAnsi="Arial" w:cs="Arial"/>
                <w:sz w:val="22"/>
              </w:rPr>
            </w:pPr>
          </w:p>
          <w:p w14:paraId="28620F21" w14:textId="06EB7DBE" w:rsidR="00395D29" w:rsidRPr="008F4EEC" w:rsidRDefault="00395D29" w:rsidP="001C5106">
            <w:pPr>
              <w:jc w:val="right"/>
              <w:rPr>
                <w:rFonts w:ascii="Arial" w:eastAsia="Calibri" w:hAnsi="Arial" w:cs="Arial"/>
                <w:sz w:val="22"/>
              </w:rPr>
            </w:pPr>
            <w:r w:rsidRPr="008F4EEC">
              <w:rPr>
                <w:rFonts w:ascii="Arial" w:eastAsia="Calibri" w:hAnsi="Arial" w:cs="Arial"/>
                <w:sz w:val="22"/>
              </w:rPr>
              <w:t>4.818.547,00</w:t>
            </w:r>
          </w:p>
        </w:tc>
      </w:tr>
      <w:tr w:rsidR="008F4EEC" w:rsidRPr="008F4EEC" w14:paraId="273C67CE" w14:textId="77777777" w:rsidTr="00CD2DBD">
        <w:tc>
          <w:tcPr>
            <w:tcW w:w="4248" w:type="dxa"/>
          </w:tcPr>
          <w:p w14:paraId="5A7DDA3F" w14:textId="752387EC" w:rsidR="00F34C53" w:rsidRPr="008F4EEC" w:rsidRDefault="008E77E3" w:rsidP="005579B0">
            <w:pPr>
              <w:rPr>
                <w:rFonts w:ascii="Arial" w:eastAsia="Calibri" w:hAnsi="Arial" w:cs="Arial"/>
                <w:b/>
                <w:bCs/>
                <w:i/>
                <w:iCs/>
                <w:sz w:val="22"/>
              </w:rPr>
            </w:pPr>
            <w:r w:rsidRPr="008F4EEC">
              <w:rPr>
                <w:rFonts w:ascii="Arial" w:eastAsia="Calibri" w:hAnsi="Arial" w:cs="Arial"/>
                <w:b/>
                <w:bCs/>
                <w:i/>
                <w:iCs/>
                <w:sz w:val="22"/>
              </w:rPr>
              <w:t>UKUPNO RASHODI:</w:t>
            </w:r>
          </w:p>
        </w:tc>
        <w:tc>
          <w:tcPr>
            <w:tcW w:w="1984" w:type="dxa"/>
          </w:tcPr>
          <w:p w14:paraId="292A815F" w14:textId="319B8AF5" w:rsidR="00F34C53" w:rsidRPr="008F4EEC" w:rsidRDefault="00C85D9C" w:rsidP="008E77E3">
            <w:pPr>
              <w:jc w:val="right"/>
              <w:rPr>
                <w:rFonts w:ascii="Arial" w:eastAsia="Calibri" w:hAnsi="Arial" w:cs="Arial"/>
                <w:b/>
                <w:bCs/>
                <w:i/>
                <w:iCs/>
                <w:sz w:val="22"/>
              </w:rPr>
            </w:pPr>
            <w:r w:rsidRPr="008F4EEC">
              <w:rPr>
                <w:rFonts w:ascii="Arial" w:eastAsia="Calibri" w:hAnsi="Arial" w:cs="Arial"/>
                <w:b/>
                <w:bCs/>
                <w:i/>
                <w:iCs/>
                <w:sz w:val="22"/>
              </w:rPr>
              <w:t>26.786.560,00</w:t>
            </w:r>
          </w:p>
        </w:tc>
        <w:tc>
          <w:tcPr>
            <w:tcW w:w="1701" w:type="dxa"/>
          </w:tcPr>
          <w:p w14:paraId="5EB1F539" w14:textId="274DBFB0" w:rsidR="00F34C53" w:rsidRPr="008F4EEC" w:rsidRDefault="00395D29" w:rsidP="001C5106">
            <w:pPr>
              <w:jc w:val="right"/>
              <w:rPr>
                <w:rFonts w:ascii="Arial" w:eastAsia="Calibri" w:hAnsi="Arial" w:cs="Arial"/>
                <w:b/>
                <w:bCs/>
                <w:i/>
                <w:iCs/>
                <w:sz w:val="22"/>
              </w:rPr>
            </w:pPr>
            <w:r w:rsidRPr="008F4EEC">
              <w:rPr>
                <w:rFonts w:ascii="Arial" w:eastAsia="Calibri" w:hAnsi="Arial" w:cs="Arial"/>
                <w:b/>
                <w:bCs/>
                <w:i/>
                <w:iCs/>
                <w:sz w:val="22"/>
              </w:rPr>
              <w:t>933.295,00</w:t>
            </w:r>
          </w:p>
        </w:tc>
        <w:tc>
          <w:tcPr>
            <w:tcW w:w="1701" w:type="dxa"/>
          </w:tcPr>
          <w:p w14:paraId="6C197222" w14:textId="03444F98" w:rsidR="00F34C53" w:rsidRPr="008F4EEC" w:rsidRDefault="00395D29" w:rsidP="001C5106">
            <w:pPr>
              <w:jc w:val="right"/>
              <w:rPr>
                <w:rFonts w:ascii="Arial" w:eastAsia="Calibri" w:hAnsi="Arial" w:cs="Arial"/>
                <w:b/>
                <w:bCs/>
                <w:i/>
                <w:iCs/>
                <w:sz w:val="22"/>
              </w:rPr>
            </w:pPr>
            <w:r w:rsidRPr="008F4EEC">
              <w:rPr>
                <w:rFonts w:ascii="Arial" w:eastAsia="Calibri" w:hAnsi="Arial" w:cs="Arial"/>
                <w:b/>
                <w:bCs/>
                <w:i/>
                <w:iCs/>
                <w:sz w:val="22"/>
              </w:rPr>
              <w:t>27.719.855,00</w:t>
            </w:r>
          </w:p>
        </w:tc>
      </w:tr>
      <w:tr w:rsidR="008F4EEC" w:rsidRPr="008F4EEC" w14:paraId="016B7B9C" w14:textId="77777777" w:rsidTr="00CD2DBD">
        <w:tc>
          <w:tcPr>
            <w:tcW w:w="4248" w:type="dxa"/>
          </w:tcPr>
          <w:p w14:paraId="120CC617" w14:textId="77777777" w:rsidR="00F34C53" w:rsidRPr="008F4EEC" w:rsidRDefault="008E77E3" w:rsidP="005579B0">
            <w:pPr>
              <w:rPr>
                <w:rFonts w:ascii="Arial" w:eastAsia="Calibri" w:hAnsi="Arial" w:cs="Arial"/>
                <w:b/>
                <w:bCs/>
                <w:i/>
                <w:iCs/>
                <w:sz w:val="22"/>
              </w:rPr>
            </w:pPr>
            <w:r w:rsidRPr="008F4EEC">
              <w:rPr>
                <w:rFonts w:ascii="Arial" w:eastAsia="Calibri" w:hAnsi="Arial" w:cs="Arial"/>
                <w:b/>
                <w:bCs/>
                <w:i/>
                <w:iCs/>
                <w:sz w:val="22"/>
              </w:rPr>
              <w:t>RAZLIKA</w:t>
            </w:r>
          </w:p>
          <w:p w14:paraId="53672193" w14:textId="2F322A4B" w:rsidR="008E77E3" w:rsidRPr="008F4EEC" w:rsidRDefault="008E77E3" w:rsidP="005579B0">
            <w:pPr>
              <w:rPr>
                <w:rFonts w:ascii="Arial" w:eastAsia="Calibri" w:hAnsi="Arial" w:cs="Arial"/>
                <w:b/>
                <w:bCs/>
                <w:i/>
                <w:iCs/>
                <w:sz w:val="22"/>
              </w:rPr>
            </w:pPr>
            <w:r w:rsidRPr="008F4EEC">
              <w:rPr>
                <w:rFonts w:ascii="Arial" w:eastAsia="Calibri" w:hAnsi="Arial" w:cs="Arial"/>
                <w:b/>
                <w:bCs/>
                <w:i/>
                <w:iCs/>
                <w:sz w:val="22"/>
              </w:rPr>
              <w:t>VIŠAK / MANJAK</w:t>
            </w:r>
          </w:p>
        </w:tc>
        <w:tc>
          <w:tcPr>
            <w:tcW w:w="1984" w:type="dxa"/>
          </w:tcPr>
          <w:p w14:paraId="149E6502" w14:textId="77777777" w:rsidR="002334DA" w:rsidRPr="008F4EEC" w:rsidRDefault="002334DA" w:rsidP="001C5106">
            <w:pPr>
              <w:jc w:val="right"/>
              <w:rPr>
                <w:rFonts w:ascii="Arial" w:eastAsia="Calibri" w:hAnsi="Arial" w:cs="Arial"/>
                <w:b/>
                <w:bCs/>
                <w:i/>
                <w:iCs/>
                <w:sz w:val="22"/>
              </w:rPr>
            </w:pPr>
          </w:p>
          <w:p w14:paraId="367FF924" w14:textId="5366C65B" w:rsidR="00C85D9C" w:rsidRPr="008F4EEC" w:rsidRDefault="00C85D9C" w:rsidP="001C5106">
            <w:pPr>
              <w:jc w:val="right"/>
              <w:rPr>
                <w:rFonts w:ascii="Arial" w:eastAsia="Calibri" w:hAnsi="Arial" w:cs="Arial"/>
                <w:b/>
                <w:bCs/>
                <w:i/>
                <w:iCs/>
                <w:sz w:val="22"/>
              </w:rPr>
            </w:pPr>
            <w:r w:rsidRPr="008F4EEC">
              <w:rPr>
                <w:rFonts w:ascii="Arial" w:eastAsia="Calibri" w:hAnsi="Arial" w:cs="Arial"/>
                <w:b/>
                <w:bCs/>
                <w:i/>
                <w:iCs/>
                <w:sz w:val="22"/>
              </w:rPr>
              <w:t>670.214,00</w:t>
            </w:r>
          </w:p>
        </w:tc>
        <w:tc>
          <w:tcPr>
            <w:tcW w:w="1701" w:type="dxa"/>
          </w:tcPr>
          <w:p w14:paraId="2A050F62" w14:textId="77777777" w:rsidR="0048161F" w:rsidRPr="008F4EEC" w:rsidRDefault="0048161F" w:rsidP="001C5106">
            <w:pPr>
              <w:jc w:val="right"/>
              <w:rPr>
                <w:rFonts w:ascii="Arial" w:eastAsia="Calibri" w:hAnsi="Arial" w:cs="Arial"/>
                <w:b/>
                <w:bCs/>
                <w:i/>
                <w:iCs/>
                <w:sz w:val="22"/>
              </w:rPr>
            </w:pPr>
          </w:p>
          <w:p w14:paraId="6685B3C4" w14:textId="49BDD9F8" w:rsidR="00395D29" w:rsidRPr="008F4EEC" w:rsidRDefault="00395D29" w:rsidP="001C5106">
            <w:pPr>
              <w:jc w:val="right"/>
              <w:rPr>
                <w:rFonts w:ascii="Arial" w:eastAsia="Calibri" w:hAnsi="Arial" w:cs="Arial"/>
                <w:b/>
                <w:bCs/>
                <w:i/>
                <w:iCs/>
                <w:sz w:val="22"/>
              </w:rPr>
            </w:pPr>
            <w:r w:rsidRPr="008F4EEC">
              <w:rPr>
                <w:rFonts w:ascii="Arial" w:eastAsia="Calibri" w:hAnsi="Arial" w:cs="Arial"/>
                <w:b/>
                <w:bCs/>
                <w:i/>
                <w:iCs/>
                <w:sz w:val="22"/>
              </w:rPr>
              <w:t>-742.321,00</w:t>
            </w:r>
          </w:p>
        </w:tc>
        <w:tc>
          <w:tcPr>
            <w:tcW w:w="1701" w:type="dxa"/>
          </w:tcPr>
          <w:p w14:paraId="61486104" w14:textId="77777777" w:rsidR="0048161F" w:rsidRPr="008F4EEC" w:rsidRDefault="0048161F" w:rsidP="001C5106">
            <w:pPr>
              <w:jc w:val="right"/>
              <w:rPr>
                <w:rFonts w:ascii="Arial" w:eastAsia="Calibri" w:hAnsi="Arial" w:cs="Arial"/>
                <w:b/>
                <w:bCs/>
                <w:i/>
                <w:iCs/>
                <w:sz w:val="22"/>
              </w:rPr>
            </w:pPr>
          </w:p>
          <w:p w14:paraId="324E504E" w14:textId="728ECE65" w:rsidR="00395D29" w:rsidRPr="008F4EEC" w:rsidRDefault="00395D29" w:rsidP="001C5106">
            <w:pPr>
              <w:jc w:val="right"/>
              <w:rPr>
                <w:rFonts w:ascii="Arial" w:eastAsia="Calibri" w:hAnsi="Arial" w:cs="Arial"/>
                <w:b/>
                <w:bCs/>
                <w:i/>
                <w:iCs/>
                <w:sz w:val="22"/>
              </w:rPr>
            </w:pPr>
            <w:r w:rsidRPr="008F4EEC">
              <w:rPr>
                <w:rFonts w:ascii="Arial" w:eastAsia="Calibri" w:hAnsi="Arial" w:cs="Arial"/>
                <w:b/>
                <w:bCs/>
                <w:i/>
                <w:iCs/>
                <w:sz w:val="22"/>
              </w:rPr>
              <w:t>-72.107,00</w:t>
            </w:r>
          </w:p>
        </w:tc>
      </w:tr>
    </w:tbl>
    <w:p w14:paraId="3F85D63E" w14:textId="0C78D0C2" w:rsidR="00BF6E2F" w:rsidRPr="008F4EEC" w:rsidRDefault="00BF6E2F" w:rsidP="005579B0">
      <w:pPr>
        <w:rPr>
          <w:rFonts w:ascii="Arial" w:eastAsia="Calibri" w:hAnsi="Arial" w:cs="Arial"/>
          <w:sz w:val="22"/>
        </w:rPr>
      </w:pPr>
    </w:p>
    <w:p w14:paraId="221CF4D7" w14:textId="77777777" w:rsidR="00AF247C" w:rsidRPr="008F4EEC" w:rsidRDefault="00AF247C" w:rsidP="005579B0">
      <w:pPr>
        <w:rPr>
          <w:rFonts w:ascii="Arial" w:eastAsia="Calibri" w:hAnsi="Arial" w:cs="Arial"/>
          <w:sz w:val="22"/>
        </w:rPr>
      </w:pPr>
    </w:p>
    <w:p w14:paraId="5A419848" w14:textId="77777777" w:rsidR="00AF247C" w:rsidRPr="008F4EEC" w:rsidRDefault="00AF247C" w:rsidP="005579B0">
      <w:pPr>
        <w:rPr>
          <w:rFonts w:ascii="Arial" w:eastAsia="Calibri" w:hAnsi="Arial" w:cs="Arial"/>
          <w:sz w:val="22"/>
        </w:rPr>
      </w:pPr>
    </w:p>
    <w:p w14:paraId="18DE55D4" w14:textId="77777777" w:rsidR="002D1277" w:rsidRPr="008F4EEC" w:rsidRDefault="002D1277" w:rsidP="005579B0">
      <w:pPr>
        <w:rPr>
          <w:rFonts w:ascii="Arial" w:eastAsia="Calibri" w:hAnsi="Arial" w:cs="Arial"/>
          <w:sz w:val="22"/>
        </w:rPr>
      </w:pPr>
    </w:p>
    <w:p w14:paraId="1F3A7B68" w14:textId="77777777" w:rsidR="00432E4F" w:rsidRPr="008F4EEC" w:rsidRDefault="00432E4F" w:rsidP="005579B0">
      <w:pPr>
        <w:rPr>
          <w:rFonts w:ascii="Arial" w:eastAsia="Calibri" w:hAnsi="Arial" w:cs="Arial"/>
          <w:sz w:val="22"/>
        </w:rPr>
      </w:pPr>
    </w:p>
    <w:p w14:paraId="1A22D80E" w14:textId="77777777" w:rsidR="005579B0" w:rsidRPr="008F4EEC" w:rsidRDefault="005579B0" w:rsidP="005579B0">
      <w:pPr>
        <w:numPr>
          <w:ilvl w:val="0"/>
          <w:numId w:val="2"/>
        </w:numPr>
        <w:spacing w:after="200" w:line="276" w:lineRule="auto"/>
        <w:contextualSpacing/>
        <w:rPr>
          <w:rFonts w:ascii="Arial" w:eastAsia="Calibri" w:hAnsi="Arial" w:cs="Arial"/>
          <w:b/>
          <w:sz w:val="22"/>
        </w:rPr>
      </w:pPr>
      <w:r w:rsidRPr="008F4EEC">
        <w:rPr>
          <w:rFonts w:ascii="Arial" w:eastAsia="Calibri" w:hAnsi="Arial" w:cs="Arial"/>
          <w:b/>
          <w:sz w:val="22"/>
        </w:rPr>
        <w:t xml:space="preserve"> RAČUN ZADUŽIVANJA/FINANCIRANJA</w:t>
      </w:r>
    </w:p>
    <w:p w14:paraId="60BC4A01" w14:textId="77777777" w:rsidR="00031DF4" w:rsidRPr="008F4EEC" w:rsidRDefault="00031DF4" w:rsidP="00031DF4">
      <w:pPr>
        <w:spacing w:after="200" w:line="276" w:lineRule="auto"/>
        <w:ind w:left="720"/>
        <w:contextualSpacing/>
        <w:rPr>
          <w:rFonts w:ascii="Arial" w:eastAsia="Calibri" w:hAnsi="Arial" w:cs="Arial"/>
          <w:b/>
          <w:sz w:val="22"/>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956"/>
        <w:gridCol w:w="1644"/>
        <w:gridCol w:w="1758"/>
      </w:tblGrid>
      <w:tr w:rsidR="008F4EEC" w:rsidRPr="008F4EEC" w14:paraId="59869989" w14:textId="77777777" w:rsidTr="007145B3">
        <w:tc>
          <w:tcPr>
            <w:tcW w:w="3888" w:type="dxa"/>
          </w:tcPr>
          <w:p w14:paraId="45C755CC" w14:textId="77777777" w:rsidR="005579B0" w:rsidRPr="008F4EEC" w:rsidRDefault="005579B0" w:rsidP="005579B0">
            <w:pPr>
              <w:jc w:val="both"/>
              <w:rPr>
                <w:rFonts w:ascii="Arial" w:hAnsi="Arial" w:cs="Arial"/>
                <w:sz w:val="22"/>
              </w:rPr>
            </w:pPr>
            <w:r w:rsidRPr="008F4EEC">
              <w:rPr>
                <w:rFonts w:ascii="Arial" w:hAnsi="Arial" w:cs="Arial"/>
                <w:sz w:val="22"/>
              </w:rPr>
              <w:t>PRIMICI OD FINANCIJSKE IMOVINE I ZADUŽIVANJA</w:t>
            </w:r>
          </w:p>
        </w:tc>
        <w:tc>
          <w:tcPr>
            <w:tcW w:w="1956" w:type="dxa"/>
          </w:tcPr>
          <w:p w14:paraId="6EE42B6C" w14:textId="77777777" w:rsidR="005579B0" w:rsidRPr="008F4EEC" w:rsidRDefault="005579B0" w:rsidP="005579B0">
            <w:pPr>
              <w:jc w:val="right"/>
              <w:rPr>
                <w:rFonts w:ascii="Arial" w:hAnsi="Arial" w:cs="Arial"/>
                <w:sz w:val="22"/>
              </w:rPr>
            </w:pPr>
          </w:p>
          <w:p w14:paraId="479AD4CA" w14:textId="6F6289CE" w:rsidR="002334DA" w:rsidRPr="008F4EEC" w:rsidRDefault="002334DA" w:rsidP="005579B0">
            <w:pPr>
              <w:jc w:val="right"/>
              <w:rPr>
                <w:rFonts w:ascii="Arial" w:hAnsi="Arial" w:cs="Arial"/>
                <w:sz w:val="22"/>
              </w:rPr>
            </w:pPr>
            <w:r w:rsidRPr="008F4EEC">
              <w:rPr>
                <w:rFonts w:ascii="Arial" w:hAnsi="Arial" w:cs="Arial"/>
                <w:sz w:val="22"/>
              </w:rPr>
              <w:t>-</w:t>
            </w:r>
          </w:p>
        </w:tc>
        <w:tc>
          <w:tcPr>
            <w:tcW w:w="1644" w:type="dxa"/>
          </w:tcPr>
          <w:p w14:paraId="277AFA16" w14:textId="77777777" w:rsidR="00CD2DBD" w:rsidRPr="008F4EEC" w:rsidRDefault="00CD2DBD" w:rsidP="005579B0">
            <w:pPr>
              <w:jc w:val="right"/>
              <w:rPr>
                <w:rFonts w:ascii="Arial" w:hAnsi="Arial" w:cs="Arial"/>
                <w:sz w:val="22"/>
              </w:rPr>
            </w:pPr>
          </w:p>
          <w:p w14:paraId="131AB722" w14:textId="33D8D8AA" w:rsidR="0048161F" w:rsidRPr="008F4EEC" w:rsidRDefault="0048161F" w:rsidP="005579B0">
            <w:pPr>
              <w:jc w:val="right"/>
              <w:rPr>
                <w:rFonts w:ascii="Arial" w:hAnsi="Arial" w:cs="Arial"/>
                <w:sz w:val="22"/>
              </w:rPr>
            </w:pPr>
            <w:r w:rsidRPr="008F4EEC">
              <w:rPr>
                <w:rFonts w:ascii="Arial" w:hAnsi="Arial" w:cs="Arial"/>
                <w:sz w:val="22"/>
              </w:rPr>
              <w:t>-</w:t>
            </w:r>
          </w:p>
        </w:tc>
        <w:tc>
          <w:tcPr>
            <w:tcW w:w="1758" w:type="dxa"/>
          </w:tcPr>
          <w:p w14:paraId="18A65199" w14:textId="77777777" w:rsidR="00CD2DBD" w:rsidRPr="008F4EEC" w:rsidRDefault="00CD2DBD" w:rsidP="005579B0">
            <w:pPr>
              <w:jc w:val="right"/>
              <w:rPr>
                <w:rFonts w:ascii="Arial" w:hAnsi="Arial" w:cs="Arial"/>
                <w:sz w:val="22"/>
              </w:rPr>
            </w:pPr>
          </w:p>
          <w:p w14:paraId="57725DD5" w14:textId="3F952669" w:rsidR="0048161F" w:rsidRPr="008F4EEC" w:rsidRDefault="0048161F" w:rsidP="005579B0">
            <w:pPr>
              <w:jc w:val="right"/>
              <w:rPr>
                <w:rFonts w:ascii="Arial" w:hAnsi="Arial" w:cs="Arial"/>
                <w:sz w:val="22"/>
              </w:rPr>
            </w:pPr>
            <w:r w:rsidRPr="008F4EEC">
              <w:rPr>
                <w:rFonts w:ascii="Arial" w:hAnsi="Arial" w:cs="Arial"/>
                <w:sz w:val="22"/>
              </w:rPr>
              <w:t>-</w:t>
            </w:r>
          </w:p>
        </w:tc>
      </w:tr>
      <w:tr w:rsidR="008F4EEC" w:rsidRPr="008F4EEC" w14:paraId="5FB96082" w14:textId="77777777" w:rsidTr="007145B3">
        <w:tc>
          <w:tcPr>
            <w:tcW w:w="3888" w:type="dxa"/>
          </w:tcPr>
          <w:p w14:paraId="1BBCEF7E" w14:textId="77777777" w:rsidR="005579B0" w:rsidRPr="008F4EEC" w:rsidRDefault="005579B0" w:rsidP="005579B0">
            <w:pPr>
              <w:jc w:val="both"/>
              <w:rPr>
                <w:rFonts w:ascii="Arial" w:hAnsi="Arial" w:cs="Arial"/>
                <w:sz w:val="22"/>
              </w:rPr>
            </w:pPr>
            <w:r w:rsidRPr="008F4EEC">
              <w:rPr>
                <w:rFonts w:ascii="Arial" w:hAnsi="Arial" w:cs="Arial"/>
                <w:sz w:val="22"/>
              </w:rPr>
              <w:t>IZDACI ZA FINANCIJSKU IMOVINU I OTPLATE ZAJMOVA</w:t>
            </w:r>
          </w:p>
        </w:tc>
        <w:tc>
          <w:tcPr>
            <w:tcW w:w="1956" w:type="dxa"/>
          </w:tcPr>
          <w:p w14:paraId="55D47A5B" w14:textId="77777777" w:rsidR="002334DA" w:rsidRPr="008F4EEC" w:rsidRDefault="002334DA" w:rsidP="005579B0">
            <w:pPr>
              <w:jc w:val="right"/>
              <w:rPr>
                <w:rFonts w:ascii="Arial" w:hAnsi="Arial" w:cs="Arial"/>
                <w:sz w:val="22"/>
              </w:rPr>
            </w:pPr>
          </w:p>
          <w:p w14:paraId="788BA5EC" w14:textId="30AF06E2" w:rsidR="00C85D9C" w:rsidRPr="008F4EEC" w:rsidRDefault="00C85D9C" w:rsidP="005579B0">
            <w:pPr>
              <w:jc w:val="right"/>
              <w:rPr>
                <w:rFonts w:ascii="Arial" w:hAnsi="Arial" w:cs="Arial"/>
                <w:sz w:val="22"/>
              </w:rPr>
            </w:pPr>
            <w:r w:rsidRPr="008F4EEC">
              <w:rPr>
                <w:rFonts w:ascii="Arial" w:hAnsi="Arial" w:cs="Arial"/>
                <w:sz w:val="22"/>
              </w:rPr>
              <w:t>693.746,00</w:t>
            </w:r>
          </w:p>
          <w:p w14:paraId="3D860DBF" w14:textId="23BBB17F" w:rsidR="00C85D9C" w:rsidRPr="008F4EEC" w:rsidRDefault="00C85D9C" w:rsidP="005579B0">
            <w:pPr>
              <w:jc w:val="right"/>
              <w:rPr>
                <w:rFonts w:ascii="Arial" w:hAnsi="Arial" w:cs="Arial"/>
                <w:sz w:val="22"/>
              </w:rPr>
            </w:pPr>
          </w:p>
        </w:tc>
        <w:tc>
          <w:tcPr>
            <w:tcW w:w="1644" w:type="dxa"/>
          </w:tcPr>
          <w:p w14:paraId="25786606" w14:textId="77777777" w:rsidR="00395D29" w:rsidRPr="008F4EEC" w:rsidRDefault="00395D29" w:rsidP="005579B0">
            <w:pPr>
              <w:jc w:val="right"/>
              <w:rPr>
                <w:rFonts w:ascii="Arial" w:hAnsi="Arial" w:cs="Arial"/>
                <w:sz w:val="22"/>
              </w:rPr>
            </w:pPr>
          </w:p>
          <w:p w14:paraId="18A27C01" w14:textId="4386CD22" w:rsidR="0048161F" w:rsidRPr="008F4EEC" w:rsidRDefault="00395D29" w:rsidP="005579B0">
            <w:pPr>
              <w:jc w:val="right"/>
              <w:rPr>
                <w:rFonts w:ascii="Arial" w:hAnsi="Arial" w:cs="Arial"/>
                <w:sz w:val="22"/>
              </w:rPr>
            </w:pPr>
            <w:r w:rsidRPr="008F4EEC">
              <w:rPr>
                <w:rFonts w:ascii="Arial" w:hAnsi="Arial" w:cs="Arial"/>
                <w:sz w:val="22"/>
              </w:rPr>
              <w:t>-</w:t>
            </w:r>
          </w:p>
        </w:tc>
        <w:tc>
          <w:tcPr>
            <w:tcW w:w="1758" w:type="dxa"/>
          </w:tcPr>
          <w:p w14:paraId="28363B1F" w14:textId="77777777" w:rsidR="00395D29" w:rsidRPr="008F4EEC" w:rsidRDefault="00395D29" w:rsidP="00395D29">
            <w:pPr>
              <w:jc w:val="right"/>
              <w:rPr>
                <w:rFonts w:ascii="Arial" w:hAnsi="Arial" w:cs="Arial"/>
                <w:sz w:val="22"/>
              </w:rPr>
            </w:pPr>
          </w:p>
          <w:p w14:paraId="5097D839" w14:textId="6C4EDB0C" w:rsidR="00395D29" w:rsidRPr="008F4EEC" w:rsidRDefault="00395D29" w:rsidP="00395D29">
            <w:pPr>
              <w:jc w:val="right"/>
              <w:rPr>
                <w:rFonts w:ascii="Arial" w:hAnsi="Arial" w:cs="Arial"/>
                <w:sz w:val="22"/>
              </w:rPr>
            </w:pPr>
            <w:r w:rsidRPr="008F4EEC">
              <w:rPr>
                <w:rFonts w:ascii="Arial" w:hAnsi="Arial" w:cs="Arial"/>
                <w:sz w:val="22"/>
              </w:rPr>
              <w:t>693.746,00</w:t>
            </w:r>
          </w:p>
          <w:p w14:paraId="2BFE8ECF" w14:textId="76B962E2" w:rsidR="0048161F" w:rsidRPr="008F4EEC" w:rsidRDefault="0048161F" w:rsidP="005579B0">
            <w:pPr>
              <w:jc w:val="right"/>
              <w:rPr>
                <w:rFonts w:ascii="Arial" w:hAnsi="Arial" w:cs="Arial"/>
                <w:sz w:val="22"/>
              </w:rPr>
            </w:pPr>
          </w:p>
        </w:tc>
      </w:tr>
      <w:tr w:rsidR="00274BE6" w:rsidRPr="008F4EEC" w14:paraId="72C62B4F" w14:textId="77777777" w:rsidTr="007145B3">
        <w:tc>
          <w:tcPr>
            <w:tcW w:w="3888" w:type="dxa"/>
          </w:tcPr>
          <w:p w14:paraId="65B835BD" w14:textId="77777777" w:rsidR="005579B0" w:rsidRPr="008F4EEC" w:rsidRDefault="005579B0" w:rsidP="005579B0">
            <w:pPr>
              <w:jc w:val="both"/>
              <w:rPr>
                <w:rFonts w:ascii="Arial" w:hAnsi="Arial" w:cs="Arial"/>
                <w:b/>
                <w:bCs/>
                <w:i/>
                <w:iCs/>
                <w:sz w:val="22"/>
              </w:rPr>
            </w:pPr>
            <w:r w:rsidRPr="008F4EEC">
              <w:rPr>
                <w:rFonts w:ascii="Arial" w:hAnsi="Arial" w:cs="Arial"/>
                <w:b/>
                <w:bCs/>
                <w:i/>
                <w:iCs/>
                <w:sz w:val="22"/>
              </w:rPr>
              <w:t>NETO ZADUŽIVANJE/FINANCIRANJE</w:t>
            </w:r>
          </w:p>
        </w:tc>
        <w:tc>
          <w:tcPr>
            <w:tcW w:w="1956" w:type="dxa"/>
          </w:tcPr>
          <w:p w14:paraId="3E58EA99" w14:textId="77777777" w:rsidR="002334DA" w:rsidRPr="008F4EEC" w:rsidRDefault="002334DA" w:rsidP="005579B0">
            <w:pPr>
              <w:jc w:val="right"/>
              <w:rPr>
                <w:rFonts w:ascii="Arial" w:hAnsi="Arial" w:cs="Arial"/>
                <w:b/>
                <w:bCs/>
                <w:i/>
                <w:iCs/>
                <w:sz w:val="22"/>
              </w:rPr>
            </w:pPr>
          </w:p>
          <w:p w14:paraId="742CC61F" w14:textId="74B9970F" w:rsidR="00C85D9C" w:rsidRPr="008F4EEC" w:rsidRDefault="00C85D9C" w:rsidP="00C85D9C">
            <w:pPr>
              <w:jc w:val="right"/>
              <w:rPr>
                <w:rFonts w:ascii="Arial" w:hAnsi="Arial" w:cs="Arial"/>
                <w:b/>
                <w:bCs/>
                <w:i/>
                <w:iCs/>
                <w:sz w:val="22"/>
              </w:rPr>
            </w:pPr>
            <w:r w:rsidRPr="008F4EEC">
              <w:rPr>
                <w:rFonts w:ascii="Arial" w:hAnsi="Arial" w:cs="Arial"/>
                <w:b/>
                <w:bCs/>
                <w:i/>
                <w:iCs/>
                <w:sz w:val="22"/>
              </w:rPr>
              <w:t>-693.746,00</w:t>
            </w:r>
          </w:p>
          <w:p w14:paraId="7FCC7D3C" w14:textId="5A11E694" w:rsidR="00C85D9C" w:rsidRPr="008F4EEC" w:rsidRDefault="00C85D9C" w:rsidP="005579B0">
            <w:pPr>
              <w:jc w:val="right"/>
              <w:rPr>
                <w:rFonts w:ascii="Arial" w:hAnsi="Arial" w:cs="Arial"/>
                <w:b/>
                <w:bCs/>
                <w:i/>
                <w:iCs/>
                <w:sz w:val="22"/>
              </w:rPr>
            </w:pPr>
          </w:p>
        </w:tc>
        <w:tc>
          <w:tcPr>
            <w:tcW w:w="1644" w:type="dxa"/>
          </w:tcPr>
          <w:p w14:paraId="5E1858E4" w14:textId="77777777" w:rsidR="0048161F" w:rsidRPr="008F4EEC" w:rsidRDefault="0048161F" w:rsidP="005579B0">
            <w:pPr>
              <w:jc w:val="right"/>
              <w:rPr>
                <w:rFonts w:ascii="Arial" w:hAnsi="Arial" w:cs="Arial"/>
                <w:b/>
                <w:bCs/>
                <w:i/>
                <w:iCs/>
                <w:sz w:val="22"/>
              </w:rPr>
            </w:pPr>
          </w:p>
          <w:p w14:paraId="47590AF9" w14:textId="6716FD90" w:rsidR="00395D29" w:rsidRPr="008F4EEC" w:rsidRDefault="00395D29" w:rsidP="005579B0">
            <w:pPr>
              <w:jc w:val="right"/>
              <w:rPr>
                <w:rFonts w:ascii="Arial" w:hAnsi="Arial" w:cs="Arial"/>
                <w:b/>
                <w:bCs/>
                <w:i/>
                <w:iCs/>
                <w:sz w:val="22"/>
              </w:rPr>
            </w:pPr>
            <w:r w:rsidRPr="008F4EEC">
              <w:rPr>
                <w:rFonts w:ascii="Arial" w:hAnsi="Arial" w:cs="Arial"/>
                <w:b/>
                <w:bCs/>
                <w:i/>
                <w:iCs/>
                <w:sz w:val="22"/>
              </w:rPr>
              <w:t>-</w:t>
            </w:r>
          </w:p>
        </w:tc>
        <w:tc>
          <w:tcPr>
            <w:tcW w:w="1758" w:type="dxa"/>
          </w:tcPr>
          <w:p w14:paraId="3B8A8573" w14:textId="77777777" w:rsidR="0048161F" w:rsidRPr="008F4EEC" w:rsidRDefault="0048161F" w:rsidP="005579B0">
            <w:pPr>
              <w:jc w:val="right"/>
              <w:rPr>
                <w:rFonts w:ascii="Arial" w:hAnsi="Arial" w:cs="Arial"/>
                <w:b/>
                <w:bCs/>
                <w:i/>
                <w:iCs/>
                <w:sz w:val="22"/>
              </w:rPr>
            </w:pPr>
          </w:p>
          <w:p w14:paraId="4C2E5B9A" w14:textId="77777777" w:rsidR="00395D29" w:rsidRPr="008F4EEC" w:rsidRDefault="00395D29" w:rsidP="00395D29">
            <w:pPr>
              <w:jc w:val="right"/>
              <w:rPr>
                <w:rFonts w:ascii="Arial" w:hAnsi="Arial" w:cs="Arial"/>
                <w:b/>
                <w:bCs/>
                <w:i/>
                <w:iCs/>
                <w:sz w:val="22"/>
              </w:rPr>
            </w:pPr>
            <w:r w:rsidRPr="008F4EEC">
              <w:rPr>
                <w:rFonts w:ascii="Arial" w:hAnsi="Arial" w:cs="Arial"/>
                <w:b/>
                <w:bCs/>
                <w:i/>
                <w:iCs/>
                <w:sz w:val="22"/>
              </w:rPr>
              <w:t>-693.746,00</w:t>
            </w:r>
          </w:p>
          <w:p w14:paraId="25C43230" w14:textId="72950E87" w:rsidR="00395D29" w:rsidRPr="008F4EEC" w:rsidRDefault="00395D29" w:rsidP="005579B0">
            <w:pPr>
              <w:jc w:val="right"/>
              <w:rPr>
                <w:rFonts w:ascii="Arial" w:hAnsi="Arial" w:cs="Arial"/>
                <w:b/>
                <w:bCs/>
                <w:i/>
                <w:iCs/>
                <w:sz w:val="22"/>
              </w:rPr>
            </w:pPr>
          </w:p>
        </w:tc>
      </w:tr>
    </w:tbl>
    <w:p w14:paraId="377867AA" w14:textId="77777777" w:rsidR="005579B0" w:rsidRPr="008F4EEC" w:rsidRDefault="005579B0" w:rsidP="005579B0">
      <w:pPr>
        <w:rPr>
          <w:rFonts w:ascii="Arial" w:eastAsia="Calibri" w:hAnsi="Arial" w:cs="Arial"/>
          <w:sz w:val="22"/>
        </w:rPr>
      </w:pPr>
    </w:p>
    <w:p w14:paraId="212DC93D" w14:textId="77777777" w:rsidR="005579B0" w:rsidRPr="008F4EEC" w:rsidRDefault="005579B0" w:rsidP="005579B0">
      <w:pPr>
        <w:rPr>
          <w:rFonts w:ascii="Arial" w:eastAsia="Calibri" w:hAnsi="Arial" w:cs="Arial"/>
          <w:sz w:val="22"/>
        </w:rPr>
      </w:pPr>
    </w:p>
    <w:p w14:paraId="748DF2E3" w14:textId="77777777" w:rsidR="005579B0" w:rsidRPr="008F4EEC" w:rsidRDefault="005579B0" w:rsidP="005579B0">
      <w:pPr>
        <w:numPr>
          <w:ilvl w:val="0"/>
          <w:numId w:val="2"/>
        </w:numPr>
        <w:spacing w:after="200" w:line="276" w:lineRule="auto"/>
        <w:contextualSpacing/>
        <w:rPr>
          <w:rFonts w:ascii="Arial" w:eastAsia="Calibri" w:hAnsi="Arial" w:cs="Arial"/>
          <w:b/>
          <w:sz w:val="22"/>
        </w:rPr>
      </w:pPr>
      <w:r w:rsidRPr="008F4EEC">
        <w:rPr>
          <w:rFonts w:ascii="Arial" w:eastAsia="Calibri" w:hAnsi="Arial" w:cs="Arial"/>
          <w:b/>
          <w:sz w:val="22"/>
        </w:rPr>
        <w:t>RASPOLOŽIVA SREDSTAVA IZ PRETHODNIH GODINA</w:t>
      </w:r>
    </w:p>
    <w:p w14:paraId="04ABE47B" w14:textId="77777777" w:rsidR="005579B0" w:rsidRPr="008F4EEC" w:rsidRDefault="005579B0" w:rsidP="005579B0">
      <w:pPr>
        <w:spacing w:after="200" w:line="276" w:lineRule="auto"/>
        <w:ind w:left="720"/>
        <w:contextualSpacing/>
        <w:rPr>
          <w:rFonts w:ascii="Arial" w:eastAsia="Calibri" w:hAnsi="Arial" w:cs="Arial"/>
          <w:b/>
          <w:sz w:val="22"/>
        </w:rPr>
      </w:pPr>
      <w:r w:rsidRPr="008F4EEC">
        <w:rPr>
          <w:rFonts w:ascii="Arial" w:eastAsia="Calibri" w:hAnsi="Arial" w:cs="Arial"/>
          <w:b/>
          <w:sz w:val="22"/>
        </w:rPr>
        <w:t>(VIŠAK PRIHODA I REZERVIRANJA)</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956"/>
        <w:gridCol w:w="1644"/>
        <w:gridCol w:w="1616"/>
      </w:tblGrid>
      <w:tr w:rsidR="005579B0" w:rsidRPr="008F4EEC" w14:paraId="77B4BE75" w14:textId="77777777" w:rsidTr="007145B3">
        <w:tc>
          <w:tcPr>
            <w:tcW w:w="3960" w:type="dxa"/>
          </w:tcPr>
          <w:p w14:paraId="5168F975" w14:textId="193D4DA7" w:rsidR="0049200D" w:rsidRPr="008F4EEC" w:rsidRDefault="005579B0" w:rsidP="005579B0">
            <w:pPr>
              <w:contextualSpacing/>
              <w:jc w:val="both"/>
              <w:rPr>
                <w:rFonts w:ascii="Arial" w:hAnsi="Arial" w:cs="Arial"/>
                <w:b/>
                <w:bCs/>
                <w:i/>
                <w:iCs/>
                <w:sz w:val="22"/>
              </w:rPr>
            </w:pPr>
            <w:r w:rsidRPr="008F4EEC">
              <w:rPr>
                <w:rFonts w:ascii="Arial" w:hAnsi="Arial" w:cs="Arial"/>
                <w:b/>
                <w:bCs/>
                <w:i/>
                <w:iCs/>
                <w:sz w:val="22"/>
              </w:rPr>
              <w:t>RASPOLOŽIVA</w:t>
            </w:r>
            <w:r w:rsidR="0049200D" w:rsidRPr="008F4EEC">
              <w:rPr>
                <w:rFonts w:ascii="Arial" w:hAnsi="Arial" w:cs="Arial"/>
                <w:b/>
                <w:bCs/>
                <w:i/>
                <w:iCs/>
                <w:sz w:val="22"/>
              </w:rPr>
              <w:t xml:space="preserve"> </w:t>
            </w:r>
            <w:r w:rsidRPr="008F4EEC">
              <w:rPr>
                <w:rFonts w:ascii="Arial" w:hAnsi="Arial" w:cs="Arial"/>
                <w:b/>
                <w:bCs/>
                <w:i/>
                <w:iCs/>
                <w:sz w:val="22"/>
              </w:rPr>
              <w:t xml:space="preserve">SREDSTVA IZ PRETHODNIH GODINA </w:t>
            </w:r>
          </w:p>
        </w:tc>
        <w:tc>
          <w:tcPr>
            <w:tcW w:w="1956" w:type="dxa"/>
          </w:tcPr>
          <w:p w14:paraId="0367EB02" w14:textId="77777777" w:rsidR="002334DA" w:rsidRPr="008F4EEC" w:rsidRDefault="002334DA" w:rsidP="005579B0">
            <w:pPr>
              <w:jc w:val="right"/>
              <w:rPr>
                <w:rFonts w:ascii="Arial" w:hAnsi="Arial" w:cs="Arial"/>
                <w:b/>
                <w:bCs/>
                <w:i/>
                <w:iCs/>
                <w:sz w:val="22"/>
              </w:rPr>
            </w:pPr>
          </w:p>
          <w:p w14:paraId="28AB4B42" w14:textId="325FED43" w:rsidR="00C85D9C" w:rsidRPr="008F4EEC" w:rsidRDefault="00C85D9C" w:rsidP="005579B0">
            <w:pPr>
              <w:jc w:val="right"/>
              <w:rPr>
                <w:rFonts w:ascii="Arial" w:hAnsi="Arial" w:cs="Arial"/>
                <w:b/>
                <w:bCs/>
                <w:i/>
                <w:iCs/>
                <w:sz w:val="22"/>
              </w:rPr>
            </w:pPr>
            <w:r w:rsidRPr="008F4EEC">
              <w:rPr>
                <w:rFonts w:ascii="Arial" w:hAnsi="Arial" w:cs="Arial"/>
                <w:b/>
                <w:bCs/>
                <w:i/>
                <w:iCs/>
                <w:sz w:val="22"/>
              </w:rPr>
              <w:t>23.532,00</w:t>
            </w:r>
          </w:p>
        </w:tc>
        <w:tc>
          <w:tcPr>
            <w:tcW w:w="1644" w:type="dxa"/>
          </w:tcPr>
          <w:p w14:paraId="3B78F700" w14:textId="77777777" w:rsidR="0048161F" w:rsidRPr="008F4EEC" w:rsidRDefault="0048161F" w:rsidP="005579B0">
            <w:pPr>
              <w:jc w:val="right"/>
              <w:rPr>
                <w:rFonts w:ascii="Arial" w:hAnsi="Arial" w:cs="Arial"/>
                <w:b/>
                <w:bCs/>
                <w:i/>
                <w:iCs/>
                <w:sz w:val="22"/>
              </w:rPr>
            </w:pPr>
          </w:p>
          <w:p w14:paraId="2754C968" w14:textId="4558B15C" w:rsidR="00395D29" w:rsidRPr="008F4EEC" w:rsidRDefault="00395D29" w:rsidP="005579B0">
            <w:pPr>
              <w:jc w:val="right"/>
              <w:rPr>
                <w:rFonts w:ascii="Arial" w:hAnsi="Arial" w:cs="Arial"/>
                <w:b/>
                <w:bCs/>
                <w:i/>
                <w:iCs/>
                <w:sz w:val="22"/>
              </w:rPr>
            </w:pPr>
            <w:r w:rsidRPr="008F4EEC">
              <w:rPr>
                <w:rFonts w:ascii="Arial" w:hAnsi="Arial" w:cs="Arial"/>
                <w:b/>
                <w:bCs/>
                <w:i/>
                <w:iCs/>
                <w:sz w:val="22"/>
              </w:rPr>
              <w:t>742.321,00</w:t>
            </w:r>
          </w:p>
        </w:tc>
        <w:tc>
          <w:tcPr>
            <w:tcW w:w="1616" w:type="dxa"/>
          </w:tcPr>
          <w:p w14:paraId="670EEBF0" w14:textId="77777777" w:rsidR="0048161F" w:rsidRPr="008F4EEC" w:rsidRDefault="0048161F" w:rsidP="005579B0">
            <w:pPr>
              <w:jc w:val="right"/>
              <w:rPr>
                <w:rFonts w:ascii="Arial" w:hAnsi="Arial" w:cs="Arial"/>
                <w:b/>
                <w:bCs/>
                <w:i/>
                <w:iCs/>
                <w:sz w:val="22"/>
              </w:rPr>
            </w:pPr>
          </w:p>
          <w:p w14:paraId="1DF2690C" w14:textId="6CAD1E28" w:rsidR="00395D29" w:rsidRPr="008F4EEC" w:rsidRDefault="00395D29" w:rsidP="005579B0">
            <w:pPr>
              <w:jc w:val="right"/>
              <w:rPr>
                <w:rFonts w:ascii="Arial" w:hAnsi="Arial" w:cs="Arial"/>
                <w:b/>
                <w:bCs/>
                <w:i/>
                <w:iCs/>
                <w:sz w:val="22"/>
              </w:rPr>
            </w:pPr>
            <w:r w:rsidRPr="008F4EEC">
              <w:rPr>
                <w:rFonts w:ascii="Arial" w:hAnsi="Arial" w:cs="Arial"/>
                <w:b/>
                <w:bCs/>
                <w:i/>
                <w:iCs/>
                <w:sz w:val="22"/>
              </w:rPr>
              <w:t>765.853,00</w:t>
            </w:r>
          </w:p>
        </w:tc>
      </w:tr>
    </w:tbl>
    <w:p w14:paraId="6BFB8B2F" w14:textId="77777777" w:rsidR="005579B0" w:rsidRPr="008F4EEC" w:rsidRDefault="005579B0" w:rsidP="005579B0">
      <w:pPr>
        <w:jc w:val="both"/>
        <w:rPr>
          <w:rFonts w:ascii="Arial" w:hAnsi="Arial" w:cs="Arial"/>
          <w:sz w:val="22"/>
        </w:rPr>
      </w:pPr>
    </w:p>
    <w:p w14:paraId="2C176D81" w14:textId="77777777" w:rsidR="005579B0" w:rsidRPr="008F4EEC" w:rsidRDefault="005579B0" w:rsidP="005579B0">
      <w:pPr>
        <w:ind w:left="360"/>
        <w:jc w:val="both"/>
        <w:rPr>
          <w:rFonts w:ascii="Arial" w:hAnsi="Arial" w:cs="Arial"/>
          <w:sz w:val="22"/>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9"/>
        <w:gridCol w:w="1985"/>
        <w:gridCol w:w="1701"/>
        <w:gridCol w:w="1559"/>
      </w:tblGrid>
      <w:tr w:rsidR="005579B0" w:rsidRPr="008F4EEC" w14:paraId="2C04C20D" w14:textId="77777777" w:rsidTr="007145B3">
        <w:tc>
          <w:tcPr>
            <w:tcW w:w="3859" w:type="dxa"/>
          </w:tcPr>
          <w:p w14:paraId="19D0C934" w14:textId="2825517C" w:rsidR="005579B0" w:rsidRPr="008F4EEC" w:rsidRDefault="005579B0" w:rsidP="005579B0">
            <w:pPr>
              <w:jc w:val="both"/>
              <w:rPr>
                <w:rFonts w:ascii="Arial" w:hAnsi="Arial" w:cs="Arial"/>
                <w:sz w:val="22"/>
              </w:rPr>
            </w:pPr>
            <w:r w:rsidRPr="008F4EEC">
              <w:rPr>
                <w:rFonts w:ascii="Arial" w:hAnsi="Arial" w:cs="Arial"/>
                <w:sz w:val="22"/>
              </w:rPr>
              <w:t xml:space="preserve"> VIŠAK/MANJAK+RASPOLOŽIVA SREDSTVA IZ PREDHODNIH GODINA +</w:t>
            </w:r>
            <w:r w:rsidR="0049200D" w:rsidRPr="008F4EEC">
              <w:rPr>
                <w:rFonts w:ascii="Arial" w:hAnsi="Arial" w:cs="Arial"/>
                <w:sz w:val="22"/>
              </w:rPr>
              <w:t xml:space="preserve"> </w:t>
            </w:r>
            <w:r w:rsidRPr="008F4EEC">
              <w:rPr>
                <w:rFonts w:ascii="Arial" w:hAnsi="Arial" w:cs="Arial"/>
                <w:sz w:val="22"/>
              </w:rPr>
              <w:t>NETO ZADUŽIVANJE/FINANCIRANJE</w:t>
            </w:r>
          </w:p>
        </w:tc>
        <w:tc>
          <w:tcPr>
            <w:tcW w:w="1985" w:type="dxa"/>
          </w:tcPr>
          <w:p w14:paraId="79C39379" w14:textId="77777777" w:rsidR="005579B0" w:rsidRPr="008F4EEC" w:rsidRDefault="005579B0" w:rsidP="005579B0">
            <w:pPr>
              <w:jc w:val="right"/>
              <w:rPr>
                <w:rFonts w:ascii="Arial" w:hAnsi="Arial" w:cs="Arial"/>
                <w:b/>
                <w:bCs/>
                <w:sz w:val="22"/>
              </w:rPr>
            </w:pPr>
          </w:p>
          <w:p w14:paraId="5EFD8303" w14:textId="77777777" w:rsidR="005579B0" w:rsidRPr="008F4EEC" w:rsidRDefault="005579B0" w:rsidP="005579B0">
            <w:pPr>
              <w:jc w:val="right"/>
              <w:rPr>
                <w:rFonts w:ascii="Arial" w:hAnsi="Arial" w:cs="Arial"/>
                <w:b/>
                <w:bCs/>
                <w:sz w:val="22"/>
              </w:rPr>
            </w:pPr>
          </w:p>
          <w:p w14:paraId="3E98063F" w14:textId="77777777" w:rsidR="005579B0" w:rsidRPr="008F4EEC" w:rsidRDefault="005579B0" w:rsidP="005579B0">
            <w:pPr>
              <w:jc w:val="right"/>
              <w:rPr>
                <w:rFonts w:ascii="Arial" w:hAnsi="Arial" w:cs="Arial"/>
                <w:b/>
                <w:bCs/>
                <w:sz w:val="22"/>
              </w:rPr>
            </w:pPr>
          </w:p>
          <w:p w14:paraId="693477E6" w14:textId="77777777" w:rsidR="005579B0" w:rsidRPr="008F4EEC" w:rsidRDefault="005579B0" w:rsidP="005579B0">
            <w:pPr>
              <w:jc w:val="right"/>
              <w:rPr>
                <w:rFonts w:ascii="Arial" w:hAnsi="Arial" w:cs="Arial"/>
                <w:b/>
                <w:bCs/>
                <w:sz w:val="22"/>
              </w:rPr>
            </w:pPr>
            <w:r w:rsidRPr="008F4EEC">
              <w:rPr>
                <w:rFonts w:ascii="Arial" w:hAnsi="Arial" w:cs="Arial"/>
                <w:b/>
                <w:bCs/>
                <w:sz w:val="22"/>
              </w:rPr>
              <w:t>0,00</w:t>
            </w:r>
          </w:p>
        </w:tc>
        <w:tc>
          <w:tcPr>
            <w:tcW w:w="1701" w:type="dxa"/>
          </w:tcPr>
          <w:p w14:paraId="1CE8AAAB" w14:textId="77777777" w:rsidR="005579B0" w:rsidRPr="008F4EEC" w:rsidRDefault="005579B0" w:rsidP="005579B0">
            <w:pPr>
              <w:jc w:val="right"/>
              <w:rPr>
                <w:rFonts w:ascii="Arial" w:hAnsi="Arial" w:cs="Arial"/>
                <w:b/>
                <w:bCs/>
                <w:sz w:val="22"/>
              </w:rPr>
            </w:pPr>
          </w:p>
          <w:p w14:paraId="24E81C1E" w14:textId="77777777" w:rsidR="005579B0" w:rsidRPr="008F4EEC" w:rsidRDefault="005579B0" w:rsidP="005579B0">
            <w:pPr>
              <w:jc w:val="right"/>
              <w:rPr>
                <w:rFonts w:ascii="Arial" w:hAnsi="Arial" w:cs="Arial"/>
                <w:b/>
                <w:bCs/>
                <w:sz w:val="22"/>
              </w:rPr>
            </w:pPr>
          </w:p>
          <w:p w14:paraId="778B7500" w14:textId="77777777" w:rsidR="005579B0" w:rsidRPr="008F4EEC" w:rsidRDefault="005579B0" w:rsidP="005579B0">
            <w:pPr>
              <w:jc w:val="right"/>
              <w:rPr>
                <w:rFonts w:ascii="Arial" w:hAnsi="Arial" w:cs="Arial"/>
                <w:b/>
                <w:bCs/>
                <w:sz w:val="22"/>
              </w:rPr>
            </w:pPr>
          </w:p>
          <w:p w14:paraId="3C14737E" w14:textId="77777777" w:rsidR="005579B0" w:rsidRPr="008F4EEC" w:rsidRDefault="005579B0" w:rsidP="005579B0">
            <w:pPr>
              <w:jc w:val="right"/>
              <w:rPr>
                <w:rFonts w:ascii="Arial" w:hAnsi="Arial" w:cs="Arial"/>
                <w:b/>
                <w:bCs/>
                <w:sz w:val="22"/>
              </w:rPr>
            </w:pPr>
            <w:r w:rsidRPr="008F4EEC">
              <w:rPr>
                <w:rFonts w:ascii="Arial" w:hAnsi="Arial" w:cs="Arial"/>
                <w:b/>
                <w:bCs/>
                <w:sz w:val="22"/>
              </w:rPr>
              <w:t>0,00</w:t>
            </w:r>
          </w:p>
        </w:tc>
        <w:tc>
          <w:tcPr>
            <w:tcW w:w="1559" w:type="dxa"/>
          </w:tcPr>
          <w:p w14:paraId="779F713A" w14:textId="77777777" w:rsidR="005579B0" w:rsidRPr="008F4EEC" w:rsidRDefault="005579B0" w:rsidP="005579B0">
            <w:pPr>
              <w:jc w:val="center"/>
              <w:rPr>
                <w:rFonts w:ascii="Arial" w:hAnsi="Arial" w:cs="Arial"/>
                <w:b/>
                <w:bCs/>
                <w:sz w:val="22"/>
              </w:rPr>
            </w:pPr>
          </w:p>
          <w:p w14:paraId="3AC7B0B6" w14:textId="77777777" w:rsidR="005579B0" w:rsidRPr="008F4EEC" w:rsidRDefault="005579B0" w:rsidP="005579B0">
            <w:pPr>
              <w:jc w:val="center"/>
              <w:rPr>
                <w:rFonts w:ascii="Arial" w:hAnsi="Arial" w:cs="Arial"/>
                <w:b/>
                <w:bCs/>
                <w:sz w:val="22"/>
              </w:rPr>
            </w:pPr>
          </w:p>
          <w:p w14:paraId="19D30CA9" w14:textId="77777777" w:rsidR="005579B0" w:rsidRPr="008F4EEC" w:rsidRDefault="005579B0" w:rsidP="005579B0">
            <w:pPr>
              <w:jc w:val="center"/>
              <w:rPr>
                <w:rFonts w:ascii="Arial" w:hAnsi="Arial" w:cs="Arial"/>
                <w:b/>
                <w:bCs/>
                <w:sz w:val="22"/>
              </w:rPr>
            </w:pPr>
          </w:p>
          <w:p w14:paraId="5099815E" w14:textId="77777777" w:rsidR="005579B0" w:rsidRPr="008F4EEC" w:rsidRDefault="005579B0" w:rsidP="005579B0">
            <w:pPr>
              <w:jc w:val="right"/>
              <w:rPr>
                <w:rFonts w:ascii="Arial" w:hAnsi="Arial" w:cs="Arial"/>
                <w:b/>
                <w:bCs/>
                <w:sz w:val="22"/>
              </w:rPr>
            </w:pPr>
            <w:r w:rsidRPr="008F4EEC">
              <w:rPr>
                <w:rFonts w:ascii="Arial" w:hAnsi="Arial" w:cs="Arial"/>
                <w:b/>
                <w:bCs/>
                <w:sz w:val="22"/>
              </w:rPr>
              <w:t>0,00</w:t>
            </w:r>
          </w:p>
        </w:tc>
      </w:tr>
    </w:tbl>
    <w:p w14:paraId="4D952A77" w14:textId="77777777" w:rsidR="005579B0" w:rsidRPr="008F4EEC" w:rsidRDefault="005579B0" w:rsidP="005579B0">
      <w:pPr>
        <w:ind w:left="360"/>
        <w:jc w:val="both"/>
        <w:rPr>
          <w:rFonts w:ascii="Arial" w:hAnsi="Arial" w:cs="Arial"/>
          <w:sz w:val="22"/>
        </w:rPr>
      </w:pPr>
    </w:p>
    <w:p w14:paraId="762420C5" w14:textId="77777777" w:rsidR="00A446FA" w:rsidRPr="008F4EEC" w:rsidRDefault="00A446FA" w:rsidP="00A446FA">
      <w:pPr>
        <w:rPr>
          <w:rFonts w:cs="Arial"/>
          <w:sz w:val="22"/>
          <w:lang w:val="en-GB"/>
        </w:rPr>
      </w:pPr>
    </w:p>
    <w:p w14:paraId="70F51F18" w14:textId="77777777" w:rsidR="005579B0" w:rsidRDefault="005579B0" w:rsidP="00A446FA">
      <w:pPr>
        <w:rPr>
          <w:rFonts w:cs="Arial"/>
          <w:sz w:val="22"/>
          <w:lang w:val="en-GB"/>
        </w:rPr>
      </w:pPr>
    </w:p>
    <w:p w14:paraId="739FB1B5" w14:textId="1DFED071" w:rsidR="005579B0" w:rsidRPr="005E1EB5" w:rsidRDefault="005579B0" w:rsidP="00A446FA">
      <w:pPr>
        <w:rPr>
          <w:rFonts w:cs="Arial"/>
          <w:sz w:val="22"/>
          <w:lang w:val="en-GB"/>
        </w:rPr>
        <w:sectPr w:rsidR="005579B0" w:rsidRPr="005E1EB5">
          <w:pgSz w:w="11906" w:h="16838"/>
          <w:pgMar w:top="1417" w:right="1417" w:bottom="1417" w:left="1417" w:header="708" w:footer="708" w:gutter="0"/>
          <w:cols w:space="708"/>
          <w:docGrid w:linePitch="360"/>
        </w:sectPr>
      </w:pPr>
    </w:p>
    <w:p w14:paraId="359BC5CF" w14:textId="77777777" w:rsidR="00DD118A" w:rsidRPr="00DD118A" w:rsidRDefault="00DD118A" w:rsidP="00DD118A">
      <w:pPr>
        <w:rPr>
          <w:rFonts w:ascii="Arial" w:hAnsi="Arial" w:cs="Arial"/>
          <w:b/>
          <w:bCs/>
          <w:sz w:val="16"/>
          <w:szCs w:val="16"/>
        </w:rPr>
      </w:pPr>
      <w:bookmarkStart w:id="1" w:name="_Toc499225954"/>
      <w:r w:rsidRPr="00DD118A">
        <w:rPr>
          <w:rFonts w:ascii="Arial" w:hAnsi="Arial" w:cs="Arial"/>
          <w:b/>
          <w:bCs/>
          <w:sz w:val="16"/>
          <w:szCs w:val="16"/>
        </w:rPr>
        <w:lastRenderedPageBreak/>
        <w:t>GRAD LABIN</w:t>
      </w:r>
    </w:p>
    <w:p w14:paraId="340059EF" w14:textId="77777777" w:rsidR="00DD118A" w:rsidRPr="00DD118A" w:rsidRDefault="00DD118A" w:rsidP="00DD118A">
      <w:pPr>
        <w:rPr>
          <w:rFonts w:ascii="Arial" w:hAnsi="Arial" w:cs="Arial"/>
          <w:b/>
          <w:bCs/>
          <w:sz w:val="16"/>
          <w:szCs w:val="16"/>
        </w:rPr>
      </w:pPr>
      <w:r w:rsidRPr="00DD118A">
        <w:rPr>
          <w:rFonts w:ascii="Arial" w:hAnsi="Arial" w:cs="Arial"/>
          <w:b/>
          <w:bCs/>
          <w:sz w:val="16"/>
          <w:szCs w:val="16"/>
        </w:rPr>
        <w:t>TITOV TRG 11</w:t>
      </w:r>
    </w:p>
    <w:p w14:paraId="0C870776" w14:textId="77777777" w:rsidR="00DD118A" w:rsidRDefault="00DD118A" w:rsidP="00DD118A">
      <w:pPr>
        <w:rPr>
          <w:rFonts w:ascii="Arial" w:hAnsi="Arial" w:cs="Arial"/>
          <w:b/>
          <w:bCs/>
          <w:sz w:val="16"/>
          <w:szCs w:val="16"/>
        </w:rPr>
      </w:pPr>
      <w:r w:rsidRPr="00DD118A">
        <w:rPr>
          <w:rFonts w:ascii="Arial" w:hAnsi="Arial" w:cs="Arial"/>
          <w:b/>
          <w:bCs/>
          <w:sz w:val="16"/>
          <w:szCs w:val="16"/>
        </w:rPr>
        <w:t>LABIN 52220</w:t>
      </w:r>
    </w:p>
    <w:p w14:paraId="3335E0FB" w14:textId="77777777" w:rsidR="00DD118A" w:rsidRDefault="00DD118A" w:rsidP="00DD118A">
      <w:pPr>
        <w:rPr>
          <w:rFonts w:ascii="Arial" w:hAnsi="Arial" w:cs="Arial"/>
          <w:b/>
          <w:bCs/>
          <w:sz w:val="16"/>
          <w:szCs w:val="16"/>
        </w:rPr>
      </w:pPr>
      <w:r w:rsidRPr="0029467F">
        <w:rPr>
          <w:rFonts w:ascii="Arial" w:hAnsi="Arial" w:cs="Arial"/>
          <w:b/>
          <w:bCs/>
          <w:sz w:val="16"/>
          <w:szCs w:val="16"/>
        </w:rPr>
        <w:t>OIB: 19041331726</w:t>
      </w:r>
    </w:p>
    <w:p w14:paraId="7A48DAEC" w14:textId="77777777" w:rsidR="00DD118A" w:rsidRPr="0029467F" w:rsidRDefault="00DD118A" w:rsidP="00DD118A">
      <w:pPr>
        <w:rPr>
          <w:rFonts w:ascii="Arial" w:hAnsi="Arial" w:cs="Arial"/>
          <w:b/>
          <w:bCs/>
          <w:sz w:val="16"/>
          <w:szCs w:val="16"/>
        </w:rPr>
      </w:pPr>
    </w:p>
    <w:p w14:paraId="1BD4253F" w14:textId="26B0F90B" w:rsidR="0085018D" w:rsidRPr="00DD118A" w:rsidRDefault="0085018D">
      <w:pPr>
        <w:pStyle w:val="Odlomakpopisa"/>
        <w:numPr>
          <w:ilvl w:val="0"/>
          <w:numId w:val="12"/>
        </w:numPr>
        <w:spacing w:after="0" w:line="240" w:lineRule="auto"/>
        <w:jc w:val="center"/>
        <w:rPr>
          <w:rFonts w:ascii="Arial" w:hAnsi="Arial" w:cs="Arial"/>
          <w:b/>
          <w:bCs/>
          <w:sz w:val="28"/>
          <w:szCs w:val="28"/>
        </w:rPr>
      </w:pPr>
      <w:r w:rsidRPr="00DD118A">
        <w:rPr>
          <w:rFonts w:ascii="Arial" w:hAnsi="Arial" w:cs="Arial"/>
          <w:b/>
          <w:bCs/>
          <w:sz w:val="28"/>
          <w:szCs w:val="28"/>
        </w:rPr>
        <w:t>OPĆI DIO</w:t>
      </w:r>
      <w:r w:rsidR="008E4A37" w:rsidRPr="00DD118A">
        <w:rPr>
          <w:rFonts w:ascii="Arial" w:hAnsi="Arial" w:cs="Arial"/>
          <w:b/>
          <w:bCs/>
          <w:sz w:val="28"/>
          <w:szCs w:val="28"/>
        </w:rPr>
        <w:t xml:space="preserve"> </w:t>
      </w:r>
      <w:r w:rsidR="00C8513B" w:rsidRPr="00DD118A">
        <w:rPr>
          <w:rFonts w:ascii="Arial" w:hAnsi="Arial" w:cs="Arial"/>
          <w:b/>
          <w:bCs/>
          <w:sz w:val="28"/>
          <w:szCs w:val="28"/>
        </w:rPr>
        <w:t>PRORAČUNA</w:t>
      </w:r>
    </w:p>
    <w:p w14:paraId="5C6EEE18" w14:textId="77777777" w:rsidR="00DD118A" w:rsidRPr="00DD118A" w:rsidRDefault="00DD118A" w:rsidP="00DD118A">
      <w:pPr>
        <w:pStyle w:val="Odlomakpopisa"/>
        <w:spacing w:after="0" w:line="240" w:lineRule="auto"/>
        <w:rPr>
          <w:rFonts w:ascii="Arial" w:hAnsi="Arial" w:cs="Arial"/>
          <w:b/>
          <w:bCs/>
          <w:sz w:val="28"/>
          <w:szCs w:val="28"/>
        </w:rPr>
      </w:pPr>
    </w:p>
    <w:p w14:paraId="3D34D482" w14:textId="0D26E918" w:rsidR="0047747F" w:rsidRDefault="008E4A37" w:rsidP="00DD118A">
      <w:pPr>
        <w:pStyle w:val="Odlomakpopisa"/>
        <w:spacing w:after="0" w:line="240" w:lineRule="auto"/>
        <w:ind w:left="1080"/>
        <w:jc w:val="center"/>
        <w:rPr>
          <w:rFonts w:ascii="Arial" w:hAnsi="Arial" w:cs="Arial"/>
          <w:b/>
          <w:bCs/>
          <w:sz w:val="24"/>
        </w:rPr>
      </w:pPr>
      <w:bookmarkStart w:id="2" w:name="_Hlk116475985"/>
      <w:r w:rsidRPr="00D2293F">
        <w:rPr>
          <w:rFonts w:ascii="Arial" w:hAnsi="Arial" w:cs="Arial"/>
          <w:b/>
          <w:bCs/>
          <w:sz w:val="24"/>
        </w:rPr>
        <w:t xml:space="preserve">SAŽETAK </w:t>
      </w:r>
      <w:r w:rsidR="007B67FC" w:rsidRPr="00D2293F">
        <w:rPr>
          <w:rFonts w:ascii="Arial" w:hAnsi="Arial" w:cs="Arial"/>
          <w:b/>
          <w:bCs/>
          <w:sz w:val="24"/>
        </w:rPr>
        <w:t>RAČUNA PRIHODA I RASHODA</w:t>
      </w:r>
      <w:r w:rsidR="009250B8" w:rsidRPr="00D2293F">
        <w:rPr>
          <w:rFonts w:ascii="Arial" w:hAnsi="Arial" w:cs="Arial"/>
          <w:b/>
          <w:bCs/>
          <w:sz w:val="24"/>
        </w:rPr>
        <w:t xml:space="preserve"> </w:t>
      </w:r>
      <w:r w:rsidRPr="00D2293F">
        <w:rPr>
          <w:rFonts w:ascii="Arial" w:hAnsi="Arial" w:cs="Arial"/>
          <w:b/>
          <w:bCs/>
          <w:sz w:val="24"/>
        </w:rPr>
        <w:t>-</w:t>
      </w:r>
      <w:r w:rsidR="00C51BE3" w:rsidRPr="00D2293F">
        <w:rPr>
          <w:rFonts w:ascii="Arial" w:hAnsi="Arial" w:cs="Arial"/>
          <w:b/>
          <w:bCs/>
          <w:sz w:val="24"/>
        </w:rPr>
        <w:t xml:space="preserve"> RAČUNA</w:t>
      </w:r>
      <w:r w:rsidR="000D7AE8" w:rsidRPr="00D2293F">
        <w:rPr>
          <w:rFonts w:ascii="Arial" w:hAnsi="Arial" w:cs="Arial"/>
          <w:b/>
          <w:bCs/>
          <w:sz w:val="24"/>
        </w:rPr>
        <w:t xml:space="preserve"> </w:t>
      </w:r>
      <w:r w:rsidRPr="00D2293F">
        <w:rPr>
          <w:rFonts w:ascii="Arial" w:hAnsi="Arial" w:cs="Arial"/>
          <w:b/>
          <w:bCs/>
          <w:sz w:val="24"/>
        </w:rPr>
        <w:t>FINANCIRANJA- PRENESENI VIŠAK</w:t>
      </w:r>
    </w:p>
    <w:p w14:paraId="6CDD20C0" w14:textId="77777777" w:rsidR="00DD118A" w:rsidRPr="00D2293F" w:rsidRDefault="00DD118A" w:rsidP="00DD118A">
      <w:pPr>
        <w:pStyle w:val="Odlomakpopisa"/>
        <w:spacing w:after="0" w:line="240" w:lineRule="auto"/>
        <w:ind w:left="1080"/>
        <w:jc w:val="center"/>
        <w:rPr>
          <w:rFonts w:ascii="Arial" w:hAnsi="Arial" w:cs="Arial"/>
          <w:b/>
          <w:bCs/>
          <w:sz w:val="24"/>
        </w:rPr>
      </w:pPr>
    </w:p>
    <w:bookmarkEnd w:id="2"/>
    <w:p w14:paraId="222CF12F" w14:textId="0E3644F1" w:rsidR="00ED34CE" w:rsidRPr="002E7976" w:rsidRDefault="002E7976" w:rsidP="002E7976">
      <w:pPr>
        <w:ind w:left="12744"/>
        <w:rPr>
          <w:rFonts w:ascii="Arial" w:hAnsi="Arial" w:cs="Arial"/>
          <w:b/>
          <w:bCs/>
          <w:sz w:val="20"/>
          <w:szCs w:val="20"/>
        </w:rPr>
      </w:pPr>
      <w:r>
        <w:rPr>
          <w:rFonts w:ascii="Arial" w:hAnsi="Arial" w:cs="Arial"/>
          <w:b/>
          <w:bCs/>
          <w:sz w:val="20"/>
          <w:szCs w:val="20"/>
        </w:rPr>
        <w:t xml:space="preserve">        </w:t>
      </w:r>
      <w:r w:rsidR="00DD118A" w:rsidRPr="002E7976">
        <w:rPr>
          <w:rFonts w:ascii="Arial" w:hAnsi="Arial" w:cs="Arial"/>
          <w:b/>
          <w:bCs/>
          <w:sz w:val="20"/>
          <w:szCs w:val="20"/>
        </w:rPr>
        <w:t>U EUR</w:t>
      </w:r>
    </w:p>
    <w:tbl>
      <w:tblPr>
        <w:tblW w:w="13994" w:type="dxa"/>
        <w:tblLook w:val="04A0" w:firstRow="1" w:lastRow="0" w:firstColumn="1" w:lastColumn="0" w:noHBand="0" w:noVBand="1"/>
      </w:tblPr>
      <w:tblGrid>
        <w:gridCol w:w="416"/>
        <w:gridCol w:w="6050"/>
        <w:gridCol w:w="2173"/>
        <w:gridCol w:w="1846"/>
        <w:gridCol w:w="1428"/>
        <w:gridCol w:w="2081"/>
      </w:tblGrid>
      <w:tr w:rsidR="00ED34CE" w:rsidRPr="00ED34CE" w14:paraId="43CAD6DA" w14:textId="77777777" w:rsidTr="002815DB">
        <w:trPr>
          <w:trHeight w:val="502"/>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CBD3D"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6050" w:type="dxa"/>
            <w:tcBorders>
              <w:top w:val="single" w:sz="4" w:space="0" w:color="auto"/>
              <w:left w:val="nil"/>
              <w:bottom w:val="single" w:sz="4" w:space="0" w:color="auto"/>
              <w:right w:val="single" w:sz="4" w:space="0" w:color="auto"/>
            </w:tcBorders>
            <w:shd w:val="clear" w:color="auto" w:fill="auto"/>
            <w:noWrap/>
            <w:vAlign w:val="bottom"/>
            <w:hideMark/>
          </w:tcPr>
          <w:p w14:paraId="2E04A341"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2173" w:type="dxa"/>
            <w:tcBorders>
              <w:top w:val="single" w:sz="4" w:space="0" w:color="auto"/>
              <w:left w:val="nil"/>
              <w:bottom w:val="single" w:sz="4" w:space="0" w:color="auto"/>
              <w:right w:val="single" w:sz="4" w:space="0" w:color="auto"/>
            </w:tcBorders>
            <w:shd w:val="clear" w:color="auto" w:fill="auto"/>
            <w:noWrap/>
            <w:vAlign w:val="bottom"/>
            <w:hideMark/>
          </w:tcPr>
          <w:p w14:paraId="02F7C324" w14:textId="77777777" w:rsidR="00ED34CE" w:rsidRPr="00ED34CE" w:rsidRDefault="00ED34CE" w:rsidP="002815DB">
            <w:pPr>
              <w:jc w:val="both"/>
              <w:rPr>
                <w:rFonts w:ascii="Arial" w:hAnsi="Arial" w:cs="Arial"/>
                <w:b/>
                <w:bCs/>
                <w:sz w:val="20"/>
                <w:szCs w:val="20"/>
              </w:rPr>
            </w:pPr>
            <w:r w:rsidRPr="00ED34CE">
              <w:rPr>
                <w:rFonts w:ascii="Arial" w:hAnsi="Arial" w:cs="Arial"/>
                <w:b/>
                <w:bCs/>
                <w:sz w:val="20"/>
                <w:szCs w:val="20"/>
              </w:rPr>
              <w:t>PLAN ZA 2025.</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14:paraId="7605FD56" w14:textId="77777777" w:rsidR="00ED34CE" w:rsidRPr="00ED34CE" w:rsidRDefault="00ED34CE" w:rsidP="002815DB">
            <w:pPr>
              <w:jc w:val="both"/>
              <w:rPr>
                <w:rFonts w:ascii="Arial" w:hAnsi="Arial" w:cs="Arial"/>
                <w:b/>
                <w:bCs/>
                <w:sz w:val="20"/>
                <w:szCs w:val="20"/>
              </w:rPr>
            </w:pPr>
            <w:r w:rsidRPr="00ED34CE">
              <w:rPr>
                <w:rFonts w:ascii="Arial" w:hAnsi="Arial" w:cs="Arial"/>
                <w:b/>
                <w:bCs/>
                <w:sz w:val="20"/>
                <w:szCs w:val="20"/>
              </w:rPr>
              <w:t>POVEĆANJE/ SMANJENJE</w:t>
            </w:r>
          </w:p>
        </w:tc>
        <w:tc>
          <w:tcPr>
            <w:tcW w:w="1428" w:type="dxa"/>
            <w:tcBorders>
              <w:top w:val="single" w:sz="4" w:space="0" w:color="auto"/>
              <w:left w:val="nil"/>
              <w:bottom w:val="single" w:sz="4" w:space="0" w:color="auto"/>
              <w:right w:val="single" w:sz="4" w:space="0" w:color="auto"/>
            </w:tcBorders>
            <w:shd w:val="clear" w:color="auto" w:fill="auto"/>
            <w:vAlign w:val="bottom"/>
            <w:hideMark/>
          </w:tcPr>
          <w:p w14:paraId="5ED4D476" w14:textId="77777777" w:rsidR="00ED34CE" w:rsidRPr="00ED34CE" w:rsidRDefault="00ED34CE" w:rsidP="002815DB">
            <w:pPr>
              <w:jc w:val="both"/>
              <w:rPr>
                <w:rFonts w:ascii="Arial" w:hAnsi="Arial" w:cs="Arial"/>
                <w:b/>
                <w:bCs/>
                <w:sz w:val="20"/>
                <w:szCs w:val="20"/>
              </w:rPr>
            </w:pPr>
            <w:r w:rsidRPr="00ED34CE">
              <w:rPr>
                <w:rFonts w:ascii="Arial" w:hAnsi="Arial" w:cs="Arial"/>
                <w:b/>
                <w:bCs/>
                <w:sz w:val="20"/>
                <w:szCs w:val="20"/>
              </w:rPr>
              <w:t>PROMJENA</w:t>
            </w:r>
          </w:p>
        </w:tc>
        <w:tc>
          <w:tcPr>
            <w:tcW w:w="2081" w:type="dxa"/>
            <w:tcBorders>
              <w:top w:val="single" w:sz="4" w:space="0" w:color="auto"/>
              <w:left w:val="nil"/>
              <w:bottom w:val="single" w:sz="4" w:space="0" w:color="auto"/>
              <w:right w:val="single" w:sz="4" w:space="0" w:color="auto"/>
            </w:tcBorders>
            <w:shd w:val="clear" w:color="auto" w:fill="auto"/>
            <w:noWrap/>
            <w:vAlign w:val="bottom"/>
            <w:hideMark/>
          </w:tcPr>
          <w:p w14:paraId="25E7AC54" w14:textId="77777777" w:rsidR="00ED34CE" w:rsidRPr="00ED34CE" w:rsidRDefault="00ED34CE" w:rsidP="002815DB">
            <w:pPr>
              <w:jc w:val="both"/>
              <w:rPr>
                <w:rFonts w:ascii="Arial" w:hAnsi="Arial" w:cs="Arial"/>
                <w:b/>
                <w:bCs/>
                <w:sz w:val="20"/>
                <w:szCs w:val="20"/>
              </w:rPr>
            </w:pPr>
            <w:r w:rsidRPr="00ED34CE">
              <w:rPr>
                <w:rFonts w:ascii="Arial" w:hAnsi="Arial" w:cs="Arial"/>
                <w:b/>
                <w:bCs/>
                <w:sz w:val="20"/>
                <w:szCs w:val="20"/>
              </w:rPr>
              <w:t>NOVI PLAN ZA 2025.</w:t>
            </w:r>
          </w:p>
        </w:tc>
      </w:tr>
      <w:tr w:rsidR="00ED34CE" w:rsidRPr="00ED34CE" w14:paraId="2275A8D0" w14:textId="77777777" w:rsidTr="002815DB">
        <w:trPr>
          <w:trHeight w:val="269"/>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57A135D9"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6050" w:type="dxa"/>
            <w:tcBorders>
              <w:top w:val="nil"/>
              <w:left w:val="nil"/>
              <w:bottom w:val="single" w:sz="4" w:space="0" w:color="auto"/>
              <w:right w:val="single" w:sz="4" w:space="0" w:color="auto"/>
            </w:tcBorders>
            <w:shd w:val="clear" w:color="auto" w:fill="auto"/>
            <w:noWrap/>
            <w:vAlign w:val="bottom"/>
            <w:hideMark/>
          </w:tcPr>
          <w:p w14:paraId="5E9B98B4"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2173" w:type="dxa"/>
            <w:tcBorders>
              <w:top w:val="nil"/>
              <w:left w:val="nil"/>
              <w:bottom w:val="single" w:sz="4" w:space="0" w:color="auto"/>
              <w:right w:val="single" w:sz="4" w:space="0" w:color="auto"/>
            </w:tcBorders>
            <w:shd w:val="clear" w:color="auto" w:fill="auto"/>
            <w:noWrap/>
            <w:vAlign w:val="bottom"/>
            <w:hideMark/>
          </w:tcPr>
          <w:p w14:paraId="123E0730"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1846" w:type="dxa"/>
            <w:tcBorders>
              <w:top w:val="nil"/>
              <w:left w:val="nil"/>
              <w:bottom w:val="single" w:sz="4" w:space="0" w:color="auto"/>
              <w:right w:val="single" w:sz="4" w:space="0" w:color="auto"/>
            </w:tcBorders>
            <w:shd w:val="clear" w:color="auto" w:fill="auto"/>
            <w:noWrap/>
            <w:vAlign w:val="bottom"/>
            <w:hideMark/>
          </w:tcPr>
          <w:p w14:paraId="70A66F16"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bottom"/>
            <w:hideMark/>
          </w:tcPr>
          <w:p w14:paraId="3C00971A"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2081" w:type="dxa"/>
            <w:tcBorders>
              <w:top w:val="nil"/>
              <w:left w:val="nil"/>
              <w:bottom w:val="single" w:sz="4" w:space="0" w:color="auto"/>
              <w:right w:val="single" w:sz="4" w:space="0" w:color="auto"/>
            </w:tcBorders>
            <w:shd w:val="clear" w:color="auto" w:fill="auto"/>
            <w:noWrap/>
            <w:vAlign w:val="bottom"/>
            <w:hideMark/>
          </w:tcPr>
          <w:p w14:paraId="7DB1A0E0"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r>
      <w:tr w:rsidR="00ED34CE" w:rsidRPr="00ED34CE" w14:paraId="2566C2CD" w14:textId="77777777" w:rsidTr="002815DB">
        <w:trPr>
          <w:trHeight w:val="269"/>
        </w:trPr>
        <w:tc>
          <w:tcPr>
            <w:tcW w:w="416" w:type="dxa"/>
            <w:tcBorders>
              <w:top w:val="nil"/>
              <w:left w:val="single" w:sz="4" w:space="0" w:color="auto"/>
              <w:bottom w:val="single" w:sz="4" w:space="0" w:color="auto"/>
              <w:right w:val="single" w:sz="4" w:space="0" w:color="auto"/>
            </w:tcBorders>
            <w:shd w:val="clear" w:color="000000" w:fill="A6A6A6"/>
            <w:noWrap/>
            <w:vAlign w:val="bottom"/>
            <w:hideMark/>
          </w:tcPr>
          <w:p w14:paraId="16D9FBB9" w14:textId="77777777" w:rsidR="00ED34CE" w:rsidRPr="00ED34CE" w:rsidRDefault="00ED34CE" w:rsidP="002815DB">
            <w:pPr>
              <w:rPr>
                <w:rFonts w:ascii="Arial" w:hAnsi="Arial" w:cs="Arial"/>
                <w:b/>
                <w:bCs/>
                <w:sz w:val="20"/>
                <w:szCs w:val="20"/>
              </w:rPr>
            </w:pPr>
            <w:r w:rsidRPr="00ED34CE">
              <w:rPr>
                <w:rFonts w:ascii="Arial" w:hAnsi="Arial" w:cs="Arial"/>
                <w:b/>
                <w:bCs/>
                <w:sz w:val="20"/>
                <w:szCs w:val="20"/>
              </w:rPr>
              <w:t>A.</w:t>
            </w:r>
          </w:p>
        </w:tc>
        <w:tc>
          <w:tcPr>
            <w:tcW w:w="6050" w:type="dxa"/>
            <w:tcBorders>
              <w:top w:val="nil"/>
              <w:left w:val="nil"/>
              <w:bottom w:val="single" w:sz="4" w:space="0" w:color="auto"/>
              <w:right w:val="single" w:sz="4" w:space="0" w:color="auto"/>
            </w:tcBorders>
            <w:shd w:val="clear" w:color="000000" w:fill="A6A6A6"/>
            <w:noWrap/>
            <w:vAlign w:val="bottom"/>
            <w:hideMark/>
          </w:tcPr>
          <w:p w14:paraId="439A989C" w14:textId="77777777" w:rsidR="00ED34CE" w:rsidRPr="00ED34CE" w:rsidRDefault="00ED34CE" w:rsidP="002815DB">
            <w:pPr>
              <w:rPr>
                <w:rFonts w:ascii="Arial" w:hAnsi="Arial" w:cs="Arial"/>
                <w:b/>
                <w:bCs/>
                <w:sz w:val="20"/>
                <w:szCs w:val="20"/>
              </w:rPr>
            </w:pPr>
            <w:r w:rsidRPr="00ED34CE">
              <w:rPr>
                <w:rFonts w:ascii="Arial" w:hAnsi="Arial" w:cs="Arial"/>
                <w:b/>
                <w:bCs/>
                <w:sz w:val="20"/>
                <w:szCs w:val="20"/>
              </w:rPr>
              <w:t>SAŽETAK RAČUNA PRIHODA I RASHODA</w:t>
            </w:r>
          </w:p>
        </w:tc>
        <w:tc>
          <w:tcPr>
            <w:tcW w:w="2173" w:type="dxa"/>
            <w:tcBorders>
              <w:top w:val="nil"/>
              <w:left w:val="nil"/>
              <w:bottom w:val="single" w:sz="4" w:space="0" w:color="auto"/>
              <w:right w:val="single" w:sz="4" w:space="0" w:color="auto"/>
            </w:tcBorders>
            <w:shd w:val="clear" w:color="000000" w:fill="A6A6A6"/>
            <w:noWrap/>
            <w:vAlign w:val="bottom"/>
            <w:hideMark/>
          </w:tcPr>
          <w:p w14:paraId="1CDD7F8D"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1846" w:type="dxa"/>
            <w:tcBorders>
              <w:top w:val="nil"/>
              <w:left w:val="nil"/>
              <w:bottom w:val="single" w:sz="4" w:space="0" w:color="auto"/>
              <w:right w:val="single" w:sz="4" w:space="0" w:color="auto"/>
            </w:tcBorders>
            <w:shd w:val="clear" w:color="000000" w:fill="A6A6A6"/>
            <w:noWrap/>
            <w:vAlign w:val="bottom"/>
            <w:hideMark/>
          </w:tcPr>
          <w:p w14:paraId="787306C2"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1428" w:type="dxa"/>
            <w:tcBorders>
              <w:top w:val="nil"/>
              <w:left w:val="nil"/>
              <w:bottom w:val="single" w:sz="4" w:space="0" w:color="auto"/>
              <w:right w:val="single" w:sz="4" w:space="0" w:color="auto"/>
            </w:tcBorders>
            <w:shd w:val="clear" w:color="000000" w:fill="A6A6A6"/>
            <w:noWrap/>
            <w:vAlign w:val="bottom"/>
            <w:hideMark/>
          </w:tcPr>
          <w:p w14:paraId="6FD725B4"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2081" w:type="dxa"/>
            <w:tcBorders>
              <w:top w:val="nil"/>
              <w:left w:val="nil"/>
              <w:bottom w:val="single" w:sz="4" w:space="0" w:color="auto"/>
              <w:right w:val="single" w:sz="4" w:space="0" w:color="auto"/>
            </w:tcBorders>
            <w:shd w:val="clear" w:color="000000" w:fill="A6A6A6"/>
            <w:noWrap/>
            <w:vAlign w:val="bottom"/>
            <w:hideMark/>
          </w:tcPr>
          <w:p w14:paraId="2BCE5384"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r>
      <w:tr w:rsidR="00ED34CE" w:rsidRPr="00ED34CE" w14:paraId="1D92F874" w14:textId="77777777" w:rsidTr="002815DB">
        <w:trPr>
          <w:trHeight w:val="269"/>
        </w:trPr>
        <w:tc>
          <w:tcPr>
            <w:tcW w:w="416" w:type="dxa"/>
            <w:tcBorders>
              <w:top w:val="nil"/>
              <w:left w:val="single" w:sz="4" w:space="0" w:color="auto"/>
              <w:bottom w:val="single" w:sz="4" w:space="0" w:color="auto"/>
              <w:right w:val="single" w:sz="4" w:space="0" w:color="auto"/>
            </w:tcBorders>
            <w:shd w:val="clear" w:color="000000" w:fill="D9D9D9"/>
            <w:noWrap/>
            <w:vAlign w:val="bottom"/>
            <w:hideMark/>
          </w:tcPr>
          <w:p w14:paraId="724BEFC3" w14:textId="77777777" w:rsidR="00ED34CE" w:rsidRPr="00ED34CE" w:rsidRDefault="00ED34CE" w:rsidP="002815DB">
            <w:pPr>
              <w:rPr>
                <w:rFonts w:ascii="Arial" w:hAnsi="Arial" w:cs="Arial"/>
                <w:b/>
                <w:bCs/>
                <w:sz w:val="20"/>
                <w:szCs w:val="20"/>
              </w:rPr>
            </w:pPr>
            <w:r w:rsidRPr="00ED34CE">
              <w:rPr>
                <w:rFonts w:ascii="Arial" w:hAnsi="Arial" w:cs="Arial"/>
                <w:b/>
                <w:bCs/>
                <w:sz w:val="20"/>
                <w:szCs w:val="20"/>
              </w:rPr>
              <w:t> </w:t>
            </w:r>
          </w:p>
        </w:tc>
        <w:tc>
          <w:tcPr>
            <w:tcW w:w="6050" w:type="dxa"/>
            <w:tcBorders>
              <w:top w:val="nil"/>
              <w:left w:val="nil"/>
              <w:bottom w:val="single" w:sz="4" w:space="0" w:color="auto"/>
              <w:right w:val="single" w:sz="4" w:space="0" w:color="auto"/>
            </w:tcBorders>
            <w:shd w:val="clear" w:color="000000" w:fill="D9D9D9"/>
            <w:noWrap/>
            <w:vAlign w:val="bottom"/>
            <w:hideMark/>
          </w:tcPr>
          <w:p w14:paraId="6639FC01" w14:textId="77777777" w:rsidR="00ED34CE" w:rsidRPr="00ED34CE" w:rsidRDefault="00ED34CE" w:rsidP="002815DB">
            <w:pPr>
              <w:rPr>
                <w:rFonts w:ascii="Arial" w:hAnsi="Arial" w:cs="Arial"/>
                <w:b/>
                <w:bCs/>
                <w:sz w:val="20"/>
                <w:szCs w:val="20"/>
              </w:rPr>
            </w:pPr>
            <w:r w:rsidRPr="00ED34CE">
              <w:rPr>
                <w:rFonts w:ascii="Arial" w:hAnsi="Arial" w:cs="Arial"/>
                <w:b/>
                <w:bCs/>
                <w:sz w:val="20"/>
                <w:szCs w:val="20"/>
              </w:rPr>
              <w:t>PRIHODI UKUPNO</w:t>
            </w:r>
          </w:p>
        </w:tc>
        <w:tc>
          <w:tcPr>
            <w:tcW w:w="2173" w:type="dxa"/>
            <w:tcBorders>
              <w:top w:val="nil"/>
              <w:left w:val="nil"/>
              <w:bottom w:val="single" w:sz="4" w:space="0" w:color="auto"/>
              <w:right w:val="single" w:sz="4" w:space="0" w:color="auto"/>
            </w:tcBorders>
            <w:shd w:val="clear" w:color="000000" w:fill="D9D9D9"/>
            <w:noWrap/>
            <w:vAlign w:val="bottom"/>
            <w:hideMark/>
          </w:tcPr>
          <w:p w14:paraId="5985AF6B"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27.456.774,00</w:t>
            </w:r>
          </w:p>
        </w:tc>
        <w:tc>
          <w:tcPr>
            <w:tcW w:w="1846" w:type="dxa"/>
            <w:tcBorders>
              <w:top w:val="nil"/>
              <w:left w:val="nil"/>
              <w:bottom w:val="single" w:sz="4" w:space="0" w:color="auto"/>
              <w:right w:val="single" w:sz="4" w:space="0" w:color="auto"/>
            </w:tcBorders>
            <w:shd w:val="clear" w:color="000000" w:fill="D9D9D9"/>
            <w:noWrap/>
            <w:vAlign w:val="bottom"/>
            <w:hideMark/>
          </w:tcPr>
          <w:p w14:paraId="78A77BC7"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190.974,00</w:t>
            </w:r>
          </w:p>
        </w:tc>
        <w:tc>
          <w:tcPr>
            <w:tcW w:w="1428" w:type="dxa"/>
            <w:tcBorders>
              <w:top w:val="nil"/>
              <w:left w:val="nil"/>
              <w:bottom w:val="single" w:sz="4" w:space="0" w:color="auto"/>
              <w:right w:val="single" w:sz="4" w:space="0" w:color="auto"/>
            </w:tcBorders>
            <w:shd w:val="clear" w:color="000000" w:fill="D9D9D9"/>
            <w:noWrap/>
            <w:vAlign w:val="bottom"/>
            <w:hideMark/>
          </w:tcPr>
          <w:p w14:paraId="4C446E50"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0.7%</w:t>
            </w:r>
          </w:p>
        </w:tc>
        <w:tc>
          <w:tcPr>
            <w:tcW w:w="2081" w:type="dxa"/>
            <w:tcBorders>
              <w:top w:val="nil"/>
              <w:left w:val="nil"/>
              <w:bottom w:val="single" w:sz="4" w:space="0" w:color="auto"/>
              <w:right w:val="single" w:sz="4" w:space="0" w:color="auto"/>
            </w:tcBorders>
            <w:shd w:val="clear" w:color="000000" w:fill="D9D9D9"/>
            <w:noWrap/>
            <w:vAlign w:val="bottom"/>
            <w:hideMark/>
          </w:tcPr>
          <w:p w14:paraId="7848D7FD"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27.647.748,00</w:t>
            </w:r>
          </w:p>
        </w:tc>
      </w:tr>
      <w:tr w:rsidR="00ED34CE" w:rsidRPr="00ED34CE" w14:paraId="41E6C3F6" w14:textId="77777777" w:rsidTr="002815DB">
        <w:trPr>
          <w:trHeight w:val="269"/>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2A523137"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6050" w:type="dxa"/>
            <w:tcBorders>
              <w:top w:val="nil"/>
              <w:left w:val="nil"/>
              <w:bottom w:val="single" w:sz="4" w:space="0" w:color="auto"/>
              <w:right w:val="single" w:sz="4" w:space="0" w:color="auto"/>
            </w:tcBorders>
            <w:shd w:val="clear" w:color="auto" w:fill="auto"/>
            <w:noWrap/>
            <w:vAlign w:val="bottom"/>
            <w:hideMark/>
          </w:tcPr>
          <w:p w14:paraId="2E36D1DD" w14:textId="77777777" w:rsidR="00ED34CE" w:rsidRPr="00ED34CE" w:rsidRDefault="00ED34CE" w:rsidP="002815DB">
            <w:pPr>
              <w:rPr>
                <w:rFonts w:ascii="Arial" w:hAnsi="Arial" w:cs="Arial"/>
                <w:sz w:val="20"/>
                <w:szCs w:val="20"/>
              </w:rPr>
            </w:pPr>
            <w:r w:rsidRPr="00ED34CE">
              <w:rPr>
                <w:rFonts w:ascii="Arial" w:hAnsi="Arial" w:cs="Arial"/>
                <w:sz w:val="20"/>
                <w:szCs w:val="20"/>
              </w:rPr>
              <w:t>Prihodi poslovanja</w:t>
            </w:r>
          </w:p>
        </w:tc>
        <w:tc>
          <w:tcPr>
            <w:tcW w:w="2173" w:type="dxa"/>
            <w:tcBorders>
              <w:top w:val="nil"/>
              <w:left w:val="nil"/>
              <w:bottom w:val="single" w:sz="4" w:space="0" w:color="auto"/>
              <w:right w:val="single" w:sz="4" w:space="0" w:color="auto"/>
            </w:tcBorders>
            <w:shd w:val="clear" w:color="auto" w:fill="auto"/>
            <w:noWrap/>
            <w:vAlign w:val="bottom"/>
            <w:hideMark/>
          </w:tcPr>
          <w:p w14:paraId="081DDEAF"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25.216.864,00</w:t>
            </w:r>
          </w:p>
        </w:tc>
        <w:tc>
          <w:tcPr>
            <w:tcW w:w="1846" w:type="dxa"/>
            <w:tcBorders>
              <w:top w:val="nil"/>
              <w:left w:val="nil"/>
              <w:bottom w:val="single" w:sz="4" w:space="0" w:color="auto"/>
              <w:right w:val="single" w:sz="4" w:space="0" w:color="auto"/>
            </w:tcBorders>
            <w:shd w:val="clear" w:color="auto" w:fill="auto"/>
            <w:noWrap/>
            <w:vAlign w:val="bottom"/>
            <w:hideMark/>
          </w:tcPr>
          <w:p w14:paraId="7CF4996A"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922.094,00</w:t>
            </w:r>
          </w:p>
        </w:tc>
        <w:tc>
          <w:tcPr>
            <w:tcW w:w="1428" w:type="dxa"/>
            <w:tcBorders>
              <w:top w:val="nil"/>
              <w:left w:val="nil"/>
              <w:bottom w:val="single" w:sz="4" w:space="0" w:color="auto"/>
              <w:right w:val="single" w:sz="4" w:space="0" w:color="auto"/>
            </w:tcBorders>
            <w:shd w:val="clear" w:color="auto" w:fill="auto"/>
            <w:noWrap/>
            <w:vAlign w:val="bottom"/>
            <w:hideMark/>
          </w:tcPr>
          <w:p w14:paraId="4EAE8067"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3.7%</w:t>
            </w:r>
          </w:p>
        </w:tc>
        <w:tc>
          <w:tcPr>
            <w:tcW w:w="2081" w:type="dxa"/>
            <w:tcBorders>
              <w:top w:val="nil"/>
              <w:left w:val="nil"/>
              <w:bottom w:val="single" w:sz="4" w:space="0" w:color="auto"/>
              <w:right w:val="single" w:sz="4" w:space="0" w:color="auto"/>
            </w:tcBorders>
            <w:shd w:val="clear" w:color="auto" w:fill="auto"/>
            <w:noWrap/>
            <w:vAlign w:val="bottom"/>
            <w:hideMark/>
          </w:tcPr>
          <w:p w14:paraId="1780C3DD"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26.138.958,00</w:t>
            </w:r>
          </w:p>
        </w:tc>
      </w:tr>
      <w:tr w:rsidR="00ED34CE" w:rsidRPr="00ED34CE" w14:paraId="7EF6B5B0" w14:textId="77777777" w:rsidTr="002815DB">
        <w:trPr>
          <w:trHeight w:val="269"/>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4CF88391"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6050" w:type="dxa"/>
            <w:tcBorders>
              <w:top w:val="nil"/>
              <w:left w:val="nil"/>
              <w:bottom w:val="single" w:sz="4" w:space="0" w:color="auto"/>
              <w:right w:val="single" w:sz="4" w:space="0" w:color="auto"/>
            </w:tcBorders>
            <w:shd w:val="clear" w:color="auto" w:fill="auto"/>
            <w:noWrap/>
            <w:vAlign w:val="bottom"/>
            <w:hideMark/>
          </w:tcPr>
          <w:p w14:paraId="74DC2B4A" w14:textId="77777777" w:rsidR="00ED34CE" w:rsidRPr="00ED34CE" w:rsidRDefault="00ED34CE" w:rsidP="002815DB">
            <w:pPr>
              <w:rPr>
                <w:rFonts w:ascii="Arial" w:hAnsi="Arial" w:cs="Arial"/>
                <w:sz w:val="20"/>
                <w:szCs w:val="20"/>
              </w:rPr>
            </w:pPr>
            <w:r w:rsidRPr="00ED34CE">
              <w:rPr>
                <w:rFonts w:ascii="Arial" w:hAnsi="Arial" w:cs="Arial"/>
                <w:sz w:val="20"/>
                <w:szCs w:val="20"/>
              </w:rPr>
              <w:t>Prihodi od prodaje nefinancijske imovine</w:t>
            </w:r>
          </w:p>
        </w:tc>
        <w:tc>
          <w:tcPr>
            <w:tcW w:w="2173" w:type="dxa"/>
            <w:tcBorders>
              <w:top w:val="nil"/>
              <w:left w:val="nil"/>
              <w:bottom w:val="single" w:sz="4" w:space="0" w:color="auto"/>
              <w:right w:val="single" w:sz="4" w:space="0" w:color="auto"/>
            </w:tcBorders>
            <w:shd w:val="clear" w:color="auto" w:fill="auto"/>
            <w:noWrap/>
            <w:vAlign w:val="bottom"/>
            <w:hideMark/>
          </w:tcPr>
          <w:p w14:paraId="3D759903"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2.239.910,00</w:t>
            </w:r>
          </w:p>
        </w:tc>
        <w:tc>
          <w:tcPr>
            <w:tcW w:w="1846" w:type="dxa"/>
            <w:tcBorders>
              <w:top w:val="nil"/>
              <w:left w:val="nil"/>
              <w:bottom w:val="single" w:sz="4" w:space="0" w:color="auto"/>
              <w:right w:val="single" w:sz="4" w:space="0" w:color="auto"/>
            </w:tcBorders>
            <w:shd w:val="clear" w:color="auto" w:fill="auto"/>
            <w:noWrap/>
            <w:vAlign w:val="bottom"/>
            <w:hideMark/>
          </w:tcPr>
          <w:p w14:paraId="637BEDEA"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-731.120,00</w:t>
            </w:r>
          </w:p>
        </w:tc>
        <w:tc>
          <w:tcPr>
            <w:tcW w:w="1428" w:type="dxa"/>
            <w:tcBorders>
              <w:top w:val="nil"/>
              <w:left w:val="nil"/>
              <w:bottom w:val="single" w:sz="4" w:space="0" w:color="auto"/>
              <w:right w:val="single" w:sz="4" w:space="0" w:color="auto"/>
            </w:tcBorders>
            <w:shd w:val="clear" w:color="auto" w:fill="auto"/>
            <w:noWrap/>
            <w:vAlign w:val="bottom"/>
            <w:hideMark/>
          </w:tcPr>
          <w:p w14:paraId="24632471"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-32.6%</w:t>
            </w:r>
          </w:p>
        </w:tc>
        <w:tc>
          <w:tcPr>
            <w:tcW w:w="2081" w:type="dxa"/>
            <w:tcBorders>
              <w:top w:val="nil"/>
              <w:left w:val="nil"/>
              <w:bottom w:val="single" w:sz="4" w:space="0" w:color="auto"/>
              <w:right w:val="single" w:sz="4" w:space="0" w:color="auto"/>
            </w:tcBorders>
            <w:shd w:val="clear" w:color="auto" w:fill="auto"/>
            <w:noWrap/>
            <w:vAlign w:val="bottom"/>
            <w:hideMark/>
          </w:tcPr>
          <w:p w14:paraId="0A79D540"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1.508.790,00</w:t>
            </w:r>
          </w:p>
        </w:tc>
      </w:tr>
      <w:tr w:rsidR="00ED34CE" w:rsidRPr="00ED34CE" w14:paraId="53DDAA83" w14:textId="77777777" w:rsidTr="002815DB">
        <w:trPr>
          <w:trHeight w:val="269"/>
        </w:trPr>
        <w:tc>
          <w:tcPr>
            <w:tcW w:w="416" w:type="dxa"/>
            <w:tcBorders>
              <w:top w:val="nil"/>
              <w:left w:val="single" w:sz="4" w:space="0" w:color="auto"/>
              <w:bottom w:val="single" w:sz="4" w:space="0" w:color="auto"/>
              <w:right w:val="single" w:sz="4" w:space="0" w:color="auto"/>
            </w:tcBorders>
            <w:shd w:val="clear" w:color="000000" w:fill="D9D9D9"/>
            <w:noWrap/>
            <w:vAlign w:val="bottom"/>
            <w:hideMark/>
          </w:tcPr>
          <w:p w14:paraId="59A51F0A" w14:textId="77777777" w:rsidR="00ED34CE" w:rsidRPr="00ED34CE" w:rsidRDefault="00ED34CE" w:rsidP="002815DB">
            <w:pPr>
              <w:rPr>
                <w:rFonts w:ascii="Arial" w:hAnsi="Arial" w:cs="Arial"/>
                <w:b/>
                <w:bCs/>
                <w:sz w:val="20"/>
                <w:szCs w:val="20"/>
              </w:rPr>
            </w:pPr>
            <w:r w:rsidRPr="00ED34CE">
              <w:rPr>
                <w:rFonts w:ascii="Arial" w:hAnsi="Arial" w:cs="Arial"/>
                <w:b/>
                <w:bCs/>
                <w:sz w:val="20"/>
                <w:szCs w:val="20"/>
              </w:rPr>
              <w:t> </w:t>
            </w:r>
          </w:p>
        </w:tc>
        <w:tc>
          <w:tcPr>
            <w:tcW w:w="6050" w:type="dxa"/>
            <w:tcBorders>
              <w:top w:val="nil"/>
              <w:left w:val="nil"/>
              <w:bottom w:val="single" w:sz="4" w:space="0" w:color="auto"/>
              <w:right w:val="single" w:sz="4" w:space="0" w:color="auto"/>
            </w:tcBorders>
            <w:shd w:val="clear" w:color="000000" w:fill="D9D9D9"/>
            <w:noWrap/>
            <w:vAlign w:val="bottom"/>
            <w:hideMark/>
          </w:tcPr>
          <w:p w14:paraId="2EA4B773" w14:textId="77777777" w:rsidR="00ED34CE" w:rsidRPr="00ED34CE" w:rsidRDefault="00ED34CE" w:rsidP="002815DB">
            <w:pPr>
              <w:rPr>
                <w:rFonts w:ascii="Arial" w:hAnsi="Arial" w:cs="Arial"/>
                <w:b/>
                <w:bCs/>
                <w:sz w:val="20"/>
                <w:szCs w:val="20"/>
              </w:rPr>
            </w:pPr>
            <w:r w:rsidRPr="00ED34CE">
              <w:rPr>
                <w:rFonts w:ascii="Arial" w:hAnsi="Arial" w:cs="Arial"/>
                <w:b/>
                <w:bCs/>
                <w:sz w:val="20"/>
                <w:szCs w:val="20"/>
              </w:rPr>
              <w:t>RASHODI UKUPNO</w:t>
            </w:r>
          </w:p>
        </w:tc>
        <w:tc>
          <w:tcPr>
            <w:tcW w:w="2173" w:type="dxa"/>
            <w:tcBorders>
              <w:top w:val="nil"/>
              <w:left w:val="nil"/>
              <w:bottom w:val="single" w:sz="4" w:space="0" w:color="auto"/>
              <w:right w:val="single" w:sz="4" w:space="0" w:color="auto"/>
            </w:tcBorders>
            <w:shd w:val="clear" w:color="000000" w:fill="D9D9D9"/>
            <w:noWrap/>
            <w:vAlign w:val="bottom"/>
            <w:hideMark/>
          </w:tcPr>
          <w:p w14:paraId="001E7113"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26.786.560,00</w:t>
            </w:r>
          </w:p>
        </w:tc>
        <w:tc>
          <w:tcPr>
            <w:tcW w:w="1846" w:type="dxa"/>
            <w:tcBorders>
              <w:top w:val="nil"/>
              <w:left w:val="nil"/>
              <w:bottom w:val="single" w:sz="4" w:space="0" w:color="auto"/>
              <w:right w:val="single" w:sz="4" w:space="0" w:color="auto"/>
            </w:tcBorders>
            <w:shd w:val="clear" w:color="000000" w:fill="D9D9D9"/>
            <w:noWrap/>
            <w:vAlign w:val="bottom"/>
            <w:hideMark/>
          </w:tcPr>
          <w:p w14:paraId="2AE4A585"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933.295,00</w:t>
            </w:r>
          </w:p>
        </w:tc>
        <w:tc>
          <w:tcPr>
            <w:tcW w:w="1428" w:type="dxa"/>
            <w:tcBorders>
              <w:top w:val="nil"/>
              <w:left w:val="nil"/>
              <w:bottom w:val="single" w:sz="4" w:space="0" w:color="auto"/>
              <w:right w:val="single" w:sz="4" w:space="0" w:color="auto"/>
            </w:tcBorders>
            <w:shd w:val="clear" w:color="000000" w:fill="D9D9D9"/>
            <w:noWrap/>
            <w:vAlign w:val="bottom"/>
            <w:hideMark/>
          </w:tcPr>
          <w:p w14:paraId="20AE9AF7"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3.5%</w:t>
            </w:r>
          </w:p>
        </w:tc>
        <w:tc>
          <w:tcPr>
            <w:tcW w:w="2081" w:type="dxa"/>
            <w:tcBorders>
              <w:top w:val="nil"/>
              <w:left w:val="nil"/>
              <w:bottom w:val="single" w:sz="4" w:space="0" w:color="auto"/>
              <w:right w:val="single" w:sz="4" w:space="0" w:color="auto"/>
            </w:tcBorders>
            <w:shd w:val="clear" w:color="000000" w:fill="D9D9D9"/>
            <w:noWrap/>
            <w:vAlign w:val="bottom"/>
            <w:hideMark/>
          </w:tcPr>
          <w:p w14:paraId="657BA7B5"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27.719.855,00</w:t>
            </w:r>
          </w:p>
        </w:tc>
      </w:tr>
      <w:tr w:rsidR="00ED34CE" w:rsidRPr="00ED34CE" w14:paraId="4B4FA674" w14:textId="77777777" w:rsidTr="002815DB">
        <w:trPr>
          <w:trHeight w:val="269"/>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79E342AC"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6050" w:type="dxa"/>
            <w:tcBorders>
              <w:top w:val="nil"/>
              <w:left w:val="nil"/>
              <w:bottom w:val="single" w:sz="4" w:space="0" w:color="auto"/>
              <w:right w:val="single" w:sz="4" w:space="0" w:color="auto"/>
            </w:tcBorders>
            <w:shd w:val="clear" w:color="auto" w:fill="auto"/>
            <w:noWrap/>
            <w:vAlign w:val="bottom"/>
            <w:hideMark/>
          </w:tcPr>
          <w:p w14:paraId="1E81AD95" w14:textId="77777777" w:rsidR="00ED34CE" w:rsidRPr="00ED34CE" w:rsidRDefault="00ED34CE" w:rsidP="002815DB">
            <w:pPr>
              <w:rPr>
                <w:rFonts w:ascii="Arial" w:hAnsi="Arial" w:cs="Arial"/>
                <w:sz w:val="20"/>
                <w:szCs w:val="20"/>
              </w:rPr>
            </w:pPr>
            <w:r w:rsidRPr="00ED34CE">
              <w:rPr>
                <w:rFonts w:ascii="Arial" w:hAnsi="Arial" w:cs="Arial"/>
                <w:sz w:val="20"/>
                <w:szCs w:val="20"/>
              </w:rPr>
              <w:t>Rashodi poslovanja</w:t>
            </w:r>
          </w:p>
        </w:tc>
        <w:tc>
          <w:tcPr>
            <w:tcW w:w="2173" w:type="dxa"/>
            <w:tcBorders>
              <w:top w:val="nil"/>
              <w:left w:val="nil"/>
              <w:bottom w:val="single" w:sz="4" w:space="0" w:color="auto"/>
              <w:right w:val="single" w:sz="4" w:space="0" w:color="auto"/>
            </w:tcBorders>
            <w:shd w:val="clear" w:color="auto" w:fill="auto"/>
            <w:noWrap/>
            <w:vAlign w:val="bottom"/>
            <w:hideMark/>
          </w:tcPr>
          <w:p w14:paraId="6FECF296"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21.688.842,00</w:t>
            </w:r>
          </w:p>
        </w:tc>
        <w:tc>
          <w:tcPr>
            <w:tcW w:w="1846" w:type="dxa"/>
            <w:tcBorders>
              <w:top w:val="nil"/>
              <w:left w:val="nil"/>
              <w:bottom w:val="single" w:sz="4" w:space="0" w:color="auto"/>
              <w:right w:val="single" w:sz="4" w:space="0" w:color="auto"/>
            </w:tcBorders>
            <w:shd w:val="clear" w:color="auto" w:fill="auto"/>
            <w:noWrap/>
            <w:vAlign w:val="bottom"/>
            <w:hideMark/>
          </w:tcPr>
          <w:p w14:paraId="70234CF1"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1.212.466,00</w:t>
            </w:r>
          </w:p>
        </w:tc>
        <w:tc>
          <w:tcPr>
            <w:tcW w:w="1428" w:type="dxa"/>
            <w:tcBorders>
              <w:top w:val="nil"/>
              <w:left w:val="nil"/>
              <w:bottom w:val="single" w:sz="4" w:space="0" w:color="auto"/>
              <w:right w:val="single" w:sz="4" w:space="0" w:color="auto"/>
            </w:tcBorders>
            <w:shd w:val="clear" w:color="auto" w:fill="auto"/>
            <w:noWrap/>
            <w:vAlign w:val="bottom"/>
            <w:hideMark/>
          </w:tcPr>
          <w:p w14:paraId="154B9B7C"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5.6%</w:t>
            </w:r>
          </w:p>
        </w:tc>
        <w:tc>
          <w:tcPr>
            <w:tcW w:w="2081" w:type="dxa"/>
            <w:tcBorders>
              <w:top w:val="nil"/>
              <w:left w:val="nil"/>
              <w:bottom w:val="single" w:sz="4" w:space="0" w:color="auto"/>
              <w:right w:val="single" w:sz="4" w:space="0" w:color="auto"/>
            </w:tcBorders>
            <w:shd w:val="clear" w:color="auto" w:fill="auto"/>
            <w:noWrap/>
            <w:vAlign w:val="bottom"/>
            <w:hideMark/>
          </w:tcPr>
          <w:p w14:paraId="1098A71C"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22.901.308,00</w:t>
            </w:r>
          </w:p>
        </w:tc>
      </w:tr>
      <w:tr w:rsidR="00ED34CE" w:rsidRPr="00ED34CE" w14:paraId="50EBD5A5" w14:textId="77777777" w:rsidTr="002815DB">
        <w:trPr>
          <w:trHeight w:val="269"/>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49B17C58"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6050" w:type="dxa"/>
            <w:tcBorders>
              <w:top w:val="nil"/>
              <w:left w:val="nil"/>
              <w:bottom w:val="single" w:sz="4" w:space="0" w:color="auto"/>
              <w:right w:val="single" w:sz="4" w:space="0" w:color="auto"/>
            </w:tcBorders>
            <w:shd w:val="clear" w:color="auto" w:fill="auto"/>
            <w:noWrap/>
            <w:vAlign w:val="bottom"/>
            <w:hideMark/>
          </w:tcPr>
          <w:p w14:paraId="38FC0B65" w14:textId="77777777" w:rsidR="00ED34CE" w:rsidRPr="00ED34CE" w:rsidRDefault="00ED34CE" w:rsidP="002815DB">
            <w:pPr>
              <w:rPr>
                <w:rFonts w:ascii="Arial" w:hAnsi="Arial" w:cs="Arial"/>
                <w:sz w:val="20"/>
                <w:szCs w:val="20"/>
              </w:rPr>
            </w:pPr>
            <w:r w:rsidRPr="00ED34CE">
              <w:rPr>
                <w:rFonts w:ascii="Arial" w:hAnsi="Arial" w:cs="Arial"/>
                <w:sz w:val="20"/>
                <w:szCs w:val="20"/>
              </w:rPr>
              <w:t>Rashodi za nabavu nefinancijske imovine</w:t>
            </w:r>
          </w:p>
        </w:tc>
        <w:tc>
          <w:tcPr>
            <w:tcW w:w="2173" w:type="dxa"/>
            <w:tcBorders>
              <w:top w:val="nil"/>
              <w:left w:val="nil"/>
              <w:bottom w:val="single" w:sz="4" w:space="0" w:color="auto"/>
              <w:right w:val="single" w:sz="4" w:space="0" w:color="auto"/>
            </w:tcBorders>
            <w:shd w:val="clear" w:color="auto" w:fill="auto"/>
            <w:noWrap/>
            <w:vAlign w:val="bottom"/>
            <w:hideMark/>
          </w:tcPr>
          <w:p w14:paraId="384DE9D9"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5.097.718,00</w:t>
            </w:r>
          </w:p>
        </w:tc>
        <w:tc>
          <w:tcPr>
            <w:tcW w:w="1846" w:type="dxa"/>
            <w:tcBorders>
              <w:top w:val="nil"/>
              <w:left w:val="nil"/>
              <w:bottom w:val="single" w:sz="4" w:space="0" w:color="auto"/>
              <w:right w:val="single" w:sz="4" w:space="0" w:color="auto"/>
            </w:tcBorders>
            <w:shd w:val="clear" w:color="auto" w:fill="auto"/>
            <w:noWrap/>
            <w:vAlign w:val="bottom"/>
            <w:hideMark/>
          </w:tcPr>
          <w:p w14:paraId="2011009A"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-279.171,00</w:t>
            </w:r>
          </w:p>
        </w:tc>
        <w:tc>
          <w:tcPr>
            <w:tcW w:w="1428" w:type="dxa"/>
            <w:tcBorders>
              <w:top w:val="nil"/>
              <w:left w:val="nil"/>
              <w:bottom w:val="single" w:sz="4" w:space="0" w:color="auto"/>
              <w:right w:val="single" w:sz="4" w:space="0" w:color="auto"/>
            </w:tcBorders>
            <w:shd w:val="clear" w:color="auto" w:fill="auto"/>
            <w:noWrap/>
            <w:vAlign w:val="bottom"/>
            <w:hideMark/>
          </w:tcPr>
          <w:p w14:paraId="4750D475"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-5.5%</w:t>
            </w:r>
          </w:p>
        </w:tc>
        <w:tc>
          <w:tcPr>
            <w:tcW w:w="2081" w:type="dxa"/>
            <w:tcBorders>
              <w:top w:val="nil"/>
              <w:left w:val="nil"/>
              <w:bottom w:val="single" w:sz="4" w:space="0" w:color="auto"/>
              <w:right w:val="single" w:sz="4" w:space="0" w:color="auto"/>
            </w:tcBorders>
            <w:shd w:val="clear" w:color="auto" w:fill="auto"/>
            <w:noWrap/>
            <w:vAlign w:val="bottom"/>
            <w:hideMark/>
          </w:tcPr>
          <w:p w14:paraId="02F37568"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4.818.547,00</w:t>
            </w:r>
          </w:p>
        </w:tc>
      </w:tr>
      <w:tr w:rsidR="00ED34CE" w:rsidRPr="00ED34CE" w14:paraId="4C2739A8" w14:textId="77777777" w:rsidTr="002815DB">
        <w:trPr>
          <w:trHeight w:val="269"/>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027003FF" w14:textId="77777777" w:rsidR="00ED34CE" w:rsidRPr="00ED34CE" w:rsidRDefault="00ED34CE" w:rsidP="002815DB">
            <w:pPr>
              <w:rPr>
                <w:rFonts w:ascii="Arial" w:hAnsi="Arial" w:cs="Arial"/>
                <w:b/>
                <w:bCs/>
                <w:sz w:val="20"/>
                <w:szCs w:val="20"/>
              </w:rPr>
            </w:pPr>
            <w:r w:rsidRPr="00ED34CE">
              <w:rPr>
                <w:rFonts w:ascii="Arial" w:hAnsi="Arial" w:cs="Arial"/>
                <w:b/>
                <w:bCs/>
                <w:sz w:val="20"/>
                <w:szCs w:val="20"/>
              </w:rPr>
              <w:t> </w:t>
            </w:r>
          </w:p>
        </w:tc>
        <w:tc>
          <w:tcPr>
            <w:tcW w:w="6050" w:type="dxa"/>
            <w:tcBorders>
              <w:top w:val="nil"/>
              <w:left w:val="nil"/>
              <w:bottom w:val="single" w:sz="4" w:space="0" w:color="auto"/>
              <w:right w:val="single" w:sz="4" w:space="0" w:color="auto"/>
            </w:tcBorders>
            <w:shd w:val="clear" w:color="auto" w:fill="auto"/>
            <w:noWrap/>
            <w:vAlign w:val="bottom"/>
            <w:hideMark/>
          </w:tcPr>
          <w:p w14:paraId="1E560B15" w14:textId="77777777" w:rsidR="00ED34CE" w:rsidRPr="00ED34CE" w:rsidRDefault="00ED34CE" w:rsidP="002815DB">
            <w:pPr>
              <w:rPr>
                <w:rFonts w:ascii="Arial" w:hAnsi="Arial" w:cs="Arial"/>
                <w:b/>
                <w:bCs/>
                <w:sz w:val="20"/>
                <w:szCs w:val="20"/>
              </w:rPr>
            </w:pPr>
            <w:r w:rsidRPr="00ED34CE">
              <w:rPr>
                <w:rFonts w:ascii="Arial" w:hAnsi="Arial" w:cs="Arial"/>
                <w:b/>
                <w:bCs/>
                <w:sz w:val="20"/>
                <w:szCs w:val="20"/>
              </w:rPr>
              <w:t>RAZLIKA- VIŠAK/MANJAK</w:t>
            </w:r>
          </w:p>
        </w:tc>
        <w:tc>
          <w:tcPr>
            <w:tcW w:w="2173" w:type="dxa"/>
            <w:tcBorders>
              <w:top w:val="nil"/>
              <w:left w:val="nil"/>
              <w:bottom w:val="single" w:sz="4" w:space="0" w:color="auto"/>
              <w:right w:val="single" w:sz="4" w:space="0" w:color="auto"/>
            </w:tcBorders>
            <w:shd w:val="clear" w:color="auto" w:fill="auto"/>
            <w:noWrap/>
            <w:vAlign w:val="bottom"/>
            <w:hideMark/>
          </w:tcPr>
          <w:p w14:paraId="65F3D602"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670.214,00</w:t>
            </w:r>
          </w:p>
        </w:tc>
        <w:tc>
          <w:tcPr>
            <w:tcW w:w="1846" w:type="dxa"/>
            <w:tcBorders>
              <w:top w:val="nil"/>
              <w:left w:val="nil"/>
              <w:bottom w:val="single" w:sz="4" w:space="0" w:color="auto"/>
              <w:right w:val="single" w:sz="4" w:space="0" w:color="auto"/>
            </w:tcBorders>
            <w:shd w:val="clear" w:color="auto" w:fill="auto"/>
            <w:noWrap/>
            <w:vAlign w:val="bottom"/>
            <w:hideMark/>
          </w:tcPr>
          <w:p w14:paraId="5665F01A"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-742.321,00</w:t>
            </w:r>
          </w:p>
        </w:tc>
        <w:tc>
          <w:tcPr>
            <w:tcW w:w="1428" w:type="dxa"/>
            <w:tcBorders>
              <w:top w:val="nil"/>
              <w:left w:val="nil"/>
              <w:bottom w:val="single" w:sz="4" w:space="0" w:color="auto"/>
              <w:right w:val="single" w:sz="4" w:space="0" w:color="auto"/>
            </w:tcBorders>
            <w:shd w:val="clear" w:color="auto" w:fill="auto"/>
            <w:noWrap/>
            <w:vAlign w:val="bottom"/>
            <w:hideMark/>
          </w:tcPr>
          <w:p w14:paraId="1FB90C6F"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-110.8%</w:t>
            </w:r>
          </w:p>
        </w:tc>
        <w:tc>
          <w:tcPr>
            <w:tcW w:w="2081" w:type="dxa"/>
            <w:tcBorders>
              <w:top w:val="nil"/>
              <w:left w:val="nil"/>
              <w:bottom w:val="single" w:sz="4" w:space="0" w:color="auto"/>
              <w:right w:val="single" w:sz="4" w:space="0" w:color="auto"/>
            </w:tcBorders>
            <w:shd w:val="clear" w:color="auto" w:fill="auto"/>
            <w:noWrap/>
            <w:vAlign w:val="bottom"/>
            <w:hideMark/>
          </w:tcPr>
          <w:p w14:paraId="191EC2E3"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-72.107,00</w:t>
            </w:r>
          </w:p>
        </w:tc>
      </w:tr>
      <w:tr w:rsidR="00ED34CE" w:rsidRPr="00ED34CE" w14:paraId="765F3841" w14:textId="77777777" w:rsidTr="002815DB">
        <w:trPr>
          <w:trHeight w:val="269"/>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17DBCEE8"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6050" w:type="dxa"/>
            <w:tcBorders>
              <w:top w:val="nil"/>
              <w:left w:val="nil"/>
              <w:bottom w:val="single" w:sz="4" w:space="0" w:color="auto"/>
              <w:right w:val="single" w:sz="4" w:space="0" w:color="auto"/>
            </w:tcBorders>
            <w:shd w:val="clear" w:color="auto" w:fill="auto"/>
            <w:noWrap/>
            <w:vAlign w:val="bottom"/>
            <w:hideMark/>
          </w:tcPr>
          <w:p w14:paraId="669D4AD5"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2173" w:type="dxa"/>
            <w:tcBorders>
              <w:top w:val="nil"/>
              <w:left w:val="nil"/>
              <w:bottom w:val="single" w:sz="4" w:space="0" w:color="auto"/>
              <w:right w:val="single" w:sz="4" w:space="0" w:color="auto"/>
            </w:tcBorders>
            <w:shd w:val="clear" w:color="auto" w:fill="auto"/>
            <w:noWrap/>
            <w:vAlign w:val="bottom"/>
            <w:hideMark/>
          </w:tcPr>
          <w:p w14:paraId="3B4CC231"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1846" w:type="dxa"/>
            <w:tcBorders>
              <w:top w:val="nil"/>
              <w:left w:val="nil"/>
              <w:bottom w:val="single" w:sz="4" w:space="0" w:color="auto"/>
              <w:right w:val="single" w:sz="4" w:space="0" w:color="auto"/>
            </w:tcBorders>
            <w:shd w:val="clear" w:color="auto" w:fill="auto"/>
            <w:noWrap/>
            <w:vAlign w:val="bottom"/>
            <w:hideMark/>
          </w:tcPr>
          <w:p w14:paraId="0AC2B276"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bottom"/>
            <w:hideMark/>
          </w:tcPr>
          <w:p w14:paraId="6A45187B"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2081" w:type="dxa"/>
            <w:tcBorders>
              <w:top w:val="nil"/>
              <w:left w:val="nil"/>
              <w:bottom w:val="single" w:sz="4" w:space="0" w:color="auto"/>
              <w:right w:val="single" w:sz="4" w:space="0" w:color="auto"/>
            </w:tcBorders>
            <w:shd w:val="clear" w:color="auto" w:fill="auto"/>
            <w:noWrap/>
            <w:vAlign w:val="bottom"/>
            <w:hideMark/>
          </w:tcPr>
          <w:p w14:paraId="77C908B0"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r>
      <w:tr w:rsidR="00ED34CE" w:rsidRPr="00ED34CE" w14:paraId="55CA6D9D" w14:textId="77777777" w:rsidTr="002815DB">
        <w:trPr>
          <w:trHeight w:val="269"/>
        </w:trPr>
        <w:tc>
          <w:tcPr>
            <w:tcW w:w="416" w:type="dxa"/>
            <w:tcBorders>
              <w:top w:val="nil"/>
              <w:left w:val="single" w:sz="4" w:space="0" w:color="auto"/>
              <w:bottom w:val="single" w:sz="4" w:space="0" w:color="auto"/>
              <w:right w:val="single" w:sz="4" w:space="0" w:color="auto"/>
            </w:tcBorders>
            <w:shd w:val="clear" w:color="000000" w:fill="A6A6A6"/>
            <w:noWrap/>
            <w:vAlign w:val="bottom"/>
            <w:hideMark/>
          </w:tcPr>
          <w:p w14:paraId="3DFDFA3E" w14:textId="77777777" w:rsidR="00ED34CE" w:rsidRPr="00ED34CE" w:rsidRDefault="00ED34CE" w:rsidP="002815DB">
            <w:pPr>
              <w:rPr>
                <w:rFonts w:ascii="Arial" w:hAnsi="Arial" w:cs="Arial"/>
                <w:b/>
                <w:bCs/>
                <w:sz w:val="20"/>
                <w:szCs w:val="20"/>
              </w:rPr>
            </w:pPr>
            <w:r w:rsidRPr="00ED34CE">
              <w:rPr>
                <w:rFonts w:ascii="Arial" w:hAnsi="Arial" w:cs="Arial"/>
                <w:b/>
                <w:bCs/>
                <w:sz w:val="20"/>
                <w:szCs w:val="20"/>
              </w:rPr>
              <w:t>B.</w:t>
            </w:r>
          </w:p>
        </w:tc>
        <w:tc>
          <w:tcPr>
            <w:tcW w:w="6050" w:type="dxa"/>
            <w:tcBorders>
              <w:top w:val="nil"/>
              <w:left w:val="nil"/>
              <w:bottom w:val="single" w:sz="4" w:space="0" w:color="auto"/>
              <w:right w:val="single" w:sz="4" w:space="0" w:color="auto"/>
            </w:tcBorders>
            <w:shd w:val="clear" w:color="000000" w:fill="A6A6A6"/>
            <w:noWrap/>
            <w:vAlign w:val="bottom"/>
            <w:hideMark/>
          </w:tcPr>
          <w:p w14:paraId="5375F443" w14:textId="77777777" w:rsidR="00ED34CE" w:rsidRPr="00ED34CE" w:rsidRDefault="00ED34CE" w:rsidP="002815DB">
            <w:pPr>
              <w:rPr>
                <w:rFonts w:ascii="Arial" w:hAnsi="Arial" w:cs="Arial"/>
                <w:b/>
                <w:bCs/>
                <w:sz w:val="20"/>
                <w:szCs w:val="20"/>
              </w:rPr>
            </w:pPr>
            <w:r w:rsidRPr="00ED34CE">
              <w:rPr>
                <w:rFonts w:ascii="Arial" w:hAnsi="Arial" w:cs="Arial"/>
                <w:b/>
                <w:bCs/>
                <w:sz w:val="20"/>
                <w:szCs w:val="20"/>
              </w:rPr>
              <w:t>SAŽETAK RAČUNA ZADUŽIVANJA/FINANCIRANJA</w:t>
            </w:r>
          </w:p>
        </w:tc>
        <w:tc>
          <w:tcPr>
            <w:tcW w:w="2173" w:type="dxa"/>
            <w:tcBorders>
              <w:top w:val="nil"/>
              <w:left w:val="nil"/>
              <w:bottom w:val="single" w:sz="4" w:space="0" w:color="auto"/>
              <w:right w:val="single" w:sz="4" w:space="0" w:color="auto"/>
            </w:tcBorders>
            <w:shd w:val="clear" w:color="000000" w:fill="A6A6A6"/>
            <w:noWrap/>
            <w:vAlign w:val="bottom"/>
            <w:hideMark/>
          </w:tcPr>
          <w:p w14:paraId="6F28A313"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1846" w:type="dxa"/>
            <w:tcBorders>
              <w:top w:val="nil"/>
              <w:left w:val="nil"/>
              <w:bottom w:val="single" w:sz="4" w:space="0" w:color="auto"/>
              <w:right w:val="single" w:sz="4" w:space="0" w:color="auto"/>
            </w:tcBorders>
            <w:shd w:val="clear" w:color="000000" w:fill="A6A6A6"/>
            <w:noWrap/>
            <w:vAlign w:val="bottom"/>
            <w:hideMark/>
          </w:tcPr>
          <w:p w14:paraId="05050FF5"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1428" w:type="dxa"/>
            <w:tcBorders>
              <w:top w:val="nil"/>
              <w:left w:val="nil"/>
              <w:bottom w:val="single" w:sz="4" w:space="0" w:color="auto"/>
              <w:right w:val="single" w:sz="4" w:space="0" w:color="auto"/>
            </w:tcBorders>
            <w:shd w:val="clear" w:color="000000" w:fill="A6A6A6"/>
            <w:noWrap/>
            <w:vAlign w:val="bottom"/>
            <w:hideMark/>
          </w:tcPr>
          <w:p w14:paraId="2E41EDD1"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2081" w:type="dxa"/>
            <w:tcBorders>
              <w:top w:val="nil"/>
              <w:left w:val="nil"/>
              <w:bottom w:val="single" w:sz="4" w:space="0" w:color="auto"/>
              <w:right w:val="single" w:sz="4" w:space="0" w:color="auto"/>
            </w:tcBorders>
            <w:shd w:val="clear" w:color="000000" w:fill="A6A6A6"/>
            <w:noWrap/>
            <w:vAlign w:val="bottom"/>
            <w:hideMark/>
          </w:tcPr>
          <w:p w14:paraId="324D2D2A"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r>
      <w:tr w:rsidR="00ED34CE" w:rsidRPr="00ED34CE" w14:paraId="5AC40B43" w14:textId="77777777" w:rsidTr="002815DB">
        <w:trPr>
          <w:trHeight w:val="269"/>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51DBF334"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6050" w:type="dxa"/>
            <w:tcBorders>
              <w:top w:val="nil"/>
              <w:left w:val="nil"/>
              <w:bottom w:val="single" w:sz="4" w:space="0" w:color="auto"/>
              <w:right w:val="single" w:sz="4" w:space="0" w:color="auto"/>
            </w:tcBorders>
            <w:shd w:val="clear" w:color="auto" w:fill="auto"/>
            <w:noWrap/>
            <w:vAlign w:val="bottom"/>
            <w:hideMark/>
          </w:tcPr>
          <w:p w14:paraId="7E0E038E" w14:textId="77777777" w:rsidR="00ED34CE" w:rsidRPr="00ED34CE" w:rsidRDefault="00ED34CE" w:rsidP="002815DB">
            <w:pPr>
              <w:rPr>
                <w:rFonts w:ascii="Arial" w:hAnsi="Arial" w:cs="Arial"/>
                <w:sz w:val="20"/>
                <w:szCs w:val="20"/>
              </w:rPr>
            </w:pPr>
            <w:r w:rsidRPr="00ED34CE">
              <w:rPr>
                <w:rFonts w:ascii="Arial" w:hAnsi="Arial" w:cs="Arial"/>
                <w:sz w:val="20"/>
                <w:szCs w:val="20"/>
              </w:rPr>
              <w:t>Primici od financijske imovine i zaduživanja</w:t>
            </w:r>
          </w:p>
        </w:tc>
        <w:tc>
          <w:tcPr>
            <w:tcW w:w="2173" w:type="dxa"/>
            <w:tcBorders>
              <w:top w:val="nil"/>
              <w:left w:val="nil"/>
              <w:bottom w:val="single" w:sz="4" w:space="0" w:color="auto"/>
              <w:right w:val="single" w:sz="4" w:space="0" w:color="auto"/>
            </w:tcBorders>
            <w:shd w:val="clear" w:color="auto" w:fill="auto"/>
            <w:noWrap/>
            <w:vAlign w:val="bottom"/>
            <w:hideMark/>
          </w:tcPr>
          <w:p w14:paraId="7AAB4D7A"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0,00</w:t>
            </w:r>
          </w:p>
        </w:tc>
        <w:tc>
          <w:tcPr>
            <w:tcW w:w="1846" w:type="dxa"/>
            <w:tcBorders>
              <w:top w:val="nil"/>
              <w:left w:val="nil"/>
              <w:bottom w:val="single" w:sz="4" w:space="0" w:color="auto"/>
              <w:right w:val="single" w:sz="4" w:space="0" w:color="auto"/>
            </w:tcBorders>
            <w:shd w:val="clear" w:color="auto" w:fill="auto"/>
            <w:noWrap/>
            <w:vAlign w:val="bottom"/>
            <w:hideMark/>
          </w:tcPr>
          <w:p w14:paraId="18C83AEF"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0,00</w:t>
            </w:r>
          </w:p>
        </w:tc>
        <w:tc>
          <w:tcPr>
            <w:tcW w:w="1428" w:type="dxa"/>
            <w:tcBorders>
              <w:top w:val="nil"/>
              <w:left w:val="nil"/>
              <w:bottom w:val="single" w:sz="4" w:space="0" w:color="auto"/>
              <w:right w:val="single" w:sz="4" w:space="0" w:color="auto"/>
            </w:tcBorders>
            <w:shd w:val="clear" w:color="auto" w:fill="auto"/>
            <w:noWrap/>
            <w:vAlign w:val="bottom"/>
            <w:hideMark/>
          </w:tcPr>
          <w:p w14:paraId="54898ECE"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0,0%</w:t>
            </w:r>
          </w:p>
        </w:tc>
        <w:tc>
          <w:tcPr>
            <w:tcW w:w="2081" w:type="dxa"/>
            <w:tcBorders>
              <w:top w:val="nil"/>
              <w:left w:val="nil"/>
              <w:bottom w:val="single" w:sz="4" w:space="0" w:color="auto"/>
              <w:right w:val="single" w:sz="4" w:space="0" w:color="auto"/>
            </w:tcBorders>
            <w:shd w:val="clear" w:color="auto" w:fill="auto"/>
            <w:noWrap/>
            <w:vAlign w:val="bottom"/>
            <w:hideMark/>
          </w:tcPr>
          <w:p w14:paraId="3C386694"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0,00</w:t>
            </w:r>
          </w:p>
        </w:tc>
      </w:tr>
      <w:tr w:rsidR="00ED34CE" w:rsidRPr="00ED34CE" w14:paraId="78BD90BB" w14:textId="77777777" w:rsidTr="002815DB">
        <w:trPr>
          <w:trHeight w:val="269"/>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2DF0FED4"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6050" w:type="dxa"/>
            <w:tcBorders>
              <w:top w:val="nil"/>
              <w:left w:val="nil"/>
              <w:bottom w:val="single" w:sz="4" w:space="0" w:color="auto"/>
              <w:right w:val="single" w:sz="4" w:space="0" w:color="auto"/>
            </w:tcBorders>
            <w:shd w:val="clear" w:color="auto" w:fill="auto"/>
            <w:noWrap/>
            <w:vAlign w:val="bottom"/>
            <w:hideMark/>
          </w:tcPr>
          <w:p w14:paraId="116CDDAA" w14:textId="77777777" w:rsidR="00ED34CE" w:rsidRPr="00ED34CE" w:rsidRDefault="00ED34CE" w:rsidP="002815DB">
            <w:pPr>
              <w:rPr>
                <w:rFonts w:ascii="Arial" w:hAnsi="Arial" w:cs="Arial"/>
                <w:sz w:val="20"/>
                <w:szCs w:val="20"/>
              </w:rPr>
            </w:pPr>
            <w:r w:rsidRPr="00ED34CE">
              <w:rPr>
                <w:rFonts w:ascii="Arial" w:hAnsi="Arial" w:cs="Arial"/>
                <w:sz w:val="20"/>
                <w:szCs w:val="20"/>
              </w:rPr>
              <w:t>Izdaci za financijsku imovinu i otplate zajmova</w:t>
            </w:r>
          </w:p>
        </w:tc>
        <w:tc>
          <w:tcPr>
            <w:tcW w:w="2173" w:type="dxa"/>
            <w:tcBorders>
              <w:top w:val="nil"/>
              <w:left w:val="nil"/>
              <w:bottom w:val="single" w:sz="4" w:space="0" w:color="auto"/>
              <w:right w:val="single" w:sz="4" w:space="0" w:color="auto"/>
            </w:tcBorders>
            <w:shd w:val="clear" w:color="auto" w:fill="auto"/>
            <w:noWrap/>
            <w:vAlign w:val="bottom"/>
            <w:hideMark/>
          </w:tcPr>
          <w:p w14:paraId="188083A6"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693.746,00</w:t>
            </w:r>
          </w:p>
        </w:tc>
        <w:tc>
          <w:tcPr>
            <w:tcW w:w="1846" w:type="dxa"/>
            <w:tcBorders>
              <w:top w:val="nil"/>
              <w:left w:val="nil"/>
              <w:bottom w:val="single" w:sz="4" w:space="0" w:color="auto"/>
              <w:right w:val="single" w:sz="4" w:space="0" w:color="auto"/>
            </w:tcBorders>
            <w:shd w:val="clear" w:color="auto" w:fill="auto"/>
            <w:noWrap/>
            <w:vAlign w:val="bottom"/>
            <w:hideMark/>
          </w:tcPr>
          <w:p w14:paraId="15473653"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0,00</w:t>
            </w:r>
          </w:p>
        </w:tc>
        <w:tc>
          <w:tcPr>
            <w:tcW w:w="1428" w:type="dxa"/>
            <w:tcBorders>
              <w:top w:val="nil"/>
              <w:left w:val="nil"/>
              <w:bottom w:val="single" w:sz="4" w:space="0" w:color="auto"/>
              <w:right w:val="single" w:sz="4" w:space="0" w:color="auto"/>
            </w:tcBorders>
            <w:shd w:val="clear" w:color="auto" w:fill="auto"/>
            <w:noWrap/>
            <w:vAlign w:val="bottom"/>
            <w:hideMark/>
          </w:tcPr>
          <w:p w14:paraId="67FBB869"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0.0%</w:t>
            </w:r>
          </w:p>
        </w:tc>
        <w:tc>
          <w:tcPr>
            <w:tcW w:w="2081" w:type="dxa"/>
            <w:tcBorders>
              <w:top w:val="nil"/>
              <w:left w:val="nil"/>
              <w:bottom w:val="single" w:sz="4" w:space="0" w:color="auto"/>
              <w:right w:val="single" w:sz="4" w:space="0" w:color="auto"/>
            </w:tcBorders>
            <w:shd w:val="clear" w:color="auto" w:fill="auto"/>
            <w:noWrap/>
            <w:vAlign w:val="bottom"/>
            <w:hideMark/>
          </w:tcPr>
          <w:p w14:paraId="3EDE7F11" w14:textId="77777777" w:rsidR="00ED34CE" w:rsidRPr="00ED34CE" w:rsidRDefault="00ED34CE" w:rsidP="002815DB">
            <w:pPr>
              <w:jc w:val="right"/>
              <w:rPr>
                <w:rFonts w:ascii="Arial" w:hAnsi="Arial" w:cs="Arial"/>
                <w:sz w:val="20"/>
                <w:szCs w:val="20"/>
              </w:rPr>
            </w:pPr>
            <w:r w:rsidRPr="00ED34CE">
              <w:rPr>
                <w:rFonts w:ascii="Arial" w:hAnsi="Arial" w:cs="Arial"/>
                <w:sz w:val="20"/>
                <w:szCs w:val="20"/>
              </w:rPr>
              <w:t>693.746,00</w:t>
            </w:r>
          </w:p>
        </w:tc>
      </w:tr>
      <w:tr w:rsidR="00ED34CE" w:rsidRPr="00ED34CE" w14:paraId="60797CB8" w14:textId="77777777" w:rsidTr="002815DB">
        <w:trPr>
          <w:trHeight w:val="269"/>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1B6642CF" w14:textId="77777777" w:rsidR="00ED34CE" w:rsidRPr="00ED34CE" w:rsidRDefault="00ED34CE" w:rsidP="002815DB">
            <w:pPr>
              <w:rPr>
                <w:rFonts w:ascii="Arial" w:hAnsi="Arial" w:cs="Arial"/>
                <w:b/>
                <w:bCs/>
                <w:sz w:val="20"/>
                <w:szCs w:val="20"/>
              </w:rPr>
            </w:pPr>
            <w:r w:rsidRPr="00ED34CE">
              <w:rPr>
                <w:rFonts w:ascii="Arial" w:hAnsi="Arial" w:cs="Arial"/>
                <w:b/>
                <w:bCs/>
                <w:sz w:val="20"/>
                <w:szCs w:val="20"/>
              </w:rPr>
              <w:t> </w:t>
            </w:r>
          </w:p>
        </w:tc>
        <w:tc>
          <w:tcPr>
            <w:tcW w:w="6050" w:type="dxa"/>
            <w:tcBorders>
              <w:top w:val="nil"/>
              <w:left w:val="nil"/>
              <w:bottom w:val="single" w:sz="4" w:space="0" w:color="auto"/>
              <w:right w:val="single" w:sz="4" w:space="0" w:color="auto"/>
            </w:tcBorders>
            <w:shd w:val="clear" w:color="auto" w:fill="auto"/>
            <w:noWrap/>
            <w:vAlign w:val="bottom"/>
            <w:hideMark/>
          </w:tcPr>
          <w:p w14:paraId="3D1DAFD4" w14:textId="77777777" w:rsidR="00ED34CE" w:rsidRPr="00ED34CE" w:rsidRDefault="00ED34CE" w:rsidP="002815DB">
            <w:pPr>
              <w:rPr>
                <w:rFonts w:ascii="Arial" w:hAnsi="Arial" w:cs="Arial"/>
                <w:b/>
                <w:bCs/>
                <w:sz w:val="20"/>
                <w:szCs w:val="20"/>
              </w:rPr>
            </w:pPr>
            <w:r w:rsidRPr="00ED34CE">
              <w:rPr>
                <w:rFonts w:ascii="Arial" w:hAnsi="Arial" w:cs="Arial"/>
                <w:b/>
                <w:bCs/>
                <w:sz w:val="20"/>
                <w:szCs w:val="20"/>
              </w:rPr>
              <w:t>NETO ZADUŽIVANJE/FINANCIRANJE</w:t>
            </w:r>
          </w:p>
        </w:tc>
        <w:tc>
          <w:tcPr>
            <w:tcW w:w="2173" w:type="dxa"/>
            <w:tcBorders>
              <w:top w:val="nil"/>
              <w:left w:val="nil"/>
              <w:bottom w:val="single" w:sz="4" w:space="0" w:color="auto"/>
              <w:right w:val="single" w:sz="4" w:space="0" w:color="auto"/>
            </w:tcBorders>
            <w:shd w:val="clear" w:color="auto" w:fill="auto"/>
            <w:noWrap/>
            <w:vAlign w:val="bottom"/>
            <w:hideMark/>
          </w:tcPr>
          <w:p w14:paraId="36EF2D6F"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-693.746,00</w:t>
            </w:r>
          </w:p>
        </w:tc>
        <w:tc>
          <w:tcPr>
            <w:tcW w:w="1846" w:type="dxa"/>
            <w:tcBorders>
              <w:top w:val="nil"/>
              <w:left w:val="nil"/>
              <w:bottom w:val="single" w:sz="4" w:space="0" w:color="auto"/>
              <w:right w:val="single" w:sz="4" w:space="0" w:color="auto"/>
            </w:tcBorders>
            <w:shd w:val="clear" w:color="auto" w:fill="auto"/>
            <w:noWrap/>
            <w:vAlign w:val="bottom"/>
            <w:hideMark/>
          </w:tcPr>
          <w:p w14:paraId="10AED7DD"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0,00</w:t>
            </w:r>
          </w:p>
        </w:tc>
        <w:tc>
          <w:tcPr>
            <w:tcW w:w="1428" w:type="dxa"/>
            <w:tcBorders>
              <w:top w:val="nil"/>
              <w:left w:val="nil"/>
              <w:bottom w:val="single" w:sz="4" w:space="0" w:color="auto"/>
              <w:right w:val="single" w:sz="4" w:space="0" w:color="auto"/>
            </w:tcBorders>
            <w:shd w:val="clear" w:color="auto" w:fill="auto"/>
            <w:noWrap/>
            <w:vAlign w:val="bottom"/>
            <w:hideMark/>
          </w:tcPr>
          <w:p w14:paraId="1E9BF947"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0.0%</w:t>
            </w:r>
          </w:p>
        </w:tc>
        <w:tc>
          <w:tcPr>
            <w:tcW w:w="2081" w:type="dxa"/>
            <w:tcBorders>
              <w:top w:val="nil"/>
              <w:left w:val="nil"/>
              <w:bottom w:val="single" w:sz="4" w:space="0" w:color="auto"/>
              <w:right w:val="single" w:sz="4" w:space="0" w:color="auto"/>
            </w:tcBorders>
            <w:shd w:val="clear" w:color="auto" w:fill="auto"/>
            <w:noWrap/>
            <w:vAlign w:val="bottom"/>
            <w:hideMark/>
          </w:tcPr>
          <w:p w14:paraId="60B6D0EA"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-693.746,00</w:t>
            </w:r>
          </w:p>
        </w:tc>
      </w:tr>
      <w:tr w:rsidR="00ED34CE" w:rsidRPr="00ED34CE" w14:paraId="46246B7D" w14:textId="77777777" w:rsidTr="002815DB">
        <w:trPr>
          <w:trHeight w:val="269"/>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2FB28546" w14:textId="77777777" w:rsidR="00ED34CE" w:rsidRPr="00ED34CE" w:rsidRDefault="00ED34CE" w:rsidP="002815DB">
            <w:pPr>
              <w:rPr>
                <w:rFonts w:ascii="Arial" w:hAnsi="Arial" w:cs="Arial"/>
                <w:b/>
                <w:bCs/>
                <w:sz w:val="20"/>
                <w:szCs w:val="20"/>
              </w:rPr>
            </w:pPr>
            <w:r w:rsidRPr="00ED34CE">
              <w:rPr>
                <w:rFonts w:ascii="Arial" w:hAnsi="Arial" w:cs="Arial"/>
                <w:b/>
                <w:bCs/>
                <w:sz w:val="20"/>
                <w:szCs w:val="20"/>
              </w:rPr>
              <w:t> </w:t>
            </w:r>
          </w:p>
        </w:tc>
        <w:tc>
          <w:tcPr>
            <w:tcW w:w="6050" w:type="dxa"/>
            <w:tcBorders>
              <w:top w:val="nil"/>
              <w:left w:val="nil"/>
              <w:bottom w:val="single" w:sz="4" w:space="0" w:color="auto"/>
              <w:right w:val="single" w:sz="4" w:space="0" w:color="auto"/>
            </w:tcBorders>
            <w:shd w:val="clear" w:color="auto" w:fill="auto"/>
            <w:noWrap/>
            <w:vAlign w:val="bottom"/>
            <w:hideMark/>
          </w:tcPr>
          <w:p w14:paraId="6EAF8D84" w14:textId="77777777" w:rsidR="00ED34CE" w:rsidRPr="00ED34CE" w:rsidRDefault="00ED34CE" w:rsidP="002815DB">
            <w:pPr>
              <w:rPr>
                <w:rFonts w:ascii="Arial" w:hAnsi="Arial" w:cs="Arial"/>
                <w:b/>
                <w:bCs/>
                <w:sz w:val="20"/>
                <w:szCs w:val="20"/>
              </w:rPr>
            </w:pPr>
            <w:r w:rsidRPr="00ED34CE">
              <w:rPr>
                <w:rFonts w:ascii="Arial" w:hAnsi="Arial" w:cs="Arial"/>
                <w:b/>
                <w:bCs/>
                <w:sz w:val="20"/>
                <w:szCs w:val="20"/>
              </w:rPr>
              <w:t> </w:t>
            </w:r>
          </w:p>
        </w:tc>
        <w:tc>
          <w:tcPr>
            <w:tcW w:w="2173" w:type="dxa"/>
            <w:tcBorders>
              <w:top w:val="nil"/>
              <w:left w:val="nil"/>
              <w:bottom w:val="single" w:sz="4" w:space="0" w:color="auto"/>
              <w:right w:val="single" w:sz="4" w:space="0" w:color="auto"/>
            </w:tcBorders>
            <w:shd w:val="clear" w:color="auto" w:fill="auto"/>
            <w:noWrap/>
            <w:vAlign w:val="bottom"/>
            <w:hideMark/>
          </w:tcPr>
          <w:p w14:paraId="5FD4FEE8" w14:textId="77777777" w:rsidR="00ED34CE" w:rsidRPr="00ED34CE" w:rsidRDefault="00ED34CE" w:rsidP="002815DB">
            <w:pPr>
              <w:rPr>
                <w:rFonts w:ascii="Arial" w:hAnsi="Arial" w:cs="Arial"/>
                <w:b/>
                <w:bCs/>
                <w:sz w:val="20"/>
                <w:szCs w:val="20"/>
              </w:rPr>
            </w:pPr>
            <w:r w:rsidRPr="00ED34CE">
              <w:rPr>
                <w:rFonts w:ascii="Arial" w:hAnsi="Arial" w:cs="Arial"/>
                <w:b/>
                <w:bCs/>
                <w:sz w:val="20"/>
                <w:szCs w:val="20"/>
              </w:rPr>
              <w:t> </w:t>
            </w:r>
          </w:p>
        </w:tc>
        <w:tc>
          <w:tcPr>
            <w:tcW w:w="1846" w:type="dxa"/>
            <w:tcBorders>
              <w:top w:val="nil"/>
              <w:left w:val="nil"/>
              <w:bottom w:val="single" w:sz="4" w:space="0" w:color="auto"/>
              <w:right w:val="single" w:sz="4" w:space="0" w:color="auto"/>
            </w:tcBorders>
            <w:shd w:val="clear" w:color="auto" w:fill="auto"/>
            <w:noWrap/>
            <w:vAlign w:val="bottom"/>
            <w:hideMark/>
          </w:tcPr>
          <w:p w14:paraId="0943F129" w14:textId="77777777" w:rsidR="00ED34CE" w:rsidRPr="00ED34CE" w:rsidRDefault="00ED34CE" w:rsidP="002815DB">
            <w:pPr>
              <w:rPr>
                <w:rFonts w:ascii="Arial" w:hAnsi="Arial" w:cs="Arial"/>
                <w:b/>
                <w:bCs/>
                <w:sz w:val="20"/>
                <w:szCs w:val="20"/>
              </w:rPr>
            </w:pPr>
            <w:r w:rsidRPr="00ED34CE">
              <w:rPr>
                <w:rFonts w:ascii="Arial" w:hAnsi="Arial" w:cs="Arial"/>
                <w:b/>
                <w:bCs/>
                <w:sz w:val="20"/>
                <w:szCs w:val="20"/>
              </w:rPr>
              <w:t> </w:t>
            </w:r>
          </w:p>
        </w:tc>
        <w:tc>
          <w:tcPr>
            <w:tcW w:w="1428" w:type="dxa"/>
            <w:tcBorders>
              <w:top w:val="nil"/>
              <w:left w:val="nil"/>
              <w:bottom w:val="single" w:sz="4" w:space="0" w:color="auto"/>
              <w:right w:val="single" w:sz="4" w:space="0" w:color="auto"/>
            </w:tcBorders>
            <w:shd w:val="clear" w:color="auto" w:fill="auto"/>
            <w:noWrap/>
            <w:vAlign w:val="bottom"/>
            <w:hideMark/>
          </w:tcPr>
          <w:p w14:paraId="0E87746F"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 </w:t>
            </w:r>
          </w:p>
        </w:tc>
        <w:tc>
          <w:tcPr>
            <w:tcW w:w="2081" w:type="dxa"/>
            <w:tcBorders>
              <w:top w:val="nil"/>
              <w:left w:val="nil"/>
              <w:bottom w:val="single" w:sz="4" w:space="0" w:color="auto"/>
              <w:right w:val="single" w:sz="4" w:space="0" w:color="auto"/>
            </w:tcBorders>
            <w:shd w:val="clear" w:color="auto" w:fill="auto"/>
            <w:noWrap/>
            <w:vAlign w:val="bottom"/>
            <w:hideMark/>
          </w:tcPr>
          <w:p w14:paraId="7D8A8530" w14:textId="77777777" w:rsidR="00ED34CE" w:rsidRPr="00ED34CE" w:rsidRDefault="00ED34CE" w:rsidP="002815DB">
            <w:pPr>
              <w:rPr>
                <w:rFonts w:ascii="Arial" w:hAnsi="Arial" w:cs="Arial"/>
                <w:b/>
                <w:bCs/>
                <w:sz w:val="20"/>
                <w:szCs w:val="20"/>
              </w:rPr>
            </w:pPr>
            <w:r w:rsidRPr="00ED34CE">
              <w:rPr>
                <w:rFonts w:ascii="Arial" w:hAnsi="Arial" w:cs="Arial"/>
                <w:b/>
                <w:bCs/>
                <w:sz w:val="20"/>
                <w:szCs w:val="20"/>
              </w:rPr>
              <w:t> </w:t>
            </w:r>
          </w:p>
        </w:tc>
      </w:tr>
      <w:tr w:rsidR="00ED34CE" w:rsidRPr="00ED34CE" w14:paraId="5051B0C2" w14:textId="77777777" w:rsidTr="002815DB">
        <w:trPr>
          <w:trHeight w:val="269"/>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7E3C675C" w14:textId="77777777" w:rsidR="00ED34CE" w:rsidRPr="00ED34CE" w:rsidRDefault="00ED34CE" w:rsidP="002815DB">
            <w:pPr>
              <w:rPr>
                <w:rFonts w:ascii="Arial" w:hAnsi="Arial" w:cs="Arial"/>
                <w:b/>
                <w:bCs/>
                <w:sz w:val="20"/>
                <w:szCs w:val="20"/>
              </w:rPr>
            </w:pPr>
            <w:r w:rsidRPr="00ED34CE">
              <w:rPr>
                <w:rFonts w:ascii="Arial" w:hAnsi="Arial" w:cs="Arial"/>
                <w:b/>
                <w:bCs/>
                <w:sz w:val="20"/>
                <w:szCs w:val="20"/>
              </w:rPr>
              <w:t> </w:t>
            </w:r>
          </w:p>
        </w:tc>
        <w:tc>
          <w:tcPr>
            <w:tcW w:w="6050" w:type="dxa"/>
            <w:tcBorders>
              <w:top w:val="nil"/>
              <w:left w:val="nil"/>
              <w:bottom w:val="single" w:sz="4" w:space="0" w:color="auto"/>
              <w:right w:val="single" w:sz="4" w:space="0" w:color="auto"/>
            </w:tcBorders>
            <w:shd w:val="clear" w:color="auto" w:fill="auto"/>
            <w:noWrap/>
            <w:vAlign w:val="bottom"/>
            <w:hideMark/>
          </w:tcPr>
          <w:p w14:paraId="6E56232A" w14:textId="77777777" w:rsidR="00ED34CE" w:rsidRPr="00ED34CE" w:rsidRDefault="00ED34CE" w:rsidP="002815DB">
            <w:pPr>
              <w:rPr>
                <w:rFonts w:ascii="Arial" w:hAnsi="Arial" w:cs="Arial"/>
                <w:b/>
                <w:bCs/>
                <w:sz w:val="20"/>
                <w:szCs w:val="20"/>
              </w:rPr>
            </w:pPr>
            <w:r w:rsidRPr="00ED34CE">
              <w:rPr>
                <w:rFonts w:ascii="Arial" w:hAnsi="Arial" w:cs="Arial"/>
                <w:b/>
                <w:bCs/>
                <w:sz w:val="20"/>
                <w:szCs w:val="20"/>
              </w:rPr>
              <w:t>VIŠAK/MANJAK + NETO FINANCIRANJE</w:t>
            </w:r>
          </w:p>
        </w:tc>
        <w:tc>
          <w:tcPr>
            <w:tcW w:w="2173" w:type="dxa"/>
            <w:tcBorders>
              <w:top w:val="nil"/>
              <w:left w:val="nil"/>
              <w:bottom w:val="single" w:sz="4" w:space="0" w:color="auto"/>
              <w:right w:val="single" w:sz="4" w:space="0" w:color="auto"/>
            </w:tcBorders>
            <w:shd w:val="clear" w:color="auto" w:fill="auto"/>
            <w:noWrap/>
            <w:vAlign w:val="bottom"/>
            <w:hideMark/>
          </w:tcPr>
          <w:p w14:paraId="798FEE14"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-23.532,00</w:t>
            </w:r>
          </w:p>
        </w:tc>
        <w:tc>
          <w:tcPr>
            <w:tcW w:w="1846" w:type="dxa"/>
            <w:tcBorders>
              <w:top w:val="nil"/>
              <w:left w:val="nil"/>
              <w:bottom w:val="single" w:sz="4" w:space="0" w:color="auto"/>
              <w:right w:val="single" w:sz="4" w:space="0" w:color="auto"/>
            </w:tcBorders>
            <w:shd w:val="clear" w:color="auto" w:fill="auto"/>
            <w:noWrap/>
            <w:vAlign w:val="bottom"/>
            <w:hideMark/>
          </w:tcPr>
          <w:p w14:paraId="21AD5DCB"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-742.321,00</w:t>
            </w:r>
          </w:p>
        </w:tc>
        <w:tc>
          <w:tcPr>
            <w:tcW w:w="1428" w:type="dxa"/>
            <w:tcBorders>
              <w:top w:val="nil"/>
              <w:left w:val="nil"/>
              <w:bottom w:val="single" w:sz="4" w:space="0" w:color="auto"/>
              <w:right w:val="single" w:sz="4" w:space="0" w:color="auto"/>
            </w:tcBorders>
            <w:shd w:val="clear" w:color="auto" w:fill="auto"/>
            <w:noWrap/>
            <w:vAlign w:val="bottom"/>
            <w:hideMark/>
          </w:tcPr>
          <w:p w14:paraId="12F3F736"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3154.5%</w:t>
            </w:r>
          </w:p>
        </w:tc>
        <w:tc>
          <w:tcPr>
            <w:tcW w:w="2081" w:type="dxa"/>
            <w:tcBorders>
              <w:top w:val="nil"/>
              <w:left w:val="nil"/>
              <w:bottom w:val="single" w:sz="4" w:space="0" w:color="auto"/>
              <w:right w:val="single" w:sz="4" w:space="0" w:color="auto"/>
            </w:tcBorders>
            <w:shd w:val="clear" w:color="auto" w:fill="auto"/>
            <w:noWrap/>
            <w:vAlign w:val="bottom"/>
            <w:hideMark/>
          </w:tcPr>
          <w:p w14:paraId="345F8A84"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-765.853,00</w:t>
            </w:r>
          </w:p>
        </w:tc>
      </w:tr>
      <w:tr w:rsidR="00ED34CE" w:rsidRPr="00ED34CE" w14:paraId="1B034F98" w14:textId="77777777" w:rsidTr="002815DB">
        <w:trPr>
          <w:trHeight w:val="269"/>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68F6F544"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6050" w:type="dxa"/>
            <w:tcBorders>
              <w:top w:val="nil"/>
              <w:left w:val="nil"/>
              <w:bottom w:val="single" w:sz="4" w:space="0" w:color="auto"/>
              <w:right w:val="single" w:sz="4" w:space="0" w:color="auto"/>
            </w:tcBorders>
            <w:shd w:val="clear" w:color="auto" w:fill="auto"/>
            <w:noWrap/>
            <w:vAlign w:val="bottom"/>
            <w:hideMark/>
          </w:tcPr>
          <w:p w14:paraId="652C1608"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2173" w:type="dxa"/>
            <w:tcBorders>
              <w:top w:val="nil"/>
              <w:left w:val="nil"/>
              <w:bottom w:val="single" w:sz="4" w:space="0" w:color="auto"/>
              <w:right w:val="single" w:sz="4" w:space="0" w:color="auto"/>
            </w:tcBorders>
            <w:shd w:val="clear" w:color="auto" w:fill="auto"/>
            <w:noWrap/>
            <w:vAlign w:val="bottom"/>
            <w:hideMark/>
          </w:tcPr>
          <w:p w14:paraId="6756130F"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1846" w:type="dxa"/>
            <w:tcBorders>
              <w:top w:val="nil"/>
              <w:left w:val="nil"/>
              <w:bottom w:val="single" w:sz="4" w:space="0" w:color="auto"/>
              <w:right w:val="single" w:sz="4" w:space="0" w:color="auto"/>
            </w:tcBorders>
            <w:shd w:val="clear" w:color="auto" w:fill="auto"/>
            <w:noWrap/>
            <w:vAlign w:val="bottom"/>
            <w:hideMark/>
          </w:tcPr>
          <w:p w14:paraId="6C2624B3"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bottom"/>
            <w:hideMark/>
          </w:tcPr>
          <w:p w14:paraId="0E5AE9B5"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2081" w:type="dxa"/>
            <w:tcBorders>
              <w:top w:val="nil"/>
              <w:left w:val="nil"/>
              <w:bottom w:val="single" w:sz="4" w:space="0" w:color="auto"/>
              <w:right w:val="single" w:sz="4" w:space="0" w:color="auto"/>
            </w:tcBorders>
            <w:shd w:val="clear" w:color="auto" w:fill="auto"/>
            <w:noWrap/>
            <w:vAlign w:val="bottom"/>
            <w:hideMark/>
          </w:tcPr>
          <w:p w14:paraId="50C46FD6"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r>
      <w:tr w:rsidR="00ED34CE" w:rsidRPr="00ED34CE" w14:paraId="47ED800B" w14:textId="77777777" w:rsidTr="002815DB">
        <w:trPr>
          <w:trHeight w:val="269"/>
        </w:trPr>
        <w:tc>
          <w:tcPr>
            <w:tcW w:w="416" w:type="dxa"/>
            <w:tcBorders>
              <w:top w:val="nil"/>
              <w:left w:val="single" w:sz="4" w:space="0" w:color="auto"/>
              <w:bottom w:val="single" w:sz="4" w:space="0" w:color="auto"/>
              <w:right w:val="single" w:sz="4" w:space="0" w:color="auto"/>
            </w:tcBorders>
            <w:shd w:val="clear" w:color="000000" w:fill="A6A6A6"/>
            <w:noWrap/>
            <w:vAlign w:val="bottom"/>
            <w:hideMark/>
          </w:tcPr>
          <w:p w14:paraId="69112E71" w14:textId="77777777" w:rsidR="00ED34CE" w:rsidRPr="00ED34CE" w:rsidRDefault="00ED34CE" w:rsidP="002815DB">
            <w:pPr>
              <w:rPr>
                <w:rFonts w:ascii="Arial" w:hAnsi="Arial" w:cs="Arial"/>
                <w:b/>
                <w:bCs/>
                <w:sz w:val="20"/>
                <w:szCs w:val="20"/>
              </w:rPr>
            </w:pPr>
            <w:r w:rsidRPr="00ED34CE">
              <w:rPr>
                <w:rFonts w:ascii="Arial" w:hAnsi="Arial" w:cs="Arial"/>
                <w:b/>
                <w:bCs/>
                <w:sz w:val="20"/>
                <w:szCs w:val="20"/>
              </w:rPr>
              <w:t>C.</w:t>
            </w:r>
          </w:p>
        </w:tc>
        <w:tc>
          <w:tcPr>
            <w:tcW w:w="6050" w:type="dxa"/>
            <w:tcBorders>
              <w:top w:val="nil"/>
              <w:left w:val="nil"/>
              <w:bottom w:val="single" w:sz="4" w:space="0" w:color="auto"/>
              <w:right w:val="single" w:sz="4" w:space="0" w:color="auto"/>
            </w:tcBorders>
            <w:shd w:val="clear" w:color="000000" w:fill="A6A6A6"/>
            <w:noWrap/>
            <w:vAlign w:val="bottom"/>
            <w:hideMark/>
          </w:tcPr>
          <w:p w14:paraId="532F960B" w14:textId="77777777" w:rsidR="00ED34CE" w:rsidRPr="00ED34CE" w:rsidRDefault="00ED34CE" w:rsidP="002815DB">
            <w:pPr>
              <w:rPr>
                <w:rFonts w:ascii="Arial" w:hAnsi="Arial" w:cs="Arial"/>
                <w:b/>
                <w:bCs/>
                <w:sz w:val="20"/>
                <w:szCs w:val="20"/>
              </w:rPr>
            </w:pPr>
            <w:r w:rsidRPr="00ED34CE">
              <w:rPr>
                <w:rFonts w:ascii="Arial" w:hAnsi="Arial" w:cs="Arial"/>
                <w:b/>
                <w:bCs/>
                <w:sz w:val="20"/>
                <w:szCs w:val="20"/>
              </w:rPr>
              <w:t>RASPOLOŽIVA SREDSTVA IZ PRETHODNIH GODINA</w:t>
            </w:r>
          </w:p>
        </w:tc>
        <w:tc>
          <w:tcPr>
            <w:tcW w:w="2173" w:type="dxa"/>
            <w:tcBorders>
              <w:top w:val="nil"/>
              <w:left w:val="nil"/>
              <w:bottom w:val="single" w:sz="4" w:space="0" w:color="auto"/>
              <w:right w:val="single" w:sz="4" w:space="0" w:color="auto"/>
            </w:tcBorders>
            <w:shd w:val="clear" w:color="000000" w:fill="A6A6A6"/>
            <w:noWrap/>
            <w:vAlign w:val="bottom"/>
            <w:hideMark/>
          </w:tcPr>
          <w:p w14:paraId="639BFA89"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1846" w:type="dxa"/>
            <w:tcBorders>
              <w:top w:val="nil"/>
              <w:left w:val="nil"/>
              <w:bottom w:val="single" w:sz="4" w:space="0" w:color="auto"/>
              <w:right w:val="single" w:sz="4" w:space="0" w:color="auto"/>
            </w:tcBorders>
            <w:shd w:val="clear" w:color="000000" w:fill="A6A6A6"/>
            <w:noWrap/>
            <w:vAlign w:val="bottom"/>
            <w:hideMark/>
          </w:tcPr>
          <w:p w14:paraId="71E7521A"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1428" w:type="dxa"/>
            <w:tcBorders>
              <w:top w:val="nil"/>
              <w:left w:val="nil"/>
              <w:bottom w:val="single" w:sz="4" w:space="0" w:color="auto"/>
              <w:right w:val="single" w:sz="4" w:space="0" w:color="auto"/>
            </w:tcBorders>
            <w:shd w:val="clear" w:color="000000" w:fill="A6A6A6"/>
            <w:noWrap/>
            <w:vAlign w:val="bottom"/>
            <w:hideMark/>
          </w:tcPr>
          <w:p w14:paraId="5245A4B5"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2081" w:type="dxa"/>
            <w:tcBorders>
              <w:top w:val="nil"/>
              <w:left w:val="nil"/>
              <w:bottom w:val="single" w:sz="4" w:space="0" w:color="auto"/>
              <w:right w:val="single" w:sz="4" w:space="0" w:color="auto"/>
            </w:tcBorders>
            <w:shd w:val="clear" w:color="000000" w:fill="A6A6A6"/>
            <w:noWrap/>
            <w:vAlign w:val="bottom"/>
            <w:hideMark/>
          </w:tcPr>
          <w:p w14:paraId="54CC97EF"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r>
      <w:tr w:rsidR="00ED34CE" w:rsidRPr="00ED34CE" w14:paraId="07E55383" w14:textId="77777777" w:rsidTr="002815DB">
        <w:trPr>
          <w:trHeight w:val="269"/>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7D560620"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6050" w:type="dxa"/>
            <w:tcBorders>
              <w:top w:val="nil"/>
              <w:left w:val="nil"/>
              <w:bottom w:val="single" w:sz="4" w:space="0" w:color="auto"/>
              <w:right w:val="single" w:sz="4" w:space="0" w:color="auto"/>
            </w:tcBorders>
            <w:shd w:val="clear" w:color="auto" w:fill="auto"/>
            <w:noWrap/>
            <w:vAlign w:val="bottom"/>
            <w:hideMark/>
          </w:tcPr>
          <w:p w14:paraId="6835FB8C" w14:textId="77777777" w:rsidR="00ED34CE" w:rsidRPr="00ED34CE" w:rsidRDefault="00ED34CE" w:rsidP="002815DB">
            <w:pPr>
              <w:rPr>
                <w:rFonts w:ascii="Arial" w:hAnsi="Arial" w:cs="Arial"/>
                <w:b/>
                <w:bCs/>
                <w:sz w:val="20"/>
                <w:szCs w:val="20"/>
              </w:rPr>
            </w:pPr>
            <w:r w:rsidRPr="00ED34CE">
              <w:rPr>
                <w:rFonts w:ascii="Arial" w:hAnsi="Arial" w:cs="Arial"/>
                <w:b/>
                <w:bCs/>
                <w:sz w:val="20"/>
                <w:szCs w:val="20"/>
              </w:rPr>
              <w:t>VIŠAK/MANJAK IZ PRETHODNIH GODINA</w:t>
            </w:r>
          </w:p>
        </w:tc>
        <w:tc>
          <w:tcPr>
            <w:tcW w:w="2173" w:type="dxa"/>
            <w:tcBorders>
              <w:top w:val="nil"/>
              <w:left w:val="nil"/>
              <w:bottom w:val="single" w:sz="4" w:space="0" w:color="auto"/>
              <w:right w:val="single" w:sz="4" w:space="0" w:color="auto"/>
            </w:tcBorders>
            <w:shd w:val="clear" w:color="auto" w:fill="auto"/>
            <w:noWrap/>
            <w:vAlign w:val="bottom"/>
            <w:hideMark/>
          </w:tcPr>
          <w:p w14:paraId="7A0028DC"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23.532,00</w:t>
            </w:r>
          </w:p>
        </w:tc>
        <w:tc>
          <w:tcPr>
            <w:tcW w:w="1846" w:type="dxa"/>
            <w:tcBorders>
              <w:top w:val="nil"/>
              <w:left w:val="nil"/>
              <w:bottom w:val="single" w:sz="4" w:space="0" w:color="auto"/>
              <w:right w:val="single" w:sz="4" w:space="0" w:color="auto"/>
            </w:tcBorders>
            <w:shd w:val="clear" w:color="auto" w:fill="auto"/>
            <w:noWrap/>
            <w:vAlign w:val="bottom"/>
            <w:hideMark/>
          </w:tcPr>
          <w:p w14:paraId="732C7B8D"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742.321,00</w:t>
            </w:r>
          </w:p>
        </w:tc>
        <w:tc>
          <w:tcPr>
            <w:tcW w:w="1428" w:type="dxa"/>
            <w:tcBorders>
              <w:top w:val="nil"/>
              <w:left w:val="nil"/>
              <w:bottom w:val="single" w:sz="4" w:space="0" w:color="auto"/>
              <w:right w:val="single" w:sz="4" w:space="0" w:color="auto"/>
            </w:tcBorders>
            <w:shd w:val="clear" w:color="auto" w:fill="auto"/>
            <w:noWrap/>
            <w:vAlign w:val="bottom"/>
            <w:hideMark/>
          </w:tcPr>
          <w:p w14:paraId="0C8CC557"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3154.5%</w:t>
            </w:r>
          </w:p>
        </w:tc>
        <w:tc>
          <w:tcPr>
            <w:tcW w:w="2081" w:type="dxa"/>
            <w:tcBorders>
              <w:top w:val="nil"/>
              <w:left w:val="nil"/>
              <w:bottom w:val="single" w:sz="4" w:space="0" w:color="auto"/>
              <w:right w:val="single" w:sz="4" w:space="0" w:color="auto"/>
            </w:tcBorders>
            <w:shd w:val="clear" w:color="auto" w:fill="auto"/>
            <w:noWrap/>
            <w:vAlign w:val="bottom"/>
            <w:hideMark/>
          </w:tcPr>
          <w:p w14:paraId="0F7B4A7D"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765.853,00</w:t>
            </w:r>
          </w:p>
        </w:tc>
      </w:tr>
      <w:tr w:rsidR="00ED34CE" w:rsidRPr="00ED34CE" w14:paraId="535A8156" w14:textId="77777777" w:rsidTr="002815DB">
        <w:trPr>
          <w:trHeight w:val="269"/>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03C1819D"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6050" w:type="dxa"/>
            <w:tcBorders>
              <w:top w:val="nil"/>
              <w:left w:val="nil"/>
              <w:bottom w:val="single" w:sz="4" w:space="0" w:color="auto"/>
              <w:right w:val="single" w:sz="4" w:space="0" w:color="auto"/>
            </w:tcBorders>
            <w:shd w:val="clear" w:color="auto" w:fill="auto"/>
            <w:noWrap/>
            <w:vAlign w:val="bottom"/>
            <w:hideMark/>
          </w:tcPr>
          <w:p w14:paraId="31962047"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2173" w:type="dxa"/>
            <w:tcBorders>
              <w:top w:val="nil"/>
              <w:left w:val="nil"/>
              <w:bottom w:val="single" w:sz="4" w:space="0" w:color="auto"/>
              <w:right w:val="single" w:sz="4" w:space="0" w:color="auto"/>
            </w:tcBorders>
            <w:shd w:val="clear" w:color="auto" w:fill="auto"/>
            <w:noWrap/>
            <w:vAlign w:val="bottom"/>
            <w:hideMark/>
          </w:tcPr>
          <w:p w14:paraId="67611F21"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1846" w:type="dxa"/>
            <w:tcBorders>
              <w:top w:val="nil"/>
              <w:left w:val="nil"/>
              <w:bottom w:val="single" w:sz="4" w:space="0" w:color="auto"/>
              <w:right w:val="single" w:sz="4" w:space="0" w:color="auto"/>
            </w:tcBorders>
            <w:shd w:val="clear" w:color="auto" w:fill="auto"/>
            <w:noWrap/>
            <w:vAlign w:val="bottom"/>
            <w:hideMark/>
          </w:tcPr>
          <w:p w14:paraId="13F41EF1"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bottom"/>
            <w:hideMark/>
          </w:tcPr>
          <w:p w14:paraId="1753B0E3"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2081" w:type="dxa"/>
            <w:tcBorders>
              <w:top w:val="nil"/>
              <w:left w:val="nil"/>
              <w:bottom w:val="single" w:sz="4" w:space="0" w:color="auto"/>
              <w:right w:val="single" w:sz="4" w:space="0" w:color="auto"/>
            </w:tcBorders>
            <w:shd w:val="clear" w:color="auto" w:fill="auto"/>
            <w:noWrap/>
            <w:vAlign w:val="bottom"/>
            <w:hideMark/>
          </w:tcPr>
          <w:p w14:paraId="00B5A3D3"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r>
      <w:tr w:rsidR="00ED34CE" w:rsidRPr="00ED34CE" w14:paraId="40EE58CC" w14:textId="77777777" w:rsidTr="00000BC1">
        <w:trPr>
          <w:trHeight w:val="332"/>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5220961C" w14:textId="77777777" w:rsidR="00ED34CE" w:rsidRPr="00ED34CE" w:rsidRDefault="00ED34CE" w:rsidP="002815DB">
            <w:pPr>
              <w:rPr>
                <w:rFonts w:ascii="Arial" w:hAnsi="Arial" w:cs="Arial"/>
                <w:sz w:val="20"/>
                <w:szCs w:val="20"/>
              </w:rPr>
            </w:pPr>
            <w:r w:rsidRPr="00ED34CE">
              <w:rPr>
                <w:rFonts w:ascii="Arial" w:hAnsi="Arial" w:cs="Arial"/>
                <w:sz w:val="20"/>
                <w:szCs w:val="20"/>
              </w:rPr>
              <w:t> </w:t>
            </w:r>
          </w:p>
        </w:tc>
        <w:tc>
          <w:tcPr>
            <w:tcW w:w="6050" w:type="dxa"/>
            <w:tcBorders>
              <w:top w:val="nil"/>
              <w:left w:val="nil"/>
              <w:bottom w:val="single" w:sz="4" w:space="0" w:color="auto"/>
              <w:right w:val="single" w:sz="4" w:space="0" w:color="auto"/>
            </w:tcBorders>
            <w:shd w:val="clear" w:color="auto" w:fill="auto"/>
            <w:noWrap/>
            <w:vAlign w:val="bottom"/>
            <w:hideMark/>
          </w:tcPr>
          <w:p w14:paraId="472B9B9E" w14:textId="77777777" w:rsidR="00ED34CE" w:rsidRPr="00ED34CE" w:rsidRDefault="00ED34CE" w:rsidP="002815DB">
            <w:pPr>
              <w:jc w:val="both"/>
              <w:rPr>
                <w:rFonts w:ascii="Arial" w:hAnsi="Arial" w:cs="Arial"/>
                <w:b/>
                <w:bCs/>
                <w:sz w:val="20"/>
                <w:szCs w:val="20"/>
              </w:rPr>
            </w:pPr>
            <w:r w:rsidRPr="00ED34CE">
              <w:rPr>
                <w:rFonts w:ascii="Arial" w:hAnsi="Arial" w:cs="Arial"/>
                <w:b/>
                <w:bCs/>
                <w:sz w:val="20"/>
                <w:szCs w:val="20"/>
              </w:rPr>
              <w:t>VIŠAK/MANJAK + NETO ZADUŽIVANJA/FINANCIRANJA + RASPOLOŽIVA SREDSTVA IZ PRETHODNIH GODINA</w:t>
            </w:r>
          </w:p>
        </w:tc>
        <w:tc>
          <w:tcPr>
            <w:tcW w:w="2173" w:type="dxa"/>
            <w:tcBorders>
              <w:top w:val="nil"/>
              <w:left w:val="nil"/>
              <w:bottom w:val="single" w:sz="4" w:space="0" w:color="auto"/>
              <w:right w:val="single" w:sz="4" w:space="0" w:color="auto"/>
            </w:tcBorders>
            <w:shd w:val="clear" w:color="auto" w:fill="auto"/>
            <w:noWrap/>
            <w:vAlign w:val="bottom"/>
            <w:hideMark/>
          </w:tcPr>
          <w:p w14:paraId="6EFDE85E"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0,00</w:t>
            </w:r>
          </w:p>
        </w:tc>
        <w:tc>
          <w:tcPr>
            <w:tcW w:w="1846" w:type="dxa"/>
            <w:tcBorders>
              <w:top w:val="nil"/>
              <w:left w:val="nil"/>
              <w:bottom w:val="single" w:sz="4" w:space="0" w:color="auto"/>
              <w:right w:val="single" w:sz="4" w:space="0" w:color="auto"/>
            </w:tcBorders>
            <w:shd w:val="clear" w:color="auto" w:fill="auto"/>
            <w:noWrap/>
            <w:vAlign w:val="bottom"/>
            <w:hideMark/>
          </w:tcPr>
          <w:p w14:paraId="1DC8548A"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0,00</w:t>
            </w:r>
          </w:p>
        </w:tc>
        <w:tc>
          <w:tcPr>
            <w:tcW w:w="1428" w:type="dxa"/>
            <w:tcBorders>
              <w:top w:val="nil"/>
              <w:left w:val="nil"/>
              <w:bottom w:val="single" w:sz="4" w:space="0" w:color="auto"/>
              <w:right w:val="single" w:sz="4" w:space="0" w:color="auto"/>
            </w:tcBorders>
            <w:shd w:val="clear" w:color="auto" w:fill="auto"/>
            <w:noWrap/>
            <w:vAlign w:val="bottom"/>
            <w:hideMark/>
          </w:tcPr>
          <w:p w14:paraId="295FE550"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0,0%</w:t>
            </w:r>
          </w:p>
        </w:tc>
        <w:tc>
          <w:tcPr>
            <w:tcW w:w="2081" w:type="dxa"/>
            <w:tcBorders>
              <w:top w:val="nil"/>
              <w:left w:val="nil"/>
              <w:bottom w:val="single" w:sz="4" w:space="0" w:color="auto"/>
              <w:right w:val="single" w:sz="4" w:space="0" w:color="auto"/>
            </w:tcBorders>
            <w:shd w:val="clear" w:color="auto" w:fill="auto"/>
            <w:noWrap/>
            <w:vAlign w:val="bottom"/>
            <w:hideMark/>
          </w:tcPr>
          <w:p w14:paraId="5EECE3DC" w14:textId="77777777" w:rsidR="00ED34CE" w:rsidRPr="00ED34CE" w:rsidRDefault="00ED34CE" w:rsidP="002815DB">
            <w:pPr>
              <w:jc w:val="right"/>
              <w:rPr>
                <w:rFonts w:ascii="Arial" w:hAnsi="Arial" w:cs="Arial"/>
                <w:b/>
                <w:bCs/>
                <w:sz w:val="20"/>
                <w:szCs w:val="20"/>
              </w:rPr>
            </w:pPr>
            <w:r w:rsidRPr="00ED34CE">
              <w:rPr>
                <w:rFonts w:ascii="Arial" w:hAnsi="Arial" w:cs="Arial"/>
                <w:b/>
                <w:bCs/>
                <w:sz w:val="20"/>
                <w:szCs w:val="20"/>
              </w:rPr>
              <w:t>0,00</w:t>
            </w:r>
          </w:p>
        </w:tc>
      </w:tr>
    </w:tbl>
    <w:p w14:paraId="34BA8F3C" w14:textId="77777777" w:rsidR="00ED34CE" w:rsidRDefault="00ED34CE" w:rsidP="00ED34CE">
      <w:pPr>
        <w:rPr>
          <w:rFonts w:ascii="Arial" w:hAnsi="Arial" w:cs="Arial"/>
          <w:b/>
          <w:bCs/>
          <w:sz w:val="16"/>
          <w:szCs w:val="16"/>
        </w:rPr>
      </w:pPr>
    </w:p>
    <w:p w14:paraId="61224FE3" w14:textId="505EB21A" w:rsidR="00ED34CE" w:rsidRDefault="00ED34CE" w:rsidP="00ED34CE">
      <w:pPr>
        <w:rPr>
          <w:rFonts w:ascii="Arial" w:hAnsi="Arial" w:cs="Arial"/>
          <w:b/>
          <w:bCs/>
          <w:sz w:val="16"/>
          <w:szCs w:val="16"/>
        </w:rPr>
      </w:pPr>
      <w:r w:rsidRPr="0029467F">
        <w:rPr>
          <w:rFonts w:ascii="Arial" w:hAnsi="Arial" w:cs="Arial"/>
          <w:b/>
          <w:bCs/>
          <w:sz w:val="16"/>
          <w:szCs w:val="16"/>
        </w:rPr>
        <w:t>GRAD LABIN</w:t>
      </w:r>
    </w:p>
    <w:p w14:paraId="7C5F968C" w14:textId="77777777" w:rsidR="00ED34CE" w:rsidRPr="0029467F" w:rsidRDefault="00ED34CE" w:rsidP="00ED34CE">
      <w:pPr>
        <w:rPr>
          <w:rFonts w:ascii="Arial" w:hAnsi="Arial" w:cs="Arial"/>
          <w:b/>
          <w:bCs/>
          <w:sz w:val="16"/>
          <w:szCs w:val="16"/>
        </w:rPr>
      </w:pPr>
      <w:r w:rsidRPr="0029467F">
        <w:rPr>
          <w:rFonts w:ascii="Arial" w:hAnsi="Arial" w:cs="Arial"/>
          <w:b/>
          <w:bCs/>
          <w:sz w:val="16"/>
          <w:szCs w:val="16"/>
        </w:rPr>
        <w:t>TITOV TRG 11</w:t>
      </w:r>
    </w:p>
    <w:p w14:paraId="7A1F65F4" w14:textId="77777777" w:rsidR="00ED34CE" w:rsidRDefault="00ED34CE" w:rsidP="00ED34CE">
      <w:pPr>
        <w:rPr>
          <w:rFonts w:ascii="Arial" w:hAnsi="Arial" w:cs="Arial"/>
          <w:b/>
          <w:bCs/>
          <w:sz w:val="16"/>
          <w:szCs w:val="16"/>
        </w:rPr>
      </w:pPr>
      <w:r w:rsidRPr="0029467F">
        <w:rPr>
          <w:rFonts w:ascii="Arial" w:hAnsi="Arial" w:cs="Arial"/>
          <w:b/>
          <w:bCs/>
          <w:sz w:val="16"/>
          <w:szCs w:val="16"/>
        </w:rPr>
        <w:t>LABIN 52220</w:t>
      </w:r>
    </w:p>
    <w:p w14:paraId="21972D77" w14:textId="77777777" w:rsidR="00ED34CE" w:rsidRPr="0029467F" w:rsidRDefault="00ED34CE" w:rsidP="0022629E">
      <w:pPr>
        <w:rPr>
          <w:rFonts w:ascii="Arial" w:hAnsi="Arial" w:cs="Arial"/>
          <w:b/>
          <w:bCs/>
          <w:sz w:val="16"/>
          <w:szCs w:val="16"/>
        </w:rPr>
      </w:pPr>
      <w:r w:rsidRPr="0029467F">
        <w:rPr>
          <w:rFonts w:ascii="Arial" w:hAnsi="Arial" w:cs="Arial"/>
          <w:b/>
          <w:bCs/>
          <w:sz w:val="16"/>
          <w:szCs w:val="16"/>
        </w:rPr>
        <w:t>OIB: 19041331726</w:t>
      </w:r>
    </w:p>
    <w:p w14:paraId="3A95360E" w14:textId="77777777" w:rsidR="00ED34CE" w:rsidRPr="00ED34CE" w:rsidRDefault="00ED34CE" w:rsidP="0022629E">
      <w:pPr>
        <w:rPr>
          <w:rFonts w:ascii="Arial" w:hAnsi="Arial" w:cs="Arial"/>
          <w:b/>
        </w:rPr>
      </w:pPr>
    </w:p>
    <w:p w14:paraId="3C882822" w14:textId="0B82F8F3" w:rsidR="0031169A" w:rsidRDefault="008E4A37" w:rsidP="0022629E">
      <w:pPr>
        <w:pStyle w:val="Odlomakpopisa"/>
        <w:spacing w:after="0" w:line="240" w:lineRule="auto"/>
        <w:ind w:left="1080"/>
        <w:jc w:val="center"/>
        <w:rPr>
          <w:rFonts w:ascii="Arial" w:hAnsi="Arial" w:cs="Arial"/>
          <w:b/>
          <w:sz w:val="24"/>
        </w:rPr>
      </w:pPr>
      <w:r w:rsidRPr="00D2293F">
        <w:rPr>
          <w:rFonts w:ascii="Arial" w:hAnsi="Arial" w:cs="Arial"/>
          <w:b/>
          <w:sz w:val="24"/>
        </w:rPr>
        <w:t>1.1.RAČUN PRIHODA I RASHODA</w:t>
      </w:r>
    </w:p>
    <w:p w14:paraId="22821288" w14:textId="77777777" w:rsidR="00A90650" w:rsidRPr="00D2293F" w:rsidRDefault="00A90650" w:rsidP="0022629E">
      <w:pPr>
        <w:pStyle w:val="Odlomakpopisa"/>
        <w:spacing w:after="0" w:line="240" w:lineRule="auto"/>
        <w:ind w:left="1077"/>
        <w:jc w:val="center"/>
        <w:rPr>
          <w:rFonts w:ascii="Arial" w:hAnsi="Arial" w:cs="Arial"/>
          <w:b/>
          <w:sz w:val="24"/>
        </w:rPr>
      </w:pPr>
    </w:p>
    <w:p w14:paraId="553F05D7" w14:textId="11CA462A" w:rsidR="0063170E" w:rsidRPr="008E4A37" w:rsidRDefault="008E4A37" w:rsidP="0022629E">
      <w:pPr>
        <w:pStyle w:val="Odlomakpopisa"/>
        <w:spacing w:after="0" w:line="240" w:lineRule="auto"/>
        <w:ind w:left="1077"/>
        <w:jc w:val="center"/>
        <w:rPr>
          <w:rFonts w:ascii="Arial" w:hAnsi="Arial" w:cs="Arial"/>
          <w:b/>
          <w:bCs/>
        </w:rPr>
      </w:pPr>
      <w:r>
        <w:rPr>
          <w:rFonts w:ascii="Arial" w:hAnsi="Arial" w:cs="Arial"/>
          <w:b/>
          <w:bCs/>
        </w:rPr>
        <w:t>1.1.1.</w:t>
      </w:r>
      <w:r w:rsidR="0063170E" w:rsidRPr="008E4A37">
        <w:rPr>
          <w:rFonts w:ascii="Arial" w:hAnsi="Arial" w:cs="Arial"/>
          <w:b/>
          <w:bCs/>
        </w:rPr>
        <w:t xml:space="preserve"> PRIHOD</w:t>
      </w:r>
      <w:r w:rsidR="00751174">
        <w:rPr>
          <w:rFonts w:ascii="Arial" w:hAnsi="Arial" w:cs="Arial"/>
          <w:b/>
          <w:bCs/>
        </w:rPr>
        <w:t>I</w:t>
      </w:r>
      <w:r w:rsidR="0063170E" w:rsidRPr="008E4A37">
        <w:rPr>
          <w:rFonts w:ascii="Arial" w:hAnsi="Arial" w:cs="Arial"/>
          <w:b/>
          <w:bCs/>
        </w:rPr>
        <w:t xml:space="preserve"> I RASHOD</w:t>
      </w:r>
      <w:r w:rsidR="00751174">
        <w:rPr>
          <w:rFonts w:ascii="Arial" w:hAnsi="Arial" w:cs="Arial"/>
          <w:b/>
          <w:bCs/>
        </w:rPr>
        <w:t>I</w:t>
      </w:r>
      <w:r w:rsidRPr="008E4A37">
        <w:rPr>
          <w:rFonts w:ascii="Arial" w:hAnsi="Arial" w:cs="Arial"/>
          <w:b/>
          <w:bCs/>
        </w:rPr>
        <w:t xml:space="preserve"> PREMA EKONOMSKOJ KLASIFIKACIJI</w:t>
      </w:r>
    </w:p>
    <w:p w14:paraId="0BCEEF8C" w14:textId="77777777" w:rsidR="00ED34CE" w:rsidRDefault="00ED34CE" w:rsidP="0022629E">
      <w:pPr>
        <w:rPr>
          <w:rFonts w:ascii="Arial" w:hAnsi="Arial" w:cs="Arial"/>
          <w:b/>
          <w:bCs/>
          <w:sz w:val="16"/>
          <w:szCs w:val="16"/>
        </w:rPr>
      </w:pPr>
    </w:p>
    <w:p w14:paraId="10969046" w14:textId="6F874AB4" w:rsidR="00ED34CE" w:rsidRPr="00DD118A" w:rsidRDefault="00DD118A" w:rsidP="00DD118A">
      <w:pPr>
        <w:ind w:left="9912"/>
        <w:jc w:val="center"/>
        <w:rPr>
          <w:rFonts w:ascii="Arial" w:hAnsi="Arial" w:cs="Arial"/>
          <w:b/>
          <w:bCs/>
          <w:sz w:val="20"/>
          <w:szCs w:val="20"/>
        </w:rPr>
      </w:pPr>
      <w:r>
        <w:rPr>
          <w:rFonts w:ascii="Arial" w:hAnsi="Arial" w:cs="Arial"/>
          <w:b/>
          <w:bCs/>
          <w:sz w:val="16"/>
          <w:szCs w:val="16"/>
        </w:rPr>
        <w:t xml:space="preserve">                                                                         </w:t>
      </w:r>
      <w:r w:rsidRPr="00DD118A">
        <w:rPr>
          <w:rFonts w:ascii="Arial" w:hAnsi="Arial" w:cs="Arial"/>
          <w:b/>
          <w:bCs/>
          <w:sz w:val="20"/>
          <w:szCs w:val="20"/>
        </w:rPr>
        <w:t>U EUR</w:t>
      </w:r>
    </w:p>
    <w:tbl>
      <w:tblPr>
        <w:tblW w:w="13887" w:type="dxa"/>
        <w:tblLook w:val="04A0" w:firstRow="1" w:lastRow="0" w:firstColumn="1" w:lastColumn="0" w:noHBand="0" w:noVBand="1"/>
      </w:tblPr>
      <w:tblGrid>
        <w:gridCol w:w="928"/>
        <w:gridCol w:w="6297"/>
        <w:gridCol w:w="1842"/>
        <w:gridCol w:w="1701"/>
        <w:gridCol w:w="1418"/>
        <w:gridCol w:w="1701"/>
      </w:tblGrid>
      <w:tr w:rsidR="00DD118A" w:rsidRPr="00DD118A" w14:paraId="183E51F2" w14:textId="77777777" w:rsidTr="00DD118A">
        <w:trPr>
          <w:trHeight w:val="532"/>
        </w:trPr>
        <w:tc>
          <w:tcPr>
            <w:tcW w:w="9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CFF219" w14:textId="77777777" w:rsidR="00DD118A" w:rsidRPr="00DD118A" w:rsidRDefault="00DD118A" w:rsidP="00DD118A">
            <w:pPr>
              <w:rPr>
                <w:rFonts w:ascii="Arial" w:hAnsi="Arial" w:cs="Arial"/>
                <w:b/>
                <w:bCs/>
                <w:sz w:val="20"/>
                <w:szCs w:val="20"/>
              </w:rPr>
            </w:pPr>
            <w:r w:rsidRPr="00DD118A">
              <w:rPr>
                <w:rFonts w:ascii="Arial" w:hAnsi="Arial" w:cs="Arial"/>
                <w:b/>
                <w:bCs/>
                <w:sz w:val="20"/>
                <w:szCs w:val="20"/>
              </w:rPr>
              <w:t xml:space="preserve">BROJ </w:t>
            </w:r>
            <w:r w:rsidRPr="00DD118A">
              <w:rPr>
                <w:rFonts w:ascii="Arial" w:hAnsi="Arial" w:cs="Arial"/>
                <w:b/>
                <w:bCs/>
                <w:sz w:val="20"/>
                <w:szCs w:val="20"/>
              </w:rPr>
              <w:br/>
              <w:t>KONTA</w:t>
            </w:r>
          </w:p>
        </w:tc>
        <w:tc>
          <w:tcPr>
            <w:tcW w:w="6297" w:type="dxa"/>
            <w:tcBorders>
              <w:top w:val="single" w:sz="4" w:space="0" w:color="auto"/>
              <w:left w:val="nil"/>
              <w:bottom w:val="single" w:sz="4" w:space="0" w:color="auto"/>
              <w:right w:val="single" w:sz="4" w:space="0" w:color="auto"/>
            </w:tcBorders>
            <w:shd w:val="clear" w:color="auto" w:fill="auto"/>
            <w:noWrap/>
            <w:vAlign w:val="bottom"/>
            <w:hideMark/>
          </w:tcPr>
          <w:p w14:paraId="49878279" w14:textId="77777777" w:rsidR="00DD118A" w:rsidRPr="00DD118A" w:rsidRDefault="00DD118A" w:rsidP="00DD118A">
            <w:pPr>
              <w:rPr>
                <w:rFonts w:ascii="Arial" w:hAnsi="Arial" w:cs="Arial"/>
                <w:b/>
                <w:bCs/>
                <w:sz w:val="20"/>
                <w:szCs w:val="20"/>
              </w:rPr>
            </w:pPr>
            <w:r w:rsidRPr="00DD118A">
              <w:rPr>
                <w:rFonts w:ascii="Arial" w:hAnsi="Arial" w:cs="Arial"/>
                <w:b/>
                <w:bCs/>
                <w:sz w:val="20"/>
                <w:szCs w:val="20"/>
              </w:rPr>
              <w:t>VRSTA PRIHODA / PRIMITAKA / RASHODA / IZDATAKA</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EA52A2E" w14:textId="77777777" w:rsidR="00DD118A" w:rsidRPr="00DD118A" w:rsidRDefault="00DD118A" w:rsidP="00DD118A">
            <w:pPr>
              <w:rPr>
                <w:rFonts w:ascii="Arial" w:hAnsi="Arial" w:cs="Arial"/>
                <w:b/>
                <w:bCs/>
                <w:sz w:val="20"/>
                <w:szCs w:val="20"/>
              </w:rPr>
            </w:pPr>
            <w:r w:rsidRPr="00DD118A">
              <w:rPr>
                <w:rFonts w:ascii="Arial" w:hAnsi="Arial" w:cs="Arial"/>
                <w:b/>
                <w:bCs/>
                <w:sz w:val="20"/>
                <w:szCs w:val="20"/>
              </w:rPr>
              <w:t>PLAN ZA 2025.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15018D3" w14:textId="77777777" w:rsidR="00DD118A" w:rsidRPr="00DD118A" w:rsidRDefault="00DD118A" w:rsidP="00DD118A">
            <w:pPr>
              <w:rPr>
                <w:rFonts w:ascii="Arial" w:hAnsi="Arial" w:cs="Arial"/>
                <w:b/>
                <w:bCs/>
                <w:sz w:val="20"/>
                <w:szCs w:val="20"/>
              </w:rPr>
            </w:pPr>
            <w:r w:rsidRPr="00DD118A">
              <w:rPr>
                <w:rFonts w:ascii="Arial" w:hAnsi="Arial" w:cs="Arial"/>
                <w:b/>
                <w:bCs/>
                <w:sz w:val="20"/>
                <w:szCs w:val="20"/>
              </w:rPr>
              <w:t>POVEĆANJE/ SMANJENJE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8D54912" w14:textId="77777777" w:rsidR="00DD118A" w:rsidRPr="00DD118A" w:rsidRDefault="00DD118A" w:rsidP="00DD118A">
            <w:pPr>
              <w:rPr>
                <w:rFonts w:ascii="Arial" w:hAnsi="Arial" w:cs="Arial"/>
                <w:b/>
                <w:bCs/>
                <w:sz w:val="20"/>
                <w:szCs w:val="20"/>
              </w:rPr>
            </w:pPr>
            <w:r w:rsidRPr="00DD118A">
              <w:rPr>
                <w:rFonts w:ascii="Arial" w:hAnsi="Arial" w:cs="Arial"/>
                <w:b/>
                <w:bCs/>
                <w:sz w:val="20"/>
                <w:szCs w:val="20"/>
              </w:rPr>
              <w:t>PROMJENA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960F906" w14:textId="77777777" w:rsidR="00DD118A" w:rsidRPr="00DD118A" w:rsidRDefault="00DD118A" w:rsidP="00DD118A">
            <w:pPr>
              <w:rPr>
                <w:rFonts w:ascii="Arial" w:hAnsi="Arial" w:cs="Arial"/>
                <w:b/>
                <w:bCs/>
                <w:sz w:val="20"/>
                <w:szCs w:val="20"/>
              </w:rPr>
            </w:pPr>
            <w:r w:rsidRPr="00DD118A">
              <w:rPr>
                <w:rFonts w:ascii="Arial" w:hAnsi="Arial" w:cs="Arial"/>
                <w:b/>
                <w:bCs/>
                <w:sz w:val="20"/>
                <w:szCs w:val="20"/>
              </w:rPr>
              <w:t>NOVI PLAN ZA 2025.</w:t>
            </w:r>
          </w:p>
        </w:tc>
      </w:tr>
      <w:tr w:rsidR="00DD118A" w:rsidRPr="00DD118A" w14:paraId="019E8E4B" w14:textId="77777777" w:rsidTr="00DD118A">
        <w:trPr>
          <w:trHeight w:val="266"/>
        </w:trPr>
        <w:tc>
          <w:tcPr>
            <w:tcW w:w="928" w:type="dxa"/>
            <w:tcBorders>
              <w:top w:val="nil"/>
              <w:left w:val="single" w:sz="4" w:space="0" w:color="auto"/>
              <w:bottom w:val="single" w:sz="4" w:space="0" w:color="auto"/>
              <w:right w:val="single" w:sz="4" w:space="0" w:color="auto"/>
            </w:tcBorders>
            <w:shd w:val="clear" w:color="000000" w:fill="A6A6A6"/>
            <w:noWrap/>
            <w:vAlign w:val="bottom"/>
            <w:hideMark/>
          </w:tcPr>
          <w:p w14:paraId="29DA60A5" w14:textId="77777777" w:rsidR="00DD118A" w:rsidRPr="00DD118A" w:rsidRDefault="00DD118A" w:rsidP="00DD118A">
            <w:pPr>
              <w:rPr>
                <w:rFonts w:ascii="Arial" w:hAnsi="Arial" w:cs="Arial"/>
                <w:b/>
                <w:bCs/>
                <w:sz w:val="20"/>
                <w:szCs w:val="20"/>
              </w:rPr>
            </w:pPr>
            <w:r w:rsidRPr="00DD118A">
              <w:rPr>
                <w:rFonts w:ascii="Arial" w:hAnsi="Arial" w:cs="Arial"/>
                <w:b/>
                <w:bCs/>
                <w:sz w:val="20"/>
                <w:szCs w:val="20"/>
              </w:rPr>
              <w:t> </w:t>
            </w:r>
          </w:p>
        </w:tc>
        <w:tc>
          <w:tcPr>
            <w:tcW w:w="6297" w:type="dxa"/>
            <w:tcBorders>
              <w:top w:val="nil"/>
              <w:left w:val="nil"/>
              <w:bottom w:val="single" w:sz="4" w:space="0" w:color="auto"/>
              <w:right w:val="single" w:sz="4" w:space="0" w:color="auto"/>
            </w:tcBorders>
            <w:shd w:val="clear" w:color="000000" w:fill="A6A6A6"/>
            <w:noWrap/>
            <w:vAlign w:val="bottom"/>
            <w:hideMark/>
          </w:tcPr>
          <w:p w14:paraId="39BA6878" w14:textId="77777777" w:rsidR="00DD118A" w:rsidRPr="00DD118A" w:rsidRDefault="00DD118A" w:rsidP="00DD118A">
            <w:pPr>
              <w:rPr>
                <w:rFonts w:ascii="Arial" w:hAnsi="Arial" w:cs="Arial"/>
                <w:b/>
                <w:bCs/>
                <w:sz w:val="20"/>
                <w:szCs w:val="20"/>
              </w:rPr>
            </w:pPr>
            <w:r w:rsidRPr="00DD118A">
              <w:rPr>
                <w:rFonts w:ascii="Arial" w:hAnsi="Arial" w:cs="Arial"/>
                <w:b/>
                <w:bCs/>
                <w:sz w:val="20"/>
                <w:szCs w:val="20"/>
              </w:rPr>
              <w:t xml:space="preserve">  SVEUKUPNO PRIHODI / PRIMICI</w:t>
            </w:r>
          </w:p>
        </w:tc>
        <w:tc>
          <w:tcPr>
            <w:tcW w:w="1842" w:type="dxa"/>
            <w:tcBorders>
              <w:top w:val="nil"/>
              <w:left w:val="nil"/>
              <w:bottom w:val="single" w:sz="4" w:space="0" w:color="auto"/>
              <w:right w:val="single" w:sz="4" w:space="0" w:color="auto"/>
            </w:tcBorders>
            <w:shd w:val="clear" w:color="000000" w:fill="A6A6A6"/>
            <w:noWrap/>
            <w:vAlign w:val="bottom"/>
            <w:hideMark/>
          </w:tcPr>
          <w:p w14:paraId="3F4684DB"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27.456.774,00</w:t>
            </w:r>
          </w:p>
        </w:tc>
        <w:tc>
          <w:tcPr>
            <w:tcW w:w="1701" w:type="dxa"/>
            <w:tcBorders>
              <w:top w:val="nil"/>
              <w:left w:val="nil"/>
              <w:bottom w:val="single" w:sz="4" w:space="0" w:color="auto"/>
              <w:right w:val="single" w:sz="4" w:space="0" w:color="auto"/>
            </w:tcBorders>
            <w:shd w:val="clear" w:color="000000" w:fill="A6A6A6"/>
            <w:noWrap/>
            <w:vAlign w:val="bottom"/>
            <w:hideMark/>
          </w:tcPr>
          <w:p w14:paraId="0F63A76B"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190.974,00</w:t>
            </w:r>
          </w:p>
        </w:tc>
        <w:tc>
          <w:tcPr>
            <w:tcW w:w="1418" w:type="dxa"/>
            <w:tcBorders>
              <w:top w:val="nil"/>
              <w:left w:val="nil"/>
              <w:bottom w:val="single" w:sz="4" w:space="0" w:color="auto"/>
              <w:right w:val="single" w:sz="4" w:space="0" w:color="auto"/>
            </w:tcBorders>
            <w:shd w:val="clear" w:color="000000" w:fill="A6A6A6"/>
            <w:noWrap/>
            <w:vAlign w:val="bottom"/>
            <w:hideMark/>
          </w:tcPr>
          <w:p w14:paraId="7D1A6FE3"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0,70</w:t>
            </w:r>
          </w:p>
        </w:tc>
        <w:tc>
          <w:tcPr>
            <w:tcW w:w="1701" w:type="dxa"/>
            <w:tcBorders>
              <w:top w:val="nil"/>
              <w:left w:val="nil"/>
              <w:bottom w:val="single" w:sz="4" w:space="0" w:color="auto"/>
              <w:right w:val="single" w:sz="4" w:space="0" w:color="auto"/>
            </w:tcBorders>
            <w:shd w:val="clear" w:color="000000" w:fill="A6A6A6"/>
            <w:noWrap/>
            <w:vAlign w:val="bottom"/>
            <w:hideMark/>
          </w:tcPr>
          <w:p w14:paraId="7A434442"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27.647.748,00</w:t>
            </w:r>
          </w:p>
        </w:tc>
      </w:tr>
      <w:tr w:rsidR="00DD118A" w:rsidRPr="00DD118A" w14:paraId="1F0928F1" w14:textId="77777777" w:rsidTr="00DD118A">
        <w:trPr>
          <w:trHeight w:val="266"/>
        </w:trPr>
        <w:tc>
          <w:tcPr>
            <w:tcW w:w="928" w:type="dxa"/>
            <w:tcBorders>
              <w:top w:val="nil"/>
              <w:left w:val="single" w:sz="4" w:space="0" w:color="auto"/>
              <w:bottom w:val="single" w:sz="4" w:space="0" w:color="auto"/>
              <w:right w:val="single" w:sz="4" w:space="0" w:color="auto"/>
            </w:tcBorders>
            <w:shd w:val="clear" w:color="000000" w:fill="D9D9D9"/>
            <w:noWrap/>
            <w:vAlign w:val="bottom"/>
            <w:hideMark/>
          </w:tcPr>
          <w:p w14:paraId="3AC57F88" w14:textId="77777777" w:rsidR="00DD118A" w:rsidRPr="00DD118A" w:rsidRDefault="00DD118A" w:rsidP="00DD118A">
            <w:pPr>
              <w:rPr>
                <w:rFonts w:ascii="Arial" w:hAnsi="Arial" w:cs="Arial"/>
                <w:b/>
                <w:bCs/>
                <w:sz w:val="20"/>
                <w:szCs w:val="20"/>
              </w:rPr>
            </w:pPr>
            <w:r w:rsidRPr="00DD118A">
              <w:rPr>
                <w:rFonts w:ascii="Arial" w:hAnsi="Arial" w:cs="Arial"/>
                <w:b/>
                <w:bCs/>
                <w:sz w:val="20"/>
                <w:szCs w:val="20"/>
              </w:rPr>
              <w:t>6</w:t>
            </w:r>
          </w:p>
        </w:tc>
        <w:tc>
          <w:tcPr>
            <w:tcW w:w="6297" w:type="dxa"/>
            <w:tcBorders>
              <w:top w:val="nil"/>
              <w:left w:val="nil"/>
              <w:bottom w:val="single" w:sz="4" w:space="0" w:color="auto"/>
              <w:right w:val="single" w:sz="4" w:space="0" w:color="auto"/>
            </w:tcBorders>
            <w:shd w:val="clear" w:color="000000" w:fill="D9D9D9"/>
            <w:noWrap/>
            <w:vAlign w:val="bottom"/>
            <w:hideMark/>
          </w:tcPr>
          <w:p w14:paraId="45BA454C" w14:textId="77777777" w:rsidR="00DD118A" w:rsidRPr="00DD118A" w:rsidRDefault="00DD118A" w:rsidP="00DD118A">
            <w:pPr>
              <w:rPr>
                <w:rFonts w:ascii="Arial" w:hAnsi="Arial" w:cs="Arial"/>
                <w:b/>
                <w:bCs/>
                <w:sz w:val="20"/>
                <w:szCs w:val="20"/>
              </w:rPr>
            </w:pPr>
            <w:r w:rsidRPr="00DD118A">
              <w:rPr>
                <w:rFonts w:ascii="Arial" w:hAnsi="Arial" w:cs="Arial"/>
                <w:b/>
                <w:bCs/>
                <w:sz w:val="20"/>
                <w:szCs w:val="20"/>
              </w:rPr>
              <w:t>Prihodi poslovanja</w:t>
            </w:r>
          </w:p>
        </w:tc>
        <w:tc>
          <w:tcPr>
            <w:tcW w:w="1842" w:type="dxa"/>
            <w:tcBorders>
              <w:top w:val="nil"/>
              <w:left w:val="nil"/>
              <w:bottom w:val="single" w:sz="4" w:space="0" w:color="auto"/>
              <w:right w:val="single" w:sz="4" w:space="0" w:color="auto"/>
            </w:tcBorders>
            <w:shd w:val="clear" w:color="000000" w:fill="D9D9D9"/>
            <w:noWrap/>
            <w:vAlign w:val="bottom"/>
            <w:hideMark/>
          </w:tcPr>
          <w:p w14:paraId="16013F17"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25.216.864,00</w:t>
            </w:r>
          </w:p>
        </w:tc>
        <w:tc>
          <w:tcPr>
            <w:tcW w:w="1701" w:type="dxa"/>
            <w:tcBorders>
              <w:top w:val="nil"/>
              <w:left w:val="nil"/>
              <w:bottom w:val="single" w:sz="4" w:space="0" w:color="auto"/>
              <w:right w:val="single" w:sz="4" w:space="0" w:color="auto"/>
            </w:tcBorders>
            <w:shd w:val="clear" w:color="000000" w:fill="D9D9D9"/>
            <w:noWrap/>
            <w:vAlign w:val="bottom"/>
            <w:hideMark/>
          </w:tcPr>
          <w:p w14:paraId="48DE1DF6"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922.094,00</w:t>
            </w:r>
          </w:p>
        </w:tc>
        <w:tc>
          <w:tcPr>
            <w:tcW w:w="1418" w:type="dxa"/>
            <w:tcBorders>
              <w:top w:val="nil"/>
              <w:left w:val="nil"/>
              <w:bottom w:val="single" w:sz="4" w:space="0" w:color="auto"/>
              <w:right w:val="single" w:sz="4" w:space="0" w:color="auto"/>
            </w:tcBorders>
            <w:shd w:val="clear" w:color="000000" w:fill="D9D9D9"/>
            <w:noWrap/>
            <w:vAlign w:val="bottom"/>
            <w:hideMark/>
          </w:tcPr>
          <w:p w14:paraId="0C304096"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3,66</w:t>
            </w:r>
          </w:p>
        </w:tc>
        <w:tc>
          <w:tcPr>
            <w:tcW w:w="1701" w:type="dxa"/>
            <w:tcBorders>
              <w:top w:val="nil"/>
              <w:left w:val="nil"/>
              <w:bottom w:val="single" w:sz="4" w:space="0" w:color="auto"/>
              <w:right w:val="single" w:sz="4" w:space="0" w:color="auto"/>
            </w:tcBorders>
            <w:shd w:val="clear" w:color="000000" w:fill="D9D9D9"/>
            <w:noWrap/>
            <w:vAlign w:val="bottom"/>
            <w:hideMark/>
          </w:tcPr>
          <w:p w14:paraId="322A6248"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26.138.958,00</w:t>
            </w:r>
          </w:p>
        </w:tc>
      </w:tr>
      <w:tr w:rsidR="00DD118A" w:rsidRPr="00DD118A" w14:paraId="321F24EF" w14:textId="77777777" w:rsidTr="00DD118A">
        <w:trPr>
          <w:trHeight w:val="266"/>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D7475A6" w14:textId="77777777" w:rsidR="00DD118A" w:rsidRPr="00DD118A" w:rsidRDefault="00DD118A" w:rsidP="00DD118A">
            <w:pPr>
              <w:rPr>
                <w:rFonts w:ascii="Arial" w:hAnsi="Arial" w:cs="Arial"/>
                <w:sz w:val="20"/>
                <w:szCs w:val="20"/>
              </w:rPr>
            </w:pPr>
            <w:r w:rsidRPr="00DD118A">
              <w:rPr>
                <w:rFonts w:ascii="Arial" w:hAnsi="Arial" w:cs="Arial"/>
                <w:sz w:val="20"/>
                <w:szCs w:val="20"/>
              </w:rPr>
              <w:t>61</w:t>
            </w:r>
          </w:p>
        </w:tc>
        <w:tc>
          <w:tcPr>
            <w:tcW w:w="6297" w:type="dxa"/>
            <w:tcBorders>
              <w:top w:val="nil"/>
              <w:left w:val="nil"/>
              <w:bottom w:val="single" w:sz="4" w:space="0" w:color="auto"/>
              <w:right w:val="single" w:sz="4" w:space="0" w:color="auto"/>
            </w:tcBorders>
            <w:shd w:val="clear" w:color="auto" w:fill="auto"/>
            <w:noWrap/>
            <w:vAlign w:val="bottom"/>
            <w:hideMark/>
          </w:tcPr>
          <w:p w14:paraId="37D241D0" w14:textId="77777777" w:rsidR="00DD118A" w:rsidRPr="00DD118A" w:rsidRDefault="00DD118A" w:rsidP="00DD118A">
            <w:pPr>
              <w:rPr>
                <w:rFonts w:ascii="Arial" w:hAnsi="Arial" w:cs="Arial"/>
                <w:sz w:val="20"/>
                <w:szCs w:val="20"/>
              </w:rPr>
            </w:pPr>
            <w:r w:rsidRPr="00DD118A">
              <w:rPr>
                <w:rFonts w:ascii="Arial" w:hAnsi="Arial" w:cs="Arial"/>
                <w:sz w:val="20"/>
                <w:szCs w:val="20"/>
              </w:rPr>
              <w:t>Prihodi od poreza</w:t>
            </w:r>
          </w:p>
        </w:tc>
        <w:tc>
          <w:tcPr>
            <w:tcW w:w="1842" w:type="dxa"/>
            <w:tcBorders>
              <w:top w:val="nil"/>
              <w:left w:val="nil"/>
              <w:bottom w:val="single" w:sz="4" w:space="0" w:color="auto"/>
              <w:right w:val="single" w:sz="4" w:space="0" w:color="auto"/>
            </w:tcBorders>
            <w:shd w:val="clear" w:color="auto" w:fill="auto"/>
            <w:noWrap/>
            <w:vAlign w:val="bottom"/>
            <w:hideMark/>
          </w:tcPr>
          <w:p w14:paraId="1833A09B"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8.917.460,00</w:t>
            </w:r>
          </w:p>
        </w:tc>
        <w:tc>
          <w:tcPr>
            <w:tcW w:w="1701" w:type="dxa"/>
            <w:tcBorders>
              <w:top w:val="nil"/>
              <w:left w:val="nil"/>
              <w:bottom w:val="single" w:sz="4" w:space="0" w:color="auto"/>
              <w:right w:val="single" w:sz="4" w:space="0" w:color="auto"/>
            </w:tcBorders>
            <w:shd w:val="clear" w:color="auto" w:fill="auto"/>
            <w:noWrap/>
            <w:vAlign w:val="bottom"/>
            <w:hideMark/>
          </w:tcPr>
          <w:p w14:paraId="0FA51E32"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838.485,00</w:t>
            </w:r>
          </w:p>
        </w:tc>
        <w:tc>
          <w:tcPr>
            <w:tcW w:w="1418" w:type="dxa"/>
            <w:tcBorders>
              <w:top w:val="nil"/>
              <w:left w:val="nil"/>
              <w:bottom w:val="single" w:sz="4" w:space="0" w:color="auto"/>
              <w:right w:val="single" w:sz="4" w:space="0" w:color="auto"/>
            </w:tcBorders>
            <w:shd w:val="clear" w:color="auto" w:fill="auto"/>
            <w:noWrap/>
            <w:vAlign w:val="bottom"/>
            <w:hideMark/>
          </w:tcPr>
          <w:p w14:paraId="4C842D5E"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9,40</w:t>
            </w:r>
          </w:p>
        </w:tc>
        <w:tc>
          <w:tcPr>
            <w:tcW w:w="1701" w:type="dxa"/>
            <w:tcBorders>
              <w:top w:val="nil"/>
              <w:left w:val="nil"/>
              <w:bottom w:val="single" w:sz="4" w:space="0" w:color="auto"/>
              <w:right w:val="single" w:sz="4" w:space="0" w:color="auto"/>
            </w:tcBorders>
            <w:shd w:val="clear" w:color="auto" w:fill="auto"/>
            <w:noWrap/>
            <w:vAlign w:val="bottom"/>
            <w:hideMark/>
          </w:tcPr>
          <w:p w14:paraId="05CD5AC0"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9.755.945,00</w:t>
            </w:r>
          </w:p>
        </w:tc>
      </w:tr>
      <w:tr w:rsidR="00DD118A" w:rsidRPr="00DD118A" w14:paraId="6151B924" w14:textId="77777777" w:rsidTr="00DD118A">
        <w:trPr>
          <w:trHeight w:val="266"/>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FD8AC9A" w14:textId="77777777" w:rsidR="00DD118A" w:rsidRPr="00DD118A" w:rsidRDefault="00DD118A" w:rsidP="00DD118A">
            <w:pPr>
              <w:rPr>
                <w:rFonts w:ascii="Arial" w:hAnsi="Arial" w:cs="Arial"/>
                <w:sz w:val="20"/>
                <w:szCs w:val="20"/>
              </w:rPr>
            </w:pPr>
            <w:r w:rsidRPr="00DD118A">
              <w:rPr>
                <w:rFonts w:ascii="Arial" w:hAnsi="Arial" w:cs="Arial"/>
                <w:sz w:val="20"/>
                <w:szCs w:val="20"/>
              </w:rPr>
              <w:t>63</w:t>
            </w:r>
          </w:p>
        </w:tc>
        <w:tc>
          <w:tcPr>
            <w:tcW w:w="6297" w:type="dxa"/>
            <w:tcBorders>
              <w:top w:val="nil"/>
              <w:left w:val="nil"/>
              <w:bottom w:val="single" w:sz="4" w:space="0" w:color="auto"/>
              <w:right w:val="single" w:sz="4" w:space="0" w:color="auto"/>
            </w:tcBorders>
            <w:shd w:val="clear" w:color="auto" w:fill="auto"/>
            <w:noWrap/>
            <w:vAlign w:val="bottom"/>
            <w:hideMark/>
          </w:tcPr>
          <w:p w14:paraId="66629098" w14:textId="77777777" w:rsidR="00DD118A" w:rsidRPr="00DD118A" w:rsidRDefault="00DD118A" w:rsidP="00DD118A">
            <w:pPr>
              <w:rPr>
                <w:rFonts w:ascii="Arial" w:hAnsi="Arial" w:cs="Arial"/>
                <w:sz w:val="20"/>
                <w:szCs w:val="20"/>
              </w:rPr>
            </w:pPr>
            <w:r w:rsidRPr="00DD118A">
              <w:rPr>
                <w:rFonts w:ascii="Arial" w:hAnsi="Arial" w:cs="Arial"/>
                <w:sz w:val="20"/>
                <w:szCs w:val="20"/>
              </w:rPr>
              <w:t>Pomoći iz inozemstva i od subjekata unutar općeg proračuna</w:t>
            </w:r>
          </w:p>
        </w:tc>
        <w:tc>
          <w:tcPr>
            <w:tcW w:w="1842" w:type="dxa"/>
            <w:tcBorders>
              <w:top w:val="nil"/>
              <w:left w:val="nil"/>
              <w:bottom w:val="single" w:sz="4" w:space="0" w:color="auto"/>
              <w:right w:val="single" w:sz="4" w:space="0" w:color="auto"/>
            </w:tcBorders>
            <w:shd w:val="clear" w:color="auto" w:fill="auto"/>
            <w:noWrap/>
            <w:vAlign w:val="bottom"/>
            <w:hideMark/>
          </w:tcPr>
          <w:p w14:paraId="6E5212C6"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9.255.803,00</w:t>
            </w:r>
          </w:p>
        </w:tc>
        <w:tc>
          <w:tcPr>
            <w:tcW w:w="1701" w:type="dxa"/>
            <w:tcBorders>
              <w:top w:val="nil"/>
              <w:left w:val="nil"/>
              <w:bottom w:val="single" w:sz="4" w:space="0" w:color="auto"/>
              <w:right w:val="single" w:sz="4" w:space="0" w:color="auto"/>
            </w:tcBorders>
            <w:shd w:val="clear" w:color="auto" w:fill="auto"/>
            <w:noWrap/>
            <w:vAlign w:val="bottom"/>
            <w:hideMark/>
          </w:tcPr>
          <w:p w14:paraId="5DA723EC"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398.669,00</w:t>
            </w:r>
          </w:p>
        </w:tc>
        <w:tc>
          <w:tcPr>
            <w:tcW w:w="1418" w:type="dxa"/>
            <w:tcBorders>
              <w:top w:val="nil"/>
              <w:left w:val="nil"/>
              <w:bottom w:val="single" w:sz="4" w:space="0" w:color="auto"/>
              <w:right w:val="single" w:sz="4" w:space="0" w:color="auto"/>
            </w:tcBorders>
            <w:shd w:val="clear" w:color="auto" w:fill="auto"/>
            <w:noWrap/>
            <w:vAlign w:val="bottom"/>
            <w:hideMark/>
          </w:tcPr>
          <w:p w14:paraId="701A0772"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4,31</w:t>
            </w:r>
          </w:p>
        </w:tc>
        <w:tc>
          <w:tcPr>
            <w:tcW w:w="1701" w:type="dxa"/>
            <w:tcBorders>
              <w:top w:val="nil"/>
              <w:left w:val="nil"/>
              <w:bottom w:val="single" w:sz="4" w:space="0" w:color="auto"/>
              <w:right w:val="single" w:sz="4" w:space="0" w:color="auto"/>
            </w:tcBorders>
            <w:shd w:val="clear" w:color="auto" w:fill="auto"/>
            <w:noWrap/>
            <w:vAlign w:val="bottom"/>
            <w:hideMark/>
          </w:tcPr>
          <w:p w14:paraId="319CA424"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9.654.472,00</w:t>
            </w:r>
          </w:p>
        </w:tc>
      </w:tr>
      <w:tr w:rsidR="00DD118A" w:rsidRPr="00DD118A" w14:paraId="513261E0" w14:textId="77777777" w:rsidTr="00DD118A">
        <w:trPr>
          <w:trHeight w:val="266"/>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7387F89" w14:textId="77777777" w:rsidR="00DD118A" w:rsidRPr="00DD118A" w:rsidRDefault="00DD118A" w:rsidP="00DD118A">
            <w:pPr>
              <w:rPr>
                <w:rFonts w:ascii="Arial" w:hAnsi="Arial" w:cs="Arial"/>
                <w:sz w:val="20"/>
                <w:szCs w:val="20"/>
              </w:rPr>
            </w:pPr>
            <w:r w:rsidRPr="00DD118A">
              <w:rPr>
                <w:rFonts w:ascii="Arial" w:hAnsi="Arial" w:cs="Arial"/>
                <w:sz w:val="20"/>
                <w:szCs w:val="20"/>
              </w:rPr>
              <w:t>64</w:t>
            </w:r>
          </w:p>
        </w:tc>
        <w:tc>
          <w:tcPr>
            <w:tcW w:w="6297" w:type="dxa"/>
            <w:tcBorders>
              <w:top w:val="nil"/>
              <w:left w:val="nil"/>
              <w:bottom w:val="single" w:sz="4" w:space="0" w:color="auto"/>
              <w:right w:val="single" w:sz="4" w:space="0" w:color="auto"/>
            </w:tcBorders>
            <w:shd w:val="clear" w:color="auto" w:fill="auto"/>
            <w:noWrap/>
            <w:vAlign w:val="bottom"/>
            <w:hideMark/>
          </w:tcPr>
          <w:p w14:paraId="6D815BFF" w14:textId="77777777" w:rsidR="00DD118A" w:rsidRPr="00DD118A" w:rsidRDefault="00DD118A" w:rsidP="00DD118A">
            <w:pPr>
              <w:rPr>
                <w:rFonts w:ascii="Arial" w:hAnsi="Arial" w:cs="Arial"/>
                <w:sz w:val="20"/>
                <w:szCs w:val="20"/>
              </w:rPr>
            </w:pPr>
            <w:r w:rsidRPr="00DD118A">
              <w:rPr>
                <w:rFonts w:ascii="Arial" w:hAnsi="Arial" w:cs="Arial"/>
                <w:sz w:val="20"/>
                <w:szCs w:val="20"/>
              </w:rPr>
              <w:t>Prihodi od imovine</w:t>
            </w:r>
          </w:p>
        </w:tc>
        <w:tc>
          <w:tcPr>
            <w:tcW w:w="1842" w:type="dxa"/>
            <w:tcBorders>
              <w:top w:val="nil"/>
              <w:left w:val="nil"/>
              <w:bottom w:val="single" w:sz="4" w:space="0" w:color="auto"/>
              <w:right w:val="single" w:sz="4" w:space="0" w:color="auto"/>
            </w:tcBorders>
            <w:shd w:val="clear" w:color="auto" w:fill="auto"/>
            <w:noWrap/>
            <w:vAlign w:val="bottom"/>
            <w:hideMark/>
          </w:tcPr>
          <w:p w14:paraId="16B32C71"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1.235.776,00</w:t>
            </w:r>
          </w:p>
        </w:tc>
        <w:tc>
          <w:tcPr>
            <w:tcW w:w="1701" w:type="dxa"/>
            <w:tcBorders>
              <w:top w:val="nil"/>
              <w:left w:val="nil"/>
              <w:bottom w:val="single" w:sz="4" w:space="0" w:color="auto"/>
              <w:right w:val="single" w:sz="4" w:space="0" w:color="auto"/>
            </w:tcBorders>
            <w:shd w:val="clear" w:color="auto" w:fill="auto"/>
            <w:noWrap/>
            <w:vAlign w:val="bottom"/>
            <w:hideMark/>
          </w:tcPr>
          <w:p w14:paraId="72BCA69E"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-179.575,00</w:t>
            </w:r>
          </w:p>
        </w:tc>
        <w:tc>
          <w:tcPr>
            <w:tcW w:w="1418" w:type="dxa"/>
            <w:tcBorders>
              <w:top w:val="nil"/>
              <w:left w:val="nil"/>
              <w:bottom w:val="single" w:sz="4" w:space="0" w:color="auto"/>
              <w:right w:val="single" w:sz="4" w:space="0" w:color="auto"/>
            </w:tcBorders>
            <w:shd w:val="clear" w:color="auto" w:fill="auto"/>
            <w:noWrap/>
            <w:vAlign w:val="bottom"/>
            <w:hideMark/>
          </w:tcPr>
          <w:p w14:paraId="4A50E4BF"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-14,53</w:t>
            </w:r>
          </w:p>
        </w:tc>
        <w:tc>
          <w:tcPr>
            <w:tcW w:w="1701" w:type="dxa"/>
            <w:tcBorders>
              <w:top w:val="nil"/>
              <w:left w:val="nil"/>
              <w:bottom w:val="single" w:sz="4" w:space="0" w:color="auto"/>
              <w:right w:val="single" w:sz="4" w:space="0" w:color="auto"/>
            </w:tcBorders>
            <w:shd w:val="clear" w:color="auto" w:fill="auto"/>
            <w:noWrap/>
            <w:vAlign w:val="bottom"/>
            <w:hideMark/>
          </w:tcPr>
          <w:p w14:paraId="1C645C37"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1.056.201,00</w:t>
            </w:r>
          </w:p>
        </w:tc>
      </w:tr>
      <w:tr w:rsidR="00DD118A" w:rsidRPr="00DD118A" w14:paraId="5205CD77" w14:textId="77777777" w:rsidTr="00DD118A">
        <w:trPr>
          <w:trHeight w:val="266"/>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4E1BB8C" w14:textId="77777777" w:rsidR="00DD118A" w:rsidRPr="00DD118A" w:rsidRDefault="00DD118A" w:rsidP="00DD118A">
            <w:pPr>
              <w:rPr>
                <w:rFonts w:ascii="Arial" w:hAnsi="Arial" w:cs="Arial"/>
                <w:sz w:val="20"/>
                <w:szCs w:val="20"/>
              </w:rPr>
            </w:pPr>
            <w:r w:rsidRPr="00DD118A">
              <w:rPr>
                <w:rFonts w:ascii="Arial" w:hAnsi="Arial" w:cs="Arial"/>
                <w:sz w:val="20"/>
                <w:szCs w:val="20"/>
              </w:rPr>
              <w:t>65</w:t>
            </w:r>
          </w:p>
        </w:tc>
        <w:tc>
          <w:tcPr>
            <w:tcW w:w="6297" w:type="dxa"/>
            <w:tcBorders>
              <w:top w:val="nil"/>
              <w:left w:val="nil"/>
              <w:bottom w:val="single" w:sz="4" w:space="0" w:color="auto"/>
              <w:right w:val="single" w:sz="4" w:space="0" w:color="auto"/>
            </w:tcBorders>
            <w:shd w:val="clear" w:color="auto" w:fill="auto"/>
            <w:noWrap/>
            <w:vAlign w:val="bottom"/>
            <w:hideMark/>
          </w:tcPr>
          <w:p w14:paraId="32E4B64A" w14:textId="77777777" w:rsidR="00DD118A" w:rsidRPr="00DD118A" w:rsidRDefault="00DD118A" w:rsidP="00DD118A">
            <w:pPr>
              <w:rPr>
                <w:rFonts w:ascii="Arial" w:hAnsi="Arial" w:cs="Arial"/>
                <w:sz w:val="20"/>
                <w:szCs w:val="20"/>
              </w:rPr>
            </w:pPr>
            <w:r w:rsidRPr="00DD118A">
              <w:rPr>
                <w:rFonts w:ascii="Arial" w:hAnsi="Arial" w:cs="Arial"/>
                <w:sz w:val="20"/>
                <w:szCs w:val="20"/>
              </w:rPr>
              <w:t>Prihodi od upravnih i administrativnih pristojbi, pristojbi po posebnim propisima i naknada</w:t>
            </w:r>
          </w:p>
        </w:tc>
        <w:tc>
          <w:tcPr>
            <w:tcW w:w="1842" w:type="dxa"/>
            <w:tcBorders>
              <w:top w:val="nil"/>
              <w:left w:val="nil"/>
              <w:bottom w:val="single" w:sz="4" w:space="0" w:color="auto"/>
              <w:right w:val="single" w:sz="4" w:space="0" w:color="auto"/>
            </w:tcBorders>
            <w:shd w:val="clear" w:color="auto" w:fill="auto"/>
            <w:noWrap/>
            <w:vAlign w:val="bottom"/>
            <w:hideMark/>
          </w:tcPr>
          <w:p w14:paraId="0B31F2DA"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4.906.057,00</w:t>
            </w:r>
          </w:p>
        </w:tc>
        <w:tc>
          <w:tcPr>
            <w:tcW w:w="1701" w:type="dxa"/>
            <w:tcBorders>
              <w:top w:val="nil"/>
              <w:left w:val="nil"/>
              <w:bottom w:val="single" w:sz="4" w:space="0" w:color="auto"/>
              <w:right w:val="single" w:sz="4" w:space="0" w:color="auto"/>
            </w:tcBorders>
            <w:shd w:val="clear" w:color="auto" w:fill="auto"/>
            <w:noWrap/>
            <w:vAlign w:val="bottom"/>
            <w:hideMark/>
          </w:tcPr>
          <w:p w14:paraId="163E50FE"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-141.001,00</w:t>
            </w:r>
          </w:p>
        </w:tc>
        <w:tc>
          <w:tcPr>
            <w:tcW w:w="1418" w:type="dxa"/>
            <w:tcBorders>
              <w:top w:val="nil"/>
              <w:left w:val="nil"/>
              <w:bottom w:val="single" w:sz="4" w:space="0" w:color="auto"/>
              <w:right w:val="single" w:sz="4" w:space="0" w:color="auto"/>
            </w:tcBorders>
            <w:shd w:val="clear" w:color="auto" w:fill="auto"/>
            <w:noWrap/>
            <w:vAlign w:val="bottom"/>
            <w:hideMark/>
          </w:tcPr>
          <w:p w14:paraId="6FB5D1CC"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-2,87</w:t>
            </w:r>
          </w:p>
        </w:tc>
        <w:tc>
          <w:tcPr>
            <w:tcW w:w="1701" w:type="dxa"/>
            <w:tcBorders>
              <w:top w:val="nil"/>
              <w:left w:val="nil"/>
              <w:bottom w:val="single" w:sz="4" w:space="0" w:color="auto"/>
              <w:right w:val="single" w:sz="4" w:space="0" w:color="auto"/>
            </w:tcBorders>
            <w:shd w:val="clear" w:color="auto" w:fill="auto"/>
            <w:noWrap/>
            <w:vAlign w:val="bottom"/>
            <w:hideMark/>
          </w:tcPr>
          <w:p w14:paraId="2D3E81C9"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4.765.056,00</w:t>
            </w:r>
          </w:p>
        </w:tc>
      </w:tr>
      <w:tr w:rsidR="00DD118A" w:rsidRPr="00DD118A" w14:paraId="348DF511" w14:textId="77777777" w:rsidTr="00DD118A">
        <w:trPr>
          <w:trHeight w:val="266"/>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3A83914" w14:textId="77777777" w:rsidR="00DD118A" w:rsidRPr="00DD118A" w:rsidRDefault="00DD118A" w:rsidP="00DD118A">
            <w:pPr>
              <w:rPr>
                <w:rFonts w:ascii="Arial" w:hAnsi="Arial" w:cs="Arial"/>
                <w:sz w:val="20"/>
                <w:szCs w:val="20"/>
              </w:rPr>
            </w:pPr>
            <w:r w:rsidRPr="00DD118A">
              <w:rPr>
                <w:rFonts w:ascii="Arial" w:hAnsi="Arial" w:cs="Arial"/>
                <w:sz w:val="20"/>
                <w:szCs w:val="20"/>
              </w:rPr>
              <w:t>66</w:t>
            </w:r>
          </w:p>
        </w:tc>
        <w:tc>
          <w:tcPr>
            <w:tcW w:w="6297" w:type="dxa"/>
            <w:tcBorders>
              <w:top w:val="nil"/>
              <w:left w:val="nil"/>
              <w:bottom w:val="single" w:sz="4" w:space="0" w:color="auto"/>
              <w:right w:val="single" w:sz="4" w:space="0" w:color="auto"/>
            </w:tcBorders>
            <w:shd w:val="clear" w:color="auto" w:fill="auto"/>
            <w:noWrap/>
            <w:vAlign w:val="bottom"/>
            <w:hideMark/>
          </w:tcPr>
          <w:p w14:paraId="27A28EDB" w14:textId="77777777" w:rsidR="00DD118A" w:rsidRPr="00DD118A" w:rsidRDefault="00DD118A" w:rsidP="00DD118A">
            <w:pPr>
              <w:rPr>
                <w:rFonts w:ascii="Arial" w:hAnsi="Arial" w:cs="Arial"/>
                <w:sz w:val="20"/>
                <w:szCs w:val="20"/>
              </w:rPr>
            </w:pPr>
            <w:r w:rsidRPr="00DD118A">
              <w:rPr>
                <w:rFonts w:ascii="Arial" w:hAnsi="Arial" w:cs="Arial"/>
                <w:sz w:val="20"/>
                <w:szCs w:val="20"/>
              </w:rPr>
              <w:t>Prihodi od prodaje proizvoda i robe te pruženih usluga, prihodi od donacija te povrati po protestira</w:t>
            </w:r>
          </w:p>
        </w:tc>
        <w:tc>
          <w:tcPr>
            <w:tcW w:w="1842" w:type="dxa"/>
            <w:tcBorders>
              <w:top w:val="nil"/>
              <w:left w:val="nil"/>
              <w:bottom w:val="single" w:sz="4" w:space="0" w:color="auto"/>
              <w:right w:val="single" w:sz="4" w:space="0" w:color="auto"/>
            </w:tcBorders>
            <w:shd w:val="clear" w:color="auto" w:fill="auto"/>
            <w:noWrap/>
            <w:vAlign w:val="bottom"/>
            <w:hideMark/>
          </w:tcPr>
          <w:p w14:paraId="224F3230"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863.183,00</w:t>
            </w:r>
          </w:p>
        </w:tc>
        <w:tc>
          <w:tcPr>
            <w:tcW w:w="1701" w:type="dxa"/>
            <w:tcBorders>
              <w:top w:val="nil"/>
              <w:left w:val="nil"/>
              <w:bottom w:val="single" w:sz="4" w:space="0" w:color="auto"/>
              <w:right w:val="single" w:sz="4" w:space="0" w:color="auto"/>
            </w:tcBorders>
            <w:shd w:val="clear" w:color="auto" w:fill="auto"/>
            <w:noWrap/>
            <w:vAlign w:val="bottom"/>
            <w:hideMark/>
          </w:tcPr>
          <w:p w14:paraId="534531FB"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11.516,00</w:t>
            </w:r>
          </w:p>
        </w:tc>
        <w:tc>
          <w:tcPr>
            <w:tcW w:w="1418" w:type="dxa"/>
            <w:tcBorders>
              <w:top w:val="nil"/>
              <w:left w:val="nil"/>
              <w:bottom w:val="single" w:sz="4" w:space="0" w:color="auto"/>
              <w:right w:val="single" w:sz="4" w:space="0" w:color="auto"/>
            </w:tcBorders>
            <w:shd w:val="clear" w:color="auto" w:fill="auto"/>
            <w:noWrap/>
            <w:vAlign w:val="bottom"/>
            <w:hideMark/>
          </w:tcPr>
          <w:p w14:paraId="209B3C28"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1,33</w:t>
            </w:r>
          </w:p>
        </w:tc>
        <w:tc>
          <w:tcPr>
            <w:tcW w:w="1701" w:type="dxa"/>
            <w:tcBorders>
              <w:top w:val="nil"/>
              <w:left w:val="nil"/>
              <w:bottom w:val="single" w:sz="4" w:space="0" w:color="auto"/>
              <w:right w:val="single" w:sz="4" w:space="0" w:color="auto"/>
            </w:tcBorders>
            <w:shd w:val="clear" w:color="auto" w:fill="auto"/>
            <w:noWrap/>
            <w:vAlign w:val="bottom"/>
            <w:hideMark/>
          </w:tcPr>
          <w:p w14:paraId="7E5F996D"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874.699,00</w:t>
            </w:r>
          </w:p>
        </w:tc>
      </w:tr>
      <w:tr w:rsidR="00DD118A" w:rsidRPr="00DD118A" w14:paraId="5BED3DB0" w14:textId="77777777" w:rsidTr="00DD118A">
        <w:trPr>
          <w:trHeight w:val="266"/>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4FF5A6D" w14:textId="77777777" w:rsidR="00DD118A" w:rsidRPr="00DD118A" w:rsidRDefault="00DD118A" w:rsidP="00DD118A">
            <w:pPr>
              <w:rPr>
                <w:rFonts w:ascii="Arial" w:hAnsi="Arial" w:cs="Arial"/>
                <w:sz w:val="20"/>
                <w:szCs w:val="20"/>
              </w:rPr>
            </w:pPr>
            <w:r w:rsidRPr="00DD118A">
              <w:rPr>
                <w:rFonts w:ascii="Arial" w:hAnsi="Arial" w:cs="Arial"/>
                <w:sz w:val="20"/>
                <w:szCs w:val="20"/>
              </w:rPr>
              <w:t>68</w:t>
            </w:r>
          </w:p>
        </w:tc>
        <w:tc>
          <w:tcPr>
            <w:tcW w:w="6297" w:type="dxa"/>
            <w:tcBorders>
              <w:top w:val="nil"/>
              <w:left w:val="nil"/>
              <w:bottom w:val="single" w:sz="4" w:space="0" w:color="auto"/>
              <w:right w:val="single" w:sz="4" w:space="0" w:color="auto"/>
            </w:tcBorders>
            <w:shd w:val="clear" w:color="auto" w:fill="auto"/>
            <w:noWrap/>
            <w:vAlign w:val="bottom"/>
            <w:hideMark/>
          </w:tcPr>
          <w:p w14:paraId="133CEBDB" w14:textId="77777777" w:rsidR="00DD118A" w:rsidRPr="00DD118A" w:rsidRDefault="00DD118A" w:rsidP="00DD118A">
            <w:pPr>
              <w:rPr>
                <w:rFonts w:ascii="Arial" w:hAnsi="Arial" w:cs="Arial"/>
                <w:sz w:val="20"/>
                <w:szCs w:val="20"/>
              </w:rPr>
            </w:pPr>
            <w:r w:rsidRPr="00DD118A">
              <w:rPr>
                <w:rFonts w:ascii="Arial" w:hAnsi="Arial" w:cs="Arial"/>
                <w:sz w:val="20"/>
                <w:szCs w:val="20"/>
              </w:rPr>
              <w:t>Kazne, upravne mjere i ostali prihodi</w:t>
            </w:r>
          </w:p>
        </w:tc>
        <w:tc>
          <w:tcPr>
            <w:tcW w:w="1842" w:type="dxa"/>
            <w:tcBorders>
              <w:top w:val="nil"/>
              <w:left w:val="nil"/>
              <w:bottom w:val="single" w:sz="4" w:space="0" w:color="auto"/>
              <w:right w:val="single" w:sz="4" w:space="0" w:color="auto"/>
            </w:tcBorders>
            <w:shd w:val="clear" w:color="auto" w:fill="auto"/>
            <w:noWrap/>
            <w:vAlign w:val="bottom"/>
            <w:hideMark/>
          </w:tcPr>
          <w:p w14:paraId="2330E563"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38.585,00</w:t>
            </w:r>
          </w:p>
        </w:tc>
        <w:tc>
          <w:tcPr>
            <w:tcW w:w="1701" w:type="dxa"/>
            <w:tcBorders>
              <w:top w:val="nil"/>
              <w:left w:val="nil"/>
              <w:bottom w:val="single" w:sz="4" w:space="0" w:color="auto"/>
              <w:right w:val="single" w:sz="4" w:space="0" w:color="auto"/>
            </w:tcBorders>
            <w:shd w:val="clear" w:color="auto" w:fill="auto"/>
            <w:noWrap/>
            <w:vAlign w:val="bottom"/>
            <w:hideMark/>
          </w:tcPr>
          <w:p w14:paraId="25DCBC9E"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-6.000,00</w:t>
            </w:r>
          </w:p>
        </w:tc>
        <w:tc>
          <w:tcPr>
            <w:tcW w:w="1418" w:type="dxa"/>
            <w:tcBorders>
              <w:top w:val="nil"/>
              <w:left w:val="nil"/>
              <w:bottom w:val="single" w:sz="4" w:space="0" w:color="auto"/>
              <w:right w:val="single" w:sz="4" w:space="0" w:color="auto"/>
            </w:tcBorders>
            <w:shd w:val="clear" w:color="auto" w:fill="auto"/>
            <w:noWrap/>
            <w:vAlign w:val="bottom"/>
            <w:hideMark/>
          </w:tcPr>
          <w:p w14:paraId="203CAEF9"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-15,55</w:t>
            </w:r>
          </w:p>
        </w:tc>
        <w:tc>
          <w:tcPr>
            <w:tcW w:w="1701" w:type="dxa"/>
            <w:tcBorders>
              <w:top w:val="nil"/>
              <w:left w:val="nil"/>
              <w:bottom w:val="single" w:sz="4" w:space="0" w:color="auto"/>
              <w:right w:val="single" w:sz="4" w:space="0" w:color="auto"/>
            </w:tcBorders>
            <w:shd w:val="clear" w:color="auto" w:fill="auto"/>
            <w:noWrap/>
            <w:vAlign w:val="bottom"/>
            <w:hideMark/>
          </w:tcPr>
          <w:p w14:paraId="53115B6D"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32.585,00</w:t>
            </w:r>
          </w:p>
        </w:tc>
      </w:tr>
      <w:tr w:rsidR="00DD118A" w:rsidRPr="00DD118A" w14:paraId="540E1B5D" w14:textId="77777777" w:rsidTr="00DD118A">
        <w:trPr>
          <w:trHeight w:val="266"/>
        </w:trPr>
        <w:tc>
          <w:tcPr>
            <w:tcW w:w="928" w:type="dxa"/>
            <w:tcBorders>
              <w:top w:val="nil"/>
              <w:left w:val="single" w:sz="4" w:space="0" w:color="auto"/>
              <w:bottom w:val="single" w:sz="4" w:space="0" w:color="auto"/>
              <w:right w:val="single" w:sz="4" w:space="0" w:color="auto"/>
            </w:tcBorders>
            <w:shd w:val="clear" w:color="000000" w:fill="D9D9D9"/>
            <w:noWrap/>
            <w:vAlign w:val="bottom"/>
            <w:hideMark/>
          </w:tcPr>
          <w:p w14:paraId="376461A7" w14:textId="77777777" w:rsidR="00DD118A" w:rsidRPr="00DD118A" w:rsidRDefault="00DD118A" w:rsidP="00DD118A">
            <w:pPr>
              <w:rPr>
                <w:rFonts w:ascii="Arial" w:hAnsi="Arial" w:cs="Arial"/>
                <w:b/>
                <w:bCs/>
                <w:sz w:val="20"/>
                <w:szCs w:val="20"/>
              </w:rPr>
            </w:pPr>
            <w:r w:rsidRPr="00DD118A">
              <w:rPr>
                <w:rFonts w:ascii="Arial" w:hAnsi="Arial" w:cs="Arial"/>
                <w:b/>
                <w:bCs/>
                <w:sz w:val="20"/>
                <w:szCs w:val="20"/>
              </w:rPr>
              <w:t>7</w:t>
            </w:r>
          </w:p>
        </w:tc>
        <w:tc>
          <w:tcPr>
            <w:tcW w:w="6297" w:type="dxa"/>
            <w:tcBorders>
              <w:top w:val="nil"/>
              <w:left w:val="nil"/>
              <w:bottom w:val="single" w:sz="4" w:space="0" w:color="auto"/>
              <w:right w:val="single" w:sz="4" w:space="0" w:color="auto"/>
            </w:tcBorders>
            <w:shd w:val="clear" w:color="000000" w:fill="D9D9D9"/>
            <w:noWrap/>
            <w:vAlign w:val="bottom"/>
            <w:hideMark/>
          </w:tcPr>
          <w:p w14:paraId="21031FE8" w14:textId="77777777" w:rsidR="00DD118A" w:rsidRPr="00DD118A" w:rsidRDefault="00DD118A" w:rsidP="00DD118A">
            <w:pPr>
              <w:rPr>
                <w:rFonts w:ascii="Arial" w:hAnsi="Arial" w:cs="Arial"/>
                <w:b/>
                <w:bCs/>
                <w:sz w:val="20"/>
                <w:szCs w:val="20"/>
              </w:rPr>
            </w:pPr>
            <w:r w:rsidRPr="00DD118A">
              <w:rPr>
                <w:rFonts w:ascii="Arial" w:hAnsi="Arial" w:cs="Arial"/>
                <w:b/>
                <w:bCs/>
                <w:sz w:val="20"/>
                <w:szCs w:val="20"/>
              </w:rPr>
              <w:t>Prihodi od prodaje nefinancijske imovine</w:t>
            </w:r>
          </w:p>
        </w:tc>
        <w:tc>
          <w:tcPr>
            <w:tcW w:w="1842" w:type="dxa"/>
            <w:tcBorders>
              <w:top w:val="nil"/>
              <w:left w:val="nil"/>
              <w:bottom w:val="single" w:sz="4" w:space="0" w:color="auto"/>
              <w:right w:val="single" w:sz="4" w:space="0" w:color="auto"/>
            </w:tcBorders>
            <w:shd w:val="clear" w:color="000000" w:fill="D9D9D9"/>
            <w:noWrap/>
            <w:vAlign w:val="bottom"/>
            <w:hideMark/>
          </w:tcPr>
          <w:p w14:paraId="0FEBD1C3"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2.239.910,00</w:t>
            </w:r>
          </w:p>
        </w:tc>
        <w:tc>
          <w:tcPr>
            <w:tcW w:w="1701" w:type="dxa"/>
            <w:tcBorders>
              <w:top w:val="nil"/>
              <w:left w:val="nil"/>
              <w:bottom w:val="single" w:sz="4" w:space="0" w:color="auto"/>
              <w:right w:val="single" w:sz="4" w:space="0" w:color="auto"/>
            </w:tcBorders>
            <w:shd w:val="clear" w:color="000000" w:fill="D9D9D9"/>
            <w:noWrap/>
            <w:vAlign w:val="bottom"/>
            <w:hideMark/>
          </w:tcPr>
          <w:p w14:paraId="64DAEE72"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-731.120,00</w:t>
            </w:r>
          </w:p>
        </w:tc>
        <w:tc>
          <w:tcPr>
            <w:tcW w:w="1418" w:type="dxa"/>
            <w:tcBorders>
              <w:top w:val="nil"/>
              <w:left w:val="nil"/>
              <w:bottom w:val="single" w:sz="4" w:space="0" w:color="auto"/>
              <w:right w:val="single" w:sz="4" w:space="0" w:color="auto"/>
            </w:tcBorders>
            <w:shd w:val="clear" w:color="000000" w:fill="D9D9D9"/>
            <w:noWrap/>
            <w:vAlign w:val="bottom"/>
            <w:hideMark/>
          </w:tcPr>
          <w:p w14:paraId="3DFA65A1"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-32,64</w:t>
            </w:r>
          </w:p>
        </w:tc>
        <w:tc>
          <w:tcPr>
            <w:tcW w:w="1701" w:type="dxa"/>
            <w:tcBorders>
              <w:top w:val="nil"/>
              <w:left w:val="nil"/>
              <w:bottom w:val="single" w:sz="4" w:space="0" w:color="auto"/>
              <w:right w:val="single" w:sz="4" w:space="0" w:color="auto"/>
            </w:tcBorders>
            <w:shd w:val="clear" w:color="000000" w:fill="D9D9D9"/>
            <w:noWrap/>
            <w:vAlign w:val="bottom"/>
            <w:hideMark/>
          </w:tcPr>
          <w:p w14:paraId="4A199FA3"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1.508.790,00</w:t>
            </w:r>
          </w:p>
        </w:tc>
      </w:tr>
      <w:tr w:rsidR="00DD118A" w:rsidRPr="00DD118A" w14:paraId="17A86BBD" w14:textId="77777777" w:rsidTr="00DD118A">
        <w:trPr>
          <w:trHeight w:val="266"/>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C3C8EE2" w14:textId="77777777" w:rsidR="00DD118A" w:rsidRPr="00DD118A" w:rsidRDefault="00DD118A" w:rsidP="00DD118A">
            <w:pPr>
              <w:rPr>
                <w:rFonts w:ascii="Arial" w:hAnsi="Arial" w:cs="Arial"/>
                <w:sz w:val="20"/>
                <w:szCs w:val="20"/>
              </w:rPr>
            </w:pPr>
            <w:r w:rsidRPr="00DD118A">
              <w:rPr>
                <w:rFonts w:ascii="Arial" w:hAnsi="Arial" w:cs="Arial"/>
                <w:sz w:val="20"/>
                <w:szCs w:val="20"/>
              </w:rPr>
              <w:t>71</w:t>
            </w:r>
          </w:p>
        </w:tc>
        <w:tc>
          <w:tcPr>
            <w:tcW w:w="6297" w:type="dxa"/>
            <w:tcBorders>
              <w:top w:val="nil"/>
              <w:left w:val="nil"/>
              <w:bottom w:val="single" w:sz="4" w:space="0" w:color="auto"/>
              <w:right w:val="single" w:sz="4" w:space="0" w:color="auto"/>
            </w:tcBorders>
            <w:shd w:val="clear" w:color="auto" w:fill="auto"/>
            <w:noWrap/>
            <w:vAlign w:val="bottom"/>
            <w:hideMark/>
          </w:tcPr>
          <w:p w14:paraId="7A42549B" w14:textId="77777777" w:rsidR="00DD118A" w:rsidRPr="00DD118A" w:rsidRDefault="00DD118A" w:rsidP="00DD118A">
            <w:pPr>
              <w:rPr>
                <w:rFonts w:ascii="Arial" w:hAnsi="Arial" w:cs="Arial"/>
                <w:sz w:val="20"/>
                <w:szCs w:val="20"/>
              </w:rPr>
            </w:pPr>
            <w:r w:rsidRPr="00DD118A">
              <w:rPr>
                <w:rFonts w:ascii="Arial" w:hAnsi="Arial" w:cs="Arial"/>
                <w:sz w:val="20"/>
                <w:szCs w:val="20"/>
              </w:rPr>
              <w:t xml:space="preserve">Prihodi od prodaje </w:t>
            </w:r>
            <w:proofErr w:type="spellStart"/>
            <w:r w:rsidRPr="00DD118A">
              <w:rPr>
                <w:rFonts w:ascii="Arial" w:hAnsi="Arial" w:cs="Arial"/>
                <w:sz w:val="20"/>
                <w:szCs w:val="20"/>
              </w:rPr>
              <w:t>neproizvedene</w:t>
            </w:r>
            <w:proofErr w:type="spellEnd"/>
            <w:r w:rsidRPr="00DD118A">
              <w:rPr>
                <w:rFonts w:ascii="Arial" w:hAnsi="Arial" w:cs="Arial"/>
                <w:sz w:val="20"/>
                <w:szCs w:val="20"/>
              </w:rPr>
              <w:t xml:space="preserve"> dugotrajne imovine</w:t>
            </w:r>
          </w:p>
        </w:tc>
        <w:tc>
          <w:tcPr>
            <w:tcW w:w="1842" w:type="dxa"/>
            <w:tcBorders>
              <w:top w:val="nil"/>
              <w:left w:val="nil"/>
              <w:bottom w:val="single" w:sz="4" w:space="0" w:color="auto"/>
              <w:right w:val="single" w:sz="4" w:space="0" w:color="auto"/>
            </w:tcBorders>
            <w:shd w:val="clear" w:color="auto" w:fill="auto"/>
            <w:noWrap/>
            <w:vAlign w:val="bottom"/>
            <w:hideMark/>
          </w:tcPr>
          <w:p w14:paraId="5DB4BCB6"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2.000.610,00</w:t>
            </w:r>
          </w:p>
        </w:tc>
        <w:tc>
          <w:tcPr>
            <w:tcW w:w="1701" w:type="dxa"/>
            <w:tcBorders>
              <w:top w:val="nil"/>
              <w:left w:val="nil"/>
              <w:bottom w:val="single" w:sz="4" w:space="0" w:color="auto"/>
              <w:right w:val="single" w:sz="4" w:space="0" w:color="auto"/>
            </w:tcBorders>
            <w:shd w:val="clear" w:color="auto" w:fill="auto"/>
            <w:noWrap/>
            <w:vAlign w:val="bottom"/>
            <w:hideMark/>
          </w:tcPr>
          <w:p w14:paraId="79B87C70"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-733.120,00</w:t>
            </w:r>
          </w:p>
        </w:tc>
        <w:tc>
          <w:tcPr>
            <w:tcW w:w="1418" w:type="dxa"/>
            <w:tcBorders>
              <w:top w:val="nil"/>
              <w:left w:val="nil"/>
              <w:bottom w:val="single" w:sz="4" w:space="0" w:color="auto"/>
              <w:right w:val="single" w:sz="4" w:space="0" w:color="auto"/>
            </w:tcBorders>
            <w:shd w:val="clear" w:color="auto" w:fill="auto"/>
            <w:noWrap/>
            <w:vAlign w:val="bottom"/>
            <w:hideMark/>
          </w:tcPr>
          <w:p w14:paraId="358ACB3A"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-36,64</w:t>
            </w:r>
          </w:p>
        </w:tc>
        <w:tc>
          <w:tcPr>
            <w:tcW w:w="1701" w:type="dxa"/>
            <w:tcBorders>
              <w:top w:val="nil"/>
              <w:left w:val="nil"/>
              <w:bottom w:val="single" w:sz="4" w:space="0" w:color="auto"/>
              <w:right w:val="single" w:sz="4" w:space="0" w:color="auto"/>
            </w:tcBorders>
            <w:shd w:val="clear" w:color="auto" w:fill="auto"/>
            <w:noWrap/>
            <w:vAlign w:val="bottom"/>
            <w:hideMark/>
          </w:tcPr>
          <w:p w14:paraId="28A33156"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1.267.490,00</w:t>
            </w:r>
          </w:p>
        </w:tc>
      </w:tr>
      <w:tr w:rsidR="00DD118A" w:rsidRPr="00DD118A" w14:paraId="75136A45" w14:textId="77777777" w:rsidTr="00DD118A">
        <w:trPr>
          <w:trHeight w:val="266"/>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339EDAE" w14:textId="77777777" w:rsidR="00DD118A" w:rsidRPr="00DD118A" w:rsidRDefault="00DD118A" w:rsidP="00DD118A">
            <w:pPr>
              <w:rPr>
                <w:rFonts w:ascii="Arial" w:hAnsi="Arial" w:cs="Arial"/>
                <w:sz w:val="20"/>
                <w:szCs w:val="20"/>
              </w:rPr>
            </w:pPr>
            <w:r w:rsidRPr="00DD118A">
              <w:rPr>
                <w:rFonts w:ascii="Arial" w:hAnsi="Arial" w:cs="Arial"/>
                <w:sz w:val="20"/>
                <w:szCs w:val="20"/>
              </w:rPr>
              <w:t>72</w:t>
            </w:r>
          </w:p>
        </w:tc>
        <w:tc>
          <w:tcPr>
            <w:tcW w:w="6297" w:type="dxa"/>
            <w:tcBorders>
              <w:top w:val="nil"/>
              <w:left w:val="nil"/>
              <w:bottom w:val="single" w:sz="4" w:space="0" w:color="auto"/>
              <w:right w:val="single" w:sz="4" w:space="0" w:color="auto"/>
            </w:tcBorders>
            <w:shd w:val="clear" w:color="auto" w:fill="auto"/>
            <w:noWrap/>
            <w:vAlign w:val="bottom"/>
            <w:hideMark/>
          </w:tcPr>
          <w:p w14:paraId="505FF2A5" w14:textId="77777777" w:rsidR="00DD118A" w:rsidRPr="00DD118A" w:rsidRDefault="00DD118A" w:rsidP="00DD118A">
            <w:pPr>
              <w:rPr>
                <w:rFonts w:ascii="Arial" w:hAnsi="Arial" w:cs="Arial"/>
                <w:sz w:val="20"/>
                <w:szCs w:val="20"/>
              </w:rPr>
            </w:pPr>
            <w:r w:rsidRPr="00DD118A">
              <w:rPr>
                <w:rFonts w:ascii="Arial" w:hAnsi="Arial" w:cs="Arial"/>
                <w:sz w:val="20"/>
                <w:szCs w:val="20"/>
              </w:rPr>
              <w:t>Prihodi od prodaje proizvedene dugotrajne imovine</w:t>
            </w:r>
          </w:p>
        </w:tc>
        <w:tc>
          <w:tcPr>
            <w:tcW w:w="1842" w:type="dxa"/>
            <w:tcBorders>
              <w:top w:val="nil"/>
              <w:left w:val="nil"/>
              <w:bottom w:val="single" w:sz="4" w:space="0" w:color="auto"/>
              <w:right w:val="single" w:sz="4" w:space="0" w:color="auto"/>
            </w:tcBorders>
            <w:shd w:val="clear" w:color="auto" w:fill="auto"/>
            <w:noWrap/>
            <w:vAlign w:val="bottom"/>
            <w:hideMark/>
          </w:tcPr>
          <w:p w14:paraId="0BEC73E5"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239.300,00</w:t>
            </w:r>
          </w:p>
        </w:tc>
        <w:tc>
          <w:tcPr>
            <w:tcW w:w="1701" w:type="dxa"/>
            <w:tcBorders>
              <w:top w:val="nil"/>
              <w:left w:val="nil"/>
              <w:bottom w:val="single" w:sz="4" w:space="0" w:color="auto"/>
              <w:right w:val="single" w:sz="4" w:space="0" w:color="auto"/>
            </w:tcBorders>
            <w:shd w:val="clear" w:color="auto" w:fill="auto"/>
            <w:noWrap/>
            <w:vAlign w:val="bottom"/>
            <w:hideMark/>
          </w:tcPr>
          <w:p w14:paraId="0926C467"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2.000,00</w:t>
            </w:r>
          </w:p>
        </w:tc>
        <w:tc>
          <w:tcPr>
            <w:tcW w:w="1418" w:type="dxa"/>
            <w:tcBorders>
              <w:top w:val="nil"/>
              <w:left w:val="nil"/>
              <w:bottom w:val="single" w:sz="4" w:space="0" w:color="auto"/>
              <w:right w:val="single" w:sz="4" w:space="0" w:color="auto"/>
            </w:tcBorders>
            <w:shd w:val="clear" w:color="auto" w:fill="auto"/>
            <w:noWrap/>
            <w:vAlign w:val="bottom"/>
            <w:hideMark/>
          </w:tcPr>
          <w:p w14:paraId="2F495D57"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0,84</w:t>
            </w:r>
          </w:p>
        </w:tc>
        <w:tc>
          <w:tcPr>
            <w:tcW w:w="1701" w:type="dxa"/>
            <w:tcBorders>
              <w:top w:val="nil"/>
              <w:left w:val="nil"/>
              <w:bottom w:val="single" w:sz="4" w:space="0" w:color="auto"/>
              <w:right w:val="single" w:sz="4" w:space="0" w:color="auto"/>
            </w:tcBorders>
            <w:shd w:val="clear" w:color="auto" w:fill="auto"/>
            <w:noWrap/>
            <w:vAlign w:val="bottom"/>
            <w:hideMark/>
          </w:tcPr>
          <w:p w14:paraId="2C8E95BE"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241.300,00</w:t>
            </w:r>
          </w:p>
        </w:tc>
      </w:tr>
      <w:tr w:rsidR="00DD118A" w:rsidRPr="00DD118A" w14:paraId="51BFF131" w14:textId="77777777" w:rsidTr="00DD118A">
        <w:trPr>
          <w:trHeight w:val="266"/>
        </w:trPr>
        <w:tc>
          <w:tcPr>
            <w:tcW w:w="928" w:type="dxa"/>
            <w:tcBorders>
              <w:top w:val="nil"/>
              <w:left w:val="single" w:sz="4" w:space="0" w:color="auto"/>
              <w:bottom w:val="single" w:sz="4" w:space="0" w:color="auto"/>
              <w:right w:val="single" w:sz="4" w:space="0" w:color="auto"/>
            </w:tcBorders>
            <w:shd w:val="clear" w:color="000000" w:fill="A6A6A6"/>
            <w:noWrap/>
            <w:vAlign w:val="bottom"/>
            <w:hideMark/>
          </w:tcPr>
          <w:p w14:paraId="04E0C784" w14:textId="77777777" w:rsidR="00DD118A" w:rsidRPr="00DD118A" w:rsidRDefault="00DD118A" w:rsidP="00DD118A">
            <w:pPr>
              <w:rPr>
                <w:rFonts w:ascii="Arial" w:hAnsi="Arial" w:cs="Arial"/>
                <w:b/>
                <w:bCs/>
                <w:sz w:val="20"/>
                <w:szCs w:val="20"/>
              </w:rPr>
            </w:pPr>
            <w:r w:rsidRPr="00DD118A">
              <w:rPr>
                <w:rFonts w:ascii="Arial" w:hAnsi="Arial" w:cs="Arial"/>
                <w:b/>
                <w:bCs/>
                <w:sz w:val="20"/>
                <w:szCs w:val="20"/>
              </w:rPr>
              <w:t> </w:t>
            </w:r>
          </w:p>
        </w:tc>
        <w:tc>
          <w:tcPr>
            <w:tcW w:w="6297" w:type="dxa"/>
            <w:tcBorders>
              <w:top w:val="nil"/>
              <w:left w:val="nil"/>
              <w:bottom w:val="single" w:sz="4" w:space="0" w:color="auto"/>
              <w:right w:val="single" w:sz="4" w:space="0" w:color="auto"/>
            </w:tcBorders>
            <w:shd w:val="clear" w:color="000000" w:fill="A6A6A6"/>
            <w:noWrap/>
            <w:vAlign w:val="bottom"/>
            <w:hideMark/>
          </w:tcPr>
          <w:p w14:paraId="3E52BC8A" w14:textId="77777777" w:rsidR="00DD118A" w:rsidRPr="00DD118A" w:rsidRDefault="00DD118A" w:rsidP="00DD118A">
            <w:pPr>
              <w:rPr>
                <w:rFonts w:ascii="Arial" w:hAnsi="Arial" w:cs="Arial"/>
                <w:b/>
                <w:bCs/>
                <w:sz w:val="20"/>
                <w:szCs w:val="20"/>
              </w:rPr>
            </w:pPr>
            <w:r w:rsidRPr="00DD118A">
              <w:rPr>
                <w:rFonts w:ascii="Arial" w:hAnsi="Arial" w:cs="Arial"/>
                <w:b/>
                <w:bCs/>
                <w:sz w:val="20"/>
                <w:szCs w:val="20"/>
              </w:rPr>
              <w:t xml:space="preserve">  SVEUKUPNO RASHODI / IZDACI</w:t>
            </w:r>
          </w:p>
        </w:tc>
        <w:tc>
          <w:tcPr>
            <w:tcW w:w="1842" w:type="dxa"/>
            <w:tcBorders>
              <w:top w:val="nil"/>
              <w:left w:val="nil"/>
              <w:bottom w:val="single" w:sz="4" w:space="0" w:color="auto"/>
              <w:right w:val="single" w:sz="4" w:space="0" w:color="auto"/>
            </w:tcBorders>
            <w:shd w:val="clear" w:color="000000" w:fill="A6A6A6"/>
            <w:noWrap/>
            <w:vAlign w:val="bottom"/>
            <w:hideMark/>
          </w:tcPr>
          <w:p w14:paraId="0717CCB5"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26.786.560,00</w:t>
            </w:r>
          </w:p>
        </w:tc>
        <w:tc>
          <w:tcPr>
            <w:tcW w:w="1701" w:type="dxa"/>
            <w:tcBorders>
              <w:top w:val="nil"/>
              <w:left w:val="nil"/>
              <w:bottom w:val="single" w:sz="4" w:space="0" w:color="auto"/>
              <w:right w:val="single" w:sz="4" w:space="0" w:color="auto"/>
            </w:tcBorders>
            <w:shd w:val="clear" w:color="000000" w:fill="A6A6A6"/>
            <w:noWrap/>
            <w:vAlign w:val="bottom"/>
            <w:hideMark/>
          </w:tcPr>
          <w:p w14:paraId="3714F5AD"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933.295,00</w:t>
            </w:r>
          </w:p>
        </w:tc>
        <w:tc>
          <w:tcPr>
            <w:tcW w:w="1418" w:type="dxa"/>
            <w:tcBorders>
              <w:top w:val="nil"/>
              <w:left w:val="nil"/>
              <w:bottom w:val="single" w:sz="4" w:space="0" w:color="auto"/>
              <w:right w:val="single" w:sz="4" w:space="0" w:color="auto"/>
            </w:tcBorders>
            <w:shd w:val="clear" w:color="000000" w:fill="A6A6A6"/>
            <w:noWrap/>
            <w:vAlign w:val="bottom"/>
            <w:hideMark/>
          </w:tcPr>
          <w:p w14:paraId="3A21B0FC"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3,48</w:t>
            </w:r>
          </w:p>
        </w:tc>
        <w:tc>
          <w:tcPr>
            <w:tcW w:w="1701" w:type="dxa"/>
            <w:tcBorders>
              <w:top w:val="nil"/>
              <w:left w:val="nil"/>
              <w:bottom w:val="single" w:sz="4" w:space="0" w:color="auto"/>
              <w:right w:val="single" w:sz="4" w:space="0" w:color="auto"/>
            </w:tcBorders>
            <w:shd w:val="clear" w:color="000000" w:fill="A6A6A6"/>
            <w:noWrap/>
            <w:vAlign w:val="bottom"/>
            <w:hideMark/>
          </w:tcPr>
          <w:p w14:paraId="398F83CC"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27.719.855,00</w:t>
            </w:r>
          </w:p>
        </w:tc>
      </w:tr>
      <w:tr w:rsidR="00DD118A" w:rsidRPr="00DD118A" w14:paraId="36965191" w14:textId="77777777" w:rsidTr="00DD118A">
        <w:trPr>
          <w:trHeight w:val="266"/>
        </w:trPr>
        <w:tc>
          <w:tcPr>
            <w:tcW w:w="928" w:type="dxa"/>
            <w:tcBorders>
              <w:top w:val="nil"/>
              <w:left w:val="single" w:sz="4" w:space="0" w:color="auto"/>
              <w:bottom w:val="single" w:sz="4" w:space="0" w:color="auto"/>
              <w:right w:val="single" w:sz="4" w:space="0" w:color="auto"/>
            </w:tcBorders>
            <w:shd w:val="clear" w:color="000000" w:fill="D9D9D9"/>
            <w:noWrap/>
            <w:vAlign w:val="bottom"/>
            <w:hideMark/>
          </w:tcPr>
          <w:p w14:paraId="4B94B499" w14:textId="77777777" w:rsidR="00DD118A" w:rsidRPr="00DD118A" w:rsidRDefault="00DD118A" w:rsidP="00DD118A">
            <w:pPr>
              <w:rPr>
                <w:rFonts w:ascii="Arial" w:hAnsi="Arial" w:cs="Arial"/>
                <w:b/>
                <w:bCs/>
                <w:sz w:val="20"/>
                <w:szCs w:val="20"/>
              </w:rPr>
            </w:pPr>
            <w:r w:rsidRPr="00DD118A">
              <w:rPr>
                <w:rFonts w:ascii="Arial" w:hAnsi="Arial" w:cs="Arial"/>
                <w:b/>
                <w:bCs/>
                <w:sz w:val="20"/>
                <w:szCs w:val="20"/>
              </w:rPr>
              <w:t>3</w:t>
            </w:r>
          </w:p>
        </w:tc>
        <w:tc>
          <w:tcPr>
            <w:tcW w:w="6297" w:type="dxa"/>
            <w:tcBorders>
              <w:top w:val="nil"/>
              <w:left w:val="nil"/>
              <w:bottom w:val="single" w:sz="4" w:space="0" w:color="auto"/>
              <w:right w:val="single" w:sz="4" w:space="0" w:color="auto"/>
            </w:tcBorders>
            <w:shd w:val="clear" w:color="000000" w:fill="D9D9D9"/>
            <w:noWrap/>
            <w:vAlign w:val="bottom"/>
            <w:hideMark/>
          </w:tcPr>
          <w:p w14:paraId="22E13C95" w14:textId="77777777" w:rsidR="00DD118A" w:rsidRPr="00DD118A" w:rsidRDefault="00DD118A" w:rsidP="00DD118A">
            <w:pPr>
              <w:rPr>
                <w:rFonts w:ascii="Arial" w:hAnsi="Arial" w:cs="Arial"/>
                <w:b/>
                <w:bCs/>
                <w:sz w:val="20"/>
                <w:szCs w:val="20"/>
              </w:rPr>
            </w:pPr>
            <w:r w:rsidRPr="00DD118A">
              <w:rPr>
                <w:rFonts w:ascii="Arial" w:hAnsi="Arial" w:cs="Arial"/>
                <w:b/>
                <w:bCs/>
                <w:sz w:val="20"/>
                <w:szCs w:val="20"/>
              </w:rPr>
              <w:t>Rashodi poslovanja</w:t>
            </w:r>
          </w:p>
        </w:tc>
        <w:tc>
          <w:tcPr>
            <w:tcW w:w="1842" w:type="dxa"/>
            <w:tcBorders>
              <w:top w:val="nil"/>
              <w:left w:val="nil"/>
              <w:bottom w:val="single" w:sz="4" w:space="0" w:color="auto"/>
              <w:right w:val="single" w:sz="4" w:space="0" w:color="auto"/>
            </w:tcBorders>
            <w:shd w:val="clear" w:color="000000" w:fill="D9D9D9"/>
            <w:noWrap/>
            <w:vAlign w:val="bottom"/>
            <w:hideMark/>
          </w:tcPr>
          <w:p w14:paraId="35DDE24B"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21.688.842,00</w:t>
            </w:r>
          </w:p>
        </w:tc>
        <w:tc>
          <w:tcPr>
            <w:tcW w:w="1701" w:type="dxa"/>
            <w:tcBorders>
              <w:top w:val="nil"/>
              <w:left w:val="nil"/>
              <w:bottom w:val="single" w:sz="4" w:space="0" w:color="auto"/>
              <w:right w:val="single" w:sz="4" w:space="0" w:color="auto"/>
            </w:tcBorders>
            <w:shd w:val="clear" w:color="000000" w:fill="D9D9D9"/>
            <w:noWrap/>
            <w:vAlign w:val="bottom"/>
            <w:hideMark/>
          </w:tcPr>
          <w:p w14:paraId="1C3F19A3"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1.212.466,00</w:t>
            </w:r>
          </w:p>
        </w:tc>
        <w:tc>
          <w:tcPr>
            <w:tcW w:w="1418" w:type="dxa"/>
            <w:tcBorders>
              <w:top w:val="nil"/>
              <w:left w:val="nil"/>
              <w:bottom w:val="single" w:sz="4" w:space="0" w:color="auto"/>
              <w:right w:val="single" w:sz="4" w:space="0" w:color="auto"/>
            </w:tcBorders>
            <w:shd w:val="clear" w:color="000000" w:fill="D9D9D9"/>
            <w:noWrap/>
            <w:vAlign w:val="bottom"/>
            <w:hideMark/>
          </w:tcPr>
          <w:p w14:paraId="3BC73325"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5,59</w:t>
            </w:r>
          </w:p>
        </w:tc>
        <w:tc>
          <w:tcPr>
            <w:tcW w:w="1701" w:type="dxa"/>
            <w:tcBorders>
              <w:top w:val="nil"/>
              <w:left w:val="nil"/>
              <w:bottom w:val="single" w:sz="4" w:space="0" w:color="auto"/>
              <w:right w:val="single" w:sz="4" w:space="0" w:color="auto"/>
            </w:tcBorders>
            <w:shd w:val="clear" w:color="000000" w:fill="D9D9D9"/>
            <w:noWrap/>
            <w:vAlign w:val="bottom"/>
            <w:hideMark/>
          </w:tcPr>
          <w:p w14:paraId="6401DD5E"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22.901.308,00</w:t>
            </w:r>
          </w:p>
        </w:tc>
      </w:tr>
      <w:tr w:rsidR="00DD118A" w:rsidRPr="00DD118A" w14:paraId="5F743BC1" w14:textId="77777777" w:rsidTr="00DD118A">
        <w:trPr>
          <w:trHeight w:val="266"/>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FC3E92A" w14:textId="77777777" w:rsidR="00DD118A" w:rsidRPr="00DD118A" w:rsidRDefault="00DD118A" w:rsidP="00DD118A">
            <w:pPr>
              <w:rPr>
                <w:rFonts w:ascii="Arial" w:hAnsi="Arial" w:cs="Arial"/>
                <w:sz w:val="20"/>
                <w:szCs w:val="20"/>
              </w:rPr>
            </w:pPr>
            <w:r w:rsidRPr="00DD118A">
              <w:rPr>
                <w:rFonts w:ascii="Arial" w:hAnsi="Arial" w:cs="Arial"/>
                <w:sz w:val="20"/>
                <w:szCs w:val="20"/>
              </w:rPr>
              <w:t>31</w:t>
            </w:r>
          </w:p>
        </w:tc>
        <w:tc>
          <w:tcPr>
            <w:tcW w:w="6297" w:type="dxa"/>
            <w:tcBorders>
              <w:top w:val="nil"/>
              <w:left w:val="nil"/>
              <w:bottom w:val="single" w:sz="4" w:space="0" w:color="auto"/>
              <w:right w:val="single" w:sz="4" w:space="0" w:color="auto"/>
            </w:tcBorders>
            <w:shd w:val="clear" w:color="auto" w:fill="auto"/>
            <w:noWrap/>
            <w:vAlign w:val="bottom"/>
            <w:hideMark/>
          </w:tcPr>
          <w:p w14:paraId="59D4C0A8" w14:textId="77777777" w:rsidR="00DD118A" w:rsidRPr="00DD118A" w:rsidRDefault="00DD118A" w:rsidP="00DD118A">
            <w:pPr>
              <w:rPr>
                <w:rFonts w:ascii="Arial" w:hAnsi="Arial" w:cs="Arial"/>
                <w:sz w:val="20"/>
                <w:szCs w:val="20"/>
              </w:rPr>
            </w:pPr>
            <w:r w:rsidRPr="00DD118A">
              <w:rPr>
                <w:rFonts w:ascii="Arial" w:hAnsi="Arial" w:cs="Arial"/>
                <w:sz w:val="20"/>
                <w:szCs w:val="20"/>
              </w:rPr>
              <w:t>Rashodi za zaposlene</w:t>
            </w:r>
          </w:p>
        </w:tc>
        <w:tc>
          <w:tcPr>
            <w:tcW w:w="1842" w:type="dxa"/>
            <w:tcBorders>
              <w:top w:val="nil"/>
              <w:left w:val="nil"/>
              <w:bottom w:val="single" w:sz="4" w:space="0" w:color="auto"/>
              <w:right w:val="single" w:sz="4" w:space="0" w:color="auto"/>
            </w:tcBorders>
            <w:shd w:val="clear" w:color="auto" w:fill="auto"/>
            <w:noWrap/>
            <w:vAlign w:val="bottom"/>
            <w:hideMark/>
          </w:tcPr>
          <w:p w14:paraId="51EFC30C"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13.076.482,00</w:t>
            </w:r>
          </w:p>
        </w:tc>
        <w:tc>
          <w:tcPr>
            <w:tcW w:w="1701" w:type="dxa"/>
            <w:tcBorders>
              <w:top w:val="nil"/>
              <w:left w:val="nil"/>
              <w:bottom w:val="single" w:sz="4" w:space="0" w:color="auto"/>
              <w:right w:val="single" w:sz="4" w:space="0" w:color="auto"/>
            </w:tcBorders>
            <w:shd w:val="clear" w:color="auto" w:fill="auto"/>
            <w:noWrap/>
            <w:vAlign w:val="bottom"/>
            <w:hideMark/>
          </w:tcPr>
          <w:p w14:paraId="761A9147"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472.949,00</w:t>
            </w:r>
          </w:p>
        </w:tc>
        <w:tc>
          <w:tcPr>
            <w:tcW w:w="1418" w:type="dxa"/>
            <w:tcBorders>
              <w:top w:val="nil"/>
              <w:left w:val="nil"/>
              <w:bottom w:val="single" w:sz="4" w:space="0" w:color="auto"/>
              <w:right w:val="single" w:sz="4" w:space="0" w:color="auto"/>
            </w:tcBorders>
            <w:shd w:val="clear" w:color="auto" w:fill="auto"/>
            <w:noWrap/>
            <w:vAlign w:val="bottom"/>
            <w:hideMark/>
          </w:tcPr>
          <w:p w14:paraId="74443C89"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3,62</w:t>
            </w:r>
          </w:p>
        </w:tc>
        <w:tc>
          <w:tcPr>
            <w:tcW w:w="1701" w:type="dxa"/>
            <w:tcBorders>
              <w:top w:val="nil"/>
              <w:left w:val="nil"/>
              <w:bottom w:val="single" w:sz="4" w:space="0" w:color="auto"/>
              <w:right w:val="single" w:sz="4" w:space="0" w:color="auto"/>
            </w:tcBorders>
            <w:shd w:val="clear" w:color="auto" w:fill="auto"/>
            <w:noWrap/>
            <w:vAlign w:val="bottom"/>
            <w:hideMark/>
          </w:tcPr>
          <w:p w14:paraId="78D35BC3"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13.549.431,00</w:t>
            </w:r>
          </w:p>
        </w:tc>
      </w:tr>
      <w:tr w:rsidR="00DD118A" w:rsidRPr="00DD118A" w14:paraId="418BC447" w14:textId="77777777" w:rsidTr="00DD118A">
        <w:trPr>
          <w:trHeight w:val="266"/>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92534F5" w14:textId="77777777" w:rsidR="00DD118A" w:rsidRPr="00DD118A" w:rsidRDefault="00DD118A" w:rsidP="00DD118A">
            <w:pPr>
              <w:rPr>
                <w:rFonts w:ascii="Arial" w:hAnsi="Arial" w:cs="Arial"/>
                <w:sz w:val="20"/>
                <w:szCs w:val="20"/>
              </w:rPr>
            </w:pPr>
            <w:r w:rsidRPr="00DD118A">
              <w:rPr>
                <w:rFonts w:ascii="Arial" w:hAnsi="Arial" w:cs="Arial"/>
                <w:sz w:val="20"/>
                <w:szCs w:val="20"/>
              </w:rPr>
              <w:t>32</w:t>
            </w:r>
          </w:p>
        </w:tc>
        <w:tc>
          <w:tcPr>
            <w:tcW w:w="6297" w:type="dxa"/>
            <w:tcBorders>
              <w:top w:val="nil"/>
              <w:left w:val="nil"/>
              <w:bottom w:val="single" w:sz="4" w:space="0" w:color="auto"/>
              <w:right w:val="single" w:sz="4" w:space="0" w:color="auto"/>
            </w:tcBorders>
            <w:shd w:val="clear" w:color="auto" w:fill="auto"/>
            <w:noWrap/>
            <w:vAlign w:val="bottom"/>
            <w:hideMark/>
          </w:tcPr>
          <w:p w14:paraId="736D464F" w14:textId="77777777" w:rsidR="00DD118A" w:rsidRPr="00DD118A" w:rsidRDefault="00DD118A" w:rsidP="00DD118A">
            <w:pPr>
              <w:rPr>
                <w:rFonts w:ascii="Arial" w:hAnsi="Arial" w:cs="Arial"/>
                <w:sz w:val="20"/>
                <w:szCs w:val="20"/>
              </w:rPr>
            </w:pPr>
            <w:r w:rsidRPr="00DD118A">
              <w:rPr>
                <w:rFonts w:ascii="Arial" w:hAnsi="Arial" w:cs="Arial"/>
                <w:sz w:val="20"/>
                <w:szCs w:val="20"/>
              </w:rPr>
              <w:t>Materijalni rashodi</w:t>
            </w:r>
          </w:p>
        </w:tc>
        <w:tc>
          <w:tcPr>
            <w:tcW w:w="1842" w:type="dxa"/>
            <w:tcBorders>
              <w:top w:val="nil"/>
              <w:left w:val="nil"/>
              <w:bottom w:val="single" w:sz="4" w:space="0" w:color="auto"/>
              <w:right w:val="single" w:sz="4" w:space="0" w:color="auto"/>
            </w:tcBorders>
            <w:shd w:val="clear" w:color="auto" w:fill="auto"/>
            <w:noWrap/>
            <w:vAlign w:val="bottom"/>
            <w:hideMark/>
          </w:tcPr>
          <w:p w14:paraId="422F4474"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6.788.856,00</w:t>
            </w:r>
          </w:p>
        </w:tc>
        <w:tc>
          <w:tcPr>
            <w:tcW w:w="1701" w:type="dxa"/>
            <w:tcBorders>
              <w:top w:val="nil"/>
              <w:left w:val="nil"/>
              <w:bottom w:val="single" w:sz="4" w:space="0" w:color="auto"/>
              <w:right w:val="single" w:sz="4" w:space="0" w:color="auto"/>
            </w:tcBorders>
            <w:shd w:val="clear" w:color="auto" w:fill="auto"/>
            <w:noWrap/>
            <w:vAlign w:val="bottom"/>
            <w:hideMark/>
          </w:tcPr>
          <w:p w14:paraId="2A61E471"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487.514,00</w:t>
            </w:r>
          </w:p>
        </w:tc>
        <w:tc>
          <w:tcPr>
            <w:tcW w:w="1418" w:type="dxa"/>
            <w:tcBorders>
              <w:top w:val="nil"/>
              <w:left w:val="nil"/>
              <w:bottom w:val="single" w:sz="4" w:space="0" w:color="auto"/>
              <w:right w:val="single" w:sz="4" w:space="0" w:color="auto"/>
            </w:tcBorders>
            <w:shd w:val="clear" w:color="auto" w:fill="auto"/>
            <w:noWrap/>
            <w:vAlign w:val="bottom"/>
            <w:hideMark/>
          </w:tcPr>
          <w:p w14:paraId="088595C6"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7,18</w:t>
            </w:r>
          </w:p>
        </w:tc>
        <w:tc>
          <w:tcPr>
            <w:tcW w:w="1701" w:type="dxa"/>
            <w:tcBorders>
              <w:top w:val="nil"/>
              <w:left w:val="nil"/>
              <w:bottom w:val="single" w:sz="4" w:space="0" w:color="auto"/>
              <w:right w:val="single" w:sz="4" w:space="0" w:color="auto"/>
            </w:tcBorders>
            <w:shd w:val="clear" w:color="auto" w:fill="auto"/>
            <w:noWrap/>
            <w:vAlign w:val="bottom"/>
            <w:hideMark/>
          </w:tcPr>
          <w:p w14:paraId="07CF94CA"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7.276.370,00</w:t>
            </w:r>
          </w:p>
        </w:tc>
      </w:tr>
      <w:tr w:rsidR="00DD118A" w:rsidRPr="00DD118A" w14:paraId="0ABE6ED8" w14:textId="77777777" w:rsidTr="00DD118A">
        <w:trPr>
          <w:trHeight w:val="266"/>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9F5A8CB" w14:textId="77777777" w:rsidR="00DD118A" w:rsidRPr="00DD118A" w:rsidRDefault="00DD118A" w:rsidP="00DD118A">
            <w:pPr>
              <w:rPr>
                <w:rFonts w:ascii="Arial" w:hAnsi="Arial" w:cs="Arial"/>
                <w:sz w:val="20"/>
                <w:szCs w:val="20"/>
              </w:rPr>
            </w:pPr>
            <w:r w:rsidRPr="00DD118A">
              <w:rPr>
                <w:rFonts w:ascii="Arial" w:hAnsi="Arial" w:cs="Arial"/>
                <w:sz w:val="20"/>
                <w:szCs w:val="20"/>
              </w:rPr>
              <w:t>34</w:t>
            </w:r>
          </w:p>
        </w:tc>
        <w:tc>
          <w:tcPr>
            <w:tcW w:w="6297" w:type="dxa"/>
            <w:tcBorders>
              <w:top w:val="nil"/>
              <w:left w:val="nil"/>
              <w:bottom w:val="single" w:sz="4" w:space="0" w:color="auto"/>
              <w:right w:val="single" w:sz="4" w:space="0" w:color="auto"/>
            </w:tcBorders>
            <w:shd w:val="clear" w:color="auto" w:fill="auto"/>
            <w:noWrap/>
            <w:vAlign w:val="bottom"/>
            <w:hideMark/>
          </w:tcPr>
          <w:p w14:paraId="505934C8" w14:textId="77777777" w:rsidR="00DD118A" w:rsidRPr="00DD118A" w:rsidRDefault="00DD118A" w:rsidP="00DD118A">
            <w:pPr>
              <w:rPr>
                <w:rFonts w:ascii="Arial" w:hAnsi="Arial" w:cs="Arial"/>
                <w:sz w:val="20"/>
                <w:szCs w:val="20"/>
              </w:rPr>
            </w:pPr>
            <w:r w:rsidRPr="00DD118A">
              <w:rPr>
                <w:rFonts w:ascii="Arial" w:hAnsi="Arial" w:cs="Arial"/>
                <w:sz w:val="20"/>
                <w:szCs w:val="20"/>
              </w:rPr>
              <w:t>Financijski rashodi</w:t>
            </w:r>
          </w:p>
        </w:tc>
        <w:tc>
          <w:tcPr>
            <w:tcW w:w="1842" w:type="dxa"/>
            <w:tcBorders>
              <w:top w:val="nil"/>
              <w:left w:val="nil"/>
              <w:bottom w:val="single" w:sz="4" w:space="0" w:color="auto"/>
              <w:right w:val="single" w:sz="4" w:space="0" w:color="auto"/>
            </w:tcBorders>
            <w:shd w:val="clear" w:color="auto" w:fill="auto"/>
            <w:noWrap/>
            <w:vAlign w:val="bottom"/>
            <w:hideMark/>
          </w:tcPr>
          <w:p w14:paraId="094ACFF9"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97.430,00</w:t>
            </w:r>
          </w:p>
        </w:tc>
        <w:tc>
          <w:tcPr>
            <w:tcW w:w="1701" w:type="dxa"/>
            <w:tcBorders>
              <w:top w:val="nil"/>
              <w:left w:val="nil"/>
              <w:bottom w:val="single" w:sz="4" w:space="0" w:color="auto"/>
              <w:right w:val="single" w:sz="4" w:space="0" w:color="auto"/>
            </w:tcBorders>
            <w:shd w:val="clear" w:color="auto" w:fill="auto"/>
            <w:noWrap/>
            <w:vAlign w:val="bottom"/>
            <w:hideMark/>
          </w:tcPr>
          <w:p w14:paraId="16194BD7"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10.220,00</w:t>
            </w:r>
          </w:p>
        </w:tc>
        <w:tc>
          <w:tcPr>
            <w:tcW w:w="1418" w:type="dxa"/>
            <w:tcBorders>
              <w:top w:val="nil"/>
              <w:left w:val="nil"/>
              <w:bottom w:val="single" w:sz="4" w:space="0" w:color="auto"/>
              <w:right w:val="single" w:sz="4" w:space="0" w:color="auto"/>
            </w:tcBorders>
            <w:shd w:val="clear" w:color="auto" w:fill="auto"/>
            <w:noWrap/>
            <w:vAlign w:val="bottom"/>
            <w:hideMark/>
          </w:tcPr>
          <w:p w14:paraId="637F3C6A"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10,49</w:t>
            </w:r>
          </w:p>
        </w:tc>
        <w:tc>
          <w:tcPr>
            <w:tcW w:w="1701" w:type="dxa"/>
            <w:tcBorders>
              <w:top w:val="nil"/>
              <w:left w:val="nil"/>
              <w:bottom w:val="single" w:sz="4" w:space="0" w:color="auto"/>
              <w:right w:val="single" w:sz="4" w:space="0" w:color="auto"/>
            </w:tcBorders>
            <w:shd w:val="clear" w:color="auto" w:fill="auto"/>
            <w:noWrap/>
            <w:vAlign w:val="bottom"/>
            <w:hideMark/>
          </w:tcPr>
          <w:p w14:paraId="233D8906"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107.650,00</w:t>
            </w:r>
          </w:p>
        </w:tc>
      </w:tr>
      <w:tr w:rsidR="00DD118A" w:rsidRPr="00DD118A" w14:paraId="7A46FA56" w14:textId="77777777" w:rsidTr="00DD118A">
        <w:trPr>
          <w:trHeight w:val="266"/>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6AF08C5" w14:textId="77777777" w:rsidR="00DD118A" w:rsidRPr="00DD118A" w:rsidRDefault="00DD118A" w:rsidP="00DD118A">
            <w:pPr>
              <w:rPr>
                <w:rFonts w:ascii="Arial" w:hAnsi="Arial" w:cs="Arial"/>
                <w:sz w:val="20"/>
                <w:szCs w:val="20"/>
              </w:rPr>
            </w:pPr>
            <w:r w:rsidRPr="00DD118A">
              <w:rPr>
                <w:rFonts w:ascii="Arial" w:hAnsi="Arial" w:cs="Arial"/>
                <w:sz w:val="20"/>
                <w:szCs w:val="20"/>
              </w:rPr>
              <w:t>35</w:t>
            </w:r>
          </w:p>
        </w:tc>
        <w:tc>
          <w:tcPr>
            <w:tcW w:w="6297" w:type="dxa"/>
            <w:tcBorders>
              <w:top w:val="nil"/>
              <w:left w:val="nil"/>
              <w:bottom w:val="single" w:sz="4" w:space="0" w:color="auto"/>
              <w:right w:val="single" w:sz="4" w:space="0" w:color="auto"/>
            </w:tcBorders>
            <w:shd w:val="clear" w:color="auto" w:fill="auto"/>
            <w:noWrap/>
            <w:vAlign w:val="bottom"/>
            <w:hideMark/>
          </w:tcPr>
          <w:p w14:paraId="43F03F2A" w14:textId="77777777" w:rsidR="00DD118A" w:rsidRPr="00DD118A" w:rsidRDefault="00DD118A" w:rsidP="00DD118A">
            <w:pPr>
              <w:rPr>
                <w:rFonts w:ascii="Arial" w:hAnsi="Arial" w:cs="Arial"/>
                <w:sz w:val="20"/>
                <w:szCs w:val="20"/>
              </w:rPr>
            </w:pPr>
            <w:r w:rsidRPr="00DD118A">
              <w:rPr>
                <w:rFonts w:ascii="Arial" w:hAnsi="Arial" w:cs="Arial"/>
                <w:sz w:val="20"/>
                <w:szCs w:val="20"/>
              </w:rPr>
              <w:t>Subvencije</w:t>
            </w:r>
          </w:p>
        </w:tc>
        <w:tc>
          <w:tcPr>
            <w:tcW w:w="1842" w:type="dxa"/>
            <w:tcBorders>
              <w:top w:val="nil"/>
              <w:left w:val="nil"/>
              <w:bottom w:val="single" w:sz="4" w:space="0" w:color="auto"/>
              <w:right w:val="single" w:sz="4" w:space="0" w:color="auto"/>
            </w:tcBorders>
            <w:shd w:val="clear" w:color="auto" w:fill="auto"/>
            <w:noWrap/>
            <w:vAlign w:val="bottom"/>
            <w:hideMark/>
          </w:tcPr>
          <w:p w14:paraId="72B400AD"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134.654,00</w:t>
            </w:r>
          </w:p>
        </w:tc>
        <w:tc>
          <w:tcPr>
            <w:tcW w:w="1701" w:type="dxa"/>
            <w:tcBorders>
              <w:top w:val="nil"/>
              <w:left w:val="nil"/>
              <w:bottom w:val="single" w:sz="4" w:space="0" w:color="auto"/>
              <w:right w:val="single" w:sz="4" w:space="0" w:color="auto"/>
            </w:tcBorders>
            <w:shd w:val="clear" w:color="auto" w:fill="auto"/>
            <w:noWrap/>
            <w:vAlign w:val="bottom"/>
            <w:hideMark/>
          </w:tcPr>
          <w:p w14:paraId="7E8AE58E"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-7.980,00</w:t>
            </w:r>
          </w:p>
        </w:tc>
        <w:tc>
          <w:tcPr>
            <w:tcW w:w="1418" w:type="dxa"/>
            <w:tcBorders>
              <w:top w:val="nil"/>
              <w:left w:val="nil"/>
              <w:bottom w:val="single" w:sz="4" w:space="0" w:color="auto"/>
              <w:right w:val="single" w:sz="4" w:space="0" w:color="auto"/>
            </w:tcBorders>
            <w:shd w:val="clear" w:color="auto" w:fill="auto"/>
            <w:noWrap/>
            <w:vAlign w:val="bottom"/>
            <w:hideMark/>
          </w:tcPr>
          <w:p w14:paraId="31956A67"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-5,93</w:t>
            </w:r>
          </w:p>
        </w:tc>
        <w:tc>
          <w:tcPr>
            <w:tcW w:w="1701" w:type="dxa"/>
            <w:tcBorders>
              <w:top w:val="nil"/>
              <w:left w:val="nil"/>
              <w:bottom w:val="single" w:sz="4" w:space="0" w:color="auto"/>
              <w:right w:val="single" w:sz="4" w:space="0" w:color="auto"/>
            </w:tcBorders>
            <w:shd w:val="clear" w:color="auto" w:fill="auto"/>
            <w:noWrap/>
            <w:vAlign w:val="bottom"/>
            <w:hideMark/>
          </w:tcPr>
          <w:p w14:paraId="4C1FC7F6"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126.674,00</w:t>
            </w:r>
          </w:p>
        </w:tc>
      </w:tr>
      <w:tr w:rsidR="00DD118A" w:rsidRPr="00DD118A" w14:paraId="61EA0CCF" w14:textId="77777777" w:rsidTr="00DD118A">
        <w:trPr>
          <w:trHeight w:val="266"/>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FFEAA82" w14:textId="77777777" w:rsidR="00DD118A" w:rsidRPr="00DD118A" w:rsidRDefault="00DD118A" w:rsidP="00DD118A">
            <w:pPr>
              <w:rPr>
                <w:rFonts w:ascii="Arial" w:hAnsi="Arial" w:cs="Arial"/>
                <w:sz w:val="20"/>
                <w:szCs w:val="20"/>
              </w:rPr>
            </w:pPr>
            <w:r w:rsidRPr="00DD118A">
              <w:rPr>
                <w:rFonts w:ascii="Arial" w:hAnsi="Arial" w:cs="Arial"/>
                <w:sz w:val="20"/>
                <w:szCs w:val="20"/>
              </w:rPr>
              <w:t>36</w:t>
            </w:r>
          </w:p>
        </w:tc>
        <w:tc>
          <w:tcPr>
            <w:tcW w:w="6297" w:type="dxa"/>
            <w:tcBorders>
              <w:top w:val="nil"/>
              <w:left w:val="nil"/>
              <w:bottom w:val="single" w:sz="4" w:space="0" w:color="auto"/>
              <w:right w:val="single" w:sz="4" w:space="0" w:color="auto"/>
            </w:tcBorders>
            <w:shd w:val="clear" w:color="auto" w:fill="auto"/>
            <w:noWrap/>
            <w:vAlign w:val="bottom"/>
            <w:hideMark/>
          </w:tcPr>
          <w:p w14:paraId="37DFFB0B" w14:textId="77777777" w:rsidR="00DD118A" w:rsidRPr="00DD118A" w:rsidRDefault="00DD118A" w:rsidP="00DD118A">
            <w:pPr>
              <w:rPr>
                <w:rFonts w:ascii="Arial" w:hAnsi="Arial" w:cs="Arial"/>
                <w:sz w:val="20"/>
                <w:szCs w:val="20"/>
              </w:rPr>
            </w:pPr>
            <w:r w:rsidRPr="00DD118A">
              <w:rPr>
                <w:rFonts w:ascii="Arial" w:hAnsi="Arial" w:cs="Arial"/>
                <w:sz w:val="20"/>
                <w:szCs w:val="20"/>
              </w:rPr>
              <w:t>Pomoći dane u inozemstvo i unutar općeg proračuna</w:t>
            </w:r>
          </w:p>
        </w:tc>
        <w:tc>
          <w:tcPr>
            <w:tcW w:w="1842" w:type="dxa"/>
            <w:tcBorders>
              <w:top w:val="nil"/>
              <w:left w:val="nil"/>
              <w:bottom w:val="single" w:sz="4" w:space="0" w:color="auto"/>
              <w:right w:val="single" w:sz="4" w:space="0" w:color="auto"/>
            </w:tcBorders>
            <w:shd w:val="clear" w:color="auto" w:fill="auto"/>
            <w:noWrap/>
            <w:vAlign w:val="bottom"/>
            <w:hideMark/>
          </w:tcPr>
          <w:p w14:paraId="26AEA938"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330.165,00</w:t>
            </w:r>
          </w:p>
        </w:tc>
        <w:tc>
          <w:tcPr>
            <w:tcW w:w="1701" w:type="dxa"/>
            <w:tcBorders>
              <w:top w:val="nil"/>
              <w:left w:val="nil"/>
              <w:bottom w:val="single" w:sz="4" w:space="0" w:color="auto"/>
              <w:right w:val="single" w:sz="4" w:space="0" w:color="auto"/>
            </w:tcBorders>
            <w:shd w:val="clear" w:color="auto" w:fill="auto"/>
            <w:noWrap/>
            <w:vAlign w:val="bottom"/>
            <w:hideMark/>
          </w:tcPr>
          <w:p w14:paraId="159E831E"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47.020,00</w:t>
            </w:r>
          </w:p>
        </w:tc>
        <w:tc>
          <w:tcPr>
            <w:tcW w:w="1418" w:type="dxa"/>
            <w:tcBorders>
              <w:top w:val="nil"/>
              <w:left w:val="nil"/>
              <w:bottom w:val="single" w:sz="4" w:space="0" w:color="auto"/>
              <w:right w:val="single" w:sz="4" w:space="0" w:color="auto"/>
            </w:tcBorders>
            <w:shd w:val="clear" w:color="auto" w:fill="auto"/>
            <w:noWrap/>
            <w:vAlign w:val="bottom"/>
            <w:hideMark/>
          </w:tcPr>
          <w:p w14:paraId="7D18CB18"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14,24</w:t>
            </w:r>
          </w:p>
        </w:tc>
        <w:tc>
          <w:tcPr>
            <w:tcW w:w="1701" w:type="dxa"/>
            <w:tcBorders>
              <w:top w:val="nil"/>
              <w:left w:val="nil"/>
              <w:bottom w:val="single" w:sz="4" w:space="0" w:color="auto"/>
              <w:right w:val="single" w:sz="4" w:space="0" w:color="auto"/>
            </w:tcBorders>
            <w:shd w:val="clear" w:color="auto" w:fill="auto"/>
            <w:noWrap/>
            <w:vAlign w:val="bottom"/>
            <w:hideMark/>
          </w:tcPr>
          <w:p w14:paraId="3B345693"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377.185,00</w:t>
            </w:r>
          </w:p>
        </w:tc>
      </w:tr>
      <w:tr w:rsidR="00DD118A" w:rsidRPr="00DD118A" w14:paraId="14598BC8" w14:textId="77777777" w:rsidTr="00DD118A">
        <w:trPr>
          <w:trHeight w:val="266"/>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AFA3F02" w14:textId="77777777" w:rsidR="00DD118A" w:rsidRPr="00DD118A" w:rsidRDefault="00DD118A" w:rsidP="00DD118A">
            <w:pPr>
              <w:rPr>
                <w:rFonts w:ascii="Arial" w:hAnsi="Arial" w:cs="Arial"/>
                <w:sz w:val="20"/>
                <w:szCs w:val="20"/>
              </w:rPr>
            </w:pPr>
            <w:r w:rsidRPr="00DD118A">
              <w:rPr>
                <w:rFonts w:ascii="Arial" w:hAnsi="Arial" w:cs="Arial"/>
                <w:sz w:val="20"/>
                <w:szCs w:val="20"/>
              </w:rPr>
              <w:t>37</w:t>
            </w:r>
          </w:p>
        </w:tc>
        <w:tc>
          <w:tcPr>
            <w:tcW w:w="6297" w:type="dxa"/>
            <w:tcBorders>
              <w:top w:val="nil"/>
              <w:left w:val="nil"/>
              <w:bottom w:val="single" w:sz="4" w:space="0" w:color="auto"/>
              <w:right w:val="single" w:sz="4" w:space="0" w:color="auto"/>
            </w:tcBorders>
            <w:shd w:val="clear" w:color="auto" w:fill="auto"/>
            <w:noWrap/>
            <w:vAlign w:val="bottom"/>
            <w:hideMark/>
          </w:tcPr>
          <w:p w14:paraId="1D501974" w14:textId="77777777" w:rsidR="00DD118A" w:rsidRPr="00DD118A" w:rsidRDefault="00DD118A" w:rsidP="00DD118A">
            <w:pPr>
              <w:rPr>
                <w:rFonts w:ascii="Arial" w:hAnsi="Arial" w:cs="Arial"/>
                <w:sz w:val="20"/>
                <w:szCs w:val="20"/>
              </w:rPr>
            </w:pPr>
            <w:r w:rsidRPr="00DD118A">
              <w:rPr>
                <w:rFonts w:ascii="Arial" w:hAnsi="Arial" w:cs="Arial"/>
                <w:sz w:val="20"/>
                <w:szCs w:val="20"/>
              </w:rPr>
              <w:t>Naknade građanima i kućanstvima na temelju osiguranja i druge naknade</w:t>
            </w:r>
          </w:p>
        </w:tc>
        <w:tc>
          <w:tcPr>
            <w:tcW w:w="1842" w:type="dxa"/>
            <w:tcBorders>
              <w:top w:val="nil"/>
              <w:left w:val="nil"/>
              <w:bottom w:val="single" w:sz="4" w:space="0" w:color="auto"/>
              <w:right w:val="single" w:sz="4" w:space="0" w:color="auto"/>
            </w:tcBorders>
            <w:shd w:val="clear" w:color="auto" w:fill="auto"/>
            <w:noWrap/>
            <w:vAlign w:val="bottom"/>
            <w:hideMark/>
          </w:tcPr>
          <w:p w14:paraId="24ED3602"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561.265,00</w:t>
            </w:r>
          </w:p>
        </w:tc>
        <w:tc>
          <w:tcPr>
            <w:tcW w:w="1701" w:type="dxa"/>
            <w:tcBorders>
              <w:top w:val="nil"/>
              <w:left w:val="nil"/>
              <w:bottom w:val="single" w:sz="4" w:space="0" w:color="auto"/>
              <w:right w:val="single" w:sz="4" w:space="0" w:color="auto"/>
            </w:tcBorders>
            <w:shd w:val="clear" w:color="auto" w:fill="auto"/>
            <w:noWrap/>
            <w:vAlign w:val="bottom"/>
            <w:hideMark/>
          </w:tcPr>
          <w:p w14:paraId="3B3DAD6A"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159.180,00</w:t>
            </w:r>
          </w:p>
        </w:tc>
        <w:tc>
          <w:tcPr>
            <w:tcW w:w="1418" w:type="dxa"/>
            <w:tcBorders>
              <w:top w:val="nil"/>
              <w:left w:val="nil"/>
              <w:bottom w:val="single" w:sz="4" w:space="0" w:color="auto"/>
              <w:right w:val="single" w:sz="4" w:space="0" w:color="auto"/>
            </w:tcBorders>
            <w:shd w:val="clear" w:color="auto" w:fill="auto"/>
            <w:noWrap/>
            <w:vAlign w:val="bottom"/>
            <w:hideMark/>
          </w:tcPr>
          <w:p w14:paraId="4832884F"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28,36</w:t>
            </w:r>
          </w:p>
        </w:tc>
        <w:tc>
          <w:tcPr>
            <w:tcW w:w="1701" w:type="dxa"/>
            <w:tcBorders>
              <w:top w:val="nil"/>
              <w:left w:val="nil"/>
              <w:bottom w:val="single" w:sz="4" w:space="0" w:color="auto"/>
              <w:right w:val="single" w:sz="4" w:space="0" w:color="auto"/>
            </w:tcBorders>
            <w:shd w:val="clear" w:color="auto" w:fill="auto"/>
            <w:noWrap/>
            <w:vAlign w:val="bottom"/>
            <w:hideMark/>
          </w:tcPr>
          <w:p w14:paraId="55A41F81"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720.445,00</w:t>
            </w:r>
          </w:p>
        </w:tc>
      </w:tr>
      <w:tr w:rsidR="00DD118A" w:rsidRPr="00DD118A" w14:paraId="56AC1E69" w14:textId="77777777" w:rsidTr="00DD118A">
        <w:trPr>
          <w:trHeight w:val="266"/>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A542B0F" w14:textId="77777777" w:rsidR="00DD118A" w:rsidRPr="00DD118A" w:rsidRDefault="00DD118A" w:rsidP="00DD118A">
            <w:pPr>
              <w:rPr>
                <w:rFonts w:ascii="Arial" w:hAnsi="Arial" w:cs="Arial"/>
                <w:sz w:val="20"/>
                <w:szCs w:val="20"/>
              </w:rPr>
            </w:pPr>
            <w:r w:rsidRPr="00DD118A">
              <w:rPr>
                <w:rFonts w:ascii="Arial" w:hAnsi="Arial" w:cs="Arial"/>
                <w:sz w:val="20"/>
                <w:szCs w:val="20"/>
              </w:rPr>
              <w:t>38</w:t>
            </w:r>
          </w:p>
        </w:tc>
        <w:tc>
          <w:tcPr>
            <w:tcW w:w="6297" w:type="dxa"/>
            <w:tcBorders>
              <w:top w:val="nil"/>
              <w:left w:val="nil"/>
              <w:bottom w:val="single" w:sz="4" w:space="0" w:color="auto"/>
              <w:right w:val="single" w:sz="4" w:space="0" w:color="auto"/>
            </w:tcBorders>
            <w:shd w:val="clear" w:color="auto" w:fill="auto"/>
            <w:noWrap/>
            <w:vAlign w:val="bottom"/>
            <w:hideMark/>
          </w:tcPr>
          <w:p w14:paraId="1A04A928" w14:textId="77777777" w:rsidR="00DD118A" w:rsidRPr="00DD118A" w:rsidRDefault="00DD118A" w:rsidP="00DD118A">
            <w:pPr>
              <w:rPr>
                <w:rFonts w:ascii="Arial" w:hAnsi="Arial" w:cs="Arial"/>
                <w:sz w:val="20"/>
                <w:szCs w:val="20"/>
              </w:rPr>
            </w:pPr>
            <w:r w:rsidRPr="00DD118A">
              <w:rPr>
                <w:rFonts w:ascii="Arial" w:hAnsi="Arial" w:cs="Arial"/>
                <w:sz w:val="20"/>
                <w:szCs w:val="20"/>
              </w:rPr>
              <w:t>Rashodi za donacije, kazne, naknade šteta i kapitalne pomoći</w:t>
            </w:r>
          </w:p>
        </w:tc>
        <w:tc>
          <w:tcPr>
            <w:tcW w:w="1842" w:type="dxa"/>
            <w:tcBorders>
              <w:top w:val="nil"/>
              <w:left w:val="nil"/>
              <w:bottom w:val="single" w:sz="4" w:space="0" w:color="auto"/>
              <w:right w:val="single" w:sz="4" w:space="0" w:color="auto"/>
            </w:tcBorders>
            <w:shd w:val="clear" w:color="auto" w:fill="auto"/>
            <w:noWrap/>
            <w:vAlign w:val="bottom"/>
            <w:hideMark/>
          </w:tcPr>
          <w:p w14:paraId="3FDA1AAE"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699.990,00</w:t>
            </w:r>
          </w:p>
        </w:tc>
        <w:tc>
          <w:tcPr>
            <w:tcW w:w="1701" w:type="dxa"/>
            <w:tcBorders>
              <w:top w:val="nil"/>
              <w:left w:val="nil"/>
              <w:bottom w:val="single" w:sz="4" w:space="0" w:color="auto"/>
              <w:right w:val="single" w:sz="4" w:space="0" w:color="auto"/>
            </w:tcBorders>
            <w:shd w:val="clear" w:color="auto" w:fill="auto"/>
            <w:noWrap/>
            <w:vAlign w:val="bottom"/>
            <w:hideMark/>
          </w:tcPr>
          <w:p w14:paraId="2D3E5310"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43.563,00</w:t>
            </w:r>
          </w:p>
        </w:tc>
        <w:tc>
          <w:tcPr>
            <w:tcW w:w="1418" w:type="dxa"/>
            <w:tcBorders>
              <w:top w:val="nil"/>
              <w:left w:val="nil"/>
              <w:bottom w:val="single" w:sz="4" w:space="0" w:color="auto"/>
              <w:right w:val="single" w:sz="4" w:space="0" w:color="auto"/>
            </w:tcBorders>
            <w:shd w:val="clear" w:color="auto" w:fill="auto"/>
            <w:noWrap/>
            <w:vAlign w:val="bottom"/>
            <w:hideMark/>
          </w:tcPr>
          <w:p w14:paraId="4B055C16"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6,22</w:t>
            </w:r>
          </w:p>
        </w:tc>
        <w:tc>
          <w:tcPr>
            <w:tcW w:w="1701" w:type="dxa"/>
            <w:tcBorders>
              <w:top w:val="nil"/>
              <w:left w:val="nil"/>
              <w:bottom w:val="single" w:sz="4" w:space="0" w:color="auto"/>
              <w:right w:val="single" w:sz="4" w:space="0" w:color="auto"/>
            </w:tcBorders>
            <w:shd w:val="clear" w:color="auto" w:fill="auto"/>
            <w:noWrap/>
            <w:vAlign w:val="bottom"/>
            <w:hideMark/>
          </w:tcPr>
          <w:p w14:paraId="27AA9894"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743.553,00</w:t>
            </w:r>
          </w:p>
        </w:tc>
      </w:tr>
      <w:tr w:rsidR="00DD118A" w:rsidRPr="00DD118A" w14:paraId="5A1208A6" w14:textId="77777777" w:rsidTr="00DD118A">
        <w:trPr>
          <w:trHeight w:val="266"/>
        </w:trPr>
        <w:tc>
          <w:tcPr>
            <w:tcW w:w="928" w:type="dxa"/>
            <w:tcBorders>
              <w:top w:val="nil"/>
              <w:left w:val="single" w:sz="4" w:space="0" w:color="auto"/>
              <w:bottom w:val="single" w:sz="4" w:space="0" w:color="auto"/>
              <w:right w:val="single" w:sz="4" w:space="0" w:color="auto"/>
            </w:tcBorders>
            <w:shd w:val="clear" w:color="000000" w:fill="D9D9D9"/>
            <w:noWrap/>
            <w:vAlign w:val="bottom"/>
            <w:hideMark/>
          </w:tcPr>
          <w:p w14:paraId="24178846" w14:textId="77777777" w:rsidR="00DD118A" w:rsidRPr="00DD118A" w:rsidRDefault="00DD118A" w:rsidP="00DD118A">
            <w:pPr>
              <w:rPr>
                <w:rFonts w:ascii="Arial" w:hAnsi="Arial" w:cs="Arial"/>
                <w:b/>
                <w:bCs/>
                <w:sz w:val="20"/>
                <w:szCs w:val="20"/>
              </w:rPr>
            </w:pPr>
            <w:r w:rsidRPr="00DD118A">
              <w:rPr>
                <w:rFonts w:ascii="Arial" w:hAnsi="Arial" w:cs="Arial"/>
                <w:b/>
                <w:bCs/>
                <w:sz w:val="20"/>
                <w:szCs w:val="20"/>
              </w:rPr>
              <w:lastRenderedPageBreak/>
              <w:t>4</w:t>
            </w:r>
          </w:p>
        </w:tc>
        <w:tc>
          <w:tcPr>
            <w:tcW w:w="6297" w:type="dxa"/>
            <w:tcBorders>
              <w:top w:val="nil"/>
              <w:left w:val="nil"/>
              <w:bottom w:val="single" w:sz="4" w:space="0" w:color="auto"/>
              <w:right w:val="single" w:sz="4" w:space="0" w:color="auto"/>
            </w:tcBorders>
            <w:shd w:val="clear" w:color="000000" w:fill="D9D9D9"/>
            <w:noWrap/>
            <w:vAlign w:val="bottom"/>
            <w:hideMark/>
          </w:tcPr>
          <w:p w14:paraId="35D3AF03" w14:textId="77777777" w:rsidR="00DD118A" w:rsidRPr="00DD118A" w:rsidRDefault="00DD118A" w:rsidP="00DD118A">
            <w:pPr>
              <w:rPr>
                <w:rFonts w:ascii="Arial" w:hAnsi="Arial" w:cs="Arial"/>
                <w:b/>
                <w:bCs/>
                <w:sz w:val="20"/>
                <w:szCs w:val="20"/>
              </w:rPr>
            </w:pPr>
            <w:r w:rsidRPr="00DD118A">
              <w:rPr>
                <w:rFonts w:ascii="Arial" w:hAnsi="Arial" w:cs="Arial"/>
                <w:b/>
                <w:bCs/>
                <w:sz w:val="20"/>
                <w:szCs w:val="20"/>
              </w:rPr>
              <w:t>Rashodi za nabavu nefinancijske imovine</w:t>
            </w:r>
          </w:p>
        </w:tc>
        <w:tc>
          <w:tcPr>
            <w:tcW w:w="1842" w:type="dxa"/>
            <w:tcBorders>
              <w:top w:val="nil"/>
              <w:left w:val="nil"/>
              <w:bottom w:val="single" w:sz="4" w:space="0" w:color="auto"/>
              <w:right w:val="single" w:sz="4" w:space="0" w:color="auto"/>
            </w:tcBorders>
            <w:shd w:val="clear" w:color="000000" w:fill="D9D9D9"/>
            <w:noWrap/>
            <w:vAlign w:val="bottom"/>
            <w:hideMark/>
          </w:tcPr>
          <w:p w14:paraId="14EDC7CE"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5.097.718,00</w:t>
            </w:r>
          </w:p>
        </w:tc>
        <w:tc>
          <w:tcPr>
            <w:tcW w:w="1701" w:type="dxa"/>
            <w:tcBorders>
              <w:top w:val="nil"/>
              <w:left w:val="nil"/>
              <w:bottom w:val="single" w:sz="4" w:space="0" w:color="auto"/>
              <w:right w:val="single" w:sz="4" w:space="0" w:color="auto"/>
            </w:tcBorders>
            <w:shd w:val="clear" w:color="000000" w:fill="D9D9D9"/>
            <w:noWrap/>
            <w:vAlign w:val="bottom"/>
            <w:hideMark/>
          </w:tcPr>
          <w:p w14:paraId="0116E8C8"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-279.171,00</w:t>
            </w:r>
          </w:p>
        </w:tc>
        <w:tc>
          <w:tcPr>
            <w:tcW w:w="1418" w:type="dxa"/>
            <w:tcBorders>
              <w:top w:val="nil"/>
              <w:left w:val="nil"/>
              <w:bottom w:val="single" w:sz="4" w:space="0" w:color="auto"/>
              <w:right w:val="single" w:sz="4" w:space="0" w:color="auto"/>
            </w:tcBorders>
            <w:shd w:val="clear" w:color="000000" w:fill="D9D9D9"/>
            <w:noWrap/>
            <w:vAlign w:val="bottom"/>
            <w:hideMark/>
          </w:tcPr>
          <w:p w14:paraId="66ECE3F2"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-5,48</w:t>
            </w:r>
          </w:p>
        </w:tc>
        <w:tc>
          <w:tcPr>
            <w:tcW w:w="1701" w:type="dxa"/>
            <w:tcBorders>
              <w:top w:val="nil"/>
              <w:left w:val="nil"/>
              <w:bottom w:val="single" w:sz="4" w:space="0" w:color="auto"/>
              <w:right w:val="single" w:sz="4" w:space="0" w:color="auto"/>
            </w:tcBorders>
            <w:shd w:val="clear" w:color="000000" w:fill="D9D9D9"/>
            <w:noWrap/>
            <w:vAlign w:val="bottom"/>
            <w:hideMark/>
          </w:tcPr>
          <w:p w14:paraId="28F1A9F6" w14:textId="77777777" w:rsidR="00DD118A" w:rsidRPr="00DD118A" w:rsidRDefault="00DD118A" w:rsidP="00DD118A">
            <w:pPr>
              <w:jc w:val="right"/>
              <w:rPr>
                <w:rFonts w:ascii="Arial" w:hAnsi="Arial" w:cs="Arial"/>
                <w:b/>
                <w:bCs/>
                <w:sz w:val="20"/>
                <w:szCs w:val="20"/>
              </w:rPr>
            </w:pPr>
            <w:r w:rsidRPr="00DD118A">
              <w:rPr>
                <w:rFonts w:ascii="Arial" w:hAnsi="Arial" w:cs="Arial"/>
                <w:b/>
                <w:bCs/>
                <w:sz w:val="20"/>
                <w:szCs w:val="20"/>
              </w:rPr>
              <w:t>4.818.547,00</w:t>
            </w:r>
          </w:p>
        </w:tc>
      </w:tr>
      <w:tr w:rsidR="00DD118A" w:rsidRPr="00DD118A" w14:paraId="1EE912E3" w14:textId="77777777" w:rsidTr="00DD118A">
        <w:trPr>
          <w:trHeight w:val="266"/>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0E2B0AF" w14:textId="77777777" w:rsidR="00DD118A" w:rsidRPr="00DD118A" w:rsidRDefault="00DD118A" w:rsidP="00DD118A">
            <w:pPr>
              <w:rPr>
                <w:rFonts w:ascii="Arial" w:hAnsi="Arial" w:cs="Arial"/>
                <w:sz w:val="20"/>
                <w:szCs w:val="20"/>
              </w:rPr>
            </w:pPr>
            <w:r w:rsidRPr="00DD118A">
              <w:rPr>
                <w:rFonts w:ascii="Arial" w:hAnsi="Arial" w:cs="Arial"/>
                <w:sz w:val="20"/>
                <w:szCs w:val="20"/>
              </w:rPr>
              <w:t>41</w:t>
            </w:r>
          </w:p>
        </w:tc>
        <w:tc>
          <w:tcPr>
            <w:tcW w:w="6297" w:type="dxa"/>
            <w:tcBorders>
              <w:top w:val="nil"/>
              <w:left w:val="nil"/>
              <w:bottom w:val="single" w:sz="4" w:space="0" w:color="auto"/>
              <w:right w:val="single" w:sz="4" w:space="0" w:color="auto"/>
            </w:tcBorders>
            <w:shd w:val="clear" w:color="auto" w:fill="auto"/>
            <w:noWrap/>
            <w:vAlign w:val="bottom"/>
            <w:hideMark/>
          </w:tcPr>
          <w:p w14:paraId="13A0DE07" w14:textId="77777777" w:rsidR="00DD118A" w:rsidRPr="00DD118A" w:rsidRDefault="00DD118A" w:rsidP="00DD118A">
            <w:pPr>
              <w:rPr>
                <w:rFonts w:ascii="Arial" w:hAnsi="Arial" w:cs="Arial"/>
                <w:sz w:val="20"/>
                <w:szCs w:val="20"/>
              </w:rPr>
            </w:pPr>
            <w:r w:rsidRPr="00DD118A">
              <w:rPr>
                <w:rFonts w:ascii="Arial" w:hAnsi="Arial" w:cs="Arial"/>
                <w:sz w:val="20"/>
                <w:szCs w:val="20"/>
              </w:rPr>
              <w:t xml:space="preserve">Rashodi za nabavu </w:t>
            </w:r>
            <w:proofErr w:type="spellStart"/>
            <w:r w:rsidRPr="00DD118A">
              <w:rPr>
                <w:rFonts w:ascii="Arial" w:hAnsi="Arial" w:cs="Arial"/>
                <w:sz w:val="20"/>
                <w:szCs w:val="20"/>
              </w:rPr>
              <w:t>neproizvedene</w:t>
            </w:r>
            <w:proofErr w:type="spellEnd"/>
            <w:r w:rsidRPr="00DD118A">
              <w:rPr>
                <w:rFonts w:ascii="Arial" w:hAnsi="Arial" w:cs="Arial"/>
                <w:sz w:val="20"/>
                <w:szCs w:val="20"/>
              </w:rPr>
              <w:t xml:space="preserve"> dugotrajne imovine</w:t>
            </w:r>
          </w:p>
        </w:tc>
        <w:tc>
          <w:tcPr>
            <w:tcW w:w="1842" w:type="dxa"/>
            <w:tcBorders>
              <w:top w:val="nil"/>
              <w:left w:val="nil"/>
              <w:bottom w:val="single" w:sz="4" w:space="0" w:color="auto"/>
              <w:right w:val="single" w:sz="4" w:space="0" w:color="auto"/>
            </w:tcBorders>
            <w:shd w:val="clear" w:color="auto" w:fill="auto"/>
            <w:noWrap/>
            <w:vAlign w:val="bottom"/>
            <w:hideMark/>
          </w:tcPr>
          <w:p w14:paraId="1D726BB8"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500.936,00</w:t>
            </w:r>
          </w:p>
        </w:tc>
        <w:tc>
          <w:tcPr>
            <w:tcW w:w="1701" w:type="dxa"/>
            <w:tcBorders>
              <w:top w:val="nil"/>
              <w:left w:val="nil"/>
              <w:bottom w:val="single" w:sz="4" w:space="0" w:color="auto"/>
              <w:right w:val="single" w:sz="4" w:space="0" w:color="auto"/>
            </w:tcBorders>
            <w:shd w:val="clear" w:color="auto" w:fill="auto"/>
            <w:noWrap/>
            <w:vAlign w:val="bottom"/>
            <w:hideMark/>
          </w:tcPr>
          <w:p w14:paraId="499B2129"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-282.155,00</w:t>
            </w:r>
          </w:p>
        </w:tc>
        <w:tc>
          <w:tcPr>
            <w:tcW w:w="1418" w:type="dxa"/>
            <w:tcBorders>
              <w:top w:val="nil"/>
              <w:left w:val="nil"/>
              <w:bottom w:val="single" w:sz="4" w:space="0" w:color="auto"/>
              <w:right w:val="single" w:sz="4" w:space="0" w:color="auto"/>
            </w:tcBorders>
            <w:shd w:val="clear" w:color="auto" w:fill="auto"/>
            <w:noWrap/>
            <w:vAlign w:val="bottom"/>
            <w:hideMark/>
          </w:tcPr>
          <w:p w14:paraId="5F5403A3"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-56,33</w:t>
            </w:r>
          </w:p>
        </w:tc>
        <w:tc>
          <w:tcPr>
            <w:tcW w:w="1701" w:type="dxa"/>
            <w:tcBorders>
              <w:top w:val="nil"/>
              <w:left w:val="nil"/>
              <w:bottom w:val="single" w:sz="4" w:space="0" w:color="auto"/>
              <w:right w:val="single" w:sz="4" w:space="0" w:color="auto"/>
            </w:tcBorders>
            <w:shd w:val="clear" w:color="auto" w:fill="auto"/>
            <w:noWrap/>
            <w:vAlign w:val="bottom"/>
            <w:hideMark/>
          </w:tcPr>
          <w:p w14:paraId="351C6F5D"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218.781,00</w:t>
            </w:r>
          </w:p>
        </w:tc>
      </w:tr>
      <w:tr w:rsidR="00DD118A" w:rsidRPr="00DD118A" w14:paraId="081CC1D5" w14:textId="77777777" w:rsidTr="00DD118A">
        <w:trPr>
          <w:trHeight w:val="266"/>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E86489B" w14:textId="77777777" w:rsidR="00DD118A" w:rsidRPr="00DD118A" w:rsidRDefault="00DD118A" w:rsidP="00DD118A">
            <w:pPr>
              <w:rPr>
                <w:rFonts w:ascii="Arial" w:hAnsi="Arial" w:cs="Arial"/>
                <w:sz w:val="20"/>
                <w:szCs w:val="20"/>
              </w:rPr>
            </w:pPr>
            <w:r w:rsidRPr="00DD118A">
              <w:rPr>
                <w:rFonts w:ascii="Arial" w:hAnsi="Arial" w:cs="Arial"/>
                <w:sz w:val="20"/>
                <w:szCs w:val="20"/>
              </w:rPr>
              <w:t>42</w:t>
            </w:r>
          </w:p>
        </w:tc>
        <w:tc>
          <w:tcPr>
            <w:tcW w:w="6297" w:type="dxa"/>
            <w:tcBorders>
              <w:top w:val="nil"/>
              <w:left w:val="nil"/>
              <w:bottom w:val="single" w:sz="4" w:space="0" w:color="auto"/>
              <w:right w:val="single" w:sz="4" w:space="0" w:color="auto"/>
            </w:tcBorders>
            <w:shd w:val="clear" w:color="auto" w:fill="auto"/>
            <w:noWrap/>
            <w:vAlign w:val="bottom"/>
            <w:hideMark/>
          </w:tcPr>
          <w:p w14:paraId="309C60B7" w14:textId="77777777" w:rsidR="00DD118A" w:rsidRPr="00DD118A" w:rsidRDefault="00DD118A" w:rsidP="00DD118A">
            <w:pPr>
              <w:rPr>
                <w:rFonts w:ascii="Arial" w:hAnsi="Arial" w:cs="Arial"/>
                <w:sz w:val="20"/>
                <w:szCs w:val="20"/>
              </w:rPr>
            </w:pPr>
            <w:r w:rsidRPr="00DD118A">
              <w:rPr>
                <w:rFonts w:ascii="Arial" w:hAnsi="Arial" w:cs="Arial"/>
                <w:sz w:val="20"/>
                <w:szCs w:val="20"/>
              </w:rPr>
              <w:t>Rashodi za nabavu proizvedene dugotrajne imovine</w:t>
            </w:r>
          </w:p>
        </w:tc>
        <w:tc>
          <w:tcPr>
            <w:tcW w:w="1842" w:type="dxa"/>
            <w:tcBorders>
              <w:top w:val="nil"/>
              <w:left w:val="nil"/>
              <w:bottom w:val="single" w:sz="4" w:space="0" w:color="auto"/>
              <w:right w:val="single" w:sz="4" w:space="0" w:color="auto"/>
            </w:tcBorders>
            <w:shd w:val="clear" w:color="auto" w:fill="auto"/>
            <w:noWrap/>
            <w:vAlign w:val="bottom"/>
            <w:hideMark/>
          </w:tcPr>
          <w:p w14:paraId="7A371070"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4.545.282,00</w:t>
            </w:r>
          </w:p>
        </w:tc>
        <w:tc>
          <w:tcPr>
            <w:tcW w:w="1701" w:type="dxa"/>
            <w:tcBorders>
              <w:top w:val="nil"/>
              <w:left w:val="nil"/>
              <w:bottom w:val="single" w:sz="4" w:space="0" w:color="auto"/>
              <w:right w:val="single" w:sz="4" w:space="0" w:color="auto"/>
            </w:tcBorders>
            <w:shd w:val="clear" w:color="auto" w:fill="auto"/>
            <w:noWrap/>
            <w:vAlign w:val="bottom"/>
            <w:hideMark/>
          </w:tcPr>
          <w:p w14:paraId="2D7E8F3A"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-24.379,00</w:t>
            </w:r>
          </w:p>
        </w:tc>
        <w:tc>
          <w:tcPr>
            <w:tcW w:w="1418" w:type="dxa"/>
            <w:tcBorders>
              <w:top w:val="nil"/>
              <w:left w:val="nil"/>
              <w:bottom w:val="single" w:sz="4" w:space="0" w:color="auto"/>
              <w:right w:val="single" w:sz="4" w:space="0" w:color="auto"/>
            </w:tcBorders>
            <w:shd w:val="clear" w:color="auto" w:fill="auto"/>
            <w:noWrap/>
            <w:vAlign w:val="bottom"/>
            <w:hideMark/>
          </w:tcPr>
          <w:p w14:paraId="6B496555"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-0,54</w:t>
            </w:r>
          </w:p>
        </w:tc>
        <w:tc>
          <w:tcPr>
            <w:tcW w:w="1701" w:type="dxa"/>
            <w:tcBorders>
              <w:top w:val="nil"/>
              <w:left w:val="nil"/>
              <w:bottom w:val="single" w:sz="4" w:space="0" w:color="auto"/>
              <w:right w:val="single" w:sz="4" w:space="0" w:color="auto"/>
            </w:tcBorders>
            <w:shd w:val="clear" w:color="auto" w:fill="auto"/>
            <w:noWrap/>
            <w:vAlign w:val="bottom"/>
            <w:hideMark/>
          </w:tcPr>
          <w:p w14:paraId="79C14FBB"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4.520.903,00</w:t>
            </w:r>
          </w:p>
        </w:tc>
      </w:tr>
      <w:tr w:rsidR="00DD118A" w:rsidRPr="00DD118A" w14:paraId="0C1C4584" w14:textId="77777777" w:rsidTr="00DD118A">
        <w:trPr>
          <w:trHeight w:val="266"/>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5244B676" w14:textId="77777777" w:rsidR="00DD118A" w:rsidRPr="00DD118A" w:rsidRDefault="00DD118A" w:rsidP="00DD118A">
            <w:pPr>
              <w:rPr>
                <w:rFonts w:ascii="Arial" w:hAnsi="Arial" w:cs="Arial"/>
                <w:sz w:val="20"/>
                <w:szCs w:val="20"/>
              </w:rPr>
            </w:pPr>
            <w:r w:rsidRPr="00DD118A">
              <w:rPr>
                <w:rFonts w:ascii="Arial" w:hAnsi="Arial" w:cs="Arial"/>
                <w:sz w:val="20"/>
                <w:szCs w:val="20"/>
              </w:rPr>
              <w:t>45</w:t>
            </w:r>
          </w:p>
        </w:tc>
        <w:tc>
          <w:tcPr>
            <w:tcW w:w="6297" w:type="dxa"/>
            <w:tcBorders>
              <w:top w:val="nil"/>
              <w:left w:val="nil"/>
              <w:bottom w:val="single" w:sz="4" w:space="0" w:color="auto"/>
              <w:right w:val="single" w:sz="4" w:space="0" w:color="auto"/>
            </w:tcBorders>
            <w:shd w:val="clear" w:color="auto" w:fill="auto"/>
            <w:noWrap/>
            <w:vAlign w:val="bottom"/>
            <w:hideMark/>
          </w:tcPr>
          <w:p w14:paraId="31189B8B" w14:textId="77777777" w:rsidR="00DD118A" w:rsidRPr="00DD118A" w:rsidRDefault="00DD118A" w:rsidP="00DD118A">
            <w:pPr>
              <w:rPr>
                <w:rFonts w:ascii="Arial" w:hAnsi="Arial" w:cs="Arial"/>
                <w:sz w:val="20"/>
                <w:szCs w:val="20"/>
              </w:rPr>
            </w:pPr>
            <w:r w:rsidRPr="00DD118A">
              <w:rPr>
                <w:rFonts w:ascii="Arial" w:hAnsi="Arial" w:cs="Arial"/>
                <w:sz w:val="20"/>
                <w:szCs w:val="20"/>
              </w:rPr>
              <w:t>Rashodi za dodatna ulaganja na nefinancijskoj imovini</w:t>
            </w:r>
          </w:p>
        </w:tc>
        <w:tc>
          <w:tcPr>
            <w:tcW w:w="1842" w:type="dxa"/>
            <w:tcBorders>
              <w:top w:val="nil"/>
              <w:left w:val="nil"/>
              <w:bottom w:val="single" w:sz="4" w:space="0" w:color="auto"/>
              <w:right w:val="single" w:sz="4" w:space="0" w:color="auto"/>
            </w:tcBorders>
            <w:shd w:val="clear" w:color="auto" w:fill="auto"/>
            <w:noWrap/>
            <w:vAlign w:val="bottom"/>
            <w:hideMark/>
          </w:tcPr>
          <w:p w14:paraId="1813F2B3"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51.500,00</w:t>
            </w:r>
          </w:p>
        </w:tc>
        <w:tc>
          <w:tcPr>
            <w:tcW w:w="1701" w:type="dxa"/>
            <w:tcBorders>
              <w:top w:val="nil"/>
              <w:left w:val="nil"/>
              <w:bottom w:val="single" w:sz="4" w:space="0" w:color="auto"/>
              <w:right w:val="single" w:sz="4" w:space="0" w:color="auto"/>
            </w:tcBorders>
            <w:shd w:val="clear" w:color="auto" w:fill="auto"/>
            <w:noWrap/>
            <w:vAlign w:val="bottom"/>
            <w:hideMark/>
          </w:tcPr>
          <w:p w14:paraId="50527047"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27.363,00</w:t>
            </w:r>
          </w:p>
        </w:tc>
        <w:tc>
          <w:tcPr>
            <w:tcW w:w="1418" w:type="dxa"/>
            <w:tcBorders>
              <w:top w:val="nil"/>
              <w:left w:val="nil"/>
              <w:bottom w:val="single" w:sz="4" w:space="0" w:color="auto"/>
              <w:right w:val="single" w:sz="4" w:space="0" w:color="auto"/>
            </w:tcBorders>
            <w:shd w:val="clear" w:color="auto" w:fill="auto"/>
            <w:noWrap/>
            <w:vAlign w:val="bottom"/>
            <w:hideMark/>
          </w:tcPr>
          <w:p w14:paraId="05AA36ED"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53,13</w:t>
            </w:r>
          </w:p>
        </w:tc>
        <w:tc>
          <w:tcPr>
            <w:tcW w:w="1701" w:type="dxa"/>
            <w:tcBorders>
              <w:top w:val="nil"/>
              <w:left w:val="nil"/>
              <w:bottom w:val="single" w:sz="4" w:space="0" w:color="auto"/>
              <w:right w:val="single" w:sz="4" w:space="0" w:color="auto"/>
            </w:tcBorders>
            <w:shd w:val="clear" w:color="auto" w:fill="auto"/>
            <w:noWrap/>
            <w:vAlign w:val="bottom"/>
            <w:hideMark/>
          </w:tcPr>
          <w:p w14:paraId="6E09E17C" w14:textId="77777777" w:rsidR="00DD118A" w:rsidRPr="00DD118A" w:rsidRDefault="00DD118A" w:rsidP="00DD118A">
            <w:pPr>
              <w:jc w:val="right"/>
              <w:rPr>
                <w:rFonts w:ascii="Arial" w:hAnsi="Arial" w:cs="Arial"/>
                <w:sz w:val="20"/>
                <w:szCs w:val="20"/>
              </w:rPr>
            </w:pPr>
            <w:r w:rsidRPr="00DD118A">
              <w:rPr>
                <w:rFonts w:ascii="Arial" w:hAnsi="Arial" w:cs="Arial"/>
                <w:sz w:val="20"/>
                <w:szCs w:val="20"/>
              </w:rPr>
              <w:t>78.863,00</w:t>
            </w:r>
          </w:p>
        </w:tc>
      </w:tr>
    </w:tbl>
    <w:p w14:paraId="03FAE22C" w14:textId="77777777" w:rsidR="00ED34CE" w:rsidRDefault="00ED34CE" w:rsidP="00ED34CE">
      <w:pPr>
        <w:rPr>
          <w:rFonts w:ascii="Arial" w:hAnsi="Arial" w:cs="Arial"/>
          <w:b/>
          <w:bCs/>
          <w:sz w:val="16"/>
          <w:szCs w:val="16"/>
        </w:rPr>
      </w:pPr>
    </w:p>
    <w:p w14:paraId="4288CF07" w14:textId="77777777" w:rsidR="00ED34CE" w:rsidRDefault="00ED34CE" w:rsidP="00ED34CE">
      <w:pPr>
        <w:rPr>
          <w:rFonts w:ascii="Arial" w:hAnsi="Arial" w:cs="Arial"/>
          <w:b/>
          <w:bCs/>
          <w:sz w:val="16"/>
          <w:szCs w:val="16"/>
        </w:rPr>
      </w:pPr>
    </w:p>
    <w:p w14:paraId="2B8CF8AD" w14:textId="77777777" w:rsidR="00ED34CE" w:rsidRDefault="00ED34CE" w:rsidP="00ED34CE">
      <w:pPr>
        <w:rPr>
          <w:rFonts w:ascii="Arial" w:hAnsi="Arial" w:cs="Arial"/>
          <w:b/>
          <w:bCs/>
          <w:sz w:val="16"/>
          <w:szCs w:val="16"/>
        </w:rPr>
      </w:pPr>
    </w:p>
    <w:p w14:paraId="03E3F495" w14:textId="77777777" w:rsidR="00ED34CE" w:rsidRDefault="00ED34CE" w:rsidP="00ED34CE">
      <w:pPr>
        <w:rPr>
          <w:rFonts w:ascii="Arial" w:hAnsi="Arial" w:cs="Arial"/>
          <w:b/>
          <w:bCs/>
          <w:sz w:val="16"/>
          <w:szCs w:val="16"/>
        </w:rPr>
      </w:pPr>
    </w:p>
    <w:p w14:paraId="0F50E79F" w14:textId="77777777" w:rsidR="00ED34CE" w:rsidRDefault="00ED34CE" w:rsidP="00ED34CE">
      <w:pPr>
        <w:rPr>
          <w:rFonts w:ascii="Arial" w:hAnsi="Arial" w:cs="Arial"/>
          <w:b/>
          <w:bCs/>
          <w:sz w:val="16"/>
          <w:szCs w:val="16"/>
        </w:rPr>
      </w:pPr>
    </w:p>
    <w:p w14:paraId="7E94D2E5" w14:textId="77777777" w:rsidR="00ED34CE" w:rsidRDefault="00ED34CE" w:rsidP="00ED34CE">
      <w:pPr>
        <w:rPr>
          <w:rFonts w:ascii="Arial" w:hAnsi="Arial" w:cs="Arial"/>
          <w:b/>
          <w:bCs/>
          <w:sz w:val="16"/>
          <w:szCs w:val="16"/>
        </w:rPr>
      </w:pPr>
    </w:p>
    <w:p w14:paraId="729F7324" w14:textId="77777777" w:rsidR="00ED34CE" w:rsidRDefault="00ED34CE" w:rsidP="00ED34CE">
      <w:pPr>
        <w:rPr>
          <w:rFonts w:ascii="Arial" w:hAnsi="Arial" w:cs="Arial"/>
          <w:b/>
          <w:bCs/>
          <w:sz w:val="16"/>
          <w:szCs w:val="16"/>
        </w:rPr>
      </w:pPr>
    </w:p>
    <w:p w14:paraId="2DC31003" w14:textId="77777777" w:rsidR="00ED34CE" w:rsidRDefault="00ED34CE" w:rsidP="00ED34CE">
      <w:pPr>
        <w:rPr>
          <w:rFonts w:ascii="Arial" w:hAnsi="Arial" w:cs="Arial"/>
          <w:b/>
          <w:bCs/>
          <w:sz w:val="16"/>
          <w:szCs w:val="16"/>
        </w:rPr>
      </w:pPr>
    </w:p>
    <w:p w14:paraId="49B4C317" w14:textId="77777777" w:rsidR="00ED34CE" w:rsidRDefault="00ED34CE" w:rsidP="00ED34CE">
      <w:pPr>
        <w:rPr>
          <w:rFonts w:ascii="Arial" w:hAnsi="Arial" w:cs="Arial"/>
          <w:b/>
          <w:bCs/>
          <w:sz w:val="16"/>
          <w:szCs w:val="16"/>
        </w:rPr>
      </w:pPr>
    </w:p>
    <w:p w14:paraId="2A03F428" w14:textId="77777777" w:rsidR="00ED34CE" w:rsidRDefault="00ED34CE" w:rsidP="00ED34CE">
      <w:pPr>
        <w:rPr>
          <w:rFonts w:ascii="Arial" w:hAnsi="Arial" w:cs="Arial"/>
          <w:b/>
          <w:bCs/>
          <w:sz w:val="16"/>
          <w:szCs w:val="16"/>
        </w:rPr>
      </w:pPr>
    </w:p>
    <w:p w14:paraId="318FB6B1" w14:textId="77777777" w:rsidR="00ED34CE" w:rsidRDefault="00ED34CE" w:rsidP="00ED34CE">
      <w:pPr>
        <w:rPr>
          <w:rFonts w:ascii="Arial" w:hAnsi="Arial" w:cs="Arial"/>
          <w:b/>
          <w:bCs/>
          <w:sz w:val="16"/>
          <w:szCs w:val="16"/>
        </w:rPr>
      </w:pPr>
    </w:p>
    <w:p w14:paraId="241959C5" w14:textId="77777777" w:rsidR="00000BC1" w:rsidRDefault="00000BC1" w:rsidP="00ED34CE">
      <w:pPr>
        <w:rPr>
          <w:rFonts w:ascii="Arial" w:hAnsi="Arial" w:cs="Arial"/>
          <w:b/>
          <w:bCs/>
          <w:sz w:val="16"/>
          <w:szCs w:val="16"/>
        </w:rPr>
      </w:pPr>
    </w:p>
    <w:p w14:paraId="33BEEA70" w14:textId="77777777" w:rsidR="00000BC1" w:rsidRDefault="00000BC1" w:rsidP="00ED34CE">
      <w:pPr>
        <w:rPr>
          <w:rFonts w:ascii="Arial" w:hAnsi="Arial" w:cs="Arial"/>
          <w:b/>
          <w:bCs/>
          <w:sz w:val="16"/>
          <w:szCs w:val="16"/>
        </w:rPr>
      </w:pPr>
    </w:p>
    <w:p w14:paraId="00994EC2" w14:textId="77777777" w:rsidR="00000BC1" w:rsidRDefault="00000BC1" w:rsidP="00ED34CE">
      <w:pPr>
        <w:rPr>
          <w:rFonts w:ascii="Arial" w:hAnsi="Arial" w:cs="Arial"/>
          <w:b/>
          <w:bCs/>
          <w:sz w:val="16"/>
          <w:szCs w:val="16"/>
        </w:rPr>
      </w:pPr>
    </w:p>
    <w:p w14:paraId="06E3620F" w14:textId="77777777" w:rsidR="00000BC1" w:rsidRDefault="00000BC1" w:rsidP="00ED34CE">
      <w:pPr>
        <w:rPr>
          <w:rFonts w:ascii="Arial" w:hAnsi="Arial" w:cs="Arial"/>
          <w:b/>
          <w:bCs/>
          <w:sz w:val="16"/>
          <w:szCs w:val="16"/>
        </w:rPr>
      </w:pPr>
    </w:p>
    <w:p w14:paraId="0B319B72" w14:textId="77777777" w:rsidR="00000BC1" w:rsidRDefault="00000BC1" w:rsidP="00ED34CE">
      <w:pPr>
        <w:rPr>
          <w:rFonts w:ascii="Arial" w:hAnsi="Arial" w:cs="Arial"/>
          <w:b/>
          <w:bCs/>
          <w:sz w:val="16"/>
          <w:szCs w:val="16"/>
        </w:rPr>
      </w:pPr>
    </w:p>
    <w:p w14:paraId="6DFB840B" w14:textId="77777777" w:rsidR="00000BC1" w:rsidRDefault="00000BC1" w:rsidP="00ED34CE">
      <w:pPr>
        <w:rPr>
          <w:rFonts w:ascii="Arial" w:hAnsi="Arial" w:cs="Arial"/>
          <w:b/>
          <w:bCs/>
          <w:sz w:val="16"/>
          <w:szCs w:val="16"/>
        </w:rPr>
      </w:pPr>
    </w:p>
    <w:p w14:paraId="1F926F63" w14:textId="77777777" w:rsidR="00000BC1" w:rsidRDefault="00000BC1" w:rsidP="00ED34CE">
      <w:pPr>
        <w:rPr>
          <w:rFonts w:ascii="Arial" w:hAnsi="Arial" w:cs="Arial"/>
          <w:b/>
          <w:bCs/>
          <w:sz w:val="16"/>
          <w:szCs w:val="16"/>
        </w:rPr>
      </w:pPr>
    </w:p>
    <w:p w14:paraId="44772928" w14:textId="77777777" w:rsidR="00000BC1" w:rsidRDefault="00000BC1" w:rsidP="00ED34CE">
      <w:pPr>
        <w:rPr>
          <w:rFonts w:ascii="Arial" w:hAnsi="Arial" w:cs="Arial"/>
          <w:b/>
          <w:bCs/>
          <w:sz w:val="16"/>
          <w:szCs w:val="16"/>
        </w:rPr>
      </w:pPr>
    </w:p>
    <w:p w14:paraId="1169F992" w14:textId="77777777" w:rsidR="00000BC1" w:rsidRDefault="00000BC1" w:rsidP="00ED34CE">
      <w:pPr>
        <w:rPr>
          <w:rFonts w:ascii="Arial" w:hAnsi="Arial" w:cs="Arial"/>
          <w:b/>
          <w:bCs/>
          <w:sz w:val="16"/>
          <w:szCs w:val="16"/>
        </w:rPr>
      </w:pPr>
    </w:p>
    <w:p w14:paraId="4AEDE4E4" w14:textId="77777777" w:rsidR="00000BC1" w:rsidRDefault="00000BC1" w:rsidP="00ED34CE">
      <w:pPr>
        <w:rPr>
          <w:rFonts w:ascii="Arial" w:hAnsi="Arial" w:cs="Arial"/>
          <w:b/>
          <w:bCs/>
          <w:sz w:val="16"/>
          <w:szCs w:val="16"/>
        </w:rPr>
      </w:pPr>
    </w:p>
    <w:p w14:paraId="05B2E388" w14:textId="77777777" w:rsidR="00000BC1" w:rsidRDefault="00000BC1" w:rsidP="00ED34CE">
      <w:pPr>
        <w:rPr>
          <w:rFonts w:ascii="Arial" w:hAnsi="Arial" w:cs="Arial"/>
          <w:b/>
          <w:bCs/>
          <w:sz w:val="16"/>
          <w:szCs w:val="16"/>
        </w:rPr>
      </w:pPr>
    </w:p>
    <w:p w14:paraId="494FB697" w14:textId="77777777" w:rsidR="00000BC1" w:rsidRDefault="00000BC1" w:rsidP="00ED34CE">
      <w:pPr>
        <w:rPr>
          <w:rFonts w:ascii="Arial" w:hAnsi="Arial" w:cs="Arial"/>
          <w:b/>
          <w:bCs/>
          <w:sz w:val="16"/>
          <w:szCs w:val="16"/>
        </w:rPr>
      </w:pPr>
    </w:p>
    <w:p w14:paraId="6D881CEE" w14:textId="77777777" w:rsidR="00000BC1" w:rsidRDefault="00000BC1" w:rsidP="00ED34CE">
      <w:pPr>
        <w:rPr>
          <w:rFonts w:ascii="Arial" w:hAnsi="Arial" w:cs="Arial"/>
          <w:b/>
          <w:bCs/>
          <w:sz w:val="16"/>
          <w:szCs w:val="16"/>
        </w:rPr>
      </w:pPr>
    </w:p>
    <w:p w14:paraId="12894CE3" w14:textId="77777777" w:rsidR="00000BC1" w:rsidRDefault="00000BC1" w:rsidP="00ED34CE">
      <w:pPr>
        <w:rPr>
          <w:rFonts w:ascii="Arial" w:hAnsi="Arial" w:cs="Arial"/>
          <w:b/>
          <w:bCs/>
          <w:sz w:val="16"/>
          <w:szCs w:val="16"/>
        </w:rPr>
      </w:pPr>
    </w:p>
    <w:p w14:paraId="0D21895A" w14:textId="77777777" w:rsidR="00000BC1" w:rsidRDefault="00000BC1" w:rsidP="00ED34CE">
      <w:pPr>
        <w:rPr>
          <w:rFonts w:ascii="Arial" w:hAnsi="Arial" w:cs="Arial"/>
          <w:b/>
          <w:bCs/>
          <w:sz w:val="16"/>
          <w:szCs w:val="16"/>
        </w:rPr>
      </w:pPr>
    </w:p>
    <w:p w14:paraId="1D89DDAB" w14:textId="77777777" w:rsidR="00000BC1" w:rsidRDefault="00000BC1" w:rsidP="00ED34CE">
      <w:pPr>
        <w:rPr>
          <w:rFonts w:ascii="Arial" w:hAnsi="Arial" w:cs="Arial"/>
          <w:b/>
          <w:bCs/>
          <w:sz w:val="16"/>
          <w:szCs w:val="16"/>
        </w:rPr>
      </w:pPr>
    </w:p>
    <w:p w14:paraId="094457A8" w14:textId="77777777" w:rsidR="00000BC1" w:rsidRDefault="00000BC1" w:rsidP="00ED34CE">
      <w:pPr>
        <w:rPr>
          <w:rFonts w:ascii="Arial" w:hAnsi="Arial" w:cs="Arial"/>
          <w:b/>
          <w:bCs/>
          <w:sz w:val="16"/>
          <w:szCs w:val="16"/>
        </w:rPr>
      </w:pPr>
    </w:p>
    <w:p w14:paraId="3BC0D37E" w14:textId="77777777" w:rsidR="00000BC1" w:rsidRDefault="00000BC1" w:rsidP="00ED34CE">
      <w:pPr>
        <w:rPr>
          <w:rFonts w:ascii="Arial" w:hAnsi="Arial" w:cs="Arial"/>
          <w:b/>
          <w:bCs/>
          <w:sz w:val="16"/>
          <w:szCs w:val="16"/>
        </w:rPr>
      </w:pPr>
    </w:p>
    <w:p w14:paraId="5EA29251" w14:textId="77777777" w:rsidR="00000BC1" w:rsidRDefault="00000BC1" w:rsidP="00ED34CE">
      <w:pPr>
        <w:rPr>
          <w:rFonts w:ascii="Arial" w:hAnsi="Arial" w:cs="Arial"/>
          <w:b/>
          <w:bCs/>
          <w:sz w:val="16"/>
          <w:szCs w:val="16"/>
        </w:rPr>
      </w:pPr>
    </w:p>
    <w:p w14:paraId="6DFEA125" w14:textId="77777777" w:rsidR="00000BC1" w:rsidRDefault="00000BC1" w:rsidP="00ED34CE">
      <w:pPr>
        <w:rPr>
          <w:rFonts w:ascii="Arial" w:hAnsi="Arial" w:cs="Arial"/>
          <w:b/>
          <w:bCs/>
          <w:sz w:val="16"/>
          <w:szCs w:val="16"/>
        </w:rPr>
      </w:pPr>
    </w:p>
    <w:p w14:paraId="25FDA55A" w14:textId="77777777" w:rsidR="00000BC1" w:rsidRDefault="00000BC1" w:rsidP="00ED34CE">
      <w:pPr>
        <w:rPr>
          <w:rFonts w:ascii="Arial" w:hAnsi="Arial" w:cs="Arial"/>
          <w:b/>
          <w:bCs/>
          <w:sz w:val="16"/>
          <w:szCs w:val="16"/>
        </w:rPr>
      </w:pPr>
    </w:p>
    <w:p w14:paraId="0B186ADB" w14:textId="77777777" w:rsidR="00000BC1" w:rsidRDefault="00000BC1" w:rsidP="00ED34CE">
      <w:pPr>
        <w:rPr>
          <w:rFonts w:ascii="Arial" w:hAnsi="Arial" w:cs="Arial"/>
          <w:b/>
          <w:bCs/>
          <w:sz w:val="16"/>
          <w:szCs w:val="16"/>
        </w:rPr>
      </w:pPr>
    </w:p>
    <w:p w14:paraId="0E249D0F" w14:textId="77777777" w:rsidR="00000BC1" w:rsidRDefault="00000BC1" w:rsidP="00ED34CE">
      <w:pPr>
        <w:rPr>
          <w:rFonts w:ascii="Arial" w:hAnsi="Arial" w:cs="Arial"/>
          <w:b/>
          <w:bCs/>
          <w:sz w:val="16"/>
          <w:szCs w:val="16"/>
        </w:rPr>
      </w:pPr>
    </w:p>
    <w:p w14:paraId="6C9A2B9F" w14:textId="77777777" w:rsidR="00000BC1" w:rsidRDefault="00000BC1" w:rsidP="00ED34CE">
      <w:pPr>
        <w:rPr>
          <w:rFonts w:ascii="Arial" w:hAnsi="Arial" w:cs="Arial"/>
          <w:b/>
          <w:bCs/>
          <w:sz w:val="16"/>
          <w:szCs w:val="16"/>
        </w:rPr>
      </w:pPr>
    </w:p>
    <w:p w14:paraId="18DAB47C" w14:textId="77777777" w:rsidR="00000BC1" w:rsidRDefault="00000BC1" w:rsidP="00ED34CE">
      <w:pPr>
        <w:rPr>
          <w:rFonts w:ascii="Arial" w:hAnsi="Arial" w:cs="Arial"/>
          <w:b/>
          <w:bCs/>
          <w:sz w:val="16"/>
          <w:szCs w:val="16"/>
        </w:rPr>
      </w:pPr>
    </w:p>
    <w:p w14:paraId="1E5836CE" w14:textId="77777777" w:rsidR="00ED34CE" w:rsidRDefault="00ED34CE" w:rsidP="00ED34CE">
      <w:pPr>
        <w:rPr>
          <w:rFonts w:ascii="Arial" w:hAnsi="Arial" w:cs="Arial"/>
          <w:b/>
          <w:bCs/>
          <w:sz w:val="16"/>
          <w:szCs w:val="16"/>
        </w:rPr>
      </w:pPr>
    </w:p>
    <w:p w14:paraId="2EFE3BA2" w14:textId="77777777" w:rsidR="00ED34CE" w:rsidRDefault="00ED34CE" w:rsidP="00ED34CE">
      <w:pPr>
        <w:rPr>
          <w:rFonts w:ascii="Arial" w:hAnsi="Arial" w:cs="Arial"/>
          <w:b/>
          <w:bCs/>
          <w:sz w:val="16"/>
          <w:szCs w:val="16"/>
        </w:rPr>
      </w:pPr>
    </w:p>
    <w:p w14:paraId="132B3208" w14:textId="77777777" w:rsidR="00ED34CE" w:rsidRDefault="00ED34CE" w:rsidP="00ED34CE">
      <w:pPr>
        <w:rPr>
          <w:rFonts w:ascii="Arial" w:hAnsi="Arial" w:cs="Arial"/>
          <w:b/>
          <w:bCs/>
          <w:sz w:val="16"/>
          <w:szCs w:val="16"/>
        </w:rPr>
      </w:pPr>
    </w:p>
    <w:p w14:paraId="4098B4D2" w14:textId="77777777" w:rsidR="00ED34CE" w:rsidRDefault="00ED34CE" w:rsidP="00ED34CE">
      <w:pPr>
        <w:rPr>
          <w:rFonts w:ascii="Arial" w:hAnsi="Arial" w:cs="Arial"/>
          <w:b/>
          <w:bCs/>
          <w:sz w:val="16"/>
          <w:szCs w:val="16"/>
        </w:rPr>
      </w:pPr>
    </w:p>
    <w:p w14:paraId="5131C9DD" w14:textId="77777777" w:rsidR="00ED34CE" w:rsidRDefault="00ED34CE" w:rsidP="00ED34CE">
      <w:pPr>
        <w:rPr>
          <w:rFonts w:ascii="Arial" w:hAnsi="Arial" w:cs="Arial"/>
          <w:b/>
          <w:bCs/>
          <w:sz w:val="16"/>
          <w:szCs w:val="16"/>
        </w:rPr>
      </w:pPr>
    </w:p>
    <w:p w14:paraId="4758378E" w14:textId="77777777" w:rsidR="00ED34CE" w:rsidRDefault="00ED34CE" w:rsidP="00ED34CE">
      <w:pPr>
        <w:rPr>
          <w:rFonts w:ascii="Arial" w:hAnsi="Arial" w:cs="Arial"/>
          <w:b/>
          <w:bCs/>
          <w:sz w:val="16"/>
          <w:szCs w:val="16"/>
        </w:rPr>
      </w:pPr>
    </w:p>
    <w:p w14:paraId="33CBE457" w14:textId="77777777" w:rsidR="00ED34CE" w:rsidRDefault="00ED34CE" w:rsidP="00ED34CE">
      <w:pPr>
        <w:rPr>
          <w:rFonts w:ascii="Arial" w:hAnsi="Arial" w:cs="Arial"/>
          <w:b/>
          <w:bCs/>
          <w:sz w:val="16"/>
          <w:szCs w:val="16"/>
        </w:rPr>
      </w:pPr>
    </w:p>
    <w:p w14:paraId="1E0073FB" w14:textId="1E581289" w:rsidR="00ED34CE" w:rsidRDefault="00ED34CE" w:rsidP="00ED34CE">
      <w:pPr>
        <w:rPr>
          <w:rFonts w:ascii="Arial" w:hAnsi="Arial" w:cs="Arial"/>
          <w:b/>
          <w:bCs/>
          <w:sz w:val="16"/>
          <w:szCs w:val="16"/>
        </w:rPr>
      </w:pPr>
      <w:r w:rsidRPr="0029467F">
        <w:rPr>
          <w:rFonts w:ascii="Arial" w:hAnsi="Arial" w:cs="Arial"/>
          <w:b/>
          <w:bCs/>
          <w:sz w:val="16"/>
          <w:szCs w:val="16"/>
        </w:rPr>
        <w:lastRenderedPageBreak/>
        <w:t>GRAD LABIN</w:t>
      </w:r>
    </w:p>
    <w:p w14:paraId="126E2453" w14:textId="77777777" w:rsidR="00ED34CE" w:rsidRPr="0029467F" w:rsidRDefault="00ED34CE" w:rsidP="00ED34CE">
      <w:pPr>
        <w:rPr>
          <w:rFonts w:ascii="Arial" w:hAnsi="Arial" w:cs="Arial"/>
          <w:b/>
          <w:bCs/>
          <w:sz w:val="16"/>
          <w:szCs w:val="16"/>
        </w:rPr>
      </w:pPr>
      <w:r w:rsidRPr="0029467F">
        <w:rPr>
          <w:rFonts w:ascii="Arial" w:hAnsi="Arial" w:cs="Arial"/>
          <w:b/>
          <w:bCs/>
          <w:sz w:val="16"/>
          <w:szCs w:val="16"/>
        </w:rPr>
        <w:t>TITOV TRG 11</w:t>
      </w:r>
    </w:p>
    <w:p w14:paraId="5A453AF7" w14:textId="26744A36" w:rsidR="0063170E" w:rsidRDefault="00ED34CE" w:rsidP="00ED34CE">
      <w:pPr>
        <w:rPr>
          <w:rFonts w:ascii="Arial" w:hAnsi="Arial" w:cs="Arial"/>
          <w:b/>
          <w:bCs/>
          <w:sz w:val="16"/>
          <w:szCs w:val="16"/>
        </w:rPr>
      </w:pPr>
      <w:r w:rsidRPr="0029467F">
        <w:rPr>
          <w:rFonts w:ascii="Arial" w:hAnsi="Arial" w:cs="Arial"/>
          <w:b/>
          <w:bCs/>
          <w:sz w:val="16"/>
          <w:szCs w:val="16"/>
        </w:rPr>
        <w:t>LABIN 52220</w:t>
      </w:r>
    </w:p>
    <w:p w14:paraId="234C81EE" w14:textId="49214D25" w:rsidR="00ED34CE" w:rsidRDefault="00ED34CE" w:rsidP="00ED34CE">
      <w:pPr>
        <w:rPr>
          <w:rFonts w:ascii="Arial" w:hAnsi="Arial" w:cs="Arial"/>
          <w:b/>
        </w:rPr>
      </w:pPr>
      <w:r w:rsidRPr="0029467F">
        <w:rPr>
          <w:rFonts w:ascii="Arial" w:hAnsi="Arial" w:cs="Arial"/>
          <w:b/>
          <w:bCs/>
          <w:sz w:val="16"/>
          <w:szCs w:val="16"/>
        </w:rPr>
        <w:t>OIB: 19041331726</w:t>
      </w:r>
    </w:p>
    <w:p w14:paraId="35EEC2A8" w14:textId="55DCAA4B" w:rsidR="008E4A37" w:rsidRDefault="008E4A37" w:rsidP="008E4A37">
      <w:pPr>
        <w:pStyle w:val="Odlomakpopisa"/>
        <w:ind w:left="1080"/>
        <w:jc w:val="center"/>
        <w:rPr>
          <w:rFonts w:ascii="Arial" w:hAnsi="Arial" w:cs="Arial"/>
          <w:b/>
          <w:bCs/>
        </w:rPr>
      </w:pPr>
      <w:r>
        <w:rPr>
          <w:rFonts w:ascii="Arial" w:hAnsi="Arial" w:cs="Arial"/>
          <w:b/>
          <w:bCs/>
        </w:rPr>
        <w:t>1.1.2</w:t>
      </w:r>
      <w:r w:rsidR="005E086A">
        <w:rPr>
          <w:rFonts w:ascii="Arial" w:hAnsi="Arial" w:cs="Arial"/>
          <w:b/>
          <w:bCs/>
        </w:rPr>
        <w:t xml:space="preserve">. </w:t>
      </w:r>
      <w:r w:rsidRPr="008E4A37">
        <w:rPr>
          <w:rFonts w:ascii="Arial" w:hAnsi="Arial" w:cs="Arial"/>
          <w:b/>
          <w:bCs/>
        </w:rPr>
        <w:t>PRIHOD</w:t>
      </w:r>
      <w:r w:rsidR="005E086A">
        <w:rPr>
          <w:rFonts w:ascii="Arial" w:hAnsi="Arial" w:cs="Arial"/>
          <w:b/>
          <w:bCs/>
        </w:rPr>
        <w:t>I</w:t>
      </w:r>
      <w:r w:rsidRPr="008E4A37">
        <w:rPr>
          <w:rFonts w:ascii="Arial" w:hAnsi="Arial" w:cs="Arial"/>
          <w:b/>
          <w:bCs/>
        </w:rPr>
        <w:t xml:space="preserve"> I RASHOD</w:t>
      </w:r>
      <w:r w:rsidR="005E086A">
        <w:rPr>
          <w:rFonts w:ascii="Arial" w:hAnsi="Arial" w:cs="Arial"/>
          <w:b/>
          <w:bCs/>
        </w:rPr>
        <w:t>I</w:t>
      </w:r>
      <w:r w:rsidRPr="008E4A37">
        <w:rPr>
          <w:rFonts w:ascii="Arial" w:hAnsi="Arial" w:cs="Arial"/>
          <w:b/>
          <w:bCs/>
        </w:rPr>
        <w:t xml:space="preserve"> PREMA </w:t>
      </w:r>
      <w:r>
        <w:rPr>
          <w:rFonts w:ascii="Arial" w:hAnsi="Arial" w:cs="Arial"/>
          <w:b/>
          <w:bCs/>
        </w:rPr>
        <w:t>IZVORIMA FINANCIRANJA</w:t>
      </w:r>
    </w:p>
    <w:p w14:paraId="1FF3266C" w14:textId="77777777" w:rsidR="0022629E" w:rsidRDefault="0022629E" w:rsidP="00F70F6F">
      <w:pPr>
        <w:pStyle w:val="Odlomakpopisa"/>
        <w:spacing w:after="0" w:line="240" w:lineRule="auto"/>
        <w:ind w:left="1080"/>
        <w:jc w:val="center"/>
        <w:rPr>
          <w:rFonts w:ascii="Arial" w:hAnsi="Arial" w:cs="Arial"/>
          <w:b/>
          <w:bCs/>
        </w:rPr>
      </w:pPr>
    </w:p>
    <w:p w14:paraId="3F81C68D" w14:textId="3973368F" w:rsidR="00F70F6F" w:rsidRPr="00F70F6F" w:rsidRDefault="00F70F6F" w:rsidP="00F70F6F">
      <w:pPr>
        <w:pStyle w:val="Odlomakpopisa"/>
        <w:spacing w:after="0" w:line="240" w:lineRule="auto"/>
        <w:ind w:left="1080"/>
        <w:jc w:val="right"/>
        <w:rPr>
          <w:rFonts w:ascii="Arial" w:hAnsi="Arial" w:cs="Arial"/>
          <w:b/>
          <w:bCs/>
          <w:sz w:val="20"/>
          <w:szCs w:val="20"/>
        </w:rPr>
      </w:pPr>
      <w:r w:rsidRPr="00F70F6F">
        <w:rPr>
          <w:rFonts w:ascii="Arial" w:hAnsi="Arial" w:cs="Arial"/>
          <w:b/>
          <w:bCs/>
          <w:sz w:val="20"/>
          <w:szCs w:val="20"/>
        </w:rPr>
        <w:t>U EUR</w:t>
      </w:r>
    </w:p>
    <w:tbl>
      <w:tblPr>
        <w:tblW w:w="13900" w:type="dxa"/>
        <w:tblLook w:val="04A0" w:firstRow="1" w:lastRow="0" w:firstColumn="1" w:lastColumn="0" w:noHBand="0" w:noVBand="1"/>
      </w:tblPr>
      <w:tblGrid>
        <w:gridCol w:w="6551"/>
        <w:gridCol w:w="1880"/>
        <w:gridCol w:w="1893"/>
        <w:gridCol w:w="1696"/>
        <w:gridCol w:w="1880"/>
      </w:tblGrid>
      <w:tr w:rsidR="00BB40E2" w:rsidRPr="00BB40E2" w14:paraId="19B08EBA" w14:textId="77777777" w:rsidTr="00BB40E2">
        <w:trPr>
          <w:trHeight w:val="264"/>
        </w:trPr>
        <w:tc>
          <w:tcPr>
            <w:tcW w:w="6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0766A3" w14:textId="77777777" w:rsidR="00BB40E2" w:rsidRPr="00BB40E2" w:rsidRDefault="00BB40E2" w:rsidP="00F70F6F">
            <w:pPr>
              <w:rPr>
                <w:rFonts w:ascii="Arial" w:hAnsi="Arial" w:cs="Arial"/>
                <w:b/>
                <w:bCs/>
                <w:sz w:val="20"/>
                <w:szCs w:val="20"/>
              </w:rPr>
            </w:pPr>
            <w:r w:rsidRPr="00BB40E2">
              <w:rPr>
                <w:rFonts w:ascii="Arial" w:hAnsi="Arial" w:cs="Arial"/>
                <w:b/>
                <w:bCs/>
                <w:sz w:val="20"/>
                <w:szCs w:val="20"/>
              </w:rPr>
              <w:t>IZVOR</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37F96C22" w14:textId="63A9413E" w:rsidR="00BB40E2" w:rsidRPr="00BB40E2" w:rsidRDefault="00BB40E2" w:rsidP="00F70F6F">
            <w:pPr>
              <w:rPr>
                <w:rFonts w:ascii="Arial" w:hAnsi="Arial" w:cs="Arial"/>
                <w:b/>
                <w:bCs/>
                <w:sz w:val="20"/>
                <w:szCs w:val="20"/>
              </w:rPr>
            </w:pPr>
            <w:r w:rsidRPr="00BB40E2">
              <w:rPr>
                <w:rFonts w:ascii="Arial" w:hAnsi="Arial" w:cs="Arial"/>
                <w:b/>
                <w:bCs/>
                <w:sz w:val="20"/>
                <w:szCs w:val="20"/>
              </w:rPr>
              <w:t>PLAN ZA 202</w:t>
            </w:r>
            <w:r w:rsidR="00000BC1">
              <w:rPr>
                <w:rFonts w:ascii="Arial" w:hAnsi="Arial" w:cs="Arial"/>
                <w:b/>
                <w:bCs/>
                <w:sz w:val="20"/>
                <w:szCs w:val="20"/>
              </w:rPr>
              <w:t>5</w:t>
            </w:r>
            <w:r w:rsidRPr="00BB40E2">
              <w:rPr>
                <w:rFonts w:ascii="Arial" w:hAnsi="Arial" w:cs="Arial"/>
                <w:b/>
                <w:bCs/>
                <w:sz w:val="20"/>
                <w:szCs w:val="20"/>
              </w:rPr>
              <w:t>.</w:t>
            </w:r>
          </w:p>
        </w:tc>
        <w:tc>
          <w:tcPr>
            <w:tcW w:w="1893" w:type="dxa"/>
            <w:tcBorders>
              <w:top w:val="single" w:sz="4" w:space="0" w:color="auto"/>
              <w:left w:val="nil"/>
              <w:bottom w:val="single" w:sz="4" w:space="0" w:color="auto"/>
              <w:right w:val="single" w:sz="4" w:space="0" w:color="auto"/>
            </w:tcBorders>
            <w:shd w:val="clear" w:color="auto" w:fill="auto"/>
            <w:noWrap/>
            <w:vAlign w:val="bottom"/>
            <w:hideMark/>
          </w:tcPr>
          <w:p w14:paraId="76B623FF" w14:textId="77777777" w:rsidR="00BB40E2" w:rsidRPr="00BB40E2" w:rsidRDefault="00BB40E2" w:rsidP="00F70F6F">
            <w:pPr>
              <w:rPr>
                <w:rFonts w:ascii="Arial" w:hAnsi="Arial" w:cs="Arial"/>
                <w:b/>
                <w:bCs/>
                <w:sz w:val="20"/>
                <w:szCs w:val="20"/>
              </w:rPr>
            </w:pPr>
            <w:r w:rsidRPr="00BB40E2">
              <w:rPr>
                <w:rFonts w:ascii="Arial" w:hAnsi="Arial" w:cs="Arial"/>
                <w:b/>
                <w:bCs/>
                <w:sz w:val="20"/>
                <w:szCs w:val="20"/>
              </w:rPr>
              <w:t>POVEĆANJE/ SMANJENJE</w:t>
            </w:r>
          </w:p>
        </w:tc>
        <w:tc>
          <w:tcPr>
            <w:tcW w:w="1696" w:type="dxa"/>
            <w:tcBorders>
              <w:top w:val="single" w:sz="4" w:space="0" w:color="auto"/>
              <w:left w:val="nil"/>
              <w:bottom w:val="single" w:sz="4" w:space="0" w:color="auto"/>
              <w:right w:val="single" w:sz="4" w:space="0" w:color="auto"/>
            </w:tcBorders>
            <w:shd w:val="clear" w:color="auto" w:fill="auto"/>
            <w:vAlign w:val="bottom"/>
            <w:hideMark/>
          </w:tcPr>
          <w:p w14:paraId="448FF110" w14:textId="77777777" w:rsidR="00BB40E2" w:rsidRPr="00BB40E2" w:rsidRDefault="00BB40E2" w:rsidP="00F70F6F">
            <w:pPr>
              <w:rPr>
                <w:rFonts w:ascii="Arial" w:hAnsi="Arial" w:cs="Arial"/>
                <w:b/>
                <w:bCs/>
                <w:sz w:val="20"/>
                <w:szCs w:val="20"/>
              </w:rPr>
            </w:pPr>
            <w:r w:rsidRPr="00BB40E2">
              <w:rPr>
                <w:rFonts w:ascii="Arial" w:hAnsi="Arial" w:cs="Arial"/>
                <w:b/>
                <w:bCs/>
                <w:sz w:val="20"/>
                <w:szCs w:val="20"/>
              </w:rPr>
              <w:t>PROMJENA</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611FBD5D" w14:textId="722D7E1F" w:rsidR="00BB40E2" w:rsidRPr="00BB40E2" w:rsidRDefault="00BB40E2" w:rsidP="00F70F6F">
            <w:pPr>
              <w:rPr>
                <w:rFonts w:ascii="Arial" w:hAnsi="Arial" w:cs="Arial"/>
                <w:b/>
                <w:bCs/>
                <w:sz w:val="20"/>
                <w:szCs w:val="20"/>
              </w:rPr>
            </w:pPr>
            <w:r w:rsidRPr="00BB40E2">
              <w:rPr>
                <w:rFonts w:ascii="Arial" w:hAnsi="Arial" w:cs="Arial"/>
                <w:b/>
                <w:bCs/>
                <w:sz w:val="20"/>
                <w:szCs w:val="20"/>
              </w:rPr>
              <w:t>NOVI PLAN ZA 202</w:t>
            </w:r>
            <w:r w:rsidR="00000BC1">
              <w:rPr>
                <w:rFonts w:ascii="Arial" w:hAnsi="Arial" w:cs="Arial"/>
                <w:b/>
                <w:bCs/>
                <w:sz w:val="20"/>
                <w:szCs w:val="20"/>
              </w:rPr>
              <w:t>5</w:t>
            </w:r>
            <w:r w:rsidRPr="00BB40E2">
              <w:rPr>
                <w:rFonts w:ascii="Arial" w:hAnsi="Arial" w:cs="Arial"/>
                <w:b/>
                <w:bCs/>
                <w:sz w:val="20"/>
                <w:szCs w:val="20"/>
              </w:rPr>
              <w:t>.</w:t>
            </w:r>
          </w:p>
        </w:tc>
      </w:tr>
      <w:tr w:rsidR="00BB40E2" w:rsidRPr="00BB40E2" w14:paraId="51FEFDA1"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A6A6A6"/>
            <w:noWrap/>
            <w:vAlign w:val="bottom"/>
            <w:hideMark/>
          </w:tcPr>
          <w:p w14:paraId="2560254D" w14:textId="77777777" w:rsidR="00BB40E2" w:rsidRPr="00BB40E2" w:rsidRDefault="00BB40E2" w:rsidP="00BB40E2">
            <w:pPr>
              <w:rPr>
                <w:rFonts w:ascii="Arial" w:hAnsi="Arial" w:cs="Arial"/>
                <w:b/>
                <w:bCs/>
                <w:sz w:val="20"/>
                <w:szCs w:val="20"/>
              </w:rPr>
            </w:pPr>
            <w:r w:rsidRPr="00BB40E2">
              <w:rPr>
                <w:rFonts w:ascii="Arial" w:hAnsi="Arial" w:cs="Arial"/>
                <w:b/>
                <w:bCs/>
                <w:sz w:val="20"/>
                <w:szCs w:val="20"/>
              </w:rPr>
              <w:t xml:space="preserve">  SVEUKUPNO PRIHODI</w:t>
            </w:r>
          </w:p>
        </w:tc>
        <w:tc>
          <w:tcPr>
            <w:tcW w:w="1880" w:type="dxa"/>
            <w:tcBorders>
              <w:top w:val="nil"/>
              <w:left w:val="nil"/>
              <w:bottom w:val="single" w:sz="4" w:space="0" w:color="auto"/>
              <w:right w:val="single" w:sz="4" w:space="0" w:color="auto"/>
            </w:tcBorders>
            <w:shd w:val="clear" w:color="000000" w:fill="A6A6A6"/>
            <w:noWrap/>
            <w:vAlign w:val="bottom"/>
            <w:hideMark/>
          </w:tcPr>
          <w:p w14:paraId="7483C97F" w14:textId="77777777" w:rsidR="00BB40E2" w:rsidRPr="00BB40E2" w:rsidRDefault="00BB40E2" w:rsidP="00BB40E2">
            <w:pPr>
              <w:jc w:val="right"/>
              <w:rPr>
                <w:rFonts w:ascii="Arial" w:hAnsi="Arial" w:cs="Arial"/>
                <w:b/>
                <w:bCs/>
                <w:sz w:val="20"/>
                <w:szCs w:val="20"/>
              </w:rPr>
            </w:pPr>
            <w:r w:rsidRPr="00BB40E2">
              <w:rPr>
                <w:rFonts w:ascii="Arial" w:hAnsi="Arial" w:cs="Arial"/>
                <w:b/>
                <w:bCs/>
                <w:sz w:val="20"/>
                <w:szCs w:val="20"/>
              </w:rPr>
              <w:t>27.456.774,00</w:t>
            </w:r>
          </w:p>
        </w:tc>
        <w:tc>
          <w:tcPr>
            <w:tcW w:w="1893" w:type="dxa"/>
            <w:tcBorders>
              <w:top w:val="nil"/>
              <w:left w:val="nil"/>
              <w:bottom w:val="single" w:sz="4" w:space="0" w:color="auto"/>
              <w:right w:val="single" w:sz="4" w:space="0" w:color="auto"/>
            </w:tcBorders>
            <w:shd w:val="clear" w:color="000000" w:fill="A6A6A6"/>
            <w:noWrap/>
            <w:vAlign w:val="bottom"/>
            <w:hideMark/>
          </w:tcPr>
          <w:p w14:paraId="7ED5F4C2" w14:textId="77777777" w:rsidR="00BB40E2" w:rsidRPr="00BB40E2" w:rsidRDefault="00BB40E2" w:rsidP="00BB40E2">
            <w:pPr>
              <w:jc w:val="right"/>
              <w:rPr>
                <w:rFonts w:ascii="Arial" w:hAnsi="Arial" w:cs="Arial"/>
                <w:b/>
                <w:bCs/>
                <w:sz w:val="20"/>
                <w:szCs w:val="20"/>
              </w:rPr>
            </w:pPr>
            <w:r w:rsidRPr="00BB40E2">
              <w:rPr>
                <w:rFonts w:ascii="Arial" w:hAnsi="Arial" w:cs="Arial"/>
                <w:b/>
                <w:bCs/>
                <w:sz w:val="20"/>
                <w:szCs w:val="20"/>
              </w:rPr>
              <w:t>190.974,00</w:t>
            </w:r>
          </w:p>
        </w:tc>
        <w:tc>
          <w:tcPr>
            <w:tcW w:w="1696" w:type="dxa"/>
            <w:tcBorders>
              <w:top w:val="nil"/>
              <w:left w:val="nil"/>
              <w:bottom w:val="single" w:sz="4" w:space="0" w:color="auto"/>
              <w:right w:val="single" w:sz="4" w:space="0" w:color="auto"/>
            </w:tcBorders>
            <w:shd w:val="clear" w:color="000000" w:fill="A6A6A6"/>
            <w:noWrap/>
            <w:vAlign w:val="bottom"/>
            <w:hideMark/>
          </w:tcPr>
          <w:p w14:paraId="711BBEC5" w14:textId="77777777" w:rsidR="00BB40E2" w:rsidRPr="00BB40E2" w:rsidRDefault="00BB40E2" w:rsidP="00BB40E2">
            <w:pPr>
              <w:jc w:val="right"/>
              <w:rPr>
                <w:rFonts w:ascii="Arial" w:hAnsi="Arial" w:cs="Arial"/>
                <w:b/>
                <w:bCs/>
                <w:sz w:val="20"/>
                <w:szCs w:val="20"/>
              </w:rPr>
            </w:pPr>
            <w:r w:rsidRPr="00BB40E2">
              <w:rPr>
                <w:rFonts w:ascii="Arial" w:hAnsi="Arial" w:cs="Arial"/>
                <w:b/>
                <w:bCs/>
                <w:sz w:val="20"/>
                <w:szCs w:val="20"/>
              </w:rPr>
              <w:t>0,70</w:t>
            </w:r>
          </w:p>
        </w:tc>
        <w:tc>
          <w:tcPr>
            <w:tcW w:w="1880" w:type="dxa"/>
            <w:tcBorders>
              <w:top w:val="nil"/>
              <w:left w:val="nil"/>
              <w:bottom w:val="single" w:sz="4" w:space="0" w:color="auto"/>
              <w:right w:val="single" w:sz="4" w:space="0" w:color="auto"/>
            </w:tcBorders>
            <w:shd w:val="clear" w:color="000000" w:fill="A6A6A6"/>
            <w:noWrap/>
            <w:vAlign w:val="bottom"/>
            <w:hideMark/>
          </w:tcPr>
          <w:p w14:paraId="507274FD" w14:textId="77777777" w:rsidR="00BB40E2" w:rsidRPr="00BB40E2" w:rsidRDefault="00BB40E2" w:rsidP="00BB40E2">
            <w:pPr>
              <w:jc w:val="right"/>
              <w:rPr>
                <w:rFonts w:ascii="Arial" w:hAnsi="Arial" w:cs="Arial"/>
                <w:b/>
                <w:bCs/>
                <w:sz w:val="20"/>
                <w:szCs w:val="20"/>
              </w:rPr>
            </w:pPr>
            <w:r w:rsidRPr="00BB40E2">
              <w:rPr>
                <w:rFonts w:ascii="Arial" w:hAnsi="Arial" w:cs="Arial"/>
                <w:b/>
                <w:bCs/>
                <w:sz w:val="20"/>
                <w:szCs w:val="20"/>
              </w:rPr>
              <w:t>27.647.748,00</w:t>
            </w:r>
          </w:p>
        </w:tc>
      </w:tr>
      <w:tr w:rsidR="00BB40E2" w:rsidRPr="00BB40E2" w14:paraId="146ED71A"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D9D9D9"/>
            <w:noWrap/>
            <w:vAlign w:val="bottom"/>
            <w:hideMark/>
          </w:tcPr>
          <w:p w14:paraId="3E54DCA9" w14:textId="77777777" w:rsidR="00BB40E2" w:rsidRPr="00BB40E2" w:rsidRDefault="00BB40E2" w:rsidP="00BB40E2">
            <w:pPr>
              <w:rPr>
                <w:rFonts w:ascii="Arial" w:hAnsi="Arial" w:cs="Arial"/>
                <w:b/>
                <w:bCs/>
                <w:color w:val="000000"/>
                <w:sz w:val="20"/>
                <w:szCs w:val="20"/>
              </w:rPr>
            </w:pPr>
            <w:r w:rsidRPr="00BB40E2">
              <w:rPr>
                <w:rFonts w:ascii="Arial" w:hAnsi="Arial" w:cs="Arial"/>
                <w:b/>
                <w:bCs/>
                <w:color w:val="000000"/>
                <w:sz w:val="20"/>
                <w:szCs w:val="20"/>
              </w:rPr>
              <w:t>Izvor  1. OPĆI PRIHODI I PRIMICI</w:t>
            </w:r>
          </w:p>
        </w:tc>
        <w:tc>
          <w:tcPr>
            <w:tcW w:w="1880" w:type="dxa"/>
            <w:tcBorders>
              <w:top w:val="nil"/>
              <w:left w:val="nil"/>
              <w:bottom w:val="single" w:sz="4" w:space="0" w:color="auto"/>
              <w:right w:val="single" w:sz="4" w:space="0" w:color="auto"/>
            </w:tcBorders>
            <w:shd w:val="clear" w:color="000000" w:fill="D9D9D9"/>
            <w:noWrap/>
            <w:vAlign w:val="bottom"/>
            <w:hideMark/>
          </w:tcPr>
          <w:p w14:paraId="58A20AB2"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10.106.261,00</w:t>
            </w:r>
          </w:p>
        </w:tc>
        <w:tc>
          <w:tcPr>
            <w:tcW w:w="1893" w:type="dxa"/>
            <w:tcBorders>
              <w:top w:val="nil"/>
              <w:left w:val="nil"/>
              <w:bottom w:val="single" w:sz="4" w:space="0" w:color="auto"/>
              <w:right w:val="single" w:sz="4" w:space="0" w:color="auto"/>
            </w:tcBorders>
            <w:shd w:val="clear" w:color="000000" w:fill="D9D9D9"/>
            <w:noWrap/>
            <w:vAlign w:val="bottom"/>
            <w:hideMark/>
          </w:tcPr>
          <w:p w14:paraId="5B813D8E"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679.540,00</w:t>
            </w:r>
          </w:p>
        </w:tc>
        <w:tc>
          <w:tcPr>
            <w:tcW w:w="1696" w:type="dxa"/>
            <w:tcBorders>
              <w:top w:val="nil"/>
              <w:left w:val="nil"/>
              <w:bottom w:val="single" w:sz="4" w:space="0" w:color="auto"/>
              <w:right w:val="single" w:sz="4" w:space="0" w:color="auto"/>
            </w:tcBorders>
            <w:shd w:val="clear" w:color="000000" w:fill="D9D9D9"/>
            <w:noWrap/>
            <w:vAlign w:val="bottom"/>
            <w:hideMark/>
          </w:tcPr>
          <w:p w14:paraId="08236A33"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6,72</w:t>
            </w:r>
          </w:p>
        </w:tc>
        <w:tc>
          <w:tcPr>
            <w:tcW w:w="1880" w:type="dxa"/>
            <w:tcBorders>
              <w:top w:val="nil"/>
              <w:left w:val="nil"/>
              <w:bottom w:val="single" w:sz="4" w:space="0" w:color="auto"/>
              <w:right w:val="single" w:sz="4" w:space="0" w:color="auto"/>
            </w:tcBorders>
            <w:shd w:val="clear" w:color="000000" w:fill="D9D9D9"/>
            <w:noWrap/>
            <w:vAlign w:val="bottom"/>
            <w:hideMark/>
          </w:tcPr>
          <w:p w14:paraId="51ADD26F"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10.785.801,00</w:t>
            </w:r>
          </w:p>
        </w:tc>
      </w:tr>
      <w:tr w:rsidR="00BB40E2" w:rsidRPr="00BB40E2" w14:paraId="431C3533"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7B3EADB3"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1.1. OPĆI PRIHODI I PRIMICI</w:t>
            </w:r>
          </w:p>
        </w:tc>
        <w:tc>
          <w:tcPr>
            <w:tcW w:w="1880" w:type="dxa"/>
            <w:tcBorders>
              <w:top w:val="nil"/>
              <w:left w:val="nil"/>
              <w:bottom w:val="single" w:sz="4" w:space="0" w:color="auto"/>
              <w:right w:val="single" w:sz="4" w:space="0" w:color="auto"/>
            </w:tcBorders>
            <w:shd w:val="clear" w:color="000000" w:fill="FFFFFF"/>
            <w:noWrap/>
            <w:vAlign w:val="bottom"/>
            <w:hideMark/>
          </w:tcPr>
          <w:p w14:paraId="2E9AA124"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10.106.261,00</w:t>
            </w:r>
          </w:p>
        </w:tc>
        <w:tc>
          <w:tcPr>
            <w:tcW w:w="1893" w:type="dxa"/>
            <w:tcBorders>
              <w:top w:val="nil"/>
              <w:left w:val="nil"/>
              <w:bottom w:val="single" w:sz="4" w:space="0" w:color="auto"/>
              <w:right w:val="single" w:sz="4" w:space="0" w:color="auto"/>
            </w:tcBorders>
            <w:shd w:val="clear" w:color="000000" w:fill="FFFFFF"/>
            <w:noWrap/>
            <w:vAlign w:val="bottom"/>
            <w:hideMark/>
          </w:tcPr>
          <w:p w14:paraId="7D24B851"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679.540,00</w:t>
            </w:r>
          </w:p>
        </w:tc>
        <w:tc>
          <w:tcPr>
            <w:tcW w:w="1696" w:type="dxa"/>
            <w:tcBorders>
              <w:top w:val="nil"/>
              <w:left w:val="nil"/>
              <w:bottom w:val="single" w:sz="4" w:space="0" w:color="auto"/>
              <w:right w:val="single" w:sz="4" w:space="0" w:color="auto"/>
            </w:tcBorders>
            <w:shd w:val="clear" w:color="000000" w:fill="FFFFFF"/>
            <w:noWrap/>
            <w:vAlign w:val="bottom"/>
            <w:hideMark/>
          </w:tcPr>
          <w:p w14:paraId="04BFFE41"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6,72</w:t>
            </w:r>
          </w:p>
        </w:tc>
        <w:tc>
          <w:tcPr>
            <w:tcW w:w="1880" w:type="dxa"/>
            <w:tcBorders>
              <w:top w:val="nil"/>
              <w:left w:val="nil"/>
              <w:bottom w:val="single" w:sz="4" w:space="0" w:color="auto"/>
              <w:right w:val="single" w:sz="4" w:space="0" w:color="auto"/>
            </w:tcBorders>
            <w:shd w:val="clear" w:color="000000" w:fill="FFFFFF"/>
            <w:noWrap/>
            <w:vAlign w:val="bottom"/>
            <w:hideMark/>
          </w:tcPr>
          <w:p w14:paraId="5489BCC8"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10.785.801,00</w:t>
            </w:r>
          </w:p>
        </w:tc>
      </w:tr>
      <w:tr w:rsidR="00BB40E2" w:rsidRPr="00BB40E2" w14:paraId="4BE3A173"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D9D9D9"/>
            <w:noWrap/>
            <w:vAlign w:val="bottom"/>
            <w:hideMark/>
          </w:tcPr>
          <w:p w14:paraId="2C31B8A0" w14:textId="77777777" w:rsidR="00BB40E2" w:rsidRPr="00BB40E2" w:rsidRDefault="00BB40E2" w:rsidP="00BB40E2">
            <w:pPr>
              <w:rPr>
                <w:rFonts w:ascii="Arial" w:hAnsi="Arial" w:cs="Arial"/>
                <w:b/>
                <w:bCs/>
                <w:color w:val="000000"/>
                <w:sz w:val="20"/>
                <w:szCs w:val="20"/>
              </w:rPr>
            </w:pPr>
            <w:r w:rsidRPr="00BB40E2">
              <w:rPr>
                <w:rFonts w:ascii="Arial" w:hAnsi="Arial" w:cs="Arial"/>
                <w:b/>
                <w:bCs/>
                <w:color w:val="000000"/>
                <w:sz w:val="20"/>
                <w:szCs w:val="20"/>
              </w:rPr>
              <w:t>Izvor  3. VLASTITI PRIHODI</w:t>
            </w:r>
          </w:p>
        </w:tc>
        <w:tc>
          <w:tcPr>
            <w:tcW w:w="1880" w:type="dxa"/>
            <w:tcBorders>
              <w:top w:val="nil"/>
              <w:left w:val="nil"/>
              <w:bottom w:val="single" w:sz="4" w:space="0" w:color="auto"/>
              <w:right w:val="single" w:sz="4" w:space="0" w:color="auto"/>
            </w:tcBorders>
            <w:shd w:val="clear" w:color="000000" w:fill="D9D9D9"/>
            <w:noWrap/>
            <w:vAlign w:val="bottom"/>
            <w:hideMark/>
          </w:tcPr>
          <w:p w14:paraId="0A849677"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160.199,00</w:t>
            </w:r>
          </w:p>
        </w:tc>
        <w:tc>
          <w:tcPr>
            <w:tcW w:w="1893" w:type="dxa"/>
            <w:tcBorders>
              <w:top w:val="nil"/>
              <w:left w:val="nil"/>
              <w:bottom w:val="single" w:sz="4" w:space="0" w:color="auto"/>
              <w:right w:val="single" w:sz="4" w:space="0" w:color="auto"/>
            </w:tcBorders>
            <w:shd w:val="clear" w:color="000000" w:fill="D9D9D9"/>
            <w:noWrap/>
            <w:vAlign w:val="bottom"/>
            <w:hideMark/>
          </w:tcPr>
          <w:p w14:paraId="1B8CF985"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30.590,00</w:t>
            </w:r>
          </w:p>
        </w:tc>
        <w:tc>
          <w:tcPr>
            <w:tcW w:w="1696" w:type="dxa"/>
            <w:tcBorders>
              <w:top w:val="nil"/>
              <w:left w:val="nil"/>
              <w:bottom w:val="single" w:sz="4" w:space="0" w:color="auto"/>
              <w:right w:val="single" w:sz="4" w:space="0" w:color="auto"/>
            </w:tcBorders>
            <w:shd w:val="clear" w:color="000000" w:fill="D9D9D9"/>
            <w:noWrap/>
            <w:vAlign w:val="bottom"/>
            <w:hideMark/>
          </w:tcPr>
          <w:p w14:paraId="0A4D3631"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19,10</w:t>
            </w:r>
          </w:p>
        </w:tc>
        <w:tc>
          <w:tcPr>
            <w:tcW w:w="1880" w:type="dxa"/>
            <w:tcBorders>
              <w:top w:val="nil"/>
              <w:left w:val="nil"/>
              <w:bottom w:val="single" w:sz="4" w:space="0" w:color="auto"/>
              <w:right w:val="single" w:sz="4" w:space="0" w:color="auto"/>
            </w:tcBorders>
            <w:shd w:val="clear" w:color="000000" w:fill="D9D9D9"/>
            <w:noWrap/>
            <w:vAlign w:val="bottom"/>
            <w:hideMark/>
          </w:tcPr>
          <w:p w14:paraId="4F24A53B"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190.789,00</w:t>
            </w:r>
          </w:p>
        </w:tc>
      </w:tr>
      <w:tr w:rsidR="00BB40E2" w:rsidRPr="00BB40E2" w14:paraId="5BF91FC9"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76B58A85"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3.1. VLASTITI PRIHODI</w:t>
            </w:r>
          </w:p>
        </w:tc>
        <w:tc>
          <w:tcPr>
            <w:tcW w:w="1880" w:type="dxa"/>
            <w:tcBorders>
              <w:top w:val="nil"/>
              <w:left w:val="nil"/>
              <w:bottom w:val="single" w:sz="4" w:space="0" w:color="auto"/>
              <w:right w:val="single" w:sz="4" w:space="0" w:color="auto"/>
            </w:tcBorders>
            <w:shd w:val="clear" w:color="000000" w:fill="FFFFFF"/>
            <w:noWrap/>
            <w:vAlign w:val="bottom"/>
            <w:hideMark/>
          </w:tcPr>
          <w:p w14:paraId="2D90170A"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4.600,00</w:t>
            </w:r>
          </w:p>
        </w:tc>
        <w:tc>
          <w:tcPr>
            <w:tcW w:w="1893" w:type="dxa"/>
            <w:tcBorders>
              <w:top w:val="nil"/>
              <w:left w:val="nil"/>
              <w:bottom w:val="single" w:sz="4" w:space="0" w:color="auto"/>
              <w:right w:val="single" w:sz="4" w:space="0" w:color="auto"/>
            </w:tcBorders>
            <w:shd w:val="clear" w:color="000000" w:fill="FFFFFF"/>
            <w:noWrap/>
            <w:vAlign w:val="bottom"/>
            <w:hideMark/>
          </w:tcPr>
          <w:p w14:paraId="0BD0A4E4"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696" w:type="dxa"/>
            <w:tcBorders>
              <w:top w:val="nil"/>
              <w:left w:val="nil"/>
              <w:bottom w:val="single" w:sz="4" w:space="0" w:color="auto"/>
              <w:right w:val="single" w:sz="4" w:space="0" w:color="auto"/>
            </w:tcBorders>
            <w:shd w:val="clear" w:color="000000" w:fill="FFFFFF"/>
            <w:noWrap/>
            <w:vAlign w:val="bottom"/>
            <w:hideMark/>
          </w:tcPr>
          <w:p w14:paraId="5E527287"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880" w:type="dxa"/>
            <w:tcBorders>
              <w:top w:val="nil"/>
              <w:left w:val="nil"/>
              <w:bottom w:val="single" w:sz="4" w:space="0" w:color="auto"/>
              <w:right w:val="single" w:sz="4" w:space="0" w:color="auto"/>
            </w:tcBorders>
            <w:shd w:val="clear" w:color="000000" w:fill="FFFFFF"/>
            <w:noWrap/>
            <w:vAlign w:val="bottom"/>
            <w:hideMark/>
          </w:tcPr>
          <w:p w14:paraId="1C008B9F"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4.600,00</w:t>
            </w:r>
          </w:p>
        </w:tc>
      </w:tr>
      <w:tr w:rsidR="00BB40E2" w:rsidRPr="00BB40E2" w14:paraId="4F23C947"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7F4557BA"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3.9. VLASTITI PRIHODI - PRIHODI KORISNIKA</w:t>
            </w:r>
          </w:p>
        </w:tc>
        <w:tc>
          <w:tcPr>
            <w:tcW w:w="1880" w:type="dxa"/>
            <w:tcBorders>
              <w:top w:val="nil"/>
              <w:left w:val="nil"/>
              <w:bottom w:val="single" w:sz="4" w:space="0" w:color="auto"/>
              <w:right w:val="single" w:sz="4" w:space="0" w:color="auto"/>
            </w:tcBorders>
            <w:shd w:val="clear" w:color="000000" w:fill="FFFFFF"/>
            <w:noWrap/>
            <w:vAlign w:val="bottom"/>
            <w:hideMark/>
          </w:tcPr>
          <w:p w14:paraId="2243887D"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155.599,00</w:t>
            </w:r>
          </w:p>
        </w:tc>
        <w:tc>
          <w:tcPr>
            <w:tcW w:w="1893" w:type="dxa"/>
            <w:tcBorders>
              <w:top w:val="nil"/>
              <w:left w:val="nil"/>
              <w:bottom w:val="single" w:sz="4" w:space="0" w:color="auto"/>
              <w:right w:val="single" w:sz="4" w:space="0" w:color="auto"/>
            </w:tcBorders>
            <w:shd w:val="clear" w:color="000000" w:fill="FFFFFF"/>
            <w:noWrap/>
            <w:vAlign w:val="bottom"/>
            <w:hideMark/>
          </w:tcPr>
          <w:p w14:paraId="13D7D816"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30.590,00</w:t>
            </w:r>
          </w:p>
        </w:tc>
        <w:tc>
          <w:tcPr>
            <w:tcW w:w="1696" w:type="dxa"/>
            <w:tcBorders>
              <w:top w:val="nil"/>
              <w:left w:val="nil"/>
              <w:bottom w:val="single" w:sz="4" w:space="0" w:color="auto"/>
              <w:right w:val="single" w:sz="4" w:space="0" w:color="auto"/>
            </w:tcBorders>
            <w:shd w:val="clear" w:color="000000" w:fill="FFFFFF"/>
            <w:noWrap/>
            <w:vAlign w:val="bottom"/>
            <w:hideMark/>
          </w:tcPr>
          <w:p w14:paraId="5A899211"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19,66</w:t>
            </w:r>
          </w:p>
        </w:tc>
        <w:tc>
          <w:tcPr>
            <w:tcW w:w="1880" w:type="dxa"/>
            <w:tcBorders>
              <w:top w:val="nil"/>
              <w:left w:val="nil"/>
              <w:bottom w:val="single" w:sz="4" w:space="0" w:color="auto"/>
              <w:right w:val="single" w:sz="4" w:space="0" w:color="auto"/>
            </w:tcBorders>
            <w:shd w:val="clear" w:color="000000" w:fill="FFFFFF"/>
            <w:noWrap/>
            <w:vAlign w:val="bottom"/>
            <w:hideMark/>
          </w:tcPr>
          <w:p w14:paraId="6AB57A5A"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186.189,00</w:t>
            </w:r>
          </w:p>
        </w:tc>
      </w:tr>
      <w:tr w:rsidR="00BB40E2" w:rsidRPr="00BB40E2" w14:paraId="231D3B04"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D9D9D9"/>
            <w:noWrap/>
            <w:vAlign w:val="bottom"/>
            <w:hideMark/>
          </w:tcPr>
          <w:p w14:paraId="2AED88ED" w14:textId="77777777" w:rsidR="00BB40E2" w:rsidRPr="00BB40E2" w:rsidRDefault="00BB40E2" w:rsidP="00BB40E2">
            <w:pPr>
              <w:rPr>
                <w:rFonts w:ascii="Arial" w:hAnsi="Arial" w:cs="Arial"/>
                <w:b/>
                <w:bCs/>
                <w:color w:val="000000"/>
                <w:sz w:val="20"/>
                <w:szCs w:val="20"/>
              </w:rPr>
            </w:pPr>
            <w:r w:rsidRPr="00BB40E2">
              <w:rPr>
                <w:rFonts w:ascii="Arial" w:hAnsi="Arial" w:cs="Arial"/>
                <w:b/>
                <w:bCs/>
                <w:color w:val="000000"/>
                <w:sz w:val="20"/>
                <w:szCs w:val="20"/>
              </w:rPr>
              <w:t>Izvor  4. PRIHODI ZA POSEBNE NAMJENE</w:t>
            </w:r>
          </w:p>
        </w:tc>
        <w:tc>
          <w:tcPr>
            <w:tcW w:w="1880" w:type="dxa"/>
            <w:tcBorders>
              <w:top w:val="nil"/>
              <w:left w:val="nil"/>
              <w:bottom w:val="single" w:sz="4" w:space="0" w:color="auto"/>
              <w:right w:val="single" w:sz="4" w:space="0" w:color="auto"/>
            </w:tcBorders>
            <w:shd w:val="clear" w:color="000000" w:fill="D9D9D9"/>
            <w:noWrap/>
            <w:vAlign w:val="bottom"/>
            <w:hideMark/>
          </w:tcPr>
          <w:p w14:paraId="75AAC7A8"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4.696.907,00</w:t>
            </w:r>
          </w:p>
        </w:tc>
        <w:tc>
          <w:tcPr>
            <w:tcW w:w="1893" w:type="dxa"/>
            <w:tcBorders>
              <w:top w:val="nil"/>
              <w:left w:val="nil"/>
              <w:bottom w:val="single" w:sz="4" w:space="0" w:color="auto"/>
              <w:right w:val="single" w:sz="4" w:space="0" w:color="auto"/>
            </w:tcBorders>
            <w:shd w:val="clear" w:color="000000" w:fill="D9D9D9"/>
            <w:noWrap/>
            <w:vAlign w:val="bottom"/>
            <w:hideMark/>
          </w:tcPr>
          <w:p w14:paraId="33BA76E3"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-123.531,00</w:t>
            </w:r>
          </w:p>
        </w:tc>
        <w:tc>
          <w:tcPr>
            <w:tcW w:w="1696" w:type="dxa"/>
            <w:tcBorders>
              <w:top w:val="nil"/>
              <w:left w:val="nil"/>
              <w:bottom w:val="single" w:sz="4" w:space="0" w:color="auto"/>
              <w:right w:val="single" w:sz="4" w:space="0" w:color="auto"/>
            </w:tcBorders>
            <w:shd w:val="clear" w:color="000000" w:fill="D9D9D9"/>
            <w:noWrap/>
            <w:vAlign w:val="bottom"/>
            <w:hideMark/>
          </w:tcPr>
          <w:p w14:paraId="136FA9E0"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-2,63</w:t>
            </w:r>
          </w:p>
        </w:tc>
        <w:tc>
          <w:tcPr>
            <w:tcW w:w="1880" w:type="dxa"/>
            <w:tcBorders>
              <w:top w:val="nil"/>
              <w:left w:val="nil"/>
              <w:bottom w:val="single" w:sz="4" w:space="0" w:color="auto"/>
              <w:right w:val="single" w:sz="4" w:space="0" w:color="auto"/>
            </w:tcBorders>
            <w:shd w:val="clear" w:color="000000" w:fill="D9D9D9"/>
            <w:noWrap/>
            <w:vAlign w:val="bottom"/>
            <w:hideMark/>
          </w:tcPr>
          <w:p w14:paraId="3DD4ADD3"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4.573.376,00</w:t>
            </w:r>
          </w:p>
        </w:tc>
      </w:tr>
      <w:tr w:rsidR="00BB40E2" w:rsidRPr="00BB40E2" w14:paraId="6E0B2F36"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336DC73E"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4.1. NAKNADA ZA KONCESIJE</w:t>
            </w:r>
          </w:p>
        </w:tc>
        <w:tc>
          <w:tcPr>
            <w:tcW w:w="1880" w:type="dxa"/>
            <w:tcBorders>
              <w:top w:val="nil"/>
              <w:left w:val="nil"/>
              <w:bottom w:val="single" w:sz="4" w:space="0" w:color="auto"/>
              <w:right w:val="single" w:sz="4" w:space="0" w:color="auto"/>
            </w:tcBorders>
            <w:shd w:val="clear" w:color="000000" w:fill="FFFFFF"/>
            <w:noWrap/>
            <w:vAlign w:val="bottom"/>
            <w:hideMark/>
          </w:tcPr>
          <w:p w14:paraId="1581779C"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14.000,00</w:t>
            </w:r>
          </w:p>
        </w:tc>
        <w:tc>
          <w:tcPr>
            <w:tcW w:w="1893" w:type="dxa"/>
            <w:tcBorders>
              <w:top w:val="nil"/>
              <w:left w:val="nil"/>
              <w:bottom w:val="single" w:sz="4" w:space="0" w:color="auto"/>
              <w:right w:val="single" w:sz="4" w:space="0" w:color="auto"/>
            </w:tcBorders>
            <w:shd w:val="clear" w:color="000000" w:fill="FFFFFF"/>
            <w:noWrap/>
            <w:vAlign w:val="bottom"/>
            <w:hideMark/>
          </w:tcPr>
          <w:p w14:paraId="22D6463C"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425,00</w:t>
            </w:r>
          </w:p>
        </w:tc>
        <w:tc>
          <w:tcPr>
            <w:tcW w:w="1696" w:type="dxa"/>
            <w:tcBorders>
              <w:top w:val="nil"/>
              <w:left w:val="nil"/>
              <w:bottom w:val="single" w:sz="4" w:space="0" w:color="auto"/>
              <w:right w:val="single" w:sz="4" w:space="0" w:color="auto"/>
            </w:tcBorders>
            <w:shd w:val="clear" w:color="000000" w:fill="FFFFFF"/>
            <w:noWrap/>
            <w:vAlign w:val="bottom"/>
            <w:hideMark/>
          </w:tcPr>
          <w:p w14:paraId="115125DF"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3,04</w:t>
            </w:r>
          </w:p>
        </w:tc>
        <w:tc>
          <w:tcPr>
            <w:tcW w:w="1880" w:type="dxa"/>
            <w:tcBorders>
              <w:top w:val="nil"/>
              <w:left w:val="nil"/>
              <w:bottom w:val="single" w:sz="4" w:space="0" w:color="auto"/>
              <w:right w:val="single" w:sz="4" w:space="0" w:color="auto"/>
            </w:tcBorders>
            <w:shd w:val="clear" w:color="000000" w:fill="FFFFFF"/>
            <w:noWrap/>
            <w:vAlign w:val="bottom"/>
            <w:hideMark/>
          </w:tcPr>
          <w:p w14:paraId="712686B8"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14.425,00</w:t>
            </w:r>
          </w:p>
        </w:tc>
      </w:tr>
      <w:tr w:rsidR="00BB40E2" w:rsidRPr="00BB40E2" w14:paraId="4CBE97EF"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3E1F19E3"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4.3. OSTALI PRIHODI OD NEFINANCIJSKE IMOVINE</w:t>
            </w:r>
          </w:p>
        </w:tc>
        <w:tc>
          <w:tcPr>
            <w:tcW w:w="1880" w:type="dxa"/>
            <w:tcBorders>
              <w:top w:val="nil"/>
              <w:left w:val="nil"/>
              <w:bottom w:val="single" w:sz="4" w:space="0" w:color="auto"/>
              <w:right w:val="single" w:sz="4" w:space="0" w:color="auto"/>
            </w:tcBorders>
            <w:shd w:val="clear" w:color="000000" w:fill="FFFFFF"/>
            <w:noWrap/>
            <w:vAlign w:val="bottom"/>
            <w:hideMark/>
          </w:tcPr>
          <w:p w14:paraId="4A30E943"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1.500,00</w:t>
            </w:r>
          </w:p>
        </w:tc>
        <w:tc>
          <w:tcPr>
            <w:tcW w:w="1893" w:type="dxa"/>
            <w:tcBorders>
              <w:top w:val="nil"/>
              <w:left w:val="nil"/>
              <w:bottom w:val="single" w:sz="4" w:space="0" w:color="auto"/>
              <w:right w:val="single" w:sz="4" w:space="0" w:color="auto"/>
            </w:tcBorders>
            <w:shd w:val="clear" w:color="000000" w:fill="FFFFFF"/>
            <w:noWrap/>
            <w:vAlign w:val="bottom"/>
            <w:hideMark/>
          </w:tcPr>
          <w:p w14:paraId="51719A56"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696" w:type="dxa"/>
            <w:tcBorders>
              <w:top w:val="nil"/>
              <w:left w:val="nil"/>
              <w:bottom w:val="single" w:sz="4" w:space="0" w:color="auto"/>
              <w:right w:val="single" w:sz="4" w:space="0" w:color="auto"/>
            </w:tcBorders>
            <w:shd w:val="clear" w:color="000000" w:fill="FFFFFF"/>
            <w:noWrap/>
            <w:vAlign w:val="bottom"/>
            <w:hideMark/>
          </w:tcPr>
          <w:p w14:paraId="0E3ABDC5"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880" w:type="dxa"/>
            <w:tcBorders>
              <w:top w:val="nil"/>
              <w:left w:val="nil"/>
              <w:bottom w:val="single" w:sz="4" w:space="0" w:color="auto"/>
              <w:right w:val="single" w:sz="4" w:space="0" w:color="auto"/>
            </w:tcBorders>
            <w:shd w:val="clear" w:color="000000" w:fill="FFFFFF"/>
            <w:noWrap/>
            <w:vAlign w:val="bottom"/>
            <w:hideMark/>
          </w:tcPr>
          <w:p w14:paraId="7E8EF0F3"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1.500,00</w:t>
            </w:r>
          </w:p>
        </w:tc>
      </w:tr>
      <w:tr w:rsidR="00BB40E2" w:rsidRPr="00BB40E2" w14:paraId="3D7FCBEA"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46D776D4"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4.4. PRIHODI OD BORAVIŠNE PRISTOJBE</w:t>
            </w:r>
          </w:p>
        </w:tc>
        <w:tc>
          <w:tcPr>
            <w:tcW w:w="1880" w:type="dxa"/>
            <w:tcBorders>
              <w:top w:val="nil"/>
              <w:left w:val="nil"/>
              <w:bottom w:val="single" w:sz="4" w:space="0" w:color="auto"/>
              <w:right w:val="single" w:sz="4" w:space="0" w:color="auto"/>
            </w:tcBorders>
            <w:shd w:val="clear" w:color="000000" w:fill="FFFFFF"/>
            <w:noWrap/>
            <w:vAlign w:val="bottom"/>
            <w:hideMark/>
          </w:tcPr>
          <w:p w14:paraId="52F67609"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276.300,00</w:t>
            </w:r>
          </w:p>
        </w:tc>
        <w:tc>
          <w:tcPr>
            <w:tcW w:w="1893" w:type="dxa"/>
            <w:tcBorders>
              <w:top w:val="nil"/>
              <w:left w:val="nil"/>
              <w:bottom w:val="single" w:sz="4" w:space="0" w:color="auto"/>
              <w:right w:val="single" w:sz="4" w:space="0" w:color="auto"/>
            </w:tcBorders>
            <w:shd w:val="clear" w:color="000000" w:fill="FFFFFF"/>
            <w:noWrap/>
            <w:vAlign w:val="bottom"/>
            <w:hideMark/>
          </w:tcPr>
          <w:p w14:paraId="541B1B00"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696" w:type="dxa"/>
            <w:tcBorders>
              <w:top w:val="nil"/>
              <w:left w:val="nil"/>
              <w:bottom w:val="single" w:sz="4" w:space="0" w:color="auto"/>
              <w:right w:val="single" w:sz="4" w:space="0" w:color="auto"/>
            </w:tcBorders>
            <w:shd w:val="clear" w:color="000000" w:fill="FFFFFF"/>
            <w:noWrap/>
            <w:vAlign w:val="bottom"/>
            <w:hideMark/>
          </w:tcPr>
          <w:p w14:paraId="2EE79FC6"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880" w:type="dxa"/>
            <w:tcBorders>
              <w:top w:val="nil"/>
              <w:left w:val="nil"/>
              <w:bottom w:val="single" w:sz="4" w:space="0" w:color="auto"/>
              <w:right w:val="single" w:sz="4" w:space="0" w:color="auto"/>
            </w:tcBorders>
            <w:shd w:val="clear" w:color="000000" w:fill="FFFFFF"/>
            <w:noWrap/>
            <w:vAlign w:val="bottom"/>
            <w:hideMark/>
          </w:tcPr>
          <w:p w14:paraId="06E9416E"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276.300,00</w:t>
            </w:r>
          </w:p>
        </w:tc>
      </w:tr>
      <w:tr w:rsidR="00BB40E2" w:rsidRPr="00BB40E2" w14:paraId="1C07BE1B"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6ABE9743"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4.5. KOMUNALNI DOPRINOSI I DR. NAKNADE UTVRĐENE POSEBNIM ZAKONOM</w:t>
            </w:r>
          </w:p>
        </w:tc>
        <w:tc>
          <w:tcPr>
            <w:tcW w:w="1880" w:type="dxa"/>
            <w:tcBorders>
              <w:top w:val="nil"/>
              <w:left w:val="nil"/>
              <w:bottom w:val="single" w:sz="4" w:space="0" w:color="auto"/>
              <w:right w:val="single" w:sz="4" w:space="0" w:color="auto"/>
            </w:tcBorders>
            <w:shd w:val="clear" w:color="000000" w:fill="FFFFFF"/>
            <w:noWrap/>
            <w:vAlign w:val="bottom"/>
            <w:hideMark/>
          </w:tcPr>
          <w:p w14:paraId="2CBDDB94"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692.018,00</w:t>
            </w:r>
          </w:p>
        </w:tc>
        <w:tc>
          <w:tcPr>
            <w:tcW w:w="1893" w:type="dxa"/>
            <w:tcBorders>
              <w:top w:val="nil"/>
              <w:left w:val="nil"/>
              <w:bottom w:val="single" w:sz="4" w:space="0" w:color="auto"/>
              <w:right w:val="single" w:sz="4" w:space="0" w:color="auto"/>
            </w:tcBorders>
            <w:shd w:val="clear" w:color="000000" w:fill="FFFFFF"/>
            <w:noWrap/>
            <w:vAlign w:val="bottom"/>
            <w:hideMark/>
          </w:tcPr>
          <w:p w14:paraId="0A9D885F"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-146.973,00</w:t>
            </w:r>
          </w:p>
        </w:tc>
        <w:tc>
          <w:tcPr>
            <w:tcW w:w="1696" w:type="dxa"/>
            <w:tcBorders>
              <w:top w:val="nil"/>
              <w:left w:val="nil"/>
              <w:bottom w:val="single" w:sz="4" w:space="0" w:color="auto"/>
              <w:right w:val="single" w:sz="4" w:space="0" w:color="auto"/>
            </w:tcBorders>
            <w:shd w:val="clear" w:color="000000" w:fill="FFFFFF"/>
            <w:noWrap/>
            <w:vAlign w:val="bottom"/>
            <w:hideMark/>
          </w:tcPr>
          <w:p w14:paraId="5885628D"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-21,24</w:t>
            </w:r>
          </w:p>
        </w:tc>
        <w:tc>
          <w:tcPr>
            <w:tcW w:w="1880" w:type="dxa"/>
            <w:tcBorders>
              <w:top w:val="nil"/>
              <w:left w:val="nil"/>
              <w:bottom w:val="single" w:sz="4" w:space="0" w:color="auto"/>
              <w:right w:val="single" w:sz="4" w:space="0" w:color="auto"/>
            </w:tcBorders>
            <w:shd w:val="clear" w:color="000000" w:fill="FFFFFF"/>
            <w:noWrap/>
            <w:vAlign w:val="bottom"/>
            <w:hideMark/>
          </w:tcPr>
          <w:p w14:paraId="1022A45A"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545.045,00</w:t>
            </w:r>
          </w:p>
        </w:tc>
      </w:tr>
      <w:tr w:rsidR="00BB40E2" w:rsidRPr="00BB40E2" w14:paraId="41442408"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7014C821"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4.6. KOMUNALNA NAKNADA</w:t>
            </w:r>
          </w:p>
        </w:tc>
        <w:tc>
          <w:tcPr>
            <w:tcW w:w="1880" w:type="dxa"/>
            <w:tcBorders>
              <w:top w:val="nil"/>
              <w:left w:val="nil"/>
              <w:bottom w:val="single" w:sz="4" w:space="0" w:color="auto"/>
              <w:right w:val="single" w:sz="4" w:space="0" w:color="auto"/>
            </w:tcBorders>
            <w:shd w:val="clear" w:color="000000" w:fill="FFFFFF"/>
            <w:noWrap/>
            <w:vAlign w:val="bottom"/>
            <w:hideMark/>
          </w:tcPr>
          <w:p w14:paraId="684E8E46"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2.103.625,00</w:t>
            </w:r>
          </w:p>
        </w:tc>
        <w:tc>
          <w:tcPr>
            <w:tcW w:w="1893" w:type="dxa"/>
            <w:tcBorders>
              <w:top w:val="nil"/>
              <w:left w:val="nil"/>
              <w:bottom w:val="single" w:sz="4" w:space="0" w:color="auto"/>
              <w:right w:val="single" w:sz="4" w:space="0" w:color="auto"/>
            </w:tcBorders>
            <w:shd w:val="clear" w:color="000000" w:fill="FFFFFF"/>
            <w:noWrap/>
            <w:vAlign w:val="bottom"/>
            <w:hideMark/>
          </w:tcPr>
          <w:p w14:paraId="28B5100A"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47.957,00</w:t>
            </w:r>
          </w:p>
        </w:tc>
        <w:tc>
          <w:tcPr>
            <w:tcW w:w="1696" w:type="dxa"/>
            <w:tcBorders>
              <w:top w:val="nil"/>
              <w:left w:val="nil"/>
              <w:bottom w:val="single" w:sz="4" w:space="0" w:color="auto"/>
              <w:right w:val="single" w:sz="4" w:space="0" w:color="auto"/>
            </w:tcBorders>
            <w:shd w:val="clear" w:color="000000" w:fill="FFFFFF"/>
            <w:noWrap/>
            <w:vAlign w:val="bottom"/>
            <w:hideMark/>
          </w:tcPr>
          <w:p w14:paraId="453505BB"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2,28</w:t>
            </w:r>
          </w:p>
        </w:tc>
        <w:tc>
          <w:tcPr>
            <w:tcW w:w="1880" w:type="dxa"/>
            <w:tcBorders>
              <w:top w:val="nil"/>
              <w:left w:val="nil"/>
              <w:bottom w:val="single" w:sz="4" w:space="0" w:color="auto"/>
              <w:right w:val="single" w:sz="4" w:space="0" w:color="auto"/>
            </w:tcBorders>
            <w:shd w:val="clear" w:color="000000" w:fill="FFFFFF"/>
            <w:noWrap/>
            <w:vAlign w:val="bottom"/>
            <w:hideMark/>
          </w:tcPr>
          <w:p w14:paraId="1E29B652"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2.151.582,00</w:t>
            </w:r>
          </w:p>
        </w:tc>
      </w:tr>
      <w:tr w:rsidR="00BB40E2" w:rsidRPr="00BB40E2" w14:paraId="7152AE1F"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6E27223E"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4.9. 4.PRIHODI ZA POSEBNE NAMJENE - PRIHODI KORISNIKA</w:t>
            </w:r>
          </w:p>
        </w:tc>
        <w:tc>
          <w:tcPr>
            <w:tcW w:w="1880" w:type="dxa"/>
            <w:tcBorders>
              <w:top w:val="nil"/>
              <w:left w:val="nil"/>
              <w:bottom w:val="single" w:sz="4" w:space="0" w:color="auto"/>
              <w:right w:val="single" w:sz="4" w:space="0" w:color="auto"/>
            </w:tcBorders>
            <w:shd w:val="clear" w:color="000000" w:fill="FFFFFF"/>
            <w:noWrap/>
            <w:vAlign w:val="bottom"/>
            <w:hideMark/>
          </w:tcPr>
          <w:p w14:paraId="6E598E78"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1.609.464,00</w:t>
            </w:r>
          </w:p>
        </w:tc>
        <w:tc>
          <w:tcPr>
            <w:tcW w:w="1893" w:type="dxa"/>
            <w:tcBorders>
              <w:top w:val="nil"/>
              <w:left w:val="nil"/>
              <w:bottom w:val="single" w:sz="4" w:space="0" w:color="auto"/>
              <w:right w:val="single" w:sz="4" w:space="0" w:color="auto"/>
            </w:tcBorders>
            <w:shd w:val="clear" w:color="000000" w:fill="FFFFFF"/>
            <w:noWrap/>
            <w:vAlign w:val="bottom"/>
            <w:hideMark/>
          </w:tcPr>
          <w:p w14:paraId="7CBB8BCC"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-24.940,00</w:t>
            </w:r>
          </w:p>
        </w:tc>
        <w:tc>
          <w:tcPr>
            <w:tcW w:w="1696" w:type="dxa"/>
            <w:tcBorders>
              <w:top w:val="nil"/>
              <w:left w:val="nil"/>
              <w:bottom w:val="single" w:sz="4" w:space="0" w:color="auto"/>
              <w:right w:val="single" w:sz="4" w:space="0" w:color="auto"/>
            </w:tcBorders>
            <w:shd w:val="clear" w:color="000000" w:fill="FFFFFF"/>
            <w:noWrap/>
            <w:vAlign w:val="bottom"/>
            <w:hideMark/>
          </w:tcPr>
          <w:p w14:paraId="41EF1B34"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-1,55</w:t>
            </w:r>
          </w:p>
        </w:tc>
        <w:tc>
          <w:tcPr>
            <w:tcW w:w="1880" w:type="dxa"/>
            <w:tcBorders>
              <w:top w:val="nil"/>
              <w:left w:val="nil"/>
              <w:bottom w:val="single" w:sz="4" w:space="0" w:color="auto"/>
              <w:right w:val="single" w:sz="4" w:space="0" w:color="auto"/>
            </w:tcBorders>
            <w:shd w:val="clear" w:color="000000" w:fill="FFFFFF"/>
            <w:noWrap/>
            <w:vAlign w:val="bottom"/>
            <w:hideMark/>
          </w:tcPr>
          <w:p w14:paraId="0CF36ABE"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1.584.524,00</w:t>
            </w:r>
          </w:p>
        </w:tc>
      </w:tr>
      <w:tr w:rsidR="00BB40E2" w:rsidRPr="00BB40E2" w14:paraId="32672958"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D9D9D9"/>
            <w:noWrap/>
            <w:vAlign w:val="bottom"/>
            <w:hideMark/>
          </w:tcPr>
          <w:p w14:paraId="0BEED6D2" w14:textId="77777777" w:rsidR="00BB40E2" w:rsidRPr="00BB40E2" w:rsidRDefault="00BB40E2" w:rsidP="00BB40E2">
            <w:pPr>
              <w:rPr>
                <w:rFonts w:ascii="Arial" w:hAnsi="Arial" w:cs="Arial"/>
                <w:b/>
                <w:bCs/>
                <w:color w:val="000000"/>
                <w:sz w:val="20"/>
                <w:szCs w:val="20"/>
              </w:rPr>
            </w:pPr>
            <w:r w:rsidRPr="00BB40E2">
              <w:rPr>
                <w:rFonts w:ascii="Arial" w:hAnsi="Arial" w:cs="Arial"/>
                <w:b/>
                <w:bCs/>
                <w:color w:val="000000"/>
                <w:sz w:val="20"/>
                <w:szCs w:val="20"/>
              </w:rPr>
              <w:t>Izvor  5. POMOĆI</w:t>
            </w:r>
          </w:p>
        </w:tc>
        <w:tc>
          <w:tcPr>
            <w:tcW w:w="1880" w:type="dxa"/>
            <w:tcBorders>
              <w:top w:val="nil"/>
              <w:left w:val="nil"/>
              <w:bottom w:val="single" w:sz="4" w:space="0" w:color="auto"/>
              <w:right w:val="single" w:sz="4" w:space="0" w:color="auto"/>
            </w:tcBorders>
            <w:shd w:val="clear" w:color="000000" w:fill="D9D9D9"/>
            <w:noWrap/>
            <w:vAlign w:val="bottom"/>
            <w:hideMark/>
          </w:tcPr>
          <w:p w14:paraId="64B3FDFE"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9.536.463,00</w:t>
            </w:r>
          </w:p>
        </w:tc>
        <w:tc>
          <w:tcPr>
            <w:tcW w:w="1893" w:type="dxa"/>
            <w:tcBorders>
              <w:top w:val="nil"/>
              <w:left w:val="nil"/>
              <w:bottom w:val="single" w:sz="4" w:space="0" w:color="auto"/>
              <w:right w:val="single" w:sz="4" w:space="0" w:color="auto"/>
            </w:tcBorders>
            <w:shd w:val="clear" w:color="000000" w:fill="D9D9D9"/>
            <w:noWrap/>
            <w:vAlign w:val="bottom"/>
            <w:hideMark/>
          </w:tcPr>
          <w:p w14:paraId="6823F2F4"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353.369,00</w:t>
            </w:r>
          </w:p>
        </w:tc>
        <w:tc>
          <w:tcPr>
            <w:tcW w:w="1696" w:type="dxa"/>
            <w:tcBorders>
              <w:top w:val="nil"/>
              <w:left w:val="nil"/>
              <w:bottom w:val="single" w:sz="4" w:space="0" w:color="auto"/>
              <w:right w:val="single" w:sz="4" w:space="0" w:color="auto"/>
            </w:tcBorders>
            <w:shd w:val="clear" w:color="000000" w:fill="D9D9D9"/>
            <w:noWrap/>
            <w:vAlign w:val="bottom"/>
            <w:hideMark/>
          </w:tcPr>
          <w:p w14:paraId="462C7A3E"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3,71</w:t>
            </w:r>
          </w:p>
        </w:tc>
        <w:tc>
          <w:tcPr>
            <w:tcW w:w="1880" w:type="dxa"/>
            <w:tcBorders>
              <w:top w:val="nil"/>
              <w:left w:val="nil"/>
              <w:bottom w:val="single" w:sz="4" w:space="0" w:color="auto"/>
              <w:right w:val="single" w:sz="4" w:space="0" w:color="auto"/>
            </w:tcBorders>
            <w:shd w:val="clear" w:color="000000" w:fill="D9D9D9"/>
            <w:noWrap/>
            <w:vAlign w:val="bottom"/>
            <w:hideMark/>
          </w:tcPr>
          <w:p w14:paraId="335A832D"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9.889.832,00</w:t>
            </w:r>
          </w:p>
        </w:tc>
      </w:tr>
      <w:tr w:rsidR="00BB40E2" w:rsidRPr="00BB40E2" w14:paraId="31DB17E3"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3AA9E033"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5.0. POMOĆI IZ FONDOVA EU</w:t>
            </w:r>
          </w:p>
        </w:tc>
        <w:tc>
          <w:tcPr>
            <w:tcW w:w="1880" w:type="dxa"/>
            <w:tcBorders>
              <w:top w:val="nil"/>
              <w:left w:val="nil"/>
              <w:bottom w:val="single" w:sz="4" w:space="0" w:color="auto"/>
              <w:right w:val="single" w:sz="4" w:space="0" w:color="auto"/>
            </w:tcBorders>
            <w:shd w:val="clear" w:color="000000" w:fill="FFFFFF"/>
            <w:noWrap/>
            <w:vAlign w:val="bottom"/>
            <w:hideMark/>
          </w:tcPr>
          <w:p w14:paraId="220AC617"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468.615,00</w:t>
            </w:r>
          </w:p>
        </w:tc>
        <w:tc>
          <w:tcPr>
            <w:tcW w:w="1893" w:type="dxa"/>
            <w:tcBorders>
              <w:top w:val="nil"/>
              <w:left w:val="nil"/>
              <w:bottom w:val="single" w:sz="4" w:space="0" w:color="auto"/>
              <w:right w:val="single" w:sz="4" w:space="0" w:color="auto"/>
            </w:tcBorders>
            <w:shd w:val="clear" w:color="000000" w:fill="FFFFFF"/>
            <w:noWrap/>
            <w:vAlign w:val="bottom"/>
            <w:hideMark/>
          </w:tcPr>
          <w:p w14:paraId="125E37BA"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104.834,00</w:t>
            </w:r>
          </w:p>
        </w:tc>
        <w:tc>
          <w:tcPr>
            <w:tcW w:w="1696" w:type="dxa"/>
            <w:tcBorders>
              <w:top w:val="nil"/>
              <w:left w:val="nil"/>
              <w:bottom w:val="single" w:sz="4" w:space="0" w:color="auto"/>
              <w:right w:val="single" w:sz="4" w:space="0" w:color="auto"/>
            </w:tcBorders>
            <w:shd w:val="clear" w:color="000000" w:fill="FFFFFF"/>
            <w:noWrap/>
            <w:vAlign w:val="bottom"/>
            <w:hideMark/>
          </w:tcPr>
          <w:p w14:paraId="438C861B"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22,37</w:t>
            </w:r>
          </w:p>
        </w:tc>
        <w:tc>
          <w:tcPr>
            <w:tcW w:w="1880" w:type="dxa"/>
            <w:tcBorders>
              <w:top w:val="nil"/>
              <w:left w:val="nil"/>
              <w:bottom w:val="single" w:sz="4" w:space="0" w:color="auto"/>
              <w:right w:val="single" w:sz="4" w:space="0" w:color="auto"/>
            </w:tcBorders>
            <w:shd w:val="clear" w:color="000000" w:fill="FFFFFF"/>
            <w:noWrap/>
            <w:vAlign w:val="bottom"/>
            <w:hideMark/>
          </w:tcPr>
          <w:p w14:paraId="010181BE"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573.449,00</w:t>
            </w:r>
          </w:p>
        </w:tc>
      </w:tr>
      <w:tr w:rsidR="00BB40E2" w:rsidRPr="00BB40E2" w14:paraId="7C165ECA"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3D302C58"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5.1. POTPORA ZA DECENTRALIZIRANE FUNKCIJE</w:t>
            </w:r>
          </w:p>
        </w:tc>
        <w:tc>
          <w:tcPr>
            <w:tcW w:w="1880" w:type="dxa"/>
            <w:tcBorders>
              <w:top w:val="nil"/>
              <w:left w:val="nil"/>
              <w:bottom w:val="single" w:sz="4" w:space="0" w:color="auto"/>
              <w:right w:val="single" w:sz="4" w:space="0" w:color="auto"/>
            </w:tcBorders>
            <w:shd w:val="clear" w:color="000000" w:fill="FFFFFF"/>
            <w:noWrap/>
            <w:vAlign w:val="bottom"/>
            <w:hideMark/>
          </w:tcPr>
          <w:p w14:paraId="7C21F8E1"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857.130,00</w:t>
            </w:r>
          </w:p>
        </w:tc>
        <w:tc>
          <w:tcPr>
            <w:tcW w:w="1893" w:type="dxa"/>
            <w:tcBorders>
              <w:top w:val="nil"/>
              <w:left w:val="nil"/>
              <w:bottom w:val="single" w:sz="4" w:space="0" w:color="auto"/>
              <w:right w:val="single" w:sz="4" w:space="0" w:color="auto"/>
            </w:tcBorders>
            <w:shd w:val="clear" w:color="000000" w:fill="FFFFFF"/>
            <w:noWrap/>
            <w:vAlign w:val="bottom"/>
            <w:hideMark/>
          </w:tcPr>
          <w:p w14:paraId="3E55CE38"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45.072,00</w:t>
            </w:r>
          </w:p>
        </w:tc>
        <w:tc>
          <w:tcPr>
            <w:tcW w:w="1696" w:type="dxa"/>
            <w:tcBorders>
              <w:top w:val="nil"/>
              <w:left w:val="nil"/>
              <w:bottom w:val="single" w:sz="4" w:space="0" w:color="auto"/>
              <w:right w:val="single" w:sz="4" w:space="0" w:color="auto"/>
            </w:tcBorders>
            <w:shd w:val="clear" w:color="000000" w:fill="FFFFFF"/>
            <w:noWrap/>
            <w:vAlign w:val="bottom"/>
            <w:hideMark/>
          </w:tcPr>
          <w:p w14:paraId="7CD50532"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5,26</w:t>
            </w:r>
          </w:p>
        </w:tc>
        <w:tc>
          <w:tcPr>
            <w:tcW w:w="1880" w:type="dxa"/>
            <w:tcBorders>
              <w:top w:val="nil"/>
              <w:left w:val="nil"/>
              <w:bottom w:val="single" w:sz="4" w:space="0" w:color="auto"/>
              <w:right w:val="single" w:sz="4" w:space="0" w:color="auto"/>
            </w:tcBorders>
            <w:shd w:val="clear" w:color="000000" w:fill="FFFFFF"/>
            <w:noWrap/>
            <w:vAlign w:val="bottom"/>
            <w:hideMark/>
          </w:tcPr>
          <w:p w14:paraId="13353A9D"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902.202,00</w:t>
            </w:r>
          </w:p>
        </w:tc>
      </w:tr>
      <w:tr w:rsidR="00BB40E2" w:rsidRPr="00BB40E2" w14:paraId="3F9E78A0"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013F6FB6"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5.2. POMOĆ IZ FONDA ZA ZAŠTITU OKOLIŠA</w:t>
            </w:r>
          </w:p>
        </w:tc>
        <w:tc>
          <w:tcPr>
            <w:tcW w:w="1880" w:type="dxa"/>
            <w:tcBorders>
              <w:top w:val="nil"/>
              <w:left w:val="nil"/>
              <w:bottom w:val="single" w:sz="4" w:space="0" w:color="auto"/>
              <w:right w:val="single" w:sz="4" w:space="0" w:color="auto"/>
            </w:tcBorders>
            <w:shd w:val="clear" w:color="000000" w:fill="FFFFFF"/>
            <w:noWrap/>
            <w:vAlign w:val="bottom"/>
            <w:hideMark/>
          </w:tcPr>
          <w:p w14:paraId="79AD4433"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398.676,00</w:t>
            </w:r>
          </w:p>
        </w:tc>
        <w:tc>
          <w:tcPr>
            <w:tcW w:w="1893" w:type="dxa"/>
            <w:tcBorders>
              <w:top w:val="nil"/>
              <w:left w:val="nil"/>
              <w:bottom w:val="single" w:sz="4" w:space="0" w:color="auto"/>
              <w:right w:val="single" w:sz="4" w:space="0" w:color="auto"/>
            </w:tcBorders>
            <w:shd w:val="clear" w:color="000000" w:fill="FFFFFF"/>
            <w:noWrap/>
            <w:vAlign w:val="bottom"/>
            <w:hideMark/>
          </w:tcPr>
          <w:p w14:paraId="071E4361"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-173.383,00</w:t>
            </w:r>
          </w:p>
        </w:tc>
        <w:tc>
          <w:tcPr>
            <w:tcW w:w="1696" w:type="dxa"/>
            <w:tcBorders>
              <w:top w:val="nil"/>
              <w:left w:val="nil"/>
              <w:bottom w:val="single" w:sz="4" w:space="0" w:color="auto"/>
              <w:right w:val="single" w:sz="4" w:space="0" w:color="auto"/>
            </w:tcBorders>
            <w:shd w:val="clear" w:color="000000" w:fill="FFFFFF"/>
            <w:noWrap/>
            <w:vAlign w:val="bottom"/>
            <w:hideMark/>
          </w:tcPr>
          <w:p w14:paraId="2F0BA001"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-43,49</w:t>
            </w:r>
          </w:p>
        </w:tc>
        <w:tc>
          <w:tcPr>
            <w:tcW w:w="1880" w:type="dxa"/>
            <w:tcBorders>
              <w:top w:val="nil"/>
              <w:left w:val="nil"/>
              <w:bottom w:val="single" w:sz="4" w:space="0" w:color="auto"/>
              <w:right w:val="single" w:sz="4" w:space="0" w:color="auto"/>
            </w:tcBorders>
            <w:shd w:val="clear" w:color="000000" w:fill="FFFFFF"/>
            <w:noWrap/>
            <w:vAlign w:val="bottom"/>
            <w:hideMark/>
          </w:tcPr>
          <w:p w14:paraId="6C060FF1"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225.293,00</w:t>
            </w:r>
          </w:p>
        </w:tc>
      </w:tr>
      <w:tr w:rsidR="00BB40E2" w:rsidRPr="00BB40E2" w14:paraId="307D8C44"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3D867781"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5.3. POMOĆI IZ INOZEMSTVA</w:t>
            </w:r>
          </w:p>
        </w:tc>
        <w:tc>
          <w:tcPr>
            <w:tcW w:w="1880" w:type="dxa"/>
            <w:tcBorders>
              <w:top w:val="nil"/>
              <w:left w:val="nil"/>
              <w:bottom w:val="single" w:sz="4" w:space="0" w:color="auto"/>
              <w:right w:val="single" w:sz="4" w:space="0" w:color="auto"/>
            </w:tcBorders>
            <w:shd w:val="clear" w:color="000000" w:fill="FFFFFF"/>
            <w:noWrap/>
            <w:vAlign w:val="bottom"/>
            <w:hideMark/>
          </w:tcPr>
          <w:p w14:paraId="6AA3607C"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893" w:type="dxa"/>
            <w:tcBorders>
              <w:top w:val="nil"/>
              <w:left w:val="nil"/>
              <w:bottom w:val="single" w:sz="4" w:space="0" w:color="auto"/>
              <w:right w:val="single" w:sz="4" w:space="0" w:color="auto"/>
            </w:tcBorders>
            <w:shd w:val="clear" w:color="000000" w:fill="FFFFFF"/>
            <w:noWrap/>
            <w:vAlign w:val="bottom"/>
            <w:hideMark/>
          </w:tcPr>
          <w:p w14:paraId="18B95FF9"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696" w:type="dxa"/>
            <w:tcBorders>
              <w:top w:val="nil"/>
              <w:left w:val="nil"/>
              <w:bottom w:val="single" w:sz="4" w:space="0" w:color="auto"/>
              <w:right w:val="single" w:sz="4" w:space="0" w:color="auto"/>
            </w:tcBorders>
            <w:shd w:val="clear" w:color="000000" w:fill="FFFFFF"/>
            <w:noWrap/>
            <w:vAlign w:val="bottom"/>
            <w:hideMark/>
          </w:tcPr>
          <w:p w14:paraId="1AA38EA7"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880" w:type="dxa"/>
            <w:tcBorders>
              <w:top w:val="nil"/>
              <w:left w:val="nil"/>
              <w:bottom w:val="single" w:sz="4" w:space="0" w:color="auto"/>
              <w:right w:val="single" w:sz="4" w:space="0" w:color="auto"/>
            </w:tcBorders>
            <w:shd w:val="clear" w:color="000000" w:fill="FFFFFF"/>
            <w:noWrap/>
            <w:vAlign w:val="bottom"/>
            <w:hideMark/>
          </w:tcPr>
          <w:p w14:paraId="0FA4632E"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r>
      <w:tr w:rsidR="00BB40E2" w:rsidRPr="00BB40E2" w14:paraId="5033BDE9"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5B7ADB27"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5.4. POMOĆI IZ DRŽAVNOG PRORAČUNA</w:t>
            </w:r>
          </w:p>
        </w:tc>
        <w:tc>
          <w:tcPr>
            <w:tcW w:w="1880" w:type="dxa"/>
            <w:tcBorders>
              <w:top w:val="nil"/>
              <w:left w:val="nil"/>
              <w:bottom w:val="single" w:sz="4" w:space="0" w:color="auto"/>
              <w:right w:val="single" w:sz="4" w:space="0" w:color="auto"/>
            </w:tcBorders>
            <w:shd w:val="clear" w:color="000000" w:fill="FFFFFF"/>
            <w:noWrap/>
            <w:vAlign w:val="bottom"/>
            <w:hideMark/>
          </w:tcPr>
          <w:p w14:paraId="133647D4"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495.862,00</w:t>
            </w:r>
          </w:p>
        </w:tc>
        <w:tc>
          <w:tcPr>
            <w:tcW w:w="1893" w:type="dxa"/>
            <w:tcBorders>
              <w:top w:val="nil"/>
              <w:left w:val="nil"/>
              <w:bottom w:val="single" w:sz="4" w:space="0" w:color="auto"/>
              <w:right w:val="single" w:sz="4" w:space="0" w:color="auto"/>
            </w:tcBorders>
            <w:shd w:val="clear" w:color="000000" w:fill="FFFFFF"/>
            <w:noWrap/>
            <w:vAlign w:val="bottom"/>
            <w:hideMark/>
          </w:tcPr>
          <w:p w14:paraId="246E4FA2"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27.729,00</w:t>
            </w:r>
          </w:p>
        </w:tc>
        <w:tc>
          <w:tcPr>
            <w:tcW w:w="1696" w:type="dxa"/>
            <w:tcBorders>
              <w:top w:val="nil"/>
              <w:left w:val="nil"/>
              <w:bottom w:val="single" w:sz="4" w:space="0" w:color="auto"/>
              <w:right w:val="single" w:sz="4" w:space="0" w:color="auto"/>
            </w:tcBorders>
            <w:shd w:val="clear" w:color="000000" w:fill="FFFFFF"/>
            <w:noWrap/>
            <w:vAlign w:val="bottom"/>
            <w:hideMark/>
          </w:tcPr>
          <w:p w14:paraId="36F1B57F"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5,59</w:t>
            </w:r>
          </w:p>
        </w:tc>
        <w:tc>
          <w:tcPr>
            <w:tcW w:w="1880" w:type="dxa"/>
            <w:tcBorders>
              <w:top w:val="nil"/>
              <w:left w:val="nil"/>
              <w:bottom w:val="single" w:sz="4" w:space="0" w:color="auto"/>
              <w:right w:val="single" w:sz="4" w:space="0" w:color="auto"/>
            </w:tcBorders>
            <w:shd w:val="clear" w:color="000000" w:fill="FFFFFF"/>
            <w:noWrap/>
            <w:vAlign w:val="bottom"/>
            <w:hideMark/>
          </w:tcPr>
          <w:p w14:paraId="71CC9317"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523.591,00</w:t>
            </w:r>
          </w:p>
        </w:tc>
      </w:tr>
      <w:tr w:rsidR="00BB40E2" w:rsidRPr="00BB40E2" w14:paraId="4B6EA46F"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6C09647D"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5.5. POMOĆI IZ ŽUPANIJSKOG PRORAČUNA</w:t>
            </w:r>
          </w:p>
        </w:tc>
        <w:tc>
          <w:tcPr>
            <w:tcW w:w="1880" w:type="dxa"/>
            <w:tcBorders>
              <w:top w:val="nil"/>
              <w:left w:val="nil"/>
              <w:bottom w:val="single" w:sz="4" w:space="0" w:color="auto"/>
              <w:right w:val="single" w:sz="4" w:space="0" w:color="auto"/>
            </w:tcBorders>
            <w:shd w:val="clear" w:color="000000" w:fill="FFFFFF"/>
            <w:noWrap/>
            <w:vAlign w:val="bottom"/>
            <w:hideMark/>
          </w:tcPr>
          <w:p w14:paraId="3F610F3D"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231.800,00</w:t>
            </w:r>
          </w:p>
        </w:tc>
        <w:tc>
          <w:tcPr>
            <w:tcW w:w="1893" w:type="dxa"/>
            <w:tcBorders>
              <w:top w:val="nil"/>
              <w:left w:val="nil"/>
              <w:bottom w:val="single" w:sz="4" w:space="0" w:color="auto"/>
              <w:right w:val="single" w:sz="4" w:space="0" w:color="auto"/>
            </w:tcBorders>
            <w:shd w:val="clear" w:color="000000" w:fill="FFFFFF"/>
            <w:noWrap/>
            <w:vAlign w:val="bottom"/>
            <w:hideMark/>
          </w:tcPr>
          <w:p w14:paraId="09926C82"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31.614,00</w:t>
            </w:r>
          </w:p>
        </w:tc>
        <w:tc>
          <w:tcPr>
            <w:tcW w:w="1696" w:type="dxa"/>
            <w:tcBorders>
              <w:top w:val="nil"/>
              <w:left w:val="nil"/>
              <w:bottom w:val="single" w:sz="4" w:space="0" w:color="auto"/>
              <w:right w:val="single" w:sz="4" w:space="0" w:color="auto"/>
            </w:tcBorders>
            <w:shd w:val="clear" w:color="000000" w:fill="FFFFFF"/>
            <w:noWrap/>
            <w:vAlign w:val="bottom"/>
            <w:hideMark/>
          </w:tcPr>
          <w:p w14:paraId="5159666E"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13,64</w:t>
            </w:r>
          </w:p>
        </w:tc>
        <w:tc>
          <w:tcPr>
            <w:tcW w:w="1880" w:type="dxa"/>
            <w:tcBorders>
              <w:top w:val="nil"/>
              <w:left w:val="nil"/>
              <w:bottom w:val="single" w:sz="4" w:space="0" w:color="auto"/>
              <w:right w:val="single" w:sz="4" w:space="0" w:color="auto"/>
            </w:tcBorders>
            <w:shd w:val="clear" w:color="000000" w:fill="FFFFFF"/>
            <w:noWrap/>
            <w:vAlign w:val="bottom"/>
            <w:hideMark/>
          </w:tcPr>
          <w:p w14:paraId="6DBB746E"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263.414,00</w:t>
            </w:r>
          </w:p>
        </w:tc>
      </w:tr>
      <w:tr w:rsidR="00BB40E2" w:rsidRPr="00BB40E2" w14:paraId="07D1F54D"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6EA7158E"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5.6. POMOĆI IZ OPĆINSKIH PRORAČUNA</w:t>
            </w:r>
          </w:p>
        </w:tc>
        <w:tc>
          <w:tcPr>
            <w:tcW w:w="1880" w:type="dxa"/>
            <w:tcBorders>
              <w:top w:val="nil"/>
              <w:left w:val="nil"/>
              <w:bottom w:val="single" w:sz="4" w:space="0" w:color="auto"/>
              <w:right w:val="single" w:sz="4" w:space="0" w:color="auto"/>
            </w:tcBorders>
            <w:shd w:val="clear" w:color="000000" w:fill="FFFFFF"/>
            <w:noWrap/>
            <w:vAlign w:val="bottom"/>
            <w:hideMark/>
          </w:tcPr>
          <w:p w14:paraId="1AF2E39F"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893" w:type="dxa"/>
            <w:tcBorders>
              <w:top w:val="nil"/>
              <w:left w:val="nil"/>
              <w:bottom w:val="single" w:sz="4" w:space="0" w:color="auto"/>
              <w:right w:val="single" w:sz="4" w:space="0" w:color="auto"/>
            </w:tcBorders>
            <w:shd w:val="clear" w:color="000000" w:fill="FFFFFF"/>
            <w:noWrap/>
            <w:vAlign w:val="bottom"/>
            <w:hideMark/>
          </w:tcPr>
          <w:p w14:paraId="73130820"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696" w:type="dxa"/>
            <w:tcBorders>
              <w:top w:val="nil"/>
              <w:left w:val="nil"/>
              <w:bottom w:val="single" w:sz="4" w:space="0" w:color="auto"/>
              <w:right w:val="single" w:sz="4" w:space="0" w:color="auto"/>
            </w:tcBorders>
            <w:shd w:val="clear" w:color="000000" w:fill="FFFFFF"/>
            <w:noWrap/>
            <w:vAlign w:val="bottom"/>
            <w:hideMark/>
          </w:tcPr>
          <w:p w14:paraId="3C2BAAC3"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880" w:type="dxa"/>
            <w:tcBorders>
              <w:top w:val="nil"/>
              <w:left w:val="nil"/>
              <w:bottom w:val="single" w:sz="4" w:space="0" w:color="auto"/>
              <w:right w:val="single" w:sz="4" w:space="0" w:color="auto"/>
            </w:tcBorders>
            <w:shd w:val="clear" w:color="000000" w:fill="FFFFFF"/>
            <w:noWrap/>
            <w:vAlign w:val="bottom"/>
            <w:hideMark/>
          </w:tcPr>
          <w:p w14:paraId="7242CD7C"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r>
      <w:tr w:rsidR="00BB40E2" w:rsidRPr="00BB40E2" w14:paraId="673F68C3"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1CBC4A24"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5.7. POMOĆI OD OSTALIH IZVANPR. KORISNIKA DRŽ. PRORAČUNA</w:t>
            </w:r>
          </w:p>
        </w:tc>
        <w:tc>
          <w:tcPr>
            <w:tcW w:w="1880" w:type="dxa"/>
            <w:tcBorders>
              <w:top w:val="nil"/>
              <w:left w:val="nil"/>
              <w:bottom w:val="single" w:sz="4" w:space="0" w:color="auto"/>
              <w:right w:val="single" w:sz="4" w:space="0" w:color="auto"/>
            </w:tcBorders>
            <w:shd w:val="clear" w:color="000000" w:fill="FFFFFF"/>
            <w:noWrap/>
            <w:vAlign w:val="bottom"/>
            <w:hideMark/>
          </w:tcPr>
          <w:p w14:paraId="7E74FF45"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893" w:type="dxa"/>
            <w:tcBorders>
              <w:top w:val="nil"/>
              <w:left w:val="nil"/>
              <w:bottom w:val="single" w:sz="4" w:space="0" w:color="auto"/>
              <w:right w:val="single" w:sz="4" w:space="0" w:color="auto"/>
            </w:tcBorders>
            <w:shd w:val="clear" w:color="000000" w:fill="FFFFFF"/>
            <w:noWrap/>
            <w:vAlign w:val="bottom"/>
            <w:hideMark/>
          </w:tcPr>
          <w:p w14:paraId="6972031C"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696" w:type="dxa"/>
            <w:tcBorders>
              <w:top w:val="nil"/>
              <w:left w:val="nil"/>
              <w:bottom w:val="single" w:sz="4" w:space="0" w:color="auto"/>
              <w:right w:val="single" w:sz="4" w:space="0" w:color="auto"/>
            </w:tcBorders>
            <w:shd w:val="clear" w:color="000000" w:fill="FFFFFF"/>
            <w:noWrap/>
            <w:vAlign w:val="bottom"/>
            <w:hideMark/>
          </w:tcPr>
          <w:p w14:paraId="55EE2B8D"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880" w:type="dxa"/>
            <w:tcBorders>
              <w:top w:val="nil"/>
              <w:left w:val="nil"/>
              <w:bottom w:val="single" w:sz="4" w:space="0" w:color="auto"/>
              <w:right w:val="single" w:sz="4" w:space="0" w:color="auto"/>
            </w:tcBorders>
            <w:shd w:val="clear" w:color="000000" w:fill="FFFFFF"/>
            <w:noWrap/>
            <w:vAlign w:val="bottom"/>
            <w:hideMark/>
          </w:tcPr>
          <w:p w14:paraId="2D09AD05"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r>
      <w:tr w:rsidR="00BB40E2" w:rsidRPr="00BB40E2" w14:paraId="48C2A66A"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06A2F9C7"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5.9. POMOĆI - PRIHODI KORISNIKA - GL 02</w:t>
            </w:r>
          </w:p>
        </w:tc>
        <w:tc>
          <w:tcPr>
            <w:tcW w:w="1880" w:type="dxa"/>
            <w:tcBorders>
              <w:top w:val="nil"/>
              <w:left w:val="nil"/>
              <w:bottom w:val="single" w:sz="4" w:space="0" w:color="auto"/>
              <w:right w:val="single" w:sz="4" w:space="0" w:color="auto"/>
            </w:tcBorders>
            <w:shd w:val="clear" w:color="000000" w:fill="FFFFFF"/>
            <w:noWrap/>
            <w:vAlign w:val="bottom"/>
            <w:hideMark/>
          </w:tcPr>
          <w:p w14:paraId="35550137"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7.084.380,00</w:t>
            </w:r>
          </w:p>
        </w:tc>
        <w:tc>
          <w:tcPr>
            <w:tcW w:w="1893" w:type="dxa"/>
            <w:tcBorders>
              <w:top w:val="nil"/>
              <w:left w:val="nil"/>
              <w:bottom w:val="single" w:sz="4" w:space="0" w:color="auto"/>
              <w:right w:val="single" w:sz="4" w:space="0" w:color="auto"/>
            </w:tcBorders>
            <w:shd w:val="clear" w:color="000000" w:fill="FFFFFF"/>
            <w:noWrap/>
            <w:vAlign w:val="bottom"/>
            <w:hideMark/>
          </w:tcPr>
          <w:p w14:paraId="191C5E1E"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317.503,00</w:t>
            </w:r>
          </w:p>
        </w:tc>
        <w:tc>
          <w:tcPr>
            <w:tcW w:w="1696" w:type="dxa"/>
            <w:tcBorders>
              <w:top w:val="nil"/>
              <w:left w:val="nil"/>
              <w:bottom w:val="single" w:sz="4" w:space="0" w:color="auto"/>
              <w:right w:val="single" w:sz="4" w:space="0" w:color="auto"/>
            </w:tcBorders>
            <w:shd w:val="clear" w:color="000000" w:fill="FFFFFF"/>
            <w:noWrap/>
            <w:vAlign w:val="bottom"/>
            <w:hideMark/>
          </w:tcPr>
          <w:p w14:paraId="70537525"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4,48</w:t>
            </w:r>
          </w:p>
        </w:tc>
        <w:tc>
          <w:tcPr>
            <w:tcW w:w="1880" w:type="dxa"/>
            <w:tcBorders>
              <w:top w:val="nil"/>
              <w:left w:val="nil"/>
              <w:bottom w:val="single" w:sz="4" w:space="0" w:color="auto"/>
              <w:right w:val="single" w:sz="4" w:space="0" w:color="auto"/>
            </w:tcBorders>
            <w:shd w:val="clear" w:color="000000" w:fill="FFFFFF"/>
            <w:noWrap/>
            <w:vAlign w:val="bottom"/>
            <w:hideMark/>
          </w:tcPr>
          <w:p w14:paraId="4CC1FAE3"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7.401.883,00</w:t>
            </w:r>
          </w:p>
        </w:tc>
      </w:tr>
      <w:tr w:rsidR="00BB40E2" w:rsidRPr="00BB40E2" w14:paraId="4334DBC1"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D9D9D9"/>
            <w:noWrap/>
            <w:vAlign w:val="bottom"/>
            <w:hideMark/>
          </w:tcPr>
          <w:p w14:paraId="6E770314" w14:textId="77777777" w:rsidR="00BB40E2" w:rsidRPr="00BB40E2" w:rsidRDefault="00BB40E2" w:rsidP="00BB40E2">
            <w:pPr>
              <w:rPr>
                <w:rFonts w:ascii="Arial" w:hAnsi="Arial" w:cs="Arial"/>
                <w:b/>
                <w:bCs/>
                <w:color w:val="000000"/>
                <w:sz w:val="20"/>
                <w:szCs w:val="20"/>
              </w:rPr>
            </w:pPr>
            <w:r w:rsidRPr="00BB40E2">
              <w:rPr>
                <w:rFonts w:ascii="Arial" w:hAnsi="Arial" w:cs="Arial"/>
                <w:b/>
                <w:bCs/>
                <w:color w:val="000000"/>
                <w:sz w:val="20"/>
                <w:szCs w:val="20"/>
              </w:rPr>
              <w:lastRenderedPageBreak/>
              <w:t>Izvor  6. DONACIJE</w:t>
            </w:r>
          </w:p>
        </w:tc>
        <w:tc>
          <w:tcPr>
            <w:tcW w:w="1880" w:type="dxa"/>
            <w:tcBorders>
              <w:top w:val="nil"/>
              <w:left w:val="nil"/>
              <w:bottom w:val="single" w:sz="4" w:space="0" w:color="auto"/>
              <w:right w:val="single" w:sz="4" w:space="0" w:color="auto"/>
            </w:tcBorders>
            <w:shd w:val="clear" w:color="000000" w:fill="D9D9D9"/>
            <w:noWrap/>
            <w:vAlign w:val="bottom"/>
            <w:hideMark/>
          </w:tcPr>
          <w:p w14:paraId="66BDF68C"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702.984,00</w:t>
            </w:r>
          </w:p>
        </w:tc>
        <w:tc>
          <w:tcPr>
            <w:tcW w:w="1893" w:type="dxa"/>
            <w:tcBorders>
              <w:top w:val="nil"/>
              <w:left w:val="nil"/>
              <w:bottom w:val="single" w:sz="4" w:space="0" w:color="auto"/>
              <w:right w:val="single" w:sz="4" w:space="0" w:color="auto"/>
            </w:tcBorders>
            <w:shd w:val="clear" w:color="000000" w:fill="D9D9D9"/>
            <w:noWrap/>
            <w:vAlign w:val="bottom"/>
            <w:hideMark/>
          </w:tcPr>
          <w:p w14:paraId="20A84270"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-17.874,00</w:t>
            </w:r>
          </w:p>
        </w:tc>
        <w:tc>
          <w:tcPr>
            <w:tcW w:w="1696" w:type="dxa"/>
            <w:tcBorders>
              <w:top w:val="nil"/>
              <w:left w:val="nil"/>
              <w:bottom w:val="single" w:sz="4" w:space="0" w:color="auto"/>
              <w:right w:val="single" w:sz="4" w:space="0" w:color="auto"/>
            </w:tcBorders>
            <w:shd w:val="clear" w:color="000000" w:fill="D9D9D9"/>
            <w:noWrap/>
            <w:vAlign w:val="bottom"/>
            <w:hideMark/>
          </w:tcPr>
          <w:p w14:paraId="7209738A"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-2,54</w:t>
            </w:r>
          </w:p>
        </w:tc>
        <w:tc>
          <w:tcPr>
            <w:tcW w:w="1880" w:type="dxa"/>
            <w:tcBorders>
              <w:top w:val="nil"/>
              <w:left w:val="nil"/>
              <w:bottom w:val="single" w:sz="4" w:space="0" w:color="auto"/>
              <w:right w:val="single" w:sz="4" w:space="0" w:color="auto"/>
            </w:tcBorders>
            <w:shd w:val="clear" w:color="000000" w:fill="D9D9D9"/>
            <w:noWrap/>
            <w:vAlign w:val="bottom"/>
            <w:hideMark/>
          </w:tcPr>
          <w:p w14:paraId="6FA25F74"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685.110,00</w:t>
            </w:r>
          </w:p>
        </w:tc>
      </w:tr>
      <w:tr w:rsidR="00BB40E2" w:rsidRPr="00BB40E2" w14:paraId="3B131CFA"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5DDF4345"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6.1. TEKUĆE DONACIJE</w:t>
            </w:r>
          </w:p>
        </w:tc>
        <w:tc>
          <w:tcPr>
            <w:tcW w:w="1880" w:type="dxa"/>
            <w:tcBorders>
              <w:top w:val="nil"/>
              <w:left w:val="nil"/>
              <w:bottom w:val="single" w:sz="4" w:space="0" w:color="auto"/>
              <w:right w:val="single" w:sz="4" w:space="0" w:color="auto"/>
            </w:tcBorders>
            <w:shd w:val="clear" w:color="000000" w:fill="FFFFFF"/>
            <w:noWrap/>
            <w:vAlign w:val="bottom"/>
            <w:hideMark/>
          </w:tcPr>
          <w:p w14:paraId="592484D5"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3.000,00</w:t>
            </w:r>
          </w:p>
        </w:tc>
        <w:tc>
          <w:tcPr>
            <w:tcW w:w="1893" w:type="dxa"/>
            <w:tcBorders>
              <w:top w:val="nil"/>
              <w:left w:val="nil"/>
              <w:bottom w:val="single" w:sz="4" w:space="0" w:color="auto"/>
              <w:right w:val="single" w:sz="4" w:space="0" w:color="auto"/>
            </w:tcBorders>
            <w:shd w:val="clear" w:color="000000" w:fill="FFFFFF"/>
            <w:noWrap/>
            <w:vAlign w:val="bottom"/>
            <w:hideMark/>
          </w:tcPr>
          <w:p w14:paraId="6908C641"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20.000,00</w:t>
            </w:r>
          </w:p>
        </w:tc>
        <w:tc>
          <w:tcPr>
            <w:tcW w:w="1696" w:type="dxa"/>
            <w:tcBorders>
              <w:top w:val="nil"/>
              <w:left w:val="nil"/>
              <w:bottom w:val="single" w:sz="4" w:space="0" w:color="auto"/>
              <w:right w:val="single" w:sz="4" w:space="0" w:color="auto"/>
            </w:tcBorders>
            <w:shd w:val="clear" w:color="000000" w:fill="FFFFFF"/>
            <w:noWrap/>
            <w:vAlign w:val="bottom"/>
            <w:hideMark/>
          </w:tcPr>
          <w:p w14:paraId="10AA9484"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666,67</w:t>
            </w:r>
          </w:p>
        </w:tc>
        <w:tc>
          <w:tcPr>
            <w:tcW w:w="1880" w:type="dxa"/>
            <w:tcBorders>
              <w:top w:val="nil"/>
              <w:left w:val="nil"/>
              <w:bottom w:val="single" w:sz="4" w:space="0" w:color="auto"/>
              <w:right w:val="single" w:sz="4" w:space="0" w:color="auto"/>
            </w:tcBorders>
            <w:shd w:val="clear" w:color="000000" w:fill="FFFFFF"/>
            <w:noWrap/>
            <w:vAlign w:val="bottom"/>
            <w:hideMark/>
          </w:tcPr>
          <w:p w14:paraId="7B104AD1"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23.000,00</w:t>
            </w:r>
          </w:p>
        </w:tc>
      </w:tr>
      <w:tr w:rsidR="00BB40E2" w:rsidRPr="00BB40E2" w14:paraId="6CF3858D"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674B6FC5"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6.2. 6. KAPITALNE DONACIJE</w:t>
            </w:r>
          </w:p>
        </w:tc>
        <w:tc>
          <w:tcPr>
            <w:tcW w:w="1880" w:type="dxa"/>
            <w:tcBorders>
              <w:top w:val="nil"/>
              <w:left w:val="nil"/>
              <w:bottom w:val="single" w:sz="4" w:space="0" w:color="auto"/>
              <w:right w:val="single" w:sz="4" w:space="0" w:color="auto"/>
            </w:tcBorders>
            <w:shd w:val="clear" w:color="000000" w:fill="FFFFFF"/>
            <w:noWrap/>
            <w:vAlign w:val="bottom"/>
            <w:hideMark/>
          </w:tcPr>
          <w:p w14:paraId="540BC74F"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563.570,00</w:t>
            </w:r>
          </w:p>
        </w:tc>
        <w:tc>
          <w:tcPr>
            <w:tcW w:w="1893" w:type="dxa"/>
            <w:tcBorders>
              <w:top w:val="nil"/>
              <w:left w:val="nil"/>
              <w:bottom w:val="single" w:sz="4" w:space="0" w:color="auto"/>
              <w:right w:val="single" w:sz="4" w:space="0" w:color="auto"/>
            </w:tcBorders>
            <w:shd w:val="clear" w:color="000000" w:fill="FFFFFF"/>
            <w:noWrap/>
            <w:vAlign w:val="bottom"/>
            <w:hideMark/>
          </w:tcPr>
          <w:p w14:paraId="62EA0D5F"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21.526,00</w:t>
            </w:r>
          </w:p>
        </w:tc>
        <w:tc>
          <w:tcPr>
            <w:tcW w:w="1696" w:type="dxa"/>
            <w:tcBorders>
              <w:top w:val="nil"/>
              <w:left w:val="nil"/>
              <w:bottom w:val="single" w:sz="4" w:space="0" w:color="auto"/>
              <w:right w:val="single" w:sz="4" w:space="0" w:color="auto"/>
            </w:tcBorders>
            <w:shd w:val="clear" w:color="000000" w:fill="FFFFFF"/>
            <w:noWrap/>
            <w:vAlign w:val="bottom"/>
            <w:hideMark/>
          </w:tcPr>
          <w:p w14:paraId="480FD006"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3,82</w:t>
            </w:r>
          </w:p>
        </w:tc>
        <w:tc>
          <w:tcPr>
            <w:tcW w:w="1880" w:type="dxa"/>
            <w:tcBorders>
              <w:top w:val="nil"/>
              <w:left w:val="nil"/>
              <w:bottom w:val="single" w:sz="4" w:space="0" w:color="auto"/>
              <w:right w:val="single" w:sz="4" w:space="0" w:color="auto"/>
            </w:tcBorders>
            <w:shd w:val="clear" w:color="000000" w:fill="FFFFFF"/>
            <w:noWrap/>
            <w:vAlign w:val="bottom"/>
            <w:hideMark/>
          </w:tcPr>
          <w:p w14:paraId="21AC6035"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585.096,00</w:t>
            </w:r>
          </w:p>
        </w:tc>
      </w:tr>
      <w:tr w:rsidR="00BB40E2" w:rsidRPr="00BB40E2" w14:paraId="751F0793"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55576A2F"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6.9. 6.DONACIJE - PRIHODI KORISNIKA</w:t>
            </w:r>
          </w:p>
        </w:tc>
        <w:tc>
          <w:tcPr>
            <w:tcW w:w="1880" w:type="dxa"/>
            <w:tcBorders>
              <w:top w:val="nil"/>
              <w:left w:val="nil"/>
              <w:bottom w:val="single" w:sz="4" w:space="0" w:color="auto"/>
              <w:right w:val="single" w:sz="4" w:space="0" w:color="auto"/>
            </w:tcBorders>
            <w:shd w:val="clear" w:color="000000" w:fill="FFFFFF"/>
            <w:noWrap/>
            <w:vAlign w:val="bottom"/>
            <w:hideMark/>
          </w:tcPr>
          <w:p w14:paraId="15915F93"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136.414,00</w:t>
            </w:r>
          </w:p>
        </w:tc>
        <w:tc>
          <w:tcPr>
            <w:tcW w:w="1893" w:type="dxa"/>
            <w:tcBorders>
              <w:top w:val="nil"/>
              <w:left w:val="nil"/>
              <w:bottom w:val="single" w:sz="4" w:space="0" w:color="auto"/>
              <w:right w:val="single" w:sz="4" w:space="0" w:color="auto"/>
            </w:tcBorders>
            <w:shd w:val="clear" w:color="000000" w:fill="FFFFFF"/>
            <w:noWrap/>
            <w:vAlign w:val="bottom"/>
            <w:hideMark/>
          </w:tcPr>
          <w:p w14:paraId="050C3D5C"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-59.400,00</w:t>
            </w:r>
          </w:p>
        </w:tc>
        <w:tc>
          <w:tcPr>
            <w:tcW w:w="1696" w:type="dxa"/>
            <w:tcBorders>
              <w:top w:val="nil"/>
              <w:left w:val="nil"/>
              <w:bottom w:val="single" w:sz="4" w:space="0" w:color="auto"/>
              <w:right w:val="single" w:sz="4" w:space="0" w:color="auto"/>
            </w:tcBorders>
            <w:shd w:val="clear" w:color="000000" w:fill="FFFFFF"/>
            <w:noWrap/>
            <w:vAlign w:val="bottom"/>
            <w:hideMark/>
          </w:tcPr>
          <w:p w14:paraId="419A9351"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-43,54</w:t>
            </w:r>
          </w:p>
        </w:tc>
        <w:tc>
          <w:tcPr>
            <w:tcW w:w="1880" w:type="dxa"/>
            <w:tcBorders>
              <w:top w:val="nil"/>
              <w:left w:val="nil"/>
              <w:bottom w:val="single" w:sz="4" w:space="0" w:color="auto"/>
              <w:right w:val="single" w:sz="4" w:space="0" w:color="auto"/>
            </w:tcBorders>
            <w:shd w:val="clear" w:color="000000" w:fill="FFFFFF"/>
            <w:noWrap/>
            <w:vAlign w:val="bottom"/>
            <w:hideMark/>
          </w:tcPr>
          <w:p w14:paraId="62125A4C"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77.014,00</w:t>
            </w:r>
          </w:p>
        </w:tc>
      </w:tr>
      <w:tr w:rsidR="00BB40E2" w:rsidRPr="00BB40E2" w14:paraId="193E8C37"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D9D9D9"/>
            <w:noWrap/>
            <w:vAlign w:val="bottom"/>
            <w:hideMark/>
          </w:tcPr>
          <w:p w14:paraId="427276CE" w14:textId="77777777" w:rsidR="00BB40E2" w:rsidRPr="00BB40E2" w:rsidRDefault="00BB40E2" w:rsidP="00BB40E2">
            <w:pPr>
              <w:rPr>
                <w:rFonts w:ascii="Arial" w:hAnsi="Arial" w:cs="Arial"/>
                <w:b/>
                <w:bCs/>
                <w:color w:val="000000"/>
                <w:sz w:val="20"/>
                <w:szCs w:val="20"/>
              </w:rPr>
            </w:pPr>
            <w:r w:rsidRPr="00BB40E2">
              <w:rPr>
                <w:rFonts w:ascii="Arial" w:hAnsi="Arial" w:cs="Arial"/>
                <w:b/>
                <w:bCs/>
                <w:color w:val="000000"/>
                <w:sz w:val="20"/>
                <w:szCs w:val="20"/>
              </w:rPr>
              <w:t>Izvor  7. PRIHODI OD NEFINANCIJSKE IMOVINE</w:t>
            </w:r>
          </w:p>
        </w:tc>
        <w:tc>
          <w:tcPr>
            <w:tcW w:w="1880" w:type="dxa"/>
            <w:tcBorders>
              <w:top w:val="nil"/>
              <w:left w:val="nil"/>
              <w:bottom w:val="single" w:sz="4" w:space="0" w:color="auto"/>
              <w:right w:val="single" w:sz="4" w:space="0" w:color="auto"/>
            </w:tcBorders>
            <w:shd w:val="clear" w:color="000000" w:fill="D9D9D9"/>
            <w:noWrap/>
            <w:vAlign w:val="bottom"/>
            <w:hideMark/>
          </w:tcPr>
          <w:p w14:paraId="3C44A5F6"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2.253.960,00</w:t>
            </w:r>
          </w:p>
        </w:tc>
        <w:tc>
          <w:tcPr>
            <w:tcW w:w="1893" w:type="dxa"/>
            <w:tcBorders>
              <w:top w:val="nil"/>
              <w:left w:val="nil"/>
              <w:bottom w:val="single" w:sz="4" w:space="0" w:color="auto"/>
              <w:right w:val="single" w:sz="4" w:space="0" w:color="auto"/>
            </w:tcBorders>
            <w:shd w:val="clear" w:color="000000" w:fill="D9D9D9"/>
            <w:noWrap/>
            <w:vAlign w:val="bottom"/>
            <w:hideMark/>
          </w:tcPr>
          <w:p w14:paraId="309FA223"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-731.120,00</w:t>
            </w:r>
          </w:p>
        </w:tc>
        <w:tc>
          <w:tcPr>
            <w:tcW w:w="1696" w:type="dxa"/>
            <w:tcBorders>
              <w:top w:val="nil"/>
              <w:left w:val="nil"/>
              <w:bottom w:val="single" w:sz="4" w:space="0" w:color="auto"/>
              <w:right w:val="single" w:sz="4" w:space="0" w:color="auto"/>
            </w:tcBorders>
            <w:shd w:val="clear" w:color="000000" w:fill="D9D9D9"/>
            <w:noWrap/>
            <w:vAlign w:val="bottom"/>
            <w:hideMark/>
          </w:tcPr>
          <w:p w14:paraId="771BF566"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-32,44</w:t>
            </w:r>
          </w:p>
        </w:tc>
        <w:tc>
          <w:tcPr>
            <w:tcW w:w="1880" w:type="dxa"/>
            <w:tcBorders>
              <w:top w:val="nil"/>
              <w:left w:val="nil"/>
              <w:bottom w:val="single" w:sz="4" w:space="0" w:color="auto"/>
              <w:right w:val="single" w:sz="4" w:space="0" w:color="auto"/>
            </w:tcBorders>
            <w:shd w:val="clear" w:color="000000" w:fill="D9D9D9"/>
            <w:noWrap/>
            <w:vAlign w:val="bottom"/>
            <w:hideMark/>
          </w:tcPr>
          <w:p w14:paraId="06A23E59"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1.522.840,00</w:t>
            </w:r>
          </w:p>
        </w:tc>
      </w:tr>
      <w:tr w:rsidR="00BB40E2" w:rsidRPr="00BB40E2" w14:paraId="10260856"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0F95D015"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7.1. 7.PRIHODI OD NEFINANCIJSKE IMOVINE</w:t>
            </w:r>
          </w:p>
        </w:tc>
        <w:tc>
          <w:tcPr>
            <w:tcW w:w="1880" w:type="dxa"/>
            <w:tcBorders>
              <w:top w:val="nil"/>
              <w:left w:val="nil"/>
              <w:bottom w:val="single" w:sz="4" w:space="0" w:color="auto"/>
              <w:right w:val="single" w:sz="4" w:space="0" w:color="auto"/>
            </w:tcBorders>
            <w:shd w:val="clear" w:color="000000" w:fill="FFFFFF"/>
            <w:noWrap/>
            <w:vAlign w:val="bottom"/>
            <w:hideMark/>
          </w:tcPr>
          <w:p w14:paraId="015C6EA7"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2.239.610,00</w:t>
            </w:r>
          </w:p>
        </w:tc>
        <w:tc>
          <w:tcPr>
            <w:tcW w:w="1893" w:type="dxa"/>
            <w:tcBorders>
              <w:top w:val="nil"/>
              <w:left w:val="nil"/>
              <w:bottom w:val="single" w:sz="4" w:space="0" w:color="auto"/>
              <w:right w:val="single" w:sz="4" w:space="0" w:color="auto"/>
            </w:tcBorders>
            <w:shd w:val="clear" w:color="000000" w:fill="FFFFFF"/>
            <w:noWrap/>
            <w:vAlign w:val="bottom"/>
            <w:hideMark/>
          </w:tcPr>
          <w:p w14:paraId="520DB8E9"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-733.120,00</w:t>
            </w:r>
          </w:p>
        </w:tc>
        <w:tc>
          <w:tcPr>
            <w:tcW w:w="1696" w:type="dxa"/>
            <w:tcBorders>
              <w:top w:val="nil"/>
              <w:left w:val="nil"/>
              <w:bottom w:val="single" w:sz="4" w:space="0" w:color="auto"/>
              <w:right w:val="single" w:sz="4" w:space="0" w:color="auto"/>
            </w:tcBorders>
            <w:shd w:val="clear" w:color="000000" w:fill="FFFFFF"/>
            <w:noWrap/>
            <w:vAlign w:val="bottom"/>
            <w:hideMark/>
          </w:tcPr>
          <w:p w14:paraId="737B9DFB"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-32,73</w:t>
            </w:r>
          </w:p>
        </w:tc>
        <w:tc>
          <w:tcPr>
            <w:tcW w:w="1880" w:type="dxa"/>
            <w:tcBorders>
              <w:top w:val="nil"/>
              <w:left w:val="nil"/>
              <w:bottom w:val="single" w:sz="4" w:space="0" w:color="auto"/>
              <w:right w:val="single" w:sz="4" w:space="0" w:color="auto"/>
            </w:tcBorders>
            <w:shd w:val="clear" w:color="000000" w:fill="FFFFFF"/>
            <w:noWrap/>
            <w:vAlign w:val="bottom"/>
            <w:hideMark/>
          </w:tcPr>
          <w:p w14:paraId="68689B98"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1.506.490,00</w:t>
            </w:r>
          </w:p>
        </w:tc>
      </w:tr>
      <w:tr w:rsidR="00BB40E2" w:rsidRPr="00BB40E2" w14:paraId="04A1DBC2"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1E1A9739"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7.3. 7.PRIHODI OD NAKNADA ŠTETA S OSN.OSIGUR.</w:t>
            </w:r>
          </w:p>
        </w:tc>
        <w:tc>
          <w:tcPr>
            <w:tcW w:w="1880" w:type="dxa"/>
            <w:tcBorders>
              <w:top w:val="nil"/>
              <w:left w:val="nil"/>
              <w:bottom w:val="single" w:sz="4" w:space="0" w:color="auto"/>
              <w:right w:val="single" w:sz="4" w:space="0" w:color="auto"/>
            </w:tcBorders>
            <w:shd w:val="clear" w:color="000000" w:fill="FFFFFF"/>
            <w:noWrap/>
            <w:vAlign w:val="bottom"/>
            <w:hideMark/>
          </w:tcPr>
          <w:p w14:paraId="7D282039"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2.650,00</w:t>
            </w:r>
          </w:p>
        </w:tc>
        <w:tc>
          <w:tcPr>
            <w:tcW w:w="1893" w:type="dxa"/>
            <w:tcBorders>
              <w:top w:val="nil"/>
              <w:left w:val="nil"/>
              <w:bottom w:val="single" w:sz="4" w:space="0" w:color="auto"/>
              <w:right w:val="single" w:sz="4" w:space="0" w:color="auto"/>
            </w:tcBorders>
            <w:shd w:val="clear" w:color="000000" w:fill="FFFFFF"/>
            <w:noWrap/>
            <w:vAlign w:val="bottom"/>
            <w:hideMark/>
          </w:tcPr>
          <w:p w14:paraId="07692598"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696" w:type="dxa"/>
            <w:tcBorders>
              <w:top w:val="nil"/>
              <w:left w:val="nil"/>
              <w:bottom w:val="single" w:sz="4" w:space="0" w:color="auto"/>
              <w:right w:val="single" w:sz="4" w:space="0" w:color="auto"/>
            </w:tcBorders>
            <w:shd w:val="clear" w:color="000000" w:fill="FFFFFF"/>
            <w:noWrap/>
            <w:vAlign w:val="bottom"/>
            <w:hideMark/>
          </w:tcPr>
          <w:p w14:paraId="67D3E77F"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880" w:type="dxa"/>
            <w:tcBorders>
              <w:top w:val="nil"/>
              <w:left w:val="nil"/>
              <w:bottom w:val="single" w:sz="4" w:space="0" w:color="auto"/>
              <w:right w:val="single" w:sz="4" w:space="0" w:color="auto"/>
            </w:tcBorders>
            <w:shd w:val="clear" w:color="000000" w:fill="FFFFFF"/>
            <w:noWrap/>
            <w:vAlign w:val="bottom"/>
            <w:hideMark/>
          </w:tcPr>
          <w:p w14:paraId="4764E494"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2.650,00</w:t>
            </w:r>
          </w:p>
        </w:tc>
      </w:tr>
      <w:tr w:rsidR="00BB40E2" w:rsidRPr="00BB40E2" w14:paraId="33BFEAB1"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50785AB9"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7.9. 7.PRIHODI OD NAKNADA ŠTETA S OSN.OSIGUR.-PRIH.KOR.</w:t>
            </w:r>
          </w:p>
        </w:tc>
        <w:tc>
          <w:tcPr>
            <w:tcW w:w="1880" w:type="dxa"/>
            <w:tcBorders>
              <w:top w:val="nil"/>
              <w:left w:val="nil"/>
              <w:bottom w:val="single" w:sz="4" w:space="0" w:color="auto"/>
              <w:right w:val="single" w:sz="4" w:space="0" w:color="auto"/>
            </w:tcBorders>
            <w:shd w:val="clear" w:color="000000" w:fill="FFFFFF"/>
            <w:noWrap/>
            <w:vAlign w:val="bottom"/>
            <w:hideMark/>
          </w:tcPr>
          <w:p w14:paraId="343D3C5B"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11.700,00</w:t>
            </w:r>
          </w:p>
        </w:tc>
        <w:tc>
          <w:tcPr>
            <w:tcW w:w="1893" w:type="dxa"/>
            <w:tcBorders>
              <w:top w:val="nil"/>
              <w:left w:val="nil"/>
              <w:bottom w:val="single" w:sz="4" w:space="0" w:color="auto"/>
              <w:right w:val="single" w:sz="4" w:space="0" w:color="auto"/>
            </w:tcBorders>
            <w:shd w:val="clear" w:color="000000" w:fill="FFFFFF"/>
            <w:noWrap/>
            <w:vAlign w:val="bottom"/>
            <w:hideMark/>
          </w:tcPr>
          <w:p w14:paraId="2C413E09"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2.000,00</w:t>
            </w:r>
          </w:p>
        </w:tc>
        <w:tc>
          <w:tcPr>
            <w:tcW w:w="1696" w:type="dxa"/>
            <w:tcBorders>
              <w:top w:val="nil"/>
              <w:left w:val="nil"/>
              <w:bottom w:val="single" w:sz="4" w:space="0" w:color="auto"/>
              <w:right w:val="single" w:sz="4" w:space="0" w:color="auto"/>
            </w:tcBorders>
            <w:shd w:val="clear" w:color="000000" w:fill="FFFFFF"/>
            <w:noWrap/>
            <w:vAlign w:val="bottom"/>
            <w:hideMark/>
          </w:tcPr>
          <w:p w14:paraId="5DF5A3FA"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17,09</w:t>
            </w:r>
          </w:p>
        </w:tc>
        <w:tc>
          <w:tcPr>
            <w:tcW w:w="1880" w:type="dxa"/>
            <w:tcBorders>
              <w:top w:val="nil"/>
              <w:left w:val="nil"/>
              <w:bottom w:val="single" w:sz="4" w:space="0" w:color="auto"/>
              <w:right w:val="single" w:sz="4" w:space="0" w:color="auto"/>
            </w:tcBorders>
            <w:shd w:val="clear" w:color="000000" w:fill="FFFFFF"/>
            <w:noWrap/>
            <w:vAlign w:val="bottom"/>
            <w:hideMark/>
          </w:tcPr>
          <w:p w14:paraId="33A09D51"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13.700,00</w:t>
            </w:r>
          </w:p>
        </w:tc>
      </w:tr>
      <w:tr w:rsidR="00BB40E2" w:rsidRPr="00BB40E2" w14:paraId="422D8BEB"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A6A6A6"/>
            <w:noWrap/>
            <w:vAlign w:val="bottom"/>
            <w:hideMark/>
          </w:tcPr>
          <w:p w14:paraId="649B5FF7" w14:textId="77777777" w:rsidR="00BB40E2" w:rsidRPr="00BB40E2" w:rsidRDefault="00BB40E2" w:rsidP="00BB40E2">
            <w:pPr>
              <w:rPr>
                <w:rFonts w:ascii="Arial" w:hAnsi="Arial" w:cs="Arial"/>
                <w:b/>
                <w:bCs/>
                <w:sz w:val="20"/>
                <w:szCs w:val="20"/>
              </w:rPr>
            </w:pPr>
            <w:r w:rsidRPr="00BB40E2">
              <w:rPr>
                <w:rFonts w:ascii="Arial" w:hAnsi="Arial" w:cs="Arial"/>
                <w:b/>
                <w:bCs/>
                <w:sz w:val="20"/>
                <w:szCs w:val="20"/>
              </w:rPr>
              <w:t xml:space="preserve">  SVEUKUPNO RASHODI / IZDACI</w:t>
            </w:r>
          </w:p>
        </w:tc>
        <w:tc>
          <w:tcPr>
            <w:tcW w:w="1880" w:type="dxa"/>
            <w:tcBorders>
              <w:top w:val="nil"/>
              <w:left w:val="nil"/>
              <w:bottom w:val="single" w:sz="4" w:space="0" w:color="auto"/>
              <w:right w:val="single" w:sz="4" w:space="0" w:color="auto"/>
            </w:tcBorders>
            <w:shd w:val="clear" w:color="000000" w:fill="A6A6A6"/>
            <w:noWrap/>
            <w:vAlign w:val="bottom"/>
            <w:hideMark/>
          </w:tcPr>
          <w:p w14:paraId="37BD7480" w14:textId="77777777" w:rsidR="00BB40E2" w:rsidRPr="00BB40E2" w:rsidRDefault="00BB40E2" w:rsidP="00BB40E2">
            <w:pPr>
              <w:jc w:val="right"/>
              <w:rPr>
                <w:rFonts w:ascii="Arial" w:hAnsi="Arial" w:cs="Arial"/>
                <w:b/>
                <w:bCs/>
                <w:sz w:val="20"/>
                <w:szCs w:val="20"/>
              </w:rPr>
            </w:pPr>
            <w:r w:rsidRPr="00BB40E2">
              <w:rPr>
                <w:rFonts w:ascii="Arial" w:hAnsi="Arial" w:cs="Arial"/>
                <w:b/>
                <w:bCs/>
                <w:sz w:val="20"/>
                <w:szCs w:val="20"/>
              </w:rPr>
              <w:t>26.786.560,00</w:t>
            </w:r>
          </w:p>
        </w:tc>
        <w:tc>
          <w:tcPr>
            <w:tcW w:w="1893" w:type="dxa"/>
            <w:tcBorders>
              <w:top w:val="nil"/>
              <w:left w:val="nil"/>
              <w:bottom w:val="single" w:sz="4" w:space="0" w:color="auto"/>
              <w:right w:val="single" w:sz="4" w:space="0" w:color="auto"/>
            </w:tcBorders>
            <w:shd w:val="clear" w:color="000000" w:fill="A6A6A6"/>
            <w:noWrap/>
            <w:vAlign w:val="bottom"/>
            <w:hideMark/>
          </w:tcPr>
          <w:p w14:paraId="7A2B304F" w14:textId="77777777" w:rsidR="00BB40E2" w:rsidRPr="00BB40E2" w:rsidRDefault="00BB40E2" w:rsidP="00BB40E2">
            <w:pPr>
              <w:jc w:val="right"/>
              <w:rPr>
                <w:rFonts w:ascii="Arial" w:hAnsi="Arial" w:cs="Arial"/>
                <w:b/>
                <w:bCs/>
                <w:sz w:val="20"/>
                <w:szCs w:val="20"/>
              </w:rPr>
            </w:pPr>
            <w:r w:rsidRPr="00BB40E2">
              <w:rPr>
                <w:rFonts w:ascii="Arial" w:hAnsi="Arial" w:cs="Arial"/>
                <w:b/>
                <w:bCs/>
                <w:sz w:val="20"/>
                <w:szCs w:val="20"/>
              </w:rPr>
              <w:t>933.295,00</w:t>
            </w:r>
          </w:p>
        </w:tc>
        <w:tc>
          <w:tcPr>
            <w:tcW w:w="1696" w:type="dxa"/>
            <w:tcBorders>
              <w:top w:val="nil"/>
              <w:left w:val="nil"/>
              <w:bottom w:val="single" w:sz="4" w:space="0" w:color="auto"/>
              <w:right w:val="single" w:sz="4" w:space="0" w:color="auto"/>
            </w:tcBorders>
            <w:shd w:val="clear" w:color="000000" w:fill="A6A6A6"/>
            <w:noWrap/>
            <w:vAlign w:val="bottom"/>
            <w:hideMark/>
          </w:tcPr>
          <w:p w14:paraId="65E9306C" w14:textId="77777777" w:rsidR="00BB40E2" w:rsidRPr="00BB40E2" w:rsidRDefault="00BB40E2" w:rsidP="00BB40E2">
            <w:pPr>
              <w:jc w:val="right"/>
              <w:rPr>
                <w:rFonts w:ascii="Arial" w:hAnsi="Arial" w:cs="Arial"/>
                <w:b/>
                <w:bCs/>
                <w:sz w:val="20"/>
                <w:szCs w:val="20"/>
              </w:rPr>
            </w:pPr>
            <w:r w:rsidRPr="00BB40E2">
              <w:rPr>
                <w:rFonts w:ascii="Arial" w:hAnsi="Arial" w:cs="Arial"/>
                <w:b/>
                <w:bCs/>
                <w:sz w:val="20"/>
                <w:szCs w:val="20"/>
              </w:rPr>
              <w:t>3,48</w:t>
            </w:r>
          </w:p>
        </w:tc>
        <w:tc>
          <w:tcPr>
            <w:tcW w:w="1880" w:type="dxa"/>
            <w:tcBorders>
              <w:top w:val="nil"/>
              <w:left w:val="nil"/>
              <w:bottom w:val="single" w:sz="4" w:space="0" w:color="auto"/>
              <w:right w:val="single" w:sz="4" w:space="0" w:color="auto"/>
            </w:tcBorders>
            <w:shd w:val="clear" w:color="000000" w:fill="A6A6A6"/>
            <w:noWrap/>
            <w:vAlign w:val="bottom"/>
            <w:hideMark/>
          </w:tcPr>
          <w:p w14:paraId="3DF38477" w14:textId="77777777" w:rsidR="00BB40E2" w:rsidRPr="00BB40E2" w:rsidRDefault="00BB40E2" w:rsidP="00BB40E2">
            <w:pPr>
              <w:jc w:val="right"/>
              <w:rPr>
                <w:rFonts w:ascii="Arial" w:hAnsi="Arial" w:cs="Arial"/>
                <w:b/>
                <w:bCs/>
                <w:sz w:val="20"/>
                <w:szCs w:val="20"/>
              </w:rPr>
            </w:pPr>
            <w:r w:rsidRPr="00BB40E2">
              <w:rPr>
                <w:rFonts w:ascii="Arial" w:hAnsi="Arial" w:cs="Arial"/>
                <w:b/>
                <w:bCs/>
                <w:sz w:val="20"/>
                <w:szCs w:val="20"/>
              </w:rPr>
              <w:t>27.719.855,00</w:t>
            </w:r>
          </w:p>
        </w:tc>
      </w:tr>
      <w:tr w:rsidR="00BB40E2" w:rsidRPr="00BB40E2" w14:paraId="3714A547"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D9D9D9"/>
            <w:noWrap/>
            <w:vAlign w:val="bottom"/>
            <w:hideMark/>
          </w:tcPr>
          <w:p w14:paraId="685D832C" w14:textId="77777777" w:rsidR="00BB40E2" w:rsidRPr="00BB40E2" w:rsidRDefault="00BB40E2" w:rsidP="00BB40E2">
            <w:pPr>
              <w:rPr>
                <w:rFonts w:ascii="Arial" w:hAnsi="Arial" w:cs="Arial"/>
                <w:b/>
                <w:bCs/>
                <w:color w:val="000000"/>
                <w:sz w:val="20"/>
                <w:szCs w:val="20"/>
              </w:rPr>
            </w:pPr>
            <w:r w:rsidRPr="00BB40E2">
              <w:rPr>
                <w:rFonts w:ascii="Arial" w:hAnsi="Arial" w:cs="Arial"/>
                <w:b/>
                <w:bCs/>
                <w:color w:val="000000"/>
                <w:sz w:val="20"/>
                <w:szCs w:val="20"/>
              </w:rPr>
              <w:t>Izvor  1. OPĆI PRIHODI I PRIMICI</w:t>
            </w:r>
          </w:p>
        </w:tc>
        <w:tc>
          <w:tcPr>
            <w:tcW w:w="1880" w:type="dxa"/>
            <w:tcBorders>
              <w:top w:val="nil"/>
              <w:left w:val="nil"/>
              <w:bottom w:val="single" w:sz="4" w:space="0" w:color="auto"/>
              <w:right w:val="single" w:sz="4" w:space="0" w:color="auto"/>
            </w:tcBorders>
            <w:shd w:val="clear" w:color="000000" w:fill="D9D9D9"/>
            <w:noWrap/>
            <w:vAlign w:val="bottom"/>
            <w:hideMark/>
          </w:tcPr>
          <w:p w14:paraId="667E0FCA"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9.576.288,00</w:t>
            </w:r>
          </w:p>
        </w:tc>
        <w:tc>
          <w:tcPr>
            <w:tcW w:w="1893" w:type="dxa"/>
            <w:tcBorders>
              <w:top w:val="nil"/>
              <w:left w:val="nil"/>
              <w:bottom w:val="single" w:sz="4" w:space="0" w:color="auto"/>
              <w:right w:val="single" w:sz="4" w:space="0" w:color="auto"/>
            </w:tcBorders>
            <w:shd w:val="clear" w:color="000000" w:fill="D9D9D9"/>
            <w:noWrap/>
            <w:vAlign w:val="bottom"/>
            <w:hideMark/>
          </w:tcPr>
          <w:p w14:paraId="0D30AC4D"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1.177.025,00</w:t>
            </w:r>
          </w:p>
        </w:tc>
        <w:tc>
          <w:tcPr>
            <w:tcW w:w="1696" w:type="dxa"/>
            <w:tcBorders>
              <w:top w:val="nil"/>
              <w:left w:val="nil"/>
              <w:bottom w:val="single" w:sz="4" w:space="0" w:color="auto"/>
              <w:right w:val="single" w:sz="4" w:space="0" w:color="auto"/>
            </w:tcBorders>
            <w:shd w:val="clear" w:color="000000" w:fill="D9D9D9"/>
            <w:noWrap/>
            <w:vAlign w:val="bottom"/>
            <w:hideMark/>
          </w:tcPr>
          <w:p w14:paraId="1F4EB960"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12,29</w:t>
            </w:r>
          </w:p>
        </w:tc>
        <w:tc>
          <w:tcPr>
            <w:tcW w:w="1880" w:type="dxa"/>
            <w:tcBorders>
              <w:top w:val="nil"/>
              <w:left w:val="nil"/>
              <w:bottom w:val="single" w:sz="4" w:space="0" w:color="auto"/>
              <w:right w:val="single" w:sz="4" w:space="0" w:color="auto"/>
            </w:tcBorders>
            <w:shd w:val="clear" w:color="000000" w:fill="D9D9D9"/>
            <w:noWrap/>
            <w:vAlign w:val="bottom"/>
            <w:hideMark/>
          </w:tcPr>
          <w:p w14:paraId="2A2A6295"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10.753.313,00</w:t>
            </w:r>
          </w:p>
        </w:tc>
      </w:tr>
      <w:tr w:rsidR="00BB40E2" w:rsidRPr="00BB40E2" w14:paraId="58A487F3"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2E1562A5"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1.1. OPĆI PRIHODI I PRIMICI</w:t>
            </w:r>
          </w:p>
        </w:tc>
        <w:tc>
          <w:tcPr>
            <w:tcW w:w="1880" w:type="dxa"/>
            <w:tcBorders>
              <w:top w:val="nil"/>
              <w:left w:val="nil"/>
              <w:bottom w:val="single" w:sz="4" w:space="0" w:color="auto"/>
              <w:right w:val="single" w:sz="4" w:space="0" w:color="auto"/>
            </w:tcBorders>
            <w:shd w:val="clear" w:color="000000" w:fill="FFFFFF"/>
            <w:noWrap/>
            <w:vAlign w:val="bottom"/>
            <w:hideMark/>
          </w:tcPr>
          <w:p w14:paraId="05762338"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9.576.288,00</w:t>
            </w:r>
          </w:p>
        </w:tc>
        <w:tc>
          <w:tcPr>
            <w:tcW w:w="1893" w:type="dxa"/>
            <w:tcBorders>
              <w:top w:val="nil"/>
              <w:left w:val="nil"/>
              <w:bottom w:val="single" w:sz="4" w:space="0" w:color="auto"/>
              <w:right w:val="single" w:sz="4" w:space="0" w:color="auto"/>
            </w:tcBorders>
            <w:shd w:val="clear" w:color="000000" w:fill="FFFFFF"/>
            <w:noWrap/>
            <w:vAlign w:val="bottom"/>
            <w:hideMark/>
          </w:tcPr>
          <w:p w14:paraId="2031D591"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1.177.025,00</w:t>
            </w:r>
          </w:p>
        </w:tc>
        <w:tc>
          <w:tcPr>
            <w:tcW w:w="1696" w:type="dxa"/>
            <w:tcBorders>
              <w:top w:val="nil"/>
              <w:left w:val="nil"/>
              <w:bottom w:val="single" w:sz="4" w:space="0" w:color="auto"/>
              <w:right w:val="single" w:sz="4" w:space="0" w:color="auto"/>
            </w:tcBorders>
            <w:shd w:val="clear" w:color="000000" w:fill="FFFFFF"/>
            <w:noWrap/>
            <w:vAlign w:val="bottom"/>
            <w:hideMark/>
          </w:tcPr>
          <w:p w14:paraId="32DAD453"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12,29</w:t>
            </w:r>
          </w:p>
        </w:tc>
        <w:tc>
          <w:tcPr>
            <w:tcW w:w="1880" w:type="dxa"/>
            <w:tcBorders>
              <w:top w:val="nil"/>
              <w:left w:val="nil"/>
              <w:bottom w:val="single" w:sz="4" w:space="0" w:color="auto"/>
              <w:right w:val="single" w:sz="4" w:space="0" w:color="auto"/>
            </w:tcBorders>
            <w:shd w:val="clear" w:color="000000" w:fill="FFFFFF"/>
            <w:noWrap/>
            <w:vAlign w:val="bottom"/>
            <w:hideMark/>
          </w:tcPr>
          <w:p w14:paraId="101033EB"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10.753.313,00</w:t>
            </w:r>
          </w:p>
        </w:tc>
      </w:tr>
      <w:tr w:rsidR="00BB40E2" w:rsidRPr="00BB40E2" w14:paraId="5708E400"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D9D9D9"/>
            <w:noWrap/>
            <w:vAlign w:val="bottom"/>
            <w:hideMark/>
          </w:tcPr>
          <w:p w14:paraId="3B005D5A" w14:textId="77777777" w:rsidR="00BB40E2" w:rsidRPr="00BB40E2" w:rsidRDefault="00BB40E2" w:rsidP="00BB40E2">
            <w:pPr>
              <w:rPr>
                <w:rFonts w:ascii="Arial" w:hAnsi="Arial" w:cs="Arial"/>
                <w:b/>
                <w:bCs/>
                <w:color w:val="000000"/>
                <w:sz w:val="20"/>
                <w:szCs w:val="20"/>
              </w:rPr>
            </w:pPr>
            <w:r w:rsidRPr="00BB40E2">
              <w:rPr>
                <w:rFonts w:ascii="Arial" w:hAnsi="Arial" w:cs="Arial"/>
                <w:b/>
                <w:bCs/>
                <w:color w:val="000000"/>
                <w:sz w:val="20"/>
                <w:szCs w:val="20"/>
              </w:rPr>
              <w:t>Izvor  3. VLASTITI PRIHODI</w:t>
            </w:r>
          </w:p>
        </w:tc>
        <w:tc>
          <w:tcPr>
            <w:tcW w:w="1880" w:type="dxa"/>
            <w:tcBorders>
              <w:top w:val="nil"/>
              <w:left w:val="nil"/>
              <w:bottom w:val="single" w:sz="4" w:space="0" w:color="auto"/>
              <w:right w:val="single" w:sz="4" w:space="0" w:color="auto"/>
            </w:tcBorders>
            <w:shd w:val="clear" w:color="000000" w:fill="D9D9D9"/>
            <w:noWrap/>
            <w:vAlign w:val="bottom"/>
            <w:hideMark/>
          </w:tcPr>
          <w:p w14:paraId="180A2B00"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166.699,00</w:t>
            </w:r>
          </w:p>
        </w:tc>
        <w:tc>
          <w:tcPr>
            <w:tcW w:w="1893" w:type="dxa"/>
            <w:tcBorders>
              <w:top w:val="nil"/>
              <w:left w:val="nil"/>
              <w:bottom w:val="single" w:sz="4" w:space="0" w:color="auto"/>
              <w:right w:val="single" w:sz="4" w:space="0" w:color="auto"/>
            </w:tcBorders>
            <w:shd w:val="clear" w:color="000000" w:fill="D9D9D9"/>
            <w:noWrap/>
            <w:vAlign w:val="bottom"/>
            <w:hideMark/>
          </w:tcPr>
          <w:p w14:paraId="592068A7"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37.642,00</w:t>
            </w:r>
          </w:p>
        </w:tc>
        <w:tc>
          <w:tcPr>
            <w:tcW w:w="1696" w:type="dxa"/>
            <w:tcBorders>
              <w:top w:val="nil"/>
              <w:left w:val="nil"/>
              <w:bottom w:val="single" w:sz="4" w:space="0" w:color="auto"/>
              <w:right w:val="single" w:sz="4" w:space="0" w:color="auto"/>
            </w:tcBorders>
            <w:shd w:val="clear" w:color="000000" w:fill="D9D9D9"/>
            <w:noWrap/>
            <w:vAlign w:val="bottom"/>
            <w:hideMark/>
          </w:tcPr>
          <w:p w14:paraId="4B5BBDB6"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22,58</w:t>
            </w:r>
          </w:p>
        </w:tc>
        <w:tc>
          <w:tcPr>
            <w:tcW w:w="1880" w:type="dxa"/>
            <w:tcBorders>
              <w:top w:val="nil"/>
              <w:left w:val="nil"/>
              <w:bottom w:val="single" w:sz="4" w:space="0" w:color="auto"/>
              <w:right w:val="single" w:sz="4" w:space="0" w:color="auto"/>
            </w:tcBorders>
            <w:shd w:val="clear" w:color="000000" w:fill="D9D9D9"/>
            <w:noWrap/>
            <w:vAlign w:val="bottom"/>
            <w:hideMark/>
          </w:tcPr>
          <w:p w14:paraId="1989D04D"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204.341,00</w:t>
            </w:r>
          </w:p>
        </w:tc>
      </w:tr>
      <w:tr w:rsidR="00BB40E2" w:rsidRPr="00BB40E2" w14:paraId="6AC176F7"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0B1FBF87"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3.1. VLASTITI PRIHODI</w:t>
            </w:r>
          </w:p>
        </w:tc>
        <w:tc>
          <w:tcPr>
            <w:tcW w:w="1880" w:type="dxa"/>
            <w:tcBorders>
              <w:top w:val="nil"/>
              <w:left w:val="nil"/>
              <w:bottom w:val="single" w:sz="4" w:space="0" w:color="auto"/>
              <w:right w:val="single" w:sz="4" w:space="0" w:color="auto"/>
            </w:tcBorders>
            <w:shd w:val="clear" w:color="000000" w:fill="FFFFFF"/>
            <w:noWrap/>
            <w:vAlign w:val="bottom"/>
            <w:hideMark/>
          </w:tcPr>
          <w:p w14:paraId="5C034441"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4.600,00</w:t>
            </w:r>
          </w:p>
        </w:tc>
        <w:tc>
          <w:tcPr>
            <w:tcW w:w="1893" w:type="dxa"/>
            <w:tcBorders>
              <w:top w:val="nil"/>
              <w:left w:val="nil"/>
              <w:bottom w:val="single" w:sz="4" w:space="0" w:color="auto"/>
              <w:right w:val="single" w:sz="4" w:space="0" w:color="auto"/>
            </w:tcBorders>
            <w:shd w:val="clear" w:color="000000" w:fill="FFFFFF"/>
            <w:noWrap/>
            <w:vAlign w:val="bottom"/>
            <w:hideMark/>
          </w:tcPr>
          <w:p w14:paraId="045E63E2"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696" w:type="dxa"/>
            <w:tcBorders>
              <w:top w:val="nil"/>
              <w:left w:val="nil"/>
              <w:bottom w:val="single" w:sz="4" w:space="0" w:color="auto"/>
              <w:right w:val="single" w:sz="4" w:space="0" w:color="auto"/>
            </w:tcBorders>
            <w:shd w:val="clear" w:color="000000" w:fill="FFFFFF"/>
            <w:noWrap/>
            <w:vAlign w:val="bottom"/>
            <w:hideMark/>
          </w:tcPr>
          <w:p w14:paraId="342A88A7"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880" w:type="dxa"/>
            <w:tcBorders>
              <w:top w:val="nil"/>
              <w:left w:val="nil"/>
              <w:bottom w:val="single" w:sz="4" w:space="0" w:color="auto"/>
              <w:right w:val="single" w:sz="4" w:space="0" w:color="auto"/>
            </w:tcBorders>
            <w:shd w:val="clear" w:color="000000" w:fill="FFFFFF"/>
            <w:noWrap/>
            <w:vAlign w:val="bottom"/>
            <w:hideMark/>
          </w:tcPr>
          <w:p w14:paraId="5EC9474E"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4.600,00</w:t>
            </w:r>
          </w:p>
        </w:tc>
      </w:tr>
      <w:tr w:rsidR="00BB40E2" w:rsidRPr="00BB40E2" w14:paraId="1FD86F4D"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1AFDD6B2"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3.9. VLASTITI PRIHODI - PRIHODI KORISNIKA</w:t>
            </w:r>
          </w:p>
        </w:tc>
        <w:tc>
          <w:tcPr>
            <w:tcW w:w="1880" w:type="dxa"/>
            <w:tcBorders>
              <w:top w:val="nil"/>
              <w:left w:val="nil"/>
              <w:bottom w:val="single" w:sz="4" w:space="0" w:color="auto"/>
              <w:right w:val="single" w:sz="4" w:space="0" w:color="auto"/>
            </w:tcBorders>
            <w:shd w:val="clear" w:color="000000" w:fill="FFFFFF"/>
            <w:noWrap/>
            <w:vAlign w:val="bottom"/>
            <w:hideMark/>
          </w:tcPr>
          <w:p w14:paraId="172232E6"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162.099,00</w:t>
            </w:r>
          </w:p>
        </w:tc>
        <w:tc>
          <w:tcPr>
            <w:tcW w:w="1893" w:type="dxa"/>
            <w:tcBorders>
              <w:top w:val="nil"/>
              <w:left w:val="nil"/>
              <w:bottom w:val="single" w:sz="4" w:space="0" w:color="auto"/>
              <w:right w:val="single" w:sz="4" w:space="0" w:color="auto"/>
            </w:tcBorders>
            <w:shd w:val="clear" w:color="000000" w:fill="FFFFFF"/>
            <w:noWrap/>
            <w:vAlign w:val="bottom"/>
            <w:hideMark/>
          </w:tcPr>
          <w:p w14:paraId="160758EE"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37.642,00</w:t>
            </w:r>
          </w:p>
        </w:tc>
        <w:tc>
          <w:tcPr>
            <w:tcW w:w="1696" w:type="dxa"/>
            <w:tcBorders>
              <w:top w:val="nil"/>
              <w:left w:val="nil"/>
              <w:bottom w:val="single" w:sz="4" w:space="0" w:color="auto"/>
              <w:right w:val="single" w:sz="4" w:space="0" w:color="auto"/>
            </w:tcBorders>
            <w:shd w:val="clear" w:color="000000" w:fill="FFFFFF"/>
            <w:noWrap/>
            <w:vAlign w:val="bottom"/>
            <w:hideMark/>
          </w:tcPr>
          <w:p w14:paraId="32EB5EDB"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23,22</w:t>
            </w:r>
          </w:p>
        </w:tc>
        <w:tc>
          <w:tcPr>
            <w:tcW w:w="1880" w:type="dxa"/>
            <w:tcBorders>
              <w:top w:val="nil"/>
              <w:left w:val="nil"/>
              <w:bottom w:val="single" w:sz="4" w:space="0" w:color="auto"/>
              <w:right w:val="single" w:sz="4" w:space="0" w:color="auto"/>
            </w:tcBorders>
            <w:shd w:val="clear" w:color="000000" w:fill="FFFFFF"/>
            <w:noWrap/>
            <w:vAlign w:val="bottom"/>
            <w:hideMark/>
          </w:tcPr>
          <w:p w14:paraId="0AA2BA79"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199.741,00</w:t>
            </w:r>
          </w:p>
        </w:tc>
      </w:tr>
      <w:tr w:rsidR="00BB40E2" w:rsidRPr="00BB40E2" w14:paraId="482D2261"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D9D9D9"/>
            <w:noWrap/>
            <w:vAlign w:val="bottom"/>
            <w:hideMark/>
          </w:tcPr>
          <w:p w14:paraId="4D32B16B" w14:textId="77777777" w:rsidR="00BB40E2" w:rsidRPr="00BB40E2" w:rsidRDefault="00BB40E2" w:rsidP="00BB40E2">
            <w:pPr>
              <w:rPr>
                <w:rFonts w:ascii="Arial" w:hAnsi="Arial" w:cs="Arial"/>
                <w:b/>
                <w:bCs/>
                <w:color w:val="000000"/>
                <w:sz w:val="20"/>
                <w:szCs w:val="20"/>
              </w:rPr>
            </w:pPr>
            <w:r w:rsidRPr="00BB40E2">
              <w:rPr>
                <w:rFonts w:ascii="Arial" w:hAnsi="Arial" w:cs="Arial"/>
                <w:b/>
                <w:bCs/>
                <w:color w:val="000000"/>
                <w:sz w:val="20"/>
                <w:szCs w:val="20"/>
              </w:rPr>
              <w:t>Izvor  4. PRIHODI ZA POSEBNE NAMJENE</w:t>
            </w:r>
          </w:p>
        </w:tc>
        <w:tc>
          <w:tcPr>
            <w:tcW w:w="1880" w:type="dxa"/>
            <w:tcBorders>
              <w:top w:val="nil"/>
              <w:left w:val="nil"/>
              <w:bottom w:val="single" w:sz="4" w:space="0" w:color="auto"/>
              <w:right w:val="single" w:sz="4" w:space="0" w:color="auto"/>
            </w:tcBorders>
            <w:shd w:val="clear" w:color="000000" w:fill="D9D9D9"/>
            <w:noWrap/>
            <w:vAlign w:val="bottom"/>
            <w:hideMark/>
          </w:tcPr>
          <w:p w14:paraId="2CCD248C"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4.688.884,00</w:t>
            </w:r>
          </w:p>
        </w:tc>
        <w:tc>
          <w:tcPr>
            <w:tcW w:w="1893" w:type="dxa"/>
            <w:tcBorders>
              <w:top w:val="nil"/>
              <w:left w:val="nil"/>
              <w:bottom w:val="single" w:sz="4" w:space="0" w:color="auto"/>
              <w:right w:val="single" w:sz="4" w:space="0" w:color="auto"/>
            </w:tcBorders>
            <w:shd w:val="clear" w:color="000000" w:fill="D9D9D9"/>
            <w:noWrap/>
            <w:vAlign w:val="bottom"/>
            <w:hideMark/>
          </w:tcPr>
          <w:p w14:paraId="54FFDE0F"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78.578,00</w:t>
            </w:r>
          </w:p>
        </w:tc>
        <w:tc>
          <w:tcPr>
            <w:tcW w:w="1696" w:type="dxa"/>
            <w:tcBorders>
              <w:top w:val="nil"/>
              <w:left w:val="nil"/>
              <w:bottom w:val="single" w:sz="4" w:space="0" w:color="auto"/>
              <w:right w:val="single" w:sz="4" w:space="0" w:color="auto"/>
            </w:tcBorders>
            <w:shd w:val="clear" w:color="000000" w:fill="D9D9D9"/>
            <w:noWrap/>
            <w:vAlign w:val="bottom"/>
            <w:hideMark/>
          </w:tcPr>
          <w:p w14:paraId="76F6BF0F"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1,68</w:t>
            </w:r>
          </w:p>
        </w:tc>
        <w:tc>
          <w:tcPr>
            <w:tcW w:w="1880" w:type="dxa"/>
            <w:tcBorders>
              <w:top w:val="nil"/>
              <w:left w:val="nil"/>
              <w:bottom w:val="single" w:sz="4" w:space="0" w:color="auto"/>
              <w:right w:val="single" w:sz="4" w:space="0" w:color="auto"/>
            </w:tcBorders>
            <w:shd w:val="clear" w:color="000000" w:fill="D9D9D9"/>
            <w:noWrap/>
            <w:vAlign w:val="bottom"/>
            <w:hideMark/>
          </w:tcPr>
          <w:p w14:paraId="730CABF1"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4.767.462,00</w:t>
            </w:r>
          </w:p>
        </w:tc>
      </w:tr>
      <w:tr w:rsidR="00BB40E2" w:rsidRPr="00BB40E2" w14:paraId="61BDD3A1"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068CB763"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4.1. NAKNADA ZA KONCESIJE</w:t>
            </w:r>
          </w:p>
        </w:tc>
        <w:tc>
          <w:tcPr>
            <w:tcW w:w="1880" w:type="dxa"/>
            <w:tcBorders>
              <w:top w:val="nil"/>
              <w:left w:val="nil"/>
              <w:bottom w:val="single" w:sz="4" w:space="0" w:color="auto"/>
              <w:right w:val="single" w:sz="4" w:space="0" w:color="auto"/>
            </w:tcBorders>
            <w:shd w:val="clear" w:color="000000" w:fill="FFFFFF"/>
            <w:noWrap/>
            <w:vAlign w:val="bottom"/>
            <w:hideMark/>
          </w:tcPr>
          <w:p w14:paraId="5F6403C4"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14.000,00</w:t>
            </w:r>
          </w:p>
        </w:tc>
        <w:tc>
          <w:tcPr>
            <w:tcW w:w="1893" w:type="dxa"/>
            <w:tcBorders>
              <w:top w:val="nil"/>
              <w:left w:val="nil"/>
              <w:bottom w:val="single" w:sz="4" w:space="0" w:color="auto"/>
              <w:right w:val="single" w:sz="4" w:space="0" w:color="auto"/>
            </w:tcBorders>
            <w:shd w:val="clear" w:color="000000" w:fill="FFFFFF"/>
            <w:noWrap/>
            <w:vAlign w:val="bottom"/>
            <w:hideMark/>
          </w:tcPr>
          <w:p w14:paraId="1AF155E4"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770,00</w:t>
            </w:r>
          </w:p>
        </w:tc>
        <w:tc>
          <w:tcPr>
            <w:tcW w:w="1696" w:type="dxa"/>
            <w:tcBorders>
              <w:top w:val="nil"/>
              <w:left w:val="nil"/>
              <w:bottom w:val="single" w:sz="4" w:space="0" w:color="auto"/>
              <w:right w:val="single" w:sz="4" w:space="0" w:color="auto"/>
            </w:tcBorders>
            <w:shd w:val="clear" w:color="000000" w:fill="FFFFFF"/>
            <w:noWrap/>
            <w:vAlign w:val="bottom"/>
            <w:hideMark/>
          </w:tcPr>
          <w:p w14:paraId="3778BD95"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5,50</w:t>
            </w:r>
          </w:p>
        </w:tc>
        <w:tc>
          <w:tcPr>
            <w:tcW w:w="1880" w:type="dxa"/>
            <w:tcBorders>
              <w:top w:val="nil"/>
              <w:left w:val="nil"/>
              <w:bottom w:val="single" w:sz="4" w:space="0" w:color="auto"/>
              <w:right w:val="single" w:sz="4" w:space="0" w:color="auto"/>
            </w:tcBorders>
            <w:shd w:val="clear" w:color="000000" w:fill="FFFFFF"/>
            <w:noWrap/>
            <w:vAlign w:val="bottom"/>
            <w:hideMark/>
          </w:tcPr>
          <w:p w14:paraId="2E0DC7FC"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14.770,00</w:t>
            </w:r>
          </w:p>
        </w:tc>
      </w:tr>
      <w:tr w:rsidR="00BB40E2" w:rsidRPr="00BB40E2" w14:paraId="762A3F20"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4A6CB376"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4.3. OSTALI PRIHODI OD NEFINANCIJSKE IMOVINE</w:t>
            </w:r>
          </w:p>
        </w:tc>
        <w:tc>
          <w:tcPr>
            <w:tcW w:w="1880" w:type="dxa"/>
            <w:tcBorders>
              <w:top w:val="nil"/>
              <w:left w:val="nil"/>
              <w:bottom w:val="single" w:sz="4" w:space="0" w:color="auto"/>
              <w:right w:val="single" w:sz="4" w:space="0" w:color="auto"/>
            </w:tcBorders>
            <w:shd w:val="clear" w:color="000000" w:fill="FFFFFF"/>
            <w:noWrap/>
            <w:vAlign w:val="bottom"/>
            <w:hideMark/>
          </w:tcPr>
          <w:p w14:paraId="472D85E4"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1.500,00</w:t>
            </w:r>
          </w:p>
        </w:tc>
        <w:tc>
          <w:tcPr>
            <w:tcW w:w="1893" w:type="dxa"/>
            <w:tcBorders>
              <w:top w:val="nil"/>
              <w:left w:val="nil"/>
              <w:bottom w:val="single" w:sz="4" w:space="0" w:color="auto"/>
              <w:right w:val="single" w:sz="4" w:space="0" w:color="auto"/>
            </w:tcBorders>
            <w:shd w:val="clear" w:color="000000" w:fill="FFFFFF"/>
            <w:noWrap/>
            <w:vAlign w:val="bottom"/>
            <w:hideMark/>
          </w:tcPr>
          <w:p w14:paraId="3876555E"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696" w:type="dxa"/>
            <w:tcBorders>
              <w:top w:val="nil"/>
              <w:left w:val="nil"/>
              <w:bottom w:val="single" w:sz="4" w:space="0" w:color="auto"/>
              <w:right w:val="single" w:sz="4" w:space="0" w:color="auto"/>
            </w:tcBorders>
            <w:shd w:val="clear" w:color="000000" w:fill="FFFFFF"/>
            <w:noWrap/>
            <w:vAlign w:val="bottom"/>
            <w:hideMark/>
          </w:tcPr>
          <w:p w14:paraId="2EB5D350"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880" w:type="dxa"/>
            <w:tcBorders>
              <w:top w:val="nil"/>
              <w:left w:val="nil"/>
              <w:bottom w:val="single" w:sz="4" w:space="0" w:color="auto"/>
              <w:right w:val="single" w:sz="4" w:space="0" w:color="auto"/>
            </w:tcBorders>
            <w:shd w:val="clear" w:color="000000" w:fill="FFFFFF"/>
            <w:noWrap/>
            <w:vAlign w:val="bottom"/>
            <w:hideMark/>
          </w:tcPr>
          <w:p w14:paraId="10786793"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1.500,00</w:t>
            </w:r>
          </w:p>
        </w:tc>
      </w:tr>
      <w:tr w:rsidR="00BB40E2" w:rsidRPr="00BB40E2" w14:paraId="7B8E56A3"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4DC4AED4"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4.4. PRIHODI OD BORAVIŠNE PRISTOJBE</w:t>
            </w:r>
          </w:p>
        </w:tc>
        <w:tc>
          <w:tcPr>
            <w:tcW w:w="1880" w:type="dxa"/>
            <w:tcBorders>
              <w:top w:val="nil"/>
              <w:left w:val="nil"/>
              <w:bottom w:val="single" w:sz="4" w:space="0" w:color="auto"/>
              <w:right w:val="single" w:sz="4" w:space="0" w:color="auto"/>
            </w:tcBorders>
            <w:shd w:val="clear" w:color="000000" w:fill="FFFFFF"/>
            <w:noWrap/>
            <w:vAlign w:val="bottom"/>
            <w:hideMark/>
          </w:tcPr>
          <w:p w14:paraId="0D73CCC4"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276.300,00</w:t>
            </w:r>
          </w:p>
        </w:tc>
        <w:tc>
          <w:tcPr>
            <w:tcW w:w="1893" w:type="dxa"/>
            <w:tcBorders>
              <w:top w:val="nil"/>
              <w:left w:val="nil"/>
              <w:bottom w:val="single" w:sz="4" w:space="0" w:color="auto"/>
              <w:right w:val="single" w:sz="4" w:space="0" w:color="auto"/>
            </w:tcBorders>
            <w:shd w:val="clear" w:color="000000" w:fill="FFFFFF"/>
            <w:noWrap/>
            <w:vAlign w:val="bottom"/>
            <w:hideMark/>
          </w:tcPr>
          <w:p w14:paraId="2E833533"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696" w:type="dxa"/>
            <w:tcBorders>
              <w:top w:val="nil"/>
              <w:left w:val="nil"/>
              <w:bottom w:val="single" w:sz="4" w:space="0" w:color="auto"/>
              <w:right w:val="single" w:sz="4" w:space="0" w:color="auto"/>
            </w:tcBorders>
            <w:shd w:val="clear" w:color="000000" w:fill="FFFFFF"/>
            <w:noWrap/>
            <w:vAlign w:val="bottom"/>
            <w:hideMark/>
          </w:tcPr>
          <w:p w14:paraId="7A9CAFA1"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880" w:type="dxa"/>
            <w:tcBorders>
              <w:top w:val="nil"/>
              <w:left w:val="nil"/>
              <w:bottom w:val="single" w:sz="4" w:space="0" w:color="auto"/>
              <w:right w:val="single" w:sz="4" w:space="0" w:color="auto"/>
            </w:tcBorders>
            <w:shd w:val="clear" w:color="000000" w:fill="FFFFFF"/>
            <w:noWrap/>
            <w:vAlign w:val="bottom"/>
            <w:hideMark/>
          </w:tcPr>
          <w:p w14:paraId="680AA5FA"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276.300,00</w:t>
            </w:r>
          </w:p>
        </w:tc>
      </w:tr>
      <w:tr w:rsidR="00BB40E2" w:rsidRPr="00BB40E2" w14:paraId="46D19BBC"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1E9E9DDC"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4.5. KOMUNALNI DOPRINOSI I DR. NAKNADE UTVRĐENE POSEBNIM ZAKONOM</w:t>
            </w:r>
          </w:p>
        </w:tc>
        <w:tc>
          <w:tcPr>
            <w:tcW w:w="1880" w:type="dxa"/>
            <w:tcBorders>
              <w:top w:val="nil"/>
              <w:left w:val="nil"/>
              <w:bottom w:val="single" w:sz="4" w:space="0" w:color="auto"/>
              <w:right w:val="single" w:sz="4" w:space="0" w:color="auto"/>
            </w:tcBorders>
            <w:shd w:val="clear" w:color="000000" w:fill="FFFFFF"/>
            <w:noWrap/>
            <w:vAlign w:val="bottom"/>
            <w:hideMark/>
          </w:tcPr>
          <w:p w14:paraId="461AB11A"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692.018,00</w:t>
            </w:r>
          </w:p>
        </w:tc>
        <w:tc>
          <w:tcPr>
            <w:tcW w:w="1893" w:type="dxa"/>
            <w:tcBorders>
              <w:top w:val="nil"/>
              <w:left w:val="nil"/>
              <w:bottom w:val="single" w:sz="4" w:space="0" w:color="auto"/>
              <w:right w:val="single" w:sz="4" w:space="0" w:color="auto"/>
            </w:tcBorders>
            <w:shd w:val="clear" w:color="000000" w:fill="FFFFFF"/>
            <w:noWrap/>
            <w:vAlign w:val="bottom"/>
            <w:hideMark/>
          </w:tcPr>
          <w:p w14:paraId="0909046C"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2.672,00</w:t>
            </w:r>
          </w:p>
        </w:tc>
        <w:tc>
          <w:tcPr>
            <w:tcW w:w="1696" w:type="dxa"/>
            <w:tcBorders>
              <w:top w:val="nil"/>
              <w:left w:val="nil"/>
              <w:bottom w:val="single" w:sz="4" w:space="0" w:color="auto"/>
              <w:right w:val="single" w:sz="4" w:space="0" w:color="auto"/>
            </w:tcBorders>
            <w:shd w:val="clear" w:color="000000" w:fill="FFFFFF"/>
            <w:noWrap/>
            <w:vAlign w:val="bottom"/>
            <w:hideMark/>
          </w:tcPr>
          <w:p w14:paraId="39FB4BC5"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0,39</w:t>
            </w:r>
          </w:p>
        </w:tc>
        <w:tc>
          <w:tcPr>
            <w:tcW w:w="1880" w:type="dxa"/>
            <w:tcBorders>
              <w:top w:val="nil"/>
              <w:left w:val="nil"/>
              <w:bottom w:val="single" w:sz="4" w:space="0" w:color="auto"/>
              <w:right w:val="single" w:sz="4" w:space="0" w:color="auto"/>
            </w:tcBorders>
            <w:shd w:val="clear" w:color="000000" w:fill="FFFFFF"/>
            <w:noWrap/>
            <w:vAlign w:val="bottom"/>
            <w:hideMark/>
          </w:tcPr>
          <w:p w14:paraId="7896A8AB"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694.690,00</w:t>
            </w:r>
          </w:p>
        </w:tc>
      </w:tr>
      <w:tr w:rsidR="00BB40E2" w:rsidRPr="00BB40E2" w14:paraId="0F8FB1CB"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72505FA0"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4.6. KOMUNALNA NAKNADA</w:t>
            </w:r>
          </w:p>
        </w:tc>
        <w:tc>
          <w:tcPr>
            <w:tcW w:w="1880" w:type="dxa"/>
            <w:tcBorders>
              <w:top w:val="nil"/>
              <w:left w:val="nil"/>
              <w:bottom w:val="single" w:sz="4" w:space="0" w:color="auto"/>
              <w:right w:val="single" w:sz="4" w:space="0" w:color="auto"/>
            </w:tcBorders>
            <w:shd w:val="clear" w:color="000000" w:fill="FFFFFF"/>
            <w:noWrap/>
            <w:vAlign w:val="bottom"/>
            <w:hideMark/>
          </w:tcPr>
          <w:p w14:paraId="10715F49"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2.103.625,00</w:t>
            </w:r>
          </w:p>
        </w:tc>
        <w:tc>
          <w:tcPr>
            <w:tcW w:w="1893" w:type="dxa"/>
            <w:tcBorders>
              <w:top w:val="nil"/>
              <w:left w:val="nil"/>
              <w:bottom w:val="single" w:sz="4" w:space="0" w:color="auto"/>
              <w:right w:val="single" w:sz="4" w:space="0" w:color="auto"/>
            </w:tcBorders>
            <w:shd w:val="clear" w:color="000000" w:fill="FFFFFF"/>
            <w:noWrap/>
            <w:vAlign w:val="bottom"/>
            <w:hideMark/>
          </w:tcPr>
          <w:p w14:paraId="68612532"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88.264,00</w:t>
            </w:r>
          </w:p>
        </w:tc>
        <w:tc>
          <w:tcPr>
            <w:tcW w:w="1696" w:type="dxa"/>
            <w:tcBorders>
              <w:top w:val="nil"/>
              <w:left w:val="nil"/>
              <w:bottom w:val="single" w:sz="4" w:space="0" w:color="auto"/>
              <w:right w:val="single" w:sz="4" w:space="0" w:color="auto"/>
            </w:tcBorders>
            <w:shd w:val="clear" w:color="000000" w:fill="FFFFFF"/>
            <w:noWrap/>
            <w:vAlign w:val="bottom"/>
            <w:hideMark/>
          </w:tcPr>
          <w:p w14:paraId="71DCD969"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4,20</w:t>
            </w:r>
          </w:p>
        </w:tc>
        <w:tc>
          <w:tcPr>
            <w:tcW w:w="1880" w:type="dxa"/>
            <w:tcBorders>
              <w:top w:val="nil"/>
              <w:left w:val="nil"/>
              <w:bottom w:val="single" w:sz="4" w:space="0" w:color="auto"/>
              <w:right w:val="single" w:sz="4" w:space="0" w:color="auto"/>
            </w:tcBorders>
            <w:shd w:val="clear" w:color="000000" w:fill="FFFFFF"/>
            <w:noWrap/>
            <w:vAlign w:val="bottom"/>
            <w:hideMark/>
          </w:tcPr>
          <w:p w14:paraId="408D80B7"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2.191.889,00</w:t>
            </w:r>
          </w:p>
        </w:tc>
      </w:tr>
      <w:tr w:rsidR="00BB40E2" w:rsidRPr="00BB40E2" w14:paraId="26645BEF"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16A46CE6"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4.9. 4.PRIHODI ZA POSEBNE NAMJENE - PRIHODI KORISNIKA</w:t>
            </w:r>
          </w:p>
        </w:tc>
        <w:tc>
          <w:tcPr>
            <w:tcW w:w="1880" w:type="dxa"/>
            <w:tcBorders>
              <w:top w:val="nil"/>
              <w:left w:val="nil"/>
              <w:bottom w:val="single" w:sz="4" w:space="0" w:color="auto"/>
              <w:right w:val="single" w:sz="4" w:space="0" w:color="auto"/>
            </w:tcBorders>
            <w:shd w:val="clear" w:color="000000" w:fill="FFFFFF"/>
            <w:noWrap/>
            <w:vAlign w:val="bottom"/>
            <w:hideMark/>
          </w:tcPr>
          <w:p w14:paraId="3CF27737"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1.601.441,00</w:t>
            </w:r>
          </w:p>
        </w:tc>
        <w:tc>
          <w:tcPr>
            <w:tcW w:w="1893" w:type="dxa"/>
            <w:tcBorders>
              <w:top w:val="nil"/>
              <w:left w:val="nil"/>
              <w:bottom w:val="single" w:sz="4" w:space="0" w:color="auto"/>
              <w:right w:val="single" w:sz="4" w:space="0" w:color="auto"/>
            </w:tcBorders>
            <w:shd w:val="clear" w:color="000000" w:fill="FFFFFF"/>
            <w:noWrap/>
            <w:vAlign w:val="bottom"/>
            <w:hideMark/>
          </w:tcPr>
          <w:p w14:paraId="3CD453A5"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-13.128,00</w:t>
            </w:r>
          </w:p>
        </w:tc>
        <w:tc>
          <w:tcPr>
            <w:tcW w:w="1696" w:type="dxa"/>
            <w:tcBorders>
              <w:top w:val="nil"/>
              <w:left w:val="nil"/>
              <w:bottom w:val="single" w:sz="4" w:space="0" w:color="auto"/>
              <w:right w:val="single" w:sz="4" w:space="0" w:color="auto"/>
            </w:tcBorders>
            <w:shd w:val="clear" w:color="000000" w:fill="FFFFFF"/>
            <w:noWrap/>
            <w:vAlign w:val="bottom"/>
            <w:hideMark/>
          </w:tcPr>
          <w:p w14:paraId="3899B28A"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-0,82</w:t>
            </w:r>
          </w:p>
        </w:tc>
        <w:tc>
          <w:tcPr>
            <w:tcW w:w="1880" w:type="dxa"/>
            <w:tcBorders>
              <w:top w:val="nil"/>
              <w:left w:val="nil"/>
              <w:bottom w:val="single" w:sz="4" w:space="0" w:color="auto"/>
              <w:right w:val="single" w:sz="4" w:space="0" w:color="auto"/>
            </w:tcBorders>
            <w:shd w:val="clear" w:color="000000" w:fill="FFFFFF"/>
            <w:noWrap/>
            <w:vAlign w:val="bottom"/>
            <w:hideMark/>
          </w:tcPr>
          <w:p w14:paraId="7B632A8D"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1.588.313,00</w:t>
            </w:r>
          </w:p>
        </w:tc>
      </w:tr>
      <w:tr w:rsidR="00BB40E2" w:rsidRPr="00BB40E2" w14:paraId="3AEE21C2"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D9D9D9"/>
            <w:noWrap/>
            <w:vAlign w:val="bottom"/>
            <w:hideMark/>
          </w:tcPr>
          <w:p w14:paraId="7327AB46" w14:textId="77777777" w:rsidR="00BB40E2" w:rsidRPr="00BB40E2" w:rsidRDefault="00BB40E2" w:rsidP="00BB40E2">
            <w:pPr>
              <w:rPr>
                <w:rFonts w:ascii="Arial" w:hAnsi="Arial" w:cs="Arial"/>
                <w:b/>
                <w:bCs/>
                <w:color w:val="000000"/>
                <w:sz w:val="20"/>
                <w:szCs w:val="20"/>
              </w:rPr>
            </w:pPr>
            <w:r w:rsidRPr="00BB40E2">
              <w:rPr>
                <w:rFonts w:ascii="Arial" w:hAnsi="Arial" w:cs="Arial"/>
                <w:b/>
                <w:bCs/>
                <w:color w:val="000000"/>
                <w:sz w:val="20"/>
                <w:szCs w:val="20"/>
              </w:rPr>
              <w:t>Izvor  5. POMOĆI</w:t>
            </w:r>
          </w:p>
        </w:tc>
        <w:tc>
          <w:tcPr>
            <w:tcW w:w="1880" w:type="dxa"/>
            <w:tcBorders>
              <w:top w:val="nil"/>
              <w:left w:val="nil"/>
              <w:bottom w:val="single" w:sz="4" w:space="0" w:color="auto"/>
              <w:right w:val="single" w:sz="4" w:space="0" w:color="auto"/>
            </w:tcBorders>
            <w:shd w:val="clear" w:color="000000" w:fill="D9D9D9"/>
            <w:noWrap/>
            <w:vAlign w:val="bottom"/>
            <w:hideMark/>
          </w:tcPr>
          <w:p w14:paraId="53E29942"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9.387.463,00</w:t>
            </w:r>
          </w:p>
        </w:tc>
        <w:tc>
          <w:tcPr>
            <w:tcW w:w="1893" w:type="dxa"/>
            <w:tcBorders>
              <w:top w:val="nil"/>
              <w:left w:val="nil"/>
              <w:bottom w:val="single" w:sz="4" w:space="0" w:color="auto"/>
              <w:right w:val="single" w:sz="4" w:space="0" w:color="auto"/>
            </w:tcBorders>
            <w:shd w:val="clear" w:color="000000" w:fill="D9D9D9"/>
            <w:noWrap/>
            <w:vAlign w:val="bottom"/>
            <w:hideMark/>
          </w:tcPr>
          <w:p w14:paraId="371E6A7E"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258.575,00</w:t>
            </w:r>
          </w:p>
        </w:tc>
        <w:tc>
          <w:tcPr>
            <w:tcW w:w="1696" w:type="dxa"/>
            <w:tcBorders>
              <w:top w:val="nil"/>
              <w:left w:val="nil"/>
              <w:bottom w:val="single" w:sz="4" w:space="0" w:color="auto"/>
              <w:right w:val="single" w:sz="4" w:space="0" w:color="auto"/>
            </w:tcBorders>
            <w:shd w:val="clear" w:color="000000" w:fill="D9D9D9"/>
            <w:noWrap/>
            <w:vAlign w:val="bottom"/>
            <w:hideMark/>
          </w:tcPr>
          <w:p w14:paraId="24E844BC"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2,75</w:t>
            </w:r>
          </w:p>
        </w:tc>
        <w:tc>
          <w:tcPr>
            <w:tcW w:w="1880" w:type="dxa"/>
            <w:tcBorders>
              <w:top w:val="nil"/>
              <w:left w:val="nil"/>
              <w:bottom w:val="single" w:sz="4" w:space="0" w:color="auto"/>
              <w:right w:val="single" w:sz="4" w:space="0" w:color="auto"/>
            </w:tcBorders>
            <w:shd w:val="clear" w:color="000000" w:fill="D9D9D9"/>
            <w:noWrap/>
            <w:vAlign w:val="bottom"/>
            <w:hideMark/>
          </w:tcPr>
          <w:p w14:paraId="7DA1956B"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9.646.038,00</w:t>
            </w:r>
          </w:p>
        </w:tc>
      </w:tr>
      <w:tr w:rsidR="00BB40E2" w:rsidRPr="00BB40E2" w14:paraId="112442F6"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5C91DAEE"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5.0. POMOĆI IZ FONDOVA EU</w:t>
            </w:r>
          </w:p>
        </w:tc>
        <w:tc>
          <w:tcPr>
            <w:tcW w:w="1880" w:type="dxa"/>
            <w:tcBorders>
              <w:top w:val="nil"/>
              <w:left w:val="nil"/>
              <w:bottom w:val="single" w:sz="4" w:space="0" w:color="auto"/>
              <w:right w:val="single" w:sz="4" w:space="0" w:color="auto"/>
            </w:tcBorders>
            <w:shd w:val="clear" w:color="000000" w:fill="FFFFFF"/>
            <w:noWrap/>
            <w:vAlign w:val="bottom"/>
            <w:hideMark/>
          </w:tcPr>
          <w:p w14:paraId="6288B2ED"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468.615,00</w:t>
            </w:r>
          </w:p>
        </w:tc>
        <w:tc>
          <w:tcPr>
            <w:tcW w:w="1893" w:type="dxa"/>
            <w:tcBorders>
              <w:top w:val="nil"/>
              <w:left w:val="nil"/>
              <w:bottom w:val="single" w:sz="4" w:space="0" w:color="auto"/>
              <w:right w:val="single" w:sz="4" w:space="0" w:color="auto"/>
            </w:tcBorders>
            <w:shd w:val="clear" w:color="000000" w:fill="FFFFFF"/>
            <w:noWrap/>
            <w:vAlign w:val="bottom"/>
            <w:hideMark/>
          </w:tcPr>
          <w:p w14:paraId="31451F77"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696" w:type="dxa"/>
            <w:tcBorders>
              <w:top w:val="nil"/>
              <w:left w:val="nil"/>
              <w:bottom w:val="single" w:sz="4" w:space="0" w:color="auto"/>
              <w:right w:val="single" w:sz="4" w:space="0" w:color="auto"/>
            </w:tcBorders>
            <w:shd w:val="clear" w:color="000000" w:fill="FFFFFF"/>
            <w:noWrap/>
            <w:vAlign w:val="bottom"/>
            <w:hideMark/>
          </w:tcPr>
          <w:p w14:paraId="43D4EB40"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880" w:type="dxa"/>
            <w:tcBorders>
              <w:top w:val="nil"/>
              <w:left w:val="nil"/>
              <w:bottom w:val="single" w:sz="4" w:space="0" w:color="auto"/>
              <w:right w:val="single" w:sz="4" w:space="0" w:color="auto"/>
            </w:tcBorders>
            <w:shd w:val="clear" w:color="000000" w:fill="FFFFFF"/>
            <w:noWrap/>
            <w:vAlign w:val="bottom"/>
            <w:hideMark/>
          </w:tcPr>
          <w:p w14:paraId="5A51D9FA"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468.615,00</w:t>
            </w:r>
          </w:p>
        </w:tc>
      </w:tr>
      <w:tr w:rsidR="00BB40E2" w:rsidRPr="00BB40E2" w14:paraId="70728224"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37298380"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5.1. POTPORA ZA DECENTRALIZIRANE FUNKCIJE</w:t>
            </w:r>
          </w:p>
        </w:tc>
        <w:tc>
          <w:tcPr>
            <w:tcW w:w="1880" w:type="dxa"/>
            <w:tcBorders>
              <w:top w:val="nil"/>
              <w:left w:val="nil"/>
              <w:bottom w:val="single" w:sz="4" w:space="0" w:color="auto"/>
              <w:right w:val="single" w:sz="4" w:space="0" w:color="auto"/>
            </w:tcBorders>
            <w:shd w:val="clear" w:color="000000" w:fill="FFFFFF"/>
            <w:noWrap/>
            <w:vAlign w:val="bottom"/>
            <w:hideMark/>
          </w:tcPr>
          <w:p w14:paraId="4EA69ED0"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857.130,00</w:t>
            </w:r>
          </w:p>
        </w:tc>
        <w:tc>
          <w:tcPr>
            <w:tcW w:w="1893" w:type="dxa"/>
            <w:tcBorders>
              <w:top w:val="nil"/>
              <w:left w:val="nil"/>
              <w:bottom w:val="single" w:sz="4" w:space="0" w:color="auto"/>
              <w:right w:val="single" w:sz="4" w:space="0" w:color="auto"/>
            </w:tcBorders>
            <w:shd w:val="clear" w:color="000000" w:fill="FFFFFF"/>
            <w:noWrap/>
            <w:vAlign w:val="bottom"/>
            <w:hideMark/>
          </w:tcPr>
          <w:p w14:paraId="69277F2E"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45.702,00</w:t>
            </w:r>
          </w:p>
        </w:tc>
        <w:tc>
          <w:tcPr>
            <w:tcW w:w="1696" w:type="dxa"/>
            <w:tcBorders>
              <w:top w:val="nil"/>
              <w:left w:val="nil"/>
              <w:bottom w:val="single" w:sz="4" w:space="0" w:color="auto"/>
              <w:right w:val="single" w:sz="4" w:space="0" w:color="auto"/>
            </w:tcBorders>
            <w:shd w:val="clear" w:color="000000" w:fill="FFFFFF"/>
            <w:noWrap/>
            <w:vAlign w:val="bottom"/>
            <w:hideMark/>
          </w:tcPr>
          <w:p w14:paraId="2B46FDF3"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5,33</w:t>
            </w:r>
          </w:p>
        </w:tc>
        <w:tc>
          <w:tcPr>
            <w:tcW w:w="1880" w:type="dxa"/>
            <w:tcBorders>
              <w:top w:val="nil"/>
              <w:left w:val="nil"/>
              <w:bottom w:val="single" w:sz="4" w:space="0" w:color="auto"/>
              <w:right w:val="single" w:sz="4" w:space="0" w:color="auto"/>
            </w:tcBorders>
            <w:shd w:val="clear" w:color="000000" w:fill="FFFFFF"/>
            <w:noWrap/>
            <w:vAlign w:val="bottom"/>
            <w:hideMark/>
          </w:tcPr>
          <w:p w14:paraId="5D891EE1"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902.832,00</w:t>
            </w:r>
          </w:p>
        </w:tc>
      </w:tr>
      <w:tr w:rsidR="00BB40E2" w:rsidRPr="00BB40E2" w14:paraId="7AAE5CF0"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73F78833"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5.2. POMOĆ IZ FONDA ZA ZAŠTITU OKOLIŠA</w:t>
            </w:r>
          </w:p>
        </w:tc>
        <w:tc>
          <w:tcPr>
            <w:tcW w:w="1880" w:type="dxa"/>
            <w:tcBorders>
              <w:top w:val="nil"/>
              <w:left w:val="nil"/>
              <w:bottom w:val="single" w:sz="4" w:space="0" w:color="auto"/>
              <w:right w:val="single" w:sz="4" w:space="0" w:color="auto"/>
            </w:tcBorders>
            <w:shd w:val="clear" w:color="000000" w:fill="FFFFFF"/>
            <w:noWrap/>
            <w:vAlign w:val="bottom"/>
            <w:hideMark/>
          </w:tcPr>
          <w:p w14:paraId="7A3106BB"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398.676,00</w:t>
            </w:r>
          </w:p>
        </w:tc>
        <w:tc>
          <w:tcPr>
            <w:tcW w:w="1893" w:type="dxa"/>
            <w:tcBorders>
              <w:top w:val="nil"/>
              <w:left w:val="nil"/>
              <w:bottom w:val="single" w:sz="4" w:space="0" w:color="auto"/>
              <w:right w:val="single" w:sz="4" w:space="0" w:color="auto"/>
            </w:tcBorders>
            <w:shd w:val="clear" w:color="000000" w:fill="FFFFFF"/>
            <w:noWrap/>
            <w:vAlign w:val="bottom"/>
            <w:hideMark/>
          </w:tcPr>
          <w:p w14:paraId="45DC3E07"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-297.193,00</w:t>
            </w:r>
          </w:p>
        </w:tc>
        <w:tc>
          <w:tcPr>
            <w:tcW w:w="1696" w:type="dxa"/>
            <w:tcBorders>
              <w:top w:val="nil"/>
              <w:left w:val="nil"/>
              <w:bottom w:val="single" w:sz="4" w:space="0" w:color="auto"/>
              <w:right w:val="single" w:sz="4" w:space="0" w:color="auto"/>
            </w:tcBorders>
            <w:shd w:val="clear" w:color="000000" w:fill="FFFFFF"/>
            <w:noWrap/>
            <w:vAlign w:val="bottom"/>
            <w:hideMark/>
          </w:tcPr>
          <w:p w14:paraId="2D446364"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-74,54</w:t>
            </w:r>
          </w:p>
        </w:tc>
        <w:tc>
          <w:tcPr>
            <w:tcW w:w="1880" w:type="dxa"/>
            <w:tcBorders>
              <w:top w:val="nil"/>
              <w:left w:val="nil"/>
              <w:bottom w:val="single" w:sz="4" w:space="0" w:color="auto"/>
              <w:right w:val="single" w:sz="4" w:space="0" w:color="auto"/>
            </w:tcBorders>
            <w:shd w:val="clear" w:color="000000" w:fill="FFFFFF"/>
            <w:noWrap/>
            <w:vAlign w:val="bottom"/>
            <w:hideMark/>
          </w:tcPr>
          <w:p w14:paraId="33A5CCCB"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101.483,00</w:t>
            </w:r>
          </w:p>
        </w:tc>
      </w:tr>
      <w:tr w:rsidR="00BB40E2" w:rsidRPr="00BB40E2" w14:paraId="1E98BA1A"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0E305130"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5.3. POMOĆI IZ INOZEMSTVA</w:t>
            </w:r>
          </w:p>
        </w:tc>
        <w:tc>
          <w:tcPr>
            <w:tcW w:w="1880" w:type="dxa"/>
            <w:tcBorders>
              <w:top w:val="nil"/>
              <w:left w:val="nil"/>
              <w:bottom w:val="single" w:sz="4" w:space="0" w:color="auto"/>
              <w:right w:val="single" w:sz="4" w:space="0" w:color="auto"/>
            </w:tcBorders>
            <w:shd w:val="clear" w:color="000000" w:fill="FFFFFF"/>
            <w:noWrap/>
            <w:vAlign w:val="bottom"/>
            <w:hideMark/>
          </w:tcPr>
          <w:p w14:paraId="6EA7446C"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893" w:type="dxa"/>
            <w:tcBorders>
              <w:top w:val="nil"/>
              <w:left w:val="nil"/>
              <w:bottom w:val="single" w:sz="4" w:space="0" w:color="auto"/>
              <w:right w:val="single" w:sz="4" w:space="0" w:color="auto"/>
            </w:tcBorders>
            <w:shd w:val="clear" w:color="000000" w:fill="FFFFFF"/>
            <w:noWrap/>
            <w:vAlign w:val="bottom"/>
            <w:hideMark/>
          </w:tcPr>
          <w:p w14:paraId="21F8E6F6"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696" w:type="dxa"/>
            <w:tcBorders>
              <w:top w:val="nil"/>
              <w:left w:val="nil"/>
              <w:bottom w:val="single" w:sz="4" w:space="0" w:color="auto"/>
              <w:right w:val="single" w:sz="4" w:space="0" w:color="auto"/>
            </w:tcBorders>
            <w:shd w:val="clear" w:color="000000" w:fill="FFFFFF"/>
            <w:noWrap/>
            <w:vAlign w:val="bottom"/>
            <w:hideMark/>
          </w:tcPr>
          <w:p w14:paraId="64C12B6E"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880" w:type="dxa"/>
            <w:tcBorders>
              <w:top w:val="nil"/>
              <w:left w:val="nil"/>
              <w:bottom w:val="single" w:sz="4" w:space="0" w:color="auto"/>
              <w:right w:val="single" w:sz="4" w:space="0" w:color="auto"/>
            </w:tcBorders>
            <w:shd w:val="clear" w:color="000000" w:fill="FFFFFF"/>
            <w:noWrap/>
            <w:vAlign w:val="bottom"/>
            <w:hideMark/>
          </w:tcPr>
          <w:p w14:paraId="61AC006A"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r>
      <w:tr w:rsidR="00BB40E2" w:rsidRPr="00BB40E2" w14:paraId="78210C15"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642837E2"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5.4. POMOĆI IZ DRŽAVNOG PRORAČUNA</w:t>
            </w:r>
          </w:p>
        </w:tc>
        <w:tc>
          <w:tcPr>
            <w:tcW w:w="1880" w:type="dxa"/>
            <w:tcBorders>
              <w:top w:val="nil"/>
              <w:left w:val="nil"/>
              <w:bottom w:val="single" w:sz="4" w:space="0" w:color="auto"/>
              <w:right w:val="single" w:sz="4" w:space="0" w:color="auto"/>
            </w:tcBorders>
            <w:shd w:val="clear" w:color="000000" w:fill="FFFFFF"/>
            <w:noWrap/>
            <w:vAlign w:val="bottom"/>
            <w:hideMark/>
          </w:tcPr>
          <w:p w14:paraId="75F4BB08"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495.862,00</w:t>
            </w:r>
          </w:p>
        </w:tc>
        <w:tc>
          <w:tcPr>
            <w:tcW w:w="1893" w:type="dxa"/>
            <w:tcBorders>
              <w:top w:val="nil"/>
              <w:left w:val="nil"/>
              <w:bottom w:val="single" w:sz="4" w:space="0" w:color="auto"/>
              <w:right w:val="single" w:sz="4" w:space="0" w:color="auto"/>
            </w:tcBorders>
            <w:shd w:val="clear" w:color="000000" w:fill="FFFFFF"/>
            <w:noWrap/>
            <w:vAlign w:val="bottom"/>
            <w:hideMark/>
          </w:tcPr>
          <w:p w14:paraId="48B80B41"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153.334,00</w:t>
            </w:r>
          </w:p>
        </w:tc>
        <w:tc>
          <w:tcPr>
            <w:tcW w:w="1696" w:type="dxa"/>
            <w:tcBorders>
              <w:top w:val="nil"/>
              <w:left w:val="nil"/>
              <w:bottom w:val="single" w:sz="4" w:space="0" w:color="auto"/>
              <w:right w:val="single" w:sz="4" w:space="0" w:color="auto"/>
            </w:tcBorders>
            <w:shd w:val="clear" w:color="000000" w:fill="FFFFFF"/>
            <w:noWrap/>
            <w:vAlign w:val="bottom"/>
            <w:hideMark/>
          </w:tcPr>
          <w:p w14:paraId="5794A570"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30,92</w:t>
            </w:r>
          </w:p>
        </w:tc>
        <w:tc>
          <w:tcPr>
            <w:tcW w:w="1880" w:type="dxa"/>
            <w:tcBorders>
              <w:top w:val="nil"/>
              <w:left w:val="nil"/>
              <w:bottom w:val="single" w:sz="4" w:space="0" w:color="auto"/>
              <w:right w:val="single" w:sz="4" w:space="0" w:color="auto"/>
            </w:tcBorders>
            <w:shd w:val="clear" w:color="000000" w:fill="FFFFFF"/>
            <w:noWrap/>
            <w:vAlign w:val="bottom"/>
            <w:hideMark/>
          </w:tcPr>
          <w:p w14:paraId="7C9B97F2"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649.196,00</w:t>
            </w:r>
          </w:p>
        </w:tc>
      </w:tr>
      <w:tr w:rsidR="00BB40E2" w:rsidRPr="00BB40E2" w14:paraId="135DE539"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26D9747F"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5.5. POMOĆI IZ ŽUPANIJSKOG PRORAČUNA</w:t>
            </w:r>
          </w:p>
        </w:tc>
        <w:tc>
          <w:tcPr>
            <w:tcW w:w="1880" w:type="dxa"/>
            <w:tcBorders>
              <w:top w:val="nil"/>
              <w:left w:val="nil"/>
              <w:bottom w:val="single" w:sz="4" w:space="0" w:color="auto"/>
              <w:right w:val="single" w:sz="4" w:space="0" w:color="auto"/>
            </w:tcBorders>
            <w:shd w:val="clear" w:color="000000" w:fill="FFFFFF"/>
            <w:noWrap/>
            <w:vAlign w:val="bottom"/>
            <w:hideMark/>
          </w:tcPr>
          <w:p w14:paraId="7F56F124"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81.300,00</w:t>
            </w:r>
          </w:p>
        </w:tc>
        <w:tc>
          <w:tcPr>
            <w:tcW w:w="1893" w:type="dxa"/>
            <w:tcBorders>
              <w:top w:val="nil"/>
              <w:left w:val="nil"/>
              <w:bottom w:val="single" w:sz="4" w:space="0" w:color="auto"/>
              <w:right w:val="single" w:sz="4" w:space="0" w:color="auto"/>
            </w:tcBorders>
            <w:shd w:val="clear" w:color="000000" w:fill="FFFFFF"/>
            <w:noWrap/>
            <w:vAlign w:val="bottom"/>
            <w:hideMark/>
          </w:tcPr>
          <w:p w14:paraId="456DFD72"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36.614,00</w:t>
            </w:r>
          </w:p>
        </w:tc>
        <w:tc>
          <w:tcPr>
            <w:tcW w:w="1696" w:type="dxa"/>
            <w:tcBorders>
              <w:top w:val="nil"/>
              <w:left w:val="nil"/>
              <w:bottom w:val="single" w:sz="4" w:space="0" w:color="auto"/>
              <w:right w:val="single" w:sz="4" w:space="0" w:color="auto"/>
            </w:tcBorders>
            <w:shd w:val="clear" w:color="000000" w:fill="FFFFFF"/>
            <w:noWrap/>
            <w:vAlign w:val="bottom"/>
            <w:hideMark/>
          </w:tcPr>
          <w:p w14:paraId="27A0D28F"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45,04</w:t>
            </w:r>
          </w:p>
        </w:tc>
        <w:tc>
          <w:tcPr>
            <w:tcW w:w="1880" w:type="dxa"/>
            <w:tcBorders>
              <w:top w:val="nil"/>
              <w:left w:val="nil"/>
              <w:bottom w:val="single" w:sz="4" w:space="0" w:color="auto"/>
              <w:right w:val="single" w:sz="4" w:space="0" w:color="auto"/>
            </w:tcBorders>
            <w:shd w:val="clear" w:color="000000" w:fill="FFFFFF"/>
            <w:noWrap/>
            <w:vAlign w:val="bottom"/>
            <w:hideMark/>
          </w:tcPr>
          <w:p w14:paraId="5FBA911D"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117.914,00</w:t>
            </w:r>
          </w:p>
        </w:tc>
      </w:tr>
      <w:tr w:rsidR="00BB40E2" w:rsidRPr="00BB40E2" w14:paraId="3F3B3873"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142F6D76"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5.6. POMOĆI IZ OPĆINSKIH PRORAČUNA</w:t>
            </w:r>
          </w:p>
        </w:tc>
        <w:tc>
          <w:tcPr>
            <w:tcW w:w="1880" w:type="dxa"/>
            <w:tcBorders>
              <w:top w:val="nil"/>
              <w:left w:val="nil"/>
              <w:bottom w:val="single" w:sz="4" w:space="0" w:color="auto"/>
              <w:right w:val="single" w:sz="4" w:space="0" w:color="auto"/>
            </w:tcBorders>
            <w:shd w:val="clear" w:color="000000" w:fill="FFFFFF"/>
            <w:noWrap/>
            <w:vAlign w:val="bottom"/>
            <w:hideMark/>
          </w:tcPr>
          <w:p w14:paraId="7A8712B8"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893" w:type="dxa"/>
            <w:tcBorders>
              <w:top w:val="nil"/>
              <w:left w:val="nil"/>
              <w:bottom w:val="single" w:sz="4" w:space="0" w:color="auto"/>
              <w:right w:val="single" w:sz="4" w:space="0" w:color="auto"/>
            </w:tcBorders>
            <w:shd w:val="clear" w:color="000000" w:fill="FFFFFF"/>
            <w:noWrap/>
            <w:vAlign w:val="bottom"/>
            <w:hideMark/>
          </w:tcPr>
          <w:p w14:paraId="2AE6084B"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696" w:type="dxa"/>
            <w:tcBorders>
              <w:top w:val="nil"/>
              <w:left w:val="nil"/>
              <w:bottom w:val="single" w:sz="4" w:space="0" w:color="auto"/>
              <w:right w:val="single" w:sz="4" w:space="0" w:color="auto"/>
            </w:tcBorders>
            <w:shd w:val="clear" w:color="000000" w:fill="FFFFFF"/>
            <w:noWrap/>
            <w:vAlign w:val="bottom"/>
            <w:hideMark/>
          </w:tcPr>
          <w:p w14:paraId="55D8EB01"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880" w:type="dxa"/>
            <w:tcBorders>
              <w:top w:val="nil"/>
              <w:left w:val="nil"/>
              <w:bottom w:val="single" w:sz="4" w:space="0" w:color="auto"/>
              <w:right w:val="single" w:sz="4" w:space="0" w:color="auto"/>
            </w:tcBorders>
            <w:shd w:val="clear" w:color="000000" w:fill="FFFFFF"/>
            <w:noWrap/>
            <w:vAlign w:val="bottom"/>
            <w:hideMark/>
          </w:tcPr>
          <w:p w14:paraId="7DBC6352"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r>
      <w:tr w:rsidR="00BB40E2" w:rsidRPr="00BB40E2" w14:paraId="2289725A"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5DF170C3"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5.7. POMOĆI OD OSTALIH IZVANPR. KORISNIKA DRŽ. PRORAČUNA</w:t>
            </w:r>
          </w:p>
        </w:tc>
        <w:tc>
          <w:tcPr>
            <w:tcW w:w="1880" w:type="dxa"/>
            <w:tcBorders>
              <w:top w:val="nil"/>
              <w:left w:val="nil"/>
              <w:bottom w:val="single" w:sz="4" w:space="0" w:color="auto"/>
              <w:right w:val="single" w:sz="4" w:space="0" w:color="auto"/>
            </w:tcBorders>
            <w:shd w:val="clear" w:color="000000" w:fill="FFFFFF"/>
            <w:noWrap/>
            <w:vAlign w:val="bottom"/>
            <w:hideMark/>
          </w:tcPr>
          <w:p w14:paraId="127FD2A4"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893" w:type="dxa"/>
            <w:tcBorders>
              <w:top w:val="nil"/>
              <w:left w:val="nil"/>
              <w:bottom w:val="single" w:sz="4" w:space="0" w:color="auto"/>
              <w:right w:val="single" w:sz="4" w:space="0" w:color="auto"/>
            </w:tcBorders>
            <w:shd w:val="clear" w:color="000000" w:fill="FFFFFF"/>
            <w:noWrap/>
            <w:vAlign w:val="bottom"/>
            <w:hideMark/>
          </w:tcPr>
          <w:p w14:paraId="4CC0A356"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696" w:type="dxa"/>
            <w:tcBorders>
              <w:top w:val="nil"/>
              <w:left w:val="nil"/>
              <w:bottom w:val="single" w:sz="4" w:space="0" w:color="auto"/>
              <w:right w:val="single" w:sz="4" w:space="0" w:color="auto"/>
            </w:tcBorders>
            <w:shd w:val="clear" w:color="000000" w:fill="FFFFFF"/>
            <w:noWrap/>
            <w:vAlign w:val="bottom"/>
            <w:hideMark/>
          </w:tcPr>
          <w:p w14:paraId="1546F835"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880" w:type="dxa"/>
            <w:tcBorders>
              <w:top w:val="nil"/>
              <w:left w:val="nil"/>
              <w:bottom w:val="single" w:sz="4" w:space="0" w:color="auto"/>
              <w:right w:val="single" w:sz="4" w:space="0" w:color="auto"/>
            </w:tcBorders>
            <w:shd w:val="clear" w:color="000000" w:fill="FFFFFF"/>
            <w:noWrap/>
            <w:vAlign w:val="bottom"/>
            <w:hideMark/>
          </w:tcPr>
          <w:p w14:paraId="5EACB430"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r>
      <w:tr w:rsidR="00BB40E2" w:rsidRPr="00BB40E2" w14:paraId="3E27A646"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0DF4A32A"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lastRenderedPageBreak/>
              <w:t>Izvor  5.9. POMOĆI - PRIHODI KORISNIKA - GL 02</w:t>
            </w:r>
          </w:p>
        </w:tc>
        <w:tc>
          <w:tcPr>
            <w:tcW w:w="1880" w:type="dxa"/>
            <w:tcBorders>
              <w:top w:val="nil"/>
              <w:left w:val="nil"/>
              <w:bottom w:val="single" w:sz="4" w:space="0" w:color="auto"/>
              <w:right w:val="single" w:sz="4" w:space="0" w:color="auto"/>
            </w:tcBorders>
            <w:shd w:val="clear" w:color="000000" w:fill="FFFFFF"/>
            <w:noWrap/>
            <w:vAlign w:val="bottom"/>
            <w:hideMark/>
          </w:tcPr>
          <w:p w14:paraId="7D244C22"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7.085.880,00</w:t>
            </w:r>
          </w:p>
        </w:tc>
        <w:tc>
          <w:tcPr>
            <w:tcW w:w="1893" w:type="dxa"/>
            <w:tcBorders>
              <w:top w:val="nil"/>
              <w:left w:val="nil"/>
              <w:bottom w:val="single" w:sz="4" w:space="0" w:color="auto"/>
              <w:right w:val="single" w:sz="4" w:space="0" w:color="auto"/>
            </w:tcBorders>
            <w:shd w:val="clear" w:color="000000" w:fill="FFFFFF"/>
            <w:noWrap/>
            <w:vAlign w:val="bottom"/>
            <w:hideMark/>
          </w:tcPr>
          <w:p w14:paraId="7489B84C"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320.118,00</w:t>
            </w:r>
          </w:p>
        </w:tc>
        <w:tc>
          <w:tcPr>
            <w:tcW w:w="1696" w:type="dxa"/>
            <w:tcBorders>
              <w:top w:val="nil"/>
              <w:left w:val="nil"/>
              <w:bottom w:val="single" w:sz="4" w:space="0" w:color="auto"/>
              <w:right w:val="single" w:sz="4" w:space="0" w:color="auto"/>
            </w:tcBorders>
            <w:shd w:val="clear" w:color="000000" w:fill="FFFFFF"/>
            <w:noWrap/>
            <w:vAlign w:val="bottom"/>
            <w:hideMark/>
          </w:tcPr>
          <w:p w14:paraId="627036DD"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4,52</w:t>
            </w:r>
          </w:p>
        </w:tc>
        <w:tc>
          <w:tcPr>
            <w:tcW w:w="1880" w:type="dxa"/>
            <w:tcBorders>
              <w:top w:val="nil"/>
              <w:left w:val="nil"/>
              <w:bottom w:val="single" w:sz="4" w:space="0" w:color="auto"/>
              <w:right w:val="single" w:sz="4" w:space="0" w:color="auto"/>
            </w:tcBorders>
            <w:shd w:val="clear" w:color="000000" w:fill="FFFFFF"/>
            <w:noWrap/>
            <w:vAlign w:val="bottom"/>
            <w:hideMark/>
          </w:tcPr>
          <w:p w14:paraId="05F5B4D9"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7.405.998,00</w:t>
            </w:r>
          </w:p>
        </w:tc>
      </w:tr>
      <w:tr w:rsidR="00BB40E2" w:rsidRPr="00BB40E2" w14:paraId="07845082"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D9D9D9"/>
            <w:noWrap/>
            <w:vAlign w:val="bottom"/>
            <w:hideMark/>
          </w:tcPr>
          <w:p w14:paraId="1222A32D" w14:textId="77777777" w:rsidR="00BB40E2" w:rsidRPr="00BB40E2" w:rsidRDefault="00BB40E2" w:rsidP="00BB40E2">
            <w:pPr>
              <w:rPr>
                <w:rFonts w:ascii="Arial" w:hAnsi="Arial" w:cs="Arial"/>
                <w:b/>
                <w:bCs/>
                <w:color w:val="000000"/>
                <w:sz w:val="20"/>
                <w:szCs w:val="20"/>
              </w:rPr>
            </w:pPr>
            <w:r w:rsidRPr="00BB40E2">
              <w:rPr>
                <w:rFonts w:ascii="Arial" w:hAnsi="Arial" w:cs="Arial"/>
                <w:b/>
                <w:bCs/>
                <w:color w:val="000000"/>
                <w:sz w:val="20"/>
                <w:szCs w:val="20"/>
              </w:rPr>
              <w:t>Izvor  6. DONACIJE</w:t>
            </w:r>
          </w:p>
        </w:tc>
        <w:tc>
          <w:tcPr>
            <w:tcW w:w="1880" w:type="dxa"/>
            <w:tcBorders>
              <w:top w:val="nil"/>
              <w:left w:val="nil"/>
              <w:bottom w:val="single" w:sz="4" w:space="0" w:color="auto"/>
              <w:right w:val="single" w:sz="4" w:space="0" w:color="auto"/>
            </w:tcBorders>
            <w:shd w:val="clear" w:color="000000" w:fill="D9D9D9"/>
            <w:noWrap/>
            <w:vAlign w:val="bottom"/>
            <w:hideMark/>
          </w:tcPr>
          <w:p w14:paraId="55DA9D5C"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711.266,00</w:t>
            </w:r>
          </w:p>
        </w:tc>
        <w:tc>
          <w:tcPr>
            <w:tcW w:w="1893" w:type="dxa"/>
            <w:tcBorders>
              <w:top w:val="nil"/>
              <w:left w:val="nil"/>
              <w:bottom w:val="single" w:sz="4" w:space="0" w:color="auto"/>
              <w:right w:val="single" w:sz="4" w:space="0" w:color="auto"/>
            </w:tcBorders>
            <w:shd w:val="clear" w:color="000000" w:fill="D9D9D9"/>
            <w:noWrap/>
            <w:vAlign w:val="bottom"/>
            <w:hideMark/>
          </w:tcPr>
          <w:p w14:paraId="3ED3AC1D"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47.128,00</w:t>
            </w:r>
          </w:p>
        </w:tc>
        <w:tc>
          <w:tcPr>
            <w:tcW w:w="1696" w:type="dxa"/>
            <w:tcBorders>
              <w:top w:val="nil"/>
              <w:left w:val="nil"/>
              <w:bottom w:val="single" w:sz="4" w:space="0" w:color="auto"/>
              <w:right w:val="single" w:sz="4" w:space="0" w:color="auto"/>
            </w:tcBorders>
            <w:shd w:val="clear" w:color="000000" w:fill="D9D9D9"/>
            <w:noWrap/>
            <w:vAlign w:val="bottom"/>
            <w:hideMark/>
          </w:tcPr>
          <w:p w14:paraId="597E9845"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6,63</w:t>
            </w:r>
          </w:p>
        </w:tc>
        <w:tc>
          <w:tcPr>
            <w:tcW w:w="1880" w:type="dxa"/>
            <w:tcBorders>
              <w:top w:val="nil"/>
              <w:left w:val="nil"/>
              <w:bottom w:val="single" w:sz="4" w:space="0" w:color="auto"/>
              <w:right w:val="single" w:sz="4" w:space="0" w:color="auto"/>
            </w:tcBorders>
            <w:shd w:val="clear" w:color="000000" w:fill="D9D9D9"/>
            <w:noWrap/>
            <w:vAlign w:val="bottom"/>
            <w:hideMark/>
          </w:tcPr>
          <w:p w14:paraId="68A470B2"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758.394,00</w:t>
            </w:r>
          </w:p>
        </w:tc>
      </w:tr>
      <w:tr w:rsidR="00BB40E2" w:rsidRPr="00BB40E2" w14:paraId="47E26CA7"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7A1137A8"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6.1. TEKUĆE DONACIJE</w:t>
            </w:r>
          </w:p>
        </w:tc>
        <w:tc>
          <w:tcPr>
            <w:tcW w:w="1880" w:type="dxa"/>
            <w:tcBorders>
              <w:top w:val="nil"/>
              <w:left w:val="nil"/>
              <w:bottom w:val="single" w:sz="4" w:space="0" w:color="auto"/>
              <w:right w:val="single" w:sz="4" w:space="0" w:color="auto"/>
            </w:tcBorders>
            <w:shd w:val="clear" w:color="000000" w:fill="FFFFFF"/>
            <w:noWrap/>
            <w:vAlign w:val="bottom"/>
            <w:hideMark/>
          </w:tcPr>
          <w:p w14:paraId="01911D39"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3.000,00</w:t>
            </w:r>
          </w:p>
        </w:tc>
        <w:tc>
          <w:tcPr>
            <w:tcW w:w="1893" w:type="dxa"/>
            <w:tcBorders>
              <w:top w:val="nil"/>
              <w:left w:val="nil"/>
              <w:bottom w:val="single" w:sz="4" w:space="0" w:color="auto"/>
              <w:right w:val="single" w:sz="4" w:space="0" w:color="auto"/>
            </w:tcBorders>
            <w:shd w:val="clear" w:color="000000" w:fill="FFFFFF"/>
            <w:noWrap/>
            <w:vAlign w:val="bottom"/>
            <w:hideMark/>
          </w:tcPr>
          <w:p w14:paraId="371ACA7B"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25.526,00</w:t>
            </w:r>
          </w:p>
        </w:tc>
        <w:tc>
          <w:tcPr>
            <w:tcW w:w="1696" w:type="dxa"/>
            <w:tcBorders>
              <w:top w:val="nil"/>
              <w:left w:val="nil"/>
              <w:bottom w:val="single" w:sz="4" w:space="0" w:color="auto"/>
              <w:right w:val="single" w:sz="4" w:space="0" w:color="auto"/>
            </w:tcBorders>
            <w:shd w:val="clear" w:color="000000" w:fill="FFFFFF"/>
            <w:noWrap/>
            <w:vAlign w:val="bottom"/>
            <w:hideMark/>
          </w:tcPr>
          <w:p w14:paraId="19D6A20F"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850,87</w:t>
            </w:r>
          </w:p>
        </w:tc>
        <w:tc>
          <w:tcPr>
            <w:tcW w:w="1880" w:type="dxa"/>
            <w:tcBorders>
              <w:top w:val="nil"/>
              <w:left w:val="nil"/>
              <w:bottom w:val="single" w:sz="4" w:space="0" w:color="auto"/>
              <w:right w:val="single" w:sz="4" w:space="0" w:color="auto"/>
            </w:tcBorders>
            <w:shd w:val="clear" w:color="000000" w:fill="FFFFFF"/>
            <w:noWrap/>
            <w:vAlign w:val="bottom"/>
            <w:hideMark/>
          </w:tcPr>
          <w:p w14:paraId="5A13E26E"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28.526,00</w:t>
            </w:r>
          </w:p>
        </w:tc>
      </w:tr>
      <w:tr w:rsidR="00BB40E2" w:rsidRPr="00BB40E2" w14:paraId="6BDFFCC7"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546F2293"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6.2. 6. KAPITALNE DONACIJE</w:t>
            </w:r>
          </w:p>
        </w:tc>
        <w:tc>
          <w:tcPr>
            <w:tcW w:w="1880" w:type="dxa"/>
            <w:tcBorders>
              <w:top w:val="nil"/>
              <w:left w:val="nil"/>
              <w:bottom w:val="single" w:sz="4" w:space="0" w:color="auto"/>
              <w:right w:val="single" w:sz="4" w:space="0" w:color="auto"/>
            </w:tcBorders>
            <w:shd w:val="clear" w:color="000000" w:fill="FFFFFF"/>
            <w:noWrap/>
            <w:vAlign w:val="bottom"/>
            <w:hideMark/>
          </w:tcPr>
          <w:p w14:paraId="468E4E6C"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569.352,00</w:t>
            </w:r>
          </w:p>
        </w:tc>
        <w:tc>
          <w:tcPr>
            <w:tcW w:w="1893" w:type="dxa"/>
            <w:tcBorders>
              <w:top w:val="nil"/>
              <w:left w:val="nil"/>
              <w:bottom w:val="single" w:sz="4" w:space="0" w:color="auto"/>
              <w:right w:val="single" w:sz="4" w:space="0" w:color="auto"/>
            </w:tcBorders>
            <w:shd w:val="clear" w:color="000000" w:fill="FFFFFF"/>
            <w:noWrap/>
            <w:vAlign w:val="bottom"/>
            <w:hideMark/>
          </w:tcPr>
          <w:p w14:paraId="5C636A16"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79.774,00</w:t>
            </w:r>
          </w:p>
        </w:tc>
        <w:tc>
          <w:tcPr>
            <w:tcW w:w="1696" w:type="dxa"/>
            <w:tcBorders>
              <w:top w:val="nil"/>
              <w:left w:val="nil"/>
              <w:bottom w:val="single" w:sz="4" w:space="0" w:color="auto"/>
              <w:right w:val="single" w:sz="4" w:space="0" w:color="auto"/>
            </w:tcBorders>
            <w:shd w:val="clear" w:color="000000" w:fill="FFFFFF"/>
            <w:noWrap/>
            <w:vAlign w:val="bottom"/>
            <w:hideMark/>
          </w:tcPr>
          <w:p w14:paraId="6CE9BA90"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14,01</w:t>
            </w:r>
          </w:p>
        </w:tc>
        <w:tc>
          <w:tcPr>
            <w:tcW w:w="1880" w:type="dxa"/>
            <w:tcBorders>
              <w:top w:val="nil"/>
              <w:left w:val="nil"/>
              <w:bottom w:val="single" w:sz="4" w:space="0" w:color="auto"/>
              <w:right w:val="single" w:sz="4" w:space="0" w:color="auto"/>
            </w:tcBorders>
            <w:shd w:val="clear" w:color="000000" w:fill="FFFFFF"/>
            <w:noWrap/>
            <w:vAlign w:val="bottom"/>
            <w:hideMark/>
          </w:tcPr>
          <w:p w14:paraId="5DA707B8"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649.126,00</w:t>
            </w:r>
          </w:p>
        </w:tc>
      </w:tr>
      <w:tr w:rsidR="00BB40E2" w:rsidRPr="00BB40E2" w14:paraId="0EA02194"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0AF13D75"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6.9. 6.DONACIJE - PRIHODI KORISNIKA</w:t>
            </w:r>
          </w:p>
        </w:tc>
        <w:tc>
          <w:tcPr>
            <w:tcW w:w="1880" w:type="dxa"/>
            <w:tcBorders>
              <w:top w:val="nil"/>
              <w:left w:val="nil"/>
              <w:bottom w:val="single" w:sz="4" w:space="0" w:color="auto"/>
              <w:right w:val="single" w:sz="4" w:space="0" w:color="auto"/>
            </w:tcBorders>
            <w:shd w:val="clear" w:color="000000" w:fill="FFFFFF"/>
            <w:noWrap/>
            <w:vAlign w:val="bottom"/>
            <w:hideMark/>
          </w:tcPr>
          <w:p w14:paraId="63CF58FD"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138.914,00</w:t>
            </w:r>
          </w:p>
        </w:tc>
        <w:tc>
          <w:tcPr>
            <w:tcW w:w="1893" w:type="dxa"/>
            <w:tcBorders>
              <w:top w:val="nil"/>
              <w:left w:val="nil"/>
              <w:bottom w:val="single" w:sz="4" w:space="0" w:color="auto"/>
              <w:right w:val="single" w:sz="4" w:space="0" w:color="auto"/>
            </w:tcBorders>
            <w:shd w:val="clear" w:color="000000" w:fill="FFFFFF"/>
            <w:noWrap/>
            <w:vAlign w:val="bottom"/>
            <w:hideMark/>
          </w:tcPr>
          <w:p w14:paraId="2495D78D"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-58.172,00</w:t>
            </w:r>
          </w:p>
        </w:tc>
        <w:tc>
          <w:tcPr>
            <w:tcW w:w="1696" w:type="dxa"/>
            <w:tcBorders>
              <w:top w:val="nil"/>
              <w:left w:val="nil"/>
              <w:bottom w:val="single" w:sz="4" w:space="0" w:color="auto"/>
              <w:right w:val="single" w:sz="4" w:space="0" w:color="auto"/>
            </w:tcBorders>
            <w:shd w:val="clear" w:color="000000" w:fill="FFFFFF"/>
            <w:noWrap/>
            <w:vAlign w:val="bottom"/>
            <w:hideMark/>
          </w:tcPr>
          <w:p w14:paraId="237AF672"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-41,88</w:t>
            </w:r>
          </w:p>
        </w:tc>
        <w:tc>
          <w:tcPr>
            <w:tcW w:w="1880" w:type="dxa"/>
            <w:tcBorders>
              <w:top w:val="nil"/>
              <w:left w:val="nil"/>
              <w:bottom w:val="single" w:sz="4" w:space="0" w:color="auto"/>
              <w:right w:val="single" w:sz="4" w:space="0" w:color="auto"/>
            </w:tcBorders>
            <w:shd w:val="clear" w:color="000000" w:fill="FFFFFF"/>
            <w:noWrap/>
            <w:vAlign w:val="bottom"/>
            <w:hideMark/>
          </w:tcPr>
          <w:p w14:paraId="3F4D2C0F"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80.742,00</w:t>
            </w:r>
          </w:p>
        </w:tc>
      </w:tr>
      <w:tr w:rsidR="00BB40E2" w:rsidRPr="00BB40E2" w14:paraId="0B7E55F5"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D9D9D9"/>
            <w:noWrap/>
            <w:vAlign w:val="bottom"/>
            <w:hideMark/>
          </w:tcPr>
          <w:p w14:paraId="3034F459" w14:textId="77777777" w:rsidR="00BB40E2" w:rsidRPr="00BB40E2" w:rsidRDefault="00BB40E2" w:rsidP="00BB40E2">
            <w:pPr>
              <w:rPr>
                <w:rFonts w:ascii="Arial" w:hAnsi="Arial" w:cs="Arial"/>
                <w:b/>
                <w:bCs/>
                <w:color w:val="000000"/>
                <w:sz w:val="20"/>
                <w:szCs w:val="20"/>
              </w:rPr>
            </w:pPr>
            <w:r w:rsidRPr="00BB40E2">
              <w:rPr>
                <w:rFonts w:ascii="Arial" w:hAnsi="Arial" w:cs="Arial"/>
                <w:b/>
                <w:bCs/>
                <w:color w:val="000000"/>
                <w:sz w:val="20"/>
                <w:szCs w:val="20"/>
              </w:rPr>
              <w:t>Izvor  7. PRIHODI OD NEFINANCIJSKE IMOVINE</w:t>
            </w:r>
          </w:p>
        </w:tc>
        <w:tc>
          <w:tcPr>
            <w:tcW w:w="1880" w:type="dxa"/>
            <w:tcBorders>
              <w:top w:val="nil"/>
              <w:left w:val="nil"/>
              <w:bottom w:val="single" w:sz="4" w:space="0" w:color="auto"/>
              <w:right w:val="single" w:sz="4" w:space="0" w:color="auto"/>
            </w:tcBorders>
            <w:shd w:val="clear" w:color="000000" w:fill="D9D9D9"/>
            <w:noWrap/>
            <w:vAlign w:val="bottom"/>
            <w:hideMark/>
          </w:tcPr>
          <w:p w14:paraId="7A8EBC0A"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2.255.960,00</w:t>
            </w:r>
          </w:p>
        </w:tc>
        <w:tc>
          <w:tcPr>
            <w:tcW w:w="1893" w:type="dxa"/>
            <w:tcBorders>
              <w:top w:val="nil"/>
              <w:left w:val="nil"/>
              <w:bottom w:val="single" w:sz="4" w:space="0" w:color="auto"/>
              <w:right w:val="single" w:sz="4" w:space="0" w:color="auto"/>
            </w:tcBorders>
            <w:shd w:val="clear" w:color="000000" w:fill="D9D9D9"/>
            <w:noWrap/>
            <w:vAlign w:val="bottom"/>
            <w:hideMark/>
          </w:tcPr>
          <w:p w14:paraId="50D0D74C"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-665.653,00</w:t>
            </w:r>
          </w:p>
        </w:tc>
        <w:tc>
          <w:tcPr>
            <w:tcW w:w="1696" w:type="dxa"/>
            <w:tcBorders>
              <w:top w:val="nil"/>
              <w:left w:val="nil"/>
              <w:bottom w:val="single" w:sz="4" w:space="0" w:color="auto"/>
              <w:right w:val="single" w:sz="4" w:space="0" w:color="auto"/>
            </w:tcBorders>
            <w:shd w:val="clear" w:color="000000" w:fill="D9D9D9"/>
            <w:noWrap/>
            <w:vAlign w:val="bottom"/>
            <w:hideMark/>
          </w:tcPr>
          <w:p w14:paraId="76E06EA0"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-29,51</w:t>
            </w:r>
          </w:p>
        </w:tc>
        <w:tc>
          <w:tcPr>
            <w:tcW w:w="1880" w:type="dxa"/>
            <w:tcBorders>
              <w:top w:val="nil"/>
              <w:left w:val="nil"/>
              <w:bottom w:val="single" w:sz="4" w:space="0" w:color="auto"/>
              <w:right w:val="single" w:sz="4" w:space="0" w:color="auto"/>
            </w:tcBorders>
            <w:shd w:val="clear" w:color="000000" w:fill="D9D9D9"/>
            <w:noWrap/>
            <w:vAlign w:val="bottom"/>
            <w:hideMark/>
          </w:tcPr>
          <w:p w14:paraId="1B00DF2C"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1.590.307,00</w:t>
            </w:r>
          </w:p>
        </w:tc>
      </w:tr>
      <w:tr w:rsidR="00BB40E2" w:rsidRPr="00BB40E2" w14:paraId="4A51A137"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08B4499C"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7.1. 7.PRIHODI OD NEFINANCIJSKE IMOVINE</w:t>
            </w:r>
          </w:p>
        </w:tc>
        <w:tc>
          <w:tcPr>
            <w:tcW w:w="1880" w:type="dxa"/>
            <w:tcBorders>
              <w:top w:val="nil"/>
              <w:left w:val="nil"/>
              <w:bottom w:val="single" w:sz="4" w:space="0" w:color="auto"/>
              <w:right w:val="single" w:sz="4" w:space="0" w:color="auto"/>
            </w:tcBorders>
            <w:shd w:val="clear" w:color="000000" w:fill="FFFFFF"/>
            <w:noWrap/>
            <w:vAlign w:val="bottom"/>
            <w:hideMark/>
          </w:tcPr>
          <w:p w14:paraId="0778A298"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2.239.610,00</w:t>
            </w:r>
          </w:p>
        </w:tc>
        <w:tc>
          <w:tcPr>
            <w:tcW w:w="1893" w:type="dxa"/>
            <w:tcBorders>
              <w:top w:val="nil"/>
              <w:left w:val="nil"/>
              <w:bottom w:val="single" w:sz="4" w:space="0" w:color="auto"/>
              <w:right w:val="single" w:sz="4" w:space="0" w:color="auto"/>
            </w:tcBorders>
            <w:shd w:val="clear" w:color="000000" w:fill="FFFFFF"/>
            <w:noWrap/>
            <w:vAlign w:val="bottom"/>
            <w:hideMark/>
          </w:tcPr>
          <w:p w14:paraId="3A02482F"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-667.602,00</w:t>
            </w:r>
          </w:p>
        </w:tc>
        <w:tc>
          <w:tcPr>
            <w:tcW w:w="1696" w:type="dxa"/>
            <w:tcBorders>
              <w:top w:val="nil"/>
              <w:left w:val="nil"/>
              <w:bottom w:val="single" w:sz="4" w:space="0" w:color="auto"/>
              <w:right w:val="single" w:sz="4" w:space="0" w:color="auto"/>
            </w:tcBorders>
            <w:shd w:val="clear" w:color="000000" w:fill="FFFFFF"/>
            <w:noWrap/>
            <w:vAlign w:val="bottom"/>
            <w:hideMark/>
          </w:tcPr>
          <w:p w14:paraId="0497F7F0"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-29,81</w:t>
            </w:r>
          </w:p>
        </w:tc>
        <w:tc>
          <w:tcPr>
            <w:tcW w:w="1880" w:type="dxa"/>
            <w:tcBorders>
              <w:top w:val="nil"/>
              <w:left w:val="nil"/>
              <w:bottom w:val="single" w:sz="4" w:space="0" w:color="auto"/>
              <w:right w:val="single" w:sz="4" w:space="0" w:color="auto"/>
            </w:tcBorders>
            <w:shd w:val="clear" w:color="000000" w:fill="FFFFFF"/>
            <w:noWrap/>
            <w:vAlign w:val="bottom"/>
            <w:hideMark/>
          </w:tcPr>
          <w:p w14:paraId="550F62E4"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1.572.008,00</w:t>
            </w:r>
          </w:p>
        </w:tc>
      </w:tr>
      <w:tr w:rsidR="00BB40E2" w:rsidRPr="00BB40E2" w14:paraId="4A4EFC32"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38A29366"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7.3. 7.PRIHODI OD NAKNADA ŠTETA S OSN.OSIGUR.</w:t>
            </w:r>
          </w:p>
        </w:tc>
        <w:tc>
          <w:tcPr>
            <w:tcW w:w="1880" w:type="dxa"/>
            <w:tcBorders>
              <w:top w:val="nil"/>
              <w:left w:val="nil"/>
              <w:bottom w:val="single" w:sz="4" w:space="0" w:color="auto"/>
              <w:right w:val="single" w:sz="4" w:space="0" w:color="auto"/>
            </w:tcBorders>
            <w:shd w:val="clear" w:color="000000" w:fill="FFFFFF"/>
            <w:noWrap/>
            <w:vAlign w:val="bottom"/>
            <w:hideMark/>
          </w:tcPr>
          <w:p w14:paraId="4FFD706B"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2.650,00</w:t>
            </w:r>
          </w:p>
        </w:tc>
        <w:tc>
          <w:tcPr>
            <w:tcW w:w="1893" w:type="dxa"/>
            <w:tcBorders>
              <w:top w:val="nil"/>
              <w:left w:val="nil"/>
              <w:bottom w:val="single" w:sz="4" w:space="0" w:color="auto"/>
              <w:right w:val="single" w:sz="4" w:space="0" w:color="auto"/>
            </w:tcBorders>
            <w:shd w:val="clear" w:color="000000" w:fill="FFFFFF"/>
            <w:noWrap/>
            <w:vAlign w:val="bottom"/>
            <w:hideMark/>
          </w:tcPr>
          <w:p w14:paraId="48CE93D5"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696" w:type="dxa"/>
            <w:tcBorders>
              <w:top w:val="nil"/>
              <w:left w:val="nil"/>
              <w:bottom w:val="single" w:sz="4" w:space="0" w:color="auto"/>
              <w:right w:val="single" w:sz="4" w:space="0" w:color="auto"/>
            </w:tcBorders>
            <w:shd w:val="clear" w:color="000000" w:fill="FFFFFF"/>
            <w:noWrap/>
            <w:vAlign w:val="bottom"/>
            <w:hideMark/>
          </w:tcPr>
          <w:p w14:paraId="380A3FDA"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880" w:type="dxa"/>
            <w:tcBorders>
              <w:top w:val="nil"/>
              <w:left w:val="nil"/>
              <w:bottom w:val="single" w:sz="4" w:space="0" w:color="auto"/>
              <w:right w:val="single" w:sz="4" w:space="0" w:color="auto"/>
            </w:tcBorders>
            <w:shd w:val="clear" w:color="000000" w:fill="FFFFFF"/>
            <w:noWrap/>
            <w:vAlign w:val="bottom"/>
            <w:hideMark/>
          </w:tcPr>
          <w:p w14:paraId="7C405021"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2.650,00</w:t>
            </w:r>
          </w:p>
        </w:tc>
      </w:tr>
      <w:tr w:rsidR="00BB40E2" w:rsidRPr="00BB40E2" w14:paraId="20B145A8"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532DEDE5"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7.9. 7.PRIHODI OD NAKNADA ŠTETA S OSN.OSIGUR.-PRIH.KOR.</w:t>
            </w:r>
          </w:p>
        </w:tc>
        <w:tc>
          <w:tcPr>
            <w:tcW w:w="1880" w:type="dxa"/>
            <w:tcBorders>
              <w:top w:val="nil"/>
              <w:left w:val="nil"/>
              <w:bottom w:val="single" w:sz="4" w:space="0" w:color="auto"/>
              <w:right w:val="single" w:sz="4" w:space="0" w:color="auto"/>
            </w:tcBorders>
            <w:shd w:val="clear" w:color="000000" w:fill="FFFFFF"/>
            <w:noWrap/>
            <w:vAlign w:val="bottom"/>
            <w:hideMark/>
          </w:tcPr>
          <w:p w14:paraId="240C3AF7"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13.700,00</w:t>
            </w:r>
          </w:p>
        </w:tc>
        <w:tc>
          <w:tcPr>
            <w:tcW w:w="1893" w:type="dxa"/>
            <w:tcBorders>
              <w:top w:val="nil"/>
              <w:left w:val="nil"/>
              <w:bottom w:val="single" w:sz="4" w:space="0" w:color="auto"/>
              <w:right w:val="single" w:sz="4" w:space="0" w:color="auto"/>
            </w:tcBorders>
            <w:shd w:val="clear" w:color="000000" w:fill="FFFFFF"/>
            <w:noWrap/>
            <w:vAlign w:val="bottom"/>
            <w:hideMark/>
          </w:tcPr>
          <w:p w14:paraId="043EE83B"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1.949,00</w:t>
            </w:r>
          </w:p>
        </w:tc>
        <w:tc>
          <w:tcPr>
            <w:tcW w:w="1696" w:type="dxa"/>
            <w:tcBorders>
              <w:top w:val="nil"/>
              <w:left w:val="nil"/>
              <w:bottom w:val="single" w:sz="4" w:space="0" w:color="auto"/>
              <w:right w:val="single" w:sz="4" w:space="0" w:color="auto"/>
            </w:tcBorders>
            <w:shd w:val="clear" w:color="000000" w:fill="FFFFFF"/>
            <w:noWrap/>
            <w:vAlign w:val="bottom"/>
            <w:hideMark/>
          </w:tcPr>
          <w:p w14:paraId="7C5FD262"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14,23</w:t>
            </w:r>
          </w:p>
        </w:tc>
        <w:tc>
          <w:tcPr>
            <w:tcW w:w="1880" w:type="dxa"/>
            <w:tcBorders>
              <w:top w:val="nil"/>
              <w:left w:val="nil"/>
              <w:bottom w:val="single" w:sz="4" w:space="0" w:color="auto"/>
              <w:right w:val="single" w:sz="4" w:space="0" w:color="auto"/>
            </w:tcBorders>
            <w:shd w:val="clear" w:color="000000" w:fill="FFFFFF"/>
            <w:noWrap/>
            <w:vAlign w:val="bottom"/>
            <w:hideMark/>
          </w:tcPr>
          <w:p w14:paraId="0316E73A"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15.649,00</w:t>
            </w:r>
          </w:p>
        </w:tc>
      </w:tr>
      <w:tr w:rsidR="00BB40E2" w:rsidRPr="00BB40E2" w14:paraId="4DB67E8D"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D9D9D9"/>
            <w:noWrap/>
            <w:vAlign w:val="bottom"/>
            <w:hideMark/>
          </w:tcPr>
          <w:p w14:paraId="4BCA109B" w14:textId="77777777" w:rsidR="00BB40E2" w:rsidRPr="00BB40E2" w:rsidRDefault="00BB40E2" w:rsidP="00BB40E2">
            <w:pPr>
              <w:rPr>
                <w:rFonts w:ascii="Arial" w:hAnsi="Arial" w:cs="Arial"/>
                <w:b/>
                <w:bCs/>
                <w:color w:val="000000"/>
                <w:sz w:val="20"/>
                <w:szCs w:val="20"/>
              </w:rPr>
            </w:pPr>
            <w:r w:rsidRPr="00BB40E2">
              <w:rPr>
                <w:rFonts w:ascii="Arial" w:hAnsi="Arial" w:cs="Arial"/>
                <w:b/>
                <w:bCs/>
                <w:color w:val="000000"/>
                <w:sz w:val="20"/>
                <w:szCs w:val="20"/>
              </w:rPr>
              <w:t>Izvor  8. NAMJENSKI PRIMICI OD ZADUŽIVANJA</w:t>
            </w:r>
          </w:p>
        </w:tc>
        <w:tc>
          <w:tcPr>
            <w:tcW w:w="1880" w:type="dxa"/>
            <w:tcBorders>
              <w:top w:val="nil"/>
              <w:left w:val="nil"/>
              <w:bottom w:val="single" w:sz="4" w:space="0" w:color="auto"/>
              <w:right w:val="single" w:sz="4" w:space="0" w:color="auto"/>
            </w:tcBorders>
            <w:shd w:val="clear" w:color="000000" w:fill="D9D9D9"/>
            <w:noWrap/>
            <w:vAlign w:val="bottom"/>
            <w:hideMark/>
          </w:tcPr>
          <w:p w14:paraId="21EBDB3C"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0,00</w:t>
            </w:r>
          </w:p>
        </w:tc>
        <w:tc>
          <w:tcPr>
            <w:tcW w:w="1893" w:type="dxa"/>
            <w:tcBorders>
              <w:top w:val="nil"/>
              <w:left w:val="nil"/>
              <w:bottom w:val="single" w:sz="4" w:space="0" w:color="auto"/>
              <w:right w:val="single" w:sz="4" w:space="0" w:color="auto"/>
            </w:tcBorders>
            <w:shd w:val="clear" w:color="000000" w:fill="D9D9D9"/>
            <w:noWrap/>
            <w:vAlign w:val="bottom"/>
            <w:hideMark/>
          </w:tcPr>
          <w:p w14:paraId="704646DD"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0,00</w:t>
            </w:r>
          </w:p>
        </w:tc>
        <w:tc>
          <w:tcPr>
            <w:tcW w:w="1696" w:type="dxa"/>
            <w:tcBorders>
              <w:top w:val="nil"/>
              <w:left w:val="nil"/>
              <w:bottom w:val="single" w:sz="4" w:space="0" w:color="auto"/>
              <w:right w:val="single" w:sz="4" w:space="0" w:color="auto"/>
            </w:tcBorders>
            <w:shd w:val="clear" w:color="000000" w:fill="D9D9D9"/>
            <w:noWrap/>
            <w:vAlign w:val="bottom"/>
            <w:hideMark/>
          </w:tcPr>
          <w:p w14:paraId="531983B8"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0,00</w:t>
            </w:r>
          </w:p>
        </w:tc>
        <w:tc>
          <w:tcPr>
            <w:tcW w:w="1880" w:type="dxa"/>
            <w:tcBorders>
              <w:top w:val="nil"/>
              <w:left w:val="nil"/>
              <w:bottom w:val="single" w:sz="4" w:space="0" w:color="auto"/>
              <w:right w:val="single" w:sz="4" w:space="0" w:color="auto"/>
            </w:tcBorders>
            <w:shd w:val="clear" w:color="000000" w:fill="D9D9D9"/>
            <w:noWrap/>
            <w:vAlign w:val="bottom"/>
            <w:hideMark/>
          </w:tcPr>
          <w:p w14:paraId="14DF185E" w14:textId="77777777" w:rsidR="00BB40E2" w:rsidRPr="00BB40E2" w:rsidRDefault="00BB40E2" w:rsidP="00BB40E2">
            <w:pPr>
              <w:jc w:val="right"/>
              <w:rPr>
                <w:rFonts w:ascii="Arial" w:hAnsi="Arial" w:cs="Arial"/>
                <w:b/>
                <w:bCs/>
                <w:color w:val="000000"/>
                <w:sz w:val="20"/>
                <w:szCs w:val="20"/>
              </w:rPr>
            </w:pPr>
            <w:r w:rsidRPr="00BB40E2">
              <w:rPr>
                <w:rFonts w:ascii="Arial" w:hAnsi="Arial" w:cs="Arial"/>
                <w:b/>
                <w:bCs/>
                <w:color w:val="000000"/>
                <w:sz w:val="20"/>
                <w:szCs w:val="20"/>
              </w:rPr>
              <w:t>0,00</w:t>
            </w:r>
          </w:p>
        </w:tc>
      </w:tr>
      <w:tr w:rsidR="00BB40E2" w:rsidRPr="00BB40E2" w14:paraId="2DC4EA9D" w14:textId="77777777" w:rsidTr="00BB40E2">
        <w:trPr>
          <w:trHeight w:val="264"/>
        </w:trPr>
        <w:tc>
          <w:tcPr>
            <w:tcW w:w="6551" w:type="dxa"/>
            <w:tcBorders>
              <w:top w:val="nil"/>
              <w:left w:val="single" w:sz="4" w:space="0" w:color="auto"/>
              <w:bottom w:val="single" w:sz="4" w:space="0" w:color="auto"/>
              <w:right w:val="single" w:sz="4" w:space="0" w:color="auto"/>
            </w:tcBorders>
            <w:shd w:val="clear" w:color="000000" w:fill="FFFFFF"/>
            <w:noWrap/>
            <w:vAlign w:val="bottom"/>
            <w:hideMark/>
          </w:tcPr>
          <w:p w14:paraId="6D21CE19" w14:textId="77777777" w:rsidR="00BB40E2" w:rsidRPr="00BB40E2" w:rsidRDefault="00BB40E2" w:rsidP="00BB40E2">
            <w:pPr>
              <w:rPr>
                <w:rFonts w:ascii="Arial" w:hAnsi="Arial" w:cs="Arial"/>
                <w:color w:val="000000"/>
                <w:sz w:val="20"/>
                <w:szCs w:val="20"/>
              </w:rPr>
            </w:pPr>
            <w:r w:rsidRPr="00BB40E2">
              <w:rPr>
                <w:rFonts w:ascii="Arial" w:hAnsi="Arial" w:cs="Arial"/>
                <w:color w:val="000000"/>
                <w:sz w:val="20"/>
                <w:szCs w:val="20"/>
              </w:rPr>
              <w:t>Izvor  8.1. NAMJENSKI PRIMICI OD ZADUŽIVANJA</w:t>
            </w:r>
          </w:p>
        </w:tc>
        <w:tc>
          <w:tcPr>
            <w:tcW w:w="1880" w:type="dxa"/>
            <w:tcBorders>
              <w:top w:val="nil"/>
              <w:left w:val="nil"/>
              <w:bottom w:val="single" w:sz="4" w:space="0" w:color="auto"/>
              <w:right w:val="single" w:sz="4" w:space="0" w:color="auto"/>
            </w:tcBorders>
            <w:shd w:val="clear" w:color="000000" w:fill="FFFFFF"/>
            <w:noWrap/>
            <w:vAlign w:val="bottom"/>
            <w:hideMark/>
          </w:tcPr>
          <w:p w14:paraId="44EC7DFB"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893" w:type="dxa"/>
            <w:tcBorders>
              <w:top w:val="nil"/>
              <w:left w:val="nil"/>
              <w:bottom w:val="single" w:sz="4" w:space="0" w:color="auto"/>
              <w:right w:val="single" w:sz="4" w:space="0" w:color="auto"/>
            </w:tcBorders>
            <w:shd w:val="clear" w:color="000000" w:fill="FFFFFF"/>
            <w:noWrap/>
            <w:vAlign w:val="bottom"/>
            <w:hideMark/>
          </w:tcPr>
          <w:p w14:paraId="3FA9EB69"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696" w:type="dxa"/>
            <w:tcBorders>
              <w:top w:val="nil"/>
              <w:left w:val="nil"/>
              <w:bottom w:val="single" w:sz="4" w:space="0" w:color="auto"/>
              <w:right w:val="single" w:sz="4" w:space="0" w:color="auto"/>
            </w:tcBorders>
            <w:shd w:val="clear" w:color="000000" w:fill="FFFFFF"/>
            <w:noWrap/>
            <w:vAlign w:val="bottom"/>
            <w:hideMark/>
          </w:tcPr>
          <w:p w14:paraId="74B90431"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c>
          <w:tcPr>
            <w:tcW w:w="1880" w:type="dxa"/>
            <w:tcBorders>
              <w:top w:val="nil"/>
              <w:left w:val="nil"/>
              <w:bottom w:val="single" w:sz="4" w:space="0" w:color="auto"/>
              <w:right w:val="single" w:sz="4" w:space="0" w:color="auto"/>
            </w:tcBorders>
            <w:shd w:val="clear" w:color="000000" w:fill="FFFFFF"/>
            <w:noWrap/>
            <w:vAlign w:val="bottom"/>
            <w:hideMark/>
          </w:tcPr>
          <w:p w14:paraId="78E2BEF6" w14:textId="77777777" w:rsidR="00BB40E2" w:rsidRPr="00BB40E2" w:rsidRDefault="00BB40E2" w:rsidP="00BB40E2">
            <w:pPr>
              <w:jc w:val="right"/>
              <w:rPr>
                <w:rFonts w:ascii="Arial" w:hAnsi="Arial" w:cs="Arial"/>
                <w:color w:val="000000"/>
                <w:sz w:val="20"/>
                <w:szCs w:val="20"/>
              </w:rPr>
            </w:pPr>
            <w:r w:rsidRPr="00BB40E2">
              <w:rPr>
                <w:rFonts w:ascii="Arial" w:hAnsi="Arial" w:cs="Arial"/>
                <w:color w:val="000000"/>
                <w:sz w:val="20"/>
                <w:szCs w:val="20"/>
              </w:rPr>
              <w:t>0,00</w:t>
            </w:r>
          </w:p>
        </w:tc>
      </w:tr>
    </w:tbl>
    <w:p w14:paraId="329047FF" w14:textId="77777777" w:rsidR="0022629E" w:rsidRDefault="0022629E" w:rsidP="008E4A37">
      <w:pPr>
        <w:pStyle w:val="Odlomakpopisa"/>
        <w:ind w:left="1080"/>
        <w:jc w:val="center"/>
        <w:rPr>
          <w:rFonts w:ascii="Arial" w:hAnsi="Arial" w:cs="Arial"/>
          <w:b/>
          <w:bCs/>
        </w:rPr>
      </w:pPr>
    </w:p>
    <w:p w14:paraId="42A49EA5" w14:textId="77777777" w:rsidR="0022629E" w:rsidRDefault="0022629E" w:rsidP="008E4A37">
      <w:pPr>
        <w:pStyle w:val="Odlomakpopisa"/>
        <w:ind w:left="1080"/>
        <w:jc w:val="center"/>
        <w:rPr>
          <w:rFonts w:ascii="Arial" w:hAnsi="Arial" w:cs="Arial"/>
          <w:b/>
          <w:bCs/>
        </w:rPr>
      </w:pPr>
    </w:p>
    <w:p w14:paraId="64B3732D" w14:textId="77777777" w:rsidR="00000BC1" w:rsidRDefault="00000BC1" w:rsidP="008E4A37">
      <w:pPr>
        <w:pStyle w:val="Odlomakpopisa"/>
        <w:ind w:left="1080"/>
        <w:jc w:val="center"/>
        <w:rPr>
          <w:rFonts w:ascii="Arial" w:hAnsi="Arial" w:cs="Arial"/>
          <w:b/>
          <w:bCs/>
        </w:rPr>
      </w:pPr>
    </w:p>
    <w:p w14:paraId="4DEF1DB7" w14:textId="77777777" w:rsidR="00000BC1" w:rsidRDefault="00000BC1" w:rsidP="00000BC1">
      <w:pPr>
        <w:rPr>
          <w:rFonts w:ascii="Arial" w:hAnsi="Arial" w:cs="Arial"/>
          <w:b/>
          <w:bCs/>
          <w:sz w:val="16"/>
          <w:szCs w:val="16"/>
        </w:rPr>
      </w:pPr>
    </w:p>
    <w:p w14:paraId="511139C5" w14:textId="77777777" w:rsidR="00000BC1" w:rsidRDefault="00000BC1" w:rsidP="00000BC1">
      <w:pPr>
        <w:rPr>
          <w:rFonts w:ascii="Arial" w:hAnsi="Arial" w:cs="Arial"/>
          <w:b/>
          <w:bCs/>
          <w:sz w:val="16"/>
          <w:szCs w:val="16"/>
        </w:rPr>
      </w:pPr>
    </w:p>
    <w:p w14:paraId="271078A5" w14:textId="77777777" w:rsidR="00000BC1" w:rsidRDefault="00000BC1" w:rsidP="00000BC1">
      <w:pPr>
        <w:rPr>
          <w:rFonts w:ascii="Arial" w:hAnsi="Arial" w:cs="Arial"/>
          <w:b/>
          <w:bCs/>
          <w:sz w:val="16"/>
          <w:szCs w:val="16"/>
        </w:rPr>
      </w:pPr>
    </w:p>
    <w:p w14:paraId="67D8ECF2" w14:textId="77777777" w:rsidR="00000BC1" w:rsidRDefault="00000BC1" w:rsidP="00000BC1">
      <w:pPr>
        <w:rPr>
          <w:rFonts w:ascii="Arial" w:hAnsi="Arial" w:cs="Arial"/>
          <w:b/>
          <w:bCs/>
          <w:sz w:val="16"/>
          <w:szCs w:val="16"/>
        </w:rPr>
      </w:pPr>
    </w:p>
    <w:p w14:paraId="0F9690D5" w14:textId="77777777" w:rsidR="00000BC1" w:rsidRDefault="00000BC1" w:rsidP="00000BC1">
      <w:pPr>
        <w:rPr>
          <w:rFonts w:ascii="Arial" w:hAnsi="Arial" w:cs="Arial"/>
          <w:b/>
          <w:bCs/>
          <w:sz w:val="16"/>
          <w:szCs w:val="16"/>
        </w:rPr>
      </w:pPr>
    </w:p>
    <w:p w14:paraId="70890BC7" w14:textId="77777777" w:rsidR="00000BC1" w:rsidRDefault="00000BC1" w:rsidP="00000BC1">
      <w:pPr>
        <w:rPr>
          <w:rFonts w:ascii="Arial" w:hAnsi="Arial" w:cs="Arial"/>
          <w:b/>
          <w:bCs/>
          <w:sz w:val="16"/>
          <w:szCs w:val="16"/>
        </w:rPr>
      </w:pPr>
    </w:p>
    <w:p w14:paraId="1184930B" w14:textId="77777777" w:rsidR="00000BC1" w:rsidRDefault="00000BC1" w:rsidP="00000BC1">
      <w:pPr>
        <w:rPr>
          <w:rFonts w:ascii="Arial" w:hAnsi="Arial" w:cs="Arial"/>
          <w:b/>
          <w:bCs/>
          <w:sz w:val="16"/>
          <w:szCs w:val="16"/>
        </w:rPr>
      </w:pPr>
    </w:p>
    <w:p w14:paraId="60B381E9" w14:textId="77777777" w:rsidR="00000BC1" w:rsidRDefault="00000BC1" w:rsidP="00000BC1">
      <w:pPr>
        <w:rPr>
          <w:rFonts w:ascii="Arial" w:hAnsi="Arial" w:cs="Arial"/>
          <w:b/>
          <w:bCs/>
          <w:sz w:val="16"/>
          <w:szCs w:val="16"/>
        </w:rPr>
      </w:pPr>
    </w:p>
    <w:p w14:paraId="464E71BE" w14:textId="77777777" w:rsidR="00000BC1" w:rsidRDefault="00000BC1" w:rsidP="00000BC1">
      <w:pPr>
        <w:rPr>
          <w:rFonts w:ascii="Arial" w:hAnsi="Arial" w:cs="Arial"/>
          <w:b/>
          <w:bCs/>
          <w:sz w:val="16"/>
          <w:szCs w:val="16"/>
        </w:rPr>
      </w:pPr>
    </w:p>
    <w:p w14:paraId="07B3CF36" w14:textId="77777777" w:rsidR="00000BC1" w:rsidRDefault="00000BC1" w:rsidP="00000BC1">
      <w:pPr>
        <w:rPr>
          <w:rFonts w:ascii="Arial" w:hAnsi="Arial" w:cs="Arial"/>
          <w:b/>
          <w:bCs/>
          <w:sz w:val="16"/>
          <w:szCs w:val="16"/>
        </w:rPr>
      </w:pPr>
    </w:p>
    <w:p w14:paraId="4405D8CC" w14:textId="77777777" w:rsidR="00000BC1" w:rsidRDefault="00000BC1" w:rsidP="00000BC1">
      <w:pPr>
        <w:rPr>
          <w:rFonts w:ascii="Arial" w:hAnsi="Arial" w:cs="Arial"/>
          <w:b/>
          <w:bCs/>
          <w:sz w:val="16"/>
          <w:szCs w:val="16"/>
        </w:rPr>
      </w:pPr>
    </w:p>
    <w:p w14:paraId="4CBC94E3" w14:textId="77777777" w:rsidR="00000BC1" w:rsidRDefault="00000BC1" w:rsidP="00000BC1">
      <w:pPr>
        <w:rPr>
          <w:rFonts w:ascii="Arial" w:hAnsi="Arial" w:cs="Arial"/>
          <w:b/>
          <w:bCs/>
          <w:sz w:val="16"/>
          <w:szCs w:val="16"/>
        </w:rPr>
      </w:pPr>
    </w:p>
    <w:p w14:paraId="58D9D44E" w14:textId="77777777" w:rsidR="00000BC1" w:rsidRDefault="00000BC1" w:rsidP="00000BC1">
      <w:pPr>
        <w:rPr>
          <w:rFonts w:ascii="Arial" w:hAnsi="Arial" w:cs="Arial"/>
          <w:b/>
          <w:bCs/>
          <w:sz w:val="16"/>
          <w:szCs w:val="16"/>
        </w:rPr>
      </w:pPr>
    </w:p>
    <w:p w14:paraId="5816653E" w14:textId="77777777" w:rsidR="00000BC1" w:rsidRDefault="00000BC1" w:rsidP="00000BC1">
      <w:pPr>
        <w:rPr>
          <w:rFonts w:ascii="Arial" w:hAnsi="Arial" w:cs="Arial"/>
          <w:b/>
          <w:bCs/>
          <w:sz w:val="16"/>
          <w:szCs w:val="16"/>
        </w:rPr>
      </w:pPr>
    </w:p>
    <w:p w14:paraId="4A9E0BB2" w14:textId="77777777" w:rsidR="00000BC1" w:rsidRDefault="00000BC1" w:rsidP="00000BC1">
      <w:pPr>
        <w:rPr>
          <w:rFonts w:ascii="Arial" w:hAnsi="Arial" w:cs="Arial"/>
          <w:b/>
          <w:bCs/>
          <w:sz w:val="16"/>
          <w:szCs w:val="16"/>
        </w:rPr>
      </w:pPr>
    </w:p>
    <w:p w14:paraId="5013F1D8" w14:textId="77777777" w:rsidR="00000BC1" w:rsidRDefault="00000BC1" w:rsidP="00000BC1">
      <w:pPr>
        <w:rPr>
          <w:rFonts w:ascii="Arial" w:hAnsi="Arial" w:cs="Arial"/>
          <w:b/>
          <w:bCs/>
          <w:sz w:val="16"/>
          <w:szCs w:val="16"/>
        </w:rPr>
      </w:pPr>
    </w:p>
    <w:p w14:paraId="19EC680B" w14:textId="77777777" w:rsidR="00000BC1" w:rsidRDefault="00000BC1" w:rsidP="00000BC1">
      <w:pPr>
        <w:rPr>
          <w:rFonts w:ascii="Arial" w:hAnsi="Arial" w:cs="Arial"/>
          <w:b/>
          <w:bCs/>
          <w:sz w:val="16"/>
          <w:szCs w:val="16"/>
        </w:rPr>
      </w:pPr>
    </w:p>
    <w:p w14:paraId="0F5AC951" w14:textId="77777777" w:rsidR="00000BC1" w:rsidRDefault="00000BC1" w:rsidP="00000BC1">
      <w:pPr>
        <w:rPr>
          <w:rFonts w:ascii="Arial" w:hAnsi="Arial" w:cs="Arial"/>
          <w:b/>
          <w:bCs/>
          <w:sz w:val="16"/>
          <w:szCs w:val="16"/>
        </w:rPr>
      </w:pPr>
    </w:p>
    <w:p w14:paraId="308EA89B" w14:textId="77777777" w:rsidR="00000BC1" w:rsidRDefault="00000BC1" w:rsidP="00000BC1">
      <w:pPr>
        <w:rPr>
          <w:rFonts w:ascii="Arial" w:hAnsi="Arial" w:cs="Arial"/>
          <w:b/>
          <w:bCs/>
          <w:sz w:val="16"/>
          <w:szCs w:val="16"/>
        </w:rPr>
      </w:pPr>
    </w:p>
    <w:p w14:paraId="1A9D4196" w14:textId="77777777" w:rsidR="00000BC1" w:rsidRDefault="00000BC1" w:rsidP="00000BC1">
      <w:pPr>
        <w:rPr>
          <w:rFonts w:ascii="Arial" w:hAnsi="Arial" w:cs="Arial"/>
          <w:b/>
          <w:bCs/>
          <w:sz w:val="16"/>
          <w:szCs w:val="16"/>
        </w:rPr>
      </w:pPr>
    </w:p>
    <w:p w14:paraId="2D4A5BB3" w14:textId="77777777" w:rsidR="00000BC1" w:rsidRDefault="00000BC1" w:rsidP="00000BC1">
      <w:pPr>
        <w:rPr>
          <w:rFonts w:ascii="Arial" w:hAnsi="Arial" w:cs="Arial"/>
          <w:b/>
          <w:bCs/>
          <w:sz w:val="16"/>
          <w:szCs w:val="16"/>
        </w:rPr>
      </w:pPr>
    </w:p>
    <w:p w14:paraId="317CF5B0" w14:textId="77777777" w:rsidR="00000BC1" w:rsidRDefault="00000BC1" w:rsidP="00000BC1">
      <w:pPr>
        <w:rPr>
          <w:rFonts w:ascii="Arial" w:hAnsi="Arial" w:cs="Arial"/>
          <w:b/>
          <w:bCs/>
          <w:sz w:val="16"/>
          <w:szCs w:val="16"/>
        </w:rPr>
      </w:pPr>
    </w:p>
    <w:p w14:paraId="32CF2B1A" w14:textId="77777777" w:rsidR="00000BC1" w:rsidRDefault="00000BC1" w:rsidP="00000BC1">
      <w:pPr>
        <w:rPr>
          <w:rFonts w:ascii="Arial" w:hAnsi="Arial" w:cs="Arial"/>
          <w:b/>
          <w:bCs/>
          <w:sz w:val="16"/>
          <w:szCs w:val="16"/>
        </w:rPr>
      </w:pPr>
    </w:p>
    <w:p w14:paraId="58BB2A85" w14:textId="77777777" w:rsidR="00000BC1" w:rsidRDefault="00000BC1" w:rsidP="00000BC1">
      <w:pPr>
        <w:rPr>
          <w:rFonts w:ascii="Arial" w:hAnsi="Arial" w:cs="Arial"/>
          <w:b/>
          <w:bCs/>
          <w:sz w:val="16"/>
          <w:szCs w:val="16"/>
        </w:rPr>
      </w:pPr>
    </w:p>
    <w:p w14:paraId="022E7761" w14:textId="77777777" w:rsidR="00000BC1" w:rsidRDefault="00000BC1" w:rsidP="00000BC1">
      <w:pPr>
        <w:rPr>
          <w:rFonts w:ascii="Arial" w:hAnsi="Arial" w:cs="Arial"/>
          <w:b/>
          <w:bCs/>
          <w:sz w:val="16"/>
          <w:szCs w:val="16"/>
        </w:rPr>
      </w:pPr>
    </w:p>
    <w:p w14:paraId="4DEF2646" w14:textId="77777777" w:rsidR="00000BC1" w:rsidRDefault="00000BC1" w:rsidP="00000BC1">
      <w:pPr>
        <w:rPr>
          <w:rFonts w:ascii="Arial" w:hAnsi="Arial" w:cs="Arial"/>
          <w:b/>
          <w:bCs/>
          <w:sz w:val="16"/>
          <w:szCs w:val="16"/>
        </w:rPr>
      </w:pPr>
    </w:p>
    <w:p w14:paraId="3BCE70D7" w14:textId="4BA682A7" w:rsidR="00000BC1" w:rsidRDefault="00000BC1" w:rsidP="00000BC1">
      <w:pPr>
        <w:rPr>
          <w:rFonts w:ascii="Arial" w:hAnsi="Arial" w:cs="Arial"/>
          <w:b/>
          <w:bCs/>
          <w:sz w:val="16"/>
          <w:szCs w:val="16"/>
        </w:rPr>
      </w:pPr>
      <w:r>
        <w:rPr>
          <w:rFonts w:ascii="Arial" w:hAnsi="Arial" w:cs="Arial"/>
          <w:b/>
          <w:bCs/>
          <w:sz w:val="16"/>
          <w:szCs w:val="16"/>
        </w:rPr>
        <w:lastRenderedPageBreak/>
        <w:t>GRAD LABIN</w:t>
      </w:r>
    </w:p>
    <w:p w14:paraId="79CBCCBB" w14:textId="77777777" w:rsidR="00000BC1" w:rsidRDefault="00000BC1" w:rsidP="00000BC1">
      <w:pPr>
        <w:rPr>
          <w:rFonts w:ascii="Arial" w:hAnsi="Arial" w:cs="Arial"/>
          <w:b/>
          <w:bCs/>
          <w:sz w:val="16"/>
          <w:szCs w:val="16"/>
        </w:rPr>
      </w:pPr>
      <w:r>
        <w:rPr>
          <w:rFonts w:ascii="Arial" w:hAnsi="Arial" w:cs="Arial"/>
          <w:b/>
          <w:bCs/>
          <w:sz w:val="16"/>
          <w:szCs w:val="16"/>
        </w:rPr>
        <w:t>TITOV TRG 11</w:t>
      </w:r>
    </w:p>
    <w:p w14:paraId="1A7A1FF7" w14:textId="77777777" w:rsidR="00000BC1" w:rsidRDefault="00000BC1" w:rsidP="00000BC1">
      <w:pPr>
        <w:rPr>
          <w:rFonts w:ascii="Arial" w:hAnsi="Arial" w:cs="Arial"/>
          <w:b/>
          <w:bCs/>
          <w:sz w:val="16"/>
          <w:szCs w:val="16"/>
        </w:rPr>
      </w:pPr>
      <w:r>
        <w:rPr>
          <w:rFonts w:ascii="Arial" w:hAnsi="Arial" w:cs="Arial"/>
          <w:b/>
          <w:bCs/>
          <w:sz w:val="16"/>
          <w:szCs w:val="16"/>
        </w:rPr>
        <w:t>LABIN 52220</w:t>
      </w:r>
    </w:p>
    <w:p w14:paraId="5A290E49" w14:textId="77777777" w:rsidR="00000BC1" w:rsidRDefault="00000BC1" w:rsidP="00000BC1">
      <w:pPr>
        <w:rPr>
          <w:rFonts w:ascii="Arial" w:hAnsi="Arial" w:cs="Arial"/>
          <w:b/>
          <w:bCs/>
          <w:sz w:val="16"/>
          <w:szCs w:val="16"/>
        </w:rPr>
      </w:pPr>
      <w:r>
        <w:rPr>
          <w:rFonts w:ascii="Arial" w:hAnsi="Arial" w:cs="Arial"/>
          <w:b/>
          <w:bCs/>
          <w:sz w:val="16"/>
          <w:szCs w:val="16"/>
        </w:rPr>
        <w:t>OIB: 19041331726</w:t>
      </w:r>
    </w:p>
    <w:p w14:paraId="392045F7" w14:textId="77777777" w:rsidR="00000BC1" w:rsidRDefault="00000BC1" w:rsidP="008E4A37">
      <w:pPr>
        <w:pStyle w:val="Odlomakpopisa"/>
        <w:ind w:left="1080"/>
        <w:jc w:val="center"/>
        <w:rPr>
          <w:rFonts w:ascii="Arial" w:hAnsi="Arial" w:cs="Arial"/>
          <w:b/>
          <w:bCs/>
        </w:rPr>
      </w:pPr>
    </w:p>
    <w:p w14:paraId="7A2E2A15" w14:textId="77777777" w:rsidR="00000BC1" w:rsidRDefault="00000BC1" w:rsidP="00000BC1">
      <w:pPr>
        <w:jc w:val="center"/>
        <w:rPr>
          <w:rFonts w:ascii="Arial" w:hAnsi="Arial" w:cs="Arial"/>
          <w:b/>
          <w:bCs/>
          <w:sz w:val="22"/>
        </w:rPr>
      </w:pPr>
      <w:r w:rsidRPr="008E4A37">
        <w:rPr>
          <w:rFonts w:ascii="Arial" w:hAnsi="Arial" w:cs="Arial"/>
          <w:b/>
          <w:bCs/>
          <w:sz w:val="22"/>
        </w:rPr>
        <w:t>1.1.3. RASHODI PREMA FUNKCIJSKOJ KLASIFIKACIJI</w:t>
      </w:r>
    </w:p>
    <w:p w14:paraId="336BB2C2" w14:textId="77777777" w:rsidR="00D10CF9" w:rsidRDefault="00D10CF9" w:rsidP="00000BC1">
      <w:pPr>
        <w:jc w:val="center"/>
        <w:rPr>
          <w:rFonts w:ascii="Arial" w:hAnsi="Arial" w:cs="Arial"/>
          <w:b/>
          <w:bCs/>
          <w:sz w:val="22"/>
        </w:rPr>
      </w:pPr>
    </w:p>
    <w:p w14:paraId="198C8385" w14:textId="77777777" w:rsidR="00D10CF9" w:rsidRPr="008E4A37" w:rsidRDefault="00D10CF9" w:rsidP="00000BC1">
      <w:pPr>
        <w:jc w:val="center"/>
        <w:rPr>
          <w:rFonts w:ascii="Arial" w:hAnsi="Arial" w:cs="Arial"/>
          <w:b/>
          <w:bCs/>
          <w:sz w:val="22"/>
        </w:rPr>
      </w:pPr>
    </w:p>
    <w:p w14:paraId="1AFAF60A" w14:textId="07361B5F" w:rsidR="00000BC1" w:rsidRPr="00D10CF9" w:rsidRDefault="00D10CF9" w:rsidP="00D10CF9">
      <w:pPr>
        <w:ind w:left="12744"/>
        <w:jc w:val="center"/>
        <w:rPr>
          <w:rFonts w:ascii="Arial" w:hAnsi="Arial" w:cs="Arial"/>
          <w:b/>
          <w:bCs/>
          <w:sz w:val="20"/>
          <w:szCs w:val="20"/>
        </w:rPr>
      </w:pPr>
      <w:r w:rsidRPr="00D10CF9">
        <w:rPr>
          <w:rFonts w:ascii="Arial" w:hAnsi="Arial" w:cs="Arial"/>
          <w:b/>
          <w:bCs/>
          <w:sz w:val="20"/>
          <w:szCs w:val="20"/>
        </w:rPr>
        <w:t>U EUR</w:t>
      </w:r>
    </w:p>
    <w:tbl>
      <w:tblPr>
        <w:tblW w:w="14327" w:type="dxa"/>
        <w:tblLook w:val="04A0" w:firstRow="1" w:lastRow="0" w:firstColumn="1" w:lastColumn="0" w:noHBand="0" w:noVBand="1"/>
      </w:tblPr>
      <w:tblGrid>
        <w:gridCol w:w="6232"/>
        <w:gridCol w:w="2410"/>
        <w:gridCol w:w="2268"/>
        <w:gridCol w:w="1350"/>
        <w:gridCol w:w="2067"/>
      </w:tblGrid>
      <w:tr w:rsidR="00F70F6F" w:rsidRPr="00F70F6F" w14:paraId="34ADC8CC" w14:textId="77777777" w:rsidTr="00F70F6F">
        <w:trPr>
          <w:trHeight w:val="264"/>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13D16" w14:textId="77777777" w:rsidR="00F70F6F" w:rsidRPr="00F70F6F" w:rsidRDefault="00F70F6F" w:rsidP="00D10CF9">
            <w:pPr>
              <w:rPr>
                <w:rFonts w:ascii="Arial" w:hAnsi="Arial" w:cs="Arial"/>
                <w:b/>
                <w:bCs/>
                <w:sz w:val="20"/>
                <w:szCs w:val="20"/>
              </w:rPr>
            </w:pPr>
            <w:r w:rsidRPr="00F70F6F">
              <w:rPr>
                <w:rFonts w:ascii="Arial" w:hAnsi="Arial" w:cs="Arial"/>
                <w:b/>
                <w:bCs/>
                <w:sz w:val="20"/>
                <w:szCs w:val="20"/>
              </w:rPr>
              <w:t>FUNKCIJSKA KLASIFIKACIJA</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AF12CAA" w14:textId="77777777" w:rsidR="00F70F6F" w:rsidRPr="00F70F6F" w:rsidRDefault="00F70F6F" w:rsidP="00D10CF9">
            <w:pPr>
              <w:rPr>
                <w:rFonts w:ascii="Arial" w:hAnsi="Arial" w:cs="Arial"/>
                <w:b/>
                <w:bCs/>
                <w:sz w:val="20"/>
                <w:szCs w:val="20"/>
              </w:rPr>
            </w:pPr>
            <w:r w:rsidRPr="00F70F6F">
              <w:rPr>
                <w:rFonts w:ascii="Arial" w:hAnsi="Arial" w:cs="Arial"/>
                <w:b/>
                <w:bCs/>
                <w:sz w:val="20"/>
                <w:szCs w:val="20"/>
              </w:rPr>
              <w:t>PLAN ZA 2025.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14B4E07" w14:textId="77777777" w:rsidR="00F70F6F" w:rsidRPr="00F70F6F" w:rsidRDefault="00F70F6F" w:rsidP="00D10CF9">
            <w:pPr>
              <w:rPr>
                <w:rFonts w:ascii="Arial" w:hAnsi="Arial" w:cs="Arial"/>
                <w:b/>
                <w:bCs/>
                <w:sz w:val="20"/>
                <w:szCs w:val="20"/>
              </w:rPr>
            </w:pPr>
            <w:r w:rsidRPr="00F70F6F">
              <w:rPr>
                <w:rFonts w:ascii="Arial" w:hAnsi="Arial" w:cs="Arial"/>
                <w:b/>
                <w:bCs/>
                <w:sz w:val="20"/>
                <w:szCs w:val="20"/>
              </w:rPr>
              <w:t>POVEĆANJE/ SMANJENJE</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40FD14F8" w14:textId="77777777" w:rsidR="00F70F6F" w:rsidRPr="00F70F6F" w:rsidRDefault="00F70F6F" w:rsidP="00D10CF9">
            <w:pPr>
              <w:rPr>
                <w:rFonts w:ascii="Arial" w:hAnsi="Arial" w:cs="Arial"/>
                <w:b/>
                <w:bCs/>
                <w:sz w:val="20"/>
                <w:szCs w:val="20"/>
              </w:rPr>
            </w:pPr>
            <w:r w:rsidRPr="00F70F6F">
              <w:rPr>
                <w:rFonts w:ascii="Arial" w:hAnsi="Arial" w:cs="Arial"/>
                <w:b/>
                <w:bCs/>
                <w:sz w:val="20"/>
                <w:szCs w:val="20"/>
              </w:rPr>
              <w:t>PROMJENA</w:t>
            </w:r>
          </w:p>
        </w:tc>
        <w:tc>
          <w:tcPr>
            <w:tcW w:w="2067" w:type="dxa"/>
            <w:tcBorders>
              <w:top w:val="single" w:sz="4" w:space="0" w:color="auto"/>
              <w:left w:val="nil"/>
              <w:bottom w:val="single" w:sz="4" w:space="0" w:color="auto"/>
              <w:right w:val="single" w:sz="4" w:space="0" w:color="auto"/>
            </w:tcBorders>
            <w:shd w:val="clear" w:color="auto" w:fill="auto"/>
            <w:noWrap/>
            <w:vAlign w:val="bottom"/>
            <w:hideMark/>
          </w:tcPr>
          <w:p w14:paraId="481A514D" w14:textId="77777777" w:rsidR="00F70F6F" w:rsidRPr="00F70F6F" w:rsidRDefault="00F70F6F" w:rsidP="00D10CF9">
            <w:pPr>
              <w:rPr>
                <w:rFonts w:ascii="Arial" w:hAnsi="Arial" w:cs="Arial"/>
                <w:b/>
                <w:bCs/>
                <w:sz w:val="20"/>
                <w:szCs w:val="20"/>
              </w:rPr>
            </w:pPr>
            <w:r w:rsidRPr="00F70F6F">
              <w:rPr>
                <w:rFonts w:ascii="Arial" w:hAnsi="Arial" w:cs="Arial"/>
                <w:b/>
                <w:bCs/>
                <w:sz w:val="20"/>
                <w:szCs w:val="20"/>
              </w:rPr>
              <w:t>NOVI PLAN ZA 2025.</w:t>
            </w:r>
          </w:p>
        </w:tc>
      </w:tr>
      <w:tr w:rsidR="00F70F6F" w:rsidRPr="00F70F6F" w14:paraId="54D91C08" w14:textId="77777777" w:rsidTr="00F70F6F">
        <w:trPr>
          <w:trHeight w:val="264"/>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9FCFB13" w14:textId="77777777" w:rsidR="00F70F6F" w:rsidRPr="00F70F6F" w:rsidRDefault="00F70F6F" w:rsidP="00F70F6F">
            <w:pPr>
              <w:rPr>
                <w:rFonts w:ascii="Arial" w:hAnsi="Arial" w:cs="Arial"/>
                <w:b/>
                <w:bCs/>
                <w:sz w:val="20"/>
                <w:szCs w:val="20"/>
              </w:rPr>
            </w:pPr>
            <w:r w:rsidRPr="00F70F6F">
              <w:rPr>
                <w:rFonts w:ascii="Arial" w:hAnsi="Arial" w:cs="Arial"/>
                <w:b/>
                <w:bCs/>
                <w:sz w:val="20"/>
                <w:szCs w:val="20"/>
              </w:rPr>
              <w:t xml:space="preserve">  SVEUKUPNO RASHODI / IZDACI</w:t>
            </w:r>
          </w:p>
        </w:tc>
        <w:tc>
          <w:tcPr>
            <w:tcW w:w="2410" w:type="dxa"/>
            <w:tcBorders>
              <w:top w:val="nil"/>
              <w:left w:val="nil"/>
              <w:bottom w:val="single" w:sz="4" w:space="0" w:color="auto"/>
              <w:right w:val="single" w:sz="4" w:space="0" w:color="auto"/>
            </w:tcBorders>
            <w:shd w:val="clear" w:color="auto" w:fill="auto"/>
            <w:noWrap/>
            <w:vAlign w:val="bottom"/>
            <w:hideMark/>
          </w:tcPr>
          <w:p w14:paraId="4938CDE3" w14:textId="77777777" w:rsidR="00F70F6F" w:rsidRPr="00F70F6F" w:rsidRDefault="00F70F6F" w:rsidP="00F70F6F">
            <w:pPr>
              <w:jc w:val="right"/>
              <w:rPr>
                <w:rFonts w:ascii="Arial" w:hAnsi="Arial" w:cs="Arial"/>
                <w:b/>
                <w:bCs/>
                <w:sz w:val="20"/>
                <w:szCs w:val="20"/>
              </w:rPr>
            </w:pPr>
            <w:r w:rsidRPr="00F70F6F">
              <w:rPr>
                <w:rFonts w:ascii="Arial" w:hAnsi="Arial" w:cs="Arial"/>
                <w:b/>
                <w:bCs/>
                <w:sz w:val="20"/>
                <w:szCs w:val="20"/>
              </w:rPr>
              <w:t>26.786.560,00</w:t>
            </w:r>
          </w:p>
        </w:tc>
        <w:tc>
          <w:tcPr>
            <w:tcW w:w="2268" w:type="dxa"/>
            <w:tcBorders>
              <w:top w:val="nil"/>
              <w:left w:val="nil"/>
              <w:bottom w:val="single" w:sz="4" w:space="0" w:color="auto"/>
              <w:right w:val="single" w:sz="4" w:space="0" w:color="auto"/>
            </w:tcBorders>
            <w:shd w:val="clear" w:color="auto" w:fill="auto"/>
            <w:noWrap/>
            <w:vAlign w:val="bottom"/>
            <w:hideMark/>
          </w:tcPr>
          <w:p w14:paraId="233F49F8" w14:textId="77777777" w:rsidR="00F70F6F" w:rsidRPr="00F70F6F" w:rsidRDefault="00F70F6F" w:rsidP="00F70F6F">
            <w:pPr>
              <w:jc w:val="right"/>
              <w:rPr>
                <w:rFonts w:ascii="Arial" w:hAnsi="Arial" w:cs="Arial"/>
                <w:b/>
                <w:bCs/>
                <w:sz w:val="20"/>
                <w:szCs w:val="20"/>
              </w:rPr>
            </w:pPr>
            <w:r w:rsidRPr="00F70F6F">
              <w:rPr>
                <w:rFonts w:ascii="Arial" w:hAnsi="Arial" w:cs="Arial"/>
                <w:b/>
                <w:bCs/>
                <w:sz w:val="20"/>
                <w:szCs w:val="20"/>
              </w:rPr>
              <w:t>933.295,00</w:t>
            </w:r>
          </w:p>
        </w:tc>
        <w:tc>
          <w:tcPr>
            <w:tcW w:w="1350" w:type="dxa"/>
            <w:tcBorders>
              <w:top w:val="nil"/>
              <w:left w:val="nil"/>
              <w:bottom w:val="single" w:sz="4" w:space="0" w:color="auto"/>
              <w:right w:val="single" w:sz="4" w:space="0" w:color="auto"/>
            </w:tcBorders>
            <w:shd w:val="clear" w:color="auto" w:fill="auto"/>
            <w:noWrap/>
            <w:vAlign w:val="bottom"/>
            <w:hideMark/>
          </w:tcPr>
          <w:p w14:paraId="4E057407" w14:textId="77777777" w:rsidR="00F70F6F" w:rsidRPr="00F70F6F" w:rsidRDefault="00F70F6F" w:rsidP="00F70F6F">
            <w:pPr>
              <w:jc w:val="right"/>
              <w:rPr>
                <w:rFonts w:ascii="Arial" w:hAnsi="Arial" w:cs="Arial"/>
                <w:b/>
                <w:bCs/>
                <w:sz w:val="20"/>
                <w:szCs w:val="20"/>
              </w:rPr>
            </w:pPr>
            <w:r w:rsidRPr="00F70F6F">
              <w:rPr>
                <w:rFonts w:ascii="Arial" w:hAnsi="Arial" w:cs="Arial"/>
                <w:b/>
                <w:bCs/>
                <w:sz w:val="20"/>
                <w:szCs w:val="20"/>
              </w:rPr>
              <w:t>3,48</w:t>
            </w:r>
          </w:p>
        </w:tc>
        <w:tc>
          <w:tcPr>
            <w:tcW w:w="2067" w:type="dxa"/>
            <w:tcBorders>
              <w:top w:val="nil"/>
              <w:left w:val="nil"/>
              <w:bottom w:val="single" w:sz="4" w:space="0" w:color="auto"/>
              <w:right w:val="single" w:sz="4" w:space="0" w:color="auto"/>
            </w:tcBorders>
            <w:shd w:val="clear" w:color="auto" w:fill="auto"/>
            <w:noWrap/>
            <w:vAlign w:val="bottom"/>
            <w:hideMark/>
          </w:tcPr>
          <w:p w14:paraId="42410E94" w14:textId="77777777" w:rsidR="00F70F6F" w:rsidRPr="00F70F6F" w:rsidRDefault="00F70F6F" w:rsidP="00F70F6F">
            <w:pPr>
              <w:jc w:val="right"/>
              <w:rPr>
                <w:rFonts w:ascii="Arial" w:hAnsi="Arial" w:cs="Arial"/>
                <w:b/>
                <w:bCs/>
                <w:sz w:val="20"/>
                <w:szCs w:val="20"/>
              </w:rPr>
            </w:pPr>
            <w:r w:rsidRPr="00F70F6F">
              <w:rPr>
                <w:rFonts w:ascii="Arial" w:hAnsi="Arial" w:cs="Arial"/>
                <w:b/>
                <w:bCs/>
                <w:sz w:val="20"/>
                <w:szCs w:val="20"/>
              </w:rPr>
              <w:t>27.719.855,00</w:t>
            </w:r>
          </w:p>
        </w:tc>
      </w:tr>
      <w:tr w:rsidR="00F70F6F" w:rsidRPr="00F70F6F" w14:paraId="29E83025"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A6A6A6"/>
            <w:noWrap/>
            <w:vAlign w:val="bottom"/>
            <w:hideMark/>
          </w:tcPr>
          <w:p w14:paraId="281537B3" w14:textId="77777777" w:rsidR="00F70F6F" w:rsidRPr="00F70F6F" w:rsidRDefault="00F70F6F" w:rsidP="00F70F6F">
            <w:pPr>
              <w:rPr>
                <w:rFonts w:ascii="Arial" w:hAnsi="Arial" w:cs="Arial"/>
                <w:b/>
                <w:bCs/>
                <w:color w:val="000000"/>
                <w:sz w:val="20"/>
                <w:szCs w:val="20"/>
              </w:rPr>
            </w:pPr>
            <w:r w:rsidRPr="00F70F6F">
              <w:rPr>
                <w:rFonts w:ascii="Arial" w:hAnsi="Arial" w:cs="Arial"/>
                <w:b/>
                <w:bCs/>
                <w:color w:val="000000"/>
                <w:sz w:val="20"/>
                <w:szCs w:val="20"/>
              </w:rPr>
              <w:t>01 Opće javne usluge</w:t>
            </w:r>
          </w:p>
        </w:tc>
        <w:tc>
          <w:tcPr>
            <w:tcW w:w="2410" w:type="dxa"/>
            <w:tcBorders>
              <w:top w:val="nil"/>
              <w:left w:val="nil"/>
              <w:bottom w:val="single" w:sz="4" w:space="0" w:color="auto"/>
              <w:right w:val="single" w:sz="4" w:space="0" w:color="auto"/>
            </w:tcBorders>
            <w:shd w:val="clear" w:color="000000" w:fill="A6A6A6"/>
            <w:noWrap/>
            <w:vAlign w:val="bottom"/>
            <w:hideMark/>
          </w:tcPr>
          <w:p w14:paraId="51068ADE"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2.913.550,00</w:t>
            </w:r>
          </w:p>
        </w:tc>
        <w:tc>
          <w:tcPr>
            <w:tcW w:w="2268" w:type="dxa"/>
            <w:tcBorders>
              <w:top w:val="nil"/>
              <w:left w:val="nil"/>
              <w:bottom w:val="single" w:sz="4" w:space="0" w:color="auto"/>
              <w:right w:val="single" w:sz="4" w:space="0" w:color="auto"/>
            </w:tcBorders>
            <w:shd w:val="clear" w:color="000000" w:fill="A6A6A6"/>
            <w:noWrap/>
            <w:vAlign w:val="bottom"/>
            <w:hideMark/>
          </w:tcPr>
          <w:p w14:paraId="030A5360"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137.294,00</w:t>
            </w:r>
          </w:p>
        </w:tc>
        <w:tc>
          <w:tcPr>
            <w:tcW w:w="1350" w:type="dxa"/>
            <w:tcBorders>
              <w:top w:val="nil"/>
              <w:left w:val="nil"/>
              <w:bottom w:val="single" w:sz="4" w:space="0" w:color="auto"/>
              <w:right w:val="single" w:sz="4" w:space="0" w:color="auto"/>
            </w:tcBorders>
            <w:shd w:val="clear" w:color="000000" w:fill="A6A6A6"/>
            <w:noWrap/>
            <w:vAlign w:val="bottom"/>
            <w:hideMark/>
          </w:tcPr>
          <w:p w14:paraId="3E2D2C7E"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4,71</w:t>
            </w:r>
          </w:p>
        </w:tc>
        <w:tc>
          <w:tcPr>
            <w:tcW w:w="2067" w:type="dxa"/>
            <w:tcBorders>
              <w:top w:val="nil"/>
              <w:left w:val="nil"/>
              <w:bottom w:val="single" w:sz="4" w:space="0" w:color="auto"/>
              <w:right w:val="single" w:sz="4" w:space="0" w:color="auto"/>
            </w:tcBorders>
            <w:shd w:val="clear" w:color="000000" w:fill="A6A6A6"/>
            <w:noWrap/>
            <w:vAlign w:val="bottom"/>
            <w:hideMark/>
          </w:tcPr>
          <w:p w14:paraId="6610B477"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3.050.844,00</w:t>
            </w:r>
          </w:p>
        </w:tc>
      </w:tr>
      <w:tr w:rsidR="00F70F6F" w:rsidRPr="00F70F6F" w14:paraId="1EC8C0EF"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4B8BB908"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011 Izvršna  i zakonodavna tijela, financijski i fiskalni poslovi, vanjski poslovi</w:t>
            </w:r>
          </w:p>
        </w:tc>
        <w:tc>
          <w:tcPr>
            <w:tcW w:w="2410" w:type="dxa"/>
            <w:tcBorders>
              <w:top w:val="nil"/>
              <w:left w:val="nil"/>
              <w:bottom w:val="single" w:sz="4" w:space="0" w:color="auto"/>
              <w:right w:val="single" w:sz="4" w:space="0" w:color="auto"/>
            </w:tcBorders>
            <w:shd w:val="clear" w:color="000000" w:fill="FFFFFF"/>
            <w:noWrap/>
            <w:vAlign w:val="bottom"/>
            <w:hideMark/>
          </w:tcPr>
          <w:p w14:paraId="4A464D95"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2.074.400,00</w:t>
            </w:r>
          </w:p>
        </w:tc>
        <w:tc>
          <w:tcPr>
            <w:tcW w:w="2268" w:type="dxa"/>
            <w:tcBorders>
              <w:top w:val="nil"/>
              <w:left w:val="nil"/>
              <w:bottom w:val="single" w:sz="4" w:space="0" w:color="auto"/>
              <w:right w:val="single" w:sz="4" w:space="0" w:color="auto"/>
            </w:tcBorders>
            <w:shd w:val="clear" w:color="000000" w:fill="FFFFFF"/>
            <w:noWrap/>
            <w:vAlign w:val="bottom"/>
            <w:hideMark/>
          </w:tcPr>
          <w:p w14:paraId="061B39A1"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84.894,00</w:t>
            </w:r>
          </w:p>
        </w:tc>
        <w:tc>
          <w:tcPr>
            <w:tcW w:w="1350" w:type="dxa"/>
            <w:tcBorders>
              <w:top w:val="nil"/>
              <w:left w:val="nil"/>
              <w:bottom w:val="single" w:sz="4" w:space="0" w:color="auto"/>
              <w:right w:val="single" w:sz="4" w:space="0" w:color="auto"/>
            </w:tcBorders>
            <w:shd w:val="clear" w:color="000000" w:fill="FFFFFF"/>
            <w:noWrap/>
            <w:vAlign w:val="bottom"/>
            <w:hideMark/>
          </w:tcPr>
          <w:p w14:paraId="5D7E8990"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4,09</w:t>
            </w:r>
          </w:p>
        </w:tc>
        <w:tc>
          <w:tcPr>
            <w:tcW w:w="2067" w:type="dxa"/>
            <w:tcBorders>
              <w:top w:val="nil"/>
              <w:left w:val="nil"/>
              <w:bottom w:val="single" w:sz="4" w:space="0" w:color="auto"/>
              <w:right w:val="single" w:sz="4" w:space="0" w:color="auto"/>
            </w:tcBorders>
            <w:shd w:val="clear" w:color="000000" w:fill="FFFFFF"/>
            <w:noWrap/>
            <w:vAlign w:val="bottom"/>
            <w:hideMark/>
          </w:tcPr>
          <w:p w14:paraId="5A703C5E"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2.159.294,00</w:t>
            </w:r>
          </w:p>
        </w:tc>
      </w:tr>
      <w:tr w:rsidR="00F70F6F" w:rsidRPr="00F70F6F" w14:paraId="47F57E26"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69E620D"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013 Opće usluge</w:t>
            </w:r>
          </w:p>
        </w:tc>
        <w:tc>
          <w:tcPr>
            <w:tcW w:w="2410" w:type="dxa"/>
            <w:tcBorders>
              <w:top w:val="nil"/>
              <w:left w:val="nil"/>
              <w:bottom w:val="single" w:sz="4" w:space="0" w:color="auto"/>
              <w:right w:val="single" w:sz="4" w:space="0" w:color="auto"/>
            </w:tcBorders>
            <w:shd w:val="clear" w:color="000000" w:fill="FFFFFF"/>
            <w:noWrap/>
            <w:vAlign w:val="bottom"/>
            <w:hideMark/>
          </w:tcPr>
          <w:p w14:paraId="55243C4D"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824.150,00</w:t>
            </w:r>
          </w:p>
        </w:tc>
        <w:tc>
          <w:tcPr>
            <w:tcW w:w="2268" w:type="dxa"/>
            <w:tcBorders>
              <w:top w:val="nil"/>
              <w:left w:val="nil"/>
              <w:bottom w:val="single" w:sz="4" w:space="0" w:color="auto"/>
              <w:right w:val="single" w:sz="4" w:space="0" w:color="auto"/>
            </w:tcBorders>
            <w:shd w:val="clear" w:color="000000" w:fill="FFFFFF"/>
            <w:noWrap/>
            <w:vAlign w:val="bottom"/>
            <w:hideMark/>
          </w:tcPr>
          <w:p w14:paraId="6A2A3CEC"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56.400,00</w:t>
            </w:r>
          </w:p>
        </w:tc>
        <w:tc>
          <w:tcPr>
            <w:tcW w:w="1350" w:type="dxa"/>
            <w:tcBorders>
              <w:top w:val="nil"/>
              <w:left w:val="nil"/>
              <w:bottom w:val="single" w:sz="4" w:space="0" w:color="auto"/>
              <w:right w:val="single" w:sz="4" w:space="0" w:color="auto"/>
            </w:tcBorders>
            <w:shd w:val="clear" w:color="000000" w:fill="FFFFFF"/>
            <w:noWrap/>
            <w:vAlign w:val="bottom"/>
            <w:hideMark/>
          </w:tcPr>
          <w:p w14:paraId="7170199A"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6,84</w:t>
            </w:r>
          </w:p>
        </w:tc>
        <w:tc>
          <w:tcPr>
            <w:tcW w:w="2067" w:type="dxa"/>
            <w:tcBorders>
              <w:top w:val="nil"/>
              <w:left w:val="nil"/>
              <w:bottom w:val="single" w:sz="4" w:space="0" w:color="auto"/>
              <w:right w:val="single" w:sz="4" w:space="0" w:color="auto"/>
            </w:tcBorders>
            <w:shd w:val="clear" w:color="000000" w:fill="FFFFFF"/>
            <w:noWrap/>
            <w:vAlign w:val="bottom"/>
            <w:hideMark/>
          </w:tcPr>
          <w:p w14:paraId="74930A0D"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880.550,00</w:t>
            </w:r>
          </w:p>
        </w:tc>
      </w:tr>
      <w:tr w:rsidR="00F70F6F" w:rsidRPr="00F70F6F" w14:paraId="04FB811B"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2FF54129"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016 Opće javne usluge koje nisu drugdje svrstane</w:t>
            </w:r>
          </w:p>
        </w:tc>
        <w:tc>
          <w:tcPr>
            <w:tcW w:w="2410" w:type="dxa"/>
            <w:tcBorders>
              <w:top w:val="nil"/>
              <w:left w:val="nil"/>
              <w:bottom w:val="single" w:sz="4" w:space="0" w:color="auto"/>
              <w:right w:val="single" w:sz="4" w:space="0" w:color="auto"/>
            </w:tcBorders>
            <w:shd w:val="clear" w:color="000000" w:fill="FFFFFF"/>
            <w:noWrap/>
            <w:vAlign w:val="bottom"/>
            <w:hideMark/>
          </w:tcPr>
          <w:p w14:paraId="6ED19510"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15.000,00</w:t>
            </w:r>
          </w:p>
        </w:tc>
        <w:tc>
          <w:tcPr>
            <w:tcW w:w="2268" w:type="dxa"/>
            <w:tcBorders>
              <w:top w:val="nil"/>
              <w:left w:val="nil"/>
              <w:bottom w:val="single" w:sz="4" w:space="0" w:color="auto"/>
              <w:right w:val="single" w:sz="4" w:space="0" w:color="auto"/>
            </w:tcBorders>
            <w:shd w:val="clear" w:color="000000" w:fill="FFFFFF"/>
            <w:noWrap/>
            <w:vAlign w:val="bottom"/>
            <w:hideMark/>
          </w:tcPr>
          <w:p w14:paraId="7950787A"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-4.000,00</w:t>
            </w:r>
          </w:p>
        </w:tc>
        <w:tc>
          <w:tcPr>
            <w:tcW w:w="1350" w:type="dxa"/>
            <w:tcBorders>
              <w:top w:val="nil"/>
              <w:left w:val="nil"/>
              <w:bottom w:val="single" w:sz="4" w:space="0" w:color="auto"/>
              <w:right w:val="single" w:sz="4" w:space="0" w:color="auto"/>
            </w:tcBorders>
            <w:shd w:val="clear" w:color="000000" w:fill="FFFFFF"/>
            <w:noWrap/>
            <w:vAlign w:val="bottom"/>
            <w:hideMark/>
          </w:tcPr>
          <w:p w14:paraId="1F2ACF4B"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-26,67</w:t>
            </w:r>
          </w:p>
        </w:tc>
        <w:tc>
          <w:tcPr>
            <w:tcW w:w="2067" w:type="dxa"/>
            <w:tcBorders>
              <w:top w:val="nil"/>
              <w:left w:val="nil"/>
              <w:bottom w:val="single" w:sz="4" w:space="0" w:color="auto"/>
              <w:right w:val="single" w:sz="4" w:space="0" w:color="auto"/>
            </w:tcBorders>
            <w:shd w:val="clear" w:color="000000" w:fill="FFFFFF"/>
            <w:noWrap/>
            <w:vAlign w:val="bottom"/>
            <w:hideMark/>
          </w:tcPr>
          <w:p w14:paraId="485F242C"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11.000,00</w:t>
            </w:r>
          </w:p>
        </w:tc>
      </w:tr>
      <w:tr w:rsidR="00F70F6F" w:rsidRPr="00F70F6F" w14:paraId="65A2401E"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A6A6A6"/>
            <w:noWrap/>
            <w:vAlign w:val="bottom"/>
            <w:hideMark/>
          </w:tcPr>
          <w:p w14:paraId="3F94A979" w14:textId="77777777" w:rsidR="00F70F6F" w:rsidRPr="00F70F6F" w:rsidRDefault="00F70F6F" w:rsidP="00F70F6F">
            <w:pPr>
              <w:rPr>
                <w:rFonts w:ascii="Arial" w:hAnsi="Arial" w:cs="Arial"/>
                <w:b/>
                <w:bCs/>
                <w:color w:val="000000"/>
                <w:sz w:val="20"/>
                <w:szCs w:val="20"/>
              </w:rPr>
            </w:pPr>
            <w:r w:rsidRPr="00F70F6F">
              <w:rPr>
                <w:rFonts w:ascii="Arial" w:hAnsi="Arial" w:cs="Arial"/>
                <w:b/>
                <w:bCs/>
                <w:color w:val="000000"/>
                <w:sz w:val="20"/>
                <w:szCs w:val="20"/>
              </w:rPr>
              <w:t>03 Javni red i sigurnost</w:t>
            </w:r>
          </w:p>
        </w:tc>
        <w:tc>
          <w:tcPr>
            <w:tcW w:w="2410" w:type="dxa"/>
            <w:tcBorders>
              <w:top w:val="nil"/>
              <w:left w:val="nil"/>
              <w:bottom w:val="single" w:sz="4" w:space="0" w:color="auto"/>
              <w:right w:val="single" w:sz="4" w:space="0" w:color="auto"/>
            </w:tcBorders>
            <w:shd w:val="clear" w:color="000000" w:fill="A6A6A6"/>
            <w:noWrap/>
            <w:vAlign w:val="bottom"/>
            <w:hideMark/>
          </w:tcPr>
          <w:p w14:paraId="4536576E"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1.717.954,00</w:t>
            </w:r>
          </w:p>
        </w:tc>
        <w:tc>
          <w:tcPr>
            <w:tcW w:w="2268" w:type="dxa"/>
            <w:tcBorders>
              <w:top w:val="nil"/>
              <w:left w:val="nil"/>
              <w:bottom w:val="single" w:sz="4" w:space="0" w:color="auto"/>
              <w:right w:val="single" w:sz="4" w:space="0" w:color="auto"/>
            </w:tcBorders>
            <w:shd w:val="clear" w:color="000000" w:fill="A6A6A6"/>
            <w:noWrap/>
            <w:vAlign w:val="bottom"/>
            <w:hideMark/>
          </w:tcPr>
          <w:p w14:paraId="50C4F3F2"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48.968,00</w:t>
            </w:r>
          </w:p>
        </w:tc>
        <w:tc>
          <w:tcPr>
            <w:tcW w:w="1350" w:type="dxa"/>
            <w:tcBorders>
              <w:top w:val="nil"/>
              <w:left w:val="nil"/>
              <w:bottom w:val="single" w:sz="4" w:space="0" w:color="auto"/>
              <w:right w:val="single" w:sz="4" w:space="0" w:color="auto"/>
            </w:tcBorders>
            <w:shd w:val="clear" w:color="000000" w:fill="A6A6A6"/>
            <w:noWrap/>
            <w:vAlign w:val="bottom"/>
            <w:hideMark/>
          </w:tcPr>
          <w:p w14:paraId="2ECF74B7"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2,85</w:t>
            </w:r>
          </w:p>
        </w:tc>
        <w:tc>
          <w:tcPr>
            <w:tcW w:w="2067" w:type="dxa"/>
            <w:tcBorders>
              <w:top w:val="nil"/>
              <w:left w:val="nil"/>
              <w:bottom w:val="single" w:sz="4" w:space="0" w:color="auto"/>
              <w:right w:val="single" w:sz="4" w:space="0" w:color="auto"/>
            </w:tcBorders>
            <w:shd w:val="clear" w:color="000000" w:fill="A6A6A6"/>
            <w:noWrap/>
            <w:vAlign w:val="bottom"/>
            <w:hideMark/>
          </w:tcPr>
          <w:p w14:paraId="67BD563D"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1.766.922,00</w:t>
            </w:r>
          </w:p>
        </w:tc>
      </w:tr>
      <w:tr w:rsidR="00F70F6F" w:rsidRPr="00F70F6F" w14:paraId="06E02CBF"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C82B690"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032 Usluge protupožarne zaštite</w:t>
            </w:r>
          </w:p>
        </w:tc>
        <w:tc>
          <w:tcPr>
            <w:tcW w:w="2410" w:type="dxa"/>
            <w:tcBorders>
              <w:top w:val="nil"/>
              <w:left w:val="nil"/>
              <w:bottom w:val="single" w:sz="4" w:space="0" w:color="auto"/>
              <w:right w:val="single" w:sz="4" w:space="0" w:color="auto"/>
            </w:tcBorders>
            <w:shd w:val="clear" w:color="000000" w:fill="FFFFFF"/>
            <w:noWrap/>
            <w:vAlign w:val="bottom"/>
            <w:hideMark/>
          </w:tcPr>
          <w:p w14:paraId="5DA268DC"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1.672.454,00</w:t>
            </w:r>
          </w:p>
        </w:tc>
        <w:tc>
          <w:tcPr>
            <w:tcW w:w="2268" w:type="dxa"/>
            <w:tcBorders>
              <w:top w:val="nil"/>
              <w:left w:val="nil"/>
              <w:bottom w:val="single" w:sz="4" w:space="0" w:color="auto"/>
              <w:right w:val="single" w:sz="4" w:space="0" w:color="auto"/>
            </w:tcBorders>
            <w:shd w:val="clear" w:color="000000" w:fill="FFFFFF"/>
            <w:noWrap/>
            <w:vAlign w:val="bottom"/>
            <w:hideMark/>
          </w:tcPr>
          <w:p w14:paraId="3A9DA2C1"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40.168,00</w:t>
            </w:r>
          </w:p>
        </w:tc>
        <w:tc>
          <w:tcPr>
            <w:tcW w:w="1350" w:type="dxa"/>
            <w:tcBorders>
              <w:top w:val="nil"/>
              <w:left w:val="nil"/>
              <w:bottom w:val="single" w:sz="4" w:space="0" w:color="auto"/>
              <w:right w:val="single" w:sz="4" w:space="0" w:color="auto"/>
            </w:tcBorders>
            <w:shd w:val="clear" w:color="000000" w:fill="FFFFFF"/>
            <w:noWrap/>
            <w:vAlign w:val="bottom"/>
            <w:hideMark/>
          </w:tcPr>
          <w:p w14:paraId="4C798FFE"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2,40</w:t>
            </w:r>
          </w:p>
        </w:tc>
        <w:tc>
          <w:tcPr>
            <w:tcW w:w="2067" w:type="dxa"/>
            <w:tcBorders>
              <w:top w:val="nil"/>
              <w:left w:val="nil"/>
              <w:bottom w:val="single" w:sz="4" w:space="0" w:color="auto"/>
              <w:right w:val="single" w:sz="4" w:space="0" w:color="auto"/>
            </w:tcBorders>
            <w:shd w:val="clear" w:color="000000" w:fill="FFFFFF"/>
            <w:noWrap/>
            <w:vAlign w:val="bottom"/>
            <w:hideMark/>
          </w:tcPr>
          <w:p w14:paraId="6E95E0DB"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1.712.622,00</w:t>
            </w:r>
          </w:p>
        </w:tc>
      </w:tr>
      <w:tr w:rsidR="00F70F6F" w:rsidRPr="00F70F6F" w14:paraId="080709F2"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6121402D"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036 Rashodi za javni red i sigurnost koji nisu drugdje svrstani</w:t>
            </w:r>
          </w:p>
        </w:tc>
        <w:tc>
          <w:tcPr>
            <w:tcW w:w="2410" w:type="dxa"/>
            <w:tcBorders>
              <w:top w:val="nil"/>
              <w:left w:val="nil"/>
              <w:bottom w:val="single" w:sz="4" w:space="0" w:color="auto"/>
              <w:right w:val="single" w:sz="4" w:space="0" w:color="auto"/>
            </w:tcBorders>
            <w:shd w:val="clear" w:color="000000" w:fill="FFFFFF"/>
            <w:noWrap/>
            <w:vAlign w:val="bottom"/>
            <w:hideMark/>
          </w:tcPr>
          <w:p w14:paraId="53A7DF4E"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45.500,00</w:t>
            </w:r>
          </w:p>
        </w:tc>
        <w:tc>
          <w:tcPr>
            <w:tcW w:w="2268" w:type="dxa"/>
            <w:tcBorders>
              <w:top w:val="nil"/>
              <w:left w:val="nil"/>
              <w:bottom w:val="single" w:sz="4" w:space="0" w:color="auto"/>
              <w:right w:val="single" w:sz="4" w:space="0" w:color="auto"/>
            </w:tcBorders>
            <w:shd w:val="clear" w:color="000000" w:fill="FFFFFF"/>
            <w:noWrap/>
            <w:vAlign w:val="bottom"/>
            <w:hideMark/>
          </w:tcPr>
          <w:p w14:paraId="6A2E8ED2"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8.800,00</w:t>
            </w:r>
          </w:p>
        </w:tc>
        <w:tc>
          <w:tcPr>
            <w:tcW w:w="1350" w:type="dxa"/>
            <w:tcBorders>
              <w:top w:val="nil"/>
              <w:left w:val="nil"/>
              <w:bottom w:val="single" w:sz="4" w:space="0" w:color="auto"/>
              <w:right w:val="single" w:sz="4" w:space="0" w:color="auto"/>
            </w:tcBorders>
            <w:shd w:val="clear" w:color="000000" w:fill="FFFFFF"/>
            <w:noWrap/>
            <w:vAlign w:val="bottom"/>
            <w:hideMark/>
          </w:tcPr>
          <w:p w14:paraId="172A062D"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19,34</w:t>
            </w:r>
          </w:p>
        </w:tc>
        <w:tc>
          <w:tcPr>
            <w:tcW w:w="2067" w:type="dxa"/>
            <w:tcBorders>
              <w:top w:val="nil"/>
              <w:left w:val="nil"/>
              <w:bottom w:val="single" w:sz="4" w:space="0" w:color="auto"/>
              <w:right w:val="single" w:sz="4" w:space="0" w:color="auto"/>
            </w:tcBorders>
            <w:shd w:val="clear" w:color="000000" w:fill="FFFFFF"/>
            <w:noWrap/>
            <w:vAlign w:val="bottom"/>
            <w:hideMark/>
          </w:tcPr>
          <w:p w14:paraId="423BB7CD"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54.300,00</w:t>
            </w:r>
          </w:p>
        </w:tc>
      </w:tr>
      <w:tr w:rsidR="00F70F6F" w:rsidRPr="00F70F6F" w14:paraId="2584F800"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A6A6A6"/>
            <w:noWrap/>
            <w:vAlign w:val="bottom"/>
            <w:hideMark/>
          </w:tcPr>
          <w:p w14:paraId="11152D8F" w14:textId="77777777" w:rsidR="00F70F6F" w:rsidRPr="00F70F6F" w:rsidRDefault="00F70F6F" w:rsidP="00F70F6F">
            <w:pPr>
              <w:rPr>
                <w:rFonts w:ascii="Arial" w:hAnsi="Arial" w:cs="Arial"/>
                <w:b/>
                <w:bCs/>
                <w:color w:val="000000"/>
                <w:sz w:val="20"/>
                <w:szCs w:val="20"/>
              </w:rPr>
            </w:pPr>
            <w:r w:rsidRPr="00F70F6F">
              <w:rPr>
                <w:rFonts w:ascii="Arial" w:hAnsi="Arial" w:cs="Arial"/>
                <w:b/>
                <w:bCs/>
                <w:color w:val="000000"/>
                <w:sz w:val="20"/>
                <w:szCs w:val="20"/>
              </w:rPr>
              <w:t>04 Ekonomski poslovi</w:t>
            </w:r>
          </w:p>
        </w:tc>
        <w:tc>
          <w:tcPr>
            <w:tcW w:w="2410" w:type="dxa"/>
            <w:tcBorders>
              <w:top w:val="nil"/>
              <w:left w:val="nil"/>
              <w:bottom w:val="single" w:sz="4" w:space="0" w:color="auto"/>
              <w:right w:val="single" w:sz="4" w:space="0" w:color="auto"/>
            </w:tcBorders>
            <w:shd w:val="clear" w:color="000000" w:fill="A6A6A6"/>
            <w:noWrap/>
            <w:vAlign w:val="bottom"/>
            <w:hideMark/>
          </w:tcPr>
          <w:p w14:paraId="7481739B"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1.906.945,00</w:t>
            </w:r>
          </w:p>
        </w:tc>
        <w:tc>
          <w:tcPr>
            <w:tcW w:w="2268" w:type="dxa"/>
            <w:tcBorders>
              <w:top w:val="nil"/>
              <w:left w:val="nil"/>
              <w:bottom w:val="single" w:sz="4" w:space="0" w:color="auto"/>
              <w:right w:val="single" w:sz="4" w:space="0" w:color="auto"/>
            </w:tcBorders>
            <w:shd w:val="clear" w:color="000000" w:fill="A6A6A6"/>
            <w:noWrap/>
            <w:vAlign w:val="bottom"/>
            <w:hideMark/>
          </w:tcPr>
          <w:p w14:paraId="253CE50A"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-206.007,00</w:t>
            </w:r>
          </w:p>
        </w:tc>
        <w:tc>
          <w:tcPr>
            <w:tcW w:w="1350" w:type="dxa"/>
            <w:tcBorders>
              <w:top w:val="nil"/>
              <w:left w:val="nil"/>
              <w:bottom w:val="single" w:sz="4" w:space="0" w:color="auto"/>
              <w:right w:val="single" w:sz="4" w:space="0" w:color="auto"/>
            </w:tcBorders>
            <w:shd w:val="clear" w:color="000000" w:fill="A6A6A6"/>
            <w:noWrap/>
            <w:vAlign w:val="bottom"/>
            <w:hideMark/>
          </w:tcPr>
          <w:p w14:paraId="2C2B817B"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-10,80</w:t>
            </w:r>
          </w:p>
        </w:tc>
        <w:tc>
          <w:tcPr>
            <w:tcW w:w="2067" w:type="dxa"/>
            <w:tcBorders>
              <w:top w:val="nil"/>
              <w:left w:val="nil"/>
              <w:bottom w:val="single" w:sz="4" w:space="0" w:color="auto"/>
              <w:right w:val="single" w:sz="4" w:space="0" w:color="auto"/>
            </w:tcBorders>
            <w:shd w:val="clear" w:color="000000" w:fill="A6A6A6"/>
            <w:noWrap/>
            <w:vAlign w:val="bottom"/>
            <w:hideMark/>
          </w:tcPr>
          <w:p w14:paraId="1C132527"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1.700.938,00</w:t>
            </w:r>
          </w:p>
        </w:tc>
      </w:tr>
      <w:tr w:rsidR="00F70F6F" w:rsidRPr="00F70F6F" w14:paraId="435AF4E0"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792ADFA1"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045 Promet</w:t>
            </w:r>
          </w:p>
        </w:tc>
        <w:tc>
          <w:tcPr>
            <w:tcW w:w="2410" w:type="dxa"/>
            <w:tcBorders>
              <w:top w:val="nil"/>
              <w:left w:val="nil"/>
              <w:bottom w:val="single" w:sz="4" w:space="0" w:color="auto"/>
              <w:right w:val="single" w:sz="4" w:space="0" w:color="auto"/>
            </w:tcBorders>
            <w:shd w:val="clear" w:color="000000" w:fill="FFFFFF"/>
            <w:noWrap/>
            <w:vAlign w:val="bottom"/>
            <w:hideMark/>
          </w:tcPr>
          <w:p w14:paraId="7CD21633"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1.770.945,00</w:t>
            </w:r>
          </w:p>
        </w:tc>
        <w:tc>
          <w:tcPr>
            <w:tcW w:w="2268" w:type="dxa"/>
            <w:tcBorders>
              <w:top w:val="nil"/>
              <w:left w:val="nil"/>
              <w:bottom w:val="single" w:sz="4" w:space="0" w:color="auto"/>
              <w:right w:val="single" w:sz="4" w:space="0" w:color="auto"/>
            </w:tcBorders>
            <w:shd w:val="clear" w:color="000000" w:fill="FFFFFF"/>
            <w:noWrap/>
            <w:vAlign w:val="bottom"/>
            <w:hideMark/>
          </w:tcPr>
          <w:p w14:paraId="22AAA654"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-204.182,00</w:t>
            </w:r>
          </w:p>
        </w:tc>
        <w:tc>
          <w:tcPr>
            <w:tcW w:w="1350" w:type="dxa"/>
            <w:tcBorders>
              <w:top w:val="nil"/>
              <w:left w:val="nil"/>
              <w:bottom w:val="single" w:sz="4" w:space="0" w:color="auto"/>
              <w:right w:val="single" w:sz="4" w:space="0" w:color="auto"/>
            </w:tcBorders>
            <w:shd w:val="clear" w:color="000000" w:fill="FFFFFF"/>
            <w:noWrap/>
            <w:vAlign w:val="bottom"/>
            <w:hideMark/>
          </w:tcPr>
          <w:p w14:paraId="07BBAB7A"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-11,53</w:t>
            </w:r>
          </w:p>
        </w:tc>
        <w:tc>
          <w:tcPr>
            <w:tcW w:w="2067" w:type="dxa"/>
            <w:tcBorders>
              <w:top w:val="nil"/>
              <w:left w:val="nil"/>
              <w:bottom w:val="single" w:sz="4" w:space="0" w:color="auto"/>
              <w:right w:val="single" w:sz="4" w:space="0" w:color="auto"/>
            </w:tcBorders>
            <w:shd w:val="clear" w:color="000000" w:fill="FFFFFF"/>
            <w:noWrap/>
            <w:vAlign w:val="bottom"/>
            <w:hideMark/>
          </w:tcPr>
          <w:p w14:paraId="45AE1B52"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1.566.763,00</w:t>
            </w:r>
          </w:p>
        </w:tc>
      </w:tr>
      <w:tr w:rsidR="00F70F6F" w:rsidRPr="00F70F6F" w14:paraId="4777E262"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3711849"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049 Ekonomski poslovi koji nisu drugdje svrstani</w:t>
            </w:r>
          </w:p>
        </w:tc>
        <w:tc>
          <w:tcPr>
            <w:tcW w:w="2410" w:type="dxa"/>
            <w:tcBorders>
              <w:top w:val="nil"/>
              <w:left w:val="nil"/>
              <w:bottom w:val="single" w:sz="4" w:space="0" w:color="auto"/>
              <w:right w:val="single" w:sz="4" w:space="0" w:color="auto"/>
            </w:tcBorders>
            <w:shd w:val="clear" w:color="000000" w:fill="FFFFFF"/>
            <w:noWrap/>
            <w:vAlign w:val="bottom"/>
            <w:hideMark/>
          </w:tcPr>
          <w:p w14:paraId="74BD5300"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136.000,00</w:t>
            </w:r>
          </w:p>
        </w:tc>
        <w:tc>
          <w:tcPr>
            <w:tcW w:w="2268" w:type="dxa"/>
            <w:tcBorders>
              <w:top w:val="nil"/>
              <w:left w:val="nil"/>
              <w:bottom w:val="single" w:sz="4" w:space="0" w:color="auto"/>
              <w:right w:val="single" w:sz="4" w:space="0" w:color="auto"/>
            </w:tcBorders>
            <w:shd w:val="clear" w:color="000000" w:fill="FFFFFF"/>
            <w:noWrap/>
            <w:vAlign w:val="bottom"/>
            <w:hideMark/>
          </w:tcPr>
          <w:p w14:paraId="1E2626D4"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-1.825,00</w:t>
            </w:r>
          </w:p>
        </w:tc>
        <w:tc>
          <w:tcPr>
            <w:tcW w:w="1350" w:type="dxa"/>
            <w:tcBorders>
              <w:top w:val="nil"/>
              <w:left w:val="nil"/>
              <w:bottom w:val="single" w:sz="4" w:space="0" w:color="auto"/>
              <w:right w:val="single" w:sz="4" w:space="0" w:color="auto"/>
            </w:tcBorders>
            <w:shd w:val="clear" w:color="000000" w:fill="FFFFFF"/>
            <w:noWrap/>
            <w:vAlign w:val="bottom"/>
            <w:hideMark/>
          </w:tcPr>
          <w:p w14:paraId="38AC685C"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-1,34</w:t>
            </w:r>
          </w:p>
        </w:tc>
        <w:tc>
          <w:tcPr>
            <w:tcW w:w="2067" w:type="dxa"/>
            <w:tcBorders>
              <w:top w:val="nil"/>
              <w:left w:val="nil"/>
              <w:bottom w:val="single" w:sz="4" w:space="0" w:color="auto"/>
              <w:right w:val="single" w:sz="4" w:space="0" w:color="auto"/>
            </w:tcBorders>
            <w:shd w:val="clear" w:color="000000" w:fill="FFFFFF"/>
            <w:noWrap/>
            <w:vAlign w:val="bottom"/>
            <w:hideMark/>
          </w:tcPr>
          <w:p w14:paraId="492C66FD"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134.175,00</w:t>
            </w:r>
          </w:p>
        </w:tc>
      </w:tr>
      <w:tr w:rsidR="00F70F6F" w:rsidRPr="00F70F6F" w14:paraId="35B12649"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A6A6A6"/>
            <w:noWrap/>
            <w:vAlign w:val="bottom"/>
            <w:hideMark/>
          </w:tcPr>
          <w:p w14:paraId="5D34A7B6" w14:textId="77777777" w:rsidR="00F70F6F" w:rsidRPr="00F70F6F" w:rsidRDefault="00F70F6F" w:rsidP="00F70F6F">
            <w:pPr>
              <w:rPr>
                <w:rFonts w:ascii="Arial" w:hAnsi="Arial" w:cs="Arial"/>
                <w:b/>
                <w:bCs/>
                <w:color w:val="000000"/>
                <w:sz w:val="20"/>
                <w:szCs w:val="20"/>
              </w:rPr>
            </w:pPr>
            <w:r w:rsidRPr="00F70F6F">
              <w:rPr>
                <w:rFonts w:ascii="Arial" w:hAnsi="Arial" w:cs="Arial"/>
                <w:b/>
                <w:bCs/>
                <w:color w:val="000000"/>
                <w:sz w:val="20"/>
                <w:szCs w:val="20"/>
              </w:rPr>
              <w:t>05 Zaštita okoliša</w:t>
            </w:r>
          </w:p>
        </w:tc>
        <w:tc>
          <w:tcPr>
            <w:tcW w:w="2410" w:type="dxa"/>
            <w:tcBorders>
              <w:top w:val="nil"/>
              <w:left w:val="nil"/>
              <w:bottom w:val="single" w:sz="4" w:space="0" w:color="auto"/>
              <w:right w:val="single" w:sz="4" w:space="0" w:color="auto"/>
            </w:tcBorders>
            <w:shd w:val="clear" w:color="000000" w:fill="A6A6A6"/>
            <w:noWrap/>
            <w:vAlign w:val="bottom"/>
            <w:hideMark/>
          </w:tcPr>
          <w:p w14:paraId="4812D05A"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1.056.000,00</w:t>
            </w:r>
          </w:p>
        </w:tc>
        <w:tc>
          <w:tcPr>
            <w:tcW w:w="2268" w:type="dxa"/>
            <w:tcBorders>
              <w:top w:val="nil"/>
              <w:left w:val="nil"/>
              <w:bottom w:val="single" w:sz="4" w:space="0" w:color="auto"/>
              <w:right w:val="single" w:sz="4" w:space="0" w:color="auto"/>
            </w:tcBorders>
            <w:shd w:val="clear" w:color="000000" w:fill="A6A6A6"/>
            <w:noWrap/>
            <w:vAlign w:val="bottom"/>
            <w:hideMark/>
          </w:tcPr>
          <w:p w14:paraId="14CFE15E"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24.770,00</w:t>
            </w:r>
          </w:p>
        </w:tc>
        <w:tc>
          <w:tcPr>
            <w:tcW w:w="1350" w:type="dxa"/>
            <w:tcBorders>
              <w:top w:val="nil"/>
              <w:left w:val="nil"/>
              <w:bottom w:val="single" w:sz="4" w:space="0" w:color="auto"/>
              <w:right w:val="single" w:sz="4" w:space="0" w:color="auto"/>
            </w:tcBorders>
            <w:shd w:val="clear" w:color="000000" w:fill="A6A6A6"/>
            <w:noWrap/>
            <w:vAlign w:val="bottom"/>
            <w:hideMark/>
          </w:tcPr>
          <w:p w14:paraId="0605905E"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2,35</w:t>
            </w:r>
          </w:p>
        </w:tc>
        <w:tc>
          <w:tcPr>
            <w:tcW w:w="2067" w:type="dxa"/>
            <w:tcBorders>
              <w:top w:val="nil"/>
              <w:left w:val="nil"/>
              <w:bottom w:val="single" w:sz="4" w:space="0" w:color="auto"/>
              <w:right w:val="single" w:sz="4" w:space="0" w:color="auto"/>
            </w:tcBorders>
            <w:shd w:val="clear" w:color="000000" w:fill="A6A6A6"/>
            <w:noWrap/>
            <w:vAlign w:val="bottom"/>
            <w:hideMark/>
          </w:tcPr>
          <w:p w14:paraId="1E8028FD"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1.080.770,00</w:t>
            </w:r>
          </w:p>
        </w:tc>
      </w:tr>
      <w:tr w:rsidR="00F70F6F" w:rsidRPr="00F70F6F" w14:paraId="6DE820C4"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68169715"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051 Gospodarenje otpadom</w:t>
            </w:r>
          </w:p>
        </w:tc>
        <w:tc>
          <w:tcPr>
            <w:tcW w:w="2410" w:type="dxa"/>
            <w:tcBorders>
              <w:top w:val="nil"/>
              <w:left w:val="nil"/>
              <w:bottom w:val="single" w:sz="4" w:space="0" w:color="auto"/>
              <w:right w:val="single" w:sz="4" w:space="0" w:color="auto"/>
            </w:tcBorders>
            <w:shd w:val="clear" w:color="000000" w:fill="FFFFFF"/>
            <w:noWrap/>
            <w:vAlign w:val="bottom"/>
            <w:hideMark/>
          </w:tcPr>
          <w:p w14:paraId="45AEF54B"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1.000,00</w:t>
            </w:r>
          </w:p>
        </w:tc>
        <w:tc>
          <w:tcPr>
            <w:tcW w:w="2268" w:type="dxa"/>
            <w:tcBorders>
              <w:top w:val="nil"/>
              <w:left w:val="nil"/>
              <w:bottom w:val="single" w:sz="4" w:space="0" w:color="auto"/>
              <w:right w:val="single" w:sz="4" w:space="0" w:color="auto"/>
            </w:tcBorders>
            <w:shd w:val="clear" w:color="000000" w:fill="FFFFFF"/>
            <w:noWrap/>
            <w:vAlign w:val="bottom"/>
            <w:hideMark/>
          </w:tcPr>
          <w:p w14:paraId="640510F7"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3168C1F4"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0,00</w:t>
            </w:r>
          </w:p>
        </w:tc>
        <w:tc>
          <w:tcPr>
            <w:tcW w:w="2067" w:type="dxa"/>
            <w:tcBorders>
              <w:top w:val="nil"/>
              <w:left w:val="nil"/>
              <w:bottom w:val="single" w:sz="4" w:space="0" w:color="auto"/>
              <w:right w:val="single" w:sz="4" w:space="0" w:color="auto"/>
            </w:tcBorders>
            <w:shd w:val="clear" w:color="000000" w:fill="FFFFFF"/>
            <w:noWrap/>
            <w:vAlign w:val="bottom"/>
            <w:hideMark/>
          </w:tcPr>
          <w:p w14:paraId="1AE56889"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1.000,00</w:t>
            </w:r>
          </w:p>
        </w:tc>
      </w:tr>
      <w:tr w:rsidR="00F70F6F" w:rsidRPr="00F70F6F" w14:paraId="3F1B5633"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7D3DE69A"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052 Gospodarenje otpadnim vodama</w:t>
            </w:r>
          </w:p>
        </w:tc>
        <w:tc>
          <w:tcPr>
            <w:tcW w:w="2410" w:type="dxa"/>
            <w:tcBorders>
              <w:top w:val="nil"/>
              <w:left w:val="nil"/>
              <w:bottom w:val="single" w:sz="4" w:space="0" w:color="auto"/>
              <w:right w:val="single" w:sz="4" w:space="0" w:color="auto"/>
            </w:tcBorders>
            <w:shd w:val="clear" w:color="000000" w:fill="FFFFFF"/>
            <w:noWrap/>
            <w:vAlign w:val="bottom"/>
            <w:hideMark/>
          </w:tcPr>
          <w:p w14:paraId="4AC49542"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40.000,00</w:t>
            </w:r>
          </w:p>
        </w:tc>
        <w:tc>
          <w:tcPr>
            <w:tcW w:w="2268" w:type="dxa"/>
            <w:tcBorders>
              <w:top w:val="nil"/>
              <w:left w:val="nil"/>
              <w:bottom w:val="single" w:sz="4" w:space="0" w:color="auto"/>
              <w:right w:val="single" w:sz="4" w:space="0" w:color="auto"/>
            </w:tcBorders>
            <w:shd w:val="clear" w:color="000000" w:fill="FFFFFF"/>
            <w:noWrap/>
            <w:vAlign w:val="bottom"/>
            <w:hideMark/>
          </w:tcPr>
          <w:p w14:paraId="729EF3CB"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-15.000,00</w:t>
            </w:r>
          </w:p>
        </w:tc>
        <w:tc>
          <w:tcPr>
            <w:tcW w:w="1350" w:type="dxa"/>
            <w:tcBorders>
              <w:top w:val="nil"/>
              <w:left w:val="nil"/>
              <w:bottom w:val="single" w:sz="4" w:space="0" w:color="auto"/>
              <w:right w:val="single" w:sz="4" w:space="0" w:color="auto"/>
            </w:tcBorders>
            <w:shd w:val="clear" w:color="000000" w:fill="FFFFFF"/>
            <w:noWrap/>
            <w:vAlign w:val="bottom"/>
            <w:hideMark/>
          </w:tcPr>
          <w:p w14:paraId="56FBA563"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-37,50</w:t>
            </w:r>
          </w:p>
        </w:tc>
        <w:tc>
          <w:tcPr>
            <w:tcW w:w="2067" w:type="dxa"/>
            <w:tcBorders>
              <w:top w:val="nil"/>
              <w:left w:val="nil"/>
              <w:bottom w:val="single" w:sz="4" w:space="0" w:color="auto"/>
              <w:right w:val="single" w:sz="4" w:space="0" w:color="auto"/>
            </w:tcBorders>
            <w:shd w:val="clear" w:color="000000" w:fill="FFFFFF"/>
            <w:noWrap/>
            <w:vAlign w:val="bottom"/>
            <w:hideMark/>
          </w:tcPr>
          <w:p w14:paraId="0F049D83"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25.000,00</w:t>
            </w:r>
          </w:p>
        </w:tc>
      </w:tr>
      <w:tr w:rsidR="00F70F6F" w:rsidRPr="00F70F6F" w14:paraId="0144F76F"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6C6B16E"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056 Poslovi i usluge zaštite okoliša koji nisu drugdje svrstani</w:t>
            </w:r>
          </w:p>
        </w:tc>
        <w:tc>
          <w:tcPr>
            <w:tcW w:w="2410" w:type="dxa"/>
            <w:tcBorders>
              <w:top w:val="nil"/>
              <w:left w:val="nil"/>
              <w:bottom w:val="single" w:sz="4" w:space="0" w:color="auto"/>
              <w:right w:val="single" w:sz="4" w:space="0" w:color="auto"/>
            </w:tcBorders>
            <w:shd w:val="clear" w:color="000000" w:fill="FFFFFF"/>
            <w:noWrap/>
            <w:vAlign w:val="bottom"/>
            <w:hideMark/>
          </w:tcPr>
          <w:p w14:paraId="5F9186B3"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1.015.000,00</w:t>
            </w:r>
          </w:p>
        </w:tc>
        <w:tc>
          <w:tcPr>
            <w:tcW w:w="2268" w:type="dxa"/>
            <w:tcBorders>
              <w:top w:val="nil"/>
              <w:left w:val="nil"/>
              <w:bottom w:val="single" w:sz="4" w:space="0" w:color="auto"/>
              <w:right w:val="single" w:sz="4" w:space="0" w:color="auto"/>
            </w:tcBorders>
            <w:shd w:val="clear" w:color="000000" w:fill="FFFFFF"/>
            <w:noWrap/>
            <w:vAlign w:val="bottom"/>
            <w:hideMark/>
          </w:tcPr>
          <w:p w14:paraId="6CE974A4"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39.770,00</w:t>
            </w:r>
          </w:p>
        </w:tc>
        <w:tc>
          <w:tcPr>
            <w:tcW w:w="1350" w:type="dxa"/>
            <w:tcBorders>
              <w:top w:val="nil"/>
              <w:left w:val="nil"/>
              <w:bottom w:val="single" w:sz="4" w:space="0" w:color="auto"/>
              <w:right w:val="single" w:sz="4" w:space="0" w:color="auto"/>
            </w:tcBorders>
            <w:shd w:val="clear" w:color="000000" w:fill="FFFFFF"/>
            <w:noWrap/>
            <w:vAlign w:val="bottom"/>
            <w:hideMark/>
          </w:tcPr>
          <w:p w14:paraId="532C9BD5"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3,92</w:t>
            </w:r>
          </w:p>
        </w:tc>
        <w:tc>
          <w:tcPr>
            <w:tcW w:w="2067" w:type="dxa"/>
            <w:tcBorders>
              <w:top w:val="nil"/>
              <w:left w:val="nil"/>
              <w:bottom w:val="single" w:sz="4" w:space="0" w:color="auto"/>
              <w:right w:val="single" w:sz="4" w:space="0" w:color="auto"/>
            </w:tcBorders>
            <w:shd w:val="clear" w:color="000000" w:fill="FFFFFF"/>
            <w:noWrap/>
            <w:vAlign w:val="bottom"/>
            <w:hideMark/>
          </w:tcPr>
          <w:p w14:paraId="716315B7"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1.054.770,00</w:t>
            </w:r>
          </w:p>
        </w:tc>
      </w:tr>
      <w:tr w:rsidR="00F70F6F" w:rsidRPr="00F70F6F" w14:paraId="36A7E183"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A6A6A6"/>
            <w:noWrap/>
            <w:vAlign w:val="bottom"/>
            <w:hideMark/>
          </w:tcPr>
          <w:p w14:paraId="4DD50ACE" w14:textId="77777777" w:rsidR="00F70F6F" w:rsidRPr="00F70F6F" w:rsidRDefault="00F70F6F" w:rsidP="00F70F6F">
            <w:pPr>
              <w:rPr>
                <w:rFonts w:ascii="Arial" w:hAnsi="Arial" w:cs="Arial"/>
                <w:b/>
                <w:bCs/>
                <w:color w:val="000000"/>
                <w:sz w:val="20"/>
                <w:szCs w:val="20"/>
              </w:rPr>
            </w:pPr>
            <w:r w:rsidRPr="00F70F6F">
              <w:rPr>
                <w:rFonts w:ascii="Arial" w:hAnsi="Arial" w:cs="Arial"/>
                <w:b/>
                <w:bCs/>
                <w:color w:val="000000"/>
                <w:sz w:val="20"/>
                <w:szCs w:val="20"/>
              </w:rPr>
              <w:t>06 Usluge unapređenja stanovanja i zajednice</w:t>
            </w:r>
          </w:p>
        </w:tc>
        <w:tc>
          <w:tcPr>
            <w:tcW w:w="2410" w:type="dxa"/>
            <w:tcBorders>
              <w:top w:val="nil"/>
              <w:left w:val="nil"/>
              <w:bottom w:val="single" w:sz="4" w:space="0" w:color="auto"/>
              <w:right w:val="single" w:sz="4" w:space="0" w:color="auto"/>
            </w:tcBorders>
            <w:shd w:val="clear" w:color="000000" w:fill="A6A6A6"/>
            <w:noWrap/>
            <w:vAlign w:val="bottom"/>
            <w:hideMark/>
          </w:tcPr>
          <w:p w14:paraId="010C647F"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2.735.658,00</w:t>
            </w:r>
          </w:p>
        </w:tc>
        <w:tc>
          <w:tcPr>
            <w:tcW w:w="2268" w:type="dxa"/>
            <w:tcBorders>
              <w:top w:val="nil"/>
              <w:left w:val="nil"/>
              <w:bottom w:val="single" w:sz="4" w:space="0" w:color="auto"/>
              <w:right w:val="single" w:sz="4" w:space="0" w:color="auto"/>
            </w:tcBorders>
            <w:shd w:val="clear" w:color="000000" w:fill="A6A6A6"/>
            <w:noWrap/>
            <w:vAlign w:val="bottom"/>
            <w:hideMark/>
          </w:tcPr>
          <w:p w14:paraId="53780B0A"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-579.604,00</w:t>
            </w:r>
          </w:p>
        </w:tc>
        <w:tc>
          <w:tcPr>
            <w:tcW w:w="1350" w:type="dxa"/>
            <w:tcBorders>
              <w:top w:val="nil"/>
              <w:left w:val="nil"/>
              <w:bottom w:val="single" w:sz="4" w:space="0" w:color="auto"/>
              <w:right w:val="single" w:sz="4" w:space="0" w:color="auto"/>
            </w:tcBorders>
            <w:shd w:val="clear" w:color="000000" w:fill="A6A6A6"/>
            <w:noWrap/>
            <w:vAlign w:val="bottom"/>
            <w:hideMark/>
          </w:tcPr>
          <w:p w14:paraId="3F4C7399"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-21,19</w:t>
            </w:r>
          </w:p>
        </w:tc>
        <w:tc>
          <w:tcPr>
            <w:tcW w:w="2067" w:type="dxa"/>
            <w:tcBorders>
              <w:top w:val="nil"/>
              <w:left w:val="nil"/>
              <w:bottom w:val="single" w:sz="4" w:space="0" w:color="auto"/>
              <w:right w:val="single" w:sz="4" w:space="0" w:color="auto"/>
            </w:tcBorders>
            <w:shd w:val="clear" w:color="000000" w:fill="A6A6A6"/>
            <w:noWrap/>
            <w:vAlign w:val="bottom"/>
            <w:hideMark/>
          </w:tcPr>
          <w:p w14:paraId="72FB8846"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2.156.054,00</w:t>
            </w:r>
          </w:p>
        </w:tc>
      </w:tr>
      <w:tr w:rsidR="00F70F6F" w:rsidRPr="00F70F6F" w14:paraId="623898C8"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618330A2"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062 Razvoj zajednice</w:t>
            </w:r>
          </w:p>
        </w:tc>
        <w:tc>
          <w:tcPr>
            <w:tcW w:w="2410" w:type="dxa"/>
            <w:tcBorders>
              <w:top w:val="nil"/>
              <w:left w:val="nil"/>
              <w:bottom w:val="single" w:sz="4" w:space="0" w:color="auto"/>
              <w:right w:val="single" w:sz="4" w:space="0" w:color="auto"/>
            </w:tcBorders>
            <w:shd w:val="clear" w:color="000000" w:fill="FFFFFF"/>
            <w:noWrap/>
            <w:vAlign w:val="bottom"/>
            <w:hideMark/>
          </w:tcPr>
          <w:p w14:paraId="00EDB316"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2.187.258,00</w:t>
            </w:r>
          </w:p>
        </w:tc>
        <w:tc>
          <w:tcPr>
            <w:tcW w:w="2268" w:type="dxa"/>
            <w:tcBorders>
              <w:top w:val="nil"/>
              <w:left w:val="nil"/>
              <w:bottom w:val="single" w:sz="4" w:space="0" w:color="auto"/>
              <w:right w:val="single" w:sz="4" w:space="0" w:color="auto"/>
            </w:tcBorders>
            <w:shd w:val="clear" w:color="000000" w:fill="FFFFFF"/>
            <w:noWrap/>
            <w:vAlign w:val="bottom"/>
            <w:hideMark/>
          </w:tcPr>
          <w:p w14:paraId="39FC0C9D"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-606.104,00</w:t>
            </w:r>
          </w:p>
        </w:tc>
        <w:tc>
          <w:tcPr>
            <w:tcW w:w="1350" w:type="dxa"/>
            <w:tcBorders>
              <w:top w:val="nil"/>
              <w:left w:val="nil"/>
              <w:bottom w:val="single" w:sz="4" w:space="0" w:color="auto"/>
              <w:right w:val="single" w:sz="4" w:space="0" w:color="auto"/>
            </w:tcBorders>
            <w:shd w:val="clear" w:color="000000" w:fill="FFFFFF"/>
            <w:noWrap/>
            <w:vAlign w:val="bottom"/>
            <w:hideMark/>
          </w:tcPr>
          <w:p w14:paraId="157CB0AA"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-27,71</w:t>
            </w:r>
          </w:p>
        </w:tc>
        <w:tc>
          <w:tcPr>
            <w:tcW w:w="2067" w:type="dxa"/>
            <w:tcBorders>
              <w:top w:val="nil"/>
              <w:left w:val="nil"/>
              <w:bottom w:val="single" w:sz="4" w:space="0" w:color="auto"/>
              <w:right w:val="single" w:sz="4" w:space="0" w:color="auto"/>
            </w:tcBorders>
            <w:shd w:val="clear" w:color="000000" w:fill="FFFFFF"/>
            <w:noWrap/>
            <w:vAlign w:val="bottom"/>
            <w:hideMark/>
          </w:tcPr>
          <w:p w14:paraId="6B922F97"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1.581.154,00</w:t>
            </w:r>
          </w:p>
        </w:tc>
      </w:tr>
      <w:tr w:rsidR="00F70F6F" w:rsidRPr="00F70F6F" w14:paraId="1C58D866"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304A2446"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064 Ulična rasvjeta</w:t>
            </w:r>
          </w:p>
        </w:tc>
        <w:tc>
          <w:tcPr>
            <w:tcW w:w="2410" w:type="dxa"/>
            <w:tcBorders>
              <w:top w:val="nil"/>
              <w:left w:val="nil"/>
              <w:bottom w:val="single" w:sz="4" w:space="0" w:color="auto"/>
              <w:right w:val="single" w:sz="4" w:space="0" w:color="auto"/>
            </w:tcBorders>
            <w:shd w:val="clear" w:color="000000" w:fill="FFFFFF"/>
            <w:noWrap/>
            <w:vAlign w:val="bottom"/>
            <w:hideMark/>
          </w:tcPr>
          <w:p w14:paraId="275E4F53"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144.000,00</w:t>
            </w:r>
          </w:p>
        </w:tc>
        <w:tc>
          <w:tcPr>
            <w:tcW w:w="2268" w:type="dxa"/>
            <w:tcBorders>
              <w:top w:val="nil"/>
              <w:left w:val="nil"/>
              <w:bottom w:val="single" w:sz="4" w:space="0" w:color="auto"/>
              <w:right w:val="single" w:sz="4" w:space="0" w:color="auto"/>
            </w:tcBorders>
            <w:shd w:val="clear" w:color="000000" w:fill="FFFFFF"/>
            <w:noWrap/>
            <w:vAlign w:val="bottom"/>
            <w:hideMark/>
          </w:tcPr>
          <w:p w14:paraId="6815D7FA"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35.000,00</w:t>
            </w:r>
          </w:p>
        </w:tc>
        <w:tc>
          <w:tcPr>
            <w:tcW w:w="1350" w:type="dxa"/>
            <w:tcBorders>
              <w:top w:val="nil"/>
              <w:left w:val="nil"/>
              <w:bottom w:val="single" w:sz="4" w:space="0" w:color="auto"/>
              <w:right w:val="single" w:sz="4" w:space="0" w:color="auto"/>
            </w:tcBorders>
            <w:shd w:val="clear" w:color="000000" w:fill="FFFFFF"/>
            <w:noWrap/>
            <w:vAlign w:val="bottom"/>
            <w:hideMark/>
          </w:tcPr>
          <w:p w14:paraId="290B6DD5"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24,31</w:t>
            </w:r>
          </w:p>
        </w:tc>
        <w:tc>
          <w:tcPr>
            <w:tcW w:w="2067" w:type="dxa"/>
            <w:tcBorders>
              <w:top w:val="nil"/>
              <w:left w:val="nil"/>
              <w:bottom w:val="single" w:sz="4" w:space="0" w:color="auto"/>
              <w:right w:val="single" w:sz="4" w:space="0" w:color="auto"/>
            </w:tcBorders>
            <w:shd w:val="clear" w:color="000000" w:fill="FFFFFF"/>
            <w:noWrap/>
            <w:vAlign w:val="bottom"/>
            <w:hideMark/>
          </w:tcPr>
          <w:p w14:paraId="36816051"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179.000,00</w:t>
            </w:r>
          </w:p>
        </w:tc>
      </w:tr>
      <w:tr w:rsidR="00F70F6F" w:rsidRPr="00F70F6F" w14:paraId="085719DA"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77273C9"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066 Rashodi vezani za stanovanje i kom. pogodnosti koji nisu drugdje svrstani</w:t>
            </w:r>
          </w:p>
        </w:tc>
        <w:tc>
          <w:tcPr>
            <w:tcW w:w="2410" w:type="dxa"/>
            <w:tcBorders>
              <w:top w:val="nil"/>
              <w:left w:val="nil"/>
              <w:bottom w:val="single" w:sz="4" w:space="0" w:color="auto"/>
              <w:right w:val="single" w:sz="4" w:space="0" w:color="auto"/>
            </w:tcBorders>
            <w:shd w:val="clear" w:color="000000" w:fill="FFFFFF"/>
            <w:noWrap/>
            <w:vAlign w:val="bottom"/>
            <w:hideMark/>
          </w:tcPr>
          <w:p w14:paraId="1CD09860"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404.400,00</w:t>
            </w:r>
          </w:p>
        </w:tc>
        <w:tc>
          <w:tcPr>
            <w:tcW w:w="2268" w:type="dxa"/>
            <w:tcBorders>
              <w:top w:val="nil"/>
              <w:left w:val="nil"/>
              <w:bottom w:val="single" w:sz="4" w:space="0" w:color="auto"/>
              <w:right w:val="single" w:sz="4" w:space="0" w:color="auto"/>
            </w:tcBorders>
            <w:shd w:val="clear" w:color="000000" w:fill="FFFFFF"/>
            <w:noWrap/>
            <w:vAlign w:val="bottom"/>
            <w:hideMark/>
          </w:tcPr>
          <w:p w14:paraId="097250C1"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-8.500,00</w:t>
            </w:r>
          </w:p>
        </w:tc>
        <w:tc>
          <w:tcPr>
            <w:tcW w:w="1350" w:type="dxa"/>
            <w:tcBorders>
              <w:top w:val="nil"/>
              <w:left w:val="nil"/>
              <w:bottom w:val="single" w:sz="4" w:space="0" w:color="auto"/>
              <w:right w:val="single" w:sz="4" w:space="0" w:color="auto"/>
            </w:tcBorders>
            <w:shd w:val="clear" w:color="000000" w:fill="FFFFFF"/>
            <w:noWrap/>
            <w:vAlign w:val="bottom"/>
            <w:hideMark/>
          </w:tcPr>
          <w:p w14:paraId="0190A03C"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-2,10</w:t>
            </w:r>
          </w:p>
        </w:tc>
        <w:tc>
          <w:tcPr>
            <w:tcW w:w="2067" w:type="dxa"/>
            <w:tcBorders>
              <w:top w:val="nil"/>
              <w:left w:val="nil"/>
              <w:bottom w:val="single" w:sz="4" w:space="0" w:color="auto"/>
              <w:right w:val="single" w:sz="4" w:space="0" w:color="auto"/>
            </w:tcBorders>
            <w:shd w:val="clear" w:color="000000" w:fill="FFFFFF"/>
            <w:noWrap/>
            <w:vAlign w:val="bottom"/>
            <w:hideMark/>
          </w:tcPr>
          <w:p w14:paraId="245FC00B"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395.900,00</w:t>
            </w:r>
          </w:p>
        </w:tc>
      </w:tr>
      <w:tr w:rsidR="00F70F6F" w:rsidRPr="00F70F6F" w14:paraId="70BFE8EA"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A6A6A6"/>
            <w:noWrap/>
            <w:vAlign w:val="bottom"/>
            <w:hideMark/>
          </w:tcPr>
          <w:p w14:paraId="1087737D" w14:textId="77777777" w:rsidR="00F70F6F" w:rsidRPr="00F70F6F" w:rsidRDefault="00F70F6F" w:rsidP="00F70F6F">
            <w:pPr>
              <w:rPr>
                <w:rFonts w:ascii="Arial" w:hAnsi="Arial" w:cs="Arial"/>
                <w:b/>
                <w:bCs/>
                <w:color w:val="000000"/>
                <w:sz w:val="20"/>
                <w:szCs w:val="20"/>
              </w:rPr>
            </w:pPr>
            <w:r w:rsidRPr="00F70F6F">
              <w:rPr>
                <w:rFonts w:ascii="Arial" w:hAnsi="Arial" w:cs="Arial"/>
                <w:b/>
                <w:bCs/>
                <w:color w:val="000000"/>
                <w:sz w:val="20"/>
                <w:szCs w:val="20"/>
              </w:rPr>
              <w:t>07 Zdravstvo</w:t>
            </w:r>
          </w:p>
        </w:tc>
        <w:tc>
          <w:tcPr>
            <w:tcW w:w="2410" w:type="dxa"/>
            <w:tcBorders>
              <w:top w:val="nil"/>
              <w:left w:val="nil"/>
              <w:bottom w:val="single" w:sz="4" w:space="0" w:color="auto"/>
              <w:right w:val="single" w:sz="4" w:space="0" w:color="auto"/>
            </w:tcBorders>
            <w:shd w:val="clear" w:color="000000" w:fill="A6A6A6"/>
            <w:noWrap/>
            <w:vAlign w:val="bottom"/>
            <w:hideMark/>
          </w:tcPr>
          <w:p w14:paraId="37662F7B"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121.800,00</w:t>
            </w:r>
          </w:p>
        </w:tc>
        <w:tc>
          <w:tcPr>
            <w:tcW w:w="2268" w:type="dxa"/>
            <w:tcBorders>
              <w:top w:val="nil"/>
              <w:left w:val="nil"/>
              <w:bottom w:val="single" w:sz="4" w:space="0" w:color="auto"/>
              <w:right w:val="single" w:sz="4" w:space="0" w:color="auto"/>
            </w:tcBorders>
            <w:shd w:val="clear" w:color="000000" w:fill="A6A6A6"/>
            <w:noWrap/>
            <w:vAlign w:val="bottom"/>
            <w:hideMark/>
          </w:tcPr>
          <w:p w14:paraId="66385231"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43.548,00</w:t>
            </w:r>
          </w:p>
        </w:tc>
        <w:tc>
          <w:tcPr>
            <w:tcW w:w="1350" w:type="dxa"/>
            <w:tcBorders>
              <w:top w:val="nil"/>
              <w:left w:val="nil"/>
              <w:bottom w:val="single" w:sz="4" w:space="0" w:color="auto"/>
              <w:right w:val="single" w:sz="4" w:space="0" w:color="auto"/>
            </w:tcBorders>
            <w:shd w:val="clear" w:color="000000" w:fill="A6A6A6"/>
            <w:noWrap/>
            <w:vAlign w:val="bottom"/>
            <w:hideMark/>
          </w:tcPr>
          <w:p w14:paraId="19B6157E"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35,75</w:t>
            </w:r>
          </w:p>
        </w:tc>
        <w:tc>
          <w:tcPr>
            <w:tcW w:w="2067" w:type="dxa"/>
            <w:tcBorders>
              <w:top w:val="nil"/>
              <w:left w:val="nil"/>
              <w:bottom w:val="single" w:sz="4" w:space="0" w:color="auto"/>
              <w:right w:val="single" w:sz="4" w:space="0" w:color="auto"/>
            </w:tcBorders>
            <w:shd w:val="clear" w:color="000000" w:fill="A6A6A6"/>
            <w:noWrap/>
            <w:vAlign w:val="bottom"/>
            <w:hideMark/>
          </w:tcPr>
          <w:p w14:paraId="796347A1"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165.348,00</w:t>
            </w:r>
          </w:p>
        </w:tc>
      </w:tr>
      <w:tr w:rsidR="00F70F6F" w:rsidRPr="00F70F6F" w14:paraId="470327A6"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0D575BE9"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072 Službe za vanjske pacijente</w:t>
            </w:r>
          </w:p>
        </w:tc>
        <w:tc>
          <w:tcPr>
            <w:tcW w:w="2410" w:type="dxa"/>
            <w:tcBorders>
              <w:top w:val="nil"/>
              <w:left w:val="nil"/>
              <w:bottom w:val="single" w:sz="4" w:space="0" w:color="auto"/>
              <w:right w:val="single" w:sz="4" w:space="0" w:color="auto"/>
            </w:tcBorders>
            <w:shd w:val="clear" w:color="000000" w:fill="FFFFFF"/>
            <w:noWrap/>
            <w:vAlign w:val="bottom"/>
            <w:hideMark/>
          </w:tcPr>
          <w:p w14:paraId="6B6DB9B5"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92.800,00</w:t>
            </w:r>
          </w:p>
        </w:tc>
        <w:tc>
          <w:tcPr>
            <w:tcW w:w="2268" w:type="dxa"/>
            <w:tcBorders>
              <w:top w:val="nil"/>
              <w:left w:val="nil"/>
              <w:bottom w:val="single" w:sz="4" w:space="0" w:color="auto"/>
              <w:right w:val="single" w:sz="4" w:space="0" w:color="auto"/>
            </w:tcBorders>
            <w:shd w:val="clear" w:color="000000" w:fill="FFFFFF"/>
            <w:noWrap/>
            <w:vAlign w:val="bottom"/>
            <w:hideMark/>
          </w:tcPr>
          <w:p w14:paraId="6B7A3A34"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4B17DAFF"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0,00</w:t>
            </w:r>
          </w:p>
        </w:tc>
        <w:tc>
          <w:tcPr>
            <w:tcW w:w="2067" w:type="dxa"/>
            <w:tcBorders>
              <w:top w:val="nil"/>
              <w:left w:val="nil"/>
              <w:bottom w:val="single" w:sz="4" w:space="0" w:color="auto"/>
              <w:right w:val="single" w:sz="4" w:space="0" w:color="auto"/>
            </w:tcBorders>
            <w:shd w:val="clear" w:color="000000" w:fill="FFFFFF"/>
            <w:noWrap/>
            <w:vAlign w:val="bottom"/>
            <w:hideMark/>
          </w:tcPr>
          <w:p w14:paraId="6D393716"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92.800,00</w:t>
            </w:r>
          </w:p>
        </w:tc>
      </w:tr>
      <w:tr w:rsidR="00F70F6F" w:rsidRPr="00F70F6F" w14:paraId="41A420EA"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5F14F16E"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lastRenderedPageBreak/>
              <w:t>076 Poslovi i usluge zdravstva koji nisu drugdje svrstani</w:t>
            </w:r>
          </w:p>
        </w:tc>
        <w:tc>
          <w:tcPr>
            <w:tcW w:w="2410" w:type="dxa"/>
            <w:tcBorders>
              <w:top w:val="nil"/>
              <w:left w:val="nil"/>
              <w:bottom w:val="single" w:sz="4" w:space="0" w:color="auto"/>
              <w:right w:val="single" w:sz="4" w:space="0" w:color="auto"/>
            </w:tcBorders>
            <w:shd w:val="clear" w:color="000000" w:fill="FFFFFF"/>
            <w:noWrap/>
            <w:vAlign w:val="bottom"/>
            <w:hideMark/>
          </w:tcPr>
          <w:p w14:paraId="417EF8E7"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29.000,00</w:t>
            </w:r>
          </w:p>
        </w:tc>
        <w:tc>
          <w:tcPr>
            <w:tcW w:w="2268" w:type="dxa"/>
            <w:tcBorders>
              <w:top w:val="nil"/>
              <w:left w:val="nil"/>
              <w:bottom w:val="single" w:sz="4" w:space="0" w:color="auto"/>
              <w:right w:val="single" w:sz="4" w:space="0" w:color="auto"/>
            </w:tcBorders>
            <w:shd w:val="clear" w:color="000000" w:fill="FFFFFF"/>
            <w:noWrap/>
            <w:vAlign w:val="bottom"/>
            <w:hideMark/>
          </w:tcPr>
          <w:p w14:paraId="3F1F9DFE"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43.548,00</w:t>
            </w:r>
          </w:p>
        </w:tc>
        <w:tc>
          <w:tcPr>
            <w:tcW w:w="1350" w:type="dxa"/>
            <w:tcBorders>
              <w:top w:val="nil"/>
              <w:left w:val="nil"/>
              <w:bottom w:val="single" w:sz="4" w:space="0" w:color="auto"/>
              <w:right w:val="single" w:sz="4" w:space="0" w:color="auto"/>
            </w:tcBorders>
            <w:shd w:val="clear" w:color="000000" w:fill="FFFFFF"/>
            <w:noWrap/>
            <w:vAlign w:val="bottom"/>
            <w:hideMark/>
          </w:tcPr>
          <w:p w14:paraId="3AFCFE94"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150,17</w:t>
            </w:r>
          </w:p>
        </w:tc>
        <w:tc>
          <w:tcPr>
            <w:tcW w:w="2067" w:type="dxa"/>
            <w:tcBorders>
              <w:top w:val="nil"/>
              <w:left w:val="nil"/>
              <w:bottom w:val="single" w:sz="4" w:space="0" w:color="auto"/>
              <w:right w:val="single" w:sz="4" w:space="0" w:color="auto"/>
            </w:tcBorders>
            <w:shd w:val="clear" w:color="000000" w:fill="FFFFFF"/>
            <w:noWrap/>
            <w:vAlign w:val="bottom"/>
            <w:hideMark/>
          </w:tcPr>
          <w:p w14:paraId="16BF3D6C"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72.548,00</w:t>
            </w:r>
          </w:p>
        </w:tc>
      </w:tr>
      <w:tr w:rsidR="00F70F6F" w:rsidRPr="00F70F6F" w14:paraId="0BDA78CF"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A6A6A6"/>
            <w:noWrap/>
            <w:vAlign w:val="bottom"/>
            <w:hideMark/>
          </w:tcPr>
          <w:p w14:paraId="508F9230" w14:textId="77777777" w:rsidR="00F70F6F" w:rsidRPr="00F70F6F" w:rsidRDefault="00F70F6F" w:rsidP="00F70F6F">
            <w:pPr>
              <w:rPr>
                <w:rFonts w:ascii="Arial" w:hAnsi="Arial" w:cs="Arial"/>
                <w:b/>
                <w:bCs/>
                <w:color w:val="000000"/>
                <w:sz w:val="20"/>
                <w:szCs w:val="20"/>
              </w:rPr>
            </w:pPr>
            <w:r w:rsidRPr="00F70F6F">
              <w:rPr>
                <w:rFonts w:ascii="Arial" w:hAnsi="Arial" w:cs="Arial"/>
                <w:b/>
                <w:bCs/>
                <w:color w:val="000000"/>
                <w:sz w:val="20"/>
                <w:szCs w:val="20"/>
              </w:rPr>
              <w:t>08 Rekreacija, kultura i religija</w:t>
            </w:r>
          </w:p>
        </w:tc>
        <w:tc>
          <w:tcPr>
            <w:tcW w:w="2410" w:type="dxa"/>
            <w:tcBorders>
              <w:top w:val="nil"/>
              <w:left w:val="nil"/>
              <w:bottom w:val="single" w:sz="4" w:space="0" w:color="auto"/>
              <w:right w:val="single" w:sz="4" w:space="0" w:color="auto"/>
            </w:tcBorders>
            <w:shd w:val="clear" w:color="000000" w:fill="A6A6A6"/>
            <w:noWrap/>
            <w:vAlign w:val="bottom"/>
            <w:hideMark/>
          </w:tcPr>
          <w:p w14:paraId="2EE82BD5"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1.805.560,00</w:t>
            </w:r>
          </w:p>
        </w:tc>
        <w:tc>
          <w:tcPr>
            <w:tcW w:w="2268" w:type="dxa"/>
            <w:tcBorders>
              <w:top w:val="nil"/>
              <w:left w:val="nil"/>
              <w:bottom w:val="single" w:sz="4" w:space="0" w:color="auto"/>
              <w:right w:val="single" w:sz="4" w:space="0" w:color="auto"/>
            </w:tcBorders>
            <w:shd w:val="clear" w:color="000000" w:fill="A6A6A6"/>
            <w:noWrap/>
            <w:vAlign w:val="bottom"/>
            <w:hideMark/>
          </w:tcPr>
          <w:p w14:paraId="1BE64F8A"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301.433,00</w:t>
            </w:r>
          </w:p>
        </w:tc>
        <w:tc>
          <w:tcPr>
            <w:tcW w:w="1350" w:type="dxa"/>
            <w:tcBorders>
              <w:top w:val="nil"/>
              <w:left w:val="nil"/>
              <w:bottom w:val="single" w:sz="4" w:space="0" w:color="auto"/>
              <w:right w:val="single" w:sz="4" w:space="0" w:color="auto"/>
            </w:tcBorders>
            <w:shd w:val="clear" w:color="000000" w:fill="A6A6A6"/>
            <w:noWrap/>
            <w:vAlign w:val="bottom"/>
            <w:hideMark/>
          </w:tcPr>
          <w:p w14:paraId="6D862DB5"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16,69</w:t>
            </w:r>
          </w:p>
        </w:tc>
        <w:tc>
          <w:tcPr>
            <w:tcW w:w="2067" w:type="dxa"/>
            <w:tcBorders>
              <w:top w:val="nil"/>
              <w:left w:val="nil"/>
              <w:bottom w:val="single" w:sz="4" w:space="0" w:color="auto"/>
              <w:right w:val="single" w:sz="4" w:space="0" w:color="auto"/>
            </w:tcBorders>
            <w:shd w:val="clear" w:color="000000" w:fill="A6A6A6"/>
            <w:noWrap/>
            <w:vAlign w:val="bottom"/>
            <w:hideMark/>
          </w:tcPr>
          <w:p w14:paraId="4F946B05"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2.106.993,00</w:t>
            </w:r>
          </w:p>
        </w:tc>
      </w:tr>
      <w:tr w:rsidR="00F70F6F" w:rsidRPr="00F70F6F" w14:paraId="5BA2D0F6"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57595671"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081 Službe rekreacije i sporta</w:t>
            </w:r>
          </w:p>
        </w:tc>
        <w:tc>
          <w:tcPr>
            <w:tcW w:w="2410" w:type="dxa"/>
            <w:tcBorders>
              <w:top w:val="nil"/>
              <w:left w:val="nil"/>
              <w:bottom w:val="single" w:sz="4" w:space="0" w:color="auto"/>
              <w:right w:val="single" w:sz="4" w:space="0" w:color="auto"/>
            </w:tcBorders>
            <w:shd w:val="clear" w:color="000000" w:fill="FFFFFF"/>
            <w:noWrap/>
            <w:vAlign w:val="bottom"/>
            <w:hideMark/>
          </w:tcPr>
          <w:p w14:paraId="19562490"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825.025,00</w:t>
            </w:r>
          </w:p>
        </w:tc>
        <w:tc>
          <w:tcPr>
            <w:tcW w:w="2268" w:type="dxa"/>
            <w:tcBorders>
              <w:top w:val="nil"/>
              <w:left w:val="nil"/>
              <w:bottom w:val="single" w:sz="4" w:space="0" w:color="auto"/>
              <w:right w:val="single" w:sz="4" w:space="0" w:color="auto"/>
            </w:tcBorders>
            <w:shd w:val="clear" w:color="000000" w:fill="FFFFFF"/>
            <w:noWrap/>
            <w:vAlign w:val="bottom"/>
            <w:hideMark/>
          </w:tcPr>
          <w:p w14:paraId="18C5774A"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136.905,00</w:t>
            </w:r>
          </w:p>
        </w:tc>
        <w:tc>
          <w:tcPr>
            <w:tcW w:w="1350" w:type="dxa"/>
            <w:tcBorders>
              <w:top w:val="nil"/>
              <w:left w:val="nil"/>
              <w:bottom w:val="single" w:sz="4" w:space="0" w:color="auto"/>
              <w:right w:val="single" w:sz="4" w:space="0" w:color="auto"/>
            </w:tcBorders>
            <w:shd w:val="clear" w:color="000000" w:fill="FFFFFF"/>
            <w:noWrap/>
            <w:vAlign w:val="bottom"/>
            <w:hideMark/>
          </w:tcPr>
          <w:p w14:paraId="6A7E1697"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16,59</w:t>
            </w:r>
          </w:p>
        </w:tc>
        <w:tc>
          <w:tcPr>
            <w:tcW w:w="2067" w:type="dxa"/>
            <w:tcBorders>
              <w:top w:val="nil"/>
              <w:left w:val="nil"/>
              <w:bottom w:val="single" w:sz="4" w:space="0" w:color="auto"/>
              <w:right w:val="single" w:sz="4" w:space="0" w:color="auto"/>
            </w:tcBorders>
            <w:shd w:val="clear" w:color="000000" w:fill="FFFFFF"/>
            <w:noWrap/>
            <w:vAlign w:val="bottom"/>
            <w:hideMark/>
          </w:tcPr>
          <w:p w14:paraId="02358E5A"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961.930,00</w:t>
            </w:r>
          </w:p>
        </w:tc>
      </w:tr>
      <w:tr w:rsidR="00F70F6F" w:rsidRPr="00F70F6F" w14:paraId="13267F12"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037450A"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082 Službe kulture</w:t>
            </w:r>
          </w:p>
        </w:tc>
        <w:tc>
          <w:tcPr>
            <w:tcW w:w="2410" w:type="dxa"/>
            <w:tcBorders>
              <w:top w:val="nil"/>
              <w:left w:val="nil"/>
              <w:bottom w:val="single" w:sz="4" w:space="0" w:color="auto"/>
              <w:right w:val="single" w:sz="4" w:space="0" w:color="auto"/>
            </w:tcBorders>
            <w:shd w:val="clear" w:color="000000" w:fill="FFFFFF"/>
            <w:noWrap/>
            <w:vAlign w:val="bottom"/>
            <w:hideMark/>
          </w:tcPr>
          <w:p w14:paraId="336048AE"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903.435,00</w:t>
            </w:r>
          </w:p>
        </w:tc>
        <w:tc>
          <w:tcPr>
            <w:tcW w:w="2268" w:type="dxa"/>
            <w:tcBorders>
              <w:top w:val="nil"/>
              <w:left w:val="nil"/>
              <w:bottom w:val="single" w:sz="4" w:space="0" w:color="auto"/>
              <w:right w:val="single" w:sz="4" w:space="0" w:color="auto"/>
            </w:tcBorders>
            <w:shd w:val="clear" w:color="000000" w:fill="FFFFFF"/>
            <w:noWrap/>
            <w:vAlign w:val="bottom"/>
            <w:hideMark/>
          </w:tcPr>
          <w:p w14:paraId="0FD10FF5"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142.276,00</w:t>
            </w:r>
          </w:p>
        </w:tc>
        <w:tc>
          <w:tcPr>
            <w:tcW w:w="1350" w:type="dxa"/>
            <w:tcBorders>
              <w:top w:val="nil"/>
              <w:left w:val="nil"/>
              <w:bottom w:val="single" w:sz="4" w:space="0" w:color="auto"/>
              <w:right w:val="single" w:sz="4" w:space="0" w:color="auto"/>
            </w:tcBorders>
            <w:shd w:val="clear" w:color="000000" w:fill="FFFFFF"/>
            <w:noWrap/>
            <w:vAlign w:val="bottom"/>
            <w:hideMark/>
          </w:tcPr>
          <w:p w14:paraId="625DEE30"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15,75</w:t>
            </w:r>
          </w:p>
        </w:tc>
        <w:tc>
          <w:tcPr>
            <w:tcW w:w="2067" w:type="dxa"/>
            <w:tcBorders>
              <w:top w:val="nil"/>
              <w:left w:val="nil"/>
              <w:bottom w:val="single" w:sz="4" w:space="0" w:color="auto"/>
              <w:right w:val="single" w:sz="4" w:space="0" w:color="auto"/>
            </w:tcBorders>
            <w:shd w:val="clear" w:color="000000" w:fill="FFFFFF"/>
            <w:noWrap/>
            <w:vAlign w:val="bottom"/>
            <w:hideMark/>
          </w:tcPr>
          <w:p w14:paraId="48878C84"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1.045.711,00</w:t>
            </w:r>
          </w:p>
        </w:tc>
      </w:tr>
      <w:tr w:rsidR="00F70F6F" w:rsidRPr="00F70F6F" w14:paraId="09E86D97"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46E58438"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084 Religijske i druge službe zajednice</w:t>
            </w:r>
          </w:p>
        </w:tc>
        <w:tc>
          <w:tcPr>
            <w:tcW w:w="2410" w:type="dxa"/>
            <w:tcBorders>
              <w:top w:val="nil"/>
              <w:left w:val="nil"/>
              <w:bottom w:val="single" w:sz="4" w:space="0" w:color="auto"/>
              <w:right w:val="single" w:sz="4" w:space="0" w:color="auto"/>
            </w:tcBorders>
            <w:shd w:val="clear" w:color="000000" w:fill="FFFFFF"/>
            <w:noWrap/>
            <w:vAlign w:val="bottom"/>
            <w:hideMark/>
          </w:tcPr>
          <w:p w14:paraId="6E0E3866"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77.100,00</w:t>
            </w:r>
          </w:p>
        </w:tc>
        <w:tc>
          <w:tcPr>
            <w:tcW w:w="2268" w:type="dxa"/>
            <w:tcBorders>
              <w:top w:val="nil"/>
              <w:left w:val="nil"/>
              <w:bottom w:val="single" w:sz="4" w:space="0" w:color="auto"/>
              <w:right w:val="single" w:sz="4" w:space="0" w:color="auto"/>
            </w:tcBorders>
            <w:shd w:val="clear" w:color="000000" w:fill="FFFFFF"/>
            <w:noWrap/>
            <w:vAlign w:val="bottom"/>
            <w:hideMark/>
          </w:tcPr>
          <w:p w14:paraId="32969C03"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-2.748,00</w:t>
            </w:r>
          </w:p>
        </w:tc>
        <w:tc>
          <w:tcPr>
            <w:tcW w:w="1350" w:type="dxa"/>
            <w:tcBorders>
              <w:top w:val="nil"/>
              <w:left w:val="nil"/>
              <w:bottom w:val="single" w:sz="4" w:space="0" w:color="auto"/>
              <w:right w:val="single" w:sz="4" w:space="0" w:color="auto"/>
            </w:tcBorders>
            <w:shd w:val="clear" w:color="000000" w:fill="FFFFFF"/>
            <w:noWrap/>
            <w:vAlign w:val="bottom"/>
            <w:hideMark/>
          </w:tcPr>
          <w:p w14:paraId="56EBFBC6"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-3,56</w:t>
            </w:r>
          </w:p>
        </w:tc>
        <w:tc>
          <w:tcPr>
            <w:tcW w:w="2067" w:type="dxa"/>
            <w:tcBorders>
              <w:top w:val="nil"/>
              <w:left w:val="nil"/>
              <w:bottom w:val="single" w:sz="4" w:space="0" w:color="auto"/>
              <w:right w:val="single" w:sz="4" w:space="0" w:color="auto"/>
            </w:tcBorders>
            <w:shd w:val="clear" w:color="000000" w:fill="FFFFFF"/>
            <w:noWrap/>
            <w:vAlign w:val="bottom"/>
            <w:hideMark/>
          </w:tcPr>
          <w:p w14:paraId="3626CF38"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74.352,00</w:t>
            </w:r>
          </w:p>
        </w:tc>
      </w:tr>
      <w:tr w:rsidR="00F70F6F" w:rsidRPr="00F70F6F" w14:paraId="2D061E4B"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34C0EFF4"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086 Rashodi za rekreaciju, kulturu i religiju koji nisu drugdje svrstani</w:t>
            </w:r>
          </w:p>
        </w:tc>
        <w:tc>
          <w:tcPr>
            <w:tcW w:w="2410" w:type="dxa"/>
            <w:tcBorders>
              <w:top w:val="nil"/>
              <w:left w:val="nil"/>
              <w:bottom w:val="single" w:sz="4" w:space="0" w:color="auto"/>
              <w:right w:val="single" w:sz="4" w:space="0" w:color="auto"/>
            </w:tcBorders>
            <w:shd w:val="clear" w:color="000000" w:fill="FFFFFF"/>
            <w:noWrap/>
            <w:vAlign w:val="bottom"/>
            <w:hideMark/>
          </w:tcPr>
          <w:p w14:paraId="68C24306"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0,00</w:t>
            </w:r>
          </w:p>
        </w:tc>
        <w:tc>
          <w:tcPr>
            <w:tcW w:w="2268" w:type="dxa"/>
            <w:tcBorders>
              <w:top w:val="nil"/>
              <w:left w:val="nil"/>
              <w:bottom w:val="single" w:sz="4" w:space="0" w:color="auto"/>
              <w:right w:val="single" w:sz="4" w:space="0" w:color="auto"/>
            </w:tcBorders>
            <w:shd w:val="clear" w:color="000000" w:fill="FFFFFF"/>
            <w:noWrap/>
            <w:vAlign w:val="bottom"/>
            <w:hideMark/>
          </w:tcPr>
          <w:p w14:paraId="7F921FC8"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25.000,00</w:t>
            </w:r>
          </w:p>
        </w:tc>
        <w:tc>
          <w:tcPr>
            <w:tcW w:w="1350" w:type="dxa"/>
            <w:tcBorders>
              <w:top w:val="nil"/>
              <w:left w:val="nil"/>
              <w:bottom w:val="single" w:sz="4" w:space="0" w:color="auto"/>
              <w:right w:val="single" w:sz="4" w:space="0" w:color="auto"/>
            </w:tcBorders>
            <w:shd w:val="clear" w:color="000000" w:fill="FFFFFF"/>
            <w:noWrap/>
            <w:vAlign w:val="bottom"/>
            <w:hideMark/>
          </w:tcPr>
          <w:p w14:paraId="23DA3D5C"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100,00</w:t>
            </w:r>
          </w:p>
        </w:tc>
        <w:tc>
          <w:tcPr>
            <w:tcW w:w="2067" w:type="dxa"/>
            <w:tcBorders>
              <w:top w:val="nil"/>
              <w:left w:val="nil"/>
              <w:bottom w:val="single" w:sz="4" w:space="0" w:color="auto"/>
              <w:right w:val="single" w:sz="4" w:space="0" w:color="auto"/>
            </w:tcBorders>
            <w:shd w:val="clear" w:color="000000" w:fill="FFFFFF"/>
            <w:noWrap/>
            <w:vAlign w:val="bottom"/>
            <w:hideMark/>
          </w:tcPr>
          <w:p w14:paraId="0670B616"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25.000,00</w:t>
            </w:r>
          </w:p>
        </w:tc>
      </w:tr>
      <w:tr w:rsidR="00F70F6F" w:rsidRPr="00F70F6F" w14:paraId="4299AAAA"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A6A6A6"/>
            <w:noWrap/>
            <w:vAlign w:val="bottom"/>
            <w:hideMark/>
          </w:tcPr>
          <w:p w14:paraId="5EC4F4D7" w14:textId="77777777" w:rsidR="00F70F6F" w:rsidRPr="00F70F6F" w:rsidRDefault="00F70F6F" w:rsidP="00F70F6F">
            <w:pPr>
              <w:rPr>
                <w:rFonts w:ascii="Arial" w:hAnsi="Arial" w:cs="Arial"/>
                <w:b/>
                <w:bCs/>
                <w:color w:val="000000"/>
                <w:sz w:val="20"/>
                <w:szCs w:val="20"/>
              </w:rPr>
            </w:pPr>
            <w:r w:rsidRPr="00F70F6F">
              <w:rPr>
                <w:rFonts w:ascii="Arial" w:hAnsi="Arial" w:cs="Arial"/>
                <w:b/>
                <w:bCs/>
                <w:color w:val="000000"/>
                <w:sz w:val="20"/>
                <w:szCs w:val="20"/>
              </w:rPr>
              <w:t>09 Obrazovanje</w:t>
            </w:r>
          </w:p>
        </w:tc>
        <w:tc>
          <w:tcPr>
            <w:tcW w:w="2410" w:type="dxa"/>
            <w:tcBorders>
              <w:top w:val="nil"/>
              <w:left w:val="nil"/>
              <w:bottom w:val="single" w:sz="4" w:space="0" w:color="auto"/>
              <w:right w:val="single" w:sz="4" w:space="0" w:color="auto"/>
            </w:tcBorders>
            <w:shd w:val="clear" w:color="000000" w:fill="A6A6A6"/>
            <w:noWrap/>
            <w:vAlign w:val="bottom"/>
            <w:hideMark/>
          </w:tcPr>
          <w:p w14:paraId="44F1D4E4"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12.324.048,00</w:t>
            </w:r>
          </w:p>
        </w:tc>
        <w:tc>
          <w:tcPr>
            <w:tcW w:w="2268" w:type="dxa"/>
            <w:tcBorders>
              <w:top w:val="nil"/>
              <w:left w:val="nil"/>
              <w:bottom w:val="single" w:sz="4" w:space="0" w:color="auto"/>
              <w:right w:val="single" w:sz="4" w:space="0" w:color="auto"/>
            </w:tcBorders>
            <w:shd w:val="clear" w:color="000000" w:fill="A6A6A6"/>
            <w:noWrap/>
            <w:vAlign w:val="bottom"/>
            <w:hideMark/>
          </w:tcPr>
          <w:p w14:paraId="0C81012E"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979.880,00</w:t>
            </w:r>
          </w:p>
        </w:tc>
        <w:tc>
          <w:tcPr>
            <w:tcW w:w="1350" w:type="dxa"/>
            <w:tcBorders>
              <w:top w:val="nil"/>
              <w:left w:val="nil"/>
              <w:bottom w:val="single" w:sz="4" w:space="0" w:color="auto"/>
              <w:right w:val="single" w:sz="4" w:space="0" w:color="auto"/>
            </w:tcBorders>
            <w:shd w:val="clear" w:color="000000" w:fill="A6A6A6"/>
            <w:noWrap/>
            <w:vAlign w:val="bottom"/>
            <w:hideMark/>
          </w:tcPr>
          <w:p w14:paraId="4C16E6BA"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7,95</w:t>
            </w:r>
          </w:p>
        </w:tc>
        <w:tc>
          <w:tcPr>
            <w:tcW w:w="2067" w:type="dxa"/>
            <w:tcBorders>
              <w:top w:val="nil"/>
              <w:left w:val="nil"/>
              <w:bottom w:val="single" w:sz="4" w:space="0" w:color="auto"/>
              <w:right w:val="single" w:sz="4" w:space="0" w:color="auto"/>
            </w:tcBorders>
            <w:shd w:val="clear" w:color="000000" w:fill="A6A6A6"/>
            <w:noWrap/>
            <w:vAlign w:val="bottom"/>
            <w:hideMark/>
          </w:tcPr>
          <w:p w14:paraId="259E3D12"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13.303.928,00</w:t>
            </w:r>
          </w:p>
        </w:tc>
      </w:tr>
      <w:tr w:rsidR="00F70F6F" w:rsidRPr="00F70F6F" w14:paraId="570238A1"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C350E68"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091 Predškolsko i osnovno obrazovanje</w:t>
            </w:r>
          </w:p>
        </w:tc>
        <w:tc>
          <w:tcPr>
            <w:tcW w:w="2410" w:type="dxa"/>
            <w:tcBorders>
              <w:top w:val="nil"/>
              <w:left w:val="nil"/>
              <w:bottom w:val="single" w:sz="4" w:space="0" w:color="auto"/>
              <w:right w:val="single" w:sz="4" w:space="0" w:color="auto"/>
            </w:tcBorders>
            <w:shd w:val="clear" w:color="000000" w:fill="FFFFFF"/>
            <w:noWrap/>
            <w:vAlign w:val="bottom"/>
            <w:hideMark/>
          </w:tcPr>
          <w:p w14:paraId="3A766CAB"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12.221.354,00</w:t>
            </w:r>
          </w:p>
        </w:tc>
        <w:tc>
          <w:tcPr>
            <w:tcW w:w="2268" w:type="dxa"/>
            <w:tcBorders>
              <w:top w:val="nil"/>
              <w:left w:val="nil"/>
              <w:bottom w:val="single" w:sz="4" w:space="0" w:color="auto"/>
              <w:right w:val="single" w:sz="4" w:space="0" w:color="auto"/>
            </w:tcBorders>
            <w:shd w:val="clear" w:color="000000" w:fill="FFFFFF"/>
            <w:noWrap/>
            <w:vAlign w:val="bottom"/>
            <w:hideMark/>
          </w:tcPr>
          <w:p w14:paraId="6C33C17F"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935.049,00</w:t>
            </w:r>
          </w:p>
        </w:tc>
        <w:tc>
          <w:tcPr>
            <w:tcW w:w="1350" w:type="dxa"/>
            <w:tcBorders>
              <w:top w:val="nil"/>
              <w:left w:val="nil"/>
              <w:bottom w:val="single" w:sz="4" w:space="0" w:color="auto"/>
              <w:right w:val="single" w:sz="4" w:space="0" w:color="auto"/>
            </w:tcBorders>
            <w:shd w:val="clear" w:color="000000" w:fill="FFFFFF"/>
            <w:noWrap/>
            <w:vAlign w:val="bottom"/>
            <w:hideMark/>
          </w:tcPr>
          <w:p w14:paraId="18931C20"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7,65</w:t>
            </w:r>
          </w:p>
        </w:tc>
        <w:tc>
          <w:tcPr>
            <w:tcW w:w="2067" w:type="dxa"/>
            <w:tcBorders>
              <w:top w:val="nil"/>
              <w:left w:val="nil"/>
              <w:bottom w:val="single" w:sz="4" w:space="0" w:color="auto"/>
              <w:right w:val="single" w:sz="4" w:space="0" w:color="auto"/>
            </w:tcBorders>
            <w:shd w:val="clear" w:color="000000" w:fill="FFFFFF"/>
            <w:noWrap/>
            <w:vAlign w:val="bottom"/>
            <w:hideMark/>
          </w:tcPr>
          <w:p w14:paraId="5EAABC2F"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13.156.403,00</w:t>
            </w:r>
          </w:p>
        </w:tc>
      </w:tr>
      <w:tr w:rsidR="00F70F6F" w:rsidRPr="00F70F6F" w14:paraId="59B33F01"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0B43655D"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096 Dodatne usluge u obrazovanju</w:t>
            </w:r>
          </w:p>
        </w:tc>
        <w:tc>
          <w:tcPr>
            <w:tcW w:w="2410" w:type="dxa"/>
            <w:tcBorders>
              <w:top w:val="nil"/>
              <w:left w:val="nil"/>
              <w:bottom w:val="single" w:sz="4" w:space="0" w:color="auto"/>
              <w:right w:val="single" w:sz="4" w:space="0" w:color="auto"/>
            </w:tcBorders>
            <w:shd w:val="clear" w:color="000000" w:fill="FFFFFF"/>
            <w:noWrap/>
            <w:vAlign w:val="bottom"/>
            <w:hideMark/>
          </w:tcPr>
          <w:p w14:paraId="33945157"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32.500,00</w:t>
            </w:r>
          </w:p>
        </w:tc>
        <w:tc>
          <w:tcPr>
            <w:tcW w:w="2268" w:type="dxa"/>
            <w:tcBorders>
              <w:top w:val="nil"/>
              <w:left w:val="nil"/>
              <w:bottom w:val="single" w:sz="4" w:space="0" w:color="auto"/>
              <w:right w:val="single" w:sz="4" w:space="0" w:color="auto"/>
            </w:tcBorders>
            <w:shd w:val="clear" w:color="000000" w:fill="FFFFFF"/>
            <w:noWrap/>
            <w:vAlign w:val="bottom"/>
            <w:hideMark/>
          </w:tcPr>
          <w:p w14:paraId="5C01450E"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11.270,00</w:t>
            </w:r>
          </w:p>
        </w:tc>
        <w:tc>
          <w:tcPr>
            <w:tcW w:w="1350" w:type="dxa"/>
            <w:tcBorders>
              <w:top w:val="nil"/>
              <w:left w:val="nil"/>
              <w:bottom w:val="single" w:sz="4" w:space="0" w:color="auto"/>
              <w:right w:val="single" w:sz="4" w:space="0" w:color="auto"/>
            </w:tcBorders>
            <w:shd w:val="clear" w:color="000000" w:fill="FFFFFF"/>
            <w:noWrap/>
            <w:vAlign w:val="bottom"/>
            <w:hideMark/>
          </w:tcPr>
          <w:p w14:paraId="37C30ABF"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34,68</w:t>
            </w:r>
          </w:p>
        </w:tc>
        <w:tc>
          <w:tcPr>
            <w:tcW w:w="2067" w:type="dxa"/>
            <w:tcBorders>
              <w:top w:val="nil"/>
              <w:left w:val="nil"/>
              <w:bottom w:val="single" w:sz="4" w:space="0" w:color="auto"/>
              <w:right w:val="single" w:sz="4" w:space="0" w:color="auto"/>
            </w:tcBorders>
            <w:shd w:val="clear" w:color="000000" w:fill="FFFFFF"/>
            <w:noWrap/>
            <w:vAlign w:val="bottom"/>
            <w:hideMark/>
          </w:tcPr>
          <w:p w14:paraId="50800100"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43.770,00</w:t>
            </w:r>
          </w:p>
        </w:tc>
      </w:tr>
      <w:tr w:rsidR="00F70F6F" w:rsidRPr="00F70F6F" w14:paraId="446AE414"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4C84F9AE"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098 Usluge obrazovanja koje nisu drugdje svrstane</w:t>
            </w:r>
          </w:p>
        </w:tc>
        <w:tc>
          <w:tcPr>
            <w:tcW w:w="2410" w:type="dxa"/>
            <w:tcBorders>
              <w:top w:val="nil"/>
              <w:left w:val="nil"/>
              <w:bottom w:val="single" w:sz="4" w:space="0" w:color="auto"/>
              <w:right w:val="single" w:sz="4" w:space="0" w:color="auto"/>
            </w:tcBorders>
            <w:shd w:val="clear" w:color="000000" w:fill="FFFFFF"/>
            <w:noWrap/>
            <w:vAlign w:val="bottom"/>
            <w:hideMark/>
          </w:tcPr>
          <w:p w14:paraId="246B6CC4"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70.194,00</w:t>
            </w:r>
          </w:p>
        </w:tc>
        <w:tc>
          <w:tcPr>
            <w:tcW w:w="2268" w:type="dxa"/>
            <w:tcBorders>
              <w:top w:val="nil"/>
              <w:left w:val="nil"/>
              <w:bottom w:val="single" w:sz="4" w:space="0" w:color="auto"/>
              <w:right w:val="single" w:sz="4" w:space="0" w:color="auto"/>
            </w:tcBorders>
            <w:shd w:val="clear" w:color="000000" w:fill="FFFFFF"/>
            <w:noWrap/>
            <w:vAlign w:val="bottom"/>
            <w:hideMark/>
          </w:tcPr>
          <w:p w14:paraId="48386BE7"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33.561,00</w:t>
            </w:r>
          </w:p>
        </w:tc>
        <w:tc>
          <w:tcPr>
            <w:tcW w:w="1350" w:type="dxa"/>
            <w:tcBorders>
              <w:top w:val="nil"/>
              <w:left w:val="nil"/>
              <w:bottom w:val="single" w:sz="4" w:space="0" w:color="auto"/>
              <w:right w:val="single" w:sz="4" w:space="0" w:color="auto"/>
            </w:tcBorders>
            <w:shd w:val="clear" w:color="000000" w:fill="FFFFFF"/>
            <w:noWrap/>
            <w:vAlign w:val="bottom"/>
            <w:hideMark/>
          </w:tcPr>
          <w:p w14:paraId="37904872"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47,81</w:t>
            </w:r>
          </w:p>
        </w:tc>
        <w:tc>
          <w:tcPr>
            <w:tcW w:w="2067" w:type="dxa"/>
            <w:tcBorders>
              <w:top w:val="nil"/>
              <w:left w:val="nil"/>
              <w:bottom w:val="single" w:sz="4" w:space="0" w:color="auto"/>
              <w:right w:val="single" w:sz="4" w:space="0" w:color="auto"/>
            </w:tcBorders>
            <w:shd w:val="clear" w:color="000000" w:fill="FFFFFF"/>
            <w:noWrap/>
            <w:vAlign w:val="bottom"/>
            <w:hideMark/>
          </w:tcPr>
          <w:p w14:paraId="35381ADA"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103.755,00</w:t>
            </w:r>
          </w:p>
        </w:tc>
      </w:tr>
      <w:tr w:rsidR="00F70F6F" w:rsidRPr="00F70F6F" w14:paraId="2327A80D"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A6A6A6"/>
            <w:noWrap/>
            <w:vAlign w:val="bottom"/>
            <w:hideMark/>
          </w:tcPr>
          <w:p w14:paraId="53BCA6A9" w14:textId="77777777" w:rsidR="00F70F6F" w:rsidRPr="00F70F6F" w:rsidRDefault="00F70F6F" w:rsidP="00F70F6F">
            <w:pPr>
              <w:rPr>
                <w:rFonts w:ascii="Arial" w:hAnsi="Arial" w:cs="Arial"/>
                <w:b/>
                <w:bCs/>
                <w:color w:val="000000"/>
                <w:sz w:val="20"/>
                <w:szCs w:val="20"/>
              </w:rPr>
            </w:pPr>
            <w:r w:rsidRPr="00F70F6F">
              <w:rPr>
                <w:rFonts w:ascii="Arial" w:hAnsi="Arial" w:cs="Arial"/>
                <w:b/>
                <w:bCs/>
                <w:color w:val="000000"/>
                <w:sz w:val="20"/>
                <w:szCs w:val="20"/>
              </w:rPr>
              <w:t>10 Socijalna zaštita</w:t>
            </w:r>
          </w:p>
        </w:tc>
        <w:tc>
          <w:tcPr>
            <w:tcW w:w="2410" w:type="dxa"/>
            <w:tcBorders>
              <w:top w:val="nil"/>
              <w:left w:val="nil"/>
              <w:bottom w:val="single" w:sz="4" w:space="0" w:color="auto"/>
              <w:right w:val="single" w:sz="4" w:space="0" w:color="auto"/>
            </w:tcBorders>
            <w:shd w:val="clear" w:color="000000" w:fill="A6A6A6"/>
            <w:noWrap/>
            <w:vAlign w:val="bottom"/>
            <w:hideMark/>
          </w:tcPr>
          <w:p w14:paraId="0752819B"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2.205.045,00</w:t>
            </w:r>
          </w:p>
        </w:tc>
        <w:tc>
          <w:tcPr>
            <w:tcW w:w="2268" w:type="dxa"/>
            <w:tcBorders>
              <w:top w:val="nil"/>
              <w:left w:val="nil"/>
              <w:bottom w:val="single" w:sz="4" w:space="0" w:color="auto"/>
              <w:right w:val="single" w:sz="4" w:space="0" w:color="auto"/>
            </w:tcBorders>
            <w:shd w:val="clear" w:color="000000" w:fill="A6A6A6"/>
            <w:noWrap/>
            <w:vAlign w:val="bottom"/>
            <w:hideMark/>
          </w:tcPr>
          <w:p w14:paraId="0342D37B"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183.013,00</w:t>
            </w:r>
          </w:p>
        </w:tc>
        <w:tc>
          <w:tcPr>
            <w:tcW w:w="1350" w:type="dxa"/>
            <w:tcBorders>
              <w:top w:val="nil"/>
              <w:left w:val="nil"/>
              <w:bottom w:val="single" w:sz="4" w:space="0" w:color="auto"/>
              <w:right w:val="single" w:sz="4" w:space="0" w:color="auto"/>
            </w:tcBorders>
            <w:shd w:val="clear" w:color="000000" w:fill="A6A6A6"/>
            <w:noWrap/>
            <w:vAlign w:val="bottom"/>
            <w:hideMark/>
          </w:tcPr>
          <w:p w14:paraId="35B7C3B1"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8,30</w:t>
            </w:r>
          </w:p>
        </w:tc>
        <w:tc>
          <w:tcPr>
            <w:tcW w:w="2067" w:type="dxa"/>
            <w:tcBorders>
              <w:top w:val="nil"/>
              <w:left w:val="nil"/>
              <w:bottom w:val="single" w:sz="4" w:space="0" w:color="auto"/>
              <w:right w:val="single" w:sz="4" w:space="0" w:color="auto"/>
            </w:tcBorders>
            <w:shd w:val="clear" w:color="000000" w:fill="A6A6A6"/>
            <w:noWrap/>
            <w:vAlign w:val="bottom"/>
            <w:hideMark/>
          </w:tcPr>
          <w:p w14:paraId="65DB2502" w14:textId="77777777" w:rsidR="00F70F6F" w:rsidRPr="00F70F6F" w:rsidRDefault="00F70F6F" w:rsidP="00F70F6F">
            <w:pPr>
              <w:jc w:val="right"/>
              <w:rPr>
                <w:rFonts w:ascii="Arial" w:hAnsi="Arial" w:cs="Arial"/>
                <w:b/>
                <w:bCs/>
                <w:color w:val="000000"/>
                <w:sz w:val="20"/>
                <w:szCs w:val="20"/>
              </w:rPr>
            </w:pPr>
            <w:r w:rsidRPr="00F70F6F">
              <w:rPr>
                <w:rFonts w:ascii="Arial" w:hAnsi="Arial" w:cs="Arial"/>
                <w:b/>
                <w:bCs/>
                <w:color w:val="000000"/>
                <w:sz w:val="20"/>
                <w:szCs w:val="20"/>
              </w:rPr>
              <w:t>2.388.058,00</w:t>
            </w:r>
          </w:p>
        </w:tc>
      </w:tr>
      <w:tr w:rsidR="00F70F6F" w:rsidRPr="00F70F6F" w14:paraId="5600DE63"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4366CAE5"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101 Bolest i invaliditet</w:t>
            </w:r>
          </w:p>
        </w:tc>
        <w:tc>
          <w:tcPr>
            <w:tcW w:w="2410" w:type="dxa"/>
            <w:tcBorders>
              <w:top w:val="nil"/>
              <w:left w:val="nil"/>
              <w:bottom w:val="single" w:sz="4" w:space="0" w:color="auto"/>
              <w:right w:val="single" w:sz="4" w:space="0" w:color="auto"/>
            </w:tcBorders>
            <w:shd w:val="clear" w:color="000000" w:fill="FFFFFF"/>
            <w:noWrap/>
            <w:vAlign w:val="bottom"/>
            <w:hideMark/>
          </w:tcPr>
          <w:p w14:paraId="59829AAB"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14.265,00</w:t>
            </w:r>
          </w:p>
        </w:tc>
        <w:tc>
          <w:tcPr>
            <w:tcW w:w="2268" w:type="dxa"/>
            <w:tcBorders>
              <w:top w:val="nil"/>
              <w:left w:val="nil"/>
              <w:bottom w:val="single" w:sz="4" w:space="0" w:color="auto"/>
              <w:right w:val="single" w:sz="4" w:space="0" w:color="auto"/>
            </w:tcBorders>
            <w:shd w:val="clear" w:color="000000" w:fill="FFFFFF"/>
            <w:noWrap/>
            <w:vAlign w:val="bottom"/>
            <w:hideMark/>
          </w:tcPr>
          <w:p w14:paraId="0274660B"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467B7841"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0,00</w:t>
            </w:r>
          </w:p>
        </w:tc>
        <w:tc>
          <w:tcPr>
            <w:tcW w:w="2067" w:type="dxa"/>
            <w:tcBorders>
              <w:top w:val="nil"/>
              <w:left w:val="nil"/>
              <w:bottom w:val="single" w:sz="4" w:space="0" w:color="auto"/>
              <w:right w:val="single" w:sz="4" w:space="0" w:color="auto"/>
            </w:tcBorders>
            <w:shd w:val="clear" w:color="000000" w:fill="FFFFFF"/>
            <w:noWrap/>
            <w:vAlign w:val="bottom"/>
            <w:hideMark/>
          </w:tcPr>
          <w:p w14:paraId="09C141AA"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14.265,00</w:t>
            </w:r>
          </w:p>
        </w:tc>
      </w:tr>
      <w:tr w:rsidR="00F70F6F" w:rsidRPr="00F70F6F" w14:paraId="72CA120F"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7A606EAD"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102 Starost</w:t>
            </w:r>
          </w:p>
        </w:tc>
        <w:tc>
          <w:tcPr>
            <w:tcW w:w="2410" w:type="dxa"/>
            <w:tcBorders>
              <w:top w:val="nil"/>
              <w:left w:val="nil"/>
              <w:bottom w:val="single" w:sz="4" w:space="0" w:color="auto"/>
              <w:right w:val="single" w:sz="4" w:space="0" w:color="auto"/>
            </w:tcBorders>
            <w:shd w:val="clear" w:color="000000" w:fill="FFFFFF"/>
            <w:noWrap/>
            <w:vAlign w:val="bottom"/>
            <w:hideMark/>
          </w:tcPr>
          <w:p w14:paraId="6082E692"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1.838.130,00</w:t>
            </w:r>
          </w:p>
        </w:tc>
        <w:tc>
          <w:tcPr>
            <w:tcW w:w="2268" w:type="dxa"/>
            <w:tcBorders>
              <w:top w:val="nil"/>
              <w:left w:val="nil"/>
              <w:bottom w:val="single" w:sz="4" w:space="0" w:color="auto"/>
              <w:right w:val="single" w:sz="4" w:space="0" w:color="auto"/>
            </w:tcBorders>
            <w:shd w:val="clear" w:color="000000" w:fill="FFFFFF"/>
            <w:noWrap/>
            <w:vAlign w:val="bottom"/>
            <w:hideMark/>
          </w:tcPr>
          <w:p w14:paraId="18D45578"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151.913,00</w:t>
            </w:r>
          </w:p>
        </w:tc>
        <w:tc>
          <w:tcPr>
            <w:tcW w:w="1350" w:type="dxa"/>
            <w:tcBorders>
              <w:top w:val="nil"/>
              <w:left w:val="nil"/>
              <w:bottom w:val="single" w:sz="4" w:space="0" w:color="auto"/>
              <w:right w:val="single" w:sz="4" w:space="0" w:color="auto"/>
            </w:tcBorders>
            <w:shd w:val="clear" w:color="000000" w:fill="FFFFFF"/>
            <w:noWrap/>
            <w:vAlign w:val="bottom"/>
            <w:hideMark/>
          </w:tcPr>
          <w:p w14:paraId="24DF9BAF"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8,26</w:t>
            </w:r>
          </w:p>
        </w:tc>
        <w:tc>
          <w:tcPr>
            <w:tcW w:w="2067" w:type="dxa"/>
            <w:tcBorders>
              <w:top w:val="nil"/>
              <w:left w:val="nil"/>
              <w:bottom w:val="single" w:sz="4" w:space="0" w:color="auto"/>
              <w:right w:val="single" w:sz="4" w:space="0" w:color="auto"/>
            </w:tcBorders>
            <w:shd w:val="clear" w:color="000000" w:fill="FFFFFF"/>
            <w:noWrap/>
            <w:vAlign w:val="bottom"/>
            <w:hideMark/>
          </w:tcPr>
          <w:p w14:paraId="3164602B"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1.990.043,00</w:t>
            </w:r>
          </w:p>
        </w:tc>
      </w:tr>
      <w:tr w:rsidR="00F70F6F" w:rsidRPr="00F70F6F" w14:paraId="27E27490"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4D23AB61"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104 Obitelj i djeca</w:t>
            </w:r>
          </w:p>
        </w:tc>
        <w:tc>
          <w:tcPr>
            <w:tcW w:w="2410" w:type="dxa"/>
            <w:tcBorders>
              <w:top w:val="nil"/>
              <w:left w:val="nil"/>
              <w:bottom w:val="single" w:sz="4" w:space="0" w:color="auto"/>
              <w:right w:val="single" w:sz="4" w:space="0" w:color="auto"/>
            </w:tcBorders>
            <w:shd w:val="clear" w:color="000000" w:fill="FFFFFF"/>
            <w:noWrap/>
            <w:vAlign w:val="bottom"/>
            <w:hideMark/>
          </w:tcPr>
          <w:p w14:paraId="6C7291A9"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86.000,00</w:t>
            </w:r>
          </w:p>
        </w:tc>
        <w:tc>
          <w:tcPr>
            <w:tcW w:w="2268" w:type="dxa"/>
            <w:tcBorders>
              <w:top w:val="nil"/>
              <w:left w:val="nil"/>
              <w:bottom w:val="single" w:sz="4" w:space="0" w:color="auto"/>
              <w:right w:val="single" w:sz="4" w:space="0" w:color="auto"/>
            </w:tcBorders>
            <w:shd w:val="clear" w:color="000000" w:fill="FFFFFF"/>
            <w:noWrap/>
            <w:vAlign w:val="bottom"/>
            <w:hideMark/>
          </w:tcPr>
          <w:p w14:paraId="024AF00B"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0FE77BFD"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0,00</w:t>
            </w:r>
          </w:p>
        </w:tc>
        <w:tc>
          <w:tcPr>
            <w:tcW w:w="2067" w:type="dxa"/>
            <w:tcBorders>
              <w:top w:val="nil"/>
              <w:left w:val="nil"/>
              <w:bottom w:val="single" w:sz="4" w:space="0" w:color="auto"/>
              <w:right w:val="single" w:sz="4" w:space="0" w:color="auto"/>
            </w:tcBorders>
            <w:shd w:val="clear" w:color="000000" w:fill="FFFFFF"/>
            <w:noWrap/>
            <w:vAlign w:val="bottom"/>
            <w:hideMark/>
          </w:tcPr>
          <w:p w14:paraId="3E8C4FE9"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86.000,00</w:t>
            </w:r>
          </w:p>
        </w:tc>
      </w:tr>
      <w:tr w:rsidR="00F70F6F" w:rsidRPr="00F70F6F" w14:paraId="35482D55"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359E86C3"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106 Stanovanje</w:t>
            </w:r>
          </w:p>
        </w:tc>
        <w:tc>
          <w:tcPr>
            <w:tcW w:w="2410" w:type="dxa"/>
            <w:tcBorders>
              <w:top w:val="nil"/>
              <w:left w:val="nil"/>
              <w:bottom w:val="single" w:sz="4" w:space="0" w:color="auto"/>
              <w:right w:val="single" w:sz="4" w:space="0" w:color="auto"/>
            </w:tcBorders>
            <w:shd w:val="clear" w:color="000000" w:fill="FFFFFF"/>
            <w:noWrap/>
            <w:vAlign w:val="bottom"/>
            <w:hideMark/>
          </w:tcPr>
          <w:p w14:paraId="1DA4C780"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133.000,00</w:t>
            </w:r>
          </w:p>
        </w:tc>
        <w:tc>
          <w:tcPr>
            <w:tcW w:w="2268" w:type="dxa"/>
            <w:tcBorders>
              <w:top w:val="nil"/>
              <w:left w:val="nil"/>
              <w:bottom w:val="single" w:sz="4" w:space="0" w:color="auto"/>
              <w:right w:val="single" w:sz="4" w:space="0" w:color="auto"/>
            </w:tcBorders>
            <w:shd w:val="clear" w:color="000000" w:fill="FFFFFF"/>
            <w:noWrap/>
            <w:vAlign w:val="bottom"/>
            <w:hideMark/>
          </w:tcPr>
          <w:p w14:paraId="5586391D"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7.000,00</w:t>
            </w:r>
          </w:p>
        </w:tc>
        <w:tc>
          <w:tcPr>
            <w:tcW w:w="1350" w:type="dxa"/>
            <w:tcBorders>
              <w:top w:val="nil"/>
              <w:left w:val="nil"/>
              <w:bottom w:val="single" w:sz="4" w:space="0" w:color="auto"/>
              <w:right w:val="single" w:sz="4" w:space="0" w:color="auto"/>
            </w:tcBorders>
            <w:shd w:val="clear" w:color="000000" w:fill="FFFFFF"/>
            <w:noWrap/>
            <w:vAlign w:val="bottom"/>
            <w:hideMark/>
          </w:tcPr>
          <w:p w14:paraId="1949EF8B"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5,26</w:t>
            </w:r>
          </w:p>
        </w:tc>
        <w:tc>
          <w:tcPr>
            <w:tcW w:w="2067" w:type="dxa"/>
            <w:tcBorders>
              <w:top w:val="nil"/>
              <w:left w:val="nil"/>
              <w:bottom w:val="single" w:sz="4" w:space="0" w:color="auto"/>
              <w:right w:val="single" w:sz="4" w:space="0" w:color="auto"/>
            </w:tcBorders>
            <w:shd w:val="clear" w:color="000000" w:fill="FFFFFF"/>
            <w:noWrap/>
            <w:vAlign w:val="bottom"/>
            <w:hideMark/>
          </w:tcPr>
          <w:p w14:paraId="44777173"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140.000,00</w:t>
            </w:r>
          </w:p>
        </w:tc>
      </w:tr>
      <w:tr w:rsidR="00F70F6F" w:rsidRPr="00F70F6F" w14:paraId="0EF289A8"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2CFFE694"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107 Socijalna pomoć stanovništvu koje nije obuhvaćeno redovnim socijalnim programima</w:t>
            </w:r>
          </w:p>
        </w:tc>
        <w:tc>
          <w:tcPr>
            <w:tcW w:w="2410" w:type="dxa"/>
            <w:tcBorders>
              <w:top w:val="nil"/>
              <w:left w:val="nil"/>
              <w:bottom w:val="single" w:sz="4" w:space="0" w:color="auto"/>
              <w:right w:val="single" w:sz="4" w:space="0" w:color="auto"/>
            </w:tcBorders>
            <w:shd w:val="clear" w:color="000000" w:fill="FFFFFF"/>
            <w:noWrap/>
            <w:vAlign w:val="bottom"/>
            <w:hideMark/>
          </w:tcPr>
          <w:p w14:paraId="703D874A"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131.650,00</w:t>
            </w:r>
          </w:p>
        </w:tc>
        <w:tc>
          <w:tcPr>
            <w:tcW w:w="2268" w:type="dxa"/>
            <w:tcBorders>
              <w:top w:val="nil"/>
              <w:left w:val="nil"/>
              <w:bottom w:val="single" w:sz="4" w:space="0" w:color="auto"/>
              <w:right w:val="single" w:sz="4" w:space="0" w:color="auto"/>
            </w:tcBorders>
            <w:shd w:val="clear" w:color="000000" w:fill="FFFFFF"/>
            <w:noWrap/>
            <w:vAlign w:val="bottom"/>
            <w:hideMark/>
          </w:tcPr>
          <w:p w14:paraId="037C25B0"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24.100,00</w:t>
            </w:r>
          </w:p>
        </w:tc>
        <w:tc>
          <w:tcPr>
            <w:tcW w:w="1350" w:type="dxa"/>
            <w:tcBorders>
              <w:top w:val="nil"/>
              <w:left w:val="nil"/>
              <w:bottom w:val="single" w:sz="4" w:space="0" w:color="auto"/>
              <w:right w:val="single" w:sz="4" w:space="0" w:color="auto"/>
            </w:tcBorders>
            <w:shd w:val="clear" w:color="000000" w:fill="FFFFFF"/>
            <w:noWrap/>
            <w:vAlign w:val="bottom"/>
            <w:hideMark/>
          </w:tcPr>
          <w:p w14:paraId="4CBE7188"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18,31</w:t>
            </w:r>
          </w:p>
        </w:tc>
        <w:tc>
          <w:tcPr>
            <w:tcW w:w="2067" w:type="dxa"/>
            <w:tcBorders>
              <w:top w:val="nil"/>
              <w:left w:val="nil"/>
              <w:bottom w:val="single" w:sz="4" w:space="0" w:color="auto"/>
              <w:right w:val="single" w:sz="4" w:space="0" w:color="auto"/>
            </w:tcBorders>
            <w:shd w:val="clear" w:color="000000" w:fill="FFFFFF"/>
            <w:noWrap/>
            <w:vAlign w:val="bottom"/>
            <w:hideMark/>
          </w:tcPr>
          <w:p w14:paraId="411648C5"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155.750,00</w:t>
            </w:r>
          </w:p>
        </w:tc>
      </w:tr>
      <w:tr w:rsidR="00F70F6F" w:rsidRPr="00F70F6F" w14:paraId="550025E8" w14:textId="77777777" w:rsidTr="00F70F6F">
        <w:trPr>
          <w:trHeight w:val="264"/>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0997AE94" w14:textId="77777777" w:rsidR="00F70F6F" w:rsidRPr="00F70F6F" w:rsidRDefault="00F70F6F" w:rsidP="00F70F6F">
            <w:pPr>
              <w:rPr>
                <w:rFonts w:ascii="Arial" w:hAnsi="Arial" w:cs="Arial"/>
                <w:color w:val="000000"/>
                <w:sz w:val="20"/>
                <w:szCs w:val="20"/>
              </w:rPr>
            </w:pPr>
            <w:r w:rsidRPr="00F70F6F">
              <w:rPr>
                <w:rFonts w:ascii="Arial" w:hAnsi="Arial" w:cs="Arial"/>
                <w:color w:val="000000"/>
                <w:sz w:val="20"/>
                <w:szCs w:val="20"/>
              </w:rPr>
              <w:t>109 Aktivnosti socijalne zaštite koje nisu drugdje svrstane</w:t>
            </w:r>
          </w:p>
        </w:tc>
        <w:tc>
          <w:tcPr>
            <w:tcW w:w="2410" w:type="dxa"/>
            <w:tcBorders>
              <w:top w:val="nil"/>
              <w:left w:val="nil"/>
              <w:bottom w:val="single" w:sz="4" w:space="0" w:color="auto"/>
              <w:right w:val="single" w:sz="4" w:space="0" w:color="auto"/>
            </w:tcBorders>
            <w:shd w:val="clear" w:color="000000" w:fill="FFFFFF"/>
            <w:noWrap/>
            <w:vAlign w:val="bottom"/>
            <w:hideMark/>
          </w:tcPr>
          <w:p w14:paraId="1B110E41"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2.000,00</w:t>
            </w:r>
          </w:p>
        </w:tc>
        <w:tc>
          <w:tcPr>
            <w:tcW w:w="2268" w:type="dxa"/>
            <w:tcBorders>
              <w:top w:val="nil"/>
              <w:left w:val="nil"/>
              <w:bottom w:val="single" w:sz="4" w:space="0" w:color="auto"/>
              <w:right w:val="single" w:sz="4" w:space="0" w:color="auto"/>
            </w:tcBorders>
            <w:shd w:val="clear" w:color="000000" w:fill="FFFFFF"/>
            <w:noWrap/>
            <w:vAlign w:val="bottom"/>
            <w:hideMark/>
          </w:tcPr>
          <w:p w14:paraId="785C86B6"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10A8EFAD"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0,00</w:t>
            </w:r>
          </w:p>
        </w:tc>
        <w:tc>
          <w:tcPr>
            <w:tcW w:w="2067" w:type="dxa"/>
            <w:tcBorders>
              <w:top w:val="nil"/>
              <w:left w:val="nil"/>
              <w:bottom w:val="single" w:sz="4" w:space="0" w:color="auto"/>
              <w:right w:val="single" w:sz="4" w:space="0" w:color="auto"/>
            </w:tcBorders>
            <w:shd w:val="clear" w:color="000000" w:fill="FFFFFF"/>
            <w:noWrap/>
            <w:vAlign w:val="bottom"/>
            <w:hideMark/>
          </w:tcPr>
          <w:p w14:paraId="3BFF878E" w14:textId="77777777" w:rsidR="00F70F6F" w:rsidRPr="00F70F6F" w:rsidRDefault="00F70F6F" w:rsidP="00F70F6F">
            <w:pPr>
              <w:jc w:val="right"/>
              <w:rPr>
                <w:rFonts w:ascii="Arial" w:hAnsi="Arial" w:cs="Arial"/>
                <w:color w:val="000000"/>
                <w:sz w:val="20"/>
                <w:szCs w:val="20"/>
              </w:rPr>
            </w:pPr>
            <w:r w:rsidRPr="00F70F6F">
              <w:rPr>
                <w:rFonts w:ascii="Arial" w:hAnsi="Arial" w:cs="Arial"/>
                <w:color w:val="000000"/>
                <w:sz w:val="20"/>
                <w:szCs w:val="20"/>
              </w:rPr>
              <w:t>2.000,00</w:t>
            </w:r>
          </w:p>
        </w:tc>
      </w:tr>
    </w:tbl>
    <w:p w14:paraId="0DC4D635" w14:textId="77777777" w:rsidR="00000BC1" w:rsidRDefault="00000BC1" w:rsidP="008E4A37">
      <w:pPr>
        <w:pStyle w:val="Odlomakpopisa"/>
        <w:ind w:left="1080"/>
        <w:jc w:val="center"/>
        <w:rPr>
          <w:rFonts w:ascii="Arial" w:hAnsi="Arial" w:cs="Arial"/>
          <w:b/>
          <w:bCs/>
        </w:rPr>
      </w:pPr>
    </w:p>
    <w:p w14:paraId="4CBB7AEB" w14:textId="77777777" w:rsidR="00000BC1" w:rsidRDefault="00000BC1" w:rsidP="008E4A37">
      <w:pPr>
        <w:pStyle w:val="Odlomakpopisa"/>
        <w:ind w:left="1080"/>
        <w:jc w:val="center"/>
        <w:rPr>
          <w:rFonts w:ascii="Arial" w:hAnsi="Arial" w:cs="Arial"/>
          <w:b/>
          <w:bCs/>
        </w:rPr>
      </w:pPr>
    </w:p>
    <w:p w14:paraId="17044A8A" w14:textId="77777777" w:rsidR="00F70F6F" w:rsidRDefault="00F70F6F" w:rsidP="008E4A37">
      <w:pPr>
        <w:pStyle w:val="Odlomakpopisa"/>
        <w:ind w:left="1080"/>
        <w:jc w:val="center"/>
        <w:rPr>
          <w:rFonts w:ascii="Arial" w:hAnsi="Arial" w:cs="Arial"/>
          <w:b/>
          <w:bCs/>
        </w:rPr>
      </w:pPr>
    </w:p>
    <w:p w14:paraId="5CC7738F" w14:textId="77777777" w:rsidR="00F70F6F" w:rsidRDefault="00F70F6F" w:rsidP="008E4A37">
      <w:pPr>
        <w:pStyle w:val="Odlomakpopisa"/>
        <w:ind w:left="1080"/>
        <w:jc w:val="center"/>
        <w:rPr>
          <w:rFonts w:ascii="Arial" w:hAnsi="Arial" w:cs="Arial"/>
          <w:b/>
          <w:bCs/>
        </w:rPr>
      </w:pPr>
    </w:p>
    <w:p w14:paraId="7563ADA0" w14:textId="77777777" w:rsidR="00F70F6F" w:rsidRDefault="00F70F6F" w:rsidP="008E4A37">
      <w:pPr>
        <w:pStyle w:val="Odlomakpopisa"/>
        <w:ind w:left="1080"/>
        <w:jc w:val="center"/>
        <w:rPr>
          <w:rFonts w:ascii="Arial" w:hAnsi="Arial" w:cs="Arial"/>
          <w:b/>
          <w:bCs/>
        </w:rPr>
      </w:pPr>
    </w:p>
    <w:p w14:paraId="48F676D1" w14:textId="77777777" w:rsidR="00F70F6F" w:rsidRDefault="00F70F6F" w:rsidP="008E4A37">
      <w:pPr>
        <w:pStyle w:val="Odlomakpopisa"/>
        <w:ind w:left="1080"/>
        <w:jc w:val="center"/>
        <w:rPr>
          <w:rFonts w:ascii="Arial" w:hAnsi="Arial" w:cs="Arial"/>
          <w:b/>
          <w:bCs/>
        </w:rPr>
      </w:pPr>
    </w:p>
    <w:p w14:paraId="53188047" w14:textId="77777777" w:rsidR="00F70F6F" w:rsidRDefault="00F70F6F" w:rsidP="008E4A37">
      <w:pPr>
        <w:pStyle w:val="Odlomakpopisa"/>
        <w:ind w:left="1080"/>
        <w:jc w:val="center"/>
        <w:rPr>
          <w:rFonts w:ascii="Arial" w:hAnsi="Arial" w:cs="Arial"/>
          <w:b/>
          <w:bCs/>
        </w:rPr>
      </w:pPr>
    </w:p>
    <w:p w14:paraId="443FDE4A" w14:textId="77777777" w:rsidR="00F70F6F" w:rsidRDefault="00F70F6F" w:rsidP="008E4A37">
      <w:pPr>
        <w:pStyle w:val="Odlomakpopisa"/>
        <w:ind w:left="1080"/>
        <w:jc w:val="center"/>
        <w:rPr>
          <w:rFonts w:ascii="Arial" w:hAnsi="Arial" w:cs="Arial"/>
          <w:b/>
          <w:bCs/>
        </w:rPr>
      </w:pPr>
    </w:p>
    <w:p w14:paraId="614674B4" w14:textId="77777777" w:rsidR="00F70F6F" w:rsidRDefault="00F70F6F" w:rsidP="008E4A37">
      <w:pPr>
        <w:pStyle w:val="Odlomakpopisa"/>
        <w:ind w:left="1080"/>
        <w:jc w:val="center"/>
        <w:rPr>
          <w:rFonts w:ascii="Arial" w:hAnsi="Arial" w:cs="Arial"/>
          <w:b/>
          <w:bCs/>
        </w:rPr>
      </w:pPr>
    </w:p>
    <w:p w14:paraId="532794D8" w14:textId="77777777" w:rsidR="00F70F6F" w:rsidRDefault="00F70F6F" w:rsidP="008E4A37">
      <w:pPr>
        <w:pStyle w:val="Odlomakpopisa"/>
        <w:ind w:left="1080"/>
        <w:jc w:val="center"/>
        <w:rPr>
          <w:rFonts w:ascii="Arial" w:hAnsi="Arial" w:cs="Arial"/>
          <w:b/>
          <w:bCs/>
        </w:rPr>
      </w:pPr>
    </w:p>
    <w:p w14:paraId="20F91FAE" w14:textId="77777777" w:rsidR="00F70F6F" w:rsidRDefault="00F70F6F" w:rsidP="008E4A37">
      <w:pPr>
        <w:pStyle w:val="Odlomakpopisa"/>
        <w:ind w:left="1080"/>
        <w:jc w:val="center"/>
        <w:rPr>
          <w:rFonts w:ascii="Arial" w:hAnsi="Arial" w:cs="Arial"/>
          <w:b/>
          <w:bCs/>
        </w:rPr>
      </w:pPr>
    </w:p>
    <w:p w14:paraId="2EB80196" w14:textId="77777777" w:rsidR="00F70F6F" w:rsidRDefault="00F70F6F" w:rsidP="008E4A37">
      <w:pPr>
        <w:pStyle w:val="Odlomakpopisa"/>
        <w:ind w:left="1080"/>
        <w:jc w:val="center"/>
        <w:rPr>
          <w:rFonts w:ascii="Arial" w:hAnsi="Arial" w:cs="Arial"/>
          <w:b/>
          <w:bCs/>
        </w:rPr>
      </w:pPr>
    </w:p>
    <w:p w14:paraId="51108479" w14:textId="77777777" w:rsidR="00670BA2" w:rsidRDefault="00670BA2" w:rsidP="008E4A37">
      <w:pPr>
        <w:pStyle w:val="Odlomakpopisa"/>
        <w:ind w:left="1080"/>
        <w:jc w:val="center"/>
        <w:rPr>
          <w:rFonts w:ascii="Arial" w:hAnsi="Arial" w:cs="Arial"/>
          <w:b/>
          <w:bCs/>
        </w:rPr>
      </w:pPr>
    </w:p>
    <w:p w14:paraId="7B4C5F2B" w14:textId="77777777" w:rsidR="00F70F6F" w:rsidRDefault="00F70F6F" w:rsidP="008E4A37">
      <w:pPr>
        <w:pStyle w:val="Odlomakpopisa"/>
        <w:ind w:left="1080"/>
        <w:jc w:val="center"/>
        <w:rPr>
          <w:rFonts w:ascii="Arial" w:hAnsi="Arial" w:cs="Arial"/>
          <w:b/>
          <w:bCs/>
        </w:rPr>
      </w:pPr>
    </w:p>
    <w:p w14:paraId="7A73AF26" w14:textId="77777777" w:rsidR="00000BC1" w:rsidRDefault="00000BC1" w:rsidP="00000BC1">
      <w:pPr>
        <w:rPr>
          <w:rFonts w:ascii="Arial" w:hAnsi="Arial" w:cs="Arial"/>
          <w:b/>
          <w:bCs/>
          <w:sz w:val="16"/>
          <w:szCs w:val="16"/>
        </w:rPr>
      </w:pPr>
      <w:r w:rsidRPr="0029467F">
        <w:rPr>
          <w:rFonts w:ascii="Arial" w:hAnsi="Arial" w:cs="Arial"/>
          <w:b/>
          <w:bCs/>
          <w:sz w:val="16"/>
          <w:szCs w:val="16"/>
        </w:rPr>
        <w:lastRenderedPageBreak/>
        <w:t>GRAD LABIN</w:t>
      </w:r>
    </w:p>
    <w:p w14:paraId="431344A2" w14:textId="77777777" w:rsidR="00000BC1" w:rsidRPr="0029467F" w:rsidRDefault="00000BC1" w:rsidP="00000BC1">
      <w:pPr>
        <w:rPr>
          <w:rFonts w:ascii="Arial" w:hAnsi="Arial" w:cs="Arial"/>
          <w:b/>
          <w:bCs/>
          <w:sz w:val="16"/>
          <w:szCs w:val="16"/>
        </w:rPr>
      </w:pPr>
      <w:r w:rsidRPr="0029467F">
        <w:rPr>
          <w:rFonts w:ascii="Arial" w:hAnsi="Arial" w:cs="Arial"/>
          <w:b/>
          <w:bCs/>
          <w:sz w:val="16"/>
          <w:szCs w:val="16"/>
        </w:rPr>
        <w:t>TITOV TRG 11</w:t>
      </w:r>
    </w:p>
    <w:p w14:paraId="4365DDC1" w14:textId="553CD032" w:rsidR="00F240A7" w:rsidRDefault="00000BC1" w:rsidP="00000BC1">
      <w:pPr>
        <w:rPr>
          <w:rFonts w:ascii="Arial" w:hAnsi="Arial" w:cs="Arial"/>
          <w:b/>
          <w:bCs/>
          <w:sz w:val="16"/>
          <w:szCs w:val="16"/>
        </w:rPr>
      </w:pPr>
      <w:r w:rsidRPr="0029467F">
        <w:rPr>
          <w:rFonts w:ascii="Arial" w:hAnsi="Arial" w:cs="Arial"/>
          <w:b/>
          <w:bCs/>
          <w:sz w:val="16"/>
          <w:szCs w:val="16"/>
        </w:rPr>
        <w:t>LABIN 52220</w:t>
      </w:r>
    </w:p>
    <w:p w14:paraId="7C352A7A" w14:textId="77777777" w:rsidR="00000BC1" w:rsidRPr="0029467F" w:rsidRDefault="00000BC1" w:rsidP="00000BC1">
      <w:pPr>
        <w:rPr>
          <w:rFonts w:ascii="Arial" w:hAnsi="Arial" w:cs="Arial"/>
          <w:b/>
          <w:bCs/>
          <w:sz w:val="16"/>
          <w:szCs w:val="16"/>
        </w:rPr>
      </w:pPr>
      <w:r w:rsidRPr="0029467F">
        <w:rPr>
          <w:rFonts w:ascii="Arial" w:hAnsi="Arial" w:cs="Arial"/>
          <w:b/>
          <w:bCs/>
          <w:sz w:val="16"/>
          <w:szCs w:val="16"/>
        </w:rPr>
        <w:t>OIB: 19041331726</w:t>
      </w:r>
    </w:p>
    <w:p w14:paraId="297EB010" w14:textId="77777777" w:rsidR="00000BC1" w:rsidRDefault="00000BC1" w:rsidP="00000BC1">
      <w:pPr>
        <w:rPr>
          <w:rFonts w:ascii="Arial" w:hAnsi="Arial" w:cs="Arial"/>
          <w:b/>
        </w:rPr>
      </w:pPr>
    </w:p>
    <w:p w14:paraId="6C861F3C" w14:textId="512325DC" w:rsidR="009250B8" w:rsidRPr="00D2293F" w:rsidRDefault="008E4A37" w:rsidP="008E4A37">
      <w:pPr>
        <w:pStyle w:val="Odlomakpopisa"/>
        <w:ind w:left="1080"/>
        <w:jc w:val="center"/>
        <w:rPr>
          <w:rFonts w:ascii="Arial" w:hAnsi="Arial" w:cs="Arial"/>
          <w:b/>
          <w:bCs/>
          <w:sz w:val="24"/>
        </w:rPr>
      </w:pPr>
      <w:r w:rsidRPr="00D2293F">
        <w:rPr>
          <w:rFonts w:ascii="Arial" w:hAnsi="Arial" w:cs="Arial"/>
          <w:b/>
          <w:bCs/>
          <w:sz w:val="24"/>
        </w:rPr>
        <w:t>1.2.</w:t>
      </w:r>
      <w:r w:rsidR="009250B8" w:rsidRPr="00D2293F">
        <w:rPr>
          <w:rFonts w:ascii="Arial" w:hAnsi="Arial" w:cs="Arial"/>
          <w:sz w:val="24"/>
        </w:rPr>
        <w:t xml:space="preserve"> </w:t>
      </w:r>
      <w:r w:rsidR="009250B8" w:rsidRPr="00D2293F">
        <w:rPr>
          <w:rFonts w:ascii="Arial" w:hAnsi="Arial" w:cs="Arial"/>
          <w:b/>
          <w:bCs/>
          <w:sz w:val="24"/>
        </w:rPr>
        <w:t>RAČUN FINANCIRANJA</w:t>
      </w:r>
    </w:p>
    <w:p w14:paraId="5E3B5BB9" w14:textId="77777777" w:rsidR="008E4A37" w:rsidRDefault="008E4A37" w:rsidP="008E4A37">
      <w:pPr>
        <w:pStyle w:val="Odlomakpopisa"/>
        <w:ind w:left="1080"/>
        <w:jc w:val="center"/>
        <w:rPr>
          <w:rFonts w:ascii="Arial" w:hAnsi="Arial" w:cs="Arial"/>
          <w:b/>
          <w:bCs/>
        </w:rPr>
      </w:pPr>
    </w:p>
    <w:p w14:paraId="090DB722" w14:textId="767F3EB6" w:rsidR="008E4A37" w:rsidRDefault="008E4A37" w:rsidP="008E4A37">
      <w:pPr>
        <w:pStyle w:val="Odlomakpopisa"/>
        <w:ind w:left="1080"/>
        <w:jc w:val="center"/>
        <w:rPr>
          <w:rFonts w:ascii="Arial" w:hAnsi="Arial" w:cs="Arial"/>
          <w:b/>
          <w:bCs/>
        </w:rPr>
      </w:pPr>
      <w:r>
        <w:rPr>
          <w:rFonts w:ascii="Arial" w:hAnsi="Arial" w:cs="Arial"/>
          <w:b/>
          <w:bCs/>
        </w:rPr>
        <w:t>1.2.1. RAČUN FINANCIRANJA PREMA EKONOMSKOJ KLASIFIKACIJI</w:t>
      </w:r>
    </w:p>
    <w:p w14:paraId="3194672C" w14:textId="77777777" w:rsidR="00093BBE" w:rsidRPr="008E4A37" w:rsidRDefault="00093BBE" w:rsidP="008E4A37">
      <w:pPr>
        <w:pStyle w:val="Odlomakpopisa"/>
        <w:ind w:left="1080"/>
        <w:jc w:val="center"/>
        <w:rPr>
          <w:rFonts w:ascii="Arial" w:hAnsi="Arial" w:cs="Arial"/>
          <w:b/>
          <w:bCs/>
        </w:rPr>
      </w:pPr>
    </w:p>
    <w:p w14:paraId="6DC27106" w14:textId="37B26CED" w:rsidR="006037DA" w:rsidRPr="00093BBE" w:rsidRDefault="007F4D04" w:rsidP="00093BBE">
      <w:pPr>
        <w:pStyle w:val="Odlomakpopisa"/>
        <w:spacing w:after="0" w:line="240" w:lineRule="auto"/>
        <w:ind w:left="12744"/>
        <w:rPr>
          <w:rFonts w:ascii="Arial" w:hAnsi="Arial" w:cs="Arial"/>
          <w:bCs/>
          <w:sz w:val="20"/>
          <w:szCs w:val="20"/>
        </w:rPr>
      </w:pPr>
      <w:r w:rsidRPr="00093BBE">
        <w:rPr>
          <w:rFonts w:ascii="Arial" w:hAnsi="Arial" w:cs="Arial"/>
          <w:b/>
          <w:sz w:val="20"/>
          <w:szCs w:val="20"/>
        </w:rPr>
        <w:t xml:space="preserve">      </w:t>
      </w:r>
      <w:r w:rsidR="00093BBE" w:rsidRPr="00093BBE">
        <w:rPr>
          <w:rFonts w:ascii="Arial" w:hAnsi="Arial" w:cs="Arial"/>
          <w:b/>
          <w:sz w:val="20"/>
          <w:szCs w:val="20"/>
        </w:rPr>
        <w:t>U EUR</w:t>
      </w:r>
      <w:r w:rsidRPr="00093BBE">
        <w:rPr>
          <w:rFonts w:ascii="Arial" w:hAnsi="Arial" w:cs="Arial"/>
          <w:b/>
          <w:sz w:val="20"/>
          <w:szCs w:val="20"/>
        </w:rPr>
        <w:t xml:space="preserve">        </w:t>
      </w:r>
    </w:p>
    <w:tbl>
      <w:tblPr>
        <w:tblW w:w="14029" w:type="dxa"/>
        <w:tblLook w:val="04A0" w:firstRow="1" w:lastRow="0" w:firstColumn="1" w:lastColumn="0" w:noHBand="0" w:noVBand="1"/>
      </w:tblPr>
      <w:tblGrid>
        <w:gridCol w:w="1181"/>
        <w:gridCol w:w="5668"/>
        <w:gridCol w:w="1793"/>
        <w:gridCol w:w="1992"/>
        <w:gridCol w:w="1531"/>
        <w:gridCol w:w="1864"/>
      </w:tblGrid>
      <w:tr w:rsidR="00716C4B" w14:paraId="169611FF" w14:textId="77777777" w:rsidTr="00716C4B">
        <w:trPr>
          <w:trHeight w:val="559"/>
        </w:trPr>
        <w:tc>
          <w:tcPr>
            <w:tcW w:w="1181" w:type="dxa"/>
            <w:tcBorders>
              <w:top w:val="single" w:sz="4" w:space="0" w:color="auto"/>
              <w:left w:val="single" w:sz="4" w:space="0" w:color="auto"/>
              <w:bottom w:val="single" w:sz="4" w:space="0" w:color="auto"/>
              <w:right w:val="single" w:sz="4" w:space="0" w:color="auto"/>
            </w:tcBorders>
            <w:shd w:val="clear" w:color="000000" w:fill="A6A6A6"/>
            <w:vAlign w:val="bottom"/>
            <w:hideMark/>
          </w:tcPr>
          <w:p w14:paraId="33E88237" w14:textId="77777777" w:rsidR="00716C4B" w:rsidRDefault="00716C4B" w:rsidP="00093BBE">
            <w:pPr>
              <w:rPr>
                <w:rFonts w:ascii="Arial" w:hAnsi="Arial" w:cs="Arial"/>
                <w:b/>
                <w:bCs/>
                <w:sz w:val="20"/>
                <w:szCs w:val="20"/>
              </w:rPr>
            </w:pPr>
            <w:r>
              <w:rPr>
                <w:rFonts w:ascii="Arial" w:hAnsi="Arial" w:cs="Arial"/>
                <w:b/>
                <w:bCs/>
                <w:sz w:val="20"/>
                <w:szCs w:val="20"/>
              </w:rPr>
              <w:t xml:space="preserve">BROJ </w:t>
            </w:r>
            <w:r>
              <w:rPr>
                <w:rFonts w:ascii="Arial" w:hAnsi="Arial" w:cs="Arial"/>
                <w:b/>
                <w:bCs/>
                <w:sz w:val="20"/>
                <w:szCs w:val="20"/>
              </w:rPr>
              <w:br/>
              <w:t>KONTA</w:t>
            </w:r>
          </w:p>
        </w:tc>
        <w:tc>
          <w:tcPr>
            <w:tcW w:w="5668" w:type="dxa"/>
            <w:tcBorders>
              <w:top w:val="single" w:sz="4" w:space="0" w:color="auto"/>
              <w:left w:val="nil"/>
              <w:bottom w:val="single" w:sz="4" w:space="0" w:color="auto"/>
              <w:right w:val="single" w:sz="4" w:space="0" w:color="auto"/>
            </w:tcBorders>
            <w:shd w:val="clear" w:color="000000" w:fill="A6A6A6"/>
            <w:noWrap/>
            <w:vAlign w:val="bottom"/>
            <w:hideMark/>
          </w:tcPr>
          <w:p w14:paraId="79D8563D" w14:textId="77777777" w:rsidR="00716C4B" w:rsidRDefault="00716C4B" w:rsidP="00093BBE">
            <w:pPr>
              <w:rPr>
                <w:rFonts w:ascii="Arial" w:hAnsi="Arial" w:cs="Arial"/>
                <w:b/>
                <w:bCs/>
                <w:sz w:val="20"/>
                <w:szCs w:val="20"/>
              </w:rPr>
            </w:pPr>
            <w:r>
              <w:rPr>
                <w:rFonts w:ascii="Arial" w:hAnsi="Arial" w:cs="Arial"/>
                <w:b/>
                <w:bCs/>
                <w:sz w:val="20"/>
                <w:szCs w:val="20"/>
              </w:rPr>
              <w:t>VRSTA PRIMITAKA / IZDATAKA</w:t>
            </w:r>
          </w:p>
        </w:tc>
        <w:tc>
          <w:tcPr>
            <w:tcW w:w="1793" w:type="dxa"/>
            <w:tcBorders>
              <w:top w:val="single" w:sz="4" w:space="0" w:color="auto"/>
              <w:left w:val="nil"/>
              <w:bottom w:val="single" w:sz="4" w:space="0" w:color="auto"/>
              <w:right w:val="single" w:sz="4" w:space="0" w:color="auto"/>
            </w:tcBorders>
            <w:shd w:val="clear" w:color="000000" w:fill="A6A6A6"/>
            <w:noWrap/>
            <w:vAlign w:val="bottom"/>
            <w:hideMark/>
          </w:tcPr>
          <w:p w14:paraId="7B714F54" w14:textId="77777777" w:rsidR="00716C4B" w:rsidRDefault="00716C4B" w:rsidP="00093BBE">
            <w:pPr>
              <w:rPr>
                <w:rFonts w:ascii="Arial" w:hAnsi="Arial" w:cs="Arial"/>
                <w:b/>
                <w:bCs/>
                <w:sz w:val="20"/>
                <w:szCs w:val="20"/>
              </w:rPr>
            </w:pPr>
            <w:r>
              <w:rPr>
                <w:rFonts w:ascii="Arial" w:hAnsi="Arial" w:cs="Arial"/>
                <w:b/>
                <w:bCs/>
                <w:sz w:val="20"/>
                <w:szCs w:val="20"/>
              </w:rPr>
              <w:t>PLAN ZA 2025.</w:t>
            </w:r>
          </w:p>
        </w:tc>
        <w:tc>
          <w:tcPr>
            <w:tcW w:w="1992" w:type="dxa"/>
            <w:tcBorders>
              <w:top w:val="single" w:sz="4" w:space="0" w:color="auto"/>
              <w:left w:val="nil"/>
              <w:bottom w:val="single" w:sz="4" w:space="0" w:color="auto"/>
              <w:right w:val="single" w:sz="4" w:space="0" w:color="auto"/>
            </w:tcBorders>
            <w:shd w:val="clear" w:color="000000" w:fill="A6A6A6"/>
            <w:noWrap/>
            <w:vAlign w:val="bottom"/>
            <w:hideMark/>
          </w:tcPr>
          <w:p w14:paraId="44FD3C61" w14:textId="77777777" w:rsidR="00716C4B" w:rsidRDefault="00716C4B" w:rsidP="00093BBE">
            <w:pPr>
              <w:rPr>
                <w:rFonts w:ascii="Arial" w:hAnsi="Arial" w:cs="Arial"/>
                <w:b/>
                <w:bCs/>
                <w:sz w:val="20"/>
                <w:szCs w:val="20"/>
              </w:rPr>
            </w:pPr>
            <w:r>
              <w:rPr>
                <w:rFonts w:ascii="Arial" w:hAnsi="Arial" w:cs="Arial"/>
                <w:b/>
                <w:bCs/>
                <w:sz w:val="20"/>
                <w:szCs w:val="20"/>
              </w:rPr>
              <w:t>POVEĆANJE/ SMANJENJE</w:t>
            </w:r>
          </w:p>
        </w:tc>
        <w:tc>
          <w:tcPr>
            <w:tcW w:w="1531" w:type="dxa"/>
            <w:tcBorders>
              <w:top w:val="single" w:sz="4" w:space="0" w:color="auto"/>
              <w:left w:val="nil"/>
              <w:bottom w:val="single" w:sz="4" w:space="0" w:color="auto"/>
              <w:right w:val="single" w:sz="4" w:space="0" w:color="auto"/>
            </w:tcBorders>
            <w:shd w:val="clear" w:color="000000" w:fill="A6A6A6"/>
            <w:vAlign w:val="bottom"/>
            <w:hideMark/>
          </w:tcPr>
          <w:p w14:paraId="4202409C" w14:textId="77777777" w:rsidR="00716C4B" w:rsidRDefault="00716C4B" w:rsidP="00093BBE">
            <w:pPr>
              <w:rPr>
                <w:rFonts w:ascii="Arial" w:hAnsi="Arial" w:cs="Arial"/>
                <w:b/>
                <w:bCs/>
                <w:sz w:val="20"/>
                <w:szCs w:val="20"/>
              </w:rPr>
            </w:pPr>
            <w:r>
              <w:rPr>
                <w:rFonts w:ascii="Arial" w:hAnsi="Arial" w:cs="Arial"/>
                <w:b/>
                <w:bCs/>
                <w:sz w:val="20"/>
                <w:szCs w:val="20"/>
              </w:rPr>
              <w:t>PROMJENA</w:t>
            </w:r>
          </w:p>
        </w:tc>
        <w:tc>
          <w:tcPr>
            <w:tcW w:w="1864" w:type="dxa"/>
            <w:tcBorders>
              <w:top w:val="single" w:sz="4" w:space="0" w:color="auto"/>
              <w:left w:val="nil"/>
              <w:bottom w:val="single" w:sz="4" w:space="0" w:color="auto"/>
              <w:right w:val="single" w:sz="4" w:space="0" w:color="auto"/>
            </w:tcBorders>
            <w:shd w:val="clear" w:color="000000" w:fill="A6A6A6"/>
            <w:noWrap/>
            <w:vAlign w:val="bottom"/>
            <w:hideMark/>
          </w:tcPr>
          <w:p w14:paraId="6B7585AC" w14:textId="77777777" w:rsidR="00716C4B" w:rsidRDefault="00716C4B" w:rsidP="00093BBE">
            <w:pPr>
              <w:rPr>
                <w:rFonts w:ascii="Arial" w:hAnsi="Arial" w:cs="Arial"/>
                <w:b/>
                <w:bCs/>
                <w:sz w:val="20"/>
                <w:szCs w:val="20"/>
              </w:rPr>
            </w:pPr>
            <w:r>
              <w:rPr>
                <w:rFonts w:ascii="Arial" w:hAnsi="Arial" w:cs="Arial"/>
                <w:b/>
                <w:bCs/>
                <w:sz w:val="20"/>
                <w:szCs w:val="20"/>
              </w:rPr>
              <w:t>NOVI PLAN ZA 2025.</w:t>
            </w:r>
          </w:p>
        </w:tc>
      </w:tr>
      <w:tr w:rsidR="00716C4B" w14:paraId="20678F9A" w14:textId="77777777" w:rsidTr="00716C4B">
        <w:trPr>
          <w:trHeight w:val="279"/>
        </w:trPr>
        <w:tc>
          <w:tcPr>
            <w:tcW w:w="6849" w:type="dxa"/>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163D1684" w14:textId="77777777" w:rsidR="00716C4B" w:rsidRDefault="00716C4B">
            <w:pPr>
              <w:rPr>
                <w:rFonts w:ascii="Arial" w:hAnsi="Arial" w:cs="Arial"/>
                <w:b/>
                <w:bCs/>
                <w:sz w:val="20"/>
                <w:szCs w:val="20"/>
              </w:rPr>
            </w:pPr>
            <w:r>
              <w:rPr>
                <w:rFonts w:ascii="Arial" w:hAnsi="Arial" w:cs="Arial"/>
                <w:b/>
                <w:bCs/>
                <w:sz w:val="20"/>
                <w:szCs w:val="20"/>
              </w:rPr>
              <w:t xml:space="preserve">  SVEUKUPNO PRIHODI</w:t>
            </w:r>
          </w:p>
        </w:tc>
        <w:tc>
          <w:tcPr>
            <w:tcW w:w="1793" w:type="dxa"/>
            <w:tcBorders>
              <w:top w:val="nil"/>
              <w:left w:val="nil"/>
              <w:bottom w:val="single" w:sz="4" w:space="0" w:color="auto"/>
              <w:right w:val="single" w:sz="4" w:space="0" w:color="auto"/>
            </w:tcBorders>
            <w:shd w:val="clear" w:color="000000" w:fill="BFBFBF"/>
            <w:noWrap/>
            <w:vAlign w:val="bottom"/>
            <w:hideMark/>
          </w:tcPr>
          <w:p w14:paraId="4095863E" w14:textId="77777777" w:rsidR="00716C4B" w:rsidRDefault="00716C4B">
            <w:pPr>
              <w:jc w:val="right"/>
              <w:rPr>
                <w:rFonts w:ascii="Arial" w:hAnsi="Arial" w:cs="Arial"/>
                <w:b/>
                <w:bCs/>
                <w:sz w:val="20"/>
                <w:szCs w:val="20"/>
              </w:rPr>
            </w:pPr>
            <w:r>
              <w:rPr>
                <w:rFonts w:ascii="Arial" w:hAnsi="Arial" w:cs="Arial"/>
                <w:b/>
                <w:bCs/>
                <w:sz w:val="20"/>
                <w:szCs w:val="20"/>
              </w:rPr>
              <w:t>0,00</w:t>
            </w:r>
          </w:p>
        </w:tc>
        <w:tc>
          <w:tcPr>
            <w:tcW w:w="1992" w:type="dxa"/>
            <w:tcBorders>
              <w:top w:val="nil"/>
              <w:left w:val="nil"/>
              <w:bottom w:val="single" w:sz="4" w:space="0" w:color="auto"/>
              <w:right w:val="single" w:sz="4" w:space="0" w:color="auto"/>
            </w:tcBorders>
            <w:shd w:val="clear" w:color="000000" w:fill="BFBFBF"/>
            <w:noWrap/>
            <w:vAlign w:val="bottom"/>
            <w:hideMark/>
          </w:tcPr>
          <w:p w14:paraId="434BCC85" w14:textId="77777777" w:rsidR="00716C4B" w:rsidRDefault="00716C4B">
            <w:pPr>
              <w:jc w:val="right"/>
              <w:rPr>
                <w:rFonts w:ascii="Arial" w:hAnsi="Arial" w:cs="Arial"/>
                <w:b/>
                <w:bCs/>
                <w:sz w:val="20"/>
                <w:szCs w:val="20"/>
              </w:rPr>
            </w:pPr>
            <w:r>
              <w:rPr>
                <w:rFonts w:ascii="Arial" w:hAnsi="Arial" w:cs="Arial"/>
                <w:b/>
                <w:bCs/>
                <w:sz w:val="20"/>
                <w:szCs w:val="20"/>
              </w:rPr>
              <w:t>0,00</w:t>
            </w:r>
          </w:p>
        </w:tc>
        <w:tc>
          <w:tcPr>
            <w:tcW w:w="1531" w:type="dxa"/>
            <w:tcBorders>
              <w:top w:val="nil"/>
              <w:left w:val="nil"/>
              <w:bottom w:val="single" w:sz="4" w:space="0" w:color="auto"/>
              <w:right w:val="single" w:sz="4" w:space="0" w:color="auto"/>
            </w:tcBorders>
            <w:shd w:val="clear" w:color="000000" w:fill="BFBFBF"/>
            <w:noWrap/>
            <w:vAlign w:val="bottom"/>
            <w:hideMark/>
          </w:tcPr>
          <w:p w14:paraId="4DF1D58B" w14:textId="77777777" w:rsidR="00716C4B" w:rsidRDefault="00716C4B">
            <w:pPr>
              <w:jc w:val="right"/>
              <w:rPr>
                <w:rFonts w:ascii="Arial" w:hAnsi="Arial" w:cs="Arial"/>
                <w:b/>
                <w:bCs/>
                <w:sz w:val="20"/>
                <w:szCs w:val="20"/>
              </w:rPr>
            </w:pPr>
            <w:r>
              <w:rPr>
                <w:rFonts w:ascii="Arial" w:hAnsi="Arial" w:cs="Arial"/>
                <w:b/>
                <w:bCs/>
                <w:sz w:val="20"/>
                <w:szCs w:val="20"/>
              </w:rPr>
              <w:t>0,00</w:t>
            </w:r>
          </w:p>
        </w:tc>
        <w:tc>
          <w:tcPr>
            <w:tcW w:w="1864" w:type="dxa"/>
            <w:tcBorders>
              <w:top w:val="nil"/>
              <w:left w:val="nil"/>
              <w:bottom w:val="single" w:sz="4" w:space="0" w:color="auto"/>
              <w:right w:val="single" w:sz="4" w:space="0" w:color="auto"/>
            </w:tcBorders>
            <w:shd w:val="clear" w:color="000000" w:fill="BFBFBF"/>
            <w:noWrap/>
            <w:vAlign w:val="bottom"/>
            <w:hideMark/>
          </w:tcPr>
          <w:p w14:paraId="519A1D6C" w14:textId="77777777" w:rsidR="00716C4B" w:rsidRDefault="00716C4B">
            <w:pPr>
              <w:jc w:val="right"/>
              <w:rPr>
                <w:rFonts w:ascii="Arial" w:hAnsi="Arial" w:cs="Arial"/>
                <w:b/>
                <w:bCs/>
                <w:sz w:val="20"/>
                <w:szCs w:val="20"/>
              </w:rPr>
            </w:pPr>
            <w:r>
              <w:rPr>
                <w:rFonts w:ascii="Arial" w:hAnsi="Arial" w:cs="Arial"/>
                <w:b/>
                <w:bCs/>
                <w:sz w:val="20"/>
                <w:szCs w:val="20"/>
              </w:rPr>
              <w:t>0,00</w:t>
            </w:r>
          </w:p>
        </w:tc>
      </w:tr>
      <w:tr w:rsidR="00716C4B" w14:paraId="60009B5F" w14:textId="77777777" w:rsidTr="00716C4B">
        <w:trPr>
          <w:trHeight w:val="279"/>
        </w:trPr>
        <w:tc>
          <w:tcPr>
            <w:tcW w:w="1181" w:type="dxa"/>
            <w:tcBorders>
              <w:top w:val="nil"/>
              <w:left w:val="single" w:sz="4" w:space="0" w:color="auto"/>
              <w:bottom w:val="single" w:sz="4" w:space="0" w:color="auto"/>
              <w:right w:val="single" w:sz="4" w:space="0" w:color="auto"/>
            </w:tcBorders>
            <w:shd w:val="clear" w:color="000000" w:fill="D9D9D9"/>
            <w:noWrap/>
            <w:vAlign w:val="bottom"/>
            <w:hideMark/>
          </w:tcPr>
          <w:p w14:paraId="3FFCD8D8" w14:textId="77777777" w:rsidR="00716C4B" w:rsidRDefault="00716C4B">
            <w:pPr>
              <w:rPr>
                <w:rFonts w:ascii="Arial" w:hAnsi="Arial" w:cs="Arial"/>
                <w:b/>
                <w:bCs/>
                <w:sz w:val="20"/>
                <w:szCs w:val="20"/>
              </w:rPr>
            </w:pPr>
            <w:r>
              <w:rPr>
                <w:rFonts w:ascii="Arial" w:hAnsi="Arial" w:cs="Arial"/>
                <w:b/>
                <w:bCs/>
                <w:sz w:val="20"/>
                <w:szCs w:val="20"/>
              </w:rPr>
              <w:t>8</w:t>
            </w:r>
          </w:p>
        </w:tc>
        <w:tc>
          <w:tcPr>
            <w:tcW w:w="5668" w:type="dxa"/>
            <w:tcBorders>
              <w:top w:val="nil"/>
              <w:left w:val="nil"/>
              <w:bottom w:val="single" w:sz="4" w:space="0" w:color="auto"/>
              <w:right w:val="single" w:sz="4" w:space="0" w:color="auto"/>
            </w:tcBorders>
            <w:shd w:val="clear" w:color="000000" w:fill="D9D9D9"/>
            <w:noWrap/>
            <w:vAlign w:val="bottom"/>
            <w:hideMark/>
          </w:tcPr>
          <w:p w14:paraId="62179E66" w14:textId="77777777" w:rsidR="00716C4B" w:rsidRDefault="00716C4B">
            <w:pPr>
              <w:rPr>
                <w:rFonts w:ascii="Arial" w:hAnsi="Arial" w:cs="Arial"/>
                <w:b/>
                <w:bCs/>
                <w:sz w:val="20"/>
                <w:szCs w:val="20"/>
              </w:rPr>
            </w:pPr>
            <w:r>
              <w:rPr>
                <w:rFonts w:ascii="Arial" w:hAnsi="Arial" w:cs="Arial"/>
                <w:b/>
                <w:bCs/>
                <w:sz w:val="20"/>
                <w:szCs w:val="20"/>
              </w:rPr>
              <w:t>Primici od financijske imovine i zaduživanja</w:t>
            </w:r>
          </w:p>
        </w:tc>
        <w:tc>
          <w:tcPr>
            <w:tcW w:w="1793" w:type="dxa"/>
            <w:tcBorders>
              <w:top w:val="nil"/>
              <w:left w:val="nil"/>
              <w:bottom w:val="single" w:sz="4" w:space="0" w:color="auto"/>
              <w:right w:val="single" w:sz="4" w:space="0" w:color="auto"/>
            </w:tcBorders>
            <w:shd w:val="clear" w:color="000000" w:fill="D9D9D9"/>
            <w:noWrap/>
            <w:vAlign w:val="bottom"/>
            <w:hideMark/>
          </w:tcPr>
          <w:p w14:paraId="3F249748" w14:textId="77777777" w:rsidR="00716C4B" w:rsidRDefault="00716C4B">
            <w:pPr>
              <w:jc w:val="right"/>
              <w:rPr>
                <w:rFonts w:ascii="Arial" w:hAnsi="Arial" w:cs="Arial"/>
                <w:b/>
                <w:bCs/>
                <w:sz w:val="20"/>
                <w:szCs w:val="20"/>
              </w:rPr>
            </w:pPr>
            <w:r>
              <w:rPr>
                <w:rFonts w:ascii="Arial" w:hAnsi="Arial" w:cs="Arial"/>
                <w:b/>
                <w:bCs/>
                <w:sz w:val="20"/>
                <w:szCs w:val="20"/>
              </w:rPr>
              <w:t>0,00</w:t>
            </w:r>
          </w:p>
        </w:tc>
        <w:tc>
          <w:tcPr>
            <w:tcW w:w="1992" w:type="dxa"/>
            <w:tcBorders>
              <w:top w:val="nil"/>
              <w:left w:val="nil"/>
              <w:bottom w:val="single" w:sz="4" w:space="0" w:color="auto"/>
              <w:right w:val="single" w:sz="4" w:space="0" w:color="auto"/>
            </w:tcBorders>
            <w:shd w:val="clear" w:color="000000" w:fill="D9D9D9"/>
            <w:noWrap/>
            <w:vAlign w:val="bottom"/>
            <w:hideMark/>
          </w:tcPr>
          <w:p w14:paraId="79CC7208" w14:textId="77777777" w:rsidR="00716C4B" w:rsidRDefault="00716C4B">
            <w:pPr>
              <w:jc w:val="right"/>
              <w:rPr>
                <w:rFonts w:ascii="Arial" w:hAnsi="Arial" w:cs="Arial"/>
                <w:b/>
                <w:bCs/>
                <w:sz w:val="20"/>
                <w:szCs w:val="20"/>
              </w:rPr>
            </w:pPr>
            <w:r>
              <w:rPr>
                <w:rFonts w:ascii="Arial" w:hAnsi="Arial" w:cs="Arial"/>
                <w:b/>
                <w:bCs/>
                <w:sz w:val="20"/>
                <w:szCs w:val="20"/>
              </w:rPr>
              <w:t>0,00</w:t>
            </w:r>
          </w:p>
        </w:tc>
        <w:tc>
          <w:tcPr>
            <w:tcW w:w="1531" w:type="dxa"/>
            <w:tcBorders>
              <w:top w:val="nil"/>
              <w:left w:val="nil"/>
              <w:bottom w:val="single" w:sz="4" w:space="0" w:color="auto"/>
              <w:right w:val="single" w:sz="4" w:space="0" w:color="auto"/>
            </w:tcBorders>
            <w:shd w:val="clear" w:color="000000" w:fill="D9D9D9"/>
            <w:noWrap/>
            <w:vAlign w:val="bottom"/>
            <w:hideMark/>
          </w:tcPr>
          <w:p w14:paraId="333F84AF" w14:textId="77777777" w:rsidR="00716C4B" w:rsidRDefault="00716C4B">
            <w:pPr>
              <w:jc w:val="right"/>
              <w:rPr>
                <w:rFonts w:ascii="Arial" w:hAnsi="Arial" w:cs="Arial"/>
                <w:b/>
                <w:bCs/>
                <w:sz w:val="20"/>
                <w:szCs w:val="20"/>
              </w:rPr>
            </w:pPr>
            <w:r>
              <w:rPr>
                <w:rFonts w:ascii="Arial" w:hAnsi="Arial" w:cs="Arial"/>
                <w:b/>
                <w:bCs/>
                <w:sz w:val="20"/>
                <w:szCs w:val="20"/>
              </w:rPr>
              <w:t>0,00</w:t>
            </w:r>
          </w:p>
        </w:tc>
        <w:tc>
          <w:tcPr>
            <w:tcW w:w="1864" w:type="dxa"/>
            <w:tcBorders>
              <w:top w:val="nil"/>
              <w:left w:val="nil"/>
              <w:bottom w:val="single" w:sz="4" w:space="0" w:color="auto"/>
              <w:right w:val="single" w:sz="4" w:space="0" w:color="auto"/>
            </w:tcBorders>
            <w:shd w:val="clear" w:color="000000" w:fill="D9D9D9"/>
            <w:noWrap/>
            <w:vAlign w:val="bottom"/>
            <w:hideMark/>
          </w:tcPr>
          <w:p w14:paraId="26D1F715" w14:textId="77777777" w:rsidR="00716C4B" w:rsidRDefault="00716C4B">
            <w:pPr>
              <w:jc w:val="right"/>
              <w:rPr>
                <w:rFonts w:ascii="Arial" w:hAnsi="Arial" w:cs="Arial"/>
                <w:b/>
                <w:bCs/>
                <w:sz w:val="20"/>
                <w:szCs w:val="20"/>
              </w:rPr>
            </w:pPr>
            <w:r>
              <w:rPr>
                <w:rFonts w:ascii="Arial" w:hAnsi="Arial" w:cs="Arial"/>
                <w:b/>
                <w:bCs/>
                <w:sz w:val="20"/>
                <w:szCs w:val="20"/>
              </w:rPr>
              <w:t>0,00</w:t>
            </w:r>
          </w:p>
        </w:tc>
      </w:tr>
      <w:tr w:rsidR="00716C4B" w14:paraId="3C6D7E5D" w14:textId="77777777" w:rsidTr="00716C4B">
        <w:trPr>
          <w:trHeight w:val="279"/>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125574F0" w14:textId="77777777" w:rsidR="00716C4B" w:rsidRDefault="00716C4B">
            <w:pPr>
              <w:rPr>
                <w:rFonts w:ascii="Arial" w:hAnsi="Arial" w:cs="Arial"/>
                <w:sz w:val="20"/>
                <w:szCs w:val="20"/>
              </w:rPr>
            </w:pPr>
            <w:r>
              <w:rPr>
                <w:rFonts w:ascii="Arial" w:hAnsi="Arial" w:cs="Arial"/>
                <w:sz w:val="20"/>
                <w:szCs w:val="20"/>
              </w:rPr>
              <w:t>84</w:t>
            </w:r>
          </w:p>
        </w:tc>
        <w:tc>
          <w:tcPr>
            <w:tcW w:w="5668" w:type="dxa"/>
            <w:tcBorders>
              <w:top w:val="nil"/>
              <w:left w:val="nil"/>
              <w:bottom w:val="single" w:sz="4" w:space="0" w:color="auto"/>
              <w:right w:val="single" w:sz="4" w:space="0" w:color="auto"/>
            </w:tcBorders>
            <w:shd w:val="clear" w:color="auto" w:fill="auto"/>
            <w:noWrap/>
            <w:vAlign w:val="bottom"/>
            <w:hideMark/>
          </w:tcPr>
          <w:p w14:paraId="7373E477" w14:textId="77777777" w:rsidR="00716C4B" w:rsidRDefault="00716C4B">
            <w:pPr>
              <w:rPr>
                <w:rFonts w:ascii="Arial" w:hAnsi="Arial" w:cs="Arial"/>
                <w:sz w:val="20"/>
                <w:szCs w:val="20"/>
              </w:rPr>
            </w:pPr>
            <w:r>
              <w:rPr>
                <w:rFonts w:ascii="Arial" w:hAnsi="Arial" w:cs="Arial"/>
                <w:sz w:val="20"/>
                <w:szCs w:val="20"/>
              </w:rPr>
              <w:t>Primici od zaduživanja</w:t>
            </w:r>
          </w:p>
        </w:tc>
        <w:tc>
          <w:tcPr>
            <w:tcW w:w="1793" w:type="dxa"/>
            <w:tcBorders>
              <w:top w:val="nil"/>
              <w:left w:val="nil"/>
              <w:bottom w:val="single" w:sz="4" w:space="0" w:color="auto"/>
              <w:right w:val="single" w:sz="4" w:space="0" w:color="auto"/>
            </w:tcBorders>
            <w:shd w:val="clear" w:color="auto" w:fill="auto"/>
            <w:noWrap/>
            <w:vAlign w:val="bottom"/>
            <w:hideMark/>
          </w:tcPr>
          <w:p w14:paraId="40109BCC" w14:textId="77777777" w:rsidR="00716C4B" w:rsidRDefault="00716C4B">
            <w:pPr>
              <w:jc w:val="right"/>
              <w:rPr>
                <w:rFonts w:ascii="Arial" w:hAnsi="Arial" w:cs="Arial"/>
                <w:sz w:val="20"/>
                <w:szCs w:val="20"/>
              </w:rPr>
            </w:pPr>
            <w:r>
              <w:rPr>
                <w:rFonts w:ascii="Arial" w:hAnsi="Arial" w:cs="Arial"/>
                <w:sz w:val="20"/>
                <w:szCs w:val="20"/>
              </w:rPr>
              <w:t>0,00</w:t>
            </w:r>
          </w:p>
        </w:tc>
        <w:tc>
          <w:tcPr>
            <w:tcW w:w="1992" w:type="dxa"/>
            <w:tcBorders>
              <w:top w:val="nil"/>
              <w:left w:val="nil"/>
              <w:bottom w:val="single" w:sz="4" w:space="0" w:color="auto"/>
              <w:right w:val="single" w:sz="4" w:space="0" w:color="auto"/>
            </w:tcBorders>
            <w:shd w:val="clear" w:color="auto" w:fill="auto"/>
            <w:noWrap/>
            <w:vAlign w:val="bottom"/>
            <w:hideMark/>
          </w:tcPr>
          <w:p w14:paraId="5835B09B" w14:textId="77777777" w:rsidR="00716C4B" w:rsidRDefault="00716C4B">
            <w:pPr>
              <w:jc w:val="right"/>
              <w:rPr>
                <w:rFonts w:ascii="Arial" w:hAnsi="Arial" w:cs="Arial"/>
                <w:sz w:val="20"/>
                <w:szCs w:val="20"/>
              </w:rPr>
            </w:pPr>
            <w:r>
              <w:rPr>
                <w:rFonts w:ascii="Arial" w:hAnsi="Arial" w:cs="Arial"/>
                <w:sz w:val="20"/>
                <w:szCs w:val="20"/>
              </w:rPr>
              <w:t>0,00</w:t>
            </w:r>
          </w:p>
        </w:tc>
        <w:tc>
          <w:tcPr>
            <w:tcW w:w="1531" w:type="dxa"/>
            <w:tcBorders>
              <w:top w:val="nil"/>
              <w:left w:val="nil"/>
              <w:bottom w:val="single" w:sz="4" w:space="0" w:color="auto"/>
              <w:right w:val="single" w:sz="4" w:space="0" w:color="auto"/>
            </w:tcBorders>
            <w:shd w:val="clear" w:color="auto" w:fill="auto"/>
            <w:noWrap/>
            <w:vAlign w:val="bottom"/>
            <w:hideMark/>
          </w:tcPr>
          <w:p w14:paraId="1EC51FCC" w14:textId="77777777" w:rsidR="00716C4B" w:rsidRDefault="00716C4B">
            <w:pPr>
              <w:jc w:val="right"/>
              <w:rPr>
                <w:rFonts w:ascii="Arial" w:hAnsi="Arial" w:cs="Arial"/>
                <w:sz w:val="20"/>
                <w:szCs w:val="20"/>
              </w:rPr>
            </w:pPr>
            <w:r>
              <w:rPr>
                <w:rFonts w:ascii="Arial" w:hAnsi="Arial" w:cs="Arial"/>
                <w:sz w:val="20"/>
                <w:szCs w:val="20"/>
              </w:rPr>
              <w:t>0,00</w:t>
            </w:r>
          </w:p>
        </w:tc>
        <w:tc>
          <w:tcPr>
            <w:tcW w:w="1864" w:type="dxa"/>
            <w:tcBorders>
              <w:top w:val="nil"/>
              <w:left w:val="nil"/>
              <w:bottom w:val="single" w:sz="4" w:space="0" w:color="auto"/>
              <w:right w:val="single" w:sz="4" w:space="0" w:color="auto"/>
            </w:tcBorders>
            <w:shd w:val="clear" w:color="auto" w:fill="auto"/>
            <w:noWrap/>
            <w:vAlign w:val="bottom"/>
            <w:hideMark/>
          </w:tcPr>
          <w:p w14:paraId="0B61A7C2" w14:textId="77777777" w:rsidR="00716C4B" w:rsidRDefault="00716C4B">
            <w:pPr>
              <w:jc w:val="right"/>
              <w:rPr>
                <w:rFonts w:ascii="Arial" w:hAnsi="Arial" w:cs="Arial"/>
                <w:sz w:val="20"/>
                <w:szCs w:val="20"/>
              </w:rPr>
            </w:pPr>
            <w:r>
              <w:rPr>
                <w:rFonts w:ascii="Arial" w:hAnsi="Arial" w:cs="Arial"/>
                <w:sz w:val="20"/>
                <w:szCs w:val="20"/>
              </w:rPr>
              <w:t>0,00</w:t>
            </w:r>
          </w:p>
        </w:tc>
      </w:tr>
      <w:tr w:rsidR="00716C4B" w14:paraId="2C8FABB9" w14:textId="77777777" w:rsidTr="00716C4B">
        <w:trPr>
          <w:trHeight w:val="279"/>
        </w:trPr>
        <w:tc>
          <w:tcPr>
            <w:tcW w:w="6849" w:type="dxa"/>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4F959B2A" w14:textId="77777777" w:rsidR="00716C4B" w:rsidRDefault="00716C4B">
            <w:pPr>
              <w:rPr>
                <w:rFonts w:ascii="Arial" w:hAnsi="Arial" w:cs="Arial"/>
                <w:b/>
                <w:bCs/>
                <w:sz w:val="20"/>
                <w:szCs w:val="20"/>
              </w:rPr>
            </w:pPr>
            <w:r>
              <w:rPr>
                <w:rFonts w:ascii="Arial" w:hAnsi="Arial" w:cs="Arial"/>
                <w:b/>
                <w:bCs/>
                <w:sz w:val="20"/>
                <w:szCs w:val="20"/>
              </w:rPr>
              <w:t xml:space="preserve">  SVEUKUPNO RASHODI / IZDACI</w:t>
            </w:r>
          </w:p>
        </w:tc>
        <w:tc>
          <w:tcPr>
            <w:tcW w:w="1793" w:type="dxa"/>
            <w:tcBorders>
              <w:top w:val="nil"/>
              <w:left w:val="nil"/>
              <w:bottom w:val="single" w:sz="4" w:space="0" w:color="auto"/>
              <w:right w:val="single" w:sz="4" w:space="0" w:color="auto"/>
            </w:tcBorders>
            <w:shd w:val="clear" w:color="000000" w:fill="BFBFBF"/>
            <w:noWrap/>
            <w:vAlign w:val="bottom"/>
            <w:hideMark/>
          </w:tcPr>
          <w:p w14:paraId="396E6AE2" w14:textId="77777777" w:rsidR="00716C4B" w:rsidRDefault="00716C4B">
            <w:pPr>
              <w:jc w:val="right"/>
              <w:rPr>
                <w:rFonts w:ascii="Arial" w:hAnsi="Arial" w:cs="Arial"/>
                <w:b/>
                <w:bCs/>
                <w:sz w:val="20"/>
                <w:szCs w:val="20"/>
              </w:rPr>
            </w:pPr>
            <w:r>
              <w:rPr>
                <w:rFonts w:ascii="Arial" w:hAnsi="Arial" w:cs="Arial"/>
                <w:b/>
                <w:bCs/>
                <w:sz w:val="20"/>
                <w:szCs w:val="20"/>
              </w:rPr>
              <w:t>693.746,00</w:t>
            </w:r>
          </w:p>
        </w:tc>
        <w:tc>
          <w:tcPr>
            <w:tcW w:w="1992" w:type="dxa"/>
            <w:tcBorders>
              <w:top w:val="nil"/>
              <w:left w:val="nil"/>
              <w:bottom w:val="single" w:sz="4" w:space="0" w:color="auto"/>
              <w:right w:val="single" w:sz="4" w:space="0" w:color="auto"/>
            </w:tcBorders>
            <w:shd w:val="clear" w:color="000000" w:fill="BFBFBF"/>
            <w:noWrap/>
            <w:vAlign w:val="bottom"/>
            <w:hideMark/>
          </w:tcPr>
          <w:p w14:paraId="5C0724A9" w14:textId="77777777" w:rsidR="00716C4B" w:rsidRDefault="00716C4B">
            <w:pPr>
              <w:jc w:val="right"/>
              <w:rPr>
                <w:rFonts w:ascii="Arial" w:hAnsi="Arial" w:cs="Arial"/>
                <w:b/>
                <w:bCs/>
                <w:sz w:val="20"/>
                <w:szCs w:val="20"/>
              </w:rPr>
            </w:pPr>
            <w:r>
              <w:rPr>
                <w:rFonts w:ascii="Arial" w:hAnsi="Arial" w:cs="Arial"/>
                <w:b/>
                <w:bCs/>
                <w:sz w:val="20"/>
                <w:szCs w:val="20"/>
              </w:rPr>
              <w:t>0,00</w:t>
            </w:r>
          </w:p>
        </w:tc>
        <w:tc>
          <w:tcPr>
            <w:tcW w:w="1531" w:type="dxa"/>
            <w:tcBorders>
              <w:top w:val="nil"/>
              <w:left w:val="nil"/>
              <w:bottom w:val="single" w:sz="4" w:space="0" w:color="auto"/>
              <w:right w:val="single" w:sz="4" w:space="0" w:color="auto"/>
            </w:tcBorders>
            <w:shd w:val="clear" w:color="000000" w:fill="BFBFBF"/>
            <w:noWrap/>
            <w:vAlign w:val="bottom"/>
            <w:hideMark/>
          </w:tcPr>
          <w:p w14:paraId="191648F4" w14:textId="77777777" w:rsidR="00716C4B" w:rsidRDefault="00716C4B">
            <w:pPr>
              <w:jc w:val="right"/>
              <w:rPr>
                <w:rFonts w:ascii="Arial" w:hAnsi="Arial" w:cs="Arial"/>
                <w:b/>
                <w:bCs/>
                <w:sz w:val="20"/>
                <w:szCs w:val="20"/>
              </w:rPr>
            </w:pPr>
            <w:r>
              <w:rPr>
                <w:rFonts w:ascii="Arial" w:hAnsi="Arial" w:cs="Arial"/>
                <w:b/>
                <w:bCs/>
                <w:sz w:val="20"/>
                <w:szCs w:val="20"/>
              </w:rPr>
              <w:t>0,00</w:t>
            </w:r>
          </w:p>
        </w:tc>
        <w:tc>
          <w:tcPr>
            <w:tcW w:w="1864" w:type="dxa"/>
            <w:tcBorders>
              <w:top w:val="nil"/>
              <w:left w:val="nil"/>
              <w:bottom w:val="single" w:sz="4" w:space="0" w:color="auto"/>
              <w:right w:val="single" w:sz="4" w:space="0" w:color="auto"/>
            </w:tcBorders>
            <w:shd w:val="clear" w:color="000000" w:fill="BFBFBF"/>
            <w:noWrap/>
            <w:vAlign w:val="bottom"/>
            <w:hideMark/>
          </w:tcPr>
          <w:p w14:paraId="06F97F27" w14:textId="77777777" w:rsidR="00716C4B" w:rsidRDefault="00716C4B">
            <w:pPr>
              <w:jc w:val="right"/>
              <w:rPr>
                <w:rFonts w:ascii="Arial" w:hAnsi="Arial" w:cs="Arial"/>
                <w:b/>
                <w:bCs/>
                <w:sz w:val="20"/>
                <w:szCs w:val="20"/>
              </w:rPr>
            </w:pPr>
            <w:r>
              <w:rPr>
                <w:rFonts w:ascii="Arial" w:hAnsi="Arial" w:cs="Arial"/>
                <w:b/>
                <w:bCs/>
                <w:sz w:val="20"/>
                <w:szCs w:val="20"/>
              </w:rPr>
              <w:t>693.746,00</w:t>
            </w:r>
          </w:p>
        </w:tc>
      </w:tr>
      <w:tr w:rsidR="00716C4B" w14:paraId="28BDF3D0" w14:textId="77777777" w:rsidTr="00716C4B">
        <w:trPr>
          <w:trHeight w:val="279"/>
        </w:trPr>
        <w:tc>
          <w:tcPr>
            <w:tcW w:w="1181" w:type="dxa"/>
            <w:tcBorders>
              <w:top w:val="nil"/>
              <w:left w:val="single" w:sz="4" w:space="0" w:color="auto"/>
              <w:bottom w:val="single" w:sz="4" w:space="0" w:color="auto"/>
              <w:right w:val="single" w:sz="4" w:space="0" w:color="auto"/>
            </w:tcBorders>
            <w:shd w:val="clear" w:color="000000" w:fill="D9D9D9"/>
            <w:noWrap/>
            <w:vAlign w:val="bottom"/>
            <w:hideMark/>
          </w:tcPr>
          <w:p w14:paraId="1EBBA6A9" w14:textId="77777777" w:rsidR="00716C4B" w:rsidRDefault="00716C4B">
            <w:pPr>
              <w:rPr>
                <w:rFonts w:ascii="Arial" w:hAnsi="Arial" w:cs="Arial"/>
                <w:b/>
                <w:bCs/>
                <w:sz w:val="20"/>
                <w:szCs w:val="20"/>
              </w:rPr>
            </w:pPr>
            <w:r>
              <w:rPr>
                <w:rFonts w:ascii="Arial" w:hAnsi="Arial" w:cs="Arial"/>
                <w:b/>
                <w:bCs/>
                <w:sz w:val="20"/>
                <w:szCs w:val="20"/>
              </w:rPr>
              <w:t>5</w:t>
            </w:r>
          </w:p>
        </w:tc>
        <w:tc>
          <w:tcPr>
            <w:tcW w:w="5668" w:type="dxa"/>
            <w:tcBorders>
              <w:top w:val="nil"/>
              <w:left w:val="nil"/>
              <w:bottom w:val="single" w:sz="4" w:space="0" w:color="auto"/>
              <w:right w:val="single" w:sz="4" w:space="0" w:color="auto"/>
            </w:tcBorders>
            <w:shd w:val="clear" w:color="000000" w:fill="D9D9D9"/>
            <w:noWrap/>
            <w:vAlign w:val="bottom"/>
            <w:hideMark/>
          </w:tcPr>
          <w:p w14:paraId="1FF55BB1" w14:textId="77777777" w:rsidR="00716C4B" w:rsidRDefault="00716C4B">
            <w:pPr>
              <w:rPr>
                <w:rFonts w:ascii="Arial" w:hAnsi="Arial" w:cs="Arial"/>
                <w:b/>
                <w:bCs/>
                <w:sz w:val="20"/>
                <w:szCs w:val="20"/>
              </w:rPr>
            </w:pPr>
            <w:r>
              <w:rPr>
                <w:rFonts w:ascii="Arial" w:hAnsi="Arial" w:cs="Arial"/>
                <w:b/>
                <w:bCs/>
                <w:sz w:val="20"/>
                <w:szCs w:val="20"/>
              </w:rPr>
              <w:t>Izdaci za financijsku imovinu i otplate zajmova</w:t>
            </w:r>
          </w:p>
        </w:tc>
        <w:tc>
          <w:tcPr>
            <w:tcW w:w="1793" w:type="dxa"/>
            <w:tcBorders>
              <w:top w:val="nil"/>
              <w:left w:val="nil"/>
              <w:bottom w:val="single" w:sz="4" w:space="0" w:color="auto"/>
              <w:right w:val="single" w:sz="4" w:space="0" w:color="auto"/>
            </w:tcBorders>
            <w:shd w:val="clear" w:color="000000" w:fill="D9D9D9"/>
            <w:noWrap/>
            <w:vAlign w:val="bottom"/>
            <w:hideMark/>
          </w:tcPr>
          <w:p w14:paraId="22CB54EB" w14:textId="77777777" w:rsidR="00716C4B" w:rsidRDefault="00716C4B">
            <w:pPr>
              <w:jc w:val="right"/>
              <w:rPr>
                <w:rFonts w:ascii="Arial" w:hAnsi="Arial" w:cs="Arial"/>
                <w:b/>
                <w:bCs/>
                <w:sz w:val="20"/>
                <w:szCs w:val="20"/>
              </w:rPr>
            </w:pPr>
            <w:r>
              <w:rPr>
                <w:rFonts w:ascii="Arial" w:hAnsi="Arial" w:cs="Arial"/>
                <w:b/>
                <w:bCs/>
                <w:sz w:val="20"/>
                <w:szCs w:val="20"/>
              </w:rPr>
              <w:t>693.746,00</w:t>
            </w:r>
          </w:p>
        </w:tc>
        <w:tc>
          <w:tcPr>
            <w:tcW w:w="1992" w:type="dxa"/>
            <w:tcBorders>
              <w:top w:val="nil"/>
              <w:left w:val="nil"/>
              <w:bottom w:val="single" w:sz="4" w:space="0" w:color="auto"/>
              <w:right w:val="single" w:sz="4" w:space="0" w:color="auto"/>
            </w:tcBorders>
            <w:shd w:val="clear" w:color="000000" w:fill="D9D9D9"/>
            <w:noWrap/>
            <w:vAlign w:val="bottom"/>
            <w:hideMark/>
          </w:tcPr>
          <w:p w14:paraId="6D857703" w14:textId="77777777" w:rsidR="00716C4B" w:rsidRDefault="00716C4B">
            <w:pPr>
              <w:jc w:val="right"/>
              <w:rPr>
                <w:rFonts w:ascii="Arial" w:hAnsi="Arial" w:cs="Arial"/>
                <w:b/>
                <w:bCs/>
                <w:sz w:val="20"/>
                <w:szCs w:val="20"/>
              </w:rPr>
            </w:pPr>
            <w:r>
              <w:rPr>
                <w:rFonts w:ascii="Arial" w:hAnsi="Arial" w:cs="Arial"/>
                <w:b/>
                <w:bCs/>
                <w:sz w:val="20"/>
                <w:szCs w:val="20"/>
              </w:rPr>
              <w:t>0,00</w:t>
            </w:r>
          </w:p>
        </w:tc>
        <w:tc>
          <w:tcPr>
            <w:tcW w:w="1531" w:type="dxa"/>
            <w:tcBorders>
              <w:top w:val="nil"/>
              <w:left w:val="nil"/>
              <w:bottom w:val="single" w:sz="4" w:space="0" w:color="auto"/>
              <w:right w:val="single" w:sz="4" w:space="0" w:color="auto"/>
            </w:tcBorders>
            <w:shd w:val="clear" w:color="000000" w:fill="D9D9D9"/>
            <w:noWrap/>
            <w:vAlign w:val="bottom"/>
            <w:hideMark/>
          </w:tcPr>
          <w:p w14:paraId="34339E69" w14:textId="77777777" w:rsidR="00716C4B" w:rsidRDefault="00716C4B">
            <w:pPr>
              <w:jc w:val="right"/>
              <w:rPr>
                <w:rFonts w:ascii="Arial" w:hAnsi="Arial" w:cs="Arial"/>
                <w:b/>
                <w:bCs/>
                <w:sz w:val="20"/>
                <w:szCs w:val="20"/>
              </w:rPr>
            </w:pPr>
            <w:r>
              <w:rPr>
                <w:rFonts w:ascii="Arial" w:hAnsi="Arial" w:cs="Arial"/>
                <w:b/>
                <w:bCs/>
                <w:sz w:val="20"/>
                <w:szCs w:val="20"/>
              </w:rPr>
              <w:t>0,00</w:t>
            </w:r>
          </w:p>
        </w:tc>
        <w:tc>
          <w:tcPr>
            <w:tcW w:w="1864" w:type="dxa"/>
            <w:tcBorders>
              <w:top w:val="nil"/>
              <w:left w:val="nil"/>
              <w:bottom w:val="single" w:sz="4" w:space="0" w:color="auto"/>
              <w:right w:val="single" w:sz="4" w:space="0" w:color="auto"/>
            </w:tcBorders>
            <w:shd w:val="clear" w:color="000000" w:fill="D9D9D9"/>
            <w:noWrap/>
            <w:vAlign w:val="bottom"/>
            <w:hideMark/>
          </w:tcPr>
          <w:p w14:paraId="3B50E069" w14:textId="77777777" w:rsidR="00716C4B" w:rsidRDefault="00716C4B">
            <w:pPr>
              <w:jc w:val="right"/>
              <w:rPr>
                <w:rFonts w:ascii="Arial" w:hAnsi="Arial" w:cs="Arial"/>
                <w:b/>
                <w:bCs/>
                <w:sz w:val="20"/>
                <w:szCs w:val="20"/>
              </w:rPr>
            </w:pPr>
            <w:r>
              <w:rPr>
                <w:rFonts w:ascii="Arial" w:hAnsi="Arial" w:cs="Arial"/>
                <w:b/>
                <w:bCs/>
                <w:sz w:val="20"/>
                <w:szCs w:val="20"/>
              </w:rPr>
              <w:t>693.746,00</w:t>
            </w:r>
          </w:p>
        </w:tc>
      </w:tr>
      <w:tr w:rsidR="00716C4B" w14:paraId="29AA682E" w14:textId="77777777" w:rsidTr="00716C4B">
        <w:trPr>
          <w:trHeight w:val="279"/>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1A3F39F9" w14:textId="77777777" w:rsidR="00716C4B" w:rsidRDefault="00716C4B">
            <w:pPr>
              <w:rPr>
                <w:rFonts w:ascii="Arial" w:hAnsi="Arial" w:cs="Arial"/>
                <w:sz w:val="20"/>
                <w:szCs w:val="20"/>
              </w:rPr>
            </w:pPr>
            <w:r>
              <w:rPr>
                <w:rFonts w:ascii="Arial" w:hAnsi="Arial" w:cs="Arial"/>
                <w:sz w:val="20"/>
                <w:szCs w:val="20"/>
              </w:rPr>
              <w:t>54</w:t>
            </w:r>
          </w:p>
        </w:tc>
        <w:tc>
          <w:tcPr>
            <w:tcW w:w="5668" w:type="dxa"/>
            <w:tcBorders>
              <w:top w:val="nil"/>
              <w:left w:val="nil"/>
              <w:bottom w:val="single" w:sz="4" w:space="0" w:color="auto"/>
              <w:right w:val="single" w:sz="4" w:space="0" w:color="auto"/>
            </w:tcBorders>
            <w:shd w:val="clear" w:color="auto" w:fill="auto"/>
            <w:noWrap/>
            <w:vAlign w:val="bottom"/>
            <w:hideMark/>
          </w:tcPr>
          <w:p w14:paraId="069FBCE8" w14:textId="77777777" w:rsidR="00716C4B" w:rsidRDefault="00716C4B">
            <w:pPr>
              <w:rPr>
                <w:rFonts w:ascii="Arial" w:hAnsi="Arial" w:cs="Arial"/>
                <w:sz w:val="20"/>
                <w:szCs w:val="20"/>
              </w:rPr>
            </w:pPr>
            <w:r>
              <w:rPr>
                <w:rFonts w:ascii="Arial" w:hAnsi="Arial" w:cs="Arial"/>
                <w:sz w:val="20"/>
                <w:szCs w:val="20"/>
              </w:rPr>
              <w:t>Izdaci za otplatu glavnice primljenih kredita i zajmova</w:t>
            </w:r>
          </w:p>
        </w:tc>
        <w:tc>
          <w:tcPr>
            <w:tcW w:w="1793" w:type="dxa"/>
            <w:tcBorders>
              <w:top w:val="nil"/>
              <w:left w:val="nil"/>
              <w:bottom w:val="single" w:sz="4" w:space="0" w:color="auto"/>
              <w:right w:val="single" w:sz="4" w:space="0" w:color="auto"/>
            </w:tcBorders>
            <w:shd w:val="clear" w:color="auto" w:fill="auto"/>
            <w:noWrap/>
            <w:vAlign w:val="bottom"/>
            <w:hideMark/>
          </w:tcPr>
          <w:p w14:paraId="391ED3A4" w14:textId="77777777" w:rsidR="00716C4B" w:rsidRDefault="00716C4B">
            <w:pPr>
              <w:jc w:val="right"/>
              <w:rPr>
                <w:rFonts w:ascii="Arial" w:hAnsi="Arial" w:cs="Arial"/>
                <w:sz w:val="20"/>
                <w:szCs w:val="20"/>
              </w:rPr>
            </w:pPr>
            <w:r>
              <w:rPr>
                <w:rFonts w:ascii="Arial" w:hAnsi="Arial" w:cs="Arial"/>
                <w:sz w:val="20"/>
                <w:szCs w:val="20"/>
              </w:rPr>
              <w:t>693.746,00</w:t>
            </w:r>
          </w:p>
        </w:tc>
        <w:tc>
          <w:tcPr>
            <w:tcW w:w="1992" w:type="dxa"/>
            <w:tcBorders>
              <w:top w:val="nil"/>
              <w:left w:val="nil"/>
              <w:bottom w:val="single" w:sz="4" w:space="0" w:color="auto"/>
              <w:right w:val="single" w:sz="4" w:space="0" w:color="auto"/>
            </w:tcBorders>
            <w:shd w:val="clear" w:color="auto" w:fill="auto"/>
            <w:noWrap/>
            <w:vAlign w:val="bottom"/>
            <w:hideMark/>
          </w:tcPr>
          <w:p w14:paraId="6EAA1FBB" w14:textId="77777777" w:rsidR="00716C4B" w:rsidRDefault="00716C4B">
            <w:pPr>
              <w:jc w:val="right"/>
              <w:rPr>
                <w:rFonts w:ascii="Arial" w:hAnsi="Arial" w:cs="Arial"/>
                <w:sz w:val="20"/>
                <w:szCs w:val="20"/>
              </w:rPr>
            </w:pPr>
            <w:r>
              <w:rPr>
                <w:rFonts w:ascii="Arial" w:hAnsi="Arial" w:cs="Arial"/>
                <w:sz w:val="20"/>
                <w:szCs w:val="20"/>
              </w:rPr>
              <w:t>0,00</w:t>
            </w:r>
          </w:p>
        </w:tc>
        <w:tc>
          <w:tcPr>
            <w:tcW w:w="1531" w:type="dxa"/>
            <w:tcBorders>
              <w:top w:val="nil"/>
              <w:left w:val="nil"/>
              <w:bottom w:val="single" w:sz="4" w:space="0" w:color="auto"/>
              <w:right w:val="single" w:sz="4" w:space="0" w:color="auto"/>
            </w:tcBorders>
            <w:shd w:val="clear" w:color="auto" w:fill="auto"/>
            <w:noWrap/>
            <w:vAlign w:val="bottom"/>
            <w:hideMark/>
          </w:tcPr>
          <w:p w14:paraId="0F902B05" w14:textId="77777777" w:rsidR="00716C4B" w:rsidRDefault="00716C4B">
            <w:pPr>
              <w:jc w:val="right"/>
              <w:rPr>
                <w:rFonts w:ascii="Arial" w:hAnsi="Arial" w:cs="Arial"/>
                <w:sz w:val="20"/>
                <w:szCs w:val="20"/>
              </w:rPr>
            </w:pPr>
            <w:r>
              <w:rPr>
                <w:rFonts w:ascii="Arial" w:hAnsi="Arial" w:cs="Arial"/>
                <w:sz w:val="20"/>
                <w:szCs w:val="20"/>
              </w:rPr>
              <w:t>0,00</w:t>
            </w:r>
          </w:p>
        </w:tc>
        <w:tc>
          <w:tcPr>
            <w:tcW w:w="1864" w:type="dxa"/>
            <w:tcBorders>
              <w:top w:val="nil"/>
              <w:left w:val="nil"/>
              <w:bottom w:val="single" w:sz="4" w:space="0" w:color="auto"/>
              <w:right w:val="single" w:sz="4" w:space="0" w:color="auto"/>
            </w:tcBorders>
            <w:shd w:val="clear" w:color="auto" w:fill="auto"/>
            <w:noWrap/>
            <w:vAlign w:val="bottom"/>
            <w:hideMark/>
          </w:tcPr>
          <w:p w14:paraId="28CF0974" w14:textId="77777777" w:rsidR="00716C4B" w:rsidRDefault="00716C4B">
            <w:pPr>
              <w:jc w:val="right"/>
              <w:rPr>
                <w:rFonts w:ascii="Arial" w:hAnsi="Arial" w:cs="Arial"/>
                <w:sz w:val="20"/>
                <w:szCs w:val="20"/>
              </w:rPr>
            </w:pPr>
            <w:r>
              <w:rPr>
                <w:rFonts w:ascii="Arial" w:hAnsi="Arial" w:cs="Arial"/>
                <w:sz w:val="20"/>
                <w:szCs w:val="20"/>
              </w:rPr>
              <w:t>693.746,00</w:t>
            </w:r>
          </w:p>
        </w:tc>
      </w:tr>
    </w:tbl>
    <w:p w14:paraId="08ABD0A1" w14:textId="77777777" w:rsidR="006037DA" w:rsidRDefault="006037DA" w:rsidP="00E7053E">
      <w:pPr>
        <w:rPr>
          <w:rFonts w:ascii="Arial" w:hAnsi="Arial" w:cs="Arial"/>
          <w:b/>
          <w:sz w:val="20"/>
          <w:szCs w:val="20"/>
        </w:rPr>
      </w:pPr>
    </w:p>
    <w:p w14:paraId="469CE96E" w14:textId="77777777" w:rsidR="006037DA" w:rsidRDefault="006037DA" w:rsidP="00E7053E">
      <w:pPr>
        <w:rPr>
          <w:rFonts w:ascii="Arial" w:hAnsi="Arial" w:cs="Arial"/>
          <w:b/>
          <w:sz w:val="20"/>
          <w:szCs w:val="20"/>
        </w:rPr>
      </w:pPr>
    </w:p>
    <w:p w14:paraId="0309EAD0" w14:textId="49F719E0" w:rsidR="00731A0E" w:rsidRDefault="008E4A37" w:rsidP="00E7053E">
      <w:pPr>
        <w:rPr>
          <w:rFonts w:ascii="Arial" w:hAnsi="Arial" w:cs="Arial"/>
          <w:b/>
          <w:sz w:val="20"/>
          <w:szCs w:val="20"/>
        </w:rPr>
      </w:pPr>
      <w:r>
        <w:rPr>
          <w:rFonts w:ascii="Arial" w:hAnsi="Arial" w:cs="Arial"/>
          <w:b/>
          <w:sz w:val="20"/>
          <w:szCs w:val="20"/>
        </w:rPr>
        <w:t xml:space="preserve"> </w:t>
      </w:r>
    </w:p>
    <w:p w14:paraId="04BF244B" w14:textId="77777777" w:rsidR="00716C4B" w:rsidRDefault="00716C4B" w:rsidP="00E7053E">
      <w:pPr>
        <w:rPr>
          <w:rFonts w:ascii="Arial" w:hAnsi="Arial" w:cs="Arial"/>
          <w:b/>
          <w:sz w:val="20"/>
          <w:szCs w:val="20"/>
        </w:rPr>
      </w:pPr>
    </w:p>
    <w:p w14:paraId="363E6691" w14:textId="77777777" w:rsidR="00716C4B" w:rsidRDefault="00716C4B" w:rsidP="00E7053E">
      <w:pPr>
        <w:rPr>
          <w:rFonts w:ascii="Arial" w:hAnsi="Arial" w:cs="Arial"/>
          <w:b/>
          <w:sz w:val="20"/>
          <w:szCs w:val="20"/>
        </w:rPr>
      </w:pPr>
    </w:p>
    <w:p w14:paraId="59C3C155" w14:textId="77777777" w:rsidR="00716C4B" w:rsidRDefault="00716C4B" w:rsidP="00E7053E">
      <w:pPr>
        <w:rPr>
          <w:rFonts w:ascii="Arial" w:hAnsi="Arial" w:cs="Arial"/>
          <w:b/>
          <w:sz w:val="20"/>
          <w:szCs w:val="20"/>
        </w:rPr>
      </w:pPr>
    </w:p>
    <w:p w14:paraId="410F52AF" w14:textId="77777777" w:rsidR="00716C4B" w:rsidRDefault="00716C4B" w:rsidP="00E7053E">
      <w:pPr>
        <w:rPr>
          <w:rFonts w:ascii="Arial" w:hAnsi="Arial" w:cs="Arial"/>
          <w:b/>
          <w:sz w:val="20"/>
          <w:szCs w:val="20"/>
        </w:rPr>
      </w:pPr>
    </w:p>
    <w:p w14:paraId="59C8A520" w14:textId="77777777" w:rsidR="00716C4B" w:rsidRDefault="00716C4B" w:rsidP="00E7053E">
      <w:pPr>
        <w:rPr>
          <w:rFonts w:ascii="Arial" w:hAnsi="Arial" w:cs="Arial"/>
          <w:b/>
          <w:sz w:val="20"/>
          <w:szCs w:val="20"/>
        </w:rPr>
      </w:pPr>
    </w:p>
    <w:p w14:paraId="4A6BA462" w14:textId="77777777" w:rsidR="00716C4B" w:rsidRDefault="00716C4B" w:rsidP="00E7053E">
      <w:pPr>
        <w:rPr>
          <w:rFonts w:ascii="Arial" w:hAnsi="Arial" w:cs="Arial"/>
          <w:b/>
          <w:sz w:val="20"/>
          <w:szCs w:val="20"/>
        </w:rPr>
      </w:pPr>
    </w:p>
    <w:p w14:paraId="50427033" w14:textId="77777777" w:rsidR="00716C4B" w:rsidRDefault="00716C4B" w:rsidP="00E7053E">
      <w:pPr>
        <w:rPr>
          <w:rFonts w:ascii="Arial" w:hAnsi="Arial" w:cs="Arial"/>
          <w:b/>
          <w:sz w:val="20"/>
          <w:szCs w:val="20"/>
        </w:rPr>
      </w:pPr>
    </w:p>
    <w:p w14:paraId="1D6DFA12" w14:textId="77777777" w:rsidR="00716C4B" w:rsidRDefault="00716C4B" w:rsidP="00E7053E">
      <w:pPr>
        <w:rPr>
          <w:rFonts w:ascii="Arial" w:hAnsi="Arial" w:cs="Arial"/>
          <w:b/>
          <w:sz w:val="20"/>
          <w:szCs w:val="20"/>
        </w:rPr>
      </w:pPr>
    </w:p>
    <w:p w14:paraId="10B9A952" w14:textId="77777777" w:rsidR="00716C4B" w:rsidRDefault="00716C4B" w:rsidP="00E7053E">
      <w:pPr>
        <w:rPr>
          <w:rFonts w:ascii="Arial" w:hAnsi="Arial" w:cs="Arial"/>
          <w:b/>
          <w:sz w:val="20"/>
          <w:szCs w:val="20"/>
        </w:rPr>
      </w:pPr>
    </w:p>
    <w:p w14:paraId="73187E50" w14:textId="77777777" w:rsidR="00716C4B" w:rsidRDefault="00716C4B" w:rsidP="00E7053E">
      <w:pPr>
        <w:rPr>
          <w:rFonts w:ascii="Arial" w:hAnsi="Arial" w:cs="Arial"/>
          <w:b/>
          <w:sz w:val="20"/>
          <w:szCs w:val="20"/>
        </w:rPr>
      </w:pPr>
    </w:p>
    <w:p w14:paraId="1BAC940A" w14:textId="77777777" w:rsidR="00716C4B" w:rsidRDefault="00716C4B" w:rsidP="00E7053E">
      <w:pPr>
        <w:rPr>
          <w:rFonts w:ascii="Arial" w:hAnsi="Arial" w:cs="Arial"/>
          <w:b/>
          <w:sz w:val="20"/>
          <w:szCs w:val="20"/>
        </w:rPr>
      </w:pPr>
    </w:p>
    <w:p w14:paraId="1CB4C625" w14:textId="77777777" w:rsidR="00716C4B" w:rsidRDefault="00716C4B" w:rsidP="00E7053E">
      <w:pPr>
        <w:rPr>
          <w:rFonts w:ascii="Arial" w:hAnsi="Arial" w:cs="Arial"/>
          <w:b/>
          <w:sz w:val="20"/>
          <w:szCs w:val="20"/>
        </w:rPr>
      </w:pPr>
    </w:p>
    <w:p w14:paraId="15FF3AE5" w14:textId="77777777" w:rsidR="00093BBE" w:rsidRDefault="00093BBE" w:rsidP="00E7053E">
      <w:pPr>
        <w:rPr>
          <w:rFonts w:ascii="Arial" w:hAnsi="Arial" w:cs="Arial"/>
          <w:b/>
          <w:sz w:val="20"/>
          <w:szCs w:val="20"/>
        </w:rPr>
      </w:pPr>
    </w:p>
    <w:p w14:paraId="6EA1F472" w14:textId="77777777" w:rsidR="00093BBE" w:rsidRDefault="00093BBE" w:rsidP="00E7053E">
      <w:pPr>
        <w:rPr>
          <w:rFonts w:ascii="Arial" w:hAnsi="Arial" w:cs="Arial"/>
          <w:b/>
          <w:sz w:val="20"/>
          <w:szCs w:val="20"/>
        </w:rPr>
      </w:pPr>
    </w:p>
    <w:p w14:paraId="62D6C5E0" w14:textId="77777777" w:rsidR="00716C4B" w:rsidRDefault="00716C4B" w:rsidP="00E7053E">
      <w:pPr>
        <w:rPr>
          <w:rFonts w:ascii="Arial" w:hAnsi="Arial" w:cs="Arial"/>
          <w:b/>
          <w:sz w:val="20"/>
          <w:szCs w:val="20"/>
        </w:rPr>
      </w:pPr>
    </w:p>
    <w:p w14:paraId="079817FC" w14:textId="77777777" w:rsidR="00D10CF9" w:rsidRDefault="00D10CF9" w:rsidP="00716C4B">
      <w:pPr>
        <w:rPr>
          <w:rFonts w:ascii="Arial" w:hAnsi="Arial" w:cs="Arial"/>
          <w:b/>
          <w:bCs/>
          <w:sz w:val="16"/>
          <w:szCs w:val="16"/>
        </w:rPr>
      </w:pPr>
    </w:p>
    <w:p w14:paraId="6F5730AE" w14:textId="2044B9C9" w:rsidR="00716C4B" w:rsidRDefault="00716C4B" w:rsidP="00716C4B">
      <w:pPr>
        <w:rPr>
          <w:rFonts w:ascii="Arial" w:hAnsi="Arial" w:cs="Arial"/>
          <w:b/>
          <w:bCs/>
          <w:sz w:val="16"/>
          <w:szCs w:val="16"/>
        </w:rPr>
      </w:pPr>
      <w:r w:rsidRPr="0029467F">
        <w:rPr>
          <w:rFonts w:ascii="Arial" w:hAnsi="Arial" w:cs="Arial"/>
          <w:b/>
          <w:bCs/>
          <w:sz w:val="16"/>
          <w:szCs w:val="16"/>
        </w:rPr>
        <w:lastRenderedPageBreak/>
        <w:t>GRAD LABIN</w:t>
      </w:r>
    </w:p>
    <w:p w14:paraId="7EF37BEB" w14:textId="77777777" w:rsidR="00716C4B" w:rsidRPr="0029467F" w:rsidRDefault="00716C4B" w:rsidP="00716C4B">
      <w:pPr>
        <w:rPr>
          <w:rFonts w:ascii="Arial" w:hAnsi="Arial" w:cs="Arial"/>
          <w:b/>
          <w:bCs/>
          <w:sz w:val="16"/>
          <w:szCs w:val="16"/>
        </w:rPr>
      </w:pPr>
      <w:r w:rsidRPr="0029467F">
        <w:rPr>
          <w:rFonts w:ascii="Arial" w:hAnsi="Arial" w:cs="Arial"/>
          <w:b/>
          <w:bCs/>
          <w:sz w:val="16"/>
          <w:szCs w:val="16"/>
        </w:rPr>
        <w:t>TITOV TRG 11</w:t>
      </w:r>
    </w:p>
    <w:p w14:paraId="1B2BCAB6" w14:textId="5DE5D830" w:rsidR="00950446" w:rsidRDefault="00716C4B" w:rsidP="00716C4B">
      <w:pPr>
        <w:rPr>
          <w:rFonts w:ascii="Arial" w:hAnsi="Arial" w:cs="Arial"/>
          <w:b/>
          <w:bCs/>
          <w:sz w:val="16"/>
          <w:szCs w:val="16"/>
        </w:rPr>
      </w:pPr>
      <w:r w:rsidRPr="0029467F">
        <w:rPr>
          <w:rFonts w:ascii="Arial" w:hAnsi="Arial" w:cs="Arial"/>
          <w:b/>
          <w:bCs/>
          <w:sz w:val="16"/>
          <w:szCs w:val="16"/>
        </w:rPr>
        <w:t>LABIN 52220</w:t>
      </w:r>
    </w:p>
    <w:p w14:paraId="6561E84C" w14:textId="78198BBD" w:rsidR="00716C4B" w:rsidRDefault="00716C4B" w:rsidP="00716C4B">
      <w:pPr>
        <w:rPr>
          <w:rFonts w:ascii="Arial" w:hAnsi="Arial" w:cs="Arial"/>
          <w:b/>
          <w:sz w:val="20"/>
          <w:szCs w:val="20"/>
        </w:rPr>
      </w:pPr>
      <w:r w:rsidRPr="0029467F">
        <w:rPr>
          <w:rFonts w:ascii="Arial" w:hAnsi="Arial" w:cs="Arial"/>
          <w:b/>
          <w:bCs/>
          <w:sz w:val="16"/>
          <w:szCs w:val="16"/>
        </w:rPr>
        <w:t>OIB: 19041331726</w:t>
      </w:r>
    </w:p>
    <w:p w14:paraId="48E21E52" w14:textId="77777777" w:rsidR="00363721" w:rsidRDefault="00363721" w:rsidP="00E7053E">
      <w:pPr>
        <w:rPr>
          <w:rFonts w:ascii="Arial" w:hAnsi="Arial" w:cs="Arial"/>
          <w:b/>
          <w:sz w:val="20"/>
          <w:szCs w:val="20"/>
        </w:rPr>
      </w:pPr>
    </w:p>
    <w:p w14:paraId="424984D9" w14:textId="77777777" w:rsidR="008E4A37" w:rsidRDefault="008E4A37" w:rsidP="008E4A37">
      <w:pPr>
        <w:pStyle w:val="Odlomakpopisa"/>
        <w:ind w:left="1080"/>
        <w:jc w:val="center"/>
        <w:rPr>
          <w:rFonts w:ascii="Arial" w:hAnsi="Arial" w:cs="Arial"/>
          <w:b/>
          <w:bCs/>
        </w:rPr>
      </w:pPr>
    </w:p>
    <w:p w14:paraId="197A4EC7" w14:textId="3375D19C" w:rsidR="008E4A37" w:rsidRPr="008E4A37" w:rsidRDefault="008E4A37" w:rsidP="008E4A37">
      <w:pPr>
        <w:pStyle w:val="Odlomakpopisa"/>
        <w:ind w:left="1080"/>
        <w:jc w:val="center"/>
        <w:rPr>
          <w:rFonts w:ascii="Arial" w:hAnsi="Arial" w:cs="Arial"/>
          <w:b/>
          <w:bCs/>
        </w:rPr>
      </w:pPr>
      <w:r>
        <w:rPr>
          <w:rFonts w:ascii="Arial" w:hAnsi="Arial" w:cs="Arial"/>
          <w:b/>
          <w:bCs/>
        </w:rPr>
        <w:t>1.2.2. RAČUN FINANCIRANJA PREMA IZVORIMA FINANCIRANJA</w:t>
      </w:r>
    </w:p>
    <w:p w14:paraId="603D7F48" w14:textId="77777777" w:rsidR="00731A0E" w:rsidRDefault="00731A0E" w:rsidP="00E7053E">
      <w:pPr>
        <w:rPr>
          <w:rFonts w:ascii="Arial" w:hAnsi="Arial" w:cs="Arial"/>
          <w:b/>
          <w:sz w:val="20"/>
          <w:szCs w:val="20"/>
        </w:rPr>
      </w:pPr>
    </w:p>
    <w:p w14:paraId="2FC176E2" w14:textId="030CBDD6" w:rsidR="00731A0E" w:rsidRDefault="00093BBE" w:rsidP="00093BBE">
      <w:pPr>
        <w:ind w:left="11328"/>
        <w:jc w:val="center"/>
        <w:rPr>
          <w:rFonts w:ascii="Arial" w:hAnsi="Arial" w:cs="Arial"/>
          <w:b/>
          <w:sz w:val="20"/>
          <w:szCs w:val="20"/>
        </w:rPr>
      </w:pPr>
      <w:r>
        <w:rPr>
          <w:rFonts w:ascii="Arial" w:hAnsi="Arial" w:cs="Arial"/>
          <w:b/>
          <w:sz w:val="20"/>
          <w:szCs w:val="20"/>
        </w:rPr>
        <w:t>U EUR</w:t>
      </w:r>
    </w:p>
    <w:tbl>
      <w:tblPr>
        <w:tblW w:w="13320" w:type="dxa"/>
        <w:tblLook w:val="04A0" w:firstRow="1" w:lastRow="0" w:firstColumn="1" w:lastColumn="0" w:noHBand="0" w:noVBand="1"/>
      </w:tblPr>
      <w:tblGrid>
        <w:gridCol w:w="5807"/>
        <w:gridCol w:w="1985"/>
        <w:gridCol w:w="1842"/>
        <w:gridCol w:w="1701"/>
        <w:gridCol w:w="1985"/>
      </w:tblGrid>
      <w:tr w:rsidR="00093BBE" w:rsidRPr="00093BBE" w14:paraId="7860C0CD" w14:textId="77777777" w:rsidTr="006B08C7">
        <w:trPr>
          <w:trHeight w:val="528"/>
        </w:trPr>
        <w:tc>
          <w:tcPr>
            <w:tcW w:w="5807" w:type="dxa"/>
            <w:tcBorders>
              <w:top w:val="single" w:sz="4" w:space="0" w:color="auto"/>
              <w:left w:val="single" w:sz="4" w:space="0" w:color="auto"/>
              <w:bottom w:val="single" w:sz="4" w:space="0" w:color="auto"/>
              <w:right w:val="single" w:sz="4" w:space="0" w:color="auto"/>
            </w:tcBorders>
            <w:shd w:val="clear" w:color="000000" w:fill="A6A6A6"/>
            <w:vAlign w:val="bottom"/>
            <w:hideMark/>
          </w:tcPr>
          <w:p w14:paraId="49AFDFB2" w14:textId="77777777" w:rsidR="00093BBE" w:rsidRPr="00093BBE" w:rsidRDefault="00093BBE" w:rsidP="00093BBE">
            <w:pPr>
              <w:rPr>
                <w:rFonts w:ascii="Arial" w:hAnsi="Arial" w:cs="Arial"/>
                <w:b/>
                <w:bCs/>
                <w:sz w:val="20"/>
                <w:szCs w:val="20"/>
              </w:rPr>
            </w:pPr>
            <w:r w:rsidRPr="00093BBE">
              <w:rPr>
                <w:rFonts w:ascii="Arial" w:hAnsi="Arial" w:cs="Arial"/>
                <w:b/>
                <w:bCs/>
                <w:sz w:val="20"/>
                <w:szCs w:val="20"/>
              </w:rPr>
              <w:t>IZVOR</w:t>
            </w:r>
          </w:p>
        </w:tc>
        <w:tc>
          <w:tcPr>
            <w:tcW w:w="1985" w:type="dxa"/>
            <w:tcBorders>
              <w:top w:val="single" w:sz="4" w:space="0" w:color="auto"/>
              <w:left w:val="nil"/>
              <w:bottom w:val="single" w:sz="4" w:space="0" w:color="auto"/>
              <w:right w:val="single" w:sz="4" w:space="0" w:color="auto"/>
            </w:tcBorders>
            <w:shd w:val="clear" w:color="000000" w:fill="A6A6A6"/>
            <w:noWrap/>
            <w:hideMark/>
          </w:tcPr>
          <w:p w14:paraId="7B2582C2" w14:textId="7AD66B26" w:rsidR="00093BBE" w:rsidRPr="00093BBE" w:rsidRDefault="00093BBE" w:rsidP="00093BBE">
            <w:pPr>
              <w:rPr>
                <w:rFonts w:ascii="Arial" w:hAnsi="Arial" w:cs="Arial"/>
                <w:b/>
                <w:bCs/>
                <w:sz w:val="20"/>
                <w:szCs w:val="20"/>
              </w:rPr>
            </w:pPr>
            <w:r w:rsidRPr="00093BBE">
              <w:rPr>
                <w:rFonts w:ascii="Arial" w:hAnsi="Arial" w:cs="Arial"/>
                <w:b/>
                <w:bCs/>
                <w:sz w:val="20"/>
                <w:szCs w:val="20"/>
              </w:rPr>
              <w:t>PLAN ZA 2025.</w:t>
            </w:r>
          </w:p>
        </w:tc>
        <w:tc>
          <w:tcPr>
            <w:tcW w:w="1842" w:type="dxa"/>
            <w:tcBorders>
              <w:top w:val="single" w:sz="4" w:space="0" w:color="auto"/>
              <w:left w:val="nil"/>
              <w:bottom w:val="single" w:sz="4" w:space="0" w:color="auto"/>
              <w:right w:val="single" w:sz="4" w:space="0" w:color="auto"/>
            </w:tcBorders>
            <w:shd w:val="clear" w:color="000000" w:fill="A6A6A6"/>
            <w:noWrap/>
            <w:hideMark/>
          </w:tcPr>
          <w:p w14:paraId="6916372C" w14:textId="4C210586" w:rsidR="00093BBE" w:rsidRPr="00093BBE" w:rsidRDefault="00093BBE" w:rsidP="00093BBE">
            <w:pPr>
              <w:rPr>
                <w:rFonts w:ascii="Arial" w:hAnsi="Arial" w:cs="Arial"/>
                <w:b/>
                <w:bCs/>
                <w:sz w:val="20"/>
                <w:szCs w:val="20"/>
              </w:rPr>
            </w:pPr>
            <w:r w:rsidRPr="00093BBE">
              <w:rPr>
                <w:rFonts w:ascii="Arial" w:hAnsi="Arial" w:cs="Arial"/>
                <w:b/>
                <w:bCs/>
                <w:sz w:val="20"/>
                <w:szCs w:val="20"/>
              </w:rPr>
              <w:t>POVEĆANJE/ SMANJENJE</w:t>
            </w:r>
          </w:p>
        </w:tc>
        <w:tc>
          <w:tcPr>
            <w:tcW w:w="1701" w:type="dxa"/>
            <w:tcBorders>
              <w:top w:val="single" w:sz="4" w:space="0" w:color="auto"/>
              <w:left w:val="nil"/>
              <w:bottom w:val="single" w:sz="4" w:space="0" w:color="auto"/>
              <w:right w:val="single" w:sz="4" w:space="0" w:color="auto"/>
            </w:tcBorders>
            <w:shd w:val="clear" w:color="000000" w:fill="A6A6A6"/>
            <w:hideMark/>
          </w:tcPr>
          <w:p w14:paraId="144F8601" w14:textId="3C5973DC" w:rsidR="00093BBE" w:rsidRPr="00093BBE" w:rsidRDefault="00093BBE" w:rsidP="00093BBE">
            <w:pPr>
              <w:rPr>
                <w:rFonts w:ascii="Arial" w:hAnsi="Arial" w:cs="Arial"/>
                <w:b/>
                <w:bCs/>
                <w:sz w:val="20"/>
                <w:szCs w:val="20"/>
              </w:rPr>
            </w:pPr>
            <w:r w:rsidRPr="00093BBE">
              <w:rPr>
                <w:rFonts w:ascii="Arial" w:hAnsi="Arial" w:cs="Arial"/>
                <w:b/>
                <w:bCs/>
                <w:sz w:val="20"/>
                <w:szCs w:val="20"/>
              </w:rPr>
              <w:t>PROMJENA</w:t>
            </w:r>
          </w:p>
        </w:tc>
        <w:tc>
          <w:tcPr>
            <w:tcW w:w="1985" w:type="dxa"/>
            <w:tcBorders>
              <w:top w:val="single" w:sz="4" w:space="0" w:color="auto"/>
              <w:left w:val="nil"/>
              <w:bottom w:val="single" w:sz="4" w:space="0" w:color="auto"/>
              <w:right w:val="single" w:sz="4" w:space="0" w:color="auto"/>
            </w:tcBorders>
            <w:shd w:val="clear" w:color="000000" w:fill="A6A6A6"/>
            <w:noWrap/>
            <w:hideMark/>
          </w:tcPr>
          <w:p w14:paraId="49D480DF" w14:textId="7DA188EB" w:rsidR="00093BBE" w:rsidRPr="00093BBE" w:rsidRDefault="00093BBE" w:rsidP="00093BBE">
            <w:pPr>
              <w:rPr>
                <w:rFonts w:ascii="Arial" w:hAnsi="Arial" w:cs="Arial"/>
                <w:b/>
                <w:bCs/>
                <w:sz w:val="20"/>
                <w:szCs w:val="20"/>
              </w:rPr>
            </w:pPr>
            <w:r w:rsidRPr="00093BBE">
              <w:rPr>
                <w:rFonts w:ascii="Arial" w:hAnsi="Arial" w:cs="Arial"/>
                <w:b/>
                <w:bCs/>
                <w:sz w:val="20"/>
                <w:szCs w:val="20"/>
              </w:rPr>
              <w:t>NOVI PLAN ZA 2025.</w:t>
            </w:r>
          </w:p>
        </w:tc>
      </w:tr>
      <w:tr w:rsidR="00093BBE" w14:paraId="1418D932" w14:textId="77777777" w:rsidTr="00093BBE">
        <w:trPr>
          <w:trHeight w:val="264"/>
        </w:trPr>
        <w:tc>
          <w:tcPr>
            <w:tcW w:w="5807" w:type="dxa"/>
            <w:tcBorders>
              <w:top w:val="nil"/>
              <w:left w:val="single" w:sz="4" w:space="0" w:color="auto"/>
              <w:bottom w:val="single" w:sz="4" w:space="0" w:color="auto"/>
              <w:right w:val="single" w:sz="4" w:space="0" w:color="auto"/>
            </w:tcBorders>
            <w:shd w:val="clear" w:color="000000" w:fill="BFBFBF"/>
            <w:noWrap/>
            <w:vAlign w:val="bottom"/>
            <w:hideMark/>
          </w:tcPr>
          <w:p w14:paraId="32D177DA" w14:textId="77777777" w:rsidR="00093BBE" w:rsidRDefault="00093BBE">
            <w:pPr>
              <w:rPr>
                <w:rFonts w:ascii="Arial" w:hAnsi="Arial" w:cs="Arial"/>
                <w:b/>
                <w:bCs/>
                <w:sz w:val="20"/>
                <w:szCs w:val="20"/>
              </w:rPr>
            </w:pPr>
            <w:r>
              <w:rPr>
                <w:rFonts w:ascii="Arial" w:hAnsi="Arial" w:cs="Arial"/>
                <w:b/>
                <w:bCs/>
                <w:sz w:val="20"/>
                <w:szCs w:val="20"/>
              </w:rPr>
              <w:t xml:space="preserve">  SVEUKUPNO PRIHODI</w:t>
            </w:r>
          </w:p>
        </w:tc>
        <w:tc>
          <w:tcPr>
            <w:tcW w:w="1985" w:type="dxa"/>
            <w:tcBorders>
              <w:top w:val="nil"/>
              <w:left w:val="nil"/>
              <w:bottom w:val="single" w:sz="4" w:space="0" w:color="auto"/>
              <w:right w:val="single" w:sz="4" w:space="0" w:color="auto"/>
            </w:tcBorders>
            <w:shd w:val="clear" w:color="000000" w:fill="BFBFBF"/>
            <w:noWrap/>
            <w:vAlign w:val="bottom"/>
            <w:hideMark/>
          </w:tcPr>
          <w:p w14:paraId="28EFB7F2" w14:textId="77777777" w:rsidR="00093BBE" w:rsidRDefault="00093BBE">
            <w:pPr>
              <w:jc w:val="right"/>
              <w:rPr>
                <w:rFonts w:ascii="Arial" w:hAnsi="Arial" w:cs="Arial"/>
                <w:b/>
                <w:bCs/>
                <w:sz w:val="20"/>
                <w:szCs w:val="20"/>
              </w:rPr>
            </w:pPr>
            <w:r>
              <w:rPr>
                <w:rFonts w:ascii="Arial" w:hAnsi="Arial" w:cs="Arial"/>
                <w:b/>
                <w:bCs/>
                <w:sz w:val="20"/>
                <w:szCs w:val="20"/>
              </w:rPr>
              <w:t>0,00</w:t>
            </w:r>
          </w:p>
        </w:tc>
        <w:tc>
          <w:tcPr>
            <w:tcW w:w="1842" w:type="dxa"/>
            <w:tcBorders>
              <w:top w:val="nil"/>
              <w:left w:val="nil"/>
              <w:bottom w:val="single" w:sz="4" w:space="0" w:color="auto"/>
              <w:right w:val="single" w:sz="4" w:space="0" w:color="auto"/>
            </w:tcBorders>
            <w:shd w:val="clear" w:color="000000" w:fill="BFBFBF"/>
            <w:noWrap/>
            <w:vAlign w:val="bottom"/>
            <w:hideMark/>
          </w:tcPr>
          <w:p w14:paraId="0F7078E9" w14:textId="77777777" w:rsidR="00093BBE" w:rsidRDefault="00093BBE">
            <w:pPr>
              <w:jc w:val="right"/>
              <w:rPr>
                <w:rFonts w:ascii="Arial" w:hAnsi="Arial" w:cs="Arial"/>
                <w:b/>
                <w:bCs/>
                <w:sz w:val="20"/>
                <w:szCs w:val="20"/>
              </w:rPr>
            </w:pPr>
            <w:r>
              <w:rPr>
                <w:rFonts w:ascii="Arial" w:hAnsi="Arial" w:cs="Arial"/>
                <w:b/>
                <w:bCs/>
                <w:sz w:val="20"/>
                <w:szCs w:val="20"/>
              </w:rPr>
              <w:t>0,00</w:t>
            </w:r>
          </w:p>
        </w:tc>
        <w:tc>
          <w:tcPr>
            <w:tcW w:w="1701" w:type="dxa"/>
            <w:tcBorders>
              <w:top w:val="nil"/>
              <w:left w:val="nil"/>
              <w:bottom w:val="single" w:sz="4" w:space="0" w:color="auto"/>
              <w:right w:val="single" w:sz="4" w:space="0" w:color="auto"/>
            </w:tcBorders>
            <w:shd w:val="clear" w:color="000000" w:fill="BFBFBF"/>
            <w:noWrap/>
            <w:vAlign w:val="bottom"/>
            <w:hideMark/>
          </w:tcPr>
          <w:p w14:paraId="68DB4CBF" w14:textId="77777777" w:rsidR="00093BBE" w:rsidRDefault="00093BBE">
            <w:pPr>
              <w:jc w:val="right"/>
              <w:rPr>
                <w:rFonts w:ascii="Arial" w:hAnsi="Arial" w:cs="Arial"/>
                <w:b/>
                <w:bCs/>
                <w:sz w:val="20"/>
                <w:szCs w:val="20"/>
              </w:rPr>
            </w:pPr>
            <w:r>
              <w:rPr>
                <w:rFonts w:ascii="Arial" w:hAnsi="Arial" w:cs="Arial"/>
                <w:b/>
                <w:bCs/>
                <w:sz w:val="20"/>
                <w:szCs w:val="20"/>
              </w:rPr>
              <w:t>0,00</w:t>
            </w:r>
          </w:p>
        </w:tc>
        <w:tc>
          <w:tcPr>
            <w:tcW w:w="1985" w:type="dxa"/>
            <w:tcBorders>
              <w:top w:val="nil"/>
              <w:left w:val="nil"/>
              <w:bottom w:val="single" w:sz="4" w:space="0" w:color="auto"/>
              <w:right w:val="single" w:sz="4" w:space="0" w:color="auto"/>
            </w:tcBorders>
            <w:shd w:val="clear" w:color="000000" w:fill="BFBFBF"/>
            <w:noWrap/>
            <w:vAlign w:val="bottom"/>
            <w:hideMark/>
          </w:tcPr>
          <w:p w14:paraId="401C2DE1" w14:textId="77777777" w:rsidR="00093BBE" w:rsidRDefault="00093BBE">
            <w:pPr>
              <w:jc w:val="right"/>
              <w:rPr>
                <w:rFonts w:ascii="Arial" w:hAnsi="Arial" w:cs="Arial"/>
                <w:b/>
                <w:bCs/>
                <w:sz w:val="20"/>
                <w:szCs w:val="20"/>
              </w:rPr>
            </w:pPr>
            <w:r>
              <w:rPr>
                <w:rFonts w:ascii="Arial" w:hAnsi="Arial" w:cs="Arial"/>
                <w:b/>
                <w:bCs/>
                <w:sz w:val="20"/>
                <w:szCs w:val="20"/>
              </w:rPr>
              <w:t>0,00</w:t>
            </w:r>
          </w:p>
        </w:tc>
      </w:tr>
      <w:tr w:rsidR="00093BBE" w14:paraId="24F2ECBD" w14:textId="77777777" w:rsidTr="00093BBE">
        <w:trPr>
          <w:trHeight w:val="264"/>
        </w:trPr>
        <w:tc>
          <w:tcPr>
            <w:tcW w:w="5807" w:type="dxa"/>
            <w:tcBorders>
              <w:top w:val="nil"/>
              <w:left w:val="single" w:sz="4" w:space="0" w:color="auto"/>
              <w:bottom w:val="single" w:sz="4" w:space="0" w:color="auto"/>
              <w:right w:val="single" w:sz="4" w:space="0" w:color="auto"/>
            </w:tcBorders>
            <w:shd w:val="clear" w:color="000000" w:fill="D9D9D9"/>
            <w:noWrap/>
            <w:vAlign w:val="bottom"/>
            <w:hideMark/>
          </w:tcPr>
          <w:p w14:paraId="18511F72" w14:textId="77777777" w:rsidR="00093BBE" w:rsidRDefault="00093BBE">
            <w:pPr>
              <w:rPr>
                <w:rFonts w:ascii="Arial" w:hAnsi="Arial" w:cs="Arial"/>
                <w:b/>
                <w:bCs/>
                <w:color w:val="000000"/>
                <w:sz w:val="20"/>
                <w:szCs w:val="20"/>
              </w:rPr>
            </w:pPr>
            <w:r>
              <w:rPr>
                <w:rFonts w:ascii="Arial" w:hAnsi="Arial" w:cs="Arial"/>
                <w:b/>
                <w:bCs/>
                <w:color w:val="000000"/>
                <w:sz w:val="20"/>
                <w:szCs w:val="20"/>
              </w:rPr>
              <w:t>Izvor  8. NAMJENSKI PRIMICI OD ZADUŽIVANJA</w:t>
            </w:r>
          </w:p>
        </w:tc>
        <w:tc>
          <w:tcPr>
            <w:tcW w:w="1985" w:type="dxa"/>
            <w:tcBorders>
              <w:top w:val="nil"/>
              <w:left w:val="nil"/>
              <w:bottom w:val="single" w:sz="4" w:space="0" w:color="auto"/>
              <w:right w:val="single" w:sz="4" w:space="0" w:color="auto"/>
            </w:tcBorders>
            <w:shd w:val="clear" w:color="000000" w:fill="D9D9D9"/>
            <w:noWrap/>
            <w:vAlign w:val="bottom"/>
            <w:hideMark/>
          </w:tcPr>
          <w:p w14:paraId="7B300871"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0,00</w:t>
            </w:r>
          </w:p>
        </w:tc>
        <w:tc>
          <w:tcPr>
            <w:tcW w:w="1842" w:type="dxa"/>
            <w:tcBorders>
              <w:top w:val="nil"/>
              <w:left w:val="nil"/>
              <w:bottom w:val="single" w:sz="4" w:space="0" w:color="auto"/>
              <w:right w:val="single" w:sz="4" w:space="0" w:color="auto"/>
            </w:tcBorders>
            <w:shd w:val="clear" w:color="000000" w:fill="D9D9D9"/>
            <w:noWrap/>
            <w:vAlign w:val="bottom"/>
            <w:hideMark/>
          </w:tcPr>
          <w:p w14:paraId="7CC0C172"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0,00</w:t>
            </w:r>
          </w:p>
        </w:tc>
        <w:tc>
          <w:tcPr>
            <w:tcW w:w="1701" w:type="dxa"/>
            <w:tcBorders>
              <w:top w:val="nil"/>
              <w:left w:val="nil"/>
              <w:bottom w:val="single" w:sz="4" w:space="0" w:color="auto"/>
              <w:right w:val="single" w:sz="4" w:space="0" w:color="auto"/>
            </w:tcBorders>
            <w:shd w:val="clear" w:color="000000" w:fill="D9D9D9"/>
            <w:noWrap/>
            <w:vAlign w:val="bottom"/>
            <w:hideMark/>
          </w:tcPr>
          <w:p w14:paraId="09CA2FEC"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0,00</w:t>
            </w:r>
          </w:p>
        </w:tc>
        <w:tc>
          <w:tcPr>
            <w:tcW w:w="1985" w:type="dxa"/>
            <w:tcBorders>
              <w:top w:val="nil"/>
              <w:left w:val="nil"/>
              <w:bottom w:val="single" w:sz="4" w:space="0" w:color="auto"/>
              <w:right w:val="single" w:sz="4" w:space="0" w:color="auto"/>
            </w:tcBorders>
            <w:shd w:val="clear" w:color="000000" w:fill="D9D9D9"/>
            <w:noWrap/>
            <w:vAlign w:val="bottom"/>
            <w:hideMark/>
          </w:tcPr>
          <w:p w14:paraId="2C9D2DCD"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0,00</w:t>
            </w:r>
          </w:p>
        </w:tc>
      </w:tr>
      <w:tr w:rsidR="00093BBE" w14:paraId="4BFF2D29" w14:textId="77777777" w:rsidTr="00093BBE">
        <w:trPr>
          <w:trHeight w:val="264"/>
        </w:trPr>
        <w:tc>
          <w:tcPr>
            <w:tcW w:w="5807" w:type="dxa"/>
            <w:tcBorders>
              <w:top w:val="nil"/>
              <w:left w:val="single" w:sz="4" w:space="0" w:color="auto"/>
              <w:bottom w:val="single" w:sz="4" w:space="0" w:color="auto"/>
              <w:right w:val="single" w:sz="4" w:space="0" w:color="auto"/>
            </w:tcBorders>
            <w:shd w:val="clear" w:color="000000" w:fill="FFFFFF"/>
            <w:noWrap/>
            <w:vAlign w:val="bottom"/>
            <w:hideMark/>
          </w:tcPr>
          <w:p w14:paraId="1670CB48" w14:textId="77777777" w:rsidR="00093BBE" w:rsidRDefault="00093BBE">
            <w:pPr>
              <w:rPr>
                <w:rFonts w:ascii="Arial" w:hAnsi="Arial" w:cs="Arial"/>
                <w:color w:val="000000"/>
                <w:sz w:val="20"/>
                <w:szCs w:val="20"/>
              </w:rPr>
            </w:pPr>
            <w:r>
              <w:rPr>
                <w:rFonts w:ascii="Arial" w:hAnsi="Arial" w:cs="Arial"/>
                <w:color w:val="000000"/>
                <w:sz w:val="20"/>
                <w:szCs w:val="20"/>
              </w:rPr>
              <w:t>Izvor  8.1. NAMJENSKI PRIMICI OD ZADUŽIVANJA</w:t>
            </w:r>
          </w:p>
        </w:tc>
        <w:tc>
          <w:tcPr>
            <w:tcW w:w="1985" w:type="dxa"/>
            <w:tcBorders>
              <w:top w:val="nil"/>
              <w:left w:val="nil"/>
              <w:bottom w:val="single" w:sz="4" w:space="0" w:color="auto"/>
              <w:right w:val="single" w:sz="4" w:space="0" w:color="auto"/>
            </w:tcBorders>
            <w:shd w:val="clear" w:color="000000" w:fill="FFFFFF"/>
            <w:noWrap/>
            <w:vAlign w:val="bottom"/>
            <w:hideMark/>
          </w:tcPr>
          <w:p w14:paraId="00333A9D" w14:textId="77777777" w:rsidR="00093BBE" w:rsidRDefault="00093BBE">
            <w:pPr>
              <w:jc w:val="right"/>
              <w:rPr>
                <w:rFonts w:ascii="Arial" w:hAnsi="Arial" w:cs="Arial"/>
                <w:color w:val="000000"/>
                <w:sz w:val="20"/>
                <w:szCs w:val="20"/>
              </w:rPr>
            </w:pPr>
            <w:r>
              <w:rPr>
                <w:rFonts w:ascii="Arial" w:hAnsi="Arial" w:cs="Arial"/>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bottom"/>
            <w:hideMark/>
          </w:tcPr>
          <w:p w14:paraId="485C4804" w14:textId="77777777" w:rsidR="00093BBE" w:rsidRDefault="00093BBE">
            <w:pPr>
              <w:jc w:val="right"/>
              <w:rPr>
                <w:rFonts w:ascii="Arial" w:hAnsi="Arial" w:cs="Arial"/>
                <w:color w:val="000000"/>
                <w:sz w:val="20"/>
                <w:szCs w:val="20"/>
              </w:rPr>
            </w:pPr>
            <w:r>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17439707" w14:textId="77777777" w:rsidR="00093BBE" w:rsidRDefault="00093BBE">
            <w:pPr>
              <w:jc w:val="right"/>
              <w:rPr>
                <w:rFonts w:ascii="Arial" w:hAnsi="Arial" w:cs="Arial"/>
                <w:color w:val="000000"/>
                <w:sz w:val="20"/>
                <w:szCs w:val="20"/>
              </w:rPr>
            </w:pPr>
            <w:r>
              <w:rPr>
                <w:rFonts w:ascii="Arial" w:hAnsi="Arial" w:cs="Arial"/>
                <w:color w:val="000000"/>
                <w:sz w:val="20"/>
                <w:szCs w:val="20"/>
              </w:rPr>
              <w:t>0,00</w:t>
            </w:r>
          </w:p>
        </w:tc>
        <w:tc>
          <w:tcPr>
            <w:tcW w:w="1985" w:type="dxa"/>
            <w:tcBorders>
              <w:top w:val="nil"/>
              <w:left w:val="nil"/>
              <w:bottom w:val="single" w:sz="4" w:space="0" w:color="auto"/>
              <w:right w:val="single" w:sz="4" w:space="0" w:color="auto"/>
            </w:tcBorders>
            <w:shd w:val="clear" w:color="000000" w:fill="FFFFFF"/>
            <w:noWrap/>
            <w:vAlign w:val="bottom"/>
            <w:hideMark/>
          </w:tcPr>
          <w:p w14:paraId="170593AE" w14:textId="77777777" w:rsidR="00093BBE" w:rsidRDefault="00093BBE">
            <w:pPr>
              <w:jc w:val="right"/>
              <w:rPr>
                <w:rFonts w:ascii="Arial" w:hAnsi="Arial" w:cs="Arial"/>
                <w:color w:val="000000"/>
                <w:sz w:val="20"/>
                <w:szCs w:val="20"/>
              </w:rPr>
            </w:pPr>
            <w:r>
              <w:rPr>
                <w:rFonts w:ascii="Arial" w:hAnsi="Arial" w:cs="Arial"/>
                <w:color w:val="000000"/>
                <w:sz w:val="20"/>
                <w:szCs w:val="20"/>
              </w:rPr>
              <w:t>0,00</w:t>
            </w:r>
          </w:p>
        </w:tc>
      </w:tr>
      <w:tr w:rsidR="00093BBE" w14:paraId="0BBC3D5B" w14:textId="77777777" w:rsidTr="00093BBE">
        <w:trPr>
          <w:trHeight w:val="264"/>
        </w:trPr>
        <w:tc>
          <w:tcPr>
            <w:tcW w:w="5807" w:type="dxa"/>
            <w:tcBorders>
              <w:top w:val="nil"/>
              <w:left w:val="single" w:sz="4" w:space="0" w:color="auto"/>
              <w:bottom w:val="single" w:sz="4" w:space="0" w:color="auto"/>
              <w:right w:val="single" w:sz="4" w:space="0" w:color="auto"/>
            </w:tcBorders>
            <w:shd w:val="clear" w:color="000000" w:fill="BFBFBF"/>
            <w:noWrap/>
            <w:vAlign w:val="bottom"/>
            <w:hideMark/>
          </w:tcPr>
          <w:p w14:paraId="17746B84" w14:textId="77777777" w:rsidR="00093BBE" w:rsidRDefault="00093BBE">
            <w:pPr>
              <w:rPr>
                <w:rFonts w:ascii="Arial" w:hAnsi="Arial" w:cs="Arial"/>
                <w:b/>
                <w:bCs/>
                <w:sz w:val="20"/>
                <w:szCs w:val="20"/>
              </w:rPr>
            </w:pPr>
            <w:r>
              <w:rPr>
                <w:rFonts w:ascii="Arial" w:hAnsi="Arial" w:cs="Arial"/>
                <w:b/>
                <w:bCs/>
                <w:sz w:val="20"/>
                <w:szCs w:val="20"/>
              </w:rPr>
              <w:t xml:space="preserve">  SVEUKUPNO RASHODI / IZDACI</w:t>
            </w:r>
          </w:p>
        </w:tc>
        <w:tc>
          <w:tcPr>
            <w:tcW w:w="1985" w:type="dxa"/>
            <w:tcBorders>
              <w:top w:val="nil"/>
              <w:left w:val="nil"/>
              <w:bottom w:val="single" w:sz="4" w:space="0" w:color="auto"/>
              <w:right w:val="single" w:sz="4" w:space="0" w:color="auto"/>
            </w:tcBorders>
            <w:shd w:val="clear" w:color="000000" w:fill="BFBFBF"/>
            <w:noWrap/>
            <w:vAlign w:val="bottom"/>
            <w:hideMark/>
          </w:tcPr>
          <w:p w14:paraId="684D76D3" w14:textId="77777777" w:rsidR="00093BBE" w:rsidRDefault="00093BBE">
            <w:pPr>
              <w:jc w:val="right"/>
              <w:rPr>
                <w:rFonts w:ascii="Arial" w:hAnsi="Arial" w:cs="Arial"/>
                <w:b/>
                <w:bCs/>
                <w:sz w:val="20"/>
                <w:szCs w:val="20"/>
              </w:rPr>
            </w:pPr>
            <w:r>
              <w:rPr>
                <w:rFonts w:ascii="Arial" w:hAnsi="Arial" w:cs="Arial"/>
                <w:b/>
                <w:bCs/>
                <w:sz w:val="20"/>
                <w:szCs w:val="20"/>
              </w:rPr>
              <w:t>693.746,00</w:t>
            </w:r>
          </w:p>
        </w:tc>
        <w:tc>
          <w:tcPr>
            <w:tcW w:w="1842" w:type="dxa"/>
            <w:tcBorders>
              <w:top w:val="nil"/>
              <w:left w:val="nil"/>
              <w:bottom w:val="single" w:sz="4" w:space="0" w:color="auto"/>
              <w:right w:val="single" w:sz="4" w:space="0" w:color="auto"/>
            </w:tcBorders>
            <w:shd w:val="clear" w:color="000000" w:fill="BFBFBF"/>
            <w:noWrap/>
            <w:vAlign w:val="bottom"/>
            <w:hideMark/>
          </w:tcPr>
          <w:p w14:paraId="7ED46E9D" w14:textId="77777777" w:rsidR="00093BBE" w:rsidRDefault="00093BBE">
            <w:pPr>
              <w:jc w:val="right"/>
              <w:rPr>
                <w:rFonts w:ascii="Arial" w:hAnsi="Arial" w:cs="Arial"/>
                <w:b/>
                <w:bCs/>
                <w:sz w:val="20"/>
                <w:szCs w:val="20"/>
              </w:rPr>
            </w:pPr>
            <w:r>
              <w:rPr>
                <w:rFonts w:ascii="Arial" w:hAnsi="Arial" w:cs="Arial"/>
                <w:b/>
                <w:bCs/>
                <w:sz w:val="20"/>
                <w:szCs w:val="20"/>
              </w:rPr>
              <w:t>0,00</w:t>
            </w:r>
          </w:p>
        </w:tc>
        <w:tc>
          <w:tcPr>
            <w:tcW w:w="1701" w:type="dxa"/>
            <w:tcBorders>
              <w:top w:val="nil"/>
              <w:left w:val="nil"/>
              <w:bottom w:val="single" w:sz="4" w:space="0" w:color="auto"/>
              <w:right w:val="single" w:sz="4" w:space="0" w:color="auto"/>
            </w:tcBorders>
            <w:shd w:val="clear" w:color="000000" w:fill="BFBFBF"/>
            <w:noWrap/>
            <w:vAlign w:val="bottom"/>
            <w:hideMark/>
          </w:tcPr>
          <w:p w14:paraId="36A487CE" w14:textId="77777777" w:rsidR="00093BBE" w:rsidRDefault="00093BBE">
            <w:pPr>
              <w:jc w:val="right"/>
              <w:rPr>
                <w:rFonts w:ascii="Arial" w:hAnsi="Arial" w:cs="Arial"/>
                <w:b/>
                <w:bCs/>
                <w:sz w:val="20"/>
                <w:szCs w:val="20"/>
              </w:rPr>
            </w:pPr>
            <w:r>
              <w:rPr>
                <w:rFonts w:ascii="Arial" w:hAnsi="Arial" w:cs="Arial"/>
                <w:b/>
                <w:bCs/>
                <w:sz w:val="20"/>
                <w:szCs w:val="20"/>
              </w:rPr>
              <w:t>0,00</w:t>
            </w:r>
          </w:p>
        </w:tc>
        <w:tc>
          <w:tcPr>
            <w:tcW w:w="1985" w:type="dxa"/>
            <w:tcBorders>
              <w:top w:val="nil"/>
              <w:left w:val="nil"/>
              <w:bottom w:val="single" w:sz="4" w:space="0" w:color="auto"/>
              <w:right w:val="single" w:sz="4" w:space="0" w:color="auto"/>
            </w:tcBorders>
            <w:shd w:val="clear" w:color="000000" w:fill="BFBFBF"/>
            <w:noWrap/>
            <w:vAlign w:val="bottom"/>
            <w:hideMark/>
          </w:tcPr>
          <w:p w14:paraId="60FAAC98" w14:textId="77777777" w:rsidR="00093BBE" w:rsidRDefault="00093BBE">
            <w:pPr>
              <w:jc w:val="right"/>
              <w:rPr>
                <w:rFonts w:ascii="Arial" w:hAnsi="Arial" w:cs="Arial"/>
                <w:b/>
                <w:bCs/>
                <w:sz w:val="20"/>
                <w:szCs w:val="20"/>
              </w:rPr>
            </w:pPr>
            <w:r>
              <w:rPr>
                <w:rFonts w:ascii="Arial" w:hAnsi="Arial" w:cs="Arial"/>
                <w:b/>
                <w:bCs/>
                <w:sz w:val="20"/>
                <w:szCs w:val="20"/>
              </w:rPr>
              <w:t>693.746,00</w:t>
            </w:r>
          </w:p>
        </w:tc>
      </w:tr>
      <w:tr w:rsidR="00093BBE" w14:paraId="6D889147" w14:textId="77777777" w:rsidTr="00093BBE">
        <w:trPr>
          <w:trHeight w:val="264"/>
        </w:trPr>
        <w:tc>
          <w:tcPr>
            <w:tcW w:w="5807" w:type="dxa"/>
            <w:tcBorders>
              <w:top w:val="nil"/>
              <w:left w:val="single" w:sz="4" w:space="0" w:color="auto"/>
              <w:bottom w:val="single" w:sz="4" w:space="0" w:color="auto"/>
              <w:right w:val="single" w:sz="4" w:space="0" w:color="auto"/>
            </w:tcBorders>
            <w:shd w:val="clear" w:color="000000" w:fill="D9D9D9"/>
            <w:noWrap/>
            <w:vAlign w:val="bottom"/>
            <w:hideMark/>
          </w:tcPr>
          <w:p w14:paraId="4F8A8262" w14:textId="77777777" w:rsidR="00093BBE" w:rsidRDefault="00093BBE">
            <w:pPr>
              <w:rPr>
                <w:rFonts w:ascii="Arial" w:hAnsi="Arial" w:cs="Arial"/>
                <w:b/>
                <w:bCs/>
                <w:color w:val="000000"/>
                <w:sz w:val="20"/>
                <w:szCs w:val="20"/>
              </w:rPr>
            </w:pPr>
            <w:r>
              <w:rPr>
                <w:rFonts w:ascii="Arial" w:hAnsi="Arial" w:cs="Arial"/>
                <w:b/>
                <w:bCs/>
                <w:color w:val="000000"/>
                <w:sz w:val="20"/>
                <w:szCs w:val="20"/>
              </w:rPr>
              <w:t>Izvor  1. OPĆI PRIHODI I PRIMICI</w:t>
            </w:r>
          </w:p>
        </w:tc>
        <w:tc>
          <w:tcPr>
            <w:tcW w:w="1985" w:type="dxa"/>
            <w:tcBorders>
              <w:top w:val="nil"/>
              <w:left w:val="nil"/>
              <w:bottom w:val="single" w:sz="4" w:space="0" w:color="auto"/>
              <w:right w:val="single" w:sz="4" w:space="0" w:color="auto"/>
            </w:tcBorders>
            <w:shd w:val="clear" w:color="000000" w:fill="D9D9D9"/>
            <w:noWrap/>
            <w:vAlign w:val="bottom"/>
            <w:hideMark/>
          </w:tcPr>
          <w:p w14:paraId="0FB8B788"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529.973,00</w:t>
            </w:r>
          </w:p>
        </w:tc>
        <w:tc>
          <w:tcPr>
            <w:tcW w:w="1842" w:type="dxa"/>
            <w:tcBorders>
              <w:top w:val="nil"/>
              <w:left w:val="nil"/>
              <w:bottom w:val="single" w:sz="4" w:space="0" w:color="auto"/>
              <w:right w:val="single" w:sz="4" w:space="0" w:color="auto"/>
            </w:tcBorders>
            <w:shd w:val="clear" w:color="000000" w:fill="D9D9D9"/>
            <w:noWrap/>
            <w:vAlign w:val="bottom"/>
            <w:hideMark/>
          </w:tcPr>
          <w:p w14:paraId="3C658C49"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0,00</w:t>
            </w:r>
          </w:p>
        </w:tc>
        <w:tc>
          <w:tcPr>
            <w:tcW w:w="1701" w:type="dxa"/>
            <w:tcBorders>
              <w:top w:val="nil"/>
              <w:left w:val="nil"/>
              <w:bottom w:val="single" w:sz="4" w:space="0" w:color="auto"/>
              <w:right w:val="single" w:sz="4" w:space="0" w:color="auto"/>
            </w:tcBorders>
            <w:shd w:val="clear" w:color="000000" w:fill="D9D9D9"/>
            <w:noWrap/>
            <w:vAlign w:val="bottom"/>
            <w:hideMark/>
          </w:tcPr>
          <w:p w14:paraId="1EC3A8FC"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0,00</w:t>
            </w:r>
          </w:p>
        </w:tc>
        <w:tc>
          <w:tcPr>
            <w:tcW w:w="1985" w:type="dxa"/>
            <w:tcBorders>
              <w:top w:val="nil"/>
              <w:left w:val="nil"/>
              <w:bottom w:val="single" w:sz="4" w:space="0" w:color="auto"/>
              <w:right w:val="single" w:sz="4" w:space="0" w:color="auto"/>
            </w:tcBorders>
            <w:shd w:val="clear" w:color="000000" w:fill="D9D9D9"/>
            <w:noWrap/>
            <w:vAlign w:val="bottom"/>
            <w:hideMark/>
          </w:tcPr>
          <w:p w14:paraId="53368491"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529.973,00</w:t>
            </w:r>
          </w:p>
        </w:tc>
      </w:tr>
      <w:tr w:rsidR="00093BBE" w14:paraId="0D511A5D" w14:textId="77777777" w:rsidTr="00093BBE">
        <w:trPr>
          <w:trHeight w:val="264"/>
        </w:trPr>
        <w:tc>
          <w:tcPr>
            <w:tcW w:w="5807" w:type="dxa"/>
            <w:tcBorders>
              <w:top w:val="nil"/>
              <w:left w:val="single" w:sz="4" w:space="0" w:color="auto"/>
              <w:bottom w:val="single" w:sz="4" w:space="0" w:color="auto"/>
              <w:right w:val="single" w:sz="4" w:space="0" w:color="auto"/>
            </w:tcBorders>
            <w:shd w:val="clear" w:color="000000" w:fill="FFFFFF"/>
            <w:noWrap/>
            <w:vAlign w:val="bottom"/>
            <w:hideMark/>
          </w:tcPr>
          <w:p w14:paraId="2B3A527F" w14:textId="77777777" w:rsidR="00093BBE" w:rsidRDefault="00093BBE">
            <w:pPr>
              <w:rPr>
                <w:rFonts w:ascii="Arial" w:hAnsi="Arial" w:cs="Arial"/>
                <w:color w:val="000000"/>
                <w:sz w:val="20"/>
                <w:szCs w:val="20"/>
              </w:rPr>
            </w:pPr>
            <w:r>
              <w:rPr>
                <w:rFonts w:ascii="Arial" w:hAnsi="Arial" w:cs="Arial"/>
                <w:color w:val="000000"/>
                <w:sz w:val="20"/>
                <w:szCs w:val="20"/>
              </w:rPr>
              <w:t>Izvor  1.1. OPĆI PRIHODI I PRIMICI</w:t>
            </w:r>
          </w:p>
        </w:tc>
        <w:tc>
          <w:tcPr>
            <w:tcW w:w="1985" w:type="dxa"/>
            <w:tcBorders>
              <w:top w:val="nil"/>
              <w:left w:val="nil"/>
              <w:bottom w:val="single" w:sz="4" w:space="0" w:color="auto"/>
              <w:right w:val="single" w:sz="4" w:space="0" w:color="auto"/>
            </w:tcBorders>
            <w:shd w:val="clear" w:color="000000" w:fill="FFFFFF"/>
            <w:noWrap/>
            <w:vAlign w:val="bottom"/>
            <w:hideMark/>
          </w:tcPr>
          <w:p w14:paraId="777B95CB" w14:textId="77777777" w:rsidR="00093BBE" w:rsidRDefault="00093BBE">
            <w:pPr>
              <w:jc w:val="right"/>
              <w:rPr>
                <w:rFonts w:ascii="Arial" w:hAnsi="Arial" w:cs="Arial"/>
                <w:color w:val="000000"/>
                <w:sz w:val="20"/>
                <w:szCs w:val="20"/>
              </w:rPr>
            </w:pPr>
            <w:r>
              <w:rPr>
                <w:rFonts w:ascii="Arial" w:hAnsi="Arial" w:cs="Arial"/>
                <w:color w:val="000000"/>
                <w:sz w:val="20"/>
                <w:szCs w:val="20"/>
              </w:rPr>
              <w:t>529.973,00</w:t>
            </w:r>
          </w:p>
        </w:tc>
        <w:tc>
          <w:tcPr>
            <w:tcW w:w="1842" w:type="dxa"/>
            <w:tcBorders>
              <w:top w:val="nil"/>
              <w:left w:val="nil"/>
              <w:bottom w:val="single" w:sz="4" w:space="0" w:color="auto"/>
              <w:right w:val="single" w:sz="4" w:space="0" w:color="auto"/>
            </w:tcBorders>
            <w:shd w:val="clear" w:color="000000" w:fill="FFFFFF"/>
            <w:noWrap/>
            <w:vAlign w:val="bottom"/>
            <w:hideMark/>
          </w:tcPr>
          <w:p w14:paraId="5B2E8DC5" w14:textId="77777777" w:rsidR="00093BBE" w:rsidRDefault="00093BBE">
            <w:pPr>
              <w:jc w:val="right"/>
              <w:rPr>
                <w:rFonts w:ascii="Arial" w:hAnsi="Arial" w:cs="Arial"/>
                <w:color w:val="000000"/>
                <w:sz w:val="20"/>
                <w:szCs w:val="20"/>
              </w:rPr>
            </w:pPr>
            <w:r>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2401B6AE" w14:textId="77777777" w:rsidR="00093BBE" w:rsidRDefault="00093BBE">
            <w:pPr>
              <w:jc w:val="right"/>
              <w:rPr>
                <w:rFonts w:ascii="Arial" w:hAnsi="Arial" w:cs="Arial"/>
                <w:color w:val="000000"/>
                <w:sz w:val="20"/>
                <w:szCs w:val="20"/>
              </w:rPr>
            </w:pPr>
            <w:r>
              <w:rPr>
                <w:rFonts w:ascii="Arial" w:hAnsi="Arial" w:cs="Arial"/>
                <w:color w:val="000000"/>
                <w:sz w:val="20"/>
                <w:szCs w:val="20"/>
              </w:rPr>
              <w:t>0,00</w:t>
            </w:r>
          </w:p>
        </w:tc>
        <w:tc>
          <w:tcPr>
            <w:tcW w:w="1985" w:type="dxa"/>
            <w:tcBorders>
              <w:top w:val="nil"/>
              <w:left w:val="nil"/>
              <w:bottom w:val="single" w:sz="4" w:space="0" w:color="auto"/>
              <w:right w:val="single" w:sz="4" w:space="0" w:color="auto"/>
            </w:tcBorders>
            <w:shd w:val="clear" w:color="000000" w:fill="FFFFFF"/>
            <w:noWrap/>
            <w:vAlign w:val="bottom"/>
            <w:hideMark/>
          </w:tcPr>
          <w:p w14:paraId="70C9EB34" w14:textId="77777777" w:rsidR="00093BBE" w:rsidRDefault="00093BBE">
            <w:pPr>
              <w:jc w:val="right"/>
              <w:rPr>
                <w:rFonts w:ascii="Arial" w:hAnsi="Arial" w:cs="Arial"/>
                <w:color w:val="000000"/>
                <w:sz w:val="20"/>
                <w:szCs w:val="20"/>
              </w:rPr>
            </w:pPr>
            <w:r>
              <w:rPr>
                <w:rFonts w:ascii="Arial" w:hAnsi="Arial" w:cs="Arial"/>
                <w:color w:val="000000"/>
                <w:sz w:val="20"/>
                <w:szCs w:val="20"/>
              </w:rPr>
              <w:t>529.973,00</w:t>
            </w:r>
          </w:p>
        </w:tc>
      </w:tr>
      <w:tr w:rsidR="00093BBE" w14:paraId="3ACC470F" w14:textId="77777777" w:rsidTr="00093BBE">
        <w:trPr>
          <w:trHeight w:val="264"/>
        </w:trPr>
        <w:tc>
          <w:tcPr>
            <w:tcW w:w="5807" w:type="dxa"/>
            <w:tcBorders>
              <w:top w:val="nil"/>
              <w:left w:val="single" w:sz="4" w:space="0" w:color="auto"/>
              <w:bottom w:val="single" w:sz="4" w:space="0" w:color="auto"/>
              <w:right w:val="single" w:sz="4" w:space="0" w:color="auto"/>
            </w:tcBorders>
            <w:shd w:val="clear" w:color="000000" w:fill="D9D9D9"/>
            <w:noWrap/>
            <w:vAlign w:val="bottom"/>
            <w:hideMark/>
          </w:tcPr>
          <w:p w14:paraId="7B6D079F" w14:textId="77777777" w:rsidR="00093BBE" w:rsidRDefault="00093BBE">
            <w:pPr>
              <w:rPr>
                <w:rFonts w:ascii="Arial" w:hAnsi="Arial" w:cs="Arial"/>
                <w:b/>
                <w:bCs/>
                <w:color w:val="000000"/>
                <w:sz w:val="20"/>
                <w:szCs w:val="20"/>
              </w:rPr>
            </w:pPr>
            <w:r>
              <w:rPr>
                <w:rFonts w:ascii="Arial" w:hAnsi="Arial" w:cs="Arial"/>
                <w:b/>
                <w:bCs/>
                <w:color w:val="000000"/>
                <w:sz w:val="20"/>
                <w:szCs w:val="20"/>
              </w:rPr>
              <w:t>Izvor  4. PRIHODI ZA POSEBNE NAMJENE</w:t>
            </w:r>
          </w:p>
        </w:tc>
        <w:tc>
          <w:tcPr>
            <w:tcW w:w="1985" w:type="dxa"/>
            <w:tcBorders>
              <w:top w:val="nil"/>
              <w:left w:val="nil"/>
              <w:bottom w:val="single" w:sz="4" w:space="0" w:color="auto"/>
              <w:right w:val="single" w:sz="4" w:space="0" w:color="auto"/>
            </w:tcBorders>
            <w:shd w:val="clear" w:color="000000" w:fill="D9D9D9"/>
            <w:noWrap/>
            <w:vAlign w:val="bottom"/>
            <w:hideMark/>
          </w:tcPr>
          <w:p w14:paraId="20CA548D"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13.273,00</w:t>
            </w:r>
          </w:p>
        </w:tc>
        <w:tc>
          <w:tcPr>
            <w:tcW w:w="1842" w:type="dxa"/>
            <w:tcBorders>
              <w:top w:val="nil"/>
              <w:left w:val="nil"/>
              <w:bottom w:val="single" w:sz="4" w:space="0" w:color="auto"/>
              <w:right w:val="single" w:sz="4" w:space="0" w:color="auto"/>
            </w:tcBorders>
            <w:shd w:val="clear" w:color="000000" w:fill="D9D9D9"/>
            <w:noWrap/>
            <w:vAlign w:val="bottom"/>
            <w:hideMark/>
          </w:tcPr>
          <w:p w14:paraId="0D1A6D62"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0,00</w:t>
            </w:r>
          </w:p>
        </w:tc>
        <w:tc>
          <w:tcPr>
            <w:tcW w:w="1701" w:type="dxa"/>
            <w:tcBorders>
              <w:top w:val="nil"/>
              <w:left w:val="nil"/>
              <w:bottom w:val="single" w:sz="4" w:space="0" w:color="auto"/>
              <w:right w:val="single" w:sz="4" w:space="0" w:color="auto"/>
            </w:tcBorders>
            <w:shd w:val="clear" w:color="000000" w:fill="D9D9D9"/>
            <w:noWrap/>
            <w:vAlign w:val="bottom"/>
            <w:hideMark/>
          </w:tcPr>
          <w:p w14:paraId="49E2F901"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0,00</w:t>
            </w:r>
          </w:p>
        </w:tc>
        <w:tc>
          <w:tcPr>
            <w:tcW w:w="1985" w:type="dxa"/>
            <w:tcBorders>
              <w:top w:val="nil"/>
              <w:left w:val="nil"/>
              <w:bottom w:val="single" w:sz="4" w:space="0" w:color="auto"/>
              <w:right w:val="single" w:sz="4" w:space="0" w:color="auto"/>
            </w:tcBorders>
            <w:shd w:val="clear" w:color="000000" w:fill="D9D9D9"/>
            <w:noWrap/>
            <w:vAlign w:val="bottom"/>
            <w:hideMark/>
          </w:tcPr>
          <w:p w14:paraId="2377823E"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13.273,00</w:t>
            </w:r>
          </w:p>
        </w:tc>
      </w:tr>
      <w:tr w:rsidR="00093BBE" w14:paraId="128F5F5F" w14:textId="77777777" w:rsidTr="00093BBE">
        <w:trPr>
          <w:trHeight w:val="264"/>
        </w:trPr>
        <w:tc>
          <w:tcPr>
            <w:tcW w:w="5807" w:type="dxa"/>
            <w:tcBorders>
              <w:top w:val="nil"/>
              <w:left w:val="single" w:sz="4" w:space="0" w:color="auto"/>
              <w:bottom w:val="single" w:sz="4" w:space="0" w:color="auto"/>
              <w:right w:val="single" w:sz="4" w:space="0" w:color="auto"/>
            </w:tcBorders>
            <w:shd w:val="clear" w:color="000000" w:fill="FFFFFF"/>
            <w:noWrap/>
            <w:vAlign w:val="bottom"/>
            <w:hideMark/>
          </w:tcPr>
          <w:p w14:paraId="49CEEFAD" w14:textId="77777777" w:rsidR="00093BBE" w:rsidRDefault="00093BBE">
            <w:pPr>
              <w:rPr>
                <w:rFonts w:ascii="Arial" w:hAnsi="Arial" w:cs="Arial"/>
                <w:color w:val="000000"/>
                <w:sz w:val="20"/>
                <w:szCs w:val="20"/>
              </w:rPr>
            </w:pPr>
            <w:r>
              <w:rPr>
                <w:rFonts w:ascii="Arial" w:hAnsi="Arial" w:cs="Arial"/>
                <w:color w:val="000000"/>
                <w:sz w:val="20"/>
                <w:szCs w:val="20"/>
              </w:rPr>
              <w:t>Izvor  4.9. 4.PRIHODI ZA POSEBNE NAMJENE - PRIHODI KORISNIKA</w:t>
            </w:r>
          </w:p>
        </w:tc>
        <w:tc>
          <w:tcPr>
            <w:tcW w:w="1985" w:type="dxa"/>
            <w:tcBorders>
              <w:top w:val="nil"/>
              <w:left w:val="nil"/>
              <w:bottom w:val="single" w:sz="4" w:space="0" w:color="auto"/>
              <w:right w:val="single" w:sz="4" w:space="0" w:color="auto"/>
            </w:tcBorders>
            <w:shd w:val="clear" w:color="000000" w:fill="FFFFFF"/>
            <w:noWrap/>
            <w:vAlign w:val="bottom"/>
            <w:hideMark/>
          </w:tcPr>
          <w:p w14:paraId="22CDA8E6" w14:textId="77777777" w:rsidR="00093BBE" w:rsidRDefault="00093BBE">
            <w:pPr>
              <w:jc w:val="right"/>
              <w:rPr>
                <w:rFonts w:ascii="Arial" w:hAnsi="Arial" w:cs="Arial"/>
                <w:color w:val="000000"/>
                <w:sz w:val="20"/>
                <w:szCs w:val="20"/>
              </w:rPr>
            </w:pPr>
            <w:r>
              <w:rPr>
                <w:rFonts w:ascii="Arial" w:hAnsi="Arial" w:cs="Arial"/>
                <w:color w:val="000000"/>
                <w:sz w:val="20"/>
                <w:szCs w:val="20"/>
              </w:rPr>
              <w:t>13.273,00</w:t>
            </w:r>
          </w:p>
        </w:tc>
        <w:tc>
          <w:tcPr>
            <w:tcW w:w="1842" w:type="dxa"/>
            <w:tcBorders>
              <w:top w:val="nil"/>
              <w:left w:val="nil"/>
              <w:bottom w:val="single" w:sz="4" w:space="0" w:color="auto"/>
              <w:right w:val="single" w:sz="4" w:space="0" w:color="auto"/>
            </w:tcBorders>
            <w:shd w:val="clear" w:color="000000" w:fill="FFFFFF"/>
            <w:noWrap/>
            <w:vAlign w:val="bottom"/>
            <w:hideMark/>
          </w:tcPr>
          <w:p w14:paraId="46D54C5B" w14:textId="77777777" w:rsidR="00093BBE" w:rsidRDefault="00093BBE">
            <w:pPr>
              <w:jc w:val="right"/>
              <w:rPr>
                <w:rFonts w:ascii="Arial" w:hAnsi="Arial" w:cs="Arial"/>
                <w:color w:val="000000"/>
                <w:sz w:val="20"/>
                <w:szCs w:val="20"/>
              </w:rPr>
            </w:pPr>
            <w:r>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7FDF1FDD" w14:textId="77777777" w:rsidR="00093BBE" w:rsidRDefault="00093BBE">
            <w:pPr>
              <w:jc w:val="right"/>
              <w:rPr>
                <w:rFonts w:ascii="Arial" w:hAnsi="Arial" w:cs="Arial"/>
                <w:color w:val="000000"/>
                <w:sz w:val="20"/>
                <w:szCs w:val="20"/>
              </w:rPr>
            </w:pPr>
            <w:r>
              <w:rPr>
                <w:rFonts w:ascii="Arial" w:hAnsi="Arial" w:cs="Arial"/>
                <w:color w:val="000000"/>
                <w:sz w:val="20"/>
                <w:szCs w:val="20"/>
              </w:rPr>
              <w:t>0,00</w:t>
            </w:r>
          </w:p>
        </w:tc>
        <w:tc>
          <w:tcPr>
            <w:tcW w:w="1985" w:type="dxa"/>
            <w:tcBorders>
              <w:top w:val="nil"/>
              <w:left w:val="nil"/>
              <w:bottom w:val="single" w:sz="4" w:space="0" w:color="auto"/>
              <w:right w:val="single" w:sz="4" w:space="0" w:color="auto"/>
            </w:tcBorders>
            <w:shd w:val="clear" w:color="000000" w:fill="FFFFFF"/>
            <w:noWrap/>
            <w:vAlign w:val="bottom"/>
            <w:hideMark/>
          </w:tcPr>
          <w:p w14:paraId="2DD65533" w14:textId="77777777" w:rsidR="00093BBE" w:rsidRDefault="00093BBE">
            <w:pPr>
              <w:jc w:val="right"/>
              <w:rPr>
                <w:rFonts w:ascii="Arial" w:hAnsi="Arial" w:cs="Arial"/>
                <w:color w:val="000000"/>
                <w:sz w:val="20"/>
                <w:szCs w:val="20"/>
              </w:rPr>
            </w:pPr>
            <w:r>
              <w:rPr>
                <w:rFonts w:ascii="Arial" w:hAnsi="Arial" w:cs="Arial"/>
                <w:color w:val="000000"/>
                <w:sz w:val="20"/>
                <w:szCs w:val="20"/>
              </w:rPr>
              <w:t>13.273,00</w:t>
            </w:r>
          </w:p>
        </w:tc>
      </w:tr>
      <w:tr w:rsidR="00093BBE" w14:paraId="6D25B86C" w14:textId="77777777" w:rsidTr="00093BBE">
        <w:trPr>
          <w:trHeight w:val="264"/>
        </w:trPr>
        <w:tc>
          <w:tcPr>
            <w:tcW w:w="5807" w:type="dxa"/>
            <w:tcBorders>
              <w:top w:val="nil"/>
              <w:left w:val="single" w:sz="4" w:space="0" w:color="auto"/>
              <w:bottom w:val="single" w:sz="4" w:space="0" w:color="auto"/>
              <w:right w:val="single" w:sz="4" w:space="0" w:color="auto"/>
            </w:tcBorders>
            <w:shd w:val="clear" w:color="000000" w:fill="D9D9D9"/>
            <w:noWrap/>
            <w:vAlign w:val="bottom"/>
            <w:hideMark/>
          </w:tcPr>
          <w:p w14:paraId="214A6AD3" w14:textId="77777777" w:rsidR="00093BBE" w:rsidRDefault="00093BBE">
            <w:pPr>
              <w:rPr>
                <w:rFonts w:ascii="Arial" w:hAnsi="Arial" w:cs="Arial"/>
                <w:b/>
                <w:bCs/>
                <w:color w:val="000000"/>
                <w:sz w:val="20"/>
                <w:szCs w:val="20"/>
              </w:rPr>
            </w:pPr>
            <w:r>
              <w:rPr>
                <w:rFonts w:ascii="Arial" w:hAnsi="Arial" w:cs="Arial"/>
                <w:b/>
                <w:bCs/>
                <w:color w:val="000000"/>
                <w:sz w:val="20"/>
                <w:szCs w:val="20"/>
              </w:rPr>
              <w:t>Izvor  5. POMOĆI</w:t>
            </w:r>
          </w:p>
        </w:tc>
        <w:tc>
          <w:tcPr>
            <w:tcW w:w="1985" w:type="dxa"/>
            <w:tcBorders>
              <w:top w:val="nil"/>
              <w:left w:val="nil"/>
              <w:bottom w:val="single" w:sz="4" w:space="0" w:color="auto"/>
              <w:right w:val="single" w:sz="4" w:space="0" w:color="auto"/>
            </w:tcBorders>
            <w:shd w:val="clear" w:color="000000" w:fill="D9D9D9"/>
            <w:noWrap/>
            <w:vAlign w:val="bottom"/>
            <w:hideMark/>
          </w:tcPr>
          <w:p w14:paraId="3EF0D3AE"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150.500,00</w:t>
            </w:r>
          </w:p>
        </w:tc>
        <w:tc>
          <w:tcPr>
            <w:tcW w:w="1842" w:type="dxa"/>
            <w:tcBorders>
              <w:top w:val="nil"/>
              <w:left w:val="nil"/>
              <w:bottom w:val="single" w:sz="4" w:space="0" w:color="auto"/>
              <w:right w:val="single" w:sz="4" w:space="0" w:color="auto"/>
            </w:tcBorders>
            <w:shd w:val="clear" w:color="000000" w:fill="D9D9D9"/>
            <w:noWrap/>
            <w:vAlign w:val="bottom"/>
            <w:hideMark/>
          </w:tcPr>
          <w:p w14:paraId="37F58870"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0,00</w:t>
            </w:r>
          </w:p>
        </w:tc>
        <w:tc>
          <w:tcPr>
            <w:tcW w:w="1701" w:type="dxa"/>
            <w:tcBorders>
              <w:top w:val="nil"/>
              <w:left w:val="nil"/>
              <w:bottom w:val="single" w:sz="4" w:space="0" w:color="auto"/>
              <w:right w:val="single" w:sz="4" w:space="0" w:color="auto"/>
            </w:tcBorders>
            <w:shd w:val="clear" w:color="000000" w:fill="D9D9D9"/>
            <w:noWrap/>
            <w:vAlign w:val="bottom"/>
            <w:hideMark/>
          </w:tcPr>
          <w:p w14:paraId="617FFC70"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0,00</w:t>
            </w:r>
          </w:p>
        </w:tc>
        <w:tc>
          <w:tcPr>
            <w:tcW w:w="1985" w:type="dxa"/>
            <w:tcBorders>
              <w:top w:val="nil"/>
              <w:left w:val="nil"/>
              <w:bottom w:val="single" w:sz="4" w:space="0" w:color="auto"/>
              <w:right w:val="single" w:sz="4" w:space="0" w:color="auto"/>
            </w:tcBorders>
            <w:shd w:val="clear" w:color="000000" w:fill="D9D9D9"/>
            <w:noWrap/>
            <w:vAlign w:val="bottom"/>
            <w:hideMark/>
          </w:tcPr>
          <w:p w14:paraId="06044708"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150.500,00</w:t>
            </w:r>
          </w:p>
        </w:tc>
      </w:tr>
      <w:tr w:rsidR="00093BBE" w14:paraId="662C6934" w14:textId="77777777" w:rsidTr="00093BBE">
        <w:trPr>
          <w:trHeight w:val="264"/>
        </w:trPr>
        <w:tc>
          <w:tcPr>
            <w:tcW w:w="5807" w:type="dxa"/>
            <w:tcBorders>
              <w:top w:val="nil"/>
              <w:left w:val="single" w:sz="4" w:space="0" w:color="auto"/>
              <w:bottom w:val="single" w:sz="4" w:space="0" w:color="auto"/>
              <w:right w:val="single" w:sz="4" w:space="0" w:color="auto"/>
            </w:tcBorders>
            <w:shd w:val="clear" w:color="000000" w:fill="FFFFFF"/>
            <w:noWrap/>
            <w:vAlign w:val="bottom"/>
            <w:hideMark/>
          </w:tcPr>
          <w:p w14:paraId="5B21021E" w14:textId="77777777" w:rsidR="00093BBE" w:rsidRDefault="00093BBE">
            <w:pPr>
              <w:rPr>
                <w:rFonts w:ascii="Arial" w:hAnsi="Arial" w:cs="Arial"/>
                <w:color w:val="000000"/>
                <w:sz w:val="20"/>
                <w:szCs w:val="20"/>
              </w:rPr>
            </w:pPr>
            <w:r>
              <w:rPr>
                <w:rFonts w:ascii="Arial" w:hAnsi="Arial" w:cs="Arial"/>
                <w:color w:val="000000"/>
                <w:sz w:val="20"/>
                <w:szCs w:val="20"/>
              </w:rPr>
              <w:t>Izvor  5.5. POMOĆI IZ ŽUPANIJSKOG PRORAČUNA</w:t>
            </w:r>
          </w:p>
        </w:tc>
        <w:tc>
          <w:tcPr>
            <w:tcW w:w="1985" w:type="dxa"/>
            <w:tcBorders>
              <w:top w:val="nil"/>
              <w:left w:val="nil"/>
              <w:bottom w:val="single" w:sz="4" w:space="0" w:color="auto"/>
              <w:right w:val="single" w:sz="4" w:space="0" w:color="auto"/>
            </w:tcBorders>
            <w:shd w:val="clear" w:color="000000" w:fill="FFFFFF"/>
            <w:noWrap/>
            <w:vAlign w:val="bottom"/>
            <w:hideMark/>
          </w:tcPr>
          <w:p w14:paraId="1C5B0E8B" w14:textId="77777777" w:rsidR="00093BBE" w:rsidRDefault="00093BBE">
            <w:pPr>
              <w:jc w:val="right"/>
              <w:rPr>
                <w:rFonts w:ascii="Arial" w:hAnsi="Arial" w:cs="Arial"/>
                <w:color w:val="000000"/>
                <w:sz w:val="20"/>
                <w:szCs w:val="20"/>
              </w:rPr>
            </w:pPr>
            <w:r>
              <w:rPr>
                <w:rFonts w:ascii="Arial" w:hAnsi="Arial" w:cs="Arial"/>
                <w:color w:val="000000"/>
                <w:sz w:val="20"/>
                <w:szCs w:val="20"/>
              </w:rPr>
              <w:t>150.500,00</w:t>
            </w:r>
          </w:p>
        </w:tc>
        <w:tc>
          <w:tcPr>
            <w:tcW w:w="1842" w:type="dxa"/>
            <w:tcBorders>
              <w:top w:val="nil"/>
              <w:left w:val="nil"/>
              <w:bottom w:val="single" w:sz="4" w:space="0" w:color="auto"/>
              <w:right w:val="single" w:sz="4" w:space="0" w:color="auto"/>
            </w:tcBorders>
            <w:shd w:val="clear" w:color="000000" w:fill="FFFFFF"/>
            <w:noWrap/>
            <w:vAlign w:val="bottom"/>
            <w:hideMark/>
          </w:tcPr>
          <w:p w14:paraId="6C49B592" w14:textId="77777777" w:rsidR="00093BBE" w:rsidRDefault="00093BBE">
            <w:pPr>
              <w:jc w:val="right"/>
              <w:rPr>
                <w:rFonts w:ascii="Arial" w:hAnsi="Arial" w:cs="Arial"/>
                <w:color w:val="000000"/>
                <w:sz w:val="20"/>
                <w:szCs w:val="20"/>
              </w:rPr>
            </w:pPr>
            <w:r>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62C7A264" w14:textId="77777777" w:rsidR="00093BBE" w:rsidRDefault="00093BBE">
            <w:pPr>
              <w:jc w:val="right"/>
              <w:rPr>
                <w:rFonts w:ascii="Arial" w:hAnsi="Arial" w:cs="Arial"/>
                <w:color w:val="000000"/>
                <w:sz w:val="20"/>
                <w:szCs w:val="20"/>
              </w:rPr>
            </w:pPr>
            <w:r>
              <w:rPr>
                <w:rFonts w:ascii="Arial" w:hAnsi="Arial" w:cs="Arial"/>
                <w:color w:val="000000"/>
                <w:sz w:val="20"/>
                <w:szCs w:val="20"/>
              </w:rPr>
              <w:t>0,00</w:t>
            </w:r>
          </w:p>
        </w:tc>
        <w:tc>
          <w:tcPr>
            <w:tcW w:w="1985" w:type="dxa"/>
            <w:tcBorders>
              <w:top w:val="nil"/>
              <w:left w:val="nil"/>
              <w:bottom w:val="single" w:sz="4" w:space="0" w:color="auto"/>
              <w:right w:val="single" w:sz="4" w:space="0" w:color="auto"/>
            </w:tcBorders>
            <w:shd w:val="clear" w:color="000000" w:fill="FFFFFF"/>
            <w:noWrap/>
            <w:vAlign w:val="bottom"/>
            <w:hideMark/>
          </w:tcPr>
          <w:p w14:paraId="1FADB604" w14:textId="77777777" w:rsidR="00093BBE" w:rsidRDefault="00093BBE">
            <w:pPr>
              <w:jc w:val="right"/>
              <w:rPr>
                <w:rFonts w:ascii="Arial" w:hAnsi="Arial" w:cs="Arial"/>
                <w:color w:val="000000"/>
                <w:sz w:val="20"/>
                <w:szCs w:val="20"/>
              </w:rPr>
            </w:pPr>
            <w:r>
              <w:rPr>
                <w:rFonts w:ascii="Arial" w:hAnsi="Arial" w:cs="Arial"/>
                <w:color w:val="000000"/>
                <w:sz w:val="20"/>
                <w:szCs w:val="20"/>
              </w:rPr>
              <w:t>150.500,00</w:t>
            </w:r>
          </w:p>
        </w:tc>
      </w:tr>
      <w:tr w:rsidR="00093BBE" w14:paraId="63D39602" w14:textId="77777777" w:rsidTr="00093BBE">
        <w:trPr>
          <w:trHeight w:val="264"/>
        </w:trPr>
        <w:tc>
          <w:tcPr>
            <w:tcW w:w="5807" w:type="dxa"/>
            <w:tcBorders>
              <w:top w:val="nil"/>
              <w:left w:val="single" w:sz="4" w:space="0" w:color="auto"/>
              <w:bottom w:val="single" w:sz="4" w:space="0" w:color="auto"/>
              <w:right w:val="single" w:sz="4" w:space="0" w:color="auto"/>
            </w:tcBorders>
            <w:shd w:val="clear" w:color="000000" w:fill="D9D9D9"/>
            <w:noWrap/>
            <w:vAlign w:val="bottom"/>
            <w:hideMark/>
          </w:tcPr>
          <w:p w14:paraId="50CCE11B" w14:textId="77777777" w:rsidR="00093BBE" w:rsidRDefault="00093BBE">
            <w:pPr>
              <w:rPr>
                <w:rFonts w:ascii="Arial" w:hAnsi="Arial" w:cs="Arial"/>
                <w:b/>
                <w:bCs/>
                <w:color w:val="000000"/>
                <w:sz w:val="20"/>
                <w:szCs w:val="20"/>
              </w:rPr>
            </w:pPr>
            <w:r>
              <w:rPr>
                <w:rFonts w:ascii="Arial" w:hAnsi="Arial" w:cs="Arial"/>
                <w:b/>
                <w:bCs/>
                <w:color w:val="000000"/>
                <w:sz w:val="20"/>
                <w:szCs w:val="20"/>
              </w:rPr>
              <w:t>Izvor  7. PRIHODI OD NEFINANCIJSKE IMOVINE</w:t>
            </w:r>
          </w:p>
        </w:tc>
        <w:tc>
          <w:tcPr>
            <w:tcW w:w="1985" w:type="dxa"/>
            <w:tcBorders>
              <w:top w:val="nil"/>
              <w:left w:val="nil"/>
              <w:bottom w:val="single" w:sz="4" w:space="0" w:color="auto"/>
              <w:right w:val="single" w:sz="4" w:space="0" w:color="auto"/>
            </w:tcBorders>
            <w:shd w:val="clear" w:color="000000" w:fill="D9D9D9"/>
            <w:noWrap/>
            <w:vAlign w:val="bottom"/>
            <w:hideMark/>
          </w:tcPr>
          <w:p w14:paraId="5EE4B441"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0,00</w:t>
            </w:r>
          </w:p>
        </w:tc>
        <w:tc>
          <w:tcPr>
            <w:tcW w:w="1842" w:type="dxa"/>
            <w:tcBorders>
              <w:top w:val="nil"/>
              <w:left w:val="nil"/>
              <w:bottom w:val="single" w:sz="4" w:space="0" w:color="auto"/>
              <w:right w:val="single" w:sz="4" w:space="0" w:color="auto"/>
            </w:tcBorders>
            <w:shd w:val="clear" w:color="000000" w:fill="D9D9D9"/>
            <w:noWrap/>
            <w:vAlign w:val="bottom"/>
            <w:hideMark/>
          </w:tcPr>
          <w:p w14:paraId="06E40D97"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0,00</w:t>
            </w:r>
          </w:p>
        </w:tc>
        <w:tc>
          <w:tcPr>
            <w:tcW w:w="1701" w:type="dxa"/>
            <w:tcBorders>
              <w:top w:val="nil"/>
              <w:left w:val="nil"/>
              <w:bottom w:val="single" w:sz="4" w:space="0" w:color="auto"/>
              <w:right w:val="single" w:sz="4" w:space="0" w:color="auto"/>
            </w:tcBorders>
            <w:shd w:val="clear" w:color="000000" w:fill="D9D9D9"/>
            <w:noWrap/>
            <w:vAlign w:val="bottom"/>
            <w:hideMark/>
          </w:tcPr>
          <w:p w14:paraId="75EA0383"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0,00</w:t>
            </w:r>
          </w:p>
        </w:tc>
        <w:tc>
          <w:tcPr>
            <w:tcW w:w="1985" w:type="dxa"/>
            <w:tcBorders>
              <w:top w:val="nil"/>
              <w:left w:val="nil"/>
              <w:bottom w:val="single" w:sz="4" w:space="0" w:color="auto"/>
              <w:right w:val="single" w:sz="4" w:space="0" w:color="auto"/>
            </w:tcBorders>
            <w:shd w:val="clear" w:color="000000" w:fill="D9D9D9"/>
            <w:noWrap/>
            <w:vAlign w:val="bottom"/>
            <w:hideMark/>
          </w:tcPr>
          <w:p w14:paraId="2D95B87E"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0,00</w:t>
            </w:r>
          </w:p>
        </w:tc>
      </w:tr>
      <w:tr w:rsidR="00093BBE" w14:paraId="02950786" w14:textId="77777777" w:rsidTr="00093BBE">
        <w:trPr>
          <w:trHeight w:val="264"/>
        </w:trPr>
        <w:tc>
          <w:tcPr>
            <w:tcW w:w="5807" w:type="dxa"/>
            <w:tcBorders>
              <w:top w:val="nil"/>
              <w:left w:val="single" w:sz="4" w:space="0" w:color="auto"/>
              <w:bottom w:val="single" w:sz="4" w:space="0" w:color="auto"/>
              <w:right w:val="single" w:sz="4" w:space="0" w:color="auto"/>
            </w:tcBorders>
            <w:shd w:val="clear" w:color="000000" w:fill="FFFFFF"/>
            <w:noWrap/>
            <w:vAlign w:val="bottom"/>
            <w:hideMark/>
          </w:tcPr>
          <w:p w14:paraId="472EBB92" w14:textId="77777777" w:rsidR="00093BBE" w:rsidRDefault="00093BBE">
            <w:pPr>
              <w:rPr>
                <w:rFonts w:ascii="Arial" w:hAnsi="Arial" w:cs="Arial"/>
                <w:color w:val="000000"/>
                <w:sz w:val="20"/>
                <w:szCs w:val="20"/>
              </w:rPr>
            </w:pPr>
            <w:r>
              <w:rPr>
                <w:rFonts w:ascii="Arial" w:hAnsi="Arial" w:cs="Arial"/>
                <w:color w:val="000000"/>
                <w:sz w:val="20"/>
                <w:szCs w:val="20"/>
              </w:rPr>
              <w:t>Izvor  7.1. 7.PRIHODI OD NEFINANCIJSKE IMOVINE</w:t>
            </w:r>
          </w:p>
        </w:tc>
        <w:tc>
          <w:tcPr>
            <w:tcW w:w="1985" w:type="dxa"/>
            <w:tcBorders>
              <w:top w:val="nil"/>
              <w:left w:val="nil"/>
              <w:bottom w:val="single" w:sz="4" w:space="0" w:color="auto"/>
              <w:right w:val="single" w:sz="4" w:space="0" w:color="auto"/>
            </w:tcBorders>
            <w:shd w:val="clear" w:color="000000" w:fill="FFFFFF"/>
            <w:noWrap/>
            <w:vAlign w:val="bottom"/>
            <w:hideMark/>
          </w:tcPr>
          <w:p w14:paraId="66DE98A4" w14:textId="77777777" w:rsidR="00093BBE" w:rsidRDefault="00093BBE">
            <w:pPr>
              <w:jc w:val="right"/>
              <w:rPr>
                <w:rFonts w:ascii="Arial" w:hAnsi="Arial" w:cs="Arial"/>
                <w:color w:val="000000"/>
                <w:sz w:val="20"/>
                <w:szCs w:val="20"/>
              </w:rPr>
            </w:pPr>
            <w:r>
              <w:rPr>
                <w:rFonts w:ascii="Arial" w:hAnsi="Arial" w:cs="Arial"/>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bottom"/>
            <w:hideMark/>
          </w:tcPr>
          <w:p w14:paraId="0492CC29" w14:textId="77777777" w:rsidR="00093BBE" w:rsidRDefault="00093BBE">
            <w:pPr>
              <w:jc w:val="right"/>
              <w:rPr>
                <w:rFonts w:ascii="Arial" w:hAnsi="Arial" w:cs="Arial"/>
                <w:color w:val="000000"/>
                <w:sz w:val="20"/>
                <w:szCs w:val="20"/>
              </w:rPr>
            </w:pPr>
            <w:r>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0EAEE8AF" w14:textId="77777777" w:rsidR="00093BBE" w:rsidRDefault="00093BBE">
            <w:pPr>
              <w:jc w:val="right"/>
              <w:rPr>
                <w:rFonts w:ascii="Arial" w:hAnsi="Arial" w:cs="Arial"/>
                <w:color w:val="000000"/>
                <w:sz w:val="20"/>
                <w:szCs w:val="20"/>
              </w:rPr>
            </w:pPr>
            <w:r>
              <w:rPr>
                <w:rFonts w:ascii="Arial" w:hAnsi="Arial" w:cs="Arial"/>
                <w:color w:val="000000"/>
                <w:sz w:val="20"/>
                <w:szCs w:val="20"/>
              </w:rPr>
              <w:t>0,00</w:t>
            </w:r>
          </w:p>
        </w:tc>
        <w:tc>
          <w:tcPr>
            <w:tcW w:w="1985" w:type="dxa"/>
            <w:tcBorders>
              <w:top w:val="nil"/>
              <w:left w:val="nil"/>
              <w:bottom w:val="single" w:sz="4" w:space="0" w:color="auto"/>
              <w:right w:val="single" w:sz="4" w:space="0" w:color="auto"/>
            </w:tcBorders>
            <w:shd w:val="clear" w:color="000000" w:fill="FFFFFF"/>
            <w:noWrap/>
            <w:vAlign w:val="bottom"/>
            <w:hideMark/>
          </w:tcPr>
          <w:p w14:paraId="6721465B" w14:textId="77777777" w:rsidR="00093BBE" w:rsidRDefault="00093BBE">
            <w:pPr>
              <w:jc w:val="right"/>
              <w:rPr>
                <w:rFonts w:ascii="Arial" w:hAnsi="Arial" w:cs="Arial"/>
                <w:color w:val="000000"/>
                <w:sz w:val="20"/>
                <w:szCs w:val="20"/>
              </w:rPr>
            </w:pPr>
            <w:r>
              <w:rPr>
                <w:rFonts w:ascii="Arial" w:hAnsi="Arial" w:cs="Arial"/>
                <w:color w:val="000000"/>
                <w:sz w:val="20"/>
                <w:szCs w:val="20"/>
              </w:rPr>
              <w:t>0,00</w:t>
            </w:r>
          </w:p>
        </w:tc>
      </w:tr>
      <w:tr w:rsidR="00093BBE" w14:paraId="5A31C208" w14:textId="77777777" w:rsidTr="00093BBE">
        <w:trPr>
          <w:trHeight w:val="264"/>
        </w:trPr>
        <w:tc>
          <w:tcPr>
            <w:tcW w:w="5807" w:type="dxa"/>
            <w:tcBorders>
              <w:top w:val="nil"/>
              <w:left w:val="single" w:sz="4" w:space="0" w:color="auto"/>
              <w:bottom w:val="single" w:sz="4" w:space="0" w:color="auto"/>
              <w:right w:val="single" w:sz="4" w:space="0" w:color="auto"/>
            </w:tcBorders>
            <w:shd w:val="clear" w:color="000000" w:fill="D9D9D9"/>
            <w:noWrap/>
            <w:vAlign w:val="bottom"/>
            <w:hideMark/>
          </w:tcPr>
          <w:p w14:paraId="2A4E59D3" w14:textId="77777777" w:rsidR="00093BBE" w:rsidRDefault="00093BBE">
            <w:pPr>
              <w:rPr>
                <w:rFonts w:ascii="Arial" w:hAnsi="Arial" w:cs="Arial"/>
                <w:b/>
                <w:bCs/>
                <w:color w:val="000000"/>
                <w:sz w:val="20"/>
                <w:szCs w:val="20"/>
              </w:rPr>
            </w:pPr>
            <w:r>
              <w:rPr>
                <w:rFonts w:ascii="Arial" w:hAnsi="Arial" w:cs="Arial"/>
                <w:b/>
                <w:bCs/>
                <w:color w:val="000000"/>
                <w:sz w:val="20"/>
                <w:szCs w:val="20"/>
              </w:rPr>
              <w:t>Izvor  8. NAMJENSKI PRIMICI OD ZADUŽIVANJA</w:t>
            </w:r>
          </w:p>
        </w:tc>
        <w:tc>
          <w:tcPr>
            <w:tcW w:w="1985" w:type="dxa"/>
            <w:tcBorders>
              <w:top w:val="nil"/>
              <w:left w:val="nil"/>
              <w:bottom w:val="single" w:sz="4" w:space="0" w:color="auto"/>
              <w:right w:val="single" w:sz="4" w:space="0" w:color="auto"/>
            </w:tcBorders>
            <w:shd w:val="clear" w:color="000000" w:fill="D9D9D9"/>
            <w:noWrap/>
            <w:vAlign w:val="bottom"/>
            <w:hideMark/>
          </w:tcPr>
          <w:p w14:paraId="1AD8CBB3"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0,00</w:t>
            </w:r>
          </w:p>
        </w:tc>
        <w:tc>
          <w:tcPr>
            <w:tcW w:w="1842" w:type="dxa"/>
            <w:tcBorders>
              <w:top w:val="nil"/>
              <w:left w:val="nil"/>
              <w:bottom w:val="single" w:sz="4" w:space="0" w:color="auto"/>
              <w:right w:val="single" w:sz="4" w:space="0" w:color="auto"/>
            </w:tcBorders>
            <w:shd w:val="clear" w:color="000000" w:fill="D9D9D9"/>
            <w:noWrap/>
            <w:vAlign w:val="bottom"/>
            <w:hideMark/>
          </w:tcPr>
          <w:p w14:paraId="0A0B468E"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0,00</w:t>
            </w:r>
          </w:p>
        </w:tc>
        <w:tc>
          <w:tcPr>
            <w:tcW w:w="1701" w:type="dxa"/>
            <w:tcBorders>
              <w:top w:val="nil"/>
              <w:left w:val="nil"/>
              <w:bottom w:val="single" w:sz="4" w:space="0" w:color="auto"/>
              <w:right w:val="single" w:sz="4" w:space="0" w:color="auto"/>
            </w:tcBorders>
            <w:shd w:val="clear" w:color="000000" w:fill="D9D9D9"/>
            <w:noWrap/>
            <w:vAlign w:val="bottom"/>
            <w:hideMark/>
          </w:tcPr>
          <w:p w14:paraId="6D9E75B9"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0,00</w:t>
            </w:r>
          </w:p>
        </w:tc>
        <w:tc>
          <w:tcPr>
            <w:tcW w:w="1985" w:type="dxa"/>
            <w:tcBorders>
              <w:top w:val="nil"/>
              <w:left w:val="nil"/>
              <w:bottom w:val="single" w:sz="4" w:space="0" w:color="auto"/>
              <w:right w:val="single" w:sz="4" w:space="0" w:color="auto"/>
            </w:tcBorders>
            <w:shd w:val="clear" w:color="000000" w:fill="D9D9D9"/>
            <w:noWrap/>
            <w:vAlign w:val="bottom"/>
            <w:hideMark/>
          </w:tcPr>
          <w:p w14:paraId="731726A0" w14:textId="77777777" w:rsidR="00093BBE" w:rsidRDefault="00093BBE">
            <w:pPr>
              <w:jc w:val="right"/>
              <w:rPr>
                <w:rFonts w:ascii="Arial" w:hAnsi="Arial" w:cs="Arial"/>
                <w:b/>
                <w:bCs/>
                <w:color w:val="000000"/>
                <w:sz w:val="20"/>
                <w:szCs w:val="20"/>
              </w:rPr>
            </w:pPr>
            <w:r>
              <w:rPr>
                <w:rFonts w:ascii="Arial" w:hAnsi="Arial" w:cs="Arial"/>
                <w:b/>
                <w:bCs/>
                <w:color w:val="000000"/>
                <w:sz w:val="20"/>
                <w:szCs w:val="20"/>
              </w:rPr>
              <w:t>0,00</w:t>
            </w:r>
          </w:p>
        </w:tc>
      </w:tr>
      <w:tr w:rsidR="00093BBE" w14:paraId="56AF0E61" w14:textId="77777777" w:rsidTr="00093BBE">
        <w:trPr>
          <w:trHeight w:val="264"/>
        </w:trPr>
        <w:tc>
          <w:tcPr>
            <w:tcW w:w="5807" w:type="dxa"/>
            <w:tcBorders>
              <w:top w:val="nil"/>
              <w:left w:val="single" w:sz="4" w:space="0" w:color="auto"/>
              <w:bottom w:val="single" w:sz="4" w:space="0" w:color="auto"/>
              <w:right w:val="single" w:sz="4" w:space="0" w:color="auto"/>
            </w:tcBorders>
            <w:shd w:val="clear" w:color="000000" w:fill="FFFFFF"/>
            <w:noWrap/>
            <w:vAlign w:val="bottom"/>
            <w:hideMark/>
          </w:tcPr>
          <w:p w14:paraId="41ED9B20" w14:textId="77777777" w:rsidR="00093BBE" w:rsidRDefault="00093BBE">
            <w:pPr>
              <w:rPr>
                <w:rFonts w:ascii="Arial" w:hAnsi="Arial" w:cs="Arial"/>
                <w:color w:val="000000"/>
                <w:sz w:val="20"/>
                <w:szCs w:val="20"/>
              </w:rPr>
            </w:pPr>
            <w:r>
              <w:rPr>
                <w:rFonts w:ascii="Arial" w:hAnsi="Arial" w:cs="Arial"/>
                <w:color w:val="000000"/>
                <w:sz w:val="20"/>
                <w:szCs w:val="20"/>
              </w:rPr>
              <w:t>Izvor  8.1. NAMJENSKI PRIMICI OD ZADUŽIVANJA</w:t>
            </w:r>
          </w:p>
        </w:tc>
        <w:tc>
          <w:tcPr>
            <w:tcW w:w="1985" w:type="dxa"/>
            <w:tcBorders>
              <w:top w:val="nil"/>
              <w:left w:val="nil"/>
              <w:bottom w:val="single" w:sz="4" w:space="0" w:color="auto"/>
              <w:right w:val="single" w:sz="4" w:space="0" w:color="auto"/>
            </w:tcBorders>
            <w:shd w:val="clear" w:color="000000" w:fill="FFFFFF"/>
            <w:noWrap/>
            <w:vAlign w:val="bottom"/>
            <w:hideMark/>
          </w:tcPr>
          <w:p w14:paraId="5364FBE2" w14:textId="77777777" w:rsidR="00093BBE" w:rsidRDefault="00093BBE">
            <w:pPr>
              <w:jc w:val="right"/>
              <w:rPr>
                <w:rFonts w:ascii="Arial" w:hAnsi="Arial" w:cs="Arial"/>
                <w:color w:val="000000"/>
                <w:sz w:val="20"/>
                <w:szCs w:val="20"/>
              </w:rPr>
            </w:pPr>
            <w:r>
              <w:rPr>
                <w:rFonts w:ascii="Arial" w:hAnsi="Arial" w:cs="Arial"/>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bottom"/>
            <w:hideMark/>
          </w:tcPr>
          <w:p w14:paraId="641FDE19" w14:textId="77777777" w:rsidR="00093BBE" w:rsidRDefault="00093BBE">
            <w:pPr>
              <w:jc w:val="right"/>
              <w:rPr>
                <w:rFonts w:ascii="Arial" w:hAnsi="Arial" w:cs="Arial"/>
                <w:color w:val="000000"/>
                <w:sz w:val="20"/>
                <w:szCs w:val="20"/>
              </w:rPr>
            </w:pPr>
            <w:r>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35984C7C" w14:textId="77777777" w:rsidR="00093BBE" w:rsidRDefault="00093BBE">
            <w:pPr>
              <w:jc w:val="right"/>
              <w:rPr>
                <w:rFonts w:ascii="Arial" w:hAnsi="Arial" w:cs="Arial"/>
                <w:color w:val="000000"/>
                <w:sz w:val="20"/>
                <w:szCs w:val="20"/>
              </w:rPr>
            </w:pPr>
            <w:r>
              <w:rPr>
                <w:rFonts w:ascii="Arial" w:hAnsi="Arial" w:cs="Arial"/>
                <w:color w:val="000000"/>
                <w:sz w:val="20"/>
                <w:szCs w:val="20"/>
              </w:rPr>
              <w:t>0,00</w:t>
            </w:r>
          </w:p>
        </w:tc>
        <w:tc>
          <w:tcPr>
            <w:tcW w:w="1985" w:type="dxa"/>
            <w:tcBorders>
              <w:top w:val="nil"/>
              <w:left w:val="nil"/>
              <w:bottom w:val="single" w:sz="4" w:space="0" w:color="auto"/>
              <w:right w:val="single" w:sz="4" w:space="0" w:color="auto"/>
            </w:tcBorders>
            <w:shd w:val="clear" w:color="000000" w:fill="FFFFFF"/>
            <w:noWrap/>
            <w:vAlign w:val="bottom"/>
            <w:hideMark/>
          </w:tcPr>
          <w:p w14:paraId="2EBAFE00" w14:textId="77777777" w:rsidR="00093BBE" w:rsidRDefault="00093BBE">
            <w:pPr>
              <w:jc w:val="right"/>
              <w:rPr>
                <w:rFonts w:ascii="Arial" w:hAnsi="Arial" w:cs="Arial"/>
                <w:color w:val="000000"/>
                <w:sz w:val="20"/>
                <w:szCs w:val="20"/>
              </w:rPr>
            </w:pPr>
            <w:r>
              <w:rPr>
                <w:rFonts w:ascii="Arial" w:hAnsi="Arial" w:cs="Arial"/>
                <w:color w:val="000000"/>
                <w:sz w:val="20"/>
                <w:szCs w:val="20"/>
              </w:rPr>
              <w:t>0,00</w:t>
            </w:r>
          </w:p>
        </w:tc>
      </w:tr>
    </w:tbl>
    <w:p w14:paraId="74D1D434" w14:textId="77777777" w:rsidR="00950446" w:rsidRDefault="00950446" w:rsidP="00E7053E">
      <w:pPr>
        <w:rPr>
          <w:rFonts w:ascii="Arial" w:hAnsi="Arial" w:cs="Arial"/>
          <w:b/>
          <w:sz w:val="20"/>
          <w:szCs w:val="20"/>
        </w:rPr>
      </w:pPr>
    </w:p>
    <w:p w14:paraId="53407D47" w14:textId="77777777" w:rsidR="00950446" w:rsidRDefault="00950446" w:rsidP="00E7053E">
      <w:pPr>
        <w:rPr>
          <w:rFonts w:ascii="Arial" w:hAnsi="Arial" w:cs="Arial"/>
          <w:b/>
          <w:sz w:val="20"/>
          <w:szCs w:val="20"/>
        </w:rPr>
      </w:pPr>
    </w:p>
    <w:p w14:paraId="2F935F15" w14:textId="77777777" w:rsidR="00950446" w:rsidRDefault="00950446" w:rsidP="00E7053E">
      <w:pPr>
        <w:rPr>
          <w:rFonts w:ascii="Arial" w:hAnsi="Arial" w:cs="Arial"/>
          <w:b/>
          <w:sz w:val="20"/>
          <w:szCs w:val="20"/>
        </w:rPr>
      </w:pPr>
    </w:p>
    <w:p w14:paraId="542EBA7A" w14:textId="77777777" w:rsidR="00950446" w:rsidRDefault="00950446" w:rsidP="00E7053E">
      <w:pPr>
        <w:rPr>
          <w:rFonts w:ascii="Arial" w:hAnsi="Arial" w:cs="Arial"/>
          <w:b/>
          <w:sz w:val="20"/>
          <w:szCs w:val="20"/>
        </w:rPr>
      </w:pPr>
    </w:p>
    <w:p w14:paraId="757877A5" w14:textId="77777777" w:rsidR="00950446" w:rsidRDefault="00950446" w:rsidP="00E7053E">
      <w:pPr>
        <w:rPr>
          <w:rFonts w:ascii="Arial" w:hAnsi="Arial" w:cs="Arial"/>
          <w:b/>
          <w:sz w:val="20"/>
          <w:szCs w:val="20"/>
        </w:rPr>
      </w:pPr>
    </w:p>
    <w:p w14:paraId="05BC5F3A" w14:textId="77777777" w:rsidR="00950446" w:rsidRDefault="00950446" w:rsidP="00E7053E">
      <w:pPr>
        <w:rPr>
          <w:rFonts w:ascii="Arial" w:hAnsi="Arial" w:cs="Arial"/>
          <w:b/>
          <w:sz w:val="20"/>
          <w:szCs w:val="20"/>
        </w:rPr>
      </w:pPr>
    </w:p>
    <w:p w14:paraId="6CE35C16" w14:textId="77777777" w:rsidR="006037DA" w:rsidRDefault="006037DA" w:rsidP="00E7053E">
      <w:pPr>
        <w:rPr>
          <w:rFonts w:ascii="Arial" w:hAnsi="Arial" w:cs="Arial"/>
          <w:b/>
          <w:sz w:val="20"/>
          <w:szCs w:val="20"/>
        </w:rPr>
      </w:pPr>
    </w:p>
    <w:p w14:paraId="60FF3288" w14:textId="77777777" w:rsidR="00D10CF9" w:rsidRDefault="00D10CF9" w:rsidP="00E7053E">
      <w:pPr>
        <w:rPr>
          <w:rFonts w:ascii="Arial" w:hAnsi="Arial" w:cs="Arial"/>
          <w:b/>
          <w:sz w:val="20"/>
          <w:szCs w:val="20"/>
        </w:rPr>
      </w:pPr>
    </w:p>
    <w:p w14:paraId="712B547A" w14:textId="77777777" w:rsidR="00093BBE" w:rsidRDefault="00093BBE" w:rsidP="00716C4B">
      <w:pPr>
        <w:rPr>
          <w:rFonts w:ascii="Arial" w:hAnsi="Arial" w:cs="Arial"/>
          <w:b/>
          <w:bCs/>
          <w:sz w:val="16"/>
          <w:szCs w:val="16"/>
        </w:rPr>
      </w:pPr>
    </w:p>
    <w:p w14:paraId="4B46B1DA" w14:textId="77777777" w:rsidR="00093BBE" w:rsidRDefault="00093BBE" w:rsidP="00716C4B">
      <w:pPr>
        <w:rPr>
          <w:rFonts w:ascii="Arial" w:hAnsi="Arial" w:cs="Arial"/>
          <w:b/>
          <w:bCs/>
          <w:sz w:val="16"/>
          <w:szCs w:val="16"/>
        </w:rPr>
      </w:pPr>
    </w:p>
    <w:p w14:paraId="6B5C2383" w14:textId="6EA1ABBF" w:rsidR="00716C4B" w:rsidRDefault="00716C4B" w:rsidP="00716C4B">
      <w:pPr>
        <w:rPr>
          <w:rFonts w:ascii="Arial" w:hAnsi="Arial" w:cs="Arial"/>
          <w:b/>
          <w:bCs/>
          <w:sz w:val="16"/>
          <w:szCs w:val="16"/>
        </w:rPr>
      </w:pPr>
      <w:r w:rsidRPr="0029467F">
        <w:rPr>
          <w:rFonts w:ascii="Arial" w:hAnsi="Arial" w:cs="Arial"/>
          <w:b/>
          <w:bCs/>
          <w:sz w:val="16"/>
          <w:szCs w:val="16"/>
        </w:rPr>
        <w:lastRenderedPageBreak/>
        <w:t>GRAD LABIN</w:t>
      </w:r>
    </w:p>
    <w:p w14:paraId="48CB43BD" w14:textId="77777777" w:rsidR="00716C4B" w:rsidRPr="0029467F" w:rsidRDefault="00716C4B" w:rsidP="00716C4B">
      <w:pPr>
        <w:rPr>
          <w:rFonts w:ascii="Arial" w:hAnsi="Arial" w:cs="Arial"/>
          <w:b/>
          <w:bCs/>
          <w:sz w:val="16"/>
          <w:szCs w:val="16"/>
        </w:rPr>
      </w:pPr>
      <w:r w:rsidRPr="0029467F">
        <w:rPr>
          <w:rFonts w:ascii="Arial" w:hAnsi="Arial" w:cs="Arial"/>
          <w:b/>
          <w:bCs/>
          <w:sz w:val="16"/>
          <w:szCs w:val="16"/>
        </w:rPr>
        <w:t>TITOV TRG 11</w:t>
      </w:r>
    </w:p>
    <w:p w14:paraId="1B8B7A89" w14:textId="38F279E9" w:rsidR="005E0FC2" w:rsidRDefault="00716C4B" w:rsidP="00716C4B">
      <w:pPr>
        <w:rPr>
          <w:rFonts w:ascii="Arial" w:hAnsi="Arial" w:cs="Arial"/>
          <w:b/>
          <w:bCs/>
          <w:sz w:val="16"/>
          <w:szCs w:val="16"/>
        </w:rPr>
      </w:pPr>
      <w:r w:rsidRPr="0029467F">
        <w:rPr>
          <w:rFonts w:ascii="Arial" w:hAnsi="Arial" w:cs="Arial"/>
          <w:b/>
          <w:bCs/>
          <w:sz w:val="16"/>
          <w:szCs w:val="16"/>
        </w:rPr>
        <w:t>LABIN 52220</w:t>
      </w:r>
    </w:p>
    <w:p w14:paraId="5C503E7B" w14:textId="0D79CBFA" w:rsidR="00716C4B" w:rsidRDefault="00716C4B" w:rsidP="00716C4B">
      <w:pPr>
        <w:rPr>
          <w:rFonts w:ascii="Arial" w:hAnsi="Arial" w:cs="Arial"/>
          <w:b/>
          <w:sz w:val="20"/>
          <w:szCs w:val="20"/>
        </w:rPr>
      </w:pPr>
      <w:r w:rsidRPr="0029467F">
        <w:rPr>
          <w:rFonts w:ascii="Arial" w:hAnsi="Arial" w:cs="Arial"/>
          <w:b/>
          <w:bCs/>
          <w:sz w:val="16"/>
          <w:szCs w:val="16"/>
        </w:rPr>
        <w:t>OIB: 19041331726</w:t>
      </w:r>
    </w:p>
    <w:p w14:paraId="0473FC14" w14:textId="77777777" w:rsidR="005E0FC2" w:rsidRDefault="005E0FC2" w:rsidP="00E7053E">
      <w:pPr>
        <w:rPr>
          <w:rFonts w:ascii="Arial" w:hAnsi="Arial" w:cs="Arial"/>
          <w:b/>
          <w:sz w:val="20"/>
          <w:szCs w:val="20"/>
        </w:rPr>
      </w:pPr>
    </w:p>
    <w:p w14:paraId="5C88DE8F" w14:textId="77777777" w:rsidR="00F603AF" w:rsidRDefault="00F603AF" w:rsidP="00E7053E">
      <w:pPr>
        <w:rPr>
          <w:rFonts w:ascii="Arial" w:hAnsi="Arial" w:cs="Arial"/>
          <w:b/>
        </w:rPr>
      </w:pPr>
    </w:p>
    <w:p w14:paraId="4D95FF95" w14:textId="6CFA22E9" w:rsidR="00E7053E" w:rsidRPr="00E7053E" w:rsidRDefault="005E0FC2" w:rsidP="005E0FC2">
      <w:pPr>
        <w:pStyle w:val="Odlomakpopisa"/>
        <w:ind w:left="1080"/>
        <w:jc w:val="center"/>
        <w:rPr>
          <w:rFonts w:ascii="Arial" w:hAnsi="Arial" w:cs="Arial"/>
          <w:b/>
          <w:sz w:val="28"/>
          <w:szCs w:val="28"/>
        </w:rPr>
      </w:pPr>
      <w:r>
        <w:rPr>
          <w:rFonts w:ascii="Arial" w:hAnsi="Arial" w:cs="Arial"/>
          <w:b/>
          <w:sz w:val="28"/>
          <w:szCs w:val="28"/>
        </w:rPr>
        <w:t xml:space="preserve">2. </w:t>
      </w:r>
      <w:r w:rsidR="00E7053E" w:rsidRPr="00E7053E">
        <w:rPr>
          <w:rFonts w:ascii="Arial" w:hAnsi="Arial" w:cs="Arial"/>
          <w:b/>
          <w:sz w:val="28"/>
          <w:szCs w:val="28"/>
        </w:rPr>
        <w:t>POSEBNI DIO</w:t>
      </w:r>
      <w:r w:rsidR="00C8513B">
        <w:rPr>
          <w:rFonts w:ascii="Arial" w:hAnsi="Arial" w:cs="Arial"/>
          <w:b/>
          <w:sz w:val="28"/>
          <w:szCs w:val="28"/>
        </w:rPr>
        <w:t xml:space="preserve"> PRORAČUNA</w:t>
      </w:r>
    </w:p>
    <w:bookmarkEnd w:id="1"/>
    <w:p w14:paraId="6B4B8E56" w14:textId="77777777" w:rsidR="00056F86" w:rsidRPr="00F70DCD" w:rsidRDefault="00056F86" w:rsidP="009E015A">
      <w:pPr>
        <w:jc w:val="center"/>
        <w:rPr>
          <w:rFonts w:ascii="Arial" w:hAnsi="Arial" w:cs="Arial"/>
          <w:b/>
          <w:sz w:val="20"/>
          <w:szCs w:val="20"/>
        </w:rPr>
      </w:pPr>
    </w:p>
    <w:p w14:paraId="41B38F81" w14:textId="77777777" w:rsidR="00056F86" w:rsidRPr="00F70DCD" w:rsidRDefault="00056F86" w:rsidP="009E015A">
      <w:pPr>
        <w:jc w:val="center"/>
        <w:rPr>
          <w:rFonts w:ascii="Arial" w:hAnsi="Arial" w:cs="Arial"/>
          <w:b/>
          <w:sz w:val="20"/>
          <w:szCs w:val="20"/>
        </w:rPr>
      </w:pPr>
    </w:p>
    <w:p w14:paraId="15B2FCF8" w14:textId="639D01C9" w:rsidR="009A5ECD" w:rsidRDefault="004F2D6C" w:rsidP="00846ACC">
      <w:pPr>
        <w:ind w:left="12744"/>
        <w:jc w:val="center"/>
        <w:rPr>
          <w:rFonts w:ascii="Arial" w:hAnsi="Arial" w:cs="Arial"/>
          <w:b/>
          <w:sz w:val="20"/>
          <w:szCs w:val="20"/>
        </w:rPr>
      </w:pPr>
      <w:r>
        <w:rPr>
          <w:rFonts w:ascii="Arial" w:hAnsi="Arial" w:cs="Arial"/>
          <w:b/>
          <w:sz w:val="20"/>
          <w:szCs w:val="20"/>
        </w:rPr>
        <w:t>U EUR</w:t>
      </w:r>
    </w:p>
    <w:tbl>
      <w:tblPr>
        <w:tblW w:w="0" w:type="auto"/>
        <w:tblLayout w:type="fixed"/>
        <w:tblLook w:val="04A0" w:firstRow="1" w:lastRow="0" w:firstColumn="1" w:lastColumn="0" w:noHBand="0" w:noVBand="1"/>
      </w:tblPr>
      <w:tblGrid>
        <w:gridCol w:w="4957"/>
        <w:gridCol w:w="1984"/>
        <w:gridCol w:w="1843"/>
        <w:gridCol w:w="1843"/>
        <w:gridCol w:w="1559"/>
        <w:gridCol w:w="1803"/>
      </w:tblGrid>
      <w:tr w:rsidR="00846ACC" w:rsidRPr="004974C0" w14:paraId="6D8D5092" w14:textId="77777777" w:rsidTr="00846ACC">
        <w:trPr>
          <w:trHeight w:val="540"/>
        </w:trPr>
        <w:tc>
          <w:tcPr>
            <w:tcW w:w="49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14:paraId="05C22050" w14:textId="77777777" w:rsidR="004974C0" w:rsidRDefault="004974C0" w:rsidP="004974C0">
            <w:pPr>
              <w:rPr>
                <w:rFonts w:ascii="Arial" w:hAnsi="Arial" w:cs="Arial"/>
                <w:b/>
                <w:bCs/>
                <w:sz w:val="20"/>
                <w:szCs w:val="20"/>
              </w:rPr>
            </w:pPr>
            <w:r w:rsidRPr="004974C0">
              <w:rPr>
                <w:rFonts w:ascii="Arial" w:hAnsi="Arial" w:cs="Arial"/>
                <w:b/>
                <w:bCs/>
                <w:sz w:val="20"/>
                <w:szCs w:val="20"/>
              </w:rPr>
              <w:t>BROJ KONTA</w:t>
            </w:r>
          </w:p>
          <w:p w14:paraId="30127154" w14:textId="215F3E52" w:rsidR="00846ACC" w:rsidRPr="004974C0" w:rsidRDefault="00846ACC" w:rsidP="004974C0">
            <w:pPr>
              <w:rPr>
                <w:rFonts w:ascii="Arial" w:hAnsi="Arial" w:cs="Arial"/>
                <w:b/>
                <w:bCs/>
                <w:sz w:val="20"/>
                <w:szCs w:val="20"/>
              </w:rPr>
            </w:pPr>
            <w:r w:rsidRPr="004974C0">
              <w:rPr>
                <w:rFonts w:ascii="Arial" w:hAnsi="Arial" w:cs="Arial"/>
                <w:b/>
                <w:bCs/>
                <w:sz w:val="20"/>
                <w:szCs w:val="20"/>
              </w:rPr>
              <w:t>VRSTA RASHODA / IZDATAKA</w:t>
            </w:r>
          </w:p>
        </w:tc>
        <w:tc>
          <w:tcPr>
            <w:tcW w:w="1984"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4E9275C9" w14:textId="3AC664D6" w:rsidR="004974C0" w:rsidRPr="004974C0" w:rsidRDefault="004974C0" w:rsidP="004974C0">
            <w:pPr>
              <w:rPr>
                <w:rFonts w:ascii="Arial" w:hAnsi="Arial" w:cs="Arial"/>
                <w:b/>
                <w:bCs/>
                <w:sz w:val="20"/>
                <w:szCs w:val="20"/>
              </w:rPr>
            </w:pPr>
          </w:p>
        </w:tc>
        <w:tc>
          <w:tcPr>
            <w:tcW w:w="1843"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63BD8ACA" w14:textId="77777777" w:rsidR="004974C0" w:rsidRPr="004974C0" w:rsidRDefault="004974C0" w:rsidP="004974C0">
            <w:pPr>
              <w:rPr>
                <w:rFonts w:ascii="Arial" w:hAnsi="Arial" w:cs="Arial"/>
                <w:b/>
                <w:bCs/>
                <w:color w:val="000000"/>
                <w:sz w:val="20"/>
                <w:szCs w:val="20"/>
              </w:rPr>
            </w:pPr>
            <w:r w:rsidRPr="004974C0">
              <w:rPr>
                <w:rFonts w:ascii="Arial" w:hAnsi="Arial" w:cs="Arial"/>
                <w:b/>
                <w:bCs/>
                <w:sz w:val="20"/>
                <w:szCs w:val="20"/>
              </w:rPr>
              <w:t>PLAN ZA 2025.</w:t>
            </w:r>
          </w:p>
        </w:tc>
        <w:tc>
          <w:tcPr>
            <w:tcW w:w="1843"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7982615D" w14:textId="77777777" w:rsidR="004974C0" w:rsidRPr="004974C0" w:rsidRDefault="004974C0" w:rsidP="004974C0">
            <w:pPr>
              <w:rPr>
                <w:rFonts w:ascii="Arial" w:hAnsi="Arial" w:cs="Arial"/>
                <w:b/>
                <w:bCs/>
                <w:color w:val="000000"/>
                <w:sz w:val="20"/>
                <w:szCs w:val="20"/>
              </w:rPr>
            </w:pPr>
            <w:r w:rsidRPr="004974C0">
              <w:rPr>
                <w:rFonts w:ascii="Arial" w:hAnsi="Arial" w:cs="Arial"/>
                <w:b/>
                <w:bCs/>
                <w:sz w:val="20"/>
                <w:szCs w:val="20"/>
              </w:rPr>
              <w:t>POVEĆANJE/ SMANJENJE</w:t>
            </w:r>
          </w:p>
        </w:tc>
        <w:tc>
          <w:tcPr>
            <w:tcW w:w="1559"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9DE21E7" w14:textId="77777777" w:rsidR="004974C0" w:rsidRPr="004974C0" w:rsidRDefault="004974C0" w:rsidP="004974C0">
            <w:pPr>
              <w:rPr>
                <w:rFonts w:ascii="Arial" w:hAnsi="Arial" w:cs="Arial"/>
                <w:b/>
                <w:bCs/>
                <w:color w:val="000000"/>
                <w:sz w:val="20"/>
                <w:szCs w:val="20"/>
              </w:rPr>
            </w:pPr>
            <w:r w:rsidRPr="004974C0">
              <w:rPr>
                <w:rFonts w:ascii="Arial" w:hAnsi="Arial" w:cs="Arial"/>
                <w:b/>
                <w:bCs/>
                <w:sz w:val="20"/>
                <w:szCs w:val="20"/>
              </w:rPr>
              <w:t>PROMJENA</w:t>
            </w:r>
          </w:p>
        </w:tc>
        <w:tc>
          <w:tcPr>
            <w:tcW w:w="1803"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79C74ACB" w14:textId="77777777" w:rsidR="004974C0" w:rsidRPr="004974C0" w:rsidRDefault="004974C0" w:rsidP="004974C0">
            <w:pPr>
              <w:rPr>
                <w:rFonts w:ascii="Arial" w:hAnsi="Arial" w:cs="Arial"/>
                <w:b/>
                <w:bCs/>
                <w:color w:val="000000"/>
                <w:sz w:val="20"/>
                <w:szCs w:val="20"/>
              </w:rPr>
            </w:pPr>
            <w:r w:rsidRPr="004974C0">
              <w:rPr>
                <w:rFonts w:ascii="Arial" w:hAnsi="Arial" w:cs="Arial"/>
                <w:b/>
                <w:bCs/>
                <w:sz w:val="20"/>
                <w:szCs w:val="20"/>
              </w:rPr>
              <w:t>NOVI PLAN ZA 2025.</w:t>
            </w:r>
          </w:p>
        </w:tc>
      </w:tr>
      <w:tr w:rsidR="00846ACC" w:rsidRPr="004974C0" w14:paraId="57C9F6D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158D09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 xml:space="preserve">  SVEUKUPNO RASHODI / IZDACI</w:t>
            </w:r>
          </w:p>
        </w:tc>
        <w:tc>
          <w:tcPr>
            <w:tcW w:w="1984" w:type="dxa"/>
            <w:tcBorders>
              <w:top w:val="nil"/>
              <w:left w:val="nil"/>
              <w:bottom w:val="single" w:sz="4" w:space="0" w:color="auto"/>
              <w:right w:val="single" w:sz="4" w:space="0" w:color="auto"/>
            </w:tcBorders>
            <w:shd w:val="clear" w:color="auto" w:fill="D9D9D9" w:themeFill="background1" w:themeFillShade="D9"/>
            <w:noWrap/>
            <w:vAlign w:val="bottom"/>
            <w:hideMark/>
          </w:tcPr>
          <w:p w14:paraId="274661A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 </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21D441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27.480.306,00</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7CA334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933.295,00</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31EB7A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3,40</w:t>
            </w:r>
          </w:p>
        </w:tc>
        <w:tc>
          <w:tcPr>
            <w:tcW w:w="180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C77B79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28.413.601,00</w:t>
            </w:r>
          </w:p>
        </w:tc>
      </w:tr>
      <w:tr w:rsidR="00846ACC" w:rsidRPr="004974C0" w14:paraId="5727F38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000080"/>
            <w:noWrap/>
            <w:vAlign w:val="bottom"/>
            <w:hideMark/>
          </w:tcPr>
          <w:p w14:paraId="7A10572C"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Razdjel 100 UPRAVNI ODJEL ZA POSLOVE GRADONAČELNIKA, GRADSKO VIJEĆE I OPĆE POSLOVE</w:t>
            </w:r>
          </w:p>
        </w:tc>
        <w:tc>
          <w:tcPr>
            <w:tcW w:w="1984" w:type="dxa"/>
            <w:tcBorders>
              <w:top w:val="nil"/>
              <w:left w:val="nil"/>
              <w:bottom w:val="single" w:sz="4" w:space="0" w:color="auto"/>
              <w:right w:val="single" w:sz="4" w:space="0" w:color="auto"/>
            </w:tcBorders>
            <w:shd w:val="clear" w:color="000000" w:fill="000080"/>
            <w:noWrap/>
            <w:vAlign w:val="bottom"/>
            <w:hideMark/>
          </w:tcPr>
          <w:p w14:paraId="5FED197C"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000080"/>
            <w:noWrap/>
            <w:vAlign w:val="bottom"/>
            <w:hideMark/>
          </w:tcPr>
          <w:p w14:paraId="25F79678"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2.609.804,00</w:t>
            </w:r>
          </w:p>
        </w:tc>
        <w:tc>
          <w:tcPr>
            <w:tcW w:w="1843" w:type="dxa"/>
            <w:tcBorders>
              <w:top w:val="nil"/>
              <w:left w:val="nil"/>
              <w:bottom w:val="single" w:sz="4" w:space="0" w:color="auto"/>
              <w:right w:val="single" w:sz="4" w:space="0" w:color="auto"/>
            </w:tcBorders>
            <w:shd w:val="clear" w:color="000000" w:fill="000080"/>
            <w:noWrap/>
            <w:vAlign w:val="bottom"/>
            <w:hideMark/>
          </w:tcPr>
          <w:p w14:paraId="26544D11"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102.714,00</w:t>
            </w:r>
          </w:p>
        </w:tc>
        <w:tc>
          <w:tcPr>
            <w:tcW w:w="1559" w:type="dxa"/>
            <w:tcBorders>
              <w:top w:val="nil"/>
              <w:left w:val="nil"/>
              <w:bottom w:val="single" w:sz="4" w:space="0" w:color="auto"/>
              <w:right w:val="single" w:sz="4" w:space="0" w:color="auto"/>
            </w:tcBorders>
            <w:shd w:val="clear" w:color="000000" w:fill="000080"/>
            <w:noWrap/>
            <w:vAlign w:val="bottom"/>
            <w:hideMark/>
          </w:tcPr>
          <w:p w14:paraId="0B1D45FE"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3,94</w:t>
            </w:r>
          </w:p>
        </w:tc>
        <w:tc>
          <w:tcPr>
            <w:tcW w:w="1803" w:type="dxa"/>
            <w:tcBorders>
              <w:top w:val="nil"/>
              <w:left w:val="nil"/>
              <w:bottom w:val="single" w:sz="4" w:space="0" w:color="auto"/>
              <w:right w:val="single" w:sz="4" w:space="0" w:color="auto"/>
            </w:tcBorders>
            <w:shd w:val="clear" w:color="000000" w:fill="000080"/>
            <w:noWrap/>
            <w:vAlign w:val="bottom"/>
            <w:hideMark/>
          </w:tcPr>
          <w:p w14:paraId="7D12D951"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2.712.518,00</w:t>
            </w:r>
          </w:p>
        </w:tc>
      </w:tr>
      <w:tr w:rsidR="00846ACC" w:rsidRPr="004974C0" w14:paraId="7A5C12F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0000FF"/>
            <w:noWrap/>
            <w:vAlign w:val="bottom"/>
            <w:hideMark/>
          </w:tcPr>
          <w:p w14:paraId="32B69308"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Glava 10001 UPRAVNI ODJEL ZA POSLOVE GRADONAČELNIKA, GRADSKO VIJEĆE I OPĆE POSLOVE</w:t>
            </w:r>
          </w:p>
        </w:tc>
        <w:tc>
          <w:tcPr>
            <w:tcW w:w="1984" w:type="dxa"/>
            <w:tcBorders>
              <w:top w:val="nil"/>
              <w:left w:val="nil"/>
              <w:bottom w:val="single" w:sz="4" w:space="0" w:color="auto"/>
              <w:right w:val="single" w:sz="4" w:space="0" w:color="auto"/>
            </w:tcBorders>
            <w:shd w:val="clear" w:color="000000" w:fill="0000FF"/>
            <w:noWrap/>
            <w:vAlign w:val="bottom"/>
            <w:hideMark/>
          </w:tcPr>
          <w:p w14:paraId="21335F97"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0000FF"/>
            <w:noWrap/>
            <w:vAlign w:val="bottom"/>
            <w:hideMark/>
          </w:tcPr>
          <w:p w14:paraId="4AE6FAD9"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978.232,00</w:t>
            </w:r>
          </w:p>
        </w:tc>
        <w:tc>
          <w:tcPr>
            <w:tcW w:w="1843" w:type="dxa"/>
            <w:tcBorders>
              <w:top w:val="nil"/>
              <w:left w:val="nil"/>
              <w:bottom w:val="single" w:sz="4" w:space="0" w:color="auto"/>
              <w:right w:val="single" w:sz="4" w:space="0" w:color="auto"/>
            </w:tcBorders>
            <w:shd w:val="clear" w:color="000000" w:fill="0000FF"/>
            <w:noWrap/>
            <w:vAlign w:val="bottom"/>
            <w:hideMark/>
          </w:tcPr>
          <w:p w14:paraId="1A322C41"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62.546,00</w:t>
            </w:r>
          </w:p>
        </w:tc>
        <w:tc>
          <w:tcPr>
            <w:tcW w:w="1559" w:type="dxa"/>
            <w:tcBorders>
              <w:top w:val="nil"/>
              <w:left w:val="nil"/>
              <w:bottom w:val="single" w:sz="4" w:space="0" w:color="auto"/>
              <w:right w:val="single" w:sz="4" w:space="0" w:color="auto"/>
            </w:tcBorders>
            <w:shd w:val="clear" w:color="000000" w:fill="0000FF"/>
            <w:noWrap/>
            <w:vAlign w:val="bottom"/>
            <w:hideMark/>
          </w:tcPr>
          <w:p w14:paraId="11D86FCA"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6,39</w:t>
            </w:r>
          </w:p>
        </w:tc>
        <w:tc>
          <w:tcPr>
            <w:tcW w:w="1803" w:type="dxa"/>
            <w:tcBorders>
              <w:top w:val="nil"/>
              <w:left w:val="nil"/>
              <w:bottom w:val="single" w:sz="4" w:space="0" w:color="auto"/>
              <w:right w:val="single" w:sz="4" w:space="0" w:color="auto"/>
            </w:tcBorders>
            <w:shd w:val="clear" w:color="000000" w:fill="0000FF"/>
            <w:noWrap/>
            <w:vAlign w:val="bottom"/>
            <w:hideMark/>
          </w:tcPr>
          <w:p w14:paraId="3745585F"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1.040.778,00</w:t>
            </w:r>
          </w:p>
        </w:tc>
      </w:tr>
      <w:tr w:rsidR="00846ACC" w:rsidRPr="004974C0" w14:paraId="7EFD6BE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9519C5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0AE7E8C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DD93FE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942.282,00</w:t>
            </w:r>
          </w:p>
        </w:tc>
        <w:tc>
          <w:tcPr>
            <w:tcW w:w="1843" w:type="dxa"/>
            <w:tcBorders>
              <w:top w:val="nil"/>
              <w:left w:val="nil"/>
              <w:bottom w:val="single" w:sz="4" w:space="0" w:color="auto"/>
              <w:right w:val="single" w:sz="4" w:space="0" w:color="auto"/>
            </w:tcBorders>
            <w:shd w:val="clear" w:color="000000" w:fill="FFFFFF"/>
            <w:noWrap/>
            <w:vAlign w:val="bottom"/>
            <w:hideMark/>
          </w:tcPr>
          <w:p w14:paraId="1276650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34.932,00</w:t>
            </w:r>
          </w:p>
        </w:tc>
        <w:tc>
          <w:tcPr>
            <w:tcW w:w="1559" w:type="dxa"/>
            <w:tcBorders>
              <w:top w:val="nil"/>
              <w:left w:val="nil"/>
              <w:bottom w:val="single" w:sz="4" w:space="0" w:color="auto"/>
              <w:right w:val="single" w:sz="4" w:space="0" w:color="auto"/>
            </w:tcBorders>
            <w:shd w:val="clear" w:color="000000" w:fill="FFFFFF"/>
            <w:noWrap/>
            <w:vAlign w:val="bottom"/>
            <w:hideMark/>
          </w:tcPr>
          <w:p w14:paraId="630F8A9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3,71</w:t>
            </w:r>
          </w:p>
        </w:tc>
        <w:tc>
          <w:tcPr>
            <w:tcW w:w="1803" w:type="dxa"/>
            <w:tcBorders>
              <w:top w:val="nil"/>
              <w:left w:val="nil"/>
              <w:bottom w:val="single" w:sz="4" w:space="0" w:color="auto"/>
              <w:right w:val="single" w:sz="4" w:space="0" w:color="auto"/>
            </w:tcBorders>
            <w:shd w:val="clear" w:color="000000" w:fill="FFFFFF"/>
            <w:noWrap/>
            <w:vAlign w:val="bottom"/>
            <w:hideMark/>
          </w:tcPr>
          <w:p w14:paraId="6644F87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977.214,00</w:t>
            </w:r>
          </w:p>
        </w:tc>
      </w:tr>
      <w:tr w:rsidR="00846ACC" w:rsidRPr="004974C0" w14:paraId="509DA48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B21B2B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36D1239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0502CC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942.282,00</w:t>
            </w:r>
          </w:p>
        </w:tc>
        <w:tc>
          <w:tcPr>
            <w:tcW w:w="1843" w:type="dxa"/>
            <w:tcBorders>
              <w:top w:val="nil"/>
              <w:left w:val="nil"/>
              <w:bottom w:val="single" w:sz="4" w:space="0" w:color="auto"/>
              <w:right w:val="single" w:sz="4" w:space="0" w:color="auto"/>
            </w:tcBorders>
            <w:shd w:val="clear" w:color="000000" w:fill="FFFFFF"/>
            <w:noWrap/>
            <w:vAlign w:val="bottom"/>
            <w:hideMark/>
          </w:tcPr>
          <w:p w14:paraId="6ED2B9F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34.932,00</w:t>
            </w:r>
          </w:p>
        </w:tc>
        <w:tc>
          <w:tcPr>
            <w:tcW w:w="1559" w:type="dxa"/>
            <w:tcBorders>
              <w:top w:val="nil"/>
              <w:left w:val="nil"/>
              <w:bottom w:val="single" w:sz="4" w:space="0" w:color="auto"/>
              <w:right w:val="single" w:sz="4" w:space="0" w:color="auto"/>
            </w:tcBorders>
            <w:shd w:val="clear" w:color="000000" w:fill="FFFFFF"/>
            <w:noWrap/>
            <w:vAlign w:val="bottom"/>
            <w:hideMark/>
          </w:tcPr>
          <w:p w14:paraId="2535133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3,71</w:t>
            </w:r>
          </w:p>
        </w:tc>
        <w:tc>
          <w:tcPr>
            <w:tcW w:w="1803" w:type="dxa"/>
            <w:tcBorders>
              <w:top w:val="nil"/>
              <w:left w:val="nil"/>
              <w:bottom w:val="single" w:sz="4" w:space="0" w:color="auto"/>
              <w:right w:val="single" w:sz="4" w:space="0" w:color="auto"/>
            </w:tcBorders>
            <w:shd w:val="clear" w:color="000000" w:fill="FFFFFF"/>
            <w:noWrap/>
            <w:vAlign w:val="bottom"/>
            <w:hideMark/>
          </w:tcPr>
          <w:p w14:paraId="00301B8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977.214,00</w:t>
            </w:r>
          </w:p>
        </w:tc>
      </w:tr>
      <w:tr w:rsidR="00846ACC" w:rsidRPr="004974C0" w14:paraId="2744542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4ABD7A4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 VLASTITI PRIHODI</w:t>
            </w:r>
          </w:p>
        </w:tc>
        <w:tc>
          <w:tcPr>
            <w:tcW w:w="1984" w:type="dxa"/>
            <w:tcBorders>
              <w:top w:val="nil"/>
              <w:left w:val="nil"/>
              <w:bottom w:val="single" w:sz="4" w:space="0" w:color="auto"/>
              <w:right w:val="single" w:sz="4" w:space="0" w:color="auto"/>
            </w:tcBorders>
            <w:shd w:val="clear" w:color="000000" w:fill="FFFFFF"/>
            <w:noWrap/>
            <w:vAlign w:val="bottom"/>
            <w:hideMark/>
          </w:tcPr>
          <w:p w14:paraId="6208D69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81D9F8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1.600,00</w:t>
            </w:r>
          </w:p>
        </w:tc>
        <w:tc>
          <w:tcPr>
            <w:tcW w:w="1843" w:type="dxa"/>
            <w:tcBorders>
              <w:top w:val="nil"/>
              <w:left w:val="nil"/>
              <w:bottom w:val="single" w:sz="4" w:space="0" w:color="auto"/>
              <w:right w:val="single" w:sz="4" w:space="0" w:color="auto"/>
            </w:tcBorders>
            <w:shd w:val="clear" w:color="000000" w:fill="FFFFFF"/>
            <w:noWrap/>
            <w:vAlign w:val="bottom"/>
            <w:hideMark/>
          </w:tcPr>
          <w:p w14:paraId="737CA4E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0FCEFCA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12BE3D5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1.600,00</w:t>
            </w:r>
          </w:p>
        </w:tc>
      </w:tr>
      <w:tr w:rsidR="00846ACC" w:rsidRPr="004974C0" w14:paraId="26F5D02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035D275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3.1. VLASTITI PRIHODI</w:t>
            </w:r>
          </w:p>
        </w:tc>
        <w:tc>
          <w:tcPr>
            <w:tcW w:w="1984" w:type="dxa"/>
            <w:tcBorders>
              <w:top w:val="nil"/>
              <w:left w:val="nil"/>
              <w:bottom w:val="single" w:sz="4" w:space="0" w:color="auto"/>
              <w:right w:val="single" w:sz="4" w:space="0" w:color="auto"/>
            </w:tcBorders>
            <w:shd w:val="clear" w:color="000000" w:fill="FFFFFF"/>
            <w:noWrap/>
            <w:vAlign w:val="bottom"/>
            <w:hideMark/>
          </w:tcPr>
          <w:p w14:paraId="27BA55C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2785BE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1.600,00</w:t>
            </w:r>
          </w:p>
        </w:tc>
        <w:tc>
          <w:tcPr>
            <w:tcW w:w="1843" w:type="dxa"/>
            <w:tcBorders>
              <w:top w:val="nil"/>
              <w:left w:val="nil"/>
              <w:bottom w:val="single" w:sz="4" w:space="0" w:color="auto"/>
              <w:right w:val="single" w:sz="4" w:space="0" w:color="auto"/>
            </w:tcBorders>
            <w:shd w:val="clear" w:color="000000" w:fill="FFFFFF"/>
            <w:noWrap/>
            <w:vAlign w:val="bottom"/>
            <w:hideMark/>
          </w:tcPr>
          <w:p w14:paraId="4E6971E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3E43500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3761333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1.600,00</w:t>
            </w:r>
          </w:p>
        </w:tc>
      </w:tr>
      <w:tr w:rsidR="00846ACC" w:rsidRPr="004974C0" w14:paraId="7593729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F3FD4A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 POMOĆI</w:t>
            </w:r>
          </w:p>
        </w:tc>
        <w:tc>
          <w:tcPr>
            <w:tcW w:w="1984" w:type="dxa"/>
            <w:tcBorders>
              <w:top w:val="nil"/>
              <w:left w:val="nil"/>
              <w:bottom w:val="single" w:sz="4" w:space="0" w:color="auto"/>
              <w:right w:val="single" w:sz="4" w:space="0" w:color="auto"/>
            </w:tcBorders>
            <w:shd w:val="clear" w:color="000000" w:fill="FFFFFF"/>
            <w:noWrap/>
            <w:vAlign w:val="bottom"/>
            <w:hideMark/>
          </w:tcPr>
          <w:p w14:paraId="0ECD7B5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C00567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9.700,00</w:t>
            </w:r>
          </w:p>
        </w:tc>
        <w:tc>
          <w:tcPr>
            <w:tcW w:w="1843" w:type="dxa"/>
            <w:tcBorders>
              <w:top w:val="nil"/>
              <w:left w:val="nil"/>
              <w:bottom w:val="single" w:sz="4" w:space="0" w:color="auto"/>
              <w:right w:val="single" w:sz="4" w:space="0" w:color="auto"/>
            </w:tcBorders>
            <w:shd w:val="clear" w:color="000000" w:fill="FFFFFF"/>
            <w:noWrap/>
            <w:vAlign w:val="bottom"/>
            <w:hideMark/>
          </w:tcPr>
          <w:p w14:paraId="3402327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27.614,00</w:t>
            </w:r>
          </w:p>
        </w:tc>
        <w:tc>
          <w:tcPr>
            <w:tcW w:w="1559" w:type="dxa"/>
            <w:tcBorders>
              <w:top w:val="nil"/>
              <w:left w:val="nil"/>
              <w:bottom w:val="single" w:sz="4" w:space="0" w:color="auto"/>
              <w:right w:val="single" w:sz="4" w:space="0" w:color="auto"/>
            </w:tcBorders>
            <w:shd w:val="clear" w:color="000000" w:fill="FFFFFF"/>
            <w:noWrap/>
            <w:vAlign w:val="bottom"/>
            <w:hideMark/>
          </w:tcPr>
          <w:p w14:paraId="5356658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284,68</w:t>
            </w:r>
          </w:p>
        </w:tc>
        <w:tc>
          <w:tcPr>
            <w:tcW w:w="1803" w:type="dxa"/>
            <w:tcBorders>
              <w:top w:val="nil"/>
              <w:left w:val="nil"/>
              <w:bottom w:val="single" w:sz="4" w:space="0" w:color="auto"/>
              <w:right w:val="single" w:sz="4" w:space="0" w:color="auto"/>
            </w:tcBorders>
            <w:shd w:val="clear" w:color="000000" w:fill="FFFFFF"/>
            <w:noWrap/>
            <w:vAlign w:val="bottom"/>
            <w:hideMark/>
          </w:tcPr>
          <w:p w14:paraId="3481E0A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37.314,00</w:t>
            </w:r>
          </w:p>
        </w:tc>
      </w:tr>
      <w:tr w:rsidR="00846ACC" w:rsidRPr="004974C0" w14:paraId="2689E33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4A0704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5.2. POMOĆ IZ FONDA ZA ZAŠTITU OKOLIŠA</w:t>
            </w:r>
          </w:p>
        </w:tc>
        <w:tc>
          <w:tcPr>
            <w:tcW w:w="1984" w:type="dxa"/>
            <w:tcBorders>
              <w:top w:val="nil"/>
              <w:left w:val="nil"/>
              <w:bottom w:val="single" w:sz="4" w:space="0" w:color="auto"/>
              <w:right w:val="single" w:sz="4" w:space="0" w:color="auto"/>
            </w:tcBorders>
            <w:shd w:val="clear" w:color="000000" w:fill="FFFFFF"/>
            <w:noWrap/>
            <w:vAlign w:val="bottom"/>
            <w:hideMark/>
          </w:tcPr>
          <w:p w14:paraId="0A00818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076E0A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9.500,00</w:t>
            </w:r>
          </w:p>
        </w:tc>
        <w:tc>
          <w:tcPr>
            <w:tcW w:w="1843" w:type="dxa"/>
            <w:tcBorders>
              <w:top w:val="nil"/>
              <w:left w:val="nil"/>
              <w:bottom w:val="single" w:sz="4" w:space="0" w:color="auto"/>
              <w:right w:val="single" w:sz="4" w:space="0" w:color="auto"/>
            </w:tcBorders>
            <w:shd w:val="clear" w:color="000000" w:fill="FFFFFF"/>
            <w:noWrap/>
            <w:vAlign w:val="bottom"/>
            <w:hideMark/>
          </w:tcPr>
          <w:p w14:paraId="7B96409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4E3992D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11C3FB3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9.500,00</w:t>
            </w:r>
          </w:p>
        </w:tc>
      </w:tr>
      <w:tr w:rsidR="00846ACC" w:rsidRPr="004974C0" w14:paraId="346558E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2DDCA1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5.5. POMOĆI IZ ŽUPANIJSKOG PRORAČUNA</w:t>
            </w:r>
          </w:p>
        </w:tc>
        <w:tc>
          <w:tcPr>
            <w:tcW w:w="1984" w:type="dxa"/>
            <w:tcBorders>
              <w:top w:val="nil"/>
              <w:left w:val="nil"/>
              <w:bottom w:val="single" w:sz="4" w:space="0" w:color="auto"/>
              <w:right w:val="single" w:sz="4" w:space="0" w:color="auto"/>
            </w:tcBorders>
            <w:shd w:val="clear" w:color="000000" w:fill="FFFFFF"/>
            <w:noWrap/>
            <w:vAlign w:val="bottom"/>
            <w:hideMark/>
          </w:tcPr>
          <w:p w14:paraId="619D739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06784D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w:t>
            </w:r>
          </w:p>
        </w:tc>
        <w:tc>
          <w:tcPr>
            <w:tcW w:w="1843" w:type="dxa"/>
            <w:tcBorders>
              <w:top w:val="nil"/>
              <w:left w:val="nil"/>
              <w:bottom w:val="single" w:sz="4" w:space="0" w:color="auto"/>
              <w:right w:val="single" w:sz="4" w:space="0" w:color="auto"/>
            </w:tcBorders>
            <w:shd w:val="clear" w:color="000000" w:fill="FFFFFF"/>
            <w:noWrap/>
            <w:vAlign w:val="bottom"/>
            <w:hideMark/>
          </w:tcPr>
          <w:p w14:paraId="4E61613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27.614,00</w:t>
            </w:r>
          </w:p>
        </w:tc>
        <w:tc>
          <w:tcPr>
            <w:tcW w:w="1559" w:type="dxa"/>
            <w:tcBorders>
              <w:top w:val="nil"/>
              <w:left w:val="nil"/>
              <w:bottom w:val="single" w:sz="4" w:space="0" w:color="auto"/>
              <w:right w:val="single" w:sz="4" w:space="0" w:color="auto"/>
            </w:tcBorders>
            <w:shd w:val="clear" w:color="000000" w:fill="FFFFFF"/>
            <w:noWrap/>
            <w:vAlign w:val="bottom"/>
            <w:hideMark/>
          </w:tcPr>
          <w:p w14:paraId="08DC2F5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13.807,00</w:t>
            </w:r>
          </w:p>
        </w:tc>
        <w:tc>
          <w:tcPr>
            <w:tcW w:w="1803" w:type="dxa"/>
            <w:tcBorders>
              <w:top w:val="nil"/>
              <w:left w:val="nil"/>
              <w:bottom w:val="single" w:sz="4" w:space="0" w:color="auto"/>
              <w:right w:val="single" w:sz="4" w:space="0" w:color="auto"/>
            </w:tcBorders>
            <w:shd w:val="clear" w:color="000000" w:fill="FFFFFF"/>
            <w:noWrap/>
            <w:vAlign w:val="bottom"/>
            <w:hideMark/>
          </w:tcPr>
          <w:p w14:paraId="020FD4D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27.814,00</w:t>
            </w:r>
          </w:p>
        </w:tc>
      </w:tr>
      <w:tr w:rsidR="00846ACC" w:rsidRPr="004974C0" w14:paraId="0660C5C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2F1182F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 PRIHODI OD NEFINANCIJSKE IMOVINE</w:t>
            </w:r>
          </w:p>
        </w:tc>
        <w:tc>
          <w:tcPr>
            <w:tcW w:w="1984" w:type="dxa"/>
            <w:tcBorders>
              <w:top w:val="nil"/>
              <w:left w:val="nil"/>
              <w:bottom w:val="single" w:sz="4" w:space="0" w:color="auto"/>
              <w:right w:val="single" w:sz="4" w:space="0" w:color="auto"/>
            </w:tcBorders>
            <w:shd w:val="clear" w:color="000000" w:fill="FFFFFF"/>
            <w:noWrap/>
            <w:vAlign w:val="bottom"/>
            <w:hideMark/>
          </w:tcPr>
          <w:p w14:paraId="4DDA532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BB446E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24.650,00</w:t>
            </w:r>
          </w:p>
        </w:tc>
        <w:tc>
          <w:tcPr>
            <w:tcW w:w="1843" w:type="dxa"/>
            <w:tcBorders>
              <w:top w:val="nil"/>
              <w:left w:val="nil"/>
              <w:bottom w:val="single" w:sz="4" w:space="0" w:color="auto"/>
              <w:right w:val="single" w:sz="4" w:space="0" w:color="auto"/>
            </w:tcBorders>
            <w:shd w:val="clear" w:color="000000" w:fill="FFFFFF"/>
            <w:noWrap/>
            <w:vAlign w:val="bottom"/>
            <w:hideMark/>
          </w:tcPr>
          <w:p w14:paraId="5E10AF9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412CD2A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6F9A1D3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24.650,00</w:t>
            </w:r>
          </w:p>
        </w:tc>
      </w:tr>
      <w:tr w:rsidR="00846ACC" w:rsidRPr="004974C0" w14:paraId="59E90E1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4990B05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7.1. 7.PRIHODI OD NEFINANCIJSKE IMOVINE</w:t>
            </w:r>
          </w:p>
        </w:tc>
        <w:tc>
          <w:tcPr>
            <w:tcW w:w="1984" w:type="dxa"/>
            <w:tcBorders>
              <w:top w:val="nil"/>
              <w:left w:val="nil"/>
              <w:bottom w:val="single" w:sz="4" w:space="0" w:color="auto"/>
              <w:right w:val="single" w:sz="4" w:space="0" w:color="auto"/>
            </w:tcBorders>
            <w:shd w:val="clear" w:color="000000" w:fill="FFFFFF"/>
            <w:noWrap/>
            <w:vAlign w:val="bottom"/>
            <w:hideMark/>
          </w:tcPr>
          <w:p w14:paraId="4ECB0C1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E9CD26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24.000,00</w:t>
            </w:r>
          </w:p>
        </w:tc>
        <w:tc>
          <w:tcPr>
            <w:tcW w:w="1843" w:type="dxa"/>
            <w:tcBorders>
              <w:top w:val="nil"/>
              <w:left w:val="nil"/>
              <w:bottom w:val="single" w:sz="4" w:space="0" w:color="auto"/>
              <w:right w:val="single" w:sz="4" w:space="0" w:color="auto"/>
            </w:tcBorders>
            <w:shd w:val="clear" w:color="000000" w:fill="FFFFFF"/>
            <w:noWrap/>
            <w:vAlign w:val="bottom"/>
            <w:hideMark/>
          </w:tcPr>
          <w:p w14:paraId="4140D51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6F3CCAF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0A437B9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24.000,00</w:t>
            </w:r>
          </w:p>
        </w:tc>
      </w:tr>
      <w:tr w:rsidR="00846ACC" w:rsidRPr="004974C0" w14:paraId="2265F34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CCF92E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7.3. 7.PRIHODI OD NAKNADA ŠTETA S OSN.OSIGUR.</w:t>
            </w:r>
          </w:p>
        </w:tc>
        <w:tc>
          <w:tcPr>
            <w:tcW w:w="1984" w:type="dxa"/>
            <w:tcBorders>
              <w:top w:val="nil"/>
              <w:left w:val="nil"/>
              <w:bottom w:val="single" w:sz="4" w:space="0" w:color="auto"/>
              <w:right w:val="single" w:sz="4" w:space="0" w:color="auto"/>
            </w:tcBorders>
            <w:shd w:val="clear" w:color="000000" w:fill="FFFFFF"/>
            <w:noWrap/>
            <w:vAlign w:val="bottom"/>
            <w:hideMark/>
          </w:tcPr>
          <w:p w14:paraId="22447BD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850D17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650,00</w:t>
            </w:r>
          </w:p>
        </w:tc>
        <w:tc>
          <w:tcPr>
            <w:tcW w:w="1843" w:type="dxa"/>
            <w:tcBorders>
              <w:top w:val="nil"/>
              <w:left w:val="nil"/>
              <w:bottom w:val="single" w:sz="4" w:space="0" w:color="auto"/>
              <w:right w:val="single" w:sz="4" w:space="0" w:color="auto"/>
            </w:tcBorders>
            <w:shd w:val="clear" w:color="000000" w:fill="FFFFFF"/>
            <w:noWrap/>
            <w:vAlign w:val="bottom"/>
            <w:hideMark/>
          </w:tcPr>
          <w:p w14:paraId="0F805F3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4AD2193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791E81C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650,00</w:t>
            </w:r>
          </w:p>
        </w:tc>
      </w:tr>
      <w:tr w:rsidR="00846ACC" w:rsidRPr="004974C0" w14:paraId="7E5A133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3C33D7C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1001 Javna uprava i administracija</w:t>
            </w:r>
          </w:p>
        </w:tc>
        <w:tc>
          <w:tcPr>
            <w:tcW w:w="1984" w:type="dxa"/>
            <w:tcBorders>
              <w:top w:val="nil"/>
              <w:left w:val="nil"/>
              <w:bottom w:val="single" w:sz="4" w:space="0" w:color="auto"/>
              <w:right w:val="single" w:sz="4" w:space="0" w:color="auto"/>
            </w:tcBorders>
            <w:shd w:val="clear" w:color="000000" w:fill="9999FF"/>
            <w:noWrap/>
            <w:vAlign w:val="bottom"/>
            <w:hideMark/>
          </w:tcPr>
          <w:p w14:paraId="2BE971A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35B9689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898.350,00</w:t>
            </w:r>
          </w:p>
        </w:tc>
        <w:tc>
          <w:tcPr>
            <w:tcW w:w="1843" w:type="dxa"/>
            <w:tcBorders>
              <w:top w:val="nil"/>
              <w:left w:val="nil"/>
              <w:bottom w:val="single" w:sz="4" w:space="0" w:color="auto"/>
              <w:right w:val="single" w:sz="4" w:space="0" w:color="auto"/>
            </w:tcBorders>
            <w:shd w:val="clear" w:color="000000" w:fill="9999FF"/>
            <w:noWrap/>
            <w:vAlign w:val="bottom"/>
            <w:hideMark/>
          </w:tcPr>
          <w:p w14:paraId="24EE0B5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62.546,00</w:t>
            </w:r>
          </w:p>
        </w:tc>
        <w:tc>
          <w:tcPr>
            <w:tcW w:w="1559" w:type="dxa"/>
            <w:tcBorders>
              <w:top w:val="nil"/>
              <w:left w:val="nil"/>
              <w:bottom w:val="single" w:sz="4" w:space="0" w:color="auto"/>
              <w:right w:val="single" w:sz="4" w:space="0" w:color="auto"/>
            </w:tcBorders>
            <w:shd w:val="clear" w:color="000000" w:fill="9999FF"/>
            <w:noWrap/>
            <w:vAlign w:val="bottom"/>
            <w:hideMark/>
          </w:tcPr>
          <w:p w14:paraId="5B3537E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6,96</w:t>
            </w:r>
          </w:p>
        </w:tc>
        <w:tc>
          <w:tcPr>
            <w:tcW w:w="1803" w:type="dxa"/>
            <w:tcBorders>
              <w:top w:val="nil"/>
              <w:left w:val="nil"/>
              <w:bottom w:val="single" w:sz="4" w:space="0" w:color="auto"/>
              <w:right w:val="single" w:sz="4" w:space="0" w:color="auto"/>
            </w:tcBorders>
            <w:shd w:val="clear" w:color="000000" w:fill="9999FF"/>
            <w:noWrap/>
            <w:vAlign w:val="bottom"/>
            <w:hideMark/>
          </w:tcPr>
          <w:p w14:paraId="23AEA76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960.896,00</w:t>
            </w:r>
          </w:p>
        </w:tc>
      </w:tr>
      <w:tr w:rsidR="00846ACC" w:rsidRPr="004974C0" w14:paraId="5A21AC4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60A0AA5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A100001 Redovna djelatnost upravnih odjela</w:t>
            </w:r>
          </w:p>
        </w:tc>
        <w:tc>
          <w:tcPr>
            <w:tcW w:w="1984" w:type="dxa"/>
            <w:tcBorders>
              <w:top w:val="nil"/>
              <w:left w:val="nil"/>
              <w:bottom w:val="single" w:sz="4" w:space="0" w:color="auto"/>
              <w:right w:val="single" w:sz="4" w:space="0" w:color="auto"/>
            </w:tcBorders>
            <w:shd w:val="clear" w:color="000000" w:fill="CCCCFF"/>
            <w:noWrap/>
            <w:vAlign w:val="bottom"/>
            <w:hideMark/>
          </w:tcPr>
          <w:p w14:paraId="0EB347F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0EDB797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551.750,00</w:t>
            </w:r>
          </w:p>
        </w:tc>
        <w:tc>
          <w:tcPr>
            <w:tcW w:w="1843" w:type="dxa"/>
            <w:tcBorders>
              <w:top w:val="nil"/>
              <w:left w:val="nil"/>
              <w:bottom w:val="single" w:sz="4" w:space="0" w:color="auto"/>
              <w:right w:val="single" w:sz="4" w:space="0" w:color="auto"/>
            </w:tcBorders>
            <w:shd w:val="clear" w:color="000000" w:fill="CCCCFF"/>
            <w:noWrap/>
            <w:vAlign w:val="bottom"/>
            <w:hideMark/>
          </w:tcPr>
          <w:p w14:paraId="14D065D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-18.000,00</w:t>
            </w:r>
          </w:p>
        </w:tc>
        <w:tc>
          <w:tcPr>
            <w:tcW w:w="1559" w:type="dxa"/>
            <w:tcBorders>
              <w:top w:val="nil"/>
              <w:left w:val="nil"/>
              <w:bottom w:val="single" w:sz="4" w:space="0" w:color="auto"/>
              <w:right w:val="single" w:sz="4" w:space="0" w:color="auto"/>
            </w:tcBorders>
            <w:shd w:val="clear" w:color="000000" w:fill="CCCCFF"/>
            <w:noWrap/>
            <w:vAlign w:val="bottom"/>
            <w:hideMark/>
          </w:tcPr>
          <w:p w14:paraId="19DF89C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-3,26</w:t>
            </w:r>
          </w:p>
        </w:tc>
        <w:tc>
          <w:tcPr>
            <w:tcW w:w="1803" w:type="dxa"/>
            <w:tcBorders>
              <w:top w:val="nil"/>
              <w:left w:val="nil"/>
              <w:bottom w:val="single" w:sz="4" w:space="0" w:color="auto"/>
              <w:right w:val="single" w:sz="4" w:space="0" w:color="auto"/>
            </w:tcBorders>
            <w:shd w:val="clear" w:color="000000" w:fill="CCCCFF"/>
            <w:noWrap/>
            <w:vAlign w:val="bottom"/>
            <w:hideMark/>
          </w:tcPr>
          <w:p w14:paraId="2FB5524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533.750,00</w:t>
            </w:r>
          </w:p>
        </w:tc>
      </w:tr>
      <w:tr w:rsidR="00846ACC" w:rsidRPr="004974C0" w14:paraId="43EBC61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8DC0F9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0D4FEDB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E5FBD6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551.100,00</w:t>
            </w:r>
          </w:p>
        </w:tc>
        <w:tc>
          <w:tcPr>
            <w:tcW w:w="1843" w:type="dxa"/>
            <w:tcBorders>
              <w:top w:val="nil"/>
              <w:left w:val="nil"/>
              <w:bottom w:val="single" w:sz="4" w:space="0" w:color="auto"/>
              <w:right w:val="single" w:sz="4" w:space="0" w:color="auto"/>
            </w:tcBorders>
            <w:shd w:val="clear" w:color="000000" w:fill="FFFF99"/>
            <w:noWrap/>
            <w:vAlign w:val="bottom"/>
            <w:hideMark/>
          </w:tcPr>
          <w:p w14:paraId="49F2FC0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-18.000,00</w:t>
            </w:r>
          </w:p>
        </w:tc>
        <w:tc>
          <w:tcPr>
            <w:tcW w:w="1559" w:type="dxa"/>
            <w:tcBorders>
              <w:top w:val="nil"/>
              <w:left w:val="nil"/>
              <w:bottom w:val="single" w:sz="4" w:space="0" w:color="auto"/>
              <w:right w:val="single" w:sz="4" w:space="0" w:color="auto"/>
            </w:tcBorders>
            <w:shd w:val="clear" w:color="000000" w:fill="FFFF99"/>
            <w:noWrap/>
            <w:vAlign w:val="bottom"/>
            <w:hideMark/>
          </w:tcPr>
          <w:p w14:paraId="09BB74E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-3,27</w:t>
            </w:r>
          </w:p>
        </w:tc>
        <w:tc>
          <w:tcPr>
            <w:tcW w:w="1803" w:type="dxa"/>
            <w:tcBorders>
              <w:top w:val="nil"/>
              <w:left w:val="nil"/>
              <w:bottom w:val="single" w:sz="4" w:space="0" w:color="auto"/>
              <w:right w:val="single" w:sz="4" w:space="0" w:color="auto"/>
            </w:tcBorders>
            <w:shd w:val="clear" w:color="000000" w:fill="FFFF99"/>
            <w:noWrap/>
            <w:vAlign w:val="bottom"/>
            <w:hideMark/>
          </w:tcPr>
          <w:p w14:paraId="7781A6E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533.100,00</w:t>
            </w:r>
          </w:p>
        </w:tc>
      </w:tr>
      <w:tr w:rsidR="00846ACC" w:rsidRPr="004974C0" w14:paraId="7E8B46D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71BAE7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C01992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45C1E7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551.100,00</w:t>
            </w:r>
          </w:p>
        </w:tc>
        <w:tc>
          <w:tcPr>
            <w:tcW w:w="1843" w:type="dxa"/>
            <w:tcBorders>
              <w:top w:val="nil"/>
              <w:left w:val="nil"/>
              <w:bottom w:val="single" w:sz="4" w:space="0" w:color="auto"/>
              <w:right w:val="single" w:sz="4" w:space="0" w:color="auto"/>
            </w:tcBorders>
            <w:shd w:val="clear" w:color="auto" w:fill="auto"/>
            <w:noWrap/>
            <w:vAlign w:val="bottom"/>
            <w:hideMark/>
          </w:tcPr>
          <w:p w14:paraId="4D08A94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-18.000,00</w:t>
            </w:r>
          </w:p>
        </w:tc>
        <w:tc>
          <w:tcPr>
            <w:tcW w:w="1559" w:type="dxa"/>
            <w:tcBorders>
              <w:top w:val="nil"/>
              <w:left w:val="nil"/>
              <w:bottom w:val="single" w:sz="4" w:space="0" w:color="auto"/>
              <w:right w:val="single" w:sz="4" w:space="0" w:color="auto"/>
            </w:tcBorders>
            <w:shd w:val="clear" w:color="auto" w:fill="auto"/>
            <w:noWrap/>
            <w:vAlign w:val="bottom"/>
            <w:hideMark/>
          </w:tcPr>
          <w:p w14:paraId="60529C3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-3,27</w:t>
            </w:r>
          </w:p>
        </w:tc>
        <w:tc>
          <w:tcPr>
            <w:tcW w:w="1803" w:type="dxa"/>
            <w:tcBorders>
              <w:top w:val="nil"/>
              <w:left w:val="nil"/>
              <w:bottom w:val="single" w:sz="4" w:space="0" w:color="auto"/>
              <w:right w:val="single" w:sz="4" w:space="0" w:color="auto"/>
            </w:tcBorders>
            <w:shd w:val="clear" w:color="auto" w:fill="auto"/>
            <w:noWrap/>
            <w:vAlign w:val="bottom"/>
            <w:hideMark/>
          </w:tcPr>
          <w:p w14:paraId="5C3F2C1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533.100,00</w:t>
            </w:r>
          </w:p>
        </w:tc>
      </w:tr>
      <w:tr w:rsidR="00846ACC" w:rsidRPr="004974C0" w14:paraId="0A8A5EF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029BA2A"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BD7B41A"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D2510E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551.100,00</w:t>
            </w:r>
          </w:p>
        </w:tc>
        <w:tc>
          <w:tcPr>
            <w:tcW w:w="1843" w:type="dxa"/>
            <w:tcBorders>
              <w:top w:val="nil"/>
              <w:left w:val="nil"/>
              <w:bottom w:val="single" w:sz="4" w:space="0" w:color="auto"/>
              <w:right w:val="single" w:sz="4" w:space="0" w:color="auto"/>
            </w:tcBorders>
            <w:shd w:val="clear" w:color="auto" w:fill="auto"/>
            <w:noWrap/>
            <w:vAlign w:val="bottom"/>
            <w:hideMark/>
          </w:tcPr>
          <w:p w14:paraId="520738E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-18.000,00</w:t>
            </w:r>
          </w:p>
        </w:tc>
        <w:tc>
          <w:tcPr>
            <w:tcW w:w="1559" w:type="dxa"/>
            <w:tcBorders>
              <w:top w:val="nil"/>
              <w:left w:val="nil"/>
              <w:bottom w:val="single" w:sz="4" w:space="0" w:color="auto"/>
              <w:right w:val="single" w:sz="4" w:space="0" w:color="auto"/>
            </w:tcBorders>
            <w:shd w:val="clear" w:color="auto" w:fill="auto"/>
            <w:noWrap/>
            <w:vAlign w:val="bottom"/>
            <w:hideMark/>
          </w:tcPr>
          <w:p w14:paraId="7A1DCEF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-3,27</w:t>
            </w:r>
          </w:p>
        </w:tc>
        <w:tc>
          <w:tcPr>
            <w:tcW w:w="1803" w:type="dxa"/>
            <w:tcBorders>
              <w:top w:val="nil"/>
              <w:left w:val="nil"/>
              <w:bottom w:val="single" w:sz="4" w:space="0" w:color="auto"/>
              <w:right w:val="single" w:sz="4" w:space="0" w:color="auto"/>
            </w:tcBorders>
            <w:shd w:val="clear" w:color="auto" w:fill="auto"/>
            <w:noWrap/>
            <w:vAlign w:val="bottom"/>
            <w:hideMark/>
          </w:tcPr>
          <w:p w14:paraId="649A325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533.100,00</w:t>
            </w:r>
          </w:p>
        </w:tc>
      </w:tr>
      <w:tr w:rsidR="00846ACC" w:rsidRPr="004974C0" w14:paraId="58F589A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96A136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7.3. 7.PRIHODI OD NAKNADA ŠTETA S OSN.OSIGUR.</w:t>
            </w:r>
          </w:p>
        </w:tc>
        <w:tc>
          <w:tcPr>
            <w:tcW w:w="1984" w:type="dxa"/>
            <w:tcBorders>
              <w:top w:val="nil"/>
              <w:left w:val="nil"/>
              <w:bottom w:val="single" w:sz="4" w:space="0" w:color="auto"/>
              <w:right w:val="single" w:sz="4" w:space="0" w:color="auto"/>
            </w:tcBorders>
            <w:shd w:val="clear" w:color="000000" w:fill="FFFF99"/>
            <w:noWrap/>
            <w:vAlign w:val="bottom"/>
            <w:hideMark/>
          </w:tcPr>
          <w:p w14:paraId="75764E6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6AB6B8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650,00</w:t>
            </w:r>
          </w:p>
        </w:tc>
        <w:tc>
          <w:tcPr>
            <w:tcW w:w="1843" w:type="dxa"/>
            <w:tcBorders>
              <w:top w:val="nil"/>
              <w:left w:val="nil"/>
              <w:bottom w:val="single" w:sz="4" w:space="0" w:color="auto"/>
              <w:right w:val="single" w:sz="4" w:space="0" w:color="auto"/>
            </w:tcBorders>
            <w:shd w:val="clear" w:color="000000" w:fill="FFFF99"/>
            <w:noWrap/>
            <w:vAlign w:val="bottom"/>
            <w:hideMark/>
          </w:tcPr>
          <w:p w14:paraId="0948582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376BC38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3C385A8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650,00</w:t>
            </w:r>
          </w:p>
        </w:tc>
      </w:tr>
      <w:tr w:rsidR="00846ACC" w:rsidRPr="004974C0" w14:paraId="33AF2BC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EAF276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0889DA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1414B85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650,00</w:t>
            </w:r>
          </w:p>
        </w:tc>
        <w:tc>
          <w:tcPr>
            <w:tcW w:w="1843" w:type="dxa"/>
            <w:tcBorders>
              <w:top w:val="nil"/>
              <w:left w:val="nil"/>
              <w:bottom w:val="single" w:sz="4" w:space="0" w:color="auto"/>
              <w:right w:val="single" w:sz="4" w:space="0" w:color="auto"/>
            </w:tcBorders>
            <w:shd w:val="clear" w:color="auto" w:fill="auto"/>
            <w:noWrap/>
            <w:vAlign w:val="bottom"/>
            <w:hideMark/>
          </w:tcPr>
          <w:p w14:paraId="79F146B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833912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D55126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650,00</w:t>
            </w:r>
          </w:p>
        </w:tc>
      </w:tr>
      <w:tr w:rsidR="00846ACC" w:rsidRPr="004974C0" w14:paraId="3AB60C8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22FDDB1"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6158AC0F"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1CDB6B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650,00</w:t>
            </w:r>
          </w:p>
        </w:tc>
        <w:tc>
          <w:tcPr>
            <w:tcW w:w="1843" w:type="dxa"/>
            <w:tcBorders>
              <w:top w:val="nil"/>
              <w:left w:val="nil"/>
              <w:bottom w:val="single" w:sz="4" w:space="0" w:color="auto"/>
              <w:right w:val="single" w:sz="4" w:space="0" w:color="auto"/>
            </w:tcBorders>
            <w:shd w:val="clear" w:color="auto" w:fill="auto"/>
            <w:noWrap/>
            <w:vAlign w:val="bottom"/>
            <w:hideMark/>
          </w:tcPr>
          <w:p w14:paraId="6BE70FD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A58E13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EC4B08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650,00</w:t>
            </w:r>
          </w:p>
        </w:tc>
      </w:tr>
      <w:tr w:rsidR="00846ACC" w:rsidRPr="004974C0" w14:paraId="7A11A68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750C7CA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A100002 Redovna djelatnost  ureda gradonačelnika</w:t>
            </w:r>
          </w:p>
        </w:tc>
        <w:tc>
          <w:tcPr>
            <w:tcW w:w="1984" w:type="dxa"/>
            <w:tcBorders>
              <w:top w:val="nil"/>
              <w:left w:val="nil"/>
              <w:bottom w:val="single" w:sz="4" w:space="0" w:color="auto"/>
              <w:right w:val="single" w:sz="4" w:space="0" w:color="auto"/>
            </w:tcBorders>
            <w:shd w:val="clear" w:color="000000" w:fill="CCCCFF"/>
            <w:noWrap/>
            <w:vAlign w:val="bottom"/>
            <w:hideMark/>
          </w:tcPr>
          <w:p w14:paraId="7B17D18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BCF5D8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150.000,00</w:t>
            </w:r>
          </w:p>
        </w:tc>
        <w:tc>
          <w:tcPr>
            <w:tcW w:w="1843" w:type="dxa"/>
            <w:tcBorders>
              <w:top w:val="nil"/>
              <w:left w:val="nil"/>
              <w:bottom w:val="single" w:sz="4" w:space="0" w:color="auto"/>
              <w:right w:val="single" w:sz="4" w:space="0" w:color="auto"/>
            </w:tcBorders>
            <w:shd w:val="clear" w:color="000000" w:fill="CCCCFF"/>
            <w:noWrap/>
            <w:vAlign w:val="bottom"/>
            <w:hideMark/>
          </w:tcPr>
          <w:p w14:paraId="3D44B4C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21.700,00</w:t>
            </w:r>
          </w:p>
        </w:tc>
        <w:tc>
          <w:tcPr>
            <w:tcW w:w="1559" w:type="dxa"/>
            <w:tcBorders>
              <w:top w:val="nil"/>
              <w:left w:val="nil"/>
              <w:bottom w:val="single" w:sz="4" w:space="0" w:color="auto"/>
              <w:right w:val="single" w:sz="4" w:space="0" w:color="auto"/>
            </w:tcBorders>
            <w:shd w:val="clear" w:color="000000" w:fill="CCCCFF"/>
            <w:noWrap/>
            <w:vAlign w:val="bottom"/>
            <w:hideMark/>
          </w:tcPr>
          <w:p w14:paraId="0FD805D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14,47</w:t>
            </w:r>
          </w:p>
        </w:tc>
        <w:tc>
          <w:tcPr>
            <w:tcW w:w="1803" w:type="dxa"/>
            <w:tcBorders>
              <w:top w:val="nil"/>
              <w:left w:val="nil"/>
              <w:bottom w:val="single" w:sz="4" w:space="0" w:color="auto"/>
              <w:right w:val="single" w:sz="4" w:space="0" w:color="auto"/>
            </w:tcBorders>
            <w:shd w:val="clear" w:color="000000" w:fill="CCCCFF"/>
            <w:noWrap/>
            <w:vAlign w:val="bottom"/>
            <w:hideMark/>
          </w:tcPr>
          <w:p w14:paraId="6D65EBB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171.700,00</w:t>
            </w:r>
          </w:p>
        </w:tc>
      </w:tr>
      <w:tr w:rsidR="00846ACC" w:rsidRPr="004974C0" w14:paraId="28EE3B0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22F307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3763E6F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EA0EE2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150.000,00</w:t>
            </w:r>
          </w:p>
        </w:tc>
        <w:tc>
          <w:tcPr>
            <w:tcW w:w="1843" w:type="dxa"/>
            <w:tcBorders>
              <w:top w:val="nil"/>
              <w:left w:val="nil"/>
              <w:bottom w:val="single" w:sz="4" w:space="0" w:color="auto"/>
              <w:right w:val="single" w:sz="4" w:space="0" w:color="auto"/>
            </w:tcBorders>
            <w:shd w:val="clear" w:color="000000" w:fill="FFFF99"/>
            <w:noWrap/>
            <w:vAlign w:val="bottom"/>
            <w:hideMark/>
          </w:tcPr>
          <w:p w14:paraId="4EDDD04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21.700,00</w:t>
            </w:r>
          </w:p>
        </w:tc>
        <w:tc>
          <w:tcPr>
            <w:tcW w:w="1559" w:type="dxa"/>
            <w:tcBorders>
              <w:top w:val="nil"/>
              <w:left w:val="nil"/>
              <w:bottom w:val="single" w:sz="4" w:space="0" w:color="auto"/>
              <w:right w:val="single" w:sz="4" w:space="0" w:color="auto"/>
            </w:tcBorders>
            <w:shd w:val="clear" w:color="000000" w:fill="FFFF99"/>
            <w:noWrap/>
            <w:vAlign w:val="bottom"/>
            <w:hideMark/>
          </w:tcPr>
          <w:p w14:paraId="2E8CC3E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14,47</w:t>
            </w:r>
          </w:p>
        </w:tc>
        <w:tc>
          <w:tcPr>
            <w:tcW w:w="1803" w:type="dxa"/>
            <w:tcBorders>
              <w:top w:val="nil"/>
              <w:left w:val="nil"/>
              <w:bottom w:val="single" w:sz="4" w:space="0" w:color="auto"/>
              <w:right w:val="single" w:sz="4" w:space="0" w:color="auto"/>
            </w:tcBorders>
            <w:shd w:val="clear" w:color="000000" w:fill="FFFF99"/>
            <w:noWrap/>
            <w:vAlign w:val="bottom"/>
            <w:hideMark/>
          </w:tcPr>
          <w:p w14:paraId="694576D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171.700,00</w:t>
            </w:r>
          </w:p>
        </w:tc>
      </w:tr>
      <w:tr w:rsidR="00846ACC" w:rsidRPr="004974C0" w14:paraId="3E045D5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65C4D1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E0676B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9056B5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150.000,00</w:t>
            </w:r>
          </w:p>
        </w:tc>
        <w:tc>
          <w:tcPr>
            <w:tcW w:w="1843" w:type="dxa"/>
            <w:tcBorders>
              <w:top w:val="nil"/>
              <w:left w:val="nil"/>
              <w:bottom w:val="single" w:sz="4" w:space="0" w:color="auto"/>
              <w:right w:val="single" w:sz="4" w:space="0" w:color="auto"/>
            </w:tcBorders>
            <w:shd w:val="clear" w:color="auto" w:fill="auto"/>
            <w:noWrap/>
            <w:vAlign w:val="bottom"/>
            <w:hideMark/>
          </w:tcPr>
          <w:p w14:paraId="6FF434D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21.700,00</w:t>
            </w:r>
          </w:p>
        </w:tc>
        <w:tc>
          <w:tcPr>
            <w:tcW w:w="1559" w:type="dxa"/>
            <w:tcBorders>
              <w:top w:val="nil"/>
              <w:left w:val="nil"/>
              <w:bottom w:val="single" w:sz="4" w:space="0" w:color="auto"/>
              <w:right w:val="single" w:sz="4" w:space="0" w:color="auto"/>
            </w:tcBorders>
            <w:shd w:val="clear" w:color="auto" w:fill="auto"/>
            <w:noWrap/>
            <w:vAlign w:val="bottom"/>
            <w:hideMark/>
          </w:tcPr>
          <w:p w14:paraId="069CBB9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14,47</w:t>
            </w:r>
          </w:p>
        </w:tc>
        <w:tc>
          <w:tcPr>
            <w:tcW w:w="1803" w:type="dxa"/>
            <w:tcBorders>
              <w:top w:val="nil"/>
              <w:left w:val="nil"/>
              <w:bottom w:val="single" w:sz="4" w:space="0" w:color="auto"/>
              <w:right w:val="single" w:sz="4" w:space="0" w:color="auto"/>
            </w:tcBorders>
            <w:shd w:val="clear" w:color="auto" w:fill="auto"/>
            <w:noWrap/>
            <w:vAlign w:val="bottom"/>
            <w:hideMark/>
          </w:tcPr>
          <w:p w14:paraId="45D6018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171.700,00</w:t>
            </w:r>
          </w:p>
        </w:tc>
      </w:tr>
      <w:tr w:rsidR="00846ACC" w:rsidRPr="004974C0" w14:paraId="09D15FF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87CFA1D"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7D9416E1"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53EA89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113.735,00</w:t>
            </w:r>
          </w:p>
        </w:tc>
        <w:tc>
          <w:tcPr>
            <w:tcW w:w="1843" w:type="dxa"/>
            <w:tcBorders>
              <w:top w:val="nil"/>
              <w:left w:val="nil"/>
              <w:bottom w:val="single" w:sz="4" w:space="0" w:color="auto"/>
              <w:right w:val="single" w:sz="4" w:space="0" w:color="auto"/>
            </w:tcBorders>
            <w:shd w:val="clear" w:color="auto" w:fill="auto"/>
            <w:noWrap/>
            <w:vAlign w:val="bottom"/>
            <w:hideMark/>
          </w:tcPr>
          <w:p w14:paraId="3FD7075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26.000,00</w:t>
            </w:r>
          </w:p>
        </w:tc>
        <w:tc>
          <w:tcPr>
            <w:tcW w:w="1559" w:type="dxa"/>
            <w:tcBorders>
              <w:top w:val="nil"/>
              <w:left w:val="nil"/>
              <w:bottom w:val="single" w:sz="4" w:space="0" w:color="auto"/>
              <w:right w:val="single" w:sz="4" w:space="0" w:color="auto"/>
            </w:tcBorders>
            <w:shd w:val="clear" w:color="auto" w:fill="auto"/>
            <w:noWrap/>
            <w:vAlign w:val="bottom"/>
            <w:hideMark/>
          </w:tcPr>
          <w:p w14:paraId="3740936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22,86</w:t>
            </w:r>
          </w:p>
        </w:tc>
        <w:tc>
          <w:tcPr>
            <w:tcW w:w="1803" w:type="dxa"/>
            <w:tcBorders>
              <w:top w:val="nil"/>
              <w:left w:val="nil"/>
              <w:bottom w:val="single" w:sz="4" w:space="0" w:color="auto"/>
              <w:right w:val="single" w:sz="4" w:space="0" w:color="auto"/>
            </w:tcBorders>
            <w:shd w:val="clear" w:color="auto" w:fill="auto"/>
            <w:noWrap/>
            <w:vAlign w:val="bottom"/>
            <w:hideMark/>
          </w:tcPr>
          <w:p w14:paraId="4364B71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139.735,00</w:t>
            </w:r>
          </w:p>
        </w:tc>
      </w:tr>
      <w:tr w:rsidR="00846ACC" w:rsidRPr="004974C0" w14:paraId="66F0147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05BB324" w14:textId="77777777" w:rsidR="004974C0" w:rsidRPr="004974C0" w:rsidRDefault="004974C0" w:rsidP="004974C0">
            <w:pPr>
              <w:rPr>
                <w:rFonts w:ascii="Arial" w:hAnsi="Arial" w:cs="Arial"/>
                <w:sz w:val="20"/>
                <w:szCs w:val="20"/>
              </w:rPr>
            </w:pPr>
            <w:r w:rsidRPr="004974C0">
              <w:rPr>
                <w:rFonts w:ascii="Arial" w:hAnsi="Arial" w:cs="Arial"/>
                <w:sz w:val="20"/>
                <w:szCs w:val="20"/>
              </w:rPr>
              <w:t>35</w:t>
            </w:r>
          </w:p>
        </w:tc>
        <w:tc>
          <w:tcPr>
            <w:tcW w:w="1984" w:type="dxa"/>
            <w:tcBorders>
              <w:top w:val="nil"/>
              <w:left w:val="nil"/>
              <w:bottom w:val="single" w:sz="4" w:space="0" w:color="auto"/>
              <w:right w:val="single" w:sz="4" w:space="0" w:color="auto"/>
            </w:tcBorders>
            <w:shd w:val="clear" w:color="auto" w:fill="auto"/>
            <w:noWrap/>
            <w:vAlign w:val="bottom"/>
            <w:hideMark/>
          </w:tcPr>
          <w:p w14:paraId="18F44432" w14:textId="77777777" w:rsidR="004974C0" w:rsidRPr="004974C0" w:rsidRDefault="004974C0" w:rsidP="004974C0">
            <w:pPr>
              <w:rPr>
                <w:rFonts w:ascii="Arial" w:hAnsi="Arial" w:cs="Arial"/>
                <w:sz w:val="20"/>
                <w:szCs w:val="20"/>
              </w:rPr>
            </w:pPr>
            <w:r w:rsidRPr="004974C0">
              <w:rPr>
                <w:rFonts w:ascii="Arial" w:hAnsi="Arial" w:cs="Arial"/>
                <w:sz w:val="20"/>
                <w:szCs w:val="20"/>
              </w:rPr>
              <w:t>Subvencije</w:t>
            </w:r>
          </w:p>
        </w:tc>
        <w:tc>
          <w:tcPr>
            <w:tcW w:w="1843" w:type="dxa"/>
            <w:tcBorders>
              <w:top w:val="nil"/>
              <w:left w:val="nil"/>
              <w:bottom w:val="single" w:sz="4" w:space="0" w:color="auto"/>
              <w:right w:val="single" w:sz="4" w:space="0" w:color="auto"/>
            </w:tcBorders>
            <w:shd w:val="clear" w:color="auto" w:fill="auto"/>
            <w:noWrap/>
            <w:vAlign w:val="bottom"/>
            <w:hideMark/>
          </w:tcPr>
          <w:p w14:paraId="6DE8FD0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36.000,00</w:t>
            </w:r>
          </w:p>
        </w:tc>
        <w:tc>
          <w:tcPr>
            <w:tcW w:w="1843" w:type="dxa"/>
            <w:tcBorders>
              <w:top w:val="nil"/>
              <w:left w:val="nil"/>
              <w:bottom w:val="single" w:sz="4" w:space="0" w:color="auto"/>
              <w:right w:val="single" w:sz="4" w:space="0" w:color="auto"/>
            </w:tcBorders>
            <w:shd w:val="clear" w:color="auto" w:fill="auto"/>
            <w:noWrap/>
            <w:vAlign w:val="bottom"/>
            <w:hideMark/>
          </w:tcPr>
          <w:p w14:paraId="1E3F6DE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-4.300,00</w:t>
            </w:r>
          </w:p>
        </w:tc>
        <w:tc>
          <w:tcPr>
            <w:tcW w:w="1559" w:type="dxa"/>
            <w:tcBorders>
              <w:top w:val="nil"/>
              <w:left w:val="nil"/>
              <w:bottom w:val="single" w:sz="4" w:space="0" w:color="auto"/>
              <w:right w:val="single" w:sz="4" w:space="0" w:color="auto"/>
            </w:tcBorders>
            <w:shd w:val="clear" w:color="auto" w:fill="auto"/>
            <w:noWrap/>
            <w:vAlign w:val="bottom"/>
            <w:hideMark/>
          </w:tcPr>
          <w:p w14:paraId="0267FCA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-11,94</w:t>
            </w:r>
          </w:p>
        </w:tc>
        <w:tc>
          <w:tcPr>
            <w:tcW w:w="1803" w:type="dxa"/>
            <w:tcBorders>
              <w:top w:val="nil"/>
              <w:left w:val="nil"/>
              <w:bottom w:val="single" w:sz="4" w:space="0" w:color="auto"/>
              <w:right w:val="single" w:sz="4" w:space="0" w:color="auto"/>
            </w:tcBorders>
            <w:shd w:val="clear" w:color="auto" w:fill="auto"/>
            <w:noWrap/>
            <w:vAlign w:val="bottom"/>
            <w:hideMark/>
          </w:tcPr>
          <w:p w14:paraId="6A5556C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31.700,00</w:t>
            </w:r>
          </w:p>
        </w:tc>
      </w:tr>
      <w:tr w:rsidR="00846ACC" w:rsidRPr="004974C0" w14:paraId="3080139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34F400E" w14:textId="77777777" w:rsidR="004974C0" w:rsidRPr="004974C0" w:rsidRDefault="004974C0" w:rsidP="004974C0">
            <w:pPr>
              <w:rPr>
                <w:rFonts w:ascii="Arial" w:hAnsi="Arial" w:cs="Arial"/>
                <w:sz w:val="20"/>
                <w:szCs w:val="20"/>
              </w:rPr>
            </w:pPr>
            <w:r w:rsidRPr="004974C0">
              <w:rPr>
                <w:rFonts w:ascii="Arial" w:hAnsi="Arial" w:cs="Arial"/>
                <w:sz w:val="20"/>
                <w:szCs w:val="20"/>
              </w:rPr>
              <w:t>36</w:t>
            </w:r>
          </w:p>
        </w:tc>
        <w:tc>
          <w:tcPr>
            <w:tcW w:w="1984" w:type="dxa"/>
            <w:tcBorders>
              <w:top w:val="nil"/>
              <w:left w:val="nil"/>
              <w:bottom w:val="single" w:sz="4" w:space="0" w:color="auto"/>
              <w:right w:val="single" w:sz="4" w:space="0" w:color="auto"/>
            </w:tcBorders>
            <w:shd w:val="clear" w:color="auto" w:fill="auto"/>
            <w:noWrap/>
            <w:vAlign w:val="bottom"/>
            <w:hideMark/>
          </w:tcPr>
          <w:p w14:paraId="32590C7D" w14:textId="77777777" w:rsidR="004974C0" w:rsidRPr="004974C0" w:rsidRDefault="004974C0" w:rsidP="004974C0">
            <w:pPr>
              <w:rPr>
                <w:rFonts w:ascii="Arial" w:hAnsi="Arial" w:cs="Arial"/>
                <w:sz w:val="20"/>
                <w:szCs w:val="20"/>
              </w:rPr>
            </w:pPr>
            <w:r w:rsidRPr="004974C0">
              <w:rPr>
                <w:rFonts w:ascii="Arial" w:hAnsi="Arial" w:cs="Arial"/>
                <w:sz w:val="20"/>
                <w:szCs w:val="20"/>
              </w:rPr>
              <w:t>Pomoći dane u inozemstvo i unutar općeg proračuna</w:t>
            </w:r>
          </w:p>
        </w:tc>
        <w:tc>
          <w:tcPr>
            <w:tcW w:w="1843" w:type="dxa"/>
            <w:tcBorders>
              <w:top w:val="nil"/>
              <w:left w:val="nil"/>
              <w:bottom w:val="single" w:sz="4" w:space="0" w:color="auto"/>
              <w:right w:val="single" w:sz="4" w:space="0" w:color="auto"/>
            </w:tcBorders>
            <w:shd w:val="clear" w:color="auto" w:fill="auto"/>
            <w:noWrap/>
            <w:vAlign w:val="bottom"/>
            <w:hideMark/>
          </w:tcPr>
          <w:p w14:paraId="1D40E21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265,00</w:t>
            </w:r>
          </w:p>
        </w:tc>
        <w:tc>
          <w:tcPr>
            <w:tcW w:w="1843" w:type="dxa"/>
            <w:tcBorders>
              <w:top w:val="nil"/>
              <w:left w:val="nil"/>
              <w:bottom w:val="single" w:sz="4" w:space="0" w:color="auto"/>
              <w:right w:val="single" w:sz="4" w:space="0" w:color="auto"/>
            </w:tcBorders>
            <w:shd w:val="clear" w:color="auto" w:fill="auto"/>
            <w:noWrap/>
            <w:vAlign w:val="bottom"/>
            <w:hideMark/>
          </w:tcPr>
          <w:p w14:paraId="5D2F500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B1EAA3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274A8E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265,00</w:t>
            </w:r>
          </w:p>
        </w:tc>
      </w:tr>
      <w:tr w:rsidR="00846ACC" w:rsidRPr="004974C0" w14:paraId="78C28B3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3C7B41E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A100003 Manifestacije pod pokroviteljstvom Grada Labina</w:t>
            </w:r>
          </w:p>
        </w:tc>
        <w:tc>
          <w:tcPr>
            <w:tcW w:w="1984" w:type="dxa"/>
            <w:tcBorders>
              <w:top w:val="nil"/>
              <w:left w:val="nil"/>
              <w:bottom w:val="single" w:sz="4" w:space="0" w:color="auto"/>
              <w:right w:val="single" w:sz="4" w:space="0" w:color="auto"/>
            </w:tcBorders>
            <w:shd w:val="clear" w:color="000000" w:fill="CCCCFF"/>
            <w:noWrap/>
            <w:vAlign w:val="bottom"/>
            <w:hideMark/>
          </w:tcPr>
          <w:p w14:paraId="5F9BCC1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76F0E59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34.000,00</w:t>
            </w:r>
          </w:p>
        </w:tc>
        <w:tc>
          <w:tcPr>
            <w:tcW w:w="1843" w:type="dxa"/>
            <w:tcBorders>
              <w:top w:val="nil"/>
              <w:left w:val="nil"/>
              <w:bottom w:val="single" w:sz="4" w:space="0" w:color="auto"/>
              <w:right w:val="single" w:sz="4" w:space="0" w:color="auto"/>
            </w:tcBorders>
            <w:shd w:val="clear" w:color="000000" w:fill="CCCCFF"/>
            <w:noWrap/>
            <w:vAlign w:val="bottom"/>
            <w:hideMark/>
          </w:tcPr>
          <w:p w14:paraId="12A4D94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16.000,00</w:t>
            </w:r>
          </w:p>
        </w:tc>
        <w:tc>
          <w:tcPr>
            <w:tcW w:w="1559" w:type="dxa"/>
            <w:tcBorders>
              <w:top w:val="nil"/>
              <w:left w:val="nil"/>
              <w:bottom w:val="single" w:sz="4" w:space="0" w:color="auto"/>
              <w:right w:val="single" w:sz="4" w:space="0" w:color="auto"/>
            </w:tcBorders>
            <w:shd w:val="clear" w:color="000000" w:fill="CCCCFF"/>
            <w:noWrap/>
            <w:vAlign w:val="bottom"/>
            <w:hideMark/>
          </w:tcPr>
          <w:p w14:paraId="592F4EC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47,06</w:t>
            </w:r>
          </w:p>
        </w:tc>
        <w:tc>
          <w:tcPr>
            <w:tcW w:w="1803" w:type="dxa"/>
            <w:tcBorders>
              <w:top w:val="nil"/>
              <w:left w:val="nil"/>
              <w:bottom w:val="single" w:sz="4" w:space="0" w:color="auto"/>
              <w:right w:val="single" w:sz="4" w:space="0" w:color="auto"/>
            </w:tcBorders>
            <w:shd w:val="clear" w:color="000000" w:fill="CCCCFF"/>
            <w:noWrap/>
            <w:vAlign w:val="bottom"/>
            <w:hideMark/>
          </w:tcPr>
          <w:p w14:paraId="06EE230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50.000,00</w:t>
            </w:r>
          </w:p>
        </w:tc>
      </w:tr>
      <w:tr w:rsidR="00846ACC" w:rsidRPr="004974C0" w14:paraId="3385E780"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A64E99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6C615F4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E910D7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34.000,00</w:t>
            </w:r>
          </w:p>
        </w:tc>
        <w:tc>
          <w:tcPr>
            <w:tcW w:w="1843" w:type="dxa"/>
            <w:tcBorders>
              <w:top w:val="nil"/>
              <w:left w:val="nil"/>
              <w:bottom w:val="single" w:sz="4" w:space="0" w:color="auto"/>
              <w:right w:val="single" w:sz="4" w:space="0" w:color="auto"/>
            </w:tcBorders>
            <w:shd w:val="clear" w:color="000000" w:fill="FFFF99"/>
            <w:noWrap/>
            <w:vAlign w:val="bottom"/>
            <w:hideMark/>
          </w:tcPr>
          <w:p w14:paraId="4DBDA28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16.000,00</w:t>
            </w:r>
          </w:p>
        </w:tc>
        <w:tc>
          <w:tcPr>
            <w:tcW w:w="1559" w:type="dxa"/>
            <w:tcBorders>
              <w:top w:val="nil"/>
              <w:left w:val="nil"/>
              <w:bottom w:val="single" w:sz="4" w:space="0" w:color="auto"/>
              <w:right w:val="single" w:sz="4" w:space="0" w:color="auto"/>
            </w:tcBorders>
            <w:shd w:val="clear" w:color="000000" w:fill="FFFF99"/>
            <w:noWrap/>
            <w:vAlign w:val="bottom"/>
            <w:hideMark/>
          </w:tcPr>
          <w:p w14:paraId="7F12212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47,06</w:t>
            </w:r>
          </w:p>
        </w:tc>
        <w:tc>
          <w:tcPr>
            <w:tcW w:w="1803" w:type="dxa"/>
            <w:tcBorders>
              <w:top w:val="nil"/>
              <w:left w:val="nil"/>
              <w:bottom w:val="single" w:sz="4" w:space="0" w:color="auto"/>
              <w:right w:val="single" w:sz="4" w:space="0" w:color="auto"/>
            </w:tcBorders>
            <w:shd w:val="clear" w:color="000000" w:fill="FFFF99"/>
            <w:noWrap/>
            <w:vAlign w:val="bottom"/>
            <w:hideMark/>
          </w:tcPr>
          <w:p w14:paraId="7590151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50.000,00</w:t>
            </w:r>
          </w:p>
        </w:tc>
      </w:tr>
      <w:tr w:rsidR="00846ACC" w:rsidRPr="004974C0" w14:paraId="358C7A8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30EF2B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F83234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4EE880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34.000,00</w:t>
            </w:r>
          </w:p>
        </w:tc>
        <w:tc>
          <w:tcPr>
            <w:tcW w:w="1843" w:type="dxa"/>
            <w:tcBorders>
              <w:top w:val="nil"/>
              <w:left w:val="nil"/>
              <w:bottom w:val="single" w:sz="4" w:space="0" w:color="auto"/>
              <w:right w:val="single" w:sz="4" w:space="0" w:color="auto"/>
            </w:tcBorders>
            <w:shd w:val="clear" w:color="auto" w:fill="auto"/>
            <w:noWrap/>
            <w:vAlign w:val="bottom"/>
            <w:hideMark/>
          </w:tcPr>
          <w:p w14:paraId="0DE672A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16.000,00</w:t>
            </w:r>
          </w:p>
        </w:tc>
        <w:tc>
          <w:tcPr>
            <w:tcW w:w="1559" w:type="dxa"/>
            <w:tcBorders>
              <w:top w:val="nil"/>
              <w:left w:val="nil"/>
              <w:bottom w:val="single" w:sz="4" w:space="0" w:color="auto"/>
              <w:right w:val="single" w:sz="4" w:space="0" w:color="auto"/>
            </w:tcBorders>
            <w:shd w:val="clear" w:color="auto" w:fill="auto"/>
            <w:noWrap/>
            <w:vAlign w:val="bottom"/>
            <w:hideMark/>
          </w:tcPr>
          <w:p w14:paraId="5CCA3EC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47,06</w:t>
            </w:r>
          </w:p>
        </w:tc>
        <w:tc>
          <w:tcPr>
            <w:tcW w:w="1803" w:type="dxa"/>
            <w:tcBorders>
              <w:top w:val="nil"/>
              <w:left w:val="nil"/>
              <w:bottom w:val="single" w:sz="4" w:space="0" w:color="auto"/>
              <w:right w:val="single" w:sz="4" w:space="0" w:color="auto"/>
            </w:tcBorders>
            <w:shd w:val="clear" w:color="auto" w:fill="auto"/>
            <w:noWrap/>
            <w:vAlign w:val="bottom"/>
            <w:hideMark/>
          </w:tcPr>
          <w:p w14:paraId="55D7094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50.000,00</w:t>
            </w:r>
          </w:p>
        </w:tc>
      </w:tr>
      <w:tr w:rsidR="00846ACC" w:rsidRPr="004974C0" w14:paraId="2ABAC3F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9449528"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071B07C3"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3056A5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34.000,00</w:t>
            </w:r>
          </w:p>
        </w:tc>
        <w:tc>
          <w:tcPr>
            <w:tcW w:w="1843" w:type="dxa"/>
            <w:tcBorders>
              <w:top w:val="nil"/>
              <w:left w:val="nil"/>
              <w:bottom w:val="single" w:sz="4" w:space="0" w:color="auto"/>
              <w:right w:val="single" w:sz="4" w:space="0" w:color="auto"/>
            </w:tcBorders>
            <w:shd w:val="clear" w:color="auto" w:fill="auto"/>
            <w:noWrap/>
            <w:vAlign w:val="bottom"/>
            <w:hideMark/>
          </w:tcPr>
          <w:p w14:paraId="71CDE67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16.000,00</w:t>
            </w:r>
          </w:p>
        </w:tc>
        <w:tc>
          <w:tcPr>
            <w:tcW w:w="1559" w:type="dxa"/>
            <w:tcBorders>
              <w:top w:val="nil"/>
              <w:left w:val="nil"/>
              <w:bottom w:val="single" w:sz="4" w:space="0" w:color="auto"/>
              <w:right w:val="single" w:sz="4" w:space="0" w:color="auto"/>
            </w:tcBorders>
            <w:shd w:val="clear" w:color="auto" w:fill="auto"/>
            <w:noWrap/>
            <w:vAlign w:val="bottom"/>
            <w:hideMark/>
          </w:tcPr>
          <w:p w14:paraId="030F796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47,06</w:t>
            </w:r>
          </w:p>
        </w:tc>
        <w:tc>
          <w:tcPr>
            <w:tcW w:w="1803" w:type="dxa"/>
            <w:tcBorders>
              <w:top w:val="nil"/>
              <w:left w:val="nil"/>
              <w:bottom w:val="single" w:sz="4" w:space="0" w:color="auto"/>
              <w:right w:val="single" w:sz="4" w:space="0" w:color="auto"/>
            </w:tcBorders>
            <w:shd w:val="clear" w:color="auto" w:fill="auto"/>
            <w:noWrap/>
            <w:vAlign w:val="bottom"/>
            <w:hideMark/>
          </w:tcPr>
          <w:p w14:paraId="03B0A51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50.000,00</w:t>
            </w:r>
          </w:p>
        </w:tc>
      </w:tr>
      <w:tr w:rsidR="00846ACC" w:rsidRPr="004974C0" w14:paraId="5A7E055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59FDC72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A100005 Financiranje predstavničkih i izvršnih tijela</w:t>
            </w:r>
          </w:p>
        </w:tc>
        <w:tc>
          <w:tcPr>
            <w:tcW w:w="1984" w:type="dxa"/>
            <w:tcBorders>
              <w:top w:val="nil"/>
              <w:left w:val="nil"/>
              <w:bottom w:val="single" w:sz="4" w:space="0" w:color="auto"/>
              <w:right w:val="single" w:sz="4" w:space="0" w:color="auto"/>
            </w:tcBorders>
            <w:shd w:val="clear" w:color="000000" w:fill="CCCCFF"/>
            <w:noWrap/>
            <w:vAlign w:val="bottom"/>
            <w:hideMark/>
          </w:tcPr>
          <w:p w14:paraId="77CEC0C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1C5A57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18.200,00</w:t>
            </w:r>
          </w:p>
        </w:tc>
        <w:tc>
          <w:tcPr>
            <w:tcW w:w="1843" w:type="dxa"/>
            <w:tcBorders>
              <w:top w:val="nil"/>
              <w:left w:val="nil"/>
              <w:bottom w:val="single" w:sz="4" w:space="0" w:color="auto"/>
              <w:right w:val="single" w:sz="4" w:space="0" w:color="auto"/>
            </w:tcBorders>
            <w:shd w:val="clear" w:color="000000" w:fill="CCCCFF"/>
            <w:noWrap/>
            <w:vAlign w:val="bottom"/>
            <w:hideMark/>
          </w:tcPr>
          <w:p w14:paraId="266ADCD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900,00</w:t>
            </w:r>
          </w:p>
        </w:tc>
        <w:tc>
          <w:tcPr>
            <w:tcW w:w="1559" w:type="dxa"/>
            <w:tcBorders>
              <w:top w:val="nil"/>
              <w:left w:val="nil"/>
              <w:bottom w:val="single" w:sz="4" w:space="0" w:color="auto"/>
              <w:right w:val="single" w:sz="4" w:space="0" w:color="auto"/>
            </w:tcBorders>
            <w:shd w:val="clear" w:color="000000" w:fill="CCCCFF"/>
            <w:noWrap/>
            <w:vAlign w:val="bottom"/>
            <w:hideMark/>
          </w:tcPr>
          <w:p w14:paraId="6CA8016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4,95</w:t>
            </w:r>
          </w:p>
        </w:tc>
        <w:tc>
          <w:tcPr>
            <w:tcW w:w="1803" w:type="dxa"/>
            <w:tcBorders>
              <w:top w:val="nil"/>
              <w:left w:val="nil"/>
              <w:bottom w:val="single" w:sz="4" w:space="0" w:color="auto"/>
              <w:right w:val="single" w:sz="4" w:space="0" w:color="auto"/>
            </w:tcBorders>
            <w:shd w:val="clear" w:color="000000" w:fill="CCCCFF"/>
            <w:noWrap/>
            <w:vAlign w:val="bottom"/>
            <w:hideMark/>
          </w:tcPr>
          <w:p w14:paraId="044B5EB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19.100,00</w:t>
            </w:r>
          </w:p>
        </w:tc>
      </w:tr>
      <w:tr w:rsidR="00846ACC" w:rsidRPr="004974C0" w14:paraId="00B0B31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F9F0F6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041DC7F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58E274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18.200,00</w:t>
            </w:r>
          </w:p>
        </w:tc>
        <w:tc>
          <w:tcPr>
            <w:tcW w:w="1843" w:type="dxa"/>
            <w:tcBorders>
              <w:top w:val="nil"/>
              <w:left w:val="nil"/>
              <w:bottom w:val="single" w:sz="4" w:space="0" w:color="auto"/>
              <w:right w:val="single" w:sz="4" w:space="0" w:color="auto"/>
            </w:tcBorders>
            <w:shd w:val="clear" w:color="000000" w:fill="FFFF99"/>
            <w:noWrap/>
            <w:vAlign w:val="bottom"/>
            <w:hideMark/>
          </w:tcPr>
          <w:p w14:paraId="3984A32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900,00</w:t>
            </w:r>
          </w:p>
        </w:tc>
        <w:tc>
          <w:tcPr>
            <w:tcW w:w="1559" w:type="dxa"/>
            <w:tcBorders>
              <w:top w:val="nil"/>
              <w:left w:val="nil"/>
              <w:bottom w:val="single" w:sz="4" w:space="0" w:color="auto"/>
              <w:right w:val="single" w:sz="4" w:space="0" w:color="auto"/>
            </w:tcBorders>
            <w:shd w:val="clear" w:color="000000" w:fill="FFFF99"/>
            <w:noWrap/>
            <w:vAlign w:val="bottom"/>
            <w:hideMark/>
          </w:tcPr>
          <w:p w14:paraId="307323D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4,95</w:t>
            </w:r>
          </w:p>
        </w:tc>
        <w:tc>
          <w:tcPr>
            <w:tcW w:w="1803" w:type="dxa"/>
            <w:tcBorders>
              <w:top w:val="nil"/>
              <w:left w:val="nil"/>
              <w:bottom w:val="single" w:sz="4" w:space="0" w:color="auto"/>
              <w:right w:val="single" w:sz="4" w:space="0" w:color="auto"/>
            </w:tcBorders>
            <w:shd w:val="clear" w:color="000000" w:fill="FFFF99"/>
            <w:noWrap/>
            <w:vAlign w:val="bottom"/>
            <w:hideMark/>
          </w:tcPr>
          <w:p w14:paraId="4C33F7A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19.100,00</w:t>
            </w:r>
          </w:p>
        </w:tc>
      </w:tr>
      <w:tr w:rsidR="00846ACC" w:rsidRPr="004974C0" w14:paraId="512666E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5D4132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3EFEB8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62A908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18.200,00</w:t>
            </w:r>
          </w:p>
        </w:tc>
        <w:tc>
          <w:tcPr>
            <w:tcW w:w="1843" w:type="dxa"/>
            <w:tcBorders>
              <w:top w:val="nil"/>
              <w:left w:val="nil"/>
              <w:bottom w:val="single" w:sz="4" w:space="0" w:color="auto"/>
              <w:right w:val="single" w:sz="4" w:space="0" w:color="auto"/>
            </w:tcBorders>
            <w:shd w:val="clear" w:color="auto" w:fill="auto"/>
            <w:noWrap/>
            <w:vAlign w:val="bottom"/>
            <w:hideMark/>
          </w:tcPr>
          <w:p w14:paraId="49F6CF3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900,00</w:t>
            </w:r>
          </w:p>
        </w:tc>
        <w:tc>
          <w:tcPr>
            <w:tcW w:w="1559" w:type="dxa"/>
            <w:tcBorders>
              <w:top w:val="nil"/>
              <w:left w:val="nil"/>
              <w:bottom w:val="single" w:sz="4" w:space="0" w:color="auto"/>
              <w:right w:val="single" w:sz="4" w:space="0" w:color="auto"/>
            </w:tcBorders>
            <w:shd w:val="clear" w:color="auto" w:fill="auto"/>
            <w:noWrap/>
            <w:vAlign w:val="bottom"/>
            <w:hideMark/>
          </w:tcPr>
          <w:p w14:paraId="1C78361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4,95</w:t>
            </w:r>
          </w:p>
        </w:tc>
        <w:tc>
          <w:tcPr>
            <w:tcW w:w="1803" w:type="dxa"/>
            <w:tcBorders>
              <w:top w:val="nil"/>
              <w:left w:val="nil"/>
              <w:bottom w:val="single" w:sz="4" w:space="0" w:color="auto"/>
              <w:right w:val="single" w:sz="4" w:space="0" w:color="auto"/>
            </w:tcBorders>
            <w:shd w:val="clear" w:color="auto" w:fill="auto"/>
            <w:noWrap/>
            <w:vAlign w:val="bottom"/>
            <w:hideMark/>
          </w:tcPr>
          <w:p w14:paraId="4AC05FC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19.100,00</w:t>
            </w:r>
          </w:p>
        </w:tc>
      </w:tr>
      <w:tr w:rsidR="00846ACC" w:rsidRPr="004974C0" w14:paraId="2915A6A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9475695"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0D16CB7"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D44997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18.200,00</w:t>
            </w:r>
          </w:p>
        </w:tc>
        <w:tc>
          <w:tcPr>
            <w:tcW w:w="1843" w:type="dxa"/>
            <w:tcBorders>
              <w:top w:val="nil"/>
              <w:left w:val="nil"/>
              <w:bottom w:val="single" w:sz="4" w:space="0" w:color="auto"/>
              <w:right w:val="single" w:sz="4" w:space="0" w:color="auto"/>
            </w:tcBorders>
            <w:shd w:val="clear" w:color="auto" w:fill="auto"/>
            <w:noWrap/>
            <w:vAlign w:val="bottom"/>
            <w:hideMark/>
          </w:tcPr>
          <w:p w14:paraId="1BC08D8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900,00</w:t>
            </w:r>
          </w:p>
        </w:tc>
        <w:tc>
          <w:tcPr>
            <w:tcW w:w="1559" w:type="dxa"/>
            <w:tcBorders>
              <w:top w:val="nil"/>
              <w:left w:val="nil"/>
              <w:bottom w:val="single" w:sz="4" w:space="0" w:color="auto"/>
              <w:right w:val="single" w:sz="4" w:space="0" w:color="auto"/>
            </w:tcBorders>
            <w:shd w:val="clear" w:color="auto" w:fill="auto"/>
            <w:noWrap/>
            <w:vAlign w:val="bottom"/>
            <w:hideMark/>
          </w:tcPr>
          <w:p w14:paraId="4501397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4,95</w:t>
            </w:r>
          </w:p>
        </w:tc>
        <w:tc>
          <w:tcPr>
            <w:tcW w:w="1803" w:type="dxa"/>
            <w:tcBorders>
              <w:top w:val="nil"/>
              <w:left w:val="nil"/>
              <w:bottom w:val="single" w:sz="4" w:space="0" w:color="auto"/>
              <w:right w:val="single" w:sz="4" w:space="0" w:color="auto"/>
            </w:tcBorders>
            <w:shd w:val="clear" w:color="auto" w:fill="auto"/>
            <w:noWrap/>
            <w:vAlign w:val="bottom"/>
            <w:hideMark/>
          </w:tcPr>
          <w:p w14:paraId="5B06A5D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19.100,00</w:t>
            </w:r>
          </w:p>
        </w:tc>
      </w:tr>
      <w:tr w:rsidR="00846ACC" w:rsidRPr="004974C0" w14:paraId="185D063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3EA7950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A100006 Financiranje političkih stranaka</w:t>
            </w:r>
          </w:p>
        </w:tc>
        <w:tc>
          <w:tcPr>
            <w:tcW w:w="1984" w:type="dxa"/>
            <w:tcBorders>
              <w:top w:val="nil"/>
              <w:left w:val="nil"/>
              <w:bottom w:val="single" w:sz="4" w:space="0" w:color="auto"/>
              <w:right w:val="single" w:sz="4" w:space="0" w:color="auto"/>
            </w:tcBorders>
            <w:shd w:val="clear" w:color="000000" w:fill="CCCCFF"/>
            <w:noWrap/>
            <w:vAlign w:val="bottom"/>
            <w:hideMark/>
          </w:tcPr>
          <w:p w14:paraId="3E0C51F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79B1E55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18.000,00</w:t>
            </w:r>
          </w:p>
        </w:tc>
        <w:tc>
          <w:tcPr>
            <w:tcW w:w="1843" w:type="dxa"/>
            <w:tcBorders>
              <w:top w:val="nil"/>
              <w:left w:val="nil"/>
              <w:bottom w:val="single" w:sz="4" w:space="0" w:color="auto"/>
              <w:right w:val="single" w:sz="4" w:space="0" w:color="auto"/>
            </w:tcBorders>
            <w:shd w:val="clear" w:color="000000" w:fill="CCCCFF"/>
            <w:noWrap/>
            <w:vAlign w:val="bottom"/>
            <w:hideMark/>
          </w:tcPr>
          <w:p w14:paraId="38B9498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-2.748,00</w:t>
            </w:r>
          </w:p>
        </w:tc>
        <w:tc>
          <w:tcPr>
            <w:tcW w:w="1559" w:type="dxa"/>
            <w:tcBorders>
              <w:top w:val="nil"/>
              <w:left w:val="nil"/>
              <w:bottom w:val="single" w:sz="4" w:space="0" w:color="auto"/>
              <w:right w:val="single" w:sz="4" w:space="0" w:color="auto"/>
            </w:tcBorders>
            <w:shd w:val="clear" w:color="000000" w:fill="CCCCFF"/>
            <w:noWrap/>
            <w:vAlign w:val="bottom"/>
            <w:hideMark/>
          </w:tcPr>
          <w:p w14:paraId="3746759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-15,27</w:t>
            </w:r>
          </w:p>
        </w:tc>
        <w:tc>
          <w:tcPr>
            <w:tcW w:w="1803" w:type="dxa"/>
            <w:tcBorders>
              <w:top w:val="nil"/>
              <w:left w:val="nil"/>
              <w:bottom w:val="single" w:sz="4" w:space="0" w:color="auto"/>
              <w:right w:val="single" w:sz="4" w:space="0" w:color="auto"/>
            </w:tcBorders>
            <w:shd w:val="clear" w:color="000000" w:fill="CCCCFF"/>
            <w:noWrap/>
            <w:vAlign w:val="bottom"/>
            <w:hideMark/>
          </w:tcPr>
          <w:p w14:paraId="251B035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15.252,00</w:t>
            </w:r>
          </w:p>
        </w:tc>
      </w:tr>
      <w:tr w:rsidR="00846ACC" w:rsidRPr="004974C0" w14:paraId="187C1C3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3C52AE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7E0AAF9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AFFE48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18.000,00</w:t>
            </w:r>
          </w:p>
        </w:tc>
        <w:tc>
          <w:tcPr>
            <w:tcW w:w="1843" w:type="dxa"/>
            <w:tcBorders>
              <w:top w:val="nil"/>
              <w:left w:val="nil"/>
              <w:bottom w:val="single" w:sz="4" w:space="0" w:color="auto"/>
              <w:right w:val="single" w:sz="4" w:space="0" w:color="auto"/>
            </w:tcBorders>
            <w:shd w:val="clear" w:color="000000" w:fill="FFFF99"/>
            <w:noWrap/>
            <w:vAlign w:val="bottom"/>
            <w:hideMark/>
          </w:tcPr>
          <w:p w14:paraId="45EE64B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-2.748,00</w:t>
            </w:r>
          </w:p>
        </w:tc>
        <w:tc>
          <w:tcPr>
            <w:tcW w:w="1559" w:type="dxa"/>
            <w:tcBorders>
              <w:top w:val="nil"/>
              <w:left w:val="nil"/>
              <w:bottom w:val="single" w:sz="4" w:space="0" w:color="auto"/>
              <w:right w:val="single" w:sz="4" w:space="0" w:color="auto"/>
            </w:tcBorders>
            <w:shd w:val="clear" w:color="000000" w:fill="FFFF99"/>
            <w:noWrap/>
            <w:vAlign w:val="bottom"/>
            <w:hideMark/>
          </w:tcPr>
          <w:p w14:paraId="659A5BF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-15,27</w:t>
            </w:r>
          </w:p>
        </w:tc>
        <w:tc>
          <w:tcPr>
            <w:tcW w:w="1803" w:type="dxa"/>
            <w:tcBorders>
              <w:top w:val="nil"/>
              <w:left w:val="nil"/>
              <w:bottom w:val="single" w:sz="4" w:space="0" w:color="auto"/>
              <w:right w:val="single" w:sz="4" w:space="0" w:color="auto"/>
            </w:tcBorders>
            <w:shd w:val="clear" w:color="000000" w:fill="FFFF99"/>
            <w:noWrap/>
            <w:vAlign w:val="bottom"/>
            <w:hideMark/>
          </w:tcPr>
          <w:p w14:paraId="6DC7790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15.252,00</w:t>
            </w:r>
          </w:p>
        </w:tc>
      </w:tr>
      <w:tr w:rsidR="00846ACC" w:rsidRPr="004974C0" w14:paraId="27FE935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C53A69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602A368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E7A02A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18.000,00</w:t>
            </w:r>
          </w:p>
        </w:tc>
        <w:tc>
          <w:tcPr>
            <w:tcW w:w="1843" w:type="dxa"/>
            <w:tcBorders>
              <w:top w:val="nil"/>
              <w:left w:val="nil"/>
              <w:bottom w:val="single" w:sz="4" w:space="0" w:color="auto"/>
              <w:right w:val="single" w:sz="4" w:space="0" w:color="auto"/>
            </w:tcBorders>
            <w:shd w:val="clear" w:color="auto" w:fill="auto"/>
            <w:noWrap/>
            <w:vAlign w:val="bottom"/>
            <w:hideMark/>
          </w:tcPr>
          <w:p w14:paraId="39C489F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-2.748,00</w:t>
            </w:r>
          </w:p>
        </w:tc>
        <w:tc>
          <w:tcPr>
            <w:tcW w:w="1559" w:type="dxa"/>
            <w:tcBorders>
              <w:top w:val="nil"/>
              <w:left w:val="nil"/>
              <w:bottom w:val="single" w:sz="4" w:space="0" w:color="auto"/>
              <w:right w:val="single" w:sz="4" w:space="0" w:color="auto"/>
            </w:tcBorders>
            <w:shd w:val="clear" w:color="auto" w:fill="auto"/>
            <w:noWrap/>
            <w:vAlign w:val="bottom"/>
            <w:hideMark/>
          </w:tcPr>
          <w:p w14:paraId="43ECFB7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-15,27</w:t>
            </w:r>
          </w:p>
        </w:tc>
        <w:tc>
          <w:tcPr>
            <w:tcW w:w="1803" w:type="dxa"/>
            <w:tcBorders>
              <w:top w:val="nil"/>
              <w:left w:val="nil"/>
              <w:bottom w:val="single" w:sz="4" w:space="0" w:color="auto"/>
              <w:right w:val="single" w:sz="4" w:space="0" w:color="auto"/>
            </w:tcBorders>
            <w:shd w:val="clear" w:color="auto" w:fill="auto"/>
            <w:noWrap/>
            <w:vAlign w:val="bottom"/>
            <w:hideMark/>
          </w:tcPr>
          <w:p w14:paraId="75786D1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15.252,00</w:t>
            </w:r>
          </w:p>
        </w:tc>
      </w:tr>
      <w:tr w:rsidR="00846ACC" w:rsidRPr="004974C0" w14:paraId="0922A8B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C66D45B" w14:textId="77777777" w:rsidR="004974C0" w:rsidRPr="004974C0" w:rsidRDefault="004974C0" w:rsidP="004974C0">
            <w:pPr>
              <w:rPr>
                <w:rFonts w:ascii="Arial" w:hAnsi="Arial" w:cs="Arial"/>
                <w:sz w:val="20"/>
                <w:szCs w:val="20"/>
              </w:rPr>
            </w:pPr>
            <w:r w:rsidRPr="004974C0">
              <w:rPr>
                <w:rFonts w:ascii="Arial" w:hAnsi="Arial" w:cs="Arial"/>
                <w:sz w:val="20"/>
                <w:szCs w:val="20"/>
              </w:rPr>
              <w:lastRenderedPageBreak/>
              <w:t>38</w:t>
            </w:r>
          </w:p>
        </w:tc>
        <w:tc>
          <w:tcPr>
            <w:tcW w:w="1984" w:type="dxa"/>
            <w:tcBorders>
              <w:top w:val="nil"/>
              <w:left w:val="nil"/>
              <w:bottom w:val="single" w:sz="4" w:space="0" w:color="auto"/>
              <w:right w:val="single" w:sz="4" w:space="0" w:color="auto"/>
            </w:tcBorders>
            <w:shd w:val="clear" w:color="auto" w:fill="auto"/>
            <w:noWrap/>
            <w:vAlign w:val="bottom"/>
            <w:hideMark/>
          </w:tcPr>
          <w:p w14:paraId="3FED94E7"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donacije, kazne, naknade šteta i kapitalne pomoći</w:t>
            </w:r>
          </w:p>
        </w:tc>
        <w:tc>
          <w:tcPr>
            <w:tcW w:w="1843" w:type="dxa"/>
            <w:tcBorders>
              <w:top w:val="nil"/>
              <w:left w:val="nil"/>
              <w:bottom w:val="single" w:sz="4" w:space="0" w:color="auto"/>
              <w:right w:val="single" w:sz="4" w:space="0" w:color="auto"/>
            </w:tcBorders>
            <w:shd w:val="clear" w:color="auto" w:fill="auto"/>
            <w:noWrap/>
            <w:vAlign w:val="bottom"/>
            <w:hideMark/>
          </w:tcPr>
          <w:p w14:paraId="187646D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18.000,00</w:t>
            </w:r>
          </w:p>
        </w:tc>
        <w:tc>
          <w:tcPr>
            <w:tcW w:w="1843" w:type="dxa"/>
            <w:tcBorders>
              <w:top w:val="nil"/>
              <w:left w:val="nil"/>
              <w:bottom w:val="single" w:sz="4" w:space="0" w:color="auto"/>
              <w:right w:val="single" w:sz="4" w:space="0" w:color="auto"/>
            </w:tcBorders>
            <w:shd w:val="clear" w:color="auto" w:fill="auto"/>
            <w:noWrap/>
            <w:vAlign w:val="bottom"/>
            <w:hideMark/>
          </w:tcPr>
          <w:p w14:paraId="0C88C00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-2.748,00</w:t>
            </w:r>
          </w:p>
        </w:tc>
        <w:tc>
          <w:tcPr>
            <w:tcW w:w="1559" w:type="dxa"/>
            <w:tcBorders>
              <w:top w:val="nil"/>
              <w:left w:val="nil"/>
              <w:bottom w:val="single" w:sz="4" w:space="0" w:color="auto"/>
              <w:right w:val="single" w:sz="4" w:space="0" w:color="auto"/>
            </w:tcBorders>
            <w:shd w:val="clear" w:color="auto" w:fill="auto"/>
            <w:noWrap/>
            <w:vAlign w:val="bottom"/>
            <w:hideMark/>
          </w:tcPr>
          <w:p w14:paraId="753AEA0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-15,27</w:t>
            </w:r>
          </w:p>
        </w:tc>
        <w:tc>
          <w:tcPr>
            <w:tcW w:w="1803" w:type="dxa"/>
            <w:tcBorders>
              <w:top w:val="nil"/>
              <w:left w:val="nil"/>
              <w:bottom w:val="single" w:sz="4" w:space="0" w:color="auto"/>
              <w:right w:val="single" w:sz="4" w:space="0" w:color="auto"/>
            </w:tcBorders>
            <w:shd w:val="clear" w:color="auto" w:fill="auto"/>
            <w:noWrap/>
            <w:vAlign w:val="bottom"/>
            <w:hideMark/>
          </w:tcPr>
          <w:p w14:paraId="7030546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15.252,00</w:t>
            </w:r>
          </w:p>
        </w:tc>
      </w:tr>
      <w:tr w:rsidR="00846ACC" w:rsidRPr="004974C0" w14:paraId="72A1CFB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11AE6DD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A100007 Nagrade grada Labina</w:t>
            </w:r>
          </w:p>
        </w:tc>
        <w:tc>
          <w:tcPr>
            <w:tcW w:w="1984" w:type="dxa"/>
            <w:tcBorders>
              <w:top w:val="nil"/>
              <w:left w:val="nil"/>
              <w:bottom w:val="single" w:sz="4" w:space="0" w:color="auto"/>
              <w:right w:val="single" w:sz="4" w:space="0" w:color="auto"/>
            </w:tcBorders>
            <w:shd w:val="clear" w:color="000000" w:fill="CCCCFF"/>
            <w:noWrap/>
            <w:vAlign w:val="bottom"/>
            <w:hideMark/>
          </w:tcPr>
          <w:p w14:paraId="6BB874E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1E6A54D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6.600,00</w:t>
            </w:r>
          </w:p>
        </w:tc>
        <w:tc>
          <w:tcPr>
            <w:tcW w:w="1843" w:type="dxa"/>
            <w:tcBorders>
              <w:top w:val="nil"/>
              <w:left w:val="nil"/>
              <w:bottom w:val="single" w:sz="4" w:space="0" w:color="auto"/>
              <w:right w:val="single" w:sz="4" w:space="0" w:color="auto"/>
            </w:tcBorders>
            <w:shd w:val="clear" w:color="000000" w:fill="CCCCFF"/>
            <w:noWrap/>
            <w:vAlign w:val="bottom"/>
            <w:hideMark/>
          </w:tcPr>
          <w:p w14:paraId="704533C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-5.600,00</w:t>
            </w:r>
          </w:p>
        </w:tc>
        <w:tc>
          <w:tcPr>
            <w:tcW w:w="1559" w:type="dxa"/>
            <w:tcBorders>
              <w:top w:val="nil"/>
              <w:left w:val="nil"/>
              <w:bottom w:val="single" w:sz="4" w:space="0" w:color="auto"/>
              <w:right w:val="single" w:sz="4" w:space="0" w:color="auto"/>
            </w:tcBorders>
            <w:shd w:val="clear" w:color="000000" w:fill="CCCCFF"/>
            <w:noWrap/>
            <w:vAlign w:val="bottom"/>
            <w:hideMark/>
          </w:tcPr>
          <w:p w14:paraId="29E0A00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-84,85</w:t>
            </w:r>
          </w:p>
        </w:tc>
        <w:tc>
          <w:tcPr>
            <w:tcW w:w="1803" w:type="dxa"/>
            <w:tcBorders>
              <w:top w:val="nil"/>
              <w:left w:val="nil"/>
              <w:bottom w:val="single" w:sz="4" w:space="0" w:color="auto"/>
              <w:right w:val="single" w:sz="4" w:space="0" w:color="auto"/>
            </w:tcBorders>
            <w:shd w:val="clear" w:color="000000" w:fill="CCCCFF"/>
            <w:noWrap/>
            <w:vAlign w:val="bottom"/>
            <w:hideMark/>
          </w:tcPr>
          <w:p w14:paraId="2967151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r>
      <w:tr w:rsidR="00846ACC" w:rsidRPr="004974C0" w14:paraId="2BD74DF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4AA01E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49171EA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700E26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6.600,00</w:t>
            </w:r>
          </w:p>
        </w:tc>
        <w:tc>
          <w:tcPr>
            <w:tcW w:w="1843" w:type="dxa"/>
            <w:tcBorders>
              <w:top w:val="nil"/>
              <w:left w:val="nil"/>
              <w:bottom w:val="single" w:sz="4" w:space="0" w:color="auto"/>
              <w:right w:val="single" w:sz="4" w:space="0" w:color="auto"/>
            </w:tcBorders>
            <w:shd w:val="clear" w:color="000000" w:fill="FFFF99"/>
            <w:noWrap/>
            <w:vAlign w:val="bottom"/>
            <w:hideMark/>
          </w:tcPr>
          <w:p w14:paraId="17FAB0E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-5.600,00</w:t>
            </w:r>
          </w:p>
        </w:tc>
        <w:tc>
          <w:tcPr>
            <w:tcW w:w="1559" w:type="dxa"/>
            <w:tcBorders>
              <w:top w:val="nil"/>
              <w:left w:val="nil"/>
              <w:bottom w:val="single" w:sz="4" w:space="0" w:color="auto"/>
              <w:right w:val="single" w:sz="4" w:space="0" w:color="auto"/>
            </w:tcBorders>
            <w:shd w:val="clear" w:color="000000" w:fill="FFFF99"/>
            <w:noWrap/>
            <w:vAlign w:val="bottom"/>
            <w:hideMark/>
          </w:tcPr>
          <w:p w14:paraId="0760A6A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-84,85</w:t>
            </w:r>
          </w:p>
        </w:tc>
        <w:tc>
          <w:tcPr>
            <w:tcW w:w="1803" w:type="dxa"/>
            <w:tcBorders>
              <w:top w:val="nil"/>
              <w:left w:val="nil"/>
              <w:bottom w:val="single" w:sz="4" w:space="0" w:color="auto"/>
              <w:right w:val="single" w:sz="4" w:space="0" w:color="auto"/>
            </w:tcBorders>
            <w:shd w:val="clear" w:color="000000" w:fill="FFFF99"/>
            <w:noWrap/>
            <w:vAlign w:val="bottom"/>
            <w:hideMark/>
          </w:tcPr>
          <w:p w14:paraId="21E6BC6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r>
      <w:tr w:rsidR="00846ACC" w:rsidRPr="004974C0" w14:paraId="2CCB880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DD677D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7C1142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52FF9D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6.600,00</w:t>
            </w:r>
          </w:p>
        </w:tc>
        <w:tc>
          <w:tcPr>
            <w:tcW w:w="1843" w:type="dxa"/>
            <w:tcBorders>
              <w:top w:val="nil"/>
              <w:left w:val="nil"/>
              <w:bottom w:val="single" w:sz="4" w:space="0" w:color="auto"/>
              <w:right w:val="single" w:sz="4" w:space="0" w:color="auto"/>
            </w:tcBorders>
            <w:shd w:val="clear" w:color="auto" w:fill="auto"/>
            <w:noWrap/>
            <w:vAlign w:val="bottom"/>
            <w:hideMark/>
          </w:tcPr>
          <w:p w14:paraId="0C913BE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-5.600,00</w:t>
            </w:r>
          </w:p>
        </w:tc>
        <w:tc>
          <w:tcPr>
            <w:tcW w:w="1559" w:type="dxa"/>
            <w:tcBorders>
              <w:top w:val="nil"/>
              <w:left w:val="nil"/>
              <w:bottom w:val="single" w:sz="4" w:space="0" w:color="auto"/>
              <w:right w:val="single" w:sz="4" w:space="0" w:color="auto"/>
            </w:tcBorders>
            <w:shd w:val="clear" w:color="auto" w:fill="auto"/>
            <w:noWrap/>
            <w:vAlign w:val="bottom"/>
            <w:hideMark/>
          </w:tcPr>
          <w:p w14:paraId="3AB3AB4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-84,85</w:t>
            </w:r>
          </w:p>
        </w:tc>
        <w:tc>
          <w:tcPr>
            <w:tcW w:w="1803" w:type="dxa"/>
            <w:tcBorders>
              <w:top w:val="nil"/>
              <w:left w:val="nil"/>
              <w:bottom w:val="single" w:sz="4" w:space="0" w:color="auto"/>
              <w:right w:val="single" w:sz="4" w:space="0" w:color="auto"/>
            </w:tcBorders>
            <w:shd w:val="clear" w:color="auto" w:fill="auto"/>
            <w:noWrap/>
            <w:vAlign w:val="bottom"/>
            <w:hideMark/>
          </w:tcPr>
          <w:p w14:paraId="19BE18D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r>
      <w:tr w:rsidR="00846ACC" w:rsidRPr="004974C0" w14:paraId="1F16FFE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72D8C65"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496FC619"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00F8AE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6.600,00</w:t>
            </w:r>
          </w:p>
        </w:tc>
        <w:tc>
          <w:tcPr>
            <w:tcW w:w="1843" w:type="dxa"/>
            <w:tcBorders>
              <w:top w:val="nil"/>
              <w:left w:val="nil"/>
              <w:bottom w:val="single" w:sz="4" w:space="0" w:color="auto"/>
              <w:right w:val="single" w:sz="4" w:space="0" w:color="auto"/>
            </w:tcBorders>
            <w:shd w:val="clear" w:color="auto" w:fill="auto"/>
            <w:noWrap/>
            <w:vAlign w:val="bottom"/>
            <w:hideMark/>
          </w:tcPr>
          <w:p w14:paraId="4F50368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-5.600,00</w:t>
            </w:r>
          </w:p>
        </w:tc>
        <w:tc>
          <w:tcPr>
            <w:tcW w:w="1559" w:type="dxa"/>
            <w:tcBorders>
              <w:top w:val="nil"/>
              <w:left w:val="nil"/>
              <w:bottom w:val="single" w:sz="4" w:space="0" w:color="auto"/>
              <w:right w:val="single" w:sz="4" w:space="0" w:color="auto"/>
            </w:tcBorders>
            <w:shd w:val="clear" w:color="auto" w:fill="auto"/>
            <w:noWrap/>
            <w:vAlign w:val="bottom"/>
            <w:hideMark/>
          </w:tcPr>
          <w:p w14:paraId="5349A46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-84,85</w:t>
            </w:r>
          </w:p>
        </w:tc>
        <w:tc>
          <w:tcPr>
            <w:tcW w:w="1803" w:type="dxa"/>
            <w:tcBorders>
              <w:top w:val="nil"/>
              <w:left w:val="nil"/>
              <w:bottom w:val="single" w:sz="4" w:space="0" w:color="auto"/>
              <w:right w:val="single" w:sz="4" w:space="0" w:color="auto"/>
            </w:tcBorders>
            <w:shd w:val="clear" w:color="auto" w:fill="auto"/>
            <w:noWrap/>
            <w:vAlign w:val="bottom"/>
            <w:hideMark/>
          </w:tcPr>
          <w:p w14:paraId="4B33D8F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r>
      <w:tr w:rsidR="00846ACC" w:rsidRPr="004974C0" w14:paraId="22480D2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5065078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A100008 Savjet mladih grada Labina</w:t>
            </w:r>
          </w:p>
        </w:tc>
        <w:tc>
          <w:tcPr>
            <w:tcW w:w="1984" w:type="dxa"/>
            <w:tcBorders>
              <w:top w:val="nil"/>
              <w:left w:val="nil"/>
              <w:bottom w:val="single" w:sz="4" w:space="0" w:color="auto"/>
              <w:right w:val="single" w:sz="4" w:space="0" w:color="auto"/>
            </w:tcBorders>
            <w:shd w:val="clear" w:color="000000" w:fill="CCCCFF"/>
            <w:noWrap/>
            <w:vAlign w:val="bottom"/>
            <w:hideMark/>
          </w:tcPr>
          <w:p w14:paraId="4EDEBD7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217DFB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c>
          <w:tcPr>
            <w:tcW w:w="1843" w:type="dxa"/>
            <w:tcBorders>
              <w:top w:val="nil"/>
              <w:left w:val="nil"/>
              <w:bottom w:val="single" w:sz="4" w:space="0" w:color="auto"/>
              <w:right w:val="single" w:sz="4" w:space="0" w:color="auto"/>
            </w:tcBorders>
            <w:shd w:val="clear" w:color="000000" w:fill="CCCCFF"/>
            <w:noWrap/>
            <w:vAlign w:val="bottom"/>
            <w:hideMark/>
          </w:tcPr>
          <w:p w14:paraId="78ED522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4374AB1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6DD5130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r>
      <w:tr w:rsidR="00846ACC" w:rsidRPr="004974C0" w14:paraId="33C6EA8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12D2C5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7D0BE98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D0A3ED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c>
          <w:tcPr>
            <w:tcW w:w="1843" w:type="dxa"/>
            <w:tcBorders>
              <w:top w:val="nil"/>
              <w:left w:val="nil"/>
              <w:bottom w:val="single" w:sz="4" w:space="0" w:color="auto"/>
              <w:right w:val="single" w:sz="4" w:space="0" w:color="auto"/>
            </w:tcBorders>
            <w:shd w:val="clear" w:color="000000" w:fill="FFFF99"/>
            <w:noWrap/>
            <w:vAlign w:val="bottom"/>
            <w:hideMark/>
          </w:tcPr>
          <w:p w14:paraId="1D19F93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087A08B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4CAD69F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r>
      <w:tr w:rsidR="00846ACC" w:rsidRPr="004974C0" w14:paraId="0F697D0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11FB63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689E949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6B7C75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w:t>
            </w:r>
          </w:p>
        </w:tc>
        <w:tc>
          <w:tcPr>
            <w:tcW w:w="1843" w:type="dxa"/>
            <w:tcBorders>
              <w:top w:val="nil"/>
              <w:left w:val="nil"/>
              <w:bottom w:val="single" w:sz="4" w:space="0" w:color="auto"/>
              <w:right w:val="single" w:sz="4" w:space="0" w:color="auto"/>
            </w:tcBorders>
            <w:shd w:val="clear" w:color="auto" w:fill="auto"/>
            <w:noWrap/>
            <w:vAlign w:val="bottom"/>
            <w:hideMark/>
          </w:tcPr>
          <w:p w14:paraId="7368187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B7EA93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52DF6F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w:t>
            </w:r>
          </w:p>
        </w:tc>
      </w:tr>
      <w:tr w:rsidR="00846ACC" w:rsidRPr="004974C0" w14:paraId="4F8EEE9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CEDB6E7"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68E9B74"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7EE7B5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w:t>
            </w:r>
          </w:p>
        </w:tc>
        <w:tc>
          <w:tcPr>
            <w:tcW w:w="1843" w:type="dxa"/>
            <w:tcBorders>
              <w:top w:val="nil"/>
              <w:left w:val="nil"/>
              <w:bottom w:val="single" w:sz="4" w:space="0" w:color="auto"/>
              <w:right w:val="single" w:sz="4" w:space="0" w:color="auto"/>
            </w:tcBorders>
            <w:shd w:val="clear" w:color="auto" w:fill="auto"/>
            <w:noWrap/>
            <w:vAlign w:val="bottom"/>
            <w:hideMark/>
          </w:tcPr>
          <w:p w14:paraId="22FDCBE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D8387C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9FD902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w:t>
            </w:r>
          </w:p>
        </w:tc>
      </w:tr>
      <w:tr w:rsidR="00846ACC" w:rsidRPr="004974C0" w14:paraId="4F47E43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396333C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A100009 Izbori</w:t>
            </w:r>
          </w:p>
        </w:tc>
        <w:tc>
          <w:tcPr>
            <w:tcW w:w="1984" w:type="dxa"/>
            <w:tcBorders>
              <w:top w:val="nil"/>
              <w:left w:val="nil"/>
              <w:bottom w:val="single" w:sz="4" w:space="0" w:color="auto"/>
              <w:right w:val="single" w:sz="4" w:space="0" w:color="auto"/>
            </w:tcBorders>
            <w:shd w:val="clear" w:color="000000" w:fill="CCCCFF"/>
            <w:noWrap/>
            <w:vAlign w:val="bottom"/>
            <w:hideMark/>
          </w:tcPr>
          <w:p w14:paraId="2DC7145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49652C4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15.200,00</w:t>
            </w:r>
          </w:p>
        </w:tc>
        <w:tc>
          <w:tcPr>
            <w:tcW w:w="1843" w:type="dxa"/>
            <w:tcBorders>
              <w:top w:val="nil"/>
              <w:left w:val="nil"/>
              <w:bottom w:val="single" w:sz="4" w:space="0" w:color="auto"/>
              <w:right w:val="single" w:sz="4" w:space="0" w:color="auto"/>
            </w:tcBorders>
            <w:shd w:val="clear" w:color="000000" w:fill="CCCCFF"/>
            <w:noWrap/>
            <w:vAlign w:val="bottom"/>
            <w:hideMark/>
          </w:tcPr>
          <w:p w14:paraId="49602FE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39.594,00</w:t>
            </w:r>
          </w:p>
        </w:tc>
        <w:tc>
          <w:tcPr>
            <w:tcW w:w="1559" w:type="dxa"/>
            <w:tcBorders>
              <w:top w:val="nil"/>
              <w:left w:val="nil"/>
              <w:bottom w:val="single" w:sz="4" w:space="0" w:color="auto"/>
              <w:right w:val="single" w:sz="4" w:space="0" w:color="auto"/>
            </w:tcBorders>
            <w:shd w:val="clear" w:color="000000" w:fill="CCCCFF"/>
            <w:noWrap/>
            <w:vAlign w:val="bottom"/>
            <w:hideMark/>
          </w:tcPr>
          <w:p w14:paraId="0A1A8CC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260,49</w:t>
            </w:r>
          </w:p>
        </w:tc>
        <w:tc>
          <w:tcPr>
            <w:tcW w:w="1803" w:type="dxa"/>
            <w:tcBorders>
              <w:top w:val="nil"/>
              <w:left w:val="nil"/>
              <w:bottom w:val="single" w:sz="4" w:space="0" w:color="auto"/>
              <w:right w:val="single" w:sz="4" w:space="0" w:color="auto"/>
            </w:tcBorders>
            <w:shd w:val="clear" w:color="000000" w:fill="CCCCFF"/>
            <w:noWrap/>
            <w:vAlign w:val="bottom"/>
            <w:hideMark/>
          </w:tcPr>
          <w:p w14:paraId="3797A2A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54.794,00</w:t>
            </w:r>
          </w:p>
        </w:tc>
      </w:tr>
      <w:tr w:rsidR="00846ACC" w:rsidRPr="004974C0" w14:paraId="617BD63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40BF6D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2A0A5C0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A79F11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15.000,00</w:t>
            </w:r>
          </w:p>
        </w:tc>
        <w:tc>
          <w:tcPr>
            <w:tcW w:w="1843" w:type="dxa"/>
            <w:tcBorders>
              <w:top w:val="nil"/>
              <w:left w:val="nil"/>
              <w:bottom w:val="single" w:sz="4" w:space="0" w:color="auto"/>
              <w:right w:val="single" w:sz="4" w:space="0" w:color="auto"/>
            </w:tcBorders>
            <w:shd w:val="clear" w:color="000000" w:fill="FFFF99"/>
            <w:noWrap/>
            <w:vAlign w:val="bottom"/>
            <w:hideMark/>
          </w:tcPr>
          <w:p w14:paraId="6322795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11.980,00</w:t>
            </w:r>
          </w:p>
        </w:tc>
        <w:tc>
          <w:tcPr>
            <w:tcW w:w="1559" w:type="dxa"/>
            <w:tcBorders>
              <w:top w:val="nil"/>
              <w:left w:val="nil"/>
              <w:bottom w:val="single" w:sz="4" w:space="0" w:color="auto"/>
              <w:right w:val="single" w:sz="4" w:space="0" w:color="auto"/>
            </w:tcBorders>
            <w:shd w:val="clear" w:color="000000" w:fill="FFFF99"/>
            <w:noWrap/>
            <w:vAlign w:val="bottom"/>
            <w:hideMark/>
          </w:tcPr>
          <w:p w14:paraId="3C96AA3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79,87</w:t>
            </w:r>
          </w:p>
        </w:tc>
        <w:tc>
          <w:tcPr>
            <w:tcW w:w="1803" w:type="dxa"/>
            <w:tcBorders>
              <w:top w:val="nil"/>
              <w:left w:val="nil"/>
              <w:bottom w:val="single" w:sz="4" w:space="0" w:color="auto"/>
              <w:right w:val="single" w:sz="4" w:space="0" w:color="auto"/>
            </w:tcBorders>
            <w:shd w:val="clear" w:color="000000" w:fill="FFFF99"/>
            <w:noWrap/>
            <w:vAlign w:val="bottom"/>
            <w:hideMark/>
          </w:tcPr>
          <w:p w14:paraId="7B0DF4F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26.980,00</w:t>
            </w:r>
          </w:p>
        </w:tc>
      </w:tr>
      <w:tr w:rsidR="00846ACC" w:rsidRPr="004974C0" w14:paraId="6F53E7A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6D6BDA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7365AD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B47427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15.000,00</w:t>
            </w:r>
          </w:p>
        </w:tc>
        <w:tc>
          <w:tcPr>
            <w:tcW w:w="1843" w:type="dxa"/>
            <w:tcBorders>
              <w:top w:val="nil"/>
              <w:left w:val="nil"/>
              <w:bottom w:val="single" w:sz="4" w:space="0" w:color="auto"/>
              <w:right w:val="single" w:sz="4" w:space="0" w:color="auto"/>
            </w:tcBorders>
            <w:shd w:val="clear" w:color="auto" w:fill="auto"/>
            <w:noWrap/>
            <w:vAlign w:val="bottom"/>
            <w:hideMark/>
          </w:tcPr>
          <w:p w14:paraId="57CDCC0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11.980,00</w:t>
            </w:r>
          </w:p>
        </w:tc>
        <w:tc>
          <w:tcPr>
            <w:tcW w:w="1559" w:type="dxa"/>
            <w:tcBorders>
              <w:top w:val="nil"/>
              <w:left w:val="nil"/>
              <w:bottom w:val="single" w:sz="4" w:space="0" w:color="auto"/>
              <w:right w:val="single" w:sz="4" w:space="0" w:color="auto"/>
            </w:tcBorders>
            <w:shd w:val="clear" w:color="auto" w:fill="auto"/>
            <w:noWrap/>
            <w:vAlign w:val="bottom"/>
            <w:hideMark/>
          </w:tcPr>
          <w:p w14:paraId="0D1A4CD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79,87</w:t>
            </w:r>
          </w:p>
        </w:tc>
        <w:tc>
          <w:tcPr>
            <w:tcW w:w="1803" w:type="dxa"/>
            <w:tcBorders>
              <w:top w:val="nil"/>
              <w:left w:val="nil"/>
              <w:bottom w:val="single" w:sz="4" w:space="0" w:color="auto"/>
              <w:right w:val="single" w:sz="4" w:space="0" w:color="auto"/>
            </w:tcBorders>
            <w:shd w:val="clear" w:color="auto" w:fill="auto"/>
            <w:noWrap/>
            <w:vAlign w:val="bottom"/>
            <w:hideMark/>
          </w:tcPr>
          <w:p w14:paraId="4501C0F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26.980,00</w:t>
            </w:r>
          </w:p>
        </w:tc>
      </w:tr>
      <w:tr w:rsidR="00846ACC" w:rsidRPr="004974C0" w14:paraId="643D8BE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0EA75B8"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3DB2C020"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D8172E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15.000,00</w:t>
            </w:r>
          </w:p>
        </w:tc>
        <w:tc>
          <w:tcPr>
            <w:tcW w:w="1843" w:type="dxa"/>
            <w:tcBorders>
              <w:top w:val="nil"/>
              <w:left w:val="nil"/>
              <w:bottom w:val="single" w:sz="4" w:space="0" w:color="auto"/>
              <w:right w:val="single" w:sz="4" w:space="0" w:color="auto"/>
            </w:tcBorders>
            <w:shd w:val="clear" w:color="auto" w:fill="auto"/>
            <w:noWrap/>
            <w:vAlign w:val="bottom"/>
            <w:hideMark/>
          </w:tcPr>
          <w:p w14:paraId="3A20EC3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11.980,00</w:t>
            </w:r>
          </w:p>
        </w:tc>
        <w:tc>
          <w:tcPr>
            <w:tcW w:w="1559" w:type="dxa"/>
            <w:tcBorders>
              <w:top w:val="nil"/>
              <w:left w:val="nil"/>
              <w:bottom w:val="single" w:sz="4" w:space="0" w:color="auto"/>
              <w:right w:val="single" w:sz="4" w:space="0" w:color="auto"/>
            </w:tcBorders>
            <w:shd w:val="clear" w:color="auto" w:fill="auto"/>
            <w:noWrap/>
            <w:vAlign w:val="bottom"/>
            <w:hideMark/>
          </w:tcPr>
          <w:p w14:paraId="1C12E8F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79,87</w:t>
            </w:r>
          </w:p>
        </w:tc>
        <w:tc>
          <w:tcPr>
            <w:tcW w:w="1803" w:type="dxa"/>
            <w:tcBorders>
              <w:top w:val="nil"/>
              <w:left w:val="nil"/>
              <w:bottom w:val="single" w:sz="4" w:space="0" w:color="auto"/>
              <w:right w:val="single" w:sz="4" w:space="0" w:color="auto"/>
            </w:tcBorders>
            <w:shd w:val="clear" w:color="auto" w:fill="auto"/>
            <w:noWrap/>
            <w:vAlign w:val="bottom"/>
            <w:hideMark/>
          </w:tcPr>
          <w:p w14:paraId="1C7F8C7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26.980,00</w:t>
            </w:r>
          </w:p>
        </w:tc>
      </w:tr>
      <w:tr w:rsidR="00846ACC" w:rsidRPr="004974C0" w14:paraId="4AB9B04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82DC7E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5.5. POMOĆI IZ ŽUPANIJSKOG PRORAČUNA</w:t>
            </w:r>
          </w:p>
        </w:tc>
        <w:tc>
          <w:tcPr>
            <w:tcW w:w="1984" w:type="dxa"/>
            <w:tcBorders>
              <w:top w:val="nil"/>
              <w:left w:val="nil"/>
              <w:bottom w:val="single" w:sz="4" w:space="0" w:color="auto"/>
              <w:right w:val="single" w:sz="4" w:space="0" w:color="auto"/>
            </w:tcBorders>
            <w:shd w:val="clear" w:color="000000" w:fill="FFFF99"/>
            <w:noWrap/>
            <w:vAlign w:val="bottom"/>
            <w:hideMark/>
          </w:tcPr>
          <w:p w14:paraId="7F59F93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9B9FA0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w:t>
            </w:r>
          </w:p>
        </w:tc>
        <w:tc>
          <w:tcPr>
            <w:tcW w:w="1843" w:type="dxa"/>
            <w:tcBorders>
              <w:top w:val="nil"/>
              <w:left w:val="nil"/>
              <w:bottom w:val="single" w:sz="4" w:space="0" w:color="auto"/>
              <w:right w:val="single" w:sz="4" w:space="0" w:color="auto"/>
            </w:tcBorders>
            <w:shd w:val="clear" w:color="000000" w:fill="FFFF99"/>
            <w:noWrap/>
            <w:vAlign w:val="bottom"/>
            <w:hideMark/>
          </w:tcPr>
          <w:p w14:paraId="2EBA035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27.614,00</w:t>
            </w:r>
          </w:p>
        </w:tc>
        <w:tc>
          <w:tcPr>
            <w:tcW w:w="1559" w:type="dxa"/>
            <w:tcBorders>
              <w:top w:val="nil"/>
              <w:left w:val="nil"/>
              <w:bottom w:val="single" w:sz="4" w:space="0" w:color="auto"/>
              <w:right w:val="single" w:sz="4" w:space="0" w:color="auto"/>
            </w:tcBorders>
            <w:shd w:val="clear" w:color="000000" w:fill="FFFF99"/>
            <w:noWrap/>
            <w:vAlign w:val="bottom"/>
            <w:hideMark/>
          </w:tcPr>
          <w:p w14:paraId="311DD7F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13.807,00</w:t>
            </w:r>
          </w:p>
        </w:tc>
        <w:tc>
          <w:tcPr>
            <w:tcW w:w="1803" w:type="dxa"/>
            <w:tcBorders>
              <w:top w:val="nil"/>
              <w:left w:val="nil"/>
              <w:bottom w:val="single" w:sz="4" w:space="0" w:color="auto"/>
              <w:right w:val="single" w:sz="4" w:space="0" w:color="auto"/>
            </w:tcBorders>
            <w:shd w:val="clear" w:color="000000" w:fill="FFFF99"/>
            <w:noWrap/>
            <w:vAlign w:val="bottom"/>
            <w:hideMark/>
          </w:tcPr>
          <w:p w14:paraId="60F24E7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27.814,00</w:t>
            </w:r>
          </w:p>
        </w:tc>
      </w:tr>
      <w:tr w:rsidR="00846ACC" w:rsidRPr="004974C0" w14:paraId="79989F2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0AC8DB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6C4FA2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DBE444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w:t>
            </w:r>
          </w:p>
        </w:tc>
        <w:tc>
          <w:tcPr>
            <w:tcW w:w="1843" w:type="dxa"/>
            <w:tcBorders>
              <w:top w:val="nil"/>
              <w:left w:val="nil"/>
              <w:bottom w:val="single" w:sz="4" w:space="0" w:color="auto"/>
              <w:right w:val="single" w:sz="4" w:space="0" w:color="auto"/>
            </w:tcBorders>
            <w:shd w:val="clear" w:color="auto" w:fill="auto"/>
            <w:noWrap/>
            <w:vAlign w:val="bottom"/>
            <w:hideMark/>
          </w:tcPr>
          <w:p w14:paraId="174E068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27.614,00</w:t>
            </w:r>
          </w:p>
        </w:tc>
        <w:tc>
          <w:tcPr>
            <w:tcW w:w="1559" w:type="dxa"/>
            <w:tcBorders>
              <w:top w:val="nil"/>
              <w:left w:val="nil"/>
              <w:bottom w:val="single" w:sz="4" w:space="0" w:color="auto"/>
              <w:right w:val="single" w:sz="4" w:space="0" w:color="auto"/>
            </w:tcBorders>
            <w:shd w:val="clear" w:color="auto" w:fill="auto"/>
            <w:noWrap/>
            <w:vAlign w:val="bottom"/>
            <w:hideMark/>
          </w:tcPr>
          <w:p w14:paraId="275E0FE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13.807,00</w:t>
            </w:r>
          </w:p>
        </w:tc>
        <w:tc>
          <w:tcPr>
            <w:tcW w:w="1803" w:type="dxa"/>
            <w:tcBorders>
              <w:top w:val="nil"/>
              <w:left w:val="nil"/>
              <w:bottom w:val="single" w:sz="4" w:space="0" w:color="auto"/>
              <w:right w:val="single" w:sz="4" w:space="0" w:color="auto"/>
            </w:tcBorders>
            <w:shd w:val="clear" w:color="auto" w:fill="auto"/>
            <w:noWrap/>
            <w:vAlign w:val="bottom"/>
            <w:hideMark/>
          </w:tcPr>
          <w:p w14:paraId="5E9447F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27.814,00</w:t>
            </w:r>
          </w:p>
        </w:tc>
      </w:tr>
      <w:tr w:rsidR="00846ACC" w:rsidRPr="004974C0" w14:paraId="654E591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F1F44C8"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D9E98C8"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857E85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w:t>
            </w:r>
          </w:p>
        </w:tc>
        <w:tc>
          <w:tcPr>
            <w:tcW w:w="1843" w:type="dxa"/>
            <w:tcBorders>
              <w:top w:val="nil"/>
              <w:left w:val="nil"/>
              <w:bottom w:val="single" w:sz="4" w:space="0" w:color="auto"/>
              <w:right w:val="single" w:sz="4" w:space="0" w:color="auto"/>
            </w:tcBorders>
            <w:shd w:val="clear" w:color="auto" w:fill="auto"/>
            <w:noWrap/>
            <w:vAlign w:val="bottom"/>
            <w:hideMark/>
          </w:tcPr>
          <w:p w14:paraId="0F78B6C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27.614,00</w:t>
            </w:r>
          </w:p>
        </w:tc>
        <w:tc>
          <w:tcPr>
            <w:tcW w:w="1559" w:type="dxa"/>
            <w:tcBorders>
              <w:top w:val="nil"/>
              <w:left w:val="nil"/>
              <w:bottom w:val="single" w:sz="4" w:space="0" w:color="auto"/>
              <w:right w:val="single" w:sz="4" w:space="0" w:color="auto"/>
            </w:tcBorders>
            <w:shd w:val="clear" w:color="auto" w:fill="auto"/>
            <w:noWrap/>
            <w:vAlign w:val="bottom"/>
            <w:hideMark/>
          </w:tcPr>
          <w:p w14:paraId="2508EF7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13.807,00</w:t>
            </w:r>
          </w:p>
        </w:tc>
        <w:tc>
          <w:tcPr>
            <w:tcW w:w="1803" w:type="dxa"/>
            <w:tcBorders>
              <w:top w:val="nil"/>
              <w:left w:val="nil"/>
              <w:bottom w:val="single" w:sz="4" w:space="0" w:color="auto"/>
              <w:right w:val="single" w:sz="4" w:space="0" w:color="auto"/>
            </w:tcBorders>
            <w:shd w:val="clear" w:color="auto" w:fill="auto"/>
            <w:noWrap/>
            <w:vAlign w:val="bottom"/>
            <w:hideMark/>
          </w:tcPr>
          <w:p w14:paraId="62D6CB9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27.814,00</w:t>
            </w:r>
          </w:p>
        </w:tc>
      </w:tr>
      <w:tr w:rsidR="00846ACC" w:rsidRPr="004974C0" w14:paraId="064045C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9BDC33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Kapitalni projekt K100001 Nabava dugotrajne imovine</w:t>
            </w:r>
          </w:p>
        </w:tc>
        <w:tc>
          <w:tcPr>
            <w:tcW w:w="1984" w:type="dxa"/>
            <w:tcBorders>
              <w:top w:val="nil"/>
              <w:left w:val="nil"/>
              <w:bottom w:val="single" w:sz="4" w:space="0" w:color="auto"/>
              <w:right w:val="single" w:sz="4" w:space="0" w:color="auto"/>
            </w:tcBorders>
            <w:shd w:val="clear" w:color="000000" w:fill="CCCCFF"/>
            <w:noWrap/>
            <w:vAlign w:val="bottom"/>
            <w:hideMark/>
          </w:tcPr>
          <w:p w14:paraId="4FF7F83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76FA35E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98.100,00</w:t>
            </w:r>
          </w:p>
        </w:tc>
        <w:tc>
          <w:tcPr>
            <w:tcW w:w="1843" w:type="dxa"/>
            <w:tcBorders>
              <w:top w:val="nil"/>
              <w:left w:val="nil"/>
              <w:bottom w:val="single" w:sz="4" w:space="0" w:color="auto"/>
              <w:right w:val="single" w:sz="4" w:space="0" w:color="auto"/>
            </w:tcBorders>
            <w:shd w:val="clear" w:color="000000" w:fill="CCCCFF"/>
            <w:noWrap/>
            <w:vAlign w:val="bottom"/>
            <w:hideMark/>
          </w:tcPr>
          <w:p w14:paraId="77F2327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10.700,00</w:t>
            </w:r>
          </w:p>
        </w:tc>
        <w:tc>
          <w:tcPr>
            <w:tcW w:w="1559" w:type="dxa"/>
            <w:tcBorders>
              <w:top w:val="nil"/>
              <w:left w:val="nil"/>
              <w:bottom w:val="single" w:sz="4" w:space="0" w:color="auto"/>
              <w:right w:val="single" w:sz="4" w:space="0" w:color="auto"/>
            </w:tcBorders>
            <w:shd w:val="clear" w:color="000000" w:fill="CCCCFF"/>
            <w:noWrap/>
            <w:vAlign w:val="bottom"/>
            <w:hideMark/>
          </w:tcPr>
          <w:p w14:paraId="2187A3F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10,91</w:t>
            </w:r>
          </w:p>
        </w:tc>
        <w:tc>
          <w:tcPr>
            <w:tcW w:w="1803" w:type="dxa"/>
            <w:tcBorders>
              <w:top w:val="nil"/>
              <w:left w:val="nil"/>
              <w:bottom w:val="single" w:sz="4" w:space="0" w:color="auto"/>
              <w:right w:val="single" w:sz="4" w:space="0" w:color="auto"/>
            </w:tcBorders>
            <w:shd w:val="clear" w:color="000000" w:fill="CCCCFF"/>
            <w:noWrap/>
            <w:vAlign w:val="bottom"/>
            <w:hideMark/>
          </w:tcPr>
          <w:p w14:paraId="6BAA7B1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108.800,00</w:t>
            </w:r>
          </w:p>
        </w:tc>
      </w:tr>
      <w:tr w:rsidR="00846ACC" w:rsidRPr="004974C0" w14:paraId="20B45FF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AC2581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3CBA079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7C18C7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63.000,00</w:t>
            </w:r>
          </w:p>
        </w:tc>
        <w:tc>
          <w:tcPr>
            <w:tcW w:w="1843" w:type="dxa"/>
            <w:tcBorders>
              <w:top w:val="nil"/>
              <w:left w:val="nil"/>
              <w:bottom w:val="single" w:sz="4" w:space="0" w:color="auto"/>
              <w:right w:val="single" w:sz="4" w:space="0" w:color="auto"/>
            </w:tcBorders>
            <w:shd w:val="clear" w:color="000000" w:fill="FFFF99"/>
            <w:noWrap/>
            <w:vAlign w:val="bottom"/>
            <w:hideMark/>
          </w:tcPr>
          <w:p w14:paraId="6736609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10.700,00</w:t>
            </w:r>
          </w:p>
        </w:tc>
        <w:tc>
          <w:tcPr>
            <w:tcW w:w="1559" w:type="dxa"/>
            <w:tcBorders>
              <w:top w:val="nil"/>
              <w:left w:val="nil"/>
              <w:bottom w:val="single" w:sz="4" w:space="0" w:color="auto"/>
              <w:right w:val="single" w:sz="4" w:space="0" w:color="auto"/>
            </w:tcBorders>
            <w:shd w:val="clear" w:color="000000" w:fill="FFFF99"/>
            <w:noWrap/>
            <w:vAlign w:val="bottom"/>
            <w:hideMark/>
          </w:tcPr>
          <w:p w14:paraId="2C242C8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16,98</w:t>
            </w:r>
          </w:p>
        </w:tc>
        <w:tc>
          <w:tcPr>
            <w:tcW w:w="1803" w:type="dxa"/>
            <w:tcBorders>
              <w:top w:val="nil"/>
              <w:left w:val="nil"/>
              <w:bottom w:val="single" w:sz="4" w:space="0" w:color="auto"/>
              <w:right w:val="single" w:sz="4" w:space="0" w:color="auto"/>
            </w:tcBorders>
            <w:shd w:val="clear" w:color="000000" w:fill="FFFF99"/>
            <w:noWrap/>
            <w:vAlign w:val="bottom"/>
            <w:hideMark/>
          </w:tcPr>
          <w:p w14:paraId="02CD800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73.700,00</w:t>
            </w:r>
          </w:p>
        </w:tc>
      </w:tr>
      <w:tr w:rsidR="00846ACC" w:rsidRPr="004974C0" w14:paraId="689C850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2D3142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36B9D3B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11FC1DB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63.000,00</w:t>
            </w:r>
          </w:p>
        </w:tc>
        <w:tc>
          <w:tcPr>
            <w:tcW w:w="1843" w:type="dxa"/>
            <w:tcBorders>
              <w:top w:val="nil"/>
              <w:left w:val="nil"/>
              <w:bottom w:val="single" w:sz="4" w:space="0" w:color="auto"/>
              <w:right w:val="single" w:sz="4" w:space="0" w:color="auto"/>
            </w:tcBorders>
            <w:shd w:val="clear" w:color="auto" w:fill="auto"/>
            <w:noWrap/>
            <w:vAlign w:val="bottom"/>
            <w:hideMark/>
          </w:tcPr>
          <w:p w14:paraId="100D20E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10.700,00</w:t>
            </w:r>
          </w:p>
        </w:tc>
        <w:tc>
          <w:tcPr>
            <w:tcW w:w="1559" w:type="dxa"/>
            <w:tcBorders>
              <w:top w:val="nil"/>
              <w:left w:val="nil"/>
              <w:bottom w:val="single" w:sz="4" w:space="0" w:color="auto"/>
              <w:right w:val="single" w:sz="4" w:space="0" w:color="auto"/>
            </w:tcBorders>
            <w:shd w:val="clear" w:color="auto" w:fill="auto"/>
            <w:noWrap/>
            <w:vAlign w:val="bottom"/>
            <w:hideMark/>
          </w:tcPr>
          <w:p w14:paraId="62B4A1A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16,98</w:t>
            </w:r>
          </w:p>
        </w:tc>
        <w:tc>
          <w:tcPr>
            <w:tcW w:w="1803" w:type="dxa"/>
            <w:tcBorders>
              <w:top w:val="nil"/>
              <w:left w:val="nil"/>
              <w:bottom w:val="single" w:sz="4" w:space="0" w:color="auto"/>
              <w:right w:val="single" w:sz="4" w:space="0" w:color="auto"/>
            </w:tcBorders>
            <w:shd w:val="clear" w:color="auto" w:fill="auto"/>
            <w:noWrap/>
            <w:vAlign w:val="bottom"/>
            <w:hideMark/>
          </w:tcPr>
          <w:p w14:paraId="46A9513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73.700,00</w:t>
            </w:r>
          </w:p>
        </w:tc>
      </w:tr>
      <w:tr w:rsidR="00846ACC" w:rsidRPr="004974C0" w14:paraId="12CCC93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7A7B77A" w14:textId="77777777" w:rsidR="004974C0" w:rsidRPr="004974C0" w:rsidRDefault="004974C0" w:rsidP="004974C0">
            <w:pPr>
              <w:rPr>
                <w:rFonts w:ascii="Arial" w:hAnsi="Arial" w:cs="Arial"/>
                <w:sz w:val="20"/>
                <w:szCs w:val="20"/>
              </w:rPr>
            </w:pPr>
            <w:r w:rsidRPr="004974C0">
              <w:rPr>
                <w:rFonts w:ascii="Arial" w:hAnsi="Arial" w:cs="Arial"/>
                <w:sz w:val="20"/>
                <w:szCs w:val="20"/>
              </w:rPr>
              <w:t>41</w:t>
            </w:r>
          </w:p>
        </w:tc>
        <w:tc>
          <w:tcPr>
            <w:tcW w:w="1984" w:type="dxa"/>
            <w:tcBorders>
              <w:top w:val="nil"/>
              <w:left w:val="nil"/>
              <w:bottom w:val="single" w:sz="4" w:space="0" w:color="auto"/>
              <w:right w:val="single" w:sz="4" w:space="0" w:color="auto"/>
            </w:tcBorders>
            <w:shd w:val="clear" w:color="auto" w:fill="auto"/>
            <w:noWrap/>
            <w:vAlign w:val="bottom"/>
            <w:hideMark/>
          </w:tcPr>
          <w:p w14:paraId="5836B908" w14:textId="77777777" w:rsidR="004974C0" w:rsidRPr="004974C0" w:rsidRDefault="004974C0" w:rsidP="004974C0">
            <w:pPr>
              <w:rPr>
                <w:rFonts w:ascii="Arial" w:hAnsi="Arial" w:cs="Arial"/>
                <w:sz w:val="20"/>
                <w:szCs w:val="20"/>
              </w:rPr>
            </w:pPr>
            <w:r w:rsidRPr="004974C0">
              <w:rPr>
                <w:rFonts w:ascii="Arial" w:hAnsi="Arial" w:cs="Arial"/>
                <w:sz w:val="20"/>
                <w:szCs w:val="20"/>
              </w:rPr>
              <w:t xml:space="preserve">Rashodi za nabavu </w:t>
            </w:r>
            <w:proofErr w:type="spellStart"/>
            <w:r w:rsidRPr="004974C0">
              <w:rPr>
                <w:rFonts w:ascii="Arial" w:hAnsi="Arial" w:cs="Arial"/>
                <w:sz w:val="20"/>
                <w:szCs w:val="20"/>
              </w:rPr>
              <w:t>neproizvedene</w:t>
            </w:r>
            <w:proofErr w:type="spellEnd"/>
            <w:r w:rsidRPr="004974C0">
              <w:rPr>
                <w:rFonts w:ascii="Arial" w:hAnsi="Arial" w:cs="Arial"/>
                <w:sz w:val="20"/>
                <w:szCs w:val="20"/>
              </w:rPr>
              <w:t xml:space="preserv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46654F7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45.000,00</w:t>
            </w:r>
          </w:p>
        </w:tc>
        <w:tc>
          <w:tcPr>
            <w:tcW w:w="1843" w:type="dxa"/>
            <w:tcBorders>
              <w:top w:val="nil"/>
              <w:left w:val="nil"/>
              <w:bottom w:val="single" w:sz="4" w:space="0" w:color="auto"/>
              <w:right w:val="single" w:sz="4" w:space="0" w:color="auto"/>
            </w:tcBorders>
            <w:shd w:val="clear" w:color="auto" w:fill="auto"/>
            <w:noWrap/>
            <w:vAlign w:val="bottom"/>
            <w:hideMark/>
          </w:tcPr>
          <w:p w14:paraId="37A6166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-5.000,00</w:t>
            </w:r>
          </w:p>
        </w:tc>
        <w:tc>
          <w:tcPr>
            <w:tcW w:w="1559" w:type="dxa"/>
            <w:tcBorders>
              <w:top w:val="nil"/>
              <w:left w:val="nil"/>
              <w:bottom w:val="single" w:sz="4" w:space="0" w:color="auto"/>
              <w:right w:val="single" w:sz="4" w:space="0" w:color="auto"/>
            </w:tcBorders>
            <w:shd w:val="clear" w:color="auto" w:fill="auto"/>
            <w:noWrap/>
            <w:vAlign w:val="bottom"/>
            <w:hideMark/>
          </w:tcPr>
          <w:p w14:paraId="79B5E0D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-11,11</w:t>
            </w:r>
          </w:p>
        </w:tc>
        <w:tc>
          <w:tcPr>
            <w:tcW w:w="1803" w:type="dxa"/>
            <w:tcBorders>
              <w:top w:val="nil"/>
              <w:left w:val="nil"/>
              <w:bottom w:val="single" w:sz="4" w:space="0" w:color="auto"/>
              <w:right w:val="single" w:sz="4" w:space="0" w:color="auto"/>
            </w:tcBorders>
            <w:shd w:val="clear" w:color="auto" w:fill="auto"/>
            <w:noWrap/>
            <w:vAlign w:val="bottom"/>
            <w:hideMark/>
          </w:tcPr>
          <w:p w14:paraId="517F117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40.000,00</w:t>
            </w:r>
          </w:p>
        </w:tc>
      </w:tr>
      <w:tr w:rsidR="00846ACC" w:rsidRPr="004974C0" w14:paraId="5BDC5B2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550CA94" w14:textId="77777777" w:rsidR="004974C0" w:rsidRPr="004974C0" w:rsidRDefault="004974C0" w:rsidP="004974C0">
            <w:pPr>
              <w:rPr>
                <w:rFonts w:ascii="Arial" w:hAnsi="Arial" w:cs="Arial"/>
                <w:sz w:val="20"/>
                <w:szCs w:val="20"/>
              </w:rPr>
            </w:pPr>
            <w:r w:rsidRPr="004974C0">
              <w:rPr>
                <w:rFonts w:ascii="Arial" w:hAnsi="Arial" w:cs="Arial"/>
                <w:sz w:val="20"/>
                <w:szCs w:val="20"/>
              </w:rPr>
              <w:lastRenderedPageBreak/>
              <w:t>42</w:t>
            </w:r>
          </w:p>
        </w:tc>
        <w:tc>
          <w:tcPr>
            <w:tcW w:w="1984" w:type="dxa"/>
            <w:tcBorders>
              <w:top w:val="nil"/>
              <w:left w:val="nil"/>
              <w:bottom w:val="single" w:sz="4" w:space="0" w:color="auto"/>
              <w:right w:val="single" w:sz="4" w:space="0" w:color="auto"/>
            </w:tcBorders>
            <w:shd w:val="clear" w:color="auto" w:fill="auto"/>
            <w:noWrap/>
            <w:vAlign w:val="bottom"/>
            <w:hideMark/>
          </w:tcPr>
          <w:p w14:paraId="17786A0F"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0189703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18.000,00</w:t>
            </w:r>
          </w:p>
        </w:tc>
        <w:tc>
          <w:tcPr>
            <w:tcW w:w="1843" w:type="dxa"/>
            <w:tcBorders>
              <w:top w:val="nil"/>
              <w:left w:val="nil"/>
              <w:bottom w:val="single" w:sz="4" w:space="0" w:color="auto"/>
              <w:right w:val="single" w:sz="4" w:space="0" w:color="auto"/>
            </w:tcBorders>
            <w:shd w:val="clear" w:color="auto" w:fill="auto"/>
            <w:noWrap/>
            <w:vAlign w:val="bottom"/>
            <w:hideMark/>
          </w:tcPr>
          <w:p w14:paraId="10A261E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15.700,00</w:t>
            </w:r>
          </w:p>
        </w:tc>
        <w:tc>
          <w:tcPr>
            <w:tcW w:w="1559" w:type="dxa"/>
            <w:tcBorders>
              <w:top w:val="nil"/>
              <w:left w:val="nil"/>
              <w:bottom w:val="single" w:sz="4" w:space="0" w:color="auto"/>
              <w:right w:val="single" w:sz="4" w:space="0" w:color="auto"/>
            </w:tcBorders>
            <w:shd w:val="clear" w:color="auto" w:fill="auto"/>
            <w:noWrap/>
            <w:vAlign w:val="bottom"/>
            <w:hideMark/>
          </w:tcPr>
          <w:p w14:paraId="409344D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87,22</w:t>
            </w:r>
          </w:p>
        </w:tc>
        <w:tc>
          <w:tcPr>
            <w:tcW w:w="1803" w:type="dxa"/>
            <w:tcBorders>
              <w:top w:val="nil"/>
              <w:left w:val="nil"/>
              <w:bottom w:val="single" w:sz="4" w:space="0" w:color="auto"/>
              <w:right w:val="single" w:sz="4" w:space="0" w:color="auto"/>
            </w:tcBorders>
            <w:shd w:val="clear" w:color="auto" w:fill="auto"/>
            <w:noWrap/>
            <w:vAlign w:val="bottom"/>
            <w:hideMark/>
          </w:tcPr>
          <w:p w14:paraId="6CC4FAF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33.700,00</w:t>
            </w:r>
          </w:p>
        </w:tc>
      </w:tr>
      <w:tr w:rsidR="00846ACC" w:rsidRPr="004974C0" w14:paraId="36365E0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FA0B77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3.1. VLASTITI PRIHODI</w:t>
            </w:r>
          </w:p>
        </w:tc>
        <w:tc>
          <w:tcPr>
            <w:tcW w:w="1984" w:type="dxa"/>
            <w:tcBorders>
              <w:top w:val="nil"/>
              <w:left w:val="nil"/>
              <w:bottom w:val="single" w:sz="4" w:space="0" w:color="auto"/>
              <w:right w:val="single" w:sz="4" w:space="0" w:color="auto"/>
            </w:tcBorders>
            <w:shd w:val="clear" w:color="000000" w:fill="FFFF99"/>
            <w:noWrap/>
            <w:vAlign w:val="bottom"/>
            <w:hideMark/>
          </w:tcPr>
          <w:p w14:paraId="43AB05B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307A4F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1.600,00</w:t>
            </w:r>
          </w:p>
        </w:tc>
        <w:tc>
          <w:tcPr>
            <w:tcW w:w="1843" w:type="dxa"/>
            <w:tcBorders>
              <w:top w:val="nil"/>
              <w:left w:val="nil"/>
              <w:bottom w:val="single" w:sz="4" w:space="0" w:color="auto"/>
              <w:right w:val="single" w:sz="4" w:space="0" w:color="auto"/>
            </w:tcBorders>
            <w:shd w:val="clear" w:color="000000" w:fill="FFFF99"/>
            <w:noWrap/>
            <w:vAlign w:val="bottom"/>
            <w:hideMark/>
          </w:tcPr>
          <w:p w14:paraId="274F420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26A52B9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2986DF6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1.600,00</w:t>
            </w:r>
          </w:p>
        </w:tc>
      </w:tr>
      <w:tr w:rsidR="00846ACC" w:rsidRPr="004974C0" w14:paraId="5A2EA23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EC2B91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6F43932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0E720DC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1.600,00</w:t>
            </w:r>
          </w:p>
        </w:tc>
        <w:tc>
          <w:tcPr>
            <w:tcW w:w="1843" w:type="dxa"/>
            <w:tcBorders>
              <w:top w:val="nil"/>
              <w:left w:val="nil"/>
              <w:bottom w:val="single" w:sz="4" w:space="0" w:color="auto"/>
              <w:right w:val="single" w:sz="4" w:space="0" w:color="auto"/>
            </w:tcBorders>
            <w:shd w:val="clear" w:color="auto" w:fill="auto"/>
            <w:noWrap/>
            <w:vAlign w:val="bottom"/>
            <w:hideMark/>
          </w:tcPr>
          <w:p w14:paraId="48882D0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B34C1F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202A2D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1.600,00</w:t>
            </w:r>
          </w:p>
        </w:tc>
      </w:tr>
      <w:tr w:rsidR="00846ACC" w:rsidRPr="004974C0" w14:paraId="067EA85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A1319F0"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59D6D7DD"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222424A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1.600,00</w:t>
            </w:r>
          </w:p>
        </w:tc>
        <w:tc>
          <w:tcPr>
            <w:tcW w:w="1843" w:type="dxa"/>
            <w:tcBorders>
              <w:top w:val="nil"/>
              <w:left w:val="nil"/>
              <w:bottom w:val="single" w:sz="4" w:space="0" w:color="auto"/>
              <w:right w:val="single" w:sz="4" w:space="0" w:color="auto"/>
            </w:tcBorders>
            <w:shd w:val="clear" w:color="auto" w:fill="auto"/>
            <w:noWrap/>
            <w:vAlign w:val="bottom"/>
            <w:hideMark/>
          </w:tcPr>
          <w:p w14:paraId="5F9F260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782FB6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6F3EAA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1.600,00</w:t>
            </w:r>
          </w:p>
        </w:tc>
      </w:tr>
      <w:tr w:rsidR="00846ACC" w:rsidRPr="004974C0" w14:paraId="5AE5E55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40C118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5.2. POMOĆ IZ FONDA ZA ZAŠTITU OKOLIŠA</w:t>
            </w:r>
          </w:p>
        </w:tc>
        <w:tc>
          <w:tcPr>
            <w:tcW w:w="1984" w:type="dxa"/>
            <w:tcBorders>
              <w:top w:val="nil"/>
              <w:left w:val="nil"/>
              <w:bottom w:val="single" w:sz="4" w:space="0" w:color="auto"/>
              <w:right w:val="single" w:sz="4" w:space="0" w:color="auto"/>
            </w:tcBorders>
            <w:shd w:val="clear" w:color="000000" w:fill="FFFF99"/>
            <w:noWrap/>
            <w:vAlign w:val="bottom"/>
            <w:hideMark/>
          </w:tcPr>
          <w:p w14:paraId="1E0A3E2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9FFB95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9.500,00</w:t>
            </w:r>
          </w:p>
        </w:tc>
        <w:tc>
          <w:tcPr>
            <w:tcW w:w="1843" w:type="dxa"/>
            <w:tcBorders>
              <w:top w:val="nil"/>
              <w:left w:val="nil"/>
              <w:bottom w:val="single" w:sz="4" w:space="0" w:color="auto"/>
              <w:right w:val="single" w:sz="4" w:space="0" w:color="auto"/>
            </w:tcBorders>
            <w:shd w:val="clear" w:color="000000" w:fill="FFFF99"/>
            <w:noWrap/>
            <w:vAlign w:val="bottom"/>
            <w:hideMark/>
          </w:tcPr>
          <w:p w14:paraId="3275D72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6DCCEFB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6A15A19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9.500,00</w:t>
            </w:r>
          </w:p>
        </w:tc>
      </w:tr>
      <w:tr w:rsidR="00846ACC" w:rsidRPr="004974C0" w14:paraId="60630D1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09D1F1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66BF7ED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5B70E54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9.500,00</w:t>
            </w:r>
          </w:p>
        </w:tc>
        <w:tc>
          <w:tcPr>
            <w:tcW w:w="1843" w:type="dxa"/>
            <w:tcBorders>
              <w:top w:val="nil"/>
              <w:left w:val="nil"/>
              <w:bottom w:val="single" w:sz="4" w:space="0" w:color="auto"/>
              <w:right w:val="single" w:sz="4" w:space="0" w:color="auto"/>
            </w:tcBorders>
            <w:shd w:val="clear" w:color="auto" w:fill="auto"/>
            <w:noWrap/>
            <w:vAlign w:val="bottom"/>
            <w:hideMark/>
          </w:tcPr>
          <w:p w14:paraId="1517B37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94D000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A06C29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9.500,00</w:t>
            </w:r>
          </w:p>
        </w:tc>
      </w:tr>
      <w:tr w:rsidR="00846ACC" w:rsidRPr="004974C0" w14:paraId="276144B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2FA1215"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5E948A97"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0395B05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9.500,00</w:t>
            </w:r>
          </w:p>
        </w:tc>
        <w:tc>
          <w:tcPr>
            <w:tcW w:w="1843" w:type="dxa"/>
            <w:tcBorders>
              <w:top w:val="nil"/>
              <w:left w:val="nil"/>
              <w:bottom w:val="single" w:sz="4" w:space="0" w:color="auto"/>
              <w:right w:val="single" w:sz="4" w:space="0" w:color="auto"/>
            </w:tcBorders>
            <w:shd w:val="clear" w:color="auto" w:fill="auto"/>
            <w:noWrap/>
            <w:vAlign w:val="bottom"/>
            <w:hideMark/>
          </w:tcPr>
          <w:p w14:paraId="209A487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9DA5DF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954703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9.500,00</w:t>
            </w:r>
          </w:p>
        </w:tc>
      </w:tr>
      <w:tr w:rsidR="00846ACC" w:rsidRPr="004974C0" w14:paraId="1DBDB21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995374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7.1. 7.PRIHODI OD NEFINANCIJSKE IMOVINE</w:t>
            </w:r>
          </w:p>
        </w:tc>
        <w:tc>
          <w:tcPr>
            <w:tcW w:w="1984" w:type="dxa"/>
            <w:tcBorders>
              <w:top w:val="nil"/>
              <w:left w:val="nil"/>
              <w:bottom w:val="single" w:sz="4" w:space="0" w:color="auto"/>
              <w:right w:val="single" w:sz="4" w:space="0" w:color="auto"/>
            </w:tcBorders>
            <w:shd w:val="clear" w:color="000000" w:fill="FFFF99"/>
            <w:noWrap/>
            <w:vAlign w:val="bottom"/>
            <w:hideMark/>
          </w:tcPr>
          <w:p w14:paraId="4C769E1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D9BEFD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24.000,00</w:t>
            </w:r>
          </w:p>
        </w:tc>
        <w:tc>
          <w:tcPr>
            <w:tcW w:w="1843" w:type="dxa"/>
            <w:tcBorders>
              <w:top w:val="nil"/>
              <w:left w:val="nil"/>
              <w:bottom w:val="single" w:sz="4" w:space="0" w:color="auto"/>
              <w:right w:val="single" w:sz="4" w:space="0" w:color="auto"/>
            </w:tcBorders>
            <w:shd w:val="clear" w:color="000000" w:fill="FFFF99"/>
            <w:noWrap/>
            <w:vAlign w:val="bottom"/>
            <w:hideMark/>
          </w:tcPr>
          <w:p w14:paraId="624DAF6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594ECC3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3EFD7D5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24.000,00</w:t>
            </w:r>
          </w:p>
        </w:tc>
      </w:tr>
      <w:tr w:rsidR="00846ACC" w:rsidRPr="004974C0" w14:paraId="7D00233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1660D8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1320A59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667E682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24.000,00</w:t>
            </w:r>
          </w:p>
        </w:tc>
        <w:tc>
          <w:tcPr>
            <w:tcW w:w="1843" w:type="dxa"/>
            <w:tcBorders>
              <w:top w:val="nil"/>
              <w:left w:val="nil"/>
              <w:bottom w:val="single" w:sz="4" w:space="0" w:color="auto"/>
              <w:right w:val="single" w:sz="4" w:space="0" w:color="auto"/>
            </w:tcBorders>
            <w:shd w:val="clear" w:color="auto" w:fill="auto"/>
            <w:noWrap/>
            <w:vAlign w:val="bottom"/>
            <w:hideMark/>
          </w:tcPr>
          <w:p w14:paraId="1A6D89A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7460F4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5C4E13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24.000,00</w:t>
            </w:r>
          </w:p>
        </w:tc>
      </w:tr>
      <w:tr w:rsidR="00846ACC" w:rsidRPr="004974C0" w14:paraId="008F8CE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954C078"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13685EE3"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260CF32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24.000,00</w:t>
            </w:r>
          </w:p>
        </w:tc>
        <w:tc>
          <w:tcPr>
            <w:tcW w:w="1843" w:type="dxa"/>
            <w:tcBorders>
              <w:top w:val="nil"/>
              <w:left w:val="nil"/>
              <w:bottom w:val="single" w:sz="4" w:space="0" w:color="auto"/>
              <w:right w:val="single" w:sz="4" w:space="0" w:color="auto"/>
            </w:tcBorders>
            <w:shd w:val="clear" w:color="auto" w:fill="auto"/>
            <w:noWrap/>
            <w:vAlign w:val="bottom"/>
            <w:hideMark/>
          </w:tcPr>
          <w:p w14:paraId="59D8B39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96FCB2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0D182B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24.000,00</w:t>
            </w:r>
          </w:p>
        </w:tc>
      </w:tr>
      <w:tr w:rsidR="00846ACC" w:rsidRPr="004974C0" w14:paraId="5B3B0EB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1E1C5FA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Kapitalni projekt K100002 E-grad</w:t>
            </w:r>
          </w:p>
        </w:tc>
        <w:tc>
          <w:tcPr>
            <w:tcW w:w="1984" w:type="dxa"/>
            <w:tcBorders>
              <w:top w:val="nil"/>
              <w:left w:val="nil"/>
              <w:bottom w:val="single" w:sz="4" w:space="0" w:color="auto"/>
              <w:right w:val="single" w:sz="4" w:space="0" w:color="auto"/>
            </w:tcBorders>
            <w:shd w:val="clear" w:color="000000" w:fill="CCCCFF"/>
            <w:noWrap/>
            <w:vAlign w:val="bottom"/>
            <w:hideMark/>
          </w:tcPr>
          <w:p w14:paraId="418DFBF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7F090F8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w:t>
            </w:r>
          </w:p>
        </w:tc>
        <w:tc>
          <w:tcPr>
            <w:tcW w:w="1843" w:type="dxa"/>
            <w:tcBorders>
              <w:top w:val="nil"/>
              <w:left w:val="nil"/>
              <w:bottom w:val="single" w:sz="4" w:space="0" w:color="auto"/>
              <w:right w:val="single" w:sz="4" w:space="0" w:color="auto"/>
            </w:tcBorders>
            <w:shd w:val="clear" w:color="000000" w:fill="CCCCFF"/>
            <w:noWrap/>
            <w:vAlign w:val="bottom"/>
            <w:hideMark/>
          </w:tcPr>
          <w:p w14:paraId="19A6BFA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2D1380A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603B3A5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w:t>
            </w:r>
          </w:p>
        </w:tc>
      </w:tr>
      <w:tr w:rsidR="00846ACC" w:rsidRPr="004974C0" w14:paraId="674D3F1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03B0C29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2F2636E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816300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w:t>
            </w:r>
          </w:p>
        </w:tc>
        <w:tc>
          <w:tcPr>
            <w:tcW w:w="1843" w:type="dxa"/>
            <w:tcBorders>
              <w:top w:val="nil"/>
              <w:left w:val="nil"/>
              <w:bottom w:val="single" w:sz="4" w:space="0" w:color="auto"/>
              <w:right w:val="single" w:sz="4" w:space="0" w:color="auto"/>
            </w:tcBorders>
            <w:shd w:val="clear" w:color="000000" w:fill="FFFF99"/>
            <w:noWrap/>
            <w:vAlign w:val="bottom"/>
            <w:hideMark/>
          </w:tcPr>
          <w:p w14:paraId="363CBDF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5351065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666C643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w:t>
            </w:r>
          </w:p>
        </w:tc>
      </w:tr>
      <w:tr w:rsidR="00846ACC" w:rsidRPr="004974C0" w14:paraId="3A4DE0B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97A162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7BB14E0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C0B5DA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2.500,00</w:t>
            </w:r>
          </w:p>
        </w:tc>
        <w:tc>
          <w:tcPr>
            <w:tcW w:w="1843" w:type="dxa"/>
            <w:tcBorders>
              <w:top w:val="nil"/>
              <w:left w:val="nil"/>
              <w:bottom w:val="single" w:sz="4" w:space="0" w:color="auto"/>
              <w:right w:val="single" w:sz="4" w:space="0" w:color="auto"/>
            </w:tcBorders>
            <w:shd w:val="clear" w:color="auto" w:fill="auto"/>
            <w:noWrap/>
            <w:vAlign w:val="bottom"/>
            <w:hideMark/>
          </w:tcPr>
          <w:p w14:paraId="3B1493E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F7BD72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CF97D6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2.500,00</w:t>
            </w:r>
          </w:p>
        </w:tc>
      </w:tr>
      <w:tr w:rsidR="00846ACC" w:rsidRPr="004974C0" w14:paraId="04CAC88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8B3B58F" w14:textId="77777777" w:rsidR="004974C0" w:rsidRPr="004974C0" w:rsidRDefault="004974C0" w:rsidP="004974C0">
            <w:pPr>
              <w:rPr>
                <w:rFonts w:ascii="Arial" w:hAnsi="Arial" w:cs="Arial"/>
                <w:sz w:val="20"/>
                <w:szCs w:val="20"/>
              </w:rPr>
            </w:pPr>
            <w:r w:rsidRPr="004974C0">
              <w:rPr>
                <w:rFonts w:ascii="Arial" w:hAnsi="Arial" w:cs="Arial"/>
                <w:sz w:val="20"/>
                <w:szCs w:val="20"/>
              </w:rPr>
              <w:t>38</w:t>
            </w:r>
          </w:p>
        </w:tc>
        <w:tc>
          <w:tcPr>
            <w:tcW w:w="1984" w:type="dxa"/>
            <w:tcBorders>
              <w:top w:val="nil"/>
              <w:left w:val="nil"/>
              <w:bottom w:val="single" w:sz="4" w:space="0" w:color="auto"/>
              <w:right w:val="single" w:sz="4" w:space="0" w:color="auto"/>
            </w:tcBorders>
            <w:shd w:val="clear" w:color="auto" w:fill="auto"/>
            <w:noWrap/>
            <w:vAlign w:val="bottom"/>
            <w:hideMark/>
          </w:tcPr>
          <w:p w14:paraId="0149154E"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donacije, kazne, naknade šteta i kapitalne pomoći</w:t>
            </w:r>
          </w:p>
        </w:tc>
        <w:tc>
          <w:tcPr>
            <w:tcW w:w="1843" w:type="dxa"/>
            <w:tcBorders>
              <w:top w:val="nil"/>
              <w:left w:val="nil"/>
              <w:bottom w:val="single" w:sz="4" w:space="0" w:color="auto"/>
              <w:right w:val="single" w:sz="4" w:space="0" w:color="auto"/>
            </w:tcBorders>
            <w:shd w:val="clear" w:color="auto" w:fill="auto"/>
            <w:noWrap/>
            <w:vAlign w:val="bottom"/>
            <w:hideMark/>
          </w:tcPr>
          <w:p w14:paraId="6BC3097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2.500,00</w:t>
            </w:r>
          </w:p>
        </w:tc>
        <w:tc>
          <w:tcPr>
            <w:tcW w:w="1843" w:type="dxa"/>
            <w:tcBorders>
              <w:top w:val="nil"/>
              <w:left w:val="nil"/>
              <w:bottom w:val="single" w:sz="4" w:space="0" w:color="auto"/>
              <w:right w:val="single" w:sz="4" w:space="0" w:color="auto"/>
            </w:tcBorders>
            <w:shd w:val="clear" w:color="auto" w:fill="auto"/>
            <w:noWrap/>
            <w:vAlign w:val="bottom"/>
            <w:hideMark/>
          </w:tcPr>
          <w:p w14:paraId="344EA93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8BE94F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264EC5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2.500,00</w:t>
            </w:r>
          </w:p>
        </w:tc>
      </w:tr>
      <w:tr w:rsidR="00846ACC" w:rsidRPr="004974C0" w14:paraId="2ADBFFD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727C9CF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1002 Mjesna samouprava</w:t>
            </w:r>
          </w:p>
        </w:tc>
        <w:tc>
          <w:tcPr>
            <w:tcW w:w="1984" w:type="dxa"/>
            <w:tcBorders>
              <w:top w:val="nil"/>
              <w:left w:val="nil"/>
              <w:bottom w:val="single" w:sz="4" w:space="0" w:color="auto"/>
              <w:right w:val="single" w:sz="4" w:space="0" w:color="auto"/>
            </w:tcBorders>
            <w:shd w:val="clear" w:color="000000" w:fill="9999FF"/>
            <w:noWrap/>
            <w:vAlign w:val="bottom"/>
            <w:hideMark/>
          </w:tcPr>
          <w:p w14:paraId="319F98F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52BBE35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4.900,00</w:t>
            </w:r>
          </w:p>
        </w:tc>
        <w:tc>
          <w:tcPr>
            <w:tcW w:w="1843" w:type="dxa"/>
            <w:tcBorders>
              <w:top w:val="nil"/>
              <w:left w:val="nil"/>
              <w:bottom w:val="single" w:sz="4" w:space="0" w:color="auto"/>
              <w:right w:val="single" w:sz="4" w:space="0" w:color="auto"/>
            </w:tcBorders>
            <w:shd w:val="clear" w:color="000000" w:fill="9999FF"/>
            <w:noWrap/>
            <w:vAlign w:val="bottom"/>
            <w:hideMark/>
          </w:tcPr>
          <w:p w14:paraId="0D0E6A5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9999FF"/>
            <w:noWrap/>
            <w:vAlign w:val="bottom"/>
            <w:hideMark/>
          </w:tcPr>
          <w:p w14:paraId="7D1323C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9999FF"/>
            <w:noWrap/>
            <w:vAlign w:val="bottom"/>
            <w:hideMark/>
          </w:tcPr>
          <w:p w14:paraId="624FCF9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4.900,00</w:t>
            </w:r>
          </w:p>
        </w:tc>
      </w:tr>
      <w:tr w:rsidR="00846ACC" w:rsidRPr="004974C0" w14:paraId="4CF2189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54F1C99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Aktivnost A100001 Financiranje mjesnog odbora Gornji Labin</w:t>
            </w:r>
          </w:p>
        </w:tc>
        <w:tc>
          <w:tcPr>
            <w:tcW w:w="1984" w:type="dxa"/>
            <w:tcBorders>
              <w:top w:val="nil"/>
              <w:left w:val="nil"/>
              <w:bottom w:val="single" w:sz="4" w:space="0" w:color="auto"/>
              <w:right w:val="single" w:sz="4" w:space="0" w:color="auto"/>
            </w:tcBorders>
            <w:shd w:val="clear" w:color="000000" w:fill="CCCCFF"/>
            <w:noWrap/>
            <w:vAlign w:val="bottom"/>
            <w:hideMark/>
          </w:tcPr>
          <w:p w14:paraId="5ACFAFC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C980E4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c>
          <w:tcPr>
            <w:tcW w:w="1843" w:type="dxa"/>
            <w:tcBorders>
              <w:top w:val="nil"/>
              <w:left w:val="nil"/>
              <w:bottom w:val="single" w:sz="4" w:space="0" w:color="auto"/>
              <w:right w:val="single" w:sz="4" w:space="0" w:color="auto"/>
            </w:tcBorders>
            <w:shd w:val="clear" w:color="000000" w:fill="CCCCFF"/>
            <w:noWrap/>
            <w:vAlign w:val="bottom"/>
            <w:hideMark/>
          </w:tcPr>
          <w:p w14:paraId="2069C77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1514EC5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5EBB27C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r>
      <w:tr w:rsidR="00846ACC" w:rsidRPr="004974C0" w14:paraId="09E2417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EA753F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744E150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288D08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c>
          <w:tcPr>
            <w:tcW w:w="1843" w:type="dxa"/>
            <w:tcBorders>
              <w:top w:val="nil"/>
              <w:left w:val="nil"/>
              <w:bottom w:val="single" w:sz="4" w:space="0" w:color="auto"/>
              <w:right w:val="single" w:sz="4" w:space="0" w:color="auto"/>
            </w:tcBorders>
            <w:shd w:val="clear" w:color="000000" w:fill="FFFF99"/>
            <w:noWrap/>
            <w:vAlign w:val="bottom"/>
            <w:hideMark/>
          </w:tcPr>
          <w:p w14:paraId="05B5C7E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29C2CD8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31544B8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r>
      <w:tr w:rsidR="00846ACC" w:rsidRPr="004974C0" w14:paraId="0353AD5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7F5B69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86A823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9125D2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w:t>
            </w:r>
          </w:p>
        </w:tc>
        <w:tc>
          <w:tcPr>
            <w:tcW w:w="1843" w:type="dxa"/>
            <w:tcBorders>
              <w:top w:val="nil"/>
              <w:left w:val="nil"/>
              <w:bottom w:val="single" w:sz="4" w:space="0" w:color="auto"/>
              <w:right w:val="single" w:sz="4" w:space="0" w:color="auto"/>
            </w:tcBorders>
            <w:shd w:val="clear" w:color="auto" w:fill="auto"/>
            <w:noWrap/>
            <w:vAlign w:val="bottom"/>
            <w:hideMark/>
          </w:tcPr>
          <w:p w14:paraId="008BC37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CD54A4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D8E335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w:t>
            </w:r>
          </w:p>
        </w:tc>
      </w:tr>
      <w:tr w:rsidR="00846ACC" w:rsidRPr="004974C0" w14:paraId="2F1DA9A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C2E9F7A"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63A8EB3B"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255141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w:t>
            </w:r>
          </w:p>
        </w:tc>
        <w:tc>
          <w:tcPr>
            <w:tcW w:w="1843" w:type="dxa"/>
            <w:tcBorders>
              <w:top w:val="nil"/>
              <w:left w:val="nil"/>
              <w:bottom w:val="single" w:sz="4" w:space="0" w:color="auto"/>
              <w:right w:val="single" w:sz="4" w:space="0" w:color="auto"/>
            </w:tcBorders>
            <w:shd w:val="clear" w:color="auto" w:fill="auto"/>
            <w:noWrap/>
            <w:vAlign w:val="bottom"/>
            <w:hideMark/>
          </w:tcPr>
          <w:p w14:paraId="74F0B88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1E31A4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073375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w:t>
            </w:r>
          </w:p>
        </w:tc>
      </w:tr>
      <w:tr w:rsidR="00846ACC" w:rsidRPr="004974C0" w14:paraId="4653C66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002C20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xml:space="preserve">Aktivnost A100002 Financiranje mjesnog odbora </w:t>
            </w:r>
            <w:proofErr w:type="spellStart"/>
            <w:r w:rsidRPr="004974C0">
              <w:rPr>
                <w:rFonts w:ascii="Arial" w:hAnsi="Arial" w:cs="Arial"/>
                <w:b/>
                <w:bCs/>
                <w:color w:val="000000"/>
                <w:sz w:val="20"/>
                <w:szCs w:val="20"/>
              </w:rPr>
              <w:t>Vinež</w:t>
            </w:r>
            <w:proofErr w:type="spellEnd"/>
          </w:p>
        </w:tc>
        <w:tc>
          <w:tcPr>
            <w:tcW w:w="1984" w:type="dxa"/>
            <w:tcBorders>
              <w:top w:val="nil"/>
              <w:left w:val="nil"/>
              <w:bottom w:val="single" w:sz="4" w:space="0" w:color="auto"/>
              <w:right w:val="single" w:sz="4" w:space="0" w:color="auto"/>
            </w:tcBorders>
            <w:shd w:val="clear" w:color="000000" w:fill="CCCCFF"/>
            <w:noWrap/>
            <w:vAlign w:val="bottom"/>
            <w:hideMark/>
          </w:tcPr>
          <w:p w14:paraId="24DAC6F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780F903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c>
          <w:tcPr>
            <w:tcW w:w="1843" w:type="dxa"/>
            <w:tcBorders>
              <w:top w:val="nil"/>
              <w:left w:val="nil"/>
              <w:bottom w:val="single" w:sz="4" w:space="0" w:color="auto"/>
              <w:right w:val="single" w:sz="4" w:space="0" w:color="auto"/>
            </w:tcBorders>
            <w:shd w:val="clear" w:color="000000" w:fill="CCCCFF"/>
            <w:noWrap/>
            <w:vAlign w:val="bottom"/>
            <w:hideMark/>
          </w:tcPr>
          <w:p w14:paraId="081CD82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559C934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72C9E49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r>
      <w:tr w:rsidR="00846ACC" w:rsidRPr="004974C0" w14:paraId="35FCBB4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6F045C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1AB09DC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4A1E2F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c>
          <w:tcPr>
            <w:tcW w:w="1843" w:type="dxa"/>
            <w:tcBorders>
              <w:top w:val="nil"/>
              <w:left w:val="nil"/>
              <w:bottom w:val="single" w:sz="4" w:space="0" w:color="auto"/>
              <w:right w:val="single" w:sz="4" w:space="0" w:color="auto"/>
            </w:tcBorders>
            <w:shd w:val="clear" w:color="000000" w:fill="FFFF99"/>
            <w:noWrap/>
            <w:vAlign w:val="bottom"/>
            <w:hideMark/>
          </w:tcPr>
          <w:p w14:paraId="518DDBE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4A3903A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084E115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r>
      <w:tr w:rsidR="00846ACC" w:rsidRPr="004974C0" w14:paraId="0F4CCD7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BA9903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730EB71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1692EC2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w:t>
            </w:r>
          </w:p>
        </w:tc>
        <w:tc>
          <w:tcPr>
            <w:tcW w:w="1843" w:type="dxa"/>
            <w:tcBorders>
              <w:top w:val="nil"/>
              <w:left w:val="nil"/>
              <w:bottom w:val="single" w:sz="4" w:space="0" w:color="auto"/>
              <w:right w:val="single" w:sz="4" w:space="0" w:color="auto"/>
            </w:tcBorders>
            <w:shd w:val="clear" w:color="auto" w:fill="auto"/>
            <w:noWrap/>
            <w:vAlign w:val="bottom"/>
            <w:hideMark/>
          </w:tcPr>
          <w:p w14:paraId="1D79BB1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20AC93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2D6A38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w:t>
            </w:r>
          </w:p>
        </w:tc>
      </w:tr>
      <w:tr w:rsidR="00846ACC" w:rsidRPr="004974C0" w14:paraId="41C85D4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071EF2C"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7DF12846"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7A2F59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w:t>
            </w:r>
          </w:p>
        </w:tc>
        <w:tc>
          <w:tcPr>
            <w:tcW w:w="1843" w:type="dxa"/>
            <w:tcBorders>
              <w:top w:val="nil"/>
              <w:left w:val="nil"/>
              <w:bottom w:val="single" w:sz="4" w:space="0" w:color="auto"/>
              <w:right w:val="single" w:sz="4" w:space="0" w:color="auto"/>
            </w:tcBorders>
            <w:shd w:val="clear" w:color="auto" w:fill="auto"/>
            <w:noWrap/>
            <w:vAlign w:val="bottom"/>
            <w:hideMark/>
          </w:tcPr>
          <w:p w14:paraId="31B4C54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F00EE5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1C4464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w:t>
            </w:r>
          </w:p>
        </w:tc>
      </w:tr>
      <w:tr w:rsidR="00846ACC" w:rsidRPr="004974C0" w14:paraId="59145F8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3EAEED3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xml:space="preserve">Aktivnost A100003 Financiranje mjesnog odbora </w:t>
            </w:r>
            <w:proofErr w:type="spellStart"/>
            <w:r w:rsidRPr="004974C0">
              <w:rPr>
                <w:rFonts w:ascii="Arial" w:hAnsi="Arial" w:cs="Arial"/>
                <w:b/>
                <w:bCs/>
                <w:color w:val="000000"/>
                <w:sz w:val="20"/>
                <w:szCs w:val="20"/>
              </w:rPr>
              <w:t>Kature</w:t>
            </w:r>
            <w:proofErr w:type="spellEnd"/>
          </w:p>
        </w:tc>
        <w:tc>
          <w:tcPr>
            <w:tcW w:w="1984" w:type="dxa"/>
            <w:tcBorders>
              <w:top w:val="nil"/>
              <w:left w:val="nil"/>
              <w:bottom w:val="single" w:sz="4" w:space="0" w:color="auto"/>
              <w:right w:val="single" w:sz="4" w:space="0" w:color="auto"/>
            </w:tcBorders>
            <w:shd w:val="clear" w:color="000000" w:fill="CCCCFF"/>
            <w:noWrap/>
            <w:vAlign w:val="bottom"/>
            <w:hideMark/>
          </w:tcPr>
          <w:p w14:paraId="57D040C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B53248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c>
          <w:tcPr>
            <w:tcW w:w="1843" w:type="dxa"/>
            <w:tcBorders>
              <w:top w:val="nil"/>
              <w:left w:val="nil"/>
              <w:bottom w:val="single" w:sz="4" w:space="0" w:color="auto"/>
              <w:right w:val="single" w:sz="4" w:space="0" w:color="auto"/>
            </w:tcBorders>
            <w:shd w:val="clear" w:color="000000" w:fill="CCCCFF"/>
            <w:noWrap/>
            <w:vAlign w:val="bottom"/>
            <w:hideMark/>
          </w:tcPr>
          <w:p w14:paraId="6FAC6AD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448C7FD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5D10658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r>
      <w:tr w:rsidR="00846ACC" w:rsidRPr="004974C0" w14:paraId="4782E06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DA2D78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6B33231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3D538E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c>
          <w:tcPr>
            <w:tcW w:w="1843" w:type="dxa"/>
            <w:tcBorders>
              <w:top w:val="nil"/>
              <w:left w:val="nil"/>
              <w:bottom w:val="single" w:sz="4" w:space="0" w:color="auto"/>
              <w:right w:val="single" w:sz="4" w:space="0" w:color="auto"/>
            </w:tcBorders>
            <w:shd w:val="clear" w:color="000000" w:fill="FFFF99"/>
            <w:noWrap/>
            <w:vAlign w:val="bottom"/>
            <w:hideMark/>
          </w:tcPr>
          <w:p w14:paraId="45F4441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46E5083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B78E1F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r>
      <w:tr w:rsidR="00846ACC" w:rsidRPr="004974C0" w14:paraId="7F15C23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2E8D24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8D79A0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23BD24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w:t>
            </w:r>
          </w:p>
        </w:tc>
        <w:tc>
          <w:tcPr>
            <w:tcW w:w="1843" w:type="dxa"/>
            <w:tcBorders>
              <w:top w:val="nil"/>
              <w:left w:val="nil"/>
              <w:bottom w:val="single" w:sz="4" w:space="0" w:color="auto"/>
              <w:right w:val="single" w:sz="4" w:space="0" w:color="auto"/>
            </w:tcBorders>
            <w:shd w:val="clear" w:color="auto" w:fill="auto"/>
            <w:noWrap/>
            <w:vAlign w:val="bottom"/>
            <w:hideMark/>
          </w:tcPr>
          <w:p w14:paraId="0BFF14A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3C85E9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8E11CA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w:t>
            </w:r>
          </w:p>
        </w:tc>
      </w:tr>
      <w:tr w:rsidR="00846ACC" w:rsidRPr="004974C0" w14:paraId="19CEEB9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0C84F4A"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F9669E1"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868A5B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w:t>
            </w:r>
          </w:p>
        </w:tc>
        <w:tc>
          <w:tcPr>
            <w:tcW w:w="1843" w:type="dxa"/>
            <w:tcBorders>
              <w:top w:val="nil"/>
              <w:left w:val="nil"/>
              <w:bottom w:val="single" w:sz="4" w:space="0" w:color="auto"/>
              <w:right w:val="single" w:sz="4" w:space="0" w:color="auto"/>
            </w:tcBorders>
            <w:shd w:val="clear" w:color="auto" w:fill="auto"/>
            <w:noWrap/>
            <w:vAlign w:val="bottom"/>
            <w:hideMark/>
          </w:tcPr>
          <w:p w14:paraId="11AA660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11955D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3FFDD0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w:t>
            </w:r>
          </w:p>
        </w:tc>
      </w:tr>
      <w:tr w:rsidR="00846ACC" w:rsidRPr="004974C0" w14:paraId="73760EF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3230295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xml:space="preserve">Aktivnost A100004 Financiranje mjesnog odbora </w:t>
            </w:r>
            <w:proofErr w:type="spellStart"/>
            <w:r w:rsidRPr="004974C0">
              <w:rPr>
                <w:rFonts w:ascii="Arial" w:hAnsi="Arial" w:cs="Arial"/>
                <w:b/>
                <w:bCs/>
                <w:color w:val="000000"/>
                <w:sz w:val="20"/>
                <w:szCs w:val="20"/>
              </w:rPr>
              <w:t>Ripenda</w:t>
            </w:r>
            <w:proofErr w:type="spellEnd"/>
          </w:p>
        </w:tc>
        <w:tc>
          <w:tcPr>
            <w:tcW w:w="1984" w:type="dxa"/>
            <w:tcBorders>
              <w:top w:val="nil"/>
              <w:left w:val="nil"/>
              <w:bottom w:val="single" w:sz="4" w:space="0" w:color="auto"/>
              <w:right w:val="single" w:sz="4" w:space="0" w:color="auto"/>
            </w:tcBorders>
            <w:shd w:val="clear" w:color="000000" w:fill="CCCCFF"/>
            <w:noWrap/>
            <w:vAlign w:val="bottom"/>
            <w:hideMark/>
          </w:tcPr>
          <w:p w14:paraId="7CADC3C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313C310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c>
          <w:tcPr>
            <w:tcW w:w="1843" w:type="dxa"/>
            <w:tcBorders>
              <w:top w:val="nil"/>
              <w:left w:val="nil"/>
              <w:bottom w:val="single" w:sz="4" w:space="0" w:color="auto"/>
              <w:right w:val="single" w:sz="4" w:space="0" w:color="auto"/>
            </w:tcBorders>
            <w:shd w:val="clear" w:color="000000" w:fill="CCCCFF"/>
            <w:noWrap/>
            <w:vAlign w:val="bottom"/>
            <w:hideMark/>
          </w:tcPr>
          <w:p w14:paraId="6D310ED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0E13244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0F63671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r>
      <w:tr w:rsidR="00846ACC" w:rsidRPr="004974C0" w14:paraId="1824710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3298D2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3C19B0A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09B683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c>
          <w:tcPr>
            <w:tcW w:w="1843" w:type="dxa"/>
            <w:tcBorders>
              <w:top w:val="nil"/>
              <w:left w:val="nil"/>
              <w:bottom w:val="single" w:sz="4" w:space="0" w:color="auto"/>
              <w:right w:val="single" w:sz="4" w:space="0" w:color="auto"/>
            </w:tcBorders>
            <w:shd w:val="clear" w:color="000000" w:fill="FFFF99"/>
            <w:noWrap/>
            <w:vAlign w:val="bottom"/>
            <w:hideMark/>
          </w:tcPr>
          <w:p w14:paraId="24FAB70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414BD98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15E548B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r>
      <w:tr w:rsidR="00846ACC" w:rsidRPr="004974C0" w14:paraId="0152F79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911B2E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708FDB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EFA3F5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w:t>
            </w:r>
          </w:p>
        </w:tc>
        <w:tc>
          <w:tcPr>
            <w:tcW w:w="1843" w:type="dxa"/>
            <w:tcBorders>
              <w:top w:val="nil"/>
              <w:left w:val="nil"/>
              <w:bottom w:val="single" w:sz="4" w:space="0" w:color="auto"/>
              <w:right w:val="single" w:sz="4" w:space="0" w:color="auto"/>
            </w:tcBorders>
            <w:shd w:val="clear" w:color="auto" w:fill="auto"/>
            <w:noWrap/>
            <w:vAlign w:val="bottom"/>
            <w:hideMark/>
          </w:tcPr>
          <w:p w14:paraId="215D52C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43DC2D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069439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w:t>
            </w:r>
          </w:p>
        </w:tc>
      </w:tr>
      <w:tr w:rsidR="00846ACC" w:rsidRPr="004974C0" w14:paraId="328DD18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6F1E9E5"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69A6E84E"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32AF62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w:t>
            </w:r>
          </w:p>
        </w:tc>
        <w:tc>
          <w:tcPr>
            <w:tcW w:w="1843" w:type="dxa"/>
            <w:tcBorders>
              <w:top w:val="nil"/>
              <w:left w:val="nil"/>
              <w:bottom w:val="single" w:sz="4" w:space="0" w:color="auto"/>
              <w:right w:val="single" w:sz="4" w:space="0" w:color="auto"/>
            </w:tcBorders>
            <w:shd w:val="clear" w:color="auto" w:fill="auto"/>
            <w:noWrap/>
            <w:vAlign w:val="bottom"/>
            <w:hideMark/>
          </w:tcPr>
          <w:p w14:paraId="62319BF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43856B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063DFC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w:t>
            </w:r>
          </w:p>
        </w:tc>
      </w:tr>
      <w:tr w:rsidR="00846ACC" w:rsidRPr="004974C0" w14:paraId="65DC418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5AD07C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A100005 Financiranje mjesnog odbora Rabac</w:t>
            </w:r>
          </w:p>
        </w:tc>
        <w:tc>
          <w:tcPr>
            <w:tcW w:w="1984" w:type="dxa"/>
            <w:tcBorders>
              <w:top w:val="nil"/>
              <w:left w:val="nil"/>
              <w:bottom w:val="single" w:sz="4" w:space="0" w:color="auto"/>
              <w:right w:val="single" w:sz="4" w:space="0" w:color="auto"/>
            </w:tcBorders>
            <w:shd w:val="clear" w:color="000000" w:fill="CCCCFF"/>
            <w:noWrap/>
            <w:vAlign w:val="bottom"/>
            <w:hideMark/>
          </w:tcPr>
          <w:p w14:paraId="5A0F68C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1C33893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c>
          <w:tcPr>
            <w:tcW w:w="1843" w:type="dxa"/>
            <w:tcBorders>
              <w:top w:val="nil"/>
              <w:left w:val="nil"/>
              <w:bottom w:val="single" w:sz="4" w:space="0" w:color="auto"/>
              <w:right w:val="single" w:sz="4" w:space="0" w:color="auto"/>
            </w:tcBorders>
            <w:shd w:val="clear" w:color="000000" w:fill="CCCCFF"/>
            <w:noWrap/>
            <w:vAlign w:val="bottom"/>
            <w:hideMark/>
          </w:tcPr>
          <w:p w14:paraId="0022C9B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51A010D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04B3193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r>
      <w:tr w:rsidR="00846ACC" w:rsidRPr="004974C0" w14:paraId="2573EFC0"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DCAC85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777555F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B70288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c>
          <w:tcPr>
            <w:tcW w:w="1843" w:type="dxa"/>
            <w:tcBorders>
              <w:top w:val="nil"/>
              <w:left w:val="nil"/>
              <w:bottom w:val="single" w:sz="4" w:space="0" w:color="auto"/>
              <w:right w:val="single" w:sz="4" w:space="0" w:color="auto"/>
            </w:tcBorders>
            <w:shd w:val="clear" w:color="000000" w:fill="FFFF99"/>
            <w:noWrap/>
            <w:vAlign w:val="bottom"/>
            <w:hideMark/>
          </w:tcPr>
          <w:p w14:paraId="48CF41E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5220B8D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4C604CE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r>
      <w:tr w:rsidR="00846ACC" w:rsidRPr="004974C0" w14:paraId="482E083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BC14F7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7211B92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CFA01C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w:t>
            </w:r>
          </w:p>
        </w:tc>
        <w:tc>
          <w:tcPr>
            <w:tcW w:w="1843" w:type="dxa"/>
            <w:tcBorders>
              <w:top w:val="nil"/>
              <w:left w:val="nil"/>
              <w:bottom w:val="single" w:sz="4" w:space="0" w:color="auto"/>
              <w:right w:val="single" w:sz="4" w:space="0" w:color="auto"/>
            </w:tcBorders>
            <w:shd w:val="clear" w:color="auto" w:fill="auto"/>
            <w:noWrap/>
            <w:vAlign w:val="bottom"/>
            <w:hideMark/>
          </w:tcPr>
          <w:p w14:paraId="0E23616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E5C56A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77615C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w:t>
            </w:r>
          </w:p>
        </w:tc>
      </w:tr>
      <w:tr w:rsidR="00846ACC" w:rsidRPr="004974C0" w14:paraId="52348DF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8FD5A01"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A72AB29"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C1D12B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w:t>
            </w:r>
          </w:p>
        </w:tc>
        <w:tc>
          <w:tcPr>
            <w:tcW w:w="1843" w:type="dxa"/>
            <w:tcBorders>
              <w:top w:val="nil"/>
              <w:left w:val="nil"/>
              <w:bottom w:val="single" w:sz="4" w:space="0" w:color="auto"/>
              <w:right w:val="single" w:sz="4" w:space="0" w:color="auto"/>
            </w:tcBorders>
            <w:shd w:val="clear" w:color="auto" w:fill="auto"/>
            <w:noWrap/>
            <w:vAlign w:val="bottom"/>
            <w:hideMark/>
          </w:tcPr>
          <w:p w14:paraId="4263F9F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079E38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F1BA27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w:t>
            </w:r>
          </w:p>
        </w:tc>
      </w:tr>
      <w:tr w:rsidR="00846ACC" w:rsidRPr="004974C0" w14:paraId="4886E1E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453620C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A100006 Financiranje mjesnog odbora Donji Labin</w:t>
            </w:r>
          </w:p>
        </w:tc>
        <w:tc>
          <w:tcPr>
            <w:tcW w:w="1984" w:type="dxa"/>
            <w:tcBorders>
              <w:top w:val="nil"/>
              <w:left w:val="nil"/>
              <w:bottom w:val="single" w:sz="4" w:space="0" w:color="auto"/>
              <w:right w:val="single" w:sz="4" w:space="0" w:color="auto"/>
            </w:tcBorders>
            <w:shd w:val="clear" w:color="000000" w:fill="CCCCFF"/>
            <w:noWrap/>
            <w:vAlign w:val="bottom"/>
            <w:hideMark/>
          </w:tcPr>
          <w:p w14:paraId="489558E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2480562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c>
          <w:tcPr>
            <w:tcW w:w="1843" w:type="dxa"/>
            <w:tcBorders>
              <w:top w:val="nil"/>
              <w:left w:val="nil"/>
              <w:bottom w:val="single" w:sz="4" w:space="0" w:color="auto"/>
              <w:right w:val="single" w:sz="4" w:space="0" w:color="auto"/>
            </w:tcBorders>
            <w:shd w:val="clear" w:color="000000" w:fill="CCCCFF"/>
            <w:noWrap/>
            <w:vAlign w:val="bottom"/>
            <w:hideMark/>
          </w:tcPr>
          <w:p w14:paraId="6A75236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2ADB0F9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30F1D50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r>
      <w:tr w:rsidR="00846ACC" w:rsidRPr="004974C0" w14:paraId="3EDEF54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994819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513CDD5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70532B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c>
          <w:tcPr>
            <w:tcW w:w="1843" w:type="dxa"/>
            <w:tcBorders>
              <w:top w:val="nil"/>
              <w:left w:val="nil"/>
              <w:bottom w:val="single" w:sz="4" w:space="0" w:color="auto"/>
              <w:right w:val="single" w:sz="4" w:space="0" w:color="auto"/>
            </w:tcBorders>
            <w:shd w:val="clear" w:color="000000" w:fill="FFFF99"/>
            <w:noWrap/>
            <w:vAlign w:val="bottom"/>
            <w:hideMark/>
          </w:tcPr>
          <w:p w14:paraId="0D769E7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1AA955B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6D49AF8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r>
      <w:tr w:rsidR="00846ACC" w:rsidRPr="004974C0" w14:paraId="2332186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A738F2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E47FBD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7A95998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w:t>
            </w:r>
          </w:p>
        </w:tc>
        <w:tc>
          <w:tcPr>
            <w:tcW w:w="1843" w:type="dxa"/>
            <w:tcBorders>
              <w:top w:val="nil"/>
              <w:left w:val="nil"/>
              <w:bottom w:val="single" w:sz="4" w:space="0" w:color="auto"/>
              <w:right w:val="single" w:sz="4" w:space="0" w:color="auto"/>
            </w:tcBorders>
            <w:shd w:val="clear" w:color="auto" w:fill="auto"/>
            <w:noWrap/>
            <w:vAlign w:val="bottom"/>
            <w:hideMark/>
          </w:tcPr>
          <w:p w14:paraId="582EFCB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DA21FA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FA4DFF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w:t>
            </w:r>
          </w:p>
        </w:tc>
      </w:tr>
      <w:tr w:rsidR="00846ACC" w:rsidRPr="004974C0" w14:paraId="4D2DC17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3DFB888"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48B71651"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2E0044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w:t>
            </w:r>
          </w:p>
        </w:tc>
        <w:tc>
          <w:tcPr>
            <w:tcW w:w="1843" w:type="dxa"/>
            <w:tcBorders>
              <w:top w:val="nil"/>
              <w:left w:val="nil"/>
              <w:bottom w:val="single" w:sz="4" w:space="0" w:color="auto"/>
              <w:right w:val="single" w:sz="4" w:space="0" w:color="auto"/>
            </w:tcBorders>
            <w:shd w:val="clear" w:color="auto" w:fill="auto"/>
            <w:noWrap/>
            <w:vAlign w:val="bottom"/>
            <w:hideMark/>
          </w:tcPr>
          <w:p w14:paraId="571021D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0EFAC2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5ABDC4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w:t>
            </w:r>
          </w:p>
        </w:tc>
      </w:tr>
      <w:tr w:rsidR="00846ACC" w:rsidRPr="004974C0" w14:paraId="5593C57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6F64DFB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Aktivnost A100007 Financiranje mjesnog odbora Kapelica</w:t>
            </w:r>
          </w:p>
        </w:tc>
        <w:tc>
          <w:tcPr>
            <w:tcW w:w="1984" w:type="dxa"/>
            <w:tcBorders>
              <w:top w:val="nil"/>
              <w:left w:val="nil"/>
              <w:bottom w:val="single" w:sz="4" w:space="0" w:color="auto"/>
              <w:right w:val="single" w:sz="4" w:space="0" w:color="auto"/>
            </w:tcBorders>
            <w:shd w:val="clear" w:color="000000" w:fill="CCCCFF"/>
            <w:noWrap/>
            <w:vAlign w:val="bottom"/>
            <w:hideMark/>
          </w:tcPr>
          <w:p w14:paraId="0BE7E46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A32D4D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c>
          <w:tcPr>
            <w:tcW w:w="1843" w:type="dxa"/>
            <w:tcBorders>
              <w:top w:val="nil"/>
              <w:left w:val="nil"/>
              <w:bottom w:val="single" w:sz="4" w:space="0" w:color="auto"/>
              <w:right w:val="single" w:sz="4" w:space="0" w:color="auto"/>
            </w:tcBorders>
            <w:shd w:val="clear" w:color="000000" w:fill="CCCCFF"/>
            <w:noWrap/>
            <w:vAlign w:val="bottom"/>
            <w:hideMark/>
          </w:tcPr>
          <w:p w14:paraId="6B1BC1C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22E6A7D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05C0EEB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r>
      <w:tr w:rsidR="00846ACC" w:rsidRPr="004974C0" w14:paraId="1F16C53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10C3DC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6DAACE5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CB9B6C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c>
          <w:tcPr>
            <w:tcW w:w="1843" w:type="dxa"/>
            <w:tcBorders>
              <w:top w:val="nil"/>
              <w:left w:val="nil"/>
              <w:bottom w:val="single" w:sz="4" w:space="0" w:color="auto"/>
              <w:right w:val="single" w:sz="4" w:space="0" w:color="auto"/>
            </w:tcBorders>
            <w:shd w:val="clear" w:color="000000" w:fill="FFFF99"/>
            <w:noWrap/>
            <w:vAlign w:val="bottom"/>
            <w:hideMark/>
          </w:tcPr>
          <w:p w14:paraId="0BA65A9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07EE52B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CE6D8C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r>
      <w:tr w:rsidR="00846ACC" w:rsidRPr="004974C0" w14:paraId="0F67CCA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79801E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D8CF21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13308F5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w:t>
            </w:r>
          </w:p>
        </w:tc>
        <w:tc>
          <w:tcPr>
            <w:tcW w:w="1843" w:type="dxa"/>
            <w:tcBorders>
              <w:top w:val="nil"/>
              <w:left w:val="nil"/>
              <w:bottom w:val="single" w:sz="4" w:space="0" w:color="auto"/>
              <w:right w:val="single" w:sz="4" w:space="0" w:color="auto"/>
            </w:tcBorders>
            <w:shd w:val="clear" w:color="auto" w:fill="auto"/>
            <w:noWrap/>
            <w:vAlign w:val="bottom"/>
            <w:hideMark/>
          </w:tcPr>
          <w:p w14:paraId="48F893F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3503E0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8682BD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w:t>
            </w:r>
          </w:p>
        </w:tc>
      </w:tr>
      <w:tr w:rsidR="00846ACC" w:rsidRPr="004974C0" w14:paraId="38AD2DB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C21F2F7"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D72A33A"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11ECDC7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w:t>
            </w:r>
          </w:p>
        </w:tc>
        <w:tc>
          <w:tcPr>
            <w:tcW w:w="1843" w:type="dxa"/>
            <w:tcBorders>
              <w:top w:val="nil"/>
              <w:left w:val="nil"/>
              <w:bottom w:val="single" w:sz="4" w:space="0" w:color="auto"/>
              <w:right w:val="single" w:sz="4" w:space="0" w:color="auto"/>
            </w:tcBorders>
            <w:shd w:val="clear" w:color="auto" w:fill="auto"/>
            <w:noWrap/>
            <w:vAlign w:val="bottom"/>
            <w:hideMark/>
          </w:tcPr>
          <w:p w14:paraId="46D16B8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B173F1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5DCF4E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w:t>
            </w:r>
          </w:p>
        </w:tc>
      </w:tr>
      <w:tr w:rsidR="00846ACC" w:rsidRPr="004974C0" w14:paraId="0291A15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66BEDA6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1003 Organiziranje i provođenje zaštite i spašavanja</w:t>
            </w:r>
          </w:p>
        </w:tc>
        <w:tc>
          <w:tcPr>
            <w:tcW w:w="1984" w:type="dxa"/>
            <w:tcBorders>
              <w:top w:val="nil"/>
              <w:left w:val="nil"/>
              <w:bottom w:val="single" w:sz="4" w:space="0" w:color="auto"/>
              <w:right w:val="single" w:sz="4" w:space="0" w:color="auto"/>
            </w:tcBorders>
            <w:shd w:val="clear" w:color="000000" w:fill="9999FF"/>
            <w:noWrap/>
            <w:vAlign w:val="bottom"/>
            <w:hideMark/>
          </w:tcPr>
          <w:p w14:paraId="42CDB25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683F259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74.982,00</w:t>
            </w:r>
          </w:p>
        </w:tc>
        <w:tc>
          <w:tcPr>
            <w:tcW w:w="1843" w:type="dxa"/>
            <w:tcBorders>
              <w:top w:val="nil"/>
              <w:left w:val="nil"/>
              <w:bottom w:val="single" w:sz="4" w:space="0" w:color="auto"/>
              <w:right w:val="single" w:sz="4" w:space="0" w:color="auto"/>
            </w:tcBorders>
            <w:shd w:val="clear" w:color="000000" w:fill="9999FF"/>
            <w:noWrap/>
            <w:vAlign w:val="bottom"/>
            <w:hideMark/>
          </w:tcPr>
          <w:p w14:paraId="5992135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9999FF"/>
            <w:noWrap/>
            <w:vAlign w:val="bottom"/>
            <w:hideMark/>
          </w:tcPr>
          <w:p w14:paraId="53FC78E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9999FF"/>
            <w:noWrap/>
            <w:vAlign w:val="bottom"/>
            <w:hideMark/>
          </w:tcPr>
          <w:p w14:paraId="17B7D5C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74.982,00</w:t>
            </w:r>
          </w:p>
        </w:tc>
      </w:tr>
      <w:tr w:rsidR="00846ACC" w:rsidRPr="004974C0" w14:paraId="43306FA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7E7633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A100001 Civilna zaštita</w:t>
            </w:r>
          </w:p>
        </w:tc>
        <w:tc>
          <w:tcPr>
            <w:tcW w:w="1984" w:type="dxa"/>
            <w:tcBorders>
              <w:top w:val="nil"/>
              <w:left w:val="nil"/>
              <w:bottom w:val="single" w:sz="4" w:space="0" w:color="auto"/>
              <w:right w:val="single" w:sz="4" w:space="0" w:color="auto"/>
            </w:tcBorders>
            <w:shd w:val="clear" w:color="000000" w:fill="CCCCFF"/>
            <w:noWrap/>
            <w:vAlign w:val="bottom"/>
            <w:hideMark/>
          </w:tcPr>
          <w:p w14:paraId="72D6224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1BEED55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7.000,00</w:t>
            </w:r>
          </w:p>
        </w:tc>
        <w:tc>
          <w:tcPr>
            <w:tcW w:w="1843" w:type="dxa"/>
            <w:tcBorders>
              <w:top w:val="nil"/>
              <w:left w:val="nil"/>
              <w:bottom w:val="single" w:sz="4" w:space="0" w:color="auto"/>
              <w:right w:val="single" w:sz="4" w:space="0" w:color="auto"/>
            </w:tcBorders>
            <w:shd w:val="clear" w:color="000000" w:fill="CCCCFF"/>
            <w:noWrap/>
            <w:vAlign w:val="bottom"/>
            <w:hideMark/>
          </w:tcPr>
          <w:p w14:paraId="347B3DB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76FAE6B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12723A3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7.000,00</w:t>
            </w:r>
          </w:p>
        </w:tc>
      </w:tr>
      <w:tr w:rsidR="00846ACC" w:rsidRPr="004974C0" w14:paraId="09DCF5F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438366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6B8CEED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8B419A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7.000,00</w:t>
            </w:r>
          </w:p>
        </w:tc>
        <w:tc>
          <w:tcPr>
            <w:tcW w:w="1843" w:type="dxa"/>
            <w:tcBorders>
              <w:top w:val="nil"/>
              <w:left w:val="nil"/>
              <w:bottom w:val="single" w:sz="4" w:space="0" w:color="auto"/>
              <w:right w:val="single" w:sz="4" w:space="0" w:color="auto"/>
            </w:tcBorders>
            <w:shd w:val="clear" w:color="000000" w:fill="FFFF99"/>
            <w:noWrap/>
            <w:vAlign w:val="bottom"/>
            <w:hideMark/>
          </w:tcPr>
          <w:p w14:paraId="504A050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42B0793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07274DB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7.000,00</w:t>
            </w:r>
          </w:p>
        </w:tc>
      </w:tr>
      <w:tr w:rsidR="00846ACC" w:rsidRPr="004974C0" w14:paraId="3AF0102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CD4DD1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D31DB4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CB6D1D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7.000,00</w:t>
            </w:r>
          </w:p>
        </w:tc>
        <w:tc>
          <w:tcPr>
            <w:tcW w:w="1843" w:type="dxa"/>
            <w:tcBorders>
              <w:top w:val="nil"/>
              <w:left w:val="nil"/>
              <w:bottom w:val="single" w:sz="4" w:space="0" w:color="auto"/>
              <w:right w:val="single" w:sz="4" w:space="0" w:color="auto"/>
            </w:tcBorders>
            <w:shd w:val="clear" w:color="auto" w:fill="auto"/>
            <w:noWrap/>
            <w:vAlign w:val="bottom"/>
            <w:hideMark/>
          </w:tcPr>
          <w:p w14:paraId="1C9D202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2E6C24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9B8A07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7.000,00</w:t>
            </w:r>
          </w:p>
        </w:tc>
      </w:tr>
      <w:tr w:rsidR="00846ACC" w:rsidRPr="004974C0" w14:paraId="4DA757F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6A880CF"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9625A78"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D357C3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5.000,00</w:t>
            </w:r>
          </w:p>
        </w:tc>
        <w:tc>
          <w:tcPr>
            <w:tcW w:w="1843" w:type="dxa"/>
            <w:tcBorders>
              <w:top w:val="nil"/>
              <w:left w:val="nil"/>
              <w:bottom w:val="single" w:sz="4" w:space="0" w:color="auto"/>
              <w:right w:val="single" w:sz="4" w:space="0" w:color="auto"/>
            </w:tcBorders>
            <w:shd w:val="clear" w:color="auto" w:fill="auto"/>
            <w:noWrap/>
            <w:vAlign w:val="bottom"/>
            <w:hideMark/>
          </w:tcPr>
          <w:p w14:paraId="47EA526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367CA6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FCD9A5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5.000,00</w:t>
            </w:r>
          </w:p>
        </w:tc>
      </w:tr>
      <w:tr w:rsidR="00846ACC" w:rsidRPr="004974C0" w14:paraId="74288DE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7E6A6CD" w14:textId="77777777" w:rsidR="004974C0" w:rsidRPr="004974C0" w:rsidRDefault="004974C0" w:rsidP="004974C0">
            <w:pPr>
              <w:rPr>
                <w:rFonts w:ascii="Arial" w:hAnsi="Arial" w:cs="Arial"/>
                <w:sz w:val="20"/>
                <w:szCs w:val="20"/>
              </w:rPr>
            </w:pPr>
            <w:r w:rsidRPr="004974C0">
              <w:rPr>
                <w:rFonts w:ascii="Arial" w:hAnsi="Arial" w:cs="Arial"/>
                <w:sz w:val="20"/>
                <w:szCs w:val="20"/>
              </w:rPr>
              <w:t>38</w:t>
            </w:r>
          </w:p>
        </w:tc>
        <w:tc>
          <w:tcPr>
            <w:tcW w:w="1984" w:type="dxa"/>
            <w:tcBorders>
              <w:top w:val="nil"/>
              <w:left w:val="nil"/>
              <w:bottom w:val="single" w:sz="4" w:space="0" w:color="auto"/>
              <w:right w:val="single" w:sz="4" w:space="0" w:color="auto"/>
            </w:tcBorders>
            <w:shd w:val="clear" w:color="auto" w:fill="auto"/>
            <w:noWrap/>
            <w:vAlign w:val="bottom"/>
            <w:hideMark/>
          </w:tcPr>
          <w:p w14:paraId="5699DAEA"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donacije, kazne, naknade šteta i kapitalne pomoći</w:t>
            </w:r>
          </w:p>
        </w:tc>
        <w:tc>
          <w:tcPr>
            <w:tcW w:w="1843" w:type="dxa"/>
            <w:tcBorders>
              <w:top w:val="nil"/>
              <w:left w:val="nil"/>
              <w:bottom w:val="single" w:sz="4" w:space="0" w:color="auto"/>
              <w:right w:val="single" w:sz="4" w:space="0" w:color="auto"/>
            </w:tcBorders>
            <w:shd w:val="clear" w:color="auto" w:fill="auto"/>
            <w:noWrap/>
            <w:vAlign w:val="bottom"/>
            <w:hideMark/>
          </w:tcPr>
          <w:p w14:paraId="6770380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5722F38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2E68E9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1F80D7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r>
      <w:tr w:rsidR="00846ACC" w:rsidRPr="004974C0" w14:paraId="51F0CA9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52D7C4C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A100002 Financiranje Područne vatrogasne zajednice Labin</w:t>
            </w:r>
          </w:p>
        </w:tc>
        <w:tc>
          <w:tcPr>
            <w:tcW w:w="1984" w:type="dxa"/>
            <w:tcBorders>
              <w:top w:val="nil"/>
              <w:left w:val="nil"/>
              <w:bottom w:val="single" w:sz="4" w:space="0" w:color="auto"/>
              <w:right w:val="single" w:sz="4" w:space="0" w:color="auto"/>
            </w:tcBorders>
            <w:shd w:val="clear" w:color="000000" w:fill="CCCCFF"/>
            <w:noWrap/>
            <w:vAlign w:val="bottom"/>
            <w:hideMark/>
          </w:tcPr>
          <w:p w14:paraId="3AA60B8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0F15C53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64.000,00</w:t>
            </w:r>
          </w:p>
        </w:tc>
        <w:tc>
          <w:tcPr>
            <w:tcW w:w="1843" w:type="dxa"/>
            <w:tcBorders>
              <w:top w:val="nil"/>
              <w:left w:val="nil"/>
              <w:bottom w:val="single" w:sz="4" w:space="0" w:color="auto"/>
              <w:right w:val="single" w:sz="4" w:space="0" w:color="auto"/>
            </w:tcBorders>
            <w:shd w:val="clear" w:color="000000" w:fill="CCCCFF"/>
            <w:noWrap/>
            <w:vAlign w:val="bottom"/>
            <w:hideMark/>
          </w:tcPr>
          <w:p w14:paraId="513C84A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19BA168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12FEBEF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64.000,00</w:t>
            </w:r>
          </w:p>
        </w:tc>
      </w:tr>
      <w:tr w:rsidR="00846ACC" w:rsidRPr="004974C0" w14:paraId="7088F6F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D99F4C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365046E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0BD69E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64.000,00</w:t>
            </w:r>
          </w:p>
        </w:tc>
        <w:tc>
          <w:tcPr>
            <w:tcW w:w="1843" w:type="dxa"/>
            <w:tcBorders>
              <w:top w:val="nil"/>
              <w:left w:val="nil"/>
              <w:bottom w:val="single" w:sz="4" w:space="0" w:color="auto"/>
              <w:right w:val="single" w:sz="4" w:space="0" w:color="auto"/>
            </w:tcBorders>
            <w:shd w:val="clear" w:color="000000" w:fill="FFFF99"/>
            <w:noWrap/>
            <w:vAlign w:val="bottom"/>
            <w:hideMark/>
          </w:tcPr>
          <w:p w14:paraId="3D95B10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32B4D35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E1BEE1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64.000,00</w:t>
            </w:r>
          </w:p>
        </w:tc>
      </w:tr>
      <w:tr w:rsidR="00846ACC" w:rsidRPr="004974C0" w14:paraId="15E727F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178289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9B928C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1F5F306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64.000,00</w:t>
            </w:r>
          </w:p>
        </w:tc>
        <w:tc>
          <w:tcPr>
            <w:tcW w:w="1843" w:type="dxa"/>
            <w:tcBorders>
              <w:top w:val="nil"/>
              <w:left w:val="nil"/>
              <w:bottom w:val="single" w:sz="4" w:space="0" w:color="auto"/>
              <w:right w:val="single" w:sz="4" w:space="0" w:color="auto"/>
            </w:tcBorders>
            <w:shd w:val="clear" w:color="auto" w:fill="auto"/>
            <w:noWrap/>
            <w:vAlign w:val="bottom"/>
            <w:hideMark/>
          </w:tcPr>
          <w:p w14:paraId="21D13A9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2C14B6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C77AAF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64.000,00</w:t>
            </w:r>
          </w:p>
        </w:tc>
      </w:tr>
      <w:tr w:rsidR="00846ACC" w:rsidRPr="004974C0" w14:paraId="1A9F729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FF40A69" w14:textId="77777777" w:rsidR="004974C0" w:rsidRPr="004974C0" w:rsidRDefault="004974C0" w:rsidP="004974C0">
            <w:pPr>
              <w:rPr>
                <w:rFonts w:ascii="Arial" w:hAnsi="Arial" w:cs="Arial"/>
                <w:sz w:val="20"/>
                <w:szCs w:val="20"/>
              </w:rPr>
            </w:pPr>
            <w:r w:rsidRPr="004974C0">
              <w:rPr>
                <w:rFonts w:ascii="Arial" w:hAnsi="Arial" w:cs="Arial"/>
                <w:sz w:val="20"/>
                <w:szCs w:val="20"/>
              </w:rPr>
              <w:t>38</w:t>
            </w:r>
          </w:p>
        </w:tc>
        <w:tc>
          <w:tcPr>
            <w:tcW w:w="1984" w:type="dxa"/>
            <w:tcBorders>
              <w:top w:val="nil"/>
              <w:left w:val="nil"/>
              <w:bottom w:val="single" w:sz="4" w:space="0" w:color="auto"/>
              <w:right w:val="single" w:sz="4" w:space="0" w:color="auto"/>
            </w:tcBorders>
            <w:shd w:val="clear" w:color="auto" w:fill="auto"/>
            <w:noWrap/>
            <w:vAlign w:val="bottom"/>
            <w:hideMark/>
          </w:tcPr>
          <w:p w14:paraId="30405163"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donacije, kazne, naknade šteta i kapitalne pomoći</w:t>
            </w:r>
          </w:p>
        </w:tc>
        <w:tc>
          <w:tcPr>
            <w:tcW w:w="1843" w:type="dxa"/>
            <w:tcBorders>
              <w:top w:val="nil"/>
              <w:left w:val="nil"/>
              <w:bottom w:val="single" w:sz="4" w:space="0" w:color="auto"/>
              <w:right w:val="single" w:sz="4" w:space="0" w:color="auto"/>
            </w:tcBorders>
            <w:shd w:val="clear" w:color="auto" w:fill="auto"/>
            <w:noWrap/>
            <w:vAlign w:val="bottom"/>
            <w:hideMark/>
          </w:tcPr>
          <w:p w14:paraId="2E7F046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64.000,00</w:t>
            </w:r>
          </w:p>
        </w:tc>
        <w:tc>
          <w:tcPr>
            <w:tcW w:w="1843" w:type="dxa"/>
            <w:tcBorders>
              <w:top w:val="nil"/>
              <w:left w:val="nil"/>
              <w:bottom w:val="single" w:sz="4" w:space="0" w:color="auto"/>
              <w:right w:val="single" w:sz="4" w:space="0" w:color="auto"/>
            </w:tcBorders>
            <w:shd w:val="clear" w:color="auto" w:fill="auto"/>
            <w:noWrap/>
            <w:vAlign w:val="bottom"/>
            <w:hideMark/>
          </w:tcPr>
          <w:p w14:paraId="59D7C6A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5ED684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FC5998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64.000,00</w:t>
            </w:r>
          </w:p>
        </w:tc>
      </w:tr>
      <w:tr w:rsidR="00846ACC" w:rsidRPr="004974C0" w14:paraId="14E6311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71FBB43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A100003 Financiranje dobrovoljnog vatrogastva</w:t>
            </w:r>
          </w:p>
        </w:tc>
        <w:tc>
          <w:tcPr>
            <w:tcW w:w="1984" w:type="dxa"/>
            <w:tcBorders>
              <w:top w:val="nil"/>
              <w:left w:val="nil"/>
              <w:bottom w:val="single" w:sz="4" w:space="0" w:color="auto"/>
              <w:right w:val="single" w:sz="4" w:space="0" w:color="auto"/>
            </w:tcBorders>
            <w:shd w:val="clear" w:color="000000" w:fill="CCCCFF"/>
            <w:noWrap/>
            <w:vAlign w:val="bottom"/>
            <w:hideMark/>
          </w:tcPr>
          <w:p w14:paraId="603D860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334AE77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3.982,00</w:t>
            </w:r>
          </w:p>
        </w:tc>
        <w:tc>
          <w:tcPr>
            <w:tcW w:w="1843" w:type="dxa"/>
            <w:tcBorders>
              <w:top w:val="nil"/>
              <w:left w:val="nil"/>
              <w:bottom w:val="single" w:sz="4" w:space="0" w:color="auto"/>
              <w:right w:val="single" w:sz="4" w:space="0" w:color="auto"/>
            </w:tcBorders>
            <w:shd w:val="clear" w:color="000000" w:fill="CCCCFF"/>
            <w:noWrap/>
            <w:vAlign w:val="bottom"/>
            <w:hideMark/>
          </w:tcPr>
          <w:p w14:paraId="5B9DEFC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5503BC2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0B569D8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3.982,00</w:t>
            </w:r>
          </w:p>
        </w:tc>
      </w:tr>
      <w:tr w:rsidR="00846ACC" w:rsidRPr="004974C0" w14:paraId="46B64B4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DF517A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1E99C15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B9A94E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3.982,00</w:t>
            </w:r>
          </w:p>
        </w:tc>
        <w:tc>
          <w:tcPr>
            <w:tcW w:w="1843" w:type="dxa"/>
            <w:tcBorders>
              <w:top w:val="nil"/>
              <w:left w:val="nil"/>
              <w:bottom w:val="single" w:sz="4" w:space="0" w:color="auto"/>
              <w:right w:val="single" w:sz="4" w:space="0" w:color="auto"/>
            </w:tcBorders>
            <w:shd w:val="clear" w:color="000000" w:fill="FFFF99"/>
            <w:noWrap/>
            <w:vAlign w:val="bottom"/>
            <w:hideMark/>
          </w:tcPr>
          <w:p w14:paraId="445000A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4C367F4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61BDBAD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3.982,00</w:t>
            </w:r>
          </w:p>
        </w:tc>
      </w:tr>
      <w:tr w:rsidR="00846ACC" w:rsidRPr="004974C0" w14:paraId="2B29A78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A720BC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643B95B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CEC141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3.982,00</w:t>
            </w:r>
          </w:p>
        </w:tc>
        <w:tc>
          <w:tcPr>
            <w:tcW w:w="1843" w:type="dxa"/>
            <w:tcBorders>
              <w:top w:val="nil"/>
              <w:left w:val="nil"/>
              <w:bottom w:val="single" w:sz="4" w:space="0" w:color="auto"/>
              <w:right w:val="single" w:sz="4" w:space="0" w:color="auto"/>
            </w:tcBorders>
            <w:shd w:val="clear" w:color="auto" w:fill="auto"/>
            <w:noWrap/>
            <w:vAlign w:val="bottom"/>
            <w:hideMark/>
          </w:tcPr>
          <w:p w14:paraId="67CC1C3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C640E2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57EC3C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3.982,00</w:t>
            </w:r>
          </w:p>
        </w:tc>
      </w:tr>
      <w:tr w:rsidR="00846ACC" w:rsidRPr="004974C0" w14:paraId="3D328D3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80D822B"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3947A36F"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C559DE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3.982,00</w:t>
            </w:r>
          </w:p>
        </w:tc>
        <w:tc>
          <w:tcPr>
            <w:tcW w:w="1843" w:type="dxa"/>
            <w:tcBorders>
              <w:top w:val="nil"/>
              <w:left w:val="nil"/>
              <w:bottom w:val="single" w:sz="4" w:space="0" w:color="auto"/>
              <w:right w:val="single" w:sz="4" w:space="0" w:color="auto"/>
            </w:tcBorders>
            <w:shd w:val="clear" w:color="auto" w:fill="auto"/>
            <w:noWrap/>
            <w:vAlign w:val="bottom"/>
            <w:hideMark/>
          </w:tcPr>
          <w:p w14:paraId="4B96C8A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29CC1E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2C791D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3.982,00</w:t>
            </w:r>
          </w:p>
        </w:tc>
      </w:tr>
      <w:tr w:rsidR="00846ACC" w:rsidRPr="004974C0" w14:paraId="65003C9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0000FF"/>
            <w:noWrap/>
            <w:vAlign w:val="bottom"/>
            <w:hideMark/>
          </w:tcPr>
          <w:p w14:paraId="575F7176"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Glava 10002 VIJEĆA NACIONALNIH MANJINA</w:t>
            </w:r>
          </w:p>
        </w:tc>
        <w:tc>
          <w:tcPr>
            <w:tcW w:w="1984" w:type="dxa"/>
            <w:tcBorders>
              <w:top w:val="nil"/>
              <w:left w:val="nil"/>
              <w:bottom w:val="single" w:sz="4" w:space="0" w:color="auto"/>
              <w:right w:val="single" w:sz="4" w:space="0" w:color="auto"/>
            </w:tcBorders>
            <w:shd w:val="clear" w:color="000000" w:fill="0000FF"/>
            <w:noWrap/>
            <w:vAlign w:val="bottom"/>
            <w:hideMark/>
          </w:tcPr>
          <w:p w14:paraId="0390927D"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0000FF"/>
            <w:noWrap/>
            <w:vAlign w:val="bottom"/>
            <w:hideMark/>
          </w:tcPr>
          <w:p w14:paraId="5C5077FC"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34.100,00</w:t>
            </w:r>
          </w:p>
        </w:tc>
        <w:tc>
          <w:tcPr>
            <w:tcW w:w="1843" w:type="dxa"/>
            <w:tcBorders>
              <w:top w:val="nil"/>
              <w:left w:val="nil"/>
              <w:bottom w:val="single" w:sz="4" w:space="0" w:color="auto"/>
              <w:right w:val="single" w:sz="4" w:space="0" w:color="auto"/>
            </w:tcBorders>
            <w:shd w:val="clear" w:color="000000" w:fill="0000FF"/>
            <w:noWrap/>
            <w:vAlign w:val="bottom"/>
            <w:hideMark/>
          </w:tcPr>
          <w:p w14:paraId="1617EFB1"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0,00</w:t>
            </w:r>
          </w:p>
        </w:tc>
        <w:tc>
          <w:tcPr>
            <w:tcW w:w="1559" w:type="dxa"/>
            <w:tcBorders>
              <w:top w:val="nil"/>
              <w:left w:val="nil"/>
              <w:bottom w:val="single" w:sz="4" w:space="0" w:color="auto"/>
              <w:right w:val="single" w:sz="4" w:space="0" w:color="auto"/>
            </w:tcBorders>
            <w:shd w:val="clear" w:color="000000" w:fill="0000FF"/>
            <w:noWrap/>
            <w:vAlign w:val="bottom"/>
            <w:hideMark/>
          </w:tcPr>
          <w:p w14:paraId="2F53176B"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0,00</w:t>
            </w:r>
          </w:p>
        </w:tc>
        <w:tc>
          <w:tcPr>
            <w:tcW w:w="1803" w:type="dxa"/>
            <w:tcBorders>
              <w:top w:val="nil"/>
              <w:left w:val="nil"/>
              <w:bottom w:val="single" w:sz="4" w:space="0" w:color="auto"/>
              <w:right w:val="single" w:sz="4" w:space="0" w:color="auto"/>
            </w:tcBorders>
            <w:shd w:val="clear" w:color="000000" w:fill="0000FF"/>
            <w:noWrap/>
            <w:vAlign w:val="bottom"/>
            <w:hideMark/>
          </w:tcPr>
          <w:p w14:paraId="21B62D9A"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34.100,00</w:t>
            </w:r>
          </w:p>
        </w:tc>
      </w:tr>
      <w:tr w:rsidR="00846ACC" w:rsidRPr="004974C0" w14:paraId="6DFA255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3366FF"/>
            <w:noWrap/>
            <w:vAlign w:val="bottom"/>
            <w:hideMark/>
          </w:tcPr>
          <w:p w14:paraId="55217047"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Proračunski korisnik 45470 VIJEĆE BOŠNJAČKE NACIONALNE MANJINE U GRADU LABINU</w:t>
            </w:r>
          </w:p>
        </w:tc>
        <w:tc>
          <w:tcPr>
            <w:tcW w:w="1984" w:type="dxa"/>
            <w:tcBorders>
              <w:top w:val="nil"/>
              <w:left w:val="nil"/>
              <w:bottom w:val="single" w:sz="4" w:space="0" w:color="auto"/>
              <w:right w:val="single" w:sz="4" w:space="0" w:color="auto"/>
            </w:tcBorders>
            <w:shd w:val="clear" w:color="000000" w:fill="3366FF"/>
            <w:noWrap/>
            <w:vAlign w:val="bottom"/>
            <w:hideMark/>
          </w:tcPr>
          <w:p w14:paraId="7EDD448E"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3366FF"/>
            <w:noWrap/>
            <w:vAlign w:val="bottom"/>
            <w:hideMark/>
          </w:tcPr>
          <w:p w14:paraId="099C09F4"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14.100,00</w:t>
            </w:r>
          </w:p>
        </w:tc>
        <w:tc>
          <w:tcPr>
            <w:tcW w:w="1843" w:type="dxa"/>
            <w:tcBorders>
              <w:top w:val="nil"/>
              <w:left w:val="nil"/>
              <w:bottom w:val="single" w:sz="4" w:space="0" w:color="auto"/>
              <w:right w:val="single" w:sz="4" w:space="0" w:color="auto"/>
            </w:tcBorders>
            <w:shd w:val="clear" w:color="000000" w:fill="3366FF"/>
            <w:noWrap/>
            <w:vAlign w:val="bottom"/>
            <w:hideMark/>
          </w:tcPr>
          <w:p w14:paraId="42368D9D"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0,00</w:t>
            </w:r>
          </w:p>
        </w:tc>
        <w:tc>
          <w:tcPr>
            <w:tcW w:w="1559" w:type="dxa"/>
            <w:tcBorders>
              <w:top w:val="nil"/>
              <w:left w:val="nil"/>
              <w:bottom w:val="single" w:sz="4" w:space="0" w:color="auto"/>
              <w:right w:val="single" w:sz="4" w:space="0" w:color="auto"/>
            </w:tcBorders>
            <w:shd w:val="clear" w:color="000000" w:fill="3366FF"/>
            <w:noWrap/>
            <w:vAlign w:val="bottom"/>
            <w:hideMark/>
          </w:tcPr>
          <w:p w14:paraId="41E38DD0"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0,00</w:t>
            </w:r>
          </w:p>
        </w:tc>
        <w:tc>
          <w:tcPr>
            <w:tcW w:w="1803" w:type="dxa"/>
            <w:tcBorders>
              <w:top w:val="nil"/>
              <w:left w:val="nil"/>
              <w:bottom w:val="single" w:sz="4" w:space="0" w:color="auto"/>
              <w:right w:val="single" w:sz="4" w:space="0" w:color="auto"/>
            </w:tcBorders>
            <w:shd w:val="clear" w:color="000000" w:fill="3366FF"/>
            <w:noWrap/>
            <w:vAlign w:val="bottom"/>
            <w:hideMark/>
          </w:tcPr>
          <w:p w14:paraId="51C42CDE"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14.100,00</w:t>
            </w:r>
          </w:p>
        </w:tc>
      </w:tr>
      <w:tr w:rsidR="00846ACC" w:rsidRPr="004974C0" w14:paraId="124A0B9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077CC5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7EE69C3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004B55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14.100,00</w:t>
            </w:r>
          </w:p>
        </w:tc>
        <w:tc>
          <w:tcPr>
            <w:tcW w:w="1843" w:type="dxa"/>
            <w:tcBorders>
              <w:top w:val="nil"/>
              <w:left w:val="nil"/>
              <w:bottom w:val="single" w:sz="4" w:space="0" w:color="auto"/>
              <w:right w:val="single" w:sz="4" w:space="0" w:color="auto"/>
            </w:tcBorders>
            <w:shd w:val="clear" w:color="000000" w:fill="FFFFFF"/>
            <w:noWrap/>
            <w:vAlign w:val="bottom"/>
            <w:hideMark/>
          </w:tcPr>
          <w:p w14:paraId="7FACA04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1C8E3C2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17A78FF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14.100,00</w:t>
            </w:r>
          </w:p>
        </w:tc>
      </w:tr>
      <w:tr w:rsidR="00846ACC" w:rsidRPr="004974C0" w14:paraId="46C1D0B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DAB36B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Izvor  1.1.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6C5EA6F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637B96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14.100,00</w:t>
            </w:r>
          </w:p>
        </w:tc>
        <w:tc>
          <w:tcPr>
            <w:tcW w:w="1843" w:type="dxa"/>
            <w:tcBorders>
              <w:top w:val="nil"/>
              <w:left w:val="nil"/>
              <w:bottom w:val="single" w:sz="4" w:space="0" w:color="auto"/>
              <w:right w:val="single" w:sz="4" w:space="0" w:color="auto"/>
            </w:tcBorders>
            <w:shd w:val="clear" w:color="000000" w:fill="FFFFFF"/>
            <w:noWrap/>
            <w:vAlign w:val="bottom"/>
            <w:hideMark/>
          </w:tcPr>
          <w:p w14:paraId="22CF96E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10DC0B0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649F1A5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14.100,00</w:t>
            </w:r>
          </w:p>
        </w:tc>
      </w:tr>
      <w:tr w:rsidR="00846ACC" w:rsidRPr="004974C0" w14:paraId="4760D10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14720D2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1004 Zaštita prava nacionalnih manjina</w:t>
            </w:r>
          </w:p>
        </w:tc>
        <w:tc>
          <w:tcPr>
            <w:tcW w:w="1984" w:type="dxa"/>
            <w:tcBorders>
              <w:top w:val="nil"/>
              <w:left w:val="nil"/>
              <w:bottom w:val="single" w:sz="4" w:space="0" w:color="auto"/>
              <w:right w:val="single" w:sz="4" w:space="0" w:color="auto"/>
            </w:tcBorders>
            <w:shd w:val="clear" w:color="000000" w:fill="9999FF"/>
            <w:noWrap/>
            <w:vAlign w:val="bottom"/>
            <w:hideMark/>
          </w:tcPr>
          <w:p w14:paraId="766E410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7EC11FB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14.100,00</w:t>
            </w:r>
          </w:p>
        </w:tc>
        <w:tc>
          <w:tcPr>
            <w:tcW w:w="1843" w:type="dxa"/>
            <w:tcBorders>
              <w:top w:val="nil"/>
              <w:left w:val="nil"/>
              <w:bottom w:val="single" w:sz="4" w:space="0" w:color="auto"/>
              <w:right w:val="single" w:sz="4" w:space="0" w:color="auto"/>
            </w:tcBorders>
            <w:shd w:val="clear" w:color="000000" w:fill="9999FF"/>
            <w:noWrap/>
            <w:vAlign w:val="bottom"/>
            <w:hideMark/>
          </w:tcPr>
          <w:p w14:paraId="51EB045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9999FF"/>
            <w:noWrap/>
            <w:vAlign w:val="bottom"/>
            <w:hideMark/>
          </w:tcPr>
          <w:p w14:paraId="4012CC2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9999FF"/>
            <w:noWrap/>
            <w:vAlign w:val="bottom"/>
            <w:hideMark/>
          </w:tcPr>
          <w:p w14:paraId="2C2FF89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14.100,00</w:t>
            </w:r>
          </w:p>
        </w:tc>
      </w:tr>
      <w:tr w:rsidR="00846ACC" w:rsidRPr="004974C0" w14:paraId="5013240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68401CB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A100001 Poslovi redovne djelatnosti nacionalnih manjina</w:t>
            </w:r>
          </w:p>
        </w:tc>
        <w:tc>
          <w:tcPr>
            <w:tcW w:w="1984" w:type="dxa"/>
            <w:tcBorders>
              <w:top w:val="nil"/>
              <w:left w:val="nil"/>
              <w:bottom w:val="single" w:sz="4" w:space="0" w:color="auto"/>
              <w:right w:val="single" w:sz="4" w:space="0" w:color="auto"/>
            </w:tcBorders>
            <w:shd w:val="clear" w:color="000000" w:fill="CCCCFF"/>
            <w:noWrap/>
            <w:vAlign w:val="bottom"/>
            <w:hideMark/>
          </w:tcPr>
          <w:p w14:paraId="7E9B49A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2665D1C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14.100,00</w:t>
            </w:r>
          </w:p>
        </w:tc>
        <w:tc>
          <w:tcPr>
            <w:tcW w:w="1843" w:type="dxa"/>
            <w:tcBorders>
              <w:top w:val="nil"/>
              <w:left w:val="nil"/>
              <w:bottom w:val="single" w:sz="4" w:space="0" w:color="auto"/>
              <w:right w:val="single" w:sz="4" w:space="0" w:color="auto"/>
            </w:tcBorders>
            <w:shd w:val="clear" w:color="000000" w:fill="CCCCFF"/>
            <w:noWrap/>
            <w:vAlign w:val="bottom"/>
            <w:hideMark/>
          </w:tcPr>
          <w:p w14:paraId="2B2DA30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10D3EDF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2D5C7C2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14.100,00</w:t>
            </w:r>
          </w:p>
        </w:tc>
      </w:tr>
      <w:tr w:rsidR="00846ACC" w:rsidRPr="004974C0" w14:paraId="4B5C44B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095A0E2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5EDE312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D0FB0F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14.100,00</w:t>
            </w:r>
          </w:p>
        </w:tc>
        <w:tc>
          <w:tcPr>
            <w:tcW w:w="1843" w:type="dxa"/>
            <w:tcBorders>
              <w:top w:val="nil"/>
              <w:left w:val="nil"/>
              <w:bottom w:val="single" w:sz="4" w:space="0" w:color="auto"/>
              <w:right w:val="single" w:sz="4" w:space="0" w:color="auto"/>
            </w:tcBorders>
            <w:shd w:val="clear" w:color="000000" w:fill="FFFF99"/>
            <w:noWrap/>
            <w:vAlign w:val="bottom"/>
            <w:hideMark/>
          </w:tcPr>
          <w:p w14:paraId="2E04650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79A5401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399B90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14.100,00</w:t>
            </w:r>
          </w:p>
        </w:tc>
      </w:tr>
      <w:tr w:rsidR="00846ACC" w:rsidRPr="004974C0" w14:paraId="31BE880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DC608E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14FBA7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AB1447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14.100,00</w:t>
            </w:r>
          </w:p>
        </w:tc>
        <w:tc>
          <w:tcPr>
            <w:tcW w:w="1843" w:type="dxa"/>
            <w:tcBorders>
              <w:top w:val="nil"/>
              <w:left w:val="nil"/>
              <w:bottom w:val="single" w:sz="4" w:space="0" w:color="auto"/>
              <w:right w:val="single" w:sz="4" w:space="0" w:color="auto"/>
            </w:tcBorders>
            <w:shd w:val="clear" w:color="auto" w:fill="auto"/>
            <w:noWrap/>
            <w:vAlign w:val="bottom"/>
            <w:hideMark/>
          </w:tcPr>
          <w:p w14:paraId="4D9B7B6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0D98B1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4B9AA1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14.100,00</w:t>
            </w:r>
          </w:p>
        </w:tc>
      </w:tr>
      <w:tr w:rsidR="00846ACC" w:rsidRPr="004974C0" w14:paraId="6994AAF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5742D75"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0500C9F5"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A50779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13.700,00</w:t>
            </w:r>
          </w:p>
        </w:tc>
        <w:tc>
          <w:tcPr>
            <w:tcW w:w="1843" w:type="dxa"/>
            <w:tcBorders>
              <w:top w:val="nil"/>
              <w:left w:val="nil"/>
              <w:bottom w:val="single" w:sz="4" w:space="0" w:color="auto"/>
              <w:right w:val="single" w:sz="4" w:space="0" w:color="auto"/>
            </w:tcBorders>
            <w:shd w:val="clear" w:color="auto" w:fill="auto"/>
            <w:noWrap/>
            <w:vAlign w:val="bottom"/>
            <w:hideMark/>
          </w:tcPr>
          <w:p w14:paraId="4C08056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w:t>
            </w:r>
          </w:p>
        </w:tc>
        <w:tc>
          <w:tcPr>
            <w:tcW w:w="1559" w:type="dxa"/>
            <w:tcBorders>
              <w:top w:val="nil"/>
              <w:left w:val="nil"/>
              <w:bottom w:val="single" w:sz="4" w:space="0" w:color="auto"/>
              <w:right w:val="single" w:sz="4" w:space="0" w:color="auto"/>
            </w:tcBorders>
            <w:shd w:val="clear" w:color="auto" w:fill="auto"/>
            <w:noWrap/>
            <w:vAlign w:val="bottom"/>
            <w:hideMark/>
          </w:tcPr>
          <w:p w14:paraId="6AC38FA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-0,07</w:t>
            </w:r>
          </w:p>
        </w:tc>
        <w:tc>
          <w:tcPr>
            <w:tcW w:w="1803" w:type="dxa"/>
            <w:tcBorders>
              <w:top w:val="nil"/>
              <w:left w:val="nil"/>
              <w:bottom w:val="single" w:sz="4" w:space="0" w:color="auto"/>
              <w:right w:val="single" w:sz="4" w:space="0" w:color="auto"/>
            </w:tcBorders>
            <w:shd w:val="clear" w:color="auto" w:fill="auto"/>
            <w:noWrap/>
            <w:vAlign w:val="bottom"/>
            <w:hideMark/>
          </w:tcPr>
          <w:p w14:paraId="6B6A56E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13.690,00</w:t>
            </w:r>
          </w:p>
        </w:tc>
      </w:tr>
      <w:tr w:rsidR="00846ACC" w:rsidRPr="004974C0" w14:paraId="1C7D6F8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76FB7DA" w14:textId="77777777" w:rsidR="004974C0" w:rsidRPr="004974C0" w:rsidRDefault="004974C0" w:rsidP="004974C0">
            <w:pPr>
              <w:rPr>
                <w:rFonts w:ascii="Arial" w:hAnsi="Arial" w:cs="Arial"/>
                <w:sz w:val="20"/>
                <w:szCs w:val="20"/>
              </w:rPr>
            </w:pPr>
            <w:r w:rsidRPr="004974C0">
              <w:rPr>
                <w:rFonts w:ascii="Arial" w:hAnsi="Arial" w:cs="Arial"/>
                <w:sz w:val="20"/>
                <w:szCs w:val="20"/>
              </w:rPr>
              <w:t>34</w:t>
            </w:r>
          </w:p>
        </w:tc>
        <w:tc>
          <w:tcPr>
            <w:tcW w:w="1984" w:type="dxa"/>
            <w:tcBorders>
              <w:top w:val="nil"/>
              <w:left w:val="nil"/>
              <w:bottom w:val="single" w:sz="4" w:space="0" w:color="auto"/>
              <w:right w:val="single" w:sz="4" w:space="0" w:color="auto"/>
            </w:tcBorders>
            <w:shd w:val="clear" w:color="auto" w:fill="auto"/>
            <w:noWrap/>
            <w:vAlign w:val="bottom"/>
            <w:hideMark/>
          </w:tcPr>
          <w:p w14:paraId="63ECCBCF" w14:textId="77777777" w:rsidR="004974C0" w:rsidRPr="004974C0" w:rsidRDefault="004974C0" w:rsidP="004974C0">
            <w:pPr>
              <w:rPr>
                <w:rFonts w:ascii="Arial" w:hAnsi="Arial" w:cs="Arial"/>
                <w:sz w:val="20"/>
                <w:szCs w:val="20"/>
              </w:rPr>
            </w:pPr>
            <w:r w:rsidRPr="004974C0">
              <w:rPr>
                <w:rFonts w:ascii="Arial" w:hAnsi="Arial" w:cs="Arial"/>
                <w:sz w:val="20"/>
                <w:szCs w:val="20"/>
              </w:rPr>
              <w:t>Financijski rashodi</w:t>
            </w:r>
          </w:p>
        </w:tc>
        <w:tc>
          <w:tcPr>
            <w:tcW w:w="1843" w:type="dxa"/>
            <w:tcBorders>
              <w:top w:val="nil"/>
              <w:left w:val="nil"/>
              <w:bottom w:val="single" w:sz="4" w:space="0" w:color="auto"/>
              <w:right w:val="single" w:sz="4" w:space="0" w:color="auto"/>
            </w:tcBorders>
            <w:shd w:val="clear" w:color="auto" w:fill="auto"/>
            <w:noWrap/>
            <w:vAlign w:val="bottom"/>
            <w:hideMark/>
          </w:tcPr>
          <w:p w14:paraId="0E53A51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9F0EB2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w:t>
            </w:r>
          </w:p>
        </w:tc>
        <w:tc>
          <w:tcPr>
            <w:tcW w:w="1559" w:type="dxa"/>
            <w:tcBorders>
              <w:top w:val="nil"/>
              <w:left w:val="nil"/>
              <w:bottom w:val="single" w:sz="4" w:space="0" w:color="auto"/>
              <w:right w:val="single" w:sz="4" w:space="0" w:color="auto"/>
            </w:tcBorders>
            <w:shd w:val="clear" w:color="auto" w:fill="auto"/>
            <w:noWrap/>
            <w:vAlign w:val="bottom"/>
            <w:hideMark/>
          </w:tcPr>
          <w:p w14:paraId="6A79E67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618A94D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w:t>
            </w:r>
          </w:p>
        </w:tc>
      </w:tr>
      <w:tr w:rsidR="00846ACC" w:rsidRPr="004974C0" w14:paraId="082C9CE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32D2D79" w14:textId="77777777" w:rsidR="004974C0" w:rsidRPr="004974C0" w:rsidRDefault="004974C0" w:rsidP="004974C0">
            <w:pPr>
              <w:rPr>
                <w:rFonts w:ascii="Arial" w:hAnsi="Arial" w:cs="Arial"/>
                <w:sz w:val="20"/>
                <w:szCs w:val="20"/>
              </w:rPr>
            </w:pPr>
            <w:r w:rsidRPr="004974C0">
              <w:rPr>
                <w:rFonts w:ascii="Arial" w:hAnsi="Arial" w:cs="Arial"/>
                <w:sz w:val="20"/>
                <w:szCs w:val="20"/>
              </w:rPr>
              <w:t>38</w:t>
            </w:r>
          </w:p>
        </w:tc>
        <w:tc>
          <w:tcPr>
            <w:tcW w:w="1984" w:type="dxa"/>
            <w:tcBorders>
              <w:top w:val="nil"/>
              <w:left w:val="nil"/>
              <w:bottom w:val="single" w:sz="4" w:space="0" w:color="auto"/>
              <w:right w:val="single" w:sz="4" w:space="0" w:color="auto"/>
            </w:tcBorders>
            <w:shd w:val="clear" w:color="auto" w:fill="auto"/>
            <w:noWrap/>
            <w:vAlign w:val="bottom"/>
            <w:hideMark/>
          </w:tcPr>
          <w:p w14:paraId="473625BE"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donacije, kazne, naknade šteta i kapitalne pomoći</w:t>
            </w:r>
          </w:p>
        </w:tc>
        <w:tc>
          <w:tcPr>
            <w:tcW w:w="1843" w:type="dxa"/>
            <w:tcBorders>
              <w:top w:val="nil"/>
              <w:left w:val="nil"/>
              <w:bottom w:val="single" w:sz="4" w:space="0" w:color="auto"/>
              <w:right w:val="single" w:sz="4" w:space="0" w:color="auto"/>
            </w:tcBorders>
            <w:shd w:val="clear" w:color="auto" w:fill="auto"/>
            <w:noWrap/>
            <w:vAlign w:val="bottom"/>
            <w:hideMark/>
          </w:tcPr>
          <w:p w14:paraId="0352B90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w:t>
            </w:r>
          </w:p>
        </w:tc>
        <w:tc>
          <w:tcPr>
            <w:tcW w:w="1843" w:type="dxa"/>
            <w:tcBorders>
              <w:top w:val="nil"/>
              <w:left w:val="nil"/>
              <w:bottom w:val="single" w:sz="4" w:space="0" w:color="auto"/>
              <w:right w:val="single" w:sz="4" w:space="0" w:color="auto"/>
            </w:tcBorders>
            <w:shd w:val="clear" w:color="auto" w:fill="auto"/>
            <w:noWrap/>
            <w:vAlign w:val="bottom"/>
            <w:hideMark/>
          </w:tcPr>
          <w:p w14:paraId="178FF9B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96B844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CBD608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w:t>
            </w:r>
          </w:p>
        </w:tc>
      </w:tr>
      <w:tr w:rsidR="00846ACC" w:rsidRPr="004974C0" w14:paraId="4963BE60"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3366FF"/>
            <w:noWrap/>
            <w:vAlign w:val="bottom"/>
            <w:hideMark/>
          </w:tcPr>
          <w:p w14:paraId="328CABAE"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Proračunski korisnik 46307 VIJEĆE TALIJANSKE NACIONALNE MANJINE U GRADU LABINU</w:t>
            </w:r>
          </w:p>
        </w:tc>
        <w:tc>
          <w:tcPr>
            <w:tcW w:w="1984" w:type="dxa"/>
            <w:tcBorders>
              <w:top w:val="nil"/>
              <w:left w:val="nil"/>
              <w:bottom w:val="single" w:sz="4" w:space="0" w:color="auto"/>
              <w:right w:val="single" w:sz="4" w:space="0" w:color="auto"/>
            </w:tcBorders>
            <w:shd w:val="clear" w:color="000000" w:fill="3366FF"/>
            <w:noWrap/>
            <w:vAlign w:val="bottom"/>
            <w:hideMark/>
          </w:tcPr>
          <w:p w14:paraId="59A2F08D"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3366FF"/>
            <w:noWrap/>
            <w:vAlign w:val="bottom"/>
            <w:hideMark/>
          </w:tcPr>
          <w:p w14:paraId="5AF32FDB"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10.000,00</w:t>
            </w:r>
          </w:p>
        </w:tc>
        <w:tc>
          <w:tcPr>
            <w:tcW w:w="1843" w:type="dxa"/>
            <w:tcBorders>
              <w:top w:val="nil"/>
              <w:left w:val="nil"/>
              <w:bottom w:val="single" w:sz="4" w:space="0" w:color="auto"/>
              <w:right w:val="single" w:sz="4" w:space="0" w:color="auto"/>
            </w:tcBorders>
            <w:shd w:val="clear" w:color="000000" w:fill="3366FF"/>
            <w:noWrap/>
            <w:vAlign w:val="bottom"/>
            <w:hideMark/>
          </w:tcPr>
          <w:p w14:paraId="3E7FCE35"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0,00</w:t>
            </w:r>
          </w:p>
        </w:tc>
        <w:tc>
          <w:tcPr>
            <w:tcW w:w="1559" w:type="dxa"/>
            <w:tcBorders>
              <w:top w:val="nil"/>
              <w:left w:val="nil"/>
              <w:bottom w:val="single" w:sz="4" w:space="0" w:color="auto"/>
              <w:right w:val="single" w:sz="4" w:space="0" w:color="auto"/>
            </w:tcBorders>
            <w:shd w:val="clear" w:color="000000" w:fill="3366FF"/>
            <w:noWrap/>
            <w:vAlign w:val="bottom"/>
            <w:hideMark/>
          </w:tcPr>
          <w:p w14:paraId="4816A570"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0,00</w:t>
            </w:r>
          </w:p>
        </w:tc>
        <w:tc>
          <w:tcPr>
            <w:tcW w:w="1803" w:type="dxa"/>
            <w:tcBorders>
              <w:top w:val="nil"/>
              <w:left w:val="nil"/>
              <w:bottom w:val="single" w:sz="4" w:space="0" w:color="auto"/>
              <w:right w:val="single" w:sz="4" w:space="0" w:color="auto"/>
            </w:tcBorders>
            <w:shd w:val="clear" w:color="000000" w:fill="3366FF"/>
            <w:noWrap/>
            <w:vAlign w:val="bottom"/>
            <w:hideMark/>
          </w:tcPr>
          <w:p w14:paraId="27D59FE4"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10.000,00</w:t>
            </w:r>
          </w:p>
        </w:tc>
      </w:tr>
      <w:tr w:rsidR="00846ACC" w:rsidRPr="004974C0" w14:paraId="06A590F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28B4CD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050F46B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617E0C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c>
          <w:tcPr>
            <w:tcW w:w="1843" w:type="dxa"/>
            <w:tcBorders>
              <w:top w:val="nil"/>
              <w:left w:val="nil"/>
              <w:bottom w:val="single" w:sz="4" w:space="0" w:color="auto"/>
              <w:right w:val="single" w:sz="4" w:space="0" w:color="auto"/>
            </w:tcBorders>
            <w:shd w:val="clear" w:color="000000" w:fill="FFFFFF"/>
            <w:noWrap/>
            <w:vAlign w:val="bottom"/>
            <w:hideMark/>
          </w:tcPr>
          <w:p w14:paraId="4D17CC8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250EF9E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4A9664C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r>
      <w:tr w:rsidR="00846ACC" w:rsidRPr="004974C0" w14:paraId="18E0628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8B7500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4B86503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AC0643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c>
          <w:tcPr>
            <w:tcW w:w="1843" w:type="dxa"/>
            <w:tcBorders>
              <w:top w:val="nil"/>
              <w:left w:val="nil"/>
              <w:bottom w:val="single" w:sz="4" w:space="0" w:color="auto"/>
              <w:right w:val="single" w:sz="4" w:space="0" w:color="auto"/>
            </w:tcBorders>
            <w:shd w:val="clear" w:color="000000" w:fill="FFFFFF"/>
            <w:noWrap/>
            <w:vAlign w:val="bottom"/>
            <w:hideMark/>
          </w:tcPr>
          <w:p w14:paraId="41D14CB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15793EA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6764962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r>
      <w:tr w:rsidR="00846ACC" w:rsidRPr="004974C0" w14:paraId="41F467C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7331B10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1004 Zaštita prava nacionalnih manjina</w:t>
            </w:r>
          </w:p>
        </w:tc>
        <w:tc>
          <w:tcPr>
            <w:tcW w:w="1984" w:type="dxa"/>
            <w:tcBorders>
              <w:top w:val="nil"/>
              <w:left w:val="nil"/>
              <w:bottom w:val="single" w:sz="4" w:space="0" w:color="auto"/>
              <w:right w:val="single" w:sz="4" w:space="0" w:color="auto"/>
            </w:tcBorders>
            <w:shd w:val="clear" w:color="000000" w:fill="9999FF"/>
            <w:noWrap/>
            <w:vAlign w:val="bottom"/>
            <w:hideMark/>
          </w:tcPr>
          <w:p w14:paraId="5460883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1657AFB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c>
          <w:tcPr>
            <w:tcW w:w="1843" w:type="dxa"/>
            <w:tcBorders>
              <w:top w:val="nil"/>
              <w:left w:val="nil"/>
              <w:bottom w:val="single" w:sz="4" w:space="0" w:color="auto"/>
              <w:right w:val="single" w:sz="4" w:space="0" w:color="auto"/>
            </w:tcBorders>
            <w:shd w:val="clear" w:color="000000" w:fill="9999FF"/>
            <w:noWrap/>
            <w:vAlign w:val="bottom"/>
            <w:hideMark/>
          </w:tcPr>
          <w:p w14:paraId="3CFD606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9999FF"/>
            <w:noWrap/>
            <w:vAlign w:val="bottom"/>
            <w:hideMark/>
          </w:tcPr>
          <w:p w14:paraId="5F68A74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9999FF"/>
            <w:noWrap/>
            <w:vAlign w:val="bottom"/>
            <w:hideMark/>
          </w:tcPr>
          <w:p w14:paraId="4CE6811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r>
      <w:tr w:rsidR="00846ACC" w:rsidRPr="004974C0" w14:paraId="1FF5218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583E8EF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A100001 Poslovi redovne djelatnosti nacionalnih manjina</w:t>
            </w:r>
          </w:p>
        </w:tc>
        <w:tc>
          <w:tcPr>
            <w:tcW w:w="1984" w:type="dxa"/>
            <w:tcBorders>
              <w:top w:val="nil"/>
              <w:left w:val="nil"/>
              <w:bottom w:val="single" w:sz="4" w:space="0" w:color="auto"/>
              <w:right w:val="single" w:sz="4" w:space="0" w:color="auto"/>
            </w:tcBorders>
            <w:shd w:val="clear" w:color="000000" w:fill="CCCCFF"/>
            <w:noWrap/>
            <w:vAlign w:val="bottom"/>
            <w:hideMark/>
          </w:tcPr>
          <w:p w14:paraId="72FE963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2BD637B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c>
          <w:tcPr>
            <w:tcW w:w="1843" w:type="dxa"/>
            <w:tcBorders>
              <w:top w:val="nil"/>
              <w:left w:val="nil"/>
              <w:bottom w:val="single" w:sz="4" w:space="0" w:color="auto"/>
              <w:right w:val="single" w:sz="4" w:space="0" w:color="auto"/>
            </w:tcBorders>
            <w:shd w:val="clear" w:color="000000" w:fill="CCCCFF"/>
            <w:noWrap/>
            <w:vAlign w:val="bottom"/>
            <w:hideMark/>
          </w:tcPr>
          <w:p w14:paraId="5425337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3235167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39AC3EE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r>
      <w:tr w:rsidR="00846ACC" w:rsidRPr="004974C0" w14:paraId="18769F5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A14A93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25AD578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603FC7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c>
          <w:tcPr>
            <w:tcW w:w="1843" w:type="dxa"/>
            <w:tcBorders>
              <w:top w:val="nil"/>
              <w:left w:val="nil"/>
              <w:bottom w:val="single" w:sz="4" w:space="0" w:color="auto"/>
              <w:right w:val="single" w:sz="4" w:space="0" w:color="auto"/>
            </w:tcBorders>
            <w:shd w:val="clear" w:color="000000" w:fill="FFFF99"/>
            <w:noWrap/>
            <w:vAlign w:val="bottom"/>
            <w:hideMark/>
          </w:tcPr>
          <w:p w14:paraId="61F8FE9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284C3B9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0F966A3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r>
      <w:tr w:rsidR="00846ACC" w:rsidRPr="004974C0" w14:paraId="7CC1074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9CADB9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657F32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718B05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10.000,00</w:t>
            </w:r>
          </w:p>
        </w:tc>
        <w:tc>
          <w:tcPr>
            <w:tcW w:w="1843" w:type="dxa"/>
            <w:tcBorders>
              <w:top w:val="nil"/>
              <w:left w:val="nil"/>
              <w:bottom w:val="single" w:sz="4" w:space="0" w:color="auto"/>
              <w:right w:val="single" w:sz="4" w:space="0" w:color="auto"/>
            </w:tcBorders>
            <w:shd w:val="clear" w:color="auto" w:fill="auto"/>
            <w:noWrap/>
            <w:vAlign w:val="bottom"/>
            <w:hideMark/>
          </w:tcPr>
          <w:p w14:paraId="193276F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009B3E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F4748C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10.000,00</w:t>
            </w:r>
          </w:p>
        </w:tc>
      </w:tr>
      <w:tr w:rsidR="00846ACC" w:rsidRPr="004974C0" w14:paraId="6F8CE0A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4407BEB"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08DEB37A"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297FF4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10.000,00</w:t>
            </w:r>
          </w:p>
        </w:tc>
        <w:tc>
          <w:tcPr>
            <w:tcW w:w="1843" w:type="dxa"/>
            <w:tcBorders>
              <w:top w:val="nil"/>
              <w:left w:val="nil"/>
              <w:bottom w:val="single" w:sz="4" w:space="0" w:color="auto"/>
              <w:right w:val="single" w:sz="4" w:space="0" w:color="auto"/>
            </w:tcBorders>
            <w:shd w:val="clear" w:color="auto" w:fill="auto"/>
            <w:noWrap/>
            <w:vAlign w:val="bottom"/>
            <w:hideMark/>
          </w:tcPr>
          <w:p w14:paraId="7C2903D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C85EA2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875F03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10.000,00</w:t>
            </w:r>
          </w:p>
        </w:tc>
      </w:tr>
      <w:tr w:rsidR="00846ACC" w:rsidRPr="004974C0" w14:paraId="2DC5FF6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3366FF"/>
            <w:noWrap/>
            <w:vAlign w:val="bottom"/>
            <w:hideMark/>
          </w:tcPr>
          <w:p w14:paraId="0A92E70C"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Proračunski korisnik 47756 VIJEĆE SRPSKE NACIONALNE MANJINE U GRADU LABINU</w:t>
            </w:r>
          </w:p>
        </w:tc>
        <w:tc>
          <w:tcPr>
            <w:tcW w:w="1984" w:type="dxa"/>
            <w:tcBorders>
              <w:top w:val="nil"/>
              <w:left w:val="nil"/>
              <w:bottom w:val="single" w:sz="4" w:space="0" w:color="auto"/>
              <w:right w:val="single" w:sz="4" w:space="0" w:color="auto"/>
            </w:tcBorders>
            <w:shd w:val="clear" w:color="000000" w:fill="3366FF"/>
            <w:noWrap/>
            <w:vAlign w:val="bottom"/>
            <w:hideMark/>
          </w:tcPr>
          <w:p w14:paraId="40B66764"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3366FF"/>
            <w:noWrap/>
            <w:vAlign w:val="bottom"/>
            <w:hideMark/>
          </w:tcPr>
          <w:p w14:paraId="30A92B5D"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10.000,00</w:t>
            </w:r>
          </w:p>
        </w:tc>
        <w:tc>
          <w:tcPr>
            <w:tcW w:w="1843" w:type="dxa"/>
            <w:tcBorders>
              <w:top w:val="nil"/>
              <w:left w:val="nil"/>
              <w:bottom w:val="single" w:sz="4" w:space="0" w:color="auto"/>
              <w:right w:val="single" w:sz="4" w:space="0" w:color="auto"/>
            </w:tcBorders>
            <w:shd w:val="clear" w:color="000000" w:fill="3366FF"/>
            <w:noWrap/>
            <w:vAlign w:val="bottom"/>
            <w:hideMark/>
          </w:tcPr>
          <w:p w14:paraId="64F165ED"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0,00</w:t>
            </w:r>
          </w:p>
        </w:tc>
        <w:tc>
          <w:tcPr>
            <w:tcW w:w="1559" w:type="dxa"/>
            <w:tcBorders>
              <w:top w:val="nil"/>
              <w:left w:val="nil"/>
              <w:bottom w:val="single" w:sz="4" w:space="0" w:color="auto"/>
              <w:right w:val="single" w:sz="4" w:space="0" w:color="auto"/>
            </w:tcBorders>
            <w:shd w:val="clear" w:color="000000" w:fill="3366FF"/>
            <w:noWrap/>
            <w:vAlign w:val="bottom"/>
            <w:hideMark/>
          </w:tcPr>
          <w:p w14:paraId="1BE01875"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0,00</w:t>
            </w:r>
          </w:p>
        </w:tc>
        <w:tc>
          <w:tcPr>
            <w:tcW w:w="1803" w:type="dxa"/>
            <w:tcBorders>
              <w:top w:val="nil"/>
              <w:left w:val="nil"/>
              <w:bottom w:val="single" w:sz="4" w:space="0" w:color="auto"/>
              <w:right w:val="single" w:sz="4" w:space="0" w:color="auto"/>
            </w:tcBorders>
            <w:shd w:val="clear" w:color="000000" w:fill="3366FF"/>
            <w:noWrap/>
            <w:vAlign w:val="bottom"/>
            <w:hideMark/>
          </w:tcPr>
          <w:p w14:paraId="7F16EE6E"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10.000,00</w:t>
            </w:r>
          </w:p>
        </w:tc>
      </w:tr>
      <w:tr w:rsidR="00846ACC" w:rsidRPr="004974C0" w14:paraId="65BEA75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FE4D00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280DE88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89D3A5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c>
          <w:tcPr>
            <w:tcW w:w="1843" w:type="dxa"/>
            <w:tcBorders>
              <w:top w:val="nil"/>
              <w:left w:val="nil"/>
              <w:bottom w:val="single" w:sz="4" w:space="0" w:color="auto"/>
              <w:right w:val="single" w:sz="4" w:space="0" w:color="auto"/>
            </w:tcBorders>
            <w:shd w:val="clear" w:color="000000" w:fill="FFFFFF"/>
            <w:noWrap/>
            <w:vAlign w:val="bottom"/>
            <w:hideMark/>
          </w:tcPr>
          <w:p w14:paraId="02D2D14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6CB4405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5A14A9B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r>
      <w:tr w:rsidR="00846ACC" w:rsidRPr="004974C0" w14:paraId="350D9DF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E25BB3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688C49A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8F2849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c>
          <w:tcPr>
            <w:tcW w:w="1843" w:type="dxa"/>
            <w:tcBorders>
              <w:top w:val="nil"/>
              <w:left w:val="nil"/>
              <w:bottom w:val="single" w:sz="4" w:space="0" w:color="auto"/>
              <w:right w:val="single" w:sz="4" w:space="0" w:color="auto"/>
            </w:tcBorders>
            <w:shd w:val="clear" w:color="000000" w:fill="FFFFFF"/>
            <w:noWrap/>
            <w:vAlign w:val="bottom"/>
            <w:hideMark/>
          </w:tcPr>
          <w:p w14:paraId="3AD5E83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3B3AE29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5D12CB4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r>
      <w:tr w:rsidR="00846ACC" w:rsidRPr="004974C0" w14:paraId="6D4977A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6671DC8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1004 Zaštita prava nacionalnih manjina</w:t>
            </w:r>
          </w:p>
        </w:tc>
        <w:tc>
          <w:tcPr>
            <w:tcW w:w="1984" w:type="dxa"/>
            <w:tcBorders>
              <w:top w:val="nil"/>
              <w:left w:val="nil"/>
              <w:bottom w:val="single" w:sz="4" w:space="0" w:color="auto"/>
              <w:right w:val="single" w:sz="4" w:space="0" w:color="auto"/>
            </w:tcBorders>
            <w:shd w:val="clear" w:color="000000" w:fill="9999FF"/>
            <w:noWrap/>
            <w:vAlign w:val="bottom"/>
            <w:hideMark/>
          </w:tcPr>
          <w:p w14:paraId="3926120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048EF22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c>
          <w:tcPr>
            <w:tcW w:w="1843" w:type="dxa"/>
            <w:tcBorders>
              <w:top w:val="nil"/>
              <w:left w:val="nil"/>
              <w:bottom w:val="single" w:sz="4" w:space="0" w:color="auto"/>
              <w:right w:val="single" w:sz="4" w:space="0" w:color="auto"/>
            </w:tcBorders>
            <w:shd w:val="clear" w:color="000000" w:fill="9999FF"/>
            <w:noWrap/>
            <w:vAlign w:val="bottom"/>
            <w:hideMark/>
          </w:tcPr>
          <w:p w14:paraId="7AECD14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9999FF"/>
            <w:noWrap/>
            <w:vAlign w:val="bottom"/>
            <w:hideMark/>
          </w:tcPr>
          <w:p w14:paraId="6A258E7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9999FF"/>
            <w:noWrap/>
            <w:vAlign w:val="bottom"/>
            <w:hideMark/>
          </w:tcPr>
          <w:p w14:paraId="3DD69CC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r>
      <w:tr w:rsidR="00846ACC" w:rsidRPr="004974C0" w14:paraId="1D9DD37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36810B9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A100001 Poslovi redovne djelatnosti nacionalnih manjina</w:t>
            </w:r>
          </w:p>
        </w:tc>
        <w:tc>
          <w:tcPr>
            <w:tcW w:w="1984" w:type="dxa"/>
            <w:tcBorders>
              <w:top w:val="nil"/>
              <w:left w:val="nil"/>
              <w:bottom w:val="single" w:sz="4" w:space="0" w:color="auto"/>
              <w:right w:val="single" w:sz="4" w:space="0" w:color="auto"/>
            </w:tcBorders>
            <w:shd w:val="clear" w:color="000000" w:fill="CCCCFF"/>
            <w:noWrap/>
            <w:vAlign w:val="bottom"/>
            <w:hideMark/>
          </w:tcPr>
          <w:p w14:paraId="0FA5FD9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DFF497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c>
          <w:tcPr>
            <w:tcW w:w="1843" w:type="dxa"/>
            <w:tcBorders>
              <w:top w:val="nil"/>
              <w:left w:val="nil"/>
              <w:bottom w:val="single" w:sz="4" w:space="0" w:color="auto"/>
              <w:right w:val="single" w:sz="4" w:space="0" w:color="auto"/>
            </w:tcBorders>
            <w:shd w:val="clear" w:color="000000" w:fill="CCCCFF"/>
            <w:noWrap/>
            <w:vAlign w:val="bottom"/>
            <w:hideMark/>
          </w:tcPr>
          <w:p w14:paraId="75B388B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038FDC6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4105FBE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r>
      <w:tr w:rsidR="00846ACC" w:rsidRPr="004974C0" w14:paraId="6CE2FC8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AC744F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59ACA5E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F66167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c>
          <w:tcPr>
            <w:tcW w:w="1843" w:type="dxa"/>
            <w:tcBorders>
              <w:top w:val="nil"/>
              <w:left w:val="nil"/>
              <w:bottom w:val="single" w:sz="4" w:space="0" w:color="auto"/>
              <w:right w:val="single" w:sz="4" w:space="0" w:color="auto"/>
            </w:tcBorders>
            <w:shd w:val="clear" w:color="000000" w:fill="FFFF99"/>
            <w:noWrap/>
            <w:vAlign w:val="bottom"/>
            <w:hideMark/>
          </w:tcPr>
          <w:p w14:paraId="1A77C06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7F1BD5B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69E40D6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r>
      <w:tr w:rsidR="00846ACC" w:rsidRPr="004974C0" w14:paraId="5166EA7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AFFF97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9129D2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A23C73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10.000,00</w:t>
            </w:r>
          </w:p>
        </w:tc>
        <w:tc>
          <w:tcPr>
            <w:tcW w:w="1843" w:type="dxa"/>
            <w:tcBorders>
              <w:top w:val="nil"/>
              <w:left w:val="nil"/>
              <w:bottom w:val="single" w:sz="4" w:space="0" w:color="auto"/>
              <w:right w:val="single" w:sz="4" w:space="0" w:color="auto"/>
            </w:tcBorders>
            <w:shd w:val="clear" w:color="auto" w:fill="auto"/>
            <w:noWrap/>
            <w:vAlign w:val="bottom"/>
            <w:hideMark/>
          </w:tcPr>
          <w:p w14:paraId="599E985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44647A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73683B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10.000,00</w:t>
            </w:r>
          </w:p>
        </w:tc>
      </w:tr>
      <w:tr w:rsidR="00846ACC" w:rsidRPr="004974C0" w14:paraId="1650473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43E279A"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0F82449F"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138F3D0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10.000,00</w:t>
            </w:r>
          </w:p>
        </w:tc>
        <w:tc>
          <w:tcPr>
            <w:tcW w:w="1843" w:type="dxa"/>
            <w:tcBorders>
              <w:top w:val="nil"/>
              <w:left w:val="nil"/>
              <w:bottom w:val="single" w:sz="4" w:space="0" w:color="auto"/>
              <w:right w:val="single" w:sz="4" w:space="0" w:color="auto"/>
            </w:tcBorders>
            <w:shd w:val="clear" w:color="auto" w:fill="auto"/>
            <w:noWrap/>
            <w:vAlign w:val="bottom"/>
            <w:hideMark/>
          </w:tcPr>
          <w:p w14:paraId="792561B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w:t>
            </w:r>
          </w:p>
        </w:tc>
        <w:tc>
          <w:tcPr>
            <w:tcW w:w="1559" w:type="dxa"/>
            <w:tcBorders>
              <w:top w:val="nil"/>
              <w:left w:val="nil"/>
              <w:bottom w:val="single" w:sz="4" w:space="0" w:color="auto"/>
              <w:right w:val="single" w:sz="4" w:space="0" w:color="auto"/>
            </w:tcBorders>
            <w:shd w:val="clear" w:color="auto" w:fill="auto"/>
            <w:noWrap/>
            <w:vAlign w:val="bottom"/>
            <w:hideMark/>
          </w:tcPr>
          <w:p w14:paraId="2A23062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-0,10</w:t>
            </w:r>
          </w:p>
        </w:tc>
        <w:tc>
          <w:tcPr>
            <w:tcW w:w="1803" w:type="dxa"/>
            <w:tcBorders>
              <w:top w:val="nil"/>
              <w:left w:val="nil"/>
              <w:bottom w:val="single" w:sz="4" w:space="0" w:color="auto"/>
              <w:right w:val="single" w:sz="4" w:space="0" w:color="auto"/>
            </w:tcBorders>
            <w:shd w:val="clear" w:color="auto" w:fill="auto"/>
            <w:noWrap/>
            <w:vAlign w:val="bottom"/>
            <w:hideMark/>
          </w:tcPr>
          <w:p w14:paraId="1CAF90B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9.990,00</w:t>
            </w:r>
          </w:p>
        </w:tc>
      </w:tr>
      <w:tr w:rsidR="00846ACC" w:rsidRPr="004974C0" w14:paraId="4C6C9F9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0C94820" w14:textId="77777777" w:rsidR="004974C0" w:rsidRPr="004974C0" w:rsidRDefault="004974C0" w:rsidP="004974C0">
            <w:pPr>
              <w:rPr>
                <w:rFonts w:ascii="Arial" w:hAnsi="Arial" w:cs="Arial"/>
                <w:sz w:val="20"/>
                <w:szCs w:val="20"/>
              </w:rPr>
            </w:pPr>
            <w:r w:rsidRPr="004974C0">
              <w:rPr>
                <w:rFonts w:ascii="Arial" w:hAnsi="Arial" w:cs="Arial"/>
                <w:sz w:val="20"/>
                <w:szCs w:val="20"/>
              </w:rPr>
              <w:lastRenderedPageBreak/>
              <w:t>34</w:t>
            </w:r>
          </w:p>
        </w:tc>
        <w:tc>
          <w:tcPr>
            <w:tcW w:w="1984" w:type="dxa"/>
            <w:tcBorders>
              <w:top w:val="nil"/>
              <w:left w:val="nil"/>
              <w:bottom w:val="single" w:sz="4" w:space="0" w:color="auto"/>
              <w:right w:val="single" w:sz="4" w:space="0" w:color="auto"/>
            </w:tcBorders>
            <w:shd w:val="clear" w:color="auto" w:fill="auto"/>
            <w:noWrap/>
            <w:vAlign w:val="bottom"/>
            <w:hideMark/>
          </w:tcPr>
          <w:p w14:paraId="64E0B51C" w14:textId="77777777" w:rsidR="004974C0" w:rsidRPr="004974C0" w:rsidRDefault="004974C0" w:rsidP="004974C0">
            <w:pPr>
              <w:rPr>
                <w:rFonts w:ascii="Arial" w:hAnsi="Arial" w:cs="Arial"/>
                <w:sz w:val="20"/>
                <w:szCs w:val="20"/>
              </w:rPr>
            </w:pPr>
            <w:r w:rsidRPr="004974C0">
              <w:rPr>
                <w:rFonts w:ascii="Arial" w:hAnsi="Arial" w:cs="Arial"/>
                <w:sz w:val="20"/>
                <w:szCs w:val="20"/>
              </w:rPr>
              <w:t>Financijski rashodi</w:t>
            </w:r>
          </w:p>
        </w:tc>
        <w:tc>
          <w:tcPr>
            <w:tcW w:w="1843" w:type="dxa"/>
            <w:tcBorders>
              <w:top w:val="nil"/>
              <w:left w:val="nil"/>
              <w:bottom w:val="single" w:sz="4" w:space="0" w:color="auto"/>
              <w:right w:val="single" w:sz="4" w:space="0" w:color="auto"/>
            </w:tcBorders>
            <w:shd w:val="clear" w:color="auto" w:fill="auto"/>
            <w:noWrap/>
            <w:vAlign w:val="bottom"/>
            <w:hideMark/>
          </w:tcPr>
          <w:p w14:paraId="1B90E9F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16B4BD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w:t>
            </w:r>
          </w:p>
        </w:tc>
        <w:tc>
          <w:tcPr>
            <w:tcW w:w="1559" w:type="dxa"/>
            <w:tcBorders>
              <w:top w:val="nil"/>
              <w:left w:val="nil"/>
              <w:bottom w:val="single" w:sz="4" w:space="0" w:color="auto"/>
              <w:right w:val="single" w:sz="4" w:space="0" w:color="auto"/>
            </w:tcBorders>
            <w:shd w:val="clear" w:color="auto" w:fill="auto"/>
            <w:noWrap/>
            <w:vAlign w:val="bottom"/>
            <w:hideMark/>
          </w:tcPr>
          <w:p w14:paraId="2C49650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16B582E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w:t>
            </w:r>
          </w:p>
        </w:tc>
      </w:tr>
      <w:tr w:rsidR="00846ACC" w:rsidRPr="004974C0" w14:paraId="6A2E2BB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0000FF"/>
            <w:noWrap/>
            <w:vAlign w:val="bottom"/>
            <w:hideMark/>
          </w:tcPr>
          <w:p w14:paraId="7E32D6AA"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Glava 10003 VATROGASNE POSTROJBE</w:t>
            </w:r>
          </w:p>
        </w:tc>
        <w:tc>
          <w:tcPr>
            <w:tcW w:w="1984" w:type="dxa"/>
            <w:tcBorders>
              <w:top w:val="nil"/>
              <w:left w:val="nil"/>
              <w:bottom w:val="single" w:sz="4" w:space="0" w:color="auto"/>
              <w:right w:val="single" w:sz="4" w:space="0" w:color="auto"/>
            </w:tcBorders>
            <w:shd w:val="clear" w:color="000000" w:fill="0000FF"/>
            <w:noWrap/>
            <w:vAlign w:val="bottom"/>
            <w:hideMark/>
          </w:tcPr>
          <w:p w14:paraId="7F623928"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0000FF"/>
            <w:noWrap/>
            <w:vAlign w:val="bottom"/>
            <w:hideMark/>
          </w:tcPr>
          <w:p w14:paraId="7637A80B"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1.597.472,00</w:t>
            </w:r>
          </w:p>
        </w:tc>
        <w:tc>
          <w:tcPr>
            <w:tcW w:w="1843" w:type="dxa"/>
            <w:tcBorders>
              <w:top w:val="nil"/>
              <w:left w:val="nil"/>
              <w:bottom w:val="single" w:sz="4" w:space="0" w:color="auto"/>
              <w:right w:val="single" w:sz="4" w:space="0" w:color="auto"/>
            </w:tcBorders>
            <w:shd w:val="clear" w:color="000000" w:fill="0000FF"/>
            <w:noWrap/>
            <w:vAlign w:val="bottom"/>
            <w:hideMark/>
          </w:tcPr>
          <w:p w14:paraId="50369938"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40.168,00</w:t>
            </w:r>
          </w:p>
        </w:tc>
        <w:tc>
          <w:tcPr>
            <w:tcW w:w="1559" w:type="dxa"/>
            <w:tcBorders>
              <w:top w:val="nil"/>
              <w:left w:val="nil"/>
              <w:bottom w:val="single" w:sz="4" w:space="0" w:color="auto"/>
              <w:right w:val="single" w:sz="4" w:space="0" w:color="auto"/>
            </w:tcBorders>
            <w:shd w:val="clear" w:color="000000" w:fill="0000FF"/>
            <w:noWrap/>
            <w:vAlign w:val="bottom"/>
            <w:hideMark/>
          </w:tcPr>
          <w:p w14:paraId="59A0D07C"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2,51</w:t>
            </w:r>
          </w:p>
        </w:tc>
        <w:tc>
          <w:tcPr>
            <w:tcW w:w="1803" w:type="dxa"/>
            <w:tcBorders>
              <w:top w:val="nil"/>
              <w:left w:val="nil"/>
              <w:bottom w:val="single" w:sz="4" w:space="0" w:color="auto"/>
              <w:right w:val="single" w:sz="4" w:space="0" w:color="auto"/>
            </w:tcBorders>
            <w:shd w:val="clear" w:color="000000" w:fill="0000FF"/>
            <w:noWrap/>
            <w:vAlign w:val="bottom"/>
            <w:hideMark/>
          </w:tcPr>
          <w:p w14:paraId="096B0868"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1.637.640,00</w:t>
            </w:r>
          </w:p>
        </w:tc>
      </w:tr>
      <w:tr w:rsidR="00846ACC" w:rsidRPr="004974C0" w14:paraId="5803F9A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3366FF"/>
            <w:noWrap/>
            <w:vAlign w:val="bottom"/>
            <w:hideMark/>
          </w:tcPr>
          <w:p w14:paraId="084FCC39"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Proračunski korisnik 35837 JAVNA VATROGASNA POSTROJBA LABIN</w:t>
            </w:r>
          </w:p>
        </w:tc>
        <w:tc>
          <w:tcPr>
            <w:tcW w:w="1984" w:type="dxa"/>
            <w:tcBorders>
              <w:top w:val="nil"/>
              <w:left w:val="nil"/>
              <w:bottom w:val="single" w:sz="4" w:space="0" w:color="auto"/>
              <w:right w:val="single" w:sz="4" w:space="0" w:color="auto"/>
            </w:tcBorders>
            <w:shd w:val="clear" w:color="000000" w:fill="3366FF"/>
            <w:noWrap/>
            <w:vAlign w:val="bottom"/>
            <w:hideMark/>
          </w:tcPr>
          <w:p w14:paraId="785A57C8"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3366FF"/>
            <w:noWrap/>
            <w:vAlign w:val="bottom"/>
            <w:hideMark/>
          </w:tcPr>
          <w:p w14:paraId="3CE692E3"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1.597.472,00</w:t>
            </w:r>
          </w:p>
        </w:tc>
        <w:tc>
          <w:tcPr>
            <w:tcW w:w="1843" w:type="dxa"/>
            <w:tcBorders>
              <w:top w:val="nil"/>
              <w:left w:val="nil"/>
              <w:bottom w:val="single" w:sz="4" w:space="0" w:color="auto"/>
              <w:right w:val="single" w:sz="4" w:space="0" w:color="auto"/>
            </w:tcBorders>
            <w:shd w:val="clear" w:color="000000" w:fill="3366FF"/>
            <w:noWrap/>
            <w:vAlign w:val="bottom"/>
            <w:hideMark/>
          </w:tcPr>
          <w:p w14:paraId="749DD26C"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40.168,00</w:t>
            </w:r>
          </w:p>
        </w:tc>
        <w:tc>
          <w:tcPr>
            <w:tcW w:w="1559" w:type="dxa"/>
            <w:tcBorders>
              <w:top w:val="nil"/>
              <w:left w:val="nil"/>
              <w:bottom w:val="single" w:sz="4" w:space="0" w:color="auto"/>
              <w:right w:val="single" w:sz="4" w:space="0" w:color="auto"/>
            </w:tcBorders>
            <w:shd w:val="clear" w:color="000000" w:fill="3366FF"/>
            <w:noWrap/>
            <w:vAlign w:val="bottom"/>
            <w:hideMark/>
          </w:tcPr>
          <w:p w14:paraId="659E6FC5"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2,51</w:t>
            </w:r>
          </w:p>
        </w:tc>
        <w:tc>
          <w:tcPr>
            <w:tcW w:w="1803" w:type="dxa"/>
            <w:tcBorders>
              <w:top w:val="nil"/>
              <w:left w:val="nil"/>
              <w:bottom w:val="single" w:sz="4" w:space="0" w:color="auto"/>
              <w:right w:val="single" w:sz="4" w:space="0" w:color="auto"/>
            </w:tcBorders>
            <w:shd w:val="clear" w:color="000000" w:fill="3366FF"/>
            <w:noWrap/>
            <w:vAlign w:val="bottom"/>
            <w:hideMark/>
          </w:tcPr>
          <w:p w14:paraId="0A32C032"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1.637.640,00</w:t>
            </w:r>
          </w:p>
        </w:tc>
      </w:tr>
      <w:tr w:rsidR="00846ACC" w:rsidRPr="004974C0" w14:paraId="42AE32D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2B8D846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6F1D9CF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E1A997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486.044,00</w:t>
            </w:r>
          </w:p>
        </w:tc>
        <w:tc>
          <w:tcPr>
            <w:tcW w:w="1843" w:type="dxa"/>
            <w:tcBorders>
              <w:top w:val="nil"/>
              <w:left w:val="nil"/>
              <w:bottom w:val="single" w:sz="4" w:space="0" w:color="auto"/>
              <w:right w:val="single" w:sz="4" w:space="0" w:color="auto"/>
            </w:tcBorders>
            <w:shd w:val="clear" w:color="000000" w:fill="FFFFFF"/>
            <w:noWrap/>
            <w:vAlign w:val="bottom"/>
            <w:hideMark/>
          </w:tcPr>
          <w:p w14:paraId="3D7F962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34.930,00</w:t>
            </w:r>
          </w:p>
        </w:tc>
        <w:tc>
          <w:tcPr>
            <w:tcW w:w="1559" w:type="dxa"/>
            <w:tcBorders>
              <w:top w:val="nil"/>
              <w:left w:val="nil"/>
              <w:bottom w:val="single" w:sz="4" w:space="0" w:color="auto"/>
              <w:right w:val="single" w:sz="4" w:space="0" w:color="auto"/>
            </w:tcBorders>
            <w:shd w:val="clear" w:color="000000" w:fill="FFFFFF"/>
            <w:noWrap/>
            <w:vAlign w:val="bottom"/>
            <w:hideMark/>
          </w:tcPr>
          <w:p w14:paraId="62AFF0B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7,19</w:t>
            </w:r>
          </w:p>
        </w:tc>
        <w:tc>
          <w:tcPr>
            <w:tcW w:w="1803" w:type="dxa"/>
            <w:tcBorders>
              <w:top w:val="nil"/>
              <w:left w:val="nil"/>
              <w:bottom w:val="single" w:sz="4" w:space="0" w:color="auto"/>
              <w:right w:val="single" w:sz="4" w:space="0" w:color="auto"/>
            </w:tcBorders>
            <w:shd w:val="clear" w:color="000000" w:fill="FFFFFF"/>
            <w:noWrap/>
            <w:vAlign w:val="bottom"/>
            <w:hideMark/>
          </w:tcPr>
          <w:p w14:paraId="12B19BA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520.974,00</w:t>
            </w:r>
          </w:p>
        </w:tc>
      </w:tr>
      <w:tr w:rsidR="00846ACC" w:rsidRPr="004974C0" w14:paraId="21BB07E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2FE1004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65D56B8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78B06E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486.044,00</w:t>
            </w:r>
          </w:p>
        </w:tc>
        <w:tc>
          <w:tcPr>
            <w:tcW w:w="1843" w:type="dxa"/>
            <w:tcBorders>
              <w:top w:val="nil"/>
              <w:left w:val="nil"/>
              <w:bottom w:val="single" w:sz="4" w:space="0" w:color="auto"/>
              <w:right w:val="single" w:sz="4" w:space="0" w:color="auto"/>
            </w:tcBorders>
            <w:shd w:val="clear" w:color="000000" w:fill="FFFFFF"/>
            <w:noWrap/>
            <w:vAlign w:val="bottom"/>
            <w:hideMark/>
          </w:tcPr>
          <w:p w14:paraId="3B9515E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34.930,00</w:t>
            </w:r>
          </w:p>
        </w:tc>
        <w:tc>
          <w:tcPr>
            <w:tcW w:w="1559" w:type="dxa"/>
            <w:tcBorders>
              <w:top w:val="nil"/>
              <w:left w:val="nil"/>
              <w:bottom w:val="single" w:sz="4" w:space="0" w:color="auto"/>
              <w:right w:val="single" w:sz="4" w:space="0" w:color="auto"/>
            </w:tcBorders>
            <w:shd w:val="clear" w:color="000000" w:fill="FFFFFF"/>
            <w:noWrap/>
            <w:vAlign w:val="bottom"/>
            <w:hideMark/>
          </w:tcPr>
          <w:p w14:paraId="6176F38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7,19</w:t>
            </w:r>
          </w:p>
        </w:tc>
        <w:tc>
          <w:tcPr>
            <w:tcW w:w="1803" w:type="dxa"/>
            <w:tcBorders>
              <w:top w:val="nil"/>
              <w:left w:val="nil"/>
              <w:bottom w:val="single" w:sz="4" w:space="0" w:color="auto"/>
              <w:right w:val="single" w:sz="4" w:space="0" w:color="auto"/>
            </w:tcBorders>
            <w:shd w:val="clear" w:color="000000" w:fill="FFFFFF"/>
            <w:noWrap/>
            <w:vAlign w:val="bottom"/>
            <w:hideMark/>
          </w:tcPr>
          <w:p w14:paraId="2B6A228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520.974,00</w:t>
            </w:r>
          </w:p>
        </w:tc>
      </w:tr>
      <w:tr w:rsidR="00846ACC" w:rsidRPr="004974C0" w14:paraId="410447C0"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F2C177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 VLASTITI PRIHODI</w:t>
            </w:r>
          </w:p>
        </w:tc>
        <w:tc>
          <w:tcPr>
            <w:tcW w:w="1984" w:type="dxa"/>
            <w:tcBorders>
              <w:top w:val="nil"/>
              <w:left w:val="nil"/>
              <w:bottom w:val="single" w:sz="4" w:space="0" w:color="auto"/>
              <w:right w:val="single" w:sz="4" w:space="0" w:color="auto"/>
            </w:tcBorders>
            <w:shd w:val="clear" w:color="000000" w:fill="FFFFFF"/>
            <w:noWrap/>
            <w:vAlign w:val="bottom"/>
            <w:hideMark/>
          </w:tcPr>
          <w:p w14:paraId="798D208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6267F6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37.000,00</w:t>
            </w:r>
          </w:p>
        </w:tc>
        <w:tc>
          <w:tcPr>
            <w:tcW w:w="1843" w:type="dxa"/>
            <w:tcBorders>
              <w:top w:val="nil"/>
              <w:left w:val="nil"/>
              <w:bottom w:val="single" w:sz="4" w:space="0" w:color="auto"/>
              <w:right w:val="single" w:sz="4" w:space="0" w:color="auto"/>
            </w:tcBorders>
            <w:shd w:val="clear" w:color="000000" w:fill="FFFFFF"/>
            <w:noWrap/>
            <w:vAlign w:val="bottom"/>
            <w:hideMark/>
          </w:tcPr>
          <w:p w14:paraId="7DF2D65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3.677,00</w:t>
            </w:r>
          </w:p>
        </w:tc>
        <w:tc>
          <w:tcPr>
            <w:tcW w:w="1559" w:type="dxa"/>
            <w:tcBorders>
              <w:top w:val="nil"/>
              <w:left w:val="nil"/>
              <w:bottom w:val="single" w:sz="4" w:space="0" w:color="auto"/>
              <w:right w:val="single" w:sz="4" w:space="0" w:color="auto"/>
            </w:tcBorders>
            <w:shd w:val="clear" w:color="000000" w:fill="FFFFFF"/>
            <w:noWrap/>
            <w:vAlign w:val="bottom"/>
            <w:hideMark/>
          </w:tcPr>
          <w:p w14:paraId="68163A8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9,94</w:t>
            </w:r>
          </w:p>
        </w:tc>
        <w:tc>
          <w:tcPr>
            <w:tcW w:w="1803" w:type="dxa"/>
            <w:tcBorders>
              <w:top w:val="nil"/>
              <w:left w:val="nil"/>
              <w:bottom w:val="single" w:sz="4" w:space="0" w:color="auto"/>
              <w:right w:val="single" w:sz="4" w:space="0" w:color="auto"/>
            </w:tcBorders>
            <w:shd w:val="clear" w:color="000000" w:fill="FFFFFF"/>
            <w:noWrap/>
            <w:vAlign w:val="bottom"/>
            <w:hideMark/>
          </w:tcPr>
          <w:p w14:paraId="37CFFC0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40.677,00</w:t>
            </w:r>
          </w:p>
        </w:tc>
      </w:tr>
      <w:tr w:rsidR="00846ACC" w:rsidRPr="004974C0" w14:paraId="1BC5541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C4154D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3.9. VLASTITI PRIHODI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51615A0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EC7C42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37.000,00</w:t>
            </w:r>
          </w:p>
        </w:tc>
        <w:tc>
          <w:tcPr>
            <w:tcW w:w="1843" w:type="dxa"/>
            <w:tcBorders>
              <w:top w:val="nil"/>
              <w:left w:val="nil"/>
              <w:bottom w:val="single" w:sz="4" w:space="0" w:color="auto"/>
              <w:right w:val="single" w:sz="4" w:space="0" w:color="auto"/>
            </w:tcBorders>
            <w:shd w:val="clear" w:color="000000" w:fill="FFFFFF"/>
            <w:noWrap/>
            <w:vAlign w:val="bottom"/>
            <w:hideMark/>
          </w:tcPr>
          <w:p w14:paraId="70BC6DB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3.677,00</w:t>
            </w:r>
          </w:p>
        </w:tc>
        <w:tc>
          <w:tcPr>
            <w:tcW w:w="1559" w:type="dxa"/>
            <w:tcBorders>
              <w:top w:val="nil"/>
              <w:left w:val="nil"/>
              <w:bottom w:val="single" w:sz="4" w:space="0" w:color="auto"/>
              <w:right w:val="single" w:sz="4" w:space="0" w:color="auto"/>
            </w:tcBorders>
            <w:shd w:val="clear" w:color="000000" w:fill="FFFFFF"/>
            <w:noWrap/>
            <w:vAlign w:val="bottom"/>
            <w:hideMark/>
          </w:tcPr>
          <w:p w14:paraId="07CB1BF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9,94</w:t>
            </w:r>
          </w:p>
        </w:tc>
        <w:tc>
          <w:tcPr>
            <w:tcW w:w="1803" w:type="dxa"/>
            <w:tcBorders>
              <w:top w:val="nil"/>
              <w:left w:val="nil"/>
              <w:bottom w:val="single" w:sz="4" w:space="0" w:color="auto"/>
              <w:right w:val="single" w:sz="4" w:space="0" w:color="auto"/>
            </w:tcBorders>
            <w:shd w:val="clear" w:color="000000" w:fill="FFFFFF"/>
            <w:noWrap/>
            <w:vAlign w:val="bottom"/>
            <w:hideMark/>
          </w:tcPr>
          <w:p w14:paraId="15FCBC0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40.677,00</w:t>
            </w:r>
          </w:p>
        </w:tc>
      </w:tr>
      <w:tr w:rsidR="00846ACC" w:rsidRPr="004974C0" w14:paraId="4853155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7C370AF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 POMOĆI</w:t>
            </w:r>
          </w:p>
        </w:tc>
        <w:tc>
          <w:tcPr>
            <w:tcW w:w="1984" w:type="dxa"/>
            <w:tcBorders>
              <w:top w:val="nil"/>
              <w:left w:val="nil"/>
              <w:bottom w:val="single" w:sz="4" w:space="0" w:color="auto"/>
              <w:right w:val="single" w:sz="4" w:space="0" w:color="auto"/>
            </w:tcBorders>
            <w:shd w:val="clear" w:color="000000" w:fill="FFFFFF"/>
            <w:noWrap/>
            <w:vAlign w:val="bottom"/>
            <w:hideMark/>
          </w:tcPr>
          <w:p w14:paraId="66AD343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DB93E0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945.344,00</w:t>
            </w:r>
          </w:p>
        </w:tc>
        <w:tc>
          <w:tcPr>
            <w:tcW w:w="1843" w:type="dxa"/>
            <w:tcBorders>
              <w:top w:val="nil"/>
              <w:left w:val="nil"/>
              <w:bottom w:val="single" w:sz="4" w:space="0" w:color="auto"/>
              <w:right w:val="single" w:sz="4" w:space="0" w:color="auto"/>
            </w:tcBorders>
            <w:shd w:val="clear" w:color="000000" w:fill="FFFFFF"/>
            <w:noWrap/>
            <w:vAlign w:val="bottom"/>
            <w:hideMark/>
          </w:tcPr>
          <w:p w14:paraId="668E86A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66.946,00</w:t>
            </w:r>
          </w:p>
        </w:tc>
        <w:tc>
          <w:tcPr>
            <w:tcW w:w="1559" w:type="dxa"/>
            <w:tcBorders>
              <w:top w:val="nil"/>
              <w:left w:val="nil"/>
              <w:bottom w:val="single" w:sz="4" w:space="0" w:color="auto"/>
              <w:right w:val="single" w:sz="4" w:space="0" w:color="auto"/>
            </w:tcBorders>
            <w:shd w:val="clear" w:color="000000" w:fill="FFFFFF"/>
            <w:noWrap/>
            <w:vAlign w:val="bottom"/>
            <w:hideMark/>
          </w:tcPr>
          <w:p w14:paraId="04CFF61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7,08</w:t>
            </w:r>
          </w:p>
        </w:tc>
        <w:tc>
          <w:tcPr>
            <w:tcW w:w="1803" w:type="dxa"/>
            <w:tcBorders>
              <w:top w:val="nil"/>
              <w:left w:val="nil"/>
              <w:bottom w:val="single" w:sz="4" w:space="0" w:color="auto"/>
              <w:right w:val="single" w:sz="4" w:space="0" w:color="auto"/>
            </w:tcBorders>
            <w:shd w:val="clear" w:color="000000" w:fill="FFFFFF"/>
            <w:noWrap/>
            <w:vAlign w:val="bottom"/>
            <w:hideMark/>
          </w:tcPr>
          <w:p w14:paraId="392129F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1.012.290,00</w:t>
            </w:r>
          </w:p>
        </w:tc>
      </w:tr>
      <w:tr w:rsidR="00846ACC" w:rsidRPr="004974C0" w14:paraId="67487B2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66657B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5.1. POTPORA ZA DECENTRALIZIRANE FUNKCIJE</w:t>
            </w:r>
          </w:p>
        </w:tc>
        <w:tc>
          <w:tcPr>
            <w:tcW w:w="1984" w:type="dxa"/>
            <w:tcBorders>
              <w:top w:val="nil"/>
              <w:left w:val="nil"/>
              <w:bottom w:val="single" w:sz="4" w:space="0" w:color="auto"/>
              <w:right w:val="single" w:sz="4" w:space="0" w:color="auto"/>
            </w:tcBorders>
            <w:shd w:val="clear" w:color="000000" w:fill="FFFFFF"/>
            <w:noWrap/>
            <w:vAlign w:val="bottom"/>
            <w:hideMark/>
          </w:tcPr>
          <w:p w14:paraId="0F3FC84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CF3C3A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455.362,00</w:t>
            </w:r>
          </w:p>
        </w:tc>
        <w:tc>
          <w:tcPr>
            <w:tcW w:w="1843" w:type="dxa"/>
            <w:tcBorders>
              <w:top w:val="nil"/>
              <w:left w:val="nil"/>
              <w:bottom w:val="single" w:sz="4" w:space="0" w:color="auto"/>
              <w:right w:val="single" w:sz="4" w:space="0" w:color="auto"/>
            </w:tcBorders>
            <w:shd w:val="clear" w:color="000000" w:fill="FFFFFF"/>
            <w:noWrap/>
            <w:vAlign w:val="bottom"/>
            <w:hideMark/>
          </w:tcPr>
          <w:p w14:paraId="4EA5D8C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31.876,00</w:t>
            </w:r>
          </w:p>
        </w:tc>
        <w:tc>
          <w:tcPr>
            <w:tcW w:w="1559" w:type="dxa"/>
            <w:tcBorders>
              <w:top w:val="nil"/>
              <w:left w:val="nil"/>
              <w:bottom w:val="single" w:sz="4" w:space="0" w:color="auto"/>
              <w:right w:val="single" w:sz="4" w:space="0" w:color="auto"/>
            </w:tcBorders>
            <w:shd w:val="clear" w:color="000000" w:fill="FFFFFF"/>
            <w:noWrap/>
            <w:vAlign w:val="bottom"/>
            <w:hideMark/>
          </w:tcPr>
          <w:p w14:paraId="4B7A0E7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w:t>
            </w:r>
          </w:p>
        </w:tc>
        <w:tc>
          <w:tcPr>
            <w:tcW w:w="1803" w:type="dxa"/>
            <w:tcBorders>
              <w:top w:val="nil"/>
              <w:left w:val="nil"/>
              <w:bottom w:val="single" w:sz="4" w:space="0" w:color="auto"/>
              <w:right w:val="single" w:sz="4" w:space="0" w:color="auto"/>
            </w:tcBorders>
            <w:shd w:val="clear" w:color="000000" w:fill="FFFFFF"/>
            <w:noWrap/>
            <w:vAlign w:val="bottom"/>
            <w:hideMark/>
          </w:tcPr>
          <w:p w14:paraId="248A436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487.238,00</w:t>
            </w:r>
          </w:p>
        </w:tc>
      </w:tr>
      <w:tr w:rsidR="00846ACC" w:rsidRPr="004974C0" w14:paraId="4C0A53E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62A9F5A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FF"/>
            <w:noWrap/>
            <w:vAlign w:val="bottom"/>
            <w:hideMark/>
          </w:tcPr>
          <w:p w14:paraId="2D425AD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5A2D88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489.982,00</w:t>
            </w:r>
          </w:p>
        </w:tc>
        <w:tc>
          <w:tcPr>
            <w:tcW w:w="1843" w:type="dxa"/>
            <w:tcBorders>
              <w:top w:val="nil"/>
              <w:left w:val="nil"/>
              <w:bottom w:val="single" w:sz="4" w:space="0" w:color="auto"/>
              <w:right w:val="single" w:sz="4" w:space="0" w:color="auto"/>
            </w:tcBorders>
            <w:shd w:val="clear" w:color="000000" w:fill="FFFFFF"/>
            <w:noWrap/>
            <w:vAlign w:val="bottom"/>
            <w:hideMark/>
          </w:tcPr>
          <w:p w14:paraId="335942E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35.070,00</w:t>
            </w:r>
          </w:p>
        </w:tc>
        <w:tc>
          <w:tcPr>
            <w:tcW w:w="1559" w:type="dxa"/>
            <w:tcBorders>
              <w:top w:val="nil"/>
              <w:left w:val="nil"/>
              <w:bottom w:val="single" w:sz="4" w:space="0" w:color="auto"/>
              <w:right w:val="single" w:sz="4" w:space="0" w:color="auto"/>
            </w:tcBorders>
            <w:shd w:val="clear" w:color="000000" w:fill="FFFFFF"/>
            <w:noWrap/>
            <w:vAlign w:val="bottom"/>
            <w:hideMark/>
          </w:tcPr>
          <w:p w14:paraId="02696B6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7,16</w:t>
            </w:r>
          </w:p>
        </w:tc>
        <w:tc>
          <w:tcPr>
            <w:tcW w:w="1803" w:type="dxa"/>
            <w:tcBorders>
              <w:top w:val="nil"/>
              <w:left w:val="nil"/>
              <w:bottom w:val="single" w:sz="4" w:space="0" w:color="auto"/>
              <w:right w:val="single" w:sz="4" w:space="0" w:color="auto"/>
            </w:tcBorders>
            <w:shd w:val="clear" w:color="000000" w:fill="FFFFFF"/>
            <w:noWrap/>
            <w:vAlign w:val="bottom"/>
            <w:hideMark/>
          </w:tcPr>
          <w:p w14:paraId="214AC23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525.052,00</w:t>
            </w:r>
          </w:p>
        </w:tc>
      </w:tr>
      <w:tr w:rsidR="00846ACC" w:rsidRPr="004974C0" w14:paraId="1832DFE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4340FF0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 DONACIJE</w:t>
            </w:r>
          </w:p>
        </w:tc>
        <w:tc>
          <w:tcPr>
            <w:tcW w:w="1984" w:type="dxa"/>
            <w:tcBorders>
              <w:top w:val="nil"/>
              <w:left w:val="nil"/>
              <w:bottom w:val="single" w:sz="4" w:space="0" w:color="auto"/>
              <w:right w:val="single" w:sz="4" w:space="0" w:color="auto"/>
            </w:tcBorders>
            <w:shd w:val="clear" w:color="000000" w:fill="FFFFFF"/>
            <w:noWrap/>
            <w:vAlign w:val="bottom"/>
            <w:hideMark/>
          </w:tcPr>
          <w:p w14:paraId="2F83DDD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0E38E4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123.684,00</w:t>
            </w:r>
          </w:p>
        </w:tc>
        <w:tc>
          <w:tcPr>
            <w:tcW w:w="1843" w:type="dxa"/>
            <w:tcBorders>
              <w:top w:val="nil"/>
              <w:left w:val="nil"/>
              <w:bottom w:val="single" w:sz="4" w:space="0" w:color="auto"/>
              <w:right w:val="single" w:sz="4" w:space="0" w:color="auto"/>
            </w:tcBorders>
            <w:shd w:val="clear" w:color="000000" w:fill="FFFFFF"/>
            <w:noWrap/>
            <w:vAlign w:val="bottom"/>
            <w:hideMark/>
          </w:tcPr>
          <w:p w14:paraId="64D6F51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-67.996,00</w:t>
            </w:r>
          </w:p>
        </w:tc>
        <w:tc>
          <w:tcPr>
            <w:tcW w:w="1559" w:type="dxa"/>
            <w:tcBorders>
              <w:top w:val="nil"/>
              <w:left w:val="nil"/>
              <w:bottom w:val="single" w:sz="4" w:space="0" w:color="auto"/>
              <w:right w:val="single" w:sz="4" w:space="0" w:color="auto"/>
            </w:tcBorders>
            <w:shd w:val="clear" w:color="000000" w:fill="FFFFFF"/>
            <w:noWrap/>
            <w:vAlign w:val="bottom"/>
            <w:hideMark/>
          </w:tcPr>
          <w:p w14:paraId="25855A6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-54,98</w:t>
            </w:r>
          </w:p>
        </w:tc>
        <w:tc>
          <w:tcPr>
            <w:tcW w:w="1803" w:type="dxa"/>
            <w:tcBorders>
              <w:top w:val="nil"/>
              <w:left w:val="nil"/>
              <w:bottom w:val="single" w:sz="4" w:space="0" w:color="auto"/>
              <w:right w:val="single" w:sz="4" w:space="0" w:color="auto"/>
            </w:tcBorders>
            <w:shd w:val="clear" w:color="000000" w:fill="FFFFFF"/>
            <w:noWrap/>
            <w:vAlign w:val="bottom"/>
            <w:hideMark/>
          </w:tcPr>
          <w:p w14:paraId="07E9321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55.688,00</w:t>
            </w:r>
          </w:p>
        </w:tc>
      </w:tr>
      <w:tr w:rsidR="00846ACC" w:rsidRPr="004974C0" w14:paraId="08FAF4E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72C3F14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6.9. 6.DONACIJE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620B837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EBF23E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123.684,00</w:t>
            </w:r>
          </w:p>
        </w:tc>
        <w:tc>
          <w:tcPr>
            <w:tcW w:w="1843" w:type="dxa"/>
            <w:tcBorders>
              <w:top w:val="nil"/>
              <w:left w:val="nil"/>
              <w:bottom w:val="single" w:sz="4" w:space="0" w:color="auto"/>
              <w:right w:val="single" w:sz="4" w:space="0" w:color="auto"/>
            </w:tcBorders>
            <w:shd w:val="clear" w:color="000000" w:fill="FFFFFF"/>
            <w:noWrap/>
            <w:vAlign w:val="bottom"/>
            <w:hideMark/>
          </w:tcPr>
          <w:p w14:paraId="35D12D2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-67.996,00</w:t>
            </w:r>
          </w:p>
        </w:tc>
        <w:tc>
          <w:tcPr>
            <w:tcW w:w="1559" w:type="dxa"/>
            <w:tcBorders>
              <w:top w:val="nil"/>
              <w:left w:val="nil"/>
              <w:bottom w:val="single" w:sz="4" w:space="0" w:color="auto"/>
              <w:right w:val="single" w:sz="4" w:space="0" w:color="auto"/>
            </w:tcBorders>
            <w:shd w:val="clear" w:color="000000" w:fill="FFFFFF"/>
            <w:noWrap/>
            <w:vAlign w:val="bottom"/>
            <w:hideMark/>
          </w:tcPr>
          <w:p w14:paraId="34BF3D0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-54,98</w:t>
            </w:r>
          </w:p>
        </w:tc>
        <w:tc>
          <w:tcPr>
            <w:tcW w:w="1803" w:type="dxa"/>
            <w:tcBorders>
              <w:top w:val="nil"/>
              <w:left w:val="nil"/>
              <w:bottom w:val="single" w:sz="4" w:space="0" w:color="auto"/>
              <w:right w:val="single" w:sz="4" w:space="0" w:color="auto"/>
            </w:tcBorders>
            <w:shd w:val="clear" w:color="000000" w:fill="FFFFFF"/>
            <w:noWrap/>
            <w:vAlign w:val="bottom"/>
            <w:hideMark/>
          </w:tcPr>
          <w:p w14:paraId="27948D3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55.688,00</w:t>
            </w:r>
          </w:p>
        </w:tc>
      </w:tr>
      <w:tr w:rsidR="00846ACC" w:rsidRPr="004974C0" w14:paraId="071B8AA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E927EB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 PRIHODI OD NEFINANCIJSKE IMOVINE</w:t>
            </w:r>
          </w:p>
        </w:tc>
        <w:tc>
          <w:tcPr>
            <w:tcW w:w="1984" w:type="dxa"/>
            <w:tcBorders>
              <w:top w:val="nil"/>
              <w:left w:val="nil"/>
              <w:bottom w:val="single" w:sz="4" w:space="0" w:color="auto"/>
              <w:right w:val="single" w:sz="4" w:space="0" w:color="auto"/>
            </w:tcBorders>
            <w:shd w:val="clear" w:color="000000" w:fill="FFFFFF"/>
            <w:noWrap/>
            <w:vAlign w:val="bottom"/>
            <w:hideMark/>
          </w:tcPr>
          <w:p w14:paraId="7514E84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E20FBC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5.400,00</w:t>
            </w:r>
          </w:p>
        </w:tc>
        <w:tc>
          <w:tcPr>
            <w:tcW w:w="1843" w:type="dxa"/>
            <w:tcBorders>
              <w:top w:val="nil"/>
              <w:left w:val="nil"/>
              <w:bottom w:val="single" w:sz="4" w:space="0" w:color="auto"/>
              <w:right w:val="single" w:sz="4" w:space="0" w:color="auto"/>
            </w:tcBorders>
            <w:shd w:val="clear" w:color="000000" w:fill="FFFFFF"/>
            <w:noWrap/>
            <w:vAlign w:val="bottom"/>
            <w:hideMark/>
          </w:tcPr>
          <w:p w14:paraId="1267326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2.611,00</w:t>
            </w:r>
          </w:p>
        </w:tc>
        <w:tc>
          <w:tcPr>
            <w:tcW w:w="1559" w:type="dxa"/>
            <w:tcBorders>
              <w:top w:val="nil"/>
              <w:left w:val="nil"/>
              <w:bottom w:val="single" w:sz="4" w:space="0" w:color="auto"/>
              <w:right w:val="single" w:sz="4" w:space="0" w:color="auto"/>
            </w:tcBorders>
            <w:shd w:val="clear" w:color="000000" w:fill="FFFFFF"/>
            <w:noWrap/>
            <w:vAlign w:val="bottom"/>
            <w:hideMark/>
          </w:tcPr>
          <w:p w14:paraId="1C051C4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48,35</w:t>
            </w:r>
          </w:p>
        </w:tc>
        <w:tc>
          <w:tcPr>
            <w:tcW w:w="1803" w:type="dxa"/>
            <w:tcBorders>
              <w:top w:val="nil"/>
              <w:left w:val="nil"/>
              <w:bottom w:val="single" w:sz="4" w:space="0" w:color="auto"/>
              <w:right w:val="single" w:sz="4" w:space="0" w:color="auto"/>
            </w:tcBorders>
            <w:shd w:val="clear" w:color="000000" w:fill="FFFFFF"/>
            <w:noWrap/>
            <w:vAlign w:val="bottom"/>
            <w:hideMark/>
          </w:tcPr>
          <w:p w14:paraId="0B1A32C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8.011,00</w:t>
            </w:r>
          </w:p>
        </w:tc>
      </w:tr>
      <w:tr w:rsidR="00846ACC" w:rsidRPr="004974C0" w14:paraId="10BA77F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46A2507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7.9. 7.PRIHODI OD NAKNADA ŠTETA S OSN.OSIGUR.-PRIH.KOR.</w:t>
            </w:r>
          </w:p>
        </w:tc>
        <w:tc>
          <w:tcPr>
            <w:tcW w:w="1984" w:type="dxa"/>
            <w:tcBorders>
              <w:top w:val="nil"/>
              <w:left w:val="nil"/>
              <w:bottom w:val="single" w:sz="4" w:space="0" w:color="auto"/>
              <w:right w:val="single" w:sz="4" w:space="0" w:color="auto"/>
            </w:tcBorders>
            <w:shd w:val="clear" w:color="000000" w:fill="FFFFFF"/>
            <w:noWrap/>
            <w:vAlign w:val="bottom"/>
            <w:hideMark/>
          </w:tcPr>
          <w:p w14:paraId="5BF63A2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022B2B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5.400,00</w:t>
            </w:r>
          </w:p>
        </w:tc>
        <w:tc>
          <w:tcPr>
            <w:tcW w:w="1843" w:type="dxa"/>
            <w:tcBorders>
              <w:top w:val="nil"/>
              <w:left w:val="nil"/>
              <w:bottom w:val="single" w:sz="4" w:space="0" w:color="auto"/>
              <w:right w:val="single" w:sz="4" w:space="0" w:color="auto"/>
            </w:tcBorders>
            <w:shd w:val="clear" w:color="000000" w:fill="FFFFFF"/>
            <w:noWrap/>
            <w:vAlign w:val="bottom"/>
            <w:hideMark/>
          </w:tcPr>
          <w:p w14:paraId="1E2F765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2.611,00</w:t>
            </w:r>
          </w:p>
        </w:tc>
        <w:tc>
          <w:tcPr>
            <w:tcW w:w="1559" w:type="dxa"/>
            <w:tcBorders>
              <w:top w:val="nil"/>
              <w:left w:val="nil"/>
              <w:bottom w:val="single" w:sz="4" w:space="0" w:color="auto"/>
              <w:right w:val="single" w:sz="4" w:space="0" w:color="auto"/>
            </w:tcBorders>
            <w:shd w:val="clear" w:color="000000" w:fill="FFFFFF"/>
            <w:noWrap/>
            <w:vAlign w:val="bottom"/>
            <w:hideMark/>
          </w:tcPr>
          <w:p w14:paraId="1DDCC41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48,35</w:t>
            </w:r>
          </w:p>
        </w:tc>
        <w:tc>
          <w:tcPr>
            <w:tcW w:w="1803" w:type="dxa"/>
            <w:tcBorders>
              <w:top w:val="nil"/>
              <w:left w:val="nil"/>
              <w:bottom w:val="single" w:sz="4" w:space="0" w:color="auto"/>
              <w:right w:val="single" w:sz="4" w:space="0" w:color="auto"/>
            </w:tcBorders>
            <w:shd w:val="clear" w:color="000000" w:fill="FFFFFF"/>
            <w:noWrap/>
            <w:vAlign w:val="bottom"/>
            <w:hideMark/>
          </w:tcPr>
          <w:p w14:paraId="395BC5A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8.011,00</w:t>
            </w:r>
          </w:p>
        </w:tc>
      </w:tr>
      <w:tr w:rsidR="00846ACC" w:rsidRPr="004974C0" w14:paraId="0C86B27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5C988EC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1003 Organiziranje i provođenje zaštite i spašavanja</w:t>
            </w:r>
          </w:p>
        </w:tc>
        <w:tc>
          <w:tcPr>
            <w:tcW w:w="1984" w:type="dxa"/>
            <w:tcBorders>
              <w:top w:val="nil"/>
              <w:left w:val="nil"/>
              <w:bottom w:val="single" w:sz="4" w:space="0" w:color="auto"/>
              <w:right w:val="single" w:sz="4" w:space="0" w:color="auto"/>
            </w:tcBorders>
            <w:shd w:val="clear" w:color="000000" w:fill="9999FF"/>
            <w:noWrap/>
            <w:vAlign w:val="bottom"/>
            <w:hideMark/>
          </w:tcPr>
          <w:p w14:paraId="63AA388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1447F49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1.597.472,00</w:t>
            </w:r>
          </w:p>
        </w:tc>
        <w:tc>
          <w:tcPr>
            <w:tcW w:w="1843" w:type="dxa"/>
            <w:tcBorders>
              <w:top w:val="nil"/>
              <w:left w:val="nil"/>
              <w:bottom w:val="single" w:sz="4" w:space="0" w:color="auto"/>
              <w:right w:val="single" w:sz="4" w:space="0" w:color="auto"/>
            </w:tcBorders>
            <w:shd w:val="clear" w:color="000000" w:fill="9999FF"/>
            <w:noWrap/>
            <w:vAlign w:val="bottom"/>
            <w:hideMark/>
          </w:tcPr>
          <w:p w14:paraId="277EA19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40.168,00</w:t>
            </w:r>
          </w:p>
        </w:tc>
        <w:tc>
          <w:tcPr>
            <w:tcW w:w="1559" w:type="dxa"/>
            <w:tcBorders>
              <w:top w:val="nil"/>
              <w:left w:val="nil"/>
              <w:bottom w:val="single" w:sz="4" w:space="0" w:color="auto"/>
              <w:right w:val="single" w:sz="4" w:space="0" w:color="auto"/>
            </w:tcBorders>
            <w:shd w:val="clear" w:color="000000" w:fill="9999FF"/>
            <w:noWrap/>
            <w:vAlign w:val="bottom"/>
            <w:hideMark/>
          </w:tcPr>
          <w:p w14:paraId="4008FC4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2,51</w:t>
            </w:r>
          </w:p>
        </w:tc>
        <w:tc>
          <w:tcPr>
            <w:tcW w:w="1803" w:type="dxa"/>
            <w:tcBorders>
              <w:top w:val="nil"/>
              <w:left w:val="nil"/>
              <w:bottom w:val="single" w:sz="4" w:space="0" w:color="auto"/>
              <w:right w:val="single" w:sz="4" w:space="0" w:color="auto"/>
            </w:tcBorders>
            <w:shd w:val="clear" w:color="000000" w:fill="9999FF"/>
            <w:noWrap/>
            <w:vAlign w:val="bottom"/>
            <w:hideMark/>
          </w:tcPr>
          <w:p w14:paraId="33C44B3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1.637.640,00</w:t>
            </w:r>
          </w:p>
        </w:tc>
      </w:tr>
      <w:tr w:rsidR="00846ACC" w:rsidRPr="004974C0" w14:paraId="78A3379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67909C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A100004 Financiranje Javne vatrogasne postrojbe Labin</w:t>
            </w:r>
          </w:p>
        </w:tc>
        <w:tc>
          <w:tcPr>
            <w:tcW w:w="1984" w:type="dxa"/>
            <w:tcBorders>
              <w:top w:val="nil"/>
              <w:left w:val="nil"/>
              <w:bottom w:val="single" w:sz="4" w:space="0" w:color="auto"/>
              <w:right w:val="single" w:sz="4" w:space="0" w:color="auto"/>
            </w:tcBorders>
            <w:shd w:val="clear" w:color="000000" w:fill="CCCCFF"/>
            <w:noWrap/>
            <w:vAlign w:val="bottom"/>
            <w:hideMark/>
          </w:tcPr>
          <w:p w14:paraId="0C79A20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314A25B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1.579.382,00</w:t>
            </w:r>
          </w:p>
        </w:tc>
        <w:tc>
          <w:tcPr>
            <w:tcW w:w="1843" w:type="dxa"/>
            <w:tcBorders>
              <w:top w:val="nil"/>
              <w:left w:val="nil"/>
              <w:bottom w:val="single" w:sz="4" w:space="0" w:color="auto"/>
              <w:right w:val="single" w:sz="4" w:space="0" w:color="auto"/>
            </w:tcBorders>
            <w:shd w:val="clear" w:color="000000" w:fill="CCCCFF"/>
            <w:noWrap/>
            <w:vAlign w:val="bottom"/>
            <w:hideMark/>
          </w:tcPr>
          <w:p w14:paraId="0494926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40.168,00</w:t>
            </w:r>
          </w:p>
        </w:tc>
        <w:tc>
          <w:tcPr>
            <w:tcW w:w="1559" w:type="dxa"/>
            <w:tcBorders>
              <w:top w:val="nil"/>
              <w:left w:val="nil"/>
              <w:bottom w:val="single" w:sz="4" w:space="0" w:color="auto"/>
              <w:right w:val="single" w:sz="4" w:space="0" w:color="auto"/>
            </w:tcBorders>
            <w:shd w:val="clear" w:color="000000" w:fill="CCCCFF"/>
            <w:noWrap/>
            <w:vAlign w:val="bottom"/>
            <w:hideMark/>
          </w:tcPr>
          <w:p w14:paraId="52C22FF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2,54</w:t>
            </w:r>
          </w:p>
        </w:tc>
        <w:tc>
          <w:tcPr>
            <w:tcW w:w="1803" w:type="dxa"/>
            <w:tcBorders>
              <w:top w:val="nil"/>
              <w:left w:val="nil"/>
              <w:bottom w:val="single" w:sz="4" w:space="0" w:color="auto"/>
              <w:right w:val="single" w:sz="4" w:space="0" w:color="auto"/>
            </w:tcBorders>
            <w:shd w:val="clear" w:color="000000" w:fill="CCCCFF"/>
            <w:noWrap/>
            <w:vAlign w:val="bottom"/>
            <w:hideMark/>
          </w:tcPr>
          <w:p w14:paraId="7EB81FA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1.619.550,00</w:t>
            </w:r>
          </w:p>
        </w:tc>
      </w:tr>
      <w:tr w:rsidR="00846ACC" w:rsidRPr="004974C0" w14:paraId="08C3DFE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898615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78DA229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36DBD3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486.044,00</w:t>
            </w:r>
          </w:p>
        </w:tc>
        <w:tc>
          <w:tcPr>
            <w:tcW w:w="1843" w:type="dxa"/>
            <w:tcBorders>
              <w:top w:val="nil"/>
              <w:left w:val="nil"/>
              <w:bottom w:val="single" w:sz="4" w:space="0" w:color="auto"/>
              <w:right w:val="single" w:sz="4" w:space="0" w:color="auto"/>
            </w:tcBorders>
            <w:shd w:val="clear" w:color="000000" w:fill="FFFF99"/>
            <w:noWrap/>
            <w:vAlign w:val="bottom"/>
            <w:hideMark/>
          </w:tcPr>
          <w:p w14:paraId="0401CAF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34.930,00</w:t>
            </w:r>
          </w:p>
        </w:tc>
        <w:tc>
          <w:tcPr>
            <w:tcW w:w="1559" w:type="dxa"/>
            <w:tcBorders>
              <w:top w:val="nil"/>
              <w:left w:val="nil"/>
              <w:bottom w:val="single" w:sz="4" w:space="0" w:color="auto"/>
              <w:right w:val="single" w:sz="4" w:space="0" w:color="auto"/>
            </w:tcBorders>
            <w:shd w:val="clear" w:color="000000" w:fill="FFFF99"/>
            <w:noWrap/>
            <w:vAlign w:val="bottom"/>
            <w:hideMark/>
          </w:tcPr>
          <w:p w14:paraId="53D43E9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7,19</w:t>
            </w:r>
          </w:p>
        </w:tc>
        <w:tc>
          <w:tcPr>
            <w:tcW w:w="1803" w:type="dxa"/>
            <w:tcBorders>
              <w:top w:val="nil"/>
              <w:left w:val="nil"/>
              <w:bottom w:val="single" w:sz="4" w:space="0" w:color="auto"/>
              <w:right w:val="single" w:sz="4" w:space="0" w:color="auto"/>
            </w:tcBorders>
            <w:shd w:val="clear" w:color="000000" w:fill="FFFF99"/>
            <w:noWrap/>
            <w:vAlign w:val="bottom"/>
            <w:hideMark/>
          </w:tcPr>
          <w:p w14:paraId="1072376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520.974,00</w:t>
            </w:r>
          </w:p>
        </w:tc>
      </w:tr>
      <w:tr w:rsidR="00846ACC" w:rsidRPr="004974C0" w14:paraId="3B1F8CA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D7276D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B45031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7194A16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486.044,00</w:t>
            </w:r>
          </w:p>
        </w:tc>
        <w:tc>
          <w:tcPr>
            <w:tcW w:w="1843" w:type="dxa"/>
            <w:tcBorders>
              <w:top w:val="nil"/>
              <w:left w:val="nil"/>
              <w:bottom w:val="single" w:sz="4" w:space="0" w:color="auto"/>
              <w:right w:val="single" w:sz="4" w:space="0" w:color="auto"/>
            </w:tcBorders>
            <w:shd w:val="clear" w:color="auto" w:fill="auto"/>
            <w:noWrap/>
            <w:vAlign w:val="bottom"/>
            <w:hideMark/>
          </w:tcPr>
          <w:p w14:paraId="6E001B7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34.930,00</w:t>
            </w:r>
          </w:p>
        </w:tc>
        <w:tc>
          <w:tcPr>
            <w:tcW w:w="1559" w:type="dxa"/>
            <w:tcBorders>
              <w:top w:val="nil"/>
              <w:left w:val="nil"/>
              <w:bottom w:val="single" w:sz="4" w:space="0" w:color="auto"/>
              <w:right w:val="single" w:sz="4" w:space="0" w:color="auto"/>
            </w:tcBorders>
            <w:shd w:val="clear" w:color="auto" w:fill="auto"/>
            <w:noWrap/>
            <w:vAlign w:val="bottom"/>
            <w:hideMark/>
          </w:tcPr>
          <w:p w14:paraId="152BAA6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7,19</w:t>
            </w:r>
          </w:p>
        </w:tc>
        <w:tc>
          <w:tcPr>
            <w:tcW w:w="1803" w:type="dxa"/>
            <w:tcBorders>
              <w:top w:val="nil"/>
              <w:left w:val="nil"/>
              <w:bottom w:val="single" w:sz="4" w:space="0" w:color="auto"/>
              <w:right w:val="single" w:sz="4" w:space="0" w:color="auto"/>
            </w:tcBorders>
            <w:shd w:val="clear" w:color="auto" w:fill="auto"/>
            <w:noWrap/>
            <w:vAlign w:val="bottom"/>
            <w:hideMark/>
          </w:tcPr>
          <w:p w14:paraId="473443F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520.974,00</w:t>
            </w:r>
          </w:p>
        </w:tc>
      </w:tr>
      <w:tr w:rsidR="00846ACC" w:rsidRPr="004974C0" w14:paraId="17219E7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463D888"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4576A888"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742C3C0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457.894,00</w:t>
            </w:r>
          </w:p>
        </w:tc>
        <w:tc>
          <w:tcPr>
            <w:tcW w:w="1843" w:type="dxa"/>
            <w:tcBorders>
              <w:top w:val="nil"/>
              <w:left w:val="nil"/>
              <w:bottom w:val="single" w:sz="4" w:space="0" w:color="auto"/>
              <w:right w:val="single" w:sz="4" w:space="0" w:color="auto"/>
            </w:tcBorders>
            <w:shd w:val="clear" w:color="auto" w:fill="auto"/>
            <w:noWrap/>
            <w:vAlign w:val="bottom"/>
            <w:hideMark/>
          </w:tcPr>
          <w:p w14:paraId="6008A5F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6D426F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3E8701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457.894,00</w:t>
            </w:r>
          </w:p>
        </w:tc>
      </w:tr>
      <w:tr w:rsidR="00846ACC" w:rsidRPr="004974C0" w14:paraId="25BA3A5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FCA03B6"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03FD6950"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BBDCFD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28.150,00</w:t>
            </w:r>
          </w:p>
        </w:tc>
        <w:tc>
          <w:tcPr>
            <w:tcW w:w="1843" w:type="dxa"/>
            <w:tcBorders>
              <w:top w:val="nil"/>
              <w:left w:val="nil"/>
              <w:bottom w:val="single" w:sz="4" w:space="0" w:color="auto"/>
              <w:right w:val="single" w:sz="4" w:space="0" w:color="auto"/>
            </w:tcBorders>
            <w:shd w:val="clear" w:color="auto" w:fill="auto"/>
            <w:noWrap/>
            <w:vAlign w:val="bottom"/>
            <w:hideMark/>
          </w:tcPr>
          <w:p w14:paraId="2BDB6AA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34.930,00</w:t>
            </w:r>
          </w:p>
        </w:tc>
        <w:tc>
          <w:tcPr>
            <w:tcW w:w="1559" w:type="dxa"/>
            <w:tcBorders>
              <w:top w:val="nil"/>
              <w:left w:val="nil"/>
              <w:bottom w:val="single" w:sz="4" w:space="0" w:color="auto"/>
              <w:right w:val="single" w:sz="4" w:space="0" w:color="auto"/>
            </w:tcBorders>
            <w:shd w:val="clear" w:color="auto" w:fill="auto"/>
            <w:noWrap/>
            <w:vAlign w:val="bottom"/>
            <w:hideMark/>
          </w:tcPr>
          <w:p w14:paraId="1B96A88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124,09</w:t>
            </w:r>
          </w:p>
        </w:tc>
        <w:tc>
          <w:tcPr>
            <w:tcW w:w="1803" w:type="dxa"/>
            <w:tcBorders>
              <w:top w:val="nil"/>
              <w:left w:val="nil"/>
              <w:bottom w:val="single" w:sz="4" w:space="0" w:color="auto"/>
              <w:right w:val="single" w:sz="4" w:space="0" w:color="auto"/>
            </w:tcBorders>
            <w:shd w:val="clear" w:color="auto" w:fill="auto"/>
            <w:noWrap/>
            <w:vAlign w:val="bottom"/>
            <w:hideMark/>
          </w:tcPr>
          <w:p w14:paraId="7DCC67E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63.080,00</w:t>
            </w:r>
          </w:p>
        </w:tc>
      </w:tr>
      <w:tr w:rsidR="00846ACC" w:rsidRPr="004974C0" w14:paraId="77EE991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45C20F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3.9. VLASTITI PRIHODI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0D68D6D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A075B9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37.000,00</w:t>
            </w:r>
          </w:p>
        </w:tc>
        <w:tc>
          <w:tcPr>
            <w:tcW w:w="1843" w:type="dxa"/>
            <w:tcBorders>
              <w:top w:val="nil"/>
              <w:left w:val="nil"/>
              <w:bottom w:val="single" w:sz="4" w:space="0" w:color="auto"/>
              <w:right w:val="single" w:sz="4" w:space="0" w:color="auto"/>
            </w:tcBorders>
            <w:shd w:val="clear" w:color="000000" w:fill="FFFF99"/>
            <w:noWrap/>
            <w:vAlign w:val="bottom"/>
            <w:hideMark/>
          </w:tcPr>
          <w:p w14:paraId="5752578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3.677,00</w:t>
            </w:r>
          </w:p>
        </w:tc>
        <w:tc>
          <w:tcPr>
            <w:tcW w:w="1559" w:type="dxa"/>
            <w:tcBorders>
              <w:top w:val="nil"/>
              <w:left w:val="nil"/>
              <w:bottom w:val="single" w:sz="4" w:space="0" w:color="auto"/>
              <w:right w:val="single" w:sz="4" w:space="0" w:color="auto"/>
            </w:tcBorders>
            <w:shd w:val="clear" w:color="000000" w:fill="FFFF99"/>
            <w:noWrap/>
            <w:vAlign w:val="bottom"/>
            <w:hideMark/>
          </w:tcPr>
          <w:p w14:paraId="0CF4801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9,94</w:t>
            </w:r>
          </w:p>
        </w:tc>
        <w:tc>
          <w:tcPr>
            <w:tcW w:w="1803" w:type="dxa"/>
            <w:tcBorders>
              <w:top w:val="nil"/>
              <w:left w:val="nil"/>
              <w:bottom w:val="single" w:sz="4" w:space="0" w:color="auto"/>
              <w:right w:val="single" w:sz="4" w:space="0" w:color="auto"/>
            </w:tcBorders>
            <w:shd w:val="clear" w:color="000000" w:fill="FFFF99"/>
            <w:noWrap/>
            <w:vAlign w:val="bottom"/>
            <w:hideMark/>
          </w:tcPr>
          <w:p w14:paraId="1AE2554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40.677,00</w:t>
            </w:r>
          </w:p>
        </w:tc>
      </w:tr>
      <w:tr w:rsidR="00846ACC" w:rsidRPr="004974C0" w14:paraId="4741548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77359A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F4316F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BD3C2A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23.000,00</w:t>
            </w:r>
          </w:p>
        </w:tc>
        <w:tc>
          <w:tcPr>
            <w:tcW w:w="1843" w:type="dxa"/>
            <w:tcBorders>
              <w:top w:val="nil"/>
              <w:left w:val="nil"/>
              <w:bottom w:val="single" w:sz="4" w:space="0" w:color="auto"/>
              <w:right w:val="single" w:sz="4" w:space="0" w:color="auto"/>
            </w:tcBorders>
            <w:shd w:val="clear" w:color="auto" w:fill="auto"/>
            <w:noWrap/>
            <w:vAlign w:val="bottom"/>
            <w:hideMark/>
          </w:tcPr>
          <w:p w14:paraId="55DFC68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2.677,00</w:t>
            </w:r>
          </w:p>
        </w:tc>
        <w:tc>
          <w:tcPr>
            <w:tcW w:w="1559" w:type="dxa"/>
            <w:tcBorders>
              <w:top w:val="nil"/>
              <w:left w:val="nil"/>
              <w:bottom w:val="single" w:sz="4" w:space="0" w:color="auto"/>
              <w:right w:val="single" w:sz="4" w:space="0" w:color="auto"/>
            </w:tcBorders>
            <w:shd w:val="clear" w:color="auto" w:fill="auto"/>
            <w:noWrap/>
            <w:vAlign w:val="bottom"/>
            <w:hideMark/>
          </w:tcPr>
          <w:p w14:paraId="04D1046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11,64</w:t>
            </w:r>
          </w:p>
        </w:tc>
        <w:tc>
          <w:tcPr>
            <w:tcW w:w="1803" w:type="dxa"/>
            <w:tcBorders>
              <w:top w:val="nil"/>
              <w:left w:val="nil"/>
              <w:bottom w:val="single" w:sz="4" w:space="0" w:color="auto"/>
              <w:right w:val="single" w:sz="4" w:space="0" w:color="auto"/>
            </w:tcBorders>
            <w:shd w:val="clear" w:color="auto" w:fill="auto"/>
            <w:noWrap/>
            <w:vAlign w:val="bottom"/>
            <w:hideMark/>
          </w:tcPr>
          <w:p w14:paraId="61A30D4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25.677,00</w:t>
            </w:r>
          </w:p>
        </w:tc>
      </w:tr>
      <w:tr w:rsidR="00846ACC" w:rsidRPr="004974C0" w14:paraId="6F20FEC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054A2EC"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39FB1672"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7098DDA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23.000,00</w:t>
            </w:r>
          </w:p>
        </w:tc>
        <w:tc>
          <w:tcPr>
            <w:tcW w:w="1843" w:type="dxa"/>
            <w:tcBorders>
              <w:top w:val="nil"/>
              <w:left w:val="nil"/>
              <w:bottom w:val="single" w:sz="4" w:space="0" w:color="auto"/>
              <w:right w:val="single" w:sz="4" w:space="0" w:color="auto"/>
            </w:tcBorders>
            <w:shd w:val="clear" w:color="auto" w:fill="auto"/>
            <w:noWrap/>
            <w:vAlign w:val="bottom"/>
            <w:hideMark/>
          </w:tcPr>
          <w:p w14:paraId="337CC33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2.677,00</w:t>
            </w:r>
          </w:p>
        </w:tc>
        <w:tc>
          <w:tcPr>
            <w:tcW w:w="1559" w:type="dxa"/>
            <w:tcBorders>
              <w:top w:val="nil"/>
              <w:left w:val="nil"/>
              <w:bottom w:val="single" w:sz="4" w:space="0" w:color="auto"/>
              <w:right w:val="single" w:sz="4" w:space="0" w:color="auto"/>
            </w:tcBorders>
            <w:shd w:val="clear" w:color="auto" w:fill="auto"/>
            <w:noWrap/>
            <w:vAlign w:val="bottom"/>
            <w:hideMark/>
          </w:tcPr>
          <w:p w14:paraId="5458C8C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11,64</w:t>
            </w:r>
          </w:p>
        </w:tc>
        <w:tc>
          <w:tcPr>
            <w:tcW w:w="1803" w:type="dxa"/>
            <w:tcBorders>
              <w:top w:val="nil"/>
              <w:left w:val="nil"/>
              <w:bottom w:val="single" w:sz="4" w:space="0" w:color="auto"/>
              <w:right w:val="single" w:sz="4" w:space="0" w:color="auto"/>
            </w:tcBorders>
            <w:shd w:val="clear" w:color="auto" w:fill="auto"/>
            <w:noWrap/>
            <w:vAlign w:val="bottom"/>
            <w:hideMark/>
          </w:tcPr>
          <w:p w14:paraId="6D1C3B6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25.677,00</w:t>
            </w:r>
          </w:p>
        </w:tc>
      </w:tr>
      <w:tr w:rsidR="00846ACC" w:rsidRPr="004974C0" w14:paraId="04BB6AC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FDB9A1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06B4722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 xml:space="preserve">Rashodi za nabavu </w:t>
            </w:r>
            <w:r w:rsidRPr="004974C0">
              <w:rPr>
                <w:rFonts w:ascii="Arial" w:hAnsi="Arial" w:cs="Arial"/>
                <w:b/>
                <w:bCs/>
                <w:sz w:val="20"/>
                <w:szCs w:val="20"/>
              </w:rPr>
              <w:lastRenderedPageBreak/>
              <w:t>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538C024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lastRenderedPageBreak/>
              <w:t>14.000,00</w:t>
            </w:r>
          </w:p>
        </w:tc>
        <w:tc>
          <w:tcPr>
            <w:tcW w:w="1843" w:type="dxa"/>
            <w:tcBorders>
              <w:top w:val="nil"/>
              <w:left w:val="nil"/>
              <w:bottom w:val="single" w:sz="4" w:space="0" w:color="auto"/>
              <w:right w:val="single" w:sz="4" w:space="0" w:color="auto"/>
            </w:tcBorders>
            <w:shd w:val="clear" w:color="auto" w:fill="auto"/>
            <w:noWrap/>
            <w:vAlign w:val="bottom"/>
            <w:hideMark/>
          </w:tcPr>
          <w:p w14:paraId="3D4156C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c>
          <w:tcPr>
            <w:tcW w:w="1559" w:type="dxa"/>
            <w:tcBorders>
              <w:top w:val="nil"/>
              <w:left w:val="nil"/>
              <w:bottom w:val="single" w:sz="4" w:space="0" w:color="auto"/>
              <w:right w:val="single" w:sz="4" w:space="0" w:color="auto"/>
            </w:tcBorders>
            <w:shd w:val="clear" w:color="auto" w:fill="auto"/>
            <w:noWrap/>
            <w:vAlign w:val="bottom"/>
            <w:hideMark/>
          </w:tcPr>
          <w:p w14:paraId="0EAA23F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7,14</w:t>
            </w:r>
          </w:p>
        </w:tc>
        <w:tc>
          <w:tcPr>
            <w:tcW w:w="1803" w:type="dxa"/>
            <w:tcBorders>
              <w:top w:val="nil"/>
              <w:left w:val="nil"/>
              <w:bottom w:val="single" w:sz="4" w:space="0" w:color="auto"/>
              <w:right w:val="single" w:sz="4" w:space="0" w:color="auto"/>
            </w:tcBorders>
            <w:shd w:val="clear" w:color="auto" w:fill="auto"/>
            <w:noWrap/>
            <w:vAlign w:val="bottom"/>
            <w:hideMark/>
          </w:tcPr>
          <w:p w14:paraId="3031E21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15.000,00</w:t>
            </w:r>
          </w:p>
        </w:tc>
      </w:tr>
      <w:tr w:rsidR="00846ACC" w:rsidRPr="004974C0" w14:paraId="0F9531D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4FBB5F3"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677FEF76"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321266F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14.000,00</w:t>
            </w:r>
          </w:p>
        </w:tc>
        <w:tc>
          <w:tcPr>
            <w:tcW w:w="1843" w:type="dxa"/>
            <w:tcBorders>
              <w:top w:val="nil"/>
              <w:left w:val="nil"/>
              <w:bottom w:val="single" w:sz="4" w:space="0" w:color="auto"/>
              <w:right w:val="single" w:sz="4" w:space="0" w:color="auto"/>
            </w:tcBorders>
            <w:shd w:val="clear" w:color="auto" w:fill="auto"/>
            <w:noWrap/>
            <w:vAlign w:val="bottom"/>
            <w:hideMark/>
          </w:tcPr>
          <w:p w14:paraId="07042D0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559" w:type="dxa"/>
            <w:tcBorders>
              <w:top w:val="nil"/>
              <w:left w:val="nil"/>
              <w:bottom w:val="single" w:sz="4" w:space="0" w:color="auto"/>
              <w:right w:val="single" w:sz="4" w:space="0" w:color="auto"/>
            </w:tcBorders>
            <w:shd w:val="clear" w:color="auto" w:fill="auto"/>
            <w:noWrap/>
            <w:vAlign w:val="bottom"/>
            <w:hideMark/>
          </w:tcPr>
          <w:p w14:paraId="46403A9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7,14</w:t>
            </w:r>
          </w:p>
        </w:tc>
        <w:tc>
          <w:tcPr>
            <w:tcW w:w="1803" w:type="dxa"/>
            <w:tcBorders>
              <w:top w:val="nil"/>
              <w:left w:val="nil"/>
              <w:bottom w:val="single" w:sz="4" w:space="0" w:color="auto"/>
              <w:right w:val="single" w:sz="4" w:space="0" w:color="auto"/>
            </w:tcBorders>
            <w:shd w:val="clear" w:color="auto" w:fill="auto"/>
            <w:noWrap/>
            <w:vAlign w:val="bottom"/>
            <w:hideMark/>
          </w:tcPr>
          <w:p w14:paraId="29146C8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15.000,00</w:t>
            </w:r>
          </w:p>
        </w:tc>
      </w:tr>
      <w:tr w:rsidR="00846ACC" w:rsidRPr="004974C0" w14:paraId="33C4434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9A4FB8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5.1. POTPORA ZA DECENTRALIZIRANE FUNKCIJE</w:t>
            </w:r>
          </w:p>
        </w:tc>
        <w:tc>
          <w:tcPr>
            <w:tcW w:w="1984" w:type="dxa"/>
            <w:tcBorders>
              <w:top w:val="nil"/>
              <w:left w:val="nil"/>
              <w:bottom w:val="single" w:sz="4" w:space="0" w:color="auto"/>
              <w:right w:val="single" w:sz="4" w:space="0" w:color="auto"/>
            </w:tcBorders>
            <w:shd w:val="clear" w:color="000000" w:fill="FFFF99"/>
            <w:noWrap/>
            <w:vAlign w:val="bottom"/>
            <w:hideMark/>
          </w:tcPr>
          <w:p w14:paraId="7952A41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26DE0B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455.362,00</w:t>
            </w:r>
          </w:p>
        </w:tc>
        <w:tc>
          <w:tcPr>
            <w:tcW w:w="1843" w:type="dxa"/>
            <w:tcBorders>
              <w:top w:val="nil"/>
              <w:left w:val="nil"/>
              <w:bottom w:val="single" w:sz="4" w:space="0" w:color="auto"/>
              <w:right w:val="single" w:sz="4" w:space="0" w:color="auto"/>
            </w:tcBorders>
            <w:shd w:val="clear" w:color="000000" w:fill="FFFF99"/>
            <w:noWrap/>
            <w:vAlign w:val="bottom"/>
            <w:hideMark/>
          </w:tcPr>
          <w:p w14:paraId="7C52CF1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31.876,00</w:t>
            </w:r>
          </w:p>
        </w:tc>
        <w:tc>
          <w:tcPr>
            <w:tcW w:w="1559" w:type="dxa"/>
            <w:tcBorders>
              <w:top w:val="nil"/>
              <w:left w:val="nil"/>
              <w:bottom w:val="single" w:sz="4" w:space="0" w:color="auto"/>
              <w:right w:val="single" w:sz="4" w:space="0" w:color="auto"/>
            </w:tcBorders>
            <w:shd w:val="clear" w:color="000000" w:fill="FFFF99"/>
            <w:noWrap/>
            <w:vAlign w:val="bottom"/>
            <w:hideMark/>
          </w:tcPr>
          <w:p w14:paraId="0FDF233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w:t>
            </w:r>
          </w:p>
        </w:tc>
        <w:tc>
          <w:tcPr>
            <w:tcW w:w="1803" w:type="dxa"/>
            <w:tcBorders>
              <w:top w:val="nil"/>
              <w:left w:val="nil"/>
              <w:bottom w:val="single" w:sz="4" w:space="0" w:color="auto"/>
              <w:right w:val="single" w:sz="4" w:space="0" w:color="auto"/>
            </w:tcBorders>
            <w:shd w:val="clear" w:color="000000" w:fill="FFFF99"/>
            <w:noWrap/>
            <w:vAlign w:val="bottom"/>
            <w:hideMark/>
          </w:tcPr>
          <w:p w14:paraId="7E5591B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487.238,00</w:t>
            </w:r>
          </w:p>
        </w:tc>
      </w:tr>
      <w:tr w:rsidR="00846ACC" w:rsidRPr="004974C0" w14:paraId="2C98AE6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B5578A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69013B5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F4E285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455.362,00</w:t>
            </w:r>
          </w:p>
        </w:tc>
        <w:tc>
          <w:tcPr>
            <w:tcW w:w="1843" w:type="dxa"/>
            <w:tcBorders>
              <w:top w:val="nil"/>
              <w:left w:val="nil"/>
              <w:bottom w:val="single" w:sz="4" w:space="0" w:color="auto"/>
              <w:right w:val="single" w:sz="4" w:space="0" w:color="auto"/>
            </w:tcBorders>
            <w:shd w:val="clear" w:color="auto" w:fill="auto"/>
            <w:noWrap/>
            <w:vAlign w:val="bottom"/>
            <w:hideMark/>
          </w:tcPr>
          <w:p w14:paraId="246E39C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31.876,00</w:t>
            </w:r>
          </w:p>
        </w:tc>
        <w:tc>
          <w:tcPr>
            <w:tcW w:w="1559" w:type="dxa"/>
            <w:tcBorders>
              <w:top w:val="nil"/>
              <w:left w:val="nil"/>
              <w:bottom w:val="single" w:sz="4" w:space="0" w:color="auto"/>
              <w:right w:val="single" w:sz="4" w:space="0" w:color="auto"/>
            </w:tcBorders>
            <w:shd w:val="clear" w:color="auto" w:fill="auto"/>
            <w:noWrap/>
            <w:vAlign w:val="bottom"/>
            <w:hideMark/>
          </w:tcPr>
          <w:p w14:paraId="33AAFBD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w:t>
            </w:r>
          </w:p>
        </w:tc>
        <w:tc>
          <w:tcPr>
            <w:tcW w:w="1803" w:type="dxa"/>
            <w:tcBorders>
              <w:top w:val="nil"/>
              <w:left w:val="nil"/>
              <w:bottom w:val="single" w:sz="4" w:space="0" w:color="auto"/>
              <w:right w:val="single" w:sz="4" w:space="0" w:color="auto"/>
            </w:tcBorders>
            <w:shd w:val="clear" w:color="auto" w:fill="auto"/>
            <w:noWrap/>
            <w:vAlign w:val="bottom"/>
            <w:hideMark/>
          </w:tcPr>
          <w:p w14:paraId="418BD5D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487.238,00</w:t>
            </w:r>
          </w:p>
        </w:tc>
      </w:tr>
      <w:tr w:rsidR="00846ACC" w:rsidRPr="004974C0" w14:paraId="6842C6C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8671F1F"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2721DE93"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5964800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409.826,00</w:t>
            </w:r>
          </w:p>
        </w:tc>
        <w:tc>
          <w:tcPr>
            <w:tcW w:w="1843" w:type="dxa"/>
            <w:tcBorders>
              <w:top w:val="nil"/>
              <w:left w:val="nil"/>
              <w:bottom w:val="single" w:sz="4" w:space="0" w:color="auto"/>
              <w:right w:val="single" w:sz="4" w:space="0" w:color="auto"/>
            </w:tcBorders>
            <w:shd w:val="clear" w:color="auto" w:fill="auto"/>
            <w:noWrap/>
            <w:vAlign w:val="bottom"/>
            <w:hideMark/>
          </w:tcPr>
          <w:p w14:paraId="7F91339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28.688,00</w:t>
            </w:r>
          </w:p>
        </w:tc>
        <w:tc>
          <w:tcPr>
            <w:tcW w:w="1559" w:type="dxa"/>
            <w:tcBorders>
              <w:top w:val="nil"/>
              <w:left w:val="nil"/>
              <w:bottom w:val="single" w:sz="4" w:space="0" w:color="auto"/>
              <w:right w:val="single" w:sz="4" w:space="0" w:color="auto"/>
            </w:tcBorders>
            <w:shd w:val="clear" w:color="auto" w:fill="auto"/>
            <w:noWrap/>
            <w:vAlign w:val="bottom"/>
            <w:hideMark/>
          </w:tcPr>
          <w:p w14:paraId="0075CD0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w:t>
            </w:r>
          </w:p>
        </w:tc>
        <w:tc>
          <w:tcPr>
            <w:tcW w:w="1803" w:type="dxa"/>
            <w:tcBorders>
              <w:top w:val="nil"/>
              <w:left w:val="nil"/>
              <w:bottom w:val="single" w:sz="4" w:space="0" w:color="auto"/>
              <w:right w:val="single" w:sz="4" w:space="0" w:color="auto"/>
            </w:tcBorders>
            <w:shd w:val="clear" w:color="auto" w:fill="auto"/>
            <w:noWrap/>
            <w:vAlign w:val="bottom"/>
            <w:hideMark/>
          </w:tcPr>
          <w:p w14:paraId="42483C6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438.514,00</w:t>
            </w:r>
          </w:p>
        </w:tc>
      </w:tr>
      <w:tr w:rsidR="00846ACC" w:rsidRPr="004974C0" w14:paraId="2A61584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4D00FBD"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CF8AAE4"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AC0AF8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45.536,00</w:t>
            </w:r>
          </w:p>
        </w:tc>
        <w:tc>
          <w:tcPr>
            <w:tcW w:w="1843" w:type="dxa"/>
            <w:tcBorders>
              <w:top w:val="nil"/>
              <w:left w:val="nil"/>
              <w:bottom w:val="single" w:sz="4" w:space="0" w:color="auto"/>
              <w:right w:val="single" w:sz="4" w:space="0" w:color="auto"/>
            </w:tcBorders>
            <w:shd w:val="clear" w:color="auto" w:fill="auto"/>
            <w:noWrap/>
            <w:vAlign w:val="bottom"/>
            <w:hideMark/>
          </w:tcPr>
          <w:p w14:paraId="1D1A27C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3.188,00</w:t>
            </w:r>
          </w:p>
        </w:tc>
        <w:tc>
          <w:tcPr>
            <w:tcW w:w="1559" w:type="dxa"/>
            <w:tcBorders>
              <w:top w:val="nil"/>
              <w:left w:val="nil"/>
              <w:bottom w:val="single" w:sz="4" w:space="0" w:color="auto"/>
              <w:right w:val="single" w:sz="4" w:space="0" w:color="auto"/>
            </w:tcBorders>
            <w:shd w:val="clear" w:color="auto" w:fill="auto"/>
            <w:noWrap/>
            <w:vAlign w:val="bottom"/>
            <w:hideMark/>
          </w:tcPr>
          <w:p w14:paraId="0F73F7E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w:t>
            </w:r>
          </w:p>
        </w:tc>
        <w:tc>
          <w:tcPr>
            <w:tcW w:w="1803" w:type="dxa"/>
            <w:tcBorders>
              <w:top w:val="nil"/>
              <w:left w:val="nil"/>
              <w:bottom w:val="single" w:sz="4" w:space="0" w:color="auto"/>
              <w:right w:val="single" w:sz="4" w:space="0" w:color="auto"/>
            </w:tcBorders>
            <w:shd w:val="clear" w:color="auto" w:fill="auto"/>
            <w:noWrap/>
            <w:vAlign w:val="bottom"/>
            <w:hideMark/>
          </w:tcPr>
          <w:p w14:paraId="6EFAE64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48.724,00</w:t>
            </w:r>
          </w:p>
        </w:tc>
      </w:tr>
      <w:tr w:rsidR="00846ACC" w:rsidRPr="004974C0" w14:paraId="008C531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384B35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44E22EF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430592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489.982,00</w:t>
            </w:r>
          </w:p>
        </w:tc>
        <w:tc>
          <w:tcPr>
            <w:tcW w:w="1843" w:type="dxa"/>
            <w:tcBorders>
              <w:top w:val="nil"/>
              <w:left w:val="nil"/>
              <w:bottom w:val="single" w:sz="4" w:space="0" w:color="auto"/>
              <w:right w:val="single" w:sz="4" w:space="0" w:color="auto"/>
            </w:tcBorders>
            <w:shd w:val="clear" w:color="000000" w:fill="FFFF99"/>
            <w:noWrap/>
            <w:vAlign w:val="bottom"/>
            <w:hideMark/>
          </w:tcPr>
          <w:p w14:paraId="3DD7FE9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35.070,00</w:t>
            </w:r>
          </w:p>
        </w:tc>
        <w:tc>
          <w:tcPr>
            <w:tcW w:w="1559" w:type="dxa"/>
            <w:tcBorders>
              <w:top w:val="nil"/>
              <w:left w:val="nil"/>
              <w:bottom w:val="single" w:sz="4" w:space="0" w:color="auto"/>
              <w:right w:val="single" w:sz="4" w:space="0" w:color="auto"/>
            </w:tcBorders>
            <w:shd w:val="clear" w:color="000000" w:fill="FFFF99"/>
            <w:noWrap/>
            <w:vAlign w:val="bottom"/>
            <w:hideMark/>
          </w:tcPr>
          <w:p w14:paraId="224E91C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7,16</w:t>
            </w:r>
          </w:p>
        </w:tc>
        <w:tc>
          <w:tcPr>
            <w:tcW w:w="1803" w:type="dxa"/>
            <w:tcBorders>
              <w:top w:val="nil"/>
              <w:left w:val="nil"/>
              <w:bottom w:val="single" w:sz="4" w:space="0" w:color="auto"/>
              <w:right w:val="single" w:sz="4" w:space="0" w:color="auto"/>
            </w:tcBorders>
            <w:shd w:val="clear" w:color="000000" w:fill="FFFF99"/>
            <w:noWrap/>
            <w:vAlign w:val="bottom"/>
            <w:hideMark/>
          </w:tcPr>
          <w:p w14:paraId="3B3BCF4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525.052,00</w:t>
            </w:r>
          </w:p>
        </w:tc>
      </w:tr>
      <w:tr w:rsidR="00846ACC" w:rsidRPr="004974C0" w14:paraId="2875F4E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25BF02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C18990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16B381D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488.652,00</w:t>
            </w:r>
          </w:p>
        </w:tc>
        <w:tc>
          <w:tcPr>
            <w:tcW w:w="1843" w:type="dxa"/>
            <w:tcBorders>
              <w:top w:val="nil"/>
              <w:left w:val="nil"/>
              <w:bottom w:val="single" w:sz="4" w:space="0" w:color="auto"/>
              <w:right w:val="single" w:sz="4" w:space="0" w:color="auto"/>
            </w:tcBorders>
            <w:shd w:val="clear" w:color="auto" w:fill="auto"/>
            <w:noWrap/>
            <w:vAlign w:val="bottom"/>
            <w:hideMark/>
          </w:tcPr>
          <w:p w14:paraId="7F89D50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35.070,00</w:t>
            </w:r>
          </w:p>
        </w:tc>
        <w:tc>
          <w:tcPr>
            <w:tcW w:w="1559" w:type="dxa"/>
            <w:tcBorders>
              <w:top w:val="nil"/>
              <w:left w:val="nil"/>
              <w:bottom w:val="single" w:sz="4" w:space="0" w:color="auto"/>
              <w:right w:val="single" w:sz="4" w:space="0" w:color="auto"/>
            </w:tcBorders>
            <w:shd w:val="clear" w:color="auto" w:fill="auto"/>
            <w:noWrap/>
            <w:vAlign w:val="bottom"/>
            <w:hideMark/>
          </w:tcPr>
          <w:p w14:paraId="65BF1E6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7,18</w:t>
            </w:r>
          </w:p>
        </w:tc>
        <w:tc>
          <w:tcPr>
            <w:tcW w:w="1803" w:type="dxa"/>
            <w:tcBorders>
              <w:top w:val="nil"/>
              <w:left w:val="nil"/>
              <w:bottom w:val="single" w:sz="4" w:space="0" w:color="auto"/>
              <w:right w:val="single" w:sz="4" w:space="0" w:color="auto"/>
            </w:tcBorders>
            <w:shd w:val="clear" w:color="auto" w:fill="auto"/>
            <w:noWrap/>
            <w:vAlign w:val="bottom"/>
            <w:hideMark/>
          </w:tcPr>
          <w:p w14:paraId="6FFF192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523.722,00</w:t>
            </w:r>
          </w:p>
        </w:tc>
      </w:tr>
      <w:tr w:rsidR="00846ACC" w:rsidRPr="004974C0" w14:paraId="5DA2A1C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040C058"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5F1FD0ED"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629EEF9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468.742,00</w:t>
            </w:r>
          </w:p>
        </w:tc>
        <w:tc>
          <w:tcPr>
            <w:tcW w:w="1843" w:type="dxa"/>
            <w:tcBorders>
              <w:top w:val="nil"/>
              <w:left w:val="nil"/>
              <w:bottom w:val="single" w:sz="4" w:space="0" w:color="auto"/>
              <w:right w:val="single" w:sz="4" w:space="0" w:color="auto"/>
            </w:tcBorders>
            <w:shd w:val="clear" w:color="auto" w:fill="auto"/>
            <w:noWrap/>
            <w:vAlign w:val="bottom"/>
            <w:hideMark/>
          </w:tcPr>
          <w:p w14:paraId="065A1F0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A64A7E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28A45C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468.742,00</w:t>
            </w:r>
          </w:p>
        </w:tc>
      </w:tr>
      <w:tr w:rsidR="00846ACC" w:rsidRPr="004974C0" w14:paraId="2927840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3243C22"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6023C814"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57BF9E6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19.910,00</w:t>
            </w:r>
          </w:p>
        </w:tc>
        <w:tc>
          <w:tcPr>
            <w:tcW w:w="1843" w:type="dxa"/>
            <w:tcBorders>
              <w:top w:val="nil"/>
              <w:left w:val="nil"/>
              <w:bottom w:val="single" w:sz="4" w:space="0" w:color="auto"/>
              <w:right w:val="single" w:sz="4" w:space="0" w:color="auto"/>
            </w:tcBorders>
            <w:shd w:val="clear" w:color="auto" w:fill="auto"/>
            <w:noWrap/>
            <w:vAlign w:val="bottom"/>
            <w:hideMark/>
          </w:tcPr>
          <w:p w14:paraId="6D2CA7E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35.070,00</w:t>
            </w:r>
          </w:p>
        </w:tc>
        <w:tc>
          <w:tcPr>
            <w:tcW w:w="1559" w:type="dxa"/>
            <w:tcBorders>
              <w:top w:val="nil"/>
              <w:left w:val="nil"/>
              <w:bottom w:val="single" w:sz="4" w:space="0" w:color="auto"/>
              <w:right w:val="single" w:sz="4" w:space="0" w:color="auto"/>
            </w:tcBorders>
            <w:shd w:val="clear" w:color="auto" w:fill="auto"/>
            <w:noWrap/>
            <w:vAlign w:val="bottom"/>
            <w:hideMark/>
          </w:tcPr>
          <w:p w14:paraId="6532955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176,14</w:t>
            </w:r>
          </w:p>
        </w:tc>
        <w:tc>
          <w:tcPr>
            <w:tcW w:w="1803" w:type="dxa"/>
            <w:tcBorders>
              <w:top w:val="nil"/>
              <w:left w:val="nil"/>
              <w:bottom w:val="single" w:sz="4" w:space="0" w:color="auto"/>
              <w:right w:val="single" w:sz="4" w:space="0" w:color="auto"/>
            </w:tcBorders>
            <w:shd w:val="clear" w:color="auto" w:fill="auto"/>
            <w:noWrap/>
            <w:vAlign w:val="bottom"/>
            <w:hideMark/>
          </w:tcPr>
          <w:p w14:paraId="6097586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54.980,00</w:t>
            </w:r>
          </w:p>
        </w:tc>
      </w:tr>
      <w:tr w:rsidR="00846ACC" w:rsidRPr="004974C0" w14:paraId="49DAC04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C007F6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6A25104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2AEE368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1.330,00</w:t>
            </w:r>
          </w:p>
        </w:tc>
        <w:tc>
          <w:tcPr>
            <w:tcW w:w="1843" w:type="dxa"/>
            <w:tcBorders>
              <w:top w:val="nil"/>
              <w:left w:val="nil"/>
              <w:bottom w:val="single" w:sz="4" w:space="0" w:color="auto"/>
              <w:right w:val="single" w:sz="4" w:space="0" w:color="auto"/>
            </w:tcBorders>
            <w:shd w:val="clear" w:color="auto" w:fill="auto"/>
            <w:noWrap/>
            <w:vAlign w:val="bottom"/>
            <w:hideMark/>
          </w:tcPr>
          <w:p w14:paraId="0FAFB95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366B4B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630D14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1.330,00</w:t>
            </w:r>
          </w:p>
        </w:tc>
      </w:tr>
      <w:tr w:rsidR="00846ACC" w:rsidRPr="004974C0" w14:paraId="45FADC3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8104CDF"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5461ED5D"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4BDBE74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1.330,00</w:t>
            </w:r>
          </w:p>
        </w:tc>
        <w:tc>
          <w:tcPr>
            <w:tcW w:w="1843" w:type="dxa"/>
            <w:tcBorders>
              <w:top w:val="nil"/>
              <w:left w:val="nil"/>
              <w:bottom w:val="single" w:sz="4" w:space="0" w:color="auto"/>
              <w:right w:val="single" w:sz="4" w:space="0" w:color="auto"/>
            </w:tcBorders>
            <w:shd w:val="clear" w:color="auto" w:fill="auto"/>
            <w:noWrap/>
            <w:vAlign w:val="bottom"/>
            <w:hideMark/>
          </w:tcPr>
          <w:p w14:paraId="4E441DC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63741B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0E1154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1.330,00</w:t>
            </w:r>
          </w:p>
        </w:tc>
      </w:tr>
      <w:tr w:rsidR="00846ACC" w:rsidRPr="004974C0" w14:paraId="5AD3A62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3DE775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6.9. 6.DONACIJE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4894B37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BB505C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105.594,00</w:t>
            </w:r>
          </w:p>
        </w:tc>
        <w:tc>
          <w:tcPr>
            <w:tcW w:w="1843" w:type="dxa"/>
            <w:tcBorders>
              <w:top w:val="nil"/>
              <w:left w:val="nil"/>
              <w:bottom w:val="single" w:sz="4" w:space="0" w:color="auto"/>
              <w:right w:val="single" w:sz="4" w:space="0" w:color="auto"/>
            </w:tcBorders>
            <w:shd w:val="clear" w:color="000000" w:fill="FFFF99"/>
            <w:noWrap/>
            <w:vAlign w:val="bottom"/>
            <w:hideMark/>
          </w:tcPr>
          <w:p w14:paraId="3AAAF28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-67.996,00</w:t>
            </w:r>
          </w:p>
        </w:tc>
        <w:tc>
          <w:tcPr>
            <w:tcW w:w="1559" w:type="dxa"/>
            <w:tcBorders>
              <w:top w:val="nil"/>
              <w:left w:val="nil"/>
              <w:bottom w:val="single" w:sz="4" w:space="0" w:color="auto"/>
              <w:right w:val="single" w:sz="4" w:space="0" w:color="auto"/>
            </w:tcBorders>
            <w:shd w:val="clear" w:color="000000" w:fill="FFFF99"/>
            <w:noWrap/>
            <w:vAlign w:val="bottom"/>
            <w:hideMark/>
          </w:tcPr>
          <w:p w14:paraId="4B26824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-64,39</w:t>
            </w:r>
          </w:p>
        </w:tc>
        <w:tc>
          <w:tcPr>
            <w:tcW w:w="1803" w:type="dxa"/>
            <w:tcBorders>
              <w:top w:val="nil"/>
              <w:left w:val="nil"/>
              <w:bottom w:val="single" w:sz="4" w:space="0" w:color="auto"/>
              <w:right w:val="single" w:sz="4" w:space="0" w:color="auto"/>
            </w:tcBorders>
            <w:shd w:val="clear" w:color="000000" w:fill="FFFF99"/>
            <w:noWrap/>
            <w:vAlign w:val="bottom"/>
            <w:hideMark/>
          </w:tcPr>
          <w:p w14:paraId="1F60ACD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37.598,00</w:t>
            </w:r>
          </w:p>
        </w:tc>
      </w:tr>
      <w:tr w:rsidR="00846ACC" w:rsidRPr="004974C0" w14:paraId="05DFAE6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499C4D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A20449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2F342D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97.934,00</w:t>
            </w:r>
          </w:p>
        </w:tc>
        <w:tc>
          <w:tcPr>
            <w:tcW w:w="1843" w:type="dxa"/>
            <w:tcBorders>
              <w:top w:val="nil"/>
              <w:left w:val="nil"/>
              <w:bottom w:val="single" w:sz="4" w:space="0" w:color="auto"/>
              <w:right w:val="single" w:sz="4" w:space="0" w:color="auto"/>
            </w:tcBorders>
            <w:shd w:val="clear" w:color="auto" w:fill="auto"/>
            <w:noWrap/>
            <w:vAlign w:val="bottom"/>
            <w:hideMark/>
          </w:tcPr>
          <w:p w14:paraId="29574B7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-67.996,00</w:t>
            </w:r>
          </w:p>
        </w:tc>
        <w:tc>
          <w:tcPr>
            <w:tcW w:w="1559" w:type="dxa"/>
            <w:tcBorders>
              <w:top w:val="nil"/>
              <w:left w:val="nil"/>
              <w:bottom w:val="single" w:sz="4" w:space="0" w:color="auto"/>
              <w:right w:val="single" w:sz="4" w:space="0" w:color="auto"/>
            </w:tcBorders>
            <w:shd w:val="clear" w:color="auto" w:fill="auto"/>
            <w:noWrap/>
            <w:vAlign w:val="bottom"/>
            <w:hideMark/>
          </w:tcPr>
          <w:p w14:paraId="14F680D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-69,43</w:t>
            </w:r>
          </w:p>
        </w:tc>
        <w:tc>
          <w:tcPr>
            <w:tcW w:w="1803" w:type="dxa"/>
            <w:tcBorders>
              <w:top w:val="nil"/>
              <w:left w:val="nil"/>
              <w:bottom w:val="single" w:sz="4" w:space="0" w:color="auto"/>
              <w:right w:val="single" w:sz="4" w:space="0" w:color="auto"/>
            </w:tcBorders>
            <w:shd w:val="clear" w:color="auto" w:fill="auto"/>
            <w:noWrap/>
            <w:vAlign w:val="bottom"/>
            <w:hideMark/>
          </w:tcPr>
          <w:p w14:paraId="4FB8F6C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29.938,00</w:t>
            </w:r>
          </w:p>
        </w:tc>
      </w:tr>
      <w:tr w:rsidR="00846ACC" w:rsidRPr="004974C0" w14:paraId="1F1F8DB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1332A51"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2EB5166"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89E862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97.884,00</w:t>
            </w:r>
          </w:p>
        </w:tc>
        <w:tc>
          <w:tcPr>
            <w:tcW w:w="1843" w:type="dxa"/>
            <w:tcBorders>
              <w:top w:val="nil"/>
              <w:left w:val="nil"/>
              <w:bottom w:val="single" w:sz="4" w:space="0" w:color="auto"/>
              <w:right w:val="single" w:sz="4" w:space="0" w:color="auto"/>
            </w:tcBorders>
            <w:shd w:val="clear" w:color="auto" w:fill="auto"/>
            <w:noWrap/>
            <w:vAlign w:val="bottom"/>
            <w:hideMark/>
          </w:tcPr>
          <w:p w14:paraId="648D66A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-67.996,00</w:t>
            </w:r>
          </w:p>
        </w:tc>
        <w:tc>
          <w:tcPr>
            <w:tcW w:w="1559" w:type="dxa"/>
            <w:tcBorders>
              <w:top w:val="nil"/>
              <w:left w:val="nil"/>
              <w:bottom w:val="single" w:sz="4" w:space="0" w:color="auto"/>
              <w:right w:val="single" w:sz="4" w:space="0" w:color="auto"/>
            </w:tcBorders>
            <w:shd w:val="clear" w:color="auto" w:fill="auto"/>
            <w:noWrap/>
            <w:vAlign w:val="bottom"/>
            <w:hideMark/>
          </w:tcPr>
          <w:p w14:paraId="1FA8D2E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-69,47</w:t>
            </w:r>
          </w:p>
        </w:tc>
        <w:tc>
          <w:tcPr>
            <w:tcW w:w="1803" w:type="dxa"/>
            <w:tcBorders>
              <w:top w:val="nil"/>
              <w:left w:val="nil"/>
              <w:bottom w:val="single" w:sz="4" w:space="0" w:color="auto"/>
              <w:right w:val="single" w:sz="4" w:space="0" w:color="auto"/>
            </w:tcBorders>
            <w:shd w:val="clear" w:color="auto" w:fill="auto"/>
            <w:noWrap/>
            <w:vAlign w:val="bottom"/>
            <w:hideMark/>
          </w:tcPr>
          <w:p w14:paraId="2AAF38B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29.888,00</w:t>
            </w:r>
          </w:p>
        </w:tc>
      </w:tr>
      <w:tr w:rsidR="00846ACC" w:rsidRPr="004974C0" w14:paraId="5CCB833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88B5E2D" w14:textId="77777777" w:rsidR="004974C0" w:rsidRPr="004974C0" w:rsidRDefault="004974C0" w:rsidP="004974C0">
            <w:pPr>
              <w:rPr>
                <w:rFonts w:ascii="Arial" w:hAnsi="Arial" w:cs="Arial"/>
                <w:sz w:val="20"/>
                <w:szCs w:val="20"/>
              </w:rPr>
            </w:pPr>
            <w:r w:rsidRPr="004974C0">
              <w:rPr>
                <w:rFonts w:ascii="Arial" w:hAnsi="Arial" w:cs="Arial"/>
                <w:sz w:val="20"/>
                <w:szCs w:val="20"/>
              </w:rPr>
              <w:t>34</w:t>
            </w:r>
          </w:p>
        </w:tc>
        <w:tc>
          <w:tcPr>
            <w:tcW w:w="1984" w:type="dxa"/>
            <w:tcBorders>
              <w:top w:val="nil"/>
              <w:left w:val="nil"/>
              <w:bottom w:val="single" w:sz="4" w:space="0" w:color="auto"/>
              <w:right w:val="single" w:sz="4" w:space="0" w:color="auto"/>
            </w:tcBorders>
            <w:shd w:val="clear" w:color="auto" w:fill="auto"/>
            <w:noWrap/>
            <w:vAlign w:val="bottom"/>
            <w:hideMark/>
          </w:tcPr>
          <w:p w14:paraId="35A89188" w14:textId="77777777" w:rsidR="004974C0" w:rsidRPr="004974C0" w:rsidRDefault="004974C0" w:rsidP="004974C0">
            <w:pPr>
              <w:rPr>
                <w:rFonts w:ascii="Arial" w:hAnsi="Arial" w:cs="Arial"/>
                <w:sz w:val="20"/>
                <w:szCs w:val="20"/>
              </w:rPr>
            </w:pPr>
            <w:r w:rsidRPr="004974C0">
              <w:rPr>
                <w:rFonts w:ascii="Arial" w:hAnsi="Arial" w:cs="Arial"/>
                <w:sz w:val="20"/>
                <w:szCs w:val="20"/>
              </w:rPr>
              <w:t>Financijski rashodi</w:t>
            </w:r>
          </w:p>
        </w:tc>
        <w:tc>
          <w:tcPr>
            <w:tcW w:w="1843" w:type="dxa"/>
            <w:tcBorders>
              <w:top w:val="nil"/>
              <w:left w:val="nil"/>
              <w:bottom w:val="single" w:sz="4" w:space="0" w:color="auto"/>
              <w:right w:val="single" w:sz="4" w:space="0" w:color="auto"/>
            </w:tcBorders>
            <w:shd w:val="clear" w:color="auto" w:fill="auto"/>
            <w:noWrap/>
            <w:vAlign w:val="bottom"/>
            <w:hideMark/>
          </w:tcPr>
          <w:p w14:paraId="1EE3D63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w:t>
            </w:r>
          </w:p>
        </w:tc>
        <w:tc>
          <w:tcPr>
            <w:tcW w:w="1843" w:type="dxa"/>
            <w:tcBorders>
              <w:top w:val="nil"/>
              <w:left w:val="nil"/>
              <w:bottom w:val="single" w:sz="4" w:space="0" w:color="auto"/>
              <w:right w:val="single" w:sz="4" w:space="0" w:color="auto"/>
            </w:tcBorders>
            <w:shd w:val="clear" w:color="auto" w:fill="auto"/>
            <w:noWrap/>
            <w:vAlign w:val="bottom"/>
            <w:hideMark/>
          </w:tcPr>
          <w:p w14:paraId="259CC9B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AF3B9B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3277BF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w:t>
            </w:r>
          </w:p>
        </w:tc>
      </w:tr>
      <w:tr w:rsidR="00846ACC" w:rsidRPr="004974C0" w14:paraId="4B5C53F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6753EE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5AFA012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440BE11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7.660,00</w:t>
            </w:r>
          </w:p>
        </w:tc>
        <w:tc>
          <w:tcPr>
            <w:tcW w:w="1843" w:type="dxa"/>
            <w:tcBorders>
              <w:top w:val="nil"/>
              <w:left w:val="nil"/>
              <w:bottom w:val="single" w:sz="4" w:space="0" w:color="auto"/>
              <w:right w:val="single" w:sz="4" w:space="0" w:color="auto"/>
            </w:tcBorders>
            <w:shd w:val="clear" w:color="auto" w:fill="auto"/>
            <w:noWrap/>
            <w:vAlign w:val="bottom"/>
            <w:hideMark/>
          </w:tcPr>
          <w:p w14:paraId="16C7A6C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455A4D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4A28F3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7.660,00</w:t>
            </w:r>
          </w:p>
        </w:tc>
      </w:tr>
      <w:tr w:rsidR="00846ACC" w:rsidRPr="004974C0" w14:paraId="5C80B24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00F2784"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506BD08A"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532C12F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7.660,00</w:t>
            </w:r>
          </w:p>
        </w:tc>
        <w:tc>
          <w:tcPr>
            <w:tcW w:w="1843" w:type="dxa"/>
            <w:tcBorders>
              <w:top w:val="nil"/>
              <w:left w:val="nil"/>
              <w:bottom w:val="single" w:sz="4" w:space="0" w:color="auto"/>
              <w:right w:val="single" w:sz="4" w:space="0" w:color="auto"/>
            </w:tcBorders>
            <w:shd w:val="clear" w:color="auto" w:fill="auto"/>
            <w:noWrap/>
            <w:vAlign w:val="bottom"/>
            <w:hideMark/>
          </w:tcPr>
          <w:p w14:paraId="5CDFE5C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47F7DB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A063DE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7.660,00</w:t>
            </w:r>
          </w:p>
        </w:tc>
      </w:tr>
      <w:tr w:rsidR="00846ACC" w:rsidRPr="004974C0" w14:paraId="1E6EB84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0437FC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Izvor  7.9. 7.PRIHODI OD NAKNADA ŠTETA S OSN.OSIGUR.-PRIH.KOR.</w:t>
            </w:r>
          </w:p>
        </w:tc>
        <w:tc>
          <w:tcPr>
            <w:tcW w:w="1984" w:type="dxa"/>
            <w:tcBorders>
              <w:top w:val="nil"/>
              <w:left w:val="nil"/>
              <w:bottom w:val="single" w:sz="4" w:space="0" w:color="auto"/>
              <w:right w:val="single" w:sz="4" w:space="0" w:color="auto"/>
            </w:tcBorders>
            <w:shd w:val="clear" w:color="000000" w:fill="FFFF99"/>
            <w:noWrap/>
            <w:vAlign w:val="bottom"/>
            <w:hideMark/>
          </w:tcPr>
          <w:p w14:paraId="488A653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059B9F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5.400,00</w:t>
            </w:r>
          </w:p>
        </w:tc>
        <w:tc>
          <w:tcPr>
            <w:tcW w:w="1843" w:type="dxa"/>
            <w:tcBorders>
              <w:top w:val="nil"/>
              <w:left w:val="nil"/>
              <w:bottom w:val="single" w:sz="4" w:space="0" w:color="auto"/>
              <w:right w:val="single" w:sz="4" w:space="0" w:color="auto"/>
            </w:tcBorders>
            <w:shd w:val="clear" w:color="000000" w:fill="FFFF99"/>
            <w:noWrap/>
            <w:vAlign w:val="bottom"/>
            <w:hideMark/>
          </w:tcPr>
          <w:p w14:paraId="0D40CB9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2.611,00</w:t>
            </w:r>
          </w:p>
        </w:tc>
        <w:tc>
          <w:tcPr>
            <w:tcW w:w="1559" w:type="dxa"/>
            <w:tcBorders>
              <w:top w:val="nil"/>
              <w:left w:val="nil"/>
              <w:bottom w:val="single" w:sz="4" w:space="0" w:color="auto"/>
              <w:right w:val="single" w:sz="4" w:space="0" w:color="auto"/>
            </w:tcBorders>
            <w:shd w:val="clear" w:color="000000" w:fill="FFFF99"/>
            <w:noWrap/>
            <w:vAlign w:val="bottom"/>
            <w:hideMark/>
          </w:tcPr>
          <w:p w14:paraId="09CE5D6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48,35</w:t>
            </w:r>
          </w:p>
        </w:tc>
        <w:tc>
          <w:tcPr>
            <w:tcW w:w="1803" w:type="dxa"/>
            <w:tcBorders>
              <w:top w:val="nil"/>
              <w:left w:val="nil"/>
              <w:bottom w:val="single" w:sz="4" w:space="0" w:color="auto"/>
              <w:right w:val="single" w:sz="4" w:space="0" w:color="auto"/>
            </w:tcBorders>
            <w:shd w:val="clear" w:color="000000" w:fill="FFFF99"/>
            <w:noWrap/>
            <w:vAlign w:val="bottom"/>
            <w:hideMark/>
          </w:tcPr>
          <w:p w14:paraId="4CE23DE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8.011,00</w:t>
            </w:r>
          </w:p>
        </w:tc>
      </w:tr>
      <w:tr w:rsidR="00846ACC" w:rsidRPr="004974C0" w14:paraId="06783F5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89FF5B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BA29F0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8BCEF0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1.500,00</w:t>
            </w:r>
          </w:p>
        </w:tc>
        <w:tc>
          <w:tcPr>
            <w:tcW w:w="1843" w:type="dxa"/>
            <w:tcBorders>
              <w:top w:val="nil"/>
              <w:left w:val="nil"/>
              <w:bottom w:val="single" w:sz="4" w:space="0" w:color="auto"/>
              <w:right w:val="single" w:sz="4" w:space="0" w:color="auto"/>
            </w:tcBorders>
            <w:shd w:val="clear" w:color="auto" w:fill="auto"/>
            <w:noWrap/>
            <w:vAlign w:val="bottom"/>
            <w:hideMark/>
          </w:tcPr>
          <w:p w14:paraId="432A743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EB98DA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F7BABB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1.500,00</w:t>
            </w:r>
          </w:p>
        </w:tc>
      </w:tr>
      <w:tr w:rsidR="00846ACC" w:rsidRPr="004974C0" w14:paraId="412F715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E23941F"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45F65216"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15B7F44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1.500,00</w:t>
            </w:r>
          </w:p>
        </w:tc>
        <w:tc>
          <w:tcPr>
            <w:tcW w:w="1843" w:type="dxa"/>
            <w:tcBorders>
              <w:top w:val="nil"/>
              <w:left w:val="nil"/>
              <w:bottom w:val="single" w:sz="4" w:space="0" w:color="auto"/>
              <w:right w:val="single" w:sz="4" w:space="0" w:color="auto"/>
            </w:tcBorders>
            <w:shd w:val="clear" w:color="auto" w:fill="auto"/>
            <w:noWrap/>
            <w:vAlign w:val="bottom"/>
            <w:hideMark/>
          </w:tcPr>
          <w:p w14:paraId="4D22286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27583A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148CEB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1.500,00</w:t>
            </w:r>
          </w:p>
        </w:tc>
      </w:tr>
      <w:tr w:rsidR="00846ACC" w:rsidRPr="004974C0" w14:paraId="5556CA0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41CD4A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7117CD2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39266F5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3.900,00</w:t>
            </w:r>
          </w:p>
        </w:tc>
        <w:tc>
          <w:tcPr>
            <w:tcW w:w="1843" w:type="dxa"/>
            <w:tcBorders>
              <w:top w:val="nil"/>
              <w:left w:val="nil"/>
              <w:bottom w:val="single" w:sz="4" w:space="0" w:color="auto"/>
              <w:right w:val="single" w:sz="4" w:space="0" w:color="auto"/>
            </w:tcBorders>
            <w:shd w:val="clear" w:color="auto" w:fill="auto"/>
            <w:noWrap/>
            <w:vAlign w:val="bottom"/>
            <w:hideMark/>
          </w:tcPr>
          <w:p w14:paraId="128A478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2.611,00</w:t>
            </w:r>
          </w:p>
        </w:tc>
        <w:tc>
          <w:tcPr>
            <w:tcW w:w="1559" w:type="dxa"/>
            <w:tcBorders>
              <w:top w:val="nil"/>
              <w:left w:val="nil"/>
              <w:bottom w:val="single" w:sz="4" w:space="0" w:color="auto"/>
              <w:right w:val="single" w:sz="4" w:space="0" w:color="auto"/>
            </w:tcBorders>
            <w:shd w:val="clear" w:color="auto" w:fill="auto"/>
            <w:noWrap/>
            <w:vAlign w:val="bottom"/>
            <w:hideMark/>
          </w:tcPr>
          <w:p w14:paraId="5DE6E79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66,95</w:t>
            </w:r>
          </w:p>
        </w:tc>
        <w:tc>
          <w:tcPr>
            <w:tcW w:w="1803" w:type="dxa"/>
            <w:tcBorders>
              <w:top w:val="nil"/>
              <w:left w:val="nil"/>
              <w:bottom w:val="single" w:sz="4" w:space="0" w:color="auto"/>
              <w:right w:val="single" w:sz="4" w:space="0" w:color="auto"/>
            </w:tcBorders>
            <w:shd w:val="clear" w:color="auto" w:fill="auto"/>
            <w:noWrap/>
            <w:vAlign w:val="bottom"/>
            <w:hideMark/>
          </w:tcPr>
          <w:p w14:paraId="7E4FC57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6.511,00</w:t>
            </w:r>
          </w:p>
        </w:tc>
      </w:tr>
      <w:tr w:rsidR="00846ACC" w:rsidRPr="004974C0" w14:paraId="74FB1A0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D926FE5"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75DBAB36"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07441CC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3.900,00</w:t>
            </w:r>
          </w:p>
        </w:tc>
        <w:tc>
          <w:tcPr>
            <w:tcW w:w="1843" w:type="dxa"/>
            <w:tcBorders>
              <w:top w:val="nil"/>
              <w:left w:val="nil"/>
              <w:bottom w:val="single" w:sz="4" w:space="0" w:color="auto"/>
              <w:right w:val="single" w:sz="4" w:space="0" w:color="auto"/>
            </w:tcBorders>
            <w:shd w:val="clear" w:color="auto" w:fill="auto"/>
            <w:noWrap/>
            <w:vAlign w:val="bottom"/>
            <w:hideMark/>
          </w:tcPr>
          <w:p w14:paraId="5B0F950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2.611,00</w:t>
            </w:r>
          </w:p>
        </w:tc>
        <w:tc>
          <w:tcPr>
            <w:tcW w:w="1559" w:type="dxa"/>
            <w:tcBorders>
              <w:top w:val="nil"/>
              <w:left w:val="nil"/>
              <w:bottom w:val="single" w:sz="4" w:space="0" w:color="auto"/>
              <w:right w:val="single" w:sz="4" w:space="0" w:color="auto"/>
            </w:tcBorders>
            <w:shd w:val="clear" w:color="auto" w:fill="auto"/>
            <w:noWrap/>
            <w:vAlign w:val="bottom"/>
            <w:hideMark/>
          </w:tcPr>
          <w:p w14:paraId="7FD58FA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66,95</w:t>
            </w:r>
          </w:p>
        </w:tc>
        <w:tc>
          <w:tcPr>
            <w:tcW w:w="1803" w:type="dxa"/>
            <w:tcBorders>
              <w:top w:val="nil"/>
              <w:left w:val="nil"/>
              <w:bottom w:val="single" w:sz="4" w:space="0" w:color="auto"/>
              <w:right w:val="single" w:sz="4" w:space="0" w:color="auto"/>
            </w:tcBorders>
            <w:shd w:val="clear" w:color="auto" w:fill="auto"/>
            <w:noWrap/>
            <w:vAlign w:val="bottom"/>
            <w:hideMark/>
          </w:tcPr>
          <w:p w14:paraId="3EF5C10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6.511,00</w:t>
            </w:r>
          </w:p>
        </w:tc>
      </w:tr>
      <w:tr w:rsidR="00846ACC" w:rsidRPr="004974C0" w14:paraId="46571B1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6021B13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A100005 Provedba posebnih mjera zaštite izvan područja redovnog djelovanja-VZIŽ</w:t>
            </w:r>
          </w:p>
        </w:tc>
        <w:tc>
          <w:tcPr>
            <w:tcW w:w="1984" w:type="dxa"/>
            <w:tcBorders>
              <w:top w:val="nil"/>
              <w:left w:val="nil"/>
              <w:bottom w:val="single" w:sz="4" w:space="0" w:color="auto"/>
              <w:right w:val="single" w:sz="4" w:space="0" w:color="auto"/>
            </w:tcBorders>
            <w:shd w:val="clear" w:color="000000" w:fill="CCCCFF"/>
            <w:noWrap/>
            <w:vAlign w:val="bottom"/>
            <w:hideMark/>
          </w:tcPr>
          <w:p w14:paraId="079879C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7F8579B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3.300,00</w:t>
            </w:r>
          </w:p>
        </w:tc>
        <w:tc>
          <w:tcPr>
            <w:tcW w:w="1843" w:type="dxa"/>
            <w:tcBorders>
              <w:top w:val="nil"/>
              <w:left w:val="nil"/>
              <w:bottom w:val="single" w:sz="4" w:space="0" w:color="auto"/>
              <w:right w:val="single" w:sz="4" w:space="0" w:color="auto"/>
            </w:tcBorders>
            <w:shd w:val="clear" w:color="000000" w:fill="CCCCFF"/>
            <w:noWrap/>
            <w:vAlign w:val="bottom"/>
            <w:hideMark/>
          </w:tcPr>
          <w:p w14:paraId="3E9C912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1778FC8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177D8B5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3.300,00</w:t>
            </w:r>
          </w:p>
        </w:tc>
      </w:tr>
      <w:tr w:rsidR="00846ACC" w:rsidRPr="004974C0" w14:paraId="6F315FF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6B7FC3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6.9. 6.DONACIJE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2B533A7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2F6F6C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3.300,00</w:t>
            </w:r>
          </w:p>
        </w:tc>
        <w:tc>
          <w:tcPr>
            <w:tcW w:w="1843" w:type="dxa"/>
            <w:tcBorders>
              <w:top w:val="nil"/>
              <w:left w:val="nil"/>
              <w:bottom w:val="single" w:sz="4" w:space="0" w:color="auto"/>
              <w:right w:val="single" w:sz="4" w:space="0" w:color="auto"/>
            </w:tcBorders>
            <w:shd w:val="clear" w:color="000000" w:fill="FFFF99"/>
            <w:noWrap/>
            <w:vAlign w:val="bottom"/>
            <w:hideMark/>
          </w:tcPr>
          <w:p w14:paraId="4766A47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47C1019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267B25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3.300,00</w:t>
            </w:r>
          </w:p>
        </w:tc>
      </w:tr>
      <w:tr w:rsidR="00846ACC" w:rsidRPr="004974C0" w14:paraId="4B5330C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43B4E9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242B1D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3ACC39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3.300,00</w:t>
            </w:r>
          </w:p>
        </w:tc>
        <w:tc>
          <w:tcPr>
            <w:tcW w:w="1843" w:type="dxa"/>
            <w:tcBorders>
              <w:top w:val="nil"/>
              <w:left w:val="nil"/>
              <w:bottom w:val="single" w:sz="4" w:space="0" w:color="auto"/>
              <w:right w:val="single" w:sz="4" w:space="0" w:color="auto"/>
            </w:tcBorders>
            <w:shd w:val="clear" w:color="auto" w:fill="auto"/>
            <w:noWrap/>
            <w:vAlign w:val="bottom"/>
            <w:hideMark/>
          </w:tcPr>
          <w:p w14:paraId="25D967A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06B628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2B02A4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3.300,00</w:t>
            </w:r>
          </w:p>
        </w:tc>
      </w:tr>
      <w:tr w:rsidR="00846ACC" w:rsidRPr="004974C0" w14:paraId="009C275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182F83E"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287A33F9"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73289BF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2.480,00</w:t>
            </w:r>
          </w:p>
        </w:tc>
        <w:tc>
          <w:tcPr>
            <w:tcW w:w="1843" w:type="dxa"/>
            <w:tcBorders>
              <w:top w:val="nil"/>
              <w:left w:val="nil"/>
              <w:bottom w:val="single" w:sz="4" w:space="0" w:color="auto"/>
              <w:right w:val="single" w:sz="4" w:space="0" w:color="auto"/>
            </w:tcBorders>
            <w:shd w:val="clear" w:color="auto" w:fill="auto"/>
            <w:noWrap/>
            <w:vAlign w:val="bottom"/>
            <w:hideMark/>
          </w:tcPr>
          <w:p w14:paraId="77F3472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AFCFAC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62DA83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2.480,00</w:t>
            </w:r>
          </w:p>
        </w:tc>
      </w:tr>
      <w:tr w:rsidR="00846ACC" w:rsidRPr="004974C0" w14:paraId="312CD5E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19E2620"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B295439"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B90CF5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820,00</w:t>
            </w:r>
          </w:p>
        </w:tc>
        <w:tc>
          <w:tcPr>
            <w:tcW w:w="1843" w:type="dxa"/>
            <w:tcBorders>
              <w:top w:val="nil"/>
              <w:left w:val="nil"/>
              <w:bottom w:val="single" w:sz="4" w:space="0" w:color="auto"/>
              <w:right w:val="single" w:sz="4" w:space="0" w:color="auto"/>
            </w:tcBorders>
            <w:shd w:val="clear" w:color="auto" w:fill="auto"/>
            <w:noWrap/>
            <w:vAlign w:val="bottom"/>
            <w:hideMark/>
          </w:tcPr>
          <w:p w14:paraId="2D6EB90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BBDD66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CD70D7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820,00</w:t>
            </w:r>
          </w:p>
        </w:tc>
      </w:tr>
      <w:tr w:rsidR="00846ACC" w:rsidRPr="004974C0" w14:paraId="47BCF00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0174E9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A100006 Provedba posebnih mjera zaštite-sezonski vatrogasci</w:t>
            </w:r>
          </w:p>
        </w:tc>
        <w:tc>
          <w:tcPr>
            <w:tcW w:w="1984" w:type="dxa"/>
            <w:tcBorders>
              <w:top w:val="nil"/>
              <w:left w:val="nil"/>
              <w:bottom w:val="single" w:sz="4" w:space="0" w:color="auto"/>
              <w:right w:val="single" w:sz="4" w:space="0" w:color="auto"/>
            </w:tcBorders>
            <w:shd w:val="clear" w:color="000000" w:fill="CCCCFF"/>
            <w:noWrap/>
            <w:vAlign w:val="bottom"/>
            <w:hideMark/>
          </w:tcPr>
          <w:p w14:paraId="392FF0B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7F329D3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14.790,00</w:t>
            </w:r>
          </w:p>
        </w:tc>
        <w:tc>
          <w:tcPr>
            <w:tcW w:w="1843" w:type="dxa"/>
            <w:tcBorders>
              <w:top w:val="nil"/>
              <w:left w:val="nil"/>
              <w:bottom w:val="single" w:sz="4" w:space="0" w:color="auto"/>
              <w:right w:val="single" w:sz="4" w:space="0" w:color="auto"/>
            </w:tcBorders>
            <w:shd w:val="clear" w:color="000000" w:fill="CCCCFF"/>
            <w:noWrap/>
            <w:vAlign w:val="bottom"/>
            <w:hideMark/>
          </w:tcPr>
          <w:p w14:paraId="53C5D65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67BCAA9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4BE9144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14.790,00</w:t>
            </w:r>
          </w:p>
        </w:tc>
      </w:tr>
      <w:tr w:rsidR="00846ACC" w:rsidRPr="004974C0" w14:paraId="53400B1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651AB9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6.9. 6.DONACIJE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762F9DC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BC5062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14.790,00</w:t>
            </w:r>
          </w:p>
        </w:tc>
        <w:tc>
          <w:tcPr>
            <w:tcW w:w="1843" w:type="dxa"/>
            <w:tcBorders>
              <w:top w:val="nil"/>
              <w:left w:val="nil"/>
              <w:bottom w:val="single" w:sz="4" w:space="0" w:color="auto"/>
              <w:right w:val="single" w:sz="4" w:space="0" w:color="auto"/>
            </w:tcBorders>
            <w:shd w:val="clear" w:color="000000" w:fill="FFFF99"/>
            <w:noWrap/>
            <w:vAlign w:val="bottom"/>
            <w:hideMark/>
          </w:tcPr>
          <w:p w14:paraId="7088FF3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52B4026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ECC009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14.790,00</w:t>
            </w:r>
          </w:p>
        </w:tc>
      </w:tr>
      <w:tr w:rsidR="00846ACC" w:rsidRPr="004974C0" w14:paraId="2300D2D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AF5F72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9165FF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A6B67C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14.790,00</w:t>
            </w:r>
          </w:p>
        </w:tc>
        <w:tc>
          <w:tcPr>
            <w:tcW w:w="1843" w:type="dxa"/>
            <w:tcBorders>
              <w:top w:val="nil"/>
              <w:left w:val="nil"/>
              <w:bottom w:val="single" w:sz="4" w:space="0" w:color="auto"/>
              <w:right w:val="single" w:sz="4" w:space="0" w:color="auto"/>
            </w:tcBorders>
            <w:shd w:val="clear" w:color="auto" w:fill="auto"/>
            <w:noWrap/>
            <w:vAlign w:val="bottom"/>
            <w:hideMark/>
          </w:tcPr>
          <w:p w14:paraId="657A401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DF8E48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0630D4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14.790,00</w:t>
            </w:r>
          </w:p>
        </w:tc>
      </w:tr>
      <w:tr w:rsidR="00846ACC" w:rsidRPr="004974C0" w14:paraId="56AC580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1A4E2DC"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5D9FF593"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5C9CF8B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13.060,00</w:t>
            </w:r>
          </w:p>
        </w:tc>
        <w:tc>
          <w:tcPr>
            <w:tcW w:w="1843" w:type="dxa"/>
            <w:tcBorders>
              <w:top w:val="nil"/>
              <w:left w:val="nil"/>
              <w:bottom w:val="single" w:sz="4" w:space="0" w:color="auto"/>
              <w:right w:val="single" w:sz="4" w:space="0" w:color="auto"/>
            </w:tcBorders>
            <w:shd w:val="clear" w:color="auto" w:fill="auto"/>
            <w:noWrap/>
            <w:vAlign w:val="bottom"/>
            <w:hideMark/>
          </w:tcPr>
          <w:p w14:paraId="0CFE8F6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-3.500,00</w:t>
            </w:r>
          </w:p>
        </w:tc>
        <w:tc>
          <w:tcPr>
            <w:tcW w:w="1559" w:type="dxa"/>
            <w:tcBorders>
              <w:top w:val="nil"/>
              <w:left w:val="nil"/>
              <w:bottom w:val="single" w:sz="4" w:space="0" w:color="auto"/>
              <w:right w:val="single" w:sz="4" w:space="0" w:color="auto"/>
            </w:tcBorders>
            <w:shd w:val="clear" w:color="auto" w:fill="auto"/>
            <w:noWrap/>
            <w:vAlign w:val="bottom"/>
            <w:hideMark/>
          </w:tcPr>
          <w:p w14:paraId="1CD00CC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-26,80</w:t>
            </w:r>
          </w:p>
        </w:tc>
        <w:tc>
          <w:tcPr>
            <w:tcW w:w="1803" w:type="dxa"/>
            <w:tcBorders>
              <w:top w:val="nil"/>
              <w:left w:val="nil"/>
              <w:bottom w:val="single" w:sz="4" w:space="0" w:color="auto"/>
              <w:right w:val="single" w:sz="4" w:space="0" w:color="auto"/>
            </w:tcBorders>
            <w:shd w:val="clear" w:color="auto" w:fill="auto"/>
            <w:noWrap/>
            <w:vAlign w:val="bottom"/>
            <w:hideMark/>
          </w:tcPr>
          <w:p w14:paraId="748613A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9.560,00</w:t>
            </w:r>
          </w:p>
        </w:tc>
      </w:tr>
      <w:tr w:rsidR="00846ACC" w:rsidRPr="004974C0" w14:paraId="0AA54BA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CB95869"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D818E82"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E44ED5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1.730,00</w:t>
            </w:r>
          </w:p>
        </w:tc>
        <w:tc>
          <w:tcPr>
            <w:tcW w:w="1843" w:type="dxa"/>
            <w:tcBorders>
              <w:top w:val="nil"/>
              <w:left w:val="nil"/>
              <w:bottom w:val="single" w:sz="4" w:space="0" w:color="auto"/>
              <w:right w:val="single" w:sz="4" w:space="0" w:color="auto"/>
            </w:tcBorders>
            <w:shd w:val="clear" w:color="auto" w:fill="auto"/>
            <w:noWrap/>
            <w:vAlign w:val="bottom"/>
            <w:hideMark/>
          </w:tcPr>
          <w:p w14:paraId="4550F8F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3.500,00</w:t>
            </w:r>
          </w:p>
        </w:tc>
        <w:tc>
          <w:tcPr>
            <w:tcW w:w="1559" w:type="dxa"/>
            <w:tcBorders>
              <w:top w:val="nil"/>
              <w:left w:val="nil"/>
              <w:bottom w:val="single" w:sz="4" w:space="0" w:color="auto"/>
              <w:right w:val="single" w:sz="4" w:space="0" w:color="auto"/>
            </w:tcBorders>
            <w:shd w:val="clear" w:color="auto" w:fill="auto"/>
            <w:noWrap/>
            <w:vAlign w:val="bottom"/>
            <w:hideMark/>
          </w:tcPr>
          <w:p w14:paraId="4E6C12F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202,31</w:t>
            </w:r>
          </w:p>
        </w:tc>
        <w:tc>
          <w:tcPr>
            <w:tcW w:w="1803" w:type="dxa"/>
            <w:tcBorders>
              <w:top w:val="nil"/>
              <w:left w:val="nil"/>
              <w:bottom w:val="single" w:sz="4" w:space="0" w:color="auto"/>
              <w:right w:val="single" w:sz="4" w:space="0" w:color="auto"/>
            </w:tcBorders>
            <w:shd w:val="clear" w:color="auto" w:fill="auto"/>
            <w:noWrap/>
            <w:vAlign w:val="bottom"/>
            <w:hideMark/>
          </w:tcPr>
          <w:p w14:paraId="231F810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5.230,00</w:t>
            </w:r>
          </w:p>
        </w:tc>
      </w:tr>
      <w:tr w:rsidR="00846ACC" w:rsidRPr="004974C0" w14:paraId="2C82157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000080"/>
            <w:noWrap/>
            <w:vAlign w:val="bottom"/>
            <w:hideMark/>
          </w:tcPr>
          <w:p w14:paraId="0253E6F1"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Razdjel 200 UPRAVNI ODJEL ZA PRORAČUN I FINANCIJE</w:t>
            </w:r>
          </w:p>
        </w:tc>
        <w:tc>
          <w:tcPr>
            <w:tcW w:w="1984" w:type="dxa"/>
            <w:tcBorders>
              <w:top w:val="nil"/>
              <w:left w:val="nil"/>
              <w:bottom w:val="single" w:sz="4" w:space="0" w:color="auto"/>
              <w:right w:val="single" w:sz="4" w:space="0" w:color="auto"/>
            </w:tcBorders>
            <w:shd w:val="clear" w:color="000000" w:fill="000080"/>
            <w:noWrap/>
            <w:vAlign w:val="bottom"/>
            <w:hideMark/>
          </w:tcPr>
          <w:p w14:paraId="67CF518A"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000080"/>
            <w:noWrap/>
            <w:vAlign w:val="bottom"/>
            <w:hideMark/>
          </w:tcPr>
          <w:p w14:paraId="1777F880"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2.693.700,00</w:t>
            </w:r>
          </w:p>
        </w:tc>
        <w:tc>
          <w:tcPr>
            <w:tcW w:w="1843" w:type="dxa"/>
            <w:tcBorders>
              <w:top w:val="nil"/>
              <w:left w:val="nil"/>
              <w:bottom w:val="single" w:sz="4" w:space="0" w:color="auto"/>
              <w:right w:val="single" w:sz="4" w:space="0" w:color="auto"/>
            </w:tcBorders>
            <w:shd w:val="clear" w:color="000000" w:fill="000080"/>
            <w:noWrap/>
            <w:vAlign w:val="bottom"/>
            <w:hideMark/>
          </w:tcPr>
          <w:p w14:paraId="7084F70D"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50.000,00</w:t>
            </w:r>
          </w:p>
        </w:tc>
        <w:tc>
          <w:tcPr>
            <w:tcW w:w="1559" w:type="dxa"/>
            <w:tcBorders>
              <w:top w:val="nil"/>
              <w:left w:val="nil"/>
              <w:bottom w:val="single" w:sz="4" w:space="0" w:color="auto"/>
              <w:right w:val="single" w:sz="4" w:space="0" w:color="auto"/>
            </w:tcBorders>
            <w:shd w:val="clear" w:color="000000" w:fill="000080"/>
            <w:noWrap/>
            <w:vAlign w:val="bottom"/>
            <w:hideMark/>
          </w:tcPr>
          <w:p w14:paraId="3806A289"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1,86</w:t>
            </w:r>
          </w:p>
        </w:tc>
        <w:tc>
          <w:tcPr>
            <w:tcW w:w="1803" w:type="dxa"/>
            <w:tcBorders>
              <w:top w:val="nil"/>
              <w:left w:val="nil"/>
              <w:bottom w:val="single" w:sz="4" w:space="0" w:color="auto"/>
              <w:right w:val="single" w:sz="4" w:space="0" w:color="auto"/>
            </w:tcBorders>
            <w:shd w:val="clear" w:color="000000" w:fill="000080"/>
            <w:noWrap/>
            <w:vAlign w:val="bottom"/>
            <w:hideMark/>
          </w:tcPr>
          <w:p w14:paraId="71964280"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2.743.700,00</w:t>
            </w:r>
          </w:p>
        </w:tc>
      </w:tr>
      <w:tr w:rsidR="00846ACC" w:rsidRPr="004974C0" w14:paraId="7499F73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0000FF"/>
            <w:noWrap/>
            <w:vAlign w:val="bottom"/>
            <w:hideMark/>
          </w:tcPr>
          <w:p w14:paraId="157D9474"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Glava 20001 UPRAVNI ODJEL ZA PRORAČUN I FINANCIJE</w:t>
            </w:r>
          </w:p>
        </w:tc>
        <w:tc>
          <w:tcPr>
            <w:tcW w:w="1984" w:type="dxa"/>
            <w:tcBorders>
              <w:top w:val="nil"/>
              <w:left w:val="nil"/>
              <w:bottom w:val="single" w:sz="4" w:space="0" w:color="auto"/>
              <w:right w:val="single" w:sz="4" w:space="0" w:color="auto"/>
            </w:tcBorders>
            <w:shd w:val="clear" w:color="000000" w:fill="0000FF"/>
            <w:noWrap/>
            <w:vAlign w:val="bottom"/>
            <w:hideMark/>
          </w:tcPr>
          <w:p w14:paraId="0DB4D80C"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0000FF"/>
            <w:noWrap/>
            <w:vAlign w:val="bottom"/>
            <w:hideMark/>
          </w:tcPr>
          <w:p w14:paraId="6DD0F6C9"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2.693.700,00</w:t>
            </w:r>
          </w:p>
        </w:tc>
        <w:tc>
          <w:tcPr>
            <w:tcW w:w="1843" w:type="dxa"/>
            <w:tcBorders>
              <w:top w:val="nil"/>
              <w:left w:val="nil"/>
              <w:bottom w:val="single" w:sz="4" w:space="0" w:color="auto"/>
              <w:right w:val="single" w:sz="4" w:space="0" w:color="auto"/>
            </w:tcBorders>
            <w:shd w:val="clear" w:color="000000" w:fill="0000FF"/>
            <w:noWrap/>
            <w:vAlign w:val="bottom"/>
            <w:hideMark/>
          </w:tcPr>
          <w:p w14:paraId="0498603B"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50.000,00</w:t>
            </w:r>
          </w:p>
        </w:tc>
        <w:tc>
          <w:tcPr>
            <w:tcW w:w="1559" w:type="dxa"/>
            <w:tcBorders>
              <w:top w:val="nil"/>
              <w:left w:val="nil"/>
              <w:bottom w:val="single" w:sz="4" w:space="0" w:color="auto"/>
              <w:right w:val="single" w:sz="4" w:space="0" w:color="auto"/>
            </w:tcBorders>
            <w:shd w:val="clear" w:color="000000" w:fill="0000FF"/>
            <w:noWrap/>
            <w:vAlign w:val="bottom"/>
            <w:hideMark/>
          </w:tcPr>
          <w:p w14:paraId="64B0576D"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1,86</w:t>
            </w:r>
          </w:p>
        </w:tc>
        <w:tc>
          <w:tcPr>
            <w:tcW w:w="1803" w:type="dxa"/>
            <w:tcBorders>
              <w:top w:val="nil"/>
              <w:left w:val="nil"/>
              <w:bottom w:val="single" w:sz="4" w:space="0" w:color="auto"/>
              <w:right w:val="single" w:sz="4" w:space="0" w:color="auto"/>
            </w:tcBorders>
            <w:shd w:val="clear" w:color="000000" w:fill="0000FF"/>
            <w:noWrap/>
            <w:vAlign w:val="bottom"/>
            <w:hideMark/>
          </w:tcPr>
          <w:p w14:paraId="5C16DFF1"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2.743.700,00</w:t>
            </w:r>
          </w:p>
        </w:tc>
      </w:tr>
      <w:tr w:rsidR="00846ACC" w:rsidRPr="004974C0" w14:paraId="428A9EB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1AEE56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3DA499F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EB4170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2.523.600,00</w:t>
            </w:r>
          </w:p>
        </w:tc>
        <w:tc>
          <w:tcPr>
            <w:tcW w:w="1843" w:type="dxa"/>
            <w:tcBorders>
              <w:top w:val="nil"/>
              <w:left w:val="nil"/>
              <w:bottom w:val="single" w:sz="4" w:space="0" w:color="auto"/>
              <w:right w:val="single" w:sz="4" w:space="0" w:color="auto"/>
            </w:tcBorders>
            <w:shd w:val="clear" w:color="000000" w:fill="FFFFFF"/>
            <w:noWrap/>
            <w:vAlign w:val="bottom"/>
            <w:hideMark/>
          </w:tcPr>
          <w:p w14:paraId="0DE4A0D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50.000,00</w:t>
            </w:r>
          </w:p>
        </w:tc>
        <w:tc>
          <w:tcPr>
            <w:tcW w:w="1559" w:type="dxa"/>
            <w:tcBorders>
              <w:top w:val="nil"/>
              <w:left w:val="nil"/>
              <w:bottom w:val="single" w:sz="4" w:space="0" w:color="auto"/>
              <w:right w:val="single" w:sz="4" w:space="0" w:color="auto"/>
            </w:tcBorders>
            <w:shd w:val="clear" w:color="000000" w:fill="FFFFFF"/>
            <w:noWrap/>
            <w:vAlign w:val="bottom"/>
            <w:hideMark/>
          </w:tcPr>
          <w:p w14:paraId="16FB399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1,98</w:t>
            </w:r>
          </w:p>
        </w:tc>
        <w:tc>
          <w:tcPr>
            <w:tcW w:w="1803" w:type="dxa"/>
            <w:tcBorders>
              <w:top w:val="nil"/>
              <w:left w:val="nil"/>
              <w:bottom w:val="single" w:sz="4" w:space="0" w:color="auto"/>
              <w:right w:val="single" w:sz="4" w:space="0" w:color="auto"/>
            </w:tcBorders>
            <w:shd w:val="clear" w:color="000000" w:fill="FFFFFF"/>
            <w:noWrap/>
            <w:vAlign w:val="bottom"/>
            <w:hideMark/>
          </w:tcPr>
          <w:p w14:paraId="3EDD156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2.573.600,00</w:t>
            </w:r>
          </w:p>
        </w:tc>
      </w:tr>
      <w:tr w:rsidR="00846ACC" w:rsidRPr="004974C0" w14:paraId="52E6E05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AF83A0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7FD642E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9D1928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2.523.600,00</w:t>
            </w:r>
          </w:p>
        </w:tc>
        <w:tc>
          <w:tcPr>
            <w:tcW w:w="1843" w:type="dxa"/>
            <w:tcBorders>
              <w:top w:val="nil"/>
              <w:left w:val="nil"/>
              <w:bottom w:val="single" w:sz="4" w:space="0" w:color="auto"/>
              <w:right w:val="single" w:sz="4" w:space="0" w:color="auto"/>
            </w:tcBorders>
            <w:shd w:val="clear" w:color="000000" w:fill="FFFFFF"/>
            <w:noWrap/>
            <w:vAlign w:val="bottom"/>
            <w:hideMark/>
          </w:tcPr>
          <w:p w14:paraId="57EE18A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50.000,00</w:t>
            </w:r>
          </w:p>
        </w:tc>
        <w:tc>
          <w:tcPr>
            <w:tcW w:w="1559" w:type="dxa"/>
            <w:tcBorders>
              <w:top w:val="nil"/>
              <w:left w:val="nil"/>
              <w:bottom w:val="single" w:sz="4" w:space="0" w:color="auto"/>
              <w:right w:val="single" w:sz="4" w:space="0" w:color="auto"/>
            </w:tcBorders>
            <w:shd w:val="clear" w:color="000000" w:fill="FFFFFF"/>
            <w:noWrap/>
            <w:vAlign w:val="bottom"/>
            <w:hideMark/>
          </w:tcPr>
          <w:p w14:paraId="6433DA6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1,98</w:t>
            </w:r>
          </w:p>
        </w:tc>
        <w:tc>
          <w:tcPr>
            <w:tcW w:w="1803" w:type="dxa"/>
            <w:tcBorders>
              <w:top w:val="nil"/>
              <w:left w:val="nil"/>
              <w:bottom w:val="single" w:sz="4" w:space="0" w:color="auto"/>
              <w:right w:val="single" w:sz="4" w:space="0" w:color="auto"/>
            </w:tcBorders>
            <w:shd w:val="clear" w:color="000000" w:fill="FFFFFF"/>
            <w:noWrap/>
            <w:vAlign w:val="bottom"/>
            <w:hideMark/>
          </w:tcPr>
          <w:p w14:paraId="344EED0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2.573.600,00</w:t>
            </w:r>
          </w:p>
        </w:tc>
      </w:tr>
      <w:tr w:rsidR="00846ACC" w:rsidRPr="004974C0" w14:paraId="44011C8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7E38F3B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 POMOĆI</w:t>
            </w:r>
          </w:p>
        </w:tc>
        <w:tc>
          <w:tcPr>
            <w:tcW w:w="1984" w:type="dxa"/>
            <w:tcBorders>
              <w:top w:val="nil"/>
              <w:left w:val="nil"/>
              <w:bottom w:val="single" w:sz="4" w:space="0" w:color="auto"/>
              <w:right w:val="single" w:sz="4" w:space="0" w:color="auto"/>
            </w:tcBorders>
            <w:shd w:val="clear" w:color="000000" w:fill="FFFFFF"/>
            <w:noWrap/>
            <w:vAlign w:val="bottom"/>
            <w:hideMark/>
          </w:tcPr>
          <w:p w14:paraId="69EAC7B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EFB8FD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170.100,00</w:t>
            </w:r>
          </w:p>
        </w:tc>
        <w:tc>
          <w:tcPr>
            <w:tcW w:w="1843" w:type="dxa"/>
            <w:tcBorders>
              <w:top w:val="nil"/>
              <w:left w:val="nil"/>
              <w:bottom w:val="single" w:sz="4" w:space="0" w:color="auto"/>
              <w:right w:val="single" w:sz="4" w:space="0" w:color="auto"/>
            </w:tcBorders>
            <w:shd w:val="clear" w:color="000000" w:fill="FFFFFF"/>
            <w:noWrap/>
            <w:vAlign w:val="bottom"/>
            <w:hideMark/>
          </w:tcPr>
          <w:p w14:paraId="43CB04D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5E84F01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2CFB693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170.100,00</w:t>
            </w:r>
          </w:p>
        </w:tc>
      </w:tr>
      <w:tr w:rsidR="00846ACC" w:rsidRPr="004974C0" w14:paraId="1731CC6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79B153C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5.5. POMOĆI IZ ŽUPANIJSKOG PRORAČUNA</w:t>
            </w:r>
          </w:p>
        </w:tc>
        <w:tc>
          <w:tcPr>
            <w:tcW w:w="1984" w:type="dxa"/>
            <w:tcBorders>
              <w:top w:val="nil"/>
              <w:left w:val="nil"/>
              <w:bottom w:val="single" w:sz="4" w:space="0" w:color="auto"/>
              <w:right w:val="single" w:sz="4" w:space="0" w:color="auto"/>
            </w:tcBorders>
            <w:shd w:val="clear" w:color="000000" w:fill="FFFFFF"/>
            <w:noWrap/>
            <w:vAlign w:val="bottom"/>
            <w:hideMark/>
          </w:tcPr>
          <w:p w14:paraId="22E8754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AE7F93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170.100,00</w:t>
            </w:r>
          </w:p>
        </w:tc>
        <w:tc>
          <w:tcPr>
            <w:tcW w:w="1843" w:type="dxa"/>
            <w:tcBorders>
              <w:top w:val="nil"/>
              <w:left w:val="nil"/>
              <w:bottom w:val="single" w:sz="4" w:space="0" w:color="auto"/>
              <w:right w:val="single" w:sz="4" w:space="0" w:color="auto"/>
            </w:tcBorders>
            <w:shd w:val="clear" w:color="000000" w:fill="FFFFFF"/>
            <w:noWrap/>
            <w:vAlign w:val="bottom"/>
            <w:hideMark/>
          </w:tcPr>
          <w:p w14:paraId="405167D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0E094BF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15B3362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170.100,00</w:t>
            </w:r>
          </w:p>
        </w:tc>
      </w:tr>
      <w:tr w:rsidR="00846ACC" w:rsidRPr="004974C0" w14:paraId="0BF27F4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6C7AD7B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Program 2001 Javna uprava i administracija</w:t>
            </w:r>
          </w:p>
        </w:tc>
        <w:tc>
          <w:tcPr>
            <w:tcW w:w="1984" w:type="dxa"/>
            <w:tcBorders>
              <w:top w:val="nil"/>
              <w:left w:val="nil"/>
              <w:bottom w:val="single" w:sz="4" w:space="0" w:color="auto"/>
              <w:right w:val="single" w:sz="4" w:space="0" w:color="auto"/>
            </w:tcBorders>
            <w:shd w:val="clear" w:color="000000" w:fill="9999FF"/>
            <w:noWrap/>
            <w:vAlign w:val="bottom"/>
            <w:hideMark/>
          </w:tcPr>
          <w:p w14:paraId="3FB27AF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3D236C4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2.693.700,00</w:t>
            </w:r>
          </w:p>
        </w:tc>
        <w:tc>
          <w:tcPr>
            <w:tcW w:w="1843" w:type="dxa"/>
            <w:tcBorders>
              <w:top w:val="nil"/>
              <w:left w:val="nil"/>
              <w:bottom w:val="single" w:sz="4" w:space="0" w:color="auto"/>
              <w:right w:val="single" w:sz="4" w:space="0" w:color="auto"/>
            </w:tcBorders>
            <w:shd w:val="clear" w:color="000000" w:fill="9999FF"/>
            <w:noWrap/>
            <w:vAlign w:val="bottom"/>
            <w:hideMark/>
          </w:tcPr>
          <w:p w14:paraId="12FED6B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50.000,00</w:t>
            </w:r>
          </w:p>
        </w:tc>
        <w:tc>
          <w:tcPr>
            <w:tcW w:w="1559" w:type="dxa"/>
            <w:tcBorders>
              <w:top w:val="nil"/>
              <w:left w:val="nil"/>
              <w:bottom w:val="single" w:sz="4" w:space="0" w:color="auto"/>
              <w:right w:val="single" w:sz="4" w:space="0" w:color="auto"/>
            </w:tcBorders>
            <w:shd w:val="clear" w:color="000000" w:fill="9999FF"/>
            <w:noWrap/>
            <w:vAlign w:val="bottom"/>
            <w:hideMark/>
          </w:tcPr>
          <w:p w14:paraId="5580C17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1,86</w:t>
            </w:r>
          </w:p>
        </w:tc>
        <w:tc>
          <w:tcPr>
            <w:tcW w:w="1803" w:type="dxa"/>
            <w:tcBorders>
              <w:top w:val="nil"/>
              <w:left w:val="nil"/>
              <w:bottom w:val="single" w:sz="4" w:space="0" w:color="auto"/>
              <w:right w:val="single" w:sz="4" w:space="0" w:color="auto"/>
            </w:tcBorders>
            <w:shd w:val="clear" w:color="000000" w:fill="9999FF"/>
            <w:noWrap/>
            <w:vAlign w:val="bottom"/>
            <w:hideMark/>
          </w:tcPr>
          <w:p w14:paraId="4789C90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2.743.700,00</w:t>
            </w:r>
          </w:p>
        </w:tc>
      </w:tr>
      <w:tr w:rsidR="00846ACC" w:rsidRPr="004974C0" w14:paraId="30EBF80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710A20F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A200001 Zajednički troškovi upravnih odjela</w:t>
            </w:r>
          </w:p>
        </w:tc>
        <w:tc>
          <w:tcPr>
            <w:tcW w:w="1984" w:type="dxa"/>
            <w:tcBorders>
              <w:top w:val="nil"/>
              <w:left w:val="nil"/>
              <w:bottom w:val="single" w:sz="4" w:space="0" w:color="auto"/>
              <w:right w:val="single" w:sz="4" w:space="0" w:color="auto"/>
            </w:tcBorders>
            <w:shd w:val="clear" w:color="000000" w:fill="CCCCFF"/>
            <w:noWrap/>
            <w:vAlign w:val="bottom"/>
            <w:hideMark/>
          </w:tcPr>
          <w:p w14:paraId="2CA03AF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1A03D4D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1.903.000,00</w:t>
            </w:r>
          </w:p>
        </w:tc>
        <w:tc>
          <w:tcPr>
            <w:tcW w:w="1843" w:type="dxa"/>
            <w:tcBorders>
              <w:top w:val="nil"/>
              <w:left w:val="nil"/>
              <w:bottom w:val="single" w:sz="4" w:space="0" w:color="auto"/>
              <w:right w:val="single" w:sz="4" w:space="0" w:color="auto"/>
            </w:tcBorders>
            <w:shd w:val="clear" w:color="000000" w:fill="CCCCFF"/>
            <w:noWrap/>
            <w:vAlign w:val="bottom"/>
            <w:hideMark/>
          </w:tcPr>
          <w:p w14:paraId="200979F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42.000,00</w:t>
            </w:r>
          </w:p>
        </w:tc>
        <w:tc>
          <w:tcPr>
            <w:tcW w:w="1559" w:type="dxa"/>
            <w:tcBorders>
              <w:top w:val="nil"/>
              <w:left w:val="nil"/>
              <w:bottom w:val="single" w:sz="4" w:space="0" w:color="auto"/>
              <w:right w:val="single" w:sz="4" w:space="0" w:color="auto"/>
            </w:tcBorders>
            <w:shd w:val="clear" w:color="000000" w:fill="CCCCFF"/>
            <w:noWrap/>
            <w:vAlign w:val="bottom"/>
            <w:hideMark/>
          </w:tcPr>
          <w:p w14:paraId="269929F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2,21</w:t>
            </w:r>
          </w:p>
        </w:tc>
        <w:tc>
          <w:tcPr>
            <w:tcW w:w="1803" w:type="dxa"/>
            <w:tcBorders>
              <w:top w:val="nil"/>
              <w:left w:val="nil"/>
              <w:bottom w:val="single" w:sz="4" w:space="0" w:color="auto"/>
              <w:right w:val="single" w:sz="4" w:space="0" w:color="auto"/>
            </w:tcBorders>
            <w:shd w:val="clear" w:color="000000" w:fill="CCCCFF"/>
            <w:noWrap/>
            <w:vAlign w:val="bottom"/>
            <w:hideMark/>
          </w:tcPr>
          <w:p w14:paraId="5CEAA5E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1.945.000,00</w:t>
            </w:r>
          </w:p>
        </w:tc>
      </w:tr>
      <w:tr w:rsidR="00846ACC" w:rsidRPr="004974C0" w14:paraId="12ACE80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796B4E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1BA5E62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67ADB1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1.903.000,00</w:t>
            </w:r>
          </w:p>
        </w:tc>
        <w:tc>
          <w:tcPr>
            <w:tcW w:w="1843" w:type="dxa"/>
            <w:tcBorders>
              <w:top w:val="nil"/>
              <w:left w:val="nil"/>
              <w:bottom w:val="single" w:sz="4" w:space="0" w:color="auto"/>
              <w:right w:val="single" w:sz="4" w:space="0" w:color="auto"/>
            </w:tcBorders>
            <w:shd w:val="clear" w:color="000000" w:fill="FFFF99"/>
            <w:noWrap/>
            <w:vAlign w:val="bottom"/>
            <w:hideMark/>
          </w:tcPr>
          <w:p w14:paraId="72336C9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42.000,00</w:t>
            </w:r>
          </w:p>
        </w:tc>
        <w:tc>
          <w:tcPr>
            <w:tcW w:w="1559" w:type="dxa"/>
            <w:tcBorders>
              <w:top w:val="nil"/>
              <w:left w:val="nil"/>
              <w:bottom w:val="single" w:sz="4" w:space="0" w:color="auto"/>
              <w:right w:val="single" w:sz="4" w:space="0" w:color="auto"/>
            </w:tcBorders>
            <w:shd w:val="clear" w:color="000000" w:fill="FFFF99"/>
            <w:noWrap/>
            <w:vAlign w:val="bottom"/>
            <w:hideMark/>
          </w:tcPr>
          <w:p w14:paraId="39DA1DB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2,21</w:t>
            </w:r>
          </w:p>
        </w:tc>
        <w:tc>
          <w:tcPr>
            <w:tcW w:w="1803" w:type="dxa"/>
            <w:tcBorders>
              <w:top w:val="nil"/>
              <w:left w:val="nil"/>
              <w:bottom w:val="single" w:sz="4" w:space="0" w:color="auto"/>
              <w:right w:val="single" w:sz="4" w:space="0" w:color="auto"/>
            </w:tcBorders>
            <w:shd w:val="clear" w:color="000000" w:fill="FFFF99"/>
            <w:noWrap/>
            <w:vAlign w:val="bottom"/>
            <w:hideMark/>
          </w:tcPr>
          <w:p w14:paraId="7FB30AA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1.945.000,00</w:t>
            </w:r>
          </w:p>
        </w:tc>
      </w:tr>
      <w:tr w:rsidR="00846ACC" w:rsidRPr="004974C0" w14:paraId="6511814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E4E77D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7357388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7420AEA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1.903.000,00</w:t>
            </w:r>
          </w:p>
        </w:tc>
        <w:tc>
          <w:tcPr>
            <w:tcW w:w="1843" w:type="dxa"/>
            <w:tcBorders>
              <w:top w:val="nil"/>
              <w:left w:val="nil"/>
              <w:bottom w:val="single" w:sz="4" w:space="0" w:color="auto"/>
              <w:right w:val="single" w:sz="4" w:space="0" w:color="auto"/>
            </w:tcBorders>
            <w:shd w:val="clear" w:color="auto" w:fill="auto"/>
            <w:noWrap/>
            <w:vAlign w:val="bottom"/>
            <w:hideMark/>
          </w:tcPr>
          <w:p w14:paraId="24D9BA4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42.000,00</w:t>
            </w:r>
          </w:p>
        </w:tc>
        <w:tc>
          <w:tcPr>
            <w:tcW w:w="1559" w:type="dxa"/>
            <w:tcBorders>
              <w:top w:val="nil"/>
              <w:left w:val="nil"/>
              <w:bottom w:val="single" w:sz="4" w:space="0" w:color="auto"/>
              <w:right w:val="single" w:sz="4" w:space="0" w:color="auto"/>
            </w:tcBorders>
            <w:shd w:val="clear" w:color="auto" w:fill="auto"/>
            <w:noWrap/>
            <w:vAlign w:val="bottom"/>
            <w:hideMark/>
          </w:tcPr>
          <w:p w14:paraId="4FCCF04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2,21</w:t>
            </w:r>
          </w:p>
        </w:tc>
        <w:tc>
          <w:tcPr>
            <w:tcW w:w="1803" w:type="dxa"/>
            <w:tcBorders>
              <w:top w:val="nil"/>
              <w:left w:val="nil"/>
              <w:bottom w:val="single" w:sz="4" w:space="0" w:color="auto"/>
              <w:right w:val="single" w:sz="4" w:space="0" w:color="auto"/>
            </w:tcBorders>
            <w:shd w:val="clear" w:color="auto" w:fill="auto"/>
            <w:noWrap/>
            <w:vAlign w:val="bottom"/>
            <w:hideMark/>
          </w:tcPr>
          <w:p w14:paraId="042A47C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1.945.000,00</w:t>
            </w:r>
          </w:p>
        </w:tc>
      </w:tr>
      <w:tr w:rsidR="00846ACC" w:rsidRPr="004974C0" w14:paraId="3F79E7A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B9959A8"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75116C34"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3870EF9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1.668.000,00</w:t>
            </w:r>
          </w:p>
        </w:tc>
        <w:tc>
          <w:tcPr>
            <w:tcW w:w="1843" w:type="dxa"/>
            <w:tcBorders>
              <w:top w:val="nil"/>
              <w:left w:val="nil"/>
              <w:bottom w:val="single" w:sz="4" w:space="0" w:color="auto"/>
              <w:right w:val="single" w:sz="4" w:space="0" w:color="auto"/>
            </w:tcBorders>
            <w:shd w:val="clear" w:color="auto" w:fill="auto"/>
            <w:noWrap/>
            <w:vAlign w:val="bottom"/>
            <w:hideMark/>
          </w:tcPr>
          <w:p w14:paraId="5FA35E1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30.000,00</w:t>
            </w:r>
          </w:p>
        </w:tc>
        <w:tc>
          <w:tcPr>
            <w:tcW w:w="1559" w:type="dxa"/>
            <w:tcBorders>
              <w:top w:val="nil"/>
              <w:left w:val="nil"/>
              <w:bottom w:val="single" w:sz="4" w:space="0" w:color="auto"/>
              <w:right w:val="single" w:sz="4" w:space="0" w:color="auto"/>
            </w:tcBorders>
            <w:shd w:val="clear" w:color="auto" w:fill="auto"/>
            <w:noWrap/>
            <w:vAlign w:val="bottom"/>
            <w:hideMark/>
          </w:tcPr>
          <w:p w14:paraId="195CD4E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1,80</w:t>
            </w:r>
          </w:p>
        </w:tc>
        <w:tc>
          <w:tcPr>
            <w:tcW w:w="1803" w:type="dxa"/>
            <w:tcBorders>
              <w:top w:val="nil"/>
              <w:left w:val="nil"/>
              <w:bottom w:val="single" w:sz="4" w:space="0" w:color="auto"/>
              <w:right w:val="single" w:sz="4" w:space="0" w:color="auto"/>
            </w:tcBorders>
            <w:shd w:val="clear" w:color="auto" w:fill="auto"/>
            <w:noWrap/>
            <w:vAlign w:val="bottom"/>
            <w:hideMark/>
          </w:tcPr>
          <w:p w14:paraId="1961294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1.698.000,00</w:t>
            </w:r>
          </w:p>
        </w:tc>
      </w:tr>
      <w:tr w:rsidR="00846ACC" w:rsidRPr="004974C0" w14:paraId="39053D3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2B7ECF8"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50ACC00"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A40D0A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189.000,00</w:t>
            </w:r>
          </w:p>
        </w:tc>
        <w:tc>
          <w:tcPr>
            <w:tcW w:w="1843" w:type="dxa"/>
            <w:tcBorders>
              <w:top w:val="nil"/>
              <w:left w:val="nil"/>
              <w:bottom w:val="single" w:sz="4" w:space="0" w:color="auto"/>
              <w:right w:val="single" w:sz="4" w:space="0" w:color="auto"/>
            </w:tcBorders>
            <w:shd w:val="clear" w:color="auto" w:fill="auto"/>
            <w:noWrap/>
            <w:vAlign w:val="bottom"/>
            <w:hideMark/>
          </w:tcPr>
          <w:p w14:paraId="13924AE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10.000,00</w:t>
            </w:r>
          </w:p>
        </w:tc>
        <w:tc>
          <w:tcPr>
            <w:tcW w:w="1559" w:type="dxa"/>
            <w:tcBorders>
              <w:top w:val="nil"/>
              <w:left w:val="nil"/>
              <w:bottom w:val="single" w:sz="4" w:space="0" w:color="auto"/>
              <w:right w:val="single" w:sz="4" w:space="0" w:color="auto"/>
            </w:tcBorders>
            <w:shd w:val="clear" w:color="auto" w:fill="auto"/>
            <w:noWrap/>
            <w:vAlign w:val="bottom"/>
            <w:hideMark/>
          </w:tcPr>
          <w:p w14:paraId="6E5123E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5,29</w:t>
            </w:r>
          </w:p>
        </w:tc>
        <w:tc>
          <w:tcPr>
            <w:tcW w:w="1803" w:type="dxa"/>
            <w:tcBorders>
              <w:top w:val="nil"/>
              <w:left w:val="nil"/>
              <w:bottom w:val="single" w:sz="4" w:space="0" w:color="auto"/>
              <w:right w:val="single" w:sz="4" w:space="0" w:color="auto"/>
            </w:tcBorders>
            <w:shd w:val="clear" w:color="auto" w:fill="auto"/>
            <w:noWrap/>
            <w:vAlign w:val="bottom"/>
            <w:hideMark/>
          </w:tcPr>
          <w:p w14:paraId="39DB9C3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199.000,00</w:t>
            </w:r>
          </w:p>
        </w:tc>
      </w:tr>
      <w:tr w:rsidR="00846ACC" w:rsidRPr="004974C0" w14:paraId="09F4531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909CF75" w14:textId="77777777" w:rsidR="004974C0" w:rsidRPr="004974C0" w:rsidRDefault="004974C0" w:rsidP="004974C0">
            <w:pPr>
              <w:rPr>
                <w:rFonts w:ascii="Arial" w:hAnsi="Arial" w:cs="Arial"/>
                <w:sz w:val="20"/>
                <w:szCs w:val="20"/>
              </w:rPr>
            </w:pPr>
            <w:r w:rsidRPr="004974C0">
              <w:rPr>
                <w:rFonts w:ascii="Arial" w:hAnsi="Arial" w:cs="Arial"/>
                <w:sz w:val="20"/>
                <w:szCs w:val="20"/>
              </w:rPr>
              <w:t>34</w:t>
            </w:r>
          </w:p>
        </w:tc>
        <w:tc>
          <w:tcPr>
            <w:tcW w:w="1984" w:type="dxa"/>
            <w:tcBorders>
              <w:top w:val="nil"/>
              <w:left w:val="nil"/>
              <w:bottom w:val="single" w:sz="4" w:space="0" w:color="auto"/>
              <w:right w:val="single" w:sz="4" w:space="0" w:color="auto"/>
            </w:tcBorders>
            <w:shd w:val="clear" w:color="auto" w:fill="auto"/>
            <w:noWrap/>
            <w:vAlign w:val="bottom"/>
            <w:hideMark/>
          </w:tcPr>
          <w:p w14:paraId="28686DA2" w14:textId="77777777" w:rsidR="004974C0" w:rsidRPr="004974C0" w:rsidRDefault="004974C0" w:rsidP="004974C0">
            <w:pPr>
              <w:rPr>
                <w:rFonts w:ascii="Arial" w:hAnsi="Arial" w:cs="Arial"/>
                <w:sz w:val="20"/>
                <w:szCs w:val="20"/>
              </w:rPr>
            </w:pPr>
            <w:r w:rsidRPr="004974C0">
              <w:rPr>
                <w:rFonts w:ascii="Arial" w:hAnsi="Arial" w:cs="Arial"/>
                <w:sz w:val="20"/>
                <w:szCs w:val="20"/>
              </w:rPr>
              <w:t>Financijski rashodi</w:t>
            </w:r>
          </w:p>
        </w:tc>
        <w:tc>
          <w:tcPr>
            <w:tcW w:w="1843" w:type="dxa"/>
            <w:tcBorders>
              <w:top w:val="nil"/>
              <w:left w:val="nil"/>
              <w:bottom w:val="single" w:sz="4" w:space="0" w:color="auto"/>
              <w:right w:val="single" w:sz="4" w:space="0" w:color="auto"/>
            </w:tcBorders>
            <w:shd w:val="clear" w:color="auto" w:fill="auto"/>
            <w:noWrap/>
            <w:vAlign w:val="bottom"/>
            <w:hideMark/>
          </w:tcPr>
          <w:p w14:paraId="4942A72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46.000,00</w:t>
            </w:r>
          </w:p>
        </w:tc>
        <w:tc>
          <w:tcPr>
            <w:tcW w:w="1843" w:type="dxa"/>
            <w:tcBorders>
              <w:top w:val="nil"/>
              <w:left w:val="nil"/>
              <w:bottom w:val="single" w:sz="4" w:space="0" w:color="auto"/>
              <w:right w:val="single" w:sz="4" w:space="0" w:color="auto"/>
            </w:tcBorders>
            <w:shd w:val="clear" w:color="auto" w:fill="auto"/>
            <w:noWrap/>
            <w:vAlign w:val="bottom"/>
            <w:hideMark/>
          </w:tcPr>
          <w:p w14:paraId="1D148CE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c>
          <w:tcPr>
            <w:tcW w:w="1559" w:type="dxa"/>
            <w:tcBorders>
              <w:top w:val="nil"/>
              <w:left w:val="nil"/>
              <w:bottom w:val="single" w:sz="4" w:space="0" w:color="auto"/>
              <w:right w:val="single" w:sz="4" w:space="0" w:color="auto"/>
            </w:tcBorders>
            <w:shd w:val="clear" w:color="auto" w:fill="auto"/>
            <w:noWrap/>
            <w:vAlign w:val="bottom"/>
            <w:hideMark/>
          </w:tcPr>
          <w:p w14:paraId="386EDAD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4,35</w:t>
            </w:r>
          </w:p>
        </w:tc>
        <w:tc>
          <w:tcPr>
            <w:tcW w:w="1803" w:type="dxa"/>
            <w:tcBorders>
              <w:top w:val="nil"/>
              <w:left w:val="nil"/>
              <w:bottom w:val="single" w:sz="4" w:space="0" w:color="auto"/>
              <w:right w:val="single" w:sz="4" w:space="0" w:color="auto"/>
            </w:tcBorders>
            <w:shd w:val="clear" w:color="auto" w:fill="auto"/>
            <w:noWrap/>
            <w:vAlign w:val="bottom"/>
            <w:hideMark/>
          </w:tcPr>
          <w:p w14:paraId="0FCEC1F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48.000,00</w:t>
            </w:r>
          </w:p>
        </w:tc>
      </w:tr>
      <w:tr w:rsidR="00846ACC" w:rsidRPr="004974C0" w14:paraId="74D9364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7D234BF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A200002 Proračunska pričuva</w:t>
            </w:r>
          </w:p>
        </w:tc>
        <w:tc>
          <w:tcPr>
            <w:tcW w:w="1984" w:type="dxa"/>
            <w:tcBorders>
              <w:top w:val="nil"/>
              <w:left w:val="nil"/>
              <w:bottom w:val="single" w:sz="4" w:space="0" w:color="auto"/>
              <w:right w:val="single" w:sz="4" w:space="0" w:color="auto"/>
            </w:tcBorders>
            <w:shd w:val="clear" w:color="000000" w:fill="CCCCFF"/>
            <w:noWrap/>
            <w:vAlign w:val="bottom"/>
            <w:hideMark/>
          </w:tcPr>
          <w:p w14:paraId="4E26946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3917301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35.000,00</w:t>
            </w:r>
          </w:p>
        </w:tc>
        <w:tc>
          <w:tcPr>
            <w:tcW w:w="1843" w:type="dxa"/>
            <w:tcBorders>
              <w:top w:val="nil"/>
              <w:left w:val="nil"/>
              <w:bottom w:val="single" w:sz="4" w:space="0" w:color="auto"/>
              <w:right w:val="single" w:sz="4" w:space="0" w:color="auto"/>
            </w:tcBorders>
            <w:shd w:val="clear" w:color="000000" w:fill="CCCCFF"/>
            <w:noWrap/>
            <w:vAlign w:val="bottom"/>
            <w:hideMark/>
          </w:tcPr>
          <w:p w14:paraId="499BEC6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7DC9A27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3B6A375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35.000,00</w:t>
            </w:r>
          </w:p>
        </w:tc>
      </w:tr>
      <w:tr w:rsidR="00846ACC" w:rsidRPr="004974C0" w14:paraId="4871F98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C052F4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7DF42BE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B445C9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35.000,00</w:t>
            </w:r>
          </w:p>
        </w:tc>
        <w:tc>
          <w:tcPr>
            <w:tcW w:w="1843" w:type="dxa"/>
            <w:tcBorders>
              <w:top w:val="nil"/>
              <w:left w:val="nil"/>
              <w:bottom w:val="single" w:sz="4" w:space="0" w:color="auto"/>
              <w:right w:val="single" w:sz="4" w:space="0" w:color="auto"/>
            </w:tcBorders>
            <w:shd w:val="clear" w:color="000000" w:fill="FFFF99"/>
            <w:noWrap/>
            <w:vAlign w:val="bottom"/>
            <w:hideMark/>
          </w:tcPr>
          <w:p w14:paraId="289FC3A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142282A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0AFA894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35.000,00</w:t>
            </w:r>
          </w:p>
        </w:tc>
      </w:tr>
      <w:tr w:rsidR="00846ACC" w:rsidRPr="004974C0" w14:paraId="3A427BF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77EB6D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339272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2A0D7B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35.000,00</w:t>
            </w:r>
          </w:p>
        </w:tc>
        <w:tc>
          <w:tcPr>
            <w:tcW w:w="1843" w:type="dxa"/>
            <w:tcBorders>
              <w:top w:val="nil"/>
              <w:left w:val="nil"/>
              <w:bottom w:val="single" w:sz="4" w:space="0" w:color="auto"/>
              <w:right w:val="single" w:sz="4" w:space="0" w:color="auto"/>
            </w:tcBorders>
            <w:shd w:val="clear" w:color="auto" w:fill="auto"/>
            <w:noWrap/>
            <w:vAlign w:val="bottom"/>
            <w:hideMark/>
          </w:tcPr>
          <w:p w14:paraId="5F8076A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E55939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40C631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35.000,00</w:t>
            </w:r>
          </w:p>
        </w:tc>
      </w:tr>
      <w:tr w:rsidR="00846ACC" w:rsidRPr="004974C0" w14:paraId="6F86223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39B84CF"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042C242"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C23154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35.000,00</w:t>
            </w:r>
          </w:p>
        </w:tc>
        <w:tc>
          <w:tcPr>
            <w:tcW w:w="1843" w:type="dxa"/>
            <w:tcBorders>
              <w:top w:val="nil"/>
              <w:left w:val="nil"/>
              <w:bottom w:val="single" w:sz="4" w:space="0" w:color="auto"/>
              <w:right w:val="single" w:sz="4" w:space="0" w:color="auto"/>
            </w:tcBorders>
            <w:shd w:val="clear" w:color="auto" w:fill="auto"/>
            <w:noWrap/>
            <w:vAlign w:val="bottom"/>
            <w:hideMark/>
          </w:tcPr>
          <w:p w14:paraId="28F3FA3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2D2FD6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34F2D3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35.000,00</w:t>
            </w:r>
          </w:p>
        </w:tc>
      </w:tr>
      <w:tr w:rsidR="00846ACC" w:rsidRPr="004974C0" w14:paraId="3CF2EB3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7DBA1A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A200003 Otplata zajmova</w:t>
            </w:r>
          </w:p>
        </w:tc>
        <w:tc>
          <w:tcPr>
            <w:tcW w:w="1984" w:type="dxa"/>
            <w:tcBorders>
              <w:top w:val="nil"/>
              <w:left w:val="nil"/>
              <w:bottom w:val="single" w:sz="4" w:space="0" w:color="auto"/>
              <w:right w:val="single" w:sz="4" w:space="0" w:color="auto"/>
            </w:tcBorders>
            <w:shd w:val="clear" w:color="000000" w:fill="CCCCFF"/>
            <w:noWrap/>
            <w:vAlign w:val="bottom"/>
            <w:hideMark/>
          </w:tcPr>
          <w:p w14:paraId="0FD4448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D55BAD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715.700,00</w:t>
            </w:r>
          </w:p>
        </w:tc>
        <w:tc>
          <w:tcPr>
            <w:tcW w:w="1843" w:type="dxa"/>
            <w:tcBorders>
              <w:top w:val="nil"/>
              <w:left w:val="nil"/>
              <w:bottom w:val="single" w:sz="4" w:space="0" w:color="auto"/>
              <w:right w:val="single" w:sz="4" w:space="0" w:color="auto"/>
            </w:tcBorders>
            <w:shd w:val="clear" w:color="000000" w:fill="CCCCFF"/>
            <w:noWrap/>
            <w:vAlign w:val="bottom"/>
            <w:hideMark/>
          </w:tcPr>
          <w:p w14:paraId="3CEECFF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8.000,00</w:t>
            </w:r>
          </w:p>
        </w:tc>
        <w:tc>
          <w:tcPr>
            <w:tcW w:w="1559" w:type="dxa"/>
            <w:tcBorders>
              <w:top w:val="nil"/>
              <w:left w:val="nil"/>
              <w:bottom w:val="single" w:sz="4" w:space="0" w:color="auto"/>
              <w:right w:val="single" w:sz="4" w:space="0" w:color="auto"/>
            </w:tcBorders>
            <w:shd w:val="clear" w:color="000000" w:fill="CCCCFF"/>
            <w:noWrap/>
            <w:vAlign w:val="bottom"/>
            <w:hideMark/>
          </w:tcPr>
          <w:p w14:paraId="30ACC6C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1,12</w:t>
            </w:r>
          </w:p>
        </w:tc>
        <w:tc>
          <w:tcPr>
            <w:tcW w:w="1803" w:type="dxa"/>
            <w:tcBorders>
              <w:top w:val="nil"/>
              <w:left w:val="nil"/>
              <w:bottom w:val="single" w:sz="4" w:space="0" w:color="auto"/>
              <w:right w:val="single" w:sz="4" w:space="0" w:color="auto"/>
            </w:tcBorders>
            <w:shd w:val="clear" w:color="000000" w:fill="CCCCFF"/>
            <w:noWrap/>
            <w:vAlign w:val="bottom"/>
            <w:hideMark/>
          </w:tcPr>
          <w:p w14:paraId="6F52221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723.700,00</w:t>
            </w:r>
          </w:p>
        </w:tc>
      </w:tr>
      <w:tr w:rsidR="00846ACC" w:rsidRPr="004974C0" w14:paraId="61893B8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E3606B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09ACE97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984155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545.600,00</w:t>
            </w:r>
          </w:p>
        </w:tc>
        <w:tc>
          <w:tcPr>
            <w:tcW w:w="1843" w:type="dxa"/>
            <w:tcBorders>
              <w:top w:val="nil"/>
              <w:left w:val="nil"/>
              <w:bottom w:val="single" w:sz="4" w:space="0" w:color="auto"/>
              <w:right w:val="single" w:sz="4" w:space="0" w:color="auto"/>
            </w:tcBorders>
            <w:shd w:val="clear" w:color="000000" w:fill="FFFF99"/>
            <w:noWrap/>
            <w:vAlign w:val="bottom"/>
            <w:hideMark/>
          </w:tcPr>
          <w:p w14:paraId="6B32EE5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8.000,00</w:t>
            </w:r>
          </w:p>
        </w:tc>
        <w:tc>
          <w:tcPr>
            <w:tcW w:w="1559" w:type="dxa"/>
            <w:tcBorders>
              <w:top w:val="nil"/>
              <w:left w:val="nil"/>
              <w:bottom w:val="single" w:sz="4" w:space="0" w:color="auto"/>
              <w:right w:val="single" w:sz="4" w:space="0" w:color="auto"/>
            </w:tcBorders>
            <w:shd w:val="clear" w:color="000000" w:fill="FFFF99"/>
            <w:noWrap/>
            <w:vAlign w:val="bottom"/>
            <w:hideMark/>
          </w:tcPr>
          <w:p w14:paraId="1BEF3E2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1,47</w:t>
            </w:r>
          </w:p>
        </w:tc>
        <w:tc>
          <w:tcPr>
            <w:tcW w:w="1803" w:type="dxa"/>
            <w:tcBorders>
              <w:top w:val="nil"/>
              <w:left w:val="nil"/>
              <w:bottom w:val="single" w:sz="4" w:space="0" w:color="auto"/>
              <w:right w:val="single" w:sz="4" w:space="0" w:color="auto"/>
            </w:tcBorders>
            <w:shd w:val="clear" w:color="000000" w:fill="FFFF99"/>
            <w:noWrap/>
            <w:vAlign w:val="bottom"/>
            <w:hideMark/>
          </w:tcPr>
          <w:p w14:paraId="442F317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553.600,00</w:t>
            </w:r>
          </w:p>
        </w:tc>
      </w:tr>
      <w:tr w:rsidR="00846ACC" w:rsidRPr="004974C0" w14:paraId="4214B94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8BE9F8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73FC1D2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9F6F95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28.900,00</w:t>
            </w:r>
          </w:p>
        </w:tc>
        <w:tc>
          <w:tcPr>
            <w:tcW w:w="1843" w:type="dxa"/>
            <w:tcBorders>
              <w:top w:val="nil"/>
              <w:left w:val="nil"/>
              <w:bottom w:val="single" w:sz="4" w:space="0" w:color="auto"/>
              <w:right w:val="single" w:sz="4" w:space="0" w:color="auto"/>
            </w:tcBorders>
            <w:shd w:val="clear" w:color="auto" w:fill="auto"/>
            <w:noWrap/>
            <w:vAlign w:val="bottom"/>
            <w:hideMark/>
          </w:tcPr>
          <w:p w14:paraId="02C97EC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8.000,00</w:t>
            </w:r>
          </w:p>
        </w:tc>
        <w:tc>
          <w:tcPr>
            <w:tcW w:w="1559" w:type="dxa"/>
            <w:tcBorders>
              <w:top w:val="nil"/>
              <w:left w:val="nil"/>
              <w:bottom w:val="single" w:sz="4" w:space="0" w:color="auto"/>
              <w:right w:val="single" w:sz="4" w:space="0" w:color="auto"/>
            </w:tcBorders>
            <w:shd w:val="clear" w:color="auto" w:fill="auto"/>
            <w:noWrap/>
            <w:vAlign w:val="bottom"/>
            <w:hideMark/>
          </w:tcPr>
          <w:p w14:paraId="0710E31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27,68</w:t>
            </w:r>
          </w:p>
        </w:tc>
        <w:tc>
          <w:tcPr>
            <w:tcW w:w="1803" w:type="dxa"/>
            <w:tcBorders>
              <w:top w:val="nil"/>
              <w:left w:val="nil"/>
              <w:bottom w:val="single" w:sz="4" w:space="0" w:color="auto"/>
              <w:right w:val="single" w:sz="4" w:space="0" w:color="auto"/>
            </w:tcBorders>
            <w:shd w:val="clear" w:color="auto" w:fill="auto"/>
            <w:noWrap/>
            <w:vAlign w:val="bottom"/>
            <w:hideMark/>
          </w:tcPr>
          <w:p w14:paraId="2DE4EAE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36.900,00</w:t>
            </w:r>
          </w:p>
        </w:tc>
      </w:tr>
      <w:tr w:rsidR="00846ACC" w:rsidRPr="004974C0" w14:paraId="28519AF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0150F82" w14:textId="77777777" w:rsidR="004974C0" w:rsidRPr="004974C0" w:rsidRDefault="004974C0" w:rsidP="004974C0">
            <w:pPr>
              <w:rPr>
                <w:rFonts w:ascii="Arial" w:hAnsi="Arial" w:cs="Arial"/>
                <w:sz w:val="20"/>
                <w:szCs w:val="20"/>
              </w:rPr>
            </w:pPr>
            <w:r w:rsidRPr="004974C0">
              <w:rPr>
                <w:rFonts w:ascii="Arial" w:hAnsi="Arial" w:cs="Arial"/>
                <w:sz w:val="20"/>
                <w:szCs w:val="20"/>
              </w:rPr>
              <w:t>34</w:t>
            </w:r>
          </w:p>
        </w:tc>
        <w:tc>
          <w:tcPr>
            <w:tcW w:w="1984" w:type="dxa"/>
            <w:tcBorders>
              <w:top w:val="nil"/>
              <w:left w:val="nil"/>
              <w:bottom w:val="single" w:sz="4" w:space="0" w:color="auto"/>
              <w:right w:val="single" w:sz="4" w:space="0" w:color="auto"/>
            </w:tcBorders>
            <w:shd w:val="clear" w:color="auto" w:fill="auto"/>
            <w:noWrap/>
            <w:vAlign w:val="bottom"/>
            <w:hideMark/>
          </w:tcPr>
          <w:p w14:paraId="3300B243" w14:textId="77777777" w:rsidR="004974C0" w:rsidRPr="004974C0" w:rsidRDefault="004974C0" w:rsidP="004974C0">
            <w:pPr>
              <w:rPr>
                <w:rFonts w:ascii="Arial" w:hAnsi="Arial" w:cs="Arial"/>
                <w:sz w:val="20"/>
                <w:szCs w:val="20"/>
              </w:rPr>
            </w:pPr>
            <w:r w:rsidRPr="004974C0">
              <w:rPr>
                <w:rFonts w:ascii="Arial" w:hAnsi="Arial" w:cs="Arial"/>
                <w:sz w:val="20"/>
                <w:szCs w:val="20"/>
              </w:rPr>
              <w:t>Financijski rashodi</w:t>
            </w:r>
          </w:p>
        </w:tc>
        <w:tc>
          <w:tcPr>
            <w:tcW w:w="1843" w:type="dxa"/>
            <w:tcBorders>
              <w:top w:val="nil"/>
              <w:left w:val="nil"/>
              <w:bottom w:val="single" w:sz="4" w:space="0" w:color="auto"/>
              <w:right w:val="single" w:sz="4" w:space="0" w:color="auto"/>
            </w:tcBorders>
            <w:shd w:val="clear" w:color="auto" w:fill="auto"/>
            <w:noWrap/>
            <w:vAlign w:val="bottom"/>
            <w:hideMark/>
          </w:tcPr>
          <w:p w14:paraId="3CC38B7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28.900,00</w:t>
            </w:r>
          </w:p>
        </w:tc>
        <w:tc>
          <w:tcPr>
            <w:tcW w:w="1843" w:type="dxa"/>
            <w:tcBorders>
              <w:top w:val="nil"/>
              <w:left w:val="nil"/>
              <w:bottom w:val="single" w:sz="4" w:space="0" w:color="auto"/>
              <w:right w:val="single" w:sz="4" w:space="0" w:color="auto"/>
            </w:tcBorders>
            <w:shd w:val="clear" w:color="auto" w:fill="auto"/>
            <w:noWrap/>
            <w:vAlign w:val="bottom"/>
            <w:hideMark/>
          </w:tcPr>
          <w:p w14:paraId="34CAD10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8.000,00</w:t>
            </w:r>
          </w:p>
        </w:tc>
        <w:tc>
          <w:tcPr>
            <w:tcW w:w="1559" w:type="dxa"/>
            <w:tcBorders>
              <w:top w:val="nil"/>
              <w:left w:val="nil"/>
              <w:bottom w:val="single" w:sz="4" w:space="0" w:color="auto"/>
              <w:right w:val="single" w:sz="4" w:space="0" w:color="auto"/>
            </w:tcBorders>
            <w:shd w:val="clear" w:color="auto" w:fill="auto"/>
            <w:noWrap/>
            <w:vAlign w:val="bottom"/>
            <w:hideMark/>
          </w:tcPr>
          <w:p w14:paraId="63C240E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27,68</w:t>
            </w:r>
          </w:p>
        </w:tc>
        <w:tc>
          <w:tcPr>
            <w:tcW w:w="1803" w:type="dxa"/>
            <w:tcBorders>
              <w:top w:val="nil"/>
              <w:left w:val="nil"/>
              <w:bottom w:val="single" w:sz="4" w:space="0" w:color="auto"/>
              <w:right w:val="single" w:sz="4" w:space="0" w:color="auto"/>
            </w:tcBorders>
            <w:shd w:val="clear" w:color="auto" w:fill="auto"/>
            <w:noWrap/>
            <w:vAlign w:val="bottom"/>
            <w:hideMark/>
          </w:tcPr>
          <w:p w14:paraId="2E41AB3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36.900,00</w:t>
            </w:r>
          </w:p>
        </w:tc>
      </w:tr>
      <w:tr w:rsidR="00846ACC" w:rsidRPr="004974C0" w14:paraId="333C7A9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DB2F4F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5</w:t>
            </w:r>
          </w:p>
        </w:tc>
        <w:tc>
          <w:tcPr>
            <w:tcW w:w="1984" w:type="dxa"/>
            <w:tcBorders>
              <w:top w:val="nil"/>
              <w:left w:val="nil"/>
              <w:bottom w:val="single" w:sz="4" w:space="0" w:color="auto"/>
              <w:right w:val="single" w:sz="4" w:space="0" w:color="auto"/>
            </w:tcBorders>
            <w:shd w:val="clear" w:color="auto" w:fill="auto"/>
            <w:noWrap/>
            <w:vAlign w:val="bottom"/>
            <w:hideMark/>
          </w:tcPr>
          <w:p w14:paraId="356C452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Izdaci za financijsku imovinu i otplate zajmova</w:t>
            </w:r>
          </w:p>
        </w:tc>
        <w:tc>
          <w:tcPr>
            <w:tcW w:w="1843" w:type="dxa"/>
            <w:tcBorders>
              <w:top w:val="nil"/>
              <w:left w:val="nil"/>
              <w:bottom w:val="single" w:sz="4" w:space="0" w:color="auto"/>
              <w:right w:val="single" w:sz="4" w:space="0" w:color="auto"/>
            </w:tcBorders>
            <w:shd w:val="clear" w:color="auto" w:fill="auto"/>
            <w:noWrap/>
            <w:vAlign w:val="bottom"/>
            <w:hideMark/>
          </w:tcPr>
          <w:p w14:paraId="15A6B7F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516.700,00</w:t>
            </w:r>
          </w:p>
        </w:tc>
        <w:tc>
          <w:tcPr>
            <w:tcW w:w="1843" w:type="dxa"/>
            <w:tcBorders>
              <w:top w:val="nil"/>
              <w:left w:val="nil"/>
              <w:bottom w:val="single" w:sz="4" w:space="0" w:color="auto"/>
              <w:right w:val="single" w:sz="4" w:space="0" w:color="auto"/>
            </w:tcBorders>
            <w:shd w:val="clear" w:color="auto" w:fill="auto"/>
            <w:noWrap/>
            <w:vAlign w:val="bottom"/>
            <w:hideMark/>
          </w:tcPr>
          <w:p w14:paraId="37EBAEA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797500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2E5C17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516.700,00</w:t>
            </w:r>
          </w:p>
        </w:tc>
      </w:tr>
      <w:tr w:rsidR="00846ACC" w:rsidRPr="004974C0" w14:paraId="4E6DAAC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2375303" w14:textId="77777777" w:rsidR="004974C0" w:rsidRPr="004974C0" w:rsidRDefault="004974C0" w:rsidP="004974C0">
            <w:pPr>
              <w:rPr>
                <w:rFonts w:ascii="Arial" w:hAnsi="Arial" w:cs="Arial"/>
                <w:sz w:val="20"/>
                <w:szCs w:val="20"/>
              </w:rPr>
            </w:pPr>
            <w:r w:rsidRPr="004974C0">
              <w:rPr>
                <w:rFonts w:ascii="Arial" w:hAnsi="Arial" w:cs="Arial"/>
                <w:sz w:val="20"/>
                <w:szCs w:val="20"/>
              </w:rPr>
              <w:t>54</w:t>
            </w:r>
          </w:p>
        </w:tc>
        <w:tc>
          <w:tcPr>
            <w:tcW w:w="1984" w:type="dxa"/>
            <w:tcBorders>
              <w:top w:val="nil"/>
              <w:left w:val="nil"/>
              <w:bottom w:val="single" w:sz="4" w:space="0" w:color="auto"/>
              <w:right w:val="single" w:sz="4" w:space="0" w:color="auto"/>
            </w:tcBorders>
            <w:shd w:val="clear" w:color="auto" w:fill="auto"/>
            <w:noWrap/>
            <w:vAlign w:val="bottom"/>
            <w:hideMark/>
          </w:tcPr>
          <w:p w14:paraId="0F786C5D" w14:textId="77777777" w:rsidR="004974C0" w:rsidRPr="004974C0" w:rsidRDefault="004974C0" w:rsidP="004974C0">
            <w:pPr>
              <w:rPr>
                <w:rFonts w:ascii="Arial" w:hAnsi="Arial" w:cs="Arial"/>
                <w:sz w:val="20"/>
                <w:szCs w:val="20"/>
              </w:rPr>
            </w:pPr>
            <w:r w:rsidRPr="004974C0">
              <w:rPr>
                <w:rFonts w:ascii="Arial" w:hAnsi="Arial" w:cs="Arial"/>
                <w:sz w:val="20"/>
                <w:szCs w:val="20"/>
              </w:rPr>
              <w:t>Izdaci za otplatu glavnice primljenih kredita i zajmova</w:t>
            </w:r>
          </w:p>
        </w:tc>
        <w:tc>
          <w:tcPr>
            <w:tcW w:w="1843" w:type="dxa"/>
            <w:tcBorders>
              <w:top w:val="nil"/>
              <w:left w:val="nil"/>
              <w:bottom w:val="single" w:sz="4" w:space="0" w:color="auto"/>
              <w:right w:val="single" w:sz="4" w:space="0" w:color="auto"/>
            </w:tcBorders>
            <w:shd w:val="clear" w:color="auto" w:fill="auto"/>
            <w:noWrap/>
            <w:vAlign w:val="bottom"/>
            <w:hideMark/>
          </w:tcPr>
          <w:p w14:paraId="19E1F03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516.700,00</w:t>
            </w:r>
          </w:p>
        </w:tc>
        <w:tc>
          <w:tcPr>
            <w:tcW w:w="1843" w:type="dxa"/>
            <w:tcBorders>
              <w:top w:val="nil"/>
              <w:left w:val="nil"/>
              <w:bottom w:val="single" w:sz="4" w:space="0" w:color="auto"/>
              <w:right w:val="single" w:sz="4" w:space="0" w:color="auto"/>
            </w:tcBorders>
            <w:shd w:val="clear" w:color="auto" w:fill="auto"/>
            <w:noWrap/>
            <w:vAlign w:val="bottom"/>
            <w:hideMark/>
          </w:tcPr>
          <w:p w14:paraId="0BC881C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627CAC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F9ABDB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516.700,00</w:t>
            </w:r>
          </w:p>
        </w:tc>
      </w:tr>
      <w:tr w:rsidR="00846ACC" w:rsidRPr="004974C0" w14:paraId="4CEE2AB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03DEAE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5.5. POMOĆI IZ ŽUPANIJSKOG PRORAČUNA</w:t>
            </w:r>
          </w:p>
        </w:tc>
        <w:tc>
          <w:tcPr>
            <w:tcW w:w="1984" w:type="dxa"/>
            <w:tcBorders>
              <w:top w:val="nil"/>
              <w:left w:val="nil"/>
              <w:bottom w:val="single" w:sz="4" w:space="0" w:color="auto"/>
              <w:right w:val="single" w:sz="4" w:space="0" w:color="auto"/>
            </w:tcBorders>
            <w:shd w:val="clear" w:color="000000" w:fill="FFFF99"/>
            <w:noWrap/>
            <w:vAlign w:val="bottom"/>
            <w:hideMark/>
          </w:tcPr>
          <w:p w14:paraId="4268E8B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DB3D38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170.100,00</w:t>
            </w:r>
          </w:p>
        </w:tc>
        <w:tc>
          <w:tcPr>
            <w:tcW w:w="1843" w:type="dxa"/>
            <w:tcBorders>
              <w:top w:val="nil"/>
              <w:left w:val="nil"/>
              <w:bottom w:val="single" w:sz="4" w:space="0" w:color="auto"/>
              <w:right w:val="single" w:sz="4" w:space="0" w:color="auto"/>
            </w:tcBorders>
            <w:shd w:val="clear" w:color="000000" w:fill="FFFF99"/>
            <w:noWrap/>
            <w:vAlign w:val="bottom"/>
            <w:hideMark/>
          </w:tcPr>
          <w:p w14:paraId="06C693E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0B23A3D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715109B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170.100,00</w:t>
            </w:r>
          </w:p>
        </w:tc>
      </w:tr>
      <w:tr w:rsidR="00846ACC" w:rsidRPr="004974C0" w14:paraId="15BBB79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7EA614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5A40CE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191029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19.600,00</w:t>
            </w:r>
          </w:p>
        </w:tc>
        <w:tc>
          <w:tcPr>
            <w:tcW w:w="1843" w:type="dxa"/>
            <w:tcBorders>
              <w:top w:val="nil"/>
              <w:left w:val="nil"/>
              <w:bottom w:val="single" w:sz="4" w:space="0" w:color="auto"/>
              <w:right w:val="single" w:sz="4" w:space="0" w:color="auto"/>
            </w:tcBorders>
            <w:shd w:val="clear" w:color="auto" w:fill="auto"/>
            <w:noWrap/>
            <w:vAlign w:val="bottom"/>
            <w:hideMark/>
          </w:tcPr>
          <w:p w14:paraId="531E406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A99F44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F3C41F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19.600,00</w:t>
            </w:r>
          </w:p>
        </w:tc>
      </w:tr>
      <w:tr w:rsidR="00846ACC" w:rsidRPr="004974C0" w14:paraId="53FC20C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D7DDB70" w14:textId="77777777" w:rsidR="004974C0" w:rsidRPr="004974C0" w:rsidRDefault="004974C0" w:rsidP="004974C0">
            <w:pPr>
              <w:rPr>
                <w:rFonts w:ascii="Arial" w:hAnsi="Arial" w:cs="Arial"/>
                <w:sz w:val="20"/>
                <w:szCs w:val="20"/>
              </w:rPr>
            </w:pPr>
            <w:r w:rsidRPr="004974C0">
              <w:rPr>
                <w:rFonts w:ascii="Arial" w:hAnsi="Arial" w:cs="Arial"/>
                <w:sz w:val="20"/>
                <w:szCs w:val="20"/>
              </w:rPr>
              <w:t>34</w:t>
            </w:r>
          </w:p>
        </w:tc>
        <w:tc>
          <w:tcPr>
            <w:tcW w:w="1984" w:type="dxa"/>
            <w:tcBorders>
              <w:top w:val="nil"/>
              <w:left w:val="nil"/>
              <w:bottom w:val="single" w:sz="4" w:space="0" w:color="auto"/>
              <w:right w:val="single" w:sz="4" w:space="0" w:color="auto"/>
            </w:tcBorders>
            <w:shd w:val="clear" w:color="auto" w:fill="auto"/>
            <w:noWrap/>
            <w:vAlign w:val="bottom"/>
            <w:hideMark/>
          </w:tcPr>
          <w:p w14:paraId="40584682" w14:textId="77777777" w:rsidR="004974C0" w:rsidRPr="004974C0" w:rsidRDefault="004974C0" w:rsidP="004974C0">
            <w:pPr>
              <w:rPr>
                <w:rFonts w:ascii="Arial" w:hAnsi="Arial" w:cs="Arial"/>
                <w:sz w:val="20"/>
                <w:szCs w:val="20"/>
              </w:rPr>
            </w:pPr>
            <w:r w:rsidRPr="004974C0">
              <w:rPr>
                <w:rFonts w:ascii="Arial" w:hAnsi="Arial" w:cs="Arial"/>
                <w:sz w:val="20"/>
                <w:szCs w:val="20"/>
              </w:rPr>
              <w:t>Financijski rashodi</w:t>
            </w:r>
          </w:p>
        </w:tc>
        <w:tc>
          <w:tcPr>
            <w:tcW w:w="1843" w:type="dxa"/>
            <w:tcBorders>
              <w:top w:val="nil"/>
              <w:left w:val="nil"/>
              <w:bottom w:val="single" w:sz="4" w:space="0" w:color="auto"/>
              <w:right w:val="single" w:sz="4" w:space="0" w:color="auto"/>
            </w:tcBorders>
            <w:shd w:val="clear" w:color="auto" w:fill="auto"/>
            <w:noWrap/>
            <w:vAlign w:val="bottom"/>
            <w:hideMark/>
          </w:tcPr>
          <w:p w14:paraId="1595B58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19.600,00</w:t>
            </w:r>
          </w:p>
        </w:tc>
        <w:tc>
          <w:tcPr>
            <w:tcW w:w="1843" w:type="dxa"/>
            <w:tcBorders>
              <w:top w:val="nil"/>
              <w:left w:val="nil"/>
              <w:bottom w:val="single" w:sz="4" w:space="0" w:color="auto"/>
              <w:right w:val="single" w:sz="4" w:space="0" w:color="auto"/>
            </w:tcBorders>
            <w:shd w:val="clear" w:color="auto" w:fill="auto"/>
            <w:noWrap/>
            <w:vAlign w:val="bottom"/>
            <w:hideMark/>
          </w:tcPr>
          <w:p w14:paraId="2B60EC4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054640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08D9E3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19.600,00</w:t>
            </w:r>
          </w:p>
        </w:tc>
      </w:tr>
      <w:tr w:rsidR="00846ACC" w:rsidRPr="004974C0" w14:paraId="63B735C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A82B9A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5</w:t>
            </w:r>
          </w:p>
        </w:tc>
        <w:tc>
          <w:tcPr>
            <w:tcW w:w="1984" w:type="dxa"/>
            <w:tcBorders>
              <w:top w:val="nil"/>
              <w:left w:val="nil"/>
              <w:bottom w:val="single" w:sz="4" w:space="0" w:color="auto"/>
              <w:right w:val="single" w:sz="4" w:space="0" w:color="auto"/>
            </w:tcBorders>
            <w:shd w:val="clear" w:color="auto" w:fill="auto"/>
            <w:noWrap/>
            <w:vAlign w:val="bottom"/>
            <w:hideMark/>
          </w:tcPr>
          <w:p w14:paraId="541A146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Izdaci za financijsku imovinu i otplate zajmova</w:t>
            </w:r>
          </w:p>
        </w:tc>
        <w:tc>
          <w:tcPr>
            <w:tcW w:w="1843" w:type="dxa"/>
            <w:tcBorders>
              <w:top w:val="nil"/>
              <w:left w:val="nil"/>
              <w:bottom w:val="single" w:sz="4" w:space="0" w:color="auto"/>
              <w:right w:val="single" w:sz="4" w:space="0" w:color="auto"/>
            </w:tcBorders>
            <w:shd w:val="clear" w:color="auto" w:fill="auto"/>
            <w:noWrap/>
            <w:vAlign w:val="bottom"/>
            <w:hideMark/>
          </w:tcPr>
          <w:p w14:paraId="078DF5F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150.500,00</w:t>
            </w:r>
          </w:p>
        </w:tc>
        <w:tc>
          <w:tcPr>
            <w:tcW w:w="1843" w:type="dxa"/>
            <w:tcBorders>
              <w:top w:val="nil"/>
              <w:left w:val="nil"/>
              <w:bottom w:val="single" w:sz="4" w:space="0" w:color="auto"/>
              <w:right w:val="single" w:sz="4" w:space="0" w:color="auto"/>
            </w:tcBorders>
            <w:shd w:val="clear" w:color="auto" w:fill="auto"/>
            <w:noWrap/>
            <w:vAlign w:val="bottom"/>
            <w:hideMark/>
          </w:tcPr>
          <w:p w14:paraId="6C2099F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9C008F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724394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150.500,00</w:t>
            </w:r>
          </w:p>
        </w:tc>
      </w:tr>
      <w:tr w:rsidR="00846ACC" w:rsidRPr="004974C0" w14:paraId="394FCFB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6982330" w14:textId="77777777" w:rsidR="004974C0" w:rsidRPr="004974C0" w:rsidRDefault="004974C0" w:rsidP="004974C0">
            <w:pPr>
              <w:rPr>
                <w:rFonts w:ascii="Arial" w:hAnsi="Arial" w:cs="Arial"/>
                <w:sz w:val="20"/>
                <w:szCs w:val="20"/>
              </w:rPr>
            </w:pPr>
            <w:r w:rsidRPr="004974C0">
              <w:rPr>
                <w:rFonts w:ascii="Arial" w:hAnsi="Arial" w:cs="Arial"/>
                <w:sz w:val="20"/>
                <w:szCs w:val="20"/>
              </w:rPr>
              <w:lastRenderedPageBreak/>
              <w:t>54</w:t>
            </w:r>
          </w:p>
        </w:tc>
        <w:tc>
          <w:tcPr>
            <w:tcW w:w="1984" w:type="dxa"/>
            <w:tcBorders>
              <w:top w:val="nil"/>
              <w:left w:val="nil"/>
              <w:bottom w:val="single" w:sz="4" w:space="0" w:color="auto"/>
              <w:right w:val="single" w:sz="4" w:space="0" w:color="auto"/>
            </w:tcBorders>
            <w:shd w:val="clear" w:color="auto" w:fill="auto"/>
            <w:noWrap/>
            <w:vAlign w:val="bottom"/>
            <w:hideMark/>
          </w:tcPr>
          <w:p w14:paraId="158AABE0" w14:textId="77777777" w:rsidR="004974C0" w:rsidRPr="004974C0" w:rsidRDefault="004974C0" w:rsidP="004974C0">
            <w:pPr>
              <w:rPr>
                <w:rFonts w:ascii="Arial" w:hAnsi="Arial" w:cs="Arial"/>
                <w:sz w:val="20"/>
                <w:szCs w:val="20"/>
              </w:rPr>
            </w:pPr>
            <w:r w:rsidRPr="004974C0">
              <w:rPr>
                <w:rFonts w:ascii="Arial" w:hAnsi="Arial" w:cs="Arial"/>
                <w:sz w:val="20"/>
                <w:szCs w:val="20"/>
              </w:rPr>
              <w:t>Izdaci za otplatu glavnice primljenih kredita i zajmova</w:t>
            </w:r>
          </w:p>
        </w:tc>
        <w:tc>
          <w:tcPr>
            <w:tcW w:w="1843" w:type="dxa"/>
            <w:tcBorders>
              <w:top w:val="nil"/>
              <w:left w:val="nil"/>
              <w:bottom w:val="single" w:sz="4" w:space="0" w:color="auto"/>
              <w:right w:val="single" w:sz="4" w:space="0" w:color="auto"/>
            </w:tcBorders>
            <w:shd w:val="clear" w:color="auto" w:fill="auto"/>
            <w:noWrap/>
            <w:vAlign w:val="bottom"/>
            <w:hideMark/>
          </w:tcPr>
          <w:p w14:paraId="03F0762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150.500,00</w:t>
            </w:r>
          </w:p>
        </w:tc>
        <w:tc>
          <w:tcPr>
            <w:tcW w:w="1843" w:type="dxa"/>
            <w:tcBorders>
              <w:top w:val="nil"/>
              <w:left w:val="nil"/>
              <w:bottom w:val="single" w:sz="4" w:space="0" w:color="auto"/>
              <w:right w:val="single" w:sz="4" w:space="0" w:color="auto"/>
            </w:tcBorders>
            <w:shd w:val="clear" w:color="auto" w:fill="auto"/>
            <w:noWrap/>
            <w:vAlign w:val="bottom"/>
            <w:hideMark/>
          </w:tcPr>
          <w:p w14:paraId="3AF0D45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40DD25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14BF05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150.500,00</w:t>
            </w:r>
          </w:p>
        </w:tc>
      </w:tr>
      <w:tr w:rsidR="00846ACC" w:rsidRPr="004974C0" w14:paraId="2F27514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45E042F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A200004 Županijski centar gospodarenja otpadom "</w:t>
            </w:r>
            <w:proofErr w:type="spellStart"/>
            <w:r w:rsidRPr="004974C0">
              <w:rPr>
                <w:rFonts w:ascii="Arial" w:hAnsi="Arial" w:cs="Arial"/>
                <w:b/>
                <w:bCs/>
                <w:color w:val="000000"/>
                <w:sz w:val="20"/>
                <w:szCs w:val="20"/>
              </w:rPr>
              <w:t>Kaštijun</w:t>
            </w:r>
            <w:proofErr w:type="spellEnd"/>
            <w:r w:rsidRPr="004974C0">
              <w:rPr>
                <w:rFonts w:ascii="Arial" w:hAnsi="Arial" w:cs="Arial"/>
                <w:b/>
                <w:bCs/>
                <w:color w:val="000000"/>
                <w:sz w:val="20"/>
                <w:szCs w:val="20"/>
              </w:rPr>
              <w:t>"</w:t>
            </w:r>
          </w:p>
        </w:tc>
        <w:tc>
          <w:tcPr>
            <w:tcW w:w="1984" w:type="dxa"/>
            <w:tcBorders>
              <w:top w:val="nil"/>
              <w:left w:val="nil"/>
              <w:bottom w:val="single" w:sz="4" w:space="0" w:color="auto"/>
              <w:right w:val="single" w:sz="4" w:space="0" w:color="auto"/>
            </w:tcBorders>
            <w:shd w:val="clear" w:color="000000" w:fill="CCCCFF"/>
            <w:noWrap/>
            <w:vAlign w:val="bottom"/>
            <w:hideMark/>
          </w:tcPr>
          <w:p w14:paraId="47770E3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3D69758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29.700,00</w:t>
            </w:r>
          </w:p>
        </w:tc>
        <w:tc>
          <w:tcPr>
            <w:tcW w:w="1843" w:type="dxa"/>
            <w:tcBorders>
              <w:top w:val="nil"/>
              <w:left w:val="nil"/>
              <w:bottom w:val="single" w:sz="4" w:space="0" w:color="auto"/>
              <w:right w:val="single" w:sz="4" w:space="0" w:color="auto"/>
            </w:tcBorders>
            <w:shd w:val="clear" w:color="000000" w:fill="CCCCFF"/>
            <w:noWrap/>
            <w:vAlign w:val="bottom"/>
            <w:hideMark/>
          </w:tcPr>
          <w:p w14:paraId="11CE873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3B256A1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256502C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29.700,00</w:t>
            </w:r>
          </w:p>
        </w:tc>
      </w:tr>
      <w:tr w:rsidR="00846ACC" w:rsidRPr="004974C0" w14:paraId="4B84255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265B5E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62FF759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D4E2D0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29.700,00</w:t>
            </w:r>
          </w:p>
        </w:tc>
        <w:tc>
          <w:tcPr>
            <w:tcW w:w="1843" w:type="dxa"/>
            <w:tcBorders>
              <w:top w:val="nil"/>
              <w:left w:val="nil"/>
              <w:bottom w:val="single" w:sz="4" w:space="0" w:color="auto"/>
              <w:right w:val="single" w:sz="4" w:space="0" w:color="auto"/>
            </w:tcBorders>
            <w:shd w:val="clear" w:color="000000" w:fill="FFFF99"/>
            <w:noWrap/>
            <w:vAlign w:val="bottom"/>
            <w:hideMark/>
          </w:tcPr>
          <w:p w14:paraId="3B22D20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41DFC72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40E926D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29.700,00</w:t>
            </w:r>
          </w:p>
        </w:tc>
      </w:tr>
      <w:tr w:rsidR="00846ACC" w:rsidRPr="004974C0" w14:paraId="7B90B90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798E0D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EF612A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135C71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29.700,00</w:t>
            </w:r>
          </w:p>
        </w:tc>
        <w:tc>
          <w:tcPr>
            <w:tcW w:w="1843" w:type="dxa"/>
            <w:tcBorders>
              <w:top w:val="nil"/>
              <w:left w:val="nil"/>
              <w:bottom w:val="single" w:sz="4" w:space="0" w:color="auto"/>
              <w:right w:val="single" w:sz="4" w:space="0" w:color="auto"/>
            </w:tcBorders>
            <w:shd w:val="clear" w:color="auto" w:fill="auto"/>
            <w:noWrap/>
            <w:vAlign w:val="bottom"/>
            <w:hideMark/>
          </w:tcPr>
          <w:p w14:paraId="772388F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94A036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77195E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29.700,00</w:t>
            </w:r>
          </w:p>
        </w:tc>
      </w:tr>
      <w:tr w:rsidR="00846ACC" w:rsidRPr="004974C0" w14:paraId="3D5EAF5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A180468" w14:textId="77777777" w:rsidR="004974C0" w:rsidRPr="004974C0" w:rsidRDefault="004974C0" w:rsidP="004974C0">
            <w:pPr>
              <w:rPr>
                <w:rFonts w:ascii="Arial" w:hAnsi="Arial" w:cs="Arial"/>
                <w:sz w:val="20"/>
                <w:szCs w:val="20"/>
              </w:rPr>
            </w:pPr>
            <w:r w:rsidRPr="004974C0">
              <w:rPr>
                <w:rFonts w:ascii="Arial" w:hAnsi="Arial" w:cs="Arial"/>
                <w:sz w:val="20"/>
                <w:szCs w:val="20"/>
              </w:rPr>
              <w:t>36</w:t>
            </w:r>
          </w:p>
        </w:tc>
        <w:tc>
          <w:tcPr>
            <w:tcW w:w="1984" w:type="dxa"/>
            <w:tcBorders>
              <w:top w:val="nil"/>
              <w:left w:val="nil"/>
              <w:bottom w:val="single" w:sz="4" w:space="0" w:color="auto"/>
              <w:right w:val="single" w:sz="4" w:space="0" w:color="auto"/>
            </w:tcBorders>
            <w:shd w:val="clear" w:color="auto" w:fill="auto"/>
            <w:noWrap/>
            <w:vAlign w:val="bottom"/>
            <w:hideMark/>
          </w:tcPr>
          <w:p w14:paraId="066DFE26" w14:textId="77777777" w:rsidR="004974C0" w:rsidRPr="004974C0" w:rsidRDefault="004974C0" w:rsidP="004974C0">
            <w:pPr>
              <w:rPr>
                <w:rFonts w:ascii="Arial" w:hAnsi="Arial" w:cs="Arial"/>
                <w:sz w:val="20"/>
                <w:szCs w:val="20"/>
              </w:rPr>
            </w:pPr>
            <w:r w:rsidRPr="004974C0">
              <w:rPr>
                <w:rFonts w:ascii="Arial" w:hAnsi="Arial" w:cs="Arial"/>
                <w:sz w:val="20"/>
                <w:szCs w:val="20"/>
              </w:rPr>
              <w:t>Pomoći dane u inozemstvo i unutar općeg proračuna</w:t>
            </w:r>
          </w:p>
        </w:tc>
        <w:tc>
          <w:tcPr>
            <w:tcW w:w="1843" w:type="dxa"/>
            <w:tcBorders>
              <w:top w:val="nil"/>
              <w:left w:val="nil"/>
              <w:bottom w:val="single" w:sz="4" w:space="0" w:color="auto"/>
              <w:right w:val="single" w:sz="4" w:space="0" w:color="auto"/>
            </w:tcBorders>
            <w:shd w:val="clear" w:color="auto" w:fill="auto"/>
            <w:noWrap/>
            <w:vAlign w:val="bottom"/>
            <w:hideMark/>
          </w:tcPr>
          <w:p w14:paraId="44BBAEB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29.700,00</w:t>
            </w:r>
          </w:p>
        </w:tc>
        <w:tc>
          <w:tcPr>
            <w:tcW w:w="1843" w:type="dxa"/>
            <w:tcBorders>
              <w:top w:val="nil"/>
              <w:left w:val="nil"/>
              <w:bottom w:val="single" w:sz="4" w:space="0" w:color="auto"/>
              <w:right w:val="single" w:sz="4" w:space="0" w:color="auto"/>
            </w:tcBorders>
            <w:shd w:val="clear" w:color="auto" w:fill="auto"/>
            <w:noWrap/>
            <w:vAlign w:val="bottom"/>
            <w:hideMark/>
          </w:tcPr>
          <w:p w14:paraId="6F2AF4E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E01376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FB63D6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29.700,00</w:t>
            </w:r>
          </w:p>
        </w:tc>
      </w:tr>
      <w:tr w:rsidR="00846ACC" w:rsidRPr="004974C0" w14:paraId="11D451D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7478D66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A200006 Specijalna bolnica Rovinj</w:t>
            </w:r>
          </w:p>
        </w:tc>
        <w:tc>
          <w:tcPr>
            <w:tcW w:w="1984" w:type="dxa"/>
            <w:tcBorders>
              <w:top w:val="nil"/>
              <w:left w:val="nil"/>
              <w:bottom w:val="single" w:sz="4" w:space="0" w:color="auto"/>
              <w:right w:val="single" w:sz="4" w:space="0" w:color="auto"/>
            </w:tcBorders>
            <w:shd w:val="clear" w:color="000000" w:fill="CCCCFF"/>
            <w:noWrap/>
            <w:vAlign w:val="bottom"/>
            <w:hideMark/>
          </w:tcPr>
          <w:p w14:paraId="5AC5D95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732F301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9.300,00</w:t>
            </w:r>
          </w:p>
        </w:tc>
        <w:tc>
          <w:tcPr>
            <w:tcW w:w="1843" w:type="dxa"/>
            <w:tcBorders>
              <w:top w:val="nil"/>
              <w:left w:val="nil"/>
              <w:bottom w:val="single" w:sz="4" w:space="0" w:color="auto"/>
              <w:right w:val="single" w:sz="4" w:space="0" w:color="auto"/>
            </w:tcBorders>
            <w:shd w:val="clear" w:color="000000" w:fill="CCCCFF"/>
            <w:noWrap/>
            <w:vAlign w:val="bottom"/>
            <w:hideMark/>
          </w:tcPr>
          <w:p w14:paraId="74542A7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5BEDB78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49A6749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9.300,00</w:t>
            </w:r>
          </w:p>
        </w:tc>
      </w:tr>
      <w:tr w:rsidR="00846ACC" w:rsidRPr="004974C0" w14:paraId="653A06E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954CF1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659A913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5C179E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9.300,00</w:t>
            </w:r>
          </w:p>
        </w:tc>
        <w:tc>
          <w:tcPr>
            <w:tcW w:w="1843" w:type="dxa"/>
            <w:tcBorders>
              <w:top w:val="nil"/>
              <w:left w:val="nil"/>
              <w:bottom w:val="single" w:sz="4" w:space="0" w:color="auto"/>
              <w:right w:val="single" w:sz="4" w:space="0" w:color="auto"/>
            </w:tcBorders>
            <w:shd w:val="clear" w:color="000000" w:fill="FFFF99"/>
            <w:noWrap/>
            <w:vAlign w:val="bottom"/>
            <w:hideMark/>
          </w:tcPr>
          <w:p w14:paraId="1A6DFF4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08E77D3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33BC98A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9.300,00</w:t>
            </w:r>
          </w:p>
        </w:tc>
      </w:tr>
      <w:tr w:rsidR="00846ACC" w:rsidRPr="004974C0" w14:paraId="5FF3D6F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E28A96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78F6F50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5232B6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9.300,00</w:t>
            </w:r>
          </w:p>
        </w:tc>
        <w:tc>
          <w:tcPr>
            <w:tcW w:w="1843" w:type="dxa"/>
            <w:tcBorders>
              <w:top w:val="nil"/>
              <w:left w:val="nil"/>
              <w:bottom w:val="single" w:sz="4" w:space="0" w:color="auto"/>
              <w:right w:val="single" w:sz="4" w:space="0" w:color="auto"/>
            </w:tcBorders>
            <w:shd w:val="clear" w:color="auto" w:fill="auto"/>
            <w:noWrap/>
            <w:vAlign w:val="bottom"/>
            <w:hideMark/>
          </w:tcPr>
          <w:p w14:paraId="214576E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0F0076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359328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9.300,00</w:t>
            </w:r>
          </w:p>
        </w:tc>
      </w:tr>
      <w:tr w:rsidR="00846ACC" w:rsidRPr="004974C0" w14:paraId="7E9788C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88A54A7" w14:textId="77777777" w:rsidR="004974C0" w:rsidRPr="004974C0" w:rsidRDefault="004974C0" w:rsidP="004974C0">
            <w:pPr>
              <w:rPr>
                <w:rFonts w:ascii="Arial" w:hAnsi="Arial" w:cs="Arial"/>
                <w:sz w:val="20"/>
                <w:szCs w:val="20"/>
              </w:rPr>
            </w:pPr>
            <w:r w:rsidRPr="004974C0">
              <w:rPr>
                <w:rFonts w:ascii="Arial" w:hAnsi="Arial" w:cs="Arial"/>
                <w:sz w:val="20"/>
                <w:szCs w:val="20"/>
              </w:rPr>
              <w:t>36</w:t>
            </w:r>
          </w:p>
        </w:tc>
        <w:tc>
          <w:tcPr>
            <w:tcW w:w="1984" w:type="dxa"/>
            <w:tcBorders>
              <w:top w:val="nil"/>
              <w:left w:val="nil"/>
              <w:bottom w:val="single" w:sz="4" w:space="0" w:color="auto"/>
              <w:right w:val="single" w:sz="4" w:space="0" w:color="auto"/>
            </w:tcBorders>
            <w:shd w:val="clear" w:color="auto" w:fill="auto"/>
            <w:noWrap/>
            <w:vAlign w:val="bottom"/>
            <w:hideMark/>
          </w:tcPr>
          <w:p w14:paraId="5DDE4C27" w14:textId="77777777" w:rsidR="004974C0" w:rsidRPr="004974C0" w:rsidRDefault="004974C0" w:rsidP="004974C0">
            <w:pPr>
              <w:rPr>
                <w:rFonts w:ascii="Arial" w:hAnsi="Arial" w:cs="Arial"/>
                <w:sz w:val="20"/>
                <w:szCs w:val="20"/>
              </w:rPr>
            </w:pPr>
            <w:r w:rsidRPr="004974C0">
              <w:rPr>
                <w:rFonts w:ascii="Arial" w:hAnsi="Arial" w:cs="Arial"/>
                <w:sz w:val="20"/>
                <w:szCs w:val="20"/>
              </w:rPr>
              <w:t>Pomoći dane u inozemstvo i unutar općeg proračuna</w:t>
            </w:r>
          </w:p>
        </w:tc>
        <w:tc>
          <w:tcPr>
            <w:tcW w:w="1843" w:type="dxa"/>
            <w:tcBorders>
              <w:top w:val="nil"/>
              <w:left w:val="nil"/>
              <w:bottom w:val="single" w:sz="4" w:space="0" w:color="auto"/>
              <w:right w:val="single" w:sz="4" w:space="0" w:color="auto"/>
            </w:tcBorders>
            <w:shd w:val="clear" w:color="auto" w:fill="auto"/>
            <w:noWrap/>
            <w:vAlign w:val="bottom"/>
            <w:hideMark/>
          </w:tcPr>
          <w:p w14:paraId="341C6AE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9.300,00</w:t>
            </w:r>
          </w:p>
        </w:tc>
        <w:tc>
          <w:tcPr>
            <w:tcW w:w="1843" w:type="dxa"/>
            <w:tcBorders>
              <w:top w:val="nil"/>
              <w:left w:val="nil"/>
              <w:bottom w:val="single" w:sz="4" w:space="0" w:color="auto"/>
              <w:right w:val="single" w:sz="4" w:space="0" w:color="auto"/>
            </w:tcBorders>
            <w:shd w:val="clear" w:color="auto" w:fill="auto"/>
            <w:noWrap/>
            <w:vAlign w:val="bottom"/>
            <w:hideMark/>
          </w:tcPr>
          <w:p w14:paraId="413F027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94EF03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4633FE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9.300,00</w:t>
            </w:r>
          </w:p>
        </w:tc>
      </w:tr>
      <w:tr w:rsidR="00846ACC" w:rsidRPr="004974C0" w14:paraId="728DDC8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166686B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A200007 Dnevni centar za rehabilitaciju Veruda-Pula</w:t>
            </w:r>
          </w:p>
        </w:tc>
        <w:tc>
          <w:tcPr>
            <w:tcW w:w="1984" w:type="dxa"/>
            <w:tcBorders>
              <w:top w:val="nil"/>
              <w:left w:val="nil"/>
              <w:bottom w:val="single" w:sz="4" w:space="0" w:color="auto"/>
              <w:right w:val="single" w:sz="4" w:space="0" w:color="auto"/>
            </w:tcBorders>
            <w:shd w:val="clear" w:color="000000" w:fill="CCCCFF"/>
            <w:noWrap/>
            <w:vAlign w:val="bottom"/>
            <w:hideMark/>
          </w:tcPr>
          <w:p w14:paraId="764C020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CF7EDE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c>
          <w:tcPr>
            <w:tcW w:w="1843" w:type="dxa"/>
            <w:tcBorders>
              <w:top w:val="nil"/>
              <w:left w:val="nil"/>
              <w:bottom w:val="single" w:sz="4" w:space="0" w:color="auto"/>
              <w:right w:val="single" w:sz="4" w:space="0" w:color="auto"/>
            </w:tcBorders>
            <w:shd w:val="clear" w:color="000000" w:fill="CCCCFF"/>
            <w:noWrap/>
            <w:vAlign w:val="bottom"/>
            <w:hideMark/>
          </w:tcPr>
          <w:p w14:paraId="2E6E01C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4D47AAE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517437C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r>
      <w:tr w:rsidR="00846ACC" w:rsidRPr="004974C0" w14:paraId="1C6F9AC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7515F0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17B7C73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061845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c>
          <w:tcPr>
            <w:tcW w:w="1843" w:type="dxa"/>
            <w:tcBorders>
              <w:top w:val="nil"/>
              <w:left w:val="nil"/>
              <w:bottom w:val="single" w:sz="4" w:space="0" w:color="auto"/>
              <w:right w:val="single" w:sz="4" w:space="0" w:color="auto"/>
            </w:tcBorders>
            <w:shd w:val="clear" w:color="000000" w:fill="FFFF99"/>
            <w:noWrap/>
            <w:vAlign w:val="bottom"/>
            <w:hideMark/>
          </w:tcPr>
          <w:p w14:paraId="381F83E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2C15186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40551E1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r>
      <w:tr w:rsidR="00846ACC" w:rsidRPr="004974C0" w14:paraId="4F7D82F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0911F3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A66EB1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9561CC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379B363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87CBF9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4CEE03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r>
      <w:tr w:rsidR="00846ACC" w:rsidRPr="004974C0" w14:paraId="1C6DC65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D1517EB" w14:textId="77777777" w:rsidR="004974C0" w:rsidRPr="004974C0" w:rsidRDefault="004974C0" w:rsidP="004974C0">
            <w:pPr>
              <w:rPr>
                <w:rFonts w:ascii="Arial" w:hAnsi="Arial" w:cs="Arial"/>
                <w:sz w:val="20"/>
                <w:szCs w:val="20"/>
              </w:rPr>
            </w:pPr>
            <w:r w:rsidRPr="004974C0">
              <w:rPr>
                <w:rFonts w:ascii="Arial" w:hAnsi="Arial" w:cs="Arial"/>
                <w:sz w:val="20"/>
                <w:szCs w:val="20"/>
              </w:rPr>
              <w:t>36</w:t>
            </w:r>
          </w:p>
        </w:tc>
        <w:tc>
          <w:tcPr>
            <w:tcW w:w="1984" w:type="dxa"/>
            <w:tcBorders>
              <w:top w:val="nil"/>
              <w:left w:val="nil"/>
              <w:bottom w:val="single" w:sz="4" w:space="0" w:color="auto"/>
              <w:right w:val="single" w:sz="4" w:space="0" w:color="auto"/>
            </w:tcBorders>
            <w:shd w:val="clear" w:color="auto" w:fill="auto"/>
            <w:noWrap/>
            <w:vAlign w:val="bottom"/>
            <w:hideMark/>
          </w:tcPr>
          <w:p w14:paraId="4D4346F8" w14:textId="77777777" w:rsidR="004974C0" w:rsidRPr="004974C0" w:rsidRDefault="004974C0" w:rsidP="004974C0">
            <w:pPr>
              <w:rPr>
                <w:rFonts w:ascii="Arial" w:hAnsi="Arial" w:cs="Arial"/>
                <w:sz w:val="20"/>
                <w:szCs w:val="20"/>
              </w:rPr>
            </w:pPr>
            <w:r w:rsidRPr="004974C0">
              <w:rPr>
                <w:rFonts w:ascii="Arial" w:hAnsi="Arial" w:cs="Arial"/>
                <w:sz w:val="20"/>
                <w:szCs w:val="20"/>
              </w:rPr>
              <w:t>Pomoći dane u inozemstvo i unutar općeg proračuna</w:t>
            </w:r>
          </w:p>
        </w:tc>
        <w:tc>
          <w:tcPr>
            <w:tcW w:w="1843" w:type="dxa"/>
            <w:tcBorders>
              <w:top w:val="nil"/>
              <w:left w:val="nil"/>
              <w:bottom w:val="single" w:sz="4" w:space="0" w:color="auto"/>
              <w:right w:val="single" w:sz="4" w:space="0" w:color="auto"/>
            </w:tcBorders>
            <w:shd w:val="clear" w:color="auto" w:fill="auto"/>
            <w:noWrap/>
            <w:vAlign w:val="bottom"/>
            <w:hideMark/>
          </w:tcPr>
          <w:p w14:paraId="2906859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7A3ECD9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662D3E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867427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r>
      <w:tr w:rsidR="00846ACC" w:rsidRPr="004974C0" w14:paraId="160F96B0"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000080"/>
            <w:noWrap/>
            <w:vAlign w:val="bottom"/>
            <w:hideMark/>
          </w:tcPr>
          <w:p w14:paraId="3A5FD6A5"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Razdjel 300 UPRAVNI ODJEL ZA PROSTORNO UREĐENJE, ZAŠTITU OKOLIŠA I IZDAVANJA AKATA ZA GRADNJU</w:t>
            </w:r>
          </w:p>
        </w:tc>
        <w:tc>
          <w:tcPr>
            <w:tcW w:w="1984" w:type="dxa"/>
            <w:tcBorders>
              <w:top w:val="nil"/>
              <w:left w:val="nil"/>
              <w:bottom w:val="single" w:sz="4" w:space="0" w:color="auto"/>
              <w:right w:val="single" w:sz="4" w:space="0" w:color="auto"/>
            </w:tcBorders>
            <w:shd w:val="clear" w:color="000000" w:fill="000080"/>
            <w:noWrap/>
            <w:vAlign w:val="bottom"/>
            <w:hideMark/>
          </w:tcPr>
          <w:p w14:paraId="09BA5142"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000080"/>
            <w:noWrap/>
            <w:vAlign w:val="bottom"/>
            <w:hideMark/>
          </w:tcPr>
          <w:p w14:paraId="4BCC183C"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4.771.731,00</w:t>
            </w:r>
          </w:p>
        </w:tc>
        <w:tc>
          <w:tcPr>
            <w:tcW w:w="1843" w:type="dxa"/>
            <w:tcBorders>
              <w:top w:val="nil"/>
              <w:left w:val="nil"/>
              <w:bottom w:val="single" w:sz="4" w:space="0" w:color="auto"/>
              <w:right w:val="single" w:sz="4" w:space="0" w:color="auto"/>
            </w:tcBorders>
            <w:shd w:val="clear" w:color="000000" w:fill="000080"/>
            <w:noWrap/>
            <w:vAlign w:val="bottom"/>
            <w:hideMark/>
          </w:tcPr>
          <w:p w14:paraId="6FCA85AB"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-358.343,00</w:t>
            </w:r>
          </w:p>
        </w:tc>
        <w:tc>
          <w:tcPr>
            <w:tcW w:w="1559" w:type="dxa"/>
            <w:tcBorders>
              <w:top w:val="nil"/>
              <w:left w:val="nil"/>
              <w:bottom w:val="single" w:sz="4" w:space="0" w:color="auto"/>
              <w:right w:val="single" w:sz="4" w:space="0" w:color="auto"/>
            </w:tcBorders>
            <w:shd w:val="clear" w:color="000000" w:fill="000080"/>
            <w:noWrap/>
            <w:vAlign w:val="bottom"/>
            <w:hideMark/>
          </w:tcPr>
          <w:p w14:paraId="4776E316"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-7,51</w:t>
            </w:r>
          </w:p>
        </w:tc>
        <w:tc>
          <w:tcPr>
            <w:tcW w:w="1803" w:type="dxa"/>
            <w:tcBorders>
              <w:top w:val="nil"/>
              <w:left w:val="nil"/>
              <w:bottom w:val="single" w:sz="4" w:space="0" w:color="auto"/>
              <w:right w:val="single" w:sz="4" w:space="0" w:color="auto"/>
            </w:tcBorders>
            <w:shd w:val="clear" w:color="000000" w:fill="000080"/>
            <w:noWrap/>
            <w:vAlign w:val="bottom"/>
            <w:hideMark/>
          </w:tcPr>
          <w:p w14:paraId="36F2A779"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4.413.388,00</w:t>
            </w:r>
          </w:p>
        </w:tc>
      </w:tr>
      <w:tr w:rsidR="00846ACC" w:rsidRPr="004974C0" w14:paraId="12C9446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0000FF"/>
            <w:noWrap/>
            <w:vAlign w:val="bottom"/>
            <w:hideMark/>
          </w:tcPr>
          <w:p w14:paraId="6F14AD95"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Glava 30001 UPRAVNI ODJEL ZA PROSTORNO UREĐENJE, ZAŠTITU OKOLIŠA I IZDAVANJA AKATA ZA GRADNJU</w:t>
            </w:r>
          </w:p>
        </w:tc>
        <w:tc>
          <w:tcPr>
            <w:tcW w:w="1984" w:type="dxa"/>
            <w:tcBorders>
              <w:top w:val="nil"/>
              <w:left w:val="nil"/>
              <w:bottom w:val="single" w:sz="4" w:space="0" w:color="auto"/>
              <w:right w:val="single" w:sz="4" w:space="0" w:color="auto"/>
            </w:tcBorders>
            <w:shd w:val="clear" w:color="000000" w:fill="0000FF"/>
            <w:noWrap/>
            <w:vAlign w:val="bottom"/>
            <w:hideMark/>
          </w:tcPr>
          <w:p w14:paraId="0754308F"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0000FF"/>
            <w:noWrap/>
            <w:vAlign w:val="bottom"/>
            <w:hideMark/>
          </w:tcPr>
          <w:p w14:paraId="43D78224"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4.771.731,00</w:t>
            </w:r>
          </w:p>
        </w:tc>
        <w:tc>
          <w:tcPr>
            <w:tcW w:w="1843" w:type="dxa"/>
            <w:tcBorders>
              <w:top w:val="nil"/>
              <w:left w:val="nil"/>
              <w:bottom w:val="single" w:sz="4" w:space="0" w:color="auto"/>
              <w:right w:val="single" w:sz="4" w:space="0" w:color="auto"/>
            </w:tcBorders>
            <w:shd w:val="clear" w:color="000000" w:fill="0000FF"/>
            <w:noWrap/>
            <w:vAlign w:val="bottom"/>
            <w:hideMark/>
          </w:tcPr>
          <w:p w14:paraId="3DA86EA7"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-358.343,00</w:t>
            </w:r>
          </w:p>
        </w:tc>
        <w:tc>
          <w:tcPr>
            <w:tcW w:w="1559" w:type="dxa"/>
            <w:tcBorders>
              <w:top w:val="nil"/>
              <w:left w:val="nil"/>
              <w:bottom w:val="single" w:sz="4" w:space="0" w:color="auto"/>
              <w:right w:val="single" w:sz="4" w:space="0" w:color="auto"/>
            </w:tcBorders>
            <w:shd w:val="clear" w:color="000000" w:fill="0000FF"/>
            <w:noWrap/>
            <w:vAlign w:val="bottom"/>
            <w:hideMark/>
          </w:tcPr>
          <w:p w14:paraId="01A9D2C4"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-7,51</w:t>
            </w:r>
          </w:p>
        </w:tc>
        <w:tc>
          <w:tcPr>
            <w:tcW w:w="1803" w:type="dxa"/>
            <w:tcBorders>
              <w:top w:val="nil"/>
              <w:left w:val="nil"/>
              <w:bottom w:val="single" w:sz="4" w:space="0" w:color="auto"/>
              <w:right w:val="single" w:sz="4" w:space="0" w:color="auto"/>
            </w:tcBorders>
            <w:shd w:val="clear" w:color="000000" w:fill="0000FF"/>
            <w:noWrap/>
            <w:vAlign w:val="bottom"/>
            <w:hideMark/>
          </w:tcPr>
          <w:p w14:paraId="6B07515D"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4.413.388,00</w:t>
            </w:r>
          </w:p>
        </w:tc>
      </w:tr>
      <w:tr w:rsidR="00846ACC" w:rsidRPr="004974C0" w14:paraId="6521AA5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4E525D9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48DE385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0240F1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211.460,00</w:t>
            </w:r>
          </w:p>
        </w:tc>
        <w:tc>
          <w:tcPr>
            <w:tcW w:w="1843" w:type="dxa"/>
            <w:tcBorders>
              <w:top w:val="nil"/>
              <w:left w:val="nil"/>
              <w:bottom w:val="single" w:sz="4" w:space="0" w:color="auto"/>
              <w:right w:val="single" w:sz="4" w:space="0" w:color="auto"/>
            </w:tcBorders>
            <w:shd w:val="clear" w:color="000000" w:fill="FFFFFF"/>
            <w:noWrap/>
            <w:vAlign w:val="bottom"/>
            <w:hideMark/>
          </w:tcPr>
          <w:p w14:paraId="5263A2A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485.935,00</w:t>
            </w:r>
          </w:p>
        </w:tc>
        <w:tc>
          <w:tcPr>
            <w:tcW w:w="1559" w:type="dxa"/>
            <w:tcBorders>
              <w:top w:val="nil"/>
              <w:left w:val="nil"/>
              <w:bottom w:val="single" w:sz="4" w:space="0" w:color="auto"/>
              <w:right w:val="single" w:sz="4" w:space="0" w:color="auto"/>
            </w:tcBorders>
            <w:shd w:val="clear" w:color="000000" w:fill="FFFFFF"/>
            <w:noWrap/>
            <w:vAlign w:val="bottom"/>
            <w:hideMark/>
          </w:tcPr>
          <w:p w14:paraId="5363841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229,80</w:t>
            </w:r>
          </w:p>
        </w:tc>
        <w:tc>
          <w:tcPr>
            <w:tcW w:w="1803" w:type="dxa"/>
            <w:tcBorders>
              <w:top w:val="nil"/>
              <w:left w:val="nil"/>
              <w:bottom w:val="single" w:sz="4" w:space="0" w:color="auto"/>
              <w:right w:val="single" w:sz="4" w:space="0" w:color="auto"/>
            </w:tcBorders>
            <w:shd w:val="clear" w:color="000000" w:fill="FFFFFF"/>
            <w:noWrap/>
            <w:vAlign w:val="bottom"/>
            <w:hideMark/>
          </w:tcPr>
          <w:p w14:paraId="2BCFFCC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697.395,00</w:t>
            </w:r>
          </w:p>
        </w:tc>
      </w:tr>
      <w:tr w:rsidR="00846ACC" w:rsidRPr="004974C0" w14:paraId="424DB50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78FFCE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49E71AF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201594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211.460,00</w:t>
            </w:r>
          </w:p>
        </w:tc>
        <w:tc>
          <w:tcPr>
            <w:tcW w:w="1843" w:type="dxa"/>
            <w:tcBorders>
              <w:top w:val="nil"/>
              <w:left w:val="nil"/>
              <w:bottom w:val="single" w:sz="4" w:space="0" w:color="auto"/>
              <w:right w:val="single" w:sz="4" w:space="0" w:color="auto"/>
            </w:tcBorders>
            <w:shd w:val="clear" w:color="000000" w:fill="FFFFFF"/>
            <w:noWrap/>
            <w:vAlign w:val="bottom"/>
            <w:hideMark/>
          </w:tcPr>
          <w:p w14:paraId="48CAEEC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485.935,00</w:t>
            </w:r>
          </w:p>
        </w:tc>
        <w:tc>
          <w:tcPr>
            <w:tcW w:w="1559" w:type="dxa"/>
            <w:tcBorders>
              <w:top w:val="nil"/>
              <w:left w:val="nil"/>
              <w:bottom w:val="single" w:sz="4" w:space="0" w:color="auto"/>
              <w:right w:val="single" w:sz="4" w:space="0" w:color="auto"/>
            </w:tcBorders>
            <w:shd w:val="clear" w:color="000000" w:fill="FFFFFF"/>
            <w:noWrap/>
            <w:vAlign w:val="bottom"/>
            <w:hideMark/>
          </w:tcPr>
          <w:p w14:paraId="2C3831E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229,80</w:t>
            </w:r>
          </w:p>
        </w:tc>
        <w:tc>
          <w:tcPr>
            <w:tcW w:w="1803" w:type="dxa"/>
            <w:tcBorders>
              <w:top w:val="nil"/>
              <w:left w:val="nil"/>
              <w:bottom w:val="single" w:sz="4" w:space="0" w:color="auto"/>
              <w:right w:val="single" w:sz="4" w:space="0" w:color="auto"/>
            </w:tcBorders>
            <w:shd w:val="clear" w:color="000000" w:fill="FFFFFF"/>
            <w:noWrap/>
            <w:vAlign w:val="bottom"/>
            <w:hideMark/>
          </w:tcPr>
          <w:p w14:paraId="02DF0EF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697.395,00</w:t>
            </w:r>
          </w:p>
        </w:tc>
      </w:tr>
      <w:tr w:rsidR="00846ACC" w:rsidRPr="004974C0" w14:paraId="02006BF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A25C5B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 PRIHODI ZA POSEBNE NAMJENE</w:t>
            </w:r>
          </w:p>
        </w:tc>
        <w:tc>
          <w:tcPr>
            <w:tcW w:w="1984" w:type="dxa"/>
            <w:tcBorders>
              <w:top w:val="nil"/>
              <w:left w:val="nil"/>
              <w:bottom w:val="single" w:sz="4" w:space="0" w:color="auto"/>
              <w:right w:val="single" w:sz="4" w:space="0" w:color="auto"/>
            </w:tcBorders>
            <w:shd w:val="clear" w:color="000000" w:fill="FFFFFF"/>
            <w:noWrap/>
            <w:vAlign w:val="bottom"/>
            <w:hideMark/>
          </w:tcPr>
          <w:p w14:paraId="561E48C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2DBEC7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693.518,00</w:t>
            </w:r>
          </w:p>
        </w:tc>
        <w:tc>
          <w:tcPr>
            <w:tcW w:w="1843" w:type="dxa"/>
            <w:tcBorders>
              <w:top w:val="nil"/>
              <w:left w:val="nil"/>
              <w:bottom w:val="single" w:sz="4" w:space="0" w:color="auto"/>
              <w:right w:val="single" w:sz="4" w:space="0" w:color="auto"/>
            </w:tcBorders>
            <w:shd w:val="clear" w:color="000000" w:fill="FFFFFF"/>
            <w:noWrap/>
            <w:vAlign w:val="bottom"/>
            <w:hideMark/>
          </w:tcPr>
          <w:p w14:paraId="2A0A6A3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2.672,00</w:t>
            </w:r>
          </w:p>
        </w:tc>
        <w:tc>
          <w:tcPr>
            <w:tcW w:w="1559" w:type="dxa"/>
            <w:tcBorders>
              <w:top w:val="nil"/>
              <w:left w:val="nil"/>
              <w:bottom w:val="single" w:sz="4" w:space="0" w:color="auto"/>
              <w:right w:val="single" w:sz="4" w:space="0" w:color="auto"/>
            </w:tcBorders>
            <w:shd w:val="clear" w:color="000000" w:fill="FFFFFF"/>
            <w:noWrap/>
            <w:vAlign w:val="bottom"/>
            <w:hideMark/>
          </w:tcPr>
          <w:p w14:paraId="6C999E8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0,39</w:t>
            </w:r>
          </w:p>
        </w:tc>
        <w:tc>
          <w:tcPr>
            <w:tcW w:w="1803" w:type="dxa"/>
            <w:tcBorders>
              <w:top w:val="nil"/>
              <w:left w:val="nil"/>
              <w:bottom w:val="single" w:sz="4" w:space="0" w:color="auto"/>
              <w:right w:val="single" w:sz="4" w:space="0" w:color="auto"/>
            </w:tcBorders>
            <w:shd w:val="clear" w:color="000000" w:fill="FFFFFF"/>
            <w:noWrap/>
            <w:vAlign w:val="bottom"/>
            <w:hideMark/>
          </w:tcPr>
          <w:p w14:paraId="5C63F6D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696.190,00</w:t>
            </w:r>
          </w:p>
        </w:tc>
      </w:tr>
      <w:tr w:rsidR="00846ACC" w:rsidRPr="004974C0" w14:paraId="384EB59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6539E95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4.3. OSTALI PRIHODI OD NEFINANCIJSKE IMOVINE</w:t>
            </w:r>
          </w:p>
        </w:tc>
        <w:tc>
          <w:tcPr>
            <w:tcW w:w="1984" w:type="dxa"/>
            <w:tcBorders>
              <w:top w:val="nil"/>
              <w:left w:val="nil"/>
              <w:bottom w:val="single" w:sz="4" w:space="0" w:color="auto"/>
              <w:right w:val="single" w:sz="4" w:space="0" w:color="auto"/>
            </w:tcBorders>
            <w:shd w:val="clear" w:color="000000" w:fill="FFFFFF"/>
            <w:noWrap/>
            <w:vAlign w:val="bottom"/>
            <w:hideMark/>
          </w:tcPr>
          <w:p w14:paraId="79B9CB4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7B872B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w:t>
            </w:r>
          </w:p>
        </w:tc>
        <w:tc>
          <w:tcPr>
            <w:tcW w:w="1843" w:type="dxa"/>
            <w:tcBorders>
              <w:top w:val="nil"/>
              <w:left w:val="nil"/>
              <w:bottom w:val="single" w:sz="4" w:space="0" w:color="auto"/>
              <w:right w:val="single" w:sz="4" w:space="0" w:color="auto"/>
            </w:tcBorders>
            <w:shd w:val="clear" w:color="000000" w:fill="FFFFFF"/>
            <w:noWrap/>
            <w:vAlign w:val="bottom"/>
            <w:hideMark/>
          </w:tcPr>
          <w:p w14:paraId="2A16473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33B7470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192B970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w:t>
            </w:r>
          </w:p>
        </w:tc>
      </w:tr>
      <w:tr w:rsidR="00846ACC" w:rsidRPr="004974C0" w14:paraId="6DD8FD0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E9898C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Izvor  4.5. KOMUNALNI DOPRINOSI I DR. NAKNADE UTVRĐENE POSEBNIM ZAKONOM</w:t>
            </w:r>
          </w:p>
        </w:tc>
        <w:tc>
          <w:tcPr>
            <w:tcW w:w="1984" w:type="dxa"/>
            <w:tcBorders>
              <w:top w:val="nil"/>
              <w:left w:val="nil"/>
              <w:bottom w:val="single" w:sz="4" w:space="0" w:color="auto"/>
              <w:right w:val="single" w:sz="4" w:space="0" w:color="auto"/>
            </w:tcBorders>
            <w:shd w:val="clear" w:color="000000" w:fill="FFFFFF"/>
            <w:noWrap/>
            <w:vAlign w:val="bottom"/>
            <w:hideMark/>
          </w:tcPr>
          <w:p w14:paraId="7F2AC67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270D975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692.018,00</w:t>
            </w:r>
          </w:p>
        </w:tc>
        <w:tc>
          <w:tcPr>
            <w:tcW w:w="1843" w:type="dxa"/>
            <w:tcBorders>
              <w:top w:val="nil"/>
              <w:left w:val="nil"/>
              <w:bottom w:val="single" w:sz="4" w:space="0" w:color="auto"/>
              <w:right w:val="single" w:sz="4" w:space="0" w:color="auto"/>
            </w:tcBorders>
            <w:shd w:val="clear" w:color="000000" w:fill="FFFFFF"/>
            <w:noWrap/>
            <w:vAlign w:val="bottom"/>
            <w:hideMark/>
          </w:tcPr>
          <w:p w14:paraId="4F735D5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2.672,00</w:t>
            </w:r>
          </w:p>
        </w:tc>
        <w:tc>
          <w:tcPr>
            <w:tcW w:w="1559" w:type="dxa"/>
            <w:tcBorders>
              <w:top w:val="nil"/>
              <w:left w:val="nil"/>
              <w:bottom w:val="single" w:sz="4" w:space="0" w:color="auto"/>
              <w:right w:val="single" w:sz="4" w:space="0" w:color="auto"/>
            </w:tcBorders>
            <w:shd w:val="clear" w:color="000000" w:fill="FFFFFF"/>
            <w:noWrap/>
            <w:vAlign w:val="bottom"/>
            <w:hideMark/>
          </w:tcPr>
          <w:p w14:paraId="17D094B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0,39</w:t>
            </w:r>
          </w:p>
        </w:tc>
        <w:tc>
          <w:tcPr>
            <w:tcW w:w="1803" w:type="dxa"/>
            <w:tcBorders>
              <w:top w:val="nil"/>
              <w:left w:val="nil"/>
              <w:bottom w:val="single" w:sz="4" w:space="0" w:color="auto"/>
              <w:right w:val="single" w:sz="4" w:space="0" w:color="auto"/>
            </w:tcBorders>
            <w:shd w:val="clear" w:color="000000" w:fill="FFFFFF"/>
            <w:noWrap/>
            <w:vAlign w:val="bottom"/>
            <w:hideMark/>
          </w:tcPr>
          <w:p w14:paraId="37E52C1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694.690,00</w:t>
            </w:r>
          </w:p>
        </w:tc>
      </w:tr>
      <w:tr w:rsidR="00846ACC" w:rsidRPr="004974C0" w14:paraId="370656E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870598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 POMOĆI</w:t>
            </w:r>
          </w:p>
        </w:tc>
        <w:tc>
          <w:tcPr>
            <w:tcW w:w="1984" w:type="dxa"/>
            <w:tcBorders>
              <w:top w:val="nil"/>
              <w:left w:val="nil"/>
              <w:bottom w:val="single" w:sz="4" w:space="0" w:color="auto"/>
              <w:right w:val="single" w:sz="4" w:space="0" w:color="auto"/>
            </w:tcBorders>
            <w:shd w:val="clear" w:color="000000" w:fill="FFFFFF"/>
            <w:noWrap/>
            <w:vAlign w:val="bottom"/>
            <w:hideMark/>
          </w:tcPr>
          <w:p w14:paraId="492845D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290D591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1.091.791,00</w:t>
            </w:r>
          </w:p>
        </w:tc>
        <w:tc>
          <w:tcPr>
            <w:tcW w:w="1843" w:type="dxa"/>
            <w:tcBorders>
              <w:top w:val="nil"/>
              <w:left w:val="nil"/>
              <w:bottom w:val="single" w:sz="4" w:space="0" w:color="auto"/>
              <w:right w:val="single" w:sz="4" w:space="0" w:color="auto"/>
            </w:tcBorders>
            <w:shd w:val="clear" w:color="000000" w:fill="FFFFFF"/>
            <w:noWrap/>
            <w:vAlign w:val="bottom"/>
            <w:hideMark/>
          </w:tcPr>
          <w:p w14:paraId="001EF84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-200.874,00</w:t>
            </w:r>
          </w:p>
        </w:tc>
        <w:tc>
          <w:tcPr>
            <w:tcW w:w="1559" w:type="dxa"/>
            <w:tcBorders>
              <w:top w:val="nil"/>
              <w:left w:val="nil"/>
              <w:bottom w:val="single" w:sz="4" w:space="0" w:color="auto"/>
              <w:right w:val="single" w:sz="4" w:space="0" w:color="auto"/>
            </w:tcBorders>
            <w:shd w:val="clear" w:color="000000" w:fill="FFFFFF"/>
            <w:noWrap/>
            <w:vAlign w:val="bottom"/>
            <w:hideMark/>
          </w:tcPr>
          <w:p w14:paraId="3F28B05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-18,40</w:t>
            </w:r>
          </w:p>
        </w:tc>
        <w:tc>
          <w:tcPr>
            <w:tcW w:w="1803" w:type="dxa"/>
            <w:tcBorders>
              <w:top w:val="nil"/>
              <w:left w:val="nil"/>
              <w:bottom w:val="single" w:sz="4" w:space="0" w:color="auto"/>
              <w:right w:val="single" w:sz="4" w:space="0" w:color="auto"/>
            </w:tcBorders>
            <w:shd w:val="clear" w:color="000000" w:fill="FFFFFF"/>
            <w:noWrap/>
            <w:vAlign w:val="bottom"/>
            <w:hideMark/>
          </w:tcPr>
          <w:p w14:paraId="1701B19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890.917,00</w:t>
            </w:r>
          </w:p>
        </w:tc>
      </w:tr>
      <w:tr w:rsidR="00846ACC" w:rsidRPr="004974C0" w14:paraId="08F6E3B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0941ABF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5.0. POMOĆI IZ FONDOVA EU</w:t>
            </w:r>
          </w:p>
        </w:tc>
        <w:tc>
          <w:tcPr>
            <w:tcW w:w="1984" w:type="dxa"/>
            <w:tcBorders>
              <w:top w:val="nil"/>
              <w:left w:val="nil"/>
              <w:bottom w:val="single" w:sz="4" w:space="0" w:color="auto"/>
              <w:right w:val="single" w:sz="4" w:space="0" w:color="auto"/>
            </w:tcBorders>
            <w:shd w:val="clear" w:color="000000" w:fill="FFFFFF"/>
            <w:noWrap/>
            <w:vAlign w:val="bottom"/>
            <w:hideMark/>
          </w:tcPr>
          <w:p w14:paraId="376F3C2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164B0E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420.615,00</w:t>
            </w:r>
          </w:p>
        </w:tc>
        <w:tc>
          <w:tcPr>
            <w:tcW w:w="1843" w:type="dxa"/>
            <w:tcBorders>
              <w:top w:val="nil"/>
              <w:left w:val="nil"/>
              <w:bottom w:val="single" w:sz="4" w:space="0" w:color="auto"/>
              <w:right w:val="single" w:sz="4" w:space="0" w:color="auto"/>
            </w:tcBorders>
            <w:shd w:val="clear" w:color="000000" w:fill="FFFFFF"/>
            <w:noWrap/>
            <w:vAlign w:val="bottom"/>
            <w:hideMark/>
          </w:tcPr>
          <w:p w14:paraId="4EE3D2A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1516369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1039802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420.615,00</w:t>
            </w:r>
          </w:p>
        </w:tc>
      </w:tr>
      <w:tr w:rsidR="00846ACC" w:rsidRPr="004974C0" w14:paraId="5453516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028B95A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5.2. POMOĆ IZ FONDA ZA ZAŠTITU OKOLIŠA</w:t>
            </w:r>
          </w:p>
        </w:tc>
        <w:tc>
          <w:tcPr>
            <w:tcW w:w="1984" w:type="dxa"/>
            <w:tcBorders>
              <w:top w:val="nil"/>
              <w:left w:val="nil"/>
              <w:bottom w:val="single" w:sz="4" w:space="0" w:color="auto"/>
              <w:right w:val="single" w:sz="4" w:space="0" w:color="auto"/>
            </w:tcBorders>
            <w:shd w:val="clear" w:color="000000" w:fill="FFFFFF"/>
            <w:noWrap/>
            <w:vAlign w:val="bottom"/>
            <w:hideMark/>
          </w:tcPr>
          <w:p w14:paraId="3FF86F1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8CAE69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389.176,00</w:t>
            </w:r>
          </w:p>
        </w:tc>
        <w:tc>
          <w:tcPr>
            <w:tcW w:w="1843" w:type="dxa"/>
            <w:tcBorders>
              <w:top w:val="nil"/>
              <w:left w:val="nil"/>
              <w:bottom w:val="single" w:sz="4" w:space="0" w:color="auto"/>
              <w:right w:val="single" w:sz="4" w:space="0" w:color="auto"/>
            </w:tcBorders>
            <w:shd w:val="clear" w:color="000000" w:fill="FFFFFF"/>
            <w:noWrap/>
            <w:vAlign w:val="bottom"/>
            <w:hideMark/>
          </w:tcPr>
          <w:p w14:paraId="5AFD8E9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-297.193,00</w:t>
            </w:r>
          </w:p>
        </w:tc>
        <w:tc>
          <w:tcPr>
            <w:tcW w:w="1559" w:type="dxa"/>
            <w:tcBorders>
              <w:top w:val="nil"/>
              <w:left w:val="nil"/>
              <w:bottom w:val="single" w:sz="4" w:space="0" w:color="auto"/>
              <w:right w:val="single" w:sz="4" w:space="0" w:color="auto"/>
            </w:tcBorders>
            <w:shd w:val="clear" w:color="000000" w:fill="FFFFFF"/>
            <w:noWrap/>
            <w:vAlign w:val="bottom"/>
            <w:hideMark/>
          </w:tcPr>
          <w:p w14:paraId="4C541F3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-76,36</w:t>
            </w:r>
          </w:p>
        </w:tc>
        <w:tc>
          <w:tcPr>
            <w:tcW w:w="1803" w:type="dxa"/>
            <w:tcBorders>
              <w:top w:val="nil"/>
              <w:left w:val="nil"/>
              <w:bottom w:val="single" w:sz="4" w:space="0" w:color="auto"/>
              <w:right w:val="single" w:sz="4" w:space="0" w:color="auto"/>
            </w:tcBorders>
            <w:shd w:val="clear" w:color="000000" w:fill="FFFFFF"/>
            <w:noWrap/>
            <w:vAlign w:val="bottom"/>
            <w:hideMark/>
          </w:tcPr>
          <w:p w14:paraId="523EF53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91.983,00</w:t>
            </w:r>
          </w:p>
        </w:tc>
      </w:tr>
      <w:tr w:rsidR="00846ACC" w:rsidRPr="004974C0" w14:paraId="68CB1FD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B67666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5.4. POMOĆI IZ DRŽAVNOG PRORAČUNA</w:t>
            </w:r>
          </w:p>
        </w:tc>
        <w:tc>
          <w:tcPr>
            <w:tcW w:w="1984" w:type="dxa"/>
            <w:tcBorders>
              <w:top w:val="nil"/>
              <w:left w:val="nil"/>
              <w:bottom w:val="single" w:sz="4" w:space="0" w:color="auto"/>
              <w:right w:val="single" w:sz="4" w:space="0" w:color="auto"/>
            </w:tcBorders>
            <w:shd w:val="clear" w:color="000000" w:fill="FFFFFF"/>
            <w:noWrap/>
            <w:vAlign w:val="bottom"/>
            <w:hideMark/>
          </w:tcPr>
          <w:p w14:paraId="68D0C39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2BECD5A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232.000,00</w:t>
            </w:r>
          </w:p>
        </w:tc>
        <w:tc>
          <w:tcPr>
            <w:tcW w:w="1843" w:type="dxa"/>
            <w:tcBorders>
              <w:top w:val="nil"/>
              <w:left w:val="nil"/>
              <w:bottom w:val="single" w:sz="4" w:space="0" w:color="auto"/>
              <w:right w:val="single" w:sz="4" w:space="0" w:color="auto"/>
            </w:tcBorders>
            <w:shd w:val="clear" w:color="000000" w:fill="FFFFFF"/>
            <w:noWrap/>
            <w:vAlign w:val="bottom"/>
            <w:hideMark/>
          </w:tcPr>
          <w:p w14:paraId="37CCE79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96.319,00</w:t>
            </w:r>
          </w:p>
        </w:tc>
        <w:tc>
          <w:tcPr>
            <w:tcW w:w="1559" w:type="dxa"/>
            <w:tcBorders>
              <w:top w:val="nil"/>
              <w:left w:val="nil"/>
              <w:bottom w:val="single" w:sz="4" w:space="0" w:color="auto"/>
              <w:right w:val="single" w:sz="4" w:space="0" w:color="auto"/>
            </w:tcBorders>
            <w:shd w:val="clear" w:color="000000" w:fill="FFFFFF"/>
            <w:noWrap/>
            <w:vAlign w:val="bottom"/>
            <w:hideMark/>
          </w:tcPr>
          <w:p w14:paraId="4ADD851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41,52</w:t>
            </w:r>
          </w:p>
        </w:tc>
        <w:tc>
          <w:tcPr>
            <w:tcW w:w="1803" w:type="dxa"/>
            <w:tcBorders>
              <w:top w:val="nil"/>
              <w:left w:val="nil"/>
              <w:bottom w:val="single" w:sz="4" w:space="0" w:color="auto"/>
              <w:right w:val="single" w:sz="4" w:space="0" w:color="auto"/>
            </w:tcBorders>
            <w:shd w:val="clear" w:color="000000" w:fill="FFFFFF"/>
            <w:noWrap/>
            <w:vAlign w:val="bottom"/>
            <w:hideMark/>
          </w:tcPr>
          <w:p w14:paraId="2F47992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328.319,00</w:t>
            </w:r>
          </w:p>
        </w:tc>
      </w:tr>
      <w:tr w:rsidR="00846ACC" w:rsidRPr="004974C0" w14:paraId="2ACCA7F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3908D0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5.5. POMOĆI IZ ŽUPANIJSKOG PRORAČUNA</w:t>
            </w:r>
          </w:p>
        </w:tc>
        <w:tc>
          <w:tcPr>
            <w:tcW w:w="1984" w:type="dxa"/>
            <w:tcBorders>
              <w:top w:val="nil"/>
              <w:left w:val="nil"/>
              <w:bottom w:val="single" w:sz="4" w:space="0" w:color="auto"/>
              <w:right w:val="single" w:sz="4" w:space="0" w:color="auto"/>
            </w:tcBorders>
            <w:shd w:val="clear" w:color="000000" w:fill="FFFFFF"/>
            <w:noWrap/>
            <w:vAlign w:val="bottom"/>
            <w:hideMark/>
          </w:tcPr>
          <w:p w14:paraId="6B7F72A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35D549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50.000,00</w:t>
            </w:r>
          </w:p>
        </w:tc>
        <w:tc>
          <w:tcPr>
            <w:tcW w:w="1843" w:type="dxa"/>
            <w:tcBorders>
              <w:top w:val="nil"/>
              <w:left w:val="nil"/>
              <w:bottom w:val="single" w:sz="4" w:space="0" w:color="auto"/>
              <w:right w:val="single" w:sz="4" w:space="0" w:color="auto"/>
            </w:tcBorders>
            <w:shd w:val="clear" w:color="000000" w:fill="FFFFFF"/>
            <w:noWrap/>
            <w:vAlign w:val="bottom"/>
            <w:hideMark/>
          </w:tcPr>
          <w:p w14:paraId="7E83176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062659A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084A708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50.000,00</w:t>
            </w:r>
          </w:p>
        </w:tc>
      </w:tr>
      <w:tr w:rsidR="00846ACC" w:rsidRPr="004974C0" w14:paraId="180173E0"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08557BC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 DONACIJE</w:t>
            </w:r>
          </w:p>
        </w:tc>
        <w:tc>
          <w:tcPr>
            <w:tcW w:w="1984" w:type="dxa"/>
            <w:tcBorders>
              <w:top w:val="nil"/>
              <w:left w:val="nil"/>
              <w:bottom w:val="single" w:sz="4" w:space="0" w:color="auto"/>
              <w:right w:val="single" w:sz="4" w:space="0" w:color="auto"/>
            </w:tcBorders>
            <w:shd w:val="clear" w:color="000000" w:fill="FFFFFF"/>
            <w:noWrap/>
            <w:vAlign w:val="bottom"/>
            <w:hideMark/>
          </w:tcPr>
          <w:p w14:paraId="527AB6E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8C83A9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569.352,00</w:t>
            </w:r>
          </w:p>
        </w:tc>
        <w:tc>
          <w:tcPr>
            <w:tcW w:w="1843" w:type="dxa"/>
            <w:tcBorders>
              <w:top w:val="nil"/>
              <w:left w:val="nil"/>
              <w:bottom w:val="single" w:sz="4" w:space="0" w:color="auto"/>
              <w:right w:val="single" w:sz="4" w:space="0" w:color="auto"/>
            </w:tcBorders>
            <w:shd w:val="clear" w:color="000000" w:fill="FFFFFF"/>
            <w:noWrap/>
            <w:vAlign w:val="bottom"/>
            <w:hideMark/>
          </w:tcPr>
          <w:p w14:paraId="447CE8A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21.526,00</w:t>
            </w:r>
          </w:p>
        </w:tc>
        <w:tc>
          <w:tcPr>
            <w:tcW w:w="1559" w:type="dxa"/>
            <w:tcBorders>
              <w:top w:val="nil"/>
              <w:left w:val="nil"/>
              <w:bottom w:val="single" w:sz="4" w:space="0" w:color="auto"/>
              <w:right w:val="single" w:sz="4" w:space="0" w:color="auto"/>
            </w:tcBorders>
            <w:shd w:val="clear" w:color="000000" w:fill="FFFFFF"/>
            <w:noWrap/>
            <w:vAlign w:val="bottom"/>
            <w:hideMark/>
          </w:tcPr>
          <w:p w14:paraId="06F55BA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3,78</w:t>
            </w:r>
          </w:p>
        </w:tc>
        <w:tc>
          <w:tcPr>
            <w:tcW w:w="1803" w:type="dxa"/>
            <w:tcBorders>
              <w:top w:val="nil"/>
              <w:left w:val="nil"/>
              <w:bottom w:val="single" w:sz="4" w:space="0" w:color="auto"/>
              <w:right w:val="single" w:sz="4" w:space="0" w:color="auto"/>
            </w:tcBorders>
            <w:shd w:val="clear" w:color="000000" w:fill="FFFFFF"/>
            <w:noWrap/>
            <w:vAlign w:val="bottom"/>
            <w:hideMark/>
          </w:tcPr>
          <w:p w14:paraId="0DC9F67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590.878,00</w:t>
            </w:r>
          </w:p>
        </w:tc>
      </w:tr>
      <w:tr w:rsidR="00846ACC" w:rsidRPr="004974C0" w14:paraId="4657FA4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0AC70BC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6.2. 6. KAPITALNE DONACIJE</w:t>
            </w:r>
          </w:p>
        </w:tc>
        <w:tc>
          <w:tcPr>
            <w:tcW w:w="1984" w:type="dxa"/>
            <w:tcBorders>
              <w:top w:val="nil"/>
              <w:left w:val="nil"/>
              <w:bottom w:val="single" w:sz="4" w:space="0" w:color="auto"/>
              <w:right w:val="single" w:sz="4" w:space="0" w:color="auto"/>
            </w:tcBorders>
            <w:shd w:val="clear" w:color="000000" w:fill="FFFFFF"/>
            <w:noWrap/>
            <w:vAlign w:val="bottom"/>
            <w:hideMark/>
          </w:tcPr>
          <w:p w14:paraId="111B9C0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B3C632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569.352,00</w:t>
            </w:r>
          </w:p>
        </w:tc>
        <w:tc>
          <w:tcPr>
            <w:tcW w:w="1843" w:type="dxa"/>
            <w:tcBorders>
              <w:top w:val="nil"/>
              <w:left w:val="nil"/>
              <w:bottom w:val="single" w:sz="4" w:space="0" w:color="auto"/>
              <w:right w:val="single" w:sz="4" w:space="0" w:color="auto"/>
            </w:tcBorders>
            <w:shd w:val="clear" w:color="000000" w:fill="FFFFFF"/>
            <w:noWrap/>
            <w:vAlign w:val="bottom"/>
            <w:hideMark/>
          </w:tcPr>
          <w:p w14:paraId="06B476A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21.526,00</w:t>
            </w:r>
          </w:p>
        </w:tc>
        <w:tc>
          <w:tcPr>
            <w:tcW w:w="1559" w:type="dxa"/>
            <w:tcBorders>
              <w:top w:val="nil"/>
              <w:left w:val="nil"/>
              <w:bottom w:val="single" w:sz="4" w:space="0" w:color="auto"/>
              <w:right w:val="single" w:sz="4" w:space="0" w:color="auto"/>
            </w:tcBorders>
            <w:shd w:val="clear" w:color="000000" w:fill="FFFFFF"/>
            <w:noWrap/>
            <w:vAlign w:val="bottom"/>
            <w:hideMark/>
          </w:tcPr>
          <w:p w14:paraId="5438DA6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3,78</w:t>
            </w:r>
          </w:p>
        </w:tc>
        <w:tc>
          <w:tcPr>
            <w:tcW w:w="1803" w:type="dxa"/>
            <w:tcBorders>
              <w:top w:val="nil"/>
              <w:left w:val="nil"/>
              <w:bottom w:val="single" w:sz="4" w:space="0" w:color="auto"/>
              <w:right w:val="single" w:sz="4" w:space="0" w:color="auto"/>
            </w:tcBorders>
            <w:shd w:val="clear" w:color="000000" w:fill="FFFFFF"/>
            <w:noWrap/>
            <w:vAlign w:val="bottom"/>
            <w:hideMark/>
          </w:tcPr>
          <w:p w14:paraId="241EA2C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590.878,00</w:t>
            </w:r>
          </w:p>
        </w:tc>
      </w:tr>
      <w:tr w:rsidR="00846ACC" w:rsidRPr="004974C0" w14:paraId="1D6BAB1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8290F9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 PRIHODI OD NEFINANCIJSKE IMOVINE</w:t>
            </w:r>
          </w:p>
        </w:tc>
        <w:tc>
          <w:tcPr>
            <w:tcW w:w="1984" w:type="dxa"/>
            <w:tcBorders>
              <w:top w:val="nil"/>
              <w:left w:val="nil"/>
              <w:bottom w:val="single" w:sz="4" w:space="0" w:color="auto"/>
              <w:right w:val="single" w:sz="4" w:space="0" w:color="auto"/>
            </w:tcBorders>
            <w:shd w:val="clear" w:color="000000" w:fill="FFFFFF"/>
            <w:noWrap/>
            <w:vAlign w:val="bottom"/>
            <w:hideMark/>
          </w:tcPr>
          <w:p w14:paraId="1A471A1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4C1048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2.205.610,00</w:t>
            </w:r>
          </w:p>
        </w:tc>
        <w:tc>
          <w:tcPr>
            <w:tcW w:w="1843" w:type="dxa"/>
            <w:tcBorders>
              <w:top w:val="nil"/>
              <w:left w:val="nil"/>
              <w:bottom w:val="single" w:sz="4" w:space="0" w:color="auto"/>
              <w:right w:val="single" w:sz="4" w:space="0" w:color="auto"/>
            </w:tcBorders>
            <w:shd w:val="clear" w:color="000000" w:fill="FFFFFF"/>
            <w:noWrap/>
            <w:vAlign w:val="bottom"/>
            <w:hideMark/>
          </w:tcPr>
          <w:p w14:paraId="6BD87C6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-667.602,00</w:t>
            </w:r>
          </w:p>
        </w:tc>
        <w:tc>
          <w:tcPr>
            <w:tcW w:w="1559" w:type="dxa"/>
            <w:tcBorders>
              <w:top w:val="nil"/>
              <w:left w:val="nil"/>
              <w:bottom w:val="single" w:sz="4" w:space="0" w:color="auto"/>
              <w:right w:val="single" w:sz="4" w:space="0" w:color="auto"/>
            </w:tcBorders>
            <w:shd w:val="clear" w:color="000000" w:fill="FFFFFF"/>
            <w:noWrap/>
            <w:vAlign w:val="bottom"/>
            <w:hideMark/>
          </w:tcPr>
          <w:p w14:paraId="6B29337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-30,27</w:t>
            </w:r>
          </w:p>
        </w:tc>
        <w:tc>
          <w:tcPr>
            <w:tcW w:w="1803" w:type="dxa"/>
            <w:tcBorders>
              <w:top w:val="nil"/>
              <w:left w:val="nil"/>
              <w:bottom w:val="single" w:sz="4" w:space="0" w:color="auto"/>
              <w:right w:val="single" w:sz="4" w:space="0" w:color="auto"/>
            </w:tcBorders>
            <w:shd w:val="clear" w:color="000000" w:fill="FFFFFF"/>
            <w:noWrap/>
            <w:vAlign w:val="bottom"/>
            <w:hideMark/>
          </w:tcPr>
          <w:p w14:paraId="26A830F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1.538.008,00</w:t>
            </w:r>
          </w:p>
        </w:tc>
      </w:tr>
      <w:tr w:rsidR="00846ACC" w:rsidRPr="004974C0" w14:paraId="7818986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468F0A5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7.1. 7.PRIHODI OD NEFINANCIJSKE IMOVINE</w:t>
            </w:r>
          </w:p>
        </w:tc>
        <w:tc>
          <w:tcPr>
            <w:tcW w:w="1984" w:type="dxa"/>
            <w:tcBorders>
              <w:top w:val="nil"/>
              <w:left w:val="nil"/>
              <w:bottom w:val="single" w:sz="4" w:space="0" w:color="auto"/>
              <w:right w:val="single" w:sz="4" w:space="0" w:color="auto"/>
            </w:tcBorders>
            <w:shd w:val="clear" w:color="000000" w:fill="FFFFFF"/>
            <w:noWrap/>
            <w:vAlign w:val="bottom"/>
            <w:hideMark/>
          </w:tcPr>
          <w:p w14:paraId="788B760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93CCC8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2.205.610,00</w:t>
            </w:r>
          </w:p>
        </w:tc>
        <w:tc>
          <w:tcPr>
            <w:tcW w:w="1843" w:type="dxa"/>
            <w:tcBorders>
              <w:top w:val="nil"/>
              <w:left w:val="nil"/>
              <w:bottom w:val="single" w:sz="4" w:space="0" w:color="auto"/>
              <w:right w:val="single" w:sz="4" w:space="0" w:color="auto"/>
            </w:tcBorders>
            <w:shd w:val="clear" w:color="000000" w:fill="FFFFFF"/>
            <w:noWrap/>
            <w:vAlign w:val="bottom"/>
            <w:hideMark/>
          </w:tcPr>
          <w:p w14:paraId="4C7E4D6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-667.602,00</w:t>
            </w:r>
          </w:p>
        </w:tc>
        <w:tc>
          <w:tcPr>
            <w:tcW w:w="1559" w:type="dxa"/>
            <w:tcBorders>
              <w:top w:val="nil"/>
              <w:left w:val="nil"/>
              <w:bottom w:val="single" w:sz="4" w:space="0" w:color="auto"/>
              <w:right w:val="single" w:sz="4" w:space="0" w:color="auto"/>
            </w:tcBorders>
            <w:shd w:val="clear" w:color="000000" w:fill="FFFFFF"/>
            <w:noWrap/>
            <w:vAlign w:val="bottom"/>
            <w:hideMark/>
          </w:tcPr>
          <w:p w14:paraId="246C286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-30,27</w:t>
            </w:r>
          </w:p>
        </w:tc>
        <w:tc>
          <w:tcPr>
            <w:tcW w:w="1803" w:type="dxa"/>
            <w:tcBorders>
              <w:top w:val="nil"/>
              <w:left w:val="nil"/>
              <w:bottom w:val="single" w:sz="4" w:space="0" w:color="auto"/>
              <w:right w:val="single" w:sz="4" w:space="0" w:color="auto"/>
            </w:tcBorders>
            <w:shd w:val="clear" w:color="000000" w:fill="FFFFFF"/>
            <w:noWrap/>
            <w:vAlign w:val="bottom"/>
            <w:hideMark/>
          </w:tcPr>
          <w:p w14:paraId="6456FC4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1.538.008,00</w:t>
            </w:r>
          </w:p>
        </w:tc>
      </w:tr>
      <w:tr w:rsidR="00846ACC" w:rsidRPr="004974C0" w14:paraId="6FD791C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629C00E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3001 Dokumenti prostornog uređenja</w:t>
            </w:r>
          </w:p>
        </w:tc>
        <w:tc>
          <w:tcPr>
            <w:tcW w:w="1984" w:type="dxa"/>
            <w:tcBorders>
              <w:top w:val="nil"/>
              <w:left w:val="nil"/>
              <w:bottom w:val="single" w:sz="4" w:space="0" w:color="auto"/>
              <w:right w:val="single" w:sz="4" w:space="0" w:color="auto"/>
            </w:tcBorders>
            <w:shd w:val="clear" w:color="000000" w:fill="9999FF"/>
            <w:noWrap/>
            <w:vAlign w:val="bottom"/>
            <w:hideMark/>
          </w:tcPr>
          <w:p w14:paraId="15DCB65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4F4C794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187.018,00</w:t>
            </w:r>
          </w:p>
        </w:tc>
        <w:tc>
          <w:tcPr>
            <w:tcW w:w="1843" w:type="dxa"/>
            <w:tcBorders>
              <w:top w:val="nil"/>
              <w:left w:val="nil"/>
              <w:bottom w:val="single" w:sz="4" w:space="0" w:color="auto"/>
              <w:right w:val="single" w:sz="4" w:space="0" w:color="auto"/>
            </w:tcBorders>
            <w:shd w:val="clear" w:color="000000" w:fill="9999FF"/>
            <w:noWrap/>
            <w:vAlign w:val="bottom"/>
            <w:hideMark/>
          </w:tcPr>
          <w:p w14:paraId="43D4954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-12.059,00</w:t>
            </w:r>
          </w:p>
        </w:tc>
        <w:tc>
          <w:tcPr>
            <w:tcW w:w="1559" w:type="dxa"/>
            <w:tcBorders>
              <w:top w:val="nil"/>
              <w:left w:val="nil"/>
              <w:bottom w:val="single" w:sz="4" w:space="0" w:color="auto"/>
              <w:right w:val="single" w:sz="4" w:space="0" w:color="auto"/>
            </w:tcBorders>
            <w:shd w:val="clear" w:color="000000" w:fill="9999FF"/>
            <w:noWrap/>
            <w:vAlign w:val="bottom"/>
            <w:hideMark/>
          </w:tcPr>
          <w:p w14:paraId="4D70408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-6,45</w:t>
            </w:r>
          </w:p>
        </w:tc>
        <w:tc>
          <w:tcPr>
            <w:tcW w:w="1803" w:type="dxa"/>
            <w:tcBorders>
              <w:top w:val="nil"/>
              <w:left w:val="nil"/>
              <w:bottom w:val="single" w:sz="4" w:space="0" w:color="auto"/>
              <w:right w:val="single" w:sz="4" w:space="0" w:color="auto"/>
            </w:tcBorders>
            <w:shd w:val="clear" w:color="000000" w:fill="9999FF"/>
            <w:noWrap/>
            <w:vAlign w:val="bottom"/>
            <w:hideMark/>
          </w:tcPr>
          <w:p w14:paraId="6669470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174.959,00</w:t>
            </w:r>
          </w:p>
        </w:tc>
      </w:tr>
      <w:tr w:rsidR="00846ACC" w:rsidRPr="004974C0" w14:paraId="1B144C0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3C00EAF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Kapitalni projekt K300001 Izrada dokumenata prostornog uređenja</w:t>
            </w:r>
          </w:p>
        </w:tc>
        <w:tc>
          <w:tcPr>
            <w:tcW w:w="1984" w:type="dxa"/>
            <w:tcBorders>
              <w:top w:val="nil"/>
              <w:left w:val="nil"/>
              <w:bottom w:val="single" w:sz="4" w:space="0" w:color="auto"/>
              <w:right w:val="single" w:sz="4" w:space="0" w:color="auto"/>
            </w:tcBorders>
            <w:shd w:val="clear" w:color="000000" w:fill="CCCCFF"/>
            <w:noWrap/>
            <w:vAlign w:val="bottom"/>
            <w:hideMark/>
          </w:tcPr>
          <w:p w14:paraId="0A42036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218A71A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128.908,00</w:t>
            </w:r>
          </w:p>
        </w:tc>
        <w:tc>
          <w:tcPr>
            <w:tcW w:w="1843" w:type="dxa"/>
            <w:tcBorders>
              <w:top w:val="nil"/>
              <w:left w:val="nil"/>
              <w:bottom w:val="single" w:sz="4" w:space="0" w:color="auto"/>
              <w:right w:val="single" w:sz="4" w:space="0" w:color="auto"/>
            </w:tcBorders>
            <w:shd w:val="clear" w:color="000000" w:fill="CCCCFF"/>
            <w:noWrap/>
            <w:vAlign w:val="bottom"/>
            <w:hideMark/>
          </w:tcPr>
          <w:p w14:paraId="57379DB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-12.059,00</w:t>
            </w:r>
          </w:p>
        </w:tc>
        <w:tc>
          <w:tcPr>
            <w:tcW w:w="1559" w:type="dxa"/>
            <w:tcBorders>
              <w:top w:val="nil"/>
              <w:left w:val="nil"/>
              <w:bottom w:val="single" w:sz="4" w:space="0" w:color="auto"/>
              <w:right w:val="single" w:sz="4" w:space="0" w:color="auto"/>
            </w:tcBorders>
            <w:shd w:val="clear" w:color="000000" w:fill="CCCCFF"/>
            <w:noWrap/>
            <w:vAlign w:val="bottom"/>
            <w:hideMark/>
          </w:tcPr>
          <w:p w14:paraId="0BAB35B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-9,35</w:t>
            </w:r>
          </w:p>
        </w:tc>
        <w:tc>
          <w:tcPr>
            <w:tcW w:w="1803" w:type="dxa"/>
            <w:tcBorders>
              <w:top w:val="nil"/>
              <w:left w:val="nil"/>
              <w:bottom w:val="single" w:sz="4" w:space="0" w:color="auto"/>
              <w:right w:val="single" w:sz="4" w:space="0" w:color="auto"/>
            </w:tcBorders>
            <w:shd w:val="clear" w:color="000000" w:fill="CCCCFF"/>
            <w:noWrap/>
            <w:vAlign w:val="bottom"/>
            <w:hideMark/>
          </w:tcPr>
          <w:p w14:paraId="4238E0C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116.849,00</w:t>
            </w:r>
          </w:p>
        </w:tc>
      </w:tr>
      <w:tr w:rsidR="00846ACC" w:rsidRPr="004974C0" w14:paraId="6DD0885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4B637B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4.5. KOMUNALNI DOPRINOSI I DR. NAKNADE UTVRĐENE POSEBNIM ZAKONOM</w:t>
            </w:r>
          </w:p>
        </w:tc>
        <w:tc>
          <w:tcPr>
            <w:tcW w:w="1984" w:type="dxa"/>
            <w:tcBorders>
              <w:top w:val="nil"/>
              <w:left w:val="nil"/>
              <w:bottom w:val="single" w:sz="4" w:space="0" w:color="auto"/>
              <w:right w:val="single" w:sz="4" w:space="0" w:color="auto"/>
            </w:tcBorders>
            <w:shd w:val="clear" w:color="000000" w:fill="FFFF99"/>
            <w:noWrap/>
            <w:vAlign w:val="bottom"/>
            <w:hideMark/>
          </w:tcPr>
          <w:p w14:paraId="0D84024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C59456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93.126,00</w:t>
            </w:r>
          </w:p>
        </w:tc>
        <w:tc>
          <w:tcPr>
            <w:tcW w:w="1843" w:type="dxa"/>
            <w:tcBorders>
              <w:top w:val="nil"/>
              <w:left w:val="nil"/>
              <w:bottom w:val="single" w:sz="4" w:space="0" w:color="auto"/>
              <w:right w:val="single" w:sz="4" w:space="0" w:color="auto"/>
            </w:tcBorders>
            <w:shd w:val="clear" w:color="000000" w:fill="FFFF99"/>
            <w:noWrap/>
            <w:vAlign w:val="bottom"/>
            <w:hideMark/>
          </w:tcPr>
          <w:p w14:paraId="27C741F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-12.059,00</w:t>
            </w:r>
          </w:p>
        </w:tc>
        <w:tc>
          <w:tcPr>
            <w:tcW w:w="1559" w:type="dxa"/>
            <w:tcBorders>
              <w:top w:val="nil"/>
              <w:left w:val="nil"/>
              <w:bottom w:val="single" w:sz="4" w:space="0" w:color="auto"/>
              <w:right w:val="single" w:sz="4" w:space="0" w:color="auto"/>
            </w:tcBorders>
            <w:shd w:val="clear" w:color="000000" w:fill="FFFF99"/>
            <w:noWrap/>
            <w:vAlign w:val="bottom"/>
            <w:hideMark/>
          </w:tcPr>
          <w:p w14:paraId="2239EB7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-12,95</w:t>
            </w:r>
          </w:p>
        </w:tc>
        <w:tc>
          <w:tcPr>
            <w:tcW w:w="1803" w:type="dxa"/>
            <w:tcBorders>
              <w:top w:val="nil"/>
              <w:left w:val="nil"/>
              <w:bottom w:val="single" w:sz="4" w:space="0" w:color="auto"/>
              <w:right w:val="single" w:sz="4" w:space="0" w:color="auto"/>
            </w:tcBorders>
            <w:shd w:val="clear" w:color="000000" w:fill="FFFF99"/>
            <w:noWrap/>
            <w:vAlign w:val="bottom"/>
            <w:hideMark/>
          </w:tcPr>
          <w:p w14:paraId="230ABBB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81.067,00</w:t>
            </w:r>
          </w:p>
        </w:tc>
      </w:tr>
      <w:tr w:rsidR="00846ACC" w:rsidRPr="004974C0" w14:paraId="620AF75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40B4D2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709C434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35CD36A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93.126,00</w:t>
            </w:r>
          </w:p>
        </w:tc>
        <w:tc>
          <w:tcPr>
            <w:tcW w:w="1843" w:type="dxa"/>
            <w:tcBorders>
              <w:top w:val="nil"/>
              <w:left w:val="nil"/>
              <w:bottom w:val="single" w:sz="4" w:space="0" w:color="auto"/>
              <w:right w:val="single" w:sz="4" w:space="0" w:color="auto"/>
            </w:tcBorders>
            <w:shd w:val="clear" w:color="auto" w:fill="auto"/>
            <w:noWrap/>
            <w:vAlign w:val="bottom"/>
            <w:hideMark/>
          </w:tcPr>
          <w:p w14:paraId="1CB7AD3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-12.059,00</w:t>
            </w:r>
          </w:p>
        </w:tc>
        <w:tc>
          <w:tcPr>
            <w:tcW w:w="1559" w:type="dxa"/>
            <w:tcBorders>
              <w:top w:val="nil"/>
              <w:left w:val="nil"/>
              <w:bottom w:val="single" w:sz="4" w:space="0" w:color="auto"/>
              <w:right w:val="single" w:sz="4" w:space="0" w:color="auto"/>
            </w:tcBorders>
            <w:shd w:val="clear" w:color="auto" w:fill="auto"/>
            <w:noWrap/>
            <w:vAlign w:val="bottom"/>
            <w:hideMark/>
          </w:tcPr>
          <w:p w14:paraId="4D7D086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-12,95</w:t>
            </w:r>
          </w:p>
        </w:tc>
        <w:tc>
          <w:tcPr>
            <w:tcW w:w="1803" w:type="dxa"/>
            <w:tcBorders>
              <w:top w:val="nil"/>
              <w:left w:val="nil"/>
              <w:bottom w:val="single" w:sz="4" w:space="0" w:color="auto"/>
              <w:right w:val="single" w:sz="4" w:space="0" w:color="auto"/>
            </w:tcBorders>
            <w:shd w:val="clear" w:color="auto" w:fill="auto"/>
            <w:noWrap/>
            <w:vAlign w:val="bottom"/>
            <w:hideMark/>
          </w:tcPr>
          <w:p w14:paraId="50B8F13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81.067,00</w:t>
            </w:r>
          </w:p>
        </w:tc>
      </w:tr>
      <w:tr w:rsidR="00846ACC" w:rsidRPr="004974C0" w14:paraId="0B1734F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9BEAF92"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03626961"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717172F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93.126,00</w:t>
            </w:r>
          </w:p>
        </w:tc>
        <w:tc>
          <w:tcPr>
            <w:tcW w:w="1843" w:type="dxa"/>
            <w:tcBorders>
              <w:top w:val="nil"/>
              <w:left w:val="nil"/>
              <w:bottom w:val="single" w:sz="4" w:space="0" w:color="auto"/>
              <w:right w:val="single" w:sz="4" w:space="0" w:color="auto"/>
            </w:tcBorders>
            <w:shd w:val="clear" w:color="auto" w:fill="auto"/>
            <w:noWrap/>
            <w:vAlign w:val="bottom"/>
            <w:hideMark/>
          </w:tcPr>
          <w:p w14:paraId="28539D6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-12.059,00</w:t>
            </w:r>
          </w:p>
        </w:tc>
        <w:tc>
          <w:tcPr>
            <w:tcW w:w="1559" w:type="dxa"/>
            <w:tcBorders>
              <w:top w:val="nil"/>
              <w:left w:val="nil"/>
              <w:bottom w:val="single" w:sz="4" w:space="0" w:color="auto"/>
              <w:right w:val="single" w:sz="4" w:space="0" w:color="auto"/>
            </w:tcBorders>
            <w:shd w:val="clear" w:color="auto" w:fill="auto"/>
            <w:noWrap/>
            <w:vAlign w:val="bottom"/>
            <w:hideMark/>
          </w:tcPr>
          <w:p w14:paraId="2ACA836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-12,95</w:t>
            </w:r>
          </w:p>
        </w:tc>
        <w:tc>
          <w:tcPr>
            <w:tcW w:w="1803" w:type="dxa"/>
            <w:tcBorders>
              <w:top w:val="nil"/>
              <w:left w:val="nil"/>
              <w:bottom w:val="single" w:sz="4" w:space="0" w:color="auto"/>
              <w:right w:val="single" w:sz="4" w:space="0" w:color="auto"/>
            </w:tcBorders>
            <w:shd w:val="clear" w:color="auto" w:fill="auto"/>
            <w:noWrap/>
            <w:vAlign w:val="bottom"/>
            <w:hideMark/>
          </w:tcPr>
          <w:p w14:paraId="36202AD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81.067,00</w:t>
            </w:r>
          </w:p>
        </w:tc>
      </w:tr>
      <w:tr w:rsidR="00846ACC" w:rsidRPr="004974C0" w14:paraId="0351A6C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457EBE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5.0. POMOĆI IZ FONDOVA EU</w:t>
            </w:r>
          </w:p>
        </w:tc>
        <w:tc>
          <w:tcPr>
            <w:tcW w:w="1984" w:type="dxa"/>
            <w:tcBorders>
              <w:top w:val="nil"/>
              <w:left w:val="nil"/>
              <w:bottom w:val="single" w:sz="4" w:space="0" w:color="auto"/>
              <w:right w:val="single" w:sz="4" w:space="0" w:color="auto"/>
            </w:tcBorders>
            <w:shd w:val="clear" w:color="000000" w:fill="FFFF99"/>
            <w:noWrap/>
            <w:vAlign w:val="bottom"/>
            <w:hideMark/>
          </w:tcPr>
          <w:p w14:paraId="0C01E6A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FFA06B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30.000,00</w:t>
            </w:r>
          </w:p>
        </w:tc>
        <w:tc>
          <w:tcPr>
            <w:tcW w:w="1843" w:type="dxa"/>
            <w:tcBorders>
              <w:top w:val="nil"/>
              <w:left w:val="nil"/>
              <w:bottom w:val="single" w:sz="4" w:space="0" w:color="auto"/>
              <w:right w:val="single" w:sz="4" w:space="0" w:color="auto"/>
            </w:tcBorders>
            <w:shd w:val="clear" w:color="000000" w:fill="FFFF99"/>
            <w:noWrap/>
            <w:vAlign w:val="bottom"/>
            <w:hideMark/>
          </w:tcPr>
          <w:p w14:paraId="75E1160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5716686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11AF0B5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30.000,00</w:t>
            </w:r>
          </w:p>
        </w:tc>
      </w:tr>
      <w:tr w:rsidR="00846ACC" w:rsidRPr="004974C0" w14:paraId="5F283F5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E77C1E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0357DD0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5CC6E8A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30.000,00</w:t>
            </w:r>
          </w:p>
        </w:tc>
        <w:tc>
          <w:tcPr>
            <w:tcW w:w="1843" w:type="dxa"/>
            <w:tcBorders>
              <w:top w:val="nil"/>
              <w:left w:val="nil"/>
              <w:bottom w:val="single" w:sz="4" w:space="0" w:color="auto"/>
              <w:right w:val="single" w:sz="4" w:space="0" w:color="auto"/>
            </w:tcBorders>
            <w:shd w:val="clear" w:color="auto" w:fill="auto"/>
            <w:noWrap/>
            <w:vAlign w:val="bottom"/>
            <w:hideMark/>
          </w:tcPr>
          <w:p w14:paraId="55D80E5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CABA20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F73F91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30.000,00</w:t>
            </w:r>
          </w:p>
        </w:tc>
      </w:tr>
      <w:tr w:rsidR="00846ACC" w:rsidRPr="004974C0" w14:paraId="4AEEF70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614130E"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6B2BB702"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0718A70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30.000,00</w:t>
            </w:r>
          </w:p>
        </w:tc>
        <w:tc>
          <w:tcPr>
            <w:tcW w:w="1843" w:type="dxa"/>
            <w:tcBorders>
              <w:top w:val="nil"/>
              <w:left w:val="nil"/>
              <w:bottom w:val="single" w:sz="4" w:space="0" w:color="auto"/>
              <w:right w:val="single" w:sz="4" w:space="0" w:color="auto"/>
            </w:tcBorders>
            <w:shd w:val="clear" w:color="auto" w:fill="auto"/>
            <w:noWrap/>
            <w:vAlign w:val="bottom"/>
            <w:hideMark/>
          </w:tcPr>
          <w:p w14:paraId="57CCDFE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9B6A6B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F278A3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30.000,00</w:t>
            </w:r>
          </w:p>
        </w:tc>
      </w:tr>
      <w:tr w:rsidR="00846ACC" w:rsidRPr="004974C0" w14:paraId="59820A8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C87186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6.2. 6. KAPITALNE DONACIJE</w:t>
            </w:r>
          </w:p>
        </w:tc>
        <w:tc>
          <w:tcPr>
            <w:tcW w:w="1984" w:type="dxa"/>
            <w:tcBorders>
              <w:top w:val="nil"/>
              <w:left w:val="nil"/>
              <w:bottom w:val="single" w:sz="4" w:space="0" w:color="auto"/>
              <w:right w:val="single" w:sz="4" w:space="0" w:color="auto"/>
            </w:tcBorders>
            <w:shd w:val="clear" w:color="000000" w:fill="FFFF99"/>
            <w:noWrap/>
            <w:vAlign w:val="bottom"/>
            <w:hideMark/>
          </w:tcPr>
          <w:p w14:paraId="75C06AA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1C97CA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5.782,00</w:t>
            </w:r>
          </w:p>
        </w:tc>
        <w:tc>
          <w:tcPr>
            <w:tcW w:w="1843" w:type="dxa"/>
            <w:tcBorders>
              <w:top w:val="nil"/>
              <w:left w:val="nil"/>
              <w:bottom w:val="single" w:sz="4" w:space="0" w:color="auto"/>
              <w:right w:val="single" w:sz="4" w:space="0" w:color="auto"/>
            </w:tcBorders>
            <w:shd w:val="clear" w:color="000000" w:fill="FFFF99"/>
            <w:noWrap/>
            <w:vAlign w:val="bottom"/>
            <w:hideMark/>
          </w:tcPr>
          <w:p w14:paraId="59C13FE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65BE7F2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81FDD8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5.782,00</w:t>
            </w:r>
          </w:p>
        </w:tc>
      </w:tr>
      <w:tr w:rsidR="00846ACC" w:rsidRPr="004974C0" w14:paraId="0A2453D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CDC089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504226E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 xml:space="preserve">Rashodi za nabavu </w:t>
            </w:r>
            <w:r w:rsidRPr="004974C0">
              <w:rPr>
                <w:rFonts w:ascii="Arial" w:hAnsi="Arial" w:cs="Arial"/>
                <w:b/>
                <w:bCs/>
                <w:sz w:val="20"/>
                <w:szCs w:val="20"/>
              </w:rPr>
              <w:lastRenderedPageBreak/>
              <w:t>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14DB3F9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lastRenderedPageBreak/>
              <w:t>5.782,00</w:t>
            </w:r>
          </w:p>
        </w:tc>
        <w:tc>
          <w:tcPr>
            <w:tcW w:w="1843" w:type="dxa"/>
            <w:tcBorders>
              <w:top w:val="nil"/>
              <w:left w:val="nil"/>
              <w:bottom w:val="single" w:sz="4" w:space="0" w:color="auto"/>
              <w:right w:val="single" w:sz="4" w:space="0" w:color="auto"/>
            </w:tcBorders>
            <w:shd w:val="clear" w:color="auto" w:fill="auto"/>
            <w:noWrap/>
            <w:vAlign w:val="bottom"/>
            <w:hideMark/>
          </w:tcPr>
          <w:p w14:paraId="3A243FC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BAEA12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56977C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5.782,00</w:t>
            </w:r>
          </w:p>
        </w:tc>
      </w:tr>
      <w:tr w:rsidR="00846ACC" w:rsidRPr="004974C0" w14:paraId="22E8A26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EB09348"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470EEB86"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226E60A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5.782,00</w:t>
            </w:r>
          </w:p>
        </w:tc>
        <w:tc>
          <w:tcPr>
            <w:tcW w:w="1843" w:type="dxa"/>
            <w:tcBorders>
              <w:top w:val="nil"/>
              <w:left w:val="nil"/>
              <w:bottom w:val="single" w:sz="4" w:space="0" w:color="auto"/>
              <w:right w:val="single" w:sz="4" w:space="0" w:color="auto"/>
            </w:tcBorders>
            <w:shd w:val="clear" w:color="auto" w:fill="auto"/>
            <w:noWrap/>
            <w:vAlign w:val="bottom"/>
            <w:hideMark/>
          </w:tcPr>
          <w:p w14:paraId="7F7DB80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509156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8878AE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5.782,00</w:t>
            </w:r>
          </w:p>
        </w:tc>
      </w:tr>
      <w:tr w:rsidR="00846ACC" w:rsidRPr="004974C0" w14:paraId="2985365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51AA0A4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Kapitalni projekt K300002 Provedba dokumenata prostornog uređenja</w:t>
            </w:r>
          </w:p>
        </w:tc>
        <w:tc>
          <w:tcPr>
            <w:tcW w:w="1984" w:type="dxa"/>
            <w:tcBorders>
              <w:top w:val="nil"/>
              <w:left w:val="nil"/>
              <w:bottom w:val="single" w:sz="4" w:space="0" w:color="auto"/>
              <w:right w:val="single" w:sz="4" w:space="0" w:color="auto"/>
            </w:tcBorders>
            <w:shd w:val="clear" w:color="000000" w:fill="CCCCFF"/>
            <w:noWrap/>
            <w:vAlign w:val="bottom"/>
            <w:hideMark/>
          </w:tcPr>
          <w:p w14:paraId="035911A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0B05D3B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58.110,00</w:t>
            </w:r>
          </w:p>
        </w:tc>
        <w:tc>
          <w:tcPr>
            <w:tcW w:w="1843" w:type="dxa"/>
            <w:tcBorders>
              <w:top w:val="nil"/>
              <w:left w:val="nil"/>
              <w:bottom w:val="single" w:sz="4" w:space="0" w:color="auto"/>
              <w:right w:val="single" w:sz="4" w:space="0" w:color="auto"/>
            </w:tcBorders>
            <w:shd w:val="clear" w:color="000000" w:fill="CCCCFF"/>
            <w:noWrap/>
            <w:vAlign w:val="bottom"/>
            <w:hideMark/>
          </w:tcPr>
          <w:p w14:paraId="7997A38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4968D3D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5593FE0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58.110,00</w:t>
            </w:r>
          </w:p>
        </w:tc>
      </w:tr>
      <w:tr w:rsidR="00846ACC" w:rsidRPr="004974C0" w14:paraId="49F874D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682CC1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12DBC34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3DF54A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19.500,00</w:t>
            </w:r>
          </w:p>
        </w:tc>
        <w:tc>
          <w:tcPr>
            <w:tcW w:w="1843" w:type="dxa"/>
            <w:tcBorders>
              <w:top w:val="nil"/>
              <w:left w:val="nil"/>
              <w:bottom w:val="single" w:sz="4" w:space="0" w:color="auto"/>
              <w:right w:val="single" w:sz="4" w:space="0" w:color="auto"/>
            </w:tcBorders>
            <w:shd w:val="clear" w:color="000000" w:fill="FFFF99"/>
            <w:noWrap/>
            <w:vAlign w:val="bottom"/>
            <w:hideMark/>
          </w:tcPr>
          <w:p w14:paraId="79BE9C8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20879A1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0D2E72D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19.500,00</w:t>
            </w:r>
          </w:p>
        </w:tc>
      </w:tr>
      <w:tr w:rsidR="00846ACC" w:rsidRPr="004974C0" w14:paraId="79C0DA8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BA6B0D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4DC3C4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000F41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19.500,00</w:t>
            </w:r>
          </w:p>
        </w:tc>
        <w:tc>
          <w:tcPr>
            <w:tcW w:w="1843" w:type="dxa"/>
            <w:tcBorders>
              <w:top w:val="nil"/>
              <w:left w:val="nil"/>
              <w:bottom w:val="single" w:sz="4" w:space="0" w:color="auto"/>
              <w:right w:val="single" w:sz="4" w:space="0" w:color="auto"/>
            </w:tcBorders>
            <w:shd w:val="clear" w:color="auto" w:fill="auto"/>
            <w:noWrap/>
            <w:vAlign w:val="bottom"/>
            <w:hideMark/>
          </w:tcPr>
          <w:p w14:paraId="2F9FF13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5F597E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9D2743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19.500,00</w:t>
            </w:r>
          </w:p>
        </w:tc>
      </w:tr>
      <w:tr w:rsidR="00846ACC" w:rsidRPr="004974C0" w14:paraId="7465F4C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68DA0D3"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325FA8AD"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1AD6CF9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19.500,00</w:t>
            </w:r>
          </w:p>
        </w:tc>
        <w:tc>
          <w:tcPr>
            <w:tcW w:w="1843" w:type="dxa"/>
            <w:tcBorders>
              <w:top w:val="nil"/>
              <w:left w:val="nil"/>
              <w:bottom w:val="single" w:sz="4" w:space="0" w:color="auto"/>
              <w:right w:val="single" w:sz="4" w:space="0" w:color="auto"/>
            </w:tcBorders>
            <w:shd w:val="clear" w:color="auto" w:fill="auto"/>
            <w:noWrap/>
            <w:vAlign w:val="bottom"/>
            <w:hideMark/>
          </w:tcPr>
          <w:p w14:paraId="3DE6860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FB1BBC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07C877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19.500,00</w:t>
            </w:r>
          </w:p>
        </w:tc>
      </w:tr>
      <w:tr w:rsidR="00846ACC" w:rsidRPr="004974C0" w14:paraId="593095A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066DB0E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4.5. KOMUNALNI DOPRINOSI I DR. NAKNADE UTVRĐENE POSEBNIM ZAKONOM</w:t>
            </w:r>
          </w:p>
        </w:tc>
        <w:tc>
          <w:tcPr>
            <w:tcW w:w="1984" w:type="dxa"/>
            <w:tcBorders>
              <w:top w:val="nil"/>
              <w:left w:val="nil"/>
              <w:bottom w:val="single" w:sz="4" w:space="0" w:color="auto"/>
              <w:right w:val="single" w:sz="4" w:space="0" w:color="auto"/>
            </w:tcBorders>
            <w:shd w:val="clear" w:color="000000" w:fill="FFFF99"/>
            <w:noWrap/>
            <w:vAlign w:val="bottom"/>
            <w:hideMark/>
          </w:tcPr>
          <w:p w14:paraId="3928193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25CD6A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18.610,00</w:t>
            </w:r>
          </w:p>
        </w:tc>
        <w:tc>
          <w:tcPr>
            <w:tcW w:w="1843" w:type="dxa"/>
            <w:tcBorders>
              <w:top w:val="nil"/>
              <w:left w:val="nil"/>
              <w:bottom w:val="single" w:sz="4" w:space="0" w:color="auto"/>
              <w:right w:val="single" w:sz="4" w:space="0" w:color="auto"/>
            </w:tcBorders>
            <w:shd w:val="clear" w:color="000000" w:fill="FFFF99"/>
            <w:noWrap/>
            <w:vAlign w:val="bottom"/>
            <w:hideMark/>
          </w:tcPr>
          <w:p w14:paraId="4EA4C0C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21847DE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72DE675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18.610,00</w:t>
            </w:r>
          </w:p>
        </w:tc>
      </w:tr>
      <w:tr w:rsidR="00846ACC" w:rsidRPr="004974C0" w14:paraId="25971E4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7EA287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D1F66A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8B1CD1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18.610,00</w:t>
            </w:r>
          </w:p>
        </w:tc>
        <w:tc>
          <w:tcPr>
            <w:tcW w:w="1843" w:type="dxa"/>
            <w:tcBorders>
              <w:top w:val="nil"/>
              <w:left w:val="nil"/>
              <w:bottom w:val="single" w:sz="4" w:space="0" w:color="auto"/>
              <w:right w:val="single" w:sz="4" w:space="0" w:color="auto"/>
            </w:tcBorders>
            <w:shd w:val="clear" w:color="auto" w:fill="auto"/>
            <w:noWrap/>
            <w:vAlign w:val="bottom"/>
            <w:hideMark/>
          </w:tcPr>
          <w:p w14:paraId="4815BC9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4F04FB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22EB9B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18.610,00</w:t>
            </w:r>
          </w:p>
        </w:tc>
      </w:tr>
      <w:tr w:rsidR="00846ACC" w:rsidRPr="004974C0" w14:paraId="4F5EA6A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170AB16"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4A602E0D"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6D3985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18.610,00</w:t>
            </w:r>
          </w:p>
        </w:tc>
        <w:tc>
          <w:tcPr>
            <w:tcW w:w="1843" w:type="dxa"/>
            <w:tcBorders>
              <w:top w:val="nil"/>
              <w:left w:val="nil"/>
              <w:bottom w:val="single" w:sz="4" w:space="0" w:color="auto"/>
              <w:right w:val="single" w:sz="4" w:space="0" w:color="auto"/>
            </w:tcBorders>
            <w:shd w:val="clear" w:color="auto" w:fill="auto"/>
            <w:noWrap/>
            <w:vAlign w:val="bottom"/>
            <w:hideMark/>
          </w:tcPr>
          <w:p w14:paraId="5E891A5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CC4BE1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2BE736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18.610,00</w:t>
            </w:r>
          </w:p>
        </w:tc>
      </w:tr>
      <w:tr w:rsidR="00846ACC" w:rsidRPr="004974C0" w14:paraId="0E90917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D2BA21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7.1. 7.PRIHODI OD NEFINANCIJSKE IMOVINE</w:t>
            </w:r>
          </w:p>
        </w:tc>
        <w:tc>
          <w:tcPr>
            <w:tcW w:w="1984" w:type="dxa"/>
            <w:tcBorders>
              <w:top w:val="nil"/>
              <w:left w:val="nil"/>
              <w:bottom w:val="single" w:sz="4" w:space="0" w:color="auto"/>
              <w:right w:val="single" w:sz="4" w:space="0" w:color="auto"/>
            </w:tcBorders>
            <w:shd w:val="clear" w:color="000000" w:fill="FFFF99"/>
            <w:noWrap/>
            <w:vAlign w:val="bottom"/>
            <w:hideMark/>
          </w:tcPr>
          <w:p w14:paraId="0DF6354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965E3D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20.000,00</w:t>
            </w:r>
          </w:p>
        </w:tc>
        <w:tc>
          <w:tcPr>
            <w:tcW w:w="1843" w:type="dxa"/>
            <w:tcBorders>
              <w:top w:val="nil"/>
              <w:left w:val="nil"/>
              <w:bottom w:val="single" w:sz="4" w:space="0" w:color="auto"/>
              <w:right w:val="single" w:sz="4" w:space="0" w:color="auto"/>
            </w:tcBorders>
            <w:shd w:val="clear" w:color="000000" w:fill="FFFF99"/>
            <w:noWrap/>
            <w:vAlign w:val="bottom"/>
            <w:hideMark/>
          </w:tcPr>
          <w:p w14:paraId="14E2982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53F4035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330B4A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20.000,00</w:t>
            </w:r>
          </w:p>
        </w:tc>
      </w:tr>
      <w:tr w:rsidR="00846ACC" w:rsidRPr="004974C0" w14:paraId="58F2C06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B2A422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7F39830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5C65673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20.000,00</w:t>
            </w:r>
          </w:p>
        </w:tc>
        <w:tc>
          <w:tcPr>
            <w:tcW w:w="1843" w:type="dxa"/>
            <w:tcBorders>
              <w:top w:val="nil"/>
              <w:left w:val="nil"/>
              <w:bottom w:val="single" w:sz="4" w:space="0" w:color="auto"/>
              <w:right w:val="single" w:sz="4" w:space="0" w:color="auto"/>
            </w:tcBorders>
            <w:shd w:val="clear" w:color="auto" w:fill="auto"/>
            <w:noWrap/>
            <w:vAlign w:val="bottom"/>
            <w:hideMark/>
          </w:tcPr>
          <w:p w14:paraId="393636A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FDB4D9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B3C075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20.000,00</w:t>
            </w:r>
          </w:p>
        </w:tc>
      </w:tr>
      <w:tr w:rsidR="00846ACC" w:rsidRPr="004974C0" w14:paraId="19130FC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3CC8F9A" w14:textId="77777777" w:rsidR="004974C0" w:rsidRPr="004974C0" w:rsidRDefault="004974C0" w:rsidP="004974C0">
            <w:pPr>
              <w:rPr>
                <w:rFonts w:ascii="Arial" w:hAnsi="Arial" w:cs="Arial"/>
                <w:sz w:val="20"/>
                <w:szCs w:val="20"/>
              </w:rPr>
            </w:pPr>
            <w:r w:rsidRPr="004974C0">
              <w:rPr>
                <w:rFonts w:ascii="Arial" w:hAnsi="Arial" w:cs="Arial"/>
                <w:sz w:val="20"/>
                <w:szCs w:val="20"/>
              </w:rPr>
              <w:t>41</w:t>
            </w:r>
          </w:p>
        </w:tc>
        <w:tc>
          <w:tcPr>
            <w:tcW w:w="1984" w:type="dxa"/>
            <w:tcBorders>
              <w:top w:val="nil"/>
              <w:left w:val="nil"/>
              <w:bottom w:val="single" w:sz="4" w:space="0" w:color="auto"/>
              <w:right w:val="single" w:sz="4" w:space="0" w:color="auto"/>
            </w:tcBorders>
            <w:shd w:val="clear" w:color="auto" w:fill="auto"/>
            <w:noWrap/>
            <w:vAlign w:val="bottom"/>
            <w:hideMark/>
          </w:tcPr>
          <w:p w14:paraId="09ADF2C5" w14:textId="77777777" w:rsidR="004974C0" w:rsidRPr="004974C0" w:rsidRDefault="004974C0" w:rsidP="004974C0">
            <w:pPr>
              <w:rPr>
                <w:rFonts w:ascii="Arial" w:hAnsi="Arial" w:cs="Arial"/>
                <w:sz w:val="20"/>
                <w:szCs w:val="20"/>
              </w:rPr>
            </w:pPr>
            <w:r w:rsidRPr="004974C0">
              <w:rPr>
                <w:rFonts w:ascii="Arial" w:hAnsi="Arial" w:cs="Arial"/>
                <w:sz w:val="20"/>
                <w:szCs w:val="20"/>
              </w:rPr>
              <w:t xml:space="preserve">Rashodi za nabavu </w:t>
            </w:r>
            <w:proofErr w:type="spellStart"/>
            <w:r w:rsidRPr="004974C0">
              <w:rPr>
                <w:rFonts w:ascii="Arial" w:hAnsi="Arial" w:cs="Arial"/>
                <w:sz w:val="20"/>
                <w:szCs w:val="20"/>
              </w:rPr>
              <w:t>neproizvedene</w:t>
            </w:r>
            <w:proofErr w:type="spellEnd"/>
            <w:r w:rsidRPr="004974C0">
              <w:rPr>
                <w:rFonts w:ascii="Arial" w:hAnsi="Arial" w:cs="Arial"/>
                <w:sz w:val="20"/>
                <w:szCs w:val="20"/>
              </w:rPr>
              <w:t xml:space="preserv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714731B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20.000,00</w:t>
            </w:r>
          </w:p>
        </w:tc>
        <w:tc>
          <w:tcPr>
            <w:tcW w:w="1843" w:type="dxa"/>
            <w:tcBorders>
              <w:top w:val="nil"/>
              <w:left w:val="nil"/>
              <w:bottom w:val="single" w:sz="4" w:space="0" w:color="auto"/>
              <w:right w:val="single" w:sz="4" w:space="0" w:color="auto"/>
            </w:tcBorders>
            <w:shd w:val="clear" w:color="auto" w:fill="auto"/>
            <w:noWrap/>
            <w:vAlign w:val="bottom"/>
            <w:hideMark/>
          </w:tcPr>
          <w:p w14:paraId="534B955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5AC423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C75AA4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20.000,00</w:t>
            </w:r>
          </w:p>
        </w:tc>
      </w:tr>
      <w:tr w:rsidR="00846ACC" w:rsidRPr="004974C0" w14:paraId="552CE01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0B51544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3002 Izgradnja komunalne infrastrukture</w:t>
            </w:r>
          </w:p>
        </w:tc>
        <w:tc>
          <w:tcPr>
            <w:tcW w:w="1984" w:type="dxa"/>
            <w:tcBorders>
              <w:top w:val="nil"/>
              <w:left w:val="nil"/>
              <w:bottom w:val="single" w:sz="4" w:space="0" w:color="auto"/>
              <w:right w:val="single" w:sz="4" w:space="0" w:color="auto"/>
            </w:tcBorders>
            <w:shd w:val="clear" w:color="000000" w:fill="9999FF"/>
            <w:noWrap/>
            <w:vAlign w:val="bottom"/>
            <w:hideMark/>
          </w:tcPr>
          <w:p w14:paraId="4A1A315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69E35D0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2.272.742,00</w:t>
            </w:r>
          </w:p>
        </w:tc>
        <w:tc>
          <w:tcPr>
            <w:tcW w:w="1843" w:type="dxa"/>
            <w:tcBorders>
              <w:top w:val="nil"/>
              <w:left w:val="nil"/>
              <w:bottom w:val="single" w:sz="4" w:space="0" w:color="auto"/>
              <w:right w:val="single" w:sz="4" w:space="0" w:color="auto"/>
            </w:tcBorders>
            <w:shd w:val="clear" w:color="000000" w:fill="9999FF"/>
            <w:noWrap/>
            <w:vAlign w:val="bottom"/>
            <w:hideMark/>
          </w:tcPr>
          <w:p w14:paraId="5275870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-874.113,00</w:t>
            </w:r>
          </w:p>
        </w:tc>
        <w:tc>
          <w:tcPr>
            <w:tcW w:w="1559" w:type="dxa"/>
            <w:tcBorders>
              <w:top w:val="nil"/>
              <w:left w:val="nil"/>
              <w:bottom w:val="single" w:sz="4" w:space="0" w:color="auto"/>
              <w:right w:val="single" w:sz="4" w:space="0" w:color="auto"/>
            </w:tcBorders>
            <w:shd w:val="clear" w:color="000000" w:fill="9999FF"/>
            <w:noWrap/>
            <w:vAlign w:val="bottom"/>
            <w:hideMark/>
          </w:tcPr>
          <w:p w14:paraId="01C9E01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-38,46</w:t>
            </w:r>
          </w:p>
        </w:tc>
        <w:tc>
          <w:tcPr>
            <w:tcW w:w="1803" w:type="dxa"/>
            <w:tcBorders>
              <w:top w:val="nil"/>
              <w:left w:val="nil"/>
              <w:bottom w:val="single" w:sz="4" w:space="0" w:color="auto"/>
              <w:right w:val="single" w:sz="4" w:space="0" w:color="auto"/>
            </w:tcBorders>
            <w:shd w:val="clear" w:color="000000" w:fill="9999FF"/>
            <w:noWrap/>
            <w:vAlign w:val="bottom"/>
            <w:hideMark/>
          </w:tcPr>
          <w:p w14:paraId="38A60C2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1.398.629,00</w:t>
            </w:r>
          </w:p>
        </w:tc>
      </w:tr>
      <w:tr w:rsidR="00846ACC" w:rsidRPr="004974C0" w14:paraId="74E6EF9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359D3AA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Kapitalni projekt K300006 Projekti cesta i ostale infrastrukture u zonama izgradnje</w:t>
            </w:r>
          </w:p>
        </w:tc>
        <w:tc>
          <w:tcPr>
            <w:tcW w:w="1984" w:type="dxa"/>
            <w:tcBorders>
              <w:top w:val="nil"/>
              <w:left w:val="nil"/>
              <w:bottom w:val="single" w:sz="4" w:space="0" w:color="auto"/>
              <w:right w:val="single" w:sz="4" w:space="0" w:color="auto"/>
            </w:tcBorders>
            <w:shd w:val="clear" w:color="000000" w:fill="CCCCFF"/>
            <w:noWrap/>
            <w:vAlign w:val="bottom"/>
            <w:hideMark/>
          </w:tcPr>
          <w:p w14:paraId="6BE0EFC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2F5B01C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25.000,00</w:t>
            </w:r>
          </w:p>
        </w:tc>
        <w:tc>
          <w:tcPr>
            <w:tcW w:w="1843" w:type="dxa"/>
            <w:tcBorders>
              <w:top w:val="nil"/>
              <w:left w:val="nil"/>
              <w:bottom w:val="single" w:sz="4" w:space="0" w:color="auto"/>
              <w:right w:val="single" w:sz="4" w:space="0" w:color="auto"/>
            </w:tcBorders>
            <w:shd w:val="clear" w:color="000000" w:fill="CCCCFF"/>
            <w:noWrap/>
            <w:vAlign w:val="bottom"/>
            <w:hideMark/>
          </w:tcPr>
          <w:p w14:paraId="5160058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6BC1353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6E23F7D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25.000,00</w:t>
            </w:r>
          </w:p>
        </w:tc>
      </w:tr>
      <w:tr w:rsidR="00846ACC" w:rsidRPr="004974C0" w14:paraId="54CC4F7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A82EFB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4.5. KOMUNALNI DOPRINOSI I DR. NAKNADE UTVRĐENE POSEBNIM ZAKONOM</w:t>
            </w:r>
          </w:p>
        </w:tc>
        <w:tc>
          <w:tcPr>
            <w:tcW w:w="1984" w:type="dxa"/>
            <w:tcBorders>
              <w:top w:val="nil"/>
              <w:left w:val="nil"/>
              <w:bottom w:val="single" w:sz="4" w:space="0" w:color="auto"/>
              <w:right w:val="single" w:sz="4" w:space="0" w:color="auto"/>
            </w:tcBorders>
            <w:shd w:val="clear" w:color="000000" w:fill="FFFF99"/>
            <w:noWrap/>
            <w:vAlign w:val="bottom"/>
            <w:hideMark/>
          </w:tcPr>
          <w:p w14:paraId="6C321FC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9FB1F1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25.000,00</w:t>
            </w:r>
          </w:p>
        </w:tc>
        <w:tc>
          <w:tcPr>
            <w:tcW w:w="1843" w:type="dxa"/>
            <w:tcBorders>
              <w:top w:val="nil"/>
              <w:left w:val="nil"/>
              <w:bottom w:val="single" w:sz="4" w:space="0" w:color="auto"/>
              <w:right w:val="single" w:sz="4" w:space="0" w:color="auto"/>
            </w:tcBorders>
            <w:shd w:val="clear" w:color="000000" w:fill="FFFF99"/>
            <w:noWrap/>
            <w:vAlign w:val="bottom"/>
            <w:hideMark/>
          </w:tcPr>
          <w:p w14:paraId="11E5905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2EDF86F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04A7DE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25.000,00</w:t>
            </w:r>
          </w:p>
        </w:tc>
      </w:tr>
      <w:tr w:rsidR="00846ACC" w:rsidRPr="004974C0" w14:paraId="735FB99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D119EE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680A353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6AA7B63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25.000,00</w:t>
            </w:r>
          </w:p>
        </w:tc>
        <w:tc>
          <w:tcPr>
            <w:tcW w:w="1843" w:type="dxa"/>
            <w:tcBorders>
              <w:top w:val="nil"/>
              <w:left w:val="nil"/>
              <w:bottom w:val="single" w:sz="4" w:space="0" w:color="auto"/>
              <w:right w:val="single" w:sz="4" w:space="0" w:color="auto"/>
            </w:tcBorders>
            <w:shd w:val="clear" w:color="auto" w:fill="auto"/>
            <w:noWrap/>
            <w:vAlign w:val="bottom"/>
            <w:hideMark/>
          </w:tcPr>
          <w:p w14:paraId="3F069A9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B65BD0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9112FB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25.000,00</w:t>
            </w:r>
          </w:p>
        </w:tc>
      </w:tr>
      <w:tr w:rsidR="00846ACC" w:rsidRPr="004974C0" w14:paraId="49A834E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A5F042F"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6A305983"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5BE6D9A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25.000,00</w:t>
            </w:r>
          </w:p>
        </w:tc>
        <w:tc>
          <w:tcPr>
            <w:tcW w:w="1843" w:type="dxa"/>
            <w:tcBorders>
              <w:top w:val="nil"/>
              <w:left w:val="nil"/>
              <w:bottom w:val="single" w:sz="4" w:space="0" w:color="auto"/>
              <w:right w:val="single" w:sz="4" w:space="0" w:color="auto"/>
            </w:tcBorders>
            <w:shd w:val="clear" w:color="auto" w:fill="auto"/>
            <w:noWrap/>
            <w:vAlign w:val="bottom"/>
            <w:hideMark/>
          </w:tcPr>
          <w:p w14:paraId="42386DB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9D649C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CD9C6A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25.000,00</w:t>
            </w:r>
          </w:p>
        </w:tc>
      </w:tr>
      <w:tr w:rsidR="00846ACC" w:rsidRPr="004974C0" w14:paraId="51656F7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5501D87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 xml:space="preserve">Kapitalni projekt K300012 Infrastruktura u starogradskoj jezgri i popločenje </w:t>
            </w:r>
            <w:proofErr w:type="spellStart"/>
            <w:r w:rsidRPr="004974C0">
              <w:rPr>
                <w:rFonts w:ascii="Arial" w:hAnsi="Arial" w:cs="Arial"/>
                <w:b/>
                <w:bCs/>
                <w:color w:val="000000"/>
                <w:sz w:val="20"/>
                <w:szCs w:val="20"/>
              </w:rPr>
              <w:t>parternih</w:t>
            </w:r>
            <w:proofErr w:type="spellEnd"/>
            <w:r w:rsidRPr="004974C0">
              <w:rPr>
                <w:rFonts w:ascii="Arial" w:hAnsi="Arial" w:cs="Arial"/>
                <w:b/>
                <w:bCs/>
                <w:color w:val="000000"/>
                <w:sz w:val="20"/>
                <w:szCs w:val="20"/>
              </w:rPr>
              <w:t xml:space="preserve"> površina</w:t>
            </w:r>
          </w:p>
        </w:tc>
        <w:tc>
          <w:tcPr>
            <w:tcW w:w="1984" w:type="dxa"/>
            <w:tcBorders>
              <w:top w:val="nil"/>
              <w:left w:val="nil"/>
              <w:bottom w:val="single" w:sz="4" w:space="0" w:color="auto"/>
              <w:right w:val="single" w:sz="4" w:space="0" w:color="auto"/>
            </w:tcBorders>
            <w:shd w:val="clear" w:color="000000" w:fill="CCCCFF"/>
            <w:noWrap/>
            <w:vAlign w:val="bottom"/>
            <w:hideMark/>
          </w:tcPr>
          <w:p w14:paraId="42DAD5B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04621C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296.800,00</w:t>
            </w:r>
          </w:p>
        </w:tc>
        <w:tc>
          <w:tcPr>
            <w:tcW w:w="1843" w:type="dxa"/>
            <w:tcBorders>
              <w:top w:val="nil"/>
              <w:left w:val="nil"/>
              <w:bottom w:val="single" w:sz="4" w:space="0" w:color="auto"/>
              <w:right w:val="single" w:sz="4" w:space="0" w:color="auto"/>
            </w:tcBorders>
            <w:shd w:val="clear" w:color="000000" w:fill="CCCCFF"/>
            <w:noWrap/>
            <w:vAlign w:val="bottom"/>
            <w:hideMark/>
          </w:tcPr>
          <w:p w14:paraId="7D89B32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-261.800,00</w:t>
            </w:r>
          </w:p>
        </w:tc>
        <w:tc>
          <w:tcPr>
            <w:tcW w:w="1559" w:type="dxa"/>
            <w:tcBorders>
              <w:top w:val="nil"/>
              <w:left w:val="nil"/>
              <w:bottom w:val="single" w:sz="4" w:space="0" w:color="auto"/>
              <w:right w:val="single" w:sz="4" w:space="0" w:color="auto"/>
            </w:tcBorders>
            <w:shd w:val="clear" w:color="000000" w:fill="CCCCFF"/>
            <w:noWrap/>
            <w:vAlign w:val="bottom"/>
            <w:hideMark/>
          </w:tcPr>
          <w:p w14:paraId="26AA579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-88,21</w:t>
            </w:r>
          </w:p>
        </w:tc>
        <w:tc>
          <w:tcPr>
            <w:tcW w:w="1803" w:type="dxa"/>
            <w:tcBorders>
              <w:top w:val="nil"/>
              <w:left w:val="nil"/>
              <w:bottom w:val="single" w:sz="4" w:space="0" w:color="auto"/>
              <w:right w:val="single" w:sz="4" w:space="0" w:color="auto"/>
            </w:tcBorders>
            <w:shd w:val="clear" w:color="000000" w:fill="CCCCFF"/>
            <w:noWrap/>
            <w:vAlign w:val="bottom"/>
            <w:hideMark/>
          </w:tcPr>
          <w:p w14:paraId="6FEF7B9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35.000,00</w:t>
            </w:r>
          </w:p>
        </w:tc>
      </w:tr>
      <w:tr w:rsidR="00846ACC" w:rsidRPr="004974C0" w14:paraId="0A45E6B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B718B1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4.5. KOMUNALNI DOPRINOSI I DR. NAKNADE UTVRĐENE POSEBNIM ZAKONOM</w:t>
            </w:r>
          </w:p>
        </w:tc>
        <w:tc>
          <w:tcPr>
            <w:tcW w:w="1984" w:type="dxa"/>
            <w:tcBorders>
              <w:top w:val="nil"/>
              <w:left w:val="nil"/>
              <w:bottom w:val="single" w:sz="4" w:space="0" w:color="auto"/>
              <w:right w:val="single" w:sz="4" w:space="0" w:color="auto"/>
            </w:tcBorders>
            <w:shd w:val="clear" w:color="000000" w:fill="FFFF99"/>
            <w:noWrap/>
            <w:vAlign w:val="bottom"/>
            <w:hideMark/>
          </w:tcPr>
          <w:p w14:paraId="0DF18B9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6849CA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15.000,00</w:t>
            </w:r>
          </w:p>
        </w:tc>
        <w:tc>
          <w:tcPr>
            <w:tcW w:w="1843" w:type="dxa"/>
            <w:tcBorders>
              <w:top w:val="nil"/>
              <w:left w:val="nil"/>
              <w:bottom w:val="single" w:sz="4" w:space="0" w:color="auto"/>
              <w:right w:val="single" w:sz="4" w:space="0" w:color="auto"/>
            </w:tcBorders>
            <w:shd w:val="clear" w:color="000000" w:fill="FFFF99"/>
            <w:noWrap/>
            <w:vAlign w:val="bottom"/>
            <w:hideMark/>
          </w:tcPr>
          <w:p w14:paraId="2879D3F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64C5476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7F52103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15.000,00</w:t>
            </w:r>
          </w:p>
        </w:tc>
      </w:tr>
      <w:tr w:rsidR="00846ACC" w:rsidRPr="004974C0" w14:paraId="7985BC2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6B13D1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4880AAA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0B200E6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15.000,00</w:t>
            </w:r>
          </w:p>
        </w:tc>
        <w:tc>
          <w:tcPr>
            <w:tcW w:w="1843" w:type="dxa"/>
            <w:tcBorders>
              <w:top w:val="nil"/>
              <w:left w:val="nil"/>
              <w:bottom w:val="single" w:sz="4" w:space="0" w:color="auto"/>
              <w:right w:val="single" w:sz="4" w:space="0" w:color="auto"/>
            </w:tcBorders>
            <w:shd w:val="clear" w:color="auto" w:fill="auto"/>
            <w:noWrap/>
            <w:vAlign w:val="bottom"/>
            <w:hideMark/>
          </w:tcPr>
          <w:p w14:paraId="67D56CA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1B6C18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B2A1C1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15.000,00</w:t>
            </w:r>
          </w:p>
        </w:tc>
      </w:tr>
      <w:tr w:rsidR="00846ACC" w:rsidRPr="004974C0" w14:paraId="04F2F15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A914FA3"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53A8DDBB"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104F2DA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15.000,00</w:t>
            </w:r>
          </w:p>
        </w:tc>
        <w:tc>
          <w:tcPr>
            <w:tcW w:w="1843" w:type="dxa"/>
            <w:tcBorders>
              <w:top w:val="nil"/>
              <w:left w:val="nil"/>
              <w:bottom w:val="single" w:sz="4" w:space="0" w:color="auto"/>
              <w:right w:val="single" w:sz="4" w:space="0" w:color="auto"/>
            </w:tcBorders>
            <w:shd w:val="clear" w:color="auto" w:fill="auto"/>
            <w:noWrap/>
            <w:vAlign w:val="bottom"/>
            <w:hideMark/>
          </w:tcPr>
          <w:p w14:paraId="4896DD3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EB0A13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92614A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15.000,00</w:t>
            </w:r>
          </w:p>
        </w:tc>
      </w:tr>
      <w:tr w:rsidR="00846ACC" w:rsidRPr="004974C0" w14:paraId="27959E5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721193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7.1. 7.PRIHODI OD NEFINANCIJSKE IMOVINE</w:t>
            </w:r>
          </w:p>
        </w:tc>
        <w:tc>
          <w:tcPr>
            <w:tcW w:w="1984" w:type="dxa"/>
            <w:tcBorders>
              <w:top w:val="nil"/>
              <w:left w:val="nil"/>
              <w:bottom w:val="single" w:sz="4" w:space="0" w:color="auto"/>
              <w:right w:val="single" w:sz="4" w:space="0" w:color="auto"/>
            </w:tcBorders>
            <w:shd w:val="clear" w:color="000000" w:fill="FFFF99"/>
            <w:noWrap/>
            <w:vAlign w:val="bottom"/>
            <w:hideMark/>
          </w:tcPr>
          <w:p w14:paraId="4BD1AD9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5FE87C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281.800,00</w:t>
            </w:r>
          </w:p>
        </w:tc>
        <w:tc>
          <w:tcPr>
            <w:tcW w:w="1843" w:type="dxa"/>
            <w:tcBorders>
              <w:top w:val="nil"/>
              <w:left w:val="nil"/>
              <w:bottom w:val="single" w:sz="4" w:space="0" w:color="auto"/>
              <w:right w:val="single" w:sz="4" w:space="0" w:color="auto"/>
            </w:tcBorders>
            <w:shd w:val="clear" w:color="000000" w:fill="FFFF99"/>
            <w:noWrap/>
            <w:vAlign w:val="bottom"/>
            <w:hideMark/>
          </w:tcPr>
          <w:p w14:paraId="50AC918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-261.800,00</w:t>
            </w:r>
          </w:p>
        </w:tc>
        <w:tc>
          <w:tcPr>
            <w:tcW w:w="1559" w:type="dxa"/>
            <w:tcBorders>
              <w:top w:val="nil"/>
              <w:left w:val="nil"/>
              <w:bottom w:val="single" w:sz="4" w:space="0" w:color="auto"/>
              <w:right w:val="single" w:sz="4" w:space="0" w:color="auto"/>
            </w:tcBorders>
            <w:shd w:val="clear" w:color="000000" w:fill="FFFF99"/>
            <w:noWrap/>
            <w:vAlign w:val="bottom"/>
            <w:hideMark/>
          </w:tcPr>
          <w:p w14:paraId="07588C0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-92,90</w:t>
            </w:r>
          </w:p>
        </w:tc>
        <w:tc>
          <w:tcPr>
            <w:tcW w:w="1803" w:type="dxa"/>
            <w:tcBorders>
              <w:top w:val="nil"/>
              <w:left w:val="nil"/>
              <w:bottom w:val="single" w:sz="4" w:space="0" w:color="auto"/>
              <w:right w:val="single" w:sz="4" w:space="0" w:color="auto"/>
            </w:tcBorders>
            <w:shd w:val="clear" w:color="000000" w:fill="FFFF99"/>
            <w:noWrap/>
            <w:vAlign w:val="bottom"/>
            <w:hideMark/>
          </w:tcPr>
          <w:p w14:paraId="6B012FD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20.000,00</w:t>
            </w:r>
          </w:p>
        </w:tc>
      </w:tr>
      <w:tr w:rsidR="00846ACC" w:rsidRPr="004974C0" w14:paraId="54D9EAD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1E7D82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265C2FA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399BF6B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281.800,00</w:t>
            </w:r>
          </w:p>
        </w:tc>
        <w:tc>
          <w:tcPr>
            <w:tcW w:w="1843" w:type="dxa"/>
            <w:tcBorders>
              <w:top w:val="nil"/>
              <w:left w:val="nil"/>
              <w:bottom w:val="single" w:sz="4" w:space="0" w:color="auto"/>
              <w:right w:val="single" w:sz="4" w:space="0" w:color="auto"/>
            </w:tcBorders>
            <w:shd w:val="clear" w:color="auto" w:fill="auto"/>
            <w:noWrap/>
            <w:vAlign w:val="bottom"/>
            <w:hideMark/>
          </w:tcPr>
          <w:p w14:paraId="2F54083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-261.800,00</w:t>
            </w:r>
          </w:p>
        </w:tc>
        <w:tc>
          <w:tcPr>
            <w:tcW w:w="1559" w:type="dxa"/>
            <w:tcBorders>
              <w:top w:val="nil"/>
              <w:left w:val="nil"/>
              <w:bottom w:val="single" w:sz="4" w:space="0" w:color="auto"/>
              <w:right w:val="single" w:sz="4" w:space="0" w:color="auto"/>
            </w:tcBorders>
            <w:shd w:val="clear" w:color="auto" w:fill="auto"/>
            <w:noWrap/>
            <w:vAlign w:val="bottom"/>
            <w:hideMark/>
          </w:tcPr>
          <w:p w14:paraId="45CD1CD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-92,90</w:t>
            </w:r>
          </w:p>
        </w:tc>
        <w:tc>
          <w:tcPr>
            <w:tcW w:w="1803" w:type="dxa"/>
            <w:tcBorders>
              <w:top w:val="nil"/>
              <w:left w:val="nil"/>
              <w:bottom w:val="single" w:sz="4" w:space="0" w:color="auto"/>
              <w:right w:val="single" w:sz="4" w:space="0" w:color="auto"/>
            </w:tcBorders>
            <w:shd w:val="clear" w:color="auto" w:fill="auto"/>
            <w:noWrap/>
            <w:vAlign w:val="bottom"/>
            <w:hideMark/>
          </w:tcPr>
          <w:p w14:paraId="68D8810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20.000,00</w:t>
            </w:r>
          </w:p>
        </w:tc>
      </w:tr>
      <w:tr w:rsidR="00846ACC" w:rsidRPr="004974C0" w14:paraId="56374EC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7130E06"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410DE6CE"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4D5C328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281.800,00</w:t>
            </w:r>
          </w:p>
        </w:tc>
        <w:tc>
          <w:tcPr>
            <w:tcW w:w="1843" w:type="dxa"/>
            <w:tcBorders>
              <w:top w:val="nil"/>
              <w:left w:val="nil"/>
              <w:bottom w:val="single" w:sz="4" w:space="0" w:color="auto"/>
              <w:right w:val="single" w:sz="4" w:space="0" w:color="auto"/>
            </w:tcBorders>
            <w:shd w:val="clear" w:color="auto" w:fill="auto"/>
            <w:noWrap/>
            <w:vAlign w:val="bottom"/>
            <w:hideMark/>
          </w:tcPr>
          <w:p w14:paraId="650AEF4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-261.800,00</w:t>
            </w:r>
          </w:p>
        </w:tc>
        <w:tc>
          <w:tcPr>
            <w:tcW w:w="1559" w:type="dxa"/>
            <w:tcBorders>
              <w:top w:val="nil"/>
              <w:left w:val="nil"/>
              <w:bottom w:val="single" w:sz="4" w:space="0" w:color="auto"/>
              <w:right w:val="single" w:sz="4" w:space="0" w:color="auto"/>
            </w:tcBorders>
            <w:shd w:val="clear" w:color="auto" w:fill="auto"/>
            <w:noWrap/>
            <w:vAlign w:val="bottom"/>
            <w:hideMark/>
          </w:tcPr>
          <w:p w14:paraId="6F8B7F1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-92,90</w:t>
            </w:r>
          </w:p>
        </w:tc>
        <w:tc>
          <w:tcPr>
            <w:tcW w:w="1803" w:type="dxa"/>
            <w:tcBorders>
              <w:top w:val="nil"/>
              <w:left w:val="nil"/>
              <w:bottom w:val="single" w:sz="4" w:space="0" w:color="auto"/>
              <w:right w:val="single" w:sz="4" w:space="0" w:color="auto"/>
            </w:tcBorders>
            <w:shd w:val="clear" w:color="auto" w:fill="auto"/>
            <w:noWrap/>
            <w:vAlign w:val="bottom"/>
            <w:hideMark/>
          </w:tcPr>
          <w:p w14:paraId="55987E6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20.000,00</w:t>
            </w:r>
          </w:p>
        </w:tc>
      </w:tr>
      <w:tr w:rsidR="00846ACC" w:rsidRPr="004974C0" w14:paraId="0B2D0BF0"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2D5013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xml:space="preserve">Kapitalni projekt K300029 Park </w:t>
            </w:r>
            <w:proofErr w:type="spellStart"/>
            <w:r w:rsidRPr="004974C0">
              <w:rPr>
                <w:rFonts w:ascii="Arial" w:hAnsi="Arial" w:cs="Arial"/>
                <w:b/>
                <w:bCs/>
                <w:color w:val="000000"/>
                <w:sz w:val="20"/>
                <w:szCs w:val="20"/>
              </w:rPr>
              <w:t>Pineta</w:t>
            </w:r>
            <w:proofErr w:type="spellEnd"/>
          </w:p>
        </w:tc>
        <w:tc>
          <w:tcPr>
            <w:tcW w:w="1984" w:type="dxa"/>
            <w:tcBorders>
              <w:top w:val="nil"/>
              <w:left w:val="nil"/>
              <w:bottom w:val="single" w:sz="4" w:space="0" w:color="auto"/>
              <w:right w:val="single" w:sz="4" w:space="0" w:color="auto"/>
            </w:tcBorders>
            <w:shd w:val="clear" w:color="000000" w:fill="CCCCFF"/>
            <w:noWrap/>
            <w:vAlign w:val="bottom"/>
            <w:hideMark/>
          </w:tcPr>
          <w:p w14:paraId="609BFF7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BA4F87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408.186,00</w:t>
            </w:r>
          </w:p>
        </w:tc>
        <w:tc>
          <w:tcPr>
            <w:tcW w:w="1843" w:type="dxa"/>
            <w:tcBorders>
              <w:top w:val="nil"/>
              <w:left w:val="nil"/>
              <w:bottom w:val="single" w:sz="4" w:space="0" w:color="auto"/>
              <w:right w:val="single" w:sz="4" w:space="0" w:color="auto"/>
            </w:tcBorders>
            <w:shd w:val="clear" w:color="000000" w:fill="CCCCFF"/>
            <w:noWrap/>
            <w:vAlign w:val="bottom"/>
            <w:hideMark/>
          </w:tcPr>
          <w:p w14:paraId="62DD8EF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-277.155,00</w:t>
            </w:r>
          </w:p>
        </w:tc>
        <w:tc>
          <w:tcPr>
            <w:tcW w:w="1559" w:type="dxa"/>
            <w:tcBorders>
              <w:top w:val="nil"/>
              <w:left w:val="nil"/>
              <w:bottom w:val="single" w:sz="4" w:space="0" w:color="auto"/>
              <w:right w:val="single" w:sz="4" w:space="0" w:color="auto"/>
            </w:tcBorders>
            <w:shd w:val="clear" w:color="000000" w:fill="CCCCFF"/>
            <w:noWrap/>
            <w:vAlign w:val="bottom"/>
            <w:hideMark/>
          </w:tcPr>
          <w:p w14:paraId="68C2F62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-67,90</w:t>
            </w:r>
          </w:p>
        </w:tc>
        <w:tc>
          <w:tcPr>
            <w:tcW w:w="1803" w:type="dxa"/>
            <w:tcBorders>
              <w:top w:val="nil"/>
              <w:left w:val="nil"/>
              <w:bottom w:val="single" w:sz="4" w:space="0" w:color="auto"/>
              <w:right w:val="single" w:sz="4" w:space="0" w:color="auto"/>
            </w:tcBorders>
            <w:shd w:val="clear" w:color="000000" w:fill="CCCCFF"/>
            <w:noWrap/>
            <w:vAlign w:val="bottom"/>
            <w:hideMark/>
          </w:tcPr>
          <w:p w14:paraId="1A6AB84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131.031,00</w:t>
            </w:r>
          </w:p>
        </w:tc>
      </w:tr>
      <w:tr w:rsidR="00846ACC" w:rsidRPr="004974C0" w14:paraId="1946F3D0"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A2F9ED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4.5. KOMUNALNI DOPRINOSI I DR. NAKNADE UTVRĐENE POSEBNIM ZAKONOM</w:t>
            </w:r>
          </w:p>
        </w:tc>
        <w:tc>
          <w:tcPr>
            <w:tcW w:w="1984" w:type="dxa"/>
            <w:tcBorders>
              <w:top w:val="nil"/>
              <w:left w:val="nil"/>
              <w:bottom w:val="single" w:sz="4" w:space="0" w:color="auto"/>
              <w:right w:val="single" w:sz="4" w:space="0" w:color="auto"/>
            </w:tcBorders>
            <w:shd w:val="clear" w:color="000000" w:fill="FFFF99"/>
            <w:noWrap/>
            <w:vAlign w:val="bottom"/>
            <w:hideMark/>
          </w:tcPr>
          <w:p w14:paraId="6FEEC30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5BDB51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12.250,00</w:t>
            </w:r>
          </w:p>
        </w:tc>
        <w:tc>
          <w:tcPr>
            <w:tcW w:w="1843" w:type="dxa"/>
            <w:tcBorders>
              <w:top w:val="nil"/>
              <w:left w:val="nil"/>
              <w:bottom w:val="single" w:sz="4" w:space="0" w:color="auto"/>
              <w:right w:val="single" w:sz="4" w:space="0" w:color="auto"/>
            </w:tcBorders>
            <w:shd w:val="clear" w:color="000000" w:fill="FFFF99"/>
            <w:noWrap/>
            <w:vAlign w:val="bottom"/>
            <w:hideMark/>
          </w:tcPr>
          <w:p w14:paraId="49D93EC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2E4AF33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0C61A6C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12.250,00</w:t>
            </w:r>
          </w:p>
        </w:tc>
      </w:tr>
      <w:tr w:rsidR="00846ACC" w:rsidRPr="004974C0" w14:paraId="20A8546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20420C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036AE85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3760D86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12.250,00</w:t>
            </w:r>
          </w:p>
        </w:tc>
        <w:tc>
          <w:tcPr>
            <w:tcW w:w="1843" w:type="dxa"/>
            <w:tcBorders>
              <w:top w:val="nil"/>
              <w:left w:val="nil"/>
              <w:bottom w:val="single" w:sz="4" w:space="0" w:color="auto"/>
              <w:right w:val="single" w:sz="4" w:space="0" w:color="auto"/>
            </w:tcBorders>
            <w:shd w:val="clear" w:color="auto" w:fill="auto"/>
            <w:noWrap/>
            <w:vAlign w:val="bottom"/>
            <w:hideMark/>
          </w:tcPr>
          <w:p w14:paraId="1959DB9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74A7F0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FF838C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12.250,00</w:t>
            </w:r>
          </w:p>
        </w:tc>
      </w:tr>
      <w:tr w:rsidR="00846ACC" w:rsidRPr="004974C0" w14:paraId="0812DFD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4BB19AE"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48D52ABC"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34D5585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12.250,00</w:t>
            </w:r>
          </w:p>
        </w:tc>
        <w:tc>
          <w:tcPr>
            <w:tcW w:w="1843" w:type="dxa"/>
            <w:tcBorders>
              <w:top w:val="nil"/>
              <w:left w:val="nil"/>
              <w:bottom w:val="single" w:sz="4" w:space="0" w:color="auto"/>
              <w:right w:val="single" w:sz="4" w:space="0" w:color="auto"/>
            </w:tcBorders>
            <w:shd w:val="clear" w:color="auto" w:fill="auto"/>
            <w:noWrap/>
            <w:vAlign w:val="bottom"/>
            <w:hideMark/>
          </w:tcPr>
          <w:p w14:paraId="77AA1C7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4125FB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FEFA82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12.250,00</w:t>
            </w:r>
          </w:p>
        </w:tc>
      </w:tr>
      <w:tr w:rsidR="00846ACC" w:rsidRPr="004974C0" w14:paraId="2FCC2BB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7224F1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5.2. POMOĆ IZ FONDA ZA ZAŠTITU OKOLIŠA</w:t>
            </w:r>
          </w:p>
        </w:tc>
        <w:tc>
          <w:tcPr>
            <w:tcW w:w="1984" w:type="dxa"/>
            <w:tcBorders>
              <w:top w:val="nil"/>
              <w:left w:val="nil"/>
              <w:bottom w:val="single" w:sz="4" w:space="0" w:color="auto"/>
              <w:right w:val="single" w:sz="4" w:space="0" w:color="auto"/>
            </w:tcBorders>
            <w:shd w:val="clear" w:color="000000" w:fill="FFFF99"/>
            <w:noWrap/>
            <w:vAlign w:val="bottom"/>
            <w:hideMark/>
          </w:tcPr>
          <w:p w14:paraId="5A40F53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90CA40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179.176,00</w:t>
            </w:r>
          </w:p>
        </w:tc>
        <w:tc>
          <w:tcPr>
            <w:tcW w:w="1843" w:type="dxa"/>
            <w:tcBorders>
              <w:top w:val="nil"/>
              <w:left w:val="nil"/>
              <w:bottom w:val="single" w:sz="4" w:space="0" w:color="auto"/>
              <w:right w:val="single" w:sz="4" w:space="0" w:color="auto"/>
            </w:tcBorders>
            <w:shd w:val="clear" w:color="000000" w:fill="FFFF99"/>
            <w:noWrap/>
            <w:vAlign w:val="bottom"/>
            <w:hideMark/>
          </w:tcPr>
          <w:p w14:paraId="44FDD1A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-125.423,00</w:t>
            </w:r>
          </w:p>
        </w:tc>
        <w:tc>
          <w:tcPr>
            <w:tcW w:w="1559" w:type="dxa"/>
            <w:tcBorders>
              <w:top w:val="nil"/>
              <w:left w:val="nil"/>
              <w:bottom w:val="single" w:sz="4" w:space="0" w:color="auto"/>
              <w:right w:val="single" w:sz="4" w:space="0" w:color="auto"/>
            </w:tcBorders>
            <w:shd w:val="clear" w:color="000000" w:fill="FFFF99"/>
            <w:noWrap/>
            <w:vAlign w:val="bottom"/>
            <w:hideMark/>
          </w:tcPr>
          <w:p w14:paraId="58619C9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w:t>
            </w:r>
          </w:p>
        </w:tc>
        <w:tc>
          <w:tcPr>
            <w:tcW w:w="1803" w:type="dxa"/>
            <w:tcBorders>
              <w:top w:val="nil"/>
              <w:left w:val="nil"/>
              <w:bottom w:val="single" w:sz="4" w:space="0" w:color="auto"/>
              <w:right w:val="single" w:sz="4" w:space="0" w:color="auto"/>
            </w:tcBorders>
            <w:shd w:val="clear" w:color="000000" w:fill="FFFF99"/>
            <w:noWrap/>
            <w:vAlign w:val="bottom"/>
            <w:hideMark/>
          </w:tcPr>
          <w:p w14:paraId="33C1E07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53.753,00</w:t>
            </w:r>
          </w:p>
        </w:tc>
      </w:tr>
      <w:tr w:rsidR="00846ACC" w:rsidRPr="004974C0" w14:paraId="673A2FA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6B6BF9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6BE0B3B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265C0FC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179.176,00</w:t>
            </w:r>
          </w:p>
        </w:tc>
        <w:tc>
          <w:tcPr>
            <w:tcW w:w="1843" w:type="dxa"/>
            <w:tcBorders>
              <w:top w:val="nil"/>
              <w:left w:val="nil"/>
              <w:bottom w:val="single" w:sz="4" w:space="0" w:color="auto"/>
              <w:right w:val="single" w:sz="4" w:space="0" w:color="auto"/>
            </w:tcBorders>
            <w:shd w:val="clear" w:color="auto" w:fill="auto"/>
            <w:noWrap/>
            <w:vAlign w:val="bottom"/>
            <w:hideMark/>
          </w:tcPr>
          <w:p w14:paraId="34D5650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-125.423,00</w:t>
            </w:r>
          </w:p>
        </w:tc>
        <w:tc>
          <w:tcPr>
            <w:tcW w:w="1559" w:type="dxa"/>
            <w:tcBorders>
              <w:top w:val="nil"/>
              <w:left w:val="nil"/>
              <w:bottom w:val="single" w:sz="4" w:space="0" w:color="auto"/>
              <w:right w:val="single" w:sz="4" w:space="0" w:color="auto"/>
            </w:tcBorders>
            <w:shd w:val="clear" w:color="auto" w:fill="auto"/>
            <w:noWrap/>
            <w:vAlign w:val="bottom"/>
            <w:hideMark/>
          </w:tcPr>
          <w:p w14:paraId="7990EE4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w:t>
            </w:r>
          </w:p>
        </w:tc>
        <w:tc>
          <w:tcPr>
            <w:tcW w:w="1803" w:type="dxa"/>
            <w:tcBorders>
              <w:top w:val="nil"/>
              <w:left w:val="nil"/>
              <w:bottom w:val="single" w:sz="4" w:space="0" w:color="auto"/>
              <w:right w:val="single" w:sz="4" w:space="0" w:color="auto"/>
            </w:tcBorders>
            <w:shd w:val="clear" w:color="auto" w:fill="auto"/>
            <w:noWrap/>
            <w:vAlign w:val="bottom"/>
            <w:hideMark/>
          </w:tcPr>
          <w:p w14:paraId="4811A02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53.753,00</w:t>
            </w:r>
          </w:p>
        </w:tc>
      </w:tr>
      <w:tr w:rsidR="00846ACC" w:rsidRPr="004974C0" w14:paraId="7F075F7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E4386BE" w14:textId="77777777" w:rsidR="004974C0" w:rsidRPr="004974C0" w:rsidRDefault="004974C0" w:rsidP="004974C0">
            <w:pPr>
              <w:rPr>
                <w:rFonts w:ascii="Arial" w:hAnsi="Arial" w:cs="Arial"/>
                <w:sz w:val="20"/>
                <w:szCs w:val="20"/>
              </w:rPr>
            </w:pPr>
            <w:r w:rsidRPr="004974C0">
              <w:rPr>
                <w:rFonts w:ascii="Arial" w:hAnsi="Arial" w:cs="Arial"/>
                <w:sz w:val="20"/>
                <w:szCs w:val="20"/>
              </w:rPr>
              <w:lastRenderedPageBreak/>
              <w:t>41</w:t>
            </w:r>
          </w:p>
        </w:tc>
        <w:tc>
          <w:tcPr>
            <w:tcW w:w="1984" w:type="dxa"/>
            <w:tcBorders>
              <w:top w:val="nil"/>
              <w:left w:val="nil"/>
              <w:bottom w:val="single" w:sz="4" w:space="0" w:color="auto"/>
              <w:right w:val="single" w:sz="4" w:space="0" w:color="auto"/>
            </w:tcBorders>
            <w:shd w:val="clear" w:color="auto" w:fill="auto"/>
            <w:noWrap/>
            <w:vAlign w:val="bottom"/>
            <w:hideMark/>
          </w:tcPr>
          <w:p w14:paraId="3F94F5C6" w14:textId="77777777" w:rsidR="004974C0" w:rsidRPr="004974C0" w:rsidRDefault="004974C0" w:rsidP="004974C0">
            <w:pPr>
              <w:rPr>
                <w:rFonts w:ascii="Arial" w:hAnsi="Arial" w:cs="Arial"/>
                <w:sz w:val="20"/>
                <w:szCs w:val="20"/>
              </w:rPr>
            </w:pPr>
            <w:r w:rsidRPr="004974C0">
              <w:rPr>
                <w:rFonts w:ascii="Arial" w:hAnsi="Arial" w:cs="Arial"/>
                <w:sz w:val="20"/>
                <w:szCs w:val="20"/>
              </w:rPr>
              <w:t xml:space="preserve">Rashodi za nabavu </w:t>
            </w:r>
            <w:proofErr w:type="spellStart"/>
            <w:r w:rsidRPr="004974C0">
              <w:rPr>
                <w:rFonts w:ascii="Arial" w:hAnsi="Arial" w:cs="Arial"/>
                <w:sz w:val="20"/>
                <w:szCs w:val="20"/>
              </w:rPr>
              <w:t>neproizvedene</w:t>
            </w:r>
            <w:proofErr w:type="spellEnd"/>
            <w:r w:rsidRPr="004974C0">
              <w:rPr>
                <w:rFonts w:ascii="Arial" w:hAnsi="Arial" w:cs="Arial"/>
                <w:sz w:val="20"/>
                <w:szCs w:val="20"/>
              </w:rPr>
              <w:t xml:space="preserv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50A5831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179.176,00</w:t>
            </w:r>
          </w:p>
        </w:tc>
        <w:tc>
          <w:tcPr>
            <w:tcW w:w="1843" w:type="dxa"/>
            <w:tcBorders>
              <w:top w:val="nil"/>
              <w:left w:val="nil"/>
              <w:bottom w:val="single" w:sz="4" w:space="0" w:color="auto"/>
              <w:right w:val="single" w:sz="4" w:space="0" w:color="auto"/>
            </w:tcBorders>
            <w:shd w:val="clear" w:color="auto" w:fill="auto"/>
            <w:noWrap/>
            <w:vAlign w:val="bottom"/>
            <w:hideMark/>
          </w:tcPr>
          <w:p w14:paraId="78A32B9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-125.423,00</w:t>
            </w:r>
          </w:p>
        </w:tc>
        <w:tc>
          <w:tcPr>
            <w:tcW w:w="1559" w:type="dxa"/>
            <w:tcBorders>
              <w:top w:val="nil"/>
              <w:left w:val="nil"/>
              <w:bottom w:val="single" w:sz="4" w:space="0" w:color="auto"/>
              <w:right w:val="single" w:sz="4" w:space="0" w:color="auto"/>
            </w:tcBorders>
            <w:shd w:val="clear" w:color="auto" w:fill="auto"/>
            <w:noWrap/>
            <w:vAlign w:val="bottom"/>
            <w:hideMark/>
          </w:tcPr>
          <w:p w14:paraId="26CB89E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w:t>
            </w:r>
          </w:p>
        </w:tc>
        <w:tc>
          <w:tcPr>
            <w:tcW w:w="1803" w:type="dxa"/>
            <w:tcBorders>
              <w:top w:val="nil"/>
              <w:left w:val="nil"/>
              <w:bottom w:val="single" w:sz="4" w:space="0" w:color="auto"/>
              <w:right w:val="single" w:sz="4" w:space="0" w:color="auto"/>
            </w:tcBorders>
            <w:shd w:val="clear" w:color="auto" w:fill="auto"/>
            <w:noWrap/>
            <w:vAlign w:val="bottom"/>
            <w:hideMark/>
          </w:tcPr>
          <w:p w14:paraId="69766B8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53.753,00</w:t>
            </w:r>
          </w:p>
        </w:tc>
      </w:tr>
      <w:tr w:rsidR="00846ACC" w:rsidRPr="004974C0" w14:paraId="4CF30F2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8E596F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7.1. 7.PRIHODI OD NEFINANCIJSKE IMOVINE</w:t>
            </w:r>
          </w:p>
        </w:tc>
        <w:tc>
          <w:tcPr>
            <w:tcW w:w="1984" w:type="dxa"/>
            <w:tcBorders>
              <w:top w:val="nil"/>
              <w:left w:val="nil"/>
              <w:bottom w:val="single" w:sz="4" w:space="0" w:color="auto"/>
              <w:right w:val="single" w:sz="4" w:space="0" w:color="auto"/>
            </w:tcBorders>
            <w:shd w:val="clear" w:color="000000" w:fill="FFFF99"/>
            <w:noWrap/>
            <w:vAlign w:val="bottom"/>
            <w:hideMark/>
          </w:tcPr>
          <w:p w14:paraId="7ADD79F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D9DCD3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216.760,00</w:t>
            </w:r>
          </w:p>
        </w:tc>
        <w:tc>
          <w:tcPr>
            <w:tcW w:w="1843" w:type="dxa"/>
            <w:tcBorders>
              <w:top w:val="nil"/>
              <w:left w:val="nil"/>
              <w:bottom w:val="single" w:sz="4" w:space="0" w:color="auto"/>
              <w:right w:val="single" w:sz="4" w:space="0" w:color="auto"/>
            </w:tcBorders>
            <w:shd w:val="clear" w:color="000000" w:fill="FFFF99"/>
            <w:noWrap/>
            <w:vAlign w:val="bottom"/>
            <w:hideMark/>
          </w:tcPr>
          <w:p w14:paraId="49D62C1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-151.732,00</w:t>
            </w:r>
          </w:p>
        </w:tc>
        <w:tc>
          <w:tcPr>
            <w:tcW w:w="1559" w:type="dxa"/>
            <w:tcBorders>
              <w:top w:val="nil"/>
              <w:left w:val="nil"/>
              <w:bottom w:val="single" w:sz="4" w:space="0" w:color="auto"/>
              <w:right w:val="single" w:sz="4" w:space="0" w:color="auto"/>
            </w:tcBorders>
            <w:shd w:val="clear" w:color="000000" w:fill="FFFF99"/>
            <w:noWrap/>
            <w:vAlign w:val="bottom"/>
            <w:hideMark/>
          </w:tcPr>
          <w:p w14:paraId="386747C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w:t>
            </w:r>
          </w:p>
        </w:tc>
        <w:tc>
          <w:tcPr>
            <w:tcW w:w="1803" w:type="dxa"/>
            <w:tcBorders>
              <w:top w:val="nil"/>
              <w:left w:val="nil"/>
              <w:bottom w:val="single" w:sz="4" w:space="0" w:color="auto"/>
              <w:right w:val="single" w:sz="4" w:space="0" w:color="auto"/>
            </w:tcBorders>
            <w:shd w:val="clear" w:color="000000" w:fill="FFFF99"/>
            <w:noWrap/>
            <w:vAlign w:val="bottom"/>
            <w:hideMark/>
          </w:tcPr>
          <w:p w14:paraId="6D395EB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65.028,00</w:t>
            </w:r>
          </w:p>
        </w:tc>
      </w:tr>
      <w:tr w:rsidR="00846ACC" w:rsidRPr="004974C0" w14:paraId="21850EE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39A583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7336FD2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1F9AFD2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216.760,00</w:t>
            </w:r>
          </w:p>
        </w:tc>
        <w:tc>
          <w:tcPr>
            <w:tcW w:w="1843" w:type="dxa"/>
            <w:tcBorders>
              <w:top w:val="nil"/>
              <w:left w:val="nil"/>
              <w:bottom w:val="single" w:sz="4" w:space="0" w:color="auto"/>
              <w:right w:val="single" w:sz="4" w:space="0" w:color="auto"/>
            </w:tcBorders>
            <w:shd w:val="clear" w:color="auto" w:fill="auto"/>
            <w:noWrap/>
            <w:vAlign w:val="bottom"/>
            <w:hideMark/>
          </w:tcPr>
          <w:p w14:paraId="17EF040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-151.732,00</w:t>
            </w:r>
          </w:p>
        </w:tc>
        <w:tc>
          <w:tcPr>
            <w:tcW w:w="1559" w:type="dxa"/>
            <w:tcBorders>
              <w:top w:val="nil"/>
              <w:left w:val="nil"/>
              <w:bottom w:val="single" w:sz="4" w:space="0" w:color="auto"/>
              <w:right w:val="single" w:sz="4" w:space="0" w:color="auto"/>
            </w:tcBorders>
            <w:shd w:val="clear" w:color="auto" w:fill="auto"/>
            <w:noWrap/>
            <w:vAlign w:val="bottom"/>
            <w:hideMark/>
          </w:tcPr>
          <w:p w14:paraId="477B781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w:t>
            </w:r>
          </w:p>
        </w:tc>
        <w:tc>
          <w:tcPr>
            <w:tcW w:w="1803" w:type="dxa"/>
            <w:tcBorders>
              <w:top w:val="nil"/>
              <w:left w:val="nil"/>
              <w:bottom w:val="single" w:sz="4" w:space="0" w:color="auto"/>
              <w:right w:val="single" w:sz="4" w:space="0" w:color="auto"/>
            </w:tcBorders>
            <w:shd w:val="clear" w:color="auto" w:fill="auto"/>
            <w:noWrap/>
            <w:vAlign w:val="bottom"/>
            <w:hideMark/>
          </w:tcPr>
          <w:p w14:paraId="66BAA62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65.028,00</w:t>
            </w:r>
          </w:p>
        </w:tc>
      </w:tr>
      <w:tr w:rsidR="00846ACC" w:rsidRPr="004974C0" w14:paraId="5109374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89A24AB" w14:textId="77777777" w:rsidR="004974C0" w:rsidRPr="004974C0" w:rsidRDefault="004974C0" w:rsidP="004974C0">
            <w:pPr>
              <w:rPr>
                <w:rFonts w:ascii="Arial" w:hAnsi="Arial" w:cs="Arial"/>
                <w:sz w:val="20"/>
                <w:szCs w:val="20"/>
              </w:rPr>
            </w:pPr>
            <w:r w:rsidRPr="004974C0">
              <w:rPr>
                <w:rFonts w:ascii="Arial" w:hAnsi="Arial" w:cs="Arial"/>
                <w:sz w:val="20"/>
                <w:szCs w:val="20"/>
              </w:rPr>
              <w:t>41</w:t>
            </w:r>
          </w:p>
        </w:tc>
        <w:tc>
          <w:tcPr>
            <w:tcW w:w="1984" w:type="dxa"/>
            <w:tcBorders>
              <w:top w:val="nil"/>
              <w:left w:val="nil"/>
              <w:bottom w:val="single" w:sz="4" w:space="0" w:color="auto"/>
              <w:right w:val="single" w:sz="4" w:space="0" w:color="auto"/>
            </w:tcBorders>
            <w:shd w:val="clear" w:color="auto" w:fill="auto"/>
            <w:noWrap/>
            <w:vAlign w:val="bottom"/>
            <w:hideMark/>
          </w:tcPr>
          <w:p w14:paraId="1C7D58B0" w14:textId="77777777" w:rsidR="004974C0" w:rsidRPr="004974C0" w:rsidRDefault="004974C0" w:rsidP="004974C0">
            <w:pPr>
              <w:rPr>
                <w:rFonts w:ascii="Arial" w:hAnsi="Arial" w:cs="Arial"/>
                <w:sz w:val="20"/>
                <w:szCs w:val="20"/>
              </w:rPr>
            </w:pPr>
            <w:r w:rsidRPr="004974C0">
              <w:rPr>
                <w:rFonts w:ascii="Arial" w:hAnsi="Arial" w:cs="Arial"/>
                <w:sz w:val="20"/>
                <w:szCs w:val="20"/>
              </w:rPr>
              <w:t xml:space="preserve">Rashodi za nabavu </w:t>
            </w:r>
            <w:proofErr w:type="spellStart"/>
            <w:r w:rsidRPr="004974C0">
              <w:rPr>
                <w:rFonts w:ascii="Arial" w:hAnsi="Arial" w:cs="Arial"/>
                <w:sz w:val="20"/>
                <w:szCs w:val="20"/>
              </w:rPr>
              <w:t>neproizvedene</w:t>
            </w:r>
            <w:proofErr w:type="spellEnd"/>
            <w:r w:rsidRPr="004974C0">
              <w:rPr>
                <w:rFonts w:ascii="Arial" w:hAnsi="Arial" w:cs="Arial"/>
                <w:sz w:val="20"/>
                <w:szCs w:val="20"/>
              </w:rPr>
              <w:t xml:space="preserv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0FC023F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216.760,00</w:t>
            </w:r>
          </w:p>
        </w:tc>
        <w:tc>
          <w:tcPr>
            <w:tcW w:w="1843" w:type="dxa"/>
            <w:tcBorders>
              <w:top w:val="nil"/>
              <w:left w:val="nil"/>
              <w:bottom w:val="single" w:sz="4" w:space="0" w:color="auto"/>
              <w:right w:val="single" w:sz="4" w:space="0" w:color="auto"/>
            </w:tcBorders>
            <w:shd w:val="clear" w:color="auto" w:fill="auto"/>
            <w:noWrap/>
            <w:vAlign w:val="bottom"/>
            <w:hideMark/>
          </w:tcPr>
          <w:p w14:paraId="593188C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-151.732,00</w:t>
            </w:r>
          </w:p>
        </w:tc>
        <w:tc>
          <w:tcPr>
            <w:tcW w:w="1559" w:type="dxa"/>
            <w:tcBorders>
              <w:top w:val="nil"/>
              <w:left w:val="nil"/>
              <w:bottom w:val="single" w:sz="4" w:space="0" w:color="auto"/>
              <w:right w:val="single" w:sz="4" w:space="0" w:color="auto"/>
            </w:tcBorders>
            <w:shd w:val="clear" w:color="auto" w:fill="auto"/>
            <w:noWrap/>
            <w:vAlign w:val="bottom"/>
            <w:hideMark/>
          </w:tcPr>
          <w:p w14:paraId="5C58713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w:t>
            </w:r>
          </w:p>
        </w:tc>
        <w:tc>
          <w:tcPr>
            <w:tcW w:w="1803" w:type="dxa"/>
            <w:tcBorders>
              <w:top w:val="nil"/>
              <w:left w:val="nil"/>
              <w:bottom w:val="single" w:sz="4" w:space="0" w:color="auto"/>
              <w:right w:val="single" w:sz="4" w:space="0" w:color="auto"/>
            </w:tcBorders>
            <w:shd w:val="clear" w:color="auto" w:fill="auto"/>
            <w:noWrap/>
            <w:vAlign w:val="bottom"/>
            <w:hideMark/>
          </w:tcPr>
          <w:p w14:paraId="47FD072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65.028,00</w:t>
            </w:r>
          </w:p>
        </w:tc>
      </w:tr>
      <w:tr w:rsidR="00846ACC" w:rsidRPr="004974C0" w14:paraId="2DF4E7D0"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699A177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Kapitalni projekt K300038 Spomenik rudaru borcu</w:t>
            </w:r>
          </w:p>
        </w:tc>
        <w:tc>
          <w:tcPr>
            <w:tcW w:w="1984" w:type="dxa"/>
            <w:tcBorders>
              <w:top w:val="nil"/>
              <w:left w:val="nil"/>
              <w:bottom w:val="single" w:sz="4" w:space="0" w:color="auto"/>
              <w:right w:val="single" w:sz="4" w:space="0" w:color="auto"/>
            </w:tcBorders>
            <w:shd w:val="clear" w:color="000000" w:fill="CCCCFF"/>
            <w:noWrap/>
            <w:vAlign w:val="bottom"/>
            <w:hideMark/>
          </w:tcPr>
          <w:p w14:paraId="5782784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434C61E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147.990,00</w:t>
            </w:r>
          </w:p>
        </w:tc>
        <w:tc>
          <w:tcPr>
            <w:tcW w:w="1843" w:type="dxa"/>
            <w:tcBorders>
              <w:top w:val="nil"/>
              <w:left w:val="nil"/>
              <w:bottom w:val="single" w:sz="4" w:space="0" w:color="auto"/>
              <w:right w:val="single" w:sz="4" w:space="0" w:color="auto"/>
            </w:tcBorders>
            <w:shd w:val="clear" w:color="000000" w:fill="CCCCFF"/>
            <w:noWrap/>
            <w:vAlign w:val="bottom"/>
            <w:hideMark/>
          </w:tcPr>
          <w:p w14:paraId="6453CFC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1.153,00</w:t>
            </w:r>
          </w:p>
        </w:tc>
        <w:tc>
          <w:tcPr>
            <w:tcW w:w="1559" w:type="dxa"/>
            <w:tcBorders>
              <w:top w:val="nil"/>
              <w:left w:val="nil"/>
              <w:bottom w:val="single" w:sz="4" w:space="0" w:color="auto"/>
              <w:right w:val="single" w:sz="4" w:space="0" w:color="auto"/>
            </w:tcBorders>
            <w:shd w:val="clear" w:color="000000" w:fill="CCCCFF"/>
            <w:noWrap/>
            <w:vAlign w:val="bottom"/>
            <w:hideMark/>
          </w:tcPr>
          <w:p w14:paraId="7E56D35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0,78</w:t>
            </w:r>
          </w:p>
        </w:tc>
        <w:tc>
          <w:tcPr>
            <w:tcW w:w="1803" w:type="dxa"/>
            <w:tcBorders>
              <w:top w:val="nil"/>
              <w:left w:val="nil"/>
              <w:bottom w:val="single" w:sz="4" w:space="0" w:color="auto"/>
              <w:right w:val="single" w:sz="4" w:space="0" w:color="auto"/>
            </w:tcBorders>
            <w:shd w:val="clear" w:color="000000" w:fill="CCCCFF"/>
            <w:noWrap/>
            <w:vAlign w:val="bottom"/>
            <w:hideMark/>
          </w:tcPr>
          <w:p w14:paraId="63F7A15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149.143,00</w:t>
            </w:r>
          </w:p>
        </w:tc>
      </w:tr>
      <w:tr w:rsidR="00846ACC" w:rsidRPr="004974C0" w14:paraId="423EBE90"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76DD74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4.5. KOMUNALNI DOPRINOSI I DR. NAKNADE UTVRĐENE POSEBNIM ZAKONOM</w:t>
            </w:r>
          </w:p>
        </w:tc>
        <w:tc>
          <w:tcPr>
            <w:tcW w:w="1984" w:type="dxa"/>
            <w:tcBorders>
              <w:top w:val="nil"/>
              <w:left w:val="nil"/>
              <w:bottom w:val="single" w:sz="4" w:space="0" w:color="auto"/>
              <w:right w:val="single" w:sz="4" w:space="0" w:color="auto"/>
            </w:tcBorders>
            <w:shd w:val="clear" w:color="000000" w:fill="FFFF99"/>
            <w:noWrap/>
            <w:vAlign w:val="bottom"/>
            <w:hideMark/>
          </w:tcPr>
          <w:p w14:paraId="3BE97C6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756C76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272B71B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1.153,00</w:t>
            </w:r>
          </w:p>
        </w:tc>
        <w:tc>
          <w:tcPr>
            <w:tcW w:w="1559" w:type="dxa"/>
            <w:tcBorders>
              <w:top w:val="nil"/>
              <w:left w:val="nil"/>
              <w:bottom w:val="single" w:sz="4" w:space="0" w:color="auto"/>
              <w:right w:val="single" w:sz="4" w:space="0" w:color="auto"/>
            </w:tcBorders>
            <w:shd w:val="clear" w:color="000000" w:fill="FFFF99"/>
            <w:noWrap/>
            <w:vAlign w:val="bottom"/>
            <w:hideMark/>
          </w:tcPr>
          <w:p w14:paraId="48B52F2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99"/>
            <w:noWrap/>
            <w:vAlign w:val="bottom"/>
            <w:hideMark/>
          </w:tcPr>
          <w:p w14:paraId="69DF9AB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1.153,00</w:t>
            </w:r>
          </w:p>
        </w:tc>
      </w:tr>
      <w:tr w:rsidR="00846ACC" w:rsidRPr="004974C0" w14:paraId="200351F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C21659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284426E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59964BB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5E3310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1.153,00</w:t>
            </w:r>
          </w:p>
        </w:tc>
        <w:tc>
          <w:tcPr>
            <w:tcW w:w="1559" w:type="dxa"/>
            <w:tcBorders>
              <w:top w:val="nil"/>
              <w:left w:val="nil"/>
              <w:bottom w:val="single" w:sz="4" w:space="0" w:color="auto"/>
              <w:right w:val="single" w:sz="4" w:space="0" w:color="auto"/>
            </w:tcBorders>
            <w:shd w:val="clear" w:color="auto" w:fill="auto"/>
            <w:noWrap/>
            <w:vAlign w:val="bottom"/>
            <w:hideMark/>
          </w:tcPr>
          <w:p w14:paraId="27DC9DF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55A46D5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1.153,00</w:t>
            </w:r>
          </w:p>
        </w:tc>
      </w:tr>
      <w:tr w:rsidR="00846ACC" w:rsidRPr="004974C0" w14:paraId="48EB713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A6C1C6A"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608AE460"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4B6816D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341C38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1.153,00</w:t>
            </w:r>
          </w:p>
        </w:tc>
        <w:tc>
          <w:tcPr>
            <w:tcW w:w="1559" w:type="dxa"/>
            <w:tcBorders>
              <w:top w:val="nil"/>
              <w:left w:val="nil"/>
              <w:bottom w:val="single" w:sz="4" w:space="0" w:color="auto"/>
              <w:right w:val="single" w:sz="4" w:space="0" w:color="auto"/>
            </w:tcBorders>
            <w:shd w:val="clear" w:color="auto" w:fill="auto"/>
            <w:noWrap/>
            <w:vAlign w:val="bottom"/>
            <w:hideMark/>
          </w:tcPr>
          <w:p w14:paraId="3CF7B29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058B37E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1.153,00</w:t>
            </w:r>
          </w:p>
        </w:tc>
      </w:tr>
      <w:tr w:rsidR="00846ACC" w:rsidRPr="004974C0" w14:paraId="7E4AD49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0B63AAA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5.0. POMOĆI IZ FONDOVA EU</w:t>
            </w:r>
          </w:p>
        </w:tc>
        <w:tc>
          <w:tcPr>
            <w:tcW w:w="1984" w:type="dxa"/>
            <w:tcBorders>
              <w:top w:val="nil"/>
              <w:left w:val="nil"/>
              <w:bottom w:val="single" w:sz="4" w:space="0" w:color="auto"/>
              <w:right w:val="single" w:sz="4" w:space="0" w:color="auto"/>
            </w:tcBorders>
            <w:shd w:val="clear" w:color="000000" w:fill="FFFF99"/>
            <w:noWrap/>
            <w:vAlign w:val="bottom"/>
            <w:hideMark/>
          </w:tcPr>
          <w:p w14:paraId="099636F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2C8407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147.990,00</w:t>
            </w:r>
          </w:p>
        </w:tc>
        <w:tc>
          <w:tcPr>
            <w:tcW w:w="1843" w:type="dxa"/>
            <w:tcBorders>
              <w:top w:val="nil"/>
              <w:left w:val="nil"/>
              <w:bottom w:val="single" w:sz="4" w:space="0" w:color="auto"/>
              <w:right w:val="single" w:sz="4" w:space="0" w:color="auto"/>
            </w:tcBorders>
            <w:shd w:val="clear" w:color="000000" w:fill="FFFF99"/>
            <w:noWrap/>
            <w:vAlign w:val="bottom"/>
            <w:hideMark/>
          </w:tcPr>
          <w:p w14:paraId="375E8DD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4174652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295A0A5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147.990,00</w:t>
            </w:r>
          </w:p>
        </w:tc>
      </w:tr>
      <w:tr w:rsidR="00846ACC" w:rsidRPr="004974C0" w14:paraId="1E39114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7CB694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71934F9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3B60480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147.990,00</w:t>
            </w:r>
          </w:p>
        </w:tc>
        <w:tc>
          <w:tcPr>
            <w:tcW w:w="1843" w:type="dxa"/>
            <w:tcBorders>
              <w:top w:val="nil"/>
              <w:left w:val="nil"/>
              <w:bottom w:val="single" w:sz="4" w:space="0" w:color="auto"/>
              <w:right w:val="single" w:sz="4" w:space="0" w:color="auto"/>
            </w:tcBorders>
            <w:shd w:val="clear" w:color="auto" w:fill="auto"/>
            <w:noWrap/>
            <w:vAlign w:val="bottom"/>
            <w:hideMark/>
          </w:tcPr>
          <w:p w14:paraId="77B883D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CA7CC7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C5CC68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147.990,00</w:t>
            </w:r>
          </w:p>
        </w:tc>
      </w:tr>
      <w:tr w:rsidR="00846ACC" w:rsidRPr="004974C0" w14:paraId="5B42D92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E5850F2"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6D261553"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690D00F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147.990,00</w:t>
            </w:r>
          </w:p>
        </w:tc>
        <w:tc>
          <w:tcPr>
            <w:tcW w:w="1843" w:type="dxa"/>
            <w:tcBorders>
              <w:top w:val="nil"/>
              <w:left w:val="nil"/>
              <w:bottom w:val="single" w:sz="4" w:space="0" w:color="auto"/>
              <w:right w:val="single" w:sz="4" w:space="0" w:color="auto"/>
            </w:tcBorders>
            <w:shd w:val="clear" w:color="auto" w:fill="auto"/>
            <w:noWrap/>
            <w:vAlign w:val="bottom"/>
            <w:hideMark/>
          </w:tcPr>
          <w:p w14:paraId="32EA1E0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A8FC64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8B60DF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147.990,00</w:t>
            </w:r>
          </w:p>
        </w:tc>
      </w:tr>
      <w:tr w:rsidR="00846ACC" w:rsidRPr="004974C0" w14:paraId="374D160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E929DB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Kapitalni projekt K300041 Ostali poslovi vezani za izgradnju komunalne infrastrukture</w:t>
            </w:r>
          </w:p>
        </w:tc>
        <w:tc>
          <w:tcPr>
            <w:tcW w:w="1984" w:type="dxa"/>
            <w:tcBorders>
              <w:top w:val="nil"/>
              <w:left w:val="nil"/>
              <w:bottom w:val="single" w:sz="4" w:space="0" w:color="auto"/>
              <w:right w:val="single" w:sz="4" w:space="0" w:color="auto"/>
            </w:tcBorders>
            <w:shd w:val="clear" w:color="000000" w:fill="CCCCFF"/>
            <w:noWrap/>
            <w:vAlign w:val="bottom"/>
            <w:hideMark/>
          </w:tcPr>
          <w:p w14:paraId="49BA484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0A74C0B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63.495,00</w:t>
            </w:r>
          </w:p>
        </w:tc>
        <w:tc>
          <w:tcPr>
            <w:tcW w:w="1843" w:type="dxa"/>
            <w:tcBorders>
              <w:top w:val="nil"/>
              <w:left w:val="nil"/>
              <w:bottom w:val="single" w:sz="4" w:space="0" w:color="auto"/>
              <w:right w:val="single" w:sz="4" w:space="0" w:color="auto"/>
            </w:tcBorders>
            <w:shd w:val="clear" w:color="000000" w:fill="CCCCFF"/>
            <w:noWrap/>
            <w:vAlign w:val="bottom"/>
            <w:hideMark/>
          </w:tcPr>
          <w:p w14:paraId="3C11E0E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1.035,00</w:t>
            </w:r>
          </w:p>
        </w:tc>
        <w:tc>
          <w:tcPr>
            <w:tcW w:w="1559" w:type="dxa"/>
            <w:tcBorders>
              <w:top w:val="nil"/>
              <w:left w:val="nil"/>
              <w:bottom w:val="single" w:sz="4" w:space="0" w:color="auto"/>
              <w:right w:val="single" w:sz="4" w:space="0" w:color="auto"/>
            </w:tcBorders>
            <w:shd w:val="clear" w:color="000000" w:fill="CCCCFF"/>
            <w:noWrap/>
            <w:vAlign w:val="bottom"/>
            <w:hideMark/>
          </w:tcPr>
          <w:p w14:paraId="14EEE9F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1,63</w:t>
            </w:r>
          </w:p>
        </w:tc>
        <w:tc>
          <w:tcPr>
            <w:tcW w:w="1803" w:type="dxa"/>
            <w:tcBorders>
              <w:top w:val="nil"/>
              <w:left w:val="nil"/>
              <w:bottom w:val="single" w:sz="4" w:space="0" w:color="auto"/>
              <w:right w:val="single" w:sz="4" w:space="0" w:color="auto"/>
            </w:tcBorders>
            <w:shd w:val="clear" w:color="000000" w:fill="CCCCFF"/>
            <w:noWrap/>
            <w:vAlign w:val="bottom"/>
            <w:hideMark/>
          </w:tcPr>
          <w:p w14:paraId="2C93A5D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64.530,00</w:t>
            </w:r>
          </w:p>
        </w:tc>
      </w:tr>
      <w:tr w:rsidR="00846ACC" w:rsidRPr="004974C0" w14:paraId="11A13A6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352A88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4.5. KOMUNALNI DOPRINOSI I DR. NAKNADE UTVRĐENE POSEBNIM ZAKONOM</w:t>
            </w:r>
          </w:p>
        </w:tc>
        <w:tc>
          <w:tcPr>
            <w:tcW w:w="1984" w:type="dxa"/>
            <w:tcBorders>
              <w:top w:val="nil"/>
              <w:left w:val="nil"/>
              <w:bottom w:val="single" w:sz="4" w:space="0" w:color="auto"/>
              <w:right w:val="single" w:sz="4" w:space="0" w:color="auto"/>
            </w:tcBorders>
            <w:shd w:val="clear" w:color="000000" w:fill="FFFF99"/>
            <w:noWrap/>
            <w:vAlign w:val="bottom"/>
            <w:hideMark/>
          </w:tcPr>
          <w:p w14:paraId="35179C9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5DFB92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63.495,00</w:t>
            </w:r>
          </w:p>
        </w:tc>
        <w:tc>
          <w:tcPr>
            <w:tcW w:w="1843" w:type="dxa"/>
            <w:tcBorders>
              <w:top w:val="nil"/>
              <w:left w:val="nil"/>
              <w:bottom w:val="single" w:sz="4" w:space="0" w:color="auto"/>
              <w:right w:val="single" w:sz="4" w:space="0" w:color="auto"/>
            </w:tcBorders>
            <w:shd w:val="clear" w:color="000000" w:fill="FFFF99"/>
            <w:noWrap/>
            <w:vAlign w:val="bottom"/>
            <w:hideMark/>
          </w:tcPr>
          <w:p w14:paraId="52CFEF8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1.035,00</w:t>
            </w:r>
          </w:p>
        </w:tc>
        <w:tc>
          <w:tcPr>
            <w:tcW w:w="1559" w:type="dxa"/>
            <w:tcBorders>
              <w:top w:val="nil"/>
              <w:left w:val="nil"/>
              <w:bottom w:val="single" w:sz="4" w:space="0" w:color="auto"/>
              <w:right w:val="single" w:sz="4" w:space="0" w:color="auto"/>
            </w:tcBorders>
            <w:shd w:val="clear" w:color="000000" w:fill="FFFF99"/>
            <w:noWrap/>
            <w:vAlign w:val="bottom"/>
            <w:hideMark/>
          </w:tcPr>
          <w:p w14:paraId="0E2400E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1,63</w:t>
            </w:r>
          </w:p>
        </w:tc>
        <w:tc>
          <w:tcPr>
            <w:tcW w:w="1803" w:type="dxa"/>
            <w:tcBorders>
              <w:top w:val="nil"/>
              <w:left w:val="nil"/>
              <w:bottom w:val="single" w:sz="4" w:space="0" w:color="auto"/>
              <w:right w:val="single" w:sz="4" w:space="0" w:color="auto"/>
            </w:tcBorders>
            <w:shd w:val="clear" w:color="000000" w:fill="FFFF99"/>
            <w:noWrap/>
            <w:vAlign w:val="bottom"/>
            <w:hideMark/>
          </w:tcPr>
          <w:p w14:paraId="1642897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64.530,00</w:t>
            </w:r>
          </w:p>
        </w:tc>
      </w:tr>
      <w:tr w:rsidR="00846ACC" w:rsidRPr="004974C0" w14:paraId="5A00405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14A71E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FFFDD9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5E4D8A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23.495,00</w:t>
            </w:r>
          </w:p>
        </w:tc>
        <w:tc>
          <w:tcPr>
            <w:tcW w:w="1843" w:type="dxa"/>
            <w:tcBorders>
              <w:top w:val="nil"/>
              <w:left w:val="nil"/>
              <w:bottom w:val="single" w:sz="4" w:space="0" w:color="auto"/>
              <w:right w:val="single" w:sz="4" w:space="0" w:color="auto"/>
            </w:tcBorders>
            <w:shd w:val="clear" w:color="auto" w:fill="auto"/>
            <w:noWrap/>
            <w:vAlign w:val="bottom"/>
            <w:hideMark/>
          </w:tcPr>
          <w:p w14:paraId="5759312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1.035,00</w:t>
            </w:r>
          </w:p>
        </w:tc>
        <w:tc>
          <w:tcPr>
            <w:tcW w:w="1559" w:type="dxa"/>
            <w:tcBorders>
              <w:top w:val="nil"/>
              <w:left w:val="nil"/>
              <w:bottom w:val="single" w:sz="4" w:space="0" w:color="auto"/>
              <w:right w:val="single" w:sz="4" w:space="0" w:color="auto"/>
            </w:tcBorders>
            <w:shd w:val="clear" w:color="auto" w:fill="auto"/>
            <w:noWrap/>
            <w:vAlign w:val="bottom"/>
            <w:hideMark/>
          </w:tcPr>
          <w:p w14:paraId="13BE6F0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4,41</w:t>
            </w:r>
          </w:p>
        </w:tc>
        <w:tc>
          <w:tcPr>
            <w:tcW w:w="1803" w:type="dxa"/>
            <w:tcBorders>
              <w:top w:val="nil"/>
              <w:left w:val="nil"/>
              <w:bottom w:val="single" w:sz="4" w:space="0" w:color="auto"/>
              <w:right w:val="single" w:sz="4" w:space="0" w:color="auto"/>
            </w:tcBorders>
            <w:shd w:val="clear" w:color="auto" w:fill="auto"/>
            <w:noWrap/>
            <w:vAlign w:val="bottom"/>
            <w:hideMark/>
          </w:tcPr>
          <w:p w14:paraId="0BB5D6D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24.530,00</w:t>
            </w:r>
          </w:p>
        </w:tc>
      </w:tr>
      <w:tr w:rsidR="00846ACC" w:rsidRPr="004974C0" w14:paraId="3B633F3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6B10699"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6056EFE0"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23D4B7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23.495,00</w:t>
            </w:r>
          </w:p>
        </w:tc>
        <w:tc>
          <w:tcPr>
            <w:tcW w:w="1843" w:type="dxa"/>
            <w:tcBorders>
              <w:top w:val="nil"/>
              <w:left w:val="nil"/>
              <w:bottom w:val="single" w:sz="4" w:space="0" w:color="auto"/>
              <w:right w:val="single" w:sz="4" w:space="0" w:color="auto"/>
            </w:tcBorders>
            <w:shd w:val="clear" w:color="auto" w:fill="auto"/>
            <w:noWrap/>
            <w:vAlign w:val="bottom"/>
            <w:hideMark/>
          </w:tcPr>
          <w:p w14:paraId="04855EC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1.035,00</w:t>
            </w:r>
          </w:p>
        </w:tc>
        <w:tc>
          <w:tcPr>
            <w:tcW w:w="1559" w:type="dxa"/>
            <w:tcBorders>
              <w:top w:val="nil"/>
              <w:left w:val="nil"/>
              <w:bottom w:val="single" w:sz="4" w:space="0" w:color="auto"/>
              <w:right w:val="single" w:sz="4" w:space="0" w:color="auto"/>
            </w:tcBorders>
            <w:shd w:val="clear" w:color="auto" w:fill="auto"/>
            <w:noWrap/>
            <w:vAlign w:val="bottom"/>
            <w:hideMark/>
          </w:tcPr>
          <w:p w14:paraId="0B9137B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4,41</w:t>
            </w:r>
          </w:p>
        </w:tc>
        <w:tc>
          <w:tcPr>
            <w:tcW w:w="1803" w:type="dxa"/>
            <w:tcBorders>
              <w:top w:val="nil"/>
              <w:left w:val="nil"/>
              <w:bottom w:val="single" w:sz="4" w:space="0" w:color="auto"/>
              <w:right w:val="single" w:sz="4" w:space="0" w:color="auto"/>
            </w:tcBorders>
            <w:shd w:val="clear" w:color="auto" w:fill="auto"/>
            <w:noWrap/>
            <w:vAlign w:val="bottom"/>
            <w:hideMark/>
          </w:tcPr>
          <w:p w14:paraId="5D12F58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24.530,00</w:t>
            </w:r>
          </w:p>
        </w:tc>
      </w:tr>
      <w:tr w:rsidR="00846ACC" w:rsidRPr="004974C0" w14:paraId="4F3D7EA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97D639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lastRenderedPageBreak/>
              <w:t>4</w:t>
            </w:r>
          </w:p>
        </w:tc>
        <w:tc>
          <w:tcPr>
            <w:tcW w:w="1984" w:type="dxa"/>
            <w:tcBorders>
              <w:top w:val="nil"/>
              <w:left w:val="nil"/>
              <w:bottom w:val="single" w:sz="4" w:space="0" w:color="auto"/>
              <w:right w:val="single" w:sz="4" w:space="0" w:color="auto"/>
            </w:tcBorders>
            <w:shd w:val="clear" w:color="auto" w:fill="auto"/>
            <w:noWrap/>
            <w:vAlign w:val="bottom"/>
            <w:hideMark/>
          </w:tcPr>
          <w:p w14:paraId="0A61A72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5F56C8E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40.000,00</w:t>
            </w:r>
          </w:p>
        </w:tc>
        <w:tc>
          <w:tcPr>
            <w:tcW w:w="1843" w:type="dxa"/>
            <w:tcBorders>
              <w:top w:val="nil"/>
              <w:left w:val="nil"/>
              <w:bottom w:val="single" w:sz="4" w:space="0" w:color="auto"/>
              <w:right w:val="single" w:sz="4" w:space="0" w:color="auto"/>
            </w:tcBorders>
            <w:shd w:val="clear" w:color="auto" w:fill="auto"/>
            <w:noWrap/>
            <w:vAlign w:val="bottom"/>
            <w:hideMark/>
          </w:tcPr>
          <w:p w14:paraId="1F662D2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DDFB00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96FC09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40.000,00</w:t>
            </w:r>
          </w:p>
        </w:tc>
      </w:tr>
      <w:tr w:rsidR="00846ACC" w:rsidRPr="004974C0" w14:paraId="1AD773D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531E136" w14:textId="77777777" w:rsidR="004974C0" w:rsidRPr="004974C0" w:rsidRDefault="004974C0" w:rsidP="004974C0">
            <w:pPr>
              <w:rPr>
                <w:rFonts w:ascii="Arial" w:hAnsi="Arial" w:cs="Arial"/>
                <w:sz w:val="20"/>
                <w:szCs w:val="20"/>
              </w:rPr>
            </w:pPr>
            <w:r w:rsidRPr="004974C0">
              <w:rPr>
                <w:rFonts w:ascii="Arial" w:hAnsi="Arial" w:cs="Arial"/>
                <w:sz w:val="20"/>
                <w:szCs w:val="20"/>
              </w:rPr>
              <w:t>41</w:t>
            </w:r>
          </w:p>
        </w:tc>
        <w:tc>
          <w:tcPr>
            <w:tcW w:w="1984" w:type="dxa"/>
            <w:tcBorders>
              <w:top w:val="nil"/>
              <w:left w:val="nil"/>
              <w:bottom w:val="single" w:sz="4" w:space="0" w:color="auto"/>
              <w:right w:val="single" w:sz="4" w:space="0" w:color="auto"/>
            </w:tcBorders>
            <w:shd w:val="clear" w:color="auto" w:fill="auto"/>
            <w:noWrap/>
            <w:vAlign w:val="bottom"/>
            <w:hideMark/>
          </w:tcPr>
          <w:p w14:paraId="65997BBA" w14:textId="77777777" w:rsidR="004974C0" w:rsidRPr="004974C0" w:rsidRDefault="004974C0" w:rsidP="004974C0">
            <w:pPr>
              <w:rPr>
                <w:rFonts w:ascii="Arial" w:hAnsi="Arial" w:cs="Arial"/>
                <w:sz w:val="20"/>
                <w:szCs w:val="20"/>
              </w:rPr>
            </w:pPr>
            <w:r w:rsidRPr="004974C0">
              <w:rPr>
                <w:rFonts w:ascii="Arial" w:hAnsi="Arial" w:cs="Arial"/>
                <w:sz w:val="20"/>
                <w:szCs w:val="20"/>
              </w:rPr>
              <w:t xml:space="preserve">Rashodi za nabavu </w:t>
            </w:r>
            <w:proofErr w:type="spellStart"/>
            <w:r w:rsidRPr="004974C0">
              <w:rPr>
                <w:rFonts w:ascii="Arial" w:hAnsi="Arial" w:cs="Arial"/>
                <w:sz w:val="20"/>
                <w:szCs w:val="20"/>
              </w:rPr>
              <w:t>neproizvedene</w:t>
            </w:r>
            <w:proofErr w:type="spellEnd"/>
            <w:r w:rsidRPr="004974C0">
              <w:rPr>
                <w:rFonts w:ascii="Arial" w:hAnsi="Arial" w:cs="Arial"/>
                <w:sz w:val="20"/>
                <w:szCs w:val="20"/>
              </w:rPr>
              <w:t xml:space="preserv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4C2C87B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40.000,00</w:t>
            </w:r>
          </w:p>
        </w:tc>
        <w:tc>
          <w:tcPr>
            <w:tcW w:w="1843" w:type="dxa"/>
            <w:tcBorders>
              <w:top w:val="nil"/>
              <w:left w:val="nil"/>
              <w:bottom w:val="single" w:sz="4" w:space="0" w:color="auto"/>
              <w:right w:val="single" w:sz="4" w:space="0" w:color="auto"/>
            </w:tcBorders>
            <w:shd w:val="clear" w:color="auto" w:fill="auto"/>
            <w:noWrap/>
            <w:vAlign w:val="bottom"/>
            <w:hideMark/>
          </w:tcPr>
          <w:p w14:paraId="635FDFC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017F29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1C3426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40.000,00</w:t>
            </w:r>
          </w:p>
        </w:tc>
      </w:tr>
      <w:tr w:rsidR="00846ACC" w:rsidRPr="004974C0" w14:paraId="2E07C5F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5682B8D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Kapitalni projekt K300044 Opremanje zone urbanih vila na lokaciji uz Istarsku ulicu</w:t>
            </w:r>
          </w:p>
        </w:tc>
        <w:tc>
          <w:tcPr>
            <w:tcW w:w="1984" w:type="dxa"/>
            <w:tcBorders>
              <w:top w:val="nil"/>
              <w:left w:val="nil"/>
              <w:bottom w:val="single" w:sz="4" w:space="0" w:color="auto"/>
              <w:right w:val="single" w:sz="4" w:space="0" w:color="auto"/>
            </w:tcBorders>
            <w:shd w:val="clear" w:color="000000" w:fill="CCCCFF"/>
            <w:noWrap/>
            <w:vAlign w:val="bottom"/>
            <w:hideMark/>
          </w:tcPr>
          <w:p w14:paraId="6FFA1ED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97E1F4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90.700,00</w:t>
            </w:r>
          </w:p>
        </w:tc>
        <w:tc>
          <w:tcPr>
            <w:tcW w:w="1843" w:type="dxa"/>
            <w:tcBorders>
              <w:top w:val="nil"/>
              <w:left w:val="nil"/>
              <w:bottom w:val="single" w:sz="4" w:space="0" w:color="auto"/>
              <w:right w:val="single" w:sz="4" w:space="0" w:color="auto"/>
            </w:tcBorders>
            <w:shd w:val="clear" w:color="000000" w:fill="CCCCFF"/>
            <w:noWrap/>
            <w:vAlign w:val="bottom"/>
            <w:hideMark/>
          </w:tcPr>
          <w:p w14:paraId="2682ECB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07BF0C7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474E9DC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90.700,00</w:t>
            </w:r>
          </w:p>
        </w:tc>
      </w:tr>
      <w:tr w:rsidR="00846ACC" w:rsidRPr="004974C0" w14:paraId="0A8031A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B436DE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4.5. KOMUNALNI DOPRINOSI I DR. NAKNADE UTVRĐENE POSEBNIM ZAKONOM</w:t>
            </w:r>
          </w:p>
        </w:tc>
        <w:tc>
          <w:tcPr>
            <w:tcW w:w="1984" w:type="dxa"/>
            <w:tcBorders>
              <w:top w:val="nil"/>
              <w:left w:val="nil"/>
              <w:bottom w:val="single" w:sz="4" w:space="0" w:color="auto"/>
              <w:right w:val="single" w:sz="4" w:space="0" w:color="auto"/>
            </w:tcBorders>
            <w:shd w:val="clear" w:color="000000" w:fill="FFFF99"/>
            <w:noWrap/>
            <w:vAlign w:val="bottom"/>
            <w:hideMark/>
          </w:tcPr>
          <w:p w14:paraId="64DCEFF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AEED30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90.700,00</w:t>
            </w:r>
          </w:p>
        </w:tc>
        <w:tc>
          <w:tcPr>
            <w:tcW w:w="1843" w:type="dxa"/>
            <w:tcBorders>
              <w:top w:val="nil"/>
              <w:left w:val="nil"/>
              <w:bottom w:val="single" w:sz="4" w:space="0" w:color="auto"/>
              <w:right w:val="single" w:sz="4" w:space="0" w:color="auto"/>
            </w:tcBorders>
            <w:shd w:val="clear" w:color="000000" w:fill="FFFF99"/>
            <w:noWrap/>
            <w:vAlign w:val="bottom"/>
            <w:hideMark/>
          </w:tcPr>
          <w:p w14:paraId="0722E73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610D3F3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43EDBB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90.700,00</w:t>
            </w:r>
          </w:p>
        </w:tc>
      </w:tr>
      <w:tr w:rsidR="00846ACC" w:rsidRPr="004974C0" w14:paraId="365203C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2FCDD2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69BC2D8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732C701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90.700,00</w:t>
            </w:r>
          </w:p>
        </w:tc>
        <w:tc>
          <w:tcPr>
            <w:tcW w:w="1843" w:type="dxa"/>
            <w:tcBorders>
              <w:top w:val="nil"/>
              <w:left w:val="nil"/>
              <w:bottom w:val="single" w:sz="4" w:space="0" w:color="auto"/>
              <w:right w:val="single" w:sz="4" w:space="0" w:color="auto"/>
            </w:tcBorders>
            <w:shd w:val="clear" w:color="auto" w:fill="auto"/>
            <w:noWrap/>
            <w:vAlign w:val="bottom"/>
            <w:hideMark/>
          </w:tcPr>
          <w:p w14:paraId="0AD4CB1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081108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2648BC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90.700,00</w:t>
            </w:r>
          </w:p>
        </w:tc>
      </w:tr>
      <w:tr w:rsidR="00846ACC" w:rsidRPr="004974C0" w14:paraId="28B1765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36746D4"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2C14F794"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3B6AA3F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90.700,00</w:t>
            </w:r>
          </w:p>
        </w:tc>
        <w:tc>
          <w:tcPr>
            <w:tcW w:w="1843" w:type="dxa"/>
            <w:tcBorders>
              <w:top w:val="nil"/>
              <w:left w:val="nil"/>
              <w:bottom w:val="single" w:sz="4" w:space="0" w:color="auto"/>
              <w:right w:val="single" w:sz="4" w:space="0" w:color="auto"/>
            </w:tcBorders>
            <w:shd w:val="clear" w:color="auto" w:fill="auto"/>
            <w:noWrap/>
            <w:vAlign w:val="bottom"/>
            <w:hideMark/>
          </w:tcPr>
          <w:p w14:paraId="0520DAE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8799A4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C20FDB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90.700,00</w:t>
            </w:r>
          </w:p>
        </w:tc>
      </w:tr>
      <w:tr w:rsidR="00846ACC" w:rsidRPr="004974C0" w14:paraId="09F999F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3B150DC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xml:space="preserve">Kapitalni projekt K300045 Nerazvrstana cesta u Rapcu (k.č.1779/4, </w:t>
            </w:r>
            <w:proofErr w:type="spellStart"/>
            <w:r w:rsidRPr="004974C0">
              <w:rPr>
                <w:rFonts w:ascii="Arial" w:hAnsi="Arial" w:cs="Arial"/>
                <w:b/>
                <w:bCs/>
                <w:color w:val="000000"/>
                <w:sz w:val="20"/>
                <w:szCs w:val="20"/>
              </w:rPr>
              <w:t>k.č</w:t>
            </w:r>
            <w:proofErr w:type="spellEnd"/>
            <w:r w:rsidRPr="004974C0">
              <w:rPr>
                <w:rFonts w:ascii="Arial" w:hAnsi="Arial" w:cs="Arial"/>
                <w:b/>
                <w:bCs/>
                <w:color w:val="000000"/>
                <w:sz w:val="20"/>
                <w:szCs w:val="20"/>
              </w:rPr>
              <w:t xml:space="preserve">. 1770/5 i </w:t>
            </w:r>
            <w:proofErr w:type="spellStart"/>
            <w:r w:rsidRPr="004974C0">
              <w:rPr>
                <w:rFonts w:ascii="Arial" w:hAnsi="Arial" w:cs="Arial"/>
                <w:b/>
                <w:bCs/>
                <w:color w:val="000000"/>
                <w:sz w:val="20"/>
                <w:szCs w:val="20"/>
              </w:rPr>
              <w:t>k.č</w:t>
            </w:r>
            <w:proofErr w:type="spellEnd"/>
            <w:r w:rsidRPr="004974C0">
              <w:rPr>
                <w:rFonts w:ascii="Arial" w:hAnsi="Arial" w:cs="Arial"/>
                <w:b/>
                <w:bCs/>
                <w:color w:val="000000"/>
                <w:sz w:val="20"/>
                <w:szCs w:val="20"/>
              </w:rPr>
              <w:t xml:space="preserve">. 1778/6 sve k.o. </w:t>
            </w:r>
            <w:proofErr w:type="spellStart"/>
            <w:r w:rsidRPr="004974C0">
              <w:rPr>
                <w:rFonts w:ascii="Arial" w:hAnsi="Arial" w:cs="Arial"/>
                <w:b/>
                <w:bCs/>
                <w:color w:val="000000"/>
                <w:sz w:val="20"/>
                <w:szCs w:val="20"/>
              </w:rPr>
              <w:t>Ripenda</w:t>
            </w:r>
            <w:proofErr w:type="spellEnd"/>
            <w:r w:rsidRPr="004974C0">
              <w:rPr>
                <w:rFonts w:ascii="Arial" w:hAnsi="Arial" w:cs="Arial"/>
                <w:b/>
                <w:bCs/>
                <w:color w:val="000000"/>
                <w:sz w:val="20"/>
                <w:szCs w:val="20"/>
              </w:rPr>
              <w:t>) - spoj na NC 16</w:t>
            </w:r>
          </w:p>
        </w:tc>
        <w:tc>
          <w:tcPr>
            <w:tcW w:w="1984" w:type="dxa"/>
            <w:tcBorders>
              <w:top w:val="nil"/>
              <w:left w:val="nil"/>
              <w:bottom w:val="single" w:sz="4" w:space="0" w:color="auto"/>
              <w:right w:val="single" w:sz="4" w:space="0" w:color="auto"/>
            </w:tcBorders>
            <w:shd w:val="clear" w:color="000000" w:fill="CCCCFF"/>
            <w:noWrap/>
            <w:vAlign w:val="bottom"/>
            <w:hideMark/>
          </w:tcPr>
          <w:p w14:paraId="31BDFA3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034B39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63.570,00</w:t>
            </w:r>
          </w:p>
        </w:tc>
        <w:tc>
          <w:tcPr>
            <w:tcW w:w="1843" w:type="dxa"/>
            <w:tcBorders>
              <w:top w:val="nil"/>
              <w:left w:val="nil"/>
              <w:bottom w:val="single" w:sz="4" w:space="0" w:color="auto"/>
              <w:right w:val="single" w:sz="4" w:space="0" w:color="auto"/>
            </w:tcBorders>
            <w:shd w:val="clear" w:color="000000" w:fill="CCCCFF"/>
            <w:noWrap/>
            <w:vAlign w:val="bottom"/>
            <w:hideMark/>
          </w:tcPr>
          <w:p w14:paraId="60D9CC9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1E8AB3E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4A2509E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63.570,00</w:t>
            </w:r>
          </w:p>
        </w:tc>
      </w:tr>
      <w:tr w:rsidR="00846ACC" w:rsidRPr="004974C0" w14:paraId="23431B0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7956C2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6.2. 6. KAPITALNE DONACIJE</w:t>
            </w:r>
          </w:p>
        </w:tc>
        <w:tc>
          <w:tcPr>
            <w:tcW w:w="1984" w:type="dxa"/>
            <w:tcBorders>
              <w:top w:val="nil"/>
              <w:left w:val="nil"/>
              <w:bottom w:val="single" w:sz="4" w:space="0" w:color="auto"/>
              <w:right w:val="single" w:sz="4" w:space="0" w:color="auto"/>
            </w:tcBorders>
            <w:shd w:val="clear" w:color="000000" w:fill="FFFF99"/>
            <w:noWrap/>
            <w:vAlign w:val="bottom"/>
            <w:hideMark/>
          </w:tcPr>
          <w:p w14:paraId="4A630DE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51A1D4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63.570,00</w:t>
            </w:r>
          </w:p>
        </w:tc>
        <w:tc>
          <w:tcPr>
            <w:tcW w:w="1843" w:type="dxa"/>
            <w:tcBorders>
              <w:top w:val="nil"/>
              <w:left w:val="nil"/>
              <w:bottom w:val="single" w:sz="4" w:space="0" w:color="auto"/>
              <w:right w:val="single" w:sz="4" w:space="0" w:color="auto"/>
            </w:tcBorders>
            <w:shd w:val="clear" w:color="000000" w:fill="FFFF99"/>
            <w:noWrap/>
            <w:vAlign w:val="bottom"/>
            <w:hideMark/>
          </w:tcPr>
          <w:p w14:paraId="65E31BD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54B0E80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21C1CF8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63.570,00</w:t>
            </w:r>
          </w:p>
        </w:tc>
      </w:tr>
      <w:tr w:rsidR="00846ACC" w:rsidRPr="004974C0" w14:paraId="02F6340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06FA83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369612D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365C898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63.570,00</w:t>
            </w:r>
          </w:p>
        </w:tc>
        <w:tc>
          <w:tcPr>
            <w:tcW w:w="1843" w:type="dxa"/>
            <w:tcBorders>
              <w:top w:val="nil"/>
              <w:left w:val="nil"/>
              <w:bottom w:val="single" w:sz="4" w:space="0" w:color="auto"/>
              <w:right w:val="single" w:sz="4" w:space="0" w:color="auto"/>
            </w:tcBorders>
            <w:shd w:val="clear" w:color="auto" w:fill="auto"/>
            <w:noWrap/>
            <w:vAlign w:val="bottom"/>
            <w:hideMark/>
          </w:tcPr>
          <w:p w14:paraId="1715FE2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1C4EC4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AA910C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63.570,00</w:t>
            </w:r>
          </w:p>
        </w:tc>
      </w:tr>
      <w:tr w:rsidR="00846ACC" w:rsidRPr="004974C0" w14:paraId="5787C1C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A35F8A9"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43912D42"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338220D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63.570,00</w:t>
            </w:r>
          </w:p>
        </w:tc>
        <w:tc>
          <w:tcPr>
            <w:tcW w:w="1843" w:type="dxa"/>
            <w:tcBorders>
              <w:top w:val="nil"/>
              <w:left w:val="nil"/>
              <w:bottom w:val="single" w:sz="4" w:space="0" w:color="auto"/>
              <w:right w:val="single" w:sz="4" w:space="0" w:color="auto"/>
            </w:tcBorders>
            <w:shd w:val="clear" w:color="auto" w:fill="auto"/>
            <w:noWrap/>
            <w:vAlign w:val="bottom"/>
            <w:hideMark/>
          </w:tcPr>
          <w:p w14:paraId="2233504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59B315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DBFF0D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63.570,00</w:t>
            </w:r>
          </w:p>
        </w:tc>
      </w:tr>
      <w:tr w:rsidR="00846ACC" w:rsidRPr="004974C0" w14:paraId="36D8A32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E2195F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xml:space="preserve">Kapitalni projekt K300051 Omladinska </w:t>
            </w:r>
            <w:proofErr w:type="spellStart"/>
            <w:r w:rsidRPr="004974C0">
              <w:rPr>
                <w:rFonts w:ascii="Arial" w:hAnsi="Arial" w:cs="Arial"/>
                <w:b/>
                <w:bCs/>
                <w:color w:val="000000"/>
                <w:sz w:val="20"/>
                <w:szCs w:val="20"/>
              </w:rPr>
              <w:t>uica</w:t>
            </w:r>
            <w:proofErr w:type="spellEnd"/>
            <w:r w:rsidRPr="004974C0">
              <w:rPr>
                <w:rFonts w:ascii="Arial" w:hAnsi="Arial" w:cs="Arial"/>
                <w:b/>
                <w:bCs/>
                <w:color w:val="000000"/>
                <w:sz w:val="20"/>
                <w:szCs w:val="20"/>
              </w:rPr>
              <w:t xml:space="preserve"> Rabac - rekonstrukcija raskrižja</w:t>
            </w:r>
          </w:p>
        </w:tc>
        <w:tc>
          <w:tcPr>
            <w:tcW w:w="1984" w:type="dxa"/>
            <w:tcBorders>
              <w:top w:val="nil"/>
              <w:left w:val="nil"/>
              <w:bottom w:val="single" w:sz="4" w:space="0" w:color="auto"/>
              <w:right w:val="single" w:sz="4" w:space="0" w:color="auto"/>
            </w:tcBorders>
            <w:shd w:val="clear" w:color="000000" w:fill="CCCCFF"/>
            <w:noWrap/>
            <w:vAlign w:val="bottom"/>
            <w:hideMark/>
          </w:tcPr>
          <w:p w14:paraId="3982A75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45B0F3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205.215,00</w:t>
            </w:r>
          </w:p>
        </w:tc>
        <w:tc>
          <w:tcPr>
            <w:tcW w:w="1843" w:type="dxa"/>
            <w:tcBorders>
              <w:top w:val="nil"/>
              <w:left w:val="nil"/>
              <w:bottom w:val="single" w:sz="4" w:space="0" w:color="auto"/>
              <w:right w:val="single" w:sz="4" w:space="0" w:color="auto"/>
            </w:tcBorders>
            <w:shd w:val="clear" w:color="000000" w:fill="CCCCFF"/>
            <w:noWrap/>
            <w:vAlign w:val="bottom"/>
            <w:hideMark/>
          </w:tcPr>
          <w:p w14:paraId="1464BEC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77F7986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709FA06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205.215,00</w:t>
            </w:r>
          </w:p>
        </w:tc>
      </w:tr>
      <w:tr w:rsidR="00846ACC" w:rsidRPr="004974C0" w14:paraId="616FF54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FF7B0A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4.5. KOMUNALNI DOPRINOSI I DR. NAKNADE UTVRĐENE POSEBNIM ZAKONOM</w:t>
            </w:r>
          </w:p>
        </w:tc>
        <w:tc>
          <w:tcPr>
            <w:tcW w:w="1984" w:type="dxa"/>
            <w:tcBorders>
              <w:top w:val="nil"/>
              <w:left w:val="nil"/>
              <w:bottom w:val="single" w:sz="4" w:space="0" w:color="auto"/>
              <w:right w:val="single" w:sz="4" w:space="0" w:color="auto"/>
            </w:tcBorders>
            <w:shd w:val="clear" w:color="000000" w:fill="FFFF99"/>
            <w:noWrap/>
            <w:vAlign w:val="bottom"/>
            <w:hideMark/>
          </w:tcPr>
          <w:p w14:paraId="4C4124A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A27EBA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205.215,00</w:t>
            </w:r>
          </w:p>
        </w:tc>
        <w:tc>
          <w:tcPr>
            <w:tcW w:w="1843" w:type="dxa"/>
            <w:tcBorders>
              <w:top w:val="nil"/>
              <w:left w:val="nil"/>
              <w:bottom w:val="single" w:sz="4" w:space="0" w:color="auto"/>
              <w:right w:val="single" w:sz="4" w:space="0" w:color="auto"/>
            </w:tcBorders>
            <w:shd w:val="clear" w:color="000000" w:fill="FFFF99"/>
            <w:noWrap/>
            <w:vAlign w:val="bottom"/>
            <w:hideMark/>
          </w:tcPr>
          <w:p w14:paraId="6888C02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6140B1D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09F39A3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205.215,00</w:t>
            </w:r>
          </w:p>
        </w:tc>
      </w:tr>
      <w:tr w:rsidR="00846ACC" w:rsidRPr="004974C0" w14:paraId="260014D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F21F26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745CF6B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2D71A52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205.215,00</w:t>
            </w:r>
          </w:p>
        </w:tc>
        <w:tc>
          <w:tcPr>
            <w:tcW w:w="1843" w:type="dxa"/>
            <w:tcBorders>
              <w:top w:val="nil"/>
              <w:left w:val="nil"/>
              <w:bottom w:val="single" w:sz="4" w:space="0" w:color="auto"/>
              <w:right w:val="single" w:sz="4" w:space="0" w:color="auto"/>
            </w:tcBorders>
            <w:shd w:val="clear" w:color="auto" w:fill="auto"/>
            <w:noWrap/>
            <w:vAlign w:val="bottom"/>
            <w:hideMark/>
          </w:tcPr>
          <w:p w14:paraId="7BD94E2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A9967C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A2FC75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205.215,00</w:t>
            </w:r>
          </w:p>
        </w:tc>
      </w:tr>
      <w:tr w:rsidR="00846ACC" w:rsidRPr="004974C0" w14:paraId="4F7E454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C2CAF68" w14:textId="77777777" w:rsidR="004974C0" w:rsidRPr="004974C0" w:rsidRDefault="004974C0" w:rsidP="004974C0">
            <w:pPr>
              <w:rPr>
                <w:rFonts w:ascii="Arial" w:hAnsi="Arial" w:cs="Arial"/>
                <w:sz w:val="20"/>
                <w:szCs w:val="20"/>
              </w:rPr>
            </w:pPr>
            <w:r w:rsidRPr="004974C0">
              <w:rPr>
                <w:rFonts w:ascii="Arial" w:hAnsi="Arial" w:cs="Arial"/>
                <w:sz w:val="20"/>
                <w:szCs w:val="20"/>
              </w:rPr>
              <w:lastRenderedPageBreak/>
              <w:t>42</w:t>
            </w:r>
          </w:p>
        </w:tc>
        <w:tc>
          <w:tcPr>
            <w:tcW w:w="1984" w:type="dxa"/>
            <w:tcBorders>
              <w:top w:val="nil"/>
              <w:left w:val="nil"/>
              <w:bottom w:val="single" w:sz="4" w:space="0" w:color="auto"/>
              <w:right w:val="single" w:sz="4" w:space="0" w:color="auto"/>
            </w:tcBorders>
            <w:shd w:val="clear" w:color="auto" w:fill="auto"/>
            <w:noWrap/>
            <w:vAlign w:val="bottom"/>
            <w:hideMark/>
          </w:tcPr>
          <w:p w14:paraId="09521C2D"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2E0F935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205.215,00</w:t>
            </w:r>
          </w:p>
        </w:tc>
        <w:tc>
          <w:tcPr>
            <w:tcW w:w="1843" w:type="dxa"/>
            <w:tcBorders>
              <w:top w:val="nil"/>
              <w:left w:val="nil"/>
              <w:bottom w:val="single" w:sz="4" w:space="0" w:color="auto"/>
              <w:right w:val="single" w:sz="4" w:space="0" w:color="auto"/>
            </w:tcBorders>
            <w:shd w:val="clear" w:color="auto" w:fill="auto"/>
            <w:noWrap/>
            <w:vAlign w:val="bottom"/>
            <w:hideMark/>
          </w:tcPr>
          <w:p w14:paraId="26940B6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88755D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AF54C5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205.215,00</w:t>
            </w:r>
          </w:p>
        </w:tc>
      </w:tr>
      <w:tr w:rsidR="00846ACC" w:rsidRPr="004974C0" w14:paraId="5C20A38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3A356E7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Kapitalni projekt K300055 Uređenje priobalnog dijela Centralne zone naselja Rabac</w:t>
            </w:r>
          </w:p>
        </w:tc>
        <w:tc>
          <w:tcPr>
            <w:tcW w:w="1984" w:type="dxa"/>
            <w:tcBorders>
              <w:top w:val="nil"/>
              <w:left w:val="nil"/>
              <w:bottom w:val="single" w:sz="4" w:space="0" w:color="auto"/>
              <w:right w:val="single" w:sz="4" w:space="0" w:color="auto"/>
            </w:tcBorders>
            <w:shd w:val="clear" w:color="000000" w:fill="CCCCFF"/>
            <w:noWrap/>
            <w:vAlign w:val="bottom"/>
            <w:hideMark/>
          </w:tcPr>
          <w:p w14:paraId="2EDACC3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1AD9AB7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77.164,00</w:t>
            </w:r>
          </w:p>
        </w:tc>
        <w:tc>
          <w:tcPr>
            <w:tcW w:w="1843" w:type="dxa"/>
            <w:tcBorders>
              <w:top w:val="nil"/>
              <w:left w:val="nil"/>
              <w:bottom w:val="single" w:sz="4" w:space="0" w:color="auto"/>
              <w:right w:val="single" w:sz="4" w:space="0" w:color="auto"/>
            </w:tcBorders>
            <w:shd w:val="clear" w:color="000000" w:fill="CCCCFF"/>
            <w:noWrap/>
            <w:vAlign w:val="bottom"/>
            <w:hideMark/>
          </w:tcPr>
          <w:p w14:paraId="2B94626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-50.000,00</w:t>
            </w:r>
          </w:p>
        </w:tc>
        <w:tc>
          <w:tcPr>
            <w:tcW w:w="1559" w:type="dxa"/>
            <w:tcBorders>
              <w:top w:val="nil"/>
              <w:left w:val="nil"/>
              <w:bottom w:val="single" w:sz="4" w:space="0" w:color="auto"/>
              <w:right w:val="single" w:sz="4" w:space="0" w:color="auto"/>
            </w:tcBorders>
            <w:shd w:val="clear" w:color="000000" w:fill="CCCCFF"/>
            <w:noWrap/>
            <w:vAlign w:val="bottom"/>
            <w:hideMark/>
          </w:tcPr>
          <w:p w14:paraId="7690DA2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-64,80</w:t>
            </w:r>
          </w:p>
        </w:tc>
        <w:tc>
          <w:tcPr>
            <w:tcW w:w="1803" w:type="dxa"/>
            <w:tcBorders>
              <w:top w:val="nil"/>
              <w:left w:val="nil"/>
              <w:bottom w:val="single" w:sz="4" w:space="0" w:color="auto"/>
              <w:right w:val="single" w:sz="4" w:space="0" w:color="auto"/>
            </w:tcBorders>
            <w:shd w:val="clear" w:color="000000" w:fill="CCCCFF"/>
            <w:noWrap/>
            <w:vAlign w:val="bottom"/>
            <w:hideMark/>
          </w:tcPr>
          <w:p w14:paraId="2E0DA28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27.164,00</w:t>
            </w:r>
          </w:p>
        </w:tc>
      </w:tr>
      <w:tr w:rsidR="00846ACC" w:rsidRPr="004974C0" w14:paraId="4462D2A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B2D67D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47F6D85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3D54A1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77.164,00</w:t>
            </w:r>
          </w:p>
        </w:tc>
        <w:tc>
          <w:tcPr>
            <w:tcW w:w="1843" w:type="dxa"/>
            <w:tcBorders>
              <w:top w:val="nil"/>
              <w:left w:val="nil"/>
              <w:bottom w:val="single" w:sz="4" w:space="0" w:color="auto"/>
              <w:right w:val="single" w:sz="4" w:space="0" w:color="auto"/>
            </w:tcBorders>
            <w:shd w:val="clear" w:color="000000" w:fill="FFFF99"/>
            <w:noWrap/>
            <w:vAlign w:val="bottom"/>
            <w:hideMark/>
          </w:tcPr>
          <w:p w14:paraId="0888CDD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-50.000,00</w:t>
            </w:r>
          </w:p>
        </w:tc>
        <w:tc>
          <w:tcPr>
            <w:tcW w:w="1559" w:type="dxa"/>
            <w:tcBorders>
              <w:top w:val="nil"/>
              <w:left w:val="nil"/>
              <w:bottom w:val="single" w:sz="4" w:space="0" w:color="auto"/>
              <w:right w:val="single" w:sz="4" w:space="0" w:color="auto"/>
            </w:tcBorders>
            <w:shd w:val="clear" w:color="000000" w:fill="FFFF99"/>
            <w:noWrap/>
            <w:vAlign w:val="bottom"/>
            <w:hideMark/>
          </w:tcPr>
          <w:p w14:paraId="034E923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-64,80</w:t>
            </w:r>
          </w:p>
        </w:tc>
        <w:tc>
          <w:tcPr>
            <w:tcW w:w="1803" w:type="dxa"/>
            <w:tcBorders>
              <w:top w:val="nil"/>
              <w:left w:val="nil"/>
              <w:bottom w:val="single" w:sz="4" w:space="0" w:color="auto"/>
              <w:right w:val="single" w:sz="4" w:space="0" w:color="auto"/>
            </w:tcBorders>
            <w:shd w:val="clear" w:color="000000" w:fill="FFFF99"/>
            <w:noWrap/>
            <w:vAlign w:val="bottom"/>
            <w:hideMark/>
          </w:tcPr>
          <w:p w14:paraId="784D312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27.164,00</w:t>
            </w:r>
          </w:p>
        </w:tc>
      </w:tr>
      <w:tr w:rsidR="00846ACC" w:rsidRPr="004974C0" w14:paraId="365AEAB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E3901D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0C08DB3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4ACEB0B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77.164,00</w:t>
            </w:r>
          </w:p>
        </w:tc>
        <w:tc>
          <w:tcPr>
            <w:tcW w:w="1843" w:type="dxa"/>
            <w:tcBorders>
              <w:top w:val="nil"/>
              <w:left w:val="nil"/>
              <w:bottom w:val="single" w:sz="4" w:space="0" w:color="auto"/>
              <w:right w:val="single" w:sz="4" w:space="0" w:color="auto"/>
            </w:tcBorders>
            <w:shd w:val="clear" w:color="auto" w:fill="auto"/>
            <w:noWrap/>
            <w:vAlign w:val="bottom"/>
            <w:hideMark/>
          </w:tcPr>
          <w:p w14:paraId="765E06E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-50.000,00</w:t>
            </w:r>
          </w:p>
        </w:tc>
        <w:tc>
          <w:tcPr>
            <w:tcW w:w="1559" w:type="dxa"/>
            <w:tcBorders>
              <w:top w:val="nil"/>
              <w:left w:val="nil"/>
              <w:bottom w:val="single" w:sz="4" w:space="0" w:color="auto"/>
              <w:right w:val="single" w:sz="4" w:space="0" w:color="auto"/>
            </w:tcBorders>
            <w:shd w:val="clear" w:color="auto" w:fill="auto"/>
            <w:noWrap/>
            <w:vAlign w:val="bottom"/>
            <w:hideMark/>
          </w:tcPr>
          <w:p w14:paraId="103B2B5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-64,80</w:t>
            </w:r>
          </w:p>
        </w:tc>
        <w:tc>
          <w:tcPr>
            <w:tcW w:w="1803" w:type="dxa"/>
            <w:tcBorders>
              <w:top w:val="nil"/>
              <w:left w:val="nil"/>
              <w:bottom w:val="single" w:sz="4" w:space="0" w:color="auto"/>
              <w:right w:val="single" w:sz="4" w:space="0" w:color="auto"/>
            </w:tcBorders>
            <w:shd w:val="clear" w:color="auto" w:fill="auto"/>
            <w:noWrap/>
            <w:vAlign w:val="bottom"/>
            <w:hideMark/>
          </w:tcPr>
          <w:p w14:paraId="48F9E88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27.164,00</w:t>
            </w:r>
          </w:p>
        </w:tc>
      </w:tr>
      <w:tr w:rsidR="00846ACC" w:rsidRPr="004974C0" w14:paraId="5FED398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8EB86F5"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5EA55758"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0814ABD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77.164,00</w:t>
            </w:r>
          </w:p>
        </w:tc>
        <w:tc>
          <w:tcPr>
            <w:tcW w:w="1843" w:type="dxa"/>
            <w:tcBorders>
              <w:top w:val="nil"/>
              <w:left w:val="nil"/>
              <w:bottom w:val="single" w:sz="4" w:space="0" w:color="auto"/>
              <w:right w:val="single" w:sz="4" w:space="0" w:color="auto"/>
            </w:tcBorders>
            <w:shd w:val="clear" w:color="auto" w:fill="auto"/>
            <w:noWrap/>
            <w:vAlign w:val="bottom"/>
            <w:hideMark/>
          </w:tcPr>
          <w:p w14:paraId="1C119EB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-50.000,00</w:t>
            </w:r>
          </w:p>
        </w:tc>
        <w:tc>
          <w:tcPr>
            <w:tcW w:w="1559" w:type="dxa"/>
            <w:tcBorders>
              <w:top w:val="nil"/>
              <w:left w:val="nil"/>
              <w:bottom w:val="single" w:sz="4" w:space="0" w:color="auto"/>
              <w:right w:val="single" w:sz="4" w:space="0" w:color="auto"/>
            </w:tcBorders>
            <w:shd w:val="clear" w:color="auto" w:fill="auto"/>
            <w:noWrap/>
            <w:vAlign w:val="bottom"/>
            <w:hideMark/>
          </w:tcPr>
          <w:p w14:paraId="6B02A81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-64,80</w:t>
            </w:r>
          </w:p>
        </w:tc>
        <w:tc>
          <w:tcPr>
            <w:tcW w:w="1803" w:type="dxa"/>
            <w:tcBorders>
              <w:top w:val="nil"/>
              <w:left w:val="nil"/>
              <w:bottom w:val="single" w:sz="4" w:space="0" w:color="auto"/>
              <w:right w:val="single" w:sz="4" w:space="0" w:color="auto"/>
            </w:tcBorders>
            <w:shd w:val="clear" w:color="auto" w:fill="auto"/>
            <w:noWrap/>
            <w:vAlign w:val="bottom"/>
            <w:hideMark/>
          </w:tcPr>
          <w:p w14:paraId="5FF89EB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27.164,00</w:t>
            </w:r>
          </w:p>
        </w:tc>
      </w:tr>
      <w:tr w:rsidR="00846ACC" w:rsidRPr="004974C0" w14:paraId="29CDC7F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AC4DD9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xml:space="preserve">Kapitalni projekt K300056 Cesta Ulaz Rabac - Ulica </w:t>
            </w:r>
            <w:proofErr w:type="spellStart"/>
            <w:r w:rsidRPr="004974C0">
              <w:rPr>
                <w:rFonts w:ascii="Arial" w:hAnsi="Arial" w:cs="Arial"/>
                <w:b/>
                <w:bCs/>
                <w:color w:val="000000"/>
                <w:sz w:val="20"/>
                <w:szCs w:val="20"/>
              </w:rPr>
              <w:t>G.Martinuzzi</w:t>
            </w:r>
            <w:proofErr w:type="spellEnd"/>
            <w:r w:rsidRPr="004974C0">
              <w:rPr>
                <w:rFonts w:ascii="Arial" w:hAnsi="Arial" w:cs="Arial"/>
                <w:b/>
                <w:bCs/>
                <w:color w:val="000000"/>
                <w:sz w:val="20"/>
                <w:szCs w:val="20"/>
              </w:rPr>
              <w:t>-  Creska ulica</w:t>
            </w:r>
          </w:p>
        </w:tc>
        <w:tc>
          <w:tcPr>
            <w:tcW w:w="1984" w:type="dxa"/>
            <w:tcBorders>
              <w:top w:val="nil"/>
              <w:left w:val="nil"/>
              <w:bottom w:val="single" w:sz="4" w:space="0" w:color="auto"/>
              <w:right w:val="single" w:sz="4" w:space="0" w:color="auto"/>
            </w:tcBorders>
            <w:shd w:val="clear" w:color="000000" w:fill="CCCCFF"/>
            <w:noWrap/>
            <w:vAlign w:val="bottom"/>
            <w:hideMark/>
          </w:tcPr>
          <w:p w14:paraId="5D75B2C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0757B29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250.000,00</w:t>
            </w:r>
          </w:p>
        </w:tc>
        <w:tc>
          <w:tcPr>
            <w:tcW w:w="1843" w:type="dxa"/>
            <w:tcBorders>
              <w:top w:val="nil"/>
              <w:left w:val="nil"/>
              <w:bottom w:val="single" w:sz="4" w:space="0" w:color="auto"/>
              <w:right w:val="single" w:sz="4" w:space="0" w:color="auto"/>
            </w:tcBorders>
            <w:shd w:val="clear" w:color="000000" w:fill="CCCCFF"/>
            <w:noWrap/>
            <w:vAlign w:val="bottom"/>
            <w:hideMark/>
          </w:tcPr>
          <w:p w14:paraId="4A6A225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64B4504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74778F9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250.000,00</w:t>
            </w:r>
          </w:p>
        </w:tc>
      </w:tr>
      <w:tr w:rsidR="00846ACC" w:rsidRPr="004974C0" w14:paraId="25CFD0D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67C21B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6.2. 6. KAPITALNE DONACIJE</w:t>
            </w:r>
          </w:p>
        </w:tc>
        <w:tc>
          <w:tcPr>
            <w:tcW w:w="1984" w:type="dxa"/>
            <w:tcBorders>
              <w:top w:val="nil"/>
              <w:left w:val="nil"/>
              <w:bottom w:val="single" w:sz="4" w:space="0" w:color="auto"/>
              <w:right w:val="single" w:sz="4" w:space="0" w:color="auto"/>
            </w:tcBorders>
            <w:shd w:val="clear" w:color="000000" w:fill="FFFF99"/>
            <w:noWrap/>
            <w:vAlign w:val="bottom"/>
            <w:hideMark/>
          </w:tcPr>
          <w:p w14:paraId="7326806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718291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250.000,00</w:t>
            </w:r>
          </w:p>
        </w:tc>
        <w:tc>
          <w:tcPr>
            <w:tcW w:w="1843" w:type="dxa"/>
            <w:tcBorders>
              <w:top w:val="nil"/>
              <w:left w:val="nil"/>
              <w:bottom w:val="single" w:sz="4" w:space="0" w:color="auto"/>
              <w:right w:val="single" w:sz="4" w:space="0" w:color="auto"/>
            </w:tcBorders>
            <w:shd w:val="clear" w:color="000000" w:fill="FFFF99"/>
            <w:noWrap/>
            <w:vAlign w:val="bottom"/>
            <w:hideMark/>
          </w:tcPr>
          <w:p w14:paraId="64EC0F3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4F10D15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33B524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250.000,00</w:t>
            </w:r>
          </w:p>
        </w:tc>
      </w:tr>
      <w:tr w:rsidR="00846ACC" w:rsidRPr="004974C0" w14:paraId="4485E0E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08CD08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2527C85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023EA06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250.000,00</w:t>
            </w:r>
          </w:p>
        </w:tc>
        <w:tc>
          <w:tcPr>
            <w:tcW w:w="1843" w:type="dxa"/>
            <w:tcBorders>
              <w:top w:val="nil"/>
              <w:left w:val="nil"/>
              <w:bottom w:val="single" w:sz="4" w:space="0" w:color="auto"/>
              <w:right w:val="single" w:sz="4" w:space="0" w:color="auto"/>
            </w:tcBorders>
            <w:shd w:val="clear" w:color="auto" w:fill="auto"/>
            <w:noWrap/>
            <w:vAlign w:val="bottom"/>
            <w:hideMark/>
          </w:tcPr>
          <w:p w14:paraId="379B881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4C0FF4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B0E094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250.000,00</w:t>
            </w:r>
          </w:p>
        </w:tc>
      </w:tr>
      <w:tr w:rsidR="00846ACC" w:rsidRPr="004974C0" w14:paraId="628FE96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F10B82E"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1F76AF81"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2737A5D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250.000,00</w:t>
            </w:r>
          </w:p>
        </w:tc>
        <w:tc>
          <w:tcPr>
            <w:tcW w:w="1843" w:type="dxa"/>
            <w:tcBorders>
              <w:top w:val="nil"/>
              <w:left w:val="nil"/>
              <w:bottom w:val="single" w:sz="4" w:space="0" w:color="auto"/>
              <w:right w:val="single" w:sz="4" w:space="0" w:color="auto"/>
            </w:tcBorders>
            <w:shd w:val="clear" w:color="auto" w:fill="auto"/>
            <w:noWrap/>
            <w:vAlign w:val="bottom"/>
            <w:hideMark/>
          </w:tcPr>
          <w:p w14:paraId="1CE1982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597A7E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61018A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250.000,00</w:t>
            </w:r>
          </w:p>
        </w:tc>
      </w:tr>
      <w:tr w:rsidR="00846ACC" w:rsidRPr="004974C0" w14:paraId="4214847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45F93F8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xml:space="preserve">Kapitalni projekt K300058 Park </w:t>
            </w:r>
            <w:proofErr w:type="spellStart"/>
            <w:r w:rsidRPr="004974C0">
              <w:rPr>
                <w:rFonts w:ascii="Arial" w:hAnsi="Arial" w:cs="Arial"/>
                <w:b/>
                <w:bCs/>
                <w:color w:val="000000"/>
                <w:sz w:val="20"/>
                <w:szCs w:val="20"/>
              </w:rPr>
              <w:t>Kature</w:t>
            </w:r>
            <w:proofErr w:type="spellEnd"/>
          </w:p>
        </w:tc>
        <w:tc>
          <w:tcPr>
            <w:tcW w:w="1984" w:type="dxa"/>
            <w:tcBorders>
              <w:top w:val="nil"/>
              <w:left w:val="nil"/>
              <w:bottom w:val="single" w:sz="4" w:space="0" w:color="auto"/>
              <w:right w:val="single" w:sz="4" w:space="0" w:color="auto"/>
            </w:tcBorders>
            <w:shd w:val="clear" w:color="000000" w:fill="CCCCFF"/>
            <w:noWrap/>
            <w:vAlign w:val="bottom"/>
            <w:hideMark/>
          </w:tcPr>
          <w:p w14:paraId="0606D93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4FC8BFA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377.622,00</w:t>
            </w:r>
          </w:p>
        </w:tc>
        <w:tc>
          <w:tcPr>
            <w:tcW w:w="1843" w:type="dxa"/>
            <w:tcBorders>
              <w:top w:val="nil"/>
              <w:left w:val="nil"/>
              <w:bottom w:val="single" w:sz="4" w:space="0" w:color="auto"/>
              <w:right w:val="single" w:sz="4" w:space="0" w:color="auto"/>
            </w:tcBorders>
            <w:shd w:val="clear" w:color="000000" w:fill="CCCCFF"/>
            <w:noWrap/>
            <w:vAlign w:val="bottom"/>
            <w:hideMark/>
          </w:tcPr>
          <w:p w14:paraId="636DDA0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-308.872,00</w:t>
            </w:r>
          </w:p>
        </w:tc>
        <w:tc>
          <w:tcPr>
            <w:tcW w:w="1559" w:type="dxa"/>
            <w:tcBorders>
              <w:top w:val="nil"/>
              <w:left w:val="nil"/>
              <w:bottom w:val="single" w:sz="4" w:space="0" w:color="auto"/>
              <w:right w:val="single" w:sz="4" w:space="0" w:color="auto"/>
            </w:tcBorders>
            <w:shd w:val="clear" w:color="000000" w:fill="CCCCFF"/>
            <w:noWrap/>
            <w:vAlign w:val="bottom"/>
            <w:hideMark/>
          </w:tcPr>
          <w:p w14:paraId="0852801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-81,79</w:t>
            </w:r>
          </w:p>
        </w:tc>
        <w:tc>
          <w:tcPr>
            <w:tcW w:w="1803" w:type="dxa"/>
            <w:tcBorders>
              <w:top w:val="nil"/>
              <w:left w:val="nil"/>
              <w:bottom w:val="single" w:sz="4" w:space="0" w:color="auto"/>
              <w:right w:val="single" w:sz="4" w:space="0" w:color="auto"/>
            </w:tcBorders>
            <w:shd w:val="clear" w:color="000000" w:fill="CCCCFF"/>
            <w:noWrap/>
            <w:vAlign w:val="bottom"/>
            <w:hideMark/>
          </w:tcPr>
          <w:p w14:paraId="6008864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68.750,00</w:t>
            </w:r>
          </w:p>
        </w:tc>
      </w:tr>
      <w:tr w:rsidR="00846ACC" w:rsidRPr="004974C0" w14:paraId="00ADDE80"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82BDE2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4.5. KOMUNALNI DOPRINOSI I DR. NAKNADE UTVRĐENE POSEBNIM ZAKONOM</w:t>
            </w:r>
          </w:p>
        </w:tc>
        <w:tc>
          <w:tcPr>
            <w:tcW w:w="1984" w:type="dxa"/>
            <w:tcBorders>
              <w:top w:val="nil"/>
              <w:left w:val="nil"/>
              <w:bottom w:val="single" w:sz="4" w:space="0" w:color="auto"/>
              <w:right w:val="single" w:sz="4" w:space="0" w:color="auto"/>
            </w:tcBorders>
            <w:shd w:val="clear" w:color="000000" w:fill="FFFF99"/>
            <w:noWrap/>
            <w:vAlign w:val="bottom"/>
            <w:hideMark/>
          </w:tcPr>
          <w:p w14:paraId="35F5FB6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8BA363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167.622,00</w:t>
            </w:r>
          </w:p>
        </w:tc>
        <w:tc>
          <w:tcPr>
            <w:tcW w:w="1843" w:type="dxa"/>
            <w:tcBorders>
              <w:top w:val="nil"/>
              <w:left w:val="nil"/>
              <w:bottom w:val="single" w:sz="4" w:space="0" w:color="auto"/>
              <w:right w:val="single" w:sz="4" w:space="0" w:color="auto"/>
            </w:tcBorders>
            <w:shd w:val="clear" w:color="000000" w:fill="FFFF99"/>
            <w:noWrap/>
            <w:vAlign w:val="bottom"/>
            <w:hideMark/>
          </w:tcPr>
          <w:p w14:paraId="5ABFDF9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-137.102,00</w:t>
            </w:r>
          </w:p>
        </w:tc>
        <w:tc>
          <w:tcPr>
            <w:tcW w:w="1559" w:type="dxa"/>
            <w:tcBorders>
              <w:top w:val="nil"/>
              <w:left w:val="nil"/>
              <w:bottom w:val="single" w:sz="4" w:space="0" w:color="auto"/>
              <w:right w:val="single" w:sz="4" w:space="0" w:color="auto"/>
            </w:tcBorders>
            <w:shd w:val="clear" w:color="000000" w:fill="FFFF99"/>
            <w:noWrap/>
            <w:vAlign w:val="bottom"/>
            <w:hideMark/>
          </w:tcPr>
          <w:p w14:paraId="0DF1490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-81,79</w:t>
            </w:r>
          </w:p>
        </w:tc>
        <w:tc>
          <w:tcPr>
            <w:tcW w:w="1803" w:type="dxa"/>
            <w:tcBorders>
              <w:top w:val="nil"/>
              <w:left w:val="nil"/>
              <w:bottom w:val="single" w:sz="4" w:space="0" w:color="auto"/>
              <w:right w:val="single" w:sz="4" w:space="0" w:color="auto"/>
            </w:tcBorders>
            <w:shd w:val="clear" w:color="000000" w:fill="FFFF99"/>
            <w:noWrap/>
            <w:vAlign w:val="bottom"/>
            <w:hideMark/>
          </w:tcPr>
          <w:p w14:paraId="7C8B224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30.520,00</w:t>
            </w:r>
          </w:p>
        </w:tc>
      </w:tr>
      <w:tr w:rsidR="00846ACC" w:rsidRPr="004974C0" w14:paraId="667D8DD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93D81A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37A4DE5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4AF32ED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167.622,00</w:t>
            </w:r>
          </w:p>
        </w:tc>
        <w:tc>
          <w:tcPr>
            <w:tcW w:w="1843" w:type="dxa"/>
            <w:tcBorders>
              <w:top w:val="nil"/>
              <w:left w:val="nil"/>
              <w:bottom w:val="single" w:sz="4" w:space="0" w:color="auto"/>
              <w:right w:val="single" w:sz="4" w:space="0" w:color="auto"/>
            </w:tcBorders>
            <w:shd w:val="clear" w:color="auto" w:fill="auto"/>
            <w:noWrap/>
            <w:vAlign w:val="bottom"/>
            <w:hideMark/>
          </w:tcPr>
          <w:p w14:paraId="6E591EA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-137.102,00</w:t>
            </w:r>
          </w:p>
        </w:tc>
        <w:tc>
          <w:tcPr>
            <w:tcW w:w="1559" w:type="dxa"/>
            <w:tcBorders>
              <w:top w:val="nil"/>
              <w:left w:val="nil"/>
              <w:bottom w:val="single" w:sz="4" w:space="0" w:color="auto"/>
              <w:right w:val="single" w:sz="4" w:space="0" w:color="auto"/>
            </w:tcBorders>
            <w:shd w:val="clear" w:color="auto" w:fill="auto"/>
            <w:noWrap/>
            <w:vAlign w:val="bottom"/>
            <w:hideMark/>
          </w:tcPr>
          <w:p w14:paraId="6BF92AF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-81,79</w:t>
            </w:r>
          </w:p>
        </w:tc>
        <w:tc>
          <w:tcPr>
            <w:tcW w:w="1803" w:type="dxa"/>
            <w:tcBorders>
              <w:top w:val="nil"/>
              <w:left w:val="nil"/>
              <w:bottom w:val="single" w:sz="4" w:space="0" w:color="auto"/>
              <w:right w:val="single" w:sz="4" w:space="0" w:color="auto"/>
            </w:tcBorders>
            <w:shd w:val="clear" w:color="auto" w:fill="auto"/>
            <w:noWrap/>
            <w:vAlign w:val="bottom"/>
            <w:hideMark/>
          </w:tcPr>
          <w:p w14:paraId="50F1C77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30.520,00</w:t>
            </w:r>
          </w:p>
        </w:tc>
      </w:tr>
      <w:tr w:rsidR="00846ACC" w:rsidRPr="004974C0" w14:paraId="2FA6B14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9B890F4"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389DE4E4"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1C62C93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167.622,00</w:t>
            </w:r>
          </w:p>
        </w:tc>
        <w:tc>
          <w:tcPr>
            <w:tcW w:w="1843" w:type="dxa"/>
            <w:tcBorders>
              <w:top w:val="nil"/>
              <w:left w:val="nil"/>
              <w:bottom w:val="single" w:sz="4" w:space="0" w:color="auto"/>
              <w:right w:val="single" w:sz="4" w:space="0" w:color="auto"/>
            </w:tcBorders>
            <w:shd w:val="clear" w:color="auto" w:fill="auto"/>
            <w:noWrap/>
            <w:vAlign w:val="bottom"/>
            <w:hideMark/>
          </w:tcPr>
          <w:p w14:paraId="14CEC47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-137.102,00</w:t>
            </w:r>
          </w:p>
        </w:tc>
        <w:tc>
          <w:tcPr>
            <w:tcW w:w="1559" w:type="dxa"/>
            <w:tcBorders>
              <w:top w:val="nil"/>
              <w:left w:val="nil"/>
              <w:bottom w:val="single" w:sz="4" w:space="0" w:color="auto"/>
              <w:right w:val="single" w:sz="4" w:space="0" w:color="auto"/>
            </w:tcBorders>
            <w:shd w:val="clear" w:color="auto" w:fill="auto"/>
            <w:noWrap/>
            <w:vAlign w:val="bottom"/>
            <w:hideMark/>
          </w:tcPr>
          <w:p w14:paraId="5B52B4A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-81,79</w:t>
            </w:r>
          </w:p>
        </w:tc>
        <w:tc>
          <w:tcPr>
            <w:tcW w:w="1803" w:type="dxa"/>
            <w:tcBorders>
              <w:top w:val="nil"/>
              <w:left w:val="nil"/>
              <w:bottom w:val="single" w:sz="4" w:space="0" w:color="auto"/>
              <w:right w:val="single" w:sz="4" w:space="0" w:color="auto"/>
            </w:tcBorders>
            <w:shd w:val="clear" w:color="auto" w:fill="auto"/>
            <w:noWrap/>
            <w:vAlign w:val="bottom"/>
            <w:hideMark/>
          </w:tcPr>
          <w:p w14:paraId="0EE9852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30.520,00</w:t>
            </w:r>
          </w:p>
        </w:tc>
      </w:tr>
      <w:tr w:rsidR="00846ACC" w:rsidRPr="004974C0" w14:paraId="52A271E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8EC489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5.2. POMOĆ IZ FONDA ZA ZAŠTITU OKOLIŠA</w:t>
            </w:r>
          </w:p>
        </w:tc>
        <w:tc>
          <w:tcPr>
            <w:tcW w:w="1984" w:type="dxa"/>
            <w:tcBorders>
              <w:top w:val="nil"/>
              <w:left w:val="nil"/>
              <w:bottom w:val="single" w:sz="4" w:space="0" w:color="auto"/>
              <w:right w:val="single" w:sz="4" w:space="0" w:color="auto"/>
            </w:tcBorders>
            <w:shd w:val="clear" w:color="000000" w:fill="FFFF99"/>
            <w:noWrap/>
            <w:vAlign w:val="bottom"/>
            <w:hideMark/>
          </w:tcPr>
          <w:p w14:paraId="0BA9812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0CB924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210.000,00</w:t>
            </w:r>
          </w:p>
        </w:tc>
        <w:tc>
          <w:tcPr>
            <w:tcW w:w="1843" w:type="dxa"/>
            <w:tcBorders>
              <w:top w:val="nil"/>
              <w:left w:val="nil"/>
              <w:bottom w:val="single" w:sz="4" w:space="0" w:color="auto"/>
              <w:right w:val="single" w:sz="4" w:space="0" w:color="auto"/>
            </w:tcBorders>
            <w:shd w:val="clear" w:color="000000" w:fill="FFFF99"/>
            <w:noWrap/>
            <w:vAlign w:val="bottom"/>
            <w:hideMark/>
          </w:tcPr>
          <w:p w14:paraId="1CB7659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-171.770,00</w:t>
            </w:r>
          </w:p>
        </w:tc>
        <w:tc>
          <w:tcPr>
            <w:tcW w:w="1559" w:type="dxa"/>
            <w:tcBorders>
              <w:top w:val="nil"/>
              <w:left w:val="nil"/>
              <w:bottom w:val="single" w:sz="4" w:space="0" w:color="auto"/>
              <w:right w:val="single" w:sz="4" w:space="0" w:color="auto"/>
            </w:tcBorders>
            <w:shd w:val="clear" w:color="000000" w:fill="FFFF99"/>
            <w:noWrap/>
            <w:vAlign w:val="bottom"/>
            <w:hideMark/>
          </w:tcPr>
          <w:p w14:paraId="42C21E3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-81,80</w:t>
            </w:r>
          </w:p>
        </w:tc>
        <w:tc>
          <w:tcPr>
            <w:tcW w:w="1803" w:type="dxa"/>
            <w:tcBorders>
              <w:top w:val="nil"/>
              <w:left w:val="nil"/>
              <w:bottom w:val="single" w:sz="4" w:space="0" w:color="auto"/>
              <w:right w:val="single" w:sz="4" w:space="0" w:color="auto"/>
            </w:tcBorders>
            <w:shd w:val="clear" w:color="000000" w:fill="FFFF99"/>
            <w:noWrap/>
            <w:vAlign w:val="bottom"/>
            <w:hideMark/>
          </w:tcPr>
          <w:p w14:paraId="2C0EE63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38.230,00</w:t>
            </w:r>
          </w:p>
        </w:tc>
      </w:tr>
      <w:tr w:rsidR="00846ACC" w:rsidRPr="004974C0" w14:paraId="2C0479E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CF8349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1906228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 xml:space="preserve">Rashodi za nabavu </w:t>
            </w:r>
            <w:r w:rsidRPr="004974C0">
              <w:rPr>
                <w:rFonts w:ascii="Arial" w:hAnsi="Arial" w:cs="Arial"/>
                <w:b/>
                <w:bCs/>
                <w:sz w:val="20"/>
                <w:szCs w:val="20"/>
              </w:rPr>
              <w:lastRenderedPageBreak/>
              <w:t>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1B676C3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lastRenderedPageBreak/>
              <w:t>210.000,00</w:t>
            </w:r>
          </w:p>
        </w:tc>
        <w:tc>
          <w:tcPr>
            <w:tcW w:w="1843" w:type="dxa"/>
            <w:tcBorders>
              <w:top w:val="nil"/>
              <w:left w:val="nil"/>
              <w:bottom w:val="single" w:sz="4" w:space="0" w:color="auto"/>
              <w:right w:val="single" w:sz="4" w:space="0" w:color="auto"/>
            </w:tcBorders>
            <w:shd w:val="clear" w:color="auto" w:fill="auto"/>
            <w:noWrap/>
            <w:vAlign w:val="bottom"/>
            <w:hideMark/>
          </w:tcPr>
          <w:p w14:paraId="69AE2A6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-171.770,00</w:t>
            </w:r>
          </w:p>
        </w:tc>
        <w:tc>
          <w:tcPr>
            <w:tcW w:w="1559" w:type="dxa"/>
            <w:tcBorders>
              <w:top w:val="nil"/>
              <w:left w:val="nil"/>
              <w:bottom w:val="single" w:sz="4" w:space="0" w:color="auto"/>
              <w:right w:val="single" w:sz="4" w:space="0" w:color="auto"/>
            </w:tcBorders>
            <w:shd w:val="clear" w:color="auto" w:fill="auto"/>
            <w:noWrap/>
            <w:vAlign w:val="bottom"/>
            <w:hideMark/>
          </w:tcPr>
          <w:p w14:paraId="599E924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-81,80</w:t>
            </w:r>
          </w:p>
        </w:tc>
        <w:tc>
          <w:tcPr>
            <w:tcW w:w="1803" w:type="dxa"/>
            <w:tcBorders>
              <w:top w:val="nil"/>
              <w:left w:val="nil"/>
              <w:bottom w:val="single" w:sz="4" w:space="0" w:color="auto"/>
              <w:right w:val="single" w:sz="4" w:space="0" w:color="auto"/>
            </w:tcBorders>
            <w:shd w:val="clear" w:color="auto" w:fill="auto"/>
            <w:noWrap/>
            <w:vAlign w:val="bottom"/>
            <w:hideMark/>
          </w:tcPr>
          <w:p w14:paraId="335DAEB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38.230,00</w:t>
            </w:r>
          </w:p>
        </w:tc>
      </w:tr>
      <w:tr w:rsidR="00846ACC" w:rsidRPr="004974C0" w14:paraId="41BBD05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2C62B99"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478376C1"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196FB2B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210.000,00</w:t>
            </w:r>
          </w:p>
        </w:tc>
        <w:tc>
          <w:tcPr>
            <w:tcW w:w="1843" w:type="dxa"/>
            <w:tcBorders>
              <w:top w:val="nil"/>
              <w:left w:val="nil"/>
              <w:bottom w:val="single" w:sz="4" w:space="0" w:color="auto"/>
              <w:right w:val="single" w:sz="4" w:space="0" w:color="auto"/>
            </w:tcBorders>
            <w:shd w:val="clear" w:color="auto" w:fill="auto"/>
            <w:noWrap/>
            <w:vAlign w:val="bottom"/>
            <w:hideMark/>
          </w:tcPr>
          <w:p w14:paraId="6D27DFD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-171.770,00</w:t>
            </w:r>
          </w:p>
        </w:tc>
        <w:tc>
          <w:tcPr>
            <w:tcW w:w="1559" w:type="dxa"/>
            <w:tcBorders>
              <w:top w:val="nil"/>
              <w:left w:val="nil"/>
              <w:bottom w:val="single" w:sz="4" w:space="0" w:color="auto"/>
              <w:right w:val="single" w:sz="4" w:space="0" w:color="auto"/>
            </w:tcBorders>
            <w:shd w:val="clear" w:color="auto" w:fill="auto"/>
            <w:noWrap/>
            <w:vAlign w:val="bottom"/>
            <w:hideMark/>
          </w:tcPr>
          <w:p w14:paraId="2DC2E7E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-81,80</w:t>
            </w:r>
          </w:p>
        </w:tc>
        <w:tc>
          <w:tcPr>
            <w:tcW w:w="1803" w:type="dxa"/>
            <w:tcBorders>
              <w:top w:val="nil"/>
              <w:left w:val="nil"/>
              <w:bottom w:val="single" w:sz="4" w:space="0" w:color="auto"/>
              <w:right w:val="single" w:sz="4" w:space="0" w:color="auto"/>
            </w:tcBorders>
            <w:shd w:val="clear" w:color="auto" w:fill="auto"/>
            <w:noWrap/>
            <w:vAlign w:val="bottom"/>
            <w:hideMark/>
          </w:tcPr>
          <w:p w14:paraId="2947C77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38.230,00</w:t>
            </w:r>
          </w:p>
        </w:tc>
      </w:tr>
      <w:tr w:rsidR="00846ACC" w:rsidRPr="004974C0" w14:paraId="5A6EE09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5D343E3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xml:space="preserve">Kapitalni projekt K300059 Nerazvrstana cesta </w:t>
            </w:r>
            <w:proofErr w:type="spellStart"/>
            <w:r w:rsidRPr="004974C0">
              <w:rPr>
                <w:rFonts w:ascii="Arial" w:hAnsi="Arial" w:cs="Arial"/>
                <w:b/>
                <w:bCs/>
                <w:color w:val="000000"/>
                <w:sz w:val="20"/>
                <w:szCs w:val="20"/>
              </w:rPr>
              <w:t>Ripenda</w:t>
            </w:r>
            <w:proofErr w:type="spellEnd"/>
            <w:r w:rsidRPr="004974C0">
              <w:rPr>
                <w:rFonts w:ascii="Arial" w:hAnsi="Arial" w:cs="Arial"/>
                <w:b/>
                <w:bCs/>
                <w:color w:val="000000"/>
                <w:sz w:val="20"/>
                <w:szCs w:val="20"/>
              </w:rPr>
              <w:t xml:space="preserve"> Kras-Mali Kosi ( NC.14.-3,9 km)</w:t>
            </w:r>
          </w:p>
        </w:tc>
        <w:tc>
          <w:tcPr>
            <w:tcW w:w="1984" w:type="dxa"/>
            <w:tcBorders>
              <w:top w:val="nil"/>
              <w:left w:val="nil"/>
              <w:bottom w:val="single" w:sz="4" w:space="0" w:color="auto"/>
              <w:right w:val="single" w:sz="4" w:space="0" w:color="auto"/>
            </w:tcBorders>
            <w:shd w:val="clear" w:color="000000" w:fill="CCCCFF"/>
            <w:noWrap/>
            <w:vAlign w:val="bottom"/>
            <w:hideMark/>
          </w:tcPr>
          <w:p w14:paraId="3844C9E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4202AD0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250.000,00</w:t>
            </w:r>
          </w:p>
        </w:tc>
        <w:tc>
          <w:tcPr>
            <w:tcW w:w="1843" w:type="dxa"/>
            <w:tcBorders>
              <w:top w:val="nil"/>
              <w:left w:val="nil"/>
              <w:bottom w:val="single" w:sz="4" w:space="0" w:color="auto"/>
              <w:right w:val="single" w:sz="4" w:space="0" w:color="auto"/>
            </w:tcBorders>
            <w:shd w:val="clear" w:color="000000" w:fill="CCCCFF"/>
            <w:noWrap/>
            <w:vAlign w:val="bottom"/>
            <w:hideMark/>
          </w:tcPr>
          <w:p w14:paraId="7BB41CD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47C41CC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4990FE0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250.000,00</w:t>
            </w:r>
          </w:p>
        </w:tc>
      </w:tr>
      <w:tr w:rsidR="00846ACC" w:rsidRPr="004974C0" w14:paraId="51F2776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AAAA63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6.2. 6. KAPITALNE DONACIJE</w:t>
            </w:r>
          </w:p>
        </w:tc>
        <w:tc>
          <w:tcPr>
            <w:tcW w:w="1984" w:type="dxa"/>
            <w:tcBorders>
              <w:top w:val="nil"/>
              <w:left w:val="nil"/>
              <w:bottom w:val="single" w:sz="4" w:space="0" w:color="auto"/>
              <w:right w:val="single" w:sz="4" w:space="0" w:color="auto"/>
            </w:tcBorders>
            <w:shd w:val="clear" w:color="000000" w:fill="FFFF99"/>
            <w:noWrap/>
            <w:vAlign w:val="bottom"/>
            <w:hideMark/>
          </w:tcPr>
          <w:p w14:paraId="2FB88AD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5B4212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250.000,00</w:t>
            </w:r>
          </w:p>
        </w:tc>
        <w:tc>
          <w:tcPr>
            <w:tcW w:w="1843" w:type="dxa"/>
            <w:tcBorders>
              <w:top w:val="nil"/>
              <w:left w:val="nil"/>
              <w:bottom w:val="single" w:sz="4" w:space="0" w:color="auto"/>
              <w:right w:val="single" w:sz="4" w:space="0" w:color="auto"/>
            </w:tcBorders>
            <w:shd w:val="clear" w:color="000000" w:fill="FFFF99"/>
            <w:noWrap/>
            <w:vAlign w:val="bottom"/>
            <w:hideMark/>
          </w:tcPr>
          <w:p w14:paraId="7A69432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334191B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7580315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250.000,00</w:t>
            </w:r>
          </w:p>
        </w:tc>
      </w:tr>
      <w:tr w:rsidR="00846ACC" w:rsidRPr="004974C0" w14:paraId="10F2C76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DDA9FE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273433D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18B55BF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250.000,00</w:t>
            </w:r>
          </w:p>
        </w:tc>
        <w:tc>
          <w:tcPr>
            <w:tcW w:w="1843" w:type="dxa"/>
            <w:tcBorders>
              <w:top w:val="nil"/>
              <w:left w:val="nil"/>
              <w:bottom w:val="single" w:sz="4" w:space="0" w:color="auto"/>
              <w:right w:val="single" w:sz="4" w:space="0" w:color="auto"/>
            </w:tcBorders>
            <w:shd w:val="clear" w:color="auto" w:fill="auto"/>
            <w:noWrap/>
            <w:vAlign w:val="bottom"/>
            <w:hideMark/>
          </w:tcPr>
          <w:p w14:paraId="009576D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0FD99E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C05434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250.000,00</w:t>
            </w:r>
          </w:p>
        </w:tc>
      </w:tr>
      <w:tr w:rsidR="00846ACC" w:rsidRPr="004974C0" w14:paraId="413E728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CD8AC59"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2F58A012"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7601AA8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250.000,00</w:t>
            </w:r>
          </w:p>
        </w:tc>
        <w:tc>
          <w:tcPr>
            <w:tcW w:w="1843" w:type="dxa"/>
            <w:tcBorders>
              <w:top w:val="nil"/>
              <w:left w:val="nil"/>
              <w:bottom w:val="single" w:sz="4" w:space="0" w:color="auto"/>
              <w:right w:val="single" w:sz="4" w:space="0" w:color="auto"/>
            </w:tcBorders>
            <w:shd w:val="clear" w:color="auto" w:fill="auto"/>
            <w:noWrap/>
            <w:vAlign w:val="bottom"/>
            <w:hideMark/>
          </w:tcPr>
          <w:p w14:paraId="38F6FA2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5E72AD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0636C4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250.000,00</w:t>
            </w:r>
          </w:p>
        </w:tc>
      </w:tr>
      <w:tr w:rsidR="00846ACC" w:rsidRPr="004974C0" w14:paraId="26687BE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13BD8E5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xml:space="preserve">Kapitalni projekt K300060 </w:t>
            </w:r>
            <w:proofErr w:type="spellStart"/>
            <w:r w:rsidRPr="004974C0">
              <w:rPr>
                <w:rFonts w:ascii="Arial" w:hAnsi="Arial" w:cs="Arial"/>
                <w:b/>
                <w:bCs/>
                <w:color w:val="000000"/>
                <w:sz w:val="20"/>
                <w:szCs w:val="20"/>
              </w:rPr>
              <w:t>Idrijska</w:t>
            </w:r>
            <w:proofErr w:type="spellEnd"/>
            <w:r w:rsidRPr="004974C0">
              <w:rPr>
                <w:rFonts w:ascii="Arial" w:hAnsi="Arial" w:cs="Arial"/>
                <w:b/>
                <w:bCs/>
                <w:color w:val="000000"/>
                <w:sz w:val="20"/>
                <w:szCs w:val="20"/>
              </w:rPr>
              <w:t xml:space="preserve"> ulica u Rapcu-izgradnja prometnice</w:t>
            </w:r>
          </w:p>
        </w:tc>
        <w:tc>
          <w:tcPr>
            <w:tcW w:w="1984" w:type="dxa"/>
            <w:tcBorders>
              <w:top w:val="nil"/>
              <w:left w:val="nil"/>
              <w:bottom w:val="single" w:sz="4" w:space="0" w:color="auto"/>
              <w:right w:val="single" w:sz="4" w:space="0" w:color="auto"/>
            </w:tcBorders>
            <w:shd w:val="clear" w:color="000000" w:fill="CCCCFF"/>
            <w:noWrap/>
            <w:vAlign w:val="bottom"/>
            <w:hideMark/>
          </w:tcPr>
          <w:p w14:paraId="6A0AC13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39A3A03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17.000,00</w:t>
            </w:r>
          </w:p>
        </w:tc>
        <w:tc>
          <w:tcPr>
            <w:tcW w:w="1843" w:type="dxa"/>
            <w:tcBorders>
              <w:top w:val="nil"/>
              <w:left w:val="nil"/>
              <w:bottom w:val="single" w:sz="4" w:space="0" w:color="auto"/>
              <w:right w:val="single" w:sz="4" w:space="0" w:color="auto"/>
            </w:tcBorders>
            <w:shd w:val="clear" w:color="000000" w:fill="CCCCFF"/>
            <w:noWrap/>
            <w:vAlign w:val="bottom"/>
            <w:hideMark/>
          </w:tcPr>
          <w:p w14:paraId="554554A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5FCCCD1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4EE4464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17.000,00</w:t>
            </w:r>
          </w:p>
        </w:tc>
      </w:tr>
      <w:tr w:rsidR="00846ACC" w:rsidRPr="004974C0" w14:paraId="77F65B5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166985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7.1. 7.PRIHODI OD NEFINANCIJSKE IMOVINE</w:t>
            </w:r>
          </w:p>
        </w:tc>
        <w:tc>
          <w:tcPr>
            <w:tcW w:w="1984" w:type="dxa"/>
            <w:tcBorders>
              <w:top w:val="nil"/>
              <w:left w:val="nil"/>
              <w:bottom w:val="single" w:sz="4" w:space="0" w:color="auto"/>
              <w:right w:val="single" w:sz="4" w:space="0" w:color="auto"/>
            </w:tcBorders>
            <w:shd w:val="clear" w:color="000000" w:fill="FFFF99"/>
            <w:noWrap/>
            <w:vAlign w:val="bottom"/>
            <w:hideMark/>
          </w:tcPr>
          <w:p w14:paraId="27EF6E1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75F477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17.000,00</w:t>
            </w:r>
          </w:p>
        </w:tc>
        <w:tc>
          <w:tcPr>
            <w:tcW w:w="1843" w:type="dxa"/>
            <w:tcBorders>
              <w:top w:val="nil"/>
              <w:left w:val="nil"/>
              <w:bottom w:val="single" w:sz="4" w:space="0" w:color="auto"/>
              <w:right w:val="single" w:sz="4" w:space="0" w:color="auto"/>
            </w:tcBorders>
            <w:shd w:val="clear" w:color="000000" w:fill="FFFF99"/>
            <w:noWrap/>
            <w:vAlign w:val="bottom"/>
            <w:hideMark/>
          </w:tcPr>
          <w:p w14:paraId="0D4480C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180D647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4D484C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17.000,00</w:t>
            </w:r>
          </w:p>
        </w:tc>
      </w:tr>
      <w:tr w:rsidR="00846ACC" w:rsidRPr="004974C0" w14:paraId="255FB6C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11B40B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4D8FA9F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1B77522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17.000,00</w:t>
            </w:r>
          </w:p>
        </w:tc>
        <w:tc>
          <w:tcPr>
            <w:tcW w:w="1843" w:type="dxa"/>
            <w:tcBorders>
              <w:top w:val="nil"/>
              <w:left w:val="nil"/>
              <w:bottom w:val="single" w:sz="4" w:space="0" w:color="auto"/>
              <w:right w:val="single" w:sz="4" w:space="0" w:color="auto"/>
            </w:tcBorders>
            <w:shd w:val="clear" w:color="auto" w:fill="auto"/>
            <w:noWrap/>
            <w:vAlign w:val="bottom"/>
            <w:hideMark/>
          </w:tcPr>
          <w:p w14:paraId="4B966BB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4AF405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2453DC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17.000,00</w:t>
            </w:r>
          </w:p>
        </w:tc>
      </w:tr>
      <w:tr w:rsidR="00846ACC" w:rsidRPr="004974C0" w14:paraId="1D52691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3F41F66"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276578DA"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7ADA132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17.000,00</w:t>
            </w:r>
          </w:p>
        </w:tc>
        <w:tc>
          <w:tcPr>
            <w:tcW w:w="1843" w:type="dxa"/>
            <w:tcBorders>
              <w:top w:val="nil"/>
              <w:left w:val="nil"/>
              <w:bottom w:val="single" w:sz="4" w:space="0" w:color="auto"/>
              <w:right w:val="single" w:sz="4" w:space="0" w:color="auto"/>
            </w:tcBorders>
            <w:shd w:val="clear" w:color="auto" w:fill="auto"/>
            <w:noWrap/>
            <w:vAlign w:val="bottom"/>
            <w:hideMark/>
          </w:tcPr>
          <w:p w14:paraId="1B1D450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CED648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A3639C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17.000,00</w:t>
            </w:r>
          </w:p>
        </w:tc>
      </w:tr>
      <w:tr w:rsidR="00846ACC" w:rsidRPr="004974C0" w14:paraId="01B3A31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7D97931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Kapitalni projekt K300061 Nerazvrstana cesta NC 43.02 - pristupna prometnica vodosprema Breg</w:t>
            </w:r>
          </w:p>
        </w:tc>
        <w:tc>
          <w:tcPr>
            <w:tcW w:w="1984" w:type="dxa"/>
            <w:tcBorders>
              <w:top w:val="nil"/>
              <w:left w:val="nil"/>
              <w:bottom w:val="single" w:sz="4" w:space="0" w:color="auto"/>
              <w:right w:val="single" w:sz="4" w:space="0" w:color="auto"/>
            </w:tcBorders>
            <w:shd w:val="clear" w:color="000000" w:fill="CCCCFF"/>
            <w:noWrap/>
            <w:vAlign w:val="bottom"/>
            <w:hideMark/>
          </w:tcPr>
          <w:p w14:paraId="3AF2C87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0F01B23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4F1D81F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5.969,00</w:t>
            </w:r>
          </w:p>
        </w:tc>
        <w:tc>
          <w:tcPr>
            <w:tcW w:w="1559" w:type="dxa"/>
            <w:tcBorders>
              <w:top w:val="nil"/>
              <w:left w:val="nil"/>
              <w:bottom w:val="single" w:sz="4" w:space="0" w:color="auto"/>
              <w:right w:val="single" w:sz="4" w:space="0" w:color="auto"/>
            </w:tcBorders>
            <w:shd w:val="clear" w:color="000000" w:fill="CCCCFF"/>
            <w:noWrap/>
            <w:vAlign w:val="bottom"/>
            <w:hideMark/>
          </w:tcPr>
          <w:p w14:paraId="3A0F2F0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CCCCFF"/>
            <w:noWrap/>
            <w:vAlign w:val="bottom"/>
            <w:hideMark/>
          </w:tcPr>
          <w:p w14:paraId="738CF58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5.969,00</w:t>
            </w:r>
          </w:p>
        </w:tc>
      </w:tr>
      <w:tr w:rsidR="00846ACC" w:rsidRPr="004974C0" w14:paraId="6F9EE74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38496F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6.2. 6. KAPITALNE DONACIJE</w:t>
            </w:r>
          </w:p>
        </w:tc>
        <w:tc>
          <w:tcPr>
            <w:tcW w:w="1984" w:type="dxa"/>
            <w:tcBorders>
              <w:top w:val="nil"/>
              <w:left w:val="nil"/>
              <w:bottom w:val="single" w:sz="4" w:space="0" w:color="auto"/>
              <w:right w:val="single" w:sz="4" w:space="0" w:color="auto"/>
            </w:tcBorders>
            <w:shd w:val="clear" w:color="000000" w:fill="FFFF99"/>
            <w:noWrap/>
            <w:vAlign w:val="bottom"/>
            <w:hideMark/>
          </w:tcPr>
          <w:p w14:paraId="70A0C4B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2A6C34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329E096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5.969,00</w:t>
            </w:r>
          </w:p>
        </w:tc>
        <w:tc>
          <w:tcPr>
            <w:tcW w:w="1559" w:type="dxa"/>
            <w:tcBorders>
              <w:top w:val="nil"/>
              <w:left w:val="nil"/>
              <w:bottom w:val="single" w:sz="4" w:space="0" w:color="auto"/>
              <w:right w:val="single" w:sz="4" w:space="0" w:color="auto"/>
            </w:tcBorders>
            <w:shd w:val="clear" w:color="000000" w:fill="FFFF99"/>
            <w:noWrap/>
            <w:vAlign w:val="bottom"/>
            <w:hideMark/>
          </w:tcPr>
          <w:p w14:paraId="73DB9E5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99"/>
            <w:noWrap/>
            <w:vAlign w:val="bottom"/>
            <w:hideMark/>
          </w:tcPr>
          <w:p w14:paraId="4B574FD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5.969,00</w:t>
            </w:r>
          </w:p>
        </w:tc>
      </w:tr>
      <w:tr w:rsidR="00846ACC" w:rsidRPr="004974C0" w14:paraId="05C8620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E1ACE5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256B4AC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2021A13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531C54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5.969,00</w:t>
            </w:r>
          </w:p>
        </w:tc>
        <w:tc>
          <w:tcPr>
            <w:tcW w:w="1559" w:type="dxa"/>
            <w:tcBorders>
              <w:top w:val="nil"/>
              <w:left w:val="nil"/>
              <w:bottom w:val="single" w:sz="4" w:space="0" w:color="auto"/>
              <w:right w:val="single" w:sz="4" w:space="0" w:color="auto"/>
            </w:tcBorders>
            <w:shd w:val="clear" w:color="auto" w:fill="auto"/>
            <w:noWrap/>
            <w:vAlign w:val="bottom"/>
            <w:hideMark/>
          </w:tcPr>
          <w:p w14:paraId="2169B43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6F32AA9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5.969,00</w:t>
            </w:r>
          </w:p>
        </w:tc>
      </w:tr>
      <w:tr w:rsidR="00846ACC" w:rsidRPr="004974C0" w14:paraId="1627C70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365F02C"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28BBC052"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45CDD8D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5047BC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5.969,00</w:t>
            </w:r>
          </w:p>
        </w:tc>
        <w:tc>
          <w:tcPr>
            <w:tcW w:w="1559" w:type="dxa"/>
            <w:tcBorders>
              <w:top w:val="nil"/>
              <w:left w:val="nil"/>
              <w:bottom w:val="single" w:sz="4" w:space="0" w:color="auto"/>
              <w:right w:val="single" w:sz="4" w:space="0" w:color="auto"/>
            </w:tcBorders>
            <w:shd w:val="clear" w:color="auto" w:fill="auto"/>
            <w:noWrap/>
            <w:vAlign w:val="bottom"/>
            <w:hideMark/>
          </w:tcPr>
          <w:p w14:paraId="180D930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5BCE588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5.969,00</w:t>
            </w:r>
          </w:p>
        </w:tc>
      </w:tr>
      <w:tr w:rsidR="00846ACC" w:rsidRPr="004974C0" w14:paraId="1D8128B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F0A4A8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Kapitalni projekt K300062 Nerazvrstana cesta NC 16.15. - pristupna prometnica UPOV Rabac</w:t>
            </w:r>
          </w:p>
        </w:tc>
        <w:tc>
          <w:tcPr>
            <w:tcW w:w="1984" w:type="dxa"/>
            <w:tcBorders>
              <w:top w:val="nil"/>
              <w:left w:val="nil"/>
              <w:bottom w:val="single" w:sz="4" w:space="0" w:color="auto"/>
              <w:right w:val="single" w:sz="4" w:space="0" w:color="auto"/>
            </w:tcBorders>
            <w:shd w:val="clear" w:color="000000" w:fill="CCCCFF"/>
            <w:noWrap/>
            <w:vAlign w:val="bottom"/>
            <w:hideMark/>
          </w:tcPr>
          <w:p w14:paraId="18D9FCB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7DC143A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7A4E81C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15.557,00</w:t>
            </w:r>
          </w:p>
        </w:tc>
        <w:tc>
          <w:tcPr>
            <w:tcW w:w="1559" w:type="dxa"/>
            <w:tcBorders>
              <w:top w:val="nil"/>
              <w:left w:val="nil"/>
              <w:bottom w:val="single" w:sz="4" w:space="0" w:color="auto"/>
              <w:right w:val="single" w:sz="4" w:space="0" w:color="auto"/>
            </w:tcBorders>
            <w:shd w:val="clear" w:color="000000" w:fill="CCCCFF"/>
            <w:noWrap/>
            <w:vAlign w:val="bottom"/>
            <w:hideMark/>
          </w:tcPr>
          <w:p w14:paraId="30D60DE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CCCCFF"/>
            <w:noWrap/>
            <w:vAlign w:val="bottom"/>
            <w:hideMark/>
          </w:tcPr>
          <w:p w14:paraId="1EE049E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15.557,00</w:t>
            </w:r>
          </w:p>
        </w:tc>
      </w:tr>
      <w:tr w:rsidR="00846ACC" w:rsidRPr="004974C0" w14:paraId="6D8CD18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F030A7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Izvor  6.2. 6. KAPITALNE DONACIJE</w:t>
            </w:r>
          </w:p>
        </w:tc>
        <w:tc>
          <w:tcPr>
            <w:tcW w:w="1984" w:type="dxa"/>
            <w:tcBorders>
              <w:top w:val="nil"/>
              <w:left w:val="nil"/>
              <w:bottom w:val="single" w:sz="4" w:space="0" w:color="auto"/>
              <w:right w:val="single" w:sz="4" w:space="0" w:color="auto"/>
            </w:tcBorders>
            <w:shd w:val="clear" w:color="000000" w:fill="FFFF99"/>
            <w:noWrap/>
            <w:vAlign w:val="bottom"/>
            <w:hideMark/>
          </w:tcPr>
          <w:p w14:paraId="32B5038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554D71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02CB612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15.557,00</w:t>
            </w:r>
          </w:p>
        </w:tc>
        <w:tc>
          <w:tcPr>
            <w:tcW w:w="1559" w:type="dxa"/>
            <w:tcBorders>
              <w:top w:val="nil"/>
              <w:left w:val="nil"/>
              <w:bottom w:val="single" w:sz="4" w:space="0" w:color="auto"/>
              <w:right w:val="single" w:sz="4" w:space="0" w:color="auto"/>
            </w:tcBorders>
            <w:shd w:val="clear" w:color="000000" w:fill="FFFF99"/>
            <w:noWrap/>
            <w:vAlign w:val="bottom"/>
            <w:hideMark/>
          </w:tcPr>
          <w:p w14:paraId="4F5B9F1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99"/>
            <w:noWrap/>
            <w:vAlign w:val="bottom"/>
            <w:hideMark/>
          </w:tcPr>
          <w:p w14:paraId="08F3017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15.557,00</w:t>
            </w:r>
          </w:p>
        </w:tc>
      </w:tr>
      <w:tr w:rsidR="00846ACC" w:rsidRPr="004974C0" w14:paraId="5BE5E02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E4E2B7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27E53EF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20ADEE1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B949A9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15.557,00</w:t>
            </w:r>
          </w:p>
        </w:tc>
        <w:tc>
          <w:tcPr>
            <w:tcW w:w="1559" w:type="dxa"/>
            <w:tcBorders>
              <w:top w:val="nil"/>
              <w:left w:val="nil"/>
              <w:bottom w:val="single" w:sz="4" w:space="0" w:color="auto"/>
              <w:right w:val="single" w:sz="4" w:space="0" w:color="auto"/>
            </w:tcBorders>
            <w:shd w:val="clear" w:color="auto" w:fill="auto"/>
            <w:noWrap/>
            <w:vAlign w:val="bottom"/>
            <w:hideMark/>
          </w:tcPr>
          <w:p w14:paraId="1EFB545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2ADF845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15.557,00</w:t>
            </w:r>
          </w:p>
        </w:tc>
      </w:tr>
      <w:tr w:rsidR="00846ACC" w:rsidRPr="004974C0" w14:paraId="6487811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CD5992E"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49623F18"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591B5D3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9D3536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15.557,00</w:t>
            </w:r>
          </w:p>
        </w:tc>
        <w:tc>
          <w:tcPr>
            <w:tcW w:w="1559" w:type="dxa"/>
            <w:tcBorders>
              <w:top w:val="nil"/>
              <w:left w:val="nil"/>
              <w:bottom w:val="single" w:sz="4" w:space="0" w:color="auto"/>
              <w:right w:val="single" w:sz="4" w:space="0" w:color="auto"/>
            </w:tcBorders>
            <w:shd w:val="clear" w:color="auto" w:fill="auto"/>
            <w:noWrap/>
            <w:vAlign w:val="bottom"/>
            <w:hideMark/>
          </w:tcPr>
          <w:p w14:paraId="0B347E0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77D2941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15.557,00</w:t>
            </w:r>
          </w:p>
        </w:tc>
      </w:tr>
      <w:tr w:rsidR="00846ACC" w:rsidRPr="004974C0" w14:paraId="2539848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3D6FD6E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3003 Izgradnja građevina javne namjene</w:t>
            </w:r>
          </w:p>
        </w:tc>
        <w:tc>
          <w:tcPr>
            <w:tcW w:w="1984" w:type="dxa"/>
            <w:tcBorders>
              <w:top w:val="nil"/>
              <w:left w:val="nil"/>
              <w:bottom w:val="single" w:sz="4" w:space="0" w:color="auto"/>
              <w:right w:val="single" w:sz="4" w:space="0" w:color="auto"/>
            </w:tcBorders>
            <w:shd w:val="clear" w:color="000000" w:fill="9999FF"/>
            <w:noWrap/>
            <w:vAlign w:val="bottom"/>
            <w:hideMark/>
          </w:tcPr>
          <w:p w14:paraId="069502D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1D9AA33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2.310.971,00</w:t>
            </w:r>
          </w:p>
        </w:tc>
        <w:tc>
          <w:tcPr>
            <w:tcW w:w="1843" w:type="dxa"/>
            <w:tcBorders>
              <w:top w:val="nil"/>
              <w:left w:val="nil"/>
              <w:bottom w:val="single" w:sz="4" w:space="0" w:color="auto"/>
              <w:right w:val="single" w:sz="4" w:space="0" w:color="auto"/>
            </w:tcBorders>
            <w:shd w:val="clear" w:color="000000" w:fill="9999FF"/>
            <w:noWrap/>
            <w:vAlign w:val="bottom"/>
            <w:hideMark/>
          </w:tcPr>
          <w:p w14:paraId="50731AF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527.829,00</w:t>
            </w:r>
          </w:p>
        </w:tc>
        <w:tc>
          <w:tcPr>
            <w:tcW w:w="1559" w:type="dxa"/>
            <w:tcBorders>
              <w:top w:val="nil"/>
              <w:left w:val="nil"/>
              <w:bottom w:val="single" w:sz="4" w:space="0" w:color="auto"/>
              <w:right w:val="single" w:sz="4" w:space="0" w:color="auto"/>
            </w:tcBorders>
            <w:shd w:val="clear" w:color="000000" w:fill="9999FF"/>
            <w:noWrap/>
            <w:vAlign w:val="bottom"/>
            <w:hideMark/>
          </w:tcPr>
          <w:p w14:paraId="6ADD535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22,84</w:t>
            </w:r>
          </w:p>
        </w:tc>
        <w:tc>
          <w:tcPr>
            <w:tcW w:w="1803" w:type="dxa"/>
            <w:tcBorders>
              <w:top w:val="nil"/>
              <w:left w:val="nil"/>
              <w:bottom w:val="single" w:sz="4" w:space="0" w:color="auto"/>
              <w:right w:val="single" w:sz="4" w:space="0" w:color="auto"/>
            </w:tcBorders>
            <w:shd w:val="clear" w:color="000000" w:fill="9999FF"/>
            <w:noWrap/>
            <w:vAlign w:val="bottom"/>
            <w:hideMark/>
          </w:tcPr>
          <w:p w14:paraId="47D3D90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2.838.800,00</w:t>
            </w:r>
          </w:p>
        </w:tc>
      </w:tr>
      <w:tr w:rsidR="00846ACC" w:rsidRPr="004974C0" w14:paraId="7AAD56C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A9E4EF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Kapitalni projekt K300002 Rekonstrukcija rive Rabac</w:t>
            </w:r>
          </w:p>
        </w:tc>
        <w:tc>
          <w:tcPr>
            <w:tcW w:w="1984" w:type="dxa"/>
            <w:tcBorders>
              <w:top w:val="nil"/>
              <w:left w:val="nil"/>
              <w:bottom w:val="single" w:sz="4" w:space="0" w:color="auto"/>
              <w:right w:val="single" w:sz="4" w:space="0" w:color="auto"/>
            </w:tcBorders>
            <w:shd w:val="clear" w:color="000000" w:fill="CCCCFF"/>
            <w:noWrap/>
            <w:vAlign w:val="bottom"/>
            <w:hideMark/>
          </w:tcPr>
          <w:p w14:paraId="16473ED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4643201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15.930,00</w:t>
            </w:r>
          </w:p>
        </w:tc>
        <w:tc>
          <w:tcPr>
            <w:tcW w:w="1843" w:type="dxa"/>
            <w:tcBorders>
              <w:top w:val="nil"/>
              <w:left w:val="nil"/>
              <w:bottom w:val="single" w:sz="4" w:space="0" w:color="auto"/>
              <w:right w:val="single" w:sz="4" w:space="0" w:color="auto"/>
            </w:tcBorders>
            <w:shd w:val="clear" w:color="000000" w:fill="CCCCFF"/>
            <w:noWrap/>
            <w:vAlign w:val="bottom"/>
            <w:hideMark/>
          </w:tcPr>
          <w:p w14:paraId="1832E59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739F173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394A83C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15.930,00</w:t>
            </w:r>
          </w:p>
        </w:tc>
      </w:tr>
      <w:tr w:rsidR="00846ACC" w:rsidRPr="004974C0" w14:paraId="736B562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6E818E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7.1. 7.PRIHODI OD NEFINANCIJSKE IMOVINE</w:t>
            </w:r>
          </w:p>
        </w:tc>
        <w:tc>
          <w:tcPr>
            <w:tcW w:w="1984" w:type="dxa"/>
            <w:tcBorders>
              <w:top w:val="nil"/>
              <w:left w:val="nil"/>
              <w:bottom w:val="single" w:sz="4" w:space="0" w:color="auto"/>
              <w:right w:val="single" w:sz="4" w:space="0" w:color="auto"/>
            </w:tcBorders>
            <w:shd w:val="clear" w:color="000000" w:fill="FFFF99"/>
            <w:noWrap/>
            <w:vAlign w:val="bottom"/>
            <w:hideMark/>
          </w:tcPr>
          <w:p w14:paraId="7110C16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AD8FBB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15.930,00</w:t>
            </w:r>
          </w:p>
        </w:tc>
        <w:tc>
          <w:tcPr>
            <w:tcW w:w="1843" w:type="dxa"/>
            <w:tcBorders>
              <w:top w:val="nil"/>
              <w:left w:val="nil"/>
              <w:bottom w:val="single" w:sz="4" w:space="0" w:color="auto"/>
              <w:right w:val="single" w:sz="4" w:space="0" w:color="auto"/>
            </w:tcBorders>
            <w:shd w:val="clear" w:color="000000" w:fill="FFFF99"/>
            <w:noWrap/>
            <w:vAlign w:val="bottom"/>
            <w:hideMark/>
          </w:tcPr>
          <w:p w14:paraId="613E61C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313A844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2CF2A33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15.930,00</w:t>
            </w:r>
          </w:p>
        </w:tc>
      </w:tr>
      <w:tr w:rsidR="00846ACC" w:rsidRPr="004974C0" w14:paraId="6FF1A12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7D42D3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1D69EB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193E4A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15.930,00</w:t>
            </w:r>
          </w:p>
        </w:tc>
        <w:tc>
          <w:tcPr>
            <w:tcW w:w="1843" w:type="dxa"/>
            <w:tcBorders>
              <w:top w:val="nil"/>
              <w:left w:val="nil"/>
              <w:bottom w:val="single" w:sz="4" w:space="0" w:color="auto"/>
              <w:right w:val="single" w:sz="4" w:space="0" w:color="auto"/>
            </w:tcBorders>
            <w:shd w:val="clear" w:color="auto" w:fill="auto"/>
            <w:noWrap/>
            <w:vAlign w:val="bottom"/>
            <w:hideMark/>
          </w:tcPr>
          <w:p w14:paraId="61B8363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304710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C7141A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15.930,00</w:t>
            </w:r>
          </w:p>
        </w:tc>
      </w:tr>
      <w:tr w:rsidR="00846ACC" w:rsidRPr="004974C0" w14:paraId="141BB60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3BF3E90" w14:textId="77777777" w:rsidR="004974C0" w:rsidRPr="004974C0" w:rsidRDefault="004974C0" w:rsidP="004974C0">
            <w:pPr>
              <w:rPr>
                <w:rFonts w:ascii="Arial" w:hAnsi="Arial" w:cs="Arial"/>
                <w:sz w:val="20"/>
                <w:szCs w:val="20"/>
              </w:rPr>
            </w:pPr>
            <w:r w:rsidRPr="004974C0">
              <w:rPr>
                <w:rFonts w:ascii="Arial" w:hAnsi="Arial" w:cs="Arial"/>
                <w:sz w:val="20"/>
                <w:szCs w:val="20"/>
              </w:rPr>
              <w:t>38</w:t>
            </w:r>
          </w:p>
        </w:tc>
        <w:tc>
          <w:tcPr>
            <w:tcW w:w="1984" w:type="dxa"/>
            <w:tcBorders>
              <w:top w:val="nil"/>
              <w:left w:val="nil"/>
              <w:bottom w:val="single" w:sz="4" w:space="0" w:color="auto"/>
              <w:right w:val="single" w:sz="4" w:space="0" w:color="auto"/>
            </w:tcBorders>
            <w:shd w:val="clear" w:color="auto" w:fill="auto"/>
            <w:noWrap/>
            <w:vAlign w:val="bottom"/>
            <w:hideMark/>
          </w:tcPr>
          <w:p w14:paraId="7ACFF08D"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donacije, kazne, naknade šteta i kapitalne pomoći</w:t>
            </w:r>
          </w:p>
        </w:tc>
        <w:tc>
          <w:tcPr>
            <w:tcW w:w="1843" w:type="dxa"/>
            <w:tcBorders>
              <w:top w:val="nil"/>
              <w:left w:val="nil"/>
              <w:bottom w:val="single" w:sz="4" w:space="0" w:color="auto"/>
              <w:right w:val="single" w:sz="4" w:space="0" w:color="auto"/>
            </w:tcBorders>
            <w:shd w:val="clear" w:color="auto" w:fill="auto"/>
            <w:noWrap/>
            <w:vAlign w:val="bottom"/>
            <w:hideMark/>
          </w:tcPr>
          <w:p w14:paraId="164C540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15.930,00</w:t>
            </w:r>
          </w:p>
        </w:tc>
        <w:tc>
          <w:tcPr>
            <w:tcW w:w="1843" w:type="dxa"/>
            <w:tcBorders>
              <w:top w:val="nil"/>
              <w:left w:val="nil"/>
              <w:bottom w:val="single" w:sz="4" w:space="0" w:color="auto"/>
              <w:right w:val="single" w:sz="4" w:space="0" w:color="auto"/>
            </w:tcBorders>
            <w:shd w:val="clear" w:color="auto" w:fill="auto"/>
            <w:noWrap/>
            <w:vAlign w:val="bottom"/>
            <w:hideMark/>
          </w:tcPr>
          <w:p w14:paraId="09412FE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4D72E5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E1AC59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15.930,00</w:t>
            </w:r>
          </w:p>
        </w:tc>
      </w:tr>
      <w:tr w:rsidR="00846ACC" w:rsidRPr="004974C0" w14:paraId="29F26F3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622376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xml:space="preserve">Kapitalni projekt K300005 </w:t>
            </w:r>
            <w:proofErr w:type="spellStart"/>
            <w:r w:rsidRPr="004974C0">
              <w:rPr>
                <w:rFonts w:ascii="Arial" w:hAnsi="Arial" w:cs="Arial"/>
                <w:b/>
                <w:bCs/>
                <w:color w:val="000000"/>
                <w:sz w:val="20"/>
                <w:szCs w:val="20"/>
              </w:rPr>
              <w:t>Rekons</w:t>
            </w:r>
            <w:proofErr w:type="spellEnd"/>
            <w:r w:rsidRPr="004974C0">
              <w:rPr>
                <w:rFonts w:ascii="Arial" w:hAnsi="Arial" w:cs="Arial"/>
                <w:b/>
                <w:bCs/>
                <w:color w:val="000000"/>
                <w:sz w:val="20"/>
                <w:szCs w:val="20"/>
              </w:rPr>
              <w:t xml:space="preserve">. i sanacija velikog </w:t>
            </w:r>
            <w:proofErr w:type="spellStart"/>
            <w:r w:rsidRPr="004974C0">
              <w:rPr>
                <w:rFonts w:ascii="Arial" w:hAnsi="Arial" w:cs="Arial"/>
                <w:b/>
                <w:bCs/>
                <w:color w:val="000000"/>
                <w:sz w:val="20"/>
                <w:szCs w:val="20"/>
              </w:rPr>
              <w:t>kupatila,tople</w:t>
            </w:r>
            <w:proofErr w:type="spellEnd"/>
            <w:r w:rsidRPr="004974C0">
              <w:rPr>
                <w:rFonts w:ascii="Arial" w:hAnsi="Arial" w:cs="Arial"/>
                <w:b/>
                <w:bCs/>
                <w:color w:val="000000"/>
                <w:sz w:val="20"/>
                <w:szCs w:val="20"/>
              </w:rPr>
              <w:t xml:space="preserve"> veze i </w:t>
            </w:r>
            <w:proofErr w:type="spellStart"/>
            <w:r w:rsidRPr="004974C0">
              <w:rPr>
                <w:rFonts w:ascii="Arial" w:hAnsi="Arial" w:cs="Arial"/>
                <w:b/>
                <w:bCs/>
                <w:color w:val="000000"/>
                <w:sz w:val="20"/>
                <w:szCs w:val="20"/>
              </w:rPr>
              <w:t>šohta</w:t>
            </w:r>
            <w:proofErr w:type="spellEnd"/>
            <w:r w:rsidRPr="004974C0">
              <w:rPr>
                <w:rFonts w:ascii="Arial" w:hAnsi="Arial" w:cs="Arial"/>
                <w:b/>
                <w:bCs/>
                <w:color w:val="000000"/>
                <w:sz w:val="20"/>
                <w:szCs w:val="20"/>
              </w:rPr>
              <w:t xml:space="preserve"> u sklopu </w:t>
            </w:r>
            <w:proofErr w:type="spellStart"/>
            <w:r w:rsidRPr="004974C0">
              <w:rPr>
                <w:rFonts w:ascii="Arial" w:hAnsi="Arial" w:cs="Arial"/>
                <w:b/>
                <w:bCs/>
                <w:color w:val="000000"/>
                <w:sz w:val="20"/>
                <w:szCs w:val="20"/>
              </w:rPr>
              <w:t>rudar.komp</w:t>
            </w:r>
            <w:proofErr w:type="spellEnd"/>
            <w:r w:rsidRPr="004974C0">
              <w:rPr>
                <w:rFonts w:ascii="Arial" w:hAnsi="Arial" w:cs="Arial"/>
                <w:b/>
                <w:bCs/>
                <w:color w:val="000000"/>
                <w:sz w:val="20"/>
                <w:szCs w:val="20"/>
              </w:rPr>
              <w:t xml:space="preserve">. </w:t>
            </w:r>
            <w:proofErr w:type="spellStart"/>
            <w:r w:rsidRPr="004974C0">
              <w:rPr>
                <w:rFonts w:ascii="Arial" w:hAnsi="Arial" w:cs="Arial"/>
                <w:b/>
                <w:bCs/>
                <w:color w:val="000000"/>
                <w:sz w:val="20"/>
                <w:szCs w:val="20"/>
              </w:rPr>
              <w:t>Pijacal</w:t>
            </w:r>
            <w:proofErr w:type="spellEnd"/>
          </w:p>
        </w:tc>
        <w:tc>
          <w:tcPr>
            <w:tcW w:w="1984" w:type="dxa"/>
            <w:tcBorders>
              <w:top w:val="nil"/>
              <w:left w:val="nil"/>
              <w:bottom w:val="single" w:sz="4" w:space="0" w:color="auto"/>
              <w:right w:val="single" w:sz="4" w:space="0" w:color="auto"/>
            </w:tcBorders>
            <w:shd w:val="clear" w:color="000000" w:fill="CCCCFF"/>
            <w:noWrap/>
            <w:vAlign w:val="bottom"/>
            <w:hideMark/>
          </w:tcPr>
          <w:p w14:paraId="69B3571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2021A2F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261.050,00</w:t>
            </w:r>
          </w:p>
        </w:tc>
        <w:tc>
          <w:tcPr>
            <w:tcW w:w="1843" w:type="dxa"/>
            <w:tcBorders>
              <w:top w:val="nil"/>
              <w:left w:val="nil"/>
              <w:bottom w:val="single" w:sz="4" w:space="0" w:color="auto"/>
              <w:right w:val="single" w:sz="4" w:space="0" w:color="auto"/>
            </w:tcBorders>
            <w:shd w:val="clear" w:color="000000" w:fill="CCCCFF"/>
            <w:noWrap/>
            <w:vAlign w:val="bottom"/>
            <w:hideMark/>
          </w:tcPr>
          <w:p w14:paraId="4575B6B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38.450,00</w:t>
            </w:r>
          </w:p>
        </w:tc>
        <w:tc>
          <w:tcPr>
            <w:tcW w:w="1559" w:type="dxa"/>
            <w:tcBorders>
              <w:top w:val="nil"/>
              <w:left w:val="nil"/>
              <w:bottom w:val="single" w:sz="4" w:space="0" w:color="auto"/>
              <w:right w:val="single" w:sz="4" w:space="0" w:color="auto"/>
            </w:tcBorders>
            <w:shd w:val="clear" w:color="000000" w:fill="CCCCFF"/>
            <w:noWrap/>
            <w:vAlign w:val="bottom"/>
            <w:hideMark/>
          </w:tcPr>
          <w:p w14:paraId="4FF08F2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14,73</w:t>
            </w:r>
          </w:p>
        </w:tc>
        <w:tc>
          <w:tcPr>
            <w:tcW w:w="1803" w:type="dxa"/>
            <w:tcBorders>
              <w:top w:val="nil"/>
              <w:left w:val="nil"/>
              <w:bottom w:val="single" w:sz="4" w:space="0" w:color="auto"/>
              <w:right w:val="single" w:sz="4" w:space="0" w:color="auto"/>
            </w:tcBorders>
            <w:shd w:val="clear" w:color="000000" w:fill="CCCCFF"/>
            <w:noWrap/>
            <w:vAlign w:val="bottom"/>
            <w:hideMark/>
          </w:tcPr>
          <w:p w14:paraId="5AAFEBB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299.500,00</w:t>
            </w:r>
          </w:p>
        </w:tc>
      </w:tr>
      <w:tr w:rsidR="00846ACC" w:rsidRPr="004974C0" w14:paraId="44A658A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4A1A9D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58FD3F3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66E53C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81.550,00</w:t>
            </w:r>
          </w:p>
        </w:tc>
        <w:tc>
          <w:tcPr>
            <w:tcW w:w="1843" w:type="dxa"/>
            <w:tcBorders>
              <w:top w:val="nil"/>
              <w:left w:val="nil"/>
              <w:bottom w:val="single" w:sz="4" w:space="0" w:color="auto"/>
              <w:right w:val="single" w:sz="4" w:space="0" w:color="auto"/>
            </w:tcBorders>
            <w:shd w:val="clear" w:color="000000" w:fill="FFFF99"/>
            <w:noWrap/>
            <w:vAlign w:val="bottom"/>
            <w:hideMark/>
          </w:tcPr>
          <w:p w14:paraId="5191DC3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38.450,00</w:t>
            </w:r>
          </w:p>
        </w:tc>
        <w:tc>
          <w:tcPr>
            <w:tcW w:w="1559" w:type="dxa"/>
            <w:tcBorders>
              <w:top w:val="nil"/>
              <w:left w:val="nil"/>
              <w:bottom w:val="single" w:sz="4" w:space="0" w:color="auto"/>
              <w:right w:val="single" w:sz="4" w:space="0" w:color="auto"/>
            </w:tcBorders>
            <w:shd w:val="clear" w:color="000000" w:fill="FFFF99"/>
            <w:noWrap/>
            <w:vAlign w:val="bottom"/>
            <w:hideMark/>
          </w:tcPr>
          <w:p w14:paraId="63BA877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47,15</w:t>
            </w:r>
          </w:p>
        </w:tc>
        <w:tc>
          <w:tcPr>
            <w:tcW w:w="1803" w:type="dxa"/>
            <w:tcBorders>
              <w:top w:val="nil"/>
              <w:left w:val="nil"/>
              <w:bottom w:val="single" w:sz="4" w:space="0" w:color="auto"/>
              <w:right w:val="single" w:sz="4" w:space="0" w:color="auto"/>
            </w:tcBorders>
            <w:shd w:val="clear" w:color="000000" w:fill="FFFF99"/>
            <w:noWrap/>
            <w:vAlign w:val="bottom"/>
            <w:hideMark/>
          </w:tcPr>
          <w:p w14:paraId="05EBDDB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120.000,00</w:t>
            </w:r>
          </w:p>
        </w:tc>
      </w:tr>
      <w:tr w:rsidR="00846ACC" w:rsidRPr="004974C0" w14:paraId="3A9391B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CA3D2F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73E10E7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1BF4E90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81.550,00</w:t>
            </w:r>
          </w:p>
        </w:tc>
        <w:tc>
          <w:tcPr>
            <w:tcW w:w="1843" w:type="dxa"/>
            <w:tcBorders>
              <w:top w:val="nil"/>
              <w:left w:val="nil"/>
              <w:bottom w:val="single" w:sz="4" w:space="0" w:color="auto"/>
              <w:right w:val="single" w:sz="4" w:space="0" w:color="auto"/>
            </w:tcBorders>
            <w:shd w:val="clear" w:color="auto" w:fill="auto"/>
            <w:noWrap/>
            <w:vAlign w:val="bottom"/>
            <w:hideMark/>
          </w:tcPr>
          <w:p w14:paraId="1D9CD73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38.450,00</w:t>
            </w:r>
          </w:p>
        </w:tc>
        <w:tc>
          <w:tcPr>
            <w:tcW w:w="1559" w:type="dxa"/>
            <w:tcBorders>
              <w:top w:val="nil"/>
              <w:left w:val="nil"/>
              <w:bottom w:val="single" w:sz="4" w:space="0" w:color="auto"/>
              <w:right w:val="single" w:sz="4" w:space="0" w:color="auto"/>
            </w:tcBorders>
            <w:shd w:val="clear" w:color="auto" w:fill="auto"/>
            <w:noWrap/>
            <w:vAlign w:val="bottom"/>
            <w:hideMark/>
          </w:tcPr>
          <w:p w14:paraId="24F8FD6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47,15</w:t>
            </w:r>
          </w:p>
        </w:tc>
        <w:tc>
          <w:tcPr>
            <w:tcW w:w="1803" w:type="dxa"/>
            <w:tcBorders>
              <w:top w:val="nil"/>
              <w:left w:val="nil"/>
              <w:bottom w:val="single" w:sz="4" w:space="0" w:color="auto"/>
              <w:right w:val="single" w:sz="4" w:space="0" w:color="auto"/>
            </w:tcBorders>
            <w:shd w:val="clear" w:color="auto" w:fill="auto"/>
            <w:noWrap/>
            <w:vAlign w:val="bottom"/>
            <w:hideMark/>
          </w:tcPr>
          <w:p w14:paraId="7F1DF02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120.000,00</w:t>
            </w:r>
          </w:p>
        </w:tc>
      </w:tr>
      <w:tr w:rsidR="00846ACC" w:rsidRPr="004974C0" w14:paraId="6152563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A49E921"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1081740D"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514DE12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81.550,00</w:t>
            </w:r>
          </w:p>
        </w:tc>
        <w:tc>
          <w:tcPr>
            <w:tcW w:w="1843" w:type="dxa"/>
            <w:tcBorders>
              <w:top w:val="nil"/>
              <w:left w:val="nil"/>
              <w:bottom w:val="single" w:sz="4" w:space="0" w:color="auto"/>
              <w:right w:val="single" w:sz="4" w:space="0" w:color="auto"/>
            </w:tcBorders>
            <w:shd w:val="clear" w:color="auto" w:fill="auto"/>
            <w:noWrap/>
            <w:vAlign w:val="bottom"/>
            <w:hideMark/>
          </w:tcPr>
          <w:p w14:paraId="33C270A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38.450,00</w:t>
            </w:r>
          </w:p>
        </w:tc>
        <w:tc>
          <w:tcPr>
            <w:tcW w:w="1559" w:type="dxa"/>
            <w:tcBorders>
              <w:top w:val="nil"/>
              <w:left w:val="nil"/>
              <w:bottom w:val="single" w:sz="4" w:space="0" w:color="auto"/>
              <w:right w:val="single" w:sz="4" w:space="0" w:color="auto"/>
            </w:tcBorders>
            <w:shd w:val="clear" w:color="auto" w:fill="auto"/>
            <w:noWrap/>
            <w:vAlign w:val="bottom"/>
            <w:hideMark/>
          </w:tcPr>
          <w:p w14:paraId="4567887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47,15</w:t>
            </w:r>
          </w:p>
        </w:tc>
        <w:tc>
          <w:tcPr>
            <w:tcW w:w="1803" w:type="dxa"/>
            <w:tcBorders>
              <w:top w:val="nil"/>
              <w:left w:val="nil"/>
              <w:bottom w:val="single" w:sz="4" w:space="0" w:color="auto"/>
              <w:right w:val="single" w:sz="4" w:space="0" w:color="auto"/>
            </w:tcBorders>
            <w:shd w:val="clear" w:color="auto" w:fill="auto"/>
            <w:noWrap/>
            <w:vAlign w:val="bottom"/>
            <w:hideMark/>
          </w:tcPr>
          <w:p w14:paraId="2FEAE4A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120.000,00</w:t>
            </w:r>
          </w:p>
        </w:tc>
      </w:tr>
      <w:tr w:rsidR="00846ACC" w:rsidRPr="004974C0" w14:paraId="136558C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EC3939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4.3. OSTALI PRIHODI OD NEFINANCIJSKE IMOVINE</w:t>
            </w:r>
          </w:p>
        </w:tc>
        <w:tc>
          <w:tcPr>
            <w:tcW w:w="1984" w:type="dxa"/>
            <w:tcBorders>
              <w:top w:val="nil"/>
              <w:left w:val="nil"/>
              <w:bottom w:val="single" w:sz="4" w:space="0" w:color="auto"/>
              <w:right w:val="single" w:sz="4" w:space="0" w:color="auto"/>
            </w:tcBorders>
            <w:shd w:val="clear" w:color="000000" w:fill="FFFF99"/>
            <w:noWrap/>
            <w:vAlign w:val="bottom"/>
            <w:hideMark/>
          </w:tcPr>
          <w:p w14:paraId="2001E67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3F4331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w:t>
            </w:r>
          </w:p>
        </w:tc>
        <w:tc>
          <w:tcPr>
            <w:tcW w:w="1843" w:type="dxa"/>
            <w:tcBorders>
              <w:top w:val="nil"/>
              <w:left w:val="nil"/>
              <w:bottom w:val="single" w:sz="4" w:space="0" w:color="auto"/>
              <w:right w:val="single" w:sz="4" w:space="0" w:color="auto"/>
            </w:tcBorders>
            <w:shd w:val="clear" w:color="000000" w:fill="FFFF99"/>
            <w:noWrap/>
            <w:vAlign w:val="bottom"/>
            <w:hideMark/>
          </w:tcPr>
          <w:p w14:paraId="4A57A4A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1F53C10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6B2206A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w:t>
            </w:r>
          </w:p>
        </w:tc>
      </w:tr>
      <w:tr w:rsidR="00846ACC" w:rsidRPr="004974C0" w14:paraId="7175F1D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20CBCA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2DAE99D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1E502C3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1.500,00</w:t>
            </w:r>
          </w:p>
        </w:tc>
        <w:tc>
          <w:tcPr>
            <w:tcW w:w="1843" w:type="dxa"/>
            <w:tcBorders>
              <w:top w:val="nil"/>
              <w:left w:val="nil"/>
              <w:bottom w:val="single" w:sz="4" w:space="0" w:color="auto"/>
              <w:right w:val="single" w:sz="4" w:space="0" w:color="auto"/>
            </w:tcBorders>
            <w:shd w:val="clear" w:color="auto" w:fill="auto"/>
            <w:noWrap/>
            <w:vAlign w:val="bottom"/>
            <w:hideMark/>
          </w:tcPr>
          <w:p w14:paraId="04BCF76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06CC1F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75A623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1.500,00</w:t>
            </w:r>
          </w:p>
        </w:tc>
      </w:tr>
      <w:tr w:rsidR="00846ACC" w:rsidRPr="004974C0" w14:paraId="21AC082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4CC224B" w14:textId="77777777" w:rsidR="004974C0" w:rsidRPr="004974C0" w:rsidRDefault="004974C0" w:rsidP="004974C0">
            <w:pPr>
              <w:rPr>
                <w:rFonts w:ascii="Arial" w:hAnsi="Arial" w:cs="Arial"/>
                <w:sz w:val="20"/>
                <w:szCs w:val="20"/>
              </w:rPr>
            </w:pPr>
            <w:r w:rsidRPr="004974C0">
              <w:rPr>
                <w:rFonts w:ascii="Arial" w:hAnsi="Arial" w:cs="Arial"/>
                <w:sz w:val="20"/>
                <w:szCs w:val="20"/>
              </w:rPr>
              <w:lastRenderedPageBreak/>
              <w:t>42</w:t>
            </w:r>
          </w:p>
        </w:tc>
        <w:tc>
          <w:tcPr>
            <w:tcW w:w="1984" w:type="dxa"/>
            <w:tcBorders>
              <w:top w:val="nil"/>
              <w:left w:val="nil"/>
              <w:bottom w:val="single" w:sz="4" w:space="0" w:color="auto"/>
              <w:right w:val="single" w:sz="4" w:space="0" w:color="auto"/>
            </w:tcBorders>
            <w:shd w:val="clear" w:color="auto" w:fill="auto"/>
            <w:noWrap/>
            <w:vAlign w:val="bottom"/>
            <w:hideMark/>
          </w:tcPr>
          <w:p w14:paraId="364C78E1"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2EC61D3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1.500,00</w:t>
            </w:r>
          </w:p>
        </w:tc>
        <w:tc>
          <w:tcPr>
            <w:tcW w:w="1843" w:type="dxa"/>
            <w:tcBorders>
              <w:top w:val="nil"/>
              <w:left w:val="nil"/>
              <w:bottom w:val="single" w:sz="4" w:space="0" w:color="auto"/>
              <w:right w:val="single" w:sz="4" w:space="0" w:color="auto"/>
            </w:tcBorders>
            <w:shd w:val="clear" w:color="auto" w:fill="auto"/>
            <w:noWrap/>
            <w:vAlign w:val="bottom"/>
            <w:hideMark/>
          </w:tcPr>
          <w:p w14:paraId="015B99C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227361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553FA0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1.500,00</w:t>
            </w:r>
          </w:p>
        </w:tc>
      </w:tr>
      <w:tr w:rsidR="00846ACC" w:rsidRPr="004974C0" w14:paraId="594AAC6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FC13F9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7.1. 7.PRIHODI OD NEFINANCIJSKE IMOVINE</w:t>
            </w:r>
          </w:p>
        </w:tc>
        <w:tc>
          <w:tcPr>
            <w:tcW w:w="1984" w:type="dxa"/>
            <w:tcBorders>
              <w:top w:val="nil"/>
              <w:left w:val="nil"/>
              <w:bottom w:val="single" w:sz="4" w:space="0" w:color="auto"/>
              <w:right w:val="single" w:sz="4" w:space="0" w:color="auto"/>
            </w:tcBorders>
            <w:shd w:val="clear" w:color="000000" w:fill="FFFF99"/>
            <w:noWrap/>
            <w:vAlign w:val="bottom"/>
            <w:hideMark/>
          </w:tcPr>
          <w:p w14:paraId="13B1FC6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E2DE55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178.000,00</w:t>
            </w:r>
          </w:p>
        </w:tc>
        <w:tc>
          <w:tcPr>
            <w:tcW w:w="1843" w:type="dxa"/>
            <w:tcBorders>
              <w:top w:val="nil"/>
              <w:left w:val="nil"/>
              <w:bottom w:val="single" w:sz="4" w:space="0" w:color="auto"/>
              <w:right w:val="single" w:sz="4" w:space="0" w:color="auto"/>
            </w:tcBorders>
            <w:shd w:val="clear" w:color="000000" w:fill="FFFF99"/>
            <w:noWrap/>
            <w:vAlign w:val="bottom"/>
            <w:hideMark/>
          </w:tcPr>
          <w:p w14:paraId="31C3611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2F6FA0B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6874862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178.000,00</w:t>
            </w:r>
          </w:p>
        </w:tc>
      </w:tr>
      <w:tr w:rsidR="00846ACC" w:rsidRPr="004974C0" w14:paraId="70FC6AC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0C4D46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3A14EC8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4FC2B59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178.000,00</w:t>
            </w:r>
          </w:p>
        </w:tc>
        <w:tc>
          <w:tcPr>
            <w:tcW w:w="1843" w:type="dxa"/>
            <w:tcBorders>
              <w:top w:val="nil"/>
              <w:left w:val="nil"/>
              <w:bottom w:val="single" w:sz="4" w:space="0" w:color="auto"/>
              <w:right w:val="single" w:sz="4" w:space="0" w:color="auto"/>
            </w:tcBorders>
            <w:shd w:val="clear" w:color="auto" w:fill="auto"/>
            <w:noWrap/>
            <w:vAlign w:val="bottom"/>
            <w:hideMark/>
          </w:tcPr>
          <w:p w14:paraId="7BBDEED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080D81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9EFD64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178.000,00</w:t>
            </w:r>
          </w:p>
        </w:tc>
      </w:tr>
      <w:tr w:rsidR="00846ACC" w:rsidRPr="004974C0" w14:paraId="5C389D1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E98962E"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5EC6265F"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72BAE52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178.000,00</w:t>
            </w:r>
          </w:p>
        </w:tc>
        <w:tc>
          <w:tcPr>
            <w:tcW w:w="1843" w:type="dxa"/>
            <w:tcBorders>
              <w:top w:val="nil"/>
              <w:left w:val="nil"/>
              <w:bottom w:val="single" w:sz="4" w:space="0" w:color="auto"/>
              <w:right w:val="single" w:sz="4" w:space="0" w:color="auto"/>
            </w:tcBorders>
            <w:shd w:val="clear" w:color="auto" w:fill="auto"/>
            <w:noWrap/>
            <w:vAlign w:val="bottom"/>
            <w:hideMark/>
          </w:tcPr>
          <w:p w14:paraId="06F6C0F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354D66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8B2537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178.000,00</w:t>
            </w:r>
          </w:p>
        </w:tc>
      </w:tr>
      <w:tr w:rsidR="00846ACC" w:rsidRPr="004974C0" w14:paraId="7DA41B9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2F0A48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xml:space="preserve">Kapitalni projekt K300015 Dječji vrtić </w:t>
            </w:r>
            <w:proofErr w:type="spellStart"/>
            <w:r w:rsidRPr="004974C0">
              <w:rPr>
                <w:rFonts w:ascii="Arial" w:hAnsi="Arial" w:cs="Arial"/>
                <w:b/>
                <w:bCs/>
                <w:color w:val="000000"/>
                <w:sz w:val="20"/>
                <w:szCs w:val="20"/>
              </w:rPr>
              <w:t>Vinež</w:t>
            </w:r>
            <w:proofErr w:type="spellEnd"/>
            <w:r w:rsidRPr="004974C0">
              <w:rPr>
                <w:rFonts w:ascii="Arial" w:hAnsi="Arial" w:cs="Arial"/>
                <w:b/>
                <w:bCs/>
                <w:color w:val="000000"/>
                <w:sz w:val="20"/>
                <w:szCs w:val="20"/>
              </w:rPr>
              <w:t xml:space="preserve"> (novi)</w:t>
            </w:r>
          </w:p>
        </w:tc>
        <w:tc>
          <w:tcPr>
            <w:tcW w:w="1984" w:type="dxa"/>
            <w:tcBorders>
              <w:top w:val="nil"/>
              <w:left w:val="nil"/>
              <w:bottom w:val="single" w:sz="4" w:space="0" w:color="auto"/>
              <w:right w:val="single" w:sz="4" w:space="0" w:color="auto"/>
            </w:tcBorders>
            <w:shd w:val="clear" w:color="000000" w:fill="CCCCFF"/>
            <w:noWrap/>
            <w:vAlign w:val="bottom"/>
            <w:hideMark/>
          </w:tcPr>
          <w:p w14:paraId="64E38E1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08CF5FD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1.484.546,00</w:t>
            </w:r>
          </w:p>
        </w:tc>
        <w:tc>
          <w:tcPr>
            <w:tcW w:w="1843" w:type="dxa"/>
            <w:tcBorders>
              <w:top w:val="nil"/>
              <w:left w:val="nil"/>
              <w:bottom w:val="single" w:sz="4" w:space="0" w:color="auto"/>
              <w:right w:val="single" w:sz="4" w:space="0" w:color="auto"/>
            </w:tcBorders>
            <w:shd w:val="clear" w:color="000000" w:fill="CCCCFF"/>
            <w:noWrap/>
            <w:vAlign w:val="bottom"/>
            <w:hideMark/>
          </w:tcPr>
          <w:p w14:paraId="169D07F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399.837,00</w:t>
            </w:r>
          </w:p>
        </w:tc>
        <w:tc>
          <w:tcPr>
            <w:tcW w:w="1559" w:type="dxa"/>
            <w:tcBorders>
              <w:top w:val="nil"/>
              <w:left w:val="nil"/>
              <w:bottom w:val="single" w:sz="4" w:space="0" w:color="auto"/>
              <w:right w:val="single" w:sz="4" w:space="0" w:color="auto"/>
            </w:tcBorders>
            <w:shd w:val="clear" w:color="000000" w:fill="CCCCFF"/>
            <w:noWrap/>
            <w:vAlign w:val="bottom"/>
            <w:hideMark/>
          </w:tcPr>
          <w:p w14:paraId="2147331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26,93</w:t>
            </w:r>
          </w:p>
        </w:tc>
        <w:tc>
          <w:tcPr>
            <w:tcW w:w="1803" w:type="dxa"/>
            <w:tcBorders>
              <w:top w:val="nil"/>
              <w:left w:val="nil"/>
              <w:bottom w:val="single" w:sz="4" w:space="0" w:color="auto"/>
              <w:right w:val="single" w:sz="4" w:space="0" w:color="auto"/>
            </w:tcBorders>
            <w:shd w:val="clear" w:color="000000" w:fill="CCCCFF"/>
            <w:noWrap/>
            <w:vAlign w:val="bottom"/>
            <w:hideMark/>
          </w:tcPr>
          <w:p w14:paraId="437F170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1.884.383,00</w:t>
            </w:r>
          </w:p>
        </w:tc>
      </w:tr>
      <w:tr w:rsidR="00846ACC" w:rsidRPr="004974C0" w14:paraId="4F9D4E6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BC2A5A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155ABE9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54E20B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18.951,00</w:t>
            </w:r>
          </w:p>
        </w:tc>
        <w:tc>
          <w:tcPr>
            <w:tcW w:w="1843" w:type="dxa"/>
            <w:tcBorders>
              <w:top w:val="nil"/>
              <w:left w:val="nil"/>
              <w:bottom w:val="single" w:sz="4" w:space="0" w:color="auto"/>
              <w:right w:val="single" w:sz="4" w:space="0" w:color="auto"/>
            </w:tcBorders>
            <w:shd w:val="clear" w:color="000000" w:fill="FFFF99"/>
            <w:noWrap/>
            <w:vAlign w:val="bottom"/>
            <w:hideMark/>
          </w:tcPr>
          <w:p w14:paraId="3149C40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497.485,00</w:t>
            </w:r>
          </w:p>
        </w:tc>
        <w:tc>
          <w:tcPr>
            <w:tcW w:w="1559" w:type="dxa"/>
            <w:tcBorders>
              <w:top w:val="nil"/>
              <w:left w:val="nil"/>
              <w:bottom w:val="single" w:sz="4" w:space="0" w:color="auto"/>
              <w:right w:val="single" w:sz="4" w:space="0" w:color="auto"/>
            </w:tcBorders>
            <w:shd w:val="clear" w:color="000000" w:fill="FFFF99"/>
            <w:noWrap/>
            <w:vAlign w:val="bottom"/>
            <w:hideMark/>
          </w:tcPr>
          <w:p w14:paraId="75F124B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2.625,11</w:t>
            </w:r>
          </w:p>
        </w:tc>
        <w:tc>
          <w:tcPr>
            <w:tcW w:w="1803" w:type="dxa"/>
            <w:tcBorders>
              <w:top w:val="nil"/>
              <w:left w:val="nil"/>
              <w:bottom w:val="single" w:sz="4" w:space="0" w:color="auto"/>
              <w:right w:val="single" w:sz="4" w:space="0" w:color="auto"/>
            </w:tcBorders>
            <w:shd w:val="clear" w:color="000000" w:fill="FFFF99"/>
            <w:noWrap/>
            <w:vAlign w:val="bottom"/>
            <w:hideMark/>
          </w:tcPr>
          <w:p w14:paraId="3F197B5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516.436,00</w:t>
            </w:r>
          </w:p>
        </w:tc>
      </w:tr>
      <w:tr w:rsidR="00846ACC" w:rsidRPr="004974C0" w14:paraId="417508A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0D5E68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08F91DA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57F3AFB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18.951,00</w:t>
            </w:r>
          </w:p>
        </w:tc>
        <w:tc>
          <w:tcPr>
            <w:tcW w:w="1843" w:type="dxa"/>
            <w:tcBorders>
              <w:top w:val="nil"/>
              <w:left w:val="nil"/>
              <w:bottom w:val="single" w:sz="4" w:space="0" w:color="auto"/>
              <w:right w:val="single" w:sz="4" w:space="0" w:color="auto"/>
            </w:tcBorders>
            <w:shd w:val="clear" w:color="auto" w:fill="auto"/>
            <w:noWrap/>
            <w:vAlign w:val="bottom"/>
            <w:hideMark/>
          </w:tcPr>
          <w:p w14:paraId="3AA8D8B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497.485,00</w:t>
            </w:r>
          </w:p>
        </w:tc>
        <w:tc>
          <w:tcPr>
            <w:tcW w:w="1559" w:type="dxa"/>
            <w:tcBorders>
              <w:top w:val="nil"/>
              <w:left w:val="nil"/>
              <w:bottom w:val="single" w:sz="4" w:space="0" w:color="auto"/>
              <w:right w:val="single" w:sz="4" w:space="0" w:color="auto"/>
            </w:tcBorders>
            <w:shd w:val="clear" w:color="auto" w:fill="auto"/>
            <w:noWrap/>
            <w:vAlign w:val="bottom"/>
            <w:hideMark/>
          </w:tcPr>
          <w:p w14:paraId="7A8EF17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2.625,11</w:t>
            </w:r>
          </w:p>
        </w:tc>
        <w:tc>
          <w:tcPr>
            <w:tcW w:w="1803" w:type="dxa"/>
            <w:tcBorders>
              <w:top w:val="nil"/>
              <w:left w:val="nil"/>
              <w:bottom w:val="single" w:sz="4" w:space="0" w:color="auto"/>
              <w:right w:val="single" w:sz="4" w:space="0" w:color="auto"/>
            </w:tcBorders>
            <w:shd w:val="clear" w:color="auto" w:fill="auto"/>
            <w:noWrap/>
            <w:vAlign w:val="bottom"/>
            <w:hideMark/>
          </w:tcPr>
          <w:p w14:paraId="58D3692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516.436,00</w:t>
            </w:r>
          </w:p>
        </w:tc>
      </w:tr>
      <w:tr w:rsidR="00846ACC" w:rsidRPr="004974C0" w14:paraId="6C09F48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1D9DD90"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5E15B08E"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0123303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18.951,00</w:t>
            </w:r>
          </w:p>
        </w:tc>
        <w:tc>
          <w:tcPr>
            <w:tcW w:w="1843" w:type="dxa"/>
            <w:tcBorders>
              <w:top w:val="nil"/>
              <w:left w:val="nil"/>
              <w:bottom w:val="single" w:sz="4" w:space="0" w:color="auto"/>
              <w:right w:val="single" w:sz="4" w:space="0" w:color="auto"/>
            </w:tcBorders>
            <w:shd w:val="clear" w:color="auto" w:fill="auto"/>
            <w:noWrap/>
            <w:vAlign w:val="bottom"/>
            <w:hideMark/>
          </w:tcPr>
          <w:p w14:paraId="3DFDBF1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497.485,00</w:t>
            </w:r>
          </w:p>
        </w:tc>
        <w:tc>
          <w:tcPr>
            <w:tcW w:w="1559" w:type="dxa"/>
            <w:tcBorders>
              <w:top w:val="nil"/>
              <w:left w:val="nil"/>
              <w:bottom w:val="single" w:sz="4" w:space="0" w:color="auto"/>
              <w:right w:val="single" w:sz="4" w:space="0" w:color="auto"/>
            </w:tcBorders>
            <w:shd w:val="clear" w:color="auto" w:fill="auto"/>
            <w:noWrap/>
            <w:vAlign w:val="bottom"/>
            <w:hideMark/>
          </w:tcPr>
          <w:p w14:paraId="4A99B58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2.625,11</w:t>
            </w:r>
          </w:p>
        </w:tc>
        <w:tc>
          <w:tcPr>
            <w:tcW w:w="1803" w:type="dxa"/>
            <w:tcBorders>
              <w:top w:val="nil"/>
              <w:left w:val="nil"/>
              <w:bottom w:val="single" w:sz="4" w:space="0" w:color="auto"/>
              <w:right w:val="single" w:sz="4" w:space="0" w:color="auto"/>
            </w:tcBorders>
            <w:shd w:val="clear" w:color="auto" w:fill="auto"/>
            <w:noWrap/>
            <w:vAlign w:val="bottom"/>
            <w:hideMark/>
          </w:tcPr>
          <w:p w14:paraId="05D5898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516.436,00</w:t>
            </w:r>
          </w:p>
        </w:tc>
      </w:tr>
      <w:tr w:rsidR="00846ACC" w:rsidRPr="004974C0" w14:paraId="5694C96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4F7D6B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5.4. POMOĆI IZ DRŽAVNOG PRORAČUNA</w:t>
            </w:r>
          </w:p>
        </w:tc>
        <w:tc>
          <w:tcPr>
            <w:tcW w:w="1984" w:type="dxa"/>
            <w:tcBorders>
              <w:top w:val="nil"/>
              <w:left w:val="nil"/>
              <w:bottom w:val="single" w:sz="4" w:space="0" w:color="auto"/>
              <w:right w:val="single" w:sz="4" w:space="0" w:color="auto"/>
            </w:tcBorders>
            <w:shd w:val="clear" w:color="000000" w:fill="FFFF99"/>
            <w:noWrap/>
            <w:vAlign w:val="bottom"/>
            <w:hideMark/>
          </w:tcPr>
          <w:p w14:paraId="42F5BA8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80254F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232.000,00</w:t>
            </w:r>
          </w:p>
        </w:tc>
        <w:tc>
          <w:tcPr>
            <w:tcW w:w="1843" w:type="dxa"/>
            <w:tcBorders>
              <w:top w:val="nil"/>
              <w:left w:val="nil"/>
              <w:bottom w:val="single" w:sz="4" w:space="0" w:color="auto"/>
              <w:right w:val="single" w:sz="4" w:space="0" w:color="auto"/>
            </w:tcBorders>
            <w:shd w:val="clear" w:color="000000" w:fill="FFFF99"/>
            <w:noWrap/>
            <w:vAlign w:val="bottom"/>
            <w:hideMark/>
          </w:tcPr>
          <w:p w14:paraId="3C81715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84.319,00</w:t>
            </w:r>
          </w:p>
        </w:tc>
        <w:tc>
          <w:tcPr>
            <w:tcW w:w="1559" w:type="dxa"/>
            <w:tcBorders>
              <w:top w:val="nil"/>
              <w:left w:val="nil"/>
              <w:bottom w:val="single" w:sz="4" w:space="0" w:color="auto"/>
              <w:right w:val="single" w:sz="4" w:space="0" w:color="auto"/>
            </w:tcBorders>
            <w:shd w:val="clear" w:color="000000" w:fill="FFFF99"/>
            <w:noWrap/>
            <w:vAlign w:val="bottom"/>
            <w:hideMark/>
          </w:tcPr>
          <w:p w14:paraId="4CE64E5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36,34</w:t>
            </w:r>
          </w:p>
        </w:tc>
        <w:tc>
          <w:tcPr>
            <w:tcW w:w="1803" w:type="dxa"/>
            <w:tcBorders>
              <w:top w:val="nil"/>
              <w:left w:val="nil"/>
              <w:bottom w:val="single" w:sz="4" w:space="0" w:color="auto"/>
              <w:right w:val="single" w:sz="4" w:space="0" w:color="auto"/>
            </w:tcBorders>
            <w:shd w:val="clear" w:color="000000" w:fill="FFFF99"/>
            <w:noWrap/>
            <w:vAlign w:val="bottom"/>
            <w:hideMark/>
          </w:tcPr>
          <w:p w14:paraId="3A57D50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316.319,00</w:t>
            </w:r>
          </w:p>
        </w:tc>
      </w:tr>
      <w:tr w:rsidR="00846ACC" w:rsidRPr="004974C0" w14:paraId="505E3C0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4FE8BE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54499B1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26D0C05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232.000,00</w:t>
            </w:r>
          </w:p>
        </w:tc>
        <w:tc>
          <w:tcPr>
            <w:tcW w:w="1843" w:type="dxa"/>
            <w:tcBorders>
              <w:top w:val="nil"/>
              <w:left w:val="nil"/>
              <w:bottom w:val="single" w:sz="4" w:space="0" w:color="auto"/>
              <w:right w:val="single" w:sz="4" w:space="0" w:color="auto"/>
            </w:tcBorders>
            <w:shd w:val="clear" w:color="auto" w:fill="auto"/>
            <w:noWrap/>
            <w:vAlign w:val="bottom"/>
            <w:hideMark/>
          </w:tcPr>
          <w:p w14:paraId="316EA4E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84.319,00</w:t>
            </w:r>
          </w:p>
        </w:tc>
        <w:tc>
          <w:tcPr>
            <w:tcW w:w="1559" w:type="dxa"/>
            <w:tcBorders>
              <w:top w:val="nil"/>
              <w:left w:val="nil"/>
              <w:bottom w:val="single" w:sz="4" w:space="0" w:color="auto"/>
              <w:right w:val="single" w:sz="4" w:space="0" w:color="auto"/>
            </w:tcBorders>
            <w:shd w:val="clear" w:color="auto" w:fill="auto"/>
            <w:noWrap/>
            <w:vAlign w:val="bottom"/>
            <w:hideMark/>
          </w:tcPr>
          <w:p w14:paraId="7CB9756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36,34</w:t>
            </w:r>
          </w:p>
        </w:tc>
        <w:tc>
          <w:tcPr>
            <w:tcW w:w="1803" w:type="dxa"/>
            <w:tcBorders>
              <w:top w:val="nil"/>
              <w:left w:val="nil"/>
              <w:bottom w:val="single" w:sz="4" w:space="0" w:color="auto"/>
              <w:right w:val="single" w:sz="4" w:space="0" w:color="auto"/>
            </w:tcBorders>
            <w:shd w:val="clear" w:color="auto" w:fill="auto"/>
            <w:noWrap/>
            <w:vAlign w:val="bottom"/>
            <w:hideMark/>
          </w:tcPr>
          <w:p w14:paraId="71D9ECC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316.319,00</w:t>
            </w:r>
          </w:p>
        </w:tc>
      </w:tr>
      <w:tr w:rsidR="00846ACC" w:rsidRPr="004974C0" w14:paraId="7747891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A31C45D"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72470C3C"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2AAD3B9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232.000,00</w:t>
            </w:r>
          </w:p>
        </w:tc>
        <w:tc>
          <w:tcPr>
            <w:tcW w:w="1843" w:type="dxa"/>
            <w:tcBorders>
              <w:top w:val="nil"/>
              <w:left w:val="nil"/>
              <w:bottom w:val="single" w:sz="4" w:space="0" w:color="auto"/>
              <w:right w:val="single" w:sz="4" w:space="0" w:color="auto"/>
            </w:tcBorders>
            <w:shd w:val="clear" w:color="auto" w:fill="auto"/>
            <w:noWrap/>
            <w:vAlign w:val="bottom"/>
            <w:hideMark/>
          </w:tcPr>
          <w:p w14:paraId="52D3784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84.319,00</w:t>
            </w:r>
          </w:p>
        </w:tc>
        <w:tc>
          <w:tcPr>
            <w:tcW w:w="1559" w:type="dxa"/>
            <w:tcBorders>
              <w:top w:val="nil"/>
              <w:left w:val="nil"/>
              <w:bottom w:val="single" w:sz="4" w:space="0" w:color="auto"/>
              <w:right w:val="single" w:sz="4" w:space="0" w:color="auto"/>
            </w:tcBorders>
            <w:shd w:val="clear" w:color="auto" w:fill="auto"/>
            <w:noWrap/>
            <w:vAlign w:val="bottom"/>
            <w:hideMark/>
          </w:tcPr>
          <w:p w14:paraId="15B9272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36,34</w:t>
            </w:r>
          </w:p>
        </w:tc>
        <w:tc>
          <w:tcPr>
            <w:tcW w:w="1803" w:type="dxa"/>
            <w:tcBorders>
              <w:top w:val="nil"/>
              <w:left w:val="nil"/>
              <w:bottom w:val="single" w:sz="4" w:space="0" w:color="auto"/>
              <w:right w:val="single" w:sz="4" w:space="0" w:color="auto"/>
            </w:tcBorders>
            <w:shd w:val="clear" w:color="auto" w:fill="auto"/>
            <w:noWrap/>
            <w:vAlign w:val="bottom"/>
            <w:hideMark/>
          </w:tcPr>
          <w:p w14:paraId="7B1F352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316.319,00</w:t>
            </w:r>
          </w:p>
        </w:tc>
      </w:tr>
      <w:tr w:rsidR="00846ACC" w:rsidRPr="004974C0" w14:paraId="64F57AC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0E63028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7.1. 7.PRIHODI OD NEFINANCIJSKE IMOVINE</w:t>
            </w:r>
          </w:p>
        </w:tc>
        <w:tc>
          <w:tcPr>
            <w:tcW w:w="1984" w:type="dxa"/>
            <w:tcBorders>
              <w:top w:val="nil"/>
              <w:left w:val="nil"/>
              <w:bottom w:val="single" w:sz="4" w:space="0" w:color="auto"/>
              <w:right w:val="single" w:sz="4" w:space="0" w:color="auto"/>
            </w:tcBorders>
            <w:shd w:val="clear" w:color="000000" w:fill="FFFF99"/>
            <w:noWrap/>
            <w:vAlign w:val="bottom"/>
            <w:hideMark/>
          </w:tcPr>
          <w:p w14:paraId="0764164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5B6C46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1.233.595,00</w:t>
            </w:r>
          </w:p>
        </w:tc>
        <w:tc>
          <w:tcPr>
            <w:tcW w:w="1843" w:type="dxa"/>
            <w:tcBorders>
              <w:top w:val="nil"/>
              <w:left w:val="nil"/>
              <w:bottom w:val="single" w:sz="4" w:space="0" w:color="auto"/>
              <w:right w:val="single" w:sz="4" w:space="0" w:color="auto"/>
            </w:tcBorders>
            <w:shd w:val="clear" w:color="000000" w:fill="FFFF99"/>
            <w:noWrap/>
            <w:vAlign w:val="bottom"/>
            <w:hideMark/>
          </w:tcPr>
          <w:p w14:paraId="6F9AA3B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-181.967,00</w:t>
            </w:r>
          </w:p>
        </w:tc>
        <w:tc>
          <w:tcPr>
            <w:tcW w:w="1559" w:type="dxa"/>
            <w:tcBorders>
              <w:top w:val="nil"/>
              <w:left w:val="nil"/>
              <w:bottom w:val="single" w:sz="4" w:space="0" w:color="auto"/>
              <w:right w:val="single" w:sz="4" w:space="0" w:color="auto"/>
            </w:tcBorders>
            <w:shd w:val="clear" w:color="000000" w:fill="FFFF99"/>
            <w:noWrap/>
            <w:vAlign w:val="bottom"/>
            <w:hideMark/>
          </w:tcPr>
          <w:p w14:paraId="1A87E26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-14,75</w:t>
            </w:r>
          </w:p>
        </w:tc>
        <w:tc>
          <w:tcPr>
            <w:tcW w:w="1803" w:type="dxa"/>
            <w:tcBorders>
              <w:top w:val="nil"/>
              <w:left w:val="nil"/>
              <w:bottom w:val="single" w:sz="4" w:space="0" w:color="auto"/>
              <w:right w:val="single" w:sz="4" w:space="0" w:color="auto"/>
            </w:tcBorders>
            <w:shd w:val="clear" w:color="000000" w:fill="FFFF99"/>
            <w:noWrap/>
            <w:vAlign w:val="bottom"/>
            <w:hideMark/>
          </w:tcPr>
          <w:p w14:paraId="6A05360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1.051.628,00</w:t>
            </w:r>
          </w:p>
        </w:tc>
      </w:tr>
      <w:tr w:rsidR="00846ACC" w:rsidRPr="004974C0" w14:paraId="087E86D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8735FB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3D2C816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6F6DC2B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1.233.595,00</w:t>
            </w:r>
          </w:p>
        </w:tc>
        <w:tc>
          <w:tcPr>
            <w:tcW w:w="1843" w:type="dxa"/>
            <w:tcBorders>
              <w:top w:val="nil"/>
              <w:left w:val="nil"/>
              <w:bottom w:val="single" w:sz="4" w:space="0" w:color="auto"/>
              <w:right w:val="single" w:sz="4" w:space="0" w:color="auto"/>
            </w:tcBorders>
            <w:shd w:val="clear" w:color="auto" w:fill="auto"/>
            <w:noWrap/>
            <w:vAlign w:val="bottom"/>
            <w:hideMark/>
          </w:tcPr>
          <w:p w14:paraId="60D3759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-181.967,00</w:t>
            </w:r>
          </w:p>
        </w:tc>
        <w:tc>
          <w:tcPr>
            <w:tcW w:w="1559" w:type="dxa"/>
            <w:tcBorders>
              <w:top w:val="nil"/>
              <w:left w:val="nil"/>
              <w:bottom w:val="single" w:sz="4" w:space="0" w:color="auto"/>
              <w:right w:val="single" w:sz="4" w:space="0" w:color="auto"/>
            </w:tcBorders>
            <w:shd w:val="clear" w:color="auto" w:fill="auto"/>
            <w:noWrap/>
            <w:vAlign w:val="bottom"/>
            <w:hideMark/>
          </w:tcPr>
          <w:p w14:paraId="2B53FC8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-14,75</w:t>
            </w:r>
          </w:p>
        </w:tc>
        <w:tc>
          <w:tcPr>
            <w:tcW w:w="1803" w:type="dxa"/>
            <w:tcBorders>
              <w:top w:val="nil"/>
              <w:left w:val="nil"/>
              <w:bottom w:val="single" w:sz="4" w:space="0" w:color="auto"/>
              <w:right w:val="single" w:sz="4" w:space="0" w:color="auto"/>
            </w:tcBorders>
            <w:shd w:val="clear" w:color="auto" w:fill="auto"/>
            <w:noWrap/>
            <w:vAlign w:val="bottom"/>
            <w:hideMark/>
          </w:tcPr>
          <w:p w14:paraId="500C720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1.051.628,00</w:t>
            </w:r>
          </w:p>
        </w:tc>
      </w:tr>
      <w:tr w:rsidR="00846ACC" w:rsidRPr="004974C0" w14:paraId="0519CFA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9072D28"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235C55F0"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28599C2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1.233.595,00</w:t>
            </w:r>
          </w:p>
        </w:tc>
        <w:tc>
          <w:tcPr>
            <w:tcW w:w="1843" w:type="dxa"/>
            <w:tcBorders>
              <w:top w:val="nil"/>
              <w:left w:val="nil"/>
              <w:bottom w:val="single" w:sz="4" w:space="0" w:color="auto"/>
              <w:right w:val="single" w:sz="4" w:space="0" w:color="auto"/>
            </w:tcBorders>
            <w:shd w:val="clear" w:color="auto" w:fill="auto"/>
            <w:noWrap/>
            <w:vAlign w:val="bottom"/>
            <w:hideMark/>
          </w:tcPr>
          <w:p w14:paraId="10C82DF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-181.967,00</w:t>
            </w:r>
          </w:p>
        </w:tc>
        <w:tc>
          <w:tcPr>
            <w:tcW w:w="1559" w:type="dxa"/>
            <w:tcBorders>
              <w:top w:val="nil"/>
              <w:left w:val="nil"/>
              <w:bottom w:val="single" w:sz="4" w:space="0" w:color="auto"/>
              <w:right w:val="single" w:sz="4" w:space="0" w:color="auto"/>
            </w:tcBorders>
            <w:shd w:val="clear" w:color="auto" w:fill="auto"/>
            <w:noWrap/>
            <w:vAlign w:val="bottom"/>
            <w:hideMark/>
          </w:tcPr>
          <w:p w14:paraId="6A98B74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-14,75</w:t>
            </w:r>
          </w:p>
        </w:tc>
        <w:tc>
          <w:tcPr>
            <w:tcW w:w="1803" w:type="dxa"/>
            <w:tcBorders>
              <w:top w:val="nil"/>
              <w:left w:val="nil"/>
              <w:bottom w:val="single" w:sz="4" w:space="0" w:color="auto"/>
              <w:right w:val="single" w:sz="4" w:space="0" w:color="auto"/>
            </w:tcBorders>
            <w:shd w:val="clear" w:color="auto" w:fill="auto"/>
            <w:noWrap/>
            <w:vAlign w:val="bottom"/>
            <w:hideMark/>
          </w:tcPr>
          <w:p w14:paraId="7FBCB28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1.051.628,00</w:t>
            </w:r>
          </w:p>
        </w:tc>
      </w:tr>
      <w:tr w:rsidR="00846ACC" w:rsidRPr="004974C0" w14:paraId="02C382D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4A4098E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 xml:space="preserve">Kapitalni projekt K300018 Sportski kompleks </w:t>
            </w:r>
            <w:proofErr w:type="spellStart"/>
            <w:r w:rsidRPr="004974C0">
              <w:rPr>
                <w:rFonts w:ascii="Arial" w:hAnsi="Arial" w:cs="Arial"/>
                <w:b/>
                <w:bCs/>
                <w:color w:val="000000"/>
                <w:sz w:val="20"/>
                <w:szCs w:val="20"/>
              </w:rPr>
              <w:t>Vinež</w:t>
            </w:r>
            <w:proofErr w:type="spellEnd"/>
          </w:p>
        </w:tc>
        <w:tc>
          <w:tcPr>
            <w:tcW w:w="1984" w:type="dxa"/>
            <w:tcBorders>
              <w:top w:val="nil"/>
              <w:left w:val="nil"/>
              <w:bottom w:val="single" w:sz="4" w:space="0" w:color="auto"/>
              <w:right w:val="single" w:sz="4" w:space="0" w:color="auto"/>
            </w:tcBorders>
            <w:shd w:val="clear" w:color="000000" w:fill="CCCCFF"/>
            <w:noWrap/>
            <w:vAlign w:val="bottom"/>
            <w:hideMark/>
          </w:tcPr>
          <w:p w14:paraId="2B35CDB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4A211D5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170.525,00</w:t>
            </w:r>
          </w:p>
        </w:tc>
        <w:tc>
          <w:tcPr>
            <w:tcW w:w="1843" w:type="dxa"/>
            <w:tcBorders>
              <w:top w:val="nil"/>
              <w:left w:val="nil"/>
              <w:bottom w:val="single" w:sz="4" w:space="0" w:color="auto"/>
              <w:right w:val="single" w:sz="4" w:space="0" w:color="auto"/>
            </w:tcBorders>
            <w:shd w:val="clear" w:color="000000" w:fill="CCCCFF"/>
            <w:noWrap/>
            <w:vAlign w:val="bottom"/>
            <w:hideMark/>
          </w:tcPr>
          <w:p w14:paraId="736ED61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64.542,00</w:t>
            </w:r>
          </w:p>
        </w:tc>
        <w:tc>
          <w:tcPr>
            <w:tcW w:w="1559" w:type="dxa"/>
            <w:tcBorders>
              <w:top w:val="nil"/>
              <w:left w:val="nil"/>
              <w:bottom w:val="single" w:sz="4" w:space="0" w:color="auto"/>
              <w:right w:val="single" w:sz="4" w:space="0" w:color="auto"/>
            </w:tcBorders>
            <w:shd w:val="clear" w:color="000000" w:fill="CCCCFF"/>
            <w:noWrap/>
            <w:vAlign w:val="bottom"/>
            <w:hideMark/>
          </w:tcPr>
          <w:p w14:paraId="7E1706A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37,85</w:t>
            </w:r>
          </w:p>
        </w:tc>
        <w:tc>
          <w:tcPr>
            <w:tcW w:w="1803" w:type="dxa"/>
            <w:tcBorders>
              <w:top w:val="nil"/>
              <w:left w:val="nil"/>
              <w:bottom w:val="single" w:sz="4" w:space="0" w:color="auto"/>
              <w:right w:val="single" w:sz="4" w:space="0" w:color="auto"/>
            </w:tcBorders>
            <w:shd w:val="clear" w:color="000000" w:fill="CCCCFF"/>
            <w:noWrap/>
            <w:vAlign w:val="bottom"/>
            <w:hideMark/>
          </w:tcPr>
          <w:p w14:paraId="5466B1E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235.067,00</w:t>
            </w:r>
          </w:p>
        </w:tc>
      </w:tr>
      <w:tr w:rsidR="00846ACC" w:rsidRPr="004974C0" w14:paraId="5DB7094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17E89F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4.5. KOMUNALNI DOPRINOSI I DR. NAKNADE UTVRĐENE POSEBNIM ZAKONOM</w:t>
            </w:r>
          </w:p>
        </w:tc>
        <w:tc>
          <w:tcPr>
            <w:tcW w:w="1984" w:type="dxa"/>
            <w:tcBorders>
              <w:top w:val="nil"/>
              <w:left w:val="nil"/>
              <w:bottom w:val="single" w:sz="4" w:space="0" w:color="auto"/>
              <w:right w:val="single" w:sz="4" w:space="0" w:color="auto"/>
            </w:tcBorders>
            <w:shd w:val="clear" w:color="000000" w:fill="FFFF99"/>
            <w:noWrap/>
            <w:vAlign w:val="bottom"/>
            <w:hideMark/>
          </w:tcPr>
          <w:p w14:paraId="0E7F436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34A07F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0A2022A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149.645,00</w:t>
            </w:r>
          </w:p>
        </w:tc>
        <w:tc>
          <w:tcPr>
            <w:tcW w:w="1559" w:type="dxa"/>
            <w:tcBorders>
              <w:top w:val="nil"/>
              <w:left w:val="nil"/>
              <w:bottom w:val="single" w:sz="4" w:space="0" w:color="auto"/>
              <w:right w:val="single" w:sz="4" w:space="0" w:color="auto"/>
            </w:tcBorders>
            <w:shd w:val="clear" w:color="000000" w:fill="FFFF99"/>
            <w:noWrap/>
            <w:vAlign w:val="bottom"/>
            <w:hideMark/>
          </w:tcPr>
          <w:p w14:paraId="0DDE936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99"/>
            <w:noWrap/>
            <w:vAlign w:val="bottom"/>
            <w:hideMark/>
          </w:tcPr>
          <w:p w14:paraId="2EC8858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149.645,00</w:t>
            </w:r>
          </w:p>
        </w:tc>
      </w:tr>
      <w:tr w:rsidR="00846ACC" w:rsidRPr="004974C0" w14:paraId="5DBD61F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1EB809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52B2247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172D8E6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9BC962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149.645,00</w:t>
            </w:r>
          </w:p>
        </w:tc>
        <w:tc>
          <w:tcPr>
            <w:tcW w:w="1559" w:type="dxa"/>
            <w:tcBorders>
              <w:top w:val="nil"/>
              <w:left w:val="nil"/>
              <w:bottom w:val="single" w:sz="4" w:space="0" w:color="auto"/>
              <w:right w:val="single" w:sz="4" w:space="0" w:color="auto"/>
            </w:tcBorders>
            <w:shd w:val="clear" w:color="auto" w:fill="auto"/>
            <w:noWrap/>
            <w:vAlign w:val="bottom"/>
            <w:hideMark/>
          </w:tcPr>
          <w:p w14:paraId="62D836D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1BBDDC6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149.645,00</w:t>
            </w:r>
          </w:p>
        </w:tc>
      </w:tr>
      <w:tr w:rsidR="00846ACC" w:rsidRPr="004974C0" w14:paraId="2C732CE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5650971"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5028086B"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2AD7DEF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69096D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149.645,00</w:t>
            </w:r>
          </w:p>
        </w:tc>
        <w:tc>
          <w:tcPr>
            <w:tcW w:w="1559" w:type="dxa"/>
            <w:tcBorders>
              <w:top w:val="nil"/>
              <w:left w:val="nil"/>
              <w:bottom w:val="single" w:sz="4" w:space="0" w:color="auto"/>
              <w:right w:val="single" w:sz="4" w:space="0" w:color="auto"/>
            </w:tcBorders>
            <w:shd w:val="clear" w:color="auto" w:fill="auto"/>
            <w:noWrap/>
            <w:vAlign w:val="bottom"/>
            <w:hideMark/>
          </w:tcPr>
          <w:p w14:paraId="63F8C24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5940F7E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149.645,00</w:t>
            </w:r>
          </w:p>
        </w:tc>
      </w:tr>
      <w:tr w:rsidR="00846ACC" w:rsidRPr="004974C0" w14:paraId="2046855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98ED83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7.1. 7.PRIHODI OD NEFINANCIJSKE IMOVINE</w:t>
            </w:r>
          </w:p>
        </w:tc>
        <w:tc>
          <w:tcPr>
            <w:tcW w:w="1984" w:type="dxa"/>
            <w:tcBorders>
              <w:top w:val="nil"/>
              <w:left w:val="nil"/>
              <w:bottom w:val="single" w:sz="4" w:space="0" w:color="auto"/>
              <w:right w:val="single" w:sz="4" w:space="0" w:color="auto"/>
            </w:tcBorders>
            <w:shd w:val="clear" w:color="000000" w:fill="FFFF99"/>
            <w:noWrap/>
            <w:vAlign w:val="bottom"/>
            <w:hideMark/>
          </w:tcPr>
          <w:p w14:paraId="580A5DB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0BA599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170.525,00</w:t>
            </w:r>
          </w:p>
        </w:tc>
        <w:tc>
          <w:tcPr>
            <w:tcW w:w="1843" w:type="dxa"/>
            <w:tcBorders>
              <w:top w:val="nil"/>
              <w:left w:val="nil"/>
              <w:bottom w:val="single" w:sz="4" w:space="0" w:color="auto"/>
              <w:right w:val="single" w:sz="4" w:space="0" w:color="auto"/>
            </w:tcBorders>
            <w:shd w:val="clear" w:color="000000" w:fill="FFFF99"/>
            <w:noWrap/>
            <w:vAlign w:val="bottom"/>
            <w:hideMark/>
          </w:tcPr>
          <w:p w14:paraId="280B2E4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-85.103,00</w:t>
            </w:r>
          </w:p>
        </w:tc>
        <w:tc>
          <w:tcPr>
            <w:tcW w:w="1559" w:type="dxa"/>
            <w:tcBorders>
              <w:top w:val="nil"/>
              <w:left w:val="nil"/>
              <w:bottom w:val="single" w:sz="4" w:space="0" w:color="auto"/>
              <w:right w:val="single" w:sz="4" w:space="0" w:color="auto"/>
            </w:tcBorders>
            <w:shd w:val="clear" w:color="000000" w:fill="FFFF99"/>
            <w:noWrap/>
            <w:vAlign w:val="bottom"/>
            <w:hideMark/>
          </w:tcPr>
          <w:p w14:paraId="4FFC07E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-49,91</w:t>
            </w:r>
          </w:p>
        </w:tc>
        <w:tc>
          <w:tcPr>
            <w:tcW w:w="1803" w:type="dxa"/>
            <w:tcBorders>
              <w:top w:val="nil"/>
              <w:left w:val="nil"/>
              <w:bottom w:val="single" w:sz="4" w:space="0" w:color="auto"/>
              <w:right w:val="single" w:sz="4" w:space="0" w:color="auto"/>
            </w:tcBorders>
            <w:shd w:val="clear" w:color="000000" w:fill="FFFF99"/>
            <w:noWrap/>
            <w:vAlign w:val="bottom"/>
            <w:hideMark/>
          </w:tcPr>
          <w:p w14:paraId="12C8112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85.422,00</w:t>
            </w:r>
          </w:p>
        </w:tc>
      </w:tr>
      <w:tr w:rsidR="00846ACC" w:rsidRPr="004974C0" w14:paraId="3946899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C755C3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4D5F005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509C23E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170.525,00</w:t>
            </w:r>
          </w:p>
        </w:tc>
        <w:tc>
          <w:tcPr>
            <w:tcW w:w="1843" w:type="dxa"/>
            <w:tcBorders>
              <w:top w:val="nil"/>
              <w:left w:val="nil"/>
              <w:bottom w:val="single" w:sz="4" w:space="0" w:color="auto"/>
              <w:right w:val="single" w:sz="4" w:space="0" w:color="auto"/>
            </w:tcBorders>
            <w:shd w:val="clear" w:color="auto" w:fill="auto"/>
            <w:noWrap/>
            <w:vAlign w:val="bottom"/>
            <w:hideMark/>
          </w:tcPr>
          <w:p w14:paraId="111B28A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-85.103,00</w:t>
            </w:r>
          </w:p>
        </w:tc>
        <w:tc>
          <w:tcPr>
            <w:tcW w:w="1559" w:type="dxa"/>
            <w:tcBorders>
              <w:top w:val="nil"/>
              <w:left w:val="nil"/>
              <w:bottom w:val="single" w:sz="4" w:space="0" w:color="auto"/>
              <w:right w:val="single" w:sz="4" w:space="0" w:color="auto"/>
            </w:tcBorders>
            <w:shd w:val="clear" w:color="auto" w:fill="auto"/>
            <w:noWrap/>
            <w:vAlign w:val="bottom"/>
            <w:hideMark/>
          </w:tcPr>
          <w:p w14:paraId="59F30AD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-49,91</w:t>
            </w:r>
          </w:p>
        </w:tc>
        <w:tc>
          <w:tcPr>
            <w:tcW w:w="1803" w:type="dxa"/>
            <w:tcBorders>
              <w:top w:val="nil"/>
              <w:left w:val="nil"/>
              <w:bottom w:val="single" w:sz="4" w:space="0" w:color="auto"/>
              <w:right w:val="single" w:sz="4" w:space="0" w:color="auto"/>
            </w:tcBorders>
            <w:shd w:val="clear" w:color="auto" w:fill="auto"/>
            <w:noWrap/>
            <w:vAlign w:val="bottom"/>
            <w:hideMark/>
          </w:tcPr>
          <w:p w14:paraId="5BF3F68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85.422,00</w:t>
            </w:r>
          </w:p>
        </w:tc>
      </w:tr>
      <w:tr w:rsidR="00846ACC" w:rsidRPr="004974C0" w14:paraId="48258BC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21A38AE"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22FD5397"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6B7C7C4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170.525,00</w:t>
            </w:r>
          </w:p>
        </w:tc>
        <w:tc>
          <w:tcPr>
            <w:tcW w:w="1843" w:type="dxa"/>
            <w:tcBorders>
              <w:top w:val="nil"/>
              <w:left w:val="nil"/>
              <w:bottom w:val="single" w:sz="4" w:space="0" w:color="auto"/>
              <w:right w:val="single" w:sz="4" w:space="0" w:color="auto"/>
            </w:tcBorders>
            <w:shd w:val="clear" w:color="auto" w:fill="auto"/>
            <w:noWrap/>
            <w:vAlign w:val="bottom"/>
            <w:hideMark/>
          </w:tcPr>
          <w:p w14:paraId="21B99BD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-85.103,00</w:t>
            </w:r>
          </w:p>
        </w:tc>
        <w:tc>
          <w:tcPr>
            <w:tcW w:w="1559" w:type="dxa"/>
            <w:tcBorders>
              <w:top w:val="nil"/>
              <w:left w:val="nil"/>
              <w:bottom w:val="single" w:sz="4" w:space="0" w:color="auto"/>
              <w:right w:val="single" w:sz="4" w:space="0" w:color="auto"/>
            </w:tcBorders>
            <w:shd w:val="clear" w:color="auto" w:fill="auto"/>
            <w:noWrap/>
            <w:vAlign w:val="bottom"/>
            <w:hideMark/>
          </w:tcPr>
          <w:p w14:paraId="689D844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-49,91</w:t>
            </w:r>
          </w:p>
        </w:tc>
        <w:tc>
          <w:tcPr>
            <w:tcW w:w="1803" w:type="dxa"/>
            <w:tcBorders>
              <w:top w:val="nil"/>
              <w:left w:val="nil"/>
              <w:bottom w:val="single" w:sz="4" w:space="0" w:color="auto"/>
              <w:right w:val="single" w:sz="4" w:space="0" w:color="auto"/>
            </w:tcBorders>
            <w:shd w:val="clear" w:color="auto" w:fill="auto"/>
            <w:noWrap/>
            <w:vAlign w:val="bottom"/>
            <w:hideMark/>
          </w:tcPr>
          <w:p w14:paraId="7DE7FEC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85.422,00</w:t>
            </w:r>
          </w:p>
        </w:tc>
      </w:tr>
      <w:tr w:rsidR="00846ACC" w:rsidRPr="004974C0" w14:paraId="7338735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637044C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Kapitalni projekt K300028 Ostali poslovi vezani za izgradnju građevina javne namjene</w:t>
            </w:r>
          </w:p>
        </w:tc>
        <w:tc>
          <w:tcPr>
            <w:tcW w:w="1984" w:type="dxa"/>
            <w:tcBorders>
              <w:top w:val="nil"/>
              <w:left w:val="nil"/>
              <w:bottom w:val="single" w:sz="4" w:space="0" w:color="auto"/>
              <w:right w:val="single" w:sz="4" w:space="0" w:color="auto"/>
            </w:tcBorders>
            <w:shd w:val="clear" w:color="000000" w:fill="CCCCFF"/>
            <w:noWrap/>
            <w:vAlign w:val="bottom"/>
            <w:hideMark/>
          </w:tcPr>
          <w:p w14:paraId="650A9CC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32DFB2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14.295,00</w:t>
            </w:r>
          </w:p>
        </w:tc>
        <w:tc>
          <w:tcPr>
            <w:tcW w:w="1843" w:type="dxa"/>
            <w:tcBorders>
              <w:top w:val="nil"/>
              <w:left w:val="nil"/>
              <w:bottom w:val="single" w:sz="4" w:space="0" w:color="auto"/>
              <w:right w:val="single" w:sz="4" w:space="0" w:color="auto"/>
            </w:tcBorders>
            <w:shd w:val="clear" w:color="000000" w:fill="CCCCFF"/>
            <w:noWrap/>
            <w:vAlign w:val="bottom"/>
            <w:hideMark/>
          </w:tcPr>
          <w:p w14:paraId="7609C89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7061EBA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779A3D8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14.295,00</w:t>
            </w:r>
          </w:p>
        </w:tc>
      </w:tr>
      <w:tr w:rsidR="00846ACC" w:rsidRPr="004974C0" w14:paraId="2136285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7AD82B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367D2DB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B4F303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14.295,00</w:t>
            </w:r>
          </w:p>
        </w:tc>
        <w:tc>
          <w:tcPr>
            <w:tcW w:w="1843" w:type="dxa"/>
            <w:tcBorders>
              <w:top w:val="nil"/>
              <w:left w:val="nil"/>
              <w:bottom w:val="single" w:sz="4" w:space="0" w:color="auto"/>
              <w:right w:val="single" w:sz="4" w:space="0" w:color="auto"/>
            </w:tcBorders>
            <w:shd w:val="clear" w:color="000000" w:fill="FFFF99"/>
            <w:noWrap/>
            <w:vAlign w:val="bottom"/>
            <w:hideMark/>
          </w:tcPr>
          <w:p w14:paraId="27F8FE4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163EC27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00B7AB6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14.295,00</w:t>
            </w:r>
          </w:p>
        </w:tc>
      </w:tr>
      <w:tr w:rsidR="00846ACC" w:rsidRPr="004974C0" w14:paraId="4CD354F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5B565D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B11F51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AF34F4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14.295,00</w:t>
            </w:r>
          </w:p>
        </w:tc>
        <w:tc>
          <w:tcPr>
            <w:tcW w:w="1843" w:type="dxa"/>
            <w:tcBorders>
              <w:top w:val="nil"/>
              <w:left w:val="nil"/>
              <w:bottom w:val="single" w:sz="4" w:space="0" w:color="auto"/>
              <w:right w:val="single" w:sz="4" w:space="0" w:color="auto"/>
            </w:tcBorders>
            <w:shd w:val="clear" w:color="auto" w:fill="auto"/>
            <w:noWrap/>
            <w:vAlign w:val="bottom"/>
            <w:hideMark/>
          </w:tcPr>
          <w:p w14:paraId="73349F1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4C943A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8360E6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14.295,00</w:t>
            </w:r>
          </w:p>
        </w:tc>
      </w:tr>
      <w:tr w:rsidR="00846ACC" w:rsidRPr="004974C0" w14:paraId="5F7251A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2706A84"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0DB3266B"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CD58FE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12.965,00</w:t>
            </w:r>
          </w:p>
        </w:tc>
        <w:tc>
          <w:tcPr>
            <w:tcW w:w="1843" w:type="dxa"/>
            <w:tcBorders>
              <w:top w:val="nil"/>
              <w:left w:val="nil"/>
              <w:bottom w:val="single" w:sz="4" w:space="0" w:color="auto"/>
              <w:right w:val="single" w:sz="4" w:space="0" w:color="auto"/>
            </w:tcBorders>
            <w:shd w:val="clear" w:color="auto" w:fill="auto"/>
            <w:noWrap/>
            <w:vAlign w:val="bottom"/>
            <w:hideMark/>
          </w:tcPr>
          <w:p w14:paraId="17FE007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6637DA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1D8A65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12.965,00</w:t>
            </w:r>
          </w:p>
        </w:tc>
      </w:tr>
      <w:tr w:rsidR="00846ACC" w:rsidRPr="004974C0" w14:paraId="017D7F1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FB3BC7A" w14:textId="77777777" w:rsidR="004974C0" w:rsidRPr="004974C0" w:rsidRDefault="004974C0" w:rsidP="004974C0">
            <w:pPr>
              <w:rPr>
                <w:rFonts w:ascii="Arial" w:hAnsi="Arial" w:cs="Arial"/>
                <w:sz w:val="20"/>
                <w:szCs w:val="20"/>
              </w:rPr>
            </w:pPr>
            <w:r w:rsidRPr="004974C0">
              <w:rPr>
                <w:rFonts w:ascii="Arial" w:hAnsi="Arial" w:cs="Arial"/>
                <w:sz w:val="20"/>
                <w:szCs w:val="20"/>
              </w:rPr>
              <w:t>38</w:t>
            </w:r>
          </w:p>
        </w:tc>
        <w:tc>
          <w:tcPr>
            <w:tcW w:w="1984" w:type="dxa"/>
            <w:tcBorders>
              <w:top w:val="nil"/>
              <w:left w:val="nil"/>
              <w:bottom w:val="single" w:sz="4" w:space="0" w:color="auto"/>
              <w:right w:val="single" w:sz="4" w:space="0" w:color="auto"/>
            </w:tcBorders>
            <w:shd w:val="clear" w:color="auto" w:fill="auto"/>
            <w:noWrap/>
            <w:vAlign w:val="bottom"/>
            <w:hideMark/>
          </w:tcPr>
          <w:p w14:paraId="6D52665D"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donacije, kazne, naknade šteta i kapitalne pomoći</w:t>
            </w:r>
          </w:p>
        </w:tc>
        <w:tc>
          <w:tcPr>
            <w:tcW w:w="1843" w:type="dxa"/>
            <w:tcBorders>
              <w:top w:val="nil"/>
              <w:left w:val="nil"/>
              <w:bottom w:val="single" w:sz="4" w:space="0" w:color="auto"/>
              <w:right w:val="single" w:sz="4" w:space="0" w:color="auto"/>
            </w:tcBorders>
            <w:shd w:val="clear" w:color="auto" w:fill="auto"/>
            <w:noWrap/>
            <w:vAlign w:val="bottom"/>
            <w:hideMark/>
          </w:tcPr>
          <w:p w14:paraId="0D2DFA0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1.330,00</w:t>
            </w:r>
          </w:p>
        </w:tc>
        <w:tc>
          <w:tcPr>
            <w:tcW w:w="1843" w:type="dxa"/>
            <w:tcBorders>
              <w:top w:val="nil"/>
              <w:left w:val="nil"/>
              <w:bottom w:val="single" w:sz="4" w:space="0" w:color="auto"/>
              <w:right w:val="single" w:sz="4" w:space="0" w:color="auto"/>
            </w:tcBorders>
            <w:shd w:val="clear" w:color="auto" w:fill="auto"/>
            <w:noWrap/>
            <w:vAlign w:val="bottom"/>
            <w:hideMark/>
          </w:tcPr>
          <w:p w14:paraId="37DD4B9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FA9950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7C8129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1.330,00</w:t>
            </w:r>
          </w:p>
        </w:tc>
      </w:tr>
      <w:tr w:rsidR="00846ACC" w:rsidRPr="004974C0" w14:paraId="6A458AF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4681B8E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xml:space="preserve">Kapitalni projekt K300038 Obnova i prenamjena zgrade bivše škole </w:t>
            </w:r>
            <w:proofErr w:type="spellStart"/>
            <w:r w:rsidRPr="004974C0">
              <w:rPr>
                <w:rFonts w:ascii="Arial" w:hAnsi="Arial" w:cs="Arial"/>
                <w:b/>
                <w:bCs/>
                <w:color w:val="000000"/>
                <w:sz w:val="20"/>
                <w:szCs w:val="20"/>
              </w:rPr>
              <w:t>Ripenda</w:t>
            </w:r>
            <w:proofErr w:type="spellEnd"/>
            <w:r w:rsidRPr="004974C0">
              <w:rPr>
                <w:rFonts w:ascii="Arial" w:hAnsi="Arial" w:cs="Arial"/>
                <w:b/>
                <w:bCs/>
                <w:color w:val="000000"/>
                <w:sz w:val="20"/>
                <w:szCs w:val="20"/>
              </w:rPr>
              <w:t xml:space="preserve"> (zgr.k.č.321( k.č.2519) </w:t>
            </w:r>
            <w:proofErr w:type="spellStart"/>
            <w:r w:rsidRPr="004974C0">
              <w:rPr>
                <w:rFonts w:ascii="Arial" w:hAnsi="Arial" w:cs="Arial"/>
                <w:b/>
                <w:bCs/>
                <w:color w:val="000000"/>
                <w:sz w:val="20"/>
                <w:szCs w:val="20"/>
              </w:rPr>
              <w:t>k.o.Ripenda</w:t>
            </w:r>
            <w:proofErr w:type="spellEnd"/>
            <w:r w:rsidRPr="004974C0">
              <w:rPr>
                <w:rFonts w:ascii="Arial" w:hAnsi="Arial" w:cs="Arial"/>
                <w:b/>
                <w:bCs/>
                <w:color w:val="000000"/>
                <w:sz w:val="20"/>
                <w:szCs w:val="20"/>
              </w:rPr>
              <w:t>)</w:t>
            </w:r>
          </w:p>
        </w:tc>
        <w:tc>
          <w:tcPr>
            <w:tcW w:w="1984" w:type="dxa"/>
            <w:tcBorders>
              <w:top w:val="nil"/>
              <w:left w:val="nil"/>
              <w:bottom w:val="single" w:sz="4" w:space="0" w:color="auto"/>
              <w:right w:val="single" w:sz="4" w:space="0" w:color="auto"/>
            </w:tcBorders>
            <w:shd w:val="clear" w:color="000000" w:fill="CCCCFF"/>
            <w:noWrap/>
            <w:vAlign w:val="bottom"/>
            <w:hideMark/>
          </w:tcPr>
          <w:p w14:paraId="79A0239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0F81D50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332.625,00</w:t>
            </w:r>
          </w:p>
        </w:tc>
        <w:tc>
          <w:tcPr>
            <w:tcW w:w="1843" w:type="dxa"/>
            <w:tcBorders>
              <w:top w:val="nil"/>
              <w:left w:val="nil"/>
              <w:bottom w:val="single" w:sz="4" w:space="0" w:color="auto"/>
              <w:right w:val="single" w:sz="4" w:space="0" w:color="auto"/>
            </w:tcBorders>
            <w:shd w:val="clear" w:color="000000" w:fill="CCCCFF"/>
            <w:noWrap/>
            <w:vAlign w:val="bottom"/>
            <w:hideMark/>
          </w:tcPr>
          <w:p w14:paraId="02D58B7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5554109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150E8D0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332.625,00</w:t>
            </w:r>
          </w:p>
        </w:tc>
      </w:tr>
      <w:tr w:rsidR="00846ACC" w:rsidRPr="004974C0" w14:paraId="5538FC0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08F18A9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5.0. POMOĆI IZ FONDOVA EU</w:t>
            </w:r>
          </w:p>
        </w:tc>
        <w:tc>
          <w:tcPr>
            <w:tcW w:w="1984" w:type="dxa"/>
            <w:tcBorders>
              <w:top w:val="nil"/>
              <w:left w:val="nil"/>
              <w:bottom w:val="single" w:sz="4" w:space="0" w:color="auto"/>
              <w:right w:val="single" w:sz="4" w:space="0" w:color="auto"/>
            </w:tcBorders>
            <w:shd w:val="clear" w:color="000000" w:fill="FFFF99"/>
            <w:noWrap/>
            <w:vAlign w:val="bottom"/>
            <w:hideMark/>
          </w:tcPr>
          <w:p w14:paraId="355D85D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FE34BA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242.625,00</w:t>
            </w:r>
          </w:p>
        </w:tc>
        <w:tc>
          <w:tcPr>
            <w:tcW w:w="1843" w:type="dxa"/>
            <w:tcBorders>
              <w:top w:val="nil"/>
              <w:left w:val="nil"/>
              <w:bottom w:val="single" w:sz="4" w:space="0" w:color="auto"/>
              <w:right w:val="single" w:sz="4" w:space="0" w:color="auto"/>
            </w:tcBorders>
            <w:shd w:val="clear" w:color="000000" w:fill="FFFF99"/>
            <w:noWrap/>
            <w:vAlign w:val="bottom"/>
            <w:hideMark/>
          </w:tcPr>
          <w:p w14:paraId="2DDB719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56A1486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0462969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242.625,00</w:t>
            </w:r>
          </w:p>
        </w:tc>
      </w:tr>
      <w:tr w:rsidR="00846ACC" w:rsidRPr="004974C0" w14:paraId="467FA91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62936B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7625D23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23FE74D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242.625,00</w:t>
            </w:r>
          </w:p>
        </w:tc>
        <w:tc>
          <w:tcPr>
            <w:tcW w:w="1843" w:type="dxa"/>
            <w:tcBorders>
              <w:top w:val="nil"/>
              <w:left w:val="nil"/>
              <w:bottom w:val="single" w:sz="4" w:space="0" w:color="auto"/>
              <w:right w:val="single" w:sz="4" w:space="0" w:color="auto"/>
            </w:tcBorders>
            <w:shd w:val="clear" w:color="auto" w:fill="auto"/>
            <w:noWrap/>
            <w:vAlign w:val="bottom"/>
            <w:hideMark/>
          </w:tcPr>
          <w:p w14:paraId="73D5A62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65554D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2A5321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242.625,00</w:t>
            </w:r>
          </w:p>
        </w:tc>
      </w:tr>
      <w:tr w:rsidR="00846ACC" w:rsidRPr="004974C0" w14:paraId="22E7C4C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A85F62D" w14:textId="77777777" w:rsidR="004974C0" w:rsidRPr="004974C0" w:rsidRDefault="004974C0" w:rsidP="004974C0">
            <w:pPr>
              <w:rPr>
                <w:rFonts w:ascii="Arial" w:hAnsi="Arial" w:cs="Arial"/>
                <w:sz w:val="20"/>
                <w:szCs w:val="20"/>
              </w:rPr>
            </w:pPr>
            <w:r w:rsidRPr="004974C0">
              <w:rPr>
                <w:rFonts w:ascii="Arial" w:hAnsi="Arial" w:cs="Arial"/>
                <w:sz w:val="20"/>
                <w:szCs w:val="20"/>
              </w:rPr>
              <w:lastRenderedPageBreak/>
              <w:t>42</w:t>
            </w:r>
          </w:p>
        </w:tc>
        <w:tc>
          <w:tcPr>
            <w:tcW w:w="1984" w:type="dxa"/>
            <w:tcBorders>
              <w:top w:val="nil"/>
              <w:left w:val="nil"/>
              <w:bottom w:val="single" w:sz="4" w:space="0" w:color="auto"/>
              <w:right w:val="single" w:sz="4" w:space="0" w:color="auto"/>
            </w:tcBorders>
            <w:shd w:val="clear" w:color="auto" w:fill="auto"/>
            <w:noWrap/>
            <w:vAlign w:val="bottom"/>
            <w:hideMark/>
          </w:tcPr>
          <w:p w14:paraId="7041DFA1"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2A2D280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242.625,00</w:t>
            </w:r>
          </w:p>
        </w:tc>
        <w:tc>
          <w:tcPr>
            <w:tcW w:w="1843" w:type="dxa"/>
            <w:tcBorders>
              <w:top w:val="nil"/>
              <w:left w:val="nil"/>
              <w:bottom w:val="single" w:sz="4" w:space="0" w:color="auto"/>
              <w:right w:val="single" w:sz="4" w:space="0" w:color="auto"/>
            </w:tcBorders>
            <w:shd w:val="clear" w:color="auto" w:fill="auto"/>
            <w:noWrap/>
            <w:vAlign w:val="bottom"/>
            <w:hideMark/>
          </w:tcPr>
          <w:p w14:paraId="2165C78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8A51D6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164CBB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242.625,00</w:t>
            </w:r>
          </w:p>
        </w:tc>
      </w:tr>
      <w:tr w:rsidR="00846ACC" w:rsidRPr="004974C0" w14:paraId="0471282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075FBD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5.5. POMOĆI IZ ŽUPANIJSKOG PRORAČUNA</w:t>
            </w:r>
          </w:p>
        </w:tc>
        <w:tc>
          <w:tcPr>
            <w:tcW w:w="1984" w:type="dxa"/>
            <w:tcBorders>
              <w:top w:val="nil"/>
              <w:left w:val="nil"/>
              <w:bottom w:val="single" w:sz="4" w:space="0" w:color="auto"/>
              <w:right w:val="single" w:sz="4" w:space="0" w:color="auto"/>
            </w:tcBorders>
            <w:shd w:val="clear" w:color="000000" w:fill="FFFF99"/>
            <w:noWrap/>
            <w:vAlign w:val="bottom"/>
            <w:hideMark/>
          </w:tcPr>
          <w:p w14:paraId="394A206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BC9A79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50.000,00</w:t>
            </w:r>
          </w:p>
        </w:tc>
        <w:tc>
          <w:tcPr>
            <w:tcW w:w="1843" w:type="dxa"/>
            <w:tcBorders>
              <w:top w:val="nil"/>
              <w:left w:val="nil"/>
              <w:bottom w:val="single" w:sz="4" w:space="0" w:color="auto"/>
              <w:right w:val="single" w:sz="4" w:space="0" w:color="auto"/>
            </w:tcBorders>
            <w:shd w:val="clear" w:color="000000" w:fill="FFFF99"/>
            <w:noWrap/>
            <w:vAlign w:val="bottom"/>
            <w:hideMark/>
          </w:tcPr>
          <w:p w14:paraId="32304BF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01DE13A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3FA3A80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50.000,00</w:t>
            </w:r>
          </w:p>
        </w:tc>
      </w:tr>
      <w:tr w:rsidR="00846ACC" w:rsidRPr="004974C0" w14:paraId="0C02668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41D247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6D0D0F6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2915776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50.000,00</w:t>
            </w:r>
          </w:p>
        </w:tc>
        <w:tc>
          <w:tcPr>
            <w:tcW w:w="1843" w:type="dxa"/>
            <w:tcBorders>
              <w:top w:val="nil"/>
              <w:left w:val="nil"/>
              <w:bottom w:val="single" w:sz="4" w:space="0" w:color="auto"/>
              <w:right w:val="single" w:sz="4" w:space="0" w:color="auto"/>
            </w:tcBorders>
            <w:shd w:val="clear" w:color="auto" w:fill="auto"/>
            <w:noWrap/>
            <w:vAlign w:val="bottom"/>
            <w:hideMark/>
          </w:tcPr>
          <w:p w14:paraId="37937EA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06F397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5FB7D4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50.000,00</w:t>
            </w:r>
          </w:p>
        </w:tc>
      </w:tr>
      <w:tr w:rsidR="00846ACC" w:rsidRPr="004974C0" w14:paraId="30CA226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32469C3"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36FA4F6F"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3BC616E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50.000,00</w:t>
            </w:r>
          </w:p>
        </w:tc>
        <w:tc>
          <w:tcPr>
            <w:tcW w:w="1843" w:type="dxa"/>
            <w:tcBorders>
              <w:top w:val="nil"/>
              <w:left w:val="nil"/>
              <w:bottom w:val="single" w:sz="4" w:space="0" w:color="auto"/>
              <w:right w:val="single" w:sz="4" w:space="0" w:color="auto"/>
            </w:tcBorders>
            <w:shd w:val="clear" w:color="auto" w:fill="auto"/>
            <w:noWrap/>
            <w:vAlign w:val="bottom"/>
            <w:hideMark/>
          </w:tcPr>
          <w:p w14:paraId="3968D9D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679924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0ED75B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50.000,00</w:t>
            </w:r>
          </w:p>
        </w:tc>
      </w:tr>
      <w:tr w:rsidR="00846ACC" w:rsidRPr="004974C0" w14:paraId="6116D87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597C93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7.1. 7.PRIHODI OD NEFINANCIJSKE IMOVINE</w:t>
            </w:r>
          </w:p>
        </w:tc>
        <w:tc>
          <w:tcPr>
            <w:tcW w:w="1984" w:type="dxa"/>
            <w:tcBorders>
              <w:top w:val="nil"/>
              <w:left w:val="nil"/>
              <w:bottom w:val="single" w:sz="4" w:space="0" w:color="auto"/>
              <w:right w:val="single" w:sz="4" w:space="0" w:color="auto"/>
            </w:tcBorders>
            <w:shd w:val="clear" w:color="000000" w:fill="FFFF99"/>
            <w:noWrap/>
            <w:vAlign w:val="bottom"/>
            <w:hideMark/>
          </w:tcPr>
          <w:p w14:paraId="3B0E9CC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AA262F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40.000,00</w:t>
            </w:r>
          </w:p>
        </w:tc>
        <w:tc>
          <w:tcPr>
            <w:tcW w:w="1843" w:type="dxa"/>
            <w:tcBorders>
              <w:top w:val="nil"/>
              <w:left w:val="nil"/>
              <w:bottom w:val="single" w:sz="4" w:space="0" w:color="auto"/>
              <w:right w:val="single" w:sz="4" w:space="0" w:color="auto"/>
            </w:tcBorders>
            <w:shd w:val="clear" w:color="000000" w:fill="FFFF99"/>
            <w:noWrap/>
            <w:vAlign w:val="bottom"/>
            <w:hideMark/>
          </w:tcPr>
          <w:p w14:paraId="02BAF58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5968CE3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24BC265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40.000,00</w:t>
            </w:r>
          </w:p>
        </w:tc>
      </w:tr>
      <w:tr w:rsidR="00846ACC" w:rsidRPr="004974C0" w14:paraId="7A4FB87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47AAA9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30F0260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07EF779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40.000,00</w:t>
            </w:r>
          </w:p>
        </w:tc>
        <w:tc>
          <w:tcPr>
            <w:tcW w:w="1843" w:type="dxa"/>
            <w:tcBorders>
              <w:top w:val="nil"/>
              <w:left w:val="nil"/>
              <w:bottom w:val="single" w:sz="4" w:space="0" w:color="auto"/>
              <w:right w:val="single" w:sz="4" w:space="0" w:color="auto"/>
            </w:tcBorders>
            <w:shd w:val="clear" w:color="auto" w:fill="auto"/>
            <w:noWrap/>
            <w:vAlign w:val="bottom"/>
            <w:hideMark/>
          </w:tcPr>
          <w:p w14:paraId="08CCAE2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F42127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4CC3D1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40.000,00</w:t>
            </w:r>
          </w:p>
        </w:tc>
      </w:tr>
      <w:tr w:rsidR="00846ACC" w:rsidRPr="004974C0" w14:paraId="02DBFFC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F63F69B"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18F888A1"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119E46A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40.000,00</w:t>
            </w:r>
          </w:p>
        </w:tc>
        <w:tc>
          <w:tcPr>
            <w:tcW w:w="1843" w:type="dxa"/>
            <w:tcBorders>
              <w:top w:val="nil"/>
              <w:left w:val="nil"/>
              <w:bottom w:val="single" w:sz="4" w:space="0" w:color="auto"/>
              <w:right w:val="single" w:sz="4" w:space="0" w:color="auto"/>
            </w:tcBorders>
            <w:shd w:val="clear" w:color="auto" w:fill="auto"/>
            <w:noWrap/>
            <w:vAlign w:val="bottom"/>
            <w:hideMark/>
          </w:tcPr>
          <w:p w14:paraId="000A51E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6F5232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5532C6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40.000,00</w:t>
            </w:r>
          </w:p>
        </w:tc>
      </w:tr>
      <w:tr w:rsidR="00846ACC" w:rsidRPr="004974C0" w14:paraId="1FDD2F9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4CEF64C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xml:space="preserve">Kapitalni projekt K300040 Zgrada u ul. Aldo </w:t>
            </w:r>
            <w:proofErr w:type="spellStart"/>
            <w:r w:rsidRPr="004974C0">
              <w:rPr>
                <w:rFonts w:ascii="Arial" w:hAnsi="Arial" w:cs="Arial"/>
                <w:b/>
                <w:bCs/>
                <w:color w:val="000000"/>
                <w:sz w:val="20"/>
                <w:szCs w:val="20"/>
              </w:rPr>
              <w:t>Negri</w:t>
            </w:r>
            <w:proofErr w:type="spellEnd"/>
            <w:r w:rsidRPr="004974C0">
              <w:rPr>
                <w:rFonts w:ascii="Arial" w:hAnsi="Arial" w:cs="Arial"/>
                <w:b/>
                <w:bCs/>
                <w:color w:val="000000"/>
                <w:sz w:val="20"/>
                <w:szCs w:val="20"/>
              </w:rPr>
              <w:t xml:space="preserve"> 6 (k.č.1087 </w:t>
            </w:r>
            <w:proofErr w:type="spellStart"/>
            <w:r w:rsidRPr="004974C0">
              <w:rPr>
                <w:rFonts w:ascii="Arial" w:hAnsi="Arial" w:cs="Arial"/>
                <w:b/>
                <w:bCs/>
                <w:color w:val="000000"/>
                <w:sz w:val="20"/>
                <w:szCs w:val="20"/>
              </w:rPr>
              <w:t>k.o.Novi</w:t>
            </w:r>
            <w:proofErr w:type="spellEnd"/>
            <w:r w:rsidRPr="004974C0">
              <w:rPr>
                <w:rFonts w:ascii="Arial" w:hAnsi="Arial" w:cs="Arial"/>
                <w:b/>
                <w:bCs/>
                <w:color w:val="000000"/>
                <w:sz w:val="20"/>
                <w:szCs w:val="20"/>
              </w:rPr>
              <w:t xml:space="preserve"> Labin)</w:t>
            </w:r>
          </w:p>
        </w:tc>
        <w:tc>
          <w:tcPr>
            <w:tcW w:w="1984" w:type="dxa"/>
            <w:tcBorders>
              <w:top w:val="nil"/>
              <w:left w:val="nil"/>
              <w:bottom w:val="single" w:sz="4" w:space="0" w:color="auto"/>
              <w:right w:val="single" w:sz="4" w:space="0" w:color="auto"/>
            </w:tcBorders>
            <w:shd w:val="clear" w:color="000000" w:fill="CCCCFF"/>
            <w:noWrap/>
            <w:vAlign w:val="bottom"/>
            <w:hideMark/>
          </w:tcPr>
          <w:p w14:paraId="16F9318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70EF059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32.000,00</w:t>
            </w:r>
          </w:p>
        </w:tc>
        <w:tc>
          <w:tcPr>
            <w:tcW w:w="1843" w:type="dxa"/>
            <w:tcBorders>
              <w:top w:val="nil"/>
              <w:left w:val="nil"/>
              <w:bottom w:val="single" w:sz="4" w:space="0" w:color="auto"/>
              <w:right w:val="single" w:sz="4" w:space="0" w:color="auto"/>
            </w:tcBorders>
            <w:shd w:val="clear" w:color="000000" w:fill="CCCCFF"/>
            <w:noWrap/>
            <w:vAlign w:val="bottom"/>
            <w:hideMark/>
          </w:tcPr>
          <w:p w14:paraId="1CB5D54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06C509C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5013BA4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32.000,00</w:t>
            </w:r>
          </w:p>
        </w:tc>
      </w:tr>
      <w:tr w:rsidR="00846ACC" w:rsidRPr="004974C0" w14:paraId="0FE4C39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0377CE3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7.1. 7.PRIHODI OD NEFINANCIJSKE IMOVINE</w:t>
            </w:r>
          </w:p>
        </w:tc>
        <w:tc>
          <w:tcPr>
            <w:tcW w:w="1984" w:type="dxa"/>
            <w:tcBorders>
              <w:top w:val="nil"/>
              <w:left w:val="nil"/>
              <w:bottom w:val="single" w:sz="4" w:space="0" w:color="auto"/>
              <w:right w:val="single" w:sz="4" w:space="0" w:color="auto"/>
            </w:tcBorders>
            <w:shd w:val="clear" w:color="000000" w:fill="FFFF99"/>
            <w:noWrap/>
            <w:vAlign w:val="bottom"/>
            <w:hideMark/>
          </w:tcPr>
          <w:p w14:paraId="262EA7F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6EF5B7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32.000,00</w:t>
            </w:r>
          </w:p>
        </w:tc>
        <w:tc>
          <w:tcPr>
            <w:tcW w:w="1843" w:type="dxa"/>
            <w:tcBorders>
              <w:top w:val="nil"/>
              <w:left w:val="nil"/>
              <w:bottom w:val="single" w:sz="4" w:space="0" w:color="auto"/>
              <w:right w:val="single" w:sz="4" w:space="0" w:color="auto"/>
            </w:tcBorders>
            <w:shd w:val="clear" w:color="000000" w:fill="FFFF99"/>
            <w:noWrap/>
            <w:vAlign w:val="bottom"/>
            <w:hideMark/>
          </w:tcPr>
          <w:p w14:paraId="0795CEA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1925F3B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6003E13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32.000,00</w:t>
            </w:r>
          </w:p>
        </w:tc>
      </w:tr>
      <w:tr w:rsidR="00846ACC" w:rsidRPr="004974C0" w14:paraId="5202E63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63151C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3D1BF14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7404E9E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32.000,00</w:t>
            </w:r>
          </w:p>
        </w:tc>
        <w:tc>
          <w:tcPr>
            <w:tcW w:w="1843" w:type="dxa"/>
            <w:tcBorders>
              <w:top w:val="nil"/>
              <w:left w:val="nil"/>
              <w:bottom w:val="single" w:sz="4" w:space="0" w:color="auto"/>
              <w:right w:val="single" w:sz="4" w:space="0" w:color="auto"/>
            </w:tcBorders>
            <w:shd w:val="clear" w:color="auto" w:fill="auto"/>
            <w:noWrap/>
            <w:vAlign w:val="bottom"/>
            <w:hideMark/>
          </w:tcPr>
          <w:p w14:paraId="7B8EB92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D61226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2715CD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32.000,00</w:t>
            </w:r>
          </w:p>
        </w:tc>
      </w:tr>
      <w:tr w:rsidR="00846ACC" w:rsidRPr="004974C0" w14:paraId="76BA933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446A479"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3520944B"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3DE5CF0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32.000,00</w:t>
            </w:r>
          </w:p>
        </w:tc>
        <w:tc>
          <w:tcPr>
            <w:tcW w:w="1843" w:type="dxa"/>
            <w:tcBorders>
              <w:top w:val="nil"/>
              <w:left w:val="nil"/>
              <w:bottom w:val="single" w:sz="4" w:space="0" w:color="auto"/>
              <w:right w:val="single" w:sz="4" w:space="0" w:color="auto"/>
            </w:tcBorders>
            <w:shd w:val="clear" w:color="auto" w:fill="auto"/>
            <w:noWrap/>
            <w:vAlign w:val="bottom"/>
            <w:hideMark/>
          </w:tcPr>
          <w:p w14:paraId="3443E17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B2E36C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6F7426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32.000,00</w:t>
            </w:r>
          </w:p>
        </w:tc>
      </w:tr>
      <w:tr w:rsidR="00846ACC" w:rsidRPr="004974C0" w14:paraId="278BC5E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6EAFDC6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Kapitalni projekt K300042 Crkva Gospe od Karmela - obnova preslice</w:t>
            </w:r>
          </w:p>
        </w:tc>
        <w:tc>
          <w:tcPr>
            <w:tcW w:w="1984" w:type="dxa"/>
            <w:tcBorders>
              <w:top w:val="nil"/>
              <w:left w:val="nil"/>
              <w:bottom w:val="single" w:sz="4" w:space="0" w:color="auto"/>
              <w:right w:val="single" w:sz="4" w:space="0" w:color="auto"/>
            </w:tcBorders>
            <w:shd w:val="clear" w:color="000000" w:fill="CCCCFF"/>
            <w:noWrap/>
            <w:vAlign w:val="bottom"/>
            <w:hideMark/>
          </w:tcPr>
          <w:p w14:paraId="6BA8749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388E0F8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3CF6E1A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25.000,00</w:t>
            </w:r>
          </w:p>
        </w:tc>
        <w:tc>
          <w:tcPr>
            <w:tcW w:w="1559" w:type="dxa"/>
            <w:tcBorders>
              <w:top w:val="nil"/>
              <w:left w:val="nil"/>
              <w:bottom w:val="single" w:sz="4" w:space="0" w:color="auto"/>
              <w:right w:val="single" w:sz="4" w:space="0" w:color="auto"/>
            </w:tcBorders>
            <w:shd w:val="clear" w:color="000000" w:fill="CCCCFF"/>
            <w:noWrap/>
            <w:vAlign w:val="bottom"/>
            <w:hideMark/>
          </w:tcPr>
          <w:p w14:paraId="663B5FD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CCCCFF"/>
            <w:noWrap/>
            <w:vAlign w:val="bottom"/>
            <w:hideMark/>
          </w:tcPr>
          <w:p w14:paraId="0ED8A05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25.000,00</w:t>
            </w:r>
          </w:p>
        </w:tc>
      </w:tr>
      <w:tr w:rsidR="00846ACC" w:rsidRPr="004974C0" w14:paraId="0F3711E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835084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5.4. POMOĆI IZ DRŽAVNOG PRORAČUNA</w:t>
            </w:r>
          </w:p>
        </w:tc>
        <w:tc>
          <w:tcPr>
            <w:tcW w:w="1984" w:type="dxa"/>
            <w:tcBorders>
              <w:top w:val="nil"/>
              <w:left w:val="nil"/>
              <w:bottom w:val="single" w:sz="4" w:space="0" w:color="auto"/>
              <w:right w:val="single" w:sz="4" w:space="0" w:color="auto"/>
            </w:tcBorders>
            <w:shd w:val="clear" w:color="000000" w:fill="FFFF99"/>
            <w:noWrap/>
            <w:vAlign w:val="bottom"/>
            <w:hideMark/>
          </w:tcPr>
          <w:p w14:paraId="658AD32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9D3265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54734AD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12.000,00</w:t>
            </w:r>
          </w:p>
        </w:tc>
        <w:tc>
          <w:tcPr>
            <w:tcW w:w="1559" w:type="dxa"/>
            <w:tcBorders>
              <w:top w:val="nil"/>
              <w:left w:val="nil"/>
              <w:bottom w:val="single" w:sz="4" w:space="0" w:color="auto"/>
              <w:right w:val="single" w:sz="4" w:space="0" w:color="auto"/>
            </w:tcBorders>
            <w:shd w:val="clear" w:color="000000" w:fill="FFFF99"/>
            <w:noWrap/>
            <w:vAlign w:val="bottom"/>
            <w:hideMark/>
          </w:tcPr>
          <w:p w14:paraId="660A4B5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99"/>
            <w:noWrap/>
            <w:vAlign w:val="bottom"/>
            <w:hideMark/>
          </w:tcPr>
          <w:p w14:paraId="33F9BF9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12.000,00</w:t>
            </w:r>
          </w:p>
        </w:tc>
      </w:tr>
      <w:tr w:rsidR="00846ACC" w:rsidRPr="004974C0" w14:paraId="2B61FC2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EB6271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3D06F10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 xml:space="preserve">Rashodi za nabavu </w:t>
            </w:r>
            <w:r w:rsidRPr="004974C0">
              <w:rPr>
                <w:rFonts w:ascii="Arial" w:hAnsi="Arial" w:cs="Arial"/>
                <w:b/>
                <w:bCs/>
                <w:sz w:val="20"/>
                <w:szCs w:val="20"/>
              </w:rPr>
              <w:lastRenderedPageBreak/>
              <w:t>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4E59788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lastRenderedPageBreak/>
              <w:t>0,00</w:t>
            </w:r>
          </w:p>
        </w:tc>
        <w:tc>
          <w:tcPr>
            <w:tcW w:w="1843" w:type="dxa"/>
            <w:tcBorders>
              <w:top w:val="nil"/>
              <w:left w:val="nil"/>
              <w:bottom w:val="single" w:sz="4" w:space="0" w:color="auto"/>
              <w:right w:val="single" w:sz="4" w:space="0" w:color="auto"/>
            </w:tcBorders>
            <w:shd w:val="clear" w:color="auto" w:fill="auto"/>
            <w:noWrap/>
            <w:vAlign w:val="bottom"/>
            <w:hideMark/>
          </w:tcPr>
          <w:p w14:paraId="59729F5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12.000,00</w:t>
            </w:r>
          </w:p>
        </w:tc>
        <w:tc>
          <w:tcPr>
            <w:tcW w:w="1559" w:type="dxa"/>
            <w:tcBorders>
              <w:top w:val="nil"/>
              <w:left w:val="nil"/>
              <w:bottom w:val="single" w:sz="4" w:space="0" w:color="auto"/>
              <w:right w:val="single" w:sz="4" w:space="0" w:color="auto"/>
            </w:tcBorders>
            <w:shd w:val="clear" w:color="auto" w:fill="auto"/>
            <w:noWrap/>
            <w:vAlign w:val="bottom"/>
            <w:hideMark/>
          </w:tcPr>
          <w:p w14:paraId="1D58094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5568AA8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12.000,00</w:t>
            </w:r>
          </w:p>
        </w:tc>
      </w:tr>
      <w:tr w:rsidR="00846ACC" w:rsidRPr="004974C0" w14:paraId="2EC6B89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913C746" w14:textId="77777777" w:rsidR="004974C0" w:rsidRPr="004974C0" w:rsidRDefault="004974C0" w:rsidP="004974C0">
            <w:pPr>
              <w:rPr>
                <w:rFonts w:ascii="Arial" w:hAnsi="Arial" w:cs="Arial"/>
                <w:sz w:val="20"/>
                <w:szCs w:val="20"/>
              </w:rPr>
            </w:pPr>
            <w:r w:rsidRPr="004974C0">
              <w:rPr>
                <w:rFonts w:ascii="Arial" w:hAnsi="Arial" w:cs="Arial"/>
                <w:sz w:val="20"/>
                <w:szCs w:val="20"/>
              </w:rPr>
              <w:t>45</w:t>
            </w:r>
          </w:p>
        </w:tc>
        <w:tc>
          <w:tcPr>
            <w:tcW w:w="1984" w:type="dxa"/>
            <w:tcBorders>
              <w:top w:val="nil"/>
              <w:left w:val="nil"/>
              <w:bottom w:val="single" w:sz="4" w:space="0" w:color="auto"/>
              <w:right w:val="single" w:sz="4" w:space="0" w:color="auto"/>
            </w:tcBorders>
            <w:shd w:val="clear" w:color="auto" w:fill="auto"/>
            <w:noWrap/>
            <w:vAlign w:val="bottom"/>
            <w:hideMark/>
          </w:tcPr>
          <w:p w14:paraId="36D0B779"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dodatna ulaganja na nefinancijskoj imovini</w:t>
            </w:r>
          </w:p>
        </w:tc>
        <w:tc>
          <w:tcPr>
            <w:tcW w:w="1843" w:type="dxa"/>
            <w:tcBorders>
              <w:top w:val="nil"/>
              <w:left w:val="nil"/>
              <w:bottom w:val="single" w:sz="4" w:space="0" w:color="auto"/>
              <w:right w:val="single" w:sz="4" w:space="0" w:color="auto"/>
            </w:tcBorders>
            <w:shd w:val="clear" w:color="auto" w:fill="auto"/>
            <w:noWrap/>
            <w:vAlign w:val="bottom"/>
            <w:hideMark/>
          </w:tcPr>
          <w:p w14:paraId="001B7E2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9C2F51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12.000,00</w:t>
            </w:r>
          </w:p>
        </w:tc>
        <w:tc>
          <w:tcPr>
            <w:tcW w:w="1559" w:type="dxa"/>
            <w:tcBorders>
              <w:top w:val="nil"/>
              <w:left w:val="nil"/>
              <w:bottom w:val="single" w:sz="4" w:space="0" w:color="auto"/>
              <w:right w:val="single" w:sz="4" w:space="0" w:color="auto"/>
            </w:tcBorders>
            <w:shd w:val="clear" w:color="auto" w:fill="auto"/>
            <w:noWrap/>
            <w:vAlign w:val="bottom"/>
            <w:hideMark/>
          </w:tcPr>
          <w:p w14:paraId="0741F85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08E0AFD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12.000,00</w:t>
            </w:r>
          </w:p>
        </w:tc>
      </w:tr>
      <w:tr w:rsidR="00846ACC" w:rsidRPr="004974C0" w14:paraId="0A2D5D1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8A3C7B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7.1. 7.PRIHODI OD NEFINANCIJSKE IMOVINE</w:t>
            </w:r>
          </w:p>
        </w:tc>
        <w:tc>
          <w:tcPr>
            <w:tcW w:w="1984" w:type="dxa"/>
            <w:tcBorders>
              <w:top w:val="nil"/>
              <w:left w:val="nil"/>
              <w:bottom w:val="single" w:sz="4" w:space="0" w:color="auto"/>
              <w:right w:val="single" w:sz="4" w:space="0" w:color="auto"/>
            </w:tcBorders>
            <w:shd w:val="clear" w:color="000000" w:fill="FFFF99"/>
            <w:noWrap/>
            <w:vAlign w:val="bottom"/>
            <w:hideMark/>
          </w:tcPr>
          <w:p w14:paraId="5E31183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C7B997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4CBAC0F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13.000,00</w:t>
            </w:r>
          </w:p>
        </w:tc>
        <w:tc>
          <w:tcPr>
            <w:tcW w:w="1559" w:type="dxa"/>
            <w:tcBorders>
              <w:top w:val="nil"/>
              <w:left w:val="nil"/>
              <w:bottom w:val="single" w:sz="4" w:space="0" w:color="auto"/>
              <w:right w:val="single" w:sz="4" w:space="0" w:color="auto"/>
            </w:tcBorders>
            <w:shd w:val="clear" w:color="000000" w:fill="FFFF99"/>
            <w:noWrap/>
            <w:vAlign w:val="bottom"/>
            <w:hideMark/>
          </w:tcPr>
          <w:p w14:paraId="3388DA8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99"/>
            <w:noWrap/>
            <w:vAlign w:val="bottom"/>
            <w:hideMark/>
          </w:tcPr>
          <w:p w14:paraId="24346C5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13.000,00</w:t>
            </w:r>
          </w:p>
        </w:tc>
      </w:tr>
      <w:tr w:rsidR="00846ACC" w:rsidRPr="004974C0" w14:paraId="66BCDB7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959DFA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57E5D36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26EBBFB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D26397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13.000,00</w:t>
            </w:r>
          </w:p>
        </w:tc>
        <w:tc>
          <w:tcPr>
            <w:tcW w:w="1559" w:type="dxa"/>
            <w:tcBorders>
              <w:top w:val="nil"/>
              <w:left w:val="nil"/>
              <w:bottom w:val="single" w:sz="4" w:space="0" w:color="auto"/>
              <w:right w:val="single" w:sz="4" w:space="0" w:color="auto"/>
            </w:tcBorders>
            <w:shd w:val="clear" w:color="auto" w:fill="auto"/>
            <w:noWrap/>
            <w:vAlign w:val="bottom"/>
            <w:hideMark/>
          </w:tcPr>
          <w:p w14:paraId="7E76E18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31B7797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13.000,00</w:t>
            </w:r>
          </w:p>
        </w:tc>
      </w:tr>
      <w:tr w:rsidR="00846ACC" w:rsidRPr="004974C0" w14:paraId="331254A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63C7EBB" w14:textId="77777777" w:rsidR="004974C0" w:rsidRPr="004974C0" w:rsidRDefault="004974C0" w:rsidP="004974C0">
            <w:pPr>
              <w:rPr>
                <w:rFonts w:ascii="Arial" w:hAnsi="Arial" w:cs="Arial"/>
                <w:sz w:val="20"/>
                <w:szCs w:val="20"/>
              </w:rPr>
            </w:pPr>
            <w:r w:rsidRPr="004974C0">
              <w:rPr>
                <w:rFonts w:ascii="Arial" w:hAnsi="Arial" w:cs="Arial"/>
                <w:sz w:val="20"/>
                <w:szCs w:val="20"/>
              </w:rPr>
              <w:t>45</w:t>
            </w:r>
          </w:p>
        </w:tc>
        <w:tc>
          <w:tcPr>
            <w:tcW w:w="1984" w:type="dxa"/>
            <w:tcBorders>
              <w:top w:val="nil"/>
              <w:left w:val="nil"/>
              <w:bottom w:val="single" w:sz="4" w:space="0" w:color="auto"/>
              <w:right w:val="single" w:sz="4" w:space="0" w:color="auto"/>
            </w:tcBorders>
            <w:shd w:val="clear" w:color="auto" w:fill="auto"/>
            <w:noWrap/>
            <w:vAlign w:val="bottom"/>
            <w:hideMark/>
          </w:tcPr>
          <w:p w14:paraId="09D6BA9B"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dodatna ulaganja na nefinancijskoj imovini</w:t>
            </w:r>
          </w:p>
        </w:tc>
        <w:tc>
          <w:tcPr>
            <w:tcW w:w="1843" w:type="dxa"/>
            <w:tcBorders>
              <w:top w:val="nil"/>
              <w:left w:val="nil"/>
              <w:bottom w:val="single" w:sz="4" w:space="0" w:color="auto"/>
              <w:right w:val="single" w:sz="4" w:space="0" w:color="auto"/>
            </w:tcBorders>
            <w:shd w:val="clear" w:color="auto" w:fill="auto"/>
            <w:noWrap/>
            <w:vAlign w:val="bottom"/>
            <w:hideMark/>
          </w:tcPr>
          <w:p w14:paraId="0DC18AB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4F3C0C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13.000,00</w:t>
            </w:r>
          </w:p>
        </w:tc>
        <w:tc>
          <w:tcPr>
            <w:tcW w:w="1559" w:type="dxa"/>
            <w:tcBorders>
              <w:top w:val="nil"/>
              <w:left w:val="nil"/>
              <w:bottom w:val="single" w:sz="4" w:space="0" w:color="auto"/>
              <w:right w:val="single" w:sz="4" w:space="0" w:color="auto"/>
            </w:tcBorders>
            <w:shd w:val="clear" w:color="auto" w:fill="auto"/>
            <w:noWrap/>
            <w:vAlign w:val="bottom"/>
            <w:hideMark/>
          </w:tcPr>
          <w:p w14:paraId="2638AAB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66FA802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13.000,00</w:t>
            </w:r>
          </w:p>
        </w:tc>
      </w:tr>
      <w:tr w:rsidR="00846ACC" w:rsidRPr="004974C0" w14:paraId="2DA9329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6147066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3004 Komunalne vodne građevine i gospodarenje otpadom</w:t>
            </w:r>
          </w:p>
        </w:tc>
        <w:tc>
          <w:tcPr>
            <w:tcW w:w="1984" w:type="dxa"/>
            <w:tcBorders>
              <w:top w:val="nil"/>
              <w:left w:val="nil"/>
              <w:bottom w:val="single" w:sz="4" w:space="0" w:color="auto"/>
              <w:right w:val="single" w:sz="4" w:space="0" w:color="auto"/>
            </w:tcBorders>
            <w:shd w:val="clear" w:color="000000" w:fill="9999FF"/>
            <w:noWrap/>
            <w:vAlign w:val="bottom"/>
            <w:hideMark/>
          </w:tcPr>
          <w:p w14:paraId="7CCE696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15AF4EA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c>
          <w:tcPr>
            <w:tcW w:w="1843" w:type="dxa"/>
            <w:tcBorders>
              <w:top w:val="nil"/>
              <w:left w:val="nil"/>
              <w:bottom w:val="single" w:sz="4" w:space="0" w:color="auto"/>
              <w:right w:val="single" w:sz="4" w:space="0" w:color="auto"/>
            </w:tcBorders>
            <w:shd w:val="clear" w:color="000000" w:fill="9999FF"/>
            <w:noWrap/>
            <w:vAlign w:val="bottom"/>
            <w:hideMark/>
          </w:tcPr>
          <w:p w14:paraId="0169C87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9999FF"/>
            <w:noWrap/>
            <w:vAlign w:val="bottom"/>
            <w:hideMark/>
          </w:tcPr>
          <w:p w14:paraId="523C6EF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9999FF"/>
            <w:noWrap/>
            <w:vAlign w:val="bottom"/>
            <w:hideMark/>
          </w:tcPr>
          <w:p w14:paraId="737A15F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r>
      <w:tr w:rsidR="00846ACC" w:rsidRPr="004974C0" w14:paraId="3CE46D8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4F06BBE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Kapitalni projekt K300003 Odlagalište komunalnog otpada Cere</w:t>
            </w:r>
          </w:p>
        </w:tc>
        <w:tc>
          <w:tcPr>
            <w:tcW w:w="1984" w:type="dxa"/>
            <w:tcBorders>
              <w:top w:val="nil"/>
              <w:left w:val="nil"/>
              <w:bottom w:val="single" w:sz="4" w:space="0" w:color="auto"/>
              <w:right w:val="single" w:sz="4" w:space="0" w:color="auto"/>
            </w:tcBorders>
            <w:shd w:val="clear" w:color="000000" w:fill="CCCCFF"/>
            <w:noWrap/>
            <w:vAlign w:val="bottom"/>
            <w:hideMark/>
          </w:tcPr>
          <w:p w14:paraId="50642A3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2DB580B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c>
          <w:tcPr>
            <w:tcW w:w="1843" w:type="dxa"/>
            <w:tcBorders>
              <w:top w:val="nil"/>
              <w:left w:val="nil"/>
              <w:bottom w:val="single" w:sz="4" w:space="0" w:color="auto"/>
              <w:right w:val="single" w:sz="4" w:space="0" w:color="auto"/>
            </w:tcBorders>
            <w:shd w:val="clear" w:color="000000" w:fill="CCCCFF"/>
            <w:noWrap/>
            <w:vAlign w:val="bottom"/>
            <w:hideMark/>
          </w:tcPr>
          <w:p w14:paraId="2718A1F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77092E6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36462AC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r>
      <w:tr w:rsidR="00846ACC" w:rsidRPr="004974C0" w14:paraId="2637857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24A042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4.5. KOMUNALNI DOPRINOSI I DR. NAKNADE UTVRĐENE POSEBNIM ZAKONOM</w:t>
            </w:r>
          </w:p>
        </w:tc>
        <w:tc>
          <w:tcPr>
            <w:tcW w:w="1984" w:type="dxa"/>
            <w:tcBorders>
              <w:top w:val="nil"/>
              <w:left w:val="nil"/>
              <w:bottom w:val="single" w:sz="4" w:space="0" w:color="auto"/>
              <w:right w:val="single" w:sz="4" w:space="0" w:color="auto"/>
            </w:tcBorders>
            <w:shd w:val="clear" w:color="000000" w:fill="FFFF99"/>
            <w:noWrap/>
            <w:vAlign w:val="bottom"/>
            <w:hideMark/>
          </w:tcPr>
          <w:p w14:paraId="0C8ECDB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D760AF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c>
          <w:tcPr>
            <w:tcW w:w="1843" w:type="dxa"/>
            <w:tcBorders>
              <w:top w:val="nil"/>
              <w:left w:val="nil"/>
              <w:bottom w:val="single" w:sz="4" w:space="0" w:color="auto"/>
              <w:right w:val="single" w:sz="4" w:space="0" w:color="auto"/>
            </w:tcBorders>
            <w:shd w:val="clear" w:color="000000" w:fill="FFFF99"/>
            <w:noWrap/>
            <w:vAlign w:val="bottom"/>
            <w:hideMark/>
          </w:tcPr>
          <w:p w14:paraId="148F95C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6370AF6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7506F02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r>
      <w:tr w:rsidR="00846ACC" w:rsidRPr="004974C0" w14:paraId="71A51D8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B08381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55DA37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4554B3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4733A39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318E36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CD8BBB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r>
      <w:tr w:rsidR="00846ACC" w:rsidRPr="004974C0" w14:paraId="6B629C4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66AFF5D" w14:textId="77777777" w:rsidR="004974C0" w:rsidRPr="004974C0" w:rsidRDefault="004974C0" w:rsidP="004974C0">
            <w:pPr>
              <w:rPr>
                <w:rFonts w:ascii="Arial" w:hAnsi="Arial" w:cs="Arial"/>
                <w:sz w:val="20"/>
                <w:szCs w:val="20"/>
              </w:rPr>
            </w:pPr>
            <w:r w:rsidRPr="004974C0">
              <w:rPr>
                <w:rFonts w:ascii="Arial" w:hAnsi="Arial" w:cs="Arial"/>
                <w:sz w:val="20"/>
                <w:szCs w:val="20"/>
              </w:rPr>
              <w:t>38</w:t>
            </w:r>
          </w:p>
        </w:tc>
        <w:tc>
          <w:tcPr>
            <w:tcW w:w="1984" w:type="dxa"/>
            <w:tcBorders>
              <w:top w:val="nil"/>
              <w:left w:val="nil"/>
              <w:bottom w:val="single" w:sz="4" w:space="0" w:color="auto"/>
              <w:right w:val="single" w:sz="4" w:space="0" w:color="auto"/>
            </w:tcBorders>
            <w:shd w:val="clear" w:color="auto" w:fill="auto"/>
            <w:noWrap/>
            <w:vAlign w:val="bottom"/>
            <w:hideMark/>
          </w:tcPr>
          <w:p w14:paraId="31D37086"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donacije, kazne, naknade šteta i kapitalne pomoći</w:t>
            </w:r>
          </w:p>
        </w:tc>
        <w:tc>
          <w:tcPr>
            <w:tcW w:w="1843" w:type="dxa"/>
            <w:tcBorders>
              <w:top w:val="nil"/>
              <w:left w:val="nil"/>
              <w:bottom w:val="single" w:sz="4" w:space="0" w:color="auto"/>
              <w:right w:val="single" w:sz="4" w:space="0" w:color="auto"/>
            </w:tcBorders>
            <w:shd w:val="clear" w:color="auto" w:fill="auto"/>
            <w:noWrap/>
            <w:vAlign w:val="bottom"/>
            <w:hideMark/>
          </w:tcPr>
          <w:p w14:paraId="1790811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1DB478D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F8BA54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B501C8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r>
      <w:tr w:rsidR="00846ACC" w:rsidRPr="004974C0" w14:paraId="07F978C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000080"/>
            <w:noWrap/>
            <w:vAlign w:val="bottom"/>
            <w:hideMark/>
          </w:tcPr>
          <w:p w14:paraId="4111ABE7"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Razdjel 400 UPRAVNI ODJEL ZA KOMUNALNO GOSPODARSTVO I UPRAVLJANJE IMOVINOM</w:t>
            </w:r>
          </w:p>
        </w:tc>
        <w:tc>
          <w:tcPr>
            <w:tcW w:w="1984" w:type="dxa"/>
            <w:tcBorders>
              <w:top w:val="nil"/>
              <w:left w:val="nil"/>
              <w:bottom w:val="single" w:sz="4" w:space="0" w:color="auto"/>
              <w:right w:val="single" w:sz="4" w:space="0" w:color="auto"/>
            </w:tcBorders>
            <w:shd w:val="clear" w:color="000000" w:fill="000080"/>
            <w:noWrap/>
            <w:vAlign w:val="bottom"/>
            <w:hideMark/>
          </w:tcPr>
          <w:p w14:paraId="5DFC969B"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000080"/>
            <w:noWrap/>
            <w:vAlign w:val="bottom"/>
            <w:hideMark/>
          </w:tcPr>
          <w:p w14:paraId="3E2AA268"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2.646.025,00</w:t>
            </w:r>
          </w:p>
        </w:tc>
        <w:tc>
          <w:tcPr>
            <w:tcW w:w="1843" w:type="dxa"/>
            <w:tcBorders>
              <w:top w:val="nil"/>
              <w:left w:val="nil"/>
              <w:bottom w:val="single" w:sz="4" w:space="0" w:color="auto"/>
              <w:right w:val="single" w:sz="4" w:space="0" w:color="auto"/>
            </w:tcBorders>
            <w:shd w:val="clear" w:color="000000" w:fill="000080"/>
            <w:noWrap/>
            <w:vAlign w:val="bottom"/>
            <w:hideMark/>
          </w:tcPr>
          <w:p w14:paraId="04A5516B"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227.019,00</w:t>
            </w:r>
          </w:p>
        </w:tc>
        <w:tc>
          <w:tcPr>
            <w:tcW w:w="1559" w:type="dxa"/>
            <w:tcBorders>
              <w:top w:val="nil"/>
              <w:left w:val="nil"/>
              <w:bottom w:val="single" w:sz="4" w:space="0" w:color="auto"/>
              <w:right w:val="single" w:sz="4" w:space="0" w:color="auto"/>
            </w:tcBorders>
            <w:shd w:val="clear" w:color="000000" w:fill="000080"/>
            <w:noWrap/>
            <w:vAlign w:val="bottom"/>
            <w:hideMark/>
          </w:tcPr>
          <w:p w14:paraId="55311CFC"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8,58</w:t>
            </w:r>
          </w:p>
        </w:tc>
        <w:tc>
          <w:tcPr>
            <w:tcW w:w="1803" w:type="dxa"/>
            <w:tcBorders>
              <w:top w:val="nil"/>
              <w:left w:val="nil"/>
              <w:bottom w:val="single" w:sz="4" w:space="0" w:color="auto"/>
              <w:right w:val="single" w:sz="4" w:space="0" w:color="auto"/>
            </w:tcBorders>
            <w:shd w:val="clear" w:color="000000" w:fill="000080"/>
            <w:noWrap/>
            <w:vAlign w:val="bottom"/>
            <w:hideMark/>
          </w:tcPr>
          <w:p w14:paraId="5831C257"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2.873.044,00</w:t>
            </w:r>
          </w:p>
        </w:tc>
      </w:tr>
      <w:tr w:rsidR="00846ACC" w:rsidRPr="004974C0" w14:paraId="7594A9B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0000FF"/>
            <w:noWrap/>
            <w:vAlign w:val="bottom"/>
            <w:hideMark/>
          </w:tcPr>
          <w:p w14:paraId="089BE0E3"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Glava 40001 UPRAVNI ODJEL ZA KOMUNALNO GOSPODARSTVO I UPRAVLJANJE IMOVINOM</w:t>
            </w:r>
          </w:p>
        </w:tc>
        <w:tc>
          <w:tcPr>
            <w:tcW w:w="1984" w:type="dxa"/>
            <w:tcBorders>
              <w:top w:val="nil"/>
              <w:left w:val="nil"/>
              <w:bottom w:val="single" w:sz="4" w:space="0" w:color="auto"/>
              <w:right w:val="single" w:sz="4" w:space="0" w:color="auto"/>
            </w:tcBorders>
            <w:shd w:val="clear" w:color="000000" w:fill="0000FF"/>
            <w:noWrap/>
            <w:vAlign w:val="bottom"/>
            <w:hideMark/>
          </w:tcPr>
          <w:p w14:paraId="5F0F0F79"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0000FF"/>
            <w:noWrap/>
            <w:vAlign w:val="bottom"/>
            <w:hideMark/>
          </w:tcPr>
          <w:p w14:paraId="5FD178D6"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2.646.025,00</w:t>
            </w:r>
          </w:p>
        </w:tc>
        <w:tc>
          <w:tcPr>
            <w:tcW w:w="1843" w:type="dxa"/>
            <w:tcBorders>
              <w:top w:val="nil"/>
              <w:left w:val="nil"/>
              <w:bottom w:val="single" w:sz="4" w:space="0" w:color="auto"/>
              <w:right w:val="single" w:sz="4" w:space="0" w:color="auto"/>
            </w:tcBorders>
            <w:shd w:val="clear" w:color="000000" w:fill="0000FF"/>
            <w:noWrap/>
            <w:vAlign w:val="bottom"/>
            <w:hideMark/>
          </w:tcPr>
          <w:p w14:paraId="02158875"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227.019,00</w:t>
            </w:r>
          </w:p>
        </w:tc>
        <w:tc>
          <w:tcPr>
            <w:tcW w:w="1559" w:type="dxa"/>
            <w:tcBorders>
              <w:top w:val="nil"/>
              <w:left w:val="nil"/>
              <w:bottom w:val="single" w:sz="4" w:space="0" w:color="auto"/>
              <w:right w:val="single" w:sz="4" w:space="0" w:color="auto"/>
            </w:tcBorders>
            <w:shd w:val="clear" w:color="000000" w:fill="0000FF"/>
            <w:noWrap/>
            <w:vAlign w:val="bottom"/>
            <w:hideMark/>
          </w:tcPr>
          <w:p w14:paraId="0F209466"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8,58</w:t>
            </w:r>
          </w:p>
        </w:tc>
        <w:tc>
          <w:tcPr>
            <w:tcW w:w="1803" w:type="dxa"/>
            <w:tcBorders>
              <w:top w:val="nil"/>
              <w:left w:val="nil"/>
              <w:bottom w:val="single" w:sz="4" w:space="0" w:color="auto"/>
              <w:right w:val="single" w:sz="4" w:space="0" w:color="auto"/>
            </w:tcBorders>
            <w:shd w:val="clear" w:color="000000" w:fill="0000FF"/>
            <w:noWrap/>
            <w:vAlign w:val="bottom"/>
            <w:hideMark/>
          </w:tcPr>
          <w:p w14:paraId="6FE9C0C1"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2.873.044,00</w:t>
            </w:r>
          </w:p>
        </w:tc>
      </w:tr>
      <w:tr w:rsidR="00846ACC" w:rsidRPr="004974C0" w14:paraId="0DA98E0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633ED59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7C962B5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280AC9F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328.900,00</w:t>
            </w:r>
          </w:p>
        </w:tc>
        <w:tc>
          <w:tcPr>
            <w:tcW w:w="1843" w:type="dxa"/>
            <w:tcBorders>
              <w:top w:val="nil"/>
              <w:left w:val="nil"/>
              <w:bottom w:val="single" w:sz="4" w:space="0" w:color="auto"/>
              <w:right w:val="single" w:sz="4" w:space="0" w:color="auto"/>
            </w:tcBorders>
            <w:shd w:val="clear" w:color="000000" w:fill="FFFFFF"/>
            <w:noWrap/>
            <w:vAlign w:val="bottom"/>
            <w:hideMark/>
          </w:tcPr>
          <w:p w14:paraId="40F28BF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55.150,00</w:t>
            </w:r>
          </w:p>
        </w:tc>
        <w:tc>
          <w:tcPr>
            <w:tcW w:w="1559" w:type="dxa"/>
            <w:tcBorders>
              <w:top w:val="nil"/>
              <w:left w:val="nil"/>
              <w:bottom w:val="single" w:sz="4" w:space="0" w:color="auto"/>
              <w:right w:val="single" w:sz="4" w:space="0" w:color="auto"/>
            </w:tcBorders>
            <w:shd w:val="clear" w:color="000000" w:fill="FFFFFF"/>
            <w:noWrap/>
            <w:vAlign w:val="bottom"/>
            <w:hideMark/>
          </w:tcPr>
          <w:p w14:paraId="33EFE23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16,77</w:t>
            </w:r>
          </w:p>
        </w:tc>
        <w:tc>
          <w:tcPr>
            <w:tcW w:w="1803" w:type="dxa"/>
            <w:tcBorders>
              <w:top w:val="nil"/>
              <w:left w:val="nil"/>
              <w:bottom w:val="single" w:sz="4" w:space="0" w:color="auto"/>
              <w:right w:val="single" w:sz="4" w:space="0" w:color="auto"/>
            </w:tcBorders>
            <w:shd w:val="clear" w:color="000000" w:fill="FFFFFF"/>
            <w:noWrap/>
            <w:vAlign w:val="bottom"/>
            <w:hideMark/>
          </w:tcPr>
          <w:p w14:paraId="14C611E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384.050,00</w:t>
            </w:r>
          </w:p>
        </w:tc>
      </w:tr>
      <w:tr w:rsidR="00846ACC" w:rsidRPr="004974C0" w14:paraId="54342BB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CBB7F5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0010CE5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FC815F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328.900,00</w:t>
            </w:r>
          </w:p>
        </w:tc>
        <w:tc>
          <w:tcPr>
            <w:tcW w:w="1843" w:type="dxa"/>
            <w:tcBorders>
              <w:top w:val="nil"/>
              <w:left w:val="nil"/>
              <w:bottom w:val="single" w:sz="4" w:space="0" w:color="auto"/>
              <w:right w:val="single" w:sz="4" w:space="0" w:color="auto"/>
            </w:tcBorders>
            <w:shd w:val="clear" w:color="000000" w:fill="FFFFFF"/>
            <w:noWrap/>
            <w:vAlign w:val="bottom"/>
            <w:hideMark/>
          </w:tcPr>
          <w:p w14:paraId="59FEF64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55.150,00</w:t>
            </w:r>
          </w:p>
        </w:tc>
        <w:tc>
          <w:tcPr>
            <w:tcW w:w="1559" w:type="dxa"/>
            <w:tcBorders>
              <w:top w:val="nil"/>
              <w:left w:val="nil"/>
              <w:bottom w:val="single" w:sz="4" w:space="0" w:color="auto"/>
              <w:right w:val="single" w:sz="4" w:space="0" w:color="auto"/>
            </w:tcBorders>
            <w:shd w:val="clear" w:color="000000" w:fill="FFFFFF"/>
            <w:noWrap/>
            <w:vAlign w:val="bottom"/>
            <w:hideMark/>
          </w:tcPr>
          <w:p w14:paraId="253AD19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16,77</w:t>
            </w:r>
          </w:p>
        </w:tc>
        <w:tc>
          <w:tcPr>
            <w:tcW w:w="1803" w:type="dxa"/>
            <w:tcBorders>
              <w:top w:val="nil"/>
              <w:left w:val="nil"/>
              <w:bottom w:val="single" w:sz="4" w:space="0" w:color="auto"/>
              <w:right w:val="single" w:sz="4" w:space="0" w:color="auto"/>
            </w:tcBorders>
            <w:shd w:val="clear" w:color="000000" w:fill="FFFFFF"/>
            <w:noWrap/>
            <w:vAlign w:val="bottom"/>
            <w:hideMark/>
          </w:tcPr>
          <w:p w14:paraId="5C8778D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384.050,00</w:t>
            </w:r>
          </w:p>
        </w:tc>
      </w:tr>
      <w:tr w:rsidR="00846ACC" w:rsidRPr="004974C0" w14:paraId="4B4D929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707E1A9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 PRIHODI ZA POSEBNE NAMJENE</w:t>
            </w:r>
          </w:p>
        </w:tc>
        <w:tc>
          <w:tcPr>
            <w:tcW w:w="1984" w:type="dxa"/>
            <w:tcBorders>
              <w:top w:val="nil"/>
              <w:left w:val="nil"/>
              <w:bottom w:val="single" w:sz="4" w:space="0" w:color="auto"/>
              <w:right w:val="single" w:sz="4" w:space="0" w:color="auto"/>
            </w:tcBorders>
            <w:shd w:val="clear" w:color="000000" w:fill="FFFFFF"/>
            <w:noWrap/>
            <w:vAlign w:val="bottom"/>
            <w:hideMark/>
          </w:tcPr>
          <w:p w14:paraId="30CF108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2B93C9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2.305.125,00</w:t>
            </w:r>
          </w:p>
        </w:tc>
        <w:tc>
          <w:tcPr>
            <w:tcW w:w="1843" w:type="dxa"/>
            <w:tcBorders>
              <w:top w:val="nil"/>
              <w:left w:val="nil"/>
              <w:bottom w:val="single" w:sz="4" w:space="0" w:color="auto"/>
              <w:right w:val="single" w:sz="4" w:space="0" w:color="auto"/>
            </w:tcBorders>
            <w:shd w:val="clear" w:color="000000" w:fill="FFFFFF"/>
            <w:noWrap/>
            <w:vAlign w:val="bottom"/>
            <w:hideMark/>
          </w:tcPr>
          <w:p w14:paraId="6756663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89.034,00</w:t>
            </w:r>
          </w:p>
        </w:tc>
        <w:tc>
          <w:tcPr>
            <w:tcW w:w="1559" w:type="dxa"/>
            <w:tcBorders>
              <w:top w:val="nil"/>
              <w:left w:val="nil"/>
              <w:bottom w:val="single" w:sz="4" w:space="0" w:color="auto"/>
              <w:right w:val="single" w:sz="4" w:space="0" w:color="auto"/>
            </w:tcBorders>
            <w:shd w:val="clear" w:color="000000" w:fill="FFFFFF"/>
            <w:noWrap/>
            <w:vAlign w:val="bottom"/>
            <w:hideMark/>
          </w:tcPr>
          <w:p w14:paraId="789D15E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3,86</w:t>
            </w:r>
          </w:p>
        </w:tc>
        <w:tc>
          <w:tcPr>
            <w:tcW w:w="1803" w:type="dxa"/>
            <w:tcBorders>
              <w:top w:val="nil"/>
              <w:left w:val="nil"/>
              <w:bottom w:val="single" w:sz="4" w:space="0" w:color="auto"/>
              <w:right w:val="single" w:sz="4" w:space="0" w:color="auto"/>
            </w:tcBorders>
            <w:shd w:val="clear" w:color="000000" w:fill="FFFFFF"/>
            <w:noWrap/>
            <w:vAlign w:val="bottom"/>
            <w:hideMark/>
          </w:tcPr>
          <w:p w14:paraId="3D5D9C9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2.394.159,00</w:t>
            </w:r>
          </w:p>
        </w:tc>
      </w:tr>
      <w:tr w:rsidR="00846ACC" w:rsidRPr="004974C0" w14:paraId="7002D0A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79FD921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4.1. NAKNADA ZA KONCESIJE</w:t>
            </w:r>
          </w:p>
        </w:tc>
        <w:tc>
          <w:tcPr>
            <w:tcW w:w="1984" w:type="dxa"/>
            <w:tcBorders>
              <w:top w:val="nil"/>
              <w:left w:val="nil"/>
              <w:bottom w:val="single" w:sz="4" w:space="0" w:color="auto"/>
              <w:right w:val="single" w:sz="4" w:space="0" w:color="auto"/>
            </w:tcBorders>
            <w:shd w:val="clear" w:color="000000" w:fill="FFFFFF"/>
            <w:noWrap/>
            <w:vAlign w:val="bottom"/>
            <w:hideMark/>
          </w:tcPr>
          <w:p w14:paraId="0FDAFB3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EE3312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14.000,00</w:t>
            </w:r>
          </w:p>
        </w:tc>
        <w:tc>
          <w:tcPr>
            <w:tcW w:w="1843" w:type="dxa"/>
            <w:tcBorders>
              <w:top w:val="nil"/>
              <w:left w:val="nil"/>
              <w:bottom w:val="single" w:sz="4" w:space="0" w:color="auto"/>
              <w:right w:val="single" w:sz="4" w:space="0" w:color="auto"/>
            </w:tcBorders>
            <w:shd w:val="clear" w:color="000000" w:fill="FFFFFF"/>
            <w:noWrap/>
            <w:vAlign w:val="bottom"/>
            <w:hideMark/>
          </w:tcPr>
          <w:p w14:paraId="4CE0D73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770,00</w:t>
            </w:r>
          </w:p>
        </w:tc>
        <w:tc>
          <w:tcPr>
            <w:tcW w:w="1559" w:type="dxa"/>
            <w:tcBorders>
              <w:top w:val="nil"/>
              <w:left w:val="nil"/>
              <w:bottom w:val="single" w:sz="4" w:space="0" w:color="auto"/>
              <w:right w:val="single" w:sz="4" w:space="0" w:color="auto"/>
            </w:tcBorders>
            <w:shd w:val="clear" w:color="000000" w:fill="FFFFFF"/>
            <w:noWrap/>
            <w:vAlign w:val="bottom"/>
            <w:hideMark/>
          </w:tcPr>
          <w:p w14:paraId="68AE42F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5,50</w:t>
            </w:r>
          </w:p>
        </w:tc>
        <w:tc>
          <w:tcPr>
            <w:tcW w:w="1803" w:type="dxa"/>
            <w:tcBorders>
              <w:top w:val="nil"/>
              <w:left w:val="nil"/>
              <w:bottom w:val="single" w:sz="4" w:space="0" w:color="auto"/>
              <w:right w:val="single" w:sz="4" w:space="0" w:color="auto"/>
            </w:tcBorders>
            <w:shd w:val="clear" w:color="000000" w:fill="FFFFFF"/>
            <w:noWrap/>
            <w:vAlign w:val="bottom"/>
            <w:hideMark/>
          </w:tcPr>
          <w:p w14:paraId="004B9E4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14.770,00</w:t>
            </w:r>
          </w:p>
        </w:tc>
      </w:tr>
      <w:tr w:rsidR="00846ACC" w:rsidRPr="004974C0" w14:paraId="3C31CE2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70B2A2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4.4. PRIHODI OD BORAVIŠNE PRISTOJBE</w:t>
            </w:r>
          </w:p>
        </w:tc>
        <w:tc>
          <w:tcPr>
            <w:tcW w:w="1984" w:type="dxa"/>
            <w:tcBorders>
              <w:top w:val="nil"/>
              <w:left w:val="nil"/>
              <w:bottom w:val="single" w:sz="4" w:space="0" w:color="auto"/>
              <w:right w:val="single" w:sz="4" w:space="0" w:color="auto"/>
            </w:tcBorders>
            <w:shd w:val="clear" w:color="000000" w:fill="FFFFFF"/>
            <w:noWrap/>
            <w:vAlign w:val="bottom"/>
            <w:hideMark/>
          </w:tcPr>
          <w:p w14:paraId="425CE4B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0BF5CC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187.500,00</w:t>
            </w:r>
          </w:p>
        </w:tc>
        <w:tc>
          <w:tcPr>
            <w:tcW w:w="1843" w:type="dxa"/>
            <w:tcBorders>
              <w:top w:val="nil"/>
              <w:left w:val="nil"/>
              <w:bottom w:val="single" w:sz="4" w:space="0" w:color="auto"/>
              <w:right w:val="single" w:sz="4" w:space="0" w:color="auto"/>
            </w:tcBorders>
            <w:shd w:val="clear" w:color="000000" w:fill="FFFFFF"/>
            <w:noWrap/>
            <w:vAlign w:val="bottom"/>
            <w:hideMark/>
          </w:tcPr>
          <w:p w14:paraId="48573AC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5575A64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1D78BE8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187.500,00</w:t>
            </w:r>
          </w:p>
        </w:tc>
      </w:tr>
      <w:tr w:rsidR="00846ACC" w:rsidRPr="004974C0" w14:paraId="24A46EC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DBEA63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Izvor  4.6. KOMUNALNA NAKNADA</w:t>
            </w:r>
          </w:p>
        </w:tc>
        <w:tc>
          <w:tcPr>
            <w:tcW w:w="1984" w:type="dxa"/>
            <w:tcBorders>
              <w:top w:val="nil"/>
              <w:left w:val="nil"/>
              <w:bottom w:val="single" w:sz="4" w:space="0" w:color="auto"/>
              <w:right w:val="single" w:sz="4" w:space="0" w:color="auto"/>
            </w:tcBorders>
            <w:shd w:val="clear" w:color="000000" w:fill="FFFFFF"/>
            <w:noWrap/>
            <w:vAlign w:val="bottom"/>
            <w:hideMark/>
          </w:tcPr>
          <w:p w14:paraId="75FAF24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72D826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2.103.625,00</w:t>
            </w:r>
          </w:p>
        </w:tc>
        <w:tc>
          <w:tcPr>
            <w:tcW w:w="1843" w:type="dxa"/>
            <w:tcBorders>
              <w:top w:val="nil"/>
              <w:left w:val="nil"/>
              <w:bottom w:val="single" w:sz="4" w:space="0" w:color="auto"/>
              <w:right w:val="single" w:sz="4" w:space="0" w:color="auto"/>
            </w:tcBorders>
            <w:shd w:val="clear" w:color="000000" w:fill="FFFFFF"/>
            <w:noWrap/>
            <w:vAlign w:val="bottom"/>
            <w:hideMark/>
          </w:tcPr>
          <w:p w14:paraId="67EFB55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88.264,00</w:t>
            </w:r>
          </w:p>
        </w:tc>
        <w:tc>
          <w:tcPr>
            <w:tcW w:w="1559" w:type="dxa"/>
            <w:tcBorders>
              <w:top w:val="nil"/>
              <w:left w:val="nil"/>
              <w:bottom w:val="single" w:sz="4" w:space="0" w:color="auto"/>
              <w:right w:val="single" w:sz="4" w:space="0" w:color="auto"/>
            </w:tcBorders>
            <w:shd w:val="clear" w:color="000000" w:fill="FFFFFF"/>
            <w:noWrap/>
            <w:vAlign w:val="bottom"/>
            <w:hideMark/>
          </w:tcPr>
          <w:p w14:paraId="720D300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4,20</w:t>
            </w:r>
          </w:p>
        </w:tc>
        <w:tc>
          <w:tcPr>
            <w:tcW w:w="1803" w:type="dxa"/>
            <w:tcBorders>
              <w:top w:val="nil"/>
              <w:left w:val="nil"/>
              <w:bottom w:val="single" w:sz="4" w:space="0" w:color="auto"/>
              <w:right w:val="single" w:sz="4" w:space="0" w:color="auto"/>
            </w:tcBorders>
            <w:shd w:val="clear" w:color="000000" w:fill="FFFFFF"/>
            <w:noWrap/>
            <w:vAlign w:val="bottom"/>
            <w:hideMark/>
          </w:tcPr>
          <w:p w14:paraId="7EF8AA2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2.191.889,00</w:t>
            </w:r>
          </w:p>
        </w:tc>
      </w:tr>
      <w:tr w:rsidR="00846ACC" w:rsidRPr="004974C0" w14:paraId="6652174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33A0B8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 POMOĆI</w:t>
            </w:r>
          </w:p>
        </w:tc>
        <w:tc>
          <w:tcPr>
            <w:tcW w:w="1984" w:type="dxa"/>
            <w:tcBorders>
              <w:top w:val="nil"/>
              <w:left w:val="nil"/>
              <w:bottom w:val="single" w:sz="4" w:space="0" w:color="auto"/>
              <w:right w:val="single" w:sz="4" w:space="0" w:color="auto"/>
            </w:tcBorders>
            <w:shd w:val="clear" w:color="000000" w:fill="FFFFFF"/>
            <w:noWrap/>
            <w:vAlign w:val="bottom"/>
            <w:hideMark/>
          </w:tcPr>
          <w:p w14:paraId="74D907F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5138B5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FF"/>
            <w:noWrap/>
            <w:vAlign w:val="bottom"/>
            <w:hideMark/>
          </w:tcPr>
          <w:p w14:paraId="19D53EC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58.050,00</w:t>
            </w:r>
          </w:p>
        </w:tc>
        <w:tc>
          <w:tcPr>
            <w:tcW w:w="1559" w:type="dxa"/>
            <w:tcBorders>
              <w:top w:val="nil"/>
              <w:left w:val="nil"/>
              <w:bottom w:val="single" w:sz="4" w:space="0" w:color="auto"/>
              <w:right w:val="single" w:sz="4" w:space="0" w:color="auto"/>
            </w:tcBorders>
            <w:shd w:val="clear" w:color="000000" w:fill="FFFFFF"/>
            <w:noWrap/>
            <w:vAlign w:val="bottom"/>
            <w:hideMark/>
          </w:tcPr>
          <w:p w14:paraId="24D63EA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FF"/>
            <w:noWrap/>
            <w:vAlign w:val="bottom"/>
            <w:hideMark/>
          </w:tcPr>
          <w:p w14:paraId="4A2E1E6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58.050,00</w:t>
            </w:r>
          </w:p>
        </w:tc>
      </w:tr>
      <w:tr w:rsidR="00846ACC" w:rsidRPr="004974C0" w14:paraId="1D13116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7655182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5.4. POMOĆI IZ DRŽAVNOG PRORAČUNA</w:t>
            </w:r>
          </w:p>
        </w:tc>
        <w:tc>
          <w:tcPr>
            <w:tcW w:w="1984" w:type="dxa"/>
            <w:tcBorders>
              <w:top w:val="nil"/>
              <w:left w:val="nil"/>
              <w:bottom w:val="single" w:sz="4" w:space="0" w:color="auto"/>
              <w:right w:val="single" w:sz="4" w:space="0" w:color="auto"/>
            </w:tcBorders>
            <w:shd w:val="clear" w:color="000000" w:fill="FFFFFF"/>
            <w:noWrap/>
            <w:vAlign w:val="bottom"/>
            <w:hideMark/>
          </w:tcPr>
          <w:p w14:paraId="398B691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44AFC0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FF"/>
            <w:noWrap/>
            <w:vAlign w:val="bottom"/>
            <w:hideMark/>
          </w:tcPr>
          <w:p w14:paraId="3BB2A71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53.050,00</w:t>
            </w:r>
          </w:p>
        </w:tc>
        <w:tc>
          <w:tcPr>
            <w:tcW w:w="1559" w:type="dxa"/>
            <w:tcBorders>
              <w:top w:val="nil"/>
              <w:left w:val="nil"/>
              <w:bottom w:val="single" w:sz="4" w:space="0" w:color="auto"/>
              <w:right w:val="single" w:sz="4" w:space="0" w:color="auto"/>
            </w:tcBorders>
            <w:shd w:val="clear" w:color="000000" w:fill="FFFFFF"/>
            <w:noWrap/>
            <w:vAlign w:val="bottom"/>
            <w:hideMark/>
          </w:tcPr>
          <w:p w14:paraId="4FC16A2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FF"/>
            <w:noWrap/>
            <w:vAlign w:val="bottom"/>
            <w:hideMark/>
          </w:tcPr>
          <w:p w14:paraId="4A11847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53.050,00</w:t>
            </w:r>
          </w:p>
        </w:tc>
      </w:tr>
      <w:tr w:rsidR="00846ACC" w:rsidRPr="004974C0" w14:paraId="3E76D0B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7F8FB69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5.5. POMOĆI IZ ŽUPANIJSKOG PRORAČUNA</w:t>
            </w:r>
          </w:p>
        </w:tc>
        <w:tc>
          <w:tcPr>
            <w:tcW w:w="1984" w:type="dxa"/>
            <w:tcBorders>
              <w:top w:val="nil"/>
              <w:left w:val="nil"/>
              <w:bottom w:val="single" w:sz="4" w:space="0" w:color="auto"/>
              <w:right w:val="single" w:sz="4" w:space="0" w:color="auto"/>
            </w:tcBorders>
            <w:shd w:val="clear" w:color="000000" w:fill="FFFFFF"/>
            <w:noWrap/>
            <w:vAlign w:val="bottom"/>
            <w:hideMark/>
          </w:tcPr>
          <w:p w14:paraId="475DC48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34A70D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FF"/>
            <w:noWrap/>
            <w:vAlign w:val="bottom"/>
            <w:hideMark/>
          </w:tcPr>
          <w:p w14:paraId="09D818F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c>
          <w:tcPr>
            <w:tcW w:w="1559" w:type="dxa"/>
            <w:tcBorders>
              <w:top w:val="nil"/>
              <w:left w:val="nil"/>
              <w:bottom w:val="single" w:sz="4" w:space="0" w:color="auto"/>
              <w:right w:val="single" w:sz="4" w:space="0" w:color="auto"/>
            </w:tcBorders>
            <w:shd w:val="clear" w:color="000000" w:fill="FFFFFF"/>
            <w:noWrap/>
            <w:vAlign w:val="bottom"/>
            <w:hideMark/>
          </w:tcPr>
          <w:p w14:paraId="42417C7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FF"/>
            <w:noWrap/>
            <w:vAlign w:val="bottom"/>
            <w:hideMark/>
          </w:tcPr>
          <w:p w14:paraId="654FB8F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r>
      <w:tr w:rsidR="00846ACC" w:rsidRPr="004974C0" w14:paraId="276A0C9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6F32BEA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 DONACIJE</w:t>
            </w:r>
          </w:p>
        </w:tc>
        <w:tc>
          <w:tcPr>
            <w:tcW w:w="1984" w:type="dxa"/>
            <w:tcBorders>
              <w:top w:val="nil"/>
              <w:left w:val="nil"/>
              <w:bottom w:val="single" w:sz="4" w:space="0" w:color="auto"/>
              <w:right w:val="single" w:sz="4" w:space="0" w:color="auto"/>
            </w:tcBorders>
            <w:shd w:val="clear" w:color="000000" w:fill="FFFFFF"/>
            <w:noWrap/>
            <w:vAlign w:val="bottom"/>
            <w:hideMark/>
          </w:tcPr>
          <w:p w14:paraId="08C9A86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B4F0C4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FF"/>
            <w:noWrap/>
            <w:vAlign w:val="bottom"/>
            <w:hideMark/>
          </w:tcPr>
          <w:p w14:paraId="6296DFD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24.785,00</w:t>
            </w:r>
          </w:p>
        </w:tc>
        <w:tc>
          <w:tcPr>
            <w:tcW w:w="1559" w:type="dxa"/>
            <w:tcBorders>
              <w:top w:val="nil"/>
              <w:left w:val="nil"/>
              <w:bottom w:val="single" w:sz="4" w:space="0" w:color="auto"/>
              <w:right w:val="single" w:sz="4" w:space="0" w:color="auto"/>
            </w:tcBorders>
            <w:shd w:val="clear" w:color="000000" w:fill="FFFFFF"/>
            <w:noWrap/>
            <w:vAlign w:val="bottom"/>
            <w:hideMark/>
          </w:tcPr>
          <w:p w14:paraId="511682C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FF"/>
            <w:noWrap/>
            <w:vAlign w:val="bottom"/>
            <w:hideMark/>
          </w:tcPr>
          <w:p w14:paraId="67A45BF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24.785,00</w:t>
            </w:r>
          </w:p>
        </w:tc>
      </w:tr>
      <w:tr w:rsidR="00846ACC" w:rsidRPr="004974C0" w14:paraId="273399A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2A71FD9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6.1. TEKUĆE DONACIJE</w:t>
            </w:r>
          </w:p>
        </w:tc>
        <w:tc>
          <w:tcPr>
            <w:tcW w:w="1984" w:type="dxa"/>
            <w:tcBorders>
              <w:top w:val="nil"/>
              <w:left w:val="nil"/>
              <w:bottom w:val="single" w:sz="4" w:space="0" w:color="auto"/>
              <w:right w:val="single" w:sz="4" w:space="0" w:color="auto"/>
            </w:tcBorders>
            <w:shd w:val="clear" w:color="000000" w:fill="FFFFFF"/>
            <w:noWrap/>
            <w:vAlign w:val="bottom"/>
            <w:hideMark/>
          </w:tcPr>
          <w:p w14:paraId="721A193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E4635E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FF"/>
            <w:noWrap/>
            <w:vAlign w:val="bottom"/>
            <w:hideMark/>
          </w:tcPr>
          <w:p w14:paraId="168E165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4.785,00</w:t>
            </w:r>
          </w:p>
        </w:tc>
        <w:tc>
          <w:tcPr>
            <w:tcW w:w="1559" w:type="dxa"/>
            <w:tcBorders>
              <w:top w:val="nil"/>
              <w:left w:val="nil"/>
              <w:bottom w:val="single" w:sz="4" w:space="0" w:color="auto"/>
              <w:right w:val="single" w:sz="4" w:space="0" w:color="auto"/>
            </w:tcBorders>
            <w:shd w:val="clear" w:color="000000" w:fill="FFFFFF"/>
            <w:noWrap/>
            <w:vAlign w:val="bottom"/>
            <w:hideMark/>
          </w:tcPr>
          <w:p w14:paraId="63FAD49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FF"/>
            <w:noWrap/>
            <w:vAlign w:val="bottom"/>
            <w:hideMark/>
          </w:tcPr>
          <w:p w14:paraId="28BAF41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4.785,00</w:t>
            </w:r>
          </w:p>
        </w:tc>
      </w:tr>
      <w:tr w:rsidR="00846ACC" w:rsidRPr="004974C0" w14:paraId="195E0E7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019B9B4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6.2. 6. KAPITALNE DONACIJE</w:t>
            </w:r>
          </w:p>
        </w:tc>
        <w:tc>
          <w:tcPr>
            <w:tcW w:w="1984" w:type="dxa"/>
            <w:tcBorders>
              <w:top w:val="nil"/>
              <w:left w:val="nil"/>
              <w:bottom w:val="single" w:sz="4" w:space="0" w:color="auto"/>
              <w:right w:val="single" w:sz="4" w:space="0" w:color="auto"/>
            </w:tcBorders>
            <w:shd w:val="clear" w:color="000000" w:fill="FFFFFF"/>
            <w:noWrap/>
            <w:vAlign w:val="bottom"/>
            <w:hideMark/>
          </w:tcPr>
          <w:p w14:paraId="49A1B2D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B55A73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FF"/>
            <w:noWrap/>
            <w:vAlign w:val="bottom"/>
            <w:hideMark/>
          </w:tcPr>
          <w:p w14:paraId="7FFD8DA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20.000,00</w:t>
            </w:r>
          </w:p>
        </w:tc>
        <w:tc>
          <w:tcPr>
            <w:tcW w:w="1559" w:type="dxa"/>
            <w:tcBorders>
              <w:top w:val="nil"/>
              <w:left w:val="nil"/>
              <w:bottom w:val="single" w:sz="4" w:space="0" w:color="auto"/>
              <w:right w:val="single" w:sz="4" w:space="0" w:color="auto"/>
            </w:tcBorders>
            <w:shd w:val="clear" w:color="000000" w:fill="FFFFFF"/>
            <w:noWrap/>
            <w:vAlign w:val="bottom"/>
            <w:hideMark/>
          </w:tcPr>
          <w:p w14:paraId="3D3005E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FF"/>
            <w:noWrap/>
            <w:vAlign w:val="bottom"/>
            <w:hideMark/>
          </w:tcPr>
          <w:p w14:paraId="765E43D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20.000,00</w:t>
            </w:r>
          </w:p>
        </w:tc>
      </w:tr>
      <w:tr w:rsidR="00846ACC" w:rsidRPr="004974C0" w14:paraId="2F3F9A8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485D9FE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 PRIHODI OD NEFINANCIJSKE IMOVINE</w:t>
            </w:r>
          </w:p>
        </w:tc>
        <w:tc>
          <w:tcPr>
            <w:tcW w:w="1984" w:type="dxa"/>
            <w:tcBorders>
              <w:top w:val="nil"/>
              <w:left w:val="nil"/>
              <w:bottom w:val="single" w:sz="4" w:space="0" w:color="auto"/>
              <w:right w:val="single" w:sz="4" w:space="0" w:color="auto"/>
            </w:tcBorders>
            <w:shd w:val="clear" w:color="000000" w:fill="FFFFFF"/>
            <w:noWrap/>
            <w:vAlign w:val="bottom"/>
            <w:hideMark/>
          </w:tcPr>
          <w:p w14:paraId="4ACC555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BF3683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12.000,00</w:t>
            </w:r>
          </w:p>
        </w:tc>
        <w:tc>
          <w:tcPr>
            <w:tcW w:w="1843" w:type="dxa"/>
            <w:tcBorders>
              <w:top w:val="nil"/>
              <w:left w:val="nil"/>
              <w:bottom w:val="single" w:sz="4" w:space="0" w:color="auto"/>
              <w:right w:val="single" w:sz="4" w:space="0" w:color="auto"/>
            </w:tcBorders>
            <w:shd w:val="clear" w:color="000000" w:fill="FFFFFF"/>
            <w:noWrap/>
            <w:vAlign w:val="bottom"/>
            <w:hideMark/>
          </w:tcPr>
          <w:p w14:paraId="63F2C06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72CB295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76FEFD1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12.000,00</w:t>
            </w:r>
          </w:p>
        </w:tc>
      </w:tr>
      <w:tr w:rsidR="00846ACC" w:rsidRPr="004974C0" w14:paraId="7251878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6189BD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7.1. 7.PRIHODI OD NEFINANCIJSKE IMOVINE</w:t>
            </w:r>
          </w:p>
        </w:tc>
        <w:tc>
          <w:tcPr>
            <w:tcW w:w="1984" w:type="dxa"/>
            <w:tcBorders>
              <w:top w:val="nil"/>
              <w:left w:val="nil"/>
              <w:bottom w:val="single" w:sz="4" w:space="0" w:color="auto"/>
              <w:right w:val="single" w:sz="4" w:space="0" w:color="auto"/>
            </w:tcBorders>
            <w:shd w:val="clear" w:color="000000" w:fill="FFFFFF"/>
            <w:noWrap/>
            <w:vAlign w:val="bottom"/>
            <w:hideMark/>
          </w:tcPr>
          <w:p w14:paraId="691F5CA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3331CF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c>
          <w:tcPr>
            <w:tcW w:w="1843" w:type="dxa"/>
            <w:tcBorders>
              <w:top w:val="nil"/>
              <w:left w:val="nil"/>
              <w:bottom w:val="single" w:sz="4" w:space="0" w:color="auto"/>
              <w:right w:val="single" w:sz="4" w:space="0" w:color="auto"/>
            </w:tcBorders>
            <w:shd w:val="clear" w:color="000000" w:fill="FFFFFF"/>
            <w:noWrap/>
            <w:vAlign w:val="bottom"/>
            <w:hideMark/>
          </w:tcPr>
          <w:p w14:paraId="0AEAC11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6AFF54C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6063DE3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r>
      <w:tr w:rsidR="00846ACC" w:rsidRPr="004974C0" w14:paraId="11C6787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CC916D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7.3. 7.PRIHODI OD NAKNADA ŠTETA S OSN.OSIGUR.</w:t>
            </w:r>
          </w:p>
        </w:tc>
        <w:tc>
          <w:tcPr>
            <w:tcW w:w="1984" w:type="dxa"/>
            <w:tcBorders>
              <w:top w:val="nil"/>
              <w:left w:val="nil"/>
              <w:bottom w:val="single" w:sz="4" w:space="0" w:color="auto"/>
              <w:right w:val="single" w:sz="4" w:space="0" w:color="auto"/>
            </w:tcBorders>
            <w:shd w:val="clear" w:color="000000" w:fill="FFFFFF"/>
            <w:noWrap/>
            <w:vAlign w:val="bottom"/>
            <w:hideMark/>
          </w:tcPr>
          <w:p w14:paraId="097D229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20A4224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843" w:type="dxa"/>
            <w:tcBorders>
              <w:top w:val="nil"/>
              <w:left w:val="nil"/>
              <w:bottom w:val="single" w:sz="4" w:space="0" w:color="auto"/>
              <w:right w:val="single" w:sz="4" w:space="0" w:color="auto"/>
            </w:tcBorders>
            <w:shd w:val="clear" w:color="000000" w:fill="FFFFFF"/>
            <w:noWrap/>
            <w:vAlign w:val="bottom"/>
            <w:hideMark/>
          </w:tcPr>
          <w:p w14:paraId="53C4564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2E2E18F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3980804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r>
      <w:tr w:rsidR="00846ACC" w:rsidRPr="004974C0" w14:paraId="3CD1F68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06074D9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4001 Održavanje komunalne infrastrukture</w:t>
            </w:r>
          </w:p>
        </w:tc>
        <w:tc>
          <w:tcPr>
            <w:tcW w:w="1984" w:type="dxa"/>
            <w:tcBorders>
              <w:top w:val="nil"/>
              <w:left w:val="nil"/>
              <w:bottom w:val="single" w:sz="4" w:space="0" w:color="auto"/>
              <w:right w:val="single" w:sz="4" w:space="0" w:color="auto"/>
            </w:tcBorders>
            <w:shd w:val="clear" w:color="000000" w:fill="9999FF"/>
            <w:noWrap/>
            <w:vAlign w:val="bottom"/>
            <w:hideMark/>
          </w:tcPr>
          <w:p w14:paraId="61373DD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1F4D3C1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2.049.400,00</w:t>
            </w:r>
          </w:p>
        </w:tc>
        <w:tc>
          <w:tcPr>
            <w:tcW w:w="1843" w:type="dxa"/>
            <w:tcBorders>
              <w:top w:val="nil"/>
              <w:left w:val="nil"/>
              <w:bottom w:val="single" w:sz="4" w:space="0" w:color="auto"/>
              <w:right w:val="single" w:sz="4" w:space="0" w:color="auto"/>
            </w:tcBorders>
            <w:shd w:val="clear" w:color="000000" w:fill="9999FF"/>
            <w:noWrap/>
            <w:vAlign w:val="bottom"/>
            <w:hideMark/>
          </w:tcPr>
          <w:p w14:paraId="71076BB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81.862,00</w:t>
            </w:r>
          </w:p>
        </w:tc>
        <w:tc>
          <w:tcPr>
            <w:tcW w:w="1559" w:type="dxa"/>
            <w:tcBorders>
              <w:top w:val="nil"/>
              <w:left w:val="nil"/>
              <w:bottom w:val="single" w:sz="4" w:space="0" w:color="auto"/>
              <w:right w:val="single" w:sz="4" w:space="0" w:color="auto"/>
            </w:tcBorders>
            <w:shd w:val="clear" w:color="000000" w:fill="9999FF"/>
            <w:noWrap/>
            <w:vAlign w:val="bottom"/>
            <w:hideMark/>
          </w:tcPr>
          <w:p w14:paraId="44BD17A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3,99</w:t>
            </w:r>
          </w:p>
        </w:tc>
        <w:tc>
          <w:tcPr>
            <w:tcW w:w="1803" w:type="dxa"/>
            <w:tcBorders>
              <w:top w:val="nil"/>
              <w:left w:val="nil"/>
              <w:bottom w:val="single" w:sz="4" w:space="0" w:color="auto"/>
              <w:right w:val="single" w:sz="4" w:space="0" w:color="auto"/>
            </w:tcBorders>
            <w:shd w:val="clear" w:color="000000" w:fill="9999FF"/>
            <w:noWrap/>
            <w:vAlign w:val="bottom"/>
            <w:hideMark/>
          </w:tcPr>
          <w:p w14:paraId="2540AA4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2.131.262,00</w:t>
            </w:r>
          </w:p>
        </w:tc>
      </w:tr>
      <w:tr w:rsidR="00846ACC" w:rsidRPr="004974C0" w14:paraId="65353CF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5DEB9FD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A400012 Održavanje nerazvrstanih cesta</w:t>
            </w:r>
          </w:p>
        </w:tc>
        <w:tc>
          <w:tcPr>
            <w:tcW w:w="1984" w:type="dxa"/>
            <w:tcBorders>
              <w:top w:val="nil"/>
              <w:left w:val="nil"/>
              <w:bottom w:val="single" w:sz="4" w:space="0" w:color="auto"/>
              <w:right w:val="single" w:sz="4" w:space="0" w:color="auto"/>
            </w:tcBorders>
            <w:shd w:val="clear" w:color="000000" w:fill="CCCCFF"/>
            <w:noWrap/>
            <w:vAlign w:val="bottom"/>
            <w:hideMark/>
          </w:tcPr>
          <w:p w14:paraId="335FCC2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7D28C8B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698.000,00</w:t>
            </w:r>
          </w:p>
        </w:tc>
        <w:tc>
          <w:tcPr>
            <w:tcW w:w="1843" w:type="dxa"/>
            <w:tcBorders>
              <w:top w:val="nil"/>
              <w:left w:val="nil"/>
              <w:bottom w:val="single" w:sz="4" w:space="0" w:color="auto"/>
              <w:right w:val="single" w:sz="4" w:space="0" w:color="auto"/>
            </w:tcBorders>
            <w:shd w:val="clear" w:color="000000" w:fill="CCCCFF"/>
            <w:noWrap/>
            <w:vAlign w:val="bottom"/>
            <w:hideMark/>
          </w:tcPr>
          <w:p w14:paraId="20A903A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36.092,00</w:t>
            </w:r>
          </w:p>
        </w:tc>
        <w:tc>
          <w:tcPr>
            <w:tcW w:w="1559" w:type="dxa"/>
            <w:tcBorders>
              <w:top w:val="nil"/>
              <w:left w:val="nil"/>
              <w:bottom w:val="single" w:sz="4" w:space="0" w:color="auto"/>
              <w:right w:val="single" w:sz="4" w:space="0" w:color="auto"/>
            </w:tcBorders>
            <w:shd w:val="clear" w:color="000000" w:fill="CCCCFF"/>
            <w:noWrap/>
            <w:vAlign w:val="bottom"/>
            <w:hideMark/>
          </w:tcPr>
          <w:p w14:paraId="0EFECC9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5,17</w:t>
            </w:r>
          </w:p>
        </w:tc>
        <w:tc>
          <w:tcPr>
            <w:tcW w:w="1803" w:type="dxa"/>
            <w:tcBorders>
              <w:top w:val="nil"/>
              <w:left w:val="nil"/>
              <w:bottom w:val="single" w:sz="4" w:space="0" w:color="auto"/>
              <w:right w:val="single" w:sz="4" w:space="0" w:color="auto"/>
            </w:tcBorders>
            <w:shd w:val="clear" w:color="000000" w:fill="CCCCFF"/>
            <w:noWrap/>
            <w:vAlign w:val="bottom"/>
            <w:hideMark/>
          </w:tcPr>
          <w:p w14:paraId="5FFC181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734.092,00</w:t>
            </w:r>
          </w:p>
        </w:tc>
      </w:tr>
      <w:tr w:rsidR="00846ACC" w:rsidRPr="004974C0" w14:paraId="5EFEF73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671A1C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10594B4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CA8DA4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c>
          <w:tcPr>
            <w:tcW w:w="1843" w:type="dxa"/>
            <w:tcBorders>
              <w:top w:val="nil"/>
              <w:left w:val="nil"/>
              <w:bottom w:val="single" w:sz="4" w:space="0" w:color="auto"/>
              <w:right w:val="single" w:sz="4" w:space="0" w:color="auto"/>
            </w:tcBorders>
            <w:shd w:val="clear" w:color="000000" w:fill="FFFF99"/>
            <w:noWrap/>
            <w:vAlign w:val="bottom"/>
            <w:hideMark/>
          </w:tcPr>
          <w:p w14:paraId="04CA8B3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c>
          <w:tcPr>
            <w:tcW w:w="1559" w:type="dxa"/>
            <w:tcBorders>
              <w:top w:val="nil"/>
              <w:left w:val="nil"/>
              <w:bottom w:val="single" w:sz="4" w:space="0" w:color="auto"/>
              <w:right w:val="single" w:sz="4" w:space="0" w:color="auto"/>
            </w:tcBorders>
            <w:shd w:val="clear" w:color="000000" w:fill="FFFF99"/>
            <w:noWrap/>
            <w:vAlign w:val="bottom"/>
            <w:hideMark/>
          </w:tcPr>
          <w:p w14:paraId="694BAA6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-80,00</w:t>
            </w:r>
          </w:p>
        </w:tc>
        <w:tc>
          <w:tcPr>
            <w:tcW w:w="1803" w:type="dxa"/>
            <w:tcBorders>
              <w:top w:val="nil"/>
              <w:left w:val="nil"/>
              <w:bottom w:val="single" w:sz="4" w:space="0" w:color="auto"/>
              <w:right w:val="single" w:sz="4" w:space="0" w:color="auto"/>
            </w:tcBorders>
            <w:shd w:val="clear" w:color="000000" w:fill="FFFF99"/>
            <w:noWrap/>
            <w:vAlign w:val="bottom"/>
            <w:hideMark/>
          </w:tcPr>
          <w:p w14:paraId="16D4063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r>
      <w:tr w:rsidR="00846ACC" w:rsidRPr="004974C0" w14:paraId="653D01B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65F029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5F4817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017040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5.000,00</w:t>
            </w:r>
          </w:p>
        </w:tc>
        <w:tc>
          <w:tcPr>
            <w:tcW w:w="1843" w:type="dxa"/>
            <w:tcBorders>
              <w:top w:val="nil"/>
              <w:left w:val="nil"/>
              <w:bottom w:val="single" w:sz="4" w:space="0" w:color="auto"/>
              <w:right w:val="single" w:sz="4" w:space="0" w:color="auto"/>
            </w:tcBorders>
            <w:shd w:val="clear" w:color="auto" w:fill="auto"/>
            <w:noWrap/>
            <w:vAlign w:val="bottom"/>
            <w:hideMark/>
          </w:tcPr>
          <w:p w14:paraId="0E014B1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w:t>
            </w:r>
          </w:p>
        </w:tc>
        <w:tc>
          <w:tcPr>
            <w:tcW w:w="1559" w:type="dxa"/>
            <w:tcBorders>
              <w:top w:val="nil"/>
              <w:left w:val="nil"/>
              <w:bottom w:val="single" w:sz="4" w:space="0" w:color="auto"/>
              <w:right w:val="single" w:sz="4" w:space="0" w:color="auto"/>
            </w:tcBorders>
            <w:shd w:val="clear" w:color="auto" w:fill="auto"/>
            <w:noWrap/>
            <w:vAlign w:val="bottom"/>
            <w:hideMark/>
          </w:tcPr>
          <w:p w14:paraId="62A9A79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-80,00</w:t>
            </w:r>
          </w:p>
        </w:tc>
        <w:tc>
          <w:tcPr>
            <w:tcW w:w="1803" w:type="dxa"/>
            <w:tcBorders>
              <w:top w:val="nil"/>
              <w:left w:val="nil"/>
              <w:bottom w:val="single" w:sz="4" w:space="0" w:color="auto"/>
              <w:right w:val="single" w:sz="4" w:space="0" w:color="auto"/>
            </w:tcBorders>
            <w:shd w:val="clear" w:color="auto" w:fill="auto"/>
            <w:noWrap/>
            <w:vAlign w:val="bottom"/>
            <w:hideMark/>
          </w:tcPr>
          <w:p w14:paraId="218E256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r>
      <w:tr w:rsidR="00846ACC" w:rsidRPr="004974C0" w14:paraId="257B7F9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077662D"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F97BBFE"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B13CBA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5.000,00</w:t>
            </w:r>
          </w:p>
        </w:tc>
        <w:tc>
          <w:tcPr>
            <w:tcW w:w="1843" w:type="dxa"/>
            <w:tcBorders>
              <w:top w:val="nil"/>
              <w:left w:val="nil"/>
              <w:bottom w:val="single" w:sz="4" w:space="0" w:color="auto"/>
              <w:right w:val="single" w:sz="4" w:space="0" w:color="auto"/>
            </w:tcBorders>
            <w:shd w:val="clear" w:color="auto" w:fill="auto"/>
            <w:noWrap/>
            <w:vAlign w:val="bottom"/>
            <w:hideMark/>
          </w:tcPr>
          <w:p w14:paraId="7177967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w:t>
            </w:r>
          </w:p>
        </w:tc>
        <w:tc>
          <w:tcPr>
            <w:tcW w:w="1559" w:type="dxa"/>
            <w:tcBorders>
              <w:top w:val="nil"/>
              <w:left w:val="nil"/>
              <w:bottom w:val="single" w:sz="4" w:space="0" w:color="auto"/>
              <w:right w:val="single" w:sz="4" w:space="0" w:color="auto"/>
            </w:tcBorders>
            <w:shd w:val="clear" w:color="auto" w:fill="auto"/>
            <w:noWrap/>
            <w:vAlign w:val="bottom"/>
            <w:hideMark/>
          </w:tcPr>
          <w:p w14:paraId="13D4F97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-80,00</w:t>
            </w:r>
          </w:p>
        </w:tc>
        <w:tc>
          <w:tcPr>
            <w:tcW w:w="1803" w:type="dxa"/>
            <w:tcBorders>
              <w:top w:val="nil"/>
              <w:left w:val="nil"/>
              <w:bottom w:val="single" w:sz="4" w:space="0" w:color="auto"/>
              <w:right w:val="single" w:sz="4" w:space="0" w:color="auto"/>
            </w:tcBorders>
            <w:shd w:val="clear" w:color="auto" w:fill="auto"/>
            <w:noWrap/>
            <w:vAlign w:val="bottom"/>
            <w:hideMark/>
          </w:tcPr>
          <w:p w14:paraId="6C737C7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r>
      <w:tr w:rsidR="00846ACC" w:rsidRPr="004974C0" w14:paraId="43825D7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0DDB402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4.6. KOMUNALNA NAKNADA</w:t>
            </w:r>
          </w:p>
        </w:tc>
        <w:tc>
          <w:tcPr>
            <w:tcW w:w="1984" w:type="dxa"/>
            <w:tcBorders>
              <w:top w:val="nil"/>
              <w:left w:val="nil"/>
              <w:bottom w:val="single" w:sz="4" w:space="0" w:color="auto"/>
              <w:right w:val="single" w:sz="4" w:space="0" w:color="auto"/>
            </w:tcBorders>
            <w:shd w:val="clear" w:color="000000" w:fill="FFFF99"/>
            <w:noWrap/>
            <w:vAlign w:val="bottom"/>
            <w:hideMark/>
          </w:tcPr>
          <w:p w14:paraId="2F386EF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3058A9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693.000,00</w:t>
            </w:r>
          </w:p>
        </w:tc>
        <w:tc>
          <w:tcPr>
            <w:tcW w:w="1843" w:type="dxa"/>
            <w:tcBorders>
              <w:top w:val="nil"/>
              <w:left w:val="nil"/>
              <w:bottom w:val="single" w:sz="4" w:space="0" w:color="auto"/>
              <w:right w:val="single" w:sz="4" w:space="0" w:color="auto"/>
            </w:tcBorders>
            <w:shd w:val="clear" w:color="000000" w:fill="FFFF99"/>
            <w:noWrap/>
            <w:vAlign w:val="bottom"/>
            <w:hideMark/>
          </w:tcPr>
          <w:p w14:paraId="26A297A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15.307,00</w:t>
            </w:r>
          </w:p>
        </w:tc>
        <w:tc>
          <w:tcPr>
            <w:tcW w:w="1559" w:type="dxa"/>
            <w:tcBorders>
              <w:top w:val="nil"/>
              <w:left w:val="nil"/>
              <w:bottom w:val="single" w:sz="4" w:space="0" w:color="auto"/>
              <w:right w:val="single" w:sz="4" w:space="0" w:color="auto"/>
            </w:tcBorders>
            <w:shd w:val="clear" w:color="000000" w:fill="FFFF99"/>
            <w:noWrap/>
            <w:vAlign w:val="bottom"/>
            <w:hideMark/>
          </w:tcPr>
          <w:p w14:paraId="46A1930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2,21</w:t>
            </w:r>
          </w:p>
        </w:tc>
        <w:tc>
          <w:tcPr>
            <w:tcW w:w="1803" w:type="dxa"/>
            <w:tcBorders>
              <w:top w:val="nil"/>
              <w:left w:val="nil"/>
              <w:bottom w:val="single" w:sz="4" w:space="0" w:color="auto"/>
              <w:right w:val="single" w:sz="4" w:space="0" w:color="auto"/>
            </w:tcBorders>
            <w:shd w:val="clear" w:color="000000" w:fill="FFFF99"/>
            <w:noWrap/>
            <w:vAlign w:val="bottom"/>
            <w:hideMark/>
          </w:tcPr>
          <w:p w14:paraId="3F9147F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708.307,00</w:t>
            </w:r>
          </w:p>
        </w:tc>
      </w:tr>
      <w:tr w:rsidR="00846ACC" w:rsidRPr="004974C0" w14:paraId="1BF311C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B497C4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D323B1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1B10AB5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693.000,00</w:t>
            </w:r>
          </w:p>
        </w:tc>
        <w:tc>
          <w:tcPr>
            <w:tcW w:w="1843" w:type="dxa"/>
            <w:tcBorders>
              <w:top w:val="nil"/>
              <w:left w:val="nil"/>
              <w:bottom w:val="single" w:sz="4" w:space="0" w:color="auto"/>
              <w:right w:val="single" w:sz="4" w:space="0" w:color="auto"/>
            </w:tcBorders>
            <w:shd w:val="clear" w:color="auto" w:fill="auto"/>
            <w:noWrap/>
            <w:vAlign w:val="bottom"/>
            <w:hideMark/>
          </w:tcPr>
          <w:p w14:paraId="698A940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15.307,00</w:t>
            </w:r>
          </w:p>
        </w:tc>
        <w:tc>
          <w:tcPr>
            <w:tcW w:w="1559" w:type="dxa"/>
            <w:tcBorders>
              <w:top w:val="nil"/>
              <w:left w:val="nil"/>
              <w:bottom w:val="single" w:sz="4" w:space="0" w:color="auto"/>
              <w:right w:val="single" w:sz="4" w:space="0" w:color="auto"/>
            </w:tcBorders>
            <w:shd w:val="clear" w:color="auto" w:fill="auto"/>
            <w:noWrap/>
            <w:vAlign w:val="bottom"/>
            <w:hideMark/>
          </w:tcPr>
          <w:p w14:paraId="045DC5C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2,21</w:t>
            </w:r>
          </w:p>
        </w:tc>
        <w:tc>
          <w:tcPr>
            <w:tcW w:w="1803" w:type="dxa"/>
            <w:tcBorders>
              <w:top w:val="nil"/>
              <w:left w:val="nil"/>
              <w:bottom w:val="single" w:sz="4" w:space="0" w:color="auto"/>
              <w:right w:val="single" w:sz="4" w:space="0" w:color="auto"/>
            </w:tcBorders>
            <w:shd w:val="clear" w:color="auto" w:fill="auto"/>
            <w:noWrap/>
            <w:vAlign w:val="bottom"/>
            <w:hideMark/>
          </w:tcPr>
          <w:p w14:paraId="1C7A53F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708.307,00</w:t>
            </w:r>
          </w:p>
        </w:tc>
      </w:tr>
      <w:tr w:rsidR="00846ACC" w:rsidRPr="004974C0" w14:paraId="1EF90C8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6FEC9BA"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078DBFC3"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402517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693.000,00</w:t>
            </w:r>
          </w:p>
        </w:tc>
        <w:tc>
          <w:tcPr>
            <w:tcW w:w="1843" w:type="dxa"/>
            <w:tcBorders>
              <w:top w:val="nil"/>
              <w:left w:val="nil"/>
              <w:bottom w:val="single" w:sz="4" w:space="0" w:color="auto"/>
              <w:right w:val="single" w:sz="4" w:space="0" w:color="auto"/>
            </w:tcBorders>
            <w:shd w:val="clear" w:color="auto" w:fill="auto"/>
            <w:noWrap/>
            <w:vAlign w:val="bottom"/>
            <w:hideMark/>
          </w:tcPr>
          <w:p w14:paraId="47FD045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15.307,00</w:t>
            </w:r>
          </w:p>
        </w:tc>
        <w:tc>
          <w:tcPr>
            <w:tcW w:w="1559" w:type="dxa"/>
            <w:tcBorders>
              <w:top w:val="nil"/>
              <w:left w:val="nil"/>
              <w:bottom w:val="single" w:sz="4" w:space="0" w:color="auto"/>
              <w:right w:val="single" w:sz="4" w:space="0" w:color="auto"/>
            </w:tcBorders>
            <w:shd w:val="clear" w:color="auto" w:fill="auto"/>
            <w:noWrap/>
            <w:vAlign w:val="bottom"/>
            <w:hideMark/>
          </w:tcPr>
          <w:p w14:paraId="509C9F4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2,21</w:t>
            </w:r>
          </w:p>
        </w:tc>
        <w:tc>
          <w:tcPr>
            <w:tcW w:w="1803" w:type="dxa"/>
            <w:tcBorders>
              <w:top w:val="nil"/>
              <w:left w:val="nil"/>
              <w:bottom w:val="single" w:sz="4" w:space="0" w:color="auto"/>
              <w:right w:val="single" w:sz="4" w:space="0" w:color="auto"/>
            </w:tcBorders>
            <w:shd w:val="clear" w:color="auto" w:fill="auto"/>
            <w:noWrap/>
            <w:vAlign w:val="bottom"/>
            <w:hideMark/>
          </w:tcPr>
          <w:p w14:paraId="2398261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708.307,00</w:t>
            </w:r>
          </w:p>
        </w:tc>
      </w:tr>
      <w:tr w:rsidR="00846ACC" w:rsidRPr="004974C0" w14:paraId="2AA06F6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362734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6.1. TEKUĆE DONACIJE</w:t>
            </w:r>
          </w:p>
        </w:tc>
        <w:tc>
          <w:tcPr>
            <w:tcW w:w="1984" w:type="dxa"/>
            <w:tcBorders>
              <w:top w:val="nil"/>
              <w:left w:val="nil"/>
              <w:bottom w:val="single" w:sz="4" w:space="0" w:color="auto"/>
              <w:right w:val="single" w:sz="4" w:space="0" w:color="auto"/>
            </w:tcBorders>
            <w:shd w:val="clear" w:color="000000" w:fill="FFFF99"/>
            <w:noWrap/>
            <w:vAlign w:val="bottom"/>
            <w:hideMark/>
          </w:tcPr>
          <w:p w14:paraId="02ED5BA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6E144D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6B1A068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4.785,00</w:t>
            </w:r>
          </w:p>
        </w:tc>
        <w:tc>
          <w:tcPr>
            <w:tcW w:w="1559" w:type="dxa"/>
            <w:tcBorders>
              <w:top w:val="nil"/>
              <w:left w:val="nil"/>
              <w:bottom w:val="single" w:sz="4" w:space="0" w:color="auto"/>
              <w:right w:val="single" w:sz="4" w:space="0" w:color="auto"/>
            </w:tcBorders>
            <w:shd w:val="clear" w:color="000000" w:fill="FFFF99"/>
            <w:noWrap/>
            <w:vAlign w:val="bottom"/>
            <w:hideMark/>
          </w:tcPr>
          <w:p w14:paraId="6078680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99"/>
            <w:noWrap/>
            <w:vAlign w:val="bottom"/>
            <w:hideMark/>
          </w:tcPr>
          <w:p w14:paraId="063B43B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4.785,00</w:t>
            </w:r>
          </w:p>
        </w:tc>
      </w:tr>
      <w:tr w:rsidR="00846ACC" w:rsidRPr="004974C0" w14:paraId="2E09DFF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7DFCD8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FDC12C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8C91D4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67432F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4.785,00</w:t>
            </w:r>
          </w:p>
        </w:tc>
        <w:tc>
          <w:tcPr>
            <w:tcW w:w="1559" w:type="dxa"/>
            <w:tcBorders>
              <w:top w:val="nil"/>
              <w:left w:val="nil"/>
              <w:bottom w:val="single" w:sz="4" w:space="0" w:color="auto"/>
              <w:right w:val="single" w:sz="4" w:space="0" w:color="auto"/>
            </w:tcBorders>
            <w:shd w:val="clear" w:color="auto" w:fill="auto"/>
            <w:noWrap/>
            <w:vAlign w:val="bottom"/>
            <w:hideMark/>
          </w:tcPr>
          <w:p w14:paraId="52D3D3D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2373D6F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4.785,00</w:t>
            </w:r>
          </w:p>
        </w:tc>
      </w:tr>
      <w:tr w:rsidR="00846ACC" w:rsidRPr="004974C0" w14:paraId="607D970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BE1458B"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C35BE4A"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54D1D9B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19A7AE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4.785,00</w:t>
            </w:r>
          </w:p>
        </w:tc>
        <w:tc>
          <w:tcPr>
            <w:tcW w:w="1559" w:type="dxa"/>
            <w:tcBorders>
              <w:top w:val="nil"/>
              <w:left w:val="nil"/>
              <w:bottom w:val="single" w:sz="4" w:space="0" w:color="auto"/>
              <w:right w:val="single" w:sz="4" w:space="0" w:color="auto"/>
            </w:tcBorders>
            <w:shd w:val="clear" w:color="auto" w:fill="auto"/>
            <w:noWrap/>
            <w:vAlign w:val="bottom"/>
            <w:hideMark/>
          </w:tcPr>
          <w:p w14:paraId="6E6AC57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112556B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4.785,00</w:t>
            </w:r>
          </w:p>
        </w:tc>
      </w:tr>
      <w:tr w:rsidR="00846ACC" w:rsidRPr="004974C0" w14:paraId="6276A63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D16F55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6.2. 6. KAPITALNE DONACIJE</w:t>
            </w:r>
          </w:p>
        </w:tc>
        <w:tc>
          <w:tcPr>
            <w:tcW w:w="1984" w:type="dxa"/>
            <w:tcBorders>
              <w:top w:val="nil"/>
              <w:left w:val="nil"/>
              <w:bottom w:val="single" w:sz="4" w:space="0" w:color="auto"/>
              <w:right w:val="single" w:sz="4" w:space="0" w:color="auto"/>
            </w:tcBorders>
            <w:shd w:val="clear" w:color="000000" w:fill="FFFF99"/>
            <w:noWrap/>
            <w:vAlign w:val="bottom"/>
            <w:hideMark/>
          </w:tcPr>
          <w:p w14:paraId="04CF5E6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266688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4DC57A6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20.000,00</w:t>
            </w:r>
          </w:p>
        </w:tc>
        <w:tc>
          <w:tcPr>
            <w:tcW w:w="1559" w:type="dxa"/>
            <w:tcBorders>
              <w:top w:val="nil"/>
              <w:left w:val="nil"/>
              <w:bottom w:val="single" w:sz="4" w:space="0" w:color="auto"/>
              <w:right w:val="single" w:sz="4" w:space="0" w:color="auto"/>
            </w:tcBorders>
            <w:shd w:val="clear" w:color="000000" w:fill="FFFF99"/>
            <w:noWrap/>
            <w:vAlign w:val="bottom"/>
            <w:hideMark/>
          </w:tcPr>
          <w:p w14:paraId="2BF4CBE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99"/>
            <w:noWrap/>
            <w:vAlign w:val="bottom"/>
            <w:hideMark/>
          </w:tcPr>
          <w:p w14:paraId="69404A7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20.000,00</w:t>
            </w:r>
          </w:p>
        </w:tc>
      </w:tr>
      <w:tr w:rsidR="00846ACC" w:rsidRPr="004974C0" w14:paraId="33DC1C5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CD3F2D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6A17C79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D4FFEF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0F5E64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20.000,00</w:t>
            </w:r>
          </w:p>
        </w:tc>
        <w:tc>
          <w:tcPr>
            <w:tcW w:w="1559" w:type="dxa"/>
            <w:tcBorders>
              <w:top w:val="nil"/>
              <w:left w:val="nil"/>
              <w:bottom w:val="single" w:sz="4" w:space="0" w:color="auto"/>
              <w:right w:val="single" w:sz="4" w:space="0" w:color="auto"/>
            </w:tcBorders>
            <w:shd w:val="clear" w:color="auto" w:fill="auto"/>
            <w:noWrap/>
            <w:vAlign w:val="bottom"/>
            <w:hideMark/>
          </w:tcPr>
          <w:p w14:paraId="2491399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725B4E6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20.000,00</w:t>
            </w:r>
          </w:p>
        </w:tc>
      </w:tr>
      <w:tr w:rsidR="00846ACC" w:rsidRPr="004974C0" w14:paraId="714BFC7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E3700CE"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3F26AD36"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9CFCA4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390FC6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20.000,00</w:t>
            </w:r>
          </w:p>
        </w:tc>
        <w:tc>
          <w:tcPr>
            <w:tcW w:w="1559" w:type="dxa"/>
            <w:tcBorders>
              <w:top w:val="nil"/>
              <w:left w:val="nil"/>
              <w:bottom w:val="single" w:sz="4" w:space="0" w:color="auto"/>
              <w:right w:val="single" w:sz="4" w:space="0" w:color="auto"/>
            </w:tcBorders>
            <w:shd w:val="clear" w:color="auto" w:fill="auto"/>
            <w:noWrap/>
            <w:vAlign w:val="bottom"/>
            <w:hideMark/>
          </w:tcPr>
          <w:p w14:paraId="2C310FF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713DF77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20.000,00</w:t>
            </w:r>
          </w:p>
        </w:tc>
      </w:tr>
      <w:tr w:rsidR="00846ACC" w:rsidRPr="004974C0" w14:paraId="0702158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B21C99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A400013 Održavanje javnih površina na kojima nije dopušten promet motornim vozilima</w:t>
            </w:r>
          </w:p>
        </w:tc>
        <w:tc>
          <w:tcPr>
            <w:tcW w:w="1984" w:type="dxa"/>
            <w:tcBorders>
              <w:top w:val="nil"/>
              <w:left w:val="nil"/>
              <w:bottom w:val="single" w:sz="4" w:space="0" w:color="auto"/>
              <w:right w:val="single" w:sz="4" w:space="0" w:color="auto"/>
            </w:tcBorders>
            <w:shd w:val="clear" w:color="000000" w:fill="CCCCFF"/>
            <w:noWrap/>
            <w:vAlign w:val="bottom"/>
            <w:hideMark/>
          </w:tcPr>
          <w:p w14:paraId="2A3F3D4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71FD3E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121.000,00</w:t>
            </w:r>
          </w:p>
        </w:tc>
        <w:tc>
          <w:tcPr>
            <w:tcW w:w="1843" w:type="dxa"/>
            <w:tcBorders>
              <w:top w:val="nil"/>
              <w:left w:val="nil"/>
              <w:bottom w:val="single" w:sz="4" w:space="0" w:color="auto"/>
              <w:right w:val="single" w:sz="4" w:space="0" w:color="auto"/>
            </w:tcBorders>
            <w:shd w:val="clear" w:color="000000" w:fill="CCCCFF"/>
            <w:noWrap/>
            <w:vAlign w:val="bottom"/>
            <w:hideMark/>
          </w:tcPr>
          <w:p w14:paraId="7B11BE8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-19.230,00</w:t>
            </w:r>
          </w:p>
        </w:tc>
        <w:tc>
          <w:tcPr>
            <w:tcW w:w="1559" w:type="dxa"/>
            <w:tcBorders>
              <w:top w:val="nil"/>
              <w:left w:val="nil"/>
              <w:bottom w:val="single" w:sz="4" w:space="0" w:color="auto"/>
              <w:right w:val="single" w:sz="4" w:space="0" w:color="auto"/>
            </w:tcBorders>
            <w:shd w:val="clear" w:color="000000" w:fill="CCCCFF"/>
            <w:noWrap/>
            <w:vAlign w:val="bottom"/>
            <w:hideMark/>
          </w:tcPr>
          <w:p w14:paraId="72C6366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-15,89</w:t>
            </w:r>
          </w:p>
        </w:tc>
        <w:tc>
          <w:tcPr>
            <w:tcW w:w="1803" w:type="dxa"/>
            <w:tcBorders>
              <w:top w:val="nil"/>
              <w:left w:val="nil"/>
              <w:bottom w:val="single" w:sz="4" w:space="0" w:color="auto"/>
              <w:right w:val="single" w:sz="4" w:space="0" w:color="auto"/>
            </w:tcBorders>
            <w:shd w:val="clear" w:color="000000" w:fill="CCCCFF"/>
            <w:noWrap/>
            <w:vAlign w:val="bottom"/>
            <w:hideMark/>
          </w:tcPr>
          <w:p w14:paraId="3922CC3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101.770,00</w:t>
            </w:r>
          </w:p>
        </w:tc>
      </w:tr>
      <w:tr w:rsidR="00846ACC" w:rsidRPr="004974C0" w14:paraId="0562EF9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5FFCB6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712C256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5A4F18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c>
          <w:tcPr>
            <w:tcW w:w="1843" w:type="dxa"/>
            <w:tcBorders>
              <w:top w:val="nil"/>
              <w:left w:val="nil"/>
              <w:bottom w:val="single" w:sz="4" w:space="0" w:color="auto"/>
              <w:right w:val="single" w:sz="4" w:space="0" w:color="auto"/>
            </w:tcBorders>
            <w:shd w:val="clear" w:color="000000" w:fill="FFFF99"/>
            <w:noWrap/>
            <w:vAlign w:val="bottom"/>
            <w:hideMark/>
          </w:tcPr>
          <w:p w14:paraId="63D1EE8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c>
          <w:tcPr>
            <w:tcW w:w="1559" w:type="dxa"/>
            <w:tcBorders>
              <w:top w:val="nil"/>
              <w:left w:val="nil"/>
              <w:bottom w:val="single" w:sz="4" w:space="0" w:color="auto"/>
              <w:right w:val="single" w:sz="4" w:space="0" w:color="auto"/>
            </w:tcBorders>
            <w:shd w:val="clear" w:color="000000" w:fill="FFFF99"/>
            <w:noWrap/>
            <w:vAlign w:val="bottom"/>
            <w:hideMark/>
          </w:tcPr>
          <w:p w14:paraId="07B7A26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w:t>
            </w:r>
          </w:p>
        </w:tc>
        <w:tc>
          <w:tcPr>
            <w:tcW w:w="1803" w:type="dxa"/>
            <w:tcBorders>
              <w:top w:val="nil"/>
              <w:left w:val="nil"/>
              <w:bottom w:val="single" w:sz="4" w:space="0" w:color="auto"/>
              <w:right w:val="single" w:sz="4" w:space="0" w:color="auto"/>
            </w:tcBorders>
            <w:shd w:val="clear" w:color="000000" w:fill="FFFF99"/>
            <w:noWrap/>
            <w:vAlign w:val="bottom"/>
            <w:hideMark/>
          </w:tcPr>
          <w:p w14:paraId="2ADD431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r>
      <w:tr w:rsidR="00846ACC" w:rsidRPr="004974C0" w14:paraId="53B2DDD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F8E5CD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38C1D3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149858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10.000,00</w:t>
            </w:r>
          </w:p>
        </w:tc>
        <w:tc>
          <w:tcPr>
            <w:tcW w:w="1843" w:type="dxa"/>
            <w:tcBorders>
              <w:top w:val="nil"/>
              <w:left w:val="nil"/>
              <w:bottom w:val="single" w:sz="4" w:space="0" w:color="auto"/>
              <w:right w:val="single" w:sz="4" w:space="0" w:color="auto"/>
            </w:tcBorders>
            <w:shd w:val="clear" w:color="auto" w:fill="auto"/>
            <w:noWrap/>
            <w:vAlign w:val="bottom"/>
            <w:hideMark/>
          </w:tcPr>
          <w:p w14:paraId="3C95190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-5.000,00</w:t>
            </w:r>
          </w:p>
        </w:tc>
        <w:tc>
          <w:tcPr>
            <w:tcW w:w="1559" w:type="dxa"/>
            <w:tcBorders>
              <w:top w:val="nil"/>
              <w:left w:val="nil"/>
              <w:bottom w:val="single" w:sz="4" w:space="0" w:color="auto"/>
              <w:right w:val="single" w:sz="4" w:space="0" w:color="auto"/>
            </w:tcBorders>
            <w:shd w:val="clear" w:color="auto" w:fill="auto"/>
            <w:noWrap/>
            <w:vAlign w:val="bottom"/>
            <w:hideMark/>
          </w:tcPr>
          <w:p w14:paraId="3EEE4B8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w:t>
            </w:r>
          </w:p>
        </w:tc>
        <w:tc>
          <w:tcPr>
            <w:tcW w:w="1803" w:type="dxa"/>
            <w:tcBorders>
              <w:top w:val="nil"/>
              <w:left w:val="nil"/>
              <w:bottom w:val="single" w:sz="4" w:space="0" w:color="auto"/>
              <w:right w:val="single" w:sz="4" w:space="0" w:color="auto"/>
            </w:tcBorders>
            <w:shd w:val="clear" w:color="auto" w:fill="auto"/>
            <w:noWrap/>
            <w:vAlign w:val="bottom"/>
            <w:hideMark/>
          </w:tcPr>
          <w:p w14:paraId="56D565E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5.000,00</w:t>
            </w:r>
          </w:p>
        </w:tc>
      </w:tr>
      <w:tr w:rsidR="00846ACC" w:rsidRPr="004974C0" w14:paraId="3EFAE83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FF4ED7A"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42472488"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E514CA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10.000,00</w:t>
            </w:r>
          </w:p>
        </w:tc>
        <w:tc>
          <w:tcPr>
            <w:tcW w:w="1843" w:type="dxa"/>
            <w:tcBorders>
              <w:top w:val="nil"/>
              <w:left w:val="nil"/>
              <w:bottom w:val="single" w:sz="4" w:space="0" w:color="auto"/>
              <w:right w:val="single" w:sz="4" w:space="0" w:color="auto"/>
            </w:tcBorders>
            <w:shd w:val="clear" w:color="auto" w:fill="auto"/>
            <w:noWrap/>
            <w:vAlign w:val="bottom"/>
            <w:hideMark/>
          </w:tcPr>
          <w:p w14:paraId="4FF55A1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-5.000,00</w:t>
            </w:r>
          </w:p>
        </w:tc>
        <w:tc>
          <w:tcPr>
            <w:tcW w:w="1559" w:type="dxa"/>
            <w:tcBorders>
              <w:top w:val="nil"/>
              <w:left w:val="nil"/>
              <w:bottom w:val="single" w:sz="4" w:space="0" w:color="auto"/>
              <w:right w:val="single" w:sz="4" w:space="0" w:color="auto"/>
            </w:tcBorders>
            <w:shd w:val="clear" w:color="auto" w:fill="auto"/>
            <w:noWrap/>
            <w:vAlign w:val="bottom"/>
            <w:hideMark/>
          </w:tcPr>
          <w:p w14:paraId="128DCE2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w:t>
            </w:r>
          </w:p>
        </w:tc>
        <w:tc>
          <w:tcPr>
            <w:tcW w:w="1803" w:type="dxa"/>
            <w:tcBorders>
              <w:top w:val="nil"/>
              <w:left w:val="nil"/>
              <w:bottom w:val="single" w:sz="4" w:space="0" w:color="auto"/>
              <w:right w:val="single" w:sz="4" w:space="0" w:color="auto"/>
            </w:tcBorders>
            <w:shd w:val="clear" w:color="auto" w:fill="auto"/>
            <w:noWrap/>
            <w:vAlign w:val="bottom"/>
            <w:hideMark/>
          </w:tcPr>
          <w:p w14:paraId="652B08B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5.000,00</w:t>
            </w:r>
          </w:p>
        </w:tc>
      </w:tr>
      <w:tr w:rsidR="00846ACC" w:rsidRPr="004974C0" w14:paraId="7865627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AAB709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4.1. NAKNADA ZA KONCESIJE</w:t>
            </w:r>
          </w:p>
        </w:tc>
        <w:tc>
          <w:tcPr>
            <w:tcW w:w="1984" w:type="dxa"/>
            <w:tcBorders>
              <w:top w:val="nil"/>
              <w:left w:val="nil"/>
              <w:bottom w:val="single" w:sz="4" w:space="0" w:color="auto"/>
              <w:right w:val="single" w:sz="4" w:space="0" w:color="auto"/>
            </w:tcBorders>
            <w:shd w:val="clear" w:color="000000" w:fill="FFFF99"/>
            <w:noWrap/>
            <w:vAlign w:val="bottom"/>
            <w:hideMark/>
          </w:tcPr>
          <w:p w14:paraId="5E0BAFF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16B7A4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14.000,00</w:t>
            </w:r>
          </w:p>
        </w:tc>
        <w:tc>
          <w:tcPr>
            <w:tcW w:w="1843" w:type="dxa"/>
            <w:tcBorders>
              <w:top w:val="nil"/>
              <w:left w:val="nil"/>
              <w:bottom w:val="single" w:sz="4" w:space="0" w:color="auto"/>
              <w:right w:val="single" w:sz="4" w:space="0" w:color="auto"/>
            </w:tcBorders>
            <w:shd w:val="clear" w:color="000000" w:fill="FFFF99"/>
            <w:noWrap/>
            <w:vAlign w:val="bottom"/>
            <w:hideMark/>
          </w:tcPr>
          <w:p w14:paraId="133E582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770,00</w:t>
            </w:r>
          </w:p>
        </w:tc>
        <w:tc>
          <w:tcPr>
            <w:tcW w:w="1559" w:type="dxa"/>
            <w:tcBorders>
              <w:top w:val="nil"/>
              <w:left w:val="nil"/>
              <w:bottom w:val="single" w:sz="4" w:space="0" w:color="auto"/>
              <w:right w:val="single" w:sz="4" w:space="0" w:color="auto"/>
            </w:tcBorders>
            <w:shd w:val="clear" w:color="000000" w:fill="FFFF99"/>
            <w:noWrap/>
            <w:vAlign w:val="bottom"/>
            <w:hideMark/>
          </w:tcPr>
          <w:p w14:paraId="59C779C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5,50</w:t>
            </w:r>
          </w:p>
        </w:tc>
        <w:tc>
          <w:tcPr>
            <w:tcW w:w="1803" w:type="dxa"/>
            <w:tcBorders>
              <w:top w:val="nil"/>
              <w:left w:val="nil"/>
              <w:bottom w:val="single" w:sz="4" w:space="0" w:color="auto"/>
              <w:right w:val="single" w:sz="4" w:space="0" w:color="auto"/>
            </w:tcBorders>
            <w:shd w:val="clear" w:color="000000" w:fill="FFFF99"/>
            <w:noWrap/>
            <w:vAlign w:val="bottom"/>
            <w:hideMark/>
          </w:tcPr>
          <w:p w14:paraId="549878F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14.770,00</w:t>
            </w:r>
          </w:p>
        </w:tc>
      </w:tr>
      <w:tr w:rsidR="00846ACC" w:rsidRPr="004974C0" w14:paraId="3EEC844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47F34B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7F152C7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A57939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14.000,00</w:t>
            </w:r>
          </w:p>
        </w:tc>
        <w:tc>
          <w:tcPr>
            <w:tcW w:w="1843" w:type="dxa"/>
            <w:tcBorders>
              <w:top w:val="nil"/>
              <w:left w:val="nil"/>
              <w:bottom w:val="single" w:sz="4" w:space="0" w:color="auto"/>
              <w:right w:val="single" w:sz="4" w:space="0" w:color="auto"/>
            </w:tcBorders>
            <w:shd w:val="clear" w:color="auto" w:fill="auto"/>
            <w:noWrap/>
            <w:vAlign w:val="bottom"/>
            <w:hideMark/>
          </w:tcPr>
          <w:p w14:paraId="3CC6EBD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770,00</w:t>
            </w:r>
          </w:p>
        </w:tc>
        <w:tc>
          <w:tcPr>
            <w:tcW w:w="1559" w:type="dxa"/>
            <w:tcBorders>
              <w:top w:val="nil"/>
              <w:left w:val="nil"/>
              <w:bottom w:val="single" w:sz="4" w:space="0" w:color="auto"/>
              <w:right w:val="single" w:sz="4" w:space="0" w:color="auto"/>
            </w:tcBorders>
            <w:shd w:val="clear" w:color="auto" w:fill="auto"/>
            <w:noWrap/>
            <w:vAlign w:val="bottom"/>
            <w:hideMark/>
          </w:tcPr>
          <w:p w14:paraId="36526FF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5,50</w:t>
            </w:r>
          </w:p>
        </w:tc>
        <w:tc>
          <w:tcPr>
            <w:tcW w:w="1803" w:type="dxa"/>
            <w:tcBorders>
              <w:top w:val="nil"/>
              <w:left w:val="nil"/>
              <w:bottom w:val="single" w:sz="4" w:space="0" w:color="auto"/>
              <w:right w:val="single" w:sz="4" w:space="0" w:color="auto"/>
            </w:tcBorders>
            <w:shd w:val="clear" w:color="auto" w:fill="auto"/>
            <w:noWrap/>
            <w:vAlign w:val="bottom"/>
            <w:hideMark/>
          </w:tcPr>
          <w:p w14:paraId="139E674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14.770,00</w:t>
            </w:r>
          </w:p>
        </w:tc>
      </w:tr>
      <w:tr w:rsidR="00846ACC" w:rsidRPr="004974C0" w14:paraId="472BC8A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29C6DB2"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628F279"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BEAD74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14.000,00</w:t>
            </w:r>
          </w:p>
        </w:tc>
        <w:tc>
          <w:tcPr>
            <w:tcW w:w="1843" w:type="dxa"/>
            <w:tcBorders>
              <w:top w:val="nil"/>
              <w:left w:val="nil"/>
              <w:bottom w:val="single" w:sz="4" w:space="0" w:color="auto"/>
              <w:right w:val="single" w:sz="4" w:space="0" w:color="auto"/>
            </w:tcBorders>
            <w:shd w:val="clear" w:color="auto" w:fill="auto"/>
            <w:noWrap/>
            <w:vAlign w:val="bottom"/>
            <w:hideMark/>
          </w:tcPr>
          <w:p w14:paraId="3B50EDD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770,00</w:t>
            </w:r>
          </w:p>
        </w:tc>
        <w:tc>
          <w:tcPr>
            <w:tcW w:w="1559" w:type="dxa"/>
            <w:tcBorders>
              <w:top w:val="nil"/>
              <w:left w:val="nil"/>
              <w:bottom w:val="single" w:sz="4" w:space="0" w:color="auto"/>
              <w:right w:val="single" w:sz="4" w:space="0" w:color="auto"/>
            </w:tcBorders>
            <w:shd w:val="clear" w:color="auto" w:fill="auto"/>
            <w:noWrap/>
            <w:vAlign w:val="bottom"/>
            <w:hideMark/>
          </w:tcPr>
          <w:p w14:paraId="2AC2574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5,50</w:t>
            </w:r>
          </w:p>
        </w:tc>
        <w:tc>
          <w:tcPr>
            <w:tcW w:w="1803" w:type="dxa"/>
            <w:tcBorders>
              <w:top w:val="nil"/>
              <w:left w:val="nil"/>
              <w:bottom w:val="single" w:sz="4" w:space="0" w:color="auto"/>
              <w:right w:val="single" w:sz="4" w:space="0" w:color="auto"/>
            </w:tcBorders>
            <w:shd w:val="clear" w:color="auto" w:fill="auto"/>
            <w:noWrap/>
            <w:vAlign w:val="bottom"/>
            <w:hideMark/>
          </w:tcPr>
          <w:p w14:paraId="7C9A513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14.770,00</w:t>
            </w:r>
          </w:p>
        </w:tc>
      </w:tr>
      <w:tr w:rsidR="00846ACC" w:rsidRPr="004974C0" w14:paraId="1426EE50"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5BDCF1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4.4. PRIHODI OD BORAVIŠNE PRISTOJBE</w:t>
            </w:r>
          </w:p>
        </w:tc>
        <w:tc>
          <w:tcPr>
            <w:tcW w:w="1984" w:type="dxa"/>
            <w:tcBorders>
              <w:top w:val="nil"/>
              <w:left w:val="nil"/>
              <w:bottom w:val="single" w:sz="4" w:space="0" w:color="auto"/>
              <w:right w:val="single" w:sz="4" w:space="0" w:color="auto"/>
            </w:tcBorders>
            <w:shd w:val="clear" w:color="000000" w:fill="FFFF99"/>
            <w:noWrap/>
            <w:vAlign w:val="bottom"/>
            <w:hideMark/>
          </w:tcPr>
          <w:p w14:paraId="0DBE7B1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F8459F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c>
          <w:tcPr>
            <w:tcW w:w="1843" w:type="dxa"/>
            <w:tcBorders>
              <w:top w:val="nil"/>
              <w:left w:val="nil"/>
              <w:bottom w:val="single" w:sz="4" w:space="0" w:color="auto"/>
              <w:right w:val="single" w:sz="4" w:space="0" w:color="auto"/>
            </w:tcBorders>
            <w:shd w:val="clear" w:color="000000" w:fill="FFFF99"/>
            <w:noWrap/>
            <w:vAlign w:val="bottom"/>
            <w:hideMark/>
          </w:tcPr>
          <w:p w14:paraId="737B952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67158C6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40B8FF4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r>
      <w:tr w:rsidR="00846ACC" w:rsidRPr="004974C0" w14:paraId="63380A9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491358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1BF33F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F386B5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w:t>
            </w:r>
          </w:p>
        </w:tc>
        <w:tc>
          <w:tcPr>
            <w:tcW w:w="1843" w:type="dxa"/>
            <w:tcBorders>
              <w:top w:val="nil"/>
              <w:left w:val="nil"/>
              <w:bottom w:val="single" w:sz="4" w:space="0" w:color="auto"/>
              <w:right w:val="single" w:sz="4" w:space="0" w:color="auto"/>
            </w:tcBorders>
            <w:shd w:val="clear" w:color="auto" w:fill="auto"/>
            <w:noWrap/>
            <w:vAlign w:val="bottom"/>
            <w:hideMark/>
          </w:tcPr>
          <w:p w14:paraId="127B74D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53E8D2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BBA400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w:t>
            </w:r>
          </w:p>
        </w:tc>
      </w:tr>
      <w:tr w:rsidR="00846ACC" w:rsidRPr="004974C0" w14:paraId="7CE6D55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7FC056B"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A68D8A7"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34C3F0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w:t>
            </w:r>
          </w:p>
        </w:tc>
        <w:tc>
          <w:tcPr>
            <w:tcW w:w="1843" w:type="dxa"/>
            <w:tcBorders>
              <w:top w:val="nil"/>
              <w:left w:val="nil"/>
              <w:bottom w:val="single" w:sz="4" w:space="0" w:color="auto"/>
              <w:right w:val="single" w:sz="4" w:space="0" w:color="auto"/>
            </w:tcBorders>
            <w:shd w:val="clear" w:color="auto" w:fill="auto"/>
            <w:noWrap/>
            <w:vAlign w:val="bottom"/>
            <w:hideMark/>
          </w:tcPr>
          <w:p w14:paraId="5F1AF0D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797621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59C013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w:t>
            </w:r>
          </w:p>
        </w:tc>
      </w:tr>
      <w:tr w:rsidR="00846ACC" w:rsidRPr="004974C0" w14:paraId="6227275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E94813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4.6. KOMUNALNA NAKNADA</w:t>
            </w:r>
          </w:p>
        </w:tc>
        <w:tc>
          <w:tcPr>
            <w:tcW w:w="1984" w:type="dxa"/>
            <w:tcBorders>
              <w:top w:val="nil"/>
              <w:left w:val="nil"/>
              <w:bottom w:val="single" w:sz="4" w:space="0" w:color="auto"/>
              <w:right w:val="single" w:sz="4" w:space="0" w:color="auto"/>
            </w:tcBorders>
            <w:shd w:val="clear" w:color="000000" w:fill="FFFF99"/>
            <w:noWrap/>
            <w:vAlign w:val="bottom"/>
            <w:hideMark/>
          </w:tcPr>
          <w:p w14:paraId="622EF85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EFB2DF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93.000,00</w:t>
            </w:r>
          </w:p>
        </w:tc>
        <w:tc>
          <w:tcPr>
            <w:tcW w:w="1843" w:type="dxa"/>
            <w:tcBorders>
              <w:top w:val="nil"/>
              <w:left w:val="nil"/>
              <w:bottom w:val="single" w:sz="4" w:space="0" w:color="auto"/>
              <w:right w:val="single" w:sz="4" w:space="0" w:color="auto"/>
            </w:tcBorders>
            <w:shd w:val="clear" w:color="000000" w:fill="FFFF99"/>
            <w:noWrap/>
            <w:vAlign w:val="bottom"/>
            <w:hideMark/>
          </w:tcPr>
          <w:p w14:paraId="451FA50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-15.000,00</w:t>
            </w:r>
          </w:p>
        </w:tc>
        <w:tc>
          <w:tcPr>
            <w:tcW w:w="1559" w:type="dxa"/>
            <w:tcBorders>
              <w:top w:val="nil"/>
              <w:left w:val="nil"/>
              <w:bottom w:val="single" w:sz="4" w:space="0" w:color="auto"/>
              <w:right w:val="single" w:sz="4" w:space="0" w:color="auto"/>
            </w:tcBorders>
            <w:shd w:val="clear" w:color="000000" w:fill="FFFF99"/>
            <w:noWrap/>
            <w:vAlign w:val="bottom"/>
            <w:hideMark/>
          </w:tcPr>
          <w:p w14:paraId="6A0A521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-16,13</w:t>
            </w:r>
          </w:p>
        </w:tc>
        <w:tc>
          <w:tcPr>
            <w:tcW w:w="1803" w:type="dxa"/>
            <w:tcBorders>
              <w:top w:val="nil"/>
              <w:left w:val="nil"/>
              <w:bottom w:val="single" w:sz="4" w:space="0" w:color="auto"/>
              <w:right w:val="single" w:sz="4" w:space="0" w:color="auto"/>
            </w:tcBorders>
            <w:shd w:val="clear" w:color="000000" w:fill="FFFF99"/>
            <w:noWrap/>
            <w:vAlign w:val="bottom"/>
            <w:hideMark/>
          </w:tcPr>
          <w:p w14:paraId="28FBE25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78.000,00</w:t>
            </w:r>
          </w:p>
        </w:tc>
      </w:tr>
      <w:tr w:rsidR="00846ACC" w:rsidRPr="004974C0" w14:paraId="5193D4C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31CA7C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D5DEE4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78A602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93.000,00</w:t>
            </w:r>
          </w:p>
        </w:tc>
        <w:tc>
          <w:tcPr>
            <w:tcW w:w="1843" w:type="dxa"/>
            <w:tcBorders>
              <w:top w:val="nil"/>
              <w:left w:val="nil"/>
              <w:bottom w:val="single" w:sz="4" w:space="0" w:color="auto"/>
              <w:right w:val="single" w:sz="4" w:space="0" w:color="auto"/>
            </w:tcBorders>
            <w:shd w:val="clear" w:color="auto" w:fill="auto"/>
            <w:noWrap/>
            <w:vAlign w:val="bottom"/>
            <w:hideMark/>
          </w:tcPr>
          <w:p w14:paraId="02985E0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-15.000,00</w:t>
            </w:r>
          </w:p>
        </w:tc>
        <w:tc>
          <w:tcPr>
            <w:tcW w:w="1559" w:type="dxa"/>
            <w:tcBorders>
              <w:top w:val="nil"/>
              <w:left w:val="nil"/>
              <w:bottom w:val="single" w:sz="4" w:space="0" w:color="auto"/>
              <w:right w:val="single" w:sz="4" w:space="0" w:color="auto"/>
            </w:tcBorders>
            <w:shd w:val="clear" w:color="auto" w:fill="auto"/>
            <w:noWrap/>
            <w:vAlign w:val="bottom"/>
            <w:hideMark/>
          </w:tcPr>
          <w:p w14:paraId="2A5C683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-16,13</w:t>
            </w:r>
          </w:p>
        </w:tc>
        <w:tc>
          <w:tcPr>
            <w:tcW w:w="1803" w:type="dxa"/>
            <w:tcBorders>
              <w:top w:val="nil"/>
              <w:left w:val="nil"/>
              <w:bottom w:val="single" w:sz="4" w:space="0" w:color="auto"/>
              <w:right w:val="single" w:sz="4" w:space="0" w:color="auto"/>
            </w:tcBorders>
            <w:shd w:val="clear" w:color="auto" w:fill="auto"/>
            <w:noWrap/>
            <w:vAlign w:val="bottom"/>
            <w:hideMark/>
          </w:tcPr>
          <w:p w14:paraId="3617FEB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78.000,00</w:t>
            </w:r>
          </w:p>
        </w:tc>
      </w:tr>
      <w:tr w:rsidR="00846ACC" w:rsidRPr="004974C0" w14:paraId="668E2EC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F569A67"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86E3F88"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887FD4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93.000,00</w:t>
            </w:r>
          </w:p>
        </w:tc>
        <w:tc>
          <w:tcPr>
            <w:tcW w:w="1843" w:type="dxa"/>
            <w:tcBorders>
              <w:top w:val="nil"/>
              <w:left w:val="nil"/>
              <w:bottom w:val="single" w:sz="4" w:space="0" w:color="auto"/>
              <w:right w:val="single" w:sz="4" w:space="0" w:color="auto"/>
            </w:tcBorders>
            <w:shd w:val="clear" w:color="auto" w:fill="auto"/>
            <w:noWrap/>
            <w:vAlign w:val="bottom"/>
            <w:hideMark/>
          </w:tcPr>
          <w:p w14:paraId="040C617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-15.000,00</w:t>
            </w:r>
          </w:p>
        </w:tc>
        <w:tc>
          <w:tcPr>
            <w:tcW w:w="1559" w:type="dxa"/>
            <w:tcBorders>
              <w:top w:val="nil"/>
              <w:left w:val="nil"/>
              <w:bottom w:val="single" w:sz="4" w:space="0" w:color="auto"/>
              <w:right w:val="single" w:sz="4" w:space="0" w:color="auto"/>
            </w:tcBorders>
            <w:shd w:val="clear" w:color="auto" w:fill="auto"/>
            <w:noWrap/>
            <w:vAlign w:val="bottom"/>
            <w:hideMark/>
          </w:tcPr>
          <w:p w14:paraId="6A03CF7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-16,13</w:t>
            </w:r>
          </w:p>
        </w:tc>
        <w:tc>
          <w:tcPr>
            <w:tcW w:w="1803" w:type="dxa"/>
            <w:tcBorders>
              <w:top w:val="nil"/>
              <w:left w:val="nil"/>
              <w:bottom w:val="single" w:sz="4" w:space="0" w:color="auto"/>
              <w:right w:val="single" w:sz="4" w:space="0" w:color="auto"/>
            </w:tcBorders>
            <w:shd w:val="clear" w:color="auto" w:fill="auto"/>
            <w:noWrap/>
            <w:vAlign w:val="bottom"/>
            <w:hideMark/>
          </w:tcPr>
          <w:p w14:paraId="2F3A319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78.000,00</w:t>
            </w:r>
          </w:p>
        </w:tc>
      </w:tr>
      <w:tr w:rsidR="00846ACC" w:rsidRPr="004974C0" w14:paraId="7F1F033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77A53A7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A400014 Održavanje građevina javne odvodnje oborinskih voda</w:t>
            </w:r>
          </w:p>
        </w:tc>
        <w:tc>
          <w:tcPr>
            <w:tcW w:w="1984" w:type="dxa"/>
            <w:tcBorders>
              <w:top w:val="nil"/>
              <w:left w:val="nil"/>
              <w:bottom w:val="single" w:sz="4" w:space="0" w:color="auto"/>
              <w:right w:val="single" w:sz="4" w:space="0" w:color="auto"/>
            </w:tcBorders>
            <w:shd w:val="clear" w:color="000000" w:fill="CCCCFF"/>
            <w:noWrap/>
            <w:vAlign w:val="bottom"/>
            <w:hideMark/>
          </w:tcPr>
          <w:p w14:paraId="18C1E87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1FEE37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40.000,00</w:t>
            </w:r>
          </w:p>
        </w:tc>
        <w:tc>
          <w:tcPr>
            <w:tcW w:w="1843" w:type="dxa"/>
            <w:tcBorders>
              <w:top w:val="nil"/>
              <w:left w:val="nil"/>
              <w:bottom w:val="single" w:sz="4" w:space="0" w:color="auto"/>
              <w:right w:val="single" w:sz="4" w:space="0" w:color="auto"/>
            </w:tcBorders>
            <w:shd w:val="clear" w:color="000000" w:fill="CCCCFF"/>
            <w:noWrap/>
            <w:vAlign w:val="bottom"/>
            <w:hideMark/>
          </w:tcPr>
          <w:p w14:paraId="0A69DAE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-15.000,00</w:t>
            </w:r>
          </w:p>
        </w:tc>
        <w:tc>
          <w:tcPr>
            <w:tcW w:w="1559" w:type="dxa"/>
            <w:tcBorders>
              <w:top w:val="nil"/>
              <w:left w:val="nil"/>
              <w:bottom w:val="single" w:sz="4" w:space="0" w:color="auto"/>
              <w:right w:val="single" w:sz="4" w:space="0" w:color="auto"/>
            </w:tcBorders>
            <w:shd w:val="clear" w:color="000000" w:fill="CCCCFF"/>
            <w:noWrap/>
            <w:vAlign w:val="bottom"/>
            <w:hideMark/>
          </w:tcPr>
          <w:p w14:paraId="19FE7A2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-37,50</w:t>
            </w:r>
          </w:p>
        </w:tc>
        <w:tc>
          <w:tcPr>
            <w:tcW w:w="1803" w:type="dxa"/>
            <w:tcBorders>
              <w:top w:val="nil"/>
              <w:left w:val="nil"/>
              <w:bottom w:val="single" w:sz="4" w:space="0" w:color="auto"/>
              <w:right w:val="single" w:sz="4" w:space="0" w:color="auto"/>
            </w:tcBorders>
            <w:shd w:val="clear" w:color="000000" w:fill="CCCCFF"/>
            <w:noWrap/>
            <w:vAlign w:val="bottom"/>
            <w:hideMark/>
          </w:tcPr>
          <w:p w14:paraId="52A0D52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25.000,00</w:t>
            </w:r>
          </w:p>
        </w:tc>
      </w:tr>
      <w:tr w:rsidR="00846ACC" w:rsidRPr="004974C0" w14:paraId="6894F20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3CBA6C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4.6. KOMUNALNA NAKNADA</w:t>
            </w:r>
          </w:p>
        </w:tc>
        <w:tc>
          <w:tcPr>
            <w:tcW w:w="1984" w:type="dxa"/>
            <w:tcBorders>
              <w:top w:val="nil"/>
              <w:left w:val="nil"/>
              <w:bottom w:val="single" w:sz="4" w:space="0" w:color="auto"/>
              <w:right w:val="single" w:sz="4" w:space="0" w:color="auto"/>
            </w:tcBorders>
            <w:shd w:val="clear" w:color="000000" w:fill="FFFF99"/>
            <w:noWrap/>
            <w:vAlign w:val="bottom"/>
            <w:hideMark/>
          </w:tcPr>
          <w:p w14:paraId="16CA10E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0F794B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40.000,00</w:t>
            </w:r>
          </w:p>
        </w:tc>
        <w:tc>
          <w:tcPr>
            <w:tcW w:w="1843" w:type="dxa"/>
            <w:tcBorders>
              <w:top w:val="nil"/>
              <w:left w:val="nil"/>
              <w:bottom w:val="single" w:sz="4" w:space="0" w:color="auto"/>
              <w:right w:val="single" w:sz="4" w:space="0" w:color="auto"/>
            </w:tcBorders>
            <w:shd w:val="clear" w:color="000000" w:fill="FFFF99"/>
            <w:noWrap/>
            <w:vAlign w:val="bottom"/>
            <w:hideMark/>
          </w:tcPr>
          <w:p w14:paraId="1510CA5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-15.000,00</w:t>
            </w:r>
          </w:p>
        </w:tc>
        <w:tc>
          <w:tcPr>
            <w:tcW w:w="1559" w:type="dxa"/>
            <w:tcBorders>
              <w:top w:val="nil"/>
              <w:left w:val="nil"/>
              <w:bottom w:val="single" w:sz="4" w:space="0" w:color="auto"/>
              <w:right w:val="single" w:sz="4" w:space="0" w:color="auto"/>
            </w:tcBorders>
            <w:shd w:val="clear" w:color="000000" w:fill="FFFF99"/>
            <w:noWrap/>
            <w:vAlign w:val="bottom"/>
            <w:hideMark/>
          </w:tcPr>
          <w:p w14:paraId="402EEBE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-37,50</w:t>
            </w:r>
          </w:p>
        </w:tc>
        <w:tc>
          <w:tcPr>
            <w:tcW w:w="1803" w:type="dxa"/>
            <w:tcBorders>
              <w:top w:val="nil"/>
              <w:left w:val="nil"/>
              <w:bottom w:val="single" w:sz="4" w:space="0" w:color="auto"/>
              <w:right w:val="single" w:sz="4" w:space="0" w:color="auto"/>
            </w:tcBorders>
            <w:shd w:val="clear" w:color="000000" w:fill="FFFF99"/>
            <w:noWrap/>
            <w:vAlign w:val="bottom"/>
            <w:hideMark/>
          </w:tcPr>
          <w:p w14:paraId="631CF2A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25.000,00</w:t>
            </w:r>
          </w:p>
        </w:tc>
      </w:tr>
      <w:tr w:rsidR="00846ACC" w:rsidRPr="004974C0" w14:paraId="26D1713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516448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24F88D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040A65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40.000,00</w:t>
            </w:r>
          </w:p>
        </w:tc>
        <w:tc>
          <w:tcPr>
            <w:tcW w:w="1843" w:type="dxa"/>
            <w:tcBorders>
              <w:top w:val="nil"/>
              <w:left w:val="nil"/>
              <w:bottom w:val="single" w:sz="4" w:space="0" w:color="auto"/>
              <w:right w:val="single" w:sz="4" w:space="0" w:color="auto"/>
            </w:tcBorders>
            <w:shd w:val="clear" w:color="auto" w:fill="auto"/>
            <w:noWrap/>
            <w:vAlign w:val="bottom"/>
            <w:hideMark/>
          </w:tcPr>
          <w:p w14:paraId="3B3A77C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-15.000,00</w:t>
            </w:r>
          </w:p>
        </w:tc>
        <w:tc>
          <w:tcPr>
            <w:tcW w:w="1559" w:type="dxa"/>
            <w:tcBorders>
              <w:top w:val="nil"/>
              <w:left w:val="nil"/>
              <w:bottom w:val="single" w:sz="4" w:space="0" w:color="auto"/>
              <w:right w:val="single" w:sz="4" w:space="0" w:color="auto"/>
            </w:tcBorders>
            <w:shd w:val="clear" w:color="auto" w:fill="auto"/>
            <w:noWrap/>
            <w:vAlign w:val="bottom"/>
            <w:hideMark/>
          </w:tcPr>
          <w:p w14:paraId="4D12DAA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-37,50</w:t>
            </w:r>
          </w:p>
        </w:tc>
        <w:tc>
          <w:tcPr>
            <w:tcW w:w="1803" w:type="dxa"/>
            <w:tcBorders>
              <w:top w:val="nil"/>
              <w:left w:val="nil"/>
              <w:bottom w:val="single" w:sz="4" w:space="0" w:color="auto"/>
              <w:right w:val="single" w:sz="4" w:space="0" w:color="auto"/>
            </w:tcBorders>
            <w:shd w:val="clear" w:color="auto" w:fill="auto"/>
            <w:noWrap/>
            <w:vAlign w:val="bottom"/>
            <w:hideMark/>
          </w:tcPr>
          <w:p w14:paraId="675AF0B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25.000,00</w:t>
            </w:r>
          </w:p>
        </w:tc>
      </w:tr>
      <w:tr w:rsidR="00846ACC" w:rsidRPr="004974C0" w14:paraId="077E011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BF18241"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0B1EDCB2"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A054D6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40.000,00</w:t>
            </w:r>
          </w:p>
        </w:tc>
        <w:tc>
          <w:tcPr>
            <w:tcW w:w="1843" w:type="dxa"/>
            <w:tcBorders>
              <w:top w:val="nil"/>
              <w:left w:val="nil"/>
              <w:bottom w:val="single" w:sz="4" w:space="0" w:color="auto"/>
              <w:right w:val="single" w:sz="4" w:space="0" w:color="auto"/>
            </w:tcBorders>
            <w:shd w:val="clear" w:color="auto" w:fill="auto"/>
            <w:noWrap/>
            <w:vAlign w:val="bottom"/>
            <w:hideMark/>
          </w:tcPr>
          <w:p w14:paraId="7877B08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-15.000,00</w:t>
            </w:r>
          </w:p>
        </w:tc>
        <w:tc>
          <w:tcPr>
            <w:tcW w:w="1559" w:type="dxa"/>
            <w:tcBorders>
              <w:top w:val="nil"/>
              <w:left w:val="nil"/>
              <w:bottom w:val="single" w:sz="4" w:space="0" w:color="auto"/>
              <w:right w:val="single" w:sz="4" w:space="0" w:color="auto"/>
            </w:tcBorders>
            <w:shd w:val="clear" w:color="auto" w:fill="auto"/>
            <w:noWrap/>
            <w:vAlign w:val="bottom"/>
            <w:hideMark/>
          </w:tcPr>
          <w:p w14:paraId="22BCF14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-37,50</w:t>
            </w:r>
          </w:p>
        </w:tc>
        <w:tc>
          <w:tcPr>
            <w:tcW w:w="1803" w:type="dxa"/>
            <w:tcBorders>
              <w:top w:val="nil"/>
              <w:left w:val="nil"/>
              <w:bottom w:val="single" w:sz="4" w:space="0" w:color="auto"/>
              <w:right w:val="single" w:sz="4" w:space="0" w:color="auto"/>
            </w:tcBorders>
            <w:shd w:val="clear" w:color="auto" w:fill="auto"/>
            <w:noWrap/>
            <w:vAlign w:val="bottom"/>
            <w:hideMark/>
          </w:tcPr>
          <w:p w14:paraId="45812BE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25.000,00</w:t>
            </w:r>
          </w:p>
        </w:tc>
      </w:tr>
      <w:tr w:rsidR="00846ACC" w:rsidRPr="004974C0" w14:paraId="169BB28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7FD278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A400015 Održavanje javnih zelenih površina</w:t>
            </w:r>
          </w:p>
        </w:tc>
        <w:tc>
          <w:tcPr>
            <w:tcW w:w="1984" w:type="dxa"/>
            <w:tcBorders>
              <w:top w:val="nil"/>
              <w:left w:val="nil"/>
              <w:bottom w:val="single" w:sz="4" w:space="0" w:color="auto"/>
              <w:right w:val="single" w:sz="4" w:space="0" w:color="auto"/>
            </w:tcBorders>
            <w:shd w:val="clear" w:color="000000" w:fill="CCCCFF"/>
            <w:noWrap/>
            <w:vAlign w:val="bottom"/>
            <w:hideMark/>
          </w:tcPr>
          <w:p w14:paraId="15E21AC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1E2AB2C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591.000,00</w:t>
            </w:r>
          </w:p>
        </w:tc>
        <w:tc>
          <w:tcPr>
            <w:tcW w:w="1843" w:type="dxa"/>
            <w:tcBorders>
              <w:top w:val="nil"/>
              <w:left w:val="nil"/>
              <w:bottom w:val="single" w:sz="4" w:space="0" w:color="auto"/>
              <w:right w:val="single" w:sz="4" w:space="0" w:color="auto"/>
            </w:tcBorders>
            <w:shd w:val="clear" w:color="000000" w:fill="CCCCFF"/>
            <w:noWrap/>
            <w:vAlign w:val="bottom"/>
            <w:hideMark/>
          </w:tcPr>
          <w:p w14:paraId="6719CF7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47.000,00</w:t>
            </w:r>
          </w:p>
        </w:tc>
        <w:tc>
          <w:tcPr>
            <w:tcW w:w="1559" w:type="dxa"/>
            <w:tcBorders>
              <w:top w:val="nil"/>
              <w:left w:val="nil"/>
              <w:bottom w:val="single" w:sz="4" w:space="0" w:color="auto"/>
              <w:right w:val="single" w:sz="4" w:space="0" w:color="auto"/>
            </w:tcBorders>
            <w:shd w:val="clear" w:color="000000" w:fill="CCCCFF"/>
            <w:noWrap/>
            <w:vAlign w:val="bottom"/>
            <w:hideMark/>
          </w:tcPr>
          <w:p w14:paraId="6437F6A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7,95</w:t>
            </w:r>
          </w:p>
        </w:tc>
        <w:tc>
          <w:tcPr>
            <w:tcW w:w="1803" w:type="dxa"/>
            <w:tcBorders>
              <w:top w:val="nil"/>
              <w:left w:val="nil"/>
              <w:bottom w:val="single" w:sz="4" w:space="0" w:color="auto"/>
              <w:right w:val="single" w:sz="4" w:space="0" w:color="auto"/>
            </w:tcBorders>
            <w:shd w:val="clear" w:color="000000" w:fill="CCCCFF"/>
            <w:noWrap/>
            <w:vAlign w:val="bottom"/>
            <w:hideMark/>
          </w:tcPr>
          <w:p w14:paraId="51FDF48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638.000,00</w:t>
            </w:r>
          </w:p>
        </w:tc>
      </w:tr>
      <w:tr w:rsidR="00846ACC" w:rsidRPr="004974C0" w14:paraId="18A2F14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E1D58D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4.4. PRIHODI OD BORAVIŠNE PRISTOJBE</w:t>
            </w:r>
          </w:p>
        </w:tc>
        <w:tc>
          <w:tcPr>
            <w:tcW w:w="1984" w:type="dxa"/>
            <w:tcBorders>
              <w:top w:val="nil"/>
              <w:left w:val="nil"/>
              <w:bottom w:val="single" w:sz="4" w:space="0" w:color="auto"/>
              <w:right w:val="single" w:sz="4" w:space="0" w:color="auto"/>
            </w:tcBorders>
            <w:shd w:val="clear" w:color="000000" w:fill="FFFF99"/>
            <w:noWrap/>
            <w:vAlign w:val="bottom"/>
            <w:hideMark/>
          </w:tcPr>
          <w:p w14:paraId="76E6CC0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F2D4BB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70.000,00</w:t>
            </w:r>
          </w:p>
        </w:tc>
        <w:tc>
          <w:tcPr>
            <w:tcW w:w="1843" w:type="dxa"/>
            <w:tcBorders>
              <w:top w:val="nil"/>
              <w:left w:val="nil"/>
              <w:bottom w:val="single" w:sz="4" w:space="0" w:color="auto"/>
              <w:right w:val="single" w:sz="4" w:space="0" w:color="auto"/>
            </w:tcBorders>
            <w:shd w:val="clear" w:color="000000" w:fill="FFFF99"/>
            <w:noWrap/>
            <w:vAlign w:val="bottom"/>
            <w:hideMark/>
          </w:tcPr>
          <w:p w14:paraId="57BE36A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3743344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2838731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70.000,00</w:t>
            </w:r>
          </w:p>
        </w:tc>
      </w:tr>
      <w:tr w:rsidR="00846ACC" w:rsidRPr="004974C0" w14:paraId="33B60F3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E0FCB3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7EF32E2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23E8B1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70.000,00</w:t>
            </w:r>
          </w:p>
        </w:tc>
        <w:tc>
          <w:tcPr>
            <w:tcW w:w="1843" w:type="dxa"/>
            <w:tcBorders>
              <w:top w:val="nil"/>
              <w:left w:val="nil"/>
              <w:bottom w:val="single" w:sz="4" w:space="0" w:color="auto"/>
              <w:right w:val="single" w:sz="4" w:space="0" w:color="auto"/>
            </w:tcBorders>
            <w:shd w:val="clear" w:color="auto" w:fill="auto"/>
            <w:noWrap/>
            <w:vAlign w:val="bottom"/>
            <w:hideMark/>
          </w:tcPr>
          <w:p w14:paraId="446A29F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7D8252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A15DC6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70.000,00</w:t>
            </w:r>
          </w:p>
        </w:tc>
      </w:tr>
      <w:tr w:rsidR="00846ACC" w:rsidRPr="004974C0" w14:paraId="275CE34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A72DE70"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3CC5BA2"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1E433B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70.000,00</w:t>
            </w:r>
          </w:p>
        </w:tc>
        <w:tc>
          <w:tcPr>
            <w:tcW w:w="1843" w:type="dxa"/>
            <w:tcBorders>
              <w:top w:val="nil"/>
              <w:left w:val="nil"/>
              <w:bottom w:val="single" w:sz="4" w:space="0" w:color="auto"/>
              <w:right w:val="single" w:sz="4" w:space="0" w:color="auto"/>
            </w:tcBorders>
            <w:shd w:val="clear" w:color="auto" w:fill="auto"/>
            <w:noWrap/>
            <w:vAlign w:val="bottom"/>
            <w:hideMark/>
          </w:tcPr>
          <w:p w14:paraId="0AA1A3F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61D01F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1E05D0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70.000,00</w:t>
            </w:r>
          </w:p>
        </w:tc>
      </w:tr>
      <w:tr w:rsidR="00846ACC" w:rsidRPr="004974C0" w14:paraId="2DF2CBE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187F48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4.6. KOMUNALNA NAKNADA</w:t>
            </w:r>
          </w:p>
        </w:tc>
        <w:tc>
          <w:tcPr>
            <w:tcW w:w="1984" w:type="dxa"/>
            <w:tcBorders>
              <w:top w:val="nil"/>
              <w:left w:val="nil"/>
              <w:bottom w:val="single" w:sz="4" w:space="0" w:color="auto"/>
              <w:right w:val="single" w:sz="4" w:space="0" w:color="auto"/>
            </w:tcBorders>
            <w:shd w:val="clear" w:color="000000" w:fill="FFFF99"/>
            <w:noWrap/>
            <w:vAlign w:val="bottom"/>
            <w:hideMark/>
          </w:tcPr>
          <w:p w14:paraId="47BDDCA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9C6D02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519.000,00</w:t>
            </w:r>
          </w:p>
        </w:tc>
        <w:tc>
          <w:tcPr>
            <w:tcW w:w="1843" w:type="dxa"/>
            <w:tcBorders>
              <w:top w:val="nil"/>
              <w:left w:val="nil"/>
              <w:bottom w:val="single" w:sz="4" w:space="0" w:color="auto"/>
              <w:right w:val="single" w:sz="4" w:space="0" w:color="auto"/>
            </w:tcBorders>
            <w:shd w:val="clear" w:color="000000" w:fill="FFFF99"/>
            <w:noWrap/>
            <w:vAlign w:val="bottom"/>
            <w:hideMark/>
          </w:tcPr>
          <w:p w14:paraId="3B2D429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47.000,00</w:t>
            </w:r>
          </w:p>
        </w:tc>
        <w:tc>
          <w:tcPr>
            <w:tcW w:w="1559" w:type="dxa"/>
            <w:tcBorders>
              <w:top w:val="nil"/>
              <w:left w:val="nil"/>
              <w:bottom w:val="single" w:sz="4" w:space="0" w:color="auto"/>
              <w:right w:val="single" w:sz="4" w:space="0" w:color="auto"/>
            </w:tcBorders>
            <w:shd w:val="clear" w:color="000000" w:fill="FFFF99"/>
            <w:noWrap/>
            <w:vAlign w:val="bottom"/>
            <w:hideMark/>
          </w:tcPr>
          <w:p w14:paraId="525F5D9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9,06</w:t>
            </w:r>
          </w:p>
        </w:tc>
        <w:tc>
          <w:tcPr>
            <w:tcW w:w="1803" w:type="dxa"/>
            <w:tcBorders>
              <w:top w:val="nil"/>
              <w:left w:val="nil"/>
              <w:bottom w:val="single" w:sz="4" w:space="0" w:color="auto"/>
              <w:right w:val="single" w:sz="4" w:space="0" w:color="auto"/>
            </w:tcBorders>
            <w:shd w:val="clear" w:color="000000" w:fill="FFFF99"/>
            <w:noWrap/>
            <w:vAlign w:val="bottom"/>
            <w:hideMark/>
          </w:tcPr>
          <w:p w14:paraId="2F96241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566.000,00</w:t>
            </w:r>
          </w:p>
        </w:tc>
      </w:tr>
      <w:tr w:rsidR="00846ACC" w:rsidRPr="004974C0" w14:paraId="1421F4D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6858FC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CE9688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15B2B4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519.000,00</w:t>
            </w:r>
          </w:p>
        </w:tc>
        <w:tc>
          <w:tcPr>
            <w:tcW w:w="1843" w:type="dxa"/>
            <w:tcBorders>
              <w:top w:val="nil"/>
              <w:left w:val="nil"/>
              <w:bottom w:val="single" w:sz="4" w:space="0" w:color="auto"/>
              <w:right w:val="single" w:sz="4" w:space="0" w:color="auto"/>
            </w:tcBorders>
            <w:shd w:val="clear" w:color="auto" w:fill="auto"/>
            <w:noWrap/>
            <w:vAlign w:val="bottom"/>
            <w:hideMark/>
          </w:tcPr>
          <w:p w14:paraId="21990E4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47.000,00</w:t>
            </w:r>
          </w:p>
        </w:tc>
        <w:tc>
          <w:tcPr>
            <w:tcW w:w="1559" w:type="dxa"/>
            <w:tcBorders>
              <w:top w:val="nil"/>
              <w:left w:val="nil"/>
              <w:bottom w:val="single" w:sz="4" w:space="0" w:color="auto"/>
              <w:right w:val="single" w:sz="4" w:space="0" w:color="auto"/>
            </w:tcBorders>
            <w:shd w:val="clear" w:color="auto" w:fill="auto"/>
            <w:noWrap/>
            <w:vAlign w:val="bottom"/>
            <w:hideMark/>
          </w:tcPr>
          <w:p w14:paraId="07C5837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9,06</w:t>
            </w:r>
          </w:p>
        </w:tc>
        <w:tc>
          <w:tcPr>
            <w:tcW w:w="1803" w:type="dxa"/>
            <w:tcBorders>
              <w:top w:val="nil"/>
              <w:left w:val="nil"/>
              <w:bottom w:val="single" w:sz="4" w:space="0" w:color="auto"/>
              <w:right w:val="single" w:sz="4" w:space="0" w:color="auto"/>
            </w:tcBorders>
            <w:shd w:val="clear" w:color="auto" w:fill="auto"/>
            <w:noWrap/>
            <w:vAlign w:val="bottom"/>
            <w:hideMark/>
          </w:tcPr>
          <w:p w14:paraId="3F50A6F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566.000,00</w:t>
            </w:r>
          </w:p>
        </w:tc>
      </w:tr>
      <w:tr w:rsidR="00846ACC" w:rsidRPr="004974C0" w14:paraId="0B20158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5BA8038"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0ED5D351"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C187E5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519.000,00</w:t>
            </w:r>
          </w:p>
        </w:tc>
        <w:tc>
          <w:tcPr>
            <w:tcW w:w="1843" w:type="dxa"/>
            <w:tcBorders>
              <w:top w:val="nil"/>
              <w:left w:val="nil"/>
              <w:bottom w:val="single" w:sz="4" w:space="0" w:color="auto"/>
              <w:right w:val="single" w:sz="4" w:space="0" w:color="auto"/>
            </w:tcBorders>
            <w:shd w:val="clear" w:color="auto" w:fill="auto"/>
            <w:noWrap/>
            <w:vAlign w:val="bottom"/>
            <w:hideMark/>
          </w:tcPr>
          <w:p w14:paraId="12B417D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47.000,00</w:t>
            </w:r>
          </w:p>
        </w:tc>
        <w:tc>
          <w:tcPr>
            <w:tcW w:w="1559" w:type="dxa"/>
            <w:tcBorders>
              <w:top w:val="nil"/>
              <w:left w:val="nil"/>
              <w:bottom w:val="single" w:sz="4" w:space="0" w:color="auto"/>
              <w:right w:val="single" w:sz="4" w:space="0" w:color="auto"/>
            </w:tcBorders>
            <w:shd w:val="clear" w:color="auto" w:fill="auto"/>
            <w:noWrap/>
            <w:vAlign w:val="bottom"/>
            <w:hideMark/>
          </w:tcPr>
          <w:p w14:paraId="22026D9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9,06</w:t>
            </w:r>
          </w:p>
        </w:tc>
        <w:tc>
          <w:tcPr>
            <w:tcW w:w="1803" w:type="dxa"/>
            <w:tcBorders>
              <w:top w:val="nil"/>
              <w:left w:val="nil"/>
              <w:bottom w:val="single" w:sz="4" w:space="0" w:color="auto"/>
              <w:right w:val="single" w:sz="4" w:space="0" w:color="auto"/>
            </w:tcBorders>
            <w:shd w:val="clear" w:color="auto" w:fill="auto"/>
            <w:noWrap/>
            <w:vAlign w:val="bottom"/>
            <w:hideMark/>
          </w:tcPr>
          <w:p w14:paraId="52330A5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566.000,00</w:t>
            </w:r>
          </w:p>
        </w:tc>
      </w:tr>
      <w:tr w:rsidR="00846ACC" w:rsidRPr="004974C0" w14:paraId="3A4E22A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8E5B94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7.3. 7.PRIHODI OD NAKNADA ŠTETA S OSN.OSIGUR.</w:t>
            </w:r>
          </w:p>
        </w:tc>
        <w:tc>
          <w:tcPr>
            <w:tcW w:w="1984" w:type="dxa"/>
            <w:tcBorders>
              <w:top w:val="nil"/>
              <w:left w:val="nil"/>
              <w:bottom w:val="single" w:sz="4" w:space="0" w:color="auto"/>
              <w:right w:val="single" w:sz="4" w:space="0" w:color="auto"/>
            </w:tcBorders>
            <w:shd w:val="clear" w:color="000000" w:fill="FFFF99"/>
            <w:noWrap/>
            <w:vAlign w:val="bottom"/>
            <w:hideMark/>
          </w:tcPr>
          <w:p w14:paraId="500284B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BAAD7E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843" w:type="dxa"/>
            <w:tcBorders>
              <w:top w:val="nil"/>
              <w:left w:val="nil"/>
              <w:bottom w:val="single" w:sz="4" w:space="0" w:color="auto"/>
              <w:right w:val="single" w:sz="4" w:space="0" w:color="auto"/>
            </w:tcBorders>
            <w:shd w:val="clear" w:color="000000" w:fill="FFFF99"/>
            <w:noWrap/>
            <w:vAlign w:val="bottom"/>
            <w:hideMark/>
          </w:tcPr>
          <w:p w14:paraId="34293D7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2D28C15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0F8D499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r>
      <w:tr w:rsidR="00846ACC" w:rsidRPr="004974C0" w14:paraId="46ECF96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293CB2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AE5DF1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FABCD6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3CF462D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6803A8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051386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r>
      <w:tr w:rsidR="00846ACC" w:rsidRPr="004974C0" w14:paraId="36BAE01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C295458" w14:textId="77777777" w:rsidR="004974C0" w:rsidRPr="004974C0" w:rsidRDefault="004974C0" w:rsidP="004974C0">
            <w:pPr>
              <w:rPr>
                <w:rFonts w:ascii="Arial" w:hAnsi="Arial" w:cs="Arial"/>
                <w:sz w:val="20"/>
                <w:szCs w:val="20"/>
              </w:rPr>
            </w:pPr>
            <w:r w:rsidRPr="004974C0">
              <w:rPr>
                <w:rFonts w:ascii="Arial" w:hAnsi="Arial" w:cs="Arial"/>
                <w:sz w:val="20"/>
                <w:szCs w:val="20"/>
              </w:rPr>
              <w:lastRenderedPageBreak/>
              <w:t>32</w:t>
            </w:r>
          </w:p>
        </w:tc>
        <w:tc>
          <w:tcPr>
            <w:tcW w:w="1984" w:type="dxa"/>
            <w:tcBorders>
              <w:top w:val="nil"/>
              <w:left w:val="nil"/>
              <w:bottom w:val="single" w:sz="4" w:space="0" w:color="auto"/>
              <w:right w:val="single" w:sz="4" w:space="0" w:color="auto"/>
            </w:tcBorders>
            <w:shd w:val="clear" w:color="auto" w:fill="auto"/>
            <w:noWrap/>
            <w:vAlign w:val="bottom"/>
            <w:hideMark/>
          </w:tcPr>
          <w:p w14:paraId="289566FF"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69D12D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52E9740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1156F9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E67948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r>
      <w:tr w:rsidR="00846ACC" w:rsidRPr="004974C0" w14:paraId="1CA9A93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3A34417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A400016 Održavanje građevina, uređaja i predmeta javne namjene</w:t>
            </w:r>
          </w:p>
        </w:tc>
        <w:tc>
          <w:tcPr>
            <w:tcW w:w="1984" w:type="dxa"/>
            <w:tcBorders>
              <w:top w:val="nil"/>
              <w:left w:val="nil"/>
              <w:bottom w:val="single" w:sz="4" w:space="0" w:color="auto"/>
              <w:right w:val="single" w:sz="4" w:space="0" w:color="auto"/>
            </w:tcBorders>
            <w:shd w:val="clear" w:color="000000" w:fill="CCCCFF"/>
            <w:noWrap/>
            <w:vAlign w:val="bottom"/>
            <w:hideMark/>
          </w:tcPr>
          <w:p w14:paraId="01BFCA3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35BDA05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148.500,00</w:t>
            </w:r>
          </w:p>
        </w:tc>
        <w:tc>
          <w:tcPr>
            <w:tcW w:w="1843" w:type="dxa"/>
            <w:tcBorders>
              <w:top w:val="nil"/>
              <w:left w:val="nil"/>
              <w:bottom w:val="single" w:sz="4" w:space="0" w:color="auto"/>
              <w:right w:val="single" w:sz="4" w:space="0" w:color="auto"/>
            </w:tcBorders>
            <w:shd w:val="clear" w:color="000000" w:fill="CCCCFF"/>
            <w:noWrap/>
            <w:vAlign w:val="bottom"/>
            <w:hideMark/>
          </w:tcPr>
          <w:p w14:paraId="46BCBC7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5197EF8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4CCE2D3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148.500,00</w:t>
            </w:r>
          </w:p>
        </w:tc>
      </w:tr>
      <w:tr w:rsidR="00846ACC" w:rsidRPr="004974C0" w14:paraId="51C2DFB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3CE789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4.4. PRIHODI OD BORAVIŠNE PRISTOJBE</w:t>
            </w:r>
          </w:p>
        </w:tc>
        <w:tc>
          <w:tcPr>
            <w:tcW w:w="1984" w:type="dxa"/>
            <w:tcBorders>
              <w:top w:val="nil"/>
              <w:left w:val="nil"/>
              <w:bottom w:val="single" w:sz="4" w:space="0" w:color="auto"/>
              <w:right w:val="single" w:sz="4" w:space="0" w:color="auto"/>
            </w:tcBorders>
            <w:shd w:val="clear" w:color="000000" w:fill="FFFF99"/>
            <w:noWrap/>
            <w:vAlign w:val="bottom"/>
            <w:hideMark/>
          </w:tcPr>
          <w:p w14:paraId="12F4A36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E2E686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87.500,00</w:t>
            </w:r>
          </w:p>
        </w:tc>
        <w:tc>
          <w:tcPr>
            <w:tcW w:w="1843" w:type="dxa"/>
            <w:tcBorders>
              <w:top w:val="nil"/>
              <w:left w:val="nil"/>
              <w:bottom w:val="single" w:sz="4" w:space="0" w:color="auto"/>
              <w:right w:val="single" w:sz="4" w:space="0" w:color="auto"/>
            </w:tcBorders>
            <w:shd w:val="clear" w:color="000000" w:fill="FFFF99"/>
            <w:noWrap/>
            <w:vAlign w:val="bottom"/>
            <w:hideMark/>
          </w:tcPr>
          <w:p w14:paraId="656764F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4A9A6BF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212CE11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87.500,00</w:t>
            </w:r>
          </w:p>
        </w:tc>
      </w:tr>
      <w:tr w:rsidR="00846ACC" w:rsidRPr="004974C0" w14:paraId="265C543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C0DD64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79E18D3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CF2B49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87.500,00</w:t>
            </w:r>
          </w:p>
        </w:tc>
        <w:tc>
          <w:tcPr>
            <w:tcW w:w="1843" w:type="dxa"/>
            <w:tcBorders>
              <w:top w:val="nil"/>
              <w:left w:val="nil"/>
              <w:bottom w:val="single" w:sz="4" w:space="0" w:color="auto"/>
              <w:right w:val="single" w:sz="4" w:space="0" w:color="auto"/>
            </w:tcBorders>
            <w:shd w:val="clear" w:color="auto" w:fill="auto"/>
            <w:noWrap/>
            <w:vAlign w:val="bottom"/>
            <w:hideMark/>
          </w:tcPr>
          <w:p w14:paraId="660707C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6C15D7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32B7CB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87.500,00</w:t>
            </w:r>
          </w:p>
        </w:tc>
      </w:tr>
      <w:tr w:rsidR="00846ACC" w:rsidRPr="004974C0" w14:paraId="1C721F3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F16C23A"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67261085"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A54BC4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87.500,00</w:t>
            </w:r>
          </w:p>
        </w:tc>
        <w:tc>
          <w:tcPr>
            <w:tcW w:w="1843" w:type="dxa"/>
            <w:tcBorders>
              <w:top w:val="nil"/>
              <w:left w:val="nil"/>
              <w:bottom w:val="single" w:sz="4" w:space="0" w:color="auto"/>
              <w:right w:val="single" w:sz="4" w:space="0" w:color="auto"/>
            </w:tcBorders>
            <w:shd w:val="clear" w:color="auto" w:fill="auto"/>
            <w:noWrap/>
            <w:vAlign w:val="bottom"/>
            <w:hideMark/>
          </w:tcPr>
          <w:p w14:paraId="5FC789D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500EB9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F5A761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87.500,00</w:t>
            </w:r>
          </w:p>
        </w:tc>
      </w:tr>
      <w:tr w:rsidR="00846ACC" w:rsidRPr="004974C0" w14:paraId="0078E42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1242AF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4.6. KOMUNALNA NAKNADA</w:t>
            </w:r>
          </w:p>
        </w:tc>
        <w:tc>
          <w:tcPr>
            <w:tcW w:w="1984" w:type="dxa"/>
            <w:tcBorders>
              <w:top w:val="nil"/>
              <w:left w:val="nil"/>
              <w:bottom w:val="single" w:sz="4" w:space="0" w:color="auto"/>
              <w:right w:val="single" w:sz="4" w:space="0" w:color="auto"/>
            </w:tcBorders>
            <w:shd w:val="clear" w:color="000000" w:fill="FFFF99"/>
            <w:noWrap/>
            <w:vAlign w:val="bottom"/>
            <w:hideMark/>
          </w:tcPr>
          <w:p w14:paraId="43902E9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D5895A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61.000,00</w:t>
            </w:r>
          </w:p>
        </w:tc>
        <w:tc>
          <w:tcPr>
            <w:tcW w:w="1843" w:type="dxa"/>
            <w:tcBorders>
              <w:top w:val="nil"/>
              <w:left w:val="nil"/>
              <w:bottom w:val="single" w:sz="4" w:space="0" w:color="auto"/>
              <w:right w:val="single" w:sz="4" w:space="0" w:color="auto"/>
            </w:tcBorders>
            <w:shd w:val="clear" w:color="000000" w:fill="FFFF99"/>
            <w:noWrap/>
            <w:vAlign w:val="bottom"/>
            <w:hideMark/>
          </w:tcPr>
          <w:p w14:paraId="1A70E02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77535D5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431403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61.000,00</w:t>
            </w:r>
          </w:p>
        </w:tc>
      </w:tr>
      <w:tr w:rsidR="00846ACC" w:rsidRPr="004974C0" w14:paraId="2096D5B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8D4ACA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1EFE39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7AFA551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61.000,00</w:t>
            </w:r>
          </w:p>
        </w:tc>
        <w:tc>
          <w:tcPr>
            <w:tcW w:w="1843" w:type="dxa"/>
            <w:tcBorders>
              <w:top w:val="nil"/>
              <w:left w:val="nil"/>
              <w:bottom w:val="single" w:sz="4" w:space="0" w:color="auto"/>
              <w:right w:val="single" w:sz="4" w:space="0" w:color="auto"/>
            </w:tcBorders>
            <w:shd w:val="clear" w:color="auto" w:fill="auto"/>
            <w:noWrap/>
            <w:vAlign w:val="bottom"/>
            <w:hideMark/>
          </w:tcPr>
          <w:p w14:paraId="709F59A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C3E3C2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A963C5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61.000,00</w:t>
            </w:r>
          </w:p>
        </w:tc>
      </w:tr>
      <w:tr w:rsidR="00846ACC" w:rsidRPr="004974C0" w14:paraId="7C61106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5909E39"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812D005"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74C3051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61.000,00</w:t>
            </w:r>
          </w:p>
        </w:tc>
        <w:tc>
          <w:tcPr>
            <w:tcW w:w="1843" w:type="dxa"/>
            <w:tcBorders>
              <w:top w:val="nil"/>
              <w:left w:val="nil"/>
              <w:bottom w:val="single" w:sz="4" w:space="0" w:color="auto"/>
              <w:right w:val="single" w:sz="4" w:space="0" w:color="auto"/>
            </w:tcBorders>
            <w:shd w:val="clear" w:color="auto" w:fill="auto"/>
            <w:noWrap/>
            <w:vAlign w:val="bottom"/>
            <w:hideMark/>
          </w:tcPr>
          <w:p w14:paraId="78A722D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EEF6F4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28D28C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61.000,00</w:t>
            </w:r>
          </w:p>
        </w:tc>
      </w:tr>
      <w:tr w:rsidR="00846ACC" w:rsidRPr="004974C0" w14:paraId="3C5688D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32C0657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A400017 Održavanje groblja i krematorija unutar groblja</w:t>
            </w:r>
          </w:p>
        </w:tc>
        <w:tc>
          <w:tcPr>
            <w:tcW w:w="1984" w:type="dxa"/>
            <w:tcBorders>
              <w:top w:val="nil"/>
              <w:left w:val="nil"/>
              <w:bottom w:val="single" w:sz="4" w:space="0" w:color="auto"/>
              <w:right w:val="single" w:sz="4" w:space="0" w:color="auto"/>
            </w:tcBorders>
            <w:shd w:val="clear" w:color="000000" w:fill="CCCCFF"/>
            <w:noWrap/>
            <w:vAlign w:val="bottom"/>
            <w:hideMark/>
          </w:tcPr>
          <w:p w14:paraId="1A02643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8CBA33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c>
          <w:tcPr>
            <w:tcW w:w="1843" w:type="dxa"/>
            <w:tcBorders>
              <w:top w:val="nil"/>
              <w:left w:val="nil"/>
              <w:bottom w:val="single" w:sz="4" w:space="0" w:color="auto"/>
              <w:right w:val="single" w:sz="4" w:space="0" w:color="auto"/>
            </w:tcBorders>
            <w:shd w:val="clear" w:color="000000" w:fill="CCCCFF"/>
            <w:noWrap/>
            <w:vAlign w:val="bottom"/>
            <w:hideMark/>
          </w:tcPr>
          <w:p w14:paraId="6740696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2D17EBF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09C3EC8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r>
      <w:tr w:rsidR="00846ACC" w:rsidRPr="004974C0" w14:paraId="1B502FF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ECC224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4.6. KOMUNALNA NAKNADA</w:t>
            </w:r>
          </w:p>
        </w:tc>
        <w:tc>
          <w:tcPr>
            <w:tcW w:w="1984" w:type="dxa"/>
            <w:tcBorders>
              <w:top w:val="nil"/>
              <w:left w:val="nil"/>
              <w:bottom w:val="single" w:sz="4" w:space="0" w:color="auto"/>
              <w:right w:val="single" w:sz="4" w:space="0" w:color="auto"/>
            </w:tcBorders>
            <w:shd w:val="clear" w:color="000000" w:fill="FFFF99"/>
            <w:noWrap/>
            <w:vAlign w:val="bottom"/>
            <w:hideMark/>
          </w:tcPr>
          <w:p w14:paraId="584BE1E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22601C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c>
          <w:tcPr>
            <w:tcW w:w="1843" w:type="dxa"/>
            <w:tcBorders>
              <w:top w:val="nil"/>
              <w:left w:val="nil"/>
              <w:bottom w:val="single" w:sz="4" w:space="0" w:color="auto"/>
              <w:right w:val="single" w:sz="4" w:space="0" w:color="auto"/>
            </w:tcBorders>
            <w:shd w:val="clear" w:color="000000" w:fill="FFFF99"/>
            <w:noWrap/>
            <w:vAlign w:val="bottom"/>
            <w:hideMark/>
          </w:tcPr>
          <w:p w14:paraId="3720201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667BEDB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3B5A894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r>
      <w:tr w:rsidR="00846ACC" w:rsidRPr="004974C0" w14:paraId="119D7A2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E4C2CA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7B5914E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383918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w:t>
            </w:r>
          </w:p>
        </w:tc>
        <w:tc>
          <w:tcPr>
            <w:tcW w:w="1843" w:type="dxa"/>
            <w:tcBorders>
              <w:top w:val="nil"/>
              <w:left w:val="nil"/>
              <w:bottom w:val="single" w:sz="4" w:space="0" w:color="auto"/>
              <w:right w:val="single" w:sz="4" w:space="0" w:color="auto"/>
            </w:tcBorders>
            <w:shd w:val="clear" w:color="auto" w:fill="auto"/>
            <w:noWrap/>
            <w:vAlign w:val="bottom"/>
            <w:hideMark/>
          </w:tcPr>
          <w:p w14:paraId="09719C2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680C7B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57B2DE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w:t>
            </w:r>
          </w:p>
        </w:tc>
      </w:tr>
      <w:tr w:rsidR="00846ACC" w:rsidRPr="004974C0" w14:paraId="063E288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164AFBE"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6EB6E9FB"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7A3B39D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w:t>
            </w:r>
          </w:p>
        </w:tc>
        <w:tc>
          <w:tcPr>
            <w:tcW w:w="1843" w:type="dxa"/>
            <w:tcBorders>
              <w:top w:val="nil"/>
              <w:left w:val="nil"/>
              <w:bottom w:val="single" w:sz="4" w:space="0" w:color="auto"/>
              <w:right w:val="single" w:sz="4" w:space="0" w:color="auto"/>
            </w:tcBorders>
            <w:shd w:val="clear" w:color="auto" w:fill="auto"/>
            <w:noWrap/>
            <w:vAlign w:val="bottom"/>
            <w:hideMark/>
          </w:tcPr>
          <w:p w14:paraId="4D26F07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9E37C0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719722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w:t>
            </w:r>
          </w:p>
        </w:tc>
      </w:tr>
      <w:tr w:rsidR="00846ACC" w:rsidRPr="004974C0" w14:paraId="670D03F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19A67AE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A400018 Održavanje čistoće javnih površina</w:t>
            </w:r>
          </w:p>
        </w:tc>
        <w:tc>
          <w:tcPr>
            <w:tcW w:w="1984" w:type="dxa"/>
            <w:tcBorders>
              <w:top w:val="nil"/>
              <w:left w:val="nil"/>
              <w:bottom w:val="single" w:sz="4" w:space="0" w:color="auto"/>
              <w:right w:val="single" w:sz="4" w:space="0" w:color="auto"/>
            </w:tcBorders>
            <w:shd w:val="clear" w:color="000000" w:fill="CCCCFF"/>
            <w:noWrap/>
            <w:vAlign w:val="bottom"/>
            <w:hideMark/>
          </w:tcPr>
          <w:p w14:paraId="22C57C9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0D492E5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203.000,00</w:t>
            </w:r>
          </w:p>
        </w:tc>
        <w:tc>
          <w:tcPr>
            <w:tcW w:w="1843" w:type="dxa"/>
            <w:tcBorders>
              <w:top w:val="nil"/>
              <w:left w:val="nil"/>
              <w:bottom w:val="single" w:sz="4" w:space="0" w:color="auto"/>
              <w:right w:val="single" w:sz="4" w:space="0" w:color="auto"/>
            </w:tcBorders>
            <w:shd w:val="clear" w:color="000000" w:fill="CCCCFF"/>
            <w:noWrap/>
            <w:vAlign w:val="bottom"/>
            <w:hideMark/>
          </w:tcPr>
          <w:p w14:paraId="4B8424D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13.000,00</w:t>
            </w:r>
          </w:p>
        </w:tc>
        <w:tc>
          <w:tcPr>
            <w:tcW w:w="1559" w:type="dxa"/>
            <w:tcBorders>
              <w:top w:val="nil"/>
              <w:left w:val="nil"/>
              <w:bottom w:val="single" w:sz="4" w:space="0" w:color="auto"/>
              <w:right w:val="single" w:sz="4" w:space="0" w:color="auto"/>
            </w:tcBorders>
            <w:shd w:val="clear" w:color="000000" w:fill="CCCCFF"/>
            <w:noWrap/>
            <w:vAlign w:val="bottom"/>
            <w:hideMark/>
          </w:tcPr>
          <w:p w14:paraId="27850B8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6,40</w:t>
            </w:r>
          </w:p>
        </w:tc>
        <w:tc>
          <w:tcPr>
            <w:tcW w:w="1803" w:type="dxa"/>
            <w:tcBorders>
              <w:top w:val="nil"/>
              <w:left w:val="nil"/>
              <w:bottom w:val="single" w:sz="4" w:space="0" w:color="auto"/>
              <w:right w:val="single" w:sz="4" w:space="0" w:color="auto"/>
            </w:tcBorders>
            <w:shd w:val="clear" w:color="000000" w:fill="CCCCFF"/>
            <w:noWrap/>
            <w:vAlign w:val="bottom"/>
            <w:hideMark/>
          </w:tcPr>
          <w:p w14:paraId="36188E0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216.000,00</w:t>
            </w:r>
          </w:p>
        </w:tc>
      </w:tr>
      <w:tr w:rsidR="00846ACC" w:rsidRPr="004974C0" w14:paraId="3848DA4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95E3D1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2F5AD98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B57C3D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7.000,00</w:t>
            </w:r>
          </w:p>
        </w:tc>
        <w:tc>
          <w:tcPr>
            <w:tcW w:w="1843" w:type="dxa"/>
            <w:tcBorders>
              <w:top w:val="nil"/>
              <w:left w:val="nil"/>
              <w:bottom w:val="single" w:sz="4" w:space="0" w:color="auto"/>
              <w:right w:val="single" w:sz="4" w:space="0" w:color="auto"/>
            </w:tcBorders>
            <w:shd w:val="clear" w:color="000000" w:fill="FFFF99"/>
            <w:noWrap/>
            <w:vAlign w:val="bottom"/>
            <w:hideMark/>
          </w:tcPr>
          <w:p w14:paraId="0100167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13.000,00</w:t>
            </w:r>
          </w:p>
        </w:tc>
        <w:tc>
          <w:tcPr>
            <w:tcW w:w="1559" w:type="dxa"/>
            <w:tcBorders>
              <w:top w:val="nil"/>
              <w:left w:val="nil"/>
              <w:bottom w:val="single" w:sz="4" w:space="0" w:color="auto"/>
              <w:right w:val="single" w:sz="4" w:space="0" w:color="auto"/>
            </w:tcBorders>
            <w:shd w:val="clear" w:color="000000" w:fill="FFFF99"/>
            <w:noWrap/>
            <w:vAlign w:val="bottom"/>
            <w:hideMark/>
          </w:tcPr>
          <w:p w14:paraId="7B6AE8D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185,71</w:t>
            </w:r>
          </w:p>
        </w:tc>
        <w:tc>
          <w:tcPr>
            <w:tcW w:w="1803" w:type="dxa"/>
            <w:tcBorders>
              <w:top w:val="nil"/>
              <w:left w:val="nil"/>
              <w:bottom w:val="single" w:sz="4" w:space="0" w:color="auto"/>
              <w:right w:val="single" w:sz="4" w:space="0" w:color="auto"/>
            </w:tcBorders>
            <w:shd w:val="clear" w:color="000000" w:fill="FFFF99"/>
            <w:noWrap/>
            <w:vAlign w:val="bottom"/>
            <w:hideMark/>
          </w:tcPr>
          <w:p w14:paraId="4F74360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20.000,00</w:t>
            </w:r>
          </w:p>
        </w:tc>
      </w:tr>
      <w:tr w:rsidR="00846ACC" w:rsidRPr="004974C0" w14:paraId="75D2EFF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DEB5AD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908E40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520353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7.000,00</w:t>
            </w:r>
          </w:p>
        </w:tc>
        <w:tc>
          <w:tcPr>
            <w:tcW w:w="1843" w:type="dxa"/>
            <w:tcBorders>
              <w:top w:val="nil"/>
              <w:left w:val="nil"/>
              <w:bottom w:val="single" w:sz="4" w:space="0" w:color="auto"/>
              <w:right w:val="single" w:sz="4" w:space="0" w:color="auto"/>
            </w:tcBorders>
            <w:shd w:val="clear" w:color="auto" w:fill="auto"/>
            <w:noWrap/>
            <w:vAlign w:val="bottom"/>
            <w:hideMark/>
          </w:tcPr>
          <w:p w14:paraId="4FA7191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13.000,00</w:t>
            </w:r>
          </w:p>
        </w:tc>
        <w:tc>
          <w:tcPr>
            <w:tcW w:w="1559" w:type="dxa"/>
            <w:tcBorders>
              <w:top w:val="nil"/>
              <w:left w:val="nil"/>
              <w:bottom w:val="single" w:sz="4" w:space="0" w:color="auto"/>
              <w:right w:val="single" w:sz="4" w:space="0" w:color="auto"/>
            </w:tcBorders>
            <w:shd w:val="clear" w:color="auto" w:fill="auto"/>
            <w:noWrap/>
            <w:vAlign w:val="bottom"/>
            <w:hideMark/>
          </w:tcPr>
          <w:p w14:paraId="587A361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185,71</w:t>
            </w:r>
          </w:p>
        </w:tc>
        <w:tc>
          <w:tcPr>
            <w:tcW w:w="1803" w:type="dxa"/>
            <w:tcBorders>
              <w:top w:val="nil"/>
              <w:left w:val="nil"/>
              <w:bottom w:val="single" w:sz="4" w:space="0" w:color="auto"/>
              <w:right w:val="single" w:sz="4" w:space="0" w:color="auto"/>
            </w:tcBorders>
            <w:shd w:val="clear" w:color="auto" w:fill="auto"/>
            <w:noWrap/>
            <w:vAlign w:val="bottom"/>
            <w:hideMark/>
          </w:tcPr>
          <w:p w14:paraId="637AB73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20.000,00</w:t>
            </w:r>
          </w:p>
        </w:tc>
      </w:tr>
      <w:tr w:rsidR="00846ACC" w:rsidRPr="004974C0" w14:paraId="7DF177A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84E0CFD"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555096C"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A5740F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7.000,00</w:t>
            </w:r>
          </w:p>
        </w:tc>
        <w:tc>
          <w:tcPr>
            <w:tcW w:w="1843" w:type="dxa"/>
            <w:tcBorders>
              <w:top w:val="nil"/>
              <w:left w:val="nil"/>
              <w:bottom w:val="single" w:sz="4" w:space="0" w:color="auto"/>
              <w:right w:val="single" w:sz="4" w:space="0" w:color="auto"/>
            </w:tcBorders>
            <w:shd w:val="clear" w:color="auto" w:fill="auto"/>
            <w:noWrap/>
            <w:vAlign w:val="bottom"/>
            <w:hideMark/>
          </w:tcPr>
          <w:p w14:paraId="1063F73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13.000,00</w:t>
            </w:r>
          </w:p>
        </w:tc>
        <w:tc>
          <w:tcPr>
            <w:tcW w:w="1559" w:type="dxa"/>
            <w:tcBorders>
              <w:top w:val="nil"/>
              <w:left w:val="nil"/>
              <w:bottom w:val="single" w:sz="4" w:space="0" w:color="auto"/>
              <w:right w:val="single" w:sz="4" w:space="0" w:color="auto"/>
            </w:tcBorders>
            <w:shd w:val="clear" w:color="auto" w:fill="auto"/>
            <w:noWrap/>
            <w:vAlign w:val="bottom"/>
            <w:hideMark/>
          </w:tcPr>
          <w:p w14:paraId="660F7DE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185,71</w:t>
            </w:r>
          </w:p>
        </w:tc>
        <w:tc>
          <w:tcPr>
            <w:tcW w:w="1803" w:type="dxa"/>
            <w:tcBorders>
              <w:top w:val="nil"/>
              <w:left w:val="nil"/>
              <w:bottom w:val="single" w:sz="4" w:space="0" w:color="auto"/>
              <w:right w:val="single" w:sz="4" w:space="0" w:color="auto"/>
            </w:tcBorders>
            <w:shd w:val="clear" w:color="auto" w:fill="auto"/>
            <w:noWrap/>
            <w:vAlign w:val="bottom"/>
            <w:hideMark/>
          </w:tcPr>
          <w:p w14:paraId="7B5EC67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20.000,00</w:t>
            </w:r>
          </w:p>
        </w:tc>
      </w:tr>
      <w:tr w:rsidR="00846ACC" w:rsidRPr="004974C0" w14:paraId="72C1E1F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38773F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4.4. PRIHODI OD BORAVIŠNE PRISTOJBE</w:t>
            </w:r>
          </w:p>
        </w:tc>
        <w:tc>
          <w:tcPr>
            <w:tcW w:w="1984" w:type="dxa"/>
            <w:tcBorders>
              <w:top w:val="nil"/>
              <w:left w:val="nil"/>
              <w:bottom w:val="single" w:sz="4" w:space="0" w:color="auto"/>
              <w:right w:val="single" w:sz="4" w:space="0" w:color="auto"/>
            </w:tcBorders>
            <w:shd w:val="clear" w:color="000000" w:fill="FFFF99"/>
            <w:noWrap/>
            <w:vAlign w:val="bottom"/>
            <w:hideMark/>
          </w:tcPr>
          <w:p w14:paraId="6E78BD2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8FD1C4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20.000,00</w:t>
            </w:r>
          </w:p>
        </w:tc>
        <w:tc>
          <w:tcPr>
            <w:tcW w:w="1843" w:type="dxa"/>
            <w:tcBorders>
              <w:top w:val="nil"/>
              <w:left w:val="nil"/>
              <w:bottom w:val="single" w:sz="4" w:space="0" w:color="auto"/>
              <w:right w:val="single" w:sz="4" w:space="0" w:color="auto"/>
            </w:tcBorders>
            <w:shd w:val="clear" w:color="000000" w:fill="FFFF99"/>
            <w:noWrap/>
            <w:vAlign w:val="bottom"/>
            <w:hideMark/>
          </w:tcPr>
          <w:p w14:paraId="113339C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753D04B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40EA2CB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20.000,00</w:t>
            </w:r>
          </w:p>
        </w:tc>
      </w:tr>
      <w:tr w:rsidR="00846ACC" w:rsidRPr="004974C0" w14:paraId="7730E18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3067BC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7AC739D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803B27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20.000,00</w:t>
            </w:r>
          </w:p>
        </w:tc>
        <w:tc>
          <w:tcPr>
            <w:tcW w:w="1843" w:type="dxa"/>
            <w:tcBorders>
              <w:top w:val="nil"/>
              <w:left w:val="nil"/>
              <w:bottom w:val="single" w:sz="4" w:space="0" w:color="auto"/>
              <w:right w:val="single" w:sz="4" w:space="0" w:color="auto"/>
            </w:tcBorders>
            <w:shd w:val="clear" w:color="auto" w:fill="auto"/>
            <w:noWrap/>
            <w:vAlign w:val="bottom"/>
            <w:hideMark/>
          </w:tcPr>
          <w:p w14:paraId="50E18D4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7F538F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597AF6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20.000,00</w:t>
            </w:r>
          </w:p>
        </w:tc>
      </w:tr>
      <w:tr w:rsidR="00846ACC" w:rsidRPr="004974C0" w14:paraId="6E33E56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947D899"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444D2B0A"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5F79071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20.000,00</w:t>
            </w:r>
          </w:p>
        </w:tc>
        <w:tc>
          <w:tcPr>
            <w:tcW w:w="1843" w:type="dxa"/>
            <w:tcBorders>
              <w:top w:val="nil"/>
              <w:left w:val="nil"/>
              <w:bottom w:val="single" w:sz="4" w:space="0" w:color="auto"/>
              <w:right w:val="single" w:sz="4" w:space="0" w:color="auto"/>
            </w:tcBorders>
            <w:shd w:val="clear" w:color="auto" w:fill="auto"/>
            <w:noWrap/>
            <w:vAlign w:val="bottom"/>
            <w:hideMark/>
          </w:tcPr>
          <w:p w14:paraId="4111926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A2AA18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084B58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20.000,00</w:t>
            </w:r>
          </w:p>
        </w:tc>
      </w:tr>
      <w:tr w:rsidR="00846ACC" w:rsidRPr="004974C0" w14:paraId="362E1BB0"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7F5CFC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4.6. KOMUNALNA NAKNADA</w:t>
            </w:r>
          </w:p>
        </w:tc>
        <w:tc>
          <w:tcPr>
            <w:tcW w:w="1984" w:type="dxa"/>
            <w:tcBorders>
              <w:top w:val="nil"/>
              <w:left w:val="nil"/>
              <w:bottom w:val="single" w:sz="4" w:space="0" w:color="auto"/>
              <w:right w:val="single" w:sz="4" w:space="0" w:color="auto"/>
            </w:tcBorders>
            <w:shd w:val="clear" w:color="000000" w:fill="FFFF99"/>
            <w:noWrap/>
            <w:vAlign w:val="bottom"/>
            <w:hideMark/>
          </w:tcPr>
          <w:p w14:paraId="0C30FA4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DFD7E3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176.000,00</w:t>
            </w:r>
          </w:p>
        </w:tc>
        <w:tc>
          <w:tcPr>
            <w:tcW w:w="1843" w:type="dxa"/>
            <w:tcBorders>
              <w:top w:val="nil"/>
              <w:left w:val="nil"/>
              <w:bottom w:val="single" w:sz="4" w:space="0" w:color="auto"/>
              <w:right w:val="single" w:sz="4" w:space="0" w:color="auto"/>
            </w:tcBorders>
            <w:shd w:val="clear" w:color="000000" w:fill="FFFF99"/>
            <w:noWrap/>
            <w:vAlign w:val="bottom"/>
            <w:hideMark/>
          </w:tcPr>
          <w:p w14:paraId="10DF94F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6C6390A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42B1B30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176.000,00</w:t>
            </w:r>
          </w:p>
        </w:tc>
      </w:tr>
      <w:tr w:rsidR="00846ACC" w:rsidRPr="004974C0" w14:paraId="7D13C0C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1E90A5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43EE94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7C870BD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176.000,00</w:t>
            </w:r>
          </w:p>
        </w:tc>
        <w:tc>
          <w:tcPr>
            <w:tcW w:w="1843" w:type="dxa"/>
            <w:tcBorders>
              <w:top w:val="nil"/>
              <w:left w:val="nil"/>
              <w:bottom w:val="single" w:sz="4" w:space="0" w:color="auto"/>
              <w:right w:val="single" w:sz="4" w:space="0" w:color="auto"/>
            </w:tcBorders>
            <w:shd w:val="clear" w:color="auto" w:fill="auto"/>
            <w:noWrap/>
            <w:vAlign w:val="bottom"/>
            <w:hideMark/>
          </w:tcPr>
          <w:p w14:paraId="63DD73B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1AE34F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333962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176.000,00</w:t>
            </w:r>
          </w:p>
        </w:tc>
      </w:tr>
      <w:tr w:rsidR="00846ACC" w:rsidRPr="004974C0" w14:paraId="22FA8EB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9D8CE51"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0D6FE2DA"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185E8E8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176.000,00</w:t>
            </w:r>
          </w:p>
        </w:tc>
        <w:tc>
          <w:tcPr>
            <w:tcW w:w="1843" w:type="dxa"/>
            <w:tcBorders>
              <w:top w:val="nil"/>
              <w:left w:val="nil"/>
              <w:bottom w:val="single" w:sz="4" w:space="0" w:color="auto"/>
              <w:right w:val="single" w:sz="4" w:space="0" w:color="auto"/>
            </w:tcBorders>
            <w:shd w:val="clear" w:color="auto" w:fill="auto"/>
            <w:noWrap/>
            <w:vAlign w:val="bottom"/>
            <w:hideMark/>
          </w:tcPr>
          <w:p w14:paraId="7E8F8A6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3BD0FF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71B723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176.000,00</w:t>
            </w:r>
          </w:p>
        </w:tc>
      </w:tr>
      <w:tr w:rsidR="00846ACC" w:rsidRPr="004974C0" w14:paraId="146F7E1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142B6D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A400019 Održavanje javne rasvjete i potrošnja električne energije</w:t>
            </w:r>
          </w:p>
        </w:tc>
        <w:tc>
          <w:tcPr>
            <w:tcW w:w="1984" w:type="dxa"/>
            <w:tcBorders>
              <w:top w:val="nil"/>
              <w:left w:val="nil"/>
              <w:bottom w:val="single" w:sz="4" w:space="0" w:color="auto"/>
              <w:right w:val="single" w:sz="4" w:space="0" w:color="auto"/>
            </w:tcBorders>
            <w:shd w:val="clear" w:color="000000" w:fill="CCCCFF"/>
            <w:noWrap/>
            <w:vAlign w:val="bottom"/>
            <w:hideMark/>
          </w:tcPr>
          <w:p w14:paraId="776C0E5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076F3C6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144.000,00</w:t>
            </w:r>
          </w:p>
        </w:tc>
        <w:tc>
          <w:tcPr>
            <w:tcW w:w="1843" w:type="dxa"/>
            <w:tcBorders>
              <w:top w:val="nil"/>
              <w:left w:val="nil"/>
              <w:bottom w:val="single" w:sz="4" w:space="0" w:color="auto"/>
              <w:right w:val="single" w:sz="4" w:space="0" w:color="auto"/>
            </w:tcBorders>
            <w:shd w:val="clear" w:color="000000" w:fill="CCCCFF"/>
            <w:noWrap/>
            <w:vAlign w:val="bottom"/>
            <w:hideMark/>
          </w:tcPr>
          <w:p w14:paraId="516E341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35.000,00</w:t>
            </w:r>
          </w:p>
        </w:tc>
        <w:tc>
          <w:tcPr>
            <w:tcW w:w="1559" w:type="dxa"/>
            <w:tcBorders>
              <w:top w:val="nil"/>
              <w:left w:val="nil"/>
              <w:bottom w:val="single" w:sz="4" w:space="0" w:color="auto"/>
              <w:right w:val="single" w:sz="4" w:space="0" w:color="auto"/>
            </w:tcBorders>
            <w:shd w:val="clear" w:color="000000" w:fill="CCCCFF"/>
            <w:noWrap/>
            <w:vAlign w:val="bottom"/>
            <w:hideMark/>
          </w:tcPr>
          <w:p w14:paraId="0BD0E79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24,31</w:t>
            </w:r>
          </w:p>
        </w:tc>
        <w:tc>
          <w:tcPr>
            <w:tcW w:w="1803" w:type="dxa"/>
            <w:tcBorders>
              <w:top w:val="nil"/>
              <w:left w:val="nil"/>
              <w:bottom w:val="single" w:sz="4" w:space="0" w:color="auto"/>
              <w:right w:val="single" w:sz="4" w:space="0" w:color="auto"/>
            </w:tcBorders>
            <w:shd w:val="clear" w:color="000000" w:fill="CCCCFF"/>
            <w:noWrap/>
            <w:vAlign w:val="bottom"/>
            <w:hideMark/>
          </w:tcPr>
          <w:p w14:paraId="68515D2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179.000,00</w:t>
            </w:r>
          </w:p>
        </w:tc>
      </w:tr>
      <w:tr w:rsidR="00846ACC" w:rsidRPr="004974C0" w14:paraId="468D946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444A81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4.4. PRIHODI OD BORAVIŠNE PRISTOJBE</w:t>
            </w:r>
          </w:p>
        </w:tc>
        <w:tc>
          <w:tcPr>
            <w:tcW w:w="1984" w:type="dxa"/>
            <w:tcBorders>
              <w:top w:val="nil"/>
              <w:left w:val="nil"/>
              <w:bottom w:val="single" w:sz="4" w:space="0" w:color="auto"/>
              <w:right w:val="single" w:sz="4" w:space="0" w:color="auto"/>
            </w:tcBorders>
            <w:shd w:val="clear" w:color="000000" w:fill="FFFF99"/>
            <w:noWrap/>
            <w:vAlign w:val="bottom"/>
            <w:hideMark/>
          </w:tcPr>
          <w:p w14:paraId="28F190F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6530AF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6.000,00</w:t>
            </w:r>
          </w:p>
        </w:tc>
        <w:tc>
          <w:tcPr>
            <w:tcW w:w="1843" w:type="dxa"/>
            <w:tcBorders>
              <w:top w:val="nil"/>
              <w:left w:val="nil"/>
              <w:bottom w:val="single" w:sz="4" w:space="0" w:color="auto"/>
              <w:right w:val="single" w:sz="4" w:space="0" w:color="auto"/>
            </w:tcBorders>
            <w:shd w:val="clear" w:color="000000" w:fill="FFFF99"/>
            <w:noWrap/>
            <w:vAlign w:val="bottom"/>
            <w:hideMark/>
          </w:tcPr>
          <w:p w14:paraId="4AD8077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5CA3050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750471C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6.000,00</w:t>
            </w:r>
          </w:p>
        </w:tc>
      </w:tr>
      <w:tr w:rsidR="00846ACC" w:rsidRPr="004974C0" w14:paraId="31C87EE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0839E7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463340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CCF4FC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6.000,00</w:t>
            </w:r>
          </w:p>
        </w:tc>
        <w:tc>
          <w:tcPr>
            <w:tcW w:w="1843" w:type="dxa"/>
            <w:tcBorders>
              <w:top w:val="nil"/>
              <w:left w:val="nil"/>
              <w:bottom w:val="single" w:sz="4" w:space="0" w:color="auto"/>
              <w:right w:val="single" w:sz="4" w:space="0" w:color="auto"/>
            </w:tcBorders>
            <w:shd w:val="clear" w:color="auto" w:fill="auto"/>
            <w:noWrap/>
            <w:vAlign w:val="bottom"/>
            <w:hideMark/>
          </w:tcPr>
          <w:p w14:paraId="783536D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C8618B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F6E33D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6.000,00</w:t>
            </w:r>
          </w:p>
        </w:tc>
      </w:tr>
      <w:tr w:rsidR="00846ACC" w:rsidRPr="004974C0" w14:paraId="2AB0230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3B920AF" w14:textId="77777777" w:rsidR="004974C0" w:rsidRPr="004974C0" w:rsidRDefault="004974C0" w:rsidP="004974C0">
            <w:pPr>
              <w:rPr>
                <w:rFonts w:ascii="Arial" w:hAnsi="Arial" w:cs="Arial"/>
                <w:sz w:val="20"/>
                <w:szCs w:val="20"/>
              </w:rPr>
            </w:pPr>
            <w:r w:rsidRPr="004974C0">
              <w:rPr>
                <w:rFonts w:ascii="Arial" w:hAnsi="Arial" w:cs="Arial"/>
                <w:sz w:val="20"/>
                <w:szCs w:val="20"/>
              </w:rPr>
              <w:lastRenderedPageBreak/>
              <w:t>32</w:t>
            </w:r>
          </w:p>
        </w:tc>
        <w:tc>
          <w:tcPr>
            <w:tcW w:w="1984" w:type="dxa"/>
            <w:tcBorders>
              <w:top w:val="nil"/>
              <w:left w:val="nil"/>
              <w:bottom w:val="single" w:sz="4" w:space="0" w:color="auto"/>
              <w:right w:val="single" w:sz="4" w:space="0" w:color="auto"/>
            </w:tcBorders>
            <w:shd w:val="clear" w:color="auto" w:fill="auto"/>
            <w:noWrap/>
            <w:vAlign w:val="bottom"/>
            <w:hideMark/>
          </w:tcPr>
          <w:p w14:paraId="2027BF54"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FE3C6C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6.000,00</w:t>
            </w:r>
          </w:p>
        </w:tc>
        <w:tc>
          <w:tcPr>
            <w:tcW w:w="1843" w:type="dxa"/>
            <w:tcBorders>
              <w:top w:val="nil"/>
              <w:left w:val="nil"/>
              <w:bottom w:val="single" w:sz="4" w:space="0" w:color="auto"/>
              <w:right w:val="single" w:sz="4" w:space="0" w:color="auto"/>
            </w:tcBorders>
            <w:shd w:val="clear" w:color="auto" w:fill="auto"/>
            <w:noWrap/>
            <w:vAlign w:val="bottom"/>
            <w:hideMark/>
          </w:tcPr>
          <w:p w14:paraId="504D317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C6F30B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0ABD25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6.000,00</w:t>
            </w:r>
          </w:p>
        </w:tc>
      </w:tr>
      <w:tr w:rsidR="00846ACC" w:rsidRPr="004974C0" w14:paraId="7BF8217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23B8BF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4.6. KOMUNALNA NAKNADA</w:t>
            </w:r>
          </w:p>
        </w:tc>
        <w:tc>
          <w:tcPr>
            <w:tcW w:w="1984" w:type="dxa"/>
            <w:tcBorders>
              <w:top w:val="nil"/>
              <w:left w:val="nil"/>
              <w:bottom w:val="single" w:sz="4" w:space="0" w:color="auto"/>
              <w:right w:val="single" w:sz="4" w:space="0" w:color="auto"/>
            </w:tcBorders>
            <w:shd w:val="clear" w:color="000000" w:fill="FFFF99"/>
            <w:noWrap/>
            <w:vAlign w:val="bottom"/>
            <w:hideMark/>
          </w:tcPr>
          <w:p w14:paraId="0175823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4101DC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138.000,00</w:t>
            </w:r>
          </w:p>
        </w:tc>
        <w:tc>
          <w:tcPr>
            <w:tcW w:w="1843" w:type="dxa"/>
            <w:tcBorders>
              <w:top w:val="nil"/>
              <w:left w:val="nil"/>
              <w:bottom w:val="single" w:sz="4" w:space="0" w:color="auto"/>
              <w:right w:val="single" w:sz="4" w:space="0" w:color="auto"/>
            </w:tcBorders>
            <w:shd w:val="clear" w:color="000000" w:fill="FFFF99"/>
            <w:noWrap/>
            <w:vAlign w:val="bottom"/>
            <w:hideMark/>
          </w:tcPr>
          <w:p w14:paraId="4953AA9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35.000,00</w:t>
            </w:r>
          </w:p>
        </w:tc>
        <w:tc>
          <w:tcPr>
            <w:tcW w:w="1559" w:type="dxa"/>
            <w:tcBorders>
              <w:top w:val="nil"/>
              <w:left w:val="nil"/>
              <w:bottom w:val="single" w:sz="4" w:space="0" w:color="auto"/>
              <w:right w:val="single" w:sz="4" w:space="0" w:color="auto"/>
            </w:tcBorders>
            <w:shd w:val="clear" w:color="000000" w:fill="FFFF99"/>
            <w:noWrap/>
            <w:vAlign w:val="bottom"/>
            <w:hideMark/>
          </w:tcPr>
          <w:p w14:paraId="29C56BB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25,36</w:t>
            </w:r>
          </w:p>
        </w:tc>
        <w:tc>
          <w:tcPr>
            <w:tcW w:w="1803" w:type="dxa"/>
            <w:tcBorders>
              <w:top w:val="nil"/>
              <w:left w:val="nil"/>
              <w:bottom w:val="single" w:sz="4" w:space="0" w:color="auto"/>
              <w:right w:val="single" w:sz="4" w:space="0" w:color="auto"/>
            </w:tcBorders>
            <w:shd w:val="clear" w:color="000000" w:fill="FFFF99"/>
            <w:noWrap/>
            <w:vAlign w:val="bottom"/>
            <w:hideMark/>
          </w:tcPr>
          <w:p w14:paraId="15C32F3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173.000,00</w:t>
            </w:r>
          </w:p>
        </w:tc>
      </w:tr>
      <w:tr w:rsidR="00846ACC" w:rsidRPr="004974C0" w14:paraId="2B6E8AA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929623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3A9E5F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7E83D0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138.000,00</w:t>
            </w:r>
          </w:p>
        </w:tc>
        <w:tc>
          <w:tcPr>
            <w:tcW w:w="1843" w:type="dxa"/>
            <w:tcBorders>
              <w:top w:val="nil"/>
              <w:left w:val="nil"/>
              <w:bottom w:val="single" w:sz="4" w:space="0" w:color="auto"/>
              <w:right w:val="single" w:sz="4" w:space="0" w:color="auto"/>
            </w:tcBorders>
            <w:shd w:val="clear" w:color="auto" w:fill="auto"/>
            <w:noWrap/>
            <w:vAlign w:val="bottom"/>
            <w:hideMark/>
          </w:tcPr>
          <w:p w14:paraId="5379F88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35.000,00</w:t>
            </w:r>
          </w:p>
        </w:tc>
        <w:tc>
          <w:tcPr>
            <w:tcW w:w="1559" w:type="dxa"/>
            <w:tcBorders>
              <w:top w:val="nil"/>
              <w:left w:val="nil"/>
              <w:bottom w:val="single" w:sz="4" w:space="0" w:color="auto"/>
              <w:right w:val="single" w:sz="4" w:space="0" w:color="auto"/>
            </w:tcBorders>
            <w:shd w:val="clear" w:color="auto" w:fill="auto"/>
            <w:noWrap/>
            <w:vAlign w:val="bottom"/>
            <w:hideMark/>
          </w:tcPr>
          <w:p w14:paraId="09403BB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25,36</w:t>
            </w:r>
          </w:p>
        </w:tc>
        <w:tc>
          <w:tcPr>
            <w:tcW w:w="1803" w:type="dxa"/>
            <w:tcBorders>
              <w:top w:val="nil"/>
              <w:left w:val="nil"/>
              <w:bottom w:val="single" w:sz="4" w:space="0" w:color="auto"/>
              <w:right w:val="single" w:sz="4" w:space="0" w:color="auto"/>
            </w:tcBorders>
            <w:shd w:val="clear" w:color="auto" w:fill="auto"/>
            <w:noWrap/>
            <w:vAlign w:val="bottom"/>
            <w:hideMark/>
          </w:tcPr>
          <w:p w14:paraId="003FD22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173.000,00</w:t>
            </w:r>
          </w:p>
        </w:tc>
      </w:tr>
      <w:tr w:rsidR="00846ACC" w:rsidRPr="004974C0" w14:paraId="2D492D1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ACAB42A"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D6E82A7"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739720E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138.000,00</w:t>
            </w:r>
          </w:p>
        </w:tc>
        <w:tc>
          <w:tcPr>
            <w:tcW w:w="1843" w:type="dxa"/>
            <w:tcBorders>
              <w:top w:val="nil"/>
              <w:left w:val="nil"/>
              <w:bottom w:val="single" w:sz="4" w:space="0" w:color="auto"/>
              <w:right w:val="single" w:sz="4" w:space="0" w:color="auto"/>
            </w:tcBorders>
            <w:shd w:val="clear" w:color="auto" w:fill="auto"/>
            <w:noWrap/>
            <w:vAlign w:val="bottom"/>
            <w:hideMark/>
          </w:tcPr>
          <w:p w14:paraId="07D513E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35.000,00</w:t>
            </w:r>
          </w:p>
        </w:tc>
        <w:tc>
          <w:tcPr>
            <w:tcW w:w="1559" w:type="dxa"/>
            <w:tcBorders>
              <w:top w:val="nil"/>
              <w:left w:val="nil"/>
              <w:bottom w:val="single" w:sz="4" w:space="0" w:color="auto"/>
              <w:right w:val="single" w:sz="4" w:space="0" w:color="auto"/>
            </w:tcBorders>
            <w:shd w:val="clear" w:color="auto" w:fill="auto"/>
            <w:noWrap/>
            <w:vAlign w:val="bottom"/>
            <w:hideMark/>
          </w:tcPr>
          <w:p w14:paraId="14697FB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25,36</w:t>
            </w:r>
          </w:p>
        </w:tc>
        <w:tc>
          <w:tcPr>
            <w:tcW w:w="1803" w:type="dxa"/>
            <w:tcBorders>
              <w:top w:val="nil"/>
              <w:left w:val="nil"/>
              <w:bottom w:val="single" w:sz="4" w:space="0" w:color="auto"/>
              <w:right w:val="single" w:sz="4" w:space="0" w:color="auto"/>
            </w:tcBorders>
            <w:shd w:val="clear" w:color="auto" w:fill="auto"/>
            <w:noWrap/>
            <w:vAlign w:val="bottom"/>
            <w:hideMark/>
          </w:tcPr>
          <w:p w14:paraId="2E55D13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173.000,00</w:t>
            </w:r>
          </w:p>
        </w:tc>
      </w:tr>
      <w:tr w:rsidR="00846ACC" w:rsidRPr="004974C0" w14:paraId="375F623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6B537E9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A400020 Održavanje ostale komunalne infrastrukture</w:t>
            </w:r>
          </w:p>
        </w:tc>
        <w:tc>
          <w:tcPr>
            <w:tcW w:w="1984" w:type="dxa"/>
            <w:tcBorders>
              <w:top w:val="nil"/>
              <w:left w:val="nil"/>
              <w:bottom w:val="single" w:sz="4" w:space="0" w:color="auto"/>
              <w:right w:val="single" w:sz="4" w:space="0" w:color="auto"/>
            </w:tcBorders>
            <w:shd w:val="clear" w:color="000000" w:fill="CCCCFF"/>
            <w:noWrap/>
            <w:vAlign w:val="bottom"/>
            <w:hideMark/>
          </w:tcPr>
          <w:p w14:paraId="7D2CE36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3E1E258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99.900,00</w:t>
            </w:r>
          </w:p>
        </w:tc>
        <w:tc>
          <w:tcPr>
            <w:tcW w:w="1843" w:type="dxa"/>
            <w:tcBorders>
              <w:top w:val="nil"/>
              <w:left w:val="nil"/>
              <w:bottom w:val="single" w:sz="4" w:space="0" w:color="auto"/>
              <w:right w:val="single" w:sz="4" w:space="0" w:color="auto"/>
            </w:tcBorders>
            <w:shd w:val="clear" w:color="000000" w:fill="CCCCFF"/>
            <w:noWrap/>
            <w:vAlign w:val="bottom"/>
            <w:hideMark/>
          </w:tcPr>
          <w:p w14:paraId="25920D1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-15.000,00</w:t>
            </w:r>
          </w:p>
        </w:tc>
        <w:tc>
          <w:tcPr>
            <w:tcW w:w="1559" w:type="dxa"/>
            <w:tcBorders>
              <w:top w:val="nil"/>
              <w:left w:val="nil"/>
              <w:bottom w:val="single" w:sz="4" w:space="0" w:color="auto"/>
              <w:right w:val="single" w:sz="4" w:space="0" w:color="auto"/>
            </w:tcBorders>
            <w:shd w:val="clear" w:color="000000" w:fill="CCCCFF"/>
            <w:noWrap/>
            <w:vAlign w:val="bottom"/>
            <w:hideMark/>
          </w:tcPr>
          <w:p w14:paraId="6F0D513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-15,02</w:t>
            </w:r>
          </w:p>
        </w:tc>
        <w:tc>
          <w:tcPr>
            <w:tcW w:w="1803" w:type="dxa"/>
            <w:tcBorders>
              <w:top w:val="nil"/>
              <w:left w:val="nil"/>
              <w:bottom w:val="single" w:sz="4" w:space="0" w:color="auto"/>
              <w:right w:val="single" w:sz="4" w:space="0" w:color="auto"/>
            </w:tcBorders>
            <w:shd w:val="clear" w:color="000000" w:fill="CCCCFF"/>
            <w:noWrap/>
            <w:vAlign w:val="bottom"/>
            <w:hideMark/>
          </w:tcPr>
          <w:p w14:paraId="6CF2BD9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84.900,00</w:t>
            </w:r>
          </w:p>
        </w:tc>
      </w:tr>
      <w:tr w:rsidR="00846ACC" w:rsidRPr="004974C0" w14:paraId="325E85A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148435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2C4BDBD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53C7C6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5.400,00</w:t>
            </w:r>
          </w:p>
        </w:tc>
        <w:tc>
          <w:tcPr>
            <w:tcW w:w="1843" w:type="dxa"/>
            <w:tcBorders>
              <w:top w:val="nil"/>
              <w:left w:val="nil"/>
              <w:bottom w:val="single" w:sz="4" w:space="0" w:color="auto"/>
              <w:right w:val="single" w:sz="4" w:space="0" w:color="auto"/>
            </w:tcBorders>
            <w:shd w:val="clear" w:color="000000" w:fill="FFFF99"/>
            <w:noWrap/>
            <w:vAlign w:val="bottom"/>
            <w:hideMark/>
          </w:tcPr>
          <w:p w14:paraId="2C7E2E7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7FC9BFE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79D3187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5.400,00</w:t>
            </w:r>
          </w:p>
        </w:tc>
      </w:tr>
      <w:tr w:rsidR="00846ACC" w:rsidRPr="004974C0" w14:paraId="31CF376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F39BA8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4B5674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E478BB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5.400,00</w:t>
            </w:r>
          </w:p>
        </w:tc>
        <w:tc>
          <w:tcPr>
            <w:tcW w:w="1843" w:type="dxa"/>
            <w:tcBorders>
              <w:top w:val="nil"/>
              <w:left w:val="nil"/>
              <w:bottom w:val="single" w:sz="4" w:space="0" w:color="auto"/>
              <w:right w:val="single" w:sz="4" w:space="0" w:color="auto"/>
            </w:tcBorders>
            <w:shd w:val="clear" w:color="auto" w:fill="auto"/>
            <w:noWrap/>
            <w:vAlign w:val="bottom"/>
            <w:hideMark/>
          </w:tcPr>
          <w:p w14:paraId="69C800E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8D6E5A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734DB5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5.400,00</w:t>
            </w:r>
          </w:p>
        </w:tc>
      </w:tr>
      <w:tr w:rsidR="00846ACC" w:rsidRPr="004974C0" w14:paraId="69A64EB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58D36FE"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4583A08A"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5B2A81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5.400,00</w:t>
            </w:r>
          </w:p>
        </w:tc>
        <w:tc>
          <w:tcPr>
            <w:tcW w:w="1843" w:type="dxa"/>
            <w:tcBorders>
              <w:top w:val="nil"/>
              <w:left w:val="nil"/>
              <w:bottom w:val="single" w:sz="4" w:space="0" w:color="auto"/>
              <w:right w:val="single" w:sz="4" w:space="0" w:color="auto"/>
            </w:tcBorders>
            <w:shd w:val="clear" w:color="auto" w:fill="auto"/>
            <w:noWrap/>
            <w:vAlign w:val="bottom"/>
            <w:hideMark/>
          </w:tcPr>
          <w:p w14:paraId="11E88CE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171182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AB8ABD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5.400,00</w:t>
            </w:r>
          </w:p>
        </w:tc>
      </w:tr>
      <w:tr w:rsidR="00846ACC" w:rsidRPr="004974C0" w14:paraId="052227F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C26D85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4.6. KOMUNALNA NAKNADA</w:t>
            </w:r>
          </w:p>
        </w:tc>
        <w:tc>
          <w:tcPr>
            <w:tcW w:w="1984" w:type="dxa"/>
            <w:tcBorders>
              <w:top w:val="nil"/>
              <w:left w:val="nil"/>
              <w:bottom w:val="single" w:sz="4" w:space="0" w:color="auto"/>
              <w:right w:val="single" w:sz="4" w:space="0" w:color="auto"/>
            </w:tcBorders>
            <w:shd w:val="clear" w:color="000000" w:fill="FFFF99"/>
            <w:noWrap/>
            <w:vAlign w:val="bottom"/>
            <w:hideMark/>
          </w:tcPr>
          <w:p w14:paraId="69463FD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70D25A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94.500,00</w:t>
            </w:r>
          </w:p>
        </w:tc>
        <w:tc>
          <w:tcPr>
            <w:tcW w:w="1843" w:type="dxa"/>
            <w:tcBorders>
              <w:top w:val="nil"/>
              <w:left w:val="nil"/>
              <w:bottom w:val="single" w:sz="4" w:space="0" w:color="auto"/>
              <w:right w:val="single" w:sz="4" w:space="0" w:color="auto"/>
            </w:tcBorders>
            <w:shd w:val="clear" w:color="000000" w:fill="FFFF99"/>
            <w:noWrap/>
            <w:vAlign w:val="bottom"/>
            <w:hideMark/>
          </w:tcPr>
          <w:p w14:paraId="5E6B4B9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-15.000,00</w:t>
            </w:r>
          </w:p>
        </w:tc>
        <w:tc>
          <w:tcPr>
            <w:tcW w:w="1559" w:type="dxa"/>
            <w:tcBorders>
              <w:top w:val="nil"/>
              <w:left w:val="nil"/>
              <w:bottom w:val="single" w:sz="4" w:space="0" w:color="auto"/>
              <w:right w:val="single" w:sz="4" w:space="0" w:color="auto"/>
            </w:tcBorders>
            <w:shd w:val="clear" w:color="000000" w:fill="FFFF99"/>
            <w:noWrap/>
            <w:vAlign w:val="bottom"/>
            <w:hideMark/>
          </w:tcPr>
          <w:p w14:paraId="5540CA3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-15,87</w:t>
            </w:r>
          </w:p>
        </w:tc>
        <w:tc>
          <w:tcPr>
            <w:tcW w:w="1803" w:type="dxa"/>
            <w:tcBorders>
              <w:top w:val="nil"/>
              <w:left w:val="nil"/>
              <w:bottom w:val="single" w:sz="4" w:space="0" w:color="auto"/>
              <w:right w:val="single" w:sz="4" w:space="0" w:color="auto"/>
            </w:tcBorders>
            <w:shd w:val="clear" w:color="000000" w:fill="FFFF99"/>
            <w:noWrap/>
            <w:vAlign w:val="bottom"/>
            <w:hideMark/>
          </w:tcPr>
          <w:p w14:paraId="319A3CF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79.500,00</w:t>
            </w:r>
          </w:p>
        </w:tc>
      </w:tr>
      <w:tr w:rsidR="00846ACC" w:rsidRPr="004974C0" w14:paraId="7853ADA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A645D8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765480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138A218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94.500,00</w:t>
            </w:r>
          </w:p>
        </w:tc>
        <w:tc>
          <w:tcPr>
            <w:tcW w:w="1843" w:type="dxa"/>
            <w:tcBorders>
              <w:top w:val="nil"/>
              <w:left w:val="nil"/>
              <w:bottom w:val="single" w:sz="4" w:space="0" w:color="auto"/>
              <w:right w:val="single" w:sz="4" w:space="0" w:color="auto"/>
            </w:tcBorders>
            <w:shd w:val="clear" w:color="auto" w:fill="auto"/>
            <w:noWrap/>
            <w:vAlign w:val="bottom"/>
            <w:hideMark/>
          </w:tcPr>
          <w:p w14:paraId="3534BC6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-15.000,00</w:t>
            </w:r>
          </w:p>
        </w:tc>
        <w:tc>
          <w:tcPr>
            <w:tcW w:w="1559" w:type="dxa"/>
            <w:tcBorders>
              <w:top w:val="nil"/>
              <w:left w:val="nil"/>
              <w:bottom w:val="single" w:sz="4" w:space="0" w:color="auto"/>
              <w:right w:val="single" w:sz="4" w:space="0" w:color="auto"/>
            </w:tcBorders>
            <w:shd w:val="clear" w:color="auto" w:fill="auto"/>
            <w:noWrap/>
            <w:vAlign w:val="bottom"/>
            <w:hideMark/>
          </w:tcPr>
          <w:p w14:paraId="432C105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-15,87</w:t>
            </w:r>
          </w:p>
        </w:tc>
        <w:tc>
          <w:tcPr>
            <w:tcW w:w="1803" w:type="dxa"/>
            <w:tcBorders>
              <w:top w:val="nil"/>
              <w:left w:val="nil"/>
              <w:bottom w:val="single" w:sz="4" w:space="0" w:color="auto"/>
              <w:right w:val="single" w:sz="4" w:space="0" w:color="auto"/>
            </w:tcBorders>
            <w:shd w:val="clear" w:color="auto" w:fill="auto"/>
            <w:noWrap/>
            <w:vAlign w:val="bottom"/>
            <w:hideMark/>
          </w:tcPr>
          <w:p w14:paraId="0C7B7C1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79.500,00</w:t>
            </w:r>
          </w:p>
        </w:tc>
      </w:tr>
      <w:tr w:rsidR="00846ACC" w:rsidRPr="004974C0" w14:paraId="1B1A98B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D39EE2F"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72734721"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B7CB6D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94.500,00</w:t>
            </w:r>
          </w:p>
        </w:tc>
        <w:tc>
          <w:tcPr>
            <w:tcW w:w="1843" w:type="dxa"/>
            <w:tcBorders>
              <w:top w:val="nil"/>
              <w:left w:val="nil"/>
              <w:bottom w:val="single" w:sz="4" w:space="0" w:color="auto"/>
              <w:right w:val="single" w:sz="4" w:space="0" w:color="auto"/>
            </w:tcBorders>
            <w:shd w:val="clear" w:color="auto" w:fill="auto"/>
            <w:noWrap/>
            <w:vAlign w:val="bottom"/>
            <w:hideMark/>
          </w:tcPr>
          <w:p w14:paraId="0A7E7D9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-15.000,00</w:t>
            </w:r>
          </w:p>
        </w:tc>
        <w:tc>
          <w:tcPr>
            <w:tcW w:w="1559" w:type="dxa"/>
            <w:tcBorders>
              <w:top w:val="nil"/>
              <w:left w:val="nil"/>
              <w:bottom w:val="single" w:sz="4" w:space="0" w:color="auto"/>
              <w:right w:val="single" w:sz="4" w:space="0" w:color="auto"/>
            </w:tcBorders>
            <w:shd w:val="clear" w:color="auto" w:fill="auto"/>
            <w:noWrap/>
            <w:vAlign w:val="bottom"/>
            <w:hideMark/>
          </w:tcPr>
          <w:p w14:paraId="31A5DC6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-15,87</w:t>
            </w:r>
          </w:p>
        </w:tc>
        <w:tc>
          <w:tcPr>
            <w:tcW w:w="1803" w:type="dxa"/>
            <w:tcBorders>
              <w:top w:val="nil"/>
              <w:left w:val="nil"/>
              <w:bottom w:val="single" w:sz="4" w:space="0" w:color="auto"/>
              <w:right w:val="single" w:sz="4" w:space="0" w:color="auto"/>
            </w:tcBorders>
            <w:shd w:val="clear" w:color="auto" w:fill="auto"/>
            <w:noWrap/>
            <w:vAlign w:val="bottom"/>
            <w:hideMark/>
          </w:tcPr>
          <w:p w14:paraId="4304681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79.500,00</w:t>
            </w:r>
          </w:p>
        </w:tc>
      </w:tr>
      <w:tr w:rsidR="00846ACC" w:rsidRPr="004974C0" w14:paraId="6CED80A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66628F0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4002 Održavanje stambenih i poslovnih prostora i dr.</w:t>
            </w:r>
          </w:p>
        </w:tc>
        <w:tc>
          <w:tcPr>
            <w:tcW w:w="1984" w:type="dxa"/>
            <w:tcBorders>
              <w:top w:val="nil"/>
              <w:left w:val="nil"/>
              <w:bottom w:val="single" w:sz="4" w:space="0" w:color="auto"/>
              <w:right w:val="single" w:sz="4" w:space="0" w:color="auto"/>
            </w:tcBorders>
            <w:shd w:val="clear" w:color="000000" w:fill="9999FF"/>
            <w:noWrap/>
            <w:vAlign w:val="bottom"/>
            <w:hideMark/>
          </w:tcPr>
          <w:p w14:paraId="6E170AB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0502E74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551.000,00</w:t>
            </w:r>
          </w:p>
        </w:tc>
        <w:tc>
          <w:tcPr>
            <w:tcW w:w="1843" w:type="dxa"/>
            <w:tcBorders>
              <w:top w:val="nil"/>
              <w:left w:val="nil"/>
              <w:bottom w:val="single" w:sz="4" w:space="0" w:color="auto"/>
              <w:right w:val="single" w:sz="4" w:space="0" w:color="auto"/>
            </w:tcBorders>
            <w:shd w:val="clear" w:color="000000" w:fill="9999FF"/>
            <w:noWrap/>
            <w:vAlign w:val="bottom"/>
            <w:hideMark/>
          </w:tcPr>
          <w:p w14:paraId="5B6F255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82.163,00</w:t>
            </w:r>
          </w:p>
        </w:tc>
        <w:tc>
          <w:tcPr>
            <w:tcW w:w="1559" w:type="dxa"/>
            <w:tcBorders>
              <w:top w:val="nil"/>
              <w:left w:val="nil"/>
              <w:bottom w:val="single" w:sz="4" w:space="0" w:color="auto"/>
              <w:right w:val="single" w:sz="4" w:space="0" w:color="auto"/>
            </w:tcBorders>
            <w:shd w:val="clear" w:color="000000" w:fill="9999FF"/>
            <w:noWrap/>
            <w:vAlign w:val="bottom"/>
            <w:hideMark/>
          </w:tcPr>
          <w:p w14:paraId="51F894A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14,91</w:t>
            </w:r>
          </w:p>
        </w:tc>
        <w:tc>
          <w:tcPr>
            <w:tcW w:w="1803" w:type="dxa"/>
            <w:tcBorders>
              <w:top w:val="nil"/>
              <w:left w:val="nil"/>
              <w:bottom w:val="single" w:sz="4" w:space="0" w:color="auto"/>
              <w:right w:val="single" w:sz="4" w:space="0" w:color="auto"/>
            </w:tcBorders>
            <w:shd w:val="clear" w:color="000000" w:fill="9999FF"/>
            <w:noWrap/>
            <w:vAlign w:val="bottom"/>
            <w:hideMark/>
          </w:tcPr>
          <w:p w14:paraId="486BDC4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633.163,00</w:t>
            </w:r>
          </w:p>
        </w:tc>
      </w:tr>
      <w:tr w:rsidR="00846ACC" w:rsidRPr="004974C0" w14:paraId="58BFDE0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6E6E6F9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A400001 Održavanje stambenih prostora</w:t>
            </w:r>
          </w:p>
        </w:tc>
        <w:tc>
          <w:tcPr>
            <w:tcW w:w="1984" w:type="dxa"/>
            <w:tcBorders>
              <w:top w:val="nil"/>
              <w:left w:val="nil"/>
              <w:bottom w:val="single" w:sz="4" w:space="0" w:color="auto"/>
              <w:right w:val="single" w:sz="4" w:space="0" w:color="auto"/>
            </w:tcBorders>
            <w:shd w:val="clear" w:color="000000" w:fill="CCCCFF"/>
            <w:noWrap/>
            <w:vAlign w:val="bottom"/>
            <w:hideMark/>
          </w:tcPr>
          <w:p w14:paraId="1DBC191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41AB54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73.500,00</w:t>
            </w:r>
          </w:p>
        </w:tc>
        <w:tc>
          <w:tcPr>
            <w:tcW w:w="1843" w:type="dxa"/>
            <w:tcBorders>
              <w:top w:val="nil"/>
              <w:left w:val="nil"/>
              <w:bottom w:val="single" w:sz="4" w:space="0" w:color="auto"/>
              <w:right w:val="single" w:sz="4" w:space="0" w:color="auto"/>
            </w:tcBorders>
            <w:shd w:val="clear" w:color="000000" w:fill="CCCCFF"/>
            <w:noWrap/>
            <w:vAlign w:val="bottom"/>
            <w:hideMark/>
          </w:tcPr>
          <w:p w14:paraId="1FAA758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11.500,00</w:t>
            </w:r>
          </w:p>
        </w:tc>
        <w:tc>
          <w:tcPr>
            <w:tcW w:w="1559" w:type="dxa"/>
            <w:tcBorders>
              <w:top w:val="nil"/>
              <w:left w:val="nil"/>
              <w:bottom w:val="single" w:sz="4" w:space="0" w:color="auto"/>
              <w:right w:val="single" w:sz="4" w:space="0" w:color="auto"/>
            </w:tcBorders>
            <w:shd w:val="clear" w:color="000000" w:fill="CCCCFF"/>
            <w:noWrap/>
            <w:vAlign w:val="bottom"/>
            <w:hideMark/>
          </w:tcPr>
          <w:p w14:paraId="696AE5F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15,65</w:t>
            </w:r>
          </w:p>
        </w:tc>
        <w:tc>
          <w:tcPr>
            <w:tcW w:w="1803" w:type="dxa"/>
            <w:tcBorders>
              <w:top w:val="nil"/>
              <w:left w:val="nil"/>
              <w:bottom w:val="single" w:sz="4" w:space="0" w:color="auto"/>
              <w:right w:val="single" w:sz="4" w:space="0" w:color="auto"/>
            </w:tcBorders>
            <w:shd w:val="clear" w:color="000000" w:fill="CCCCFF"/>
            <w:noWrap/>
            <w:vAlign w:val="bottom"/>
            <w:hideMark/>
          </w:tcPr>
          <w:p w14:paraId="4504806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85.000,00</w:t>
            </w:r>
          </w:p>
        </w:tc>
      </w:tr>
      <w:tr w:rsidR="00846ACC" w:rsidRPr="004974C0" w14:paraId="50E347C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3B61CE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0C8043C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FB606E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73.500,00</w:t>
            </w:r>
          </w:p>
        </w:tc>
        <w:tc>
          <w:tcPr>
            <w:tcW w:w="1843" w:type="dxa"/>
            <w:tcBorders>
              <w:top w:val="nil"/>
              <w:left w:val="nil"/>
              <w:bottom w:val="single" w:sz="4" w:space="0" w:color="auto"/>
              <w:right w:val="single" w:sz="4" w:space="0" w:color="auto"/>
            </w:tcBorders>
            <w:shd w:val="clear" w:color="000000" w:fill="FFFF99"/>
            <w:noWrap/>
            <w:vAlign w:val="bottom"/>
            <w:hideMark/>
          </w:tcPr>
          <w:p w14:paraId="7533E0A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11.500,00</w:t>
            </w:r>
          </w:p>
        </w:tc>
        <w:tc>
          <w:tcPr>
            <w:tcW w:w="1559" w:type="dxa"/>
            <w:tcBorders>
              <w:top w:val="nil"/>
              <w:left w:val="nil"/>
              <w:bottom w:val="single" w:sz="4" w:space="0" w:color="auto"/>
              <w:right w:val="single" w:sz="4" w:space="0" w:color="auto"/>
            </w:tcBorders>
            <w:shd w:val="clear" w:color="000000" w:fill="FFFF99"/>
            <w:noWrap/>
            <w:vAlign w:val="bottom"/>
            <w:hideMark/>
          </w:tcPr>
          <w:p w14:paraId="623E2F7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15,65</w:t>
            </w:r>
          </w:p>
        </w:tc>
        <w:tc>
          <w:tcPr>
            <w:tcW w:w="1803" w:type="dxa"/>
            <w:tcBorders>
              <w:top w:val="nil"/>
              <w:left w:val="nil"/>
              <w:bottom w:val="single" w:sz="4" w:space="0" w:color="auto"/>
              <w:right w:val="single" w:sz="4" w:space="0" w:color="auto"/>
            </w:tcBorders>
            <w:shd w:val="clear" w:color="000000" w:fill="FFFF99"/>
            <w:noWrap/>
            <w:vAlign w:val="bottom"/>
            <w:hideMark/>
          </w:tcPr>
          <w:p w14:paraId="06B10A4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85.000,00</w:t>
            </w:r>
          </w:p>
        </w:tc>
      </w:tr>
      <w:tr w:rsidR="00846ACC" w:rsidRPr="004974C0" w14:paraId="2871B0A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A44F01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1BC4E1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00BD19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73.500,00</w:t>
            </w:r>
          </w:p>
        </w:tc>
        <w:tc>
          <w:tcPr>
            <w:tcW w:w="1843" w:type="dxa"/>
            <w:tcBorders>
              <w:top w:val="nil"/>
              <w:left w:val="nil"/>
              <w:bottom w:val="single" w:sz="4" w:space="0" w:color="auto"/>
              <w:right w:val="single" w:sz="4" w:space="0" w:color="auto"/>
            </w:tcBorders>
            <w:shd w:val="clear" w:color="auto" w:fill="auto"/>
            <w:noWrap/>
            <w:vAlign w:val="bottom"/>
            <w:hideMark/>
          </w:tcPr>
          <w:p w14:paraId="507491E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11.500,00</w:t>
            </w:r>
          </w:p>
        </w:tc>
        <w:tc>
          <w:tcPr>
            <w:tcW w:w="1559" w:type="dxa"/>
            <w:tcBorders>
              <w:top w:val="nil"/>
              <w:left w:val="nil"/>
              <w:bottom w:val="single" w:sz="4" w:space="0" w:color="auto"/>
              <w:right w:val="single" w:sz="4" w:space="0" w:color="auto"/>
            </w:tcBorders>
            <w:shd w:val="clear" w:color="auto" w:fill="auto"/>
            <w:noWrap/>
            <w:vAlign w:val="bottom"/>
            <w:hideMark/>
          </w:tcPr>
          <w:p w14:paraId="230D578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15,65</w:t>
            </w:r>
          </w:p>
        </w:tc>
        <w:tc>
          <w:tcPr>
            <w:tcW w:w="1803" w:type="dxa"/>
            <w:tcBorders>
              <w:top w:val="nil"/>
              <w:left w:val="nil"/>
              <w:bottom w:val="single" w:sz="4" w:space="0" w:color="auto"/>
              <w:right w:val="single" w:sz="4" w:space="0" w:color="auto"/>
            </w:tcBorders>
            <w:shd w:val="clear" w:color="auto" w:fill="auto"/>
            <w:noWrap/>
            <w:vAlign w:val="bottom"/>
            <w:hideMark/>
          </w:tcPr>
          <w:p w14:paraId="51E3BA5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85.000,00</w:t>
            </w:r>
          </w:p>
        </w:tc>
      </w:tr>
      <w:tr w:rsidR="00846ACC" w:rsidRPr="004974C0" w14:paraId="6102BD4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C936803"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E0A1767"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54309BD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73.500,00</w:t>
            </w:r>
          </w:p>
        </w:tc>
        <w:tc>
          <w:tcPr>
            <w:tcW w:w="1843" w:type="dxa"/>
            <w:tcBorders>
              <w:top w:val="nil"/>
              <w:left w:val="nil"/>
              <w:bottom w:val="single" w:sz="4" w:space="0" w:color="auto"/>
              <w:right w:val="single" w:sz="4" w:space="0" w:color="auto"/>
            </w:tcBorders>
            <w:shd w:val="clear" w:color="auto" w:fill="auto"/>
            <w:noWrap/>
            <w:vAlign w:val="bottom"/>
            <w:hideMark/>
          </w:tcPr>
          <w:p w14:paraId="67D8582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11.500,00</w:t>
            </w:r>
          </w:p>
        </w:tc>
        <w:tc>
          <w:tcPr>
            <w:tcW w:w="1559" w:type="dxa"/>
            <w:tcBorders>
              <w:top w:val="nil"/>
              <w:left w:val="nil"/>
              <w:bottom w:val="single" w:sz="4" w:space="0" w:color="auto"/>
              <w:right w:val="single" w:sz="4" w:space="0" w:color="auto"/>
            </w:tcBorders>
            <w:shd w:val="clear" w:color="auto" w:fill="auto"/>
            <w:noWrap/>
            <w:vAlign w:val="bottom"/>
            <w:hideMark/>
          </w:tcPr>
          <w:p w14:paraId="71B9EAF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15,65</w:t>
            </w:r>
          </w:p>
        </w:tc>
        <w:tc>
          <w:tcPr>
            <w:tcW w:w="1803" w:type="dxa"/>
            <w:tcBorders>
              <w:top w:val="nil"/>
              <w:left w:val="nil"/>
              <w:bottom w:val="single" w:sz="4" w:space="0" w:color="auto"/>
              <w:right w:val="single" w:sz="4" w:space="0" w:color="auto"/>
            </w:tcBorders>
            <w:shd w:val="clear" w:color="auto" w:fill="auto"/>
            <w:noWrap/>
            <w:vAlign w:val="bottom"/>
            <w:hideMark/>
          </w:tcPr>
          <w:p w14:paraId="0476EA2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85.000,00</w:t>
            </w:r>
          </w:p>
        </w:tc>
      </w:tr>
      <w:tr w:rsidR="00846ACC" w:rsidRPr="004974C0" w14:paraId="1D63C36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4123389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A400002 Održavanje poslovnih prostora, štandova i privremenih priključaka</w:t>
            </w:r>
          </w:p>
        </w:tc>
        <w:tc>
          <w:tcPr>
            <w:tcW w:w="1984" w:type="dxa"/>
            <w:tcBorders>
              <w:top w:val="nil"/>
              <w:left w:val="nil"/>
              <w:bottom w:val="single" w:sz="4" w:space="0" w:color="auto"/>
              <w:right w:val="single" w:sz="4" w:space="0" w:color="auto"/>
            </w:tcBorders>
            <w:shd w:val="clear" w:color="000000" w:fill="CCCCFF"/>
            <w:noWrap/>
            <w:vAlign w:val="bottom"/>
            <w:hideMark/>
          </w:tcPr>
          <w:p w14:paraId="7F3EA16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20C25D6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117.000,00</w:t>
            </w:r>
          </w:p>
        </w:tc>
        <w:tc>
          <w:tcPr>
            <w:tcW w:w="1843" w:type="dxa"/>
            <w:tcBorders>
              <w:top w:val="nil"/>
              <w:left w:val="nil"/>
              <w:bottom w:val="single" w:sz="4" w:space="0" w:color="auto"/>
              <w:right w:val="single" w:sz="4" w:space="0" w:color="auto"/>
            </w:tcBorders>
            <w:shd w:val="clear" w:color="000000" w:fill="CCCCFF"/>
            <w:noWrap/>
            <w:vAlign w:val="bottom"/>
            <w:hideMark/>
          </w:tcPr>
          <w:p w14:paraId="5B87389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w:t>
            </w:r>
          </w:p>
        </w:tc>
        <w:tc>
          <w:tcPr>
            <w:tcW w:w="1559" w:type="dxa"/>
            <w:tcBorders>
              <w:top w:val="nil"/>
              <w:left w:val="nil"/>
              <w:bottom w:val="single" w:sz="4" w:space="0" w:color="auto"/>
              <w:right w:val="single" w:sz="4" w:space="0" w:color="auto"/>
            </w:tcBorders>
            <w:shd w:val="clear" w:color="000000" w:fill="CCCCFF"/>
            <w:noWrap/>
            <w:vAlign w:val="bottom"/>
            <w:hideMark/>
          </w:tcPr>
          <w:p w14:paraId="6D9243A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1,28</w:t>
            </w:r>
          </w:p>
        </w:tc>
        <w:tc>
          <w:tcPr>
            <w:tcW w:w="1803" w:type="dxa"/>
            <w:tcBorders>
              <w:top w:val="nil"/>
              <w:left w:val="nil"/>
              <w:bottom w:val="single" w:sz="4" w:space="0" w:color="auto"/>
              <w:right w:val="single" w:sz="4" w:space="0" w:color="auto"/>
            </w:tcBorders>
            <w:shd w:val="clear" w:color="000000" w:fill="CCCCFF"/>
            <w:noWrap/>
            <w:vAlign w:val="bottom"/>
            <w:hideMark/>
          </w:tcPr>
          <w:p w14:paraId="1F3A5F3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118.500,00</w:t>
            </w:r>
          </w:p>
        </w:tc>
      </w:tr>
      <w:tr w:rsidR="00846ACC" w:rsidRPr="004974C0" w14:paraId="7612CAF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74D35D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0818568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8BB1F9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117.000,00</w:t>
            </w:r>
          </w:p>
        </w:tc>
        <w:tc>
          <w:tcPr>
            <w:tcW w:w="1843" w:type="dxa"/>
            <w:tcBorders>
              <w:top w:val="nil"/>
              <w:left w:val="nil"/>
              <w:bottom w:val="single" w:sz="4" w:space="0" w:color="auto"/>
              <w:right w:val="single" w:sz="4" w:space="0" w:color="auto"/>
            </w:tcBorders>
            <w:shd w:val="clear" w:color="000000" w:fill="FFFF99"/>
            <w:noWrap/>
            <w:vAlign w:val="bottom"/>
            <w:hideMark/>
          </w:tcPr>
          <w:p w14:paraId="2DB82C2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w:t>
            </w:r>
          </w:p>
        </w:tc>
        <w:tc>
          <w:tcPr>
            <w:tcW w:w="1559" w:type="dxa"/>
            <w:tcBorders>
              <w:top w:val="nil"/>
              <w:left w:val="nil"/>
              <w:bottom w:val="single" w:sz="4" w:space="0" w:color="auto"/>
              <w:right w:val="single" w:sz="4" w:space="0" w:color="auto"/>
            </w:tcBorders>
            <w:shd w:val="clear" w:color="000000" w:fill="FFFF99"/>
            <w:noWrap/>
            <w:vAlign w:val="bottom"/>
            <w:hideMark/>
          </w:tcPr>
          <w:p w14:paraId="0D8228B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1,28</w:t>
            </w:r>
          </w:p>
        </w:tc>
        <w:tc>
          <w:tcPr>
            <w:tcW w:w="1803" w:type="dxa"/>
            <w:tcBorders>
              <w:top w:val="nil"/>
              <w:left w:val="nil"/>
              <w:bottom w:val="single" w:sz="4" w:space="0" w:color="auto"/>
              <w:right w:val="single" w:sz="4" w:space="0" w:color="auto"/>
            </w:tcBorders>
            <w:shd w:val="clear" w:color="000000" w:fill="FFFF99"/>
            <w:noWrap/>
            <w:vAlign w:val="bottom"/>
            <w:hideMark/>
          </w:tcPr>
          <w:p w14:paraId="55609A7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118.500,00</w:t>
            </w:r>
          </w:p>
        </w:tc>
      </w:tr>
      <w:tr w:rsidR="00846ACC" w:rsidRPr="004974C0" w14:paraId="521336B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A00D8E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D8E86F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7FDC722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117.000,00</w:t>
            </w:r>
          </w:p>
        </w:tc>
        <w:tc>
          <w:tcPr>
            <w:tcW w:w="1843" w:type="dxa"/>
            <w:tcBorders>
              <w:top w:val="nil"/>
              <w:left w:val="nil"/>
              <w:bottom w:val="single" w:sz="4" w:space="0" w:color="auto"/>
              <w:right w:val="single" w:sz="4" w:space="0" w:color="auto"/>
            </w:tcBorders>
            <w:shd w:val="clear" w:color="auto" w:fill="auto"/>
            <w:noWrap/>
            <w:vAlign w:val="bottom"/>
            <w:hideMark/>
          </w:tcPr>
          <w:p w14:paraId="4714BD8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1.500,00</w:t>
            </w:r>
          </w:p>
        </w:tc>
        <w:tc>
          <w:tcPr>
            <w:tcW w:w="1559" w:type="dxa"/>
            <w:tcBorders>
              <w:top w:val="nil"/>
              <w:left w:val="nil"/>
              <w:bottom w:val="single" w:sz="4" w:space="0" w:color="auto"/>
              <w:right w:val="single" w:sz="4" w:space="0" w:color="auto"/>
            </w:tcBorders>
            <w:shd w:val="clear" w:color="auto" w:fill="auto"/>
            <w:noWrap/>
            <w:vAlign w:val="bottom"/>
            <w:hideMark/>
          </w:tcPr>
          <w:p w14:paraId="01B8B3A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1,28</w:t>
            </w:r>
          </w:p>
        </w:tc>
        <w:tc>
          <w:tcPr>
            <w:tcW w:w="1803" w:type="dxa"/>
            <w:tcBorders>
              <w:top w:val="nil"/>
              <w:left w:val="nil"/>
              <w:bottom w:val="single" w:sz="4" w:space="0" w:color="auto"/>
              <w:right w:val="single" w:sz="4" w:space="0" w:color="auto"/>
            </w:tcBorders>
            <w:shd w:val="clear" w:color="auto" w:fill="auto"/>
            <w:noWrap/>
            <w:vAlign w:val="bottom"/>
            <w:hideMark/>
          </w:tcPr>
          <w:p w14:paraId="25D0B09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118.500,00</w:t>
            </w:r>
          </w:p>
        </w:tc>
      </w:tr>
      <w:tr w:rsidR="00846ACC" w:rsidRPr="004974C0" w14:paraId="0BD882C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6263117"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423624CF"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22EF0C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117.000,00</w:t>
            </w:r>
          </w:p>
        </w:tc>
        <w:tc>
          <w:tcPr>
            <w:tcW w:w="1843" w:type="dxa"/>
            <w:tcBorders>
              <w:top w:val="nil"/>
              <w:left w:val="nil"/>
              <w:bottom w:val="single" w:sz="4" w:space="0" w:color="auto"/>
              <w:right w:val="single" w:sz="4" w:space="0" w:color="auto"/>
            </w:tcBorders>
            <w:shd w:val="clear" w:color="auto" w:fill="auto"/>
            <w:noWrap/>
            <w:vAlign w:val="bottom"/>
            <w:hideMark/>
          </w:tcPr>
          <w:p w14:paraId="4DD85C2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1.500,00</w:t>
            </w:r>
          </w:p>
        </w:tc>
        <w:tc>
          <w:tcPr>
            <w:tcW w:w="1559" w:type="dxa"/>
            <w:tcBorders>
              <w:top w:val="nil"/>
              <w:left w:val="nil"/>
              <w:bottom w:val="single" w:sz="4" w:space="0" w:color="auto"/>
              <w:right w:val="single" w:sz="4" w:space="0" w:color="auto"/>
            </w:tcBorders>
            <w:shd w:val="clear" w:color="auto" w:fill="auto"/>
            <w:noWrap/>
            <w:vAlign w:val="bottom"/>
            <w:hideMark/>
          </w:tcPr>
          <w:p w14:paraId="0055590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1,28</w:t>
            </w:r>
          </w:p>
        </w:tc>
        <w:tc>
          <w:tcPr>
            <w:tcW w:w="1803" w:type="dxa"/>
            <w:tcBorders>
              <w:top w:val="nil"/>
              <w:left w:val="nil"/>
              <w:bottom w:val="single" w:sz="4" w:space="0" w:color="auto"/>
              <w:right w:val="single" w:sz="4" w:space="0" w:color="auto"/>
            </w:tcBorders>
            <w:shd w:val="clear" w:color="auto" w:fill="auto"/>
            <w:noWrap/>
            <w:vAlign w:val="bottom"/>
            <w:hideMark/>
          </w:tcPr>
          <w:p w14:paraId="654464B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118.500,00</w:t>
            </w:r>
          </w:p>
        </w:tc>
      </w:tr>
      <w:tr w:rsidR="00846ACC" w:rsidRPr="004974C0" w14:paraId="21F371B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C1E847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A400003 Mjere preventivne zaštite i veterinarske usluge</w:t>
            </w:r>
          </w:p>
        </w:tc>
        <w:tc>
          <w:tcPr>
            <w:tcW w:w="1984" w:type="dxa"/>
            <w:tcBorders>
              <w:top w:val="nil"/>
              <w:left w:val="nil"/>
              <w:bottom w:val="single" w:sz="4" w:space="0" w:color="auto"/>
              <w:right w:val="single" w:sz="4" w:space="0" w:color="auto"/>
            </w:tcBorders>
            <w:shd w:val="clear" w:color="000000" w:fill="CCCCFF"/>
            <w:noWrap/>
            <w:vAlign w:val="bottom"/>
            <w:hideMark/>
          </w:tcPr>
          <w:p w14:paraId="09CC46C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7CC35A8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44.000,00</w:t>
            </w:r>
          </w:p>
        </w:tc>
        <w:tc>
          <w:tcPr>
            <w:tcW w:w="1843" w:type="dxa"/>
            <w:tcBorders>
              <w:top w:val="nil"/>
              <w:left w:val="nil"/>
              <w:bottom w:val="single" w:sz="4" w:space="0" w:color="auto"/>
              <w:right w:val="single" w:sz="4" w:space="0" w:color="auto"/>
            </w:tcBorders>
            <w:shd w:val="clear" w:color="000000" w:fill="CCCCFF"/>
            <w:noWrap/>
            <w:vAlign w:val="bottom"/>
            <w:hideMark/>
          </w:tcPr>
          <w:p w14:paraId="6D7546B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7.000,00</w:t>
            </w:r>
          </w:p>
        </w:tc>
        <w:tc>
          <w:tcPr>
            <w:tcW w:w="1559" w:type="dxa"/>
            <w:tcBorders>
              <w:top w:val="nil"/>
              <w:left w:val="nil"/>
              <w:bottom w:val="single" w:sz="4" w:space="0" w:color="auto"/>
              <w:right w:val="single" w:sz="4" w:space="0" w:color="auto"/>
            </w:tcBorders>
            <w:shd w:val="clear" w:color="000000" w:fill="CCCCFF"/>
            <w:noWrap/>
            <w:vAlign w:val="bottom"/>
            <w:hideMark/>
          </w:tcPr>
          <w:p w14:paraId="4726813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15,91</w:t>
            </w:r>
          </w:p>
        </w:tc>
        <w:tc>
          <w:tcPr>
            <w:tcW w:w="1803" w:type="dxa"/>
            <w:tcBorders>
              <w:top w:val="nil"/>
              <w:left w:val="nil"/>
              <w:bottom w:val="single" w:sz="4" w:space="0" w:color="auto"/>
              <w:right w:val="single" w:sz="4" w:space="0" w:color="auto"/>
            </w:tcBorders>
            <w:shd w:val="clear" w:color="000000" w:fill="CCCCFF"/>
            <w:noWrap/>
            <w:vAlign w:val="bottom"/>
            <w:hideMark/>
          </w:tcPr>
          <w:p w14:paraId="2B3817B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51.000,00</w:t>
            </w:r>
          </w:p>
        </w:tc>
      </w:tr>
      <w:tr w:rsidR="00846ACC" w:rsidRPr="004974C0" w14:paraId="36EC1A3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35D90C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0789123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08BB61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44.000,00</w:t>
            </w:r>
          </w:p>
        </w:tc>
        <w:tc>
          <w:tcPr>
            <w:tcW w:w="1843" w:type="dxa"/>
            <w:tcBorders>
              <w:top w:val="nil"/>
              <w:left w:val="nil"/>
              <w:bottom w:val="single" w:sz="4" w:space="0" w:color="auto"/>
              <w:right w:val="single" w:sz="4" w:space="0" w:color="auto"/>
            </w:tcBorders>
            <w:shd w:val="clear" w:color="000000" w:fill="FFFF99"/>
            <w:noWrap/>
            <w:vAlign w:val="bottom"/>
            <w:hideMark/>
          </w:tcPr>
          <w:p w14:paraId="7AD59DD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7.000,00</w:t>
            </w:r>
          </w:p>
        </w:tc>
        <w:tc>
          <w:tcPr>
            <w:tcW w:w="1559" w:type="dxa"/>
            <w:tcBorders>
              <w:top w:val="nil"/>
              <w:left w:val="nil"/>
              <w:bottom w:val="single" w:sz="4" w:space="0" w:color="auto"/>
              <w:right w:val="single" w:sz="4" w:space="0" w:color="auto"/>
            </w:tcBorders>
            <w:shd w:val="clear" w:color="000000" w:fill="FFFF99"/>
            <w:noWrap/>
            <w:vAlign w:val="bottom"/>
            <w:hideMark/>
          </w:tcPr>
          <w:p w14:paraId="701458B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15,91</w:t>
            </w:r>
          </w:p>
        </w:tc>
        <w:tc>
          <w:tcPr>
            <w:tcW w:w="1803" w:type="dxa"/>
            <w:tcBorders>
              <w:top w:val="nil"/>
              <w:left w:val="nil"/>
              <w:bottom w:val="single" w:sz="4" w:space="0" w:color="auto"/>
              <w:right w:val="single" w:sz="4" w:space="0" w:color="auto"/>
            </w:tcBorders>
            <w:shd w:val="clear" w:color="000000" w:fill="FFFF99"/>
            <w:noWrap/>
            <w:vAlign w:val="bottom"/>
            <w:hideMark/>
          </w:tcPr>
          <w:p w14:paraId="579CD6D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51.000,00</w:t>
            </w:r>
          </w:p>
        </w:tc>
      </w:tr>
      <w:tr w:rsidR="00846ACC" w:rsidRPr="004974C0" w14:paraId="02486F4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AB70E8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7BB4C9E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1B3591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44.000,00</w:t>
            </w:r>
          </w:p>
        </w:tc>
        <w:tc>
          <w:tcPr>
            <w:tcW w:w="1843" w:type="dxa"/>
            <w:tcBorders>
              <w:top w:val="nil"/>
              <w:left w:val="nil"/>
              <w:bottom w:val="single" w:sz="4" w:space="0" w:color="auto"/>
              <w:right w:val="single" w:sz="4" w:space="0" w:color="auto"/>
            </w:tcBorders>
            <w:shd w:val="clear" w:color="auto" w:fill="auto"/>
            <w:noWrap/>
            <w:vAlign w:val="bottom"/>
            <w:hideMark/>
          </w:tcPr>
          <w:p w14:paraId="386ED3C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7.000,00</w:t>
            </w:r>
          </w:p>
        </w:tc>
        <w:tc>
          <w:tcPr>
            <w:tcW w:w="1559" w:type="dxa"/>
            <w:tcBorders>
              <w:top w:val="nil"/>
              <w:left w:val="nil"/>
              <w:bottom w:val="single" w:sz="4" w:space="0" w:color="auto"/>
              <w:right w:val="single" w:sz="4" w:space="0" w:color="auto"/>
            </w:tcBorders>
            <w:shd w:val="clear" w:color="auto" w:fill="auto"/>
            <w:noWrap/>
            <w:vAlign w:val="bottom"/>
            <w:hideMark/>
          </w:tcPr>
          <w:p w14:paraId="0EC03BA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15,91</w:t>
            </w:r>
          </w:p>
        </w:tc>
        <w:tc>
          <w:tcPr>
            <w:tcW w:w="1803" w:type="dxa"/>
            <w:tcBorders>
              <w:top w:val="nil"/>
              <w:left w:val="nil"/>
              <w:bottom w:val="single" w:sz="4" w:space="0" w:color="auto"/>
              <w:right w:val="single" w:sz="4" w:space="0" w:color="auto"/>
            </w:tcBorders>
            <w:shd w:val="clear" w:color="auto" w:fill="auto"/>
            <w:noWrap/>
            <w:vAlign w:val="bottom"/>
            <w:hideMark/>
          </w:tcPr>
          <w:p w14:paraId="7FBC9FB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51.000,00</w:t>
            </w:r>
          </w:p>
        </w:tc>
      </w:tr>
      <w:tr w:rsidR="00846ACC" w:rsidRPr="004974C0" w14:paraId="10F1D9C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FE29073"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1CC5D74"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829F52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44.000,00</w:t>
            </w:r>
          </w:p>
        </w:tc>
        <w:tc>
          <w:tcPr>
            <w:tcW w:w="1843" w:type="dxa"/>
            <w:tcBorders>
              <w:top w:val="nil"/>
              <w:left w:val="nil"/>
              <w:bottom w:val="single" w:sz="4" w:space="0" w:color="auto"/>
              <w:right w:val="single" w:sz="4" w:space="0" w:color="auto"/>
            </w:tcBorders>
            <w:shd w:val="clear" w:color="auto" w:fill="auto"/>
            <w:noWrap/>
            <w:vAlign w:val="bottom"/>
            <w:hideMark/>
          </w:tcPr>
          <w:p w14:paraId="3CAF5E2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7.000,00</w:t>
            </w:r>
          </w:p>
        </w:tc>
        <w:tc>
          <w:tcPr>
            <w:tcW w:w="1559" w:type="dxa"/>
            <w:tcBorders>
              <w:top w:val="nil"/>
              <w:left w:val="nil"/>
              <w:bottom w:val="single" w:sz="4" w:space="0" w:color="auto"/>
              <w:right w:val="single" w:sz="4" w:space="0" w:color="auto"/>
            </w:tcBorders>
            <w:shd w:val="clear" w:color="auto" w:fill="auto"/>
            <w:noWrap/>
            <w:vAlign w:val="bottom"/>
            <w:hideMark/>
          </w:tcPr>
          <w:p w14:paraId="2EBB7E0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15,91</w:t>
            </w:r>
          </w:p>
        </w:tc>
        <w:tc>
          <w:tcPr>
            <w:tcW w:w="1803" w:type="dxa"/>
            <w:tcBorders>
              <w:top w:val="nil"/>
              <w:left w:val="nil"/>
              <w:bottom w:val="single" w:sz="4" w:space="0" w:color="auto"/>
              <w:right w:val="single" w:sz="4" w:space="0" w:color="auto"/>
            </w:tcBorders>
            <w:shd w:val="clear" w:color="auto" w:fill="auto"/>
            <w:noWrap/>
            <w:vAlign w:val="bottom"/>
            <w:hideMark/>
          </w:tcPr>
          <w:p w14:paraId="69DE51B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51.000,00</w:t>
            </w:r>
          </w:p>
        </w:tc>
      </w:tr>
      <w:tr w:rsidR="00846ACC" w:rsidRPr="004974C0" w14:paraId="0CD006E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93BC01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A400004 Dostava vode</w:t>
            </w:r>
          </w:p>
        </w:tc>
        <w:tc>
          <w:tcPr>
            <w:tcW w:w="1984" w:type="dxa"/>
            <w:tcBorders>
              <w:top w:val="nil"/>
              <w:left w:val="nil"/>
              <w:bottom w:val="single" w:sz="4" w:space="0" w:color="auto"/>
              <w:right w:val="single" w:sz="4" w:space="0" w:color="auto"/>
            </w:tcBorders>
            <w:shd w:val="clear" w:color="000000" w:fill="CCCCFF"/>
            <w:noWrap/>
            <w:vAlign w:val="bottom"/>
            <w:hideMark/>
          </w:tcPr>
          <w:p w14:paraId="7446142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3F80843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w:t>
            </w:r>
          </w:p>
        </w:tc>
        <w:tc>
          <w:tcPr>
            <w:tcW w:w="1843" w:type="dxa"/>
            <w:tcBorders>
              <w:top w:val="nil"/>
              <w:left w:val="nil"/>
              <w:bottom w:val="single" w:sz="4" w:space="0" w:color="auto"/>
              <w:right w:val="single" w:sz="4" w:space="0" w:color="auto"/>
            </w:tcBorders>
            <w:shd w:val="clear" w:color="000000" w:fill="CCCCFF"/>
            <w:noWrap/>
            <w:vAlign w:val="bottom"/>
            <w:hideMark/>
          </w:tcPr>
          <w:p w14:paraId="405D470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557A22C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4995A46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w:t>
            </w:r>
          </w:p>
        </w:tc>
      </w:tr>
      <w:tr w:rsidR="00846ACC" w:rsidRPr="004974C0" w14:paraId="302A24D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3A510A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0E7C968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CA6C9C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w:t>
            </w:r>
          </w:p>
        </w:tc>
        <w:tc>
          <w:tcPr>
            <w:tcW w:w="1843" w:type="dxa"/>
            <w:tcBorders>
              <w:top w:val="nil"/>
              <w:left w:val="nil"/>
              <w:bottom w:val="single" w:sz="4" w:space="0" w:color="auto"/>
              <w:right w:val="single" w:sz="4" w:space="0" w:color="auto"/>
            </w:tcBorders>
            <w:shd w:val="clear" w:color="000000" w:fill="FFFF99"/>
            <w:noWrap/>
            <w:vAlign w:val="bottom"/>
            <w:hideMark/>
          </w:tcPr>
          <w:p w14:paraId="059794E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233787C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2460C9C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w:t>
            </w:r>
          </w:p>
        </w:tc>
      </w:tr>
      <w:tr w:rsidR="00846ACC" w:rsidRPr="004974C0" w14:paraId="6490247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BD36F5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96361C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4A9FA5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1.500,00</w:t>
            </w:r>
          </w:p>
        </w:tc>
        <w:tc>
          <w:tcPr>
            <w:tcW w:w="1843" w:type="dxa"/>
            <w:tcBorders>
              <w:top w:val="nil"/>
              <w:left w:val="nil"/>
              <w:bottom w:val="single" w:sz="4" w:space="0" w:color="auto"/>
              <w:right w:val="single" w:sz="4" w:space="0" w:color="auto"/>
            </w:tcBorders>
            <w:shd w:val="clear" w:color="auto" w:fill="auto"/>
            <w:noWrap/>
            <w:vAlign w:val="bottom"/>
            <w:hideMark/>
          </w:tcPr>
          <w:p w14:paraId="17F58B3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1E9710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3A1E30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1.500,00</w:t>
            </w:r>
          </w:p>
        </w:tc>
      </w:tr>
      <w:tr w:rsidR="00846ACC" w:rsidRPr="004974C0" w14:paraId="4835D52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8D3D2A9"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41454050"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18C1094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1.500,00</w:t>
            </w:r>
          </w:p>
        </w:tc>
        <w:tc>
          <w:tcPr>
            <w:tcW w:w="1843" w:type="dxa"/>
            <w:tcBorders>
              <w:top w:val="nil"/>
              <w:left w:val="nil"/>
              <w:bottom w:val="single" w:sz="4" w:space="0" w:color="auto"/>
              <w:right w:val="single" w:sz="4" w:space="0" w:color="auto"/>
            </w:tcBorders>
            <w:shd w:val="clear" w:color="auto" w:fill="auto"/>
            <w:noWrap/>
            <w:vAlign w:val="bottom"/>
            <w:hideMark/>
          </w:tcPr>
          <w:p w14:paraId="408D452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6A1CB2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7FB213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1.500,00</w:t>
            </w:r>
          </w:p>
        </w:tc>
      </w:tr>
      <w:tr w:rsidR="00846ACC" w:rsidRPr="004974C0" w14:paraId="4E59286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543E3BE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xml:space="preserve">Aktivnost A400005 Usluge pomoći izvršenja poslova </w:t>
            </w:r>
            <w:proofErr w:type="spellStart"/>
            <w:r w:rsidRPr="004974C0">
              <w:rPr>
                <w:rFonts w:ascii="Arial" w:hAnsi="Arial" w:cs="Arial"/>
                <w:b/>
                <w:bCs/>
                <w:color w:val="000000"/>
                <w:sz w:val="20"/>
                <w:szCs w:val="20"/>
              </w:rPr>
              <w:t>komun</w:t>
            </w:r>
            <w:proofErr w:type="spellEnd"/>
            <w:r w:rsidRPr="004974C0">
              <w:rPr>
                <w:rFonts w:ascii="Arial" w:hAnsi="Arial" w:cs="Arial"/>
                <w:b/>
                <w:bCs/>
                <w:color w:val="000000"/>
                <w:sz w:val="20"/>
                <w:szCs w:val="20"/>
              </w:rPr>
              <w:t>. i promet. redarstva</w:t>
            </w:r>
          </w:p>
        </w:tc>
        <w:tc>
          <w:tcPr>
            <w:tcW w:w="1984" w:type="dxa"/>
            <w:tcBorders>
              <w:top w:val="nil"/>
              <w:left w:val="nil"/>
              <w:bottom w:val="single" w:sz="4" w:space="0" w:color="auto"/>
              <w:right w:val="single" w:sz="4" w:space="0" w:color="auto"/>
            </w:tcBorders>
            <w:shd w:val="clear" w:color="000000" w:fill="CCCCFF"/>
            <w:noWrap/>
            <w:vAlign w:val="bottom"/>
            <w:hideMark/>
          </w:tcPr>
          <w:p w14:paraId="728C58B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0D33675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45.500,00</w:t>
            </w:r>
          </w:p>
        </w:tc>
        <w:tc>
          <w:tcPr>
            <w:tcW w:w="1843" w:type="dxa"/>
            <w:tcBorders>
              <w:top w:val="nil"/>
              <w:left w:val="nil"/>
              <w:bottom w:val="single" w:sz="4" w:space="0" w:color="auto"/>
              <w:right w:val="single" w:sz="4" w:space="0" w:color="auto"/>
            </w:tcBorders>
            <w:shd w:val="clear" w:color="000000" w:fill="CCCCFF"/>
            <w:noWrap/>
            <w:vAlign w:val="bottom"/>
            <w:hideMark/>
          </w:tcPr>
          <w:p w14:paraId="0810B4A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8.800,00</w:t>
            </w:r>
          </w:p>
        </w:tc>
        <w:tc>
          <w:tcPr>
            <w:tcW w:w="1559" w:type="dxa"/>
            <w:tcBorders>
              <w:top w:val="nil"/>
              <w:left w:val="nil"/>
              <w:bottom w:val="single" w:sz="4" w:space="0" w:color="auto"/>
              <w:right w:val="single" w:sz="4" w:space="0" w:color="auto"/>
            </w:tcBorders>
            <w:shd w:val="clear" w:color="000000" w:fill="CCCCFF"/>
            <w:noWrap/>
            <w:vAlign w:val="bottom"/>
            <w:hideMark/>
          </w:tcPr>
          <w:p w14:paraId="03EF0CB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19,34</w:t>
            </w:r>
          </w:p>
        </w:tc>
        <w:tc>
          <w:tcPr>
            <w:tcW w:w="1803" w:type="dxa"/>
            <w:tcBorders>
              <w:top w:val="nil"/>
              <w:left w:val="nil"/>
              <w:bottom w:val="single" w:sz="4" w:space="0" w:color="auto"/>
              <w:right w:val="single" w:sz="4" w:space="0" w:color="auto"/>
            </w:tcBorders>
            <w:shd w:val="clear" w:color="000000" w:fill="CCCCFF"/>
            <w:noWrap/>
            <w:vAlign w:val="bottom"/>
            <w:hideMark/>
          </w:tcPr>
          <w:p w14:paraId="04C6814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54.300,00</w:t>
            </w:r>
          </w:p>
        </w:tc>
      </w:tr>
      <w:tr w:rsidR="00846ACC" w:rsidRPr="004974C0" w14:paraId="1512C9D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D6FBB1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5268C8E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8F1241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45.500,00</w:t>
            </w:r>
          </w:p>
        </w:tc>
        <w:tc>
          <w:tcPr>
            <w:tcW w:w="1843" w:type="dxa"/>
            <w:tcBorders>
              <w:top w:val="nil"/>
              <w:left w:val="nil"/>
              <w:bottom w:val="single" w:sz="4" w:space="0" w:color="auto"/>
              <w:right w:val="single" w:sz="4" w:space="0" w:color="auto"/>
            </w:tcBorders>
            <w:shd w:val="clear" w:color="000000" w:fill="FFFF99"/>
            <w:noWrap/>
            <w:vAlign w:val="bottom"/>
            <w:hideMark/>
          </w:tcPr>
          <w:p w14:paraId="760125D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6.800,00</w:t>
            </w:r>
          </w:p>
        </w:tc>
        <w:tc>
          <w:tcPr>
            <w:tcW w:w="1559" w:type="dxa"/>
            <w:tcBorders>
              <w:top w:val="nil"/>
              <w:left w:val="nil"/>
              <w:bottom w:val="single" w:sz="4" w:space="0" w:color="auto"/>
              <w:right w:val="single" w:sz="4" w:space="0" w:color="auto"/>
            </w:tcBorders>
            <w:shd w:val="clear" w:color="000000" w:fill="FFFF99"/>
            <w:noWrap/>
            <w:vAlign w:val="bottom"/>
            <w:hideMark/>
          </w:tcPr>
          <w:p w14:paraId="2516AE5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14,95</w:t>
            </w:r>
          </w:p>
        </w:tc>
        <w:tc>
          <w:tcPr>
            <w:tcW w:w="1803" w:type="dxa"/>
            <w:tcBorders>
              <w:top w:val="nil"/>
              <w:left w:val="nil"/>
              <w:bottom w:val="single" w:sz="4" w:space="0" w:color="auto"/>
              <w:right w:val="single" w:sz="4" w:space="0" w:color="auto"/>
            </w:tcBorders>
            <w:shd w:val="clear" w:color="000000" w:fill="FFFF99"/>
            <w:noWrap/>
            <w:vAlign w:val="bottom"/>
            <w:hideMark/>
          </w:tcPr>
          <w:p w14:paraId="722BCAD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52.300,00</w:t>
            </w:r>
          </w:p>
        </w:tc>
      </w:tr>
      <w:tr w:rsidR="00846ACC" w:rsidRPr="004974C0" w14:paraId="10B716D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CD62EA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FC76AB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7055F05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45.500,00</w:t>
            </w:r>
          </w:p>
        </w:tc>
        <w:tc>
          <w:tcPr>
            <w:tcW w:w="1843" w:type="dxa"/>
            <w:tcBorders>
              <w:top w:val="nil"/>
              <w:left w:val="nil"/>
              <w:bottom w:val="single" w:sz="4" w:space="0" w:color="auto"/>
              <w:right w:val="single" w:sz="4" w:space="0" w:color="auto"/>
            </w:tcBorders>
            <w:shd w:val="clear" w:color="auto" w:fill="auto"/>
            <w:noWrap/>
            <w:vAlign w:val="bottom"/>
            <w:hideMark/>
          </w:tcPr>
          <w:p w14:paraId="2BF1BE6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6.800,00</w:t>
            </w:r>
          </w:p>
        </w:tc>
        <w:tc>
          <w:tcPr>
            <w:tcW w:w="1559" w:type="dxa"/>
            <w:tcBorders>
              <w:top w:val="nil"/>
              <w:left w:val="nil"/>
              <w:bottom w:val="single" w:sz="4" w:space="0" w:color="auto"/>
              <w:right w:val="single" w:sz="4" w:space="0" w:color="auto"/>
            </w:tcBorders>
            <w:shd w:val="clear" w:color="auto" w:fill="auto"/>
            <w:noWrap/>
            <w:vAlign w:val="bottom"/>
            <w:hideMark/>
          </w:tcPr>
          <w:p w14:paraId="742240D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14,95</w:t>
            </w:r>
          </w:p>
        </w:tc>
        <w:tc>
          <w:tcPr>
            <w:tcW w:w="1803" w:type="dxa"/>
            <w:tcBorders>
              <w:top w:val="nil"/>
              <w:left w:val="nil"/>
              <w:bottom w:val="single" w:sz="4" w:space="0" w:color="auto"/>
              <w:right w:val="single" w:sz="4" w:space="0" w:color="auto"/>
            </w:tcBorders>
            <w:shd w:val="clear" w:color="auto" w:fill="auto"/>
            <w:noWrap/>
            <w:vAlign w:val="bottom"/>
            <w:hideMark/>
          </w:tcPr>
          <w:p w14:paraId="611F817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52.300,00</w:t>
            </w:r>
          </w:p>
        </w:tc>
      </w:tr>
      <w:tr w:rsidR="00846ACC" w:rsidRPr="004974C0" w14:paraId="6CD0A08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AF3F0B3"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B65DE83"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E163F7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45.500,00</w:t>
            </w:r>
          </w:p>
        </w:tc>
        <w:tc>
          <w:tcPr>
            <w:tcW w:w="1843" w:type="dxa"/>
            <w:tcBorders>
              <w:top w:val="nil"/>
              <w:left w:val="nil"/>
              <w:bottom w:val="single" w:sz="4" w:space="0" w:color="auto"/>
              <w:right w:val="single" w:sz="4" w:space="0" w:color="auto"/>
            </w:tcBorders>
            <w:shd w:val="clear" w:color="auto" w:fill="auto"/>
            <w:noWrap/>
            <w:vAlign w:val="bottom"/>
            <w:hideMark/>
          </w:tcPr>
          <w:p w14:paraId="668DF6C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6.800,00</w:t>
            </w:r>
          </w:p>
        </w:tc>
        <w:tc>
          <w:tcPr>
            <w:tcW w:w="1559" w:type="dxa"/>
            <w:tcBorders>
              <w:top w:val="nil"/>
              <w:left w:val="nil"/>
              <w:bottom w:val="single" w:sz="4" w:space="0" w:color="auto"/>
              <w:right w:val="single" w:sz="4" w:space="0" w:color="auto"/>
            </w:tcBorders>
            <w:shd w:val="clear" w:color="auto" w:fill="auto"/>
            <w:noWrap/>
            <w:vAlign w:val="bottom"/>
            <w:hideMark/>
          </w:tcPr>
          <w:p w14:paraId="6F40E07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14,95</w:t>
            </w:r>
          </w:p>
        </w:tc>
        <w:tc>
          <w:tcPr>
            <w:tcW w:w="1803" w:type="dxa"/>
            <w:tcBorders>
              <w:top w:val="nil"/>
              <w:left w:val="nil"/>
              <w:bottom w:val="single" w:sz="4" w:space="0" w:color="auto"/>
              <w:right w:val="single" w:sz="4" w:space="0" w:color="auto"/>
            </w:tcBorders>
            <w:shd w:val="clear" w:color="auto" w:fill="auto"/>
            <w:noWrap/>
            <w:vAlign w:val="bottom"/>
            <w:hideMark/>
          </w:tcPr>
          <w:p w14:paraId="26F053E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52.300,00</w:t>
            </w:r>
          </w:p>
        </w:tc>
      </w:tr>
      <w:tr w:rsidR="00846ACC" w:rsidRPr="004974C0" w14:paraId="6DACA87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AAA8D4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4.6. KOMUNALNA NAKNADA</w:t>
            </w:r>
          </w:p>
        </w:tc>
        <w:tc>
          <w:tcPr>
            <w:tcW w:w="1984" w:type="dxa"/>
            <w:tcBorders>
              <w:top w:val="nil"/>
              <w:left w:val="nil"/>
              <w:bottom w:val="single" w:sz="4" w:space="0" w:color="auto"/>
              <w:right w:val="single" w:sz="4" w:space="0" w:color="auto"/>
            </w:tcBorders>
            <w:shd w:val="clear" w:color="000000" w:fill="FFFF99"/>
            <w:noWrap/>
            <w:vAlign w:val="bottom"/>
            <w:hideMark/>
          </w:tcPr>
          <w:p w14:paraId="1BFA553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DA45EA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55CFD23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559" w:type="dxa"/>
            <w:tcBorders>
              <w:top w:val="nil"/>
              <w:left w:val="nil"/>
              <w:bottom w:val="single" w:sz="4" w:space="0" w:color="auto"/>
              <w:right w:val="single" w:sz="4" w:space="0" w:color="auto"/>
            </w:tcBorders>
            <w:shd w:val="clear" w:color="000000" w:fill="FFFF99"/>
            <w:noWrap/>
            <w:vAlign w:val="bottom"/>
            <w:hideMark/>
          </w:tcPr>
          <w:p w14:paraId="20C0153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99"/>
            <w:noWrap/>
            <w:vAlign w:val="bottom"/>
            <w:hideMark/>
          </w:tcPr>
          <w:p w14:paraId="03FBCB2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r>
      <w:tr w:rsidR="00846ACC" w:rsidRPr="004974C0" w14:paraId="22FB002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3C9057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1E3DE2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DCF61C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7E6EBA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c>
          <w:tcPr>
            <w:tcW w:w="1559" w:type="dxa"/>
            <w:tcBorders>
              <w:top w:val="nil"/>
              <w:left w:val="nil"/>
              <w:bottom w:val="single" w:sz="4" w:space="0" w:color="auto"/>
              <w:right w:val="single" w:sz="4" w:space="0" w:color="auto"/>
            </w:tcBorders>
            <w:shd w:val="clear" w:color="auto" w:fill="auto"/>
            <w:noWrap/>
            <w:vAlign w:val="bottom"/>
            <w:hideMark/>
          </w:tcPr>
          <w:p w14:paraId="50EC4AA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13F7C2D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r>
      <w:tr w:rsidR="00846ACC" w:rsidRPr="004974C0" w14:paraId="6532D5E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241EC01"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0607A44E"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E36F1D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CE7C29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c>
          <w:tcPr>
            <w:tcW w:w="1559" w:type="dxa"/>
            <w:tcBorders>
              <w:top w:val="nil"/>
              <w:left w:val="nil"/>
              <w:bottom w:val="single" w:sz="4" w:space="0" w:color="auto"/>
              <w:right w:val="single" w:sz="4" w:space="0" w:color="auto"/>
            </w:tcBorders>
            <w:shd w:val="clear" w:color="auto" w:fill="auto"/>
            <w:noWrap/>
            <w:vAlign w:val="bottom"/>
            <w:hideMark/>
          </w:tcPr>
          <w:p w14:paraId="7220981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6777422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r>
      <w:tr w:rsidR="00846ACC" w:rsidRPr="004974C0" w14:paraId="198D9DD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6A45983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A400008 Održavanje igrališta</w:t>
            </w:r>
          </w:p>
        </w:tc>
        <w:tc>
          <w:tcPr>
            <w:tcW w:w="1984" w:type="dxa"/>
            <w:tcBorders>
              <w:top w:val="nil"/>
              <w:left w:val="nil"/>
              <w:bottom w:val="single" w:sz="4" w:space="0" w:color="auto"/>
              <w:right w:val="single" w:sz="4" w:space="0" w:color="auto"/>
            </w:tcBorders>
            <w:shd w:val="clear" w:color="000000" w:fill="CCCCFF"/>
            <w:noWrap/>
            <w:vAlign w:val="bottom"/>
            <w:hideMark/>
          </w:tcPr>
          <w:p w14:paraId="0AECB1B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356ACDD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121.000,00</w:t>
            </w:r>
          </w:p>
        </w:tc>
        <w:tc>
          <w:tcPr>
            <w:tcW w:w="1843" w:type="dxa"/>
            <w:tcBorders>
              <w:top w:val="nil"/>
              <w:left w:val="nil"/>
              <w:bottom w:val="single" w:sz="4" w:space="0" w:color="auto"/>
              <w:right w:val="single" w:sz="4" w:space="0" w:color="auto"/>
            </w:tcBorders>
            <w:shd w:val="clear" w:color="000000" w:fill="CCCCFF"/>
            <w:noWrap/>
            <w:vAlign w:val="bottom"/>
            <w:hideMark/>
          </w:tcPr>
          <w:p w14:paraId="5D677D7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40.363,00</w:t>
            </w:r>
          </w:p>
        </w:tc>
        <w:tc>
          <w:tcPr>
            <w:tcW w:w="1559" w:type="dxa"/>
            <w:tcBorders>
              <w:top w:val="nil"/>
              <w:left w:val="nil"/>
              <w:bottom w:val="single" w:sz="4" w:space="0" w:color="auto"/>
              <w:right w:val="single" w:sz="4" w:space="0" w:color="auto"/>
            </w:tcBorders>
            <w:shd w:val="clear" w:color="000000" w:fill="CCCCFF"/>
            <w:noWrap/>
            <w:vAlign w:val="bottom"/>
            <w:hideMark/>
          </w:tcPr>
          <w:p w14:paraId="6644CED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33,36</w:t>
            </w:r>
          </w:p>
        </w:tc>
        <w:tc>
          <w:tcPr>
            <w:tcW w:w="1803" w:type="dxa"/>
            <w:tcBorders>
              <w:top w:val="nil"/>
              <w:left w:val="nil"/>
              <w:bottom w:val="single" w:sz="4" w:space="0" w:color="auto"/>
              <w:right w:val="single" w:sz="4" w:space="0" w:color="auto"/>
            </w:tcBorders>
            <w:shd w:val="clear" w:color="000000" w:fill="CCCCFF"/>
            <w:noWrap/>
            <w:vAlign w:val="bottom"/>
            <w:hideMark/>
          </w:tcPr>
          <w:p w14:paraId="78C0DA8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161.363,00</w:t>
            </w:r>
          </w:p>
        </w:tc>
      </w:tr>
      <w:tr w:rsidR="00846ACC" w:rsidRPr="004974C0" w14:paraId="629748D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8ECADD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5AD643E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8F71E1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7.000,00</w:t>
            </w:r>
          </w:p>
        </w:tc>
        <w:tc>
          <w:tcPr>
            <w:tcW w:w="1843" w:type="dxa"/>
            <w:tcBorders>
              <w:top w:val="nil"/>
              <w:left w:val="nil"/>
              <w:bottom w:val="single" w:sz="4" w:space="0" w:color="auto"/>
              <w:right w:val="single" w:sz="4" w:space="0" w:color="auto"/>
            </w:tcBorders>
            <w:shd w:val="clear" w:color="000000" w:fill="FFFF99"/>
            <w:noWrap/>
            <w:vAlign w:val="bottom"/>
            <w:hideMark/>
          </w:tcPr>
          <w:p w14:paraId="6B49AB1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16.000,00</w:t>
            </w:r>
          </w:p>
        </w:tc>
        <w:tc>
          <w:tcPr>
            <w:tcW w:w="1559" w:type="dxa"/>
            <w:tcBorders>
              <w:top w:val="nil"/>
              <w:left w:val="nil"/>
              <w:bottom w:val="single" w:sz="4" w:space="0" w:color="auto"/>
              <w:right w:val="single" w:sz="4" w:space="0" w:color="auto"/>
            </w:tcBorders>
            <w:shd w:val="clear" w:color="000000" w:fill="FFFF99"/>
            <w:noWrap/>
            <w:vAlign w:val="bottom"/>
            <w:hideMark/>
          </w:tcPr>
          <w:p w14:paraId="0435C30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228,57</w:t>
            </w:r>
          </w:p>
        </w:tc>
        <w:tc>
          <w:tcPr>
            <w:tcW w:w="1803" w:type="dxa"/>
            <w:tcBorders>
              <w:top w:val="nil"/>
              <w:left w:val="nil"/>
              <w:bottom w:val="single" w:sz="4" w:space="0" w:color="auto"/>
              <w:right w:val="single" w:sz="4" w:space="0" w:color="auto"/>
            </w:tcBorders>
            <w:shd w:val="clear" w:color="000000" w:fill="FFFF99"/>
            <w:noWrap/>
            <w:vAlign w:val="bottom"/>
            <w:hideMark/>
          </w:tcPr>
          <w:p w14:paraId="1D87175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23.000,00</w:t>
            </w:r>
          </w:p>
        </w:tc>
      </w:tr>
      <w:tr w:rsidR="00846ACC" w:rsidRPr="004974C0" w14:paraId="59205F1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0D2FB1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8F83D3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650100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7.000,00</w:t>
            </w:r>
          </w:p>
        </w:tc>
        <w:tc>
          <w:tcPr>
            <w:tcW w:w="1843" w:type="dxa"/>
            <w:tcBorders>
              <w:top w:val="nil"/>
              <w:left w:val="nil"/>
              <w:bottom w:val="single" w:sz="4" w:space="0" w:color="auto"/>
              <w:right w:val="single" w:sz="4" w:space="0" w:color="auto"/>
            </w:tcBorders>
            <w:shd w:val="clear" w:color="auto" w:fill="auto"/>
            <w:noWrap/>
            <w:vAlign w:val="bottom"/>
            <w:hideMark/>
          </w:tcPr>
          <w:p w14:paraId="4883180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16.000,00</w:t>
            </w:r>
          </w:p>
        </w:tc>
        <w:tc>
          <w:tcPr>
            <w:tcW w:w="1559" w:type="dxa"/>
            <w:tcBorders>
              <w:top w:val="nil"/>
              <w:left w:val="nil"/>
              <w:bottom w:val="single" w:sz="4" w:space="0" w:color="auto"/>
              <w:right w:val="single" w:sz="4" w:space="0" w:color="auto"/>
            </w:tcBorders>
            <w:shd w:val="clear" w:color="auto" w:fill="auto"/>
            <w:noWrap/>
            <w:vAlign w:val="bottom"/>
            <w:hideMark/>
          </w:tcPr>
          <w:p w14:paraId="683ED08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228,57</w:t>
            </w:r>
          </w:p>
        </w:tc>
        <w:tc>
          <w:tcPr>
            <w:tcW w:w="1803" w:type="dxa"/>
            <w:tcBorders>
              <w:top w:val="nil"/>
              <w:left w:val="nil"/>
              <w:bottom w:val="single" w:sz="4" w:space="0" w:color="auto"/>
              <w:right w:val="single" w:sz="4" w:space="0" w:color="auto"/>
            </w:tcBorders>
            <w:shd w:val="clear" w:color="auto" w:fill="auto"/>
            <w:noWrap/>
            <w:vAlign w:val="bottom"/>
            <w:hideMark/>
          </w:tcPr>
          <w:p w14:paraId="4CD316D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23.000,00</w:t>
            </w:r>
          </w:p>
        </w:tc>
      </w:tr>
      <w:tr w:rsidR="00846ACC" w:rsidRPr="004974C0" w14:paraId="6A26790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9EC0004"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7DC9886B"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783717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7.000,00</w:t>
            </w:r>
          </w:p>
        </w:tc>
        <w:tc>
          <w:tcPr>
            <w:tcW w:w="1843" w:type="dxa"/>
            <w:tcBorders>
              <w:top w:val="nil"/>
              <w:left w:val="nil"/>
              <w:bottom w:val="single" w:sz="4" w:space="0" w:color="auto"/>
              <w:right w:val="single" w:sz="4" w:space="0" w:color="auto"/>
            </w:tcBorders>
            <w:shd w:val="clear" w:color="auto" w:fill="auto"/>
            <w:noWrap/>
            <w:vAlign w:val="bottom"/>
            <w:hideMark/>
          </w:tcPr>
          <w:p w14:paraId="48A416E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16.000,00</w:t>
            </w:r>
          </w:p>
        </w:tc>
        <w:tc>
          <w:tcPr>
            <w:tcW w:w="1559" w:type="dxa"/>
            <w:tcBorders>
              <w:top w:val="nil"/>
              <w:left w:val="nil"/>
              <w:bottom w:val="single" w:sz="4" w:space="0" w:color="auto"/>
              <w:right w:val="single" w:sz="4" w:space="0" w:color="auto"/>
            </w:tcBorders>
            <w:shd w:val="clear" w:color="auto" w:fill="auto"/>
            <w:noWrap/>
            <w:vAlign w:val="bottom"/>
            <w:hideMark/>
          </w:tcPr>
          <w:p w14:paraId="5A106D3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228,57</w:t>
            </w:r>
          </w:p>
        </w:tc>
        <w:tc>
          <w:tcPr>
            <w:tcW w:w="1803" w:type="dxa"/>
            <w:tcBorders>
              <w:top w:val="nil"/>
              <w:left w:val="nil"/>
              <w:bottom w:val="single" w:sz="4" w:space="0" w:color="auto"/>
              <w:right w:val="single" w:sz="4" w:space="0" w:color="auto"/>
            </w:tcBorders>
            <w:shd w:val="clear" w:color="auto" w:fill="auto"/>
            <w:noWrap/>
            <w:vAlign w:val="bottom"/>
            <w:hideMark/>
          </w:tcPr>
          <w:p w14:paraId="433BD9F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23.000,00</w:t>
            </w:r>
          </w:p>
        </w:tc>
      </w:tr>
      <w:tr w:rsidR="00846ACC" w:rsidRPr="004974C0" w14:paraId="11573AD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0FEE62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4.6. KOMUNALNA NAKNADA</w:t>
            </w:r>
          </w:p>
        </w:tc>
        <w:tc>
          <w:tcPr>
            <w:tcW w:w="1984" w:type="dxa"/>
            <w:tcBorders>
              <w:top w:val="nil"/>
              <w:left w:val="nil"/>
              <w:bottom w:val="single" w:sz="4" w:space="0" w:color="auto"/>
              <w:right w:val="single" w:sz="4" w:space="0" w:color="auto"/>
            </w:tcBorders>
            <w:shd w:val="clear" w:color="000000" w:fill="FFFF99"/>
            <w:noWrap/>
            <w:vAlign w:val="bottom"/>
            <w:hideMark/>
          </w:tcPr>
          <w:p w14:paraId="2DCF43E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36BB19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114.000,00</w:t>
            </w:r>
          </w:p>
        </w:tc>
        <w:tc>
          <w:tcPr>
            <w:tcW w:w="1843" w:type="dxa"/>
            <w:tcBorders>
              <w:top w:val="nil"/>
              <w:left w:val="nil"/>
              <w:bottom w:val="single" w:sz="4" w:space="0" w:color="auto"/>
              <w:right w:val="single" w:sz="4" w:space="0" w:color="auto"/>
            </w:tcBorders>
            <w:shd w:val="clear" w:color="000000" w:fill="FFFF99"/>
            <w:noWrap/>
            <w:vAlign w:val="bottom"/>
            <w:hideMark/>
          </w:tcPr>
          <w:p w14:paraId="5588665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19.363,00</w:t>
            </w:r>
          </w:p>
        </w:tc>
        <w:tc>
          <w:tcPr>
            <w:tcW w:w="1559" w:type="dxa"/>
            <w:tcBorders>
              <w:top w:val="nil"/>
              <w:left w:val="nil"/>
              <w:bottom w:val="single" w:sz="4" w:space="0" w:color="auto"/>
              <w:right w:val="single" w:sz="4" w:space="0" w:color="auto"/>
            </w:tcBorders>
            <w:shd w:val="clear" w:color="000000" w:fill="FFFF99"/>
            <w:noWrap/>
            <w:vAlign w:val="bottom"/>
            <w:hideMark/>
          </w:tcPr>
          <w:p w14:paraId="6CCBD15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16,99</w:t>
            </w:r>
          </w:p>
        </w:tc>
        <w:tc>
          <w:tcPr>
            <w:tcW w:w="1803" w:type="dxa"/>
            <w:tcBorders>
              <w:top w:val="nil"/>
              <w:left w:val="nil"/>
              <w:bottom w:val="single" w:sz="4" w:space="0" w:color="auto"/>
              <w:right w:val="single" w:sz="4" w:space="0" w:color="auto"/>
            </w:tcBorders>
            <w:shd w:val="clear" w:color="000000" w:fill="FFFF99"/>
            <w:noWrap/>
            <w:vAlign w:val="bottom"/>
            <w:hideMark/>
          </w:tcPr>
          <w:p w14:paraId="622A71A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133.363,00</w:t>
            </w:r>
          </w:p>
        </w:tc>
      </w:tr>
      <w:tr w:rsidR="00846ACC" w:rsidRPr="004974C0" w14:paraId="438DDFB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A78E06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6A46E11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C36C06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114.000,00</w:t>
            </w:r>
          </w:p>
        </w:tc>
        <w:tc>
          <w:tcPr>
            <w:tcW w:w="1843" w:type="dxa"/>
            <w:tcBorders>
              <w:top w:val="nil"/>
              <w:left w:val="nil"/>
              <w:bottom w:val="single" w:sz="4" w:space="0" w:color="auto"/>
              <w:right w:val="single" w:sz="4" w:space="0" w:color="auto"/>
            </w:tcBorders>
            <w:shd w:val="clear" w:color="auto" w:fill="auto"/>
            <w:noWrap/>
            <w:vAlign w:val="bottom"/>
            <w:hideMark/>
          </w:tcPr>
          <w:p w14:paraId="1B7FB8A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12.000,00</w:t>
            </w:r>
          </w:p>
        </w:tc>
        <w:tc>
          <w:tcPr>
            <w:tcW w:w="1559" w:type="dxa"/>
            <w:tcBorders>
              <w:top w:val="nil"/>
              <w:left w:val="nil"/>
              <w:bottom w:val="single" w:sz="4" w:space="0" w:color="auto"/>
              <w:right w:val="single" w:sz="4" w:space="0" w:color="auto"/>
            </w:tcBorders>
            <w:shd w:val="clear" w:color="auto" w:fill="auto"/>
            <w:noWrap/>
            <w:vAlign w:val="bottom"/>
            <w:hideMark/>
          </w:tcPr>
          <w:p w14:paraId="0DDB05C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10,53</w:t>
            </w:r>
          </w:p>
        </w:tc>
        <w:tc>
          <w:tcPr>
            <w:tcW w:w="1803" w:type="dxa"/>
            <w:tcBorders>
              <w:top w:val="nil"/>
              <w:left w:val="nil"/>
              <w:bottom w:val="single" w:sz="4" w:space="0" w:color="auto"/>
              <w:right w:val="single" w:sz="4" w:space="0" w:color="auto"/>
            </w:tcBorders>
            <w:shd w:val="clear" w:color="auto" w:fill="auto"/>
            <w:noWrap/>
            <w:vAlign w:val="bottom"/>
            <w:hideMark/>
          </w:tcPr>
          <w:p w14:paraId="267A795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126.000,00</w:t>
            </w:r>
          </w:p>
        </w:tc>
      </w:tr>
      <w:tr w:rsidR="00846ACC" w:rsidRPr="004974C0" w14:paraId="164EA24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4CC328B"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8BBC7C7"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76EBE97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114.000,00</w:t>
            </w:r>
          </w:p>
        </w:tc>
        <w:tc>
          <w:tcPr>
            <w:tcW w:w="1843" w:type="dxa"/>
            <w:tcBorders>
              <w:top w:val="nil"/>
              <w:left w:val="nil"/>
              <w:bottom w:val="single" w:sz="4" w:space="0" w:color="auto"/>
              <w:right w:val="single" w:sz="4" w:space="0" w:color="auto"/>
            </w:tcBorders>
            <w:shd w:val="clear" w:color="auto" w:fill="auto"/>
            <w:noWrap/>
            <w:vAlign w:val="bottom"/>
            <w:hideMark/>
          </w:tcPr>
          <w:p w14:paraId="53697C8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12.000,00</w:t>
            </w:r>
          </w:p>
        </w:tc>
        <w:tc>
          <w:tcPr>
            <w:tcW w:w="1559" w:type="dxa"/>
            <w:tcBorders>
              <w:top w:val="nil"/>
              <w:left w:val="nil"/>
              <w:bottom w:val="single" w:sz="4" w:space="0" w:color="auto"/>
              <w:right w:val="single" w:sz="4" w:space="0" w:color="auto"/>
            </w:tcBorders>
            <w:shd w:val="clear" w:color="auto" w:fill="auto"/>
            <w:noWrap/>
            <w:vAlign w:val="bottom"/>
            <w:hideMark/>
          </w:tcPr>
          <w:p w14:paraId="10DC687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10,53</w:t>
            </w:r>
          </w:p>
        </w:tc>
        <w:tc>
          <w:tcPr>
            <w:tcW w:w="1803" w:type="dxa"/>
            <w:tcBorders>
              <w:top w:val="nil"/>
              <w:left w:val="nil"/>
              <w:bottom w:val="single" w:sz="4" w:space="0" w:color="auto"/>
              <w:right w:val="single" w:sz="4" w:space="0" w:color="auto"/>
            </w:tcBorders>
            <w:shd w:val="clear" w:color="auto" w:fill="auto"/>
            <w:noWrap/>
            <w:vAlign w:val="bottom"/>
            <w:hideMark/>
          </w:tcPr>
          <w:p w14:paraId="72A09A5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126.000,00</w:t>
            </w:r>
          </w:p>
        </w:tc>
      </w:tr>
      <w:tr w:rsidR="00846ACC" w:rsidRPr="004974C0" w14:paraId="4FB3EE2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1B5269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7D960E5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00B06B1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B08D1E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7.363,00</w:t>
            </w:r>
          </w:p>
        </w:tc>
        <w:tc>
          <w:tcPr>
            <w:tcW w:w="1559" w:type="dxa"/>
            <w:tcBorders>
              <w:top w:val="nil"/>
              <w:left w:val="nil"/>
              <w:bottom w:val="single" w:sz="4" w:space="0" w:color="auto"/>
              <w:right w:val="single" w:sz="4" w:space="0" w:color="auto"/>
            </w:tcBorders>
            <w:shd w:val="clear" w:color="auto" w:fill="auto"/>
            <w:noWrap/>
            <w:vAlign w:val="bottom"/>
            <w:hideMark/>
          </w:tcPr>
          <w:p w14:paraId="6C6888F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015C5EF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7.363,00</w:t>
            </w:r>
          </w:p>
        </w:tc>
      </w:tr>
      <w:tr w:rsidR="00846ACC" w:rsidRPr="004974C0" w14:paraId="0569531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4C3AEB3" w14:textId="77777777" w:rsidR="004974C0" w:rsidRPr="004974C0" w:rsidRDefault="004974C0" w:rsidP="004974C0">
            <w:pPr>
              <w:rPr>
                <w:rFonts w:ascii="Arial" w:hAnsi="Arial" w:cs="Arial"/>
                <w:sz w:val="20"/>
                <w:szCs w:val="20"/>
              </w:rPr>
            </w:pPr>
            <w:r w:rsidRPr="004974C0">
              <w:rPr>
                <w:rFonts w:ascii="Arial" w:hAnsi="Arial" w:cs="Arial"/>
                <w:sz w:val="20"/>
                <w:szCs w:val="20"/>
              </w:rPr>
              <w:t>45</w:t>
            </w:r>
          </w:p>
        </w:tc>
        <w:tc>
          <w:tcPr>
            <w:tcW w:w="1984" w:type="dxa"/>
            <w:tcBorders>
              <w:top w:val="nil"/>
              <w:left w:val="nil"/>
              <w:bottom w:val="single" w:sz="4" w:space="0" w:color="auto"/>
              <w:right w:val="single" w:sz="4" w:space="0" w:color="auto"/>
            </w:tcBorders>
            <w:shd w:val="clear" w:color="auto" w:fill="auto"/>
            <w:noWrap/>
            <w:vAlign w:val="bottom"/>
            <w:hideMark/>
          </w:tcPr>
          <w:p w14:paraId="2211E33E"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dodatna ulaganja na nefinancijskoj imovini</w:t>
            </w:r>
          </w:p>
        </w:tc>
        <w:tc>
          <w:tcPr>
            <w:tcW w:w="1843" w:type="dxa"/>
            <w:tcBorders>
              <w:top w:val="nil"/>
              <w:left w:val="nil"/>
              <w:bottom w:val="single" w:sz="4" w:space="0" w:color="auto"/>
              <w:right w:val="single" w:sz="4" w:space="0" w:color="auto"/>
            </w:tcBorders>
            <w:shd w:val="clear" w:color="auto" w:fill="auto"/>
            <w:noWrap/>
            <w:vAlign w:val="bottom"/>
            <w:hideMark/>
          </w:tcPr>
          <w:p w14:paraId="23478FA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B5FA4A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7.363,00</w:t>
            </w:r>
          </w:p>
        </w:tc>
        <w:tc>
          <w:tcPr>
            <w:tcW w:w="1559" w:type="dxa"/>
            <w:tcBorders>
              <w:top w:val="nil"/>
              <w:left w:val="nil"/>
              <w:bottom w:val="single" w:sz="4" w:space="0" w:color="auto"/>
              <w:right w:val="single" w:sz="4" w:space="0" w:color="auto"/>
            </w:tcBorders>
            <w:shd w:val="clear" w:color="auto" w:fill="auto"/>
            <w:noWrap/>
            <w:vAlign w:val="bottom"/>
            <w:hideMark/>
          </w:tcPr>
          <w:p w14:paraId="6F3BAAF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5F1A0CC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7.363,00</w:t>
            </w:r>
          </w:p>
        </w:tc>
      </w:tr>
      <w:tr w:rsidR="00846ACC" w:rsidRPr="004974C0" w14:paraId="6D51911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4A450B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5.5. POMOĆI IZ ŽUPANIJSKOG PRORAČUNA</w:t>
            </w:r>
          </w:p>
        </w:tc>
        <w:tc>
          <w:tcPr>
            <w:tcW w:w="1984" w:type="dxa"/>
            <w:tcBorders>
              <w:top w:val="nil"/>
              <w:left w:val="nil"/>
              <w:bottom w:val="single" w:sz="4" w:space="0" w:color="auto"/>
              <w:right w:val="single" w:sz="4" w:space="0" w:color="auto"/>
            </w:tcBorders>
            <w:shd w:val="clear" w:color="000000" w:fill="FFFF99"/>
            <w:noWrap/>
            <w:vAlign w:val="bottom"/>
            <w:hideMark/>
          </w:tcPr>
          <w:p w14:paraId="1EB8AC3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DB43F0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76E2E97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c>
          <w:tcPr>
            <w:tcW w:w="1559" w:type="dxa"/>
            <w:tcBorders>
              <w:top w:val="nil"/>
              <w:left w:val="nil"/>
              <w:bottom w:val="single" w:sz="4" w:space="0" w:color="auto"/>
              <w:right w:val="single" w:sz="4" w:space="0" w:color="auto"/>
            </w:tcBorders>
            <w:shd w:val="clear" w:color="000000" w:fill="FFFF99"/>
            <w:noWrap/>
            <w:vAlign w:val="bottom"/>
            <w:hideMark/>
          </w:tcPr>
          <w:p w14:paraId="7A22CEE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99"/>
            <w:noWrap/>
            <w:vAlign w:val="bottom"/>
            <w:hideMark/>
          </w:tcPr>
          <w:p w14:paraId="24690E2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r>
      <w:tr w:rsidR="00846ACC" w:rsidRPr="004974C0" w14:paraId="22126E3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D38EB4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3BA7432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 xml:space="preserve">Rashodi za nabavu </w:t>
            </w:r>
            <w:r w:rsidRPr="004974C0">
              <w:rPr>
                <w:rFonts w:ascii="Arial" w:hAnsi="Arial" w:cs="Arial"/>
                <w:b/>
                <w:bCs/>
                <w:sz w:val="20"/>
                <w:szCs w:val="20"/>
              </w:rPr>
              <w:lastRenderedPageBreak/>
              <w:t>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1AC753A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lastRenderedPageBreak/>
              <w:t>0,00</w:t>
            </w:r>
          </w:p>
        </w:tc>
        <w:tc>
          <w:tcPr>
            <w:tcW w:w="1843" w:type="dxa"/>
            <w:tcBorders>
              <w:top w:val="nil"/>
              <w:left w:val="nil"/>
              <w:bottom w:val="single" w:sz="4" w:space="0" w:color="auto"/>
              <w:right w:val="single" w:sz="4" w:space="0" w:color="auto"/>
            </w:tcBorders>
            <w:shd w:val="clear" w:color="auto" w:fill="auto"/>
            <w:noWrap/>
            <w:vAlign w:val="bottom"/>
            <w:hideMark/>
          </w:tcPr>
          <w:p w14:paraId="6BE21C5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5.000,00</w:t>
            </w:r>
          </w:p>
        </w:tc>
        <w:tc>
          <w:tcPr>
            <w:tcW w:w="1559" w:type="dxa"/>
            <w:tcBorders>
              <w:top w:val="nil"/>
              <w:left w:val="nil"/>
              <w:bottom w:val="single" w:sz="4" w:space="0" w:color="auto"/>
              <w:right w:val="single" w:sz="4" w:space="0" w:color="auto"/>
            </w:tcBorders>
            <w:shd w:val="clear" w:color="auto" w:fill="auto"/>
            <w:noWrap/>
            <w:vAlign w:val="bottom"/>
            <w:hideMark/>
          </w:tcPr>
          <w:p w14:paraId="5C671A0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7A5ECE0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5.000,00</w:t>
            </w:r>
          </w:p>
        </w:tc>
      </w:tr>
      <w:tr w:rsidR="00846ACC" w:rsidRPr="004974C0" w14:paraId="7FBE58A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81BB429" w14:textId="77777777" w:rsidR="004974C0" w:rsidRPr="004974C0" w:rsidRDefault="004974C0" w:rsidP="004974C0">
            <w:pPr>
              <w:rPr>
                <w:rFonts w:ascii="Arial" w:hAnsi="Arial" w:cs="Arial"/>
                <w:sz w:val="20"/>
                <w:szCs w:val="20"/>
              </w:rPr>
            </w:pPr>
            <w:r w:rsidRPr="004974C0">
              <w:rPr>
                <w:rFonts w:ascii="Arial" w:hAnsi="Arial" w:cs="Arial"/>
                <w:sz w:val="20"/>
                <w:szCs w:val="20"/>
              </w:rPr>
              <w:t>45</w:t>
            </w:r>
          </w:p>
        </w:tc>
        <w:tc>
          <w:tcPr>
            <w:tcW w:w="1984" w:type="dxa"/>
            <w:tcBorders>
              <w:top w:val="nil"/>
              <w:left w:val="nil"/>
              <w:bottom w:val="single" w:sz="4" w:space="0" w:color="auto"/>
              <w:right w:val="single" w:sz="4" w:space="0" w:color="auto"/>
            </w:tcBorders>
            <w:shd w:val="clear" w:color="auto" w:fill="auto"/>
            <w:noWrap/>
            <w:vAlign w:val="bottom"/>
            <w:hideMark/>
          </w:tcPr>
          <w:p w14:paraId="19DB63DC"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dodatna ulaganja na nefinancijskoj imovini</w:t>
            </w:r>
          </w:p>
        </w:tc>
        <w:tc>
          <w:tcPr>
            <w:tcW w:w="1843" w:type="dxa"/>
            <w:tcBorders>
              <w:top w:val="nil"/>
              <w:left w:val="nil"/>
              <w:bottom w:val="single" w:sz="4" w:space="0" w:color="auto"/>
              <w:right w:val="single" w:sz="4" w:space="0" w:color="auto"/>
            </w:tcBorders>
            <w:shd w:val="clear" w:color="auto" w:fill="auto"/>
            <w:noWrap/>
            <w:vAlign w:val="bottom"/>
            <w:hideMark/>
          </w:tcPr>
          <w:p w14:paraId="1092B60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75E12D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5.000,00</w:t>
            </w:r>
          </w:p>
        </w:tc>
        <w:tc>
          <w:tcPr>
            <w:tcW w:w="1559" w:type="dxa"/>
            <w:tcBorders>
              <w:top w:val="nil"/>
              <w:left w:val="nil"/>
              <w:bottom w:val="single" w:sz="4" w:space="0" w:color="auto"/>
              <w:right w:val="single" w:sz="4" w:space="0" w:color="auto"/>
            </w:tcBorders>
            <w:shd w:val="clear" w:color="auto" w:fill="auto"/>
            <w:noWrap/>
            <w:vAlign w:val="bottom"/>
            <w:hideMark/>
          </w:tcPr>
          <w:p w14:paraId="1F05BC5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3A162CB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5.000,00</w:t>
            </w:r>
          </w:p>
        </w:tc>
      </w:tr>
      <w:tr w:rsidR="00846ACC" w:rsidRPr="004974C0" w14:paraId="3642373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445BAEE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A400009 Održavanje sportske dvorane</w:t>
            </w:r>
          </w:p>
        </w:tc>
        <w:tc>
          <w:tcPr>
            <w:tcW w:w="1984" w:type="dxa"/>
            <w:tcBorders>
              <w:top w:val="nil"/>
              <w:left w:val="nil"/>
              <w:bottom w:val="single" w:sz="4" w:space="0" w:color="auto"/>
              <w:right w:val="single" w:sz="4" w:space="0" w:color="auto"/>
            </w:tcBorders>
            <w:shd w:val="clear" w:color="000000" w:fill="CCCCFF"/>
            <w:noWrap/>
            <w:vAlign w:val="bottom"/>
            <w:hideMark/>
          </w:tcPr>
          <w:p w14:paraId="0C526CA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11FF3A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145.000,00</w:t>
            </w:r>
          </w:p>
        </w:tc>
        <w:tc>
          <w:tcPr>
            <w:tcW w:w="1843" w:type="dxa"/>
            <w:tcBorders>
              <w:top w:val="nil"/>
              <w:left w:val="nil"/>
              <w:bottom w:val="single" w:sz="4" w:space="0" w:color="auto"/>
              <w:right w:val="single" w:sz="4" w:space="0" w:color="auto"/>
            </w:tcBorders>
            <w:shd w:val="clear" w:color="000000" w:fill="CCCCFF"/>
            <w:noWrap/>
            <w:vAlign w:val="bottom"/>
            <w:hideMark/>
          </w:tcPr>
          <w:p w14:paraId="51D2259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13.000,00</w:t>
            </w:r>
          </w:p>
        </w:tc>
        <w:tc>
          <w:tcPr>
            <w:tcW w:w="1559" w:type="dxa"/>
            <w:tcBorders>
              <w:top w:val="nil"/>
              <w:left w:val="nil"/>
              <w:bottom w:val="single" w:sz="4" w:space="0" w:color="auto"/>
              <w:right w:val="single" w:sz="4" w:space="0" w:color="auto"/>
            </w:tcBorders>
            <w:shd w:val="clear" w:color="000000" w:fill="CCCCFF"/>
            <w:noWrap/>
            <w:vAlign w:val="bottom"/>
            <w:hideMark/>
          </w:tcPr>
          <w:p w14:paraId="05F9750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8,97</w:t>
            </w:r>
          </w:p>
        </w:tc>
        <w:tc>
          <w:tcPr>
            <w:tcW w:w="1803" w:type="dxa"/>
            <w:tcBorders>
              <w:top w:val="nil"/>
              <w:left w:val="nil"/>
              <w:bottom w:val="single" w:sz="4" w:space="0" w:color="auto"/>
              <w:right w:val="single" w:sz="4" w:space="0" w:color="auto"/>
            </w:tcBorders>
            <w:shd w:val="clear" w:color="000000" w:fill="CCCCFF"/>
            <w:noWrap/>
            <w:vAlign w:val="bottom"/>
            <w:hideMark/>
          </w:tcPr>
          <w:p w14:paraId="4E0BD04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158.000,00</w:t>
            </w:r>
          </w:p>
        </w:tc>
      </w:tr>
      <w:tr w:rsidR="00846ACC" w:rsidRPr="004974C0" w14:paraId="0A1901F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54D29C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1C476C6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B15F04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843" w:type="dxa"/>
            <w:tcBorders>
              <w:top w:val="nil"/>
              <w:left w:val="nil"/>
              <w:bottom w:val="single" w:sz="4" w:space="0" w:color="auto"/>
              <w:right w:val="single" w:sz="4" w:space="0" w:color="auto"/>
            </w:tcBorders>
            <w:shd w:val="clear" w:color="000000" w:fill="FFFF99"/>
            <w:noWrap/>
            <w:vAlign w:val="bottom"/>
            <w:hideMark/>
          </w:tcPr>
          <w:p w14:paraId="13B087C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13.000,00</w:t>
            </w:r>
          </w:p>
        </w:tc>
        <w:tc>
          <w:tcPr>
            <w:tcW w:w="1559" w:type="dxa"/>
            <w:tcBorders>
              <w:top w:val="nil"/>
              <w:left w:val="nil"/>
              <w:bottom w:val="single" w:sz="4" w:space="0" w:color="auto"/>
              <w:right w:val="single" w:sz="4" w:space="0" w:color="auto"/>
            </w:tcBorders>
            <w:shd w:val="clear" w:color="000000" w:fill="FFFF99"/>
            <w:noWrap/>
            <w:vAlign w:val="bottom"/>
            <w:hideMark/>
          </w:tcPr>
          <w:p w14:paraId="7654993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650,00</w:t>
            </w:r>
          </w:p>
        </w:tc>
        <w:tc>
          <w:tcPr>
            <w:tcW w:w="1803" w:type="dxa"/>
            <w:tcBorders>
              <w:top w:val="nil"/>
              <w:left w:val="nil"/>
              <w:bottom w:val="single" w:sz="4" w:space="0" w:color="auto"/>
              <w:right w:val="single" w:sz="4" w:space="0" w:color="auto"/>
            </w:tcBorders>
            <w:shd w:val="clear" w:color="000000" w:fill="FFFF99"/>
            <w:noWrap/>
            <w:vAlign w:val="bottom"/>
            <w:hideMark/>
          </w:tcPr>
          <w:p w14:paraId="2686528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15.000,00</w:t>
            </w:r>
          </w:p>
        </w:tc>
      </w:tr>
      <w:tr w:rsidR="00846ACC" w:rsidRPr="004974C0" w14:paraId="40577B8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C6C993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6D3FFB2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A92C4F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7B9BCBD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13.000,00</w:t>
            </w:r>
          </w:p>
        </w:tc>
        <w:tc>
          <w:tcPr>
            <w:tcW w:w="1559" w:type="dxa"/>
            <w:tcBorders>
              <w:top w:val="nil"/>
              <w:left w:val="nil"/>
              <w:bottom w:val="single" w:sz="4" w:space="0" w:color="auto"/>
              <w:right w:val="single" w:sz="4" w:space="0" w:color="auto"/>
            </w:tcBorders>
            <w:shd w:val="clear" w:color="auto" w:fill="auto"/>
            <w:noWrap/>
            <w:vAlign w:val="bottom"/>
            <w:hideMark/>
          </w:tcPr>
          <w:p w14:paraId="22E7DE3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650,00</w:t>
            </w:r>
          </w:p>
        </w:tc>
        <w:tc>
          <w:tcPr>
            <w:tcW w:w="1803" w:type="dxa"/>
            <w:tcBorders>
              <w:top w:val="nil"/>
              <w:left w:val="nil"/>
              <w:bottom w:val="single" w:sz="4" w:space="0" w:color="auto"/>
              <w:right w:val="single" w:sz="4" w:space="0" w:color="auto"/>
            </w:tcBorders>
            <w:shd w:val="clear" w:color="auto" w:fill="auto"/>
            <w:noWrap/>
            <w:vAlign w:val="bottom"/>
            <w:hideMark/>
          </w:tcPr>
          <w:p w14:paraId="34446EB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15.000,00</w:t>
            </w:r>
          </w:p>
        </w:tc>
      </w:tr>
      <w:tr w:rsidR="00846ACC" w:rsidRPr="004974C0" w14:paraId="16CD1EA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72AD437"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411C2A95"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709A5F7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6D4DEB3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13.000,00</w:t>
            </w:r>
          </w:p>
        </w:tc>
        <w:tc>
          <w:tcPr>
            <w:tcW w:w="1559" w:type="dxa"/>
            <w:tcBorders>
              <w:top w:val="nil"/>
              <w:left w:val="nil"/>
              <w:bottom w:val="single" w:sz="4" w:space="0" w:color="auto"/>
              <w:right w:val="single" w:sz="4" w:space="0" w:color="auto"/>
            </w:tcBorders>
            <w:shd w:val="clear" w:color="auto" w:fill="auto"/>
            <w:noWrap/>
            <w:vAlign w:val="bottom"/>
            <w:hideMark/>
          </w:tcPr>
          <w:p w14:paraId="61458EC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650,00</w:t>
            </w:r>
          </w:p>
        </w:tc>
        <w:tc>
          <w:tcPr>
            <w:tcW w:w="1803" w:type="dxa"/>
            <w:tcBorders>
              <w:top w:val="nil"/>
              <w:left w:val="nil"/>
              <w:bottom w:val="single" w:sz="4" w:space="0" w:color="auto"/>
              <w:right w:val="single" w:sz="4" w:space="0" w:color="auto"/>
            </w:tcBorders>
            <w:shd w:val="clear" w:color="auto" w:fill="auto"/>
            <w:noWrap/>
            <w:vAlign w:val="bottom"/>
            <w:hideMark/>
          </w:tcPr>
          <w:p w14:paraId="4483FEA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15.000,00</w:t>
            </w:r>
          </w:p>
        </w:tc>
      </w:tr>
      <w:tr w:rsidR="00846ACC" w:rsidRPr="004974C0" w14:paraId="5138872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61D487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4.6. KOMUNALNA NAKNADA</w:t>
            </w:r>
          </w:p>
        </w:tc>
        <w:tc>
          <w:tcPr>
            <w:tcW w:w="1984" w:type="dxa"/>
            <w:tcBorders>
              <w:top w:val="nil"/>
              <w:left w:val="nil"/>
              <w:bottom w:val="single" w:sz="4" w:space="0" w:color="auto"/>
              <w:right w:val="single" w:sz="4" w:space="0" w:color="auto"/>
            </w:tcBorders>
            <w:shd w:val="clear" w:color="000000" w:fill="FFFF99"/>
            <w:noWrap/>
            <w:vAlign w:val="bottom"/>
            <w:hideMark/>
          </w:tcPr>
          <w:p w14:paraId="3C72546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91DA6D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143.000,00</w:t>
            </w:r>
          </w:p>
        </w:tc>
        <w:tc>
          <w:tcPr>
            <w:tcW w:w="1843" w:type="dxa"/>
            <w:tcBorders>
              <w:top w:val="nil"/>
              <w:left w:val="nil"/>
              <w:bottom w:val="single" w:sz="4" w:space="0" w:color="auto"/>
              <w:right w:val="single" w:sz="4" w:space="0" w:color="auto"/>
            </w:tcBorders>
            <w:shd w:val="clear" w:color="000000" w:fill="FFFF99"/>
            <w:noWrap/>
            <w:vAlign w:val="bottom"/>
            <w:hideMark/>
          </w:tcPr>
          <w:p w14:paraId="5196B71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1DFAA22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332C9AB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143.000,00</w:t>
            </w:r>
          </w:p>
        </w:tc>
      </w:tr>
      <w:tr w:rsidR="00846ACC" w:rsidRPr="004974C0" w14:paraId="14F4A46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0A56B6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6516743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975FA8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143.000,00</w:t>
            </w:r>
          </w:p>
        </w:tc>
        <w:tc>
          <w:tcPr>
            <w:tcW w:w="1843" w:type="dxa"/>
            <w:tcBorders>
              <w:top w:val="nil"/>
              <w:left w:val="nil"/>
              <w:bottom w:val="single" w:sz="4" w:space="0" w:color="auto"/>
              <w:right w:val="single" w:sz="4" w:space="0" w:color="auto"/>
            </w:tcBorders>
            <w:shd w:val="clear" w:color="auto" w:fill="auto"/>
            <w:noWrap/>
            <w:vAlign w:val="bottom"/>
            <w:hideMark/>
          </w:tcPr>
          <w:p w14:paraId="2E185B4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7730EB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408140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143.000,00</w:t>
            </w:r>
          </w:p>
        </w:tc>
      </w:tr>
      <w:tr w:rsidR="00846ACC" w:rsidRPr="004974C0" w14:paraId="5BA522E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8542A83"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FEF9951"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5D974F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143.000,00</w:t>
            </w:r>
          </w:p>
        </w:tc>
        <w:tc>
          <w:tcPr>
            <w:tcW w:w="1843" w:type="dxa"/>
            <w:tcBorders>
              <w:top w:val="nil"/>
              <w:left w:val="nil"/>
              <w:bottom w:val="single" w:sz="4" w:space="0" w:color="auto"/>
              <w:right w:val="single" w:sz="4" w:space="0" w:color="auto"/>
            </w:tcBorders>
            <w:shd w:val="clear" w:color="auto" w:fill="auto"/>
            <w:noWrap/>
            <w:vAlign w:val="bottom"/>
            <w:hideMark/>
          </w:tcPr>
          <w:p w14:paraId="42691EF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5D4DD0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22FB7A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143.000,00</w:t>
            </w:r>
          </w:p>
        </w:tc>
      </w:tr>
      <w:tr w:rsidR="00846ACC" w:rsidRPr="004974C0" w14:paraId="1CCF205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693A1D8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A400010 Održavanje boćarske dvorane</w:t>
            </w:r>
          </w:p>
        </w:tc>
        <w:tc>
          <w:tcPr>
            <w:tcW w:w="1984" w:type="dxa"/>
            <w:tcBorders>
              <w:top w:val="nil"/>
              <w:left w:val="nil"/>
              <w:bottom w:val="single" w:sz="4" w:space="0" w:color="auto"/>
              <w:right w:val="single" w:sz="4" w:space="0" w:color="auto"/>
            </w:tcBorders>
            <w:shd w:val="clear" w:color="000000" w:fill="CCCCFF"/>
            <w:noWrap/>
            <w:vAlign w:val="bottom"/>
            <w:hideMark/>
          </w:tcPr>
          <w:p w14:paraId="758C147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19FB0C0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3.500,00</w:t>
            </w:r>
          </w:p>
        </w:tc>
        <w:tc>
          <w:tcPr>
            <w:tcW w:w="1843" w:type="dxa"/>
            <w:tcBorders>
              <w:top w:val="nil"/>
              <w:left w:val="nil"/>
              <w:bottom w:val="single" w:sz="4" w:space="0" w:color="auto"/>
              <w:right w:val="single" w:sz="4" w:space="0" w:color="auto"/>
            </w:tcBorders>
            <w:shd w:val="clear" w:color="000000" w:fill="CCCCFF"/>
            <w:noWrap/>
            <w:vAlign w:val="bottom"/>
            <w:hideMark/>
          </w:tcPr>
          <w:p w14:paraId="4F0A265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536CB1D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0BF04D3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3.500,00</w:t>
            </w:r>
          </w:p>
        </w:tc>
      </w:tr>
      <w:tr w:rsidR="00846ACC" w:rsidRPr="004974C0" w14:paraId="59CA2FB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1181F3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4.6. KOMUNALNA NAKNADA</w:t>
            </w:r>
          </w:p>
        </w:tc>
        <w:tc>
          <w:tcPr>
            <w:tcW w:w="1984" w:type="dxa"/>
            <w:tcBorders>
              <w:top w:val="nil"/>
              <w:left w:val="nil"/>
              <w:bottom w:val="single" w:sz="4" w:space="0" w:color="auto"/>
              <w:right w:val="single" w:sz="4" w:space="0" w:color="auto"/>
            </w:tcBorders>
            <w:shd w:val="clear" w:color="000000" w:fill="FFFF99"/>
            <w:noWrap/>
            <w:vAlign w:val="bottom"/>
            <w:hideMark/>
          </w:tcPr>
          <w:p w14:paraId="25716B2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B2779A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3.500,00</w:t>
            </w:r>
          </w:p>
        </w:tc>
        <w:tc>
          <w:tcPr>
            <w:tcW w:w="1843" w:type="dxa"/>
            <w:tcBorders>
              <w:top w:val="nil"/>
              <w:left w:val="nil"/>
              <w:bottom w:val="single" w:sz="4" w:space="0" w:color="auto"/>
              <w:right w:val="single" w:sz="4" w:space="0" w:color="auto"/>
            </w:tcBorders>
            <w:shd w:val="clear" w:color="000000" w:fill="FFFF99"/>
            <w:noWrap/>
            <w:vAlign w:val="bottom"/>
            <w:hideMark/>
          </w:tcPr>
          <w:p w14:paraId="0473AD8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64D4D90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497ACB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3.500,00</w:t>
            </w:r>
          </w:p>
        </w:tc>
      </w:tr>
      <w:tr w:rsidR="00846ACC" w:rsidRPr="004974C0" w14:paraId="5ADA9FF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C9558A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87691A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7BD7F3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3.500,00</w:t>
            </w:r>
          </w:p>
        </w:tc>
        <w:tc>
          <w:tcPr>
            <w:tcW w:w="1843" w:type="dxa"/>
            <w:tcBorders>
              <w:top w:val="nil"/>
              <w:left w:val="nil"/>
              <w:bottom w:val="single" w:sz="4" w:space="0" w:color="auto"/>
              <w:right w:val="single" w:sz="4" w:space="0" w:color="auto"/>
            </w:tcBorders>
            <w:shd w:val="clear" w:color="auto" w:fill="auto"/>
            <w:noWrap/>
            <w:vAlign w:val="bottom"/>
            <w:hideMark/>
          </w:tcPr>
          <w:p w14:paraId="0BC7386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4CAA65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D5B83C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3.500,00</w:t>
            </w:r>
          </w:p>
        </w:tc>
      </w:tr>
      <w:tr w:rsidR="00846ACC" w:rsidRPr="004974C0" w14:paraId="5F46FAA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0369AB3"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9D976B5"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6ABC1A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3.500,00</w:t>
            </w:r>
          </w:p>
        </w:tc>
        <w:tc>
          <w:tcPr>
            <w:tcW w:w="1843" w:type="dxa"/>
            <w:tcBorders>
              <w:top w:val="nil"/>
              <w:left w:val="nil"/>
              <w:bottom w:val="single" w:sz="4" w:space="0" w:color="auto"/>
              <w:right w:val="single" w:sz="4" w:space="0" w:color="auto"/>
            </w:tcBorders>
            <w:shd w:val="clear" w:color="auto" w:fill="auto"/>
            <w:noWrap/>
            <w:vAlign w:val="bottom"/>
            <w:hideMark/>
          </w:tcPr>
          <w:p w14:paraId="463079C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CBCD94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3E7662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3.500,00</w:t>
            </w:r>
          </w:p>
        </w:tc>
      </w:tr>
      <w:tr w:rsidR="00846ACC" w:rsidRPr="004974C0" w14:paraId="6B3CC2A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410B992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4003 Oprema komunalne infrastrukture</w:t>
            </w:r>
          </w:p>
        </w:tc>
        <w:tc>
          <w:tcPr>
            <w:tcW w:w="1984" w:type="dxa"/>
            <w:tcBorders>
              <w:top w:val="nil"/>
              <w:left w:val="nil"/>
              <w:bottom w:val="single" w:sz="4" w:space="0" w:color="auto"/>
              <w:right w:val="single" w:sz="4" w:space="0" w:color="auto"/>
            </w:tcBorders>
            <w:shd w:val="clear" w:color="000000" w:fill="9999FF"/>
            <w:noWrap/>
            <w:vAlign w:val="bottom"/>
            <w:hideMark/>
          </w:tcPr>
          <w:p w14:paraId="74FEA8D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689FDA6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37.625,00</w:t>
            </w:r>
          </w:p>
        </w:tc>
        <w:tc>
          <w:tcPr>
            <w:tcW w:w="1843" w:type="dxa"/>
            <w:tcBorders>
              <w:top w:val="nil"/>
              <w:left w:val="nil"/>
              <w:bottom w:val="single" w:sz="4" w:space="0" w:color="auto"/>
              <w:right w:val="single" w:sz="4" w:space="0" w:color="auto"/>
            </w:tcBorders>
            <w:shd w:val="clear" w:color="000000" w:fill="9999FF"/>
            <w:noWrap/>
            <w:vAlign w:val="bottom"/>
            <w:hideMark/>
          </w:tcPr>
          <w:p w14:paraId="578A985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70.994,00</w:t>
            </w:r>
          </w:p>
        </w:tc>
        <w:tc>
          <w:tcPr>
            <w:tcW w:w="1559" w:type="dxa"/>
            <w:tcBorders>
              <w:top w:val="nil"/>
              <w:left w:val="nil"/>
              <w:bottom w:val="single" w:sz="4" w:space="0" w:color="auto"/>
              <w:right w:val="single" w:sz="4" w:space="0" w:color="auto"/>
            </w:tcBorders>
            <w:shd w:val="clear" w:color="000000" w:fill="9999FF"/>
            <w:noWrap/>
            <w:vAlign w:val="bottom"/>
            <w:hideMark/>
          </w:tcPr>
          <w:p w14:paraId="7B02B27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188,69</w:t>
            </w:r>
          </w:p>
        </w:tc>
        <w:tc>
          <w:tcPr>
            <w:tcW w:w="1803" w:type="dxa"/>
            <w:tcBorders>
              <w:top w:val="nil"/>
              <w:left w:val="nil"/>
              <w:bottom w:val="single" w:sz="4" w:space="0" w:color="auto"/>
              <w:right w:val="single" w:sz="4" w:space="0" w:color="auto"/>
            </w:tcBorders>
            <w:shd w:val="clear" w:color="000000" w:fill="9999FF"/>
            <w:noWrap/>
            <w:vAlign w:val="bottom"/>
            <w:hideMark/>
          </w:tcPr>
          <w:p w14:paraId="31858B4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108.619,00</w:t>
            </w:r>
          </w:p>
        </w:tc>
      </w:tr>
      <w:tr w:rsidR="00846ACC" w:rsidRPr="004974C0" w14:paraId="37C87C1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1503C8A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Kapitalni projekt K400001 Nabava opreme</w:t>
            </w:r>
          </w:p>
        </w:tc>
        <w:tc>
          <w:tcPr>
            <w:tcW w:w="1984" w:type="dxa"/>
            <w:tcBorders>
              <w:top w:val="nil"/>
              <w:left w:val="nil"/>
              <w:bottom w:val="single" w:sz="4" w:space="0" w:color="auto"/>
              <w:right w:val="single" w:sz="4" w:space="0" w:color="auto"/>
            </w:tcBorders>
            <w:shd w:val="clear" w:color="000000" w:fill="CCCCFF"/>
            <w:noWrap/>
            <w:vAlign w:val="bottom"/>
            <w:hideMark/>
          </w:tcPr>
          <w:p w14:paraId="4D345AB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C883DD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13.000,00</w:t>
            </w:r>
          </w:p>
        </w:tc>
        <w:tc>
          <w:tcPr>
            <w:tcW w:w="1843" w:type="dxa"/>
            <w:tcBorders>
              <w:top w:val="nil"/>
              <w:left w:val="nil"/>
              <w:bottom w:val="single" w:sz="4" w:space="0" w:color="auto"/>
              <w:right w:val="single" w:sz="4" w:space="0" w:color="auto"/>
            </w:tcBorders>
            <w:shd w:val="clear" w:color="000000" w:fill="CCCCFF"/>
            <w:noWrap/>
            <w:vAlign w:val="bottom"/>
            <w:hideMark/>
          </w:tcPr>
          <w:p w14:paraId="41B8955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6146857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697B3C6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13.000,00</w:t>
            </w:r>
          </w:p>
        </w:tc>
      </w:tr>
      <w:tr w:rsidR="00846ACC" w:rsidRPr="004974C0" w14:paraId="5CD59AF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14DDEF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43707F2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DCBD76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843" w:type="dxa"/>
            <w:tcBorders>
              <w:top w:val="nil"/>
              <w:left w:val="nil"/>
              <w:bottom w:val="single" w:sz="4" w:space="0" w:color="auto"/>
              <w:right w:val="single" w:sz="4" w:space="0" w:color="auto"/>
            </w:tcBorders>
            <w:shd w:val="clear" w:color="000000" w:fill="FFFF99"/>
            <w:noWrap/>
            <w:vAlign w:val="bottom"/>
            <w:hideMark/>
          </w:tcPr>
          <w:p w14:paraId="2014A15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527EE65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69577FF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r>
      <w:tr w:rsidR="00846ACC" w:rsidRPr="004974C0" w14:paraId="2AC971E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9A8082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E4E4A2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C80005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059A676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F7D5A5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6FFB4D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w:t>
            </w:r>
          </w:p>
        </w:tc>
      </w:tr>
      <w:tr w:rsidR="00846ACC" w:rsidRPr="004974C0" w14:paraId="5BD4784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D235D93"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0C97BCA"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C9EAE6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1E94895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365C12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1B0846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r>
      <w:tr w:rsidR="00846ACC" w:rsidRPr="004974C0" w14:paraId="5AC18090"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0117F8B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7.1. 7.PRIHODI OD NEFINANCIJSKE IMOVINE</w:t>
            </w:r>
          </w:p>
        </w:tc>
        <w:tc>
          <w:tcPr>
            <w:tcW w:w="1984" w:type="dxa"/>
            <w:tcBorders>
              <w:top w:val="nil"/>
              <w:left w:val="nil"/>
              <w:bottom w:val="single" w:sz="4" w:space="0" w:color="auto"/>
              <w:right w:val="single" w:sz="4" w:space="0" w:color="auto"/>
            </w:tcBorders>
            <w:shd w:val="clear" w:color="000000" w:fill="FFFF99"/>
            <w:noWrap/>
            <w:vAlign w:val="bottom"/>
            <w:hideMark/>
          </w:tcPr>
          <w:p w14:paraId="0FAE518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D7ADDA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c>
          <w:tcPr>
            <w:tcW w:w="1843" w:type="dxa"/>
            <w:tcBorders>
              <w:top w:val="nil"/>
              <w:left w:val="nil"/>
              <w:bottom w:val="single" w:sz="4" w:space="0" w:color="auto"/>
              <w:right w:val="single" w:sz="4" w:space="0" w:color="auto"/>
            </w:tcBorders>
            <w:shd w:val="clear" w:color="000000" w:fill="FFFF99"/>
            <w:noWrap/>
            <w:vAlign w:val="bottom"/>
            <w:hideMark/>
          </w:tcPr>
          <w:p w14:paraId="5D96D9D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7F30518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7BB49B9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r>
      <w:tr w:rsidR="00846ACC" w:rsidRPr="004974C0" w14:paraId="4365225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C6E01A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33417E3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7293E01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10.000,00</w:t>
            </w:r>
          </w:p>
        </w:tc>
        <w:tc>
          <w:tcPr>
            <w:tcW w:w="1843" w:type="dxa"/>
            <w:tcBorders>
              <w:top w:val="nil"/>
              <w:left w:val="nil"/>
              <w:bottom w:val="single" w:sz="4" w:space="0" w:color="auto"/>
              <w:right w:val="single" w:sz="4" w:space="0" w:color="auto"/>
            </w:tcBorders>
            <w:shd w:val="clear" w:color="auto" w:fill="auto"/>
            <w:noWrap/>
            <w:vAlign w:val="bottom"/>
            <w:hideMark/>
          </w:tcPr>
          <w:p w14:paraId="2E07CF1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CA0297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76406C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10.000,00</w:t>
            </w:r>
          </w:p>
        </w:tc>
      </w:tr>
      <w:tr w:rsidR="00846ACC" w:rsidRPr="004974C0" w14:paraId="2A8DBA1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9E41F5B"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5F93AA2B"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3EF411B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10.000,00</w:t>
            </w:r>
          </w:p>
        </w:tc>
        <w:tc>
          <w:tcPr>
            <w:tcW w:w="1843" w:type="dxa"/>
            <w:tcBorders>
              <w:top w:val="nil"/>
              <w:left w:val="nil"/>
              <w:bottom w:val="single" w:sz="4" w:space="0" w:color="auto"/>
              <w:right w:val="single" w:sz="4" w:space="0" w:color="auto"/>
            </w:tcBorders>
            <w:shd w:val="clear" w:color="auto" w:fill="auto"/>
            <w:noWrap/>
            <w:vAlign w:val="bottom"/>
            <w:hideMark/>
          </w:tcPr>
          <w:p w14:paraId="3459122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81AD04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7B58A7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10.000,00</w:t>
            </w:r>
          </w:p>
        </w:tc>
      </w:tr>
      <w:tr w:rsidR="00846ACC" w:rsidRPr="004974C0" w14:paraId="024A827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1A27F8E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Kapitalni projekt K400002 Izgradnja komunalne infrastrukture</w:t>
            </w:r>
          </w:p>
        </w:tc>
        <w:tc>
          <w:tcPr>
            <w:tcW w:w="1984" w:type="dxa"/>
            <w:tcBorders>
              <w:top w:val="nil"/>
              <w:left w:val="nil"/>
              <w:bottom w:val="single" w:sz="4" w:space="0" w:color="auto"/>
              <w:right w:val="single" w:sz="4" w:space="0" w:color="auto"/>
            </w:tcBorders>
            <w:shd w:val="clear" w:color="000000" w:fill="CCCCFF"/>
            <w:noWrap/>
            <w:vAlign w:val="bottom"/>
            <w:hideMark/>
          </w:tcPr>
          <w:p w14:paraId="0A85019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2B9A32B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24.625,00</w:t>
            </w:r>
          </w:p>
        </w:tc>
        <w:tc>
          <w:tcPr>
            <w:tcW w:w="1843" w:type="dxa"/>
            <w:tcBorders>
              <w:top w:val="nil"/>
              <w:left w:val="nil"/>
              <w:bottom w:val="single" w:sz="4" w:space="0" w:color="auto"/>
              <w:right w:val="single" w:sz="4" w:space="0" w:color="auto"/>
            </w:tcBorders>
            <w:shd w:val="clear" w:color="000000" w:fill="CCCCFF"/>
            <w:noWrap/>
            <w:vAlign w:val="bottom"/>
            <w:hideMark/>
          </w:tcPr>
          <w:p w14:paraId="5597F61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7.344,00</w:t>
            </w:r>
          </w:p>
        </w:tc>
        <w:tc>
          <w:tcPr>
            <w:tcW w:w="1559" w:type="dxa"/>
            <w:tcBorders>
              <w:top w:val="nil"/>
              <w:left w:val="nil"/>
              <w:bottom w:val="single" w:sz="4" w:space="0" w:color="auto"/>
              <w:right w:val="single" w:sz="4" w:space="0" w:color="auto"/>
            </w:tcBorders>
            <w:shd w:val="clear" w:color="000000" w:fill="CCCCFF"/>
            <w:noWrap/>
            <w:vAlign w:val="bottom"/>
            <w:hideMark/>
          </w:tcPr>
          <w:p w14:paraId="41C97E6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29,82</w:t>
            </w:r>
          </w:p>
        </w:tc>
        <w:tc>
          <w:tcPr>
            <w:tcW w:w="1803" w:type="dxa"/>
            <w:tcBorders>
              <w:top w:val="nil"/>
              <w:left w:val="nil"/>
              <w:bottom w:val="single" w:sz="4" w:space="0" w:color="auto"/>
              <w:right w:val="single" w:sz="4" w:space="0" w:color="auto"/>
            </w:tcBorders>
            <w:shd w:val="clear" w:color="000000" w:fill="CCCCFF"/>
            <w:noWrap/>
            <w:vAlign w:val="bottom"/>
            <w:hideMark/>
          </w:tcPr>
          <w:p w14:paraId="6A02A39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31.969,00</w:t>
            </w:r>
          </w:p>
        </w:tc>
      </w:tr>
      <w:tr w:rsidR="00846ACC" w:rsidRPr="004974C0" w14:paraId="1DCB01B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F7CDCC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4.6. KOMUNALNA NAKNADA</w:t>
            </w:r>
          </w:p>
        </w:tc>
        <w:tc>
          <w:tcPr>
            <w:tcW w:w="1984" w:type="dxa"/>
            <w:tcBorders>
              <w:top w:val="nil"/>
              <w:left w:val="nil"/>
              <w:bottom w:val="single" w:sz="4" w:space="0" w:color="auto"/>
              <w:right w:val="single" w:sz="4" w:space="0" w:color="auto"/>
            </w:tcBorders>
            <w:shd w:val="clear" w:color="000000" w:fill="FFFF99"/>
            <w:noWrap/>
            <w:vAlign w:val="bottom"/>
            <w:hideMark/>
          </w:tcPr>
          <w:p w14:paraId="742FE48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C5E7B5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24.625,00</w:t>
            </w:r>
          </w:p>
        </w:tc>
        <w:tc>
          <w:tcPr>
            <w:tcW w:w="1843" w:type="dxa"/>
            <w:tcBorders>
              <w:top w:val="nil"/>
              <w:left w:val="nil"/>
              <w:bottom w:val="single" w:sz="4" w:space="0" w:color="auto"/>
              <w:right w:val="single" w:sz="4" w:space="0" w:color="auto"/>
            </w:tcBorders>
            <w:shd w:val="clear" w:color="000000" w:fill="FFFF99"/>
            <w:noWrap/>
            <w:vAlign w:val="bottom"/>
            <w:hideMark/>
          </w:tcPr>
          <w:p w14:paraId="7FAE74E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-7.656,00</w:t>
            </w:r>
          </w:p>
        </w:tc>
        <w:tc>
          <w:tcPr>
            <w:tcW w:w="1559" w:type="dxa"/>
            <w:tcBorders>
              <w:top w:val="nil"/>
              <w:left w:val="nil"/>
              <w:bottom w:val="single" w:sz="4" w:space="0" w:color="auto"/>
              <w:right w:val="single" w:sz="4" w:space="0" w:color="auto"/>
            </w:tcBorders>
            <w:shd w:val="clear" w:color="000000" w:fill="FFFF99"/>
            <w:noWrap/>
            <w:vAlign w:val="bottom"/>
            <w:hideMark/>
          </w:tcPr>
          <w:p w14:paraId="62C8641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-31,09</w:t>
            </w:r>
          </w:p>
        </w:tc>
        <w:tc>
          <w:tcPr>
            <w:tcW w:w="1803" w:type="dxa"/>
            <w:tcBorders>
              <w:top w:val="nil"/>
              <w:left w:val="nil"/>
              <w:bottom w:val="single" w:sz="4" w:space="0" w:color="auto"/>
              <w:right w:val="single" w:sz="4" w:space="0" w:color="auto"/>
            </w:tcBorders>
            <w:shd w:val="clear" w:color="000000" w:fill="FFFF99"/>
            <w:noWrap/>
            <w:vAlign w:val="bottom"/>
            <w:hideMark/>
          </w:tcPr>
          <w:p w14:paraId="3CB5996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16.969,00</w:t>
            </w:r>
          </w:p>
        </w:tc>
      </w:tr>
      <w:tr w:rsidR="00846ACC" w:rsidRPr="004974C0" w14:paraId="4924275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00CFE7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D8B6EF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92D52C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w:t>
            </w:r>
          </w:p>
        </w:tc>
        <w:tc>
          <w:tcPr>
            <w:tcW w:w="1843" w:type="dxa"/>
            <w:tcBorders>
              <w:top w:val="nil"/>
              <w:left w:val="nil"/>
              <w:bottom w:val="single" w:sz="4" w:space="0" w:color="auto"/>
              <w:right w:val="single" w:sz="4" w:space="0" w:color="auto"/>
            </w:tcBorders>
            <w:shd w:val="clear" w:color="auto" w:fill="auto"/>
            <w:noWrap/>
            <w:vAlign w:val="bottom"/>
            <w:hideMark/>
          </w:tcPr>
          <w:p w14:paraId="6ACE3E1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531CED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2D965D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w:t>
            </w:r>
          </w:p>
        </w:tc>
      </w:tr>
      <w:tr w:rsidR="00846ACC" w:rsidRPr="004974C0" w14:paraId="6EEEDFF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B053C33"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62E327F9"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F81652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w:t>
            </w:r>
          </w:p>
        </w:tc>
        <w:tc>
          <w:tcPr>
            <w:tcW w:w="1843" w:type="dxa"/>
            <w:tcBorders>
              <w:top w:val="nil"/>
              <w:left w:val="nil"/>
              <w:bottom w:val="single" w:sz="4" w:space="0" w:color="auto"/>
              <w:right w:val="single" w:sz="4" w:space="0" w:color="auto"/>
            </w:tcBorders>
            <w:shd w:val="clear" w:color="auto" w:fill="auto"/>
            <w:noWrap/>
            <w:vAlign w:val="bottom"/>
            <w:hideMark/>
          </w:tcPr>
          <w:p w14:paraId="62137AD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05D525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72DB11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w:t>
            </w:r>
          </w:p>
        </w:tc>
      </w:tr>
      <w:tr w:rsidR="00846ACC" w:rsidRPr="004974C0" w14:paraId="2E93524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D13248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426D3D9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73DF941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20.625,00</w:t>
            </w:r>
          </w:p>
        </w:tc>
        <w:tc>
          <w:tcPr>
            <w:tcW w:w="1843" w:type="dxa"/>
            <w:tcBorders>
              <w:top w:val="nil"/>
              <w:left w:val="nil"/>
              <w:bottom w:val="single" w:sz="4" w:space="0" w:color="auto"/>
              <w:right w:val="single" w:sz="4" w:space="0" w:color="auto"/>
            </w:tcBorders>
            <w:shd w:val="clear" w:color="auto" w:fill="auto"/>
            <w:noWrap/>
            <w:vAlign w:val="bottom"/>
            <w:hideMark/>
          </w:tcPr>
          <w:p w14:paraId="6340AA2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-7.656,00</w:t>
            </w:r>
          </w:p>
        </w:tc>
        <w:tc>
          <w:tcPr>
            <w:tcW w:w="1559" w:type="dxa"/>
            <w:tcBorders>
              <w:top w:val="nil"/>
              <w:left w:val="nil"/>
              <w:bottom w:val="single" w:sz="4" w:space="0" w:color="auto"/>
              <w:right w:val="single" w:sz="4" w:space="0" w:color="auto"/>
            </w:tcBorders>
            <w:shd w:val="clear" w:color="auto" w:fill="auto"/>
            <w:noWrap/>
            <w:vAlign w:val="bottom"/>
            <w:hideMark/>
          </w:tcPr>
          <w:p w14:paraId="42CC100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-37,12</w:t>
            </w:r>
          </w:p>
        </w:tc>
        <w:tc>
          <w:tcPr>
            <w:tcW w:w="1803" w:type="dxa"/>
            <w:tcBorders>
              <w:top w:val="nil"/>
              <w:left w:val="nil"/>
              <w:bottom w:val="single" w:sz="4" w:space="0" w:color="auto"/>
              <w:right w:val="single" w:sz="4" w:space="0" w:color="auto"/>
            </w:tcBorders>
            <w:shd w:val="clear" w:color="auto" w:fill="auto"/>
            <w:noWrap/>
            <w:vAlign w:val="bottom"/>
            <w:hideMark/>
          </w:tcPr>
          <w:p w14:paraId="2990AEE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12.969,00</w:t>
            </w:r>
          </w:p>
        </w:tc>
      </w:tr>
      <w:tr w:rsidR="00846ACC" w:rsidRPr="004974C0" w14:paraId="3355115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4C92126"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13098C18"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70502DA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20.625,00</w:t>
            </w:r>
          </w:p>
        </w:tc>
        <w:tc>
          <w:tcPr>
            <w:tcW w:w="1843" w:type="dxa"/>
            <w:tcBorders>
              <w:top w:val="nil"/>
              <w:left w:val="nil"/>
              <w:bottom w:val="single" w:sz="4" w:space="0" w:color="auto"/>
              <w:right w:val="single" w:sz="4" w:space="0" w:color="auto"/>
            </w:tcBorders>
            <w:shd w:val="clear" w:color="auto" w:fill="auto"/>
            <w:noWrap/>
            <w:vAlign w:val="bottom"/>
            <w:hideMark/>
          </w:tcPr>
          <w:p w14:paraId="4EF4AE6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-7.656,00</w:t>
            </w:r>
          </w:p>
        </w:tc>
        <w:tc>
          <w:tcPr>
            <w:tcW w:w="1559" w:type="dxa"/>
            <w:tcBorders>
              <w:top w:val="nil"/>
              <w:left w:val="nil"/>
              <w:bottom w:val="single" w:sz="4" w:space="0" w:color="auto"/>
              <w:right w:val="single" w:sz="4" w:space="0" w:color="auto"/>
            </w:tcBorders>
            <w:shd w:val="clear" w:color="auto" w:fill="auto"/>
            <w:noWrap/>
            <w:vAlign w:val="bottom"/>
            <w:hideMark/>
          </w:tcPr>
          <w:p w14:paraId="1BD3383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-37,12</w:t>
            </w:r>
          </w:p>
        </w:tc>
        <w:tc>
          <w:tcPr>
            <w:tcW w:w="1803" w:type="dxa"/>
            <w:tcBorders>
              <w:top w:val="nil"/>
              <w:left w:val="nil"/>
              <w:bottom w:val="single" w:sz="4" w:space="0" w:color="auto"/>
              <w:right w:val="single" w:sz="4" w:space="0" w:color="auto"/>
            </w:tcBorders>
            <w:shd w:val="clear" w:color="auto" w:fill="auto"/>
            <w:noWrap/>
            <w:vAlign w:val="bottom"/>
            <w:hideMark/>
          </w:tcPr>
          <w:p w14:paraId="1120D34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12.969,00</w:t>
            </w:r>
          </w:p>
        </w:tc>
      </w:tr>
      <w:tr w:rsidR="00846ACC" w:rsidRPr="004974C0" w14:paraId="2957753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18747A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5.4. POMOĆI IZ DRŽAVNOG PRORAČUNA</w:t>
            </w:r>
          </w:p>
        </w:tc>
        <w:tc>
          <w:tcPr>
            <w:tcW w:w="1984" w:type="dxa"/>
            <w:tcBorders>
              <w:top w:val="nil"/>
              <w:left w:val="nil"/>
              <w:bottom w:val="single" w:sz="4" w:space="0" w:color="auto"/>
              <w:right w:val="single" w:sz="4" w:space="0" w:color="auto"/>
            </w:tcBorders>
            <w:shd w:val="clear" w:color="000000" w:fill="FFFF99"/>
            <w:noWrap/>
            <w:vAlign w:val="bottom"/>
            <w:hideMark/>
          </w:tcPr>
          <w:p w14:paraId="1DD537C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7C979C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2752834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15.000,00</w:t>
            </w:r>
          </w:p>
        </w:tc>
        <w:tc>
          <w:tcPr>
            <w:tcW w:w="1559" w:type="dxa"/>
            <w:tcBorders>
              <w:top w:val="nil"/>
              <w:left w:val="nil"/>
              <w:bottom w:val="single" w:sz="4" w:space="0" w:color="auto"/>
              <w:right w:val="single" w:sz="4" w:space="0" w:color="auto"/>
            </w:tcBorders>
            <w:shd w:val="clear" w:color="000000" w:fill="FFFF99"/>
            <w:noWrap/>
            <w:vAlign w:val="bottom"/>
            <w:hideMark/>
          </w:tcPr>
          <w:p w14:paraId="2382A0B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99"/>
            <w:noWrap/>
            <w:vAlign w:val="bottom"/>
            <w:hideMark/>
          </w:tcPr>
          <w:p w14:paraId="655C849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15.000,00</w:t>
            </w:r>
          </w:p>
        </w:tc>
      </w:tr>
      <w:tr w:rsidR="00846ACC" w:rsidRPr="004974C0" w14:paraId="1698F45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B38891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62EFDD1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2702B6B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E287D1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15.000,00</w:t>
            </w:r>
          </w:p>
        </w:tc>
        <w:tc>
          <w:tcPr>
            <w:tcW w:w="1559" w:type="dxa"/>
            <w:tcBorders>
              <w:top w:val="nil"/>
              <w:left w:val="nil"/>
              <w:bottom w:val="single" w:sz="4" w:space="0" w:color="auto"/>
              <w:right w:val="single" w:sz="4" w:space="0" w:color="auto"/>
            </w:tcBorders>
            <w:shd w:val="clear" w:color="auto" w:fill="auto"/>
            <w:noWrap/>
            <w:vAlign w:val="bottom"/>
            <w:hideMark/>
          </w:tcPr>
          <w:p w14:paraId="6254E4A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6DD4C51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15.000,00</w:t>
            </w:r>
          </w:p>
        </w:tc>
      </w:tr>
      <w:tr w:rsidR="00846ACC" w:rsidRPr="004974C0" w14:paraId="7B99FB8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4E1AADC"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60646ED2"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07FC514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5C69BE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15.000,00</w:t>
            </w:r>
          </w:p>
        </w:tc>
        <w:tc>
          <w:tcPr>
            <w:tcW w:w="1559" w:type="dxa"/>
            <w:tcBorders>
              <w:top w:val="nil"/>
              <w:left w:val="nil"/>
              <w:bottom w:val="single" w:sz="4" w:space="0" w:color="auto"/>
              <w:right w:val="single" w:sz="4" w:space="0" w:color="auto"/>
            </w:tcBorders>
            <w:shd w:val="clear" w:color="auto" w:fill="auto"/>
            <w:noWrap/>
            <w:vAlign w:val="bottom"/>
            <w:hideMark/>
          </w:tcPr>
          <w:p w14:paraId="5F57027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2805A50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15.000,00</w:t>
            </w:r>
          </w:p>
        </w:tc>
      </w:tr>
      <w:tr w:rsidR="00846ACC" w:rsidRPr="004974C0" w14:paraId="0CCDD8E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5D53440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Tekući projekt T400002 Projekt " Za naš vrtić mali, malo opreme nam fali"</w:t>
            </w:r>
          </w:p>
        </w:tc>
        <w:tc>
          <w:tcPr>
            <w:tcW w:w="1984" w:type="dxa"/>
            <w:tcBorders>
              <w:top w:val="nil"/>
              <w:left w:val="nil"/>
              <w:bottom w:val="single" w:sz="4" w:space="0" w:color="auto"/>
              <w:right w:val="single" w:sz="4" w:space="0" w:color="auto"/>
            </w:tcBorders>
            <w:shd w:val="clear" w:color="000000" w:fill="CCCCFF"/>
            <w:noWrap/>
            <w:vAlign w:val="bottom"/>
            <w:hideMark/>
          </w:tcPr>
          <w:p w14:paraId="5E65C69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018066F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35FB295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63.650,00</w:t>
            </w:r>
          </w:p>
        </w:tc>
        <w:tc>
          <w:tcPr>
            <w:tcW w:w="1559" w:type="dxa"/>
            <w:tcBorders>
              <w:top w:val="nil"/>
              <w:left w:val="nil"/>
              <w:bottom w:val="single" w:sz="4" w:space="0" w:color="auto"/>
              <w:right w:val="single" w:sz="4" w:space="0" w:color="auto"/>
            </w:tcBorders>
            <w:shd w:val="clear" w:color="000000" w:fill="CCCCFF"/>
            <w:noWrap/>
            <w:vAlign w:val="bottom"/>
            <w:hideMark/>
          </w:tcPr>
          <w:p w14:paraId="7F6CA72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CCCCFF"/>
            <w:noWrap/>
            <w:vAlign w:val="bottom"/>
            <w:hideMark/>
          </w:tcPr>
          <w:p w14:paraId="06552DE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63.650,00</w:t>
            </w:r>
          </w:p>
        </w:tc>
      </w:tr>
      <w:tr w:rsidR="00846ACC" w:rsidRPr="004974C0" w14:paraId="3DC4ADB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0069FF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293360E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31880A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4E0BD27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3.350,00</w:t>
            </w:r>
          </w:p>
        </w:tc>
        <w:tc>
          <w:tcPr>
            <w:tcW w:w="1559" w:type="dxa"/>
            <w:tcBorders>
              <w:top w:val="nil"/>
              <w:left w:val="nil"/>
              <w:bottom w:val="single" w:sz="4" w:space="0" w:color="auto"/>
              <w:right w:val="single" w:sz="4" w:space="0" w:color="auto"/>
            </w:tcBorders>
            <w:shd w:val="clear" w:color="000000" w:fill="FFFF99"/>
            <w:noWrap/>
            <w:vAlign w:val="bottom"/>
            <w:hideMark/>
          </w:tcPr>
          <w:p w14:paraId="3695221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99"/>
            <w:noWrap/>
            <w:vAlign w:val="bottom"/>
            <w:hideMark/>
          </w:tcPr>
          <w:p w14:paraId="124A0C4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3.350,00</w:t>
            </w:r>
          </w:p>
        </w:tc>
      </w:tr>
      <w:tr w:rsidR="00846ACC" w:rsidRPr="004974C0" w14:paraId="09A98AD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D48533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AAD3EB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34CF01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9A37FD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3.350,00</w:t>
            </w:r>
          </w:p>
        </w:tc>
        <w:tc>
          <w:tcPr>
            <w:tcW w:w="1559" w:type="dxa"/>
            <w:tcBorders>
              <w:top w:val="nil"/>
              <w:left w:val="nil"/>
              <w:bottom w:val="single" w:sz="4" w:space="0" w:color="auto"/>
              <w:right w:val="single" w:sz="4" w:space="0" w:color="auto"/>
            </w:tcBorders>
            <w:shd w:val="clear" w:color="auto" w:fill="auto"/>
            <w:noWrap/>
            <w:vAlign w:val="bottom"/>
            <w:hideMark/>
          </w:tcPr>
          <w:p w14:paraId="506D358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08AA55C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3.350,00</w:t>
            </w:r>
          </w:p>
        </w:tc>
      </w:tr>
      <w:tr w:rsidR="00846ACC" w:rsidRPr="004974C0" w14:paraId="65381AC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83F0708"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34FDA3F6"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187D6F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34F210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3.350,00</w:t>
            </w:r>
          </w:p>
        </w:tc>
        <w:tc>
          <w:tcPr>
            <w:tcW w:w="1559" w:type="dxa"/>
            <w:tcBorders>
              <w:top w:val="nil"/>
              <w:left w:val="nil"/>
              <w:bottom w:val="single" w:sz="4" w:space="0" w:color="auto"/>
              <w:right w:val="single" w:sz="4" w:space="0" w:color="auto"/>
            </w:tcBorders>
            <w:shd w:val="clear" w:color="auto" w:fill="auto"/>
            <w:noWrap/>
            <w:vAlign w:val="bottom"/>
            <w:hideMark/>
          </w:tcPr>
          <w:p w14:paraId="1DB27B6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6334373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3.350,00</w:t>
            </w:r>
          </w:p>
        </w:tc>
      </w:tr>
      <w:tr w:rsidR="00846ACC" w:rsidRPr="004974C0" w14:paraId="29FC3EB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468AC5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4.6. KOMUNALNA NAKNADA</w:t>
            </w:r>
          </w:p>
        </w:tc>
        <w:tc>
          <w:tcPr>
            <w:tcW w:w="1984" w:type="dxa"/>
            <w:tcBorders>
              <w:top w:val="nil"/>
              <w:left w:val="nil"/>
              <w:bottom w:val="single" w:sz="4" w:space="0" w:color="auto"/>
              <w:right w:val="single" w:sz="4" w:space="0" w:color="auto"/>
            </w:tcBorders>
            <w:shd w:val="clear" w:color="000000" w:fill="FFFF99"/>
            <w:noWrap/>
            <w:vAlign w:val="bottom"/>
            <w:hideMark/>
          </w:tcPr>
          <w:p w14:paraId="2EA89A9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53E640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1591031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22.250,00</w:t>
            </w:r>
          </w:p>
        </w:tc>
        <w:tc>
          <w:tcPr>
            <w:tcW w:w="1559" w:type="dxa"/>
            <w:tcBorders>
              <w:top w:val="nil"/>
              <w:left w:val="nil"/>
              <w:bottom w:val="single" w:sz="4" w:space="0" w:color="auto"/>
              <w:right w:val="single" w:sz="4" w:space="0" w:color="auto"/>
            </w:tcBorders>
            <w:shd w:val="clear" w:color="000000" w:fill="FFFF99"/>
            <w:noWrap/>
            <w:vAlign w:val="bottom"/>
            <w:hideMark/>
          </w:tcPr>
          <w:p w14:paraId="773158C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99"/>
            <w:noWrap/>
            <w:vAlign w:val="bottom"/>
            <w:hideMark/>
          </w:tcPr>
          <w:p w14:paraId="3B28DEE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22.250,00</w:t>
            </w:r>
          </w:p>
        </w:tc>
      </w:tr>
      <w:tr w:rsidR="00846ACC" w:rsidRPr="004974C0" w14:paraId="0EBEB27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CFF343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7584241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6969399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4D3D27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22.250,00</w:t>
            </w:r>
          </w:p>
        </w:tc>
        <w:tc>
          <w:tcPr>
            <w:tcW w:w="1559" w:type="dxa"/>
            <w:tcBorders>
              <w:top w:val="nil"/>
              <w:left w:val="nil"/>
              <w:bottom w:val="single" w:sz="4" w:space="0" w:color="auto"/>
              <w:right w:val="single" w:sz="4" w:space="0" w:color="auto"/>
            </w:tcBorders>
            <w:shd w:val="clear" w:color="auto" w:fill="auto"/>
            <w:noWrap/>
            <w:vAlign w:val="bottom"/>
            <w:hideMark/>
          </w:tcPr>
          <w:p w14:paraId="4D3CF87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3713D42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22.250,00</w:t>
            </w:r>
          </w:p>
        </w:tc>
      </w:tr>
      <w:tr w:rsidR="00846ACC" w:rsidRPr="004974C0" w14:paraId="74DEFA5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4D2227A"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4C817D95"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1EBBA01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EFA29F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22.250,00</w:t>
            </w:r>
          </w:p>
        </w:tc>
        <w:tc>
          <w:tcPr>
            <w:tcW w:w="1559" w:type="dxa"/>
            <w:tcBorders>
              <w:top w:val="nil"/>
              <w:left w:val="nil"/>
              <w:bottom w:val="single" w:sz="4" w:space="0" w:color="auto"/>
              <w:right w:val="single" w:sz="4" w:space="0" w:color="auto"/>
            </w:tcBorders>
            <w:shd w:val="clear" w:color="auto" w:fill="auto"/>
            <w:noWrap/>
            <w:vAlign w:val="bottom"/>
            <w:hideMark/>
          </w:tcPr>
          <w:p w14:paraId="7E29A44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1E8F272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22.250,00</w:t>
            </w:r>
          </w:p>
        </w:tc>
      </w:tr>
      <w:tr w:rsidR="00846ACC" w:rsidRPr="004974C0" w14:paraId="544FAD8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9367AE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5.4. POMOĆI IZ DRŽAVNOG PRORAČUNA</w:t>
            </w:r>
          </w:p>
        </w:tc>
        <w:tc>
          <w:tcPr>
            <w:tcW w:w="1984" w:type="dxa"/>
            <w:tcBorders>
              <w:top w:val="nil"/>
              <w:left w:val="nil"/>
              <w:bottom w:val="single" w:sz="4" w:space="0" w:color="auto"/>
              <w:right w:val="single" w:sz="4" w:space="0" w:color="auto"/>
            </w:tcBorders>
            <w:shd w:val="clear" w:color="000000" w:fill="FFFF99"/>
            <w:noWrap/>
            <w:vAlign w:val="bottom"/>
            <w:hideMark/>
          </w:tcPr>
          <w:p w14:paraId="2A16AD3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300E08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13B1FC4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38.050,00</w:t>
            </w:r>
          </w:p>
        </w:tc>
        <w:tc>
          <w:tcPr>
            <w:tcW w:w="1559" w:type="dxa"/>
            <w:tcBorders>
              <w:top w:val="nil"/>
              <w:left w:val="nil"/>
              <w:bottom w:val="single" w:sz="4" w:space="0" w:color="auto"/>
              <w:right w:val="single" w:sz="4" w:space="0" w:color="auto"/>
            </w:tcBorders>
            <w:shd w:val="clear" w:color="000000" w:fill="FFFF99"/>
            <w:noWrap/>
            <w:vAlign w:val="bottom"/>
            <w:hideMark/>
          </w:tcPr>
          <w:p w14:paraId="2E26E3F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99"/>
            <w:noWrap/>
            <w:vAlign w:val="bottom"/>
            <w:hideMark/>
          </w:tcPr>
          <w:p w14:paraId="2505385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38.050,00</w:t>
            </w:r>
          </w:p>
        </w:tc>
      </w:tr>
      <w:tr w:rsidR="00846ACC" w:rsidRPr="004974C0" w14:paraId="4109FDA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FC2312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lastRenderedPageBreak/>
              <w:t>3</w:t>
            </w:r>
          </w:p>
        </w:tc>
        <w:tc>
          <w:tcPr>
            <w:tcW w:w="1984" w:type="dxa"/>
            <w:tcBorders>
              <w:top w:val="nil"/>
              <w:left w:val="nil"/>
              <w:bottom w:val="single" w:sz="4" w:space="0" w:color="auto"/>
              <w:right w:val="single" w:sz="4" w:space="0" w:color="auto"/>
            </w:tcBorders>
            <w:shd w:val="clear" w:color="auto" w:fill="auto"/>
            <w:noWrap/>
            <w:vAlign w:val="bottom"/>
            <w:hideMark/>
          </w:tcPr>
          <w:p w14:paraId="27E35AD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82199A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C0FFBC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4.700,00</w:t>
            </w:r>
          </w:p>
        </w:tc>
        <w:tc>
          <w:tcPr>
            <w:tcW w:w="1559" w:type="dxa"/>
            <w:tcBorders>
              <w:top w:val="nil"/>
              <w:left w:val="nil"/>
              <w:bottom w:val="single" w:sz="4" w:space="0" w:color="auto"/>
              <w:right w:val="single" w:sz="4" w:space="0" w:color="auto"/>
            </w:tcBorders>
            <w:shd w:val="clear" w:color="auto" w:fill="auto"/>
            <w:noWrap/>
            <w:vAlign w:val="bottom"/>
            <w:hideMark/>
          </w:tcPr>
          <w:p w14:paraId="2C39C00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3E89A19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4.700,00</w:t>
            </w:r>
          </w:p>
        </w:tc>
      </w:tr>
      <w:tr w:rsidR="00846ACC" w:rsidRPr="004974C0" w14:paraId="5D2DE82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7547537"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3E218364"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6BA66F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80C470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4.700,00</w:t>
            </w:r>
          </w:p>
        </w:tc>
        <w:tc>
          <w:tcPr>
            <w:tcW w:w="1559" w:type="dxa"/>
            <w:tcBorders>
              <w:top w:val="nil"/>
              <w:left w:val="nil"/>
              <w:bottom w:val="single" w:sz="4" w:space="0" w:color="auto"/>
              <w:right w:val="single" w:sz="4" w:space="0" w:color="auto"/>
            </w:tcBorders>
            <w:shd w:val="clear" w:color="auto" w:fill="auto"/>
            <w:noWrap/>
            <w:vAlign w:val="bottom"/>
            <w:hideMark/>
          </w:tcPr>
          <w:p w14:paraId="6A0DADB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29CDF49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4.700,00</w:t>
            </w:r>
          </w:p>
        </w:tc>
      </w:tr>
      <w:tr w:rsidR="00846ACC" w:rsidRPr="004974C0" w14:paraId="6A93693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530E89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005754A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3156565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83A333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33.350,00</w:t>
            </w:r>
          </w:p>
        </w:tc>
        <w:tc>
          <w:tcPr>
            <w:tcW w:w="1559" w:type="dxa"/>
            <w:tcBorders>
              <w:top w:val="nil"/>
              <w:left w:val="nil"/>
              <w:bottom w:val="single" w:sz="4" w:space="0" w:color="auto"/>
              <w:right w:val="single" w:sz="4" w:space="0" w:color="auto"/>
            </w:tcBorders>
            <w:shd w:val="clear" w:color="auto" w:fill="auto"/>
            <w:noWrap/>
            <w:vAlign w:val="bottom"/>
            <w:hideMark/>
          </w:tcPr>
          <w:p w14:paraId="4BCCED9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0FC3EE2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33.350,00</w:t>
            </w:r>
          </w:p>
        </w:tc>
      </w:tr>
      <w:tr w:rsidR="00846ACC" w:rsidRPr="004974C0" w14:paraId="0FD0B73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4392FAA"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10E652D2"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6F03EF6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503DCD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33.350,00</w:t>
            </w:r>
          </w:p>
        </w:tc>
        <w:tc>
          <w:tcPr>
            <w:tcW w:w="1559" w:type="dxa"/>
            <w:tcBorders>
              <w:top w:val="nil"/>
              <w:left w:val="nil"/>
              <w:bottom w:val="single" w:sz="4" w:space="0" w:color="auto"/>
              <w:right w:val="single" w:sz="4" w:space="0" w:color="auto"/>
            </w:tcBorders>
            <w:shd w:val="clear" w:color="auto" w:fill="auto"/>
            <w:noWrap/>
            <w:vAlign w:val="bottom"/>
            <w:hideMark/>
          </w:tcPr>
          <w:p w14:paraId="003D0F2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417A671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33.350,00</w:t>
            </w:r>
          </w:p>
        </w:tc>
      </w:tr>
      <w:tr w:rsidR="00846ACC" w:rsidRPr="004974C0" w14:paraId="2F114ED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5512930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4004 Zaštita okoliša</w:t>
            </w:r>
          </w:p>
        </w:tc>
        <w:tc>
          <w:tcPr>
            <w:tcW w:w="1984" w:type="dxa"/>
            <w:tcBorders>
              <w:top w:val="nil"/>
              <w:left w:val="nil"/>
              <w:bottom w:val="single" w:sz="4" w:space="0" w:color="auto"/>
              <w:right w:val="single" w:sz="4" w:space="0" w:color="auto"/>
            </w:tcBorders>
            <w:shd w:val="clear" w:color="000000" w:fill="9999FF"/>
            <w:noWrap/>
            <w:vAlign w:val="bottom"/>
            <w:hideMark/>
          </w:tcPr>
          <w:p w14:paraId="449E39C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051C15F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8.000,00</w:t>
            </w:r>
          </w:p>
        </w:tc>
        <w:tc>
          <w:tcPr>
            <w:tcW w:w="1843" w:type="dxa"/>
            <w:tcBorders>
              <w:top w:val="nil"/>
              <w:left w:val="nil"/>
              <w:bottom w:val="single" w:sz="4" w:space="0" w:color="auto"/>
              <w:right w:val="single" w:sz="4" w:space="0" w:color="auto"/>
            </w:tcBorders>
            <w:shd w:val="clear" w:color="000000" w:fill="9999FF"/>
            <w:noWrap/>
            <w:vAlign w:val="bottom"/>
            <w:hideMark/>
          </w:tcPr>
          <w:p w14:paraId="21824EF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-8.000,00</w:t>
            </w:r>
          </w:p>
        </w:tc>
        <w:tc>
          <w:tcPr>
            <w:tcW w:w="1559" w:type="dxa"/>
            <w:tcBorders>
              <w:top w:val="nil"/>
              <w:left w:val="nil"/>
              <w:bottom w:val="single" w:sz="4" w:space="0" w:color="auto"/>
              <w:right w:val="single" w:sz="4" w:space="0" w:color="auto"/>
            </w:tcBorders>
            <w:shd w:val="clear" w:color="000000" w:fill="9999FF"/>
            <w:noWrap/>
            <w:vAlign w:val="bottom"/>
            <w:hideMark/>
          </w:tcPr>
          <w:p w14:paraId="1F1C04B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9999FF"/>
            <w:noWrap/>
            <w:vAlign w:val="bottom"/>
            <w:hideMark/>
          </w:tcPr>
          <w:p w14:paraId="10EEAA8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r>
      <w:tr w:rsidR="00846ACC" w:rsidRPr="004974C0" w14:paraId="78A9FDD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460A7EB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xml:space="preserve">Tekući projekt T400002 Bara </w:t>
            </w:r>
            <w:proofErr w:type="spellStart"/>
            <w:r w:rsidRPr="004974C0">
              <w:rPr>
                <w:rFonts w:ascii="Arial" w:hAnsi="Arial" w:cs="Arial"/>
                <w:b/>
                <w:bCs/>
                <w:color w:val="000000"/>
                <w:sz w:val="20"/>
                <w:szCs w:val="20"/>
              </w:rPr>
              <w:t>Marcilnica</w:t>
            </w:r>
            <w:proofErr w:type="spellEnd"/>
          </w:p>
        </w:tc>
        <w:tc>
          <w:tcPr>
            <w:tcW w:w="1984" w:type="dxa"/>
            <w:tcBorders>
              <w:top w:val="nil"/>
              <w:left w:val="nil"/>
              <w:bottom w:val="single" w:sz="4" w:space="0" w:color="auto"/>
              <w:right w:val="single" w:sz="4" w:space="0" w:color="auto"/>
            </w:tcBorders>
            <w:shd w:val="clear" w:color="000000" w:fill="CCCCFF"/>
            <w:noWrap/>
            <w:vAlign w:val="bottom"/>
            <w:hideMark/>
          </w:tcPr>
          <w:p w14:paraId="1BAC594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3DE992A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8.000,00</w:t>
            </w:r>
          </w:p>
        </w:tc>
        <w:tc>
          <w:tcPr>
            <w:tcW w:w="1843" w:type="dxa"/>
            <w:tcBorders>
              <w:top w:val="nil"/>
              <w:left w:val="nil"/>
              <w:bottom w:val="single" w:sz="4" w:space="0" w:color="auto"/>
              <w:right w:val="single" w:sz="4" w:space="0" w:color="auto"/>
            </w:tcBorders>
            <w:shd w:val="clear" w:color="000000" w:fill="CCCCFF"/>
            <w:noWrap/>
            <w:vAlign w:val="bottom"/>
            <w:hideMark/>
          </w:tcPr>
          <w:p w14:paraId="44AB90F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-8.000,00</w:t>
            </w:r>
          </w:p>
        </w:tc>
        <w:tc>
          <w:tcPr>
            <w:tcW w:w="1559" w:type="dxa"/>
            <w:tcBorders>
              <w:top w:val="nil"/>
              <w:left w:val="nil"/>
              <w:bottom w:val="single" w:sz="4" w:space="0" w:color="auto"/>
              <w:right w:val="single" w:sz="4" w:space="0" w:color="auto"/>
            </w:tcBorders>
            <w:shd w:val="clear" w:color="000000" w:fill="CCCCFF"/>
            <w:noWrap/>
            <w:vAlign w:val="bottom"/>
            <w:hideMark/>
          </w:tcPr>
          <w:p w14:paraId="04E5497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CCCCFF"/>
            <w:noWrap/>
            <w:vAlign w:val="bottom"/>
            <w:hideMark/>
          </w:tcPr>
          <w:p w14:paraId="6B3F5B9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r>
      <w:tr w:rsidR="00846ACC" w:rsidRPr="004974C0" w14:paraId="28BA68E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C7BBAF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21C0161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11CE02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8.000,00</w:t>
            </w:r>
          </w:p>
        </w:tc>
        <w:tc>
          <w:tcPr>
            <w:tcW w:w="1843" w:type="dxa"/>
            <w:tcBorders>
              <w:top w:val="nil"/>
              <w:left w:val="nil"/>
              <w:bottom w:val="single" w:sz="4" w:space="0" w:color="auto"/>
              <w:right w:val="single" w:sz="4" w:space="0" w:color="auto"/>
            </w:tcBorders>
            <w:shd w:val="clear" w:color="000000" w:fill="FFFF99"/>
            <w:noWrap/>
            <w:vAlign w:val="bottom"/>
            <w:hideMark/>
          </w:tcPr>
          <w:p w14:paraId="2BCF0F0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-8.000,00</w:t>
            </w:r>
          </w:p>
        </w:tc>
        <w:tc>
          <w:tcPr>
            <w:tcW w:w="1559" w:type="dxa"/>
            <w:tcBorders>
              <w:top w:val="nil"/>
              <w:left w:val="nil"/>
              <w:bottom w:val="single" w:sz="4" w:space="0" w:color="auto"/>
              <w:right w:val="single" w:sz="4" w:space="0" w:color="auto"/>
            </w:tcBorders>
            <w:shd w:val="clear" w:color="000000" w:fill="FFFF99"/>
            <w:noWrap/>
            <w:vAlign w:val="bottom"/>
            <w:hideMark/>
          </w:tcPr>
          <w:p w14:paraId="4181675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99"/>
            <w:noWrap/>
            <w:vAlign w:val="bottom"/>
            <w:hideMark/>
          </w:tcPr>
          <w:p w14:paraId="1C66A45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r>
      <w:tr w:rsidR="00846ACC" w:rsidRPr="004974C0" w14:paraId="4010FE6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256551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50ADC3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CAE54A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8.000,00</w:t>
            </w:r>
          </w:p>
        </w:tc>
        <w:tc>
          <w:tcPr>
            <w:tcW w:w="1843" w:type="dxa"/>
            <w:tcBorders>
              <w:top w:val="nil"/>
              <w:left w:val="nil"/>
              <w:bottom w:val="single" w:sz="4" w:space="0" w:color="auto"/>
              <w:right w:val="single" w:sz="4" w:space="0" w:color="auto"/>
            </w:tcBorders>
            <w:shd w:val="clear" w:color="auto" w:fill="auto"/>
            <w:noWrap/>
            <w:vAlign w:val="bottom"/>
            <w:hideMark/>
          </w:tcPr>
          <w:p w14:paraId="26F1CF5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-8.000,00</w:t>
            </w:r>
          </w:p>
        </w:tc>
        <w:tc>
          <w:tcPr>
            <w:tcW w:w="1559" w:type="dxa"/>
            <w:tcBorders>
              <w:top w:val="nil"/>
              <w:left w:val="nil"/>
              <w:bottom w:val="single" w:sz="4" w:space="0" w:color="auto"/>
              <w:right w:val="single" w:sz="4" w:space="0" w:color="auto"/>
            </w:tcBorders>
            <w:shd w:val="clear" w:color="auto" w:fill="auto"/>
            <w:noWrap/>
            <w:vAlign w:val="bottom"/>
            <w:hideMark/>
          </w:tcPr>
          <w:p w14:paraId="25AB826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3FB5E4A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r>
      <w:tr w:rsidR="00846ACC" w:rsidRPr="004974C0" w14:paraId="149318D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6FDAB29"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C9C1EA2"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7C50056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8.000,00</w:t>
            </w:r>
          </w:p>
        </w:tc>
        <w:tc>
          <w:tcPr>
            <w:tcW w:w="1843" w:type="dxa"/>
            <w:tcBorders>
              <w:top w:val="nil"/>
              <w:left w:val="nil"/>
              <w:bottom w:val="single" w:sz="4" w:space="0" w:color="auto"/>
              <w:right w:val="single" w:sz="4" w:space="0" w:color="auto"/>
            </w:tcBorders>
            <w:shd w:val="clear" w:color="auto" w:fill="auto"/>
            <w:noWrap/>
            <w:vAlign w:val="bottom"/>
            <w:hideMark/>
          </w:tcPr>
          <w:p w14:paraId="24ECA82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-8.000,00</w:t>
            </w:r>
          </w:p>
        </w:tc>
        <w:tc>
          <w:tcPr>
            <w:tcW w:w="1559" w:type="dxa"/>
            <w:tcBorders>
              <w:top w:val="nil"/>
              <w:left w:val="nil"/>
              <w:bottom w:val="single" w:sz="4" w:space="0" w:color="auto"/>
              <w:right w:val="single" w:sz="4" w:space="0" w:color="auto"/>
            </w:tcBorders>
            <w:shd w:val="clear" w:color="auto" w:fill="auto"/>
            <w:noWrap/>
            <w:vAlign w:val="bottom"/>
            <w:hideMark/>
          </w:tcPr>
          <w:p w14:paraId="25FC72C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60CC317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r>
      <w:tr w:rsidR="00846ACC" w:rsidRPr="004974C0" w14:paraId="0D57040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000080"/>
            <w:noWrap/>
            <w:vAlign w:val="bottom"/>
            <w:hideMark/>
          </w:tcPr>
          <w:p w14:paraId="6A2C01A9"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Razdjel 500 UPRAVNI ODJEL ZA DRUŠTVENE DJELATNOSTI</w:t>
            </w:r>
          </w:p>
        </w:tc>
        <w:tc>
          <w:tcPr>
            <w:tcW w:w="1984" w:type="dxa"/>
            <w:tcBorders>
              <w:top w:val="nil"/>
              <w:left w:val="nil"/>
              <w:bottom w:val="single" w:sz="4" w:space="0" w:color="auto"/>
              <w:right w:val="single" w:sz="4" w:space="0" w:color="auto"/>
            </w:tcBorders>
            <w:shd w:val="clear" w:color="000000" w:fill="000080"/>
            <w:noWrap/>
            <w:vAlign w:val="bottom"/>
            <w:hideMark/>
          </w:tcPr>
          <w:p w14:paraId="35489446"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000080"/>
            <w:noWrap/>
            <w:vAlign w:val="bottom"/>
            <w:hideMark/>
          </w:tcPr>
          <w:p w14:paraId="3C6D2024"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14.459.328,00</w:t>
            </w:r>
          </w:p>
        </w:tc>
        <w:tc>
          <w:tcPr>
            <w:tcW w:w="1843" w:type="dxa"/>
            <w:tcBorders>
              <w:top w:val="nil"/>
              <w:left w:val="nil"/>
              <w:bottom w:val="single" w:sz="4" w:space="0" w:color="auto"/>
              <w:right w:val="single" w:sz="4" w:space="0" w:color="auto"/>
            </w:tcBorders>
            <w:shd w:val="clear" w:color="000000" w:fill="000080"/>
            <w:noWrap/>
            <w:vAlign w:val="bottom"/>
            <w:hideMark/>
          </w:tcPr>
          <w:p w14:paraId="4176CF55"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886.619,00</w:t>
            </w:r>
          </w:p>
        </w:tc>
        <w:tc>
          <w:tcPr>
            <w:tcW w:w="1559" w:type="dxa"/>
            <w:tcBorders>
              <w:top w:val="nil"/>
              <w:left w:val="nil"/>
              <w:bottom w:val="single" w:sz="4" w:space="0" w:color="auto"/>
              <w:right w:val="single" w:sz="4" w:space="0" w:color="auto"/>
            </w:tcBorders>
            <w:shd w:val="clear" w:color="000000" w:fill="000080"/>
            <w:noWrap/>
            <w:vAlign w:val="bottom"/>
            <w:hideMark/>
          </w:tcPr>
          <w:p w14:paraId="05FCC9F2"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6,13</w:t>
            </w:r>
          </w:p>
        </w:tc>
        <w:tc>
          <w:tcPr>
            <w:tcW w:w="1803" w:type="dxa"/>
            <w:tcBorders>
              <w:top w:val="nil"/>
              <w:left w:val="nil"/>
              <w:bottom w:val="single" w:sz="4" w:space="0" w:color="auto"/>
              <w:right w:val="single" w:sz="4" w:space="0" w:color="auto"/>
            </w:tcBorders>
            <w:shd w:val="clear" w:color="000000" w:fill="000080"/>
            <w:noWrap/>
            <w:vAlign w:val="bottom"/>
            <w:hideMark/>
          </w:tcPr>
          <w:p w14:paraId="4DDC0921"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15.345.947,00</w:t>
            </w:r>
          </w:p>
        </w:tc>
      </w:tr>
      <w:tr w:rsidR="00846ACC" w:rsidRPr="004974C0" w14:paraId="0ACD8FF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0000FF"/>
            <w:noWrap/>
            <w:vAlign w:val="bottom"/>
            <w:hideMark/>
          </w:tcPr>
          <w:p w14:paraId="5E41DCCD"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Glava 50001 UPRAVNI ODJEL ZA DRUŠTVENE DJELATNOSTI</w:t>
            </w:r>
          </w:p>
        </w:tc>
        <w:tc>
          <w:tcPr>
            <w:tcW w:w="1984" w:type="dxa"/>
            <w:tcBorders>
              <w:top w:val="nil"/>
              <w:left w:val="nil"/>
              <w:bottom w:val="single" w:sz="4" w:space="0" w:color="auto"/>
              <w:right w:val="single" w:sz="4" w:space="0" w:color="auto"/>
            </w:tcBorders>
            <w:shd w:val="clear" w:color="000000" w:fill="0000FF"/>
            <w:noWrap/>
            <w:vAlign w:val="bottom"/>
            <w:hideMark/>
          </w:tcPr>
          <w:p w14:paraId="1FC08C07"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0000FF"/>
            <w:noWrap/>
            <w:vAlign w:val="bottom"/>
            <w:hideMark/>
          </w:tcPr>
          <w:p w14:paraId="38C89D12"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1.567.215,00</w:t>
            </w:r>
          </w:p>
        </w:tc>
        <w:tc>
          <w:tcPr>
            <w:tcW w:w="1843" w:type="dxa"/>
            <w:tcBorders>
              <w:top w:val="nil"/>
              <w:left w:val="nil"/>
              <w:bottom w:val="single" w:sz="4" w:space="0" w:color="auto"/>
              <w:right w:val="single" w:sz="4" w:space="0" w:color="auto"/>
            </w:tcBorders>
            <w:shd w:val="clear" w:color="000000" w:fill="0000FF"/>
            <w:noWrap/>
            <w:vAlign w:val="bottom"/>
            <w:hideMark/>
          </w:tcPr>
          <w:p w14:paraId="033E7BAF"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322.038,00</w:t>
            </w:r>
          </w:p>
        </w:tc>
        <w:tc>
          <w:tcPr>
            <w:tcW w:w="1559" w:type="dxa"/>
            <w:tcBorders>
              <w:top w:val="nil"/>
              <w:left w:val="nil"/>
              <w:bottom w:val="single" w:sz="4" w:space="0" w:color="auto"/>
              <w:right w:val="single" w:sz="4" w:space="0" w:color="auto"/>
            </w:tcBorders>
            <w:shd w:val="clear" w:color="000000" w:fill="0000FF"/>
            <w:noWrap/>
            <w:vAlign w:val="bottom"/>
            <w:hideMark/>
          </w:tcPr>
          <w:p w14:paraId="0F1B8846"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20,55</w:t>
            </w:r>
          </w:p>
        </w:tc>
        <w:tc>
          <w:tcPr>
            <w:tcW w:w="1803" w:type="dxa"/>
            <w:tcBorders>
              <w:top w:val="nil"/>
              <w:left w:val="nil"/>
              <w:bottom w:val="single" w:sz="4" w:space="0" w:color="auto"/>
              <w:right w:val="single" w:sz="4" w:space="0" w:color="auto"/>
            </w:tcBorders>
            <w:shd w:val="clear" w:color="000000" w:fill="0000FF"/>
            <w:noWrap/>
            <w:vAlign w:val="bottom"/>
            <w:hideMark/>
          </w:tcPr>
          <w:p w14:paraId="2E47928A"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1.889.253,00</w:t>
            </w:r>
          </w:p>
        </w:tc>
      </w:tr>
      <w:tr w:rsidR="00846ACC" w:rsidRPr="004974C0" w14:paraId="1FB1C0E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0B1832A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3A5AD35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96A27F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1.278.415,00</w:t>
            </w:r>
          </w:p>
        </w:tc>
        <w:tc>
          <w:tcPr>
            <w:tcW w:w="1843" w:type="dxa"/>
            <w:tcBorders>
              <w:top w:val="nil"/>
              <w:left w:val="nil"/>
              <w:bottom w:val="single" w:sz="4" w:space="0" w:color="auto"/>
              <w:right w:val="single" w:sz="4" w:space="0" w:color="auto"/>
            </w:tcBorders>
            <w:shd w:val="clear" w:color="000000" w:fill="FFFFFF"/>
            <w:noWrap/>
            <w:vAlign w:val="bottom"/>
            <w:hideMark/>
          </w:tcPr>
          <w:p w14:paraId="088CF30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261.370,00</w:t>
            </w:r>
          </w:p>
        </w:tc>
        <w:tc>
          <w:tcPr>
            <w:tcW w:w="1559" w:type="dxa"/>
            <w:tcBorders>
              <w:top w:val="nil"/>
              <w:left w:val="nil"/>
              <w:bottom w:val="single" w:sz="4" w:space="0" w:color="auto"/>
              <w:right w:val="single" w:sz="4" w:space="0" w:color="auto"/>
            </w:tcBorders>
            <w:shd w:val="clear" w:color="000000" w:fill="FFFFFF"/>
            <w:noWrap/>
            <w:vAlign w:val="bottom"/>
            <w:hideMark/>
          </w:tcPr>
          <w:p w14:paraId="2253E60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20,44</w:t>
            </w:r>
          </w:p>
        </w:tc>
        <w:tc>
          <w:tcPr>
            <w:tcW w:w="1803" w:type="dxa"/>
            <w:tcBorders>
              <w:top w:val="nil"/>
              <w:left w:val="nil"/>
              <w:bottom w:val="single" w:sz="4" w:space="0" w:color="auto"/>
              <w:right w:val="single" w:sz="4" w:space="0" w:color="auto"/>
            </w:tcBorders>
            <w:shd w:val="clear" w:color="000000" w:fill="FFFFFF"/>
            <w:noWrap/>
            <w:vAlign w:val="bottom"/>
            <w:hideMark/>
          </w:tcPr>
          <w:p w14:paraId="07AD556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1.539.785,00</w:t>
            </w:r>
          </w:p>
        </w:tc>
      </w:tr>
      <w:tr w:rsidR="00846ACC" w:rsidRPr="004974C0" w14:paraId="4BAEF20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01426D7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6C6EE26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4F121C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1.278.415,00</w:t>
            </w:r>
          </w:p>
        </w:tc>
        <w:tc>
          <w:tcPr>
            <w:tcW w:w="1843" w:type="dxa"/>
            <w:tcBorders>
              <w:top w:val="nil"/>
              <w:left w:val="nil"/>
              <w:bottom w:val="single" w:sz="4" w:space="0" w:color="auto"/>
              <w:right w:val="single" w:sz="4" w:space="0" w:color="auto"/>
            </w:tcBorders>
            <w:shd w:val="clear" w:color="000000" w:fill="FFFFFF"/>
            <w:noWrap/>
            <w:vAlign w:val="bottom"/>
            <w:hideMark/>
          </w:tcPr>
          <w:p w14:paraId="61AA8F4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261.370,00</w:t>
            </w:r>
          </w:p>
        </w:tc>
        <w:tc>
          <w:tcPr>
            <w:tcW w:w="1559" w:type="dxa"/>
            <w:tcBorders>
              <w:top w:val="nil"/>
              <w:left w:val="nil"/>
              <w:bottom w:val="single" w:sz="4" w:space="0" w:color="auto"/>
              <w:right w:val="single" w:sz="4" w:space="0" w:color="auto"/>
            </w:tcBorders>
            <w:shd w:val="clear" w:color="000000" w:fill="FFFFFF"/>
            <w:noWrap/>
            <w:vAlign w:val="bottom"/>
            <w:hideMark/>
          </w:tcPr>
          <w:p w14:paraId="6748C1C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20,44</w:t>
            </w:r>
          </w:p>
        </w:tc>
        <w:tc>
          <w:tcPr>
            <w:tcW w:w="1803" w:type="dxa"/>
            <w:tcBorders>
              <w:top w:val="nil"/>
              <w:left w:val="nil"/>
              <w:bottom w:val="single" w:sz="4" w:space="0" w:color="auto"/>
              <w:right w:val="single" w:sz="4" w:space="0" w:color="auto"/>
            </w:tcBorders>
            <w:shd w:val="clear" w:color="000000" w:fill="FFFFFF"/>
            <w:noWrap/>
            <w:vAlign w:val="bottom"/>
            <w:hideMark/>
          </w:tcPr>
          <w:p w14:paraId="6D40028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1.539.785,00</w:t>
            </w:r>
          </w:p>
        </w:tc>
      </w:tr>
      <w:tr w:rsidR="00846ACC" w:rsidRPr="004974C0" w14:paraId="38146F2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188CF4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 VLASTITI PRIHODI</w:t>
            </w:r>
          </w:p>
        </w:tc>
        <w:tc>
          <w:tcPr>
            <w:tcW w:w="1984" w:type="dxa"/>
            <w:tcBorders>
              <w:top w:val="nil"/>
              <w:left w:val="nil"/>
              <w:bottom w:val="single" w:sz="4" w:space="0" w:color="auto"/>
              <w:right w:val="single" w:sz="4" w:space="0" w:color="auto"/>
            </w:tcBorders>
            <w:shd w:val="clear" w:color="000000" w:fill="FFFFFF"/>
            <w:noWrap/>
            <w:vAlign w:val="bottom"/>
            <w:hideMark/>
          </w:tcPr>
          <w:p w14:paraId="4885194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528B3D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843" w:type="dxa"/>
            <w:tcBorders>
              <w:top w:val="nil"/>
              <w:left w:val="nil"/>
              <w:bottom w:val="single" w:sz="4" w:space="0" w:color="auto"/>
              <w:right w:val="single" w:sz="4" w:space="0" w:color="auto"/>
            </w:tcBorders>
            <w:shd w:val="clear" w:color="000000" w:fill="FFFFFF"/>
            <w:noWrap/>
            <w:vAlign w:val="bottom"/>
            <w:hideMark/>
          </w:tcPr>
          <w:p w14:paraId="7588AF5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17BAEA0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78B0F78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r>
      <w:tr w:rsidR="00846ACC" w:rsidRPr="004974C0" w14:paraId="5D8C653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02F8E9B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3.1. VLASTITI PRIHODI</w:t>
            </w:r>
          </w:p>
        </w:tc>
        <w:tc>
          <w:tcPr>
            <w:tcW w:w="1984" w:type="dxa"/>
            <w:tcBorders>
              <w:top w:val="nil"/>
              <w:left w:val="nil"/>
              <w:bottom w:val="single" w:sz="4" w:space="0" w:color="auto"/>
              <w:right w:val="single" w:sz="4" w:space="0" w:color="auto"/>
            </w:tcBorders>
            <w:shd w:val="clear" w:color="000000" w:fill="FFFFFF"/>
            <w:noWrap/>
            <w:vAlign w:val="bottom"/>
            <w:hideMark/>
          </w:tcPr>
          <w:p w14:paraId="222B9E7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E6B653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843" w:type="dxa"/>
            <w:tcBorders>
              <w:top w:val="nil"/>
              <w:left w:val="nil"/>
              <w:bottom w:val="single" w:sz="4" w:space="0" w:color="auto"/>
              <w:right w:val="single" w:sz="4" w:space="0" w:color="auto"/>
            </w:tcBorders>
            <w:shd w:val="clear" w:color="000000" w:fill="FFFFFF"/>
            <w:noWrap/>
            <w:vAlign w:val="bottom"/>
            <w:hideMark/>
          </w:tcPr>
          <w:p w14:paraId="7917F1D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26A5716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33FBCA4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r>
      <w:tr w:rsidR="00846ACC" w:rsidRPr="004974C0" w14:paraId="3D99E59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6E1454E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 PRIHODI ZA POSEBNE NAMJENE</w:t>
            </w:r>
          </w:p>
        </w:tc>
        <w:tc>
          <w:tcPr>
            <w:tcW w:w="1984" w:type="dxa"/>
            <w:tcBorders>
              <w:top w:val="nil"/>
              <w:left w:val="nil"/>
              <w:bottom w:val="single" w:sz="4" w:space="0" w:color="auto"/>
              <w:right w:val="single" w:sz="4" w:space="0" w:color="auto"/>
            </w:tcBorders>
            <w:shd w:val="clear" w:color="000000" w:fill="FFFFFF"/>
            <w:noWrap/>
            <w:vAlign w:val="bottom"/>
            <w:hideMark/>
          </w:tcPr>
          <w:p w14:paraId="1D0B402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3A7C34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88.800,00</w:t>
            </w:r>
          </w:p>
        </w:tc>
        <w:tc>
          <w:tcPr>
            <w:tcW w:w="1843" w:type="dxa"/>
            <w:tcBorders>
              <w:top w:val="nil"/>
              <w:left w:val="nil"/>
              <w:bottom w:val="single" w:sz="4" w:space="0" w:color="auto"/>
              <w:right w:val="single" w:sz="4" w:space="0" w:color="auto"/>
            </w:tcBorders>
            <w:shd w:val="clear" w:color="000000" w:fill="FFFFFF"/>
            <w:noWrap/>
            <w:vAlign w:val="bottom"/>
            <w:hideMark/>
          </w:tcPr>
          <w:p w14:paraId="65FC12D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126CF42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78DFD27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88.800,00</w:t>
            </w:r>
          </w:p>
        </w:tc>
      </w:tr>
      <w:tr w:rsidR="00846ACC" w:rsidRPr="004974C0" w14:paraId="1597557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4099AE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4.4. PRIHODI OD BORAVIŠNE PRISTOJBE</w:t>
            </w:r>
          </w:p>
        </w:tc>
        <w:tc>
          <w:tcPr>
            <w:tcW w:w="1984" w:type="dxa"/>
            <w:tcBorders>
              <w:top w:val="nil"/>
              <w:left w:val="nil"/>
              <w:bottom w:val="single" w:sz="4" w:space="0" w:color="auto"/>
              <w:right w:val="single" w:sz="4" w:space="0" w:color="auto"/>
            </w:tcBorders>
            <w:shd w:val="clear" w:color="000000" w:fill="FFFFFF"/>
            <w:noWrap/>
            <w:vAlign w:val="bottom"/>
            <w:hideMark/>
          </w:tcPr>
          <w:p w14:paraId="0F88BA4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B601E2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88.800,00</w:t>
            </w:r>
          </w:p>
        </w:tc>
        <w:tc>
          <w:tcPr>
            <w:tcW w:w="1843" w:type="dxa"/>
            <w:tcBorders>
              <w:top w:val="nil"/>
              <w:left w:val="nil"/>
              <w:bottom w:val="single" w:sz="4" w:space="0" w:color="auto"/>
              <w:right w:val="single" w:sz="4" w:space="0" w:color="auto"/>
            </w:tcBorders>
            <w:shd w:val="clear" w:color="000000" w:fill="FFFFFF"/>
            <w:noWrap/>
            <w:vAlign w:val="bottom"/>
            <w:hideMark/>
          </w:tcPr>
          <w:p w14:paraId="017078A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52D1A65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4FE815C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88.800,00</w:t>
            </w:r>
          </w:p>
        </w:tc>
      </w:tr>
      <w:tr w:rsidR="00846ACC" w:rsidRPr="004974C0" w14:paraId="14DC885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69B7AE7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 POMOĆI</w:t>
            </w:r>
          </w:p>
        </w:tc>
        <w:tc>
          <w:tcPr>
            <w:tcW w:w="1984" w:type="dxa"/>
            <w:tcBorders>
              <w:top w:val="nil"/>
              <w:left w:val="nil"/>
              <w:bottom w:val="single" w:sz="4" w:space="0" w:color="auto"/>
              <w:right w:val="single" w:sz="4" w:space="0" w:color="auto"/>
            </w:tcBorders>
            <w:shd w:val="clear" w:color="000000" w:fill="FFFFFF"/>
            <w:noWrap/>
            <w:vAlign w:val="bottom"/>
            <w:hideMark/>
          </w:tcPr>
          <w:p w14:paraId="46AC25E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537DF1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197.000,00</w:t>
            </w:r>
          </w:p>
        </w:tc>
        <w:tc>
          <w:tcPr>
            <w:tcW w:w="1843" w:type="dxa"/>
            <w:tcBorders>
              <w:top w:val="nil"/>
              <w:left w:val="nil"/>
              <w:bottom w:val="single" w:sz="4" w:space="0" w:color="auto"/>
              <w:right w:val="single" w:sz="4" w:space="0" w:color="auto"/>
            </w:tcBorders>
            <w:shd w:val="clear" w:color="000000" w:fill="FFFFFF"/>
            <w:noWrap/>
            <w:vAlign w:val="bottom"/>
            <w:hideMark/>
          </w:tcPr>
          <w:p w14:paraId="5B7782E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2.354,00</w:t>
            </w:r>
          </w:p>
        </w:tc>
        <w:tc>
          <w:tcPr>
            <w:tcW w:w="1559" w:type="dxa"/>
            <w:tcBorders>
              <w:top w:val="nil"/>
              <w:left w:val="nil"/>
              <w:bottom w:val="single" w:sz="4" w:space="0" w:color="auto"/>
              <w:right w:val="single" w:sz="4" w:space="0" w:color="auto"/>
            </w:tcBorders>
            <w:shd w:val="clear" w:color="000000" w:fill="FFFFFF"/>
            <w:noWrap/>
            <w:vAlign w:val="bottom"/>
            <w:hideMark/>
          </w:tcPr>
          <w:p w14:paraId="12E68FB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1,19</w:t>
            </w:r>
          </w:p>
        </w:tc>
        <w:tc>
          <w:tcPr>
            <w:tcW w:w="1803" w:type="dxa"/>
            <w:tcBorders>
              <w:top w:val="nil"/>
              <w:left w:val="nil"/>
              <w:bottom w:val="single" w:sz="4" w:space="0" w:color="auto"/>
              <w:right w:val="single" w:sz="4" w:space="0" w:color="auto"/>
            </w:tcBorders>
            <w:shd w:val="clear" w:color="000000" w:fill="FFFFFF"/>
            <w:noWrap/>
            <w:vAlign w:val="bottom"/>
            <w:hideMark/>
          </w:tcPr>
          <w:p w14:paraId="3223721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199.354,00</w:t>
            </w:r>
          </w:p>
        </w:tc>
      </w:tr>
      <w:tr w:rsidR="00846ACC" w:rsidRPr="004974C0" w14:paraId="5FB8502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6B673CF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5.4. POMOĆI IZ DRŽAVNOG PRORAČUNA</w:t>
            </w:r>
          </w:p>
        </w:tc>
        <w:tc>
          <w:tcPr>
            <w:tcW w:w="1984" w:type="dxa"/>
            <w:tcBorders>
              <w:top w:val="nil"/>
              <w:left w:val="nil"/>
              <w:bottom w:val="single" w:sz="4" w:space="0" w:color="auto"/>
              <w:right w:val="single" w:sz="4" w:space="0" w:color="auto"/>
            </w:tcBorders>
            <w:shd w:val="clear" w:color="000000" w:fill="FFFFFF"/>
            <w:noWrap/>
            <w:vAlign w:val="bottom"/>
            <w:hideMark/>
          </w:tcPr>
          <w:p w14:paraId="729B5F0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D9A1E8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185.500,00</w:t>
            </w:r>
          </w:p>
        </w:tc>
        <w:tc>
          <w:tcPr>
            <w:tcW w:w="1843" w:type="dxa"/>
            <w:tcBorders>
              <w:top w:val="nil"/>
              <w:left w:val="nil"/>
              <w:bottom w:val="single" w:sz="4" w:space="0" w:color="auto"/>
              <w:right w:val="single" w:sz="4" w:space="0" w:color="auto"/>
            </w:tcBorders>
            <w:shd w:val="clear" w:color="000000" w:fill="FFFFFF"/>
            <w:noWrap/>
            <w:vAlign w:val="bottom"/>
            <w:hideMark/>
          </w:tcPr>
          <w:p w14:paraId="2C932DA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2.354,00</w:t>
            </w:r>
          </w:p>
        </w:tc>
        <w:tc>
          <w:tcPr>
            <w:tcW w:w="1559" w:type="dxa"/>
            <w:tcBorders>
              <w:top w:val="nil"/>
              <w:left w:val="nil"/>
              <w:bottom w:val="single" w:sz="4" w:space="0" w:color="auto"/>
              <w:right w:val="single" w:sz="4" w:space="0" w:color="auto"/>
            </w:tcBorders>
            <w:shd w:val="clear" w:color="000000" w:fill="FFFFFF"/>
            <w:noWrap/>
            <w:vAlign w:val="bottom"/>
            <w:hideMark/>
          </w:tcPr>
          <w:p w14:paraId="254AB05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1,27</w:t>
            </w:r>
          </w:p>
        </w:tc>
        <w:tc>
          <w:tcPr>
            <w:tcW w:w="1803" w:type="dxa"/>
            <w:tcBorders>
              <w:top w:val="nil"/>
              <w:left w:val="nil"/>
              <w:bottom w:val="single" w:sz="4" w:space="0" w:color="auto"/>
              <w:right w:val="single" w:sz="4" w:space="0" w:color="auto"/>
            </w:tcBorders>
            <w:shd w:val="clear" w:color="000000" w:fill="FFFFFF"/>
            <w:noWrap/>
            <w:vAlign w:val="bottom"/>
            <w:hideMark/>
          </w:tcPr>
          <w:p w14:paraId="3D5ACEB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187.854,00</w:t>
            </w:r>
          </w:p>
        </w:tc>
      </w:tr>
      <w:tr w:rsidR="00846ACC" w:rsidRPr="004974C0" w14:paraId="21011EA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CE747E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5.5. POMOĆI IZ ŽUPANIJSKOG PRORAČUNA</w:t>
            </w:r>
          </w:p>
        </w:tc>
        <w:tc>
          <w:tcPr>
            <w:tcW w:w="1984" w:type="dxa"/>
            <w:tcBorders>
              <w:top w:val="nil"/>
              <w:left w:val="nil"/>
              <w:bottom w:val="single" w:sz="4" w:space="0" w:color="auto"/>
              <w:right w:val="single" w:sz="4" w:space="0" w:color="auto"/>
            </w:tcBorders>
            <w:shd w:val="clear" w:color="000000" w:fill="FFFFFF"/>
            <w:noWrap/>
            <w:vAlign w:val="bottom"/>
            <w:hideMark/>
          </w:tcPr>
          <w:p w14:paraId="0FBD2B3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72F20A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11.500,00</w:t>
            </w:r>
          </w:p>
        </w:tc>
        <w:tc>
          <w:tcPr>
            <w:tcW w:w="1843" w:type="dxa"/>
            <w:tcBorders>
              <w:top w:val="nil"/>
              <w:left w:val="nil"/>
              <w:bottom w:val="single" w:sz="4" w:space="0" w:color="auto"/>
              <w:right w:val="single" w:sz="4" w:space="0" w:color="auto"/>
            </w:tcBorders>
            <w:shd w:val="clear" w:color="000000" w:fill="FFFFFF"/>
            <w:noWrap/>
            <w:vAlign w:val="bottom"/>
            <w:hideMark/>
          </w:tcPr>
          <w:p w14:paraId="1604EB2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55BD34D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56A2075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11.500,00</w:t>
            </w:r>
          </w:p>
        </w:tc>
      </w:tr>
      <w:tr w:rsidR="00846ACC" w:rsidRPr="004974C0" w14:paraId="3A598FF0"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4302ACE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 DONACIJE</w:t>
            </w:r>
          </w:p>
        </w:tc>
        <w:tc>
          <w:tcPr>
            <w:tcW w:w="1984" w:type="dxa"/>
            <w:tcBorders>
              <w:top w:val="nil"/>
              <w:left w:val="nil"/>
              <w:bottom w:val="single" w:sz="4" w:space="0" w:color="auto"/>
              <w:right w:val="single" w:sz="4" w:space="0" w:color="auto"/>
            </w:tcBorders>
            <w:shd w:val="clear" w:color="000000" w:fill="FFFFFF"/>
            <w:noWrap/>
            <w:vAlign w:val="bottom"/>
            <w:hideMark/>
          </w:tcPr>
          <w:p w14:paraId="58B04D3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E8F50B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FF"/>
            <w:noWrap/>
            <w:vAlign w:val="bottom"/>
            <w:hideMark/>
          </w:tcPr>
          <w:p w14:paraId="5B190BA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58.314,00</w:t>
            </w:r>
          </w:p>
        </w:tc>
        <w:tc>
          <w:tcPr>
            <w:tcW w:w="1559" w:type="dxa"/>
            <w:tcBorders>
              <w:top w:val="nil"/>
              <w:left w:val="nil"/>
              <w:bottom w:val="single" w:sz="4" w:space="0" w:color="auto"/>
              <w:right w:val="single" w:sz="4" w:space="0" w:color="auto"/>
            </w:tcBorders>
            <w:shd w:val="clear" w:color="000000" w:fill="FFFFFF"/>
            <w:noWrap/>
            <w:vAlign w:val="bottom"/>
            <w:hideMark/>
          </w:tcPr>
          <w:p w14:paraId="6AE0A09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FF"/>
            <w:noWrap/>
            <w:vAlign w:val="bottom"/>
            <w:hideMark/>
          </w:tcPr>
          <w:p w14:paraId="467CBC8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58.314,00</w:t>
            </w:r>
          </w:p>
        </w:tc>
      </w:tr>
      <w:tr w:rsidR="00846ACC" w:rsidRPr="004974C0" w14:paraId="7D9F11A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8F3BE8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6.1. TEKUĆE DONACIJE</w:t>
            </w:r>
          </w:p>
        </w:tc>
        <w:tc>
          <w:tcPr>
            <w:tcW w:w="1984" w:type="dxa"/>
            <w:tcBorders>
              <w:top w:val="nil"/>
              <w:left w:val="nil"/>
              <w:bottom w:val="single" w:sz="4" w:space="0" w:color="auto"/>
              <w:right w:val="single" w:sz="4" w:space="0" w:color="auto"/>
            </w:tcBorders>
            <w:shd w:val="clear" w:color="000000" w:fill="FFFFFF"/>
            <w:noWrap/>
            <w:vAlign w:val="bottom"/>
            <w:hideMark/>
          </w:tcPr>
          <w:p w14:paraId="59E23BA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7176F5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FF"/>
            <w:noWrap/>
            <w:vAlign w:val="bottom"/>
            <w:hideMark/>
          </w:tcPr>
          <w:p w14:paraId="3917A8F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20.066,00</w:t>
            </w:r>
          </w:p>
        </w:tc>
        <w:tc>
          <w:tcPr>
            <w:tcW w:w="1559" w:type="dxa"/>
            <w:tcBorders>
              <w:top w:val="nil"/>
              <w:left w:val="nil"/>
              <w:bottom w:val="single" w:sz="4" w:space="0" w:color="auto"/>
              <w:right w:val="single" w:sz="4" w:space="0" w:color="auto"/>
            </w:tcBorders>
            <w:shd w:val="clear" w:color="000000" w:fill="FFFFFF"/>
            <w:noWrap/>
            <w:vAlign w:val="bottom"/>
            <w:hideMark/>
          </w:tcPr>
          <w:p w14:paraId="5BB8BF7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FF"/>
            <w:noWrap/>
            <w:vAlign w:val="bottom"/>
            <w:hideMark/>
          </w:tcPr>
          <w:p w14:paraId="59967F5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20.066,00</w:t>
            </w:r>
          </w:p>
        </w:tc>
      </w:tr>
      <w:tr w:rsidR="00846ACC" w:rsidRPr="004974C0" w14:paraId="646859E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A751B9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6.2. 6. KAPITALNE DONACIJE</w:t>
            </w:r>
          </w:p>
        </w:tc>
        <w:tc>
          <w:tcPr>
            <w:tcW w:w="1984" w:type="dxa"/>
            <w:tcBorders>
              <w:top w:val="nil"/>
              <w:left w:val="nil"/>
              <w:bottom w:val="single" w:sz="4" w:space="0" w:color="auto"/>
              <w:right w:val="single" w:sz="4" w:space="0" w:color="auto"/>
            </w:tcBorders>
            <w:shd w:val="clear" w:color="000000" w:fill="FFFFFF"/>
            <w:noWrap/>
            <w:vAlign w:val="bottom"/>
            <w:hideMark/>
          </w:tcPr>
          <w:p w14:paraId="59B06DA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06BC54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FF"/>
            <w:noWrap/>
            <w:vAlign w:val="bottom"/>
            <w:hideMark/>
          </w:tcPr>
          <w:p w14:paraId="217B5F2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38.248,00</w:t>
            </w:r>
          </w:p>
        </w:tc>
        <w:tc>
          <w:tcPr>
            <w:tcW w:w="1559" w:type="dxa"/>
            <w:tcBorders>
              <w:top w:val="nil"/>
              <w:left w:val="nil"/>
              <w:bottom w:val="single" w:sz="4" w:space="0" w:color="auto"/>
              <w:right w:val="single" w:sz="4" w:space="0" w:color="auto"/>
            </w:tcBorders>
            <w:shd w:val="clear" w:color="000000" w:fill="FFFFFF"/>
            <w:noWrap/>
            <w:vAlign w:val="bottom"/>
            <w:hideMark/>
          </w:tcPr>
          <w:p w14:paraId="14FE1D6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FF"/>
            <w:noWrap/>
            <w:vAlign w:val="bottom"/>
            <w:hideMark/>
          </w:tcPr>
          <w:p w14:paraId="73BAE82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38.248,00</w:t>
            </w:r>
          </w:p>
        </w:tc>
      </w:tr>
      <w:tr w:rsidR="00846ACC" w:rsidRPr="004974C0" w14:paraId="2F052D1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124D24E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5001 Predškolski odgoj</w:t>
            </w:r>
          </w:p>
        </w:tc>
        <w:tc>
          <w:tcPr>
            <w:tcW w:w="1984" w:type="dxa"/>
            <w:tcBorders>
              <w:top w:val="nil"/>
              <w:left w:val="nil"/>
              <w:bottom w:val="single" w:sz="4" w:space="0" w:color="auto"/>
              <w:right w:val="single" w:sz="4" w:space="0" w:color="auto"/>
            </w:tcBorders>
            <w:shd w:val="clear" w:color="000000" w:fill="9999FF"/>
            <w:noWrap/>
            <w:vAlign w:val="bottom"/>
            <w:hideMark/>
          </w:tcPr>
          <w:p w14:paraId="348E21D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4BB5001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38.000,00</w:t>
            </w:r>
          </w:p>
        </w:tc>
        <w:tc>
          <w:tcPr>
            <w:tcW w:w="1843" w:type="dxa"/>
            <w:tcBorders>
              <w:top w:val="nil"/>
              <w:left w:val="nil"/>
              <w:bottom w:val="single" w:sz="4" w:space="0" w:color="auto"/>
              <w:right w:val="single" w:sz="4" w:space="0" w:color="auto"/>
            </w:tcBorders>
            <w:shd w:val="clear" w:color="000000" w:fill="9999FF"/>
            <w:noWrap/>
            <w:vAlign w:val="bottom"/>
            <w:hideMark/>
          </w:tcPr>
          <w:p w14:paraId="79D2053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29.000,00</w:t>
            </w:r>
          </w:p>
        </w:tc>
        <w:tc>
          <w:tcPr>
            <w:tcW w:w="1559" w:type="dxa"/>
            <w:tcBorders>
              <w:top w:val="nil"/>
              <w:left w:val="nil"/>
              <w:bottom w:val="single" w:sz="4" w:space="0" w:color="auto"/>
              <w:right w:val="single" w:sz="4" w:space="0" w:color="auto"/>
            </w:tcBorders>
            <w:shd w:val="clear" w:color="000000" w:fill="9999FF"/>
            <w:noWrap/>
            <w:vAlign w:val="bottom"/>
            <w:hideMark/>
          </w:tcPr>
          <w:p w14:paraId="091E0C8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76,32</w:t>
            </w:r>
          </w:p>
        </w:tc>
        <w:tc>
          <w:tcPr>
            <w:tcW w:w="1803" w:type="dxa"/>
            <w:tcBorders>
              <w:top w:val="nil"/>
              <w:left w:val="nil"/>
              <w:bottom w:val="single" w:sz="4" w:space="0" w:color="auto"/>
              <w:right w:val="single" w:sz="4" w:space="0" w:color="auto"/>
            </w:tcBorders>
            <w:shd w:val="clear" w:color="000000" w:fill="9999FF"/>
            <w:noWrap/>
            <w:vAlign w:val="bottom"/>
            <w:hideMark/>
          </w:tcPr>
          <w:p w14:paraId="60D38E4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67.000,00</w:t>
            </w:r>
          </w:p>
        </w:tc>
      </w:tr>
      <w:tr w:rsidR="00846ACC" w:rsidRPr="004974C0" w14:paraId="2515534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749F2D7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Aktivnost A500001 Sufinanciranje predškolske djelatnosti</w:t>
            </w:r>
          </w:p>
        </w:tc>
        <w:tc>
          <w:tcPr>
            <w:tcW w:w="1984" w:type="dxa"/>
            <w:tcBorders>
              <w:top w:val="nil"/>
              <w:left w:val="nil"/>
              <w:bottom w:val="single" w:sz="4" w:space="0" w:color="auto"/>
              <w:right w:val="single" w:sz="4" w:space="0" w:color="auto"/>
            </w:tcBorders>
            <w:shd w:val="clear" w:color="000000" w:fill="CCCCFF"/>
            <w:noWrap/>
            <w:vAlign w:val="bottom"/>
            <w:hideMark/>
          </w:tcPr>
          <w:p w14:paraId="199FCF8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22E82DD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38.000,00</w:t>
            </w:r>
          </w:p>
        </w:tc>
        <w:tc>
          <w:tcPr>
            <w:tcW w:w="1843" w:type="dxa"/>
            <w:tcBorders>
              <w:top w:val="nil"/>
              <w:left w:val="nil"/>
              <w:bottom w:val="single" w:sz="4" w:space="0" w:color="auto"/>
              <w:right w:val="single" w:sz="4" w:space="0" w:color="auto"/>
            </w:tcBorders>
            <w:shd w:val="clear" w:color="000000" w:fill="CCCCFF"/>
            <w:noWrap/>
            <w:vAlign w:val="bottom"/>
            <w:hideMark/>
          </w:tcPr>
          <w:p w14:paraId="4033E18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29.000,00</w:t>
            </w:r>
          </w:p>
        </w:tc>
        <w:tc>
          <w:tcPr>
            <w:tcW w:w="1559" w:type="dxa"/>
            <w:tcBorders>
              <w:top w:val="nil"/>
              <w:left w:val="nil"/>
              <w:bottom w:val="single" w:sz="4" w:space="0" w:color="auto"/>
              <w:right w:val="single" w:sz="4" w:space="0" w:color="auto"/>
            </w:tcBorders>
            <w:shd w:val="clear" w:color="000000" w:fill="CCCCFF"/>
            <w:noWrap/>
            <w:vAlign w:val="bottom"/>
            <w:hideMark/>
          </w:tcPr>
          <w:p w14:paraId="2160EAD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76,32</w:t>
            </w:r>
          </w:p>
        </w:tc>
        <w:tc>
          <w:tcPr>
            <w:tcW w:w="1803" w:type="dxa"/>
            <w:tcBorders>
              <w:top w:val="nil"/>
              <w:left w:val="nil"/>
              <w:bottom w:val="single" w:sz="4" w:space="0" w:color="auto"/>
              <w:right w:val="single" w:sz="4" w:space="0" w:color="auto"/>
            </w:tcBorders>
            <w:shd w:val="clear" w:color="000000" w:fill="CCCCFF"/>
            <w:noWrap/>
            <w:vAlign w:val="bottom"/>
            <w:hideMark/>
          </w:tcPr>
          <w:p w14:paraId="1E1EF7C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67.000,00</w:t>
            </w:r>
          </w:p>
        </w:tc>
      </w:tr>
      <w:tr w:rsidR="00846ACC" w:rsidRPr="004974C0" w14:paraId="64713ED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E29BD6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625367F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4C74E6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38.000,00</w:t>
            </w:r>
          </w:p>
        </w:tc>
        <w:tc>
          <w:tcPr>
            <w:tcW w:w="1843" w:type="dxa"/>
            <w:tcBorders>
              <w:top w:val="nil"/>
              <w:left w:val="nil"/>
              <w:bottom w:val="single" w:sz="4" w:space="0" w:color="auto"/>
              <w:right w:val="single" w:sz="4" w:space="0" w:color="auto"/>
            </w:tcBorders>
            <w:shd w:val="clear" w:color="000000" w:fill="FFFF99"/>
            <w:noWrap/>
            <w:vAlign w:val="bottom"/>
            <w:hideMark/>
          </w:tcPr>
          <w:p w14:paraId="5D16EA8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29.000,00</w:t>
            </w:r>
          </w:p>
        </w:tc>
        <w:tc>
          <w:tcPr>
            <w:tcW w:w="1559" w:type="dxa"/>
            <w:tcBorders>
              <w:top w:val="nil"/>
              <w:left w:val="nil"/>
              <w:bottom w:val="single" w:sz="4" w:space="0" w:color="auto"/>
              <w:right w:val="single" w:sz="4" w:space="0" w:color="auto"/>
            </w:tcBorders>
            <w:shd w:val="clear" w:color="000000" w:fill="FFFF99"/>
            <w:noWrap/>
            <w:vAlign w:val="bottom"/>
            <w:hideMark/>
          </w:tcPr>
          <w:p w14:paraId="5330309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76,32</w:t>
            </w:r>
          </w:p>
        </w:tc>
        <w:tc>
          <w:tcPr>
            <w:tcW w:w="1803" w:type="dxa"/>
            <w:tcBorders>
              <w:top w:val="nil"/>
              <w:left w:val="nil"/>
              <w:bottom w:val="single" w:sz="4" w:space="0" w:color="auto"/>
              <w:right w:val="single" w:sz="4" w:space="0" w:color="auto"/>
            </w:tcBorders>
            <w:shd w:val="clear" w:color="000000" w:fill="FFFF99"/>
            <w:noWrap/>
            <w:vAlign w:val="bottom"/>
            <w:hideMark/>
          </w:tcPr>
          <w:p w14:paraId="7AC4A16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67.000,00</w:t>
            </w:r>
          </w:p>
        </w:tc>
      </w:tr>
      <w:tr w:rsidR="00846ACC" w:rsidRPr="004974C0" w14:paraId="5CE4A81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783B39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28C7AC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24EC12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38.000,00</w:t>
            </w:r>
          </w:p>
        </w:tc>
        <w:tc>
          <w:tcPr>
            <w:tcW w:w="1843" w:type="dxa"/>
            <w:tcBorders>
              <w:top w:val="nil"/>
              <w:left w:val="nil"/>
              <w:bottom w:val="single" w:sz="4" w:space="0" w:color="auto"/>
              <w:right w:val="single" w:sz="4" w:space="0" w:color="auto"/>
            </w:tcBorders>
            <w:shd w:val="clear" w:color="auto" w:fill="auto"/>
            <w:noWrap/>
            <w:vAlign w:val="bottom"/>
            <w:hideMark/>
          </w:tcPr>
          <w:p w14:paraId="4254594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29.000,00</w:t>
            </w:r>
          </w:p>
        </w:tc>
        <w:tc>
          <w:tcPr>
            <w:tcW w:w="1559" w:type="dxa"/>
            <w:tcBorders>
              <w:top w:val="nil"/>
              <w:left w:val="nil"/>
              <w:bottom w:val="single" w:sz="4" w:space="0" w:color="auto"/>
              <w:right w:val="single" w:sz="4" w:space="0" w:color="auto"/>
            </w:tcBorders>
            <w:shd w:val="clear" w:color="auto" w:fill="auto"/>
            <w:noWrap/>
            <w:vAlign w:val="bottom"/>
            <w:hideMark/>
          </w:tcPr>
          <w:p w14:paraId="38F27C9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76,32</w:t>
            </w:r>
          </w:p>
        </w:tc>
        <w:tc>
          <w:tcPr>
            <w:tcW w:w="1803" w:type="dxa"/>
            <w:tcBorders>
              <w:top w:val="nil"/>
              <w:left w:val="nil"/>
              <w:bottom w:val="single" w:sz="4" w:space="0" w:color="auto"/>
              <w:right w:val="single" w:sz="4" w:space="0" w:color="auto"/>
            </w:tcBorders>
            <w:shd w:val="clear" w:color="auto" w:fill="auto"/>
            <w:noWrap/>
            <w:vAlign w:val="bottom"/>
            <w:hideMark/>
          </w:tcPr>
          <w:p w14:paraId="49A1BD3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67.000,00</w:t>
            </w:r>
          </w:p>
        </w:tc>
      </w:tr>
      <w:tr w:rsidR="00846ACC" w:rsidRPr="004974C0" w14:paraId="5F98846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B1174A3" w14:textId="77777777" w:rsidR="004974C0" w:rsidRPr="004974C0" w:rsidRDefault="004974C0" w:rsidP="004974C0">
            <w:pPr>
              <w:rPr>
                <w:rFonts w:ascii="Arial" w:hAnsi="Arial" w:cs="Arial"/>
                <w:sz w:val="20"/>
                <w:szCs w:val="20"/>
              </w:rPr>
            </w:pPr>
            <w:r w:rsidRPr="004974C0">
              <w:rPr>
                <w:rFonts w:ascii="Arial" w:hAnsi="Arial" w:cs="Arial"/>
                <w:sz w:val="20"/>
                <w:szCs w:val="20"/>
              </w:rPr>
              <w:t>35</w:t>
            </w:r>
          </w:p>
        </w:tc>
        <w:tc>
          <w:tcPr>
            <w:tcW w:w="1984" w:type="dxa"/>
            <w:tcBorders>
              <w:top w:val="nil"/>
              <w:left w:val="nil"/>
              <w:bottom w:val="single" w:sz="4" w:space="0" w:color="auto"/>
              <w:right w:val="single" w:sz="4" w:space="0" w:color="auto"/>
            </w:tcBorders>
            <w:shd w:val="clear" w:color="auto" w:fill="auto"/>
            <w:noWrap/>
            <w:vAlign w:val="bottom"/>
            <w:hideMark/>
          </w:tcPr>
          <w:p w14:paraId="77B47BD6" w14:textId="77777777" w:rsidR="004974C0" w:rsidRPr="004974C0" w:rsidRDefault="004974C0" w:rsidP="004974C0">
            <w:pPr>
              <w:rPr>
                <w:rFonts w:ascii="Arial" w:hAnsi="Arial" w:cs="Arial"/>
                <w:sz w:val="20"/>
                <w:szCs w:val="20"/>
              </w:rPr>
            </w:pPr>
            <w:r w:rsidRPr="004974C0">
              <w:rPr>
                <w:rFonts w:ascii="Arial" w:hAnsi="Arial" w:cs="Arial"/>
                <w:sz w:val="20"/>
                <w:szCs w:val="20"/>
              </w:rPr>
              <w:t>Subvencije</w:t>
            </w:r>
          </w:p>
        </w:tc>
        <w:tc>
          <w:tcPr>
            <w:tcW w:w="1843" w:type="dxa"/>
            <w:tcBorders>
              <w:top w:val="nil"/>
              <w:left w:val="nil"/>
              <w:bottom w:val="single" w:sz="4" w:space="0" w:color="auto"/>
              <w:right w:val="single" w:sz="4" w:space="0" w:color="auto"/>
            </w:tcBorders>
            <w:shd w:val="clear" w:color="auto" w:fill="auto"/>
            <w:noWrap/>
            <w:vAlign w:val="bottom"/>
            <w:hideMark/>
          </w:tcPr>
          <w:p w14:paraId="61FFACC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5.000,00</w:t>
            </w:r>
          </w:p>
        </w:tc>
        <w:tc>
          <w:tcPr>
            <w:tcW w:w="1843" w:type="dxa"/>
            <w:tcBorders>
              <w:top w:val="nil"/>
              <w:left w:val="nil"/>
              <w:bottom w:val="single" w:sz="4" w:space="0" w:color="auto"/>
              <w:right w:val="single" w:sz="4" w:space="0" w:color="auto"/>
            </w:tcBorders>
            <w:shd w:val="clear" w:color="auto" w:fill="auto"/>
            <w:noWrap/>
            <w:vAlign w:val="bottom"/>
            <w:hideMark/>
          </w:tcPr>
          <w:p w14:paraId="2894988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320,00</w:t>
            </w:r>
          </w:p>
        </w:tc>
        <w:tc>
          <w:tcPr>
            <w:tcW w:w="1559" w:type="dxa"/>
            <w:tcBorders>
              <w:top w:val="nil"/>
              <w:left w:val="nil"/>
              <w:bottom w:val="single" w:sz="4" w:space="0" w:color="auto"/>
              <w:right w:val="single" w:sz="4" w:space="0" w:color="auto"/>
            </w:tcBorders>
            <w:shd w:val="clear" w:color="auto" w:fill="auto"/>
            <w:noWrap/>
            <w:vAlign w:val="bottom"/>
            <w:hideMark/>
          </w:tcPr>
          <w:p w14:paraId="67AC300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6,40</w:t>
            </w:r>
          </w:p>
        </w:tc>
        <w:tc>
          <w:tcPr>
            <w:tcW w:w="1803" w:type="dxa"/>
            <w:tcBorders>
              <w:top w:val="nil"/>
              <w:left w:val="nil"/>
              <w:bottom w:val="single" w:sz="4" w:space="0" w:color="auto"/>
              <w:right w:val="single" w:sz="4" w:space="0" w:color="auto"/>
            </w:tcBorders>
            <w:shd w:val="clear" w:color="auto" w:fill="auto"/>
            <w:noWrap/>
            <w:vAlign w:val="bottom"/>
            <w:hideMark/>
          </w:tcPr>
          <w:p w14:paraId="53BB9D9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5.320,00</w:t>
            </w:r>
          </w:p>
        </w:tc>
      </w:tr>
      <w:tr w:rsidR="00846ACC" w:rsidRPr="004974C0" w14:paraId="03CF3AB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91CADF2" w14:textId="77777777" w:rsidR="004974C0" w:rsidRPr="004974C0" w:rsidRDefault="004974C0" w:rsidP="004974C0">
            <w:pPr>
              <w:rPr>
                <w:rFonts w:ascii="Arial" w:hAnsi="Arial" w:cs="Arial"/>
                <w:sz w:val="20"/>
                <w:szCs w:val="20"/>
              </w:rPr>
            </w:pPr>
            <w:r w:rsidRPr="004974C0">
              <w:rPr>
                <w:rFonts w:ascii="Arial" w:hAnsi="Arial" w:cs="Arial"/>
                <w:sz w:val="20"/>
                <w:szCs w:val="20"/>
              </w:rPr>
              <w:t>36</w:t>
            </w:r>
          </w:p>
        </w:tc>
        <w:tc>
          <w:tcPr>
            <w:tcW w:w="1984" w:type="dxa"/>
            <w:tcBorders>
              <w:top w:val="nil"/>
              <w:left w:val="nil"/>
              <w:bottom w:val="single" w:sz="4" w:space="0" w:color="auto"/>
              <w:right w:val="single" w:sz="4" w:space="0" w:color="auto"/>
            </w:tcBorders>
            <w:shd w:val="clear" w:color="auto" w:fill="auto"/>
            <w:noWrap/>
            <w:vAlign w:val="bottom"/>
            <w:hideMark/>
          </w:tcPr>
          <w:p w14:paraId="5C4A1C24" w14:textId="77777777" w:rsidR="004974C0" w:rsidRPr="004974C0" w:rsidRDefault="004974C0" w:rsidP="004974C0">
            <w:pPr>
              <w:rPr>
                <w:rFonts w:ascii="Arial" w:hAnsi="Arial" w:cs="Arial"/>
                <w:sz w:val="20"/>
                <w:szCs w:val="20"/>
              </w:rPr>
            </w:pPr>
            <w:r w:rsidRPr="004974C0">
              <w:rPr>
                <w:rFonts w:ascii="Arial" w:hAnsi="Arial" w:cs="Arial"/>
                <w:sz w:val="20"/>
                <w:szCs w:val="20"/>
              </w:rPr>
              <w:t>Pomoći dane u inozemstvo i unutar općeg proračuna</w:t>
            </w:r>
          </w:p>
        </w:tc>
        <w:tc>
          <w:tcPr>
            <w:tcW w:w="1843" w:type="dxa"/>
            <w:tcBorders>
              <w:top w:val="nil"/>
              <w:left w:val="nil"/>
              <w:bottom w:val="single" w:sz="4" w:space="0" w:color="auto"/>
              <w:right w:val="single" w:sz="4" w:space="0" w:color="auto"/>
            </w:tcBorders>
            <w:shd w:val="clear" w:color="auto" w:fill="auto"/>
            <w:noWrap/>
            <w:vAlign w:val="bottom"/>
            <w:hideMark/>
          </w:tcPr>
          <w:p w14:paraId="22267B6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3958EE9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559" w:type="dxa"/>
            <w:tcBorders>
              <w:top w:val="nil"/>
              <w:left w:val="nil"/>
              <w:bottom w:val="single" w:sz="4" w:space="0" w:color="auto"/>
              <w:right w:val="single" w:sz="4" w:space="0" w:color="auto"/>
            </w:tcBorders>
            <w:shd w:val="clear" w:color="auto" w:fill="auto"/>
            <w:noWrap/>
            <w:vAlign w:val="bottom"/>
            <w:hideMark/>
          </w:tcPr>
          <w:p w14:paraId="23C5FE5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-33,33</w:t>
            </w:r>
          </w:p>
        </w:tc>
        <w:tc>
          <w:tcPr>
            <w:tcW w:w="1803" w:type="dxa"/>
            <w:tcBorders>
              <w:top w:val="nil"/>
              <w:left w:val="nil"/>
              <w:bottom w:val="single" w:sz="4" w:space="0" w:color="auto"/>
              <w:right w:val="single" w:sz="4" w:space="0" w:color="auto"/>
            </w:tcBorders>
            <w:shd w:val="clear" w:color="auto" w:fill="auto"/>
            <w:noWrap/>
            <w:vAlign w:val="bottom"/>
            <w:hideMark/>
          </w:tcPr>
          <w:p w14:paraId="7DBAD6C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r>
      <w:tr w:rsidR="00846ACC" w:rsidRPr="004974C0" w14:paraId="252CAA4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00D040E" w14:textId="77777777" w:rsidR="004974C0" w:rsidRPr="004974C0" w:rsidRDefault="004974C0" w:rsidP="004974C0">
            <w:pPr>
              <w:rPr>
                <w:rFonts w:ascii="Arial" w:hAnsi="Arial" w:cs="Arial"/>
                <w:sz w:val="20"/>
                <w:szCs w:val="20"/>
              </w:rPr>
            </w:pPr>
            <w:r w:rsidRPr="004974C0">
              <w:rPr>
                <w:rFonts w:ascii="Arial" w:hAnsi="Arial" w:cs="Arial"/>
                <w:sz w:val="20"/>
                <w:szCs w:val="20"/>
              </w:rPr>
              <w:t>37</w:t>
            </w:r>
          </w:p>
        </w:tc>
        <w:tc>
          <w:tcPr>
            <w:tcW w:w="1984" w:type="dxa"/>
            <w:tcBorders>
              <w:top w:val="nil"/>
              <w:left w:val="nil"/>
              <w:bottom w:val="single" w:sz="4" w:space="0" w:color="auto"/>
              <w:right w:val="single" w:sz="4" w:space="0" w:color="auto"/>
            </w:tcBorders>
            <w:shd w:val="clear" w:color="auto" w:fill="auto"/>
            <w:noWrap/>
            <w:vAlign w:val="bottom"/>
            <w:hideMark/>
          </w:tcPr>
          <w:p w14:paraId="4E616B0C" w14:textId="77777777" w:rsidR="004974C0" w:rsidRPr="004974C0" w:rsidRDefault="004974C0" w:rsidP="004974C0">
            <w:pPr>
              <w:rPr>
                <w:rFonts w:ascii="Arial" w:hAnsi="Arial" w:cs="Arial"/>
                <w:sz w:val="20"/>
                <w:szCs w:val="20"/>
              </w:rPr>
            </w:pPr>
            <w:r w:rsidRPr="004974C0">
              <w:rPr>
                <w:rFonts w:ascii="Arial" w:hAnsi="Arial" w:cs="Arial"/>
                <w:sz w:val="20"/>
                <w:szCs w:val="20"/>
              </w:rPr>
              <w:t>Naknade građanima i kućanstvima na temelju osiguranja i druge naknade</w:t>
            </w:r>
          </w:p>
        </w:tc>
        <w:tc>
          <w:tcPr>
            <w:tcW w:w="1843" w:type="dxa"/>
            <w:tcBorders>
              <w:top w:val="nil"/>
              <w:left w:val="nil"/>
              <w:bottom w:val="single" w:sz="4" w:space="0" w:color="auto"/>
              <w:right w:val="single" w:sz="4" w:space="0" w:color="auto"/>
            </w:tcBorders>
            <w:shd w:val="clear" w:color="auto" w:fill="auto"/>
            <w:noWrap/>
            <w:vAlign w:val="bottom"/>
            <w:hideMark/>
          </w:tcPr>
          <w:p w14:paraId="0A547CA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30.000,00</w:t>
            </w:r>
          </w:p>
        </w:tc>
        <w:tc>
          <w:tcPr>
            <w:tcW w:w="1843" w:type="dxa"/>
            <w:tcBorders>
              <w:top w:val="nil"/>
              <w:left w:val="nil"/>
              <w:bottom w:val="single" w:sz="4" w:space="0" w:color="auto"/>
              <w:right w:val="single" w:sz="4" w:space="0" w:color="auto"/>
            </w:tcBorders>
            <w:shd w:val="clear" w:color="auto" w:fill="auto"/>
            <w:noWrap/>
            <w:vAlign w:val="bottom"/>
            <w:hideMark/>
          </w:tcPr>
          <w:p w14:paraId="663F15F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29.680,00</w:t>
            </w:r>
          </w:p>
        </w:tc>
        <w:tc>
          <w:tcPr>
            <w:tcW w:w="1559" w:type="dxa"/>
            <w:tcBorders>
              <w:top w:val="nil"/>
              <w:left w:val="nil"/>
              <w:bottom w:val="single" w:sz="4" w:space="0" w:color="auto"/>
              <w:right w:val="single" w:sz="4" w:space="0" w:color="auto"/>
            </w:tcBorders>
            <w:shd w:val="clear" w:color="auto" w:fill="auto"/>
            <w:noWrap/>
            <w:vAlign w:val="bottom"/>
            <w:hideMark/>
          </w:tcPr>
          <w:p w14:paraId="1D39A16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98,93</w:t>
            </w:r>
          </w:p>
        </w:tc>
        <w:tc>
          <w:tcPr>
            <w:tcW w:w="1803" w:type="dxa"/>
            <w:tcBorders>
              <w:top w:val="nil"/>
              <w:left w:val="nil"/>
              <w:bottom w:val="single" w:sz="4" w:space="0" w:color="auto"/>
              <w:right w:val="single" w:sz="4" w:space="0" w:color="auto"/>
            </w:tcBorders>
            <w:shd w:val="clear" w:color="auto" w:fill="auto"/>
            <w:noWrap/>
            <w:vAlign w:val="bottom"/>
            <w:hideMark/>
          </w:tcPr>
          <w:p w14:paraId="46F0F67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59.680,00</w:t>
            </w:r>
          </w:p>
        </w:tc>
      </w:tr>
      <w:tr w:rsidR="00846ACC" w:rsidRPr="004974C0" w14:paraId="100CF6A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3D8CEDE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5002 Obrazovanje</w:t>
            </w:r>
          </w:p>
        </w:tc>
        <w:tc>
          <w:tcPr>
            <w:tcW w:w="1984" w:type="dxa"/>
            <w:tcBorders>
              <w:top w:val="nil"/>
              <w:left w:val="nil"/>
              <w:bottom w:val="single" w:sz="4" w:space="0" w:color="auto"/>
              <w:right w:val="single" w:sz="4" w:space="0" w:color="auto"/>
            </w:tcBorders>
            <w:shd w:val="clear" w:color="000000" w:fill="9999FF"/>
            <w:noWrap/>
            <w:vAlign w:val="bottom"/>
            <w:hideMark/>
          </w:tcPr>
          <w:p w14:paraId="628EE89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1F7ED65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346.000,00</w:t>
            </w:r>
          </w:p>
        </w:tc>
        <w:tc>
          <w:tcPr>
            <w:tcW w:w="1843" w:type="dxa"/>
            <w:tcBorders>
              <w:top w:val="nil"/>
              <w:left w:val="nil"/>
              <w:bottom w:val="single" w:sz="4" w:space="0" w:color="auto"/>
              <w:right w:val="single" w:sz="4" w:space="0" w:color="auto"/>
            </w:tcBorders>
            <w:shd w:val="clear" w:color="000000" w:fill="9999FF"/>
            <w:noWrap/>
            <w:vAlign w:val="bottom"/>
            <w:hideMark/>
          </w:tcPr>
          <w:p w14:paraId="5FF23C8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7.354,00</w:t>
            </w:r>
          </w:p>
        </w:tc>
        <w:tc>
          <w:tcPr>
            <w:tcW w:w="1559" w:type="dxa"/>
            <w:tcBorders>
              <w:top w:val="nil"/>
              <w:left w:val="nil"/>
              <w:bottom w:val="single" w:sz="4" w:space="0" w:color="auto"/>
              <w:right w:val="single" w:sz="4" w:space="0" w:color="auto"/>
            </w:tcBorders>
            <w:shd w:val="clear" w:color="000000" w:fill="9999FF"/>
            <w:noWrap/>
            <w:vAlign w:val="bottom"/>
            <w:hideMark/>
          </w:tcPr>
          <w:p w14:paraId="6B09986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2,13</w:t>
            </w:r>
          </w:p>
        </w:tc>
        <w:tc>
          <w:tcPr>
            <w:tcW w:w="1803" w:type="dxa"/>
            <w:tcBorders>
              <w:top w:val="nil"/>
              <w:left w:val="nil"/>
              <w:bottom w:val="single" w:sz="4" w:space="0" w:color="auto"/>
              <w:right w:val="single" w:sz="4" w:space="0" w:color="auto"/>
            </w:tcBorders>
            <w:shd w:val="clear" w:color="000000" w:fill="9999FF"/>
            <w:noWrap/>
            <w:vAlign w:val="bottom"/>
            <w:hideMark/>
          </w:tcPr>
          <w:p w14:paraId="6A27B30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353.354,00</w:t>
            </w:r>
          </w:p>
        </w:tc>
      </w:tr>
      <w:tr w:rsidR="00846ACC" w:rsidRPr="004974C0" w14:paraId="30EF183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5C5E507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A500001 Stipendiranje učenika i studenata</w:t>
            </w:r>
          </w:p>
        </w:tc>
        <w:tc>
          <w:tcPr>
            <w:tcW w:w="1984" w:type="dxa"/>
            <w:tcBorders>
              <w:top w:val="nil"/>
              <w:left w:val="nil"/>
              <w:bottom w:val="single" w:sz="4" w:space="0" w:color="auto"/>
              <w:right w:val="single" w:sz="4" w:space="0" w:color="auto"/>
            </w:tcBorders>
            <w:shd w:val="clear" w:color="000000" w:fill="CCCCFF"/>
            <w:noWrap/>
            <w:vAlign w:val="bottom"/>
            <w:hideMark/>
          </w:tcPr>
          <w:p w14:paraId="29418DC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2E87C4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160.000,00</w:t>
            </w:r>
          </w:p>
        </w:tc>
        <w:tc>
          <w:tcPr>
            <w:tcW w:w="1843" w:type="dxa"/>
            <w:tcBorders>
              <w:top w:val="nil"/>
              <w:left w:val="nil"/>
              <w:bottom w:val="single" w:sz="4" w:space="0" w:color="auto"/>
              <w:right w:val="single" w:sz="4" w:space="0" w:color="auto"/>
            </w:tcBorders>
            <w:shd w:val="clear" w:color="000000" w:fill="CCCCFF"/>
            <w:noWrap/>
            <w:vAlign w:val="bottom"/>
            <w:hideMark/>
          </w:tcPr>
          <w:p w14:paraId="3BF5AFF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5B6BE18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54B7F99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160.000,00</w:t>
            </w:r>
          </w:p>
        </w:tc>
      </w:tr>
      <w:tr w:rsidR="00846ACC" w:rsidRPr="004974C0" w14:paraId="531330D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F816B5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0300F07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61677C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160.000,00</w:t>
            </w:r>
          </w:p>
        </w:tc>
        <w:tc>
          <w:tcPr>
            <w:tcW w:w="1843" w:type="dxa"/>
            <w:tcBorders>
              <w:top w:val="nil"/>
              <w:left w:val="nil"/>
              <w:bottom w:val="single" w:sz="4" w:space="0" w:color="auto"/>
              <w:right w:val="single" w:sz="4" w:space="0" w:color="auto"/>
            </w:tcBorders>
            <w:shd w:val="clear" w:color="000000" w:fill="FFFF99"/>
            <w:noWrap/>
            <w:vAlign w:val="bottom"/>
            <w:hideMark/>
          </w:tcPr>
          <w:p w14:paraId="36FDBFA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3FAE102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13AF9C7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160.000,00</w:t>
            </w:r>
          </w:p>
        </w:tc>
      </w:tr>
      <w:tr w:rsidR="00846ACC" w:rsidRPr="004974C0" w14:paraId="453E597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245823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FA2721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75FEE57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160.000,00</w:t>
            </w:r>
          </w:p>
        </w:tc>
        <w:tc>
          <w:tcPr>
            <w:tcW w:w="1843" w:type="dxa"/>
            <w:tcBorders>
              <w:top w:val="nil"/>
              <w:left w:val="nil"/>
              <w:bottom w:val="single" w:sz="4" w:space="0" w:color="auto"/>
              <w:right w:val="single" w:sz="4" w:space="0" w:color="auto"/>
            </w:tcBorders>
            <w:shd w:val="clear" w:color="auto" w:fill="auto"/>
            <w:noWrap/>
            <w:vAlign w:val="bottom"/>
            <w:hideMark/>
          </w:tcPr>
          <w:p w14:paraId="4EB5162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41F20B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93805A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160.000,00</w:t>
            </w:r>
          </w:p>
        </w:tc>
      </w:tr>
      <w:tr w:rsidR="00846ACC" w:rsidRPr="004974C0" w14:paraId="0AA7E92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3FC37F4" w14:textId="77777777" w:rsidR="004974C0" w:rsidRPr="004974C0" w:rsidRDefault="004974C0" w:rsidP="004974C0">
            <w:pPr>
              <w:rPr>
                <w:rFonts w:ascii="Arial" w:hAnsi="Arial" w:cs="Arial"/>
                <w:sz w:val="20"/>
                <w:szCs w:val="20"/>
              </w:rPr>
            </w:pPr>
            <w:r w:rsidRPr="004974C0">
              <w:rPr>
                <w:rFonts w:ascii="Arial" w:hAnsi="Arial" w:cs="Arial"/>
                <w:sz w:val="20"/>
                <w:szCs w:val="20"/>
              </w:rPr>
              <w:t>37</w:t>
            </w:r>
          </w:p>
        </w:tc>
        <w:tc>
          <w:tcPr>
            <w:tcW w:w="1984" w:type="dxa"/>
            <w:tcBorders>
              <w:top w:val="nil"/>
              <w:left w:val="nil"/>
              <w:bottom w:val="single" w:sz="4" w:space="0" w:color="auto"/>
              <w:right w:val="single" w:sz="4" w:space="0" w:color="auto"/>
            </w:tcBorders>
            <w:shd w:val="clear" w:color="auto" w:fill="auto"/>
            <w:noWrap/>
            <w:vAlign w:val="bottom"/>
            <w:hideMark/>
          </w:tcPr>
          <w:p w14:paraId="7DFB44CF" w14:textId="77777777" w:rsidR="004974C0" w:rsidRPr="004974C0" w:rsidRDefault="004974C0" w:rsidP="004974C0">
            <w:pPr>
              <w:rPr>
                <w:rFonts w:ascii="Arial" w:hAnsi="Arial" w:cs="Arial"/>
                <w:sz w:val="20"/>
                <w:szCs w:val="20"/>
              </w:rPr>
            </w:pPr>
            <w:r w:rsidRPr="004974C0">
              <w:rPr>
                <w:rFonts w:ascii="Arial" w:hAnsi="Arial" w:cs="Arial"/>
                <w:sz w:val="20"/>
                <w:szCs w:val="20"/>
              </w:rPr>
              <w:t>Naknade građanima i kućanstvima na temelju osiguranja i druge naknade</w:t>
            </w:r>
          </w:p>
        </w:tc>
        <w:tc>
          <w:tcPr>
            <w:tcW w:w="1843" w:type="dxa"/>
            <w:tcBorders>
              <w:top w:val="nil"/>
              <w:left w:val="nil"/>
              <w:bottom w:val="single" w:sz="4" w:space="0" w:color="auto"/>
              <w:right w:val="single" w:sz="4" w:space="0" w:color="auto"/>
            </w:tcBorders>
            <w:shd w:val="clear" w:color="auto" w:fill="auto"/>
            <w:noWrap/>
            <w:vAlign w:val="bottom"/>
            <w:hideMark/>
          </w:tcPr>
          <w:p w14:paraId="2B8BA9B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160.000,00</w:t>
            </w:r>
          </w:p>
        </w:tc>
        <w:tc>
          <w:tcPr>
            <w:tcW w:w="1843" w:type="dxa"/>
            <w:tcBorders>
              <w:top w:val="nil"/>
              <w:left w:val="nil"/>
              <w:bottom w:val="single" w:sz="4" w:space="0" w:color="auto"/>
              <w:right w:val="single" w:sz="4" w:space="0" w:color="auto"/>
            </w:tcBorders>
            <w:shd w:val="clear" w:color="auto" w:fill="auto"/>
            <w:noWrap/>
            <w:vAlign w:val="bottom"/>
            <w:hideMark/>
          </w:tcPr>
          <w:p w14:paraId="27FBB14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DCC765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7E4AC0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160.000,00</w:t>
            </w:r>
          </w:p>
        </w:tc>
      </w:tr>
      <w:tr w:rsidR="00846ACC" w:rsidRPr="004974C0" w14:paraId="184FF9C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66A82C8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A500002 Pomoći u školovanju</w:t>
            </w:r>
          </w:p>
        </w:tc>
        <w:tc>
          <w:tcPr>
            <w:tcW w:w="1984" w:type="dxa"/>
            <w:tcBorders>
              <w:top w:val="nil"/>
              <w:left w:val="nil"/>
              <w:bottom w:val="single" w:sz="4" w:space="0" w:color="auto"/>
              <w:right w:val="single" w:sz="4" w:space="0" w:color="auto"/>
            </w:tcBorders>
            <w:shd w:val="clear" w:color="000000" w:fill="CCCCFF"/>
            <w:noWrap/>
            <w:vAlign w:val="bottom"/>
            <w:hideMark/>
          </w:tcPr>
          <w:p w14:paraId="5CC0E2B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EC6CF7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14.000,00</w:t>
            </w:r>
          </w:p>
        </w:tc>
        <w:tc>
          <w:tcPr>
            <w:tcW w:w="1843" w:type="dxa"/>
            <w:tcBorders>
              <w:top w:val="nil"/>
              <w:left w:val="nil"/>
              <w:bottom w:val="single" w:sz="4" w:space="0" w:color="auto"/>
              <w:right w:val="single" w:sz="4" w:space="0" w:color="auto"/>
            </w:tcBorders>
            <w:shd w:val="clear" w:color="000000" w:fill="CCCCFF"/>
            <w:noWrap/>
            <w:vAlign w:val="bottom"/>
            <w:hideMark/>
          </w:tcPr>
          <w:p w14:paraId="5C10DBA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c>
          <w:tcPr>
            <w:tcW w:w="1559" w:type="dxa"/>
            <w:tcBorders>
              <w:top w:val="nil"/>
              <w:left w:val="nil"/>
              <w:bottom w:val="single" w:sz="4" w:space="0" w:color="auto"/>
              <w:right w:val="single" w:sz="4" w:space="0" w:color="auto"/>
            </w:tcBorders>
            <w:shd w:val="clear" w:color="000000" w:fill="CCCCFF"/>
            <w:noWrap/>
            <w:vAlign w:val="bottom"/>
            <w:hideMark/>
          </w:tcPr>
          <w:p w14:paraId="0DC8233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35,71</w:t>
            </w:r>
          </w:p>
        </w:tc>
        <w:tc>
          <w:tcPr>
            <w:tcW w:w="1803" w:type="dxa"/>
            <w:tcBorders>
              <w:top w:val="nil"/>
              <w:left w:val="nil"/>
              <w:bottom w:val="single" w:sz="4" w:space="0" w:color="auto"/>
              <w:right w:val="single" w:sz="4" w:space="0" w:color="auto"/>
            </w:tcBorders>
            <w:shd w:val="clear" w:color="000000" w:fill="CCCCFF"/>
            <w:noWrap/>
            <w:vAlign w:val="bottom"/>
            <w:hideMark/>
          </w:tcPr>
          <w:p w14:paraId="51FAA9C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19.000,00</w:t>
            </w:r>
          </w:p>
        </w:tc>
      </w:tr>
      <w:tr w:rsidR="00846ACC" w:rsidRPr="004974C0" w14:paraId="15B06A3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F2D3F5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15E50CA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F24620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14.000,00</w:t>
            </w:r>
          </w:p>
        </w:tc>
        <w:tc>
          <w:tcPr>
            <w:tcW w:w="1843" w:type="dxa"/>
            <w:tcBorders>
              <w:top w:val="nil"/>
              <w:left w:val="nil"/>
              <w:bottom w:val="single" w:sz="4" w:space="0" w:color="auto"/>
              <w:right w:val="single" w:sz="4" w:space="0" w:color="auto"/>
            </w:tcBorders>
            <w:shd w:val="clear" w:color="000000" w:fill="FFFF99"/>
            <w:noWrap/>
            <w:vAlign w:val="bottom"/>
            <w:hideMark/>
          </w:tcPr>
          <w:p w14:paraId="01D07E5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c>
          <w:tcPr>
            <w:tcW w:w="1559" w:type="dxa"/>
            <w:tcBorders>
              <w:top w:val="nil"/>
              <w:left w:val="nil"/>
              <w:bottom w:val="single" w:sz="4" w:space="0" w:color="auto"/>
              <w:right w:val="single" w:sz="4" w:space="0" w:color="auto"/>
            </w:tcBorders>
            <w:shd w:val="clear" w:color="000000" w:fill="FFFF99"/>
            <w:noWrap/>
            <w:vAlign w:val="bottom"/>
            <w:hideMark/>
          </w:tcPr>
          <w:p w14:paraId="368B3EA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35,71</w:t>
            </w:r>
          </w:p>
        </w:tc>
        <w:tc>
          <w:tcPr>
            <w:tcW w:w="1803" w:type="dxa"/>
            <w:tcBorders>
              <w:top w:val="nil"/>
              <w:left w:val="nil"/>
              <w:bottom w:val="single" w:sz="4" w:space="0" w:color="auto"/>
              <w:right w:val="single" w:sz="4" w:space="0" w:color="auto"/>
            </w:tcBorders>
            <w:shd w:val="clear" w:color="000000" w:fill="FFFF99"/>
            <w:noWrap/>
            <w:vAlign w:val="bottom"/>
            <w:hideMark/>
          </w:tcPr>
          <w:p w14:paraId="16F0246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19.000,00</w:t>
            </w:r>
          </w:p>
        </w:tc>
      </w:tr>
      <w:tr w:rsidR="00846ACC" w:rsidRPr="004974C0" w14:paraId="53E7592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BE6A22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9E8AA6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7DDD4C1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14.000,00</w:t>
            </w:r>
          </w:p>
        </w:tc>
        <w:tc>
          <w:tcPr>
            <w:tcW w:w="1843" w:type="dxa"/>
            <w:tcBorders>
              <w:top w:val="nil"/>
              <w:left w:val="nil"/>
              <w:bottom w:val="single" w:sz="4" w:space="0" w:color="auto"/>
              <w:right w:val="single" w:sz="4" w:space="0" w:color="auto"/>
            </w:tcBorders>
            <w:shd w:val="clear" w:color="auto" w:fill="auto"/>
            <w:noWrap/>
            <w:vAlign w:val="bottom"/>
            <w:hideMark/>
          </w:tcPr>
          <w:p w14:paraId="2DBDDE8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5.000,00</w:t>
            </w:r>
          </w:p>
        </w:tc>
        <w:tc>
          <w:tcPr>
            <w:tcW w:w="1559" w:type="dxa"/>
            <w:tcBorders>
              <w:top w:val="nil"/>
              <w:left w:val="nil"/>
              <w:bottom w:val="single" w:sz="4" w:space="0" w:color="auto"/>
              <w:right w:val="single" w:sz="4" w:space="0" w:color="auto"/>
            </w:tcBorders>
            <w:shd w:val="clear" w:color="auto" w:fill="auto"/>
            <w:noWrap/>
            <w:vAlign w:val="bottom"/>
            <w:hideMark/>
          </w:tcPr>
          <w:p w14:paraId="680FEEA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35,71</w:t>
            </w:r>
          </w:p>
        </w:tc>
        <w:tc>
          <w:tcPr>
            <w:tcW w:w="1803" w:type="dxa"/>
            <w:tcBorders>
              <w:top w:val="nil"/>
              <w:left w:val="nil"/>
              <w:bottom w:val="single" w:sz="4" w:space="0" w:color="auto"/>
              <w:right w:val="single" w:sz="4" w:space="0" w:color="auto"/>
            </w:tcBorders>
            <w:shd w:val="clear" w:color="auto" w:fill="auto"/>
            <w:noWrap/>
            <w:vAlign w:val="bottom"/>
            <w:hideMark/>
          </w:tcPr>
          <w:p w14:paraId="4644AE8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19.000,00</w:t>
            </w:r>
          </w:p>
        </w:tc>
      </w:tr>
      <w:tr w:rsidR="00846ACC" w:rsidRPr="004974C0" w14:paraId="3131CD6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D5472FA"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BCBCF0A"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4D293F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w:t>
            </w:r>
          </w:p>
        </w:tc>
        <w:tc>
          <w:tcPr>
            <w:tcW w:w="1843" w:type="dxa"/>
            <w:tcBorders>
              <w:top w:val="nil"/>
              <w:left w:val="nil"/>
              <w:bottom w:val="single" w:sz="4" w:space="0" w:color="auto"/>
              <w:right w:val="single" w:sz="4" w:space="0" w:color="auto"/>
            </w:tcBorders>
            <w:shd w:val="clear" w:color="auto" w:fill="auto"/>
            <w:noWrap/>
            <w:vAlign w:val="bottom"/>
            <w:hideMark/>
          </w:tcPr>
          <w:p w14:paraId="0D8342B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-1.120,00</w:t>
            </w:r>
          </w:p>
        </w:tc>
        <w:tc>
          <w:tcPr>
            <w:tcW w:w="1559" w:type="dxa"/>
            <w:tcBorders>
              <w:top w:val="nil"/>
              <w:left w:val="nil"/>
              <w:bottom w:val="single" w:sz="4" w:space="0" w:color="auto"/>
              <w:right w:val="single" w:sz="4" w:space="0" w:color="auto"/>
            </w:tcBorders>
            <w:shd w:val="clear" w:color="auto" w:fill="auto"/>
            <w:noWrap/>
            <w:vAlign w:val="bottom"/>
            <w:hideMark/>
          </w:tcPr>
          <w:p w14:paraId="7FA289F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-28,00</w:t>
            </w:r>
          </w:p>
        </w:tc>
        <w:tc>
          <w:tcPr>
            <w:tcW w:w="1803" w:type="dxa"/>
            <w:tcBorders>
              <w:top w:val="nil"/>
              <w:left w:val="nil"/>
              <w:bottom w:val="single" w:sz="4" w:space="0" w:color="auto"/>
              <w:right w:val="single" w:sz="4" w:space="0" w:color="auto"/>
            </w:tcBorders>
            <w:shd w:val="clear" w:color="auto" w:fill="auto"/>
            <w:noWrap/>
            <w:vAlign w:val="bottom"/>
            <w:hideMark/>
          </w:tcPr>
          <w:p w14:paraId="1992D63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2.880,00</w:t>
            </w:r>
          </w:p>
        </w:tc>
      </w:tr>
      <w:tr w:rsidR="00846ACC" w:rsidRPr="004974C0" w14:paraId="423D4F9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EA0FFAB" w14:textId="77777777" w:rsidR="004974C0" w:rsidRPr="004974C0" w:rsidRDefault="004974C0" w:rsidP="004974C0">
            <w:pPr>
              <w:rPr>
                <w:rFonts w:ascii="Arial" w:hAnsi="Arial" w:cs="Arial"/>
                <w:sz w:val="20"/>
                <w:szCs w:val="20"/>
              </w:rPr>
            </w:pPr>
            <w:r w:rsidRPr="004974C0">
              <w:rPr>
                <w:rFonts w:ascii="Arial" w:hAnsi="Arial" w:cs="Arial"/>
                <w:sz w:val="20"/>
                <w:szCs w:val="20"/>
              </w:rPr>
              <w:t>36</w:t>
            </w:r>
          </w:p>
        </w:tc>
        <w:tc>
          <w:tcPr>
            <w:tcW w:w="1984" w:type="dxa"/>
            <w:tcBorders>
              <w:top w:val="nil"/>
              <w:left w:val="nil"/>
              <w:bottom w:val="single" w:sz="4" w:space="0" w:color="auto"/>
              <w:right w:val="single" w:sz="4" w:space="0" w:color="auto"/>
            </w:tcBorders>
            <w:shd w:val="clear" w:color="auto" w:fill="auto"/>
            <w:noWrap/>
            <w:vAlign w:val="bottom"/>
            <w:hideMark/>
          </w:tcPr>
          <w:p w14:paraId="617D1F82" w14:textId="77777777" w:rsidR="004974C0" w:rsidRPr="004974C0" w:rsidRDefault="004974C0" w:rsidP="004974C0">
            <w:pPr>
              <w:rPr>
                <w:rFonts w:ascii="Arial" w:hAnsi="Arial" w:cs="Arial"/>
                <w:sz w:val="20"/>
                <w:szCs w:val="20"/>
              </w:rPr>
            </w:pPr>
            <w:r w:rsidRPr="004974C0">
              <w:rPr>
                <w:rFonts w:ascii="Arial" w:hAnsi="Arial" w:cs="Arial"/>
                <w:sz w:val="20"/>
                <w:szCs w:val="20"/>
              </w:rPr>
              <w:t>Pomoći dane u inozemstvo i unutar općeg proračuna</w:t>
            </w:r>
          </w:p>
        </w:tc>
        <w:tc>
          <w:tcPr>
            <w:tcW w:w="1843" w:type="dxa"/>
            <w:tcBorders>
              <w:top w:val="nil"/>
              <w:left w:val="nil"/>
              <w:bottom w:val="single" w:sz="4" w:space="0" w:color="auto"/>
              <w:right w:val="single" w:sz="4" w:space="0" w:color="auto"/>
            </w:tcBorders>
            <w:shd w:val="clear" w:color="auto" w:fill="auto"/>
            <w:noWrap/>
            <w:vAlign w:val="bottom"/>
            <w:hideMark/>
          </w:tcPr>
          <w:p w14:paraId="182E96A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4E55F84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620,00</w:t>
            </w:r>
          </w:p>
        </w:tc>
        <w:tc>
          <w:tcPr>
            <w:tcW w:w="1559" w:type="dxa"/>
            <w:tcBorders>
              <w:top w:val="nil"/>
              <w:left w:val="nil"/>
              <w:bottom w:val="single" w:sz="4" w:space="0" w:color="auto"/>
              <w:right w:val="single" w:sz="4" w:space="0" w:color="auto"/>
            </w:tcBorders>
            <w:shd w:val="clear" w:color="auto" w:fill="auto"/>
            <w:noWrap/>
            <w:vAlign w:val="bottom"/>
            <w:hideMark/>
          </w:tcPr>
          <w:p w14:paraId="5323A34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62,00</w:t>
            </w:r>
          </w:p>
        </w:tc>
        <w:tc>
          <w:tcPr>
            <w:tcW w:w="1803" w:type="dxa"/>
            <w:tcBorders>
              <w:top w:val="nil"/>
              <w:left w:val="nil"/>
              <w:bottom w:val="single" w:sz="4" w:space="0" w:color="auto"/>
              <w:right w:val="single" w:sz="4" w:space="0" w:color="auto"/>
            </w:tcBorders>
            <w:shd w:val="clear" w:color="auto" w:fill="auto"/>
            <w:noWrap/>
            <w:vAlign w:val="bottom"/>
            <w:hideMark/>
          </w:tcPr>
          <w:p w14:paraId="193C881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1.620,00</w:t>
            </w:r>
          </w:p>
        </w:tc>
      </w:tr>
      <w:tr w:rsidR="00846ACC" w:rsidRPr="004974C0" w14:paraId="275F37C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5224185" w14:textId="77777777" w:rsidR="004974C0" w:rsidRPr="004974C0" w:rsidRDefault="004974C0" w:rsidP="004974C0">
            <w:pPr>
              <w:rPr>
                <w:rFonts w:ascii="Arial" w:hAnsi="Arial" w:cs="Arial"/>
                <w:sz w:val="20"/>
                <w:szCs w:val="20"/>
              </w:rPr>
            </w:pPr>
            <w:r w:rsidRPr="004974C0">
              <w:rPr>
                <w:rFonts w:ascii="Arial" w:hAnsi="Arial" w:cs="Arial"/>
                <w:sz w:val="20"/>
                <w:szCs w:val="20"/>
              </w:rPr>
              <w:t>37</w:t>
            </w:r>
          </w:p>
        </w:tc>
        <w:tc>
          <w:tcPr>
            <w:tcW w:w="1984" w:type="dxa"/>
            <w:tcBorders>
              <w:top w:val="nil"/>
              <w:left w:val="nil"/>
              <w:bottom w:val="single" w:sz="4" w:space="0" w:color="auto"/>
              <w:right w:val="single" w:sz="4" w:space="0" w:color="auto"/>
            </w:tcBorders>
            <w:shd w:val="clear" w:color="auto" w:fill="auto"/>
            <w:noWrap/>
            <w:vAlign w:val="bottom"/>
            <w:hideMark/>
          </w:tcPr>
          <w:p w14:paraId="4E386EF8" w14:textId="77777777" w:rsidR="004974C0" w:rsidRPr="004974C0" w:rsidRDefault="004974C0" w:rsidP="004974C0">
            <w:pPr>
              <w:rPr>
                <w:rFonts w:ascii="Arial" w:hAnsi="Arial" w:cs="Arial"/>
                <w:sz w:val="20"/>
                <w:szCs w:val="20"/>
              </w:rPr>
            </w:pPr>
            <w:r w:rsidRPr="004974C0">
              <w:rPr>
                <w:rFonts w:ascii="Arial" w:hAnsi="Arial" w:cs="Arial"/>
                <w:sz w:val="20"/>
                <w:szCs w:val="20"/>
              </w:rPr>
              <w:t xml:space="preserve">Naknade građanima i kućanstvima na </w:t>
            </w:r>
            <w:r w:rsidRPr="004974C0">
              <w:rPr>
                <w:rFonts w:ascii="Arial" w:hAnsi="Arial" w:cs="Arial"/>
                <w:sz w:val="20"/>
                <w:szCs w:val="20"/>
              </w:rPr>
              <w:lastRenderedPageBreak/>
              <w:t>temelju osiguranja i druge naknade</w:t>
            </w:r>
          </w:p>
        </w:tc>
        <w:tc>
          <w:tcPr>
            <w:tcW w:w="1843" w:type="dxa"/>
            <w:tcBorders>
              <w:top w:val="nil"/>
              <w:left w:val="nil"/>
              <w:bottom w:val="single" w:sz="4" w:space="0" w:color="auto"/>
              <w:right w:val="single" w:sz="4" w:space="0" w:color="auto"/>
            </w:tcBorders>
            <w:shd w:val="clear" w:color="auto" w:fill="auto"/>
            <w:noWrap/>
            <w:vAlign w:val="bottom"/>
            <w:hideMark/>
          </w:tcPr>
          <w:p w14:paraId="6606104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lastRenderedPageBreak/>
              <w:t>9.000,00</w:t>
            </w:r>
          </w:p>
        </w:tc>
        <w:tc>
          <w:tcPr>
            <w:tcW w:w="1843" w:type="dxa"/>
            <w:tcBorders>
              <w:top w:val="nil"/>
              <w:left w:val="nil"/>
              <w:bottom w:val="single" w:sz="4" w:space="0" w:color="auto"/>
              <w:right w:val="single" w:sz="4" w:space="0" w:color="auto"/>
            </w:tcBorders>
            <w:shd w:val="clear" w:color="auto" w:fill="auto"/>
            <w:noWrap/>
            <w:vAlign w:val="bottom"/>
            <w:hideMark/>
          </w:tcPr>
          <w:p w14:paraId="11AAB0F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5.500,00</w:t>
            </w:r>
          </w:p>
        </w:tc>
        <w:tc>
          <w:tcPr>
            <w:tcW w:w="1559" w:type="dxa"/>
            <w:tcBorders>
              <w:top w:val="nil"/>
              <w:left w:val="nil"/>
              <w:bottom w:val="single" w:sz="4" w:space="0" w:color="auto"/>
              <w:right w:val="single" w:sz="4" w:space="0" w:color="auto"/>
            </w:tcBorders>
            <w:shd w:val="clear" w:color="auto" w:fill="auto"/>
            <w:noWrap/>
            <w:vAlign w:val="bottom"/>
            <w:hideMark/>
          </w:tcPr>
          <w:p w14:paraId="5C537FF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61,11</w:t>
            </w:r>
          </w:p>
        </w:tc>
        <w:tc>
          <w:tcPr>
            <w:tcW w:w="1803" w:type="dxa"/>
            <w:tcBorders>
              <w:top w:val="nil"/>
              <w:left w:val="nil"/>
              <w:bottom w:val="single" w:sz="4" w:space="0" w:color="auto"/>
              <w:right w:val="single" w:sz="4" w:space="0" w:color="auto"/>
            </w:tcBorders>
            <w:shd w:val="clear" w:color="auto" w:fill="auto"/>
            <w:noWrap/>
            <w:vAlign w:val="bottom"/>
            <w:hideMark/>
          </w:tcPr>
          <w:p w14:paraId="0A6031B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14.500,00</w:t>
            </w:r>
          </w:p>
        </w:tc>
      </w:tr>
      <w:tr w:rsidR="00846ACC" w:rsidRPr="004974C0" w14:paraId="6C5EE870"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AEBBD6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xml:space="preserve">Tekući projekt T500006 </w:t>
            </w:r>
            <w:proofErr w:type="spellStart"/>
            <w:r w:rsidRPr="004974C0">
              <w:rPr>
                <w:rFonts w:ascii="Arial" w:hAnsi="Arial" w:cs="Arial"/>
                <w:b/>
                <w:bCs/>
                <w:color w:val="000000"/>
                <w:sz w:val="20"/>
                <w:szCs w:val="20"/>
              </w:rPr>
              <w:t>Ravnomj</w:t>
            </w:r>
            <w:proofErr w:type="spellEnd"/>
            <w:r w:rsidRPr="004974C0">
              <w:rPr>
                <w:rFonts w:ascii="Arial" w:hAnsi="Arial" w:cs="Arial"/>
                <w:b/>
                <w:bCs/>
                <w:color w:val="000000"/>
                <w:sz w:val="20"/>
                <w:szCs w:val="20"/>
              </w:rPr>
              <w:t>. socijalna i obrazovna inkluzija učen. s teškoćama u razvoju IV -Projekt RAST IV</w:t>
            </w:r>
          </w:p>
        </w:tc>
        <w:tc>
          <w:tcPr>
            <w:tcW w:w="1984" w:type="dxa"/>
            <w:tcBorders>
              <w:top w:val="nil"/>
              <w:left w:val="nil"/>
              <w:bottom w:val="single" w:sz="4" w:space="0" w:color="auto"/>
              <w:right w:val="single" w:sz="4" w:space="0" w:color="auto"/>
            </w:tcBorders>
            <w:shd w:val="clear" w:color="000000" w:fill="CCCCFF"/>
            <w:noWrap/>
            <w:vAlign w:val="bottom"/>
            <w:hideMark/>
          </w:tcPr>
          <w:p w14:paraId="10CD4E9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2F4DBA1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172.000,00</w:t>
            </w:r>
          </w:p>
        </w:tc>
        <w:tc>
          <w:tcPr>
            <w:tcW w:w="1843" w:type="dxa"/>
            <w:tcBorders>
              <w:top w:val="nil"/>
              <w:left w:val="nil"/>
              <w:bottom w:val="single" w:sz="4" w:space="0" w:color="auto"/>
              <w:right w:val="single" w:sz="4" w:space="0" w:color="auto"/>
            </w:tcBorders>
            <w:shd w:val="clear" w:color="000000" w:fill="CCCCFF"/>
            <w:noWrap/>
            <w:vAlign w:val="bottom"/>
            <w:hideMark/>
          </w:tcPr>
          <w:p w14:paraId="53E91B7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2.354,00</w:t>
            </w:r>
          </w:p>
        </w:tc>
        <w:tc>
          <w:tcPr>
            <w:tcW w:w="1559" w:type="dxa"/>
            <w:tcBorders>
              <w:top w:val="nil"/>
              <w:left w:val="nil"/>
              <w:bottom w:val="single" w:sz="4" w:space="0" w:color="auto"/>
              <w:right w:val="single" w:sz="4" w:space="0" w:color="auto"/>
            </w:tcBorders>
            <w:shd w:val="clear" w:color="000000" w:fill="CCCCFF"/>
            <w:noWrap/>
            <w:vAlign w:val="bottom"/>
            <w:hideMark/>
          </w:tcPr>
          <w:p w14:paraId="30D04C0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1,37</w:t>
            </w:r>
          </w:p>
        </w:tc>
        <w:tc>
          <w:tcPr>
            <w:tcW w:w="1803" w:type="dxa"/>
            <w:tcBorders>
              <w:top w:val="nil"/>
              <w:left w:val="nil"/>
              <w:bottom w:val="single" w:sz="4" w:space="0" w:color="auto"/>
              <w:right w:val="single" w:sz="4" w:space="0" w:color="auto"/>
            </w:tcBorders>
            <w:shd w:val="clear" w:color="000000" w:fill="CCCCFF"/>
            <w:noWrap/>
            <w:vAlign w:val="bottom"/>
            <w:hideMark/>
          </w:tcPr>
          <w:p w14:paraId="420246B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174.354,00</w:t>
            </w:r>
          </w:p>
        </w:tc>
      </w:tr>
      <w:tr w:rsidR="00846ACC" w:rsidRPr="004974C0" w14:paraId="083E4D0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007FF5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5.4. POMOĆI IZ DRŽAVNOG PRORAČUNA</w:t>
            </w:r>
          </w:p>
        </w:tc>
        <w:tc>
          <w:tcPr>
            <w:tcW w:w="1984" w:type="dxa"/>
            <w:tcBorders>
              <w:top w:val="nil"/>
              <w:left w:val="nil"/>
              <w:bottom w:val="single" w:sz="4" w:space="0" w:color="auto"/>
              <w:right w:val="single" w:sz="4" w:space="0" w:color="auto"/>
            </w:tcBorders>
            <w:shd w:val="clear" w:color="000000" w:fill="FFFF99"/>
            <w:noWrap/>
            <w:vAlign w:val="bottom"/>
            <w:hideMark/>
          </w:tcPr>
          <w:p w14:paraId="1DDC2AD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264395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172.000,00</w:t>
            </w:r>
          </w:p>
        </w:tc>
        <w:tc>
          <w:tcPr>
            <w:tcW w:w="1843" w:type="dxa"/>
            <w:tcBorders>
              <w:top w:val="nil"/>
              <w:left w:val="nil"/>
              <w:bottom w:val="single" w:sz="4" w:space="0" w:color="auto"/>
              <w:right w:val="single" w:sz="4" w:space="0" w:color="auto"/>
            </w:tcBorders>
            <w:shd w:val="clear" w:color="000000" w:fill="FFFF99"/>
            <w:noWrap/>
            <w:vAlign w:val="bottom"/>
            <w:hideMark/>
          </w:tcPr>
          <w:p w14:paraId="79F8CA7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2.354,00</w:t>
            </w:r>
          </w:p>
        </w:tc>
        <w:tc>
          <w:tcPr>
            <w:tcW w:w="1559" w:type="dxa"/>
            <w:tcBorders>
              <w:top w:val="nil"/>
              <w:left w:val="nil"/>
              <w:bottom w:val="single" w:sz="4" w:space="0" w:color="auto"/>
              <w:right w:val="single" w:sz="4" w:space="0" w:color="auto"/>
            </w:tcBorders>
            <w:shd w:val="clear" w:color="000000" w:fill="FFFF99"/>
            <w:noWrap/>
            <w:vAlign w:val="bottom"/>
            <w:hideMark/>
          </w:tcPr>
          <w:p w14:paraId="587D48B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1,37</w:t>
            </w:r>
          </w:p>
        </w:tc>
        <w:tc>
          <w:tcPr>
            <w:tcW w:w="1803" w:type="dxa"/>
            <w:tcBorders>
              <w:top w:val="nil"/>
              <w:left w:val="nil"/>
              <w:bottom w:val="single" w:sz="4" w:space="0" w:color="auto"/>
              <w:right w:val="single" w:sz="4" w:space="0" w:color="auto"/>
            </w:tcBorders>
            <w:shd w:val="clear" w:color="000000" w:fill="FFFF99"/>
            <w:noWrap/>
            <w:vAlign w:val="bottom"/>
            <w:hideMark/>
          </w:tcPr>
          <w:p w14:paraId="595AB77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174.354,00</w:t>
            </w:r>
          </w:p>
        </w:tc>
      </w:tr>
      <w:tr w:rsidR="00846ACC" w:rsidRPr="004974C0" w14:paraId="58B6F32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91D700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960047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397A14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172.000,00</w:t>
            </w:r>
          </w:p>
        </w:tc>
        <w:tc>
          <w:tcPr>
            <w:tcW w:w="1843" w:type="dxa"/>
            <w:tcBorders>
              <w:top w:val="nil"/>
              <w:left w:val="nil"/>
              <w:bottom w:val="single" w:sz="4" w:space="0" w:color="auto"/>
              <w:right w:val="single" w:sz="4" w:space="0" w:color="auto"/>
            </w:tcBorders>
            <w:shd w:val="clear" w:color="auto" w:fill="auto"/>
            <w:noWrap/>
            <w:vAlign w:val="bottom"/>
            <w:hideMark/>
          </w:tcPr>
          <w:p w14:paraId="7B139B3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2.354,00</w:t>
            </w:r>
          </w:p>
        </w:tc>
        <w:tc>
          <w:tcPr>
            <w:tcW w:w="1559" w:type="dxa"/>
            <w:tcBorders>
              <w:top w:val="nil"/>
              <w:left w:val="nil"/>
              <w:bottom w:val="single" w:sz="4" w:space="0" w:color="auto"/>
              <w:right w:val="single" w:sz="4" w:space="0" w:color="auto"/>
            </w:tcBorders>
            <w:shd w:val="clear" w:color="auto" w:fill="auto"/>
            <w:noWrap/>
            <w:vAlign w:val="bottom"/>
            <w:hideMark/>
          </w:tcPr>
          <w:p w14:paraId="3A35F56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1,37</w:t>
            </w:r>
          </w:p>
        </w:tc>
        <w:tc>
          <w:tcPr>
            <w:tcW w:w="1803" w:type="dxa"/>
            <w:tcBorders>
              <w:top w:val="nil"/>
              <w:left w:val="nil"/>
              <w:bottom w:val="single" w:sz="4" w:space="0" w:color="auto"/>
              <w:right w:val="single" w:sz="4" w:space="0" w:color="auto"/>
            </w:tcBorders>
            <w:shd w:val="clear" w:color="auto" w:fill="auto"/>
            <w:noWrap/>
            <w:vAlign w:val="bottom"/>
            <w:hideMark/>
          </w:tcPr>
          <w:p w14:paraId="43135BD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174.354,00</w:t>
            </w:r>
          </w:p>
        </w:tc>
      </w:tr>
      <w:tr w:rsidR="00846ACC" w:rsidRPr="004974C0" w14:paraId="45F885F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D9B649A"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4D6F59B0"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3D0849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317B4B8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20E50F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A45E1E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r>
      <w:tr w:rsidR="00846ACC" w:rsidRPr="004974C0" w14:paraId="78F497F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A38BBF5" w14:textId="77777777" w:rsidR="004974C0" w:rsidRPr="004974C0" w:rsidRDefault="004974C0" w:rsidP="004974C0">
            <w:pPr>
              <w:rPr>
                <w:rFonts w:ascii="Arial" w:hAnsi="Arial" w:cs="Arial"/>
                <w:sz w:val="20"/>
                <w:szCs w:val="20"/>
              </w:rPr>
            </w:pPr>
            <w:r w:rsidRPr="004974C0">
              <w:rPr>
                <w:rFonts w:ascii="Arial" w:hAnsi="Arial" w:cs="Arial"/>
                <w:sz w:val="20"/>
                <w:szCs w:val="20"/>
              </w:rPr>
              <w:t>36</w:t>
            </w:r>
          </w:p>
        </w:tc>
        <w:tc>
          <w:tcPr>
            <w:tcW w:w="1984" w:type="dxa"/>
            <w:tcBorders>
              <w:top w:val="nil"/>
              <w:left w:val="nil"/>
              <w:bottom w:val="single" w:sz="4" w:space="0" w:color="auto"/>
              <w:right w:val="single" w:sz="4" w:space="0" w:color="auto"/>
            </w:tcBorders>
            <w:shd w:val="clear" w:color="auto" w:fill="auto"/>
            <w:noWrap/>
            <w:vAlign w:val="bottom"/>
            <w:hideMark/>
          </w:tcPr>
          <w:p w14:paraId="1D8F94AD" w14:textId="77777777" w:rsidR="004974C0" w:rsidRPr="004974C0" w:rsidRDefault="004974C0" w:rsidP="004974C0">
            <w:pPr>
              <w:rPr>
                <w:rFonts w:ascii="Arial" w:hAnsi="Arial" w:cs="Arial"/>
                <w:sz w:val="20"/>
                <w:szCs w:val="20"/>
              </w:rPr>
            </w:pPr>
            <w:r w:rsidRPr="004974C0">
              <w:rPr>
                <w:rFonts w:ascii="Arial" w:hAnsi="Arial" w:cs="Arial"/>
                <w:sz w:val="20"/>
                <w:szCs w:val="20"/>
              </w:rPr>
              <w:t>Pomoći dane u inozemstvo i unutar općeg proračuna</w:t>
            </w:r>
          </w:p>
        </w:tc>
        <w:tc>
          <w:tcPr>
            <w:tcW w:w="1843" w:type="dxa"/>
            <w:tcBorders>
              <w:top w:val="nil"/>
              <w:left w:val="nil"/>
              <w:bottom w:val="single" w:sz="4" w:space="0" w:color="auto"/>
              <w:right w:val="single" w:sz="4" w:space="0" w:color="auto"/>
            </w:tcBorders>
            <w:shd w:val="clear" w:color="auto" w:fill="auto"/>
            <w:noWrap/>
            <w:vAlign w:val="bottom"/>
            <w:hideMark/>
          </w:tcPr>
          <w:p w14:paraId="28476F3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170.000,00</w:t>
            </w:r>
          </w:p>
        </w:tc>
        <w:tc>
          <w:tcPr>
            <w:tcW w:w="1843" w:type="dxa"/>
            <w:tcBorders>
              <w:top w:val="nil"/>
              <w:left w:val="nil"/>
              <w:bottom w:val="single" w:sz="4" w:space="0" w:color="auto"/>
              <w:right w:val="single" w:sz="4" w:space="0" w:color="auto"/>
            </w:tcBorders>
            <w:shd w:val="clear" w:color="auto" w:fill="auto"/>
            <w:noWrap/>
            <w:vAlign w:val="bottom"/>
            <w:hideMark/>
          </w:tcPr>
          <w:p w14:paraId="5781631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2.354,00</w:t>
            </w:r>
          </w:p>
        </w:tc>
        <w:tc>
          <w:tcPr>
            <w:tcW w:w="1559" w:type="dxa"/>
            <w:tcBorders>
              <w:top w:val="nil"/>
              <w:left w:val="nil"/>
              <w:bottom w:val="single" w:sz="4" w:space="0" w:color="auto"/>
              <w:right w:val="single" w:sz="4" w:space="0" w:color="auto"/>
            </w:tcBorders>
            <w:shd w:val="clear" w:color="auto" w:fill="auto"/>
            <w:noWrap/>
            <w:vAlign w:val="bottom"/>
            <w:hideMark/>
          </w:tcPr>
          <w:p w14:paraId="19C2933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1,38</w:t>
            </w:r>
          </w:p>
        </w:tc>
        <w:tc>
          <w:tcPr>
            <w:tcW w:w="1803" w:type="dxa"/>
            <w:tcBorders>
              <w:top w:val="nil"/>
              <w:left w:val="nil"/>
              <w:bottom w:val="single" w:sz="4" w:space="0" w:color="auto"/>
              <w:right w:val="single" w:sz="4" w:space="0" w:color="auto"/>
            </w:tcBorders>
            <w:shd w:val="clear" w:color="auto" w:fill="auto"/>
            <w:noWrap/>
            <w:vAlign w:val="bottom"/>
            <w:hideMark/>
          </w:tcPr>
          <w:p w14:paraId="5895769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172.354,00</w:t>
            </w:r>
          </w:p>
        </w:tc>
      </w:tr>
      <w:tr w:rsidR="00846ACC" w:rsidRPr="004974C0" w14:paraId="5D94DE4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5A76AF4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5003 Razvoj sporta i rekreacije</w:t>
            </w:r>
          </w:p>
        </w:tc>
        <w:tc>
          <w:tcPr>
            <w:tcW w:w="1984" w:type="dxa"/>
            <w:tcBorders>
              <w:top w:val="nil"/>
              <w:left w:val="nil"/>
              <w:bottom w:val="single" w:sz="4" w:space="0" w:color="auto"/>
              <w:right w:val="single" w:sz="4" w:space="0" w:color="auto"/>
            </w:tcBorders>
            <w:shd w:val="clear" w:color="000000" w:fill="9999FF"/>
            <w:noWrap/>
            <w:vAlign w:val="bottom"/>
            <w:hideMark/>
          </w:tcPr>
          <w:p w14:paraId="162F1AD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2824D6F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385.000,00</w:t>
            </w:r>
          </w:p>
        </w:tc>
        <w:tc>
          <w:tcPr>
            <w:tcW w:w="1843" w:type="dxa"/>
            <w:tcBorders>
              <w:top w:val="nil"/>
              <w:left w:val="nil"/>
              <w:bottom w:val="single" w:sz="4" w:space="0" w:color="auto"/>
              <w:right w:val="single" w:sz="4" w:space="0" w:color="auto"/>
            </w:tcBorders>
            <w:shd w:val="clear" w:color="000000" w:fill="9999FF"/>
            <w:noWrap/>
            <w:vAlign w:val="bottom"/>
            <w:hideMark/>
          </w:tcPr>
          <w:p w14:paraId="2856773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19.000,00</w:t>
            </w:r>
          </w:p>
        </w:tc>
        <w:tc>
          <w:tcPr>
            <w:tcW w:w="1559" w:type="dxa"/>
            <w:tcBorders>
              <w:top w:val="nil"/>
              <w:left w:val="nil"/>
              <w:bottom w:val="single" w:sz="4" w:space="0" w:color="auto"/>
              <w:right w:val="single" w:sz="4" w:space="0" w:color="auto"/>
            </w:tcBorders>
            <w:shd w:val="clear" w:color="000000" w:fill="9999FF"/>
            <w:noWrap/>
            <w:vAlign w:val="bottom"/>
            <w:hideMark/>
          </w:tcPr>
          <w:p w14:paraId="1827BA5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4,94</w:t>
            </w:r>
          </w:p>
        </w:tc>
        <w:tc>
          <w:tcPr>
            <w:tcW w:w="1803" w:type="dxa"/>
            <w:tcBorders>
              <w:top w:val="nil"/>
              <w:left w:val="nil"/>
              <w:bottom w:val="single" w:sz="4" w:space="0" w:color="auto"/>
              <w:right w:val="single" w:sz="4" w:space="0" w:color="auto"/>
            </w:tcBorders>
            <w:shd w:val="clear" w:color="000000" w:fill="9999FF"/>
            <w:noWrap/>
            <w:vAlign w:val="bottom"/>
            <w:hideMark/>
          </w:tcPr>
          <w:p w14:paraId="47247B2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404.000,00</w:t>
            </w:r>
          </w:p>
        </w:tc>
      </w:tr>
      <w:tr w:rsidR="00846ACC" w:rsidRPr="004974C0" w14:paraId="29D3DD8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331F5D1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A500001 Sufinanciranje Sportske zajednice Grada Labina</w:t>
            </w:r>
          </w:p>
        </w:tc>
        <w:tc>
          <w:tcPr>
            <w:tcW w:w="1984" w:type="dxa"/>
            <w:tcBorders>
              <w:top w:val="nil"/>
              <w:left w:val="nil"/>
              <w:bottom w:val="single" w:sz="4" w:space="0" w:color="auto"/>
              <w:right w:val="single" w:sz="4" w:space="0" w:color="auto"/>
            </w:tcBorders>
            <w:shd w:val="clear" w:color="000000" w:fill="CCCCFF"/>
            <w:noWrap/>
            <w:vAlign w:val="bottom"/>
            <w:hideMark/>
          </w:tcPr>
          <w:p w14:paraId="5542663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F58FEC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385.000,00</w:t>
            </w:r>
          </w:p>
        </w:tc>
        <w:tc>
          <w:tcPr>
            <w:tcW w:w="1843" w:type="dxa"/>
            <w:tcBorders>
              <w:top w:val="nil"/>
              <w:left w:val="nil"/>
              <w:bottom w:val="single" w:sz="4" w:space="0" w:color="auto"/>
              <w:right w:val="single" w:sz="4" w:space="0" w:color="auto"/>
            </w:tcBorders>
            <w:shd w:val="clear" w:color="000000" w:fill="CCCCFF"/>
            <w:noWrap/>
            <w:vAlign w:val="bottom"/>
            <w:hideMark/>
          </w:tcPr>
          <w:p w14:paraId="4434446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19.000,00</w:t>
            </w:r>
          </w:p>
        </w:tc>
        <w:tc>
          <w:tcPr>
            <w:tcW w:w="1559" w:type="dxa"/>
            <w:tcBorders>
              <w:top w:val="nil"/>
              <w:left w:val="nil"/>
              <w:bottom w:val="single" w:sz="4" w:space="0" w:color="auto"/>
              <w:right w:val="single" w:sz="4" w:space="0" w:color="auto"/>
            </w:tcBorders>
            <w:shd w:val="clear" w:color="000000" w:fill="CCCCFF"/>
            <w:noWrap/>
            <w:vAlign w:val="bottom"/>
            <w:hideMark/>
          </w:tcPr>
          <w:p w14:paraId="24322C4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4,94</w:t>
            </w:r>
          </w:p>
        </w:tc>
        <w:tc>
          <w:tcPr>
            <w:tcW w:w="1803" w:type="dxa"/>
            <w:tcBorders>
              <w:top w:val="nil"/>
              <w:left w:val="nil"/>
              <w:bottom w:val="single" w:sz="4" w:space="0" w:color="auto"/>
              <w:right w:val="single" w:sz="4" w:space="0" w:color="auto"/>
            </w:tcBorders>
            <w:shd w:val="clear" w:color="000000" w:fill="CCCCFF"/>
            <w:noWrap/>
            <w:vAlign w:val="bottom"/>
            <w:hideMark/>
          </w:tcPr>
          <w:p w14:paraId="33D913A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404.000,00</w:t>
            </w:r>
          </w:p>
        </w:tc>
      </w:tr>
      <w:tr w:rsidR="00846ACC" w:rsidRPr="004974C0" w14:paraId="582A8A3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FE6B1E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1042C7C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CF7CCC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385.000,00</w:t>
            </w:r>
          </w:p>
        </w:tc>
        <w:tc>
          <w:tcPr>
            <w:tcW w:w="1843" w:type="dxa"/>
            <w:tcBorders>
              <w:top w:val="nil"/>
              <w:left w:val="nil"/>
              <w:bottom w:val="single" w:sz="4" w:space="0" w:color="auto"/>
              <w:right w:val="single" w:sz="4" w:space="0" w:color="auto"/>
            </w:tcBorders>
            <w:shd w:val="clear" w:color="000000" w:fill="FFFF99"/>
            <w:noWrap/>
            <w:vAlign w:val="bottom"/>
            <w:hideMark/>
          </w:tcPr>
          <w:p w14:paraId="7976D45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19.000,00</w:t>
            </w:r>
          </w:p>
        </w:tc>
        <w:tc>
          <w:tcPr>
            <w:tcW w:w="1559" w:type="dxa"/>
            <w:tcBorders>
              <w:top w:val="nil"/>
              <w:left w:val="nil"/>
              <w:bottom w:val="single" w:sz="4" w:space="0" w:color="auto"/>
              <w:right w:val="single" w:sz="4" w:space="0" w:color="auto"/>
            </w:tcBorders>
            <w:shd w:val="clear" w:color="000000" w:fill="FFFF99"/>
            <w:noWrap/>
            <w:vAlign w:val="bottom"/>
            <w:hideMark/>
          </w:tcPr>
          <w:p w14:paraId="5EBBF6E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4,94</w:t>
            </w:r>
          </w:p>
        </w:tc>
        <w:tc>
          <w:tcPr>
            <w:tcW w:w="1803" w:type="dxa"/>
            <w:tcBorders>
              <w:top w:val="nil"/>
              <w:left w:val="nil"/>
              <w:bottom w:val="single" w:sz="4" w:space="0" w:color="auto"/>
              <w:right w:val="single" w:sz="4" w:space="0" w:color="auto"/>
            </w:tcBorders>
            <w:shd w:val="clear" w:color="000000" w:fill="FFFF99"/>
            <w:noWrap/>
            <w:vAlign w:val="bottom"/>
            <w:hideMark/>
          </w:tcPr>
          <w:p w14:paraId="6BFCB14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404.000,00</w:t>
            </w:r>
          </w:p>
        </w:tc>
      </w:tr>
      <w:tr w:rsidR="00846ACC" w:rsidRPr="004974C0" w14:paraId="06BC8DA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3058FD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76BEA7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20FD76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385.000,00</w:t>
            </w:r>
          </w:p>
        </w:tc>
        <w:tc>
          <w:tcPr>
            <w:tcW w:w="1843" w:type="dxa"/>
            <w:tcBorders>
              <w:top w:val="nil"/>
              <w:left w:val="nil"/>
              <w:bottom w:val="single" w:sz="4" w:space="0" w:color="auto"/>
              <w:right w:val="single" w:sz="4" w:space="0" w:color="auto"/>
            </w:tcBorders>
            <w:shd w:val="clear" w:color="auto" w:fill="auto"/>
            <w:noWrap/>
            <w:vAlign w:val="bottom"/>
            <w:hideMark/>
          </w:tcPr>
          <w:p w14:paraId="74C6D53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19.000,00</w:t>
            </w:r>
          </w:p>
        </w:tc>
        <w:tc>
          <w:tcPr>
            <w:tcW w:w="1559" w:type="dxa"/>
            <w:tcBorders>
              <w:top w:val="nil"/>
              <w:left w:val="nil"/>
              <w:bottom w:val="single" w:sz="4" w:space="0" w:color="auto"/>
              <w:right w:val="single" w:sz="4" w:space="0" w:color="auto"/>
            </w:tcBorders>
            <w:shd w:val="clear" w:color="auto" w:fill="auto"/>
            <w:noWrap/>
            <w:vAlign w:val="bottom"/>
            <w:hideMark/>
          </w:tcPr>
          <w:p w14:paraId="0AEEA08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4,94</w:t>
            </w:r>
          </w:p>
        </w:tc>
        <w:tc>
          <w:tcPr>
            <w:tcW w:w="1803" w:type="dxa"/>
            <w:tcBorders>
              <w:top w:val="nil"/>
              <w:left w:val="nil"/>
              <w:bottom w:val="single" w:sz="4" w:space="0" w:color="auto"/>
              <w:right w:val="single" w:sz="4" w:space="0" w:color="auto"/>
            </w:tcBorders>
            <w:shd w:val="clear" w:color="auto" w:fill="auto"/>
            <w:noWrap/>
            <w:vAlign w:val="bottom"/>
            <w:hideMark/>
          </w:tcPr>
          <w:p w14:paraId="7F915D7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404.000,00</w:t>
            </w:r>
          </w:p>
        </w:tc>
      </w:tr>
      <w:tr w:rsidR="00846ACC" w:rsidRPr="004974C0" w14:paraId="73CEF71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A941D10" w14:textId="77777777" w:rsidR="004974C0" w:rsidRPr="004974C0" w:rsidRDefault="004974C0" w:rsidP="004974C0">
            <w:pPr>
              <w:rPr>
                <w:rFonts w:ascii="Arial" w:hAnsi="Arial" w:cs="Arial"/>
                <w:sz w:val="20"/>
                <w:szCs w:val="20"/>
              </w:rPr>
            </w:pPr>
            <w:r w:rsidRPr="004974C0">
              <w:rPr>
                <w:rFonts w:ascii="Arial" w:hAnsi="Arial" w:cs="Arial"/>
                <w:sz w:val="20"/>
                <w:szCs w:val="20"/>
              </w:rPr>
              <w:t>38</w:t>
            </w:r>
          </w:p>
        </w:tc>
        <w:tc>
          <w:tcPr>
            <w:tcW w:w="1984" w:type="dxa"/>
            <w:tcBorders>
              <w:top w:val="nil"/>
              <w:left w:val="nil"/>
              <w:bottom w:val="single" w:sz="4" w:space="0" w:color="auto"/>
              <w:right w:val="single" w:sz="4" w:space="0" w:color="auto"/>
            </w:tcBorders>
            <w:shd w:val="clear" w:color="auto" w:fill="auto"/>
            <w:noWrap/>
            <w:vAlign w:val="bottom"/>
            <w:hideMark/>
          </w:tcPr>
          <w:p w14:paraId="6F2BA1E9"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donacije, kazne, naknade šteta i kapitalne pomoći</w:t>
            </w:r>
          </w:p>
        </w:tc>
        <w:tc>
          <w:tcPr>
            <w:tcW w:w="1843" w:type="dxa"/>
            <w:tcBorders>
              <w:top w:val="nil"/>
              <w:left w:val="nil"/>
              <w:bottom w:val="single" w:sz="4" w:space="0" w:color="auto"/>
              <w:right w:val="single" w:sz="4" w:space="0" w:color="auto"/>
            </w:tcBorders>
            <w:shd w:val="clear" w:color="auto" w:fill="auto"/>
            <w:noWrap/>
            <w:vAlign w:val="bottom"/>
            <w:hideMark/>
          </w:tcPr>
          <w:p w14:paraId="77EF633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385.000,00</w:t>
            </w:r>
          </w:p>
        </w:tc>
        <w:tc>
          <w:tcPr>
            <w:tcW w:w="1843" w:type="dxa"/>
            <w:tcBorders>
              <w:top w:val="nil"/>
              <w:left w:val="nil"/>
              <w:bottom w:val="single" w:sz="4" w:space="0" w:color="auto"/>
              <w:right w:val="single" w:sz="4" w:space="0" w:color="auto"/>
            </w:tcBorders>
            <w:shd w:val="clear" w:color="auto" w:fill="auto"/>
            <w:noWrap/>
            <w:vAlign w:val="bottom"/>
            <w:hideMark/>
          </w:tcPr>
          <w:p w14:paraId="35BD899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19.000,00</w:t>
            </w:r>
          </w:p>
        </w:tc>
        <w:tc>
          <w:tcPr>
            <w:tcW w:w="1559" w:type="dxa"/>
            <w:tcBorders>
              <w:top w:val="nil"/>
              <w:left w:val="nil"/>
              <w:bottom w:val="single" w:sz="4" w:space="0" w:color="auto"/>
              <w:right w:val="single" w:sz="4" w:space="0" w:color="auto"/>
            </w:tcBorders>
            <w:shd w:val="clear" w:color="auto" w:fill="auto"/>
            <w:noWrap/>
            <w:vAlign w:val="bottom"/>
            <w:hideMark/>
          </w:tcPr>
          <w:p w14:paraId="435485F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4,94</w:t>
            </w:r>
          </w:p>
        </w:tc>
        <w:tc>
          <w:tcPr>
            <w:tcW w:w="1803" w:type="dxa"/>
            <w:tcBorders>
              <w:top w:val="nil"/>
              <w:left w:val="nil"/>
              <w:bottom w:val="single" w:sz="4" w:space="0" w:color="auto"/>
              <w:right w:val="single" w:sz="4" w:space="0" w:color="auto"/>
            </w:tcBorders>
            <w:shd w:val="clear" w:color="auto" w:fill="auto"/>
            <w:noWrap/>
            <w:vAlign w:val="bottom"/>
            <w:hideMark/>
          </w:tcPr>
          <w:p w14:paraId="1CA4A80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404.000,00</w:t>
            </w:r>
          </w:p>
        </w:tc>
      </w:tr>
      <w:tr w:rsidR="00846ACC" w:rsidRPr="004974C0" w14:paraId="2C60DA5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65E9684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5004 Promicanje kulture</w:t>
            </w:r>
          </w:p>
        </w:tc>
        <w:tc>
          <w:tcPr>
            <w:tcW w:w="1984" w:type="dxa"/>
            <w:tcBorders>
              <w:top w:val="nil"/>
              <w:left w:val="nil"/>
              <w:bottom w:val="single" w:sz="4" w:space="0" w:color="auto"/>
              <w:right w:val="single" w:sz="4" w:space="0" w:color="auto"/>
            </w:tcBorders>
            <w:shd w:val="clear" w:color="000000" w:fill="9999FF"/>
            <w:noWrap/>
            <w:vAlign w:val="bottom"/>
            <w:hideMark/>
          </w:tcPr>
          <w:p w14:paraId="46520D4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54D48AC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139.500,00</w:t>
            </w:r>
          </w:p>
        </w:tc>
        <w:tc>
          <w:tcPr>
            <w:tcW w:w="1843" w:type="dxa"/>
            <w:tcBorders>
              <w:top w:val="nil"/>
              <w:left w:val="nil"/>
              <w:bottom w:val="single" w:sz="4" w:space="0" w:color="auto"/>
              <w:right w:val="single" w:sz="4" w:space="0" w:color="auto"/>
            </w:tcBorders>
            <w:shd w:val="clear" w:color="000000" w:fill="9999FF"/>
            <w:noWrap/>
            <w:vAlign w:val="bottom"/>
            <w:hideMark/>
          </w:tcPr>
          <w:p w14:paraId="78DCC54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60.566,00</w:t>
            </w:r>
          </w:p>
        </w:tc>
        <w:tc>
          <w:tcPr>
            <w:tcW w:w="1559" w:type="dxa"/>
            <w:tcBorders>
              <w:top w:val="nil"/>
              <w:left w:val="nil"/>
              <w:bottom w:val="single" w:sz="4" w:space="0" w:color="auto"/>
              <w:right w:val="single" w:sz="4" w:space="0" w:color="auto"/>
            </w:tcBorders>
            <w:shd w:val="clear" w:color="000000" w:fill="9999FF"/>
            <w:noWrap/>
            <w:vAlign w:val="bottom"/>
            <w:hideMark/>
          </w:tcPr>
          <w:p w14:paraId="48898F4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43,42</w:t>
            </w:r>
          </w:p>
        </w:tc>
        <w:tc>
          <w:tcPr>
            <w:tcW w:w="1803" w:type="dxa"/>
            <w:tcBorders>
              <w:top w:val="nil"/>
              <w:left w:val="nil"/>
              <w:bottom w:val="single" w:sz="4" w:space="0" w:color="auto"/>
              <w:right w:val="single" w:sz="4" w:space="0" w:color="auto"/>
            </w:tcBorders>
            <w:shd w:val="clear" w:color="000000" w:fill="9999FF"/>
            <w:noWrap/>
            <w:vAlign w:val="bottom"/>
            <w:hideMark/>
          </w:tcPr>
          <w:p w14:paraId="604AB07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200.066,00</w:t>
            </w:r>
          </w:p>
        </w:tc>
      </w:tr>
      <w:tr w:rsidR="00846ACC" w:rsidRPr="004974C0" w14:paraId="2763160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1AA500E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A500001 Kulturne manifestacije Grada Labina</w:t>
            </w:r>
          </w:p>
        </w:tc>
        <w:tc>
          <w:tcPr>
            <w:tcW w:w="1984" w:type="dxa"/>
            <w:tcBorders>
              <w:top w:val="nil"/>
              <w:left w:val="nil"/>
              <w:bottom w:val="single" w:sz="4" w:space="0" w:color="auto"/>
              <w:right w:val="single" w:sz="4" w:space="0" w:color="auto"/>
            </w:tcBorders>
            <w:shd w:val="clear" w:color="000000" w:fill="CCCCFF"/>
            <w:noWrap/>
            <w:vAlign w:val="bottom"/>
            <w:hideMark/>
          </w:tcPr>
          <w:p w14:paraId="4720EB8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4F8375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58.000,00</w:t>
            </w:r>
          </w:p>
        </w:tc>
        <w:tc>
          <w:tcPr>
            <w:tcW w:w="1843" w:type="dxa"/>
            <w:tcBorders>
              <w:top w:val="nil"/>
              <w:left w:val="nil"/>
              <w:bottom w:val="single" w:sz="4" w:space="0" w:color="auto"/>
              <w:right w:val="single" w:sz="4" w:space="0" w:color="auto"/>
            </w:tcBorders>
            <w:shd w:val="clear" w:color="000000" w:fill="CCCCFF"/>
            <w:noWrap/>
            <w:vAlign w:val="bottom"/>
            <w:hideMark/>
          </w:tcPr>
          <w:p w14:paraId="516FDF4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14.566,00</w:t>
            </w:r>
          </w:p>
        </w:tc>
        <w:tc>
          <w:tcPr>
            <w:tcW w:w="1559" w:type="dxa"/>
            <w:tcBorders>
              <w:top w:val="nil"/>
              <w:left w:val="nil"/>
              <w:bottom w:val="single" w:sz="4" w:space="0" w:color="auto"/>
              <w:right w:val="single" w:sz="4" w:space="0" w:color="auto"/>
            </w:tcBorders>
            <w:shd w:val="clear" w:color="000000" w:fill="CCCCFF"/>
            <w:noWrap/>
            <w:vAlign w:val="bottom"/>
            <w:hideMark/>
          </w:tcPr>
          <w:p w14:paraId="4BD52BA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25,11</w:t>
            </w:r>
          </w:p>
        </w:tc>
        <w:tc>
          <w:tcPr>
            <w:tcW w:w="1803" w:type="dxa"/>
            <w:tcBorders>
              <w:top w:val="nil"/>
              <w:left w:val="nil"/>
              <w:bottom w:val="single" w:sz="4" w:space="0" w:color="auto"/>
              <w:right w:val="single" w:sz="4" w:space="0" w:color="auto"/>
            </w:tcBorders>
            <w:shd w:val="clear" w:color="000000" w:fill="CCCCFF"/>
            <w:noWrap/>
            <w:vAlign w:val="bottom"/>
            <w:hideMark/>
          </w:tcPr>
          <w:p w14:paraId="4BF8EB2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72.566,00</w:t>
            </w:r>
          </w:p>
        </w:tc>
      </w:tr>
      <w:tr w:rsidR="00846ACC" w:rsidRPr="004974C0" w14:paraId="349090A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F5208D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29297C8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79AA31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53.000,00</w:t>
            </w:r>
          </w:p>
        </w:tc>
        <w:tc>
          <w:tcPr>
            <w:tcW w:w="1843" w:type="dxa"/>
            <w:tcBorders>
              <w:top w:val="nil"/>
              <w:left w:val="nil"/>
              <w:bottom w:val="single" w:sz="4" w:space="0" w:color="auto"/>
              <w:right w:val="single" w:sz="4" w:space="0" w:color="auto"/>
            </w:tcBorders>
            <w:shd w:val="clear" w:color="000000" w:fill="FFFF99"/>
            <w:noWrap/>
            <w:vAlign w:val="bottom"/>
            <w:hideMark/>
          </w:tcPr>
          <w:p w14:paraId="426F08E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14.500,00</w:t>
            </w:r>
          </w:p>
        </w:tc>
        <w:tc>
          <w:tcPr>
            <w:tcW w:w="1559" w:type="dxa"/>
            <w:tcBorders>
              <w:top w:val="nil"/>
              <w:left w:val="nil"/>
              <w:bottom w:val="single" w:sz="4" w:space="0" w:color="auto"/>
              <w:right w:val="single" w:sz="4" w:space="0" w:color="auto"/>
            </w:tcBorders>
            <w:shd w:val="clear" w:color="000000" w:fill="FFFF99"/>
            <w:noWrap/>
            <w:vAlign w:val="bottom"/>
            <w:hideMark/>
          </w:tcPr>
          <w:p w14:paraId="38B5B9E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27,36</w:t>
            </w:r>
          </w:p>
        </w:tc>
        <w:tc>
          <w:tcPr>
            <w:tcW w:w="1803" w:type="dxa"/>
            <w:tcBorders>
              <w:top w:val="nil"/>
              <w:left w:val="nil"/>
              <w:bottom w:val="single" w:sz="4" w:space="0" w:color="auto"/>
              <w:right w:val="single" w:sz="4" w:space="0" w:color="auto"/>
            </w:tcBorders>
            <w:shd w:val="clear" w:color="000000" w:fill="FFFF99"/>
            <w:noWrap/>
            <w:vAlign w:val="bottom"/>
            <w:hideMark/>
          </w:tcPr>
          <w:p w14:paraId="2EA96B9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67.500,00</w:t>
            </w:r>
          </w:p>
        </w:tc>
      </w:tr>
      <w:tr w:rsidR="00846ACC" w:rsidRPr="004974C0" w14:paraId="3241265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90A8E5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5029AF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0007C0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53.000,00</w:t>
            </w:r>
          </w:p>
        </w:tc>
        <w:tc>
          <w:tcPr>
            <w:tcW w:w="1843" w:type="dxa"/>
            <w:tcBorders>
              <w:top w:val="nil"/>
              <w:left w:val="nil"/>
              <w:bottom w:val="single" w:sz="4" w:space="0" w:color="auto"/>
              <w:right w:val="single" w:sz="4" w:space="0" w:color="auto"/>
            </w:tcBorders>
            <w:shd w:val="clear" w:color="auto" w:fill="auto"/>
            <w:noWrap/>
            <w:vAlign w:val="bottom"/>
            <w:hideMark/>
          </w:tcPr>
          <w:p w14:paraId="4DA3FC0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14.500,00</w:t>
            </w:r>
          </w:p>
        </w:tc>
        <w:tc>
          <w:tcPr>
            <w:tcW w:w="1559" w:type="dxa"/>
            <w:tcBorders>
              <w:top w:val="nil"/>
              <w:left w:val="nil"/>
              <w:bottom w:val="single" w:sz="4" w:space="0" w:color="auto"/>
              <w:right w:val="single" w:sz="4" w:space="0" w:color="auto"/>
            </w:tcBorders>
            <w:shd w:val="clear" w:color="auto" w:fill="auto"/>
            <w:noWrap/>
            <w:vAlign w:val="bottom"/>
            <w:hideMark/>
          </w:tcPr>
          <w:p w14:paraId="270780D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27,36</w:t>
            </w:r>
          </w:p>
        </w:tc>
        <w:tc>
          <w:tcPr>
            <w:tcW w:w="1803" w:type="dxa"/>
            <w:tcBorders>
              <w:top w:val="nil"/>
              <w:left w:val="nil"/>
              <w:bottom w:val="single" w:sz="4" w:space="0" w:color="auto"/>
              <w:right w:val="single" w:sz="4" w:space="0" w:color="auto"/>
            </w:tcBorders>
            <w:shd w:val="clear" w:color="auto" w:fill="auto"/>
            <w:noWrap/>
            <w:vAlign w:val="bottom"/>
            <w:hideMark/>
          </w:tcPr>
          <w:p w14:paraId="65E58C3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67.500,00</w:t>
            </w:r>
          </w:p>
        </w:tc>
      </w:tr>
      <w:tr w:rsidR="00846ACC" w:rsidRPr="004974C0" w14:paraId="2EC741C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867F9CD"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7E6D111"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CEF375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53.000,00</w:t>
            </w:r>
          </w:p>
        </w:tc>
        <w:tc>
          <w:tcPr>
            <w:tcW w:w="1843" w:type="dxa"/>
            <w:tcBorders>
              <w:top w:val="nil"/>
              <w:left w:val="nil"/>
              <w:bottom w:val="single" w:sz="4" w:space="0" w:color="auto"/>
              <w:right w:val="single" w:sz="4" w:space="0" w:color="auto"/>
            </w:tcBorders>
            <w:shd w:val="clear" w:color="auto" w:fill="auto"/>
            <w:noWrap/>
            <w:vAlign w:val="bottom"/>
            <w:hideMark/>
          </w:tcPr>
          <w:p w14:paraId="502BE1D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14.500,00</w:t>
            </w:r>
          </w:p>
        </w:tc>
        <w:tc>
          <w:tcPr>
            <w:tcW w:w="1559" w:type="dxa"/>
            <w:tcBorders>
              <w:top w:val="nil"/>
              <w:left w:val="nil"/>
              <w:bottom w:val="single" w:sz="4" w:space="0" w:color="auto"/>
              <w:right w:val="single" w:sz="4" w:space="0" w:color="auto"/>
            </w:tcBorders>
            <w:shd w:val="clear" w:color="auto" w:fill="auto"/>
            <w:noWrap/>
            <w:vAlign w:val="bottom"/>
            <w:hideMark/>
          </w:tcPr>
          <w:p w14:paraId="3E840D5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27,36</w:t>
            </w:r>
          </w:p>
        </w:tc>
        <w:tc>
          <w:tcPr>
            <w:tcW w:w="1803" w:type="dxa"/>
            <w:tcBorders>
              <w:top w:val="nil"/>
              <w:left w:val="nil"/>
              <w:bottom w:val="single" w:sz="4" w:space="0" w:color="auto"/>
              <w:right w:val="single" w:sz="4" w:space="0" w:color="auto"/>
            </w:tcBorders>
            <w:shd w:val="clear" w:color="auto" w:fill="auto"/>
            <w:noWrap/>
            <w:vAlign w:val="bottom"/>
            <w:hideMark/>
          </w:tcPr>
          <w:p w14:paraId="6B015FD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67.500,00</w:t>
            </w:r>
          </w:p>
        </w:tc>
      </w:tr>
      <w:tr w:rsidR="00846ACC" w:rsidRPr="004974C0" w14:paraId="179DE92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D344F6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5.4. POMOĆI IZ DRŽAVNOG PRORAČUNA</w:t>
            </w:r>
          </w:p>
        </w:tc>
        <w:tc>
          <w:tcPr>
            <w:tcW w:w="1984" w:type="dxa"/>
            <w:tcBorders>
              <w:top w:val="nil"/>
              <w:left w:val="nil"/>
              <w:bottom w:val="single" w:sz="4" w:space="0" w:color="auto"/>
              <w:right w:val="single" w:sz="4" w:space="0" w:color="auto"/>
            </w:tcBorders>
            <w:shd w:val="clear" w:color="000000" w:fill="FFFF99"/>
            <w:noWrap/>
            <w:vAlign w:val="bottom"/>
            <w:hideMark/>
          </w:tcPr>
          <w:p w14:paraId="4AD62A6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524CBE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843" w:type="dxa"/>
            <w:tcBorders>
              <w:top w:val="nil"/>
              <w:left w:val="nil"/>
              <w:bottom w:val="single" w:sz="4" w:space="0" w:color="auto"/>
              <w:right w:val="single" w:sz="4" w:space="0" w:color="auto"/>
            </w:tcBorders>
            <w:shd w:val="clear" w:color="000000" w:fill="FFFF99"/>
            <w:noWrap/>
            <w:vAlign w:val="bottom"/>
            <w:hideMark/>
          </w:tcPr>
          <w:p w14:paraId="3FAEBEF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2DE030F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0CC25E0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r>
      <w:tr w:rsidR="00846ACC" w:rsidRPr="004974C0" w14:paraId="23F1F59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006DA0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1E8373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49ACA3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414C714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CA28DB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323153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w:t>
            </w:r>
          </w:p>
        </w:tc>
      </w:tr>
      <w:tr w:rsidR="00846ACC" w:rsidRPr="004974C0" w14:paraId="30A2557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467593B"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BD6E8D3"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5EAECFE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736B98C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1D1EB4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D3BF7E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r>
      <w:tr w:rsidR="00846ACC" w:rsidRPr="004974C0" w14:paraId="2E3C042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EB5095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5.5. POMOĆI IZ ŽUPANIJSKOG PRORAČUNA</w:t>
            </w:r>
          </w:p>
        </w:tc>
        <w:tc>
          <w:tcPr>
            <w:tcW w:w="1984" w:type="dxa"/>
            <w:tcBorders>
              <w:top w:val="nil"/>
              <w:left w:val="nil"/>
              <w:bottom w:val="single" w:sz="4" w:space="0" w:color="auto"/>
              <w:right w:val="single" w:sz="4" w:space="0" w:color="auto"/>
            </w:tcBorders>
            <w:shd w:val="clear" w:color="000000" w:fill="FFFF99"/>
            <w:noWrap/>
            <w:vAlign w:val="bottom"/>
            <w:hideMark/>
          </w:tcPr>
          <w:p w14:paraId="62347CB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2A23D9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843" w:type="dxa"/>
            <w:tcBorders>
              <w:top w:val="nil"/>
              <w:left w:val="nil"/>
              <w:bottom w:val="single" w:sz="4" w:space="0" w:color="auto"/>
              <w:right w:val="single" w:sz="4" w:space="0" w:color="auto"/>
            </w:tcBorders>
            <w:shd w:val="clear" w:color="000000" w:fill="FFFF99"/>
            <w:noWrap/>
            <w:vAlign w:val="bottom"/>
            <w:hideMark/>
          </w:tcPr>
          <w:p w14:paraId="7521CF6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2D1D89F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6141A3F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r>
      <w:tr w:rsidR="00846ACC" w:rsidRPr="004974C0" w14:paraId="23D0DD1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F78730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AE1E77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779160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6B4F9A1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7D6FBA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D8148C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r>
      <w:tr w:rsidR="00846ACC" w:rsidRPr="004974C0" w14:paraId="3547D68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EBEB86A" w14:textId="77777777" w:rsidR="004974C0" w:rsidRPr="004974C0" w:rsidRDefault="004974C0" w:rsidP="004974C0">
            <w:pPr>
              <w:rPr>
                <w:rFonts w:ascii="Arial" w:hAnsi="Arial" w:cs="Arial"/>
                <w:sz w:val="20"/>
                <w:szCs w:val="20"/>
              </w:rPr>
            </w:pPr>
            <w:r w:rsidRPr="004974C0">
              <w:rPr>
                <w:rFonts w:ascii="Arial" w:hAnsi="Arial" w:cs="Arial"/>
                <w:sz w:val="20"/>
                <w:szCs w:val="20"/>
              </w:rPr>
              <w:lastRenderedPageBreak/>
              <w:t>32</w:t>
            </w:r>
          </w:p>
        </w:tc>
        <w:tc>
          <w:tcPr>
            <w:tcW w:w="1984" w:type="dxa"/>
            <w:tcBorders>
              <w:top w:val="nil"/>
              <w:left w:val="nil"/>
              <w:bottom w:val="single" w:sz="4" w:space="0" w:color="auto"/>
              <w:right w:val="single" w:sz="4" w:space="0" w:color="auto"/>
            </w:tcBorders>
            <w:shd w:val="clear" w:color="auto" w:fill="auto"/>
            <w:noWrap/>
            <w:vAlign w:val="bottom"/>
            <w:hideMark/>
          </w:tcPr>
          <w:p w14:paraId="15B5740E"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D3203B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32C674E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27EA21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F1D621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r>
      <w:tr w:rsidR="00846ACC" w:rsidRPr="004974C0" w14:paraId="40CFA1C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FFD09C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6.1. TEKUĆE DONACIJE</w:t>
            </w:r>
          </w:p>
        </w:tc>
        <w:tc>
          <w:tcPr>
            <w:tcW w:w="1984" w:type="dxa"/>
            <w:tcBorders>
              <w:top w:val="nil"/>
              <w:left w:val="nil"/>
              <w:bottom w:val="single" w:sz="4" w:space="0" w:color="auto"/>
              <w:right w:val="single" w:sz="4" w:space="0" w:color="auto"/>
            </w:tcBorders>
            <w:shd w:val="clear" w:color="000000" w:fill="FFFF99"/>
            <w:noWrap/>
            <w:vAlign w:val="bottom"/>
            <w:hideMark/>
          </w:tcPr>
          <w:p w14:paraId="496CD4E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F2FC7C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171009C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66,00</w:t>
            </w:r>
          </w:p>
        </w:tc>
        <w:tc>
          <w:tcPr>
            <w:tcW w:w="1559" w:type="dxa"/>
            <w:tcBorders>
              <w:top w:val="nil"/>
              <w:left w:val="nil"/>
              <w:bottom w:val="single" w:sz="4" w:space="0" w:color="auto"/>
              <w:right w:val="single" w:sz="4" w:space="0" w:color="auto"/>
            </w:tcBorders>
            <w:shd w:val="clear" w:color="000000" w:fill="FFFF99"/>
            <w:noWrap/>
            <w:vAlign w:val="bottom"/>
            <w:hideMark/>
          </w:tcPr>
          <w:p w14:paraId="5D5464D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99"/>
            <w:noWrap/>
            <w:vAlign w:val="bottom"/>
            <w:hideMark/>
          </w:tcPr>
          <w:p w14:paraId="09ACAF5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66,00</w:t>
            </w:r>
          </w:p>
        </w:tc>
      </w:tr>
      <w:tr w:rsidR="00846ACC" w:rsidRPr="004974C0" w14:paraId="2ED3A7E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87D3A5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7733CB2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1906B11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0C502F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66,00</w:t>
            </w:r>
          </w:p>
        </w:tc>
        <w:tc>
          <w:tcPr>
            <w:tcW w:w="1559" w:type="dxa"/>
            <w:tcBorders>
              <w:top w:val="nil"/>
              <w:left w:val="nil"/>
              <w:bottom w:val="single" w:sz="4" w:space="0" w:color="auto"/>
              <w:right w:val="single" w:sz="4" w:space="0" w:color="auto"/>
            </w:tcBorders>
            <w:shd w:val="clear" w:color="auto" w:fill="auto"/>
            <w:noWrap/>
            <w:vAlign w:val="bottom"/>
            <w:hideMark/>
          </w:tcPr>
          <w:p w14:paraId="1110AE3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47F8CCB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66,00</w:t>
            </w:r>
          </w:p>
        </w:tc>
      </w:tr>
      <w:tr w:rsidR="00846ACC" w:rsidRPr="004974C0" w14:paraId="6597830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8DC638B"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09E38831"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78EC783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2CCF3E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66,00</w:t>
            </w:r>
          </w:p>
        </w:tc>
        <w:tc>
          <w:tcPr>
            <w:tcW w:w="1559" w:type="dxa"/>
            <w:tcBorders>
              <w:top w:val="nil"/>
              <w:left w:val="nil"/>
              <w:bottom w:val="single" w:sz="4" w:space="0" w:color="auto"/>
              <w:right w:val="single" w:sz="4" w:space="0" w:color="auto"/>
            </w:tcBorders>
            <w:shd w:val="clear" w:color="auto" w:fill="auto"/>
            <w:noWrap/>
            <w:vAlign w:val="bottom"/>
            <w:hideMark/>
          </w:tcPr>
          <w:p w14:paraId="2BB6C76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1E0CA15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66,00</w:t>
            </w:r>
          </w:p>
        </w:tc>
      </w:tr>
      <w:tr w:rsidR="00846ACC" w:rsidRPr="004974C0" w14:paraId="1A1D977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08A119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A500002 Labin Art Republika</w:t>
            </w:r>
          </w:p>
        </w:tc>
        <w:tc>
          <w:tcPr>
            <w:tcW w:w="1984" w:type="dxa"/>
            <w:tcBorders>
              <w:top w:val="nil"/>
              <w:left w:val="nil"/>
              <w:bottom w:val="single" w:sz="4" w:space="0" w:color="auto"/>
              <w:right w:val="single" w:sz="4" w:space="0" w:color="auto"/>
            </w:tcBorders>
            <w:shd w:val="clear" w:color="000000" w:fill="CCCCFF"/>
            <w:noWrap/>
            <w:vAlign w:val="bottom"/>
            <w:hideMark/>
          </w:tcPr>
          <w:p w14:paraId="4BD0845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1973202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22.000,00</w:t>
            </w:r>
          </w:p>
        </w:tc>
        <w:tc>
          <w:tcPr>
            <w:tcW w:w="1843" w:type="dxa"/>
            <w:tcBorders>
              <w:top w:val="nil"/>
              <w:left w:val="nil"/>
              <w:bottom w:val="single" w:sz="4" w:space="0" w:color="auto"/>
              <w:right w:val="single" w:sz="4" w:space="0" w:color="auto"/>
            </w:tcBorders>
            <w:shd w:val="clear" w:color="000000" w:fill="CCCCFF"/>
            <w:noWrap/>
            <w:vAlign w:val="bottom"/>
            <w:hideMark/>
          </w:tcPr>
          <w:p w14:paraId="70A5763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c>
          <w:tcPr>
            <w:tcW w:w="1559" w:type="dxa"/>
            <w:tcBorders>
              <w:top w:val="nil"/>
              <w:left w:val="nil"/>
              <w:bottom w:val="single" w:sz="4" w:space="0" w:color="auto"/>
              <w:right w:val="single" w:sz="4" w:space="0" w:color="auto"/>
            </w:tcBorders>
            <w:shd w:val="clear" w:color="000000" w:fill="CCCCFF"/>
            <w:noWrap/>
            <w:vAlign w:val="bottom"/>
            <w:hideMark/>
          </w:tcPr>
          <w:p w14:paraId="16B449F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22,73</w:t>
            </w:r>
          </w:p>
        </w:tc>
        <w:tc>
          <w:tcPr>
            <w:tcW w:w="1803" w:type="dxa"/>
            <w:tcBorders>
              <w:top w:val="nil"/>
              <w:left w:val="nil"/>
              <w:bottom w:val="single" w:sz="4" w:space="0" w:color="auto"/>
              <w:right w:val="single" w:sz="4" w:space="0" w:color="auto"/>
            </w:tcBorders>
            <w:shd w:val="clear" w:color="000000" w:fill="CCCCFF"/>
            <w:noWrap/>
            <w:vAlign w:val="bottom"/>
            <w:hideMark/>
          </w:tcPr>
          <w:p w14:paraId="1D8533B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27.000,00</w:t>
            </w:r>
          </w:p>
        </w:tc>
      </w:tr>
      <w:tr w:rsidR="00846ACC" w:rsidRPr="004974C0" w14:paraId="148629F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C47D17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6A3AE4D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06B0C8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12.000,00</w:t>
            </w:r>
          </w:p>
        </w:tc>
        <w:tc>
          <w:tcPr>
            <w:tcW w:w="1843" w:type="dxa"/>
            <w:tcBorders>
              <w:top w:val="nil"/>
              <w:left w:val="nil"/>
              <w:bottom w:val="single" w:sz="4" w:space="0" w:color="auto"/>
              <w:right w:val="single" w:sz="4" w:space="0" w:color="auto"/>
            </w:tcBorders>
            <w:shd w:val="clear" w:color="000000" w:fill="FFFF99"/>
            <w:noWrap/>
            <w:vAlign w:val="bottom"/>
            <w:hideMark/>
          </w:tcPr>
          <w:p w14:paraId="55CDCA1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c>
          <w:tcPr>
            <w:tcW w:w="1559" w:type="dxa"/>
            <w:tcBorders>
              <w:top w:val="nil"/>
              <w:left w:val="nil"/>
              <w:bottom w:val="single" w:sz="4" w:space="0" w:color="auto"/>
              <w:right w:val="single" w:sz="4" w:space="0" w:color="auto"/>
            </w:tcBorders>
            <w:shd w:val="clear" w:color="000000" w:fill="FFFF99"/>
            <w:noWrap/>
            <w:vAlign w:val="bottom"/>
            <w:hideMark/>
          </w:tcPr>
          <w:p w14:paraId="52CE2C1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41,67</w:t>
            </w:r>
          </w:p>
        </w:tc>
        <w:tc>
          <w:tcPr>
            <w:tcW w:w="1803" w:type="dxa"/>
            <w:tcBorders>
              <w:top w:val="nil"/>
              <w:left w:val="nil"/>
              <w:bottom w:val="single" w:sz="4" w:space="0" w:color="auto"/>
              <w:right w:val="single" w:sz="4" w:space="0" w:color="auto"/>
            </w:tcBorders>
            <w:shd w:val="clear" w:color="000000" w:fill="FFFF99"/>
            <w:noWrap/>
            <w:vAlign w:val="bottom"/>
            <w:hideMark/>
          </w:tcPr>
          <w:p w14:paraId="4A7F665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17.000,00</w:t>
            </w:r>
          </w:p>
        </w:tc>
      </w:tr>
      <w:tr w:rsidR="00846ACC" w:rsidRPr="004974C0" w14:paraId="65CE0B6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A03D29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7FB22AF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71263BC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12.000,00</w:t>
            </w:r>
          </w:p>
        </w:tc>
        <w:tc>
          <w:tcPr>
            <w:tcW w:w="1843" w:type="dxa"/>
            <w:tcBorders>
              <w:top w:val="nil"/>
              <w:left w:val="nil"/>
              <w:bottom w:val="single" w:sz="4" w:space="0" w:color="auto"/>
              <w:right w:val="single" w:sz="4" w:space="0" w:color="auto"/>
            </w:tcBorders>
            <w:shd w:val="clear" w:color="auto" w:fill="auto"/>
            <w:noWrap/>
            <w:vAlign w:val="bottom"/>
            <w:hideMark/>
          </w:tcPr>
          <w:p w14:paraId="62D07EE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5.000,00</w:t>
            </w:r>
          </w:p>
        </w:tc>
        <w:tc>
          <w:tcPr>
            <w:tcW w:w="1559" w:type="dxa"/>
            <w:tcBorders>
              <w:top w:val="nil"/>
              <w:left w:val="nil"/>
              <w:bottom w:val="single" w:sz="4" w:space="0" w:color="auto"/>
              <w:right w:val="single" w:sz="4" w:space="0" w:color="auto"/>
            </w:tcBorders>
            <w:shd w:val="clear" w:color="auto" w:fill="auto"/>
            <w:noWrap/>
            <w:vAlign w:val="bottom"/>
            <w:hideMark/>
          </w:tcPr>
          <w:p w14:paraId="73A28CD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41,67</w:t>
            </w:r>
          </w:p>
        </w:tc>
        <w:tc>
          <w:tcPr>
            <w:tcW w:w="1803" w:type="dxa"/>
            <w:tcBorders>
              <w:top w:val="nil"/>
              <w:left w:val="nil"/>
              <w:bottom w:val="single" w:sz="4" w:space="0" w:color="auto"/>
              <w:right w:val="single" w:sz="4" w:space="0" w:color="auto"/>
            </w:tcBorders>
            <w:shd w:val="clear" w:color="auto" w:fill="auto"/>
            <w:noWrap/>
            <w:vAlign w:val="bottom"/>
            <w:hideMark/>
          </w:tcPr>
          <w:p w14:paraId="3E01CAC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17.000,00</w:t>
            </w:r>
          </w:p>
        </w:tc>
      </w:tr>
      <w:tr w:rsidR="00846ACC" w:rsidRPr="004974C0" w14:paraId="0915F44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C97CAE7"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64FD602"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FD1FF9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12.000,00</w:t>
            </w:r>
          </w:p>
        </w:tc>
        <w:tc>
          <w:tcPr>
            <w:tcW w:w="1843" w:type="dxa"/>
            <w:tcBorders>
              <w:top w:val="nil"/>
              <w:left w:val="nil"/>
              <w:bottom w:val="single" w:sz="4" w:space="0" w:color="auto"/>
              <w:right w:val="single" w:sz="4" w:space="0" w:color="auto"/>
            </w:tcBorders>
            <w:shd w:val="clear" w:color="auto" w:fill="auto"/>
            <w:noWrap/>
            <w:vAlign w:val="bottom"/>
            <w:hideMark/>
          </w:tcPr>
          <w:p w14:paraId="464811A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5.000,00</w:t>
            </w:r>
          </w:p>
        </w:tc>
        <w:tc>
          <w:tcPr>
            <w:tcW w:w="1559" w:type="dxa"/>
            <w:tcBorders>
              <w:top w:val="nil"/>
              <w:left w:val="nil"/>
              <w:bottom w:val="single" w:sz="4" w:space="0" w:color="auto"/>
              <w:right w:val="single" w:sz="4" w:space="0" w:color="auto"/>
            </w:tcBorders>
            <w:shd w:val="clear" w:color="auto" w:fill="auto"/>
            <w:noWrap/>
            <w:vAlign w:val="bottom"/>
            <w:hideMark/>
          </w:tcPr>
          <w:p w14:paraId="55DA624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41,67</w:t>
            </w:r>
          </w:p>
        </w:tc>
        <w:tc>
          <w:tcPr>
            <w:tcW w:w="1803" w:type="dxa"/>
            <w:tcBorders>
              <w:top w:val="nil"/>
              <w:left w:val="nil"/>
              <w:bottom w:val="single" w:sz="4" w:space="0" w:color="auto"/>
              <w:right w:val="single" w:sz="4" w:space="0" w:color="auto"/>
            </w:tcBorders>
            <w:shd w:val="clear" w:color="auto" w:fill="auto"/>
            <w:noWrap/>
            <w:vAlign w:val="bottom"/>
            <w:hideMark/>
          </w:tcPr>
          <w:p w14:paraId="35F813A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17.000,00</w:t>
            </w:r>
          </w:p>
        </w:tc>
      </w:tr>
      <w:tr w:rsidR="00846ACC" w:rsidRPr="004974C0" w14:paraId="25C27AD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A49647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5.4. POMOĆI IZ DRŽAVNOG PRORAČUNA</w:t>
            </w:r>
          </w:p>
        </w:tc>
        <w:tc>
          <w:tcPr>
            <w:tcW w:w="1984" w:type="dxa"/>
            <w:tcBorders>
              <w:top w:val="nil"/>
              <w:left w:val="nil"/>
              <w:bottom w:val="single" w:sz="4" w:space="0" w:color="auto"/>
              <w:right w:val="single" w:sz="4" w:space="0" w:color="auto"/>
            </w:tcBorders>
            <w:shd w:val="clear" w:color="000000" w:fill="FFFF99"/>
            <w:noWrap/>
            <w:vAlign w:val="bottom"/>
            <w:hideMark/>
          </w:tcPr>
          <w:p w14:paraId="5CA0222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64B858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7.500,00</w:t>
            </w:r>
          </w:p>
        </w:tc>
        <w:tc>
          <w:tcPr>
            <w:tcW w:w="1843" w:type="dxa"/>
            <w:tcBorders>
              <w:top w:val="nil"/>
              <w:left w:val="nil"/>
              <w:bottom w:val="single" w:sz="4" w:space="0" w:color="auto"/>
              <w:right w:val="single" w:sz="4" w:space="0" w:color="auto"/>
            </w:tcBorders>
            <w:shd w:val="clear" w:color="000000" w:fill="FFFF99"/>
            <w:noWrap/>
            <w:vAlign w:val="bottom"/>
            <w:hideMark/>
          </w:tcPr>
          <w:p w14:paraId="1A4EE8A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603F5F1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7A30308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7.500,00</w:t>
            </w:r>
          </w:p>
        </w:tc>
      </w:tr>
      <w:tr w:rsidR="00846ACC" w:rsidRPr="004974C0" w14:paraId="51191E5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0EF752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6D6F2ED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D64D2B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7.500,00</w:t>
            </w:r>
          </w:p>
        </w:tc>
        <w:tc>
          <w:tcPr>
            <w:tcW w:w="1843" w:type="dxa"/>
            <w:tcBorders>
              <w:top w:val="nil"/>
              <w:left w:val="nil"/>
              <w:bottom w:val="single" w:sz="4" w:space="0" w:color="auto"/>
              <w:right w:val="single" w:sz="4" w:space="0" w:color="auto"/>
            </w:tcBorders>
            <w:shd w:val="clear" w:color="auto" w:fill="auto"/>
            <w:noWrap/>
            <w:vAlign w:val="bottom"/>
            <w:hideMark/>
          </w:tcPr>
          <w:p w14:paraId="7FF54E0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0BFA40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303BA9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7.500,00</w:t>
            </w:r>
          </w:p>
        </w:tc>
      </w:tr>
      <w:tr w:rsidR="00846ACC" w:rsidRPr="004974C0" w14:paraId="4556856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BAE212F"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723BF4A4"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1253F5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7.500,00</w:t>
            </w:r>
          </w:p>
        </w:tc>
        <w:tc>
          <w:tcPr>
            <w:tcW w:w="1843" w:type="dxa"/>
            <w:tcBorders>
              <w:top w:val="nil"/>
              <w:left w:val="nil"/>
              <w:bottom w:val="single" w:sz="4" w:space="0" w:color="auto"/>
              <w:right w:val="single" w:sz="4" w:space="0" w:color="auto"/>
            </w:tcBorders>
            <w:shd w:val="clear" w:color="auto" w:fill="auto"/>
            <w:noWrap/>
            <w:vAlign w:val="bottom"/>
            <w:hideMark/>
          </w:tcPr>
          <w:p w14:paraId="0CFC184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E3BC7D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66F427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7.500,00</w:t>
            </w:r>
          </w:p>
        </w:tc>
      </w:tr>
      <w:tr w:rsidR="00846ACC" w:rsidRPr="004974C0" w14:paraId="373930B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349CCD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5.5. POMOĆI IZ ŽUPANIJSKOG PRORAČUNA</w:t>
            </w:r>
          </w:p>
        </w:tc>
        <w:tc>
          <w:tcPr>
            <w:tcW w:w="1984" w:type="dxa"/>
            <w:tcBorders>
              <w:top w:val="nil"/>
              <w:left w:val="nil"/>
              <w:bottom w:val="single" w:sz="4" w:space="0" w:color="auto"/>
              <w:right w:val="single" w:sz="4" w:space="0" w:color="auto"/>
            </w:tcBorders>
            <w:shd w:val="clear" w:color="000000" w:fill="FFFF99"/>
            <w:noWrap/>
            <w:vAlign w:val="bottom"/>
            <w:hideMark/>
          </w:tcPr>
          <w:p w14:paraId="6145167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27AFD4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w:t>
            </w:r>
          </w:p>
        </w:tc>
        <w:tc>
          <w:tcPr>
            <w:tcW w:w="1843" w:type="dxa"/>
            <w:tcBorders>
              <w:top w:val="nil"/>
              <w:left w:val="nil"/>
              <w:bottom w:val="single" w:sz="4" w:space="0" w:color="auto"/>
              <w:right w:val="single" w:sz="4" w:space="0" w:color="auto"/>
            </w:tcBorders>
            <w:shd w:val="clear" w:color="000000" w:fill="FFFF99"/>
            <w:noWrap/>
            <w:vAlign w:val="bottom"/>
            <w:hideMark/>
          </w:tcPr>
          <w:p w14:paraId="3353CC9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30DD568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364CB14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w:t>
            </w:r>
          </w:p>
        </w:tc>
      </w:tr>
      <w:tr w:rsidR="00846ACC" w:rsidRPr="004974C0" w14:paraId="4108FB0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80F442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6CB6A4A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5D7404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2.500,00</w:t>
            </w:r>
          </w:p>
        </w:tc>
        <w:tc>
          <w:tcPr>
            <w:tcW w:w="1843" w:type="dxa"/>
            <w:tcBorders>
              <w:top w:val="nil"/>
              <w:left w:val="nil"/>
              <w:bottom w:val="single" w:sz="4" w:space="0" w:color="auto"/>
              <w:right w:val="single" w:sz="4" w:space="0" w:color="auto"/>
            </w:tcBorders>
            <w:shd w:val="clear" w:color="auto" w:fill="auto"/>
            <w:noWrap/>
            <w:vAlign w:val="bottom"/>
            <w:hideMark/>
          </w:tcPr>
          <w:p w14:paraId="1DC9EB3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65072E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754889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2.500,00</w:t>
            </w:r>
          </w:p>
        </w:tc>
      </w:tr>
      <w:tr w:rsidR="00846ACC" w:rsidRPr="004974C0" w14:paraId="13863C0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093CE4F"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15E631A"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D0C8AF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2.500,00</w:t>
            </w:r>
          </w:p>
        </w:tc>
        <w:tc>
          <w:tcPr>
            <w:tcW w:w="1843" w:type="dxa"/>
            <w:tcBorders>
              <w:top w:val="nil"/>
              <w:left w:val="nil"/>
              <w:bottom w:val="single" w:sz="4" w:space="0" w:color="auto"/>
              <w:right w:val="single" w:sz="4" w:space="0" w:color="auto"/>
            </w:tcBorders>
            <w:shd w:val="clear" w:color="auto" w:fill="auto"/>
            <w:noWrap/>
            <w:vAlign w:val="bottom"/>
            <w:hideMark/>
          </w:tcPr>
          <w:p w14:paraId="153C6AF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9DF7C6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DB3BDD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2.500,00</w:t>
            </w:r>
          </w:p>
        </w:tc>
      </w:tr>
      <w:tr w:rsidR="00846ACC" w:rsidRPr="004974C0" w14:paraId="10F3ED8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1FB942A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A500003 Sufinanciranje projekata kulture</w:t>
            </w:r>
          </w:p>
        </w:tc>
        <w:tc>
          <w:tcPr>
            <w:tcW w:w="1984" w:type="dxa"/>
            <w:tcBorders>
              <w:top w:val="nil"/>
              <w:left w:val="nil"/>
              <w:bottom w:val="single" w:sz="4" w:space="0" w:color="auto"/>
              <w:right w:val="single" w:sz="4" w:space="0" w:color="auto"/>
            </w:tcBorders>
            <w:shd w:val="clear" w:color="000000" w:fill="CCCCFF"/>
            <w:noWrap/>
            <w:vAlign w:val="bottom"/>
            <w:hideMark/>
          </w:tcPr>
          <w:p w14:paraId="213F4C1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14573AD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46.000,00</w:t>
            </w:r>
          </w:p>
        </w:tc>
        <w:tc>
          <w:tcPr>
            <w:tcW w:w="1843" w:type="dxa"/>
            <w:tcBorders>
              <w:top w:val="nil"/>
              <w:left w:val="nil"/>
              <w:bottom w:val="single" w:sz="4" w:space="0" w:color="auto"/>
              <w:right w:val="single" w:sz="4" w:space="0" w:color="auto"/>
            </w:tcBorders>
            <w:shd w:val="clear" w:color="000000" w:fill="CCCCFF"/>
            <w:noWrap/>
            <w:vAlign w:val="bottom"/>
            <w:hideMark/>
          </w:tcPr>
          <w:p w14:paraId="7179293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c>
          <w:tcPr>
            <w:tcW w:w="1559" w:type="dxa"/>
            <w:tcBorders>
              <w:top w:val="nil"/>
              <w:left w:val="nil"/>
              <w:bottom w:val="single" w:sz="4" w:space="0" w:color="auto"/>
              <w:right w:val="single" w:sz="4" w:space="0" w:color="auto"/>
            </w:tcBorders>
            <w:shd w:val="clear" w:color="000000" w:fill="CCCCFF"/>
            <w:noWrap/>
            <w:vAlign w:val="bottom"/>
            <w:hideMark/>
          </w:tcPr>
          <w:p w14:paraId="502E038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2,17</w:t>
            </w:r>
          </w:p>
        </w:tc>
        <w:tc>
          <w:tcPr>
            <w:tcW w:w="1803" w:type="dxa"/>
            <w:tcBorders>
              <w:top w:val="nil"/>
              <w:left w:val="nil"/>
              <w:bottom w:val="single" w:sz="4" w:space="0" w:color="auto"/>
              <w:right w:val="single" w:sz="4" w:space="0" w:color="auto"/>
            </w:tcBorders>
            <w:shd w:val="clear" w:color="000000" w:fill="CCCCFF"/>
            <w:noWrap/>
            <w:vAlign w:val="bottom"/>
            <w:hideMark/>
          </w:tcPr>
          <w:p w14:paraId="104A643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47.000,00</w:t>
            </w:r>
          </w:p>
        </w:tc>
      </w:tr>
      <w:tr w:rsidR="00846ACC" w:rsidRPr="004974C0" w14:paraId="722C158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8EBE91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0D5A3F7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A42B5B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46.000,00</w:t>
            </w:r>
          </w:p>
        </w:tc>
        <w:tc>
          <w:tcPr>
            <w:tcW w:w="1843" w:type="dxa"/>
            <w:tcBorders>
              <w:top w:val="nil"/>
              <w:left w:val="nil"/>
              <w:bottom w:val="single" w:sz="4" w:space="0" w:color="auto"/>
              <w:right w:val="single" w:sz="4" w:space="0" w:color="auto"/>
            </w:tcBorders>
            <w:shd w:val="clear" w:color="000000" w:fill="FFFF99"/>
            <w:noWrap/>
            <w:vAlign w:val="bottom"/>
            <w:hideMark/>
          </w:tcPr>
          <w:p w14:paraId="4C4116E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c>
          <w:tcPr>
            <w:tcW w:w="1559" w:type="dxa"/>
            <w:tcBorders>
              <w:top w:val="nil"/>
              <w:left w:val="nil"/>
              <w:bottom w:val="single" w:sz="4" w:space="0" w:color="auto"/>
              <w:right w:val="single" w:sz="4" w:space="0" w:color="auto"/>
            </w:tcBorders>
            <w:shd w:val="clear" w:color="000000" w:fill="FFFF99"/>
            <w:noWrap/>
            <w:vAlign w:val="bottom"/>
            <w:hideMark/>
          </w:tcPr>
          <w:p w14:paraId="7817657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2,17</w:t>
            </w:r>
          </w:p>
        </w:tc>
        <w:tc>
          <w:tcPr>
            <w:tcW w:w="1803" w:type="dxa"/>
            <w:tcBorders>
              <w:top w:val="nil"/>
              <w:left w:val="nil"/>
              <w:bottom w:val="single" w:sz="4" w:space="0" w:color="auto"/>
              <w:right w:val="single" w:sz="4" w:space="0" w:color="auto"/>
            </w:tcBorders>
            <w:shd w:val="clear" w:color="000000" w:fill="FFFF99"/>
            <w:noWrap/>
            <w:vAlign w:val="bottom"/>
            <w:hideMark/>
          </w:tcPr>
          <w:p w14:paraId="349C7B1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47.000,00</w:t>
            </w:r>
          </w:p>
        </w:tc>
      </w:tr>
      <w:tr w:rsidR="00846ACC" w:rsidRPr="004974C0" w14:paraId="7580F29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042978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5BC454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12BB6F5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46.000,00</w:t>
            </w:r>
          </w:p>
        </w:tc>
        <w:tc>
          <w:tcPr>
            <w:tcW w:w="1843" w:type="dxa"/>
            <w:tcBorders>
              <w:top w:val="nil"/>
              <w:left w:val="nil"/>
              <w:bottom w:val="single" w:sz="4" w:space="0" w:color="auto"/>
              <w:right w:val="single" w:sz="4" w:space="0" w:color="auto"/>
            </w:tcBorders>
            <w:shd w:val="clear" w:color="auto" w:fill="auto"/>
            <w:noWrap/>
            <w:vAlign w:val="bottom"/>
            <w:hideMark/>
          </w:tcPr>
          <w:p w14:paraId="3BAB4AA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c>
          <w:tcPr>
            <w:tcW w:w="1559" w:type="dxa"/>
            <w:tcBorders>
              <w:top w:val="nil"/>
              <w:left w:val="nil"/>
              <w:bottom w:val="single" w:sz="4" w:space="0" w:color="auto"/>
              <w:right w:val="single" w:sz="4" w:space="0" w:color="auto"/>
            </w:tcBorders>
            <w:shd w:val="clear" w:color="auto" w:fill="auto"/>
            <w:noWrap/>
            <w:vAlign w:val="bottom"/>
            <w:hideMark/>
          </w:tcPr>
          <w:p w14:paraId="355CA22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2,17</w:t>
            </w:r>
          </w:p>
        </w:tc>
        <w:tc>
          <w:tcPr>
            <w:tcW w:w="1803" w:type="dxa"/>
            <w:tcBorders>
              <w:top w:val="nil"/>
              <w:left w:val="nil"/>
              <w:bottom w:val="single" w:sz="4" w:space="0" w:color="auto"/>
              <w:right w:val="single" w:sz="4" w:space="0" w:color="auto"/>
            </w:tcBorders>
            <w:shd w:val="clear" w:color="auto" w:fill="auto"/>
            <w:noWrap/>
            <w:vAlign w:val="bottom"/>
            <w:hideMark/>
          </w:tcPr>
          <w:p w14:paraId="3DC624D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47.000,00</w:t>
            </w:r>
          </w:p>
        </w:tc>
      </w:tr>
      <w:tr w:rsidR="00846ACC" w:rsidRPr="004974C0" w14:paraId="5369CF8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EE6C565" w14:textId="77777777" w:rsidR="004974C0" w:rsidRPr="004974C0" w:rsidRDefault="004974C0" w:rsidP="004974C0">
            <w:pPr>
              <w:rPr>
                <w:rFonts w:ascii="Arial" w:hAnsi="Arial" w:cs="Arial"/>
                <w:sz w:val="20"/>
                <w:szCs w:val="20"/>
              </w:rPr>
            </w:pPr>
            <w:r w:rsidRPr="004974C0">
              <w:rPr>
                <w:rFonts w:ascii="Arial" w:hAnsi="Arial" w:cs="Arial"/>
                <w:sz w:val="20"/>
                <w:szCs w:val="20"/>
              </w:rPr>
              <w:t>38</w:t>
            </w:r>
          </w:p>
        </w:tc>
        <w:tc>
          <w:tcPr>
            <w:tcW w:w="1984" w:type="dxa"/>
            <w:tcBorders>
              <w:top w:val="nil"/>
              <w:left w:val="nil"/>
              <w:bottom w:val="single" w:sz="4" w:space="0" w:color="auto"/>
              <w:right w:val="single" w:sz="4" w:space="0" w:color="auto"/>
            </w:tcBorders>
            <w:shd w:val="clear" w:color="auto" w:fill="auto"/>
            <w:noWrap/>
            <w:vAlign w:val="bottom"/>
            <w:hideMark/>
          </w:tcPr>
          <w:p w14:paraId="262FA55C"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donacije, kazne, naknade šteta i kapitalne pomoći</w:t>
            </w:r>
          </w:p>
        </w:tc>
        <w:tc>
          <w:tcPr>
            <w:tcW w:w="1843" w:type="dxa"/>
            <w:tcBorders>
              <w:top w:val="nil"/>
              <w:left w:val="nil"/>
              <w:bottom w:val="single" w:sz="4" w:space="0" w:color="auto"/>
              <w:right w:val="single" w:sz="4" w:space="0" w:color="auto"/>
            </w:tcBorders>
            <w:shd w:val="clear" w:color="auto" w:fill="auto"/>
            <w:noWrap/>
            <w:vAlign w:val="bottom"/>
            <w:hideMark/>
          </w:tcPr>
          <w:p w14:paraId="0CE7830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46.000,00</w:t>
            </w:r>
          </w:p>
        </w:tc>
        <w:tc>
          <w:tcPr>
            <w:tcW w:w="1843" w:type="dxa"/>
            <w:tcBorders>
              <w:top w:val="nil"/>
              <w:left w:val="nil"/>
              <w:bottom w:val="single" w:sz="4" w:space="0" w:color="auto"/>
              <w:right w:val="single" w:sz="4" w:space="0" w:color="auto"/>
            </w:tcBorders>
            <w:shd w:val="clear" w:color="auto" w:fill="auto"/>
            <w:noWrap/>
            <w:vAlign w:val="bottom"/>
            <w:hideMark/>
          </w:tcPr>
          <w:p w14:paraId="289A7DC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559" w:type="dxa"/>
            <w:tcBorders>
              <w:top w:val="nil"/>
              <w:left w:val="nil"/>
              <w:bottom w:val="single" w:sz="4" w:space="0" w:color="auto"/>
              <w:right w:val="single" w:sz="4" w:space="0" w:color="auto"/>
            </w:tcBorders>
            <w:shd w:val="clear" w:color="auto" w:fill="auto"/>
            <w:noWrap/>
            <w:vAlign w:val="bottom"/>
            <w:hideMark/>
          </w:tcPr>
          <w:p w14:paraId="49D749A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2,17</w:t>
            </w:r>
          </w:p>
        </w:tc>
        <w:tc>
          <w:tcPr>
            <w:tcW w:w="1803" w:type="dxa"/>
            <w:tcBorders>
              <w:top w:val="nil"/>
              <w:left w:val="nil"/>
              <w:bottom w:val="single" w:sz="4" w:space="0" w:color="auto"/>
              <w:right w:val="single" w:sz="4" w:space="0" w:color="auto"/>
            </w:tcBorders>
            <w:shd w:val="clear" w:color="auto" w:fill="auto"/>
            <w:noWrap/>
            <w:vAlign w:val="bottom"/>
            <w:hideMark/>
          </w:tcPr>
          <w:p w14:paraId="63306A4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47.000,00</w:t>
            </w:r>
          </w:p>
        </w:tc>
      </w:tr>
      <w:tr w:rsidR="00846ACC" w:rsidRPr="004974C0" w14:paraId="73CE1B7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1D4B4E8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xml:space="preserve">Aktivnost A500004 </w:t>
            </w:r>
            <w:proofErr w:type="spellStart"/>
            <w:r w:rsidRPr="004974C0">
              <w:rPr>
                <w:rFonts w:ascii="Arial" w:hAnsi="Arial" w:cs="Arial"/>
                <w:b/>
                <w:bCs/>
                <w:color w:val="000000"/>
                <w:sz w:val="20"/>
                <w:szCs w:val="20"/>
              </w:rPr>
              <w:t>Brendiranje</w:t>
            </w:r>
            <w:proofErr w:type="spellEnd"/>
            <w:r w:rsidRPr="004974C0">
              <w:rPr>
                <w:rFonts w:ascii="Arial" w:hAnsi="Arial" w:cs="Arial"/>
                <w:b/>
                <w:bCs/>
                <w:color w:val="000000"/>
                <w:sz w:val="20"/>
                <w:szCs w:val="20"/>
              </w:rPr>
              <w:t xml:space="preserve">-Praktična realizacija na </w:t>
            </w:r>
            <w:proofErr w:type="spellStart"/>
            <w:r w:rsidRPr="004974C0">
              <w:rPr>
                <w:rFonts w:ascii="Arial" w:hAnsi="Arial" w:cs="Arial"/>
                <w:b/>
                <w:bCs/>
                <w:color w:val="000000"/>
                <w:sz w:val="20"/>
                <w:szCs w:val="20"/>
              </w:rPr>
              <w:t>proj</w:t>
            </w:r>
            <w:proofErr w:type="spellEnd"/>
            <w:r w:rsidRPr="004974C0">
              <w:rPr>
                <w:rFonts w:ascii="Arial" w:hAnsi="Arial" w:cs="Arial"/>
                <w:b/>
                <w:bCs/>
                <w:color w:val="000000"/>
                <w:sz w:val="20"/>
                <w:szCs w:val="20"/>
              </w:rPr>
              <w:t xml:space="preserve">. </w:t>
            </w:r>
            <w:proofErr w:type="spellStart"/>
            <w:r w:rsidRPr="004974C0">
              <w:rPr>
                <w:rFonts w:ascii="Arial" w:hAnsi="Arial" w:cs="Arial"/>
                <w:b/>
                <w:bCs/>
                <w:color w:val="000000"/>
                <w:sz w:val="20"/>
                <w:szCs w:val="20"/>
              </w:rPr>
              <w:t>cakavice</w:t>
            </w:r>
            <w:proofErr w:type="spellEnd"/>
            <w:r w:rsidRPr="004974C0">
              <w:rPr>
                <w:rFonts w:ascii="Arial" w:hAnsi="Arial" w:cs="Arial"/>
                <w:b/>
                <w:bCs/>
                <w:color w:val="000000"/>
                <w:sz w:val="20"/>
                <w:szCs w:val="20"/>
              </w:rPr>
              <w:t xml:space="preserve">, </w:t>
            </w:r>
            <w:proofErr w:type="spellStart"/>
            <w:r w:rsidRPr="004974C0">
              <w:rPr>
                <w:rFonts w:ascii="Arial" w:hAnsi="Arial" w:cs="Arial"/>
                <w:b/>
                <w:bCs/>
                <w:color w:val="000000"/>
                <w:sz w:val="20"/>
                <w:szCs w:val="20"/>
              </w:rPr>
              <w:t>M.Vlačića</w:t>
            </w:r>
            <w:proofErr w:type="spellEnd"/>
            <w:r w:rsidRPr="004974C0">
              <w:rPr>
                <w:rFonts w:ascii="Arial" w:hAnsi="Arial" w:cs="Arial"/>
                <w:b/>
                <w:bCs/>
                <w:color w:val="000000"/>
                <w:sz w:val="20"/>
                <w:szCs w:val="20"/>
              </w:rPr>
              <w:t xml:space="preserve"> i rudarstva</w:t>
            </w:r>
          </w:p>
        </w:tc>
        <w:tc>
          <w:tcPr>
            <w:tcW w:w="1984" w:type="dxa"/>
            <w:tcBorders>
              <w:top w:val="nil"/>
              <w:left w:val="nil"/>
              <w:bottom w:val="single" w:sz="4" w:space="0" w:color="auto"/>
              <w:right w:val="single" w:sz="4" w:space="0" w:color="auto"/>
            </w:tcBorders>
            <w:shd w:val="clear" w:color="000000" w:fill="CCCCFF"/>
            <w:noWrap/>
            <w:vAlign w:val="bottom"/>
            <w:hideMark/>
          </w:tcPr>
          <w:p w14:paraId="6D114F4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4C1AA79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11.500,00</w:t>
            </w:r>
          </w:p>
        </w:tc>
        <w:tc>
          <w:tcPr>
            <w:tcW w:w="1843" w:type="dxa"/>
            <w:tcBorders>
              <w:top w:val="nil"/>
              <w:left w:val="nil"/>
              <w:bottom w:val="single" w:sz="4" w:space="0" w:color="auto"/>
              <w:right w:val="single" w:sz="4" w:space="0" w:color="auto"/>
            </w:tcBorders>
            <w:shd w:val="clear" w:color="000000" w:fill="CCCCFF"/>
            <w:noWrap/>
            <w:vAlign w:val="bottom"/>
            <w:hideMark/>
          </w:tcPr>
          <w:p w14:paraId="359C153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3FE68BC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0A8D8FB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11.500,00</w:t>
            </w:r>
          </w:p>
        </w:tc>
      </w:tr>
      <w:tr w:rsidR="00846ACC" w:rsidRPr="004974C0" w14:paraId="37B2E64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5009DD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43B4137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E5B148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5.500,00</w:t>
            </w:r>
          </w:p>
        </w:tc>
        <w:tc>
          <w:tcPr>
            <w:tcW w:w="1843" w:type="dxa"/>
            <w:tcBorders>
              <w:top w:val="nil"/>
              <w:left w:val="nil"/>
              <w:bottom w:val="single" w:sz="4" w:space="0" w:color="auto"/>
              <w:right w:val="single" w:sz="4" w:space="0" w:color="auto"/>
            </w:tcBorders>
            <w:shd w:val="clear" w:color="000000" w:fill="FFFF99"/>
            <w:noWrap/>
            <w:vAlign w:val="bottom"/>
            <w:hideMark/>
          </w:tcPr>
          <w:p w14:paraId="372F01D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21657E2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4DA46B3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5.500,00</w:t>
            </w:r>
          </w:p>
        </w:tc>
      </w:tr>
      <w:tr w:rsidR="00846ACC" w:rsidRPr="004974C0" w14:paraId="796710D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5398AA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6B885C5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94A65B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5.500,00</w:t>
            </w:r>
          </w:p>
        </w:tc>
        <w:tc>
          <w:tcPr>
            <w:tcW w:w="1843" w:type="dxa"/>
            <w:tcBorders>
              <w:top w:val="nil"/>
              <w:left w:val="nil"/>
              <w:bottom w:val="single" w:sz="4" w:space="0" w:color="auto"/>
              <w:right w:val="single" w:sz="4" w:space="0" w:color="auto"/>
            </w:tcBorders>
            <w:shd w:val="clear" w:color="auto" w:fill="auto"/>
            <w:noWrap/>
            <w:vAlign w:val="bottom"/>
            <w:hideMark/>
          </w:tcPr>
          <w:p w14:paraId="662E0D7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FC6F66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EE7B06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5.500,00</w:t>
            </w:r>
          </w:p>
        </w:tc>
      </w:tr>
      <w:tr w:rsidR="00846ACC" w:rsidRPr="004974C0" w14:paraId="0FFC996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1FF105C"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312348B4"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1A8EC7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5.500,00</w:t>
            </w:r>
          </w:p>
        </w:tc>
        <w:tc>
          <w:tcPr>
            <w:tcW w:w="1843" w:type="dxa"/>
            <w:tcBorders>
              <w:top w:val="nil"/>
              <w:left w:val="nil"/>
              <w:bottom w:val="single" w:sz="4" w:space="0" w:color="auto"/>
              <w:right w:val="single" w:sz="4" w:space="0" w:color="auto"/>
            </w:tcBorders>
            <w:shd w:val="clear" w:color="auto" w:fill="auto"/>
            <w:noWrap/>
            <w:vAlign w:val="bottom"/>
            <w:hideMark/>
          </w:tcPr>
          <w:p w14:paraId="3884A89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444590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D18803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5.500,00</w:t>
            </w:r>
          </w:p>
        </w:tc>
      </w:tr>
      <w:tr w:rsidR="00846ACC" w:rsidRPr="004974C0" w14:paraId="59D3A76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896A85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5.4. POMOĆI IZ DRŽAVNOG PRORAČUNA</w:t>
            </w:r>
          </w:p>
        </w:tc>
        <w:tc>
          <w:tcPr>
            <w:tcW w:w="1984" w:type="dxa"/>
            <w:tcBorders>
              <w:top w:val="nil"/>
              <w:left w:val="nil"/>
              <w:bottom w:val="single" w:sz="4" w:space="0" w:color="auto"/>
              <w:right w:val="single" w:sz="4" w:space="0" w:color="auto"/>
            </w:tcBorders>
            <w:shd w:val="clear" w:color="000000" w:fill="FFFF99"/>
            <w:noWrap/>
            <w:vAlign w:val="bottom"/>
            <w:hideMark/>
          </w:tcPr>
          <w:p w14:paraId="76C4DED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9A65BC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843" w:type="dxa"/>
            <w:tcBorders>
              <w:top w:val="nil"/>
              <w:left w:val="nil"/>
              <w:bottom w:val="single" w:sz="4" w:space="0" w:color="auto"/>
              <w:right w:val="single" w:sz="4" w:space="0" w:color="auto"/>
            </w:tcBorders>
            <w:shd w:val="clear" w:color="000000" w:fill="FFFF99"/>
            <w:noWrap/>
            <w:vAlign w:val="bottom"/>
            <w:hideMark/>
          </w:tcPr>
          <w:p w14:paraId="7E1D15E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3CDE029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2C15C28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r>
      <w:tr w:rsidR="00846ACC" w:rsidRPr="004974C0" w14:paraId="3B54F45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7CAF54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lastRenderedPageBreak/>
              <w:t>3</w:t>
            </w:r>
          </w:p>
        </w:tc>
        <w:tc>
          <w:tcPr>
            <w:tcW w:w="1984" w:type="dxa"/>
            <w:tcBorders>
              <w:top w:val="nil"/>
              <w:left w:val="nil"/>
              <w:bottom w:val="single" w:sz="4" w:space="0" w:color="auto"/>
              <w:right w:val="single" w:sz="4" w:space="0" w:color="auto"/>
            </w:tcBorders>
            <w:shd w:val="clear" w:color="auto" w:fill="auto"/>
            <w:noWrap/>
            <w:vAlign w:val="bottom"/>
            <w:hideMark/>
          </w:tcPr>
          <w:p w14:paraId="302FDE1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766D3A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7ED3286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5C0E23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3B3FF4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w:t>
            </w:r>
          </w:p>
        </w:tc>
      </w:tr>
      <w:tr w:rsidR="00846ACC" w:rsidRPr="004974C0" w14:paraId="76CDA34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52EE4F4"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331250B0"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0AE46E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18E3EDE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B29AD4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8E93CC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r>
      <w:tr w:rsidR="00846ACC" w:rsidRPr="004974C0" w14:paraId="77EF1FC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9FE378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5.5. POMOĆI IZ ŽUPANIJSKOG PRORAČUNA</w:t>
            </w:r>
          </w:p>
        </w:tc>
        <w:tc>
          <w:tcPr>
            <w:tcW w:w="1984" w:type="dxa"/>
            <w:tcBorders>
              <w:top w:val="nil"/>
              <w:left w:val="nil"/>
              <w:bottom w:val="single" w:sz="4" w:space="0" w:color="auto"/>
              <w:right w:val="single" w:sz="4" w:space="0" w:color="auto"/>
            </w:tcBorders>
            <w:shd w:val="clear" w:color="000000" w:fill="FFFF99"/>
            <w:noWrap/>
            <w:vAlign w:val="bottom"/>
            <w:hideMark/>
          </w:tcPr>
          <w:p w14:paraId="38A53AB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5CB58C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843" w:type="dxa"/>
            <w:tcBorders>
              <w:top w:val="nil"/>
              <w:left w:val="nil"/>
              <w:bottom w:val="single" w:sz="4" w:space="0" w:color="auto"/>
              <w:right w:val="single" w:sz="4" w:space="0" w:color="auto"/>
            </w:tcBorders>
            <w:shd w:val="clear" w:color="000000" w:fill="FFFF99"/>
            <w:noWrap/>
            <w:vAlign w:val="bottom"/>
            <w:hideMark/>
          </w:tcPr>
          <w:p w14:paraId="551A78C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73984EF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351B6B4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r>
      <w:tr w:rsidR="00846ACC" w:rsidRPr="004974C0" w14:paraId="4C3CCCF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BA36D8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7AE030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9B5F5D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44A5D11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854175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D10E56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w:t>
            </w:r>
          </w:p>
        </w:tc>
      </w:tr>
      <w:tr w:rsidR="00846ACC" w:rsidRPr="004974C0" w14:paraId="72A1037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38F52C7"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3C678797"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AC989E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50BBC81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EF819A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EFD332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r>
      <w:tr w:rsidR="00846ACC" w:rsidRPr="004974C0" w14:paraId="451F9EC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60EB5F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A500016 Kulturno povijesni susreti</w:t>
            </w:r>
          </w:p>
        </w:tc>
        <w:tc>
          <w:tcPr>
            <w:tcW w:w="1984" w:type="dxa"/>
            <w:tcBorders>
              <w:top w:val="nil"/>
              <w:left w:val="nil"/>
              <w:bottom w:val="single" w:sz="4" w:space="0" w:color="auto"/>
              <w:right w:val="single" w:sz="4" w:space="0" w:color="auto"/>
            </w:tcBorders>
            <w:shd w:val="clear" w:color="000000" w:fill="CCCCFF"/>
            <w:noWrap/>
            <w:vAlign w:val="bottom"/>
            <w:hideMark/>
          </w:tcPr>
          <w:p w14:paraId="1D676E0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23F46C8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843" w:type="dxa"/>
            <w:tcBorders>
              <w:top w:val="nil"/>
              <w:left w:val="nil"/>
              <w:bottom w:val="single" w:sz="4" w:space="0" w:color="auto"/>
              <w:right w:val="single" w:sz="4" w:space="0" w:color="auto"/>
            </w:tcBorders>
            <w:shd w:val="clear" w:color="000000" w:fill="CCCCFF"/>
            <w:noWrap/>
            <w:vAlign w:val="bottom"/>
            <w:hideMark/>
          </w:tcPr>
          <w:p w14:paraId="72F3CE5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0E40611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56D85AC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r>
      <w:tr w:rsidR="00846ACC" w:rsidRPr="004974C0" w14:paraId="1CF4289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91BC06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68B1873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D9D014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843" w:type="dxa"/>
            <w:tcBorders>
              <w:top w:val="nil"/>
              <w:left w:val="nil"/>
              <w:bottom w:val="single" w:sz="4" w:space="0" w:color="auto"/>
              <w:right w:val="single" w:sz="4" w:space="0" w:color="auto"/>
            </w:tcBorders>
            <w:shd w:val="clear" w:color="000000" w:fill="FFFF99"/>
            <w:noWrap/>
            <w:vAlign w:val="bottom"/>
            <w:hideMark/>
          </w:tcPr>
          <w:p w14:paraId="0B45DDE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125E9EE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3025E9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r>
      <w:tr w:rsidR="00846ACC" w:rsidRPr="004974C0" w14:paraId="24969C8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DC6F3B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481784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5F0BEE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5FD8356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4848A1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BB1F1D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r>
      <w:tr w:rsidR="00846ACC" w:rsidRPr="004974C0" w14:paraId="0F65A9C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0FF59C8"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F2421BA"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82EAEC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41F3790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476197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1BBDEF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r>
      <w:tr w:rsidR="00846ACC" w:rsidRPr="004974C0" w14:paraId="2518852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4A2F47C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A500017 Božić u Labinu</w:t>
            </w:r>
          </w:p>
        </w:tc>
        <w:tc>
          <w:tcPr>
            <w:tcW w:w="1984" w:type="dxa"/>
            <w:tcBorders>
              <w:top w:val="nil"/>
              <w:left w:val="nil"/>
              <w:bottom w:val="single" w:sz="4" w:space="0" w:color="auto"/>
              <w:right w:val="single" w:sz="4" w:space="0" w:color="auto"/>
            </w:tcBorders>
            <w:shd w:val="clear" w:color="000000" w:fill="CCCCFF"/>
            <w:noWrap/>
            <w:vAlign w:val="bottom"/>
            <w:hideMark/>
          </w:tcPr>
          <w:p w14:paraId="12E098B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4D50A4D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29D1851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40.000,00</w:t>
            </w:r>
          </w:p>
        </w:tc>
        <w:tc>
          <w:tcPr>
            <w:tcW w:w="1559" w:type="dxa"/>
            <w:tcBorders>
              <w:top w:val="nil"/>
              <w:left w:val="nil"/>
              <w:bottom w:val="single" w:sz="4" w:space="0" w:color="auto"/>
              <w:right w:val="single" w:sz="4" w:space="0" w:color="auto"/>
            </w:tcBorders>
            <w:shd w:val="clear" w:color="000000" w:fill="CCCCFF"/>
            <w:noWrap/>
            <w:vAlign w:val="bottom"/>
            <w:hideMark/>
          </w:tcPr>
          <w:p w14:paraId="65EB457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CCCCFF"/>
            <w:noWrap/>
            <w:vAlign w:val="bottom"/>
            <w:hideMark/>
          </w:tcPr>
          <w:p w14:paraId="0DD4504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40.000,00</w:t>
            </w:r>
          </w:p>
        </w:tc>
      </w:tr>
      <w:tr w:rsidR="00846ACC" w:rsidRPr="004974C0" w14:paraId="19BD756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8B9802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3F759D6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E2528D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129D0D4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20.000,00</w:t>
            </w:r>
          </w:p>
        </w:tc>
        <w:tc>
          <w:tcPr>
            <w:tcW w:w="1559" w:type="dxa"/>
            <w:tcBorders>
              <w:top w:val="nil"/>
              <w:left w:val="nil"/>
              <w:bottom w:val="single" w:sz="4" w:space="0" w:color="auto"/>
              <w:right w:val="single" w:sz="4" w:space="0" w:color="auto"/>
            </w:tcBorders>
            <w:shd w:val="clear" w:color="000000" w:fill="FFFF99"/>
            <w:noWrap/>
            <w:vAlign w:val="bottom"/>
            <w:hideMark/>
          </w:tcPr>
          <w:p w14:paraId="2E12838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99"/>
            <w:noWrap/>
            <w:vAlign w:val="bottom"/>
            <w:hideMark/>
          </w:tcPr>
          <w:p w14:paraId="174DAB9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20.000,00</w:t>
            </w:r>
          </w:p>
        </w:tc>
      </w:tr>
      <w:tr w:rsidR="00846ACC" w:rsidRPr="004974C0" w14:paraId="22A5A37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44D182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6CA46B0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7AABDE9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E870CE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20.000,00</w:t>
            </w:r>
          </w:p>
        </w:tc>
        <w:tc>
          <w:tcPr>
            <w:tcW w:w="1559" w:type="dxa"/>
            <w:tcBorders>
              <w:top w:val="nil"/>
              <w:left w:val="nil"/>
              <w:bottom w:val="single" w:sz="4" w:space="0" w:color="auto"/>
              <w:right w:val="single" w:sz="4" w:space="0" w:color="auto"/>
            </w:tcBorders>
            <w:shd w:val="clear" w:color="auto" w:fill="auto"/>
            <w:noWrap/>
            <w:vAlign w:val="bottom"/>
            <w:hideMark/>
          </w:tcPr>
          <w:p w14:paraId="0E07408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47444F5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20.000,00</w:t>
            </w:r>
          </w:p>
        </w:tc>
      </w:tr>
      <w:tr w:rsidR="00846ACC" w:rsidRPr="004974C0" w14:paraId="1B494D1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77BD4CE"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749FC9DC"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10FF3C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C07369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20.000,00</w:t>
            </w:r>
          </w:p>
        </w:tc>
        <w:tc>
          <w:tcPr>
            <w:tcW w:w="1559" w:type="dxa"/>
            <w:tcBorders>
              <w:top w:val="nil"/>
              <w:left w:val="nil"/>
              <w:bottom w:val="single" w:sz="4" w:space="0" w:color="auto"/>
              <w:right w:val="single" w:sz="4" w:space="0" w:color="auto"/>
            </w:tcBorders>
            <w:shd w:val="clear" w:color="auto" w:fill="auto"/>
            <w:noWrap/>
            <w:vAlign w:val="bottom"/>
            <w:hideMark/>
          </w:tcPr>
          <w:p w14:paraId="4BC6F66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2AE7D7A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20.000,00</w:t>
            </w:r>
          </w:p>
        </w:tc>
      </w:tr>
      <w:tr w:rsidR="00846ACC" w:rsidRPr="004974C0" w14:paraId="0084D68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61FCF0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6.1. TEKUĆE DONACIJE</w:t>
            </w:r>
          </w:p>
        </w:tc>
        <w:tc>
          <w:tcPr>
            <w:tcW w:w="1984" w:type="dxa"/>
            <w:tcBorders>
              <w:top w:val="nil"/>
              <w:left w:val="nil"/>
              <w:bottom w:val="single" w:sz="4" w:space="0" w:color="auto"/>
              <w:right w:val="single" w:sz="4" w:space="0" w:color="auto"/>
            </w:tcBorders>
            <w:shd w:val="clear" w:color="000000" w:fill="FFFF99"/>
            <w:noWrap/>
            <w:vAlign w:val="bottom"/>
            <w:hideMark/>
          </w:tcPr>
          <w:p w14:paraId="6D5772E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EDEE1F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578F1AB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20.000,00</w:t>
            </w:r>
          </w:p>
        </w:tc>
        <w:tc>
          <w:tcPr>
            <w:tcW w:w="1559" w:type="dxa"/>
            <w:tcBorders>
              <w:top w:val="nil"/>
              <w:left w:val="nil"/>
              <w:bottom w:val="single" w:sz="4" w:space="0" w:color="auto"/>
              <w:right w:val="single" w:sz="4" w:space="0" w:color="auto"/>
            </w:tcBorders>
            <w:shd w:val="clear" w:color="000000" w:fill="FFFF99"/>
            <w:noWrap/>
            <w:vAlign w:val="bottom"/>
            <w:hideMark/>
          </w:tcPr>
          <w:p w14:paraId="2801C15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99"/>
            <w:noWrap/>
            <w:vAlign w:val="bottom"/>
            <w:hideMark/>
          </w:tcPr>
          <w:p w14:paraId="66630A0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20.000,00</w:t>
            </w:r>
          </w:p>
        </w:tc>
      </w:tr>
      <w:tr w:rsidR="00846ACC" w:rsidRPr="004974C0" w14:paraId="4650D3E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327026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A9367C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401447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FADAFB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20.000,00</w:t>
            </w:r>
          </w:p>
        </w:tc>
        <w:tc>
          <w:tcPr>
            <w:tcW w:w="1559" w:type="dxa"/>
            <w:tcBorders>
              <w:top w:val="nil"/>
              <w:left w:val="nil"/>
              <w:bottom w:val="single" w:sz="4" w:space="0" w:color="auto"/>
              <w:right w:val="single" w:sz="4" w:space="0" w:color="auto"/>
            </w:tcBorders>
            <w:shd w:val="clear" w:color="auto" w:fill="auto"/>
            <w:noWrap/>
            <w:vAlign w:val="bottom"/>
            <w:hideMark/>
          </w:tcPr>
          <w:p w14:paraId="553B290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59A266D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20.000,00</w:t>
            </w:r>
          </w:p>
        </w:tc>
      </w:tr>
      <w:tr w:rsidR="00846ACC" w:rsidRPr="004974C0" w14:paraId="515205D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5DEE1F2"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728ED940"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D31725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CFD85C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20.000,00</w:t>
            </w:r>
          </w:p>
        </w:tc>
        <w:tc>
          <w:tcPr>
            <w:tcW w:w="1559" w:type="dxa"/>
            <w:tcBorders>
              <w:top w:val="nil"/>
              <w:left w:val="nil"/>
              <w:bottom w:val="single" w:sz="4" w:space="0" w:color="auto"/>
              <w:right w:val="single" w:sz="4" w:space="0" w:color="auto"/>
            </w:tcBorders>
            <w:shd w:val="clear" w:color="auto" w:fill="auto"/>
            <w:noWrap/>
            <w:vAlign w:val="bottom"/>
            <w:hideMark/>
          </w:tcPr>
          <w:p w14:paraId="4500C52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49976D8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20.000,00</w:t>
            </w:r>
          </w:p>
        </w:tc>
      </w:tr>
      <w:tr w:rsidR="00846ACC" w:rsidRPr="004974C0" w14:paraId="172F32A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52B730F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5006 Socijalna skrb</w:t>
            </w:r>
          </w:p>
        </w:tc>
        <w:tc>
          <w:tcPr>
            <w:tcW w:w="1984" w:type="dxa"/>
            <w:tcBorders>
              <w:top w:val="nil"/>
              <w:left w:val="nil"/>
              <w:bottom w:val="single" w:sz="4" w:space="0" w:color="auto"/>
              <w:right w:val="single" w:sz="4" w:space="0" w:color="auto"/>
            </w:tcBorders>
            <w:shd w:val="clear" w:color="000000" w:fill="9999FF"/>
            <w:noWrap/>
            <w:vAlign w:val="bottom"/>
            <w:hideMark/>
          </w:tcPr>
          <w:p w14:paraId="58DD88F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45DBFF1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467.915,00</w:t>
            </w:r>
          </w:p>
        </w:tc>
        <w:tc>
          <w:tcPr>
            <w:tcW w:w="1843" w:type="dxa"/>
            <w:tcBorders>
              <w:top w:val="nil"/>
              <w:left w:val="nil"/>
              <w:bottom w:val="single" w:sz="4" w:space="0" w:color="auto"/>
              <w:right w:val="single" w:sz="4" w:space="0" w:color="auto"/>
            </w:tcBorders>
            <w:shd w:val="clear" w:color="000000" w:fill="9999FF"/>
            <w:noWrap/>
            <w:vAlign w:val="bottom"/>
            <w:hideMark/>
          </w:tcPr>
          <w:p w14:paraId="23D4DD6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150.100,00</w:t>
            </w:r>
          </w:p>
        </w:tc>
        <w:tc>
          <w:tcPr>
            <w:tcW w:w="1559" w:type="dxa"/>
            <w:tcBorders>
              <w:top w:val="nil"/>
              <w:left w:val="nil"/>
              <w:bottom w:val="single" w:sz="4" w:space="0" w:color="auto"/>
              <w:right w:val="single" w:sz="4" w:space="0" w:color="auto"/>
            </w:tcBorders>
            <w:shd w:val="clear" w:color="000000" w:fill="9999FF"/>
            <w:noWrap/>
            <w:vAlign w:val="bottom"/>
            <w:hideMark/>
          </w:tcPr>
          <w:p w14:paraId="383EBB6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32,08</w:t>
            </w:r>
          </w:p>
        </w:tc>
        <w:tc>
          <w:tcPr>
            <w:tcW w:w="1803" w:type="dxa"/>
            <w:tcBorders>
              <w:top w:val="nil"/>
              <w:left w:val="nil"/>
              <w:bottom w:val="single" w:sz="4" w:space="0" w:color="auto"/>
              <w:right w:val="single" w:sz="4" w:space="0" w:color="auto"/>
            </w:tcBorders>
            <w:shd w:val="clear" w:color="000000" w:fill="9999FF"/>
            <w:noWrap/>
            <w:vAlign w:val="bottom"/>
            <w:hideMark/>
          </w:tcPr>
          <w:p w14:paraId="59A7D8A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618.015,00</w:t>
            </w:r>
          </w:p>
        </w:tc>
      </w:tr>
      <w:tr w:rsidR="00846ACC" w:rsidRPr="004974C0" w14:paraId="5E366FE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8B7A63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A500001 Socijalna zaštita djece i mladih</w:t>
            </w:r>
          </w:p>
        </w:tc>
        <w:tc>
          <w:tcPr>
            <w:tcW w:w="1984" w:type="dxa"/>
            <w:tcBorders>
              <w:top w:val="nil"/>
              <w:left w:val="nil"/>
              <w:bottom w:val="single" w:sz="4" w:space="0" w:color="auto"/>
              <w:right w:val="single" w:sz="4" w:space="0" w:color="auto"/>
            </w:tcBorders>
            <w:shd w:val="clear" w:color="000000" w:fill="CCCCFF"/>
            <w:noWrap/>
            <w:vAlign w:val="bottom"/>
            <w:hideMark/>
          </w:tcPr>
          <w:p w14:paraId="0870222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0DB4FB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86.000,00</w:t>
            </w:r>
          </w:p>
        </w:tc>
        <w:tc>
          <w:tcPr>
            <w:tcW w:w="1843" w:type="dxa"/>
            <w:tcBorders>
              <w:top w:val="nil"/>
              <w:left w:val="nil"/>
              <w:bottom w:val="single" w:sz="4" w:space="0" w:color="auto"/>
              <w:right w:val="single" w:sz="4" w:space="0" w:color="auto"/>
            </w:tcBorders>
            <w:shd w:val="clear" w:color="000000" w:fill="CCCCFF"/>
            <w:noWrap/>
            <w:vAlign w:val="bottom"/>
            <w:hideMark/>
          </w:tcPr>
          <w:p w14:paraId="088F057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71D2619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2EF73EF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86.000,00</w:t>
            </w:r>
          </w:p>
        </w:tc>
      </w:tr>
      <w:tr w:rsidR="00846ACC" w:rsidRPr="004974C0" w14:paraId="18B6D98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96FCE4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0149601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6F76A0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86.000,00</w:t>
            </w:r>
          </w:p>
        </w:tc>
        <w:tc>
          <w:tcPr>
            <w:tcW w:w="1843" w:type="dxa"/>
            <w:tcBorders>
              <w:top w:val="nil"/>
              <w:left w:val="nil"/>
              <w:bottom w:val="single" w:sz="4" w:space="0" w:color="auto"/>
              <w:right w:val="single" w:sz="4" w:space="0" w:color="auto"/>
            </w:tcBorders>
            <w:shd w:val="clear" w:color="000000" w:fill="FFFF99"/>
            <w:noWrap/>
            <w:vAlign w:val="bottom"/>
            <w:hideMark/>
          </w:tcPr>
          <w:p w14:paraId="0CAC7AE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4FF47B0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7120F72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86.000,00</w:t>
            </w:r>
          </w:p>
        </w:tc>
      </w:tr>
      <w:tr w:rsidR="00846ACC" w:rsidRPr="004974C0" w14:paraId="0B49956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9C2FC3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8526F0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D78FC2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86.000,00</w:t>
            </w:r>
          </w:p>
        </w:tc>
        <w:tc>
          <w:tcPr>
            <w:tcW w:w="1843" w:type="dxa"/>
            <w:tcBorders>
              <w:top w:val="nil"/>
              <w:left w:val="nil"/>
              <w:bottom w:val="single" w:sz="4" w:space="0" w:color="auto"/>
              <w:right w:val="single" w:sz="4" w:space="0" w:color="auto"/>
            </w:tcBorders>
            <w:shd w:val="clear" w:color="auto" w:fill="auto"/>
            <w:noWrap/>
            <w:vAlign w:val="bottom"/>
            <w:hideMark/>
          </w:tcPr>
          <w:p w14:paraId="056D99D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8B39FC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E046FF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86.000,00</w:t>
            </w:r>
          </w:p>
        </w:tc>
      </w:tr>
      <w:tr w:rsidR="00846ACC" w:rsidRPr="004974C0" w14:paraId="75849B5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0F47AF0" w14:textId="77777777" w:rsidR="004974C0" w:rsidRPr="004974C0" w:rsidRDefault="004974C0" w:rsidP="004974C0">
            <w:pPr>
              <w:rPr>
                <w:rFonts w:ascii="Arial" w:hAnsi="Arial" w:cs="Arial"/>
                <w:sz w:val="20"/>
                <w:szCs w:val="20"/>
              </w:rPr>
            </w:pPr>
            <w:r w:rsidRPr="004974C0">
              <w:rPr>
                <w:rFonts w:ascii="Arial" w:hAnsi="Arial" w:cs="Arial"/>
                <w:sz w:val="20"/>
                <w:szCs w:val="20"/>
              </w:rPr>
              <w:t>37</w:t>
            </w:r>
          </w:p>
        </w:tc>
        <w:tc>
          <w:tcPr>
            <w:tcW w:w="1984" w:type="dxa"/>
            <w:tcBorders>
              <w:top w:val="nil"/>
              <w:left w:val="nil"/>
              <w:bottom w:val="single" w:sz="4" w:space="0" w:color="auto"/>
              <w:right w:val="single" w:sz="4" w:space="0" w:color="auto"/>
            </w:tcBorders>
            <w:shd w:val="clear" w:color="auto" w:fill="auto"/>
            <w:noWrap/>
            <w:vAlign w:val="bottom"/>
            <w:hideMark/>
          </w:tcPr>
          <w:p w14:paraId="5E1D14B7" w14:textId="77777777" w:rsidR="004974C0" w:rsidRPr="004974C0" w:rsidRDefault="004974C0" w:rsidP="004974C0">
            <w:pPr>
              <w:rPr>
                <w:rFonts w:ascii="Arial" w:hAnsi="Arial" w:cs="Arial"/>
                <w:sz w:val="20"/>
                <w:szCs w:val="20"/>
              </w:rPr>
            </w:pPr>
            <w:r w:rsidRPr="004974C0">
              <w:rPr>
                <w:rFonts w:ascii="Arial" w:hAnsi="Arial" w:cs="Arial"/>
                <w:sz w:val="20"/>
                <w:szCs w:val="20"/>
              </w:rPr>
              <w:t>Naknade građanima i kućanstvima na temelju osiguranja i druge naknade</w:t>
            </w:r>
          </w:p>
        </w:tc>
        <w:tc>
          <w:tcPr>
            <w:tcW w:w="1843" w:type="dxa"/>
            <w:tcBorders>
              <w:top w:val="nil"/>
              <w:left w:val="nil"/>
              <w:bottom w:val="single" w:sz="4" w:space="0" w:color="auto"/>
              <w:right w:val="single" w:sz="4" w:space="0" w:color="auto"/>
            </w:tcBorders>
            <w:shd w:val="clear" w:color="auto" w:fill="auto"/>
            <w:noWrap/>
            <w:vAlign w:val="bottom"/>
            <w:hideMark/>
          </w:tcPr>
          <w:p w14:paraId="1CB08DE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86.000,00</w:t>
            </w:r>
          </w:p>
        </w:tc>
        <w:tc>
          <w:tcPr>
            <w:tcW w:w="1843" w:type="dxa"/>
            <w:tcBorders>
              <w:top w:val="nil"/>
              <w:left w:val="nil"/>
              <w:bottom w:val="single" w:sz="4" w:space="0" w:color="auto"/>
              <w:right w:val="single" w:sz="4" w:space="0" w:color="auto"/>
            </w:tcBorders>
            <w:shd w:val="clear" w:color="auto" w:fill="auto"/>
            <w:noWrap/>
            <w:vAlign w:val="bottom"/>
            <w:hideMark/>
          </w:tcPr>
          <w:p w14:paraId="3C41374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CF18C0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99508E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86.000,00</w:t>
            </w:r>
          </w:p>
        </w:tc>
      </w:tr>
      <w:tr w:rsidR="00846ACC" w:rsidRPr="004974C0" w14:paraId="109A639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7B48C66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A500002 Socijalna zaštita starijih, bolesnih i nemoćnih osoba</w:t>
            </w:r>
          </w:p>
        </w:tc>
        <w:tc>
          <w:tcPr>
            <w:tcW w:w="1984" w:type="dxa"/>
            <w:tcBorders>
              <w:top w:val="nil"/>
              <w:left w:val="nil"/>
              <w:bottom w:val="single" w:sz="4" w:space="0" w:color="auto"/>
              <w:right w:val="single" w:sz="4" w:space="0" w:color="auto"/>
            </w:tcBorders>
            <w:shd w:val="clear" w:color="000000" w:fill="CCCCFF"/>
            <w:noWrap/>
            <w:vAlign w:val="bottom"/>
            <w:hideMark/>
          </w:tcPr>
          <w:p w14:paraId="31F131D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0D11004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101.000,00</w:t>
            </w:r>
          </w:p>
        </w:tc>
        <w:tc>
          <w:tcPr>
            <w:tcW w:w="1843" w:type="dxa"/>
            <w:tcBorders>
              <w:top w:val="nil"/>
              <w:left w:val="nil"/>
              <w:bottom w:val="single" w:sz="4" w:space="0" w:color="auto"/>
              <w:right w:val="single" w:sz="4" w:space="0" w:color="auto"/>
            </w:tcBorders>
            <w:shd w:val="clear" w:color="000000" w:fill="CCCCFF"/>
            <w:noWrap/>
            <w:vAlign w:val="bottom"/>
            <w:hideMark/>
          </w:tcPr>
          <w:p w14:paraId="6043BBF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119.000,00</w:t>
            </w:r>
          </w:p>
        </w:tc>
        <w:tc>
          <w:tcPr>
            <w:tcW w:w="1559" w:type="dxa"/>
            <w:tcBorders>
              <w:top w:val="nil"/>
              <w:left w:val="nil"/>
              <w:bottom w:val="single" w:sz="4" w:space="0" w:color="auto"/>
              <w:right w:val="single" w:sz="4" w:space="0" w:color="auto"/>
            </w:tcBorders>
            <w:shd w:val="clear" w:color="000000" w:fill="CCCCFF"/>
            <w:noWrap/>
            <w:vAlign w:val="bottom"/>
            <w:hideMark/>
          </w:tcPr>
          <w:p w14:paraId="218DEFD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117,82</w:t>
            </w:r>
          </w:p>
        </w:tc>
        <w:tc>
          <w:tcPr>
            <w:tcW w:w="1803" w:type="dxa"/>
            <w:tcBorders>
              <w:top w:val="nil"/>
              <w:left w:val="nil"/>
              <w:bottom w:val="single" w:sz="4" w:space="0" w:color="auto"/>
              <w:right w:val="single" w:sz="4" w:space="0" w:color="auto"/>
            </w:tcBorders>
            <w:shd w:val="clear" w:color="000000" w:fill="CCCCFF"/>
            <w:noWrap/>
            <w:vAlign w:val="bottom"/>
            <w:hideMark/>
          </w:tcPr>
          <w:p w14:paraId="5D368BB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220.000,00</w:t>
            </w:r>
          </w:p>
        </w:tc>
      </w:tr>
      <w:tr w:rsidR="00846ACC" w:rsidRPr="004974C0" w14:paraId="6CADD76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0DEC551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3E89A2D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1389DC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101.000,00</w:t>
            </w:r>
          </w:p>
        </w:tc>
        <w:tc>
          <w:tcPr>
            <w:tcW w:w="1843" w:type="dxa"/>
            <w:tcBorders>
              <w:top w:val="nil"/>
              <w:left w:val="nil"/>
              <w:bottom w:val="single" w:sz="4" w:space="0" w:color="auto"/>
              <w:right w:val="single" w:sz="4" w:space="0" w:color="auto"/>
            </w:tcBorders>
            <w:shd w:val="clear" w:color="000000" w:fill="FFFF99"/>
            <w:noWrap/>
            <w:vAlign w:val="bottom"/>
            <w:hideMark/>
          </w:tcPr>
          <w:p w14:paraId="340A5B7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119.000,00</w:t>
            </w:r>
          </w:p>
        </w:tc>
        <w:tc>
          <w:tcPr>
            <w:tcW w:w="1559" w:type="dxa"/>
            <w:tcBorders>
              <w:top w:val="nil"/>
              <w:left w:val="nil"/>
              <w:bottom w:val="single" w:sz="4" w:space="0" w:color="auto"/>
              <w:right w:val="single" w:sz="4" w:space="0" w:color="auto"/>
            </w:tcBorders>
            <w:shd w:val="clear" w:color="000000" w:fill="FFFF99"/>
            <w:noWrap/>
            <w:vAlign w:val="bottom"/>
            <w:hideMark/>
          </w:tcPr>
          <w:p w14:paraId="0C640BE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117,82</w:t>
            </w:r>
          </w:p>
        </w:tc>
        <w:tc>
          <w:tcPr>
            <w:tcW w:w="1803" w:type="dxa"/>
            <w:tcBorders>
              <w:top w:val="nil"/>
              <w:left w:val="nil"/>
              <w:bottom w:val="single" w:sz="4" w:space="0" w:color="auto"/>
              <w:right w:val="single" w:sz="4" w:space="0" w:color="auto"/>
            </w:tcBorders>
            <w:shd w:val="clear" w:color="000000" w:fill="FFFF99"/>
            <w:noWrap/>
            <w:vAlign w:val="bottom"/>
            <w:hideMark/>
          </w:tcPr>
          <w:p w14:paraId="752A23D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220.000,00</w:t>
            </w:r>
          </w:p>
        </w:tc>
      </w:tr>
      <w:tr w:rsidR="00846ACC" w:rsidRPr="004974C0" w14:paraId="7F6BF85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42D84A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lastRenderedPageBreak/>
              <w:t>3</w:t>
            </w:r>
          </w:p>
        </w:tc>
        <w:tc>
          <w:tcPr>
            <w:tcW w:w="1984" w:type="dxa"/>
            <w:tcBorders>
              <w:top w:val="nil"/>
              <w:left w:val="nil"/>
              <w:bottom w:val="single" w:sz="4" w:space="0" w:color="auto"/>
              <w:right w:val="single" w:sz="4" w:space="0" w:color="auto"/>
            </w:tcBorders>
            <w:shd w:val="clear" w:color="auto" w:fill="auto"/>
            <w:noWrap/>
            <w:vAlign w:val="bottom"/>
            <w:hideMark/>
          </w:tcPr>
          <w:p w14:paraId="4145D1D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E908F5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101.000,00</w:t>
            </w:r>
          </w:p>
        </w:tc>
        <w:tc>
          <w:tcPr>
            <w:tcW w:w="1843" w:type="dxa"/>
            <w:tcBorders>
              <w:top w:val="nil"/>
              <w:left w:val="nil"/>
              <w:bottom w:val="single" w:sz="4" w:space="0" w:color="auto"/>
              <w:right w:val="single" w:sz="4" w:space="0" w:color="auto"/>
            </w:tcBorders>
            <w:shd w:val="clear" w:color="auto" w:fill="auto"/>
            <w:noWrap/>
            <w:vAlign w:val="bottom"/>
            <w:hideMark/>
          </w:tcPr>
          <w:p w14:paraId="7AD7825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119.000,00</w:t>
            </w:r>
          </w:p>
        </w:tc>
        <w:tc>
          <w:tcPr>
            <w:tcW w:w="1559" w:type="dxa"/>
            <w:tcBorders>
              <w:top w:val="nil"/>
              <w:left w:val="nil"/>
              <w:bottom w:val="single" w:sz="4" w:space="0" w:color="auto"/>
              <w:right w:val="single" w:sz="4" w:space="0" w:color="auto"/>
            </w:tcBorders>
            <w:shd w:val="clear" w:color="auto" w:fill="auto"/>
            <w:noWrap/>
            <w:vAlign w:val="bottom"/>
            <w:hideMark/>
          </w:tcPr>
          <w:p w14:paraId="38B1763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117,82</w:t>
            </w:r>
          </w:p>
        </w:tc>
        <w:tc>
          <w:tcPr>
            <w:tcW w:w="1803" w:type="dxa"/>
            <w:tcBorders>
              <w:top w:val="nil"/>
              <w:left w:val="nil"/>
              <w:bottom w:val="single" w:sz="4" w:space="0" w:color="auto"/>
              <w:right w:val="single" w:sz="4" w:space="0" w:color="auto"/>
            </w:tcBorders>
            <w:shd w:val="clear" w:color="auto" w:fill="auto"/>
            <w:noWrap/>
            <w:vAlign w:val="bottom"/>
            <w:hideMark/>
          </w:tcPr>
          <w:p w14:paraId="0B0FFD1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220.000,00</w:t>
            </w:r>
          </w:p>
        </w:tc>
      </w:tr>
      <w:tr w:rsidR="00846ACC" w:rsidRPr="004974C0" w14:paraId="74AFC72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C2253C1"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7BF3F797"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596E4C0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6.000,00</w:t>
            </w:r>
          </w:p>
        </w:tc>
        <w:tc>
          <w:tcPr>
            <w:tcW w:w="1843" w:type="dxa"/>
            <w:tcBorders>
              <w:top w:val="nil"/>
              <w:left w:val="nil"/>
              <w:bottom w:val="single" w:sz="4" w:space="0" w:color="auto"/>
              <w:right w:val="single" w:sz="4" w:space="0" w:color="auto"/>
            </w:tcBorders>
            <w:shd w:val="clear" w:color="auto" w:fill="auto"/>
            <w:noWrap/>
            <w:vAlign w:val="bottom"/>
            <w:hideMark/>
          </w:tcPr>
          <w:p w14:paraId="776758D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c>
          <w:tcPr>
            <w:tcW w:w="1559" w:type="dxa"/>
            <w:tcBorders>
              <w:top w:val="nil"/>
              <w:left w:val="nil"/>
              <w:bottom w:val="single" w:sz="4" w:space="0" w:color="auto"/>
              <w:right w:val="single" w:sz="4" w:space="0" w:color="auto"/>
            </w:tcBorders>
            <w:shd w:val="clear" w:color="auto" w:fill="auto"/>
            <w:noWrap/>
            <w:vAlign w:val="bottom"/>
            <w:hideMark/>
          </w:tcPr>
          <w:p w14:paraId="52C942E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33,33</w:t>
            </w:r>
          </w:p>
        </w:tc>
        <w:tc>
          <w:tcPr>
            <w:tcW w:w="1803" w:type="dxa"/>
            <w:tcBorders>
              <w:top w:val="nil"/>
              <w:left w:val="nil"/>
              <w:bottom w:val="single" w:sz="4" w:space="0" w:color="auto"/>
              <w:right w:val="single" w:sz="4" w:space="0" w:color="auto"/>
            </w:tcBorders>
            <w:shd w:val="clear" w:color="auto" w:fill="auto"/>
            <w:noWrap/>
            <w:vAlign w:val="bottom"/>
            <w:hideMark/>
          </w:tcPr>
          <w:p w14:paraId="0E191E6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8.000,00</w:t>
            </w:r>
          </w:p>
        </w:tc>
      </w:tr>
      <w:tr w:rsidR="00846ACC" w:rsidRPr="004974C0" w14:paraId="0258304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6791C49" w14:textId="77777777" w:rsidR="004974C0" w:rsidRPr="004974C0" w:rsidRDefault="004974C0" w:rsidP="004974C0">
            <w:pPr>
              <w:rPr>
                <w:rFonts w:ascii="Arial" w:hAnsi="Arial" w:cs="Arial"/>
                <w:sz w:val="20"/>
                <w:szCs w:val="20"/>
              </w:rPr>
            </w:pPr>
            <w:r w:rsidRPr="004974C0">
              <w:rPr>
                <w:rFonts w:ascii="Arial" w:hAnsi="Arial" w:cs="Arial"/>
                <w:sz w:val="20"/>
                <w:szCs w:val="20"/>
              </w:rPr>
              <w:t>37</w:t>
            </w:r>
          </w:p>
        </w:tc>
        <w:tc>
          <w:tcPr>
            <w:tcW w:w="1984" w:type="dxa"/>
            <w:tcBorders>
              <w:top w:val="nil"/>
              <w:left w:val="nil"/>
              <w:bottom w:val="single" w:sz="4" w:space="0" w:color="auto"/>
              <w:right w:val="single" w:sz="4" w:space="0" w:color="auto"/>
            </w:tcBorders>
            <w:shd w:val="clear" w:color="auto" w:fill="auto"/>
            <w:noWrap/>
            <w:vAlign w:val="bottom"/>
            <w:hideMark/>
          </w:tcPr>
          <w:p w14:paraId="3F3ED7A3" w14:textId="77777777" w:rsidR="004974C0" w:rsidRPr="004974C0" w:rsidRDefault="004974C0" w:rsidP="004974C0">
            <w:pPr>
              <w:rPr>
                <w:rFonts w:ascii="Arial" w:hAnsi="Arial" w:cs="Arial"/>
                <w:sz w:val="20"/>
                <w:szCs w:val="20"/>
              </w:rPr>
            </w:pPr>
            <w:r w:rsidRPr="004974C0">
              <w:rPr>
                <w:rFonts w:ascii="Arial" w:hAnsi="Arial" w:cs="Arial"/>
                <w:sz w:val="20"/>
                <w:szCs w:val="20"/>
              </w:rPr>
              <w:t>Naknade građanima i kućanstvima na temelju osiguranja i druge naknade</w:t>
            </w:r>
          </w:p>
        </w:tc>
        <w:tc>
          <w:tcPr>
            <w:tcW w:w="1843" w:type="dxa"/>
            <w:tcBorders>
              <w:top w:val="nil"/>
              <w:left w:val="nil"/>
              <w:bottom w:val="single" w:sz="4" w:space="0" w:color="auto"/>
              <w:right w:val="single" w:sz="4" w:space="0" w:color="auto"/>
            </w:tcBorders>
            <w:shd w:val="clear" w:color="auto" w:fill="auto"/>
            <w:noWrap/>
            <w:vAlign w:val="bottom"/>
            <w:hideMark/>
          </w:tcPr>
          <w:p w14:paraId="68E36E1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95.000,00</w:t>
            </w:r>
          </w:p>
        </w:tc>
        <w:tc>
          <w:tcPr>
            <w:tcW w:w="1843" w:type="dxa"/>
            <w:tcBorders>
              <w:top w:val="nil"/>
              <w:left w:val="nil"/>
              <w:bottom w:val="single" w:sz="4" w:space="0" w:color="auto"/>
              <w:right w:val="single" w:sz="4" w:space="0" w:color="auto"/>
            </w:tcBorders>
            <w:shd w:val="clear" w:color="auto" w:fill="auto"/>
            <w:noWrap/>
            <w:vAlign w:val="bottom"/>
            <w:hideMark/>
          </w:tcPr>
          <w:p w14:paraId="78044FE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117.000,00</w:t>
            </w:r>
          </w:p>
        </w:tc>
        <w:tc>
          <w:tcPr>
            <w:tcW w:w="1559" w:type="dxa"/>
            <w:tcBorders>
              <w:top w:val="nil"/>
              <w:left w:val="nil"/>
              <w:bottom w:val="single" w:sz="4" w:space="0" w:color="auto"/>
              <w:right w:val="single" w:sz="4" w:space="0" w:color="auto"/>
            </w:tcBorders>
            <w:shd w:val="clear" w:color="auto" w:fill="auto"/>
            <w:noWrap/>
            <w:vAlign w:val="bottom"/>
            <w:hideMark/>
          </w:tcPr>
          <w:p w14:paraId="587B784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123,16</w:t>
            </w:r>
          </w:p>
        </w:tc>
        <w:tc>
          <w:tcPr>
            <w:tcW w:w="1803" w:type="dxa"/>
            <w:tcBorders>
              <w:top w:val="nil"/>
              <w:left w:val="nil"/>
              <w:bottom w:val="single" w:sz="4" w:space="0" w:color="auto"/>
              <w:right w:val="single" w:sz="4" w:space="0" w:color="auto"/>
            </w:tcBorders>
            <w:shd w:val="clear" w:color="auto" w:fill="auto"/>
            <w:noWrap/>
            <w:vAlign w:val="bottom"/>
            <w:hideMark/>
          </w:tcPr>
          <w:p w14:paraId="13C186A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212.000,00</w:t>
            </w:r>
          </w:p>
        </w:tc>
      </w:tr>
      <w:tr w:rsidR="00846ACC" w:rsidRPr="004974C0" w14:paraId="0EC85E5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C40EBB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A500003 Socijalna zaštita obitelji</w:t>
            </w:r>
          </w:p>
        </w:tc>
        <w:tc>
          <w:tcPr>
            <w:tcW w:w="1984" w:type="dxa"/>
            <w:tcBorders>
              <w:top w:val="nil"/>
              <w:left w:val="nil"/>
              <w:bottom w:val="single" w:sz="4" w:space="0" w:color="auto"/>
              <w:right w:val="single" w:sz="4" w:space="0" w:color="auto"/>
            </w:tcBorders>
            <w:shd w:val="clear" w:color="000000" w:fill="CCCCFF"/>
            <w:noWrap/>
            <w:vAlign w:val="bottom"/>
            <w:hideMark/>
          </w:tcPr>
          <w:p w14:paraId="319E74E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26F710E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114.000,00</w:t>
            </w:r>
          </w:p>
        </w:tc>
        <w:tc>
          <w:tcPr>
            <w:tcW w:w="1843" w:type="dxa"/>
            <w:tcBorders>
              <w:top w:val="nil"/>
              <w:left w:val="nil"/>
              <w:bottom w:val="single" w:sz="4" w:space="0" w:color="auto"/>
              <w:right w:val="single" w:sz="4" w:space="0" w:color="auto"/>
            </w:tcBorders>
            <w:shd w:val="clear" w:color="000000" w:fill="CCCCFF"/>
            <w:noWrap/>
            <w:vAlign w:val="bottom"/>
            <w:hideMark/>
          </w:tcPr>
          <w:p w14:paraId="6F5066D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7.000,00</w:t>
            </w:r>
          </w:p>
        </w:tc>
        <w:tc>
          <w:tcPr>
            <w:tcW w:w="1559" w:type="dxa"/>
            <w:tcBorders>
              <w:top w:val="nil"/>
              <w:left w:val="nil"/>
              <w:bottom w:val="single" w:sz="4" w:space="0" w:color="auto"/>
              <w:right w:val="single" w:sz="4" w:space="0" w:color="auto"/>
            </w:tcBorders>
            <w:shd w:val="clear" w:color="000000" w:fill="CCCCFF"/>
            <w:noWrap/>
            <w:vAlign w:val="bottom"/>
            <w:hideMark/>
          </w:tcPr>
          <w:p w14:paraId="7A85298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6,14</w:t>
            </w:r>
          </w:p>
        </w:tc>
        <w:tc>
          <w:tcPr>
            <w:tcW w:w="1803" w:type="dxa"/>
            <w:tcBorders>
              <w:top w:val="nil"/>
              <w:left w:val="nil"/>
              <w:bottom w:val="single" w:sz="4" w:space="0" w:color="auto"/>
              <w:right w:val="single" w:sz="4" w:space="0" w:color="auto"/>
            </w:tcBorders>
            <w:shd w:val="clear" w:color="000000" w:fill="CCCCFF"/>
            <w:noWrap/>
            <w:vAlign w:val="bottom"/>
            <w:hideMark/>
          </w:tcPr>
          <w:p w14:paraId="619791F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121.000,00</w:t>
            </w:r>
          </w:p>
        </w:tc>
      </w:tr>
      <w:tr w:rsidR="00846ACC" w:rsidRPr="004974C0" w14:paraId="5865CBD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7D7273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5409128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B185D7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111.000,00</w:t>
            </w:r>
          </w:p>
        </w:tc>
        <w:tc>
          <w:tcPr>
            <w:tcW w:w="1843" w:type="dxa"/>
            <w:tcBorders>
              <w:top w:val="nil"/>
              <w:left w:val="nil"/>
              <w:bottom w:val="single" w:sz="4" w:space="0" w:color="auto"/>
              <w:right w:val="single" w:sz="4" w:space="0" w:color="auto"/>
            </w:tcBorders>
            <w:shd w:val="clear" w:color="000000" w:fill="FFFF99"/>
            <w:noWrap/>
            <w:vAlign w:val="bottom"/>
            <w:hideMark/>
          </w:tcPr>
          <w:p w14:paraId="70C6A6A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7.000,00</w:t>
            </w:r>
          </w:p>
        </w:tc>
        <w:tc>
          <w:tcPr>
            <w:tcW w:w="1559" w:type="dxa"/>
            <w:tcBorders>
              <w:top w:val="nil"/>
              <w:left w:val="nil"/>
              <w:bottom w:val="single" w:sz="4" w:space="0" w:color="auto"/>
              <w:right w:val="single" w:sz="4" w:space="0" w:color="auto"/>
            </w:tcBorders>
            <w:shd w:val="clear" w:color="000000" w:fill="FFFF99"/>
            <w:noWrap/>
            <w:vAlign w:val="bottom"/>
            <w:hideMark/>
          </w:tcPr>
          <w:p w14:paraId="0FF50BD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6,31</w:t>
            </w:r>
          </w:p>
        </w:tc>
        <w:tc>
          <w:tcPr>
            <w:tcW w:w="1803" w:type="dxa"/>
            <w:tcBorders>
              <w:top w:val="nil"/>
              <w:left w:val="nil"/>
              <w:bottom w:val="single" w:sz="4" w:space="0" w:color="auto"/>
              <w:right w:val="single" w:sz="4" w:space="0" w:color="auto"/>
            </w:tcBorders>
            <w:shd w:val="clear" w:color="000000" w:fill="FFFF99"/>
            <w:noWrap/>
            <w:vAlign w:val="bottom"/>
            <w:hideMark/>
          </w:tcPr>
          <w:p w14:paraId="46D444F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118.000,00</w:t>
            </w:r>
          </w:p>
        </w:tc>
      </w:tr>
      <w:tr w:rsidR="00846ACC" w:rsidRPr="004974C0" w14:paraId="25AE945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449950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5E60D0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58F5C5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111.000,00</w:t>
            </w:r>
          </w:p>
        </w:tc>
        <w:tc>
          <w:tcPr>
            <w:tcW w:w="1843" w:type="dxa"/>
            <w:tcBorders>
              <w:top w:val="nil"/>
              <w:left w:val="nil"/>
              <w:bottom w:val="single" w:sz="4" w:space="0" w:color="auto"/>
              <w:right w:val="single" w:sz="4" w:space="0" w:color="auto"/>
            </w:tcBorders>
            <w:shd w:val="clear" w:color="auto" w:fill="auto"/>
            <w:noWrap/>
            <w:vAlign w:val="bottom"/>
            <w:hideMark/>
          </w:tcPr>
          <w:p w14:paraId="67D6BE1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7.000,00</w:t>
            </w:r>
          </w:p>
        </w:tc>
        <w:tc>
          <w:tcPr>
            <w:tcW w:w="1559" w:type="dxa"/>
            <w:tcBorders>
              <w:top w:val="nil"/>
              <w:left w:val="nil"/>
              <w:bottom w:val="single" w:sz="4" w:space="0" w:color="auto"/>
              <w:right w:val="single" w:sz="4" w:space="0" w:color="auto"/>
            </w:tcBorders>
            <w:shd w:val="clear" w:color="auto" w:fill="auto"/>
            <w:noWrap/>
            <w:vAlign w:val="bottom"/>
            <w:hideMark/>
          </w:tcPr>
          <w:p w14:paraId="34483B1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6,31</w:t>
            </w:r>
          </w:p>
        </w:tc>
        <w:tc>
          <w:tcPr>
            <w:tcW w:w="1803" w:type="dxa"/>
            <w:tcBorders>
              <w:top w:val="nil"/>
              <w:left w:val="nil"/>
              <w:bottom w:val="single" w:sz="4" w:space="0" w:color="auto"/>
              <w:right w:val="single" w:sz="4" w:space="0" w:color="auto"/>
            </w:tcBorders>
            <w:shd w:val="clear" w:color="auto" w:fill="auto"/>
            <w:noWrap/>
            <w:vAlign w:val="bottom"/>
            <w:hideMark/>
          </w:tcPr>
          <w:p w14:paraId="520F07E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118.000,00</w:t>
            </w:r>
          </w:p>
        </w:tc>
      </w:tr>
      <w:tr w:rsidR="00846ACC" w:rsidRPr="004974C0" w14:paraId="35E39CA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57C9CC7" w14:textId="77777777" w:rsidR="004974C0" w:rsidRPr="004974C0" w:rsidRDefault="004974C0" w:rsidP="004974C0">
            <w:pPr>
              <w:rPr>
                <w:rFonts w:ascii="Arial" w:hAnsi="Arial" w:cs="Arial"/>
                <w:sz w:val="20"/>
                <w:szCs w:val="20"/>
              </w:rPr>
            </w:pPr>
            <w:r w:rsidRPr="004974C0">
              <w:rPr>
                <w:rFonts w:ascii="Arial" w:hAnsi="Arial" w:cs="Arial"/>
                <w:sz w:val="20"/>
                <w:szCs w:val="20"/>
              </w:rPr>
              <w:t>37</w:t>
            </w:r>
          </w:p>
        </w:tc>
        <w:tc>
          <w:tcPr>
            <w:tcW w:w="1984" w:type="dxa"/>
            <w:tcBorders>
              <w:top w:val="nil"/>
              <w:left w:val="nil"/>
              <w:bottom w:val="single" w:sz="4" w:space="0" w:color="auto"/>
              <w:right w:val="single" w:sz="4" w:space="0" w:color="auto"/>
            </w:tcBorders>
            <w:shd w:val="clear" w:color="auto" w:fill="auto"/>
            <w:noWrap/>
            <w:vAlign w:val="bottom"/>
            <w:hideMark/>
          </w:tcPr>
          <w:p w14:paraId="08973E5C" w14:textId="77777777" w:rsidR="004974C0" w:rsidRPr="004974C0" w:rsidRDefault="004974C0" w:rsidP="004974C0">
            <w:pPr>
              <w:rPr>
                <w:rFonts w:ascii="Arial" w:hAnsi="Arial" w:cs="Arial"/>
                <w:sz w:val="20"/>
                <w:szCs w:val="20"/>
              </w:rPr>
            </w:pPr>
            <w:r w:rsidRPr="004974C0">
              <w:rPr>
                <w:rFonts w:ascii="Arial" w:hAnsi="Arial" w:cs="Arial"/>
                <w:sz w:val="20"/>
                <w:szCs w:val="20"/>
              </w:rPr>
              <w:t>Naknade građanima i kućanstvima na temelju osiguranja i druge naknade</w:t>
            </w:r>
          </w:p>
        </w:tc>
        <w:tc>
          <w:tcPr>
            <w:tcW w:w="1843" w:type="dxa"/>
            <w:tcBorders>
              <w:top w:val="nil"/>
              <w:left w:val="nil"/>
              <w:bottom w:val="single" w:sz="4" w:space="0" w:color="auto"/>
              <w:right w:val="single" w:sz="4" w:space="0" w:color="auto"/>
            </w:tcBorders>
            <w:shd w:val="clear" w:color="auto" w:fill="auto"/>
            <w:noWrap/>
            <w:vAlign w:val="bottom"/>
            <w:hideMark/>
          </w:tcPr>
          <w:p w14:paraId="2D400E8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111.000,00</w:t>
            </w:r>
          </w:p>
        </w:tc>
        <w:tc>
          <w:tcPr>
            <w:tcW w:w="1843" w:type="dxa"/>
            <w:tcBorders>
              <w:top w:val="nil"/>
              <w:left w:val="nil"/>
              <w:bottom w:val="single" w:sz="4" w:space="0" w:color="auto"/>
              <w:right w:val="single" w:sz="4" w:space="0" w:color="auto"/>
            </w:tcBorders>
            <w:shd w:val="clear" w:color="auto" w:fill="auto"/>
            <w:noWrap/>
            <w:vAlign w:val="bottom"/>
            <w:hideMark/>
          </w:tcPr>
          <w:p w14:paraId="0D798F2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7.000,00</w:t>
            </w:r>
          </w:p>
        </w:tc>
        <w:tc>
          <w:tcPr>
            <w:tcW w:w="1559" w:type="dxa"/>
            <w:tcBorders>
              <w:top w:val="nil"/>
              <w:left w:val="nil"/>
              <w:bottom w:val="single" w:sz="4" w:space="0" w:color="auto"/>
              <w:right w:val="single" w:sz="4" w:space="0" w:color="auto"/>
            </w:tcBorders>
            <w:shd w:val="clear" w:color="auto" w:fill="auto"/>
            <w:noWrap/>
            <w:vAlign w:val="bottom"/>
            <w:hideMark/>
          </w:tcPr>
          <w:p w14:paraId="0B76BE8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6,31</w:t>
            </w:r>
          </w:p>
        </w:tc>
        <w:tc>
          <w:tcPr>
            <w:tcW w:w="1803" w:type="dxa"/>
            <w:tcBorders>
              <w:top w:val="nil"/>
              <w:left w:val="nil"/>
              <w:bottom w:val="single" w:sz="4" w:space="0" w:color="auto"/>
              <w:right w:val="single" w:sz="4" w:space="0" w:color="auto"/>
            </w:tcBorders>
            <w:shd w:val="clear" w:color="auto" w:fill="auto"/>
            <w:noWrap/>
            <w:vAlign w:val="bottom"/>
            <w:hideMark/>
          </w:tcPr>
          <w:p w14:paraId="6577898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118.000,00</w:t>
            </w:r>
          </w:p>
        </w:tc>
      </w:tr>
      <w:tr w:rsidR="00846ACC" w:rsidRPr="004974C0" w14:paraId="2BD703C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7FE0E6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3.1. VLASTITI PRIHODI</w:t>
            </w:r>
          </w:p>
        </w:tc>
        <w:tc>
          <w:tcPr>
            <w:tcW w:w="1984" w:type="dxa"/>
            <w:tcBorders>
              <w:top w:val="nil"/>
              <w:left w:val="nil"/>
              <w:bottom w:val="single" w:sz="4" w:space="0" w:color="auto"/>
              <w:right w:val="single" w:sz="4" w:space="0" w:color="auto"/>
            </w:tcBorders>
            <w:shd w:val="clear" w:color="000000" w:fill="FFFF99"/>
            <w:noWrap/>
            <w:vAlign w:val="bottom"/>
            <w:hideMark/>
          </w:tcPr>
          <w:p w14:paraId="687C88A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C93175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843" w:type="dxa"/>
            <w:tcBorders>
              <w:top w:val="nil"/>
              <w:left w:val="nil"/>
              <w:bottom w:val="single" w:sz="4" w:space="0" w:color="auto"/>
              <w:right w:val="single" w:sz="4" w:space="0" w:color="auto"/>
            </w:tcBorders>
            <w:shd w:val="clear" w:color="000000" w:fill="FFFF99"/>
            <w:noWrap/>
            <w:vAlign w:val="bottom"/>
            <w:hideMark/>
          </w:tcPr>
          <w:p w14:paraId="01F3C9B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008F1CA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0D4BB12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r>
      <w:tr w:rsidR="00846ACC" w:rsidRPr="004974C0" w14:paraId="4A742C5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2B8598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54FDF4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4362A4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2D0073B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5649E8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02299D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w:t>
            </w:r>
          </w:p>
        </w:tc>
      </w:tr>
      <w:tr w:rsidR="00846ACC" w:rsidRPr="004974C0" w14:paraId="4C8BA51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5D6B72A" w14:textId="77777777" w:rsidR="004974C0" w:rsidRPr="004974C0" w:rsidRDefault="004974C0" w:rsidP="004974C0">
            <w:pPr>
              <w:rPr>
                <w:rFonts w:ascii="Arial" w:hAnsi="Arial" w:cs="Arial"/>
                <w:sz w:val="20"/>
                <w:szCs w:val="20"/>
              </w:rPr>
            </w:pPr>
            <w:r w:rsidRPr="004974C0">
              <w:rPr>
                <w:rFonts w:ascii="Arial" w:hAnsi="Arial" w:cs="Arial"/>
                <w:sz w:val="20"/>
                <w:szCs w:val="20"/>
              </w:rPr>
              <w:t>37</w:t>
            </w:r>
          </w:p>
        </w:tc>
        <w:tc>
          <w:tcPr>
            <w:tcW w:w="1984" w:type="dxa"/>
            <w:tcBorders>
              <w:top w:val="nil"/>
              <w:left w:val="nil"/>
              <w:bottom w:val="single" w:sz="4" w:space="0" w:color="auto"/>
              <w:right w:val="single" w:sz="4" w:space="0" w:color="auto"/>
            </w:tcBorders>
            <w:shd w:val="clear" w:color="auto" w:fill="auto"/>
            <w:noWrap/>
            <w:vAlign w:val="bottom"/>
            <w:hideMark/>
          </w:tcPr>
          <w:p w14:paraId="793DA424" w14:textId="77777777" w:rsidR="004974C0" w:rsidRPr="004974C0" w:rsidRDefault="004974C0" w:rsidP="004974C0">
            <w:pPr>
              <w:rPr>
                <w:rFonts w:ascii="Arial" w:hAnsi="Arial" w:cs="Arial"/>
                <w:sz w:val="20"/>
                <w:szCs w:val="20"/>
              </w:rPr>
            </w:pPr>
            <w:r w:rsidRPr="004974C0">
              <w:rPr>
                <w:rFonts w:ascii="Arial" w:hAnsi="Arial" w:cs="Arial"/>
                <w:sz w:val="20"/>
                <w:szCs w:val="20"/>
              </w:rPr>
              <w:t>Naknade građanima i kućanstvima na temelju osiguranja i druge naknade</w:t>
            </w:r>
          </w:p>
        </w:tc>
        <w:tc>
          <w:tcPr>
            <w:tcW w:w="1843" w:type="dxa"/>
            <w:tcBorders>
              <w:top w:val="nil"/>
              <w:left w:val="nil"/>
              <w:bottom w:val="single" w:sz="4" w:space="0" w:color="auto"/>
              <w:right w:val="single" w:sz="4" w:space="0" w:color="auto"/>
            </w:tcBorders>
            <w:shd w:val="clear" w:color="auto" w:fill="auto"/>
            <w:noWrap/>
            <w:vAlign w:val="bottom"/>
            <w:hideMark/>
          </w:tcPr>
          <w:p w14:paraId="4CCEE9C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38EB0B9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C28CF0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49B800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r>
      <w:tr w:rsidR="00846ACC" w:rsidRPr="004974C0" w14:paraId="755F614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449830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A500004 Socijalna zaštita osoba s invaliditetom</w:t>
            </w:r>
          </w:p>
        </w:tc>
        <w:tc>
          <w:tcPr>
            <w:tcW w:w="1984" w:type="dxa"/>
            <w:tcBorders>
              <w:top w:val="nil"/>
              <w:left w:val="nil"/>
              <w:bottom w:val="single" w:sz="4" w:space="0" w:color="auto"/>
              <w:right w:val="single" w:sz="4" w:space="0" w:color="auto"/>
            </w:tcBorders>
            <w:shd w:val="clear" w:color="000000" w:fill="CCCCFF"/>
            <w:noWrap/>
            <w:vAlign w:val="bottom"/>
            <w:hideMark/>
          </w:tcPr>
          <w:p w14:paraId="3334804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002B053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14.265,00</w:t>
            </w:r>
          </w:p>
        </w:tc>
        <w:tc>
          <w:tcPr>
            <w:tcW w:w="1843" w:type="dxa"/>
            <w:tcBorders>
              <w:top w:val="nil"/>
              <w:left w:val="nil"/>
              <w:bottom w:val="single" w:sz="4" w:space="0" w:color="auto"/>
              <w:right w:val="single" w:sz="4" w:space="0" w:color="auto"/>
            </w:tcBorders>
            <w:shd w:val="clear" w:color="000000" w:fill="CCCCFF"/>
            <w:noWrap/>
            <w:vAlign w:val="bottom"/>
            <w:hideMark/>
          </w:tcPr>
          <w:p w14:paraId="0D747A8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488E766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1C61F77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14.265,00</w:t>
            </w:r>
          </w:p>
        </w:tc>
      </w:tr>
      <w:tr w:rsidR="00846ACC" w:rsidRPr="004974C0" w14:paraId="400213A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724B55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064DB9E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EE0961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14.265,00</w:t>
            </w:r>
          </w:p>
        </w:tc>
        <w:tc>
          <w:tcPr>
            <w:tcW w:w="1843" w:type="dxa"/>
            <w:tcBorders>
              <w:top w:val="nil"/>
              <w:left w:val="nil"/>
              <w:bottom w:val="single" w:sz="4" w:space="0" w:color="auto"/>
              <w:right w:val="single" w:sz="4" w:space="0" w:color="auto"/>
            </w:tcBorders>
            <w:shd w:val="clear" w:color="000000" w:fill="FFFF99"/>
            <w:noWrap/>
            <w:vAlign w:val="bottom"/>
            <w:hideMark/>
          </w:tcPr>
          <w:p w14:paraId="38EB211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2F621BE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61D4E92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14.265,00</w:t>
            </w:r>
          </w:p>
        </w:tc>
      </w:tr>
      <w:tr w:rsidR="00846ACC" w:rsidRPr="004974C0" w14:paraId="2314CAF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AB9B3C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131E02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1705D3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14.265,00</w:t>
            </w:r>
          </w:p>
        </w:tc>
        <w:tc>
          <w:tcPr>
            <w:tcW w:w="1843" w:type="dxa"/>
            <w:tcBorders>
              <w:top w:val="nil"/>
              <w:left w:val="nil"/>
              <w:bottom w:val="single" w:sz="4" w:space="0" w:color="auto"/>
              <w:right w:val="single" w:sz="4" w:space="0" w:color="auto"/>
            </w:tcBorders>
            <w:shd w:val="clear" w:color="auto" w:fill="auto"/>
            <w:noWrap/>
            <w:vAlign w:val="bottom"/>
            <w:hideMark/>
          </w:tcPr>
          <w:p w14:paraId="2EB4807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DB1104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CCA2C5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14.265,00</w:t>
            </w:r>
          </w:p>
        </w:tc>
      </w:tr>
      <w:tr w:rsidR="00846ACC" w:rsidRPr="004974C0" w14:paraId="6864F39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FBA73C3" w14:textId="77777777" w:rsidR="004974C0" w:rsidRPr="004974C0" w:rsidRDefault="004974C0" w:rsidP="004974C0">
            <w:pPr>
              <w:rPr>
                <w:rFonts w:ascii="Arial" w:hAnsi="Arial" w:cs="Arial"/>
                <w:sz w:val="20"/>
                <w:szCs w:val="20"/>
              </w:rPr>
            </w:pPr>
            <w:r w:rsidRPr="004974C0">
              <w:rPr>
                <w:rFonts w:ascii="Arial" w:hAnsi="Arial" w:cs="Arial"/>
                <w:sz w:val="20"/>
                <w:szCs w:val="20"/>
              </w:rPr>
              <w:t>37</w:t>
            </w:r>
          </w:p>
        </w:tc>
        <w:tc>
          <w:tcPr>
            <w:tcW w:w="1984" w:type="dxa"/>
            <w:tcBorders>
              <w:top w:val="nil"/>
              <w:left w:val="nil"/>
              <w:bottom w:val="single" w:sz="4" w:space="0" w:color="auto"/>
              <w:right w:val="single" w:sz="4" w:space="0" w:color="auto"/>
            </w:tcBorders>
            <w:shd w:val="clear" w:color="auto" w:fill="auto"/>
            <w:noWrap/>
            <w:vAlign w:val="bottom"/>
            <w:hideMark/>
          </w:tcPr>
          <w:p w14:paraId="5EF7F57A" w14:textId="77777777" w:rsidR="004974C0" w:rsidRPr="004974C0" w:rsidRDefault="004974C0" w:rsidP="004974C0">
            <w:pPr>
              <w:rPr>
                <w:rFonts w:ascii="Arial" w:hAnsi="Arial" w:cs="Arial"/>
                <w:sz w:val="20"/>
                <w:szCs w:val="20"/>
              </w:rPr>
            </w:pPr>
            <w:r w:rsidRPr="004974C0">
              <w:rPr>
                <w:rFonts w:ascii="Arial" w:hAnsi="Arial" w:cs="Arial"/>
                <w:sz w:val="20"/>
                <w:szCs w:val="20"/>
              </w:rPr>
              <w:t>Naknade građanima i kućanstvima na temelju osiguranja i druge naknade</w:t>
            </w:r>
          </w:p>
        </w:tc>
        <w:tc>
          <w:tcPr>
            <w:tcW w:w="1843" w:type="dxa"/>
            <w:tcBorders>
              <w:top w:val="nil"/>
              <w:left w:val="nil"/>
              <w:bottom w:val="single" w:sz="4" w:space="0" w:color="auto"/>
              <w:right w:val="single" w:sz="4" w:space="0" w:color="auto"/>
            </w:tcBorders>
            <w:shd w:val="clear" w:color="auto" w:fill="auto"/>
            <w:noWrap/>
            <w:vAlign w:val="bottom"/>
            <w:hideMark/>
          </w:tcPr>
          <w:p w14:paraId="69912A0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14.265,00</w:t>
            </w:r>
          </w:p>
        </w:tc>
        <w:tc>
          <w:tcPr>
            <w:tcW w:w="1843" w:type="dxa"/>
            <w:tcBorders>
              <w:top w:val="nil"/>
              <w:left w:val="nil"/>
              <w:bottom w:val="single" w:sz="4" w:space="0" w:color="auto"/>
              <w:right w:val="single" w:sz="4" w:space="0" w:color="auto"/>
            </w:tcBorders>
            <w:shd w:val="clear" w:color="auto" w:fill="auto"/>
            <w:noWrap/>
            <w:vAlign w:val="bottom"/>
            <w:hideMark/>
          </w:tcPr>
          <w:p w14:paraId="010721A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9A37B0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FB2C60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14.265,00</w:t>
            </w:r>
          </w:p>
        </w:tc>
      </w:tr>
      <w:tr w:rsidR="00846ACC" w:rsidRPr="004974C0" w14:paraId="1C76EBF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3E2E58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A500006 Humanitarne akcije</w:t>
            </w:r>
          </w:p>
        </w:tc>
        <w:tc>
          <w:tcPr>
            <w:tcW w:w="1984" w:type="dxa"/>
            <w:tcBorders>
              <w:top w:val="nil"/>
              <w:left w:val="nil"/>
              <w:bottom w:val="single" w:sz="4" w:space="0" w:color="auto"/>
              <w:right w:val="single" w:sz="4" w:space="0" w:color="auto"/>
            </w:tcBorders>
            <w:shd w:val="clear" w:color="000000" w:fill="CCCCFF"/>
            <w:noWrap/>
            <w:vAlign w:val="bottom"/>
            <w:hideMark/>
          </w:tcPr>
          <w:p w14:paraId="328CC39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D3927C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843" w:type="dxa"/>
            <w:tcBorders>
              <w:top w:val="nil"/>
              <w:left w:val="nil"/>
              <w:bottom w:val="single" w:sz="4" w:space="0" w:color="auto"/>
              <w:right w:val="single" w:sz="4" w:space="0" w:color="auto"/>
            </w:tcBorders>
            <w:shd w:val="clear" w:color="000000" w:fill="CCCCFF"/>
            <w:noWrap/>
            <w:vAlign w:val="bottom"/>
            <w:hideMark/>
          </w:tcPr>
          <w:p w14:paraId="74B759D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38FEDD4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247AF78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r>
      <w:tr w:rsidR="00846ACC" w:rsidRPr="004974C0" w14:paraId="6261E11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947D24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735ABC5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AF7570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843" w:type="dxa"/>
            <w:tcBorders>
              <w:top w:val="nil"/>
              <w:left w:val="nil"/>
              <w:bottom w:val="single" w:sz="4" w:space="0" w:color="auto"/>
              <w:right w:val="single" w:sz="4" w:space="0" w:color="auto"/>
            </w:tcBorders>
            <w:shd w:val="clear" w:color="000000" w:fill="FFFF99"/>
            <w:noWrap/>
            <w:vAlign w:val="bottom"/>
            <w:hideMark/>
          </w:tcPr>
          <w:p w14:paraId="7DD36FA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336F431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4E6DB91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r>
      <w:tr w:rsidR="00846ACC" w:rsidRPr="004974C0" w14:paraId="5A7B2C3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004613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lastRenderedPageBreak/>
              <w:t>3</w:t>
            </w:r>
          </w:p>
        </w:tc>
        <w:tc>
          <w:tcPr>
            <w:tcW w:w="1984" w:type="dxa"/>
            <w:tcBorders>
              <w:top w:val="nil"/>
              <w:left w:val="nil"/>
              <w:bottom w:val="single" w:sz="4" w:space="0" w:color="auto"/>
              <w:right w:val="single" w:sz="4" w:space="0" w:color="auto"/>
            </w:tcBorders>
            <w:shd w:val="clear" w:color="auto" w:fill="auto"/>
            <w:noWrap/>
            <w:vAlign w:val="bottom"/>
            <w:hideMark/>
          </w:tcPr>
          <w:p w14:paraId="2311F6C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335504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2F5512F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DC5C53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72C530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r>
      <w:tr w:rsidR="00846ACC" w:rsidRPr="004974C0" w14:paraId="397A421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25BCB37" w14:textId="77777777" w:rsidR="004974C0" w:rsidRPr="004974C0" w:rsidRDefault="004974C0" w:rsidP="004974C0">
            <w:pPr>
              <w:rPr>
                <w:rFonts w:ascii="Arial" w:hAnsi="Arial" w:cs="Arial"/>
                <w:sz w:val="20"/>
                <w:szCs w:val="20"/>
              </w:rPr>
            </w:pPr>
            <w:r w:rsidRPr="004974C0">
              <w:rPr>
                <w:rFonts w:ascii="Arial" w:hAnsi="Arial" w:cs="Arial"/>
                <w:sz w:val="20"/>
                <w:szCs w:val="20"/>
              </w:rPr>
              <w:t>37</w:t>
            </w:r>
          </w:p>
        </w:tc>
        <w:tc>
          <w:tcPr>
            <w:tcW w:w="1984" w:type="dxa"/>
            <w:tcBorders>
              <w:top w:val="nil"/>
              <w:left w:val="nil"/>
              <w:bottom w:val="single" w:sz="4" w:space="0" w:color="auto"/>
              <w:right w:val="single" w:sz="4" w:space="0" w:color="auto"/>
            </w:tcBorders>
            <w:shd w:val="clear" w:color="auto" w:fill="auto"/>
            <w:noWrap/>
            <w:vAlign w:val="bottom"/>
            <w:hideMark/>
          </w:tcPr>
          <w:p w14:paraId="568FCE47" w14:textId="77777777" w:rsidR="004974C0" w:rsidRPr="004974C0" w:rsidRDefault="004974C0" w:rsidP="004974C0">
            <w:pPr>
              <w:rPr>
                <w:rFonts w:ascii="Arial" w:hAnsi="Arial" w:cs="Arial"/>
                <w:sz w:val="20"/>
                <w:szCs w:val="20"/>
              </w:rPr>
            </w:pPr>
            <w:r w:rsidRPr="004974C0">
              <w:rPr>
                <w:rFonts w:ascii="Arial" w:hAnsi="Arial" w:cs="Arial"/>
                <w:sz w:val="20"/>
                <w:szCs w:val="20"/>
              </w:rPr>
              <w:t>Naknade građanima i kućanstvima na temelju osiguranja i druge naknade</w:t>
            </w:r>
          </w:p>
        </w:tc>
        <w:tc>
          <w:tcPr>
            <w:tcW w:w="1843" w:type="dxa"/>
            <w:tcBorders>
              <w:top w:val="nil"/>
              <w:left w:val="nil"/>
              <w:bottom w:val="single" w:sz="4" w:space="0" w:color="auto"/>
              <w:right w:val="single" w:sz="4" w:space="0" w:color="auto"/>
            </w:tcBorders>
            <w:shd w:val="clear" w:color="auto" w:fill="auto"/>
            <w:noWrap/>
            <w:vAlign w:val="bottom"/>
            <w:hideMark/>
          </w:tcPr>
          <w:p w14:paraId="65E956B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43B01A3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5EAC69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AD1461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r>
      <w:tr w:rsidR="00846ACC" w:rsidRPr="004974C0" w14:paraId="79E4AFB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246112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A500007 Socijalna zaštita obitelji u nužnom smještaju</w:t>
            </w:r>
          </w:p>
        </w:tc>
        <w:tc>
          <w:tcPr>
            <w:tcW w:w="1984" w:type="dxa"/>
            <w:tcBorders>
              <w:top w:val="nil"/>
              <w:left w:val="nil"/>
              <w:bottom w:val="single" w:sz="4" w:space="0" w:color="auto"/>
              <w:right w:val="single" w:sz="4" w:space="0" w:color="auto"/>
            </w:tcBorders>
            <w:shd w:val="clear" w:color="000000" w:fill="CCCCFF"/>
            <w:noWrap/>
            <w:vAlign w:val="bottom"/>
            <w:hideMark/>
          </w:tcPr>
          <w:p w14:paraId="750C996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7F65B98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19.000,00</w:t>
            </w:r>
          </w:p>
        </w:tc>
        <w:tc>
          <w:tcPr>
            <w:tcW w:w="1843" w:type="dxa"/>
            <w:tcBorders>
              <w:top w:val="nil"/>
              <w:left w:val="nil"/>
              <w:bottom w:val="single" w:sz="4" w:space="0" w:color="auto"/>
              <w:right w:val="single" w:sz="4" w:space="0" w:color="auto"/>
            </w:tcBorders>
            <w:shd w:val="clear" w:color="000000" w:fill="CCCCFF"/>
            <w:noWrap/>
            <w:vAlign w:val="bottom"/>
            <w:hideMark/>
          </w:tcPr>
          <w:p w14:paraId="7C8BDB1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1C60FA3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4F6BE95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19.000,00</w:t>
            </w:r>
          </w:p>
        </w:tc>
      </w:tr>
      <w:tr w:rsidR="00846ACC" w:rsidRPr="004974C0" w14:paraId="5C6CE19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536B16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2E40FB9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DFF84C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19.000,00</w:t>
            </w:r>
          </w:p>
        </w:tc>
        <w:tc>
          <w:tcPr>
            <w:tcW w:w="1843" w:type="dxa"/>
            <w:tcBorders>
              <w:top w:val="nil"/>
              <w:left w:val="nil"/>
              <w:bottom w:val="single" w:sz="4" w:space="0" w:color="auto"/>
              <w:right w:val="single" w:sz="4" w:space="0" w:color="auto"/>
            </w:tcBorders>
            <w:shd w:val="clear" w:color="000000" w:fill="FFFF99"/>
            <w:noWrap/>
            <w:vAlign w:val="bottom"/>
            <w:hideMark/>
          </w:tcPr>
          <w:p w14:paraId="1E967CE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0E414D0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7A34F37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19.000,00</w:t>
            </w:r>
          </w:p>
        </w:tc>
      </w:tr>
      <w:tr w:rsidR="00846ACC" w:rsidRPr="004974C0" w14:paraId="6442032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81825A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169DE9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58D666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19.000,00</w:t>
            </w:r>
          </w:p>
        </w:tc>
        <w:tc>
          <w:tcPr>
            <w:tcW w:w="1843" w:type="dxa"/>
            <w:tcBorders>
              <w:top w:val="nil"/>
              <w:left w:val="nil"/>
              <w:bottom w:val="single" w:sz="4" w:space="0" w:color="auto"/>
              <w:right w:val="single" w:sz="4" w:space="0" w:color="auto"/>
            </w:tcBorders>
            <w:shd w:val="clear" w:color="auto" w:fill="auto"/>
            <w:noWrap/>
            <w:vAlign w:val="bottom"/>
            <w:hideMark/>
          </w:tcPr>
          <w:p w14:paraId="5C9D661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D6150F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96B4BA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19.000,00</w:t>
            </w:r>
          </w:p>
        </w:tc>
      </w:tr>
      <w:tr w:rsidR="00846ACC" w:rsidRPr="004974C0" w14:paraId="38F08C2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38100C8"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707E947"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58CFC7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19.000,00</w:t>
            </w:r>
          </w:p>
        </w:tc>
        <w:tc>
          <w:tcPr>
            <w:tcW w:w="1843" w:type="dxa"/>
            <w:tcBorders>
              <w:top w:val="nil"/>
              <w:left w:val="nil"/>
              <w:bottom w:val="single" w:sz="4" w:space="0" w:color="auto"/>
              <w:right w:val="single" w:sz="4" w:space="0" w:color="auto"/>
            </w:tcBorders>
            <w:shd w:val="clear" w:color="auto" w:fill="auto"/>
            <w:noWrap/>
            <w:vAlign w:val="bottom"/>
            <w:hideMark/>
          </w:tcPr>
          <w:p w14:paraId="2CBF545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313CDB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9C8018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19.000,00</w:t>
            </w:r>
          </w:p>
        </w:tc>
      </w:tr>
      <w:tr w:rsidR="00846ACC" w:rsidRPr="004974C0" w14:paraId="121A987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7F3CF59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xml:space="preserve">Aktivnost A500008 Programi udruga i ustanova u području </w:t>
            </w:r>
            <w:proofErr w:type="spellStart"/>
            <w:r w:rsidRPr="004974C0">
              <w:rPr>
                <w:rFonts w:ascii="Arial" w:hAnsi="Arial" w:cs="Arial"/>
                <w:b/>
                <w:bCs/>
                <w:color w:val="000000"/>
                <w:sz w:val="20"/>
                <w:szCs w:val="20"/>
              </w:rPr>
              <w:t>soc.skrbi</w:t>
            </w:r>
            <w:proofErr w:type="spellEnd"/>
          </w:p>
        </w:tc>
        <w:tc>
          <w:tcPr>
            <w:tcW w:w="1984" w:type="dxa"/>
            <w:tcBorders>
              <w:top w:val="nil"/>
              <w:left w:val="nil"/>
              <w:bottom w:val="single" w:sz="4" w:space="0" w:color="auto"/>
              <w:right w:val="single" w:sz="4" w:space="0" w:color="auto"/>
            </w:tcBorders>
            <w:shd w:val="clear" w:color="000000" w:fill="CCCCFF"/>
            <w:noWrap/>
            <w:vAlign w:val="bottom"/>
            <w:hideMark/>
          </w:tcPr>
          <w:p w14:paraId="60A6FB7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010930D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131.650,00</w:t>
            </w:r>
          </w:p>
        </w:tc>
        <w:tc>
          <w:tcPr>
            <w:tcW w:w="1843" w:type="dxa"/>
            <w:tcBorders>
              <w:top w:val="nil"/>
              <w:left w:val="nil"/>
              <w:bottom w:val="single" w:sz="4" w:space="0" w:color="auto"/>
              <w:right w:val="single" w:sz="4" w:space="0" w:color="auto"/>
            </w:tcBorders>
            <w:shd w:val="clear" w:color="000000" w:fill="CCCCFF"/>
            <w:noWrap/>
            <w:vAlign w:val="bottom"/>
            <w:hideMark/>
          </w:tcPr>
          <w:p w14:paraId="58A3553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24.100,00</w:t>
            </w:r>
          </w:p>
        </w:tc>
        <w:tc>
          <w:tcPr>
            <w:tcW w:w="1559" w:type="dxa"/>
            <w:tcBorders>
              <w:top w:val="nil"/>
              <w:left w:val="nil"/>
              <w:bottom w:val="single" w:sz="4" w:space="0" w:color="auto"/>
              <w:right w:val="single" w:sz="4" w:space="0" w:color="auto"/>
            </w:tcBorders>
            <w:shd w:val="clear" w:color="000000" w:fill="CCCCFF"/>
            <w:noWrap/>
            <w:vAlign w:val="bottom"/>
            <w:hideMark/>
          </w:tcPr>
          <w:p w14:paraId="0D08DFC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18,31</w:t>
            </w:r>
          </w:p>
        </w:tc>
        <w:tc>
          <w:tcPr>
            <w:tcW w:w="1803" w:type="dxa"/>
            <w:tcBorders>
              <w:top w:val="nil"/>
              <w:left w:val="nil"/>
              <w:bottom w:val="single" w:sz="4" w:space="0" w:color="auto"/>
              <w:right w:val="single" w:sz="4" w:space="0" w:color="auto"/>
            </w:tcBorders>
            <w:shd w:val="clear" w:color="000000" w:fill="CCCCFF"/>
            <w:noWrap/>
            <w:vAlign w:val="bottom"/>
            <w:hideMark/>
          </w:tcPr>
          <w:p w14:paraId="287E589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155.750,00</w:t>
            </w:r>
          </w:p>
        </w:tc>
      </w:tr>
      <w:tr w:rsidR="00846ACC" w:rsidRPr="004974C0" w14:paraId="3683137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158CD4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66C6E1E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6D5F41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127.650,00</w:t>
            </w:r>
          </w:p>
        </w:tc>
        <w:tc>
          <w:tcPr>
            <w:tcW w:w="1843" w:type="dxa"/>
            <w:tcBorders>
              <w:top w:val="nil"/>
              <w:left w:val="nil"/>
              <w:bottom w:val="single" w:sz="4" w:space="0" w:color="auto"/>
              <w:right w:val="single" w:sz="4" w:space="0" w:color="auto"/>
            </w:tcBorders>
            <w:shd w:val="clear" w:color="000000" w:fill="FFFF99"/>
            <w:noWrap/>
            <w:vAlign w:val="bottom"/>
            <w:hideMark/>
          </w:tcPr>
          <w:p w14:paraId="09033DD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24.100,00</w:t>
            </w:r>
          </w:p>
        </w:tc>
        <w:tc>
          <w:tcPr>
            <w:tcW w:w="1559" w:type="dxa"/>
            <w:tcBorders>
              <w:top w:val="nil"/>
              <w:left w:val="nil"/>
              <w:bottom w:val="single" w:sz="4" w:space="0" w:color="auto"/>
              <w:right w:val="single" w:sz="4" w:space="0" w:color="auto"/>
            </w:tcBorders>
            <w:shd w:val="clear" w:color="000000" w:fill="FFFF99"/>
            <w:noWrap/>
            <w:vAlign w:val="bottom"/>
            <w:hideMark/>
          </w:tcPr>
          <w:p w14:paraId="5C689FF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18,88</w:t>
            </w:r>
          </w:p>
        </w:tc>
        <w:tc>
          <w:tcPr>
            <w:tcW w:w="1803" w:type="dxa"/>
            <w:tcBorders>
              <w:top w:val="nil"/>
              <w:left w:val="nil"/>
              <w:bottom w:val="single" w:sz="4" w:space="0" w:color="auto"/>
              <w:right w:val="single" w:sz="4" w:space="0" w:color="auto"/>
            </w:tcBorders>
            <w:shd w:val="clear" w:color="000000" w:fill="FFFF99"/>
            <w:noWrap/>
            <w:vAlign w:val="bottom"/>
            <w:hideMark/>
          </w:tcPr>
          <w:p w14:paraId="34CCF94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151.750,00</w:t>
            </w:r>
          </w:p>
        </w:tc>
      </w:tr>
      <w:tr w:rsidR="00846ACC" w:rsidRPr="004974C0" w14:paraId="27E7DDD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D8FC3A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6F51D9A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2188CE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127.650,00</w:t>
            </w:r>
          </w:p>
        </w:tc>
        <w:tc>
          <w:tcPr>
            <w:tcW w:w="1843" w:type="dxa"/>
            <w:tcBorders>
              <w:top w:val="nil"/>
              <w:left w:val="nil"/>
              <w:bottom w:val="single" w:sz="4" w:space="0" w:color="auto"/>
              <w:right w:val="single" w:sz="4" w:space="0" w:color="auto"/>
            </w:tcBorders>
            <w:shd w:val="clear" w:color="auto" w:fill="auto"/>
            <w:noWrap/>
            <w:vAlign w:val="bottom"/>
            <w:hideMark/>
          </w:tcPr>
          <w:p w14:paraId="72E33A3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24.100,00</w:t>
            </w:r>
          </w:p>
        </w:tc>
        <w:tc>
          <w:tcPr>
            <w:tcW w:w="1559" w:type="dxa"/>
            <w:tcBorders>
              <w:top w:val="nil"/>
              <w:left w:val="nil"/>
              <w:bottom w:val="single" w:sz="4" w:space="0" w:color="auto"/>
              <w:right w:val="single" w:sz="4" w:space="0" w:color="auto"/>
            </w:tcBorders>
            <w:shd w:val="clear" w:color="auto" w:fill="auto"/>
            <w:noWrap/>
            <w:vAlign w:val="bottom"/>
            <w:hideMark/>
          </w:tcPr>
          <w:p w14:paraId="123DFD5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18,88</w:t>
            </w:r>
          </w:p>
        </w:tc>
        <w:tc>
          <w:tcPr>
            <w:tcW w:w="1803" w:type="dxa"/>
            <w:tcBorders>
              <w:top w:val="nil"/>
              <w:left w:val="nil"/>
              <w:bottom w:val="single" w:sz="4" w:space="0" w:color="auto"/>
              <w:right w:val="single" w:sz="4" w:space="0" w:color="auto"/>
            </w:tcBorders>
            <w:shd w:val="clear" w:color="auto" w:fill="auto"/>
            <w:noWrap/>
            <w:vAlign w:val="bottom"/>
            <w:hideMark/>
          </w:tcPr>
          <w:p w14:paraId="6F2CE20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151.750,00</w:t>
            </w:r>
          </w:p>
        </w:tc>
      </w:tr>
      <w:tr w:rsidR="00846ACC" w:rsidRPr="004974C0" w14:paraId="66058E3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5365D0C"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19C43F8"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2E833D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w:t>
            </w:r>
          </w:p>
        </w:tc>
        <w:tc>
          <w:tcPr>
            <w:tcW w:w="1843" w:type="dxa"/>
            <w:tcBorders>
              <w:top w:val="nil"/>
              <w:left w:val="nil"/>
              <w:bottom w:val="single" w:sz="4" w:space="0" w:color="auto"/>
              <w:right w:val="single" w:sz="4" w:space="0" w:color="auto"/>
            </w:tcBorders>
            <w:shd w:val="clear" w:color="auto" w:fill="auto"/>
            <w:noWrap/>
            <w:vAlign w:val="bottom"/>
            <w:hideMark/>
          </w:tcPr>
          <w:p w14:paraId="1118D80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1237A9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923306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w:t>
            </w:r>
          </w:p>
        </w:tc>
      </w:tr>
      <w:tr w:rsidR="00846ACC" w:rsidRPr="004974C0" w14:paraId="3BEB4CE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E2D4691" w14:textId="77777777" w:rsidR="004974C0" w:rsidRPr="004974C0" w:rsidRDefault="004974C0" w:rsidP="004974C0">
            <w:pPr>
              <w:rPr>
                <w:rFonts w:ascii="Arial" w:hAnsi="Arial" w:cs="Arial"/>
                <w:sz w:val="20"/>
                <w:szCs w:val="20"/>
              </w:rPr>
            </w:pPr>
            <w:r w:rsidRPr="004974C0">
              <w:rPr>
                <w:rFonts w:ascii="Arial" w:hAnsi="Arial" w:cs="Arial"/>
                <w:sz w:val="20"/>
                <w:szCs w:val="20"/>
              </w:rPr>
              <w:t>38</w:t>
            </w:r>
          </w:p>
        </w:tc>
        <w:tc>
          <w:tcPr>
            <w:tcW w:w="1984" w:type="dxa"/>
            <w:tcBorders>
              <w:top w:val="nil"/>
              <w:left w:val="nil"/>
              <w:bottom w:val="single" w:sz="4" w:space="0" w:color="auto"/>
              <w:right w:val="single" w:sz="4" w:space="0" w:color="auto"/>
            </w:tcBorders>
            <w:shd w:val="clear" w:color="auto" w:fill="auto"/>
            <w:noWrap/>
            <w:vAlign w:val="bottom"/>
            <w:hideMark/>
          </w:tcPr>
          <w:p w14:paraId="29F9152C"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donacije, kazne, naknade šteta i kapitalne pomoći</w:t>
            </w:r>
          </w:p>
        </w:tc>
        <w:tc>
          <w:tcPr>
            <w:tcW w:w="1843" w:type="dxa"/>
            <w:tcBorders>
              <w:top w:val="nil"/>
              <w:left w:val="nil"/>
              <w:bottom w:val="single" w:sz="4" w:space="0" w:color="auto"/>
              <w:right w:val="single" w:sz="4" w:space="0" w:color="auto"/>
            </w:tcBorders>
            <w:shd w:val="clear" w:color="auto" w:fill="auto"/>
            <w:noWrap/>
            <w:vAlign w:val="bottom"/>
            <w:hideMark/>
          </w:tcPr>
          <w:p w14:paraId="53AE136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127.450,00</w:t>
            </w:r>
          </w:p>
        </w:tc>
        <w:tc>
          <w:tcPr>
            <w:tcW w:w="1843" w:type="dxa"/>
            <w:tcBorders>
              <w:top w:val="nil"/>
              <w:left w:val="nil"/>
              <w:bottom w:val="single" w:sz="4" w:space="0" w:color="auto"/>
              <w:right w:val="single" w:sz="4" w:space="0" w:color="auto"/>
            </w:tcBorders>
            <w:shd w:val="clear" w:color="auto" w:fill="auto"/>
            <w:noWrap/>
            <w:vAlign w:val="bottom"/>
            <w:hideMark/>
          </w:tcPr>
          <w:p w14:paraId="582BF94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24.100,00</w:t>
            </w:r>
          </w:p>
        </w:tc>
        <w:tc>
          <w:tcPr>
            <w:tcW w:w="1559" w:type="dxa"/>
            <w:tcBorders>
              <w:top w:val="nil"/>
              <w:left w:val="nil"/>
              <w:bottom w:val="single" w:sz="4" w:space="0" w:color="auto"/>
              <w:right w:val="single" w:sz="4" w:space="0" w:color="auto"/>
            </w:tcBorders>
            <w:shd w:val="clear" w:color="auto" w:fill="auto"/>
            <w:noWrap/>
            <w:vAlign w:val="bottom"/>
            <w:hideMark/>
          </w:tcPr>
          <w:p w14:paraId="2A076AA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18,91</w:t>
            </w:r>
          </w:p>
        </w:tc>
        <w:tc>
          <w:tcPr>
            <w:tcW w:w="1803" w:type="dxa"/>
            <w:tcBorders>
              <w:top w:val="nil"/>
              <w:left w:val="nil"/>
              <w:bottom w:val="single" w:sz="4" w:space="0" w:color="auto"/>
              <w:right w:val="single" w:sz="4" w:space="0" w:color="auto"/>
            </w:tcBorders>
            <w:shd w:val="clear" w:color="auto" w:fill="auto"/>
            <w:noWrap/>
            <w:vAlign w:val="bottom"/>
            <w:hideMark/>
          </w:tcPr>
          <w:p w14:paraId="7993F35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151.550,00</w:t>
            </w:r>
          </w:p>
        </w:tc>
      </w:tr>
      <w:tr w:rsidR="00846ACC" w:rsidRPr="004974C0" w14:paraId="2C934FB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CF26DA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5.5. POMOĆI IZ ŽUPANIJSKOG PRORAČUNA</w:t>
            </w:r>
          </w:p>
        </w:tc>
        <w:tc>
          <w:tcPr>
            <w:tcW w:w="1984" w:type="dxa"/>
            <w:tcBorders>
              <w:top w:val="nil"/>
              <w:left w:val="nil"/>
              <w:bottom w:val="single" w:sz="4" w:space="0" w:color="auto"/>
              <w:right w:val="single" w:sz="4" w:space="0" w:color="auto"/>
            </w:tcBorders>
            <w:shd w:val="clear" w:color="000000" w:fill="FFFF99"/>
            <w:noWrap/>
            <w:vAlign w:val="bottom"/>
            <w:hideMark/>
          </w:tcPr>
          <w:p w14:paraId="0B662FF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A4AA6F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c>
          <w:tcPr>
            <w:tcW w:w="1843" w:type="dxa"/>
            <w:tcBorders>
              <w:top w:val="nil"/>
              <w:left w:val="nil"/>
              <w:bottom w:val="single" w:sz="4" w:space="0" w:color="auto"/>
              <w:right w:val="single" w:sz="4" w:space="0" w:color="auto"/>
            </w:tcBorders>
            <w:shd w:val="clear" w:color="000000" w:fill="FFFF99"/>
            <w:noWrap/>
            <w:vAlign w:val="bottom"/>
            <w:hideMark/>
          </w:tcPr>
          <w:p w14:paraId="4CF521B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731B08D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6F30575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r>
      <w:tr w:rsidR="00846ACC" w:rsidRPr="004974C0" w14:paraId="093A4B1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A64FDD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7F6BC27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410AF3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w:t>
            </w:r>
          </w:p>
        </w:tc>
        <w:tc>
          <w:tcPr>
            <w:tcW w:w="1843" w:type="dxa"/>
            <w:tcBorders>
              <w:top w:val="nil"/>
              <w:left w:val="nil"/>
              <w:bottom w:val="single" w:sz="4" w:space="0" w:color="auto"/>
              <w:right w:val="single" w:sz="4" w:space="0" w:color="auto"/>
            </w:tcBorders>
            <w:shd w:val="clear" w:color="auto" w:fill="auto"/>
            <w:noWrap/>
            <w:vAlign w:val="bottom"/>
            <w:hideMark/>
          </w:tcPr>
          <w:p w14:paraId="6F1DC1C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3A05E2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A494DC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w:t>
            </w:r>
          </w:p>
        </w:tc>
      </w:tr>
      <w:tr w:rsidR="00846ACC" w:rsidRPr="004974C0" w14:paraId="5D4167D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C5FDC92" w14:textId="77777777" w:rsidR="004974C0" w:rsidRPr="004974C0" w:rsidRDefault="004974C0" w:rsidP="004974C0">
            <w:pPr>
              <w:rPr>
                <w:rFonts w:ascii="Arial" w:hAnsi="Arial" w:cs="Arial"/>
                <w:sz w:val="20"/>
                <w:szCs w:val="20"/>
              </w:rPr>
            </w:pPr>
            <w:r w:rsidRPr="004974C0">
              <w:rPr>
                <w:rFonts w:ascii="Arial" w:hAnsi="Arial" w:cs="Arial"/>
                <w:sz w:val="20"/>
                <w:szCs w:val="20"/>
              </w:rPr>
              <w:t>38</w:t>
            </w:r>
          </w:p>
        </w:tc>
        <w:tc>
          <w:tcPr>
            <w:tcW w:w="1984" w:type="dxa"/>
            <w:tcBorders>
              <w:top w:val="nil"/>
              <w:left w:val="nil"/>
              <w:bottom w:val="single" w:sz="4" w:space="0" w:color="auto"/>
              <w:right w:val="single" w:sz="4" w:space="0" w:color="auto"/>
            </w:tcBorders>
            <w:shd w:val="clear" w:color="auto" w:fill="auto"/>
            <w:noWrap/>
            <w:vAlign w:val="bottom"/>
            <w:hideMark/>
          </w:tcPr>
          <w:p w14:paraId="249D8264"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donacije, kazne, naknade šteta i kapitalne pomoći</w:t>
            </w:r>
          </w:p>
        </w:tc>
        <w:tc>
          <w:tcPr>
            <w:tcW w:w="1843" w:type="dxa"/>
            <w:tcBorders>
              <w:top w:val="nil"/>
              <w:left w:val="nil"/>
              <w:bottom w:val="single" w:sz="4" w:space="0" w:color="auto"/>
              <w:right w:val="single" w:sz="4" w:space="0" w:color="auto"/>
            </w:tcBorders>
            <w:shd w:val="clear" w:color="auto" w:fill="auto"/>
            <w:noWrap/>
            <w:vAlign w:val="bottom"/>
            <w:hideMark/>
          </w:tcPr>
          <w:p w14:paraId="499FF66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w:t>
            </w:r>
          </w:p>
        </w:tc>
        <w:tc>
          <w:tcPr>
            <w:tcW w:w="1843" w:type="dxa"/>
            <w:tcBorders>
              <w:top w:val="nil"/>
              <w:left w:val="nil"/>
              <w:bottom w:val="single" w:sz="4" w:space="0" w:color="auto"/>
              <w:right w:val="single" w:sz="4" w:space="0" w:color="auto"/>
            </w:tcBorders>
            <w:shd w:val="clear" w:color="auto" w:fill="auto"/>
            <w:noWrap/>
            <w:vAlign w:val="bottom"/>
            <w:hideMark/>
          </w:tcPr>
          <w:p w14:paraId="18BC3FC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8E7B34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BD45EB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w:t>
            </w:r>
          </w:p>
        </w:tc>
      </w:tr>
      <w:tr w:rsidR="00846ACC" w:rsidRPr="004974C0" w14:paraId="19F8656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313A990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5008 Zdravstvo</w:t>
            </w:r>
          </w:p>
        </w:tc>
        <w:tc>
          <w:tcPr>
            <w:tcW w:w="1984" w:type="dxa"/>
            <w:tcBorders>
              <w:top w:val="nil"/>
              <w:left w:val="nil"/>
              <w:bottom w:val="single" w:sz="4" w:space="0" w:color="auto"/>
              <w:right w:val="single" w:sz="4" w:space="0" w:color="auto"/>
            </w:tcBorders>
            <w:shd w:val="clear" w:color="000000" w:fill="9999FF"/>
            <w:noWrap/>
            <w:vAlign w:val="bottom"/>
            <w:hideMark/>
          </w:tcPr>
          <w:p w14:paraId="300C575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647E686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120.800,00</w:t>
            </w:r>
          </w:p>
        </w:tc>
        <w:tc>
          <w:tcPr>
            <w:tcW w:w="1843" w:type="dxa"/>
            <w:tcBorders>
              <w:top w:val="nil"/>
              <w:left w:val="nil"/>
              <w:bottom w:val="single" w:sz="4" w:space="0" w:color="auto"/>
              <w:right w:val="single" w:sz="4" w:space="0" w:color="auto"/>
            </w:tcBorders>
            <w:shd w:val="clear" w:color="000000" w:fill="9999FF"/>
            <w:noWrap/>
            <w:vAlign w:val="bottom"/>
            <w:hideMark/>
          </w:tcPr>
          <w:p w14:paraId="60776D0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43.548,00</w:t>
            </w:r>
          </w:p>
        </w:tc>
        <w:tc>
          <w:tcPr>
            <w:tcW w:w="1559" w:type="dxa"/>
            <w:tcBorders>
              <w:top w:val="nil"/>
              <w:left w:val="nil"/>
              <w:bottom w:val="single" w:sz="4" w:space="0" w:color="auto"/>
              <w:right w:val="single" w:sz="4" w:space="0" w:color="auto"/>
            </w:tcBorders>
            <w:shd w:val="clear" w:color="000000" w:fill="9999FF"/>
            <w:noWrap/>
            <w:vAlign w:val="bottom"/>
            <w:hideMark/>
          </w:tcPr>
          <w:p w14:paraId="609DFE2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36,05</w:t>
            </w:r>
          </w:p>
        </w:tc>
        <w:tc>
          <w:tcPr>
            <w:tcW w:w="1803" w:type="dxa"/>
            <w:tcBorders>
              <w:top w:val="nil"/>
              <w:left w:val="nil"/>
              <w:bottom w:val="single" w:sz="4" w:space="0" w:color="auto"/>
              <w:right w:val="single" w:sz="4" w:space="0" w:color="auto"/>
            </w:tcBorders>
            <w:shd w:val="clear" w:color="000000" w:fill="9999FF"/>
            <w:noWrap/>
            <w:vAlign w:val="bottom"/>
            <w:hideMark/>
          </w:tcPr>
          <w:p w14:paraId="282B235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164.348,00</w:t>
            </w:r>
          </w:p>
        </w:tc>
      </w:tr>
      <w:tr w:rsidR="00846ACC" w:rsidRPr="004974C0" w14:paraId="2BC9E77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6957DAB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A500001 Hitna medicinska pomoć</w:t>
            </w:r>
          </w:p>
        </w:tc>
        <w:tc>
          <w:tcPr>
            <w:tcW w:w="1984" w:type="dxa"/>
            <w:tcBorders>
              <w:top w:val="nil"/>
              <w:left w:val="nil"/>
              <w:bottom w:val="single" w:sz="4" w:space="0" w:color="auto"/>
              <w:right w:val="single" w:sz="4" w:space="0" w:color="auto"/>
            </w:tcBorders>
            <w:shd w:val="clear" w:color="000000" w:fill="CCCCFF"/>
            <w:noWrap/>
            <w:vAlign w:val="bottom"/>
            <w:hideMark/>
          </w:tcPr>
          <w:p w14:paraId="6A6F843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32F051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92.800,00</w:t>
            </w:r>
          </w:p>
        </w:tc>
        <w:tc>
          <w:tcPr>
            <w:tcW w:w="1843" w:type="dxa"/>
            <w:tcBorders>
              <w:top w:val="nil"/>
              <w:left w:val="nil"/>
              <w:bottom w:val="single" w:sz="4" w:space="0" w:color="auto"/>
              <w:right w:val="single" w:sz="4" w:space="0" w:color="auto"/>
            </w:tcBorders>
            <w:shd w:val="clear" w:color="000000" w:fill="CCCCFF"/>
            <w:noWrap/>
            <w:vAlign w:val="bottom"/>
            <w:hideMark/>
          </w:tcPr>
          <w:p w14:paraId="4DE44E6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4A9FAA1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6A4D1FC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92.800,00</w:t>
            </w:r>
          </w:p>
        </w:tc>
      </w:tr>
      <w:tr w:rsidR="00846ACC" w:rsidRPr="004974C0" w14:paraId="2DC4ABB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BC0D06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2F09323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ED8B74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c>
          <w:tcPr>
            <w:tcW w:w="1843" w:type="dxa"/>
            <w:tcBorders>
              <w:top w:val="nil"/>
              <w:left w:val="nil"/>
              <w:bottom w:val="single" w:sz="4" w:space="0" w:color="auto"/>
              <w:right w:val="single" w:sz="4" w:space="0" w:color="auto"/>
            </w:tcBorders>
            <w:shd w:val="clear" w:color="000000" w:fill="FFFF99"/>
            <w:noWrap/>
            <w:vAlign w:val="bottom"/>
            <w:hideMark/>
          </w:tcPr>
          <w:p w14:paraId="2AFD1C2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4B2ED95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F53D2A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r>
      <w:tr w:rsidR="00846ACC" w:rsidRPr="004974C0" w14:paraId="7140B58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CFCE9B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D9F07F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1900892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w:t>
            </w:r>
          </w:p>
        </w:tc>
        <w:tc>
          <w:tcPr>
            <w:tcW w:w="1843" w:type="dxa"/>
            <w:tcBorders>
              <w:top w:val="nil"/>
              <w:left w:val="nil"/>
              <w:bottom w:val="single" w:sz="4" w:space="0" w:color="auto"/>
              <w:right w:val="single" w:sz="4" w:space="0" w:color="auto"/>
            </w:tcBorders>
            <w:shd w:val="clear" w:color="auto" w:fill="auto"/>
            <w:noWrap/>
            <w:vAlign w:val="bottom"/>
            <w:hideMark/>
          </w:tcPr>
          <w:p w14:paraId="4499BC5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8DBFB8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A4E19C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w:t>
            </w:r>
          </w:p>
        </w:tc>
      </w:tr>
      <w:tr w:rsidR="00846ACC" w:rsidRPr="004974C0" w14:paraId="4581EE6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A81A129" w14:textId="77777777" w:rsidR="004974C0" w:rsidRPr="004974C0" w:rsidRDefault="004974C0" w:rsidP="004974C0">
            <w:pPr>
              <w:rPr>
                <w:rFonts w:ascii="Arial" w:hAnsi="Arial" w:cs="Arial"/>
                <w:sz w:val="20"/>
                <w:szCs w:val="20"/>
              </w:rPr>
            </w:pPr>
            <w:r w:rsidRPr="004974C0">
              <w:rPr>
                <w:rFonts w:ascii="Arial" w:hAnsi="Arial" w:cs="Arial"/>
                <w:sz w:val="20"/>
                <w:szCs w:val="20"/>
              </w:rPr>
              <w:lastRenderedPageBreak/>
              <w:t>36</w:t>
            </w:r>
          </w:p>
        </w:tc>
        <w:tc>
          <w:tcPr>
            <w:tcW w:w="1984" w:type="dxa"/>
            <w:tcBorders>
              <w:top w:val="nil"/>
              <w:left w:val="nil"/>
              <w:bottom w:val="single" w:sz="4" w:space="0" w:color="auto"/>
              <w:right w:val="single" w:sz="4" w:space="0" w:color="auto"/>
            </w:tcBorders>
            <w:shd w:val="clear" w:color="auto" w:fill="auto"/>
            <w:noWrap/>
            <w:vAlign w:val="bottom"/>
            <w:hideMark/>
          </w:tcPr>
          <w:p w14:paraId="3A1091EA" w14:textId="77777777" w:rsidR="004974C0" w:rsidRPr="004974C0" w:rsidRDefault="004974C0" w:rsidP="004974C0">
            <w:pPr>
              <w:rPr>
                <w:rFonts w:ascii="Arial" w:hAnsi="Arial" w:cs="Arial"/>
                <w:sz w:val="20"/>
                <w:szCs w:val="20"/>
              </w:rPr>
            </w:pPr>
            <w:r w:rsidRPr="004974C0">
              <w:rPr>
                <w:rFonts w:ascii="Arial" w:hAnsi="Arial" w:cs="Arial"/>
                <w:sz w:val="20"/>
                <w:szCs w:val="20"/>
              </w:rPr>
              <w:t>Pomoći dane u inozemstvo i unutar općeg proračuna</w:t>
            </w:r>
          </w:p>
        </w:tc>
        <w:tc>
          <w:tcPr>
            <w:tcW w:w="1843" w:type="dxa"/>
            <w:tcBorders>
              <w:top w:val="nil"/>
              <w:left w:val="nil"/>
              <w:bottom w:val="single" w:sz="4" w:space="0" w:color="auto"/>
              <w:right w:val="single" w:sz="4" w:space="0" w:color="auto"/>
            </w:tcBorders>
            <w:shd w:val="clear" w:color="auto" w:fill="auto"/>
            <w:noWrap/>
            <w:vAlign w:val="bottom"/>
            <w:hideMark/>
          </w:tcPr>
          <w:p w14:paraId="28BA86B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w:t>
            </w:r>
          </w:p>
        </w:tc>
        <w:tc>
          <w:tcPr>
            <w:tcW w:w="1843" w:type="dxa"/>
            <w:tcBorders>
              <w:top w:val="nil"/>
              <w:left w:val="nil"/>
              <w:bottom w:val="single" w:sz="4" w:space="0" w:color="auto"/>
              <w:right w:val="single" w:sz="4" w:space="0" w:color="auto"/>
            </w:tcBorders>
            <w:shd w:val="clear" w:color="auto" w:fill="auto"/>
            <w:noWrap/>
            <w:vAlign w:val="bottom"/>
            <w:hideMark/>
          </w:tcPr>
          <w:p w14:paraId="16CDEF1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55B424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90AFC6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w:t>
            </w:r>
          </w:p>
        </w:tc>
      </w:tr>
      <w:tr w:rsidR="00846ACC" w:rsidRPr="004974C0" w14:paraId="55F8FFF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4A4EB3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4.4. PRIHODI OD BORAVIŠNE PRISTOJBE</w:t>
            </w:r>
          </w:p>
        </w:tc>
        <w:tc>
          <w:tcPr>
            <w:tcW w:w="1984" w:type="dxa"/>
            <w:tcBorders>
              <w:top w:val="nil"/>
              <w:left w:val="nil"/>
              <w:bottom w:val="single" w:sz="4" w:space="0" w:color="auto"/>
              <w:right w:val="single" w:sz="4" w:space="0" w:color="auto"/>
            </w:tcBorders>
            <w:shd w:val="clear" w:color="000000" w:fill="FFFF99"/>
            <w:noWrap/>
            <w:vAlign w:val="bottom"/>
            <w:hideMark/>
          </w:tcPr>
          <w:p w14:paraId="65DFB2F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1E13A0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88.800,00</w:t>
            </w:r>
          </w:p>
        </w:tc>
        <w:tc>
          <w:tcPr>
            <w:tcW w:w="1843" w:type="dxa"/>
            <w:tcBorders>
              <w:top w:val="nil"/>
              <w:left w:val="nil"/>
              <w:bottom w:val="single" w:sz="4" w:space="0" w:color="auto"/>
              <w:right w:val="single" w:sz="4" w:space="0" w:color="auto"/>
            </w:tcBorders>
            <w:shd w:val="clear" w:color="000000" w:fill="FFFF99"/>
            <w:noWrap/>
            <w:vAlign w:val="bottom"/>
            <w:hideMark/>
          </w:tcPr>
          <w:p w14:paraId="487BA39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4A3EABA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614CAF9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88.800,00</w:t>
            </w:r>
          </w:p>
        </w:tc>
      </w:tr>
      <w:tr w:rsidR="00846ACC" w:rsidRPr="004974C0" w14:paraId="75639E1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C812F0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2F505A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CE63AF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88.800,00</w:t>
            </w:r>
          </w:p>
        </w:tc>
        <w:tc>
          <w:tcPr>
            <w:tcW w:w="1843" w:type="dxa"/>
            <w:tcBorders>
              <w:top w:val="nil"/>
              <w:left w:val="nil"/>
              <w:bottom w:val="single" w:sz="4" w:space="0" w:color="auto"/>
              <w:right w:val="single" w:sz="4" w:space="0" w:color="auto"/>
            </w:tcBorders>
            <w:shd w:val="clear" w:color="auto" w:fill="auto"/>
            <w:noWrap/>
            <w:vAlign w:val="bottom"/>
            <w:hideMark/>
          </w:tcPr>
          <w:p w14:paraId="0771267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ADE86E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5EAA25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88.800,00</w:t>
            </w:r>
          </w:p>
        </w:tc>
      </w:tr>
      <w:tr w:rsidR="00846ACC" w:rsidRPr="004974C0" w14:paraId="7812FD3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9B44C5F" w14:textId="77777777" w:rsidR="004974C0" w:rsidRPr="004974C0" w:rsidRDefault="004974C0" w:rsidP="004974C0">
            <w:pPr>
              <w:rPr>
                <w:rFonts w:ascii="Arial" w:hAnsi="Arial" w:cs="Arial"/>
                <w:sz w:val="20"/>
                <w:szCs w:val="20"/>
              </w:rPr>
            </w:pPr>
            <w:r w:rsidRPr="004974C0">
              <w:rPr>
                <w:rFonts w:ascii="Arial" w:hAnsi="Arial" w:cs="Arial"/>
                <w:sz w:val="20"/>
                <w:szCs w:val="20"/>
              </w:rPr>
              <w:t>36</w:t>
            </w:r>
          </w:p>
        </w:tc>
        <w:tc>
          <w:tcPr>
            <w:tcW w:w="1984" w:type="dxa"/>
            <w:tcBorders>
              <w:top w:val="nil"/>
              <w:left w:val="nil"/>
              <w:bottom w:val="single" w:sz="4" w:space="0" w:color="auto"/>
              <w:right w:val="single" w:sz="4" w:space="0" w:color="auto"/>
            </w:tcBorders>
            <w:shd w:val="clear" w:color="auto" w:fill="auto"/>
            <w:noWrap/>
            <w:vAlign w:val="bottom"/>
            <w:hideMark/>
          </w:tcPr>
          <w:p w14:paraId="64E28996" w14:textId="77777777" w:rsidR="004974C0" w:rsidRPr="004974C0" w:rsidRDefault="004974C0" w:rsidP="004974C0">
            <w:pPr>
              <w:rPr>
                <w:rFonts w:ascii="Arial" w:hAnsi="Arial" w:cs="Arial"/>
                <w:sz w:val="20"/>
                <w:szCs w:val="20"/>
              </w:rPr>
            </w:pPr>
            <w:r w:rsidRPr="004974C0">
              <w:rPr>
                <w:rFonts w:ascii="Arial" w:hAnsi="Arial" w:cs="Arial"/>
                <w:sz w:val="20"/>
                <w:szCs w:val="20"/>
              </w:rPr>
              <w:t>Pomoći dane u inozemstvo i unutar općeg proračuna</w:t>
            </w:r>
          </w:p>
        </w:tc>
        <w:tc>
          <w:tcPr>
            <w:tcW w:w="1843" w:type="dxa"/>
            <w:tcBorders>
              <w:top w:val="nil"/>
              <w:left w:val="nil"/>
              <w:bottom w:val="single" w:sz="4" w:space="0" w:color="auto"/>
              <w:right w:val="single" w:sz="4" w:space="0" w:color="auto"/>
            </w:tcBorders>
            <w:shd w:val="clear" w:color="auto" w:fill="auto"/>
            <w:noWrap/>
            <w:vAlign w:val="bottom"/>
            <w:hideMark/>
          </w:tcPr>
          <w:p w14:paraId="61C53EB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88.800,00</w:t>
            </w:r>
          </w:p>
        </w:tc>
        <w:tc>
          <w:tcPr>
            <w:tcW w:w="1843" w:type="dxa"/>
            <w:tcBorders>
              <w:top w:val="nil"/>
              <w:left w:val="nil"/>
              <w:bottom w:val="single" w:sz="4" w:space="0" w:color="auto"/>
              <w:right w:val="single" w:sz="4" w:space="0" w:color="auto"/>
            </w:tcBorders>
            <w:shd w:val="clear" w:color="auto" w:fill="auto"/>
            <w:noWrap/>
            <w:vAlign w:val="bottom"/>
            <w:hideMark/>
          </w:tcPr>
          <w:p w14:paraId="6704030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FF4990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5A0777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88.800,00</w:t>
            </w:r>
          </w:p>
        </w:tc>
      </w:tr>
      <w:tr w:rsidR="00846ACC" w:rsidRPr="004974C0" w14:paraId="37A5FFD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B893F0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A500008 Prevencija bolesti i promocija zdravlja</w:t>
            </w:r>
          </w:p>
        </w:tc>
        <w:tc>
          <w:tcPr>
            <w:tcW w:w="1984" w:type="dxa"/>
            <w:tcBorders>
              <w:top w:val="nil"/>
              <w:left w:val="nil"/>
              <w:bottom w:val="single" w:sz="4" w:space="0" w:color="auto"/>
              <w:right w:val="single" w:sz="4" w:space="0" w:color="auto"/>
            </w:tcBorders>
            <w:shd w:val="clear" w:color="000000" w:fill="CCCCFF"/>
            <w:noWrap/>
            <w:vAlign w:val="bottom"/>
            <w:hideMark/>
          </w:tcPr>
          <w:p w14:paraId="2B431EB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48FD6CE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28.000,00</w:t>
            </w:r>
          </w:p>
        </w:tc>
        <w:tc>
          <w:tcPr>
            <w:tcW w:w="1843" w:type="dxa"/>
            <w:tcBorders>
              <w:top w:val="nil"/>
              <w:left w:val="nil"/>
              <w:bottom w:val="single" w:sz="4" w:space="0" w:color="auto"/>
              <w:right w:val="single" w:sz="4" w:space="0" w:color="auto"/>
            </w:tcBorders>
            <w:shd w:val="clear" w:color="000000" w:fill="CCCCFF"/>
            <w:noWrap/>
            <w:vAlign w:val="bottom"/>
            <w:hideMark/>
          </w:tcPr>
          <w:p w14:paraId="3D46C1E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43.548,00</w:t>
            </w:r>
          </w:p>
        </w:tc>
        <w:tc>
          <w:tcPr>
            <w:tcW w:w="1559" w:type="dxa"/>
            <w:tcBorders>
              <w:top w:val="nil"/>
              <w:left w:val="nil"/>
              <w:bottom w:val="single" w:sz="4" w:space="0" w:color="auto"/>
              <w:right w:val="single" w:sz="4" w:space="0" w:color="auto"/>
            </w:tcBorders>
            <w:shd w:val="clear" w:color="000000" w:fill="CCCCFF"/>
            <w:noWrap/>
            <w:vAlign w:val="bottom"/>
            <w:hideMark/>
          </w:tcPr>
          <w:p w14:paraId="5E890C9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155,53</w:t>
            </w:r>
          </w:p>
        </w:tc>
        <w:tc>
          <w:tcPr>
            <w:tcW w:w="1803" w:type="dxa"/>
            <w:tcBorders>
              <w:top w:val="nil"/>
              <w:left w:val="nil"/>
              <w:bottom w:val="single" w:sz="4" w:space="0" w:color="auto"/>
              <w:right w:val="single" w:sz="4" w:space="0" w:color="auto"/>
            </w:tcBorders>
            <w:shd w:val="clear" w:color="000000" w:fill="CCCCFF"/>
            <w:noWrap/>
            <w:vAlign w:val="bottom"/>
            <w:hideMark/>
          </w:tcPr>
          <w:p w14:paraId="4AB5B32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71.548,00</w:t>
            </w:r>
          </w:p>
        </w:tc>
      </w:tr>
      <w:tr w:rsidR="00846ACC" w:rsidRPr="004974C0" w14:paraId="16383DF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65572F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4728319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C0443C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28.000,00</w:t>
            </w:r>
          </w:p>
        </w:tc>
        <w:tc>
          <w:tcPr>
            <w:tcW w:w="1843" w:type="dxa"/>
            <w:tcBorders>
              <w:top w:val="nil"/>
              <w:left w:val="nil"/>
              <w:bottom w:val="single" w:sz="4" w:space="0" w:color="auto"/>
              <w:right w:val="single" w:sz="4" w:space="0" w:color="auto"/>
            </w:tcBorders>
            <w:shd w:val="clear" w:color="000000" w:fill="FFFF99"/>
            <w:noWrap/>
            <w:vAlign w:val="bottom"/>
            <w:hideMark/>
          </w:tcPr>
          <w:p w14:paraId="7AA8164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5.300,00</w:t>
            </w:r>
          </w:p>
        </w:tc>
        <w:tc>
          <w:tcPr>
            <w:tcW w:w="1559" w:type="dxa"/>
            <w:tcBorders>
              <w:top w:val="nil"/>
              <w:left w:val="nil"/>
              <w:bottom w:val="single" w:sz="4" w:space="0" w:color="auto"/>
              <w:right w:val="single" w:sz="4" w:space="0" w:color="auto"/>
            </w:tcBorders>
            <w:shd w:val="clear" w:color="000000" w:fill="FFFF99"/>
            <w:noWrap/>
            <w:vAlign w:val="bottom"/>
            <w:hideMark/>
          </w:tcPr>
          <w:p w14:paraId="1D6BB9F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18,93</w:t>
            </w:r>
          </w:p>
        </w:tc>
        <w:tc>
          <w:tcPr>
            <w:tcW w:w="1803" w:type="dxa"/>
            <w:tcBorders>
              <w:top w:val="nil"/>
              <w:left w:val="nil"/>
              <w:bottom w:val="single" w:sz="4" w:space="0" w:color="auto"/>
              <w:right w:val="single" w:sz="4" w:space="0" w:color="auto"/>
            </w:tcBorders>
            <w:shd w:val="clear" w:color="000000" w:fill="FFFF99"/>
            <w:noWrap/>
            <w:vAlign w:val="bottom"/>
            <w:hideMark/>
          </w:tcPr>
          <w:p w14:paraId="48CA5C0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33.300,00</w:t>
            </w:r>
          </w:p>
        </w:tc>
      </w:tr>
      <w:tr w:rsidR="00846ACC" w:rsidRPr="004974C0" w14:paraId="1B3033F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6AE485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671AAF2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5BEAB8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28.000,00</w:t>
            </w:r>
          </w:p>
        </w:tc>
        <w:tc>
          <w:tcPr>
            <w:tcW w:w="1843" w:type="dxa"/>
            <w:tcBorders>
              <w:top w:val="nil"/>
              <w:left w:val="nil"/>
              <w:bottom w:val="single" w:sz="4" w:space="0" w:color="auto"/>
              <w:right w:val="single" w:sz="4" w:space="0" w:color="auto"/>
            </w:tcBorders>
            <w:shd w:val="clear" w:color="auto" w:fill="auto"/>
            <w:noWrap/>
            <w:vAlign w:val="bottom"/>
            <w:hideMark/>
          </w:tcPr>
          <w:p w14:paraId="7EC67E7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5.300,00</w:t>
            </w:r>
          </w:p>
        </w:tc>
        <w:tc>
          <w:tcPr>
            <w:tcW w:w="1559" w:type="dxa"/>
            <w:tcBorders>
              <w:top w:val="nil"/>
              <w:left w:val="nil"/>
              <w:bottom w:val="single" w:sz="4" w:space="0" w:color="auto"/>
              <w:right w:val="single" w:sz="4" w:space="0" w:color="auto"/>
            </w:tcBorders>
            <w:shd w:val="clear" w:color="auto" w:fill="auto"/>
            <w:noWrap/>
            <w:vAlign w:val="bottom"/>
            <w:hideMark/>
          </w:tcPr>
          <w:p w14:paraId="1FEF0FE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18,93</w:t>
            </w:r>
          </w:p>
        </w:tc>
        <w:tc>
          <w:tcPr>
            <w:tcW w:w="1803" w:type="dxa"/>
            <w:tcBorders>
              <w:top w:val="nil"/>
              <w:left w:val="nil"/>
              <w:bottom w:val="single" w:sz="4" w:space="0" w:color="auto"/>
              <w:right w:val="single" w:sz="4" w:space="0" w:color="auto"/>
            </w:tcBorders>
            <w:shd w:val="clear" w:color="auto" w:fill="auto"/>
            <w:noWrap/>
            <w:vAlign w:val="bottom"/>
            <w:hideMark/>
          </w:tcPr>
          <w:p w14:paraId="3140BA1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33.300,00</w:t>
            </w:r>
          </w:p>
        </w:tc>
      </w:tr>
      <w:tr w:rsidR="00846ACC" w:rsidRPr="004974C0" w14:paraId="201DFC8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34741C3"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7FB288F0"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7F3C5AB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16.000,00</w:t>
            </w:r>
          </w:p>
        </w:tc>
        <w:tc>
          <w:tcPr>
            <w:tcW w:w="1843" w:type="dxa"/>
            <w:tcBorders>
              <w:top w:val="nil"/>
              <w:left w:val="nil"/>
              <w:bottom w:val="single" w:sz="4" w:space="0" w:color="auto"/>
              <w:right w:val="single" w:sz="4" w:space="0" w:color="auto"/>
            </w:tcBorders>
            <w:shd w:val="clear" w:color="auto" w:fill="auto"/>
            <w:noWrap/>
            <w:vAlign w:val="bottom"/>
            <w:hideMark/>
          </w:tcPr>
          <w:p w14:paraId="4972191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939811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E1B15B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16.000,00</w:t>
            </w:r>
          </w:p>
        </w:tc>
      </w:tr>
      <w:tr w:rsidR="00846ACC" w:rsidRPr="004974C0" w14:paraId="0C557CC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96EA808" w14:textId="77777777" w:rsidR="004974C0" w:rsidRPr="004974C0" w:rsidRDefault="004974C0" w:rsidP="004974C0">
            <w:pPr>
              <w:rPr>
                <w:rFonts w:ascii="Arial" w:hAnsi="Arial" w:cs="Arial"/>
                <w:sz w:val="20"/>
                <w:szCs w:val="20"/>
              </w:rPr>
            </w:pPr>
            <w:r w:rsidRPr="004974C0">
              <w:rPr>
                <w:rFonts w:ascii="Arial" w:hAnsi="Arial" w:cs="Arial"/>
                <w:sz w:val="20"/>
                <w:szCs w:val="20"/>
              </w:rPr>
              <w:t>36</w:t>
            </w:r>
          </w:p>
        </w:tc>
        <w:tc>
          <w:tcPr>
            <w:tcW w:w="1984" w:type="dxa"/>
            <w:tcBorders>
              <w:top w:val="nil"/>
              <w:left w:val="nil"/>
              <w:bottom w:val="single" w:sz="4" w:space="0" w:color="auto"/>
              <w:right w:val="single" w:sz="4" w:space="0" w:color="auto"/>
            </w:tcBorders>
            <w:shd w:val="clear" w:color="auto" w:fill="auto"/>
            <w:noWrap/>
            <w:vAlign w:val="bottom"/>
            <w:hideMark/>
          </w:tcPr>
          <w:p w14:paraId="65310994" w14:textId="77777777" w:rsidR="004974C0" w:rsidRPr="004974C0" w:rsidRDefault="004974C0" w:rsidP="004974C0">
            <w:pPr>
              <w:rPr>
                <w:rFonts w:ascii="Arial" w:hAnsi="Arial" w:cs="Arial"/>
                <w:sz w:val="20"/>
                <w:szCs w:val="20"/>
              </w:rPr>
            </w:pPr>
            <w:r w:rsidRPr="004974C0">
              <w:rPr>
                <w:rFonts w:ascii="Arial" w:hAnsi="Arial" w:cs="Arial"/>
                <w:sz w:val="20"/>
                <w:szCs w:val="20"/>
              </w:rPr>
              <w:t>Pomoći dane u inozemstvo i unutar općeg proračuna</w:t>
            </w:r>
          </w:p>
        </w:tc>
        <w:tc>
          <w:tcPr>
            <w:tcW w:w="1843" w:type="dxa"/>
            <w:tcBorders>
              <w:top w:val="nil"/>
              <w:left w:val="nil"/>
              <w:bottom w:val="single" w:sz="4" w:space="0" w:color="auto"/>
              <w:right w:val="single" w:sz="4" w:space="0" w:color="auto"/>
            </w:tcBorders>
            <w:shd w:val="clear" w:color="auto" w:fill="auto"/>
            <w:noWrap/>
            <w:vAlign w:val="bottom"/>
            <w:hideMark/>
          </w:tcPr>
          <w:p w14:paraId="2549685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12.000,00</w:t>
            </w:r>
          </w:p>
        </w:tc>
        <w:tc>
          <w:tcPr>
            <w:tcW w:w="1843" w:type="dxa"/>
            <w:tcBorders>
              <w:top w:val="nil"/>
              <w:left w:val="nil"/>
              <w:bottom w:val="single" w:sz="4" w:space="0" w:color="auto"/>
              <w:right w:val="single" w:sz="4" w:space="0" w:color="auto"/>
            </w:tcBorders>
            <w:shd w:val="clear" w:color="auto" w:fill="auto"/>
            <w:noWrap/>
            <w:vAlign w:val="bottom"/>
            <w:hideMark/>
          </w:tcPr>
          <w:p w14:paraId="0C34382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5.300,00</w:t>
            </w:r>
          </w:p>
        </w:tc>
        <w:tc>
          <w:tcPr>
            <w:tcW w:w="1559" w:type="dxa"/>
            <w:tcBorders>
              <w:top w:val="nil"/>
              <w:left w:val="nil"/>
              <w:bottom w:val="single" w:sz="4" w:space="0" w:color="auto"/>
              <w:right w:val="single" w:sz="4" w:space="0" w:color="auto"/>
            </w:tcBorders>
            <w:shd w:val="clear" w:color="auto" w:fill="auto"/>
            <w:noWrap/>
            <w:vAlign w:val="bottom"/>
            <w:hideMark/>
          </w:tcPr>
          <w:p w14:paraId="4A5A2D1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44,17</w:t>
            </w:r>
          </w:p>
        </w:tc>
        <w:tc>
          <w:tcPr>
            <w:tcW w:w="1803" w:type="dxa"/>
            <w:tcBorders>
              <w:top w:val="nil"/>
              <w:left w:val="nil"/>
              <w:bottom w:val="single" w:sz="4" w:space="0" w:color="auto"/>
              <w:right w:val="single" w:sz="4" w:space="0" w:color="auto"/>
            </w:tcBorders>
            <w:shd w:val="clear" w:color="auto" w:fill="auto"/>
            <w:noWrap/>
            <w:vAlign w:val="bottom"/>
            <w:hideMark/>
          </w:tcPr>
          <w:p w14:paraId="0081BDA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17.300,00</w:t>
            </w:r>
          </w:p>
        </w:tc>
      </w:tr>
      <w:tr w:rsidR="00846ACC" w:rsidRPr="004974C0" w14:paraId="699C480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6A067E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6.2. 6. KAPITALNE DONACIJE</w:t>
            </w:r>
          </w:p>
        </w:tc>
        <w:tc>
          <w:tcPr>
            <w:tcW w:w="1984" w:type="dxa"/>
            <w:tcBorders>
              <w:top w:val="nil"/>
              <w:left w:val="nil"/>
              <w:bottom w:val="single" w:sz="4" w:space="0" w:color="auto"/>
              <w:right w:val="single" w:sz="4" w:space="0" w:color="auto"/>
            </w:tcBorders>
            <w:shd w:val="clear" w:color="000000" w:fill="FFFF99"/>
            <w:noWrap/>
            <w:vAlign w:val="bottom"/>
            <w:hideMark/>
          </w:tcPr>
          <w:p w14:paraId="12BE380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67874D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7627C94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38.248,00</w:t>
            </w:r>
          </w:p>
        </w:tc>
        <w:tc>
          <w:tcPr>
            <w:tcW w:w="1559" w:type="dxa"/>
            <w:tcBorders>
              <w:top w:val="nil"/>
              <w:left w:val="nil"/>
              <w:bottom w:val="single" w:sz="4" w:space="0" w:color="auto"/>
              <w:right w:val="single" w:sz="4" w:space="0" w:color="auto"/>
            </w:tcBorders>
            <w:shd w:val="clear" w:color="000000" w:fill="FFFF99"/>
            <w:noWrap/>
            <w:vAlign w:val="bottom"/>
            <w:hideMark/>
          </w:tcPr>
          <w:p w14:paraId="6F60985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99"/>
            <w:noWrap/>
            <w:vAlign w:val="bottom"/>
            <w:hideMark/>
          </w:tcPr>
          <w:p w14:paraId="67C0C6E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38.248,00</w:t>
            </w:r>
          </w:p>
        </w:tc>
      </w:tr>
      <w:tr w:rsidR="00846ACC" w:rsidRPr="004974C0" w14:paraId="6802581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B848E9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75EDA0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CDDECB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8D01E7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38.248,00</w:t>
            </w:r>
          </w:p>
        </w:tc>
        <w:tc>
          <w:tcPr>
            <w:tcW w:w="1559" w:type="dxa"/>
            <w:tcBorders>
              <w:top w:val="nil"/>
              <w:left w:val="nil"/>
              <w:bottom w:val="single" w:sz="4" w:space="0" w:color="auto"/>
              <w:right w:val="single" w:sz="4" w:space="0" w:color="auto"/>
            </w:tcBorders>
            <w:shd w:val="clear" w:color="auto" w:fill="auto"/>
            <w:noWrap/>
            <w:vAlign w:val="bottom"/>
            <w:hideMark/>
          </w:tcPr>
          <w:p w14:paraId="432CEB0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2D426AA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38.248,00</w:t>
            </w:r>
          </w:p>
        </w:tc>
      </w:tr>
      <w:tr w:rsidR="00846ACC" w:rsidRPr="004974C0" w14:paraId="7351CBF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CFA58E0" w14:textId="77777777" w:rsidR="004974C0" w:rsidRPr="004974C0" w:rsidRDefault="004974C0" w:rsidP="004974C0">
            <w:pPr>
              <w:rPr>
                <w:rFonts w:ascii="Arial" w:hAnsi="Arial" w:cs="Arial"/>
                <w:sz w:val="20"/>
                <w:szCs w:val="20"/>
              </w:rPr>
            </w:pPr>
            <w:r w:rsidRPr="004974C0">
              <w:rPr>
                <w:rFonts w:ascii="Arial" w:hAnsi="Arial" w:cs="Arial"/>
                <w:sz w:val="20"/>
                <w:szCs w:val="20"/>
              </w:rPr>
              <w:t>36</w:t>
            </w:r>
          </w:p>
        </w:tc>
        <w:tc>
          <w:tcPr>
            <w:tcW w:w="1984" w:type="dxa"/>
            <w:tcBorders>
              <w:top w:val="nil"/>
              <w:left w:val="nil"/>
              <w:bottom w:val="single" w:sz="4" w:space="0" w:color="auto"/>
              <w:right w:val="single" w:sz="4" w:space="0" w:color="auto"/>
            </w:tcBorders>
            <w:shd w:val="clear" w:color="auto" w:fill="auto"/>
            <w:noWrap/>
            <w:vAlign w:val="bottom"/>
            <w:hideMark/>
          </w:tcPr>
          <w:p w14:paraId="6B306024" w14:textId="77777777" w:rsidR="004974C0" w:rsidRPr="004974C0" w:rsidRDefault="004974C0" w:rsidP="004974C0">
            <w:pPr>
              <w:rPr>
                <w:rFonts w:ascii="Arial" w:hAnsi="Arial" w:cs="Arial"/>
                <w:sz w:val="20"/>
                <w:szCs w:val="20"/>
              </w:rPr>
            </w:pPr>
            <w:r w:rsidRPr="004974C0">
              <w:rPr>
                <w:rFonts w:ascii="Arial" w:hAnsi="Arial" w:cs="Arial"/>
                <w:sz w:val="20"/>
                <w:szCs w:val="20"/>
              </w:rPr>
              <w:t>Pomoći dane u inozemstvo i unutar općeg proračuna</w:t>
            </w:r>
          </w:p>
        </w:tc>
        <w:tc>
          <w:tcPr>
            <w:tcW w:w="1843" w:type="dxa"/>
            <w:tcBorders>
              <w:top w:val="nil"/>
              <w:left w:val="nil"/>
              <w:bottom w:val="single" w:sz="4" w:space="0" w:color="auto"/>
              <w:right w:val="single" w:sz="4" w:space="0" w:color="auto"/>
            </w:tcBorders>
            <w:shd w:val="clear" w:color="auto" w:fill="auto"/>
            <w:noWrap/>
            <w:vAlign w:val="bottom"/>
            <w:hideMark/>
          </w:tcPr>
          <w:p w14:paraId="39E52BF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7D4189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38.248,00</w:t>
            </w:r>
          </w:p>
        </w:tc>
        <w:tc>
          <w:tcPr>
            <w:tcW w:w="1559" w:type="dxa"/>
            <w:tcBorders>
              <w:top w:val="nil"/>
              <w:left w:val="nil"/>
              <w:bottom w:val="single" w:sz="4" w:space="0" w:color="auto"/>
              <w:right w:val="single" w:sz="4" w:space="0" w:color="auto"/>
            </w:tcBorders>
            <w:shd w:val="clear" w:color="auto" w:fill="auto"/>
            <w:noWrap/>
            <w:vAlign w:val="bottom"/>
            <w:hideMark/>
          </w:tcPr>
          <w:p w14:paraId="0EC12B3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23A45B5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38.248,00</w:t>
            </w:r>
          </w:p>
        </w:tc>
      </w:tr>
      <w:tr w:rsidR="00846ACC" w:rsidRPr="004974C0" w14:paraId="3C8D6D6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240A79A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5009 Razvoj civilnog društva</w:t>
            </w:r>
          </w:p>
        </w:tc>
        <w:tc>
          <w:tcPr>
            <w:tcW w:w="1984" w:type="dxa"/>
            <w:tcBorders>
              <w:top w:val="nil"/>
              <w:left w:val="nil"/>
              <w:bottom w:val="single" w:sz="4" w:space="0" w:color="auto"/>
              <w:right w:val="single" w:sz="4" w:space="0" w:color="auto"/>
            </w:tcBorders>
            <w:shd w:val="clear" w:color="000000" w:fill="9999FF"/>
            <w:noWrap/>
            <w:vAlign w:val="bottom"/>
            <w:hideMark/>
          </w:tcPr>
          <w:p w14:paraId="40E9DB0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6685645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25.000,00</w:t>
            </w:r>
          </w:p>
        </w:tc>
        <w:tc>
          <w:tcPr>
            <w:tcW w:w="1843" w:type="dxa"/>
            <w:tcBorders>
              <w:top w:val="nil"/>
              <w:left w:val="nil"/>
              <w:bottom w:val="single" w:sz="4" w:space="0" w:color="auto"/>
              <w:right w:val="single" w:sz="4" w:space="0" w:color="auto"/>
            </w:tcBorders>
            <w:shd w:val="clear" w:color="000000" w:fill="9999FF"/>
            <w:noWrap/>
            <w:vAlign w:val="bottom"/>
            <w:hideMark/>
          </w:tcPr>
          <w:p w14:paraId="2666C5D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9999FF"/>
            <w:noWrap/>
            <w:vAlign w:val="bottom"/>
            <w:hideMark/>
          </w:tcPr>
          <w:p w14:paraId="4FC1262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9999FF"/>
            <w:noWrap/>
            <w:vAlign w:val="bottom"/>
            <w:hideMark/>
          </w:tcPr>
          <w:p w14:paraId="3FE12D2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25.000,00</w:t>
            </w:r>
          </w:p>
        </w:tc>
      </w:tr>
      <w:tr w:rsidR="00846ACC" w:rsidRPr="004974C0" w14:paraId="5C37296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18AC0D6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A500001 Financiranje udruga građana</w:t>
            </w:r>
          </w:p>
        </w:tc>
        <w:tc>
          <w:tcPr>
            <w:tcW w:w="1984" w:type="dxa"/>
            <w:tcBorders>
              <w:top w:val="nil"/>
              <w:left w:val="nil"/>
              <w:bottom w:val="single" w:sz="4" w:space="0" w:color="auto"/>
              <w:right w:val="single" w:sz="4" w:space="0" w:color="auto"/>
            </w:tcBorders>
            <w:shd w:val="clear" w:color="000000" w:fill="CCCCFF"/>
            <w:noWrap/>
            <w:vAlign w:val="bottom"/>
            <w:hideMark/>
          </w:tcPr>
          <w:p w14:paraId="1B89CB6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104C283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25.000,00</w:t>
            </w:r>
          </w:p>
        </w:tc>
        <w:tc>
          <w:tcPr>
            <w:tcW w:w="1843" w:type="dxa"/>
            <w:tcBorders>
              <w:top w:val="nil"/>
              <w:left w:val="nil"/>
              <w:bottom w:val="single" w:sz="4" w:space="0" w:color="auto"/>
              <w:right w:val="single" w:sz="4" w:space="0" w:color="auto"/>
            </w:tcBorders>
            <w:shd w:val="clear" w:color="000000" w:fill="CCCCFF"/>
            <w:noWrap/>
            <w:vAlign w:val="bottom"/>
            <w:hideMark/>
          </w:tcPr>
          <w:p w14:paraId="54AFE05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7A3DFD9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3737369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25.000,00</w:t>
            </w:r>
          </w:p>
        </w:tc>
      </w:tr>
      <w:tr w:rsidR="00846ACC" w:rsidRPr="004974C0" w14:paraId="2C284BF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B3D5F9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0C88FCA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E51292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25.000,00</w:t>
            </w:r>
          </w:p>
        </w:tc>
        <w:tc>
          <w:tcPr>
            <w:tcW w:w="1843" w:type="dxa"/>
            <w:tcBorders>
              <w:top w:val="nil"/>
              <w:left w:val="nil"/>
              <w:bottom w:val="single" w:sz="4" w:space="0" w:color="auto"/>
              <w:right w:val="single" w:sz="4" w:space="0" w:color="auto"/>
            </w:tcBorders>
            <w:shd w:val="clear" w:color="000000" w:fill="FFFF99"/>
            <w:noWrap/>
            <w:vAlign w:val="bottom"/>
            <w:hideMark/>
          </w:tcPr>
          <w:p w14:paraId="0AA45D2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5E96DD5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CB523B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25.000,00</w:t>
            </w:r>
          </w:p>
        </w:tc>
      </w:tr>
      <w:tr w:rsidR="00846ACC" w:rsidRPr="004974C0" w14:paraId="004DE48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0F83CA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6E3C4D7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1A74331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25.000,00</w:t>
            </w:r>
          </w:p>
        </w:tc>
        <w:tc>
          <w:tcPr>
            <w:tcW w:w="1843" w:type="dxa"/>
            <w:tcBorders>
              <w:top w:val="nil"/>
              <w:left w:val="nil"/>
              <w:bottom w:val="single" w:sz="4" w:space="0" w:color="auto"/>
              <w:right w:val="single" w:sz="4" w:space="0" w:color="auto"/>
            </w:tcBorders>
            <w:shd w:val="clear" w:color="auto" w:fill="auto"/>
            <w:noWrap/>
            <w:vAlign w:val="bottom"/>
            <w:hideMark/>
          </w:tcPr>
          <w:p w14:paraId="76D9763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F99DD6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CD05B5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25.000,00</w:t>
            </w:r>
          </w:p>
        </w:tc>
      </w:tr>
      <w:tr w:rsidR="00846ACC" w:rsidRPr="004974C0" w14:paraId="6D8A402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7454F3C"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48FD871E"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135555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3618342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995FA4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9AEAF5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w:t>
            </w:r>
          </w:p>
        </w:tc>
      </w:tr>
      <w:tr w:rsidR="00846ACC" w:rsidRPr="004974C0" w14:paraId="2507D4E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BCBE8F0" w14:textId="77777777" w:rsidR="004974C0" w:rsidRPr="004974C0" w:rsidRDefault="004974C0" w:rsidP="004974C0">
            <w:pPr>
              <w:rPr>
                <w:rFonts w:ascii="Arial" w:hAnsi="Arial" w:cs="Arial"/>
                <w:sz w:val="20"/>
                <w:szCs w:val="20"/>
              </w:rPr>
            </w:pPr>
            <w:r w:rsidRPr="004974C0">
              <w:rPr>
                <w:rFonts w:ascii="Arial" w:hAnsi="Arial" w:cs="Arial"/>
                <w:sz w:val="20"/>
                <w:szCs w:val="20"/>
              </w:rPr>
              <w:t>38</w:t>
            </w:r>
          </w:p>
        </w:tc>
        <w:tc>
          <w:tcPr>
            <w:tcW w:w="1984" w:type="dxa"/>
            <w:tcBorders>
              <w:top w:val="nil"/>
              <w:left w:val="nil"/>
              <w:bottom w:val="single" w:sz="4" w:space="0" w:color="auto"/>
              <w:right w:val="single" w:sz="4" w:space="0" w:color="auto"/>
            </w:tcBorders>
            <w:shd w:val="clear" w:color="auto" w:fill="auto"/>
            <w:noWrap/>
            <w:vAlign w:val="bottom"/>
            <w:hideMark/>
          </w:tcPr>
          <w:p w14:paraId="08B43833"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donacije, kazne, naknade šteta i kapitalne pomoći</w:t>
            </w:r>
          </w:p>
        </w:tc>
        <w:tc>
          <w:tcPr>
            <w:tcW w:w="1843" w:type="dxa"/>
            <w:tcBorders>
              <w:top w:val="nil"/>
              <w:left w:val="nil"/>
              <w:bottom w:val="single" w:sz="4" w:space="0" w:color="auto"/>
              <w:right w:val="single" w:sz="4" w:space="0" w:color="auto"/>
            </w:tcBorders>
            <w:shd w:val="clear" w:color="auto" w:fill="auto"/>
            <w:noWrap/>
            <w:vAlign w:val="bottom"/>
            <w:hideMark/>
          </w:tcPr>
          <w:p w14:paraId="04DCBD7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24.500,00</w:t>
            </w:r>
          </w:p>
        </w:tc>
        <w:tc>
          <w:tcPr>
            <w:tcW w:w="1843" w:type="dxa"/>
            <w:tcBorders>
              <w:top w:val="nil"/>
              <w:left w:val="nil"/>
              <w:bottom w:val="single" w:sz="4" w:space="0" w:color="auto"/>
              <w:right w:val="single" w:sz="4" w:space="0" w:color="auto"/>
            </w:tcBorders>
            <w:shd w:val="clear" w:color="auto" w:fill="auto"/>
            <w:noWrap/>
            <w:vAlign w:val="bottom"/>
            <w:hideMark/>
          </w:tcPr>
          <w:p w14:paraId="235E50C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44CEEF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678D81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24.500,00</w:t>
            </w:r>
          </w:p>
        </w:tc>
      </w:tr>
      <w:tr w:rsidR="00846ACC" w:rsidRPr="004974C0" w14:paraId="5BEC739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3880AD1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5010 Preventivni programi i aktivnosti</w:t>
            </w:r>
          </w:p>
        </w:tc>
        <w:tc>
          <w:tcPr>
            <w:tcW w:w="1984" w:type="dxa"/>
            <w:tcBorders>
              <w:top w:val="nil"/>
              <w:left w:val="nil"/>
              <w:bottom w:val="single" w:sz="4" w:space="0" w:color="auto"/>
              <w:right w:val="single" w:sz="4" w:space="0" w:color="auto"/>
            </w:tcBorders>
            <w:shd w:val="clear" w:color="000000" w:fill="9999FF"/>
            <w:noWrap/>
            <w:vAlign w:val="bottom"/>
            <w:hideMark/>
          </w:tcPr>
          <w:p w14:paraId="3B7D242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4AE082A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45.000,00</w:t>
            </w:r>
          </w:p>
        </w:tc>
        <w:tc>
          <w:tcPr>
            <w:tcW w:w="1843" w:type="dxa"/>
            <w:tcBorders>
              <w:top w:val="nil"/>
              <w:left w:val="nil"/>
              <w:bottom w:val="single" w:sz="4" w:space="0" w:color="auto"/>
              <w:right w:val="single" w:sz="4" w:space="0" w:color="auto"/>
            </w:tcBorders>
            <w:shd w:val="clear" w:color="000000" w:fill="9999FF"/>
            <w:noWrap/>
            <w:vAlign w:val="bottom"/>
            <w:hideMark/>
          </w:tcPr>
          <w:p w14:paraId="2200E0A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12.470,00</w:t>
            </w:r>
          </w:p>
        </w:tc>
        <w:tc>
          <w:tcPr>
            <w:tcW w:w="1559" w:type="dxa"/>
            <w:tcBorders>
              <w:top w:val="nil"/>
              <w:left w:val="nil"/>
              <w:bottom w:val="single" w:sz="4" w:space="0" w:color="auto"/>
              <w:right w:val="single" w:sz="4" w:space="0" w:color="auto"/>
            </w:tcBorders>
            <w:shd w:val="clear" w:color="000000" w:fill="9999FF"/>
            <w:noWrap/>
            <w:vAlign w:val="bottom"/>
            <w:hideMark/>
          </w:tcPr>
          <w:p w14:paraId="16B7A2B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27,71</w:t>
            </w:r>
          </w:p>
        </w:tc>
        <w:tc>
          <w:tcPr>
            <w:tcW w:w="1803" w:type="dxa"/>
            <w:tcBorders>
              <w:top w:val="nil"/>
              <w:left w:val="nil"/>
              <w:bottom w:val="single" w:sz="4" w:space="0" w:color="auto"/>
              <w:right w:val="single" w:sz="4" w:space="0" w:color="auto"/>
            </w:tcBorders>
            <w:shd w:val="clear" w:color="000000" w:fill="9999FF"/>
            <w:noWrap/>
            <w:vAlign w:val="bottom"/>
            <w:hideMark/>
          </w:tcPr>
          <w:p w14:paraId="1DEB035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57.470,00</w:t>
            </w:r>
          </w:p>
        </w:tc>
      </w:tr>
      <w:tr w:rsidR="00846ACC" w:rsidRPr="004974C0" w14:paraId="4F98276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191BC7F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A500001 Grad Prijatelj djece</w:t>
            </w:r>
          </w:p>
        </w:tc>
        <w:tc>
          <w:tcPr>
            <w:tcW w:w="1984" w:type="dxa"/>
            <w:tcBorders>
              <w:top w:val="nil"/>
              <w:left w:val="nil"/>
              <w:bottom w:val="single" w:sz="4" w:space="0" w:color="auto"/>
              <w:right w:val="single" w:sz="4" w:space="0" w:color="auto"/>
            </w:tcBorders>
            <w:shd w:val="clear" w:color="000000" w:fill="CCCCFF"/>
            <w:noWrap/>
            <w:vAlign w:val="bottom"/>
            <w:hideMark/>
          </w:tcPr>
          <w:p w14:paraId="59D3339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166EC7B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w:t>
            </w:r>
          </w:p>
        </w:tc>
        <w:tc>
          <w:tcPr>
            <w:tcW w:w="1843" w:type="dxa"/>
            <w:tcBorders>
              <w:top w:val="nil"/>
              <w:left w:val="nil"/>
              <w:bottom w:val="single" w:sz="4" w:space="0" w:color="auto"/>
              <w:right w:val="single" w:sz="4" w:space="0" w:color="auto"/>
            </w:tcBorders>
            <w:shd w:val="clear" w:color="000000" w:fill="CCCCFF"/>
            <w:noWrap/>
            <w:vAlign w:val="bottom"/>
            <w:hideMark/>
          </w:tcPr>
          <w:p w14:paraId="32EFFF6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1.200,00</w:t>
            </w:r>
          </w:p>
        </w:tc>
        <w:tc>
          <w:tcPr>
            <w:tcW w:w="1559" w:type="dxa"/>
            <w:tcBorders>
              <w:top w:val="nil"/>
              <w:left w:val="nil"/>
              <w:bottom w:val="single" w:sz="4" w:space="0" w:color="auto"/>
              <w:right w:val="single" w:sz="4" w:space="0" w:color="auto"/>
            </w:tcBorders>
            <w:shd w:val="clear" w:color="000000" w:fill="CCCCFF"/>
            <w:noWrap/>
            <w:vAlign w:val="bottom"/>
            <w:hideMark/>
          </w:tcPr>
          <w:p w14:paraId="3C27244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240,00</w:t>
            </w:r>
          </w:p>
        </w:tc>
        <w:tc>
          <w:tcPr>
            <w:tcW w:w="1803" w:type="dxa"/>
            <w:tcBorders>
              <w:top w:val="nil"/>
              <w:left w:val="nil"/>
              <w:bottom w:val="single" w:sz="4" w:space="0" w:color="auto"/>
              <w:right w:val="single" w:sz="4" w:space="0" w:color="auto"/>
            </w:tcBorders>
            <w:shd w:val="clear" w:color="000000" w:fill="CCCCFF"/>
            <w:noWrap/>
            <w:vAlign w:val="bottom"/>
            <w:hideMark/>
          </w:tcPr>
          <w:p w14:paraId="44A6D72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1.700,00</w:t>
            </w:r>
          </w:p>
        </w:tc>
      </w:tr>
      <w:tr w:rsidR="00846ACC" w:rsidRPr="004974C0" w14:paraId="5E69CC8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B2CF53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26C7DB1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C2C6C8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w:t>
            </w:r>
          </w:p>
        </w:tc>
        <w:tc>
          <w:tcPr>
            <w:tcW w:w="1843" w:type="dxa"/>
            <w:tcBorders>
              <w:top w:val="nil"/>
              <w:left w:val="nil"/>
              <w:bottom w:val="single" w:sz="4" w:space="0" w:color="auto"/>
              <w:right w:val="single" w:sz="4" w:space="0" w:color="auto"/>
            </w:tcBorders>
            <w:shd w:val="clear" w:color="000000" w:fill="FFFF99"/>
            <w:noWrap/>
            <w:vAlign w:val="bottom"/>
            <w:hideMark/>
          </w:tcPr>
          <w:p w14:paraId="2F4C3DD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1.200,00</w:t>
            </w:r>
          </w:p>
        </w:tc>
        <w:tc>
          <w:tcPr>
            <w:tcW w:w="1559" w:type="dxa"/>
            <w:tcBorders>
              <w:top w:val="nil"/>
              <w:left w:val="nil"/>
              <w:bottom w:val="single" w:sz="4" w:space="0" w:color="auto"/>
              <w:right w:val="single" w:sz="4" w:space="0" w:color="auto"/>
            </w:tcBorders>
            <w:shd w:val="clear" w:color="000000" w:fill="FFFF99"/>
            <w:noWrap/>
            <w:vAlign w:val="bottom"/>
            <w:hideMark/>
          </w:tcPr>
          <w:p w14:paraId="1AEDA0A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240,00</w:t>
            </w:r>
          </w:p>
        </w:tc>
        <w:tc>
          <w:tcPr>
            <w:tcW w:w="1803" w:type="dxa"/>
            <w:tcBorders>
              <w:top w:val="nil"/>
              <w:left w:val="nil"/>
              <w:bottom w:val="single" w:sz="4" w:space="0" w:color="auto"/>
              <w:right w:val="single" w:sz="4" w:space="0" w:color="auto"/>
            </w:tcBorders>
            <w:shd w:val="clear" w:color="000000" w:fill="FFFF99"/>
            <w:noWrap/>
            <w:vAlign w:val="bottom"/>
            <w:hideMark/>
          </w:tcPr>
          <w:p w14:paraId="2937D81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1.700,00</w:t>
            </w:r>
          </w:p>
        </w:tc>
      </w:tr>
      <w:tr w:rsidR="00846ACC" w:rsidRPr="004974C0" w14:paraId="62F78DD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BD7957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88E6BF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AD1E71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719AFB7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1.200,00</w:t>
            </w:r>
          </w:p>
        </w:tc>
        <w:tc>
          <w:tcPr>
            <w:tcW w:w="1559" w:type="dxa"/>
            <w:tcBorders>
              <w:top w:val="nil"/>
              <w:left w:val="nil"/>
              <w:bottom w:val="single" w:sz="4" w:space="0" w:color="auto"/>
              <w:right w:val="single" w:sz="4" w:space="0" w:color="auto"/>
            </w:tcBorders>
            <w:shd w:val="clear" w:color="auto" w:fill="auto"/>
            <w:noWrap/>
            <w:vAlign w:val="bottom"/>
            <w:hideMark/>
          </w:tcPr>
          <w:p w14:paraId="61AE51E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240,00</w:t>
            </w:r>
          </w:p>
        </w:tc>
        <w:tc>
          <w:tcPr>
            <w:tcW w:w="1803" w:type="dxa"/>
            <w:tcBorders>
              <w:top w:val="nil"/>
              <w:left w:val="nil"/>
              <w:bottom w:val="single" w:sz="4" w:space="0" w:color="auto"/>
              <w:right w:val="single" w:sz="4" w:space="0" w:color="auto"/>
            </w:tcBorders>
            <w:shd w:val="clear" w:color="auto" w:fill="auto"/>
            <w:noWrap/>
            <w:vAlign w:val="bottom"/>
            <w:hideMark/>
          </w:tcPr>
          <w:p w14:paraId="7789225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1.700,00</w:t>
            </w:r>
          </w:p>
        </w:tc>
      </w:tr>
      <w:tr w:rsidR="00846ACC" w:rsidRPr="004974C0" w14:paraId="5BE2303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E096552"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980CA10"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CD4A86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454D09B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1.200,00</w:t>
            </w:r>
          </w:p>
        </w:tc>
        <w:tc>
          <w:tcPr>
            <w:tcW w:w="1559" w:type="dxa"/>
            <w:tcBorders>
              <w:top w:val="nil"/>
              <w:left w:val="nil"/>
              <w:bottom w:val="single" w:sz="4" w:space="0" w:color="auto"/>
              <w:right w:val="single" w:sz="4" w:space="0" w:color="auto"/>
            </w:tcBorders>
            <w:shd w:val="clear" w:color="auto" w:fill="auto"/>
            <w:noWrap/>
            <w:vAlign w:val="bottom"/>
            <w:hideMark/>
          </w:tcPr>
          <w:p w14:paraId="3779FE2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240,00</w:t>
            </w:r>
          </w:p>
        </w:tc>
        <w:tc>
          <w:tcPr>
            <w:tcW w:w="1803" w:type="dxa"/>
            <w:tcBorders>
              <w:top w:val="nil"/>
              <w:left w:val="nil"/>
              <w:bottom w:val="single" w:sz="4" w:space="0" w:color="auto"/>
              <w:right w:val="single" w:sz="4" w:space="0" w:color="auto"/>
            </w:tcBorders>
            <w:shd w:val="clear" w:color="auto" w:fill="auto"/>
            <w:noWrap/>
            <w:vAlign w:val="bottom"/>
            <w:hideMark/>
          </w:tcPr>
          <w:p w14:paraId="5E180E1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1.700,00</w:t>
            </w:r>
          </w:p>
        </w:tc>
      </w:tr>
      <w:tr w:rsidR="00846ACC" w:rsidRPr="004974C0" w14:paraId="4C64A5E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F61C63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A500002 Dani dječje radosti</w:t>
            </w:r>
          </w:p>
        </w:tc>
        <w:tc>
          <w:tcPr>
            <w:tcW w:w="1984" w:type="dxa"/>
            <w:tcBorders>
              <w:top w:val="nil"/>
              <w:left w:val="nil"/>
              <w:bottom w:val="single" w:sz="4" w:space="0" w:color="auto"/>
              <w:right w:val="single" w:sz="4" w:space="0" w:color="auto"/>
            </w:tcBorders>
            <w:shd w:val="clear" w:color="000000" w:fill="CCCCFF"/>
            <w:noWrap/>
            <w:vAlign w:val="bottom"/>
            <w:hideMark/>
          </w:tcPr>
          <w:p w14:paraId="34FD0F7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B46C42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12.000,00</w:t>
            </w:r>
          </w:p>
        </w:tc>
        <w:tc>
          <w:tcPr>
            <w:tcW w:w="1843" w:type="dxa"/>
            <w:tcBorders>
              <w:top w:val="nil"/>
              <w:left w:val="nil"/>
              <w:bottom w:val="single" w:sz="4" w:space="0" w:color="auto"/>
              <w:right w:val="single" w:sz="4" w:space="0" w:color="auto"/>
            </w:tcBorders>
            <w:shd w:val="clear" w:color="000000" w:fill="CCCCFF"/>
            <w:noWrap/>
            <w:vAlign w:val="bottom"/>
            <w:hideMark/>
          </w:tcPr>
          <w:p w14:paraId="14E1204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1B9F4E1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498347C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12.000,00</w:t>
            </w:r>
          </w:p>
        </w:tc>
      </w:tr>
      <w:tr w:rsidR="00846ACC" w:rsidRPr="004974C0" w14:paraId="4E107FE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C3E8E1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16DE51D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9F6692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12.000,00</w:t>
            </w:r>
          </w:p>
        </w:tc>
        <w:tc>
          <w:tcPr>
            <w:tcW w:w="1843" w:type="dxa"/>
            <w:tcBorders>
              <w:top w:val="nil"/>
              <w:left w:val="nil"/>
              <w:bottom w:val="single" w:sz="4" w:space="0" w:color="auto"/>
              <w:right w:val="single" w:sz="4" w:space="0" w:color="auto"/>
            </w:tcBorders>
            <w:shd w:val="clear" w:color="000000" w:fill="FFFF99"/>
            <w:noWrap/>
            <w:vAlign w:val="bottom"/>
            <w:hideMark/>
          </w:tcPr>
          <w:p w14:paraId="2D2C613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1A9A84B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34E19B5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12.000,00</w:t>
            </w:r>
          </w:p>
        </w:tc>
      </w:tr>
      <w:tr w:rsidR="00846ACC" w:rsidRPr="004974C0" w14:paraId="53FFD30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A07254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F2DA0E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483B4A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12.000,00</w:t>
            </w:r>
          </w:p>
        </w:tc>
        <w:tc>
          <w:tcPr>
            <w:tcW w:w="1843" w:type="dxa"/>
            <w:tcBorders>
              <w:top w:val="nil"/>
              <w:left w:val="nil"/>
              <w:bottom w:val="single" w:sz="4" w:space="0" w:color="auto"/>
              <w:right w:val="single" w:sz="4" w:space="0" w:color="auto"/>
            </w:tcBorders>
            <w:shd w:val="clear" w:color="auto" w:fill="auto"/>
            <w:noWrap/>
            <w:vAlign w:val="bottom"/>
            <w:hideMark/>
          </w:tcPr>
          <w:p w14:paraId="4BB5937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FE6928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B8EE54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12.000,00</w:t>
            </w:r>
          </w:p>
        </w:tc>
      </w:tr>
      <w:tr w:rsidR="00846ACC" w:rsidRPr="004974C0" w14:paraId="31A638A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84E95E6"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9D94570"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F49ABF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12.000,00</w:t>
            </w:r>
          </w:p>
        </w:tc>
        <w:tc>
          <w:tcPr>
            <w:tcW w:w="1843" w:type="dxa"/>
            <w:tcBorders>
              <w:top w:val="nil"/>
              <w:left w:val="nil"/>
              <w:bottom w:val="single" w:sz="4" w:space="0" w:color="auto"/>
              <w:right w:val="single" w:sz="4" w:space="0" w:color="auto"/>
            </w:tcBorders>
            <w:shd w:val="clear" w:color="auto" w:fill="auto"/>
            <w:noWrap/>
            <w:vAlign w:val="bottom"/>
            <w:hideMark/>
          </w:tcPr>
          <w:p w14:paraId="0856C0C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32E65E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60890C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12.000,00</w:t>
            </w:r>
          </w:p>
        </w:tc>
      </w:tr>
      <w:tr w:rsidR="00846ACC" w:rsidRPr="004974C0" w14:paraId="1692753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50D7FE7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A500003 Aktivnosti Zdravog grada</w:t>
            </w:r>
          </w:p>
        </w:tc>
        <w:tc>
          <w:tcPr>
            <w:tcW w:w="1984" w:type="dxa"/>
            <w:tcBorders>
              <w:top w:val="nil"/>
              <w:left w:val="nil"/>
              <w:bottom w:val="single" w:sz="4" w:space="0" w:color="auto"/>
              <w:right w:val="single" w:sz="4" w:space="0" w:color="auto"/>
            </w:tcBorders>
            <w:shd w:val="clear" w:color="000000" w:fill="CCCCFF"/>
            <w:noWrap/>
            <w:vAlign w:val="bottom"/>
            <w:hideMark/>
          </w:tcPr>
          <w:p w14:paraId="0948E92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4D2453A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32.500,00</w:t>
            </w:r>
          </w:p>
        </w:tc>
        <w:tc>
          <w:tcPr>
            <w:tcW w:w="1843" w:type="dxa"/>
            <w:tcBorders>
              <w:top w:val="nil"/>
              <w:left w:val="nil"/>
              <w:bottom w:val="single" w:sz="4" w:space="0" w:color="auto"/>
              <w:right w:val="single" w:sz="4" w:space="0" w:color="auto"/>
            </w:tcBorders>
            <w:shd w:val="clear" w:color="000000" w:fill="CCCCFF"/>
            <w:noWrap/>
            <w:vAlign w:val="bottom"/>
            <w:hideMark/>
          </w:tcPr>
          <w:p w14:paraId="05AB190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11.270,00</w:t>
            </w:r>
          </w:p>
        </w:tc>
        <w:tc>
          <w:tcPr>
            <w:tcW w:w="1559" w:type="dxa"/>
            <w:tcBorders>
              <w:top w:val="nil"/>
              <w:left w:val="nil"/>
              <w:bottom w:val="single" w:sz="4" w:space="0" w:color="auto"/>
              <w:right w:val="single" w:sz="4" w:space="0" w:color="auto"/>
            </w:tcBorders>
            <w:shd w:val="clear" w:color="000000" w:fill="CCCCFF"/>
            <w:noWrap/>
            <w:vAlign w:val="bottom"/>
            <w:hideMark/>
          </w:tcPr>
          <w:p w14:paraId="0FEABFD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34,68</w:t>
            </w:r>
          </w:p>
        </w:tc>
        <w:tc>
          <w:tcPr>
            <w:tcW w:w="1803" w:type="dxa"/>
            <w:tcBorders>
              <w:top w:val="nil"/>
              <w:left w:val="nil"/>
              <w:bottom w:val="single" w:sz="4" w:space="0" w:color="auto"/>
              <w:right w:val="single" w:sz="4" w:space="0" w:color="auto"/>
            </w:tcBorders>
            <w:shd w:val="clear" w:color="000000" w:fill="CCCCFF"/>
            <w:noWrap/>
            <w:vAlign w:val="bottom"/>
            <w:hideMark/>
          </w:tcPr>
          <w:p w14:paraId="3BCF30D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43.770,00</w:t>
            </w:r>
          </w:p>
        </w:tc>
      </w:tr>
      <w:tr w:rsidR="00846ACC" w:rsidRPr="004974C0" w14:paraId="61CBCD9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0BA86EA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57AA50D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BED17B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32.500,00</w:t>
            </w:r>
          </w:p>
        </w:tc>
        <w:tc>
          <w:tcPr>
            <w:tcW w:w="1843" w:type="dxa"/>
            <w:tcBorders>
              <w:top w:val="nil"/>
              <w:left w:val="nil"/>
              <w:bottom w:val="single" w:sz="4" w:space="0" w:color="auto"/>
              <w:right w:val="single" w:sz="4" w:space="0" w:color="auto"/>
            </w:tcBorders>
            <w:shd w:val="clear" w:color="000000" w:fill="FFFF99"/>
            <w:noWrap/>
            <w:vAlign w:val="bottom"/>
            <w:hideMark/>
          </w:tcPr>
          <w:p w14:paraId="11B36A6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11.270,00</w:t>
            </w:r>
          </w:p>
        </w:tc>
        <w:tc>
          <w:tcPr>
            <w:tcW w:w="1559" w:type="dxa"/>
            <w:tcBorders>
              <w:top w:val="nil"/>
              <w:left w:val="nil"/>
              <w:bottom w:val="single" w:sz="4" w:space="0" w:color="auto"/>
              <w:right w:val="single" w:sz="4" w:space="0" w:color="auto"/>
            </w:tcBorders>
            <w:shd w:val="clear" w:color="000000" w:fill="FFFF99"/>
            <w:noWrap/>
            <w:vAlign w:val="bottom"/>
            <w:hideMark/>
          </w:tcPr>
          <w:p w14:paraId="2B05974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34,68</w:t>
            </w:r>
          </w:p>
        </w:tc>
        <w:tc>
          <w:tcPr>
            <w:tcW w:w="1803" w:type="dxa"/>
            <w:tcBorders>
              <w:top w:val="nil"/>
              <w:left w:val="nil"/>
              <w:bottom w:val="single" w:sz="4" w:space="0" w:color="auto"/>
              <w:right w:val="single" w:sz="4" w:space="0" w:color="auto"/>
            </w:tcBorders>
            <w:shd w:val="clear" w:color="000000" w:fill="FFFF99"/>
            <w:noWrap/>
            <w:vAlign w:val="bottom"/>
            <w:hideMark/>
          </w:tcPr>
          <w:p w14:paraId="10888E6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43.770,00</w:t>
            </w:r>
          </w:p>
        </w:tc>
      </w:tr>
      <w:tr w:rsidR="00846ACC" w:rsidRPr="004974C0" w14:paraId="4A1B71F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29A572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60EF37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16A0380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32.500,00</w:t>
            </w:r>
          </w:p>
        </w:tc>
        <w:tc>
          <w:tcPr>
            <w:tcW w:w="1843" w:type="dxa"/>
            <w:tcBorders>
              <w:top w:val="nil"/>
              <w:left w:val="nil"/>
              <w:bottom w:val="single" w:sz="4" w:space="0" w:color="auto"/>
              <w:right w:val="single" w:sz="4" w:space="0" w:color="auto"/>
            </w:tcBorders>
            <w:shd w:val="clear" w:color="auto" w:fill="auto"/>
            <w:noWrap/>
            <w:vAlign w:val="bottom"/>
            <w:hideMark/>
          </w:tcPr>
          <w:p w14:paraId="1B92968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11.270,00</w:t>
            </w:r>
          </w:p>
        </w:tc>
        <w:tc>
          <w:tcPr>
            <w:tcW w:w="1559" w:type="dxa"/>
            <w:tcBorders>
              <w:top w:val="nil"/>
              <w:left w:val="nil"/>
              <w:bottom w:val="single" w:sz="4" w:space="0" w:color="auto"/>
              <w:right w:val="single" w:sz="4" w:space="0" w:color="auto"/>
            </w:tcBorders>
            <w:shd w:val="clear" w:color="auto" w:fill="auto"/>
            <w:noWrap/>
            <w:vAlign w:val="bottom"/>
            <w:hideMark/>
          </w:tcPr>
          <w:p w14:paraId="61A46F2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34,68</w:t>
            </w:r>
          </w:p>
        </w:tc>
        <w:tc>
          <w:tcPr>
            <w:tcW w:w="1803" w:type="dxa"/>
            <w:tcBorders>
              <w:top w:val="nil"/>
              <w:left w:val="nil"/>
              <w:bottom w:val="single" w:sz="4" w:space="0" w:color="auto"/>
              <w:right w:val="single" w:sz="4" w:space="0" w:color="auto"/>
            </w:tcBorders>
            <w:shd w:val="clear" w:color="auto" w:fill="auto"/>
            <w:noWrap/>
            <w:vAlign w:val="bottom"/>
            <w:hideMark/>
          </w:tcPr>
          <w:p w14:paraId="7C4A513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43.770,00</w:t>
            </w:r>
          </w:p>
        </w:tc>
      </w:tr>
      <w:tr w:rsidR="00846ACC" w:rsidRPr="004974C0" w14:paraId="28E9A62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9F004A6"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7EF07B5"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1807757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32.500,00</w:t>
            </w:r>
          </w:p>
        </w:tc>
        <w:tc>
          <w:tcPr>
            <w:tcW w:w="1843" w:type="dxa"/>
            <w:tcBorders>
              <w:top w:val="nil"/>
              <w:left w:val="nil"/>
              <w:bottom w:val="single" w:sz="4" w:space="0" w:color="auto"/>
              <w:right w:val="single" w:sz="4" w:space="0" w:color="auto"/>
            </w:tcBorders>
            <w:shd w:val="clear" w:color="auto" w:fill="auto"/>
            <w:noWrap/>
            <w:vAlign w:val="bottom"/>
            <w:hideMark/>
          </w:tcPr>
          <w:p w14:paraId="7131E70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11.270,00</w:t>
            </w:r>
          </w:p>
        </w:tc>
        <w:tc>
          <w:tcPr>
            <w:tcW w:w="1559" w:type="dxa"/>
            <w:tcBorders>
              <w:top w:val="nil"/>
              <w:left w:val="nil"/>
              <w:bottom w:val="single" w:sz="4" w:space="0" w:color="auto"/>
              <w:right w:val="single" w:sz="4" w:space="0" w:color="auto"/>
            </w:tcBorders>
            <w:shd w:val="clear" w:color="auto" w:fill="auto"/>
            <w:noWrap/>
            <w:vAlign w:val="bottom"/>
            <w:hideMark/>
          </w:tcPr>
          <w:p w14:paraId="2278524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34,68</w:t>
            </w:r>
          </w:p>
        </w:tc>
        <w:tc>
          <w:tcPr>
            <w:tcW w:w="1803" w:type="dxa"/>
            <w:tcBorders>
              <w:top w:val="nil"/>
              <w:left w:val="nil"/>
              <w:bottom w:val="single" w:sz="4" w:space="0" w:color="auto"/>
              <w:right w:val="single" w:sz="4" w:space="0" w:color="auto"/>
            </w:tcBorders>
            <w:shd w:val="clear" w:color="auto" w:fill="auto"/>
            <w:noWrap/>
            <w:vAlign w:val="bottom"/>
            <w:hideMark/>
          </w:tcPr>
          <w:p w14:paraId="7CFA49A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43.770,00</w:t>
            </w:r>
          </w:p>
        </w:tc>
      </w:tr>
      <w:tr w:rsidR="00846ACC" w:rsidRPr="004974C0" w14:paraId="1883613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0000FF"/>
            <w:noWrap/>
            <w:vAlign w:val="bottom"/>
            <w:hideMark/>
          </w:tcPr>
          <w:p w14:paraId="2696F4AA"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Glava 50002 PREDŠKOLSKI ODGOJ</w:t>
            </w:r>
          </w:p>
        </w:tc>
        <w:tc>
          <w:tcPr>
            <w:tcW w:w="1984" w:type="dxa"/>
            <w:tcBorders>
              <w:top w:val="nil"/>
              <w:left w:val="nil"/>
              <w:bottom w:val="single" w:sz="4" w:space="0" w:color="auto"/>
              <w:right w:val="single" w:sz="4" w:space="0" w:color="auto"/>
            </w:tcBorders>
            <w:shd w:val="clear" w:color="000000" w:fill="0000FF"/>
            <w:noWrap/>
            <w:vAlign w:val="bottom"/>
            <w:hideMark/>
          </w:tcPr>
          <w:p w14:paraId="0834EBD6"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0000FF"/>
            <w:noWrap/>
            <w:vAlign w:val="bottom"/>
            <w:hideMark/>
          </w:tcPr>
          <w:p w14:paraId="71482E8E"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3.593.217,00</w:t>
            </w:r>
          </w:p>
        </w:tc>
        <w:tc>
          <w:tcPr>
            <w:tcW w:w="1843" w:type="dxa"/>
            <w:tcBorders>
              <w:top w:val="nil"/>
              <w:left w:val="nil"/>
              <w:bottom w:val="single" w:sz="4" w:space="0" w:color="auto"/>
              <w:right w:val="single" w:sz="4" w:space="0" w:color="auto"/>
            </w:tcBorders>
            <w:shd w:val="clear" w:color="000000" w:fill="0000FF"/>
            <w:noWrap/>
            <w:vAlign w:val="bottom"/>
            <w:hideMark/>
          </w:tcPr>
          <w:p w14:paraId="792EF82A"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150.305,00</w:t>
            </w:r>
          </w:p>
        </w:tc>
        <w:tc>
          <w:tcPr>
            <w:tcW w:w="1559" w:type="dxa"/>
            <w:tcBorders>
              <w:top w:val="nil"/>
              <w:left w:val="nil"/>
              <w:bottom w:val="single" w:sz="4" w:space="0" w:color="auto"/>
              <w:right w:val="single" w:sz="4" w:space="0" w:color="auto"/>
            </w:tcBorders>
            <w:shd w:val="clear" w:color="000000" w:fill="0000FF"/>
            <w:noWrap/>
            <w:vAlign w:val="bottom"/>
            <w:hideMark/>
          </w:tcPr>
          <w:p w14:paraId="19F369C2"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4,18</w:t>
            </w:r>
          </w:p>
        </w:tc>
        <w:tc>
          <w:tcPr>
            <w:tcW w:w="1803" w:type="dxa"/>
            <w:tcBorders>
              <w:top w:val="nil"/>
              <w:left w:val="nil"/>
              <w:bottom w:val="single" w:sz="4" w:space="0" w:color="auto"/>
              <w:right w:val="single" w:sz="4" w:space="0" w:color="auto"/>
            </w:tcBorders>
            <w:shd w:val="clear" w:color="000000" w:fill="0000FF"/>
            <w:noWrap/>
            <w:vAlign w:val="bottom"/>
            <w:hideMark/>
          </w:tcPr>
          <w:p w14:paraId="2A2CECC1"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3.743.522,00</w:t>
            </w:r>
          </w:p>
        </w:tc>
      </w:tr>
      <w:tr w:rsidR="00846ACC" w:rsidRPr="004974C0" w14:paraId="40DC8B2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3366FF"/>
            <w:noWrap/>
            <w:vAlign w:val="bottom"/>
            <w:hideMark/>
          </w:tcPr>
          <w:p w14:paraId="033517D5"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Proračunski korisnik 35812 DJEČJI VRTIĆ PJERINA VERBANAC</w:t>
            </w:r>
          </w:p>
        </w:tc>
        <w:tc>
          <w:tcPr>
            <w:tcW w:w="1984" w:type="dxa"/>
            <w:tcBorders>
              <w:top w:val="nil"/>
              <w:left w:val="nil"/>
              <w:bottom w:val="single" w:sz="4" w:space="0" w:color="auto"/>
              <w:right w:val="single" w:sz="4" w:space="0" w:color="auto"/>
            </w:tcBorders>
            <w:shd w:val="clear" w:color="000000" w:fill="3366FF"/>
            <w:noWrap/>
            <w:vAlign w:val="bottom"/>
            <w:hideMark/>
          </w:tcPr>
          <w:p w14:paraId="26DFF73C"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3366FF"/>
            <w:noWrap/>
            <w:vAlign w:val="bottom"/>
            <w:hideMark/>
          </w:tcPr>
          <w:p w14:paraId="791C7CC2"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3.593.217,00</w:t>
            </w:r>
          </w:p>
        </w:tc>
        <w:tc>
          <w:tcPr>
            <w:tcW w:w="1843" w:type="dxa"/>
            <w:tcBorders>
              <w:top w:val="nil"/>
              <w:left w:val="nil"/>
              <w:bottom w:val="single" w:sz="4" w:space="0" w:color="auto"/>
              <w:right w:val="single" w:sz="4" w:space="0" w:color="auto"/>
            </w:tcBorders>
            <w:shd w:val="clear" w:color="000000" w:fill="3366FF"/>
            <w:noWrap/>
            <w:vAlign w:val="bottom"/>
            <w:hideMark/>
          </w:tcPr>
          <w:p w14:paraId="54EB05A7"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150.305,00</w:t>
            </w:r>
          </w:p>
        </w:tc>
        <w:tc>
          <w:tcPr>
            <w:tcW w:w="1559" w:type="dxa"/>
            <w:tcBorders>
              <w:top w:val="nil"/>
              <w:left w:val="nil"/>
              <w:bottom w:val="single" w:sz="4" w:space="0" w:color="auto"/>
              <w:right w:val="single" w:sz="4" w:space="0" w:color="auto"/>
            </w:tcBorders>
            <w:shd w:val="clear" w:color="000000" w:fill="3366FF"/>
            <w:noWrap/>
            <w:vAlign w:val="bottom"/>
            <w:hideMark/>
          </w:tcPr>
          <w:p w14:paraId="5744B627"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4,18</w:t>
            </w:r>
          </w:p>
        </w:tc>
        <w:tc>
          <w:tcPr>
            <w:tcW w:w="1803" w:type="dxa"/>
            <w:tcBorders>
              <w:top w:val="nil"/>
              <w:left w:val="nil"/>
              <w:bottom w:val="single" w:sz="4" w:space="0" w:color="auto"/>
              <w:right w:val="single" w:sz="4" w:space="0" w:color="auto"/>
            </w:tcBorders>
            <w:shd w:val="clear" w:color="000000" w:fill="3366FF"/>
            <w:noWrap/>
            <w:vAlign w:val="bottom"/>
            <w:hideMark/>
          </w:tcPr>
          <w:p w14:paraId="020CD1E2"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3.743.522,00</w:t>
            </w:r>
          </w:p>
        </w:tc>
      </w:tr>
      <w:tr w:rsidR="00846ACC" w:rsidRPr="004974C0" w14:paraId="4A01F2E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67D3AFB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3F08C7B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EE26ED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1.934.374,00</w:t>
            </w:r>
          </w:p>
        </w:tc>
        <w:tc>
          <w:tcPr>
            <w:tcW w:w="1843" w:type="dxa"/>
            <w:tcBorders>
              <w:top w:val="nil"/>
              <w:left w:val="nil"/>
              <w:bottom w:val="single" w:sz="4" w:space="0" w:color="auto"/>
              <w:right w:val="single" w:sz="4" w:space="0" w:color="auto"/>
            </w:tcBorders>
            <w:shd w:val="clear" w:color="000000" w:fill="FFFFFF"/>
            <w:noWrap/>
            <w:vAlign w:val="bottom"/>
            <w:hideMark/>
          </w:tcPr>
          <w:p w14:paraId="5FC383F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93.822,00</w:t>
            </w:r>
          </w:p>
        </w:tc>
        <w:tc>
          <w:tcPr>
            <w:tcW w:w="1559" w:type="dxa"/>
            <w:tcBorders>
              <w:top w:val="nil"/>
              <w:left w:val="nil"/>
              <w:bottom w:val="single" w:sz="4" w:space="0" w:color="auto"/>
              <w:right w:val="single" w:sz="4" w:space="0" w:color="auto"/>
            </w:tcBorders>
            <w:shd w:val="clear" w:color="000000" w:fill="FFFFFF"/>
            <w:noWrap/>
            <w:vAlign w:val="bottom"/>
            <w:hideMark/>
          </w:tcPr>
          <w:p w14:paraId="6AA9EA8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4,85</w:t>
            </w:r>
          </w:p>
        </w:tc>
        <w:tc>
          <w:tcPr>
            <w:tcW w:w="1803" w:type="dxa"/>
            <w:tcBorders>
              <w:top w:val="nil"/>
              <w:left w:val="nil"/>
              <w:bottom w:val="single" w:sz="4" w:space="0" w:color="auto"/>
              <w:right w:val="single" w:sz="4" w:space="0" w:color="auto"/>
            </w:tcBorders>
            <w:shd w:val="clear" w:color="000000" w:fill="FFFFFF"/>
            <w:noWrap/>
            <w:vAlign w:val="bottom"/>
            <w:hideMark/>
          </w:tcPr>
          <w:p w14:paraId="139804E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2.028.196,00</w:t>
            </w:r>
          </w:p>
        </w:tc>
      </w:tr>
      <w:tr w:rsidR="00846ACC" w:rsidRPr="004974C0" w14:paraId="66D0AC4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47D07CF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2456923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2833AE8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1.934.374,00</w:t>
            </w:r>
          </w:p>
        </w:tc>
        <w:tc>
          <w:tcPr>
            <w:tcW w:w="1843" w:type="dxa"/>
            <w:tcBorders>
              <w:top w:val="nil"/>
              <w:left w:val="nil"/>
              <w:bottom w:val="single" w:sz="4" w:space="0" w:color="auto"/>
              <w:right w:val="single" w:sz="4" w:space="0" w:color="auto"/>
            </w:tcBorders>
            <w:shd w:val="clear" w:color="000000" w:fill="FFFFFF"/>
            <w:noWrap/>
            <w:vAlign w:val="bottom"/>
            <w:hideMark/>
          </w:tcPr>
          <w:p w14:paraId="61BA6DF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93.822,00</w:t>
            </w:r>
          </w:p>
        </w:tc>
        <w:tc>
          <w:tcPr>
            <w:tcW w:w="1559" w:type="dxa"/>
            <w:tcBorders>
              <w:top w:val="nil"/>
              <w:left w:val="nil"/>
              <w:bottom w:val="single" w:sz="4" w:space="0" w:color="auto"/>
              <w:right w:val="single" w:sz="4" w:space="0" w:color="auto"/>
            </w:tcBorders>
            <w:shd w:val="clear" w:color="000000" w:fill="FFFFFF"/>
            <w:noWrap/>
            <w:vAlign w:val="bottom"/>
            <w:hideMark/>
          </w:tcPr>
          <w:p w14:paraId="481A8F0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4,85</w:t>
            </w:r>
          </w:p>
        </w:tc>
        <w:tc>
          <w:tcPr>
            <w:tcW w:w="1803" w:type="dxa"/>
            <w:tcBorders>
              <w:top w:val="nil"/>
              <w:left w:val="nil"/>
              <w:bottom w:val="single" w:sz="4" w:space="0" w:color="auto"/>
              <w:right w:val="single" w:sz="4" w:space="0" w:color="auto"/>
            </w:tcBorders>
            <w:shd w:val="clear" w:color="000000" w:fill="FFFFFF"/>
            <w:noWrap/>
            <w:vAlign w:val="bottom"/>
            <w:hideMark/>
          </w:tcPr>
          <w:p w14:paraId="3DEDCCA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2.028.196,00</w:t>
            </w:r>
          </w:p>
        </w:tc>
      </w:tr>
      <w:tr w:rsidR="00846ACC" w:rsidRPr="004974C0" w14:paraId="6400501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6E6D436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 VLASTITI PRIHODI</w:t>
            </w:r>
          </w:p>
        </w:tc>
        <w:tc>
          <w:tcPr>
            <w:tcW w:w="1984" w:type="dxa"/>
            <w:tcBorders>
              <w:top w:val="nil"/>
              <w:left w:val="nil"/>
              <w:bottom w:val="single" w:sz="4" w:space="0" w:color="auto"/>
              <w:right w:val="single" w:sz="4" w:space="0" w:color="auto"/>
            </w:tcBorders>
            <w:shd w:val="clear" w:color="000000" w:fill="FFFFFF"/>
            <w:noWrap/>
            <w:vAlign w:val="bottom"/>
            <w:hideMark/>
          </w:tcPr>
          <w:p w14:paraId="70BFC80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86A312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15.500,00</w:t>
            </w:r>
          </w:p>
        </w:tc>
        <w:tc>
          <w:tcPr>
            <w:tcW w:w="1843" w:type="dxa"/>
            <w:tcBorders>
              <w:top w:val="nil"/>
              <w:left w:val="nil"/>
              <w:bottom w:val="single" w:sz="4" w:space="0" w:color="auto"/>
              <w:right w:val="single" w:sz="4" w:space="0" w:color="auto"/>
            </w:tcBorders>
            <w:shd w:val="clear" w:color="000000" w:fill="FFFFFF"/>
            <w:noWrap/>
            <w:vAlign w:val="bottom"/>
            <w:hideMark/>
          </w:tcPr>
          <w:p w14:paraId="6CEB7E7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w:t>
            </w:r>
          </w:p>
        </w:tc>
        <w:tc>
          <w:tcPr>
            <w:tcW w:w="1559" w:type="dxa"/>
            <w:tcBorders>
              <w:top w:val="nil"/>
              <w:left w:val="nil"/>
              <w:bottom w:val="single" w:sz="4" w:space="0" w:color="auto"/>
              <w:right w:val="single" w:sz="4" w:space="0" w:color="auto"/>
            </w:tcBorders>
            <w:shd w:val="clear" w:color="000000" w:fill="FFFFFF"/>
            <w:noWrap/>
            <w:vAlign w:val="bottom"/>
            <w:hideMark/>
          </w:tcPr>
          <w:p w14:paraId="215EFC3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3,23</w:t>
            </w:r>
          </w:p>
        </w:tc>
        <w:tc>
          <w:tcPr>
            <w:tcW w:w="1803" w:type="dxa"/>
            <w:tcBorders>
              <w:top w:val="nil"/>
              <w:left w:val="nil"/>
              <w:bottom w:val="single" w:sz="4" w:space="0" w:color="auto"/>
              <w:right w:val="single" w:sz="4" w:space="0" w:color="auto"/>
            </w:tcBorders>
            <w:shd w:val="clear" w:color="000000" w:fill="FFFFFF"/>
            <w:noWrap/>
            <w:vAlign w:val="bottom"/>
            <w:hideMark/>
          </w:tcPr>
          <w:p w14:paraId="53FE75F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16.000,00</w:t>
            </w:r>
          </w:p>
        </w:tc>
      </w:tr>
      <w:tr w:rsidR="00846ACC" w:rsidRPr="004974C0" w14:paraId="3F559F3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7B0E11A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3.9. VLASTITI PRIHODI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65C8C29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1DEAD5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15.500,00</w:t>
            </w:r>
          </w:p>
        </w:tc>
        <w:tc>
          <w:tcPr>
            <w:tcW w:w="1843" w:type="dxa"/>
            <w:tcBorders>
              <w:top w:val="nil"/>
              <w:left w:val="nil"/>
              <w:bottom w:val="single" w:sz="4" w:space="0" w:color="auto"/>
              <w:right w:val="single" w:sz="4" w:space="0" w:color="auto"/>
            </w:tcBorders>
            <w:shd w:val="clear" w:color="000000" w:fill="FFFFFF"/>
            <w:noWrap/>
            <w:vAlign w:val="bottom"/>
            <w:hideMark/>
          </w:tcPr>
          <w:p w14:paraId="36ABE3A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w:t>
            </w:r>
          </w:p>
        </w:tc>
        <w:tc>
          <w:tcPr>
            <w:tcW w:w="1559" w:type="dxa"/>
            <w:tcBorders>
              <w:top w:val="nil"/>
              <w:left w:val="nil"/>
              <w:bottom w:val="single" w:sz="4" w:space="0" w:color="auto"/>
              <w:right w:val="single" w:sz="4" w:space="0" w:color="auto"/>
            </w:tcBorders>
            <w:shd w:val="clear" w:color="000000" w:fill="FFFFFF"/>
            <w:noWrap/>
            <w:vAlign w:val="bottom"/>
            <w:hideMark/>
          </w:tcPr>
          <w:p w14:paraId="7B4A493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3,23</w:t>
            </w:r>
          </w:p>
        </w:tc>
        <w:tc>
          <w:tcPr>
            <w:tcW w:w="1803" w:type="dxa"/>
            <w:tcBorders>
              <w:top w:val="nil"/>
              <w:left w:val="nil"/>
              <w:bottom w:val="single" w:sz="4" w:space="0" w:color="auto"/>
              <w:right w:val="single" w:sz="4" w:space="0" w:color="auto"/>
            </w:tcBorders>
            <w:shd w:val="clear" w:color="000000" w:fill="FFFFFF"/>
            <w:noWrap/>
            <w:vAlign w:val="bottom"/>
            <w:hideMark/>
          </w:tcPr>
          <w:p w14:paraId="6BE806B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16.000,00</w:t>
            </w:r>
          </w:p>
        </w:tc>
      </w:tr>
      <w:tr w:rsidR="00846ACC" w:rsidRPr="004974C0" w14:paraId="1DDCB4F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2CA2F5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 PRIHODI ZA POSEBNE NAMJENE</w:t>
            </w:r>
          </w:p>
        </w:tc>
        <w:tc>
          <w:tcPr>
            <w:tcW w:w="1984" w:type="dxa"/>
            <w:tcBorders>
              <w:top w:val="nil"/>
              <w:left w:val="nil"/>
              <w:bottom w:val="single" w:sz="4" w:space="0" w:color="auto"/>
              <w:right w:val="single" w:sz="4" w:space="0" w:color="auto"/>
            </w:tcBorders>
            <w:shd w:val="clear" w:color="000000" w:fill="FFFFFF"/>
            <w:noWrap/>
            <w:vAlign w:val="bottom"/>
            <w:hideMark/>
          </w:tcPr>
          <w:p w14:paraId="3186EA1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FCEFA6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590.000,00</w:t>
            </w:r>
          </w:p>
        </w:tc>
        <w:tc>
          <w:tcPr>
            <w:tcW w:w="1843" w:type="dxa"/>
            <w:tcBorders>
              <w:top w:val="nil"/>
              <w:left w:val="nil"/>
              <w:bottom w:val="single" w:sz="4" w:space="0" w:color="auto"/>
              <w:right w:val="single" w:sz="4" w:space="0" w:color="auto"/>
            </w:tcBorders>
            <w:shd w:val="clear" w:color="000000" w:fill="FFFFFF"/>
            <w:noWrap/>
            <w:vAlign w:val="bottom"/>
            <w:hideMark/>
          </w:tcPr>
          <w:p w14:paraId="6269F66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564,00</w:t>
            </w:r>
          </w:p>
        </w:tc>
        <w:tc>
          <w:tcPr>
            <w:tcW w:w="1559" w:type="dxa"/>
            <w:tcBorders>
              <w:top w:val="nil"/>
              <w:left w:val="nil"/>
              <w:bottom w:val="single" w:sz="4" w:space="0" w:color="auto"/>
              <w:right w:val="single" w:sz="4" w:space="0" w:color="auto"/>
            </w:tcBorders>
            <w:shd w:val="clear" w:color="000000" w:fill="FFFFFF"/>
            <w:noWrap/>
            <w:vAlign w:val="bottom"/>
            <w:hideMark/>
          </w:tcPr>
          <w:p w14:paraId="161F6A6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0,10</w:t>
            </w:r>
          </w:p>
        </w:tc>
        <w:tc>
          <w:tcPr>
            <w:tcW w:w="1803" w:type="dxa"/>
            <w:tcBorders>
              <w:top w:val="nil"/>
              <w:left w:val="nil"/>
              <w:bottom w:val="single" w:sz="4" w:space="0" w:color="auto"/>
              <w:right w:val="single" w:sz="4" w:space="0" w:color="auto"/>
            </w:tcBorders>
            <w:shd w:val="clear" w:color="000000" w:fill="FFFFFF"/>
            <w:noWrap/>
            <w:vAlign w:val="bottom"/>
            <w:hideMark/>
          </w:tcPr>
          <w:p w14:paraId="4E408FE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590.564,00</w:t>
            </w:r>
          </w:p>
        </w:tc>
      </w:tr>
      <w:tr w:rsidR="00846ACC" w:rsidRPr="004974C0" w14:paraId="417F15D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717DFE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4.9. 4.PRIHODI ZA POSEBNE NAMJENE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29F51E7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B9DD57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590.000,00</w:t>
            </w:r>
          </w:p>
        </w:tc>
        <w:tc>
          <w:tcPr>
            <w:tcW w:w="1843" w:type="dxa"/>
            <w:tcBorders>
              <w:top w:val="nil"/>
              <w:left w:val="nil"/>
              <w:bottom w:val="single" w:sz="4" w:space="0" w:color="auto"/>
              <w:right w:val="single" w:sz="4" w:space="0" w:color="auto"/>
            </w:tcBorders>
            <w:shd w:val="clear" w:color="000000" w:fill="FFFFFF"/>
            <w:noWrap/>
            <w:vAlign w:val="bottom"/>
            <w:hideMark/>
          </w:tcPr>
          <w:p w14:paraId="31138FE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564,00</w:t>
            </w:r>
          </w:p>
        </w:tc>
        <w:tc>
          <w:tcPr>
            <w:tcW w:w="1559" w:type="dxa"/>
            <w:tcBorders>
              <w:top w:val="nil"/>
              <w:left w:val="nil"/>
              <w:bottom w:val="single" w:sz="4" w:space="0" w:color="auto"/>
              <w:right w:val="single" w:sz="4" w:space="0" w:color="auto"/>
            </w:tcBorders>
            <w:shd w:val="clear" w:color="000000" w:fill="FFFFFF"/>
            <w:noWrap/>
            <w:vAlign w:val="bottom"/>
            <w:hideMark/>
          </w:tcPr>
          <w:p w14:paraId="5684379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0,10</w:t>
            </w:r>
          </w:p>
        </w:tc>
        <w:tc>
          <w:tcPr>
            <w:tcW w:w="1803" w:type="dxa"/>
            <w:tcBorders>
              <w:top w:val="nil"/>
              <w:left w:val="nil"/>
              <w:bottom w:val="single" w:sz="4" w:space="0" w:color="auto"/>
              <w:right w:val="single" w:sz="4" w:space="0" w:color="auto"/>
            </w:tcBorders>
            <w:shd w:val="clear" w:color="000000" w:fill="FFFFFF"/>
            <w:noWrap/>
            <w:vAlign w:val="bottom"/>
            <w:hideMark/>
          </w:tcPr>
          <w:p w14:paraId="29551E7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590.564,00</w:t>
            </w:r>
          </w:p>
        </w:tc>
      </w:tr>
      <w:tr w:rsidR="00846ACC" w:rsidRPr="004974C0" w14:paraId="3A951CB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4376E6E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 POMOĆI</w:t>
            </w:r>
          </w:p>
        </w:tc>
        <w:tc>
          <w:tcPr>
            <w:tcW w:w="1984" w:type="dxa"/>
            <w:tcBorders>
              <w:top w:val="nil"/>
              <w:left w:val="nil"/>
              <w:bottom w:val="single" w:sz="4" w:space="0" w:color="auto"/>
              <w:right w:val="single" w:sz="4" w:space="0" w:color="auto"/>
            </w:tcBorders>
            <w:shd w:val="clear" w:color="000000" w:fill="FFFFFF"/>
            <w:noWrap/>
            <w:vAlign w:val="bottom"/>
            <w:hideMark/>
          </w:tcPr>
          <w:p w14:paraId="4384EC0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D60C18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1.049.343,00</w:t>
            </w:r>
          </w:p>
        </w:tc>
        <w:tc>
          <w:tcPr>
            <w:tcW w:w="1843" w:type="dxa"/>
            <w:tcBorders>
              <w:top w:val="nil"/>
              <w:left w:val="nil"/>
              <w:bottom w:val="single" w:sz="4" w:space="0" w:color="auto"/>
              <w:right w:val="single" w:sz="4" w:space="0" w:color="auto"/>
            </w:tcBorders>
            <w:shd w:val="clear" w:color="000000" w:fill="FFFFFF"/>
            <w:noWrap/>
            <w:vAlign w:val="bottom"/>
            <w:hideMark/>
          </w:tcPr>
          <w:p w14:paraId="63EC6BB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52.419,00</w:t>
            </w:r>
          </w:p>
        </w:tc>
        <w:tc>
          <w:tcPr>
            <w:tcW w:w="1559" w:type="dxa"/>
            <w:tcBorders>
              <w:top w:val="nil"/>
              <w:left w:val="nil"/>
              <w:bottom w:val="single" w:sz="4" w:space="0" w:color="auto"/>
              <w:right w:val="single" w:sz="4" w:space="0" w:color="auto"/>
            </w:tcBorders>
            <w:shd w:val="clear" w:color="000000" w:fill="FFFFFF"/>
            <w:noWrap/>
            <w:vAlign w:val="bottom"/>
            <w:hideMark/>
          </w:tcPr>
          <w:p w14:paraId="7FEC72D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w:t>
            </w:r>
          </w:p>
        </w:tc>
        <w:tc>
          <w:tcPr>
            <w:tcW w:w="1803" w:type="dxa"/>
            <w:tcBorders>
              <w:top w:val="nil"/>
              <w:left w:val="nil"/>
              <w:bottom w:val="single" w:sz="4" w:space="0" w:color="auto"/>
              <w:right w:val="single" w:sz="4" w:space="0" w:color="auto"/>
            </w:tcBorders>
            <w:shd w:val="clear" w:color="000000" w:fill="FFFFFF"/>
            <w:noWrap/>
            <w:vAlign w:val="bottom"/>
            <w:hideMark/>
          </w:tcPr>
          <w:p w14:paraId="2CFE808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1.101.762,00</w:t>
            </w:r>
          </w:p>
        </w:tc>
      </w:tr>
      <w:tr w:rsidR="00846ACC" w:rsidRPr="004974C0" w14:paraId="1436132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057AC33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5.4. POMOĆI IZ DRŽAVNOG PRORAČUNA</w:t>
            </w:r>
          </w:p>
        </w:tc>
        <w:tc>
          <w:tcPr>
            <w:tcW w:w="1984" w:type="dxa"/>
            <w:tcBorders>
              <w:top w:val="nil"/>
              <w:left w:val="nil"/>
              <w:bottom w:val="single" w:sz="4" w:space="0" w:color="auto"/>
              <w:right w:val="single" w:sz="4" w:space="0" w:color="auto"/>
            </w:tcBorders>
            <w:shd w:val="clear" w:color="000000" w:fill="FFFFFF"/>
            <w:noWrap/>
            <w:vAlign w:val="bottom"/>
            <w:hideMark/>
          </w:tcPr>
          <w:p w14:paraId="519FD3B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B892EC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66.362,00</w:t>
            </w:r>
          </w:p>
        </w:tc>
        <w:tc>
          <w:tcPr>
            <w:tcW w:w="1843" w:type="dxa"/>
            <w:tcBorders>
              <w:top w:val="nil"/>
              <w:left w:val="nil"/>
              <w:bottom w:val="single" w:sz="4" w:space="0" w:color="auto"/>
              <w:right w:val="single" w:sz="4" w:space="0" w:color="auto"/>
            </w:tcBorders>
            <w:shd w:val="clear" w:color="000000" w:fill="FFFFFF"/>
            <w:noWrap/>
            <w:vAlign w:val="bottom"/>
            <w:hideMark/>
          </w:tcPr>
          <w:p w14:paraId="58D45D5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660D8C6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30CF1A7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66.362,00</w:t>
            </w:r>
          </w:p>
        </w:tc>
      </w:tr>
      <w:tr w:rsidR="00846ACC" w:rsidRPr="004974C0" w14:paraId="3149080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798A930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FF"/>
            <w:noWrap/>
            <w:vAlign w:val="bottom"/>
            <w:hideMark/>
          </w:tcPr>
          <w:p w14:paraId="5437E3D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F2C76A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982.981,00</w:t>
            </w:r>
          </w:p>
        </w:tc>
        <w:tc>
          <w:tcPr>
            <w:tcW w:w="1843" w:type="dxa"/>
            <w:tcBorders>
              <w:top w:val="nil"/>
              <w:left w:val="nil"/>
              <w:bottom w:val="single" w:sz="4" w:space="0" w:color="auto"/>
              <w:right w:val="single" w:sz="4" w:space="0" w:color="auto"/>
            </w:tcBorders>
            <w:shd w:val="clear" w:color="000000" w:fill="FFFFFF"/>
            <w:noWrap/>
            <w:vAlign w:val="bottom"/>
            <w:hideMark/>
          </w:tcPr>
          <w:p w14:paraId="67D11D2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52.419,00</w:t>
            </w:r>
          </w:p>
        </w:tc>
        <w:tc>
          <w:tcPr>
            <w:tcW w:w="1559" w:type="dxa"/>
            <w:tcBorders>
              <w:top w:val="nil"/>
              <w:left w:val="nil"/>
              <w:bottom w:val="single" w:sz="4" w:space="0" w:color="auto"/>
              <w:right w:val="single" w:sz="4" w:space="0" w:color="auto"/>
            </w:tcBorders>
            <w:shd w:val="clear" w:color="000000" w:fill="FFFFFF"/>
            <w:noWrap/>
            <w:vAlign w:val="bottom"/>
            <w:hideMark/>
          </w:tcPr>
          <w:p w14:paraId="5C57CFB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5,33</w:t>
            </w:r>
          </w:p>
        </w:tc>
        <w:tc>
          <w:tcPr>
            <w:tcW w:w="1803" w:type="dxa"/>
            <w:tcBorders>
              <w:top w:val="nil"/>
              <w:left w:val="nil"/>
              <w:bottom w:val="single" w:sz="4" w:space="0" w:color="auto"/>
              <w:right w:val="single" w:sz="4" w:space="0" w:color="auto"/>
            </w:tcBorders>
            <w:shd w:val="clear" w:color="000000" w:fill="FFFFFF"/>
            <w:noWrap/>
            <w:vAlign w:val="bottom"/>
            <w:hideMark/>
          </w:tcPr>
          <w:p w14:paraId="2FC8469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1.035.400,00</w:t>
            </w:r>
          </w:p>
        </w:tc>
      </w:tr>
      <w:tr w:rsidR="00846ACC" w:rsidRPr="004974C0" w14:paraId="3767D52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9C5504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 DONACIJE</w:t>
            </w:r>
          </w:p>
        </w:tc>
        <w:tc>
          <w:tcPr>
            <w:tcW w:w="1984" w:type="dxa"/>
            <w:tcBorders>
              <w:top w:val="nil"/>
              <w:left w:val="nil"/>
              <w:bottom w:val="single" w:sz="4" w:space="0" w:color="auto"/>
              <w:right w:val="single" w:sz="4" w:space="0" w:color="auto"/>
            </w:tcBorders>
            <w:shd w:val="clear" w:color="000000" w:fill="FFFFFF"/>
            <w:noWrap/>
            <w:vAlign w:val="bottom"/>
            <w:hideMark/>
          </w:tcPr>
          <w:p w14:paraId="01A590E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7B5CBD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843" w:type="dxa"/>
            <w:tcBorders>
              <w:top w:val="nil"/>
              <w:left w:val="nil"/>
              <w:bottom w:val="single" w:sz="4" w:space="0" w:color="auto"/>
              <w:right w:val="single" w:sz="4" w:space="0" w:color="auto"/>
            </w:tcBorders>
            <w:shd w:val="clear" w:color="000000" w:fill="FFFFFF"/>
            <w:noWrap/>
            <w:vAlign w:val="bottom"/>
            <w:hideMark/>
          </w:tcPr>
          <w:p w14:paraId="24598E4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559" w:type="dxa"/>
            <w:tcBorders>
              <w:top w:val="nil"/>
              <w:left w:val="nil"/>
              <w:bottom w:val="single" w:sz="4" w:space="0" w:color="auto"/>
              <w:right w:val="single" w:sz="4" w:space="0" w:color="auto"/>
            </w:tcBorders>
            <w:shd w:val="clear" w:color="000000" w:fill="FFFFFF"/>
            <w:noWrap/>
            <w:vAlign w:val="bottom"/>
            <w:hideMark/>
          </w:tcPr>
          <w:p w14:paraId="1AB3642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w:t>
            </w:r>
          </w:p>
        </w:tc>
        <w:tc>
          <w:tcPr>
            <w:tcW w:w="1803" w:type="dxa"/>
            <w:tcBorders>
              <w:top w:val="nil"/>
              <w:left w:val="nil"/>
              <w:bottom w:val="single" w:sz="4" w:space="0" w:color="auto"/>
              <w:right w:val="single" w:sz="4" w:space="0" w:color="auto"/>
            </w:tcBorders>
            <w:shd w:val="clear" w:color="000000" w:fill="FFFFFF"/>
            <w:noWrap/>
            <w:vAlign w:val="bottom"/>
            <w:hideMark/>
          </w:tcPr>
          <w:p w14:paraId="6F15EE6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r>
      <w:tr w:rsidR="00846ACC" w:rsidRPr="004974C0" w14:paraId="356E398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256872F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6.9. 6.DONACIJE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330F19A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5576CF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843" w:type="dxa"/>
            <w:tcBorders>
              <w:top w:val="nil"/>
              <w:left w:val="nil"/>
              <w:bottom w:val="single" w:sz="4" w:space="0" w:color="auto"/>
              <w:right w:val="single" w:sz="4" w:space="0" w:color="auto"/>
            </w:tcBorders>
            <w:shd w:val="clear" w:color="000000" w:fill="FFFFFF"/>
            <w:noWrap/>
            <w:vAlign w:val="bottom"/>
            <w:hideMark/>
          </w:tcPr>
          <w:p w14:paraId="65FCF98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559" w:type="dxa"/>
            <w:tcBorders>
              <w:top w:val="nil"/>
              <w:left w:val="nil"/>
              <w:bottom w:val="single" w:sz="4" w:space="0" w:color="auto"/>
              <w:right w:val="single" w:sz="4" w:space="0" w:color="auto"/>
            </w:tcBorders>
            <w:shd w:val="clear" w:color="000000" w:fill="FFFFFF"/>
            <w:noWrap/>
            <w:vAlign w:val="bottom"/>
            <w:hideMark/>
          </w:tcPr>
          <w:p w14:paraId="34FDA52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w:t>
            </w:r>
          </w:p>
        </w:tc>
        <w:tc>
          <w:tcPr>
            <w:tcW w:w="1803" w:type="dxa"/>
            <w:tcBorders>
              <w:top w:val="nil"/>
              <w:left w:val="nil"/>
              <w:bottom w:val="single" w:sz="4" w:space="0" w:color="auto"/>
              <w:right w:val="single" w:sz="4" w:space="0" w:color="auto"/>
            </w:tcBorders>
            <w:shd w:val="clear" w:color="000000" w:fill="FFFFFF"/>
            <w:noWrap/>
            <w:vAlign w:val="bottom"/>
            <w:hideMark/>
          </w:tcPr>
          <w:p w14:paraId="01B5C5B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r>
      <w:tr w:rsidR="00846ACC" w:rsidRPr="004974C0" w14:paraId="0F27D15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60A186D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 PRIHODI OD NEFINANCIJSKE IMOVINE</w:t>
            </w:r>
          </w:p>
        </w:tc>
        <w:tc>
          <w:tcPr>
            <w:tcW w:w="1984" w:type="dxa"/>
            <w:tcBorders>
              <w:top w:val="nil"/>
              <w:left w:val="nil"/>
              <w:bottom w:val="single" w:sz="4" w:space="0" w:color="auto"/>
              <w:right w:val="single" w:sz="4" w:space="0" w:color="auto"/>
            </w:tcBorders>
            <w:shd w:val="clear" w:color="000000" w:fill="FFFFFF"/>
            <w:noWrap/>
            <w:vAlign w:val="bottom"/>
            <w:hideMark/>
          </w:tcPr>
          <w:p w14:paraId="2FBE1F8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2BCC2D7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843" w:type="dxa"/>
            <w:tcBorders>
              <w:top w:val="nil"/>
              <w:left w:val="nil"/>
              <w:bottom w:val="single" w:sz="4" w:space="0" w:color="auto"/>
              <w:right w:val="single" w:sz="4" w:space="0" w:color="auto"/>
            </w:tcBorders>
            <w:shd w:val="clear" w:color="000000" w:fill="FFFFFF"/>
            <w:noWrap/>
            <w:vAlign w:val="bottom"/>
            <w:hideMark/>
          </w:tcPr>
          <w:p w14:paraId="52F953F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4217493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1260304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r>
      <w:tr w:rsidR="00846ACC" w:rsidRPr="004974C0" w14:paraId="0E4FE37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05975C3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7.9. 7.PRIHODI OD NAKNADA ŠTETA S OSN.OSIGUR.-PRIH.KOR.</w:t>
            </w:r>
          </w:p>
        </w:tc>
        <w:tc>
          <w:tcPr>
            <w:tcW w:w="1984" w:type="dxa"/>
            <w:tcBorders>
              <w:top w:val="nil"/>
              <w:left w:val="nil"/>
              <w:bottom w:val="single" w:sz="4" w:space="0" w:color="auto"/>
              <w:right w:val="single" w:sz="4" w:space="0" w:color="auto"/>
            </w:tcBorders>
            <w:shd w:val="clear" w:color="000000" w:fill="FFFFFF"/>
            <w:noWrap/>
            <w:vAlign w:val="bottom"/>
            <w:hideMark/>
          </w:tcPr>
          <w:p w14:paraId="1AB865E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2F29CE7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843" w:type="dxa"/>
            <w:tcBorders>
              <w:top w:val="nil"/>
              <w:left w:val="nil"/>
              <w:bottom w:val="single" w:sz="4" w:space="0" w:color="auto"/>
              <w:right w:val="single" w:sz="4" w:space="0" w:color="auto"/>
            </w:tcBorders>
            <w:shd w:val="clear" w:color="000000" w:fill="FFFFFF"/>
            <w:noWrap/>
            <w:vAlign w:val="bottom"/>
            <w:hideMark/>
          </w:tcPr>
          <w:p w14:paraId="71E2A7F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1F5358F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5B88130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r>
      <w:tr w:rsidR="00846ACC" w:rsidRPr="004974C0" w14:paraId="56504A5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29D53A5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5001 Predškolski odgoj</w:t>
            </w:r>
          </w:p>
        </w:tc>
        <w:tc>
          <w:tcPr>
            <w:tcW w:w="1984" w:type="dxa"/>
            <w:tcBorders>
              <w:top w:val="nil"/>
              <w:left w:val="nil"/>
              <w:bottom w:val="single" w:sz="4" w:space="0" w:color="auto"/>
              <w:right w:val="single" w:sz="4" w:space="0" w:color="auto"/>
            </w:tcBorders>
            <w:shd w:val="clear" w:color="000000" w:fill="9999FF"/>
            <w:noWrap/>
            <w:vAlign w:val="bottom"/>
            <w:hideMark/>
          </w:tcPr>
          <w:p w14:paraId="742C291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5D306EF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3.593.217,00</w:t>
            </w:r>
          </w:p>
        </w:tc>
        <w:tc>
          <w:tcPr>
            <w:tcW w:w="1843" w:type="dxa"/>
            <w:tcBorders>
              <w:top w:val="nil"/>
              <w:left w:val="nil"/>
              <w:bottom w:val="single" w:sz="4" w:space="0" w:color="auto"/>
              <w:right w:val="single" w:sz="4" w:space="0" w:color="auto"/>
            </w:tcBorders>
            <w:shd w:val="clear" w:color="000000" w:fill="9999FF"/>
            <w:noWrap/>
            <w:vAlign w:val="bottom"/>
            <w:hideMark/>
          </w:tcPr>
          <w:p w14:paraId="261E6C2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150.305,00</w:t>
            </w:r>
          </w:p>
        </w:tc>
        <w:tc>
          <w:tcPr>
            <w:tcW w:w="1559" w:type="dxa"/>
            <w:tcBorders>
              <w:top w:val="nil"/>
              <w:left w:val="nil"/>
              <w:bottom w:val="single" w:sz="4" w:space="0" w:color="auto"/>
              <w:right w:val="single" w:sz="4" w:space="0" w:color="auto"/>
            </w:tcBorders>
            <w:shd w:val="clear" w:color="000000" w:fill="9999FF"/>
            <w:noWrap/>
            <w:vAlign w:val="bottom"/>
            <w:hideMark/>
          </w:tcPr>
          <w:p w14:paraId="7826D26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4,18</w:t>
            </w:r>
          </w:p>
        </w:tc>
        <w:tc>
          <w:tcPr>
            <w:tcW w:w="1803" w:type="dxa"/>
            <w:tcBorders>
              <w:top w:val="nil"/>
              <w:left w:val="nil"/>
              <w:bottom w:val="single" w:sz="4" w:space="0" w:color="auto"/>
              <w:right w:val="single" w:sz="4" w:space="0" w:color="auto"/>
            </w:tcBorders>
            <w:shd w:val="clear" w:color="000000" w:fill="9999FF"/>
            <w:noWrap/>
            <w:vAlign w:val="bottom"/>
            <w:hideMark/>
          </w:tcPr>
          <w:p w14:paraId="04629DE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3.743.522,00</w:t>
            </w:r>
          </w:p>
        </w:tc>
      </w:tr>
      <w:tr w:rsidR="00846ACC" w:rsidRPr="004974C0" w14:paraId="5AD2352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6141820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Aktivnost A500002 Odgojno, administrativno i tehničko osoblje</w:t>
            </w:r>
          </w:p>
        </w:tc>
        <w:tc>
          <w:tcPr>
            <w:tcW w:w="1984" w:type="dxa"/>
            <w:tcBorders>
              <w:top w:val="nil"/>
              <w:left w:val="nil"/>
              <w:bottom w:val="single" w:sz="4" w:space="0" w:color="auto"/>
              <w:right w:val="single" w:sz="4" w:space="0" w:color="auto"/>
            </w:tcBorders>
            <w:shd w:val="clear" w:color="000000" w:fill="CCCCFF"/>
            <w:noWrap/>
            <w:vAlign w:val="bottom"/>
            <w:hideMark/>
          </w:tcPr>
          <w:p w14:paraId="2926929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47D1DC2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3.571.217,00</w:t>
            </w:r>
          </w:p>
        </w:tc>
        <w:tc>
          <w:tcPr>
            <w:tcW w:w="1843" w:type="dxa"/>
            <w:tcBorders>
              <w:top w:val="nil"/>
              <w:left w:val="nil"/>
              <w:bottom w:val="single" w:sz="4" w:space="0" w:color="auto"/>
              <w:right w:val="single" w:sz="4" w:space="0" w:color="auto"/>
            </w:tcBorders>
            <w:shd w:val="clear" w:color="000000" w:fill="CCCCFF"/>
            <w:noWrap/>
            <w:vAlign w:val="bottom"/>
            <w:hideMark/>
          </w:tcPr>
          <w:p w14:paraId="58F8B53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143.273,00</w:t>
            </w:r>
          </w:p>
        </w:tc>
        <w:tc>
          <w:tcPr>
            <w:tcW w:w="1559" w:type="dxa"/>
            <w:tcBorders>
              <w:top w:val="nil"/>
              <w:left w:val="nil"/>
              <w:bottom w:val="single" w:sz="4" w:space="0" w:color="auto"/>
              <w:right w:val="single" w:sz="4" w:space="0" w:color="auto"/>
            </w:tcBorders>
            <w:shd w:val="clear" w:color="000000" w:fill="CCCCFF"/>
            <w:noWrap/>
            <w:vAlign w:val="bottom"/>
            <w:hideMark/>
          </w:tcPr>
          <w:p w14:paraId="584BE28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4,01</w:t>
            </w:r>
          </w:p>
        </w:tc>
        <w:tc>
          <w:tcPr>
            <w:tcW w:w="1803" w:type="dxa"/>
            <w:tcBorders>
              <w:top w:val="nil"/>
              <w:left w:val="nil"/>
              <w:bottom w:val="single" w:sz="4" w:space="0" w:color="auto"/>
              <w:right w:val="single" w:sz="4" w:space="0" w:color="auto"/>
            </w:tcBorders>
            <w:shd w:val="clear" w:color="000000" w:fill="CCCCFF"/>
            <w:noWrap/>
            <w:vAlign w:val="bottom"/>
            <w:hideMark/>
          </w:tcPr>
          <w:p w14:paraId="723E4B0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3.714.490,00</w:t>
            </w:r>
          </w:p>
        </w:tc>
      </w:tr>
      <w:tr w:rsidR="00846ACC" w:rsidRPr="004974C0" w14:paraId="27E1F4D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D4DBD5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3A6641F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FFEA9B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1.934.374,00</w:t>
            </w:r>
          </w:p>
        </w:tc>
        <w:tc>
          <w:tcPr>
            <w:tcW w:w="1843" w:type="dxa"/>
            <w:tcBorders>
              <w:top w:val="nil"/>
              <w:left w:val="nil"/>
              <w:bottom w:val="single" w:sz="4" w:space="0" w:color="auto"/>
              <w:right w:val="single" w:sz="4" w:space="0" w:color="auto"/>
            </w:tcBorders>
            <w:shd w:val="clear" w:color="000000" w:fill="FFFF99"/>
            <w:noWrap/>
            <w:vAlign w:val="bottom"/>
            <w:hideMark/>
          </w:tcPr>
          <w:p w14:paraId="67C2397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91.072,00</w:t>
            </w:r>
          </w:p>
        </w:tc>
        <w:tc>
          <w:tcPr>
            <w:tcW w:w="1559" w:type="dxa"/>
            <w:tcBorders>
              <w:top w:val="nil"/>
              <w:left w:val="nil"/>
              <w:bottom w:val="single" w:sz="4" w:space="0" w:color="auto"/>
              <w:right w:val="single" w:sz="4" w:space="0" w:color="auto"/>
            </w:tcBorders>
            <w:shd w:val="clear" w:color="000000" w:fill="FFFF99"/>
            <w:noWrap/>
            <w:vAlign w:val="bottom"/>
            <w:hideMark/>
          </w:tcPr>
          <w:p w14:paraId="2123252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4,71</w:t>
            </w:r>
          </w:p>
        </w:tc>
        <w:tc>
          <w:tcPr>
            <w:tcW w:w="1803" w:type="dxa"/>
            <w:tcBorders>
              <w:top w:val="nil"/>
              <w:left w:val="nil"/>
              <w:bottom w:val="single" w:sz="4" w:space="0" w:color="auto"/>
              <w:right w:val="single" w:sz="4" w:space="0" w:color="auto"/>
            </w:tcBorders>
            <w:shd w:val="clear" w:color="000000" w:fill="FFFF99"/>
            <w:noWrap/>
            <w:vAlign w:val="bottom"/>
            <w:hideMark/>
          </w:tcPr>
          <w:p w14:paraId="5C5444D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2.025.446,00</w:t>
            </w:r>
          </w:p>
        </w:tc>
      </w:tr>
      <w:tr w:rsidR="00846ACC" w:rsidRPr="004974C0" w14:paraId="12DFF22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27B15A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66F9916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F4D484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1.921.101,00</w:t>
            </w:r>
          </w:p>
        </w:tc>
        <w:tc>
          <w:tcPr>
            <w:tcW w:w="1843" w:type="dxa"/>
            <w:tcBorders>
              <w:top w:val="nil"/>
              <w:left w:val="nil"/>
              <w:bottom w:val="single" w:sz="4" w:space="0" w:color="auto"/>
              <w:right w:val="single" w:sz="4" w:space="0" w:color="auto"/>
            </w:tcBorders>
            <w:shd w:val="clear" w:color="auto" w:fill="auto"/>
            <w:noWrap/>
            <w:vAlign w:val="bottom"/>
            <w:hideMark/>
          </w:tcPr>
          <w:p w14:paraId="22D9EC4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91.072,00</w:t>
            </w:r>
          </w:p>
        </w:tc>
        <w:tc>
          <w:tcPr>
            <w:tcW w:w="1559" w:type="dxa"/>
            <w:tcBorders>
              <w:top w:val="nil"/>
              <w:left w:val="nil"/>
              <w:bottom w:val="single" w:sz="4" w:space="0" w:color="auto"/>
              <w:right w:val="single" w:sz="4" w:space="0" w:color="auto"/>
            </w:tcBorders>
            <w:shd w:val="clear" w:color="auto" w:fill="auto"/>
            <w:noWrap/>
            <w:vAlign w:val="bottom"/>
            <w:hideMark/>
          </w:tcPr>
          <w:p w14:paraId="1D49897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4,74</w:t>
            </w:r>
          </w:p>
        </w:tc>
        <w:tc>
          <w:tcPr>
            <w:tcW w:w="1803" w:type="dxa"/>
            <w:tcBorders>
              <w:top w:val="nil"/>
              <w:left w:val="nil"/>
              <w:bottom w:val="single" w:sz="4" w:space="0" w:color="auto"/>
              <w:right w:val="single" w:sz="4" w:space="0" w:color="auto"/>
            </w:tcBorders>
            <w:shd w:val="clear" w:color="auto" w:fill="auto"/>
            <w:noWrap/>
            <w:vAlign w:val="bottom"/>
            <w:hideMark/>
          </w:tcPr>
          <w:p w14:paraId="292BDD9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2.012.173,00</w:t>
            </w:r>
          </w:p>
        </w:tc>
      </w:tr>
      <w:tr w:rsidR="00846ACC" w:rsidRPr="004974C0" w14:paraId="037FD71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4585F10"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3D43AD73"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6861D6F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1.896.242,00</w:t>
            </w:r>
          </w:p>
        </w:tc>
        <w:tc>
          <w:tcPr>
            <w:tcW w:w="1843" w:type="dxa"/>
            <w:tcBorders>
              <w:top w:val="nil"/>
              <w:left w:val="nil"/>
              <w:bottom w:val="single" w:sz="4" w:space="0" w:color="auto"/>
              <w:right w:val="single" w:sz="4" w:space="0" w:color="auto"/>
            </w:tcBorders>
            <w:shd w:val="clear" w:color="auto" w:fill="auto"/>
            <w:noWrap/>
            <w:vAlign w:val="bottom"/>
            <w:hideMark/>
          </w:tcPr>
          <w:p w14:paraId="0C7F9DF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87.095,00</w:t>
            </w:r>
          </w:p>
        </w:tc>
        <w:tc>
          <w:tcPr>
            <w:tcW w:w="1559" w:type="dxa"/>
            <w:tcBorders>
              <w:top w:val="nil"/>
              <w:left w:val="nil"/>
              <w:bottom w:val="single" w:sz="4" w:space="0" w:color="auto"/>
              <w:right w:val="single" w:sz="4" w:space="0" w:color="auto"/>
            </w:tcBorders>
            <w:shd w:val="clear" w:color="auto" w:fill="auto"/>
            <w:noWrap/>
            <w:vAlign w:val="bottom"/>
            <w:hideMark/>
          </w:tcPr>
          <w:p w14:paraId="16DAD77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4,59</w:t>
            </w:r>
          </w:p>
        </w:tc>
        <w:tc>
          <w:tcPr>
            <w:tcW w:w="1803" w:type="dxa"/>
            <w:tcBorders>
              <w:top w:val="nil"/>
              <w:left w:val="nil"/>
              <w:bottom w:val="single" w:sz="4" w:space="0" w:color="auto"/>
              <w:right w:val="single" w:sz="4" w:space="0" w:color="auto"/>
            </w:tcBorders>
            <w:shd w:val="clear" w:color="auto" w:fill="auto"/>
            <w:noWrap/>
            <w:vAlign w:val="bottom"/>
            <w:hideMark/>
          </w:tcPr>
          <w:p w14:paraId="6489549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1.983.337,00</w:t>
            </w:r>
          </w:p>
        </w:tc>
      </w:tr>
      <w:tr w:rsidR="00846ACC" w:rsidRPr="004974C0" w14:paraId="77CACA0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A6B4ED7"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61BC84DD"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18420EA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24.859,00</w:t>
            </w:r>
          </w:p>
        </w:tc>
        <w:tc>
          <w:tcPr>
            <w:tcW w:w="1843" w:type="dxa"/>
            <w:tcBorders>
              <w:top w:val="nil"/>
              <w:left w:val="nil"/>
              <w:bottom w:val="single" w:sz="4" w:space="0" w:color="auto"/>
              <w:right w:val="single" w:sz="4" w:space="0" w:color="auto"/>
            </w:tcBorders>
            <w:shd w:val="clear" w:color="auto" w:fill="auto"/>
            <w:noWrap/>
            <w:vAlign w:val="bottom"/>
            <w:hideMark/>
          </w:tcPr>
          <w:p w14:paraId="39397DA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3.977,00</w:t>
            </w:r>
          </w:p>
        </w:tc>
        <w:tc>
          <w:tcPr>
            <w:tcW w:w="1559" w:type="dxa"/>
            <w:tcBorders>
              <w:top w:val="nil"/>
              <w:left w:val="nil"/>
              <w:bottom w:val="single" w:sz="4" w:space="0" w:color="auto"/>
              <w:right w:val="single" w:sz="4" w:space="0" w:color="auto"/>
            </w:tcBorders>
            <w:shd w:val="clear" w:color="auto" w:fill="auto"/>
            <w:noWrap/>
            <w:vAlign w:val="bottom"/>
            <w:hideMark/>
          </w:tcPr>
          <w:p w14:paraId="6D97419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16,00</w:t>
            </w:r>
          </w:p>
        </w:tc>
        <w:tc>
          <w:tcPr>
            <w:tcW w:w="1803" w:type="dxa"/>
            <w:tcBorders>
              <w:top w:val="nil"/>
              <w:left w:val="nil"/>
              <w:bottom w:val="single" w:sz="4" w:space="0" w:color="auto"/>
              <w:right w:val="single" w:sz="4" w:space="0" w:color="auto"/>
            </w:tcBorders>
            <w:shd w:val="clear" w:color="auto" w:fill="auto"/>
            <w:noWrap/>
            <w:vAlign w:val="bottom"/>
            <w:hideMark/>
          </w:tcPr>
          <w:p w14:paraId="5EBC45B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28.836,00</w:t>
            </w:r>
          </w:p>
        </w:tc>
      </w:tr>
      <w:tr w:rsidR="00846ACC" w:rsidRPr="004974C0" w14:paraId="3B14B02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9B46A5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5</w:t>
            </w:r>
          </w:p>
        </w:tc>
        <w:tc>
          <w:tcPr>
            <w:tcW w:w="1984" w:type="dxa"/>
            <w:tcBorders>
              <w:top w:val="nil"/>
              <w:left w:val="nil"/>
              <w:bottom w:val="single" w:sz="4" w:space="0" w:color="auto"/>
              <w:right w:val="single" w:sz="4" w:space="0" w:color="auto"/>
            </w:tcBorders>
            <w:shd w:val="clear" w:color="auto" w:fill="auto"/>
            <w:noWrap/>
            <w:vAlign w:val="bottom"/>
            <w:hideMark/>
          </w:tcPr>
          <w:p w14:paraId="5961887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Izdaci za financijsku imovinu i otplate zajmova</w:t>
            </w:r>
          </w:p>
        </w:tc>
        <w:tc>
          <w:tcPr>
            <w:tcW w:w="1843" w:type="dxa"/>
            <w:tcBorders>
              <w:top w:val="nil"/>
              <w:left w:val="nil"/>
              <w:bottom w:val="single" w:sz="4" w:space="0" w:color="auto"/>
              <w:right w:val="single" w:sz="4" w:space="0" w:color="auto"/>
            </w:tcBorders>
            <w:shd w:val="clear" w:color="auto" w:fill="auto"/>
            <w:noWrap/>
            <w:vAlign w:val="bottom"/>
            <w:hideMark/>
          </w:tcPr>
          <w:p w14:paraId="0DBD21C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13.273,00</w:t>
            </w:r>
          </w:p>
        </w:tc>
        <w:tc>
          <w:tcPr>
            <w:tcW w:w="1843" w:type="dxa"/>
            <w:tcBorders>
              <w:top w:val="nil"/>
              <w:left w:val="nil"/>
              <w:bottom w:val="single" w:sz="4" w:space="0" w:color="auto"/>
              <w:right w:val="single" w:sz="4" w:space="0" w:color="auto"/>
            </w:tcBorders>
            <w:shd w:val="clear" w:color="auto" w:fill="auto"/>
            <w:noWrap/>
            <w:vAlign w:val="bottom"/>
            <w:hideMark/>
          </w:tcPr>
          <w:p w14:paraId="2BC5ECB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3171A5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85B8BF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13.273,00</w:t>
            </w:r>
          </w:p>
        </w:tc>
      </w:tr>
      <w:tr w:rsidR="00846ACC" w:rsidRPr="004974C0" w14:paraId="495F6B4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3B6E84B" w14:textId="77777777" w:rsidR="004974C0" w:rsidRPr="004974C0" w:rsidRDefault="004974C0" w:rsidP="004974C0">
            <w:pPr>
              <w:rPr>
                <w:rFonts w:ascii="Arial" w:hAnsi="Arial" w:cs="Arial"/>
                <w:sz w:val="20"/>
                <w:szCs w:val="20"/>
              </w:rPr>
            </w:pPr>
            <w:r w:rsidRPr="004974C0">
              <w:rPr>
                <w:rFonts w:ascii="Arial" w:hAnsi="Arial" w:cs="Arial"/>
                <w:sz w:val="20"/>
                <w:szCs w:val="20"/>
              </w:rPr>
              <w:t>54</w:t>
            </w:r>
          </w:p>
        </w:tc>
        <w:tc>
          <w:tcPr>
            <w:tcW w:w="1984" w:type="dxa"/>
            <w:tcBorders>
              <w:top w:val="nil"/>
              <w:left w:val="nil"/>
              <w:bottom w:val="single" w:sz="4" w:space="0" w:color="auto"/>
              <w:right w:val="single" w:sz="4" w:space="0" w:color="auto"/>
            </w:tcBorders>
            <w:shd w:val="clear" w:color="auto" w:fill="auto"/>
            <w:noWrap/>
            <w:vAlign w:val="bottom"/>
            <w:hideMark/>
          </w:tcPr>
          <w:p w14:paraId="3AFA3F17" w14:textId="77777777" w:rsidR="004974C0" w:rsidRPr="004974C0" w:rsidRDefault="004974C0" w:rsidP="004974C0">
            <w:pPr>
              <w:rPr>
                <w:rFonts w:ascii="Arial" w:hAnsi="Arial" w:cs="Arial"/>
                <w:sz w:val="20"/>
                <w:szCs w:val="20"/>
              </w:rPr>
            </w:pPr>
            <w:r w:rsidRPr="004974C0">
              <w:rPr>
                <w:rFonts w:ascii="Arial" w:hAnsi="Arial" w:cs="Arial"/>
                <w:sz w:val="20"/>
                <w:szCs w:val="20"/>
              </w:rPr>
              <w:t>Izdaci za otplatu glavnice primljenih kredita i zajmova</w:t>
            </w:r>
          </w:p>
        </w:tc>
        <w:tc>
          <w:tcPr>
            <w:tcW w:w="1843" w:type="dxa"/>
            <w:tcBorders>
              <w:top w:val="nil"/>
              <w:left w:val="nil"/>
              <w:bottom w:val="single" w:sz="4" w:space="0" w:color="auto"/>
              <w:right w:val="single" w:sz="4" w:space="0" w:color="auto"/>
            </w:tcBorders>
            <w:shd w:val="clear" w:color="auto" w:fill="auto"/>
            <w:noWrap/>
            <w:vAlign w:val="bottom"/>
            <w:hideMark/>
          </w:tcPr>
          <w:p w14:paraId="2D5337E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13.273,00</w:t>
            </w:r>
          </w:p>
        </w:tc>
        <w:tc>
          <w:tcPr>
            <w:tcW w:w="1843" w:type="dxa"/>
            <w:tcBorders>
              <w:top w:val="nil"/>
              <w:left w:val="nil"/>
              <w:bottom w:val="single" w:sz="4" w:space="0" w:color="auto"/>
              <w:right w:val="single" w:sz="4" w:space="0" w:color="auto"/>
            </w:tcBorders>
            <w:shd w:val="clear" w:color="auto" w:fill="auto"/>
            <w:noWrap/>
            <w:vAlign w:val="bottom"/>
            <w:hideMark/>
          </w:tcPr>
          <w:p w14:paraId="6C93D3D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E32807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2768F2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13.273,00</w:t>
            </w:r>
          </w:p>
        </w:tc>
      </w:tr>
      <w:tr w:rsidR="00846ACC" w:rsidRPr="004974C0" w14:paraId="35BC472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CA2F94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3.9. VLASTITI PRIHODI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4341F00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3A1670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15.500,00</w:t>
            </w:r>
          </w:p>
        </w:tc>
        <w:tc>
          <w:tcPr>
            <w:tcW w:w="1843" w:type="dxa"/>
            <w:tcBorders>
              <w:top w:val="nil"/>
              <w:left w:val="nil"/>
              <w:bottom w:val="single" w:sz="4" w:space="0" w:color="auto"/>
              <w:right w:val="single" w:sz="4" w:space="0" w:color="auto"/>
            </w:tcBorders>
            <w:shd w:val="clear" w:color="000000" w:fill="FFFF99"/>
            <w:noWrap/>
            <w:vAlign w:val="bottom"/>
            <w:hideMark/>
          </w:tcPr>
          <w:p w14:paraId="71FB2DE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w:t>
            </w:r>
          </w:p>
        </w:tc>
        <w:tc>
          <w:tcPr>
            <w:tcW w:w="1559" w:type="dxa"/>
            <w:tcBorders>
              <w:top w:val="nil"/>
              <w:left w:val="nil"/>
              <w:bottom w:val="single" w:sz="4" w:space="0" w:color="auto"/>
              <w:right w:val="single" w:sz="4" w:space="0" w:color="auto"/>
            </w:tcBorders>
            <w:shd w:val="clear" w:color="000000" w:fill="FFFF99"/>
            <w:noWrap/>
            <w:vAlign w:val="bottom"/>
            <w:hideMark/>
          </w:tcPr>
          <w:p w14:paraId="4C1C91A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3,23</w:t>
            </w:r>
          </w:p>
        </w:tc>
        <w:tc>
          <w:tcPr>
            <w:tcW w:w="1803" w:type="dxa"/>
            <w:tcBorders>
              <w:top w:val="nil"/>
              <w:left w:val="nil"/>
              <w:bottom w:val="single" w:sz="4" w:space="0" w:color="auto"/>
              <w:right w:val="single" w:sz="4" w:space="0" w:color="auto"/>
            </w:tcBorders>
            <w:shd w:val="clear" w:color="000000" w:fill="FFFF99"/>
            <w:noWrap/>
            <w:vAlign w:val="bottom"/>
            <w:hideMark/>
          </w:tcPr>
          <w:p w14:paraId="7F0D211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16.000,00</w:t>
            </w:r>
          </w:p>
        </w:tc>
      </w:tr>
      <w:tr w:rsidR="00846ACC" w:rsidRPr="004974C0" w14:paraId="5767D0E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3017E8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B60BE9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97C78C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15.500,00</w:t>
            </w:r>
          </w:p>
        </w:tc>
        <w:tc>
          <w:tcPr>
            <w:tcW w:w="1843" w:type="dxa"/>
            <w:tcBorders>
              <w:top w:val="nil"/>
              <w:left w:val="nil"/>
              <w:bottom w:val="single" w:sz="4" w:space="0" w:color="auto"/>
              <w:right w:val="single" w:sz="4" w:space="0" w:color="auto"/>
            </w:tcBorders>
            <w:shd w:val="clear" w:color="auto" w:fill="auto"/>
            <w:noWrap/>
            <w:vAlign w:val="bottom"/>
            <w:hideMark/>
          </w:tcPr>
          <w:p w14:paraId="07314C0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w:t>
            </w:r>
          </w:p>
        </w:tc>
        <w:tc>
          <w:tcPr>
            <w:tcW w:w="1559" w:type="dxa"/>
            <w:tcBorders>
              <w:top w:val="nil"/>
              <w:left w:val="nil"/>
              <w:bottom w:val="single" w:sz="4" w:space="0" w:color="auto"/>
              <w:right w:val="single" w:sz="4" w:space="0" w:color="auto"/>
            </w:tcBorders>
            <w:shd w:val="clear" w:color="auto" w:fill="auto"/>
            <w:noWrap/>
            <w:vAlign w:val="bottom"/>
            <w:hideMark/>
          </w:tcPr>
          <w:p w14:paraId="093F2A3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3,23</w:t>
            </w:r>
          </w:p>
        </w:tc>
        <w:tc>
          <w:tcPr>
            <w:tcW w:w="1803" w:type="dxa"/>
            <w:tcBorders>
              <w:top w:val="nil"/>
              <w:left w:val="nil"/>
              <w:bottom w:val="single" w:sz="4" w:space="0" w:color="auto"/>
              <w:right w:val="single" w:sz="4" w:space="0" w:color="auto"/>
            </w:tcBorders>
            <w:shd w:val="clear" w:color="auto" w:fill="auto"/>
            <w:noWrap/>
            <w:vAlign w:val="bottom"/>
            <w:hideMark/>
          </w:tcPr>
          <w:p w14:paraId="5743999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16.000,00</w:t>
            </w:r>
          </w:p>
        </w:tc>
      </w:tr>
      <w:tr w:rsidR="00846ACC" w:rsidRPr="004974C0" w14:paraId="4E99F7D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4C61DB6"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7F6EA941"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5360102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15.500,00</w:t>
            </w:r>
          </w:p>
        </w:tc>
        <w:tc>
          <w:tcPr>
            <w:tcW w:w="1843" w:type="dxa"/>
            <w:tcBorders>
              <w:top w:val="nil"/>
              <w:left w:val="nil"/>
              <w:bottom w:val="single" w:sz="4" w:space="0" w:color="auto"/>
              <w:right w:val="single" w:sz="4" w:space="0" w:color="auto"/>
            </w:tcBorders>
            <w:shd w:val="clear" w:color="auto" w:fill="auto"/>
            <w:noWrap/>
            <w:vAlign w:val="bottom"/>
            <w:hideMark/>
          </w:tcPr>
          <w:p w14:paraId="2758BDF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w:t>
            </w:r>
          </w:p>
        </w:tc>
        <w:tc>
          <w:tcPr>
            <w:tcW w:w="1559" w:type="dxa"/>
            <w:tcBorders>
              <w:top w:val="nil"/>
              <w:left w:val="nil"/>
              <w:bottom w:val="single" w:sz="4" w:space="0" w:color="auto"/>
              <w:right w:val="single" w:sz="4" w:space="0" w:color="auto"/>
            </w:tcBorders>
            <w:shd w:val="clear" w:color="auto" w:fill="auto"/>
            <w:noWrap/>
            <w:vAlign w:val="bottom"/>
            <w:hideMark/>
          </w:tcPr>
          <w:p w14:paraId="127BF0F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3,23</w:t>
            </w:r>
          </w:p>
        </w:tc>
        <w:tc>
          <w:tcPr>
            <w:tcW w:w="1803" w:type="dxa"/>
            <w:tcBorders>
              <w:top w:val="nil"/>
              <w:left w:val="nil"/>
              <w:bottom w:val="single" w:sz="4" w:space="0" w:color="auto"/>
              <w:right w:val="single" w:sz="4" w:space="0" w:color="auto"/>
            </w:tcBorders>
            <w:shd w:val="clear" w:color="auto" w:fill="auto"/>
            <w:noWrap/>
            <w:vAlign w:val="bottom"/>
            <w:hideMark/>
          </w:tcPr>
          <w:p w14:paraId="37D702F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16.000,00</w:t>
            </w:r>
          </w:p>
        </w:tc>
      </w:tr>
      <w:tr w:rsidR="00846ACC" w:rsidRPr="004974C0" w14:paraId="22FEA8B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03C6478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4.9. 4.PRIHODI ZA POSEBNE NAMJENE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68B2DE0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0FBD60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583.000,00</w:t>
            </w:r>
          </w:p>
        </w:tc>
        <w:tc>
          <w:tcPr>
            <w:tcW w:w="1843" w:type="dxa"/>
            <w:tcBorders>
              <w:top w:val="nil"/>
              <w:left w:val="nil"/>
              <w:bottom w:val="single" w:sz="4" w:space="0" w:color="auto"/>
              <w:right w:val="single" w:sz="4" w:space="0" w:color="auto"/>
            </w:tcBorders>
            <w:shd w:val="clear" w:color="000000" w:fill="FFFF99"/>
            <w:noWrap/>
            <w:vAlign w:val="bottom"/>
            <w:hideMark/>
          </w:tcPr>
          <w:p w14:paraId="484DD80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-216,00</w:t>
            </w:r>
          </w:p>
        </w:tc>
        <w:tc>
          <w:tcPr>
            <w:tcW w:w="1559" w:type="dxa"/>
            <w:tcBorders>
              <w:top w:val="nil"/>
              <w:left w:val="nil"/>
              <w:bottom w:val="single" w:sz="4" w:space="0" w:color="auto"/>
              <w:right w:val="single" w:sz="4" w:space="0" w:color="auto"/>
            </w:tcBorders>
            <w:shd w:val="clear" w:color="000000" w:fill="FFFF99"/>
            <w:noWrap/>
            <w:vAlign w:val="bottom"/>
            <w:hideMark/>
          </w:tcPr>
          <w:p w14:paraId="6D6655F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-0,04</w:t>
            </w:r>
          </w:p>
        </w:tc>
        <w:tc>
          <w:tcPr>
            <w:tcW w:w="1803" w:type="dxa"/>
            <w:tcBorders>
              <w:top w:val="nil"/>
              <w:left w:val="nil"/>
              <w:bottom w:val="single" w:sz="4" w:space="0" w:color="auto"/>
              <w:right w:val="single" w:sz="4" w:space="0" w:color="auto"/>
            </w:tcBorders>
            <w:shd w:val="clear" w:color="000000" w:fill="FFFF99"/>
            <w:noWrap/>
            <w:vAlign w:val="bottom"/>
            <w:hideMark/>
          </w:tcPr>
          <w:p w14:paraId="09FBFBF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582.784,00</w:t>
            </w:r>
          </w:p>
        </w:tc>
      </w:tr>
      <w:tr w:rsidR="00846ACC" w:rsidRPr="004974C0" w14:paraId="5543F72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E9B813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EB839A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C88710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569.727,00</w:t>
            </w:r>
          </w:p>
        </w:tc>
        <w:tc>
          <w:tcPr>
            <w:tcW w:w="1843" w:type="dxa"/>
            <w:tcBorders>
              <w:top w:val="nil"/>
              <w:left w:val="nil"/>
              <w:bottom w:val="single" w:sz="4" w:space="0" w:color="auto"/>
              <w:right w:val="single" w:sz="4" w:space="0" w:color="auto"/>
            </w:tcBorders>
            <w:shd w:val="clear" w:color="auto" w:fill="auto"/>
            <w:noWrap/>
            <w:vAlign w:val="bottom"/>
            <w:hideMark/>
          </w:tcPr>
          <w:p w14:paraId="69648CE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-216,00</w:t>
            </w:r>
          </w:p>
        </w:tc>
        <w:tc>
          <w:tcPr>
            <w:tcW w:w="1559" w:type="dxa"/>
            <w:tcBorders>
              <w:top w:val="nil"/>
              <w:left w:val="nil"/>
              <w:bottom w:val="single" w:sz="4" w:space="0" w:color="auto"/>
              <w:right w:val="single" w:sz="4" w:space="0" w:color="auto"/>
            </w:tcBorders>
            <w:shd w:val="clear" w:color="auto" w:fill="auto"/>
            <w:noWrap/>
            <w:vAlign w:val="bottom"/>
            <w:hideMark/>
          </w:tcPr>
          <w:p w14:paraId="517D793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-0,04</w:t>
            </w:r>
          </w:p>
        </w:tc>
        <w:tc>
          <w:tcPr>
            <w:tcW w:w="1803" w:type="dxa"/>
            <w:tcBorders>
              <w:top w:val="nil"/>
              <w:left w:val="nil"/>
              <w:bottom w:val="single" w:sz="4" w:space="0" w:color="auto"/>
              <w:right w:val="single" w:sz="4" w:space="0" w:color="auto"/>
            </w:tcBorders>
            <w:shd w:val="clear" w:color="auto" w:fill="auto"/>
            <w:noWrap/>
            <w:vAlign w:val="bottom"/>
            <w:hideMark/>
          </w:tcPr>
          <w:p w14:paraId="559F246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569.511,00</w:t>
            </w:r>
          </w:p>
        </w:tc>
      </w:tr>
      <w:tr w:rsidR="00846ACC" w:rsidRPr="004974C0" w14:paraId="0329D3D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B6C8EEC"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7EB3B6B7"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F75998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567.437,00</w:t>
            </w:r>
          </w:p>
        </w:tc>
        <w:tc>
          <w:tcPr>
            <w:tcW w:w="1843" w:type="dxa"/>
            <w:tcBorders>
              <w:top w:val="nil"/>
              <w:left w:val="nil"/>
              <w:bottom w:val="single" w:sz="4" w:space="0" w:color="auto"/>
              <w:right w:val="single" w:sz="4" w:space="0" w:color="auto"/>
            </w:tcBorders>
            <w:shd w:val="clear" w:color="auto" w:fill="auto"/>
            <w:noWrap/>
            <w:vAlign w:val="bottom"/>
            <w:hideMark/>
          </w:tcPr>
          <w:p w14:paraId="6D8F53B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-216,00</w:t>
            </w:r>
          </w:p>
        </w:tc>
        <w:tc>
          <w:tcPr>
            <w:tcW w:w="1559" w:type="dxa"/>
            <w:tcBorders>
              <w:top w:val="nil"/>
              <w:left w:val="nil"/>
              <w:bottom w:val="single" w:sz="4" w:space="0" w:color="auto"/>
              <w:right w:val="single" w:sz="4" w:space="0" w:color="auto"/>
            </w:tcBorders>
            <w:shd w:val="clear" w:color="auto" w:fill="auto"/>
            <w:noWrap/>
            <w:vAlign w:val="bottom"/>
            <w:hideMark/>
          </w:tcPr>
          <w:p w14:paraId="2E8B698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-0,04</w:t>
            </w:r>
          </w:p>
        </w:tc>
        <w:tc>
          <w:tcPr>
            <w:tcW w:w="1803" w:type="dxa"/>
            <w:tcBorders>
              <w:top w:val="nil"/>
              <w:left w:val="nil"/>
              <w:bottom w:val="single" w:sz="4" w:space="0" w:color="auto"/>
              <w:right w:val="single" w:sz="4" w:space="0" w:color="auto"/>
            </w:tcBorders>
            <w:shd w:val="clear" w:color="auto" w:fill="auto"/>
            <w:noWrap/>
            <w:vAlign w:val="bottom"/>
            <w:hideMark/>
          </w:tcPr>
          <w:p w14:paraId="355B1B0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567.221,00</w:t>
            </w:r>
          </w:p>
        </w:tc>
      </w:tr>
      <w:tr w:rsidR="00846ACC" w:rsidRPr="004974C0" w14:paraId="77DAC71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6B073DC" w14:textId="77777777" w:rsidR="004974C0" w:rsidRPr="004974C0" w:rsidRDefault="004974C0" w:rsidP="004974C0">
            <w:pPr>
              <w:rPr>
                <w:rFonts w:ascii="Arial" w:hAnsi="Arial" w:cs="Arial"/>
                <w:sz w:val="20"/>
                <w:szCs w:val="20"/>
              </w:rPr>
            </w:pPr>
            <w:r w:rsidRPr="004974C0">
              <w:rPr>
                <w:rFonts w:ascii="Arial" w:hAnsi="Arial" w:cs="Arial"/>
                <w:sz w:val="20"/>
                <w:szCs w:val="20"/>
              </w:rPr>
              <w:t>34</w:t>
            </w:r>
          </w:p>
        </w:tc>
        <w:tc>
          <w:tcPr>
            <w:tcW w:w="1984" w:type="dxa"/>
            <w:tcBorders>
              <w:top w:val="nil"/>
              <w:left w:val="nil"/>
              <w:bottom w:val="single" w:sz="4" w:space="0" w:color="auto"/>
              <w:right w:val="single" w:sz="4" w:space="0" w:color="auto"/>
            </w:tcBorders>
            <w:shd w:val="clear" w:color="auto" w:fill="auto"/>
            <w:noWrap/>
            <w:vAlign w:val="bottom"/>
            <w:hideMark/>
          </w:tcPr>
          <w:p w14:paraId="6A59A4D3" w14:textId="77777777" w:rsidR="004974C0" w:rsidRPr="004974C0" w:rsidRDefault="004974C0" w:rsidP="004974C0">
            <w:pPr>
              <w:rPr>
                <w:rFonts w:ascii="Arial" w:hAnsi="Arial" w:cs="Arial"/>
                <w:sz w:val="20"/>
                <w:szCs w:val="20"/>
              </w:rPr>
            </w:pPr>
            <w:r w:rsidRPr="004974C0">
              <w:rPr>
                <w:rFonts w:ascii="Arial" w:hAnsi="Arial" w:cs="Arial"/>
                <w:sz w:val="20"/>
                <w:szCs w:val="20"/>
              </w:rPr>
              <w:t>Financijski rashodi</w:t>
            </w:r>
          </w:p>
        </w:tc>
        <w:tc>
          <w:tcPr>
            <w:tcW w:w="1843" w:type="dxa"/>
            <w:tcBorders>
              <w:top w:val="nil"/>
              <w:left w:val="nil"/>
              <w:bottom w:val="single" w:sz="4" w:space="0" w:color="auto"/>
              <w:right w:val="single" w:sz="4" w:space="0" w:color="auto"/>
            </w:tcBorders>
            <w:shd w:val="clear" w:color="auto" w:fill="auto"/>
            <w:noWrap/>
            <w:vAlign w:val="bottom"/>
            <w:hideMark/>
          </w:tcPr>
          <w:p w14:paraId="0C1524C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2.290,00</w:t>
            </w:r>
          </w:p>
        </w:tc>
        <w:tc>
          <w:tcPr>
            <w:tcW w:w="1843" w:type="dxa"/>
            <w:tcBorders>
              <w:top w:val="nil"/>
              <w:left w:val="nil"/>
              <w:bottom w:val="single" w:sz="4" w:space="0" w:color="auto"/>
              <w:right w:val="single" w:sz="4" w:space="0" w:color="auto"/>
            </w:tcBorders>
            <w:shd w:val="clear" w:color="auto" w:fill="auto"/>
            <w:noWrap/>
            <w:vAlign w:val="bottom"/>
            <w:hideMark/>
          </w:tcPr>
          <w:p w14:paraId="2230658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5B4666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4C86BC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2.290,00</w:t>
            </w:r>
          </w:p>
        </w:tc>
      </w:tr>
      <w:tr w:rsidR="00846ACC" w:rsidRPr="004974C0" w14:paraId="7A7F8C3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F15BB5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5</w:t>
            </w:r>
          </w:p>
        </w:tc>
        <w:tc>
          <w:tcPr>
            <w:tcW w:w="1984" w:type="dxa"/>
            <w:tcBorders>
              <w:top w:val="nil"/>
              <w:left w:val="nil"/>
              <w:bottom w:val="single" w:sz="4" w:space="0" w:color="auto"/>
              <w:right w:val="single" w:sz="4" w:space="0" w:color="auto"/>
            </w:tcBorders>
            <w:shd w:val="clear" w:color="auto" w:fill="auto"/>
            <w:noWrap/>
            <w:vAlign w:val="bottom"/>
            <w:hideMark/>
          </w:tcPr>
          <w:p w14:paraId="1FC0D2B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Izdaci za financijsku imovinu i otplate zajmova</w:t>
            </w:r>
          </w:p>
        </w:tc>
        <w:tc>
          <w:tcPr>
            <w:tcW w:w="1843" w:type="dxa"/>
            <w:tcBorders>
              <w:top w:val="nil"/>
              <w:left w:val="nil"/>
              <w:bottom w:val="single" w:sz="4" w:space="0" w:color="auto"/>
              <w:right w:val="single" w:sz="4" w:space="0" w:color="auto"/>
            </w:tcBorders>
            <w:shd w:val="clear" w:color="auto" w:fill="auto"/>
            <w:noWrap/>
            <w:vAlign w:val="bottom"/>
            <w:hideMark/>
          </w:tcPr>
          <w:p w14:paraId="4361B09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13.273,00</w:t>
            </w:r>
          </w:p>
        </w:tc>
        <w:tc>
          <w:tcPr>
            <w:tcW w:w="1843" w:type="dxa"/>
            <w:tcBorders>
              <w:top w:val="nil"/>
              <w:left w:val="nil"/>
              <w:bottom w:val="single" w:sz="4" w:space="0" w:color="auto"/>
              <w:right w:val="single" w:sz="4" w:space="0" w:color="auto"/>
            </w:tcBorders>
            <w:shd w:val="clear" w:color="auto" w:fill="auto"/>
            <w:noWrap/>
            <w:vAlign w:val="bottom"/>
            <w:hideMark/>
          </w:tcPr>
          <w:p w14:paraId="15BF99F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281A8A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32F593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13.273,00</w:t>
            </w:r>
          </w:p>
        </w:tc>
      </w:tr>
      <w:tr w:rsidR="00846ACC" w:rsidRPr="004974C0" w14:paraId="774210B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A3415F2" w14:textId="77777777" w:rsidR="004974C0" w:rsidRPr="004974C0" w:rsidRDefault="004974C0" w:rsidP="004974C0">
            <w:pPr>
              <w:rPr>
                <w:rFonts w:ascii="Arial" w:hAnsi="Arial" w:cs="Arial"/>
                <w:sz w:val="20"/>
                <w:szCs w:val="20"/>
              </w:rPr>
            </w:pPr>
            <w:r w:rsidRPr="004974C0">
              <w:rPr>
                <w:rFonts w:ascii="Arial" w:hAnsi="Arial" w:cs="Arial"/>
                <w:sz w:val="20"/>
                <w:szCs w:val="20"/>
              </w:rPr>
              <w:t>54</w:t>
            </w:r>
          </w:p>
        </w:tc>
        <w:tc>
          <w:tcPr>
            <w:tcW w:w="1984" w:type="dxa"/>
            <w:tcBorders>
              <w:top w:val="nil"/>
              <w:left w:val="nil"/>
              <w:bottom w:val="single" w:sz="4" w:space="0" w:color="auto"/>
              <w:right w:val="single" w:sz="4" w:space="0" w:color="auto"/>
            </w:tcBorders>
            <w:shd w:val="clear" w:color="auto" w:fill="auto"/>
            <w:noWrap/>
            <w:vAlign w:val="bottom"/>
            <w:hideMark/>
          </w:tcPr>
          <w:p w14:paraId="0B3A9C4A" w14:textId="77777777" w:rsidR="004974C0" w:rsidRPr="004974C0" w:rsidRDefault="004974C0" w:rsidP="004974C0">
            <w:pPr>
              <w:rPr>
                <w:rFonts w:ascii="Arial" w:hAnsi="Arial" w:cs="Arial"/>
                <w:sz w:val="20"/>
                <w:szCs w:val="20"/>
              </w:rPr>
            </w:pPr>
            <w:r w:rsidRPr="004974C0">
              <w:rPr>
                <w:rFonts w:ascii="Arial" w:hAnsi="Arial" w:cs="Arial"/>
                <w:sz w:val="20"/>
                <w:szCs w:val="20"/>
              </w:rPr>
              <w:t>Izdaci za otplatu glavnice primljenih kredita i zajmova</w:t>
            </w:r>
          </w:p>
        </w:tc>
        <w:tc>
          <w:tcPr>
            <w:tcW w:w="1843" w:type="dxa"/>
            <w:tcBorders>
              <w:top w:val="nil"/>
              <w:left w:val="nil"/>
              <w:bottom w:val="single" w:sz="4" w:space="0" w:color="auto"/>
              <w:right w:val="single" w:sz="4" w:space="0" w:color="auto"/>
            </w:tcBorders>
            <w:shd w:val="clear" w:color="auto" w:fill="auto"/>
            <w:noWrap/>
            <w:vAlign w:val="bottom"/>
            <w:hideMark/>
          </w:tcPr>
          <w:p w14:paraId="628A7F4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13.273,00</w:t>
            </w:r>
          </w:p>
        </w:tc>
        <w:tc>
          <w:tcPr>
            <w:tcW w:w="1843" w:type="dxa"/>
            <w:tcBorders>
              <w:top w:val="nil"/>
              <w:left w:val="nil"/>
              <w:bottom w:val="single" w:sz="4" w:space="0" w:color="auto"/>
              <w:right w:val="single" w:sz="4" w:space="0" w:color="auto"/>
            </w:tcBorders>
            <w:shd w:val="clear" w:color="auto" w:fill="auto"/>
            <w:noWrap/>
            <w:vAlign w:val="bottom"/>
            <w:hideMark/>
          </w:tcPr>
          <w:p w14:paraId="764189B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B4CA01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5A6B38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13.273,00</w:t>
            </w:r>
          </w:p>
        </w:tc>
      </w:tr>
      <w:tr w:rsidR="00846ACC" w:rsidRPr="004974C0" w14:paraId="32843C3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C88320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5.4. POMOĆI IZ DRŽAVNOG PRORAČUNA</w:t>
            </w:r>
          </w:p>
        </w:tc>
        <w:tc>
          <w:tcPr>
            <w:tcW w:w="1984" w:type="dxa"/>
            <w:tcBorders>
              <w:top w:val="nil"/>
              <w:left w:val="nil"/>
              <w:bottom w:val="single" w:sz="4" w:space="0" w:color="auto"/>
              <w:right w:val="single" w:sz="4" w:space="0" w:color="auto"/>
            </w:tcBorders>
            <w:shd w:val="clear" w:color="000000" w:fill="FFFF99"/>
            <w:noWrap/>
            <w:vAlign w:val="bottom"/>
            <w:hideMark/>
          </w:tcPr>
          <w:p w14:paraId="4FF4A9A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81E88A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66.362,00</w:t>
            </w:r>
          </w:p>
        </w:tc>
        <w:tc>
          <w:tcPr>
            <w:tcW w:w="1843" w:type="dxa"/>
            <w:tcBorders>
              <w:top w:val="nil"/>
              <w:left w:val="nil"/>
              <w:bottom w:val="single" w:sz="4" w:space="0" w:color="auto"/>
              <w:right w:val="single" w:sz="4" w:space="0" w:color="auto"/>
            </w:tcBorders>
            <w:shd w:val="clear" w:color="000000" w:fill="FFFF99"/>
            <w:noWrap/>
            <w:vAlign w:val="bottom"/>
            <w:hideMark/>
          </w:tcPr>
          <w:p w14:paraId="466E101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076D1C7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7FE9418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66.362,00</w:t>
            </w:r>
          </w:p>
        </w:tc>
      </w:tr>
      <w:tr w:rsidR="00846ACC" w:rsidRPr="004974C0" w14:paraId="03C0332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6064E1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AEF835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18F053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66.362,00</w:t>
            </w:r>
          </w:p>
        </w:tc>
        <w:tc>
          <w:tcPr>
            <w:tcW w:w="1843" w:type="dxa"/>
            <w:tcBorders>
              <w:top w:val="nil"/>
              <w:left w:val="nil"/>
              <w:bottom w:val="single" w:sz="4" w:space="0" w:color="auto"/>
              <w:right w:val="single" w:sz="4" w:space="0" w:color="auto"/>
            </w:tcBorders>
            <w:shd w:val="clear" w:color="auto" w:fill="auto"/>
            <w:noWrap/>
            <w:vAlign w:val="bottom"/>
            <w:hideMark/>
          </w:tcPr>
          <w:p w14:paraId="06C7C99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98CE7E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DA8E75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66.362,00</w:t>
            </w:r>
          </w:p>
        </w:tc>
      </w:tr>
      <w:tr w:rsidR="00846ACC" w:rsidRPr="004974C0" w14:paraId="70BB5E9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F770F58" w14:textId="77777777" w:rsidR="004974C0" w:rsidRPr="004974C0" w:rsidRDefault="004974C0" w:rsidP="004974C0">
            <w:pPr>
              <w:rPr>
                <w:rFonts w:ascii="Arial" w:hAnsi="Arial" w:cs="Arial"/>
                <w:sz w:val="20"/>
                <w:szCs w:val="20"/>
              </w:rPr>
            </w:pPr>
            <w:r w:rsidRPr="004974C0">
              <w:rPr>
                <w:rFonts w:ascii="Arial" w:hAnsi="Arial" w:cs="Arial"/>
                <w:sz w:val="20"/>
                <w:szCs w:val="20"/>
              </w:rPr>
              <w:lastRenderedPageBreak/>
              <w:t>31</w:t>
            </w:r>
          </w:p>
        </w:tc>
        <w:tc>
          <w:tcPr>
            <w:tcW w:w="1984" w:type="dxa"/>
            <w:tcBorders>
              <w:top w:val="nil"/>
              <w:left w:val="nil"/>
              <w:bottom w:val="single" w:sz="4" w:space="0" w:color="auto"/>
              <w:right w:val="single" w:sz="4" w:space="0" w:color="auto"/>
            </w:tcBorders>
            <w:shd w:val="clear" w:color="auto" w:fill="auto"/>
            <w:noWrap/>
            <w:vAlign w:val="bottom"/>
            <w:hideMark/>
          </w:tcPr>
          <w:p w14:paraId="15949B4E"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0116CE6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66.362,00</w:t>
            </w:r>
          </w:p>
        </w:tc>
        <w:tc>
          <w:tcPr>
            <w:tcW w:w="1843" w:type="dxa"/>
            <w:tcBorders>
              <w:top w:val="nil"/>
              <w:left w:val="nil"/>
              <w:bottom w:val="single" w:sz="4" w:space="0" w:color="auto"/>
              <w:right w:val="single" w:sz="4" w:space="0" w:color="auto"/>
            </w:tcBorders>
            <w:shd w:val="clear" w:color="auto" w:fill="auto"/>
            <w:noWrap/>
            <w:vAlign w:val="bottom"/>
            <w:hideMark/>
          </w:tcPr>
          <w:p w14:paraId="62F877A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112B9F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6748FB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66.362,00</w:t>
            </w:r>
          </w:p>
        </w:tc>
      </w:tr>
      <w:tr w:rsidR="00846ACC" w:rsidRPr="004974C0" w14:paraId="2B52711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F28965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331CF04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839ED9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967.981,00</w:t>
            </w:r>
          </w:p>
        </w:tc>
        <w:tc>
          <w:tcPr>
            <w:tcW w:w="1843" w:type="dxa"/>
            <w:tcBorders>
              <w:top w:val="nil"/>
              <w:left w:val="nil"/>
              <w:bottom w:val="single" w:sz="4" w:space="0" w:color="auto"/>
              <w:right w:val="single" w:sz="4" w:space="0" w:color="auto"/>
            </w:tcBorders>
            <w:shd w:val="clear" w:color="000000" w:fill="FFFF99"/>
            <w:noWrap/>
            <w:vAlign w:val="bottom"/>
            <w:hideMark/>
          </w:tcPr>
          <w:p w14:paraId="615C9CF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48.917,00</w:t>
            </w:r>
          </w:p>
        </w:tc>
        <w:tc>
          <w:tcPr>
            <w:tcW w:w="1559" w:type="dxa"/>
            <w:tcBorders>
              <w:top w:val="nil"/>
              <w:left w:val="nil"/>
              <w:bottom w:val="single" w:sz="4" w:space="0" w:color="auto"/>
              <w:right w:val="single" w:sz="4" w:space="0" w:color="auto"/>
            </w:tcBorders>
            <w:shd w:val="clear" w:color="000000" w:fill="FFFF99"/>
            <w:noWrap/>
            <w:vAlign w:val="bottom"/>
            <w:hideMark/>
          </w:tcPr>
          <w:p w14:paraId="38FF556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5,05</w:t>
            </w:r>
          </w:p>
        </w:tc>
        <w:tc>
          <w:tcPr>
            <w:tcW w:w="1803" w:type="dxa"/>
            <w:tcBorders>
              <w:top w:val="nil"/>
              <w:left w:val="nil"/>
              <w:bottom w:val="single" w:sz="4" w:space="0" w:color="auto"/>
              <w:right w:val="single" w:sz="4" w:space="0" w:color="auto"/>
            </w:tcBorders>
            <w:shd w:val="clear" w:color="000000" w:fill="FFFF99"/>
            <w:noWrap/>
            <w:vAlign w:val="bottom"/>
            <w:hideMark/>
          </w:tcPr>
          <w:p w14:paraId="367B17F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1.016.898,00</w:t>
            </w:r>
          </w:p>
        </w:tc>
      </w:tr>
      <w:tr w:rsidR="00846ACC" w:rsidRPr="004974C0" w14:paraId="3C38BE1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4CA22F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9ACA89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FCB6AB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967.981,00</w:t>
            </w:r>
          </w:p>
        </w:tc>
        <w:tc>
          <w:tcPr>
            <w:tcW w:w="1843" w:type="dxa"/>
            <w:tcBorders>
              <w:top w:val="nil"/>
              <w:left w:val="nil"/>
              <w:bottom w:val="single" w:sz="4" w:space="0" w:color="auto"/>
              <w:right w:val="single" w:sz="4" w:space="0" w:color="auto"/>
            </w:tcBorders>
            <w:shd w:val="clear" w:color="auto" w:fill="auto"/>
            <w:noWrap/>
            <w:vAlign w:val="bottom"/>
            <w:hideMark/>
          </w:tcPr>
          <w:p w14:paraId="19C8BBA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48.917,00</w:t>
            </w:r>
          </w:p>
        </w:tc>
        <w:tc>
          <w:tcPr>
            <w:tcW w:w="1559" w:type="dxa"/>
            <w:tcBorders>
              <w:top w:val="nil"/>
              <w:left w:val="nil"/>
              <w:bottom w:val="single" w:sz="4" w:space="0" w:color="auto"/>
              <w:right w:val="single" w:sz="4" w:space="0" w:color="auto"/>
            </w:tcBorders>
            <w:shd w:val="clear" w:color="auto" w:fill="auto"/>
            <w:noWrap/>
            <w:vAlign w:val="bottom"/>
            <w:hideMark/>
          </w:tcPr>
          <w:p w14:paraId="44D2D33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5,05</w:t>
            </w:r>
          </w:p>
        </w:tc>
        <w:tc>
          <w:tcPr>
            <w:tcW w:w="1803" w:type="dxa"/>
            <w:tcBorders>
              <w:top w:val="nil"/>
              <w:left w:val="nil"/>
              <w:bottom w:val="single" w:sz="4" w:space="0" w:color="auto"/>
              <w:right w:val="single" w:sz="4" w:space="0" w:color="auto"/>
            </w:tcBorders>
            <w:shd w:val="clear" w:color="auto" w:fill="auto"/>
            <w:noWrap/>
            <w:vAlign w:val="bottom"/>
            <w:hideMark/>
          </w:tcPr>
          <w:p w14:paraId="66FE135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1.016.898,00</w:t>
            </w:r>
          </w:p>
        </w:tc>
      </w:tr>
      <w:tr w:rsidR="00846ACC" w:rsidRPr="004974C0" w14:paraId="4784563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7E0FE6C"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3D8D6A6C"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75388E5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959.949,00</w:t>
            </w:r>
          </w:p>
        </w:tc>
        <w:tc>
          <w:tcPr>
            <w:tcW w:w="1843" w:type="dxa"/>
            <w:tcBorders>
              <w:top w:val="nil"/>
              <w:left w:val="nil"/>
              <w:bottom w:val="single" w:sz="4" w:space="0" w:color="auto"/>
              <w:right w:val="single" w:sz="4" w:space="0" w:color="auto"/>
            </w:tcBorders>
            <w:shd w:val="clear" w:color="auto" w:fill="auto"/>
            <w:noWrap/>
            <w:vAlign w:val="bottom"/>
            <w:hideMark/>
          </w:tcPr>
          <w:p w14:paraId="15BAA3E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48.030,00</w:t>
            </w:r>
          </w:p>
        </w:tc>
        <w:tc>
          <w:tcPr>
            <w:tcW w:w="1559" w:type="dxa"/>
            <w:tcBorders>
              <w:top w:val="nil"/>
              <w:left w:val="nil"/>
              <w:bottom w:val="single" w:sz="4" w:space="0" w:color="auto"/>
              <w:right w:val="single" w:sz="4" w:space="0" w:color="auto"/>
            </w:tcBorders>
            <w:shd w:val="clear" w:color="auto" w:fill="auto"/>
            <w:noWrap/>
            <w:vAlign w:val="bottom"/>
            <w:hideMark/>
          </w:tcPr>
          <w:p w14:paraId="342DF92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w:t>
            </w:r>
          </w:p>
        </w:tc>
        <w:tc>
          <w:tcPr>
            <w:tcW w:w="1803" w:type="dxa"/>
            <w:tcBorders>
              <w:top w:val="nil"/>
              <w:left w:val="nil"/>
              <w:bottom w:val="single" w:sz="4" w:space="0" w:color="auto"/>
              <w:right w:val="single" w:sz="4" w:space="0" w:color="auto"/>
            </w:tcBorders>
            <w:shd w:val="clear" w:color="auto" w:fill="auto"/>
            <w:noWrap/>
            <w:vAlign w:val="bottom"/>
            <w:hideMark/>
          </w:tcPr>
          <w:p w14:paraId="62BB53A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1.007.979,00</w:t>
            </w:r>
          </w:p>
        </w:tc>
      </w:tr>
      <w:tr w:rsidR="00846ACC" w:rsidRPr="004974C0" w14:paraId="0B9122E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AECC9E2"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909C2A3"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767CB16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8.032,00</w:t>
            </w:r>
          </w:p>
        </w:tc>
        <w:tc>
          <w:tcPr>
            <w:tcW w:w="1843" w:type="dxa"/>
            <w:tcBorders>
              <w:top w:val="nil"/>
              <w:left w:val="nil"/>
              <w:bottom w:val="single" w:sz="4" w:space="0" w:color="auto"/>
              <w:right w:val="single" w:sz="4" w:space="0" w:color="auto"/>
            </w:tcBorders>
            <w:shd w:val="clear" w:color="auto" w:fill="auto"/>
            <w:noWrap/>
            <w:vAlign w:val="bottom"/>
            <w:hideMark/>
          </w:tcPr>
          <w:p w14:paraId="28AE42C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887,00</w:t>
            </w:r>
          </w:p>
        </w:tc>
        <w:tc>
          <w:tcPr>
            <w:tcW w:w="1559" w:type="dxa"/>
            <w:tcBorders>
              <w:top w:val="nil"/>
              <w:left w:val="nil"/>
              <w:bottom w:val="single" w:sz="4" w:space="0" w:color="auto"/>
              <w:right w:val="single" w:sz="4" w:space="0" w:color="auto"/>
            </w:tcBorders>
            <w:shd w:val="clear" w:color="auto" w:fill="auto"/>
            <w:noWrap/>
            <w:vAlign w:val="bottom"/>
            <w:hideMark/>
          </w:tcPr>
          <w:p w14:paraId="404503C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11,04</w:t>
            </w:r>
          </w:p>
        </w:tc>
        <w:tc>
          <w:tcPr>
            <w:tcW w:w="1803" w:type="dxa"/>
            <w:tcBorders>
              <w:top w:val="nil"/>
              <w:left w:val="nil"/>
              <w:bottom w:val="single" w:sz="4" w:space="0" w:color="auto"/>
              <w:right w:val="single" w:sz="4" w:space="0" w:color="auto"/>
            </w:tcBorders>
            <w:shd w:val="clear" w:color="auto" w:fill="auto"/>
            <w:noWrap/>
            <w:vAlign w:val="bottom"/>
            <w:hideMark/>
          </w:tcPr>
          <w:p w14:paraId="32AF565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8.919,00</w:t>
            </w:r>
          </w:p>
        </w:tc>
      </w:tr>
      <w:tr w:rsidR="00846ACC" w:rsidRPr="004974C0" w14:paraId="387A0D8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9F4A7B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6.9. 6.DONACIJE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19D339B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7596B8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843" w:type="dxa"/>
            <w:tcBorders>
              <w:top w:val="nil"/>
              <w:left w:val="nil"/>
              <w:bottom w:val="single" w:sz="4" w:space="0" w:color="auto"/>
              <w:right w:val="single" w:sz="4" w:space="0" w:color="auto"/>
            </w:tcBorders>
            <w:shd w:val="clear" w:color="000000" w:fill="FFFF99"/>
            <w:noWrap/>
            <w:vAlign w:val="bottom"/>
            <w:hideMark/>
          </w:tcPr>
          <w:p w14:paraId="1C7F22A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559" w:type="dxa"/>
            <w:tcBorders>
              <w:top w:val="nil"/>
              <w:left w:val="nil"/>
              <w:bottom w:val="single" w:sz="4" w:space="0" w:color="auto"/>
              <w:right w:val="single" w:sz="4" w:space="0" w:color="auto"/>
            </w:tcBorders>
            <w:shd w:val="clear" w:color="000000" w:fill="FFFF99"/>
            <w:noWrap/>
            <w:vAlign w:val="bottom"/>
            <w:hideMark/>
          </w:tcPr>
          <w:p w14:paraId="5460A61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w:t>
            </w:r>
          </w:p>
        </w:tc>
        <w:tc>
          <w:tcPr>
            <w:tcW w:w="1803" w:type="dxa"/>
            <w:tcBorders>
              <w:top w:val="nil"/>
              <w:left w:val="nil"/>
              <w:bottom w:val="single" w:sz="4" w:space="0" w:color="auto"/>
              <w:right w:val="single" w:sz="4" w:space="0" w:color="auto"/>
            </w:tcBorders>
            <w:shd w:val="clear" w:color="000000" w:fill="FFFF99"/>
            <w:noWrap/>
            <w:vAlign w:val="bottom"/>
            <w:hideMark/>
          </w:tcPr>
          <w:p w14:paraId="1ACFFF1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r>
      <w:tr w:rsidR="00846ACC" w:rsidRPr="004974C0" w14:paraId="7790AC3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D664E7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8DCCAD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95ED9B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76D26CF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w:t>
            </w:r>
          </w:p>
        </w:tc>
        <w:tc>
          <w:tcPr>
            <w:tcW w:w="1559" w:type="dxa"/>
            <w:tcBorders>
              <w:top w:val="nil"/>
              <w:left w:val="nil"/>
              <w:bottom w:val="single" w:sz="4" w:space="0" w:color="auto"/>
              <w:right w:val="single" w:sz="4" w:space="0" w:color="auto"/>
            </w:tcBorders>
            <w:shd w:val="clear" w:color="auto" w:fill="auto"/>
            <w:noWrap/>
            <w:vAlign w:val="bottom"/>
            <w:hideMark/>
          </w:tcPr>
          <w:p w14:paraId="01AAF76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w:t>
            </w:r>
          </w:p>
        </w:tc>
        <w:tc>
          <w:tcPr>
            <w:tcW w:w="1803" w:type="dxa"/>
            <w:tcBorders>
              <w:top w:val="nil"/>
              <w:left w:val="nil"/>
              <w:bottom w:val="single" w:sz="4" w:space="0" w:color="auto"/>
              <w:right w:val="single" w:sz="4" w:space="0" w:color="auto"/>
            </w:tcBorders>
            <w:shd w:val="clear" w:color="auto" w:fill="auto"/>
            <w:noWrap/>
            <w:vAlign w:val="bottom"/>
            <w:hideMark/>
          </w:tcPr>
          <w:p w14:paraId="16E202C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5.000,00</w:t>
            </w:r>
          </w:p>
        </w:tc>
      </w:tr>
      <w:tr w:rsidR="00846ACC" w:rsidRPr="004974C0" w14:paraId="31599D6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42C6FE3"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37CD1522"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51B07FA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7B1D523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w:t>
            </w:r>
          </w:p>
        </w:tc>
        <w:tc>
          <w:tcPr>
            <w:tcW w:w="1559" w:type="dxa"/>
            <w:tcBorders>
              <w:top w:val="nil"/>
              <w:left w:val="nil"/>
              <w:bottom w:val="single" w:sz="4" w:space="0" w:color="auto"/>
              <w:right w:val="single" w:sz="4" w:space="0" w:color="auto"/>
            </w:tcBorders>
            <w:shd w:val="clear" w:color="auto" w:fill="auto"/>
            <w:noWrap/>
            <w:vAlign w:val="bottom"/>
            <w:hideMark/>
          </w:tcPr>
          <w:p w14:paraId="2EE855E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w:t>
            </w:r>
          </w:p>
        </w:tc>
        <w:tc>
          <w:tcPr>
            <w:tcW w:w="1803" w:type="dxa"/>
            <w:tcBorders>
              <w:top w:val="nil"/>
              <w:left w:val="nil"/>
              <w:bottom w:val="single" w:sz="4" w:space="0" w:color="auto"/>
              <w:right w:val="single" w:sz="4" w:space="0" w:color="auto"/>
            </w:tcBorders>
            <w:shd w:val="clear" w:color="auto" w:fill="auto"/>
            <w:noWrap/>
            <w:vAlign w:val="bottom"/>
            <w:hideMark/>
          </w:tcPr>
          <w:p w14:paraId="22339EA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5.000,00</w:t>
            </w:r>
          </w:p>
        </w:tc>
      </w:tr>
      <w:tr w:rsidR="00846ACC" w:rsidRPr="004974C0" w14:paraId="6C73588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5F7FEC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25F64FB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755D127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0E9B650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c>
          <w:tcPr>
            <w:tcW w:w="1559" w:type="dxa"/>
            <w:tcBorders>
              <w:top w:val="nil"/>
              <w:left w:val="nil"/>
              <w:bottom w:val="single" w:sz="4" w:space="0" w:color="auto"/>
              <w:right w:val="single" w:sz="4" w:space="0" w:color="auto"/>
            </w:tcBorders>
            <w:shd w:val="clear" w:color="auto" w:fill="auto"/>
            <w:noWrap/>
            <w:vAlign w:val="bottom"/>
            <w:hideMark/>
          </w:tcPr>
          <w:p w14:paraId="7A7ED3A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6E8B2E1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r>
      <w:tr w:rsidR="00846ACC" w:rsidRPr="004974C0" w14:paraId="33C2F88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0192EB5"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0121979F"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00C2554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3A4E463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559" w:type="dxa"/>
            <w:tcBorders>
              <w:top w:val="nil"/>
              <w:left w:val="nil"/>
              <w:bottom w:val="single" w:sz="4" w:space="0" w:color="auto"/>
              <w:right w:val="single" w:sz="4" w:space="0" w:color="auto"/>
            </w:tcBorders>
            <w:shd w:val="clear" w:color="auto" w:fill="auto"/>
            <w:noWrap/>
            <w:vAlign w:val="bottom"/>
            <w:hideMark/>
          </w:tcPr>
          <w:p w14:paraId="67E8342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5226C0E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r>
      <w:tr w:rsidR="00846ACC" w:rsidRPr="004974C0" w14:paraId="527A833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9C4CC4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7.9. 7.PRIHODI OD NAKNADA ŠTETA S OSN.OSIGUR.-PRIH.KOR.</w:t>
            </w:r>
          </w:p>
        </w:tc>
        <w:tc>
          <w:tcPr>
            <w:tcW w:w="1984" w:type="dxa"/>
            <w:tcBorders>
              <w:top w:val="nil"/>
              <w:left w:val="nil"/>
              <w:bottom w:val="single" w:sz="4" w:space="0" w:color="auto"/>
              <w:right w:val="single" w:sz="4" w:space="0" w:color="auto"/>
            </w:tcBorders>
            <w:shd w:val="clear" w:color="000000" w:fill="FFFF99"/>
            <w:noWrap/>
            <w:vAlign w:val="bottom"/>
            <w:hideMark/>
          </w:tcPr>
          <w:p w14:paraId="6DDE727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9DA774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843" w:type="dxa"/>
            <w:tcBorders>
              <w:top w:val="nil"/>
              <w:left w:val="nil"/>
              <w:bottom w:val="single" w:sz="4" w:space="0" w:color="auto"/>
              <w:right w:val="single" w:sz="4" w:space="0" w:color="auto"/>
            </w:tcBorders>
            <w:shd w:val="clear" w:color="000000" w:fill="FFFF99"/>
            <w:noWrap/>
            <w:vAlign w:val="bottom"/>
            <w:hideMark/>
          </w:tcPr>
          <w:p w14:paraId="1D1DD6A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1CC0769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1E9197D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r>
      <w:tr w:rsidR="00846ACC" w:rsidRPr="004974C0" w14:paraId="10BE30E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108E81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DBB9D2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7188DE3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2AC2109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204440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8B3B1F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r>
      <w:tr w:rsidR="00846ACC" w:rsidRPr="004974C0" w14:paraId="74A82D2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B67239F"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6ECE87D1"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43D3CE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3C56845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E200BA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E6C87F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r>
      <w:tr w:rsidR="00846ACC" w:rsidRPr="004974C0" w14:paraId="357308F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72D9DE2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A500003 Opremanje ustanove</w:t>
            </w:r>
          </w:p>
        </w:tc>
        <w:tc>
          <w:tcPr>
            <w:tcW w:w="1984" w:type="dxa"/>
            <w:tcBorders>
              <w:top w:val="nil"/>
              <w:left w:val="nil"/>
              <w:bottom w:val="single" w:sz="4" w:space="0" w:color="auto"/>
              <w:right w:val="single" w:sz="4" w:space="0" w:color="auto"/>
            </w:tcBorders>
            <w:shd w:val="clear" w:color="000000" w:fill="CCCCFF"/>
            <w:noWrap/>
            <w:vAlign w:val="bottom"/>
            <w:hideMark/>
          </w:tcPr>
          <w:p w14:paraId="2B2C710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2F92B4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7.000,00</w:t>
            </w:r>
          </w:p>
        </w:tc>
        <w:tc>
          <w:tcPr>
            <w:tcW w:w="1843" w:type="dxa"/>
            <w:tcBorders>
              <w:top w:val="nil"/>
              <w:left w:val="nil"/>
              <w:bottom w:val="single" w:sz="4" w:space="0" w:color="auto"/>
              <w:right w:val="single" w:sz="4" w:space="0" w:color="auto"/>
            </w:tcBorders>
            <w:shd w:val="clear" w:color="000000" w:fill="CCCCFF"/>
            <w:noWrap/>
            <w:vAlign w:val="bottom"/>
            <w:hideMark/>
          </w:tcPr>
          <w:p w14:paraId="0BFE27C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3.530,00</w:t>
            </w:r>
          </w:p>
        </w:tc>
        <w:tc>
          <w:tcPr>
            <w:tcW w:w="1559" w:type="dxa"/>
            <w:tcBorders>
              <w:top w:val="nil"/>
              <w:left w:val="nil"/>
              <w:bottom w:val="single" w:sz="4" w:space="0" w:color="auto"/>
              <w:right w:val="single" w:sz="4" w:space="0" w:color="auto"/>
            </w:tcBorders>
            <w:shd w:val="clear" w:color="000000" w:fill="CCCCFF"/>
            <w:noWrap/>
            <w:vAlign w:val="bottom"/>
            <w:hideMark/>
          </w:tcPr>
          <w:p w14:paraId="3049914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50,43</w:t>
            </w:r>
          </w:p>
        </w:tc>
        <w:tc>
          <w:tcPr>
            <w:tcW w:w="1803" w:type="dxa"/>
            <w:tcBorders>
              <w:top w:val="nil"/>
              <w:left w:val="nil"/>
              <w:bottom w:val="single" w:sz="4" w:space="0" w:color="auto"/>
              <w:right w:val="single" w:sz="4" w:space="0" w:color="auto"/>
            </w:tcBorders>
            <w:shd w:val="clear" w:color="000000" w:fill="CCCCFF"/>
            <w:noWrap/>
            <w:vAlign w:val="bottom"/>
            <w:hideMark/>
          </w:tcPr>
          <w:p w14:paraId="115643C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10.530,00</w:t>
            </w:r>
          </w:p>
        </w:tc>
      </w:tr>
      <w:tr w:rsidR="00846ACC" w:rsidRPr="004974C0" w14:paraId="1C1D9D3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92C36F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5044600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A254B1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33BE2A3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2.750,00</w:t>
            </w:r>
          </w:p>
        </w:tc>
        <w:tc>
          <w:tcPr>
            <w:tcW w:w="1559" w:type="dxa"/>
            <w:tcBorders>
              <w:top w:val="nil"/>
              <w:left w:val="nil"/>
              <w:bottom w:val="single" w:sz="4" w:space="0" w:color="auto"/>
              <w:right w:val="single" w:sz="4" w:space="0" w:color="auto"/>
            </w:tcBorders>
            <w:shd w:val="clear" w:color="000000" w:fill="FFFF99"/>
            <w:noWrap/>
            <w:vAlign w:val="bottom"/>
            <w:hideMark/>
          </w:tcPr>
          <w:p w14:paraId="2167363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99"/>
            <w:noWrap/>
            <w:vAlign w:val="bottom"/>
            <w:hideMark/>
          </w:tcPr>
          <w:p w14:paraId="0F96829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2.750,00</w:t>
            </w:r>
          </w:p>
        </w:tc>
      </w:tr>
      <w:tr w:rsidR="00846ACC" w:rsidRPr="004974C0" w14:paraId="320EF26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724710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0C11595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109DF84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749F40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2.750,00</w:t>
            </w:r>
          </w:p>
        </w:tc>
        <w:tc>
          <w:tcPr>
            <w:tcW w:w="1559" w:type="dxa"/>
            <w:tcBorders>
              <w:top w:val="nil"/>
              <w:left w:val="nil"/>
              <w:bottom w:val="single" w:sz="4" w:space="0" w:color="auto"/>
              <w:right w:val="single" w:sz="4" w:space="0" w:color="auto"/>
            </w:tcBorders>
            <w:shd w:val="clear" w:color="auto" w:fill="auto"/>
            <w:noWrap/>
            <w:vAlign w:val="bottom"/>
            <w:hideMark/>
          </w:tcPr>
          <w:p w14:paraId="0B22F07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56706CE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2.750,00</w:t>
            </w:r>
          </w:p>
        </w:tc>
      </w:tr>
      <w:tr w:rsidR="00846ACC" w:rsidRPr="004974C0" w14:paraId="0B8EBA8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275FF09"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03C5B6CB"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530237E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727858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2.750,00</w:t>
            </w:r>
          </w:p>
        </w:tc>
        <w:tc>
          <w:tcPr>
            <w:tcW w:w="1559" w:type="dxa"/>
            <w:tcBorders>
              <w:top w:val="nil"/>
              <w:left w:val="nil"/>
              <w:bottom w:val="single" w:sz="4" w:space="0" w:color="auto"/>
              <w:right w:val="single" w:sz="4" w:space="0" w:color="auto"/>
            </w:tcBorders>
            <w:shd w:val="clear" w:color="auto" w:fill="auto"/>
            <w:noWrap/>
            <w:vAlign w:val="bottom"/>
            <w:hideMark/>
          </w:tcPr>
          <w:p w14:paraId="623B71A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1D84D29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2.750,00</w:t>
            </w:r>
          </w:p>
        </w:tc>
      </w:tr>
      <w:tr w:rsidR="00846ACC" w:rsidRPr="004974C0" w14:paraId="128FC6A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D977DB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4.9. 4.PRIHODI ZA POSEBNE NAMJENE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37BE2AF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58452E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7.000,00</w:t>
            </w:r>
          </w:p>
        </w:tc>
        <w:tc>
          <w:tcPr>
            <w:tcW w:w="1843" w:type="dxa"/>
            <w:tcBorders>
              <w:top w:val="nil"/>
              <w:left w:val="nil"/>
              <w:bottom w:val="single" w:sz="4" w:space="0" w:color="auto"/>
              <w:right w:val="single" w:sz="4" w:space="0" w:color="auto"/>
            </w:tcBorders>
            <w:shd w:val="clear" w:color="000000" w:fill="FFFF99"/>
            <w:noWrap/>
            <w:vAlign w:val="bottom"/>
            <w:hideMark/>
          </w:tcPr>
          <w:p w14:paraId="106E233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780,00</w:t>
            </w:r>
          </w:p>
        </w:tc>
        <w:tc>
          <w:tcPr>
            <w:tcW w:w="1559" w:type="dxa"/>
            <w:tcBorders>
              <w:top w:val="nil"/>
              <w:left w:val="nil"/>
              <w:bottom w:val="single" w:sz="4" w:space="0" w:color="auto"/>
              <w:right w:val="single" w:sz="4" w:space="0" w:color="auto"/>
            </w:tcBorders>
            <w:shd w:val="clear" w:color="000000" w:fill="FFFF99"/>
            <w:noWrap/>
            <w:vAlign w:val="bottom"/>
            <w:hideMark/>
          </w:tcPr>
          <w:p w14:paraId="6C49DC0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11,14</w:t>
            </w:r>
          </w:p>
        </w:tc>
        <w:tc>
          <w:tcPr>
            <w:tcW w:w="1803" w:type="dxa"/>
            <w:tcBorders>
              <w:top w:val="nil"/>
              <w:left w:val="nil"/>
              <w:bottom w:val="single" w:sz="4" w:space="0" w:color="auto"/>
              <w:right w:val="single" w:sz="4" w:space="0" w:color="auto"/>
            </w:tcBorders>
            <w:shd w:val="clear" w:color="000000" w:fill="FFFF99"/>
            <w:noWrap/>
            <w:vAlign w:val="bottom"/>
            <w:hideMark/>
          </w:tcPr>
          <w:p w14:paraId="688A093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7.780,00</w:t>
            </w:r>
          </w:p>
        </w:tc>
      </w:tr>
      <w:tr w:rsidR="00846ACC" w:rsidRPr="004974C0" w14:paraId="6429670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0C5392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192D8AD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 xml:space="preserve">Rashodi za nabavu </w:t>
            </w:r>
            <w:r w:rsidRPr="004974C0">
              <w:rPr>
                <w:rFonts w:ascii="Arial" w:hAnsi="Arial" w:cs="Arial"/>
                <w:b/>
                <w:bCs/>
                <w:sz w:val="20"/>
                <w:szCs w:val="20"/>
              </w:rPr>
              <w:lastRenderedPageBreak/>
              <w:t>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0335455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lastRenderedPageBreak/>
              <w:t>7.000,00</w:t>
            </w:r>
          </w:p>
        </w:tc>
        <w:tc>
          <w:tcPr>
            <w:tcW w:w="1843" w:type="dxa"/>
            <w:tcBorders>
              <w:top w:val="nil"/>
              <w:left w:val="nil"/>
              <w:bottom w:val="single" w:sz="4" w:space="0" w:color="auto"/>
              <w:right w:val="single" w:sz="4" w:space="0" w:color="auto"/>
            </w:tcBorders>
            <w:shd w:val="clear" w:color="auto" w:fill="auto"/>
            <w:noWrap/>
            <w:vAlign w:val="bottom"/>
            <w:hideMark/>
          </w:tcPr>
          <w:p w14:paraId="2DB2A4A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780,00</w:t>
            </w:r>
          </w:p>
        </w:tc>
        <w:tc>
          <w:tcPr>
            <w:tcW w:w="1559" w:type="dxa"/>
            <w:tcBorders>
              <w:top w:val="nil"/>
              <w:left w:val="nil"/>
              <w:bottom w:val="single" w:sz="4" w:space="0" w:color="auto"/>
              <w:right w:val="single" w:sz="4" w:space="0" w:color="auto"/>
            </w:tcBorders>
            <w:shd w:val="clear" w:color="auto" w:fill="auto"/>
            <w:noWrap/>
            <w:vAlign w:val="bottom"/>
            <w:hideMark/>
          </w:tcPr>
          <w:p w14:paraId="39645AE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11,14</w:t>
            </w:r>
          </w:p>
        </w:tc>
        <w:tc>
          <w:tcPr>
            <w:tcW w:w="1803" w:type="dxa"/>
            <w:tcBorders>
              <w:top w:val="nil"/>
              <w:left w:val="nil"/>
              <w:bottom w:val="single" w:sz="4" w:space="0" w:color="auto"/>
              <w:right w:val="single" w:sz="4" w:space="0" w:color="auto"/>
            </w:tcBorders>
            <w:shd w:val="clear" w:color="auto" w:fill="auto"/>
            <w:noWrap/>
            <w:vAlign w:val="bottom"/>
            <w:hideMark/>
          </w:tcPr>
          <w:p w14:paraId="5A009A3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7.780,00</w:t>
            </w:r>
          </w:p>
        </w:tc>
      </w:tr>
      <w:tr w:rsidR="00846ACC" w:rsidRPr="004974C0" w14:paraId="0687D5B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3626E15"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1225DCBF"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519238F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7.000,00</w:t>
            </w:r>
          </w:p>
        </w:tc>
        <w:tc>
          <w:tcPr>
            <w:tcW w:w="1843" w:type="dxa"/>
            <w:tcBorders>
              <w:top w:val="nil"/>
              <w:left w:val="nil"/>
              <w:bottom w:val="single" w:sz="4" w:space="0" w:color="auto"/>
              <w:right w:val="single" w:sz="4" w:space="0" w:color="auto"/>
            </w:tcBorders>
            <w:shd w:val="clear" w:color="auto" w:fill="auto"/>
            <w:noWrap/>
            <w:vAlign w:val="bottom"/>
            <w:hideMark/>
          </w:tcPr>
          <w:p w14:paraId="719F602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780,00</w:t>
            </w:r>
          </w:p>
        </w:tc>
        <w:tc>
          <w:tcPr>
            <w:tcW w:w="1559" w:type="dxa"/>
            <w:tcBorders>
              <w:top w:val="nil"/>
              <w:left w:val="nil"/>
              <w:bottom w:val="single" w:sz="4" w:space="0" w:color="auto"/>
              <w:right w:val="single" w:sz="4" w:space="0" w:color="auto"/>
            </w:tcBorders>
            <w:shd w:val="clear" w:color="auto" w:fill="auto"/>
            <w:noWrap/>
            <w:vAlign w:val="bottom"/>
            <w:hideMark/>
          </w:tcPr>
          <w:p w14:paraId="0A39640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11,14</w:t>
            </w:r>
          </w:p>
        </w:tc>
        <w:tc>
          <w:tcPr>
            <w:tcW w:w="1803" w:type="dxa"/>
            <w:tcBorders>
              <w:top w:val="nil"/>
              <w:left w:val="nil"/>
              <w:bottom w:val="single" w:sz="4" w:space="0" w:color="auto"/>
              <w:right w:val="single" w:sz="4" w:space="0" w:color="auto"/>
            </w:tcBorders>
            <w:shd w:val="clear" w:color="auto" w:fill="auto"/>
            <w:noWrap/>
            <w:vAlign w:val="bottom"/>
            <w:hideMark/>
          </w:tcPr>
          <w:p w14:paraId="56BF5E0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7.780,00</w:t>
            </w:r>
          </w:p>
        </w:tc>
      </w:tr>
      <w:tr w:rsidR="00846ACC" w:rsidRPr="004974C0" w14:paraId="4C5E73D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41EA1C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xml:space="preserve">Aktivnost A500004 Financiranje programa za djecu s teškoćama u razvoju , pripadnika manjina i </w:t>
            </w:r>
            <w:proofErr w:type="spellStart"/>
            <w:r w:rsidRPr="004974C0">
              <w:rPr>
                <w:rFonts w:ascii="Arial" w:hAnsi="Arial" w:cs="Arial"/>
                <w:b/>
                <w:bCs/>
                <w:color w:val="000000"/>
                <w:sz w:val="20"/>
                <w:szCs w:val="20"/>
              </w:rPr>
              <w:t>predškole</w:t>
            </w:r>
            <w:proofErr w:type="spellEnd"/>
          </w:p>
        </w:tc>
        <w:tc>
          <w:tcPr>
            <w:tcW w:w="1984" w:type="dxa"/>
            <w:tcBorders>
              <w:top w:val="nil"/>
              <w:left w:val="nil"/>
              <w:bottom w:val="single" w:sz="4" w:space="0" w:color="auto"/>
              <w:right w:val="single" w:sz="4" w:space="0" w:color="auto"/>
            </w:tcBorders>
            <w:shd w:val="clear" w:color="000000" w:fill="CCCCFF"/>
            <w:noWrap/>
            <w:vAlign w:val="bottom"/>
            <w:hideMark/>
          </w:tcPr>
          <w:p w14:paraId="4631100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340DA5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12.500,00</w:t>
            </w:r>
          </w:p>
        </w:tc>
        <w:tc>
          <w:tcPr>
            <w:tcW w:w="1843" w:type="dxa"/>
            <w:tcBorders>
              <w:top w:val="nil"/>
              <w:left w:val="nil"/>
              <w:bottom w:val="single" w:sz="4" w:space="0" w:color="auto"/>
              <w:right w:val="single" w:sz="4" w:space="0" w:color="auto"/>
            </w:tcBorders>
            <w:shd w:val="clear" w:color="000000" w:fill="CCCCFF"/>
            <w:noWrap/>
            <w:vAlign w:val="bottom"/>
            <w:hideMark/>
          </w:tcPr>
          <w:p w14:paraId="4A05613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w:t>
            </w:r>
          </w:p>
        </w:tc>
        <w:tc>
          <w:tcPr>
            <w:tcW w:w="1559" w:type="dxa"/>
            <w:tcBorders>
              <w:top w:val="nil"/>
              <w:left w:val="nil"/>
              <w:bottom w:val="single" w:sz="4" w:space="0" w:color="auto"/>
              <w:right w:val="single" w:sz="4" w:space="0" w:color="auto"/>
            </w:tcBorders>
            <w:shd w:val="clear" w:color="000000" w:fill="CCCCFF"/>
            <w:noWrap/>
            <w:vAlign w:val="bottom"/>
            <w:hideMark/>
          </w:tcPr>
          <w:p w14:paraId="4B6EA55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0,40</w:t>
            </w:r>
          </w:p>
        </w:tc>
        <w:tc>
          <w:tcPr>
            <w:tcW w:w="1803" w:type="dxa"/>
            <w:tcBorders>
              <w:top w:val="nil"/>
              <w:left w:val="nil"/>
              <w:bottom w:val="single" w:sz="4" w:space="0" w:color="auto"/>
              <w:right w:val="single" w:sz="4" w:space="0" w:color="auto"/>
            </w:tcBorders>
            <w:shd w:val="clear" w:color="000000" w:fill="CCCCFF"/>
            <w:noWrap/>
            <w:vAlign w:val="bottom"/>
            <w:hideMark/>
          </w:tcPr>
          <w:p w14:paraId="6EC9BCD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12.550,00</w:t>
            </w:r>
          </w:p>
        </w:tc>
      </w:tr>
      <w:tr w:rsidR="00846ACC" w:rsidRPr="004974C0" w14:paraId="10A46DD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E8E38E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1129A1D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532066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12.500,00</w:t>
            </w:r>
          </w:p>
        </w:tc>
        <w:tc>
          <w:tcPr>
            <w:tcW w:w="1843" w:type="dxa"/>
            <w:tcBorders>
              <w:top w:val="nil"/>
              <w:left w:val="nil"/>
              <w:bottom w:val="single" w:sz="4" w:space="0" w:color="auto"/>
              <w:right w:val="single" w:sz="4" w:space="0" w:color="auto"/>
            </w:tcBorders>
            <w:shd w:val="clear" w:color="000000" w:fill="FFFF99"/>
            <w:noWrap/>
            <w:vAlign w:val="bottom"/>
            <w:hideMark/>
          </w:tcPr>
          <w:p w14:paraId="6B2D573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w:t>
            </w:r>
          </w:p>
        </w:tc>
        <w:tc>
          <w:tcPr>
            <w:tcW w:w="1559" w:type="dxa"/>
            <w:tcBorders>
              <w:top w:val="nil"/>
              <w:left w:val="nil"/>
              <w:bottom w:val="single" w:sz="4" w:space="0" w:color="auto"/>
              <w:right w:val="single" w:sz="4" w:space="0" w:color="auto"/>
            </w:tcBorders>
            <w:shd w:val="clear" w:color="000000" w:fill="FFFF99"/>
            <w:noWrap/>
            <w:vAlign w:val="bottom"/>
            <w:hideMark/>
          </w:tcPr>
          <w:p w14:paraId="4577CE1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0,40</w:t>
            </w:r>
          </w:p>
        </w:tc>
        <w:tc>
          <w:tcPr>
            <w:tcW w:w="1803" w:type="dxa"/>
            <w:tcBorders>
              <w:top w:val="nil"/>
              <w:left w:val="nil"/>
              <w:bottom w:val="single" w:sz="4" w:space="0" w:color="auto"/>
              <w:right w:val="single" w:sz="4" w:space="0" w:color="auto"/>
            </w:tcBorders>
            <w:shd w:val="clear" w:color="000000" w:fill="FFFF99"/>
            <w:noWrap/>
            <w:vAlign w:val="bottom"/>
            <w:hideMark/>
          </w:tcPr>
          <w:p w14:paraId="202A44F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12.550,00</w:t>
            </w:r>
          </w:p>
        </w:tc>
      </w:tr>
      <w:tr w:rsidR="00846ACC" w:rsidRPr="004974C0" w14:paraId="4F26F81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F163D6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633E54A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942B2B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12.500,00</w:t>
            </w:r>
          </w:p>
        </w:tc>
        <w:tc>
          <w:tcPr>
            <w:tcW w:w="1843" w:type="dxa"/>
            <w:tcBorders>
              <w:top w:val="nil"/>
              <w:left w:val="nil"/>
              <w:bottom w:val="single" w:sz="4" w:space="0" w:color="auto"/>
              <w:right w:val="single" w:sz="4" w:space="0" w:color="auto"/>
            </w:tcBorders>
            <w:shd w:val="clear" w:color="auto" w:fill="auto"/>
            <w:noWrap/>
            <w:vAlign w:val="bottom"/>
            <w:hideMark/>
          </w:tcPr>
          <w:p w14:paraId="3ECF99E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w:t>
            </w:r>
          </w:p>
        </w:tc>
        <w:tc>
          <w:tcPr>
            <w:tcW w:w="1559" w:type="dxa"/>
            <w:tcBorders>
              <w:top w:val="nil"/>
              <w:left w:val="nil"/>
              <w:bottom w:val="single" w:sz="4" w:space="0" w:color="auto"/>
              <w:right w:val="single" w:sz="4" w:space="0" w:color="auto"/>
            </w:tcBorders>
            <w:shd w:val="clear" w:color="auto" w:fill="auto"/>
            <w:noWrap/>
            <w:vAlign w:val="bottom"/>
            <w:hideMark/>
          </w:tcPr>
          <w:p w14:paraId="3D4F46C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0,40</w:t>
            </w:r>
          </w:p>
        </w:tc>
        <w:tc>
          <w:tcPr>
            <w:tcW w:w="1803" w:type="dxa"/>
            <w:tcBorders>
              <w:top w:val="nil"/>
              <w:left w:val="nil"/>
              <w:bottom w:val="single" w:sz="4" w:space="0" w:color="auto"/>
              <w:right w:val="single" w:sz="4" w:space="0" w:color="auto"/>
            </w:tcBorders>
            <w:shd w:val="clear" w:color="auto" w:fill="auto"/>
            <w:noWrap/>
            <w:vAlign w:val="bottom"/>
            <w:hideMark/>
          </w:tcPr>
          <w:p w14:paraId="255BD5D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12.550,00</w:t>
            </w:r>
          </w:p>
        </w:tc>
      </w:tr>
      <w:tr w:rsidR="00846ACC" w:rsidRPr="004974C0" w14:paraId="63397F5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50753AF"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5221A32"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853BDC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12.500,00</w:t>
            </w:r>
          </w:p>
        </w:tc>
        <w:tc>
          <w:tcPr>
            <w:tcW w:w="1843" w:type="dxa"/>
            <w:tcBorders>
              <w:top w:val="nil"/>
              <w:left w:val="nil"/>
              <w:bottom w:val="single" w:sz="4" w:space="0" w:color="auto"/>
              <w:right w:val="single" w:sz="4" w:space="0" w:color="auto"/>
            </w:tcBorders>
            <w:shd w:val="clear" w:color="auto" w:fill="auto"/>
            <w:noWrap/>
            <w:vAlign w:val="bottom"/>
            <w:hideMark/>
          </w:tcPr>
          <w:p w14:paraId="2FA4CF1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w:t>
            </w:r>
          </w:p>
        </w:tc>
        <w:tc>
          <w:tcPr>
            <w:tcW w:w="1559" w:type="dxa"/>
            <w:tcBorders>
              <w:top w:val="nil"/>
              <w:left w:val="nil"/>
              <w:bottom w:val="single" w:sz="4" w:space="0" w:color="auto"/>
              <w:right w:val="single" w:sz="4" w:space="0" w:color="auto"/>
            </w:tcBorders>
            <w:shd w:val="clear" w:color="auto" w:fill="auto"/>
            <w:noWrap/>
            <w:vAlign w:val="bottom"/>
            <w:hideMark/>
          </w:tcPr>
          <w:p w14:paraId="60AA787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0,40</w:t>
            </w:r>
          </w:p>
        </w:tc>
        <w:tc>
          <w:tcPr>
            <w:tcW w:w="1803" w:type="dxa"/>
            <w:tcBorders>
              <w:top w:val="nil"/>
              <w:left w:val="nil"/>
              <w:bottom w:val="single" w:sz="4" w:space="0" w:color="auto"/>
              <w:right w:val="single" w:sz="4" w:space="0" w:color="auto"/>
            </w:tcBorders>
            <w:shd w:val="clear" w:color="auto" w:fill="auto"/>
            <w:noWrap/>
            <w:vAlign w:val="bottom"/>
            <w:hideMark/>
          </w:tcPr>
          <w:p w14:paraId="06DCE49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12.550,00</w:t>
            </w:r>
          </w:p>
        </w:tc>
      </w:tr>
      <w:tr w:rsidR="00846ACC" w:rsidRPr="004974C0" w14:paraId="089381C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FD81A2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Tekući projekt T500003 Projekt Erasmus "Vrtić u kojem su sretna i djeca i roditelji"</w:t>
            </w:r>
          </w:p>
        </w:tc>
        <w:tc>
          <w:tcPr>
            <w:tcW w:w="1984" w:type="dxa"/>
            <w:tcBorders>
              <w:top w:val="nil"/>
              <w:left w:val="nil"/>
              <w:bottom w:val="single" w:sz="4" w:space="0" w:color="auto"/>
              <w:right w:val="single" w:sz="4" w:space="0" w:color="auto"/>
            </w:tcBorders>
            <w:shd w:val="clear" w:color="000000" w:fill="CCCCFF"/>
            <w:noWrap/>
            <w:vAlign w:val="bottom"/>
            <w:hideMark/>
          </w:tcPr>
          <w:p w14:paraId="1071392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2AAF40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w:t>
            </w:r>
          </w:p>
        </w:tc>
        <w:tc>
          <w:tcPr>
            <w:tcW w:w="1843" w:type="dxa"/>
            <w:tcBorders>
              <w:top w:val="nil"/>
              <w:left w:val="nil"/>
              <w:bottom w:val="single" w:sz="4" w:space="0" w:color="auto"/>
              <w:right w:val="single" w:sz="4" w:space="0" w:color="auto"/>
            </w:tcBorders>
            <w:shd w:val="clear" w:color="000000" w:fill="CCCCFF"/>
            <w:noWrap/>
            <w:vAlign w:val="bottom"/>
            <w:hideMark/>
          </w:tcPr>
          <w:p w14:paraId="5360560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3.452,00</w:t>
            </w:r>
          </w:p>
        </w:tc>
        <w:tc>
          <w:tcPr>
            <w:tcW w:w="1559" w:type="dxa"/>
            <w:tcBorders>
              <w:top w:val="nil"/>
              <w:left w:val="nil"/>
              <w:bottom w:val="single" w:sz="4" w:space="0" w:color="auto"/>
              <w:right w:val="single" w:sz="4" w:space="0" w:color="auto"/>
            </w:tcBorders>
            <w:shd w:val="clear" w:color="000000" w:fill="CCCCFF"/>
            <w:noWrap/>
            <w:vAlign w:val="bottom"/>
            <w:hideMark/>
          </w:tcPr>
          <w:p w14:paraId="31D05DA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138,08</w:t>
            </w:r>
          </w:p>
        </w:tc>
        <w:tc>
          <w:tcPr>
            <w:tcW w:w="1803" w:type="dxa"/>
            <w:tcBorders>
              <w:top w:val="nil"/>
              <w:left w:val="nil"/>
              <w:bottom w:val="single" w:sz="4" w:space="0" w:color="auto"/>
              <w:right w:val="single" w:sz="4" w:space="0" w:color="auto"/>
            </w:tcBorders>
            <w:shd w:val="clear" w:color="000000" w:fill="CCCCFF"/>
            <w:noWrap/>
            <w:vAlign w:val="bottom"/>
            <w:hideMark/>
          </w:tcPr>
          <w:p w14:paraId="21A66C3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5.952,00</w:t>
            </w:r>
          </w:p>
        </w:tc>
      </w:tr>
      <w:tr w:rsidR="00846ACC" w:rsidRPr="004974C0" w14:paraId="61930BB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DE6A7C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34BF5A2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BF17FD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w:t>
            </w:r>
          </w:p>
        </w:tc>
        <w:tc>
          <w:tcPr>
            <w:tcW w:w="1843" w:type="dxa"/>
            <w:tcBorders>
              <w:top w:val="nil"/>
              <w:left w:val="nil"/>
              <w:bottom w:val="single" w:sz="4" w:space="0" w:color="auto"/>
              <w:right w:val="single" w:sz="4" w:space="0" w:color="auto"/>
            </w:tcBorders>
            <w:shd w:val="clear" w:color="000000" w:fill="FFFF99"/>
            <w:noWrap/>
            <w:vAlign w:val="bottom"/>
            <w:hideMark/>
          </w:tcPr>
          <w:p w14:paraId="6AC29C3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3.452,00</w:t>
            </w:r>
          </w:p>
        </w:tc>
        <w:tc>
          <w:tcPr>
            <w:tcW w:w="1559" w:type="dxa"/>
            <w:tcBorders>
              <w:top w:val="nil"/>
              <w:left w:val="nil"/>
              <w:bottom w:val="single" w:sz="4" w:space="0" w:color="auto"/>
              <w:right w:val="single" w:sz="4" w:space="0" w:color="auto"/>
            </w:tcBorders>
            <w:shd w:val="clear" w:color="000000" w:fill="FFFF99"/>
            <w:noWrap/>
            <w:vAlign w:val="bottom"/>
            <w:hideMark/>
          </w:tcPr>
          <w:p w14:paraId="46EF076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138,08</w:t>
            </w:r>
          </w:p>
        </w:tc>
        <w:tc>
          <w:tcPr>
            <w:tcW w:w="1803" w:type="dxa"/>
            <w:tcBorders>
              <w:top w:val="nil"/>
              <w:left w:val="nil"/>
              <w:bottom w:val="single" w:sz="4" w:space="0" w:color="auto"/>
              <w:right w:val="single" w:sz="4" w:space="0" w:color="auto"/>
            </w:tcBorders>
            <w:shd w:val="clear" w:color="000000" w:fill="FFFF99"/>
            <w:noWrap/>
            <w:vAlign w:val="bottom"/>
            <w:hideMark/>
          </w:tcPr>
          <w:p w14:paraId="5AFAC63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5.952,00</w:t>
            </w:r>
          </w:p>
        </w:tc>
      </w:tr>
      <w:tr w:rsidR="00846ACC" w:rsidRPr="004974C0" w14:paraId="71EE22C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13630B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76F8D61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33B28B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2.500,00</w:t>
            </w:r>
          </w:p>
        </w:tc>
        <w:tc>
          <w:tcPr>
            <w:tcW w:w="1843" w:type="dxa"/>
            <w:tcBorders>
              <w:top w:val="nil"/>
              <w:left w:val="nil"/>
              <w:bottom w:val="single" w:sz="4" w:space="0" w:color="auto"/>
              <w:right w:val="single" w:sz="4" w:space="0" w:color="auto"/>
            </w:tcBorders>
            <w:shd w:val="clear" w:color="auto" w:fill="auto"/>
            <w:noWrap/>
            <w:vAlign w:val="bottom"/>
            <w:hideMark/>
          </w:tcPr>
          <w:p w14:paraId="4F96035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3.452,00</w:t>
            </w:r>
          </w:p>
        </w:tc>
        <w:tc>
          <w:tcPr>
            <w:tcW w:w="1559" w:type="dxa"/>
            <w:tcBorders>
              <w:top w:val="nil"/>
              <w:left w:val="nil"/>
              <w:bottom w:val="single" w:sz="4" w:space="0" w:color="auto"/>
              <w:right w:val="single" w:sz="4" w:space="0" w:color="auto"/>
            </w:tcBorders>
            <w:shd w:val="clear" w:color="auto" w:fill="auto"/>
            <w:noWrap/>
            <w:vAlign w:val="bottom"/>
            <w:hideMark/>
          </w:tcPr>
          <w:p w14:paraId="490C15E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138,08</w:t>
            </w:r>
          </w:p>
        </w:tc>
        <w:tc>
          <w:tcPr>
            <w:tcW w:w="1803" w:type="dxa"/>
            <w:tcBorders>
              <w:top w:val="nil"/>
              <w:left w:val="nil"/>
              <w:bottom w:val="single" w:sz="4" w:space="0" w:color="auto"/>
              <w:right w:val="single" w:sz="4" w:space="0" w:color="auto"/>
            </w:tcBorders>
            <w:shd w:val="clear" w:color="auto" w:fill="auto"/>
            <w:noWrap/>
            <w:vAlign w:val="bottom"/>
            <w:hideMark/>
          </w:tcPr>
          <w:p w14:paraId="6FB0EFD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5.952,00</w:t>
            </w:r>
          </w:p>
        </w:tc>
      </w:tr>
      <w:tr w:rsidR="00846ACC" w:rsidRPr="004974C0" w14:paraId="05052BC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7B85EE4"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71D38C1"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17171B7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2.500,00</w:t>
            </w:r>
          </w:p>
        </w:tc>
        <w:tc>
          <w:tcPr>
            <w:tcW w:w="1843" w:type="dxa"/>
            <w:tcBorders>
              <w:top w:val="nil"/>
              <w:left w:val="nil"/>
              <w:bottom w:val="single" w:sz="4" w:space="0" w:color="auto"/>
              <w:right w:val="single" w:sz="4" w:space="0" w:color="auto"/>
            </w:tcBorders>
            <w:shd w:val="clear" w:color="auto" w:fill="auto"/>
            <w:noWrap/>
            <w:vAlign w:val="bottom"/>
            <w:hideMark/>
          </w:tcPr>
          <w:p w14:paraId="6C860F9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3.452,00</w:t>
            </w:r>
          </w:p>
        </w:tc>
        <w:tc>
          <w:tcPr>
            <w:tcW w:w="1559" w:type="dxa"/>
            <w:tcBorders>
              <w:top w:val="nil"/>
              <w:left w:val="nil"/>
              <w:bottom w:val="single" w:sz="4" w:space="0" w:color="auto"/>
              <w:right w:val="single" w:sz="4" w:space="0" w:color="auto"/>
            </w:tcBorders>
            <w:shd w:val="clear" w:color="auto" w:fill="auto"/>
            <w:noWrap/>
            <w:vAlign w:val="bottom"/>
            <w:hideMark/>
          </w:tcPr>
          <w:p w14:paraId="6E108F0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138,08</w:t>
            </w:r>
          </w:p>
        </w:tc>
        <w:tc>
          <w:tcPr>
            <w:tcW w:w="1803" w:type="dxa"/>
            <w:tcBorders>
              <w:top w:val="nil"/>
              <w:left w:val="nil"/>
              <w:bottom w:val="single" w:sz="4" w:space="0" w:color="auto"/>
              <w:right w:val="single" w:sz="4" w:space="0" w:color="auto"/>
            </w:tcBorders>
            <w:shd w:val="clear" w:color="auto" w:fill="auto"/>
            <w:noWrap/>
            <w:vAlign w:val="bottom"/>
            <w:hideMark/>
          </w:tcPr>
          <w:p w14:paraId="0C4D1AA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5.952,00</w:t>
            </w:r>
          </w:p>
        </w:tc>
      </w:tr>
      <w:tr w:rsidR="00846ACC" w:rsidRPr="004974C0" w14:paraId="7953F52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0000FF"/>
            <w:noWrap/>
            <w:vAlign w:val="bottom"/>
            <w:hideMark/>
          </w:tcPr>
          <w:p w14:paraId="326E1FDB"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Glava 50003 USTANOVE ŠKOLSTVA</w:t>
            </w:r>
          </w:p>
        </w:tc>
        <w:tc>
          <w:tcPr>
            <w:tcW w:w="1984" w:type="dxa"/>
            <w:tcBorders>
              <w:top w:val="nil"/>
              <w:left w:val="nil"/>
              <w:bottom w:val="single" w:sz="4" w:space="0" w:color="auto"/>
              <w:right w:val="single" w:sz="4" w:space="0" w:color="auto"/>
            </w:tcBorders>
            <w:shd w:val="clear" w:color="000000" w:fill="0000FF"/>
            <w:noWrap/>
            <w:vAlign w:val="bottom"/>
            <w:hideMark/>
          </w:tcPr>
          <w:p w14:paraId="45C8D9DE"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0000FF"/>
            <w:noWrap/>
            <w:vAlign w:val="bottom"/>
            <w:hideMark/>
          </w:tcPr>
          <w:p w14:paraId="455AF429"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6.789.137,00</w:t>
            </w:r>
          </w:p>
        </w:tc>
        <w:tc>
          <w:tcPr>
            <w:tcW w:w="1843" w:type="dxa"/>
            <w:tcBorders>
              <w:top w:val="nil"/>
              <w:left w:val="nil"/>
              <w:bottom w:val="single" w:sz="4" w:space="0" w:color="auto"/>
              <w:right w:val="single" w:sz="4" w:space="0" w:color="auto"/>
            </w:tcBorders>
            <w:shd w:val="clear" w:color="000000" w:fill="0000FF"/>
            <w:noWrap/>
            <w:vAlign w:val="bottom"/>
            <w:hideMark/>
          </w:tcPr>
          <w:p w14:paraId="4D55B2EB"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290.403,00</w:t>
            </w:r>
          </w:p>
        </w:tc>
        <w:tc>
          <w:tcPr>
            <w:tcW w:w="1559" w:type="dxa"/>
            <w:tcBorders>
              <w:top w:val="nil"/>
              <w:left w:val="nil"/>
              <w:bottom w:val="single" w:sz="4" w:space="0" w:color="auto"/>
              <w:right w:val="single" w:sz="4" w:space="0" w:color="auto"/>
            </w:tcBorders>
            <w:shd w:val="clear" w:color="000000" w:fill="0000FF"/>
            <w:noWrap/>
            <w:vAlign w:val="bottom"/>
            <w:hideMark/>
          </w:tcPr>
          <w:p w14:paraId="6BBDBC08"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4,28</w:t>
            </w:r>
          </w:p>
        </w:tc>
        <w:tc>
          <w:tcPr>
            <w:tcW w:w="1803" w:type="dxa"/>
            <w:tcBorders>
              <w:top w:val="nil"/>
              <w:left w:val="nil"/>
              <w:bottom w:val="single" w:sz="4" w:space="0" w:color="auto"/>
              <w:right w:val="single" w:sz="4" w:space="0" w:color="auto"/>
            </w:tcBorders>
            <w:shd w:val="clear" w:color="000000" w:fill="0000FF"/>
            <w:noWrap/>
            <w:vAlign w:val="bottom"/>
            <w:hideMark/>
          </w:tcPr>
          <w:p w14:paraId="68E376DD"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7.079.540,00</w:t>
            </w:r>
          </w:p>
        </w:tc>
      </w:tr>
      <w:tr w:rsidR="00846ACC" w:rsidRPr="004974C0" w14:paraId="403E443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3366FF"/>
            <w:noWrap/>
            <w:vAlign w:val="bottom"/>
            <w:hideMark/>
          </w:tcPr>
          <w:p w14:paraId="24F065C2"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Proračunski korisnik 10581 OSNOVNA ŠKOLA MATIJE VLAČIĆA LABIN</w:t>
            </w:r>
          </w:p>
        </w:tc>
        <w:tc>
          <w:tcPr>
            <w:tcW w:w="1984" w:type="dxa"/>
            <w:tcBorders>
              <w:top w:val="nil"/>
              <w:left w:val="nil"/>
              <w:bottom w:val="single" w:sz="4" w:space="0" w:color="auto"/>
              <w:right w:val="single" w:sz="4" w:space="0" w:color="auto"/>
            </w:tcBorders>
            <w:shd w:val="clear" w:color="000000" w:fill="3366FF"/>
            <w:noWrap/>
            <w:vAlign w:val="bottom"/>
            <w:hideMark/>
          </w:tcPr>
          <w:p w14:paraId="357C8ABC"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3366FF"/>
            <w:noWrap/>
            <w:vAlign w:val="bottom"/>
            <w:hideMark/>
          </w:tcPr>
          <w:p w14:paraId="05E31E2D"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1.964.356,00</w:t>
            </w:r>
          </w:p>
        </w:tc>
        <w:tc>
          <w:tcPr>
            <w:tcW w:w="1843" w:type="dxa"/>
            <w:tcBorders>
              <w:top w:val="nil"/>
              <w:left w:val="nil"/>
              <w:bottom w:val="single" w:sz="4" w:space="0" w:color="auto"/>
              <w:right w:val="single" w:sz="4" w:space="0" w:color="auto"/>
            </w:tcBorders>
            <w:shd w:val="clear" w:color="000000" w:fill="3366FF"/>
            <w:noWrap/>
            <w:vAlign w:val="bottom"/>
            <w:hideMark/>
          </w:tcPr>
          <w:p w14:paraId="75094996"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55.757,00</w:t>
            </w:r>
          </w:p>
        </w:tc>
        <w:tc>
          <w:tcPr>
            <w:tcW w:w="1559" w:type="dxa"/>
            <w:tcBorders>
              <w:top w:val="nil"/>
              <w:left w:val="nil"/>
              <w:bottom w:val="single" w:sz="4" w:space="0" w:color="auto"/>
              <w:right w:val="single" w:sz="4" w:space="0" w:color="auto"/>
            </w:tcBorders>
            <w:shd w:val="clear" w:color="000000" w:fill="3366FF"/>
            <w:noWrap/>
            <w:vAlign w:val="bottom"/>
            <w:hideMark/>
          </w:tcPr>
          <w:p w14:paraId="0058E3E6"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2,84</w:t>
            </w:r>
          </w:p>
        </w:tc>
        <w:tc>
          <w:tcPr>
            <w:tcW w:w="1803" w:type="dxa"/>
            <w:tcBorders>
              <w:top w:val="nil"/>
              <w:left w:val="nil"/>
              <w:bottom w:val="single" w:sz="4" w:space="0" w:color="auto"/>
              <w:right w:val="single" w:sz="4" w:space="0" w:color="auto"/>
            </w:tcBorders>
            <w:shd w:val="clear" w:color="000000" w:fill="3366FF"/>
            <w:noWrap/>
            <w:vAlign w:val="bottom"/>
            <w:hideMark/>
          </w:tcPr>
          <w:p w14:paraId="6D2BB150"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2.020.113,00</w:t>
            </w:r>
          </w:p>
        </w:tc>
      </w:tr>
      <w:tr w:rsidR="00846ACC" w:rsidRPr="004974C0" w14:paraId="6D91A7D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2FCB1D3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1E2D764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11FD98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168.600,00</w:t>
            </w:r>
          </w:p>
        </w:tc>
        <w:tc>
          <w:tcPr>
            <w:tcW w:w="1843" w:type="dxa"/>
            <w:tcBorders>
              <w:top w:val="nil"/>
              <w:left w:val="nil"/>
              <w:bottom w:val="single" w:sz="4" w:space="0" w:color="auto"/>
              <w:right w:val="single" w:sz="4" w:space="0" w:color="auto"/>
            </w:tcBorders>
            <w:shd w:val="clear" w:color="000000" w:fill="FFFFFF"/>
            <w:noWrap/>
            <w:vAlign w:val="bottom"/>
            <w:hideMark/>
          </w:tcPr>
          <w:p w14:paraId="4DE84E4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12.000,00</w:t>
            </w:r>
          </w:p>
        </w:tc>
        <w:tc>
          <w:tcPr>
            <w:tcW w:w="1559" w:type="dxa"/>
            <w:tcBorders>
              <w:top w:val="nil"/>
              <w:left w:val="nil"/>
              <w:bottom w:val="single" w:sz="4" w:space="0" w:color="auto"/>
              <w:right w:val="single" w:sz="4" w:space="0" w:color="auto"/>
            </w:tcBorders>
            <w:shd w:val="clear" w:color="000000" w:fill="FFFFFF"/>
            <w:noWrap/>
            <w:vAlign w:val="bottom"/>
            <w:hideMark/>
          </w:tcPr>
          <w:p w14:paraId="640F016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7,12</w:t>
            </w:r>
          </w:p>
        </w:tc>
        <w:tc>
          <w:tcPr>
            <w:tcW w:w="1803" w:type="dxa"/>
            <w:tcBorders>
              <w:top w:val="nil"/>
              <w:left w:val="nil"/>
              <w:bottom w:val="single" w:sz="4" w:space="0" w:color="auto"/>
              <w:right w:val="single" w:sz="4" w:space="0" w:color="auto"/>
            </w:tcBorders>
            <w:shd w:val="clear" w:color="000000" w:fill="FFFFFF"/>
            <w:noWrap/>
            <w:vAlign w:val="bottom"/>
            <w:hideMark/>
          </w:tcPr>
          <w:p w14:paraId="2EB4EA6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180.600,00</w:t>
            </w:r>
          </w:p>
        </w:tc>
      </w:tr>
      <w:tr w:rsidR="00846ACC" w:rsidRPr="004974C0" w14:paraId="5F28C31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07E1D4C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7DAD9EB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8AE3E4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168.600,00</w:t>
            </w:r>
          </w:p>
        </w:tc>
        <w:tc>
          <w:tcPr>
            <w:tcW w:w="1843" w:type="dxa"/>
            <w:tcBorders>
              <w:top w:val="nil"/>
              <w:left w:val="nil"/>
              <w:bottom w:val="single" w:sz="4" w:space="0" w:color="auto"/>
              <w:right w:val="single" w:sz="4" w:space="0" w:color="auto"/>
            </w:tcBorders>
            <w:shd w:val="clear" w:color="000000" w:fill="FFFFFF"/>
            <w:noWrap/>
            <w:vAlign w:val="bottom"/>
            <w:hideMark/>
          </w:tcPr>
          <w:p w14:paraId="1F96F59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12.000,00</w:t>
            </w:r>
          </w:p>
        </w:tc>
        <w:tc>
          <w:tcPr>
            <w:tcW w:w="1559" w:type="dxa"/>
            <w:tcBorders>
              <w:top w:val="nil"/>
              <w:left w:val="nil"/>
              <w:bottom w:val="single" w:sz="4" w:space="0" w:color="auto"/>
              <w:right w:val="single" w:sz="4" w:space="0" w:color="auto"/>
            </w:tcBorders>
            <w:shd w:val="clear" w:color="000000" w:fill="FFFFFF"/>
            <w:noWrap/>
            <w:vAlign w:val="bottom"/>
            <w:hideMark/>
          </w:tcPr>
          <w:p w14:paraId="7D58819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7,12</w:t>
            </w:r>
          </w:p>
        </w:tc>
        <w:tc>
          <w:tcPr>
            <w:tcW w:w="1803" w:type="dxa"/>
            <w:tcBorders>
              <w:top w:val="nil"/>
              <w:left w:val="nil"/>
              <w:bottom w:val="single" w:sz="4" w:space="0" w:color="auto"/>
              <w:right w:val="single" w:sz="4" w:space="0" w:color="auto"/>
            </w:tcBorders>
            <w:shd w:val="clear" w:color="000000" w:fill="FFFFFF"/>
            <w:noWrap/>
            <w:vAlign w:val="bottom"/>
            <w:hideMark/>
          </w:tcPr>
          <w:p w14:paraId="4771431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180.600,00</w:t>
            </w:r>
          </w:p>
        </w:tc>
      </w:tr>
      <w:tr w:rsidR="00846ACC" w:rsidRPr="004974C0" w14:paraId="0343893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9D055F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 VLASTITI PRIHODI</w:t>
            </w:r>
          </w:p>
        </w:tc>
        <w:tc>
          <w:tcPr>
            <w:tcW w:w="1984" w:type="dxa"/>
            <w:tcBorders>
              <w:top w:val="nil"/>
              <w:left w:val="nil"/>
              <w:bottom w:val="single" w:sz="4" w:space="0" w:color="auto"/>
              <w:right w:val="single" w:sz="4" w:space="0" w:color="auto"/>
            </w:tcBorders>
            <w:shd w:val="clear" w:color="000000" w:fill="FFFFFF"/>
            <w:noWrap/>
            <w:vAlign w:val="bottom"/>
            <w:hideMark/>
          </w:tcPr>
          <w:p w14:paraId="087EC91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2F4269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w:t>
            </w:r>
          </w:p>
        </w:tc>
        <w:tc>
          <w:tcPr>
            <w:tcW w:w="1843" w:type="dxa"/>
            <w:tcBorders>
              <w:top w:val="nil"/>
              <w:left w:val="nil"/>
              <w:bottom w:val="single" w:sz="4" w:space="0" w:color="auto"/>
              <w:right w:val="single" w:sz="4" w:space="0" w:color="auto"/>
            </w:tcBorders>
            <w:shd w:val="clear" w:color="000000" w:fill="FFFFFF"/>
            <w:noWrap/>
            <w:vAlign w:val="bottom"/>
            <w:hideMark/>
          </w:tcPr>
          <w:p w14:paraId="6B79E03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2.735,00</w:t>
            </w:r>
          </w:p>
        </w:tc>
        <w:tc>
          <w:tcPr>
            <w:tcW w:w="1559" w:type="dxa"/>
            <w:tcBorders>
              <w:top w:val="nil"/>
              <w:left w:val="nil"/>
              <w:bottom w:val="single" w:sz="4" w:space="0" w:color="auto"/>
              <w:right w:val="single" w:sz="4" w:space="0" w:color="auto"/>
            </w:tcBorders>
            <w:shd w:val="clear" w:color="000000" w:fill="FFFFFF"/>
            <w:noWrap/>
            <w:vAlign w:val="bottom"/>
            <w:hideMark/>
          </w:tcPr>
          <w:p w14:paraId="3D9AE0D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109,40</w:t>
            </w:r>
          </w:p>
        </w:tc>
        <w:tc>
          <w:tcPr>
            <w:tcW w:w="1803" w:type="dxa"/>
            <w:tcBorders>
              <w:top w:val="nil"/>
              <w:left w:val="nil"/>
              <w:bottom w:val="single" w:sz="4" w:space="0" w:color="auto"/>
              <w:right w:val="single" w:sz="4" w:space="0" w:color="auto"/>
            </w:tcBorders>
            <w:shd w:val="clear" w:color="000000" w:fill="FFFFFF"/>
            <w:noWrap/>
            <w:vAlign w:val="bottom"/>
            <w:hideMark/>
          </w:tcPr>
          <w:p w14:paraId="79B080A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5.235,00</w:t>
            </w:r>
          </w:p>
        </w:tc>
      </w:tr>
      <w:tr w:rsidR="00846ACC" w:rsidRPr="004974C0" w14:paraId="517A146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0F4C09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3.9. VLASTITI PRIHODI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588DACD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E2B826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w:t>
            </w:r>
          </w:p>
        </w:tc>
        <w:tc>
          <w:tcPr>
            <w:tcW w:w="1843" w:type="dxa"/>
            <w:tcBorders>
              <w:top w:val="nil"/>
              <w:left w:val="nil"/>
              <w:bottom w:val="single" w:sz="4" w:space="0" w:color="auto"/>
              <w:right w:val="single" w:sz="4" w:space="0" w:color="auto"/>
            </w:tcBorders>
            <w:shd w:val="clear" w:color="000000" w:fill="FFFFFF"/>
            <w:noWrap/>
            <w:vAlign w:val="bottom"/>
            <w:hideMark/>
          </w:tcPr>
          <w:p w14:paraId="76357C6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2.735,00</w:t>
            </w:r>
          </w:p>
        </w:tc>
        <w:tc>
          <w:tcPr>
            <w:tcW w:w="1559" w:type="dxa"/>
            <w:tcBorders>
              <w:top w:val="nil"/>
              <w:left w:val="nil"/>
              <w:bottom w:val="single" w:sz="4" w:space="0" w:color="auto"/>
              <w:right w:val="single" w:sz="4" w:space="0" w:color="auto"/>
            </w:tcBorders>
            <w:shd w:val="clear" w:color="000000" w:fill="FFFFFF"/>
            <w:noWrap/>
            <w:vAlign w:val="bottom"/>
            <w:hideMark/>
          </w:tcPr>
          <w:p w14:paraId="7CF2925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109,40</w:t>
            </w:r>
          </w:p>
        </w:tc>
        <w:tc>
          <w:tcPr>
            <w:tcW w:w="1803" w:type="dxa"/>
            <w:tcBorders>
              <w:top w:val="nil"/>
              <w:left w:val="nil"/>
              <w:bottom w:val="single" w:sz="4" w:space="0" w:color="auto"/>
              <w:right w:val="single" w:sz="4" w:space="0" w:color="auto"/>
            </w:tcBorders>
            <w:shd w:val="clear" w:color="000000" w:fill="FFFFFF"/>
            <w:noWrap/>
            <w:vAlign w:val="bottom"/>
            <w:hideMark/>
          </w:tcPr>
          <w:p w14:paraId="00E44D6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5.235,00</w:t>
            </w:r>
          </w:p>
        </w:tc>
      </w:tr>
      <w:tr w:rsidR="00846ACC" w:rsidRPr="004974C0" w14:paraId="4A117270"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36D7EC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 PRIHODI ZA POSEBNE NAMJENE</w:t>
            </w:r>
          </w:p>
        </w:tc>
        <w:tc>
          <w:tcPr>
            <w:tcW w:w="1984" w:type="dxa"/>
            <w:tcBorders>
              <w:top w:val="nil"/>
              <w:left w:val="nil"/>
              <w:bottom w:val="single" w:sz="4" w:space="0" w:color="auto"/>
              <w:right w:val="single" w:sz="4" w:space="0" w:color="auto"/>
            </w:tcBorders>
            <w:shd w:val="clear" w:color="000000" w:fill="FFFFFF"/>
            <w:noWrap/>
            <w:vAlign w:val="bottom"/>
            <w:hideMark/>
          </w:tcPr>
          <w:p w14:paraId="2AA6331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502270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79.750,00</w:t>
            </w:r>
          </w:p>
        </w:tc>
        <w:tc>
          <w:tcPr>
            <w:tcW w:w="1843" w:type="dxa"/>
            <w:tcBorders>
              <w:top w:val="nil"/>
              <w:left w:val="nil"/>
              <w:bottom w:val="single" w:sz="4" w:space="0" w:color="auto"/>
              <w:right w:val="single" w:sz="4" w:space="0" w:color="auto"/>
            </w:tcBorders>
            <w:shd w:val="clear" w:color="000000" w:fill="FFFFFF"/>
            <w:noWrap/>
            <w:vAlign w:val="bottom"/>
            <w:hideMark/>
          </w:tcPr>
          <w:p w14:paraId="7E9F600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2.292,00</w:t>
            </w:r>
          </w:p>
        </w:tc>
        <w:tc>
          <w:tcPr>
            <w:tcW w:w="1559" w:type="dxa"/>
            <w:tcBorders>
              <w:top w:val="nil"/>
              <w:left w:val="nil"/>
              <w:bottom w:val="single" w:sz="4" w:space="0" w:color="auto"/>
              <w:right w:val="single" w:sz="4" w:space="0" w:color="auto"/>
            </w:tcBorders>
            <w:shd w:val="clear" w:color="000000" w:fill="FFFFFF"/>
            <w:noWrap/>
            <w:vAlign w:val="bottom"/>
            <w:hideMark/>
          </w:tcPr>
          <w:p w14:paraId="4333C06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2,87</w:t>
            </w:r>
          </w:p>
        </w:tc>
        <w:tc>
          <w:tcPr>
            <w:tcW w:w="1803" w:type="dxa"/>
            <w:tcBorders>
              <w:top w:val="nil"/>
              <w:left w:val="nil"/>
              <w:bottom w:val="single" w:sz="4" w:space="0" w:color="auto"/>
              <w:right w:val="single" w:sz="4" w:space="0" w:color="auto"/>
            </w:tcBorders>
            <w:shd w:val="clear" w:color="000000" w:fill="FFFFFF"/>
            <w:noWrap/>
            <w:vAlign w:val="bottom"/>
            <w:hideMark/>
          </w:tcPr>
          <w:p w14:paraId="336879B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82.042,00</w:t>
            </w:r>
          </w:p>
        </w:tc>
      </w:tr>
      <w:tr w:rsidR="00846ACC" w:rsidRPr="004974C0" w14:paraId="44DFB27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A60053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4.9. 4.PRIHODI ZA POSEBNE NAMJENE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70B3B56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942849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79.750,00</w:t>
            </w:r>
          </w:p>
        </w:tc>
        <w:tc>
          <w:tcPr>
            <w:tcW w:w="1843" w:type="dxa"/>
            <w:tcBorders>
              <w:top w:val="nil"/>
              <w:left w:val="nil"/>
              <w:bottom w:val="single" w:sz="4" w:space="0" w:color="auto"/>
              <w:right w:val="single" w:sz="4" w:space="0" w:color="auto"/>
            </w:tcBorders>
            <w:shd w:val="clear" w:color="000000" w:fill="FFFFFF"/>
            <w:noWrap/>
            <w:vAlign w:val="bottom"/>
            <w:hideMark/>
          </w:tcPr>
          <w:p w14:paraId="47E53E7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2.292,00</w:t>
            </w:r>
          </w:p>
        </w:tc>
        <w:tc>
          <w:tcPr>
            <w:tcW w:w="1559" w:type="dxa"/>
            <w:tcBorders>
              <w:top w:val="nil"/>
              <w:left w:val="nil"/>
              <w:bottom w:val="single" w:sz="4" w:space="0" w:color="auto"/>
              <w:right w:val="single" w:sz="4" w:space="0" w:color="auto"/>
            </w:tcBorders>
            <w:shd w:val="clear" w:color="000000" w:fill="FFFFFF"/>
            <w:noWrap/>
            <w:vAlign w:val="bottom"/>
            <w:hideMark/>
          </w:tcPr>
          <w:p w14:paraId="4099479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2,87</w:t>
            </w:r>
          </w:p>
        </w:tc>
        <w:tc>
          <w:tcPr>
            <w:tcW w:w="1803" w:type="dxa"/>
            <w:tcBorders>
              <w:top w:val="nil"/>
              <w:left w:val="nil"/>
              <w:bottom w:val="single" w:sz="4" w:space="0" w:color="auto"/>
              <w:right w:val="single" w:sz="4" w:space="0" w:color="auto"/>
            </w:tcBorders>
            <w:shd w:val="clear" w:color="000000" w:fill="FFFFFF"/>
            <w:noWrap/>
            <w:vAlign w:val="bottom"/>
            <w:hideMark/>
          </w:tcPr>
          <w:p w14:paraId="535D7F0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82.042,00</w:t>
            </w:r>
          </w:p>
        </w:tc>
      </w:tr>
      <w:tr w:rsidR="00846ACC" w:rsidRPr="004974C0" w14:paraId="7C54C00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4CF826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 POMOĆI</w:t>
            </w:r>
          </w:p>
        </w:tc>
        <w:tc>
          <w:tcPr>
            <w:tcW w:w="1984" w:type="dxa"/>
            <w:tcBorders>
              <w:top w:val="nil"/>
              <w:left w:val="nil"/>
              <w:bottom w:val="single" w:sz="4" w:space="0" w:color="auto"/>
              <w:right w:val="single" w:sz="4" w:space="0" w:color="auto"/>
            </w:tcBorders>
            <w:shd w:val="clear" w:color="000000" w:fill="FFFFFF"/>
            <w:noWrap/>
            <w:vAlign w:val="bottom"/>
            <w:hideMark/>
          </w:tcPr>
          <w:p w14:paraId="37C9D80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572142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1.711.506,00</w:t>
            </w:r>
          </w:p>
        </w:tc>
        <w:tc>
          <w:tcPr>
            <w:tcW w:w="1843" w:type="dxa"/>
            <w:tcBorders>
              <w:top w:val="nil"/>
              <w:left w:val="nil"/>
              <w:bottom w:val="single" w:sz="4" w:space="0" w:color="auto"/>
              <w:right w:val="single" w:sz="4" w:space="0" w:color="auto"/>
            </w:tcBorders>
            <w:shd w:val="clear" w:color="000000" w:fill="FFFFFF"/>
            <w:noWrap/>
            <w:vAlign w:val="bottom"/>
            <w:hideMark/>
          </w:tcPr>
          <w:p w14:paraId="147C2D8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34.430,00</w:t>
            </w:r>
          </w:p>
        </w:tc>
        <w:tc>
          <w:tcPr>
            <w:tcW w:w="1559" w:type="dxa"/>
            <w:tcBorders>
              <w:top w:val="nil"/>
              <w:left w:val="nil"/>
              <w:bottom w:val="single" w:sz="4" w:space="0" w:color="auto"/>
              <w:right w:val="single" w:sz="4" w:space="0" w:color="auto"/>
            </w:tcBorders>
            <w:shd w:val="clear" w:color="000000" w:fill="FFFFFF"/>
            <w:noWrap/>
            <w:vAlign w:val="bottom"/>
            <w:hideMark/>
          </w:tcPr>
          <w:p w14:paraId="7AEB7C9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2,01</w:t>
            </w:r>
          </w:p>
        </w:tc>
        <w:tc>
          <w:tcPr>
            <w:tcW w:w="1803" w:type="dxa"/>
            <w:tcBorders>
              <w:top w:val="nil"/>
              <w:left w:val="nil"/>
              <w:bottom w:val="single" w:sz="4" w:space="0" w:color="auto"/>
              <w:right w:val="single" w:sz="4" w:space="0" w:color="auto"/>
            </w:tcBorders>
            <w:shd w:val="clear" w:color="000000" w:fill="FFFFFF"/>
            <w:noWrap/>
            <w:vAlign w:val="bottom"/>
            <w:hideMark/>
          </w:tcPr>
          <w:p w14:paraId="3716AF6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1.745.936,00</w:t>
            </w:r>
          </w:p>
        </w:tc>
      </w:tr>
      <w:tr w:rsidR="00846ACC" w:rsidRPr="004974C0" w14:paraId="2AF2A72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A58187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5.1. POTPORA ZA DECENTRALIZIRANE FUNKCIJE</w:t>
            </w:r>
          </w:p>
        </w:tc>
        <w:tc>
          <w:tcPr>
            <w:tcW w:w="1984" w:type="dxa"/>
            <w:tcBorders>
              <w:top w:val="nil"/>
              <w:left w:val="nil"/>
              <w:bottom w:val="single" w:sz="4" w:space="0" w:color="auto"/>
              <w:right w:val="single" w:sz="4" w:space="0" w:color="auto"/>
            </w:tcBorders>
            <w:shd w:val="clear" w:color="000000" w:fill="FFFFFF"/>
            <w:noWrap/>
            <w:vAlign w:val="bottom"/>
            <w:hideMark/>
          </w:tcPr>
          <w:p w14:paraId="00B0AA7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488410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120.996,00</w:t>
            </w:r>
          </w:p>
        </w:tc>
        <w:tc>
          <w:tcPr>
            <w:tcW w:w="1843" w:type="dxa"/>
            <w:tcBorders>
              <w:top w:val="nil"/>
              <w:left w:val="nil"/>
              <w:bottom w:val="single" w:sz="4" w:space="0" w:color="auto"/>
              <w:right w:val="single" w:sz="4" w:space="0" w:color="auto"/>
            </w:tcBorders>
            <w:shd w:val="clear" w:color="000000" w:fill="FFFFFF"/>
            <w:noWrap/>
            <w:vAlign w:val="bottom"/>
            <w:hideMark/>
          </w:tcPr>
          <w:p w14:paraId="4A34041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559" w:type="dxa"/>
            <w:tcBorders>
              <w:top w:val="nil"/>
              <w:left w:val="nil"/>
              <w:bottom w:val="single" w:sz="4" w:space="0" w:color="auto"/>
              <w:right w:val="single" w:sz="4" w:space="0" w:color="auto"/>
            </w:tcBorders>
            <w:shd w:val="clear" w:color="000000" w:fill="FFFFFF"/>
            <w:noWrap/>
            <w:vAlign w:val="bottom"/>
            <w:hideMark/>
          </w:tcPr>
          <w:p w14:paraId="488E859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1,65</w:t>
            </w:r>
          </w:p>
        </w:tc>
        <w:tc>
          <w:tcPr>
            <w:tcW w:w="1803" w:type="dxa"/>
            <w:tcBorders>
              <w:top w:val="nil"/>
              <w:left w:val="nil"/>
              <w:bottom w:val="single" w:sz="4" w:space="0" w:color="auto"/>
              <w:right w:val="single" w:sz="4" w:space="0" w:color="auto"/>
            </w:tcBorders>
            <w:shd w:val="clear" w:color="000000" w:fill="FFFFFF"/>
            <w:noWrap/>
            <w:vAlign w:val="bottom"/>
            <w:hideMark/>
          </w:tcPr>
          <w:p w14:paraId="1EA7EB1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122.996,00</w:t>
            </w:r>
          </w:p>
        </w:tc>
      </w:tr>
      <w:tr w:rsidR="00846ACC" w:rsidRPr="004974C0" w14:paraId="0BD0A4F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A0335D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FF"/>
            <w:noWrap/>
            <w:vAlign w:val="bottom"/>
            <w:hideMark/>
          </w:tcPr>
          <w:p w14:paraId="28348B0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2C6B8A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1.590.510,00</w:t>
            </w:r>
          </w:p>
        </w:tc>
        <w:tc>
          <w:tcPr>
            <w:tcW w:w="1843" w:type="dxa"/>
            <w:tcBorders>
              <w:top w:val="nil"/>
              <w:left w:val="nil"/>
              <w:bottom w:val="single" w:sz="4" w:space="0" w:color="auto"/>
              <w:right w:val="single" w:sz="4" w:space="0" w:color="auto"/>
            </w:tcBorders>
            <w:shd w:val="clear" w:color="000000" w:fill="FFFFFF"/>
            <w:noWrap/>
            <w:vAlign w:val="bottom"/>
            <w:hideMark/>
          </w:tcPr>
          <w:p w14:paraId="1CA5C29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32.430,00</w:t>
            </w:r>
          </w:p>
        </w:tc>
        <w:tc>
          <w:tcPr>
            <w:tcW w:w="1559" w:type="dxa"/>
            <w:tcBorders>
              <w:top w:val="nil"/>
              <w:left w:val="nil"/>
              <w:bottom w:val="single" w:sz="4" w:space="0" w:color="auto"/>
              <w:right w:val="single" w:sz="4" w:space="0" w:color="auto"/>
            </w:tcBorders>
            <w:shd w:val="clear" w:color="000000" w:fill="FFFFFF"/>
            <w:noWrap/>
            <w:vAlign w:val="bottom"/>
            <w:hideMark/>
          </w:tcPr>
          <w:p w14:paraId="1E270D5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2,04</w:t>
            </w:r>
          </w:p>
        </w:tc>
        <w:tc>
          <w:tcPr>
            <w:tcW w:w="1803" w:type="dxa"/>
            <w:tcBorders>
              <w:top w:val="nil"/>
              <w:left w:val="nil"/>
              <w:bottom w:val="single" w:sz="4" w:space="0" w:color="auto"/>
              <w:right w:val="single" w:sz="4" w:space="0" w:color="auto"/>
            </w:tcBorders>
            <w:shd w:val="clear" w:color="000000" w:fill="FFFFFF"/>
            <w:noWrap/>
            <w:vAlign w:val="bottom"/>
            <w:hideMark/>
          </w:tcPr>
          <w:p w14:paraId="5B37EEC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1.622.940,00</w:t>
            </w:r>
          </w:p>
        </w:tc>
      </w:tr>
      <w:tr w:rsidR="00846ACC" w:rsidRPr="004974C0" w14:paraId="3EE5D85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E55223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 DONACIJE</w:t>
            </w:r>
          </w:p>
        </w:tc>
        <w:tc>
          <w:tcPr>
            <w:tcW w:w="1984" w:type="dxa"/>
            <w:tcBorders>
              <w:top w:val="nil"/>
              <w:left w:val="nil"/>
              <w:bottom w:val="single" w:sz="4" w:space="0" w:color="auto"/>
              <w:right w:val="single" w:sz="4" w:space="0" w:color="auto"/>
            </w:tcBorders>
            <w:shd w:val="clear" w:color="000000" w:fill="FFFFFF"/>
            <w:noWrap/>
            <w:vAlign w:val="bottom"/>
            <w:hideMark/>
          </w:tcPr>
          <w:p w14:paraId="030EA8A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469784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843" w:type="dxa"/>
            <w:tcBorders>
              <w:top w:val="nil"/>
              <w:left w:val="nil"/>
              <w:bottom w:val="single" w:sz="4" w:space="0" w:color="auto"/>
              <w:right w:val="single" w:sz="4" w:space="0" w:color="auto"/>
            </w:tcBorders>
            <w:shd w:val="clear" w:color="000000" w:fill="FFFFFF"/>
            <w:noWrap/>
            <w:vAlign w:val="bottom"/>
            <w:hideMark/>
          </w:tcPr>
          <w:p w14:paraId="3D38BCB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4.300,00</w:t>
            </w:r>
          </w:p>
        </w:tc>
        <w:tc>
          <w:tcPr>
            <w:tcW w:w="1559" w:type="dxa"/>
            <w:tcBorders>
              <w:top w:val="nil"/>
              <w:left w:val="nil"/>
              <w:bottom w:val="single" w:sz="4" w:space="0" w:color="auto"/>
              <w:right w:val="single" w:sz="4" w:space="0" w:color="auto"/>
            </w:tcBorders>
            <w:shd w:val="clear" w:color="000000" w:fill="FFFFFF"/>
            <w:noWrap/>
            <w:vAlign w:val="bottom"/>
            <w:hideMark/>
          </w:tcPr>
          <w:p w14:paraId="44ACF02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215,00</w:t>
            </w:r>
          </w:p>
        </w:tc>
        <w:tc>
          <w:tcPr>
            <w:tcW w:w="1803" w:type="dxa"/>
            <w:tcBorders>
              <w:top w:val="nil"/>
              <w:left w:val="nil"/>
              <w:bottom w:val="single" w:sz="4" w:space="0" w:color="auto"/>
              <w:right w:val="single" w:sz="4" w:space="0" w:color="auto"/>
            </w:tcBorders>
            <w:shd w:val="clear" w:color="000000" w:fill="FFFFFF"/>
            <w:noWrap/>
            <w:vAlign w:val="bottom"/>
            <w:hideMark/>
          </w:tcPr>
          <w:p w14:paraId="3985038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6.300,00</w:t>
            </w:r>
          </w:p>
        </w:tc>
      </w:tr>
      <w:tr w:rsidR="00846ACC" w:rsidRPr="004974C0" w14:paraId="553C79E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2AA651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6.9. 6.DONACIJE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2DF40BA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66ED9C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843" w:type="dxa"/>
            <w:tcBorders>
              <w:top w:val="nil"/>
              <w:left w:val="nil"/>
              <w:bottom w:val="single" w:sz="4" w:space="0" w:color="auto"/>
              <w:right w:val="single" w:sz="4" w:space="0" w:color="auto"/>
            </w:tcBorders>
            <w:shd w:val="clear" w:color="000000" w:fill="FFFFFF"/>
            <w:noWrap/>
            <w:vAlign w:val="bottom"/>
            <w:hideMark/>
          </w:tcPr>
          <w:p w14:paraId="65A5B3A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4.300,00</w:t>
            </w:r>
          </w:p>
        </w:tc>
        <w:tc>
          <w:tcPr>
            <w:tcW w:w="1559" w:type="dxa"/>
            <w:tcBorders>
              <w:top w:val="nil"/>
              <w:left w:val="nil"/>
              <w:bottom w:val="single" w:sz="4" w:space="0" w:color="auto"/>
              <w:right w:val="single" w:sz="4" w:space="0" w:color="auto"/>
            </w:tcBorders>
            <w:shd w:val="clear" w:color="000000" w:fill="FFFFFF"/>
            <w:noWrap/>
            <w:vAlign w:val="bottom"/>
            <w:hideMark/>
          </w:tcPr>
          <w:p w14:paraId="20E92FD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215,00</w:t>
            </w:r>
          </w:p>
        </w:tc>
        <w:tc>
          <w:tcPr>
            <w:tcW w:w="1803" w:type="dxa"/>
            <w:tcBorders>
              <w:top w:val="nil"/>
              <w:left w:val="nil"/>
              <w:bottom w:val="single" w:sz="4" w:space="0" w:color="auto"/>
              <w:right w:val="single" w:sz="4" w:space="0" w:color="auto"/>
            </w:tcBorders>
            <w:shd w:val="clear" w:color="000000" w:fill="FFFFFF"/>
            <w:noWrap/>
            <w:vAlign w:val="bottom"/>
            <w:hideMark/>
          </w:tcPr>
          <w:p w14:paraId="2CDDD4E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6.300,00</w:t>
            </w:r>
          </w:p>
        </w:tc>
      </w:tr>
      <w:tr w:rsidR="00846ACC" w:rsidRPr="004974C0" w14:paraId="5678DDE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0C1E702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5002 Obrazovanje</w:t>
            </w:r>
          </w:p>
        </w:tc>
        <w:tc>
          <w:tcPr>
            <w:tcW w:w="1984" w:type="dxa"/>
            <w:tcBorders>
              <w:top w:val="nil"/>
              <w:left w:val="nil"/>
              <w:bottom w:val="single" w:sz="4" w:space="0" w:color="auto"/>
              <w:right w:val="single" w:sz="4" w:space="0" w:color="auto"/>
            </w:tcBorders>
            <w:shd w:val="clear" w:color="000000" w:fill="9999FF"/>
            <w:noWrap/>
            <w:vAlign w:val="bottom"/>
            <w:hideMark/>
          </w:tcPr>
          <w:p w14:paraId="06C1A06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4D342CA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1.964.356,00</w:t>
            </w:r>
          </w:p>
        </w:tc>
        <w:tc>
          <w:tcPr>
            <w:tcW w:w="1843" w:type="dxa"/>
            <w:tcBorders>
              <w:top w:val="nil"/>
              <w:left w:val="nil"/>
              <w:bottom w:val="single" w:sz="4" w:space="0" w:color="auto"/>
              <w:right w:val="single" w:sz="4" w:space="0" w:color="auto"/>
            </w:tcBorders>
            <w:shd w:val="clear" w:color="000000" w:fill="9999FF"/>
            <w:noWrap/>
            <w:vAlign w:val="bottom"/>
            <w:hideMark/>
          </w:tcPr>
          <w:p w14:paraId="65A2895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55.757,00</w:t>
            </w:r>
          </w:p>
        </w:tc>
        <w:tc>
          <w:tcPr>
            <w:tcW w:w="1559" w:type="dxa"/>
            <w:tcBorders>
              <w:top w:val="nil"/>
              <w:left w:val="nil"/>
              <w:bottom w:val="single" w:sz="4" w:space="0" w:color="auto"/>
              <w:right w:val="single" w:sz="4" w:space="0" w:color="auto"/>
            </w:tcBorders>
            <w:shd w:val="clear" w:color="000000" w:fill="9999FF"/>
            <w:noWrap/>
            <w:vAlign w:val="bottom"/>
            <w:hideMark/>
          </w:tcPr>
          <w:p w14:paraId="277CAE8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2,84</w:t>
            </w:r>
          </w:p>
        </w:tc>
        <w:tc>
          <w:tcPr>
            <w:tcW w:w="1803" w:type="dxa"/>
            <w:tcBorders>
              <w:top w:val="nil"/>
              <w:left w:val="nil"/>
              <w:bottom w:val="single" w:sz="4" w:space="0" w:color="auto"/>
              <w:right w:val="single" w:sz="4" w:space="0" w:color="auto"/>
            </w:tcBorders>
            <w:shd w:val="clear" w:color="000000" w:fill="9999FF"/>
            <w:noWrap/>
            <w:vAlign w:val="bottom"/>
            <w:hideMark/>
          </w:tcPr>
          <w:p w14:paraId="7540EAB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2.020.113,00</w:t>
            </w:r>
          </w:p>
        </w:tc>
      </w:tr>
      <w:tr w:rsidR="00846ACC" w:rsidRPr="004974C0" w14:paraId="5797AA3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75E67B2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Aktivnost A500003 Financiranje djelatnosti osnovnog školstva</w:t>
            </w:r>
          </w:p>
        </w:tc>
        <w:tc>
          <w:tcPr>
            <w:tcW w:w="1984" w:type="dxa"/>
            <w:tcBorders>
              <w:top w:val="nil"/>
              <w:left w:val="nil"/>
              <w:bottom w:val="single" w:sz="4" w:space="0" w:color="auto"/>
              <w:right w:val="single" w:sz="4" w:space="0" w:color="auto"/>
            </w:tcBorders>
            <w:shd w:val="clear" w:color="000000" w:fill="CCCCFF"/>
            <w:noWrap/>
            <w:vAlign w:val="bottom"/>
            <w:hideMark/>
          </w:tcPr>
          <w:p w14:paraId="2610626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D9B3F5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1.624.296,00</w:t>
            </w:r>
          </w:p>
        </w:tc>
        <w:tc>
          <w:tcPr>
            <w:tcW w:w="1843" w:type="dxa"/>
            <w:tcBorders>
              <w:top w:val="nil"/>
              <w:left w:val="nil"/>
              <w:bottom w:val="single" w:sz="4" w:space="0" w:color="auto"/>
              <w:right w:val="single" w:sz="4" w:space="0" w:color="auto"/>
            </w:tcBorders>
            <w:shd w:val="clear" w:color="000000" w:fill="CCCCFF"/>
            <w:noWrap/>
            <w:vAlign w:val="bottom"/>
            <w:hideMark/>
          </w:tcPr>
          <w:p w14:paraId="27D8C79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26.447,00</w:t>
            </w:r>
          </w:p>
        </w:tc>
        <w:tc>
          <w:tcPr>
            <w:tcW w:w="1559" w:type="dxa"/>
            <w:tcBorders>
              <w:top w:val="nil"/>
              <w:left w:val="nil"/>
              <w:bottom w:val="single" w:sz="4" w:space="0" w:color="auto"/>
              <w:right w:val="single" w:sz="4" w:space="0" w:color="auto"/>
            </w:tcBorders>
            <w:shd w:val="clear" w:color="000000" w:fill="CCCCFF"/>
            <w:noWrap/>
            <w:vAlign w:val="bottom"/>
            <w:hideMark/>
          </w:tcPr>
          <w:p w14:paraId="426EACE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1,63</w:t>
            </w:r>
          </w:p>
        </w:tc>
        <w:tc>
          <w:tcPr>
            <w:tcW w:w="1803" w:type="dxa"/>
            <w:tcBorders>
              <w:top w:val="nil"/>
              <w:left w:val="nil"/>
              <w:bottom w:val="single" w:sz="4" w:space="0" w:color="auto"/>
              <w:right w:val="single" w:sz="4" w:space="0" w:color="auto"/>
            </w:tcBorders>
            <w:shd w:val="clear" w:color="000000" w:fill="CCCCFF"/>
            <w:noWrap/>
            <w:vAlign w:val="bottom"/>
            <w:hideMark/>
          </w:tcPr>
          <w:p w14:paraId="2AECC03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1.650.743,00</w:t>
            </w:r>
          </w:p>
        </w:tc>
      </w:tr>
      <w:tr w:rsidR="00846ACC" w:rsidRPr="004974C0" w14:paraId="7B7B471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069F9D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2CA187B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BE13C2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23.800,00</w:t>
            </w:r>
          </w:p>
        </w:tc>
        <w:tc>
          <w:tcPr>
            <w:tcW w:w="1843" w:type="dxa"/>
            <w:tcBorders>
              <w:top w:val="nil"/>
              <w:left w:val="nil"/>
              <w:bottom w:val="single" w:sz="4" w:space="0" w:color="auto"/>
              <w:right w:val="single" w:sz="4" w:space="0" w:color="auto"/>
            </w:tcBorders>
            <w:shd w:val="clear" w:color="000000" w:fill="FFFF99"/>
            <w:noWrap/>
            <w:vAlign w:val="bottom"/>
            <w:hideMark/>
          </w:tcPr>
          <w:p w14:paraId="1ACD332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w:t>
            </w:r>
          </w:p>
        </w:tc>
        <w:tc>
          <w:tcPr>
            <w:tcW w:w="1559" w:type="dxa"/>
            <w:tcBorders>
              <w:top w:val="nil"/>
              <w:left w:val="nil"/>
              <w:bottom w:val="single" w:sz="4" w:space="0" w:color="auto"/>
              <w:right w:val="single" w:sz="4" w:space="0" w:color="auto"/>
            </w:tcBorders>
            <w:shd w:val="clear" w:color="000000" w:fill="FFFF99"/>
            <w:noWrap/>
            <w:vAlign w:val="bottom"/>
            <w:hideMark/>
          </w:tcPr>
          <w:p w14:paraId="4D30459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6,30</w:t>
            </w:r>
          </w:p>
        </w:tc>
        <w:tc>
          <w:tcPr>
            <w:tcW w:w="1803" w:type="dxa"/>
            <w:tcBorders>
              <w:top w:val="nil"/>
              <w:left w:val="nil"/>
              <w:bottom w:val="single" w:sz="4" w:space="0" w:color="auto"/>
              <w:right w:val="single" w:sz="4" w:space="0" w:color="auto"/>
            </w:tcBorders>
            <w:shd w:val="clear" w:color="000000" w:fill="FFFF99"/>
            <w:noWrap/>
            <w:vAlign w:val="bottom"/>
            <w:hideMark/>
          </w:tcPr>
          <w:p w14:paraId="4FEABDA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25.300,00</w:t>
            </w:r>
          </w:p>
        </w:tc>
      </w:tr>
      <w:tr w:rsidR="00846ACC" w:rsidRPr="004974C0" w14:paraId="310F56B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3628AB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66FFD5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1561C2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23.800,00</w:t>
            </w:r>
          </w:p>
        </w:tc>
        <w:tc>
          <w:tcPr>
            <w:tcW w:w="1843" w:type="dxa"/>
            <w:tcBorders>
              <w:top w:val="nil"/>
              <w:left w:val="nil"/>
              <w:bottom w:val="single" w:sz="4" w:space="0" w:color="auto"/>
              <w:right w:val="single" w:sz="4" w:space="0" w:color="auto"/>
            </w:tcBorders>
            <w:shd w:val="clear" w:color="auto" w:fill="auto"/>
            <w:noWrap/>
            <w:vAlign w:val="bottom"/>
            <w:hideMark/>
          </w:tcPr>
          <w:p w14:paraId="5F82536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1.500,00</w:t>
            </w:r>
          </w:p>
        </w:tc>
        <w:tc>
          <w:tcPr>
            <w:tcW w:w="1559" w:type="dxa"/>
            <w:tcBorders>
              <w:top w:val="nil"/>
              <w:left w:val="nil"/>
              <w:bottom w:val="single" w:sz="4" w:space="0" w:color="auto"/>
              <w:right w:val="single" w:sz="4" w:space="0" w:color="auto"/>
            </w:tcBorders>
            <w:shd w:val="clear" w:color="auto" w:fill="auto"/>
            <w:noWrap/>
            <w:vAlign w:val="bottom"/>
            <w:hideMark/>
          </w:tcPr>
          <w:p w14:paraId="25C5F3A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6,30</w:t>
            </w:r>
          </w:p>
        </w:tc>
        <w:tc>
          <w:tcPr>
            <w:tcW w:w="1803" w:type="dxa"/>
            <w:tcBorders>
              <w:top w:val="nil"/>
              <w:left w:val="nil"/>
              <w:bottom w:val="single" w:sz="4" w:space="0" w:color="auto"/>
              <w:right w:val="single" w:sz="4" w:space="0" w:color="auto"/>
            </w:tcBorders>
            <w:shd w:val="clear" w:color="auto" w:fill="auto"/>
            <w:noWrap/>
            <w:vAlign w:val="bottom"/>
            <w:hideMark/>
          </w:tcPr>
          <w:p w14:paraId="3621282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25.300,00</w:t>
            </w:r>
          </w:p>
        </w:tc>
      </w:tr>
      <w:tr w:rsidR="00846ACC" w:rsidRPr="004974C0" w14:paraId="47B0615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47F44F6"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18562F8"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532702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23.800,00</w:t>
            </w:r>
          </w:p>
        </w:tc>
        <w:tc>
          <w:tcPr>
            <w:tcW w:w="1843" w:type="dxa"/>
            <w:tcBorders>
              <w:top w:val="nil"/>
              <w:left w:val="nil"/>
              <w:bottom w:val="single" w:sz="4" w:space="0" w:color="auto"/>
              <w:right w:val="single" w:sz="4" w:space="0" w:color="auto"/>
            </w:tcBorders>
            <w:shd w:val="clear" w:color="auto" w:fill="auto"/>
            <w:noWrap/>
            <w:vAlign w:val="bottom"/>
            <w:hideMark/>
          </w:tcPr>
          <w:p w14:paraId="3B055A8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1.500,00</w:t>
            </w:r>
          </w:p>
        </w:tc>
        <w:tc>
          <w:tcPr>
            <w:tcW w:w="1559" w:type="dxa"/>
            <w:tcBorders>
              <w:top w:val="nil"/>
              <w:left w:val="nil"/>
              <w:bottom w:val="single" w:sz="4" w:space="0" w:color="auto"/>
              <w:right w:val="single" w:sz="4" w:space="0" w:color="auto"/>
            </w:tcBorders>
            <w:shd w:val="clear" w:color="auto" w:fill="auto"/>
            <w:noWrap/>
            <w:vAlign w:val="bottom"/>
            <w:hideMark/>
          </w:tcPr>
          <w:p w14:paraId="576E455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6,30</w:t>
            </w:r>
          </w:p>
        </w:tc>
        <w:tc>
          <w:tcPr>
            <w:tcW w:w="1803" w:type="dxa"/>
            <w:tcBorders>
              <w:top w:val="nil"/>
              <w:left w:val="nil"/>
              <w:bottom w:val="single" w:sz="4" w:space="0" w:color="auto"/>
              <w:right w:val="single" w:sz="4" w:space="0" w:color="auto"/>
            </w:tcBorders>
            <w:shd w:val="clear" w:color="auto" w:fill="auto"/>
            <w:noWrap/>
            <w:vAlign w:val="bottom"/>
            <w:hideMark/>
          </w:tcPr>
          <w:p w14:paraId="3C669D6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25.300,00</w:t>
            </w:r>
          </w:p>
        </w:tc>
      </w:tr>
      <w:tr w:rsidR="00846ACC" w:rsidRPr="004974C0" w14:paraId="7D019F0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493FF6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3.9. VLASTITI PRIHODI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4CBB063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DEA2AF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w:t>
            </w:r>
          </w:p>
        </w:tc>
        <w:tc>
          <w:tcPr>
            <w:tcW w:w="1843" w:type="dxa"/>
            <w:tcBorders>
              <w:top w:val="nil"/>
              <w:left w:val="nil"/>
              <w:bottom w:val="single" w:sz="4" w:space="0" w:color="auto"/>
              <w:right w:val="single" w:sz="4" w:space="0" w:color="auto"/>
            </w:tcBorders>
            <w:shd w:val="clear" w:color="000000" w:fill="FFFF99"/>
            <w:noWrap/>
            <w:vAlign w:val="bottom"/>
            <w:hideMark/>
          </w:tcPr>
          <w:p w14:paraId="5B80494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2.735,00</w:t>
            </w:r>
          </w:p>
        </w:tc>
        <w:tc>
          <w:tcPr>
            <w:tcW w:w="1559" w:type="dxa"/>
            <w:tcBorders>
              <w:top w:val="nil"/>
              <w:left w:val="nil"/>
              <w:bottom w:val="single" w:sz="4" w:space="0" w:color="auto"/>
              <w:right w:val="single" w:sz="4" w:space="0" w:color="auto"/>
            </w:tcBorders>
            <w:shd w:val="clear" w:color="000000" w:fill="FFFF99"/>
            <w:noWrap/>
            <w:vAlign w:val="bottom"/>
            <w:hideMark/>
          </w:tcPr>
          <w:p w14:paraId="638753E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109,40</w:t>
            </w:r>
          </w:p>
        </w:tc>
        <w:tc>
          <w:tcPr>
            <w:tcW w:w="1803" w:type="dxa"/>
            <w:tcBorders>
              <w:top w:val="nil"/>
              <w:left w:val="nil"/>
              <w:bottom w:val="single" w:sz="4" w:space="0" w:color="auto"/>
              <w:right w:val="single" w:sz="4" w:space="0" w:color="auto"/>
            </w:tcBorders>
            <w:shd w:val="clear" w:color="000000" w:fill="FFFF99"/>
            <w:noWrap/>
            <w:vAlign w:val="bottom"/>
            <w:hideMark/>
          </w:tcPr>
          <w:p w14:paraId="59AA801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5.235,00</w:t>
            </w:r>
          </w:p>
        </w:tc>
      </w:tr>
      <w:tr w:rsidR="00846ACC" w:rsidRPr="004974C0" w14:paraId="0B53293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23F3FE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F83C27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CC7E32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1.300,00</w:t>
            </w:r>
          </w:p>
        </w:tc>
        <w:tc>
          <w:tcPr>
            <w:tcW w:w="1843" w:type="dxa"/>
            <w:tcBorders>
              <w:top w:val="nil"/>
              <w:left w:val="nil"/>
              <w:bottom w:val="single" w:sz="4" w:space="0" w:color="auto"/>
              <w:right w:val="single" w:sz="4" w:space="0" w:color="auto"/>
            </w:tcBorders>
            <w:shd w:val="clear" w:color="auto" w:fill="auto"/>
            <w:noWrap/>
            <w:vAlign w:val="bottom"/>
            <w:hideMark/>
          </w:tcPr>
          <w:p w14:paraId="2B6281E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1.585,00</w:t>
            </w:r>
          </w:p>
        </w:tc>
        <w:tc>
          <w:tcPr>
            <w:tcW w:w="1559" w:type="dxa"/>
            <w:tcBorders>
              <w:top w:val="nil"/>
              <w:left w:val="nil"/>
              <w:bottom w:val="single" w:sz="4" w:space="0" w:color="auto"/>
              <w:right w:val="single" w:sz="4" w:space="0" w:color="auto"/>
            </w:tcBorders>
            <w:shd w:val="clear" w:color="auto" w:fill="auto"/>
            <w:noWrap/>
            <w:vAlign w:val="bottom"/>
            <w:hideMark/>
          </w:tcPr>
          <w:p w14:paraId="7D1D2A0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121,92</w:t>
            </w:r>
          </w:p>
        </w:tc>
        <w:tc>
          <w:tcPr>
            <w:tcW w:w="1803" w:type="dxa"/>
            <w:tcBorders>
              <w:top w:val="nil"/>
              <w:left w:val="nil"/>
              <w:bottom w:val="single" w:sz="4" w:space="0" w:color="auto"/>
              <w:right w:val="single" w:sz="4" w:space="0" w:color="auto"/>
            </w:tcBorders>
            <w:shd w:val="clear" w:color="auto" w:fill="auto"/>
            <w:noWrap/>
            <w:vAlign w:val="bottom"/>
            <w:hideMark/>
          </w:tcPr>
          <w:p w14:paraId="62E1CBC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2.885,00</w:t>
            </w:r>
          </w:p>
        </w:tc>
      </w:tr>
      <w:tr w:rsidR="00846ACC" w:rsidRPr="004974C0" w14:paraId="02F508D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0603AD5"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6BDC4C9"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93330D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1.300,00</w:t>
            </w:r>
          </w:p>
        </w:tc>
        <w:tc>
          <w:tcPr>
            <w:tcW w:w="1843" w:type="dxa"/>
            <w:tcBorders>
              <w:top w:val="nil"/>
              <w:left w:val="nil"/>
              <w:bottom w:val="single" w:sz="4" w:space="0" w:color="auto"/>
              <w:right w:val="single" w:sz="4" w:space="0" w:color="auto"/>
            </w:tcBorders>
            <w:shd w:val="clear" w:color="auto" w:fill="auto"/>
            <w:noWrap/>
            <w:vAlign w:val="bottom"/>
            <w:hideMark/>
          </w:tcPr>
          <w:p w14:paraId="4BE51EB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1.585,00</w:t>
            </w:r>
          </w:p>
        </w:tc>
        <w:tc>
          <w:tcPr>
            <w:tcW w:w="1559" w:type="dxa"/>
            <w:tcBorders>
              <w:top w:val="nil"/>
              <w:left w:val="nil"/>
              <w:bottom w:val="single" w:sz="4" w:space="0" w:color="auto"/>
              <w:right w:val="single" w:sz="4" w:space="0" w:color="auto"/>
            </w:tcBorders>
            <w:shd w:val="clear" w:color="auto" w:fill="auto"/>
            <w:noWrap/>
            <w:vAlign w:val="bottom"/>
            <w:hideMark/>
          </w:tcPr>
          <w:p w14:paraId="2FD91DD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121,92</w:t>
            </w:r>
          </w:p>
        </w:tc>
        <w:tc>
          <w:tcPr>
            <w:tcW w:w="1803" w:type="dxa"/>
            <w:tcBorders>
              <w:top w:val="nil"/>
              <w:left w:val="nil"/>
              <w:bottom w:val="single" w:sz="4" w:space="0" w:color="auto"/>
              <w:right w:val="single" w:sz="4" w:space="0" w:color="auto"/>
            </w:tcBorders>
            <w:shd w:val="clear" w:color="auto" w:fill="auto"/>
            <w:noWrap/>
            <w:vAlign w:val="bottom"/>
            <w:hideMark/>
          </w:tcPr>
          <w:p w14:paraId="375996A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2.885,00</w:t>
            </w:r>
          </w:p>
        </w:tc>
      </w:tr>
      <w:tr w:rsidR="00846ACC" w:rsidRPr="004974C0" w14:paraId="3325FEF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D61E6B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7FDCF1E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5A39A36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1.200,00</w:t>
            </w:r>
          </w:p>
        </w:tc>
        <w:tc>
          <w:tcPr>
            <w:tcW w:w="1843" w:type="dxa"/>
            <w:tcBorders>
              <w:top w:val="nil"/>
              <w:left w:val="nil"/>
              <w:bottom w:val="single" w:sz="4" w:space="0" w:color="auto"/>
              <w:right w:val="single" w:sz="4" w:space="0" w:color="auto"/>
            </w:tcBorders>
            <w:shd w:val="clear" w:color="auto" w:fill="auto"/>
            <w:noWrap/>
            <w:vAlign w:val="bottom"/>
            <w:hideMark/>
          </w:tcPr>
          <w:p w14:paraId="703DA65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1.150,00</w:t>
            </w:r>
          </w:p>
        </w:tc>
        <w:tc>
          <w:tcPr>
            <w:tcW w:w="1559" w:type="dxa"/>
            <w:tcBorders>
              <w:top w:val="nil"/>
              <w:left w:val="nil"/>
              <w:bottom w:val="single" w:sz="4" w:space="0" w:color="auto"/>
              <w:right w:val="single" w:sz="4" w:space="0" w:color="auto"/>
            </w:tcBorders>
            <w:shd w:val="clear" w:color="auto" w:fill="auto"/>
            <w:noWrap/>
            <w:vAlign w:val="bottom"/>
            <w:hideMark/>
          </w:tcPr>
          <w:p w14:paraId="08242DB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95,83</w:t>
            </w:r>
          </w:p>
        </w:tc>
        <w:tc>
          <w:tcPr>
            <w:tcW w:w="1803" w:type="dxa"/>
            <w:tcBorders>
              <w:top w:val="nil"/>
              <w:left w:val="nil"/>
              <w:bottom w:val="single" w:sz="4" w:space="0" w:color="auto"/>
              <w:right w:val="single" w:sz="4" w:space="0" w:color="auto"/>
            </w:tcBorders>
            <w:shd w:val="clear" w:color="auto" w:fill="auto"/>
            <w:noWrap/>
            <w:vAlign w:val="bottom"/>
            <w:hideMark/>
          </w:tcPr>
          <w:p w14:paraId="6EFB20C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2.350,00</w:t>
            </w:r>
          </w:p>
        </w:tc>
      </w:tr>
      <w:tr w:rsidR="00846ACC" w:rsidRPr="004974C0" w14:paraId="6AD3A9D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3B3F179"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39438653"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6E84F00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1.200,00</w:t>
            </w:r>
          </w:p>
        </w:tc>
        <w:tc>
          <w:tcPr>
            <w:tcW w:w="1843" w:type="dxa"/>
            <w:tcBorders>
              <w:top w:val="nil"/>
              <w:left w:val="nil"/>
              <w:bottom w:val="single" w:sz="4" w:space="0" w:color="auto"/>
              <w:right w:val="single" w:sz="4" w:space="0" w:color="auto"/>
            </w:tcBorders>
            <w:shd w:val="clear" w:color="auto" w:fill="auto"/>
            <w:noWrap/>
            <w:vAlign w:val="bottom"/>
            <w:hideMark/>
          </w:tcPr>
          <w:p w14:paraId="7CF9EAA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1.150,00</w:t>
            </w:r>
          </w:p>
        </w:tc>
        <w:tc>
          <w:tcPr>
            <w:tcW w:w="1559" w:type="dxa"/>
            <w:tcBorders>
              <w:top w:val="nil"/>
              <w:left w:val="nil"/>
              <w:bottom w:val="single" w:sz="4" w:space="0" w:color="auto"/>
              <w:right w:val="single" w:sz="4" w:space="0" w:color="auto"/>
            </w:tcBorders>
            <w:shd w:val="clear" w:color="auto" w:fill="auto"/>
            <w:noWrap/>
            <w:vAlign w:val="bottom"/>
            <w:hideMark/>
          </w:tcPr>
          <w:p w14:paraId="1AABF0E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95,83</w:t>
            </w:r>
          </w:p>
        </w:tc>
        <w:tc>
          <w:tcPr>
            <w:tcW w:w="1803" w:type="dxa"/>
            <w:tcBorders>
              <w:top w:val="nil"/>
              <w:left w:val="nil"/>
              <w:bottom w:val="single" w:sz="4" w:space="0" w:color="auto"/>
              <w:right w:val="single" w:sz="4" w:space="0" w:color="auto"/>
            </w:tcBorders>
            <w:shd w:val="clear" w:color="auto" w:fill="auto"/>
            <w:noWrap/>
            <w:vAlign w:val="bottom"/>
            <w:hideMark/>
          </w:tcPr>
          <w:p w14:paraId="51454E2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2.350,00</w:t>
            </w:r>
          </w:p>
        </w:tc>
      </w:tr>
      <w:tr w:rsidR="00846ACC" w:rsidRPr="004974C0" w14:paraId="173BA23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526C8F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4.9. 4.PRIHODI ZA POSEBNE NAMJENE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4BF85FF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28604A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843" w:type="dxa"/>
            <w:tcBorders>
              <w:top w:val="nil"/>
              <w:left w:val="nil"/>
              <w:bottom w:val="single" w:sz="4" w:space="0" w:color="auto"/>
              <w:right w:val="single" w:sz="4" w:space="0" w:color="auto"/>
            </w:tcBorders>
            <w:shd w:val="clear" w:color="000000" w:fill="FFFF99"/>
            <w:noWrap/>
            <w:vAlign w:val="bottom"/>
            <w:hideMark/>
          </w:tcPr>
          <w:p w14:paraId="3A6C916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2.292,00</w:t>
            </w:r>
          </w:p>
        </w:tc>
        <w:tc>
          <w:tcPr>
            <w:tcW w:w="1559" w:type="dxa"/>
            <w:tcBorders>
              <w:top w:val="nil"/>
              <w:left w:val="nil"/>
              <w:bottom w:val="single" w:sz="4" w:space="0" w:color="auto"/>
              <w:right w:val="single" w:sz="4" w:space="0" w:color="auto"/>
            </w:tcBorders>
            <w:shd w:val="clear" w:color="000000" w:fill="FFFF99"/>
            <w:noWrap/>
            <w:vAlign w:val="bottom"/>
            <w:hideMark/>
          </w:tcPr>
          <w:p w14:paraId="7212A1A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114,60</w:t>
            </w:r>
          </w:p>
        </w:tc>
        <w:tc>
          <w:tcPr>
            <w:tcW w:w="1803" w:type="dxa"/>
            <w:tcBorders>
              <w:top w:val="nil"/>
              <w:left w:val="nil"/>
              <w:bottom w:val="single" w:sz="4" w:space="0" w:color="auto"/>
              <w:right w:val="single" w:sz="4" w:space="0" w:color="auto"/>
            </w:tcBorders>
            <w:shd w:val="clear" w:color="000000" w:fill="FFFF99"/>
            <w:noWrap/>
            <w:vAlign w:val="bottom"/>
            <w:hideMark/>
          </w:tcPr>
          <w:p w14:paraId="4FD0C5A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4.292,00</w:t>
            </w:r>
          </w:p>
        </w:tc>
      </w:tr>
      <w:tr w:rsidR="00846ACC" w:rsidRPr="004974C0" w14:paraId="42A4AB1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5CAC5D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F1482E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0EDA6F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782A1DA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2.292,00</w:t>
            </w:r>
          </w:p>
        </w:tc>
        <w:tc>
          <w:tcPr>
            <w:tcW w:w="1559" w:type="dxa"/>
            <w:tcBorders>
              <w:top w:val="nil"/>
              <w:left w:val="nil"/>
              <w:bottom w:val="single" w:sz="4" w:space="0" w:color="auto"/>
              <w:right w:val="single" w:sz="4" w:space="0" w:color="auto"/>
            </w:tcBorders>
            <w:shd w:val="clear" w:color="auto" w:fill="auto"/>
            <w:noWrap/>
            <w:vAlign w:val="bottom"/>
            <w:hideMark/>
          </w:tcPr>
          <w:p w14:paraId="02C1638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114,60</w:t>
            </w:r>
          </w:p>
        </w:tc>
        <w:tc>
          <w:tcPr>
            <w:tcW w:w="1803" w:type="dxa"/>
            <w:tcBorders>
              <w:top w:val="nil"/>
              <w:left w:val="nil"/>
              <w:bottom w:val="single" w:sz="4" w:space="0" w:color="auto"/>
              <w:right w:val="single" w:sz="4" w:space="0" w:color="auto"/>
            </w:tcBorders>
            <w:shd w:val="clear" w:color="auto" w:fill="auto"/>
            <w:noWrap/>
            <w:vAlign w:val="bottom"/>
            <w:hideMark/>
          </w:tcPr>
          <w:p w14:paraId="5014A25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4.292,00</w:t>
            </w:r>
          </w:p>
        </w:tc>
      </w:tr>
      <w:tr w:rsidR="00846ACC" w:rsidRPr="004974C0" w14:paraId="551240E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24466C6"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5279677"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AC4399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04E1E79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2.292,00</w:t>
            </w:r>
          </w:p>
        </w:tc>
        <w:tc>
          <w:tcPr>
            <w:tcW w:w="1559" w:type="dxa"/>
            <w:tcBorders>
              <w:top w:val="nil"/>
              <w:left w:val="nil"/>
              <w:bottom w:val="single" w:sz="4" w:space="0" w:color="auto"/>
              <w:right w:val="single" w:sz="4" w:space="0" w:color="auto"/>
            </w:tcBorders>
            <w:shd w:val="clear" w:color="auto" w:fill="auto"/>
            <w:noWrap/>
            <w:vAlign w:val="bottom"/>
            <w:hideMark/>
          </w:tcPr>
          <w:p w14:paraId="697F4DD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114,60</w:t>
            </w:r>
          </w:p>
        </w:tc>
        <w:tc>
          <w:tcPr>
            <w:tcW w:w="1803" w:type="dxa"/>
            <w:tcBorders>
              <w:top w:val="nil"/>
              <w:left w:val="nil"/>
              <w:bottom w:val="single" w:sz="4" w:space="0" w:color="auto"/>
              <w:right w:val="single" w:sz="4" w:space="0" w:color="auto"/>
            </w:tcBorders>
            <w:shd w:val="clear" w:color="auto" w:fill="auto"/>
            <w:noWrap/>
            <w:vAlign w:val="bottom"/>
            <w:hideMark/>
          </w:tcPr>
          <w:p w14:paraId="53D95EA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4.292,00</w:t>
            </w:r>
          </w:p>
        </w:tc>
      </w:tr>
      <w:tr w:rsidR="00846ACC" w:rsidRPr="004974C0" w14:paraId="7546256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850DC3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5.1. POTPORA ZA DECENTRALIZIRANE FUNKCIJE</w:t>
            </w:r>
          </w:p>
        </w:tc>
        <w:tc>
          <w:tcPr>
            <w:tcW w:w="1984" w:type="dxa"/>
            <w:tcBorders>
              <w:top w:val="nil"/>
              <w:left w:val="nil"/>
              <w:bottom w:val="single" w:sz="4" w:space="0" w:color="auto"/>
              <w:right w:val="single" w:sz="4" w:space="0" w:color="auto"/>
            </w:tcBorders>
            <w:shd w:val="clear" w:color="000000" w:fill="FFFF99"/>
            <w:noWrap/>
            <w:vAlign w:val="bottom"/>
            <w:hideMark/>
          </w:tcPr>
          <w:p w14:paraId="111E402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0907EF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118.996,00</w:t>
            </w:r>
          </w:p>
        </w:tc>
        <w:tc>
          <w:tcPr>
            <w:tcW w:w="1843" w:type="dxa"/>
            <w:tcBorders>
              <w:top w:val="nil"/>
              <w:left w:val="nil"/>
              <w:bottom w:val="single" w:sz="4" w:space="0" w:color="auto"/>
              <w:right w:val="single" w:sz="4" w:space="0" w:color="auto"/>
            </w:tcBorders>
            <w:shd w:val="clear" w:color="000000" w:fill="FFFF99"/>
            <w:noWrap/>
            <w:vAlign w:val="bottom"/>
            <w:hideMark/>
          </w:tcPr>
          <w:p w14:paraId="5262F52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559" w:type="dxa"/>
            <w:tcBorders>
              <w:top w:val="nil"/>
              <w:left w:val="nil"/>
              <w:bottom w:val="single" w:sz="4" w:space="0" w:color="auto"/>
              <w:right w:val="single" w:sz="4" w:space="0" w:color="auto"/>
            </w:tcBorders>
            <w:shd w:val="clear" w:color="000000" w:fill="FFFF99"/>
            <w:noWrap/>
            <w:vAlign w:val="bottom"/>
            <w:hideMark/>
          </w:tcPr>
          <w:p w14:paraId="396316C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1,68</w:t>
            </w:r>
          </w:p>
        </w:tc>
        <w:tc>
          <w:tcPr>
            <w:tcW w:w="1803" w:type="dxa"/>
            <w:tcBorders>
              <w:top w:val="nil"/>
              <w:left w:val="nil"/>
              <w:bottom w:val="single" w:sz="4" w:space="0" w:color="auto"/>
              <w:right w:val="single" w:sz="4" w:space="0" w:color="auto"/>
            </w:tcBorders>
            <w:shd w:val="clear" w:color="000000" w:fill="FFFF99"/>
            <w:noWrap/>
            <w:vAlign w:val="bottom"/>
            <w:hideMark/>
          </w:tcPr>
          <w:p w14:paraId="296DD30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120.996,00</w:t>
            </w:r>
          </w:p>
        </w:tc>
      </w:tr>
      <w:tr w:rsidR="00846ACC" w:rsidRPr="004974C0" w14:paraId="05E9D45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F1613E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D052D0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A9E19C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118.996,00</w:t>
            </w:r>
          </w:p>
        </w:tc>
        <w:tc>
          <w:tcPr>
            <w:tcW w:w="1843" w:type="dxa"/>
            <w:tcBorders>
              <w:top w:val="nil"/>
              <w:left w:val="nil"/>
              <w:bottom w:val="single" w:sz="4" w:space="0" w:color="auto"/>
              <w:right w:val="single" w:sz="4" w:space="0" w:color="auto"/>
            </w:tcBorders>
            <w:shd w:val="clear" w:color="auto" w:fill="auto"/>
            <w:noWrap/>
            <w:vAlign w:val="bottom"/>
            <w:hideMark/>
          </w:tcPr>
          <w:p w14:paraId="5E508B4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c>
          <w:tcPr>
            <w:tcW w:w="1559" w:type="dxa"/>
            <w:tcBorders>
              <w:top w:val="nil"/>
              <w:left w:val="nil"/>
              <w:bottom w:val="single" w:sz="4" w:space="0" w:color="auto"/>
              <w:right w:val="single" w:sz="4" w:space="0" w:color="auto"/>
            </w:tcBorders>
            <w:shd w:val="clear" w:color="auto" w:fill="auto"/>
            <w:noWrap/>
            <w:vAlign w:val="bottom"/>
            <w:hideMark/>
          </w:tcPr>
          <w:p w14:paraId="52FC6A1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1,68</w:t>
            </w:r>
          </w:p>
        </w:tc>
        <w:tc>
          <w:tcPr>
            <w:tcW w:w="1803" w:type="dxa"/>
            <w:tcBorders>
              <w:top w:val="nil"/>
              <w:left w:val="nil"/>
              <w:bottom w:val="single" w:sz="4" w:space="0" w:color="auto"/>
              <w:right w:val="single" w:sz="4" w:space="0" w:color="auto"/>
            </w:tcBorders>
            <w:shd w:val="clear" w:color="auto" w:fill="auto"/>
            <w:noWrap/>
            <w:vAlign w:val="bottom"/>
            <w:hideMark/>
          </w:tcPr>
          <w:p w14:paraId="387F479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120.996,00</w:t>
            </w:r>
          </w:p>
        </w:tc>
      </w:tr>
      <w:tr w:rsidR="00846ACC" w:rsidRPr="004974C0" w14:paraId="5D04D25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6837301"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BDFDB0F"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5E3A54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118.996,00</w:t>
            </w:r>
          </w:p>
        </w:tc>
        <w:tc>
          <w:tcPr>
            <w:tcW w:w="1843" w:type="dxa"/>
            <w:tcBorders>
              <w:top w:val="nil"/>
              <w:left w:val="nil"/>
              <w:bottom w:val="single" w:sz="4" w:space="0" w:color="auto"/>
              <w:right w:val="single" w:sz="4" w:space="0" w:color="auto"/>
            </w:tcBorders>
            <w:shd w:val="clear" w:color="auto" w:fill="auto"/>
            <w:noWrap/>
            <w:vAlign w:val="bottom"/>
            <w:hideMark/>
          </w:tcPr>
          <w:p w14:paraId="4948F5B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c>
          <w:tcPr>
            <w:tcW w:w="1559" w:type="dxa"/>
            <w:tcBorders>
              <w:top w:val="nil"/>
              <w:left w:val="nil"/>
              <w:bottom w:val="single" w:sz="4" w:space="0" w:color="auto"/>
              <w:right w:val="single" w:sz="4" w:space="0" w:color="auto"/>
            </w:tcBorders>
            <w:shd w:val="clear" w:color="auto" w:fill="auto"/>
            <w:noWrap/>
            <w:vAlign w:val="bottom"/>
            <w:hideMark/>
          </w:tcPr>
          <w:p w14:paraId="0F07C55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1,68</w:t>
            </w:r>
          </w:p>
        </w:tc>
        <w:tc>
          <w:tcPr>
            <w:tcW w:w="1803" w:type="dxa"/>
            <w:tcBorders>
              <w:top w:val="nil"/>
              <w:left w:val="nil"/>
              <w:bottom w:val="single" w:sz="4" w:space="0" w:color="auto"/>
              <w:right w:val="single" w:sz="4" w:space="0" w:color="auto"/>
            </w:tcBorders>
            <w:shd w:val="clear" w:color="auto" w:fill="auto"/>
            <w:noWrap/>
            <w:vAlign w:val="bottom"/>
            <w:hideMark/>
          </w:tcPr>
          <w:p w14:paraId="382ACCF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120.996,00</w:t>
            </w:r>
          </w:p>
        </w:tc>
      </w:tr>
      <w:tr w:rsidR="00846ACC" w:rsidRPr="004974C0" w14:paraId="41304F5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D06A54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22FE914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B18CC8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1.477.000,00</w:t>
            </w:r>
          </w:p>
        </w:tc>
        <w:tc>
          <w:tcPr>
            <w:tcW w:w="1843" w:type="dxa"/>
            <w:tcBorders>
              <w:top w:val="nil"/>
              <w:left w:val="nil"/>
              <w:bottom w:val="single" w:sz="4" w:space="0" w:color="auto"/>
              <w:right w:val="single" w:sz="4" w:space="0" w:color="auto"/>
            </w:tcBorders>
            <w:shd w:val="clear" w:color="000000" w:fill="FFFF99"/>
            <w:noWrap/>
            <w:vAlign w:val="bottom"/>
            <w:hideMark/>
          </w:tcPr>
          <w:p w14:paraId="216C230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17.920,00</w:t>
            </w:r>
          </w:p>
        </w:tc>
        <w:tc>
          <w:tcPr>
            <w:tcW w:w="1559" w:type="dxa"/>
            <w:tcBorders>
              <w:top w:val="nil"/>
              <w:left w:val="nil"/>
              <w:bottom w:val="single" w:sz="4" w:space="0" w:color="auto"/>
              <w:right w:val="single" w:sz="4" w:space="0" w:color="auto"/>
            </w:tcBorders>
            <w:shd w:val="clear" w:color="000000" w:fill="FFFF99"/>
            <w:noWrap/>
            <w:vAlign w:val="bottom"/>
            <w:hideMark/>
          </w:tcPr>
          <w:p w14:paraId="4C897DC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1,21</w:t>
            </w:r>
          </w:p>
        </w:tc>
        <w:tc>
          <w:tcPr>
            <w:tcW w:w="1803" w:type="dxa"/>
            <w:tcBorders>
              <w:top w:val="nil"/>
              <w:left w:val="nil"/>
              <w:bottom w:val="single" w:sz="4" w:space="0" w:color="auto"/>
              <w:right w:val="single" w:sz="4" w:space="0" w:color="auto"/>
            </w:tcBorders>
            <w:shd w:val="clear" w:color="000000" w:fill="FFFF99"/>
            <w:noWrap/>
            <w:vAlign w:val="bottom"/>
            <w:hideMark/>
          </w:tcPr>
          <w:p w14:paraId="51ABA6F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1.494.920,00</w:t>
            </w:r>
          </w:p>
        </w:tc>
      </w:tr>
      <w:tr w:rsidR="00846ACC" w:rsidRPr="004974C0" w14:paraId="5AB91FF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5612DC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C26DFD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A6661A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1.477.000,00</w:t>
            </w:r>
          </w:p>
        </w:tc>
        <w:tc>
          <w:tcPr>
            <w:tcW w:w="1843" w:type="dxa"/>
            <w:tcBorders>
              <w:top w:val="nil"/>
              <w:left w:val="nil"/>
              <w:bottom w:val="single" w:sz="4" w:space="0" w:color="auto"/>
              <w:right w:val="single" w:sz="4" w:space="0" w:color="auto"/>
            </w:tcBorders>
            <w:shd w:val="clear" w:color="auto" w:fill="auto"/>
            <w:noWrap/>
            <w:vAlign w:val="bottom"/>
            <w:hideMark/>
          </w:tcPr>
          <w:p w14:paraId="74BDD52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17.920,00</w:t>
            </w:r>
          </w:p>
        </w:tc>
        <w:tc>
          <w:tcPr>
            <w:tcW w:w="1559" w:type="dxa"/>
            <w:tcBorders>
              <w:top w:val="nil"/>
              <w:left w:val="nil"/>
              <w:bottom w:val="single" w:sz="4" w:space="0" w:color="auto"/>
              <w:right w:val="single" w:sz="4" w:space="0" w:color="auto"/>
            </w:tcBorders>
            <w:shd w:val="clear" w:color="auto" w:fill="auto"/>
            <w:noWrap/>
            <w:vAlign w:val="bottom"/>
            <w:hideMark/>
          </w:tcPr>
          <w:p w14:paraId="31A738E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1,21</w:t>
            </w:r>
          </w:p>
        </w:tc>
        <w:tc>
          <w:tcPr>
            <w:tcW w:w="1803" w:type="dxa"/>
            <w:tcBorders>
              <w:top w:val="nil"/>
              <w:left w:val="nil"/>
              <w:bottom w:val="single" w:sz="4" w:space="0" w:color="auto"/>
              <w:right w:val="single" w:sz="4" w:space="0" w:color="auto"/>
            </w:tcBorders>
            <w:shd w:val="clear" w:color="auto" w:fill="auto"/>
            <w:noWrap/>
            <w:vAlign w:val="bottom"/>
            <w:hideMark/>
          </w:tcPr>
          <w:p w14:paraId="773F840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1.494.920,00</w:t>
            </w:r>
          </w:p>
        </w:tc>
      </w:tr>
      <w:tr w:rsidR="00846ACC" w:rsidRPr="004974C0" w14:paraId="1D60DB0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B0D1B22"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10D6A240"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151B1BE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1.360.000,00</w:t>
            </w:r>
          </w:p>
        </w:tc>
        <w:tc>
          <w:tcPr>
            <w:tcW w:w="1843" w:type="dxa"/>
            <w:tcBorders>
              <w:top w:val="nil"/>
              <w:left w:val="nil"/>
              <w:bottom w:val="single" w:sz="4" w:space="0" w:color="auto"/>
              <w:right w:val="single" w:sz="4" w:space="0" w:color="auto"/>
            </w:tcBorders>
            <w:shd w:val="clear" w:color="auto" w:fill="auto"/>
            <w:noWrap/>
            <w:vAlign w:val="bottom"/>
            <w:hideMark/>
          </w:tcPr>
          <w:p w14:paraId="4C09948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12.000,00</w:t>
            </w:r>
          </w:p>
        </w:tc>
        <w:tc>
          <w:tcPr>
            <w:tcW w:w="1559" w:type="dxa"/>
            <w:tcBorders>
              <w:top w:val="nil"/>
              <w:left w:val="nil"/>
              <w:bottom w:val="single" w:sz="4" w:space="0" w:color="auto"/>
              <w:right w:val="single" w:sz="4" w:space="0" w:color="auto"/>
            </w:tcBorders>
            <w:shd w:val="clear" w:color="auto" w:fill="auto"/>
            <w:noWrap/>
            <w:vAlign w:val="bottom"/>
            <w:hideMark/>
          </w:tcPr>
          <w:p w14:paraId="2692E5D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0,88</w:t>
            </w:r>
          </w:p>
        </w:tc>
        <w:tc>
          <w:tcPr>
            <w:tcW w:w="1803" w:type="dxa"/>
            <w:tcBorders>
              <w:top w:val="nil"/>
              <w:left w:val="nil"/>
              <w:bottom w:val="single" w:sz="4" w:space="0" w:color="auto"/>
              <w:right w:val="single" w:sz="4" w:space="0" w:color="auto"/>
            </w:tcBorders>
            <w:shd w:val="clear" w:color="auto" w:fill="auto"/>
            <w:noWrap/>
            <w:vAlign w:val="bottom"/>
            <w:hideMark/>
          </w:tcPr>
          <w:p w14:paraId="6C874B4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1.372.000,00</w:t>
            </w:r>
          </w:p>
        </w:tc>
      </w:tr>
      <w:tr w:rsidR="00846ACC" w:rsidRPr="004974C0" w14:paraId="0CA9E8B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7BEB651"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A650C0E"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718C4BA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116.900,00</w:t>
            </w:r>
          </w:p>
        </w:tc>
        <w:tc>
          <w:tcPr>
            <w:tcW w:w="1843" w:type="dxa"/>
            <w:tcBorders>
              <w:top w:val="nil"/>
              <w:left w:val="nil"/>
              <w:bottom w:val="single" w:sz="4" w:space="0" w:color="auto"/>
              <w:right w:val="single" w:sz="4" w:space="0" w:color="auto"/>
            </w:tcBorders>
            <w:shd w:val="clear" w:color="auto" w:fill="auto"/>
            <w:noWrap/>
            <w:vAlign w:val="bottom"/>
            <w:hideMark/>
          </w:tcPr>
          <w:p w14:paraId="2E3E317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5.200,00</w:t>
            </w:r>
          </w:p>
        </w:tc>
        <w:tc>
          <w:tcPr>
            <w:tcW w:w="1559" w:type="dxa"/>
            <w:tcBorders>
              <w:top w:val="nil"/>
              <w:left w:val="nil"/>
              <w:bottom w:val="single" w:sz="4" w:space="0" w:color="auto"/>
              <w:right w:val="single" w:sz="4" w:space="0" w:color="auto"/>
            </w:tcBorders>
            <w:shd w:val="clear" w:color="auto" w:fill="auto"/>
            <w:noWrap/>
            <w:vAlign w:val="bottom"/>
            <w:hideMark/>
          </w:tcPr>
          <w:p w14:paraId="22FC4AE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4,45</w:t>
            </w:r>
          </w:p>
        </w:tc>
        <w:tc>
          <w:tcPr>
            <w:tcW w:w="1803" w:type="dxa"/>
            <w:tcBorders>
              <w:top w:val="nil"/>
              <w:left w:val="nil"/>
              <w:bottom w:val="single" w:sz="4" w:space="0" w:color="auto"/>
              <w:right w:val="single" w:sz="4" w:space="0" w:color="auto"/>
            </w:tcBorders>
            <w:shd w:val="clear" w:color="auto" w:fill="auto"/>
            <w:noWrap/>
            <w:vAlign w:val="bottom"/>
            <w:hideMark/>
          </w:tcPr>
          <w:p w14:paraId="43D2E50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122.100,00</w:t>
            </w:r>
          </w:p>
        </w:tc>
      </w:tr>
      <w:tr w:rsidR="00846ACC" w:rsidRPr="004974C0" w14:paraId="34BC78F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D5232EF" w14:textId="77777777" w:rsidR="004974C0" w:rsidRPr="004974C0" w:rsidRDefault="004974C0" w:rsidP="004974C0">
            <w:pPr>
              <w:rPr>
                <w:rFonts w:ascii="Arial" w:hAnsi="Arial" w:cs="Arial"/>
                <w:sz w:val="20"/>
                <w:szCs w:val="20"/>
              </w:rPr>
            </w:pPr>
            <w:r w:rsidRPr="004974C0">
              <w:rPr>
                <w:rFonts w:ascii="Arial" w:hAnsi="Arial" w:cs="Arial"/>
                <w:sz w:val="20"/>
                <w:szCs w:val="20"/>
              </w:rPr>
              <w:t>38</w:t>
            </w:r>
          </w:p>
        </w:tc>
        <w:tc>
          <w:tcPr>
            <w:tcW w:w="1984" w:type="dxa"/>
            <w:tcBorders>
              <w:top w:val="nil"/>
              <w:left w:val="nil"/>
              <w:bottom w:val="single" w:sz="4" w:space="0" w:color="auto"/>
              <w:right w:val="single" w:sz="4" w:space="0" w:color="auto"/>
            </w:tcBorders>
            <w:shd w:val="clear" w:color="auto" w:fill="auto"/>
            <w:noWrap/>
            <w:vAlign w:val="bottom"/>
            <w:hideMark/>
          </w:tcPr>
          <w:p w14:paraId="0578F556" w14:textId="77777777" w:rsidR="004974C0" w:rsidRPr="004974C0" w:rsidRDefault="004974C0" w:rsidP="004974C0">
            <w:pPr>
              <w:rPr>
                <w:rFonts w:ascii="Arial" w:hAnsi="Arial" w:cs="Arial"/>
                <w:sz w:val="20"/>
                <w:szCs w:val="20"/>
              </w:rPr>
            </w:pPr>
            <w:r w:rsidRPr="004974C0">
              <w:rPr>
                <w:rFonts w:ascii="Arial" w:hAnsi="Arial" w:cs="Arial"/>
                <w:sz w:val="20"/>
                <w:szCs w:val="20"/>
              </w:rPr>
              <w:t xml:space="preserve">Rashodi za donacije, kazne, </w:t>
            </w:r>
            <w:r w:rsidRPr="004974C0">
              <w:rPr>
                <w:rFonts w:ascii="Arial" w:hAnsi="Arial" w:cs="Arial"/>
                <w:sz w:val="20"/>
                <w:szCs w:val="20"/>
              </w:rPr>
              <w:lastRenderedPageBreak/>
              <w:t>naknade šteta i kapitalne pomoći</w:t>
            </w:r>
          </w:p>
        </w:tc>
        <w:tc>
          <w:tcPr>
            <w:tcW w:w="1843" w:type="dxa"/>
            <w:tcBorders>
              <w:top w:val="nil"/>
              <w:left w:val="nil"/>
              <w:bottom w:val="single" w:sz="4" w:space="0" w:color="auto"/>
              <w:right w:val="single" w:sz="4" w:space="0" w:color="auto"/>
            </w:tcBorders>
            <w:shd w:val="clear" w:color="auto" w:fill="auto"/>
            <w:noWrap/>
            <w:vAlign w:val="bottom"/>
            <w:hideMark/>
          </w:tcPr>
          <w:p w14:paraId="0C68971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lastRenderedPageBreak/>
              <w:t>100,00</w:t>
            </w:r>
          </w:p>
        </w:tc>
        <w:tc>
          <w:tcPr>
            <w:tcW w:w="1843" w:type="dxa"/>
            <w:tcBorders>
              <w:top w:val="nil"/>
              <w:left w:val="nil"/>
              <w:bottom w:val="single" w:sz="4" w:space="0" w:color="auto"/>
              <w:right w:val="single" w:sz="4" w:space="0" w:color="auto"/>
            </w:tcBorders>
            <w:shd w:val="clear" w:color="auto" w:fill="auto"/>
            <w:noWrap/>
            <w:vAlign w:val="bottom"/>
            <w:hideMark/>
          </w:tcPr>
          <w:p w14:paraId="237A408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720,00</w:t>
            </w:r>
          </w:p>
        </w:tc>
        <w:tc>
          <w:tcPr>
            <w:tcW w:w="1559" w:type="dxa"/>
            <w:tcBorders>
              <w:top w:val="nil"/>
              <w:left w:val="nil"/>
              <w:bottom w:val="single" w:sz="4" w:space="0" w:color="auto"/>
              <w:right w:val="single" w:sz="4" w:space="0" w:color="auto"/>
            </w:tcBorders>
            <w:shd w:val="clear" w:color="auto" w:fill="auto"/>
            <w:noWrap/>
            <w:vAlign w:val="bottom"/>
            <w:hideMark/>
          </w:tcPr>
          <w:p w14:paraId="240B353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720,00</w:t>
            </w:r>
          </w:p>
        </w:tc>
        <w:tc>
          <w:tcPr>
            <w:tcW w:w="1803" w:type="dxa"/>
            <w:tcBorders>
              <w:top w:val="nil"/>
              <w:left w:val="nil"/>
              <w:bottom w:val="single" w:sz="4" w:space="0" w:color="auto"/>
              <w:right w:val="single" w:sz="4" w:space="0" w:color="auto"/>
            </w:tcBorders>
            <w:shd w:val="clear" w:color="auto" w:fill="auto"/>
            <w:noWrap/>
            <w:vAlign w:val="bottom"/>
            <w:hideMark/>
          </w:tcPr>
          <w:p w14:paraId="5D05709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820,00</w:t>
            </w:r>
          </w:p>
        </w:tc>
      </w:tr>
      <w:tr w:rsidR="00846ACC" w:rsidRPr="004974C0" w14:paraId="6B635E7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3D79731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A500004 Produženi boravak</w:t>
            </w:r>
          </w:p>
        </w:tc>
        <w:tc>
          <w:tcPr>
            <w:tcW w:w="1984" w:type="dxa"/>
            <w:tcBorders>
              <w:top w:val="nil"/>
              <w:left w:val="nil"/>
              <w:bottom w:val="single" w:sz="4" w:space="0" w:color="auto"/>
              <w:right w:val="single" w:sz="4" w:space="0" w:color="auto"/>
            </w:tcBorders>
            <w:shd w:val="clear" w:color="000000" w:fill="CCCCFF"/>
            <w:noWrap/>
            <w:vAlign w:val="bottom"/>
            <w:hideMark/>
          </w:tcPr>
          <w:p w14:paraId="774157F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20D9001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195.250,00</w:t>
            </w:r>
          </w:p>
        </w:tc>
        <w:tc>
          <w:tcPr>
            <w:tcW w:w="1843" w:type="dxa"/>
            <w:tcBorders>
              <w:top w:val="nil"/>
              <w:left w:val="nil"/>
              <w:bottom w:val="single" w:sz="4" w:space="0" w:color="auto"/>
              <w:right w:val="single" w:sz="4" w:space="0" w:color="auto"/>
            </w:tcBorders>
            <w:shd w:val="clear" w:color="000000" w:fill="CCCCFF"/>
            <w:noWrap/>
            <w:vAlign w:val="bottom"/>
            <w:hideMark/>
          </w:tcPr>
          <w:p w14:paraId="3FE640C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10.200,00</w:t>
            </w:r>
          </w:p>
        </w:tc>
        <w:tc>
          <w:tcPr>
            <w:tcW w:w="1559" w:type="dxa"/>
            <w:tcBorders>
              <w:top w:val="nil"/>
              <w:left w:val="nil"/>
              <w:bottom w:val="single" w:sz="4" w:space="0" w:color="auto"/>
              <w:right w:val="single" w:sz="4" w:space="0" w:color="auto"/>
            </w:tcBorders>
            <w:shd w:val="clear" w:color="000000" w:fill="CCCCFF"/>
            <w:noWrap/>
            <w:vAlign w:val="bottom"/>
            <w:hideMark/>
          </w:tcPr>
          <w:p w14:paraId="7F4F45B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5,22</w:t>
            </w:r>
          </w:p>
        </w:tc>
        <w:tc>
          <w:tcPr>
            <w:tcW w:w="1803" w:type="dxa"/>
            <w:tcBorders>
              <w:top w:val="nil"/>
              <w:left w:val="nil"/>
              <w:bottom w:val="single" w:sz="4" w:space="0" w:color="auto"/>
              <w:right w:val="single" w:sz="4" w:space="0" w:color="auto"/>
            </w:tcBorders>
            <w:shd w:val="clear" w:color="000000" w:fill="CCCCFF"/>
            <w:noWrap/>
            <w:vAlign w:val="bottom"/>
            <w:hideMark/>
          </w:tcPr>
          <w:p w14:paraId="1F32654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205.450,00</w:t>
            </w:r>
          </w:p>
        </w:tc>
      </w:tr>
      <w:tr w:rsidR="00846ACC" w:rsidRPr="004974C0" w14:paraId="3CB7EC3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E2C75C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6AAFAFC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0F8617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100.000,00</w:t>
            </w:r>
          </w:p>
        </w:tc>
        <w:tc>
          <w:tcPr>
            <w:tcW w:w="1843" w:type="dxa"/>
            <w:tcBorders>
              <w:top w:val="nil"/>
              <w:left w:val="nil"/>
              <w:bottom w:val="single" w:sz="4" w:space="0" w:color="auto"/>
              <w:right w:val="single" w:sz="4" w:space="0" w:color="auto"/>
            </w:tcBorders>
            <w:shd w:val="clear" w:color="000000" w:fill="FFFF99"/>
            <w:noWrap/>
            <w:vAlign w:val="bottom"/>
            <w:hideMark/>
          </w:tcPr>
          <w:p w14:paraId="03C077E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10.200,00</w:t>
            </w:r>
          </w:p>
        </w:tc>
        <w:tc>
          <w:tcPr>
            <w:tcW w:w="1559" w:type="dxa"/>
            <w:tcBorders>
              <w:top w:val="nil"/>
              <w:left w:val="nil"/>
              <w:bottom w:val="single" w:sz="4" w:space="0" w:color="auto"/>
              <w:right w:val="single" w:sz="4" w:space="0" w:color="auto"/>
            </w:tcBorders>
            <w:shd w:val="clear" w:color="000000" w:fill="FFFF99"/>
            <w:noWrap/>
            <w:vAlign w:val="bottom"/>
            <w:hideMark/>
          </w:tcPr>
          <w:p w14:paraId="09C40EF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10,20</w:t>
            </w:r>
          </w:p>
        </w:tc>
        <w:tc>
          <w:tcPr>
            <w:tcW w:w="1803" w:type="dxa"/>
            <w:tcBorders>
              <w:top w:val="nil"/>
              <w:left w:val="nil"/>
              <w:bottom w:val="single" w:sz="4" w:space="0" w:color="auto"/>
              <w:right w:val="single" w:sz="4" w:space="0" w:color="auto"/>
            </w:tcBorders>
            <w:shd w:val="clear" w:color="000000" w:fill="FFFF99"/>
            <w:noWrap/>
            <w:vAlign w:val="bottom"/>
            <w:hideMark/>
          </w:tcPr>
          <w:p w14:paraId="417EE8D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110.200,00</w:t>
            </w:r>
          </w:p>
        </w:tc>
      </w:tr>
      <w:tr w:rsidR="00846ACC" w:rsidRPr="004974C0" w14:paraId="02E39D8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6ED6E2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DA7407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460993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100.000,00</w:t>
            </w:r>
          </w:p>
        </w:tc>
        <w:tc>
          <w:tcPr>
            <w:tcW w:w="1843" w:type="dxa"/>
            <w:tcBorders>
              <w:top w:val="nil"/>
              <w:left w:val="nil"/>
              <w:bottom w:val="single" w:sz="4" w:space="0" w:color="auto"/>
              <w:right w:val="single" w:sz="4" w:space="0" w:color="auto"/>
            </w:tcBorders>
            <w:shd w:val="clear" w:color="auto" w:fill="auto"/>
            <w:noWrap/>
            <w:vAlign w:val="bottom"/>
            <w:hideMark/>
          </w:tcPr>
          <w:p w14:paraId="68E22B6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10.200,00</w:t>
            </w:r>
          </w:p>
        </w:tc>
        <w:tc>
          <w:tcPr>
            <w:tcW w:w="1559" w:type="dxa"/>
            <w:tcBorders>
              <w:top w:val="nil"/>
              <w:left w:val="nil"/>
              <w:bottom w:val="single" w:sz="4" w:space="0" w:color="auto"/>
              <w:right w:val="single" w:sz="4" w:space="0" w:color="auto"/>
            </w:tcBorders>
            <w:shd w:val="clear" w:color="auto" w:fill="auto"/>
            <w:noWrap/>
            <w:vAlign w:val="bottom"/>
            <w:hideMark/>
          </w:tcPr>
          <w:p w14:paraId="47A8854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10,20</w:t>
            </w:r>
          </w:p>
        </w:tc>
        <w:tc>
          <w:tcPr>
            <w:tcW w:w="1803" w:type="dxa"/>
            <w:tcBorders>
              <w:top w:val="nil"/>
              <w:left w:val="nil"/>
              <w:bottom w:val="single" w:sz="4" w:space="0" w:color="auto"/>
              <w:right w:val="single" w:sz="4" w:space="0" w:color="auto"/>
            </w:tcBorders>
            <w:shd w:val="clear" w:color="auto" w:fill="auto"/>
            <w:noWrap/>
            <w:vAlign w:val="bottom"/>
            <w:hideMark/>
          </w:tcPr>
          <w:p w14:paraId="270EEE9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110.200,00</w:t>
            </w:r>
          </w:p>
        </w:tc>
      </w:tr>
      <w:tr w:rsidR="00846ACC" w:rsidRPr="004974C0" w14:paraId="45D457A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11EFDE3"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4CFECFFF"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667E550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100.000,00</w:t>
            </w:r>
          </w:p>
        </w:tc>
        <w:tc>
          <w:tcPr>
            <w:tcW w:w="1843" w:type="dxa"/>
            <w:tcBorders>
              <w:top w:val="nil"/>
              <w:left w:val="nil"/>
              <w:bottom w:val="single" w:sz="4" w:space="0" w:color="auto"/>
              <w:right w:val="single" w:sz="4" w:space="0" w:color="auto"/>
            </w:tcBorders>
            <w:shd w:val="clear" w:color="auto" w:fill="auto"/>
            <w:noWrap/>
            <w:vAlign w:val="bottom"/>
            <w:hideMark/>
          </w:tcPr>
          <w:p w14:paraId="179012B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10.200,00</w:t>
            </w:r>
          </w:p>
        </w:tc>
        <w:tc>
          <w:tcPr>
            <w:tcW w:w="1559" w:type="dxa"/>
            <w:tcBorders>
              <w:top w:val="nil"/>
              <w:left w:val="nil"/>
              <w:bottom w:val="single" w:sz="4" w:space="0" w:color="auto"/>
              <w:right w:val="single" w:sz="4" w:space="0" w:color="auto"/>
            </w:tcBorders>
            <w:shd w:val="clear" w:color="auto" w:fill="auto"/>
            <w:noWrap/>
            <w:vAlign w:val="bottom"/>
            <w:hideMark/>
          </w:tcPr>
          <w:p w14:paraId="0D2B641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10,20</w:t>
            </w:r>
          </w:p>
        </w:tc>
        <w:tc>
          <w:tcPr>
            <w:tcW w:w="1803" w:type="dxa"/>
            <w:tcBorders>
              <w:top w:val="nil"/>
              <w:left w:val="nil"/>
              <w:bottom w:val="single" w:sz="4" w:space="0" w:color="auto"/>
              <w:right w:val="single" w:sz="4" w:space="0" w:color="auto"/>
            </w:tcBorders>
            <w:shd w:val="clear" w:color="auto" w:fill="auto"/>
            <w:noWrap/>
            <w:vAlign w:val="bottom"/>
            <w:hideMark/>
          </w:tcPr>
          <w:p w14:paraId="54AB2C6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110.200,00</w:t>
            </w:r>
          </w:p>
        </w:tc>
      </w:tr>
      <w:tr w:rsidR="00846ACC" w:rsidRPr="004974C0" w14:paraId="3A838D7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E332D0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4.9. 4.PRIHODI ZA POSEBNE NAMJENE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0C54634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C726C7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77.750,00</w:t>
            </w:r>
          </w:p>
        </w:tc>
        <w:tc>
          <w:tcPr>
            <w:tcW w:w="1843" w:type="dxa"/>
            <w:tcBorders>
              <w:top w:val="nil"/>
              <w:left w:val="nil"/>
              <w:bottom w:val="single" w:sz="4" w:space="0" w:color="auto"/>
              <w:right w:val="single" w:sz="4" w:space="0" w:color="auto"/>
            </w:tcBorders>
            <w:shd w:val="clear" w:color="000000" w:fill="FFFF99"/>
            <w:noWrap/>
            <w:vAlign w:val="bottom"/>
            <w:hideMark/>
          </w:tcPr>
          <w:p w14:paraId="6CB910B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12C3086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F25719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77.750,00</w:t>
            </w:r>
          </w:p>
        </w:tc>
      </w:tr>
      <w:tr w:rsidR="00846ACC" w:rsidRPr="004974C0" w14:paraId="2C51401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3D6DF6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5445B3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A6C11B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77.250,00</w:t>
            </w:r>
          </w:p>
        </w:tc>
        <w:tc>
          <w:tcPr>
            <w:tcW w:w="1843" w:type="dxa"/>
            <w:tcBorders>
              <w:top w:val="nil"/>
              <w:left w:val="nil"/>
              <w:bottom w:val="single" w:sz="4" w:space="0" w:color="auto"/>
              <w:right w:val="single" w:sz="4" w:space="0" w:color="auto"/>
            </w:tcBorders>
            <w:shd w:val="clear" w:color="auto" w:fill="auto"/>
            <w:noWrap/>
            <w:vAlign w:val="bottom"/>
            <w:hideMark/>
          </w:tcPr>
          <w:p w14:paraId="4EEF7C6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4856C9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DA3B48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77.250,00</w:t>
            </w:r>
          </w:p>
        </w:tc>
      </w:tr>
      <w:tr w:rsidR="00846ACC" w:rsidRPr="004974C0" w14:paraId="0382D23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41469CD"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5E2BC732"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5085AE5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19.250,00</w:t>
            </w:r>
          </w:p>
        </w:tc>
        <w:tc>
          <w:tcPr>
            <w:tcW w:w="1843" w:type="dxa"/>
            <w:tcBorders>
              <w:top w:val="nil"/>
              <w:left w:val="nil"/>
              <w:bottom w:val="single" w:sz="4" w:space="0" w:color="auto"/>
              <w:right w:val="single" w:sz="4" w:space="0" w:color="auto"/>
            </w:tcBorders>
            <w:shd w:val="clear" w:color="auto" w:fill="auto"/>
            <w:noWrap/>
            <w:vAlign w:val="bottom"/>
            <w:hideMark/>
          </w:tcPr>
          <w:p w14:paraId="337D3B8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7.250,00</w:t>
            </w:r>
          </w:p>
        </w:tc>
        <w:tc>
          <w:tcPr>
            <w:tcW w:w="1559" w:type="dxa"/>
            <w:tcBorders>
              <w:top w:val="nil"/>
              <w:left w:val="nil"/>
              <w:bottom w:val="single" w:sz="4" w:space="0" w:color="auto"/>
              <w:right w:val="single" w:sz="4" w:space="0" w:color="auto"/>
            </w:tcBorders>
            <w:shd w:val="clear" w:color="auto" w:fill="auto"/>
            <w:noWrap/>
            <w:vAlign w:val="bottom"/>
            <w:hideMark/>
          </w:tcPr>
          <w:p w14:paraId="6660BB2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37,66</w:t>
            </w:r>
          </w:p>
        </w:tc>
        <w:tc>
          <w:tcPr>
            <w:tcW w:w="1803" w:type="dxa"/>
            <w:tcBorders>
              <w:top w:val="nil"/>
              <w:left w:val="nil"/>
              <w:bottom w:val="single" w:sz="4" w:space="0" w:color="auto"/>
              <w:right w:val="single" w:sz="4" w:space="0" w:color="auto"/>
            </w:tcBorders>
            <w:shd w:val="clear" w:color="auto" w:fill="auto"/>
            <w:noWrap/>
            <w:vAlign w:val="bottom"/>
            <w:hideMark/>
          </w:tcPr>
          <w:p w14:paraId="27F8813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26.500,00</w:t>
            </w:r>
          </w:p>
        </w:tc>
      </w:tr>
      <w:tr w:rsidR="00846ACC" w:rsidRPr="004974C0" w14:paraId="3719FC5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CC80FCD"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32131AAB"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1F2DAE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58.000,00</w:t>
            </w:r>
          </w:p>
        </w:tc>
        <w:tc>
          <w:tcPr>
            <w:tcW w:w="1843" w:type="dxa"/>
            <w:tcBorders>
              <w:top w:val="nil"/>
              <w:left w:val="nil"/>
              <w:bottom w:val="single" w:sz="4" w:space="0" w:color="auto"/>
              <w:right w:val="single" w:sz="4" w:space="0" w:color="auto"/>
            </w:tcBorders>
            <w:shd w:val="clear" w:color="auto" w:fill="auto"/>
            <w:noWrap/>
            <w:vAlign w:val="bottom"/>
            <w:hideMark/>
          </w:tcPr>
          <w:p w14:paraId="7CC3AB8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-7.250,00</w:t>
            </w:r>
          </w:p>
        </w:tc>
        <w:tc>
          <w:tcPr>
            <w:tcW w:w="1559" w:type="dxa"/>
            <w:tcBorders>
              <w:top w:val="nil"/>
              <w:left w:val="nil"/>
              <w:bottom w:val="single" w:sz="4" w:space="0" w:color="auto"/>
              <w:right w:val="single" w:sz="4" w:space="0" w:color="auto"/>
            </w:tcBorders>
            <w:shd w:val="clear" w:color="auto" w:fill="auto"/>
            <w:noWrap/>
            <w:vAlign w:val="bottom"/>
            <w:hideMark/>
          </w:tcPr>
          <w:p w14:paraId="79981FF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-12,50</w:t>
            </w:r>
          </w:p>
        </w:tc>
        <w:tc>
          <w:tcPr>
            <w:tcW w:w="1803" w:type="dxa"/>
            <w:tcBorders>
              <w:top w:val="nil"/>
              <w:left w:val="nil"/>
              <w:bottom w:val="single" w:sz="4" w:space="0" w:color="auto"/>
              <w:right w:val="single" w:sz="4" w:space="0" w:color="auto"/>
            </w:tcBorders>
            <w:shd w:val="clear" w:color="auto" w:fill="auto"/>
            <w:noWrap/>
            <w:vAlign w:val="bottom"/>
            <w:hideMark/>
          </w:tcPr>
          <w:p w14:paraId="5C0E993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50.750,00</w:t>
            </w:r>
          </w:p>
        </w:tc>
      </w:tr>
      <w:tr w:rsidR="00846ACC" w:rsidRPr="004974C0" w14:paraId="0A1ECDA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AF2C2D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4E298A2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2AA597C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2DBC0A6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1E6EC5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3060C9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w:t>
            </w:r>
          </w:p>
        </w:tc>
      </w:tr>
      <w:tr w:rsidR="00846ACC" w:rsidRPr="004974C0" w14:paraId="28761A8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AC49214"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4224E042"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1BBC196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1A27143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83FDB6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4D19CB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w:t>
            </w:r>
          </w:p>
        </w:tc>
      </w:tr>
      <w:tr w:rsidR="00846ACC" w:rsidRPr="004974C0" w14:paraId="504617D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5E5A00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6538788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275441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17.500,00</w:t>
            </w:r>
          </w:p>
        </w:tc>
        <w:tc>
          <w:tcPr>
            <w:tcW w:w="1843" w:type="dxa"/>
            <w:tcBorders>
              <w:top w:val="nil"/>
              <w:left w:val="nil"/>
              <w:bottom w:val="single" w:sz="4" w:space="0" w:color="auto"/>
              <w:right w:val="single" w:sz="4" w:space="0" w:color="auto"/>
            </w:tcBorders>
            <w:shd w:val="clear" w:color="000000" w:fill="FFFF99"/>
            <w:noWrap/>
            <w:vAlign w:val="bottom"/>
            <w:hideMark/>
          </w:tcPr>
          <w:p w14:paraId="27C1E6C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54BFDBA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F5B653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17.500,00</w:t>
            </w:r>
          </w:p>
        </w:tc>
      </w:tr>
      <w:tr w:rsidR="00846ACC" w:rsidRPr="004974C0" w14:paraId="4415F85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C0D636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8AC420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36D38C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17.500,00</w:t>
            </w:r>
          </w:p>
        </w:tc>
        <w:tc>
          <w:tcPr>
            <w:tcW w:w="1843" w:type="dxa"/>
            <w:tcBorders>
              <w:top w:val="nil"/>
              <w:left w:val="nil"/>
              <w:bottom w:val="single" w:sz="4" w:space="0" w:color="auto"/>
              <w:right w:val="single" w:sz="4" w:space="0" w:color="auto"/>
            </w:tcBorders>
            <w:shd w:val="clear" w:color="auto" w:fill="auto"/>
            <w:noWrap/>
            <w:vAlign w:val="bottom"/>
            <w:hideMark/>
          </w:tcPr>
          <w:p w14:paraId="3027A29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B94C66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58C57E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17.500,00</w:t>
            </w:r>
          </w:p>
        </w:tc>
      </w:tr>
      <w:tr w:rsidR="00846ACC" w:rsidRPr="004974C0" w14:paraId="4718017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9E4E1E6"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7CBAE22F"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288416A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17.500,00</w:t>
            </w:r>
          </w:p>
        </w:tc>
        <w:tc>
          <w:tcPr>
            <w:tcW w:w="1843" w:type="dxa"/>
            <w:tcBorders>
              <w:top w:val="nil"/>
              <w:left w:val="nil"/>
              <w:bottom w:val="single" w:sz="4" w:space="0" w:color="auto"/>
              <w:right w:val="single" w:sz="4" w:space="0" w:color="auto"/>
            </w:tcBorders>
            <w:shd w:val="clear" w:color="auto" w:fill="auto"/>
            <w:noWrap/>
            <w:vAlign w:val="bottom"/>
            <w:hideMark/>
          </w:tcPr>
          <w:p w14:paraId="6E665FA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87193F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845569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17.500,00</w:t>
            </w:r>
          </w:p>
        </w:tc>
      </w:tr>
      <w:tr w:rsidR="00846ACC" w:rsidRPr="004974C0" w14:paraId="1059064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7EFC78C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A500005 Dodatne aktivnosti učenika i osoblja u školi</w:t>
            </w:r>
          </w:p>
        </w:tc>
        <w:tc>
          <w:tcPr>
            <w:tcW w:w="1984" w:type="dxa"/>
            <w:tcBorders>
              <w:top w:val="nil"/>
              <w:left w:val="nil"/>
              <w:bottom w:val="single" w:sz="4" w:space="0" w:color="auto"/>
              <w:right w:val="single" w:sz="4" w:space="0" w:color="auto"/>
            </w:tcBorders>
            <w:shd w:val="clear" w:color="000000" w:fill="CCCCFF"/>
            <w:noWrap/>
            <w:vAlign w:val="bottom"/>
            <w:hideMark/>
          </w:tcPr>
          <w:p w14:paraId="36B19E7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7191BF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22.560,00</w:t>
            </w:r>
          </w:p>
        </w:tc>
        <w:tc>
          <w:tcPr>
            <w:tcW w:w="1843" w:type="dxa"/>
            <w:tcBorders>
              <w:top w:val="nil"/>
              <w:left w:val="nil"/>
              <w:bottom w:val="single" w:sz="4" w:space="0" w:color="auto"/>
              <w:right w:val="single" w:sz="4" w:space="0" w:color="auto"/>
            </w:tcBorders>
            <w:shd w:val="clear" w:color="000000" w:fill="CCCCFF"/>
            <w:noWrap/>
            <w:vAlign w:val="bottom"/>
            <w:hideMark/>
          </w:tcPr>
          <w:p w14:paraId="7952994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4.860,00</w:t>
            </w:r>
          </w:p>
        </w:tc>
        <w:tc>
          <w:tcPr>
            <w:tcW w:w="1559" w:type="dxa"/>
            <w:tcBorders>
              <w:top w:val="nil"/>
              <w:left w:val="nil"/>
              <w:bottom w:val="single" w:sz="4" w:space="0" w:color="auto"/>
              <w:right w:val="single" w:sz="4" w:space="0" w:color="auto"/>
            </w:tcBorders>
            <w:shd w:val="clear" w:color="000000" w:fill="CCCCFF"/>
            <w:noWrap/>
            <w:vAlign w:val="bottom"/>
            <w:hideMark/>
          </w:tcPr>
          <w:p w14:paraId="70D06FF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21,54</w:t>
            </w:r>
          </w:p>
        </w:tc>
        <w:tc>
          <w:tcPr>
            <w:tcW w:w="1803" w:type="dxa"/>
            <w:tcBorders>
              <w:top w:val="nil"/>
              <w:left w:val="nil"/>
              <w:bottom w:val="single" w:sz="4" w:space="0" w:color="auto"/>
              <w:right w:val="single" w:sz="4" w:space="0" w:color="auto"/>
            </w:tcBorders>
            <w:shd w:val="clear" w:color="000000" w:fill="CCCCFF"/>
            <w:noWrap/>
            <w:vAlign w:val="bottom"/>
            <w:hideMark/>
          </w:tcPr>
          <w:p w14:paraId="076387A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27.420,00</w:t>
            </w:r>
          </w:p>
        </w:tc>
      </w:tr>
      <w:tr w:rsidR="00846ACC" w:rsidRPr="004974C0" w14:paraId="76EAE0E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25303D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05C67F5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B0EC26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21.060,00</w:t>
            </w:r>
          </w:p>
        </w:tc>
        <w:tc>
          <w:tcPr>
            <w:tcW w:w="1843" w:type="dxa"/>
            <w:tcBorders>
              <w:top w:val="nil"/>
              <w:left w:val="nil"/>
              <w:bottom w:val="single" w:sz="4" w:space="0" w:color="auto"/>
              <w:right w:val="single" w:sz="4" w:space="0" w:color="auto"/>
            </w:tcBorders>
            <w:shd w:val="clear" w:color="000000" w:fill="FFFF99"/>
            <w:noWrap/>
            <w:vAlign w:val="bottom"/>
            <w:hideMark/>
          </w:tcPr>
          <w:p w14:paraId="7043E46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1.860,00</w:t>
            </w:r>
          </w:p>
        </w:tc>
        <w:tc>
          <w:tcPr>
            <w:tcW w:w="1559" w:type="dxa"/>
            <w:tcBorders>
              <w:top w:val="nil"/>
              <w:left w:val="nil"/>
              <w:bottom w:val="single" w:sz="4" w:space="0" w:color="auto"/>
              <w:right w:val="single" w:sz="4" w:space="0" w:color="auto"/>
            </w:tcBorders>
            <w:shd w:val="clear" w:color="000000" w:fill="FFFF99"/>
            <w:noWrap/>
            <w:vAlign w:val="bottom"/>
            <w:hideMark/>
          </w:tcPr>
          <w:p w14:paraId="779ECD4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8,83</w:t>
            </w:r>
          </w:p>
        </w:tc>
        <w:tc>
          <w:tcPr>
            <w:tcW w:w="1803" w:type="dxa"/>
            <w:tcBorders>
              <w:top w:val="nil"/>
              <w:left w:val="nil"/>
              <w:bottom w:val="single" w:sz="4" w:space="0" w:color="auto"/>
              <w:right w:val="single" w:sz="4" w:space="0" w:color="auto"/>
            </w:tcBorders>
            <w:shd w:val="clear" w:color="000000" w:fill="FFFF99"/>
            <w:noWrap/>
            <w:vAlign w:val="bottom"/>
            <w:hideMark/>
          </w:tcPr>
          <w:p w14:paraId="22356ED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22.920,00</w:t>
            </w:r>
          </w:p>
        </w:tc>
      </w:tr>
      <w:tr w:rsidR="00846ACC" w:rsidRPr="004974C0" w14:paraId="40B7396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BC42A0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F8E576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2BB7E4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18.660,00</w:t>
            </w:r>
          </w:p>
        </w:tc>
        <w:tc>
          <w:tcPr>
            <w:tcW w:w="1843" w:type="dxa"/>
            <w:tcBorders>
              <w:top w:val="nil"/>
              <w:left w:val="nil"/>
              <w:bottom w:val="single" w:sz="4" w:space="0" w:color="auto"/>
              <w:right w:val="single" w:sz="4" w:space="0" w:color="auto"/>
            </w:tcBorders>
            <w:shd w:val="clear" w:color="auto" w:fill="auto"/>
            <w:noWrap/>
            <w:vAlign w:val="bottom"/>
            <w:hideMark/>
          </w:tcPr>
          <w:p w14:paraId="5DE859A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1.860,00</w:t>
            </w:r>
          </w:p>
        </w:tc>
        <w:tc>
          <w:tcPr>
            <w:tcW w:w="1559" w:type="dxa"/>
            <w:tcBorders>
              <w:top w:val="nil"/>
              <w:left w:val="nil"/>
              <w:bottom w:val="single" w:sz="4" w:space="0" w:color="auto"/>
              <w:right w:val="single" w:sz="4" w:space="0" w:color="auto"/>
            </w:tcBorders>
            <w:shd w:val="clear" w:color="auto" w:fill="auto"/>
            <w:noWrap/>
            <w:vAlign w:val="bottom"/>
            <w:hideMark/>
          </w:tcPr>
          <w:p w14:paraId="35C4898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9,97</w:t>
            </w:r>
          </w:p>
        </w:tc>
        <w:tc>
          <w:tcPr>
            <w:tcW w:w="1803" w:type="dxa"/>
            <w:tcBorders>
              <w:top w:val="nil"/>
              <w:left w:val="nil"/>
              <w:bottom w:val="single" w:sz="4" w:space="0" w:color="auto"/>
              <w:right w:val="single" w:sz="4" w:space="0" w:color="auto"/>
            </w:tcBorders>
            <w:shd w:val="clear" w:color="auto" w:fill="auto"/>
            <w:noWrap/>
            <w:vAlign w:val="bottom"/>
            <w:hideMark/>
          </w:tcPr>
          <w:p w14:paraId="4FDBDCE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20.520,00</w:t>
            </w:r>
          </w:p>
        </w:tc>
      </w:tr>
      <w:tr w:rsidR="00846ACC" w:rsidRPr="004974C0" w14:paraId="5442061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0210A71"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1E9A607A"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2373F07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160,00</w:t>
            </w:r>
          </w:p>
        </w:tc>
        <w:tc>
          <w:tcPr>
            <w:tcW w:w="1843" w:type="dxa"/>
            <w:tcBorders>
              <w:top w:val="nil"/>
              <w:left w:val="nil"/>
              <w:bottom w:val="single" w:sz="4" w:space="0" w:color="auto"/>
              <w:right w:val="single" w:sz="4" w:space="0" w:color="auto"/>
            </w:tcBorders>
            <w:shd w:val="clear" w:color="auto" w:fill="auto"/>
            <w:noWrap/>
            <w:vAlign w:val="bottom"/>
            <w:hideMark/>
          </w:tcPr>
          <w:p w14:paraId="31DD4F1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22FE5D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2925E8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160,00</w:t>
            </w:r>
          </w:p>
        </w:tc>
      </w:tr>
      <w:tr w:rsidR="00846ACC" w:rsidRPr="004974C0" w14:paraId="38F81FB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3F0630C"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381469CC"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22B97E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4.500,00</w:t>
            </w:r>
          </w:p>
        </w:tc>
        <w:tc>
          <w:tcPr>
            <w:tcW w:w="1843" w:type="dxa"/>
            <w:tcBorders>
              <w:top w:val="nil"/>
              <w:left w:val="nil"/>
              <w:bottom w:val="single" w:sz="4" w:space="0" w:color="auto"/>
              <w:right w:val="single" w:sz="4" w:space="0" w:color="auto"/>
            </w:tcBorders>
            <w:shd w:val="clear" w:color="auto" w:fill="auto"/>
            <w:noWrap/>
            <w:vAlign w:val="bottom"/>
            <w:hideMark/>
          </w:tcPr>
          <w:p w14:paraId="5D6FDFE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1.860,00</w:t>
            </w:r>
          </w:p>
        </w:tc>
        <w:tc>
          <w:tcPr>
            <w:tcW w:w="1559" w:type="dxa"/>
            <w:tcBorders>
              <w:top w:val="nil"/>
              <w:left w:val="nil"/>
              <w:bottom w:val="single" w:sz="4" w:space="0" w:color="auto"/>
              <w:right w:val="single" w:sz="4" w:space="0" w:color="auto"/>
            </w:tcBorders>
            <w:shd w:val="clear" w:color="auto" w:fill="auto"/>
            <w:noWrap/>
            <w:vAlign w:val="bottom"/>
            <w:hideMark/>
          </w:tcPr>
          <w:p w14:paraId="27EE3A8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41,33</w:t>
            </w:r>
          </w:p>
        </w:tc>
        <w:tc>
          <w:tcPr>
            <w:tcW w:w="1803" w:type="dxa"/>
            <w:tcBorders>
              <w:top w:val="nil"/>
              <w:left w:val="nil"/>
              <w:bottom w:val="single" w:sz="4" w:space="0" w:color="auto"/>
              <w:right w:val="single" w:sz="4" w:space="0" w:color="auto"/>
            </w:tcBorders>
            <w:shd w:val="clear" w:color="auto" w:fill="auto"/>
            <w:noWrap/>
            <w:vAlign w:val="bottom"/>
            <w:hideMark/>
          </w:tcPr>
          <w:p w14:paraId="7947223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6.360,00</w:t>
            </w:r>
          </w:p>
        </w:tc>
      </w:tr>
      <w:tr w:rsidR="00846ACC" w:rsidRPr="004974C0" w14:paraId="5C69BE1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1E4E4C7" w14:textId="77777777" w:rsidR="004974C0" w:rsidRPr="004974C0" w:rsidRDefault="004974C0" w:rsidP="004974C0">
            <w:pPr>
              <w:rPr>
                <w:rFonts w:ascii="Arial" w:hAnsi="Arial" w:cs="Arial"/>
                <w:sz w:val="20"/>
                <w:szCs w:val="20"/>
              </w:rPr>
            </w:pPr>
            <w:r w:rsidRPr="004974C0">
              <w:rPr>
                <w:rFonts w:ascii="Arial" w:hAnsi="Arial" w:cs="Arial"/>
                <w:sz w:val="20"/>
                <w:szCs w:val="20"/>
              </w:rPr>
              <w:t>37</w:t>
            </w:r>
          </w:p>
        </w:tc>
        <w:tc>
          <w:tcPr>
            <w:tcW w:w="1984" w:type="dxa"/>
            <w:tcBorders>
              <w:top w:val="nil"/>
              <w:left w:val="nil"/>
              <w:bottom w:val="single" w:sz="4" w:space="0" w:color="auto"/>
              <w:right w:val="single" w:sz="4" w:space="0" w:color="auto"/>
            </w:tcBorders>
            <w:shd w:val="clear" w:color="auto" w:fill="auto"/>
            <w:noWrap/>
            <w:vAlign w:val="bottom"/>
            <w:hideMark/>
          </w:tcPr>
          <w:p w14:paraId="65297C75" w14:textId="77777777" w:rsidR="004974C0" w:rsidRPr="004974C0" w:rsidRDefault="004974C0" w:rsidP="004974C0">
            <w:pPr>
              <w:rPr>
                <w:rFonts w:ascii="Arial" w:hAnsi="Arial" w:cs="Arial"/>
                <w:sz w:val="20"/>
                <w:szCs w:val="20"/>
              </w:rPr>
            </w:pPr>
            <w:r w:rsidRPr="004974C0">
              <w:rPr>
                <w:rFonts w:ascii="Arial" w:hAnsi="Arial" w:cs="Arial"/>
                <w:sz w:val="20"/>
                <w:szCs w:val="20"/>
              </w:rPr>
              <w:t xml:space="preserve">Naknade građanima i </w:t>
            </w:r>
            <w:r w:rsidRPr="004974C0">
              <w:rPr>
                <w:rFonts w:ascii="Arial" w:hAnsi="Arial" w:cs="Arial"/>
                <w:sz w:val="20"/>
                <w:szCs w:val="20"/>
              </w:rPr>
              <w:lastRenderedPageBreak/>
              <w:t>kućanstvima na temelju osiguranja i druge naknade</w:t>
            </w:r>
          </w:p>
        </w:tc>
        <w:tc>
          <w:tcPr>
            <w:tcW w:w="1843" w:type="dxa"/>
            <w:tcBorders>
              <w:top w:val="nil"/>
              <w:left w:val="nil"/>
              <w:bottom w:val="single" w:sz="4" w:space="0" w:color="auto"/>
              <w:right w:val="single" w:sz="4" w:space="0" w:color="auto"/>
            </w:tcBorders>
            <w:shd w:val="clear" w:color="auto" w:fill="auto"/>
            <w:noWrap/>
            <w:vAlign w:val="bottom"/>
            <w:hideMark/>
          </w:tcPr>
          <w:p w14:paraId="0398905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lastRenderedPageBreak/>
              <w:t>14.000,00</w:t>
            </w:r>
          </w:p>
        </w:tc>
        <w:tc>
          <w:tcPr>
            <w:tcW w:w="1843" w:type="dxa"/>
            <w:tcBorders>
              <w:top w:val="nil"/>
              <w:left w:val="nil"/>
              <w:bottom w:val="single" w:sz="4" w:space="0" w:color="auto"/>
              <w:right w:val="single" w:sz="4" w:space="0" w:color="auto"/>
            </w:tcBorders>
            <w:shd w:val="clear" w:color="auto" w:fill="auto"/>
            <w:noWrap/>
            <w:vAlign w:val="bottom"/>
            <w:hideMark/>
          </w:tcPr>
          <w:p w14:paraId="0EE6FCE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E81F25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A3A5F5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14.000,00</w:t>
            </w:r>
          </w:p>
        </w:tc>
      </w:tr>
      <w:tr w:rsidR="00846ACC" w:rsidRPr="004974C0" w14:paraId="47ED841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FAD63F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19E214F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114B0DB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2.400,00</w:t>
            </w:r>
          </w:p>
        </w:tc>
        <w:tc>
          <w:tcPr>
            <w:tcW w:w="1843" w:type="dxa"/>
            <w:tcBorders>
              <w:top w:val="nil"/>
              <w:left w:val="nil"/>
              <w:bottom w:val="single" w:sz="4" w:space="0" w:color="auto"/>
              <w:right w:val="single" w:sz="4" w:space="0" w:color="auto"/>
            </w:tcBorders>
            <w:shd w:val="clear" w:color="auto" w:fill="auto"/>
            <w:noWrap/>
            <w:vAlign w:val="bottom"/>
            <w:hideMark/>
          </w:tcPr>
          <w:p w14:paraId="0759F1F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0A5157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835EDB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2.400,00</w:t>
            </w:r>
          </w:p>
        </w:tc>
      </w:tr>
      <w:tr w:rsidR="00846ACC" w:rsidRPr="004974C0" w14:paraId="464F256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DF1FF1C"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47D4C650"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48C8CFB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2.400,00</w:t>
            </w:r>
          </w:p>
        </w:tc>
        <w:tc>
          <w:tcPr>
            <w:tcW w:w="1843" w:type="dxa"/>
            <w:tcBorders>
              <w:top w:val="nil"/>
              <w:left w:val="nil"/>
              <w:bottom w:val="single" w:sz="4" w:space="0" w:color="auto"/>
              <w:right w:val="single" w:sz="4" w:space="0" w:color="auto"/>
            </w:tcBorders>
            <w:shd w:val="clear" w:color="auto" w:fill="auto"/>
            <w:noWrap/>
            <w:vAlign w:val="bottom"/>
            <w:hideMark/>
          </w:tcPr>
          <w:p w14:paraId="5AD490F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7CA418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53FA95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2.400,00</w:t>
            </w:r>
          </w:p>
        </w:tc>
      </w:tr>
      <w:tr w:rsidR="00846ACC" w:rsidRPr="004974C0" w14:paraId="4C7EB7D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55B856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6.9. 6.DONACIJE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0319090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27CE24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w:t>
            </w:r>
          </w:p>
        </w:tc>
        <w:tc>
          <w:tcPr>
            <w:tcW w:w="1843" w:type="dxa"/>
            <w:tcBorders>
              <w:top w:val="nil"/>
              <w:left w:val="nil"/>
              <w:bottom w:val="single" w:sz="4" w:space="0" w:color="auto"/>
              <w:right w:val="single" w:sz="4" w:space="0" w:color="auto"/>
            </w:tcBorders>
            <w:shd w:val="clear" w:color="000000" w:fill="FFFF99"/>
            <w:noWrap/>
            <w:vAlign w:val="bottom"/>
            <w:hideMark/>
          </w:tcPr>
          <w:p w14:paraId="3C01C49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559" w:type="dxa"/>
            <w:tcBorders>
              <w:top w:val="nil"/>
              <w:left w:val="nil"/>
              <w:bottom w:val="single" w:sz="4" w:space="0" w:color="auto"/>
              <w:right w:val="single" w:sz="4" w:space="0" w:color="auto"/>
            </w:tcBorders>
            <w:shd w:val="clear" w:color="000000" w:fill="FFFF99"/>
            <w:noWrap/>
            <w:vAlign w:val="bottom"/>
            <w:hideMark/>
          </w:tcPr>
          <w:p w14:paraId="2ADFBCE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w:t>
            </w:r>
          </w:p>
        </w:tc>
        <w:tc>
          <w:tcPr>
            <w:tcW w:w="1803" w:type="dxa"/>
            <w:tcBorders>
              <w:top w:val="nil"/>
              <w:left w:val="nil"/>
              <w:bottom w:val="single" w:sz="4" w:space="0" w:color="auto"/>
              <w:right w:val="single" w:sz="4" w:space="0" w:color="auto"/>
            </w:tcBorders>
            <w:shd w:val="clear" w:color="000000" w:fill="FFFF99"/>
            <w:noWrap/>
            <w:vAlign w:val="bottom"/>
            <w:hideMark/>
          </w:tcPr>
          <w:p w14:paraId="645FDBC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4.500,00</w:t>
            </w:r>
          </w:p>
        </w:tc>
      </w:tr>
      <w:tr w:rsidR="00846ACC" w:rsidRPr="004974C0" w14:paraId="219E7DF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4603B9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6ADB642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7D9D100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0D7C54F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w:t>
            </w:r>
          </w:p>
        </w:tc>
        <w:tc>
          <w:tcPr>
            <w:tcW w:w="1559" w:type="dxa"/>
            <w:tcBorders>
              <w:top w:val="nil"/>
              <w:left w:val="nil"/>
              <w:bottom w:val="single" w:sz="4" w:space="0" w:color="auto"/>
              <w:right w:val="single" w:sz="4" w:space="0" w:color="auto"/>
            </w:tcBorders>
            <w:shd w:val="clear" w:color="auto" w:fill="auto"/>
            <w:noWrap/>
            <w:vAlign w:val="bottom"/>
            <w:hideMark/>
          </w:tcPr>
          <w:p w14:paraId="75D4C77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w:t>
            </w:r>
          </w:p>
        </w:tc>
        <w:tc>
          <w:tcPr>
            <w:tcW w:w="1803" w:type="dxa"/>
            <w:tcBorders>
              <w:top w:val="nil"/>
              <w:left w:val="nil"/>
              <w:bottom w:val="single" w:sz="4" w:space="0" w:color="auto"/>
              <w:right w:val="single" w:sz="4" w:space="0" w:color="auto"/>
            </w:tcBorders>
            <w:shd w:val="clear" w:color="auto" w:fill="auto"/>
            <w:noWrap/>
            <w:vAlign w:val="bottom"/>
            <w:hideMark/>
          </w:tcPr>
          <w:p w14:paraId="7EF53FD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w:t>
            </w:r>
          </w:p>
        </w:tc>
      </w:tr>
      <w:tr w:rsidR="00846ACC" w:rsidRPr="004974C0" w14:paraId="4269098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8530707"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04418E62"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1FFFC3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347C008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c>
          <w:tcPr>
            <w:tcW w:w="1559" w:type="dxa"/>
            <w:tcBorders>
              <w:top w:val="nil"/>
              <w:left w:val="nil"/>
              <w:bottom w:val="single" w:sz="4" w:space="0" w:color="auto"/>
              <w:right w:val="single" w:sz="4" w:space="0" w:color="auto"/>
            </w:tcBorders>
            <w:shd w:val="clear" w:color="auto" w:fill="auto"/>
            <w:noWrap/>
            <w:vAlign w:val="bottom"/>
            <w:hideMark/>
          </w:tcPr>
          <w:p w14:paraId="142C40F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w:t>
            </w:r>
          </w:p>
        </w:tc>
        <w:tc>
          <w:tcPr>
            <w:tcW w:w="1803" w:type="dxa"/>
            <w:tcBorders>
              <w:top w:val="nil"/>
              <w:left w:val="nil"/>
              <w:bottom w:val="single" w:sz="4" w:space="0" w:color="auto"/>
              <w:right w:val="single" w:sz="4" w:space="0" w:color="auto"/>
            </w:tcBorders>
            <w:shd w:val="clear" w:color="auto" w:fill="auto"/>
            <w:noWrap/>
            <w:vAlign w:val="bottom"/>
            <w:hideMark/>
          </w:tcPr>
          <w:p w14:paraId="00C5E18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w:t>
            </w:r>
          </w:p>
        </w:tc>
      </w:tr>
      <w:tr w:rsidR="00846ACC" w:rsidRPr="004974C0" w14:paraId="2F5496E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29F369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40FE2D2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7216F30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757646C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5864E9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C81819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w:t>
            </w:r>
          </w:p>
        </w:tc>
      </w:tr>
      <w:tr w:rsidR="00846ACC" w:rsidRPr="004974C0" w14:paraId="007629D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B2E0617"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0FAC88F5"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690EE85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7BF4E49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CF2668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A53EB4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w:t>
            </w:r>
          </w:p>
        </w:tc>
      </w:tr>
      <w:tr w:rsidR="00846ACC" w:rsidRPr="004974C0" w14:paraId="77F87B1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502EBF6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A500006 Osiguranje pomoćnika učenicima s teškoćama</w:t>
            </w:r>
          </w:p>
        </w:tc>
        <w:tc>
          <w:tcPr>
            <w:tcW w:w="1984" w:type="dxa"/>
            <w:tcBorders>
              <w:top w:val="nil"/>
              <w:left w:val="nil"/>
              <w:bottom w:val="single" w:sz="4" w:space="0" w:color="auto"/>
              <w:right w:val="single" w:sz="4" w:space="0" w:color="auto"/>
            </w:tcBorders>
            <w:shd w:val="clear" w:color="000000" w:fill="CCCCFF"/>
            <w:noWrap/>
            <w:vAlign w:val="bottom"/>
            <w:hideMark/>
          </w:tcPr>
          <w:p w14:paraId="2C714D5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11B040F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117.250,00</w:t>
            </w:r>
          </w:p>
        </w:tc>
        <w:tc>
          <w:tcPr>
            <w:tcW w:w="1843" w:type="dxa"/>
            <w:tcBorders>
              <w:top w:val="nil"/>
              <w:left w:val="nil"/>
              <w:bottom w:val="single" w:sz="4" w:space="0" w:color="auto"/>
              <w:right w:val="single" w:sz="4" w:space="0" w:color="auto"/>
            </w:tcBorders>
            <w:shd w:val="clear" w:color="000000" w:fill="CCCCFF"/>
            <w:noWrap/>
            <w:vAlign w:val="bottom"/>
            <w:hideMark/>
          </w:tcPr>
          <w:p w14:paraId="31B93F7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c>
          <w:tcPr>
            <w:tcW w:w="1559" w:type="dxa"/>
            <w:tcBorders>
              <w:top w:val="nil"/>
              <w:left w:val="nil"/>
              <w:bottom w:val="single" w:sz="4" w:space="0" w:color="auto"/>
              <w:right w:val="single" w:sz="4" w:space="0" w:color="auto"/>
            </w:tcBorders>
            <w:shd w:val="clear" w:color="000000" w:fill="CCCCFF"/>
            <w:noWrap/>
            <w:vAlign w:val="bottom"/>
            <w:hideMark/>
          </w:tcPr>
          <w:p w14:paraId="2AC3814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0,60</w:t>
            </w:r>
          </w:p>
        </w:tc>
        <w:tc>
          <w:tcPr>
            <w:tcW w:w="1803" w:type="dxa"/>
            <w:tcBorders>
              <w:top w:val="nil"/>
              <w:left w:val="nil"/>
              <w:bottom w:val="single" w:sz="4" w:space="0" w:color="auto"/>
              <w:right w:val="single" w:sz="4" w:space="0" w:color="auto"/>
            </w:tcBorders>
            <w:shd w:val="clear" w:color="000000" w:fill="CCCCFF"/>
            <w:noWrap/>
            <w:vAlign w:val="bottom"/>
            <w:hideMark/>
          </w:tcPr>
          <w:p w14:paraId="2942851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117.950,00</w:t>
            </w:r>
          </w:p>
        </w:tc>
      </w:tr>
      <w:tr w:rsidR="00846ACC" w:rsidRPr="004974C0" w14:paraId="52A7D54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29773A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573DAEF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46DB13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43.600,00</w:t>
            </w:r>
          </w:p>
        </w:tc>
        <w:tc>
          <w:tcPr>
            <w:tcW w:w="1843" w:type="dxa"/>
            <w:tcBorders>
              <w:top w:val="nil"/>
              <w:left w:val="nil"/>
              <w:bottom w:val="single" w:sz="4" w:space="0" w:color="auto"/>
              <w:right w:val="single" w:sz="4" w:space="0" w:color="auto"/>
            </w:tcBorders>
            <w:shd w:val="clear" w:color="000000" w:fill="FFFF99"/>
            <w:noWrap/>
            <w:vAlign w:val="bottom"/>
            <w:hideMark/>
          </w:tcPr>
          <w:p w14:paraId="2F33638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w:t>
            </w:r>
          </w:p>
        </w:tc>
        <w:tc>
          <w:tcPr>
            <w:tcW w:w="1559" w:type="dxa"/>
            <w:tcBorders>
              <w:top w:val="nil"/>
              <w:left w:val="nil"/>
              <w:bottom w:val="single" w:sz="4" w:space="0" w:color="auto"/>
              <w:right w:val="single" w:sz="4" w:space="0" w:color="auto"/>
            </w:tcBorders>
            <w:shd w:val="clear" w:color="000000" w:fill="FFFF99"/>
            <w:noWrap/>
            <w:vAlign w:val="bottom"/>
            <w:hideMark/>
          </w:tcPr>
          <w:p w14:paraId="617D9A2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0,69</w:t>
            </w:r>
          </w:p>
        </w:tc>
        <w:tc>
          <w:tcPr>
            <w:tcW w:w="1803" w:type="dxa"/>
            <w:tcBorders>
              <w:top w:val="nil"/>
              <w:left w:val="nil"/>
              <w:bottom w:val="single" w:sz="4" w:space="0" w:color="auto"/>
              <w:right w:val="single" w:sz="4" w:space="0" w:color="auto"/>
            </w:tcBorders>
            <w:shd w:val="clear" w:color="000000" w:fill="FFFF99"/>
            <w:noWrap/>
            <w:vAlign w:val="bottom"/>
            <w:hideMark/>
          </w:tcPr>
          <w:p w14:paraId="2A8F331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43.900,00</w:t>
            </w:r>
          </w:p>
        </w:tc>
      </w:tr>
      <w:tr w:rsidR="00846ACC" w:rsidRPr="004974C0" w14:paraId="3C97D85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BAE733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E86DE1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702314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43.600,00</w:t>
            </w:r>
          </w:p>
        </w:tc>
        <w:tc>
          <w:tcPr>
            <w:tcW w:w="1843" w:type="dxa"/>
            <w:tcBorders>
              <w:top w:val="nil"/>
              <w:left w:val="nil"/>
              <w:bottom w:val="single" w:sz="4" w:space="0" w:color="auto"/>
              <w:right w:val="single" w:sz="4" w:space="0" w:color="auto"/>
            </w:tcBorders>
            <w:shd w:val="clear" w:color="auto" w:fill="auto"/>
            <w:noWrap/>
            <w:vAlign w:val="bottom"/>
            <w:hideMark/>
          </w:tcPr>
          <w:p w14:paraId="0A2866D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w:t>
            </w:r>
          </w:p>
        </w:tc>
        <w:tc>
          <w:tcPr>
            <w:tcW w:w="1559" w:type="dxa"/>
            <w:tcBorders>
              <w:top w:val="nil"/>
              <w:left w:val="nil"/>
              <w:bottom w:val="single" w:sz="4" w:space="0" w:color="auto"/>
              <w:right w:val="single" w:sz="4" w:space="0" w:color="auto"/>
            </w:tcBorders>
            <w:shd w:val="clear" w:color="auto" w:fill="auto"/>
            <w:noWrap/>
            <w:vAlign w:val="bottom"/>
            <w:hideMark/>
          </w:tcPr>
          <w:p w14:paraId="4AFE83A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0,69</w:t>
            </w:r>
          </w:p>
        </w:tc>
        <w:tc>
          <w:tcPr>
            <w:tcW w:w="1803" w:type="dxa"/>
            <w:tcBorders>
              <w:top w:val="nil"/>
              <w:left w:val="nil"/>
              <w:bottom w:val="single" w:sz="4" w:space="0" w:color="auto"/>
              <w:right w:val="single" w:sz="4" w:space="0" w:color="auto"/>
            </w:tcBorders>
            <w:shd w:val="clear" w:color="auto" w:fill="auto"/>
            <w:noWrap/>
            <w:vAlign w:val="bottom"/>
            <w:hideMark/>
          </w:tcPr>
          <w:p w14:paraId="210E4C7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43.900,00</w:t>
            </w:r>
          </w:p>
        </w:tc>
      </w:tr>
      <w:tr w:rsidR="00846ACC" w:rsidRPr="004974C0" w14:paraId="55D9BA9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853E936"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36268167"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7E3F1C8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43.600,00</w:t>
            </w:r>
          </w:p>
        </w:tc>
        <w:tc>
          <w:tcPr>
            <w:tcW w:w="1843" w:type="dxa"/>
            <w:tcBorders>
              <w:top w:val="nil"/>
              <w:left w:val="nil"/>
              <w:bottom w:val="single" w:sz="4" w:space="0" w:color="auto"/>
              <w:right w:val="single" w:sz="4" w:space="0" w:color="auto"/>
            </w:tcBorders>
            <w:shd w:val="clear" w:color="auto" w:fill="auto"/>
            <w:noWrap/>
            <w:vAlign w:val="bottom"/>
            <w:hideMark/>
          </w:tcPr>
          <w:p w14:paraId="5635D47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w:t>
            </w:r>
          </w:p>
        </w:tc>
        <w:tc>
          <w:tcPr>
            <w:tcW w:w="1559" w:type="dxa"/>
            <w:tcBorders>
              <w:top w:val="nil"/>
              <w:left w:val="nil"/>
              <w:bottom w:val="single" w:sz="4" w:space="0" w:color="auto"/>
              <w:right w:val="single" w:sz="4" w:space="0" w:color="auto"/>
            </w:tcBorders>
            <w:shd w:val="clear" w:color="auto" w:fill="auto"/>
            <w:noWrap/>
            <w:vAlign w:val="bottom"/>
            <w:hideMark/>
          </w:tcPr>
          <w:p w14:paraId="6A248AE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0,69</w:t>
            </w:r>
          </w:p>
        </w:tc>
        <w:tc>
          <w:tcPr>
            <w:tcW w:w="1803" w:type="dxa"/>
            <w:tcBorders>
              <w:top w:val="nil"/>
              <w:left w:val="nil"/>
              <w:bottom w:val="single" w:sz="4" w:space="0" w:color="auto"/>
              <w:right w:val="single" w:sz="4" w:space="0" w:color="auto"/>
            </w:tcBorders>
            <w:shd w:val="clear" w:color="auto" w:fill="auto"/>
            <w:noWrap/>
            <w:vAlign w:val="bottom"/>
            <w:hideMark/>
          </w:tcPr>
          <w:p w14:paraId="16F1D08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43.900,00</w:t>
            </w:r>
          </w:p>
        </w:tc>
      </w:tr>
      <w:tr w:rsidR="00846ACC" w:rsidRPr="004974C0" w14:paraId="396E55A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CD8DE4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46D3D09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6F6DED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73.650,00</w:t>
            </w:r>
          </w:p>
        </w:tc>
        <w:tc>
          <w:tcPr>
            <w:tcW w:w="1843" w:type="dxa"/>
            <w:tcBorders>
              <w:top w:val="nil"/>
              <w:left w:val="nil"/>
              <w:bottom w:val="single" w:sz="4" w:space="0" w:color="auto"/>
              <w:right w:val="single" w:sz="4" w:space="0" w:color="auto"/>
            </w:tcBorders>
            <w:shd w:val="clear" w:color="000000" w:fill="FFFF99"/>
            <w:noWrap/>
            <w:vAlign w:val="bottom"/>
            <w:hideMark/>
          </w:tcPr>
          <w:p w14:paraId="07CED23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w:t>
            </w:r>
          </w:p>
        </w:tc>
        <w:tc>
          <w:tcPr>
            <w:tcW w:w="1559" w:type="dxa"/>
            <w:tcBorders>
              <w:top w:val="nil"/>
              <w:left w:val="nil"/>
              <w:bottom w:val="single" w:sz="4" w:space="0" w:color="auto"/>
              <w:right w:val="single" w:sz="4" w:space="0" w:color="auto"/>
            </w:tcBorders>
            <w:shd w:val="clear" w:color="000000" w:fill="FFFF99"/>
            <w:noWrap/>
            <w:vAlign w:val="bottom"/>
            <w:hideMark/>
          </w:tcPr>
          <w:p w14:paraId="24635D1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0,54</w:t>
            </w:r>
          </w:p>
        </w:tc>
        <w:tc>
          <w:tcPr>
            <w:tcW w:w="1803" w:type="dxa"/>
            <w:tcBorders>
              <w:top w:val="nil"/>
              <w:left w:val="nil"/>
              <w:bottom w:val="single" w:sz="4" w:space="0" w:color="auto"/>
              <w:right w:val="single" w:sz="4" w:space="0" w:color="auto"/>
            </w:tcBorders>
            <w:shd w:val="clear" w:color="000000" w:fill="FFFF99"/>
            <w:noWrap/>
            <w:vAlign w:val="bottom"/>
            <w:hideMark/>
          </w:tcPr>
          <w:p w14:paraId="12F76F1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74.050,00</w:t>
            </w:r>
          </w:p>
        </w:tc>
      </w:tr>
      <w:tr w:rsidR="00846ACC" w:rsidRPr="004974C0" w14:paraId="7528764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8D877E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37DA8E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6C5455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73.650,00</w:t>
            </w:r>
          </w:p>
        </w:tc>
        <w:tc>
          <w:tcPr>
            <w:tcW w:w="1843" w:type="dxa"/>
            <w:tcBorders>
              <w:top w:val="nil"/>
              <w:left w:val="nil"/>
              <w:bottom w:val="single" w:sz="4" w:space="0" w:color="auto"/>
              <w:right w:val="single" w:sz="4" w:space="0" w:color="auto"/>
            </w:tcBorders>
            <w:shd w:val="clear" w:color="auto" w:fill="auto"/>
            <w:noWrap/>
            <w:vAlign w:val="bottom"/>
            <w:hideMark/>
          </w:tcPr>
          <w:p w14:paraId="5900EC0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w:t>
            </w:r>
          </w:p>
        </w:tc>
        <w:tc>
          <w:tcPr>
            <w:tcW w:w="1559" w:type="dxa"/>
            <w:tcBorders>
              <w:top w:val="nil"/>
              <w:left w:val="nil"/>
              <w:bottom w:val="single" w:sz="4" w:space="0" w:color="auto"/>
              <w:right w:val="single" w:sz="4" w:space="0" w:color="auto"/>
            </w:tcBorders>
            <w:shd w:val="clear" w:color="auto" w:fill="auto"/>
            <w:noWrap/>
            <w:vAlign w:val="bottom"/>
            <w:hideMark/>
          </w:tcPr>
          <w:p w14:paraId="136B737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0,54</w:t>
            </w:r>
          </w:p>
        </w:tc>
        <w:tc>
          <w:tcPr>
            <w:tcW w:w="1803" w:type="dxa"/>
            <w:tcBorders>
              <w:top w:val="nil"/>
              <w:left w:val="nil"/>
              <w:bottom w:val="single" w:sz="4" w:space="0" w:color="auto"/>
              <w:right w:val="single" w:sz="4" w:space="0" w:color="auto"/>
            </w:tcBorders>
            <w:shd w:val="clear" w:color="auto" w:fill="auto"/>
            <w:noWrap/>
            <w:vAlign w:val="bottom"/>
            <w:hideMark/>
          </w:tcPr>
          <w:p w14:paraId="1C39EC3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74.050,00</w:t>
            </w:r>
          </w:p>
        </w:tc>
      </w:tr>
      <w:tr w:rsidR="00846ACC" w:rsidRPr="004974C0" w14:paraId="091F52B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C4DD895"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417AA9DD"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19D3660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69.500,00</w:t>
            </w:r>
          </w:p>
        </w:tc>
        <w:tc>
          <w:tcPr>
            <w:tcW w:w="1843" w:type="dxa"/>
            <w:tcBorders>
              <w:top w:val="nil"/>
              <w:left w:val="nil"/>
              <w:bottom w:val="single" w:sz="4" w:space="0" w:color="auto"/>
              <w:right w:val="single" w:sz="4" w:space="0" w:color="auto"/>
            </w:tcBorders>
            <w:shd w:val="clear" w:color="auto" w:fill="auto"/>
            <w:noWrap/>
            <w:vAlign w:val="bottom"/>
            <w:hideMark/>
          </w:tcPr>
          <w:p w14:paraId="5DFE76E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w:t>
            </w:r>
          </w:p>
        </w:tc>
        <w:tc>
          <w:tcPr>
            <w:tcW w:w="1559" w:type="dxa"/>
            <w:tcBorders>
              <w:top w:val="nil"/>
              <w:left w:val="nil"/>
              <w:bottom w:val="single" w:sz="4" w:space="0" w:color="auto"/>
              <w:right w:val="single" w:sz="4" w:space="0" w:color="auto"/>
            </w:tcBorders>
            <w:shd w:val="clear" w:color="auto" w:fill="auto"/>
            <w:noWrap/>
            <w:vAlign w:val="bottom"/>
            <w:hideMark/>
          </w:tcPr>
          <w:p w14:paraId="062483F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0,29</w:t>
            </w:r>
          </w:p>
        </w:tc>
        <w:tc>
          <w:tcPr>
            <w:tcW w:w="1803" w:type="dxa"/>
            <w:tcBorders>
              <w:top w:val="nil"/>
              <w:left w:val="nil"/>
              <w:bottom w:val="single" w:sz="4" w:space="0" w:color="auto"/>
              <w:right w:val="single" w:sz="4" w:space="0" w:color="auto"/>
            </w:tcBorders>
            <w:shd w:val="clear" w:color="auto" w:fill="auto"/>
            <w:noWrap/>
            <w:vAlign w:val="bottom"/>
            <w:hideMark/>
          </w:tcPr>
          <w:p w14:paraId="41E8555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69.700,00</w:t>
            </w:r>
          </w:p>
        </w:tc>
      </w:tr>
      <w:tr w:rsidR="00846ACC" w:rsidRPr="004974C0" w14:paraId="605D35B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1B5C580"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056672C1"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64D12E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4.150,00</w:t>
            </w:r>
          </w:p>
        </w:tc>
        <w:tc>
          <w:tcPr>
            <w:tcW w:w="1843" w:type="dxa"/>
            <w:tcBorders>
              <w:top w:val="nil"/>
              <w:left w:val="nil"/>
              <w:bottom w:val="single" w:sz="4" w:space="0" w:color="auto"/>
              <w:right w:val="single" w:sz="4" w:space="0" w:color="auto"/>
            </w:tcBorders>
            <w:shd w:val="clear" w:color="auto" w:fill="auto"/>
            <w:noWrap/>
            <w:vAlign w:val="bottom"/>
            <w:hideMark/>
          </w:tcPr>
          <w:p w14:paraId="15DA277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w:t>
            </w:r>
          </w:p>
        </w:tc>
        <w:tc>
          <w:tcPr>
            <w:tcW w:w="1559" w:type="dxa"/>
            <w:tcBorders>
              <w:top w:val="nil"/>
              <w:left w:val="nil"/>
              <w:bottom w:val="single" w:sz="4" w:space="0" w:color="auto"/>
              <w:right w:val="single" w:sz="4" w:space="0" w:color="auto"/>
            </w:tcBorders>
            <w:shd w:val="clear" w:color="auto" w:fill="auto"/>
            <w:noWrap/>
            <w:vAlign w:val="bottom"/>
            <w:hideMark/>
          </w:tcPr>
          <w:p w14:paraId="6D29D9D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4,82</w:t>
            </w:r>
          </w:p>
        </w:tc>
        <w:tc>
          <w:tcPr>
            <w:tcW w:w="1803" w:type="dxa"/>
            <w:tcBorders>
              <w:top w:val="nil"/>
              <w:left w:val="nil"/>
              <w:bottom w:val="single" w:sz="4" w:space="0" w:color="auto"/>
              <w:right w:val="single" w:sz="4" w:space="0" w:color="auto"/>
            </w:tcBorders>
            <w:shd w:val="clear" w:color="auto" w:fill="auto"/>
            <w:noWrap/>
            <w:vAlign w:val="bottom"/>
            <w:hideMark/>
          </w:tcPr>
          <w:p w14:paraId="79983CB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4.350,00</w:t>
            </w:r>
          </w:p>
        </w:tc>
      </w:tr>
      <w:tr w:rsidR="00846ACC" w:rsidRPr="004974C0" w14:paraId="6860CD6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72E3224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A500007 Financiranje izvannastavnih projekata i drugo</w:t>
            </w:r>
          </w:p>
        </w:tc>
        <w:tc>
          <w:tcPr>
            <w:tcW w:w="1984" w:type="dxa"/>
            <w:tcBorders>
              <w:top w:val="nil"/>
              <w:left w:val="nil"/>
              <w:bottom w:val="single" w:sz="4" w:space="0" w:color="auto"/>
              <w:right w:val="single" w:sz="4" w:space="0" w:color="auto"/>
            </w:tcBorders>
            <w:shd w:val="clear" w:color="000000" w:fill="CCCCFF"/>
            <w:noWrap/>
            <w:vAlign w:val="bottom"/>
            <w:hideMark/>
          </w:tcPr>
          <w:p w14:paraId="0EA69B0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2895BC4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843" w:type="dxa"/>
            <w:tcBorders>
              <w:top w:val="nil"/>
              <w:left w:val="nil"/>
              <w:bottom w:val="single" w:sz="4" w:space="0" w:color="auto"/>
              <w:right w:val="single" w:sz="4" w:space="0" w:color="auto"/>
            </w:tcBorders>
            <w:shd w:val="clear" w:color="000000" w:fill="CCCCFF"/>
            <w:noWrap/>
            <w:vAlign w:val="bottom"/>
            <w:hideMark/>
          </w:tcPr>
          <w:p w14:paraId="1365934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12.250,00</w:t>
            </w:r>
          </w:p>
        </w:tc>
        <w:tc>
          <w:tcPr>
            <w:tcW w:w="1559" w:type="dxa"/>
            <w:tcBorders>
              <w:top w:val="nil"/>
              <w:left w:val="nil"/>
              <w:bottom w:val="single" w:sz="4" w:space="0" w:color="auto"/>
              <w:right w:val="single" w:sz="4" w:space="0" w:color="auto"/>
            </w:tcBorders>
            <w:shd w:val="clear" w:color="000000" w:fill="CCCCFF"/>
            <w:noWrap/>
            <w:vAlign w:val="bottom"/>
            <w:hideMark/>
          </w:tcPr>
          <w:p w14:paraId="3ACF618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408,33</w:t>
            </w:r>
          </w:p>
        </w:tc>
        <w:tc>
          <w:tcPr>
            <w:tcW w:w="1803" w:type="dxa"/>
            <w:tcBorders>
              <w:top w:val="nil"/>
              <w:left w:val="nil"/>
              <w:bottom w:val="single" w:sz="4" w:space="0" w:color="auto"/>
              <w:right w:val="single" w:sz="4" w:space="0" w:color="auto"/>
            </w:tcBorders>
            <w:shd w:val="clear" w:color="000000" w:fill="CCCCFF"/>
            <w:noWrap/>
            <w:vAlign w:val="bottom"/>
            <w:hideMark/>
          </w:tcPr>
          <w:p w14:paraId="40DC8ED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15.250,00</w:t>
            </w:r>
          </w:p>
        </w:tc>
      </w:tr>
      <w:tr w:rsidR="00846ACC" w:rsidRPr="004974C0" w14:paraId="134F5FE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4B4FFE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0ECAE53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8C838B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1.200,00</w:t>
            </w:r>
          </w:p>
        </w:tc>
        <w:tc>
          <w:tcPr>
            <w:tcW w:w="1843" w:type="dxa"/>
            <w:tcBorders>
              <w:top w:val="nil"/>
              <w:left w:val="nil"/>
              <w:bottom w:val="single" w:sz="4" w:space="0" w:color="auto"/>
              <w:right w:val="single" w:sz="4" w:space="0" w:color="auto"/>
            </w:tcBorders>
            <w:shd w:val="clear" w:color="000000" w:fill="FFFF99"/>
            <w:noWrap/>
            <w:vAlign w:val="bottom"/>
            <w:hideMark/>
          </w:tcPr>
          <w:p w14:paraId="54346DC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7A63D54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62F95C1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1.200,00</w:t>
            </w:r>
          </w:p>
        </w:tc>
      </w:tr>
      <w:tr w:rsidR="00846ACC" w:rsidRPr="004974C0" w14:paraId="0846716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71E466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lastRenderedPageBreak/>
              <w:t>3</w:t>
            </w:r>
          </w:p>
        </w:tc>
        <w:tc>
          <w:tcPr>
            <w:tcW w:w="1984" w:type="dxa"/>
            <w:tcBorders>
              <w:top w:val="nil"/>
              <w:left w:val="nil"/>
              <w:bottom w:val="single" w:sz="4" w:space="0" w:color="auto"/>
              <w:right w:val="single" w:sz="4" w:space="0" w:color="auto"/>
            </w:tcBorders>
            <w:shd w:val="clear" w:color="auto" w:fill="auto"/>
            <w:noWrap/>
            <w:vAlign w:val="bottom"/>
            <w:hideMark/>
          </w:tcPr>
          <w:p w14:paraId="0F7FCD7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4F90A5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1.200,00</w:t>
            </w:r>
          </w:p>
        </w:tc>
        <w:tc>
          <w:tcPr>
            <w:tcW w:w="1843" w:type="dxa"/>
            <w:tcBorders>
              <w:top w:val="nil"/>
              <w:left w:val="nil"/>
              <w:bottom w:val="single" w:sz="4" w:space="0" w:color="auto"/>
              <w:right w:val="single" w:sz="4" w:space="0" w:color="auto"/>
            </w:tcBorders>
            <w:shd w:val="clear" w:color="auto" w:fill="auto"/>
            <w:noWrap/>
            <w:vAlign w:val="bottom"/>
            <w:hideMark/>
          </w:tcPr>
          <w:p w14:paraId="510F995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E7A1BE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D8D7EC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1.200,00</w:t>
            </w:r>
          </w:p>
        </w:tc>
      </w:tr>
      <w:tr w:rsidR="00846ACC" w:rsidRPr="004974C0" w14:paraId="6E79653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179BB6A"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06178510"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4F58691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1.200,00</w:t>
            </w:r>
          </w:p>
        </w:tc>
        <w:tc>
          <w:tcPr>
            <w:tcW w:w="1843" w:type="dxa"/>
            <w:tcBorders>
              <w:top w:val="nil"/>
              <w:left w:val="nil"/>
              <w:bottom w:val="single" w:sz="4" w:space="0" w:color="auto"/>
              <w:right w:val="single" w:sz="4" w:space="0" w:color="auto"/>
            </w:tcBorders>
            <w:shd w:val="clear" w:color="auto" w:fill="auto"/>
            <w:noWrap/>
            <w:vAlign w:val="bottom"/>
            <w:hideMark/>
          </w:tcPr>
          <w:p w14:paraId="0DC46CA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38804B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42A1BC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1.200,00</w:t>
            </w:r>
          </w:p>
        </w:tc>
      </w:tr>
      <w:tr w:rsidR="00846ACC" w:rsidRPr="004974C0" w14:paraId="152EE8A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22C850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40F7872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308AC7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w:t>
            </w:r>
          </w:p>
        </w:tc>
        <w:tc>
          <w:tcPr>
            <w:tcW w:w="1843" w:type="dxa"/>
            <w:tcBorders>
              <w:top w:val="nil"/>
              <w:left w:val="nil"/>
              <w:bottom w:val="single" w:sz="4" w:space="0" w:color="auto"/>
              <w:right w:val="single" w:sz="4" w:space="0" w:color="auto"/>
            </w:tcBorders>
            <w:shd w:val="clear" w:color="000000" w:fill="FFFF99"/>
            <w:noWrap/>
            <w:vAlign w:val="bottom"/>
            <w:hideMark/>
          </w:tcPr>
          <w:p w14:paraId="2ECC83F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12.250,00</w:t>
            </w:r>
          </w:p>
        </w:tc>
        <w:tc>
          <w:tcPr>
            <w:tcW w:w="1559" w:type="dxa"/>
            <w:tcBorders>
              <w:top w:val="nil"/>
              <w:left w:val="nil"/>
              <w:bottom w:val="single" w:sz="4" w:space="0" w:color="auto"/>
              <w:right w:val="single" w:sz="4" w:space="0" w:color="auto"/>
            </w:tcBorders>
            <w:shd w:val="clear" w:color="000000" w:fill="FFFF99"/>
            <w:noWrap/>
            <w:vAlign w:val="bottom"/>
            <w:hideMark/>
          </w:tcPr>
          <w:p w14:paraId="76F003A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942,31</w:t>
            </w:r>
          </w:p>
        </w:tc>
        <w:tc>
          <w:tcPr>
            <w:tcW w:w="1803" w:type="dxa"/>
            <w:tcBorders>
              <w:top w:val="nil"/>
              <w:left w:val="nil"/>
              <w:bottom w:val="single" w:sz="4" w:space="0" w:color="auto"/>
              <w:right w:val="single" w:sz="4" w:space="0" w:color="auto"/>
            </w:tcBorders>
            <w:shd w:val="clear" w:color="000000" w:fill="FFFF99"/>
            <w:noWrap/>
            <w:vAlign w:val="bottom"/>
            <w:hideMark/>
          </w:tcPr>
          <w:p w14:paraId="70CA1FB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13.550,00</w:t>
            </w:r>
          </w:p>
        </w:tc>
      </w:tr>
      <w:tr w:rsidR="00846ACC" w:rsidRPr="004974C0" w14:paraId="6503442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3A0F5D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102F28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91FB15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1.300,00</w:t>
            </w:r>
          </w:p>
        </w:tc>
        <w:tc>
          <w:tcPr>
            <w:tcW w:w="1843" w:type="dxa"/>
            <w:tcBorders>
              <w:top w:val="nil"/>
              <w:left w:val="nil"/>
              <w:bottom w:val="single" w:sz="4" w:space="0" w:color="auto"/>
              <w:right w:val="single" w:sz="4" w:space="0" w:color="auto"/>
            </w:tcBorders>
            <w:shd w:val="clear" w:color="auto" w:fill="auto"/>
            <w:noWrap/>
            <w:vAlign w:val="bottom"/>
            <w:hideMark/>
          </w:tcPr>
          <w:p w14:paraId="0FE401B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11.085,00</w:t>
            </w:r>
          </w:p>
        </w:tc>
        <w:tc>
          <w:tcPr>
            <w:tcW w:w="1559" w:type="dxa"/>
            <w:tcBorders>
              <w:top w:val="nil"/>
              <w:left w:val="nil"/>
              <w:bottom w:val="single" w:sz="4" w:space="0" w:color="auto"/>
              <w:right w:val="single" w:sz="4" w:space="0" w:color="auto"/>
            </w:tcBorders>
            <w:shd w:val="clear" w:color="auto" w:fill="auto"/>
            <w:noWrap/>
            <w:vAlign w:val="bottom"/>
            <w:hideMark/>
          </w:tcPr>
          <w:p w14:paraId="3922CDE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852,69</w:t>
            </w:r>
          </w:p>
        </w:tc>
        <w:tc>
          <w:tcPr>
            <w:tcW w:w="1803" w:type="dxa"/>
            <w:tcBorders>
              <w:top w:val="nil"/>
              <w:left w:val="nil"/>
              <w:bottom w:val="single" w:sz="4" w:space="0" w:color="auto"/>
              <w:right w:val="single" w:sz="4" w:space="0" w:color="auto"/>
            </w:tcBorders>
            <w:shd w:val="clear" w:color="auto" w:fill="auto"/>
            <w:noWrap/>
            <w:vAlign w:val="bottom"/>
            <w:hideMark/>
          </w:tcPr>
          <w:p w14:paraId="0741090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12.385,00</w:t>
            </w:r>
          </w:p>
        </w:tc>
      </w:tr>
      <w:tr w:rsidR="00846ACC" w:rsidRPr="004974C0" w14:paraId="78B471B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95A6F5F"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D6F7C3C"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8FDD2C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1.300,00</w:t>
            </w:r>
          </w:p>
        </w:tc>
        <w:tc>
          <w:tcPr>
            <w:tcW w:w="1843" w:type="dxa"/>
            <w:tcBorders>
              <w:top w:val="nil"/>
              <w:left w:val="nil"/>
              <w:bottom w:val="single" w:sz="4" w:space="0" w:color="auto"/>
              <w:right w:val="single" w:sz="4" w:space="0" w:color="auto"/>
            </w:tcBorders>
            <w:shd w:val="clear" w:color="auto" w:fill="auto"/>
            <w:noWrap/>
            <w:vAlign w:val="bottom"/>
            <w:hideMark/>
          </w:tcPr>
          <w:p w14:paraId="2C8BF2F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11.085,00</w:t>
            </w:r>
          </w:p>
        </w:tc>
        <w:tc>
          <w:tcPr>
            <w:tcW w:w="1559" w:type="dxa"/>
            <w:tcBorders>
              <w:top w:val="nil"/>
              <w:left w:val="nil"/>
              <w:bottom w:val="single" w:sz="4" w:space="0" w:color="auto"/>
              <w:right w:val="single" w:sz="4" w:space="0" w:color="auto"/>
            </w:tcBorders>
            <w:shd w:val="clear" w:color="auto" w:fill="auto"/>
            <w:noWrap/>
            <w:vAlign w:val="bottom"/>
            <w:hideMark/>
          </w:tcPr>
          <w:p w14:paraId="0FF58D7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852,69</w:t>
            </w:r>
          </w:p>
        </w:tc>
        <w:tc>
          <w:tcPr>
            <w:tcW w:w="1803" w:type="dxa"/>
            <w:tcBorders>
              <w:top w:val="nil"/>
              <w:left w:val="nil"/>
              <w:bottom w:val="single" w:sz="4" w:space="0" w:color="auto"/>
              <w:right w:val="single" w:sz="4" w:space="0" w:color="auto"/>
            </w:tcBorders>
            <w:shd w:val="clear" w:color="auto" w:fill="auto"/>
            <w:noWrap/>
            <w:vAlign w:val="bottom"/>
            <w:hideMark/>
          </w:tcPr>
          <w:p w14:paraId="5A40882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12.385,00</w:t>
            </w:r>
          </w:p>
        </w:tc>
      </w:tr>
      <w:tr w:rsidR="00846ACC" w:rsidRPr="004974C0" w14:paraId="48D72D6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D7C98F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7004D07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03BF0AF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313E75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1.165,00</w:t>
            </w:r>
          </w:p>
        </w:tc>
        <w:tc>
          <w:tcPr>
            <w:tcW w:w="1559" w:type="dxa"/>
            <w:tcBorders>
              <w:top w:val="nil"/>
              <w:left w:val="nil"/>
              <w:bottom w:val="single" w:sz="4" w:space="0" w:color="auto"/>
              <w:right w:val="single" w:sz="4" w:space="0" w:color="auto"/>
            </w:tcBorders>
            <w:shd w:val="clear" w:color="auto" w:fill="auto"/>
            <w:noWrap/>
            <w:vAlign w:val="bottom"/>
            <w:hideMark/>
          </w:tcPr>
          <w:p w14:paraId="3D9DDC8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6C20FEA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1.165,00</w:t>
            </w:r>
          </w:p>
        </w:tc>
      </w:tr>
      <w:tr w:rsidR="00846ACC" w:rsidRPr="004974C0" w14:paraId="4EC4E57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1F6B519"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708E3547"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1A9EE3A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C9035A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1.165,00</w:t>
            </w:r>
          </w:p>
        </w:tc>
        <w:tc>
          <w:tcPr>
            <w:tcW w:w="1559" w:type="dxa"/>
            <w:tcBorders>
              <w:top w:val="nil"/>
              <w:left w:val="nil"/>
              <w:bottom w:val="single" w:sz="4" w:space="0" w:color="auto"/>
              <w:right w:val="single" w:sz="4" w:space="0" w:color="auto"/>
            </w:tcBorders>
            <w:shd w:val="clear" w:color="auto" w:fill="auto"/>
            <w:noWrap/>
            <w:vAlign w:val="bottom"/>
            <w:hideMark/>
          </w:tcPr>
          <w:p w14:paraId="2366A25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336F455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1.165,00</w:t>
            </w:r>
          </w:p>
        </w:tc>
      </w:tr>
      <w:tr w:rsidR="00846ACC" w:rsidRPr="004974C0" w14:paraId="10B01D1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2A4CB0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6.9. 6.DONACIJE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370E4EA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AEBEE4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w:t>
            </w:r>
          </w:p>
        </w:tc>
        <w:tc>
          <w:tcPr>
            <w:tcW w:w="1843" w:type="dxa"/>
            <w:tcBorders>
              <w:top w:val="nil"/>
              <w:left w:val="nil"/>
              <w:bottom w:val="single" w:sz="4" w:space="0" w:color="auto"/>
              <w:right w:val="single" w:sz="4" w:space="0" w:color="auto"/>
            </w:tcBorders>
            <w:shd w:val="clear" w:color="000000" w:fill="FFFF99"/>
            <w:noWrap/>
            <w:vAlign w:val="bottom"/>
            <w:hideMark/>
          </w:tcPr>
          <w:p w14:paraId="0820E79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7160945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2127D8A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w:t>
            </w:r>
          </w:p>
        </w:tc>
      </w:tr>
      <w:tr w:rsidR="00846ACC" w:rsidRPr="004974C0" w14:paraId="4A76EB7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F59F18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894660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01B9A3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3DF7671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73A27D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D17F09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w:t>
            </w:r>
          </w:p>
        </w:tc>
      </w:tr>
      <w:tr w:rsidR="00846ACC" w:rsidRPr="004974C0" w14:paraId="5969B7A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F33F6B1"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78BC290"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7B3D51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7903D2A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2B68E4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07CA8E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w:t>
            </w:r>
          </w:p>
        </w:tc>
      </w:tr>
      <w:tr w:rsidR="00846ACC" w:rsidRPr="004974C0" w14:paraId="01DB6D1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47B88CC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Kapitalni projekt K500001 Kapitalna ulaganja osnovnog školstva</w:t>
            </w:r>
          </w:p>
        </w:tc>
        <w:tc>
          <w:tcPr>
            <w:tcW w:w="1984" w:type="dxa"/>
            <w:tcBorders>
              <w:top w:val="nil"/>
              <w:left w:val="nil"/>
              <w:bottom w:val="single" w:sz="4" w:space="0" w:color="auto"/>
              <w:right w:val="single" w:sz="4" w:space="0" w:color="auto"/>
            </w:tcBorders>
            <w:shd w:val="clear" w:color="000000" w:fill="CCCCFF"/>
            <w:noWrap/>
            <w:vAlign w:val="bottom"/>
            <w:hideMark/>
          </w:tcPr>
          <w:p w14:paraId="0DFD0D0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3FE9868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843" w:type="dxa"/>
            <w:tcBorders>
              <w:top w:val="nil"/>
              <w:left w:val="nil"/>
              <w:bottom w:val="single" w:sz="4" w:space="0" w:color="auto"/>
              <w:right w:val="single" w:sz="4" w:space="0" w:color="auto"/>
            </w:tcBorders>
            <w:shd w:val="clear" w:color="000000" w:fill="CCCCFF"/>
            <w:noWrap/>
            <w:vAlign w:val="bottom"/>
            <w:hideMark/>
          </w:tcPr>
          <w:p w14:paraId="7CD9EF3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w:t>
            </w:r>
          </w:p>
        </w:tc>
        <w:tc>
          <w:tcPr>
            <w:tcW w:w="1559" w:type="dxa"/>
            <w:tcBorders>
              <w:top w:val="nil"/>
              <w:left w:val="nil"/>
              <w:bottom w:val="single" w:sz="4" w:space="0" w:color="auto"/>
              <w:right w:val="single" w:sz="4" w:space="0" w:color="auto"/>
            </w:tcBorders>
            <w:shd w:val="clear" w:color="000000" w:fill="CCCCFF"/>
            <w:noWrap/>
            <w:vAlign w:val="bottom"/>
            <w:hideMark/>
          </w:tcPr>
          <w:p w14:paraId="4FBAB71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65,00</w:t>
            </w:r>
          </w:p>
        </w:tc>
        <w:tc>
          <w:tcPr>
            <w:tcW w:w="1803" w:type="dxa"/>
            <w:tcBorders>
              <w:top w:val="nil"/>
              <w:left w:val="nil"/>
              <w:bottom w:val="single" w:sz="4" w:space="0" w:color="auto"/>
              <w:right w:val="single" w:sz="4" w:space="0" w:color="auto"/>
            </w:tcBorders>
            <w:shd w:val="clear" w:color="000000" w:fill="CCCCFF"/>
            <w:noWrap/>
            <w:vAlign w:val="bottom"/>
            <w:hideMark/>
          </w:tcPr>
          <w:p w14:paraId="490FE54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3.300,00</w:t>
            </w:r>
          </w:p>
        </w:tc>
      </w:tr>
      <w:tr w:rsidR="00846ACC" w:rsidRPr="004974C0" w14:paraId="7327B94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9F41FA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5.1. POTPORA ZA DECENTRALIZIRANE FUNKCIJE</w:t>
            </w:r>
          </w:p>
        </w:tc>
        <w:tc>
          <w:tcPr>
            <w:tcW w:w="1984" w:type="dxa"/>
            <w:tcBorders>
              <w:top w:val="nil"/>
              <w:left w:val="nil"/>
              <w:bottom w:val="single" w:sz="4" w:space="0" w:color="auto"/>
              <w:right w:val="single" w:sz="4" w:space="0" w:color="auto"/>
            </w:tcBorders>
            <w:shd w:val="clear" w:color="000000" w:fill="FFFF99"/>
            <w:noWrap/>
            <w:vAlign w:val="bottom"/>
            <w:hideMark/>
          </w:tcPr>
          <w:p w14:paraId="057055B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1962A5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843" w:type="dxa"/>
            <w:tcBorders>
              <w:top w:val="nil"/>
              <w:left w:val="nil"/>
              <w:bottom w:val="single" w:sz="4" w:space="0" w:color="auto"/>
              <w:right w:val="single" w:sz="4" w:space="0" w:color="auto"/>
            </w:tcBorders>
            <w:shd w:val="clear" w:color="000000" w:fill="FFFF99"/>
            <w:noWrap/>
            <w:vAlign w:val="bottom"/>
            <w:hideMark/>
          </w:tcPr>
          <w:p w14:paraId="38E3676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0701E64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6EEC1D2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r>
      <w:tr w:rsidR="00846ACC" w:rsidRPr="004974C0" w14:paraId="10F114F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5FB137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1C27554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2BFFB82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0C4943F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1C1BF6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0D9071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r>
      <w:tr w:rsidR="00846ACC" w:rsidRPr="004974C0" w14:paraId="69BED3B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BBEBA0D"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2EF44889"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6C8F720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5615801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1DF78E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52CFBA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r>
      <w:tr w:rsidR="00846ACC" w:rsidRPr="004974C0" w14:paraId="1488888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8CCE71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6.9. 6.DONACIJE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47CA9F3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34A175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0C6DED6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w:t>
            </w:r>
          </w:p>
        </w:tc>
        <w:tc>
          <w:tcPr>
            <w:tcW w:w="1559" w:type="dxa"/>
            <w:tcBorders>
              <w:top w:val="nil"/>
              <w:left w:val="nil"/>
              <w:bottom w:val="single" w:sz="4" w:space="0" w:color="auto"/>
              <w:right w:val="single" w:sz="4" w:space="0" w:color="auto"/>
            </w:tcBorders>
            <w:shd w:val="clear" w:color="000000" w:fill="FFFF99"/>
            <w:noWrap/>
            <w:vAlign w:val="bottom"/>
            <w:hideMark/>
          </w:tcPr>
          <w:p w14:paraId="7038390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99"/>
            <w:noWrap/>
            <w:vAlign w:val="bottom"/>
            <w:hideMark/>
          </w:tcPr>
          <w:p w14:paraId="37F030A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w:t>
            </w:r>
          </w:p>
        </w:tc>
      </w:tr>
      <w:tr w:rsidR="00846ACC" w:rsidRPr="004974C0" w14:paraId="48DA99D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4E9C26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26D31DA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0C25EA7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5A0735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1.300,00</w:t>
            </w:r>
          </w:p>
        </w:tc>
        <w:tc>
          <w:tcPr>
            <w:tcW w:w="1559" w:type="dxa"/>
            <w:tcBorders>
              <w:top w:val="nil"/>
              <w:left w:val="nil"/>
              <w:bottom w:val="single" w:sz="4" w:space="0" w:color="auto"/>
              <w:right w:val="single" w:sz="4" w:space="0" w:color="auto"/>
            </w:tcBorders>
            <w:shd w:val="clear" w:color="auto" w:fill="auto"/>
            <w:noWrap/>
            <w:vAlign w:val="bottom"/>
            <w:hideMark/>
          </w:tcPr>
          <w:p w14:paraId="17753BC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0783081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1.300,00</w:t>
            </w:r>
          </w:p>
        </w:tc>
      </w:tr>
      <w:tr w:rsidR="00846ACC" w:rsidRPr="004974C0" w14:paraId="2709844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54DE458" w14:textId="77777777" w:rsidR="004974C0" w:rsidRPr="004974C0" w:rsidRDefault="004974C0" w:rsidP="004974C0">
            <w:pPr>
              <w:rPr>
                <w:rFonts w:ascii="Arial" w:hAnsi="Arial" w:cs="Arial"/>
                <w:sz w:val="20"/>
                <w:szCs w:val="20"/>
              </w:rPr>
            </w:pPr>
            <w:r w:rsidRPr="004974C0">
              <w:rPr>
                <w:rFonts w:ascii="Arial" w:hAnsi="Arial" w:cs="Arial"/>
                <w:sz w:val="20"/>
                <w:szCs w:val="20"/>
              </w:rPr>
              <w:lastRenderedPageBreak/>
              <w:t>42</w:t>
            </w:r>
          </w:p>
        </w:tc>
        <w:tc>
          <w:tcPr>
            <w:tcW w:w="1984" w:type="dxa"/>
            <w:tcBorders>
              <w:top w:val="nil"/>
              <w:left w:val="nil"/>
              <w:bottom w:val="single" w:sz="4" w:space="0" w:color="auto"/>
              <w:right w:val="single" w:sz="4" w:space="0" w:color="auto"/>
            </w:tcBorders>
            <w:shd w:val="clear" w:color="auto" w:fill="auto"/>
            <w:noWrap/>
            <w:vAlign w:val="bottom"/>
            <w:hideMark/>
          </w:tcPr>
          <w:p w14:paraId="183DBFC4"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13F273B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74EA93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1.300,00</w:t>
            </w:r>
          </w:p>
        </w:tc>
        <w:tc>
          <w:tcPr>
            <w:tcW w:w="1559" w:type="dxa"/>
            <w:tcBorders>
              <w:top w:val="nil"/>
              <w:left w:val="nil"/>
              <w:bottom w:val="single" w:sz="4" w:space="0" w:color="auto"/>
              <w:right w:val="single" w:sz="4" w:space="0" w:color="auto"/>
            </w:tcBorders>
            <w:shd w:val="clear" w:color="auto" w:fill="auto"/>
            <w:noWrap/>
            <w:vAlign w:val="bottom"/>
            <w:hideMark/>
          </w:tcPr>
          <w:p w14:paraId="7FBFA75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768352B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1.300,00</w:t>
            </w:r>
          </w:p>
        </w:tc>
      </w:tr>
      <w:tr w:rsidR="00846ACC" w:rsidRPr="004974C0" w14:paraId="0296374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3366FF"/>
            <w:noWrap/>
            <w:vAlign w:val="bottom"/>
            <w:hideMark/>
          </w:tcPr>
          <w:p w14:paraId="3325A357"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Proračunski korisnik 10590 OSNOVNA ŠKOLA IVO LOLA RIBAR LABIN</w:t>
            </w:r>
          </w:p>
        </w:tc>
        <w:tc>
          <w:tcPr>
            <w:tcW w:w="1984" w:type="dxa"/>
            <w:tcBorders>
              <w:top w:val="nil"/>
              <w:left w:val="nil"/>
              <w:bottom w:val="single" w:sz="4" w:space="0" w:color="auto"/>
              <w:right w:val="single" w:sz="4" w:space="0" w:color="auto"/>
            </w:tcBorders>
            <w:shd w:val="clear" w:color="000000" w:fill="3366FF"/>
            <w:noWrap/>
            <w:vAlign w:val="bottom"/>
            <w:hideMark/>
          </w:tcPr>
          <w:p w14:paraId="45F815E0"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3366FF"/>
            <w:noWrap/>
            <w:vAlign w:val="bottom"/>
            <w:hideMark/>
          </w:tcPr>
          <w:p w14:paraId="596C00F9"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2.808.091,00</w:t>
            </w:r>
          </w:p>
        </w:tc>
        <w:tc>
          <w:tcPr>
            <w:tcW w:w="1843" w:type="dxa"/>
            <w:tcBorders>
              <w:top w:val="nil"/>
              <w:left w:val="nil"/>
              <w:bottom w:val="single" w:sz="4" w:space="0" w:color="auto"/>
              <w:right w:val="single" w:sz="4" w:space="0" w:color="auto"/>
            </w:tcBorders>
            <w:shd w:val="clear" w:color="000000" w:fill="3366FF"/>
            <w:noWrap/>
            <w:vAlign w:val="bottom"/>
            <w:hideMark/>
          </w:tcPr>
          <w:p w14:paraId="1F6E3F0E"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143.922,00</w:t>
            </w:r>
          </w:p>
        </w:tc>
        <w:tc>
          <w:tcPr>
            <w:tcW w:w="1559" w:type="dxa"/>
            <w:tcBorders>
              <w:top w:val="nil"/>
              <w:left w:val="nil"/>
              <w:bottom w:val="single" w:sz="4" w:space="0" w:color="auto"/>
              <w:right w:val="single" w:sz="4" w:space="0" w:color="auto"/>
            </w:tcBorders>
            <w:shd w:val="clear" w:color="000000" w:fill="3366FF"/>
            <w:noWrap/>
            <w:vAlign w:val="bottom"/>
            <w:hideMark/>
          </w:tcPr>
          <w:p w14:paraId="6375B375"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5,13</w:t>
            </w:r>
          </w:p>
        </w:tc>
        <w:tc>
          <w:tcPr>
            <w:tcW w:w="1803" w:type="dxa"/>
            <w:tcBorders>
              <w:top w:val="nil"/>
              <w:left w:val="nil"/>
              <w:bottom w:val="single" w:sz="4" w:space="0" w:color="auto"/>
              <w:right w:val="single" w:sz="4" w:space="0" w:color="auto"/>
            </w:tcBorders>
            <w:shd w:val="clear" w:color="000000" w:fill="3366FF"/>
            <w:noWrap/>
            <w:vAlign w:val="bottom"/>
            <w:hideMark/>
          </w:tcPr>
          <w:p w14:paraId="35727243"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2.952.013,00</w:t>
            </w:r>
          </w:p>
        </w:tc>
      </w:tr>
      <w:tr w:rsidR="00846ACC" w:rsidRPr="004974C0" w14:paraId="218D3CD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7D273F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3FB7527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6E2EB7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254.422,00</w:t>
            </w:r>
          </w:p>
        </w:tc>
        <w:tc>
          <w:tcPr>
            <w:tcW w:w="1843" w:type="dxa"/>
            <w:tcBorders>
              <w:top w:val="nil"/>
              <w:left w:val="nil"/>
              <w:bottom w:val="single" w:sz="4" w:space="0" w:color="auto"/>
              <w:right w:val="single" w:sz="4" w:space="0" w:color="auto"/>
            </w:tcBorders>
            <w:shd w:val="clear" w:color="000000" w:fill="FFFFFF"/>
            <w:noWrap/>
            <w:vAlign w:val="bottom"/>
            <w:hideMark/>
          </w:tcPr>
          <w:p w14:paraId="7A6FADA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37.646,00</w:t>
            </w:r>
          </w:p>
        </w:tc>
        <w:tc>
          <w:tcPr>
            <w:tcW w:w="1559" w:type="dxa"/>
            <w:tcBorders>
              <w:top w:val="nil"/>
              <w:left w:val="nil"/>
              <w:bottom w:val="single" w:sz="4" w:space="0" w:color="auto"/>
              <w:right w:val="single" w:sz="4" w:space="0" w:color="auto"/>
            </w:tcBorders>
            <w:shd w:val="clear" w:color="000000" w:fill="FFFFFF"/>
            <w:noWrap/>
            <w:vAlign w:val="bottom"/>
            <w:hideMark/>
          </w:tcPr>
          <w:p w14:paraId="296520A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14,80</w:t>
            </w:r>
          </w:p>
        </w:tc>
        <w:tc>
          <w:tcPr>
            <w:tcW w:w="1803" w:type="dxa"/>
            <w:tcBorders>
              <w:top w:val="nil"/>
              <w:left w:val="nil"/>
              <w:bottom w:val="single" w:sz="4" w:space="0" w:color="auto"/>
              <w:right w:val="single" w:sz="4" w:space="0" w:color="auto"/>
            </w:tcBorders>
            <w:shd w:val="clear" w:color="000000" w:fill="FFFFFF"/>
            <w:noWrap/>
            <w:vAlign w:val="bottom"/>
            <w:hideMark/>
          </w:tcPr>
          <w:p w14:paraId="27A289C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292.068,00</w:t>
            </w:r>
          </w:p>
        </w:tc>
      </w:tr>
      <w:tr w:rsidR="00846ACC" w:rsidRPr="004974C0" w14:paraId="2FDC951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4264B76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2CDC274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4DBD89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254.422,00</w:t>
            </w:r>
          </w:p>
        </w:tc>
        <w:tc>
          <w:tcPr>
            <w:tcW w:w="1843" w:type="dxa"/>
            <w:tcBorders>
              <w:top w:val="nil"/>
              <w:left w:val="nil"/>
              <w:bottom w:val="single" w:sz="4" w:space="0" w:color="auto"/>
              <w:right w:val="single" w:sz="4" w:space="0" w:color="auto"/>
            </w:tcBorders>
            <w:shd w:val="clear" w:color="000000" w:fill="FFFFFF"/>
            <w:noWrap/>
            <w:vAlign w:val="bottom"/>
            <w:hideMark/>
          </w:tcPr>
          <w:p w14:paraId="5110CDC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37.646,00</w:t>
            </w:r>
          </w:p>
        </w:tc>
        <w:tc>
          <w:tcPr>
            <w:tcW w:w="1559" w:type="dxa"/>
            <w:tcBorders>
              <w:top w:val="nil"/>
              <w:left w:val="nil"/>
              <w:bottom w:val="single" w:sz="4" w:space="0" w:color="auto"/>
              <w:right w:val="single" w:sz="4" w:space="0" w:color="auto"/>
            </w:tcBorders>
            <w:shd w:val="clear" w:color="000000" w:fill="FFFFFF"/>
            <w:noWrap/>
            <w:vAlign w:val="bottom"/>
            <w:hideMark/>
          </w:tcPr>
          <w:p w14:paraId="0CB2481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14,80</w:t>
            </w:r>
          </w:p>
        </w:tc>
        <w:tc>
          <w:tcPr>
            <w:tcW w:w="1803" w:type="dxa"/>
            <w:tcBorders>
              <w:top w:val="nil"/>
              <w:left w:val="nil"/>
              <w:bottom w:val="single" w:sz="4" w:space="0" w:color="auto"/>
              <w:right w:val="single" w:sz="4" w:space="0" w:color="auto"/>
            </w:tcBorders>
            <w:shd w:val="clear" w:color="000000" w:fill="FFFFFF"/>
            <w:noWrap/>
            <w:vAlign w:val="bottom"/>
            <w:hideMark/>
          </w:tcPr>
          <w:p w14:paraId="2E84988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292.068,00</w:t>
            </w:r>
          </w:p>
        </w:tc>
      </w:tr>
      <w:tr w:rsidR="00846ACC" w:rsidRPr="004974C0" w14:paraId="0CC363D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C514F1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 VLASTITI PRIHODI</w:t>
            </w:r>
          </w:p>
        </w:tc>
        <w:tc>
          <w:tcPr>
            <w:tcW w:w="1984" w:type="dxa"/>
            <w:tcBorders>
              <w:top w:val="nil"/>
              <w:left w:val="nil"/>
              <w:bottom w:val="single" w:sz="4" w:space="0" w:color="auto"/>
              <w:right w:val="single" w:sz="4" w:space="0" w:color="auto"/>
            </w:tcBorders>
            <w:shd w:val="clear" w:color="000000" w:fill="FFFFFF"/>
            <w:noWrap/>
            <w:vAlign w:val="bottom"/>
            <w:hideMark/>
          </w:tcPr>
          <w:p w14:paraId="165482E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32F4F7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6.000,00</w:t>
            </w:r>
          </w:p>
        </w:tc>
        <w:tc>
          <w:tcPr>
            <w:tcW w:w="1843" w:type="dxa"/>
            <w:tcBorders>
              <w:top w:val="nil"/>
              <w:left w:val="nil"/>
              <w:bottom w:val="single" w:sz="4" w:space="0" w:color="auto"/>
              <w:right w:val="single" w:sz="4" w:space="0" w:color="auto"/>
            </w:tcBorders>
            <w:shd w:val="clear" w:color="000000" w:fill="FFFFFF"/>
            <w:noWrap/>
            <w:vAlign w:val="bottom"/>
            <w:hideMark/>
          </w:tcPr>
          <w:p w14:paraId="090900E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-1.159,00</w:t>
            </w:r>
          </w:p>
        </w:tc>
        <w:tc>
          <w:tcPr>
            <w:tcW w:w="1559" w:type="dxa"/>
            <w:tcBorders>
              <w:top w:val="nil"/>
              <w:left w:val="nil"/>
              <w:bottom w:val="single" w:sz="4" w:space="0" w:color="auto"/>
              <w:right w:val="single" w:sz="4" w:space="0" w:color="auto"/>
            </w:tcBorders>
            <w:shd w:val="clear" w:color="000000" w:fill="FFFFFF"/>
            <w:noWrap/>
            <w:vAlign w:val="bottom"/>
            <w:hideMark/>
          </w:tcPr>
          <w:p w14:paraId="39750C0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-19,32</w:t>
            </w:r>
          </w:p>
        </w:tc>
        <w:tc>
          <w:tcPr>
            <w:tcW w:w="1803" w:type="dxa"/>
            <w:tcBorders>
              <w:top w:val="nil"/>
              <w:left w:val="nil"/>
              <w:bottom w:val="single" w:sz="4" w:space="0" w:color="auto"/>
              <w:right w:val="single" w:sz="4" w:space="0" w:color="auto"/>
            </w:tcBorders>
            <w:shd w:val="clear" w:color="000000" w:fill="FFFFFF"/>
            <w:noWrap/>
            <w:vAlign w:val="bottom"/>
            <w:hideMark/>
          </w:tcPr>
          <w:p w14:paraId="5A5BBF3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4.841,00</w:t>
            </w:r>
          </w:p>
        </w:tc>
      </w:tr>
      <w:tr w:rsidR="00846ACC" w:rsidRPr="004974C0" w14:paraId="4013AF3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ED923A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3.9. VLASTITI PRIHODI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2B3A095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C84837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6.000,00</w:t>
            </w:r>
          </w:p>
        </w:tc>
        <w:tc>
          <w:tcPr>
            <w:tcW w:w="1843" w:type="dxa"/>
            <w:tcBorders>
              <w:top w:val="nil"/>
              <w:left w:val="nil"/>
              <w:bottom w:val="single" w:sz="4" w:space="0" w:color="auto"/>
              <w:right w:val="single" w:sz="4" w:space="0" w:color="auto"/>
            </w:tcBorders>
            <w:shd w:val="clear" w:color="000000" w:fill="FFFFFF"/>
            <w:noWrap/>
            <w:vAlign w:val="bottom"/>
            <w:hideMark/>
          </w:tcPr>
          <w:p w14:paraId="32B3CBD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-1.159,00</w:t>
            </w:r>
          </w:p>
        </w:tc>
        <w:tc>
          <w:tcPr>
            <w:tcW w:w="1559" w:type="dxa"/>
            <w:tcBorders>
              <w:top w:val="nil"/>
              <w:left w:val="nil"/>
              <w:bottom w:val="single" w:sz="4" w:space="0" w:color="auto"/>
              <w:right w:val="single" w:sz="4" w:space="0" w:color="auto"/>
            </w:tcBorders>
            <w:shd w:val="clear" w:color="000000" w:fill="FFFFFF"/>
            <w:noWrap/>
            <w:vAlign w:val="bottom"/>
            <w:hideMark/>
          </w:tcPr>
          <w:p w14:paraId="36A0A52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-19,32</w:t>
            </w:r>
          </w:p>
        </w:tc>
        <w:tc>
          <w:tcPr>
            <w:tcW w:w="1803" w:type="dxa"/>
            <w:tcBorders>
              <w:top w:val="nil"/>
              <w:left w:val="nil"/>
              <w:bottom w:val="single" w:sz="4" w:space="0" w:color="auto"/>
              <w:right w:val="single" w:sz="4" w:space="0" w:color="auto"/>
            </w:tcBorders>
            <w:shd w:val="clear" w:color="000000" w:fill="FFFFFF"/>
            <w:noWrap/>
            <w:vAlign w:val="bottom"/>
            <w:hideMark/>
          </w:tcPr>
          <w:p w14:paraId="4BEC375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4.841,00</w:t>
            </w:r>
          </w:p>
        </w:tc>
      </w:tr>
      <w:tr w:rsidR="00846ACC" w:rsidRPr="004974C0" w14:paraId="7FA30D3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4E369E9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 PRIHODI ZA POSEBNE NAMJENE</w:t>
            </w:r>
          </w:p>
        </w:tc>
        <w:tc>
          <w:tcPr>
            <w:tcW w:w="1984" w:type="dxa"/>
            <w:tcBorders>
              <w:top w:val="nil"/>
              <w:left w:val="nil"/>
              <w:bottom w:val="single" w:sz="4" w:space="0" w:color="auto"/>
              <w:right w:val="single" w:sz="4" w:space="0" w:color="auto"/>
            </w:tcBorders>
            <w:shd w:val="clear" w:color="000000" w:fill="FFFFFF"/>
            <w:noWrap/>
            <w:vAlign w:val="bottom"/>
            <w:hideMark/>
          </w:tcPr>
          <w:p w14:paraId="206DC74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2E82441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125.080,00</w:t>
            </w:r>
          </w:p>
        </w:tc>
        <w:tc>
          <w:tcPr>
            <w:tcW w:w="1843" w:type="dxa"/>
            <w:tcBorders>
              <w:top w:val="nil"/>
              <w:left w:val="nil"/>
              <w:bottom w:val="single" w:sz="4" w:space="0" w:color="auto"/>
              <w:right w:val="single" w:sz="4" w:space="0" w:color="auto"/>
            </w:tcBorders>
            <w:shd w:val="clear" w:color="000000" w:fill="FFFFFF"/>
            <w:noWrap/>
            <w:vAlign w:val="bottom"/>
            <w:hideMark/>
          </w:tcPr>
          <w:p w14:paraId="567AC54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16.842,00</w:t>
            </w:r>
          </w:p>
        </w:tc>
        <w:tc>
          <w:tcPr>
            <w:tcW w:w="1559" w:type="dxa"/>
            <w:tcBorders>
              <w:top w:val="nil"/>
              <w:left w:val="nil"/>
              <w:bottom w:val="single" w:sz="4" w:space="0" w:color="auto"/>
              <w:right w:val="single" w:sz="4" w:space="0" w:color="auto"/>
            </w:tcBorders>
            <w:shd w:val="clear" w:color="000000" w:fill="FFFFFF"/>
            <w:noWrap/>
            <w:vAlign w:val="bottom"/>
            <w:hideMark/>
          </w:tcPr>
          <w:p w14:paraId="3EEFF57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13,46</w:t>
            </w:r>
          </w:p>
        </w:tc>
        <w:tc>
          <w:tcPr>
            <w:tcW w:w="1803" w:type="dxa"/>
            <w:tcBorders>
              <w:top w:val="nil"/>
              <w:left w:val="nil"/>
              <w:bottom w:val="single" w:sz="4" w:space="0" w:color="auto"/>
              <w:right w:val="single" w:sz="4" w:space="0" w:color="auto"/>
            </w:tcBorders>
            <w:shd w:val="clear" w:color="000000" w:fill="FFFFFF"/>
            <w:noWrap/>
            <w:vAlign w:val="bottom"/>
            <w:hideMark/>
          </w:tcPr>
          <w:p w14:paraId="16A9801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141.922,00</w:t>
            </w:r>
          </w:p>
        </w:tc>
      </w:tr>
      <w:tr w:rsidR="00846ACC" w:rsidRPr="004974C0" w14:paraId="5EBA913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2D3E557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4.9. 4.PRIHODI ZA POSEBNE NAMJENE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4B626EE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A45939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125.080,00</w:t>
            </w:r>
          </w:p>
        </w:tc>
        <w:tc>
          <w:tcPr>
            <w:tcW w:w="1843" w:type="dxa"/>
            <w:tcBorders>
              <w:top w:val="nil"/>
              <w:left w:val="nil"/>
              <w:bottom w:val="single" w:sz="4" w:space="0" w:color="auto"/>
              <w:right w:val="single" w:sz="4" w:space="0" w:color="auto"/>
            </w:tcBorders>
            <w:shd w:val="clear" w:color="000000" w:fill="FFFFFF"/>
            <w:noWrap/>
            <w:vAlign w:val="bottom"/>
            <w:hideMark/>
          </w:tcPr>
          <w:p w14:paraId="7A3C1BD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16.842,00</w:t>
            </w:r>
          </w:p>
        </w:tc>
        <w:tc>
          <w:tcPr>
            <w:tcW w:w="1559" w:type="dxa"/>
            <w:tcBorders>
              <w:top w:val="nil"/>
              <w:left w:val="nil"/>
              <w:bottom w:val="single" w:sz="4" w:space="0" w:color="auto"/>
              <w:right w:val="single" w:sz="4" w:space="0" w:color="auto"/>
            </w:tcBorders>
            <w:shd w:val="clear" w:color="000000" w:fill="FFFFFF"/>
            <w:noWrap/>
            <w:vAlign w:val="bottom"/>
            <w:hideMark/>
          </w:tcPr>
          <w:p w14:paraId="6F04D6F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13,46</w:t>
            </w:r>
          </w:p>
        </w:tc>
        <w:tc>
          <w:tcPr>
            <w:tcW w:w="1803" w:type="dxa"/>
            <w:tcBorders>
              <w:top w:val="nil"/>
              <w:left w:val="nil"/>
              <w:bottom w:val="single" w:sz="4" w:space="0" w:color="auto"/>
              <w:right w:val="single" w:sz="4" w:space="0" w:color="auto"/>
            </w:tcBorders>
            <w:shd w:val="clear" w:color="000000" w:fill="FFFFFF"/>
            <w:noWrap/>
            <w:vAlign w:val="bottom"/>
            <w:hideMark/>
          </w:tcPr>
          <w:p w14:paraId="27B826F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141.922,00</w:t>
            </w:r>
          </w:p>
        </w:tc>
      </w:tr>
      <w:tr w:rsidR="00846ACC" w:rsidRPr="004974C0" w14:paraId="658E183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662B90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 POMOĆI</w:t>
            </w:r>
          </w:p>
        </w:tc>
        <w:tc>
          <w:tcPr>
            <w:tcW w:w="1984" w:type="dxa"/>
            <w:tcBorders>
              <w:top w:val="nil"/>
              <w:left w:val="nil"/>
              <w:bottom w:val="single" w:sz="4" w:space="0" w:color="auto"/>
              <w:right w:val="single" w:sz="4" w:space="0" w:color="auto"/>
            </w:tcBorders>
            <w:shd w:val="clear" w:color="000000" w:fill="FFFFFF"/>
            <w:noWrap/>
            <w:vAlign w:val="bottom"/>
            <w:hideMark/>
          </w:tcPr>
          <w:p w14:paraId="0460787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3FB296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2.415.089,00</w:t>
            </w:r>
          </w:p>
        </w:tc>
        <w:tc>
          <w:tcPr>
            <w:tcW w:w="1843" w:type="dxa"/>
            <w:tcBorders>
              <w:top w:val="nil"/>
              <w:left w:val="nil"/>
              <w:bottom w:val="single" w:sz="4" w:space="0" w:color="auto"/>
              <w:right w:val="single" w:sz="4" w:space="0" w:color="auto"/>
            </w:tcBorders>
            <w:shd w:val="clear" w:color="000000" w:fill="FFFFFF"/>
            <w:noWrap/>
            <w:vAlign w:val="bottom"/>
            <w:hideMark/>
          </w:tcPr>
          <w:p w14:paraId="5571288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89.591,00</w:t>
            </w:r>
          </w:p>
        </w:tc>
        <w:tc>
          <w:tcPr>
            <w:tcW w:w="1559" w:type="dxa"/>
            <w:tcBorders>
              <w:top w:val="nil"/>
              <w:left w:val="nil"/>
              <w:bottom w:val="single" w:sz="4" w:space="0" w:color="auto"/>
              <w:right w:val="single" w:sz="4" w:space="0" w:color="auto"/>
            </w:tcBorders>
            <w:shd w:val="clear" w:color="000000" w:fill="FFFFFF"/>
            <w:noWrap/>
            <w:vAlign w:val="bottom"/>
            <w:hideMark/>
          </w:tcPr>
          <w:p w14:paraId="712C3BB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3,71</w:t>
            </w:r>
          </w:p>
        </w:tc>
        <w:tc>
          <w:tcPr>
            <w:tcW w:w="1803" w:type="dxa"/>
            <w:tcBorders>
              <w:top w:val="nil"/>
              <w:left w:val="nil"/>
              <w:bottom w:val="single" w:sz="4" w:space="0" w:color="auto"/>
              <w:right w:val="single" w:sz="4" w:space="0" w:color="auto"/>
            </w:tcBorders>
            <w:shd w:val="clear" w:color="000000" w:fill="FFFFFF"/>
            <w:noWrap/>
            <w:vAlign w:val="bottom"/>
            <w:hideMark/>
          </w:tcPr>
          <w:p w14:paraId="48FB238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2.504.680,00</w:t>
            </w:r>
          </w:p>
        </w:tc>
      </w:tr>
      <w:tr w:rsidR="00846ACC" w:rsidRPr="004974C0" w14:paraId="45BBD75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74364E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5.1. POTPORA ZA DECENTRALIZIRANE FUNKCIJE</w:t>
            </w:r>
          </w:p>
        </w:tc>
        <w:tc>
          <w:tcPr>
            <w:tcW w:w="1984" w:type="dxa"/>
            <w:tcBorders>
              <w:top w:val="nil"/>
              <w:left w:val="nil"/>
              <w:bottom w:val="single" w:sz="4" w:space="0" w:color="auto"/>
              <w:right w:val="single" w:sz="4" w:space="0" w:color="auto"/>
            </w:tcBorders>
            <w:shd w:val="clear" w:color="000000" w:fill="FFFFFF"/>
            <w:noWrap/>
            <w:vAlign w:val="bottom"/>
            <w:hideMark/>
          </w:tcPr>
          <w:p w14:paraId="0F82958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FAE80C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202.772,00</w:t>
            </w:r>
          </w:p>
        </w:tc>
        <w:tc>
          <w:tcPr>
            <w:tcW w:w="1843" w:type="dxa"/>
            <w:tcBorders>
              <w:top w:val="nil"/>
              <w:left w:val="nil"/>
              <w:bottom w:val="single" w:sz="4" w:space="0" w:color="auto"/>
              <w:right w:val="single" w:sz="4" w:space="0" w:color="auto"/>
            </w:tcBorders>
            <w:shd w:val="clear" w:color="000000" w:fill="FFFFFF"/>
            <w:noWrap/>
            <w:vAlign w:val="bottom"/>
            <w:hideMark/>
          </w:tcPr>
          <w:p w14:paraId="048F495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2.826,00</w:t>
            </w:r>
          </w:p>
        </w:tc>
        <w:tc>
          <w:tcPr>
            <w:tcW w:w="1559" w:type="dxa"/>
            <w:tcBorders>
              <w:top w:val="nil"/>
              <w:left w:val="nil"/>
              <w:bottom w:val="single" w:sz="4" w:space="0" w:color="auto"/>
              <w:right w:val="single" w:sz="4" w:space="0" w:color="auto"/>
            </w:tcBorders>
            <w:shd w:val="clear" w:color="000000" w:fill="FFFFFF"/>
            <w:noWrap/>
            <w:vAlign w:val="bottom"/>
            <w:hideMark/>
          </w:tcPr>
          <w:p w14:paraId="07FDF39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1,39</w:t>
            </w:r>
          </w:p>
        </w:tc>
        <w:tc>
          <w:tcPr>
            <w:tcW w:w="1803" w:type="dxa"/>
            <w:tcBorders>
              <w:top w:val="nil"/>
              <w:left w:val="nil"/>
              <w:bottom w:val="single" w:sz="4" w:space="0" w:color="auto"/>
              <w:right w:val="single" w:sz="4" w:space="0" w:color="auto"/>
            </w:tcBorders>
            <w:shd w:val="clear" w:color="000000" w:fill="FFFFFF"/>
            <w:noWrap/>
            <w:vAlign w:val="bottom"/>
            <w:hideMark/>
          </w:tcPr>
          <w:p w14:paraId="34769EE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205.598,00</w:t>
            </w:r>
          </w:p>
        </w:tc>
      </w:tr>
      <w:tr w:rsidR="00846ACC" w:rsidRPr="004974C0" w14:paraId="393716F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2411E5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FF"/>
            <w:noWrap/>
            <w:vAlign w:val="bottom"/>
            <w:hideMark/>
          </w:tcPr>
          <w:p w14:paraId="2736B5F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8F0B3C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2.212.317,00</w:t>
            </w:r>
          </w:p>
        </w:tc>
        <w:tc>
          <w:tcPr>
            <w:tcW w:w="1843" w:type="dxa"/>
            <w:tcBorders>
              <w:top w:val="nil"/>
              <w:left w:val="nil"/>
              <w:bottom w:val="single" w:sz="4" w:space="0" w:color="auto"/>
              <w:right w:val="single" w:sz="4" w:space="0" w:color="auto"/>
            </w:tcBorders>
            <w:shd w:val="clear" w:color="000000" w:fill="FFFFFF"/>
            <w:noWrap/>
            <w:vAlign w:val="bottom"/>
            <w:hideMark/>
          </w:tcPr>
          <w:p w14:paraId="452EBA3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86.765,00</w:t>
            </w:r>
          </w:p>
        </w:tc>
        <w:tc>
          <w:tcPr>
            <w:tcW w:w="1559" w:type="dxa"/>
            <w:tcBorders>
              <w:top w:val="nil"/>
              <w:left w:val="nil"/>
              <w:bottom w:val="single" w:sz="4" w:space="0" w:color="auto"/>
              <w:right w:val="single" w:sz="4" w:space="0" w:color="auto"/>
            </w:tcBorders>
            <w:shd w:val="clear" w:color="000000" w:fill="FFFFFF"/>
            <w:noWrap/>
            <w:vAlign w:val="bottom"/>
            <w:hideMark/>
          </w:tcPr>
          <w:p w14:paraId="2CAA4B1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3,92</w:t>
            </w:r>
          </w:p>
        </w:tc>
        <w:tc>
          <w:tcPr>
            <w:tcW w:w="1803" w:type="dxa"/>
            <w:tcBorders>
              <w:top w:val="nil"/>
              <w:left w:val="nil"/>
              <w:bottom w:val="single" w:sz="4" w:space="0" w:color="auto"/>
              <w:right w:val="single" w:sz="4" w:space="0" w:color="auto"/>
            </w:tcBorders>
            <w:shd w:val="clear" w:color="000000" w:fill="FFFFFF"/>
            <w:noWrap/>
            <w:vAlign w:val="bottom"/>
            <w:hideMark/>
          </w:tcPr>
          <w:p w14:paraId="1C10526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2.299.082,00</w:t>
            </w:r>
          </w:p>
        </w:tc>
      </w:tr>
      <w:tr w:rsidR="00846ACC" w:rsidRPr="004974C0" w14:paraId="308C574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1789C6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 DONACIJE</w:t>
            </w:r>
          </w:p>
        </w:tc>
        <w:tc>
          <w:tcPr>
            <w:tcW w:w="1984" w:type="dxa"/>
            <w:tcBorders>
              <w:top w:val="nil"/>
              <w:left w:val="nil"/>
              <w:bottom w:val="single" w:sz="4" w:space="0" w:color="auto"/>
              <w:right w:val="single" w:sz="4" w:space="0" w:color="auto"/>
            </w:tcBorders>
            <w:shd w:val="clear" w:color="000000" w:fill="FFFFFF"/>
            <w:noWrap/>
            <w:vAlign w:val="bottom"/>
            <w:hideMark/>
          </w:tcPr>
          <w:p w14:paraId="5B150EB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1E30AA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w:t>
            </w:r>
          </w:p>
        </w:tc>
        <w:tc>
          <w:tcPr>
            <w:tcW w:w="1843" w:type="dxa"/>
            <w:tcBorders>
              <w:top w:val="nil"/>
              <w:left w:val="nil"/>
              <w:bottom w:val="single" w:sz="4" w:space="0" w:color="auto"/>
              <w:right w:val="single" w:sz="4" w:space="0" w:color="auto"/>
            </w:tcBorders>
            <w:shd w:val="clear" w:color="000000" w:fill="FFFFFF"/>
            <w:noWrap/>
            <w:vAlign w:val="bottom"/>
            <w:hideMark/>
          </w:tcPr>
          <w:p w14:paraId="0E1D7A8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2.002,00</w:t>
            </w:r>
          </w:p>
        </w:tc>
        <w:tc>
          <w:tcPr>
            <w:tcW w:w="1559" w:type="dxa"/>
            <w:tcBorders>
              <w:top w:val="nil"/>
              <w:left w:val="nil"/>
              <w:bottom w:val="single" w:sz="4" w:space="0" w:color="auto"/>
              <w:right w:val="single" w:sz="4" w:space="0" w:color="auto"/>
            </w:tcBorders>
            <w:shd w:val="clear" w:color="000000" w:fill="FFFFFF"/>
            <w:noWrap/>
            <w:vAlign w:val="bottom"/>
            <w:hideMark/>
          </w:tcPr>
          <w:p w14:paraId="1BF21AD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133,47</w:t>
            </w:r>
          </w:p>
        </w:tc>
        <w:tc>
          <w:tcPr>
            <w:tcW w:w="1803" w:type="dxa"/>
            <w:tcBorders>
              <w:top w:val="nil"/>
              <w:left w:val="nil"/>
              <w:bottom w:val="single" w:sz="4" w:space="0" w:color="auto"/>
              <w:right w:val="single" w:sz="4" w:space="0" w:color="auto"/>
            </w:tcBorders>
            <w:shd w:val="clear" w:color="000000" w:fill="FFFFFF"/>
            <w:noWrap/>
            <w:vAlign w:val="bottom"/>
            <w:hideMark/>
          </w:tcPr>
          <w:p w14:paraId="31FC210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3.502,00</w:t>
            </w:r>
          </w:p>
        </w:tc>
      </w:tr>
      <w:tr w:rsidR="00846ACC" w:rsidRPr="004974C0" w14:paraId="7EC182D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2FDD03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6.9. 6.DONACIJE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2E2953A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27BE63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w:t>
            </w:r>
          </w:p>
        </w:tc>
        <w:tc>
          <w:tcPr>
            <w:tcW w:w="1843" w:type="dxa"/>
            <w:tcBorders>
              <w:top w:val="nil"/>
              <w:left w:val="nil"/>
              <w:bottom w:val="single" w:sz="4" w:space="0" w:color="auto"/>
              <w:right w:val="single" w:sz="4" w:space="0" w:color="auto"/>
            </w:tcBorders>
            <w:shd w:val="clear" w:color="000000" w:fill="FFFFFF"/>
            <w:noWrap/>
            <w:vAlign w:val="bottom"/>
            <w:hideMark/>
          </w:tcPr>
          <w:p w14:paraId="663AD78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2.002,00</w:t>
            </w:r>
          </w:p>
        </w:tc>
        <w:tc>
          <w:tcPr>
            <w:tcW w:w="1559" w:type="dxa"/>
            <w:tcBorders>
              <w:top w:val="nil"/>
              <w:left w:val="nil"/>
              <w:bottom w:val="single" w:sz="4" w:space="0" w:color="auto"/>
              <w:right w:val="single" w:sz="4" w:space="0" w:color="auto"/>
            </w:tcBorders>
            <w:shd w:val="clear" w:color="000000" w:fill="FFFFFF"/>
            <w:noWrap/>
            <w:vAlign w:val="bottom"/>
            <w:hideMark/>
          </w:tcPr>
          <w:p w14:paraId="7A6BBEF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133,47</w:t>
            </w:r>
          </w:p>
        </w:tc>
        <w:tc>
          <w:tcPr>
            <w:tcW w:w="1803" w:type="dxa"/>
            <w:tcBorders>
              <w:top w:val="nil"/>
              <w:left w:val="nil"/>
              <w:bottom w:val="single" w:sz="4" w:space="0" w:color="auto"/>
              <w:right w:val="single" w:sz="4" w:space="0" w:color="auto"/>
            </w:tcBorders>
            <w:shd w:val="clear" w:color="000000" w:fill="FFFFFF"/>
            <w:noWrap/>
            <w:vAlign w:val="bottom"/>
            <w:hideMark/>
          </w:tcPr>
          <w:p w14:paraId="128B22C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3.502,00</w:t>
            </w:r>
          </w:p>
        </w:tc>
      </w:tr>
      <w:tr w:rsidR="00846ACC" w:rsidRPr="004974C0" w14:paraId="6E8AAA9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60C5FA9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 PRIHODI OD NEFINANCIJSKE IMOVINE</w:t>
            </w:r>
          </w:p>
        </w:tc>
        <w:tc>
          <w:tcPr>
            <w:tcW w:w="1984" w:type="dxa"/>
            <w:tcBorders>
              <w:top w:val="nil"/>
              <w:left w:val="nil"/>
              <w:bottom w:val="single" w:sz="4" w:space="0" w:color="auto"/>
              <w:right w:val="single" w:sz="4" w:space="0" w:color="auto"/>
            </w:tcBorders>
            <w:shd w:val="clear" w:color="000000" w:fill="FFFFFF"/>
            <w:noWrap/>
            <w:vAlign w:val="bottom"/>
            <w:hideMark/>
          </w:tcPr>
          <w:p w14:paraId="262BC74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888C6C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6.000,00</w:t>
            </w:r>
          </w:p>
        </w:tc>
        <w:tc>
          <w:tcPr>
            <w:tcW w:w="1843" w:type="dxa"/>
            <w:tcBorders>
              <w:top w:val="nil"/>
              <w:left w:val="nil"/>
              <w:bottom w:val="single" w:sz="4" w:space="0" w:color="auto"/>
              <w:right w:val="single" w:sz="4" w:space="0" w:color="auto"/>
            </w:tcBorders>
            <w:shd w:val="clear" w:color="000000" w:fill="FFFFFF"/>
            <w:noWrap/>
            <w:vAlign w:val="bottom"/>
            <w:hideMark/>
          </w:tcPr>
          <w:p w14:paraId="323DE3C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c>
          <w:tcPr>
            <w:tcW w:w="1559" w:type="dxa"/>
            <w:tcBorders>
              <w:top w:val="nil"/>
              <w:left w:val="nil"/>
              <w:bottom w:val="single" w:sz="4" w:space="0" w:color="auto"/>
              <w:right w:val="single" w:sz="4" w:space="0" w:color="auto"/>
            </w:tcBorders>
            <w:shd w:val="clear" w:color="000000" w:fill="FFFFFF"/>
            <w:noWrap/>
            <w:vAlign w:val="bottom"/>
            <w:hideMark/>
          </w:tcPr>
          <w:p w14:paraId="0B5756E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-16,67</w:t>
            </w:r>
          </w:p>
        </w:tc>
        <w:tc>
          <w:tcPr>
            <w:tcW w:w="1803" w:type="dxa"/>
            <w:tcBorders>
              <w:top w:val="nil"/>
              <w:left w:val="nil"/>
              <w:bottom w:val="single" w:sz="4" w:space="0" w:color="auto"/>
              <w:right w:val="single" w:sz="4" w:space="0" w:color="auto"/>
            </w:tcBorders>
            <w:shd w:val="clear" w:color="000000" w:fill="FFFFFF"/>
            <w:noWrap/>
            <w:vAlign w:val="bottom"/>
            <w:hideMark/>
          </w:tcPr>
          <w:p w14:paraId="30ACC19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r>
      <w:tr w:rsidR="00846ACC" w:rsidRPr="004974C0" w14:paraId="3542DA1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8C0728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7.9. 7.PRIHODI OD NAKNADA ŠTETA S OSN.OSIGUR.-PRIH.KOR.</w:t>
            </w:r>
          </w:p>
        </w:tc>
        <w:tc>
          <w:tcPr>
            <w:tcW w:w="1984" w:type="dxa"/>
            <w:tcBorders>
              <w:top w:val="nil"/>
              <w:left w:val="nil"/>
              <w:bottom w:val="single" w:sz="4" w:space="0" w:color="auto"/>
              <w:right w:val="single" w:sz="4" w:space="0" w:color="auto"/>
            </w:tcBorders>
            <w:shd w:val="clear" w:color="000000" w:fill="FFFFFF"/>
            <w:noWrap/>
            <w:vAlign w:val="bottom"/>
            <w:hideMark/>
          </w:tcPr>
          <w:p w14:paraId="69F653B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29F6C04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6.000,00</w:t>
            </w:r>
          </w:p>
        </w:tc>
        <w:tc>
          <w:tcPr>
            <w:tcW w:w="1843" w:type="dxa"/>
            <w:tcBorders>
              <w:top w:val="nil"/>
              <w:left w:val="nil"/>
              <w:bottom w:val="single" w:sz="4" w:space="0" w:color="auto"/>
              <w:right w:val="single" w:sz="4" w:space="0" w:color="auto"/>
            </w:tcBorders>
            <w:shd w:val="clear" w:color="000000" w:fill="FFFFFF"/>
            <w:noWrap/>
            <w:vAlign w:val="bottom"/>
            <w:hideMark/>
          </w:tcPr>
          <w:p w14:paraId="7A3AC54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c>
          <w:tcPr>
            <w:tcW w:w="1559" w:type="dxa"/>
            <w:tcBorders>
              <w:top w:val="nil"/>
              <w:left w:val="nil"/>
              <w:bottom w:val="single" w:sz="4" w:space="0" w:color="auto"/>
              <w:right w:val="single" w:sz="4" w:space="0" w:color="auto"/>
            </w:tcBorders>
            <w:shd w:val="clear" w:color="000000" w:fill="FFFFFF"/>
            <w:noWrap/>
            <w:vAlign w:val="bottom"/>
            <w:hideMark/>
          </w:tcPr>
          <w:p w14:paraId="3BAFD13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-16,67</w:t>
            </w:r>
          </w:p>
        </w:tc>
        <w:tc>
          <w:tcPr>
            <w:tcW w:w="1803" w:type="dxa"/>
            <w:tcBorders>
              <w:top w:val="nil"/>
              <w:left w:val="nil"/>
              <w:bottom w:val="single" w:sz="4" w:space="0" w:color="auto"/>
              <w:right w:val="single" w:sz="4" w:space="0" w:color="auto"/>
            </w:tcBorders>
            <w:shd w:val="clear" w:color="000000" w:fill="FFFFFF"/>
            <w:noWrap/>
            <w:vAlign w:val="bottom"/>
            <w:hideMark/>
          </w:tcPr>
          <w:p w14:paraId="62FA3EA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r>
      <w:tr w:rsidR="00846ACC" w:rsidRPr="004974C0" w14:paraId="347FF86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60B6B35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5002 Obrazovanje</w:t>
            </w:r>
          </w:p>
        </w:tc>
        <w:tc>
          <w:tcPr>
            <w:tcW w:w="1984" w:type="dxa"/>
            <w:tcBorders>
              <w:top w:val="nil"/>
              <w:left w:val="nil"/>
              <w:bottom w:val="single" w:sz="4" w:space="0" w:color="auto"/>
              <w:right w:val="single" w:sz="4" w:space="0" w:color="auto"/>
            </w:tcBorders>
            <w:shd w:val="clear" w:color="000000" w:fill="9999FF"/>
            <w:noWrap/>
            <w:vAlign w:val="bottom"/>
            <w:hideMark/>
          </w:tcPr>
          <w:p w14:paraId="5C0B403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36AC350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2.808.091,00</w:t>
            </w:r>
          </w:p>
        </w:tc>
        <w:tc>
          <w:tcPr>
            <w:tcW w:w="1843" w:type="dxa"/>
            <w:tcBorders>
              <w:top w:val="nil"/>
              <w:left w:val="nil"/>
              <w:bottom w:val="single" w:sz="4" w:space="0" w:color="auto"/>
              <w:right w:val="single" w:sz="4" w:space="0" w:color="auto"/>
            </w:tcBorders>
            <w:shd w:val="clear" w:color="000000" w:fill="9999FF"/>
            <w:noWrap/>
            <w:vAlign w:val="bottom"/>
            <w:hideMark/>
          </w:tcPr>
          <w:p w14:paraId="077A673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143.922,00</w:t>
            </w:r>
          </w:p>
        </w:tc>
        <w:tc>
          <w:tcPr>
            <w:tcW w:w="1559" w:type="dxa"/>
            <w:tcBorders>
              <w:top w:val="nil"/>
              <w:left w:val="nil"/>
              <w:bottom w:val="single" w:sz="4" w:space="0" w:color="auto"/>
              <w:right w:val="single" w:sz="4" w:space="0" w:color="auto"/>
            </w:tcBorders>
            <w:shd w:val="clear" w:color="000000" w:fill="9999FF"/>
            <w:noWrap/>
            <w:vAlign w:val="bottom"/>
            <w:hideMark/>
          </w:tcPr>
          <w:p w14:paraId="7DD597F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5,13</w:t>
            </w:r>
          </w:p>
        </w:tc>
        <w:tc>
          <w:tcPr>
            <w:tcW w:w="1803" w:type="dxa"/>
            <w:tcBorders>
              <w:top w:val="nil"/>
              <w:left w:val="nil"/>
              <w:bottom w:val="single" w:sz="4" w:space="0" w:color="auto"/>
              <w:right w:val="single" w:sz="4" w:space="0" w:color="auto"/>
            </w:tcBorders>
            <w:shd w:val="clear" w:color="000000" w:fill="9999FF"/>
            <w:noWrap/>
            <w:vAlign w:val="bottom"/>
            <w:hideMark/>
          </w:tcPr>
          <w:p w14:paraId="0634D94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2.952.013,00</w:t>
            </w:r>
          </w:p>
        </w:tc>
      </w:tr>
      <w:tr w:rsidR="00846ACC" w:rsidRPr="004974C0" w14:paraId="7F3DAB4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C69FE3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A500003 Financiranje djelatnosti osnovnog školstva</w:t>
            </w:r>
          </w:p>
        </w:tc>
        <w:tc>
          <w:tcPr>
            <w:tcW w:w="1984" w:type="dxa"/>
            <w:tcBorders>
              <w:top w:val="nil"/>
              <w:left w:val="nil"/>
              <w:bottom w:val="single" w:sz="4" w:space="0" w:color="auto"/>
              <w:right w:val="single" w:sz="4" w:space="0" w:color="auto"/>
            </w:tcBorders>
            <w:shd w:val="clear" w:color="000000" w:fill="CCCCFF"/>
            <w:noWrap/>
            <w:vAlign w:val="bottom"/>
            <w:hideMark/>
          </w:tcPr>
          <w:p w14:paraId="794B03B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4DDA34A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2.277.975,00</w:t>
            </w:r>
          </w:p>
        </w:tc>
        <w:tc>
          <w:tcPr>
            <w:tcW w:w="1843" w:type="dxa"/>
            <w:tcBorders>
              <w:top w:val="nil"/>
              <w:left w:val="nil"/>
              <w:bottom w:val="single" w:sz="4" w:space="0" w:color="auto"/>
              <w:right w:val="single" w:sz="4" w:space="0" w:color="auto"/>
            </w:tcBorders>
            <w:shd w:val="clear" w:color="000000" w:fill="CCCCFF"/>
            <w:noWrap/>
            <w:vAlign w:val="bottom"/>
            <w:hideMark/>
          </w:tcPr>
          <w:p w14:paraId="47220AA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78.760,00</w:t>
            </w:r>
          </w:p>
        </w:tc>
        <w:tc>
          <w:tcPr>
            <w:tcW w:w="1559" w:type="dxa"/>
            <w:tcBorders>
              <w:top w:val="nil"/>
              <w:left w:val="nil"/>
              <w:bottom w:val="single" w:sz="4" w:space="0" w:color="auto"/>
              <w:right w:val="single" w:sz="4" w:space="0" w:color="auto"/>
            </w:tcBorders>
            <w:shd w:val="clear" w:color="000000" w:fill="CCCCFF"/>
            <w:noWrap/>
            <w:vAlign w:val="bottom"/>
            <w:hideMark/>
          </w:tcPr>
          <w:p w14:paraId="0000C1A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3,46</w:t>
            </w:r>
          </w:p>
        </w:tc>
        <w:tc>
          <w:tcPr>
            <w:tcW w:w="1803" w:type="dxa"/>
            <w:tcBorders>
              <w:top w:val="nil"/>
              <w:left w:val="nil"/>
              <w:bottom w:val="single" w:sz="4" w:space="0" w:color="auto"/>
              <w:right w:val="single" w:sz="4" w:space="0" w:color="auto"/>
            </w:tcBorders>
            <w:shd w:val="clear" w:color="000000" w:fill="CCCCFF"/>
            <w:noWrap/>
            <w:vAlign w:val="bottom"/>
            <w:hideMark/>
          </w:tcPr>
          <w:p w14:paraId="3811001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2.356.735,00</w:t>
            </w:r>
          </w:p>
        </w:tc>
      </w:tr>
      <w:tr w:rsidR="00846ACC" w:rsidRPr="004974C0" w14:paraId="1BB2FBB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BE0B58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76A019A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70555B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31.000,00</w:t>
            </w:r>
          </w:p>
        </w:tc>
        <w:tc>
          <w:tcPr>
            <w:tcW w:w="1843" w:type="dxa"/>
            <w:tcBorders>
              <w:top w:val="nil"/>
              <w:left w:val="nil"/>
              <w:bottom w:val="single" w:sz="4" w:space="0" w:color="auto"/>
              <w:right w:val="single" w:sz="4" w:space="0" w:color="auto"/>
            </w:tcBorders>
            <w:shd w:val="clear" w:color="000000" w:fill="FFFF99"/>
            <w:noWrap/>
            <w:vAlign w:val="bottom"/>
            <w:hideMark/>
          </w:tcPr>
          <w:p w14:paraId="22B627E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11.440,00</w:t>
            </w:r>
          </w:p>
        </w:tc>
        <w:tc>
          <w:tcPr>
            <w:tcW w:w="1559" w:type="dxa"/>
            <w:tcBorders>
              <w:top w:val="nil"/>
              <w:left w:val="nil"/>
              <w:bottom w:val="single" w:sz="4" w:space="0" w:color="auto"/>
              <w:right w:val="single" w:sz="4" w:space="0" w:color="auto"/>
            </w:tcBorders>
            <w:shd w:val="clear" w:color="000000" w:fill="FFFF99"/>
            <w:noWrap/>
            <w:vAlign w:val="bottom"/>
            <w:hideMark/>
          </w:tcPr>
          <w:p w14:paraId="4126458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36,90</w:t>
            </w:r>
          </w:p>
        </w:tc>
        <w:tc>
          <w:tcPr>
            <w:tcW w:w="1803" w:type="dxa"/>
            <w:tcBorders>
              <w:top w:val="nil"/>
              <w:left w:val="nil"/>
              <w:bottom w:val="single" w:sz="4" w:space="0" w:color="auto"/>
              <w:right w:val="single" w:sz="4" w:space="0" w:color="auto"/>
            </w:tcBorders>
            <w:shd w:val="clear" w:color="000000" w:fill="FFFF99"/>
            <w:noWrap/>
            <w:vAlign w:val="bottom"/>
            <w:hideMark/>
          </w:tcPr>
          <w:p w14:paraId="7445254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42.440,00</w:t>
            </w:r>
          </w:p>
        </w:tc>
      </w:tr>
      <w:tr w:rsidR="00846ACC" w:rsidRPr="004974C0" w14:paraId="4FE7962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C6F71E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A70626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47C2D4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31.000,00</w:t>
            </w:r>
          </w:p>
        </w:tc>
        <w:tc>
          <w:tcPr>
            <w:tcW w:w="1843" w:type="dxa"/>
            <w:tcBorders>
              <w:top w:val="nil"/>
              <w:left w:val="nil"/>
              <w:bottom w:val="single" w:sz="4" w:space="0" w:color="auto"/>
              <w:right w:val="single" w:sz="4" w:space="0" w:color="auto"/>
            </w:tcBorders>
            <w:shd w:val="clear" w:color="auto" w:fill="auto"/>
            <w:noWrap/>
            <w:vAlign w:val="bottom"/>
            <w:hideMark/>
          </w:tcPr>
          <w:p w14:paraId="0AE22CE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11.440,00</w:t>
            </w:r>
          </w:p>
        </w:tc>
        <w:tc>
          <w:tcPr>
            <w:tcW w:w="1559" w:type="dxa"/>
            <w:tcBorders>
              <w:top w:val="nil"/>
              <w:left w:val="nil"/>
              <w:bottom w:val="single" w:sz="4" w:space="0" w:color="auto"/>
              <w:right w:val="single" w:sz="4" w:space="0" w:color="auto"/>
            </w:tcBorders>
            <w:shd w:val="clear" w:color="auto" w:fill="auto"/>
            <w:noWrap/>
            <w:vAlign w:val="bottom"/>
            <w:hideMark/>
          </w:tcPr>
          <w:p w14:paraId="21E061A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36,90</w:t>
            </w:r>
          </w:p>
        </w:tc>
        <w:tc>
          <w:tcPr>
            <w:tcW w:w="1803" w:type="dxa"/>
            <w:tcBorders>
              <w:top w:val="nil"/>
              <w:left w:val="nil"/>
              <w:bottom w:val="single" w:sz="4" w:space="0" w:color="auto"/>
              <w:right w:val="single" w:sz="4" w:space="0" w:color="auto"/>
            </w:tcBorders>
            <w:shd w:val="clear" w:color="auto" w:fill="auto"/>
            <w:noWrap/>
            <w:vAlign w:val="bottom"/>
            <w:hideMark/>
          </w:tcPr>
          <w:p w14:paraId="380FC43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42.440,00</w:t>
            </w:r>
          </w:p>
        </w:tc>
      </w:tr>
      <w:tr w:rsidR="00846ACC" w:rsidRPr="004974C0" w14:paraId="2491759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27808AC"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1F1724B"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6BA8FD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31.000,00</w:t>
            </w:r>
          </w:p>
        </w:tc>
        <w:tc>
          <w:tcPr>
            <w:tcW w:w="1843" w:type="dxa"/>
            <w:tcBorders>
              <w:top w:val="nil"/>
              <w:left w:val="nil"/>
              <w:bottom w:val="single" w:sz="4" w:space="0" w:color="auto"/>
              <w:right w:val="single" w:sz="4" w:space="0" w:color="auto"/>
            </w:tcBorders>
            <w:shd w:val="clear" w:color="auto" w:fill="auto"/>
            <w:noWrap/>
            <w:vAlign w:val="bottom"/>
            <w:hideMark/>
          </w:tcPr>
          <w:p w14:paraId="2E2D583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11.440,00</w:t>
            </w:r>
          </w:p>
        </w:tc>
        <w:tc>
          <w:tcPr>
            <w:tcW w:w="1559" w:type="dxa"/>
            <w:tcBorders>
              <w:top w:val="nil"/>
              <w:left w:val="nil"/>
              <w:bottom w:val="single" w:sz="4" w:space="0" w:color="auto"/>
              <w:right w:val="single" w:sz="4" w:space="0" w:color="auto"/>
            </w:tcBorders>
            <w:shd w:val="clear" w:color="auto" w:fill="auto"/>
            <w:noWrap/>
            <w:vAlign w:val="bottom"/>
            <w:hideMark/>
          </w:tcPr>
          <w:p w14:paraId="1C9D19E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36,90</w:t>
            </w:r>
          </w:p>
        </w:tc>
        <w:tc>
          <w:tcPr>
            <w:tcW w:w="1803" w:type="dxa"/>
            <w:tcBorders>
              <w:top w:val="nil"/>
              <w:left w:val="nil"/>
              <w:bottom w:val="single" w:sz="4" w:space="0" w:color="auto"/>
              <w:right w:val="single" w:sz="4" w:space="0" w:color="auto"/>
            </w:tcBorders>
            <w:shd w:val="clear" w:color="auto" w:fill="auto"/>
            <w:noWrap/>
            <w:vAlign w:val="bottom"/>
            <w:hideMark/>
          </w:tcPr>
          <w:p w14:paraId="51F7A56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42.440,00</w:t>
            </w:r>
          </w:p>
        </w:tc>
      </w:tr>
      <w:tr w:rsidR="00846ACC" w:rsidRPr="004974C0" w14:paraId="1CF4254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B59613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3.9. VLASTITI PRIHODI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2EF39E1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3050F8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6.000,00</w:t>
            </w:r>
          </w:p>
        </w:tc>
        <w:tc>
          <w:tcPr>
            <w:tcW w:w="1843" w:type="dxa"/>
            <w:tcBorders>
              <w:top w:val="nil"/>
              <w:left w:val="nil"/>
              <w:bottom w:val="single" w:sz="4" w:space="0" w:color="auto"/>
              <w:right w:val="single" w:sz="4" w:space="0" w:color="auto"/>
            </w:tcBorders>
            <w:shd w:val="clear" w:color="000000" w:fill="FFFF99"/>
            <w:noWrap/>
            <w:vAlign w:val="bottom"/>
            <w:hideMark/>
          </w:tcPr>
          <w:p w14:paraId="043298B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-1.159,00</w:t>
            </w:r>
          </w:p>
        </w:tc>
        <w:tc>
          <w:tcPr>
            <w:tcW w:w="1559" w:type="dxa"/>
            <w:tcBorders>
              <w:top w:val="nil"/>
              <w:left w:val="nil"/>
              <w:bottom w:val="single" w:sz="4" w:space="0" w:color="auto"/>
              <w:right w:val="single" w:sz="4" w:space="0" w:color="auto"/>
            </w:tcBorders>
            <w:shd w:val="clear" w:color="000000" w:fill="FFFF99"/>
            <w:noWrap/>
            <w:vAlign w:val="bottom"/>
            <w:hideMark/>
          </w:tcPr>
          <w:p w14:paraId="2418C3E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-19,32</w:t>
            </w:r>
          </w:p>
        </w:tc>
        <w:tc>
          <w:tcPr>
            <w:tcW w:w="1803" w:type="dxa"/>
            <w:tcBorders>
              <w:top w:val="nil"/>
              <w:left w:val="nil"/>
              <w:bottom w:val="single" w:sz="4" w:space="0" w:color="auto"/>
              <w:right w:val="single" w:sz="4" w:space="0" w:color="auto"/>
            </w:tcBorders>
            <w:shd w:val="clear" w:color="000000" w:fill="FFFF99"/>
            <w:noWrap/>
            <w:vAlign w:val="bottom"/>
            <w:hideMark/>
          </w:tcPr>
          <w:p w14:paraId="6520233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4.841,00</w:t>
            </w:r>
          </w:p>
        </w:tc>
      </w:tr>
      <w:tr w:rsidR="00846ACC" w:rsidRPr="004974C0" w14:paraId="5E6C73F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D474AB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30A4F9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D9BDFB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w:t>
            </w:r>
          </w:p>
        </w:tc>
        <w:tc>
          <w:tcPr>
            <w:tcW w:w="1843" w:type="dxa"/>
            <w:tcBorders>
              <w:top w:val="nil"/>
              <w:left w:val="nil"/>
              <w:bottom w:val="single" w:sz="4" w:space="0" w:color="auto"/>
              <w:right w:val="single" w:sz="4" w:space="0" w:color="auto"/>
            </w:tcBorders>
            <w:shd w:val="clear" w:color="auto" w:fill="auto"/>
            <w:noWrap/>
            <w:vAlign w:val="bottom"/>
            <w:hideMark/>
          </w:tcPr>
          <w:p w14:paraId="2FE17DF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-159,00</w:t>
            </w:r>
          </w:p>
        </w:tc>
        <w:tc>
          <w:tcPr>
            <w:tcW w:w="1559" w:type="dxa"/>
            <w:tcBorders>
              <w:top w:val="nil"/>
              <w:left w:val="nil"/>
              <w:bottom w:val="single" w:sz="4" w:space="0" w:color="auto"/>
              <w:right w:val="single" w:sz="4" w:space="0" w:color="auto"/>
            </w:tcBorders>
            <w:shd w:val="clear" w:color="auto" w:fill="auto"/>
            <w:noWrap/>
            <w:vAlign w:val="bottom"/>
            <w:hideMark/>
          </w:tcPr>
          <w:p w14:paraId="78AA3F7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-3,98</w:t>
            </w:r>
          </w:p>
        </w:tc>
        <w:tc>
          <w:tcPr>
            <w:tcW w:w="1803" w:type="dxa"/>
            <w:tcBorders>
              <w:top w:val="nil"/>
              <w:left w:val="nil"/>
              <w:bottom w:val="single" w:sz="4" w:space="0" w:color="auto"/>
              <w:right w:val="single" w:sz="4" w:space="0" w:color="auto"/>
            </w:tcBorders>
            <w:shd w:val="clear" w:color="auto" w:fill="auto"/>
            <w:noWrap/>
            <w:vAlign w:val="bottom"/>
            <w:hideMark/>
          </w:tcPr>
          <w:p w14:paraId="36510CF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3.841,00</w:t>
            </w:r>
          </w:p>
        </w:tc>
      </w:tr>
      <w:tr w:rsidR="00846ACC" w:rsidRPr="004974C0" w14:paraId="200A34C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1A9C910"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699327BA"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D67FE4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w:t>
            </w:r>
          </w:p>
        </w:tc>
        <w:tc>
          <w:tcPr>
            <w:tcW w:w="1843" w:type="dxa"/>
            <w:tcBorders>
              <w:top w:val="nil"/>
              <w:left w:val="nil"/>
              <w:bottom w:val="single" w:sz="4" w:space="0" w:color="auto"/>
              <w:right w:val="single" w:sz="4" w:space="0" w:color="auto"/>
            </w:tcBorders>
            <w:shd w:val="clear" w:color="auto" w:fill="auto"/>
            <w:noWrap/>
            <w:vAlign w:val="bottom"/>
            <w:hideMark/>
          </w:tcPr>
          <w:p w14:paraId="299220A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-159,00</w:t>
            </w:r>
          </w:p>
        </w:tc>
        <w:tc>
          <w:tcPr>
            <w:tcW w:w="1559" w:type="dxa"/>
            <w:tcBorders>
              <w:top w:val="nil"/>
              <w:left w:val="nil"/>
              <w:bottom w:val="single" w:sz="4" w:space="0" w:color="auto"/>
              <w:right w:val="single" w:sz="4" w:space="0" w:color="auto"/>
            </w:tcBorders>
            <w:shd w:val="clear" w:color="auto" w:fill="auto"/>
            <w:noWrap/>
            <w:vAlign w:val="bottom"/>
            <w:hideMark/>
          </w:tcPr>
          <w:p w14:paraId="65FBE8C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-3,98</w:t>
            </w:r>
          </w:p>
        </w:tc>
        <w:tc>
          <w:tcPr>
            <w:tcW w:w="1803" w:type="dxa"/>
            <w:tcBorders>
              <w:top w:val="nil"/>
              <w:left w:val="nil"/>
              <w:bottom w:val="single" w:sz="4" w:space="0" w:color="auto"/>
              <w:right w:val="single" w:sz="4" w:space="0" w:color="auto"/>
            </w:tcBorders>
            <w:shd w:val="clear" w:color="auto" w:fill="auto"/>
            <w:noWrap/>
            <w:vAlign w:val="bottom"/>
            <w:hideMark/>
          </w:tcPr>
          <w:p w14:paraId="0C1F18E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3.841,00</w:t>
            </w:r>
          </w:p>
        </w:tc>
      </w:tr>
      <w:tr w:rsidR="00846ACC" w:rsidRPr="004974C0" w14:paraId="10BD83D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296686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1F2F987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 xml:space="preserve">Rashodi za nabavu </w:t>
            </w:r>
            <w:r w:rsidRPr="004974C0">
              <w:rPr>
                <w:rFonts w:ascii="Arial" w:hAnsi="Arial" w:cs="Arial"/>
                <w:b/>
                <w:bCs/>
                <w:sz w:val="20"/>
                <w:szCs w:val="20"/>
              </w:rPr>
              <w:lastRenderedPageBreak/>
              <w:t>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7FF9331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lastRenderedPageBreak/>
              <w:t>2.000,00</w:t>
            </w:r>
          </w:p>
        </w:tc>
        <w:tc>
          <w:tcPr>
            <w:tcW w:w="1843" w:type="dxa"/>
            <w:tcBorders>
              <w:top w:val="nil"/>
              <w:left w:val="nil"/>
              <w:bottom w:val="single" w:sz="4" w:space="0" w:color="auto"/>
              <w:right w:val="single" w:sz="4" w:space="0" w:color="auto"/>
            </w:tcBorders>
            <w:shd w:val="clear" w:color="auto" w:fill="auto"/>
            <w:noWrap/>
            <w:vAlign w:val="bottom"/>
            <w:hideMark/>
          </w:tcPr>
          <w:p w14:paraId="162B0BF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c>
          <w:tcPr>
            <w:tcW w:w="1559" w:type="dxa"/>
            <w:tcBorders>
              <w:top w:val="nil"/>
              <w:left w:val="nil"/>
              <w:bottom w:val="single" w:sz="4" w:space="0" w:color="auto"/>
              <w:right w:val="single" w:sz="4" w:space="0" w:color="auto"/>
            </w:tcBorders>
            <w:shd w:val="clear" w:color="auto" w:fill="auto"/>
            <w:noWrap/>
            <w:vAlign w:val="bottom"/>
            <w:hideMark/>
          </w:tcPr>
          <w:p w14:paraId="0C761B1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w:t>
            </w:r>
          </w:p>
        </w:tc>
        <w:tc>
          <w:tcPr>
            <w:tcW w:w="1803" w:type="dxa"/>
            <w:tcBorders>
              <w:top w:val="nil"/>
              <w:left w:val="nil"/>
              <w:bottom w:val="single" w:sz="4" w:space="0" w:color="auto"/>
              <w:right w:val="single" w:sz="4" w:space="0" w:color="auto"/>
            </w:tcBorders>
            <w:shd w:val="clear" w:color="auto" w:fill="auto"/>
            <w:noWrap/>
            <w:vAlign w:val="bottom"/>
            <w:hideMark/>
          </w:tcPr>
          <w:p w14:paraId="29FAACA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r>
      <w:tr w:rsidR="00846ACC" w:rsidRPr="004974C0" w14:paraId="044AE55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176AEE8"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5120ED25"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77368FB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033523B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559" w:type="dxa"/>
            <w:tcBorders>
              <w:top w:val="nil"/>
              <w:left w:val="nil"/>
              <w:bottom w:val="single" w:sz="4" w:space="0" w:color="auto"/>
              <w:right w:val="single" w:sz="4" w:space="0" w:color="auto"/>
            </w:tcBorders>
            <w:shd w:val="clear" w:color="auto" w:fill="auto"/>
            <w:noWrap/>
            <w:vAlign w:val="bottom"/>
            <w:hideMark/>
          </w:tcPr>
          <w:p w14:paraId="28A73C0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w:t>
            </w:r>
          </w:p>
        </w:tc>
        <w:tc>
          <w:tcPr>
            <w:tcW w:w="1803" w:type="dxa"/>
            <w:tcBorders>
              <w:top w:val="nil"/>
              <w:left w:val="nil"/>
              <w:bottom w:val="single" w:sz="4" w:space="0" w:color="auto"/>
              <w:right w:val="single" w:sz="4" w:space="0" w:color="auto"/>
            </w:tcBorders>
            <w:shd w:val="clear" w:color="auto" w:fill="auto"/>
            <w:noWrap/>
            <w:vAlign w:val="bottom"/>
            <w:hideMark/>
          </w:tcPr>
          <w:p w14:paraId="32B5D22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r>
      <w:tr w:rsidR="00846ACC" w:rsidRPr="004974C0" w14:paraId="09375A8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84D6B5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5.1. POTPORA ZA DECENTRALIZIRANE FUNKCIJE</w:t>
            </w:r>
          </w:p>
        </w:tc>
        <w:tc>
          <w:tcPr>
            <w:tcW w:w="1984" w:type="dxa"/>
            <w:tcBorders>
              <w:top w:val="nil"/>
              <w:left w:val="nil"/>
              <w:bottom w:val="single" w:sz="4" w:space="0" w:color="auto"/>
              <w:right w:val="single" w:sz="4" w:space="0" w:color="auto"/>
            </w:tcBorders>
            <w:shd w:val="clear" w:color="000000" w:fill="FFFF99"/>
            <w:noWrap/>
            <w:vAlign w:val="bottom"/>
            <w:hideMark/>
          </w:tcPr>
          <w:p w14:paraId="5D1C951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C8F958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174.000,00</w:t>
            </w:r>
          </w:p>
        </w:tc>
        <w:tc>
          <w:tcPr>
            <w:tcW w:w="1843" w:type="dxa"/>
            <w:tcBorders>
              <w:top w:val="nil"/>
              <w:left w:val="nil"/>
              <w:bottom w:val="single" w:sz="4" w:space="0" w:color="auto"/>
              <w:right w:val="single" w:sz="4" w:space="0" w:color="auto"/>
            </w:tcBorders>
            <w:shd w:val="clear" w:color="000000" w:fill="FFFF99"/>
            <w:noWrap/>
            <w:vAlign w:val="bottom"/>
            <w:hideMark/>
          </w:tcPr>
          <w:p w14:paraId="1B691D0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2.826,00</w:t>
            </w:r>
          </w:p>
        </w:tc>
        <w:tc>
          <w:tcPr>
            <w:tcW w:w="1559" w:type="dxa"/>
            <w:tcBorders>
              <w:top w:val="nil"/>
              <w:left w:val="nil"/>
              <w:bottom w:val="single" w:sz="4" w:space="0" w:color="auto"/>
              <w:right w:val="single" w:sz="4" w:space="0" w:color="auto"/>
            </w:tcBorders>
            <w:shd w:val="clear" w:color="000000" w:fill="FFFF99"/>
            <w:noWrap/>
            <w:vAlign w:val="bottom"/>
            <w:hideMark/>
          </w:tcPr>
          <w:p w14:paraId="2A8BC1C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1,62</w:t>
            </w:r>
          </w:p>
        </w:tc>
        <w:tc>
          <w:tcPr>
            <w:tcW w:w="1803" w:type="dxa"/>
            <w:tcBorders>
              <w:top w:val="nil"/>
              <w:left w:val="nil"/>
              <w:bottom w:val="single" w:sz="4" w:space="0" w:color="auto"/>
              <w:right w:val="single" w:sz="4" w:space="0" w:color="auto"/>
            </w:tcBorders>
            <w:shd w:val="clear" w:color="000000" w:fill="FFFF99"/>
            <w:noWrap/>
            <w:vAlign w:val="bottom"/>
            <w:hideMark/>
          </w:tcPr>
          <w:p w14:paraId="4E96C60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176.826,00</w:t>
            </w:r>
          </w:p>
        </w:tc>
      </w:tr>
      <w:tr w:rsidR="00846ACC" w:rsidRPr="004974C0" w14:paraId="777E827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B99978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E58159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44187D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174.000,00</w:t>
            </w:r>
          </w:p>
        </w:tc>
        <w:tc>
          <w:tcPr>
            <w:tcW w:w="1843" w:type="dxa"/>
            <w:tcBorders>
              <w:top w:val="nil"/>
              <w:left w:val="nil"/>
              <w:bottom w:val="single" w:sz="4" w:space="0" w:color="auto"/>
              <w:right w:val="single" w:sz="4" w:space="0" w:color="auto"/>
            </w:tcBorders>
            <w:shd w:val="clear" w:color="auto" w:fill="auto"/>
            <w:noWrap/>
            <w:vAlign w:val="bottom"/>
            <w:hideMark/>
          </w:tcPr>
          <w:p w14:paraId="710432B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2.826,00</w:t>
            </w:r>
          </w:p>
        </w:tc>
        <w:tc>
          <w:tcPr>
            <w:tcW w:w="1559" w:type="dxa"/>
            <w:tcBorders>
              <w:top w:val="nil"/>
              <w:left w:val="nil"/>
              <w:bottom w:val="single" w:sz="4" w:space="0" w:color="auto"/>
              <w:right w:val="single" w:sz="4" w:space="0" w:color="auto"/>
            </w:tcBorders>
            <w:shd w:val="clear" w:color="auto" w:fill="auto"/>
            <w:noWrap/>
            <w:vAlign w:val="bottom"/>
            <w:hideMark/>
          </w:tcPr>
          <w:p w14:paraId="491A95D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1,62</w:t>
            </w:r>
          </w:p>
        </w:tc>
        <w:tc>
          <w:tcPr>
            <w:tcW w:w="1803" w:type="dxa"/>
            <w:tcBorders>
              <w:top w:val="nil"/>
              <w:left w:val="nil"/>
              <w:bottom w:val="single" w:sz="4" w:space="0" w:color="auto"/>
              <w:right w:val="single" w:sz="4" w:space="0" w:color="auto"/>
            </w:tcBorders>
            <w:shd w:val="clear" w:color="auto" w:fill="auto"/>
            <w:noWrap/>
            <w:vAlign w:val="bottom"/>
            <w:hideMark/>
          </w:tcPr>
          <w:p w14:paraId="1BF3EAA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176.826,00</w:t>
            </w:r>
          </w:p>
        </w:tc>
      </w:tr>
      <w:tr w:rsidR="00846ACC" w:rsidRPr="004974C0" w14:paraId="5B4B49C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B6072CA"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4E207B96"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F31F8E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174.000,00</w:t>
            </w:r>
          </w:p>
        </w:tc>
        <w:tc>
          <w:tcPr>
            <w:tcW w:w="1843" w:type="dxa"/>
            <w:tcBorders>
              <w:top w:val="nil"/>
              <w:left w:val="nil"/>
              <w:bottom w:val="single" w:sz="4" w:space="0" w:color="auto"/>
              <w:right w:val="single" w:sz="4" w:space="0" w:color="auto"/>
            </w:tcBorders>
            <w:shd w:val="clear" w:color="auto" w:fill="auto"/>
            <w:noWrap/>
            <w:vAlign w:val="bottom"/>
            <w:hideMark/>
          </w:tcPr>
          <w:p w14:paraId="4B27178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2.826,00</w:t>
            </w:r>
          </w:p>
        </w:tc>
        <w:tc>
          <w:tcPr>
            <w:tcW w:w="1559" w:type="dxa"/>
            <w:tcBorders>
              <w:top w:val="nil"/>
              <w:left w:val="nil"/>
              <w:bottom w:val="single" w:sz="4" w:space="0" w:color="auto"/>
              <w:right w:val="single" w:sz="4" w:space="0" w:color="auto"/>
            </w:tcBorders>
            <w:shd w:val="clear" w:color="auto" w:fill="auto"/>
            <w:noWrap/>
            <w:vAlign w:val="bottom"/>
            <w:hideMark/>
          </w:tcPr>
          <w:p w14:paraId="35BE6CD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1,62</w:t>
            </w:r>
          </w:p>
        </w:tc>
        <w:tc>
          <w:tcPr>
            <w:tcW w:w="1803" w:type="dxa"/>
            <w:tcBorders>
              <w:top w:val="nil"/>
              <w:left w:val="nil"/>
              <w:bottom w:val="single" w:sz="4" w:space="0" w:color="auto"/>
              <w:right w:val="single" w:sz="4" w:space="0" w:color="auto"/>
            </w:tcBorders>
            <w:shd w:val="clear" w:color="auto" w:fill="auto"/>
            <w:noWrap/>
            <w:vAlign w:val="bottom"/>
            <w:hideMark/>
          </w:tcPr>
          <w:p w14:paraId="6561281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176.826,00</w:t>
            </w:r>
          </w:p>
        </w:tc>
      </w:tr>
      <w:tr w:rsidR="00846ACC" w:rsidRPr="004974C0" w14:paraId="57CD154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25B22B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2D4F161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E0ECA3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2.059.475,00</w:t>
            </w:r>
          </w:p>
        </w:tc>
        <w:tc>
          <w:tcPr>
            <w:tcW w:w="1843" w:type="dxa"/>
            <w:tcBorders>
              <w:top w:val="nil"/>
              <w:left w:val="nil"/>
              <w:bottom w:val="single" w:sz="4" w:space="0" w:color="auto"/>
              <w:right w:val="single" w:sz="4" w:space="0" w:color="auto"/>
            </w:tcBorders>
            <w:shd w:val="clear" w:color="000000" w:fill="FFFF99"/>
            <w:noWrap/>
            <w:vAlign w:val="bottom"/>
            <w:hideMark/>
          </w:tcPr>
          <w:p w14:paraId="28708EB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64.651,00</w:t>
            </w:r>
          </w:p>
        </w:tc>
        <w:tc>
          <w:tcPr>
            <w:tcW w:w="1559" w:type="dxa"/>
            <w:tcBorders>
              <w:top w:val="nil"/>
              <w:left w:val="nil"/>
              <w:bottom w:val="single" w:sz="4" w:space="0" w:color="auto"/>
              <w:right w:val="single" w:sz="4" w:space="0" w:color="auto"/>
            </w:tcBorders>
            <w:shd w:val="clear" w:color="000000" w:fill="FFFF99"/>
            <w:noWrap/>
            <w:vAlign w:val="bottom"/>
            <w:hideMark/>
          </w:tcPr>
          <w:p w14:paraId="01203AE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3,14</w:t>
            </w:r>
          </w:p>
        </w:tc>
        <w:tc>
          <w:tcPr>
            <w:tcW w:w="1803" w:type="dxa"/>
            <w:tcBorders>
              <w:top w:val="nil"/>
              <w:left w:val="nil"/>
              <w:bottom w:val="single" w:sz="4" w:space="0" w:color="auto"/>
              <w:right w:val="single" w:sz="4" w:space="0" w:color="auto"/>
            </w:tcBorders>
            <w:shd w:val="clear" w:color="000000" w:fill="FFFF99"/>
            <w:noWrap/>
            <w:vAlign w:val="bottom"/>
            <w:hideMark/>
          </w:tcPr>
          <w:p w14:paraId="4C7FA44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2.124.126,00</w:t>
            </w:r>
          </w:p>
        </w:tc>
      </w:tr>
      <w:tr w:rsidR="00846ACC" w:rsidRPr="004974C0" w14:paraId="02026F5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1B6048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6ED9AB8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F96424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2.059.475,00</w:t>
            </w:r>
          </w:p>
        </w:tc>
        <w:tc>
          <w:tcPr>
            <w:tcW w:w="1843" w:type="dxa"/>
            <w:tcBorders>
              <w:top w:val="nil"/>
              <w:left w:val="nil"/>
              <w:bottom w:val="single" w:sz="4" w:space="0" w:color="auto"/>
              <w:right w:val="single" w:sz="4" w:space="0" w:color="auto"/>
            </w:tcBorders>
            <w:shd w:val="clear" w:color="auto" w:fill="auto"/>
            <w:noWrap/>
            <w:vAlign w:val="bottom"/>
            <w:hideMark/>
          </w:tcPr>
          <w:p w14:paraId="32791E0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64.651,00</w:t>
            </w:r>
          </w:p>
        </w:tc>
        <w:tc>
          <w:tcPr>
            <w:tcW w:w="1559" w:type="dxa"/>
            <w:tcBorders>
              <w:top w:val="nil"/>
              <w:left w:val="nil"/>
              <w:bottom w:val="single" w:sz="4" w:space="0" w:color="auto"/>
              <w:right w:val="single" w:sz="4" w:space="0" w:color="auto"/>
            </w:tcBorders>
            <w:shd w:val="clear" w:color="auto" w:fill="auto"/>
            <w:noWrap/>
            <w:vAlign w:val="bottom"/>
            <w:hideMark/>
          </w:tcPr>
          <w:p w14:paraId="6B816E3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3,14</w:t>
            </w:r>
          </w:p>
        </w:tc>
        <w:tc>
          <w:tcPr>
            <w:tcW w:w="1803" w:type="dxa"/>
            <w:tcBorders>
              <w:top w:val="nil"/>
              <w:left w:val="nil"/>
              <w:bottom w:val="single" w:sz="4" w:space="0" w:color="auto"/>
              <w:right w:val="single" w:sz="4" w:space="0" w:color="auto"/>
            </w:tcBorders>
            <w:shd w:val="clear" w:color="auto" w:fill="auto"/>
            <w:noWrap/>
            <w:vAlign w:val="bottom"/>
            <w:hideMark/>
          </w:tcPr>
          <w:p w14:paraId="5F6D5FD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2.124.126,00</w:t>
            </w:r>
          </w:p>
        </w:tc>
      </w:tr>
      <w:tr w:rsidR="00846ACC" w:rsidRPr="004974C0" w14:paraId="508E925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275DA82"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6E4C83C5"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0868058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1.909.735,00</w:t>
            </w:r>
          </w:p>
        </w:tc>
        <w:tc>
          <w:tcPr>
            <w:tcW w:w="1843" w:type="dxa"/>
            <w:tcBorders>
              <w:top w:val="nil"/>
              <w:left w:val="nil"/>
              <w:bottom w:val="single" w:sz="4" w:space="0" w:color="auto"/>
              <w:right w:val="single" w:sz="4" w:space="0" w:color="auto"/>
            </w:tcBorders>
            <w:shd w:val="clear" w:color="auto" w:fill="auto"/>
            <w:noWrap/>
            <w:vAlign w:val="bottom"/>
            <w:hideMark/>
          </w:tcPr>
          <w:p w14:paraId="19A96B6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55.995,00</w:t>
            </w:r>
          </w:p>
        </w:tc>
        <w:tc>
          <w:tcPr>
            <w:tcW w:w="1559" w:type="dxa"/>
            <w:tcBorders>
              <w:top w:val="nil"/>
              <w:left w:val="nil"/>
              <w:bottom w:val="single" w:sz="4" w:space="0" w:color="auto"/>
              <w:right w:val="single" w:sz="4" w:space="0" w:color="auto"/>
            </w:tcBorders>
            <w:shd w:val="clear" w:color="auto" w:fill="auto"/>
            <w:noWrap/>
            <w:vAlign w:val="bottom"/>
            <w:hideMark/>
          </w:tcPr>
          <w:p w14:paraId="138A3A5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2,93</w:t>
            </w:r>
          </w:p>
        </w:tc>
        <w:tc>
          <w:tcPr>
            <w:tcW w:w="1803" w:type="dxa"/>
            <w:tcBorders>
              <w:top w:val="nil"/>
              <w:left w:val="nil"/>
              <w:bottom w:val="single" w:sz="4" w:space="0" w:color="auto"/>
              <w:right w:val="single" w:sz="4" w:space="0" w:color="auto"/>
            </w:tcBorders>
            <w:shd w:val="clear" w:color="auto" w:fill="auto"/>
            <w:noWrap/>
            <w:vAlign w:val="bottom"/>
            <w:hideMark/>
          </w:tcPr>
          <w:p w14:paraId="38EBFE7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1.965.730,00</w:t>
            </w:r>
          </w:p>
        </w:tc>
      </w:tr>
      <w:tr w:rsidR="00846ACC" w:rsidRPr="004974C0" w14:paraId="20BCAB7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89115C2"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40FC7A82"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0F4AE8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148.400,00</w:t>
            </w:r>
          </w:p>
        </w:tc>
        <w:tc>
          <w:tcPr>
            <w:tcW w:w="1843" w:type="dxa"/>
            <w:tcBorders>
              <w:top w:val="nil"/>
              <w:left w:val="nil"/>
              <w:bottom w:val="single" w:sz="4" w:space="0" w:color="auto"/>
              <w:right w:val="single" w:sz="4" w:space="0" w:color="auto"/>
            </w:tcBorders>
            <w:shd w:val="clear" w:color="auto" w:fill="auto"/>
            <w:noWrap/>
            <w:vAlign w:val="bottom"/>
            <w:hideMark/>
          </w:tcPr>
          <w:p w14:paraId="35D97BE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8.920,00</w:t>
            </w:r>
          </w:p>
        </w:tc>
        <w:tc>
          <w:tcPr>
            <w:tcW w:w="1559" w:type="dxa"/>
            <w:tcBorders>
              <w:top w:val="nil"/>
              <w:left w:val="nil"/>
              <w:bottom w:val="single" w:sz="4" w:space="0" w:color="auto"/>
              <w:right w:val="single" w:sz="4" w:space="0" w:color="auto"/>
            </w:tcBorders>
            <w:shd w:val="clear" w:color="auto" w:fill="auto"/>
            <w:noWrap/>
            <w:vAlign w:val="bottom"/>
            <w:hideMark/>
          </w:tcPr>
          <w:p w14:paraId="7373A34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6,01</w:t>
            </w:r>
          </w:p>
        </w:tc>
        <w:tc>
          <w:tcPr>
            <w:tcW w:w="1803" w:type="dxa"/>
            <w:tcBorders>
              <w:top w:val="nil"/>
              <w:left w:val="nil"/>
              <w:bottom w:val="single" w:sz="4" w:space="0" w:color="auto"/>
              <w:right w:val="single" w:sz="4" w:space="0" w:color="auto"/>
            </w:tcBorders>
            <w:shd w:val="clear" w:color="auto" w:fill="auto"/>
            <w:noWrap/>
            <w:vAlign w:val="bottom"/>
            <w:hideMark/>
          </w:tcPr>
          <w:p w14:paraId="364C1B3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157.320,00</w:t>
            </w:r>
          </w:p>
        </w:tc>
      </w:tr>
      <w:tr w:rsidR="00846ACC" w:rsidRPr="004974C0" w14:paraId="06D6A58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10B3E64" w14:textId="77777777" w:rsidR="004974C0" w:rsidRPr="004974C0" w:rsidRDefault="004974C0" w:rsidP="004974C0">
            <w:pPr>
              <w:rPr>
                <w:rFonts w:ascii="Arial" w:hAnsi="Arial" w:cs="Arial"/>
                <w:sz w:val="20"/>
                <w:szCs w:val="20"/>
              </w:rPr>
            </w:pPr>
            <w:r w:rsidRPr="004974C0">
              <w:rPr>
                <w:rFonts w:ascii="Arial" w:hAnsi="Arial" w:cs="Arial"/>
                <w:sz w:val="20"/>
                <w:szCs w:val="20"/>
              </w:rPr>
              <w:t>38</w:t>
            </w:r>
          </w:p>
        </w:tc>
        <w:tc>
          <w:tcPr>
            <w:tcW w:w="1984" w:type="dxa"/>
            <w:tcBorders>
              <w:top w:val="nil"/>
              <w:left w:val="nil"/>
              <w:bottom w:val="single" w:sz="4" w:space="0" w:color="auto"/>
              <w:right w:val="single" w:sz="4" w:space="0" w:color="auto"/>
            </w:tcBorders>
            <w:shd w:val="clear" w:color="auto" w:fill="auto"/>
            <w:noWrap/>
            <w:vAlign w:val="bottom"/>
            <w:hideMark/>
          </w:tcPr>
          <w:p w14:paraId="2765385A"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donacije, kazne, naknade šteta i kapitalne pomoći</w:t>
            </w:r>
          </w:p>
        </w:tc>
        <w:tc>
          <w:tcPr>
            <w:tcW w:w="1843" w:type="dxa"/>
            <w:tcBorders>
              <w:top w:val="nil"/>
              <w:left w:val="nil"/>
              <w:bottom w:val="single" w:sz="4" w:space="0" w:color="auto"/>
              <w:right w:val="single" w:sz="4" w:space="0" w:color="auto"/>
            </w:tcBorders>
            <w:shd w:val="clear" w:color="auto" w:fill="auto"/>
            <w:noWrap/>
            <w:vAlign w:val="bottom"/>
            <w:hideMark/>
          </w:tcPr>
          <w:p w14:paraId="712FAD1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1.340,00</w:t>
            </w:r>
          </w:p>
        </w:tc>
        <w:tc>
          <w:tcPr>
            <w:tcW w:w="1843" w:type="dxa"/>
            <w:tcBorders>
              <w:top w:val="nil"/>
              <w:left w:val="nil"/>
              <w:bottom w:val="single" w:sz="4" w:space="0" w:color="auto"/>
              <w:right w:val="single" w:sz="4" w:space="0" w:color="auto"/>
            </w:tcBorders>
            <w:shd w:val="clear" w:color="auto" w:fill="auto"/>
            <w:noWrap/>
            <w:vAlign w:val="bottom"/>
            <w:hideMark/>
          </w:tcPr>
          <w:p w14:paraId="4D10FD6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-264,00</w:t>
            </w:r>
          </w:p>
        </w:tc>
        <w:tc>
          <w:tcPr>
            <w:tcW w:w="1559" w:type="dxa"/>
            <w:tcBorders>
              <w:top w:val="nil"/>
              <w:left w:val="nil"/>
              <w:bottom w:val="single" w:sz="4" w:space="0" w:color="auto"/>
              <w:right w:val="single" w:sz="4" w:space="0" w:color="auto"/>
            </w:tcBorders>
            <w:shd w:val="clear" w:color="auto" w:fill="auto"/>
            <w:noWrap/>
            <w:vAlign w:val="bottom"/>
            <w:hideMark/>
          </w:tcPr>
          <w:p w14:paraId="1FD61BC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-19,70</w:t>
            </w:r>
          </w:p>
        </w:tc>
        <w:tc>
          <w:tcPr>
            <w:tcW w:w="1803" w:type="dxa"/>
            <w:tcBorders>
              <w:top w:val="nil"/>
              <w:left w:val="nil"/>
              <w:bottom w:val="single" w:sz="4" w:space="0" w:color="auto"/>
              <w:right w:val="single" w:sz="4" w:space="0" w:color="auto"/>
            </w:tcBorders>
            <w:shd w:val="clear" w:color="auto" w:fill="auto"/>
            <w:noWrap/>
            <w:vAlign w:val="bottom"/>
            <w:hideMark/>
          </w:tcPr>
          <w:p w14:paraId="73F4867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1.076,00</w:t>
            </w:r>
          </w:p>
        </w:tc>
      </w:tr>
      <w:tr w:rsidR="00846ACC" w:rsidRPr="004974C0" w14:paraId="6963306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397CA2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6.9. 6.DONACIJE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213261C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4DCF61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w:t>
            </w:r>
          </w:p>
        </w:tc>
        <w:tc>
          <w:tcPr>
            <w:tcW w:w="1843" w:type="dxa"/>
            <w:tcBorders>
              <w:top w:val="nil"/>
              <w:left w:val="nil"/>
              <w:bottom w:val="single" w:sz="4" w:space="0" w:color="auto"/>
              <w:right w:val="single" w:sz="4" w:space="0" w:color="auto"/>
            </w:tcBorders>
            <w:shd w:val="clear" w:color="000000" w:fill="FFFF99"/>
            <w:noWrap/>
            <w:vAlign w:val="bottom"/>
            <w:hideMark/>
          </w:tcPr>
          <w:p w14:paraId="4BD8B28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2.002,00</w:t>
            </w:r>
          </w:p>
        </w:tc>
        <w:tc>
          <w:tcPr>
            <w:tcW w:w="1559" w:type="dxa"/>
            <w:tcBorders>
              <w:top w:val="nil"/>
              <w:left w:val="nil"/>
              <w:bottom w:val="single" w:sz="4" w:space="0" w:color="auto"/>
              <w:right w:val="single" w:sz="4" w:space="0" w:color="auto"/>
            </w:tcBorders>
            <w:shd w:val="clear" w:color="000000" w:fill="FFFF99"/>
            <w:noWrap/>
            <w:vAlign w:val="bottom"/>
            <w:hideMark/>
          </w:tcPr>
          <w:p w14:paraId="5346DD4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133,47</w:t>
            </w:r>
          </w:p>
        </w:tc>
        <w:tc>
          <w:tcPr>
            <w:tcW w:w="1803" w:type="dxa"/>
            <w:tcBorders>
              <w:top w:val="nil"/>
              <w:left w:val="nil"/>
              <w:bottom w:val="single" w:sz="4" w:space="0" w:color="auto"/>
              <w:right w:val="single" w:sz="4" w:space="0" w:color="auto"/>
            </w:tcBorders>
            <w:shd w:val="clear" w:color="000000" w:fill="FFFF99"/>
            <w:noWrap/>
            <w:vAlign w:val="bottom"/>
            <w:hideMark/>
          </w:tcPr>
          <w:p w14:paraId="60A3077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3.502,00</w:t>
            </w:r>
          </w:p>
        </w:tc>
      </w:tr>
      <w:tr w:rsidR="00846ACC" w:rsidRPr="004974C0" w14:paraId="4B3F7A1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D45ECF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EA1778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37288A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BF11AA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14:paraId="7B98440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1B774FD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w:t>
            </w:r>
          </w:p>
        </w:tc>
      </w:tr>
      <w:tr w:rsidR="00846ACC" w:rsidRPr="004974C0" w14:paraId="3924D19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D3CD0E0"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01260482"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A87AE9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242B08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w:t>
            </w:r>
          </w:p>
        </w:tc>
        <w:tc>
          <w:tcPr>
            <w:tcW w:w="1559" w:type="dxa"/>
            <w:tcBorders>
              <w:top w:val="nil"/>
              <w:left w:val="nil"/>
              <w:bottom w:val="single" w:sz="4" w:space="0" w:color="auto"/>
              <w:right w:val="single" w:sz="4" w:space="0" w:color="auto"/>
            </w:tcBorders>
            <w:shd w:val="clear" w:color="auto" w:fill="auto"/>
            <w:noWrap/>
            <w:vAlign w:val="bottom"/>
            <w:hideMark/>
          </w:tcPr>
          <w:p w14:paraId="437A005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3A6B158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w:t>
            </w:r>
          </w:p>
        </w:tc>
      </w:tr>
      <w:tr w:rsidR="00846ACC" w:rsidRPr="004974C0" w14:paraId="6898861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488DAD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213FDC7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29F9BF3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1.500,00</w:t>
            </w:r>
          </w:p>
        </w:tc>
        <w:tc>
          <w:tcPr>
            <w:tcW w:w="1843" w:type="dxa"/>
            <w:tcBorders>
              <w:top w:val="nil"/>
              <w:left w:val="nil"/>
              <w:bottom w:val="single" w:sz="4" w:space="0" w:color="auto"/>
              <w:right w:val="single" w:sz="4" w:space="0" w:color="auto"/>
            </w:tcBorders>
            <w:shd w:val="clear" w:color="auto" w:fill="auto"/>
            <w:noWrap/>
            <w:vAlign w:val="bottom"/>
            <w:hideMark/>
          </w:tcPr>
          <w:p w14:paraId="6D2854E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c>
          <w:tcPr>
            <w:tcW w:w="1559" w:type="dxa"/>
            <w:tcBorders>
              <w:top w:val="nil"/>
              <w:left w:val="nil"/>
              <w:bottom w:val="single" w:sz="4" w:space="0" w:color="auto"/>
              <w:right w:val="single" w:sz="4" w:space="0" w:color="auto"/>
            </w:tcBorders>
            <w:shd w:val="clear" w:color="auto" w:fill="auto"/>
            <w:noWrap/>
            <w:vAlign w:val="bottom"/>
            <w:hideMark/>
          </w:tcPr>
          <w:p w14:paraId="3F4CF74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133,33</w:t>
            </w:r>
          </w:p>
        </w:tc>
        <w:tc>
          <w:tcPr>
            <w:tcW w:w="1803" w:type="dxa"/>
            <w:tcBorders>
              <w:top w:val="nil"/>
              <w:left w:val="nil"/>
              <w:bottom w:val="single" w:sz="4" w:space="0" w:color="auto"/>
              <w:right w:val="single" w:sz="4" w:space="0" w:color="auto"/>
            </w:tcBorders>
            <w:shd w:val="clear" w:color="auto" w:fill="auto"/>
            <w:noWrap/>
            <w:vAlign w:val="bottom"/>
            <w:hideMark/>
          </w:tcPr>
          <w:p w14:paraId="06B854C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3.500,00</w:t>
            </w:r>
          </w:p>
        </w:tc>
      </w:tr>
      <w:tr w:rsidR="00846ACC" w:rsidRPr="004974C0" w14:paraId="6D6BF3A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E5E1F77"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3BE9E7A8"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1768E03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1.500,00</w:t>
            </w:r>
          </w:p>
        </w:tc>
        <w:tc>
          <w:tcPr>
            <w:tcW w:w="1843" w:type="dxa"/>
            <w:tcBorders>
              <w:top w:val="nil"/>
              <w:left w:val="nil"/>
              <w:bottom w:val="single" w:sz="4" w:space="0" w:color="auto"/>
              <w:right w:val="single" w:sz="4" w:space="0" w:color="auto"/>
            </w:tcBorders>
            <w:shd w:val="clear" w:color="auto" w:fill="auto"/>
            <w:noWrap/>
            <w:vAlign w:val="bottom"/>
            <w:hideMark/>
          </w:tcPr>
          <w:p w14:paraId="2D6D683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c>
          <w:tcPr>
            <w:tcW w:w="1559" w:type="dxa"/>
            <w:tcBorders>
              <w:top w:val="nil"/>
              <w:left w:val="nil"/>
              <w:bottom w:val="single" w:sz="4" w:space="0" w:color="auto"/>
              <w:right w:val="single" w:sz="4" w:space="0" w:color="auto"/>
            </w:tcBorders>
            <w:shd w:val="clear" w:color="auto" w:fill="auto"/>
            <w:noWrap/>
            <w:vAlign w:val="bottom"/>
            <w:hideMark/>
          </w:tcPr>
          <w:p w14:paraId="594379C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133,33</w:t>
            </w:r>
          </w:p>
        </w:tc>
        <w:tc>
          <w:tcPr>
            <w:tcW w:w="1803" w:type="dxa"/>
            <w:tcBorders>
              <w:top w:val="nil"/>
              <w:left w:val="nil"/>
              <w:bottom w:val="single" w:sz="4" w:space="0" w:color="auto"/>
              <w:right w:val="single" w:sz="4" w:space="0" w:color="auto"/>
            </w:tcBorders>
            <w:shd w:val="clear" w:color="auto" w:fill="auto"/>
            <w:noWrap/>
            <w:vAlign w:val="bottom"/>
            <w:hideMark/>
          </w:tcPr>
          <w:p w14:paraId="0CA33D1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3.500,00</w:t>
            </w:r>
          </w:p>
        </w:tc>
      </w:tr>
      <w:tr w:rsidR="00846ACC" w:rsidRPr="004974C0" w14:paraId="1813F48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16FF68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7.9. 7.PRIHODI OD NAKNADA ŠTETA S OSN.OSIGUR.-PRIH.KOR.</w:t>
            </w:r>
          </w:p>
        </w:tc>
        <w:tc>
          <w:tcPr>
            <w:tcW w:w="1984" w:type="dxa"/>
            <w:tcBorders>
              <w:top w:val="nil"/>
              <w:left w:val="nil"/>
              <w:bottom w:val="single" w:sz="4" w:space="0" w:color="auto"/>
              <w:right w:val="single" w:sz="4" w:space="0" w:color="auto"/>
            </w:tcBorders>
            <w:shd w:val="clear" w:color="000000" w:fill="FFFF99"/>
            <w:noWrap/>
            <w:vAlign w:val="bottom"/>
            <w:hideMark/>
          </w:tcPr>
          <w:p w14:paraId="1F51B2B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C422B9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6.000,00</w:t>
            </w:r>
          </w:p>
        </w:tc>
        <w:tc>
          <w:tcPr>
            <w:tcW w:w="1843" w:type="dxa"/>
            <w:tcBorders>
              <w:top w:val="nil"/>
              <w:left w:val="nil"/>
              <w:bottom w:val="single" w:sz="4" w:space="0" w:color="auto"/>
              <w:right w:val="single" w:sz="4" w:space="0" w:color="auto"/>
            </w:tcBorders>
            <w:shd w:val="clear" w:color="000000" w:fill="FFFF99"/>
            <w:noWrap/>
            <w:vAlign w:val="bottom"/>
            <w:hideMark/>
          </w:tcPr>
          <w:p w14:paraId="318F052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c>
          <w:tcPr>
            <w:tcW w:w="1559" w:type="dxa"/>
            <w:tcBorders>
              <w:top w:val="nil"/>
              <w:left w:val="nil"/>
              <w:bottom w:val="single" w:sz="4" w:space="0" w:color="auto"/>
              <w:right w:val="single" w:sz="4" w:space="0" w:color="auto"/>
            </w:tcBorders>
            <w:shd w:val="clear" w:color="000000" w:fill="FFFF99"/>
            <w:noWrap/>
            <w:vAlign w:val="bottom"/>
            <w:hideMark/>
          </w:tcPr>
          <w:p w14:paraId="56C5F6C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-16,67</w:t>
            </w:r>
          </w:p>
        </w:tc>
        <w:tc>
          <w:tcPr>
            <w:tcW w:w="1803" w:type="dxa"/>
            <w:tcBorders>
              <w:top w:val="nil"/>
              <w:left w:val="nil"/>
              <w:bottom w:val="single" w:sz="4" w:space="0" w:color="auto"/>
              <w:right w:val="single" w:sz="4" w:space="0" w:color="auto"/>
            </w:tcBorders>
            <w:shd w:val="clear" w:color="000000" w:fill="FFFF99"/>
            <w:noWrap/>
            <w:vAlign w:val="bottom"/>
            <w:hideMark/>
          </w:tcPr>
          <w:p w14:paraId="0398CD9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r>
      <w:tr w:rsidR="00846ACC" w:rsidRPr="004974C0" w14:paraId="7888D06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09863E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13DDA6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CF1804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6.000,00</w:t>
            </w:r>
          </w:p>
        </w:tc>
        <w:tc>
          <w:tcPr>
            <w:tcW w:w="1843" w:type="dxa"/>
            <w:tcBorders>
              <w:top w:val="nil"/>
              <w:left w:val="nil"/>
              <w:bottom w:val="single" w:sz="4" w:space="0" w:color="auto"/>
              <w:right w:val="single" w:sz="4" w:space="0" w:color="auto"/>
            </w:tcBorders>
            <w:shd w:val="clear" w:color="auto" w:fill="auto"/>
            <w:noWrap/>
            <w:vAlign w:val="bottom"/>
            <w:hideMark/>
          </w:tcPr>
          <w:p w14:paraId="17D4221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c>
          <w:tcPr>
            <w:tcW w:w="1559" w:type="dxa"/>
            <w:tcBorders>
              <w:top w:val="nil"/>
              <w:left w:val="nil"/>
              <w:bottom w:val="single" w:sz="4" w:space="0" w:color="auto"/>
              <w:right w:val="single" w:sz="4" w:space="0" w:color="auto"/>
            </w:tcBorders>
            <w:shd w:val="clear" w:color="auto" w:fill="auto"/>
            <w:noWrap/>
            <w:vAlign w:val="bottom"/>
            <w:hideMark/>
          </w:tcPr>
          <w:p w14:paraId="402C343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-16,67</w:t>
            </w:r>
          </w:p>
        </w:tc>
        <w:tc>
          <w:tcPr>
            <w:tcW w:w="1803" w:type="dxa"/>
            <w:tcBorders>
              <w:top w:val="nil"/>
              <w:left w:val="nil"/>
              <w:bottom w:val="single" w:sz="4" w:space="0" w:color="auto"/>
              <w:right w:val="single" w:sz="4" w:space="0" w:color="auto"/>
            </w:tcBorders>
            <w:shd w:val="clear" w:color="auto" w:fill="auto"/>
            <w:noWrap/>
            <w:vAlign w:val="bottom"/>
            <w:hideMark/>
          </w:tcPr>
          <w:p w14:paraId="7ADC828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5.000,00</w:t>
            </w:r>
          </w:p>
        </w:tc>
      </w:tr>
      <w:tr w:rsidR="00846ACC" w:rsidRPr="004974C0" w14:paraId="2DBB8EE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3B1062C"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946835A"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1129E47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6.000,00</w:t>
            </w:r>
          </w:p>
        </w:tc>
        <w:tc>
          <w:tcPr>
            <w:tcW w:w="1843" w:type="dxa"/>
            <w:tcBorders>
              <w:top w:val="nil"/>
              <w:left w:val="nil"/>
              <w:bottom w:val="single" w:sz="4" w:space="0" w:color="auto"/>
              <w:right w:val="single" w:sz="4" w:space="0" w:color="auto"/>
            </w:tcBorders>
            <w:shd w:val="clear" w:color="auto" w:fill="auto"/>
            <w:noWrap/>
            <w:vAlign w:val="bottom"/>
            <w:hideMark/>
          </w:tcPr>
          <w:p w14:paraId="0F2EA21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559" w:type="dxa"/>
            <w:tcBorders>
              <w:top w:val="nil"/>
              <w:left w:val="nil"/>
              <w:bottom w:val="single" w:sz="4" w:space="0" w:color="auto"/>
              <w:right w:val="single" w:sz="4" w:space="0" w:color="auto"/>
            </w:tcBorders>
            <w:shd w:val="clear" w:color="auto" w:fill="auto"/>
            <w:noWrap/>
            <w:vAlign w:val="bottom"/>
            <w:hideMark/>
          </w:tcPr>
          <w:p w14:paraId="0B0D25A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-16,67</w:t>
            </w:r>
          </w:p>
        </w:tc>
        <w:tc>
          <w:tcPr>
            <w:tcW w:w="1803" w:type="dxa"/>
            <w:tcBorders>
              <w:top w:val="nil"/>
              <w:left w:val="nil"/>
              <w:bottom w:val="single" w:sz="4" w:space="0" w:color="auto"/>
              <w:right w:val="single" w:sz="4" w:space="0" w:color="auto"/>
            </w:tcBorders>
            <w:shd w:val="clear" w:color="auto" w:fill="auto"/>
            <w:noWrap/>
            <w:vAlign w:val="bottom"/>
            <w:hideMark/>
          </w:tcPr>
          <w:p w14:paraId="126AFEB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5.000,00</w:t>
            </w:r>
          </w:p>
        </w:tc>
      </w:tr>
      <w:tr w:rsidR="00846ACC" w:rsidRPr="004974C0" w14:paraId="2F67E78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F65D92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A500004 Produženi boravak</w:t>
            </w:r>
          </w:p>
        </w:tc>
        <w:tc>
          <w:tcPr>
            <w:tcW w:w="1984" w:type="dxa"/>
            <w:tcBorders>
              <w:top w:val="nil"/>
              <w:left w:val="nil"/>
              <w:bottom w:val="single" w:sz="4" w:space="0" w:color="auto"/>
              <w:right w:val="single" w:sz="4" w:space="0" w:color="auto"/>
            </w:tcBorders>
            <w:shd w:val="clear" w:color="000000" w:fill="CCCCFF"/>
            <w:noWrap/>
            <w:vAlign w:val="bottom"/>
            <w:hideMark/>
          </w:tcPr>
          <w:p w14:paraId="5148B7E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DC534F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323.314,00</w:t>
            </w:r>
          </w:p>
        </w:tc>
        <w:tc>
          <w:tcPr>
            <w:tcW w:w="1843" w:type="dxa"/>
            <w:tcBorders>
              <w:top w:val="nil"/>
              <w:left w:val="nil"/>
              <w:bottom w:val="single" w:sz="4" w:space="0" w:color="auto"/>
              <w:right w:val="single" w:sz="4" w:space="0" w:color="auto"/>
            </w:tcBorders>
            <w:shd w:val="clear" w:color="000000" w:fill="CCCCFF"/>
            <w:noWrap/>
            <w:vAlign w:val="bottom"/>
            <w:hideMark/>
          </w:tcPr>
          <w:p w14:paraId="418D220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64.828,00</w:t>
            </w:r>
          </w:p>
        </w:tc>
        <w:tc>
          <w:tcPr>
            <w:tcW w:w="1559" w:type="dxa"/>
            <w:tcBorders>
              <w:top w:val="nil"/>
              <w:left w:val="nil"/>
              <w:bottom w:val="single" w:sz="4" w:space="0" w:color="auto"/>
              <w:right w:val="single" w:sz="4" w:space="0" w:color="auto"/>
            </w:tcBorders>
            <w:shd w:val="clear" w:color="000000" w:fill="CCCCFF"/>
            <w:noWrap/>
            <w:vAlign w:val="bottom"/>
            <w:hideMark/>
          </w:tcPr>
          <w:p w14:paraId="5E60033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20,05</w:t>
            </w:r>
          </w:p>
        </w:tc>
        <w:tc>
          <w:tcPr>
            <w:tcW w:w="1803" w:type="dxa"/>
            <w:tcBorders>
              <w:top w:val="nil"/>
              <w:left w:val="nil"/>
              <w:bottom w:val="single" w:sz="4" w:space="0" w:color="auto"/>
              <w:right w:val="single" w:sz="4" w:space="0" w:color="auto"/>
            </w:tcBorders>
            <w:shd w:val="clear" w:color="000000" w:fill="CCCCFF"/>
            <w:noWrap/>
            <w:vAlign w:val="bottom"/>
            <w:hideMark/>
          </w:tcPr>
          <w:p w14:paraId="2467710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388.142,00</w:t>
            </w:r>
          </w:p>
        </w:tc>
      </w:tr>
      <w:tr w:rsidR="00846ACC" w:rsidRPr="004974C0" w14:paraId="60E5A89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02A9CB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3DCAA41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2060C7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139.632,00</w:t>
            </w:r>
          </w:p>
        </w:tc>
        <w:tc>
          <w:tcPr>
            <w:tcW w:w="1843" w:type="dxa"/>
            <w:tcBorders>
              <w:top w:val="nil"/>
              <w:left w:val="nil"/>
              <w:bottom w:val="single" w:sz="4" w:space="0" w:color="auto"/>
              <w:right w:val="single" w:sz="4" w:space="0" w:color="auto"/>
            </w:tcBorders>
            <w:shd w:val="clear" w:color="000000" w:fill="FFFF99"/>
            <w:noWrap/>
            <w:vAlign w:val="bottom"/>
            <w:hideMark/>
          </w:tcPr>
          <w:p w14:paraId="5D19836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30.181,00</w:t>
            </w:r>
          </w:p>
        </w:tc>
        <w:tc>
          <w:tcPr>
            <w:tcW w:w="1559" w:type="dxa"/>
            <w:tcBorders>
              <w:top w:val="nil"/>
              <w:left w:val="nil"/>
              <w:bottom w:val="single" w:sz="4" w:space="0" w:color="auto"/>
              <w:right w:val="single" w:sz="4" w:space="0" w:color="auto"/>
            </w:tcBorders>
            <w:shd w:val="clear" w:color="000000" w:fill="FFFF99"/>
            <w:noWrap/>
            <w:vAlign w:val="bottom"/>
            <w:hideMark/>
          </w:tcPr>
          <w:p w14:paraId="36D2F38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21,61</w:t>
            </w:r>
          </w:p>
        </w:tc>
        <w:tc>
          <w:tcPr>
            <w:tcW w:w="1803" w:type="dxa"/>
            <w:tcBorders>
              <w:top w:val="nil"/>
              <w:left w:val="nil"/>
              <w:bottom w:val="single" w:sz="4" w:space="0" w:color="auto"/>
              <w:right w:val="single" w:sz="4" w:space="0" w:color="auto"/>
            </w:tcBorders>
            <w:shd w:val="clear" w:color="000000" w:fill="FFFF99"/>
            <w:noWrap/>
            <w:vAlign w:val="bottom"/>
            <w:hideMark/>
          </w:tcPr>
          <w:p w14:paraId="55D4D46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169.813,00</w:t>
            </w:r>
          </w:p>
        </w:tc>
      </w:tr>
      <w:tr w:rsidR="00846ACC" w:rsidRPr="004974C0" w14:paraId="2E3B4B1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581B10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B70286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8CB350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139.632,00</w:t>
            </w:r>
          </w:p>
        </w:tc>
        <w:tc>
          <w:tcPr>
            <w:tcW w:w="1843" w:type="dxa"/>
            <w:tcBorders>
              <w:top w:val="nil"/>
              <w:left w:val="nil"/>
              <w:bottom w:val="single" w:sz="4" w:space="0" w:color="auto"/>
              <w:right w:val="single" w:sz="4" w:space="0" w:color="auto"/>
            </w:tcBorders>
            <w:shd w:val="clear" w:color="auto" w:fill="auto"/>
            <w:noWrap/>
            <w:vAlign w:val="bottom"/>
            <w:hideMark/>
          </w:tcPr>
          <w:p w14:paraId="06BF766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30.181,00</w:t>
            </w:r>
          </w:p>
        </w:tc>
        <w:tc>
          <w:tcPr>
            <w:tcW w:w="1559" w:type="dxa"/>
            <w:tcBorders>
              <w:top w:val="nil"/>
              <w:left w:val="nil"/>
              <w:bottom w:val="single" w:sz="4" w:space="0" w:color="auto"/>
              <w:right w:val="single" w:sz="4" w:space="0" w:color="auto"/>
            </w:tcBorders>
            <w:shd w:val="clear" w:color="auto" w:fill="auto"/>
            <w:noWrap/>
            <w:vAlign w:val="bottom"/>
            <w:hideMark/>
          </w:tcPr>
          <w:p w14:paraId="7A2D8A0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21,61</w:t>
            </w:r>
          </w:p>
        </w:tc>
        <w:tc>
          <w:tcPr>
            <w:tcW w:w="1803" w:type="dxa"/>
            <w:tcBorders>
              <w:top w:val="nil"/>
              <w:left w:val="nil"/>
              <w:bottom w:val="single" w:sz="4" w:space="0" w:color="auto"/>
              <w:right w:val="single" w:sz="4" w:space="0" w:color="auto"/>
            </w:tcBorders>
            <w:shd w:val="clear" w:color="auto" w:fill="auto"/>
            <w:noWrap/>
            <w:vAlign w:val="bottom"/>
            <w:hideMark/>
          </w:tcPr>
          <w:p w14:paraId="40162FF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169.813,00</w:t>
            </w:r>
          </w:p>
        </w:tc>
      </w:tr>
      <w:tr w:rsidR="00846ACC" w:rsidRPr="004974C0" w14:paraId="20415C6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3BC467D"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58E8E56D"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79B6736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139.632,00</w:t>
            </w:r>
          </w:p>
        </w:tc>
        <w:tc>
          <w:tcPr>
            <w:tcW w:w="1843" w:type="dxa"/>
            <w:tcBorders>
              <w:top w:val="nil"/>
              <w:left w:val="nil"/>
              <w:bottom w:val="single" w:sz="4" w:space="0" w:color="auto"/>
              <w:right w:val="single" w:sz="4" w:space="0" w:color="auto"/>
            </w:tcBorders>
            <w:shd w:val="clear" w:color="auto" w:fill="auto"/>
            <w:noWrap/>
            <w:vAlign w:val="bottom"/>
            <w:hideMark/>
          </w:tcPr>
          <w:p w14:paraId="6775B9A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30.181,00</w:t>
            </w:r>
          </w:p>
        </w:tc>
        <w:tc>
          <w:tcPr>
            <w:tcW w:w="1559" w:type="dxa"/>
            <w:tcBorders>
              <w:top w:val="nil"/>
              <w:left w:val="nil"/>
              <w:bottom w:val="single" w:sz="4" w:space="0" w:color="auto"/>
              <w:right w:val="single" w:sz="4" w:space="0" w:color="auto"/>
            </w:tcBorders>
            <w:shd w:val="clear" w:color="auto" w:fill="auto"/>
            <w:noWrap/>
            <w:vAlign w:val="bottom"/>
            <w:hideMark/>
          </w:tcPr>
          <w:p w14:paraId="2A5F9B3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21,61</w:t>
            </w:r>
          </w:p>
        </w:tc>
        <w:tc>
          <w:tcPr>
            <w:tcW w:w="1803" w:type="dxa"/>
            <w:tcBorders>
              <w:top w:val="nil"/>
              <w:left w:val="nil"/>
              <w:bottom w:val="single" w:sz="4" w:space="0" w:color="auto"/>
              <w:right w:val="single" w:sz="4" w:space="0" w:color="auto"/>
            </w:tcBorders>
            <w:shd w:val="clear" w:color="auto" w:fill="auto"/>
            <w:noWrap/>
            <w:vAlign w:val="bottom"/>
            <w:hideMark/>
          </w:tcPr>
          <w:p w14:paraId="30D2C0F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169.813,00</w:t>
            </w:r>
          </w:p>
        </w:tc>
      </w:tr>
      <w:tr w:rsidR="00846ACC" w:rsidRPr="004974C0" w14:paraId="52AC88C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0681EC3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4.9. 4.PRIHODI ZA POSEBNE NAMJENE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415031A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C8CCF0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125.080,00</w:t>
            </w:r>
          </w:p>
        </w:tc>
        <w:tc>
          <w:tcPr>
            <w:tcW w:w="1843" w:type="dxa"/>
            <w:tcBorders>
              <w:top w:val="nil"/>
              <w:left w:val="nil"/>
              <w:bottom w:val="single" w:sz="4" w:space="0" w:color="auto"/>
              <w:right w:val="single" w:sz="4" w:space="0" w:color="auto"/>
            </w:tcBorders>
            <w:shd w:val="clear" w:color="000000" w:fill="FFFF99"/>
            <w:noWrap/>
            <w:vAlign w:val="bottom"/>
            <w:hideMark/>
          </w:tcPr>
          <w:p w14:paraId="00EFC5D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16.842,00</w:t>
            </w:r>
          </w:p>
        </w:tc>
        <w:tc>
          <w:tcPr>
            <w:tcW w:w="1559" w:type="dxa"/>
            <w:tcBorders>
              <w:top w:val="nil"/>
              <w:left w:val="nil"/>
              <w:bottom w:val="single" w:sz="4" w:space="0" w:color="auto"/>
              <w:right w:val="single" w:sz="4" w:space="0" w:color="auto"/>
            </w:tcBorders>
            <w:shd w:val="clear" w:color="000000" w:fill="FFFF99"/>
            <w:noWrap/>
            <w:vAlign w:val="bottom"/>
            <w:hideMark/>
          </w:tcPr>
          <w:p w14:paraId="0986AC9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13,46</w:t>
            </w:r>
          </w:p>
        </w:tc>
        <w:tc>
          <w:tcPr>
            <w:tcW w:w="1803" w:type="dxa"/>
            <w:tcBorders>
              <w:top w:val="nil"/>
              <w:left w:val="nil"/>
              <w:bottom w:val="single" w:sz="4" w:space="0" w:color="auto"/>
              <w:right w:val="single" w:sz="4" w:space="0" w:color="auto"/>
            </w:tcBorders>
            <w:shd w:val="clear" w:color="000000" w:fill="FFFF99"/>
            <w:noWrap/>
            <w:vAlign w:val="bottom"/>
            <w:hideMark/>
          </w:tcPr>
          <w:p w14:paraId="0E97052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141.922,00</w:t>
            </w:r>
          </w:p>
        </w:tc>
      </w:tr>
      <w:tr w:rsidR="00846ACC" w:rsidRPr="004974C0" w14:paraId="39D0675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008554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ABC8D9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E918D6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125.080,00</w:t>
            </w:r>
          </w:p>
        </w:tc>
        <w:tc>
          <w:tcPr>
            <w:tcW w:w="1843" w:type="dxa"/>
            <w:tcBorders>
              <w:top w:val="nil"/>
              <w:left w:val="nil"/>
              <w:bottom w:val="single" w:sz="4" w:space="0" w:color="auto"/>
              <w:right w:val="single" w:sz="4" w:space="0" w:color="auto"/>
            </w:tcBorders>
            <w:shd w:val="clear" w:color="auto" w:fill="auto"/>
            <w:noWrap/>
            <w:vAlign w:val="bottom"/>
            <w:hideMark/>
          </w:tcPr>
          <w:p w14:paraId="40EBCD8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16.842,00</w:t>
            </w:r>
          </w:p>
        </w:tc>
        <w:tc>
          <w:tcPr>
            <w:tcW w:w="1559" w:type="dxa"/>
            <w:tcBorders>
              <w:top w:val="nil"/>
              <w:left w:val="nil"/>
              <w:bottom w:val="single" w:sz="4" w:space="0" w:color="auto"/>
              <w:right w:val="single" w:sz="4" w:space="0" w:color="auto"/>
            </w:tcBorders>
            <w:shd w:val="clear" w:color="auto" w:fill="auto"/>
            <w:noWrap/>
            <w:vAlign w:val="bottom"/>
            <w:hideMark/>
          </w:tcPr>
          <w:p w14:paraId="313813E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13,46</w:t>
            </w:r>
          </w:p>
        </w:tc>
        <w:tc>
          <w:tcPr>
            <w:tcW w:w="1803" w:type="dxa"/>
            <w:tcBorders>
              <w:top w:val="nil"/>
              <w:left w:val="nil"/>
              <w:bottom w:val="single" w:sz="4" w:space="0" w:color="auto"/>
              <w:right w:val="single" w:sz="4" w:space="0" w:color="auto"/>
            </w:tcBorders>
            <w:shd w:val="clear" w:color="auto" w:fill="auto"/>
            <w:noWrap/>
            <w:vAlign w:val="bottom"/>
            <w:hideMark/>
          </w:tcPr>
          <w:p w14:paraId="4F603B5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141.922,00</w:t>
            </w:r>
          </w:p>
        </w:tc>
      </w:tr>
      <w:tr w:rsidR="00846ACC" w:rsidRPr="004974C0" w14:paraId="1567761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B1886EA"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46FC757B"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5E33CB8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30.420,00</w:t>
            </w:r>
          </w:p>
        </w:tc>
        <w:tc>
          <w:tcPr>
            <w:tcW w:w="1843" w:type="dxa"/>
            <w:tcBorders>
              <w:top w:val="nil"/>
              <w:left w:val="nil"/>
              <w:bottom w:val="single" w:sz="4" w:space="0" w:color="auto"/>
              <w:right w:val="single" w:sz="4" w:space="0" w:color="auto"/>
            </w:tcBorders>
            <w:shd w:val="clear" w:color="auto" w:fill="auto"/>
            <w:noWrap/>
            <w:vAlign w:val="bottom"/>
            <w:hideMark/>
          </w:tcPr>
          <w:p w14:paraId="041487D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-520,00</w:t>
            </w:r>
          </w:p>
        </w:tc>
        <w:tc>
          <w:tcPr>
            <w:tcW w:w="1559" w:type="dxa"/>
            <w:tcBorders>
              <w:top w:val="nil"/>
              <w:left w:val="nil"/>
              <w:bottom w:val="single" w:sz="4" w:space="0" w:color="auto"/>
              <w:right w:val="single" w:sz="4" w:space="0" w:color="auto"/>
            </w:tcBorders>
            <w:shd w:val="clear" w:color="auto" w:fill="auto"/>
            <w:noWrap/>
            <w:vAlign w:val="bottom"/>
            <w:hideMark/>
          </w:tcPr>
          <w:p w14:paraId="22ACE02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-1,71</w:t>
            </w:r>
          </w:p>
        </w:tc>
        <w:tc>
          <w:tcPr>
            <w:tcW w:w="1803" w:type="dxa"/>
            <w:tcBorders>
              <w:top w:val="nil"/>
              <w:left w:val="nil"/>
              <w:bottom w:val="single" w:sz="4" w:space="0" w:color="auto"/>
              <w:right w:val="single" w:sz="4" w:space="0" w:color="auto"/>
            </w:tcBorders>
            <w:shd w:val="clear" w:color="auto" w:fill="auto"/>
            <w:noWrap/>
            <w:vAlign w:val="bottom"/>
            <w:hideMark/>
          </w:tcPr>
          <w:p w14:paraId="5D1F50B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29.900,00</w:t>
            </w:r>
          </w:p>
        </w:tc>
      </w:tr>
      <w:tr w:rsidR="00846ACC" w:rsidRPr="004974C0" w14:paraId="06DDD94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D28FC89"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686CDA80"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3074C5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94.660,00</w:t>
            </w:r>
          </w:p>
        </w:tc>
        <w:tc>
          <w:tcPr>
            <w:tcW w:w="1843" w:type="dxa"/>
            <w:tcBorders>
              <w:top w:val="nil"/>
              <w:left w:val="nil"/>
              <w:bottom w:val="single" w:sz="4" w:space="0" w:color="auto"/>
              <w:right w:val="single" w:sz="4" w:space="0" w:color="auto"/>
            </w:tcBorders>
            <w:shd w:val="clear" w:color="auto" w:fill="auto"/>
            <w:noWrap/>
            <w:vAlign w:val="bottom"/>
            <w:hideMark/>
          </w:tcPr>
          <w:p w14:paraId="3A07CE3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17.362,00</w:t>
            </w:r>
          </w:p>
        </w:tc>
        <w:tc>
          <w:tcPr>
            <w:tcW w:w="1559" w:type="dxa"/>
            <w:tcBorders>
              <w:top w:val="nil"/>
              <w:left w:val="nil"/>
              <w:bottom w:val="single" w:sz="4" w:space="0" w:color="auto"/>
              <w:right w:val="single" w:sz="4" w:space="0" w:color="auto"/>
            </w:tcBorders>
            <w:shd w:val="clear" w:color="auto" w:fill="auto"/>
            <w:noWrap/>
            <w:vAlign w:val="bottom"/>
            <w:hideMark/>
          </w:tcPr>
          <w:p w14:paraId="587FDBF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18,34</w:t>
            </w:r>
          </w:p>
        </w:tc>
        <w:tc>
          <w:tcPr>
            <w:tcW w:w="1803" w:type="dxa"/>
            <w:tcBorders>
              <w:top w:val="nil"/>
              <w:left w:val="nil"/>
              <w:bottom w:val="single" w:sz="4" w:space="0" w:color="auto"/>
              <w:right w:val="single" w:sz="4" w:space="0" w:color="auto"/>
            </w:tcBorders>
            <w:shd w:val="clear" w:color="auto" w:fill="auto"/>
            <w:noWrap/>
            <w:vAlign w:val="bottom"/>
            <w:hideMark/>
          </w:tcPr>
          <w:p w14:paraId="3C2587F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112.022,00</w:t>
            </w:r>
          </w:p>
        </w:tc>
      </w:tr>
      <w:tr w:rsidR="00846ACC" w:rsidRPr="004974C0" w14:paraId="3F6B831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07E5951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0D958FD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DBAED1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58.602,00</w:t>
            </w:r>
          </w:p>
        </w:tc>
        <w:tc>
          <w:tcPr>
            <w:tcW w:w="1843" w:type="dxa"/>
            <w:tcBorders>
              <w:top w:val="nil"/>
              <w:left w:val="nil"/>
              <w:bottom w:val="single" w:sz="4" w:space="0" w:color="auto"/>
              <w:right w:val="single" w:sz="4" w:space="0" w:color="auto"/>
            </w:tcBorders>
            <w:shd w:val="clear" w:color="000000" w:fill="FFFF99"/>
            <w:noWrap/>
            <w:vAlign w:val="bottom"/>
            <w:hideMark/>
          </w:tcPr>
          <w:p w14:paraId="47264C9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17.805,00</w:t>
            </w:r>
          </w:p>
        </w:tc>
        <w:tc>
          <w:tcPr>
            <w:tcW w:w="1559" w:type="dxa"/>
            <w:tcBorders>
              <w:top w:val="nil"/>
              <w:left w:val="nil"/>
              <w:bottom w:val="single" w:sz="4" w:space="0" w:color="auto"/>
              <w:right w:val="single" w:sz="4" w:space="0" w:color="auto"/>
            </w:tcBorders>
            <w:shd w:val="clear" w:color="000000" w:fill="FFFF99"/>
            <w:noWrap/>
            <w:vAlign w:val="bottom"/>
            <w:hideMark/>
          </w:tcPr>
          <w:p w14:paraId="23562B4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30,38</w:t>
            </w:r>
          </w:p>
        </w:tc>
        <w:tc>
          <w:tcPr>
            <w:tcW w:w="1803" w:type="dxa"/>
            <w:tcBorders>
              <w:top w:val="nil"/>
              <w:left w:val="nil"/>
              <w:bottom w:val="single" w:sz="4" w:space="0" w:color="auto"/>
              <w:right w:val="single" w:sz="4" w:space="0" w:color="auto"/>
            </w:tcBorders>
            <w:shd w:val="clear" w:color="000000" w:fill="FFFF99"/>
            <w:noWrap/>
            <w:vAlign w:val="bottom"/>
            <w:hideMark/>
          </w:tcPr>
          <w:p w14:paraId="3BC63EF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76.407,00</w:t>
            </w:r>
          </w:p>
        </w:tc>
      </w:tr>
      <w:tr w:rsidR="00846ACC" w:rsidRPr="004974C0" w14:paraId="175A183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A90197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52EA2F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92F577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58.602,00</w:t>
            </w:r>
          </w:p>
        </w:tc>
        <w:tc>
          <w:tcPr>
            <w:tcW w:w="1843" w:type="dxa"/>
            <w:tcBorders>
              <w:top w:val="nil"/>
              <w:left w:val="nil"/>
              <w:bottom w:val="single" w:sz="4" w:space="0" w:color="auto"/>
              <w:right w:val="single" w:sz="4" w:space="0" w:color="auto"/>
            </w:tcBorders>
            <w:shd w:val="clear" w:color="auto" w:fill="auto"/>
            <w:noWrap/>
            <w:vAlign w:val="bottom"/>
            <w:hideMark/>
          </w:tcPr>
          <w:p w14:paraId="783B59B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17.805,00</w:t>
            </w:r>
          </w:p>
        </w:tc>
        <w:tc>
          <w:tcPr>
            <w:tcW w:w="1559" w:type="dxa"/>
            <w:tcBorders>
              <w:top w:val="nil"/>
              <w:left w:val="nil"/>
              <w:bottom w:val="single" w:sz="4" w:space="0" w:color="auto"/>
              <w:right w:val="single" w:sz="4" w:space="0" w:color="auto"/>
            </w:tcBorders>
            <w:shd w:val="clear" w:color="auto" w:fill="auto"/>
            <w:noWrap/>
            <w:vAlign w:val="bottom"/>
            <w:hideMark/>
          </w:tcPr>
          <w:p w14:paraId="17EE2B2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30,38</w:t>
            </w:r>
          </w:p>
        </w:tc>
        <w:tc>
          <w:tcPr>
            <w:tcW w:w="1803" w:type="dxa"/>
            <w:tcBorders>
              <w:top w:val="nil"/>
              <w:left w:val="nil"/>
              <w:bottom w:val="single" w:sz="4" w:space="0" w:color="auto"/>
              <w:right w:val="single" w:sz="4" w:space="0" w:color="auto"/>
            </w:tcBorders>
            <w:shd w:val="clear" w:color="auto" w:fill="auto"/>
            <w:noWrap/>
            <w:vAlign w:val="bottom"/>
            <w:hideMark/>
          </w:tcPr>
          <w:p w14:paraId="26FB723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76.407,00</w:t>
            </w:r>
          </w:p>
        </w:tc>
      </w:tr>
      <w:tr w:rsidR="00846ACC" w:rsidRPr="004974C0" w14:paraId="42CC05F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65F4367"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3FA9AF51"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6BB79BA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57.990,00</w:t>
            </w:r>
          </w:p>
        </w:tc>
        <w:tc>
          <w:tcPr>
            <w:tcW w:w="1843" w:type="dxa"/>
            <w:tcBorders>
              <w:top w:val="nil"/>
              <w:left w:val="nil"/>
              <w:bottom w:val="single" w:sz="4" w:space="0" w:color="auto"/>
              <w:right w:val="single" w:sz="4" w:space="0" w:color="auto"/>
            </w:tcBorders>
            <w:shd w:val="clear" w:color="auto" w:fill="auto"/>
            <w:noWrap/>
            <w:vAlign w:val="bottom"/>
            <w:hideMark/>
          </w:tcPr>
          <w:p w14:paraId="7DDB3EB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17.567,00</w:t>
            </w:r>
          </w:p>
        </w:tc>
        <w:tc>
          <w:tcPr>
            <w:tcW w:w="1559" w:type="dxa"/>
            <w:tcBorders>
              <w:top w:val="nil"/>
              <w:left w:val="nil"/>
              <w:bottom w:val="single" w:sz="4" w:space="0" w:color="auto"/>
              <w:right w:val="single" w:sz="4" w:space="0" w:color="auto"/>
            </w:tcBorders>
            <w:shd w:val="clear" w:color="auto" w:fill="auto"/>
            <w:noWrap/>
            <w:vAlign w:val="bottom"/>
            <w:hideMark/>
          </w:tcPr>
          <w:p w14:paraId="5F01E5C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30,29</w:t>
            </w:r>
          </w:p>
        </w:tc>
        <w:tc>
          <w:tcPr>
            <w:tcW w:w="1803" w:type="dxa"/>
            <w:tcBorders>
              <w:top w:val="nil"/>
              <w:left w:val="nil"/>
              <w:bottom w:val="single" w:sz="4" w:space="0" w:color="auto"/>
              <w:right w:val="single" w:sz="4" w:space="0" w:color="auto"/>
            </w:tcBorders>
            <w:shd w:val="clear" w:color="auto" w:fill="auto"/>
            <w:noWrap/>
            <w:vAlign w:val="bottom"/>
            <w:hideMark/>
          </w:tcPr>
          <w:p w14:paraId="66D98B9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75.557,00</w:t>
            </w:r>
          </w:p>
        </w:tc>
      </w:tr>
      <w:tr w:rsidR="00846ACC" w:rsidRPr="004974C0" w14:paraId="229E402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80D3809"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E2B754F"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440087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612,00</w:t>
            </w:r>
          </w:p>
        </w:tc>
        <w:tc>
          <w:tcPr>
            <w:tcW w:w="1843" w:type="dxa"/>
            <w:tcBorders>
              <w:top w:val="nil"/>
              <w:left w:val="nil"/>
              <w:bottom w:val="single" w:sz="4" w:space="0" w:color="auto"/>
              <w:right w:val="single" w:sz="4" w:space="0" w:color="auto"/>
            </w:tcBorders>
            <w:shd w:val="clear" w:color="auto" w:fill="auto"/>
            <w:noWrap/>
            <w:vAlign w:val="bottom"/>
            <w:hideMark/>
          </w:tcPr>
          <w:p w14:paraId="279213A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238,00</w:t>
            </w:r>
          </w:p>
        </w:tc>
        <w:tc>
          <w:tcPr>
            <w:tcW w:w="1559" w:type="dxa"/>
            <w:tcBorders>
              <w:top w:val="nil"/>
              <w:left w:val="nil"/>
              <w:bottom w:val="single" w:sz="4" w:space="0" w:color="auto"/>
              <w:right w:val="single" w:sz="4" w:space="0" w:color="auto"/>
            </w:tcBorders>
            <w:shd w:val="clear" w:color="auto" w:fill="auto"/>
            <w:noWrap/>
            <w:vAlign w:val="bottom"/>
            <w:hideMark/>
          </w:tcPr>
          <w:p w14:paraId="2A09A82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38,89</w:t>
            </w:r>
          </w:p>
        </w:tc>
        <w:tc>
          <w:tcPr>
            <w:tcW w:w="1803" w:type="dxa"/>
            <w:tcBorders>
              <w:top w:val="nil"/>
              <w:left w:val="nil"/>
              <w:bottom w:val="single" w:sz="4" w:space="0" w:color="auto"/>
              <w:right w:val="single" w:sz="4" w:space="0" w:color="auto"/>
            </w:tcBorders>
            <w:shd w:val="clear" w:color="auto" w:fill="auto"/>
            <w:noWrap/>
            <w:vAlign w:val="bottom"/>
            <w:hideMark/>
          </w:tcPr>
          <w:p w14:paraId="4F84542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850,00</w:t>
            </w:r>
          </w:p>
        </w:tc>
      </w:tr>
      <w:tr w:rsidR="00846ACC" w:rsidRPr="004974C0" w14:paraId="00FF8870"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C0FF10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A500005 Dodatne aktivnosti učenika i osoblja u školi</w:t>
            </w:r>
          </w:p>
        </w:tc>
        <w:tc>
          <w:tcPr>
            <w:tcW w:w="1984" w:type="dxa"/>
            <w:tcBorders>
              <w:top w:val="nil"/>
              <w:left w:val="nil"/>
              <w:bottom w:val="single" w:sz="4" w:space="0" w:color="auto"/>
              <w:right w:val="single" w:sz="4" w:space="0" w:color="auto"/>
            </w:tcBorders>
            <w:shd w:val="clear" w:color="000000" w:fill="CCCCFF"/>
            <w:noWrap/>
            <w:vAlign w:val="bottom"/>
            <w:hideMark/>
          </w:tcPr>
          <w:p w14:paraId="7A9EAA1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33EFA9D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51.040,00</w:t>
            </w:r>
          </w:p>
        </w:tc>
        <w:tc>
          <w:tcPr>
            <w:tcW w:w="1843" w:type="dxa"/>
            <w:tcBorders>
              <w:top w:val="nil"/>
              <w:left w:val="nil"/>
              <w:bottom w:val="single" w:sz="4" w:space="0" w:color="auto"/>
              <w:right w:val="single" w:sz="4" w:space="0" w:color="auto"/>
            </w:tcBorders>
            <w:shd w:val="clear" w:color="000000" w:fill="CCCCFF"/>
            <w:noWrap/>
            <w:vAlign w:val="bottom"/>
            <w:hideMark/>
          </w:tcPr>
          <w:p w14:paraId="0C54730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-3.235,00</w:t>
            </w:r>
          </w:p>
        </w:tc>
        <w:tc>
          <w:tcPr>
            <w:tcW w:w="1559" w:type="dxa"/>
            <w:tcBorders>
              <w:top w:val="nil"/>
              <w:left w:val="nil"/>
              <w:bottom w:val="single" w:sz="4" w:space="0" w:color="auto"/>
              <w:right w:val="single" w:sz="4" w:space="0" w:color="auto"/>
            </w:tcBorders>
            <w:shd w:val="clear" w:color="000000" w:fill="CCCCFF"/>
            <w:noWrap/>
            <w:vAlign w:val="bottom"/>
            <w:hideMark/>
          </w:tcPr>
          <w:p w14:paraId="1ECCC08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-6,34</w:t>
            </w:r>
          </w:p>
        </w:tc>
        <w:tc>
          <w:tcPr>
            <w:tcW w:w="1803" w:type="dxa"/>
            <w:tcBorders>
              <w:top w:val="nil"/>
              <w:left w:val="nil"/>
              <w:bottom w:val="single" w:sz="4" w:space="0" w:color="auto"/>
              <w:right w:val="single" w:sz="4" w:space="0" w:color="auto"/>
            </w:tcBorders>
            <w:shd w:val="clear" w:color="000000" w:fill="CCCCFF"/>
            <w:noWrap/>
            <w:vAlign w:val="bottom"/>
            <w:hideMark/>
          </w:tcPr>
          <w:p w14:paraId="3003131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47.805,00</w:t>
            </w:r>
          </w:p>
        </w:tc>
      </w:tr>
      <w:tr w:rsidR="00846ACC" w:rsidRPr="004974C0" w14:paraId="57551A3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621DD9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3C3DFC5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10558F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670,00</w:t>
            </w:r>
          </w:p>
        </w:tc>
        <w:tc>
          <w:tcPr>
            <w:tcW w:w="1843" w:type="dxa"/>
            <w:tcBorders>
              <w:top w:val="nil"/>
              <w:left w:val="nil"/>
              <w:bottom w:val="single" w:sz="4" w:space="0" w:color="auto"/>
              <w:right w:val="single" w:sz="4" w:space="0" w:color="auto"/>
            </w:tcBorders>
            <w:shd w:val="clear" w:color="000000" w:fill="FFFF99"/>
            <w:noWrap/>
            <w:vAlign w:val="bottom"/>
            <w:hideMark/>
          </w:tcPr>
          <w:p w14:paraId="3531BAC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330,00</w:t>
            </w:r>
          </w:p>
        </w:tc>
        <w:tc>
          <w:tcPr>
            <w:tcW w:w="1559" w:type="dxa"/>
            <w:tcBorders>
              <w:top w:val="nil"/>
              <w:left w:val="nil"/>
              <w:bottom w:val="single" w:sz="4" w:space="0" w:color="auto"/>
              <w:right w:val="single" w:sz="4" w:space="0" w:color="auto"/>
            </w:tcBorders>
            <w:shd w:val="clear" w:color="000000" w:fill="FFFF99"/>
            <w:noWrap/>
            <w:vAlign w:val="bottom"/>
            <w:hideMark/>
          </w:tcPr>
          <w:p w14:paraId="4FD7BBC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49,25</w:t>
            </w:r>
          </w:p>
        </w:tc>
        <w:tc>
          <w:tcPr>
            <w:tcW w:w="1803" w:type="dxa"/>
            <w:tcBorders>
              <w:top w:val="nil"/>
              <w:left w:val="nil"/>
              <w:bottom w:val="single" w:sz="4" w:space="0" w:color="auto"/>
              <w:right w:val="single" w:sz="4" w:space="0" w:color="auto"/>
            </w:tcBorders>
            <w:shd w:val="clear" w:color="000000" w:fill="FFFF99"/>
            <w:noWrap/>
            <w:vAlign w:val="bottom"/>
            <w:hideMark/>
          </w:tcPr>
          <w:p w14:paraId="224BF72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r>
      <w:tr w:rsidR="00846ACC" w:rsidRPr="004974C0" w14:paraId="117933D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6DB664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9F08C4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7C41BC9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670,00</w:t>
            </w:r>
          </w:p>
        </w:tc>
        <w:tc>
          <w:tcPr>
            <w:tcW w:w="1843" w:type="dxa"/>
            <w:tcBorders>
              <w:top w:val="nil"/>
              <w:left w:val="nil"/>
              <w:bottom w:val="single" w:sz="4" w:space="0" w:color="auto"/>
              <w:right w:val="single" w:sz="4" w:space="0" w:color="auto"/>
            </w:tcBorders>
            <w:shd w:val="clear" w:color="auto" w:fill="auto"/>
            <w:noWrap/>
            <w:vAlign w:val="bottom"/>
            <w:hideMark/>
          </w:tcPr>
          <w:p w14:paraId="00EC7C9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330,00</w:t>
            </w:r>
          </w:p>
        </w:tc>
        <w:tc>
          <w:tcPr>
            <w:tcW w:w="1559" w:type="dxa"/>
            <w:tcBorders>
              <w:top w:val="nil"/>
              <w:left w:val="nil"/>
              <w:bottom w:val="single" w:sz="4" w:space="0" w:color="auto"/>
              <w:right w:val="single" w:sz="4" w:space="0" w:color="auto"/>
            </w:tcBorders>
            <w:shd w:val="clear" w:color="auto" w:fill="auto"/>
            <w:noWrap/>
            <w:vAlign w:val="bottom"/>
            <w:hideMark/>
          </w:tcPr>
          <w:p w14:paraId="0B748C6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49,25</w:t>
            </w:r>
          </w:p>
        </w:tc>
        <w:tc>
          <w:tcPr>
            <w:tcW w:w="1803" w:type="dxa"/>
            <w:tcBorders>
              <w:top w:val="nil"/>
              <w:left w:val="nil"/>
              <w:bottom w:val="single" w:sz="4" w:space="0" w:color="auto"/>
              <w:right w:val="single" w:sz="4" w:space="0" w:color="auto"/>
            </w:tcBorders>
            <w:shd w:val="clear" w:color="auto" w:fill="auto"/>
            <w:noWrap/>
            <w:vAlign w:val="bottom"/>
            <w:hideMark/>
          </w:tcPr>
          <w:p w14:paraId="113AA28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r>
      <w:tr w:rsidR="00846ACC" w:rsidRPr="004974C0" w14:paraId="5BAE68D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1C5F8A2"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2E05247"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2C153E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670,00</w:t>
            </w:r>
          </w:p>
        </w:tc>
        <w:tc>
          <w:tcPr>
            <w:tcW w:w="1843" w:type="dxa"/>
            <w:tcBorders>
              <w:top w:val="nil"/>
              <w:left w:val="nil"/>
              <w:bottom w:val="single" w:sz="4" w:space="0" w:color="auto"/>
              <w:right w:val="single" w:sz="4" w:space="0" w:color="auto"/>
            </w:tcBorders>
            <w:shd w:val="clear" w:color="auto" w:fill="auto"/>
            <w:noWrap/>
            <w:vAlign w:val="bottom"/>
            <w:hideMark/>
          </w:tcPr>
          <w:p w14:paraId="4DBD4E5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330,00</w:t>
            </w:r>
          </w:p>
        </w:tc>
        <w:tc>
          <w:tcPr>
            <w:tcW w:w="1559" w:type="dxa"/>
            <w:tcBorders>
              <w:top w:val="nil"/>
              <w:left w:val="nil"/>
              <w:bottom w:val="single" w:sz="4" w:space="0" w:color="auto"/>
              <w:right w:val="single" w:sz="4" w:space="0" w:color="auto"/>
            </w:tcBorders>
            <w:shd w:val="clear" w:color="auto" w:fill="auto"/>
            <w:noWrap/>
            <w:vAlign w:val="bottom"/>
            <w:hideMark/>
          </w:tcPr>
          <w:p w14:paraId="72723B2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49,25</w:t>
            </w:r>
          </w:p>
        </w:tc>
        <w:tc>
          <w:tcPr>
            <w:tcW w:w="1803" w:type="dxa"/>
            <w:tcBorders>
              <w:top w:val="nil"/>
              <w:left w:val="nil"/>
              <w:bottom w:val="single" w:sz="4" w:space="0" w:color="auto"/>
              <w:right w:val="single" w:sz="4" w:space="0" w:color="auto"/>
            </w:tcBorders>
            <w:shd w:val="clear" w:color="auto" w:fill="auto"/>
            <w:noWrap/>
            <w:vAlign w:val="bottom"/>
            <w:hideMark/>
          </w:tcPr>
          <w:p w14:paraId="2353AA0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r>
      <w:tr w:rsidR="00846ACC" w:rsidRPr="004974C0" w14:paraId="044D6CA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CF8F6F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0626588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81F699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50.370,00</w:t>
            </w:r>
          </w:p>
        </w:tc>
        <w:tc>
          <w:tcPr>
            <w:tcW w:w="1843" w:type="dxa"/>
            <w:tcBorders>
              <w:top w:val="nil"/>
              <w:left w:val="nil"/>
              <w:bottom w:val="single" w:sz="4" w:space="0" w:color="auto"/>
              <w:right w:val="single" w:sz="4" w:space="0" w:color="auto"/>
            </w:tcBorders>
            <w:shd w:val="clear" w:color="000000" w:fill="FFFF99"/>
            <w:noWrap/>
            <w:vAlign w:val="bottom"/>
            <w:hideMark/>
          </w:tcPr>
          <w:p w14:paraId="3821CBC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-3.565,00</w:t>
            </w:r>
          </w:p>
        </w:tc>
        <w:tc>
          <w:tcPr>
            <w:tcW w:w="1559" w:type="dxa"/>
            <w:tcBorders>
              <w:top w:val="nil"/>
              <w:left w:val="nil"/>
              <w:bottom w:val="single" w:sz="4" w:space="0" w:color="auto"/>
              <w:right w:val="single" w:sz="4" w:space="0" w:color="auto"/>
            </w:tcBorders>
            <w:shd w:val="clear" w:color="000000" w:fill="FFFF99"/>
            <w:noWrap/>
            <w:vAlign w:val="bottom"/>
            <w:hideMark/>
          </w:tcPr>
          <w:p w14:paraId="03942F1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-7,08</w:t>
            </w:r>
          </w:p>
        </w:tc>
        <w:tc>
          <w:tcPr>
            <w:tcW w:w="1803" w:type="dxa"/>
            <w:tcBorders>
              <w:top w:val="nil"/>
              <w:left w:val="nil"/>
              <w:bottom w:val="single" w:sz="4" w:space="0" w:color="auto"/>
              <w:right w:val="single" w:sz="4" w:space="0" w:color="auto"/>
            </w:tcBorders>
            <w:shd w:val="clear" w:color="000000" w:fill="FFFF99"/>
            <w:noWrap/>
            <w:vAlign w:val="bottom"/>
            <w:hideMark/>
          </w:tcPr>
          <w:p w14:paraId="66DE96D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46.805,00</w:t>
            </w:r>
          </w:p>
        </w:tc>
      </w:tr>
      <w:tr w:rsidR="00846ACC" w:rsidRPr="004974C0" w14:paraId="44E1837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94E258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601696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F348BD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19.700,00</w:t>
            </w:r>
          </w:p>
        </w:tc>
        <w:tc>
          <w:tcPr>
            <w:tcW w:w="1843" w:type="dxa"/>
            <w:tcBorders>
              <w:top w:val="nil"/>
              <w:left w:val="nil"/>
              <w:bottom w:val="single" w:sz="4" w:space="0" w:color="auto"/>
              <w:right w:val="single" w:sz="4" w:space="0" w:color="auto"/>
            </w:tcBorders>
            <w:shd w:val="clear" w:color="auto" w:fill="auto"/>
            <w:noWrap/>
            <w:vAlign w:val="bottom"/>
            <w:hideMark/>
          </w:tcPr>
          <w:p w14:paraId="4DE4F27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-3.895,00</w:t>
            </w:r>
          </w:p>
        </w:tc>
        <w:tc>
          <w:tcPr>
            <w:tcW w:w="1559" w:type="dxa"/>
            <w:tcBorders>
              <w:top w:val="nil"/>
              <w:left w:val="nil"/>
              <w:bottom w:val="single" w:sz="4" w:space="0" w:color="auto"/>
              <w:right w:val="single" w:sz="4" w:space="0" w:color="auto"/>
            </w:tcBorders>
            <w:shd w:val="clear" w:color="auto" w:fill="auto"/>
            <w:noWrap/>
            <w:vAlign w:val="bottom"/>
            <w:hideMark/>
          </w:tcPr>
          <w:p w14:paraId="6336D71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-19,77</w:t>
            </w:r>
          </w:p>
        </w:tc>
        <w:tc>
          <w:tcPr>
            <w:tcW w:w="1803" w:type="dxa"/>
            <w:tcBorders>
              <w:top w:val="nil"/>
              <w:left w:val="nil"/>
              <w:bottom w:val="single" w:sz="4" w:space="0" w:color="auto"/>
              <w:right w:val="single" w:sz="4" w:space="0" w:color="auto"/>
            </w:tcBorders>
            <w:shd w:val="clear" w:color="auto" w:fill="auto"/>
            <w:noWrap/>
            <w:vAlign w:val="bottom"/>
            <w:hideMark/>
          </w:tcPr>
          <w:p w14:paraId="49E72E2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15.805,00</w:t>
            </w:r>
          </w:p>
        </w:tc>
      </w:tr>
      <w:tr w:rsidR="00846ACC" w:rsidRPr="004974C0" w14:paraId="68D91C1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A7DB0D8"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62F619EB"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164D493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DFE1AE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1.035,00</w:t>
            </w:r>
          </w:p>
        </w:tc>
        <w:tc>
          <w:tcPr>
            <w:tcW w:w="1559" w:type="dxa"/>
            <w:tcBorders>
              <w:top w:val="nil"/>
              <w:left w:val="nil"/>
              <w:bottom w:val="single" w:sz="4" w:space="0" w:color="auto"/>
              <w:right w:val="single" w:sz="4" w:space="0" w:color="auto"/>
            </w:tcBorders>
            <w:shd w:val="clear" w:color="auto" w:fill="auto"/>
            <w:noWrap/>
            <w:vAlign w:val="bottom"/>
            <w:hideMark/>
          </w:tcPr>
          <w:p w14:paraId="085A963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1641795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1.035,00</w:t>
            </w:r>
          </w:p>
        </w:tc>
      </w:tr>
      <w:tr w:rsidR="00846ACC" w:rsidRPr="004974C0" w14:paraId="211C628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C180A4D"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71502BA6"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BA76CE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9.700,00</w:t>
            </w:r>
          </w:p>
        </w:tc>
        <w:tc>
          <w:tcPr>
            <w:tcW w:w="1843" w:type="dxa"/>
            <w:tcBorders>
              <w:top w:val="nil"/>
              <w:left w:val="nil"/>
              <w:bottom w:val="single" w:sz="4" w:space="0" w:color="auto"/>
              <w:right w:val="single" w:sz="4" w:space="0" w:color="auto"/>
            </w:tcBorders>
            <w:shd w:val="clear" w:color="auto" w:fill="auto"/>
            <w:noWrap/>
            <w:vAlign w:val="bottom"/>
            <w:hideMark/>
          </w:tcPr>
          <w:p w14:paraId="510A900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-4.930,00</w:t>
            </w:r>
          </w:p>
        </w:tc>
        <w:tc>
          <w:tcPr>
            <w:tcW w:w="1559" w:type="dxa"/>
            <w:tcBorders>
              <w:top w:val="nil"/>
              <w:left w:val="nil"/>
              <w:bottom w:val="single" w:sz="4" w:space="0" w:color="auto"/>
              <w:right w:val="single" w:sz="4" w:space="0" w:color="auto"/>
            </w:tcBorders>
            <w:shd w:val="clear" w:color="auto" w:fill="auto"/>
            <w:noWrap/>
            <w:vAlign w:val="bottom"/>
            <w:hideMark/>
          </w:tcPr>
          <w:p w14:paraId="1D44EEE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-50,82</w:t>
            </w:r>
          </w:p>
        </w:tc>
        <w:tc>
          <w:tcPr>
            <w:tcW w:w="1803" w:type="dxa"/>
            <w:tcBorders>
              <w:top w:val="nil"/>
              <w:left w:val="nil"/>
              <w:bottom w:val="single" w:sz="4" w:space="0" w:color="auto"/>
              <w:right w:val="single" w:sz="4" w:space="0" w:color="auto"/>
            </w:tcBorders>
            <w:shd w:val="clear" w:color="auto" w:fill="auto"/>
            <w:noWrap/>
            <w:vAlign w:val="bottom"/>
            <w:hideMark/>
          </w:tcPr>
          <w:p w14:paraId="788F00B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4.770,00</w:t>
            </w:r>
          </w:p>
        </w:tc>
      </w:tr>
      <w:tr w:rsidR="00846ACC" w:rsidRPr="004974C0" w14:paraId="6A24395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8FC7EED" w14:textId="77777777" w:rsidR="004974C0" w:rsidRPr="004974C0" w:rsidRDefault="004974C0" w:rsidP="004974C0">
            <w:pPr>
              <w:rPr>
                <w:rFonts w:ascii="Arial" w:hAnsi="Arial" w:cs="Arial"/>
                <w:sz w:val="20"/>
                <w:szCs w:val="20"/>
              </w:rPr>
            </w:pPr>
            <w:r w:rsidRPr="004974C0">
              <w:rPr>
                <w:rFonts w:ascii="Arial" w:hAnsi="Arial" w:cs="Arial"/>
                <w:sz w:val="20"/>
                <w:szCs w:val="20"/>
              </w:rPr>
              <w:t>37</w:t>
            </w:r>
          </w:p>
        </w:tc>
        <w:tc>
          <w:tcPr>
            <w:tcW w:w="1984" w:type="dxa"/>
            <w:tcBorders>
              <w:top w:val="nil"/>
              <w:left w:val="nil"/>
              <w:bottom w:val="single" w:sz="4" w:space="0" w:color="auto"/>
              <w:right w:val="single" w:sz="4" w:space="0" w:color="auto"/>
            </w:tcBorders>
            <w:shd w:val="clear" w:color="auto" w:fill="auto"/>
            <w:noWrap/>
            <w:vAlign w:val="bottom"/>
            <w:hideMark/>
          </w:tcPr>
          <w:p w14:paraId="699E388A" w14:textId="77777777" w:rsidR="004974C0" w:rsidRPr="004974C0" w:rsidRDefault="004974C0" w:rsidP="004974C0">
            <w:pPr>
              <w:rPr>
                <w:rFonts w:ascii="Arial" w:hAnsi="Arial" w:cs="Arial"/>
                <w:sz w:val="20"/>
                <w:szCs w:val="20"/>
              </w:rPr>
            </w:pPr>
            <w:r w:rsidRPr="004974C0">
              <w:rPr>
                <w:rFonts w:ascii="Arial" w:hAnsi="Arial" w:cs="Arial"/>
                <w:sz w:val="20"/>
                <w:szCs w:val="20"/>
              </w:rPr>
              <w:t>Naknade građanima i kućanstvima na temelju osiguranja i druge naknade</w:t>
            </w:r>
          </w:p>
        </w:tc>
        <w:tc>
          <w:tcPr>
            <w:tcW w:w="1843" w:type="dxa"/>
            <w:tcBorders>
              <w:top w:val="nil"/>
              <w:left w:val="nil"/>
              <w:bottom w:val="single" w:sz="4" w:space="0" w:color="auto"/>
              <w:right w:val="single" w:sz="4" w:space="0" w:color="auto"/>
            </w:tcBorders>
            <w:shd w:val="clear" w:color="auto" w:fill="auto"/>
            <w:noWrap/>
            <w:vAlign w:val="bottom"/>
            <w:hideMark/>
          </w:tcPr>
          <w:p w14:paraId="75EBFC4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10.000,00</w:t>
            </w:r>
          </w:p>
        </w:tc>
        <w:tc>
          <w:tcPr>
            <w:tcW w:w="1843" w:type="dxa"/>
            <w:tcBorders>
              <w:top w:val="nil"/>
              <w:left w:val="nil"/>
              <w:bottom w:val="single" w:sz="4" w:space="0" w:color="auto"/>
              <w:right w:val="single" w:sz="4" w:space="0" w:color="auto"/>
            </w:tcBorders>
            <w:shd w:val="clear" w:color="auto" w:fill="auto"/>
            <w:noWrap/>
            <w:vAlign w:val="bottom"/>
            <w:hideMark/>
          </w:tcPr>
          <w:p w14:paraId="793AB43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C21970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FAC903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10.000,00</w:t>
            </w:r>
          </w:p>
        </w:tc>
      </w:tr>
      <w:tr w:rsidR="00846ACC" w:rsidRPr="004974C0" w14:paraId="76D9951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AB85F0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5E23422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 xml:space="preserve">Rashodi za nabavu </w:t>
            </w:r>
            <w:r w:rsidRPr="004974C0">
              <w:rPr>
                <w:rFonts w:ascii="Arial" w:hAnsi="Arial" w:cs="Arial"/>
                <w:b/>
                <w:bCs/>
                <w:sz w:val="20"/>
                <w:szCs w:val="20"/>
              </w:rPr>
              <w:lastRenderedPageBreak/>
              <w:t>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09AD902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lastRenderedPageBreak/>
              <w:t>30.670,00</w:t>
            </w:r>
          </w:p>
        </w:tc>
        <w:tc>
          <w:tcPr>
            <w:tcW w:w="1843" w:type="dxa"/>
            <w:tcBorders>
              <w:top w:val="nil"/>
              <w:left w:val="nil"/>
              <w:bottom w:val="single" w:sz="4" w:space="0" w:color="auto"/>
              <w:right w:val="single" w:sz="4" w:space="0" w:color="auto"/>
            </w:tcBorders>
            <w:shd w:val="clear" w:color="auto" w:fill="auto"/>
            <w:noWrap/>
            <w:vAlign w:val="bottom"/>
            <w:hideMark/>
          </w:tcPr>
          <w:p w14:paraId="627F4A8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330,00</w:t>
            </w:r>
          </w:p>
        </w:tc>
        <w:tc>
          <w:tcPr>
            <w:tcW w:w="1559" w:type="dxa"/>
            <w:tcBorders>
              <w:top w:val="nil"/>
              <w:left w:val="nil"/>
              <w:bottom w:val="single" w:sz="4" w:space="0" w:color="auto"/>
              <w:right w:val="single" w:sz="4" w:space="0" w:color="auto"/>
            </w:tcBorders>
            <w:shd w:val="clear" w:color="auto" w:fill="auto"/>
            <w:noWrap/>
            <w:vAlign w:val="bottom"/>
            <w:hideMark/>
          </w:tcPr>
          <w:p w14:paraId="485A351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1,08</w:t>
            </w:r>
          </w:p>
        </w:tc>
        <w:tc>
          <w:tcPr>
            <w:tcW w:w="1803" w:type="dxa"/>
            <w:tcBorders>
              <w:top w:val="nil"/>
              <w:left w:val="nil"/>
              <w:bottom w:val="single" w:sz="4" w:space="0" w:color="auto"/>
              <w:right w:val="single" w:sz="4" w:space="0" w:color="auto"/>
            </w:tcBorders>
            <w:shd w:val="clear" w:color="auto" w:fill="auto"/>
            <w:noWrap/>
            <w:vAlign w:val="bottom"/>
            <w:hideMark/>
          </w:tcPr>
          <w:p w14:paraId="47B49C3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31.000,00</w:t>
            </w:r>
          </w:p>
        </w:tc>
      </w:tr>
      <w:tr w:rsidR="00846ACC" w:rsidRPr="004974C0" w14:paraId="61187B5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43871AA"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546D3B22"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7D825FE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30.670,00</w:t>
            </w:r>
          </w:p>
        </w:tc>
        <w:tc>
          <w:tcPr>
            <w:tcW w:w="1843" w:type="dxa"/>
            <w:tcBorders>
              <w:top w:val="nil"/>
              <w:left w:val="nil"/>
              <w:bottom w:val="single" w:sz="4" w:space="0" w:color="auto"/>
              <w:right w:val="single" w:sz="4" w:space="0" w:color="auto"/>
            </w:tcBorders>
            <w:shd w:val="clear" w:color="auto" w:fill="auto"/>
            <w:noWrap/>
            <w:vAlign w:val="bottom"/>
            <w:hideMark/>
          </w:tcPr>
          <w:p w14:paraId="0DA688A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330,00</w:t>
            </w:r>
          </w:p>
        </w:tc>
        <w:tc>
          <w:tcPr>
            <w:tcW w:w="1559" w:type="dxa"/>
            <w:tcBorders>
              <w:top w:val="nil"/>
              <w:left w:val="nil"/>
              <w:bottom w:val="single" w:sz="4" w:space="0" w:color="auto"/>
              <w:right w:val="single" w:sz="4" w:space="0" w:color="auto"/>
            </w:tcBorders>
            <w:shd w:val="clear" w:color="auto" w:fill="auto"/>
            <w:noWrap/>
            <w:vAlign w:val="bottom"/>
            <w:hideMark/>
          </w:tcPr>
          <w:p w14:paraId="48D6014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1,08</w:t>
            </w:r>
          </w:p>
        </w:tc>
        <w:tc>
          <w:tcPr>
            <w:tcW w:w="1803" w:type="dxa"/>
            <w:tcBorders>
              <w:top w:val="nil"/>
              <w:left w:val="nil"/>
              <w:bottom w:val="single" w:sz="4" w:space="0" w:color="auto"/>
              <w:right w:val="single" w:sz="4" w:space="0" w:color="auto"/>
            </w:tcBorders>
            <w:shd w:val="clear" w:color="auto" w:fill="auto"/>
            <w:noWrap/>
            <w:vAlign w:val="bottom"/>
            <w:hideMark/>
          </w:tcPr>
          <w:p w14:paraId="54FBF5F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31.000,00</w:t>
            </w:r>
          </w:p>
        </w:tc>
      </w:tr>
      <w:tr w:rsidR="00846ACC" w:rsidRPr="004974C0" w14:paraId="3234A6A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33FCA2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A500006 Osiguranje pomoćnika učenicima s teškoćama</w:t>
            </w:r>
          </w:p>
        </w:tc>
        <w:tc>
          <w:tcPr>
            <w:tcW w:w="1984" w:type="dxa"/>
            <w:tcBorders>
              <w:top w:val="nil"/>
              <w:left w:val="nil"/>
              <w:bottom w:val="single" w:sz="4" w:space="0" w:color="auto"/>
              <w:right w:val="single" w:sz="4" w:space="0" w:color="auto"/>
            </w:tcBorders>
            <w:shd w:val="clear" w:color="000000" w:fill="CCCCFF"/>
            <w:noWrap/>
            <w:vAlign w:val="bottom"/>
            <w:hideMark/>
          </w:tcPr>
          <w:p w14:paraId="413B6AC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1F7C0CA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75.690,00</w:t>
            </w:r>
          </w:p>
        </w:tc>
        <w:tc>
          <w:tcPr>
            <w:tcW w:w="1843" w:type="dxa"/>
            <w:tcBorders>
              <w:top w:val="nil"/>
              <w:left w:val="nil"/>
              <w:bottom w:val="single" w:sz="4" w:space="0" w:color="auto"/>
              <w:right w:val="single" w:sz="4" w:space="0" w:color="auto"/>
            </w:tcBorders>
            <w:shd w:val="clear" w:color="000000" w:fill="CCCCFF"/>
            <w:noWrap/>
            <w:vAlign w:val="bottom"/>
            <w:hideMark/>
          </w:tcPr>
          <w:p w14:paraId="74FDD0D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9.175,00</w:t>
            </w:r>
          </w:p>
        </w:tc>
        <w:tc>
          <w:tcPr>
            <w:tcW w:w="1559" w:type="dxa"/>
            <w:tcBorders>
              <w:top w:val="nil"/>
              <w:left w:val="nil"/>
              <w:bottom w:val="single" w:sz="4" w:space="0" w:color="auto"/>
              <w:right w:val="single" w:sz="4" w:space="0" w:color="auto"/>
            </w:tcBorders>
            <w:shd w:val="clear" w:color="000000" w:fill="CCCCFF"/>
            <w:noWrap/>
            <w:vAlign w:val="bottom"/>
            <w:hideMark/>
          </w:tcPr>
          <w:p w14:paraId="484172B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12,12</w:t>
            </w:r>
          </w:p>
        </w:tc>
        <w:tc>
          <w:tcPr>
            <w:tcW w:w="1803" w:type="dxa"/>
            <w:tcBorders>
              <w:top w:val="nil"/>
              <w:left w:val="nil"/>
              <w:bottom w:val="single" w:sz="4" w:space="0" w:color="auto"/>
              <w:right w:val="single" w:sz="4" w:space="0" w:color="auto"/>
            </w:tcBorders>
            <w:shd w:val="clear" w:color="000000" w:fill="CCCCFF"/>
            <w:noWrap/>
            <w:vAlign w:val="bottom"/>
            <w:hideMark/>
          </w:tcPr>
          <w:p w14:paraId="11DBA42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84.865,00</w:t>
            </w:r>
          </w:p>
        </w:tc>
      </w:tr>
      <w:tr w:rsidR="00846ACC" w:rsidRPr="004974C0" w14:paraId="14AEAA0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8E97F7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20CC310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480CA5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33.120,00</w:t>
            </w:r>
          </w:p>
        </w:tc>
        <w:tc>
          <w:tcPr>
            <w:tcW w:w="1843" w:type="dxa"/>
            <w:tcBorders>
              <w:top w:val="nil"/>
              <w:left w:val="nil"/>
              <w:bottom w:val="single" w:sz="4" w:space="0" w:color="auto"/>
              <w:right w:val="single" w:sz="4" w:space="0" w:color="auto"/>
            </w:tcBorders>
            <w:shd w:val="clear" w:color="000000" w:fill="FFFF99"/>
            <w:noWrap/>
            <w:vAlign w:val="bottom"/>
            <w:hideMark/>
          </w:tcPr>
          <w:p w14:paraId="6BDFDA7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5.695,00</w:t>
            </w:r>
          </w:p>
        </w:tc>
        <w:tc>
          <w:tcPr>
            <w:tcW w:w="1559" w:type="dxa"/>
            <w:tcBorders>
              <w:top w:val="nil"/>
              <w:left w:val="nil"/>
              <w:bottom w:val="single" w:sz="4" w:space="0" w:color="auto"/>
              <w:right w:val="single" w:sz="4" w:space="0" w:color="auto"/>
            </w:tcBorders>
            <w:shd w:val="clear" w:color="000000" w:fill="FFFF99"/>
            <w:noWrap/>
            <w:vAlign w:val="bottom"/>
            <w:hideMark/>
          </w:tcPr>
          <w:p w14:paraId="05CD56D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17,20</w:t>
            </w:r>
          </w:p>
        </w:tc>
        <w:tc>
          <w:tcPr>
            <w:tcW w:w="1803" w:type="dxa"/>
            <w:tcBorders>
              <w:top w:val="nil"/>
              <w:left w:val="nil"/>
              <w:bottom w:val="single" w:sz="4" w:space="0" w:color="auto"/>
              <w:right w:val="single" w:sz="4" w:space="0" w:color="auto"/>
            </w:tcBorders>
            <w:shd w:val="clear" w:color="000000" w:fill="FFFF99"/>
            <w:noWrap/>
            <w:vAlign w:val="bottom"/>
            <w:hideMark/>
          </w:tcPr>
          <w:p w14:paraId="3189F5F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38.815,00</w:t>
            </w:r>
          </w:p>
        </w:tc>
      </w:tr>
      <w:tr w:rsidR="00846ACC" w:rsidRPr="004974C0" w14:paraId="6E216B9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BBC999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D5D1CA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8213AF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33.120,00</w:t>
            </w:r>
          </w:p>
        </w:tc>
        <w:tc>
          <w:tcPr>
            <w:tcW w:w="1843" w:type="dxa"/>
            <w:tcBorders>
              <w:top w:val="nil"/>
              <w:left w:val="nil"/>
              <w:bottom w:val="single" w:sz="4" w:space="0" w:color="auto"/>
              <w:right w:val="single" w:sz="4" w:space="0" w:color="auto"/>
            </w:tcBorders>
            <w:shd w:val="clear" w:color="auto" w:fill="auto"/>
            <w:noWrap/>
            <w:vAlign w:val="bottom"/>
            <w:hideMark/>
          </w:tcPr>
          <w:p w14:paraId="0DDFD8B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5.695,00</w:t>
            </w:r>
          </w:p>
        </w:tc>
        <w:tc>
          <w:tcPr>
            <w:tcW w:w="1559" w:type="dxa"/>
            <w:tcBorders>
              <w:top w:val="nil"/>
              <w:left w:val="nil"/>
              <w:bottom w:val="single" w:sz="4" w:space="0" w:color="auto"/>
              <w:right w:val="single" w:sz="4" w:space="0" w:color="auto"/>
            </w:tcBorders>
            <w:shd w:val="clear" w:color="auto" w:fill="auto"/>
            <w:noWrap/>
            <w:vAlign w:val="bottom"/>
            <w:hideMark/>
          </w:tcPr>
          <w:p w14:paraId="5F89CD2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17,20</w:t>
            </w:r>
          </w:p>
        </w:tc>
        <w:tc>
          <w:tcPr>
            <w:tcW w:w="1803" w:type="dxa"/>
            <w:tcBorders>
              <w:top w:val="nil"/>
              <w:left w:val="nil"/>
              <w:bottom w:val="single" w:sz="4" w:space="0" w:color="auto"/>
              <w:right w:val="single" w:sz="4" w:space="0" w:color="auto"/>
            </w:tcBorders>
            <w:shd w:val="clear" w:color="auto" w:fill="auto"/>
            <w:noWrap/>
            <w:vAlign w:val="bottom"/>
            <w:hideMark/>
          </w:tcPr>
          <w:p w14:paraId="449047D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38.815,00</w:t>
            </w:r>
          </w:p>
        </w:tc>
      </w:tr>
      <w:tr w:rsidR="00846ACC" w:rsidRPr="004974C0" w14:paraId="17339EA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32A0B5A"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4F0240DB"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247EDE2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29.520,00</w:t>
            </w:r>
          </w:p>
        </w:tc>
        <w:tc>
          <w:tcPr>
            <w:tcW w:w="1843" w:type="dxa"/>
            <w:tcBorders>
              <w:top w:val="nil"/>
              <w:left w:val="nil"/>
              <w:bottom w:val="single" w:sz="4" w:space="0" w:color="auto"/>
              <w:right w:val="single" w:sz="4" w:space="0" w:color="auto"/>
            </w:tcBorders>
            <w:shd w:val="clear" w:color="auto" w:fill="auto"/>
            <w:noWrap/>
            <w:vAlign w:val="bottom"/>
            <w:hideMark/>
          </w:tcPr>
          <w:p w14:paraId="321CB09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5.255,00</w:t>
            </w:r>
          </w:p>
        </w:tc>
        <w:tc>
          <w:tcPr>
            <w:tcW w:w="1559" w:type="dxa"/>
            <w:tcBorders>
              <w:top w:val="nil"/>
              <w:left w:val="nil"/>
              <w:bottom w:val="single" w:sz="4" w:space="0" w:color="auto"/>
              <w:right w:val="single" w:sz="4" w:space="0" w:color="auto"/>
            </w:tcBorders>
            <w:shd w:val="clear" w:color="auto" w:fill="auto"/>
            <w:noWrap/>
            <w:vAlign w:val="bottom"/>
            <w:hideMark/>
          </w:tcPr>
          <w:p w14:paraId="11B0775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17,80</w:t>
            </w:r>
          </w:p>
        </w:tc>
        <w:tc>
          <w:tcPr>
            <w:tcW w:w="1803" w:type="dxa"/>
            <w:tcBorders>
              <w:top w:val="nil"/>
              <w:left w:val="nil"/>
              <w:bottom w:val="single" w:sz="4" w:space="0" w:color="auto"/>
              <w:right w:val="single" w:sz="4" w:space="0" w:color="auto"/>
            </w:tcBorders>
            <w:shd w:val="clear" w:color="auto" w:fill="auto"/>
            <w:noWrap/>
            <w:vAlign w:val="bottom"/>
            <w:hideMark/>
          </w:tcPr>
          <w:p w14:paraId="39DE10B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34.775,00</w:t>
            </w:r>
          </w:p>
        </w:tc>
      </w:tr>
      <w:tr w:rsidR="00846ACC" w:rsidRPr="004974C0" w14:paraId="5E4F91E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25A87FF"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62009DE"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627676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3.600,00</w:t>
            </w:r>
          </w:p>
        </w:tc>
        <w:tc>
          <w:tcPr>
            <w:tcW w:w="1843" w:type="dxa"/>
            <w:tcBorders>
              <w:top w:val="nil"/>
              <w:left w:val="nil"/>
              <w:bottom w:val="single" w:sz="4" w:space="0" w:color="auto"/>
              <w:right w:val="single" w:sz="4" w:space="0" w:color="auto"/>
            </w:tcBorders>
            <w:shd w:val="clear" w:color="auto" w:fill="auto"/>
            <w:noWrap/>
            <w:vAlign w:val="bottom"/>
            <w:hideMark/>
          </w:tcPr>
          <w:p w14:paraId="50B5FD5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440,00</w:t>
            </w:r>
          </w:p>
        </w:tc>
        <w:tc>
          <w:tcPr>
            <w:tcW w:w="1559" w:type="dxa"/>
            <w:tcBorders>
              <w:top w:val="nil"/>
              <w:left w:val="nil"/>
              <w:bottom w:val="single" w:sz="4" w:space="0" w:color="auto"/>
              <w:right w:val="single" w:sz="4" w:space="0" w:color="auto"/>
            </w:tcBorders>
            <w:shd w:val="clear" w:color="auto" w:fill="auto"/>
            <w:noWrap/>
            <w:vAlign w:val="bottom"/>
            <w:hideMark/>
          </w:tcPr>
          <w:p w14:paraId="70C5755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12,22</w:t>
            </w:r>
          </w:p>
        </w:tc>
        <w:tc>
          <w:tcPr>
            <w:tcW w:w="1803" w:type="dxa"/>
            <w:tcBorders>
              <w:top w:val="nil"/>
              <w:left w:val="nil"/>
              <w:bottom w:val="single" w:sz="4" w:space="0" w:color="auto"/>
              <w:right w:val="single" w:sz="4" w:space="0" w:color="auto"/>
            </w:tcBorders>
            <w:shd w:val="clear" w:color="auto" w:fill="auto"/>
            <w:noWrap/>
            <w:vAlign w:val="bottom"/>
            <w:hideMark/>
          </w:tcPr>
          <w:p w14:paraId="62331F9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4.040,00</w:t>
            </w:r>
          </w:p>
        </w:tc>
      </w:tr>
      <w:tr w:rsidR="00846ACC" w:rsidRPr="004974C0" w14:paraId="51422FE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D9E72D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32A9577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58E09A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42.570,00</w:t>
            </w:r>
          </w:p>
        </w:tc>
        <w:tc>
          <w:tcPr>
            <w:tcW w:w="1843" w:type="dxa"/>
            <w:tcBorders>
              <w:top w:val="nil"/>
              <w:left w:val="nil"/>
              <w:bottom w:val="single" w:sz="4" w:space="0" w:color="auto"/>
              <w:right w:val="single" w:sz="4" w:space="0" w:color="auto"/>
            </w:tcBorders>
            <w:shd w:val="clear" w:color="000000" w:fill="FFFF99"/>
            <w:noWrap/>
            <w:vAlign w:val="bottom"/>
            <w:hideMark/>
          </w:tcPr>
          <w:p w14:paraId="55157B8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3.480,00</w:t>
            </w:r>
          </w:p>
        </w:tc>
        <w:tc>
          <w:tcPr>
            <w:tcW w:w="1559" w:type="dxa"/>
            <w:tcBorders>
              <w:top w:val="nil"/>
              <w:left w:val="nil"/>
              <w:bottom w:val="single" w:sz="4" w:space="0" w:color="auto"/>
              <w:right w:val="single" w:sz="4" w:space="0" w:color="auto"/>
            </w:tcBorders>
            <w:shd w:val="clear" w:color="000000" w:fill="FFFF99"/>
            <w:noWrap/>
            <w:vAlign w:val="bottom"/>
            <w:hideMark/>
          </w:tcPr>
          <w:p w14:paraId="3430A96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8,17</w:t>
            </w:r>
          </w:p>
        </w:tc>
        <w:tc>
          <w:tcPr>
            <w:tcW w:w="1803" w:type="dxa"/>
            <w:tcBorders>
              <w:top w:val="nil"/>
              <w:left w:val="nil"/>
              <w:bottom w:val="single" w:sz="4" w:space="0" w:color="auto"/>
              <w:right w:val="single" w:sz="4" w:space="0" w:color="auto"/>
            </w:tcBorders>
            <w:shd w:val="clear" w:color="000000" w:fill="FFFF99"/>
            <w:noWrap/>
            <w:vAlign w:val="bottom"/>
            <w:hideMark/>
          </w:tcPr>
          <w:p w14:paraId="49E0D46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46.050,00</w:t>
            </w:r>
          </w:p>
        </w:tc>
      </w:tr>
      <w:tr w:rsidR="00846ACC" w:rsidRPr="004974C0" w14:paraId="5F9EE4F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335076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46B2EF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EF5036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42.570,00</w:t>
            </w:r>
          </w:p>
        </w:tc>
        <w:tc>
          <w:tcPr>
            <w:tcW w:w="1843" w:type="dxa"/>
            <w:tcBorders>
              <w:top w:val="nil"/>
              <w:left w:val="nil"/>
              <w:bottom w:val="single" w:sz="4" w:space="0" w:color="auto"/>
              <w:right w:val="single" w:sz="4" w:space="0" w:color="auto"/>
            </w:tcBorders>
            <w:shd w:val="clear" w:color="auto" w:fill="auto"/>
            <w:noWrap/>
            <w:vAlign w:val="bottom"/>
            <w:hideMark/>
          </w:tcPr>
          <w:p w14:paraId="0890928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3.480,00</w:t>
            </w:r>
          </w:p>
        </w:tc>
        <w:tc>
          <w:tcPr>
            <w:tcW w:w="1559" w:type="dxa"/>
            <w:tcBorders>
              <w:top w:val="nil"/>
              <w:left w:val="nil"/>
              <w:bottom w:val="single" w:sz="4" w:space="0" w:color="auto"/>
              <w:right w:val="single" w:sz="4" w:space="0" w:color="auto"/>
            </w:tcBorders>
            <w:shd w:val="clear" w:color="auto" w:fill="auto"/>
            <w:noWrap/>
            <w:vAlign w:val="bottom"/>
            <w:hideMark/>
          </w:tcPr>
          <w:p w14:paraId="2D525ED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8,17</w:t>
            </w:r>
          </w:p>
        </w:tc>
        <w:tc>
          <w:tcPr>
            <w:tcW w:w="1803" w:type="dxa"/>
            <w:tcBorders>
              <w:top w:val="nil"/>
              <w:left w:val="nil"/>
              <w:bottom w:val="single" w:sz="4" w:space="0" w:color="auto"/>
              <w:right w:val="single" w:sz="4" w:space="0" w:color="auto"/>
            </w:tcBorders>
            <w:shd w:val="clear" w:color="auto" w:fill="auto"/>
            <w:noWrap/>
            <w:vAlign w:val="bottom"/>
            <w:hideMark/>
          </w:tcPr>
          <w:p w14:paraId="4C0E675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46.050,00</w:t>
            </w:r>
          </w:p>
        </w:tc>
      </w:tr>
      <w:tr w:rsidR="00846ACC" w:rsidRPr="004974C0" w14:paraId="06A08E6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DC1F32D"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449AE854"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05CFB66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42.570,00</w:t>
            </w:r>
          </w:p>
        </w:tc>
        <w:tc>
          <w:tcPr>
            <w:tcW w:w="1843" w:type="dxa"/>
            <w:tcBorders>
              <w:top w:val="nil"/>
              <w:left w:val="nil"/>
              <w:bottom w:val="single" w:sz="4" w:space="0" w:color="auto"/>
              <w:right w:val="single" w:sz="4" w:space="0" w:color="auto"/>
            </w:tcBorders>
            <w:shd w:val="clear" w:color="auto" w:fill="auto"/>
            <w:noWrap/>
            <w:vAlign w:val="bottom"/>
            <w:hideMark/>
          </w:tcPr>
          <w:p w14:paraId="0C95901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3.480,00</w:t>
            </w:r>
          </w:p>
        </w:tc>
        <w:tc>
          <w:tcPr>
            <w:tcW w:w="1559" w:type="dxa"/>
            <w:tcBorders>
              <w:top w:val="nil"/>
              <w:left w:val="nil"/>
              <w:bottom w:val="single" w:sz="4" w:space="0" w:color="auto"/>
              <w:right w:val="single" w:sz="4" w:space="0" w:color="auto"/>
            </w:tcBorders>
            <w:shd w:val="clear" w:color="auto" w:fill="auto"/>
            <w:noWrap/>
            <w:vAlign w:val="bottom"/>
            <w:hideMark/>
          </w:tcPr>
          <w:p w14:paraId="60C5BA2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8,17</w:t>
            </w:r>
          </w:p>
        </w:tc>
        <w:tc>
          <w:tcPr>
            <w:tcW w:w="1803" w:type="dxa"/>
            <w:tcBorders>
              <w:top w:val="nil"/>
              <w:left w:val="nil"/>
              <w:bottom w:val="single" w:sz="4" w:space="0" w:color="auto"/>
              <w:right w:val="single" w:sz="4" w:space="0" w:color="auto"/>
            </w:tcBorders>
            <w:shd w:val="clear" w:color="auto" w:fill="auto"/>
            <w:noWrap/>
            <w:vAlign w:val="bottom"/>
            <w:hideMark/>
          </w:tcPr>
          <w:p w14:paraId="1C83C81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46.050,00</w:t>
            </w:r>
          </w:p>
        </w:tc>
      </w:tr>
      <w:tr w:rsidR="00846ACC" w:rsidRPr="004974C0" w14:paraId="486EC74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5883A9A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A500007 Financiranje izvannastavnih projekata i drugo</w:t>
            </w:r>
          </w:p>
        </w:tc>
        <w:tc>
          <w:tcPr>
            <w:tcW w:w="1984" w:type="dxa"/>
            <w:tcBorders>
              <w:top w:val="nil"/>
              <w:left w:val="nil"/>
              <w:bottom w:val="single" w:sz="4" w:space="0" w:color="auto"/>
              <w:right w:val="single" w:sz="4" w:space="0" w:color="auto"/>
            </w:tcBorders>
            <w:shd w:val="clear" w:color="000000" w:fill="CCCCFF"/>
            <w:noWrap/>
            <w:vAlign w:val="bottom"/>
            <w:hideMark/>
          </w:tcPr>
          <w:p w14:paraId="4E11751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0EC6D1E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w:t>
            </w:r>
          </w:p>
        </w:tc>
        <w:tc>
          <w:tcPr>
            <w:tcW w:w="1843" w:type="dxa"/>
            <w:tcBorders>
              <w:top w:val="nil"/>
              <w:left w:val="nil"/>
              <w:bottom w:val="single" w:sz="4" w:space="0" w:color="auto"/>
              <w:right w:val="single" w:sz="4" w:space="0" w:color="auto"/>
            </w:tcBorders>
            <w:shd w:val="clear" w:color="000000" w:fill="CCCCFF"/>
            <w:noWrap/>
            <w:vAlign w:val="bottom"/>
            <w:hideMark/>
          </w:tcPr>
          <w:p w14:paraId="7C6E26E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4.394,00</w:t>
            </w:r>
          </w:p>
        </w:tc>
        <w:tc>
          <w:tcPr>
            <w:tcW w:w="1559" w:type="dxa"/>
            <w:tcBorders>
              <w:top w:val="nil"/>
              <w:left w:val="nil"/>
              <w:bottom w:val="single" w:sz="4" w:space="0" w:color="auto"/>
              <w:right w:val="single" w:sz="4" w:space="0" w:color="auto"/>
            </w:tcBorders>
            <w:shd w:val="clear" w:color="000000" w:fill="CCCCFF"/>
            <w:noWrap/>
            <w:vAlign w:val="bottom"/>
            <w:hideMark/>
          </w:tcPr>
          <w:p w14:paraId="28D79CC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338,00</w:t>
            </w:r>
          </w:p>
        </w:tc>
        <w:tc>
          <w:tcPr>
            <w:tcW w:w="1803" w:type="dxa"/>
            <w:tcBorders>
              <w:top w:val="nil"/>
              <w:left w:val="nil"/>
              <w:bottom w:val="single" w:sz="4" w:space="0" w:color="auto"/>
              <w:right w:val="single" w:sz="4" w:space="0" w:color="auto"/>
            </w:tcBorders>
            <w:shd w:val="clear" w:color="000000" w:fill="CCCCFF"/>
            <w:noWrap/>
            <w:vAlign w:val="bottom"/>
            <w:hideMark/>
          </w:tcPr>
          <w:p w14:paraId="72A53F0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5.694,00</w:t>
            </w:r>
          </w:p>
        </w:tc>
      </w:tr>
      <w:tr w:rsidR="00846ACC" w:rsidRPr="004974C0" w14:paraId="0CC4B8D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CDEE3F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6DDBCB3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41043C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w:t>
            </w:r>
          </w:p>
        </w:tc>
        <w:tc>
          <w:tcPr>
            <w:tcW w:w="1843" w:type="dxa"/>
            <w:tcBorders>
              <w:top w:val="nil"/>
              <w:left w:val="nil"/>
              <w:bottom w:val="single" w:sz="4" w:space="0" w:color="auto"/>
              <w:right w:val="single" w:sz="4" w:space="0" w:color="auto"/>
            </w:tcBorders>
            <w:shd w:val="clear" w:color="000000" w:fill="FFFF99"/>
            <w:noWrap/>
            <w:vAlign w:val="bottom"/>
            <w:hideMark/>
          </w:tcPr>
          <w:p w14:paraId="1F048C0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4.394,00</w:t>
            </w:r>
          </w:p>
        </w:tc>
        <w:tc>
          <w:tcPr>
            <w:tcW w:w="1559" w:type="dxa"/>
            <w:tcBorders>
              <w:top w:val="nil"/>
              <w:left w:val="nil"/>
              <w:bottom w:val="single" w:sz="4" w:space="0" w:color="auto"/>
              <w:right w:val="single" w:sz="4" w:space="0" w:color="auto"/>
            </w:tcBorders>
            <w:shd w:val="clear" w:color="000000" w:fill="FFFF99"/>
            <w:noWrap/>
            <w:vAlign w:val="bottom"/>
            <w:hideMark/>
          </w:tcPr>
          <w:p w14:paraId="0C7B8EA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338,00</w:t>
            </w:r>
          </w:p>
        </w:tc>
        <w:tc>
          <w:tcPr>
            <w:tcW w:w="1803" w:type="dxa"/>
            <w:tcBorders>
              <w:top w:val="nil"/>
              <w:left w:val="nil"/>
              <w:bottom w:val="single" w:sz="4" w:space="0" w:color="auto"/>
              <w:right w:val="single" w:sz="4" w:space="0" w:color="auto"/>
            </w:tcBorders>
            <w:shd w:val="clear" w:color="000000" w:fill="FFFF99"/>
            <w:noWrap/>
            <w:vAlign w:val="bottom"/>
            <w:hideMark/>
          </w:tcPr>
          <w:p w14:paraId="7B1C6E6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5.694,00</w:t>
            </w:r>
          </w:p>
        </w:tc>
      </w:tr>
      <w:tr w:rsidR="00846ACC" w:rsidRPr="004974C0" w14:paraId="0C5B391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1F4E6E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B4B05F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83154E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1.300,00</w:t>
            </w:r>
          </w:p>
        </w:tc>
        <w:tc>
          <w:tcPr>
            <w:tcW w:w="1843" w:type="dxa"/>
            <w:tcBorders>
              <w:top w:val="nil"/>
              <w:left w:val="nil"/>
              <w:bottom w:val="single" w:sz="4" w:space="0" w:color="auto"/>
              <w:right w:val="single" w:sz="4" w:space="0" w:color="auto"/>
            </w:tcBorders>
            <w:shd w:val="clear" w:color="auto" w:fill="auto"/>
            <w:noWrap/>
            <w:vAlign w:val="bottom"/>
            <w:hideMark/>
          </w:tcPr>
          <w:p w14:paraId="4793499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4.394,00</w:t>
            </w:r>
          </w:p>
        </w:tc>
        <w:tc>
          <w:tcPr>
            <w:tcW w:w="1559" w:type="dxa"/>
            <w:tcBorders>
              <w:top w:val="nil"/>
              <w:left w:val="nil"/>
              <w:bottom w:val="single" w:sz="4" w:space="0" w:color="auto"/>
              <w:right w:val="single" w:sz="4" w:space="0" w:color="auto"/>
            </w:tcBorders>
            <w:shd w:val="clear" w:color="auto" w:fill="auto"/>
            <w:noWrap/>
            <w:vAlign w:val="bottom"/>
            <w:hideMark/>
          </w:tcPr>
          <w:p w14:paraId="787BACC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338,00</w:t>
            </w:r>
          </w:p>
        </w:tc>
        <w:tc>
          <w:tcPr>
            <w:tcW w:w="1803" w:type="dxa"/>
            <w:tcBorders>
              <w:top w:val="nil"/>
              <w:left w:val="nil"/>
              <w:bottom w:val="single" w:sz="4" w:space="0" w:color="auto"/>
              <w:right w:val="single" w:sz="4" w:space="0" w:color="auto"/>
            </w:tcBorders>
            <w:shd w:val="clear" w:color="auto" w:fill="auto"/>
            <w:noWrap/>
            <w:vAlign w:val="bottom"/>
            <w:hideMark/>
          </w:tcPr>
          <w:p w14:paraId="3BA0369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5.694,00</w:t>
            </w:r>
          </w:p>
        </w:tc>
      </w:tr>
      <w:tr w:rsidR="00846ACC" w:rsidRPr="004974C0" w14:paraId="02EE691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2A8FE78"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48370B66"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2BD1EA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1.300,00</w:t>
            </w:r>
          </w:p>
        </w:tc>
        <w:tc>
          <w:tcPr>
            <w:tcW w:w="1843" w:type="dxa"/>
            <w:tcBorders>
              <w:top w:val="nil"/>
              <w:left w:val="nil"/>
              <w:bottom w:val="single" w:sz="4" w:space="0" w:color="auto"/>
              <w:right w:val="single" w:sz="4" w:space="0" w:color="auto"/>
            </w:tcBorders>
            <w:shd w:val="clear" w:color="auto" w:fill="auto"/>
            <w:noWrap/>
            <w:vAlign w:val="bottom"/>
            <w:hideMark/>
          </w:tcPr>
          <w:p w14:paraId="2C4E856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4.394,00</w:t>
            </w:r>
          </w:p>
        </w:tc>
        <w:tc>
          <w:tcPr>
            <w:tcW w:w="1559" w:type="dxa"/>
            <w:tcBorders>
              <w:top w:val="nil"/>
              <w:left w:val="nil"/>
              <w:bottom w:val="single" w:sz="4" w:space="0" w:color="auto"/>
              <w:right w:val="single" w:sz="4" w:space="0" w:color="auto"/>
            </w:tcBorders>
            <w:shd w:val="clear" w:color="auto" w:fill="auto"/>
            <w:noWrap/>
            <w:vAlign w:val="bottom"/>
            <w:hideMark/>
          </w:tcPr>
          <w:p w14:paraId="5B61716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338,00</w:t>
            </w:r>
          </w:p>
        </w:tc>
        <w:tc>
          <w:tcPr>
            <w:tcW w:w="1803" w:type="dxa"/>
            <w:tcBorders>
              <w:top w:val="nil"/>
              <w:left w:val="nil"/>
              <w:bottom w:val="single" w:sz="4" w:space="0" w:color="auto"/>
              <w:right w:val="single" w:sz="4" w:space="0" w:color="auto"/>
            </w:tcBorders>
            <w:shd w:val="clear" w:color="auto" w:fill="auto"/>
            <w:noWrap/>
            <w:vAlign w:val="bottom"/>
            <w:hideMark/>
          </w:tcPr>
          <w:p w14:paraId="44476B5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5.694,00</w:t>
            </w:r>
          </w:p>
        </w:tc>
      </w:tr>
      <w:tr w:rsidR="00846ACC" w:rsidRPr="004974C0" w14:paraId="7FD4E9F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F42417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Kapitalni projekt K500001 Kapitalna ulaganja osnovnog školstva</w:t>
            </w:r>
          </w:p>
        </w:tc>
        <w:tc>
          <w:tcPr>
            <w:tcW w:w="1984" w:type="dxa"/>
            <w:tcBorders>
              <w:top w:val="nil"/>
              <w:left w:val="nil"/>
              <w:bottom w:val="single" w:sz="4" w:space="0" w:color="auto"/>
              <w:right w:val="single" w:sz="4" w:space="0" w:color="auto"/>
            </w:tcBorders>
            <w:shd w:val="clear" w:color="000000" w:fill="CCCCFF"/>
            <w:noWrap/>
            <w:vAlign w:val="bottom"/>
            <w:hideMark/>
          </w:tcPr>
          <w:p w14:paraId="7BD64F3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7A9F1C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78.772,00</w:t>
            </w:r>
          </w:p>
        </w:tc>
        <w:tc>
          <w:tcPr>
            <w:tcW w:w="1843" w:type="dxa"/>
            <w:tcBorders>
              <w:top w:val="nil"/>
              <w:left w:val="nil"/>
              <w:bottom w:val="single" w:sz="4" w:space="0" w:color="auto"/>
              <w:right w:val="single" w:sz="4" w:space="0" w:color="auto"/>
            </w:tcBorders>
            <w:shd w:val="clear" w:color="000000" w:fill="CCCCFF"/>
            <w:noWrap/>
            <w:vAlign w:val="bottom"/>
            <w:hideMark/>
          </w:tcPr>
          <w:p w14:paraId="7DAD68C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c>
          <w:tcPr>
            <w:tcW w:w="1559" w:type="dxa"/>
            <w:tcBorders>
              <w:top w:val="nil"/>
              <w:left w:val="nil"/>
              <w:bottom w:val="single" w:sz="4" w:space="0" w:color="auto"/>
              <w:right w:val="single" w:sz="4" w:space="0" w:color="auto"/>
            </w:tcBorders>
            <w:shd w:val="clear" w:color="000000" w:fill="CCCCFF"/>
            <w:noWrap/>
            <w:vAlign w:val="bottom"/>
            <w:hideMark/>
          </w:tcPr>
          <w:p w14:paraId="0099CCC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-12,69</w:t>
            </w:r>
          </w:p>
        </w:tc>
        <w:tc>
          <w:tcPr>
            <w:tcW w:w="1803" w:type="dxa"/>
            <w:tcBorders>
              <w:top w:val="nil"/>
              <w:left w:val="nil"/>
              <w:bottom w:val="single" w:sz="4" w:space="0" w:color="auto"/>
              <w:right w:val="single" w:sz="4" w:space="0" w:color="auto"/>
            </w:tcBorders>
            <w:shd w:val="clear" w:color="000000" w:fill="CCCCFF"/>
            <w:noWrap/>
            <w:vAlign w:val="bottom"/>
            <w:hideMark/>
          </w:tcPr>
          <w:p w14:paraId="2751952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68.772,00</w:t>
            </w:r>
          </w:p>
        </w:tc>
      </w:tr>
      <w:tr w:rsidR="00846ACC" w:rsidRPr="004974C0" w14:paraId="4C36F13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6208F6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4A2AE6A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ADF1B8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50.000,00</w:t>
            </w:r>
          </w:p>
        </w:tc>
        <w:tc>
          <w:tcPr>
            <w:tcW w:w="1843" w:type="dxa"/>
            <w:tcBorders>
              <w:top w:val="nil"/>
              <w:left w:val="nil"/>
              <w:bottom w:val="single" w:sz="4" w:space="0" w:color="auto"/>
              <w:right w:val="single" w:sz="4" w:space="0" w:color="auto"/>
            </w:tcBorders>
            <w:shd w:val="clear" w:color="000000" w:fill="FFFF99"/>
            <w:noWrap/>
            <w:vAlign w:val="bottom"/>
            <w:hideMark/>
          </w:tcPr>
          <w:p w14:paraId="0C31321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-10.000,00</w:t>
            </w:r>
          </w:p>
        </w:tc>
        <w:tc>
          <w:tcPr>
            <w:tcW w:w="1559" w:type="dxa"/>
            <w:tcBorders>
              <w:top w:val="nil"/>
              <w:left w:val="nil"/>
              <w:bottom w:val="single" w:sz="4" w:space="0" w:color="auto"/>
              <w:right w:val="single" w:sz="4" w:space="0" w:color="auto"/>
            </w:tcBorders>
            <w:shd w:val="clear" w:color="000000" w:fill="FFFF99"/>
            <w:noWrap/>
            <w:vAlign w:val="bottom"/>
            <w:hideMark/>
          </w:tcPr>
          <w:p w14:paraId="565A660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w:t>
            </w:r>
          </w:p>
        </w:tc>
        <w:tc>
          <w:tcPr>
            <w:tcW w:w="1803" w:type="dxa"/>
            <w:tcBorders>
              <w:top w:val="nil"/>
              <w:left w:val="nil"/>
              <w:bottom w:val="single" w:sz="4" w:space="0" w:color="auto"/>
              <w:right w:val="single" w:sz="4" w:space="0" w:color="auto"/>
            </w:tcBorders>
            <w:shd w:val="clear" w:color="000000" w:fill="FFFF99"/>
            <w:noWrap/>
            <w:vAlign w:val="bottom"/>
            <w:hideMark/>
          </w:tcPr>
          <w:p w14:paraId="650A038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40.000,00</w:t>
            </w:r>
          </w:p>
        </w:tc>
      </w:tr>
      <w:tr w:rsidR="00846ACC" w:rsidRPr="004974C0" w14:paraId="4E28A3B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2D1BA2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72DE5F5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57FBDD2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50.000,00</w:t>
            </w:r>
          </w:p>
        </w:tc>
        <w:tc>
          <w:tcPr>
            <w:tcW w:w="1843" w:type="dxa"/>
            <w:tcBorders>
              <w:top w:val="nil"/>
              <w:left w:val="nil"/>
              <w:bottom w:val="single" w:sz="4" w:space="0" w:color="auto"/>
              <w:right w:val="single" w:sz="4" w:space="0" w:color="auto"/>
            </w:tcBorders>
            <w:shd w:val="clear" w:color="auto" w:fill="auto"/>
            <w:noWrap/>
            <w:vAlign w:val="bottom"/>
            <w:hideMark/>
          </w:tcPr>
          <w:p w14:paraId="7460E21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-10.000,00</w:t>
            </w:r>
          </w:p>
        </w:tc>
        <w:tc>
          <w:tcPr>
            <w:tcW w:w="1559" w:type="dxa"/>
            <w:tcBorders>
              <w:top w:val="nil"/>
              <w:left w:val="nil"/>
              <w:bottom w:val="single" w:sz="4" w:space="0" w:color="auto"/>
              <w:right w:val="single" w:sz="4" w:space="0" w:color="auto"/>
            </w:tcBorders>
            <w:shd w:val="clear" w:color="auto" w:fill="auto"/>
            <w:noWrap/>
            <w:vAlign w:val="bottom"/>
            <w:hideMark/>
          </w:tcPr>
          <w:p w14:paraId="43CE3E8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w:t>
            </w:r>
          </w:p>
        </w:tc>
        <w:tc>
          <w:tcPr>
            <w:tcW w:w="1803" w:type="dxa"/>
            <w:tcBorders>
              <w:top w:val="nil"/>
              <w:left w:val="nil"/>
              <w:bottom w:val="single" w:sz="4" w:space="0" w:color="auto"/>
              <w:right w:val="single" w:sz="4" w:space="0" w:color="auto"/>
            </w:tcBorders>
            <w:shd w:val="clear" w:color="auto" w:fill="auto"/>
            <w:noWrap/>
            <w:vAlign w:val="bottom"/>
            <w:hideMark/>
          </w:tcPr>
          <w:p w14:paraId="5A42C26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40.000,00</w:t>
            </w:r>
          </w:p>
        </w:tc>
      </w:tr>
      <w:tr w:rsidR="00846ACC" w:rsidRPr="004974C0" w14:paraId="19C22F3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81D6319" w14:textId="77777777" w:rsidR="004974C0" w:rsidRPr="004974C0" w:rsidRDefault="004974C0" w:rsidP="004974C0">
            <w:pPr>
              <w:rPr>
                <w:rFonts w:ascii="Arial" w:hAnsi="Arial" w:cs="Arial"/>
                <w:sz w:val="20"/>
                <w:szCs w:val="20"/>
              </w:rPr>
            </w:pPr>
            <w:r w:rsidRPr="004974C0">
              <w:rPr>
                <w:rFonts w:ascii="Arial" w:hAnsi="Arial" w:cs="Arial"/>
                <w:sz w:val="20"/>
                <w:szCs w:val="20"/>
              </w:rPr>
              <w:t>45</w:t>
            </w:r>
          </w:p>
        </w:tc>
        <w:tc>
          <w:tcPr>
            <w:tcW w:w="1984" w:type="dxa"/>
            <w:tcBorders>
              <w:top w:val="nil"/>
              <w:left w:val="nil"/>
              <w:bottom w:val="single" w:sz="4" w:space="0" w:color="auto"/>
              <w:right w:val="single" w:sz="4" w:space="0" w:color="auto"/>
            </w:tcBorders>
            <w:shd w:val="clear" w:color="auto" w:fill="auto"/>
            <w:noWrap/>
            <w:vAlign w:val="bottom"/>
            <w:hideMark/>
          </w:tcPr>
          <w:p w14:paraId="6A6F71B9"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dodatna ulaganja na nefinancijskoj imovini</w:t>
            </w:r>
          </w:p>
        </w:tc>
        <w:tc>
          <w:tcPr>
            <w:tcW w:w="1843" w:type="dxa"/>
            <w:tcBorders>
              <w:top w:val="nil"/>
              <w:left w:val="nil"/>
              <w:bottom w:val="single" w:sz="4" w:space="0" w:color="auto"/>
              <w:right w:val="single" w:sz="4" w:space="0" w:color="auto"/>
            </w:tcBorders>
            <w:shd w:val="clear" w:color="auto" w:fill="auto"/>
            <w:noWrap/>
            <w:vAlign w:val="bottom"/>
            <w:hideMark/>
          </w:tcPr>
          <w:p w14:paraId="506AB68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50.000,00</w:t>
            </w:r>
          </w:p>
        </w:tc>
        <w:tc>
          <w:tcPr>
            <w:tcW w:w="1843" w:type="dxa"/>
            <w:tcBorders>
              <w:top w:val="nil"/>
              <w:left w:val="nil"/>
              <w:bottom w:val="single" w:sz="4" w:space="0" w:color="auto"/>
              <w:right w:val="single" w:sz="4" w:space="0" w:color="auto"/>
            </w:tcBorders>
            <w:shd w:val="clear" w:color="auto" w:fill="auto"/>
            <w:noWrap/>
            <w:vAlign w:val="bottom"/>
            <w:hideMark/>
          </w:tcPr>
          <w:p w14:paraId="28E9173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-10.000,00</w:t>
            </w:r>
          </w:p>
        </w:tc>
        <w:tc>
          <w:tcPr>
            <w:tcW w:w="1559" w:type="dxa"/>
            <w:tcBorders>
              <w:top w:val="nil"/>
              <w:left w:val="nil"/>
              <w:bottom w:val="single" w:sz="4" w:space="0" w:color="auto"/>
              <w:right w:val="single" w:sz="4" w:space="0" w:color="auto"/>
            </w:tcBorders>
            <w:shd w:val="clear" w:color="auto" w:fill="auto"/>
            <w:noWrap/>
            <w:vAlign w:val="bottom"/>
            <w:hideMark/>
          </w:tcPr>
          <w:p w14:paraId="112D297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w:t>
            </w:r>
          </w:p>
        </w:tc>
        <w:tc>
          <w:tcPr>
            <w:tcW w:w="1803" w:type="dxa"/>
            <w:tcBorders>
              <w:top w:val="nil"/>
              <w:left w:val="nil"/>
              <w:bottom w:val="single" w:sz="4" w:space="0" w:color="auto"/>
              <w:right w:val="single" w:sz="4" w:space="0" w:color="auto"/>
            </w:tcBorders>
            <w:shd w:val="clear" w:color="auto" w:fill="auto"/>
            <w:noWrap/>
            <w:vAlign w:val="bottom"/>
            <w:hideMark/>
          </w:tcPr>
          <w:p w14:paraId="0C9DB8A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40.000,00</w:t>
            </w:r>
          </w:p>
        </w:tc>
      </w:tr>
      <w:tr w:rsidR="00846ACC" w:rsidRPr="004974C0" w14:paraId="42C2644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999580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5.1. POTPORA ZA DECENTRALIZIRANE FUNKCIJE</w:t>
            </w:r>
          </w:p>
        </w:tc>
        <w:tc>
          <w:tcPr>
            <w:tcW w:w="1984" w:type="dxa"/>
            <w:tcBorders>
              <w:top w:val="nil"/>
              <w:left w:val="nil"/>
              <w:bottom w:val="single" w:sz="4" w:space="0" w:color="auto"/>
              <w:right w:val="single" w:sz="4" w:space="0" w:color="auto"/>
            </w:tcBorders>
            <w:shd w:val="clear" w:color="000000" w:fill="FFFF99"/>
            <w:noWrap/>
            <w:vAlign w:val="bottom"/>
            <w:hideMark/>
          </w:tcPr>
          <w:p w14:paraId="1AD397C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271A75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28.772,00</w:t>
            </w:r>
          </w:p>
        </w:tc>
        <w:tc>
          <w:tcPr>
            <w:tcW w:w="1843" w:type="dxa"/>
            <w:tcBorders>
              <w:top w:val="nil"/>
              <w:left w:val="nil"/>
              <w:bottom w:val="single" w:sz="4" w:space="0" w:color="auto"/>
              <w:right w:val="single" w:sz="4" w:space="0" w:color="auto"/>
            </w:tcBorders>
            <w:shd w:val="clear" w:color="000000" w:fill="FFFF99"/>
            <w:noWrap/>
            <w:vAlign w:val="bottom"/>
            <w:hideMark/>
          </w:tcPr>
          <w:p w14:paraId="1D2CD75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5C4D392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1996A19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28.772,00</w:t>
            </w:r>
          </w:p>
        </w:tc>
      </w:tr>
      <w:tr w:rsidR="00846ACC" w:rsidRPr="004974C0" w14:paraId="660332B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68D5DF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lastRenderedPageBreak/>
              <w:t>4</w:t>
            </w:r>
          </w:p>
        </w:tc>
        <w:tc>
          <w:tcPr>
            <w:tcW w:w="1984" w:type="dxa"/>
            <w:tcBorders>
              <w:top w:val="nil"/>
              <w:left w:val="nil"/>
              <w:bottom w:val="single" w:sz="4" w:space="0" w:color="auto"/>
              <w:right w:val="single" w:sz="4" w:space="0" w:color="auto"/>
            </w:tcBorders>
            <w:shd w:val="clear" w:color="auto" w:fill="auto"/>
            <w:noWrap/>
            <w:vAlign w:val="bottom"/>
            <w:hideMark/>
          </w:tcPr>
          <w:p w14:paraId="6859CD3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582217E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28.772,00</w:t>
            </w:r>
          </w:p>
        </w:tc>
        <w:tc>
          <w:tcPr>
            <w:tcW w:w="1843" w:type="dxa"/>
            <w:tcBorders>
              <w:top w:val="nil"/>
              <w:left w:val="nil"/>
              <w:bottom w:val="single" w:sz="4" w:space="0" w:color="auto"/>
              <w:right w:val="single" w:sz="4" w:space="0" w:color="auto"/>
            </w:tcBorders>
            <w:shd w:val="clear" w:color="auto" w:fill="auto"/>
            <w:noWrap/>
            <w:vAlign w:val="bottom"/>
            <w:hideMark/>
          </w:tcPr>
          <w:p w14:paraId="2EFB2AB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4A1B03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9F2786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28.772,00</w:t>
            </w:r>
          </w:p>
        </w:tc>
      </w:tr>
      <w:tr w:rsidR="00846ACC" w:rsidRPr="004974C0" w14:paraId="19EC9BE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3BE2C3E"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51B4071C"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0281AD0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28.772,00</w:t>
            </w:r>
          </w:p>
        </w:tc>
        <w:tc>
          <w:tcPr>
            <w:tcW w:w="1843" w:type="dxa"/>
            <w:tcBorders>
              <w:top w:val="nil"/>
              <w:left w:val="nil"/>
              <w:bottom w:val="single" w:sz="4" w:space="0" w:color="auto"/>
              <w:right w:val="single" w:sz="4" w:space="0" w:color="auto"/>
            </w:tcBorders>
            <w:shd w:val="clear" w:color="auto" w:fill="auto"/>
            <w:noWrap/>
            <w:vAlign w:val="bottom"/>
            <w:hideMark/>
          </w:tcPr>
          <w:p w14:paraId="43D839B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92BF11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5CCB94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28.772,00</w:t>
            </w:r>
          </w:p>
        </w:tc>
      </w:tr>
      <w:tr w:rsidR="00846ACC" w:rsidRPr="004974C0" w14:paraId="70ED3DF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3366FF"/>
            <w:noWrap/>
            <w:vAlign w:val="bottom"/>
            <w:hideMark/>
          </w:tcPr>
          <w:p w14:paraId="2526C9B6"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Proračunski korisnik 10645 CENTAR LIČE FARAGUNA LABIN</w:t>
            </w:r>
          </w:p>
        </w:tc>
        <w:tc>
          <w:tcPr>
            <w:tcW w:w="1984" w:type="dxa"/>
            <w:tcBorders>
              <w:top w:val="nil"/>
              <w:left w:val="nil"/>
              <w:bottom w:val="single" w:sz="4" w:space="0" w:color="auto"/>
              <w:right w:val="single" w:sz="4" w:space="0" w:color="auto"/>
            </w:tcBorders>
            <w:shd w:val="clear" w:color="000000" w:fill="3366FF"/>
            <w:noWrap/>
            <w:vAlign w:val="bottom"/>
            <w:hideMark/>
          </w:tcPr>
          <w:p w14:paraId="5C151332"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3366FF"/>
            <w:noWrap/>
            <w:vAlign w:val="bottom"/>
            <w:hideMark/>
          </w:tcPr>
          <w:p w14:paraId="2F8E5B54"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664.020,00</w:t>
            </w:r>
          </w:p>
        </w:tc>
        <w:tc>
          <w:tcPr>
            <w:tcW w:w="1843" w:type="dxa"/>
            <w:tcBorders>
              <w:top w:val="nil"/>
              <w:left w:val="nil"/>
              <w:bottom w:val="single" w:sz="4" w:space="0" w:color="auto"/>
              <w:right w:val="single" w:sz="4" w:space="0" w:color="auto"/>
            </w:tcBorders>
            <w:shd w:val="clear" w:color="000000" w:fill="3366FF"/>
            <w:noWrap/>
            <w:vAlign w:val="bottom"/>
            <w:hideMark/>
          </w:tcPr>
          <w:p w14:paraId="03526A27"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36.854,00</w:t>
            </w:r>
          </w:p>
        </w:tc>
        <w:tc>
          <w:tcPr>
            <w:tcW w:w="1559" w:type="dxa"/>
            <w:tcBorders>
              <w:top w:val="nil"/>
              <w:left w:val="nil"/>
              <w:bottom w:val="single" w:sz="4" w:space="0" w:color="auto"/>
              <w:right w:val="single" w:sz="4" w:space="0" w:color="auto"/>
            </w:tcBorders>
            <w:shd w:val="clear" w:color="000000" w:fill="3366FF"/>
            <w:noWrap/>
            <w:vAlign w:val="bottom"/>
            <w:hideMark/>
          </w:tcPr>
          <w:p w14:paraId="0BBF1C55"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5,55</w:t>
            </w:r>
          </w:p>
        </w:tc>
        <w:tc>
          <w:tcPr>
            <w:tcW w:w="1803" w:type="dxa"/>
            <w:tcBorders>
              <w:top w:val="nil"/>
              <w:left w:val="nil"/>
              <w:bottom w:val="single" w:sz="4" w:space="0" w:color="auto"/>
              <w:right w:val="single" w:sz="4" w:space="0" w:color="auto"/>
            </w:tcBorders>
            <w:shd w:val="clear" w:color="000000" w:fill="3366FF"/>
            <w:noWrap/>
            <w:vAlign w:val="bottom"/>
            <w:hideMark/>
          </w:tcPr>
          <w:p w14:paraId="3DAEAB45"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700.874,00</w:t>
            </w:r>
          </w:p>
        </w:tc>
      </w:tr>
      <w:tr w:rsidR="00846ACC" w:rsidRPr="004974C0" w14:paraId="424A680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86FEBD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58B7D50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F7518C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51.040,00</w:t>
            </w:r>
          </w:p>
        </w:tc>
        <w:tc>
          <w:tcPr>
            <w:tcW w:w="1843" w:type="dxa"/>
            <w:tcBorders>
              <w:top w:val="nil"/>
              <w:left w:val="nil"/>
              <w:bottom w:val="single" w:sz="4" w:space="0" w:color="auto"/>
              <w:right w:val="single" w:sz="4" w:space="0" w:color="auto"/>
            </w:tcBorders>
            <w:shd w:val="clear" w:color="000000" w:fill="FFFFFF"/>
            <w:noWrap/>
            <w:vAlign w:val="bottom"/>
            <w:hideMark/>
          </w:tcPr>
          <w:p w14:paraId="6A4582C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w:t>
            </w:r>
          </w:p>
        </w:tc>
        <w:tc>
          <w:tcPr>
            <w:tcW w:w="1559" w:type="dxa"/>
            <w:tcBorders>
              <w:top w:val="nil"/>
              <w:left w:val="nil"/>
              <w:bottom w:val="single" w:sz="4" w:space="0" w:color="auto"/>
              <w:right w:val="single" w:sz="4" w:space="0" w:color="auto"/>
            </w:tcBorders>
            <w:shd w:val="clear" w:color="000000" w:fill="FFFFFF"/>
            <w:noWrap/>
            <w:vAlign w:val="bottom"/>
            <w:hideMark/>
          </w:tcPr>
          <w:p w14:paraId="07B80F3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4,90</w:t>
            </w:r>
          </w:p>
        </w:tc>
        <w:tc>
          <w:tcPr>
            <w:tcW w:w="1803" w:type="dxa"/>
            <w:tcBorders>
              <w:top w:val="nil"/>
              <w:left w:val="nil"/>
              <w:bottom w:val="single" w:sz="4" w:space="0" w:color="auto"/>
              <w:right w:val="single" w:sz="4" w:space="0" w:color="auto"/>
            </w:tcBorders>
            <w:shd w:val="clear" w:color="000000" w:fill="FFFFFF"/>
            <w:noWrap/>
            <w:vAlign w:val="bottom"/>
            <w:hideMark/>
          </w:tcPr>
          <w:p w14:paraId="3B2CD73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53.540,00</w:t>
            </w:r>
          </w:p>
        </w:tc>
      </w:tr>
      <w:tr w:rsidR="00846ACC" w:rsidRPr="004974C0" w14:paraId="7D57BC2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B867E3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31A5908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7A63E8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51.040,00</w:t>
            </w:r>
          </w:p>
        </w:tc>
        <w:tc>
          <w:tcPr>
            <w:tcW w:w="1843" w:type="dxa"/>
            <w:tcBorders>
              <w:top w:val="nil"/>
              <w:left w:val="nil"/>
              <w:bottom w:val="single" w:sz="4" w:space="0" w:color="auto"/>
              <w:right w:val="single" w:sz="4" w:space="0" w:color="auto"/>
            </w:tcBorders>
            <w:shd w:val="clear" w:color="000000" w:fill="FFFFFF"/>
            <w:noWrap/>
            <w:vAlign w:val="bottom"/>
            <w:hideMark/>
          </w:tcPr>
          <w:p w14:paraId="7FB945F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w:t>
            </w:r>
          </w:p>
        </w:tc>
        <w:tc>
          <w:tcPr>
            <w:tcW w:w="1559" w:type="dxa"/>
            <w:tcBorders>
              <w:top w:val="nil"/>
              <w:left w:val="nil"/>
              <w:bottom w:val="single" w:sz="4" w:space="0" w:color="auto"/>
              <w:right w:val="single" w:sz="4" w:space="0" w:color="auto"/>
            </w:tcBorders>
            <w:shd w:val="clear" w:color="000000" w:fill="FFFFFF"/>
            <w:noWrap/>
            <w:vAlign w:val="bottom"/>
            <w:hideMark/>
          </w:tcPr>
          <w:p w14:paraId="01BED44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4,90</w:t>
            </w:r>
          </w:p>
        </w:tc>
        <w:tc>
          <w:tcPr>
            <w:tcW w:w="1803" w:type="dxa"/>
            <w:tcBorders>
              <w:top w:val="nil"/>
              <w:left w:val="nil"/>
              <w:bottom w:val="single" w:sz="4" w:space="0" w:color="auto"/>
              <w:right w:val="single" w:sz="4" w:space="0" w:color="auto"/>
            </w:tcBorders>
            <w:shd w:val="clear" w:color="000000" w:fill="FFFFFF"/>
            <w:noWrap/>
            <w:vAlign w:val="bottom"/>
            <w:hideMark/>
          </w:tcPr>
          <w:p w14:paraId="10E35C4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53.540,00</w:t>
            </w:r>
          </w:p>
        </w:tc>
      </w:tr>
      <w:tr w:rsidR="00846ACC" w:rsidRPr="004974C0" w14:paraId="36C3469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29DA030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 VLASTITI PRIHODI</w:t>
            </w:r>
          </w:p>
        </w:tc>
        <w:tc>
          <w:tcPr>
            <w:tcW w:w="1984" w:type="dxa"/>
            <w:tcBorders>
              <w:top w:val="nil"/>
              <w:left w:val="nil"/>
              <w:bottom w:val="single" w:sz="4" w:space="0" w:color="auto"/>
              <w:right w:val="single" w:sz="4" w:space="0" w:color="auto"/>
            </w:tcBorders>
            <w:shd w:val="clear" w:color="000000" w:fill="FFFFFF"/>
            <w:noWrap/>
            <w:vAlign w:val="bottom"/>
            <w:hideMark/>
          </w:tcPr>
          <w:p w14:paraId="2BB2FBE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C75ECD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5.100,00</w:t>
            </w:r>
          </w:p>
        </w:tc>
        <w:tc>
          <w:tcPr>
            <w:tcW w:w="1843" w:type="dxa"/>
            <w:tcBorders>
              <w:top w:val="nil"/>
              <w:left w:val="nil"/>
              <w:bottom w:val="single" w:sz="4" w:space="0" w:color="auto"/>
              <w:right w:val="single" w:sz="4" w:space="0" w:color="auto"/>
            </w:tcBorders>
            <w:shd w:val="clear" w:color="000000" w:fill="FFFFFF"/>
            <w:noWrap/>
            <w:vAlign w:val="bottom"/>
            <w:hideMark/>
          </w:tcPr>
          <w:p w14:paraId="230C930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1.765,00</w:t>
            </w:r>
          </w:p>
        </w:tc>
        <w:tc>
          <w:tcPr>
            <w:tcW w:w="1559" w:type="dxa"/>
            <w:tcBorders>
              <w:top w:val="nil"/>
              <w:left w:val="nil"/>
              <w:bottom w:val="single" w:sz="4" w:space="0" w:color="auto"/>
              <w:right w:val="single" w:sz="4" w:space="0" w:color="auto"/>
            </w:tcBorders>
            <w:shd w:val="clear" w:color="000000" w:fill="FFFFFF"/>
            <w:noWrap/>
            <w:vAlign w:val="bottom"/>
            <w:hideMark/>
          </w:tcPr>
          <w:p w14:paraId="34707A7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34,61</w:t>
            </w:r>
          </w:p>
        </w:tc>
        <w:tc>
          <w:tcPr>
            <w:tcW w:w="1803" w:type="dxa"/>
            <w:tcBorders>
              <w:top w:val="nil"/>
              <w:left w:val="nil"/>
              <w:bottom w:val="single" w:sz="4" w:space="0" w:color="auto"/>
              <w:right w:val="single" w:sz="4" w:space="0" w:color="auto"/>
            </w:tcBorders>
            <w:shd w:val="clear" w:color="000000" w:fill="FFFFFF"/>
            <w:noWrap/>
            <w:vAlign w:val="bottom"/>
            <w:hideMark/>
          </w:tcPr>
          <w:p w14:paraId="5A16C65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6.865,00</w:t>
            </w:r>
          </w:p>
        </w:tc>
      </w:tr>
      <w:tr w:rsidR="00846ACC" w:rsidRPr="004974C0" w14:paraId="4CB8B30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7C7863B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3.9. VLASTITI PRIHODI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3196B1F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D36DB1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5.100,00</w:t>
            </w:r>
          </w:p>
        </w:tc>
        <w:tc>
          <w:tcPr>
            <w:tcW w:w="1843" w:type="dxa"/>
            <w:tcBorders>
              <w:top w:val="nil"/>
              <w:left w:val="nil"/>
              <w:bottom w:val="single" w:sz="4" w:space="0" w:color="auto"/>
              <w:right w:val="single" w:sz="4" w:space="0" w:color="auto"/>
            </w:tcBorders>
            <w:shd w:val="clear" w:color="000000" w:fill="FFFFFF"/>
            <w:noWrap/>
            <w:vAlign w:val="bottom"/>
            <w:hideMark/>
          </w:tcPr>
          <w:p w14:paraId="3C80440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1.765,00</w:t>
            </w:r>
          </w:p>
        </w:tc>
        <w:tc>
          <w:tcPr>
            <w:tcW w:w="1559" w:type="dxa"/>
            <w:tcBorders>
              <w:top w:val="nil"/>
              <w:left w:val="nil"/>
              <w:bottom w:val="single" w:sz="4" w:space="0" w:color="auto"/>
              <w:right w:val="single" w:sz="4" w:space="0" w:color="auto"/>
            </w:tcBorders>
            <w:shd w:val="clear" w:color="000000" w:fill="FFFFFF"/>
            <w:noWrap/>
            <w:vAlign w:val="bottom"/>
            <w:hideMark/>
          </w:tcPr>
          <w:p w14:paraId="1FBE4A1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34,61</w:t>
            </w:r>
          </w:p>
        </w:tc>
        <w:tc>
          <w:tcPr>
            <w:tcW w:w="1803" w:type="dxa"/>
            <w:tcBorders>
              <w:top w:val="nil"/>
              <w:left w:val="nil"/>
              <w:bottom w:val="single" w:sz="4" w:space="0" w:color="auto"/>
              <w:right w:val="single" w:sz="4" w:space="0" w:color="auto"/>
            </w:tcBorders>
            <w:shd w:val="clear" w:color="000000" w:fill="FFFFFF"/>
            <w:noWrap/>
            <w:vAlign w:val="bottom"/>
            <w:hideMark/>
          </w:tcPr>
          <w:p w14:paraId="622BFDE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6.865,00</w:t>
            </w:r>
          </w:p>
        </w:tc>
      </w:tr>
      <w:tr w:rsidR="00846ACC" w:rsidRPr="004974C0" w14:paraId="6F27A8E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64B8F62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 PRIHODI ZA POSEBNE NAMJENE</w:t>
            </w:r>
          </w:p>
        </w:tc>
        <w:tc>
          <w:tcPr>
            <w:tcW w:w="1984" w:type="dxa"/>
            <w:tcBorders>
              <w:top w:val="nil"/>
              <w:left w:val="nil"/>
              <w:bottom w:val="single" w:sz="4" w:space="0" w:color="auto"/>
              <w:right w:val="single" w:sz="4" w:space="0" w:color="auto"/>
            </w:tcBorders>
            <w:shd w:val="clear" w:color="000000" w:fill="FFFFFF"/>
            <w:noWrap/>
            <w:vAlign w:val="bottom"/>
            <w:hideMark/>
          </w:tcPr>
          <w:p w14:paraId="26C7EB2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E94AE0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2.540,00</w:t>
            </w:r>
          </w:p>
        </w:tc>
        <w:tc>
          <w:tcPr>
            <w:tcW w:w="1843" w:type="dxa"/>
            <w:tcBorders>
              <w:top w:val="nil"/>
              <w:left w:val="nil"/>
              <w:bottom w:val="single" w:sz="4" w:space="0" w:color="auto"/>
              <w:right w:val="single" w:sz="4" w:space="0" w:color="auto"/>
            </w:tcBorders>
            <w:shd w:val="clear" w:color="000000" w:fill="FFFFFF"/>
            <w:noWrap/>
            <w:vAlign w:val="bottom"/>
            <w:hideMark/>
          </w:tcPr>
          <w:p w14:paraId="08E5163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5792F7E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3C3C44C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2.540,00</w:t>
            </w:r>
          </w:p>
        </w:tc>
      </w:tr>
      <w:tr w:rsidR="00846ACC" w:rsidRPr="004974C0" w14:paraId="1EB0B570"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F86EC7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4.9. 4.PRIHODI ZA POSEBNE NAMJENE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5629C57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B89C10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2.540,00</w:t>
            </w:r>
          </w:p>
        </w:tc>
        <w:tc>
          <w:tcPr>
            <w:tcW w:w="1843" w:type="dxa"/>
            <w:tcBorders>
              <w:top w:val="nil"/>
              <w:left w:val="nil"/>
              <w:bottom w:val="single" w:sz="4" w:space="0" w:color="auto"/>
              <w:right w:val="single" w:sz="4" w:space="0" w:color="auto"/>
            </w:tcBorders>
            <w:shd w:val="clear" w:color="000000" w:fill="FFFFFF"/>
            <w:noWrap/>
            <w:vAlign w:val="bottom"/>
            <w:hideMark/>
          </w:tcPr>
          <w:p w14:paraId="0EBEC5A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47B102D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6CC6B8E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2.540,00</w:t>
            </w:r>
          </w:p>
        </w:tc>
      </w:tr>
      <w:tr w:rsidR="00846ACC" w:rsidRPr="004974C0" w14:paraId="1AEF9FC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7C2D47A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 POMOĆI</w:t>
            </w:r>
          </w:p>
        </w:tc>
        <w:tc>
          <w:tcPr>
            <w:tcW w:w="1984" w:type="dxa"/>
            <w:tcBorders>
              <w:top w:val="nil"/>
              <w:left w:val="nil"/>
              <w:bottom w:val="single" w:sz="4" w:space="0" w:color="auto"/>
              <w:right w:val="single" w:sz="4" w:space="0" w:color="auto"/>
            </w:tcBorders>
            <w:shd w:val="clear" w:color="000000" w:fill="FFFFFF"/>
            <w:noWrap/>
            <w:vAlign w:val="bottom"/>
            <w:hideMark/>
          </w:tcPr>
          <w:p w14:paraId="7022B3D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E597DB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602.640,00</w:t>
            </w:r>
          </w:p>
        </w:tc>
        <w:tc>
          <w:tcPr>
            <w:tcW w:w="1843" w:type="dxa"/>
            <w:tcBorders>
              <w:top w:val="nil"/>
              <w:left w:val="nil"/>
              <w:bottom w:val="single" w:sz="4" w:space="0" w:color="auto"/>
              <w:right w:val="single" w:sz="4" w:space="0" w:color="auto"/>
            </w:tcBorders>
            <w:shd w:val="clear" w:color="000000" w:fill="FFFFFF"/>
            <w:noWrap/>
            <w:vAlign w:val="bottom"/>
            <w:hideMark/>
          </w:tcPr>
          <w:p w14:paraId="4A37D9A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32.567,00</w:t>
            </w:r>
          </w:p>
        </w:tc>
        <w:tc>
          <w:tcPr>
            <w:tcW w:w="1559" w:type="dxa"/>
            <w:tcBorders>
              <w:top w:val="nil"/>
              <w:left w:val="nil"/>
              <w:bottom w:val="single" w:sz="4" w:space="0" w:color="auto"/>
              <w:right w:val="single" w:sz="4" w:space="0" w:color="auto"/>
            </w:tcBorders>
            <w:shd w:val="clear" w:color="000000" w:fill="FFFFFF"/>
            <w:noWrap/>
            <w:vAlign w:val="bottom"/>
            <w:hideMark/>
          </w:tcPr>
          <w:p w14:paraId="5BA49F5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5,40</w:t>
            </w:r>
          </w:p>
        </w:tc>
        <w:tc>
          <w:tcPr>
            <w:tcW w:w="1803" w:type="dxa"/>
            <w:tcBorders>
              <w:top w:val="nil"/>
              <w:left w:val="nil"/>
              <w:bottom w:val="single" w:sz="4" w:space="0" w:color="auto"/>
              <w:right w:val="single" w:sz="4" w:space="0" w:color="auto"/>
            </w:tcBorders>
            <w:shd w:val="clear" w:color="000000" w:fill="FFFFFF"/>
            <w:noWrap/>
            <w:vAlign w:val="bottom"/>
            <w:hideMark/>
          </w:tcPr>
          <w:p w14:paraId="5582EDF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635.207,00</w:t>
            </w:r>
          </w:p>
        </w:tc>
      </w:tr>
      <w:tr w:rsidR="00846ACC" w:rsidRPr="004974C0" w14:paraId="21FECB7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75D2667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5.1. POTPORA ZA DECENTRALIZIRANE FUNKCIJE</w:t>
            </w:r>
          </w:p>
        </w:tc>
        <w:tc>
          <w:tcPr>
            <w:tcW w:w="1984" w:type="dxa"/>
            <w:tcBorders>
              <w:top w:val="nil"/>
              <w:left w:val="nil"/>
              <w:bottom w:val="single" w:sz="4" w:space="0" w:color="auto"/>
              <w:right w:val="single" w:sz="4" w:space="0" w:color="auto"/>
            </w:tcBorders>
            <w:shd w:val="clear" w:color="000000" w:fill="FFFFFF"/>
            <w:noWrap/>
            <w:vAlign w:val="bottom"/>
            <w:hideMark/>
          </w:tcPr>
          <w:p w14:paraId="23B1F21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CA251B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31.000,00</w:t>
            </w:r>
          </w:p>
        </w:tc>
        <w:tc>
          <w:tcPr>
            <w:tcW w:w="1843" w:type="dxa"/>
            <w:tcBorders>
              <w:top w:val="nil"/>
              <w:left w:val="nil"/>
              <w:bottom w:val="single" w:sz="4" w:space="0" w:color="auto"/>
              <w:right w:val="single" w:sz="4" w:space="0" w:color="auto"/>
            </w:tcBorders>
            <w:shd w:val="clear" w:color="000000" w:fill="FFFFFF"/>
            <w:noWrap/>
            <w:vAlign w:val="bottom"/>
            <w:hideMark/>
          </w:tcPr>
          <w:p w14:paraId="7A26047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9.000,00</w:t>
            </w:r>
          </w:p>
        </w:tc>
        <w:tc>
          <w:tcPr>
            <w:tcW w:w="1559" w:type="dxa"/>
            <w:tcBorders>
              <w:top w:val="nil"/>
              <w:left w:val="nil"/>
              <w:bottom w:val="single" w:sz="4" w:space="0" w:color="auto"/>
              <w:right w:val="single" w:sz="4" w:space="0" w:color="auto"/>
            </w:tcBorders>
            <w:shd w:val="clear" w:color="000000" w:fill="FFFFFF"/>
            <w:noWrap/>
            <w:vAlign w:val="bottom"/>
            <w:hideMark/>
          </w:tcPr>
          <w:p w14:paraId="1F86368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29,03</w:t>
            </w:r>
          </w:p>
        </w:tc>
        <w:tc>
          <w:tcPr>
            <w:tcW w:w="1803" w:type="dxa"/>
            <w:tcBorders>
              <w:top w:val="nil"/>
              <w:left w:val="nil"/>
              <w:bottom w:val="single" w:sz="4" w:space="0" w:color="auto"/>
              <w:right w:val="single" w:sz="4" w:space="0" w:color="auto"/>
            </w:tcBorders>
            <w:shd w:val="clear" w:color="000000" w:fill="FFFFFF"/>
            <w:noWrap/>
            <w:vAlign w:val="bottom"/>
            <w:hideMark/>
          </w:tcPr>
          <w:p w14:paraId="7AE799A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40.000,00</w:t>
            </w:r>
          </w:p>
        </w:tc>
      </w:tr>
      <w:tr w:rsidR="00846ACC" w:rsidRPr="004974C0" w14:paraId="0278362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46CFD9B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FF"/>
            <w:noWrap/>
            <w:vAlign w:val="bottom"/>
            <w:hideMark/>
          </w:tcPr>
          <w:p w14:paraId="2EDFFA4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191437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571.640,00</w:t>
            </w:r>
          </w:p>
        </w:tc>
        <w:tc>
          <w:tcPr>
            <w:tcW w:w="1843" w:type="dxa"/>
            <w:tcBorders>
              <w:top w:val="nil"/>
              <w:left w:val="nil"/>
              <w:bottom w:val="single" w:sz="4" w:space="0" w:color="auto"/>
              <w:right w:val="single" w:sz="4" w:space="0" w:color="auto"/>
            </w:tcBorders>
            <w:shd w:val="clear" w:color="000000" w:fill="FFFFFF"/>
            <w:noWrap/>
            <w:vAlign w:val="bottom"/>
            <w:hideMark/>
          </w:tcPr>
          <w:p w14:paraId="1CD7207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23.567,00</w:t>
            </w:r>
          </w:p>
        </w:tc>
        <w:tc>
          <w:tcPr>
            <w:tcW w:w="1559" w:type="dxa"/>
            <w:tcBorders>
              <w:top w:val="nil"/>
              <w:left w:val="nil"/>
              <w:bottom w:val="single" w:sz="4" w:space="0" w:color="auto"/>
              <w:right w:val="single" w:sz="4" w:space="0" w:color="auto"/>
            </w:tcBorders>
            <w:shd w:val="clear" w:color="000000" w:fill="FFFFFF"/>
            <w:noWrap/>
            <w:vAlign w:val="bottom"/>
            <w:hideMark/>
          </w:tcPr>
          <w:p w14:paraId="0405AAC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4,12</w:t>
            </w:r>
          </w:p>
        </w:tc>
        <w:tc>
          <w:tcPr>
            <w:tcW w:w="1803" w:type="dxa"/>
            <w:tcBorders>
              <w:top w:val="nil"/>
              <w:left w:val="nil"/>
              <w:bottom w:val="single" w:sz="4" w:space="0" w:color="auto"/>
              <w:right w:val="single" w:sz="4" w:space="0" w:color="auto"/>
            </w:tcBorders>
            <w:shd w:val="clear" w:color="000000" w:fill="FFFFFF"/>
            <w:noWrap/>
            <w:vAlign w:val="bottom"/>
            <w:hideMark/>
          </w:tcPr>
          <w:p w14:paraId="687598E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595.207,00</w:t>
            </w:r>
          </w:p>
        </w:tc>
      </w:tr>
      <w:tr w:rsidR="00846ACC" w:rsidRPr="004974C0" w14:paraId="66BA8CA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8C34F2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 DONACIJE</w:t>
            </w:r>
          </w:p>
        </w:tc>
        <w:tc>
          <w:tcPr>
            <w:tcW w:w="1984" w:type="dxa"/>
            <w:tcBorders>
              <w:top w:val="nil"/>
              <w:left w:val="nil"/>
              <w:bottom w:val="single" w:sz="4" w:space="0" w:color="auto"/>
              <w:right w:val="single" w:sz="4" w:space="0" w:color="auto"/>
            </w:tcBorders>
            <w:shd w:val="clear" w:color="000000" w:fill="FFFFFF"/>
            <w:noWrap/>
            <w:vAlign w:val="bottom"/>
            <w:hideMark/>
          </w:tcPr>
          <w:p w14:paraId="57BFD60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5835D2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2.700,00</w:t>
            </w:r>
          </w:p>
        </w:tc>
        <w:tc>
          <w:tcPr>
            <w:tcW w:w="1843" w:type="dxa"/>
            <w:tcBorders>
              <w:top w:val="nil"/>
              <w:left w:val="nil"/>
              <w:bottom w:val="single" w:sz="4" w:space="0" w:color="auto"/>
              <w:right w:val="single" w:sz="4" w:space="0" w:color="auto"/>
            </w:tcBorders>
            <w:shd w:val="clear" w:color="000000" w:fill="FFFFFF"/>
            <w:noWrap/>
            <w:vAlign w:val="bottom"/>
            <w:hideMark/>
          </w:tcPr>
          <w:p w14:paraId="4B99965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22,00</w:t>
            </w:r>
          </w:p>
        </w:tc>
        <w:tc>
          <w:tcPr>
            <w:tcW w:w="1559" w:type="dxa"/>
            <w:tcBorders>
              <w:top w:val="nil"/>
              <w:left w:val="nil"/>
              <w:bottom w:val="single" w:sz="4" w:space="0" w:color="auto"/>
              <w:right w:val="single" w:sz="4" w:space="0" w:color="auto"/>
            </w:tcBorders>
            <w:shd w:val="clear" w:color="000000" w:fill="FFFFFF"/>
            <w:noWrap/>
            <w:vAlign w:val="bottom"/>
            <w:hideMark/>
          </w:tcPr>
          <w:p w14:paraId="5E29FE3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0,81</w:t>
            </w:r>
          </w:p>
        </w:tc>
        <w:tc>
          <w:tcPr>
            <w:tcW w:w="1803" w:type="dxa"/>
            <w:tcBorders>
              <w:top w:val="nil"/>
              <w:left w:val="nil"/>
              <w:bottom w:val="single" w:sz="4" w:space="0" w:color="auto"/>
              <w:right w:val="single" w:sz="4" w:space="0" w:color="auto"/>
            </w:tcBorders>
            <w:shd w:val="clear" w:color="000000" w:fill="FFFFFF"/>
            <w:noWrap/>
            <w:vAlign w:val="bottom"/>
            <w:hideMark/>
          </w:tcPr>
          <w:p w14:paraId="0C09958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2.722,00</w:t>
            </w:r>
          </w:p>
        </w:tc>
      </w:tr>
      <w:tr w:rsidR="00846ACC" w:rsidRPr="004974C0" w14:paraId="69BF8BE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DB29B0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6.9. 6.DONACIJE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67F1B2B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E61A3D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2.700,00</w:t>
            </w:r>
          </w:p>
        </w:tc>
        <w:tc>
          <w:tcPr>
            <w:tcW w:w="1843" w:type="dxa"/>
            <w:tcBorders>
              <w:top w:val="nil"/>
              <w:left w:val="nil"/>
              <w:bottom w:val="single" w:sz="4" w:space="0" w:color="auto"/>
              <w:right w:val="single" w:sz="4" w:space="0" w:color="auto"/>
            </w:tcBorders>
            <w:shd w:val="clear" w:color="000000" w:fill="FFFFFF"/>
            <w:noWrap/>
            <w:vAlign w:val="bottom"/>
            <w:hideMark/>
          </w:tcPr>
          <w:p w14:paraId="42D66F8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22,00</w:t>
            </w:r>
          </w:p>
        </w:tc>
        <w:tc>
          <w:tcPr>
            <w:tcW w:w="1559" w:type="dxa"/>
            <w:tcBorders>
              <w:top w:val="nil"/>
              <w:left w:val="nil"/>
              <w:bottom w:val="single" w:sz="4" w:space="0" w:color="auto"/>
              <w:right w:val="single" w:sz="4" w:space="0" w:color="auto"/>
            </w:tcBorders>
            <w:shd w:val="clear" w:color="000000" w:fill="FFFFFF"/>
            <w:noWrap/>
            <w:vAlign w:val="bottom"/>
            <w:hideMark/>
          </w:tcPr>
          <w:p w14:paraId="378074E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0,81</w:t>
            </w:r>
          </w:p>
        </w:tc>
        <w:tc>
          <w:tcPr>
            <w:tcW w:w="1803" w:type="dxa"/>
            <w:tcBorders>
              <w:top w:val="nil"/>
              <w:left w:val="nil"/>
              <w:bottom w:val="single" w:sz="4" w:space="0" w:color="auto"/>
              <w:right w:val="single" w:sz="4" w:space="0" w:color="auto"/>
            </w:tcBorders>
            <w:shd w:val="clear" w:color="000000" w:fill="FFFFFF"/>
            <w:noWrap/>
            <w:vAlign w:val="bottom"/>
            <w:hideMark/>
          </w:tcPr>
          <w:p w14:paraId="56111E2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2.722,00</w:t>
            </w:r>
          </w:p>
        </w:tc>
      </w:tr>
      <w:tr w:rsidR="00846ACC" w:rsidRPr="004974C0" w14:paraId="0ECAF44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7466D17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5002 Obrazovanje</w:t>
            </w:r>
          </w:p>
        </w:tc>
        <w:tc>
          <w:tcPr>
            <w:tcW w:w="1984" w:type="dxa"/>
            <w:tcBorders>
              <w:top w:val="nil"/>
              <w:left w:val="nil"/>
              <w:bottom w:val="single" w:sz="4" w:space="0" w:color="auto"/>
              <w:right w:val="single" w:sz="4" w:space="0" w:color="auto"/>
            </w:tcBorders>
            <w:shd w:val="clear" w:color="000000" w:fill="9999FF"/>
            <w:noWrap/>
            <w:vAlign w:val="bottom"/>
            <w:hideMark/>
          </w:tcPr>
          <w:p w14:paraId="277DC28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1E9D87A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664.020,00</w:t>
            </w:r>
          </w:p>
        </w:tc>
        <w:tc>
          <w:tcPr>
            <w:tcW w:w="1843" w:type="dxa"/>
            <w:tcBorders>
              <w:top w:val="nil"/>
              <w:left w:val="nil"/>
              <w:bottom w:val="single" w:sz="4" w:space="0" w:color="auto"/>
              <w:right w:val="single" w:sz="4" w:space="0" w:color="auto"/>
            </w:tcBorders>
            <w:shd w:val="clear" w:color="000000" w:fill="9999FF"/>
            <w:noWrap/>
            <w:vAlign w:val="bottom"/>
            <w:hideMark/>
          </w:tcPr>
          <w:p w14:paraId="1C69986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36.854,00</w:t>
            </w:r>
          </w:p>
        </w:tc>
        <w:tc>
          <w:tcPr>
            <w:tcW w:w="1559" w:type="dxa"/>
            <w:tcBorders>
              <w:top w:val="nil"/>
              <w:left w:val="nil"/>
              <w:bottom w:val="single" w:sz="4" w:space="0" w:color="auto"/>
              <w:right w:val="single" w:sz="4" w:space="0" w:color="auto"/>
            </w:tcBorders>
            <w:shd w:val="clear" w:color="000000" w:fill="9999FF"/>
            <w:noWrap/>
            <w:vAlign w:val="bottom"/>
            <w:hideMark/>
          </w:tcPr>
          <w:p w14:paraId="1A08DB5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5,55</w:t>
            </w:r>
          </w:p>
        </w:tc>
        <w:tc>
          <w:tcPr>
            <w:tcW w:w="1803" w:type="dxa"/>
            <w:tcBorders>
              <w:top w:val="nil"/>
              <w:left w:val="nil"/>
              <w:bottom w:val="single" w:sz="4" w:space="0" w:color="auto"/>
              <w:right w:val="single" w:sz="4" w:space="0" w:color="auto"/>
            </w:tcBorders>
            <w:shd w:val="clear" w:color="000000" w:fill="9999FF"/>
            <w:noWrap/>
            <w:vAlign w:val="bottom"/>
            <w:hideMark/>
          </w:tcPr>
          <w:p w14:paraId="60D2B73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700.874,00</w:t>
            </w:r>
          </w:p>
        </w:tc>
      </w:tr>
      <w:tr w:rsidR="00846ACC" w:rsidRPr="004974C0" w14:paraId="0060B55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1B09E59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A500003 Financiranje djelatnosti osnovnog školstva</w:t>
            </w:r>
          </w:p>
        </w:tc>
        <w:tc>
          <w:tcPr>
            <w:tcW w:w="1984" w:type="dxa"/>
            <w:tcBorders>
              <w:top w:val="nil"/>
              <w:left w:val="nil"/>
              <w:bottom w:val="single" w:sz="4" w:space="0" w:color="auto"/>
              <w:right w:val="single" w:sz="4" w:space="0" w:color="auto"/>
            </w:tcBorders>
            <w:shd w:val="clear" w:color="000000" w:fill="CCCCFF"/>
            <w:noWrap/>
            <w:vAlign w:val="bottom"/>
            <w:hideMark/>
          </w:tcPr>
          <w:p w14:paraId="65BA9D1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432A3CA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557.340,00</w:t>
            </w:r>
          </w:p>
        </w:tc>
        <w:tc>
          <w:tcPr>
            <w:tcW w:w="1843" w:type="dxa"/>
            <w:tcBorders>
              <w:top w:val="nil"/>
              <w:left w:val="nil"/>
              <w:bottom w:val="single" w:sz="4" w:space="0" w:color="auto"/>
              <w:right w:val="single" w:sz="4" w:space="0" w:color="auto"/>
            </w:tcBorders>
            <w:shd w:val="clear" w:color="000000" w:fill="CCCCFF"/>
            <w:noWrap/>
            <w:vAlign w:val="bottom"/>
            <w:hideMark/>
          </w:tcPr>
          <w:p w14:paraId="4665815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25.784,00</w:t>
            </w:r>
          </w:p>
        </w:tc>
        <w:tc>
          <w:tcPr>
            <w:tcW w:w="1559" w:type="dxa"/>
            <w:tcBorders>
              <w:top w:val="nil"/>
              <w:left w:val="nil"/>
              <w:bottom w:val="single" w:sz="4" w:space="0" w:color="auto"/>
              <w:right w:val="single" w:sz="4" w:space="0" w:color="auto"/>
            </w:tcBorders>
            <w:shd w:val="clear" w:color="000000" w:fill="CCCCFF"/>
            <w:noWrap/>
            <w:vAlign w:val="bottom"/>
            <w:hideMark/>
          </w:tcPr>
          <w:p w14:paraId="3F20136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4,63</w:t>
            </w:r>
          </w:p>
        </w:tc>
        <w:tc>
          <w:tcPr>
            <w:tcW w:w="1803" w:type="dxa"/>
            <w:tcBorders>
              <w:top w:val="nil"/>
              <w:left w:val="nil"/>
              <w:bottom w:val="single" w:sz="4" w:space="0" w:color="auto"/>
              <w:right w:val="single" w:sz="4" w:space="0" w:color="auto"/>
            </w:tcBorders>
            <w:shd w:val="clear" w:color="000000" w:fill="CCCCFF"/>
            <w:noWrap/>
            <w:vAlign w:val="bottom"/>
            <w:hideMark/>
          </w:tcPr>
          <w:p w14:paraId="4C94B7E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583.124,00</w:t>
            </w:r>
          </w:p>
        </w:tc>
      </w:tr>
      <w:tr w:rsidR="00846ACC" w:rsidRPr="004974C0" w14:paraId="39491A1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919DE4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1071974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0C4365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2.200,00</w:t>
            </w:r>
          </w:p>
        </w:tc>
        <w:tc>
          <w:tcPr>
            <w:tcW w:w="1843" w:type="dxa"/>
            <w:tcBorders>
              <w:top w:val="nil"/>
              <w:left w:val="nil"/>
              <w:bottom w:val="single" w:sz="4" w:space="0" w:color="auto"/>
              <w:right w:val="single" w:sz="4" w:space="0" w:color="auto"/>
            </w:tcBorders>
            <w:shd w:val="clear" w:color="000000" w:fill="FFFF99"/>
            <w:noWrap/>
            <w:vAlign w:val="bottom"/>
            <w:hideMark/>
          </w:tcPr>
          <w:p w14:paraId="32658D9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w:t>
            </w:r>
          </w:p>
        </w:tc>
        <w:tc>
          <w:tcPr>
            <w:tcW w:w="1559" w:type="dxa"/>
            <w:tcBorders>
              <w:top w:val="nil"/>
              <w:left w:val="nil"/>
              <w:bottom w:val="single" w:sz="4" w:space="0" w:color="auto"/>
              <w:right w:val="single" w:sz="4" w:space="0" w:color="auto"/>
            </w:tcBorders>
            <w:shd w:val="clear" w:color="000000" w:fill="FFFF99"/>
            <w:noWrap/>
            <w:vAlign w:val="bottom"/>
            <w:hideMark/>
          </w:tcPr>
          <w:p w14:paraId="7CF4B72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113,64</w:t>
            </w:r>
          </w:p>
        </w:tc>
        <w:tc>
          <w:tcPr>
            <w:tcW w:w="1803" w:type="dxa"/>
            <w:tcBorders>
              <w:top w:val="nil"/>
              <w:left w:val="nil"/>
              <w:bottom w:val="single" w:sz="4" w:space="0" w:color="auto"/>
              <w:right w:val="single" w:sz="4" w:space="0" w:color="auto"/>
            </w:tcBorders>
            <w:shd w:val="clear" w:color="000000" w:fill="FFFF99"/>
            <w:noWrap/>
            <w:vAlign w:val="bottom"/>
            <w:hideMark/>
          </w:tcPr>
          <w:p w14:paraId="5324792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4.700,00</w:t>
            </w:r>
          </w:p>
        </w:tc>
      </w:tr>
      <w:tr w:rsidR="00846ACC" w:rsidRPr="004974C0" w14:paraId="2982C83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47B02C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E257F8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F99461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2.200,00</w:t>
            </w:r>
          </w:p>
        </w:tc>
        <w:tc>
          <w:tcPr>
            <w:tcW w:w="1843" w:type="dxa"/>
            <w:tcBorders>
              <w:top w:val="nil"/>
              <w:left w:val="nil"/>
              <w:bottom w:val="single" w:sz="4" w:space="0" w:color="auto"/>
              <w:right w:val="single" w:sz="4" w:space="0" w:color="auto"/>
            </w:tcBorders>
            <w:shd w:val="clear" w:color="auto" w:fill="auto"/>
            <w:noWrap/>
            <w:vAlign w:val="bottom"/>
            <w:hideMark/>
          </w:tcPr>
          <w:p w14:paraId="7622AC1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2.500,00</w:t>
            </w:r>
          </w:p>
        </w:tc>
        <w:tc>
          <w:tcPr>
            <w:tcW w:w="1559" w:type="dxa"/>
            <w:tcBorders>
              <w:top w:val="nil"/>
              <w:left w:val="nil"/>
              <w:bottom w:val="single" w:sz="4" w:space="0" w:color="auto"/>
              <w:right w:val="single" w:sz="4" w:space="0" w:color="auto"/>
            </w:tcBorders>
            <w:shd w:val="clear" w:color="auto" w:fill="auto"/>
            <w:noWrap/>
            <w:vAlign w:val="bottom"/>
            <w:hideMark/>
          </w:tcPr>
          <w:p w14:paraId="2B317A2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113,64</w:t>
            </w:r>
          </w:p>
        </w:tc>
        <w:tc>
          <w:tcPr>
            <w:tcW w:w="1803" w:type="dxa"/>
            <w:tcBorders>
              <w:top w:val="nil"/>
              <w:left w:val="nil"/>
              <w:bottom w:val="single" w:sz="4" w:space="0" w:color="auto"/>
              <w:right w:val="single" w:sz="4" w:space="0" w:color="auto"/>
            </w:tcBorders>
            <w:shd w:val="clear" w:color="auto" w:fill="auto"/>
            <w:noWrap/>
            <w:vAlign w:val="bottom"/>
            <w:hideMark/>
          </w:tcPr>
          <w:p w14:paraId="2427E4D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4.700,00</w:t>
            </w:r>
          </w:p>
        </w:tc>
      </w:tr>
      <w:tr w:rsidR="00846ACC" w:rsidRPr="004974C0" w14:paraId="7A538DC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94719EE"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7BA8B4A"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A7E68D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2.200,00</w:t>
            </w:r>
          </w:p>
        </w:tc>
        <w:tc>
          <w:tcPr>
            <w:tcW w:w="1843" w:type="dxa"/>
            <w:tcBorders>
              <w:top w:val="nil"/>
              <w:left w:val="nil"/>
              <w:bottom w:val="single" w:sz="4" w:space="0" w:color="auto"/>
              <w:right w:val="single" w:sz="4" w:space="0" w:color="auto"/>
            </w:tcBorders>
            <w:shd w:val="clear" w:color="auto" w:fill="auto"/>
            <w:noWrap/>
            <w:vAlign w:val="bottom"/>
            <w:hideMark/>
          </w:tcPr>
          <w:p w14:paraId="4E8869C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2.500,00</w:t>
            </w:r>
          </w:p>
        </w:tc>
        <w:tc>
          <w:tcPr>
            <w:tcW w:w="1559" w:type="dxa"/>
            <w:tcBorders>
              <w:top w:val="nil"/>
              <w:left w:val="nil"/>
              <w:bottom w:val="single" w:sz="4" w:space="0" w:color="auto"/>
              <w:right w:val="single" w:sz="4" w:space="0" w:color="auto"/>
            </w:tcBorders>
            <w:shd w:val="clear" w:color="auto" w:fill="auto"/>
            <w:noWrap/>
            <w:vAlign w:val="bottom"/>
            <w:hideMark/>
          </w:tcPr>
          <w:p w14:paraId="624ECC2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113,64</w:t>
            </w:r>
          </w:p>
        </w:tc>
        <w:tc>
          <w:tcPr>
            <w:tcW w:w="1803" w:type="dxa"/>
            <w:tcBorders>
              <w:top w:val="nil"/>
              <w:left w:val="nil"/>
              <w:bottom w:val="single" w:sz="4" w:space="0" w:color="auto"/>
              <w:right w:val="single" w:sz="4" w:space="0" w:color="auto"/>
            </w:tcBorders>
            <w:shd w:val="clear" w:color="auto" w:fill="auto"/>
            <w:noWrap/>
            <w:vAlign w:val="bottom"/>
            <w:hideMark/>
          </w:tcPr>
          <w:p w14:paraId="03FC1F9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4.700,00</w:t>
            </w:r>
          </w:p>
        </w:tc>
      </w:tr>
      <w:tr w:rsidR="00846ACC" w:rsidRPr="004974C0" w14:paraId="3B7F481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27333E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3.9. VLASTITI PRIHODI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489A334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EAD097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5.100,00</w:t>
            </w:r>
          </w:p>
        </w:tc>
        <w:tc>
          <w:tcPr>
            <w:tcW w:w="1843" w:type="dxa"/>
            <w:tcBorders>
              <w:top w:val="nil"/>
              <w:left w:val="nil"/>
              <w:bottom w:val="single" w:sz="4" w:space="0" w:color="auto"/>
              <w:right w:val="single" w:sz="4" w:space="0" w:color="auto"/>
            </w:tcBorders>
            <w:shd w:val="clear" w:color="000000" w:fill="FFFF99"/>
            <w:noWrap/>
            <w:vAlign w:val="bottom"/>
            <w:hideMark/>
          </w:tcPr>
          <w:p w14:paraId="2F513E0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1.765,00</w:t>
            </w:r>
          </w:p>
        </w:tc>
        <w:tc>
          <w:tcPr>
            <w:tcW w:w="1559" w:type="dxa"/>
            <w:tcBorders>
              <w:top w:val="nil"/>
              <w:left w:val="nil"/>
              <w:bottom w:val="single" w:sz="4" w:space="0" w:color="auto"/>
              <w:right w:val="single" w:sz="4" w:space="0" w:color="auto"/>
            </w:tcBorders>
            <w:shd w:val="clear" w:color="000000" w:fill="FFFF99"/>
            <w:noWrap/>
            <w:vAlign w:val="bottom"/>
            <w:hideMark/>
          </w:tcPr>
          <w:p w14:paraId="5AC5489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34,61</w:t>
            </w:r>
          </w:p>
        </w:tc>
        <w:tc>
          <w:tcPr>
            <w:tcW w:w="1803" w:type="dxa"/>
            <w:tcBorders>
              <w:top w:val="nil"/>
              <w:left w:val="nil"/>
              <w:bottom w:val="single" w:sz="4" w:space="0" w:color="auto"/>
              <w:right w:val="single" w:sz="4" w:space="0" w:color="auto"/>
            </w:tcBorders>
            <w:shd w:val="clear" w:color="000000" w:fill="FFFF99"/>
            <w:noWrap/>
            <w:vAlign w:val="bottom"/>
            <w:hideMark/>
          </w:tcPr>
          <w:p w14:paraId="5D7DBB1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6.865,00</w:t>
            </w:r>
          </w:p>
        </w:tc>
      </w:tr>
      <w:tr w:rsidR="00846ACC" w:rsidRPr="004974C0" w14:paraId="082CA55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CFD289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70B165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F64567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5.100,00</w:t>
            </w:r>
          </w:p>
        </w:tc>
        <w:tc>
          <w:tcPr>
            <w:tcW w:w="1843" w:type="dxa"/>
            <w:tcBorders>
              <w:top w:val="nil"/>
              <w:left w:val="nil"/>
              <w:bottom w:val="single" w:sz="4" w:space="0" w:color="auto"/>
              <w:right w:val="single" w:sz="4" w:space="0" w:color="auto"/>
            </w:tcBorders>
            <w:shd w:val="clear" w:color="auto" w:fill="auto"/>
            <w:noWrap/>
            <w:vAlign w:val="bottom"/>
            <w:hideMark/>
          </w:tcPr>
          <w:p w14:paraId="075573F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1.765,00</w:t>
            </w:r>
          </w:p>
        </w:tc>
        <w:tc>
          <w:tcPr>
            <w:tcW w:w="1559" w:type="dxa"/>
            <w:tcBorders>
              <w:top w:val="nil"/>
              <w:left w:val="nil"/>
              <w:bottom w:val="single" w:sz="4" w:space="0" w:color="auto"/>
              <w:right w:val="single" w:sz="4" w:space="0" w:color="auto"/>
            </w:tcBorders>
            <w:shd w:val="clear" w:color="auto" w:fill="auto"/>
            <w:noWrap/>
            <w:vAlign w:val="bottom"/>
            <w:hideMark/>
          </w:tcPr>
          <w:p w14:paraId="744F6E3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34,61</w:t>
            </w:r>
          </w:p>
        </w:tc>
        <w:tc>
          <w:tcPr>
            <w:tcW w:w="1803" w:type="dxa"/>
            <w:tcBorders>
              <w:top w:val="nil"/>
              <w:left w:val="nil"/>
              <w:bottom w:val="single" w:sz="4" w:space="0" w:color="auto"/>
              <w:right w:val="single" w:sz="4" w:space="0" w:color="auto"/>
            </w:tcBorders>
            <w:shd w:val="clear" w:color="auto" w:fill="auto"/>
            <w:noWrap/>
            <w:vAlign w:val="bottom"/>
            <w:hideMark/>
          </w:tcPr>
          <w:p w14:paraId="26438AB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6.865,00</w:t>
            </w:r>
          </w:p>
        </w:tc>
      </w:tr>
      <w:tr w:rsidR="00846ACC" w:rsidRPr="004974C0" w14:paraId="6687703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3D073F8"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EFDB7C0"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67F259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5.100,00</w:t>
            </w:r>
          </w:p>
        </w:tc>
        <w:tc>
          <w:tcPr>
            <w:tcW w:w="1843" w:type="dxa"/>
            <w:tcBorders>
              <w:top w:val="nil"/>
              <w:left w:val="nil"/>
              <w:bottom w:val="single" w:sz="4" w:space="0" w:color="auto"/>
              <w:right w:val="single" w:sz="4" w:space="0" w:color="auto"/>
            </w:tcBorders>
            <w:shd w:val="clear" w:color="auto" w:fill="auto"/>
            <w:noWrap/>
            <w:vAlign w:val="bottom"/>
            <w:hideMark/>
          </w:tcPr>
          <w:p w14:paraId="16D2718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1.765,00</w:t>
            </w:r>
          </w:p>
        </w:tc>
        <w:tc>
          <w:tcPr>
            <w:tcW w:w="1559" w:type="dxa"/>
            <w:tcBorders>
              <w:top w:val="nil"/>
              <w:left w:val="nil"/>
              <w:bottom w:val="single" w:sz="4" w:space="0" w:color="auto"/>
              <w:right w:val="single" w:sz="4" w:space="0" w:color="auto"/>
            </w:tcBorders>
            <w:shd w:val="clear" w:color="auto" w:fill="auto"/>
            <w:noWrap/>
            <w:vAlign w:val="bottom"/>
            <w:hideMark/>
          </w:tcPr>
          <w:p w14:paraId="2259B65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34,61</w:t>
            </w:r>
          </w:p>
        </w:tc>
        <w:tc>
          <w:tcPr>
            <w:tcW w:w="1803" w:type="dxa"/>
            <w:tcBorders>
              <w:top w:val="nil"/>
              <w:left w:val="nil"/>
              <w:bottom w:val="single" w:sz="4" w:space="0" w:color="auto"/>
              <w:right w:val="single" w:sz="4" w:space="0" w:color="auto"/>
            </w:tcBorders>
            <w:shd w:val="clear" w:color="auto" w:fill="auto"/>
            <w:noWrap/>
            <w:vAlign w:val="bottom"/>
            <w:hideMark/>
          </w:tcPr>
          <w:p w14:paraId="66B5C65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6.865,00</w:t>
            </w:r>
          </w:p>
        </w:tc>
      </w:tr>
      <w:tr w:rsidR="00846ACC" w:rsidRPr="004974C0" w14:paraId="03EEB59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4E8E20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Izvor  4.9. 4.PRIHODI ZA POSEBNE NAMJENE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2534A7B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012407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2.100,00</w:t>
            </w:r>
          </w:p>
        </w:tc>
        <w:tc>
          <w:tcPr>
            <w:tcW w:w="1843" w:type="dxa"/>
            <w:tcBorders>
              <w:top w:val="nil"/>
              <w:left w:val="nil"/>
              <w:bottom w:val="single" w:sz="4" w:space="0" w:color="auto"/>
              <w:right w:val="single" w:sz="4" w:space="0" w:color="auto"/>
            </w:tcBorders>
            <w:shd w:val="clear" w:color="000000" w:fill="FFFF99"/>
            <w:noWrap/>
            <w:vAlign w:val="bottom"/>
            <w:hideMark/>
          </w:tcPr>
          <w:p w14:paraId="0740D9A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5DEB627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2A2C636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2.100,00</w:t>
            </w:r>
          </w:p>
        </w:tc>
      </w:tr>
      <w:tr w:rsidR="00846ACC" w:rsidRPr="004974C0" w14:paraId="15D475C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7B96B1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F4F7B7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740AA7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2.100,00</w:t>
            </w:r>
          </w:p>
        </w:tc>
        <w:tc>
          <w:tcPr>
            <w:tcW w:w="1843" w:type="dxa"/>
            <w:tcBorders>
              <w:top w:val="nil"/>
              <w:left w:val="nil"/>
              <w:bottom w:val="single" w:sz="4" w:space="0" w:color="auto"/>
              <w:right w:val="single" w:sz="4" w:space="0" w:color="auto"/>
            </w:tcBorders>
            <w:shd w:val="clear" w:color="auto" w:fill="auto"/>
            <w:noWrap/>
            <w:vAlign w:val="bottom"/>
            <w:hideMark/>
          </w:tcPr>
          <w:p w14:paraId="16D9A64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6CD9B7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8D2B0C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2.100,00</w:t>
            </w:r>
          </w:p>
        </w:tc>
      </w:tr>
      <w:tr w:rsidR="00846ACC" w:rsidRPr="004974C0" w14:paraId="2435AD1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2B6D83E"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0B92758E"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CB4707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2.100,00</w:t>
            </w:r>
          </w:p>
        </w:tc>
        <w:tc>
          <w:tcPr>
            <w:tcW w:w="1843" w:type="dxa"/>
            <w:tcBorders>
              <w:top w:val="nil"/>
              <w:left w:val="nil"/>
              <w:bottom w:val="single" w:sz="4" w:space="0" w:color="auto"/>
              <w:right w:val="single" w:sz="4" w:space="0" w:color="auto"/>
            </w:tcBorders>
            <w:shd w:val="clear" w:color="auto" w:fill="auto"/>
            <w:noWrap/>
            <w:vAlign w:val="bottom"/>
            <w:hideMark/>
          </w:tcPr>
          <w:p w14:paraId="014AB78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A6FA86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89B987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2.100,00</w:t>
            </w:r>
          </w:p>
        </w:tc>
      </w:tr>
      <w:tr w:rsidR="00846ACC" w:rsidRPr="004974C0" w14:paraId="08DD035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A3D497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5.1. POTPORA ZA DECENTRALIZIRANE FUNKCIJE</w:t>
            </w:r>
          </w:p>
        </w:tc>
        <w:tc>
          <w:tcPr>
            <w:tcW w:w="1984" w:type="dxa"/>
            <w:tcBorders>
              <w:top w:val="nil"/>
              <w:left w:val="nil"/>
              <w:bottom w:val="single" w:sz="4" w:space="0" w:color="auto"/>
              <w:right w:val="single" w:sz="4" w:space="0" w:color="auto"/>
            </w:tcBorders>
            <w:shd w:val="clear" w:color="000000" w:fill="FFFF99"/>
            <w:noWrap/>
            <w:vAlign w:val="bottom"/>
            <w:hideMark/>
          </w:tcPr>
          <w:p w14:paraId="5C384C1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6CBAEB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30.000,00</w:t>
            </w:r>
          </w:p>
        </w:tc>
        <w:tc>
          <w:tcPr>
            <w:tcW w:w="1843" w:type="dxa"/>
            <w:tcBorders>
              <w:top w:val="nil"/>
              <w:left w:val="nil"/>
              <w:bottom w:val="single" w:sz="4" w:space="0" w:color="auto"/>
              <w:right w:val="single" w:sz="4" w:space="0" w:color="auto"/>
            </w:tcBorders>
            <w:shd w:val="clear" w:color="000000" w:fill="FFFF99"/>
            <w:noWrap/>
            <w:vAlign w:val="bottom"/>
            <w:hideMark/>
          </w:tcPr>
          <w:p w14:paraId="7EFADB0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559" w:type="dxa"/>
            <w:tcBorders>
              <w:top w:val="nil"/>
              <w:left w:val="nil"/>
              <w:bottom w:val="single" w:sz="4" w:space="0" w:color="auto"/>
              <w:right w:val="single" w:sz="4" w:space="0" w:color="auto"/>
            </w:tcBorders>
            <w:shd w:val="clear" w:color="000000" w:fill="FFFF99"/>
            <w:noWrap/>
            <w:vAlign w:val="bottom"/>
            <w:hideMark/>
          </w:tcPr>
          <w:p w14:paraId="78B1841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w:t>
            </w:r>
          </w:p>
        </w:tc>
        <w:tc>
          <w:tcPr>
            <w:tcW w:w="1803" w:type="dxa"/>
            <w:tcBorders>
              <w:top w:val="nil"/>
              <w:left w:val="nil"/>
              <w:bottom w:val="single" w:sz="4" w:space="0" w:color="auto"/>
              <w:right w:val="single" w:sz="4" w:space="0" w:color="auto"/>
            </w:tcBorders>
            <w:shd w:val="clear" w:color="000000" w:fill="FFFF99"/>
            <w:noWrap/>
            <w:vAlign w:val="bottom"/>
            <w:hideMark/>
          </w:tcPr>
          <w:p w14:paraId="4D24690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33.000,00</w:t>
            </w:r>
          </w:p>
        </w:tc>
      </w:tr>
      <w:tr w:rsidR="00846ACC" w:rsidRPr="004974C0" w14:paraId="38E1F56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1D5C80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167302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EADF9F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30.000,00</w:t>
            </w:r>
          </w:p>
        </w:tc>
        <w:tc>
          <w:tcPr>
            <w:tcW w:w="1843" w:type="dxa"/>
            <w:tcBorders>
              <w:top w:val="nil"/>
              <w:left w:val="nil"/>
              <w:bottom w:val="single" w:sz="4" w:space="0" w:color="auto"/>
              <w:right w:val="single" w:sz="4" w:space="0" w:color="auto"/>
            </w:tcBorders>
            <w:shd w:val="clear" w:color="auto" w:fill="auto"/>
            <w:noWrap/>
            <w:vAlign w:val="bottom"/>
            <w:hideMark/>
          </w:tcPr>
          <w:p w14:paraId="435B575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w:t>
            </w:r>
          </w:p>
        </w:tc>
        <w:tc>
          <w:tcPr>
            <w:tcW w:w="1559" w:type="dxa"/>
            <w:tcBorders>
              <w:top w:val="nil"/>
              <w:left w:val="nil"/>
              <w:bottom w:val="single" w:sz="4" w:space="0" w:color="auto"/>
              <w:right w:val="single" w:sz="4" w:space="0" w:color="auto"/>
            </w:tcBorders>
            <w:shd w:val="clear" w:color="auto" w:fill="auto"/>
            <w:noWrap/>
            <w:vAlign w:val="bottom"/>
            <w:hideMark/>
          </w:tcPr>
          <w:p w14:paraId="2233747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w:t>
            </w:r>
          </w:p>
        </w:tc>
        <w:tc>
          <w:tcPr>
            <w:tcW w:w="1803" w:type="dxa"/>
            <w:tcBorders>
              <w:top w:val="nil"/>
              <w:left w:val="nil"/>
              <w:bottom w:val="single" w:sz="4" w:space="0" w:color="auto"/>
              <w:right w:val="single" w:sz="4" w:space="0" w:color="auto"/>
            </w:tcBorders>
            <w:shd w:val="clear" w:color="auto" w:fill="auto"/>
            <w:noWrap/>
            <w:vAlign w:val="bottom"/>
            <w:hideMark/>
          </w:tcPr>
          <w:p w14:paraId="2B06A48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33.000,00</w:t>
            </w:r>
          </w:p>
        </w:tc>
      </w:tr>
      <w:tr w:rsidR="00846ACC" w:rsidRPr="004974C0" w14:paraId="5E01DEF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F914D82"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457582F"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75DEC26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30.000,00</w:t>
            </w:r>
          </w:p>
        </w:tc>
        <w:tc>
          <w:tcPr>
            <w:tcW w:w="1843" w:type="dxa"/>
            <w:tcBorders>
              <w:top w:val="nil"/>
              <w:left w:val="nil"/>
              <w:bottom w:val="single" w:sz="4" w:space="0" w:color="auto"/>
              <w:right w:val="single" w:sz="4" w:space="0" w:color="auto"/>
            </w:tcBorders>
            <w:shd w:val="clear" w:color="auto" w:fill="auto"/>
            <w:noWrap/>
            <w:vAlign w:val="bottom"/>
            <w:hideMark/>
          </w:tcPr>
          <w:p w14:paraId="7DD43C7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c>
          <w:tcPr>
            <w:tcW w:w="1559" w:type="dxa"/>
            <w:tcBorders>
              <w:top w:val="nil"/>
              <w:left w:val="nil"/>
              <w:bottom w:val="single" w:sz="4" w:space="0" w:color="auto"/>
              <w:right w:val="single" w:sz="4" w:space="0" w:color="auto"/>
            </w:tcBorders>
            <w:shd w:val="clear" w:color="auto" w:fill="auto"/>
            <w:noWrap/>
            <w:vAlign w:val="bottom"/>
            <w:hideMark/>
          </w:tcPr>
          <w:p w14:paraId="5220554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w:t>
            </w:r>
          </w:p>
        </w:tc>
        <w:tc>
          <w:tcPr>
            <w:tcW w:w="1803" w:type="dxa"/>
            <w:tcBorders>
              <w:top w:val="nil"/>
              <w:left w:val="nil"/>
              <w:bottom w:val="single" w:sz="4" w:space="0" w:color="auto"/>
              <w:right w:val="single" w:sz="4" w:space="0" w:color="auto"/>
            </w:tcBorders>
            <w:shd w:val="clear" w:color="auto" w:fill="auto"/>
            <w:noWrap/>
            <w:vAlign w:val="bottom"/>
            <w:hideMark/>
          </w:tcPr>
          <w:p w14:paraId="3D75747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33.000,00</w:t>
            </w:r>
          </w:p>
        </w:tc>
      </w:tr>
      <w:tr w:rsidR="00846ACC" w:rsidRPr="004974C0" w14:paraId="0682467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08D436A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5041549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5583B3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515.240,00</w:t>
            </w:r>
          </w:p>
        </w:tc>
        <w:tc>
          <w:tcPr>
            <w:tcW w:w="1843" w:type="dxa"/>
            <w:tcBorders>
              <w:top w:val="nil"/>
              <w:left w:val="nil"/>
              <w:bottom w:val="single" w:sz="4" w:space="0" w:color="auto"/>
              <w:right w:val="single" w:sz="4" w:space="0" w:color="auto"/>
            </w:tcBorders>
            <w:shd w:val="clear" w:color="000000" w:fill="FFFF99"/>
            <w:noWrap/>
            <w:vAlign w:val="bottom"/>
            <w:hideMark/>
          </w:tcPr>
          <w:p w14:paraId="54E3A21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18.497,00</w:t>
            </w:r>
          </w:p>
        </w:tc>
        <w:tc>
          <w:tcPr>
            <w:tcW w:w="1559" w:type="dxa"/>
            <w:tcBorders>
              <w:top w:val="nil"/>
              <w:left w:val="nil"/>
              <w:bottom w:val="single" w:sz="4" w:space="0" w:color="auto"/>
              <w:right w:val="single" w:sz="4" w:space="0" w:color="auto"/>
            </w:tcBorders>
            <w:shd w:val="clear" w:color="000000" w:fill="FFFF99"/>
            <w:noWrap/>
            <w:vAlign w:val="bottom"/>
            <w:hideMark/>
          </w:tcPr>
          <w:p w14:paraId="3BCD22F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3,59</w:t>
            </w:r>
          </w:p>
        </w:tc>
        <w:tc>
          <w:tcPr>
            <w:tcW w:w="1803" w:type="dxa"/>
            <w:tcBorders>
              <w:top w:val="nil"/>
              <w:left w:val="nil"/>
              <w:bottom w:val="single" w:sz="4" w:space="0" w:color="auto"/>
              <w:right w:val="single" w:sz="4" w:space="0" w:color="auto"/>
            </w:tcBorders>
            <w:shd w:val="clear" w:color="000000" w:fill="FFFF99"/>
            <w:noWrap/>
            <w:vAlign w:val="bottom"/>
            <w:hideMark/>
          </w:tcPr>
          <w:p w14:paraId="47C25D4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533.737,00</w:t>
            </w:r>
          </w:p>
        </w:tc>
      </w:tr>
      <w:tr w:rsidR="00846ACC" w:rsidRPr="004974C0" w14:paraId="0D630E3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ED50D0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E60C2C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11DC10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515.240,00</w:t>
            </w:r>
          </w:p>
        </w:tc>
        <w:tc>
          <w:tcPr>
            <w:tcW w:w="1843" w:type="dxa"/>
            <w:tcBorders>
              <w:top w:val="nil"/>
              <w:left w:val="nil"/>
              <w:bottom w:val="single" w:sz="4" w:space="0" w:color="auto"/>
              <w:right w:val="single" w:sz="4" w:space="0" w:color="auto"/>
            </w:tcBorders>
            <w:shd w:val="clear" w:color="auto" w:fill="auto"/>
            <w:noWrap/>
            <w:vAlign w:val="bottom"/>
            <w:hideMark/>
          </w:tcPr>
          <w:p w14:paraId="2D824CB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18.497,00</w:t>
            </w:r>
          </w:p>
        </w:tc>
        <w:tc>
          <w:tcPr>
            <w:tcW w:w="1559" w:type="dxa"/>
            <w:tcBorders>
              <w:top w:val="nil"/>
              <w:left w:val="nil"/>
              <w:bottom w:val="single" w:sz="4" w:space="0" w:color="auto"/>
              <w:right w:val="single" w:sz="4" w:space="0" w:color="auto"/>
            </w:tcBorders>
            <w:shd w:val="clear" w:color="auto" w:fill="auto"/>
            <w:noWrap/>
            <w:vAlign w:val="bottom"/>
            <w:hideMark/>
          </w:tcPr>
          <w:p w14:paraId="7AC5939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3,59</w:t>
            </w:r>
          </w:p>
        </w:tc>
        <w:tc>
          <w:tcPr>
            <w:tcW w:w="1803" w:type="dxa"/>
            <w:tcBorders>
              <w:top w:val="nil"/>
              <w:left w:val="nil"/>
              <w:bottom w:val="single" w:sz="4" w:space="0" w:color="auto"/>
              <w:right w:val="single" w:sz="4" w:space="0" w:color="auto"/>
            </w:tcBorders>
            <w:shd w:val="clear" w:color="auto" w:fill="auto"/>
            <w:noWrap/>
            <w:vAlign w:val="bottom"/>
            <w:hideMark/>
          </w:tcPr>
          <w:p w14:paraId="08BB1D6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533.737,00</w:t>
            </w:r>
          </w:p>
        </w:tc>
      </w:tr>
      <w:tr w:rsidR="00846ACC" w:rsidRPr="004974C0" w14:paraId="6BD3BBF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C2651F7"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55234AB8"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45F6547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498.700,00</w:t>
            </w:r>
          </w:p>
        </w:tc>
        <w:tc>
          <w:tcPr>
            <w:tcW w:w="1843" w:type="dxa"/>
            <w:tcBorders>
              <w:top w:val="nil"/>
              <w:left w:val="nil"/>
              <w:bottom w:val="single" w:sz="4" w:space="0" w:color="auto"/>
              <w:right w:val="single" w:sz="4" w:space="0" w:color="auto"/>
            </w:tcBorders>
            <w:shd w:val="clear" w:color="auto" w:fill="auto"/>
            <w:noWrap/>
            <w:vAlign w:val="bottom"/>
            <w:hideMark/>
          </w:tcPr>
          <w:p w14:paraId="1612B74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15.980,00</w:t>
            </w:r>
          </w:p>
        </w:tc>
        <w:tc>
          <w:tcPr>
            <w:tcW w:w="1559" w:type="dxa"/>
            <w:tcBorders>
              <w:top w:val="nil"/>
              <w:left w:val="nil"/>
              <w:bottom w:val="single" w:sz="4" w:space="0" w:color="auto"/>
              <w:right w:val="single" w:sz="4" w:space="0" w:color="auto"/>
            </w:tcBorders>
            <w:shd w:val="clear" w:color="auto" w:fill="auto"/>
            <w:noWrap/>
            <w:vAlign w:val="bottom"/>
            <w:hideMark/>
          </w:tcPr>
          <w:p w14:paraId="670E60D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3,20</w:t>
            </w:r>
          </w:p>
        </w:tc>
        <w:tc>
          <w:tcPr>
            <w:tcW w:w="1803" w:type="dxa"/>
            <w:tcBorders>
              <w:top w:val="nil"/>
              <w:left w:val="nil"/>
              <w:bottom w:val="single" w:sz="4" w:space="0" w:color="auto"/>
              <w:right w:val="single" w:sz="4" w:space="0" w:color="auto"/>
            </w:tcBorders>
            <w:shd w:val="clear" w:color="auto" w:fill="auto"/>
            <w:noWrap/>
            <w:vAlign w:val="bottom"/>
            <w:hideMark/>
          </w:tcPr>
          <w:p w14:paraId="2DA69CA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514.680,00</w:t>
            </w:r>
          </w:p>
        </w:tc>
      </w:tr>
      <w:tr w:rsidR="00846ACC" w:rsidRPr="004974C0" w14:paraId="2C51D86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4DF70D0"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7AF7B34D"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BA685B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16.500,00</w:t>
            </w:r>
          </w:p>
        </w:tc>
        <w:tc>
          <w:tcPr>
            <w:tcW w:w="1843" w:type="dxa"/>
            <w:tcBorders>
              <w:top w:val="nil"/>
              <w:left w:val="nil"/>
              <w:bottom w:val="single" w:sz="4" w:space="0" w:color="auto"/>
              <w:right w:val="single" w:sz="4" w:space="0" w:color="auto"/>
            </w:tcBorders>
            <w:shd w:val="clear" w:color="auto" w:fill="auto"/>
            <w:noWrap/>
            <w:vAlign w:val="bottom"/>
            <w:hideMark/>
          </w:tcPr>
          <w:p w14:paraId="0E6470F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2.517,00</w:t>
            </w:r>
          </w:p>
        </w:tc>
        <w:tc>
          <w:tcPr>
            <w:tcW w:w="1559" w:type="dxa"/>
            <w:tcBorders>
              <w:top w:val="nil"/>
              <w:left w:val="nil"/>
              <w:bottom w:val="single" w:sz="4" w:space="0" w:color="auto"/>
              <w:right w:val="single" w:sz="4" w:space="0" w:color="auto"/>
            </w:tcBorders>
            <w:shd w:val="clear" w:color="auto" w:fill="auto"/>
            <w:noWrap/>
            <w:vAlign w:val="bottom"/>
            <w:hideMark/>
          </w:tcPr>
          <w:p w14:paraId="3E4E38A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15,25</w:t>
            </w:r>
          </w:p>
        </w:tc>
        <w:tc>
          <w:tcPr>
            <w:tcW w:w="1803" w:type="dxa"/>
            <w:tcBorders>
              <w:top w:val="nil"/>
              <w:left w:val="nil"/>
              <w:bottom w:val="single" w:sz="4" w:space="0" w:color="auto"/>
              <w:right w:val="single" w:sz="4" w:space="0" w:color="auto"/>
            </w:tcBorders>
            <w:shd w:val="clear" w:color="auto" w:fill="auto"/>
            <w:noWrap/>
            <w:vAlign w:val="bottom"/>
            <w:hideMark/>
          </w:tcPr>
          <w:p w14:paraId="59E11E3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19.017,00</w:t>
            </w:r>
          </w:p>
        </w:tc>
      </w:tr>
      <w:tr w:rsidR="00846ACC" w:rsidRPr="004974C0" w14:paraId="52D27E8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AE719B7" w14:textId="77777777" w:rsidR="004974C0" w:rsidRPr="004974C0" w:rsidRDefault="004974C0" w:rsidP="004974C0">
            <w:pPr>
              <w:rPr>
                <w:rFonts w:ascii="Arial" w:hAnsi="Arial" w:cs="Arial"/>
                <w:sz w:val="20"/>
                <w:szCs w:val="20"/>
              </w:rPr>
            </w:pPr>
            <w:r w:rsidRPr="004974C0">
              <w:rPr>
                <w:rFonts w:ascii="Arial" w:hAnsi="Arial" w:cs="Arial"/>
                <w:sz w:val="20"/>
                <w:szCs w:val="20"/>
              </w:rPr>
              <w:t>38</w:t>
            </w:r>
          </w:p>
        </w:tc>
        <w:tc>
          <w:tcPr>
            <w:tcW w:w="1984" w:type="dxa"/>
            <w:tcBorders>
              <w:top w:val="nil"/>
              <w:left w:val="nil"/>
              <w:bottom w:val="single" w:sz="4" w:space="0" w:color="auto"/>
              <w:right w:val="single" w:sz="4" w:space="0" w:color="auto"/>
            </w:tcBorders>
            <w:shd w:val="clear" w:color="auto" w:fill="auto"/>
            <w:noWrap/>
            <w:vAlign w:val="bottom"/>
            <w:hideMark/>
          </w:tcPr>
          <w:p w14:paraId="6ED273D2"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donacije, kazne, naknade šteta i kapitalne pomoći</w:t>
            </w:r>
          </w:p>
        </w:tc>
        <w:tc>
          <w:tcPr>
            <w:tcW w:w="1843" w:type="dxa"/>
            <w:tcBorders>
              <w:top w:val="nil"/>
              <w:left w:val="nil"/>
              <w:bottom w:val="single" w:sz="4" w:space="0" w:color="auto"/>
              <w:right w:val="single" w:sz="4" w:space="0" w:color="auto"/>
            </w:tcBorders>
            <w:shd w:val="clear" w:color="auto" w:fill="auto"/>
            <w:noWrap/>
            <w:vAlign w:val="bottom"/>
            <w:hideMark/>
          </w:tcPr>
          <w:p w14:paraId="1AB2202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w:t>
            </w:r>
          </w:p>
        </w:tc>
        <w:tc>
          <w:tcPr>
            <w:tcW w:w="1843" w:type="dxa"/>
            <w:tcBorders>
              <w:top w:val="nil"/>
              <w:left w:val="nil"/>
              <w:bottom w:val="single" w:sz="4" w:space="0" w:color="auto"/>
              <w:right w:val="single" w:sz="4" w:space="0" w:color="auto"/>
            </w:tcBorders>
            <w:shd w:val="clear" w:color="auto" w:fill="auto"/>
            <w:noWrap/>
            <w:vAlign w:val="bottom"/>
            <w:hideMark/>
          </w:tcPr>
          <w:p w14:paraId="3E890C9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AB4666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5C85E3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w:t>
            </w:r>
          </w:p>
        </w:tc>
      </w:tr>
      <w:tr w:rsidR="00846ACC" w:rsidRPr="004974C0" w14:paraId="51076CE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04CDD2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6.9. 6.DONACIJE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4FCC1DE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4A3AB0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2.700,00</w:t>
            </w:r>
          </w:p>
        </w:tc>
        <w:tc>
          <w:tcPr>
            <w:tcW w:w="1843" w:type="dxa"/>
            <w:tcBorders>
              <w:top w:val="nil"/>
              <w:left w:val="nil"/>
              <w:bottom w:val="single" w:sz="4" w:space="0" w:color="auto"/>
              <w:right w:val="single" w:sz="4" w:space="0" w:color="auto"/>
            </w:tcBorders>
            <w:shd w:val="clear" w:color="000000" w:fill="FFFF99"/>
            <w:noWrap/>
            <w:vAlign w:val="bottom"/>
            <w:hideMark/>
          </w:tcPr>
          <w:p w14:paraId="75E5781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22,00</w:t>
            </w:r>
          </w:p>
        </w:tc>
        <w:tc>
          <w:tcPr>
            <w:tcW w:w="1559" w:type="dxa"/>
            <w:tcBorders>
              <w:top w:val="nil"/>
              <w:left w:val="nil"/>
              <w:bottom w:val="single" w:sz="4" w:space="0" w:color="auto"/>
              <w:right w:val="single" w:sz="4" w:space="0" w:color="auto"/>
            </w:tcBorders>
            <w:shd w:val="clear" w:color="000000" w:fill="FFFF99"/>
            <w:noWrap/>
            <w:vAlign w:val="bottom"/>
            <w:hideMark/>
          </w:tcPr>
          <w:p w14:paraId="7F3D2C4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0,81</w:t>
            </w:r>
          </w:p>
        </w:tc>
        <w:tc>
          <w:tcPr>
            <w:tcW w:w="1803" w:type="dxa"/>
            <w:tcBorders>
              <w:top w:val="nil"/>
              <w:left w:val="nil"/>
              <w:bottom w:val="single" w:sz="4" w:space="0" w:color="auto"/>
              <w:right w:val="single" w:sz="4" w:space="0" w:color="auto"/>
            </w:tcBorders>
            <w:shd w:val="clear" w:color="000000" w:fill="FFFF99"/>
            <w:noWrap/>
            <w:vAlign w:val="bottom"/>
            <w:hideMark/>
          </w:tcPr>
          <w:p w14:paraId="68D8677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2.722,00</w:t>
            </w:r>
          </w:p>
        </w:tc>
      </w:tr>
      <w:tr w:rsidR="00846ACC" w:rsidRPr="004974C0" w14:paraId="2F60652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4E96D6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A16C49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68082D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1.700,00</w:t>
            </w:r>
          </w:p>
        </w:tc>
        <w:tc>
          <w:tcPr>
            <w:tcW w:w="1843" w:type="dxa"/>
            <w:tcBorders>
              <w:top w:val="nil"/>
              <w:left w:val="nil"/>
              <w:bottom w:val="single" w:sz="4" w:space="0" w:color="auto"/>
              <w:right w:val="single" w:sz="4" w:space="0" w:color="auto"/>
            </w:tcBorders>
            <w:shd w:val="clear" w:color="auto" w:fill="auto"/>
            <w:noWrap/>
            <w:vAlign w:val="bottom"/>
            <w:hideMark/>
          </w:tcPr>
          <w:p w14:paraId="4B291FF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22,00</w:t>
            </w:r>
          </w:p>
        </w:tc>
        <w:tc>
          <w:tcPr>
            <w:tcW w:w="1559" w:type="dxa"/>
            <w:tcBorders>
              <w:top w:val="nil"/>
              <w:left w:val="nil"/>
              <w:bottom w:val="single" w:sz="4" w:space="0" w:color="auto"/>
              <w:right w:val="single" w:sz="4" w:space="0" w:color="auto"/>
            </w:tcBorders>
            <w:shd w:val="clear" w:color="auto" w:fill="auto"/>
            <w:noWrap/>
            <w:vAlign w:val="bottom"/>
            <w:hideMark/>
          </w:tcPr>
          <w:p w14:paraId="03BD269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1,29</w:t>
            </w:r>
          </w:p>
        </w:tc>
        <w:tc>
          <w:tcPr>
            <w:tcW w:w="1803" w:type="dxa"/>
            <w:tcBorders>
              <w:top w:val="nil"/>
              <w:left w:val="nil"/>
              <w:bottom w:val="single" w:sz="4" w:space="0" w:color="auto"/>
              <w:right w:val="single" w:sz="4" w:space="0" w:color="auto"/>
            </w:tcBorders>
            <w:shd w:val="clear" w:color="auto" w:fill="auto"/>
            <w:noWrap/>
            <w:vAlign w:val="bottom"/>
            <w:hideMark/>
          </w:tcPr>
          <w:p w14:paraId="0A7E6E7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1.722,00</w:t>
            </w:r>
          </w:p>
        </w:tc>
      </w:tr>
      <w:tr w:rsidR="00846ACC" w:rsidRPr="004974C0" w14:paraId="62E5266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0158387"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74639D45"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C9547F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1.700,00</w:t>
            </w:r>
          </w:p>
        </w:tc>
        <w:tc>
          <w:tcPr>
            <w:tcW w:w="1843" w:type="dxa"/>
            <w:tcBorders>
              <w:top w:val="nil"/>
              <w:left w:val="nil"/>
              <w:bottom w:val="single" w:sz="4" w:space="0" w:color="auto"/>
              <w:right w:val="single" w:sz="4" w:space="0" w:color="auto"/>
            </w:tcBorders>
            <w:shd w:val="clear" w:color="auto" w:fill="auto"/>
            <w:noWrap/>
            <w:vAlign w:val="bottom"/>
            <w:hideMark/>
          </w:tcPr>
          <w:p w14:paraId="75F7B2B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22,00</w:t>
            </w:r>
          </w:p>
        </w:tc>
        <w:tc>
          <w:tcPr>
            <w:tcW w:w="1559" w:type="dxa"/>
            <w:tcBorders>
              <w:top w:val="nil"/>
              <w:left w:val="nil"/>
              <w:bottom w:val="single" w:sz="4" w:space="0" w:color="auto"/>
              <w:right w:val="single" w:sz="4" w:space="0" w:color="auto"/>
            </w:tcBorders>
            <w:shd w:val="clear" w:color="auto" w:fill="auto"/>
            <w:noWrap/>
            <w:vAlign w:val="bottom"/>
            <w:hideMark/>
          </w:tcPr>
          <w:p w14:paraId="3A8FEF5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1,29</w:t>
            </w:r>
          </w:p>
        </w:tc>
        <w:tc>
          <w:tcPr>
            <w:tcW w:w="1803" w:type="dxa"/>
            <w:tcBorders>
              <w:top w:val="nil"/>
              <w:left w:val="nil"/>
              <w:bottom w:val="single" w:sz="4" w:space="0" w:color="auto"/>
              <w:right w:val="single" w:sz="4" w:space="0" w:color="auto"/>
            </w:tcBorders>
            <w:shd w:val="clear" w:color="auto" w:fill="auto"/>
            <w:noWrap/>
            <w:vAlign w:val="bottom"/>
            <w:hideMark/>
          </w:tcPr>
          <w:p w14:paraId="3EDDED4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1.722,00</w:t>
            </w:r>
          </w:p>
        </w:tc>
      </w:tr>
      <w:tr w:rsidR="00846ACC" w:rsidRPr="004974C0" w14:paraId="71FA165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BFFBE5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6D36304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52E5F1D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5A7CE42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448CA5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786305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r>
      <w:tr w:rsidR="00846ACC" w:rsidRPr="004974C0" w14:paraId="7814CD8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2379DB6"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4AAA1912"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7A90AC1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1B26E56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E3C057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FAAD75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r>
      <w:tr w:rsidR="00846ACC" w:rsidRPr="004974C0" w14:paraId="466B31E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511E47A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A500006 Osiguranje pomoćnika učenicima s teškoćama</w:t>
            </w:r>
          </w:p>
        </w:tc>
        <w:tc>
          <w:tcPr>
            <w:tcW w:w="1984" w:type="dxa"/>
            <w:tcBorders>
              <w:top w:val="nil"/>
              <w:left w:val="nil"/>
              <w:bottom w:val="single" w:sz="4" w:space="0" w:color="auto"/>
              <w:right w:val="single" w:sz="4" w:space="0" w:color="auto"/>
            </w:tcBorders>
            <w:shd w:val="clear" w:color="000000" w:fill="CCCCFF"/>
            <w:noWrap/>
            <w:vAlign w:val="bottom"/>
            <w:hideMark/>
          </w:tcPr>
          <w:p w14:paraId="11AEC85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7947F40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74.000,00</w:t>
            </w:r>
          </w:p>
        </w:tc>
        <w:tc>
          <w:tcPr>
            <w:tcW w:w="1843" w:type="dxa"/>
            <w:tcBorders>
              <w:top w:val="nil"/>
              <w:left w:val="nil"/>
              <w:bottom w:val="single" w:sz="4" w:space="0" w:color="auto"/>
              <w:right w:val="single" w:sz="4" w:space="0" w:color="auto"/>
            </w:tcBorders>
            <w:shd w:val="clear" w:color="000000" w:fill="CCCCFF"/>
            <w:noWrap/>
            <w:vAlign w:val="bottom"/>
            <w:hideMark/>
          </w:tcPr>
          <w:p w14:paraId="58690B7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50E93E6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1F0CBAE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74.000,00</w:t>
            </w:r>
          </w:p>
        </w:tc>
      </w:tr>
      <w:tr w:rsidR="00846ACC" w:rsidRPr="004974C0" w14:paraId="448CE71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966E3D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1B3F259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091E91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31.400,00</w:t>
            </w:r>
          </w:p>
        </w:tc>
        <w:tc>
          <w:tcPr>
            <w:tcW w:w="1843" w:type="dxa"/>
            <w:tcBorders>
              <w:top w:val="nil"/>
              <w:left w:val="nil"/>
              <w:bottom w:val="single" w:sz="4" w:space="0" w:color="auto"/>
              <w:right w:val="single" w:sz="4" w:space="0" w:color="auto"/>
            </w:tcBorders>
            <w:shd w:val="clear" w:color="000000" w:fill="FFFF99"/>
            <w:noWrap/>
            <w:vAlign w:val="bottom"/>
            <w:hideMark/>
          </w:tcPr>
          <w:p w14:paraId="58A741D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23968B7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6170EEF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31.400,00</w:t>
            </w:r>
          </w:p>
        </w:tc>
      </w:tr>
      <w:tr w:rsidR="00846ACC" w:rsidRPr="004974C0" w14:paraId="5312AAA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C8ABB1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137673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57FCCD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31.400,00</w:t>
            </w:r>
          </w:p>
        </w:tc>
        <w:tc>
          <w:tcPr>
            <w:tcW w:w="1843" w:type="dxa"/>
            <w:tcBorders>
              <w:top w:val="nil"/>
              <w:left w:val="nil"/>
              <w:bottom w:val="single" w:sz="4" w:space="0" w:color="auto"/>
              <w:right w:val="single" w:sz="4" w:space="0" w:color="auto"/>
            </w:tcBorders>
            <w:shd w:val="clear" w:color="auto" w:fill="auto"/>
            <w:noWrap/>
            <w:vAlign w:val="bottom"/>
            <w:hideMark/>
          </w:tcPr>
          <w:p w14:paraId="72E2842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6F5F9B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57A621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31.400,00</w:t>
            </w:r>
          </w:p>
        </w:tc>
      </w:tr>
      <w:tr w:rsidR="00846ACC" w:rsidRPr="004974C0" w14:paraId="1C973A4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E29CABF" w14:textId="77777777" w:rsidR="004974C0" w:rsidRPr="004974C0" w:rsidRDefault="004974C0" w:rsidP="004974C0">
            <w:pPr>
              <w:rPr>
                <w:rFonts w:ascii="Arial" w:hAnsi="Arial" w:cs="Arial"/>
                <w:sz w:val="20"/>
                <w:szCs w:val="20"/>
              </w:rPr>
            </w:pPr>
            <w:r w:rsidRPr="004974C0">
              <w:rPr>
                <w:rFonts w:ascii="Arial" w:hAnsi="Arial" w:cs="Arial"/>
                <w:sz w:val="20"/>
                <w:szCs w:val="20"/>
              </w:rPr>
              <w:lastRenderedPageBreak/>
              <w:t>31</w:t>
            </w:r>
          </w:p>
        </w:tc>
        <w:tc>
          <w:tcPr>
            <w:tcW w:w="1984" w:type="dxa"/>
            <w:tcBorders>
              <w:top w:val="nil"/>
              <w:left w:val="nil"/>
              <w:bottom w:val="single" w:sz="4" w:space="0" w:color="auto"/>
              <w:right w:val="single" w:sz="4" w:space="0" w:color="auto"/>
            </w:tcBorders>
            <w:shd w:val="clear" w:color="auto" w:fill="auto"/>
            <w:noWrap/>
            <w:vAlign w:val="bottom"/>
            <w:hideMark/>
          </w:tcPr>
          <w:p w14:paraId="7453C173"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4C313E3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31.400,00</w:t>
            </w:r>
          </w:p>
        </w:tc>
        <w:tc>
          <w:tcPr>
            <w:tcW w:w="1843" w:type="dxa"/>
            <w:tcBorders>
              <w:top w:val="nil"/>
              <w:left w:val="nil"/>
              <w:bottom w:val="single" w:sz="4" w:space="0" w:color="auto"/>
              <w:right w:val="single" w:sz="4" w:space="0" w:color="auto"/>
            </w:tcBorders>
            <w:shd w:val="clear" w:color="auto" w:fill="auto"/>
            <w:noWrap/>
            <w:vAlign w:val="bottom"/>
            <w:hideMark/>
          </w:tcPr>
          <w:p w14:paraId="182D352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95DCDB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EAA0BE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31.400,00</w:t>
            </w:r>
          </w:p>
        </w:tc>
      </w:tr>
      <w:tr w:rsidR="00846ACC" w:rsidRPr="004974C0" w14:paraId="51DD3AF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0A40A8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6034376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E3F49E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42.600,00</w:t>
            </w:r>
          </w:p>
        </w:tc>
        <w:tc>
          <w:tcPr>
            <w:tcW w:w="1843" w:type="dxa"/>
            <w:tcBorders>
              <w:top w:val="nil"/>
              <w:left w:val="nil"/>
              <w:bottom w:val="single" w:sz="4" w:space="0" w:color="auto"/>
              <w:right w:val="single" w:sz="4" w:space="0" w:color="auto"/>
            </w:tcBorders>
            <w:shd w:val="clear" w:color="000000" w:fill="FFFF99"/>
            <w:noWrap/>
            <w:vAlign w:val="bottom"/>
            <w:hideMark/>
          </w:tcPr>
          <w:p w14:paraId="6D03260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2CD748E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A14250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42.600,00</w:t>
            </w:r>
          </w:p>
        </w:tc>
      </w:tr>
      <w:tr w:rsidR="00846ACC" w:rsidRPr="004974C0" w14:paraId="21DAA00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F2CAD4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6000BE4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178FC3A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42.600,00</w:t>
            </w:r>
          </w:p>
        </w:tc>
        <w:tc>
          <w:tcPr>
            <w:tcW w:w="1843" w:type="dxa"/>
            <w:tcBorders>
              <w:top w:val="nil"/>
              <w:left w:val="nil"/>
              <w:bottom w:val="single" w:sz="4" w:space="0" w:color="auto"/>
              <w:right w:val="single" w:sz="4" w:space="0" w:color="auto"/>
            </w:tcBorders>
            <w:shd w:val="clear" w:color="auto" w:fill="auto"/>
            <w:noWrap/>
            <w:vAlign w:val="bottom"/>
            <w:hideMark/>
          </w:tcPr>
          <w:p w14:paraId="01523AD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AA8C53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7A1B64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42.600,00</w:t>
            </w:r>
          </w:p>
        </w:tc>
      </w:tr>
      <w:tr w:rsidR="00846ACC" w:rsidRPr="004974C0" w14:paraId="0E98136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B3AFFE4"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0177C09F"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6A2551B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41.900,00</w:t>
            </w:r>
          </w:p>
        </w:tc>
        <w:tc>
          <w:tcPr>
            <w:tcW w:w="1843" w:type="dxa"/>
            <w:tcBorders>
              <w:top w:val="nil"/>
              <w:left w:val="nil"/>
              <w:bottom w:val="single" w:sz="4" w:space="0" w:color="auto"/>
              <w:right w:val="single" w:sz="4" w:space="0" w:color="auto"/>
            </w:tcBorders>
            <w:shd w:val="clear" w:color="auto" w:fill="auto"/>
            <w:noWrap/>
            <w:vAlign w:val="bottom"/>
            <w:hideMark/>
          </w:tcPr>
          <w:p w14:paraId="34BD2EB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8B678E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B49F06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41.900,00</w:t>
            </w:r>
          </w:p>
        </w:tc>
      </w:tr>
      <w:tr w:rsidR="00846ACC" w:rsidRPr="004974C0" w14:paraId="61E8320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B2E3A66"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37835A49"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52B667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w:t>
            </w:r>
          </w:p>
        </w:tc>
        <w:tc>
          <w:tcPr>
            <w:tcW w:w="1843" w:type="dxa"/>
            <w:tcBorders>
              <w:top w:val="nil"/>
              <w:left w:val="nil"/>
              <w:bottom w:val="single" w:sz="4" w:space="0" w:color="auto"/>
              <w:right w:val="single" w:sz="4" w:space="0" w:color="auto"/>
            </w:tcBorders>
            <w:shd w:val="clear" w:color="auto" w:fill="auto"/>
            <w:noWrap/>
            <w:vAlign w:val="bottom"/>
            <w:hideMark/>
          </w:tcPr>
          <w:p w14:paraId="2D074CD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C1C550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5F70E3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w:t>
            </w:r>
          </w:p>
        </w:tc>
      </w:tr>
      <w:tr w:rsidR="00846ACC" w:rsidRPr="004974C0" w14:paraId="3477201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3D5557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A500007 Financiranje izvannastavnih projekata i drugo</w:t>
            </w:r>
          </w:p>
        </w:tc>
        <w:tc>
          <w:tcPr>
            <w:tcW w:w="1984" w:type="dxa"/>
            <w:tcBorders>
              <w:top w:val="nil"/>
              <w:left w:val="nil"/>
              <w:bottom w:val="single" w:sz="4" w:space="0" w:color="auto"/>
              <w:right w:val="single" w:sz="4" w:space="0" w:color="auto"/>
            </w:tcBorders>
            <w:shd w:val="clear" w:color="000000" w:fill="CCCCFF"/>
            <w:noWrap/>
            <w:vAlign w:val="bottom"/>
            <w:hideMark/>
          </w:tcPr>
          <w:p w14:paraId="4A3DC02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3E00876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w:t>
            </w:r>
          </w:p>
        </w:tc>
        <w:tc>
          <w:tcPr>
            <w:tcW w:w="1843" w:type="dxa"/>
            <w:tcBorders>
              <w:top w:val="nil"/>
              <w:left w:val="nil"/>
              <w:bottom w:val="single" w:sz="4" w:space="0" w:color="auto"/>
              <w:right w:val="single" w:sz="4" w:space="0" w:color="auto"/>
            </w:tcBorders>
            <w:shd w:val="clear" w:color="000000" w:fill="CCCCFF"/>
            <w:noWrap/>
            <w:vAlign w:val="bottom"/>
            <w:hideMark/>
          </w:tcPr>
          <w:p w14:paraId="35577D5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786F72C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66931AC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w:t>
            </w:r>
          </w:p>
        </w:tc>
      </w:tr>
      <w:tr w:rsidR="00846ACC" w:rsidRPr="004974C0" w14:paraId="0C99B43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9168CA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511F10B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FD1878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w:t>
            </w:r>
          </w:p>
        </w:tc>
        <w:tc>
          <w:tcPr>
            <w:tcW w:w="1843" w:type="dxa"/>
            <w:tcBorders>
              <w:top w:val="nil"/>
              <w:left w:val="nil"/>
              <w:bottom w:val="single" w:sz="4" w:space="0" w:color="auto"/>
              <w:right w:val="single" w:sz="4" w:space="0" w:color="auto"/>
            </w:tcBorders>
            <w:shd w:val="clear" w:color="000000" w:fill="FFFF99"/>
            <w:noWrap/>
            <w:vAlign w:val="bottom"/>
            <w:hideMark/>
          </w:tcPr>
          <w:p w14:paraId="1449760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61429E0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3B61D9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w:t>
            </w:r>
          </w:p>
        </w:tc>
      </w:tr>
      <w:tr w:rsidR="00846ACC" w:rsidRPr="004974C0" w14:paraId="2CBEB99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FA2BE8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174FFA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07FF6F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1.300,00</w:t>
            </w:r>
          </w:p>
        </w:tc>
        <w:tc>
          <w:tcPr>
            <w:tcW w:w="1843" w:type="dxa"/>
            <w:tcBorders>
              <w:top w:val="nil"/>
              <w:left w:val="nil"/>
              <w:bottom w:val="single" w:sz="4" w:space="0" w:color="auto"/>
              <w:right w:val="single" w:sz="4" w:space="0" w:color="auto"/>
            </w:tcBorders>
            <w:shd w:val="clear" w:color="auto" w:fill="auto"/>
            <w:noWrap/>
            <w:vAlign w:val="bottom"/>
            <w:hideMark/>
          </w:tcPr>
          <w:p w14:paraId="6831568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7D0CD0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057A0C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1.300,00</w:t>
            </w:r>
          </w:p>
        </w:tc>
      </w:tr>
      <w:tr w:rsidR="00846ACC" w:rsidRPr="004974C0" w14:paraId="684F73F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BE2DFE0"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39B35E2E"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130E15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1.300,00</w:t>
            </w:r>
          </w:p>
        </w:tc>
        <w:tc>
          <w:tcPr>
            <w:tcW w:w="1843" w:type="dxa"/>
            <w:tcBorders>
              <w:top w:val="nil"/>
              <w:left w:val="nil"/>
              <w:bottom w:val="single" w:sz="4" w:space="0" w:color="auto"/>
              <w:right w:val="single" w:sz="4" w:space="0" w:color="auto"/>
            </w:tcBorders>
            <w:shd w:val="clear" w:color="auto" w:fill="auto"/>
            <w:noWrap/>
            <w:vAlign w:val="bottom"/>
            <w:hideMark/>
          </w:tcPr>
          <w:p w14:paraId="3B412C7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E534F4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D1561A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1.300,00</w:t>
            </w:r>
          </w:p>
        </w:tc>
      </w:tr>
      <w:tr w:rsidR="00846ACC" w:rsidRPr="004974C0" w14:paraId="2D0C1A1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4B1FDA9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A500008 Sufinanciranje boravka djece</w:t>
            </w:r>
          </w:p>
        </w:tc>
        <w:tc>
          <w:tcPr>
            <w:tcW w:w="1984" w:type="dxa"/>
            <w:tcBorders>
              <w:top w:val="nil"/>
              <w:left w:val="nil"/>
              <w:bottom w:val="single" w:sz="4" w:space="0" w:color="auto"/>
              <w:right w:val="single" w:sz="4" w:space="0" w:color="auto"/>
            </w:tcBorders>
            <w:shd w:val="clear" w:color="000000" w:fill="CCCCFF"/>
            <w:noWrap/>
            <w:vAlign w:val="bottom"/>
            <w:hideMark/>
          </w:tcPr>
          <w:p w14:paraId="2010A36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3958644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12.500,00</w:t>
            </w:r>
          </w:p>
        </w:tc>
        <w:tc>
          <w:tcPr>
            <w:tcW w:w="1843" w:type="dxa"/>
            <w:tcBorders>
              <w:top w:val="nil"/>
              <w:left w:val="nil"/>
              <w:bottom w:val="single" w:sz="4" w:space="0" w:color="auto"/>
              <w:right w:val="single" w:sz="4" w:space="0" w:color="auto"/>
            </w:tcBorders>
            <w:shd w:val="clear" w:color="000000" w:fill="CCCCFF"/>
            <w:noWrap/>
            <w:vAlign w:val="bottom"/>
            <w:hideMark/>
          </w:tcPr>
          <w:p w14:paraId="0F0BDFC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5.070,00</w:t>
            </w:r>
          </w:p>
        </w:tc>
        <w:tc>
          <w:tcPr>
            <w:tcW w:w="1559" w:type="dxa"/>
            <w:tcBorders>
              <w:top w:val="nil"/>
              <w:left w:val="nil"/>
              <w:bottom w:val="single" w:sz="4" w:space="0" w:color="auto"/>
              <w:right w:val="single" w:sz="4" w:space="0" w:color="auto"/>
            </w:tcBorders>
            <w:shd w:val="clear" w:color="000000" w:fill="CCCCFF"/>
            <w:noWrap/>
            <w:vAlign w:val="bottom"/>
            <w:hideMark/>
          </w:tcPr>
          <w:p w14:paraId="55954D1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40,56</w:t>
            </w:r>
          </w:p>
        </w:tc>
        <w:tc>
          <w:tcPr>
            <w:tcW w:w="1803" w:type="dxa"/>
            <w:tcBorders>
              <w:top w:val="nil"/>
              <w:left w:val="nil"/>
              <w:bottom w:val="single" w:sz="4" w:space="0" w:color="auto"/>
              <w:right w:val="single" w:sz="4" w:space="0" w:color="auto"/>
            </w:tcBorders>
            <w:shd w:val="clear" w:color="000000" w:fill="CCCCFF"/>
            <w:noWrap/>
            <w:vAlign w:val="bottom"/>
            <w:hideMark/>
          </w:tcPr>
          <w:p w14:paraId="5BBAEC6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17.570,00</w:t>
            </w:r>
          </w:p>
        </w:tc>
      </w:tr>
      <w:tr w:rsidR="00846ACC" w:rsidRPr="004974C0" w14:paraId="7791C27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451A2B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0ADB654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DC9FE4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12.500,00</w:t>
            </w:r>
          </w:p>
        </w:tc>
        <w:tc>
          <w:tcPr>
            <w:tcW w:w="1843" w:type="dxa"/>
            <w:tcBorders>
              <w:top w:val="nil"/>
              <w:left w:val="nil"/>
              <w:bottom w:val="single" w:sz="4" w:space="0" w:color="auto"/>
              <w:right w:val="single" w:sz="4" w:space="0" w:color="auto"/>
            </w:tcBorders>
            <w:shd w:val="clear" w:color="000000" w:fill="FFFF99"/>
            <w:noWrap/>
            <w:vAlign w:val="bottom"/>
            <w:hideMark/>
          </w:tcPr>
          <w:p w14:paraId="692C082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5.070,00</w:t>
            </w:r>
          </w:p>
        </w:tc>
        <w:tc>
          <w:tcPr>
            <w:tcW w:w="1559" w:type="dxa"/>
            <w:tcBorders>
              <w:top w:val="nil"/>
              <w:left w:val="nil"/>
              <w:bottom w:val="single" w:sz="4" w:space="0" w:color="auto"/>
              <w:right w:val="single" w:sz="4" w:space="0" w:color="auto"/>
            </w:tcBorders>
            <w:shd w:val="clear" w:color="000000" w:fill="FFFF99"/>
            <w:noWrap/>
            <w:vAlign w:val="bottom"/>
            <w:hideMark/>
          </w:tcPr>
          <w:p w14:paraId="5941F31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40,56</w:t>
            </w:r>
          </w:p>
        </w:tc>
        <w:tc>
          <w:tcPr>
            <w:tcW w:w="1803" w:type="dxa"/>
            <w:tcBorders>
              <w:top w:val="nil"/>
              <w:left w:val="nil"/>
              <w:bottom w:val="single" w:sz="4" w:space="0" w:color="auto"/>
              <w:right w:val="single" w:sz="4" w:space="0" w:color="auto"/>
            </w:tcBorders>
            <w:shd w:val="clear" w:color="000000" w:fill="FFFF99"/>
            <w:noWrap/>
            <w:vAlign w:val="bottom"/>
            <w:hideMark/>
          </w:tcPr>
          <w:p w14:paraId="5217D6A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17.570,00</w:t>
            </w:r>
          </w:p>
        </w:tc>
      </w:tr>
      <w:tr w:rsidR="00846ACC" w:rsidRPr="004974C0" w14:paraId="1C70ABD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DDD4EB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E22222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1E84A07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12.500,00</w:t>
            </w:r>
          </w:p>
        </w:tc>
        <w:tc>
          <w:tcPr>
            <w:tcW w:w="1843" w:type="dxa"/>
            <w:tcBorders>
              <w:top w:val="nil"/>
              <w:left w:val="nil"/>
              <w:bottom w:val="single" w:sz="4" w:space="0" w:color="auto"/>
              <w:right w:val="single" w:sz="4" w:space="0" w:color="auto"/>
            </w:tcBorders>
            <w:shd w:val="clear" w:color="auto" w:fill="auto"/>
            <w:noWrap/>
            <w:vAlign w:val="bottom"/>
            <w:hideMark/>
          </w:tcPr>
          <w:p w14:paraId="610D93F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5.070,00</w:t>
            </w:r>
          </w:p>
        </w:tc>
        <w:tc>
          <w:tcPr>
            <w:tcW w:w="1559" w:type="dxa"/>
            <w:tcBorders>
              <w:top w:val="nil"/>
              <w:left w:val="nil"/>
              <w:bottom w:val="single" w:sz="4" w:space="0" w:color="auto"/>
              <w:right w:val="single" w:sz="4" w:space="0" w:color="auto"/>
            </w:tcBorders>
            <w:shd w:val="clear" w:color="auto" w:fill="auto"/>
            <w:noWrap/>
            <w:vAlign w:val="bottom"/>
            <w:hideMark/>
          </w:tcPr>
          <w:p w14:paraId="60F2E35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40,56</w:t>
            </w:r>
          </w:p>
        </w:tc>
        <w:tc>
          <w:tcPr>
            <w:tcW w:w="1803" w:type="dxa"/>
            <w:tcBorders>
              <w:top w:val="nil"/>
              <w:left w:val="nil"/>
              <w:bottom w:val="single" w:sz="4" w:space="0" w:color="auto"/>
              <w:right w:val="single" w:sz="4" w:space="0" w:color="auto"/>
            </w:tcBorders>
            <w:shd w:val="clear" w:color="auto" w:fill="auto"/>
            <w:noWrap/>
            <w:vAlign w:val="bottom"/>
            <w:hideMark/>
          </w:tcPr>
          <w:p w14:paraId="610874A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17.570,00</w:t>
            </w:r>
          </w:p>
        </w:tc>
      </w:tr>
      <w:tr w:rsidR="00846ACC" w:rsidRPr="004974C0" w14:paraId="0F40035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97C801E"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84BB6CC"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7BB076E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12.500,00</w:t>
            </w:r>
          </w:p>
        </w:tc>
        <w:tc>
          <w:tcPr>
            <w:tcW w:w="1843" w:type="dxa"/>
            <w:tcBorders>
              <w:top w:val="nil"/>
              <w:left w:val="nil"/>
              <w:bottom w:val="single" w:sz="4" w:space="0" w:color="auto"/>
              <w:right w:val="single" w:sz="4" w:space="0" w:color="auto"/>
            </w:tcBorders>
            <w:shd w:val="clear" w:color="auto" w:fill="auto"/>
            <w:noWrap/>
            <w:vAlign w:val="bottom"/>
            <w:hideMark/>
          </w:tcPr>
          <w:p w14:paraId="3BCEE1C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5.070,00</w:t>
            </w:r>
          </w:p>
        </w:tc>
        <w:tc>
          <w:tcPr>
            <w:tcW w:w="1559" w:type="dxa"/>
            <w:tcBorders>
              <w:top w:val="nil"/>
              <w:left w:val="nil"/>
              <w:bottom w:val="single" w:sz="4" w:space="0" w:color="auto"/>
              <w:right w:val="single" w:sz="4" w:space="0" w:color="auto"/>
            </w:tcBorders>
            <w:shd w:val="clear" w:color="auto" w:fill="auto"/>
            <w:noWrap/>
            <w:vAlign w:val="bottom"/>
            <w:hideMark/>
          </w:tcPr>
          <w:p w14:paraId="0AB9337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40,56</w:t>
            </w:r>
          </w:p>
        </w:tc>
        <w:tc>
          <w:tcPr>
            <w:tcW w:w="1803" w:type="dxa"/>
            <w:tcBorders>
              <w:top w:val="nil"/>
              <w:left w:val="nil"/>
              <w:bottom w:val="single" w:sz="4" w:space="0" w:color="auto"/>
              <w:right w:val="single" w:sz="4" w:space="0" w:color="auto"/>
            </w:tcBorders>
            <w:shd w:val="clear" w:color="auto" w:fill="auto"/>
            <w:noWrap/>
            <w:vAlign w:val="bottom"/>
            <w:hideMark/>
          </w:tcPr>
          <w:p w14:paraId="7DF731D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17.570,00</w:t>
            </w:r>
          </w:p>
        </w:tc>
      </w:tr>
      <w:tr w:rsidR="00846ACC" w:rsidRPr="004974C0" w14:paraId="05D12E0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5CDBCC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A500013 Financiranje aktivnosti predškolske djece</w:t>
            </w:r>
          </w:p>
        </w:tc>
        <w:tc>
          <w:tcPr>
            <w:tcW w:w="1984" w:type="dxa"/>
            <w:tcBorders>
              <w:top w:val="nil"/>
              <w:left w:val="nil"/>
              <w:bottom w:val="single" w:sz="4" w:space="0" w:color="auto"/>
              <w:right w:val="single" w:sz="4" w:space="0" w:color="auto"/>
            </w:tcBorders>
            <w:shd w:val="clear" w:color="000000" w:fill="CCCCFF"/>
            <w:noWrap/>
            <w:vAlign w:val="bottom"/>
            <w:hideMark/>
          </w:tcPr>
          <w:p w14:paraId="60D1299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33652C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17.880,00</w:t>
            </w:r>
          </w:p>
        </w:tc>
        <w:tc>
          <w:tcPr>
            <w:tcW w:w="1843" w:type="dxa"/>
            <w:tcBorders>
              <w:top w:val="nil"/>
              <w:left w:val="nil"/>
              <w:bottom w:val="single" w:sz="4" w:space="0" w:color="auto"/>
              <w:right w:val="single" w:sz="4" w:space="0" w:color="auto"/>
            </w:tcBorders>
            <w:shd w:val="clear" w:color="000000" w:fill="CCCCFF"/>
            <w:noWrap/>
            <w:vAlign w:val="bottom"/>
            <w:hideMark/>
          </w:tcPr>
          <w:p w14:paraId="6611DDC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5676EEF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2BB97BD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17.880,00</w:t>
            </w:r>
          </w:p>
        </w:tc>
      </w:tr>
      <w:tr w:rsidR="00846ACC" w:rsidRPr="004974C0" w14:paraId="63C22F4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4E0194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6436F5A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B7C378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17.440,00</w:t>
            </w:r>
          </w:p>
        </w:tc>
        <w:tc>
          <w:tcPr>
            <w:tcW w:w="1843" w:type="dxa"/>
            <w:tcBorders>
              <w:top w:val="nil"/>
              <w:left w:val="nil"/>
              <w:bottom w:val="single" w:sz="4" w:space="0" w:color="auto"/>
              <w:right w:val="single" w:sz="4" w:space="0" w:color="auto"/>
            </w:tcBorders>
            <w:shd w:val="clear" w:color="000000" w:fill="FFFF99"/>
            <w:noWrap/>
            <w:vAlign w:val="bottom"/>
            <w:hideMark/>
          </w:tcPr>
          <w:p w14:paraId="576C1B8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6968D4D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75B960C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17.440,00</w:t>
            </w:r>
          </w:p>
        </w:tc>
      </w:tr>
      <w:tr w:rsidR="00846ACC" w:rsidRPr="004974C0" w14:paraId="4C463E7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B9D464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B9D2F0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8225D0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17.440,00</w:t>
            </w:r>
          </w:p>
        </w:tc>
        <w:tc>
          <w:tcPr>
            <w:tcW w:w="1843" w:type="dxa"/>
            <w:tcBorders>
              <w:top w:val="nil"/>
              <w:left w:val="nil"/>
              <w:bottom w:val="single" w:sz="4" w:space="0" w:color="auto"/>
              <w:right w:val="single" w:sz="4" w:space="0" w:color="auto"/>
            </w:tcBorders>
            <w:shd w:val="clear" w:color="auto" w:fill="auto"/>
            <w:noWrap/>
            <w:vAlign w:val="bottom"/>
            <w:hideMark/>
          </w:tcPr>
          <w:p w14:paraId="09580A4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18ED76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FEA583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17.440,00</w:t>
            </w:r>
          </w:p>
        </w:tc>
      </w:tr>
      <w:tr w:rsidR="00846ACC" w:rsidRPr="004974C0" w14:paraId="5B90FC7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DD7664C"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0B7C503F"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3B1F442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16.600,00</w:t>
            </w:r>
          </w:p>
        </w:tc>
        <w:tc>
          <w:tcPr>
            <w:tcW w:w="1843" w:type="dxa"/>
            <w:tcBorders>
              <w:top w:val="nil"/>
              <w:left w:val="nil"/>
              <w:bottom w:val="single" w:sz="4" w:space="0" w:color="auto"/>
              <w:right w:val="single" w:sz="4" w:space="0" w:color="auto"/>
            </w:tcBorders>
            <w:shd w:val="clear" w:color="auto" w:fill="auto"/>
            <w:noWrap/>
            <w:vAlign w:val="bottom"/>
            <w:hideMark/>
          </w:tcPr>
          <w:p w14:paraId="39872A2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16999D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B3F043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16.600,00</w:t>
            </w:r>
          </w:p>
        </w:tc>
      </w:tr>
      <w:tr w:rsidR="00846ACC" w:rsidRPr="004974C0" w14:paraId="69E6219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432E05C"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0ED615EC"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613B2C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840,00</w:t>
            </w:r>
          </w:p>
        </w:tc>
        <w:tc>
          <w:tcPr>
            <w:tcW w:w="1843" w:type="dxa"/>
            <w:tcBorders>
              <w:top w:val="nil"/>
              <w:left w:val="nil"/>
              <w:bottom w:val="single" w:sz="4" w:space="0" w:color="auto"/>
              <w:right w:val="single" w:sz="4" w:space="0" w:color="auto"/>
            </w:tcBorders>
            <w:shd w:val="clear" w:color="auto" w:fill="auto"/>
            <w:noWrap/>
            <w:vAlign w:val="bottom"/>
            <w:hideMark/>
          </w:tcPr>
          <w:p w14:paraId="7CBF924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C5AA66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CAE685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840,00</w:t>
            </w:r>
          </w:p>
        </w:tc>
      </w:tr>
      <w:tr w:rsidR="00846ACC" w:rsidRPr="004974C0" w14:paraId="4B8BF7B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CA41A2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4.9. 4.PRIHODI ZA POSEBNE NAMJENE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7E8BA0F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DAAB49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440,00</w:t>
            </w:r>
          </w:p>
        </w:tc>
        <w:tc>
          <w:tcPr>
            <w:tcW w:w="1843" w:type="dxa"/>
            <w:tcBorders>
              <w:top w:val="nil"/>
              <w:left w:val="nil"/>
              <w:bottom w:val="single" w:sz="4" w:space="0" w:color="auto"/>
              <w:right w:val="single" w:sz="4" w:space="0" w:color="auto"/>
            </w:tcBorders>
            <w:shd w:val="clear" w:color="000000" w:fill="FFFF99"/>
            <w:noWrap/>
            <w:vAlign w:val="bottom"/>
            <w:hideMark/>
          </w:tcPr>
          <w:p w14:paraId="28DED9C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08546CE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29E183D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440,00</w:t>
            </w:r>
          </w:p>
        </w:tc>
      </w:tr>
      <w:tr w:rsidR="00846ACC" w:rsidRPr="004974C0" w14:paraId="09E5855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3AA35A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3D997F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DA7DD7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440,00</w:t>
            </w:r>
          </w:p>
        </w:tc>
        <w:tc>
          <w:tcPr>
            <w:tcW w:w="1843" w:type="dxa"/>
            <w:tcBorders>
              <w:top w:val="nil"/>
              <w:left w:val="nil"/>
              <w:bottom w:val="single" w:sz="4" w:space="0" w:color="auto"/>
              <w:right w:val="single" w:sz="4" w:space="0" w:color="auto"/>
            </w:tcBorders>
            <w:shd w:val="clear" w:color="auto" w:fill="auto"/>
            <w:noWrap/>
            <w:vAlign w:val="bottom"/>
            <w:hideMark/>
          </w:tcPr>
          <w:p w14:paraId="7BE6CB1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009C3B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1A60A4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440,00</w:t>
            </w:r>
          </w:p>
        </w:tc>
      </w:tr>
      <w:tr w:rsidR="00846ACC" w:rsidRPr="004974C0" w14:paraId="0399443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5380C07"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2324AB4"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E688CE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440,00</w:t>
            </w:r>
          </w:p>
        </w:tc>
        <w:tc>
          <w:tcPr>
            <w:tcW w:w="1843" w:type="dxa"/>
            <w:tcBorders>
              <w:top w:val="nil"/>
              <w:left w:val="nil"/>
              <w:bottom w:val="single" w:sz="4" w:space="0" w:color="auto"/>
              <w:right w:val="single" w:sz="4" w:space="0" w:color="auto"/>
            </w:tcBorders>
            <w:shd w:val="clear" w:color="auto" w:fill="auto"/>
            <w:noWrap/>
            <w:vAlign w:val="bottom"/>
            <w:hideMark/>
          </w:tcPr>
          <w:p w14:paraId="7BF2EFA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1E1DE0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10F50B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440,00</w:t>
            </w:r>
          </w:p>
        </w:tc>
      </w:tr>
      <w:tr w:rsidR="00846ACC" w:rsidRPr="004974C0" w14:paraId="627C36F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9DADED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Kapitalni projekt K500001 Kapitalna ulaganja osnovnog školstva</w:t>
            </w:r>
          </w:p>
        </w:tc>
        <w:tc>
          <w:tcPr>
            <w:tcW w:w="1984" w:type="dxa"/>
            <w:tcBorders>
              <w:top w:val="nil"/>
              <w:left w:val="nil"/>
              <w:bottom w:val="single" w:sz="4" w:space="0" w:color="auto"/>
              <w:right w:val="single" w:sz="4" w:space="0" w:color="auto"/>
            </w:tcBorders>
            <w:shd w:val="clear" w:color="000000" w:fill="CCCCFF"/>
            <w:noWrap/>
            <w:vAlign w:val="bottom"/>
            <w:hideMark/>
          </w:tcPr>
          <w:p w14:paraId="4CA4281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0A3AEF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c>
          <w:tcPr>
            <w:tcW w:w="1843" w:type="dxa"/>
            <w:tcBorders>
              <w:top w:val="nil"/>
              <w:left w:val="nil"/>
              <w:bottom w:val="single" w:sz="4" w:space="0" w:color="auto"/>
              <w:right w:val="single" w:sz="4" w:space="0" w:color="auto"/>
            </w:tcBorders>
            <w:shd w:val="clear" w:color="000000" w:fill="CCCCFF"/>
            <w:noWrap/>
            <w:vAlign w:val="bottom"/>
            <w:hideMark/>
          </w:tcPr>
          <w:p w14:paraId="327CDA3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6.000,00</w:t>
            </w:r>
          </w:p>
        </w:tc>
        <w:tc>
          <w:tcPr>
            <w:tcW w:w="1559" w:type="dxa"/>
            <w:tcBorders>
              <w:top w:val="nil"/>
              <w:left w:val="nil"/>
              <w:bottom w:val="single" w:sz="4" w:space="0" w:color="auto"/>
              <w:right w:val="single" w:sz="4" w:space="0" w:color="auto"/>
            </w:tcBorders>
            <w:shd w:val="clear" w:color="000000" w:fill="CCCCFF"/>
            <w:noWrap/>
            <w:vAlign w:val="bottom"/>
            <w:hideMark/>
          </w:tcPr>
          <w:p w14:paraId="7ACBE2D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600,00</w:t>
            </w:r>
          </w:p>
        </w:tc>
        <w:tc>
          <w:tcPr>
            <w:tcW w:w="1803" w:type="dxa"/>
            <w:tcBorders>
              <w:top w:val="nil"/>
              <w:left w:val="nil"/>
              <w:bottom w:val="single" w:sz="4" w:space="0" w:color="auto"/>
              <w:right w:val="single" w:sz="4" w:space="0" w:color="auto"/>
            </w:tcBorders>
            <w:shd w:val="clear" w:color="000000" w:fill="CCCCFF"/>
            <w:noWrap/>
            <w:vAlign w:val="bottom"/>
            <w:hideMark/>
          </w:tcPr>
          <w:p w14:paraId="7ACB40A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7.000,00</w:t>
            </w:r>
          </w:p>
        </w:tc>
      </w:tr>
      <w:tr w:rsidR="00846ACC" w:rsidRPr="004974C0" w14:paraId="409A5B2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256462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5.1. POTPORA ZA DECENTRALIZIRANE FUNKCIJE</w:t>
            </w:r>
          </w:p>
        </w:tc>
        <w:tc>
          <w:tcPr>
            <w:tcW w:w="1984" w:type="dxa"/>
            <w:tcBorders>
              <w:top w:val="nil"/>
              <w:left w:val="nil"/>
              <w:bottom w:val="single" w:sz="4" w:space="0" w:color="auto"/>
              <w:right w:val="single" w:sz="4" w:space="0" w:color="auto"/>
            </w:tcBorders>
            <w:shd w:val="clear" w:color="000000" w:fill="FFFF99"/>
            <w:noWrap/>
            <w:vAlign w:val="bottom"/>
            <w:hideMark/>
          </w:tcPr>
          <w:p w14:paraId="52CF040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AD9D4D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c>
          <w:tcPr>
            <w:tcW w:w="1843" w:type="dxa"/>
            <w:tcBorders>
              <w:top w:val="nil"/>
              <w:left w:val="nil"/>
              <w:bottom w:val="single" w:sz="4" w:space="0" w:color="auto"/>
              <w:right w:val="single" w:sz="4" w:space="0" w:color="auto"/>
            </w:tcBorders>
            <w:shd w:val="clear" w:color="000000" w:fill="FFFF99"/>
            <w:noWrap/>
            <w:vAlign w:val="bottom"/>
            <w:hideMark/>
          </w:tcPr>
          <w:p w14:paraId="41C7D9B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6.000,00</w:t>
            </w:r>
          </w:p>
        </w:tc>
        <w:tc>
          <w:tcPr>
            <w:tcW w:w="1559" w:type="dxa"/>
            <w:tcBorders>
              <w:top w:val="nil"/>
              <w:left w:val="nil"/>
              <w:bottom w:val="single" w:sz="4" w:space="0" w:color="auto"/>
              <w:right w:val="single" w:sz="4" w:space="0" w:color="auto"/>
            </w:tcBorders>
            <w:shd w:val="clear" w:color="000000" w:fill="FFFF99"/>
            <w:noWrap/>
            <w:vAlign w:val="bottom"/>
            <w:hideMark/>
          </w:tcPr>
          <w:p w14:paraId="2AF8C4A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600,00</w:t>
            </w:r>
          </w:p>
        </w:tc>
        <w:tc>
          <w:tcPr>
            <w:tcW w:w="1803" w:type="dxa"/>
            <w:tcBorders>
              <w:top w:val="nil"/>
              <w:left w:val="nil"/>
              <w:bottom w:val="single" w:sz="4" w:space="0" w:color="auto"/>
              <w:right w:val="single" w:sz="4" w:space="0" w:color="auto"/>
            </w:tcBorders>
            <w:shd w:val="clear" w:color="000000" w:fill="FFFF99"/>
            <w:noWrap/>
            <w:vAlign w:val="bottom"/>
            <w:hideMark/>
          </w:tcPr>
          <w:p w14:paraId="249D463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7.000,00</w:t>
            </w:r>
          </w:p>
        </w:tc>
      </w:tr>
      <w:tr w:rsidR="00846ACC" w:rsidRPr="004974C0" w14:paraId="7C8C558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CA7DE7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lastRenderedPageBreak/>
              <w:t>4</w:t>
            </w:r>
          </w:p>
        </w:tc>
        <w:tc>
          <w:tcPr>
            <w:tcW w:w="1984" w:type="dxa"/>
            <w:tcBorders>
              <w:top w:val="nil"/>
              <w:left w:val="nil"/>
              <w:bottom w:val="single" w:sz="4" w:space="0" w:color="auto"/>
              <w:right w:val="single" w:sz="4" w:space="0" w:color="auto"/>
            </w:tcBorders>
            <w:shd w:val="clear" w:color="auto" w:fill="auto"/>
            <w:noWrap/>
            <w:vAlign w:val="bottom"/>
            <w:hideMark/>
          </w:tcPr>
          <w:p w14:paraId="4F0DE89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63A0208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110D903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6.000,00</w:t>
            </w:r>
          </w:p>
        </w:tc>
        <w:tc>
          <w:tcPr>
            <w:tcW w:w="1559" w:type="dxa"/>
            <w:tcBorders>
              <w:top w:val="nil"/>
              <w:left w:val="nil"/>
              <w:bottom w:val="single" w:sz="4" w:space="0" w:color="auto"/>
              <w:right w:val="single" w:sz="4" w:space="0" w:color="auto"/>
            </w:tcBorders>
            <w:shd w:val="clear" w:color="auto" w:fill="auto"/>
            <w:noWrap/>
            <w:vAlign w:val="bottom"/>
            <w:hideMark/>
          </w:tcPr>
          <w:p w14:paraId="5061B93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600,00</w:t>
            </w:r>
          </w:p>
        </w:tc>
        <w:tc>
          <w:tcPr>
            <w:tcW w:w="1803" w:type="dxa"/>
            <w:tcBorders>
              <w:top w:val="nil"/>
              <w:left w:val="nil"/>
              <w:bottom w:val="single" w:sz="4" w:space="0" w:color="auto"/>
              <w:right w:val="single" w:sz="4" w:space="0" w:color="auto"/>
            </w:tcBorders>
            <w:shd w:val="clear" w:color="auto" w:fill="auto"/>
            <w:noWrap/>
            <w:vAlign w:val="bottom"/>
            <w:hideMark/>
          </w:tcPr>
          <w:p w14:paraId="500C224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7.000,00</w:t>
            </w:r>
          </w:p>
        </w:tc>
      </w:tr>
      <w:tr w:rsidR="00846ACC" w:rsidRPr="004974C0" w14:paraId="11E59A3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EB95A42"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17C85D89"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7CB9162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6393B7A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6.000,00</w:t>
            </w:r>
          </w:p>
        </w:tc>
        <w:tc>
          <w:tcPr>
            <w:tcW w:w="1559" w:type="dxa"/>
            <w:tcBorders>
              <w:top w:val="nil"/>
              <w:left w:val="nil"/>
              <w:bottom w:val="single" w:sz="4" w:space="0" w:color="auto"/>
              <w:right w:val="single" w:sz="4" w:space="0" w:color="auto"/>
            </w:tcBorders>
            <w:shd w:val="clear" w:color="auto" w:fill="auto"/>
            <w:noWrap/>
            <w:vAlign w:val="bottom"/>
            <w:hideMark/>
          </w:tcPr>
          <w:p w14:paraId="34F9414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600,00</w:t>
            </w:r>
          </w:p>
        </w:tc>
        <w:tc>
          <w:tcPr>
            <w:tcW w:w="1803" w:type="dxa"/>
            <w:tcBorders>
              <w:top w:val="nil"/>
              <w:left w:val="nil"/>
              <w:bottom w:val="single" w:sz="4" w:space="0" w:color="auto"/>
              <w:right w:val="single" w:sz="4" w:space="0" w:color="auto"/>
            </w:tcBorders>
            <w:shd w:val="clear" w:color="auto" w:fill="auto"/>
            <w:noWrap/>
            <w:vAlign w:val="bottom"/>
            <w:hideMark/>
          </w:tcPr>
          <w:p w14:paraId="594A492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7.000,00</w:t>
            </w:r>
          </w:p>
        </w:tc>
      </w:tr>
      <w:tr w:rsidR="00846ACC" w:rsidRPr="004974C0" w14:paraId="15C9A4C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3366FF"/>
            <w:noWrap/>
            <w:vAlign w:val="bottom"/>
            <w:hideMark/>
          </w:tcPr>
          <w:p w14:paraId="3059EE2C"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Proračunski korisnik 48478 UMJETNIČKA ŠKOLA MATKA BRAJŠE RAŠANA LABIN</w:t>
            </w:r>
          </w:p>
        </w:tc>
        <w:tc>
          <w:tcPr>
            <w:tcW w:w="1984" w:type="dxa"/>
            <w:tcBorders>
              <w:top w:val="nil"/>
              <w:left w:val="nil"/>
              <w:bottom w:val="single" w:sz="4" w:space="0" w:color="auto"/>
              <w:right w:val="single" w:sz="4" w:space="0" w:color="auto"/>
            </w:tcBorders>
            <w:shd w:val="clear" w:color="000000" w:fill="3366FF"/>
            <w:noWrap/>
            <w:vAlign w:val="bottom"/>
            <w:hideMark/>
          </w:tcPr>
          <w:p w14:paraId="0512DEB0"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3366FF"/>
            <w:noWrap/>
            <w:vAlign w:val="bottom"/>
            <w:hideMark/>
          </w:tcPr>
          <w:p w14:paraId="3FF5AB1A"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1.352.670,00</w:t>
            </w:r>
          </w:p>
        </w:tc>
        <w:tc>
          <w:tcPr>
            <w:tcW w:w="1843" w:type="dxa"/>
            <w:tcBorders>
              <w:top w:val="nil"/>
              <w:left w:val="nil"/>
              <w:bottom w:val="single" w:sz="4" w:space="0" w:color="auto"/>
              <w:right w:val="single" w:sz="4" w:space="0" w:color="auto"/>
            </w:tcBorders>
            <w:shd w:val="clear" w:color="000000" w:fill="3366FF"/>
            <w:noWrap/>
            <w:vAlign w:val="bottom"/>
            <w:hideMark/>
          </w:tcPr>
          <w:p w14:paraId="4EB1E1E1"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53.870,00</w:t>
            </w:r>
          </w:p>
        </w:tc>
        <w:tc>
          <w:tcPr>
            <w:tcW w:w="1559" w:type="dxa"/>
            <w:tcBorders>
              <w:top w:val="nil"/>
              <w:left w:val="nil"/>
              <w:bottom w:val="single" w:sz="4" w:space="0" w:color="auto"/>
              <w:right w:val="single" w:sz="4" w:space="0" w:color="auto"/>
            </w:tcBorders>
            <w:shd w:val="clear" w:color="000000" w:fill="3366FF"/>
            <w:noWrap/>
            <w:vAlign w:val="bottom"/>
            <w:hideMark/>
          </w:tcPr>
          <w:p w14:paraId="193361FD"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3,98</w:t>
            </w:r>
          </w:p>
        </w:tc>
        <w:tc>
          <w:tcPr>
            <w:tcW w:w="1803" w:type="dxa"/>
            <w:tcBorders>
              <w:top w:val="nil"/>
              <w:left w:val="nil"/>
              <w:bottom w:val="single" w:sz="4" w:space="0" w:color="auto"/>
              <w:right w:val="single" w:sz="4" w:space="0" w:color="auto"/>
            </w:tcBorders>
            <w:shd w:val="clear" w:color="000000" w:fill="3366FF"/>
            <w:noWrap/>
            <w:vAlign w:val="bottom"/>
            <w:hideMark/>
          </w:tcPr>
          <w:p w14:paraId="6342D3F1"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1.406.540,00</w:t>
            </w:r>
          </w:p>
        </w:tc>
      </w:tr>
      <w:tr w:rsidR="00846ACC" w:rsidRPr="004974C0" w14:paraId="0AD120D0"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73C2890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090EE61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B9E14F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16.600,00</w:t>
            </w:r>
          </w:p>
        </w:tc>
        <w:tc>
          <w:tcPr>
            <w:tcW w:w="1843" w:type="dxa"/>
            <w:tcBorders>
              <w:top w:val="nil"/>
              <w:left w:val="nil"/>
              <w:bottom w:val="single" w:sz="4" w:space="0" w:color="auto"/>
              <w:right w:val="single" w:sz="4" w:space="0" w:color="auto"/>
            </w:tcBorders>
            <w:shd w:val="clear" w:color="000000" w:fill="FFFFFF"/>
            <w:noWrap/>
            <w:vAlign w:val="bottom"/>
            <w:hideMark/>
          </w:tcPr>
          <w:p w14:paraId="1A961C7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900,00</w:t>
            </w:r>
          </w:p>
        </w:tc>
        <w:tc>
          <w:tcPr>
            <w:tcW w:w="1559" w:type="dxa"/>
            <w:tcBorders>
              <w:top w:val="nil"/>
              <w:left w:val="nil"/>
              <w:bottom w:val="single" w:sz="4" w:space="0" w:color="auto"/>
              <w:right w:val="single" w:sz="4" w:space="0" w:color="auto"/>
            </w:tcBorders>
            <w:shd w:val="clear" w:color="000000" w:fill="FFFFFF"/>
            <w:noWrap/>
            <w:vAlign w:val="bottom"/>
            <w:hideMark/>
          </w:tcPr>
          <w:p w14:paraId="0BCE126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5,42</w:t>
            </w:r>
          </w:p>
        </w:tc>
        <w:tc>
          <w:tcPr>
            <w:tcW w:w="1803" w:type="dxa"/>
            <w:tcBorders>
              <w:top w:val="nil"/>
              <w:left w:val="nil"/>
              <w:bottom w:val="single" w:sz="4" w:space="0" w:color="auto"/>
              <w:right w:val="single" w:sz="4" w:space="0" w:color="auto"/>
            </w:tcBorders>
            <w:shd w:val="clear" w:color="000000" w:fill="FFFFFF"/>
            <w:noWrap/>
            <w:vAlign w:val="bottom"/>
            <w:hideMark/>
          </w:tcPr>
          <w:p w14:paraId="7BA52D8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17.500,00</w:t>
            </w:r>
          </w:p>
        </w:tc>
      </w:tr>
      <w:tr w:rsidR="00846ACC" w:rsidRPr="004974C0" w14:paraId="5B3FBB7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3E4940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430F501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D807F1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16.600,00</w:t>
            </w:r>
          </w:p>
        </w:tc>
        <w:tc>
          <w:tcPr>
            <w:tcW w:w="1843" w:type="dxa"/>
            <w:tcBorders>
              <w:top w:val="nil"/>
              <w:left w:val="nil"/>
              <w:bottom w:val="single" w:sz="4" w:space="0" w:color="auto"/>
              <w:right w:val="single" w:sz="4" w:space="0" w:color="auto"/>
            </w:tcBorders>
            <w:shd w:val="clear" w:color="000000" w:fill="FFFFFF"/>
            <w:noWrap/>
            <w:vAlign w:val="bottom"/>
            <w:hideMark/>
          </w:tcPr>
          <w:p w14:paraId="05993F9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900,00</w:t>
            </w:r>
          </w:p>
        </w:tc>
        <w:tc>
          <w:tcPr>
            <w:tcW w:w="1559" w:type="dxa"/>
            <w:tcBorders>
              <w:top w:val="nil"/>
              <w:left w:val="nil"/>
              <w:bottom w:val="single" w:sz="4" w:space="0" w:color="auto"/>
              <w:right w:val="single" w:sz="4" w:space="0" w:color="auto"/>
            </w:tcBorders>
            <w:shd w:val="clear" w:color="000000" w:fill="FFFFFF"/>
            <w:noWrap/>
            <w:vAlign w:val="bottom"/>
            <w:hideMark/>
          </w:tcPr>
          <w:p w14:paraId="63289B2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5,42</w:t>
            </w:r>
          </w:p>
        </w:tc>
        <w:tc>
          <w:tcPr>
            <w:tcW w:w="1803" w:type="dxa"/>
            <w:tcBorders>
              <w:top w:val="nil"/>
              <w:left w:val="nil"/>
              <w:bottom w:val="single" w:sz="4" w:space="0" w:color="auto"/>
              <w:right w:val="single" w:sz="4" w:space="0" w:color="auto"/>
            </w:tcBorders>
            <w:shd w:val="clear" w:color="000000" w:fill="FFFFFF"/>
            <w:noWrap/>
            <w:vAlign w:val="bottom"/>
            <w:hideMark/>
          </w:tcPr>
          <w:p w14:paraId="27D6171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17.500,00</w:t>
            </w:r>
          </w:p>
        </w:tc>
      </w:tr>
      <w:tr w:rsidR="00846ACC" w:rsidRPr="004974C0" w14:paraId="7633427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707D1B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 VLASTITI PRIHODI</w:t>
            </w:r>
          </w:p>
        </w:tc>
        <w:tc>
          <w:tcPr>
            <w:tcW w:w="1984" w:type="dxa"/>
            <w:tcBorders>
              <w:top w:val="nil"/>
              <w:left w:val="nil"/>
              <w:bottom w:val="single" w:sz="4" w:space="0" w:color="auto"/>
              <w:right w:val="single" w:sz="4" w:space="0" w:color="auto"/>
            </w:tcBorders>
            <w:shd w:val="clear" w:color="000000" w:fill="FFFFFF"/>
            <w:noWrap/>
            <w:vAlign w:val="bottom"/>
            <w:hideMark/>
          </w:tcPr>
          <w:p w14:paraId="4204711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F73F1A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w:t>
            </w:r>
          </w:p>
        </w:tc>
        <w:tc>
          <w:tcPr>
            <w:tcW w:w="1843" w:type="dxa"/>
            <w:tcBorders>
              <w:top w:val="nil"/>
              <w:left w:val="nil"/>
              <w:bottom w:val="single" w:sz="4" w:space="0" w:color="auto"/>
              <w:right w:val="single" w:sz="4" w:space="0" w:color="auto"/>
            </w:tcBorders>
            <w:shd w:val="clear" w:color="000000" w:fill="FFFFFF"/>
            <w:noWrap/>
            <w:vAlign w:val="bottom"/>
            <w:hideMark/>
          </w:tcPr>
          <w:p w14:paraId="5E0B3DA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70493EA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44F4963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w:t>
            </w:r>
          </w:p>
        </w:tc>
      </w:tr>
      <w:tr w:rsidR="00846ACC" w:rsidRPr="004974C0" w14:paraId="756312D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278AFAC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3.9. VLASTITI PRIHODI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19C3427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2DA96F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w:t>
            </w:r>
          </w:p>
        </w:tc>
        <w:tc>
          <w:tcPr>
            <w:tcW w:w="1843" w:type="dxa"/>
            <w:tcBorders>
              <w:top w:val="nil"/>
              <w:left w:val="nil"/>
              <w:bottom w:val="single" w:sz="4" w:space="0" w:color="auto"/>
              <w:right w:val="single" w:sz="4" w:space="0" w:color="auto"/>
            </w:tcBorders>
            <w:shd w:val="clear" w:color="000000" w:fill="FFFFFF"/>
            <w:noWrap/>
            <w:vAlign w:val="bottom"/>
            <w:hideMark/>
          </w:tcPr>
          <w:p w14:paraId="46DE6E9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5E45E0E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39D32C9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w:t>
            </w:r>
          </w:p>
        </w:tc>
      </w:tr>
      <w:tr w:rsidR="00846ACC" w:rsidRPr="004974C0" w14:paraId="5EFA392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74D6CED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 PRIHODI ZA POSEBNE NAMJENE</w:t>
            </w:r>
          </w:p>
        </w:tc>
        <w:tc>
          <w:tcPr>
            <w:tcW w:w="1984" w:type="dxa"/>
            <w:tcBorders>
              <w:top w:val="nil"/>
              <w:left w:val="nil"/>
              <w:bottom w:val="single" w:sz="4" w:space="0" w:color="auto"/>
              <w:right w:val="single" w:sz="4" w:space="0" w:color="auto"/>
            </w:tcBorders>
            <w:shd w:val="clear" w:color="000000" w:fill="FFFFFF"/>
            <w:noWrap/>
            <w:vAlign w:val="bottom"/>
            <w:hideMark/>
          </w:tcPr>
          <w:p w14:paraId="6FC92CE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3CD437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98.700,00</w:t>
            </w:r>
          </w:p>
        </w:tc>
        <w:tc>
          <w:tcPr>
            <w:tcW w:w="1843" w:type="dxa"/>
            <w:tcBorders>
              <w:top w:val="nil"/>
              <w:left w:val="nil"/>
              <w:bottom w:val="single" w:sz="4" w:space="0" w:color="auto"/>
              <w:right w:val="single" w:sz="4" w:space="0" w:color="auto"/>
            </w:tcBorders>
            <w:shd w:val="clear" w:color="000000" w:fill="FFFFFF"/>
            <w:noWrap/>
            <w:vAlign w:val="bottom"/>
            <w:hideMark/>
          </w:tcPr>
          <w:p w14:paraId="44A1C4B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1.750,00</w:t>
            </w:r>
          </w:p>
        </w:tc>
        <w:tc>
          <w:tcPr>
            <w:tcW w:w="1559" w:type="dxa"/>
            <w:tcBorders>
              <w:top w:val="nil"/>
              <w:left w:val="nil"/>
              <w:bottom w:val="single" w:sz="4" w:space="0" w:color="auto"/>
              <w:right w:val="single" w:sz="4" w:space="0" w:color="auto"/>
            </w:tcBorders>
            <w:shd w:val="clear" w:color="000000" w:fill="FFFFFF"/>
            <w:noWrap/>
            <w:vAlign w:val="bottom"/>
            <w:hideMark/>
          </w:tcPr>
          <w:p w14:paraId="0D0522F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1,77</w:t>
            </w:r>
          </w:p>
        </w:tc>
        <w:tc>
          <w:tcPr>
            <w:tcW w:w="1803" w:type="dxa"/>
            <w:tcBorders>
              <w:top w:val="nil"/>
              <w:left w:val="nil"/>
              <w:bottom w:val="single" w:sz="4" w:space="0" w:color="auto"/>
              <w:right w:val="single" w:sz="4" w:space="0" w:color="auto"/>
            </w:tcBorders>
            <w:shd w:val="clear" w:color="000000" w:fill="FFFFFF"/>
            <w:noWrap/>
            <w:vAlign w:val="bottom"/>
            <w:hideMark/>
          </w:tcPr>
          <w:p w14:paraId="191BEA5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100.450,00</w:t>
            </w:r>
          </w:p>
        </w:tc>
      </w:tr>
      <w:tr w:rsidR="00846ACC" w:rsidRPr="004974C0" w14:paraId="43F0011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406EE7A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4.9. 4.PRIHODI ZA POSEBNE NAMJENE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79B8E54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53FB95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98.700,00</w:t>
            </w:r>
          </w:p>
        </w:tc>
        <w:tc>
          <w:tcPr>
            <w:tcW w:w="1843" w:type="dxa"/>
            <w:tcBorders>
              <w:top w:val="nil"/>
              <w:left w:val="nil"/>
              <w:bottom w:val="single" w:sz="4" w:space="0" w:color="auto"/>
              <w:right w:val="single" w:sz="4" w:space="0" w:color="auto"/>
            </w:tcBorders>
            <w:shd w:val="clear" w:color="000000" w:fill="FFFFFF"/>
            <w:noWrap/>
            <w:vAlign w:val="bottom"/>
            <w:hideMark/>
          </w:tcPr>
          <w:p w14:paraId="38B5360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1.750,00</w:t>
            </w:r>
          </w:p>
        </w:tc>
        <w:tc>
          <w:tcPr>
            <w:tcW w:w="1559" w:type="dxa"/>
            <w:tcBorders>
              <w:top w:val="nil"/>
              <w:left w:val="nil"/>
              <w:bottom w:val="single" w:sz="4" w:space="0" w:color="auto"/>
              <w:right w:val="single" w:sz="4" w:space="0" w:color="auto"/>
            </w:tcBorders>
            <w:shd w:val="clear" w:color="000000" w:fill="FFFFFF"/>
            <w:noWrap/>
            <w:vAlign w:val="bottom"/>
            <w:hideMark/>
          </w:tcPr>
          <w:p w14:paraId="1AE5E5E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1,77</w:t>
            </w:r>
          </w:p>
        </w:tc>
        <w:tc>
          <w:tcPr>
            <w:tcW w:w="1803" w:type="dxa"/>
            <w:tcBorders>
              <w:top w:val="nil"/>
              <w:left w:val="nil"/>
              <w:bottom w:val="single" w:sz="4" w:space="0" w:color="auto"/>
              <w:right w:val="single" w:sz="4" w:space="0" w:color="auto"/>
            </w:tcBorders>
            <w:shd w:val="clear" w:color="000000" w:fill="FFFFFF"/>
            <w:noWrap/>
            <w:vAlign w:val="bottom"/>
            <w:hideMark/>
          </w:tcPr>
          <w:p w14:paraId="00B1E6C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100.450,00</w:t>
            </w:r>
          </w:p>
        </w:tc>
      </w:tr>
      <w:tr w:rsidR="00846ACC" w:rsidRPr="004974C0" w14:paraId="340055B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6965C4A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 POMOĆI</w:t>
            </w:r>
          </w:p>
        </w:tc>
        <w:tc>
          <w:tcPr>
            <w:tcW w:w="1984" w:type="dxa"/>
            <w:tcBorders>
              <w:top w:val="nil"/>
              <w:left w:val="nil"/>
              <w:bottom w:val="single" w:sz="4" w:space="0" w:color="auto"/>
              <w:right w:val="single" w:sz="4" w:space="0" w:color="auto"/>
            </w:tcBorders>
            <w:shd w:val="clear" w:color="000000" w:fill="FFFFFF"/>
            <w:noWrap/>
            <w:vAlign w:val="bottom"/>
            <w:hideMark/>
          </w:tcPr>
          <w:p w14:paraId="00368AB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77584D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1.236.750,00</w:t>
            </w:r>
          </w:p>
        </w:tc>
        <w:tc>
          <w:tcPr>
            <w:tcW w:w="1843" w:type="dxa"/>
            <w:tcBorders>
              <w:top w:val="nil"/>
              <w:left w:val="nil"/>
              <w:bottom w:val="single" w:sz="4" w:space="0" w:color="auto"/>
              <w:right w:val="single" w:sz="4" w:space="0" w:color="auto"/>
            </w:tcBorders>
            <w:shd w:val="clear" w:color="000000" w:fill="FFFFFF"/>
            <w:noWrap/>
            <w:vAlign w:val="bottom"/>
            <w:hideMark/>
          </w:tcPr>
          <w:p w14:paraId="0275586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51.220,00</w:t>
            </w:r>
          </w:p>
        </w:tc>
        <w:tc>
          <w:tcPr>
            <w:tcW w:w="1559" w:type="dxa"/>
            <w:tcBorders>
              <w:top w:val="nil"/>
              <w:left w:val="nil"/>
              <w:bottom w:val="single" w:sz="4" w:space="0" w:color="auto"/>
              <w:right w:val="single" w:sz="4" w:space="0" w:color="auto"/>
            </w:tcBorders>
            <w:shd w:val="clear" w:color="000000" w:fill="FFFFFF"/>
            <w:noWrap/>
            <w:vAlign w:val="bottom"/>
            <w:hideMark/>
          </w:tcPr>
          <w:p w14:paraId="6ACDA07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4,14</w:t>
            </w:r>
          </w:p>
        </w:tc>
        <w:tc>
          <w:tcPr>
            <w:tcW w:w="1803" w:type="dxa"/>
            <w:tcBorders>
              <w:top w:val="nil"/>
              <w:left w:val="nil"/>
              <w:bottom w:val="single" w:sz="4" w:space="0" w:color="auto"/>
              <w:right w:val="single" w:sz="4" w:space="0" w:color="auto"/>
            </w:tcBorders>
            <w:shd w:val="clear" w:color="000000" w:fill="FFFFFF"/>
            <w:noWrap/>
            <w:vAlign w:val="bottom"/>
            <w:hideMark/>
          </w:tcPr>
          <w:p w14:paraId="6D92CE4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1.287.970,00</w:t>
            </w:r>
          </w:p>
        </w:tc>
      </w:tr>
      <w:tr w:rsidR="00846ACC" w:rsidRPr="004974C0" w14:paraId="2B91B1B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0BE5BBF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5.1. POTPORA ZA DECENTRALIZIRANE FUNKCIJE</w:t>
            </w:r>
          </w:p>
        </w:tc>
        <w:tc>
          <w:tcPr>
            <w:tcW w:w="1984" w:type="dxa"/>
            <w:tcBorders>
              <w:top w:val="nil"/>
              <w:left w:val="nil"/>
              <w:bottom w:val="single" w:sz="4" w:space="0" w:color="auto"/>
              <w:right w:val="single" w:sz="4" w:space="0" w:color="auto"/>
            </w:tcBorders>
            <w:shd w:val="clear" w:color="000000" w:fill="FFFFFF"/>
            <w:noWrap/>
            <w:vAlign w:val="bottom"/>
            <w:hideMark/>
          </w:tcPr>
          <w:p w14:paraId="076945E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CAA9D5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47.000,00</w:t>
            </w:r>
          </w:p>
        </w:tc>
        <w:tc>
          <w:tcPr>
            <w:tcW w:w="1843" w:type="dxa"/>
            <w:tcBorders>
              <w:top w:val="nil"/>
              <w:left w:val="nil"/>
              <w:bottom w:val="single" w:sz="4" w:space="0" w:color="auto"/>
              <w:right w:val="single" w:sz="4" w:space="0" w:color="auto"/>
            </w:tcBorders>
            <w:shd w:val="clear" w:color="000000" w:fill="FFFFFF"/>
            <w:noWrap/>
            <w:vAlign w:val="bottom"/>
            <w:hideMark/>
          </w:tcPr>
          <w:p w14:paraId="6862A27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2B0082B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4DA41A4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47.000,00</w:t>
            </w:r>
          </w:p>
        </w:tc>
      </w:tr>
      <w:tr w:rsidR="00846ACC" w:rsidRPr="004974C0" w14:paraId="525E528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0F5ADC9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FF"/>
            <w:noWrap/>
            <w:vAlign w:val="bottom"/>
            <w:hideMark/>
          </w:tcPr>
          <w:p w14:paraId="2BCC9DE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3D1E6E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1.189.750,00</w:t>
            </w:r>
          </w:p>
        </w:tc>
        <w:tc>
          <w:tcPr>
            <w:tcW w:w="1843" w:type="dxa"/>
            <w:tcBorders>
              <w:top w:val="nil"/>
              <w:left w:val="nil"/>
              <w:bottom w:val="single" w:sz="4" w:space="0" w:color="auto"/>
              <w:right w:val="single" w:sz="4" w:space="0" w:color="auto"/>
            </w:tcBorders>
            <w:shd w:val="clear" w:color="000000" w:fill="FFFFFF"/>
            <w:noWrap/>
            <w:vAlign w:val="bottom"/>
            <w:hideMark/>
          </w:tcPr>
          <w:p w14:paraId="06950DA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51.220,00</w:t>
            </w:r>
          </w:p>
        </w:tc>
        <w:tc>
          <w:tcPr>
            <w:tcW w:w="1559" w:type="dxa"/>
            <w:tcBorders>
              <w:top w:val="nil"/>
              <w:left w:val="nil"/>
              <w:bottom w:val="single" w:sz="4" w:space="0" w:color="auto"/>
              <w:right w:val="single" w:sz="4" w:space="0" w:color="auto"/>
            </w:tcBorders>
            <w:shd w:val="clear" w:color="000000" w:fill="FFFFFF"/>
            <w:noWrap/>
            <w:vAlign w:val="bottom"/>
            <w:hideMark/>
          </w:tcPr>
          <w:p w14:paraId="1F39ADA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4,31</w:t>
            </w:r>
          </w:p>
        </w:tc>
        <w:tc>
          <w:tcPr>
            <w:tcW w:w="1803" w:type="dxa"/>
            <w:tcBorders>
              <w:top w:val="nil"/>
              <w:left w:val="nil"/>
              <w:bottom w:val="single" w:sz="4" w:space="0" w:color="auto"/>
              <w:right w:val="single" w:sz="4" w:space="0" w:color="auto"/>
            </w:tcBorders>
            <w:shd w:val="clear" w:color="000000" w:fill="FFFFFF"/>
            <w:noWrap/>
            <w:vAlign w:val="bottom"/>
            <w:hideMark/>
          </w:tcPr>
          <w:p w14:paraId="02C81F1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1.240.970,00</w:t>
            </w:r>
          </w:p>
        </w:tc>
      </w:tr>
      <w:tr w:rsidR="00846ACC" w:rsidRPr="004974C0" w14:paraId="5086E97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079111B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 DONACIJE</w:t>
            </w:r>
          </w:p>
        </w:tc>
        <w:tc>
          <w:tcPr>
            <w:tcW w:w="1984" w:type="dxa"/>
            <w:tcBorders>
              <w:top w:val="nil"/>
              <w:left w:val="nil"/>
              <w:bottom w:val="single" w:sz="4" w:space="0" w:color="auto"/>
              <w:right w:val="single" w:sz="4" w:space="0" w:color="auto"/>
            </w:tcBorders>
            <w:shd w:val="clear" w:color="000000" w:fill="FFFFFF"/>
            <w:noWrap/>
            <w:vAlign w:val="bottom"/>
            <w:hideMark/>
          </w:tcPr>
          <w:p w14:paraId="6360551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1AD507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w:t>
            </w:r>
          </w:p>
        </w:tc>
        <w:tc>
          <w:tcPr>
            <w:tcW w:w="1843" w:type="dxa"/>
            <w:tcBorders>
              <w:top w:val="nil"/>
              <w:left w:val="nil"/>
              <w:bottom w:val="single" w:sz="4" w:space="0" w:color="auto"/>
              <w:right w:val="single" w:sz="4" w:space="0" w:color="auto"/>
            </w:tcBorders>
            <w:shd w:val="clear" w:color="000000" w:fill="FFFFFF"/>
            <w:noWrap/>
            <w:vAlign w:val="bottom"/>
            <w:hideMark/>
          </w:tcPr>
          <w:p w14:paraId="70F58BE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1705C5A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537BD42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w:t>
            </w:r>
          </w:p>
        </w:tc>
      </w:tr>
      <w:tr w:rsidR="00846ACC" w:rsidRPr="004974C0" w14:paraId="4938C7B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62B8038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6.9. 6.DONACIJE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486D195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C7194F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w:t>
            </w:r>
          </w:p>
        </w:tc>
        <w:tc>
          <w:tcPr>
            <w:tcW w:w="1843" w:type="dxa"/>
            <w:tcBorders>
              <w:top w:val="nil"/>
              <w:left w:val="nil"/>
              <w:bottom w:val="single" w:sz="4" w:space="0" w:color="auto"/>
              <w:right w:val="single" w:sz="4" w:space="0" w:color="auto"/>
            </w:tcBorders>
            <w:shd w:val="clear" w:color="000000" w:fill="FFFFFF"/>
            <w:noWrap/>
            <w:vAlign w:val="bottom"/>
            <w:hideMark/>
          </w:tcPr>
          <w:p w14:paraId="4C6BAAD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5985799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7096188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w:t>
            </w:r>
          </w:p>
        </w:tc>
      </w:tr>
      <w:tr w:rsidR="00846ACC" w:rsidRPr="004974C0" w14:paraId="5E204CD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22539AD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5002 Obrazovanje</w:t>
            </w:r>
          </w:p>
        </w:tc>
        <w:tc>
          <w:tcPr>
            <w:tcW w:w="1984" w:type="dxa"/>
            <w:tcBorders>
              <w:top w:val="nil"/>
              <w:left w:val="nil"/>
              <w:bottom w:val="single" w:sz="4" w:space="0" w:color="auto"/>
              <w:right w:val="single" w:sz="4" w:space="0" w:color="auto"/>
            </w:tcBorders>
            <w:shd w:val="clear" w:color="000000" w:fill="9999FF"/>
            <w:noWrap/>
            <w:vAlign w:val="bottom"/>
            <w:hideMark/>
          </w:tcPr>
          <w:p w14:paraId="7C68FE2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62EA1CC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1.352.670,00</w:t>
            </w:r>
          </w:p>
        </w:tc>
        <w:tc>
          <w:tcPr>
            <w:tcW w:w="1843" w:type="dxa"/>
            <w:tcBorders>
              <w:top w:val="nil"/>
              <w:left w:val="nil"/>
              <w:bottom w:val="single" w:sz="4" w:space="0" w:color="auto"/>
              <w:right w:val="single" w:sz="4" w:space="0" w:color="auto"/>
            </w:tcBorders>
            <w:shd w:val="clear" w:color="000000" w:fill="9999FF"/>
            <w:noWrap/>
            <w:vAlign w:val="bottom"/>
            <w:hideMark/>
          </w:tcPr>
          <w:p w14:paraId="4A5E70E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53.870,00</w:t>
            </w:r>
          </w:p>
        </w:tc>
        <w:tc>
          <w:tcPr>
            <w:tcW w:w="1559" w:type="dxa"/>
            <w:tcBorders>
              <w:top w:val="nil"/>
              <w:left w:val="nil"/>
              <w:bottom w:val="single" w:sz="4" w:space="0" w:color="auto"/>
              <w:right w:val="single" w:sz="4" w:space="0" w:color="auto"/>
            </w:tcBorders>
            <w:shd w:val="clear" w:color="000000" w:fill="9999FF"/>
            <w:noWrap/>
            <w:vAlign w:val="bottom"/>
            <w:hideMark/>
          </w:tcPr>
          <w:p w14:paraId="241D543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3,98</w:t>
            </w:r>
          </w:p>
        </w:tc>
        <w:tc>
          <w:tcPr>
            <w:tcW w:w="1803" w:type="dxa"/>
            <w:tcBorders>
              <w:top w:val="nil"/>
              <w:left w:val="nil"/>
              <w:bottom w:val="single" w:sz="4" w:space="0" w:color="auto"/>
              <w:right w:val="single" w:sz="4" w:space="0" w:color="auto"/>
            </w:tcBorders>
            <w:shd w:val="clear" w:color="000000" w:fill="9999FF"/>
            <w:noWrap/>
            <w:vAlign w:val="bottom"/>
            <w:hideMark/>
          </w:tcPr>
          <w:p w14:paraId="14355C3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1.406.540,00</w:t>
            </w:r>
          </w:p>
        </w:tc>
      </w:tr>
      <w:tr w:rsidR="00846ACC" w:rsidRPr="004974C0" w14:paraId="047D1C5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183125F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A500003 Financiranje djelatnosti osnovnog školstva</w:t>
            </w:r>
          </w:p>
        </w:tc>
        <w:tc>
          <w:tcPr>
            <w:tcW w:w="1984" w:type="dxa"/>
            <w:tcBorders>
              <w:top w:val="nil"/>
              <w:left w:val="nil"/>
              <w:bottom w:val="single" w:sz="4" w:space="0" w:color="auto"/>
              <w:right w:val="single" w:sz="4" w:space="0" w:color="auto"/>
            </w:tcBorders>
            <w:shd w:val="clear" w:color="000000" w:fill="CCCCFF"/>
            <w:noWrap/>
            <w:vAlign w:val="bottom"/>
            <w:hideMark/>
          </w:tcPr>
          <w:p w14:paraId="308ADF6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AA96EB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1.324.970,00</w:t>
            </w:r>
          </w:p>
        </w:tc>
        <w:tc>
          <w:tcPr>
            <w:tcW w:w="1843" w:type="dxa"/>
            <w:tcBorders>
              <w:top w:val="nil"/>
              <w:left w:val="nil"/>
              <w:bottom w:val="single" w:sz="4" w:space="0" w:color="auto"/>
              <w:right w:val="single" w:sz="4" w:space="0" w:color="auto"/>
            </w:tcBorders>
            <w:shd w:val="clear" w:color="000000" w:fill="CCCCFF"/>
            <w:noWrap/>
            <w:vAlign w:val="bottom"/>
            <w:hideMark/>
          </w:tcPr>
          <w:p w14:paraId="3109962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51.150,00</w:t>
            </w:r>
          </w:p>
        </w:tc>
        <w:tc>
          <w:tcPr>
            <w:tcW w:w="1559" w:type="dxa"/>
            <w:tcBorders>
              <w:top w:val="nil"/>
              <w:left w:val="nil"/>
              <w:bottom w:val="single" w:sz="4" w:space="0" w:color="auto"/>
              <w:right w:val="single" w:sz="4" w:space="0" w:color="auto"/>
            </w:tcBorders>
            <w:shd w:val="clear" w:color="000000" w:fill="CCCCFF"/>
            <w:noWrap/>
            <w:vAlign w:val="bottom"/>
            <w:hideMark/>
          </w:tcPr>
          <w:p w14:paraId="57D26C6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3,86</w:t>
            </w:r>
          </w:p>
        </w:tc>
        <w:tc>
          <w:tcPr>
            <w:tcW w:w="1803" w:type="dxa"/>
            <w:tcBorders>
              <w:top w:val="nil"/>
              <w:left w:val="nil"/>
              <w:bottom w:val="single" w:sz="4" w:space="0" w:color="auto"/>
              <w:right w:val="single" w:sz="4" w:space="0" w:color="auto"/>
            </w:tcBorders>
            <w:shd w:val="clear" w:color="000000" w:fill="CCCCFF"/>
            <w:noWrap/>
            <w:vAlign w:val="bottom"/>
            <w:hideMark/>
          </w:tcPr>
          <w:p w14:paraId="3E95662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1.376.120,00</w:t>
            </w:r>
          </w:p>
        </w:tc>
      </w:tr>
      <w:tr w:rsidR="00846ACC" w:rsidRPr="004974C0" w14:paraId="45DCBCD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EB43F1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73E461B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B86857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5.500,00</w:t>
            </w:r>
          </w:p>
        </w:tc>
        <w:tc>
          <w:tcPr>
            <w:tcW w:w="1843" w:type="dxa"/>
            <w:tcBorders>
              <w:top w:val="nil"/>
              <w:left w:val="nil"/>
              <w:bottom w:val="single" w:sz="4" w:space="0" w:color="auto"/>
              <w:right w:val="single" w:sz="4" w:space="0" w:color="auto"/>
            </w:tcBorders>
            <w:shd w:val="clear" w:color="000000" w:fill="FFFF99"/>
            <w:noWrap/>
            <w:vAlign w:val="bottom"/>
            <w:hideMark/>
          </w:tcPr>
          <w:p w14:paraId="12BA54F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900,00</w:t>
            </w:r>
          </w:p>
        </w:tc>
        <w:tc>
          <w:tcPr>
            <w:tcW w:w="1559" w:type="dxa"/>
            <w:tcBorders>
              <w:top w:val="nil"/>
              <w:left w:val="nil"/>
              <w:bottom w:val="single" w:sz="4" w:space="0" w:color="auto"/>
              <w:right w:val="single" w:sz="4" w:space="0" w:color="auto"/>
            </w:tcBorders>
            <w:shd w:val="clear" w:color="000000" w:fill="FFFF99"/>
            <w:noWrap/>
            <w:vAlign w:val="bottom"/>
            <w:hideMark/>
          </w:tcPr>
          <w:p w14:paraId="11592B9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16,36</w:t>
            </w:r>
          </w:p>
        </w:tc>
        <w:tc>
          <w:tcPr>
            <w:tcW w:w="1803" w:type="dxa"/>
            <w:tcBorders>
              <w:top w:val="nil"/>
              <w:left w:val="nil"/>
              <w:bottom w:val="single" w:sz="4" w:space="0" w:color="auto"/>
              <w:right w:val="single" w:sz="4" w:space="0" w:color="auto"/>
            </w:tcBorders>
            <w:shd w:val="clear" w:color="000000" w:fill="FFFF99"/>
            <w:noWrap/>
            <w:vAlign w:val="bottom"/>
            <w:hideMark/>
          </w:tcPr>
          <w:p w14:paraId="24EA26B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6.400,00</w:t>
            </w:r>
          </w:p>
        </w:tc>
      </w:tr>
      <w:tr w:rsidR="00846ACC" w:rsidRPr="004974C0" w14:paraId="36F94E3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0451C9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6674F5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45C493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5.500,00</w:t>
            </w:r>
          </w:p>
        </w:tc>
        <w:tc>
          <w:tcPr>
            <w:tcW w:w="1843" w:type="dxa"/>
            <w:tcBorders>
              <w:top w:val="nil"/>
              <w:left w:val="nil"/>
              <w:bottom w:val="single" w:sz="4" w:space="0" w:color="auto"/>
              <w:right w:val="single" w:sz="4" w:space="0" w:color="auto"/>
            </w:tcBorders>
            <w:shd w:val="clear" w:color="auto" w:fill="auto"/>
            <w:noWrap/>
            <w:vAlign w:val="bottom"/>
            <w:hideMark/>
          </w:tcPr>
          <w:p w14:paraId="5371F08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900,00</w:t>
            </w:r>
          </w:p>
        </w:tc>
        <w:tc>
          <w:tcPr>
            <w:tcW w:w="1559" w:type="dxa"/>
            <w:tcBorders>
              <w:top w:val="nil"/>
              <w:left w:val="nil"/>
              <w:bottom w:val="single" w:sz="4" w:space="0" w:color="auto"/>
              <w:right w:val="single" w:sz="4" w:space="0" w:color="auto"/>
            </w:tcBorders>
            <w:shd w:val="clear" w:color="auto" w:fill="auto"/>
            <w:noWrap/>
            <w:vAlign w:val="bottom"/>
            <w:hideMark/>
          </w:tcPr>
          <w:p w14:paraId="5524C58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16,36</w:t>
            </w:r>
          </w:p>
        </w:tc>
        <w:tc>
          <w:tcPr>
            <w:tcW w:w="1803" w:type="dxa"/>
            <w:tcBorders>
              <w:top w:val="nil"/>
              <w:left w:val="nil"/>
              <w:bottom w:val="single" w:sz="4" w:space="0" w:color="auto"/>
              <w:right w:val="single" w:sz="4" w:space="0" w:color="auto"/>
            </w:tcBorders>
            <w:shd w:val="clear" w:color="auto" w:fill="auto"/>
            <w:noWrap/>
            <w:vAlign w:val="bottom"/>
            <w:hideMark/>
          </w:tcPr>
          <w:p w14:paraId="7EB9BFA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6.400,00</w:t>
            </w:r>
          </w:p>
        </w:tc>
      </w:tr>
      <w:tr w:rsidR="00846ACC" w:rsidRPr="004974C0" w14:paraId="2EE80EF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5398B64"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BA529C8"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A40CF2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5.500,00</w:t>
            </w:r>
          </w:p>
        </w:tc>
        <w:tc>
          <w:tcPr>
            <w:tcW w:w="1843" w:type="dxa"/>
            <w:tcBorders>
              <w:top w:val="nil"/>
              <w:left w:val="nil"/>
              <w:bottom w:val="single" w:sz="4" w:space="0" w:color="auto"/>
              <w:right w:val="single" w:sz="4" w:space="0" w:color="auto"/>
            </w:tcBorders>
            <w:shd w:val="clear" w:color="auto" w:fill="auto"/>
            <w:noWrap/>
            <w:vAlign w:val="bottom"/>
            <w:hideMark/>
          </w:tcPr>
          <w:p w14:paraId="5358ABF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900,00</w:t>
            </w:r>
          </w:p>
        </w:tc>
        <w:tc>
          <w:tcPr>
            <w:tcW w:w="1559" w:type="dxa"/>
            <w:tcBorders>
              <w:top w:val="nil"/>
              <w:left w:val="nil"/>
              <w:bottom w:val="single" w:sz="4" w:space="0" w:color="auto"/>
              <w:right w:val="single" w:sz="4" w:space="0" w:color="auto"/>
            </w:tcBorders>
            <w:shd w:val="clear" w:color="auto" w:fill="auto"/>
            <w:noWrap/>
            <w:vAlign w:val="bottom"/>
            <w:hideMark/>
          </w:tcPr>
          <w:p w14:paraId="0BC9180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16,36</w:t>
            </w:r>
          </w:p>
        </w:tc>
        <w:tc>
          <w:tcPr>
            <w:tcW w:w="1803" w:type="dxa"/>
            <w:tcBorders>
              <w:top w:val="nil"/>
              <w:left w:val="nil"/>
              <w:bottom w:val="single" w:sz="4" w:space="0" w:color="auto"/>
              <w:right w:val="single" w:sz="4" w:space="0" w:color="auto"/>
            </w:tcBorders>
            <w:shd w:val="clear" w:color="auto" w:fill="auto"/>
            <w:noWrap/>
            <w:vAlign w:val="bottom"/>
            <w:hideMark/>
          </w:tcPr>
          <w:p w14:paraId="3CAC092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6.400,00</w:t>
            </w:r>
          </w:p>
        </w:tc>
      </w:tr>
      <w:tr w:rsidR="00846ACC" w:rsidRPr="004974C0" w14:paraId="6EC935F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793B00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3.9. VLASTITI PRIHODI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17D4547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7B8DF8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w:t>
            </w:r>
          </w:p>
        </w:tc>
        <w:tc>
          <w:tcPr>
            <w:tcW w:w="1843" w:type="dxa"/>
            <w:tcBorders>
              <w:top w:val="nil"/>
              <w:left w:val="nil"/>
              <w:bottom w:val="single" w:sz="4" w:space="0" w:color="auto"/>
              <w:right w:val="single" w:sz="4" w:space="0" w:color="auto"/>
            </w:tcBorders>
            <w:shd w:val="clear" w:color="000000" w:fill="FFFF99"/>
            <w:noWrap/>
            <w:vAlign w:val="bottom"/>
            <w:hideMark/>
          </w:tcPr>
          <w:p w14:paraId="1A63FB6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08B0BBE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7F25F8D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w:t>
            </w:r>
          </w:p>
        </w:tc>
      </w:tr>
      <w:tr w:rsidR="00846ACC" w:rsidRPr="004974C0" w14:paraId="0D53618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8280BF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7360B8D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0A0A27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120,00</w:t>
            </w:r>
          </w:p>
        </w:tc>
        <w:tc>
          <w:tcPr>
            <w:tcW w:w="1843" w:type="dxa"/>
            <w:tcBorders>
              <w:top w:val="nil"/>
              <w:left w:val="nil"/>
              <w:bottom w:val="single" w:sz="4" w:space="0" w:color="auto"/>
              <w:right w:val="single" w:sz="4" w:space="0" w:color="auto"/>
            </w:tcBorders>
            <w:shd w:val="clear" w:color="auto" w:fill="auto"/>
            <w:noWrap/>
            <w:vAlign w:val="bottom"/>
            <w:hideMark/>
          </w:tcPr>
          <w:p w14:paraId="0D869C3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0236E5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A4C548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120,00</w:t>
            </w:r>
          </w:p>
        </w:tc>
      </w:tr>
      <w:tr w:rsidR="00846ACC" w:rsidRPr="004974C0" w14:paraId="0249656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2D0B5BB"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BD8AA4A"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209AD2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120,00</w:t>
            </w:r>
          </w:p>
        </w:tc>
        <w:tc>
          <w:tcPr>
            <w:tcW w:w="1843" w:type="dxa"/>
            <w:tcBorders>
              <w:top w:val="nil"/>
              <w:left w:val="nil"/>
              <w:bottom w:val="single" w:sz="4" w:space="0" w:color="auto"/>
              <w:right w:val="single" w:sz="4" w:space="0" w:color="auto"/>
            </w:tcBorders>
            <w:shd w:val="clear" w:color="auto" w:fill="auto"/>
            <w:noWrap/>
            <w:vAlign w:val="bottom"/>
            <w:hideMark/>
          </w:tcPr>
          <w:p w14:paraId="38457E7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D10D93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A6A123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120,00</w:t>
            </w:r>
          </w:p>
        </w:tc>
      </w:tr>
      <w:tr w:rsidR="00846ACC" w:rsidRPr="004974C0" w14:paraId="6D7217E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4C4EF3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Izvor  4.9. 4.PRIHODI ZA POSEBNE NAMJENE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221940E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DDB084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87.600,00</w:t>
            </w:r>
          </w:p>
        </w:tc>
        <w:tc>
          <w:tcPr>
            <w:tcW w:w="1843" w:type="dxa"/>
            <w:tcBorders>
              <w:top w:val="nil"/>
              <w:left w:val="nil"/>
              <w:bottom w:val="single" w:sz="4" w:space="0" w:color="auto"/>
              <w:right w:val="single" w:sz="4" w:space="0" w:color="auto"/>
            </w:tcBorders>
            <w:shd w:val="clear" w:color="000000" w:fill="FFFF99"/>
            <w:noWrap/>
            <w:vAlign w:val="bottom"/>
            <w:hideMark/>
          </w:tcPr>
          <w:p w14:paraId="16D94E0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1.750,00</w:t>
            </w:r>
          </w:p>
        </w:tc>
        <w:tc>
          <w:tcPr>
            <w:tcW w:w="1559" w:type="dxa"/>
            <w:tcBorders>
              <w:top w:val="nil"/>
              <w:left w:val="nil"/>
              <w:bottom w:val="single" w:sz="4" w:space="0" w:color="auto"/>
              <w:right w:val="single" w:sz="4" w:space="0" w:color="auto"/>
            </w:tcBorders>
            <w:shd w:val="clear" w:color="000000" w:fill="FFFF99"/>
            <w:noWrap/>
            <w:vAlign w:val="bottom"/>
            <w:hideMark/>
          </w:tcPr>
          <w:p w14:paraId="2993524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w:t>
            </w:r>
          </w:p>
        </w:tc>
        <w:tc>
          <w:tcPr>
            <w:tcW w:w="1803" w:type="dxa"/>
            <w:tcBorders>
              <w:top w:val="nil"/>
              <w:left w:val="nil"/>
              <w:bottom w:val="single" w:sz="4" w:space="0" w:color="auto"/>
              <w:right w:val="single" w:sz="4" w:space="0" w:color="auto"/>
            </w:tcBorders>
            <w:shd w:val="clear" w:color="000000" w:fill="FFFF99"/>
            <w:noWrap/>
            <w:vAlign w:val="bottom"/>
            <w:hideMark/>
          </w:tcPr>
          <w:p w14:paraId="13C7A78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89.350,00</w:t>
            </w:r>
          </w:p>
        </w:tc>
      </w:tr>
      <w:tr w:rsidR="00846ACC" w:rsidRPr="004974C0" w14:paraId="6F8EA53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D0B74B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B89B07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7C43246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74.800,00</w:t>
            </w:r>
          </w:p>
        </w:tc>
        <w:tc>
          <w:tcPr>
            <w:tcW w:w="1843" w:type="dxa"/>
            <w:tcBorders>
              <w:top w:val="nil"/>
              <w:left w:val="nil"/>
              <w:bottom w:val="single" w:sz="4" w:space="0" w:color="auto"/>
              <w:right w:val="single" w:sz="4" w:space="0" w:color="auto"/>
            </w:tcBorders>
            <w:shd w:val="clear" w:color="auto" w:fill="auto"/>
            <w:noWrap/>
            <w:vAlign w:val="bottom"/>
            <w:hideMark/>
          </w:tcPr>
          <w:p w14:paraId="36D8BAE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1.750,00</w:t>
            </w:r>
          </w:p>
        </w:tc>
        <w:tc>
          <w:tcPr>
            <w:tcW w:w="1559" w:type="dxa"/>
            <w:tcBorders>
              <w:top w:val="nil"/>
              <w:left w:val="nil"/>
              <w:bottom w:val="single" w:sz="4" w:space="0" w:color="auto"/>
              <w:right w:val="single" w:sz="4" w:space="0" w:color="auto"/>
            </w:tcBorders>
            <w:shd w:val="clear" w:color="auto" w:fill="auto"/>
            <w:noWrap/>
            <w:vAlign w:val="bottom"/>
            <w:hideMark/>
          </w:tcPr>
          <w:p w14:paraId="33879D1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2,34</w:t>
            </w:r>
          </w:p>
        </w:tc>
        <w:tc>
          <w:tcPr>
            <w:tcW w:w="1803" w:type="dxa"/>
            <w:tcBorders>
              <w:top w:val="nil"/>
              <w:left w:val="nil"/>
              <w:bottom w:val="single" w:sz="4" w:space="0" w:color="auto"/>
              <w:right w:val="single" w:sz="4" w:space="0" w:color="auto"/>
            </w:tcBorders>
            <w:shd w:val="clear" w:color="auto" w:fill="auto"/>
            <w:noWrap/>
            <w:vAlign w:val="bottom"/>
            <w:hideMark/>
          </w:tcPr>
          <w:p w14:paraId="74A16AE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76.550,00</w:t>
            </w:r>
          </w:p>
        </w:tc>
      </w:tr>
      <w:tr w:rsidR="00846ACC" w:rsidRPr="004974C0" w14:paraId="19269A1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E65EB1A"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36F92B79"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1005916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0A905F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1.700,00</w:t>
            </w:r>
          </w:p>
        </w:tc>
        <w:tc>
          <w:tcPr>
            <w:tcW w:w="1559" w:type="dxa"/>
            <w:tcBorders>
              <w:top w:val="nil"/>
              <w:left w:val="nil"/>
              <w:bottom w:val="single" w:sz="4" w:space="0" w:color="auto"/>
              <w:right w:val="single" w:sz="4" w:space="0" w:color="auto"/>
            </w:tcBorders>
            <w:shd w:val="clear" w:color="auto" w:fill="auto"/>
            <w:noWrap/>
            <w:vAlign w:val="bottom"/>
            <w:hideMark/>
          </w:tcPr>
          <w:p w14:paraId="2F55FEB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1119783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1.700,00</w:t>
            </w:r>
          </w:p>
        </w:tc>
      </w:tr>
      <w:tr w:rsidR="00846ACC" w:rsidRPr="004974C0" w14:paraId="72C2A22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8F3688E"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CFF12DD"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508364C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74.800,00</w:t>
            </w:r>
          </w:p>
        </w:tc>
        <w:tc>
          <w:tcPr>
            <w:tcW w:w="1843" w:type="dxa"/>
            <w:tcBorders>
              <w:top w:val="nil"/>
              <w:left w:val="nil"/>
              <w:bottom w:val="single" w:sz="4" w:space="0" w:color="auto"/>
              <w:right w:val="single" w:sz="4" w:space="0" w:color="auto"/>
            </w:tcBorders>
            <w:shd w:val="clear" w:color="auto" w:fill="auto"/>
            <w:noWrap/>
            <w:vAlign w:val="bottom"/>
            <w:hideMark/>
          </w:tcPr>
          <w:p w14:paraId="5BBD09F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w:t>
            </w:r>
          </w:p>
        </w:tc>
        <w:tc>
          <w:tcPr>
            <w:tcW w:w="1559" w:type="dxa"/>
            <w:tcBorders>
              <w:top w:val="nil"/>
              <w:left w:val="nil"/>
              <w:bottom w:val="single" w:sz="4" w:space="0" w:color="auto"/>
              <w:right w:val="single" w:sz="4" w:space="0" w:color="auto"/>
            </w:tcBorders>
            <w:shd w:val="clear" w:color="auto" w:fill="auto"/>
            <w:noWrap/>
            <w:vAlign w:val="bottom"/>
            <w:hideMark/>
          </w:tcPr>
          <w:p w14:paraId="7E3532D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0,07</w:t>
            </w:r>
          </w:p>
        </w:tc>
        <w:tc>
          <w:tcPr>
            <w:tcW w:w="1803" w:type="dxa"/>
            <w:tcBorders>
              <w:top w:val="nil"/>
              <w:left w:val="nil"/>
              <w:bottom w:val="single" w:sz="4" w:space="0" w:color="auto"/>
              <w:right w:val="single" w:sz="4" w:space="0" w:color="auto"/>
            </w:tcBorders>
            <w:shd w:val="clear" w:color="auto" w:fill="auto"/>
            <w:noWrap/>
            <w:vAlign w:val="bottom"/>
            <w:hideMark/>
          </w:tcPr>
          <w:p w14:paraId="59ECF6B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74.850,00</w:t>
            </w:r>
          </w:p>
        </w:tc>
      </w:tr>
      <w:tr w:rsidR="00846ACC" w:rsidRPr="004974C0" w14:paraId="44C9036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FD4794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053E80F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49E6AFE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12.800,00</w:t>
            </w:r>
          </w:p>
        </w:tc>
        <w:tc>
          <w:tcPr>
            <w:tcW w:w="1843" w:type="dxa"/>
            <w:tcBorders>
              <w:top w:val="nil"/>
              <w:left w:val="nil"/>
              <w:bottom w:val="single" w:sz="4" w:space="0" w:color="auto"/>
              <w:right w:val="single" w:sz="4" w:space="0" w:color="auto"/>
            </w:tcBorders>
            <w:shd w:val="clear" w:color="auto" w:fill="auto"/>
            <w:noWrap/>
            <w:vAlign w:val="bottom"/>
            <w:hideMark/>
          </w:tcPr>
          <w:p w14:paraId="31F78D9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0FF645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0B96E4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12.800,00</w:t>
            </w:r>
          </w:p>
        </w:tc>
      </w:tr>
      <w:tr w:rsidR="00846ACC" w:rsidRPr="004974C0" w14:paraId="5D99962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E9512CF"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67FF8176"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50168C3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12.800,00</w:t>
            </w:r>
          </w:p>
        </w:tc>
        <w:tc>
          <w:tcPr>
            <w:tcW w:w="1843" w:type="dxa"/>
            <w:tcBorders>
              <w:top w:val="nil"/>
              <w:left w:val="nil"/>
              <w:bottom w:val="single" w:sz="4" w:space="0" w:color="auto"/>
              <w:right w:val="single" w:sz="4" w:space="0" w:color="auto"/>
            </w:tcBorders>
            <w:shd w:val="clear" w:color="auto" w:fill="auto"/>
            <w:noWrap/>
            <w:vAlign w:val="bottom"/>
            <w:hideMark/>
          </w:tcPr>
          <w:p w14:paraId="0C0E1FF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4ECA4C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57AA85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12.800,00</w:t>
            </w:r>
          </w:p>
        </w:tc>
      </w:tr>
      <w:tr w:rsidR="00846ACC" w:rsidRPr="004974C0" w14:paraId="20A06A9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8215F7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5.1. POTPORA ZA DECENTRALIZIRANE FUNKCIJE</w:t>
            </w:r>
          </w:p>
        </w:tc>
        <w:tc>
          <w:tcPr>
            <w:tcW w:w="1984" w:type="dxa"/>
            <w:tcBorders>
              <w:top w:val="nil"/>
              <w:left w:val="nil"/>
              <w:bottom w:val="single" w:sz="4" w:space="0" w:color="auto"/>
              <w:right w:val="single" w:sz="4" w:space="0" w:color="auto"/>
            </w:tcBorders>
            <w:shd w:val="clear" w:color="000000" w:fill="FFFF99"/>
            <w:noWrap/>
            <w:vAlign w:val="bottom"/>
            <w:hideMark/>
          </w:tcPr>
          <w:p w14:paraId="6358D64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22292B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41.500,00</w:t>
            </w:r>
          </w:p>
        </w:tc>
        <w:tc>
          <w:tcPr>
            <w:tcW w:w="1843" w:type="dxa"/>
            <w:tcBorders>
              <w:top w:val="nil"/>
              <w:left w:val="nil"/>
              <w:bottom w:val="single" w:sz="4" w:space="0" w:color="auto"/>
              <w:right w:val="single" w:sz="4" w:space="0" w:color="auto"/>
            </w:tcBorders>
            <w:shd w:val="clear" w:color="000000" w:fill="FFFF99"/>
            <w:noWrap/>
            <w:vAlign w:val="bottom"/>
            <w:hideMark/>
          </w:tcPr>
          <w:p w14:paraId="6363D75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0849026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73EE863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41.500,00</w:t>
            </w:r>
          </w:p>
        </w:tc>
      </w:tr>
      <w:tr w:rsidR="00846ACC" w:rsidRPr="004974C0" w14:paraId="19E717D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525DEB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8DE3E1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0FFEA5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41.500,00</w:t>
            </w:r>
          </w:p>
        </w:tc>
        <w:tc>
          <w:tcPr>
            <w:tcW w:w="1843" w:type="dxa"/>
            <w:tcBorders>
              <w:top w:val="nil"/>
              <w:left w:val="nil"/>
              <w:bottom w:val="single" w:sz="4" w:space="0" w:color="auto"/>
              <w:right w:val="single" w:sz="4" w:space="0" w:color="auto"/>
            </w:tcBorders>
            <w:shd w:val="clear" w:color="auto" w:fill="auto"/>
            <w:noWrap/>
            <w:vAlign w:val="bottom"/>
            <w:hideMark/>
          </w:tcPr>
          <w:p w14:paraId="54CEE9F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0F2B66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A4D133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41.500,00</w:t>
            </w:r>
          </w:p>
        </w:tc>
      </w:tr>
      <w:tr w:rsidR="00846ACC" w:rsidRPr="004974C0" w14:paraId="2A3FE8D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18AA4C4"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4EDFD13D"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7B6AE96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41.450,00</w:t>
            </w:r>
          </w:p>
        </w:tc>
        <w:tc>
          <w:tcPr>
            <w:tcW w:w="1843" w:type="dxa"/>
            <w:tcBorders>
              <w:top w:val="nil"/>
              <w:left w:val="nil"/>
              <w:bottom w:val="single" w:sz="4" w:space="0" w:color="auto"/>
              <w:right w:val="single" w:sz="4" w:space="0" w:color="auto"/>
            </w:tcBorders>
            <w:shd w:val="clear" w:color="auto" w:fill="auto"/>
            <w:noWrap/>
            <w:vAlign w:val="bottom"/>
            <w:hideMark/>
          </w:tcPr>
          <w:p w14:paraId="4F89D36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57F603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29C1E3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41.450,00</w:t>
            </w:r>
          </w:p>
        </w:tc>
      </w:tr>
      <w:tr w:rsidR="00846ACC" w:rsidRPr="004974C0" w14:paraId="0902626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0D4572B" w14:textId="77777777" w:rsidR="004974C0" w:rsidRPr="004974C0" w:rsidRDefault="004974C0" w:rsidP="004974C0">
            <w:pPr>
              <w:rPr>
                <w:rFonts w:ascii="Arial" w:hAnsi="Arial" w:cs="Arial"/>
                <w:sz w:val="20"/>
                <w:szCs w:val="20"/>
              </w:rPr>
            </w:pPr>
            <w:r w:rsidRPr="004974C0">
              <w:rPr>
                <w:rFonts w:ascii="Arial" w:hAnsi="Arial" w:cs="Arial"/>
                <w:sz w:val="20"/>
                <w:szCs w:val="20"/>
              </w:rPr>
              <w:t>34</w:t>
            </w:r>
          </w:p>
        </w:tc>
        <w:tc>
          <w:tcPr>
            <w:tcW w:w="1984" w:type="dxa"/>
            <w:tcBorders>
              <w:top w:val="nil"/>
              <w:left w:val="nil"/>
              <w:bottom w:val="single" w:sz="4" w:space="0" w:color="auto"/>
              <w:right w:val="single" w:sz="4" w:space="0" w:color="auto"/>
            </w:tcBorders>
            <w:shd w:val="clear" w:color="auto" w:fill="auto"/>
            <w:noWrap/>
            <w:vAlign w:val="bottom"/>
            <w:hideMark/>
          </w:tcPr>
          <w:p w14:paraId="1D210F60" w14:textId="77777777" w:rsidR="004974C0" w:rsidRPr="004974C0" w:rsidRDefault="004974C0" w:rsidP="004974C0">
            <w:pPr>
              <w:rPr>
                <w:rFonts w:ascii="Arial" w:hAnsi="Arial" w:cs="Arial"/>
                <w:sz w:val="20"/>
                <w:szCs w:val="20"/>
              </w:rPr>
            </w:pPr>
            <w:r w:rsidRPr="004974C0">
              <w:rPr>
                <w:rFonts w:ascii="Arial" w:hAnsi="Arial" w:cs="Arial"/>
                <w:sz w:val="20"/>
                <w:szCs w:val="20"/>
              </w:rPr>
              <w:t>Financijski rashodi</w:t>
            </w:r>
          </w:p>
        </w:tc>
        <w:tc>
          <w:tcPr>
            <w:tcW w:w="1843" w:type="dxa"/>
            <w:tcBorders>
              <w:top w:val="nil"/>
              <w:left w:val="nil"/>
              <w:bottom w:val="single" w:sz="4" w:space="0" w:color="auto"/>
              <w:right w:val="single" w:sz="4" w:space="0" w:color="auto"/>
            </w:tcBorders>
            <w:shd w:val="clear" w:color="auto" w:fill="auto"/>
            <w:noWrap/>
            <w:vAlign w:val="bottom"/>
            <w:hideMark/>
          </w:tcPr>
          <w:p w14:paraId="1857880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w:t>
            </w:r>
          </w:p>
        </w:tc>
        <w:tc>
          <w:tcPr>
            <w:tcW w:w="1843" w:type="dxa"/>
            <w:tcBorders>
              <w:top w:val="nil"/>
              <w:left w:val="nil"/>
              <w:bottom w:val="single" w:sz="4" w:space="0" w:color="auto"/>
              <w:right w:val="single" w:sz="4" w:space="0" w:color="auto"/>
            </w:tcBorders>
            <w:shd w:val="clear" w:color="auto" w:fill="auto"/>
            <w:noWrap/>
            <w:vAlign w:val="bottom"/>
            <w:hideMark/>
          </w:tcPr>
          <w:p w14:paraId="710955B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E29648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50196C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w:t>
            </w:r>
          </w:p>
        </w:tc>
      </w:tr>
      <w:tr w:rsidR="00846ACC" w:rsidRPr="004974C0" w14:paraId="781A697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B85EAE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1B915F7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307E68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1.189.750,00</w:t>
            </w:r>
          </w:p>
        </w:tc>
        <w:tc>
          <w:tcPr>
            <w:tcW w:w="1843" w:type="dxa"/>
            <w:tcBorders>
              <w:top w:val="nil"/>
              <w:left w:val="nil"/>
              <w:bottom w:val="single" w:sz="4" w:space="0" w:color="auto"/>
              <w:right w:val="single" w:sz="4" w:space="0" w:color="auto"/>
            </w:tcBorders>
            <w:shd w:val="clear" w:color="000000" w:fill="FFFF99"/>
            <w:noWrap/>
            <w:vAlign w:val="bottom"/>
            <w:hideMark/>
          </w:tcPr>
          <w:p w14:paraId="5124309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48.500,00</w:t>
            </w:r>
          </w:p>
        </w:tc>
        <w:tc>
          <w:tcPr>
            <w:tcW w:w="1559" w:type="dxa"/>
            <w:tcBorders>
              <w:top w:val="nil"/>
              <w:left w:val="nil"/>
              <w:bottom w:val="single" w:sz="4" w:space="0" w:color="auto"/>
              <w:right w:val="single" w:sz="4" w:space="0" w:color="auto"/>
            </w:tcBorders>
            <w:shd w:val="clear" w:color="000000" w:fill="FFFF99"/>
            <w:noWrap/>
            <w:vAlign w:val="bottom"/>
            <w:hideMark/>
          </w:tcPr>
          <w:p w14:paraId="7468353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4,08</w:t>
            </w:r>
          </w:p>
        </w:tc>
        <w:tc>
          <w:tcPr>
            <w:tcW w:w="1803" w:type="dxa"/>
            <w:tcBorders>
              <w:top w:val="nil"/>
              <w:left w:val="nil"/>
              <w:bottom w:val="single" w:sz="4" w:space="0" w:color="auto"/>
              <w:right w:val="single" w:sz="4" w:space="0" w:color="auto"/>
            </w:tcBorders>
            <w:shd w:val="clear" w:color="000000" w:fill="FFFF99"/>
            <w:noWrap/>
            <w:vAlign w:val="bottom"/>
            <w:hideMark/>
          </w:tcPr>
          <w:p w14:paraId="5CCE799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1.238.250,00</w:t>
            </w:r>
          </w:p>
        </w:tc>
      </w:tr>
      <w:tr w:rsidR="00846ACC" w:rsidRPr="004974C0" w14:paraId="4B6DE5B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84C15F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9F3F07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E5CB42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1.189.750,00</w:t>
            </w:r>
          </w:p>
        </w:tc>
        <w:tc>
          <w:tcPr>
            <w:tcW w:w="1843" w:type="dxa"/>
            <w:tcBorders>
              <w:top w:val="nil"/>
              <w:left w:val="nil"/>
              <w:bottom w:val="single" w:sz="4" w:space="0" w:color="auto"/>
              <w:right w:val="single" w:sz="4" w:space="0" w:color="auto"/>
            </w:tcBorders>
            <w:shd w:val="clear" w:color="auto" w:fill="auto"/>
            <w:noWrap/>
            <w:vAlign w:val="bottom"/>
            <w:hideMark/>
          </w:tcPr>
          <w:p w14:paraId="7577715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48.500,00</w:t>
            </w:r>
          </w:p>
        </w:tc>
        <w:tc>
          <w:tcPr>
            <w:tcW w:w="1559" w:type="dxa"/>
            <w:tcBorders>
              <w:top w:val="nil"/>
              <w:left w:val="nil"/>
              <w:bottom w:val="single" w:sz="4" w:space="0" w:color="auto"/>
              <w:right w:val="single" w:sz="4" w:space="0" w:color="auto"/>
            </w:tcBorders>
            <w:shd w:val="clear" w:color="auto" w:fill="auto"/>
            <w:noWrap/>
            <w:vAlign w:val="bottom"/>
            <w:hideMark/>
          </w:tcPr>
          <w:p w14:paraId="0242F8B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4,08</w:t>
            </w:r>
          </w:p>
        </w:tc>
        <w:tc>
          <w:tcPr>
            <w:tcW w:w="1803" w:type="dxa"/>
            <w:tcBorders>
              <w:top w:val="nil"/>
              <w:left w:val="nil"/>
              <w:bottom w:val="single" w:sz="4" w:space="0" w:color="auto"/>
              <w:right w:val="single" w:sz="4" w:space="0" w:color="auto"/>
            </w:tcBorders>
            <w:shd w:val="clear" w:color="auto" w:fill="auto"/>
            <w:noWrap/>
            <w:vAlign w:val="bottom"/>
            <w:hideMark/>
          </w:tcPr>
          <w:p w14:paraId="5E4D02B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1.238.250,00</w:t>
            </w:r>
          </w:p>
        </w:tc>
      </w:tr>
      <w:tr w:rsidR="00846ACC" w:rsidRPr="004974C0" w14:paraId="4A3525D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212C060"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346AF85F"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06C711A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1.020.300,00</w:t>
            </w:r>
          </w:p>
        </w:tc>
        <w:tc>
          <w:tcPr>
            <w:tcW w:w="1843" w:type="dxa"/>
            <w:tcBorders>
              <w:top w:val="nil"/>
              <w:left w:val="nil"/>
              <w:bottom w:val="single" w:sz="4" w:space="0" w:color="auto"/>
              <w:right w:val="single" w:sz="4" w:space="0" w:color="auto"/>
            </w:tcBorders>
            <w:shd w:val="clear" w:color="auto" w:fill="auto"/>
            <w:noWrap/>
            <w:vAlign w:val="bottom"/>
            <w:hideMark/>
          </w:tcPr>
          <w:p w14:paraId="1DFD15E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48.000,00</w:t>
            </w:r>
          </w:p>
        </w:tc>
        <w:tc>
          <w:tcPr>
            <w:tcW w:w="1559" w:type="dxa"/>
            <w:tcBorders>
              <w:top w:val="nil"/>
              <w:left w:val="nil"/>
              <w:bottom w:val="single" w:sz="4" w:space="0" w:color="auto"/>
              <w:right w:val="single" w:sz="4" w:space="0" w:color="auto"/>
            </w:tcBorders>
            <w:shd w:val="clear" w:color="auto" w:fill="auto"/>
            <w:noWrap/>
            <w:vAlign w:val="bottom"/>
            <w:hideMark/>
          </w:tcPr>
          <w:p w14:paraId="113DF76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4,70</w:t>
            </w:r>
          </w:p>
        </w:tc>
        <w:tc>
          <w:tcPr>
            <w:tcW w:w="1803" w:type="dxa"/>
            <w:tcBorders>
              <w:top w:val="nil"/>
              <w:left w:val="nil"/>
              <w:bottom w:val="single" w:sz="4" w:space="0" w:color="auto"/>
              <w:right w:val="single" w:sz="4" w:space="0" w:color="auto"/>
            </w:tcBorders>
            <w:shd w:val="clear" w:color="auto" w:fill="auto"/>
            <w:noWrap/>
            <w:vAlign w:val="bottom"/>
            <w:hideMark/>
          </w:tcPr>
          <w:p w14:paraId="114975B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1.068.300,00</w:t>
            </w:r>
          </w:p>
        </w:tc>
      </w:tr>
      <w:tr w:rsidR="00846ACC" w:rsidRPr="004974C0" w14:paraId="0428DA9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3F9DD28"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3A633E0"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A210B6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169.050,00</w:t>
            </w:r>
          </w:p>
        </w:tc>
        <w:tc>
          <w:tcPr>
            <w:tcW w:w="1843" w:type="dxa"/>
            <w:tcBorders>
              <w:top w:val="nil"/>
              <w:left w:val="nil"/>
              <w:bottom w:val="single" w:sz="4" w:space="0" w:color="auto"/>
              <w:right w:val="single" w:sz="4" w:space="0" w:color="auto"/>
            </w:tcBorders>
            <w:shd w:val="clear" w:color="auto" w:fill="auto"/>
            <w:noWrap/>
            <w:vAlign w:val="bottom"/>
            <w:hideMark/>
          </w:tcPr>
          <w:p w14:paraId="50BECE3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w:t>
            </w:r>
          </w:p>
        </w:tc>
        <w:tc>
          <w:tcPr>
            <w:tcW w:w="1559" w:type="dxa"/>
            <w:tcBorders>
              <w:top w:val="nil"/>
              <w:left w:val="nil"/>
              <w:bottom w:val="single" w:sz="4" w:space="0" w:color="auto"/>
              <w:right w:val="single" w:sz="4" w:space="0" w:color="auto"/>
            </w:tcBorders>
            <w:shd w:val="clear" w:color="auto" w:fill="auto"/>
            <w:noWrap/>
            <w:vAlign w:val="bottom"/>
            <w:hideMark/>
          </w:tcPr>
          <w:p w14:paraId="42F9505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0,30</w:t>
            </w:r>
          </w:p>
        </w:tc>
        <w:tc>
          <w:tcPr>
            <w:tcW w:w="1803" w:type="dxa"/>
            <w:tcBorders>
              <w:top w:val="nil"/>
              <w:left w:val="nil"/>
              <w:bottom w:val="single" w:sz="4" w:space="0" w:color="auto"/>
              <w:right w:val="single" w:sz="4" w:space="0" w:color="auto"/>
            </w:tcBorders>
            <w:shd w:val="clear" w:color="auto" w:fill="auto"/>
            <w:noWrap/>
            <w:vAlign w:val="bottom"/>
            <w:hideMark/>
          </w:tcPr>
          <w:p w14:paraId="718B32C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169.550,00</w:t>
            </w:r>
          </w:p>
        </w:tc>
      </w:tr>
      <w:tr w:rsidR="00846ACC" w:rsidRPr="004974C0" w14:paraId="2B35F50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E566690" w14:textId="77777777" w:rsidR="004974C0" w:rsidRPr="004974C0" w:rsidRDefault="004974C0" w:rsidP="004974C0">
            <w:pPr>
              <w:rPr>
                <w:rFonts w:ascii="Arial" w:hAnsi="Arial" w:cs="Arial"/>
                <w:sz w:val="20"/>
                <w:szCs w:val="20"/>
              </w:rPr>
            </w:pPr>
            <w:r w:rsidRPr="004974C0">
              <w:rPr>
                <w:rFonts w:ascii="Arial" w:hAnsi="Arial" w:cs="Arial"/>
                <w:sz w:val="20"/>
                <w:szCs w:val="20"/>
              </w:rPr>
              <w:t>38</w:t>
            </w:r>
          </w:p>
        </w:tc>
        <w:tc>
          <w:tcPr>
            <w:tcW w:w="1984" w:type="dxa"/>
            <w:tcBorders>
              <w:top w:val="nil"/>
              <w:left w:val="nil"/>
              <w:bottom w:val="single" w:sz="4" w:space="0" w:color="auto"/>
              <w:right w:val="single" w:sz="4" w:space="0" w:color="auto"/>
            </w:tcBorders>
            <w:shd w:val="clear" w:color="auto" w:fill="auto"/>
            <w:noWrap/>
            <w:vAlign w:val="bottom"/>
            <w:hideMark/>
          </w:tcPr>
          <w:p w14:paraId="43A97363"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donacije, kazne, naknade šteta i kapitalne pomoći</w:t>
            </w:r>
          </w:p>
        </w:tc>
        <w:tc>
          <w:tcPr>
            <w:tcW w:w="1843" w:type="dxa"/>
            <w:tcBorders>
              <w:top w:val="nil"/>
              <w:left w:val="nil"/>
              <w:bottom w:val="single" w:sz="4" w:space="0" w:color="auto"/>
              <w:right w:val="single" w:sz="4" w:space="0" w:color="auto"/>
            </w:tcBorders>
            <w:shd w:val="clear" w:color="auto" w:fill="auto"/>
            <w:noWrap/>
            <w:vAlign w:val="bottom"/>
            <w:hideMark/>
          </w:tcPr>
          <w:p w14:paraId="56BC64F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w:t>
            </w:r>
          </w:p>
        </w:tc>
        <w:tc>
          <w:tcPr>
            <w:tcW w:w="1843" w:type="dxa"/>
            <w:tcBorders>
              <w:top w:val="nil"/>
              <w:left w:val="nil"/>
              <w:bottom w:val="single" w:sz="4" w:space="0" w:color="auto"/>
              <w:right w:val="single" w:sz="4" w:space="0" w:color="auto"/>
            </w:tcBorders>
            <w:shd w:val="clear" w:color="auto" w:fill="auto"/>
            <w:noWrap/>
            <w:vAlign w:val="bottom"/>
            <w:hideMark/>
          </w:tcPr>
          <w:p w14:paraId="147A6D4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7BF78A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783ED5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w:t>
            </w:r>
          </w:p>
        </w:tc>
      </w:tr>
      <w:tr w:rsidR="00846ACC" w:rsidRPr="004974C0" w14:paraId="175B4F9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00705F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6.9. 6.DONACIJE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387D5D9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C7CBA9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w:t>
            </w:r>
          </w:p>
        </w:tc>
        <w:tc>
          <w:tcPr>
            <w:tcW w:w="1843" w:type="dxa"/>
            <w:tcBorders>
              <w:top w:val="nil"/>
              <w:left w:val="nil"/>
              <w:bottom w:val="single" w:sz="4" w:space="0" w:color="auto"/>
              <w:right w:val="single" w:sz="4" w:space="0" w:color="auto"/>
            </w:tcBorders>
            <w:shd w:val="clear" w:color="000000" w:fill="FFFF99"/>
            <w:noWrap/>
            <w:vAlign w:val="bottom"/>
            <w:hideMark/>
          </w:tcPr>
          <w:p w14:paraId="180FA81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2BB08E1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2F48CFD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w:t>
            </w:r>
          </w:p>
        </w:tc>
      </w:tr>
      <w:tr w:rsidR="00846ACC" w:rsidRPr="004974C0" w14:paraId="618E6C7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50A1D5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01379C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632A5F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7016188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AB7A91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2DDC9A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w:t>
            </w:r>
          </w:p>
        </w:tc>
      </w:tr>
      <w:tr w:rsidR="00846ACC" w:rsidRPr="004974C0" w14:paraId="48AEA99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FE374FC"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440BAF07"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F46845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1F4F236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A0D98D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6ADE81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w:t>
            </w:r>
          </w:p>
        </w:tc>
      </w:tr>
      <w:tr w:rsidR="00846ACC" w:rsidRPr="004974C0" w14:paraId="773B1C2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6FAC751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A500012 Pripremni glazbeni i plesni program</w:t>
            </w:r>
          </w:p>
        </w:tc>
        <w:tc>
          <w:tcPr>
            <w:tcW w:w="1984" w:type="dxa"/>
            <w:tcBorders>
              <w:top w:val="nil"/>
              <w:left w:val="nil"/>
              <w:bottom w:val="single" w:sz="4" w:space="0" w:color="auto"/>
              <w:right w:val="single" w:sz="4" w:space="0" w:color="auto"/>
            </w:tcBorders>
            <w:shd w:val="clear" w:color="000000" w:fill="CCCCFF"/>
            <w:noWrap/>
            <w:vAlign w:val="bottom"/>
            <w:hideMark/>
          </w:tcPr>
          <w:p w14:paraId="4614195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0C1DFF4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22.200,00</w:t>
            </w:r>
          </w:p>
        </w:tc>
        <w:tc>
          <w:tcPr>
            <w:tcW w:w="1843" w:type="dxa"/>
            <w:tcBorders>
              <w:top w:val="nil"/>
              <w:left w:val="nil"/>
              <w:bottom w:val="single" w:sz="4" w:space="0" w:color="auto"/>
              <w:right w:val="single" w:sz="4" w:space="0" w:color="auto"/>
            </w:tcBorders>
            <w:shd w:val="clear" w:color="000000" w:fill="CCCCFF"/>
            <w:noWrap/>
            <w:vAlign w:val="bottom"/>
            <w:hideMark/>
          </w:tcPr>
          <w:p w14:paraId="75D7B96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6FF0D0D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04882D3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22.200,00</w:t>
            </w:r>
          </w:p>
        </w:tc>
      </w:tr>
      <w:tr w:rsidR="00846ACC" w:rsidRPr="004974C0" w14:paraId="316FF18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1B3CC1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59A9C34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0B67A9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11.100,00</w:t>
            </w:r>
          </w:p>
        </w:tc>
        <w:tc>
          <w:tcPr>
            <w:tcW w:w="1843" w:type="dxa"/>
            <w:tcBorders>
              <w:top w:val="nil"/>
              <w:left w:val="nil"/>
              <w:bottom w:val="single" w:sz="4" w:space="0" w:color="auto"/>
              <w:right w:val="single" w:sz="4" w:space="0" w:color="auto"/>
            </w:tcBorders>
            <w:shd w:val="clear" w:color="000000" w:fill="FFFF99"/>
            <w:noWrap/>
            <w:vAlign w:val="bottom"/>
            <w:hideMark/>
          </w:tcPr>
          <w:p w14:paraId="5389412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53964B2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47CD7E3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11.100,00</w:t>
            </w:r>
          </w:p>
        </w:tc>
      </w:tr>
      <w:tr w:rsidR="00846ACC" w:rsidRPr="004974C0" w14:paraId="15ABD46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E9190F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lastRenderedPageBreak/>
              <w:t>3</w:t>
            </w:r>
          </w:p>
        </w:tc>
        <w:tc>
          <w:tcPr>
            <w:tcW w:w="1984" w:type="dxa"/>
            <w:tcBorders>
              <w:top w:val="nil"/>
              <w:left w:val="nil"/>
              <w:bottom w:val="single" w:sz="4" w:space="0" w:color="auto"/>
              <w:right w:val="single" w:sz="4" w:space="0" w:color="auto"/>
            </w:tcBorders>
            <w:shd w:val="clear" w:color="auto" w:fill="auto"/>
            <w:noWrap/>
            <w:vAlign w:val="bottom"/>
            <w:hideMark/>
          </w:tcPr>
          <w:p w14:paraId="21728A0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225060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11.100,00</w:t>
            </w:r>
          </w:p>
        </w:tc>
        <w:tc>
          <w:tcPr>
            <w:tcW w:w="1843" w:type="dxa"/>
            <w:tcBorders>
              <w:top w:val="nil"/>
              <w:left w:val="nil"/>
              <w:bottom w:val="single" w:sz="4" w:space="0" w:color="auto"/>
              <w:right w:val="single" w:sz="4" w:space="0" w:color="auto"/>
            </w:tcBorders>
            <w:shd w:val="clear" w:color="auto" w:fill="auto"/>
            <w:noWrap/>
            <w:vAlign w:val="bottom"/>
            <w:hideMark/>
          </w:tcPr>
          <w:p w14:paraId="2165273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09D44D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C65BA6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11.100,00</w:t>
            </w:r>
          </w:p>
        </w:tc>
      </w:tr>
      <w:tr w:rsidR="00846ACC" w:rsidRPr="004974C0" w14:paraId="2150607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C008A65"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3BCA451E"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59CA76A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11.100,00</w:t>
            </w:r>
          </w:p>
        </w:tc>
        <w:tc>
          <w:tcPr>
            <w:tcW w:w="1843" w:type="dxa"/>
            <w:tcBorders>
              <w:top w:val="nil"/>
              <w:left w:val="nil"/>
              <w:bottom w:val="single" w:sz="4" w:space="0" w:color="auto"/>
              <w:right w:val="single" w:sz="4" w:space="0" w:color="auto"/>
            </w:tcBorders>
            <w:shd w:val="clear" w:color="auto" w:fill="auto"/>
            <w:noWrap/>
            <w:vAlign w:val="bottom"/>
            <w:hideMark/>
          </w:tcPr>
          <w:p w14:paraId="4735B31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224407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3C9D72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11.100,00</w:t>
            </w:r>
          </w:p>
        </w:tc>
      </w:tr>
      <w:tr w:rsidR="00846ACC" w:rsidRPr="004974C0" w14:paraId="0C55B56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39198F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4.9. 4.PRIHODI ZA POSEBNE NAMJENE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23A5E62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E7AC59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11.100,00</w:t>
            </w:r>
          </w:p>
        </w:tc>
        <w:tc>
          <w:tcPr>
            <w:tcW w:w="1843" w:type="dxa"/>
            <w:tcBorders>
              <w:top w:val="nil"/>
              <w:left w:val="nil"/>
              <w:bottom w:val="single" w:sz="4" w:space="0" w:color="auto"/>
              <w:right w:val="single" w:sz="4" w:space="0" w:color="auto"/>
            </w:tcBorders>
            <w:shd w:val="clear" w:color="000000" w:fill="FFFF99"/>
            <w:noWrap/>
            <w:vAlign w:val="bottom"/>
            <w:hideMark/>
          </w:tcPr>
          <w:p w14:paraId="36FA71B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40E9671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525205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11.100,00</w:t>
            </w:r>
          </w:p>
        </w:tc>
      </w:tr>
      <w:tr w:rsidR="00846ACC" w:rsidRPr="004974C0" w14:paraId="267BFB1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F1CA1B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8756C1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BBF4F3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11.100,00</w:t>
            </w:r>
          </w:p>
        </w:tc>
        <w:tc>
          <w:tcPr>
            <w:tcW w:w="1843" w:type="dxa"/>
            <w:tcBorders>
              <w:top w:val="nil"/>
              <w:left w:val="nil"/>
              <w:bottom w:val="single" w:sz="4" w:space="0" w:color="auto"/>
              <w:right w:val="single" w:sz="4" w:space="0" w:color="auto"/>
            </w:tcBorders>
            <w:shd w:val="clear" w:color="auto" w:fill="auto"/>
            <w:noWrap/>
            <w:vAlign w:val="bottom"/>
            <w:hideMark/>
          </w:tcPr>
          <w:p w14:paraId="254EF40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0F4A4E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467357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11.100,00</w:t>
            </w:r>
          </w:p>
        </w:tc>
      </w:tr>
      <w:tr w:rsidR="00846ACC" w:rsidRPr="004974C0" w14:paraId="2068AAA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D5D674A"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03508756"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43648EB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11.100,00</w:t>
            </w:r>
          </w:p>
        </w:tc>
        <w:tc>
          <w:tcPr>
            <w:tcW w:w="1843" w:type="dxa"/>
            <w:tcBorders>
              <w:top w:val="nil"/>
              <w:left w:val="nil"/>
              <w:bottom w:val="single" w:sz="4" w:space="0" w:color="auto"/>
              <w:right w:val="single" w:sz="4" w:space="0" w:color="auto"/>
            </w:tcBorders>
            <w:shd w:val="clear" w:color="auto" w:fill="auto"/>
            <w:noWrap/>
            <w:vAlign w:val="bottom"/>
            <w:hideMark/>
          </w:tcPr>
          <w:p w14:paraId="03C2C25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w:t>
            </w:r>
          </w:p>
        </w:tc>
        <w:tc>
          <w:tcPr>
            <w:tcW w:w="1559" w:type="dxa"/>
            <w:tcBorders>
              <w:top w:val="nil"/>
              <w:left w:val="nil"/>
              <w:bottom w:val="single" w:sz="4" w:space="0" w:color="auto"/>
              <w:right w:val="single" w:sz="4" w:space="0" w:color="auto"/>
            </w:tcBorders>
            <w:shd w:val="clear" w:color="auto" w:fill="auto"/>
            <w:noWrap/>
            <w:vAlign w:val="bottom"/>
            <w:hideMark/>
          </w:tcPr>
          <w:p w14:paraId="61A7651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-1,80</w:t>
            </w:r>
          </w:p>
        </w:tc>
        <w:tc>
          <w:tcPr>
            <w:tcW w:w="1803" w:type="dxa"/>
            <w:tcBorders>
              <w:top w:val="nil"/>
              <w:left w:val="nil"/>
              <w:bottom w:val="single" w:sz="4" w:space="0" w:color="auto"/>
              <w:right w:val="single" w:sz="4" w:space="0" w:color="auto"/>
            </w:tcBorders>
            <w:shd w:val="clear" w:color="auto" w:fill="auto"/>
            <w:noWrap/>
            <w:vAlign w:val="bottom"/>
            <w:hideMark/>
          </w:tcPr>
          <w:p w14:paraId="6DDF08F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10.900,00</w:t>
            </w:r>
          </w:p>
        </w:tc>
      </w:tr>
      <w:tr w:rsidR="00846ACC" w:rsidRPr="004974C0" w14:paraId="0CE7B29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A66985C"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7CEFF243"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1C2DE35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77627F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w:t>
            </w:r>
          </w:p>
        </w:tc>
        <w:tc>
          <w:tcPr>
            <w:tcW w:w="1559" w:type="dxa"/>
            <w:tcBorders>
              <w:top w:val="nil"/>
              <w:left w:val="nil"/>
              <w:bottom w:val="single" w:sz="4" w:space="0" w:color="auto"/>
              <w:right w:val="single" w:sz="4" w:space="0" w:color="auto"/>
            </w:tcBorders>
            <w:shd w:val="clear" w:color="auto" w:fill="auto"/>
            <w:noWrap/>
            <w:vAlign w:val="bottom"/>
            <w:hideMark/>
          </w:tcPr>
          <w:p w14:paraId="7AE8EA0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5466F59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w:t>
            </w:r>
          </w:p>
        </w:tc>
      </w:tr>
      <w:tr w:rsidR="00846ACC" w:rsidRPr="004974C0" w14:paraId="781BAD4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FBB087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Kapitalni projekt K500001 Kapitalna ulaganja osnovnog školstva</w:t>
            </w:r>
          </w:p>
        </w:tc>
        <w:tc>
          <w:tcPr>
            <w:tcW w:w="1984" w:type="dxa"/>
            <w:tcBorders>
              <w:top w:val="nil"/>
              <w:left w:val="nil"/>
              <w:bottom w:val="single" w:sz="4" w:space="0" w:color="auto"/>
              <w:right w:val="single" w:sz="4" w:space="0" w:color="auto"/>
            </w:tcBorders>
            <w:shd w:val="clear" w:color="000000" w:fill="CCCCFF"/>
            <w:noWrap/>
            <w:vAlign w:val="bottom"/>
            <w:hideMark/>
          </w:tcPr>
          <w:p w14:paraId="353FE31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EF7D5D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5.500,00</w:t>
            </w:r>
          </w:p>
        </w:tc>
        <w:tc>
          <w:tcPr>
            <w:tcW w:w="1843" w:type="dxa"/>
            <w:tcBorders>
              <w:top w:val="nil"/>
              <w:left w:val="nil"/>
              <w:bottom w:val="single" w:sz="4" w:space="0" w:color="auto"/>
              <w:right w:val="single" w:sz="4" w:space="0" w:color="auto"/>
            </w:tcBorders>
            <w:shd w:val="clear" w:color="000000" w:fill="CCCCFF"/>
            <w:noWrap/>
            <w:vAlign w:val="bottom"/>
            <w:hideMark/>
          </w:tcPr>
          <w:p w14:paraId="34D3E6A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4043B7F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00F5FDF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5.500,00</w:t>
            </w:r>
          </w:p>
        </w:tc>
      </w:tr>
      <w:tr w:rsidR="00846ACC" w:rsidRPr="004974C0" w14:paraId="1A3A03A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8D3C63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5.1. POTPORA ZA DECENTRALIZIRANE FUNKCIJE</w:t>
            </w:r>
          </w:p>
        </w:tc>
        <w:tc>
          <w:tcPr>
            <w:tcW w:w="1984" w:type="dxa"/>
            <w:tcBorders>
              <w:top w:val="nil"/>
              <w:left w:val="nil"/>
              <w:bottom w:val="single" w:sz="4" w:space="0" w:color="auto"/>
              <w:right w:val="single" w:sz="4" w:space="0" w:color="auto"/>
            </w:tcBorders>
            <w:shd w:val="clear" w:color="000000" w:fill="FFFF99"/>
            <w:noWrap/>
            <w:vAlign w:val="bottom"/>
            <w:hideMark/>
          </w:tcPr>
          <w:p w14:paraId="4F67817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0DFBF5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5.500,00</w:t>
            </w:r>
          </w:p>
        </w:tc>
        <w:tc>
          <w:tcPr>
            <w:tcW w:w="1843" w:type="dxa"/>
            <w:tcBorders>
              <w:top w:val="nil"/>
              <w:left w:val="nil"/>
              <w:bottom w:val="single" w:sz="4" w:space="0" w:color="auto"/>
              <w:right w:val="single" w:sz="4" w:space="0" w:color="auto"/>
            </w:tcBorders>
            <w:shd w:val="clear" w:color="000000" w:fill="FFFF99"/>
            <w:noWrap/>
            <w:vAlign w:val="bottom"/>
            <w:hideMark/>
          </w:tcPr>
          <w:p w14:paraId="32BCADD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0B66229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684AD77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5.500,00</w:t>
            </w:r>
          </w:p>
        </w:tc>
      </w:tr>
      <w:tr w:rsidR="00846ACC" w:rsidRPr="004974C0" w14:paraId="0536321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EAAA8F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34218F6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06885E8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5.500,00</w:t>
            </w:r>
          </w:p>
        </w:tc>
        <w:tc>
          <w:tcPr>
            <w:tcW w:w="1843" w:type="dxa"/>
            <w:tcBorders>
              <w:top w:val="nil"/>
              <w:left w:val="nil"/>
              <w:bottom w:val="single" w:sz="4" w:space="0" w:color="auto"/>
              <w:right w:val="single" w:sz="4" w:space="0" w:color="auto"/>
            </w:tcBorders>
            <w:shd w:val="clear" w:color="auto" w:fill="auto"/>
            <w:noWrap/>
            <w:vAlign w:val="bottom"/>
            <w:hideMark/>
          </w:tcPr>
          <w:p w14:paraId="389F4CA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24C031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920AA6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5.500,00</w:t>
            </w:r>
          </w:p>
        </w:tc>
      </w:tr>
      <w:tr w:rsidR="00846ACC" w:rsidRPr="004974C0" w14:paraId="09905DF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B2BB1A9"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264B610F"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34D74CE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5.500,00</w:t>
            </w:r>
          </w:p>
        </w:tc>
        <w:tc>
          <w:tcPr>
            <w:tcW w:w="1843" w:type="dxa"/>
            <w:tcBorders>
              <w:top w:val="nil"/>
              <w:left w:val="nil"/>
              <w:bottom w:val="single" w:sz="4" w:space="0" w:color="auto"/>
              <w:right w:val="single" w:sz="4" w:space="0" w:color="auto"/>
            </w:tcBorders>
            <w:shd w:val="clear" w:color="auto" w:fill="auto"/>
            <w:noWrap/>
            <w:vAlign w:val="bottom"/>
            <w:hideMark/>
          </w:tcPr>
          <w:p w14:paraId="42AED6B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8703AA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48691B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5.500,00</w:t>
            </w:r>
          </w:p>
        </w:tc>
      </w:tr>
      <w:tr w:rsidR="00846ACC" w:rsidRPr="004974C0" w14:paraId="2EABCD8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272843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Tekući projekt T500007 Kulturno blago</w:t>
            </w:r>
          </w:p>
        </w:tc>
        <w:tc>
          <w:tcPr>
            <w:tcW w:w="1984" w:type="dxa"/>
            <w:tcBorders>
              <w:top w:val="nil"/>
              <w:left w:val="nil"/>
              <w:bottom w:val="single" w:sz="4" w:space="0" w:color="auto"/>
              <w:right w:val="single" w:sz="4" w:space="0" w:color="auto"/>
            </w:tcBorders>
            <w:shd w:val="clear" w:color="000000" w:fill="CCCCFF"/>
            <w:noWrap/>
            <w:vAlign w:val="bottom"/>
            <w:hideMark/>
          </w:tcPr>
          <w:p w14:paraId="7E46C22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7B93A81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CCCCFF"/>
            <w:noWrap/>
            <w:vAlign w:val="bottom"/>
            <w:hideMark/>
          </w:tcPr>
          <w:p w14:paraId="6AA45B3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2.720,00</w:t>
            </w:r>
          </w:p>
        </w:tc>
        <w:tc>
          <w:tcPr>
            <w:tcW w:w="1559" w:type="dxa"/>
            <w:tcBorders>
              <w:top w:val="nil"/>
              <w:left w:val="nil"/>
              <w:bottom w:val="single" w:sz="4" w:space="0" w:color="auto"/>
              <w:right w:val="single" w:sz="4" w:space="0" w:color="auto"/>
            </w:tcBorders>
            <w:shd w:val="clear" w:color="000000" w:fill="CCCCFF"/>
            <w:noWrap/>
            <w:vAlign w:val="bottom"/>
            <w:hideMark/>
          </w:tcPr>
          <w:p w14:paraId="3E4D07C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CCCCFF"/>
            <w:noWrap/>
            <w:vAlign w:val="bottom"/>
            <w:hideMark/>
          </w:tcPr>
          <w:p w14:paraId="2C2F53B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2.720,00</w:t>
            </w:r>
          </w:p>
        </w:tc>
      </w:tr>
      <w:tr w:rsidR="00846ACC" w:rsidRPr="004974C0" w14:paraId="5A61842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0FF88E6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4D7C07D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A46B28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753CC26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2.720,00</w:t>
            </w:r>
          </w:p>
        </w:tc>
        <w:tc>
          <w:tcPr>
            <w:tcW w:w="1559" w:type="dxa"/>
            <w:tcBorders>
              <w:top w:val="nil"/>
              <w:left w:val="nil"/>
              <w:bottom w:val="single" w:sz="4" w:space="0" w:color="auto"/>
              <w:right w:val="single" w:sz="4" w:space="0" w:color="auto"/>
            </w:tcBorders>
            <w:shd w:val="clear" w:color="000000" w:fill="FFFF99"/>
            <w:noWrap/>
            <w:vAlign w:val="bottom"/>
            <w:hideMark/>
          </w:tcPr>
          <w:p w14:paraId="36FBF5C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99"/>
            <w:noWrap/>
            <w:vAlign w:val="bottom"/>
            <w:hideMark/>
          </w:tcPr>
          <w:p w14:paraId="7B111BB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2.720,00</w:t>
            </w:r>
          </w:p>
        </w:tc>
      </w:tr>
      <w:tr w:rsidR="00846ACC" w:rsidRPr="004974C0" w14:paraId="2234C4D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A171D5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3CD584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7C0E5E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E3F97C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520,00</w:t>
            </w:r>
          </w:p>
        </w:tc>
        <w:tc>
          <w:tcPr>
            <w:tcW w:w="1559" w:type="dxa"/>
            <w:tcBorders>
              <w:top w:val="nil"/>
              <w:left w:val="nil"/>
              <w:bottom w:val="single" w:sz="4" w:space="0" w:color="auto"/>
              <w:right w:val="single" w:sz="4" w:space="0" w:color="auto"/>
            </w:tcBorders>
            <w:shd w:val="clear" w:color="auto" w:fill="auto"/>
            <w:noWrap/>
            <w:vAlign w:val="bottom"/>
            <w:hideMark/>
          </w:tcPr>
          <w:p w14:paraId="78AF234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71E9678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520,00</w:t>
            </w:r>
          </w:p>
        </w:tc>
      </w:tr>
      <w:tr w:rsidR="00846ACC" w:rsidRPr="004974C0" w14:paraId="7009290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D7115A5"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6584018"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129FBAC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4CE1B6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520,00</w:t>
            </w:r>
          </w:p>
        </w:tc>
        <w:tc>
          <w:tcPr>
            <w:tcW w:w="1559" w:type="dxa"/>
            <w:tcBorders>
              <w:top w:val="nil"/>
              <w:left w:val="nil"/>
              <w:bottom w:val="single" w:sz="4" w:space="0" w:color="auto"/>
              <w:right w:val="single" w:sz="4" w:space="0" w:color="auto"/>
            </w:tcBorders>
            <w:shd w:val="clear" w:color="auto" w:fill="auto"/>
            <w:noWrap/>
            <w:vAlign w:val="bottom"/>
            <w:hideMark/>
          </w:tcPr>
          <w:p w14:paraId="41FDD22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4172E6B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520,00</w:t>
            </w:r>
          </w:p>
        </w:tc>
      </w:tr>
      <w:tr w:rsidR="00846ACC" w:rsidRPr="004974C0" w14:paraId="1849BFF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A78071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59B5393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186041A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FC4761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2.200,00</w:t>
            </w:r>
          </w:p>
        </w:tc>
        <w:tc>
          <w:tcPr>
            <w:tcW w:w="1559" w:type="dxa"/>
            <w:tcBorders>
              <w:top w:val="nil"/>
              <w:left w:val="nil"/>
              <w:bottom w:val="single" w:sz="4" w:space="0" w:color="auto"/>
              <w:right w:val="single" w:sz="4" w:space="0" w:color="auto"/>
            </w:tcBorders>
            <w:shd w:val="clear" w:color="auto" w:fill="auto"/>
            <w:noWrap/>
            <w:vAlign w:val="bottom"/>
            <w:hideMark/>
          </w:tcPr>
          <w:p w14:paraId="6EF448C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2C99832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2.200,00</w:t>
            </w:r>
          </w:p>
        </w:tc>
      </w:tr>
      <w:tr w:rsidR="00846ACC" w:rsidRPr="004974C0" w14:paraId="65B7727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0575607"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118C33D2"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4AACBAA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F80AD4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2.200,00</w:t>
            </w:r>
          </w:p>
        </w:tc>
        <w:tc>
          <w:tcPr>
            <w:tcW w:w="1559" w:type="dxa"/>
            <w:tcBorders>
              <w:top w:val="nil"/>
              <w:left w:val="nil"/>
              <w:bottom w:val="single" w:sz="4" w:space="0" w:color="auto"/>
              <w:right w:val="single" w:sz="4" w:space="0" w:color="auto"/>
            </w:tcBorders>
            <w:shd w:val="clear" w:color="auto" w:fill="auto"/>
            <w:noWrap/>
            <w:vAlign w:val="bottom"/>
            <w:hideMark/>
          </w:tcPr>
          <w:p w14:paraId="66850B4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190EBEB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2.200,00</w:t>
            </w:r>
          </w:p>
        </w:tc>
      </w:tr>
      <w:tr w:rsidR="00846ACC" w:rsidRPr="004974C0" w14:paraId="4BB46FD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0000FF"/>
            <w:noWrap/>
            <w:vAlign w:val="bottom"/>
            <w:hideMark/>
          </w:tcPr>
          <w:p w14:paraId="49AED5A2"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Glava 50004 USTANOVE U KULTURI</w:t>
            </w:r>
          </w:p>
        </w:tc>
        <w:tc>
          <w:tcPr>
            <w:tcW w:w="1984" w:type="dxa"/>
            <w:tcBorders>
              <w:top w:val="nil"/>
              <w:left w:val="nil"/>
              <w:bottom w:val="single" w:sz="4" w:space="0" w:color="auto"/>
              <w:right w:val="single" w:sz="4" w:space="0" w:color="auto"/>
            </w:tcBorders>
            <w:shd w:val="clear" w:color="000000" w:fill="0000FF"/>
            <w:noWrap/>
            <w:vAlign w:val="bottom"/>
            <w:hideMark/>
          </w:tcPr>
          <w:p w14:paraId="53468D9A"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0000FF"/>
            <w:noWrap/>
            <w:vAlign w:val="bottom"/>
            <w:hideMark/>
          </w:tcPr>
          <w:p w14:paraId="54B34069"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772.629,00</w:t>
            </w:r>
          </w:p>
        </w:tc>
        <w:tc>
          <w:tcPr>
            <w:tcW w:w="1843" w:type="dxa"/>
            <w:tcBorders>
              <w:top w:val="nil"/>
              <w:left w:val="nil"/>
              <w:bottom w:val="single" w:sz="4" w:space="0" w:color="auto"/>
              <w:right w:val="single" w:sz="4" w:space="0" w:color="auto"/>
            </w:tcBorders>
            <w:shd w:val="clear" w:color="000000" w:fill="0000FF"/>
            <w:noWrap/>
            <w:vAlign w:val="bottom"/>
            <w:hideMark/>
          </w:tcPr>
          <w:p w14:paraId="7BBAD275"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90.960,00</w:t>
            </w:r>
          </w:p>
        </w:tc>
        <w:tc>
          <w:tcPr>
            <w:tcW w:w="1559" w:type="dxa"/>
            <w:tcBorders>
              <w:top w:val="nil"/>
              <w:left w:val="nil"/>
              <w:bottom w:val="single" w:sz="4" w:space="0" w:color="auto"/>
              <w:right w:val="single" w:sz="4" w:space="0" w:color="auto"/>
            </w:tcBorders>
            <w:shd w:val="clear" w:color="000000" w:fill="0000FF"/>
            <w:noWrap/>
            <w:vAlign w:val="bottom"/>
            <w:hideMark/>
          </w:tcPr>
          <w:p w14:paraId="4928DC4C"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11,77</w:t>
            </w:r>
          </w:p>
        </w:tc>
        <w:tc>
          <w:tcPr>
            <w:tcW w:w="1803" w:type="dxa"/>
            <w:tcBorders>
              <w:top w:val="nil"/>
              <w:left w:val="nil"/>
              <w:bottom w:val="single" w:sz="4" w:space="0" w:color="auto"/>
              <w:right w:val="single" w:sz="4" w:space="0" w:color="auto"/>
            </w:tcBorders>
            <w:shd w:val="clear" w:color="000000" w:fill="0000FF"/>
            <w:noWrap/>
            <w:vAlign w:val="bottom"/>
            <w:hideMark/>
          </w:tcPr>
          <w:p w14:paraId="3F982AF3"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863.589,00</w:t>
            </w:r>
          </w:p>
        </w:tc>
      </w:tr>
      <w:tr w:rsidR="00846ACC" w:rsidRPr="004974C0" w14:paraId="697FBC7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3366FF"/>
            <w:noWrap/>
            <w:vAlign w:val="bottom"/>
            <w:hideMark/>
          </w:tcPr>
          <w:p w14:paraId="643444FA"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Proračunski korisnik 15577 PUČKO OTVORENO UČILIŠTE LABIN</w:t>
            </w:r>
          </w:p>
        </w:tc>
        <w:tc>
          <w:tcPr>
            <w:tcW w:w="1984" w:type="dxa"/>
            <w:tcBorders>
              <w:top w:val="nil"/>
              <w:left w:val="nil"/>
              <w:bottom w:val="single" w:sz="4" w:space="0" w:color="auto"/>
              <w:right w:val="single" w:sz="4" w:space="0" w:color="auto"/>
            </w:tcBorders>
            <w:shd w:val="clear" w:color="000000" w:fill="3366FF"/>
            <w:noWrap/>
            <w:vAlign w:val="bottom"/>
            <w:hideMark/>
          </w:tcPr>
          <w:p w14:paraId="444726E7"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3366FF"/>
            <w:noWrap/>
            <w:vAlign w:val="bottom"/>
            <w:hideMark/>
          </w:tcPr>
          <w:p w14:paraId="78AC3DF6"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524.394,00</w:t>
            </w:r>
          </w:p>
        </w:tc>
        <w:tc>
          <w:tcPr>
            <w:tcW w:w="1843" w:type="dxa"/>
            <w:tcBorders>
              <w:top w:val="nil"/>
              <w:left w:val="nil"/>
              <w:bottom w:val="single" w:sz="4" w:space="0" w:color="auto"/>
              <w:right w:val="single" w:sz="4" w:space="0" w:color="auto"/>
            </w:tcBorders>
            <w:shd w:val="clear" w:color="000000" w:fill="3366FF"/>
            <w:noWrap/>
            <w:vAlign w:val="bottom"/>
            <w:hideMark/>
          </w:tcPr>
          <w:p w14:paraId="02D2029A"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76.988,00</w:t>
            </w:r>
          </w:p>
        </w:tc>
        <w:tc>
          <w:tcPr>
            <w:tcW w:w="1559" w:type="dxa"/>
            <w:tcBorders>
              <w:top w:val="nil"/>
              <w:left w:val="nil"/>
              <w:bottom w:val="single" w:sz="4" w:space="0" w:color="auto"/>
              <w:right w:val="single" w:sz="4" w:space="0" w:color="auto"/>
            </w:tcBorders>
            <w:shd w:val="clear" w:color="000000" w:fill="3366FF"/>
            <w:noWrap/>
            <w:vAlign w:val="bottom"/>
            <w:hideMark/>
          </w:tcPr>
          <w:p w14:paraId="4DBA87B7"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14,68</w:t>
            </w:r>
          </w:p>
        </w:tc>
        <w:tc>
          <w:tcPr>
            <w:tcW w:w="1803" w:type="dxa"/>
            <w:tcBorders>
              <w:top w:val="nil"/>
              <w:left w:val="nil"/>
              <w:bottom w:val="single" w:sz="4" w:space="0" w:color="auto"/>
              <w:right w:val="single" w:sz="4" w:space="0" w:color="auto"/>
            </w:tcBorders>
            <w:shd w:val="clear" w:color="000000" w:fill="3366FF"/>
            <w:noWrap/>
            <w:vAlign w:val="bottom"/>
            <w:hideMark/>
          </w:tcPr>
          <w:p w14:paraId="07F5530D"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601.382,00</w:t>
            </w:r>
          </w:p>
        </w:tc>
      </w:tr>
      <w:tr w:rsidR="00846ACC" w:rsidRPr="004974C0" w14:paraId="5399FD9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646EEC0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Izvor  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0E62134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38B386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381.421,00</w:t>
            </w:r>
          </w:p>
        </w:tc>
        <w:tc>
          <w:tcPr>
            <w:tcW w:w="1843" w:type="dxa"/>
            <w:tcBorders>
              <w:top w:val="nil"/>
              <w:left w:val="nil"/>
              <w:bottom w:val="single" w:sz="4" w:space="0" w:color="auto"/>
              <w:right w:val="single" w:sz="4" w:space="0" w:color="auto"/>
            </w:tcBorders>
            <w:shd w:val="clear" w:color="000000" w:fill="FFFFFF"/>
            <w:noWrap/>
            <w:vAlign w:val="bottom"/>
            <w:hideMark/>
          </w:tcPr>
          <w:p w14:paraId="6EFEBF0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10.390,00</w:t>
            </w:r>
          </w:p>
        </w:tc>
        <w:tc>
          <w:tcPr>
            <w:tcW w:w="1559" w:type="dxa"/>
            <w:tcBorders>
              <w:top w:val="nil"/>
              <w:left w:val="nil"/>
              <w:bottom w:val="single" w:sz="4" w:space="0" w:color="auto"/>
              <w:right w:val="single" w:sz="4" w:space="0" w:color="auto"/>
            </w:tcBorders>
            <w:shd w:val="clear" w:color="000000" w:fill="FFFFFF"/>
            <w:noWrap/>
            <w:vAlign w:val="bottom"/>
            <w:hideMark/>
          </w:tcPr>
          <w:p w14:paraId="3DF4191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2,72</w:t>
            </w:r>
          </w:p>
        </w:tc>
        <w:tc>
          <w:tcPr>
            <w:tcW w:w="1803" w:type="dxa"/>
            <w:tcBorders>
              <w:top w:val="nil"/>
              <w:left w:val="nil"/>
              <w:bottom w:val="single" w:sz="4" w:space="0" w:color="auto"/>
              <w:right w:val="single" w:sz="4" w:space="0" w:color="auto"/>
            </w:tcBorders>
            <w:shd w:val="clear" w:color="000000" w:fill="FFFFFF"/>
            <w:noWrap/>
            <w:vAlign w:val="bottom"/>
            <w:hideMark/>
          </w:tcPr>
          <w:p w14:paraId="58731FD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391.811,00</w:t>
            </w:r>
          </w:p>
        </w:tc>
      </w:tr>
      <w:tr w:rsidR="00846ACC" w:rsidRPr="004974C0" w14:paraId="47DCA55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5A3167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6CA200C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E042CC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381.421,00</w:t>
            </w:r>
          </w:p>
        </w:tc>
        <w:tc>
          <w:tcPr>
            <w:tcW w:w="1843" w:type="dxa"/>
            <w:tcBorders>
              <w:top w:val="nil"/>
              <w:left w:val="nil"/>
              <w:bottom w:val="single" w:sz="4" w:space="0" w:color="auto"/>
              <w:right w:val="single" w:sz="4" w:space="0" w:color="auto"/>
            </w:tcBorders>
            <w:shd w:val="clear" w:color="000000" w:fill="FFFFFF"/>
            <w:noWrap/>
            <w:vAlign w:val="bottom"/>
            <w:hideMark/>
          </w:tcPr>
          <w:p w14:paraId="2135C1F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10.390,00</w:t>
            </w:r>
          </w:p>
        </w:tc>
        <w:tc>
          <w:tcPr>
            <w:tcW w:w="1559" w:type="dxa"/>
            <w:tcBorders>
              <w:top w:val="nil"/>
              <w:left w:val="nil"/>
              <w:bottom w:val="single" w:sz="4" w:space="0" w:color="auto"/>
              <w:right w:val="single" w:sz="4" w:space="0" w:color="auto"/>
            </w:tcBorders>
            <w:shd w:val="clear" w:color="000000" w:fill="FFFFFF"/>
            <w:noWrap/>
            <w:vAlign w:val="bottom"/>
            <w:hideMark/>
          </w:tcPr>
          <w:p w14:paraId="265E7F5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2,72</w:t>
            </w:r>
          </w:p>
        </w:tc>
        <w:tc>
          <w:tcPr>
            <w:tcW w:w="1803" w:type="dxa"/>
            <w:tcBorders>
              <w:top w:val="nil"/>
              <w:left w:val="nil"/>
              <w:bottom w:val="single" w:sz="4" w:space="0" w:color="auto"/>
              <w:right w:val="single" w:sz="4" w:space="0" w:color="auto"/>
            </w:tcBorders>
            <w:shd w:val="clear" w:color="000000" w:fill="FFFFFF"/>
            <w:noWrap/>
            <w:vAlign w:val="bottom"/>
            <w:hideMark/>
          </w:tcPr>
          <w:p w14:paraId="1246F97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391.811,00</w:t>
            </w:r>
          </w:p>
        </w:tc>
      </w:tr>
      <w:tr w:rsidR="00846ACC" w:rsidRPr="004974C0" w14:paraId="24EC22A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76C0D2E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 VLASTITI PRIHODI</w:t>
            </w:r>
          </w:p>
        </w:tc>
        <w:tc>
          <w:tcPr>
            <w:tcW w:w="1984" w:type="dxa"/>
            <w:tcBorders>
              <w:top w:val="nil"/>
              <w:left w:val="nil"/>
              <w:bottom w:val="single" w:sz="4" w:space="0" w:color="auto"/>
              <w:right w:val="single" w:sz="4" w:space="0" w:color="auto"/>
            </w:tcBorders>
            <w:shd w:val="clear" w:color="000000" w:fill="FFFFFF"/>
            <w:noWrap/>
            <w:vAlign w:val="bottom"/>
            <w:hideMark/>
          </w:tcPr>
          <w:p w14:paraId="5E67B3E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B6D393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92.879,00</w:t>
            </w:r>
          </w:p>
        </w:tc>
        <w:tc>
          <w:tcPr>
            <w:tcW w:w="1843" w:type="dxa"/>
            <w:tcBorders>
              <w:top w:val="nil"/>
              <w:left w:val="nil"/>
              <w:bottom w:val="single" w:sz="4" w:space="0" w:color="auto"/>
              <w:right w:val="single" w:sz="4" w:space="0" w:color="auto"/>
            </w:tcBorders>
            <w:shd w:val="clear" w:color="000000" w:fill="FFFFFF"/>
            <w:noWrap/>
            <w:vAlign w:val="bottom"/>
            <w:hideMark/>
          </w:tcPr>
          <w:p w14:paraId="3839222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24.390,00</w:t>
            </w:r>
          </w:p>
        </w:tc>
        <w:tc>
          <w:tcPr>
            <w:tcW w:w="1559" w:type="dxa"/>
            <w:tcBorders>
              <w:top w:val="nil"/>
              <w:left w:val="nil"/>
              <w:bottom w:val="single" w:sz="4" w:space="0" w:color="auto"/>
              <w:right w:val="single" w:sz="4" w:space="0" w:color="auto"/>
            </w:tcBorders>
            <w:shd w:val="clear" w:color="000000" w:fill="FFFFFF"/>
            <w:noWrap/>
            <w:vAlign w:val="bottom"/>
            <w:hideMark/>
          </w:tcPr>
          <w:p w14:paraId="02E072A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26,26</w:t>
            </w:r>
          </w:p>
        </w:tc>
        <w:tc>
          <w:tcPr>
            <w:tcW w:w="1803" w:type="dxa"/>
            <w:tcBorders>
              <w:top w:val="nil"/>
              <w:left w:val="nil"/>
              <w:bottom w:val="single" w:sz="4" w:space="0" w:color="auto"/>
              <w:right w:val="single" w:sz="4" w:space="0" w:color="auto"/>
            </w:tcBorders>
            <w:shd w:val="clear" w:color="000000" w:fill="FFFFFF"/>
            <w:noWrap/>
            <w:vAlign w:val="bottom"/>
            <w:hideMark/>
          </w:tcPr>
          <w:p w14:paraId="779B893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117.269,00</w:t>
            </w:r>
          </w:p>
        </w:tc>
      </w:tr>
      <w:tr w:rsidR="00846ACC" w:rsidRPr="004974C0" w14:paraId="70F1C80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1FA546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3.9. VLASTITI PRIHODI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4B85F22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CA7951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92.879,00</w:t>
            </w:r>
          </w:p>
        </w:tc>
        <w:tc>
          <w:tcPr>
            <w:tcW w:w="1843" w:type="dxa"/>
            <w:tcBorders>
              <w:top w:val="nil"/>
              <w:left w:val="nil"/>
              <w:bottom w:val="single" w:sz="4" w:space="0" w:color="auto"/>
              <w:right w:val="single" w:sz="4" w:space="0" w:color="auto"/>
            </w:tcBorders>
            <w:shd w:val="clear" w:color="000000" w:fill="FFFFFF"/>
            <w:noWrap/>
            <w:vAlign w:val="bottom"/>
            <w:hideMark/>
          </w:tcPr>
          <w:p w14:paraId="7410564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24.390,00</w:t>
            </w:r>
          </w:p>
        </w:tc>
        <w:tc>
          <w:tcPr>
            <w:tcW w:w="1559" w:type="dxa"/>
            <w:tcBorders>
              <w:top w:val="nil"/>
              <w:left w:val="nil"/>
              <w:bottom w:val="single" w:sz="4" w:space="0" w:color="auto"/>
              <w:right w:val="single" w:sz="4" w:space="0" w:color="auto"/>
            </w:tcBorders>
            <w:shd w:val="clear" w:color="000000" w:fill="FFFFFF"/>
            <w:noWrap/>
            <w:vAlign w:val="bottom"/>
            <w:hideMark/>
          </w:tcPr>
          <w:p w14:paraId="31CB76A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26,26</w:t>
            </w:r>
          </w:p>
        </w:tc>
        <w:tc>
          <w:tcPr>
            <w:tcW w:w="1803" w:type="dxa"/>
            <w:tcBorders>
              <w:top w:val="nil"/>
              <w:left w:val="nil"/>
              <w:bottom w:val="single" w:sz="4" w:space="0" w:color="auto"/>
              <w:right w:val="single" w:sz="4" w:space="0" w:color="auto"/>
            </w:tcBorders>
            <w:shd w:val="clear" w:color="000000" w:fill="FFFFFF"/>
            <w:noWrap/>
            <w:vAlign w:val="bottom"/>
            <w:hideMark/>
          </w:tcPr>
          <w:p w14:paraId="6593C4C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117.269,00</w:t>
            </w:r>
          </w:p>
        </w:tc>
      </w:tr>
      <w:tr w:rsidR="00846ACC" w:rsidRPr="004974C0" w14:paraId="270D5800"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0693D9C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 PRIHODI ZA POSEBNE NAMJENE</w:t>
            </w:r>
          </w:p>
        </w:tc>
        <w:tc>
          <w:tcPr>
            <w:tcW w:w="1984" w:type="dxa"/>
            <w:tcBorders>
              <w:top w:val="nil"/>
              <w:left w:val="nil"/>
              <w:bottom w:val="single" w:sz="4" w:space="0" w:color="auto"/>
              <w:right w:val="single" w:sz="4" w:space="0" w:color="auto"/>
            </w:tcBorders>
            <w:shd w:val="clear" w:color="000000" w:fill="FFFFFF"/>
            <w:noWrap/>
            <w:vAlign w:val="bottom"/>
            <w:hideMark/>
          </w:tcPr>
          <w:p w14:paraId="7115D53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DA2AFB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30.494,00</w:t>
            </w:r>
          </w:p>
        </w:tc>
        <w:tc>
          <w:tcPr>
            <w:tcW w:w="1843" w:type="dxa"/>
            <w:tcBorders>
              <w:top w:val="nil"/>
              <w:left w:val="nil"/>
              <w:bottom w:val="single" w:sz="4" w:space="0" w:color="auto"/>
              <w:right w:val="single" w:sz="4" w:space="0" w:color="auto"/>
            </w:tcBorders>
            <w:shd w:val="clear" w:color="000000" w:fill="FFFFFF"/>
            <w:noWrap/>
            <w:vAlign w:val="bottom"/>
            <w:hideMark/>
          </w:tcPr>
          <w:p w14:paraId="153B296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559" w:type="dxa"/>
            <w:tcBorders>
              <w:top w:val="nil"/>
              <w:left w:val="nil"/>
              <w:bottom w:val="single" w:sz="4" w:space="0" w:color="auto"/>
              <w:right w:val="single" w:sz="4" w:space="0" w:color="auto"/>
            </w:tcBorders>
            <w:shd w:val="clear" w:color="000000" w:fill="FFFFFF"/>
            <w:noWrap/>
            <w:vAlign w:val="bottom"/>
            <w:hideMark/>
          </w:tcPr>
          <w:p w14:paraId="19AFA03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9,84</w:t>
            </w:r>
          </w:p>
        </w:tc>
        <w:tc>
          <w:tcPr>
            <w:tcW w:w="1803" w:type="dxa"/>
            <w:tcBorders>
              <w:top w:val="nil"/>
              <w:left w:val="nil"/>
              <w:bottom w:val="single" w:sz="4" w:space="0" w:color="auto"/>
              <w:right w:val="single" w:sz="4" w:space="0" w:color="auto"/>
            </w:tcBorders>
            <w:shd w:val="clear" w:color="000000" w:fill="FFFFFF"/>
            <w:noWrap/>
            <w:vAlign w:val="bottom"/>
            <w:hideMark/>
          </w:tcPr>
          <w:p w14:paraId="01A160D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33.494,00</w:t>
            </w:r>
          </w:p>
        </w:tc>
      </w:tr>
      <w:tr w:rsidR="00846ACC" w:rsidRPr="004974C0" w14:paraId="1449EB4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45F5B27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4.9. 4.PRIHODI ZA POSEBNE NAMJENE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7DCB987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6A4F5A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30.494,00</w:t>
            </w:r>
          </w:p>
        </w:tc>
        <w:tc>
          <w:tcPr>
            <w:tcW w:w="1843" w:type="dxa"/>
            <w:tcBorders>
              <w:top w:val="nil"/>
              <w:left w:val="nil"/>
              <w:bottom w:val="single" w:sz="4" w:space="0" w:color="auto"/>
              <w:right w:val="single" w:sz="4" w:space="0" w:color="auto"/>
            </w:tcBorders>
            <w:shd w:val="clear" w:color="000000" w:fill="FFFFFF"/>
            <w:noWrap/>
            <w:vAlign w:val="bottom"/>
            <w:hideMark/>
          </w:tcPr>
          <w:p w14:paraId="0171F62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559" w:type="dxa"/>
            <w:tcBorders>
              <w:top w:val="nil"/>
              <w:left w:val="nil"/>
              <w:bottom w:val="single" w:sz="4" w:space="0" w:color="auto"/>
              <w:right w:val="single" w:sz="4" w:space="0" w:color="auto"/>
            </w:tcBorders>
            <w:shd w:val="clear" w:color="000000" w:fill="FFFFFF"/>
            <w:noWrap/>
            <w:vAlign w:val="bottom"/>
            <w:hideMark/>
          </w:tcPr>
          <w:p w14:paraId="0BFCAC6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9,84</w:t>
            </w:r>
          </w:p>
        </w:tc>
        <w:tc>
          <w:tcPr>
            <w:tcW w:w="1803" w:type="dxa"/>
            <w:tcBorders>
              <w:top w:val="nil"/>
              <w:left w:val="nil"/>
              <w:bottom w:val="single" w:sz="4" w:space="0" w:color="auto"/>
              <w:right w:val="single" w:sz="4" w:space="0" w:color="auto"/>
            </w:tcBorders>
            <w:shd w:val="clear" w:color="000000" w:fill="FFFFFF"/>
            <w:noWrap/>
            <w:vAlign w:val="bottom"/>
            <w:hideMark/>
          </w:tcPr>
          <w:p w14:paraId="776FBA4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33.494,00</w:t>
            </w:r>
          </w:p>
        </w:tc>
      </w:tr>
      <w:tr w:rsidR="00846ACC" w:rsidRPr="004974C0" w14:paraId="5268105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72D2FA5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 POMOĆI</w:t>
            </w:r>
          </w:p>
        </w:tc>
        <w:tc>
          <w:tcPr>
            <w:tcW w:w="1984" w:type="dxa"/>
            <w:tcBorders>
              <w:top w:val="nil"/>
              <w:left w:val="nil"/>
              <w:bottom w:val="single" w:sz="4" w:space="0" w:color="auto"/>
              <w:right w:val="single" w:sz="4" w:space="0" w:color="auto"/>
            </w:tcBorders>
            <w:shd w:val="clear" w:color="000000" w:fill="FFFFFF"/>
            <w:noWrap/>
            <w:vAlign w:val="bottom"/>
            <w:hideMark/>
          </w:tcPr>
          <w:p w14:paraId="22DB0B1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845346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18.800,00</w:t>
            </w:r>
          </w:p>
        </w:tc>
        <w:tc>
          <w:tcPr>
            <w:tcW w:w="1843" w:type="dxa"/>
            <w:tcBorders>
              <w:top w:val="nil"/>
              <w:left w:val="nil"/>
              <w:bottom w:val="single" w:sz="4" w:space="0" w:color="auto"/>
              <w:right w:val="single" w:sz="4" w:space="0" w:color="auto"/>
            </w:tcBorders>
            <w:shd w:val="clear" w:color="000000" w:fill="FFFFFF"/>
            <w:noWrap/>
            <w:vAlign w:val="bottom"/>
            <w:hideMark/>
          </w:tcPr>
          <w:p w14:paraId="21F8B62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38.708,00</w:t>
            </w:r>
          </w:p>
        </w:tc>
        <w:tc>
          <w:tcPr>
            <w:tcW w:w="1559" w:type="dxa"/>
            <w:tcBorders>
              <w:top w:val="nil"/>
              <w:left w:val="nil"/>
              <w:bottom w:val="single" w:sz="4" w:space="0" w:color="auto"/>
              <w:right w:val="single" w:sz="4" w:space="0" w:color="auto"/>
            </w:tcBorders>
            <w:shd w:val="clear" w:color="000000" w:fill="FFFFFF"/>
            <w:noWrap/>
            <w:vAlign w:val="bottom"/>
            <w:hideMark/>
          </w:tcPr>
          <w:p w14:paraId="5D70C25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205,89</w:t>
            </w:r>
          </w:p>
        </w:tc>
        <w:tc>
          <w:tcPr>
            <w:tcW w:w="1803" w:type="dxa"/>
            <w:tcBorders>
              <w:top w:val="nil"/>
              <w:left w:val="nil"/>
              <w:bottom w:val="single" w:sz="4" w:space="0" w:color="auto"/>
              <w:right w:val="single" w:sz="4" w:space="0" w:color="auto"/>
            </w:tcBorders>
            <w:shd w:val="clear" w:color="000000" w:fill="FFFFFF"/>
            <w:noWrap/>
            <w:vAlign w:val="bottom"/>
            <w:hideMark/>
          </w:tcPr>
          <w:p w14:paraId="49DD85E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57.508,00</w:t>
            </w:r>
          </w:p>
        </w:tc>
      </w:tr>
      <w:tr w:rsidR="00846ACC" w:rsidRPr="004974C0" w14:paraId="35A88E7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7D47D6B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FF"/>
            <w:noWrap/>
            <w:vAlign w:val="bottom"/>
            <w:hideMark/>
          </w:tcPr>
          <w:p w14:paraId="4805D12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22366DF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18.800,00</w:t>
            </w:r>
          </w:p>
        </w:tc>
        <w:tc>
          <w:tcPr>
            <w:tcW w:w="1843" w:type="dxa"/>
            <w:tcBorders>
              <w:top w:val="nil"/>
              <w:left w:val="nil"/>
              <w:bottom w:val="single" w:sz="4" w:space="0" w:color="auto"/>
              <w:right w:val="single" w:sz="4" w:space="0" w:color="auto"/>
            </w:tcBorders>
            <w:shd w:val="clear" w:color="000000" w:fill="FFFFFF"/>
            <w:noWrap/>
            <w:vAlign w:val="bottom"/>
            <w:hideMark/>
          </w:tcPr>
          <w:p w14:paraId="1D253C3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38.708,00</w:t>
            </w:r>
          </w:p>
        </w:tc>
        <w:tc>
          <w:tcPr>
            <w:tcW w:w="1559" w:type="dxa"/>
            <w:tcBorders>
              <w:top w:val="nil"/>
              <w:left w:val="nil"/>
              <w:bottom w:val="single" w:sz="4" w:space="0" w:color="auto"/>
              <w:right w:val="single" w:sz="4" w:space="0" w:color="auto"/>
            </w:tcBorders>
            <w:shd w:val="clear" w:color="000000" w:fill="FFFFFF"/>
            <w:noWrap/>
            <w:vAlign w:val="bottom"/>
            <w:hideMark/>
          </w:tcPr>
          <w:p w14:paraId="3883557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205,89</w:t>
            </w:r>
          </w:p>
        </w:tc>
        <w:tc>
          <w:tcPr>
            <w:tcW w:w="1803" w:type="dxa"/>
            <w:tcBorders>
              <w:top w:val="nil"/>
              <w:left w:val="nil"/>
              <w:bottom w:val="single" w:sz="4" w:space="0" w:color="auto"/>
              <w:right w:val="single" w:sz="4" w:space="0" w:color="auto"/>
            </w:tcBorders>
            <w:shd w:val="clear" w:color="000000" w:fill="FFFFFF"/>
            <w:noWrap/>
            <w:vAlign w:val="bottom"/>
            <w:hideMark/>
          </w:tcPr>
          <w:p w14:paraId="217236A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57.508,00</w:t>
            </w:r>
          </w:p>
        </w:tc>
      </w:tr>
      <w:tr w:rsidR="00846ACC" w:rsidRPr="004974C0" w14:paraId="5BFDAAE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E6F7D7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 DONACIJE</w:t>
            </w:r>
          </w:p>
        </w:tc>
        <w:tc>
          <w:tcPr>
            <w:tcW w:w="1984" w:type="dxa"/>
            <w:tcBorders>
              <w:top w:val="nil"/>
              <w:left w:val="nil"/>
              <w:bottom w:val="single" w:sz="4" w:space="0" w:color="auto"/>
              <w:right w:val="single" w:sz="4" w:space="0" w:color="auto"/>
            </w:tcBorders>
            <w:shd w:val="clear" w:color="000000" w:fill="FFFFFF"/>
            <w:noWrap/>
            <w:vAlign w:val="bottom"/>
            <w:hideMark/>
          </w:tcPr>
          <w:p w14:paraId="362C5A0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E87842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800,00</w:t>
            </w:r>
          </w:p>
        </w:tc>
        <w:tc>
          <w:tcPr>
            <w:tcW w:w="1843" w:type="dxa"/>
            <w:tcBorders>
              <w:top w:val="nil"/>
              <w:left w:val="nil"/>
              <w:bottom w:val="single" w:sz="4" w:space="0" w:color="auto"/>
              <w:right w:val="single" w:sz="4" w:space="0" w:color="auto"/>
            </w:tcBorders>
            <w:shd w:val="clear" w:color="000000" w:fill="FFFFFF"/>
            <w:noWrap/>
            <w:vAlign w:val="bottom"/>
            <w:hideMark/>
          </w:tcPr>
          <w:p w14:paraId="0FE6C24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w:t>
            </w:r>
          </w:p>
        </w:tc>
        <w:tc>
          <w:tcPr>
            <w:tcW w:w="1559" w:type="dxa"/>
            <w:tcBorders>
              <w:top w:val="nil"/>
              <w:left w:val="nil"/>
              <w:bottom w:val="single" w:sz="4" w:space="0" w:color="auto"/>
              <w:right w:val="single" w:sz="4" w:space="0" w:color="auto"/>
            </w:tcBorders>
            <w:shd w:val="clear" w:color="000000" w:fill="FFFFFF"/>
            <w:noWrap/>
            <w:vAlign w:val="bottom"/>
            <w:hideMark/>
          </w:tcPr>
          <w:p w14:paraId="22B841B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62,50</w:t>
            </w:r>
          </w:p>
        </w:tc>
        <w:tc>
          <w:tcPr>
            <w:tcW w:w="1803" w:type="dxa"/>
            <w:tcBorders>
              <w:top w:val="nil"/>
              <w:left w:val="nil"/>
              <w:bottom w:val="single" w:sz="4" w:space="0" w:color="auto"/>
              <w:right w:val="single" w:sz="4" w:space="0" w:color="auto"/>
            </w:tcBorders>
            <w:shd w:val="clear" w:color="000000" w:fill="FFFFFF"/>
            <w:noWrap/>
            <w:vAlign w:val="bottom"/>
            <w:hideMark/>
          </w:tcPr>
          <w:p w14:paraId="11BEB3A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w:t>
            </w:r>
          </w:p>
        </w:tc>
      </w:tr>
      <w:tr w:rsidR="00846ACC" w:rsidRPr="004974C0" w14:paraId="549560F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2D937A4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6.9. 6.DONACIJE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0DC7AFE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0B3A87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800,00</w:t>
            </w:r>
          </w:p>
        </w:tc>
        <w:tc>
          <w:tcPr>
            <w:tcW w:w="1843" w:type="dxa"/>
            <w:tcBorders>
              <w:top w:val="nil"/>
              <w:left w:val="nil"/>
              <w:bottom w:val="single" w:sz="4" w:space="0" w:color="auto"/>
              <w:right w:val="single" w:sz="4" w:space="0" w:color="auto"/>
            </w:tcBorders>
            <w:shd w:val="clear" w:color="000000" w:fill="FFFFFF"/>
            <w:noWrap/>
            <w:vAlign w:val="bottom"/>
            <w:hideMark/>
          </w:tcPr>
          <w:p w14:paraId="47522FD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w:t>
            </w:r>
          </w:p>
        </w:tc>
        <w:tc>
          <w:tcPr>
            <w:tcW w:w="1559" w:type="dxa"/>
            <w:tcBorders>
              <w:top w:val="nil"/>
              <w:left w:val="nil"/>
              <w:bottom w:val="single" w:sz="4" w:space="0" w:color="auto"/>
              <w:right w:val="single" w:sz="4" w:space="0" w:color="auto"/>
            </w:tcBorders>
            <w:shd w:val="clear" w:color="000000" w:fill="FFFFFF"/>
            <w:noWrap/>
            <w:vAlign w:val="bottom"/>
            <w:hideMark/>
          </w:tcPr>
          <w:p w14:paraId="370188A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62,50</w:t>
            </w:r>
          </w:p>
        </w:tc>
        <w:tc>
          <w:tcPr>
            <w:tcW w:w="1803" w:type="dxa"/>
            <w:tcBorders>
              <w:top w:val="nil"/>
              <w:left w:val="nil"/>
              <w:bottom w:val="single" w:sz="4" w:space="0" w:color="auto"/>
              <w:right w:val="single" w:sz="4" w:space="0" w:color="auto"/>
            </w:tcBorders>
            <w:shd w:val="clear" w:color="000000" w:fill="FFFFFF"/>
            <w:noWrap/>
            <w:vAlign w:val="bottom"/>
            <w:hideMark/>
          </w:tcPr>
          <w:p w14:paraId="50E3F75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w:t>
            </w:r>
          </w:p>
        </w:tc>
      </w:tr>
      <w:tr w:rsidR="00846ACC" w:rsidRPr="004974C0" w14:paraId="1E0CE92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01B57D5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5004 Promicanje kulture</w:t>
            </w:r>
          </w:p>
        </w:tc>
        <w:tc>
          <w:tcPr>
            <w:tcW w:w="1984" w:type="dxa"/>
            <w:tcBorders>
              <w:top w:val="nil"/>
              <w:left w:val="nil"/>
              <w:bottom w:val="single" w:sz="4" w:space="0" w:color="auto"/>
              <w:right w:val="single" w:sz="4" w:space="0" w:color="auto"/>
            </w:tcBorders>
            <w:shd w:val="clear" w:color="000000" w:fill="9999FF"/>
            <w:noWrap/>
            <w:vAlign w:val="bottom"/>
            <w:hideMark/>
          </w:tcPr>
          <w:p w14:paraId="2A96EA8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7AB0B23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524.394,00</w:t>
            </w:r>
          </w:p>
        </w:tc>
        <w:tc>
          <w:tcPr>
            <w:tcW w:w="1843" w:type="dxa"/>
            <w:tcBorders>
              <w:top w:val="nil"/>
              <w:left w:val="nil"/>
              <w:bottom w:val="single" w:sz="4" w:space="0" w:color="auto"/>
              <w:right w:val="single" w:sz="4" w:space="0" w:color="auto"/>
            </w:tcBorders>
            <w:shd w:val="clear" w:color="000000" w:fill="9999FF"/>
            <w:noWrap/>
            <w:vAlign w:val="bottom"/>
            <w:hideMark/>
          </w:tcPr>
          <w:p w14:paraId="67B198A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76.988,00</w:t>
            </w:r>
          </w:p>
        </w:tc>
        <w:tc>
          <w:tcPr>
            <w:tcW w:w="1559" w:type="dxa"/>
            <w:tcBorders>
              <w:top w:val="nil"/>
              <w:left w:val="nil"/>
              <w:bottom w:val="single" w:sz="4" w:space="0" w:color="auto"/>
              <w:right w:val="single" w:sz="4" w:space="0" w:color="auto"/>
            </w:tcBorders>
            <w:shd w:val="clear" w:color="000000" w:fill="9999FF"/>
            <w:noWrap/>
            <w:vAlign w:val="bottom"/>
            <w:hideMark/>
          </w:tcPr>
          <w:p w14:paraId="233B4E1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14,68</w:t>
            </w:r>
          </w:p>
        </w:tc>
        <w:tc>
          <w:tcPr>
            <w:tcW w:w="1803" w:type="dxa"/>
            <w:tcBorders>
              <w:top w:val="nil"/>
              <w:left w:val="nil"/>
              <w:bottom w:val="single" w:sz="4" w:space="0" w:color="auto"/>
              <w:right w:val="single" w:sz="4" w:space="0" w:color="auto"/>
            </w:tcBorders>
            <w:shd w:val="clear" w:color="000000" w:fill="9999FF"/>
            <w:noWrap/>
            <w:vAlign w:val="bottom"/>
            <w:hideMark/>
          </w:tcPr>
          <w:p w14:paraId="35306E8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601.382,00</w:t>
            </w:r>
          </w:p>
        </w:tc>
      </w:tr>
      <w:tr w:rsidR="00846ACC" w:rsidRPr="004974C0" w14:paraId="0F70AFE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7059CBF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A500007 Glazbeno scenska djelatnost</w:t>
            </w:r>
          </w:p>
        </w:tc>
        <w:tc>
          <w:tcPr>
            <w:tcW w:w="1984" w:type="dxa"/>
            <w:tcBorders>
              <w:top w:val="nil"/>
              <w:left w:val="nil"/>
              <w:bottom w:val="single" w:sz="4" w:space="0" w:color="auto"/>
              <w:right w:val="single" w:sz="4" w:space="0" w:color="auto"/>
            </w:tcBorders>
            <w:shd w:val="clear" w:color="000000" w:fill="CCCCFF"/>
            <w:noWrap/>
            <w:vAlign w:val="bottom"/>
            <w:hideMark/>
          </w:tcPr>
          <w:p w14:paraId="3FF2CF8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11006D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9.000,00</w:t>
            </w:r>
          </w:p>
        </w:tc>
        <w:tc>
          <w:tcPr>
            <w:tcW w:w="1843" w:type="dxa"/>
            <w:tcBorders>
              <w:top w:val="nil"/>
              <w:left w:val="nil"/>
              <w:bottom w:val="single" w:sz="4" w:space="0" w:color="auto"/>
              <w:right w:val="single" w:sz="4" w:space="0" w:color="auto"/>
            </w:tcBorders>
            <w:shd w:val="clear" w:color="000000" w:fill="CCCCFF"/>
            <w:noWrap/>
            <w:vAlign w:val="bottom"/>
            <w:hideMark/>
          </w:tcPr>
          <w:p w14:paraId="3EE36B0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559" w:type="dxa"/>
            <w:tcBorders>
              <w:top w:val="nil"/>
              <w:left w:val="nil"/>
              <w:bottom w:val="single" w:sz="4" w:space="0" w:color="auto"/>
              <w:right w:val="single" w:sz="4" w:space="0" w:color="auto"/>
            </w:tcBorders>
            <w:shd w:val="clear" w:color="000000" w:fill="CCCCFF"/>
            <w:noWrap/>
            <w:vAlign w:val="bottom"/>
            <w:hideMark/>
          </w:tcPr>
          <w:p w14:paraId="358DCE3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33,33</w:t>
            </w:r>
          </w:p>
        </w:tc>
        <w:tc>
          <w:tcPr>
            <w:tcW w:w="1803" w:type="dxa"/>
            <w:tcBorders>
              <w:top w:val="nil"/>
              <w:left w:val="nil"/>
              <w:bottom w:val="single" w:sz="4" w:space="0" w:color="auto"/>
              <w:right w:val="single" w:sz="4" w:space="0" w:color="auto"/>
            </w:tcBorders>
            <w:shd w:val="clear" w:color="000000" w:fill="CCCCFF"/>
            <w:noWrap/>
            <w:vAlign w:val="bottom"/>
            <w:hideMark/>
          </w:tcPr>
          <w:p w14:paraId="1C2D430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12.000,00</w:t>
            </w:r>
          </w:p>
        </w:tc>
      </w:tr>
      <w:tr w:rsidR="00846ACC" w:rsidRPr="004974C0" w14:paraId="57C696F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1199E7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7EE0273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84E7FC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c>
          <w:tcPr>
            <w:tcW w:w="1843" w:type="dxa"/>
            <w:tcBorders>
              <w:top w:val="nil"/>
              <w:left w:val="nil"/>
              <w:bottom w:val="single" w:sz="4" w:space="0" w:color="auto"/>
              <w:right w:val="single" w:sz="4" w:space="0" w:color="auto"/>
            </w:tcBorders>
            <w:shd w:val="clear" w:color="000000" w:fill="FFFF99"/>
            <w:noWrap/>
            <w:vAlign w:val="bottom"/>
            <w:hideMark/>
          </w:tcPr>
          <w:p w14:paraId="768860F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68FD9B3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64381D3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r>
      <w:tr w:rsidR="00846ACC" w:rsidRPr="004974C0" w14:paraId="522ECFC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89A211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BF5A69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A0499F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5.000,00</w:t>
            </w:r>
          </w:p>
        </w:tc>
        <w:tc>
          <w:tcPr>
            <w:tcW w:w="1843" w:type="dxa"/>
            <w:tcBorders>
              <w:top w:val="nil"/>
              <w:left w:val="nil"/>
              <w:bottom w:val="single" w:sz="4" w:space="0" w:color="auto"/>
              <w:right w:val="single" w:sz="4" w:space="0" w:color="auto"/>
            </w:tcBorders>
            <w:shd w:val="clear" w:color="auto" w:fill="auto"/>
            <w:noWrap/>
            <w:vAlign w:val="bottom"/>
            <w:hideMark/>
          </w:tcPr>
          <w:p w14:paraId="0D92770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6ED6ED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DC2B88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5.000,00</w:t>
            </w:r>
          </w:p>
        </w:tc>
      </w:tr>
      <w:tr w:rsidR="00846ACC" w:rsidRPr="004974C0" w14:paraId="3C37B51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8E5642C"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4340E13F"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B0E11F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5.000,00</w:t>
            </w:r>
          </w:p>
        </w:tc>
        <w:tc>
          <w:tcPr>
            <w:tcW w:w="1843" w:type="dxa"/>
            <w:tcBorders>
              <w:top w:val="nil"/>
              <w:left w:val="nil"/>
              <w:bottom w:val="single" w:sz="4" w:space="0" w:color="auto"/>
              <w:right w:val="single" w:sz="4" w:space="0" w:color="auto"/>
            </w:tcBorders>
            <w:shd w:val="clear" w:color="auto" w:fill="auto"/>
            <w:noWrap/>
            <w:vAlign w:val="bottom"/>
            <w:hideMark/>
          </w:tcPr>
          <w:p w14:paraId="55D50A8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9019AE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DA19E0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5.000,00</w:t>
            </w:r>
          </w:p>
        </w:tc>
      </w:tr>
      <w:tr w:rsidR="00846ACC" w:rsidRPr="004974C0" w14:paraId="107FE3B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02B826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4.9. 4.PRIHODI ZA POSEBNE NAMJENE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6035BE9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8DCC02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c>
          <w:tcPr>
            <w:tcW w:w="1843" w:type="dxa"/>
            <w:tcBorders>
              <w:top w:val="nil"/>
              <w:left w:val="nil"/>
              <w:bottom w:val="single" w:sz="4" w:space="0" w:color="auto"/>
              <w:right w:val="single" w:sz="4" w:space="0" w:color="auto"/>
            </w:tcBorders>
            <w:shd w:val="clear" w:color="000000" w:fill="FFFF99"/>
            <w:noWrap/>
            <w:vAlign w:val="bottom"/>
            <w:hideMark/>
          </w:tcPr>
          <w:p w14:paraId="17C38AB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559" w:type="dxa"/>
            <w:tcBorders>
              <w:top w:val="nil"/>
              <w:left w:val="nil"/>
              <w:bottom w:val="single" w:sz="4" w:space="0" w:color="auto"/>
              <w:right w:val="single" w:sz="4" w:space="0" w:color="auto"/>
            </w:tcBorders>
            <w:shd w:val="clear" w:color="000000" w:fill="FFFF99"/>
            <w:noWrap/>
            <w:vAlign w:val="bottom"/>
            <w:hideMark/>
          </w:tcPr>
          <w:p w14:paraId="43ACF7A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75,00</w:t>
            </w:r>
          </w:p>
        </w:tc>
        <w:tc>
          <w:tcPr>
            <w:tcW w:w="1803" w:type="dxa"/>
            <w:tcBorders>
              <w:top w:val="nil"/>
              <w:left w:val="nil"/>
              <w:bottom w:val="single" w:sz="4" w:space="0" w:color="auto"/>
              <w:right w:val="single" w:sz="4" w:space="0" w:color="auto"/>
            </w:tcBorders>
            <w:shd w:val="clear" w:color="000000" w:fill="FFFF99"/>
            <w:noWrap/>
            <w:vAlign w:val="bottom"/>
            <w:hideMark/>
          </w:tcPr>
          <w:p w14:paraId="5DA4A5F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7.000,00</w:t>
            </w:r>
          </w:p>
        </w:tc>
      </w:tr>
      <w:tr w:rsidR="00846ACC" w:rsidRPr="004974C0" w14:paraId="7F6FA9B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54F243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82E2CA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E74ADA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w:t>
            </w:r>
          </w:p>
        </w:tc>
        <w:tc>
          <w:tcPr>
            <w:tcW w:w="1843" w:type="dxa"/>
            <w:tcBorders>
              <w:top w:val="nil"/>
              <w:left w:val="nil"/>
              <w:bottom w:val="single" w:sz="4" w:space="0" w:color="auto"/>
              <w:right w:val="single" w:sz="4" w:space="0" w:color="auto"/>
            </w:tcBorders>
            <w:shd w:val="clear" w:color="auto" w:fill="auto"/>
            <w:noWrap/>
            <w:vAlign w:val="bottom"/>
            <w:hideMark/>
          </w:tcPr>
          <w:p w14:paraId="1D35EFF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w:t>
            </w:r>
          </w:p>
        </w:tc>
        <w:tc>
          <w:tcPr>
            <w:tcW w:w="1559" w:type="dxa"/>
            <w:tcBorders>
              <w:top w:val="nil"/>
              <w:left w:val="nil"/>
              <w:bottom w:val="single" w:sz="4" w:space="0" w:color="auto"/>
              <w:right w:val="single" w:sz="4" w:space="0" w:color="auto"/>
            </w:tcBorders>
            <w:shd w:val="clear" w:color="auto" w:fill="auto"/>
            <w:noWrap/>
            <w:vAlign w:val="bottom"/>
            <w:hideMark/>
          </w:tcPr>
          <w:p w14:paraId="39431DC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75,00</w:t>
            </w:r>
          </w:p>
        </w:tc>
        <w:tc>
          <w:tcPr>
            <w:tcW w:w="1803" w:type="dxa"/>
            <w:tcBorders>
              <w:top w:val="nil"/>
              <w:left w:val="nil"/>
              <w:bottom w:val="single" w:sz="4" w:space="0" w:color="auto"/>
              <w:right w:val="single" w:sz="4" w:space="0" w:color="auto"/>
            </w:tcBorders>
            <w:shd w:val="clear" w:color="auto" w:fill="auto"/>
            <w:noWrap/>
            <w:vAlign w:val="bottom"/>
            <w:hideMark/>
          </w:tcPr>
          <w:p w14:paraId="5EDA800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7.000,00</w:t>
            </w:r>
          </w:p>
        </w:tc>
      </w:tr>
      <w:tr w:rsidR="00846ACC" w:rsidRPr="004974C0" w14:paraId="4621EF1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9CE013B"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6F12201A"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566866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3.900,00</w:t>
            </w:r>
          </w:p>
        </w:tc>
        <w:tc>
          <w:tcPr>
            <w:tcW w:w="1843" w:type="dxa"/>
            <w:tcBorders>
              <w:top w:val="nil"/>
              <w:left w:val="nil"/>
              <w:bottom w:val="single" w:sz="4" w:space="0" w:color="auto"/>
              <w:right w:val="single" w:sz="4" w:space="0" w:color="auto"/>
            </w:tcBorders>
            <w:shd w:val="clear" w:color="auto" w:fill="auto"/>
            <w:noWrap/>
            <w:vAlign w:val="bottom"/>
            <w:hideMark/>
          </w:tcPr>
          <w:p w14:paraId="693EC1C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c>
          <w:tcPr>
            <w:tcW w:w="1559" w:type="dxa"/>
            <w:tcBorders>
              <w:top w:val="nil"/>
              <w:left w:val="nil"/>
              <w:bottom w:val="single" w:sz="4" w:space="0" w:color="auto"/>
              <w:right w:val="single" w:sz="4" w:space="0" w:color="auto"/>
            </w:tcBorders>
            <w:shd w:val="clear" w:color="auto" w:fill="auto"/>
            <w:noWrap/>
            <w:vAlign w:val="bottom"/>
            <w:hideMark/>
          </w:tcPr>
          <w:p w14:paraId="279C0CF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76,92</w:t>
            </w:r>
          </w:p>
        </w:tc>
        <w:tc>
          <w:tcPr>
            <w:tcW w:w="1803" w:type="dxa"/>
            <w:tcBorders>
              <w:top w:val="nil"/>
              <w:left w:val="nil"/>
              <w:bottom w:val="single" w:sz="4" w:space="0" w:color="auto"/>
              <w:right w:val="single" w:sz="4" w:space="0" w:color="auto"/>
            </w:tcBorders>
            <w:shd w:val="clear" w:color="auto" w:fill="auto"/>
            <w:noWrap/>
            <w:vAlign w:val="bottom"/>
            <w:hideMark/>
          </w:tcPr>
          <w:p w14:paraId="28AB13C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6.900,00</w:t>
            </w:r>
          </w:p>
        </w:tc>
      </w:tr>
      <w:tr w:rsidR="00846ACC" w:rsidRPr="004974C0" w14:paraId="77706CB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EDF0C1F" w14:textId="77777777" w:rsidR="004974C0" w:rsidRPr="004974C0" w:rsidRDefault="004974C0" w:rsidP="004974C0">
            <w:pPr>
              <w:rPr>
                <w:rFonts w:ascii="Arial" w:hAnsi="Arial" w:cs="Arial"/>
                <w:sz w:val="20"/>
                <w:szCs w:val="20"/>
              </w:rPr>
            </w:pPr>
            <w:r w:rsidRPr="004974C0">
              <w:rPr>
                <w:rFonts w:ascii="Arial" w:hAnsi="Arial" w:cs="Arial"/>
                <w:sz w:val="20"/>
                <w:szCs w:val="20"/>
              </w:rPr>
              <w:t>34</w:t>
            </w:r>
          </w:p>
        </w:tc>
        <w:tc>
          <w:tcPr>
            <w:tcW w:w="1984" w:type="dxa"/>
            <w:tcBorders>
              <w:top w:val="nil"/>
              <w:left w:val="nil"/>
              <w:bottom w:val="single" w:sz="4" w:space="0" w:color="auto"/>
              <w:right w:val="single" w:sz="4" w:space="0" w:color="auto"/>
            </w:tcBorders>
            <w:shd w:val="clear" w:color="auto" w:fill="auto"/>
            <w:noWrap/>
            <w:vAlign w:val="bottom"/>
            <w:hideMark/>
          </w:tcPr>
          <w:p w14:paraId="6DE0B9E8" w14:textId="77777777" w:rsidR="004974C0" w:rsidRPr="004974C0" w:rsidRDefault="004974C0" w:rsidP="004974C0">
            <w:pPr>
              <w:rPr>
                <w:rFonts w:ascii="Arial" w:hAnsi="Arial" w:cs="Arial"/>
                <w:sz w:val="20"/>
                <w:szCs w:val="20"/>
              </w:rPr>
            </w:pPr>
            <w:r w:rsidRPr="004974C0">
              <w:rPr>
                <w:rFonts w:ascii="Arial" w:hAnsi="Arial" w:cs="Arial"/>
                <w:sz w:val="20"/>
                <w:szCs w:val="20"/>
              </w:rPr>
              <w:t>Financijski rashodi</w:t>
            </w:r>
          </w:p>
        </w:tc>
        <w:tc>
          <w:tcPr>
            <w:tcW w:w="1843" w:type="dxa"/>
            <w:tcBorders>
              <w:top w:val="nil"/>
              <w:left w:val="nil"/>
              <w:bottom w:val="single" w:sz="4" w:space="0" w:color="auto"/>
              <w:right w:val="single" w:sz="4" w:space="0" w:color="auto"/>
            </w:tcBorders>
            <w:shd w:val="clear" w:color="auto" w:fill="auto"/>
            <w:noWrap/>
            <w:vAlign w:val="bottom"/>
            <w:hideMark/>
          </w:tcPr>
          <w:p w14:paraId="6148DF6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43" w:type="dxa"/>
            <w:tcBorders>
              <w:top w:val="nil"/>
              <w:left w:val="nil"/>
              <w:bottom w:val="single" w:sz="4" w:space="0" w:color="auto"/>
              <w:right w:val="single" w:sz="4" w:space="0" w:color="auto"/>
            </w:tcBorders>
            <w:shd w:val="clear" w:color="auto" w:fill="auto"/>
            <w:noWrap/>
            <w:vAlign w:val="bottom"/>
            <w:hideMark/>
          </w:tcPr>
          <w:p w14:paraId="43AF88C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01FE92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3405E5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r>
      <w:tr w:rsidR="00846ACC" w:rsidRPr="004974C0" w14:paraId="7C9367C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F07E0B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A500009 Gradska galerija</w:t>
            </w:r>
          </w:p>
        </w:tc>
        <w:tc>
          <w:tcPr>
            <w:tcW w:w="1984" w:type="dxa"/>
            <w:tcBorders>
              <w:top w:val="nil"/>
              <w:left w:val="nil"/>
              <w:bottom w:val="single" w:sz="4" w:space="0" w:color="auto"/>
              <w:right w:val="single" w:sz="4" w:space="0" w:color="auto"/>
            </w:tcBorders>
            <w:shd w:val="clear" w:color="000000" w:fill="CCCCFF"/>
            <w:noWrap/>
            <w:vAlign w:val="bottom"/>
            <w:hideMark/>
          </w:tcPr>
          <w:p w14:paraId="5C45329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5B2775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27.600,00</w:t>
            </w:r>
          </w:p>
        </w:tc>
        <w:tc>
          <w:tcPr>
            <w:tcW w:w="1843" w:type="dxa"/>
            <w:tcBorders>
              <w:top w:val="nil"/>
              <w:left w:val="nil"/>
              <w:bottom w:val="single" w:sz="4" w:space="0" w:color="auto"/>
              <w:right w:val="single" w:sz="4" w:space="0" w:color="auto"/>
            </w:tcBorders>
            <w:shd w:val="clear" w:color="000000" w:fill="CCCCFF"/>
            <w:noWrap/>
            <w:vAlign w:val="bottom"/>
            <w:hideMark/>
          </w:tcPr>
          <w:p w14:paraId="0A9A009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6.705,00</w:t>
            </w:r>
          </w:p>
        </w:tc>
        <w:tc>
          <w:tcPr>
            <w:tcW w:w="1559" w:type="dxa"/>
            <w:tcBorders>
              <w:top w:val="nil"/>
              <w:left w:val="nil"/>
              <w:bottom w:val="single" w:sz="4" w:space="0" w:color="auto"/>
              <w:right w:val="single" w:sz="4" w:space="0" w:color="auto"/>
            </w:tcBorders>
            <w:shd w:val="clear" w:color="000000" w:fill="CCCCFF"/>
            <w:noWrap/>
            <w:vAlign w:val="bottom"/>
            <w:hideMark/>
          </w:tcPr>
          <w:p w14:paraId="511506C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24,29</w:t>
            </w:r>
          </w:p>
        </w:tc>
        <w:tc>
          <w:tcPr>
            <w:tcW w:w="1803" w:type="dxa"/>
            <w:tcBorders>
              <w:top w:val="nil"/>
              <w:left w:val="nil"/>
              <w:bottom w:val="single" w:sz="4" w:space="0" w:color="auto"/>
              <w:right w:val="single" w:sz="4" w:space="0" w:color="auto"/>
            </w:tcBorders>
            <w:shd w:val="clear" w:color="000000" w:fill="CCCCFF"/>
            <w:noWrap/>
            <w:vAlign w:val="bottom"/>
            <w:hideMark/>
          </w:tcPr>
          <w:p w14:paraId="2EB1F86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34.305,00</w:t>
            </w:r>
          </w:p>
        </w:tc>
      </w:tr>
      <w:tr w:rsidR="00846ACC" w:rsidRPr="004974C0" w14:paraId="0AC48D0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E01076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4885A04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961D36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16.800,00</w:t>
            </w:r>
          </w:p>
        </w:tc>
        <w:tc>
          <w:tcPr>
            <w:tcW w:w="1843" w:type="dxa"/>
            <w:tcBorders>
              <w:top w:val="nil"/>
              <w:left w:val="nil"/>
              <w:bottom w:val="single" w:sz="4" w:space="0" w:color="auto"/>
              <w:right w:val="single" w:sz="4" w:space="0" w:color="auto"/>
            </w:tcBorders>
            <w:shd w:val="clear" w:color="000000" w:fill="FFFF99"/>
            <w:noWrap/>
            <w:vAlign w:val="bottom"/>
            <w:hideMark/>
          </w:tcPr>
          <w:p w14:paraId="48F7DE9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6822842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0F354C8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16.800,00</w:t>
            </w:r>
          </w:p>
        </w:tc>
      </w:tr>
      <w:tr w:rsidR="00846ACC" w:rsidRPr="004974C0" w14:paraId="553D6E7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163778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FEC2C2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267FA3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16.800,00</w:t>
            </w:r>
          </w:p>
        </w:tc>
        <w:tc>
          <w:tcPr>
            <w:tcW w:w="1843" w:type="dxa"/>
            <w:tcBorders>
              <w:top w:val="nil"/>
              <w:left w:val="nil"/>
              <w:bottom w:val="single" w:sz="4" w:space="0" w:color="auto"/>
              <w:right w:val="single" w:sz="4" w:space="0" w:color="auto"/>
            </w:tcBorders>
            <w:shd w:val="clear" w:color="auto" w:fill="auto"/>
            <w:noWrap/>
            <w:vAlign w:val="bottom"/>
            <w:hideMark/>
          </w:tcPr>
          <w:p w14:paraId="59F7D6F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3FEB5A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D8B54B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16.800,00</w:t>
            </w:r>
          </w:p>
        </w:tc>
      </w:tr>
      <w:tr w:rsidR="00846ACC" w:rsidRPr="004974C0" w14:paraId="3B5EF06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0C35C04"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1ADD34E"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1490269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16.730,00</w:t>
            </w:r>
          </w:p>
        </w:tc>
        <w:tc>
          <w:tcPr>
            <w:tcW w:w="1843" w:type="dxa"/>
            <w:tcBorders>
              <w:top w:val="nil"/>
              <w:left w:val="nil"/>
              <w:bottom w:val="single" w:sz="4" w:space="0" w:color="auto"/>
              <w:right w:val="single" w:sz="4" w:space="0" w:color="auto"/>
            </w:tcBorders>
            <w:shd w:val="clear" w:color="auto" w:fill="auto"/>
            <w:noWrap/>
            <w:vAlign w:val="bottom"/>
            <w:hideMark/>
          </w:tcPr>
          <w:p w14:paraId="79260F4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4240F9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6782CE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16.730,00</w:t>
            </w:r>
          </w:p>
        </w:tc>
      </w:tr>
      <w:tr w:rsidR="00846ACC" w:rsidRPr="004974C0" w14:paraId="13B9263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439ADDB" w14:textId="77777777" w:rsidR="004974C0" w:rsidRPr="004974C0" w:rsidRDefault="004974C0" w:rsidP="004974C0">
            <w:pPr>
              <w:rPr>
                <w:rFonts w:ascii="Arial" w:hAnsi="Arial" w:cs="Arial"/>
                <w:sz w:val="20"/>
                <w:szCs w:val="20"/>
              </w:rPr>
            </w:pPr>
            <w:r w:rsidRPr="004974C0">
              <w:rPr>
                <w:rFonts w:ascii="Arial" w:hAnsi="Arial" w:cs="Arial"/>
                <w:sz w:val="20"/>
                <w:szCs w:val="20"/>
              </w:rPr>
              <w:t>34</w:t>
            </w:r>
          </w:p>
        </w:tc>
        <w:tc>
          <w:tcPr>
            <w:tcW w:w="1984" w:type="dxa"/>
            <w:tcBorders>
              <w:top w:val="nil"/>
              <w:left w:val="nil"/>
              <w:bottom w:val="single" w:sz="4" w:space="0" w:color="auto"/>
              <w:right w:val="single" w:sz="4" w:space="0" w:color="auto"/>
            </w:tcBorders>
            <w:shd w:val="clear" w:color="auto" w:fill="auto"/>
            <w:noWrap/>
            <w:vAlign w:val="bottom"/>
            <w:hideMark/>
          </w:tcPr>
          <w:p w14:paraId="73CF8FDC" w14:textId="77777777" w:rsidR="004974C0" w:rsidRPr="004974C0" w:rsidRDefault="004974C0" w:rsidP="004974C0">
            <w:pPr>
              <w:rPr>
                <w:rFonts w:ascii="Arial" w:hAnsi="Arial" w:cs="Arial"/>
                <w:sz w:val="20"/>
                <w:szCs w:val="20"/>
              </w:rPr>
            </w:pPr>
            <w:r w:rsidRPr="004974C0">
              <w:rPr>
                <w:rFonts w:ascii="Arial" w:hAnsi="Arial" w:cs="Arial"/>
                <w:sz w:val="20"/>
                <w:szCs w:val="20"/>
              </w:rPr>
              <w:t>Financijski rashodi</w:t>
            </w:r>
          </w:p>
        </w:tc>
        <w:tc>
          <w:tcPr>
            <w:tcW w:w="1843" w:type="dxa"/>
            <w:tcBorders>
              <w:top w:val="nil"/>
              <w:left w:val="nil"/>
              <w:bottom w:val="single" w:sz="4" w:space="0" w:color="auto"/>
              <w:right w:val="single" w:sz="4" w:space="0" w:color="auto"/>
            </w:tcBorders>
            <w:shd w:val="clear" w:color="auto" w:fill="auto"/>
            <w:noWrap/>
            <w:vAlign w:val="bottom"/>
            <w:hideMark/>
          </w:tcPr>
          <w:p w14:paraId="7CCEDAF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w:t>
            </w:r>
          </w:p>
        </w:tc>
        <w:tc>
          <w:tcPr>
            <w:tcW w:w="1843" w:type="dxa"/>
            <w:tcBorders>
              <w:top w:val="nil"/>
              <w:left w:val="nil"/>
              <w:bottom w:val="single" w:sz="4" w:space="0" w:color="auto"/>
              <w:right w:val="single" w:sz="4" w:space="0" w:color="auto"/>
            </w:tcBorders>
            <w:shd w:val="clear" w:color="auto" w:fill="auto"/>
            <w:noWrap/>
            <w:vAlign w:val="bottom"/>
            <w:hideMark/>
          </w:tcPr>
          <w:p w14:paraId="26B2184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95B509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F2E713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w:t>
            </w:r>
          </w:p>
        </w:tc>
      </w:tr>
      <w:tr w:rsidR="00846ACC" w:rsidRPr="004974C0" w14:paraId="2280B7E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0FBD56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3.9. VLASTITI PRIHODI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1836F74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FB972B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w:t>
            </w:r>
          </w:p>
        </w:tc>
        <w:tc>
          <w:tcPr>
            <w:tcW w:w="1843" w:type="dxa"/>
            <w:tcBorders>
              <w:top w:val="nil"/>
              <w:left w:val="nil"/>
              <w:bottom w:val="single" w:sz="4" w:space="0" w:color="auto"/>
              <w:right w:val="single" w:sz="4" w:space="0" w:color="auto"/>
            </w:tcBorders>
            <w:shd w:val="clear" w:color="000000" w:fill="FFFF99"/>
            <w:noWrap/>
            <w:vAlign w:val="bottom"/>
            <w:hideMark/>
          </w:tcPr>
          <w:p w14:paraId="58722C4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2F1A2F5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1A96B3E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w:t>
            </w:r>
          </w:p>
        </w:tc>
      </w:tr>
      <w:tr w:rsidR="00846ACC" w:rsidRPr="004974C0" w14:paraId="0050D5A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F1CE77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2E8E7C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C10501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28DDBFA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E0D303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AFFBF0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w:t>
            </w:r>
          </w:p>
        </w:tc>
      </w:tr>
      <w:tr w:rsidR="00846ACC" w:rsidRPr="004974C0" w14:paraId="656D775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821142D"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680FD824"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2E3C47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36F56FA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0C8889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82D1AE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w:t>
            </w:r>
          </w:p>
        </w:tc>
      </w:tr>
      <w:tr w:rsidR="00846ACC" w:rsidRPr="004974C0" w14:paraId="40BB1BE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3883A2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lastRenderedPageBreak/>
              <w:t>4</w:t>
            </w:r>
          </w:p>
        </w:tc>
        <w:tc>
          <w:tcPr>
            <w:tcW w:w="1984" w:type="dxa"/>
            <w:tcBorders>
              <w:top w:val="nil"/>
              <w:left w:val="nil"/>
              <w:bottom w:val="single" w:sz="4" w:space="0" w:color="auto"/>
              <w:right w:val="single" w:sz="4" w:space="0" w:color="auto"/>
            </w:tcBorders>
            <w:shd w:val="clear" w:color="auto" w:fill="auto"/>
            <w:noWrap/>
            <w:vAlign w:val="bottom"/>
            <w:hideMark/>
          </w:tcPr>
          <w:p w14:paraId="0C2AED5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65DFE4E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595DDBB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0C20AB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F21DA2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r>
      <w:tr w:rsidR="00846ACC" w:rsidRPr="004974C0" w14:paraId="0D0D7E7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52A5D6C"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254EDAFE"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5D34052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2FB7BDC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6F8761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4D7921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r>
      <w:tr w:rsidR="00846ACC" w:rsidRPr="004974C0" w14:paraId="054B1B6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9B94E8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4.9. 4.PRIHODI ZA POSEBNE NAMJENE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350787A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CED263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w:t>
            </w:r>
          </w:p>
        </w:tc>
        <w:tc>
          <w:tcPr>
            <w:tcW w:w="1843" w:type="dxa"/>
            <w:tcBorders>
              <w:top w:val="nil"/>
              <w:left w:val="nil"/>
              <w:bottom w:val="single" w:sz="4" w:space="0" w:color="auto"/>
              <w:right w:val="single" w:sz="4" w:space="0" w:color="auto"/>
            </w:tcBorders>
            <w:shd w:val="clear" w:color="000000" w:fill="FFFF99"/>
            <w:noWrap/>
            <w:vAlign w:val="bottom"/>
            <w:hideMark/>
          </w:tcPr>
          <w:p w14:paraId="30DF8CB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0B26B4E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66F5F87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w:t>
            </w:r>
          </w:p>
        </w:tc>
      </w:tr>
      <w:tr w:rsidR="00846ACC" w:rsidRPr="004974C0" w14:paraId="388A189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D66C3D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A72DF6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3F127E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5595305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76D89B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049568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w:t>
            </w:r>
          </w:p>
        </w:tc>
      </w:tr>
      <w:tr w:rsidR="00846ACC" w:rsidRPr="004974C0" w14:paraId="475F500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4DF447C"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4530FC8"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191311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5A160DF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B235E5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6E697E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w:t>
            </w:r>
          </w:p>
        </w:tc>
      </w:tr>
      <w:tr w:rsidR="00846ACC" w:rsidRPr="004974C0" w14:paraId="4E2DF56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E8D790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0468D7A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52556B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8.800,00</w:t>
            </w:r>
          </w:p>
        </w:tc>
        <w:tc>
          <w:tcPr>
            <w:tcW w:w="1843" w:type="dxa"/>
            <w:tcBorders>
              <w:top w:val="nil"/>
              <w:left w:val="nil"/>
              <w:bottom w:val="single" w:sz="4" w:space="0" w:color="auto"/>
              <w:right w:val="single" w:sz="4" w:space="0" w:color="auto"/>
            </w:tcBorders>
            <w:shd w:val="clear" w:color="000000" w:fill="FFFF99"/>
            <w:noWrap/>
            <w:vAlign w:val="bottom"/>
            <w:hideMark/>
          </w:tcPr>
          <w:p w14:paraId="447D784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6.705,00</w:t>
            </w:r>
          </w:p>
        </w:tc>
        <w:tc>
          <w:tcPr>
            <w:tcW w:w="1559" w:type="dxa"/>
            <w:tcBorders>
              <w:top w:val="nil"/>
              <w:left w:val="nil"/>
              <w:bottom w:val="single" w:sz="4" w:space="0" w:color="auto"/>
              <w:right w:val="single" w:sz="4" w:space="0" w:color="auto"/>
            </w:tcBorders>
            <w:shd w:val="clear" w:color="000000" w:fill="FFFF99"/>
            <w:noWrap/>
            <w:vAlign w:val="bottom"/>
            <w:hideMark/>
          </w:tcPr>
          <w:p w14:paraId="1C7C6A6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76,19</w:t>
            </w:r>
          </w:p>
        </w:tc>
        <w:tc>
          <w:tcPr>
            <w:tcW w:w="1803" w:type="dxa"/>
            <w:tcBorders>
              <w:top w:val="nil"/>
              <w:left w:val="nil"/>
              <w:bottom w:val="single" w:sz="4" w:space="0" w:color="auto"/>
              <w:right w:val="single" w:sz="4" w:space="0" w:color="auto"/>
            </w:tcBorders>
            <w:shd w:val="clear" w:color="000000" w:fill="FFFF99"/>
            <w:noWrap/>
            <w:vAlign w:val="bottom"/>
            <w:hideMark/>
          </w:tcPr>
          <w:p w14:paraId="6C09C74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15.505,00</w:t>
            </w:r>
          </w:p>
        </w:tc>
      </w:tr>
      <w:tr w:rsidR="00846ACC" w:rsidRPr="004974C0" w14:paraId="6913727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42C8D1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C2DA44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E048B2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8.800,00</w:t>
            </w:r>
          </w:p>
        </w:tc>
        <w:tc>
          <w:tcPr>
            <w:tcW w:w="1843" w:type="dxa"/>
            <w:tcBorders>
              <w:top w:val="nil"/>
              <w:left w:val="nil"/>
              <w:bottom w:val="single" w:sz="4" w:space="0" w:color="auto"/>
              <w:right w:val="single" w:sz="4" w:space="0" w:color="auto"/>
            </w:tcBorders>
            <w:shd w:val="clear" w:color="auto" w:fill="auto"/>
            <w:noWrap/>
            <w:vAlign w:val="bottom"/>
            <w:hideMark/>
          </w:tcPr>
          <w:p w14:paraId="5F5BB3C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6.705,00</w:t>
            </w:r>
          </w:p>
        </w:tc>
        <w:tc>
          <w:tcPr>
            <w:tcW w:w="1559" w:type="dxa"/>
            <w:tcBorders>
              <w:top w:val="nil"/>
              <w:left w:val="nil"/>
              <w:bottom w:val="single" w:sz="4" w:space="0" w:color="auto"/>
              <w:right w:val="single" w:sz="4" w:space="0" w:color="auto"/>
            </w:tcBorders>
            <w:shd w:val="clear" w:color="auto" w:fill="auto"/>
            <w:noWrap/>
            <w:vAlign w:val="bottom"/>
            <w:hideMark/>
          </w:tcPr>
          <w:p w14:paraId="5C0BE9B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76,19</w:t>
            </w:r>
          </w:p>
        </w:tc>
        <w:tc>
          <w:tcPr>
            <w:tcW w:w="1803" w:type="dxa"/>
            <w:tcBorders>
              <w:top w:val="nil"/>
              <w:left w:val="nil"/>
              <w:bottom w:val="single" w:sz="4" w:space="0" w:color="auto"/>
              <w:right w:val="single" w:sz="4" w:space="0" w:color="auto"/>
            </w:tcBorders>
            <w:shd w:val="clear" w:color="auto" w:fill="auto"/>
            <w:noWrap/>
            <w:vAlign w:val="bottom"/>
            <w:hideMark/>
          </w:tcPr>
          <w:p w14:paraId="50124CA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15.505,00</w:t>
            </w:r>
          </w:p>
        </w:tc>
      </w:tr>
      <w:tr w:rsidR="00846ACC" w:rsidRPr="004974C0" w14:paraId="4B599EC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A1B2A3B"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6F2FDB98"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1A083EF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8.800,00</w:t>
            </w:r>
          </w:p>
        </w:tc>
        <w:tc>
          <w:tcPr>
            <w:tcW w:w="1843" w:type="dxa"/>
            <w:tcBorders>
              <w:top w:val="nil"/>
              <w:left w:val="nil"/>
              <w:bottom w:val="single" w:sz="4" w:space="0" w:color="auto"/>
              <w:right w:val="single" w:sz="4" w:space="0" w:color="auto"/>
            </w:tcBorders>
            <w:shd w:val="clear" w:color="auto" w:fill="auto"/>
            <w:noWrap/>
            <w:vAlign w:val="bottom"/>
            <w:hideMark/>
          </w:tcPr>
          <w:p w14:paraId="4964878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6.705,00</w:t>
            </w:r>
          </w:p>
        </w:tc>
        <w:tc>
          <w:tcPr>
            <w:tcW w:w="1559" w:type="dxa"/>
            <w:tcBorders>
              <w:top w:val="nil"/>
              <w:left w:val="nil"/>
              <w:bottom w:val="single" w:sz="4" w:space="0" w:color="auto"/>
              <w:right w:val="single" w:sz="4" w:space="0" w:color="auto"/>
            </w:tcBorders>
            <w:shd w:val="clear" w:color="auto" w:fill="auto"/>
            <w:noWrap/>
            <w:vAlign w:val="bottom"/>
            <w:hideMark/>
          </w:tcPr>
          <w:p w14:paraId="30B06BA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76,19</w:t>
            </w:r>
          </w:p>
        </w:tc>
        <w:tc>
          <w:tcPr>
            <w:tcW w:w="1803" w:type="dxa"/>
            <w:tcBorders>
              <w:top w:val="nil"/>
              <w:left w:val="nil"/>
              <w:bottom w:val="single" w:sz="4" w:space="0" w:color="auto"/>
              <w:right w:val="single" w:sz="4" w:space="0" w:color="auto"/>
            </w:tcBorders>
            <w:shd w:val="clear" w:color="auto" w:fill="auto"/>
            <w:noWrap/>
            <w:vAlign w:val="bottom"/>
            <w:hideMark/>
          </w:tcPr>
          <w:p w14:paraId="7B1E100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15.505,00</w:t>
            </w:r>
          </w:p>
        </w:tc>
      </w:tr>
      <w:tr w:rsidR="00846ACC" w:rsidRPr="004974C0" w14:paraId="3E4A9AA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482D280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A500010 Financiranje redovne djelatnosti kina</w:t>
            </w:r>
          </w:p>
        </w:tc>
        <w:tc>
          <w:tcPr>
            <w:tcW w:w="1984" w:type="dxa"/>
            <w:tcBorders>
              <w:top w:val="nil"/>
              <w:left w:val="nil"/>
              <w:bottom w:val="single" w:sz="4" w:space="0" w:color="auto"/>
              <w:right w:val="single" w:sz="4" w:space="0" w:color="auto"/>
            </w:tcBorders>
            <w:shd w:val="clear" w:color="000000" w:fill="CCCCFF"/>
            <w:noWrap/>
            <w:vAlign w:val="bottom"/>
            <w:hideMark/>
          </w:tcPr>
          <w:p w14:paraId="0764CE4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4149ABA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50.185,00</w:t>
            </w:r>
          </w:p>
        </w:tc>
        <w:tc>
          <w:tcPr>
            <w:tcW w:w="1843" w:type="dxa"/>
            <w:tcBorders>
              <w:top w:val="nil"/>
              <w:left w:val="nil"/>
              <w:bottom w:val="single" w:sz="4" w:space="0" w:color="auto"/>
              <w:right w:val="single" w:sz="4" w:space="0" w:color="auto"/>
            </w:tcBorders>
            <w:shd w:val="clear" w:color="000000" w:fill="CCCCFF"/>
            <w:noWrap/>
            <w:vAlign w:val="bottom"/>
            <w:hideMark/>
          </w:tcPr>
          <w:p w14:paraId="424AA17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18.643,00</w:t>
            </w:r>
          </w:p>
        </w:tc>
        <w:tc>
          <w:tcPr>
            <w:tcW w:w="1559" w:type="dxa"/>
            <w:tcBorders>
              <w:top w:val="nil"/>
              <w:left w:val="nil"/>
              <w:bottom w:val="single" w:sz="4" w:space="0" w:color="auto"/>
              <w:right w:val="single" w:sz="4" w:space="0" w:color="auto"/>
            </w:tcBorders>
            <w:shd w:val="clear" w:color="000000" w:fill="CCCCFF"/>
            <w:noWrap/>
            <w:vAlign w:val="bottom"/>
            <w:hideMark/>
          </w:tcPr>
          <w:p w14:paraId="4421723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37,15</w:t>
            </w:r>
          </w:p>
        </w:tc>
        <w:tc>
          <w:tcPr>
            <w:tcW w:w="1803" w:type="dxa"/>
            <w:tcBorders>
              <w:top w:val="nil"/>
              <w:left w:val="nil"/>
              <w:bottom w:val="single" w:sz="4" w:space="0" w:color="auto"/>
              <w:right w:val="single" w:sz="4" w:space="0" w:color="auto"/>
            </w:tcBorders>
            <w:shd w:val="clear" w:color="000000" w:fill="CCCCFF"/>
            <w:noWrap/>
            <w:vAlign w:val="bottom"/>
            <w:hideMark/>
          </w:tcPr>
          <w:p w14:paraId="5227072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68.828,00</w:t>
            </w:r>
          </w:p>
        </w:tc>
      </w:tr>
      <w:tr w:rsidR="00846ACC" w:rsidRPr="004974C0" w14:paraId="3465267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F1C65B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0F77F8C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88F9A1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c>
          <w:tcPr>
            <w:tcW w:w="1843" w:type="dxa"/>
            <w:tcBorders>
              <w:top w:val="nil"/>
              <w:left w:val="nil"/>
              <w:bottom w:val="single" w:sz="4" w:space="0" w:color="auto"/>
              <w:right w:val="single" w:sz="4" w:space="0" w:color="auto"/>
            </w:tcBorders>
            <w:shd w:val="clear" w:color="000000" w:fill="FFFF99"/>
            <w:noWrap/>
            <w:vAlign w:val="bottom"/>
            <w:hideMark/>
          </w:tcPr>
          <w:p w14:paraId="0817869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099298E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800DE8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r>
      <w:tr w:rsidR="00846ACC" w:rsidRPr="004974C0" w14:paraId="3233F30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780E1F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669B8E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70E7D05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0830393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D1032B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176B61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r>
      <w:tr w:rsidR="00846ACC" w:rsidRPr="004974C0" w14:paraId="0CA64DC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E005F78"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3F5B29FA"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7663C2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181F7AD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AB7700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A52918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r>
      <w:tr w:rsidR="00846ACC" w:rsidRPr="004974C0" w14:paraId="1BFC42A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3027B5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3.9. VLASTITI PRIHODI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7141E32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7B57F9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47.385,00</w:t>
            </w:r>
          </w:p>
        </w:tc>
        <w:tc>
          <w:tcPr>
            <w:tcW w:w="1843" w:type="dxa"/>
            <w:tcBorders>
              <w:top w:val="nil"/>
              <w:left w:val="nil"/>
              <w:bottom w:val="single" w:sz="4" w:space="0" w:color="auto"/>
              <w:right w:val="single" w:sz="4" w:space="0" w:color="auto"/>
            </w:tcBorders>
            <w:shd w:val="clear" w:color="000000" w:fill="FFFF99"/>
            <w:noWrap/>
            <w:vAlign w:val="bottom"/>
            <w:hideMark/>
          </w:tcPr>
          <w:p w14:paraId="58EC343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-860,00</w:t>
            </w:r>
          </w:p>
        </w:tc>
        <w:tc>
          <w:tcPr>
            <w:tcW w:w="1559" w:type="dxa"/>
            <w:tcBorders>
              <w:top w:val="nil"/>
              <w:left w:val="nil"/>
              <w:bottom w:val="single" w:sz="4" w:space="0" w:color="auto"/>
              <w:right w:val="single" w:sz="4" w:space="0" w:color="auto"/>
            </w:tcBorders>
            <w:shd w:val="clear" w:color="000000" w:fill="FFFF99"/>
            <w:noWrap/>
            <w:vAlign w:val="bottom"/>
            <w:hideMark/>
          </w:tcPr>
          <w:p w14:paraId="789B3D6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-1,81</w:t>
            </w:r>
          </w:p>
        </w:tc>
        <w:tc>
          <w:tcPr>
            <w:tcW w:w="1803" w:type="dxa"/>
            <w:tcBorders>
              <w:top w:val="nil"/>
              <w:left w:val="nil"/>
              <w:bottom w:val="single" w:sz="4" w:space="0" w:color="auto"/>
              <w:right w:val="single" w:sz="4" w:space="0" w:color="auto"/>
            </w:tcBorders>
            <w:shd w:val="clear" w:color="000000" w:fill="FFFF99"/>
            <w:noWrap/>
            <w:vAlign w:val="bottom"/>
            <w:hideMark/>
          </w:tcPr>
          <w:p w14:paraId="7690619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46.525,00</w:t>
            </w:r>
          </w:p>
        </w:tc>
      </w:tr>
      <w:tr w:rsidR="00846ACC" w:rsidRPr="004974C0" w14:paraId="7ACAD34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796036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10DF84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FFAEF3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46.455,00</w:t>
            </w:r>
          </w:p>
        </w:tc>
        <w:tc>
          <w:tcPr>
            <w:tcW w:w="1843" w:type="dxa"/>
            <w:tcBorders>
              <w:top w:val="nil"/>
              <w:left w:val="nil"/>
              <w:bottom w:val="single" w:sz="4" w:space="0" w:color="auto"/>
              <w:right w:val="single" w:sz="4" w:space="0" w:color="auto"/>
            </w:tcBorders>
            <w:shd w:val="clear" w:color="auto" w:fill="auto"/>
            <w:noWrap/>
            <w:vAlign w:val="bottom"/>
            <w:hideMark/>
          </w:tcPr>
          <w:p w14:paraId="38B91ED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-3.660,00</w:t>
            </w:r>
          </w:p>
        </w:tc>
        <w:tc>
          <w:tcPr>
            <w:tcW w:w="1559" w:type="dxa"/>
            <w:tcBorders>
              <w:top w:val="nil"/>
              <w:left w:val="nil"/>
              <w:bottom w:val="single" w:sz="4" w:space="0" w:color="auto"/>
              <w:right w:val="single" w:sz="4" w:space="0" w:color="auto"/>
            </w:tcBorders>
            <w:shd w:val="clear" w:color="auto" w:fill="auto"/>
            <w:noWrap/>
            <w:vAlign w:val="bottom"/>
            <w:hideMark/>
          </w:tcPr>
          <w:p w14:paraId="30E1584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-7,88</w:t>
            </w:r>
          </w:p>
        </w:tc>
        <w:tc>
          <w:tcPr>
            <w:tcW w:w="1803" w:type="dxa"/>
            <w:tcBorders>
              <w:top w:val="nil"/>
              <w:left w:val="nil"/>
              <w:bottom w:val="single" w:sz="4" w:space="0" w:color="auto"/>
              <w:right w:val="single" w:sz="4" w:space="0" w:color="auto"/>
            </w:tcBorders>
            <w:shd w:val="clear" w:color="auto" w:fill="auto"/>
            <w:noWrap/>
            <w:vAlign w:val="bottom"/>
            <w:hideMark/>
          </w:tcPr>
          <w:p w14:paraId="50056A4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42.795,00</w:t>
            </w:r>
          </w:p>
        </w:tc>
      </w:tr>
      <w:tr w:rsidR="00846ACC" w:rsidRPr="004974C0" w14:paraId="45E5D15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2180815"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7EFAFDF1"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7DED117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14.545,00</w:t>
            </w:r>
          </w:p>
        </w:tc>
        <w:tc>
          <w:tcPr>
            <w:tcW w:w="1843" w:type="dxa"/>
            <w:tcBorders>
              <w:top w:val="nil"/>
              <w:left w:val="nil"/>
              <w:bottom w:val="single" w:sz="4" w:space="0" w:color="auto"/>
              <w:right w:val="single" w:sz="4" w:space="0" w:color="auto"/>
            </w:tcBorders>
            <w:shd w:val="clear" w:color="auto" w:fill="auto"/>
            <w:noWrap/>
            <w:vAlign w:val="bottom"/>
            <w:hideMark/>
          </w:tcPr>
          <w:p w14:paraId="0AC3F97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-8.200,00</w:t>
            </w:r>
          </w:p>
        </w:tc>
        <w:tc>
          <w:tcPr>
            <w:tcW w:w="1559" w:type="dxa"/>
            <w:tcBorders>
              <w:top w:val="nil"/>
              <w:left w:val="nil"/>
              <w:bottom w:val="single" w:sz="4" w:space="0" w:color="auto"/>
              <w:right w:val="single" w:sz="4" w:space="0" w:color="auto"/>
            </w:tcBorders>
            <w:shd w:val="clear" w:color="auto" w:fill="auto"/>
            <w:noWrap/>
            <w:vAlign w:val="bottom"/>
            <w:hideMark/>
          </w:tcPr>
          <w:p w14:paraId="1B453D9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-56,38</w:t>
            </w:r>
          </w:p>
        </w:tc>
        <w:tc>
          <w:tcPr>
            <w:tcW w:w="1803" w:type="dxa"/>
            <w:tcBorders>
              <w:top w:val="nil"/>
              <w:left w:val="nil"/>
              <w:bottom w:val="single" w:sz="4" w:space="0" w:color="auto"/>
              <w:right w:val="single" w:sz="4" w:space="0" w:color="auto"/>
            </w:tcBorders>
            <w:shd w:val="clear" w:color="auto" w:fill="auto"/>
            <w:noWrap/>
            <w:vAlign w:val="bottom"/>
            <w:hideMark/>
          </w:tcPr>
          <w:p w14:paraId="4A58A60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6.345,00</w:t>
            </w:r>
          </w:p>
        </w:tc>
      </w:tr>
      <w:tr w:rsidR="00846ACC" w:rsidRPr="004974C0" w14:paraId="6409D21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C9C503F"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33BF345D"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948A57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31.810,00</w:t>
            </w:r>
          </w:p>
        </w:tc>
        <w:tc>
          <w:tcPr>
            <w:tcW w:w="1843" w:type="dxa"/>
            <w:tcBorders>
              <w:top w:val="nil"/>
              <w:left w:val="nil"/>
              <w:bottom w:val="single" w:sz="4" w:space="0" w:color="auto"/>
              <w:right w:val="single" w:sz="4" w:space="0" w:color="auto"/>
            </w:tcBorders>
            <w:shd w:val="clear" w:color="auto" w:fill="auto"/>
            <w:noWrap/>
            <w:vAlign w:val="bottom"/>
            <w:hideMark/>
          </w:tcPr>
          <w:p w14:paraId="030052E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4.540,00</w:t>
            </w:r>
          </w:p>
        </w:tc>
        <w:tc>
          <w:tcPr>
            <w:tcW w:w="1559" w:type="dxa"/>
            <w:tcBorders>
              <w:top w:val="nil"/>
              <w:left w:val="nil"/>
              <w:bottom w:val="single" w:sz="4" w:space="0" w:color="auto"/>
              <w:right w:val="single" w:sz="4" w:space="0" w:color="auto"/>
            </w:tcBorders>
            <w:shd w:val="clear" w:color="auto" w:fill="auto"/>
            <w:noWrap/>
            <w:vAlign w:val="bottom"/>
            <w:hideMark/>
          </w:tcPr>
          <w:p w14:paraId="3E78E96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14,27</w:t>
            </w:r>
          </w:p>
        </w:tc>
        <w:tc>
          <w:tcPr>
            <w:tcW w:w="1803" w:type="dxa"/>
            <w:tcBorders>
              <w:top w:val="nil"/>
              <w:left w:val="nil"/>
              <w:bottom w:val="single" w:sz="4" w:space="0" w:color="auto"/>
              <w:right w:val="single" w:sz="4" w:space="0" w:color="auto"/>
            </w:tcBorders>
            <w:shd w:val="clear" w:color="auto" w:fill="auto"/>
            <w:noWrap/>
            <w:vAlign w:val="bottom"/>
            <w:hideMark/>
          </w:tcPr>
          <w:p w14:paraId="3F9F79A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36.350,00</w:t>
            </w:r>
          </w:p>
        </w:tc>
      </w:tr>
      <w:tr w:rsidR="00846ACC" w:rsidRPr="004974C0" w14:paraId="6A52EBC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7CE2D9F" w14:textId="77777777" w:rsidR="004974C0" w:rsidRPr="004974C0" w:rsidRDefault="004974C0" w:rsidP="004974C0">
            <w:pPr>
              <w:rPr>
                <w:rFonts w:ascii="Arial" w:hAnsi="Arial" w:cs="Arial"/>
                <w:sz w:val="20"/>
                <w:szCs w:val="20"/>
              </w:rPr>
            </w:pPr>
            <w:r w:rsidRPr="004974C0">
              <w:rPr>
                <w:rFonts w:ascii="Arial" w:hAnsi="Arial" w:cs="Arial"/>
                <w:sz w:val="20"/>
                <w:szCs w:val="20"/>
              </w:rPr>
              <w:t>34</w:t>
            </w:r>
          </w:p>
        </w:tc>
        <w:tc>
          <w:tcPr>
            <w:tcW w:w="1984" w:type="dxa"/>
            <w:tcBorders>
              <w:top w:val="nil"/>
              <w:left w:val="nil"/>
              <w:bottom w:val="single" w:sz="4" w:space="0" w:color="auto"/>
              <w:right w:val="single" w:sz="4" w:space="0" w:color="auto"/>
            </w:tcBorders>
            <w:shd w:val="clear" w:color="auto" w:fill="auto"/>
            <w:noWrap/>
            <w:vAlign w:val="bottom"/>
            <w:hideMark/>
          </w:tcPr>
          <w:p w14:paraId="6BB92877" w14:textId="77777777" w:rsidR="004974C0" w:rsidRPr="004974C0" w:rsidRDefault="004974C0" w:rsidP="004974C0">
            <w:pPr>
              <w:rPr>
                <w:rFonts w:ascii="Arial" w:hAnsi="Arial" w:cs="Arial"/>
                <w:sz w:val="20"/>
                <w:szCs w:val="20"/>
              </w:rPr>
            </w:pPr>
            <w:r w:rsidRPr="004974C0">
              <w:rPr>
                <w:rFonts w:ascii="Arial" w:hAnsi="Arial" w:cs="Arial"/>
                <w:sz w:val="20"/>
                <w:szCs w:val="20"/>
              </w:rPr>
              <w:t>Financijski rashodi</w:t>
            </w:r>
          </w:p>
        </w:tc>
        <w:tc>
          <w:tcPr>
            <w:tcW w:w="1843" w:type="dxa"/>
            <w:tcBorders>
              <w:top w:val="nil"/>
              <w:left w:val="nil"/>
              <w:bottom w:val="single" w:sz="4" w:space="0" w:color="auto"/>
              <w:right w:val="single" w:sz="4" w:space="0" w:color="auto"/>
            </w:tcBorders>
            <w:shd w:val="clear" w:color="auto" w:fill="auto"/>
            <w:noWrap/>
            <w:vAlign w:val="bottom"/>
            <w:hideMark/>
          </w:tcPr>
          <w:p w14:paraId="3952592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43" w:type="dxa"/>
            <w:tcBorders>
              <w:top w:val="nil"/>
              <w:left w:val="nil"/>
              <w:bottom w:val="single" w:sz="4" w:space="0" w:color="auto"/>
              <w:right w:val="single" w:sz="4" w:space="0" w:color="auto"/>
            </w:tcBorders>
            <w:shd w:val="clear" w:color="auto" w:fill="auto"/>
            <w:noWrap/>
            <w:vAlign w:val="bottom"/>
            <w:hideMark/>
          </w:tcPr>
          <w:p w14:paraId="2733648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9A407F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4D3BEF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r>
      <w:tr w:rsidR="00846ACC" w:rsidRPr="004974C0" w14:paraId="5CC9A53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A2BA1B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46E77EF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39FF686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930,00</w:t>
            </w:r>
          </w:p>
        </w:tc>
        <w:tc>
          <w:tcPr>
            <w:tcW w:w="1843" w:type="dxa"/>
            <w:tcBorders>
              <w:top w:val="nil"/>
              <w:left w:val="nil"/>
              <w:bottom w:val="single" w:sz="4" w:space="0" w:color="auto"/>
              <w:right w:val="single" w:sz="4" w:space="0" w:color="auto"/>
            </w:tcBorders>
            <w:shd w:val="clear" w:color="auto" w:fill="auto"/>
            <w:noWrap/>
            <w:vAlign w:val="bottom"/>
            <w:hideMark/>
          </w:tcPr>
          <w:p w14:paraId="165535F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2.800,00</w:t>
            </w:r>
          </w:p>
        </w:tc>
        <w:tc>
          <w:tcPr>
            <w:tcW w:w="1559" w:type="dxa"/>
            <w:tcBorders>
              <w:top w:val="nil"/>
              <w:left w:val="nil"/>
              <w:bottom w:val="single" w:sz="4" w:space="0" w:color="auto"/>
              <w:right w:val="single" w:sz="4" w:space="0" w:color="auto"/>
            </w:tcBorders>
            <w:shd w:val="clear" w:color="auto" w:fill="auto"/>
            <w:noWrap/>
            <w:vAlign w:val="bottom"/>
            <w:hideMark/>
          </w:tcPr>
          <w:p w14:paraId="5E04634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301,08</w:t>
            </w:r>
          </w:p>
        </w:tc>
        <w:tc>
          <w:tcPr>
            <w:tcW w:w="1803" w:type="dxa"/>
            <w:tcBorders>
              <w:top w:val="nil"/>
              <w:left w:val="nil"/>
              <w:bottom w:val="single" w:sz="4" w:space="0" w:color="auto"/>
              <w:right w:val="single" w:sz="4" w:space="0" w:color="auto"/>
            </w:tcBorders>
            <w:shd w:val="clear" w:color="auto" w:fill="auto"/>
            <w:noWrap/>
            <w:vAlign w:val="bottom"/>
            <w:hideMark/>
          </w:tcPr>
          <w:p w14:paraId="6961821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3.730,00</w:t>
            </w:r>
          </w:p>
        </w:tc>
      </w:tr>
      <w:tr w:rsidR="00846ACC" w:rsidRPr="004974C0" w14:paraId="3A6161E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ED52E64"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13617744"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1D29236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930,00</w:t>
            </w:r>
          </w:p>
        </w:tc>
        <w:tc>
          <w:tcPr>
            <w:tcW w:w="1843" w:type="dxa"/>
            <w:tcBorders>
              <w:top w:val="nil"/>
              <w:left w:val="nil"/>
              <w:bottom w:val="single" w:sz="4" w:space="0" w:color="auto"/>
              <w:right w:val="single" w:sz="4" w:space="0" w:color="auto"/>
            </w:tcBorders>
            <w:shd w:val="clear" w:color="auto" w:fill="auto"/>
            <w:noWrap/>
            <w:vAlign w:val="bottom"/>
            <w:hideMark/>
          </w:tcPr>
          <w:p w14:paraId="4E3EF22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2.800,00</w:t>
            </w:r>
          </w:p>
        </w:tc>
        <w:tc>
          <w:tcPr>
            <w:tcW w:w="1559" w:type="dxa"/>
            <w:tcBorders>
              <w:top w:val="nil"/>
              <w:left w:val="nil"/>
              <w:bottom w:val="single" w:sz="4" w:space="0" w:color="auto"/>
              <w:right w:val="single" w:sz="4" w:space="0" w:color="auto"/>
            </w:tcBorders>
            <w:shd w:val="clear" w:color="auto" w:fill="auto"/>
            <w:noWrap/>
            <w:vAlign w:val="bottom"/>
            <w:hideMark/>
          </w:tcPr>
          <w:p w14:paraId="5FDC27D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301,08</w:t>
            </w:r>
          </w:p>
        </w:tc>
        <w:tc>
          <w:tcPr>
            <w:tcW w:w="1803" w:type="dxa"/>
            <w:tcBorders>
              <w:top w:val="nil"/>
              <w:left w:val="nil"/>
              <w:bottom w:val="single" w:sz="4" w:space="0" w:color="auto"/>
              <w:right w:val="single" w:sz="4" w:space="0" w:color="auto"/>
            </w:tcBorders>
            <w:shd w:val="clear" w:color="auto" w:fill="auto"/>
            <w:noWrap/>
            <w:vAlign w:val="bottom"/>
            <w:hideMark/>
          </w:tcPr>
          <w:p w14:paraId="1BF252D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3.730,00</w:t>
            </w:r>
          </w:p>
        </w:tc>
      </w:tr>
      <w:tr w:rsidR="00846ACC" w:rsidRPr="004974C0" w14:paraId="043DA8C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4F63D5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359C7C6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F5CC1D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c>
          <w:tcPr>
            <w:tcW w:w="1843" w:type="dxa"/>
            <w:tcBorders>
              <w:top w:val="nil"/>
              <w:left w:val="nil"/>
              <w:bottom w:val="single" w:sz="4" w:space="0" w:color="auto"/>
              <w:right w:val="single" w:sz="4" w:space="0" w:color="auto"/>
            </w:tcBorders>
            <w:shd w:val="clear" w:color="000000" w:fill="FFFF99"/>
            <w:noWrap/>
            <w:vAlign w:val="bottom"/>
            <w:hideMark/>
          </w:tcPr>
          <w:p w14:paraId="3486750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19.003,00</w:t>
            </w:r>
          </w:p>
        </w:tc>
        <w:tc>
          <w:tcPr>
            <w:tcW w:w="1559" w:type="dxa"/>
            <w:tcBorders>
              <w:top w:val="nil"/>
              <w:left w:val="nil"/>
              <w:bottom w:val="single" w:sz="4" w:space="0" w:color="auto"/>
              <w:right w:val="single" w:sz="4" w:space="0" w:color="auto"/>
            </w:tcBorders>
            <w:shd w:val="clear" w:color="000000" w:fill="FFFF99"/>
            <w:noWrap/>
            <w:vAlign w:val="bottom"/>
            <w:hideMark/>
          </w:tcPr>
          <w:p w14:paraId="254498C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1.900,30</w:t>
            </w:r>
          </w:p>
        </w:tc>
        <w:tc>
          <w:tcPr>
            <w:tcW w:w="1803" w:type="dxa"/>
            <w:tcBorders>
              <w:top w:val="nil"/>
              <w:left w:val="nil"/>
              <w:bottom w:val="single" w:sz="4" w:space="0" w:color="auto"/>
              <w:right w:val="single" w:sz="4" w:space="0" w:color="auto"/>
            </w:tcBorders>
            <w:shd w:val="clear" w:color="000000" w:fill="FFFF99"/>
            <w:noWrap/>
            <w:vAlign w:val="bottom"/>
            <w:hideMark/>
          </w:tcPr>
          <w:p w14:paraId="53A5370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20.003,00</w:t>
            </w:r>
          </w:p>
        </w:tc>
      </w:tr>
      <w:tr w:rsidR="00846ACC" w:rsidRPr="004974C0" w14:paraId="1CB8AD0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C80462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700F8BD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1F75DE1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07D566A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1.760,00</w:t>
            </w:r>
          </w:p>
        </w:tc>
        <w:tc>
          <w:tcPr>
            <w:tcW w:w="1559" w:type="dxa"/>
            <w:tcBorders>
              <w:top w:val="nil"/>
              <w:left w:val="nil"/>
              <w:bottom w:val="single" w:sz="4" w:space="0" w:color="auto"/>
              <w:right w:val="single" w:sz="4" w:space="0" w:color="auto"/>
            </w:tcBorders>
            <w:shd w:val="clear" w:color="auto" w:fill="auto"/>
            <w:noWrap/>
            <w:vAlign w:val="bottom"/>
            <w:hideMark/>
          </w:tcPr>
          <w:p w14:paraId="20D0EAA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176,00</w:t>
            </w:r>
          </w:p>
        </w:tc>
        <w:tc>
          <w:tcPr>
            <w:tcW w:w="1803" w:type="dxa"/>
            <w:tcBorders>
              <w:top w:val="nil"/>
              <w:left w:val="nil"/>
              <w:bottom w:val="single" w:sz="4" w:space="0" w:color="auto"/>
              <w:right w:val="single" w:sz="4" w:space="0" w:color="auto"/>
            </w:tcBorders>
            <w:shd w:val="clear" w:color="auto" w:fill="auto"/>
            <w:noWrap/>
            <w:vAlign w:val="bottom"/>
            <w:hideMark/>
          </w:tcPr>
          <w:p w14:paraId="09C66FB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2.760,00</w:t>
            </w:r>
          </w:p>
        </w:tc>
      </w:tr>
      <w:tr w:rsidR="00846ACC" w:rsidRPr="004974C0" w14:paraId="17CC063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3D2AE72"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747B4180"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78CAF8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2B36BAC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1.760,00</w:t>
            </w:r>
          </w:p>
        </w:tc>
        <w:tc>
          <w:tcPr>
            <w:tcW w:w="1559" w:type="dxa"/>
            <w:tcBorders>
              <w:top w:val="nil"/>
              <w:left w:val="nil"/>
              <w:bottom w:val="single" w:sz="4" w:space="0" w:color="auto"/>
              <w:right w:val="single" w:sz="4" w:space="0" w:color="auto"/>
            </w:tcBorders>
            <w:shd w:val="clear" w:color="auto" w:fill="auto"/>
            <w:noWrap/>
            <w:vAlign w:val="bottom"/>
            <w:hideMark/>
          </w:tcPr>
          <w:p w14:paraId="6DA7BA2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176,00</w:t>
            </w:r>
          </w:p>
        </w:tc>
        <w:tc>
          <w:tcPr>
            <w:tcW w:w="1803" w:type="dxa"/>
            <w:tcBorders>
              <w:top w:val="nil"/>
              <w:left w:val="nil"/>
              <w:bottom w:val="single" w:sz="4" w:space="0" w:color="auto"/>
              <w:right w:val="single" w:sz="4" w:space="0" w:color="auto"/>
            </w:tcBorders>
            <w:shd w:val="clear" w:color="auto" w:fill="auto"/>
            <w:noWrap/>
            <w:vAlign w:val="bottom"/>
            <w:hideMark/>
          </w:tcPr>
          <w:p w14:paraId="569E73C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2.760,00</w:t>
            </w:r>
          </w:p>
        </w:tc>
      </w:tr>
      <w:tr w:rsidR="00846ACC" w:rsidRPr="004974C0" w14:paraId="1534F70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9162D1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32CB9F8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48B4847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049C0E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17.243,00</w:t>
            </w:r>
          </w:p>
        </w:tc>
        <w:tc>
          <w:tcPr>
            <w:tcW w:w="1559" w:type="dxa"/>
            <w:tcBorders>
              <w:top w:val="nil"/>
              <w:left w:val="nil"/>
              <w:bottom w:val="single" w:sz="4" w:space="0" w:color="auto"/>
              <w:right w:val="single" w:sz="4" w:space="0" w:color="auto"/>
            </w:tcBorders>
            <w:shd w:val="clear" w:color="auto" w:fill="auto"/>
            <w:noWrap/>
            <w:vAlign w:val="bottom"/>
            <w:hideMark/>
          </w:tcPr>
          <w:p w14:paraId="387B818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752485F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17.243,00</w:t>
            </w:r>
          </w:p>
        </w:tc>
      </w:tr>
      <w:tr w:rsidR="00846ACC" w:rsidRPr="004974C0" w14:paraId="278C8DF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BF4AEEA"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64E720C5"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11E116A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32E225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17.243,00</w:t>
            </w:r>
          </w:p>
        </w:tc>
        <w:tc>
          <w:tcPr>
            <w:tcW w:w="1559" w:type="dxa"/>
            <w:tcBorders>
              <w:top w:val="nil"/>
              <w:left w:val="nil"/>
              <w:bottom w:val="single" w:sz="4" w:space="0" w:color="auto"/>
              <w:right w:val="single" w:sz="4" w:space="0" w:color="auto"/>
            </w:tcBorders>
            <w:shd w:val="clear" w:color="auto" w:fill="auto"/>
            <w:noWrap/>
            <w:vAlign w:val="bottom"/>
            <w:hideMark/>
          </w:tcPr>
          <w:p w14:paraId="1BE917A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583C977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17.243,00</w:t>
            </w:r>
          </w:p>
        </w:tc>
      </w:tr>
      <w:tr w:rsidR="00846ACC" w:rsidRPr="004974C0" w14:paraId="36684D4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630459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6.9. 6.DONACIJE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14EA25B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5B5CD5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800,00</w:t>
            </w:r>
          </w:p>
        </w:tc>
        <w:tc>
          <w:tcPr>
            <w:tcW w:w="1843" w:type="dxa"/>
            <w:tcBorders>
              <w:top w:val="nil"/>
              <w:left w:val="nil"/>
              <w:bottom w:val="single" w:sz="4" w:space="0" w:color="auto"/>
              <w:right w:val="single" w:sz="4" w:space="0" w:color="auto"/>
            </w:tcBorders>
            <w:shd w:val="clear" w:color="000000" w:fill="FFFF99"/>
            <w:noWrap/>
            <w:vAlign w:val="bottom"/>
            <w:hideMark/>
          </w:tcPr>
          <w:p w14:paraId="5A93B07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w:t>
            </w:r>
          </w:p>
        </w:tc>
        <w:tc>
          <w:tcPr>
            <w:tcW w:w="1559" w:type="dxa"/>
            <w:tcBorders>
              <w:top w:val="nil"/>
              <w:left w:val="nil"/>
              <w:bottom w:val="single" w:sz="4" w:space="0" w:color="auto"/>
              <w:right w:val="single" w:sz="4" w:space="0" w:color="auto"/>
            </w:tcBorders>
            <w:shd w:val="clear" w:color="000000" w:fill="FFFF99"/>
            <w:noWrap/>
            <w:vAlign w:val="bottom"/>
            <w:hideMark/>
          </w:tcPr>
          <w:p w14:paraId="6EE4A21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62,50</w:t>
            </w:r>
          </w:p>
        </w:tc>
        <w:tc>
          <w:tcPr>
            <w:tcW w:w="1803" w:type="dxa"/>
            <w:tcBorders>
              <w:top w:val="nil"/>
              <w:left w:val="nil"/>
              <w:bottom w:val="single" w:sz="4" w:space="0" w:color="auto"/>
              <w:right w:val="single" w:sz="4" w:space="0" w:color="auto"/>
            </w:tcBorders>
            <w:shd w:val="clear" w:color="000000" w:fill="FFFF99"/>
            <w:noWrap/>
            <w:vAlign w:val="bottom"/>
            <w:hideMark/>
          </w:tcPr>
          <w:p w14:paraId="542BFBD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w:t>
            </w:r>
          </w:p>
        </w:tc>
      </w:tr>
      <w:tr w:rsidR="00846ACC" w:rsidRPr="004974C0" w14:paraId="0382452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A697A2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B80107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1B03BCE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800,00</w:t>
            </w:r>
          </w:p>
        </w:tc>
        <w:tc>
          <w:tcPr>
            <w:tcW w:w="1843" w:type="dxa"/>
            <w:tcBorders>
              <w:top w:val="nil"/>
              <w:left w:val="nil"/>
              <w:bottom w:val="single" w:sz="4" w:space="0" w:color="auto"/>
              <w:right w:val="single" w:sz="4" w:space="0" w:color="auto"/>
            </w:tcBorders>
            <w:shd w:val="clear" w:color="auto" w:fill="auto"/>
            <w:noWrap/>
            <w:vAlign w:val="bottom"/>
            <w:hideMark/>
          </w:tcPr>
          <w:p w14:paraId="7973D64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w:t>
            </w:r>
          </w:p>
        </w:tc>
        <w:tc>
          <w:tcPr>
            <w:tcW w:w="1559" w:type="dxa"/>
            <w:tcBorders>
              <w:top w:val="nil"/>
              <w:left w:val="nil"/>
              <w:bottom w:val="single" w:sz="4" w:space="0" w:color="auto"/>
              <w:right w:val="single" w:sz="4" w:space="0" w:color="auto"/>
            </w:tcBorders>
            <w:shd w:val="clear" w:color="auto" w:fill="auto"/>
            <w:noWrap/>
            <w:vAlign w:val="bottom"/>
            <w:hideMark/>
          </w:tcPr>
          <w:p w14:paraId="6BF0E14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62,50</w:t>
            </w:r>
          </w:p>
        </w:tc>
        <w:tc>
          <w:tcPr>
            <w:tcW w:w="1803" w:type="dxa"/>
            <w:tcBorders>
              <w:top w:val="nil"/>
              <w:left w:val="nil"/>
              <w:bottom w:val="single" w:sz="4" w:space="0" w:color="auto"/>
              <w:right w:val="single" w:sz="4" w:space="0" w:color="auto"/>
            </w:tcBorders>
            <w:shd w:val="clear" w:color="auto" w:fill="auto"/>
            <w:noWrap/>
            <w:vAlign w:val="bottom"/>
            <w:hideMark/>
          </w:tcPr>
          <w:p w14:paraId="130009B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1.300,00</w:t>
            </w:r>
          </w:p>
        </w:tc>
      </w:tr>
      <w:tr w:rsidR="00846ACC" w:rsidRPr="004974C0" w14:paraId="106A1A6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7A359BC"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0B64B1B"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C6BFB1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800,00</w:t>
            </w:r>
          </w:p>
        </w:tc>
        <w:tc>
          <w:tcPr>
            <w:tcW w:w="1843" w:type="dxa"/>
            <w:tcBorders>
              <w:top w:val="nil"/>
              <w:left w:val="nil"/>
              <w:bottom w:val="single" w:sz="4" w:space="0" w:color="auto"/>
              <w:right w:val="single" w:sz="4" w:space="0" w:color="auto"/>
            </w:tcBorders>
            <w:shd w:val="clear" w:color="auto" w:fill="auto"/>
            <w:noWrap/>
            <w:vAlign w:val="bottom"/>
            <w:hideMark/>
          </w:tcPr>
          <w:p w14:paraId="158B6DC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w:t>
            </w:r>
          </w:p>
        </w:tc>
        <w:tc>
          <w:tcPr>
            <w:tcW w:w="1559" w:type="dxa"/>
            <w:tcBorders>
              <w:top w:val="nil"/>
              <w:left w:val="nil"/>
              <w:bottom w:val="single" w:sz="4" w:space="0" w:color="auto"/>
              <w:right w:val="single" w:sz="4" w:space="0" w:color="auto"/>
            </w:tcBorders>
            <w:shd w:val="clear" w:color="auto" w:fill="auto"/>
            <w:noWrap/>
            <w:vAlign w:val="bottom"/>
            <w:hideMark/>
          </w:tcPr>
          <w:p w14:paraId="20FE4FE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62,50</w:t>
            </w:r>
          </w:p>
        </w:tc>
        <w:tc>
          <w:tcPr>
            <w:tcW w:w="1803" w:type="dxa"/>
            <w:tcBorders>
              <w:top w:val="nil"/>
              <w:left w:val="nil"/>
              <w:bottom w:val="single" w:sz="4" w:space="0" w:color="auto"/>
              <w:right w:val="single" w:sz="4" w:space="0" w:color="auto"/>
            </w:tcBorders>
            <w:shd w:val="clear" w:color="auto" w:fill="auto"/>
            <w:noWrap/>
            <w:vAlign w:val="bottom"/>
            <w:hideMark/>
          </w:tcPr>
          <w:p w14:paraId="574BC24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1.300,00</w:t>
            </w:r>
          </w:p>
        </w:tc>
      </w:tr>
      <w:tr w:rsidR="00846ACC" w:rsidRPr="004974C0" w14:paraId="4DE8567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5184BD9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A500011 Financiranje redovne djelatnosti obrazovanja odraslih</w:t>
            </w:r>
          </w:p>
        </w:tc>
        <w:tc>
          <w:tcPr>
            <w:tcW w:w="1984" w:type="dxa"/>
            <w:tcBorders>
              <w:top w:val="nil"/>
              <w:left w:val="nil"/>
              <w:bottom w:val="single" w:sz="4" w:space="0" w:color="auto"/>
              <w:right w:val="single" w:sz="4" w:space="0" w:color="auto"/>
            </w:tcBorders>
            <w:shd w:val="clear" w:color="000000" w:fill="CCCCFF"/>
            <w:noWrap/>
            <w:vAlign w:val="bottom"/>
            <w:hideMark/>
          </w:tcPr>
          <w:p w14:paraId="6C6AE6B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C2284B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42.694,00</w:t>
            </w:r>
          </w:p>
        </w:tc>
        <w:tc>
          <w:tcPr>
            <w:tcW w:w="1843" w:type="dxa"/>
            <w:tcBorders>
              <w:top w:val="nil"/>
              <w:left w:val="nil"/>
              <w:bottom w:val="single" w:sz="4" w:space="0" w:color="auto"/>
              <w:right w:val="single" w:sz="4" w:space="0" w:color="auto"/>
            </w:tcBorders>
            <w:shd w:val="clear" w:color="000000" w:fill="CCCCFF"/>
            <w:noWrap/>
            <w:vAlign w:val="bottom"/>
            <w:hideMark/>
          </w:tcPr>
          <w:p w14:paraId="3349AF1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25.250,00</w:t>
            </w:r>
          </w:p>
        </w:tc>
        <w:tc>
          <w:tcPr>
            <w:tcW w:w="1559" w:type="dxa"/>
            <w:tcBorders>
              <w:top w:val="nil"/>
              <w:left w:val="nil"/>
              <w:bottom w:val="single" w:sz="4" w:space="0" w:color="auto"/>
              <w:right w:val="single" w:sz="4" w:space="0" w:color="auto"/>
            </w:tcBorders>
            <w:shd w:val="clear" w:color="000000" w:fill="CCCCFF"/>
            <w:noWrap/>
            <w:vAlign w:val="bottom"/>
            <w:hideMark/>
          </w:tcPr>
          <w:p w14:paraId="2CCF5DC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59,14</w:t>
            </w:r>
          </w:p>
        </w:tc>
        <w:tc>
          <w:tcPr>
            <w:tcW w:w="1803" w:type="dxa"/>
            <w:tcBorders>
              <w:top w:val="nil"/>
              <w:left w:val="nil"/>
              <w:bottom w:val="single" w:sz="4" w:space="0" w:color="auto"/>
              <w:right w:val="single" w:sz="4" w:space="0" w:color="auto"/>
            </w:tcBorders>
            <w:shd w:val="clear" w:color="000000" w:fill="CCCCFF"/>
            <w:noWrap/>
            <w:vAlign w:val="bottom"/>
            <w:hideMark/>
          </w:tcPr>
          <w:p w14:paraId="2A4C586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67.944,00</w:t>
            </w:r>
          </w:p>
        </w:tc>
      </w:tr>
      <w:tr w:rsidR="00846ACC" w:rsidRPr="004974C0" w14:paraId="1777EEE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549CE0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3.9. VLASTITI PRIHODI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5B7292C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574BB4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42.694,00</w:t>
            </w:r>
          </w:p>
        </w:tc>
        <w:tc>
          <w:tcPr>
            <w:tcW w:w="1843" w:type="dxa"/>
            <w:tcBorders>
              <w:top w:val="nil"/>
              <w:left w:val="nil"/>
              <w:bottom w:val="single" w:sz="4" w:space="0" w:color="auto"/>
              <w:right w:val="single" w:sz="4" w:space="0" w:color="auto"/>
            </w:tcBorders>
            <w:shd w:val="clear" w:color="000000" w:fill="FFFF99"/>
            <w:noWrap/>
            <w:vAlign w:val="bottom"/>
            <w:hideMark/>
          </w:tcPr>
          <w:p w14:paraId="7A41390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25.250,00</w:t>
            </w:r>
          </w:p>
        </w:tc>
        <w:tc>
          <w:tcPr>
            <w:tcW w:w="1559" w:type="dxa"/>
            <w:tcBorders>
              <w:top w:val="nil"/>
              <w:left w:val="nil"/>
              <w:bottom w:val="single" w:sz="4" w:space="0" w:color="auto"/>
              <w:right w:val="single" w:sz="4" w:space="0" w:color="auto"/>
            </w:tcBorders>
            <w:shd w:val="clear" w:color="000000" w:fill="FFFF99"/>
            <w:noWrap/>
            <w:vAlign w:val="bottom"/>
            <w:hideMark/>
          </w:tcPr>
          <w:p w14:paraId="3334CDA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59,14</w:t>
            </w:r>
          </w:p>
        </w:tc>
        <w:tc>
          <w:tcPr>
            <w:tcW w:w="1803" w:type="dxa"/>
            <w:tcBorders>
              <w:top w:val="nil"/>
              <w:left w:val="nil"/>
              <w:bottom w:val="single" w:sz="4" w:space="0" w:color="auto"/>
              <w:right w:val="single" w:sz="4" w:space="0" w:color="auto"/>
            </w:tcBorders>
            <w:shd w:val="clear" w:color="000000" w:fill="FFFF99"/>
            <w:noWrap/>
            <w:vAlign w:val="bottom"/>
            <w:hideMark/>
          </w:tcPr>
          <w:p w14:paraId="0BC1737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67.944,00</w:t>
            </w:r>
          </w:p>
        </w:tc>
      </w:tr>
      <w:tr w:rsidR="00846ACC" w:rsidRPr="004974C0" w14:paraId="0E32A69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F15F19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7E2BCA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106BF12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41.694,00</w:t>
            </w:r>
          </w:p>
        </w:tc>
        <w:tc>
          <w:tcPr>
            <w:tcW w:w="1843" w:type="dxa"/>
            <w:tcBorders>
              <w:top w:val="nil"/>
              <w:left w:val="nil"/>
              <w:bottom w:val="single" w:sz="4" w:space="0" w:color="auto"/>
              <w:right w:val="single" w:sz="4" w:space="0" w:color="auto"/>
            </w:tcBorders>
            <w:shd w:val="clear" w:color="auto" w:fill="auto"/>
            <w:noWrap/>
            <w:vAlign w:val="bottom"/>
            <w:hideMark/>
          </w:tcPr>
          <w:p w14:paraId="180FAF5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25.250,00</w:t>
            </w:r>
          </w:p>
        </w:tc>
        <w:tc>
          <w:tcPr>
            <w:tcW w:w="1559" w:type="dxa"/>
            <w:tcBorders>
              <w:top w:val="nil"/>
              <w:left w:val="nil"/>
              <w:bottom w:val="single" w:sz="4" w:space="0" w:color="auto"/>
              <w:right w:val="single" w:sz="4" w:space="0" w:color="auto"/>
            </w:tcBorders>
            <w:shd w:val="clear" w:color="auto" w:fill="auto"/>
            <w:noWrap/>
            <w:vAlign w:val="bottom"/>
            <w:hideMark/>
          </w:tcPr>
          <w:p w14:paraId="2CC5DF8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60,56</w:t>
            </w:r>
          </w:p>
        </w:tc>
        <w:tc>
          <w:tcPr>
            <w:tcW w:w="1803" w:type="dxa"/>
            <w:tcBorders>
              <w:top w:val="nil"/>
              <w:left w:val="nil"/>
              <w:bottom w:val="single" w:sz="4" w:space="0" w:color="auto"/>
              <w:right w:val="single" w:sz="4" w:space="0" w:color="auto"/>
            </w:tcBorders>
            <w:shd w:val="clear" w:color="auto" w:fill="auto"/>
            <w:noWrap/>
            <w:vAlign w:val="bottom"/>
            <w:hideMark/>
          </w:tcPr>
          <w:p w14:paraId="3E1D898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66.944,00</w:t>
            </w:r>
          </w:p>
        </w:tc>
      </w:tr>
      <w:tr w:rsidR="00846ACC" w:rsidRPr="004974C0" w14:paraId="02D39EC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82DA374"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19E4869D"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6F0CF6F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4.122,00</w:t>
            </w:r>
          </w:p>
        </w:tc>
        <w:tc>
          <w:tcPr>
            <w:tcW w:w="1843" w:type="dxa"/>
            <w:tcBorders>
              <w:top w:val="nil"/>
              <w:left w:val="nil"/>
              <w:bottom w:val="single" w:sz="4" w:space="0" w:color="auto"/>
              <w:right w:val="single" w:sz="4" w:space="0" w:color="auto"/>
            </w:tcBorders>
            <w:shd w:val="clear" w:color="auto" w:fill="auto"/>
            <w:noWrap/>
            <w:vAlign w:val="bottom"/>
            <w:hideMark/>
          </w:tcPr>
          <w:p w14:paraId="5F6B824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1.250,00</w:t>
            </w:r>
          </w:p>
        </w:tc>
        <w:tc>
          <w:tcPr>
            <w:tcW w:w="1559" w:type="dxa"/>
            <w:tcBorders>
              <w:top w:val="nil"/>
              <w:left w:val="nil"/>
              <w:bottom w:val="single" w:sz="4" w:space="0" w:color="auto"/>
              <w:right w:val="single" w:sz="4" w:space="0" w:color="auto"/>
            </w:tcBorders>
            <w:shd w:val="clear" w:color="auto" w:fill="auto"/>
            <w:noWrap/>
            <w:vAlign w:val="bottom"/>
            <w:hideMark/>
          </w:tcPr>
          <w:p w14:paraId="3A72A7B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30,33</w:t>
            </w:r>
          </w:p>
        </w:tc>
        <w:tc>
          <w:tcPr>
            <w:tcW w:w="1803" w:type="dxa"/>
            <w:tcBorders>
              <w:top w:val="nil"/>
              <w:left w:val="nil"/>
              <w:bottom w:val="single" w:sz="4" w:space="0" w:color="auto"/>
              <w:right w:val="single" w:sz="4" w:space="0" w:color="auto"/>
            </w:tcBorders>
            <w:shd w:val="clear" w:color="auto" w:fill="auto"/>
            <w:noWrap/>
            <w:vAlign w:val="bottom"/>
            <w:hideMark/>
          </w:tcPr>
          <w:p w14:paraId="5B98752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5.372,00</w:t>
            </w:r>
          </w:p>
        </w:tc>
      </w:tr>
      <w:tr w:rsidR="00846ACC" w:rsidRPr="004974C0" w14:paraId="79C5648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B7E2B6E"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0254E239"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D77653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37.472,00</w:t>
            </w:r>
          </w:p>
        </w:tc>
        <w:tc>
          <w:tcPr>
            <w:tcW w:w="1843" w:type="dxa"/>
            <w:tcBorders>
              <w:top w:val="nil"/>
              <w:left w:val="nil"/>
              <w:bottom w:val="single" w:sz="4" w:space="0" w:color="auto"/>
              <w:right w:val="single" w:sz="4" w:space="0" w:color="auto"/>
            </w:tcBorders>
            <w:shd w:val="clear" w:color="auto" w:fill="auto"/>
            <w:noWrap/>
            <w:vAlign w:val="bottom"/>
            <w:hideMark/>
          </w:tcPr>
          <w:p w14:paraId="3872A24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23.920,00</w:t>
            </w:r>
          </w:p>
        </w:tc>
        <w:tc>
          <w:tcPr>
            <w:tcW w:w="1559" w:type="dxa"/>
            <w:tcBorders>
              <w:top w:val="nil"/>
              <w:left w:val="nil"/>
              <w:bottom w:val="single" w:sz="4" w:space="0" w:color="auto"/>
              <w:right w:val="single" w:sz="4" w:space="0" w:color="auto"/>
            </w:tcBorders>
            <w:shd w:val="clear" w:color="auto" w:fill="auto"/>
            <w:noWrap/>
            <w:vAlign w:val="bottom"/>
            <w:hideMark/>
          </w:tcPr>
          <w:p w14:paraId="20C7BF8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63,83</w:t>
            </w:r>
          </w:p>
        </w:tc>
        <w:tc>
          <w:tcPr>
            <w:tcW w:w="1803" w:type="dxa"/>
            <w:tcBorders>
              <w:top w:val="nil"/>
              <w:left w:val="nil"/>
              <w:bottom w:val="single" w:sz="4" w:space="0" w:color="auto"/>
              <w:right w:val="single" w:sz="4" w:space="0" w:color="auto"/>
            </w:tcBorders>
            <w:shd w:val="clear" w:color="auto" w:fill="auto"/>
            <w:noWrap/>
            <w:vAlign w:val="bottom"/>
            <w:hideMark/>
          </w:tcPr>
          <w:p w14:paraId="2A0AC21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61.392,00</w:t>
            </w:r>
          </w:p>
        </w:tc>
      </w:tr>
      <w:tr w:rsidR="00846ACC" w:rsidRPr="004974C0" w14:paraId="00066AE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4AE0C93" w14:textId="77777777" w:rsidR="004974C0" w:rsidRPr="004974C0" w:rsidRDefault="004974C0" w:rsidP="004974C0">
            <w:pPr>
              <w:rPr>
                <w:rFonts w:ascii="Arial" w:hAnsi="Arial" w:cs="Arial"/>
                <w:sz w:val="20"/>
                <w:szCs w:val="20"/>
              </w:rPr>
            </w:pPr>
            <w:r w:rsidRPr="004974C0">
              <w:rPr>
                <w:rFonts w:ascii="Arial" w:hAnsi="Arial" w:cs="Arial"/>
                <w:sz w:val="20"/>
                <w:szCs w:val="20"/>
              </w:rPr>
              <w:t>34</w:t>
            </w:r>
          </w:p>
        </w:tc>
        <w:tc>
          <w:tcPr>
            <w:tcW w:w="1984" w:type="dxa"/>
            <w:tcBorders>
              <w:top w:val="nil"/>
              <w:left w:val="nil"/>
              <w:bottom w:val="single" w:sz="4" w:space="0" w:color="auto"/>
              <w:right w:val="single" w:sz="4" w:space="0" w:color="auto"/>
            </w:tcBorders>
            <w:shd w:val="clear" w:color="auto" w:fill="auto"/>
            <w:noWrap/>
            <w:vAlign w:val="bottom"/>
            <w:hideMark/>
          </w:tcPr>
          <w:p w14:paraId="4425172E" w14:textId="77777777" w:rsidR="004974C0" w:rsidRPr="004974C0" w:rsidRDefault="004974C0" w:rsidP="004974C0">
            <w:pPr>
              <w:rPr>
                <w:rFonts w:ascii="Arial" w:hAnsi="Arial" w:cs="Arial"/>
                <w:sz w:val="20"/>
                <w:szCs w:val="20"/>
              </w:rPr>
            </w:pPr>
            <w:r w:rsidRPr="004974C0">
              <w:rPr>
                <w:rFonts w:ascii="Arial" w:hAnsi="Arial" w:cs="Arial"/>
                <w:sz w:val="20"/>
                <w:szCs w:val="20"/>
              </w:rPr>
              <w:t>Financijski rashodi</w:t>
            </w:r>
          </w:p>
        </w:tc>
        <w:tc>
          <w:tcPr>
            <w:tcW w:w="1843" w:type="dxa"/>
            <w:tcBorders>
              <w:top w:val="nil"/>
              <w:left w:val="nil"/>
              <w:bottom w:val="single" w:sz="4" w:space="0" w:color="auto"/>
              <w:right w:val="single" w:sz="4" w:space="0" w:color="auto"/>
            </w:tcBorders>
            <w:shd w:val="clear" w:color="auto" w:fill="auto"/>
            <w:noWrap/>
            <w:vAlign w:val="bottom"/>
            <w:hideMark/>
          </w:tcPr>
          <w:p w14:paraId="5DF706E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43" w:type="dxa"/>
            <w:tcBorders>
              <w:top w:val="nil"/>
              <w:left w:val="nil"/>
              <w:bottom w:val="single" w:sz="4" w:space="0" w:color="auto"/>
              <w:right w:val="single" w:sz="4" w:space="0" w:color="auto"/>
            </w:tcBorders>
            <w:shd w:val="clear" w:color="auto" w:fill="auto"/>
            <w:noWrap/>
            <w:vAlign w:val="bottom"/>
            <w:hideMark/>
          </w:tcPr>
          <w:p w14:paraId="68D0481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96AB6C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DF3E0D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r>
      <w:tr w:rsidR="00846ACC" w:rsidRPr="004974C0" w14:paraId="74758C4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14114D7" w14:textId="77777777" w:rsidR="004974C0" w:rsidRPr="004974C0" w:rsidRDefault="004974C0" w:rsidP="004974C0">
            <w:pPr>
              <w:rPr>
                <w:rFonts w:ascii="Arial" w:hAnsi="Arial" w:cs="Arial"/>
                <w:sz w:val="20"/>
                <w:szCs w:val="20"/>
              </w:rPr>
            </w:pPr>
            <w:r w:rsidRPr="004974C0">
              <w:rPr>
                <w:rFonts w:ascii="Arial" w:hAnsi="Arial" w:cs="Arial"/>
                <w:sz w:val="20"/>
                <w:szCs w:val="20"/>
              </w:rPr>
              <w:t>38</w:t>
            </w:r>
          </w:p>
        </w:tc>
        <w:tc>
          <w:tcPr>
            <w:tcW w:w="1984" w:type="dxa"/>
            <w:tcBorders>
              <w:top w:val="nil"/>
              <w:left w:val="nil"/>
              <w:bottom w:val="single" w:sz="4" w:space="0" w:color="auto"/>
              <w:right w:val="single" w:sz="4" w:space="0" w:color="auto"/>
            </w:tcBorders>
            <w:shd w:val="clear" w:color="auto" w:fill="auto"/>
            <w:noWrap/>
            <w:vAlign w:val="bottom"/>
            <w:hideMark/>
          </w:tcPr>
          <w:p w14:paraId="08C9308F"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donacije, kazne, naknade šteta i kapitalne pomoći</w:t>
            </w:r>
          </w:p>
        </w:tc>
        <w:tc>
          <w:tcPr>
            <w:tcW w:w="1843" w:type="dxa"/>
            <w:tcBorders>
              <w:top w:val="nil"/>
              <w:left w:val="nil"/>
              <w:bottom w:val="single" w:sz="4" w:space="0" w:color="auto"/>
              <w:right w:val="single" w:sz="4" w:space="0" w:color="auto"/>
            </w:tcBorders>
            <w:shd w:val="clear" w:color="auto" w:fill="auto"/>
            <w:noWrap/>
            <w:vAlign w:val="bottom"/>
            <w:hideMark/>
          </w:tcPr>
          <w:p w14:paraId="2958A4C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8B62AD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80,00</w:t>
            </w:r>
          </w:p>
        </w:tc>
        <w:tc>
          <w:tcPr>
            <w:tcW w:w="1559" w:type="dxa"/>
            <w:tcBorders>
              <w:top w:val="nil"/>
              <w:left w:val="nil"/>
              <w:bottom w:val="single" w:sz="4" w:space="0" w:color="auto"/>
              <w:right w:val="single" w:sz="4" w:space="0" w:color="auto"/>
            </w:tcBorders>
            <w:shd w:val="clear" w:color="auto" w:fill="auto"/>
            <w:noWrap/>
            <w:vAlign w:val="bottom"/>
            <w:hideMark/>
          </w:tcPr>
          <w:p w14:paraId="0F9786B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43176B2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80,00</w:t>
            </w:r>
          </w:p>
        </w:tc>
      </w:tr>
      <w:tr w:rsidR="00846ACC" w:rsidRPr="004974C0" w14:paraId="0BBDEA2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C928D7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7D496E1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05111EC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7CD5A72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B7A899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6FD3A9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r>
      <w:tr w:rsidR="00846ACC" w:rsidRPr="004974C0" w14:paraId="4B42F91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FCBD912"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1A533C4B"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063CB7E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6268DF2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C45D61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E34663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r>
      <w:tr w:rsidR="00846ACC" w:rsidRPr="004974C0" w14:paraId="53B5F0C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635BCE4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Aktivnost A500020 Financiranje zajedničkih službi</w:t>
            </w:r>
          </w:p>
        </w:tc>
        <w:tc>
          <w:tcPr>
            <w:tcW w:w="1984" w:type="dxa"/>
            <w:tcBorders>
              <w:top w:val="nil"/>
              <w:left w:val="nil"/>
              <w:bottom w:val="single" w:sz="4" w:space="0" w:color="auto"/>
              <w:right w:val="single" w:sz="4" w:space="0" w:color="auto"/>
            </w:tcBorders>
            <w:shd w:val="clear" w:color="000000" w:fill="CCCCFF"/>
            <w:noWrap/>
            <w:vAlign w:val="bottom"/>
            <w:hideMark/>
          </w:tcPr>
          <w:p w14:paraId="5404BC6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4BD848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353.061,00</w:t>
            </w:r>
          </w:p>
        </w:tc>
        <w:tc>
          <w:tcPr>
            <w:tcW w:w="1843" w:type="dxa"/>
            <w:tcBorders>
              <w:top w:val="nil"/>
              <w:left w:val="nil"/>
              <w:bottom w:val="single" w:sz="4" w:space="0" w:color="auto"/>
              <w:right w:val="single" w:sz="4" w:space="0" w:color="auto"/>
            </w:tcBorders>
            <w:shd w:val="clear" w:color="000000" w:fill="CCCCFF"/>
            <w:noWrap/>
            <w:vAlign w:val="bottom"/>
            <w:hideMark/>
          </w:tcPr>
          <w:p w14:paraId="059119B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7.890,00</w:t>
            </w:r>
          </w:p>
        </w:tc>
        <w:tc>
          <w:tcPr>
            <w:tcW w:w="1559" w:type="dxa"/>
            <w:tcBorders>
              <w:top w:val="nil"/>
              <w:left w:val="nil"/>
              <w:bottom w:val="single" w:sz="4" w:space="0" w:color="auto"/>
              <w:right w:val="single" w:sz="4" w:space="0" w:color="auto"/>
            </w:tcBorders>
            <w:shd w:val="clear" w:color="000000" w:fill="CCCCFF"/>
            <w:noWrap/>
            <w:vAlign w:val="bottom"/>
            <w:hideMark/>
          </w:tcPr>
          <w:p w14:paraId="2A94349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2,23</w:t>
            </w:r>
          </w:p>
        </w:tc>
        <w:tc>
          <w:tcPr>
            <w:tcW w:w="1803" w:type="dxa"/>
            <w:tcBorders>
              <w:top w:val="nil"/>
              <w:left w:val="nil"/>
              <w:bottom w:val="single" w:sz="4" w:space="0" w:color="auto"/>
              <w:right w:val="single" w:sz="4" w:space="0" w:color="auto"/>
            </w:tcBorders>
            <w:shd w:val="clear" w:color="000000" w:fill="CCCCFF"/>
            <w:noWrap/>
            <w:vAlign w:val="bottom"/>
            <w:hideMark/>
          </w:tcPr>
          <w:p w14:paraId="12B20D5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360.951,00</w:t>
            </w:r>
          </w:p>
        </w:tc>
      </w:tr>
      <w:tr w:rsidR="00846ACC" w:rsidRPr="004974C0" w14:paraId="5335FA2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05E31B6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749DE8D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8FB994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353.061,00</w:t>
            </w:r>
          </w:p>
        </w:tc>
        <w:tc>
          <w:tcPr>
            <w:tcW w:w="1843" w:type="dxa"/>
            <w:tcBorders>
              <w:top w:val="nil"/>
              <w:left w:val="nil"/>
              <w:bottom w:val="single" w:sz="4" w:space="0" w:color="auto"/>
              <w:right w:val="single" w:sz="4" w:space="0" w:color="auto"/>
            </w:tcBorders>
            <w:shd w:val="clear" w:color="000000" w:fill="FFFF99"/>
            <w:noWrap/>
            <w:vAlign w:val="bottom"/>
            <w:hideMark/>
          </w:tcPr>
          <w:p w14:paraId="1734837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7.890,00</w:t>
            </w:r>
          </w:p>
        </w:tc>
        <w:tc>
          <w:tcPr>
            <w:tcW w:w="1559" w:type="dxa"/>
            <w:tcBorders>
              <w:top w:val="nil"/>
              <w:left w:val="nil"/>
              <w:bottom w:val="single" w:sz="4" w:space="0" w:color="auto"/>
              <w:right w:val="single" w:sz="4" w:space="0" w:color="auto"/>
            </w:tcBorders>
            <w:shd w:val="clear" w:color="000000" w:fill="FFFF99"/>
            <w:noWrap/>
            <w:vAlign w:val="bottom"/>
            <w:hideMark/>
          </w:tcPr>
          <w:p w14:paraId="54A49FC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2,23</w:t>
            </w:r>
          </w:p>
        </w:tc>
        <w:tc>
          <w:tcPr>
            <w:tcW w:w="1803" w:type="dxa"/>
            <w:tcBorders>
              <w:top w:val="nil"/>
              <w:left w:val="nil"/>
              <w:bottom w:val="single" w:sz="4" w:space="0" w:color="auto"/>
              <w:right w:val="single" w:sz="4" w:space="0" w:color="auto"/>
            </w:tcBorders>
            <w:shd w:val="clear" w:color="000000" w:fill="FFFF99"/>
            <w:noWrap/>
            <w:vAlign w:val="bottom"/>
            <w:hideMark/>
          </w:tcPr>
          <w:p w14:paraId="4A91B76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360.951,00</w:t>
            </w:r>
          </w:p>
        </w:tc>
      </w:tr>
      <w:tr w:rsidR="00846ACC" w:rsidRPr="004974C0" w14:paraId="48F0508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8C9ACA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BF1C61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1548E2A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352.561,00</w:t>
            </w:r>
          </w:p>
        </w:tc>
        <w:tc>
          <w:tcPr>
            <w:tcW w:w="1843" w:type="dxa"/>
            <w:tcBorders>
              <w:top w:val="nil"/>
              <w:left w:val="nil"/>
              <w:bottom w:val="single" w:sz="4" w:space="0" w:color="auto"/>
              <w:right w:val="single" w:sz="4" w:space="0" w:color="auto"/>
            </w:tcBorders>
            <w:shd w:val="clear" w:color="auto" w:fill="auto"/>
            <w:noWrap/>
            <w:vAlign w:val="bottom"/>
            <w:hideMark/>
          </w:tcPr>
          <w:p w14:paraId="282CF8E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7.890,00</w:t>
            </w:r>
          </w:p>
        </w:tc>
        <w:tc>
          <w:tcPr>
            <w:tcW w:w="1559" w:type="dxa"/>
            <w:tcBorders>
              <w:top w:val="nil"/>
              <w:left w:val="nil"/>
              <w:bottom w:val="single" w:sz="4" w:space="0" w:color="auto"/>
              <w:right w:val="single" w:sz="4" w:space="0" w:color="auto"/>
            </w:tcBorders>
            <w:shd w:val="clear" w:color="auto" w:fill="auto"/>
            <w:noWrap/>
            <w:vAlign w:val="bottom"/>
            <w:hideMark/>
          </w:tcPr>
          <w:p w14:paraId="605507D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2,24</w:t>
            </w:r>
          </w:p>
        </w:tc>
        <w:tc>
          <w:tcPr>
            <w:tcW w:w="1803" w:type="dxa"/>
            <w:tcBorders>
              <w:top w:val="nil"/>
              <w:left w:val="nil"/>
              <w:bottom w:val="single" w:sz="4" w:space="0" w:color="auto"/>
              <w:right w:val="single" w:sz="4" w:space="0" w:color="auto"/>
            </w:tcBorders>
            <w:shd w:val="clear" w:color="auto" w:fill="auto"/>
            <w:noWrap/>
            <w:vAlign w:val="bottom"/>
            <w:hideMark/>
          </w:tcPr>
          <w:p w14:paraId="391A81B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360.451,00</w:t>
            </w:r>
          </w:p>
        </w:tc>
      </w:tr>
      <w:tr w:rsidR="00846ACC" w:rsidRPr="004974C0" w14:paraId="1E9BD00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64E4A92"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448FA2B9"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55626B5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290.808,00</w:t>
            </w:r>
          </w:p>
        </w:tc>
        <w:tc>
          <w:tcPr>
            <w:tcW w:w="1843" w:type="dxa"/>
            <w:tcBorders>
              <w:top w:val="nil"/>
              <w:left w:val="nil"/>
              <w:bottom w:val="single" w:sz="4" w:space="0" w:color="auto"/>
              <w:right w:val="single" w:sz="4" w:space="0" w:color="auto"/>
            </w:tcBorders>
            <w:shd w:val="clear" w:color="auto" w:fill="auto"/>
            <w:noWrap/>
            <w:vAlign w:val="bottom"/>
            <w:hideMark/>
          </w:tcPr>
          <w:p w14:paraId="3BBC1A0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A3E83D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B53882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290.808,00</w:t>
            </w:r>
          </w:p>
        </w:tc>
      </w:tr>
      <w:tr w:rsidR="00846ACC" w:rsidRPr="004974C0" w14:paraId="406BABC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A87B644"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3682ADE"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E414A2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61.753,00</w:t>
            </w:r>
          </w:p>
        </w:tc>
        <w:tc>
          <w:tcPr>
            <w:tcW w:w="1843" w:type="dxa"/>
            <w:tcBorders>
              <w:top w:val="nil"/>
              <w:left w:val="nil"/>
              <w:bottom w:val="single" w:sz="4" w:space="0" w:color="auto"/>
              <w:right w:val="single" w:sz="4" w:space="0" w:color="auto"/>
            </w:tcBorders>
            <w:shd w:val="clear" w:color="auto" w:fill="auto"/>
            <w:noWrap/>
            <w:vAlign w:val="bottom"/>
            <w:hideMark/>
          </w:tcPr>
          <w:p w14:paraId="59C6D39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7.890,00</w:t>
            </w:r>
          </w:p>
        </w:tc>
        <w:tc>
          <w:tcPr>
            <w:tcW w:w="1559" w:type="dxa"/>
            <w:tcBorders>
              <w:top w:val="nil"/>
              <w:left w:val="nil"/>
              <w:bottom w:val="single" w:sz="4" w:space="0" w:color="auto"/>
              <w:right w:val="single" w:sz="4" w:space="0" w:color="auto"/>
            </w:tcBorders>
            <w:shd w:val="clear" w:color="auto" w:fill="auto"/>
            <w:noWrap/>
            <w:vAlign w:val="bottom"/>
            <w:hideMark/>
          </w:tcPr>
          <w:p w14:paraId="3BB1549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12,78</w:t>
            </w:r>
          </w:p>
        </w:tc>
        <w:tc>
          <w:tcPr>
            <w:tcW w:w="1803" w:type="dxa"/>
            <w:tcBorders>
              <w:top w:val="nil"/>
              <w:left w:val="nil"/>
              <w:bottom w:val="single" w:sz="4" w:space="0" w:color="auto"/>
              <w:right w:val="single" w:sz="4" w:space="0" w:color="auto"/>
            </w:tcBorders>
            <w:shd w:val="clear" w:color="auto" w:fill="auto"/>
            <w:noWrap/>
            <w:vAlign w:val="bottom"/>
            <w:hideMark/>
          </w:tcPr>
          <w:p w14:paraId="1D07699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69.643,00</w:t>
            </w:r>
          </w:p>
        </w:tc>
      </w:tr>
      <w:tr w:rsidR="00846ACC" w:rsidRPr="004974C0" w14:paraId="613BBF0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DAA329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0564566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75545FA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40E64B2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DDE0E1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ACEF93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w:t>
            </w:r>
          </w:p>
        </w:tc>
      </w:tr>
      <w:tr w:rsidR="00846ACC" w:rsidRPr="004974C0" w14:paraId="38E6BB8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C1C0F50"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6B844A80"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4D2AF38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03CE6D8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14C667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B04240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w:t>
            </w:r>
          </w:p>
        </w:tc>
      </w:tr>
      <w:tr w:rsidR="00846ACC" w:rsidRPr="004974C0" w14:paraId="2ECA1AE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6B49FC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A500021 Financiranje muzejske djelatnosti</w:t>
            </w:r>
          </w:p>
        </w:tc>
        <w:tc>
          <w:tcPr>
            <w:tcW w:w="1984" w:type="dxa"/>
            <w:tcBorders>
              <w:top w:val="nil"/>
              <w:left w:val="nil"/>
              <w:bottom w:val="single" w:sz="4" w:space="0" w:color="auto"/>
              <w:right w:val="single" w:sz="4" w:space="0" w:color="auto"/>
            </w:tcBorders>
            <w:shd w:val="clear" w:color="000000" w:fill="CCCCFF"/>
            <w:noWrap/>
            <w:vAlign w:val="bottom"/>
            <w:hideMark/>
          </w:tcPr>
          <w:p w14:paraId="5A62738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0DF7D56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41.854,00</w:t>
            </w:r>
          </w:p>
        </w:tc>
        <w:tc>
          <w:tcPr>
            <w:tcW w:w="1843" w:type="dxa"/>
            <w:tcBorders>
              <w:top w:val="nil"/>
              <w:left w:val="nil"/>
              <w:bottom w:val="single" w:sz="4" w:space="0" w:color="auto"/>
              <w:right w:val="single" w:sz="4" w:space="0" w:color="auto"/>
            </w:tcBorders>
            <w:shd w:val="clear" w:color="000000" w:fill="CCCCFF"/>
            <w:noWrap/>
            <w:vAlign w:val="bottom"/>
            <w:hideMark/>
          </w:tcPr>
          <w:p w14:paraId="77C2501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15.500,00</w:t>
            </w:r>
          </w:p>
        </w:tc>
        <w:tc>
          <w:tcPr>
            <w:tcW w:w="1559" w:type="dxa"/>
            <w:tcBorders>
              <w:top w:val="nil"/>
              <w:left w:val="nil"/>
              <w:bottom w:val="single" w:sz="4" w:space="0" w:color="auto"/>
              <w:right w:val="single" w:sz="4" w:space="0" w:color="auto"/>
            </w:tcBorders>
            <w:shd w:val="clear" w:color="000000" w:fill="CCCCFF"/>
            <w:noWrap/>
            <w:vAlign w:val="bottom"/>
            <w:hideMark/>
          </w:tcPr>
          <w:p w14:paraId="7488733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37,03</w:t>
            </w:r>
          </w:p>
        </w:tc>
        <w:tc>
          <w:tcPr>
            <w:tcW w:w="1803" w:type="dxa"/>
            <w:tcBorders>
              <w:top w:val="nil"/>
              <w:left w:val="nil"/>
              <w:bottom w:val="single" w:sz="4" w:space="0" w:color="auto"/>
              <w:right w:val="single" w:sz="4" w:space="0" w:color="auto"/>
            </w:tcBorders>
            <w:shd w:val="clear" w:color="000000" w:fill="CCCCFF"/>
            <w:noWrap/>
            <w:vAlign w:val="bottom"/>
            <w:hideMark/>
          </w:tcPr>
          <w:p w14:paraId="31B95A4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57.354,00</w:t>
            </w:r>
          </w:p>
        </w:tc>
      </w:tr>
      <w:tr w:rsidR="00846ACC" w:rsidRPr="004974C0" w14:paraId="3569165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A77157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657E5DC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BDF767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5.560,00</w:t>
            </w:r>
          </w:p>
        </w:tc>
        <w:tc>
          <w:tcPr>
            <w:tcW w:w="1843" w:type="dxa"/>
            <w:tcBorders>
              <w:top w:val="nil"/>
              <w:left w:val="nil"/>
              <w:bottom w:val="single" w:sz="4" w:space="0" w:color="auto"/>
              <w:right w:val="single" w:sz="4" w:space="0" w:color="auto"/>
            </w:tcBorders>
            <w:shd w:val="clear" w:color="000000" w:fill="FFFF99"/>
            <w:noWrap/>
            <w:vAlign w:val="bottom"/>
            <w:hideMark/>
          </w:tcPr>
          <w:p w14:paraId="06D0029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2.500,00</w:t>
            </w:r>
          </w:p>
        </w:tc>
        <w:tc>
          <w:tcPr>
            <w:tcW w:w="1559" w:type="dxa"/>
            <w:tcBorders>
              <w:top w:val="nil"/>
              <w:left w:val="nil"/>
              <w:bottom w:val="single" w:sz="4" w:space="0" w:color="auto"/>
              <w:right w:val="single" w:sz="4" w:space="0" w:color="auto"/>
            </w:tcBorders>
            <w:shd w:val="clear" w:color="000000" w:fill="FFFF99"/>
            <w:noWrap/>
            <w:vAlign w:val="bottom"/>
            <w:hideMark/>
          </w:tcPr>
          <w:p w14:paraId="7500AC3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44,96</w:t>
            </w:r>
          </w:p>
        </w:tc>
        <w:tc>
          <w:tcPr>
            <w:tcW w:w="1803" w:type="dxa"/>
            <w:tcBorders>
              <w:top w:val="nil"/>
              <w:left w:val="nil"/>
              <w:bottom w:val="single" w:sz="4" w:space="0" w:color="auto"/>
              <w:right w:val="single" w:sz="4" w:space="0" w:color="auto"/>
            </w:tcBorders>
            <w:shd w:val="clear" w:color="000000" w:fill="FFFF99"/>
            <w:noWrap/>
            <w:vAlign w:val="bottom"/>
            <w:hideMark/>
          </w:tcPr>
          <w:p w14:paraId="35DB341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8.060,00</w:t>
            </w:r>
          </w:p>
        </w:tc>
      </w:tr>
      <w:tr w:rsidR="00846ACC" w:rsidRPr="004974C0" w14:paraId="7D70D0A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B89E65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457357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70AAA1C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5.560,00</w:t>
            </w:r>
          </w:p>
        </w:tc>
        <w:tc>
          <w:tcPr>
            <w:tcW w:w="1843" w:type="dxa"/>
            <w:tcBorders>
              <w:top w:val="nil"/>
              <w:left w:val="nil"/>
              <w:bottom w:val="single" w:sz="4" w:space="0" w:color="auto"/>
              <w:right w:val="single" w:sz="4" w:space="0" w:color="auto"/>
            </w:tcBorders>
            <w:shd w:val="clear" w:color="auto" w:fill="auto"/>
            <w:noWrap/>
            <w:vAlign w:val="bottom"/>
            <w:hideMark/>
          </w:tcPr>
          <w:p w14:paraId="5D0CDB5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2.500,00</w:t>
            </w:r>
          </w:p>
        </w:tc>
        <w:tc>
          <w:tcPr>
            <w:tcW w:w="1559" w:type="dxa"/>
            <w:tcBorders>
              <w:top w:val="nil"/>
              <w:left w:val="nil"/>
              <w:bottom w:val="single" w:sz="4" w:space="0" w:color="auto"/>
              <w:right w:val="single" w:sz="4" w:space="0" w:color="auto"/>
            </w:tcBorders>
            <w:shd w:val="clear" w:color="auto" w:fill="auto"/>
            <w:noWrap/>
            <w:vAlign w:val="bottom"/>
            <w:hideMark/>
          </w:tcPr>
          <w:p w14:paraId="5148155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44,96</w:t>
            </w:r>
          </w:p>
        </w:tc>
        <w:tc>
          <w:tcPr>
            <w:tcW w:w="1803" w:type="dxa"/>
            <w:tcBorders>
              <w:top w:val="nil"/>
              <w:left w:val="nil"/>
              <w:bottom w:val="single" w:sz="4" w:space="0" w:color="auto"/>
              <w:right w:val="single" w:sz="4" w:space="0" w:color="auto"/>
            </w:tcBorders>
            <w:shd w:val="clear" w:color="auto" w:fill="auto"/>
            <w:noWrap/>
            <w:vAlign w:val="bottom"/>
            <w:hideMark/>
          </w:tcPr>
          <w:p w14:paraId="556777E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8.060,00</w:t>
            </w:r>
          </w:p>
        </w:tc>
      </w:tr>
      <w:tr w:rsidR="00846ACC" w:rsidRPr="004974C0" w14:paraId="085AB51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C02A0A3"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3BD9901D"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47A8EF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5.560,00</w:t>
            </w:r>
          </w:p>
        </w:tc>
        <w:tc>
          <w:tcPr>
            <w:tcW w:w="1843" w:type="dxa"/>
            <w:tcBorders>
              <w:top w:val="nil"/>
              <w:left w:val="nil"/>
              <w:bottom w:val="single" w:sz="4" w:space="0" w:color="auto"/>
              <w:right w:val="single" w:sz="4" w:space="0" w:color="auto"/>
            </w:tcBorders>
            <w:shd w:val="clear" w:color="auto" w:fill="auto"/>
            <w:noWrap/>
            <w:vAlign w:val="bottom"/>
            <w:hideMark/>
          </w:tcPr>
          <w:p w14:paraId="0CCB58D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2.500,00</w:t>
            </w:r>
          </w:p>
        </w:tc>
        <w:tc>
          <w:tcPr>
            <w:tcW w:w="1559" w:type="dxa"/>
            <w:tcBorders>
              <w:top w:val="nil"/>
              <w:left w:val="nil"/>
              <w:bottom w:val="single" w:sz="4" w:space="0" w:color="auto"/>
              <w:right w:val="single" w:sz="4" w:space="0" w:color="auto"/>
            </w:tcBorders>
            <w:shd w:val="clear" w:color="auto" w:fill="auto"/>
            <w:noWrap/>
            <w:vAlign w:val="bottom"/>
            <w:hideMark/>
          </w:tcPr>
          <w:p w14:paraId="701B47E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44,96</w:t>
            </w:r>
          </w:p>
        </w:tc>
        <w:tc>
          <w:tcPr>
            <w:tcW w:w="1803" w:type="dxa"/>
            <w:tcBorders>
              <w:top w:val="nil"/>
              <w:left w:val="nil"/>
              <w:bottom w:val="single" w:sz="4" w:space="0" w:color="auto"/>
              <w:right w:val="single" w:sz="4" w:space="0" w:color="auto"/>
            </w:tcBorders>
            <w:shd w:val="clear" w:color="auto" w:fill="auto"/>
            <w:noWrap/>
            <w:vAlign w:val="bottom"/>
            <w:hideMark/>
          </w:tcPr>
          <w:p w14:paraId="61A1698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8.060,00</w:t>
            </w:r>
          </w:p>
        </w:tc>
      </w:tr>
      <w:tr w:rsidR="00846ACC" w:rsidRPr="004974C0" w14:paraId="7B24926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AE1102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3.9. VLASTITI PRIHODI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4735DD9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881FA5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w:t>
            </w:r>
          </w:p>
        </w:tc>
        <w:tc>
          <w:tcPr>
            <w:tcW w:w="1843" w:type="dxa"/>
            <w:tcBorders>
              <w:top w:val="nil"/>
              <w:left w:val="nil"/>
              <w:bottom w:val="single" w:sz="4" w:space="0" w:color="auto"/>
              <w:right w:val="single" w:sz="4" w:space="0" w:color="auto"/>
            </w:tcBorders>
            <w:shd w:val="clear" w:color="000000" w:fill="FFFF99"/>
            <w:noWrap/>
            <w:vAlign w:val="bottom"/>
            <w:hideMark/>
          </w:tcPr>
          <w:p w14:paraId="2D6E90D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05B72D8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F592D1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w:t>
            </w:r>
          </w:p>
        </w:tc>
      </w:tr>
      <w:tr w:rsidR="00846ACC" w:rsidRPr="004974C0" w14:paraId="5AB3BB0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511E76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5AE6BCF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60EC678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1.300,00</w:t>
            </w:r>
          </w:p>
        </w:tc>
        <w:tc>
          <w:tcPr>
            <w:tcW w:w="1843" w:type="dxa"/>
            <w:tcBorders>
              <w:top w:val="nil"/>
              <w:left w:val="nil"/>
              <w:bottom w:val="single" w:sz="4" w:space="0" w:color="auto"/>
              <w:right w:val="single" w:sz="4" w:space="0" w:color="auto"/>
            </w:tcBorders>
            <w:shd w:val="clear" w:color="auto" w:fill="auto"/>
            <w:noWrap/>
            <w:vAlign w:val="bottom"/>
            <w:hideMark/>
          </w:tcPr>
          <w:p w14:paraId="684CCCC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5580E1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E21332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1.300,00</w:t>
            </w:r>
          </w:p>
        </w:tc>
      </w:tr>
      <w:tr w:rsidR="00846ACC" w:rsidRPr="004974C0" w14:paraId="4F8B942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C1BCCF2"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119236FC"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3154179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1.300,00</w:t>
            </w:r>
          </w:p>
        </w:tc>
        <w:tc>
          <w:tcPr>
            <w:tcW w:w="1843" w:type="dxa"/>
            <w:tcBorders>
              <w:top w:val="nil"/>
              <w:left w:val="nil"/>
              <w:bottom w:val="single" w:sz="4" w:space="0" w:color="auto"/>
              <w:right w:val="single" w:sz="4" w:space="0" w:color="auto"/>
            </w:tcBorders>
            <w:shd w:val="clear" w:color="auto" w:fill="auto"/>
            <w:noWrap/>
            <w:vAlign w:val="bottom"/>
            <w:hideMark/>
          </w:tcPr>
          <w:p w14:paraId="0219147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7328CD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952FB9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1.300,00</w:t>
            </w:r>
          </w:p>
        </w:tc>
      </w:tr>
      <w:tr w:rsidR="00846ACC" w:rsidRPr="004974C0" w14:paraId="78469B6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8BF2EA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4.9. 4.PRIHODI ZA POSEBNE NAMJENE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196E778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DEBE68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25.994,00</w:t>
            </w:r>
          </w:p>
        </w:tc>
        <w:tc>
          <w:tcPr>
            <w:tcW w:w="1843" w:type="dxa"/>
            <w:tcBorders>
              <w:top w:val="nil"/>
              <w:left w:val="nil"/>
              <w:bottom w:val="single" w:sz="4" w:space="0" w:color="auto"/>
              <w:right w:val="single" w:sz="4" w:space="0" w:color="auto"/>
            </w:tcBorders>
            <w:shd w:val="clear" w:color="000000" w:fill="FFFF99"/>
            <w:noWrap/>
            <w:vAlign w:val="bottom"/>
            <w:hideMark/>
          </w:tcPr>
          <w:p w14:paraId="1DF7D89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483D8D0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7C58DDE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25.994,00</w:t>
            </w:r>
          </w:p>
        </w:tc>
      </w:tr>
      <w:tr w:rsidR="00846ACC" w:rsidRPr="004974C0" w14:paraId="094CEC1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7C46AD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543FC1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C2B08D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23.194,00</w:t>
            </w:r>
          </w:p>
        </w:tc>
        <w:tc>
          <w:tcPr>
            <w:tcW w:w="1843" w:type="dxa"/>
            <w:tcBorders>
              <w:top w:val="nil"/>
              <w:left w:val="nil"/>
              <w:bottom w:val="single" w:sz="4" w:space="0" w:color="auto"/>
              <w:right w:val="single" w:sz="4" w:space="0" w:color="auto"/>
            </w:tcBorders>
            <w:shd w:val="clear" w:color="auto" w:fill="auto"/>
            <w:noWrap/>
            <w:vAlign w:val="bottom"/>
            <w:hideMark/>
          </w:tcPr>
          <w:p w14:paraId="09FE53E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-1.100,00</w:t>
            </w:r>
          </w:p>
        </w:tc>
        <w:tc>
          <w:tcPr>
            <w:tcW w:w="1559" w:type="dxa"/>
            <w:tcBorders>
              <w:top w:val="nil"/>
              <w:left w:val="nil"/>
              <w:bottom w:val="single" w:sz="4" w:space="0" w:color="auto"/>
              <w:right w:val="single" w:sz="4" w:space="0" w:color="auto"/>
            </w:tcBorders>
            <w:shd w:val="clear" w:color="auto" w:fill="auto"/>
            <w:noWrap/>
            <w:vAlign w:val="bottom"/>
            <w:hideMark/>
          </w:tcPr>
          <w:p w14:paraId="7CE5A92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-4,74</w:t>
            </w:r>
          </w:p>
        </w:tc>
        <w:tc>
          <w:tcPr>
            <w:tcW w:w="1803" w:type="dxa"/>
            <w:tcBorders>
              <w:top w:val="nil"/>
              <w:left w:val="nil"/>
              <w:bottom w:val="single" w:sz="4" w:space="0" w:color="auto"/>
              <w:right w:val="single" w:sz="4" w:space="0" w:color="auto"/>
            </w:tcBorders>
            <w:shd w:val="clear" w:color="auto" w:fill="auto"/>
            <w:noWrap/>
            <w:vAlign w:val="bottom"/>
            <w:hideMark/>
          </w:tcPr>
          <w:p w14:paraId="1197D82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22.094,00</w:t>
            </w:r>
          </w:p>
        </w:tc>
      </w:tr>
      <w:tr w:rsidR="00846ACC" w:rsidRPr="004974C0" w14:paraId="60565CE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7095171"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6B865342"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1B350AC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23.094,00</w:t>
            </w:r>
          </w:p>
        </w:tc>
        <w:tc>
          <w:tcPr>
            <w:tcW w:w="1843" w:type="dxa"/>
            <w:tcBorders>
              <w:top w:val="nil"/>
              <w:left w:val="nil"/>
              <w:bottom w:val="single" w:sz="4" w:space="0" w:color="auto"/>
              <w:right w:val="single" w:sz="4" w:space="0" w:color="auto"/>
            </w:tcBorders>
            <w:shd w:val="clear" w:color="auto" w:fill="auto"/>
            <w:noWrap/>
            <w:vAlign w:val="bottom"/>
            <w:hideMark/>
          </w:tcPr>
          <w:p w14:paraId="5CEC562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-1.100,00</w:t>
            </w:r>
          </w:p>
        </w:tc>
        <w:tc>
          <w:tcPr>
            <w:tcW w:w="1559" w:type="dxa"/>
            <w:tcBorders>
              <w:top w:val="nil"/>
              <w:left w:val="nil"/>
              <w:bottom w:val="single" w:sz="4" w:space="0" w:color="auto"/>
              <w:right w:val="single" w:sz="4" w:space="0" w:color="auto"/>
            </w:tcBorders>
            <w:shd w:val="clear" w:color="auto" w:fill="auto"/>
            <w:noWrap/>
            <w:vAlign w:val="bottom"/>
            <w:hideMark/>
          </w:tcPr>
          <w:p w14:paraId="71B2F84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-4,76</w:t>
            </w:r>
          </w:p>
        </w:tc>
        <w:tc>
          <w:tcPr>
            <w:tcW w:w="1803" w:type="dxa"/>
            <w:tcBorders>
              <w:top w:val="nil"/>
              <w:left w:val="nil"/>
              <w:bottom w:val="single" w:sz="4" w:space="0" w:color="auto"/>
              <w:right w:val="single" w:sz="4" w:space="0" w:color="auto"/>
            </w:tcBorders>
            <w:shd w:val="clear" w:color="auto" w:fill="auto"/>
            <w:noWrap/>
            <w:vAlign w:val="bottom"/>
            <w:hideMark/>
          </w:tcPr>
          <w:p w14:paraId="79EBA64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21.994,00</w:t>
            </w:r>
          </w:p>
        </w:tc>
      </w:tr>
      <w:tr w:rsidR="00846ACC" w:rsidRPr="004974C0" w14:paraId="6EC693B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C3656BD" w14:textId="77777777" w:rsidR="004974C0" w:rsidRPr="004974C0" w:rsidRDefault="004974C0" w:rsidP="004974C0">
            <w:pPr>
              <w:rPr>
                <w:rFonts w:ascii="Arial" w:hAnsi="Arial" w:cs="Arial"/>
                <w:sz w:val="20"/>
                <w:szCs w:val="20"/>
              </w:rPr>
            </w:pPr>
            <w:r w:rsidRPr="004974C0">
              <w:rPr>
                <w:rFonts w:ascii="Arial" w:hAnsi="Arial" w:cs="Arial"/>
                <w:sz w:val="20"/>
                <w:szCs w:val="20"/>
              </w:rPr>
              <w:t>34</w:t>
            </w:r>
          </w:p>
        </w:tc>
        <w:tc>
          <w:tcPr>
            <w:tcW w:w="1984" w:type="dxa"/>
            <w:tcBorders>
              <w:top w:val="nil"/>
              <w:left w:val="nil"/>
              <w:bottom w:val="single" w:sz="4" w:space="0" w:color="auto"/>
              <w:right w:val="single" w:sz="4" w:space="0" w:color="auto"/>
            </w:tcBorders>
            <w:shd w:val="clear" w:color="auto" w:fill="auto"/>
            <w:noWrap/>
            <w:vAlign w:val="bottom"/>
            <w:hideMark/>
          </w:tcPr>
          <w:p w14:paraId="7BAA8E89" w14:textId="77777777" w:rsidR="004974C0" w:rsidRPr="004974C0" w:rsidRDefault="004974C0" w:rsidP="004974C0">
            <w:pPr>
              <w:rPr>
                <w:rFonts w:ascii="Arial" w:hAnsi="Arial" w:cs="Arial"/>
                <w:sz w:val="20"/>
                <w:szCs w:val="20"/>
              </w:rPr>
            </w:pPr>
            <w:r w:rsidRPr="004974C0">
              <w:rPr>
                <w:rFonts w:ascii="Arial" w:hAnsi="Arial" w:cs="Arial"/>
                <w:sz w:val="20"/>
                <w:szCs w:val="20"/>
              </w:rPr>
              <w:t>Financijski rashodi</w:t>
            </w:r>
          </w:p>
        </w:tc>
        <w:tc>
          <w:tcPr>
            <w:tcW w:w="1843" w:type="dxa"/>
            <w:tcBorders>
              <w:top w:val="nil"/>
              <w:left w:val="nil"/>
              <w:bottom w:val="single" w:sz="4" w:space="0" w:color="auto"/>
              <w:right w:val="single" w:sz="4" w:space="0" w:color="auto"/>
            </w:tcBorders>
            <w:shd w:val="clear" w:color="auto" w:fill="auto"/>
            <w:noWrap/>
            <w:vAlign w:val="bottom"/>
            <w:hideMark/>
          </w:tcPr>
          <w:p w14:paraId="592B23F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43" w:type="dxa"/>
            <w:tcBorders>
              <w:top w:val="nil"/>
              <w:left w:val="nil"/>
              <w:bottom w:val="single" w:sz="4" w:space="0" w:color="auto"/>
              <w:right w:val="single" w:sz="4" w:space="0" w:color="auto"/>
            </w:tcBorders>
            <w:shd w:val="clear" w:color="auto" w:fill="auto"/>
            <w:noWrap/>
            <w:vAlign w:val="bottom"/>
            <w:hideMark/>
          </w:tcPr>
          <w:p w14:paraId="670FA0D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D9AE18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9C9D39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r>
      <w:tr w:rsidR="00846ACC" w:rsidRPr="004974C0" w14:paraId="660918A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31D506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lastRenderedPageBreak/>
              <w:t>4</w:t>
            </w:r>
          </w:p>
        </w:tc>
        <w:tc>
          <w:tcPr>
            <w:tcW w:w="1984" w:type="dxa"/>
            <w:tcBorders>
              <w:top w:val="nil"/>
              <w:left w:val="nil"/>
              <w:bottom w:val="single" w:sz="4" w:space="0" w:color="auto"/>
              <w:right w:val="single" w:sz="4" w:space="0" w:color="auto"/>
            </w:tcBorders>
            <w:shd w:val="clear" w:color="auto" w:fill="auto"/>
            <w:noWrap/>
            <w:vAlign w:val="bottom"/>
            <w:hideMark/>
          </w:tcPr>
          <w:p w14:paraId="26A294E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463723B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2.800,00</w:t>
            </w:r>
          </w:p>
        </w:tc>
        <w:tc>
          <w:tcPr>
            <w:tcW w:w="1843" w:type="dxa"/>
            <w:tcBorders>
              <w:top w:val="nil"/>
              <w:left w:val="nil"/>
              <w:bottom w:val="single" w:sz="4" w:space="0" w:color="auto"/>
              <w:right w:val="single" w:sz="4" w:space="0" w:color="auto"/>
            </w:tcBorders>
            <w:shd w:val="clear" w:color="auto" w:fill="auto"/>
            <w:noWrap/>
            <w:vAlign w:val="bottom"/>
            <w:hideMark/>
          </w:tcPr>
          <w:p w14:paraId="4C619CA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1.100,00</w:t>
            </w:r>
          </w:p>
        </w:tc>
        <w:tc>
          <w:tcPr>
            <w:tcW w:w="1559" w:type="dxa"/>
            <w:tcBorders>
              <w:top w:val="nil"/>
              <w:left w:val="nil"/>
              <w:bottom w:val="single" w:sz="4" w:space="0" w:color="auto"/>
              <w:right w:val="single" w:sz="4" w:space="0" w:color="auto"/>
            </w:tcBorders>
            <w:shd w:val="clear" w:color="auto" w:fill="auto"/>
            <w:noWrap/>
            <w:vAlign w:val="bottom"/>
            <w:hideMark/>
          </w:tcPr>
          <w:p w14:paraId="57C3EB4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39,29</w:t>
            </w:r>
          </w:p>
        </w:tc>
        <w:tc>
          <w:tcPr>
            <w:tcW w:w="1803" w:type="dxa"/>
            <w:tcBorders>
              <w:top w:val="nil"/>
              <w:left w:val="nil"/>
              <w:bottom w:val="single" w:sz="4" w:space="0" w:color="auto"/>
              <w:right w:val="single" w:sz="4" w:space="0" w:color="auto"/>
            </w:tcBorders>
            <w:shd w:val="clear" w:color="auto" w:fill="auto"/>
            <w:noWrap/>
            <w:vAlign w:val="bottom"/>
            <w:hideMark/>
          </w:tcPr>
          <w:p w14:paraId="1226654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3.900,00</w:t>
            </w:r>
          </w:p>
        </w:tc>
      </w:tr>
      <w:tr w:rsidR="00846ACC" w:rsidRPr="004974C0" w14:paraId="0EC7595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602DAA5"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368A8C9C"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7C411E0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2.300,00</w:t>
            </w:r>
          </w:p>
        </w:tc>
        <w:tc>
          <w:tcPr>
            <w:tcW w:w="1843" w:type="dxa"/>
            <w:tcBorders>
              <w:top w:val="nil"/>
              <w:left w:val="nil"/>
              <w:bottom w:val="single" w:sz="4" w:space="0" w:color="auto"/>
              <w:right w:val="single" w:sz="4" w:space="0" w:color="auto"/>
            </w:tcBorders>
            <w:shd w:val="clear" w:color="auto" w:fill="auto"/>
            <w:noWrap/>
            <w:vAlign w:val="bottom"/>
            <w:hideMark/>
          </w:tcPr>
          <w:p w14:paraId="6928E45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1.100,00</w:t>
            </w:r>
          </w:p>
        </w:tc>
        <w:tc>
          <w:tcPr>
            <w:tcW w:w="1559" w:type="dxa"/>
            <w:tcBorders>
              <w:top w:val="nil"/>
              <w:left w:val="nil"/>
              <w:bottom w:val="single" w:sz="4" w:space="0" w:color="auto"/>
              <w:right w:val="single" w:sz="4" w:space="0" w:color="auto"/>
            </w:tcBorders>
            <w:shd w:val="clear" w:color="auto" w:fill="auto"/>
            <w:noWrap/>
            <w:vAlign w:val="bottom"/>
            <w:hideMark/>
          </w:tcPr>
          <w:p w14:paraId="60CC4DF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47,83</w:t>
            </w:r>
          </w:p>
        </w:tc>
        <w:tc>
          <w:tcPr>
            <w:tcW w:w="1803" w:type="dxa"/>
            <w:tcBorders>
              <w:top w:val="nil"/>
              <w:left w:val="nil"/>
              <w:bottom w:val="single" w:sz="4" w:space="0" w:color="auto"/>
              <w:right w:val="single" w:sz="4" w:space="0" w:color="auto"/>
            </w:tcBorders>
            <w:shd w:val="clear" w:color="auto" w:fill="auto"/>
            <w:noWrap/>
            <w:vAlign w:val="bottom"/>
            <w:hideMark/>
          </w:tcPr>
          <w:p w14:paraId="18D7182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3.400,00</w:t>
            </w:r>
          </w:p>
        </w:tc>
      </w:tr>
      <w:tr w:rsidR="00846ACC" w:rsidRPr="004974C0" w14:paraId="1F80F9F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0BAC356" w14:textId="77777777" w:rsidR="004974C0" w:rsidRPr="004974C0" w:rsidRDefault="004974C0" w:rsidP="004974C0">
            <w:pPr>
              <w:rPr>
                <w:rFonts w:ascii="Arial" w:hAnsi="Arial" w:cs="Arial"/>
                <w:sz w:val="20"/>
                <w:szCs w:val="20"/>
              </w:rPr>
            </w:pPr>
            <w:r w:rsidRPr="004974C0">
              <w:rPr>
                <w:rFonts w:ascii="Arial" w:hAnsi="Arial" w:cs="Arial"/>
                <w:sz w:val="20"/>
                <w:szCs w:val="20"/>
              </w:rPr>
              <w:t>45</w:t>
            </w:r>
          </w:p>
        </w:tc>
        <w:tc>
          <w:tcPr>
            <w:tcW w:w="1984" w:type="dxa"/>
            <w:tcBorders>
              <w:top w:val="nil"/>
              <w:left w:val="nil"/>
              <w:bottom w:val="single" w:sz="4" w:space="0" w:color="auto"/>
              <w:right w:val="single" w:sz="4" w:space="0" w:color="auto"/>
            </w:tcBorders>
            <w:shd w:val="clear" w:color="auto" w:fill="auto"/>
            <w:noWrap/>
            <w:vAlign w:val="bottom"/>
            <w:hideMark/>
          </w:tcPr>
          <w:p w14:paraId="67E46938"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dodatna ulaganja na nefinancijskoj imovini</w:t>
            </w:r>
          </w:p>
        </w:tc>
        <w:tc>
          <w:tcPr>
            <w:tcW w:w="1843" w:type="dxa"/>
            <w:tcBorders>
              <w:top w:val="nil"/>
              <w:left w:val="nil"/>
              <w:bottom w:val="single" w:sz="4" w:space="0" w:color="auto"/>
              <w:right w:val="single" w:sz="4" w:space="0" w:color="auto"/>
            </w:tcBorders>
            <w:shd w:val="clear" w:color="auto" w:fill="auto"/>
            <w:noWrap/>
            <w:vAlign w:val="bottom"/>
            <w:hideMark/>
          </w:tcPr>
          <w:p w14:paraId="40A5854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w:t>
            </w:r>
          </w:p>
        </w:tc>
        <w:tc>
          <w:tcPr>
            <w:tcW w:w="1843" w:type="dxa"/>
            <w:tcBorders>
              <w:top w:val="nil"/>
              <w:left w:val="nil"/>
              <w:bottom w:val="single" w:sz="4" w:space="0" w:color="auto"/>
              <w:right w:val="single" w:sz="4" w:space="0" w:color="auto"/>
            </w:tcBorders>
            <w:shd w:val="clear" w:color="auto" w:fill="auto"/>
            <w:noWrap/>
            <w:vAlign w:val="bottom"/>
            <w:hideMark/>
          </w:tcPr>
          <w:p w14:paraId="28F6B8E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C20540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F446FC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w:t>
            </w:r>
          </w:p>
        </w:tc>
      </w:tr>
      <w:tr w:rsidR="00846ACC" w:rsidRPr="004974C0" w14:paraId="0606FD8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20235F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19DC6E1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879294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9.000,00</w:t>
            </w:r>
          </w:p>
        </w:tc>
        <w:tc>
          <w:tcPr>
            <w:tcW w:w="1843" w:type="dxa"/>
            <w:tcBorders>
              <w:top w:val="nil"/>
              <w:left w:val="nil"/>
              <w:bottom w:val="single" w:sz="4" w:space="0" w:color="auto"/>
              <w:right w:val="single" w:sz="4" w:space="0" w:color="auto"/>
            </w:tcBorders>
            <w:shd w:val="clear" w:color="000000" w:fill="FFFF99"/>
            <w:noWrap/>
            <w:vAlign w:val="bottom"/>
            <w:hideMark/>
          </w:tcPr>
          <w:p w14:paraId="1B313AF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13.000,00</w:t>
            </w:r>
          </w:p>
        </w:tc>
        <w:tc>
          <w:tcPr>
            <w:tcW w:w="1559" w:type="dxa"/>
            <w:tcBorders>
              <w:top w:val="nil"/>
              <w:left w:val="nil"/>
              <w:bottom w:val="single" w:sz="4" w:space="0" w:color="auto"/>
              <w:right w:val="single" w:sz="4" w:space="0" w:color="auto"/>
            </w:tcBorders>
            <w:shd w:val="clear" w:color="000000" w:fill="FFFF99"/>
            <w:noWrap/>
            <w:vAlign w:val="bottom"/>
            <w:hideMark/>
          </w:tcPr>
          <w:p w14:paraId="4AB116F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144,44</w:t>
            </w:r>
          </w:p>
        </w:tc>
        <w:tc>
          <w:tcPr>
            <w:tcW w:w="1803" w:type="dxa"/>
            <w:tcBorders>
              <w:top w:val="nil"/>
              <w:left w:val="nil"/>
              <w:bottom w:val="single" w:sz="4" w:space="0" w:color="auto"/>
              <w:right w:val="single" w:sz="4" w:space="0" w:color="auto"/>
            </w:tcBorders>
            <w:shd w:val="clear" w:color="000000" w:fill="FFFF99"/>
            <w:noWrap/>
            <w:vAlign w:val="bottom"/>
            <w:hideMark/>
          </w:tcPr>
          <w:p w14:paraId="06C9C7E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22.000,00</w:t>
            </w:r>
          </w:p>
        </w:tc>
      </w:tr>
      <w:tr w:rsidR="00846ACC" w:rsidRPr="004974C0" w14:paraId="2FE2E2C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537F8C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F4EFB7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7412385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5.000,00</w:t>
            </w:r>
          </w:p>
        </w:tc>
        <w:tc>
          <w:tcPr>
            <w:tcW w:w="1843" w:type="dxa"/>
            <w:tcBorders>
              <w:top w:val="nil"/>
              <w:left w:val="nil"/>
              <w:bottom w:val="single" w:sz="4" w:space="0" w:color="auto"/>
              <w:right w:val="single" w:sz="4" w:space="0" w:color="auto"/>
            </w:tcBorders>
            <w:shd w:val="clear" w:color="auto" w:fill="auto"/>
            <w:noWrap/>
            <w:vAlign w:val="bottom"/>
            <w:hideMark/>
          </w:tcPr>
          <w:p w14:paraId="7A08EE5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8.500,00</w:t>
            </w:r>
          </w:p>
        </w:tc>
        <w:tc>
          <w:tcPr>
            <w:tcW w:w="1559" w:type="dxa"/>
            <w:tcBorders>
              <w:top w:val="nil"/>
              <w:left w:val="nil"/>
              <w:bottom w:val="single" w:sz="4" w:space="0" w:color="auto"/>
              <w:right w:val="single" w:sz="4" w:space="0" w:color="auto"/>
            </w:tcBorders>
            <w:shd w:val="clear" w:color="auto" w:fill="auto"/>
            <w:noWrap/>
            <w:vAlign w:val="bottom"/>
            <w:hideMark/>
          </w:tcPr>
          <w:p w14:paraId="43ADA15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170,00</w:t>
            </w:r>
          </w:p>
        </w:tc>
        <w:tc>
          <w:tcPr>
            <w:tcW w:w="1803" w:type="dxa"/>
            <w:tcBorders>
              <w:top w:val="nil"/>
              <w:left w:val="nil"/>
              <w:bottom w:val="single" w:sz="4" w:space="0" w:color="auto"/>
              <w:right w:val="single" w:sz="4" w:space="0" w:color="auto"/>
            </w:tcBorders>
            <w:shd w:val="clear" w:color="auto" w:fill="auto"/>
            <w:noWrap/>
            <w:vAlign w:val="bottom"/>
            <w:hideMark/>
          </w:tcPr>
          <w:p w14:paraId="7713063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13.500,00</w:t>
            </w:r>
          </w:p>
        </w:tc>
      </w:tr>
      <w:tr w:rsidR="00846ACC" w:rsidRPr="004974C0" w14:paraId="617D57D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E236C2D"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FF9B971"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A4BD54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5.000,00</w:t>
            </w:r>
          </w:p>
        </w:tc>
        <w:tc>
          <w:tcPr>
            <w:tcW w:w="1843" w:type="dxa"/>
            <w:tcBorders>
              <w:top w:val="nil"/>
              <w:left w:val="nil"/>
              <w:bottom w:val="single" w:sz="4" w:space="0" w:color="auto"/>
              <w:right w:val="single" w:sz="4" w:space="0" w:color="auto"/>
            </w:tcBorders>
            <w:shd w:val="clear" w:color="auto" w:fill="auto"/>
            <w:noWrap/>
            <w:vAlign w:val="bottom"/>
            <w:hideMark/>
          </w:tcPr>
          <w:p w14:paraId="5A41EB9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8.500,00</w:t>
            </w:r>
          </w:p>
        </w:tc>
        <w:tc>
          <w:tcPr>
            <w:tcW w:w="1559" w:type="dxa"/>
            <w:tcBorders>
              <w:top w:val="nil"/>
              <w:left w:val="nil"/>
              <w:bottom w:val="single" w:sz="4" w:space="0" w:color="auto"/>
              <w:right w:val="single" w:sz="4" w:space="0" w:color="auto"/>
            </w:tcBorders>
            <w:shd w:val="clear" w:color="auto" w:fill="auto"/>
            <w:noWrap/>
            <w:vAlign w:val="bottom"/>
            <w:hideMark/>
          </w:tcPr>
          <w:p w14:paraId="2DF8082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170,00</w:t>
            </w:r>
          </w:p>
        </w:tc>
        <w:tc>
          <w:tcPr>
            <w:tcW w:w="1803" w:type="dxa"/>
            <w:tcBorders>
              <w:top w:val="nil"/>
              <w:left w:val="nil"/>
              <w:bottom w:val="single" w:sz="4" w:space="0" w:color="auto"/>
              <w:right w:val="single" w:sz="4" w:space="0" w:color="auto"/>
            </w:tcBorders>
            <w:shd w:val="clear" w:color="auto" w:fill="auto"/>
            <w:noWrap/>
            <w:vAlign w:val="bottom"/>
            <w:hideMark/>
          </w:tcPr>
          <w:p w14:paraId="1F5D832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13.500,00</w:t>
            </w:r>
          </w:p>
        </w:tc>
      </w:tr>
      <w:tr w:rsidR="00846ACC" w:rsidRPr="004974C0" w14:paraId="5224F13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09FC9C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2D0D3FC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705540C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w:t>
            </w:r>
          </w:p>
        </w:tc>
        <w:tc>
          <w:tcPr>
            <w:tcW w:w="1843" w:type="dxa"/>
            <w:tcBorders>
              <w:top w:val="nil"/>
              <w:left w:val="nil"/>
              <w:bottom w:val="single" w:sz="4" w:space="0" w:color="auto"/>
              <w:right w:val="single" w:sz="4" w:space="0" w:color="auto"/>
            </w:tcBorders>
            <w:shd w:val="clear" w:color="auto" w:fill="auto"/>
            <w:noWrap/>
            <w:vAlign w:val="bottom"/>
            <w:hideMark/>
          </w:tcPr>
          <w:p w14:paraId="11A34A6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4.500,00</w:t>
            </w:r>
          </w:p>
        </w:tc>
        <w:tc>
          <w:tcPr>
            <w:tcW w:w="1559" w:type="dxa"/>
            <w:tcBorders>
              <w:top w:val="nil"/>
              <w:left w:val="nil"/>
              <w:bottom w:val="single" w:sz="4" w:space="0" w:color="auto"/>
              <w:right w:val="single" w:sz="4" w:space="0" w:color="auto"/>
            </w:tcBorders>
            <w:shd w:val="clear" w:color="auto" w:fill="auto"/>
            <w:noWrap/>
            <w:vAlign w:val="bottom"/>
            <w:hideMark/>
          </w:tcPr>
          <w:p w14:paraId="4069C36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112,50</w:t>
            </w:r>
          </w:p>
        </w:tc>
        <w:tc>
          <w:tcPr>
            <w:tcW w:w="1803" w:type="dxa"/>
            <w:tcBorders>
              <w:top w:val="nil"/>
              <w:left w:val="nil"/>
              <w:bottom w:val="single" w:sz="4" w:space="0" w:color="auto"/>
              <w:right w:val="single" w:sz="4" w:space="0" w:color="auto"/>
            </w:tcBorders>
            <w:shd w:val="clear" w:color="auto" w:fill="auto"/>
            <w:noWrap/>
            <w:vAlign w:val="bottom"/>
            <w:hideMark/>
          </w:tcPr>
          <w:p w14:paraId="347A47E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8.500,00</w:t>
            </w:r>
          </w:p>
        </w:tc>
      </w:tr>
      <w:tr w:rsidR="00846ACC" w:rsidRPr="004974C0" w14:paraId="0D9D503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E476ADA"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44DB2827"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26A03CD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6C4B6B7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4.500,00</w:t>
            </w:r>
          </w:p>
        </w:tc>
        <w:tc>
          <w:tcPr>
            <w:tcW w:w="1559" w:type="dxa"/>
            <w:tcBorders>
              <w:top w:val="nil"/>
              <w:left w:val="nil"/>
              <w:bottom w:val="single" w:sz="4" w:space="0" w:color="auto"/>
              <w:right w:val="single" w:sz="4" w:space="0" w:color="auto"/>
            </w:tcBorders>
            <w:shd w:val="clear" w:color="auto" w:fill="auto"/>
            <w:noWrap/>
            <w:vAlign w:val="bottom"/>
            <w:hideMark/>
          </w:tcPr>
          <w:p w14:paraId="24674A4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150,00</w:t>
            </w:r>
          </w:p>
        </w:tc>
        <w:tc>
          <w:tcPr>
            <w:tcW w:w="1803" w:type="dxa"/>
            <w:tcBorders>
              <w:top w:val="nil"/>
              <w:left w:val="nil"/>
              <w:bottom w:val="single" w:sz="4" w:space="0" w:color="auto"/>
              <w:right w:val="single" w:sz="4" w:space="0" w:color="auto"/>
            </w:tcBorders>
            <w:shd w:val="clear" w:color="auto" w:fill="auto"/>
            <w:noWrap/>
            <w:vAlign w:val="bottom"/>
            <w:hideMark/>
          </w:tcPr>
          <w:p w14:paraId="2999D56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7.500,00</w:t>
            </w:r>
          </w:p>
        </w:tc>
      </w:tr>
      <w:tr w:rsidR="00846ACC" w:rsidRPr="004974C0" w14:paraId="5482876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71B7931" w14:textId="77777777" w:rsidR="004974C0" w:rsidRPr="004974C0" w:rsidRDefault="004974C0" w:rsidP="004974C0">
            <w:pPr>
              <w:rPr>
                <w:rFonts w:ascii="Arial" w:hAnsi="Arial" w:cs="Arial"/>
                <w:sz w:val="20"/>
                <w:szCs w:val="20"/>
              </w:rPr>
            </w:pPr>
            <w:r w:rsidRPr="004974C0">
              <w:rPr>
                <w:rFonts w:ascii="Arial" w:hAnsi="Arial" w:cs="Arial"/>
                <w:sz w:val="20"/>
                <w:szCs w:val="20"/>
              </w:rPr>
              <w:t>45</w:t>
            </w:r>
          </w:p>
        </w:tc>
        <w:tc>
          <w:tcPr>
            <w:tcW w:w="1984" w:type="dxa"/>
            <w:tcBorders>
              <w:top w:val="nil"/>
              <w:left w:val="nil"/>
              <w:bottom w:val="single" w:sz="4" w:space="0" w:color="auto"/>
              <w:right w:val="single" w:sz="4" w:space="0" w:color="auto"/>
            </w:tcBorders>
            <w:shd w:val="clear" w:color="auto" w:fill="auto"/>
            <w:noWrap/>
            <w:vAlign w:val="bottom"/>
            <w:hideMark/>
          </w:tcPr>
          <w:p w14:paraId="24052884"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dodatna ulaganja na nefinancijskoj imovini</w:t>
            </w:r>
          </w:p>
        </w:tc>
        <w:tc>
          <w:tcPr>
            <w:tcW w:w="1843" w:type="dxa"/>
            <w:tcBorders>
              <w:top w:val="nil"/>
              <w:left w:val="nil"/>
              <w:bottom w:val="single" w:sz="4" w:space="0" w:color="auto"/>
              <w:right w:val="single" w:sz="4" w:space="0" w:color="auto"/>
            </w:tcBorders>
            <w:shd w:val="clear" w:color="auto" w:fill="auto"/>
            <w:noWrap/>
            <w:vAlign w:val="bottom"/>
            <w:hideMark/>
          </w:tcPr>
          <w:p w14:paraId="74F0100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38A34EE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C16F20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74F9E8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r>
      <w:tr w:rsidR="00846ACC" w:rsidRPr="004974C0" w14:paraId="3BF5AC1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3366FF"/>
            <w:noWrap/>
            <w:vAlign w:val="bottom"/>
            <w:hideMark/>
          </w:tcPr>
          <w:p w14:paraId="2E923245"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Proračunski korisnik 42266 GRADSKA KNJIŽNICA LABIN</w:t>
            </w:r>
          </w:p>
        </w:tc>
        <w:tc>
          <w:tcPr>
            <w:tcW w:w="1984" w:type="dxa"/>
            <w:tcBorders>
              <w:top w:val="nil"/>
              <w:left w:val="nil"/>
              <w:bottom w:val="single" w:sz="4" w:space="0" w:color="auto"/>
              <w:right w:val="single" w:sz="4" w:space="0" w:color="auto"/>
            </w:tcBorders>
            <w:shd w:val="clear" w:color="000000" w:fill="3366FF"/>
            <w:noWrap/>
            <w:vAlign w:val="bottom"/>
            <w:hideMark/>
          </w:tcPr>
          <w:p w14:paraId="399F5A75"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3366FF"/>
            <w:noWrap/>
            <w:vAlign w:val="bottom"/>
            <w:hideMark/>
          </w:tcPr>
          <w:p w14:paraId="315E08BB"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248.235,00</w:t>
            </w:r>
          </w:p>
        </w:tc>
        <w:tc>
          <w:tcPr>
            <w:tcW w:w="1843" w:type="dxa"/>
            <w:tcBorders>
              <w:top w:val="nil"/>
              <w:left w:val="nil"/>
              <w:bottom w:val="single" w:sz="4" w:space="0" w:color="auto"/>
              <w:right w:val="single" w:sz="4" w:space="0" w:color="auto"/>
            </w:tcBorders>
            <w:shd w:val="clear" w:color="000000" w:fill="3366FF"/>
            <w:noWrap/>
            <w:vAlign w:val="bottom"/>
            <w:hideMark/>
          </w:tcPr>
          <w:p w14:paraId="7F81B9AF"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13.972,00</w:t>
            </w:r>
          </w:p>
        </w:tc>
        <w:tc>
          <w:tcPr>
            <w:tcW w:w="1559" w:type="dxa"/>
            <w:tcBorders>
              <w:top w:val="nil"/>
              <w:left w:val="nil"/>
              <w:bottom w:val="single" w:sz="4" w:space="0" w:color="auto"/>
              <w:right w:val="single" w:sz="4" w:space="0" w:color="auto"/>
            </w:tcBorders>
            <w:shd w:val="clear" w:color="000000" w:fill="3366FF"/>
            <w:noWrap/>
            <w:vAlign w:val="bottom"/>
            <w:hideMark/>
          </w:tcPr>
          <w:p w14:paraId="2EBD60EB"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5,63</w:t>
            </w:r>
          </w:p>
        </w:tc>
        <w:tc>
          <w:tcPr>
            <w:tcW w:w="1803" w:type="dxa"/>
            <w:tcBorders>
              <w:top w:val="nil"/>
              <w:left w:val="nil"/>
              <w:bottom w:val="single" w:sz="4" w:space="0" w:color="auto"/>
              <w:right w:val="single" w:sz="4" w:space="0" w:color="auto"/>
            </w:tcBorders>
            <w:shd w:val="clear" w:color="000000" w:fill="3366FF"/>
            <w:noWrap/>
            <w:vAlign w:val="bottom"/>
            <w:hideMark/>
          </w:tcPr>
          <w:p w14:paraId="323BD20B"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262.207,00</w:t>
            </w:r>
          </w:p>
        </w:tc>
      </w:tr>
      <w:tr w:rsidR="00846ACC" w:rsidRPr="004974C0" w14:paraId="68139B7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AD7BBC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214ACD4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DB2FC4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198.655,00</w:t>
            </w:r>
          </w:p>
        </w:tc>
        <w:tc>
          <w:tcPr>
            <w:tcW w:w="1843" w:type="dxa"/>
            <w:tcBorders>
              <w:top w:val="nil"/>
              <w:left w:val="nil"/>
              <w:bottom w:val="single" w:sz="4" w:space="0" w:color="auto"/>
              <w:right w:val="single" w:sz="4" w:space="0" w:color="auto"/>
            </w:tcBorders>
            <w:shd w:val="clear" w:color="000000" w:fill="FFFFFF"/>
            <w:noWrap/>
            <w:vAlign w:val="bottom"/>
            <w:hideMark/>
          </w:tcPr>
          <w:p w14:paraId="668532E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c>
          <w:tcPr>
            <w:tcW w:w="1559" w:type="dxa"/>
            <w:tcBorders>
              <w:top w:val="nil"/>
              <w:left w:val="nil"/>
              <w:bottom w:val="single" w:sz="4" w:space="0" w:color="auto"/>
              <w:right w:val="single" w:sz="4" w:space="0" w:color="auto"/>
            </w:tcBorders>
            <w:shd w:val="clear" w:color="000000" w:fill="FFFFFF"/>
            <w:noWrap/>
            <w:vAlign w:val="bottom"/>
            <w:hideMark/>
          </w:tcPr>
          <w:p w14:paraId="1EFF364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0,35</w:t>
            </w:r>
          </w:p>
        </w:tc>
        <w:tc>
          <w:tcPr>
            <w:tcW w:w="1803" w:type="dxa"/>
            <w:tcBorders>
              <w:top w:val="nil"/>
              <w:left w:val="nil"/>
              <w:bottom w:val="single" w:sz="4" w:space="0" w:color="auto"/>
              <w:right w:val="single" w:sz="4" w:space="0" w:color="auto"/>
            </w:tcBorders>
            <w:shd w:val="clear" w:color="000000" w:fill="FFFFFF"/>
            <w:noWrap/>
            <w:vAlign w:val="bottom"/>
            <w:hideMark/>
          </w:tcPr>
          <w:p w14:paraId="3FD1A0D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199.355,00</w:t>
            </w:r>
          </w:p>
        </w:tc>
      </w:tr>
      <w:tr w:rsidR="00846ACC" w:rsidRPr="004974C0" w14:paraId="170D96A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340E64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7BCED96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9782E2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198.655,00</w:t>
            </w:r>
          </w:p>
        </w:tc>
        <w:tc>
          <w:tcPr>
            <w:tcW w:w="1843" w:type="dxa"/>
            <w:tcBorders>
              <w:top w:val="nil"/>
              <w:left w:val="nil"/>
              <w:bottom w:val="single" w:sz="4" w:space="0" w:color="auto"/>
              <w:right w:val="single" w:sz="4" w:space="0" w:color="auto"/>
            </w:tcBorders>
            <w:shd w:val="clear" w:color="000000" w:fill="FFFFFF"/>
            <w:noWrap/>
            <w:vAlign w:val="bottom"/>
            <w:hideMark/>
          </w:tcPr>
          <w:p w14:paraId="2290265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c>
          <w:tcPr>
            <w:tcW w:w="1559" w:type="dxa"/>
            <w:tcBorders>
              <w:top w:val="nil"/>
              <w:left w:val="nil"/>
              <w:bottom w:val="single" w:sz="4" w:space="0" w:color="auto"/>
              <w:right w:val="single" w:sz="4" w:space="0" w:color="auto"/>
            </w:tcBorders>
            <w:shd w:val="clear" w:color="000000" w:fill="FFFFFF"/>
            <w:noWrap/>
            <w:vAlign w:val="bottom"/>
            <w:hideMark/>
          </w:tcPr>
          <w:p w14:paraId="0F1B1DE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0,35</w:t>
            </w:r>
          </w:p>
        </w:tc>
        <w:tc>
          <w:tcPr>
            <w:tcW w:w="1803" w:type="dxa"/>
            <w:tcBorders>
              <w:top w:val="nil"/>
              <w:left w:val="nil"/>
              <w:bottom w:val="single" w:sz="4" w:space="0" w:color="auto"/>
              <w:right w:val="single" w:sz="4" w:space="0" w:color="auto"/>
            </w:tcBorders>
            <w:shd w:val="clear" w:color="000000" w:fill="FFFFFF"/>
            <w:noWrap/>
            <w:vAlign w:val="bottom"/>
            <w:hideMark/>
          </w:tcPr>
          <w:p w14:paraId="1E5752B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199.355,00</w:t>
            </w:r>
          </w:p>
        </w:tc>
      </w:tr>
      <w:tr w:rsidR="00846ACC" w:rsidRPr="004974C0" w14:paraId="5717A3F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7F59E39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 VLASTITI PRIHODI</w:t>
            </w:r>
          </w:p>
        </w:tc>
        <w:tc>
          <w:tcPr>
            <w:tcW w:w="1984" w:type="dxa"/>
            <w:tcBorders>
              <w:top w:val="nil"/>
              <w:left w:val="nil"/>
              <w:bottom w:val="single" w:sz="4" w:space="0" w:color="auto"/>
              <w:right w:val="single" w:sz="4" w:space="0" w:color="auto"/>
            </w:tcBorders>
            <w:shd w:val="clear" w:color="000000" w:fill="FFFFFF"/>
            <w:noWrap/>
            <w:vAlign w:val="bottom"/>
            <w:hideMark/>
          </w:tcPr>
          <w:p w14:paraId="367C8D3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34258E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843" w:type="dxa"/>
            <w:tcBorders>
              <w:top w:val="nil"/>
              <w:left w:val="nil"/>
              <w:bottom w:val="single" w:sz="4" w:space="0" w:color="auto"/>
              <w:right w:val="single" w:sz="4" w:space="0" w:color="auto"/>
            </w:tcBorders>
            <w:shd w:val="clear" w:color="000000" w:fill="FFFFFF"/>
            <w:noWrap/>
            <w:vAlign w:val="bottom"/>
            <w:hideMark/>
          </w:tcPr>
          <w:p w14:paraId="0359CBF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5.734,00</w:t>
            </w:r>
          </w:p>
        </w:tc>
        <w:tc>
          <w:tcPr>
            <w:tcW w:w="1559" w:type="dxa"/>
            <w:tcBorders>
              <w:top w:val="nil"/>
              <w:left w:val="nil"/>
              <w:bottom w:val="single" w:sz="4" w:space="0" w:color="auto"/>
              <w:right w:val="single" w:sz="4" w:space="0" w:color="auto"/>
            </w:tcBorders>
            <w:shd w:val="clear" w:color="000000" w:fill="FFFFFF"/>
            <w:noWrap/>
            <w:vAlign w:val="bottom"/>
            <w:hideMark/>
          </w:tcPr>
          <w:p w14:paraId="26F3B7F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191,13</w:t>
            </w:r>
          </w:p>
        </w:tc>
        <w:tc>
          <w:tcPr>
            <w:tcW w:w="1803" w:type="dxa"/>
            <w:tcBorders>
              <w:top w:val="nil"/>
              <w:left w:val="nil"/>
              <w:bottom w:val="single" w:sz="4" w:space="0" w:color="auto"/>
              <w:right w:val="single" w:sz="4" w:space="0" w:color="auto"/>
            </w:tcBorders>
            <w:shd w:val="clear" w:color="000000" w:fill="FFFFFF"/>
            <w:noWrap/>
            <w:vAlign w:val="bottom"/>
            <w:hideMark/>
          </w:tcPr>
          <w:p w14:paraId="6EE4B59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8.734,00</w:t>
            </w:r>
          </w:p>
        </w:tc>
      </w:tr>
      <w:tr w:rsidR="00846ACC" w:rsidRPr="004974C0" w14:paraId="44CD845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40FB396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3.9. VLASTITI PRIHODI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00D57D4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934FA3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843" w:type="dxa"/>
            <w:tcBorders>
              <w:top w:val="nil"/>
              <w:left w:val="nil"/>
              <w:bottom w:val="single" w:sz="4" w:space="0" w:color="auto"/>
              <w:right w:val="single" w:sz="4" w:space="0" w:color="auto"/>
            </w:tcBorders>
            <w:shd w:val="clear" w:color="000000" w:fill="FFFFFF"/>
            <w:noWrap/>
            <w:vAlign w:val="bottom"/>
            <w:hideMark/>
          </w:tcPr>
          <w:p w14:paraId="20700AD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5.734,00</w:t>
            </w:r>
          </w:p>
        </w:tc>
        <w:tc>
          <w:tcPr>
            <w:tcW w:w="1559" w:type="dxa"/>
            <w:tcBorders>
              <w:top w:val="nil"/>
              <w:left w:val="nil"/>
              <w:bottom w:val="single" w:sz="4" w:space="0" w:color="auto"/>
              <w:right w:val="single" w:sz="4" w:space="0" w:color="auto"/>
            </w:tcBorders>
            <w:shd w:val="clear" w:color="000000" w:fill="FFFFFF"/>
            <w:noWrap/>
            <w:vAlign w:val="bottom"/>
            <w:hideMark/>
          </w:tcPr>
          <w:p w14:paraId="055DA16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191,13</w:t>
            </w:r>
          </w:p>
        </w:tc>
        <w:tc>
          <w:tcPr>
            <w:tcW w:w="1803" w:type="dxa"/>
            <w:tcBorders>
              <w:top w:val="nil"/>
              <w:left w:val="nil"/>
              <w:bottom w:val="single" w:sz="4" w:space="0" w:color="auto"/>
              <w:right w:val="single" w:sz="4" w:space="0" w:color="auto"/>
            </w:tcBorders>
            <w:shd w:val="clear" w:color="000000" w:fill="FFFFFF"/>
            <w:noWrap/>
            <w:vAlign w:val="bottom"/>
            <w:hideMark/>
          </w:tcPr>
          <w:p w14:paraId="7406D2A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8.734,00</w:t>
            </w:r>
          </w:p>
        </w:tc>
      </w:tr>
      <w:tr w:rsidR="00846ACC" w:rsidRPr="004974C0" w14:paraId="588DF6C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B5ACA1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 PRIHODI ZA POSEBNE NAMJENE</w:t>
            </w:r>
          </w:p>
        </w:tc>
        <w:tc>
          <w:tcPr>
            <w:tcW w:w="1984" w:type="dxa"/>
            <w:tcBorders>
              <w:top w:val="nil"/>
              <w:left w:val="nil"/>
              <w:bottom w:val="single" w:sz="4" w:space="0" w:color="auto"/>
              <w:right w:val="single" w:sz="4" w:space="0" w:color="auto"/>
            </w:tcBorders>
            <w:shd w:val="clear" w:color="000000" w:fill="FFFFFF"/>
            <w:noWrap/>
            <w:vAlign w:val="bottom"/>
            <w:hideMark/>
          </w:tcPr>
          <w:p w14:paraId="0508591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2C4F3ED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15.650,00</w:t>
            </w:r>
          </w:p>
        </w:tc>
        <w:tc>
          <w:tcPr>
            <w:tcW w:w="1843" w:type="dxa"/>
            <w:tcBorders>
              <w:top w:val="nil"/>
              <w:left w:val="nil"/>
              <w:bottom w:val="single" w:sz="4" w:space="0" w:color="auto"/>
              <w:right w:val="single" w:sz="4" w:space="0" w:color="auto"/>
            </w:tcBorders>
            <w:shd w:val="clear" w:color="000000" w:fill="FFFFFF"/>
            <w:noWrap/>
            <w:vAlign w:val="bottom"/>
            <w:hideMark/>
          </w:tcPr>
          <w:p w14:paraId="772ABCB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7.261,00</w:t>
            </w:r>
          </w:p>
        </w:tc>
        <w:tc>
          <w:tcPr>
            <w:tcW w:w="1559" w:type="dxa"/>
            <w:tcBorders>
              <w:top w:val="nil"/>
              <w:left w:val="nil"/>
              <w:bottom w:val="single" w:sz="4" w:space="0" w:color="auto"/>
              <w:right w:val="single" w:sz="4" w:space="0" w:color="auto"/>
            </w:tcBorders>
            <w:shd w:val="clear" w:color="000000" w:fill="FFFFFF"/>
            <w:noWrap/>
            <w:vAlign w:val="bottom"/>
            <w:hideMark/>
          </w:tcPr>
          <w:p w14:paraId="3D97511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46,40</w:t>
            </w:r>
          </w:p>
        </w:tc>
        <w:tc>
          <w:tcPr>
            <w:tcW w:w="1803" w:type="dxa"/>
            <w:tcBorders>
              <w:top w:val="nil"/>
              <w:left w:val="nil"/>
              <w:bottom w:val="single" w:sz="4" w:space="0" w:color="auto"/>
              <w:right w:val="single" w:sz="4" w:space="0" w:color="auto"/>
            </w:tcBorders>
            <w:shd w:val="clear" w:color="000000" w:fill="FFFFFF"/>
            <w:noWrap/>
            <w:vAlign w:val="bottom"/>
            <w:hideMark/>
          </w:tcPr>
          <w:p w14:paraId="710E9C4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22.911,00</w:t>
            </w:r>
          </w:p>
        </w:tc>
      </w:tr>
      <w:tr w:rsidR="00846ACC" w:rsidRPr="004974C0" w14:paraId="28DEEEE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940355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4.9. 4.PRIHODI ZA POSEBNE NAMJENE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0F4AFB5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A97E21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15.650,00</w:t>
            </w:r>
          </w:p>
        </w:tc>
        <w:tc>
          <w:tcPr>
            <w:tcW w:w="1843" w:type="dxa"/>
            <w:tcBorders>
              <w:top w:val="nil"/>
              <w:left w:val="nil"/>
              <w:bottom w:val="single" w:sz="4" w:space="0" w:color="auto"/>
              <w:right w:val="single" w:sz="4" w:space="0" w:color="auto"/>
            </w:tcBorders>
            <w:shd w:val="clear" w:color="000000" w:fill="FFFFFF"/>
            <w:noWrap/>
            <w:vAlign w:val="bottom"/>
            <w:hideMark/>
          </w:tcPr>
          <w:p w14:paraId="3FC93E6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7.261,00</w:t>
            </w:r>
          </w:p>
        </w:tc>
        <w:tc>
          <w:tcPr>
            <w:tcW w:w="1559" w:type="dxa"/>
            <w:tcBorders>
              <w:top w:val="nil"/>
              <w:left w:val="nil"/>
              <w:bottom w:val="single" w:sz="4" w:space="0" w:color="auto"/>
              <w:right w:val="single" w:sz="4" w:space="0" w:color="auto"/>
            </w:tcBorders>
            <w:shd w:val="clear" w:color="000000" w:fill="FFFFFF"/>
            <w:noWrap/>
            <w:vAlign w:val="bottom"/>
            <w:hideMark/>
          </w:tcPr>
          <w:p w14:paraId="266C028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46,40</w:t>
            </w:r>
          </w:p>
        </w:tc>
        <w:tc>
          <w:tcPr>
            <w:tcW w:w="1803" w:type="dxa"/>
            <w:tcBorders>
              <w:top w:val="nil"/>
              <w:left w:val="nil"/>
              <w:bottom w:val="single" w:sz="4" w:space="0" w:color="auto"/>
              <w:right w:val="single" w:sz="4" w:space="0" w:color="auto"/>
            </w:tcBorders>
            <w:shd w:val="clear" w:color="000000" w:fill="FFFFFF"/>
            <w:noWrap/>
            <w:vAlign w:val="bottom"/>
            <w:hideMark/>
          </w:tcPr>
          <w:p w14:paraId="18A9103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22.911,00</w:t>
            </w:r>
          </w:p>
        </w:tc>
      </w:tr>
      <w:tr w:rsidR="00846ACC" w:rsidRPr="004974C0" w14:paraId="4E6E0D1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0B80229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 POMOĆI</w:t>
            </w:r>
          </w:p>
        </w:tc>
        <w:tc>
          <w:tcPr>
            <w:tcW w:w="1984" w:type="dxa"/>
            <w:tcBorders>
              <w:top w:val="nil"/>
              <w:left w:val="nil"/>
              <w:bottom w:val="single" w:sz="4" w:space="0" w:color="auto"/>
              <w:right w:val="single" w:sz="4" w:space="0" w:color="auto"/>
            </w:tcBorders>
            <w:shd w:val="clear" w:color="000000" w:fill="FFFFFF"/>
            <w:noWrap/>
            <w:vAlign w:val="bottom"/>
            <w:hideMark/>
          </w:tcPr>
          <w:p w14:paraId="4DBB81F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2D76111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29.900,00</w:t>
            </w:r>
          </w:p>
        </w:tc>
        <w:tc>
          <w:tcPr>
            <w:tcW w:w="1843" w:type="dxa"/>
            <w:tcBorders>
              <w:top w:val="nil"/>
              <w:left w:val="nil"/>
              <w:bottom w:val="single" w:sz="4" w:space="0" w:color="auto"/>
              <w:right w:val="single" w:sz="4" w:space="0" w:color="auto"/>
            </w:tcBorders>
            <w:shd w:val="clear" w:color="000000" w:fill="FFFFFF"/>
            <w:noWrap/>
            <w:vAlign w:val="bottom"/>
            <w:hideMark/>
          </w:tcPr>
          <w:p w14:paraId="257B4F5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-61,00</w:t>
            </w:r>
          </w:p>
        </w:tc>
        <w:tc>
          <w:tcPr>
            <w:tcW w:w="1559" w:type="dxa"/>
            <w:tcBorders>
              <w:top w:val="nil"/>
              <w:left w:val="nil"/>
              <w:bottom w:val="single" w:sz="4" w:space="0" w:color="auto"/>
              <w:right w:val="single" w:sz="4" w:space="0" w:color="auto"/>
            </w:tcBorders>
            <w:shd w:val="clear" w:color="000000" w:fill="FFFFFF"/>
            <w:noWrap/>
            <w:vAlign w:val="bottom"/>
            <w:hideMark/>
          </w:tcPr>
          <w:p w14:paraId="069F933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-0,20</w:t>
            </w:r>
          </w:p>
        </w:tc>
        <w:tc>
          <w:tcPr>
            <w:tcW w:w="1803" w:type="dxa"/>
            <w:tcBorders>
              <w:top w:val="nil"/>
              <w:left w:val="nil"/>
              <w:bottom w:val="single" w:sz="4" w:space="0" w:color="auto"/>
              <w:right w:val="single" w:sz="4" w:space="0" w:color="auto"/>
            </w:tcBorders>
            <w:shd w:val="clear" w:color="000000" w:fill="FFFFFF"/>
            <w:noWrap/>
            <w:vAlign w:val="bottom"/>
            <w:hideMark/>
          </w:tcPr>
          <w:p w14:paraId="32DFCAA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29.839,00</w:t>
            </w:r>
          </w:p>
        </w:tc>
      </w:tr>
      <w:tr w:rsidR="00846ACC" w:rsidRPr="004974C0" w14:paraId="53D921E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6EF8C31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Izvor  5.9. POMOĆI - PRIHODI KORISNIKA - GL 02</w:t>
            </w:r>
          </w:p>
        </w:tc>
        <w:tc>
          <w:tcPr>
            <w:tcW w:w="1984" w:type="dxa"/>
            <w:tcBorders>
              <w:top w:val="nil"/>
              <w:left w:val="nil"/>
              <w:bottom w:val="single" w:sz="4" w:space="0" w:color="auto"/>
              <w:right w:val="single" w:sz="4" w:space="0" w:color="auto"/>
            </w:tcBorders>
            <w:shd w:val="clear" w:color="000000" w:fill="FFFFFF"/>
            <w:noWrap/>
            <w:vAlign w:val="bottom"/>
            <w:hideMark/>
          </w:tcPr>
          <w:p w14:paraId="5861D2E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BE4B79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29.900,00</w:t>
            </w:r>
          </w:p>
        </w:tc>
        <w:tc>
          <w:tcPr>
            <w:tcW w:w="1843" w:type="dxa"/>
            <w:tcBorders>
              <w:top w:val="nil"/>
              <w:left w:val="nil"/>
              <w:bottom w:val="single" w:sz="4" w:space="0" w:color="auto"/>
              <w:right w:val="single" w:sz="4" w:space="0" w:color="auto"/>
            </w:tcBorders>
            <w:shd w:val="clear" w:color="000000" w:fill="FFFFFF"/>
            <w:noWrap/>
            <w:vAlign w:val="bottom"/>
            <w:hideMark/>
          </w:tcPr>
          <w:p w14:paraId="506312B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-61,00</w:t>
            </w:r>
          </w:p>
        </w:tc>
        <w:tc>
          <w:tcPr>
            <w:tcW w:w="1559" w:type="dxa"/>
            <w:tcBorders>
              <w:top w:val="nil"/>
              <w:left w:val="nil"/>
              <w:bottom w:val="single" w:sz="4" w:space="0" w:color="auto"/>
              <w:right w:val="single" w:sz="4" w:space="0" w:color="auto"/>
            </w:tcBorders>
            <w:shd w:val="clear" w:color="000000" w:fill="FFFFFF"/>
            <w:noWrap/>
            <w:vAlign w:val="bottom"/>
            <w:hideMark/>
          </w:tcPr>
          <w:p w14:paraId="03D2A71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-0,20</w:t>
            </w:r>
          </w:p>
        </w:tc>
        <w:tc>
          <w:tcPr>
            <w:tcW w:w="1803" w:type="dxa"/>
            <w:tcBorders>
              <w:top w:val="nil"/>
              <w:left w:val="nil"/>
              <w:bottom w:val="single" w:sz="4" w:space="0" w:color="auto"/>
              <w:right w:val="single" w:sz="4" w:space="0" w:color="auto"/>
            </w:tcBorders>
            <w:shd w:val="clear" w:color="000000" w:fill="FFFFFF"/>
            <w:noWrap/>
            <w:vAlign w:val="bottom"/>
            <w:hideMark/>
          </w:tcPr>
          <w:p w14:paraId="435FF8D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29.839,00</w:t>
            </w:r>
          </w:p>
        </w:tc>
      </w:tr>
      <w:tr w:rsidR="00846ACC" w:rsidRPr="004974C0" w14:paraId="7345512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4BF6425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 DONACIJE</w:t>
            </w:r>
          </w:p>
        </w:tc>
        <w:tc>
          <w:tcPr>
            <w:tcW w:w="1984" w:type="dxa"/>
            <w:tcBorders>
              <w:top w:val="nil"/>
              <w:left w:val="nil"/>
              <w:bottom w:val="single" w:sz="4" w:space="0" w:color="auto"/>
              <w:right w:val="single" w:sz="4" w:space="0" w:color="auto"/>
            </w:tcBorders>
            <w:shd w:val="clear" w:color="000000" w:fill="FFFFFF"/>
            <w:noWrap/>
            <w:vAlign w:val="bottom"/>
            <w:hideMark/>
          </w:tcPr>
          <w:p w14:paraId="415B7F2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E2B12C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730,00</w:t>
            </w:r>
          </w:p>
        </w:tc>
        <w:tc>
          <w:tcPr>
            <w:tcW w:w="1843" w:type="dxa"/>
            <w:tcBorders>
              <w:top w:val="nil"/>
              <w:left w:val="nil"/>
              <w:bottom w:val="single" w:sz="4" w:space="0" w:color="auto"/>
              <w:right w:val="single" w:sz="4" w:space="0" w:color="auto"/>
            </w:tcBorders>
            <w:shd w:val="clear" w:color="000000" w:fill="FFFFFF"/>
            <w:noWrap/>
            <w:vAlign w:val="bottom"/>
            <w:hideMark/>
          </w:tcPr>
          <w:p w14:paraId="057C3AE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09ED7FD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774D807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730,00</w:t>
            </w:r>
          </w:p>
        </w:tc>
      </w:tr>
      <w:tr w:rsidR="00846ACC" w:rsidRPr="004974C0" w14:paraId="2A54D4B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4546565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6.9. 6.DONACIJE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366B7BC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479881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730,00</w:t>
            </w:r>
          </w:p>
        </w:tc>
        <w:tc>
          <w:tcPr>
            <w:tcW w:w="1843" w:type="dxa"/>
            <w:tcBorders>
              <w:top w:val="nil"/>
              <w:left w:val="nil"/>
              <w:bottom w:val="single" w:sz="4" w:space="0" w:color="auto"/>
              <w:right w:val="single" w:sz="4" w:space="0" w:color="auto"/>
            </w:tcBorders>
            <w:shd w:val="clear" w:color="000000" w:fill="FFFFFF"/>
            <w:noWrap/>
            <w:vAlign w:val="bottom"/>
            <w:hideMark/>
          </w:tcPr>
          <w:p w14:paraId="5567D18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0ADDC75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793611C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730,00</w:t>
            </w:r>
          </w:p>
        </w:tc>
      </w:tr>
      <w:tr w:rsidR="00846ACC" w:rsidRPr="004974C0" w14:paraId="3B96F0E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37126A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 PRIHODI OD NEFINANCIJSKE IMOVINE</w:t>
            </w:r>
          </w:p>
        </w:tc>
        <w:tc>
          <w:tcPr>
            <w:tcW w:w="1984" w:type="dxa"/>
            <w:tcBorders>
              <w:top w:val="nil"/>
              <w:left w:val="nil"/>
              <w:bottom w:val="single" w:sz="4" w:space="0" w:color="auto"/>
              <w:right w:val="single" w:sz="4" w:space="0" w:color="auto"/>
            </w:tcBorders>
            <w:shd w:val="clear" w:color="000000" w:fill="FFFFFF"/>
            <w:noWrap/>
            <w:vAlign w:val="bottom"/>
            <w:hideMark/>
          </w:tcPr>
          <w:p w14:paraId="76E4BB0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FE78D4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w:t>
            </w:r>
          </w:p>
        </w:tc>
        <w:tc>
          <w:tcPr>
            <w:tcW w:w="1843" w:type="dxa"/>
            <w:tcBorders>
              <w:top w:val="nil"/>
              <w:left w:val="nil"/>
              <w:bottom w:val="single" w:sz="4" w:space="0" w:color="auto"/>
              <w:right w:val="single" w:sz="4" w:space="0" w:color="auto"/>
            </w:tcBorders>
            <w:shd w:val="clear" w:color="000000" w:fill="FFFFFF"/>
            <w:noWrap/>
            <w:vAlign w:val="bottom"/>
            <w:hideMark/>
          </w:tcPr>
          <w:p w14:paraId="31249EC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338,00</w:t>
            </w:r>
          </w:p>
        </w:tc>
        <w:tc>
          <w:tcPr>
            <w:tcW w:w="1559" w:type="dxa"/>
            <w:tcBorders>
              <w:top w:val="nil"/>
              <w:left w:val="nil"/>
              <w:bottom w:val="single" w:sz="4" w:space="0" w:color="auto"/>
              <w:right w:val="single" w:sz="4" w:space="0" w:color="auto"/>
            </w:tcBorders>
            <w:shd w:val="clear" w:color="000000" w:fill="FFFFFF"/>
            <w:noWrap/>
            <w:vAlign w:val="bottom"/>
            <w:hideMark/>
          </w:tcPr>
          <w:p w14:paraId="64EB65D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112,67</w:t>
            </w:r>
          </w:p>
        </w:tc>
        <w:tc>
          <w:tcPr>
            <w:tcW w:w="1803" w:type="dxa"/>
            <w:tcBorders>
              <w:top w:val="nil"/>
              <w:left w:val="nil"/>
              <w:bottom w:val="single" w:sz="4" w:space="0" w:color="auto"/>
              <w:right w:val="single" w:sz="4" w:space="0" w:color="auto"/>
            </w:tcBorders>
            <w:shd w:val="clear" w:color="000000" w:fill="FFFFFF"/>
            <w:noWrap/>
            <w:vAlign w:val="bottom"/>
            <w:hideMark/>
          </w:tcPr>
          <w:p w14:paraId="35AFFD5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638,00</w:t>
            </w:r>
          </w:p>
        </w:tc>
      </w:tr>
      <w:tr w:rsidR="00846ACC" w:rsidRPr="004974C0" w14:paraId="7DCAD06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28A5E41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7.9. 7.PRIHODI OD NAKNADA ŠTETA S OSN.OSIGUR.-PRIH.KOR.</w:t>
            </w:r>
          </w:p>
        </w:tc>
        <w:tc>
          <w:tcPr>
            <w:tcW w:w="1984" w:type="dxa"/>
            <w:tcBorders>
              <w:top w:val="nil"/>
              <w:left w:val="nil"/>
              <w:bottom w:val="single" w:sz="4" w:space="0" w:color="auto"/>
              <w:right w:val="single" w:sz="4" w:space="0" w:color="auto"/>
            </w:tcBorders>
            <w:shd w:val="clear" w:color="000000" w:fill="FFFFFF"/>
            <w:noWrap/>
            <w:vAlign w:val="bottom"/>
            <w:hideMark/>
          </w:tcPr>
          <w:p w14:paraId="7F2CAD2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FFADC9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w:t>
            </w:r>
          </w:p>
        </w:tc>
        <w:tc>
          <w:tcPr>
            <w:tcW w:w="1843" w:type="dxa"/>
            <w:tcBorders>
              <w:top w:val="nil"/>
              <w:left w:val="nil"/>
              <w:bottom w:val="single" w:sz="4" w:space="0" w:color="auto"/>
              <w:right w:val="single" w:sz="4" w:space="0" w:color="auto"/>
            </w:tcBorders>
            <w:shd w:val="clear" w:color="000000" w:fill="FFFFFF"/>
            <w:noWrap/>
            <w:vAlign w:val="bottom"/>
            <w:hideMark/>
          </w:tcPr>
          <w:p w14:paraId="05ECCA8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338,00</w:t>
            </w:r>
          </w:p>
        </w:tc>
        <w:tc>
          <w:tcPr>
            <w:tcW w:w="1559" w:type="dxa"/>
            <w:tcBorders>
              <w:top w:val="nil"/>
              <w:left w:val="nil"/>
              <w:bottom w:val="single" w:sz="4" w:space="0" w:color="auto"/>
              <w:right w:val="single" w:sz="4" w:space="0" w:color="auto"/>
            </w:tcBorders>
            <w:shd w:val="clear" w:color="000000" w:fill="FFFFFF"/>
            <w:noWrap/>
            <w:vAlign w:val="bottom"/>
            <w:hideMark/>
          </w:tcPr>
          <w:p w14:paraId="682319E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112,67</w:t>
            </w:r>
          </w:p>
        </w:tc>
        <w:tc>
          <w:tcPr>
            <w:tcW w:w="1803" w:type="dxa"/>
            <w:tcBorders>
              <w:top w:val="nil"/>
              <w:left w:val="nil"/>
              <w:bottom w:val="single" w:sz="4" w:space="0" w:color="auto"/>
              <w:right w:val="single" w:sz="4" w:space="0" w:color="auto"/>
            </w:tcBorders>
            <w:shd w:val="clear" w:color="000000" w:fill="FFFFFF"/>
            <w:noWrap/>
            <w:vAlign w:val="bottom"/>
            <w:hideMark/>
          </w:tcPr>
          <w:p w14:paraId="25A6745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638,00</w:t>
            </w:r>
          </w:p>
        </w:tc>
      </w:tr>
      <w:tr w:rsidR="00846ACC" w:rsidRPr="004974C0" w14:paraId="61089B8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68A9D73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5004 Promicanje kulture</w:t>
            </w:r>
          </w:p>
        </w:tc>
        <w:tc>
          <w:tcPr>
            <w:tcW w:w="1984" w:type="dxa"/>
            <w:tcBorders>
              <w:top w:val="nil"/>
              <w:left w:val="nil"/>
              <w:bottom w:val="single" w:sz="4" w:space="0" w:color="auto"/>
              <w:right w:val="single" w:sz="4" w:space="0" w:color="auto"/>
            </w:tcBorders>
            <w:shd w:val="clear" w:color="000000" w:fill="9999FF"/>
            <w:noWrap/>
            <w:vAlign w:val="bottom"/>
            <w:hideMark/>
          </w:tcPr>
          <w:p w14:paraId="56B2EE2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2966B0A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248.235,00</w:t>
            </w:r>
          </w:p>
        </w:tc>
        <w:tc>
          <w:tcPr>
            <w:tcW w:w="1843" w:type="dxa"/>
            <w:tcBorders>
              <w:top w:val="nil"/>
              <w:left w:val="nil"/>
              <w:bottom w:val="single" w:sz="4" w:space="0" w:color="auto"/>
              <w:right w:val="single" w:sz="4" w:space="0" w:color="auto"/>
            </w:tcBorders>
            <w:shd w:val="clear" w:color="000000" w:fill="9999FF"/>
            <w:noWrap/>
            <w:vAlign w:val="bottom"/>
            <w:hideMark/>
          </w:tcPr>
          <w:p w14:paraId="6393946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13.972,00</w:t>
            </w:r>
          </w:p>
        </w:tc>
        <w:tc>
          <w:tcPr>
            <w:tcW w:w="1559" w:type="dxa"/>
            <w:tcBorders>
              <w:top w:val="nil"/>
              <w:left w:val="nil"/>
              <w:bottom w:val="single" w:sz="4" w:space="0" w:color="auto"/>
              <w:right w:val="single" w:sz="4" w:space="0" w:color="auto"/>
            </w:tcBorders>
            <w:shd w:val="clear" w:color="000000" w:fill="9999FF"/>
            <w:noWrap/>
            <w:vAlign w:val="bottom"/>
            <w:hideMark/>
          </w:tcPr>
          <w:p w14:paraId="2FB1849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5,63</w:t>
            </w:r>
          </w:p>
        </w:tc>
        <w:tc>
          <w:tcPr>
            <w:tcW w:w="1803" w:type="dxa"/>
            <w:tcBorders>
              <w:top w:val="nil"/>
              <w:left w:val="nil"/>
              <w:bottom w:val="single" w:sz="4" w:space="0" w:color="auto"/>
              <w:right w:val="single" w:sz="4" w:space="0" w:color="auto"/>
            </w:tcBorders>
            <w:shd w:val="clear" w:color="000000" w:fill="9999FF"/>
            <w:noWrap/>
            <w:vAlign w:val="bottom"/>
            <w:hideMark/>
          </w:tcPr>
          <w:p w14:paraId="483980A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262.207,00</w:t>
            </w:r>
          </w:p>
        </w:tc>
      </w:tr>
      <w:tr w:rsidR="00846ACC" w:rsidRPr="004974C0" w14:paraId="6F825F3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24320E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A500013 Financiranje redovne djelatnosti knjižnice</w:t>
            </w:r>
          </w:p>
        </w:tc>
        <w:tc>
          <w:tcPr>
            <w:tcW w:w="1984" w:type="dxa"/>
            <w:tcBorders>
              <w:top w:val="nil"/>
              <w:left w:val="nil"/>
              <w:bottom w:val="single" w:sz="4" w:space="0" w:color="auto"/>
              <w:right w:val="single" w:sz="4" w:space="0" w:color="auto"/>
            </w:tcBorders>
            <w:shd w:val="clear" w:color="000000" w:fill="CCCCFF"/>
            <w:noWrap/>
            <w:vAlign w:val="bottom"/>
            <w:hideMark/>
          </w:tcPr>
          <w:p w14:paraId="0451DA6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334091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203.635,00</w:t>
            </w:r>
          </w:p>
        </w:tc>
        <w:tc>
          <w:tcPr>
            <w:tcW w:w="1843" w:type="dxa"/>
            <w:tcBorders>
              <w:top w:val="nil"/>
              <w:left w:val="nil"/>
              <w:bottom w:val="single" w:sz="4" w:space="0" w:color="auto"/>
              <w:right w:val="single" w:sz="4" w:space="0" w:color="auto"/>
            </w:tcBorders>
            <w:shd w:val="clear" w:color="000000" w:fill="CCCCFF"/>
            <w:noWrap/>
            <w:vAlign w:val="bottom"/>
            <w:hideMark/>
          </w:tcPr>
          <w:p w14:paraId="0E4CA9B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9.894,00</w:t>
            </w:r>
          </w:p>
        </w:tc>
        <w:tc>
          <w:tcPr>
            <w:tcW w:w="1559" w:type="dxa"/>
            <w:tcBorders>
              <w:top w:val="nil"/>
              <w:left w:val="nil"/>
              <w:bottom w:val="single" w:sz="4" w:space="0" w:color="auto"/>
              <w:right w:val="single" w:sz="4" w:space="0" w:color="auto"/>
            </w:tcBorders>
            <w:shd w:val="clear" w:color="000000" w:fill="CCCCFF"/>
            <w:noWrap/>
            <w:vAlign w:val="bottom"/>
            <w:hideMark/>
          </w:tcPr>
          <w:p w14:paraId="2E18AC5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4,86</w:t>
            </w:r>
          </w:p>
        </w:tc>
        <w:tc>
          <w:tcPr>
            <w:tcW w:w="1803" w:type="dxa"/>
            <w:tcBorders>
              <w:top w:val="nil"/>
              <w:left w:val="nil"/>
              <w:bottom w:val="single" w:sz="4" w:space="0" w:color="auto"/>
              <w:right w:val="single" w:sz="4" w:space="0" w:color="auto"/>
            </w:tcBorders>
            <w:shd w:val="clear" w:color="000000" w:fill="CCCCFF"/>
            <w:noWrap/>
            <w:vAlign w:val="bottom"/>
            <w:hideMark/>
          </w:tcPr>
          <w:p w14:paraId="0397BEE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213.529,00</w:t>
            </w:r>
          </w:p>
        </w:tc>
      </w:tr>
      <w:tr w:rsidR="00846ACC" w:rsidRPr="004974C0" w14:paraId="63CEAF8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78C3BB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59DAC67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8FBF8D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190.655,00</w:t>
            </w:r>
          </w:p>
        </w:tc>
        <w:tc>
          <w:tcPr>
            <w:tcW w:w="1843" w:type="dxa"/>
            <w:tcBorders>
              <w:top w:val="nil"/>
              <w:left w:val="nil"/>
              <w:bottom w:val="single" w:sz="4" w:space="0" w:color="auto"/>
              <w:right w:val="single" w:sz="4" w:space="0" w:color="auto"/>
            </w:tcBorders>
            <w:shd w:val="clear" w:color="000000" w:fill="FFFF99"/>
            <w:noWrap/>
            <w:vAlign w:val="bottom"/>
            <w:hideMark/>
          </w:tcPr>
          <w:p w14:paraId="3585A8B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c>
          <w:tcPr>
            <w:tcW w:w="1559" w:type="dxa"/>
            <w:tcBorders>
              <w:top w:val="nil"/>
              <w:left w:val="nil"/>
              <w:bottom w:val="single" w:sz="4" w:space="0" w:color="auto"/>
              <w:right w:val="single" w:sz="4" w:space="0" w:color="auto"/>
            </w:tcBorders>
            <w:shd w:val="clear" w:color="000000" w:fill="FFFF99"/>
            <w:noWrap/>
            <w:vAlign w:val="bottom"/>
            <w:hideMark/>
          </w:tcPr>
          <w:p w14:paraId="63A579A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0,37</w:t>
            </w:r>
          </w:p>
        </w:tc>
        <w:tc>
          <w:tcPr>
            <w:tcW w:w="1803" w:type="dxa"/>
            <w:tcBorders>
              <w:top w:val="nil"/>
              <w:left w:val="nil"/>
              <w:bottom w:val="single" w:sz="4" w:space="0" w:color="auto"/>
              <w:right w:val="single" w:sz="4" w:space="0" w:color="auto"/>
            </w:tcBorders>
            <w:shd w:val="clear" w:color="000000" w:fill="FFFF99"/>
            <w:noWrap/>
            <w:vAlign w:val="bottom"/>
            <w:hideMark/>
          </w:tcPr>
          <w:p w14:paraId="5E39A07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191.355,00</w:t>
            </w:r>
          </w:p>
        </w:tc>
      </w:tr>
      <w:tr w:rsidR="00846ACC" w:rsidRPr="004974C0" w14:paraId="6B2C757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B31B3C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CC9AC7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FE8F67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190.655,00</w:t>
            </w:r>
          </w:p>
        </w:tc>
        <w:tc>
          <w:tcPr>
            <w:tcW w:w="1843" w:type="dxa"/>
            <w:tcBorders>
              <w:top w:val="nil"/>
              <w:left w:val="nil"/>
              <w:bottom w:val="single" w:sz="4" w:space="0" w:color="auto"/>
              <w:right w:val="single" w:sz="4" w:space="0" w:color="auto"/>
            </w:tcBorders>
            <w:shd w:val="clear" w:color="auto" w:fill="auto"/>
            <w:noWrap/>
            <w:vAlign w:val="bottom"/>
            <w:hideMark/>
          </w:tcPr>
          <w:p w14:paraId="174317E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w:t>
            </w:r>
          </w:p>
        </w:tc>
        <w:tc>
          <w:tcPr>
            <w:tcW w:w="1559" w:type="dxa"/>
            <w:tcBorders>
              <w:top w:val="nil"/>
              <w:left w:val="nil"/>
              <w:bottom w:val="single" w:sz="4" w:space="0" w:color="auto"/>
              <w:right w:val="single" w:sz="4" w:space="0" w:color="auto"/>
            </w:tcBorders>
            <w:shd w:val="clear" w:color="auto" w:fill="auto"/>
            <w:noWrap/>
            <w:vAlign w:val="bottom"/>
            <w:hideMark/>
          </w:tcPr>
          <w:p w14:paraId="03F8E45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0,37</w:t>
            </w:r>
          </w:p>
        </w:tc>
        <w:tc>
          <w:tcPr>
            <w:tcW w:w="1803" w:type="dxa"/>
            <w:tcBorders>
              <w:top w:val="nil"/>
              <w:left w:val="nil"/>
              <w:bottom w:val="single" w:sz="4" w:space="0" w:color="auto"/>
              <w:right w:val="single" w:sz="4" w:space="0" w:color="auto"/>
            </w:tcBorders>
            <w:shd w:val="clear" w:color="auto" w:fill="auto"/>
            <w:noWrap/>
            <w:vAlign w:val="bottom"/>
            <w:hideMark/>
          </w:tcPr>
          <w:p w14:paraId="7E5DAFC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191.355,00</w:t>
            </w:r>
          </w:p>
        </w:tc>
      </w:tr>
      <w:tr w:rsidR="00846ACC" w:rsidRPr="004974C0" w14:paraId="675A046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3A4890B"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7A2A20DE"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3D3BD57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140.075,00</w:t>
            </w:r>
          </w:p>
        </w:tc>
        <w:tc>
          <w:tcPr>
            <w:tcW w:w="1843" w:type="dxa"/>
            <w:tcBorders>
              <w:top w:val="nil"/>
              <w:left w:val="nil"/>
              <w:bottom w:val="single" w:sz="4" w:space="0" w:color="auto"/>
              <w:right w:val="single" w:sz="4" w:space="0" w:color="auto"/>
            </w:tcBorders>
            <w:shd w:val="clear" w:color="auto" w:fill="auto"/>
            <w:noWrap/>
            <w:vAlign w:val="bottom"/>
            <w:hideMark/>
          </w:tcPr>
          <w:p w14:paraId="3B7A0B8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w:t>
            </w:r>
          </w:p>
        </w:tc>
        <w:tc>
          <w:tcPr>
            <w:tcW w:w="1559" w:type="dxa"/>
            <w:tcBorders>
              <w:top w:val="nil"/>
              <w:left w:val="nil"/>
              <w:bottom w:val="single" w:sz="4" w:space="0" w:color="auto"/>
              <w:right w:val="single" w:sz="4" w:space="0" w:color="auto"/>
            </w:tcBorders>
            <w:shd w:val="clear" w:color="auto" w:fill="auto"/>
            <w:noWrap/>
            <w:vAlign w:val="bottom"/>
            <w:hideMark/>
          </w:tcPr>
          <w:p w14:paraId="5419223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0,50</w:t>
            </w:r>
          </w:p>
        </w:tc>
        <w:tc>
          <w:tcPr>
            <w:tcW w:w="1803" w:type="dxa"/>
            <w:tcBorders>
              <w:top w:val="nil"/>
              <w:left w:val="nil"/>
              <w:bottom w:val="single" w:sz="4" w:space="0" w:color="auto"/>
              <w:right w:val="single" w:sz="4" w:space="0" w:color="auto"/>
            </w:tcBorders>
            <w:shd w:val="clear" w:color="auto" w:fill="auto"/>
            <w:noWrap/>
            <w:vAlign w:val="bottom"/>
            <w:hideMark/>
          </w:tcPr>
          <w:p w14:paraId="63419E1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140.775,00</w:t>
            </w:r>
          </w:p>
        </w:tc>
      </w:tr>
      <w:tr w:rsidR="00846ACC" w:rsidRPr="004974C0" w14:paraId="7CAB300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36905BF"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6F0E27AE"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D15405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50.580,00</w:t>
            </w:r>
          </w:p>
        </w:tc>
        <w:tc>
          <w:tcPr>
            <w:tcW w:w="1843" w:type="dxa"/>
            <w:tcBorders>
              <w:top w:val="nil"/>
              <w:left w:val="nil"/>
              <w:bottom w:val="single" w:sz="4" w:space="0" w:color="auto"/>
              <w:right w:val="single" w:sz="4" w:space="0" w:color="auto"/>
            </w:tcBorders>
            <w:shd w:val="clear" w:color="auto" w:fill="auto"/>
            <w:noWrap/>
            <w:vAlign w:val="bottom"/>
            <w:hideMark/>
          </w:tcPr>
          <w:p w14:paraId="0352F6E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0D6712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DBED2D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50.580,00</w:t>
            </w:r>
          </w:p>
        </w:tc>
      </w:tr>
      <w:tr w:rsidR="00846ACC" w:rsidRPr="004974C0" w14:paraId="5E7C915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E5EB05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3.9. VLASTITI PRIHODI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21A103F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921808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w:t>
            </w:r>
          </w:p>
        </w:tc>
        <w:tc>
          <w:tcPr>
            <w:tcW w:w="1843" w:type="dxa"/>
            <w:tcBorders>
              <w:top w:val="nil"/>
              <w:left w:val="nil"/>
              <w:bottom w:val="single" w:sz="4" w:space="0" w:color="auto"/>
              <w:right w:val="single" w:sz="4" w:space="0" w:color="auto"/>
            </w:tcBorders>
            <w:shd w:val="clear" w:color="000000" w:fill="FFFF99"/>
            <w:noWrap/>
            <w:vAlign w:val="bottom"/>
            <w:hideMark/>
          </w:tcPr>
          <w:p w14:paraId="554BBF0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4.294,00</w:t>
            </w:r>
          </w:p>
        </w:tc>
        <w:tc>
          <w:tcPr>
            <w:tcW w:w="1559" w:type="dxa"/>
            <w:tcBorders>
              <w:top w:val="nil"/>
              <w:left w:val="nil"/>
              <w:bottom w:val="single" w:sz="4" w:space="0" w:color="auto"/>
              <w:right w:val="single" w:sz="4" w:space="0" w:color="auto"/>
            </w:tcBorders>
            <w:shd w:val="clear" w:color="000000" w:fill="FFFF99"/>
            <w:noWrap/>
            <w:vAlign w:val="bottom"/>
            <w:hideMark/>
          </w:tcPr>
          <w:p w14:paraId="55ECA4D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330,31</w:t>
            </w:r>
          </w:p>
        </w:tc>
        <w:tc>
          <w:tcPr>
            <w:tcW w:w="1803" w:type="dxa"/>
            <w:tcBorders>
              <w:top w:val="nil"/>
              <w:left w:val="nil"/>
              <w:bottom w:val="single" w:sz="4" w:space="0" w:color="auto"/>
              <w:right w:val="single" w:sz="4" w:space="0" w:color="auto"/>
            </w:tcBorders>
            <w:shd w:val="clear" w:color="000000" w:fill="FFFF99"/>
            <w:noWrap/>
            <w:vAlign w:val="bottom"/>
            <w:hideMark/>
          </w:tcPr>
          <w:p w14:paraId="727DC85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5.594,00</w:t>
            </w:r>
          </w:p>
        </w:tc>
      </w:tr>
      <w:tr w:rsidR="00846ACC" w:rsidRPr="004974C0" w14:paraId="39F8C57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BDFC23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22B9AF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DE5CD6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5406AF8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F89CD1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48D40B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r>
      <w:tr w:rsidR="00846ACC" w:rsidRPr="004974C0" w14:paraId="4464EE4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7BCFC71"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482D3F16"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ADA062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692A29B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18ED90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029887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r>
      <w:tr w:rsidR="00846ACC" w:rsidRPr="004974C0" w14:paraId="18AB011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F17259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6608EF7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7FD850B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w:t>
            </w:r>
          </w:p>
        </w:tc>
        <w:tc>
          <w:tcPr>
            <w:tcW w:w="1843" w:type="dxa"/>
            <w:tcBorders>
              <w:top w:val="nil"/>
              <w:left w:val="nil"/>
              <w:bottom w:val="single" w:sz="4" w:space="0" w:color="auto"/>
              <w:right w:val="single" w:sz="4" w:space="0" w:color="auto"/>
            </w:tcBorders>
            <w:shd w:val="clear" w:color="auto" w:fill="auto"/>
            <w:noWrap/>
            <w:vAlign w:val="bottom"/>
            <w:hideMark/>
          </w:tcPr>
          <w:p w14:paraId="289D998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4.294,00</w:t>
            </w:r>
          </w:p>
        </w:tc>
        <w:tc>
          <w:tcPr>
            <w:tcW w:w="1559" w:type="dxa"/>
            <w:tcBorders>
              <w:top w:val="nil"/>
              <w:left w:val="nil"/>
              <w:bottom w:val="single" w:sz="4" w:space="0" w:color="auto"/>
              <w:right w:val="single" w:sz="4" w:space="0" w:color="auto"/>
            </w:tcBorders>
            <w:shd w:val="clear" w:color="auto" w:fill="auto"/>
            <w:noWrap/>
            <w:vAlign w:val="bottom"/>
            <w:hideMark/>
          </w:tcPr>
          <w:p w14:paraId="4117C57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1.431,33</w:t>
            </w:r>
          </w:p>
        </w:tc>
        <w:tc>
          <w:tcPr>
            <w:tcW w:w="1803" w:type="dxa"/>
            <w:tcBorders>
              <w:top w:val="nil"/>
              <w:left w:val="nil"/>
              <w:bottom w:val="single" w:sz="4" w:space="0" w:color="auto"/>
              <w:right w:val="single" w:sz="4" w:space="0" w:color="auto"/>
            </w:tcBorders>
            <w:shd w:val="clear" w:color="auto" w:fill="auto"/>
            <w:noWrap/>
            <w:vAlign w:val="bottom"/>
            <w:hideMark/>
          </w:tcPr>
          <w:p w14:paraId="47FEE52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4.594,00</w:t>
            </w:r>
          </w:p>
        </w:tc>
      </w:tr>
      <w:tr w:rsidR="00846ACC" w:rsidRPr="004974C0" w14:paraId="7AE4124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35567A1"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2E7585FF"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6DA260E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w:t>
            </w:r>
          </w:p>
        </w:tc>
        <w:tc>
          <w:tcPr>
            <w:tcW w:w="1843" w:type="dxa"/>
            <w:tcBorders>
              <w:top w:val="nil"/>
              <w:left w:val="nil"/>
              <w:bottom w:val="single" w:sz="4" w:space="0" w:color="auto"/>
              <w:right w:val="single" w:sz="4" w:space="0" w:color="auto"/>
            </w:tcBorders>
            <w:shd w:val="clear" w:color="auto" w:fill="auto"/>
            <w:noWrap/>
            <w:vAlign w:val="bottom"/>
            <w:hideMark/>
          </w:tcPr>
          <w:p w14:paraId="096B580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4.294,00</w:t>
            </w:r>
          </w:p>
        </w:tc>
        <w:tc>
          <w:tcPr>
            <w:tcW w:w="1559" w:type="dxa"/>
            <w:tcBorders>
              <w:top w:val="nil"/>
              <w:left w:val="nil"/>
              <w:bottom w:val="single" w:sz="4" w:space="0" w:color="auto"/>
              <w:right w:val="single" w:sz="4" w:space="0" w:color="auto"/>
            </w:tcBorders>
            <w:shd w:val="clear" w:color="auto" w:fill="auto"/>
            <w:noWrap/>
            <w:vAlign w:val="bottom"/>
            <w:hideMark/>
          </w:tcPr>
          <w:p w14:paraId="761CD8A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1.431,33</w:t>
            </w:r>
          </w:p>
        </w:tc>
        <w:tc>
          <w:tcPr>
            <w:tcW w:w="1803" w:type="dxa"/>
            <w:tcBorders>
              <w:top w:val="nil"/>
              <w:left w:val="nil"/>
              <w:bottom w:val="single" w:sz="4" w:space="0" w:color="auto"/>
              <w:right w:val="single" w:sz="4" w:space="0" w:color="auto"/>
            </w:tcBorders>
            <w:shd w:val="clear" w:color="auto" w:fill="auto"/>
            <w:noWrap/>
            <w:vAlign w:val="bottom"/>
            <w:hideMark/>
          </w:tcPr>
          <w:p w14:paraId="4BB1B11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4.594,00</w:t>
            </w:r>
          </w:p>
        </w:tc>
      </w:tr>
      <w:tr w:rsidR="00846ACC" w:rsidRPr="004974C0" w14:paraId="17E8AFF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A9E13D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4.9. 4.PRIHODI ZA POSEBNE NAMJENE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3D6C2E9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A4450F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9.950,00</w:t>
            </w:r>
          </w:p>
        </w:tc>
        <w:tc>
          <w:tcPr>
            <w:tcW w:w="1843" w:type="dxa"/>
            <w:tcBorders>
              <w:top w:val="nil"/>
              <w:left w:val="nil"/>
              <w:bottom w:val="single" w:sz="4" w:space="0" w:color="auto"/>
              <w:right w:val="single" w:sz="4" w:space="0" w:color="auto"/>
            </w:tcBorders>
            <w:shd w:val="clear" w:color="000000" w:fill="FFFF99"/>
            <w:noWrap/>
            <w:vAlign w:val="bottom"/>
            <w:hideMark/>
          </w:tcPr>
          <w:p w14:paraId="29E3D69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4.261,00</w:t>
            </w:r>
          </w:p>
        </w:tc>
        <w:tc>
          <w:tcPr>
            <w:tcW w:w="1559" w:type="dxa"/>
            <w:tcBorders>
              <w:top w:val="nil"/>
              <w:left w:val="nil"/>
              <w:bottom w:val="single" w:sz="4" w:space="0" w:color="auto"/>
              <w:right w:val="single" w:sz="4" w:space="0" w:color="auto"/>
            </w:tcBorders>
            <w:shd w:val="clear" w:color="000000" w:fill="FFFF99"/>
            <w:noWrap/>
            <w:vAlign w:val="bottom"/>
            <w:hideMark/>
          </w:tcPr>
          <w:p w14:paraId="24AC799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42,82</w:t>
            </w:r>
          </w:p>
        </w:tc>
        <w:tc>
          <w:tcPr>
            <w:tcW w:w="1803" w:type="dxa"/>
            <w:tcBorders>
              <w:top w:val="nil"/>
              <w:left w:val="nil"/>
              <w:bottom w:val="single" w:sz="4" w:space="0" w:color="auto"/>
              <w:right w:val="single" w:sz="4" w:space="0" w:color="auto"/>
            </w:tcBorders>
            <w:shd w:val="clear" w:color="000000" w:fill="FFFF99"/>
            <w:noWrap/>
            <w:vAlign w:val="bottom"/>
            <w:hideMark/>
          </w:tcPr>
          <w:p w14:paraId="07C1265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14.211,00</w:t>
            </w:r>
          </w:p>
        </w:tc>
      </w:tr>
      <w:tr w:rsidR="00846ACC" w:rsidRPr="004974C0" w14:paraId="2AD5D13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4B2B6A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6716C39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F597EC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9.950,00</w:t>
            </w:r>
          </w:p>
        </w:tc>
        <w:tc>
          <w:tcPr>
            <w:tcW w:w="1843" w:type="dxa"/>
            <w:tcBorders>
              <w:top w:val="nil"/>
              <w:left w:val="nil"/>
              <w:bottom w:val="single" w:sz="4" w:space="0" w:color="auto"/>
              <w:right w:val="single" w:sz="4" w:space="0" w:color="auto"/>
            </w:tcBorders>
            <w:shd w:val="clear" w:color="auto" w:fill="auto"/>
            <w:noWrap/>
            <w:vAlign w:val="bottom"/>
            <w:hideMark/>
          </w:tcPr>
          <w:p w14:paraId="5761376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3.661,00</w:t>
            </w:r>
          </w:p>
        </w:tc>
        <w:tc>
          <w:tcPr>
            <w:tcW w:w="1559" w:type="dxa"/>
            <w:tcBorders>
              <w:top w:val="nil"/>
              <w:left w:val="nil"/>
              <w:bottom w:val="single" w:sz="4" w:space="0" w:color="auto"/>
              <w:right w:val="single" w:sz="4" w:space="0" w:color="auto"/>
            </w:tcBorders>
            <w:shd w:val="clear" w:color="auto" w:fill="auto"/>
            <w:noWrap/>
            <w:vAlign w:val="bottom"/>
            <w:hideMark/>
          </w:tcPr>
          <w:p w14:paraId="4796B97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36,79</w:t>
            </w:r>
          </w:p>
        </w:tc>
        <w:tc>
          <w:tcPr>
            <w:tcW w:w="1803" w:type="dxa"/>
            <w:tcBorders>
              <w:top w:val="nil"/>
              <w:left w:val="nil"/>
              <w:bottom w:val="single" w:sz="4" w:space="0" w:color="auto"/>
              <w:right w:val="single" w:sz="4" w:space="0" w:color="auto"/>
            </w:tcBorders>
            <w:shd w:val="clear" w:color="auto" w:fill="auto"/>
            <w:noWrap/>
            <w:vAlign w:val="bottom"/>
            <w:hideMark/>
          </w:tcPr>
          <w:p w14:paraId="7C56D92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13.611,00</w:t>
            </w:r>
          </w:p>
        </w:tc>
      </w:tr>
      <w:tr w:rsidR="00846ACC" w:rsidRPr="004974C0" w14:paraId="56D1589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7C6E970"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4F66712"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BDD014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9.880,00</w:t>
            </w:r>
          </w:p>
        </w:tc>
        <w:tc>
          <w:tcPr>
            <w:tcW w:w="1843" w:type="dxa"/>
            <w:tcBorders>
              <w:top w:val="nil"/>
              <w:left w:val="nil"/>
              <w:bottom w:val="single" w:sz="4" w:space="0" w:color="auto"/>
              <w:right w:val="single" w:sz="4" w:space="0" w:color="auto"/>
            </w:tcBorders>
            <w:shd w:val="clear" w:color="auto" w:fill="auto"/>
            <w:noWrap/>
            <w:vAlign w:val="bottom"/>
            <w:hideMark/>
          </w:tcPr>
          <w:p w14:paraId="388684D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3.661,00</w:t>
            </w:r>
          </w:p>
        </w:tc>
        <w:tc>
          <w:tcPr>
            <w:tcW w:w="1559" w:type="dxa"/>
            <w:tcBorders>
              <w:top w:val="nil"/>
              <w:left w:val="nil"/>
              <w:bottom w:val="single" w:sz="4" w:space="0" w:color="auto"/>
              <w:right w:val="single" w:sz="4" w:space="0" w:color="auto"/>
            </w:tcBorders>
            <w:shd w:val="clear" w:color="auto" w:fill="auto"/>
            <w:noWrap/>
            <w:vAlign w:val="bottom"/>
            <w:hideMark/>
          </w:tcPr>
          <w:p w14:paraId="1BA2FE9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37,05</w:t>
            </w:r>
          </w:p>
        </w:tc>
        <w:tc>
          <w:tcPr>
            <w:tcW w:w="1803" w:type="dxa"/>
            <w:tcBorders>
              <w:top w:val="nil"/>
              <w:left w:val="nil"/>
              <w:bottom w:val="single" w:sz="4" w:space="0" w:color="auto"/>
              <w:right w:val="single" w:sz="4" w:space="0" w:color="auto"/>
            </w:tcBorders>
            <w:shd w:val="clear" w:color="auto" w:fill="auto"/>
            <w:noWrap/>
            <w:vAlign w:val="bottom"/>
            <w:hideMark/>
          </w:tcPr>
          <w:p w14:paraId="570E334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13.541,00</w:t>
            </w:r>
          </w:p>
        </w:tc>
      </w:tr>
      <w:tr w:rsidR="00846ACC" w:rsidRPr="004974C0" w14:paraId="45480F4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840B575" w14:textId="77777777" w:rsidR="004974C0" w:rsidRPr="004974C0" w:rsidRDefault="004974C0" w:rsidP="004974C0">
            <w:pPr>
              <w:rPr>
                <w:rFonts w:ascii="Arial" w:hAnsi="Arial" w:cs="Arial"/>
                <w:sz w:val="20"/>
                <w:szCs w:val="20"/>
              </w:rPr>
            </w:pPr>
            <w:r w:rsidRPr="004974C0">
              <w:rPr>
                <w:rFonts w:ascii="Arial" w:hAnsi="Arial" w:cs="Arial"/>
                <w:sz w:val="20"/>
                <w:szCs w:val="20"/>
              </w:rPr>
              <w:t>34</w:t>
            </w:r>
          </w:p>
        </w:tc>
        <w:tc>
          <w:tcPr>
            <w:tcW w:w="1984" w:type="dxa"/>
            <w:tcBorders>
              <w:top w:val="nil"/>
              <w:left w:val="nil"/>
              <w:bottom w:val="single" w:sz="4" w:space="0" w:color="auto"/>
              <w:right w:val="single" w:sz="4" w:space="0" w:color="auto"/>
            </w:tcBorders>
            <w:shd w:val="clear" w:color="auto" w:fill="auto"/>
            <w:noWrap/>
            <w:vAlign w:val="bottom"/>
            <w:hideMark/>
          </w:tcPr>
          <w:p w14:paraId="257E151C" w14:textId="77777777" w:rsidR="004974C0" w:rsidRPr="004974C0" w:rsidRDefault="004974C0" w:rsidP="004974C0">
            <w:pPr>
              <w:rPr>
                <w:rFonts w:ascii="Arial" w:hAnsi="Arial" w:cs="Arial"/>
                <w:sz w:val="20"/>
                <w:szCs w:val="20"/>
              </w:rPr>
            </w:pPr>
            <w:r w:rsidRPr="004974C0">
              <w:rPr>
                <w:rFonts w:ascii="Arial" w:hAnsi="Arial" w:cs="Arial"/>
                <w:sz w:val="20"/>
                <w:szCs w:val="20"/>
              </w:rPr>
              <w:t>Financijski rashodi</w:t>
            </w:r>
          </w:p>
        </w:tc>
        <w:tc>
          <w:tcPr>
            <w:tcW w:w="1843" w:type="dxa"/>
            <w:tcBorders>
              <w:top w:val="nil"/>
              <w:left w:val="nil"/>
              <w:bottom w:val="single" w:sz="4" w:space="0" w:color="auto"/>
              <w:right w:val="single" w:sz="4" w:space="0" w:color="auto"/>
            </w:tcBorders>
            <w:shd w:val="clear" w:color="auto" w:fill="auto"/>
            <w:noWrap/>
            <w:vAlign w:val="bottom"/>
            <w:hideMark/>
          </w:tcPr>
          <w:p w14:paraId="70FC913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w:t>
            </w:r>
          </w:p>
        </w:tc>
        <w:tc>
          <w:tcPr>
            <w:tcW w:w="1843" w:type="dxa"/>
            <w:tcBorders>
              <w:top w:val="nil"/>
              <w:left w:val="nil"/>
              <w:bottom w:val="single" w:sz="4" w:space="0" w:color="auto"/>
              <w:right w:val="single" w:sz="4" w:space="0" w:color="auto"/>
            </w:tcBorders>
            <w:shd w:val="clear" w:color="auto" w:fill="auto"/>
            <w:noWrap/>
            <w:vAlign w:val="bottom"/>
            <w:hideMark/>
          </w:tcPr>
          <w:p w14:paraId="245BADB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C2525D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82A994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w:t>
            </w:r>
          </w:p>
        </w:tc>
      </w:tr>
      <w:tr w:rsidR="00846ACC" w:rsidRPr="004974C0" w14:paraId="73A222A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87F6E6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4BBC8F6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1BD5949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BB1631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600,00</w:t>
            </w:r>
          </w:p>
        </w:tc>
        <w:tc>
          <w:tcPr>
            <w:tcW w:w="1559" w:type="dxa"/>
            <w:tcBorders>
              <w:top w:val="nil"/>
              <w:left w:val="nil"/>
              <w:bottom w:val="single" w:sz="4" w:space="0" w:color="auto"/>
              <w:right w:val="single" w:sz="4" w:space="0" w:color="auto"/>
            </w:tcBorders>
            <w:shd w:val="clear" w:color="auto" w:fill="auto"/>
            <w:noWrap/>
            <w:vAlign w:val="bottom"/>
            <w:hideMark/>
          </w:tcPr>
          <w:p w14:paraId="0F32DF6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2DB0D32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600,00</w:t>
            </w:r>
          </w:p>
        </w:tc>
      </w:tr>
      <w:tr w:rsidR="00846ACC" w:rsidRPr="004974C0" w14:paraId="41D1139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E17B762" w14:textId="77777777" w:rsidR="004974C0" w:rsidRPr="004974C0" w:rsidRDefault="004974C0" w:rsidP="004974C0">
            <w:pPr>
              <w:rPr>
                <w:rFonts w:ascii="Arial" w:hAnsi="Arial" w:cs="Arial"/>
                <w:sz w:val="20"/>
                <w:szCs w:val="20"/>
              </w:rPr>
            </w:pPr>
            <w:r w:rsidRPr="004974C0">
              <w:rPr>
                <w:rFonts w:ascii="Arial" w:hAnsi="Arial" w:cs="Arial"/>
                <w:sz w:val="20"/>
                <w:szCs w:val="20"/>
              </w:rPr>
              <w:lastRenderedPageBreak/>
              <w:t>42</w:t>
            </w:r>
          </w:p>
        </w:tc>
        <w:tc>
          <w:tcPr>
            <w:tcW w:w="1984" w:type="dxa"/>
            <w:tcBorders>
              <w:top w:val="nil"/>
              <w:left w:val="nil"/>
              <w:bottom w:val="single" w:sz="4" w:space="0" w:color="auto"/>
              <w:right w:val="single" w:sz="4" w:space="0" w:color="auto"/>
            </w:tcBorders>
            <w:shd w:val="clear" w:color="auto" w:fill="auto"/>
            <w:noWrap/>
            <w:vAlign w:val="bottom"/>
            <w:hideMark/>
          </w:tcPr>
          <w:p w14:paraId="5EE3014B"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45B57A2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E1C173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600,00</w:t>
            </w:r>
          </w:p>
        </w:tc>
        <w:tc>
          <w:tcPr>
            <w:tcW w:w="1559" w:type="dxa"/>
            <w:tcBorders>
              <w:top w:val="nil"/>
              <w:left w:val="nil"/>
              <w:bottom w:val="single" w:sz="4" w:space="0" w:color="auto"/>
              <w:right w:val="single" w:sz="4" w:space="0" w:color="auto"/>
            </w:tcBorders>
            <w:shd w:val="clear" w:color="auto" w:fill="auto"/>
            <w:noWrap/>
            <w:vAlign w:val="bottom"/>
            <w:hideMark/>
          </w:tcPr>
          <w:p w14:paraId="76B2714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36B1107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600,00</w:t>
            </w:r>
          </w:p>
        </w:tc>
      </w:tr>
      <w:tr w:rsidR="00846ACC" w:rsidRPr="004974C0" w14:paraId="5B87842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0CEAA0A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202274C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4E7842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c>
          <w:tcPr>
            <w:tcW w:w="1843" w:type="dxa"/>
            <w:tcBorders>
              <w:top w:val="nil"/>
              <w:left w:val="nil"/>
              <w:bottom w:val="single" w:sz="4" w:space="0" w:color="auto"/>
              <w:right w:val="single" w:sz="4" w:space="0" w:color="auto"/>
            </w:tcBorders>
            <w:shd w:val="clear" w:color="000000" w:fill="FFFF99"/>
            <w:noWrap/>
            <w:vAlign w:val="bottom"/>
            <w:hideMark/>
          </w:tcPr>
          <w:p w14:paraId="20C6E34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639,00</w:t>
            </w:r>
          </w:p>
        </w:tc>
        <w:tc>
          <w:tcPr>
            <w:tcW w:w="1559" w:type="dxa"/>
            <w:tcBorders>
              <w:top w:val="nil"/>
              <w:left w:val="nil"/>
              <w:bottom w:val="single" w:sz="4" w:space="0" w:color="auto"/>
              <w:right w:val="single" w:sz="4" w:space="0" w:color="auto"/>
            </w:tcBorders>
            <w:shd w:val="clear" w:color="000000" w:fill="FFFF99"/>
            <w:noWrap/>
            <w:vAlign w:val="bottom"/>
            <w:hideMark/>
          </w:tcPr>
          <w:p w14:paraId="090908D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63,90</w:t>
            </w:r>
          </w:p>
        </w:tc>
        <w:tc>
          <w:tcPr>
            <w:tcW w:w="1803" w:type="dxa"/>
            <w:tcBorders>
              <w:top w:val="nil"/>
              <w:left w:val="nil"/>
              <w:bottom w:val="single" w:sz="4" w:space="0" w:color="auto"/>
              <w:right w:val="single" w:sz="4" w:space="0" w:color="auto"/>
            </w:tcBorders>
            <w:shd w:val="clear" w:color="000000" w:fill="FFFF99"/>
            <w:noWrap/>
            <w:vAlign w:val="bottom"/>
            <w:hideMark/>
          </w:tcPr>
          <w:p w14:paraId="3AA4B38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1.639,00</w:t>
            </w:r>
          </w:p>
        </w:tc>
      </w:tr>
      <w:tr w:rsidR="00846ACC" w:rsidRPr="004974C0" w14:paraId="1D432F7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8E5A4A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CEAAEB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723DEC6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4CA365F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38C7FD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011284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r>
      <w:tr w:rsidR="00846ACC" w:rsidRPr="004974C0" w14:paraId="4E578CD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57FE15C"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05F56210"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1BFB8E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232585D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18CF9C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8570B4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r>
      <w:tr w:rsidR="00846ACC" w:rsidRPr="004974C0" w14:paraId="14BC9A8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FC3C25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64045FF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16E1B1E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B73202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639,00</w:t>
            </w:r>
          </w:p>
        </w:tc>
        <w:tc>
          <w:tcPr>
            <w:tcW w:w="1559" w:type="dxa"/>
            <w:tcBorders>
              <w:top w:val="nil"/>
              <w:left w:val="nil"/>
              <w:bottom w:val="single" w:sz="4" w:space="0" w:color="auto"/>
              <w:right w:val="single" w:sz="4" w:space="0" w:color="auto"/>
            </w:tcBorders>
            <w:shd w:val="clear" w:color="auto" w:fill="auto"/>
            <w:noWrap/>
            <w:vAlign w:val="bottom"/>
            <w:hideMark/>
          </w:tcPr>
          <w:p w14:paraId="3AA5FA5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0C82E5F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639,00</w:t>
            </w:r>
          </w:p>
        </w:tc>
      </w:tr>
      <w:tr w:rsidR="00846ACC" w:rsidRPr="004974C0" w14:paraId="62181B7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280310A"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2AE60EDF"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56D54A5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F92CB5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639,00</w:t>
            </w:r>
          </w:p>
        </w:tc>
        <w:tc>
          <w:tcPr>
            <w:tcW w:w="1559" w:type="dxa"/>
            <w:tcBorders>
              <w:top w:val="nil"/>
              <w:left w:val="nil"/>
              <w:bottom w:val="single" w:sz="4" w:space="0" w:color="auto"/>
              <w:right w:val="single" w:sz="4" w:space="0" w:color="auto"/>
            </w:tcBorders>
            <w:shd w:val="clear" w:color="auto" w:fill="auto"/>
            <w:noWrap/>
            <w:vAlign w:val="bottom"/>
            <w:hideMark/>
          </w:tcPr>
          <w:p w14:paraId="4D8ED41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7B6B653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639,00</w:t>
            </w:r>
          </w:p>
        </w:tc>
      </w:tr>
      <w:tr w:rsidR="00846ACC" w:rsidRPr="004974C0" w14:paraId="40A1613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1E3A97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6.9. 6.DONACIJE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25E9C56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447B61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730,00</w:t>
            </w:r>
          </w:p>
        </w:tc>
        <w:tc>
          <w:tcPr>
            <w:tcW w:w="1843" w:type="dxa"/>
            <w:tcBorders>
              <w:top w:val="nil"/>
              <w:left w:val="nil"/>
              <w:bottom w:val="single" w:sz="4" w:space="0" w:color="auto"/>
              <w:right w:val="single" w:sz="4" w:space="0" w:color="auto"/>
            </w:tcBorders>
            <w:shd w:val="clear" w:color="000000" w:fill="FFFF99"/>
            <w:noWrap/>
            <w:vAlign w:val="bottom"/>
            <w:hideMark/>
          </w:tcPr>
          <w:p w14:paraId="1E21AC3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0CD83FE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F1841C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730,00</w:t>
            </w:r>
          </w:p>
        </w:tc>
      </w:tr>
      <w:tr w:rsidR="00846ACC" w:rsidRPr="004974C0" w14:paraId="238A9DC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A1B4B9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54303DD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59C24F3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730,00</w:t>
            </w:r>
          </w:p>
        </w:tc>
        <w:tc>
          <w:tcPr>
            <w:tcW w:w="1843" w:type="dxa"/>
            <w:tcBorders>
              <w:top w:val="nil"/>
              <w:left w:val="nil"/>
              <w:bottom w:val="single" w:sz="4" w:space="0" w:color="auto"/>
              <w:right w:val="single" w:sz="4" w:space="0" w:color="auto"/>
            </w:tcBorders>
            <w:shd w:val="clear" w:color="auto" w:fill="auto"/>
            <w:noWrap/>
            <w:vAlign w:val="bottom"/>
            <w:hideMark/>
          </w:tcPr>
          <w:p w14:paraId="0E656AC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3BD91C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A8D8DE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730,00</w:t>
            </w:r>
          </w:p>
        </w:tc>
      </w:tr>
      <w:tr w:rsidR="00846ACC" w:rsidRPr="004974C0" w14:paraId="159E976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7D2DB3E"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0F31A31B"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7E4B048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730,00</w:t>
            </w:r>
          </w:p>
        </w:tc>
        <w:tc>
          <w:tcPr>
            <w:tcW w:w="1843" w:type="dxa"/>
            <w:tcBorders>
              <w:top w:val="nil"/>
              <w:left w:val="nil"/>
              <w:bottom w:val="single" w:sz="4" w:space="0" w:color="auto"/>
              <w:right w:val="single" w:sz="4" w:space="0" w:color="auto"/>
            </w:tcBorders>
            <w:shd w:val="clear" w:color="auto" w:fill="auto"/>
            <w:noWrap/>
            <w:vAlign w:val="bottom"/>
            <w:hideMark/>
          </w:tcPr>
          <w:p w14:paraId="1EF9479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C3D686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ADB998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730,00</w:t>
            </w:r>
          </w:p>
        </w:tc>
      </w:tr>
      <w:tr w:rsidR="00846ACC" w:rsidRPr="004974C0" w14:paraId="5BA3481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0233AD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A500014 Književni susreti i radionice</w:t>
            </w:r>
          </w:p>
        </w:tc>
        <w:tc>
          <w:tcPr>
            <w:tcW w:w="1984" w:type="dxa"/>
            <w:tcBorders>
              <w:top w:val="nil"/>
              <w:left w:val="nil"/>
              <w:bottom w:val="single" w:sz="4" w:space="0" w:color="auto"/>
              <w:right w:val="single" w:sz="4" w:space="0" w:color="auto"/>
            </w:tcBorders>
            <w:shd w:val="clear" w:color="000000" w:fill="CCCCFF"/>
            <w:noWrap/>
            <w:vAlign w:val="bottom"/>
            <w:hideMark/>
          </w:tcPr>
          <w:p w14:paraId="629402B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3393FC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10.400,00</w:t>
            </w:r>
          </w:p>
        </w:tc>
        <w:tc>
          <w:tcPr>
            <w:tcW w:w="1843" w:type="dxa"/>
            <w:tcBorders>
              <w:top w:val="nil"/>
              <w:left w:val="nil"/>
              <w:bottom w:val="single" w:sz="4" w:space="0" w:color="auto"/>
              <w:right w:val="single" w:sz="4" w:space="0" w:color="auto"/>
            </w:tcBorders>
            <w:shd w:val="clear" w:color="000000" w:fill="CCCCFF"/>
            <w:noWrap/>
            <w:vAlign w:val="bottom"/>
            <w:hideMark/>
          </w:tcPr>
          <w:p w14:paraId="2650DC4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3.740,00</w:t>
            </w:r>
          </w:p>
        </w:tc>
        <w:tc>
          <w:tcPr>
            <w:tcW w:w="1559" w:type="dxa"/>
            <w:tcBorders>
              <w:top w:val="nil"/>
              <w:left w:val="nil"/>
              <w:bottom w:val="single" w:sz="4" w:space="0" w:color="auto"/>
              <w:right w:val="single" w:sz="4" w:space="0" w:color="auto"/>
            </w:tcBorders>
            <w:shd w:val="clear" w:color="000000" w:fill="CCCCFF"/>
            <w:noWrap/>
            <w:vAlign w:val="bottom"/>
            <w:hideMark/>
          </w:tcPr>
          <w:p w14:paraId="072097D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35,96</w:t>
            </w:r>
          </w:p>
        </w:tc>
        <w:tc>
          <w:tcPr>
            <w:tcW w:w="1803" w:type="dxa"/>
            <w:tcBorders>
              <w:top w:val="nil"/>
              <w:left w:val="nil"/>
              <w:bottom w:val="single" w:sz="4" w:space="0" w:color="auto"/>
              <w:right w:val="single" w:sz="4" w:space="0" w:color="auto"/>
            </w:tcBorders>
            <w:shd w:val="clear" w:color="000000" w:fill="CCCCFF"/>
            <w:noWrap/>
            <w:vAlign w:val="bottom"/>
            <w:hideMark/>
          </w:tcPr>
          <w:p w14:paraId="086D13F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14.140,00</w:t>
            </w:r>
          </w:p>
        </w:tc>
      </w:tr>
      <w:tr w:rsidR="00846ACC" w:rsidRPr="004974C0" w14:paraId="0E53621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2125D8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3.9. VLASTITI PRIHODI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359AA11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823C1A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1.700,00</w:t>
            </w:r>
          </w:p>
        </w:tc>
        <w:tc>
          <w:tcPr>
            <w:tcW w:w="1843" w:type="dxa"/>
            <w:tcBorders>
              <w:top w:val="nil"/>
              <w:left w:val="nil"/>
              <w:bottom w:val="single" w:sz="4" w:space="0" w:color="auto"/>
              <w:right w:val="single" w:sz="4" w:space="0" w:color="auto"/>
            </w:tcBorders>
            <w:shd w:val="clear" w:color="000000" w:fill="FFFF99"/>
            <w:noWrap/>
            <w:vAlign w:val="bottom"/>
            <w:hideMark/>
          </w:tcPr>
          <w:p w14:paraId="5EC927F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1.440,00</w:t>
            </w:r>
          </w:p>
        </w:tc>
        <w:tc>
          <w:tcPr>
            <w:tcW w:w="1559" w:type="dxa"/>
            <w:tcBorders>
              <w:top w:val="nil"/>
              <w:left w:val="nil"/>
              <w:bottom w:val="single" w:sz="4" w:space="0" w:color="auto"/>
              <w:right w:val="single" w:sz="4" w:space="0" w:color="auto"/>
            </w:tcBorders>
            <w:shd w:val="clear" w:color="000000" w:fill="FFFF99"/>
            <w:noWrap/>
            <w:vAlign w:val="bottom"/>
            <w:hideMark/>
          </w:tcPr>
          <w:p w14:paraId="66100C9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84,71</w:t>
            </w:r>
          </w:p>
        </w:tc>
        <w:tc>
          <w:tcPr>
            <w:tcW w:w="1803" w:type="dxa"/>
            <w:tcBorders>
              <w:top w:val="nil"/>
              <w:left w:val="nil"/>
              <w:bottom w:val="single" w:sz="4" w:space="0" w:color="auto"/>
              <w:right w:val="single" w:sz="4" w:space="0" w:color="auto"/>
            </w:tcBorders>
            <w:shd w:val="clear" w:color="000000" w:fill="FFFF99"/>
            <w:noWrap/>
            <w:vAlign w:val="bottom"/>
            <w:hideMark/>
          </w:tcPr>
          <w:p w14:paraId="10BF19F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3.140,00</w:t>
            </w:r>
          </w:p>
        </w:tc>
      </w:tr>
      <w:tr w:rsidR="00846ACC" w:rsidRPr="004974C0" w14:paraId="4BA58D7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FE7960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62744E4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2ED018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1.700,00</w:t>
            </w:r>
          </w:p>
        </w:tc>
        <w:tc>
          <w:tcPr>
            <w:tcW w:w="1843" w:type="dxa"/>
            <w:tcBorders>
              <w:top w:val="nil"/>
              <w:left w:val="nil"/>
              <w:bottom w:val="single" w:sz="4" w:space="0" w:color="auto"/>
              <w:right w:val="single" w:sz="4" w:space="0" w:color="auto"/>
            </w:tcBorders>
            <w:shd w:val="clear" w:color="auto" w:fill="auto"/>
            <w:noWrap/>
            <w:vAlign w:val="bottom"/>
            <w:hideMark/>
          </w:tcPr>
          <w:p w14:paraId="7960167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1.440,00</w:t>
            </w:r>
          </w:p>
        </w:tc>
        <w:tc>
          <w:tcPr>
            <w:tcW w:w="1559" w:type="dxa"/>
            <w:tcBorders>
              <w:top w:val="nil"/>
              <w:left w:val="nil"/>
              <w:bottom w:val="single" w:sz="4" w:space="0" w:color="auto"/>
              <w:right w:val="single" w:sz="4" w:space="0" w:color="auto"/>
            </w:tcBorders>
            <w:shd w:val="clear" w:color="auto" w:fill="auto"/>
            <w:noWrap/>
            <w:vAlign w:val="bottom"/>
            <w:hideMark/>
          </w:tcPr>
          <w:p w14:paraId="764ADA8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84,71</w:t>
            </w:r>
          </w:p>
        </w:tc>
        <w:tc>
          <w:tcPr>
            <w:tcW w:w="1803" w:type="dxa"/>
            <w:tcBorders>
              <w:top w:val="nil"/>
              <w:left w:val="nil"/>
              <w:bottom w:val="single" w:sz="4" w:space="0" w:color="auto"/>
              <w:right w:val="single" w:sz="4" w:space="0" w:color="auto"/>
            </w:tcBorders>
            <w:shd w:val="clear" w:color="auto" w:fill="auto"/>
            <w:noWrap/>
            <w:vAlign w:val="bottom"/>
            <w:hideMark/>
          </w:tcPr>
          <w:p w14:paraId="30AF2ED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3.140,00</w:t>
            </w:r>
          </w:p>
        </w:tc>
      </w:tr>
      <w:tr w:rsidR="00846ACC" w:rsidRPr="004974C0" w14:paraId="0890D39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9308BAF"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466B8BAB"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6DA09D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1.700,00</w:t>
            </w:r>
          </w:p>
        </w:tc>
        <w:tc>
          <w:tcPr>
            <w:tcW w:w="1843" w:type="dxa"/>
            <w:tcBorders>
              <w:top w:val="nil"/>
              <w:left w:val="nil"/>
              <w:bottom w:val="single" w:sz="4" w:space="0" w:color="auto"/>
              <w:right w:val="single" w:sz="4" w:space="0" w:color="auto"/>
            </w:tcBorders>
            <w:shd w:val="clear" w:color="auto" w:fill="auto"/>
            <w:noWrap/>
            <w:vAlign w:val="bottom"/>
            <w:hideMark/>
          </w:tcPr>
          <w:p w14:paraId="15B789F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1.440,00</w:t>
            </w:r>
          </w:p>
        </w:tc>
        <w:tc>
          <w:tcPr>
            <w:tcW w:w="1559" w:type="dxa"/>
            <w:tcBorders>
              <w:top w:val="nil"/>
              <w:left w:val="nil"/>
              <w:bottom w:val="single" w:sz="4" w:space="0" w:color="auto"/>
              <w:right w:val="single" w:sz="4" w:space="0" w:color="auto"/>
            </w:tcBorders>
            <w:shd w:val="clear" w:color="auto" w:fill="auto"/>
            <w:noWrap/>
            <w:vAlign w:val="bottom"/>
            <w:hideMark/>
          </w:tcPr>
          <w:p w14:paraId="3D33B56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84,71</w:t>
            </w:r>
          </w:p>
        </w:tc>
        <w:tc>
          <w:tcPr>
            <w:tcW w:w="1803" w:type="dxa"/>
            <w:tcBorders>
              <w:top w:val="nil"/>
              <w:left w:val="nil"/>
              <w:bottom w:val="single" w:sz="4" w:space="0" w:color="auto"/>
              <w:right w:val="single" w:sz="4" w:space="0" w:color="auto"/>
            </w:tcBorders>
            <w:shd w:val="clear" w:color="auto" w:fill="auto"/>
            <w:noWrap/>
            <w:vAlign w:val="bottom"/>
            <w:hideMark/>
          </w:tcPr>
          <w:p w14:paraId="03C3C60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3.140,00</w:t>
            </w:r>
          </w:p>
        </w:tc>
      </w:tr>
      <w:tr w:rsidR="00846ACC" w:rsidRPr="004974C0" w14:paraId="68AF694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710E6B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4.9. 4.PRIHODI ZA POSEBNE NAMJENE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1E6F1B0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76C7F4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5.700,00</w:t>
            </w:r>
          </w:p>
        </w:tc>
        <w:tc>
          <w:tcPr>
            <w:tcW w:w="1843" w:type="dxa"/>
            <w:tcBorders>
              <w:top w:val="nil"/>
              <w:left w:val="nil"/>
              <w:bottom w:val="single" w:sz="4" w:space="0" w:color="auto"/>
              <w:right w:val="single" w:sz="4" w:space="0" w:color="auto"/>
            </w:tcBorders>
            <w:shd w:val="clear" w:color="000000" w:fill="FFFF99"/>
            <w:noWrap/>
            <w:vAlign w:val="bottom"/>
            <w:hideMark/>
          </w:tcPr>
          <w:p w14:paraId="085BDFA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559" w:type="dxa"/>
            <w:tcBorders>
              <w:top w:val="nil"/>
              <w:left w:val="nil"/>
              <w:bottom w:val="single" w:sz="4" w:space="0" w:color="auto"/>
              <w:right w:val="single" w:sz="4" w:space="0" w:color="auto"/>
            </w:tcBorders>
            <w:shd w:val="clear" w:color="000000" w:fill="FFFF99"/>
            <w:noWrap/>
            <w:vAlign w:val="bottom"/>
            <w:hideMark/>
          </w:tcPr>
          <w:p w14:paraId="479FABC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52,63</w:t>
            </w:r>
          </w:p>
        </w:tc>
        <w:tc>
          <w:tcPr>
            <w:tcW w:w="1803" w:type="dxa"/>
            <w:tcBorders>
              <w:top w:val="nil"/>
              <w:left w:val="nil"/>
              <w:bottom w:val="single" w:sz="4" w:space="0" w:color="auto"/>
              <w:right w:val="single" w:sz="4" w:space="0" w:color="auto"/>
            </w:tcBorders>
            <w:shd w:val="clear" w:color="000000" w:fill="FFFF99"/>
            <w:noWrap/>
            <w:vAlign w:val="bottom"/>
            <w:hideMark/>
          </w:tcPr>
          <w:p w14:paraId="538D241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8.700,00</w:t>
            </w:r>
          </w:p>
        </w:tc>
      </w:tr>
      <w:tr w:rsidR="00846ACC" w:rsidRPr="004974C0" w14:paraId="3991598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C672648"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C346F4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29E99F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5.700,00</w:t>
            </w:r>
          </w:p>
        </w:tc>
        <w:tc>
          <w:tcPr>
            <w:tcW w:w="1843" w:type="dxa"/>
            <w:tcBorders>
              <w:top w:val="nil"/>
              <w:left w:val="nil"/>
              <w:bottom w:val="single" w:sz="4" w:space="0" w:color="auto"/>
              <w:right w:val="single" w:sz="4" w:space="0" w:color="auto"/>
            </w:tcBorders>
            <w:shd w:val="clear" w:color="auto" w:fill="auto"/>
            <w:noWrap/>
            <w:vAlign w:val="bottom"/>
            <w:hideMark/>
          </w:tcPr>
          <w:p w14:paraId="29856D0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w:t>
            </w:r>
          </w:p>
        </w:tc>
        <w:tc>
          <w:tcPr>
            <w:tcW w:w="1559" w:type="dxa"/>
            <w:tcBorders>
              <w:top w:val="nil"/>
              <w:left w:val="nil"/>
              <w:bottom w:val="single" w:sz="4" w:space="0" w:color="auto"/>
              <w:right w:val="single" w:sz="4" w:space="0" w:color="auto"/>
            </w:tcBorders>
            <w:shd w:val="clear" w:color="auto" w:fill="auto"/>
            <w:noWrap/>
            <w:vAlign w:val="bottom"/>
            <w:hideMark/>
          </w:tcPr>
          <w:p w14:paraId="7EB4664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52,63</w:t>
            </w:r>
          </w:p>
        </w:tc>
        <w:tc>
          <w:tcPr>
            <w:tcW w:w="1803" w:type="dxa"/>
            <w:tcBorders>
              <w:top w:val="nil"/>
              <w:left w:val="nil"/>
              <w:bottom w:val="single" w:sz="4" w:space="0" w:color="auto"/>
              <w:right w:val="single" w:sz="4" w:space="0" w:color="auto"/>
            </w:tcBorders>
            <w:shd w:val="clear" w:color="auto" w:fill="auto"/>
            <w:noWrap/>
            <w:vAlign w:val="bottom"/>
            <w:hideMark/>
          </w:tcPr>
          <w:p w14:paraId="69C4AF9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8.700,00</w:t>
            </w:r>
          </w:p>
        </w:tc>
      </w:tr>
      <w:tr w:rsidR="00846ACC" w:rsidRPr="004974C0" w14:paraId="59511AF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8243476"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3FFD50FC"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74189D4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5.700,00</w:t>
            </w:r>
          </w:p>
        </w:tc>
        <w:tc>
          <w:tcPr>
            <w:tcW w:w="1843" w:type="dxa"/>
            <w:tcBorders>
              <w:top w:val="nil"/>
              <w:left w:val="nil"/>
              <w:bottom w:val="single" w:sz="4" w:space="0" w:color="auto"/>
              <w:right w:val="single" w:sz="4" w:space="0" w:color="auto"/>
            </w:tcBorders>
            <w:shd w:val="clear" w:color="auto" w:fill="auto"/>
            <w:noWrap/>
            <w:vAlign w:val="bottom"/>
            <w:hideMark/>
          </w:tcPr>
          <w:p w14:paraId="6F567C7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c>
          <w:tcPr>
            <w:tcW w:w="1559" w:type="dxa"/>
            <w:tcBorders>
              <w:top w:val="nil"/>
              <w:left w:val="nil"/>
              <w:bottom w:val="single" w:sz="4" w:space="0" w:color="auto"/>
              <w:right w:val="single" w:sz="4" w:space="0" w:color="auto"/>
            </w:tcBorders>
            <w:shd w:val="clear" w:color="auto" w:fill="auto"/>
            <w:noWrap/>
            <w:vAlign w:val="bottom"/>
            <w:hideMark/>
          </w:tcPr>
          <w:p w14:paraId="63F0D82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52,63</w:t>
            </w:r>
          </w:p>
        </w:tc>
        <w:tc>
          <w:tcPr>
            <w:tcW w:w="1803" w:type="dxa"/>
            <w:tcBorders>
              <w:top w:val="nil"/>
              <w:left w:val="nil"/>
              <w:bottom w:val="single" w:sz="4" w:space="0" w:color="auto"/>
              <w:right w:val="single" w:sz="4" w:space="0" w:color="auto"/>
            </w:tcBorders>
            <w:shd w:val="clear" w:color="auto" w:fill="auto"/>
            <w:noWrap/>
            <w:vAlign w:val="bottom"/>
            <w:hideMark/>
          </w:tcPr>
          <w:p w14:paraId="29A27AE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8.700,00</w:t>
            </w:r>
          </w:p>
        </w:tc>
      </w:tr>
      <w:tr w:rsidR="00846ACC" w:rsidRPr="004974C0" w14:paraId="500DB2B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783B6D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330B2D4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ED4D35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843" w:type="dxa"/>
            <w:tcBorders>
              <w:top w:val="nil"/>
              <w:left w:val="nil"/>
              <w:bottom w:val="single" w:sz="4" w:space="0" w:color="auto"/>
              <w:right w:val="single" w:sz="4" w:space="0" w:color="auto"/>
            </w:tcBorders>
            <w:shd w:val="clear" w:color="000000" w:fill="FFFF99"/>
            <w:noWrap/>
            <w:vAlign w:val="bottom"/>
            <w:hideMark/>
          </w:tcPr>
          <w:p w14:paraId="55BC5C3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-700,00</w:t>
            </w:r>
          </w:p>
        </w:tc>
        <w:tc>
          <w:tcPr>
            <w:tcW w:w="1559" w:type="dxa"/>
            <w:tcBorders>
              <w:top w:val="nil"/>
              <w:left w:val="nil"/>
              <w:bottom w:val="single" w:sz="4" w:space="0" w:color="auto"/>
              <w:right w:val="single" w:sz="4" w:space="0" w:color="auto"/>
            </w:tcBorders>
            <w:shd w:val="clear" w:color="000000" w:fill="FFFF99"/>
            <w:noWrap/>
            <w:vAlign w:val="bottom"/>
            <w:hideMark/>
          </w:tcPr>
          <w:p w14:paraId="362A78E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-23,33</w:t>
            </w:r>
          </w:p>
        </w:tc>
        <w:tc>
          <w:tcPr>
            <w:tcW w:w="1803" w:type="dxa"/>
            <w:tcBorders>
              <w:top w:val="nil"/>
              <w:left w:val="nil"/>
              <w:bottom w:val="single" w:sz="4" w:space="0" w:color="auto"/>
              <w:right w:val="single" w:sz="4" w:space="0" w:color="auto"/>
            </w:tcBorders>
            <w:shd w:val="clear" w:color="000000" w:fill="FFFF99"/>
            <w:noWrap/>
            <w:vAlign w:val="bottom"/>
            <w:hideMark/>
          </w:tcPr>
          <w:p w14:paraId="166C33D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2.300,00</w:t>
            </w:r>
          </w:p>
        </w:tc>
      </w:tr>
      <w:tr w:rsidR="00846ACC" w:rsidRPr="004974C0" w14:paraId="3550C4C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88E211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F98974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BF00E1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2358F13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w:t>
            </w:r>
          </w:p>
        </w:tc>
        <w:tc>
          <w:tcPr>
            <w:tcW w:w="1559" w:type="dxa"/>
            <w:tcBorders>
              <w:top w:val="nil"/>
              <w:left w:val="nil"/>
              <w:bottom w:val="single" w:sz="4" w:space="0" w:color="auto"/>
              <w:right w:val="single" w:sz="4" w:space="0" w:color="auto"/>
            </w:tcBorders>
            <w:shd w:val="clear" w:color="auto" w:fill="auto"/>
            <w:noWrap/>
            <w:vAlign w:val="bottom"/>
            <w:hideMark/>
          </w:tcPr>
          <w:p w14:paraId="262A2CD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-23,33</w:t>
            </w:r>
          </w:p>
        </w:tc>
        <w:tc>
          <w:tcPr>
            <w:tcW w:w="1803" w:type="dxa"/>
            <w:tcBorders>
              <w:top w:val="nil"/>
              <w:left w:val="nil"/>
              <w:bottom w:val="single" w:sz="4" w:space="0" w:color="auto"/>
              <w:right w:val="single" w:sz="4" w:space="0" w:color="auto"/>
            </w:tcBorders>
            <w:shd w:val="clear" w:color="auto" w:fill="auto"/>
            <w:noWrap/>
            <w:vAlign w:val="bottom"/>
            <w:hideMark/>
          </w:tcPr>
          <w:p w14:paraId="3B07CD0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2.300,00</w:t>
            </w:r>
          </w:p>
        </w:tc>
      </w:tr>
      <w:tr w:rsidR="00846ACC" w:rsidRPr="004974C0" w14:paraId="62FB68D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69AEF12"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30D27662"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1514565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4841C93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w:t>
            </w:r>
          </w:p>
        </w:tc>
        <w:tc>
          <w:tcPr>
            <w:tcW w:w="1559" w:type="dxa"/>
            <w:tcBorders>
              <w:top w:val="nil"/>
              <w:left w:val="nil"/>
              <w:bottom w:val="single" w:sz="4" w:space="0" w:color="auto"/>
              <w:right w:val="single" w:sz="4" w:space="0" w:color="auto"/>
            </w:tcBorders>
            <w:shd w:val="clear" w:color="auto" w:fill="auto"/>
            <w:noWrap/>
            <w:vAlign w:val="bottom"/>
            <w:hideMark/>
          </w:tcPr>
          <w:p w14:paraId="1ED0E28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-23,33</w:t>
            </w:r>
          </w:p>
        </w:tc>
        <w:tc>
          <w:tcPr>
            <w:tcW w:w="1803" w:type="dxa"/>
            <w:tcBorders>
              <w:top w:val="nil"/>
              <w:left w:val="nil"/>
              <w:bottom w:val="single" w:sz="4" w:space="0" w:color="auto"/>
              <w:right w:val="single" w:sz="4" w:space="0" w:color="auto"/>
            </w:tcBorders>
            <w:shd w:val="clear" w:color="auto" w:fill="auto"/>
            <w:noWrap/>
            <w:vAlign w:val="bottom"/>
            <w:hideMark/>
          </w:tcPr>
          <w:p w14:paraId="4E8F1A9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2.300,00</w:t>
            </w:r>
          </w:p>
        </w:tc>
      </w:tr>
      <w:tr w:rsidR="00846ACC" w:rsidRPr="004974C0" w14:paraId="05E0AD5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61F11DF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Kapitalni projekt K500001 Kapitalna ulaganja</w:t>
            </w:r>
          </w:p>
        </w:tc>
        <w:tc>
          <w:tcPr>
            <w:tcW w:w="1984" w:type="dxa"/>
            <w:tcBorders>
              <w:top w:val="nil"/>
              <w:left w:val="nil"/>
              <w:bottom w:val="single" w:sz="4" w:space="0" w:color="auto"/>
              <w:right w:val="single" w:sz="4" w:space="0" w:color="auto"/>
            </w:tcBorders>
            <w:shd w:val="clear" w:color="000000" w:fill="CCCCFF"/>
            <w:noWrap/>
            <w:vAlign w:val="bottom"/>
            <w:hideMark/>
          </w:tcPr>
          <w:p w14:paraId="7A16CF1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5812863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34.200,00</w:t>
            </w:r>
          </w:p>
        </w:tc>
        <w:tc>
          <w:tcPr>
            <w:tcW w:w="1843" w:type="dxa"/>
            <w:tcBorders>
              <w:top w:val="nil"/>
              <w:left w:val="nil"/>
              <w:bottom w:val="single" w:sz="4" w:space="0" w:color="auto"/>
              <w:right w:val="single" w:sz="4" w:space="0" w:color="auto"/>
            </w:tcBorders>
            <w:shd w:val="clear" w:color="000000" w:fill="CCCCFF"/>
            <w:noWrap/>
            <w:vAlign w:val="bottom"/>
            <w:hideMark/>
          </w:tcPr>
          <w:p w14:paraId="59B3809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338,00</w:t>
            </w:r>
          </w:p>
        </w:tc>
        <w:tc>
          <w:tcPr>
            <w:tcW w:w="1559" w:type="dxa"/>
            <w:tcBorders>
              <w:top w:val="nil"/>
              <w:left w:val="nil"/>
              <w:bottom w:val="single" w:sz="4" w:space="0" w:color="auto"/>
              <w:right w:val="single" w:sz="4" w:space="0" w:color="auto"/>
            </w:tcBorders>
            <w:shd w:val="clear" w:color="000000" w:fill="CCCCFF"/>
            <w:noWrap/>
            <w:vAlign w:val="bottom"/>
            <w:hideMark/>
          </w:tcPr>
          <w:p w14:paraId="5658D27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0,99</w:t>
            </w:r>
          </w:p>
        </w:tc>
        <w:tc>
          <w:tcPr>
            <w:tcW w:w="1803" w:type="dxa"/>
            <w:tcBorders>
              <w:top w:val="nil"/>
              <w:left w:val="nil"/>
              <w:bottom w:val="single" w:sz="4" w:space="0" w:color="auto"/>
              <w:right w:val="single" w:sz="4" w:space="0" w:color="auto"/>
            </w:tcBorders>
            <w:shd w:val="clear" w:color="000000" w:fill="CCCCFF"/>
            <w:noWrap/>
            <w:vAlign w:val="bottom"/>
            <w:hideMark/>
          </w:tcPr>
          <w:p w14:paraId="288EB5C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34.538,00</w:t>
            </w:r>
          </w:p>
        </w:tc>
      </w:tr>
      <w:tr w:rsidR="00846ACC" w:rsidRPr="004974C0" w14:paraId="6180824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766F43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63B2D2D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5E506B0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8.000,00</w:t>
            </w:r>
          </w:p>
        </w:tc>
        <w:tc>
          <w:tcPr>
            <w:tcW w:w="1843" w:type="dxa"/>
            <w:tcBorders>
              <w:top w:val="nil"/>
              <w:left w:val="nil"/>
              <w:bottom w:val="single" w:sz="4" w:space="0" w:color="auto"/>
              <w:right w:val="single" w:sz="4" w:space="0" w:color="auto"/>
            </w:tcBorders>
            <w:shd w:val="clear" w:color="000000" w:fill="FFFF99"/>
            <w:noWrap/>
            <w:vAlign w:val="bottom"/>
            <w:hideMark/>
          </w:tcPr>
          <w:p w14:paraId="4E2710A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4BB7F04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6A8A94E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8.000,00</w:t>
            </w:r>
          </w:p>
        </w:tc>
      </w:tr>
      <w:tr w:rsidR="00846ACC" w:rsidRPr="004974C0" w14:paraId="634351A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A135F8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744551B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225C4A0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8.000,00</w:t>
            </w:r>
          </w:p>
        </w:tc>
        <w:tc>
          <w:tcPr>
            <w:tcW w:w="1843" w:type="dxa"/>
            <w:tcBorders>
              <w:top w:val="nil"/>
              <w:left w:val="nil"/>
              <w:bottom w:val="single" w:sz="4" w:space="0" w:color="auto"/>
              <w:right w:val="single" w:sz="4" w:space="0" w:color="auto"/>
            </w:tcBorders>
            <w:shd w:val="clear" w:color="auto" w:fill="auto"/>
            <w:noWrap/>
            <w:vAlign w:val="bottom"/>
            <w:hideMark/>
          </w:tcPr>
          <w:p w14:paraId="4991785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CC1799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563731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8.000,00</w:t>
            </w:r>
          </w:p>
        </w:tc>
      </w:tr>
      <w:tr w:rsidR="00846ACC" w:rsidRPr="004974C0" w14:paraId="556E886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8A18AFB"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585D81F2"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164EF4B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8.000,00</w:t>
            </w:r>
          </w:p>
        </w:tc>
        <w:tc>
          <w:tcPr>
            <w:tcW w:w="1843" w:type="dxa"/>
            <w:tcBorders>
              <w:top w:val="nil"/>
              <w:left w:val="nil"/>
              <w:bottom w:val="single" w:sz="4" w:space="0" w:color="auto"/>
              <w:right w:val="single" w:sz="4" w:space="0" w:color="auto"/>
            </w:tcBorders>
            <w:shd w:val="clear" w:color="auto" w:fill="auto"/>
            <w:noWrap/>
            <w:vAlign w:val="bottom"/>
            <w:hideMark/>
          </w:tcPr>
          <w:p w14:paraId="6E0DBA4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FAF6A4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78C88F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8.000,00</w:t>
            </w:r>
          </w:p>
        </w:tc>
      </w:tr>
      <w:tr w:rsidR="00846ACC" w:rsidRPr="004974C0" w14:paraId="03EF397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0C72AA4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5.9. POMOĆI - PRIHODI KORISNIKA - GL 02</w:t>
            </w:r>
          </w:p>
        </w:tc>
        <w:tc>
          <w:tcPr>
            <w:tcW w:w="1984" w:type="dxa"/>
            <w:tcBorders>
              <w:top w:val="nil"/>
              <w:left w:val="nil"/>
              <w:bottom w:val="single" w:sz="4" w:space="0" w:color="auto"/>
              <w:right w:val="single" w:sz="4" w:space="0" w:color="auto"/>
            </w:tcBorders>
            <w:shd w:val="clear" w:color="000000" w:fill="FFFF99"/>
            <w:noWrap/>
            <w:vAlign w:val="bottom"/>
            <w:hideMark/>
          </w:tcPr>
          <w:p w14:paraId="25FA889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756977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25.900,00</w:t>
            </w:r>
          </w:p>
        </w:tc>
        <w:tc>
          <w:tcPr>
            <w:tcW w:w="1843" w:type="dxa"/>
            <w:tcBorders>
              <w:top w:val="nil"/>
              <w:left w:val="nil"/>
              <w:bottom w:val="single" w:sz="4" w:space="0" w:color="auto"/>
              <w:right w:val="single" w:sz="4" w:space="0" w:color="auto"/>
            </w:tcBorders>
            <w:shd w:val="clear" w:color="000000" w:fill="FFFF99"/>
            <w:noWrap/>
            <w:vAlign w:val="bottom"/>
            <w:hideMark/>
          </w:tcPr>
          <w:p w14:paraId="6FFD9A2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6F10AA6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6D662D9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25.900,00</w:t>
            </w:r>
          </w:p>
        </w:tc>
      </w:tr>
      <w:tr w:rsidR="00846ACC" w:rsidRPr="004974C0" w14:paraId="1901156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B7D6F9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662DCA8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05BF16A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25.900,00</w:t>
            </w:r>
          </w:p>
        </w:tc>
        <w:tc>
          <w:tcPr>
            <w:tcW w:w="1843" w:type="dxa"/>
            <w:tcBorders>
              <w:top w:val="nil"/>
              <w:left w:val="nil"/>
              <w:bottom w:val="single" w:sz="4" w:space="0" w:color="auto"/>
              <w:right w:val="single" w:sz="4" w:space="0" w:color="auto"/>
            </w:tcBorders>
            <w:shd w:val="clear" w:color="auto" w:fill="auto"/>
            <w:noWrap/>
            <w:vAlign w:val="bottom"/>
            <w:hideMark/>
          </w:tcPr>
          <w:p w14:paraId="0ED5B3D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760A2B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14ED9A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25.900,00</w:t>
            </w:r>
          </w:p>
        </w:tc>
      </w:tr>
      <w:tr w:rsidR="00846ACC" w:rsidRPr="004974C0" w14:paraId="0062CCA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99F685C"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53737DFE"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10B55AA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25.900,00</w:t>
            </w:r>
          </w:p>
        </w:tc>
        <w:tc>
          <w:tcPr>
            <w:tcW w:w="1843" w:type="dxa"/>
            <w:tcBorders>
              <w:top w:val="nil"/>
              <w:left w:val="nil"/>
              <w:bottom w:val="single" w:sz="4" w:space="0" w:color="auto"/>
              <w:right w:val="single" w:sz="4" w:space="0" w:color="auto"/>
            </w:tcBorders>
            <w:shd w:val="clear" w:color="auto" w:fill="auto"/>
            <w:noWrap/>
            <w:vAlign w:val="bottom"/>
            <w:hideMark/>
          </w:tcPr>
          <w:p w14:paraId="1864A42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7F9FE9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CA927A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25.900,00</w:t>
            </w:r>
          </w:p>
        </w:tc>
      </w:tr>
      <w:tr w:rsidR="00846ACC" w:rsidRPr="004974C0" w14:paraId="6F74A36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951986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7.9. 7.PRIHODI OD NAKNADA ŠTETA S OSN.OSIGUR.-PRIH.KOR.</w:t>
            </w:r>
          </w:p>
        </w:tc>
        <w:tc>
          <w:tcPr>
            <w:tcW w:w="1984" w:type="dxa"/>
            <w:tcBorders>
              <w:top w:val="nil"/>
              <w:left w:val="nil"/>
              <w:bottom w:val="single" w:sz="4" w:space="0" w:color="auto"/>
              <w:right w:val="single" w:sz="4" w:space="0" w:color="auto"/>
            </w:tcBorders>
            <w:shd w:val="clear" w:color="000000" w:fill="FFFF99"/>
            <w:noWrap/>
            <w:vAlign w:val="bottom"/>
            <w:hideMark/>
          </w:tcPr>
          <w:p w14:paraId="7A5085A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E25396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w:t>
            </w:r>
          </w:p>
        </w:tc>
        <w:tc>
          <w:tcPr>
            <w:tcW w:w="1843" w:type="dxa"/>
            <w:tcBorders>
              <w:top w:val="nil"/>
              <w:left w:val="nil"/>
              <w:bottom w:val="single" w:sz="4" w:space="0" w:color="auto"/>
              <w:right w:val="single" w:sz="4" w:space="0" w:color="auto"/>
            </w:tcBorders>
            <w:shd w:val="clear" w:color="000000" w:fill="FFFF99"/>
            <w:noWrap/>
            <w:vAlign w:val="bottom"/>
            <w:hideMark/>
          </w:tcPr>
          <w:p w14:paraId="7518127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338,00</w:t>
            </w:r>
          </w:p>
        </w:tc>
        <w:tc>
          <w:tcPr>
            <w:tcW w:w="1559" w:type="dxa"/>
            <w:tcBorders>
              <w:top w:val="nil"/>
              <w:left w:val="nil"/>
              <w:bottom w:val="single" w:sz="4" w:space="0" w:color="auto"/>
              <w:right w:val="single" w:sz="4" w:space="0" w:color="auto"/>
            </w:tcBorders>
            <w:shd w:val="clear" w:color="000000" w:fill="FFFF99"/>
            <w:noWrap/>
            <w:vAlign w:val="bottom"/>
            <w:hideMark/>
          </w:tcPr>
          <w:p w14:paraId="378A18C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112,67</w:t>
            </w:r>
          </w:p>
        </w:tc>
        <w:tc>
          <w:tcPr>
            <w:tcW w:w="1803" w:type="dxa"/>
            <w:tcBorders>
              <w:top w:val="nil"/>
              <w:left w:val="nil"/>
              <w:bottom w:val="single" w:sz="4" w:space="0" w:color="auto"/>
              <w:right w:val="single" w:sz="4" w:space="0" w:color="auto"/>
            </w:tcBorders>
            <w:shd w:val="clear" w:color="000000" w:fill="FFFF99"/>
            <w:noWrap/>
            <w:vAlign w:val="bottom"/>
            <w:hideMark/>
          </w:tcPr>
          <w:p w14:paraId="47E6771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638,00</w:t>
            </w:r>
          </w:p>
        </w:tc>
      </w:tr>
      <w:tr w:rsidR="00846ACC" w:rsidRPr="004974C0" w14:paraId="2BCA0EB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8AD504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5BEE887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68F7208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w:t>
            </w:r>
          </w:p>
        </w:tc>
        <w:tc>
          <w:tcPr>
            <w:tcW w:w="1843" w:type="dxa"/>
            <w:tcBorders>
              <w:top w:val="nil"/>
              <w:left w:val="nil"/>
              <w:bottom w:val="single" w:sz="4" w:space="0" w:color="auto"/>
              <w:right w:val="single" w:sz="4" w:space="0" w:color="auto"/>
            </w:tcBorders>
            <w:shd w:val="clear" w:color="auto" w:fill="auto"/>
            <w:noWrap/>
            <w:vAlign w:val="bottom"/>
            <w:hideMark/>
          </w:tcPr>
          <w:p w14:paraId="6BA8350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338,00</w:t>
            </w:r>
          </w:p>
        </w:tc>
        <w:tc>
          <w:tcPr>
            <w:tcW w:w="1559" w:type="dxa"/>
            <w:tcBorders>
              <w:top w:val="nil"/>
              <w:left w:val="nil"/>
              <w:bottom w:val="single" w:sz="4" w:space="0" w:color="auto"/>
              <w:right w:val="single" w:sz="4" w:space="0" w:color="auto"/>
            </w:tcBorders>
            <w:shd w:val="clear" w:color="auto" w:fill="auto"/>
            <w:noWrap/>
            <w:vAlign w:val="bottom"/>
            <w:hideMark/>
          </w:tcPr>
          <w:p w14:paraId="2F0676A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112,67</w:t>
            </w:r>
          </w:p>
        </w:tc>
        <w:tc>
          <w:tcPr>
            <w:tcW w:w="1803" w:type="dxa"/>
            <w:tcBorders>
              <w:top w:val="nil"/>
              <w:left w:val="nil"/>
              <w:bottom w:val="single" w:sz="4" w:space="0" w:color="auto"/>
              <w:right w:val="single" w:sz="4" w:space="0" w:color="auto"/>
            </w:tcBorders>
            <w:shd w:val="clear" w:color="auto" w:fill="auto"/>
            <w:noWrap/>
            <w:vAlign w:val="bottom"/>
            <w:hideMark/>
          </w:tcPr>
          <w:p w14:paraId="2601BD5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638,00</w:t>
            </w:r>
          </w:p>
        </w:tc>
      </w:tr>
      <w:tr w:rsidR="00846ACC" w:rsidRPr="004974C0" w14:paraId="3C91F0F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1A48231"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1F234C3F"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2830DA7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w:t>
            </w:r>
          </w:p>
        </w:tc>
        <w:tc>
          <w:tcPr>
            <w:tcW w:w="1843" w:type="dxa"/>
            <w:tcBorders>
              <w:top w:val="nil"/>
              <w:left w:val="nil"/>
              <w:bottom w:val="single" w:sz="4" w:space="0" w:color="auto"/>
              <w:right w:val="single" w:sz="4" w:space="0" w:color="auto"/>
            </w:tcBorders>
            <w:shd w:val="clear" w:color="auto" w:fill="auto"/>
            <w:noWrap/>
            <w:vAlign w:val="bottom"/>
            <w:hideMark/>
          </w:tcPr>
          <w:p w14:paraId="7538DFF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338,00</w:t>
            </w:r>
          </w:p>
        </w:tc>
        <w:tc>
          <w:tcPr>
            <w:tcW w:w="1559" w:type="dxa"/>
            <w:tcBorders>
              <w:top w:val="nil"/>
              <w:left w:val="nil"/>
              <w:bottom w:val="single" w:sz="4" w:space="0" w:color="auto"/>
              <w:right w:val="single" w:sz="4" w:space="0" w:color="auto"/>
            </w:tcBorders>
            <w:shd w:val="clear" w:color="auto" w:fill="auto"/>
            <w:noWrap/>
            <w:vAlign w:val="bottom"/>
            <w:hideMark/>
          </w:tcPr>
          <w:p w14:paraId="21F46CF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112,67</w:t>
            </w:r>
          </w:p>
        </w:tc>
        <w:tc>
          <w:tcPr>
            <w:tcW w:w="1803" w:type="dxa"/>
            <w:tcBorders>
              <w:top w:val="nil"/>
              <w:left w:val="nil"/>
              <w:bottom w:val="single" w:sz="4" w:space="0" w:color="auto"/>
              <w:right w:val="single" w:sz="4" w:space="0" w:color="auto"/>
            </w:tcBorders>
            <w:shd w:val="clear" w:color="auto" w:fill="auto"/>
            <w:noWrap/>
            <w:vAlign w:val="bottom"/>
            <w:hideMark/>
          </w:tcPr>
          <w:p w14:paraId="39062A4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638,00</w:t>
            </w:r>
          </w:p>
        </w:tc>
      </w:tr>
      <w:tr w:rsidR="00846ACC" w:rsidRPr="004974C0" w14:paraId="1278795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0000FF"/>
            <w:noWrap/>
            <w:vAlign w:val="bottom"/>
            <w:hideMark/>
          </w:tcPr>
          <w:p w14:paraId="45D60C85"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Glava 50005 USTANOVE U SOCIJALNOJ SKRBI</w:t>
            </w:r>
          </w:p>
        </w:tc>
        <w:tc>
          <w:tcPr>
            <w:tcW w:w="1984" w:type="dxa"/>
            <w:tcBorders>
              <w:top w:val="nil"/>
              <w:left w:val="nil"/>
              <w:bottom w:val="single" w:sz="4" w:space="0" w:color="auto"/>
              <w:right w:val="single" w:sz="4" w:space="0" w:color="auto"/>
            </w:tcBorders>
            <w:shd w:val="clear" w:color="000000" w:fill="0000FF"/>
            <w:noWrap/>
            <w:vAlign w:val="bottom"/>
            <w:hideMark/>
          </w:tcPr>
          <w:p w14:paraId="3FAB2D86"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0000FF"/>
            <w:noWrap/>
            <w:vAlign w:val="bottom"/>
            <w:hideMark/>
          </w:tcPr>
          <w:p w14:paraId="24FE340A"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1.737.130,00</w:t>
            </w:r>
          </w:p>
        </w:tc>
        <w:tc>
          <w:tcPr>
            <w:tcW w:w="1843" w:type="dxa"/>
            <w:tcBorders>
              <w:top w:val="nil"/>
              <w:left w:val="nil"/>
              <w:bottom w:val="single" w:sz="4" w:space="0" w:color="auto"/>
              <w:right w:val="single" w:sz="4" w:space="0" w:color="auto"/>
            </w:tcBorders>
            <w:shd w:val="clear" w:color="000000" w:fill="0000FF"/>
            <w:noWrap/>
            <w:vAlign w:val="bottom"/>
            <w:hideMark/>
          </w:tcPr>
          <w:p w14:paraId="471F2C9D"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32.913,00</w:t>
            </w:r>
          </w:p>
        </w:tc>
        <w:tc>
          <w:tcPr>
            <w:tcW w:w="1559" w:type="dxa"/>
            <w:tcBorders>
              <w:top w:val="nil"/>
              <w:left w:val="nil"/>
              <w:bottom w:val="single" w:sz="4" w:space="0" w:color="auto"/>
              <w:right w:val="single" w:sz="4" w:space="0" w:color="auto"/>
            </w:tcBorders>
            <w:shd w:val="clear" w:color="000000" w:fill="0000FF"/>
            <w:noWrap/>
            <w:vAlign w:val="bottom"/>
            <w:hideMark/>
          </w:tcPr>
          <w:p w14:paraId="11FF59BB"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1,89</w:t>
            </w:r>
          </w:p>
        </w:tc>
        <w:tc>
          <w:tcPr>
            <w:tcW w:w="1803" w:type="dxa"/>
            <w:tcBorders>
              <w:top w:val="nil"/>
              <w:left w:val="nil"/>
              <w:bottom w:val="single" w:sz="4" w:space="0" w:color="auto"/>
              <w:right w:val="single" w:sz="4" w:space="0" w:color="auto"/>
            </w:tcBorders>
            <w:shd w:val="clear" w:color="000000" w:fill="0000FF"/>
            <w:noWrap/>
            <w:vAlign w:val="bottom"/>
            <w:hideMark/>
          </w:tcPr>
          <w:p w14:paraId="0C22147B"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1.770.043,00</w:t>
            </w:r>
          </w:p>
        </w:tc>
      </w:tr>
      <w:tr w:rsidR="00846ACC" w:rsidRPr="004974C0" w14:paraId="3A89E1D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3366FF"/>
            <w:noWrap/>
            <w:vAlign w:val="bottom"/>
            <w:hideMark/>
          </w:tcPr>
          <w:p w14:paraId="32D3E376"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Proračunski korisnik 53994 DOM ZA STARIJE OSOBE LABIN</w:t>
            </w:r>
          </w:p>
        </w:tc>
        <w:tc>
          <w:tcPr>
            <w:tcW w:w="1984" w:type="dxa"/>
            <w:tcBorders>
              <w:top w:val="nil"/>
              <w:left w:val="nil"/>
              <w:bottom w:val="single" w:sz="4" w:space="0" w:color="auto"/>
              <w:right w:val="single" w:sz="4" w:space="0" w:color="auto"/>
            </w:tcBorders>
            <w:shd w:val="clear" w:color="000000" w:fill="3366FF"/>
            <w:noWrap/>
            <w:vAlign w:val="bottom"/>
            <w:hideMark/>
          </w:tcPr>
          <w:p w14:paraId="05C9EC14"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3366FF"/>
            <w:noWrap/>
            <w:vAlign w:val="bottom"/>
            <w:hideMark/>
          </w:tcPr>
          <w:p w14:paraId="2E72764F"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1.737.130,00</w:t>
            </w:r>
          </w:p>
        </w:tc>
        <w:tc>
          <w:tcPr>
            <w:tcW w:w="1843" w:type="dxa"/>
            <w:tcBorders>
              <w:top w:val="nil"/>
              <w:left w:val="nil"/>
              <w:bottom w:val="single" w:sz="4" w:space="0" w:color="auto"/>
              <w:right w:val="single" w:sz="4" w:space="0" w:color="auto"/>
            </w:tcBorders>
            <w:shd w:val="clear" w:color="000000" w:fill="3366FF"/>
            <w:noWrap/>
            <w:vAlign w:val="bottom"/>
            <w:hideMark/>
          </w:tcPr>
          <w:p w14:paraId="783193A1"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32.913,00</w:t>
            </w:r>
          </w:p>
        </w:tc>
        <w:tc>
          <w:tcPr>
            <w:tcW w:w="1559" w:type="dxa"/>
            <w:tcBorders>
              <w:top w:val="nil"/>
              <w:left w:val="nil"/>
              <w:bottom w:val="single" w:sz="4" w:space="0" w:color="auto"/>
              <w:right w:val="single" w:sz="4" w:space="0" w:color="auto"/>
            </w:tcBorders>
            <w:shd w:val="clear" w:color="000000" w:fill="3366FF"/>
            <w:noWrap/>
            <w:vAlign w:val="bottom"/>
            <w:hideMark/>
          </w:tcPr>
          <w:p w14:paraId="20F98D03"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1,89</w:t>
            </w:r>
          </w:p>
        </w:tc>
        <w:tc>
          <w:tcPr>
            <w:tcW w:w="1803" w:type="dxa"/>
            <w:tcBorders>
              <w:top w:val="nil"/>
              <w:left w:val="nil"/>
              <w:bottom w:val="single" w:sz="4" w:space="0" w:color="auto"/>
              <w:right w:val="single" w:sz="4" w:space="0" w:color="auto"/>
            </w:tcBorders>
            <w:shd w:val="clear" w:color="000000" w:fill="3366FF"/>
            <w:noWrap/>
            <w:vAlign w:val="bottom"/>
            <w:hideMark/>
          </w:tcPr>
          <w:p w14:paraId="20A379F1"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1.770.043,00</w:t>
            </w:r>
          </w:p>
        </w:tc>
      </w:tr>
      <w:tr w:rsidR="00846ACC" w:rsidRPr="004974C0" w14:paraId="721E033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6A93C3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3578A8C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0F0CCF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1.059.630,00</w:t>
            </w:r>
          </w:p>
        </w:tc>
        <w:tc>
          <w:tcPr>
            <w:tcW w:w="1843" w:type="dxa"/>
            <w:tcBorders>
              <w:top w:val="nil"/>
              <w:left w:val="nil"/>
              <w:bottom w:val="single" w:sz="4" w:space="0" w:color="auto"/>
              <w:right w:val="single" w:sz="4" w:space="0" w:color="auto"/>
            </w:tcBorders>
            <w:shd w:val="clear" w:color="000000" w:fill="FFFFFF"/>
            <w:noWrap/>
            <w:vAlign w:val="bottom"/>
            <w:hideMark/>
          </w:tcPr>
          <w:p w14:paraId="60F3E94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73.750,00</w:t>
            </w:r>
          </w:p>
        </w:tc>
        <w:tc>
          <w:tcPr>
            <w:tcW w:w="1559" w:type="dxa"/>
            <w:tcBorders>
              <w:top w:val="nil"/>
              <w:left w:val="nil"/>
              <w:bottom w:val="single" w:sz="4" w:space="0" w:color="auto"/>
              <w:right w:val="single" w:sz="4" w:space="0" w:color="auto"/>
            </w:tcBorders>
            <w:shd w:val="clear" w:color="000000" w:fill="FFFFFF"/>
            <w:noWrap/>
            <w:vAlign w:val="bottom"/>
            <w:hideMark/>
          </w:tcPr>
          <w:p w14:paraId="084A63E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6,96</w:t>
            </w:r>
          </w:p>
        </w:tc>
        <w:tc>
          <w:tcPr>
            <w:tcW w:w="1803" w:type="dxa"/>
            <w:tcBorders>
              <w:top w:val="nil"/>
              <w:left w:val="nil"/>
              <w:bottom w:val="single" w:sz="4" w:space="0" w:color="auto"/>
              <w:right w:val="single" w:sz="4" w:space="0" w:color="auto"/>
            </w:tcBorders>
            <w:shd w:val="clear" w:color="000000" w:fill="FFFFFF"/>
            <w:noWrap/>
            <w:vAlign w:val="bottom"/>
            <w:hideMark/>
          </w:tcPr>
          <w:p w14:paraId="28E847F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1.133.380,00</w:t>
            </w:r>
          </w:p>
        </w:tc>
      </w:tr>
      <w:tr w:rsidR="00846ACC" w:rsidRPr="004974C0" w14:paraId="507B645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046EDE3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2C50313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B7CABC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1.059.630,00</w:t>
            </w:r>
          </w:p>
        </w:tc>
        <w:tc>
          <w:tcPr>
            <w:tcW w:w="1843" w:type="dxa"/>
            <w:tcBorders>
              <w:top w:val="nil"/>
              <w:left w:val="nil"/>
              <w:bottom w:val="single" w:sz="4" w:space="0" w:color="auto"/>
              <w:right w:val="single" w:sz="4" w:space="0" w:color="auto"/>
            </w:tcBorders>
            <w:shd w:val="clear" w:color="000000" w:fill="FFFFFF"/>
            <w:noWrap/>
            <w:vAlign w:val="bottom"/>
            <w:hideMark/>
          </w:tcPr>
          <w:p w14:paraId="18D7A06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73.750,00</w:t>
            </w:r>
          </w:p>
        </w:tc>
        <w:tc>
          <w:tcPr>
            <w:tcW w:w="1559" w:type="dxa"/>
            <w:tcBorders>
              <w:top w:val="nil"/>
              <w:left w:val="nil"/>
              <w:bottom w:val="single" w:sz="4" w:space="0" w:color="auto"/>
              <w:right w:val="single" w:sz="4" w:space="0" w:color="auto"/>
            </w:tcBorders>
            <w:shd w:val="clear" w:color="000000" w:fill="FFFFFF"/>
            <w:noWrap/>
            <w:vAlign w:val="bottom"/>
            <w:hideMark/>
          </w:tcPr>
          <w:p w14:paraId="233078F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6,96</w:t>
            </w:r>
          </w:p>
        </w:tc>
        <w:tc>
          <w:tcPr>
            <w:tcW w:w="1803" w:type="dxa"/>
            <w:tcBorders>
              <w:top w:val="nil"/>
              <w:left w:val="nil"/>
              <w:bottom w:val="single" w:sz="4" w:space="0" w:color="auto"/>
              <w:right w:val="single" w:sz="4" w:space="0" w:color="auto"/>
            </w:tcBorders>
            <w:shd w:val="clear" w:color="000000" w:fill="FFFFFF"/>
            <w:noWrap/>
            <w:vAlign w:val="bottom"/>
            <w:hideMark/>
          </w:tcPr>
          <w:p w14:paraId="159D596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1.133.380,00</w:t>
            </w:r>
          </w:p>
        </w:tc>
      </w:tr>
      <w:tr w:rsidR="00846ACC" w:rsidRPr="004974C0" w14:paraId="2695614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28C51F9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 PRIHODI ZA POSEBNE NAMJENE</w:t>
            </w:r>
          </w:p>
        </w:tc>
        <w:tc>
          <w:tcPr>
            <w:tcW w:w="1984" w:type="dxa"/>
            <w:tcBorders>
              <w:top w:val="nil"/>
              <w:left w:val="nil"/>
              <w:bottom w:val="single" w:sz="4" w:space="0" w:color="auto"/>
              <w:right w:val="single" w:sz="4" w:space="0" w:color="auto"/>
            </w:tcBorders>
            <w:shd w:val="clear" w:color="000000" w:fill="FFFFFF"/>
            <w:noWrap/>
            <w:vAlign w:val="bottom"/>
            <w:hideMark/>
          </w:tcPr>
          <w:p w14:paraId="2D5ACB3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F32B62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672.500,00</w:t>
            </w:r>
          </w:p>
        </w:tc>
        <w:tc>
          <w:tcPr>
            <w:tcW w:w="1843" w:type="dxa"/>
            <w:tcBorders>
              <w:top w:val="nil"/>
              <w:left w:val="nil"/>
              <w:bottom w:val="single" w:sz="4" w:space="0" w:color="auto"/>
              <w:right w:val="single" w:sz="4" w:space="0" w:color="auto"/>
            </w:tcBorders>
            <w:shd w:val="clear" w:color="000000" w:fill="FFFFFF"/>
            <w:noWrap/>
            <w:vAlign w:val="bottom"/>
            <w:hideMark/>
          </w:tcPr>
          <w:p w14:paraId="2782C05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-44.837,00</w:t>
            </w:r>
          </w:p>
        </w:tc>
        <w:tc>
          <w:tcPr>
            <w:tcW w:w="1559" w:type="dxa"/>
            <w:tcBorders>
              <w:top w:val="nil"/>
              <w:left w:val="nil"/>
              <w:bottom w:val="single" w:sz="4" w:space="0" w:color="auto"/>
              <w:right w:val="single" w:sz="4" w:space="0" w:color="auto"/>
            </w:tcBorders>
            <w:shd w:val="clear" w:color="000000" w:fill="FFFFFF"/>
            <w:noWrap/>
            <w:vAlign w:val="bottom"/>
            <w:hideMark/>
          </w:tcPr>
          <w:p w14:paraId="5E19E96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-6,67</w:t>
            </w:r>
          </w:p>
        </w:tc>
        <w:tc>
          <w:tcPr>
            <w:tcW w:w="1803" w:type="dxa"/>
            <w:tcBorders>
              <w:top w:val="nil"/>
              <w:left w:val="nil"/>
              <w:bottom w:val="single" w:sz="4" w:space="0" w:color="auto"/>
              <w:right w:val="single" w:sz="4" w:space="0" w:color="auto"/>
            </w:tcBorders>
            <w:shd w:val="clear" w:color="000000" w:fill="FFFFFF"/>
            <w:noWrap/>
            <w:vAlign w:val="bottom"/>
            <w:hideMark/>
          </w:tcPr>
          <w:p w14:paraId="231CE54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627.663,00</w:t>
            </w:r>
          </w:p>
        </w:tc>
      </w:tr>
      <w:tr w:rsidR="00846ACC" w:rsidRPr="004974C0" w14:paraId="19474CB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4BC11A3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4.9. 4.PRIHODI ZA POSEBNE NAMJENE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4A175F6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DB4182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672.500,00</w:t>
            </w:r>
          </w:p>
        </w:tc>
        <w:tc>
          <w:tcPr>
            <w:tcW w:w="1843" w:type="dxa"/>
            <w:tcBorders>
              <w:top w:val="nil"/>
              <w:left w:val="nil"/>
              <w:bottom w:val="single" w:sz="4" w:space="0" w:color="auto"/>
              <w:right w:val="single" w:sz="4" w:space="0" w:color="auto"/>
            </w:tcBorders>
            <w:shd w:val="clear" w:color="000000" w:fill="FFFFFF"/>
            <w:noWrap/>
            <w:vAlign w:val="bottom"/>
            <w:hideMark/>
          </w:tcPr>
          <w:p w14:paraId="010FAEA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-44.837,00</w:t>
            </w:r>
          </w:p>
        </w:tc>
        <w:tc>
          <w:tcPr>
            <w:tcW w:w="1559" w:type="dxa"/>
            <w:tcBorders>
              <w:top w:val="nil"/>
              <w:left w:val="nil"/>
              <w:bottom w:val="single" w:sz="4" w:space="0" w:color="auto"/>
              <w:right w:val="single" w:sz="4" w:space="0" w:color="auto"/>
            </w:tcBorders>
            <w:shd w:val="clear" w:color="000000" w:fill="FFFFFF"/>
            <w:noWrap/>
            <w:vAlign w:val="bottom"/>
            <w:hideMark/>
          </w:tcPr>
          <w:p w14:paraId="51ABAA0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-6,67</w:t>
            </w:r>
          </w:p>
        </w:tc>
        <w:tc>
          <w:tcPr>
            <w:tcW w:w="1803" w:type="dxa"/>
            <w:tcBorders>
              <w:top w:val="nil"/>
              <w:left w:val="nil"/>
              <w:bottom w:val="single" w:sz="4" w:space="0" w:color="auto"/>
              <w:right w:val="single" w:sz="4" w:space="0" w:color="auto"/>
            </w:tcBorders>
            <w:shd w:val="clear" w:color="000000" w:fill="FFFFFF"/>
            <w:noWrap/>
            <w:vAlign w:val="bottom"/>
            <w:hideMark/>
          </w:tcPr>
          <w:p w14:paraId="41A6062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627.663,00</w:t>
            </w:r>
          </w:p>
        </w:tc>
      </w:tr>
      <w:tr w:rsidR="00846ACC" w:rsidRPr="004974C0" w14:paraId="10BA4AF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F5762B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 POMOĆI</w:t>
            </w:r>
          </w:p>
        </w:tc>
        <w:tc>
          <w:tcPr>
            <w:tcW w:w="1984" w:type="dxa"/>
            <w:tcBorders>
              <w:top w:val="nil"/>
              <w:left w:val="nil"/>
              <w:bottom w:val="single" w:sz="4" w:space="0" w:color="auto"/>
              <w:right w:val="single" w:sz="4" w:space="0" w:color="auto"/>
            </w:tcBorders>
            <w:shd w:val="clear" w:color="000000" w:fill="FFFFFF"/>
            <w:noWrap/>
            <w:vAlign w:val="bottom"/>
            <w:hideMark/>
          </w:tcPr>
          <w:p w14:paraId="367417C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EC1C1D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FF"/>
            <w:noWrap/>
            <w:vAlign w:val="bottom"/>
            <w:hideMark/>
          </w:tcPr>
          <w:p w14:paraId="0A36B2B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c>
          <w:tcPr>
            <w:tcW w:w="1559" w:type="dxa"/>
            <w:tcBorders>
              <w:top w:val="nil"/>
              <w:left w:val="nil"/>
              <w:bottom w:val="single" w:sz="4" w:space="0" w:color="auto"/>
              <w:right w:val="single" w:sz="4" w:space="0" w:color="auto"/>
            </w:tcBorders>
            <w:shd w:val="clear" w:color="000000" w:fill="FFFFFF"/>
            <w:noWrap/>
            <w:vAlign w:val="bottom"/>
            <w:hideMark/>
          </w:tcPr>
          <w:p w14:paraId="6F74081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FF"/>
            <w:noWrap/>
            <w:vAlign w:val="bottom"/>
            <w:hideMark/>
          </w:tcPr>
          <w:p w14:paraId="5167A88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r>
      <w:tr w:rsidR="00846ACC" w:rsidRPr="004974C0" w14:paraId="32ECD3E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5DBD25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5.5. POMOĆI IZ ŽUPANIJSKOG PRORAČUNA</w:t>
            </w:r>
          </w:p>
        </w:tc>
        <w:tc>
          <w:tcPr>
            <w:tcW w:w="1984" w:type="dxa"/>
            <w:tcBorders>
              <w:top w:val="nil"/>
              <w:left w:val="nil"/>
              <w:bottom w:val="single" w:sz="4" w:space="0" w:color="auto"/>
              <w:right w:val="single" w:sz="4" w:space="0" w:color="auto"/>
            </w:tcBorders>
            <w:shd w:val="clear" w:color="000000" w:fill="FFFFFF"/>
            <w:noWrap/>
            <w:vAlign w:val="bottom"/>
            <w:hideMark/>
          </w:tcPr>
          <w:p w14:paraId="6D20DB7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20908D9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FF"/>
            <w:noWrap/>
            <w:vAlign w:val="bottom"/>
            <w:hideMark/>
          </w:tcPr>
          <w:p w14:paraId="6493E0F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c>
          <w:tcPr>
            <w:tcW w:w="1559" w:type="dxa"/>
            <w:tcBorders>
              <w:top w:val="nil"/>
              <w:left w:val="nil"/>
              <w:bottom w:val="single" w:sz="4" w:space="0" w:color="auto"/>
              <w:right w:val="single" w:sz="4" w:space="0" w:color="auto"/>
            </w:tcBorders>
            <w:shd w:val="clear" w:color="000000" w:fill="FFFFFF"/>
            <w:noWrap/>
            <w:vAlign w:val="bottom"/>
            <w:hideMark/>
          </w:tcPr>
          <w:p w14:paraId="182B710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FF"/>
            <w:noWrap/>
            <w:vAlign w:val="bottom"/>
            <w:hideMark/>
          </w:tcPr>
          <w:p w14:paraId="559AE91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r>
      <w:tr w:rsidR="00846ACC" w:rsidRPr="004974C0" w14:paraId="1BDD479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4289EF6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Izvor  6. DONACIJE</w:t>
            </w:r>
          </w:p>
        </w:tc>
        <w:tc>
          <w:tcPr>
            <w:tcW w:w="1984" w:type="dxa"/>
            <w:tcBorders>
              <w:top w:val="nil"/>
              <w:left w:val="nil"/>
              <w:bottom w:val="single" w:sz="4" w:space="0" w:color="auto"/>
              <w:right w:val="single" w:sz="4" w:space="0" w:color="auto"/>
            </w:tcBorders>
            <w:shd w:val="clear" w:color="000000" w:fill="FFFFFF"/>
            <w:noWrap/>
            <w:vAlign w:val="bottom"/>
            <w:hideMark/>
          </w:tcPr>
          <w:p w14:paraId="40B21BE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BE4824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c>
          <w:tcPr>
            <w:tcW w:w="1843" w:type="dxa"/>
            <w:tcBorders>
              <w:top w:val="nil"/>
              <w:left w:val="nil"/>
              <w:bottom w:val="single" w:sz="4" w:space="0" w:color="auto"/>
              <w:right w:val="single" w:sz="4" w:space="0" w:color="auto"/>
            </w:tcBorders>
            <w:shd w:val="clear" w:color="000000" w:fill="FFFFFF"/>
            <w:noWrap/>
            <w:vAlign w:val="bottom"/>
            <w:hideMark/>
          </w:tcPr>
          <w:p w14:paraId="5867653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11A3C7E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5337B9B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r>
      <w:tr w:rsidR="00846ACC" w:rsidRPr="004974C0" w14:paraId="40FFF58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30FA9E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6.9. 6.DONACIJE - PRIHODI KORISNIKA</w:t>
            </w:r>
          </w:p>
        </w:tc>
        <w:tc>
          <w:tcPr>
            <w:tcW w:w="1984" w:type="dxa"/>
            <w:tcBorders>
              <w:top w:val="nil"/>
              <w:left w:val="nil"/>
              <w:bottom w:val="single" w:sz="4" w:space="0" w:color="auto"/>
              <w:right w:val="single" w:sz="4" w:space="0" w:color="auto"/>
            </w:tcBorders>
            <w:shd w:val="clear" w:color="000000" w:fill="FFFFFF"/>
            <w:noWrap/>
            <w:vAlign w:val="bottom"/>
            <w:hideMark/>
          </w:tcPr>
          <w:p w14:paraId="5AF67C3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D07BCF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c>
          <w:tcPr>
            <w:tcW w:w="1843" w:type="dxa"/>
            <w:tcBorders>
              <w:top w:val="nil"/>
              <w:left w:val="nil"/>
              <w:bottom w:val="single" w:sz="4" w:space="0" w:color="auto"/>
              <w:right w:val="single" w:sz="4" w:space="0" w:color="auto"/>
            </w:tcBorders>
            <w:shd w:val="clear" w:color="000000" w:fill="FFFFFF"/>
            <w:noWrap/>
            <w:vAlign w:val="bottom"/>
            <w:hideMark/>
          </w:tcPr>
          <w:p w14:paraId="6CE8528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27B2CAE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111DD84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r>
      <w:tr w:rsidR="00846ACC" w:rsidRPr="004974C0" w14:paraId="6DC3161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367A7FE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5011 Socijalna skrb sa smještajem</w:t>
            </w:r>
          </w:p>
        </w:tc>
        <w:tc>
          <w:tcPr>
            <w:tcW w:w="1984" w:type="dxa"/>
            <w:tcBorders>
              <w:top w:val="nil"/>
              <w:left w:val="nil"/>
              <w:bottom w:val="single" w:sz="4" w:space="0" w:color="auto"/>
              <w:right w:val="single" w:sz="4" w:space="0" w:color="auto"/>
            </w:tcBorders>
            <w:shd w:val="clear" w:color="000000" w:fill="9999FF"/>
            <w:noWrap/>
            <w:vAlign w:val="bottom"/>
            <w:hideMark/>
          </w:tcPr>
          <w:p w14:paraId="148893B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56967C3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1.737.130,00</w:t>
            </w:r>
          </w:p>
        </w:tc>
        <w:tc>
          <w:tcPr>
            <w:tcW w:w="1843" w:type="dxa"/>
            <w:tcBorders>
              <w:top w:val="nil"/>
              <w:left w:val="nil"/>
              <w:bottom w:val="single" w:sz="4" w:space="0" w:color="auto"/>
              <w:right w:val="single" w:sz="4" w:space="0" w:color="auto"/>
            </w:tcBorders>
            <w:shd w:val="clear" w:color="000000" w:fill="9999FF"/>
            <w:noWrap/>
            <w:vAlign w:val="bottom"/>
            <w:hideMark/>
          </w:tcPr>
          <w:p w14:paraId="6628031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32.913,00</w:t>
            </w:r>
          </w:p>
        </w:tc>
        <w:tc>
          <w:tcPr>
            <w:tcW w:w="1559" w:type="dxa"/>
            <w:tcBorders>
              <w:top w:val="nil"/>
              <w:left w:val="nil"/>
              <w:bottom w:val="single" w:sz="4" w:space="0" w:color="auto"/>
              <w:right w:val="single" w:sz="4" w:space="0" w:color="auto"/>
            </w:tcBorders>
            <w:shd w:val="clear" w:color="000000" w:fill="9999FF"/>
            <w:noWrap/>
            <w:vAlign w:val="bottom"/>
            <w:hideMark/>
          </w:tcPr>
          <w:p w14:paraId="280AD97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1,89</w:t>
            </w:r>
          </w:p>
        </w:tc>
        <w:tc>
          <w:tcPr>
            <w:tcW w:w="1803" w:type="dxa"/>
            <w:tcBorders>
              <w:top w:val="nil"/>
              <w:left w:val="nil"/>
              <w:bottom w:val="single" w:sz="4" w:space="0" w:color="auto"/>
              <w:right w:val="single" w:sz="4" w:space="0" w:color="auto"/>
            </w:tcBorders>
            <w:shd w:val="clear" w:color="000000" w:fill="9999FF"/>
            <w:noWrap/>
            <w:vAlign w:val="bottom"/>
            <w:hideMark/>
          </w:tcPr>
          <w:p w14:paraId="4345F48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1.770.043,00</w:t>
            </w:r>
          </w:p>
        </w:tc>
      </w:tr>
      <w:tr w:rsidR="00846ACC" w:rsidRPr="004974C0" w14:paraId="6FDD0FA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703366E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A500001 Socijalna zaštita starijih i nemoćnih osoba</w:t>
            </w:r>
          </w:p>
        </w:tc>
        <w:tc>
          <w:tcPr>
            <w:tcW w:w="1984" w:type="dxa"/>
            <w:tcBorders>
              <w:top w:val="nil"/>
              <w:left w:val="nil"/>
              <w:bottom w:val="single" w:sz="4" w:space="0" w:color="auto"/>
              <w:right w:val="single" w:sz="4" w:space="0" w:color="auto"/>
            </w:tcBorders>
            <w:shd w:val="clear" w:color="000000" w:fill="CCCCFF"/>
            <w:noWrap/>
            <w:vAlign w:val="bottom"/>
            <w:hideMark/>
          </w:tcPr>
          <w:p w14:paraId="7EFF207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1C8CE41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1.688.630,00</w:t>
            </w:r>
          </w:p>
        </w:tc>
        <w:tc>
          <w:tcPr>
            <w:tcW w:w="1843" w:type="dxa"/>
            <w:tcBorders>
              <w:top w:val="nil"/>
              <w:left w:val="nil"/>
              <w:bottom w:val="single" w:sz="4" w:space="0" w:color="auto"/>
              <w:right w:val="single" w:sz="4" w:space="0" w:color="auto"/>
            </w:tcBorders>
            <w:shd w:val="clear" w:color="000000" w:fill="CCCCFF"/>
            <w:noWrap/>
            <w:vAlign w:val="bottom"/>
            <w:hideMark/>
          </w:tcPr>
          <w:p w14:paraId="64166FF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33.413,00</w:t>
            </w:r>
          </w:p>
        </w:tc>
        <w:tc>
          <w:tcPr>
            <w:tcW w:w="1559" w:type="dxa"/>
            <w:tcBorders>
              <w:top w:val="nil"/>
              <w:left w:val="nil"/>
              <w:bottom w:val="single" w:sz="4" w:space="0" w:color="auto"/>
              <w:right w:val="single" w:sz="4" w:space="0" w:color="auto"/>
            </w:tcBorders>
            <w:shd w:val="clear" w:color="000000" w:fill="CCCCFF"/>
            <w:noWrap/>
            <w:vAlign w:val="bottom"/>
            <w:hideMark/>
          </w:tcPr>
          <w:p w14:paraId="4BD2200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1,98</w:t>
            </w:r>
          </w:p>
        </w:tc>
        <w:tc>
          <w:tcPr>
            <w:tcW w:w="1803" w:type="dxa"/>
            <w:tcBorders>
              <w:top w:val="nil"/>
              <w:left w:val="nil"/>
              <w:bottom w:val="single" w:sz="4" w:space="0" w:color="auto"/>
              <w:right w:val="single" w:sz="4" w:space="0" w:color="auto"/>
            </w:tcBorders>
            <w:shd w:val="clear" w:color="000000" w:fill="CCCCFF"/>
            <w:noWrap/>
            <w:vAlign w:val="bottom"/>
            <w:hideMark/>
          </w:tcPr>
          <w:p w14:paraId="5722DF4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1.722.043,00</w:t>
            </w:r>
          </w:p>
        </w:tc>
      </w:tr>
      <w:tr w:rsidR="00846ACC" w:rsidRPr="004974C0" w14:paraId="4EE2841A"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0EAF01A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6ADEC76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7F9541B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1.059.630,00</w:t>
            </w:r>
          </w:p>
        </w:tc>
        <w:tc>
          <w:tcPr>
            <w:tcW w:w="1843" w:type="dxa"/>
            <w:tcBorders>
              <w:top w:val="nil"/>
              <w:left w:val="nil"/>
              <w:bottom w:val="single" w:sz="4" w:space="0" w:color="auto"/>
              <w:right w:val="single" w:sz="4" w:space="0" w:color="auto"/>
            </w:tcBorders>
            <w:shd w:val="clear" w:color="000000" w:fill="FFFF99"/>
            <w:noWrap/>
            <w:vAlign w:val="bottom"/>
            <w:hideMark/>
          </w:tcPr>
          <w:p w14:paraId="1C06EE6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73.750,00</w:t>
            </w:r>
          </w:p>
        </w:tc>
        <w:tc>
          <w:tcPr>
            <w:tcW w:w="1559" w:type="dxa"/>
            <w:tcBorders>
              <w:top w:val="nil"/>
              <w:left w:val="nil"/>
              <w:bottom w:val="single" w:sz="4" w:space="0" w:color="auto"/>
              <w:right w:val="single" w:sz="4" w:space="0" w:color="auto"/>
            </w:tcBorders>
            <w:shd w:val="clear" w:color="000000" w:fill="FFFF99"/>
            <w:noWrap/>
            <w:vAlign w:val="bottom"/>
            <w:hideMark/>
          </w:tcPr>
          <w:p w14:paraId="50F4FF6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6,96</w:t>
            </w:r>
          </w:p>
        </w:tc>
        <w:tc>
          <w:tcPr>
            <w:tcW w:w="1803" w:type="dxa"/>
            <w:tcBorders>
              <w:top w:val="nil"/>
              <w:left w:val="nil"/>
              <w:bottom w:val="single" w:sz="4" w:space="0" w:color="auto"/>
              <w:right w:val="single" w:sz="4" w:space="0" w:color="auto"/>
            </w:tcBorders>
            <w:shd w:val="clear" w:color="000000" w:fill="FFFF99"/>
            <w:noWrap/>
            <w:vAlign w:val="bottom"/>
            <w:hideMark/>
          </w:tcPr>
          <w:p w14:paraId="61F6A9F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1.133.380,00</w:t>
            </w:r>
          </w:p>
        </w:tc>
      </w:tr>
      <w:tr w:rsidR="00846ACC" w:rsidRPr="004974C0" w14:paraId="49789ED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2F2B57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428257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331350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1.015.430,00</w:t>
            </w:r>
          </w:p>
        </w:tc>
        <w:tc>
          <w:tcPr>
            <w:tcW w:w="1843" w:type="dxa"/>
            <w:tcBorders>
              <w:top w:val="nil"/>
              <w:left w:val="nil"/>
              <w:bottom w:val="single" w:sz="4" w:space="0" w:color="auto"/>
              <w:right w:val="single" w:sz="4" w:space="0" w:color="auto"/>
            </w:tcBorders>
            <w:shd w:val="clear" w:color="auto" w:fill="auto"/>
            <w:noWrap/>
            <w:vAlign w:val="bottom"/>
            <w:hideMark/>
          </w:tcPr>
          <w:p w14:paraId="71CBD9E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115.950,00</w:t>
            </w:r>
          </w:p>
        </w:tc>
        <w:tc>
          <w:tcPr>
            <w:tcW w:w="1559" w:type="dxa"/>
            <w:tcBorders>
              <w:top w:val="nil"/>
              <w:left w:val="nil"/>
              <w:bottom w:val="single" w:sz="4" w:space="0" w:color="auto"/>
              <w:right w:val="single" w:sz="4" w:space="0" w:color="auto"/>
            </w:tcBorders>
            <w:shd w:val="clear" w:color="auto" w:fill="auto"/>
            <w:noWrap/>
            <w:vAlign w:val="bottom"/>
            <w:hideMark/>
          </w:tcPr>
          <w:p w14:paraId="347371F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11,42</w:t>
            </w:r>
          </w:p>
        </w:tc>
        <w:tc>
          <w:tcPr>
            <w:tcW w:w="1803" w:type="dxa"/>
            <w:tcBorders>
              <w:top w:val="nil"/>
              <w:left w:val="nil"/>
              <w:bottom w:val="single" w:sz="4" w:space="0" w:color="auto"/>
              <w:right w:val="single" w:sz="4" w:space="0" w:color="auto"/>
            </w:tcBorders>
            <w:shd w:val="clear" w:color="auto" w:fill="auto"/>
            <w:noWrap/>
            <w:vAlign w:val="bottom"/>
            <w:hideMark/>
          </w:tcPr>
          <w:p w14:paraId="4BE91FD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1.131.380,00</w:t>
            </w:r>
          </w:p>
        </w:tc>
      </w:tr>
      <w:tr w:rsidR="00846ACC" w:rsidRPr="004974C0" w14:paraId="6D8BF7A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373002A"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5DDA2578"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14DC611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719.600,00</w:t>
            </w:r>
          </w:p>
        </w:tc>
        <w:tc>
          <w:tcPr>
            <w:tcW w:w="1843" w:type="dxa"/>
            <w:tcBorders>
              <w:top w:val="nil"/>
              <w:left w:val="nil"/>
              <w:bottom w:val="single" w:sz="4" w:space="0" w:color="auto"/>
              <w:right w:val="single" w:sz="4" w:space="0" w:color="auto"/>
            </w:tcBorders>
            <w:shd w:val="clear" w:color="auto" w:fill="auto"/>
            <w:noWrap/>
            <w:vAlign w:val="bottom"/>
            <w:hideMark/>
          </w:tcPr>
          <w:p w14:paraId="658633F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114.200,00</w:t>
            </w:r>
          </w:p>
        </w:tc>
        <w:tc>
          <w:tcPr>
            <w:tcW w:w="1559" w:type="dxa"/>
            <w:tcBorders>
              <w:top w:val="nil"/>
              <w:left w:val="nil"/>
              <w:bottom w:val="single" w:sz="4" w:space="0" w:color="auto"/>
              <w:right w:val="single" w:sz="4" w:space="0" w:color="auto"/>
            </w:tcBorders>
            <w:shd w:val="clear" w:color="auto" w:fill="auto"/>
            <w:noWrap/>
            <w:vAlign w:val="bottom"/>
            <w:hideMark/>
          </w:tcPr>
          <w:p w14:paraId="68840E1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15,87</w:t>
            </w:r>
          </w:p>
        </w:tc>
        <w:tc>
          <w:tcPr>
            <w:tcW w:w="1803" w:type="dxa"/>
            <w:tcBorders>
              <w:top w:val="nil"/>
              <w:left w:val="nil"/>
              <w:bottom w:val="single" w:sz="4" w:space="0" w:color="auto"/>
              <w:right w:val="single" w:sz="4" w:space="0" w:color="auto"/>
            </w:tcBorders>
            <w:shd w:val="clear" w:color="auto" w:fill="auto"/>
            <w:noWrap/>
            <w:vAlign w:val="bottom"/>
            <w:hideMark/>
          </w:tcPr>
          <w:p w14:paraId="2D1DDBF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833.800,00</w:t>
            </w:r>
          </w:p>
        </w:tc>
      </w:tr>
      <w:tr w:rsidR="00846ACC" w:rsidRPr="004974C0" w14:paraId="003CE92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DA9B876"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63165038"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A106DE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295.830,00</w:t>
            </w:r>
          </w:p>
        </w:tc>
        <w:tc>
          <w:tcPr>
            <w:tcW w:w="1843" w:type="dxa"/>
            <w:tcBorders>
              <w:top w:val="nil"/>
              <w:left w:val="nil"/>
              <w:bottom w:val="single" w:sz="4" w:space="0" w:color="auto"/>
              <w:right w:val="single" w:sz="4" w:space="0" w:color="auto"/>
            </w:tcBorders>
            <w:shd w:val="clear" w:color="auto" w:fill="auto"/>
            <w:noWrap/>
            <w:vAlign w:val="bottom"/>
            <w:hideMark/>
          </w:tcPr>
          <w:p w14:paraId="13541C0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1.750,00</w:t>
            </w:r>
          </w:p>
        </w:tc>
        <w:tc>
          <w:tcPr>
            <w:tcW w:w="1559" w:type="dxa"/>
            <w:tcBorders>
              <w:top w:val="nil"/>
              <w:left w:val="nil"/>
              <w:bottom w:val="single" w:sz="4" w:space="0" w:color="auto"/>
              <w:right w:val="single" w:sz="4" w:space="0" w:color="auto"/>
            </w:tcBorders>
            <w:shd w:val="clear" w:color="auto" w:fill="auto"/>
            <w:noWrap/>
            <w:vAlign w:val="bottom"/>
            <w:hideMark/>
          </w:tcPr>
          <w:p w14:paraId="1CC49A8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0,59</w:t>
            </w:r>
          </w:p>
        </w:tc>
        <w:tc>
          <w:tcPr>
            <w:tcW w:w="1803" w:type="dxa"/>
            <w:tcBorders>
              <w:top w:val="nil"/>
              <w:left w:val="nil"/>
              <w:bottom w:val="single" w:sz="4" w:space="0" w:color="auto"/>
              <w:right w:val="single" w:sz="4" w:space="0" w:color="auto"/>
            </w:tcBorders>
            <w:shd w:val="clear" w:color="auto" w:fill="auto"/>
            <w:noWrap/>
            <w:vAlign w:val="bottom"/>
            <w:hideMark/>
          </w:tcPr>
          <w:p w14:paraId="3D69004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297.580,00</w:t>
            </w:r>
          </w:p>
        </w:tc>
      </w:tr>
      <w:tr w:rsidR="00846ACC" w:rsidRPr="004974C0" w14:paraId="062B513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BC967F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38A55C2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3ACDE11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44.200,00</w:t>
            </w:r>
          </w:p>
        </w:tc>
        <w:tc>
          <w:tcPr>
            <w:tcW w:w="1843" w:type="dxa"/>
            <w:tcBorders>
              <w:top w:val="nil"/>
              <w:left w:val="nil"/>
              <w:bottom w:val="single" w:sz="4" w:space="0" w:color="auto"/>
              <w:right w:val="single" w:sz="4" w:space="0" w:color="auto"/>
            </w:tcBorders>
            <w:shd w:val="clear" w:color="auto" w:fill="auto"/>
            <w:noWrap/>
            <w:vAlign w:val="bottom"/>
            <w:hideMark/>
          </w:tcPr>
          <w:p w14:paraId="074233A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-42.200,00</w:t>
            </w:r>
          </w:p>
        </w:tc>
        <w:tc>
          <w:tcPr>
            <w:tcW w:w="1559" w:type="dxa"/>
            <w:tcBorders>
              <w:top w:val="nil"/>
              <w:left w:val="nil"/>
              <w:bottom w:val="single" w:sz="4" w:space="0" w:color="auto"/>
              <w:right w:val="single" w:sz="4" w:space="0" w:color="auto"/>
            </w:tcBorders>
            <w:shd w:val="clear" w:color="auto" w:fill="auto"/>
            <w:noWrap/>
            <w:vAlign w:val="bottom"/>
            <w:hideMark/>
          </w:tcPr>
          <w:p w14:paraId="11C3B1B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-95,48</w:t>
            </w:r>
          </w:p>
        </w:tc>
        <w:tc>
          <w:tcPr>
            <w:tcW w:w="1803" w:type="dxa"/>
            <w:tcBorders>
              <w:top w:val="nil"/>
              <w:left w:val="nil"/>
              <w:bottom w:val="single" w:sz="4" w:space="0" w:color="auto"/>
              <w:right w:val="single" w:sz="4" w:space="0" w:color="auto"/>
            </w:tcBorders>
            <w:shd w:val="clear" w:color="auto" w:fill="auto"/>
            <w:noWrap/>
            <w:vAlign w:val="bottom"/>
            <w:hideMark/>
          </w:tcPr>
          <w:p w14:paraId="1B8631A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r>
      <w:tr w:rsidR="00846ACC" w:rsidRPr="004974C0" w14:paraId="2DA6158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6D6C53A"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385928A6"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4F79355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44.200,00</w:t>
            </w:r>
          </w:p>
        </w:tc>
        <w:tc>
          <w:tcPr>
            <w:tcW w:w="1843" w:type="dxa"/>
            <w:tcBorders>
              <w:top w:val="nil"/>
              <w:left w:val="nil"/>
              <w:bottom w:val="single" w:sz="4" w:space="0" w:color="auto"/>
              <w:right w:val="single" w:sz="4" w:space="0" w:color="auto"/>
            </w:tcBorders>
            <w:shd w:val="clear" w:color="auto" w:fill="auto"/>
            <w:noWrap/>
            <w:vAlign w:val="bottom"/>
            <w:hideMark/>
          </w:tcPr>
          <w:p w14:paraId="77FFCD3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-42.200,00</w:t>
            </w:r>
          </w:p>
        </w:tc>
        <w:tc>
          <w:tcPr>
            <w:tcW w:w="1559" w:type="dxa"/>
            <w:tcBorders>
              <w:top w:val="nil"/>
              <w:left w:val="nil"/>
              <w:bottom w:val="single" w:sz="4" w:space="0" w:color="auto"/>
              <w:right w:val="single" w:sz="4" w:space="0" w:color="auto"/>
            </w:tcBorders>
            <w:shd w:val="clear" w:color="auto" w:fill="auto"/>
            <w:noWrap/>
            <w:vAlign w:val="bottom"/>
            <w:hideMark/>
          </w:tcPr>
          <w:p w14:paraId="2B71119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-95,48</w:t>
            </w:r>
          </w:p>
        </w:tc>
        <w:tc>
          <w:tcPr>
            <w:tcW w:w="1803" w:type="dxa"/>
            <w:tcBorders>
              <w:top w:val="nil"/>
              <w:left w:val="nil"/>
              <w:bottom w:val="single" w:sz="4" w:space="0" w:color="auto"/>
              <w:right w:val="single" w:sz="4" w:space="0" w:color="auto"/>
            </w:tcBorders>
            <w:shd w:val="clear" w:color="auto" w:fill="auto"/>
            <w:noWrap/>
            <w:vAlign w:val="bottom"/>
            <w:hideMark/>
          </w:tcPr>
          <w:p w14:paraId="2BBDDBC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r>
      <w:tr w:rsidR="00846ACC" w:rsidRPr="004974C0" w14:paraId="4C3E6BE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795800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4.9. 4.PRIHODI ZA POSEBNE NAMJENE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1D5DD3D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395325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624.000,00</w:t>
            </w:r>
          </w:p>
        </w:tc>
        <w:tc>
          <w:tcPr>
            <w:tcW w:w="1843" w:type="dxa"/>
            <w:tcBorders>
              <w:top w:val="nil"/>
              <w:left w:val="nil"/>
              <w:bottom w:val="single" w:sz="4" w:space="0" w:color="auto"/>
              <w:right w:val="single" w:sz="4" w:space="0" w:color="auto"/>
            </w:tcBorders>
            <w:shd w:val="clear" w:color="000000" w:fill="FFFF99"/>
            <w:noWrap/>
            <w:vAlign w:val="bottom"/>
            <w:hideMark/>
          </w:tcPr>
          <w:p w14:paraId="7DB89C1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-40.337,00</w:t>
            </w:r>
          </w:p>
        </w:tc>
        <w:tc>
          <w:tcPr>
            <w:tcW w:w="1559" w:type="dxa"/>
            <w:tcBorders>
              <w:top w:val="nil"/>
              <w:left w:val="nil"/>
              <w:bottom w:val="single" w:sz="4" w:space="0" w:color="auto"/>
              <w:right w:val="single" w:sz="4" w:space="0" w:color="auto"/>
            </w:tcBorders>
            <w:shd w:val="clear" w:color="000000" w:fill="FFFF99"/>
            <w:noWrap/>
            <w:vAlign w:val="bottom"/>
            <w:hideMark/>
          </w:tcPr>
          <w:p w14:paraId="2E4883C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-6,46</w:t>
            </w:r>
          </w:p>
        </w:tc>
        <w:tc>
          <w:tcPr>
            <w:tcW w:w="1803" w:type="dxa"/>
            <w:tcBorders>
              <w:top w:val="nil"/>
              <w:left w:val="nil"/>
              <w:bottom w:val="single" w:sz="4" w:space="0" w:color="auto"/>
              <w:right w:val="single" w:sz="4" w:space="0" w:color="auto"/>
            </w:tcBorders>
            <w:shd w:val="clear" w:color="000000" w:fill="FFFF99"/>
            <w:noWrap/>
            <w:vAlign w:val="bottom"/>
            <w:hideMark/>
          </w:tcPr>
          <w:p w14:paraId="2EF370E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583.663,00</w:t>
            </w:r>
          </w:p>
        </w:tc>
      </w:tr>
      <w:tr w:rsidR="00846ACC" w:rsidRPr="004974C0" w14:paraId="78E0E01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1BEB35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BF4024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B09260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621.000,00</w:t>
            </w:r>
          </w:p>
        </w:tc>
        <w:tc>
          <w:tcPr>
            <w:tcW w:w="1843" w:type="dxa"/>
            <w:tcBorders>
              <w:top w:val="nil"/>
              <w:left w:val="nil"/>
              <w:bottom w:val="single" w:sz="4" w:space="0" w:color="auto"/>
              <w:right w:val="single" w:sz="4" w:space="0" w:color="auto"/>
            </w:tcBorders>
            <w:shd w:val="clear" w:color="auto" w:fill="auto"/>
            <w:noWrap/>
            <w:vAlign w:val="bottom"/>
            <w:hideMark/>
          </w:tcPr>
          <w:p w14:paraId="6905B80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-40.337,00</w:t>
            </w:r>
          </w:p>
        </w:tc>
        <w:tc>
          <w:tcPr>
            <w:tcW w:w="1559" w:type="dxa"/>
            <w:tcBorders>
              <w:top w:val="nil"/>
              <w:left w:val="nil"/>
              <w:bottom w:val="single" w:sz="4" w:space="0" w:color="auto"/>
              <w:right w:val="single" w:sz="4" w:space="0" w:color="auto"/>
            </w:tcBorders>
            <w:shd w:val="clear" w:color="auto" w:fill="auto"/>
            <w:noWrap/>
            <w:vAlign w:val="bottom"/>
            <w:hideMark/>
          </w:tcPr>
          <w:p w14:paraId="1B71052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-6,50</w:t>
            </w:r>
          </w:p>
        </w:tc>
        <w:tc>
          <w:tcPr>
            <w:tcW w:w="1803" w:type="dxa"/>
            <w:tcBorders>
              <w:top w:val="nil"/>
              <w:left w:val="nil"/>
              <w:bottom w:val="single" w:sz="4" w:space="0" w:color="auto"/>
              <w:right w:val="single" w:sz="4" w:space="0" w:color="auto"/>
            </w:tcBorders>
            <w:shd w:val="clear" w:color="auto" w:fill="auto"/>
            <w:noWrap/>
            <w:vAlign w:val="bottom"/>
            <w:hideMark/>
          </w:tcPr>
          <w:p w14:paraId="59DFC6F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580.663,00</w:t>
            </w:r>
          </w:p>
        </w:tc>
      </w:tr>
      <w:tr w:rsidR="00846ACC" w:rsidRPr="004974C0" w14:paraId="19D90D9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6020E46" w14:textId="77777777" w:rsidR="004974C0" w:rsidRPr="004974C0" w:rsidRDefault="004974C0" w:rsidP="004974C0">
            <w:pPr>
              <w:rPr>
                <w:rFonts w:ascii="Arial" w:hAnsi="Arial" w:cs="Arial"/>
                <w:sz w:val="20"/>
                <w:szCs w:val="20"/>
              </w:rPr>
            </w:pPr>
            <w:r w:rsidRPr="004974C0">
              <w:rPr>
                <w:rFonts w:ascii="Arial" w:hAnsi="Arial" w:cs="Arial"/>
                <w:sz w:val="20"/>
                <w:szCs w:val="20"/>
              </w:rPr>
              <w:t>31</w:t>
            </w:r>
          </w:p>
        </w:tc>
        <w:tc>
          <w:tcPr>
            <w:tcW w:w="1984" w:type="dxa"/>
            <w:tcBorders>
              <w:top w:val="nil"/>
              <w:left w:val="nil"/>
              <w:bottom w:val="single" w:sz="4" w:space="0" w:color="auto"/>
              <w:right w:val="single" w:sz="4" w:space="0" w:color="auto"/>
            </w:tcBorders>
            <w:shd w:val="clear" w:color="auto" w:fill="auto"/>
            <w:noWrap/>
            <w:vAlign w:val="bottom"/>
            <w:hideMark/>
          </w:tcPr>
          <w:p w14:paraId="77EA828C"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7A9F1D0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490.400,00</w:t>
            </w:r>
          </w:p>
        </w:tc>
        <w:tc>
          <w:tcPr>
            <w:tcW w:w="1843" w:type="dxa"/>
            <w:tcBorders>
              <w:top w:val="nil"/>
              <w:left w:val="nil"/>
              <w:bottom w:val="single" w:sz="4" w:space="0" w:color="auto"/>
              <w:right w:val="single" w:sz="4" w:space="0" w:color="auto"/>
            </w:tcBorders>
            <w:shd w:val="clear" w:color="auto" w:fill="auto"/>
            <w:noWrap/>
            <w:vAlign w:val="bottom"/>
            <w:hideMark/>
          </w:tcPr>
          <w:p w14:paraId="4528C22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-33.737,00</w:t>
            </w:r>
          </w:p>
        </w:tc>
        <w:tc>
          <w:tcPr>
            <w:tcW w:w="1559" w:type="dxa"/>
            <w:tcBorders>
              <w:top w:val="nil"/>
              <w:left w:val="nil"/>
              <w:bottom w:val="single" w:sz="4" w:space="0" w:color="auto"/>
              <w:right w:val="single" w:sz="4" w:space="0" w:color="auto"/>
            </w:tcBorders>
            <w:shd w:val="clear" w:color="auto" w:fill="auto"/>
            <w:noWrap/>
            <w:vAlign w:val="bottom"/>
            <w:hideMark/>
          </w:tcPr>
          <w:p w14:paraId="47ACFF5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-6,88</w:t>
            </w:r>
          </w:p>
        </w:tc>
        <w:tc>
          <w:tcPr>
            <w:tcW w:w="1803" w:type="dxa"/>
            <w:tcBorders>
              <w:top w:val="nil"/>
              <w:left w:val="nil"/>
              <w:bottom w:val="single" w:sz="4" w:space="0" w:color="auto"/>
              <w:right w:val="single" w:sz="4" w:space="0" w:color="auto"/>
            </w:tcBorders>
            <w:shd w:val="clear" w:color="auto" w:fill="auto"/>
            <w:noWrap/>
            <w:vAlign w:val="bottom"/>
            <w:hideMark/>
          </w:tcPr>
          <w:p w14:paraId="52CCE77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456.663,00</w:t>
            </w:r>
          </w:p>
        </w:tc>
      </w:tr>
      <w:tr w:rsidR="00846ACC" w:rsidRPr="004974C0" w14:paraId="5BABF64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6EBEECB"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434A26A"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247669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130.600,00</w:t>
            </w:r>
          </w:p>
        </w:tc>
        <w:tc>
          <w:tcPr>
            <w:tcW w:w="1843" w:type="dxa"/>
            <w:tcBorders>
              <w:top w:val="nil"/>
              <w:left w:val="nil"/>
              <w:bottom w:val="single" w:sz="4" w:space="0" w:color="auto"/>
              <w:right w:val="single" w:sz="4" w:space="0" w:color="auto"/>
            </w:tcBorders>
            <w:shd w:val="clear" w:color="auto" w:fill="auto"/>
            <w:noWrap/>
            <w:vAlign w:val="bottom"/>
            <w:hideMark/>
          </w:tcPr>
          <w:p w14:paraId="4838986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-6.800,00</w:t>
            </w:r>
          </w:p>
        </w:tc>
        <w:tc>
          <w:tcPr>
            <w:tcW w:w="1559" w:type="dxa"/>
            <w:tcBorders>
              <w:top w:val="nil"/>
              <w:left w:val="nil"/>
              <w:bottom w:val="single" w:sz="4" w:space="0" w:color="auto"/>
              <w:right w:val="single" w:sz="4" w:space="0" w:color="auto"/>
            </w:tcBorders>
            <w:shd w:val="clear" w:color="auto" w:fill="auto"/>
            <w:noWrap/>
            <w:vAlign w:val="bottom"/>
            <w:hideMark/>
          </w:tcPr>
          <w:p w14:paraId="3E3AD16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-5,21</w:t>
            </w:r>
          </w:p>
        </w:tc>
        <w:tc>
          <w:tcPr>
            <w:tcW w:w="1803" w:type="dxa"/>
            <w:tcBorders>
              <w:top w:val="nil"/>
              <w:left w:val="nil"/>
              <w:bottom w:val="single" w:sz="4" w:space="0" w:color="auto"/>
              <w:right w:val="single" w:sz="4" w:space="0" w:color="auto"/>
            </w:tcBorders>
            <w:shd w:val="clear" w:color="auto" w:fill="auto"/>
            <w:noWrap/>
            <w:vAlign w:val="bottom"/>
            <w:hideMark/>
          </w:tcPr>
          <w:p w14:paraId="7180222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123.800,00</w:t>
            </w:r>
          </w:p>
        </w:tc>
      </w:tr>
      <w:tr w:rsidR="00846ACC" w:rsidRPr="004974C0" w14:paraId="5A941108"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F150625" w14:textId="77777777" w:rsidR="004974C0" w:rsidRPr="004974C0" w:rsidRDefault="004974C0" w:rsidP="004974C0">
            <w:pPr>
              <w:rPr>
                <w:rFonts w:ascii="Arial" w:hAnsi="Arial" w:cs="Arial"/>
                <w:sz w:val="20"/>
                <w:szCs w:val="20"/>
              </w:rPr>
            </w:pPr>
            <w:r w:rsidRPr="004974C0">
              <w:rPr>
                <w:rFonts w:ascii="Arial" w:hAnsi="Arial" w:cs="Arial"/>
                <w:sz w:val="20"/>
                <w:szCs w:val="20"/>
              </w:rPr>
              <w:t>34</w:t>
            </w:r>
          </w:p>
        </w:tc>
        <w:tc>
          <w:tcPr>
            <w:tcW w:w="1984" w:type="dxa"/>
            <w:tcBorders>
              <w:top w:val="nil"/>
              <w:left w:val="nil"/>
              <w:bottom w:val="single" w:sz="4" w:space="0" w:color="auto"/>
              <w:right w:val="single" w:sz="4" w:space="0" w:color="auto"/>
            </w:tcBorders>
            <w:shd w:val="clear" w:color="auto" w:fill="auto"/>
            <w:noWrap/>
            <w:vAlign w:val="bottom"/>
            <w:hideMark/>
          </w:tcPr>
          <w:p w14:paraId="1499A44B" w14:textId="77777777" w:rsidR="004974C0" w:rsidRPr="004974C0" w:rsidRDefault="004974C0" w:rsidP="004974C0">
            <w:pPr>
              <w:rPr>
                <w:rFonts w:ascii="Arial" w:hAnsi="Arial" w:cs="Arial"/>
                <w:sz w:val="20"/>
                <w:szCs w:val="20"/>
              </w:rPr>
            </w:pPr>
            <w:r w:rsidRPr="004974C0">
              <w:rPr>
                <w:rFonts w:ascii="Arial" w:hAnsi="Arial" w:cs="Arial"/>
                <w:sz w:val="20"/>
                <w:szCs w:val="20"/>
              </w:rPr>
              <w:t>Financijski rashodi</w:t>
            </w:r>
          </w:p>
        </w:tc>
        <w:tc>
          <w:tcPr>
            <w:tcW w:w="1843" w:type="dxa"/>
            <w:tcBorders>
              <w:top w:val="nil"/>
              <w:left w:val="nil"/>
              <w:bottom w:val="single" w:sz="4" w:space="0" w:color="auto"/>
              <w:right w:val="single" w:sz="4" w:space="0" w:color="auto"/>
            </w:tcBorders>
            <w:shd w:val="clear" w:color="auto" w:fill="auto"/>
            <w:noWrap/>
            <w:vAlign w:val="bottom"/>
            <w:hideMark/>
          </w:tcPr>
          <w:p w14:paraId="6540859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752FD5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w:t>
            </w:r>
          </w:p>
        </w:tc>
        <w:tc>
          <w:tcPr>
            <w:tcW w:w="1559" w:type="dxa"/>
            <w:tcBorders>
              <w:top w:val="nil"/>
              <w:left w:val="nil"/>
              <w:bottom w:val="single" w:sz="4" w:space="0" w:color="auto"/>
              <w:right w:val="single" w:sz="4" w:space="0" w:color="auto"/>
            </w:tcBorders>
            <w:shd w:val="clear" w:color="auto" w:fill="auto"/>
            <w:noWrap/>
            <w:vAlign w:val="bottom"/>
            <w:hideMark/>
          </w:tcPr>
          <w:p w14:paraId="45CD4DD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702F1DB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w:t>
            </w:r>
          </w:p>
        </w:tc>
      </w:tr>
      <w:tr w:rsidR="00846ACC" w:rsidRPr="004974C0" w14:paraId="61FF916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D5E3D0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2358A05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1A0D1A2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03B21CF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30F24A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6FDCF1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w:t>
            </w:r>
          </w:p>
        </w:tc>
      </w:tr>
      <w:tr w:rsidR="00846ACC" w:rsidRPr="004974C0" w14:paraId="2C330CC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47B1981"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218E3CF6"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68C56DB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790E5F0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760FBD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EAB499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r>
      <w:tr w:rsidR="00846ACC" w:rsidRPr="004974C0" w14:paraId="61BE4A8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D7F2AB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6.9. 6.DONACIJE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52961C7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3D01D8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c>
          <w:tcPr>
            <w:tcW w:w="1843" w:type="dxa"/>
            <w:tcBorders>
              <w:top w:val="nil"/>
              <w:left w:val="nil"/>
              <w:bottom w:val="single" w:sz="4" w:space="0" w:color="auto"/>
              <w:right w:val="single" w:sz="4" w:space="0" w:color="auto"/>
            </w:tcBorders>
            <w:shd w:val="clear" w:color="000000" w:fill="FFFF99"/>
            <w:noWrap/>
            <w:vAlign w:val="bottom"/>
            <w:hideMark/>
          </w:tcPr>
          <w:p w14:paraId="420AE69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373D216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3F37FBA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5.000,00</w:t>
            </w:r>
          </w:p>
        </w:tc>
      </w:tr>
      <w:tr w:rsidR="00846ACC" w:rsidRPr="004974C0" w14:paraId="2490D87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C3ED9F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723DA5C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20DF8E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2D13349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4D5BAA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665A5A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r>
      <w:tr w:rsidR="00846ACC" w:rsidRPr="004974C0" w14:paraId="622A4CE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3CD8DDF"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FC87DC6"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298E060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4888E52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6CBB0A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F44EC4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r>
      <w:tr w:rsidR="00846ACC" w:rsidRPr="004974C0" w14:paraId="22129D2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BD5B26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lastRenderedPageBreak/>
              <w:t>4</w:t>
            </w:r>
          </w:p>
        </w:tc>
        <w:tc>
          <w:tcPr>
            <w:tcW w:w="1984" w:type="dxa"/>
            <w:tcBorders>
              <w:top w:val="nil"/>
              <w:left w:val="nil"/>
              <w:bottom w:val="single" w:sz="4" w:space="0" w:color="auto"/>
              <w:right w:val="single" w:sz="4" w:space="0" w:color="auto"/>
            </w:tcBorders>
            <w:shd w:val="clear" w:color="auto" w:fill="auto"/>
            <w:noWrap/>
            <w:vAlign w:val="bottom"/>
            <w:hideMark/>
          </w:tcPr>
          <w:p w14:paraId="2029195E"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63BEF4B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2FBF6BA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D917E3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1A5008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w:t>
            </w:r>
          </w:p>
        </w:tc>
      </w:tr>
      <w:tr w:rsidR="00846ACC" w:rsidRPr="004974C0" w14:paraId="388BA54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F24A888"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7C62336F"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5E5C14D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0D98957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1AB88E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CB0752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r>
      <w:tr w:rsidR="00846ACC" w:rsidRPr="004974C0" w14:paraId="16317CA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6050402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A500002 Sufinanciranje programa dnevnog boravka</w:t>
            </w:r>
          </w:p>
        </w:tc>
        <w:tc>
          <w:tcPr>
            <w:tcW w:w="1984" w:type="dxa"/>
            <w:tcBorders>
              <w:top w:val="nil"/>
              <w:left w:val="nil"/>
              <w:bottom w:val="single" w:sz="4" w:space="0" w:color="auto"/>
              <w:right w:val="single" w:sz="4" w:space="0" w:color="auto"/>
            </w:tcBorders>
            <w:shd w:val="clear" w:color="000000" w:fill="CCCCFF"/>
            <w:noWrap/>
            <w:vAlign w:val="bottom"/>
            <w:hideMark/>
          </w:tcPr>
          <w:p w14:paraId="01BADEB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78FE8FD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30.000,00</w:t>
            </w:r>
          </w:p>
        </w:tc>
        <w:tc>
          <w:tcPr>
            <w:tcW w:w="1843" w:type="dxa"/>
            <w:tcBorders>
              <w:top w:val="nil"/>
              <w:left w:val="nil"/>
              <w:bottom w:val="single" w:sz="4" w:space="0" w:color="auto"/>
              <w:right w:val="single" w:sz="4" w:space="0" w:color="auto"/>
            </w:tcBorders>
            <w:shd w:val="clear" w:color="000000" w:fill="CCCCFF"/>
            <w:noWrap/>
            <w:vAlign w:val="bottom"/>
            <w:hideMark/>
          </w:tcPr>
          <w:p w14:paraId="58E1B70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-15.000,00</w:t>
            </w:r>
          </w:p>
        </w:tc>
        <w:tc>
          <w:tcPr>
            <w:tcW w:w="1559" w:type="dxa"/>
            <w:tcBorders>
              <w:top w:val="nil"/>
              <w:left w:val="nil"/>
              <w:bottom w:val="single" w:sz="4" w:space="0" w:color="auto"/>
              <w:right w:val="single" w:sz="4" w:space="0" w:color="auto"/>
            </w:tcBorders>
            <w:shd w:val="clear" w:color="000000" w:fill="CCCCFF"/>
            <w:noWrap/>
            <w:vAlign w:val="bottom"/>
            <w:hideMark/>
          </w:tcPr>
          <w:p w14:paraId="66384D4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w:t>
            </w:r>
          </w:p>
        </w:tc>
        <w:tc>
          <w:tcPr>
            <w:tcW w:w="1803" w:type="dxa"/>
            <w:tcBorders>
              <w:top w:val="nil"/>
              <w:left w:val="nil"/>
              <w:bottom w:val="single" w:sz="4" w:space="0" w:color="auto"/>
              <w:right w:val="single" w:sz="4" w:space="0" w:color="auto"/>
            </w:tcBorders>
            <w:shd w:val="clear" w:color="000000" w:fill="CCCCFF"/>
            <w:noWrap/>
            <w:vAlign w:val="bottom"/>
            <w:hideMark/>
          </w:tcPr>
          <w:p w14:paraId="18F8A72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15.000,00</w:t>
            </w:r>
          </w:p>
        </w:tc>
      </w:tr>
      <w:tr w:rsidR="00846ACC" w:rsidRPr="004974C0" w14:paraId="7D201A8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0386F0D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4.9. 4.PRIHODI ZA POSEBNE NAMJENE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6AD19B4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63FD23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30.000,00</w:t>
            </w:r>
          </w:p>
        </w:tc>
        <w:tc>
          <w:tcPr>
            <w:tcW w:w="1843" w:type="dxa"/>
            <w:tcBorders>
              <w:top w:val="nil"/>
              <w:left w:val="nil"/>
              <w:bottom w:val="single" w:sz="4" w:space="0" w:color="auto"/>
              <w:right w:val="single" w:sz="4" w:space="0" w:color="auto"/>
            </w:tcBorders>
            <w:shd w:val="clear" w:color="000000" w:fill="FFFF99"/>
            <w:noWrap/>
            <w:vAlign w:val="bottom"/>
            <w:hideMark/>
          </w:tcPr>
          <w:p w14:paraId="5970113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-15.000,00</w:t>
            </w:r>
          </w:p>
        </w:tc>
        <w:tc>
          <w:tcPr>
            <w:tcW w:w="1559" w:type="dxa"/>
            <w:tcBorders>
              <w:top w:val="nil"/>
              <w:left w:val="nil"/>
              <w:bottom w:val="single" w:sz="4" w:space="0" w:color="auto"/>
              <w:right w:val="single" w:sz="4" w:space="0" w:color="auto"/>
            </w:tcBorders>
            <w:shd w:val="clear" w:color="000000" w:fill="FFFF99"/>
            <w:noWrap/>
            <w:vAlign w:val="bottom"/>
            <w:hideMark/>
          </w:tcPr>
          <w:p w14:paraId="3B50921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-50,00</w:t>
            </w:r>
          </w:p>
        </w:tc>
        <w:tc>
          <w:tcPr>
            <w:tcW w:w="1803" w:type="dxa"/>
            <w:tcBorders>
              <w:top w:val="nil"/>
              <w:left w:val="nil"/>
              <w:bottom w:val="single" w:sz="4" w:space="0" w:color="auto"/>
              <w:right w:val="single" w:sz="4" w:space="0" w:color="auto"/>
            </w:tcBorders>
            <w:shd w:val="clear" w:color="000000" w:fill="FFFF99"/>
            <w:noWrap/>
            <w:vAlign w:val="bottom"/>
            <w:hideMark/>
          </w:tcPr>
          <w:p w14:paraId="1D02526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15.000,00</w:t>
            </w:r>
          </w:p>
        </w:tc>
      </w:tr>
      <w:tr w:rsidR="00846ACC" w:rsidRPr="004974C0" w14:paraId="6FD9E84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3A6701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3327852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E2C6F6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18.500,00</w:t>
            </w:r>
          </w:p>
        </w:tc>
        <w:tc>
          <w:tcPr>
            <w:tcW w:w="1843" w:type="dxa"/>
            <w:tcBorders>
              <w:top w:val="nil"/>
              <w:left w:val="nil"/>
              <w:bottom w:val="single" w:sz="4" w:space="0" w:color="auto"/>
              <w:right w:val="single" w:sz="4" w:space="0" w:color="auto"/>
            </w:tcBorders>
            <w:shd w:val="clear" w:color="auto" w:fill="auto"/>
            <w:noWrap/>
            <w:vAlign w:val="bottom"/>
            <w:hideMark/>
          </w:tcPr>
          <w:p w14:paraId="59BB9A4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-8.200,00</w:t>
            </w:r>
          </w:p>
        </w:tc>
        <w:tc>
          <w:tcPr>
            <w:tcW w:w="1559" w:type="dxa"/>
            <w:tcBorders>
              <w:top w:val="nil"/>
              <w:left w:val="nil"/>
              <w:bottom w:val="single" w:sz="4" w:space="0" w:color="auto"/>
              <w:right w:val="single" w:sz="4" w:space="0" w:color="auto"/>
            </w:tcBorders>
            <w:shd w:val="clear" w:color="auto" w:fill="auto"/>
            <w:noWrap/>
            <w:vAlign w:val="bottom"/>
            <w:hideMark/>
          </w:tcPr>
          <w:p w14:paraId="0D19EB3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-44,32</w:t>
            </w:r>
          </w:p>
        </w:tc>
        <w:tc>
          <w:tcPr>
            <w:tcW w:w="1803" w:type="dxa"/>
            <w:tcBorders>
              <w:top w:val="nil"/>
              <w:left w:val="nil"/>
              <w:bottom w:val="single" w:sz="4" w:space="0" w:color="auto"/>
              <w:right w:val="single" w:sz="4" w:space="0" w:color="auto"/>
            </w:tcBorders>
            <w:shd w:val="clear" w:color="auto" w:fill="auto"/>
            <w:noWrap/>
            <w:vAlign w:val="bottom"/>
            <w:hideMark/>
          </w:tcPr>
          <w:p w14:paraId="3662300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10.300,00</w:t>
            </w:r>
          </w:p>
        </w:tc>
      </w:tr>
      <w:tr w:rsidR="00846ACC" w:rsidRPr="004974C0" w14:paraId="240AEDA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5B0637B"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AE51304"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117562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18.500,00</w:t>
            </w:r>
          </w:p>
        </w:tc>
        <w:tc>
          <w:tcPr>
            <w:tcW w:w="1843" w:type="dxa"/>
            <w:tcBorders>
              <w:top w:val="nil"/>
              <w:left w:val="nil"/>
              <w:bottom w:val="single" w:sz="4" w:space="0" w:color="auto"/>
              <w:right w:val="single" w:sz="4" w:space="0" w:color="auto"/>
            </w:tcBorders>
            <w:shd w:val="clear" w:color="auto" w:fill="auto"/>
            <w:noWrap/>
            <w:vAlign w:val="bottom"/>
            <w:hideMark/>
          </w:tcPr>
          <w:p w14:paraId="6751A80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-8.200,00</w:t>
            </w:r>
          </w:p>
        </w:tc>
        <w:tc>
          <w:tcPr>
            <w:tcW w:w="1559" w:type="dxa"/>
            <w:tcBorders>
              <w:top w:val="nil"/>
              <w:left w:val="nil"/>
              <w:bottom w:val="single" w:sz="4" w:space="0" w:color="auto"/>
              <w:right w:val="single" w:sz="4" w:space="0" w:color="auto"/>
            </w:tcBorders>
            <w:shd w:val="clear" w:color="auto" w:fill="auto"/>
            <w:noWrap/>
            <w:vAlign w:val="bottom"/>
            <w:hideMark/>
          </w:tcPr>
          <w:p w14:paraId="42A810C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-44,32</w:t>
            </w:r>
          </w:p>
        </w:tc>
        <w:tc>
          <w:tcPr>
            <w:tcW w:w="1803" w:type="dxa"/>
            <w:tcBorders>
              <w:top w:val="nil"/>
              <w:left w:val="nil"/>
              <w:bottom w:val="single" w:sz="4" w:space="0" w:color="auto"/>
              <w:right w:val="single" w:sz="4" w:space="0" w:color="auto"/>
            </w:tcBorders>
            <w:shd w:val="clear" w:color="auto" w:fill="auto"/>
            <w:noWrap/>
            <w:vAlign w:val="bottom"/>
            <w:hideMark/>
          </w:tcPr>
          <w:p w14:paraId="44985BE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10.300,00</w:t>
            </w:r>
          </w:p>
        </w:tc>
      </w:tr>
      <w:tr w:rsidR="00846ACC" w:rsidRPr="004974C0" w14:paraId="147588B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24B409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2BF9811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1DD993C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11.500,00</w:t>
            </w:r>
          </w:p>
        </w:tc>
        <w:tc>
          <w:tcPr>
            <w:tcW w:w="1843" w:type="dxa"/>
            <w:tcBorders>
              <w:top w:val="nil"/>
              <w:left w:val="nil"/>
              <w:bottom w:val="single" w:sz="4" w:space="0" w:color="auto"/>
              <w:right w:val="single" w:sz="4" w:space="0" w:color="auto"/>
            </w:tcBorders>
            <w:shd w:val="clear" w:color="auto" w:fill="auto"/>
            <w:noWrap/>
            <w:vAlign w:val="bottom"/>
            <w:hideMark/>
          </w:tcPr>
          <w:p w14:paraId="3F0776B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-6.800,00</w:t>
            </w:r>
          </w:p>
        </w:tc>
        <w:tc>
          <w:tcPr>
            <w:tcW w:w="1559" w:type="dxa"/>
            <w:tcBorders>
              <w:top w:val="nil"/>
              <w:left w:val="nil"/>
              <w:bottom w:val="single" w:sz="4" w:space="0" w:color="auto"/>
              <w:right w:val="single" w:sz="4" w:space="0" w:color="auto"/>
            </w:tcBorders>
            <w:shd w:val="clear" w:color="auto" w:fill="auto"/>
            <w:noWrap/>
            <w:vAlign w:val="bottom"/>
            <w:hideMark/>
          </w:tcPr>
          <w:p w14:paraId="1C62052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-59,13</w:t>
            </w:r>
          </w:p>
        </w:tc>
        <w:tc>
          <w:tcPr>
            <w:tcW w:w="1803" w:type="dxa"/>
            <w:tcBorders>
              <w:top w:val="nil"/>
              <w:left w:val="nil"/>
              <w:bottom w:val="single" w:sz="4" w:space="0" w:color="auto"/>
              <w:right w:val="single" w:sz="4" w:space="0" w:color="auto"/>
            </w:tcBorders>
            <w:shd w:val="clear" w:color="auto" w:fill="auto"/>
            <w:noWrap/>
            <w:vAlign w:val="bottom"/>
            <w:hideMark/>
          </w:tcPr>
          <w:p w14:paraId="776C654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4.700,00</w:t>
            </w:r>
          </w:p>
        </w:tc>
      </w:tr>
      <w:tr w:rsidR="00846ACC" w:rsidRPr="004974C0" w14:paraId="1641075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C0BACEC"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66F5DA02"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00B97DB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11.500,00</w:t>
            </w:r>
          </w:p>
        </w:tc>
        <w:tc>
          <w:tcPr>
            <w:tcW w:w="1843" w:type="dxa"/>
            <w:tcBorders>
              <w:top w:val="nil"/>
              <w:left w:val="nil"/>
              <w:bottom w:val="single" w:sz="4" w:space="0" w:color="auto"/>
              <w:right w:val="single" w:sz="4" w:space="0" w:color="auto"/>
            </w:tcBorders>
            <w:shd w:val="clear" w:color="auto" w:fill="auto"/>
            <w:noWrap/>
            <w:vAlign w:val="bottom"/>
            <w:hideMark/>
          </w:tcPr>
          <w:p w14:paraId="6719443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-6.800,00</w:t>
            </w:r>
          </w:p>
        </w:tc>
        <w:tc>
          <w:tcPr>
            <w:tcW w:w="1559" w:type="dxa"/>
            <w:tcBorders>
              <w:top w:val="nil"/>
              <w:left w:val="nil"/>
              <w:bottom w:val="single" w:sz="4" w:space="0" w:color="auto"/>
              <w:right w:val="single" w:sz="4" w:space="0" w:color="auto"/>
            </w:tcBorders>
            <w:shd w:val="clear" w:color="auto" w:fill="auto"/>
            <w:noWrap/>
            <w:vAlign w:val="bottom"/>
            <w:hideMark/>
          </w:tcPr>
          <w:p w14:paraId="4F5A4D7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-59,13</w:t>
            </w:r>
          </w:p>
        </w:tc>
        <w:tc>
          <w:tcPr>
            <w:tcW w:w="1803" w:type="dxa"/>
            <w:tcBorders>
              <w:top w:val="nil"/>
              <w:left w:val="nil"/>
              <w:bottom w:val="single" w:sz="4" w:space="0" w:color="auto"/>
              <w:right w:val="single" w:sz="4" w:space="0" w:color="auto"/>
            </w:tcBorders>
            <w:shd w:val="clear" w:color="auto" w:fill="auto"/>
            <w:noWrap/>
            <w:vAlign w:val="bottom"/>
            <w:hideMark/>
          </w:tcPr>
          <w:p w14:paraId="565BAE7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4.700,00</w:t>
            </w:r>
          </w:p>
        </w:tc>
      </w:tr>
      <w:tr w:rsidR="00846ACC" w:rsidRPr="004974C0" w14:paraId="1FA873E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57C25A1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A500003 Sufinanciranje programa pomoć u kući i organiziranje prijevoza</w:t>
            </w:r>
          </w:p>
        </w:tc>
        <w:tc>
          <w:tcPr>
            <w:tcW w:w="1984" w:type="dxa"/>
            <w:tcBorders>
              <w:top w:val="nil"/>
              <w:left w:val="nil"/>
              <w:bottom w:val="single" w:sz="4" w:space="0" w:color="auto"/>
              <w:right w:val="single" w:sz="4" w:space="0" w:color="auto"/>
            </w:tcBorders>
            <w:shd w:val="clear" w:color="000000" w:fill="CCCCFF"/>
            <w:noWrap/>
            <w:vAlign w:val="bottom"/>
            <w:hideMark/>
          </w:tcPr>
          <w:p w14:paraId="5607BA0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0178F19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18.500,00</w:t>
            </w:r>
          </w:p>
        </w:tc>
        <w:tc>
          <w:tcPr>
            <w:tcW w:w="1843" w:type="dxa"/>
            <w:tcBorders>
              <w:top w:val="nil"/>
              <w:left w:val="nil"/>
              <w:bottom w:val="single" w:sz="4" w:space="0" w:color="auto"/>
              <w:right w:val="single" w:sz="4" w:space="0" w:color="auto"/>
            </w:tcBorders>
            <w:shd w:val="clear" w:color="000000" w:fill="CCCCFF"/>
            <w:noWrap/>
            <w:vAlign w:val="bottom"/>
            <w:hideMark/>
          </w:tcPr>
          <w:p w14:paraId="17DA080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14.500,00</w:t>
            </w:r>
          </w:p>
        </w:tc>
        <w:tc>
          <w:tcPr>
            <w:tcW w:w="1559" w:type="dxa"/>
            <w:tcBorders>
              <w:top w:val="nil"/>
              <w:left w:val="nil"/>
              <w:bottom w:val="single" w:sz="4" w:space="0" w:color="auto"/>
              <w:right w:val="single" w:sz="4" w:space="0" w:color="auto"/>
            </w:tcBorders>
            <w:shd w:val="clear" w:color="000000" w:fill="CCCCFF"/>
            <w:noWrap/>
            <w:vAlign w:val="bottom"/>
            <w:hideMark/>
          </w:tcPr>
          <w:p w14:paraId="2272AEE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78,38</w:t>
            </w:r>
          </w:p>
        </w:tc>
        <w:tc>
          <w:tcPr>
            <w:tcW w:w="1803" w:type="dxa"/>
            <w:tcBorders>
              <w:top w:val="nil"/>
              <w:left w:val="nil"/>
              <w:bottom w:val="single" w:sz="4" w:space="0" w:color="auto"/>
              <w:right w:val="single" w:sz="4" w:space="0" w:color="auto"/>
            </w:tcBorders>
            <w:shd w:val="clear" w:color="000000" w:fill="CCCCFF"/>
            <w:noWrap/>
            <w:vAlign w:val="bottom"/>
            <w:hideMark/>
          </w:tcPr>
          <w:p w14:paraId="24AD191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33.000,00</w:t>
            </w:r>
          </w:p>
        </w:tc>
      </w:tr>
      <w:tr w:rsidR="00846ACC" w:rsidRPr="004974C0" w14:paraId="1B722ED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C72BC9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4.9. 4.PRIHODI ZA POSEBNE NAMJENE - PRIHODI KORISNIKA</w:t>
            </w:r>
          </w:p>
        </w:tc>
        <w:tc>
          <w:tcPr>
            <w:tcW w:w="1984" w:type="dxa"/>
            <w:tcBorders>
              <w:top w:val="nil"/>
              <w:left w:val="nil"/>
              <w:bottom w:val="single" w:sz="4" w:space="0" w:color="auto"/>
              <w:right w:val="single" w:sz="4" w:space="0" w:color="auto"/>
            </w:tcBorders>
            <w:shd w:val="clear" w:color="000000" w:fill="FFFF99"/>
            <w:noWrap/>
            <w:vAlign w:val="bottom"/>
            <w:hideMark/>
          </w:tcPr>
          <w:p w14:paraId="78B8FAD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B7C5C2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18.500,00</w:t>
            </w:r>
          </w:p>
        </w:tc>
        <w:tc>
          <w:tcPr>
            <w:tcW w:w="1843" w:type="dxa"/>
            <w:tcBorders>
              <w:top w:val="nil"/>
              <w:left w:val="nil"/>
              <w:bottom w:val="single" w:sz="4" w:space="0" w:color="auto"/>
              <w:right w:val="single" w:sz="4" w:space="0" w:color="auto"/>
            </w:tcBorders>
            <w:shd w:val="clear" w:color="000000" w:fill="FFFF99"/>
            <w:noWrap/>
            <w:vAlign w:val="bottom"/>
            <w:hideMark/>
          </w:tcPr>
          <w:p w14:paraId="1CE8AD1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10.500,00</w:t>
            </w:r>
          </w:p>
        </w:tc>
        <w:tc>
          <w:tcPr>
            <w:tcW w:w="1559" w:type="dxa"/>
            <w:tcBorders>
              <w:top w:val="nil"/>
              <w:left w:val="nil"/>
              <w:bottom w:val="single" w:sz="4" w:space="0" w:color="auto"/>
              <w:right w:val="single" w:sz="4" w:space="0" w:color="auto"/>
            </w:tcBorders>
            <w:shd w:val="clear" w:color="000000" w:fill="FFFF99"/>
            <w:noWrap/>
            <w:vAlign w:val="bottom"/>
            <w:hideMark/>
          </w:tcPr>
          <w:p w14:paraId="25464D7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56,76</w:t>
            </w:r>
          </w:p>
        </w:tc>
        <w:tc>
          <w:tcPr>
            <w:tcW w:w="1803" w:type="dxa"/>
            <w:tcBorders>
              <w:top w:val="nil"/>
              <w:left w:val="nil"/>
              <w:bottom w:val="single" w:sz="4" w:space="0" w:color="auto"/>
              <w:right w:val="single" w:sz="4" w:space="0" w:color="auto"/>
            </w:tcBorders>
            <w:shd w:val="clear" w:color="000000" w:fill="FFFF99"/>
            <w:noWrap/>
            <w:vAlign w:val="bottom"/>
            <w:hideMark/>
          </w:tcPr>
          <w:p w14:paraId="1516817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29.000,00</w:t>
            </w:r>
          </w:p>
        </w:tc>
      </w:tr>
      <w:tr w:rsidR="00846ACC" w:rsidRPr="004974C0" w14:paraId="68795DD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67AC75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F3D3B8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B21805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17.500,00</w:t>
            </w:r>
          </w:p>
        </w:tc>
        <w:tc>
          <w:tcPr>
            <w:tcW w:w="1843" w:type="dxa"/>
            <w:tcBorders>
              <w:top w:val="nil"/>
              <w:left w:val="nil"/>
              <w:bottom w:val="single" w:sz="4" w:space="0" w:color="auto"/>
              <w:right w:val="single" w:sz="4" w:space="0" w:color="auto"/>
            </w:tcBorders>
            <w:shd w:val="clear" w:color="auto" w:fill="auto"/>
            <w:noWrap/>
            <w:vAlign w:val="bottom"/>
            <w:hideMark/>
          </w:tcPr>
          <w:p w14:paraId="2F462CD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10.500,00</w:t>
            </w:r>
          </w:p>
        </w:tc>
        <w:tc>
          <w:tcPr>
            <w:tcW w:w="1559" w:type="dxa"/>
            <w:tcBorders>
              <w:top w:val="nil"/>
              <w:left w:val="nil"/>
              <w:bottom w:val="single" w:sz="4" w:space="0" w:color="auto"/>
              <w:right w:val="single" w:sz="4" w:space="0" w:color="auto"/>
            </w:tcBorders>
            <w:shd w:val="clear" w:color="auto" w:fill="auto"/>
            <w:noWrap/>
            <w:vAlign w:val="bottom"/>
            <w:hideMark/>
          </w:tcPr>
          <w:p w14:paraId="3233827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60,00</w:t>
            </w:r>
          </w:p>
        </w:tc>
        <w:tc>
          <w:tcPr>
            <w:tcW w:w="1803" w:type="dxa"/>
            <w:tcBorders>
              <w:top w:val="nil"/>
              <w:left w:val="nil"/>
              <w:bottom w:val="single" w:sz="4" w:space="0" w:color="auto"/>
              <w:right w:val="single" w:sz="4" w:space="0" w:color="auto"/>
            </w:tcBorders>
            <w:shd w:val="clear" w:color="auto" w:fill="auto"/>
            <w:noWrap/>
            <w:vAlign w:val="bottom"/>
            <w:hideMark/>
          </w:tcPr>
          <w:p w14:paraId="7D20A57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28.000,00</w:t>
            </w:r>
          </w:p>
        </w:tc>
      </w:tr>
      <w:tr w:rsidR="00846ACC" w:rsidRPr="004974C0" w14:paraId="4254DB1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312BCA2"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0DB420E"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681FD9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17.500,00</w:t>
            </w:r>
          </w:p>
        </w:tc>
        <w:tc>
          <w:tcPr>
            <w:tcW w:w="1843" w:type="dxa"/>
            <w:tcBorders>
              <w:top w:val="nil"/>
              <w:left w:val="nil"/>
              <w:bottom w:val="single" w:sz="4" w:space="0" w:color="auto"/>
              <w:right w:val="single" w:sz="4" w:space="0" w:color="auto"/>
            </w:tcBorders>
            <w:shd w:val="clear" w:color="auto" w:fill="auto"/>
            <w:noWrap/>
            <w:vAlign w:val="bottom"/>
            <w:hideMark/>
          </w:tcPr>
          <w:p w14:paraId="43E9350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10.500,00</w:t>
            </w:r>
          </w:p>
        </w:tc>
        <w:tc>
          <w:tcPr>
            <w:tcW w:w="1559" w:type="dxa"/>
            <w:tcBorders>
              <w:top w:val="nil"/>
              <w:left w:val="nil"/>
              <w:bottom w:val="single" w:sz="4" w:space="0" w:color="auto"/>
              <w:right w:val="single" w:sz="4" w:space="0" w:color="auto"/>
            </w:tcBorders>
            <w:shd w:val="clear" w:color="auto" w:fill="auto"/>
            <w:noWrap/>
            <w:vAlign w:val="bottom"/>
            <w:hideMark/>
          </w:tcPr>
          <w:p w14:paraId="64A55FA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60,00</w:t>
            </w:r>
          </w:p>
        </w:tc>
        <w:tc>
          <w:tcPr>
            <w:tcW w:w="1803" w:type="dxa"/>
            <w:tcBorders>
              <w:top w:val="nil"/>
              <w:left w:val="nil"/>
              <w:bottom w:val="single" w:sz="4" w:space="0" w:color="auto"/>
              <w:right w:val="single" w:sz="4" w:space="0" w:color="auto"/>
            </w:tcBorders>
            <w:shd w:val="clear" w:color="auto" w:fill="auto"/>
            <w:noWrap/>
            <w:vAlign w:val="bottom"/>
            <w:hideMark/>
          </w:tcPr>
          <w:p w14:paraId="3754913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28.000,00</w:t>
            </w:r>
          </w:p>
        </w:tc>
      </w:tr>
      <w:tr w:rsidR="00846ACC" w:rsidRPr="004974C0" w14:paraId="173D46E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C665DA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0E235DA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7DCDB4C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579D049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DC60E0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2147E4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r>
      <w:tr w:rsidR="00846ACC" w:rsidRPr="004974C0" w14:paraId="4E9C309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4D6E9E9"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63D85421"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7D20509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843" w:type="dxa"/>
            <w:tcBorders>
              <w:top w:val="nil"/>
              <w:left w:val="nil"/>
              <w:bottom w:val="single" w:sz="4" w:space="0" w:color="auto"/>
              <w:right w:val="single" w:sz="4" w:space="0" w:color="auto"/>
            </w:tcBorders>
            <w:shd w:val="clear" w:color="auto" w:fill="auto"/>
            <w:noWrap/>
            <w:vAlign w:val="bottom"/>
            <w:hideMark/>
          </w:tcPr>
          <w:p w14:paraId="5BC0086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10EE13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2E38CC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r>
      <w:tr w:rsidR="00846ACC" w:rsidRPr="004974C0" w14:paraId="2644E01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901E91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5.5. POMOĆI IZ ŽUPANIJSKOG PRORAČUNA</w:t>
            </w:r>
          </w:p>
        </w:tc>
        <w:tc>
          <w:tcPr>
            <w:tcW w:w="1984" w:type="dxa"/>
            <w:tcBorders>
              <w:top w:val="nil"/>
              <w:left w:val="nil"/>
              <w:bottom w:val="single" w:sz="4" w:space="0" w:color="auto"/>
              <w:right w:val="single" w:sz="4" w:space="0" w:color="auto"/>
            </w:tcBorders>
            <w:shd w:val="clear" w:color="000000" w:fill="FFFF99"/>
            <w:noWrap/>
            <w:vAlign w:val="bottom"/>
            <w:hideMark/>
          </w:tcPr>
          <w:p w14:paraId="3957694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96E876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43" w:type="dxa"/>
            <w:tcBorders>
              <w:top w:val="nil"/>
              <w:left w:val="nil"/>
              <w:bottom w:val="single" w:sz="4" w:space="0" w:color="auto"/>
              <w:right w:val="single" w:sz="4" w:space="0" w:color="auto"/>
            </w:tcBorders>
            <w:shd w:val="clear" w:color="000000" w:fill="FFFF99"/>
            <w:noWrap/>
            <w:vAlign w:val="bottom"/>
            <w:hideMark/>
          </w:tcPr>
          <w:p w14:paraId="504E817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c>
          <w:tcPr>
            <w:tcW w:w="1559" w:type="dxa"/>
            <w:tcBorders>
              <w:top w:val="nil"/>
              <w:left w:val="nil"/>
              <w:bottom w:val="single" w:sz="4" w:space="0" w:color="auto"/>
              <w:right w:val="single" w:sz="4" w:space="0" w:color="auto"/>
            </w:tcBorders>
            <w:shd w:val="clear" w:color="000000" w:fill="FFFF99"/>
            <w:noWrap/>
            <w:vAlign w:val="bottom"/>
            <w:hideMark/>
          </w:tcPr>
          <w:p w14:paraId="6EC9B1C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w:t>
            </w:r>
          </w:p>
        </w:tc>
        <w:tc>
          <w:tcPr>
            <w:tcW w:w="1803" w:type="dxa"/>
            <w:tcBorders>
              <w:top w:val="nil"/>
              <w:left w:val="nil"/>
              <w:bottom w:val="single" w:sz="4" w:space="0" w:color="auto"/>
              <w:right w:val="single" w:sz="4" w:space="0" w:color="auto"/>
            </w:tcBorders>
            <w:shd w:val="clear" w:color="000000" w:fill="FFFF99"/>
            <w:noWrap/>
            <w:vAlign w:val="bottom"/>
            <w:hideMark/>
          </w:tcPr>
          <w:p w14:paraId="4AB53F2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r>
      <w:tr w:rsidR="00846ACC" w:rsidRPr="004974C0" w14:paraId="342D436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B557DD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lastRenderedPageBreak/>
              <w:t>3</w:t>
            </w:r>
          </w:p>
        </w:tc>
        <w:tc>
          <w:tcPr>
            <w:tcW w:w="1984" w:type="dxa"/>
            <w:tcBorders>
              <w:top w:val="nil"/>
              <w:left w:val="nil"/>
              <w:bottom w:val="single" w:sz="4" w:space="0" w:color="auto"/>
              <w:right w:val="single" w:sz="4" w:space="0" w:color="auto"/>
            </w:tcBorders>
            <w:shd w:val="clear" w:color="auto" w:fill="auto"/>
            <w:noWrap/>
            <w:vAlign w:val="bottom"/>
            <w:hideMark/>
          </w:tcPr>
          <w:p w14:paraId="59C87BE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7B459FC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910BB1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w:t>
            </w:r>
          </w:p>
        </w:tc>
        <w:tc>
          <w:tcPr>
            <w:tcW w:w="1559" w:type="dxa"/>
            <w:tcBorders>
              <w:top w:val="nil"/>
              <w:left w:val="nil"/>
              <w:bottom w:val="single" w:sz="4" w:space="0" w:color="auto"/>
              <w:right w:val="single" w:sz="4" w:space="0" w:color="auto"/>
            </w:tcBorders>
            <w:shd w:val="clear" w:color="auto" w:fill="auto"/>
            <w:noWrap/>
            <w:vAlign w:val="bottom"/>
            <w:hideMark/>
          </w:tcPr>
          <w:p w14:paraId="51E5402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62DC301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w:t>
            </w:r>
          </w:p>
        </w:tc>
      </w:tr>
      <w:tr w:rsidR="00846ACC" w:rsidRPr="004974C0" w14:paraId="330F2B8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77FEC4F"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1997263"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6C5F1B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2D6EAB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w:t>
            </w:r>
          </w:p>
        </w:tc>
        <w:tc>
          <w:tcPr>
            <w:tcW w:w="1559" w:type="dxa"/>
            <w:tcBorders>
              <w:top w:val="nil"/>
              <w:left w:val="nil"/>
              <w:bottom w:val="single" w:sz="4" w:space="0" w:color="auto"/>
              <w:right w:val="single" w:sz="4" w:space="0" w:color="auto"/>
            </w:tcBorders>
            <w:shd w:val="clear" w:color="auto" w:fill="auto"/>
            <w:noWrap/>
            <w:vAlign w:val="bottom"/>
            <w:hideMark/>
          </w:tcPr>
          <w:p w14:paraId="79F69A1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0483102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w:t>
            </w:r>
          </w:p>
        </w:tc>
      </w:tr>
      <w:tr w:rsidR="00846ACC" w:rsidRPr="004974C0" w14:paraId="49AAF44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000080"/>
            <w:noWrap/>
            <w:vAlign w:val="bottom"/>
            <w:hideMark/>
          </w:tcPr>
          <w:p w14:paraId="68062DA3"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Razdjel 600 UPRAVNI ODJEL ZA GOSPODARSTVO I EU PROJEKTE</w:t>
            </w:r>
          </w:p>
        </w:tc>
        <w:tc>
          <w:tcPr>
            <w:tcW w:w="1984" w:type="dxa"/>
            <w:tcBorders>
              <w:top w:val="nil"/>
              <w:left w:val="nil"/>
              <w:bottom w:val="single" w:sz="4" w:space="0" w:color="auto"/>
              <w:right w:val="single" w:sz="4" w:space="0" w:color="auto"/>
            </w:tcBorders>
            <w:shd w:val="clear" w:color="000000" w:fill="000080"/>
            <w:noWrap/>
            <w:vAlign w:val="bottom"/>
            <w:hideMark/>
          </w:tcPr>
          <w:p w14:paraId="5011C49E"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000080"/>
            <w:noWrap/>
            <w:vAlign w:val="bottom"/>
            <w:hideMark/>
          </w:tcPr>
          <w:p w14:paraId="54B0CBA5"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299.718,00</w:t>
            </w:r>
          </w:p>
        </w:tc>
        <w:tc>
          <w:tcPr>
            <w:tcW w:w="1843" w:type="dxa"/>
            <w:tcBorders>
              <w:top w:val="nil"/>
              <w:left w:val="nil"/>
              <w:bottom w:val="single" w:sz="4" w:space="0" w:color="auto"/>
              <w:right w:val="single" w:sz="4" w:space="0" w:color="auto"/>
            </w:tcBorders>
            <w:shd w:val="clear" w:color="000000" w:fill="000080"/>
            <w:noWrap/>
            <w:vAlign w:val="bottom"/>
            <w:hideMark/>
          </w:tcPr>
          <w:p w14:paraId="1D816883"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25.286,00</w:t>
            </w:r>
          </w:p>
        </w:tc>
        <w:tc>
          <w:tcPr>
            <w:tcW w:w="1559" w:type="dxa"/>
            <w:tcBorders>
              <w:top w:val="nil"/>
              <w:left w:val="nil"/>
              <w:bottom w:val="single" w:sz="4" w:space="0" w:color="auto"/>
              <w:right w:val="single" w:sz="4" w:space="0" w:color="auto"/>
            </w:tcBorders>
            <w:shd w:val="clear" w:color="000000" w:fill="000080"/>
            <w:noWrap/>
            <w:vAlign w:val="bottom"/>
            <w:hideMark/>
          </w:tcPr>
          <w:p w14:paraId="08932ED4"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8,44</w:t>
            </w:r>
          </w:p>
        </w:tc>
        <w:tc>
          <w:tcPr>
            <w:tcW w:w="1803" w:type="dxa"/>
            <w:tcBorders>
              <w:top w:val="nil"/>
              <w:left w:val="nil"/>
              <w:bottom w:val="single" w:sz="4" w:space="0" w:color="auto"/>
              <w:right w:val="single" w:sz="4" w:space="0" w:color="auto"/>
            </w:tcBorders>
            <w:shd w:val="clear" w:color="000000" w:fill="000080"/>
            <w:noWrap/>
            <w:vAlign w:val="bottom"/>
            <w:hideMark/>
          </w:tcPr>
          <w:p w14:paraId="11782833"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325.004,00</w:t>
            </w:r>
          </w:p>
        </w:tc>
      </w:tr>
      <w:tr w:rsidR="00846ACC" w:rsidRPr="004974C0" w14:paraId="1BB9BE6F"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0000FF"/>
            <w:noWrap/>
            <w:vAlign w:val="bottom"/>
            <w:hideMark/>
          </w:tcPr>
          <w:p w14:paraId="3E6B54FD"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Glava 60001 UPRAVNI ODJEL ZA GOSPODARSTVO I EU PROJEKTE</w:t>
            </w:r>
          </w:p>
        </w:tc>
        <w:tc>
          <w:tcPr>
            <w:tcW w:w="1984" w:type="dxa"/>
            <w:tcBorders>
              <w:top w:val="nil"/>
              <w:left w:val="nil"/>
              <w:bottom w:val="single" w:sz="4" w:space="0" w:color="auto"/>
              <w:right w:val="single" w:sz="4" w:space="0" w:color="auto"/>
            </w:tcBorders>
            <w:shd w:val="clear" w:color="000000" w:fill="0000FF"/>
            <w:noWrap/>
            <w:vAlign w:val="bottom"/>
            <w:hideMark/>
          </w:tcPr>
          <w:p w14:paraId="36A84308" w14:textId="77777777" w:rsidR="004974C0" w:rsidRPr="004974C0" w:rsidRDefault="004974C0" w:rsidP="004974C0">
            <w:pPr>
              <w:rPr>
                <w:rFonts w:ascii="Arial" w:hAnsi="Arial" w:cs="Arial"/>
                <w:b/>
                <w:bCs/>
                <w:color w:val="FFFFFF"/>
                <w:sz w:val="20"/>
                <w:szCs w:val="20"/>
              </w:rPr>
            </w:pPr>
            <w:r w:rsidRPr="004974C0">
              <w:rPr>
                <w:rFonts w:ascii="Arial" w:hAnsi="Arial" w:cs="Arial"/>
                <w:b/>
                <w:bCs/>
                <w:color w:val="FFFFFF"/>
                <w:sz w:val="20"/>
                <w:szCs w:val="20"/>
              </w:rPr>
              <w:t> </w:t>
            </w:r>
          </w:p>
        </w:tc>
        <w:tc>
          <w:tcPr>
            <w:tcW w:w="1843" w:type="dxa"/>
            <w:tcBorders>
              <w:top w:val="nil"/>
              <w:left w:val="nil"/>
              <w:bottom w:val="single" w:sz="4" w:space="0" w:color="auto"/>
              <w:right w:val="single" w:sz="4" w:space="0" w:color="auto"/>
            </w:tcBorders>
            <w:shd w:val="clear" w:color="000000" w:fill="0000FF"/>
            <w:noWrap/>
            <w:vAlign w:val="bottom"/>
            <w:hideMark/>
          </w:tcPr>
          <w:p w14:paraId="70204A91"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299.718,00</w:t>
            </w:r>
          </w:p>
        </w:tc>
        <w:tc>
          <w:tcPr>
            <w:tcW w:w="1843" w:type="dxa"/>
            <w:tcBorders>
              <w:top w:val="nil"/>
              <w:left w:val="nil"/>
              <w:bottom w:val="single" w:sz="4" w:space="0" w:color="auto"/>
              <w:right w:val="single" w:sz="4" w:space="0" w:color="auto"/>
            </w:tcBorders>
            <w:shd w:val="clear" w:color="000000" w:fill="0000FF"/>
            <w:noWrap/>
            <w:vAlign w:val="bottom"/>
            <w:hideMark/>
          </w:tcPr>
          <w:p w14:paraId="21D99384"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25.286,00</w:t>
            </w:r>
          </w:p>
        </w:tc>
        <w:tc>
          <w:tcPr>
            <w:tcW w:w="1559" w:type="dxa"/>
            <w:tcBorders>
              <w:top w:val="nil"/>
              <w:left w:val="nil"/>
              <w:bottom w:val="single" w:sz="4" w:space="0" w:color="auto"/>
              <w:right w:val="single" w:sz="4" w:space="0" w:color="auto"/>
            </w:tcBorders>
            <w:shd w:val="clear" w:color="000000" w:fill="0000FF"/>
            <w:noWrap/>
            <w:vAlign w:val="bottom"/>
            <w:hideMark/>
          </w:tcPr>
          <w:p w14:paraId="32FCE5BA"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8,44</w:t>
            </w:r>
          </w:p>
        </w:tc>
        <w:tc>
          <w:tcPr>
            <w:tcW w:w="1803" w:type="dxa"/>
            <w:tcBorders>
              <w:top w:val="nil"/>
              <w:left w:val="nil"/>
              <w:bottom w:val="single" w:sz="4" w:space="0" w:color="auto"/>
              <w:right w:val="single" w:sz="4" w:space="0" w:color="auto"/>
            </w:tcBorders>
            <w:shd w:val="clear" w:color="000000" w:fill="0000FF"/>
            <w:noWrap/>
            <w:vAlign w:val="bottom"/>
            <w:hideMark/>
          </w:tcPr>
          <w:p w14:paraId="2B05E1F2" w14:textId="77777777" w:rsidR="004974C0" w:rsidRPr="004974C0" w:rsidRDefault="004974C0" w:rsidP="004974C0">
            <w:pPr>
              <w:jc w:val="right"/>
              <w:rPr>
                <w:rFonts w:ascii="Arial" w:hAnsi="Arial" w:cs="Arial"/>
                <w:b/>
                <w:bCs/>
                <w:color w:val="FFFFFF"/>
                <w:sz w:val="20"/>
                <w:szCs w:val="20"/>
              </w:rPr>
            </w:pPr>
            <w:r w:rsidRPr="004974C0">
              <w:rPr>
                <w:rFonts w:ascii="Arial" w:hAnsi="Arial" w:cs="Arial"/>
                <w:b/>
                <w:bCs/>
                <w:color w:val="FFFFFF"/>
                <w:sz w:val="20"/>
                <w:szCs w:val="20"/>
              </w:rPr>
              <w:t>325.004,00</w:t>
            </w:r>
          </w:p>
        </w:tc>
      </w:tr>
      <w:tr w:rsidR="00846ACC" w:rsidRPr="004974C0" w14:paraId="75A3F9B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FCB60A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784870B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E19DCB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236.718,00</w:t>
            </w:r>
          </w:p>
        </w:tc>
        <w:tc>
          <w:tcPr>
            <w:tcW w:w="1843" w:type="dxa"/>
            <w:tcBorders>
              <w:top w:val="nil"/>
              <w:left w:val="nil"/>
              <w:bottom w:val="single" w:sz="4" w:space="0" w:color="auto"/>
              <w:right w:val="single" w:sz="4" w:space="0" w:color="auto"/>
            </w:tcBorders>
            <w:shd w:val="clear" w:color="000000" w:fill="FFFFFF"/>
            <w:noWrap/>
            <w:vAlign w:val="bottom"/>
            <w:hideMark/>
          </w:tcPr>
          <w:p w14:paraId="11358BF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23.000,00</w:t>
            </w:r>
          </w:p>
        </w:tc>
        <w:tc>
          <w:tcPr>
            <w:tcW w:w="1559" w:type="dxa"/>
            <w:tcBorders>
              <w:top w:val="nil"/>
              <w:left w:val="nil"/>
              <w:bottom w:val="single" w:sz="4" w:space="0" w:color="auto"/>
              <w:right w:val="single" w:sz="4" w:space="0" w:color="auto"/>
            </w:tcBorders>
            <w:shd w:val="clear" w:color="000000" w:fill="FFFFFF"/>
            <w:noWrap/>
            <w:vAlign w:val="bottom"/>
            <w:hideMark/>
          </w:tcPr>
          <w:p w14:paraId="4E462AC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9,72</w:t>
            </w:r>
          </w:p>
        </w:tc>
        <w:tc>
          <w:tcPr>
            <w:tcW w:w="1803" w:type="dxa"/>
            <w:tcBorders>
              <w:top w:val="nil"/>
              <w:left w:val="nil"/>
              <w:bottom w:val="single" w:sz="4" w:space="0" w:color="auto"/>
              <w:right w:val="single" w:sz="4" w:space="0" w:color="auto"/>
            </w:tcBorders>
            <w:shd w:val="clear" w:color="000000" w:fill="FFFFFF"/>
            <w:noWrap/>
            <w:vAlign w:val="bottom"/>
            <w:hideMark/>
          </w:tcPr>
          <w:p w14:paraId="74E44E7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259.718,00</w:t>
            </w:r>
          </w:p>
        </w:tc>
      </w:tr>
      <w:tr w:rsidR="00846ACC" w:rsidRPr="004974C0" w14:paraId="5532DAB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2EAF8EF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FF"/>
            <w:noWrap/>
            <w:vAlign w:val="bottom"/>
            <w:hideMark/>
          </w:tcPr>
          <w:p w14:paraId="200C571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14762AD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236.718,00</w:t>
            </w:r>
          </w:p>
        </w:tc>
        <w:tc>
          <w:tcPr>
            <w:tcW w:w="1843" w:type="dxa"/>
            <w:tcBorders>
              <w:top w:val="nil"/>
              <w:left w:val="nil"/>
              <w:bottom w:val="single" w:sz="4" w:space="0" w:color="auto"/>
              <w:right w:val="single" w:sz="4" w:space="0" w:color="auto"/>
            </w:tcBorders>
            <w:shd w:val="clear" w:color="000000" w:fill="FFFFFF"/>
            <w:noWrap/>
            <w:vAlign w:val="bottom"/>
            <w:hideMark/>
          </w:tcPr>
          <w:p w14:paraId="1456E60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23.000,00</w:t>
            </w:r>
          </w:p>
        </w:tc>
        <w:tc>
          <w:tcPr>
            <w:tcW w:w="1559" w:type="dxa"/>
            <w:tcBorders>
              <w:top w:val="nil"/>
              <w:left w:val="nil"/>
              <w:bottom w:val="single" w:sz="4" w:space="0" w:color="auto"/>
              <w:right w:val="single" w:sz="4" w:space="0" w:color="auto"/>
            </w:tcBorders>
            <w:shd w:val="clear" w:color="000000" w:fill="FFFFFF"/>
            <w:noWrap/>
            <w:vAlign w:val="bottom"/>
            <w:hideMark/>
          </w:tcPr>
          <w:p w14:paraId="64C4806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9,72</w:t>
            </w:r>
          </w:p>
        </w:tc>
        <w:tc>
          <w:tcPr>
            <w:tcW w:w="1803" w:type="dxa"/>
            <w:tcBorders>
              <w:top w:val="nil"/>
              <w:left w:val="nil"/>
              <w:bottom w:val="single" w:sz="4" w:space="0" w:color="auto"/>
              <w:right w:val="single" w:sz="4" w:space="0" w:color="auto"/>
            </w:tcBorders>
            <w:shd w:val="clear" w:color="000000" w:fill="FFFFFF"/>
            <w:noWrap/>
            <w:vAlign w:val="bottom"/>
            <w:hideMark/>
          </w:tcPr>
          <w:p w14:paraId="617EB6A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259.718,00</w:t>
            </w:r>
          </w:p>
        </w:tc>
      </w:tr>
      <w:tr w:rsidR="00846ACC" w:rsidRPr="004974C0" w14:paraId="148A691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AFDB6D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 POMOĆI</w:t>
            </w:r>
          </w:p>
        </w:tc>
        <w:tc>
          <w:tcPr>
            <w:tcW w:w="1984" w:type="dxa"/>
            <w:tcBorders>
              <w:top w:val="nil"/>
              <w:left w:val="nil"/>
              <w:bottom w:val="single" w:sz="4" w:space="0" w:color="auto"/>
              <w:right w:val="single" w:sz="4" w:space="0" w:color="auto"/>
            </w:tcBorders>
            <w:shd w:val="clear" w:color="000000" w:fill="FFFFFF"/>
            <w:noWrap/>
            <w:vAlign w:val="bottom"/>
            <w:hideMark/>
          </w:tcPr>
          <w:p w14:paraId="125B079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93F881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60.000,00</w:t>
            </w:r>
          </w:p>
        </w:tc>
        <w:tc>
          <w:tcPr>
            <w:tcW w:w="1843" w:type="dxa"/>
            <w:tcBorders>
              <w:top w:val="nil"/>
              <w:left w:val="nil"/>
              <w:bottom w:val="single" w:sz="4" w:space="0" w:color="auto"/>
              <w:right w:val="single" w:sz="4" w:space="0" w:color="auto"/>
            </w:tcBorders>
            <w:shd w:val="clear" w:color="000000" w:fill="FFFFFF"/>
            <w:noWrap/>
            <w:vAlign w:val="bottom"/>
            <w:hideMark/>
          </w:tcPr>
          <w:p w14:paraId="2553EE5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1.611,00</w:t>
            </w:r>
          </w:p>
        </w:tc>
        <w:tc>
          <w:tcPr>
            <w:tcW w:w="1559" w:type="dxa"/>
            <w:tcBorders>
              <w:top w:val="nil"/>
              <w:left w:val="nil"/>
              <w:bottom w:val="single" w:sz="4" w:space="0" w:color="auto"/>
              <w:right w:val="single" w:sz="4" w:space="0" w:color="auto"/>
            </w:tcBorders>
            <w:shd w:val="clear" w:color="000000" w:fill="FFFFFF"/>
            <w:noWrap/>
            <w:vAlign w:val="bottom"/>
            <w:hideMark/>
          </w:tcPr>
          <w:p w14:paraId="1FEA296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2,69</w:t>
            </w:r>
          </w:p>
        </w:tc>
        <w:tc>
          <w:tcPr>
            <w:tcW w:w="1803" w:type="dxa"/>
            <w:tcBorders>
              <w:top w:val="nil"/>
              <w:left w:val="nil"/>
              <w:bottom w:val="single" w:sz="4" w:space="0" w:color="auto"/>
              <w:right w:val="single" w:sz="4" w:space="0" w:color="auto"/>
            </w:tcBorders>
            <w:shd w:val="clear" w:color="000000" w:fill="FFFFFF"/>
            <w:noWrap/>
            <w:vAlign w:val="bottom"/>
            <w:hideMark/>
          </w:tcPr>
          <w:p w14:paraId="754288E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61.611,00</w:t>
            </w:r>
          </w:p>
        </w:tc>
      </w:tr>
      <w:tr w:rsidR="00846ACC" w:rsidRPr="004974C0" w14:paraId="6178304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CEDB41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5.0. POMOĆI IZ FONDOVA EU</w:t>
            </w:r>
          </w:p>
        </w:tc>
        <w:tc>
          <w:tcPr>
            <w:tcW w:w="1984" w:type="dxa"/>
            <w:tcBorders>
              <w:top w:val="nil"/>
              <w:left w:val="nil"/>
              <w:bottom w:val="single" w:sz="4" w:space="0" w:color="auto"/>
              <w:right w:val="single" w:sz="4" w:space="0" w:color="auto"/>
            </w:tcBorders>
            <w:shd w:val="clear" w:color="000000" w:fill="FFFFFF"/>
            <w:noWrap/>
            <w:vAlign w:val="bottom"/>
            <w:hideMark/>
          </w:tcPr>
          <w:p w14:paraId="6622234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6AF531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48.000,00</w:t>
            </w:r>
          </w:p>
        </w:tc>
        <w:tc>
          <w:tcPr>
            <w:tcW w:w="1843" w:type="dxa"/>
            <w:tcBorders>
              <w:top w:val="nil"/>
              <w:left w:val="nil"/>
              <w:bottom w:val="single" w:sz="4" w:space="0" w:color="auto"/>
              <w:right w:val="single" w:sz="4" w:space="0" w:color="auto"/>
            </w:tcBorders>
            <w:shd w:val="clear" w:color="000000" w:fill="FFFFFF"/>
            <w:noWrap/>
            <w:vAlign w:val="bottom"/>
            <w:hideMark/>
          </w:tcPr>
          <w:p w14:paraId="4F13C1C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43FE6F2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FF"/>
            <w:noWrap/>
            <w:vAlign w:val="bottom"/>
            <w:hideMark/>
          </w:tcPr>
          <w:p w14:paraId="12FBD07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48.000,00</w:t>
            </w:r>
          </w:p>
        </w:tc>
      </w:tr>
      <w:tr w:rsidR="00846ACC" w:rsidRPr="004974C0" w14:paraId="070DB7C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AE0FA9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5.4. POMOĆI IZ DRŽAVNOG PRORAČUNA</w:t>
            </w:r>
          </w:p>
        </w:tc>
        <w:tc>
          <w:tcPr>
            <w:tcW w:w="1984" w:type="dxa"/>
            <w:tcBorders>
              <w:top w:val="nil"/>
              <w:left w:val="nil"/>
              <w:bottom w:val="single" w:sz="4" w:space="0" w:color="auto"/>
              <w:right w:val="single" w:sz="4" w:space="0" w:color="auto"/>
            </w:tcBorders>
            <w:shd w:val="clear" w:color="000000" w:fill="FFFFFF"/>
            <w:noWrap/>
            <w:vAlign w:val="bottom"/>
            <w:hideMark/>
          </w:tcPr>
          <w:p w14:paraId="03FA7B2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B534A2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12.000,00</w:t>
            </w:r>
          </w:p>
        </w:tc>
        <w:tc>
          <w:tcPr>
            <w:tcW w:w="1843" w:type="dxa"/>
            <w:tcBorders>
              <w:top w:val="nil"/>
              <w:left w:val="nil"/>
              <w:bottom w:val="single" w:sz="4" w:space="0" w:color="auto"/>
              <w:right w:val="single" w:sz="4" w:space="0" w:color="auto"/>
            </w:tcBorders>
            <w:shd w:val="clear" w:color="000000" w:fill="FFFFFF"/>
            <w:noWrap/>
            <w:vAlign w:val="bottom"/>
            <w:hideMark/>
          </w:tcPr>
          <w:p w14:paraId="0550A2D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1.611,00</w:t>
            </w:r>
          </w:p>
        </w:tc>
        <w:tc>
          <w:tcPr>
            <w:tcW w:w="1559" w:type="dxa"/>
            <w:tcBorders>
              <w:top w:val="nil"/>
              <w:left w:val="nil"/>
              <w:bottom w:val="single" w:sz="4" w:space="0" w:color="auto"/>
              <w:right w:val="single" w:sz="4" w:space="0" w:color="auto"/>
            </w:tcBorders>
            <w:shd w:val="clear" w:color="000000" w:fill="FFFFFF"/>
            <w:noWrap/>
            <w:vAlign w:val="bottom"/>
            <w:hideMark/>
          </w:tcPr>
          <w:p w14:paraId="018408C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13,43</w:t>
            </w:r>
          </w:p>
        </w:tc>
        <w:tc>
          <w:tcPr>
            <w:tcW w:w="1803" w:type="dxa"/>
            <w:tcBorders>
              <w:top w:val="nil"/>
              <w:left w:val="nil"/>
              <w:bottom w:val="single" w:sz="4" w:space="0" w:color="auto"/>
              <w:right w:val="single" w:sz="4" w:space="0" w:color="auto"/>
            </w:tcBorders>
            <w:shd w:val="clear" w:color="000000" w:fill="FFFFFF"/>
            <w:noWrap/>
            <w:vAlign w:val="bottom"/>
            <w:hideMark/>
          </w:tcPr>
          <w:p w14:paraId="415222C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13.611,00</w:t>
            </w:r>
          </w:p>
        </w:tc>
      </w:tr>
      <w:tr w:rsidR="00846ACC" w:rsidRPr="004974C0" w14:paraId="377B9FF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345090D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 DONACIJE</w:t>
            </w:r>
          </w:p>
        </w:tc>
        <w:tc>
          <w:tcPr>
            <w:tcW w:w="1984" w:type="dxa"/>
            <w:tcBorders>
              <w:top w:val="nil"/>
              <w:left w:val="nil"/>
              <w:bottom w:val="single" w:sz="4" w:space="0" w:color="auto"/>
              <w:right w:val="single" w:sz="4" w:space="0" w:color="auto"/>
            </w:tcBorders>
            <w:shd w:val="clear" w:color="000000" w:fill="FFFFFF"/>
            <w:noWrap/>
            <w:vAlign w:val="bottom"/>
            <w:hideMark/>
          </w:tcPr>
          <w:p w14:paraId="11D1FE8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01F044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843" w:type="dxa"/>
            <w:tcBorders>
              <w:top w:val="nil"/>
              <w:left w:val="nil"/>
              <w:bottom w:val="single" w:sz="4" w:space="0" w:color="auto"/>
              <w:right w:val="single" w:sz="4" w:space="0" w:color="auto"/>
            </w:tcBorders>
            <w:shd w:val="clear" w:color="000000" w:fill="FFFFFF"/>
            <w:noWrap/>
            <w:vAlign w:val="bottom"/>
            <w:hideMark/>
          </w:tcPr>
          <w:p w14:paraId="00F49D5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675,00</w:t>
            </w:r>
          </w:p>
        </w:tc>
        <w:tc>
          <w:tcPr>
            <w:tcW w:w="1559" w:type="dxa"/>
            <w:tcBorders>
              <w:top w:val="nil"/>
              <w:left w:val="nil"/>
              <w:bottom w:val="single" w:sz="4" w:space="0" w:color="auto"/>
              <w:right w:val="single" w:sz="4" w:space="0" w:color="auto"/>
            </w:tcBorders>
            <w:shd w:val="clear" w:color="000000" w:fill="FFFFFF"/>
            <w:noWrap/>
            <w:vAlign w:val="bottom"/>
            <w:hideMark/>
          </w:tcPr>
          <w:p w14:paraId="4345FD1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22,50</w:t>
            </w:r>
          </w:p>
        </w:tc>
        <w:tc>
          <w:tcPr>
            <w:tcW w:w="1803" w:type="dxa"/>
            <w:tcBorders>
              <w:top w:val="nil"/>
              <w:left w:val="nil"/>
              <w:bottom w:val="single" w:sz="4" w:space="0" w:color="auto"/>
              <w:right w:val="single" w:sz="4" w:space="0" w:color="auto"/>
            </w:tcBorders>
            <w:shd w:val="clear" w:color="000000" w:fill="FFFFFF"/>
            <w:noWrap/>
            <w:vAlign w:val="bottom"/>
            <w:hideMark/>
          </w:tcPr>
          <w:p w14:paraId="6F0BEC7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3.675,00</w:t>
            </w:r>
          </w:p>
        </w:tc>
      </w:tr>
      <w:tr w:rsidR="00846ACC" w:rsidRPr="004974C0" w14:paraId="40F9DB66"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1CB4C7F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6.1. TEKUĆE DONACIJE</w:t>
            </w:r>
          </w:p>
        </w:tc>
        <w:tc>
          <w:tcPr>
            <w:tcW w:w="1984" w:type="dxa"/>
            <w:tcBorders>
              <w:top w:val="nil"/>
              <w:left w:val="nil"/>
              <w:bottom w:val="single" w:sz="4" w:space="0" w:color="auto"/>
              <w:right w:val="single" w:sz="4" w:space="0" w:color="auto"/>
            </w:tcBorders>
            <w:shd w:val="clear" w:color="000000" w:fill="FFFFFF"/>
            <w:noWrap/>
            <w:vAlign w:val="bottom"/>
            <w:hideMark/>
          </w:tcPr>
          <w:p w14:paraId="5E68CEA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5CDFBF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843" w:type="dxa"/>
            <w:tcBorders>
              <w:top w:val="nil"/>
              <w:left w:val="nil"/>
              <w:bottom w:val="single" w:sz="4" w:space="0" w:color="auto"/>
              <w:right w:val="single" w:sz="4" w:space="0" w:color="auto"/>
            </w:tcBorders>
            <w:shd w:val="clear" w:color="000000" w:fill="FFFFFF"/>
            <w:noWrap/>
            <w:vAlign w:val="bottom"/>
            <w:hideMark/>
          </w:tcPr>
          <w:p w14:paraId="7A49391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675,00</w:t>
            </w:r>
          </w:p>
        </w:tc>
        <w:tc>
          <w:tcPr>
            <w:tcW w:w="1559" w:type="dxa"/>
            <w:tcBorders>
              <w:top w:val="nil"/>
              <w:left w:val="nil"/>
              <w:bottom w:val="single" w:sz="4" w:space="0" w:color="auto"/>
              <w:right w:val="single" w:sz="4" w:space="0" w:color="auto"/>
            </w:tcBorders>
            <w:shd w:val="clear" w:color="000000" w:fill="FFFFFF"/>
            <w:noWrap/>
            <w:vAlign w:val="bottom"/>
            <w:hideMark/>
          </w:tcPr>
          <w:p w14:paraId="6620A82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22,50</w:t>
            </w:r>
          </w:p>
        </w:tc>
        <w:tc>
          <w:tcPr>
            <w:tcW w:w="1803" w:type="dxa"/>
            <w:tcBorders>
              <w:top w:val="nil"/>
              <w:left w:val="nil"/>
              <w:bottom w:val="single" w:sz="4" w:space="0" w:color="auto"/>
              <w:right w:val="single" w:sz="4" w:space="0" w:color="auto"/>
            </w:tcBorders>
            <w:shd w:val="clear" w:color="000000" w:fill="FFFFFF"/>
            <w:noWrap/>
            <w:vAlign w:val="bottom"/>
            <w:hideMark/>
          </w:tcPr>
          <w:p w14:paraId="0DDF0CC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3.675,00</w:t>
            </w:r>
          </w:p>
        </w:tc>
      </w:tr>
      <w:tr w:rsidR="00846ACC" w:rsidRPr="004974C0" w14:paraId="7F0F9E5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4C62BF3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6001 Jačanje gospodarstva</w:t>
            </w:r>
          </w:p>
        </w:tc>
        <w:tc>
          <w:tcPr>
            <w:tcW w:w="1984" w:type="dxa"/>
            <w:tcBorders>
              <w:top w:val="nil"/>
              <w:left w:val="nil"/>
              <w:bottom w:val="single" w:sz="4" w:space="0" w:color="auto"/>
              <w:right w:val="single" w:sz="4" w:space="0" w:color="auto"/>
            </w:tcBorders>
            <w:shd w:val="clear" w:color="000000" w:fill="9999FF"/>
            <w:noWrap/>
            <w:vAlign w:val="bottom"/>
            <w:hideMark/>
          </w:tcPr>
          <w:p w14:paraId="034F18D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0C78EB3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144.618,00</w:t>
            </w:r>
          </w:p>
        </w:tc>
        <w:tc>
          <w:tcPr>
            <w:tcW w:w="1843" w:type="dxa"/>
            <w:tcBorders>
              <w:top w:val="nil"/>
              <w:left w:val="nil"/>
              <w:bottom w:val="single" w:sz="4" w:space="0" w:color="auto"/>
              <w:right w:val="single" w:sz="4" w:space="0" w:color="auto"/>
            </w:tcBorders>
            <w:shd w:val="clear" w:color="000000" w:fill="9999FF"/>
            <w:noWrap/>
            <w:vAlign w:val="bottom"/>
            <w:hideMark/>
          </w:tcPr>
          <w:p w14:paraId="15E4612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-11.325,00</w:t>
            </w:r>
          </w:p>
        </w:tc>
        <w:tc>
          <w:tcPr>
            <w:tcW w:w="1559" w:type="dxa"/>
            <w:tcBorders>
              <w:top w:val="nil"/>
              <w:left w:val="nil"/>
              <w:bottom w:val="single" w:sz="4" w:space="0" w:color="auto"/>
              <w:right w:val="single" w:sz="4" w:space="0" w:color="auto"/>
            </w:tcBorders>
            <w:shd w:val="clear" w:color="000000" w:fill="9999FF"/>
            <w:noWrap/>
            <w:vAlign w:val="bottom"/>
            <w:hideMark/>
          </w:tcPr>
          <w:p w14:paraId="7570845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-7,83</w:t>
            </w:r>
          </w:p>
        </w:tc>
        <w:tc>
          <w:tcPr>
            <w:tcW w:w="1803" w:type="dxa"/>
            <w:tcBorders>
              <w:top w:val="nil"/>
              <w:left w:val="nil"/>
              <w:bottom w:val="single" w:sz="4" w:space="0" w:color="auto"/>
              <w:right w:val="single" w:sz="4" w:space="0" w:color="auto"/>
            </w:tcBorders>
            <w:shd w:val="clear" w:color="000000" w:fill="9999FF"/>
            <w:noWrap/>
            <w:vAlign w:val="bottom"/>
            <w:hideMark/>
          </w:tcPr>
          <w:p w14:paraId="789173A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133.293,00</w:t>
            </w:r>
          </w:p>
        </w:tc>
      </w:tr>
      <w:tr w:rsidR="00846ACC" w:rsidRPr="004974C0" w14:paraId="760314D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15398DF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A600001 Učešće u Fondu za razvoj poljoprivrede i agroturizma Istre</w:t>
            </w:r>
          </w:p>
        </w:tc>
        <w:tc>
          <w:tcPr>
            <w:tcW w:w="1984" w:type="dxa"/>
            <w:tcBorders>
              <w:top w:val="nil"/>
              <w:left w:val="nil"/>
              <w:bottom w:val="single" w:sz="4" w:space="0" w:color="auto"/>
              <w:right w:val="single" w:sz="4" w:space="0" w:color="auto"/>
            </w:tcBorders>
            <w:shd w:val="clear" w:color="000000" w:fill="CCCCFF"/>
            <w:noWrap/>
            <w:vAlign w:val="bottom"/>
            <w:hideMark/>
          </w:tcPr>
          <w:p w14:paraId="5C086FB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4AB356D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2.654,00</w:t>
            </w:r>
          </w:p>
        </w:tc>
        <w:tc>
          <w:tcPr>
            <w:tcW w:w="1843" w:type="dxa"/>
            <w:tcBorders>
              <w:top w:val="nil"/>
              <w:left w:val="nil"/>
              <w:bottom w:val="single" w:sz="4" w:space="0" w:color="auto"/>
              <w:right w:val="single" w:sz="4" w:space="0" w:color="auto"/>
            </w:tcBorders>
            <w:shd w:val="clear" w:color="000000" w:fill="CCCCFF"/>
            <w:noWrap/>
            <w:vAlign w:val="bottom"/>
            <w:hideMark/>
          </w:tcPr>
          <w:p w14:paraId="5D16496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3B0A8DB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1EEC9B0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2.654,00</w:t>
            </w:r>
          </w:p>
        </w:tc>
      </w:tr>
      <w:tr w:rsidR="00846ACC" w:rsidRPr="004974C0" w14:paraId="654CAFC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F43144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7B6EE7F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8C5399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2.654,00</w:t>
            </w:r>
          </w:p>
        </w:tc>
        <w:tc>
          <w:tcPr>
            <w:tcW w:w="1843" w:type="dxa"/>
            <w:tcBorders>
              <w:top w:val="nil"/>
              <w:left w:val="nil"/>
              <w:bottom w:val="single" w:sz="4" w:space="0" w:color="auto"/>
              <w:right w:val="single" w:sz="4" w:space="0" w:color="auto"/>
            </w:tcBorders>
            <w:shd w:val="clear" w:color="000000" w:fill="FFFF99"/>
            <w:noWrap/>
            <w:vAlign w:val="bottom"/>
            <w:hideMark/>
          </w:tcPr>
          <w:p w14:paraId="713FD18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385679F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6892DD9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2.654,00</w:t>
            </w:r>
          </w:p>
        </w:tc>
      </w:tr>
      <w:tr w:rsidR="00846ACC" w:rsidRPr="004974C0" w14:paraId="4B7C99B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A00DDD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E4AFB1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D904CF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2.654,00</w:t>
            </w:r>
          </w:p>
        </w:tc>
        <w:tc>
          <w:tcPr>
            <w:tcW w:w="1843" w:type="dxa"/>
            <w:tcBorders>
              <w:top w:val="nil"/>
              <w:left w:val="nil"/>
              <w:bottom w:val="single" w:sz="4" w:space="0" w:color="auto"/>
              <w:right w:val="single" w:sz="4" w:space="0" w:color="auto"/>
            </w:tcBorders>
            <w:shd w:val="clear" w:color="auto" w:fill="auto"/>
            <w:noWrap/>
            <w:vAlign w:val="bottom"/>
            <w:hideMark/>
          </w:tcPr>
          <w:p w14:paraId="63E694B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FE45EF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71CEB5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2.654,00</w:t>
            </w:r>
          </w:p>
        </w:tc>
      </w:tr>
      <w:tr w:rsidR="00846ACC" w:rsidRPr="004974C0" w14:paraId="5FD2A00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6218455" w14:textId="77777777" w:rsidR="004974C0" w:rsidRPr="004974C0" w:rsidRDefault="004974C0" w:rsidP="004974C0">
            <w:pPr>
              <w:rPr>
                <w:rFonts w:ascii="Arial" w:hAnsi="Arial" w:cs="Arial"/>
                <w:sz w:val="20"/>
                <w:szCs w:val="20"/>
              </w:rPr>
            </w:pPr>
            <w:r w:rsidRPr="004974C0">
              <w:rPr>
                <w:rFonts w:ascii="Arial" w:hAnsi="Arial" w:cs="Arial"/>
                <w:sz w:val="20"/>
                <w:szCs w:val="20"/>
              </w:rPr>
              <w:t>35</w:t>
            </w:r>
          </w:p>
        </w:tc>
        <w:tc>
          <w:tcPr>
            <w:tcW w:w="1984" w:type="dxa"/>
            <w:tcBorders>
              <w:top w:val="nil"/>
              <w:left w:val="nil"/>
              <w:bottom w:val="single" w:sz="4" w:space="0" w:color="auto"/>
              <w:right w:val="single" w:sz="4" w:space="0" w:color="auto"/>
            </w:tcBorders>
            <w:shd w:val="clear" w:color="auto" w:fill="auto"/>
            <w:noWrap/>
            <w:vAlign w:val="bottom"/>
            <w:hideMark/>
          </w:tcPr>
          <w:p w14:paraId="4EDE609C" w14:textId="77777777" w:rsidR="004974C0" w:rsidRPr="004974C0" w:rsidRDefault="004974C0" w:rsidP="004974C0">
            <w:pPr>
              <w:rPr>
                <w:rFonts w:ascii="Arial" w:hAnsi="Arial" w:cs="Arial"/>
                <w:sz w:val="20"/>
                <w:szCs w:val="20"/>
              </w:rPr>
            </w:pPr>
            <w:r w:rsidRPr="004974C0">
              <w:rPr>
                <w:rFonts w:ascii="Arial" w:hAnsi="Arial" w:cs="Arial"/>
                <w:sz w:val="20"/>
                <w:szCs w:val="20"/>
              </w:rPr>
              <w:t>Subvencije</w:t>
            </w:r>
          </w:p>
        </w:tc>
        <w:tc>
          <w:tcPr>
            <w:tcW w:w="1843" w:type="dxa"/>
            <w:tcBorders>
              <w:top w:val="nil"/>
              <w:left w:val="nil"/>
              <w:bottom w:val="single" w:sz="4" w:space="0" w:color="auto"/>
              <w:right w:val="single" w:sz="4" w:space="0" w:color="auto"/>
            </w:tcBorders>
            <w:shd w:val="clear" w:color="auto" w:fill="auto"/>
            <w:noWrap/>
            <w:vAlign w:val="bottom"/>
            <w:hideMark/>
          </w:tcPr>
          <w:p w14:paraId="442D0F3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2.654,00</w:t>
            </w:r>
          </w:p>
        </w:tc>
        <w:tc>
          <w:tcPr>
            <w:tcW w:w="1843" w:type="dxa"/>
            <w:tcBorders>
              <w:top w:val="nil"/>
              <w:left w:val="nil"/>
              <w:bottom w:val="single" w:sz="4" w:space="0" w:color="auto"/>
              <w:right w:val="single" w:sz="4" w:space="0" w:color="auto"/>
            </w:tcBorders>
            <w:shd w:val="clear" w:color="auto" w:fill="auto"/>
            <w:noWrap/>
            <w:vAlign w:val="bottom"/>
            <w:hideMark/>
          </w:tcPr>
          <w:p w14:paraId="0FACD8C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75059F3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73BAC98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2.654,00</w:t>
            </w:r>
          </w:p>
        </w:tc>
      </w:tr>
      <w:tr w:rsidR="00846ACC" w:rsidRPr="004974C0" w14:paraId="052537A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E511D5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A600002 Promocija tradicionalnih obrta i proizvoda</w:t>
            </w:r>
          </w:p>
        </w:tc>
        <w:tc>
          <w:tcPr>
            <w:tcW w:w="1984" w:type="dxa"/>
            <w:tcBorders>
              <w:top w:val="nil"/>
              <w:left w:val="nil"/>
              <w:bottom w:val="single" w:sz="4" w:space="0" w:color="auto"/>
              <w:right w:val="single" w:sz="4" w:space="0" w:color="auto"/>
            </w:tcBorders>
            <w:shd w:val="clear" w:color="000000" w:fill="CCCCFF"/>
            <w:noWrap/>
            <w:vAlign w:val="bottom"/>
            <w:hideMark/>
          </w:tcPr>
          <w:p w14:paraId="78E0017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44A581D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c>
          <w:tcPr>
            <w:tcW w:w="1843" w:type="dxa"/>
            <w:tcBorders>
              <w:top w:val="nil"/>
              <w:left w:val="nil"/>
              <w:bottom w:val="single" w:sz="4" w:space="0" w:color="auto"/>
              <w:right w:val="single" w:sz="4" w:space="0" w:color="auto"/>
            </w:tcBorders>
            <w:shd w:val="clear" w:color="000000" w:fill="CCCCFF"/>
            <w:noWrap/>
            <w:vAlign w:val="bottom"/>
            <w:hideMark/>
          </w:tcPr>
          <w:p w14:paraId="1C7394F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c>
          <w:tcPr>
            <w:tcW w:w="1559" w:type="dxa"/>
            <w:tcBorders>
              <w:top w:val="nil"/>
              <w:left w:val="nil"/>
              <w:bottom w:val="single" w:sz="4" w:space="0" w:color="auto"/>
              <w:right w:val="single" w:sz="4" w:space="0" w:color="auto"/>
            </w:tcBorders>
            <w:shd w:val="clear" w:color="000000" w:fill="CCCCFF"/>
            <w:noWrap/>
            <w:vAlign w:val="bottom"/>
            <w:hideMark/>
          </w:tcPr>
          <w:p w14:paraId="19276D0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w:t>
            </w:r>
          </w:p>
        </w:tc>
        <w:tc>
          <w:tcPr>
            <w:tcW w:w="1803" w:type="dxa"/>
            <w:tcBorders>
              <w:top w:val="nil"/>
              <w:left w:val="nil"/>
              <w:bottom w:val="single" w:sz="4" w:space="0" w:color="auto"/>
              <w:right w:val="single" w:sz="4" w:space="0" w:color="auto"/>
            </w:tcBorders>
            <w:shd w:val="clear" w:color="000000" w:fill="CCCCFF"/>
            <w:noWrap/>
            <w:vAlign w:val="bottom"/>
            <w:hideMark/>
          </w:tcPr>
          <w:p w14:paraId="188D709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r>
      <w:tr w:rsidR="00846ACC" w:rsidRPr="004974C0" w14:paraId="6003267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FD509F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2AEC0BB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C8A544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c>
          <w:tcPr>
            <w:tcW w:w="1843" w:type="dxa"/>
            <w:tcBorders>
              <w:top w:val="nil"/>
              <w:left w:val="nil"/>
              <w:bottom w:val="single" w:sz="4" w:space="0" w:color="auto"/>
              <w:right w:val="single" w:sz="4" w:space="0" w:color="auto"/>
            </w:tcBorders>
            <w:shd w:val="clear" w:color="000000" w:fill="FFFF99"/>
            <w:noWrap/>
            <w:vAlign w:val="bottom"/>
            <w:hideMark/>
          </w:tcPr>
          <w:p w14:paraId="21D1129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-1.000,00</w:t>
            </w:r>
          </w:p>
        </w:tc>
        <w:tc>
          <w:tcPr>
            <w:tcW w:w="1559" w:type="dxa"/>
            <w:tcBorders>
              <w:top w:val="nil"/>
              <w:left w:val="nil"/>
              <w:bottom w:val="single" w:sz="4" w:space="0" w:color="auto"/>
              <w:right w:val="single" w:sz="4" w:space="0" w:color="auto"/>
            </w:tcBorders>
            <w:shd w:val="clear" w:color="000000" w:fill="FFFF99"/>
            <w:noWrap/>
            <w:vAlign w:val="bottom"/>
            <w:hideMark/>
          </w:tcPr>
          <w:p w14:paraId="6CC33E6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w:t>
            </w:r>
          </w:p>
        </w:tc>
        <w:tc>
          <w:tcPr>
            <w:tcW w:w="1803" w:type="dxa"/>
            <w:tcBorders>
              <w:top w:val="nil"/>
              <w:left w:val="nil"/>
              <w:bottom w:val="single" w:sz="4" w:space="0" w:color="auto"/>
              <w:right w:val="single" w:sz="4" w:space="0" w:color="auto"/>
            </w:tcBorders>
            <w:shd w:val="clear" w:color="000000" w:fill="FFFF99"/>
            <w:noWrap/>
            <w:vAlign w:val="bottom"/>
            <w:hideMark/>
          </w:tcPr>
          <w:p w14:paraId="193D4EC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r>
      <w:tr w:rsidR="00846ACC" w:rsidRPr="004974C0" w14:paraId="4297E71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3E69F3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71768C2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BEB43D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w:t>
            </w:r>
          </w:p>
        </w:tc>
        <w:tc>
          <w:tcPr>
            <w:tcW w:w="1843" w:type="dxa"/>
            <w:tcBorders>
              <w:top w:val="nil"/>
              <w:left w:val="nil"/>
              <w:bottom w:val="single" w:sz="4" w:space="0" w:color="auto"/>
              <w:right w:val="single" w:sz="4" w:space="0" w:color="auto"/>
            </w:tcBorders>
            <w:shd w:val="clear" w:color="auto" w:fill="auto"/>
            <w:noWrap/>
            <w:vAlign w:val="bottom"/>
            <w:hideMark/>
          </w:tcPr>
          <w:p w14:paraId="3B95F48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-1.000,00</w:t>
            </w:r>
          </w:p>
        </w:tc>
        <w:tc>
          <w:tcPr>
            <w:tcW w:w="1559" w:type="dxa"/>
            <w:tcBorders>
              <w:top w:val="nil"/>
              <w:left w:val="nil"/>
              <w:bottom w:val="single" w:sz="4" w:space="0" w:color="auto"/>
              <w:right w:val="single" w:sz="4" w:space="0" w:color="auto"/>
            </w:tcBorders>
            <w:shd w:val="clear" w:color="auto" w:fill="auto"/>
            <w:noWrap/>
            <w:vAlign w:val="bottom"/>
            <w:hideMark/>
          </w:tcPr>
          <w:p w14:paraId="02D1E6A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-25,00</w:t>
            </w:r>
          </w:p>
        </w:tc>
        <w:tc>
          <w:tcPr>
            <w:tcW w:w="1803" w:type="dxa"/>
            <w:tcBorders>
              <w:top w:val="nil"/>
              <w:left w:val="nil"/>
              <w:bottom w:val="single" w:sz="4" w:space="0" w:color="auto"/>
              <w:right w:val="single" w:sz="4" w:space="0" w:color="auto"/>
            </w:tcBorders>
            <w:shd w:val="clear" w:color="auto" w:fill="auto"/>
            <w:noWrap/>
            <w:vAlign w:val="bottom"/>
            <w:hideMark/>
          </w:tcPr>
          <w:p w14:paraId="4989B2A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w:t>
            </w:r>
          </w:p>
        </w:tc>
      </w:tr>
      <w:tr w:rsidR="00846ACC" w:rsidRPr="004974C0" w14:paraId="053AD06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88A660E"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507A001A"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7362B73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w:t>
            </w:r>
          </w:p>
        </w:tc>
        <w:tc>
          <w:tcPr>
            <w:tcW w:w="1843" w:type="dxa"/>
            <w:tcBorders>
              <w:top w:val="nil"/>
              <w:left w:val="nil"/>
              <w:bottom w:val="single" w:sz="4" w:space="0" w:color="auto"/>
              <w:right w:val="single" w:sz="4" w:space="0" w:color="auto"/>
            </w:tcBorders>
            <w:shd w:val="clear" w:color="auto" w:fill="auto"/>
            <w:noWrap/>
            <w:vAlign w:val="bottom"/>
            <w:hideMark/>
          </w:tcPr>
          <w:p w14:paraId="2D1AB32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559" w:type="dxa"/>
            <w:tcBorders>
              <w:top w:val="nil"/>
              <w:left w:val="nil"/>
              <w:bottom w:val="single" w:sz="4" w:space="0" w:color="auto"/>
              <w:right w:val="single" w:sz="4" w:space="0" w:color="auto"/>
            </w:tcBorders>
            <w:shd w:val="clear" w:color="auto" w:fill="auto"/>
            <w:noWrap/>
            <w:vAlign w:val="bottom"/>
            <w:hideMark/>
          </w:tcPr>
          <w:p w14:paraId="7457F62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-25,00</w:t>
            </w:r>
          </w:p>
        </w:tc>
        <w:tc>
          <w:tcPr>
            <w:tcW w:w="1803" w:type="dxa"/>
            <w:tcBorders>
              <w:top w:val="nil"/>
              <w:left w:val="nil"/>
              <w:bottom w:val="single" w:sz="4" w:space="0" w:color="auto"/>
              <w:right w:val="single" w:sz="4" w:space="0" w:color="auto"/>
            </w:tcBorders>
            <w:shd w:val="clear" w:color="auto" w:fill="auto"/>
            <w:noWrap/>
            <w:vAlign w:val="bottom"/>
            <w:hideMark/>
          </w:tcPr>
          <w:p w14:paraId="6D8AE9D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r>
      <w:tr w:rsidR="00846ACC" w:rsidRPr="004974C0" w14:paraId="1732B89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3C58CDE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A600003 Lokalna akcijska grupa Istočna Istra</w:t>
            </w:r>
          </w:p>
        </w:tc>
        <w:tc>
          <w:tcPr>
            <w:tcW w:w="1984" w:type="dxa"/>
            <w:tcBorders>
              <w:top w:val="nil"/>
              <w:left w:val="nil"/>
              <w:bottom w:val="single" w:sz="4" w:space="0" w:color="auto"/>
              <w:right w:val="single" w:sz="4" w:space="0" w:color="auto"/>
            </w:tcBorders>
            <w:shd w:val="clear" w:color="000000" w:fill="CCCCFF"/>
            <w:noWrap/>
            <w:vAlign w:val="bottom"/>
            <w:hideMark/>
          </w:tcPr>
          <w:p w14:paraId="35E0581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7AA001C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3.982,00</w:t>
            </w:r>
          </w:p>
        </w:tc>
        <w:tc>
          <w:tcPr>
            <w:tcW w:w="1843" w:type="dxa"/>
            <w:tcBorders>
              <w:top w:val="nil"/>
              <w:left w:val="nil"/>
              <w:bottom w:val="single" w:sz="4" w:space="0" w:color="auto"/>
              <w:right w:val="single" w:sz="4" w:space="0" w:color="auto"/>
            </w:tcBorders>
            <w:shd w:val="clear" w:color="000000" w:fill="CCCCFF"/>
            <w:noWrap/>
            <w:vAlign w:val="bottom"/>
            <w:hideMark/>
          </w:tcPr>
          <w:p w14:paraId="6772366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239E870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13AE0CE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3.982,00</w:t>
            </w:r>
          </w:p>
        </w:tc>
      </w:tr>
      <w:tr w:rsidR="00846ACC" w:rsidRPr="004974C0" w14:paraId="0960557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0FE0403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290B484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0E0B9A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3.982,00</w:t>
            </w:r>
          </w:p>
        </w:tc>
        <w:tc>
          <w:tcPr>
            <w:tcW w:w="1843" w:type="dxa"/>
            <w:tcBorders>
              <w:top w:val="nil"/>
              <w:left w:val="nil"/>
              <w:bottom w:val="single" w:sz="4" w:space="0" w:color="auto"/>
              <w:right w:val="single" w:sz="4" w:space="0" w:color="auto"/>
            </w:tcBorders>
            <w:shd w:val="clear" w:color="000000" w:fill="FFFF99"/>
            <w:noWrap/>
            <w:vAlign w:val="bottom"/>
            <w:hideMark/>
          </w:tcPr>
          <w:p w14:paraId="383E86F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51CDA3E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5914ADE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3.982,00</w:t>
            </w:r>
          </w:p>
        </w:tc>
      </w:tr>
      <w:tr w:rsidR="00846ACC" w:rsidRPr="004974C0" w14:paraId="46EA89A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FBC0C0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7C253E4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3BD41C2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3.982,00</w:t>
            </w:r>
          </w:p>
        </w:tc>
        <w:tc>
          <w:tcPr>
            <w:tcW w:w="1843" w:type="dxa"/>
            <w:tcBorders>
              <w:top w:val="nil"/>
              <w:left w:val="nil"/>
              <w:bottom w:val="single" w:sz="4" w:space="0" w:color="auto"/>
              <w:right w:val="single" w:sz="4" w:space="0" w:color="auto"/>
            </w:tcBorders>
            <w:shd w:val="clear" w:color="auto" w:fill="auto"/>
            <w:noWrap/>
            <w:vAlign w:val="bottom"/>
            <w:hideMark/>
          </w:tcPr>
          <w:p w14:paraId="53494B6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DDE879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D043ED1"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3.982,00</w:t>
            </w:r>
          </w:p>
        </w:tc>
      </w:tr>
      <w:tr w:rsidR="00846ACC" w:rsidRPr="004974C0" w14:paraId="0049DCA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EB0A311"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496C8842"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63B437F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3.982,00</w:t>
            </w:r>
          </w:p>
        </w:tc>
        <w:tc>
          <w:tcPr>
            <w:tcW w:w="1843" w:type="dxa"/>
            <w:tcBorders>
              <w:top w:val="nil"/>
              <w:left w:val="nil"/>
              <w:bottom w:val="single" w:sz="4" w:space="0" w:color="auto"/>
              <w:right w:val="single" w:sz="4" w:space="0" w:color="auto"/>
            </w:tcBorders>
            <w:shd w:val="clear" w:color="auto" w:fill="auto"/>
            <w:noWrap/>
            <w:vAlign w:val="bottom"/>
            <w:hideMark/>
          </w:tcPr>
          <w:p w14:paraId="13D3354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8B0A48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BA411C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3.982,00</w:t>
            </w:r>
          </w:p>
        </w:tc>
      </w:tr>
      <w:tr w:rsidR="00846ACC" w:rsidRPr="004974C0" w14:paraId="46A30D1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CA1B2D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A600004 Lokalna akcijska grupa u ribarstvu Istočna Istra</w:t>
            </w:r>
          </w:p>
        </w:tc>
        <w:tc>
          <w:tcPr>
            <w:tcW w:w="1984" w:type="dxa"/>
            <w:tcBorders>
              <w:top w:val="nil"/>
              <w:left w:val="nil"/>
              <w:bottom w:val="single" w:sz="4" w:space="0" w:color="auto"/>
              <w:right w:val="single" w:sz="4" w:space="0" w:color="auto"/>
            </w:tcBorders>
            <w:shd w:val="clear" w:color="000000" w:fill="CCCCFF"/>
            <w:noWrap/>
            <w:vAlign w:val="bottom"/>
            <w:hideMark/>
          </w:tcPr>
          <w:p w14:paraId="52572F0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75B44C5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3.982,00</w:t>
            </w:r>
          </w:p>
        </w:tc>
        <w:tc>
          <w:tcPr>
            <w:tcW w:w="1843" w:type="dxa"/>
            <w:tcBorders>
              <w:top w:val="nil"/>
              <w:left w:val="nil"/>
              <w:bottom w:val="single" w:sz="4" w:space="0" w:color="auto"/>
              <w:right w:val="single" w:sz="4" w:space="0" w:color="auto"/>
            </w:tcBorders>
            <w:shd w:val="clear" w:color="000000" w:fill="CCCCFF"/>
            <w:noWrap/>
            <w:vAlign w:val="bottom"/>
            <w:hideMark/>
          </w:tcPr>
          <w:p w14:paraId="20E1071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73DA99D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244D5AD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3.982,00</w:t>
            </w:r>
          </w:p>
        </w:tc>
      </w:tr>
      <w:tr w:rsidR="00846ACC" w:rsidRPr="004974C0" w14:paraId="4D260A9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78396E5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lastRenderedPageBreak/>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4E4BC52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4BD7E54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3.982,00</w:t>
            </w:r>
          </w:p>
        </w:tc>
        <w:tc>
          <w:tcPr>
            <w:tcW w:w="1843" w:type="dxa"/>
            <w:tcBorders>
              <w:top w:val="nil"/>
              <w:left w:val="nil"/>
              <w:bottom w:val="single" w:sz="4" w:space="0" w:color="auto"/>
              <w:right w:val="single" w:sz="4" w:space="0" w:color="auto"/>
            </w:tcBorders>
            <w:shd w:val="clear" w:color="000000" w:fill="FFFF99"/>
            <w:noWrap/>
            <w:vAlign w:val="bottom"/>
            <w:hideMark/>
          </w:tcPr>
          <w:p w14:paraId="34849D4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5E92929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380FB1D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3.982,00</w:t>
            </w:r>
          </w:p>
        </w:tc>
      </w:tr>
      <w:tr w:rsidR="00846ACC" w:rsidRPr="004974C0" w14:paraId="19700DD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7708D3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3E601FF"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69E7620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3.982,00</w:t>
            </w:r>
          </w:p>
        </w:tc>
        <w:tc>
          <w:tcPr>
            <w:tcW w:w="1843" w:type="dxa"/>
            <w:tcBorders>
              <w:top w:val="nil"/>
              <w:left w:val="nil"/>
              <w:bottom w:val="single" w:sz="4" w:space="0" w:color="auto"/>
              <w:right w:val="single" w:sz="4" w:space="0" w:color="auto"/>
            </w:tcBorders>
            <w:shd w:val="clear" w:color="auto" w:fill="auto"/>
            <w:noWrap/>
            <w:vAlign w:val="bottom"/>
            <w:hideMark/>
          </w:tcPr>
          <w:p w14:paraId="6CA7E6C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004D4A6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302BBFF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3.982,00</w:t>
            </w:r>
          </w:p>
        </w:tc>
      </w:tr>
      <w:tr w:rsidR="00846ACC" w:rsidRPr="004974C0" w14:paraId="0E2E581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ACFF8A6"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782E8B3"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1425E03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3.982,00</w:t>
            </w:r>
          </w:p>
        </w:tc>
        <w:tc>
          <w:tcPr>
            <w:tcW w:w="1843" w:type="dxa"/>
            <w:tcBorders>
              <w:top w:val="nil"/>
              <w:left w:val="nil"/>
              <w:bottom w:val="single" w:sz="4" w:space="0" w:color="auto"/>
              <w:right w:val="single" w:sz="4" w:space="0" w:color="auto"/>
            </w:tcBorders>
            <w:shd w:val="clear" w:color="auto" w:fill="auto"/>
            <w:noWrap/>
            <w:vAlign w:val="bottom"/>
            <w:hideMark/>
          </w:tcPr>
          <w:p w14:paraId="0C165E0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51218B5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EEBFBF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3.982,00</w:t>
            </w:r>
          </w:p>
        </w:tc>
      </w:tr>
      <w:tr w:rsidR="00846ACC" w:rsidRPr="004974C0" w14:paraId="725125F1"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22F68C5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A600005 Bespovratne potpore i subvencije</w:t>
            </w:r>
          </w:p>
        </w:tc>
        <w:tc>
          <w:tcPr>
            <w:tcW w:w="1984" w:type="dxa"/>
            <w:tcBorders>
              <w:top w:val="nil"/>
              <w:left w:val="nil"/>
              <w:bottom w:val="single" w:sz="4" w:space="0" w:color="auto"/>
              <w:right w:val="single" w:sz="4" w:space="0" w:color="auto"/>
            </w:tcBorders>
            <w:shd w:val="clear" w:color="000000" w:fill="CCCCFF"/>
            <w:noWrap/>
            <w:vAlign w:val="bottom"/>
            <w:hideMark/>
          </w:tcPr>
          <w:p w14:paraId="6773274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47B756D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94.000,00</w:t>
            </w:r>
          </w:p>
        </w:tc>
        <w:tc>
          <w:tcPr>
            <w:tcW w:w="1843" w:type="dxa"/>
            <w:tcBorders>
              <w:top w:val="nil"/>
              <w:left w:val="nil"/>
              <w:bottom w:val="single" w:sz="4" w:space="0" w:color="auto"/>
              <w:right w:val="single" w:sz="4" w:space="0" w:color="auto"/>
            </w:tcBorders>
            <w:shd w:val="clear" w:color="000000" w:fill="CCCCFF"/>
            <w:noWrap/>
            <w:vAlign w:val="bottom"/>
            <w:hideMark/>
          </w:tcPr>
          <w:p w14:paraId="5F8B53D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559" w:type="dxa"/>
            <w:tcBorders>
              <w:top w:val="nil"/>
              <w:left w:val="nil"/>
              <w:bottom w:val="single" w:sz="4" w:space="0" w:color="auto"/>
              <w:right w:val="single" w:sz="4" w:space="0" w:color="auto"/>
            </w:tcBorders>
            <w:shd w:val="clear" w:color="000000" w:fill="CCCCFF"/>
            <w:noWrap/>
            <w:vAlign w:val="bottom"/>
            <w:hideMark/>
          </w:tcPr>
          <w:p w14:paraId="7F1C41D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-3,19</w:t>
            </w:r>
          </w:p>
        </w:tc>
        <w:tc>
          <w:tcPr>
            <w:tcW w:w="1803" w:type="dxa"/>
            <w:tcBorders>
              <w:top w:val="nil"/>
              <w:left w:val="nil"/>
              <w:bottom w:val="single" w:sz="4" w:space="0" w:color="auto"/>
              <w:right w:val="single" w:sz="4" w:space="0" w:color="auto"/>
            </w:tcBorders>
            <w:shd w:val="clear" w:color="000000" w:fill="CCCCFF"/>
            <w:noWrap/>
            <w:vAlign w:val="bottom"/>
            <w:hideMark/>
          </w:tcPr>
          <w:p w14:paraId="7A177E3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91.000,00</w:t>
            </w:r>
          </w:p>
        </w:tc>
      </w:tr>
      <w:tr w:rsidR="00846ACC" w:rsidRPr="004974C0" w14:paraId="44528F79"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E29906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0B95910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03E918E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94.000,00</w:t>
            </w:r>
          </w:p>
        </w:tc>
        <w:tc>
          <w:tcPr>
            <w:tcW w:w="1843" w:type="dxa"/>
            <w:tcBorders>
              <w:top w:val="nil"/>
              <w:left w:val="nil"/>
              <w:bottom w:val="single" w:sz="4" w:space="0" w:color="auto"/>
              <w:right w:val="single" w:sz="4" w:space="0" w:color="auto"/>
            </w:tcBorders>
            <w:shd w:val="clear" w:color="000000" w:fill="FFFF99"/>
            <w:noWrap/>
            <w:vAlign w:val="bottom"/>
            <w:hideMark/>
          </w:tcPr>
          <w:p w14:paraId="206C1BB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559" w:type="dxa"/>
            <w:tcBorders>
              <w:top w:val="nil"/>
              <w:left w:val="nil"/>
              <w:bottom w:val="single" w:sz="4" w:space="0" w:color="auto"/>
              <w:right w:val="single" w:sz="4" w:space="0" w:color="auto"/>
            </w:tcBorders>
            <w:shd w:val="clear" w:color="000000" w:fill="FFFF99"/>
            <w:noWrap/>
            <w:vAlign w:val="bottom"/>
            <w:hideMark/>
          </w:tcPr>
          <w:p w14:paraId="6E70539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-3,19</w:t>
            </w:r>
          </w:p>
        </w:tc>
        <w:tc>
          <w:tcPr>
            <w:tcW w:w="1803" w:type="dxa"/>
            <w:tcBorders>
              <w:top w:val="nil"/>
              <w:left w:val="nil"/>
              <w:bottom w:val="single" w:sz="4" w:space="0" w:color="auto"/>
              <w:right w:val="single" w:sz="4" w:space="0" w:color="auto"/>
            </w:tcBorders>
            <w:shd w:val="clear" w:color="000000" w:fill="FFFF99"/>
            <w:noWrap/>
            <w:vAlign w:val="bottom"/>
            <w:hideMark/>
          </w:tcPr>
          <w:p w14:paraId="664370F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91.000,00</w:t>
            </w:r>
          </w:p>
        </w:tc>
      </w:tr>
      <w:tr w:rsidR="00846ACC" w:rsidRPr="004974C0" w14:paraId="0313E52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E56EE9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80B3A2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41C3696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94.000,00</w:t>
            </w:r>
          </w:p>
        </w:tc>
        <w:tc>
          <w:tcPr>
            <w:tcW w:w="1843" w:type="dxa"/>
            <w:tcBorders>
              <w:top w:val="nil"/>
              <w:left w:val="nil"/>
              <w:bottom w:val="single" w:sz="4" w:space="0" w:color="auto"/>
              <w:right w:val="single" w:sz="4" w:space="0" w:color="auto"/>
            </w:tcBorders>
            <w:shd w:val="clear" w:color="auto" w:fill="auto"/>
            <w:noWrap/>
            <w:vAlign w:val="bottom"/>
            <w:hideMark/>
          </w:tcPr>
          <w:p w14:paraId="00AE54F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w:t>
            </w:r>
          </w:p>
        </w:tc>
        <w:tc>
          <w:tcPr>
            <w:tcW w:w="1559" w:type="dxa"/>
            <w:tcBorders>
              <w:top w:val="nil"/>
              <w:left w:val="nil"/>
              <w:bottom w:val="single" w:sz="4" w:space="0" w:color="auto"/>
              <w:right w:val="single" w:sz="4" w:space="0" w:color="auto"/>
            </w:tcBorders>
            <w:shd w:val="clear" w:color="auto" w:fill="auto"/>
            <w:noWrap/>
            <w:vAlign w:val="bottom"/>
            <w:hideMark/>
          </w:tcPr>
          <w:p w14:paraId="3AFED12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-3,19</w:t>
            </w:r>
          </w:p>
        </w:tc>
        <w:tc>
          <w:tcPr>
            <w:tcW w:w="1803" w:type="dxa"/>
            <w:tcBorders>
              <w:top w:val="nil"/>
              <w:left w:val="nil"/>
              <w:bottom w:val="single" w:sz="4" w:space="0" w:color="auto"/>
              <w:right w:val="single" w:sz="4" w:space="0" w:color="auto"/>
            </w:tcBorders>
            <w:shd w:val="clear" w:color="auto" w:fill="auto"/>
            <w:noWrap/>
            <w:vAlign w:val="bottom"/>
            <w:hideMark/>
          </w:tcPr>
          <w:p w14:paraId="5CAA0F2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91.000,00</w:t>
            </w:r>
          </w:p>
        </w:tc>
      </w:tr>
      <w:tr w:rsidR="00846ACC" w:rsidRPr="004974C0" w14:paraId="47B9985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D4B7D96" w14:textId="77777777" w:rsidR="004974C0" w:rsidRPr="004974C0" w:rsidRDefault="004974C0" w:rsidP="004974C0">
            <w:pPr>
              <w:rPr>
                <w:rFonts w:ascii="Arial" w:hAnsi="Arial" w:cs="Arial"/>
                <w:sz w:val="20"/>
                <w:szCs w:val="20"/>
              </w:rPr>
            </w:pPr>
            <w:r w:rsidRPr="004974C0">
              <w:rPr>
                <w:rFonts w:ascii="Arial" w:hAnsi="Arial" w:cs="Arial"/>
                <w:sz w:val="20"/>
                <w:szCs w:val="20"/>
              </w:rPr>
              <w:t>35</w:t>
            </w:r>
          </w:p>
        </w:tc>
        <w:tc>
          <w:tcPr>
            <w:tcW w:w="1984" w:type="dxa"/>
            <w:tcBorders>
              <w:top w:val="nil"/>
              <w:left w:val="nil"/>
              <w:bottom w:val="single" w:sz="4" w:space="0" w:color="auto"/>
              <w:right w:val="single" w:sz="4" w:space="0" w:color="auto"/>
            </w:tcBorders>
            <w:shd w:val="clear" w:color="auto" w:fill="auto"/>
            <w:noWrap/>
            <w:vAlign w:val="bottom"/>
            <w:hideMark/>
          </w:tcPr>
          <w:p w14:paraId="441DAA9A" w14:textId="77777777" w:rsidR="004974C0" w:rsidRPr="004974C0" w:rsidRDefault="004974C0" w:rsidP="004974C0">
            <w:pPr>
              <w:rPr>
                <w:rFonts w:ascii="Arial" w:hAnsi="Arial" w:cs="Arial"/>
                <w:sz w:val="20"/>
                <w:szCs w:val="20"/>
              </w:rPr>
            </w:pPr>
            <w:r w:rsidRPr="004974C0">
              <w:rPr>
                <w:rFonts w:ascii="Arial" w:hAnsi="Arial" w:cs="Arial"/>
                <w:sz w:val="20"/>
                <w:szCs w:val="20"/>
              </w:rPr>
              <w:t>Subvencije</w:t>
            </w:r>
          </w:p>
        </w:tc>
        <w:tc>
          <w:tcPr>
            <w:tcW w:w="1843" w:type="dxa"/>
            <w:tcBorders>
              <w:top w:val="nil"/>
              <w:left w:val="nil"/>
              <w:bottom w:val="single" w:sz="4" w:space="0" w:color="auto"/>
              <w:right w:val="single" w:sz="4" w:space="0" w:color="auto"/>
            </w:tcBorders>
            <w:shd w:val="clear" w:color="auto" w:fill="auto"/>
            <w:noWrap/>
            <w:vAlign w:val="bottom"/>
            <w:hideMark/>
          </w:tcPr>
          <w:p w14:paraId="4126AEE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91.000,00</w:t>
            </w:r>
          </w:p>
        </w:tc>
        <w:tc>
          <w:tcPr>
            <w:tcW w:w="1843" w:type="dxa"/>
            <w:tcBorders>
              <w:top w:val="nil"/>
              <w:left w:val="nil"/>
              <w:bottom w:val="single" w:sz="4" w:space="0" w:color="auto"/>
              <w:right w:val="single" w:sz="4" w:space="0" w:color="auto"/>
            </w:tcBorders>
            <w:shd w:val="clear" w:color="auto" w:fill="auto"/>
            <w:noWrap/>
            <w:vAlign w:val="bottom"/>
            <w:hideMark/>
          </w:tcPr>
          <w:p w14:paraId="0410053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w:t>
            </w:r>
          </w:p>
        </w:tc>
        <w:tc>
          <w:tcPr>
            <w:tcW w:w="1559" w:type="dxa"/>
            <w:tcBorders>
              <w:top w:val="nil"/>
              <w:left w:val="nil"/>
              <w:bottom w:val="single" w:sz="4" w:space="0" w:color="auto"/>
              <w:right w:val="single" w:sz="4" w:space="0" w:color="auto"/>
            </w:tcBorders>
            <w:shd w:val="clear" w:color="auto" w:fill="auto"/>
            <w:noWrap/>
            <w:vAlign w:val="bottom"/>
            <w:hideMark/>
          </w:tcPr>
          <w:p w14:paraId="75A6000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-4,40</w:t>
            </w:r>
          </w:p>
        </w:tc>
        <w:tc>
          <w:tcPr>
            <w:tcW w:w="1803" w:type="dxa"/>
            <w:tcBorders>
              <w:top w:val="nil"/>
              <w:left w:val="nil"/>
              <w:bottom w:val="single" w:sz="4" w:space="0" w:color="auto"/>
              <w:right w:val="single" w:sz="4" w:space="0" w:color="auto"/>
            </w:tcBorders>
            <w:shd w:val="clear" w:color="auto" w:fill="auto"/>
            <w:noWrap/>
            <w:vAlign w:val="bottom"/>
            <w:hideMark/>
          </w:tcPr>
          <w:p w14:paraId="7C5AF01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87.000,00</w:t>
            </w:r>
          </w:p>
        </w:tc>
      </w:tr>
      <w:tr w:rsidR="00846ACC" w:rsidRPr="004974C0" w14:paraId="4E9586E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6172B49" w14:textId="77777777" w:rsidR="004974C0" w:rsidRPr="004974C0" w:rsidRDefault="004974C0" w:rsidP="004974C0">
            <w:pPr>
              <w:rPr>
                <w:rFonts w:ascii="Arial" w:hAnsi="Arial" w:cs="Arial"/>
                <w:sz w:val="20"/>
                <w:szCs w:val="20"/>
              </w:rPr>
            </w:pPr>
            <w:r w:rsidRPr="004974C0">
              <w:rPr>
                <w:rFonts w:ascii="Arial" w:hAnsi="Arial" w:cs="Arial"/>
                <w:sz w:val="20"/>
                <w:szCs w:val="20"/>
              </w:rPr>
              <w:t>38</w:t>
            </w:r>
          </w:p>
        </w:tc>
        <w:tc>
          <w:tcPr>
            <w:tcW w:w="1984" w:type="dxa"/>
            <w:tcBorders>
              <w:top w:val="nil"/>
              <w:left w:val="nil"/>
              <w:bottom w:val="single" w:sz="4" w:space="0" w:color="auto"/>
              <w:right w:val="single" w:sz="4" w:space="0" w:color="auto"/>
            </w:tcBorders>
            <w:shd w:val="clear" w:color="auto" w:fill="auto"/>
            <w:noWrap/>
            <w:vAlign w:val="bottom"/>
            <w:hideMark/>
          </w:tcPr>
          <w:p w14:paraId="31E460E5"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donacije, kazne, naknade šteta i kapitalne pomoći</w:t>
            </w:r>
          </w:p>
        </w:tc>
        <w:tc>
          <w:tcPr>
            <w:tcW w:w="1843" w:type="dxa"/>
            <w:tcBorders>
              <w:top w:val="nil"/>
              <w:left w:val="nil"/>
              <w:bottom w:val="single" w:sz="4" w:space="0" w:color="auto"/>
              <w:right w:val="single" w:sz="4" w:space="0" w:color="auto"/>
            </w:tcBorders>
            <w:shd w:val="clear" w:color="auto" w:fill="auto"/>
            <w:noWrap/>
            <w:vAlign w:val="bottom"/>
            <w:hideMark/>
          </w:tcPr>
          <w:p w14:paraId="2165EEB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5E83747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1.000,00</w:t>
            </w:r>
          </w:p>
        </w:tc>
        <w:tc>
          <w:tcPr>
            <w:tcW w:w="1559" w:type="dxa"/>
            <w:tcBorders>
              <w:top w:val="nil"/>
              <w:left w:val="nil"/>
              <w:bottom w:val="single" w:sz="4" w:space="0" w:color="auto"/>
              <w:right w:val="single" w:sz="4" w:space="0" w:color="auto"/>
            </w:tcBorders>
            <w:shd w:val="clear" w:color="auto" w:fill="auto"/>
            <w:noWrap/>
            <w:vAlign w:val="bottom"/>
            <w:hideMark/>
          </w:tcPr>
          <w:p w14:paraId="7417C37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33,33</w:t>
            </w:r>
          </w:p>
        </w:tc>
        <w:tc>
          <w:tcPr>
            <w:tcW w:w="1803" w:type="dxa"/>
            <w:tcBorders>
              <w:top w:val="nil"/>
              <w:left w:val="nil"/>
              <w:bottom w:val="single" w:sz="4" w:space="0" w:color="auto"/>
              <w:right w:val="single" w:sz="4" w:space="0" w:color="auto"/>
            </w:tcBorders>
            <w:shd w:val="clear" w:color="auto" w:fill="auto"/>
            <w:noWrap/>
            <w:vAlign w:val="bottom"/>
            <w:hideMark/>
          </w:tcPr>
          <w:p w14:paraId="4EB3461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w:t>
            </w:r>
          </w:p>
        </w:tc>
      </w:tr>
      <w:tr w:rsidR="00846ACC" w:rsidRPr="004974C0" w14:paraId="57E24B6D"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5965008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xml:space="preserve">Aktivnost A600006 </w:t>
            </w:r>
            <w:proofErr w:type="spellStart"/>
            <w:r w:rsidRPr="004974C0">
              <w:rPr>
                <w:rFonts w:ascii="Arial" w:hAnsi="Arial" w:cs="Arial"/>
                <w:b/>
                <w:bCs/>
                <w:color w:val="000000"/>
                <w:sz w:val="20"/>
                <w:szCs w:val="20"/>
              </w:rPr>
              <w:t>Iformativna</w:t>
            </w:r>
            <w:proofErr w:type="spellEnd"/>
            <w:r w:rsidRPr="004974C0">
              <w:rPr>
                <w:rFonts w:ascii="Arial" w:hAnsi="Arial" w:cs="Arial"/>
                <w:b/>
                <w:bCs/>
                <w:color w:val="000000"/>
                <w:sz w:val="20"/>
                <w:szCs w:val="20"/>
              </w:rPr>
              <w:t xml:space="preserve"> i edukativna potpora</w:t>
            </w:r>
          </w:p>
        </w:tc>
        <w:tc>
          <w:tcPr>
            <w:tcW w:w="1984" w:type="dxa"/>
            <w:tcBorders>
              <w:top w:val="nil"/>
              <w:left w:val="nil"/>
              <w:bottom w:val="single" w:sz="4" w:space="0" w:color="auto"/>
              <w:right w:val="single" w:sz="4" w:space="0" w:color="auto"/>
            </w:tcBorders>
            <w:shd w:val="clear" w:color="000000" w:fill="CCCCFF"/>
            <w:noWrap/>
            <w:vAlign w:val="bottom"/>
            <w:hideMark/>
          </w:tcPr>
          <w:p w14:paraId="12D1B56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1229D88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19.000,00</w:t>
            </w:r>
          </w:p>
        </w:tc>
        <w:tc>
          <w:tcPr>
            <w:tcW w:w="1843" w:type="dxa"/>
            <w:tcBorders>
              <w:top w:val="nil"/>
              <w:left w:val="nil"/>
              <w:bottom w:val="single" w:sz="4" w:space="0" w:color="auto"/>
              <w:right w:val="single" w:sz="4" w:space="0" w:color="auto"/>
            </w:tcBorders>
            <w:shd w:val="clear" w:color="000000" w:fill="CCCCFF"/>
            <w:noWrap/>
            <w:vAlign w:val="bottom"/>
            <w:hideMark/>
          </w:tcPr>
          <w:p w14:paraId="6A64D39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-3.325,00</w:t>
            </w:r>
          </w:p>
        </w:tc>
        <w:tc>
          <w:tcPr>
            <w:tcW w:w="1559" w:type="dxa"/>
            <w:tcBorders>
              <w:top w:val="nil"/>
              <w:left w:val="nil"/>
              <w:bottom w:val="single" w:sz="4" w:space="0" w:color="auto"/>
              <w:right w:val="single" w:sz="4" w:space="0" w:color="auto"/>
            </w:tcBorders>
            <w:shd w:val="clear" w:color="000000" w:fill="CCCCFF"/>
            <w:noWrap/>
            <w:vAlign w:val="bottom"/>
            <w:hideMark/>
          </w:tcPr>
          <w:p w14:paraId="391711B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-17,50</w:t>
            </w:r>
          </w:p>
        </w:tc>
        <w:tc>
          <w:tcPr>
            <w:tcW w:w="1803" w:type="dxa"/>
            <w:tcBorders>
              <w:top w:val="nil"/>
              <w:left w:val="nil"/>
              <w:bottom w:val="single" w:sz="4" w:space="0" w:color="auto"/>
              <w:right w:val="single" w:sz="4" w:space="0" w:color="auto"/>
            </w:tcBorders>
            <w:shd w:val="clear" w:color="000000" w:fill="CCCCFF"/>
            <w:noWrap/>
            <w:vAlign w:val="bottom"/>
            <w:hideMark/>
          </w:tcPr>
          <w:p w14:paraId="450E7D1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15.675,00</w:t>
            </w:r>
          </w:p>
        </w:tc>
      </w:tr>
      <w:tr w:rsidR="00846ACC" w:rsidRPr="004974C0" w14:paraId="3323CF5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F746D8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509B11E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80AFC1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16.000,00</w:t>
            </w:r>
          </w:p>
        </w:tc>
        <w:tc>
          <w:tcPr>
            <w:tcW w:w="1843" w:type="dxa"/>
            <w:tcBorders>
              <w:top w:val="nil"/>
              <w:left w:val="nil"/>
              <w:bottom w:val="single" w:sz="4" w:space="0" w:color="auto"/>
              <w:right w:val="single" w:sz="4" w:space="0" w:color="auto"/>
            </w:tcBorders>
            <w:shd w:val="clear" w:color="000000" w:fill="FFFF99"/>
            <w:noWrap/>
            <w:vAlign w:val="bottom"/>
            <w:hideMark/>
          </w:tcPr>
          <w:p w14:paraId="0877215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c>
          <w:tcPr>
            <w:tcW w:w="1559" w:type="dxa"/>
            <w:tcBorders>
              <w:top w:val="nil"/>
              <w:left w:val="nil"/>
              <w:bottom w:val="single" w:sz="4" w:space="0" w:color="auto"/>
              <w:right w:val="single" w:sz="4" w:space="0" w:color="auto"/>
            </w:tcBorders>
            <w:shd w:val="clear" w:color="000000" w:fill="FFFF99"/>
            <w:noWrap/>
            <w:vAlign w:val="bottom"/>
            <w:hideMark/>
          </w:tcPr>
          <w:p w14:paraId="5D476FB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-25,00</w:t>
            </w:r>
          </w:p>
        </w:tc>
        <w:tc>
          <w:tcPr>
            <w:tcW w:w="1803" w:type="dxa"/>
            <w:tcBorders>
              <w:top w:val="nil"/>
              <w:left w:val="nil"/>
              <w:bottom w:val="single" w:sz="4" w:space="0" w:color="auto"/>
              <w:right w:val="single" w:sz="4" w:space="0" w:color="auto"/>
            </w:tcBorders>
            <w:shd w:val="clear" w:color="000000" w:fill="FFFF99"/>
            <w:noWrap/>
            <w:vAlign w:val="bottom"/>
            <w:hideMark/>
          </w:tcPr>
          <w:p w14:paraId="18954FD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12.000,00</w:t>
            </w:r>
          </w:p>
        </w:tc>
      </w:tr>
      <w:tr w:rsidR="00846ACC" w:rsidRPr="004974C0" w14:paraId="05AF811C"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FD5B183"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407F34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00D2BB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16.000,00</w:t>
            </w:r>
          </w:p>
        </w:tc>
        <w:tc>
          <w:tcPr>
            <w:tcW w:w="1843" w:type="dxa"/>
            <w:tcBorders>
              <w:top w:val="nil"/>
              <w:left w:val="nil"/>
              <w:bottom w:val="single" w:sz="4" w:space="0" w:color="auto"/>
              <w:right w:val="single" w:sz="4" w:space="0" w:color="auto"/>
            </w:tcBorders>
            <w:shd w:val="clear" w:color="auto" w:fill="auto"/>
            <w:noWrap/>
            <w:vAlign w:val="bottom"/>
            <w:hideMark/>
          </w:tcPr>
          <w:p w14:paraId="14539A9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-4.000,00</w:t>
            </w:r>
          </w:p>
        </w:tc>
        <w:tc>
          <w:tcPr>
            <w:tcW w:w="1559" w:type="dxa"/>
            <w:tcBorders>
              <w:top w:val="nil"/>
              <w:left w:val="nil"/>
              <w:bottom w:val="single" w:sz="4" w:space="0" w:color="auto"/>
              <w:right w:val="single" w:sz="4" w:space="0" w:color="auto"/>
            </w:tcBorders>
            <w:shd w:val="clear" w:color="auto" w:fill="auto"/>
            <w:noWrap/>
            <w:vAlign w:val="bottom"/>
            <w:hideMark/>
          </w:tcPr>
          <w:p w14:paraId="665DB39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-25,00</w:t>
            </w:r>
          </w:p>
        </w:tc>
        <w:tc>
          <w:tcPr>
            <w:tcW w:w="1803" w:type="dxa"/>
            <w:tcBorders>
              <w:top w:val="nil"/>
              <w:left w:val="nil"/>
              <w:bottom w:val="single" w:sz="4" w:space="0" w:color="auto"/>
              <w:right w:val="single" w:sz="4" w:space="0" w:color="auto"/>
            </w:tcBorders>
            <w:shd w:val="clear" w:color="auto" w:fill="auto"/>
            <w:noWrap/>
            <w:vAlign w:val="bottom"/>
            <w:hideMark/>
          </w:tcPr>
          <w:p w14:paraId="33C0C76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12.000,00</w:t>
            </w:r>
          </w:p>
        </w:tc>
      </w:tr>
      <w:tr w:rsidR="00846ACC" w:rsidRPr="004974C0" w14:paraId="3890E6C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8F8C0DA"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3A0B2F15"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5A1A01D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16.000,00</w:t>
            </w:r>
          </w:p>
        </w:tc>
        <w:tc>
          <w:tcPr>
            <w:tcW w:w="1843" w:type="dxa"/>
            <w:tcBorders>
              <w:top w:val="nil"/>
              <w:left w:val="nil"/>
              <w:bottom w:val="single" w:sz="4" w:space="0" w:color="auto"/>
              <w:right w:val="single" w:sz="4" w:space="0" w:color="auto"/>
            </w:tcBorders>
            <w:shd w:val="clear" w:color="auto" w:fill="auto"/>
            <w:noWrap/>
            <w:vAlign w:val="bottom"/>
            <w:hideMark/>
          </w:tcPr>
          <w:p w14:paraId="32C533F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-4.000,00</w:t>
            </w:r>
          </w:p>
        </w:tc>
        <w:tc>
          <w:tcPr>
            <w:tcW w:w="1559" w:type="dxa"/>
            <w:tcBorders>
              <w:top w:val="nil"/>
              <w:left w:val="nil"/>
              <w:bottom w:val="single" w:sz="4" w:space="0" w:color="auto"/>
              <w:right w:val="single" w:sz="4" w:space="0" w:color="auto"/>
            </w:tcBorders>
            <w:shd w:val="clear" w:color="auto" w:fill="auto"/>
            <w:noWrap/>
            <w:vAlign w:val="bottom"/>
            <w:hideMark/>
          </w:tcPr>
          <w:p w14:paraId="5267D15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-25,00</w:t>
            </w:r>
          </w:p>
        </w:tc>
        <w:tc>
          <w:tcPr>
            <w:tcW w:w="1803" w:type="dxa"/>
            <w:tcBorders>
              <w:top w:val="nil"/>
              <w:left w:val="nil"/>
              <w:bottom w:val="single" w:sz="4" w:space="0" w:color="auto"/>
              <w:right w:val="single" w:sz="4" w:space="0" w:color="auto"/>
            </w:tcBorders>
            <w:shd w:val="clear" w:color="auto" w:fill="auto"/>
            <w:noWrap/>
            <w:vAlign w:val="bottom"/>
            <w:hideMark/>
          </w:tcPr>
          <w:p w14:paraId="73D7CAE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12.000,00</w:t>
            </w:r>
          </w:p>
        </w:tc>
      </w:tr>
      <w:tr w:rsidR="00846ACC" w:rsidRPr="004974C0" w14:paraId="6DDA825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9F128F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6.1. TEKUĆE DONACIJE</w:t>
            </w:r>
          </w:p>
        </w:tc>
        <w:tc>
          <w:tcPr>
            <w:tcW w:w="1984" w:type="dxa"/>
            <w:tcBorders>
              <w:top w:val="nil"/>
              <w:left w:val="nil"/>
              <w:bottom w:val="single" w:sz="4" w:space="0" w:color="auto"/>
              <w:right w:val="single" w:sz="4" w:space="0" w:color="auto"/>
            </w:tcBorders>
            <w:shd w:val="clear" w:color="000000" w:fill="FFFF99"/>
            <w:noWrap/>
            <w:vAlign w:val="bottom"/>
            <w:hideMark/>
          </w:tcPr>
          <w:p w14:paraId="23BC938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4752E3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3.000,00</w:t>
            </w:r>
          </w:p>
        </w:tc>
        <w:tc>
          <w:tcPr>
            <w:tcW w:w="1843" w:type="dxa"/>
            <w:tcBorders>
              <w:top w:val="nil"/>
              <w:left w:val="nil"/>
              <w:bottom w:val="single" w:sz="4" w:space="0" w:color="auto"/>
              <w:right w:val="single" w:sz="4" w:space="0" w:color="auto"/>
            </w:tcBorders>
            <w:shd w:val="clear" w:color="000000" w:fill="FFFF99"/>
            <w:noWrap/>
            <w:vAlign w:val="bottom"/>
            <w:hideMark/>
          </w:tcPr>
          <w:p w14:paraId="6E7AAAF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675,00</w:t>
            </w:r>
          </w:p>
        </w:tc>
        <w:tc>
          <w:tcPr>
            <w:tcW w:w="1559" w:type="dxa"/>
            <w:tcBorders>
              <w:top w:val="nil"/>
              <w:left w:val="nil"/>
              <w:bottom w:val="single" w:sz="4" w:space="0" w:color="auto"/>
              <w:right w:val="single" w:sz="4" w:space="0" w:color="auto"/>
            </w:tcBorders>
            <w:shd w:val="clear" w:color="000000" w:fill="FFFF99"/>
            <w:noWrap/>
            <w:vAlign w:val="bottom"/>
            <w:hideMark/>
          </w:tcPr>
          <w:p w14:paraId="72FE1F1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22,50</w:t>
            </w:r>
          </w:p>
        </w:tc>
        <w:tc>
          <w:tcPr>
            <w:tcW w:w="1803" w:type="dxa"/>
            <w:tcBorders>
              <w:top w:val="nil"/>
              <w:left w:val="nil"/>
              <w:bottom w:val="single" w:sz="4" w:space="0" w:color="auto"/>
              <w:right w:val="single" w:sz="4" w:space="0" w:color="auto"/>
            </w:tcBorders>
            <w:shd w:val="clear" w:color="000000" w:fill="FFFF99"/>
            <w:noWrap/>
            <w:vAlign w:val="bottom"/>
            <w:hideMark/>
          </w:tcPr>
          <w:p w14:paraId="19FBD9A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3.675,00</w:t>
            </w:r>
          </w:p>
        </w:tc>
      </w:tr>
      <w:tr w:rsidR="00846ACC" w:rsidRPr="004974C0" w14:paraId="386B847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2C7EC5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7AC1EB0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7C61E19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5217BE9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675,00</w:t>
            </w:r>
          </w:p>
        </w:tc>
        <w:tc>
          <w:tcPr>
            <w:tcW w:w="1559" w:type="dxa"/>
            <w:tcBorders>
              <w:top w:val="nil"/>
              <w:left w:val="nil"/>
              <w:bottom w:val="single" w:sz="4" w:space="0" w:color="auto"/>
              <w:right w:val="single" w:sz="4" w:space="0" w:color="auto"/>
            </w:tcBorders>
            <w:shd w:val="clear" w:color="auto" w:fill="auto"/>
            <w:noWrap/>
            <w:vAlign w:val="bottom"/>
            <w:hideMark/>
          </w:tcPr>
          <w:p w14:paraId="73F84A6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22,50</w:t>
            </w:r>
          </w:p>
        </w:tc>
        <w:tc>
          <w:tcPr>
            <w:tcW w:w="1803" w:type="dxa"/>
            <w:tcBorders>
              <w:top w:val="nil"/>
              <w:left w:val="nil"/>
              <w:bottom w:val="single" w:sz="4" w:space="0" w:color="auto"/>
              <w:right w:val="single" w:sz="4" w:space="0" w:color="auto"/>
            </w:tcBorders>
            <w:shd w:val="clear" w:color="auto" w:fill="auto"/>
            <w:noWrap/>
            <w:vAlign w:val="bottom"/>
            <w:hideMark/>
          </w:tcPr>
          <w:p w14:paraId="174B223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3.675,00</w:t>
            </w:r>
          </w:p>
        </w:tc>
      </w:tr>
      <w:tr w:rsidR="00846ACC" w:rsidRPr="004974C0" w14:paraId="1CB2A181"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FC4F0AB" w14:textId="77777777" w:rsidR="004974C0" w:rsidRPr="004974C0" w:rsidRDefault="004974C0" w:rsidP="004974C0">
            <w:pPr>
              <w:rPr>
                <w:rFonts w:ascii="Arial" w:hAnsi="Arial" w:cs="Arial"/>
                <w:sz w:val="20"/>
                <w:szCs w:val="20"/>
              </w:rPr>
            </w:pPr>
            <w:r w:rsidRPr="004974C0">
              <w:rPr>
                <w:rFonts w:ascii="Arial" w:hAnsi="Arial" w:cs="Arial"/>
                <w:sz w:val="20"/>
                <w:szCs w:val="20"/>
              </w:rPr>
              <w:t>38</w:t>
            </w:r>
          </w:p>
        </w:tc>
        <w:tc>
          <w:tcPr>
            <w:tcW w:w="1984" w:type="dxa"/>
            <w:tcBorders>
              <w:top w:val="nil"/>
              <w:left w:val="nil"/>
              <w:bottom w:val="single" w:sz="4" w:space="0" w:color="auto"/>
              <w:right w:val="single" w:sz="4" w:space="0" w:color="auto"/>
            </w:tcBorders>
            <w:shd w:val="clear" w:color="auto" w:fill="auto"/>
            <w:noWrap/>
            <w:vAlign w:val="bottom"/>
            <w:hideMark/>
          </w:tcPr>
          <w:p w14:paraId="11518F24"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donacije, kazne, naknade šteta i kapitalne pomoći</w:t>
            </w:r>
          </w:p>
        </w:tc>
        <w:tc>
          <w:tcPr>
            <w:tcW w:w="1843" w:type="dxa"/>
            <w:tcBorders>
              <w:top w:val="nil"/>
              <w:left w:val="nil"/>
              <w:bottom w:val="single" w:sz="4" w:space="0" w:color="auto"/>
              <w:right w:val="single" w:sz="4" w:space="0" w:color="auto"/>
            </w:tcBorders>
            <w:shd w:val="clear" w:color="auto" w:fill="auto"/>
            <w:noWrap/>
            <w:vAlign w:val="bottom"/>
            <w:hideMark/>
          </w:tcPr>
          <w:p w14:paraId="00ED025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w:t>
            </w:r>
          </w:p>
        </w:tc>
        <w:tc>
          <w:tcPr>
            <w:tcW w:w="1843" w:type="dxa"/>
            <w:tcBorders>
              <w:top w:val="nil"/>
              <w:left w:val="nil"/>
              <w:bottom w:val="single" w:sz="4" w:space="0" w:color="auto"/>
              <w:right w:val="single" w:sz="4" w:space="0" w:color="auto"/>
            </w:tcBorders>
            <w:shd w:val="clear" w:color="auto" w:fill="auto"/>
            <w:noWrap/>
            <w:vAlign w:val="bottom"/>
            <w:hideMark/>
          </w:tcPr>
          <w:p w14:paraId="1F7F882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675,00</w:t>
            </w:r>
          </w:p>
        </w:tc>
        <w:tc>
          <w:tcPr>
            <w:tcW w:w="1559" w:type="dxa"/>
            <w:tcBorders>
              <w:top w:val="nil"/>
              <w:left w:val="nil"/>
              <w:bottom w:val="single" w:sz="4" w:space="0" w:color="auto"/>
              <w:right w:val="single" w:sz="4" w:space="0" w:color="auto"/>
            </w:tcBorders>
            <w:shd w:val="clear" w:color="auto" w:fill="auto"/>
            <w:noWrap/>
            <w:vAlign w:val="bottom"/>
            <w:hideMark/>
          </w:tcPr>
          <w:p w14:paraId="7A9794D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22,50</w:t>
            </w:r>
          </w:p>
        </w:tc>
        <w:tc>
          <w:tcPr>
            <w:tcW w:w="1803" w:type="dxa"/>
            <w:tcBorders>
              <w:top w:val="nil"/>
              <w:left w:val="nil"/>
              <w:bottom w:val="single" w:sz="4" w:space="0" w:color="auto"/>
              <w:right w:val="single" w:sz="4" w:space="0" w:color="auto"/>
            </w:tcBorders>
            <w:shd w:val="clear" w:color="auto" w:fill="auto"/>
            <w:noWrap/>
            <w:vAlign w:val="bottom"/>
            <w:hideMark/>
          </w:tcPr>
          <w:p w14:paraId="2434E7F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3.675,00</w:t>
            </w:r>
          </w:p>
        </w:tc>
      </w:tr>
      <w:tr w:rsidR="00846ACC" w:rsidRPr="004974C0" w14:paraId="3372A43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BEA980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xml:space="preserve">Tekući projekt T600001 </w:t>
            </w:r>
            <w:proofErr w:type="spellStart"/>
            <w:r w:rsidRPr="004974C0">
              <w:rPr>
                <w:rFonts w:ascii="Arial" w:hAnsi="Arial" w:cs="Arial"/>
                <w:b/>
                <w:bCs/>
                <w:color w:val="000000"/>
                <w:sz w:val="20"/>
                <w:szCs w:val="20"/>
              </w:rPr>
              <w:t>Coworking</w:t>
            </w:r>
            <w:proofErr w:type="spellEnd"/>
          </w:p>
        </w:tc>
        <w:tc>
          <w:tcPr>
            <w:tcW w:w="1984" w:type="dxa"/>
            <w:tcBorders>
              <w:top w:val="nil"/>
              <w:left w:val="nil"/>
              <w:bottom w:val="single" w:sz="4" w:space="0" w:color="auto"/>
              <w:right w:val="single" w:sz="4" w:space="0" w:color="auto"/>
            </w:tcBorders>
            <w:shd w:val="clear" w:color="000000" w:fill="CCCCFF"/>
            <w:noWrap/>
            <w:vAlign w:val="bottom"/>
            <w:hideMark/>
          </w:tcPr>
          <w:p w14:paraId="41D5EC13"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46CE77F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15.000,00</w:t>
            </w:r>
          </w:p>
        </w:tc>
        <w:tc>
          <w:tcPr>
            <w:tcW w:w="1843" w:type="dxa"/>
            <w:tcBorders>
              <w:top w:val="nil"/>
              <w:left w:val="nil"/>
              <w:bottom w:val="single" w:sz="4" w:space="0" w:color="auto"/>
              <w:right w:val="single" w:sz="4" w:space="0" w:color="auto"/>
            </w:tcBorders>
            <w:shd w:val="clear" w:color="000000" w:fill="CCCCFF"/>
            <w:noWrap/>
            <w:vAlign w:val="bottom"/>
            <w:hideMark/>
          </w:tcPr>
          <w:p w14:paraId="79DCD0C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c>
          <w:tcPr>
            <w:tcW w:w="1559" w:type="dxa"/>
            <w:tcBorders>
              <w:top w:val="nil"/>
              <w:left w:val="nil"/>
              <w:bottom w:val="single" w:sz="4" w:space="0" w:color="auto"/>
              <w:right w:val="single" w:sz="4" w:space="0" w:color="auto"/>
            </w:tcBorders>
            <w:shd w:val="clear" w:color="000000" w:fill="CCCCFF"/>
            <w:noWrap/>
            <w:vAlign w:val="bottom"/>
            <w:hideMark/>
          </w:tcPr>
          <w:p w14:paraId="2742A69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-26,67</w:t>
            </w:r>
          </w:p>
        </w:tc>
        <w:tc>
          <w:tcPr>
            <w:tcW w:w="1803" w:type="dxa"/>
            <w:tcBorders>
              <w:top w:val="nil"/>
              <w:left w:val="nil"/>
              <w:bottom w:val="single" w:sz="4" w:space="0" w:color="auto"/>
              <w:right w:val="single" w:sz="4" w:space="0" w:color="auto"/>
            </w:tcBorders>
            <w:shd w:val="clear" w:color="000000" w:fill="CCCCFF"/>
            <w:noWrap/>
            <w:vAlign w:val="bottom"/>
            <w:hideMark/>
          </w:tcPr>
          <w:p w14:paraId="42FE5E4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11.000,00</w:t>
            </w:r>
          </w:p>
        </w:tc>
      </w:tr>
      <w:tr w:rsidR="00846ACC" w:rsidRPr="004974C0" w14:paraId="792DE0D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5012286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63A48BC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A93FA8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15.000,00</w:t>
            </w:r>
          </w:p>
        </w:tc>
        <w:tc>
          <w:tcPr>
            <w:tcW w:w="1843" w:type="dxa"/>
            <w:tcBorders>
              <w:top w:val="nil"/>
              <w:left w:val="nil"/>
              <w:bottom w:val="single" w:sz="4" w:space="0" w:color="auto"/>
              <w:right w:val="single" w:sz="4" w:space="0" w:color="auto"/>
            </w:tcBorders>
            <w:shd w:val="clear" w:color="000000" w:fill="FFFF99"/>
            <w:noWrap/>
            <w:vAlign w:val="bottom"/>
            <w:hideMark/>
          </w:tcPr>
          <w:p w14:paraId="59FF230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-4.000,00</w:t>
            </w:r>
          </w:p>
        </w:tc>
        <w:tc>
          <w:tcPr>
            <w:tcW w:w="1559" w:type="dxa"/>
            <w:tcBorders>
              <w:top w:val="nil"/>
              <w:left w:val="nil"/>
              <w:bottom w:val="single" w:sz="4" w:space="0" w:color="auto"/>
              <w:right w:val="single" w:sz="4" w:space="0" w:color="auto"/>
            </w:tcBorders>
            <w:shd w:val="clear" w:color="000000" w:fill="FFFF99"/>
            <w:noWrap/>
            <w:vAlign w:val="bottom"/>
            <w:hideMark/>
          </w:tcPr>
          <w:p w14:paraId="2BF075E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-26,67</w:t>
            </w:r>
          </w:p>
        </w:tc>
        <w:tc>
          <w:tcPr>
            <w:tcW w:w="1803" w:type="dxa"/>
            <w:tcBorders>
              <w:top w:val="nil"/>
              <w:left w:val="nil"/>
              <w:bottom w:val="single" w:sz="4" w:space="0" w:color="auto"/>
              <w:right w:val="single" w:sz="4" w:space="0" w:color="auto"/>
            </w:tcBorders>
            <w:shd w:val="clear" w:color="000000" w:fill="FFFF99"/>
            <w:noWrap/>
            <w:vAlign w:val="bottom"/>
            <w:hideMark/>
          </w:tcPr>
          <w:p w14:paraId="42E8D48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11.000,00</w:t>
            </w:r>
          </w:p>
        </w:tc>
      </w:tr>
      <w:tr w:rsidR="00846ACC" w:rsidRPr="004974C0" w14:paraId="6D0610A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017488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48458A4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ED5B02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10.400,00</w:t>
            </w:r>
          </w:p>
        </w:tc>
        <w:tc>
          <w:tcPr>
            <w:tcW w:w="1843" w:type="dxa"/>
            <w:tcBorders>
              <w:top w:val="nil"/>
              <w:left w:val="nil"/>
              <w:bottom w:val="single" w:sz="4" w:space="0" w:color="auto"/>
              <w:right w:val="single" w:sz="4" w:space="0" w:color="auto"/>
            </w:tcBorders>
            <w:shd w:val="clear" w:color="auto" w:fill="auto"/>
            <w:noWrap/>
            <w:vAlign w:val="bottom"/>
            <w:hideMark/>
          </w:tcPr>
          <w:p w14:paraId="56D3F8D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600,00</w:t>
            </w:r>
          </w:p>
        </w:tc>
        <w:tc>
          <w:tcPr>
            <w:tcW w:w="1559" w:type="dxa"/>
            <w:tcBorders>
              <w:top w:val="nil"/>
              <w:left w:val="nil"/>
              <w:bottom w:val="single" w:sz="4" w:space="0" w:color="auto"/>
              <w:right w:val="single" w:sz="4" w:space="0" w:color="auto"/>
            </w:tcBorders>
            <w:shd w:val="clear" w:color="auto" w:fill="auto"/>
            <w:noWrap/>
            <w:vAlign w:val="bottom"/>
            <w:hideMark/>
          </w:tcPr>
          <w:p w14:paraId="1CFE8283"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5,77</w:t>
            </w:r>
          </w:p>
        </w:tc>
        <w:tc>
          <w:tcPr>
            <w:tcW w:w="1803" w:type="dxa"/>
            <w:tcBorders>
              <w:top w:val="nil"/>
              <w:left w:val="nil"/>
              <w:bottom w:val="single" w:sz="4" w:space="0" w:color="auto"/>
              <w:right w:val="single" w:sz="4" w:space="0" w:color="auto"/>
            </w:tcBorders>
            <w:shd w:val="clear" w:color="auto" w:fill="auto"/>
            <w:noWrap/>
            <w:vAlign w:val="bottom"/>
            <w:hideMark/>
          </w:tcPr>
          <w:p w14:paraId="6AE1A1B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11.000,00</w:t>
            </w:r>
          </w:p>
        </w:tc>
      </w:tr>
      <w:tr w:rsidR="00846ACC" w:rsidRPr="004974C0" w14:paraId="385B9CD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CB96D13"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09A315F"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0664B73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10.400,00</w:t>
            </w:r>
          </w:p>
        </w:tc>
        <w:tc>
          <w:tcPr>
            <w:tcW w:w="1843" w:type="dxa"/>
            <w:tcBorders>
              <w:top w:val="nil"/>
              <w:left w:val="nil"/>
              <w:bottom w:val="single" w:sz="4" w:space="0" w:color="auto"/>
              <w:right w:val="single" w:sz="4" w:space="0" w:color="auto"/>
            </w:tcBorders>
            <w:shd w:val="clear" w:color="auto" w:fill="auto"/>
            <w:noWrap/>
            <w:vAlign w:val="bottom"/>
            <w:hideMark/>
          </w:tcPr>
          <w:p w14:paraId="60D5B18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600,00</w:t>
            </w:r>
          </w:p>
        </w:tc>
        <w:tc>
          <w:tcPr>
            <w:tcW w:w="1559" w:type="dxa"/>
            <w:tcBorders>
              <w:top w:val="nil"/>
              <w:left w:val="nil"/>
              <w:bottom w:val="single" w:sz="4" w:space="0" w:color="auto"/>
              <w:right w:val="single" w:sz="4" w:space="0" w:color="auto"/>
            </w:tcBorders>
            <w:shd w:val="clear" w:color="auto" w:fill="auto"/>
            <w:noWrap/>
            <w:vAlign w:val="bottom"/>
            <w:hideMark/>
          </w:tcPr>
          <w:p w14:paraId="0108DEF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5,77</w:t>
            </w:r>
          </w:p>
        </w:tc>
        <w:tc>
          <w:tcPr>
            <w:tcW w:w="1803" w:type="dxa"/>
            <w:tcBorders>
              <w:top w:val="nil"/>
              <w:left w:val="nil"/>
              <w:bottom w:val="single" w:sz="4" w:space="0" w:color="auto"/>
              <w:right w:val="single" w:sz="4" w:space="0" w:color="auto"/>
            </w:tcBorders>
            <w:shd w:val="clear" w:color="auto" w:fill="auto"/>
            <w:noWrap/>
            <w:vAlign w:val="bottom"/>
            <w:hideMark/>
          </w:tcPr>
          <w:p w14:paraId="4C5D74E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11.000,00</w:t>
            </w:r>
          </w:p>
        </w:tc>
      </w:tr>
      <w:tr w:rsidR="00846ACC" w:rsidRPr="004974C0" w14:paraId="70F2FCE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D9CA2E6"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6D220D45"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4E64075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4.600,00</w:t>
            </w:r>
          </w:p>
        </w:tc>
        <w:tc>
          <w:tcPr>
            <w:tcW w:w="1843" w:type="dxa"/>
            <w:tcBorders>
              <w:top w:val="nil"/>
              <w:left w:val="nil"/>
              <w:bottom w:val="single" w:sz="4" w:space="0" w:color="auto"/>
              <w:right w:val="single" w:sz="4" w:space="0" w:color="auto"/>
            </w:tcBorders>
            <w:shd w:val="clear" w:color="auto" w:fill="auto"/>
            <w:noWrap/>
            <w:vAlign w:val="bottom"/>
            <w:hideMark/>
          </w:tcPr>
          <w:p w14:paraId="6E7AE82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-4.600,00</w:t>
            </w:r>
          </w:p>
        </w:tc>
        <w:tc>
          <w:tcPr>
            <w:tcW w:w="1559" w:type="dxa"/>
            <w:tcBorders>
              <w:top w:val="nil"/>
              <w:left w:val="nil"/>
              <w:bottom w:val="single" w:sz="4" w:space="0" w:color="auto"/>
              <w:right w:val="single" w:sz="4" w:space="0" w:color="auto"/>
            </w:tcBorders>
            <w:shd w:val="clear" w:color="auto" w:fill="auto"/>
            <w:noWrap/>
            <w:vAlign w:val="bottom"/>
            <w:hideMark/>
          </w:tcPr>
          <w:p w14:paraId="7C280B0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273D2CF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r>
      <w:tr w:rsidR="00846ACC" w:rsidRPr="004974C0" w14:paraId="2FB36DE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4DE4AAC" w14:textId="77777777" w:rsidR="004974C0" w:rsidRPr="004974C0" w:rsidRDefault="004974C0" w:rsidP="004974C0">
            <w:pPr>
              <w:rPr>
                <w:rFonts w:ascii="Arial" w:hAnsi="Arial" w:cs="Arial"/>
                <w:sz w:val="20"/>
                <w:szCs w:val="20"/>
              </w:rPr>
            </w:pPr>
            <w:r w:rsidRPr="004974C0">
              <w:rPr>
                <w:rFonts w:ascii="Arial" w:hAnsi="Arial" w:cs="Arial"/>
                <w:sz w:val="20"/>
                <w:szCs w:val="20"/>
              </w:rPr>
              <w:lastRenderedPageBreak/>
              <w:t>42</w:t>
            </w:r>
          </w:p>
        </w:tc>
        <w:tc>
          <w:tcPr>
            <w:tcW w:w="1984" w:type="dxa"/>
            <w:tcBorders>
              <w:top w:val="nil"/>
              <w:left w:val="nil"/>
              <w:bottom w:val="single" w:sz="4" w:space="0" w:color="auto"/>
              <w:right w:val="single" w:sz="4" w:space="0" w:color="auto"/>
            </w:tcBorders>
            <w:shd w:val="clear" w:color="auto" w:fill="auto"/>
            <w:noWrap/>
            <w:vAlign w:val="bottom"/>
            <w:hideMark/>
          </w:tcPr>
          <w:p w14:paraId="4EE3670D"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04F52AE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4.600,00</w:t>
            </w:r>
          </w:p>
        </w:tc>
        <w:tc>
          <w:tcPr>
            <w:tcW w:w="1843" w:type="dxa"/>
            <w:tcBorders>
              <w:top w:val="nil"/>
              <w:left w:val="nil"/>
              <w:bottom w:val="single" w:sz="4" w:space="0" w:color="auto"/>
              <w:right w:val="single" w:sz="4" w:space="0" w:color="auto"/>
            </w:tcBorders>
            <w:shd w:val="clear" w:color="auto" w:fill="auto"/>
            <w:noWrap/>
            <w:vAlign w:val="bottom"/>
            <w:hideMark/>
          </w:tcPr>
          <w:p w14:paraId="4C7B96D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-4.600,00</w:t>
            </w:r>
          </w:p>
        </w:tc>
        <w:tc>
          <w:tcPr>
            <w:tcW w:w="1559" w:type="dxa"/>
            <w:tcBorders>
              <w:top w:val="nil"/>
              <w:left w:val="nil"/>
              <w:bottom w:val="single" w:sz="4" w:space="0" w:color="auto"/>
              <w:right w:val="single" w:sz="4" w:space="0" w:color="auto"/>
            </w:tcBorders>
            <w:shd w:val="clear" w:color="auto" w:fill="auto"/>
            <w:noWrap/>
            <w:vAlign w:val="bottom"/>
            <w:hideMark/>
          </w:tcPr>
          <w:p w14:paraId="3C56956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60AEDF2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r>
      <w:tr w:rsidR="00846ACC" w:rsidRPr="004974C0" w14:paraId="4A6D9C8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118BFA2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Tekući projekt T600002 On line baza podataka</w:t>
            </w:r>
          </w:p>
        </w:tc>
        <w:tc>
          <w:tcPr>
            <w:tcW w:w="1984" w:type="dxa"/>
            <w:tcBorders>
              <w:top w:val="nil"/>
              <w:left w:val="nil"/>
              <w:bottom w:val="single" w:sz="4" w:space="0" w:color="auto"/>
              <w:right w:val="single" w:sz="4" w:space="0" w:color="auto"/>
            </w:tcBorders>
            <w:shd w:val="clear" w:color="000000" w:fill="CCCCFF"/>
            <w:noWrap/>
            <w:vAlign w:val="bottom"/>
            <w:hideMark/>
          </w:tcPr>
          <w:p w14:paraId="42079B3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38DA043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843" w:type="dxa"/>
            <w:tcBorders>
              <w:top w:val="nil"/>
              <w:left w:val="nil"/>
              <w:bottom w:val="single" w:sz="4" w:space="0" w:color="auto"/>
              <w:right w:val="single" w:sz="4" w:space="0" w:color="auto"/>
            </w:tcBorders>
            <w:shd w:val="clear" w:color="000000" w:fill="CCCCFF"/>
            <w:noWrap/>
            <w:vAlign w:val="bottom"/>
            <w:hideMark/>
          </w:tcPr>
          <w:p w14:paraId="1EE0822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25EDF9A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358F02D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r>
      <w:tr w:rsidR="00846ACC" w:rsidRPr="004974C0" w14:paraId="0D45202E"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A1B6C8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391FE77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18007BD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843" w:type="dxa"/>
            <w:tcBorders>
              <w:top w:val="nil"/>
              <w:left w:val="nil"/>
              <w:bottom w:val="single" w:sz="4" w:space="0" w:color="auto"/>
              <w:right w:val="single" w:sz="4" w:space="0" w:color="auto"/>
            </w:tcBorders>
            <w:shd w:val="clear" w:color="000000" w:fill="FFFF99"/>
            <w:noWrap/>
            <w:vAlign w:val="bottom"/>
            <w:hideMark/>
          </w:tcPr>
          <w:p w14:paraId="659B508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126E179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248B40E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r>
      <w:tr w:rsidR="00846ACC" w:rsidRPr="004974C0" w14:paraId="3E7D9EE2"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FF044C7"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2F8B4562"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CF19832"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2B68769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19AD3E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0BBF21B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r>
      <w:tr w:rsidR="00846ACC" w:rsidRPr="004974C0" w14:paraId="1D00FC3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445146C"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192D68A6"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7E14740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71B52F6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EE949A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66BA880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r>
      <w:tr w:rsidR="00846ACC" w:rsidRPr="004974C0" w14:paraId="50A292E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49D7852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6002 Upravljanje EU projektima</w:t>
            </w:r>
          </w:p>
        </w:tc>
        <w:tc>
          <w:tcPr>
            <w:tcW w:w="1984" w:type="dxa"/>
            <w:tcBorders>
              <w:top w:val="nil"/>
              <w:left w:val="nil"/>
              <w:bottom w:val="single" w:sz="4" w:space="0" w:color="auto"/>
              <w:right w:val="single" w:sz="4" w:space="0" w:color="auto"/>
            </w:tcBorders>
            <w:shd w:val="clear" w:color="000000" w:fill="9999FF"/>
            <w:noWrap/>
            <w:vAlign w:val="bottom"/>
            <w:hideMark/>
          </w:tcPr>
          <w:p w14:paraId="6C1BAFC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7D32A51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114.100,00</w:t>
            </w:r>
          </w:p>
        </w:tc>
        <w:tc>
          <w:tcPr>
            <w:tcW w:w="1843" w:type="dxa"/>
            <w:tcBorders>
              <w:top w:val="nil"/>
              <w:left w:val="nil"/>
              <w:bottom w:val="single" w:sz="4" w:space="0" w:color="auto"/>
              <w:right w:val="single" w:sz="4" w:space="0" w:color="auto"/>
            </w:tcBorders>
            <w:shd w:val="clear" w:color="000000" w:fill="9999FF"/>
            <w:noWrap/>
            <w:vAlign w:val="bottom"/>
            <w:hideMark/>
          </w:tcPr>
          <w:p w14:paraId="1AF3D6F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37.000,00</w:t>
            </w:r>
          </w:p>
        </w:tc>
        <w:tc>
          <w:tcPr>
            <w:tcW w:w="1559" w:type="dxa"/>
            <w:tcBorders>
              <w:top w:val="nil"/>
              <w:left w:val="nil"/>
              <w:bottom w:val="single" w:sz="4" w:space="0" w:color="auto"/>
              <w:right w:val="single" w:sz="4" w:space="0" w:color="auto"/>
            </w:tcBorders>
            <w:shd w:val="clear" w:color="000000" w:fill="9999FF"/>
            <w:noWrap/>
            <w:vAlign w:val="bottom"/>
            <w:hideMark/>
          </w:tcPr>
          <w:p w14:paraId="178BA95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32,43</w:t>
            </w:r>
          </w:p>
        </w:tc>
        <w:tc>
          <w:tcPr>
            <w:tcW w:w="1803" w:type="dxa"/>
            <w:tcBorders>
              <w:top w:val="nil"/>
              <w:left w:val="nil"/>
              <w:bottom w:val="single" w:sz="4" w:space="0" w:color="auto"/>
              <w:right w:val="single" w:sz="4" w:space="0" w:color="auto"/>
            </w:tcBorders>
            <w:shd w:val="clear" w:color="000000" w:fill="9999FF"/>
            <w:noWrap/>
            <w:vAlign w:val="bottom"/>
            <w:hideMark/>
          </w:tcPr>
          <w:p w14:paraId="63EB302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151.100,00</w:t>
            </w:r>
          </w:p>
        </w:tc>
      </w:tr>
      <w:tr w:rsidR="00846ACC" w:rsidRPr="004974C0" w14:paraId="1ADC6A72"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07EA2F6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A600001 Priprema projekata iz EU fondova</w:t>
            </w:r>
          </w:p>
        </w:tc>
        <w:tc>
          <w:tcPr>
            <w:tcW w:w="1984" w:type="dxa"/>
            <w:tcBorders>
              <w:top w:val="nil"/>
              <w:left w:val="nil"/>
              <w:bottom w:val="single" w:sz="4" w:space="0" w:color="auto"/>
              <w:right w:val="single" w:sz="4" w:space="0" w:color="auto"/>
            </w:tcBorders>
            <w:shd w:val="clear" w:color="000000" w:fill="CCCCFF"/>
            <w:noWrap/>
            <w:vAlign w:val="bottom"/>
            <w:hideMark/>
          </w:tcPr>
          <w:p w14:paraId="3E29AF47"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036125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64.800,00</w:t>
            </w:r>
          </w:p>
        </w:tc>
        <w:tc>
          <w:tcPr>
            <w:tcW w:w="1843" w:type="dxa"/>
            <w:tcBorders>
              <w:top w:val="nil"/>
              <w:left w:val="nil"/>
              <w:bottom w:val="single" w:sz="4" w:space="0" w:color="auto"/>
              <w:right w:val="single" w:sz="4" w:space="0" w:color="auto"/>
            </w:tcBorders>
            <w:shd w:val="clear" w:color="000000" w:fill="CCCCFF"/>
            <w:noWrap/>
            <w:vAlign w:val="bottom"/>
            <w:hideMark/>
          </w:tcPr>
          <w:p w14:paraId="156B058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37.000,00</w:t>
            </w:r>
          </w:p>
        </w:tc>
        <w:tc>
          <w:tcPr>
            <w:tcW w:w="1559" w:type="dxa"/>
            <w:tcBorders>
              <w:top w:val="nil"/>
              <w:left w:val="nil"/>
              <w:bottom w:val="single" w:sz="4" w:space="0" w:color="auto"/>
              <w:right w:val="single" w:sz="4" w:space="0" w:color="auto"/>
            </w:tcBorders>
            <w:shd w:val="clear" w:color="000000" w:fill="CCCCFF"/>
            <w:noWrap/>
            <w:vAlign w:val="bottom"/>
            <w:hideMark/>
          </w:tcPr>
          <w:p w14:paraId="45C0B98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57,10</w:t>
            </w:r>
          </w:p>
        </w:tc>
        <w:tc>
          <w:tcPr>
            <w:tcW w:w="1803" w:type="dxa"/>
            <w:tcBorders>
              <w:top w:val="nil"/>
              <w:left w:val="nil"/>
              <w:bottom w:val="single" w:sz="4" w:space="0" w:color="auto"/>
              <w:right w:val="single" w:sz="4" w:space="0" w:color="auto"/>
            </w:tcBorders>
            <w:shd w:val="clear" w:color="000000" w:fill="CCCCFF"/>
            <w:noWrap/>
            <w:vAlign w:val="bottom"/>
            <w:hideMark/>
          </w:tcPr>
          <w:p w14:paraId="0D9B536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101.800,00</w:t>
            </w:r>
          </w:p>
        </w:tc>
      </w:tr>
      <w:tr w:rsidR="00846ACC" w:rsidRPr="004974C0" w14:paraId="5A9602D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14EC55D5"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49A58B9E"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EEA11E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64.800,00</w:t>
            </w:r>
          </w:p>
        </w:tc>
        <w:tc>
          <w:tcPr>
            <w:tcW w:w="1843" w:type="dxa"/>
            <w:tcBorders>
              <w:top w:val="nil"/>
              <w:left w:val="nil"/>
              <w:bottom w:val="single" w:sz="4" w:space="0" w:color="auto"/>
              <w:right w:val="single" w:sz="4" w:space="0" w:color="auto"/>
            </w:tcBorders>
            <w:shd w:val="clear" w:color="000000" w:fill="FFFF99"/>
            <w:noWrap/>
            <w:vAlign w:val="bottom"/>
            <w:hideMark/>
          </w:tcPr>
          <w:p w14:paraId="24BE8FA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37.000,00</w:t>
            </w:r>
          </w:p>
        </w:tc>
        <w:tc>
          <w:tcPr>
            <w:tcW w:w="1559" w:type="dxa"/>
            <w:tcBorders>
              <w:top w:val="nil"/>
              <w:left w:val="nil"/>
              <w:bottom w:val="single" w:sz="4" w:space="0" w:color="auto"/>
              <w:right w:val="single" w:sz="4" w:space="0" w:color="auto"/>
            </w:tcBorders>
            <w:shd w:val="clear" w:color="000000" w:fill="FFFF99"/>
            <w:noWrap/>
            <w:vAlign w:val="bottom"/>
            <w:hideMark/>
          </w:tcPr>
          <w:p w14:paraId="3D9A02D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57,10</w:t>
            </w:r>
          </w:p>
        </w:tc>
        <w:tc>
          <w:tcPr>
            <w:tcW w:w="1803" w:type="dxa"/>
            <w:tcBorders>
              <w:top w:val="nil"/>
              <w:left w:val="nil"/>
              <w:bottom w:val="single" w:sz="4" w:space="0" w:color="auto"/>
              <w:right w:val="single" w:sz="4" w:space="0" w:color="auto"/>
            </w:tcBorders>
            <w:shd w:val="clear" w:color="000000" w:fill="FFFF99"/>
            <w:noWrap/>
            <w:vAlign w:val="bottom"/>
            <w:hideMark/>
          </w:tcPr>
          <w:p w14:paraId="586CA22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101.800,00</w:t>
            </w:r>
          </w:p>
        </w:tc>
      </w:tr>
      <w:tr w:rsidR="00846ACC" w:rsidRPr="004974C0" w14:paraId="4886A31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7F7ED4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0D56FB0A"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5CE9693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64.800,00</w:t>
            </w:r>
          </w:p>
        </w:tc>
        <w:tc>
          <w:tcPr>
            <w:tcW w:w="1843" w:type="dxa"/>
            <w:tcBorders>
              <w:top w:val="nil"/>
              <w:left w:val="nil"/>
              <w:bottom w:val="single" w:sz="4" w:space="0" w:color="auto"/>
              <w:right w:val="single" w:sz="4" w:space="0" w:color="auto"/>
            </w:tcBorders>
            <w:shd w:val="clear" w:color="auto" w:fill="auto"/>
            <w:noWrap/>
            <w:vAlign w:val="bottom"/>
            <w:hideMark/>
          </w:tcPr>
          <w:p w14:paraId="0176B19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30.000,00</w:t>
            </w:r>
          </w:p>
        </w:tc>
        <w:tc>
          <w:tcPr>
            <w:tcW w:w="1559" w:type="dxa"/>
            <w:tcBorders>
              <w:top w:val="nil"/>
              <w:left w:val="nil"/>
              <w:bottom w:val="single" w:sz="4" w:space="0" w:color="auto"/>
              <w:right w:val="single" w:sz="4" w:space="0" w:color="auto"/>
            </w:tcBorders>
            <w:shd w:val="clear" w:color="auto" w:fill="auto"/>
            <w:noWrap/>
            <w:vAlign w:val="bottom"/>
            <w:hideMark/>
          </w:tcPr>
          <w:p w14:paraId="41868C7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46,30</w:t>
            </w:r>
          </w:p>
        </w:tc>
        <w:tc>
          <w:tcPr>
            <w:tcW w:w="1803" w:type="dxa"/>
            <w:tcBorders>
              <w:top w:val="nil"/>
              <w:left w:val="nil"/>
              <w:bottom w:val="single" w:sz="4" w:space="0" w:color="auto"/>
              <w:right w:val="single" w:sz="4" w:space="0" w:color="auto"/>
            </w:tcBorders>
            <w:shd w:val="clear" w:color="auto" w:fill="auto"/>
            <w:noWrap/>
            <w:vAlign w:val="bottom"/>
            <w:hideMark/>
          </w:tcPr>
          <w:p w14:paraId="61C7C96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94.800,00</w:t>
            </w:r>
          </w:p>
        </w:tc>
      </w:tr>
      <w:tr w:rsidR="00846ACC" w:rsidRPr="004974C0" w14:paraId="620C7324"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02AF940"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3BA8F4ED"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5BC8F87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64.800,00</w:t>
            </w:r>
          </w:p>
        </w:tc>
        <w:tc>
          <w:tcPr>
            <w:tcW w:w="1843" w:type="dxa"/>
            <w:tcBorders>
              <w:top w:val="nil"/>
              <w:left w:val="nil"/>
              <w:bottom w:val="single" w:sz="4" w:space="0" w:color="auto"/>
              <w:right w:val="single" w:sz="4" w:space="0" w:color="auto"/>
            </w:tcBorders>
            <w:shd w:val="clear" w:color="auto" w:fill="auto"/>
            <w:noWrap/>
            <w:vAlign w:val="bottom"/>
            <w:hideMark/>
          </w:tcPr>
          <w:p w14:paraId="47F1F62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30.000,00</w:t>
            </w:r>
          </w:p>
        </w:tc>
        <w:tc>
          <w:tcPr>
            <w:tcW w:w="1559" w:type="dxa"/>
            <w:tcBorders>
              <w:top w:val="nil"/>
              <w:left w:val="nil"/>
              <w:bottom w:val="single" w:sz="4" w:space="0" w:color="auto"/>
              <w:right w:val="single" w:sz="4" w:space="0" w:color="auto"/>
            </w:tcBorders>
            <w:shd w:val="clear" w:color="auto" w:fill="auto"/>
            <w:noWrap/>
            <w:vAlign w:val="bottom"/>
            <w:hideMark/>
          </w:tcPr>
          <w:p w14:paraId="287D241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46,30</w:t>
            </w:r>
          </w:p>
        </w:tc>
        <w:tc>
          <w:tcPr>
            <w:tcW w:w="1803" w:type="dxa"/>
            <w:tcBorders>
              <w:top w:val="nil"/>
              <w:left w:val="nil"/>
              <w:bottom w:val="single" w:sz="4" w:space="0" w:color="auto"/>
              <w:right w:val="single" w:sz="4" w:space="0" w:color="auto"/>
            </w:tcBorders>
            <w:shd w:val="clear" w:color="auto" w:fill="auto"/>
            <w:noWrap/>
            <w:vAlign w:val="bottom"/>
            <w:hideMark/>
          </w:tcPr>
          <w:p w14:paraId="63DE4BB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94.800,00</w:t>
            </w:r>
          </w:p>
        </w:tc>
      </w:tr>
      <w:tr w:rsidR="00846ACC" w:rsidRPr="004974C0" w14:paraId="62606510"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2AA11F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2180A539"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5F4F49C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FCE61D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7.000,00</w:t>
            </w:r>
          </w:p>
        </w:tc>
        <w:tc>
          <w:tcPr>
            <w:tcW w:w="1559" w:type="dxa"/>
            <w:tcBorders>
              <w:top w:val="nil"/>
              <w:left w:val="nil"/>
              <w:bottom w:val="single" w:sz="4" w:space="0" w:color="auto"/>
              <w:right w:val="single" w:sz="4" w:space="0" w:color="auto"/>
            </w:tcBorders>
            <w:shd w:val="clear" w:color="auto" w:fill="auto"/>
            <w:noWrap/>
            <w:vAlign w:val="bottom"/>
            <w:hideMark/>
          </w:tcPr>
          <w:p w14:paraId="2B8C22F7"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3A26178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7.000,00</w:t>
            </w:r>
          </w:p>
        </w:tc>
      </w:tr>
      <w:tr w:rsidR="00846ACC" w:rsidRPr="004974C0" w14:paraId="06B505FB"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711EF4E"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76164AAA"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503B58F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FD0C34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7.000,00</w:t>
            </w:r>
          </w:p>
        </w:tc>
        <w:tc>
          <w:tcPr>
            <w:tcW w:w="1559" w:type="dxa"/>
            <w:tcBorders>
              <w:top w:val="nil"/>
              <w:left w:val="nil"/>
              <w:bottom w:val="single" w:sz="4" w:space="0" w:color="auto"/>
              <w:right w:val="single" w:sz="4" w:space="0" w:color="auto"/>
            </w:tcBorders>
            <w:shd w:val="clear" w:color="auto" w:fill="auto"/>
            <w:noWrap/>
            <w:vAlign w:val="bottom"/>
            <w:hideMark/>
          </w:tcPr>
          <w:p w14:paraId="56E0B34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054A193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7.000,00</w:t>
            </w:r>
          </w:p>
        </w:tc>
      </w:tr>
      <w:tr w:rsidR="00846ACC" w:rsidRPr="004974C0" w14:paraId="63C3A438"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69B322DB"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Tekući projekt T600009 Projekt WI4EU</w:t>
            </w:r>
          </w:p>
        </w:tc>
        <w:tc>
          <w:tcPr>
            <w:tcW w:w="1984" w:type="dxa"/>
            <w:tcBorders>
              <w:top w:val="nil"/>
              <w:left w:val="nil"/>
              <w:bottom w:val="single" w:sz="4" w:space="0" w:color="auto"/>
              <w:right w:val="single" w:sz="4" w:space="0" w:color="auto"/>
            </w:tcBorders>
            <w:shd w:val="clear" w:color="000000" w:fill="CCCCFF"/>
            <w:noWrap/>
            <w:vAlign w:val="bottom"/>
            <w:hideMark/>
          </w:tcPr>
          <w:p w14:paraId="184D200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61D15DD0"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w:t>
            </w:r>
          </w:p>
        </w:tc>
        <w:tc>
          <w:tcPr>
            <w:tcW w:w="1843" w:type="dxa"/>
            <w:tcBorders>
              <w:top w:val="nil"/>
              <w:left w:val="nil"/>
              <w:bottom w:val="single" w:sz="4" w:space="0" w:color="auto"/>
              <w:right w:val="single" w:sz="4" w:space="0" w:color="auto"/>
            </w:tcBorders>
            <w:shd w:val="clear" w:color="000000" w:fill="CCCCFF"/>
            <w:noWrap/>
            <w:vAlign w:val="bottom"/>
            <w:hideMark/>
          </w:tcPr>
          <w:p w14:paraId="3808EF2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49CB3E9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152C68F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w:t>
            </w:r>
          </w:p>
        </w:tc>
      </w:tr>
      <w:tr w:rsidR="00846ACC" w:rsidRPr="004974C0" w14:paraId="4CFAA7D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637FE60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3CA8E47A"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651E3C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w:t>
            </w:r>
          </w:p>
        </w:tc>
        <w:tc>
          <w:tcPr>
            <w:tcW w:w="1843" w:type="dxa"/>
            <w:tcBorders>
              <w:top w:val="nil"/>
              <w:left w:val="nil"/>
              <w:bottom w:val="single" w:sz="4" w:space="0" w:color="auto"/>
              <w:right w:val="single" w:sz="4" w:space="0" w:color="auto"/>
            </w:tcBorders>
            <w:shd w:val="clear" w:color="000000" w:fill="FFFF99"/>
            <w:noWrap/>
            <w:vAlign w:val="bottom"/>
            <w:hideMark/>
          </w:tcPr>
          <w:p w14:paraId="7E9D143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6B1EC0D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15D950B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1.300,00</w:t>
            </w:r>
          </w:p>
        </w:tc>
      </w:tr>
      <w:tr w:rsidR="00846ACC" w:rsidRPr="004974C0" w14:paraId="2701F4BF"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705CCC1"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4</w:t>
            </w:r>
          </w:p>
        </w:tc>
        <w:tc>
          <w:tcPr>
            <w:tcW w:w="1984" w:type="dxa"/>
            <w:tcBorders>
              <w:top w:val="nil"/>
              <w:left w:val="nil"/>
              <w:bottom w:val="single" w:sz="4" w:space="0" w:color="auto"/>
              <w:right w:val="single" w:sz="4" w:space="0" w:color="auto"/>
            </w:tcBorders>
            <w:shd w:val="clear" w:color="auto" w:fill="auto"/>
            <w:noWrap/>
            <w:vAlign w:val="bottom"/>
            <w:hideMark/>
          </w:tcPr>
          <w:p w14:paraId="448CE64C"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za nabavu nefinancijske imovine</w:t>
            </w:r>
          </w:p>
        </w:tc>
        <w:tc>
          <w:tcPr>
            <w:tcW w:w="1843" w:type="dxa"/>
            <w:tcBorders>
              <w:top w:val="nil"/>
              <w:left w:val="nil"/>
              <w:bottom w:val="single" w:sz="4" w:space="0" w:color="auto"/>
              <w:right w:val="single" w:sz="4" w:space="0" w:color="auto"/>
            </w:tcBorders>
            <w:shd w:val="clear" w:color="auto" w:fill="auto"/>
            <w:noWrap/>
            <w:vAlign w:val="bottom"/>
            <w:hideMark/>
          </w:tcPr>
          <w:p w14:paraId="6C6BD7C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1.300,00</w:t>
            </w:r>
          </w:p>
        </w:tc>
        <w:tc>
          <w:tcPr>
            <w:tcW w:w="1843" w:type="dxa"/>
            <w:tcBorders>
              <w:top w:val="nil"/>
              <w:left w:val="nil"/>
              <w:bottom w:val="single" w:sz="4" w:space="0" w:color="auto"/>
              <w:right w:val="single" w:sz="4" w:space="0" w:color="auto"/>
            </w:tcBorders>
            <w:shd w:val="clear" w:color="auto" w:fill="auto"/>
            <w:noWrap/>
            <w:vAlign w:val="bottom"/>
            <w:hideMark/>
          </w:tcPr>
          <w:p w14:paraId="0043171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28DA7134"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F359E2C"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1.300,00</w:t>
            </w:r>
          </w:p>
        </w:tc>
      </w:tr>
      <w:tr w:rsidR="00846ACC" w:rsidRPr="004974C0" w14:paraId="00D3BB09"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1171968" w14:textId="77777777" w:rsidR="004974C0" w:rsidRPr="004974C0" w:rsidRDefault="004974C0" w:rsidP="004974C0">
            <w:pPr>
              <w:rPr>
                <w:rFonts w:ascii="Arial" w:hAnsi="Arial" w:cs="Arial"/>
                <w:sz w:val="20"/>
                <w:szCs w:val="20"/>
              </w:rPr>
            </w:pPr>
            <w:r w:rsidRPr="004974C0">
              <w:rPr>
                <w:rFonts w:ascii="Arial" w:hAnsi="Arial" w:cs="Arial"/>
                <w:sz w:val="20"/>
                <w:szCs w:val="20"/>
              </w:rPr>
              <w:t>42</w:t>
            </w:r>
          </w:p>
        </w:tc>
        <w:tc>
          <w:tcPr>
            <w:tcW w:w="1984" w:type="dxa"/>
            <w:tcBorders>
              <w:top w:val="nil"/>
              <w:left w:val="nil"/>
              <w:bottom w:val="single" w:sz="4" w:space="0" w:color="auto"/>
              <w:right w:val="single" w:sz="4" w:space="0" w:color="auto"/>
            </w:tcBorders>
            <w:shd w:val="clear" w:color="auto" w:fill="auto"/>
            <w:noWrap/>
            <w:vAlign w:val="bottom"/>
            <w:hideMark/>
          </w:tcPr>
          <w:p w14:paraId="3E367257"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nabavu proizvedene dugotrajne imovine</w:t>
            </w:r>
          </w:p>
        </w:tc>
        <w:tc>
          <w:tcPr>
            <w:tcW w:w="1843" w:type="dxa"/>
            <w:tcBorders>
              <w:top w:val="nil"/>
              <w:left w:val="nil"/>
              <w:bottom w:val="single" w:sz="4" w:space="0" w:color="auto"/>
              <w:right w:val="single" w:sz="4" w:space="0" w:color="auto"/>
            </w:tcBorders>
            <w:shd w:val="clear" w:color="auto" w:fill="auto"/>
            <w:noWrap/>
            <w:vAlign w:val="bottom"/>
            <w:hideMark/>
          </w:tcPr>
          <w:p w14:paraId="49CD38FD"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1.300,00</w:t>
            </w:r>
          </w:p>
        </w:tc>
        <w:tc>
          <w:tcPr>
            <w:tcW w:w="1843" w:type="dxa"/>
            <w:tcBorders>
              <w:top w:val="nil"/>
              <w:left w:val="nil"/>
              <w:bottom w:val="single" w:sz="4" w:space="0" w:color="auto"/>
              <w:right w:val="single" w:sz="4" w:space="0" w:color="auto"/>
            </w:tcBorders>
            <w:shd w:val="clear" w:color="auto" w:fill="auto"/>
            <w:noWrap/>
            <w:vAlign w:val="bottom"/>
            <w:hideMark/>
          </w:tcPr>
          <w:p w14:paraId="6110236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32A993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445477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1.300,00</w:t>
            </w:r>
          </w:p>
        </w:tc>
      </w:tr>
      <w:tr w:rsidR="00846ACC" w:rsidRPr="004974C0" w14:paraId="039D171B"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55BB061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Tekući projekt T600014 PROJEKT Road2Resilience</w:t>
            </w:r>
          </w:p>
        </w:tc>
        <w:tc>
          <w:tcPr>
            <w:tcW w:w="1984" w:type="dxa"/>
            <w:tcBorders>
              <w:top w:val="nil"/>
              <w:left w:val="nil"/>
              <w:bottom w:val="single" w:sz="4" w:space="0" w:color="auto"/>
              <w:right w:val="single" w:sz="4" w:space="0" w:color="auto"/>
            </w:tcBorders>
            <w:shd w:val="clear" w:color="000000" w:fill="CCCCFF"/>
            <w:noWrap/>
            <w:vAlign w:val="bottom"/>
            <w:hideMark/>
          </w:tcPr>
          <w:p w14:paraId="02E54E38"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31F6593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48.000,00</w:t>
            </w:r>
          </w:p>
        </w:tc>
        <w:tc>
          <w:tcPr>
            <w:tcW w:w="1843" w:type="dxa"/>
            <w:tcBorders>
              <w:top w:val="nil"/>
              <w:left w:val="nil"/>
              <w:bottom w:val="single" w:sz="4" w:space="0" w:color="auto"/>
              <w:right w:val="single" w:sz="4" w:space="0" w:color="auto"/>
            </w:tcBorders>
            <w:shd w:val="clear" w:color="000000" w:fill="CCCCFF"/>
            <w:noWrap/>
            <w:vAlign w:val="bottom"/>
            <w:hideMark/>
          </w:tcPr>
          <w:p w14:paraId="52C9668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CCCCFF"/>
            <w:noWrap/>
            <w:vAlign w:val="bottom"/>
            <w:hideMark/>
          </w:tcPr>
          <w:p w14:paraId="136F27D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CCCCFF"/>
            <w:noWrap/>
            <w:vAlign w:val="bottom"/>
            <w:hideMark/>
          </w:tcPr>
          <w:p w14:paraId="2A57C13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48.000,00</w:t>
            </w:r>
          </w:p>
        </w:tc>
      </w:tr>
      <w:tr w:rsidR="00846ACC" w:rsidRPr="004974C0" w14:paraId="61F94467"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3C8C276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5.0. POMOĆI IZ FONDOVA EU</w:t>
            </w:r>
          </w:p>
        </w:tc>
        <w:tc>
          <w:tcPr>
            <w:tcW w:w="1984" w:type="dxa"/>
            <w:tcBorders>
              <w:top w:val="nil"/>
              <w:left w:val="nil"/>
              <w:bottom w:val="single" w:sz="4" w:space="0" w:color="auto"/>
              <w:right w:val="single" w:sz="4" w:space="0" w:color="auto"/>
            </w:tcBorders>
            <w:shd w:val="clear" w:color="000000" w:fill="FFFF99"/>
            <w:noWrap/>
            <w:vAlign w:val="bottom"/>
            <w:hideMark/>
          </w:tcPr>
          <w:p w14:paraId="67D03D8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3AD6780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48.000,00</w:t>
            </w:r>
          </w:p>
        </w:tc>
        <w:tc>
          <w:tcPr>
            <w:tcW w:w="1843" w:type="dxa"/>
            <w:tcBorders>
              <w:top w:val="nil"/>
              <w:left w:val="nil"/>
              <w:bottom w:val="single" w:sz="4" w:space="0" w:color="auto"/>
              <w:right w:val="single" w:sz="4" w:space="0" w:color="auto"/>
            </w:tcBorders>
            <w:shd w:val="clear" w:color="000000" w:fill="FFFF99"/>
            <w:noWrap/>
            <w:vAlign w:val="bottom"/>
            <w:hideMark/>
          </w:tcPr>
          <w:p w14:paraId="50C89A8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559" w:type="dxa"/>
            <w:tcBorders>
              <w:top w:val="nil"/>
              <w:left w:val="nil"/>
              <w:bottom w:val="single" w:sz="4" w:space="0" w:color="auto"/>
              <w:right w:val="single" w:sz="4" w:space="0" w:color="auto"/>
            </w:tcBorders>
            <w:shd w:val="clear" w:color="000000" w:fill="FFFF99"/>
            <w:noWrap/>
            <w:vAlign w:val="bottom"/>
            <w:hideMark/>
          </w:tcPr>
          <w:p w14:paraId="3ADC5CD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0,00</w:t>
            </w:r>
          </w:p>
        </w:tc>
        <w:tc>
          <w:tcPr>
            <w:tcW w:w="1803" w:type="dxa"/>
            <w:tcBorders>
              <w:top w:val="nil"/>
              <w:left w:val="nil"/>
              <w:bottom w:val="single" w:sz="4" w:space="0" w:color="auto"/>
              <w:right w:val="single" w:sz="4" w:space="0" w:color="auto"/>
            </w:tcBorders>
            <w:shd w:val="clear" w:color="000000" w:fill="FFFF99"/>
            <w:noWrap/>
            <w:vAlign w:val="bottom"/>
            <w:hideMark/>
          </w:tcPr>
          <w:p w14:paraId="32E3A33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48.000,00</w:t>
            </w:r>
          </w:p>
        </w:tc>
      </w:tr>
      <w:tr w:rsidR="00846ACC" w:rsidRPr="004974C0" w14:paraId="1C338E53"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2C211F0"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5A36FAF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A464985"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48.000,00</w:t>
            </w:r>
          </w:p>
        </w:tc>
        <w:tc>
          <w:tcPr>
            <w:tcW w:w="1843" w:type="dxa"/>
            <w:tcBorders>
              <w:top w:val="nil"/>
              <w:left w:val="nil"/>
              <w:bottom w:val="single" w:sz="4" w:space="0" w:color="auto"/>
              <w:right w:val="single" w:sz="4" w:space="0" w:color="auto"/>
            </w:tcBorders>
            <w:shd w:val="clear" w:color="auto" w:fill="auto"/>
            <w:noWrap/>
            <w:vAlign w:val="bottom"/>
            <w:hideMark/>
          </w:tcPr>
          <w:p w14:paraId="457F35DA"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3C41D16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440C0549"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48.000,00</w:t>
            </w:r>
          </w:p>
        </w:tc>
      </w:tr>
      <w:tr w:rsidR="00846ACC" w:rsidRPr="004974C0" w14:paraId="7511B65A"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0E7C09A" w14:textId="77777777" w:rsidR="004974C0" w:rsidRPr="004974C0" w:rsidRDefault="004974C0" w:rsidP="004974C0">
            <w:pPr>
              <w:rPr>
                <w:rFonts w:ascii="Arial" w:hAnsi="Arial" w:cs="Arial"/>
                <w:sz w:val="20"/>
                <w:szCs w:val="20"/>
              </w:rPr>
            </w:pPr>
            <w:r w:rsidRPr="004974C0">
              <w:rPr>
                <w:rFonts w:ascii="Arial" w:hAnsi="Arial" w:cs="Arial"/>
                <w:sz w:val="20"/>
                <w:szCs w:val="20"/>
              </w:rPr>
              <w:lastRenderedPageBreak/>
              <w:t>31</w:t>
            </w:r>
          </w:p>
        </w:tc>
        <w:tc>
          <w:tcPr>
            <w:tcW w:w="1984" w:type="dxa"/>
            <w:tcBorders>
              <w:top w:val="nil"/>
              <w:left w:val="nil"/>
              <w:bottom w:val="single" w:sz="4" w:space="0" w:color="auto"/>
              <w:right w:val="single" w:sz="4" w:space="0" w:color="auto"/>
            </w:tcBorders>
            <w:shd w:val="clear" w:color="auto" w:fill="auto"/>
            <w:noWrap/>
            <w:vAlign w:val="bottom"/>
            <w:hideMark/>
          </w:tcPr>
          <w:p w14:paraId="55D47B22" w14:textId="77777777" w:rsidR="004974C0" w:rsidRPr="004974C0" w:rsidRDefault="004974C0" w:rsidP="004974C0">
            <w:pPr>
              <w:rPr>
                <w:rFonts w:ascii="Arial" w:hAnsi="Arial" w:cs="Arial"/>
                <w:sz w:val="20"/>
                <w:szCs w:val="20"/>
              </w:rPr>
            </w:pPr>
            <w:r w:rsidRPr="004974C0">
              <w:rPr>
                <w:rFonts w:ascii="Arial" w:hAnsi="Arial" w:cs="Arial"/>
                <w:sz w:val="20"/>
                <w:szCs w:val="20"/>
              </w:rPr>
              <w:t>Rashodi za zaposlene</w:t>
            </w:r>
          </w:p>
        </w:tc>
        <w:tc>
          <w:tcPr>
            <w:tcW w:w="1843" w:type="dxa"/>
            <w:tcBorders>
              <w:top w:val="nil"/>
              <w:left w:val="nil"/>
              <w:bottom w:val="single" w:sz="4" w:space="0" w:color="auto"/>
              <w:right w:val="single" w:sz="4" w:space="0" w:color="auto"/>
            </w:tcBorders>
            <w:shd w:val="clear" w:color="auto" w:fill="auto"/>
            <w:noWrap/>
            <w:vAlign w:val="bottom"/>
            <w:hideMark/>
          </w:tcPr>
          <w:p w14:paraId="5384A11E"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22.200,00</w:t>
            </w:r>
          </w:p>
        </w:tc>
        <w:tc>
          <w:tcPr>
            <w:tcW w:w="1843" w:type="dxa"/>
            <w:tcBorders>
              <w:top w:val="nil"/>
              <w:left w:val="nil"/>
              <w:bottom w:val="single" w:sz="4" w:space="0" w:color="auto"/>
              <w:right w:val="single" w:sz="4" w:space="0" w:color="auto"/>
            </w:tcBorders>
            <w:shd w:val="clear" w:color="auto" w:fill="auto"/>
            <w:noWrap/>
            <w:vAlign w:val="bottom"/>
            <w:hideMark/>
          </w:tcPr>
          <w:p w14:paraId="2225D21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1FF8ABA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21DEA2A1"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22.200,00</w:t>
            </w:r>
          </w:p>
        </w:tc>
      </w:tr>
      <w:tr w:rsidR="00846ACC" w:rsidRPr="004974C0" w14:paraId="5B3AD8D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38D9FEB"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B3CD2B7"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576C6FE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25.800,00</w:t>
            </w:r>
          </w:p>
        </w:tc>
        <w:tc>
          <w:tcPr>
            <w:tcW w:w="1843" w:type="dxa"/>
            <w:tcBorders>
              <w:top w:val="nil"/>
              <w:left w:val="nil"/>
              <w:bottom w:val="single" w:sz="4" w:space="0" w:color="auto"/>
              <w:right w:val="single" w:sz="4" w:space="0" w:color="auto"/>
            </w:tcBorders>
            <w:shd w:val="clear" w:color="auto" w:fill="auto"/>
            <w:noWrap/>
            <w:vAlign w:val="bottom"/>
            <w:hideMark/>
          </w:tcPr>
          <w:p w14:paraId="760CC375"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2B34C9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138E7568"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25.800,00</w:t>
            </w:r>
          </w:p>
        </w:tc>
      </w:tr>
      <w:tr w:rsidR="00846ACC" w:rsidRPr="004974C0" w14:paraId="5A1DDAD3"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7B9E9E6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6003 Poticanje korištenja obnovljivih izvora energije</w:t>
            </w:r>
          </w:p>
        </w:tc>
        <w:tc>
          <w:tcPr>
            <w:tcW w:w="1984" w:type="dxa"/>
            <w:tcBorders>
              <w:top w:val="nil"/>
              <w:left w:val="nil"/>
              <w:bottom w:val="single" w:sz="4" w:space="0" w:color="auto"/>
              <w:right w:val="single" w:sz="4" w:space="0" w:color="auto"/>
            </w:tcBorders>
            <w:shd w:val="clear" w:color="000000" w:fill="9999FF"/>
            <w:noWrap/>
            <w:vAlign w:val="bottom"/>
            <w:hideMark/>
          </w:tcPr>
          <w:p w14:paraId="0F30BD60"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5BDDD66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29.000,00</w:t>
            </w:r>
          </w:p>
        </w:tc>
        <w:tc>
          <w:tcPr>
            <w:tcW w:w="1843" w:type="dxa"/>
            <w:tcBorders>
              <w:top w:val="nil"/>
              <w:left w:val="nil"/>
              <w:bottom w:val="single" w:sz="4" w:space="0" w:color="auto"/>
              <w:right w:val="single" w:sz="4" w:space="0" w:color="auto"/>
            </w:tcBorders>
            <w:shd w:val="clear" w:color="000000" w:fill="9999FF"/>
            <w:noWrap/>
            <w:vAlign w:val="bottom"/>
            <w:hideMark/>
          </w:tcPr>
          <w:p w14:paraId="68780988"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559" w:type="dxa"/>
            <w:tcBorders>
              <w:top w:val="nil"/>
              <w:left w:val="nil"/>
              <w:bottom w:val="single" w:sz="4" w:space="0" w:color="auto"/>
              <w:right w:val="single" w:sz="4" w:space="0" w:color="auto"/>
            </w:tcBorders>
            <w:shd w:val="clear" w:color="000000" w:fill="9999FF"/>
            <w:noWrap/>
            <w:vAlign w:val="bottom"/>
            <w:hideMark/>
          </w:tcPr>
          <w:p w14:paraId="6012A2DC"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-6,90</w:t>
            </w:r>
          </w:p>
        </w:tc>
        <w:tc>
          <w:tcPr>
            <w:tcW w:w="1803" w:type="dxa"/>
            <w:tcBorders>
              <w:top w:val="nil"/>
              <w:left w:val="nil"/>
              <w:bottom w:val="single" w:sz="4" w:space="0" w:color="auto"/>
              <w:right w:val="single" w:sz="4" w:space="0" w:color="auto"/>
            </w:tcBorders>
            <w:shd w:val="clear" w:color="000000" w:fill="9999FF"/>
            <w:noWrap/>
            <w:vAlign w:val="bottom"/>
            <w:hideMark/>
          </w:tcPr>
          <w:p w14:paraId="45FEC6CF"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27.000,00</w:t>
            </w:r>
          </w:p>
        </w:tc>
      </w:tr>
      <w:tr w:rsidR="00846ACC" w:rsidRPr="004974C0" w14:paraId="02EC5F1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4660B28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Aktivnost A600001 Poticaj za korištenje obnovljivih izvora energije</w:t>
            </w:r>
          </w:p>
        </w:tc>
        <w:tc>
          <w:tcPr>
            <w:tcW w:w="1984" w:type="dxa"/>
            <w:tcBorders>
              <w:top w:val="nil"/>
              <w:left w:val="nil"/>
              <w:bottom w:val="single" w:sz="4" w:space="0" w:color="auto"/>
              <w:right w:val="single" w:sz="4" w:space="0" w:color="auto"/>
            </w:tcBorders>
            <w:shd w:val="clear" w:color="000000" w:fill="CCCCFF"/>
            <w:noWrap/>
            <w:vAlign w:val="bottom"/>
            <w:hideMark/>
          </w:tcPr>
          <w:p w14:paraId="06AD079C"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3709B21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29.000,00</w:t>
            </w:r>
          </w:p>
        </w:tc>
        <w:tc>
          <w:tcPr>
            <w:tcW w:w="1843" w:type="dxa"/>
            <w:tcBorders>
              <w:top w:val="nil"/>
              <w:left w:val="nil"/>
              <w:bottom w:val="single" w:sz="4" w:space="0" w:color="auto"/>
              <w:right w:val="single" w:sz="4" w:space="0" w:color="auto"/>
            </w:tcBorders>
            <w:shd w:val="clear" w:color="000000" w:fill="CCCCFF"/>
            <w:noWrap/>
            <w:vAlign w:val="bottom"/>
            <w:hideMark/>
          </w:tcPr>
          <w:p w14:paraId="0A0285C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559" w:type="dxa"/>
            <w:tcBorders>
              <w:top w:val="nil"/>
              <w:left w:val="nil"/>
              <w:bottom w:val="single" w:sz="4" w:space="0" w:color="auto"/>
              <w:right w:val="single" w:sz="4" w:space="0" w:color="auto"/>
            </w:tcBorders>
            <w:shd w:val="clear" w:color="000000" w:fill="CCCCFF"/>
            <w:noWrap/>
            <w:vAlign w:val="bottom"/>
            <w:hideMark/>
          </w:tcPr>
          <w:p w14:paraId="1DD2360D"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-6,90</w:t>
            </w:r>
          </w:p>
        </w:tc>
        <w:tc>
          <w:tcPr>
            <w:tcW w:w="1803" w:type="dxa"/>
            <w:tcBorders>
              <w:top w:val="nil"/>
              <w:left w:val="nil"/>
              <w:bottom w:val="single" w:sz="4" w:space="0" w:color="auto"/>
              <w:right w:val="single" w:sz="4" w:space="0" w:color="auto"/>
            </w:tcBorders>
            <w:shd w:val="clear" w:color="000000" w:fill="CCCCFF"/>
            <w:noWrap/>
            <w:vAlign w:val="bottom"/>
            <w:hideMark/>
          </w:tcPr>
          <w:p w14:paraId="24704AA5"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27.000,00</w:t>
            </w:r>
          </w:p>
        </w:tc>
      </w:tr>
      <w:tr w:rsidR="00846ACC" w:rsidRPr="004974C0" w14:paraId="1703296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41085284"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1.1. OPĆI PRIHODI I PRIMICI</w:t>
            </w:r>
          </w:p>
        </w:tc>
        <w:tc>
          <w:tcPr>
            <w:tcW w:w="1984" w:type="dxa"/>
            <w:tcBorders>
              <w:top w:val="nil"/>
              <w:left w:val="nil"/>
              <w:bottom w:val="single" w:sz="4" w:space="0" w:color="auto"/>
              <w:right w:val="single" w:sz="4" w:space="0" w:color="auto"/>
            </w:tcBorders>
            <w:shd w:val="clear" w:color="000000" w:fill="FFFF99"/>
            <w:noWrap/>
            <w:vAlign w:val="bottom"/>
            <w:hideMark/>
          </w:tcPr>
          <w:p w14:paraId="77525A09"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2D54F213"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29.000,00</w:t>
            </w:r>
          </w:p>
        </w:tc>
        <w:tc>
          <w:tcPr>
            <w:tcW w:w="1843" w:type="dxa"/>
            <w:tcBorders>
              <w:top w:val="nil"/>
              <w:left w:val="nil"/>
              <w:bottom w:val="single" w:sz="4" w:space="0" w:color="auto"/>
              <w:right w:val="single" w:sz="4" w:space="0" w:color="auto"/>
            </w:tcBorders>
            <w:shd w:val="clear" w:color="000000" w:fill="FFFF99"/>
            <w:noWrap/>
            <w:vAlign w:val="bottom"/>
            <w:hideMark/>
          </w:tcPr>
          <w:p w14:paraId="2ED77E7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-2.000,00</w:t>
            </w:r>
          </w:p>
        </w:tc>
        <w:tc>
          <w:tcPr>
            <w:tcW w:w="1559" w:type="dxa"/>
            <w:tcBorders>
              <w:top w:val="nil"/>
              <w:left w:val="nil"/>
              <w:bottom w:val="single" w:sz="4" w:space="0" w:color="auto"/>
              <w:right w:val="single" w:sz="4" w:space="0" w:color="auto"/>
            </w:tcBorders>
            <w:shd w:val="clear" w:color="000000" w:fill="FFFF99"/>
            <w:noWrap/>
            <w:vAlign w:val="bottom"/>
            <w:hideMark/>
          </w:tcPr>
          <w:p w14:paraId="1C1BAAF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-6,90</w:t>
            </w:r>
          </w:p>
        </w:tc>
        <w:tc>
          <w:tcPr>
            <w:tcW w:w="1803" w:type="dxa"/>
            <w:tcBorders>
              <w:top w:val="nil"/>
              <w:left w:val="nil"/>
              <w:bottom w:val="single" w:sz="4" w:space="0" w:color="auto"/>
              <w:right w:val="single" w:sz="4" w:space="0" w:color="auto"/>
            </w:tcBorders>
            <w:shd w:val="clear" w:color="000000" w:fill="FFFF99"/>
            <w:noWrap/>
            <w:vAlign w:val="bottom"/>
            <w:hideMark/>
          </w:tcPr>
          <w:p w14:paraId="6C79C839"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27.000,00</w:t>
            </w:r>
          </w:p>
        </w:tc>
      </w:tr>
      <w:tr w:rsidR="00846ACC" w:rsidRPr="004974C0" w14:paraId="4FE42706"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F57D6BD"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17D602B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0832788E"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29.000,00</w:t>
            </w:r>
          </w:p>
        </w:tc>
        <w:tc>
          <w:tcPr>
            <w:tcW w:w="1843" w:type="dxa"/>
            <w:tcBorders>
              <w:top w:val="nil"/>
              <w:left w:val="nil"/>
              <w:bottom w:val="single" w:sz="4" w:space="0" w:color="auto"/>
              <w:right w:val="single" w:sz="4" w:space="0" w:color="auto"/>
            </w:tcBorders>
            <w:shd w:val="clear" w:color="auto" w:fill="auto"/>
            <w:noWrap/>
            <w:vAlign w:val="bottom"/>
            <w:hideMark/>
          </w:tcPr>
          <w:p w14:paraId="134785CD"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-2.000,00</w:t>
            </w:r>
          </w:p>
        </w:tc>
        <w:tc>
          <w:tcPr>
            <w:tcW w:w="1559" w:type="dxa"/>
            <w:tcBorders>
              <w:top w:val="nil"/>
              <w:left w:val="nil"/>
              <w:bottom w:val="single" w:sz="4" w:space="0" w:color="auto"/>
              <w:right w:val="single" w:sz="4" w:space="0" w:color="auto"/>
            </w:tcBorders>
            <w:shd w:val="clear" w:color="auto" w:fill="auto"/>
            <w:noWrap/>
            <w:vAlign w:val="bottom"/>
            <w:hideMark/>
          </w:tcPr>
          <w:p w14:paraId="39E4D56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-6,90</w:t>
            </w:r>
          </w:p>
        </w:tc>
        <w:tc>
          <w:tcPr>
            <w:tcW w:w="1803" w:type="dxa"/>
            <w:tcBorders>
              <w:top w:val="nil"/>
              <w:left w:val="nil"/>
              <w:bottom w:val="single" w:sz="4" w:space="0" w:color="auto"/>
              <w:right w:val="single" w:sz="4" w:space="0" w:color="auto"/>
            </w:tcBorders>
            <w:shd w:val="clear" w:color="auto" w:fill="auto"/>
            <w:noWrap/>
            <w:vAlign w:val="bottom"/>
            <w:hideMark/>
          </w:tcPr>
          <w:p w14:paraId="1ADA9DCB"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27.000,00</w:t>
            </w:r>
          </w:p>
        </w:tc>
      </w:tr>
      <w:tr w:rsidR="00846ACC" w:rsidRPr="004974C0" w14:paraId="633719A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EB9E672"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3CCA9861"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4344898B"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c>
          <w:tcPr>
            <w:tcW w:w="1843" w:type="dxa"/>
            <w:tcBorders>
              <w:top w:val="nil"/>
              <w:left w:val="nil"/>
              <w:bottom w:val="single" w:sz="4" w:space="0" w:color="auto"/>
              <w:right w:val="single" w:sz="4" w:space="0" w:color="auto"/>
            </w:tcBorders>
            <w:shd w:val="clear" w:color="auto" w:fill="auto"/>
            <w:noWrap/>
            <w:vAlign w:val="bottom"/>
            <w:hideMark/>
          </w:tcPr>
          <w:p w14:paraId="375D7E3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-2.000,00</w:t>
            </w:r>
          </w:p>
        </w:tc>
        <w:tc>
          <w:tcPr>
            <w:tcW w:w="1559" w:type="dxa"/>
            <w:tcBorders>
              <w:top w:val="nil"/>
              <w:left w:val="nil"/>
              <w:bottom w:val="single" w:sz="4" w:space="0" w:color="auto"/>
              <w:right w:val="single" w:sz="4" w:space="0" w:color="auto"/>
            </w:tcBorders>
            <w:shd w:val="clear" w:color="auto" w:fill="auto"/>
            <w:noWrap/>
            <w:vAlign w:val="bottom"/>
            <w:hideMark/>
          </w:tcPr>
          <w:p w14:paraId="18BF492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-100,00</w:t>
            </w:r>
          </w:p>
        </w:tc>
        <w:tc>
          <w:tcPr>
            <w:tcW w:w="1803" w:type="dxa"/>
            <w:tcBorders>
              <w:top w:val="nil"/>
              <w:left w:val="nil"/>
              <w:bottom w:val="single" w:sz="4" w:space="0" w:color="auto"/>
              <w:right w:val="single" w:sz="4" w:space="0" w:color="auto"/>
            </w:tcBorders>
            <w:shd w:val="clear" w:color="auto" w:fill="auto"/>
            <w:noWrap/>
            <w:vAlign w:val="bottom"/>
            <w:hideMark/>
          </w:tcPr>
          <w:p w14:paraId="7D66938A"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r>
      <w:tr w:rsidR="00846ACC" w:rsidRPr="004974C0" w14:paraId="6DF8B56E"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3E10E7D" w14:textId="77777777" w:rsidR="004974C0" w:rsidRPr="004974C0" w:rsidRDefault="004974C0" w:rsidP="004974C0">
            <w:pPr>
              <w:rPr>
                <w:rFonts w:ascii="Arial" w:hAnsi="Arial" w:cs="Arial"/>
                <w:sz w:val="20"/>
                <w:szCs w:val="20"/>
              </w:rPr>
            </w:pPr>
            <w:r w:rsidRPr="004974C0">
              <w:rPr>
                <w:rFonts w:ascii="Arial" w:hAnsi="Arial" w:cs="Arial"/>
                <w:sz w:val="20"/>
                <w:szCs w:val="20"/>
              </w:rPr>
              <w:t>37</w:t>
            </w:r>
          </w:p>
        </w:tc>
        <w:tc>
          <w:tcPr>
            <w:tcW w:w="1984" w:type="dxa"/>
            <w:tcBorders>
              <w:top w:val="nil"/>
              <w:left w:val="nil"/>
              <w:bottom w:val="single" w:sz="4" w:space="0" w:color="auto"/>
              <w:right w:val="single" w:sz="4" w:space="0" w:color="auto"/>
            </w:tcBorders>
            <w:shd w:val="clear" w:color="auto" w:fill="auto"/>
            <w:noWrap/>
            <w:vAlign w:val="bottom"/>
            <w:hideMark/>
          </w:tcPr>
          <w:p w14:paraId="7BF5A8EC" w14:textId="77777777" w:rsidR="004974C0" w:rsidRPr="004974C0" w:rsidRDefault="004974C0" w:rsidP="004974C0">
            <w:pPr>
              <w:rPr>
                <w:rFonts w:ascii="Arial" w:hAnsi="Arial" w:cs="Arial"/>
                <w:sz w:val="20"/>
                <w:szCs w:val="20"/>
              </w:rPr>
            </w:pPr>
            <w:r w:rsidRPr="004974C0">
              <w:rPr>
                <w:rFonts w:ascii="Arial" w:hAnsi="Arial" w:cs="Arial"/>
                <w:sz w:val="20"/>
                <w:szCs w:val="20"/>
              </w:rPr>
              <w:t>Naknade građanima i kućanstvima na temelju osiguranja i druge naknade</w:t>
            </w:r>
          </w:p>
        </w:tc>
        <w:tc>
          <w:tcPr>
            <w:tcW w:w="1843" w:type="dxa"/>
            <w:tcBorders>
              <w:top w:val="nil"/>
              <w:left w:val="nil"/>
              <w:bottom w:val="single" w:sz="4" w:space="0" w:color="auto"/>
              <w:right w:val="single" w:sz="4" w:space="0" w:color="auto"/>
            </w:tcBorders>
            <w:shd w:val="clear" w:color="auto" w:fill="auto"/>
            <w:noWrap/>
            <w:vAlign w:val="bottom"/>
            <w:hideMark/>
          </w:tcPr>
          <w:p w14:paraId="1A5E6BE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27.000,00</w:t>
            </w:r>
          </w:p>
        </w:tc>
        <w:tc>
          <w:tcPr>
            <w:tcW w:w="1843" w:type="dxa"/>
            <w:tcBorders>
              <w:top w:val="nil"/>
              <w:left w:val="nil"/>
              <w:bottom w:val="single" w:sz="4" w:space="0" w:color="auto"/>
              <w:right w:val="single" w:sz="4" w:space="0" w:color="auto"/>
            </w:tcBorders>
            <w:shd w:val="clear" w:color="auto" w:fill="auto"/>
            <w:noWrap/>
            <w:vAlign w:val="bottom"/>
            <w:hideMark/>
          </w:tcPr>
          <w:p w14:paraId="335F6F97"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F48BD6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0,00</w:t>
            </w:r>
          </w:p>
        </w:tc>
        <w:tc>
          <w:tcPr>
            <w:tcW w:w="1803" w:type="dxa"/>
            <w:tcBorders>
              <w:top w:val="nil"/>
              <w:left w:val="nil"/>
              <w:bottom w:val="single" w:sz="4" w:space="0" w:color="auto"/>
              <w:right w:val="single" w:sz="4" w:space="0" w:color="auto"/>
            </w:tcBorders>
            <w:shd w:val="clear" w:color="auto" w:fill="auto"/>
            <w:noWrap/>
            <w:vAlign w:val="bottom"/>
            <w:hideMark/>
          </w:tcPr>
          <w:p w14:paraId="54983366"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27.000,00</w:t>
            </w:r>
          </w:p>
        </w:tc>
      </w:tr>
      <w:tr w:rsidR="00846ACC" w:rsidRPr="004974C0" w14:paraId="6B0BE1D4"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9999FF"/>
            <w:noWrap/>
            <w:vAlign w:val="bottom"/>
            <w:hideMark/>
          </w:tcPr>
          <w:p w14:paraId="795533F2"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Program 6004 Upravljanje projektima financiranim iz nacionalnih sredstava</w:t>
            </w:r>
          </w:p>
        </w:tc>
        <w:tc>
          <w:tcPr>
            <w:tcW w:w="1984" w:type="dxa"/>
            <w:tcBorders>
              <w:top w:val="nil"/>
              <w:left w:val="nil"/>
              <w:bottom w:val="single" w:sz="4" w:space="0" w:color="auto"/>
              <w:right w:val="single" w:sz="4" w:space="0" w:color="auto"/>
            </w:tcBorders>
            <w:shd w:val="clear" w:color="000000" w:fill="9999FF"/>
            <w:noWrap/>
            <w:vAlign w:val="bottom"/>
            <w:hideMark/>
          </w:tcPr>
          <w:p w14:paraId="54B6B5D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9999FF"/>
            <w:noWrap/>
            <w:vAlign w:val="bottom"/>
            <w:hideMark/>
          </w:tcPr>
          <w:p w14:paraId="006AB46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12.000,00</w:t>
            </w:r>
          </w:p>
        </w:tc>
        <w:tc>
          <w:tcPr>
            <w:tcW w:w="1843" w:type="dxa"/>
            <w:tcBorders>
              <w:top w:val="nil"/>
              <w:left w:val="nil"/>
              <w:bottom w:val="single" w:sz="4" w:space="0" w:color="auto"/>
              <w:right w:val="single" w:sz="4" w:space="0" w:color="auto"/>
            </w:tcBorders>
            <w:shd w:val="clear" w:color="000000" w:fill="9999FF"/>
            <w:noWrap/>
            <w:vAlign w:val="bottom"/>
            <w:hideMark/>
          </w:tcPr>
          <w:p w14:paraId="1896945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1.611,00</w:t>
            </w:r>
          </w:p>
        </w:tc>
        <w:tc>
          <w:tcPr>
            <w:tcW w:w="1559" w:type="dxa"/>
            <w:tcBorders>
              <w:top w:val="nil"/>
              <w:left w:val="nil"/>
              <w:bottom w:val="single" w:sz="4" w:space="0" w:color="auto"/>
              <w:right w:val="single" w:sz="4" w:space="0" w:color="auto"/>
            </w:tcBorders>
            <w:shd w:val="clear" w:color="000000" w:fill="9999FF"/>
            <w:noWrap/>
            <w:vAlign w:val="bottom"/>
            <w:hideMark/>
          </w:tcPr>
          <w:p w14:paraId="63C6137E"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13,43</w:t>
            </w:r>
          </w:p>
        </w:tc>
        <w:tc>
          <w:tcPr>
            <w:tcW w:w="1803" w:type="dxa"/>
            <w:tcBorders>
              <w:top w:val="nil"/>
              <w:left w:val="nil"/>
              <w:bottom w:val="single" w:sz="4" w:space="0" w:color="auto"/>
              <w:right w:val="single" w:sz="4" w:space="0" w:color="auto"/>
            </w:tcBorders>
            <w:shd w:val="clear" w:color="000000" w:fill="9999FF"/>
            <w:noWrap/>
            <w:vAlign w:val="bottom"/>
            <w:hideMark/>
          </w:tcPr>
          <w:p w14:paraId="40E6A31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13.611,00</w:t>
            </w:r>
          </w:p>
        </w:tc>
      </w:tr>
      <w:tr w:rsidR="00846ACC" w:rsidRPr="004974C0" w14:paraId="6520831C"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CCCCFF"/>
            <w:noWrap/>
            <w:vAlign w:val="bottom"/>
            <w:hideMark/>
          </w:tcPr>
          <w:p w14:paraId="41E3637F"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xml:space="preserve">Tekući projekt T600001 Pilot projekt provedbe </w:t>
            </w:r>
            <w:proofErr w:type="spellStart"/>
            <w:r w:rsidRPr="004974C0">
              <w:rPr>
                <w:rFonts w:ascii="Arial" w:hAnsi="Arial" w:cs="Arial"/>
                <w:b/>
                <w:bCs/>
                <w:color w:val="000000"/>
                <w:sz w:val="20"/>
                <w:szCs w:val="20"/>
              </w:rPr>
              <w:t>edukativnih,kulturnih</w:t>
            </w:r>
            <w:proofErr w:type="spellEnd"/>
            <w:r w:rsidRPr="004974C0">
              <w:rPr>
                <w:rFonts w:ascii="Arial" w:hAnsi="Arial" w:cs="Arial"/>
                <w:b/>
                <w:bCs/>
                <w:color w:val="000000"/>
                <w:sz w:val="20"/>
                <w:szCs w:val="20"/>
              </w:rPr>
              <w:t xml:space="preserve"> i sportskih aktiv. djece </w:t>
            </w:r>
            <w:proofErr w:type="spellStart"/>
            <w:r w:rsidRPr="004974C0">
              <w:rPr>
                <w:rFonts w:ascii="Arial" w:hAnsi="Arial" w:cs="Arial"/>
                <w:b/>
                <w:bCs/>
                <w:color w:val="000000"/>
                <w:sz w:val="20"/>
                <w:szCs w:val="20"/>
              </w:rPr>
              <w:t>predšk.dobi</w:t>
            </w:r>
            <w:proofErr w:type="spellEnd"/>
            <w:r w:rsidRPr="004974C0">
              <w:rPr>
                <w:rFonts w:ascii="Arial" w:hAnsi="Arial" w:cs="Arial"/>
                <w:b/>
                <w:bCs/>
                <w:color w:val="000000"/>
                <w:sz w:val="20"/>
                <w:szCs w:val="20"/>
              </w:rPr>
              <w:t xml:space="preserve"> i djece do IV </w:t>
            </w:r>
            <w:proofErr w:type="spellStart"/>
            <w:r w:rsidRPr="004974C0">
              <w:rPr>
                <w:rFonts w:ascii="Arial" w:hAnsi="Arial" w:cs="Arial"/>
                <w:b/>
                <w:bCs/>
                <w:color w:val="000000"/>
                <w:sz w:val="20"/>
                <w:szCs w:val="20"/>
              </w:rPr>
              <w:t>raz</w:t>
            </w:r>
            <w:proofErr w:type="spellEnd"/>
            <w:r w:rsidRPr="004974C0">
              <w:rPr>
                <w:rFonts w:ascii="Arial" w:hAnsi="Arial" w:cs="Arial"/>
                <w:b/>
                <w:bCs/>
                <w:color w:val="000000"/>
                <w:sz w:val="20"/>
                <w:szCs w:val="20"/>
              </w:rPr>
              <w:t>.</w:t>
            </w:r>
          </w:p>
        </w:tc>
        <w:tc>
          <w:tcPr>
            <w:tcW w:w="1984" w:type="dxa"/>
            <w:tcBorders>
              <w:top w:val="nil"/>
              <w:left w:val="nil"/>
              <w:bottom w:val="single" w:sz="4" w:space="0" w:color="auto"/>
              <w:right w:val="single" w:sz="4" w:space="0" w:color="auto"/>
            </w:tcBorders>
            <w:shd w:val="clear" w:color="000000" w:fill="CCCCFF"/>
            <w:noWrap/>
            <w:vAlign w:val="bottom"/>
            <w:hideMark/>
          </w:tcPr>
          <w:p w14:paraId="4B6CE51D"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CCCCFF"/>
            <w:noWrap/>
            <w:vAlign w:val="bottom"/>
            <w:hideMark/>
          </w:tcPr>
          <w:p w14:paraId="2B9E6B8B"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12.000,00</w:t>
            </w:r>
          </w:p>
        </w:tc>
        <w:tc>
          <w:tcPr>
            <w:tcW w:w="1843" w:type="dxa"/>
            <w:tcBorders>
              <w:top w:val="nil"/>
              <w:left w:val="nil"/>
              <w:bottom w:val="single" w:sz="4" w:space="0" w:color="auto"/>
              <w:right w:val="single" w:sz="4" w:space="0" w:color="auto"/>
            </w:tcBorders>
            <w:shd w:val="clear" w:color="000000" w:fill="CCCCFF"/>
            <w:noWrap/>
            <w:vAlign w:val="bottom"/>
            <w:hideMark/>
          </w:tcPr>
          <w:p w14:paraId="77907D7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1.611,00</w:t>
            </w:r>
          </w:p>
        </w:tc>
        <w:tc>
          <w:tcPr>
            <w:tcW w:w="1559" w:type="dxa"/>
            <w:tcBorders>
              <w:top w:val="nil"/>
              <w:left w:val="nil"/>
              <w:bottom w:val="single" w:sz="4" w:space="0" w:color="auto"/>
              <w:right w:val="single" w:sz="4" w:space="0" w:color="auto"/>
            </w:tcBorders>
            <w:shd w:val="clear" w:color="000000" w:fill="CCCCFF"/>
            <w:noWrap/>
            <w:vAlign w:val="bottom"/>
            <w:hideMark/>
          </w:tcPr>
          <w:p w14:paraId="7D298954"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13,43</w:t>
            </w:r>
          </w:p>
        </w:tc>
        <w:tc>
          <w:tcPr>
            <w:tcW w:w="1803" w:type="dxa"/>
            <w:tcBorders>
              <w:top w:val="nil"/>
              <w:left w:val="nil"/>
              <w:bottom w:val="single" w:sz="4" w:space="0" w:color="auto"/>
              <w:right w:val="single" w:sz="4" w:space="0" w:color="auto"/>
            </w:tcBorders>
            <w:shd w:val="clear" w:color="000000" w:fill="CCCCFF"/>
            <w:noWrap/>
            <w:vAlign w:val="bottom"/>
            <w:hideMark/>
          </w:tcPr>
          <w:p w14:paraId="3D8652BA"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13.611,00</w:t>
            </w:r>
          </w:p>
        </w:tc>
      </w:tr>
      <w:tr w:rsidR="00846ACC" w:rsidRPr="004974C0" w14:paraId="0769A855" w14:textId="77777777" w:rsidTr="00846ACC">
        <w:trPr>
          <w:trHeight w:val="264"/>
        </w:trPr>
        <w:tc>
          <w:tcPr>
            <w:tcW w:w="4957" w:type="dxa"/>
            <w:tcBorders>
              <w:top w:val="nil"/>
              <w:left w:val="single" w:sz="4" w:space="0" w:color="auto"/>
              <w:bottom w:val="single" w:sz="4" w:space="0" w:color="auto"/>
              <w:right w:val="single" w:sz="4" w:space="0" w:color="auto"/>
            </w:tcBorders>
            <w:shd w:val="clear" w:color="000000" w:fill="FFFF99"/>
            <w:noWrap/>
            <w:vAlign w:val="bottom"/>
            <w:hideMark/>
          </w:tcPr>
          <w:p w14:paraId="2B52A556"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Izvor  5.4. POMOĆI IZ DRŽAVNOG PRORAČUNA</w:t>
            </w:r>
          </w:p>
        </w:tc>
        <w:tc>
          <w:tcPr>
            <w:tcW w:w="1984" w:type="dxa"/>
            <w:tcBorders>
              <w:top w:val="nil"/>
              <w:left w:val="nil"/>
              <w:bottom w:val="single" w:sz="4" w:space="0" w:color="auto"/>
              <w:right w:val="single" w:sz="4" w:space="0" w:color="auto"/>
            </w:tcBorders>
            <w:shd w:val="clear" w:color="000000" w:fill="FFFF99"/>
            <w:noWrap/>
            <w:vAlign w:val="bottom"/>
            <w:hideMark/>
          </w:tcPr>
          <w:p w14:paraId="1C9D97C1" w14:textId="77777777" w:rsidR="004974C0" w:rsidRPr="004974C0" w:rsidRDefault="004974C0" w:rsidP="004974C0">
            <w:pPr>
              <w:rPr>
                <w:rFonts w:ascii="Arial" w:hAnsi="Arial" w:cs="Arial"/>
                <w:b/>
                <w:bCs/>
                <w:color w:val="000000"/>
                <w:sz w:val="20"/>
                <w:szCs w:val="20"/>
              </w:rPr>
            </w:pPr>
            <w:r w:rsidRPr="004974C0">
              <w:rPr>
                <w:rFonts w:ascii="Arial" w:hAnsi="Arial" w:cs="Arial"/>
                <w:b/>
                <w:bCs/>
                <w:color w:val="000000"/>
                <w:sz w:val="20"/>
                <w:szCs w:val="20"/>
              </w:rPr>
              <w:t> </w:t>
            </w:r>
          </w:p>
        </w:tc>
        <w:tc>
          <w:tcPr>
            <w:tcW w:w="1843" w:type="dxa"/>
            <w:tcBorders>
              <w:top w:val="nil"/>
              <w:left w:val="nil"/>
              <w:bottom w:val="single" w:sz="4" w:space="0" w:color="auto"/>
              <w:right w:val="single" w:sz="4" w:space="0" w:color="auto"/>
            </w:tcBorders>
            <w:shd w:val="clear" w:color="000000" w:fill="FFFF99"/>
            <w:noWrap/>
            <w:vAlign w:val="bottom"/>
            <w:hideMark/>
          </w:tcPr>
          <w:p w14:paraId="64D393D7"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12.000,00</w:t>
            </w:r>
          </w:p>
        </w:tc>
        <w:tc>
          <w:tcPr>
            <w:tcW w:w="1843" w:type="dxa"/>
            <w:tcBorders>
              <w:top w:val="nil"/>
              <w:left w:val="nil"/>
              <w:bottom w:val="single" w:sz="4" w:space="0" w:color="auto"/>
              <w:right w:val="single" w:sz="4" w:space="0" w:color="auto"/>
            </w:tcBorders>
            <w:shd w:val="clear" w:color="000000" w:fill="FFFF99"/>
            <w:noWrap/>
            <w:vAlign w:val="bottom"/>
            <w:hideMark/>
          </w:tcPr>
          <w:p w14:paraId="23DB78F2"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1.611,00</w:t>
            </w:r>
          </w:p>
        </w:tc>
        <w:tc>
          <w:tcPr>
            <w:tcW w:w="1559" w:type="dxa"/>
            <w:tcBorders>
              <w:top w:val="nil"/>
              <w:left w:val="nil"/>
              <w:bottom w:val="single" w:sz="4" w:space="0" w:color="auto"/>
              <w:right w:val="single" w:sz="4" w:space="0" w:color="auto"/>
            </w:tcBorders>
            <w:shd w:val="clear" w:color="000000" w:fill="FFFF99"/>
            <w:noWrap/>
            <w:vAlign w:val="bottom"/>
            <w:hideMark/>
          </w:tcPr>
          <w:p w14:paraId="35BBAD96"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13,43</w:t>
            </w:r>
          </w:p>
        </w:tc>
        <w:tc>
          <w:tcPr>
            <w:tcW w:w="1803" w:type="dxa"/>
            <w:tcBorders>
              <w:top w:val="nil"/>
              <w:left w:val="nil"/>
              <w:bottom w:val="single" w:sz="4" w:space="0" w:color="auto"/>
              <w:right w:val="single" w:sz="4" w:space="0" w:color="auto"/>
            </w:tcBorders>
            <w:shd w:val="clear" w:color="000000" w:fill="FFFF99"/>
            <w:noWrap/>
            <w:vAlign w:val="bottom"/>
            <w:hideMark/>
          </w:tcPr>
          <w:p w14:paraId="7BFF2CE1" w14:textId="77777777" w:rsidR="004974C0" w:rsidRPr="004974C0" w:rsidRDefault="004974C0" w:rsidP="004974C0">
            <w:pPr>
              <w:jc w:val="right"/>
              <w:rPr>
                <w:rFonts w:ascii="Arial" w:hAnsi="Arial" w:cs="Arial"/>
                <w:b/>
                <w:bCs/>
                <w:color w:val="000000"/>
                <w:sz w:val="20"/>
                <w:szCs w:val="20"/>
              </w:rPr>
            </w:pPr>
            <w:r w:rsidRPr="004974C0">
              <w:rPr>
                <w:rFonts w:ascii="Arial" w:hAnsi="Arial" w:cs="Arial"/>
                <w:b/>
                <w:bCs/>
                <w:color w:val="000000"/>
                <w:sz w:val="20"/>
                <w:szCs w:val="20"/>
              </w:rPr>
              <w:t>13.611,00</w:t>
            </w:r>
          </w:p>
        </w:tc>
      </w:tr>
      <w:tr w:rsidR="00846ACC" w:rsidRPr="004974C0" w14:paraId="40674AD5"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B6B6A44"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3</w:t>
            </w:r>
          </w:p>
        </w:tc>
        <w:tc>
          <w:tcPr>
            <w:tcW w:w="1984" w:type="dxa"/>
            <w:tcBorders>
              <w:top w:val="nil"/>
              <w:left w:val="nil"/>
              <w:bottom w:val="single" w:sz="4" w:space="0" w:color="auto"/>
              <w:right w:val="single" w:sz="4" w:space="0" w:color="auto"/>
            </w:tcBorders>
            <w:shd w:val="clear" w:color="auto" w:fill="auto"/>
            <w:noWrap/>
            <w:vAlign w:val="bottom"/>
            <w:hideMark/>
          </w:tcPr>
          <w:p w14:paraId="62D8A50B" w14:textId="77777777" w:rsidR="004974C0" w:rsidRPr="004974C0" w:rsidRDefault="004974C0" w:rsidP="004974C0">
            <w:pPr>
              <w:rPr>
                <w:rFonts w:ascii="Arial" w:hAnsi="Arial" w:cs="Arial"/>
                <w:b/>
                <w:bCs/>
                <w:sz w:val="20"/>
                <w:szCs w:val="20"/>
              </w:rPr>
            </w:pPr>
            <w:r w:rsidRPr="004974C0">
              <w:rPr>
                <w:rFonts w:ascii="Arial" w:hAnsi="Arial" w:cs="Arial"/>
                <w:b/>
                <w:bCs/>
                <w:sz w:val="20"/>
                <w:szCs w:val="20"/>
              </w:rPr>
              <w:t>Rashodi poslovanja</w:t>
            </w:r>
          </w:p>
        </w:tc>
        <w:tc>
          <w:tcPr>
            <w:tcW w:w="1843" w:type="dxa"/>
            <w:tcBorders>
              <w:top w:val="nil"/>
              <w:left w:val="nil"/>
              <w:bottom w:val="single" w:sz="4" w:space="0" w:color="auto"/>
              <w:right w:val="single" w:sz="4" w:space="0" w:color="auto"/>
            </w:tcBorders>
            <w:shd w:val="clear" w:color="auto" w:fill="auto"/>
            <w:noWrap/>
            <w:vAlign w:val="bottom"/>
            <w:hideMark/>
          </w:tcPr>
          <w:p w14:paraId="2C407808"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12.000,00</w:t>
            </w:r>
          </w:p>
        </w:tc>
        <w:tc>
          <w:tcPr>
            <w:tcW w:w="1843" w:type="dxa"/>
            <w:tcBorders>
              <w:top w:val="nil"/>
              <w:left w:val="nil"/>
              <w:bottom w:val="single" w:sz="4" w:space="0" w:color="auto"/>
              <w:right w:val="single" w:sz="4" w:space="0" w:color="auto"/>
            </w:tcBorders>
            <w:shd w:val="clear" w:color="auto" w:fill="auto"/>
            <w:noWrap/>
            <w:vAlign w:val="bottom"/>
            <w:hideMark/>
          </w:tcPr>
          <w:p w14:paraId="40498700"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1.611,00</w:t>
            </w:r>
          </w:p>
        </w:tc>
        <w:tc>
          <w:tcPr>
            <w:tcW w:w="1559" w:type="dxa"/>
            <w:tcBorders>
              <w:top w:val="nil"/>
              <w:left w:val="nil"/>
              <w:bottom w:val="single" w:sz="4" w:space="0" w:color="auto"/>
              <w:right w:val="single" w:sz="4" w:space="0" w:color="auto"/>
            </w:tcBorders>
            <w:shd w:val="clear" w:color="auto" w:fill="auto"/>
            <w:noWrap/>
            <w:vAlign w:val="bottom"/>
            <w:hideMark/>
          </w:tcPr>
          <w:p w14:paraId="5FCCD866"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13,43</w:t>
            </w:r>
          </w:p>
        </w:tc>
        <w:tc>
          <w:tcPr>
            <w:tcW w:w="1803" w:type="dxa"/>
            <w:tcBorders>
              <w:top w:val="nil"/>
              <w:left w:val="nil"/>
              <w:bottom w:val="single" w:sz="4" w:space="0" w:color="auto"/>
              <w:right w:val="single" w:sz="4" w:space="0" w:color="auto"/>
            </w:tcBorders>
            <w:shd w:val="clear" w:color="auto" w:fill="auto"/>
            <w:noWrap/>
            <w:vAlign w:val="bottom"/>
            <w:hideMark/>
          </w:tcPr>
          <w:p w14:paraId="5096B33F" w14:textId="77777777" w:rsidR="004974C0" w:rsidRPr="004974C0" w:rsidRDefault="004974C0" w:rsidP="004974C0">
            <w:pPr>
              <w:jc w:val="right"/>
              <w:rPr>
                <w:rFonts w:ascii="Arial" w:hAnsi="Arial" w:cs="Arial"/>
                <w:b/>
                <w:bCs/>
                <w:sz w:val="20"/>
                <w:szCs w:val="20"/>
              </w:rPr>
            </w:pPr>
            <w:r w:rsidRPr="004974C0">
              <w:rPr>
                <w:rFonts w:ascii="Arial" w:hAnsi="Arial" w:cs="Arial"/>
                <w:b/>
                <w:bCs/>
                <w:sz w:val="20"/>
                <w:szCs w:val="20"/>
              </w:rPr>
              <w:t>13.611,00</w:t>
            </w:r>
          </w:p>
        </w:tc>
      </w:tr>
      <w:tr w:rsidR="00846ACC" w:rsidRPr="004974C0" w14:paraId="320022BD"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5AEAA24" w14:textId="77777777" w:rsidR="004974C0" w:rsidRPr="004974C0" w:rsidRDefault="004974C0" w:rsidP="004974C0">
            <w:pPr>
              <w:rPr>
                <w:rFonts w:ascii="Arial" w:hAnsi="Arial" w:cs="Arial"/>
                <w:sz w:val="20"/>
                <w:szCs w:val="20"/>
              </w:rPr>
            </w:pPr>
            <w:r w:rsidRPr="004974C0">
              <w:rPr>
                <w:rFonts w:ascii="Arial" w:hAnsi="Arial" w:cs="Arial"/>
                <w:sz w:val="20"/>
                <w:szCs w:val="20"/>
              </w:rPr>
              <w:t>32</w:t>
            </w:r>
          </w:p>
        </w:tc>
        <w:tc>
          <w:tcPr>
            <w:tcW w:w="1984" w:type="dxa"/>
            <w:tcBorders>
              <w:top w:val="nil"/>
              <w:left w:val="nil"/>
              <w:bottom w:val="single" w:sz="4" w:space="0" w:color="auto"/>
              <w:right w:val="single" w:sz="4" w:space="0" w:color="auto"/>
            </w:tcBorders>
            <w:shd w:val="clear" w:color="auto" w:fill="auto"/>
            <w:noWrap/>
            <w:vAlign w:val="bottom"/>
            <w:hideMark/>
          </w:tcPr>
          <w:p w14:paraId="28C1FBF9" w14:textId="77777777" w:rsidR="004974C0" w:rsidRPr="004974C0" w:rsidRDefault="004974C0" w:rsidP="004974C0">
            <w:pPr>
              <w:rPr>
                <w:rFonts w:ascii="Arial" w:hAnsi="Arial" w:cs="Arial"/>
                <w:sz w:val="20"/>
                <w:szCs w:val="20"/>
              </w:rPr>
            </w:pPr>
            <w:r w:rsidRPr="004974C0">
              <w:rPr>
                <w:rFonts w:ascii="Arial" w:hAnsi="Arial" w:cs="Arial"/>
                <w:sz w:val="20"/>
                <w:szCs w:val="20"/>
              </w:rPr>
              <w:t>Materijalni rashodi</w:t>
            </w:r>
          </w:p>
        </w:tc>
        <w:tc>
          <w:tcPr>
            <w:tcW w:w="1843" w:type="dxa"/>
            <w:tcBorders>
              <w:top w:val="nil"/>
              <w:left w:val="nil"/>
              <w:bottom w:val="single" w:sz="4" w:space="0" w:color="auto"/>
              <w:right w:val="single" w:sz="4" w:space="0" w:color="auto"/>
            </w:tcBorders>
            <w:shd w:val="clear" w:color="auto" w:fill="auto"/>
            <w:noWrap/>
            <w:vAlign w:val="bottom"/>
            <w:hideMark/>
          </w:tcPr>
          <w:p w14:paraId="34EC5194"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900,00</w:t>
            </w:r>
          </w:p>
        </w:tc>
        <w:tc>
          <w:tcPr>
            <w:tcW w:w="1843" w:type="dxa"/>
            <w:tcBorders>
              <w:top w:val="nil"/>
              <w:left w:val="nil"/>
              <w:bottom w:val="single" w:sz="4" w:space="0" w:color="auto"/>
              <w:right w:val="single" w:sz="4" w:space="0" w:color="auto"/>
            </w:tcBorders>
            <w:shd w:val="clear" w:color="auto" w:fill="auto"/>
            <w:noWrap/>
            <w:vAlign w:val="bottom"/>
            <w:hideMark/>
          </w:tcPr>
          <w:p w14:paraId="69027799"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113,00</w:t>
            </w:r>
          </w:p>
        </w:tc>
        <w:tc>
          <w:tcPr>
            <w:tcW w:w="1559" w:type="dxa"/>
            <w:tcBorders>
              <w:top w:val="nil"/>
              <w:left w:val="nil"/>
              <w:bottom w:val="single" w:sz="4" w:space="0" w:color="auto"/>
              <w:right w:val="single" w:sz="4" w:space="0" w:color="auto"/>
            </w:tcBorders>
            <w:shd w:val="clear" w:color="auto" w:fill="auto"/>
            <w:noWrap/>
            <w:vAlign w:val="bottom"/>
            <w:hideMark/>
          </w:tcPr>
          <w:p w14:paraId="1EB32AC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12,56</w:t>
            </w:r>
          </w:p>
        </w:tc>
        <w:tc>
          <w:tcPr>
            <w:tcW w:w="1803" w:type="dxa"/>
            <w:tcBorders>
              <w:top w:val="nil"/>
              <w:left w:val="nil"/>
              <w:bottom w:val="single" w:sz="4" w:space="0" w:color="auto"/>
              <w:right w:val="single" w:sz="4" w:space="0" w:color="auto"/>
            </w:tcBorders>
            <w:shd w:val="clear" w:color="auto" w:fill="auto"/>
            <w:noWrap/>
            <w:vAlign w:val="bottom"/>
            <w:hideMark/>
          </w:tcPr>
          <w:p w14:paraId="5A7E1533"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1.013,00</w:t>
            </w:r>
          </w:p>
        </w:tc>
      </w:tr>
      <w:tr w:rsidR="00846ACC" w:rsidRPr="004974C0" w14:paraId="6C6227A7" w14:textId="77777777" w:rsidTr="00846ACC">
        <w:trPr>
          <w:trHeight w:val="26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A418500" w14:textId="77777777" w:rsidR="004974C0" w:rsidRPr="004974C0" w:rsidRDefault="004974C0" w:rsidP="004974C0">
            <w:pPr>
              <w:rPr>
                <w:rFonts w:ascii="Arial" w:hAnsi="Arial" w:cs="Arial"/>
                <w:sz w:val="20"/>
                <w:szCs w:val="20"/>
              </w:rPr>
            </w:pPr>
            <w:r w:rsidRPr="004974C0">
              <w:rPr>
                <w:rFonts w:ascii="Arial" w:hAnsi="Arial" w:cs="Arial"/>
                <w:sz w:val="20"/>
                <w:szCs w:val="20"/>
              </w:rPr>
              <w:t>36</w:t>
            </w:r>
          </w:p>
        </w:tc>
        <w:tc>
          <w:tcPr>
            <w:tcW w:w="1984" w:type="dxa"/>
            <w:tcBorders>
              <w:top w:val="nil"/>
              <w:left w:val="nil"/>
              <w:bottom w:val="single" w:sz="4" w:space="0" w:color="auto"/>
              <w:right w:val="single" w:sz="4" w:space="0" w:color="auto"/>
            </w:tcBorders>
            <w:shd w:val="clear" w:color="auto" w:fill="auto"/>
            <w:noWrap/>
            <w:vAlign w:val="bottom"/>
            <w:hideMark/>
          </w:tcPr>
          <w:p w14:paraId="4E9830C2" w14:textId="77777777" w:rsidR="004974C0" w:rsidRPr="004974C0" w:rsidRDefault="004974C0" w:rsidP="004974C0">
            <w:pPr>
              <w:rPr>
                <w:rFonts w:ascii="Arial" w:hAnsi="Arial" w:cs="Arial"/>
                <w:sz w:val="20"/>
                <w:szCs w:val="20"/>
              </w:rPr>
            </w:pPr>
            <w:r w:rsidRPr="004974C0">
              <w:rPr>
                <w:rFonts w:ascii="Arial" w:hAnsi="Arial" w:cs="Arial"/>
                <w:sz w:val="20"/>
                <w:szCs w:val="20"/>
              </w:rPr>
              <w:t>Pomoći dane u inozemstvo i unutar općeg proračuna</w:t>
            </w:r>
          </w:p>
        </w:tc>
        <w:tc>
          <w:tcPr>
            <w:tcW w:w="1843" w:type="dxa"/>
            <w:tcBorders>
              <w:top w:val="nil"/>
              <w:left w:val="nil"/>
              <w:bottom w:val="single" w:sz="4" w:space="0" w:color="auto"/>
              <w:right w:val="single" w:sz="4" w:space="0" w:color="auto"/>
            </w:tcBorders>
            <w:shd w:val="clear" w:color="auto" w:fill="auto"/>
            <w:noWrap/>
            <w:vAlign w:val="bottom"/>
            <w:hideMark/>
          </w:tcPr>
          <w:p w14:paraId="3F936190"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11.100,00</w:t>
            </w:r>
          </w:p>
        </w:tc>
        <w:tc>
          <w:tcPr>
            <w:tcW w:w="1843" w:type="dxa"/>
            <w:tcBorders>
              <w:top w:val="nil"/>
              <w:left w:val="nil"/>
              <w:bottom w:val="single" w:sz="4" w:space="0" w:color="auto"/>
              <w:right w:val="single" w:sz="4" w:space="0" w:color="auto"/>
            </w:tcBorders>
            <w:shd w:val="clear" w:color="auto" w:fill="auto"/>
            <w:noWrap/>
            <w:vAlign w:val="bottom"/>
            <w:hideMark/>
          </w:tcPr>
          <w:p w14:paraId="1412980C"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1.498,00</w:t>
            </w:r>
          </w:p>
        </w:tc>
        <w:tc>
          <w:tcPr>
            <w:tcW w:w="1559" w:type="dxa"/>
            <w:tcBorders>
              <w:top w:val="nil"/>
              <w:left w:val="nil"/>
              <w:bottom w:val="single" w:sz="4" w:space="0" w:color="auto"/>
              <w:right w:val="single" w:sz="4" w:space="0" w:color="auto"/>
            </w:tcBorders>
            <w:shd w:val="clear" w:color="auto" w:fill="auto"/>
            <w:noWrap/>
            <w:vAlign w:val="bottom"/>
            <w:hideMark/>
          </w:tcPr>
          <w:p w14:paraId="285FC9D2"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13,50</w:t>
            </w:r>
          </w:p>
        </w:tc>
        <w:tc>
          <w:tcPr>
            <w:tcW w:w="1803" w:type="dxa"/>
            <w:tcBorders>
              <w:top w:val="nil"/>
              <w:left w:val="nil"/>
              <w:bottom w:val="single" w:sz="4" w:space="0" w:color="auto"/>
              <w:right w:val="single" w:sz="4" w:space="0" w:color="auto"/>
            </w:tcBorders>
            <w:shd w:val="clear" w:color="auto" w:fill="auto"/>
            <w:noWrap/>
            <w:vAlign w:val="bottom"/>
            <w:hideMark/>
          </w:tcPr>
          <w:p w14:paraId="7DCE3F5F" w14:textId="77777777" w:rsidR="004974C0" w:rsidRPr="004974C0" w:rsidRDefault="004974C0" w:rsidP="004974C0">
            <w:pPr>
              <w:jc w:val="right"/>
              <w:rPr>
                <w:rFonts w:ascii="Arial" w:hAnsi="Arial" w:cs="Arial"/>
                <w:sz w:val="20"/>
                <w:szCs w:val="20"/>
              </w:rPr>
            </w:pPr>
            <w:r w:rsidRPr="004974C0">
              <w:rPr>
                <w:rFonts w:ascii="Arial" w:hAnsi="Arial" w:cs="Arial"/>
                <w:sz w:val="20"/>
                <w:szCs w:val="20"/>
              </w:rPr>
              <w:t>12.598,00</w:t>
            </w:r>
          </w:p>
        </w:tc>
      </w:tr>
    </w:tbl>
    <w:p w14:paraId="156B0EA9" w14:textId="77777777" w:rsidR="009A5ECD" w:rsidRDefault="009A5ECD" w:rsidP="009E015A">
      <w:pPr>
        <w:jc w:val="center"/>
        <w:rPr>
          <w:rFonts w:ascii="Arial" w:hAnsi="Arial" w:cs="Arial"/>
          <w:b/>
          <w:sz w:val="20"/>
          <w:szCs w:val="20"/>
        </w:rPr>
      </w:pPr>
    </w:p>
    <w:p w14:paraId="0831A1DE" w14:textId="77777777" w:rsidR="00E713B5" w:rsidRDefault="00E713B5" w:rsidP="009E015A">
      <w:pPr>
        <w:jc w:val="center"/>
        <w:rPr>
          <w:rFonts w:ascii="Arial" w:hAnsi="Arial" w:cs="Arial"/>
          <w:b/>
          <w:sz w:val="20"/>
          <w:szCs w:val="20"/>
        </w:rPr>
      </w:pPr>
    </w:p>
    <w:p w14:paraId="12F3D598" w14:textId="77777777" w:rsidR="00950446" w:rsidRDefault="00950446" w:rsidP="009E015A">
      <w:pPr>
        <w:jc w:val="center"/>
        <w:rPr>
          <w:rFonts w:ascii="Arial" w:hAnsi="Arial" w:cs="Arial"/>
          <w:b/>
          <w:sz w:val="20"/>
          <w:szCs w:val="20"/>
        </w:rPr>
      </w:pPr>
    </w:p>
    <w:p w14:paraId="0E04D461" w14:textId="77777777" w:rsidR="00950446" w:rsidRDefault="00950446" w:rsidP="009E015A">
      <w:pPr>
        <w:jc w:val="center"/>
        <w:rPr>
          <w:rFonts w:ascii="Arial" w:hAnsi="Arial" w:cs="Arial"/>
          <w:b/>
          <w:sz w:val="20"/>
          <w:szCs w:val="20"/>
        </w:rPr>
      </w:pPr>
    </w:p>
    <w:p w14:paraId="7D949360" w14:textId="77777777" w:rsidR="00E713B5" w:rsidRDefault="00E713B5" w:rsidP="009E015A">
      <w:pPr>
        <w:jc w:val="center"/>
        <w:rPr>
          <w:rFonts w:ascii="Arial" w:hAnsi="Arial" w:cs="Arial"/>
          <w:b/>
          <w:sz w:val="20"/>
          <w:szCs w:val="20"/>
        </w:rPr>
      </w:pPr>
    </w:p>
    <w:p w14:paraId="7903541E" w14:textId="77777777" w:rsidR="00E713B5" w:rsidRDefault="00E713B5" w:rsidP="009E015A">
      <w:pPr>
        <w:jc w:val="center"/>
        <w:rPr>
          <w:rFonts w:ascii="Arial" w:hAnsi="Arial" w:cs="Arial"/>
          <w:b/>
          <w:sz w:val="20"/>
          <w:szCs w:val="20"/>
        </w:rPr>
      </w:pPr>
    </w:p>
    <w:p w14:paraId="2C010420" w14:textId="77777777" w:rsidR="00E713B5" w:rsidRDefault="00E713B5" w:rsidP="009E015A">
      <w:pPr>
        <w:jc w:val="center"/>
        <w:rPr>
          <w:rFonts w:ascii="Arial" w:hAnsi="Arial" w:cs="Arial"/>
          <w:b/>
          <w:sz w:val="20"/>
          <w:szCs w:val="20"/>
        </w:rPr>
      </w:pPr>
    </w:p>
    <w:p w14:paraId="54EE7C9F" w14:textId="77777777" w:rsidR="00E713B5" w:rsidRPr="00F70DCD" w:rsidRDefault="00E713B5" w:rsidP="009E015A">
      <w:pPr>
        <w:jc w:val="center"/>
        <w:rPr>
          <w:rFonts w:ascii="Arial" w:hAnsi="Arial" w:cs="Arial"/>
          <w:b/>
          <w:sz w:val="20"/>
          <w:szCs w:val="20"/>
        </w:rPr>
      </w:pPr>
    </w:p>
    <w:p w14:paraId="20381689" w14:textId="77777777" w:rsidR="00056F86" w:rsidRDefault="00056F86" w:rsidP="009E015A">
      <w:pPr>
        <w:jc w:val="center"/>
        <w:rPr>
          <w:rFonts w:ascii="Arial" w:hAnsi="Arial" w:cs="Arial"/>
          <w:b/>
          <w:sz w:val="22"/>
        </w:rPr>
      </w:pPr>
    </w:p>
    <w:p w14:paraId="0EB09B02" w14:textId="77777777" w:rsidR="00056F86" w:rsidRDefault="00056F86" w:rsidP="009E015A">
      <w:pPr>
        <w:jc w:val="center"/>
        <w:rPr>
          <w:rFonts w:ascii="Arial" w:hAnsi="Arial" w:cs="Arial"/>
          <w:b/>
          <w:sz w:val="22"/>
        </w:rPr>
      </w:pPr>
    </w:p>
    <w:p w14:paraId="6D9B676A" w14:textId="77777777" w:rsidR="00056F86" w:rsidRDefault="00056F86" w:rsidP="009E015A">
      <w:pPr>
        <w:jc w:val="center"/>
        <w:rPr>
          <w:rFonts w:ascii="Arial" w:hAnsi="Arial" w:cs="Arial"/>
          <w:b/>
          <w:sz w:val="22"/>
        </w:rPr>
      </w:pPr>
    </w:p>
    <w:p w14:paraId="5CC62463" w14:textId="77777777" w:rsidR="00056F86" w:rsidRDefault="00056F86" w:rsidP="009E015A">
      <w:pPr>
        <w:jc w:val="center"/>
        <w:rPr>
          <w:rFonts w:ascii="Arial" w:hAnsi="Arial" w:cs="Arial"/>
          <w:b/>
          <w:sz w:val="22"/>
        </w:rPr>
      </w:pPr>
    </w:p>
    <w:p w14:paraId="113FCF20" w14:textId="77777777" w:rsidR="00056F86" w:rsidRDefault="00056F86" w:rsidP="009E015A">
      <w:pPr>
        <w:jc w:val="center"/>
        <w:rPr>
          <w:rFonts w:ascii="Arial" w:hAnsi="Arial" w:cs="Arial"/>
          <w:b/>
          <w:sz w:val="22"/>
        </w:rPr>
      </w:pPr>
    </w:p>
    <w:p w14:paraId="0CDEF59C" w14:textId="386EE479" w:rsidR="009E015A" w:rsidRDefault="009E015A" w:rsidP="009E015A">
      <w:pPr>
        <w:jc w:val="center"/>
        <w:rPr>
          <w:rFonts w:ascii="Arial" w:hAnsi="Arial" w:cs="Arial"/>
          <w:b/>
          <w:sz w:val="22"/>
        </w:rPr>
      </w:pPr>
      <w:r w:rsidRPr="005E1EB5">
        <w:rPr>
          <w:rFonts w:ascii="Arial" w:hAnsi="Arial" w:cs="Arial"/>
          <w:b/>
          <w:sz w:val="22"/>
        </w:rPr>
        <w:t xml:space="preserve">Članak </w:t>
      </w:r>
      <w:r w:rsidR="007C499D">
        <w:rPr>
          <w:rFonts w:ascii="Arial" w:hAnsi="Arial" w:cs="Arial"/>
          <w:b/>
          <w:sz w:val="22"/>
        </w:rPr>
        <w:t>2</w:t>
      </w:r>
      <w:r w:rsidRPr="005E1EB5">
        <w:rPr>
          <w:rFonts w:ascii="Arial" w:hAnsi="Arial" w:cs="Arial"/>
          <w:b/>
          <w:sz w:val="22"/>
        </w:rPr>
        <w:t>.</w:t>
      </w:r>
    </w:p>
    <w:p w14:paraId="1E73BF41" w14:textId="77777777" w:rsidR="00056F86" w:rsidRPr="005E1EB5" w:rsidRDefault="00056F86" w:rsidP="009E015A">
      <w:pPr>
        <w:jc w:val="center"/>
        <w:rPr>
          <w:rFonts w:ascii="Arial" w:hAnsi="Arial" w:cs="Arial"/>
          <w:b/>
          <w:sz w:val="22"/>
        </w:rPr>
      </w:pPr>
    </w:p>
    <w:p w14:paraId="60811F30" w14:textId="77777777" w:rsidR="009E015A" w:rsidRPr="005E1EB5" w:rsidRDefault="009E015A" w:rsidP="009E015A">
      <w:pPr>
        <w:jc w:val="both"/>
        <w:rPr>
          <w:rFonts w:ascii="Arial" w:hAnsi="Arial" w:cs="Arial"/>
          <w:b/>
          <w:sz w:val="22"/>
        </w:rPr>
      </w:pPr>
    </w:p>
    <w:p w14:paraId="2B379928" w14:textId="55585CD0" w:rsidR="009E015A" w:rsidRPr="005E1EB5" w:rsidRDefault="009E015A" w:rsidP="009E015A">
      <w:pPr>
        <w:jc w:val="both"/>
        <w:rPr>
          <w:rFonts w:ascii="Arial" w:hAnsi="Arial" w:cs="Arial"/>
          <w:sz w:val="22"/>
        </w:rPr>
      </w:pPr>
      <w:r w:rsidRPr="005E1EB5">
        <w:rPr>
          <w:rFonts w:ascii="Arial" w:hAnsi="Arial" w:cs="Arial"/>
          <w:b/>
          <w:sz w:val="22"/>
        </w:rPr>
        <w:tab/>
      </w:r>
      <w:r w:rsidR="00FC083B" w:rsidRPr="00FC083B">
        <w:rPr>
          <w:rFonts w:ascii="Arial" w:hAnsi="Arial" w:cs="Arial"/>
          <w:bCs/>
          <w:sz w:val="22"/>
        </w:rPr>
        <w:t>Ove Izmjene i dopune Proračuna Grada Labina stupaju na snagu osmog dana od dana objave u “Službenim novinama Grada Labina”.</w:t>
      </w:r>
    </w:p>
    <w:p w14:paraId="0EFB637C" w14:textId="77777777" w:rsidR="009E015A" w:rsidRPr="005E1EB5" w:rsidRDefault="009E015A" w:rsidP="009E015A">
      <w:pPr>
        <w:jc w:val="both"/>
        <w:rPr>
          <w:rFonts w:ascii="Arial" w:hAnsi="Arial" w:cs="Arial"/>
          <w:b/>
          <w:sz w:val="22"/>
        </w:rPr>
      </w:pPr>
    </w:p>
    <w:p w14:paraId="5D243841" w14:textId="77777777" w:rsidR="009E015A" w:rsidRPr="005E1EB5" w:rsidRDefault="009E015A" w:rsidP="009E015A">
      <w:pPr>
        <w:jc w:val="both"/>
        <w:rPr>
          <w:rFonts w:ascii="Arial" w:hAnsi="Arial" w:cs="Arial"/>
          <w:sz w:val="22"/>
          <w:lang w:val="en-GB"/>
        </w:rPr>
      </w:pPr>
    </w:p>
    <w:p w14:paraId="518EF5E5" w14:textId="77777777" w:rsidR="009E015A" w:rsidRPr="005E1EB5" w:rsidRDefault="009E015A" w:rsidP="009E015A">
      <w:pPr>
        <w:jc w:val="both"/>
        <w:rPr>
          <w:rFonts w:ascii="Arial" w:hAnsi="Arial" w:cs="Arial"/>
          <w:sz w:val="22"/>
          <w:lang w:val="en-GB"/>
        </w:rPr>
      </w:pPr>
    </w:p>
    <w:p w14:paraId="747C3BB0" w14:textId="77777777" w:rsidR="009E015A" w:rsidRPr="005E1EB5" w:rsidRDefault="009E015A" w:rsidP="009E015A">
      <w:pPr>
        <w:jc w:val="both"/>
        <w:rPr>
          <w:rFonts w:ascii="Arial" w:hAnsi="Arial" w:cs="Arial"/>
          <w:sz w:val="22"/>
          <w:lang w:val="en-GB"/>
        </w:rPr>
      </w:pPr>
      <w:r w:rsidRPr="005E1EB5">
        <w:rPr>
          <w:rFonts w:ascii="Arial" w:hAnsi="Arial" w:cs="Arial"/>
          <w:sz w:val="22"/>
          <w:lang w:val="en-GB"/>
        </w:rPr>
        <w:tab/>
      </w:r>
      <w:r w:rsidRPr="005E1EB5">
        <w:rPr>
          <w:rFonts w:ascii="Arial" w:hAnsi="Arial" w:cs="Arial"/>
          <w:sz w:val="22"/>
          <w:lang w:val="en-GB"/>
        </w:rPr>
        <w:tab/>
      </w:r>
      <w:r w:rsidRPr="005E1EB5">
        <w:rPr>
          <w:rFonts w:ascii="Arial" w:hAnsi="Arial" w:cs="Arial"/>
          <w:sz w:val="22"/>
          <w:lang w:val="en-GB"/>
        </w:rPr>
        <w:tab/>
      </w:r>
      <w:r w:rsidRPr="005E1EB5">
        <w:rPr>
          <w:rFonts w:ascii="Arial" w:hAnsi="Arial" w:cs="Arial"/>
          <w:sz w:val="22"/>
          <w:lang w:val="en-GB"/>
        </w:rPr>
        <w:tab/>
      </w:r>
      <w:r w:rsidRPr="005E1EB5">
        <w:rPr>
          <w:rFonts w:ascii="Arial" w:hAnsi="Arial" w:cs="Arial"/>
          <w:sz w:val="22"/>
          <w:lang w:val="en-GB"/>
        </w:rPr>
        <w:tab/>
      </w:r>
      <w:r w:rsidRPr="005E1EB5">
        <w:rPr>
          <w:rFonts w:ascii="Arial" w:hAnsi="Arial" w:cs="Arial"/>
          <w:sz w:val="22"/>
          <w:lang w:val="en-GB"/>
        </w:rPr>
        <w:tab/>
      </w:r>
      <w:r w:rsidRPr="005E1EB5">
        <w:rPr>
          <w:rFonts w:ascii="Arial" w:hAnsi="Arial" w:cs="Arial"/>
          <w:sz w:val="22"/>
          <w:lang w:val="en-GB"/>
        </w:rPr>
        <w:tab/>
      </w:r>
      <w:r w:rsidRPr="005E1EB5">
        <w:rPr>
          <w:rFonts w:ascii="Arial" w:hAnsi="Arial" w:cs="Arial"/>
          <w:sz w:val="22"/>
          <w:lang w:val="en-GB"/>
        </w:rPr>
        <w:tab/>
      </w:r>
    </w:p>
    <w:p w14:paraId="5D0AC58C" w14:textId="0121BA9C" w:rsidR="009E015A" w:rsidRPr="005E1EB5" w:rsidRDefault="009E015A" w:rsidP="009E015A">
      <w:pPr>
        <w:jc w:val="both"/>
        <w:rPr>
          <w:rFonts w:ascii="Arial" w:hAnsi="Arial" w:cs="Arial"/>
          <w:b/>
          <w:sz w:val="22"/>
          <w:lang w:val="en-GB"/>
        </w:rPr>
      </w:pPr>
      <w:r w:rsidRPr="005E1EB5">
        <w:rPr>
          <w:rFonts w:ascii="Arial" w:hAnsi="Arial" w:cs="Arial"/>
          <w:sz w:val="22"/>
          <w:lang w:val="en-GB"/>
        </w:rPr>
        <w:tab/>
      </w:r>
      <w:r w:rsidRPr="005E1EB5">
        <w:rPr>
          <w:rFonts w:ascii="Arial" w:hAnsi="Arial" w:cs="Arial"/>
          <w:sz w:val="22"/>
          <w:lang w:val="en-GB"/>
        </w:rPr>
        <w:tab/>
      </w:r>
      <w:r w:rsidRPr="005E1EB5">
        <w:rPr>
          <w:rFonts w:ascii="Arial" w:hAnsi="Arial" w:cs="Arial"/>
          <w:sz w:val="22"/>
          <w:lang w:val="en-GB"/>
        </w:rPr>
        <w:tab/>
      </w:r>
      <w:r w:rsidRPr="005E1EB5">
        <w:rPr>
          <w:rFonts w:ascii="Arial" w:hAnsi="Arial" w:cs="Arial"/>
          <w:sz w:val="22"/>
          <w:lang w:val="en-GB"/>
        </w:rPr>
        <w:tab/>
      </w:r>
      <w:r w:rsidRPr="005E1EB5">
        <w:rPr>
          <w:rFonts w:ascii="Arial" w:hAnsi="Arial" w:cs="Arial"/>
          <w:sz w:val="22"/>
          <w:lang w:val="en-GB"/>
        </w:rPr>
        <w:tab/>
      </w:r>
      <w:r w:rsidRPr="005E1EB5">
        <w:rPr>
          <w:rFonts w:ascii="Arial" w:hAnsi="Arial" w:cs="Arial"/>
          <w:sz w:val="22"/>
          <w:lang w:val="en-GB"/>
        </w:rPr>
        <w:tab/>
      </w:r>
      <w:r w:rsidRPr="005E1EB5">
        <w:rPr>
          <w:rFonts w:ascii="Arial" w:hAnsi="Arial" w:cs="Arial"/>
          <w:sz w:val="22"/>
          <w:lang w:val="en-GB"/>
        </w:rPr>
        <w:tab/>
      </w:r>
      <w:r w:rsidRPr="005E1EB5">
        <w:rPr>
          <w:rFonts w:ascii="Arial" w:hAnsi="Arial" w:cs="Arial"/>
          <w:sz w:val="22"/>
          <w:lang w:val="en-GB"/>
        </w:rPr>
        <w:tab/>
      </w:r>
      <w:r w:rsidRPr="005E1EB5">
        <w:rPr>
          <w:rFonts w:ascii="Arial" w:hAnsi="Arial" w:cs="Arial"/>
          <w:sz w:val="22"/>
          <w:lang w:val="en-GB"/>
        </w:rPr>
        <w:tab/>
      </w:r>
      <w:r w:rsidR="00371214">
        <w:rPr>
          <w:rFonts w:ascii="Arial" w:hAnsi="Arial" w:cs="Arial"/>
          <w:sz w:val="22"/>
          <w:lang w:val="en-GB"/>
        </w:rPr>
        <w:tab/>
      </w:r>
      <w:r w:rsidR="00371214">
        <w:rPr>
          <w:rFonts w:ascii="Arial" w:hAnsi="Arial" w:cs="Arial"/>
          <w:sz w:val="22"/>
          <w:lang w:val="en-GB"/>
        </w:rPr>
        <w:tab/>
      </w:r>
      <w:r w:rsidR="00371214">
        <w:rPr>
          <w:rFonts w:ascii="Arial" w:hAnsi="Arial" w:cs="Arial"/>
          <w:sz w:val="22"/>
          <w:lang w:val="en-GB"/>
        </w:rPr>
        <w:tab/>
      </w:r>
      <w:r w:rsidR="00371214">
        <w:rPr>
          <w:rFonts w:ascii="Arial" w:hAnsi="Arial" w:cs="Arial"/>
          <w:sz w:val="22"/>
          <w:lang w:val="en-GB"/>
        </w:rPr>
        <w:tab/>
        <w:t xml:space="preserve">           </w:t>
      </w:r>
      <w:r w:rsidRPr="005E1EB5">
        <w:rPr>
          <w:rFonts w:ascii="Arial" w:hAnsi="Arial" w:cs="Arial"/>
          <w:b/>
          <w:sz w:val="22"/>
          <w:lang w:val="en-GB"/>
        </w:rPr>
        <w:t>PREDSJEDNICA</w:t>
      </w:r>
    </w:p>
    <w:p w14:paraId="01497A62" w14:textId="12561A3C" w:rsidR="009E015A" w:rsidRPr="005E1EB5" w:rsidRDefault="009E015A" w:rsidP="009E015A">
      <w:pPr>
        <w:jc w:val="both"/>
        <w:rPr>
          <w:rFonts w:ascii="Arial" w:hAnsi="Arial" w:cs="Arial"/>
          <w:sz w:val="22"/>
          <w:lang w:val="en-GB"/>
        </w:rPr>
      </w:pPr>
      <w:r w:rsidRPr="005E1EB5">
        <w:rPr>
          <w:rFonts w:ascii="Arial" w:hAnsi="Arial" w:cs="Arial"/>
          <w:b/>
          <w:sz w:val="22"/>
          <w:lang w:val="en-GB"/>
        </w:rPr>
        <w:tab/>
      </w:r>
      <w:r w:rsidRPr="005E1EB5">
        <w:rPr>
          <w:rFonts w:ascii="Arial" w:hAnsi="Arial" w:cs="Arial"/>
          <w:b/>
          <w:sz w:val="22"/>
          <w:lang w:val="en-GB"/>
        </w:rPr>
        <w:tab/>
      </w:r>
      <w:r w:rsidRPr="005E1EB5">
        <w:rPr>
          <w:rFonts w:ascii="Arial" w:hAnsi="Arial" w:cs="Arial"/>
          <w:b/>
          <w:sz w:val="22"/>
          <w:lang w:val="en-GB"/>
        </w:rPr>
        <w:tab/>
      </w:r>
      <w:r w:rsidRPr="005E1EB5">
        <w:rPr>
          <w:rFonts w:ascii="Arial" w:hAnsi="Arial" w:cs="Arial"/>
          <w:b/>
          <w:sz w:val="22"/>
          <w:lang w:val="en-GB"/>
        </w:rPr>
        <w:tab/>
      </w:r>
      <w:r w:rsidRPr="005E1EB5">
        <w:rPr>
          <w:rFonts w:ascii="Arial" w:hAnsi="Arial" w:cs="Arial"/>
          <w:b/>
          <w:sz w:val="22"/>
          <w:lang w:val="en-GB"/>
        </w:rPr>
        <w:tab/>
      </w:r>
      <w:r w:rsidRPr="005E1EB5">
        <w:rPr>
          <w:rFonts w:ascii="Arial" w:hAnsi="Arial" w:cs="Arial"/>
          <w:b/>
          <w:sz w:val="22"/>
          <w:lang w:val="en-GB"/>
        </w:rPr>
        <w:tab/>
      </w:r>
      <w:r w:rsidRPr="005E1EB5">
        <w:rPr>
          <w:rFonts w:ascii="Arial" w:hAnsi="Arial" w:cs="Arial"/>
          <w:b/>
          <w:sz w:val="22"/>
          <w:lang w:val="en-GB"/>
        </w:rPr>
        <w:tab/>
      </w:r>
      <w:r w:rsidRPr="005E1EB5">
        <w:rPr>
          <w:rFonts w:ascii="Arial" w:hAnsi="Arial" w:cs="Arial"/>
          <w:b/>
          <w:sz w:val="22"/>
          <w:lang w:val="en-GB"/>
        </w:rPr>
        <w:tab/>
        <w:t xml:space="preserve">           </w:t>
      </w:r>
      <w:r w:rsidR="00371214">
        <w:rPr>
          <w:rFonts w:ascii="Arial" w:hAnsi="Arial" w:cs="Arial"/>
          <w:b/>
          <w:sz w:val="22"/>
          <w:lang w:val="en-GB"/>
        </w:rPr>
        <w:tab/>
      </w:r>
      <w:r w:rsidR="00371214">
        <w:rPr>
          <w:rFonts w:ascii="Arial" w:hAnsi="Arial" w:cs="Arial"/>
          <w:b/>
          <w:sz w:val="22"/>
          <w:lang w:val="en-GB"/>
        </w:rPr>
        <w:tab/>
      </w:r>
      <w:r w:rsidR="00371214">
        <w:rPr>
          <w:rFonts w:ascii="Arial" w:hAnsi="Arial" w:cs="Arial"/>
          <w:b/>
          <w:sz w:val="22"/>
          <w:lang w:val="en-GB"/>
        </w:rPr>
        <w:tab/>
      </w:r>
      <w:r w:rsidR="00371214">
        <w:rPr>
          <w:rFonts w:ascii="Arial" w:hAnsi="Arial" w:cs="Arial"/>
          <w:b/>
          <w:sz w:val="22"/>
          <w:lang w:val="en-GB"/>
        </w:rPr>
        <w:tab/>
      </w:r>
      <w:r w:rsidR="00371214">
        <w:rPr>
          <w:rFonts w:ascii="Arial" w:hAnsi="Arial" w:cs="Arial"/>
          <w:b/>
          <w:sz w:val="22"/>
          <w:lang w:val="en-GB"/>
        </w:rPr>
        <w:tab/>
      </w:r>
      <w:r w:rsidR="00371214">
        <w:rPr>
          <w:rFonts w:ascii="Arial" w:hAnsi="Arial" w:cs="Arial"/>
          <w:b/>
          <w:sz w:val="22"/>
          <w:lang w:val="en-GB"/>
        </w:rPr>
        <w:tab/>
      </w:r>
      <w:proofErr w:type="spellStart"/>
      <w:r w:rsidRPr="005E1EB5">
        <w:rPr>
          <w:rFonts w:ascii="Arial" w:hAnsi="Arial" w:cs="Arial"/>
          <w:sz w:val="22"/>
          <w:lang w:val="en-GB"/>
        </w:rPr>
        <w:t>Gradskog</w:t>
      </w:r>
      <w:proofErr w:type="spellEnd"/>
      <w:r w:rsidRPr="005E1EB5">
        <w:rPr>
          <w:rFonts w:ascii="Arial" w:hAnsi="Arial" w:cs="Arial"/>
          <w:sz w:val="22"/>
          <w:lang w:val="en-GB"/>
        </w:rPr>
        <w:t xml:space="preserve"> </w:t>
      </w:r>
      <w:proofErr w:type="spellStart"/>
      <w:r w:rsidRPr="005E1EB5">
        <w:rPr>
          <w:rFonts w:ascii="Arial" w:hAnsi="Arial" w:cs="Arial"/>
          <w:sz w:val="22"/>
          <w:lang w:val="en-GB"/>
        </w:rPr>
        <w:t>vijeća</w:t>
      </w:r>
      <w:proofErr w:type="spellEnd"/>
    </w:p>
    <w:p w14:paraId="7AE8B201" w14:textId="77777777" w:rsidR="009E015A" w:rsidRPr="005E1EB5" w:rsidRDefault="009E015A" w:rsidP="009E015A">
      <w:pPr>
        <w:jc w:val="both"/>
        <w:rPr>
          <w:rFonts w:ascii="Arial" w:hAnsi="Arial" w:cs="Arial"/>
          <w:sz w:val="22"/>
          <w:lang w:val="en-GB"/>
        </w:rPr>
      </w:pPr>
    </w:p>
    <w:p w14:paraId="220D0943" w14:textId="32735D36" w:rsidR="009E015A" w:rsidRPr="00FB4CDD" w:rsidRDefault="009E015A" w:rsidP="00FB4CDD">
      <w:pPr>
        <w:jc w:val="both"/>
        <w:rPr>
          <w:rFonts w:ascii="Arial" w:hAnsi="Arial" w:cs="Arial"/>
          <w:sz w:val="22"/>
          <w:lang w:val="en-GB"/>
        </w:rPr>
        <w:sectPr w:rsidR="009E015A" w:rsidRPr="00FB4CDD" w:rsidSect="00752A67">
          <w:footerReference w:type="default" r:id="rId9"/>
          <w:pgSz w:w="16838" w:h="11906" w:orient="landscape"/>
          <w:pgMar w:top="1417" w:right="1417" w:bottom="1417" w:left="1417" w:header="708" w:footer="708" w:gutter="0"/>
          <w:pgNumType w:start="6" w:chapStyle="1"/>
          <w:cols w:space="708"/>
          <w:docGrid w:linePitch="360"/>
        </w:sectPr>
      </w:pPr>
      <w:r w:rsidRPr="005E1EB5">
        <w:rPr>
          <w:rFonts w:ascii="Arial" w:hAnsi="Arial" w:cs="Arial"/>
          <w:sz w:val="22"/>
          <w:lang w:val="en-GB"/>
        </w:rPr>
        <w:tab/>
      </w:r>
      <w:r w:rsidRPr="005E1EB5">
        <w:rPr>
          <w:rFonts w:ascii="Arial" w:hAnsi="Arial" w:cs="Arial"/>
          <w:sz w:val="22"/>
          <w:lang w:val="en-GB"/>
        </w:rPr>
        <w:tab/>
      </w:r>
      <w:r w:rsidRPr="005E1EB5">
        <w:rPr>
          <w:rFonts w:ascii="Arial" w:hAnsi="Arial" w:cs="Arial"/>
          <w:sz w:val="22"/>
          <w:lang w:val="en-GB"/>
        </w:rPr>
        <w:tab/>
      </w:r>
      <w:r w:rsidRPr="005E1EB5">
        <w:rPr>
          <w:rFonts w:ascii="Arial" w:hAnsi="Arial" w:cs="Arial"/>
          <w:sz w:val="22"/>
          <w:lang w:val="en-GB"/>
        </w:rPr>
        <w:tab/>
      </w:r>
      <w:r w:rsidRPr="005E1EB5">
        <w:rPr>
          <w:rFonts w:ascii="Arial" w:hAnsi="Arial" w:cs="Arial"/>
          <w:sz w:val="22"/>
          <w:lang w:val="en-GB"/>
        </w:rPr>
        <w:tab/>
      </w:r>
      <w:r w:rsidRPr="005E1EB5">
        <w:rPr>
          <w:rFonts w:ascii="Arial" w:hAnsi="Arial" w:cs="Arial"/>
          <w:sz w:val="22"/>
          <w:lang w:val="en-GB"/>
        </w:rPr>
        <w:tab/>
      </w:r>
      <w:r w:rsidRPr="005E1EB5">
        <w:rPr>
          <w:rFonts w:ascii="Arial" w:hAnsi="Arial" w:cs="Arial"/>
          <w:sz w:val="22"/>
          <w:lang w:val="en-GB"/>
        </w:rPr>
        <w:tab/>
      </w:r>
      <w:r w:rsidRPr="005E1EB5">
        <w:rPr>
          <w:rFonts w:ascii="Arial" w:hAnsi="Arial" w:cs="Arial"/>
          <w:sz w:val="22"/>
          <w:lang w:val="en-GB"/>
        </w:rPr>
        <w:tab/>
        <w:t xml:space="preserve">            </w:t>
      </w:r>
      <w:r w:rsidR="00371214">
        <w:rPr>
          <w:rFonts w:ascii="Arial" w:hAnsi="Arial" w:cs="Arial"/>
          <w:sz w:val="22"/>
          <w:lang w:val="en-GB"/>
        </w:rPr>
        <w:t xml:space="preserve">                                                          </w:t>
      </w:r>
      <w:r w:rsidR="00E12D20">
        <w:rPr>
          <w:rFonts w:ascii="Arial" w:hAnsi="Arial" w:cs="Arial"/>
          <w:sz w:val="22"/>
          <w:lang w:val="en-GB"/>
        </w:rPr>
        <w:t>Nena Ružić</w:t>
      </w:r>
      <w:r>
        <w:rPr>
          <w:rFonts w:ascii="Arial" w:hAnsi="Arial" w:cs="Arial"/>
          <w:sz w:val="22"/>
          <w:lang w:val="en-GB"/>
        </w:rPr>
        <w:t xml:space="preserve">, </w:t>
      </w:r>
      <w:proofErr w:type="spellStart"/>
      <w:proofErr w:type="gramStart"/>
      <w:r>
        <w:rPr>
          <w:rFonts w:ascii="Arial" w:hAnsi="Arial" w:cs="Arial"/>
          <w:sz w:val="22"/>
          <w:lang w:val="en-GB"/>
        </w:rPr>
        <w:t>v</w:t>
      </w:r>
      <w:r w:rsidR="001559AF">
        <w:rPr>
          <w:rFonts w:ascii="Arial" w:hAnsi="Arial" w:cs="Arial"/>
          <w:sz w:val="22"/>
          <w:lang w:val="en-GB"/>
        </w:rPr>
        <w:t>.</w:t>
      </w:r>
      <w:r w:rsidR="00FE2C23">
        <w:rPr>
          <w:rFonts w:ascii="Arial" w:hAnsi="Arial" w:cs="Arial"/>
          <w:sz w:val="22"/>
          <w:lang w:val="en-GB"/>
        </w:rPr>
        <w:t>r</w:t>
      </w:r>
      <w:proofErr w:type="spellEnd"/>
      <w:proofErr w:type="gramEnd"/>
    </w:p>
    <w:p w14:paraId="1A41E28C" w14:textId="2C987F2B" w:rsidR="005A5C29" w:rsidRPr="00561D44" w:rsidRDefault="00A87320" w:rsidP="00473BE3">
      <w:pPr>
        <w:pStyle w:val="Naslov1"/>
        <w:ind w:left="360"/>
        <w:jc w:val="center"/>
        <w:rPr>
          <w:rFonts w:ascii="Arial" w:hAnsi="Arial" w:cs="Arial"/>
          <w:b/>
          <w:color w:val="auto"/>
          <w:sz w:val="24"/>
          <w:szCs w:val="24"/>
        </w:rPr>
      </w:pPr>
      <w:bookmarkStart w:id="3" w:name="_Toc116629381"/>
      <w:bookmarkStart w:id="4" w:name="_Hlk123046592"/>
      <w:bookmarkStart w:id="5" w:name="_Hlk167864161"/>
      <w:r>
        <w:rPr>
          <w:rFonts w:ascii="Arial" w:hAnsi="Arial" w:cs="Arial"/>
          <w:b/>
          <w:color w:val="auto"/>
          <w:sz w:val="24"/>
          <w:szCs w:val="24"/>
        </w:rPr>
        <w:lastRenderedPageBreak/>
        <w:t>3</w:t>
      </w:r>
      <w:r w:rsidR="00475127" w:rsidRPr="00561D44">
        <w:rPr>
          <w:rFonts w:ascii="Arial" w:hAnsi="Arial" w:cs="Arial"/>
          <w:b/>
          <w:color w:val="auto"/>
          <w:sz w:val="24"/>
          <w:szCs w:val="24"/>
        </w:rPr>
        <w:t xml:space="preserve">. Obrazloženje </w:t>
      </w:r>
      <w:r w:rsidR="00084345">
        <w:rPr>
          <w:rFonts w:ascii="Arial" w:hAnsi="Arial" w:cs="Arial"/>
          <w:b/>
          <w:color w:val="auto"/>
          <w:sz w:val="24"/>
          <w:szCs w:val="24"/>
        </w:rPr>
        <w:t xml:space="preserve">Prvih izmjena i dopuna </w:t>
      </w:r>
      <w:r w:rsidR="00475127" w:rsidRPr="00561D44">
        <w:rPr>
          <w:rFonts w:ascii="Arial" w:hAnsi="Arial" w:cs="Arial"/>
          <w:b/>
          <w:color w:val="auto"/>
          <w:sz w:val="24"/>
          <w:szCs w:val="24"/>
        </w:rPr>
        <w:t>Proračuna Grada Labina za 202</w:t>
      </w:r>
      <w:r w:rsidR="00950446">
        <w:rPr>
          <w:rFonts w:ascii="Arial" w:hAnsi="Arial" w:cs="Arial"/>
          <w:b/>
          <w:color w:val="auto"/>
          <w:sz w:val="24"/>
          <w:szCs w:val="24"/>
        </w:rPr>
        <w:t>5</w:t>
      </w:r>
      <w:r w:rsidR="00475127" w:rsidRPr="00561D44">
        <w:rPr>
          <w:rFonts w:ascii="Arial" w:hAnsi="Arial" w:cs="Arial"/>
          <w:b/>
          <w:color w:val="auto"/>
          <w:sz w:val="24"/>
          <w:szCs w:val="24"/>
        </w:rPr>
        <w:t>. godinu sa projekcijom 202</w:t>
      </w:r>
      <w:r w:rsidR="00950446">
        <w:rPr>
          <w:rFonts w:ascii="Arial" w:hAnsi="Arial" w:cs="Arial"/>
          <w:b/>
          <w:color w:val="auto"/>
          <w:sz w:val="24"/>
          <w:szCs w:val="24"/>
        </w:rPr>
        <w:t>6</w:t>
      </w:r>
      <w:r w:rsidR="00475127" w:rsidRPr="00561D44">
        <w:rPr>
          <w:rFonts w:ascii="Arial" w:hAnsi="Arial" w:cs="Arial"/>
          <w:b/>
          <w:color w:val="auto"/>
          <w:sz w:val="24"/>
          <w:szCs w:val="24"/>
        </w:rPr>
        <w:t>. i 202</w:t>
      </w:r>
      <w:r w:rsidR="00950446">
        <w:rPr>
          <w:rFonts w:ascii="Arial" w:hAnsi="Arial" w:cs="Arial"/>
          <w:b/>
          <w:color w:val="auto"/>
          <w:sz w:val="24"/>
          <w:szCs w:val="24"/>
        </w:rPr>
        <w:t>7</w:t>
      </w:r>
      <w:r w:rsidR="00475127" w:rsidRPr="00561D44">
        <w:rPr>
          <w:rFonts w:ascii="Arial" w:hAnsi="Arial" w:cs="Arial"/>
          <w:b/>
          <w:color w:val="auto"/>
          <w:sz w:val="24"/>
          <w:szCs w:val="24"/>
        </w:rPr>
        <w:t>. godine</w:t>
      </w:r>
      <w:bookmarkEnd w:id="3"/>
      <w:bookmarkEnd w:id="4"/>
    </w:p>
    <w:p w14:paraId="6C9CD0F3" w14:textId="77777777" w:rsidR="005A5C29" w:rsidRDefault="005A5C29" w:rsidP="005A5C29">
      <w:pPr>
        <w:jc w:val="both"/>
        <w:rPr>
          <w:rFonts w:ascii="Arial" w:hAnsi="Arial" w:cs="Arial"/>
          <w:bCs/>
          <w:sz w:val="22"/>
          <w:lang w:val="en-GB"/>
        </w:rPr>
      </w:pPr>
    </w:p>
    <w:p w14:paraId="5708EE0A" w14:textId="24557792" w:rsidR="005A5C29" w:rsidRDefault="00A87320" w:rsidP="00A06700">
      <w:pPr>
        <w:pStyle w:val="Naslov1"/>
        <w:jc w:val="center"/>
        <w:rPr>
          <w:rFonts w:ascii="Arial" w:hAnsi="Arial" w:cs="Arial"/>
          <w:b/>
          <w:color w:val="auto"/>
          <w:sz w:val="24"/>
          <w:szCs w:val="24"/>
        </w:rPr>
      </w:pPr>
      <w:bookmarkStart w:id="6" w:name="_Hlk202942321"/>
      <w:r>
        <w:rPr>
          <w:rFonts w:ascii="Arial" w:hAnsi="Arial" w:cs="Arial"/>
          <w:b/>
          <w:color w:val="auto"/>
          <w:sz w:val="24"/>
          <w:szCs w:val="24"/>
        </w:rPr>
        <w:t>3.1.</w:t>
      </w:r>
      <w:r w:rsidR="00B4637B">
        <w:rPr>
          <w:rFonts w:ascii="Arial" w:hAnsi="Arial" w:cs="Arial"/>
          <w:b/>
          <w:color w:val="auto"/>
          <w:sz w:val="24"/>
          <w:szCs w:val="24"/>
        </w:rPr>
        <w:t xml:space="preserve"> </w:t>
      </w:r>
      <w:r>
        <w:rPr>
          <w:rFonts w:ascii="Arial" w:hAnsi="Arial" w:cs="Arial"/>
          <w:b/>
          <w:color w:val="auto"/>
          <w:sz w:val="24"/>
          <w:szCs w:val="24"/>
        </w:rPr>
        <w:t>OBRAZLOŽENJE OPĆEG DIJELA PRORAČUNA</w:t>
      </w:r>
    </w:p>
    <w:p w14:paraId="62072D14" w14:textId="1E4AE804" w:rsidR="004B5128" w:rsidRPr="00D20E84" w:rsidRDefault="004B5128" w:rsidP="004B5128">
      <w:pPr>
        <w:keepNext/>
        <w:keepLines/>
        <w:spacing w:before="200"/>
        <w:outlineLvl w:val="1"/>
        <w:rPr>
          <w:rFonts w:ascii="Arial" w:hAnsi="Arial" w:cs="Arial"/>
          <w:b/>
          <w:bCs/>
          <w:sz w:val="22"/>
        </w:rPr>
      </w:pPr>
    </w:p>
    <w:bookmarkEnd w:id="6"/>
    <w:p w14:paraId="3A32BBAB" w14:textId="77777777" w:rsidR="004B1471" w:rsidRPr="00D20E84" w:rsidRDefault="004B1471" w:rsidP="004B1471">
      <w:pPr>
        <w:keepNext/>
        <w:outlineLvl w:val="0"/>
        <w:rPr>
          <w:rFonts w:ascii="Arial" w:eastAsia="Arial Unicode MS" w:hAnsi="Arial" w:cs="Arial"/>
          <w:b/>
          <w:bCs/>
        </w:rPr>
      </w:pPr>
      <w:r w:rsidRPr="00D20E84">
        <w:rPr>
          <w:rFonts w:ascii="Arial" w:eastAsia="Arial Unicode MS" w:hAnsi="Arial" w:cs="Arial"/>
          <w:b/>
          <w:bCs/>
        </w:rPr>
        <w:t>U  V  O  D</w:t>
      </w:r>
    </w:p>
    <w:p w14:paraId="47567300" w14:textId="77777777" w:rsidR="004B1471" w:rsidRPr="00D20E84" w:rsidRDefault="004B1471" w:rsidP="004B1471">
      <w:pPr>
        <w:keepNext/>
        <w:outlineLvl w:val="0"/>
        <w:rPr>
          <w:rFonts w:ascii="Arial" w:eastAsia="Arial Unicode MS" w:hAnsi="Arial" w:cs="Arial"/>
          <w:b/>
          <w:bCs/>
        </w:rPr>
      </w:pPr>
    </w:p>
    <w:p w14:paraId="5A86A5B5" w14:textId="77777777" w:rsidR="004B1471" w:rsidRDefault="004B1471" w:rsidP="004B1471">
      <w:pPr>
        <w:jc w:val="both"/>
        <w:rPr>
          <w:rFonts w:ascii="Arial" w:hAnsi="Arial" w:cs="Arial"/>
          <w:sz w:val="22"/>
        </w:rPr>
      </w:pPr>
      <w:r w:rsidRPr="00D20E84">
        <w:rPr>
          <w:rFonts w:ascii="Arial" w:hAnsi="Arial" w:cs="Arial"/>
          <w:sz w:val="22"/>
        </w:rPr>
        <w:t>Proračun Grada Labina za 202</w:t>
      </w:r>
      <w:r>
        <w:rPr>
          <w:rFonts w:ascii="Arial" w:hAnsi="Arial" w:cs="Arial"/>
          <w:sz w:val="22"/>
        </w:rPr>
        <w:t>5</w:t>
      </w:r>
      <w:r w:rsidRPr="00D20E84">
        <w:rPr>
          <w:rFonts w:ascii="Arial" w:hAnsi="Arial" w:cs="Arial"/>
          <w:sz w:val="22"/>
        </w:rPr>
        <w:t>. godinu donijet je u prosincu 202</w:t>
      </w:r>
      <w:r>
        <w:rPr>
          <w:rFonts w:ascii="Arial" w:hAnsi="Arial" w:cs="Arial"/>
          <w:sz w:val="22"/>
        </w:rPr>
        <w:t>4</w:t>
      </w:r>
      <w:r w:rsidRPr="00D20E84">
        <w:rPr>
          <w:rFonts w:ascii="Arial" w:hAnsi="Arial" w:cs="Arial"/>
          <w:sz w:val="22"/>
        </w:rPr>
        <w:t>. godine u iznosu od  2</w:t>
      </w:r>
      <w:r>
        <w:rPr>
          <w:rFonts w:ascii="Arial" w:hAnsi="Arial" w:cs="Arial"/>
          <w:sz w:val="22"/>
        </w:rPr>
        <w:t>7</w:t>
      </w:r>
      <w:r w:rsidRPr="00D20E84">
        <w:rPr>
          <w:rFonts w:ascii="Arial" w:eastAsia="Calibri" w:hAnsi="Arial" w:cs="Arial"/>
          <w:sz w:val="22"/>
        </w:rPr>
        <w:t>.</w:t>
      </w:r>
      <w:r>
        <w:rPr>
          <w:rFonts w:ascii="Arial" w:eastAsia="Calibri" w:hAnsi="Arial" w:cs="Arial"/>
          <w:sz w:val="22"/>
        </w:rPr>
        <w:t>480</w:t>
      </w:r>
      <w:r w:rsidRPr="00D20E84">
        <w:rPr>
          <w:rFonts w:ascii="Arial" w:eastAsia="Calibri" w:hAnsi="Arial" w:cs="Arial"/>
          <w:sz w:val="22"/>
        </w:rPr>
        <w:t>.</w:t>
      </w:r>
      <w:r>
        <w:rPr>
          <w:rFonts w:ascii="Arial" w:eastAsia="Calibri" w:hAnsi="Arial" w:cs="Arial"/>
          <w:sz w:val="22"/>
        </w:rPr>
        <w:t>306</w:t>
      </w:r>
      <w:r w:rsidRPr="00D20E84">
        <w:rPr>
          <w:rFonts w:ascii="Arial" w:eastAsia="Calibri" w:hAnsi="Arial" w:cs="Arial"/>
          <w:sz w:val="22"/>
        </w:rPr>
        <w:t xml:space="preserve">,00 </w:t>
      </w:r>
      <w:r>
        <w:rPr>
          <w:rFonts w:ascii="Arial" w:eastAsia="Calibri" w:hAnsi="Arial" w:cs="Arial"/>
          <w:sz w:val="22"/>
        </w:rPr>
        <w:t>EUR</w:t>
      </w:r>
      <w:r w:rsidRPr="00D20E84">
        <w:rPr>
          <w:rFonts w:ascii="Arial" w:hAnsi="Arial" w:cs="Arial"/>
          <w:sz w:val="22"/>
        </w:rPr>
        <w:t xml:space="preserve"> od čega su:</w:t>
      </w:r>
    </w:p>
    <w:p w14:paraId="7A90015E" w14:textId="77777777" w:rsidR="004B1471" w:rsidRPr="00D20E84" w:rsidRDefault="004B1471" w:rsidP="004B1471">
      <w:pPr>
        <w:jc w:val="both"/>
        <w:rPr>
          <w:rFonts w:ascii="Arial" w:hAnsi="Arial" w:cs="Arial"/>
          <w:sz w:val="22"/>
        </w:rPr>
      </w:pPr>
    </w:p>
    <w:tbl>
      <w:tblPr>
        <w:tblW w:w="8692" w:type="dxa"/>
        <w:tblInd w:w="113" w:type="dxa"/>
        <w:tblLook w:val="04A0" w:firstRow="1" w:lastRow="0" w:firstColumn="1" w:lastColumn="0" w:noHBand="0" w:noVBand="1"/>
      </w:tblPr>
      <w:tblGrid>
        <w:gridCol w:w="6159"/>
        <w:gridCol w:w="2533"/>
      </w:tblGrid>
      <w:tr w:rsidR="004B1471" w:rsidRPr="00F5303A" w14:paraId="10308DF5" w14:textId="77777777" w:rsidTr="002815DB">
        <w:trPr>
          <w:trHeight w:val="332"/>
        </w:trPr>
        <w:tc>
          <w:tcPr>
            <w:tcW w:w="6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17394" w14:textId="77777777" w:rsidR="004B1471" w:rsidRPr="00F5303A" w:rsidRDefault="004B1471" w:rsidP="002815DB">
            <w:pPr>
              <w:rPr>
                <w:rFonts w:ascii="Arial" w:hAnsi="Arial" w:cs="Arial"/>
                <w:sz w:val="22"/>
              </w:rPr>
            </w:pPr>
            <w:r w:rsidRPr="00F5303A">
              <w:rPr>
                <w:rFonts w:ascii="Arial" w:hAnsi="Arial" w:cs="Arial"/>
                <w:sz w:val="22"/>
              </w:rPr>
              <w:t>prihod</w:t>
            </w:r>
            <w:r>
              <w:rPr>
                <w:rFonts w:ascii="Arial" w:hAnsi="Arial" w:cs="Arial"/>
                <w:sz w:val="22"/>
              </w:rPr>
              <w:t>i</w:t>
            </w:r>
            <w:r w:rsidRPr="00F5303A">
              <w:rPr>
                <w:rFonts w:ascii="Arial" w:hAnsi="Arial" w:cs="Arial"/>
                <w:sz w:val="22"/>
              </w:rPr>
              <w:t xml:space="preserve"> poslovanja</w:t>
            </w:r>
          </w:p>
        </w:tc>
        <w:tc>
          <w:tcPr>
            <w:tcW w:w="2533" w:type="dxa"/>
            <w:tcBorders>
              <w:top w:val="single" w:sz="4" w:space="0" w:color="auto"/>
              <w:left w:val="nil"/>
              <w:bottom w:val="single" w:sz="4" w:space="0" w:color="auto"/>
              <w:right w:val="single" w:sz="4" w:space="0" w:color="auto"/>
            </w:tcBorders>
            <w:shd w:val="clear" w:color="auto" w:fill="auto"/>
            <w:noWrap/>
            <w:vAlign w:val="bottom"/>
            <w:hideMark/>
          </w:tcPr>
          <w:p w14:paraId="440BB521" w14:textId="77777777" w:rsidR="004B1471" w:rsidRPr="00F5303A" w:rsidRDefault="004B1471" w:rsidP="002815DB">
            <w:pPr>
              <w:jc w:val="right"/>
              <w:rPr>
                <w:rFonts w:ascii="Arial" w:hAnsi="Arial" w:cs="Arial"/>
                <w:sz w:val="22"/>
              </w:rPr>
            </w:pPr>
            <w:r w:rsidRPr="00BC2006">
              <w:rPr>
                <w:rFonts w:ascii="Arial" w:hAnsi="Arial" w:cs="Arial"/>
                <w:sz w:val="22"/>
              </w:rPr>
              <w:t>25.216.864,00</w:t>
            </w:r>
          </w:p>
        </w:tc>
      </w:tr>
      <w:tr w:rsidR="004B1471" w:rsidRPr="00F5303A" w14:paraId="316F980E" w14:textId="77777777" w:rsidTr="002815DB">
        <w:trPr>
          <w:trHeight w:val="332"/>
        </w:trPr>
        <w:tc>
          <w:tcPr>
            <w:tcW w:w="6159" w:type="dxa"/>
            <w:tcBorders>
              <w:top w:val="nil"/>
              <w:left w:val="single" w:sz="4" w:space="0" w:color="auto"/>
              <w:bottom w:val="single" w:sz="4" w:space="0" w:color="auto"/>
              <w:right w:val="single" w:sz="4" w:space="0" w:color="auto"/>
            </w:tcBorders>
            <w:shd w:val="clear" w:color="auto" w:fill="auto"/>
            <w:noWrap/>
            <w:vAlign w:val="center"/>
            <w:hideMark/>
          </w:tcPr>
          <w:p w14:paraId="31C29C36" w14:textId="77777777" w:rsidR="004B1471" w:rsidRPr="00F5303A" w:rsidRDefault="004B1471" w:rsidP="002815DB">
            <w:pPr>
              <w:jc w:val="both"/>
              <w:rPr>
                <w:rFonts w:ascii="Arial" w:hAnsi="Arial" w:cs="Arial"/>
                <w:sz w:val="22"/>
              </w:rPr>
            </w:pPr>
            <w:r w:rsidRPr="00F5303A">
              <w:rPr>
                <w:rFonts w:ascii="Arial" w:hAnsi="Arial" w:cs="Arial"/>
                <w:sz w:val="22"/>
              </w:rPr>
              <w:t>prihod</w:t>
            </w:r>
            <w:r>
              <w:rPr>
                <w:rFonts w:ascii="Arial" w:hAnsi="Arial" w:cs="Arial"/>
                <w:sz w:val="22"/>
              </w:rPr>
              <w:t>i</w:t>
            </w:r>
            <w:r w:rsidRPr="00F5303A">
              <w:rPr>
                <w:rFonts w:ascii="Arial" w:hAnsi="Arial" w:cs="Arial"/>
                <w:sz w:val="22"/>
              </w:rPr>
              <w:t xml:space="preserve"> od prodaje nefinancijske imovine        </w:t>
            </w:r>
          </w:p>
        </w:tc>
        <w:tc>
          <w:tcPr>
            <w:tcW w:w="2533" w:type="dxa"/>
            <w:tcBorders>
              <w:top w:val="nil"/>
              <w:left w:val="nil"/>
              <w:bottom w:val="single" w:sz="4" w:space="0" w:color="auto"/>
              <w:right w:val="single" w:sz="4" w:space="0" w:color="auto"/>
            </w:tcBorders>
            <w:shd w:val="clear" w:color="auto" w:fill="auto"/>
            <w:noWrap/>
            <w:vAlign w:val="bottom"/>
            <w:hideMark/>
          </w:tcPr>
          <w:p w14:paraId="11EFA3E7" w14:textId="77777777" w:rsidR="004B1471" w:rsidRPr="00F5303A" w:rsidRDefault="004B1471" w:rsidP="002815DB">
            <w:pPr>
              <w:jc w:val="right"/>
              <w:rPr>
                <w:rFonts w:ascii="Arial" w:hAnsi="Arial" w:cs="Arial"/>
                <w:sz w:val="22"/>
              </w:rPr>
            </w:pPr>
            <w:r w:rsidRPr="00F5303A">
              <w:rPr>
                <w:rFonts w:ascii="Arial" w:hAnsi="Arial" w:cs="Arial"/>
                <w:sz w:val="22"/>
              </w:rPr>
              <w:t>2.239.910,00</w:t>
            </w:r>
          </w:p>
        </w:tc>
      </w:tr>
      <w:tr w:rsidR="004B1471" w:rsidRPr="00F5303A" w14:paraId="487647F3" w14:textId="77777777" w:rsidTr="002815DB">
        <w:trPr>
          <w:trHeight w:val="332"/>
        </w:trPr>
        <w:tc>
          <w:tcPr>
            <w:tcW w:w="6159" w:type="dxa"/>
            <w:tcBorders>
              <w:top w:val="nil"/>
              <w:left w:val="single" w:sz="4" w:space="0" w:color="auto"/>
              <w:bottom w:val="single" w:sz="4" w:space="0" w:color="auto"/>
              <w:right w:val="single" w:sz="4" w:space="0" w:color="auto"/>
            </w:tcBorders>
            <w:shd w:val="clear" w:color="auto" w:fill="auto"/>
            <w:noWrap/>
            <w:vAlign w:val="bottom"/>
            <w:hideMark/>
          </w:tcPr>
          <w:p w14:paraId="21292156" w14:textId="77777777" w:rsidR="004B1471" w:rsidRPr="00F5303A" w:rsidRDefault="004B1471" w:rsidP="002815DB">
            <w:pPr>
              <w:rPr>
                <w:rFonts w:ascii="Arial" w:hAnsi="Arial" w:cs="Arial"/>
                <w:sz w:val="22"/>
              </w:rPr>
            </w:pPr>
            <w:r w:rsidRPr="00F5303A">
              <w:rPr>
                <w:rFonts w:ascii="Arial" w:hAnsi="Arial" w:cs="Arial"/>
                <w:sz w:val="22"/>
              </w:rPr>
              <w:t xml:space="preserve">primici od financijske imovine i zaduživanja  </w:t>
            </w:r>
          </w:p>
        </w:tc>
        <w:tc>
          <w:tcPr>
            <w:tcW w:w="2533" w:type="dxa"/>
            <w:tcBorders>
              <w:top w:val="nil"/>
              <w:left w:val="nil"/>
              <w:bottom w:val="single" w:sz="4" w:space="0" w:color="auto"/>
              <w:right w:val="single" w:sz="4" w:space="0" w:color="auto"/>
            </w:tcBorders>
            <w:shd w:val="clear" w:color="auto" w:fill="auto"/>
            <w:noWrap/>
            <w:vAlign w:val="bottom"/>
            <w:hideMark/>
          </w:tcPr>
          <w:p w14:paraId="41F0A853" w14:textId="77777777" w:rsidR="004B1471" w:rsidRPr="00F5303A" w:rsidRDefault="004B1471" w:rsidP="002815DB">
            <w:pPr>
              <w:jc w:val="right"/>
              <w:rPr>
                <w:rFonts w:ascii="Arial" w:hAnsi="Arial" w:cs="Arial"/>
                <w:sz w:val="22"/>
              </w:rPr>
            </w:pPr>
            <w:r w:rsidRPr="00F5303A">
              <w:rPr>
                <w:rFonts w:ascii="Arial" w:hAnsi="Arial" w:cs="Arial"/>
                <w:sz w:val="22"/>
              </w:rPr>
              <w:t>0,00</w:t>
            </w:r>
          </w:p>
        </w:tc>
      </w:tr>
      <w:tr w:rsidR="004B1471" w:rsidRPr="00F5303A" w14:paraId="72F34A76" w14:textId="77777777" w:rsidTr="002815DB">
        <w:trPr>
          <w:trHeight w:val="332"/>
        </w:trPr>
        <w:tc>
          <w:tcPr>
            <w:tcW w:w="6159" w:type="dxa"/>
            <w:tcBorders>
              <w:top w:val="nil"/>
              <w:left w:val="single" w:sz="4" w:space="0" w:color="auto"/>
              <w:bottom w:val="single" w:sz="4" w:space="0" w:color="auto"/>
              <w:right w:val="single" w:sz="4" w:space="0" w:color="auto"/>
            </w:tcBorders>
            <w:shd w:val="clear" w:color="auto" w:fill="auto"/>
            <w:noWrap/>
            <w:vAlign w:val="bottom"/>
            <w:hideMark/>
          </w:tcPr>
          <w:p w14:paraId="7CB32046" w14:textId="77777777" w:rsidR="004B1471" w:rsidRPr="00F5303A" w:rsidRDefault="004B1471" w:rsidP="002815DB">
            <w:pPr>
              <w:rPr>
                <w:rFonts w:ascii="Arial" w:hAnsi="Arial" w:cs="Arial"/>
                <w:sz w:val="22"/>
              </w:rPr>
            </w:pPr>
            <w:r w:rsidRPr="00F5303A">
              <w:rPr>
                <w:rFonts w:ascii="Arial" w:hAnsi="Arial" w:cs="Arial"/>
                <w:sz w:val="22"/>
              </w:rPr>
              <w:t xml:space="preserve">višak prethodne godine                                                    </w:t>
            </w:r>
          </w:p>
        </w:tc>
        <w:tc>
          <w:tcPr>
            <w:tcW w:w="2533" w:type="dxa"/>
            <w:tcBorders>
              <w:top w:val="nil"/>
              <w:left w:val="nil"/>
              <w:bottom w:val="single" w:sz="4" w:space="0" w:color="auto"/>
              <w:right w:val="single" w:sz="4" w:space="0" w:color="auto"/>
            </w:tcBorders>
            <w:shd w:val="clear" w:color="auto" w:fill="auto"/>
            <w:noWrap/>
            <w:vAlign w:val="bottom"/>
            <w:hideMark/>
          </w:tcPr>
          <w:p w14:paraId="7EEA05F3" w14:textId="77777777" w:rsidR="004B1471" w:rsidRPr="00F5303A" w:rsidRDefault="004B1471" w:rsidP="002815DB">
            <w:pPr>
              <w:jc w:val="right"/>
              <w:rPr>
                <w:rFonts w:ascii="Arial" w:hAnsi="Arial" w:cs="Arial"/>
                <w:sz w:val="22"/>
              </w:rPr>
            </w:pPr>
            <w:r w:rsidRPr="00F5303A">
              <w:rPr>
                <w:rFonts w:ascii="Arial" w:hAnsi="Arial" w:cs="Arial"/>
                <w:sz w:val="22"/>
              </w:rPr>
              <w:t>23.532,00</w:t>
            </w:r>
          </w:p>
        </w:tc>
      </w:tr>
    </w:tbl>
    <w:p w14:paraId="7A7C9590" w14:textId="77777777" w:rsidR="004B1471" w:rsidRPr="00D20E84" w:rsidRDefault="004B1471" w:rsidP="004B1471">
      <w:pPr>
        <w:rPr>
          <w:rFonts w:ascii="Arial" w:hAnsi="Arial" w:cs="Arial"/>
          <w:sz w:val="22"/>
        </w:rPr>
      </w:pPr>
    </w:p>
    <w:p w14:paraId="1882A987" w14:textId="77777777" w:rsidR="004B1471" w:rsidRPr="00D20E84" w:rsidRDefault="004B1471" w:rsidP="004B1471">
      <w:pPr>
        <w:jc w:val="both"/>
        <w:rPr>
          <w:rFonts w:ascii="Arial" w:hAnsi="Arial" w:cs="Arial"/>
          <w:sz w:val="22"/>
        </w:rPr>
      </w:pPr>
      <w:r w:rsidRPr="00D20E84">
        <w:rPr>
          <w:rFonts w:ascii="Arial" w:hAnsi="Arial" w:cs="Arial"/>
          <w:sz w:val="22"/>
        </w:rPr>
        <w:t xml:space="preserve">       </w:t>
      </w:r>
    </w:p>
    <w:p w14:paraId="67AE6F64" w14:textId="77777777" w:rsidR="004B1471" w:rsidRPr="00D20E84" w:rsidRDefault="004B1471" w:rsidP="004B1471">
      <w:pPr>
        <w:jc w:val="both"/>
        <w:rPr>
          <w:rFonts w:ascii="Arial" w:hAnsi="Arial" w:cs="Arial"/>
          <w:sz w:val="22"/>
        </w:rPr>
      </w:pPr>
      <w:r w:rsidRPr="00D20E84">
        <w:rPr>
          <w:rFonts w:ascii="Arial" w:hAnsi="Arial" w:cs="Arial"/>
          <w:sz w:val="22"/>
        </w:rPr>
        <w:t xml:space="preserve">     Ove Prve izmjene i dopune Proračuna Grada Labina za 202</w:t>
      </w:r>
      <w:r>
        <w:rPr>
          <w:rFonts w:ascii="Arial" w:hAnsi="Arial" w:cs="Arial"/>
          <w:sz w:val="22"/>
        </w:rPr>
        <w:t>5</w:t>
      </w:r>
      <w:r w:rsidRPr="00D20E84">
        <w:rPr>
          <w:rFonts w:ascii="Arial" w:hAnsi="Arial" w:cs="Arial"/>
          <w:sz w:val="22"/>
        </w:rPr>
        <w:t xml:space="preserve">. godinu, temelje se na odredbama Zakona o proračunu koji nalaže izmjene proračuna i njegovo uravnoteženje, ukoliko se ukaže potreba za povećanjem ili smanjenjem određenih prihoda ili rashoda. Analizom ostvarenja prihoda i primitaka, te rashoda i izdataka proračuna za razdoblje siječanj - </w:t>
      </w:r>
      <w:r>
        <w:rPr>
          <w:rFonts w:ascii="Arial" w:hAnsi="Arial" w:cs="Arial"/>
          <w:sz w:val="22"/>
        </w:rPr>
        <w:t>sviba</w:t>
      </w:r>
      <w:r w:rsidRPr="00D20E84">
        <w:rPr>
          <w:rFonts w:ascii="Arial" w:hAnsi="Arial" w:cs="Arial"/>
          <w:sz w:val="22"/>
        </w:rPr>
        <w:t>nj i izvršene procjene do kraja godine ocjenjuje se nužnim donijeti ove izmjene.</w:t>
      </w:r>
    </w:p>
    <w:p w14:paraId="29F436E1" w14:textId="77777777" w:rsidR="004B1471" w:rsidRPr="00D20E84" w:rsidRDefault="004B1471" w:rsidP="004B1471">
      <w:pPr>
        <w:jc w:val="both"/>
        <w:rPr>
          <w:rFonts w:ascii="Arial" w:hAnsi="Arial" w:cs="Arial"/>
          <w:sz w:val="22"/>
        </w:rPr>
      </w:pPr>
    </w:p>
    <w:p w14:paraId="18EA30A1" w14:textId="77777777" w:rsidR="004B1471" w:rsidRPr="00D20E84" w:rsidRDefault="004B1471" w:rsidP="004B1471">
      <w:pPr>
        <w:ind w:firstLine="720"/>
        <w:jc w:val="both"/>
        <w:rPr>
          <w:rFonts w:ascii="Arial" w:hAnsi="Arial" w:cs="Arial"/>
          <w:sz w:val="22"/>
        </w:rPr>
      </w:pPr>
      <w:r w:rsidRPr="00D20E84">
        <w:rPr>
          <w:rFonts w:ascii="Arial" w:hAnsi="Arial" w:cs="Arial"/>
          <w:sz w:val="22"/>
        </w:rPr>
        <w:t>U prijedlog Prvih izmjena i dopuna proračuna Grada Labina za 202</w:t>
      </w:r>
      <w:r>
        <w:rPr>
          <w:rFonts w:ascii="Arial" w:hAnsi="Arial" w:cs="Arial"/>
          <w:sz w:val="22"/>
        </w:rPr>
        <w:t>5</w:t>
      </w:r>
      <w:r w:rsidRPr="00D20E84">
        <w:rPr>
          <w:rFonts w:ascii="Arial" w:hAnsi="Arial" w:cs="Arial"/>
          <w:sz w:val="22"/>
        </w:rPr>
        <w:t>. godinu uključeni su i viškovi i manjkovi proračuna i proračunskih korisnika iz 202</w:t>
      </w:r>
      <w:r>
        <w:rPr>
          <w:rFonts w:ascii="Arial" w:hAnsi="Arial" w:cs="Arial"/>
          <w:sz w:val="22"/>
        </w:rPr>
        <w:t>4</w:t>
      </w:r>
      <w:r w:rsidRPr="00D20E84">
        <w:rPr>
          <w:rFonts w:ascii="Arial" w:hAnsi="Arial" w:cs="Arial"/>
          <w:sz w:val="22"/>
        </w:rPr>
        <w:t xml:space="preserve">. godine.         </w:t>
      </w:r>
    </w:p>
    <w:p w14:paraId="6B5850A0" w14:textId="77777777" w:rsidR="004B1471" w:rsidRPr="00D20E84" w:rsidRDefault="004B1471" w:rsidP="004B1471">
      <w:pPr>
        <w:jc w:val="both"/>
        <w:rPr>
          <w:rFonts w:ascii="Arial" w:hAnsi="Arial" w:cs="Arial"/>
          <w:sz w:val="22"/>
        </w:rPr>
      </w:pPr>
    </w:p>
    <w:p w14:paraId="3619F68C" w14:textId="77777777" w:rsidR="004B1471" w:rsidRPr="00D20E84" w:rsidRDefault="004B1471" w:rsidP="004B1471">
      <w:pPr>
        <w:jc w:val="both"/>
        <w:rPr>
          <w:rFonts w:ascii="Arial" w:hAnsi="Arial" w:cs="Arial"/>
          <w:sz w:val="22"/>
        </w:rPr>
      </w:pPr>
      <w:r w:rsidRPr="00D20E84">
        <w:rPr>
          <w:rFonts w:ascii="Arial" w:hAnsi="Arial" w:cs="Arial"/>
          <w:sz w:val="22"/>
        </w:rPr>
        <w:t xml:space="preserve">           Osim navedenog, povod je i </w:t>
      </w:r>
      <w:bookmarkStart w:id="7" w:name="_Hlk203236918"/>
      <w:r w:rsidRPr="00D20E84">
        <w:rPr>
          <w:rFonts w:ascii="Arial" w:hAnsi="Arial" w:cs="Arial"/>
          <w:sz w:val="22"/>
        </w:rPr>
        <w:t>Odluka o kriterijima i mjerilima za utvrđivanje bilančnih prava za financiranje minimalnog financijskog standarda javnih potreba osnovnog školstva u 202</w:t>
      </w:r>
      <w:r>
        <w:rPr>
          <w:rFonts w:ascii="Arial" w:hAnsi="Arial" w:cs="Arial"/>
          <w:sz w:val="22"/>
        </w:rPr>
        <w:t>5</w:t>
      </w:r>
      <w:r w:rsidRPr="00D20E84">
        <w:rPr>
          <w:rFonts w:ascii="Arial" w:hAnsi="Arial" w:cs="Arial"/>
          <w:sz w:val="22"/>
        </w:rPr>
        <w:t>. godini</w:t>
      </w:r>
      <w:r>
        <w:rPr>
          <w:rFonts w:ascii="Arial" w:hAnsi="Arial" w:cs="Arial"/>
          <w:sz w:val="22"/>
        </w:rPr>
        <w:t>,</w:t>
      </w:r>
      <w:r w:rsidRPr="00D20E84">
        <w:rPr>
          <w:rFonts w:ascii="Arial" w:hAnsi="Arial" w:cs="Arial"/>
          <w:sz w:val="22"/>
        </w:rPr>
        <w:t xml:space="preserve"> </w:t>
      </w:r>
      <w:r w:rsidRPr="00EA2DE0">
        <w:rPr>
          <w:rFonts w:ascii="Arial" w:hAnsi="Arial" w:cs="Arial"/>
          <w:sz w:val="22"/>
        </w:rPr>
        <w:t xml:space="preserve">Odluka o minimalnim financijskim standardima, kriterijima i mjerilima za financiranje rashoda javnih vatrogasnih postrojbi </w:t>
      </w:r>
      <w:r w:rsidRPr="00D20E84">
        <w:rPr>
          <w:rFonts w:ascii="Arial" w:hAnsi="Arial" w:cs="Arial"/>
          <w:sz w:val="22"/>
        </w:rPr>
        <w:t>u 202</w:t>
      </w:r>
      <w:r>
        <w:rPr>
          <w:rFonts w:ascii="Arial" w:hAnsi="Arial" w:cs="Arial"/>
          <w:sz w:val="22"/>
        </w:rPr>
        <w:t>5</w:t>
      </w:r>
      <w:r w:rsidRPr="00D20E84">
        <w:rPr>
          <w:rFonts w:ascii="Arial" w:hAnsi="Arial" w:cs="Arial"/>
          <w:sz w:val="22"/>
        </w:rPr>
        <w:t xml:space="preserve">. godini (Narodne novine RH </w:t>
      </w:r>
      <w:r>
        <w:rPr>
          <w:rFonts w:ascii="Arial" w:hAnsi="Arial" w:cs="Arial"/>
          <w:sz w:val="22"/>
        </w:rPr>
        <w:t>16</w:t>
      </w:r>
      <w:r w:rsidRPr="00D20E84">
        <w:rPr>
          <w:rFonts w:ascii="Arial" w:hAnsi="Arial" w:cs="Arial"/>
          <w:sz w:val="22"/>
        </w:rPr>
        <w:t>/202</w:t>
      </w:r>
      <w:r>
        <w:rPr>
          <w:rFonts w:ascii="Arial" w:hAnsi="Arial" w:cs="Arial"/>
          <w:sz w:val="22"/>
        </w:rPr>
        <w:t>5</w:t>
      </w:r>
      <w:r w:rsidRPr="00D20E84">
        <w:rPr>
          <w:rFonts w:ascii="Arial" w:hAnsi="Arial" w:cs="Arial"/>
          <w:sz w:val="22"/>
        </w:rPr>
        <w:t>.)</w:t>
      </w:r>
      <w:r>
        <w:rPr>
          <w:rFonts w:ascii="Arial" w:hAnsi="Arial" w:cs="Arial"/>
          <w:sz w:val="22"/>
        </w:rPr>
        <w:t>,</w:t>
      </w:r>
      <w:bookmarkEnd w:id="7"/>
      <w:r>
        <w:rPr>
          <w:rFonts w:ascii="Arial" w:hAnsi="Arial" w:cs="Arial"/>
          <w:sz w:val="22"/>
        </w:rPr>
        <w:t xml:space="preserve"> te </w:t>
      </w:r>
      <w:r w:rsidRPr="00EA2DE0">
        <w:rPr>
          <w:rFonts w:ascii="Arial" w:hAnsi="Arial" w:cs="Arial"/>
          <w:sz w:val="22"/>
        </w:rPr>
        <w:t>Odluka o dodjeli sredstava za fiskalnu održivost dječjih vrtića za pedagošku godinu 2024./2025.</w:t>
      </w:r>
      <w:r w:rsidRPr="00EA2DE0">
        <w:t xml:space="preserve"> </w:t>
      </w:r>
      <w:r w:rsidRPr="00EA2DE0">
        <w:rPr>
          <w:rFonts w:ascii="Arial" w:hAnsi="Arial" w:cs="Arial"/>
          <w:sz w:val="22"/>
        </w:rPr>
        <w:t>(Narodne novine RH 1</w:t>
      </w:r>
      <w:r>
        <w:rPr>
          <w:rFonts w:ascii="Arial" w:hAnsi="Arial" w:cs="Arial"/>
          <w:sz w:val="22"/>
        </w:rPr>
        <w:t>32</w:t>
      </w:r>
      <w:r w:rsidRPr="00EA2DE0">
        <w:rPr>
          <w:rFonts w:ascii="Arial" w:hAnsi="Arial" w:cs="Arial"/>
          <w:sz w:val="22"/>
        </w:rPr>
        <w:t>/202</w:t>
      </w:r>
      <w:r>
        <w:rPr>
          <w:rFonts w:ascii="Arial" w:hAnsi="Arial" w:cs="Arial"/>
          <w:sz w:val="22"/>
        </w:rPr>
        <w:t>4</w:t>
      </w:r>
      <w:r w:rsidRPr="00EA2DE0">
        <w:rPr>
          <w:rFonts w:ascii="Arial" w:hAnsi="Arial" w:cs="Arial"/>
          <w:sz w:val="22"/>
        </w:rPr>
        <w:t>.)</w:t>
      </w:r>
    </w:p>
    <w:p w14:paraId="1D142C68" w14:textId="77777777" w:rsidR="004B1471" w:rsidRPr="00D20E84" w:rsidRDefault="004B1471" w:rsidP="004B1471">
      <w:pPr>
        <w:jc w:val="both"/>
        <w:rPr>
          <w:rFonts w:ascii="Arial" w:hAnsi="Arial" w:cs="Arial"/>
          <w:sz w:val="22"/>
        </w:rPr>
      </w:pPr>
    </w:p>
    <w:p w14:paraId="29F85990" w14:textId="77777777" w:rsidR="004B1471" w:rsidRPr="00D20E84" w:rsidRDefault="004B1471" w:rsidP="004B1471">
      <w:pPr>
        <w:ind w:firstLine="708"/>
        <w:jc w:val="both"/>
        <w:rPr>
          <w:rFonts w:ascii="Arial" w:hAnsi="Arial" w:cs="Arial"/>
          <w:sz w:val="22"/>
        </w:rPr>
      </w:pPr>
      <w:r w:rsidRPr="00D20E84">
        <w:rPr>
          <w:rFonts w:ascii="Arial" w:hAnsi="Arial" w:cs="Arial"/>
          <w:sz w:val="22"/>
        </w:rPr>
        <w:t>U nastavku se daje prikaz planiranih prihoda i primitaka  i njihov udjel u proračunu prije i nakon izmjena, te indeks promjene.</w:t>
      </w:r>
    </w:p>
    <w:p w14:paraId="3790C39A" w14:textId="77777777" w:rsidR="004B1471" w:rsidRPr="00D20E84" w:rsidRDefault="004B1471" w:rsidP="004B1471">
      <w:pPr>
        <w:jc w:val="both"/>
        <w:rPr>
          <w:rFonts w:ascii="Arial" w:eastAsia="Calibri" w:hAnsi="Arial" w:cs="Arial"/>
          <w:sz w:val="22"/>
        </w:rPr>
      </w:pPr>
    </w:p>
    <w:p w14:paraId="47ACC010" w14:textId="77777777" w:rsidR="004B1471" w:rsidRPr="00D20E84" w:rsidRDefault="004B1471" w:rsidP="004B1471">
      <w:pPr>
        <w:jc w:val="both"/>
        <w:rPr>
          <w:rFonts w:ascii="Arial" w:eastAsia="Calibri" w:hAnsi="Arial" w:cs="Arial"/>
          <w:sz w:val="22"/>
        </w:rPr>
      </w:pPr>
    </w:p>
    <w:p w14:paraId="49510CD7" w14:textId="77777777" w:rsidR="004B1471" w:rsidRDefault="004B1471" w:rsidP="004B1471">
      <w:pPr>
        <w:keepNext/>
        <w:keepLines/>
        <w:spacing w:before="200"/>
        <w:outlineLvl w:val="1"/>
        <w:rPr>
          <w:rFonts w:ascii="Arial" w:hAnsi="Arial" w:cs="Arial"/>
          <w:b/>
          <w:bCs/>
          <w:sz w:val="22"/>
        </w:rPr>
      </w:pPr>
      <w:bookmarkStart w:id="8" w:name="_Toc116629385"/>
      <w:r>
        <w:rPr>
          <w:rFonts w:ascii="Arial" w:hAnsi="Arial" w:cs="Arial"/>
          <w:b/>
          <w:bCs/>
          <w:sz w:val="22"/>
        </w:rPr>
        <w:t>3</w:t>
      </w:r>
      <w:r w:rsidRPr="00D20E84">
        <w:rPr>
          <w:rFonts w:ascii="Arial" w:hAnsi="Arial" w:cs="Arial"/>
          <w:b/>
          <w:bCs/>
          <w:sz w:val="22"/>
        </w:rPr>
        <w:t>.1.1.  Prihodi i  primici</w:t>
      </w:r>
      <w:bookmarkEnd w:id="8"/>
    </w:p>
    <w:p w14:paraId="772A9B0F" w14:textId="77777777" w:rsidR="00D1535A" w:rsidRPr="00D20E84" w:rsidRDefault="00D1535A" w:rsidP="004B1471">
      <w:pPr>
        <w:keepNext/>
        <w:keepLines/>
        <w:spacing w:before="200"/>
        <w:outlineLvl w:val="1"/>
        <w:rPr>
          <w:rFonts w:ascii="Arial" w:hAnsi="Arial" w:cs="Arial"/>
          <w:b/>
          <w:bCs/>
          <w:sz w:val="22"/>
        </w:rPr>
      </w:pPr>
    </w:p>
    <w:p w14:paraId="45666494" w14:textId="77777777" w:rsidR="004B1471" w:rsidRPr="00D20E84" w:rsidRDefault="004B1471" w:rsidP="004B1471">
      <w:pPr>
        <w:jc w:val="both"/>
        <w:rPr>
          <w:rFonts w:ascii="Arial" w:eastAsia="Calibri" w:hAnsi="Arial" w:cs="Arial"/>
          <w:sz w:val="22"/>
        </w:rPr>
      </w:pPr>
      <w:r w:rsidRPr="00D20E84">
        <w:rPr>
          <w:rFonts w:ascii="Arial" w:eastAsia="Calibri" w:hAnsi="Arial" w:cs="Arial"/>
          <w:sz w:val="22"/>
        </w:rPr>
        <w:t>Prihodi i primici Prvih izmjena i dopuna proračuna Grada Labina za 202</w:t>
      </w:r>
      <w:r>
        <w:rPr>
          <w:rFonts w:ascii="Arial" w:eastAsia="Calibri" w:hAnsi="Arial" w:cs="Arial"/>
          <w:sz w:val="22"/>
        </w:rPr>
        <w:t>5</w:t>
      </w:r>
      <w:r w:rsidRPr="00D20E84">
        <w:rPr>
          <w:rFonts w:ascii="Arial" w:eastAsia="Calibri" w:hAnsi="Arial" w:cs="Arial"/>
          <w:sz w:val="22"/>
        </w:rPr>
        <w:t xml:space="preserve">. godinu planirani su  u iznosu od  </w:t>
      </w:r>
      <w:r w:rsidRPr="002526CB">
        <w:rPr>
          <w:rFonts w:ascii="Arial" w:eastAsia="Calibri" w:hAnsi="Arial" w:cs="Arial"/>
          <w:b/>
          <w:sz w:val="22"/>
        </w:rPr>
        <w:t>28.413.601,00</w:t>
      </w:r>
      <w:r>
        <w:rPr>
          <w:rFonts w:ascii="Arial" w:eastAsia="Calibri" w:hAnsi="Arial" w:cs="Arial"/>
          <w:b/>
          <w:sz w:val="22"/>
        </w:rPr>
        <w:t xml:space="preserve"> </w:t>
      </w:r>
      <w:r>
        <w:rPr>
          <w:rFonts w:ascii="Arial" w:eastAsia="Calibri" w:hAnsi="Arial" w:cs="Arial"/>
          <w:sz w:val="22"/>
        </w:rPr>
        <w:t>EUR</w:t>
      </w:r>
      <w:r w:rsidRPr="00D20E84">
        <w:rPr>
          <w:rFonts w:ascii="Arial" w:eastAsia="Calibri" w:hAnsi="Arial" w:cs="Arial"/>
          <w:sz w:val="22"/>
        </w:rPr>
        <w:t xml:space="preserve">, odnosno </w:t>
      </w:r>
      <w:r>
        <w:rPr>
          <w:rFonts w:ascii="Arial" w:eastAsia="Calibri" w:hAnsi="Arial" w:cs="Arial"/>
          <w:sz w:val="22"/>
        </w:rPr>
        <w:t>3,40</w:t>
      </w:r>
      <w:r w:rsidRPr="00D20E84">
        <w:rPr>
          <w:rFonts w:ascii="Arial" w:eastAsia="Calibri" w:hAnsi="Arial" w:cs="Arial"/>
          <w:sz w:val="22"/>
        </w:rPr>
        <w:t xml:space="preserve"> % više u odnosu na važeći plan proračuna za 202</w:t>
      </w:r>
      <w:r>
        <w:rPr>
          <w:rFonts w:ascii="Arial" w:eastAsia="Calibri" w:hAnsi="Arial" w:cs="Arial"/>
          <w:sz w:val="22"/>
        </w:rPr>
        <w:t>5</w:t>
      </w:r>
      <w:r w:rsidRPr="00D20E84">
        <w:rPr>
          <w:rFonts w:ascii="Arial" w:eastAsia="Calibri" w:hAnsi="Arial" w:cs="Arial"/>
          <w:sz w:val="22"/>
        </w:rPr>
        <w:t>. godinu, a sastoje se od:</w:t>
      </w:r>
    </w:p>
    <w:p w14:paraId="042D5EC1" w14:textId="77777777" w:rsidR="004B1471" w:rsidRPr="00D20E84" w:rsidRDefault="004B1471" w:rsidP="004B1471">
      <w:pPr>
        <w:jc w:val="both"/>
        <w:rPr>
          <w:rFonts w:ascii="Arial" w:eastAsia="Calibri" w:hAnsi="Arial" w:cs="Arial"/>
          <w:sz w:val="22"/>
        </w:rPr>
      </w:pPr>
    </w:p>
    <w:tbl>
      <w:tblPr>
        <w:tblStyle w:val="Reetkatablice"/>
        <w:tblW w:w="0" w:type="auto"/>
        <w:tblLook w:val="04A0" w:firstRow="1" w:lastRow="0" w:firstColumn="1" w:lastColumn="0" w:noHBand="0" w:noVBand="1"/>
      </w:tblPr>
      <w:tblGrid>
        <w:gridCol w:w="4531"/>
        <w:gridCol w:w="2268"/>
      </w:tblGrid>
      <w:tr w:rsidR="004B1471" w:rsidRPr="00D20E84" w14:paraId="29E74625" w14:textId="77777777" w:rsidTr="002815DB">
        <w:tc>
          <w:tcPr>
            <w:tcW w:w="4531" w:type="dxa"/>
          </w:tcPr>
          <w:p w14:paraId="5B98D58C" w14:textId="77777777" w:rsidR="004B1471" w:rsidRPr="00D20E84" w:rsidRDefault="004B1471" w:rsidP="002815DB">
            <w:pPr>
              <w:jc w:val="both"/>
              <w:rPr>
                <w:rFonts w:ascii="Arial" w:eastAsia="Calibri" w:hAnsi="Arial" w:cs="Arial"/>
                <w:sz w:val="22"/>
              </w:rPr>
            </w:pPr>
            <w:r w:rsidRPr="00D20E84">
              <w:rPr>
                <w:rFonts w:ascii="Arial" w:eastAsia="Calibri" w:hAnsi="Arial" w:cs="Arial"/>
                <w:sz w:val="22"/>
              </w:rPr>
              <w:t xml:space="preserve">- prihoda poslovanja  </w:t>
            </w:r>
          </w:p>
        </w:tc>
        <w:tc>
          <w:tcPr>
            <w:tcW w:w="2268" w:type="dxa"/>
            <w:vAlign w:val="center"/>
          </w:tcPr>
          <w:p w14:paraId="114547FC" w14:textId="77777777" w:rsidR="004B1471" w:rsidRPr="00D20E84" w:rsidRDefault="004B1471" w:rsidP="002815DB">
            <w:pPr>
              <w:jc w:val="right"/>
              <w:rPr>
                <w:rFonts w:ascii="Arial" w:eastAsia="Calibri" w:hAnsi="Arial" w:cs="Arial"/>
                <w:sz w:val="22"/>
              </w:rPr>
            </w:pPr>
            <w:r w:rsidRPr="002526CB">
              <w:rPr>
                <w:rFonts w:ascii="Arial" w:eastAsia="Calibri" w:hAnsi="Arial" w:cs="Arial"/>
                <w:sz w:val="22"/>
              </w:rPr>
              <w:t>26.138.958,00</w:t>
            </w:r>
            <w:r>
              <w:rPr>
                <w:rFonts w:ascii="Arial" w:eastAsia="Calibri" w:hAnsi="Arial" w:cs="Arial"/>
                <w:sz w:val="22"/>
              </w:rPr>
              <w:t xml:space="preserve"> EUR</w:t>
            </w:r>
          </w:p>
        </w:tc>
      </w:tr>
      <w:tr w:rsidR="004B1471" w:rsidRPr="00D20E84" w14:paraId="3B9D70DF" w14:textId="77777777" w:rsidTr="002815DB">
        <w:tc>
          <w:tcPr>
            <w:tcW w:w="4531" w:type="dxa"/>
          </w:tcPr>
          <w:p w14:paraId="287ACABE" w14:textId="77777777" w:rsidR="004B1471" w:rsidRPr="00D20E84" w:rsidRDefault="004B1471" w:rsidP="002815DB">
            <w:pPr>
              <w:jc w:val="both"/>
              <w:rPr>
                <w:rFonts w:ascii="Arial" w:eastAsia="Calibri" w:hAnsi="Arial" w:cs="Arial"/>
                <w:sz w:val="22"/>
              </w:rPr>
            </w:pPr>
            <w:r w:rsidRPr="00D20E84">
              <w:rPr>
                <w:rFonts w:ascii="Arial" w:eastAsia="Calibri" w:hAnsi="Arial" w:cs="Arial"/>
                <w:sz w:val="22"/>
              </w:rPr>
              <w:t>- prihoda od prodaje nefinancijske imovine</w:t>
            </w:r>
            <w:r w:rsidRPr="00D20E84">
              <w:rPr>
                <w:rFonts w:ascii="Arial" w:eastAsia="Calibri" w:hAnsi="Arial" w:cs="Arial"/>
                <w:sz w:val="22"/>
              </w:rPr>
              <w:tab/>
            </w:r>
          </w:p>
        </w:tc>
        <w:tc>
          <w:tcPr>
            <w:tcW w:w="2268" w:type="dxa"/>
            <w:vAlign w:val="center"/>
          </w:tcPr>
          <w:p w14:paraId="09C09193" w14:textId="77777777" w:rsidR="004B1471" w:rsidRPr="00D20E84" w:rsidRDefault="004B1471" w:rsidP="002815DB">
            <w:pPr>
              <w:jc w:val="right"/>
              <w:rPr>
                <w:rFonts w:ascii="Arial" w:eastAsia="Calibri" w:hAnsi="Arial" w:cs="Arial"/>
                <w:sz w:val="22"/>
              </w:rPr>
            </w:pPr>
            <w:r w:rsidRPr="002526CB">
              <w:rPr>
                <w:rFonts w:ascii="Arial" w:eastAsia="Calibri" w:hAnsi="Arial" w:cs="Arial"/>
                <w:sz w:val="22"/>
              </w:rPr>
              <w:t>1.508.790,00</w:t>
            </w:r>
            <w:r>
              <w:rPr>
                <w:rFonts w:ascii="Arial" w:eastAsia="Calibri" w:hAnsi="Arial" w:cs="Arial"/>
                <w:sz w:val="22"/>
              </w:rPr>
              <w:t xml:space="preserve"> EUR</w:t>
            </w:r>
          </w:p>
        </w:tc>
      </w:tr>
      <w:tr w:rsidR="004B1471" w:rsidRPr="00D20E84" w14:paraId="2FA0A354" w14:textId="77777777" w:rsidTr="002815DB">
        <w:tc>
          <w:tcPr>
            <w:tcW w:w="4531" w:type="dxa"/>
          </w:tcPr>
          <w:p w14:paraId="21FFE4E5" w14:textId="77777777" w:rsidR="004B1471" w:rsidRPr="00D20E84" w:rsidRDefault="004B1471" w:rsidP="002815DB">
            <w:pPr>
              <w:jc w:val="both"/>
              <w:rPr>
                <w:rFonts w:ascii="Arial" w:eastAsia="Calibri" w:hAnsi="Arial" w:cs="Arial"/>
                <w:sz w:val="22"/>
              </w:rPr>
            </w:pPr>
            <w:r w:rsidRPr="00D20E84">
              <w:rPr>
                <w:rFonts w:ascii="Arial" w:eastAsia="Calibri" w:hAnsi="Arial" w:cs="Arial"/>
                <w:sz w:val="22"/>
              </w:rPr>
              <w:t>- primici od financijske imovine i zaduživanja</w:t>
            </w:r>
          </w:p>
        </w:tc>
        <w:tc>
          <w:tcPr>
            <w:tcW w:w="2268" w:type="dxa"/>
            <w:vAlign w:val="center"/>
          </w:tcPr>
          <w:p w14:paraId="70FCDC69" w14:textId="77777777" w:rsidR="004B1471" w:rsidRPr="00D20E84" w:rsidRDefault="004B1471" w:rsidP="002815DB">
            <w:pPr>
              <w:jc w:val="right"/>
              <w:rPr>
                <w:rFonts w:ascii="Arial" w:eastAsia="Calibri" w:hAnsi="Arial" w:cs="Arial"/>
                <w:sz w:val="22"/>
              </w:rPr>
            </w:pPr>
            <w:r w:rsidRPr="00D20E84">
              <w:rPr>
                <w:rFonts w:ascii="Arial" w:eastAsia="Calibri" w:hAnsi="Arial" w:cs="Arial"/>
                <w:sz w:val="22"/>
              </w:rPr>
              <w:t xml:space="preserve">0,00 </w:t>
            </w:r>
            <w:r>
              <w:rPr>
                <w:rFonts w:ascii="Arial" w:eastAsia="Calibri" w:hAnsi="Arial" w:cs="Arial"/>
                <w:sz w:val="22"/>
              </w:rPr>
              <w:t>EUR</w:t>
            </w:r>
          </w:p>
        </w:tc>
      </w:tr>
      <w:tr w:rsidR="004B1471" w:rsidRPr="00D20E84" w14:paraId="58380FC0" w14:textId="77777777" w:rsidTr="002815DB">
        <w:tc>
          <w:tcPr>
            <w:tcW w:w="4531" w:type="dxa"/>
          </w:tcPr>
          <w:p w14:paraId="40A698AB" w14:textId="77777777" w:rsidR="004B1471" w:rsidRPr="00D20E84" w:rsidRDefault="004B1471" w:rsidP="002815DB">
            <w:pPr>
              <w:jc w:val="both"/>
              <w:rPr>
                <w:rFonts w:ascii="Arial" w:eastAsia="Calibri" w:hAnsi="Arial" w:cs="Arial"/>
                <w:sz w:val="22"/>
              </w:rPr>
            </w:pPr>
            <w:r w:rsidRPr="00D20E84">
              <w:rPr>
                <w:rFonts w:ascii="Arial" w:eastAsia="Calibri" w:hAnsi="Arial" w:cs="Arial"/>
                <w:sz w:val="22"/>
              </w:rPr>
              <w:t>- višak prethodne godine</w:t>
            </w:r>
          </w:p>
        </w:tc>
        <w:tc>
          <w:tcPr>
            <w:tcW w:w="2268" w:type="dxa"/>
            <w:vAlign w:val="center"/>
          </w:tcPr>
          <w:p w14:paraId="523BB914" w14:textId="77777777" w:rsidR="004B1471" w:rsidRPr="00D20E84" w:rsidRDefault="004B1471" w:rsidP="002815DB">
            <w:pPr>
              <w:jc w:val="right"/>
              <w:rPr>
                <w:rFonts w:ascii="Arial" w:eastAsia="Calibri" w:hAnsi="Arial" w:cs="Arial"/>
                <w:sz w:val="22"/>
              </w:rPr>
            </w:pPr>
            <w:r w:rsidRPr="002526CB">
              <w:rPr>
                <w:rFonts w:ascii="Arial" w:eastAsia="Calibri" w:hAnsi="Arial" w:cs="Arial"/>
                <w:sz w:val="22"/>
              </w:rPr>
              <w:t>765.853,00</w:t>
            </w:r>
            <w:r w:rsidRPr="00D20E84">
              <w:rPr>
                <w:rFonts w:ascii="Arial" w:eastAsia="Calibri" w:hAnsi="Arial" w:cs="Arial"/>
                <w:sz w:val="22"/>
              </w:rPr>
              <w:t xml:space="preserve"> </w:t>
            </w:r>
            <w:r>
              <w:rPr>
                <w:rFonts w:ascii="Arial" w:eastAsia="Calibri" w:hAnsi="Arial" w:cs="Arial"/>
                <w:sz w:val="22"/>
              </w:rPr>
              <w:t>EUR</w:t>
            </w:r>
            <w:r w:rsidRPr="00D20E84">
              <w:rPr>
                <w:rFonts w:ascii="Arial" w:eastAsia="Calibri" w:hAnsi="Arial" w:cs="Arial"/>
                <w:sz w:val="22"/>
              </w:rPr>
              <w:t xml:space="preserve">   </w:t>
            </w:r>
          </w:p>
        </w:tc>
      </w:tr>
    </w:tbl>
    <w:p w14:paraId="79C130A2" w14:textId="77777777" w:rsidR="004B1471" w:rsidRPr="00D20E84" w:rsidRDefault="004B1471" w:rsidP="004B1471">
      <w:pPr>
        <w:jc w:val="both"/>
        <w:rPr>
          <w:rFonts w:ascii="Arial" w:eastAsia="Calibri" w:hAnsi="Arial" w:cs="Arial"/>
          <w:sz w:val="22"/>
        </w:rPr>
      </w:pPr>
    </w:p>
    <w:p w14:paraId="0373A8AC" w14:textId="77777777" w:rsidR="004B1471" w:rsidRPr="00D20E84" w:rsidRDefault="004B1471" w:rsidP="004B1471">
      <w:pPr>
        <w:jc w:val="both"/>
        <w:rPr>
          <w:rFonts w:ascii="Arial" w:eastAsia="Calibri" w:hAnsi="Arial" w:cs="Arial"/>
          <w:sz w:val="22"/>
        </w:rPr>
      </w:pPr>
    </w:p>
    <w:p w14:paraId="071A7EAB" w14:textId="77777777" w:rsidR="004B1471" w:rsidRPr="0059449C" w:rsidRDefault="004B1471" w:rsidP="004B1471">
      <w:pPr>
        <w:spacing w:after="240"/>
        <w:jc w:val="both"/>
        <w:rPr>
          <w:rFonts w:ascii="Arial" w:hAnsi="Arial" w:cs="Arial"/>
          <w:sz w:val="22"/>
        </w:rPr>
      </w:pPr>
      <w:r w:rsidRPr="0059449C">
        <w:rPr>
          <w:rFonts w:ascii="Arial" w:hAnsi="Arial" w:cs="Arial"/>
          <w:sz w:val="22"/>
        </w:rPr>
        <w:lastRenderedPageBreak/>
        <w:t>Preneseni viškovi po izvorima iz 2024. godine iznose </w:t>
      </w:r>
      <w:r w:rsidRPr="0059449C">
        <w:rPr>
          <w:rFonts w:ascii="Arial" w:eastAsia="Calibri" w:hAnsi="Arial" w:cs="Arial"/>
          <w:sz w:val="22"/>
        </w:rPr>
        <w:t>1.</w:t>
      </w:r>
      <w:r>
        <w:rPr>
          <w:rFonts w:ascii="Arial" w:eastAsia="Calibri" w:hAnsi="Arial" w:cs="Arial"/>
          <w:sz w:val="22"/>
        </w:rPr>
        <w:t>136.137</w:t>
      </w:r>
      <w:r w:rsidRPr="0059449C">
        <w:rPr>
          <w:rFonts w:ascii="Arial" w:eastAsia="Calibri" w:hAnsi="Arial" w:cs="Arial"/>
          <w:sz w:val="22"/>
        </w:rPr>
        <w:t xml:space="preserve">,00 </w:t>
      </w:r>
      <w:r w:rsidRPr="0059449C">
        <w:rPr>
          <w:rFonts w:ascii="Arial" w:hAnsi="Arial" w:cs="Arial"/>
          <w:sz w:val="22"/>
        </w:rPr>
        <w:t xml:space="preserve">EUR te zbroj prihoda i primitaka te viška po izvorima iznosi </w:t>
      </w:r>
      <w:r w:rsidRPr="0059449C">
        <w:rPr>
          <w:rFonts w:ascii="Arial" w:eastAsia="Calibri" w:hAnsi="Arial" w:cs="Arial"/>
          <w:sz w:val="22"/>
        </w:rPr>
        <w:t xml:space="preserve">28.783.885,00 </w:t>
      </w:r>
      <w:r w:rsidRPr="0059449C">
        <w:rPr>
          <w:rFonts w:ascii="Arial" w:hAnsi="Arial" w:cs="Arial"/>
          <w:sz w:val="22"/>
        </w:rPr>
        <w:t xml:space="preserve">EUR. Međutim, preneseni manjkovi po izvorima iz 2024. godine iznose </w:t>
      </w:r>
      <w:r w:rsidRPr="0059449C">
        <w:rPr>
          <w:rFonts w:ascii="Arial" w:eastAsia="Calibri" w:hAnsi="Arial" w:cs="Arial"/>
          <w:sz w:val="22"/>
        </w:rPr>
        <w:t xml:space="preserve">370.284,00 </w:t>
      </w:r>
      <w:r w:rsidRPr="0059449C">
        <w:rPr>
          <w:rFonts w:ascii="Arial" w:hAnsi="Arial" w:cs="Arial"/>
          <w:sz w:val="22"/>
        </w:rPr>
        <w:t xml:space="preserve">EUR te razlika prenesenih viškova i manjkova iznosi 765.853,00 EUR. Stoga, ukupni prihodi i primici te rashodi izdaci iznose 28.413.601,00 EUR. </w:t>
      </w:r>
    </w:p>
    <w:p w14:paraId="1E7A11BB" w14:textId="77777777" w:rsidR="004B1471" w:rsidRPr="00D20E84" w:rsidRDefault="004B1471" w:rsidP="004B1471">
      <w:pPr>
        <w:jc w:val="both"/>
        <w:rPr>
          <w:rFonts w:ascii="Arial" w:eastAsia="Calibri" w:hAnsi="Arial" w:cs="Arial"/>
          <w:sz w:val="22"/>
        </w:rPr>
      </w:pPr>
    </w:p>
    <w:p w14:paraId="4C0701D5" w14:textId="77777777" w:rsidR="004B1471" w:rsidRPr="00D20E84" w:rsidRDefault="004B1471" w:rsidP="004B1471">
      <w:pPr>
        <w:jc w:val="both"/>
        <w:rPr>
          <w:rFonts w:ascii="Arial" w:eastAsia="Calibri" w:hAnsi="Arial" w:cs="Arial"/>
          <w:sz w:val="22"/>
        </w:rPr>
      </w:pPr>
      <w:r w:rsidRPr="00D20E84">
        <w:rPr>
          <w:rFonts w:ascii="Arial" w:eastAsia="Calibri" w:hAnsi="Arial" w:cs="Arial"/>
          <w:sz w:val="22"/>
        </w:rPr>
        <w:t>U nastavku se daje tabelarni prikaz plana prihoda i primitaka po skupinama za 202</w:t>
      </w:r>
      <w:r>
        <w:rPr>
          <w:rFonts w:ascii="Arial" w:eastAsia="Calibri" w:hAnsi="Arial" w:cs="Arial"/>
          <w:sz w:val="22"/>
        </w:rPr>
        <w:t>5</w:t>
      </w:r>
      <w:r w:rsidRPr="00D20E84">
        <w:rPr>
          <w:rFonts w:ascii="Arial" w:eastAsia="Calibri" w:hAnsi="Arial" w:cs="Arial"/>
          <w:sz w:val="22"/>
        </w:rPr>
        <w:t>. godinu uz usporedbu sa planom za 202</w:t>
      </w:r>
      <w:r>
        <w:rPr>
          <w:rFonts w:ascii="Arial" w:eastAsia="Calibri" w:hAnsi="Arial" w:cs="Arial"/>
          <w:sz w:val="22"/>
        </w:rPr>
        <w:t>5</w:t>
      </w:r>
      <w:r w:rsidRPr="00D20E84">
        <w:rPr>
          <w:rFonts w:ascii="Arial" w:eastAsia="Calibri" w:hAnsi="Arial" w:cs="Arial"/>
          <w:sz w:val="22"/>
        </w:rPr>
        <w:t>. godinu, te učešće pojedine skupine prihoda u ukupnim prihodima.</w:t>
      </w:r>
    </w:p>
    <w:p w14:paraId="43DE2C7C" w14:textId="77777777" w:rsidR="004B1471" w:rsidRPr="00D20E84" w:rsidRDefault="004B1471" w:rsidP="004B1471">
      <w:pPr>
        <w:jc w:val="both"/>
        <w:rPr>
          <w:rFonts w:ascii="Arial" w:eastAsia="Calibri" w:hAnsi="Arial" w:cs="Arial"/>
          <w:sz w:val="22"/>
        </w:rPr>
      </w:pPr>
    </w:p>
    <w:p w14:paraId="3D5D5E4C" w14:textId="77777777" w:rsidR="004B1471" w:rsidRPr="00D20E84" w:rsidRDefault="004B1471" w:rsidP="004B1471">
      <w:pPr>
        <w:jc w:val="both"/>
        <w:rPr>
          <w:rFonts w:ascii="Arial" w:eastAsia="Calibri" w:hAnsi="Arial" w:cs="Arial"/>
          <w:sz w:val="22"/>
        </w:rPr>
      </w:pPr>
    </w:p>
    <w:p w14:paraId="41F76DDD" w14:textId="77777777" w:rsidR="004B1471" w:rsidRPr="00D20E84" w:rsidRDefault="004B1471" w:rsidP="004B1471">
      <w:pPr>
        <w:jc w:val="both"/>
        <w:rPr>
          <w:rFonts w:ascii="Arial" w:hAnsi="Arial" w:cs="Arial"/>
          <w:b/>
          <w:bCs/>
          <w:sz w:val="22"/>
        </w:rPr>
      </w:pPr>
      <w:r w:rsidRPr="00D20E84">
        <w:rPr>
          <w:rFonts w:ascii="Arial" w:hAnsi="Arial" w:cs="Arial"/>
          <w:b/>
          <w:bCs/>
          <w:sz w:val="22"/>
        </w:rPr>
        <w:t>PREGLED</w:t>
      </w:r>
      <w:r>
        <w:rPr>
          <w:rFonts w:ascii="Arial" w:hAnsi="Arial" w:cs="Arial"/>
          <w:b/>
          <w:bCs/>
          <w:sz w:val="22"/>
        </w:rPr>
        <w:t xml:space="preserve"> PLANA</w:t>
      </w:r>
      <w:r w:rsidRPr="00D20E84">
        <w:rPr>
          <w:rFonts w:ascii="Arial" w:hAnsi="Arial" w:cs="Arial"/>
          <w:b/>
          <w:bCs/>
          <w:sz w:val="22"/>
        </w:rPr>
        <w:t xml:space="preserve"> PRIHODA I PRIMITAKA PO SKUPINAMA ZA 202</w:t>
      </w:r>
      <w:r>
        <w:rPr>
          <w:rFonts w:ascii="Arial" w:hAnsi="Arial" w:cs="Arial"/>
          <w:b/>
          <w:bCs/>
          <w:sz w:val="22"/>
        </w:rPr>
        <w:t>5</w:t>
      </w:r>
      <w:r w:rsidRPr="00D20E84">
        <w:rPr>
          <w:rFonts w:ascii="Arial" w:hAnsi="Arial" w:cs="Arial"/>
          <w:b/>
          <w:bCs/>
          <w:sz w:val="22"/>
        </w:rPr>
        <w:t xml:space="preserve">. I </w:t>
      </w:r>
      <w:proofErr w:type="spellStart"/>
      <w:r w:rsidRPr="00D20E84">
        <w:rPr>
          <w:rFonts w:ascii="Arial" w:hAnsi="Arial" w:cs="Arial"/>
          <w:b/>
          <w:bCs/>
          <w:sz w:val="22"/>
        </w:rPr>
        <w:t>I</w:t>
      </w:r>
      <w:proofErr w:type="spellEnd"/>
      <w:r>
        <w:rPr>
          <w:rFonts w:ascii="Arial" w:hAnsi="Arial" w:cs="Arial"/>
          <w:b/>
          <w:bCs/>
          <w:sz w:val="22"/>
        </w:rPr>
        <w:t>.</w:t>
      </w:r>
      <w:r w:rsidRPr="00D20E84">
        <w:rPr>
          <w:rFonts w:ascii="Arial" w:hAnsi="Arial" w:cs="Arial"/>
          <w:b/>
          <w:bCs/>
          <w:sz w:val="22"/>
        </w:rPr>
        <w:t xml:space="preserve"> IZMJENE I DOPUNE ZA 202</w:t>
      </w:r>
      <w:r>
        <w:rPr>
          <w:rFonts w:ascii="Arial" w:hAnsi="Arial" w:cs="Arial"/>
          <w:b/>
          <w:bCs/>
          <w:sz w:val="22"/>
        </w:rPr>
        <w:t>5</w:t>
      </w:r>
      <w:r w:rsidRPr="00D20E84">
        <w:rPr>
          <w:rFonts w:ascii="Arial" w:hAnsi="Arial" w:cs="Arial"/>
          <w:b/>
          <w:bCs/>
          <w:sz w:val="22"/>
        </w:rPr>
        <w:t>. GODINU</w:t>
      </w:r>
    </w:p>
    <w:p w14:paraId="4C3E9279" w14:textId="77777777" w:rsidR="004B1471" w:rsidRPr="00D20E84" w:rsidRDefault="004B1471" w:rsidP="004B1471">
      <w:pPr>
        <w:jc w:val="both"/>
        <w:rPr>
          <w:rFonts w:ascii="Arial" w:hAnsi="Arial" w:cs="Arial"/>
          <w:b/>
          <w:bCs/>
          <w:sz w:val="22"/>
        </w:rPr>
      </w:pPr>
    </w:p>
    <w:p w14:paraId="178607F9" w14:textId="77777777" w:rsidR="004B1471" w:rsidRPr="00D20E84" w:rsidRDefault="004B1471" w:rsidP="004B1471">
      <w:pPr>
        <w:jc w:val="both"/>
        <w:rPr>
          <w:rFonts w:ascii="Arial" w:hAnsi="Arial" w:cs="Arial"/>
          <w:b/>
          <w:bCs/>
          <w:sz w:val="22"/>
        </w:rPr>
      </w:pPr>
      <w:r w:rsidRPr="00D20E84">
        <w:rPr>
          <w:rFonts w:ascii="Arial" w:hAnsi="Arial" w:cs="Arial"/>
          <w:b/>
          <w:bCs/>
          <w:sz w:val="22"/>
        </w:rPr>
        <w:t xml:space="preserve">Tabela 1. </w:t>
      </w:r>
    </w:p>
    <w:p w14:paraId="0BEC9109" w14:textId="77777777" w:rsidR="004B1471" w:rsidRPr="00D20E84" w:rsidRDefault="004B1471" w:rsidP="004B1471">
      <w:pPr>
        <w:jc w:val="both"/>
        <w:rPr>
          <w:rFonts w:ascii="Arial" w:hAnsi="Arial" w:cs="Arial"/>
          <w:b/>
          <w:bCs/>
          <w:sz w:val="20"/>
          <w:szCs w:val="20"/>
        </w:rPr>
      </w:pPr>
    </w:p>
    <w:tbl>
      <w:tblPr>
        <w:tblStyle w:val="Reetkatablice"/>
        <w:tblW w:w="9314" w:type="dxa"/>
        <w:jc w:val="center"/>
        <w:tblLook w:val="04A0" w:firstRow="1" w:lastRow="0" w:firstColumn="1" w:lastColumn="0" w:noHBand="0" w:noVBand="1"/>
      </w:tblPr>
      <w:tblGrid>
        <w:gridCol w:w="650"/>
        <w:gridCol w:w="2798"/>
        <w:gridCol w:w="1368"/>
        <w:gridCol w:w="1189"/>
        <w:gridCol w:w="1368"/>
        <w:gridCol w:w="1181"/>
        <w:gridCol w:w="1106"/>
      </w:tblGrid>
      <w:tr w:rsidR="004B1471" w:rsidRPr="001C487F" w14:paraId="48AA9D52" w14:textId="77777777" w:rsidTr="002815DB">
        <w:trPr>
          <w:jc w:val="center"/>
        </w:trPr>
        <w:tc>
          <w:tcPr>
            <w:tcW w:w="650" w:type="dxa"/>
            <w:vMerge w:val="restart"/>
            <w:noWrap/>
            <w:vAlign w:val="center"/>
            <w:hideMark/>
          </w:tcPr>
          <w:p w14:paraId="0D84B4E1" w14:textId="77777777" w:rsidR="004B1471" w:rsidRPr="001C487F" w:rsidRDefault="004B1471" w:rsidP="002815DB">
            <w:pPr>
              <w:rPr>
                <w:rFonts w:ascii="Arial" w:eastAsia="Calibri" w:hAnsi="Arial" w:cs="Arial"/>
                <w:b/>
                <w:sz w:val="20"/>
                <w:szCs w:val="20"/>
              </w:rPr>
            </w:pPr>
            <w:r w:rsidRPr="001C487F">
              <w:rPr>
                <w:rFonts w:ascii="Arial" w:eastAsia="Calibri" w:hAnsi="Arial" w:cs="Arial"/>
                <w:b/>
                <w:sz w:val="20"/>
                <w:szCs w:val="20"/>
              </w:rPr>
              <w:t>Red.</w:t>
            </w:r>
          </w:p>
          <w:p w14:paraId="371BCE77" w14:textId="77777777" w:rsidR="004B1471" w:rsidRPr="001C487F" w:rsidRDefault="004B1471" w:rsidP="002815DB">
            <w:pPr>
              <w:rPr>
                <w:rFonts w:ascii="Arial" w:eastAsia="Calibri" w:hAnsi="Arial" w:cs="Arial"/>
                <w:b/>
                <w:sz w:val="20"/>
                <w:szCs w:val="20"/>
              </w:rPr>
            </w:pPr>
            <w:r w:rsidRPr="001C487F">
              <w:rPr>
                <w:rFonts w:ascii="Arial" w:eastAsia="Calibri" w:hAnsi="Arial" w:cs="Arial"/>
                <w:b/>
                <w:sz w:val="20"/>
                <w:szCs w:val="20"/>
              </w:rPr>
              <w:t>br.</w:t>
            </w:r>
          </w:p>
        </w:tc>
        <w:tc>
          <w:tcPr>
            <w:tcW w:w="2798" w:type="dxa"/>
            <w:vMerge w:val="restart"/>
            <w:noWrap/>
            <w:vAlign w:val="center"/>
            <w:hideMark/>
          </w:tcPr>
          <w:p w14:paraId="40CC83F2" w14:textId="77777777" w:rsidR="004B1471" w:rsidRPr="001C487F" w:rsidRDefault="004B1471" w:rsidP="002815DB">
            <w:pPr>
              <w:rPr>
                <w:rFonts w:ascii="Arial" w:eastAsia="Calibri" w:hAnsi="Arial" w:cs="Arial"/>
                <w:b/>
                <w:sz w:val="20"/>
                <w:szCs w:val="20"/>
              </w:rPr>
            </w:pPr>
            <w:r w:rsidRPr="001C487F">
              <w:rPr>
                <w:rFonts w:ascii="Arial" w:eastAsia="Calibri" w:hAnsi="Arial" w:cs="Arial"/>
                <w:b/>
                <w:sz w:val="20"/>
                <w:szCs w:val="20"/>
              </w:rPr>
              <w:t>OPIS</w:t>
            </w:r>
          </w:p>
        </w:tc>
        <w:tc>
          <w:tcPr>
            <w:tcW w:w="2359" w:type="dxa"/>
            <w:gridSpan w:val="2"/>
            <w:noWrap/>
            <w:vAlign w:val="center"/>
            <w:hideMark/>
          </w:tcPr>
          <w:p w14:paraId="00EEB728" w14:textId="77777777" w:rsidR="004B1471" w:rsidRPr="001C487F" w:rsidRDefault="004B1471" w:rsidP="002815DB">
            <w:pPr>
              <w:rPr>
                <w:rFonts w:ascii="Arial" w:eastAsia="Calibri" w:hAnsi="Arial" w:cs="Arial"/>
                <w:b/>
                <w:sz w:val="20"/>
                <w:szCs w:val="20"/>
              </w:rPr>
            </w:pPr>
            <w:r w:rsidRPr="001C487F">
              <w:rPr>
                <w:rFonts w:ascii="Arial" w:eastAsia="Calibri" w:hAnsi="Arial" w:cs="Arial"/>
                <w:b/>
                <w:sz w:val="20"/>
                <w:szCs w:val="20"/>
              </w:rPr>
              <w:t>PLAN 2025.</w:t>
            </w:r>
          </w:p>
        </w:tc>
        <w:tc>
          <w:tcPr>
            <w:tcW w:w="2401" w:type="dxa"/>
            <w:gridSpan w:val="2"/>
            <w:noWrap/>
            <w:vAlign w:val="center"/>
            <w:hideMark/>
          </w:tcPr>
          <w:p w14:paraId="60F51DA5" w14:textId="77777777" w:rsidR="004B1471" w:rsidRPr="001C487F" w:rsidRDefault="004B1471" w:rsidP="002815DB">
            <w:pPr>
              <w:rPr>
                <w:rFonts w:ascii="Arial" w:eastAsia="Calibri" w:hAnsi="Arial" w:cs="Arial"/>
                <w:b/>
                <w:sz w:val="20"/>
                <w:szCs w:val="20"/>
              </w:rPr>
            </w:pPr>
            <w:r w:rsidRPr="001C487F">
              <w:rPr>
                <w:rFonts w:ascii="Arial" w:eastAsia="Calibri" w:hAnsi="Arial" w:cs="Arial"/>
                <w:b/>
                <w:sz w:val="20"/>
                <w:szCs w:val="20"/>
              </w:rPr>
              <w:t>PLAN 2025.- I. IZMJENE I DOPUNE</w:t>
            </w:r>
          </w:p>
        </w:tc>
        <w:tc>
          <w:tcPr>
            <w:tcW w:w="1106" w:type="dxa"/>
            <w:noWrap/>
            <w:vAlign w:val="center"/>
            <w:hideMark/>
          </w:tcPr>
          <w:p w14:paraId="367F31EA" w14:textId="77777777" w:rsidR="004B1471" w:rsidRPr="001C487F" w:rsidRDefault="004B1471" w:rsidP="002815DB">
            <w:pPr>
              <w:rPr>
                <w:rFonts w:ascii="Arial" w:eastAsia="Calibri" w:hAnsi="Arial" w:cs="Arial"/>
                <w:b/>
                <w:sz w:val="20"/>
                <w:szCs w:val="20"/>
              </w:rPr>
            </w:pPr>
            <w:r w:rsidRPr="001C487F">
              <w:rPr>
                <w:rFonts w:ascii="Arial" w:eastAsia="Calibri" w:hAnsi="Arial" w:cs="Arial"/>
                <w:b/>
                <w:sz w:val="20"/>
                <w:szCs w:val="20"/>
              </w:rPr>
              <w:t xml:space="preserve">INDEKS </w:t>
            </w:r>
          </w:p>
        </w:tc>
      </w:tr>
      <w:tr w:rsidR="004B1471" w:rsidRPr="001C487F" w14:paraId="2D859756" w14:textId="77777777" w:rsidTr="002815DB">
        <w:trPr>
          <w:jc w:val="center"/>
        </w:trPr>
        <w:tc>
          <w:tcPr>
            <w:tcW w:w="650" w:type="dxa"/>
            <w:vMerge/>
            <w:noWrap/>
            <w:vAlign w:val="center"/>
            <w:hideMark/>
          </w:tcPr>
          <w:p w14:paraId="54623F49" w14:textId="77777777" w:rsidR="004B1471" w:rsidRPr="001C487F" w:rsidRDefault="004B1471" w:rsidP="002815DB">
            <w:pPr>
              <w:rPr>
                <w:rFonts w:ascii="Arial" w:eastAsia="Calibri" w:hAnsi="Arial" w:cs="Arial"/>
                <w:b/>
                <w:sz w:val="20"/>
                <w:szCs w:val="20"/>
              </w:rPr>
            </w:pPr>
          </w:p>
        </w:tc>
        <w:tc>
          <w:tcPr>
            <w:tcW w:w="2798" w:type="dxa"/>
            <w:vMerge/>
            <w:noWrap/>
            <w:vAlign w:val="center"/>
            <w:hideMark/>
          </w:tcPr>
          <w:p w14:paraId="5822ADF5" w14:textId="77777777" w:rsidR="004B1471" w:rsidRPr="001C487F" w:rsidRDefault="004B1471" w:rsidP="002815DB">
            <w:pPr>
              <w:rPr>
                <w:rFonts w:ascii="Arial" w:eastAsia="Calibri" w:hAnsi="Arial" w:cs="Arial"/>
                <w:sz w:val="20"/>
                <w:szCs w:val="20"/>
              </w:rPr>
            </w:pPr>
          </w:p>
        </w:tc>
        <w:tc>
          <w:tcPr>
            <w:tcW w:w="1170" w:type="dxa"/>
            <w:noWrap/>
            <w:vAlign w:val="center"/>
            <w:hideMark/>
          </w:tcPr>
          <w:p w14:paraId="4578730F" w14:textId="77777777" w:rsidR="004B1471" w:rsidRPr="001C487F" w:rsidRDefault="004B1471" w:rsidP="002815DB">
            <w:pPr>
              <w:rPr>
                <w:rFonts w:ascii="Arial" w:eastAsia="Calibri" w:hAnsi="Arial" w:cs="Arial"/>
                <w:sz w:val="20"/>
                <w:szCs w:val="20"/>
              </w:rPr>
            </w:pPr>
            <w:r w:rsidRPr="001C487F">
              <w:rPr>
                <w:rFonts w:ascii="Arial" w:eastAsia="Calibri" w:hAnsi="Arial" w:cs="Arial"/>
                <w:sz w:val="20"/>
                <w:szCs w:val="20"/>
              </w:rPr>
              <w:t>Iznos</w:t>
            </w:r>
          </w:p>
        </w:tc>
        <w:tc>
          <w:tcPr>
            <w:tcW w:w="1189" w:type="dxa"/>
            <w:noWrap/>
            <w:vAlign w:val="center"/>
            <w:hideMark/>
          </w:tcPr>
          <w:p w14:paraId="38E2E53C" w14:textId="77777777" w:rsidR="004B1471" w:rsidRPr="001C487F" w:rsidRDefault="004B1471" w:rsidP="002815DB">
            <w:pPr>
              <w:rPr>
                <w:rFonts w:ascii="Arial" w:eastAsia="Calibri" w:hAnsi="Arial" w:cs="Arial"/>
                <w:sz w:val="20"/>
                <w:szCs w:val="20"/>
              </w:rPr>
            </w:pPr>
            <w:r w:rsidRPr="001C487F">
              <w:rPr>
                <w:rFonts w:ascii="Arial" w:eastAsia="Calibri" w:hAnsi="Arial" w:cs="Arial"/>
                <w:sz w:val="20"/>
                <w:szCs w:val="20"/>
              </w:rPr>
              <w:t>% udjela</w:t>
            </w:r>
          </w:p>
        </w:tc>
        <w:tc>
          <w:tcPr>
            <w:tcW w:w="1220" w:type="dxa"/>
            <w:noWrap/>
            <w:vAlign w:val="center"/>
            <w:hideMark/>
          </w:tcPr>
          <w:p w14:paraId="73810004" w14:textId="77777777" w:rsidR="004B1471" w:rsidRPr="001C487F" w:rsidRDefault="004B1471" w:rsidP="002815DB">
            <w:pPr>
              <w:rPr>
                <w:rFonts w:ascii="Arial" w:eastAsia="Calibri" w:hAnsi="Arial" w:cs="Arial"/>
                <w:sz w:val="20"/>
                <w:szCs w:val="20"/>
              </w:rPr>
            </w:pPr>
            <w:r w:rsidRPr="001C487F">
              <w:rPr>
                <w:rFonts w:ascii="Arial" w:eastAsia="Calibri" w:hAnsi="Arial" w:cs="Arial"/>
                <w:sz w:val="20"/>
                <w:szCs w:val="20"/>
              </w:rPr>
              <w:t>Iznos</w:t>
            </w:r>
          </w:p>
        </w:tc>
        <w:tc>
          <w:tcPr>
            <w:tcW w:w="1181" w:type="dxa"/>
            <w:noWrap/>
            <w:vAlign w:val="center"/>
            <w:hideMark/>
          </w:tcPr>
          <w:p w14:paraId="36EA95C3" w14:textId="77777777" w:rsidR="004B1471" w:rsidRPr="001C487F" w:rsidRDefault="004B1471" w:rsidP="002815DB">
            <w:pPr>
              <w:rPr>
                <w:rFonts w:ascii="Arial" w:eastAsia="Calibri" w:hAnsi="Arial" w:cs="Arial"/>
                <w:sz w:val="20"/>
                <w:szCs w:val="20"/>
              </w:rPr>
            </w:pPr>
            <w:r w:rsidRPr="001C487F">
              <w:rPr>
                <w:rFonts w:ascii="Arial" w:eastAsia="Calibri" w:hAnsi="Arial" w:cs="Arial"/>
                <w:sz w:val="20"/>
                <w:szCs w:val="20"/>
              </w:rPr>
              <w:t>% udjela</w:t>
            </w:r>
          </w:p>
        </w:tc>
        <w:tc>
          <w:tcPr>
            <w:tcW w:w="1106" w:type="dxa"/>
            <w:noWrap/>
            <w:vAlign w:val="center"/>
            <w:hideMark/>
          </w:tcPr>
          <w:p w14:paraId="60801A80" w14:textId="77777777" w:rsidR="004B1471" w:rsidRPr="001C487F" w:rsidRDefault="004B1471" w:rsidP="002815DB">
            <w:pPr>
              <w:rPr>
                <w:rFonts w:ascii="Arial" w:eastAsia="Calibri" w:hAnsi="Arial" w:cs="Arial"/>
                <w:sz w:val="20"/>
                <w:szCs w:val="20"/>
              </w:rPr>
            </w:pPr>
            <w:r w:rsidRPr="001C487F">
              <w:rPr>
                <w:rFonts w:ascii="Arial" w:eastAsia="Calibri" w:hAnsi="Arial" w:cs="Arial"/>
                <w:sz w:val="20"/>
                <w:szCs w:val="20"/>
              </w:rPr>
              <w:t>(5/3)</w:t>
            </w:r>
          </w:p>
        </w:tc>
      </w:tr>
      <w:tr w:rsidR="004B1471" w:rsidRPr="001C487F" w14:paraId="13E480E7" w14:textId="77777777" w:rsidTr="002815DB">
        <w:trPr>
          <w:jc w:val="center"/>
        </w:trPr>
        <w:tc>
          <w:tcPr>
            <w:tcW w:w="650" w:type="dxa"/>
            <w:noWrap/>
            <w:vAlign w:val="center"/>
            <w:hideMark/>
          </w:tcPr>
          <w:p w14:paraId="790B9B3A" w14:textId="77777777" w:rsidR="004B1471" w:rsidRPr="001C487F" w:rsidRDefault="004B1471" w:rsidP="002815DB">
            <w:pPr>
              <w:jc w:val="center"/>
              <w:rPr>
                <w:rFonts w:ascii="Arial" w:eastAsia="Calibri" w:hAnsi="Arial" w:cs="Arial"/>
                <w:b/>
                <w:sz w:val="18"/>
                <w:szCs w:val="18"/>
              </w:rPr>
            </w:pPr>
            <w:r w:rsidRPr="001C487F">
              <w:rPr>
                <w:rFonts w:ascii="Arial" w:eastAsia="Calibri" w:hAnsi="Arial" w:cs="Arial"/>
                <w:b/>
                <w:sz w:val="18"/>
                <w:szCs w:val="18"/>
              </w:rPr>
              <w:t>1</w:t>
            </w:r>
          </w:p>
        </w:tc>
        <w:tc>
          <w:tcPr>
            <w:tcW w:w="2798" w:type="dxa"/>
            <w:noWrap/>
            <w:vAlign w:val="center"/>
            <w:hideMark/>
          </w:tcPr>
          <w:p w14:paraId="4D4EE9DE" w14:textId="77777777" w:rsidR="004B1471" w:rsidRPr="001C487F" w:rsidRDefault="004B1471" w:rsidP="002815DB">
            <w:pPr>
              <w:jc w:val="center"/>
              <w:rPr>
                <w:rFonts w:ascii="Arial" w:eastAsia="Calibri" w:hAnsi="Arial" w:cs="Arial"/>
                <w:b/>
                <w:sz w:val="18"/>
                <w:szCs w:val="18"/>
              </w:rPr>
            </w:pPr>
            <w:r w:rsidRPr="001C487F">
              <w:rPr>
                <w:rFonts w:ascii="Arial" w:eastAsia="Calibri" w:hAnsi="Arial" w:cs="Arial"/>
                <w:b/>
                <w:sz w:val="18"/>
                <w:szCs w:val="18"/>
              </w:rPr>
              <w:t>2</w:t>
            </w:r>
          </w:p>
        </w:tc>
        <w:tc>
          <w:tcPr>
            <w:tcW w:w="1170" w:type="dxa"/>
            <w:noWrap/>
            <w:vAlign w:val="center"/>
            <w:hideMark/>
          </w:tcPr>
          <w:p w14:paraId="676ED5C5" w14:textId="77777777" w:rsidR="004B1471" w:rsidRPr="001C487F" w:rsidRDefault="004B1471" w:rsidP="002815DB">
            <w:pPr>
              <w:jc w:val="center"/>
              <w:rPr>
                <w:rFonts w:ascii="Arial" w:eastAsia="Calibri" w:hAnsi="Arial" w:cs="Arial"/>
                <w:b/>
                <w:sz w:val="18"/>
                <w:szCs w:val="18"/>
              </w:rPr>
            </w:pPr>
            <w:r w:rsidRPr="001C487F">
              <w:rPr>
                <w:rFonts w:ascii="Arial" w:eastAsia="Calibri" w:hAnsi="Arial" w:cs="Arial"/>
                <w:b/>
                <w:sz w:val="18"/>
                <w:szCs w:val="18"/>
              </w:rPr>
              <w:t>3</w:t>
            </w:r>
          </w:p>
        </w:tc>
        <w:tc>
          <w:tcPr>
            <w:tcW w:w="1189" w:type="dxa"/>
            <w:noWrap/>
            <w:vAlign w:val="center"/>
            <w:hideMark/>
          </w:tcPr>
          <w:p w14:paraId="220BC487" w14:textId="77777777" w:rsidR="004B1471" w:rsidRPr="001C487F" w:rsidRDefault="004B1471" w:rsidP="002815DB">
            <w:pPr>
              <w:jc w:val="center"/>
              <w:rPr>
                <w:rFonts w:ascii="Arial" w:eastAsia="Calibri" w:hAnsi="Arial" w:cs="Arial"/>
                <w:b/>
                <w:sz w:val="18"/>
                <w:szCs w:val="18"/>
              </w:rPr>
            </w:pPr>
            <w:r w:rsidRPr="001C487F">
              <w:rPr>
                <w:rFonts w:ascii="Arial" w:eastAsia="Calibri" w:hAnsi="Arial" w:cs="Arial"/>
                <w:b/>
                <w:sz w:val="18"/>
                <w:szCs w:val="18"/>
              </w:rPr>
              <w:t>4</w:t>
            </w:r>
          </w:p>
        </w:tc>
        <w:tc>
          <w:tcPr>
            <w:tcW w:w="1220" w:type="dxa"/>
            <w:tcBorders>
              <w:bottom w:val="single" w:sz="4" w:space="0" w:color="auto"/>
            </w:tcBorders>
            <w:noWrap/>
            <w:vAlign w:val="center"/>
            <w:hideMark/>
          </w:tcPr>
          <w:p w14:paraId="387F4057" w14:textId="77777777" w:rsidR="004B1471" w:rsidRPr="001C487F" w:rsidRDefault="004B1471" w:rsidP="002815DB">
            <w:pPr>
              <w:jc w:val="center"/>
              <w:rPr>
                <w:rFonts w:ascii="Arial" w:eastAsia="Calibri" w:hAnsi="Arial" w:cs="Arial"/>
                <w:b/>
                <w:sz w:val="18"/>
                <w:szCs w:val="18"/>
              </w:rPr>
            </w:pPr>
            <w:r w:rsidRPr="001C487F">
              <w:rPr>
                <w:rFonts w:ascii="Arial" w:eastAsia="Calibri" w:hAnsi="Arial" w:cs="Arial"/>
                <w:b/>
                <w:sz w:val="18"/>
                <w:szCs w:val="18"/>
              </w:rPr>
              <w:t>5</w:t>
            </w:r>
          </w:p>
        </w:tc>
        <w:tc>
          <w:tcPr>
            <w:tcW w:w="1181" w:type="dxa"/>
            <w:tcBorders>
              <w:bottom w:val="single" w:sz="4" w:space="0" w:color="auto"/>
            </w:tcBorders>
            <w:noWrap/>
            <w:vAlign w:val="center"/>
            <w:hideMark/>
          </w:tcPr>
          <w:p w14:paraId="04D42685" w14:textId="77777777" w:rsidR="004B1471" w:rsidRPr="001C487F" w:rsidRDefault="004B1471" w:rsidP="002815DB">
            <w:pPr>
              <w:jc w:val="center"/>
              <w:rPr>
                <w:rFonts w:ascii="Arial" w:eastAsia="Calibri" w:hAnsi="Arial" w:cs="Arial"/>
                <w:b/>
                <w:sz w:val="18"/>
                <w:szCs w:val="18"/>
              </w:rPr>
            </w:pPr>
            <w:r w:rsidRPr="001C487F">
              <w:rPr>
                <w:rFonts w:ascii="Arial" w:eastAsia="Calibri" w:hAnsi="Arial" w:cs="Arial"/>
                <w:b/>
                <w:sz w:val="18"/>
                <w:szCs w:val="18"/>
              </w:rPr>
              <w:t>6</w:t>
            </w:r>
          </w:p>
        </w:tc>
        <w:tc>
          <w:tcPr>
            <w:tcW w:w="1106" w:type="dxa"/>
            <w:tcBorders>
              <w:bottom w:val="single" w:sz="4" w:space="0" w:color="auto"/>
            </w:tcBorders>
            <w:noWrap/>
            <w:vAlign w:val="center"/>
            <w:hideMark/>
          </w:tcPr>
          <w:p w14:paraId="59D678C8" w14:textId="77777777" w:rsidR="004B1471" w:rsidRPr="001C487F" w:rsidRDefault="004B1471" w:rsidP="002815DB">
            <w:pPr>
              <w:jc w:val="center"/>
              <w:rPr>
                <w:rFonts w:ascii="Arial" w:eastAsia="Calibri" w:hAnsi="Arial" w:cs="Arial"/>
                <w:b/>
                <w:sz w:val="18"/>
                <w:szCs w:val="18"/>
              </w:rPr>
            </w:pPr>
            <w:r w:rsidRPr="001C487F">
              <w:rPr>
                <w:rFonts w:ascii="Arial" w:eastAsia="Calibri" w:hAnsi="Arial" w:cs="Arial"/>
                <w:b/>
                <w:sz w:val="18"/>
                <w:szCs w:val="18"/>
              </w:rPr>
              <w:t>7</w:t>
            </w:r>
          </w:p>
        </w:tc>
      </w:tr>
      <w:tr w:rsidR="004B1471" w:rsidRPr="001C487F" w14:paraId="747AB5BC" w14:textId="77777777" w:rsidTr="002815DB">
        <w:trPr>
          <w:jc w:val="center"/>
        </w:trPr>
        <w:tc>
          <w:tcPr>
            <w:tcW w:w="650" w:type="dxa"/>
            <w:shd w:val="clear" w:color="auto" w:fill="E7E6E6"/>
            <w:noWrap/>
            <w:vAlign w:val="center"/>
            <w:hideMark/>
          </w:tcPr>
          <w:p w14:paraId="4031D524" w14:textId="77777777" w:rsidR="004B1471" w:rsidRPr="001C487F" w:rsidRDefault="004B1471" w:rsidP="002815DB">
            <w:pPr>
              <w:rPr>
                <w:rFonts w:ascii="Arial" w:eastAsia="Calibri" w:hAnsi="Arial" w:cs="Arial"/>
                <w:b/>
                <w:sz w:val="18"/>
                <w:szCs w:val="18"/>
              </w:rPr>
            </w:pPr>
            <w:r w:rsidRPr="001C487F">
              <w:rPr>
                <w:rFonts w:ascii="Arial" w:eastAsia="Calibri" w:hAnsi="Arial" w:cs="Arial"/>
                <w:b/>
                <w:sz w:val="18"/>
                <w:szCs w:val="18"/>
              </w:rPr>
              <w:t>1.</w:t>
            </w:r>
          </w:p>
        </w:tc>
        <w:tc>
          <w:tcPr>
            <w:tcW w:w="2798" w:type="dxa"/>
            <w:shd w:val="clear" w:color="auto" w:fill="E7E6E6"/>
            <w:noWrap/>
            <w:vAlign w:val="center"/>
            <w:hideMark/>
          </w:tcPr>
          <w:p w14:paraId="52CA9AE5" w14:textId="77777777" w:rsidR="004B1471" w:rsidRPr="001C487F" w:rsidRDefault="004B1471" w:rsidP="002815DB">
            <w:pPr>
              <w:rPr>
                <w:rFonts w:ascii="Arial" w:eastAsia="Calibri" w:hAnsi="Arial" w:cs="Arial"/>
                <w:b/>
                <w:sz w:val="18"/>
                <w:szCs w:val="18"/>
              </w:rPr>
            </w:pPr>
            <w:r w:rsidRPr="001C487F">
              <w:rPr>
                <w:rFonts w:ascii="Arial" w:eastAsia="Calibri" w:hAnsi="Arial" w:cs="Arial"/>
                <w:b/>
                <w:sz w:val="18"/>
                <w:szCs w:val="18"/>
              </w:rPr>
              <w:t>PRIHODI POSLOVANJA</w:t>
            </w:r>
          </w:p>
        </w:tc>
        <w:tc>
          <w:tcPr>
            <w:tcW w:w="1170" w:type="dxa"/>
            <w:shd w:val="clear" w:color="auto" w:fill="E7E6E6"/>
            <w:noWrap/>
            <w:vAlign w:val="center"/>
          </w:tcPr>
          <w:p w14:paraId="41A534B5" w14:textId="77777777" w:rsidR="004B1471" w:rsidRPr="001C487F" w:rsidRDefault="004B1471" w:rsidP="002815DB">
            <w:pPr>
              <w:jc w:val="right"/>
              <w:rPr>
                <w:rFonts w:ascii="Arial" w:eastAsia="Calibri" w:hAnsi="Arial" w:cs="Arial"/>
                <w:b/>
                <w:sz w:val="18"/>
                <w:szCs w:val="18"/>
              </w:rPr>
            </w:pPr>
            <w:r w:rsidRPr="001C487F">
              <w:rPr>
                <w:rFonts w:ascii="Arial" w:eastAsia="Calibri" w:hAnsi="Arial" w:cs="Arial"/>
                <w:b/>
                <w:sz w:val="18"/>
                <w:szCs w:val="18"/>
              </w:rPr>
              <w:t>25.216.864,00</w:t>
            </w:r>
          </w:p>
        </w:tc>
        <w:tc>
          <w:tcPr>
            <w:tcW w:w="1189" w:type="dxa"/>
            <w:shd w:val="clear" w:color="auto" w:fill="E7E6E6"/>
            <w:noWrap/>
            <w:vAlign w:val="center"/>
          </w:tcPr>
          <w:p w14:paraId="79E3E4B5" w14:textId="77777777" w:rsidR="004B1471" w:rsidRPr="001C487F" w:rsidRDefault="004B1471" w:rsidP="002815DB">
            <w:pPr>
              <w:jc w:val="right"/>
              <w:rPr>
                <w:rFonts w:ascii="Arial" w:eastAsia="Calibri" w:hAnsi="Arial" w:cs="Arial"/>
                <w:b/>
                <w:sz w:val="18"/>
                <w:szCs w:val="18"/>
              </w:rPr>
            </w:pPr>
            <w:r w:rsidRPr="001C487F">
              <w:rPr>
                <w:rFonts w:ascii="Arial" w:eastAsia="Calibri" w:hAnsi="Arial" w:cs="Arial"/>
                <w:b/>
                <w:sz w:val="18"/>
                <w:szCs w:val="18"/>
              </w:rPr>
              <w:t>91,76</w:t>
            </w:r>
          </w:p>
        </w:tc>
        <w:tc>
          <w:tcPr>
            <w:tcW w:w="1220" w:type="dxa"/>
            <w:tcBorders>
              <w:top w:val="single" w:sz="4" w:space="0" w:color="auto"/>
              <w:left w:val="nil"/>
              <w:bottom w:val="single" w:sz="4" w:space="0" w:color="auto"/>
              <w:right w:val="single" w:sz="4" w:space="0" w:color="auto"/>
            </w:tcBorders>
            <w:shd w:val="clear" w:color="auto" w:fill="E7E6E6" w:themeFill="background2"/>
            <w:noWrap/>
            <w:vAlign w:val="center"/>
          </w:tcPr>
          <w:p w14:paraId="36C9F59B" w14:textId="77777777" w:rsidR="004B1471" w:rsidRPr="001C487F" w:rsidRDefault="004B1471" w:rsidP="002815DB">
            <w:pPr>
              <w:jc w:val="right"/>
              <w:rPr>
                <w:rFonts w:ascii="Arial" w:eastAsia="Calibri" w:hAnsi="Arial" w:cs="Arial"/>
                <w:b/>
                <w:bCs/>
                <w:sz w:val="18"/>
                <w:szCs w:val="18"/>
              </w:rPr>
            </w:pPr>
            <w:r w:rsidRPr="001C487F">
              <w:rPr>
                <w:rFonts w:ascii="Arial" w:eastAsia="Calibri" w:hAnsi="Arial" w:cs="Arial"/>
                <w:b/>
                <w:bCs/>
                <w:sz w:val="18"/>
                <w:szCs w:val="18"/>
              </w:rPr>
              <w:t>26.138.958,00</w:t>
            </w:r>
          </w:p>
        </w:tc>
        <w:tc>
          <w:tcPr>
            <w:tcW w:w="118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CE00CE7" w14:textId="77777777" w:rsidR="004B1471" w:rsidRPr="001C487F" w:rsidRDefault="004B1471" w:rsidP="002815DB">
            <w:pPr>
              <w:jc w:val="right"/>
              <w:rPr>
                <w:rFonts w:ascii="Arial" w:eastAsia="Calibri" w:hAnsi="Arial" w:cs="Arial"/>
                <w:b/>
                <w:bCs/>
                <w:sz w:val="18"/>
                <w:szCs w:val="18"/>
              </w:rPr>
            </w:pPr>
            <w:r w:rsidRPr="001C487F">
              <w:rPr>
                <w:rFonts w:ascii="Arial" w:eastAsia="Calibri" w:hAnsi="Arial" w:cs="Arial"/>
                <w:b/>
                <w:bCs/>
                <w:sz w:val="18"/>
                <w:szCs w:val="18"/>
              </w:rPr>
              <w:t>92,00</w:t>
            </w:r>
          </w:p>
        </w:tc>
        <w:tc>
          <w:tcPr>
            <w:tcW w:w="110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A5BF2B4" w14:textId="77777777" w:rsidR="004B1471" w:rsidRPr="001C487F" w:rsidRDefault="004B1471" w:rsidP="002815DB">
            <w:pPr>
              <w:jc w:val="right"/>
              <w:rPr>
                <w:rFonts w:ascii="Arial" w:eastAsia="Calibri" w:hAnsi="Arial" w:cs="Arial"/>
                <w:b/>
                <w:bCs/>
                <w:sz w:val="18"/>
                <w:szCs w:val="18"/>
              </w:rPr>
            </w:pPr>
            <w:r w:rsidRPr="001C487F">
              <w:rPr>
                <w:rFonts w:ascii="Arial" w:eastAsia="Calibri" w:hAnsi="Arial" w:cs="Arial"/>
                <w:b/>
                <w:bCs/>
                <w:sz w:val="18"/>
                <w:szCs w:val="18"/>
              </w:rPr>
              <w:t>103,66</w:t>
            </w:r>
          </w:p>
        </w:tc>
      </w:tr>
      <w:tr w:rsidR="004B1471" w:rsidRPr="001C487F" w14:paraId="22949B43" w14:textId="77777777" w:rsidTr="002815DB">
        <w:trPr>
          <w:trHeight w:val="328"/>
          <w:jc w:val="center"/>
        </w:trPr>
        <w:tc>
          <w:tcPr>
            <w:tcW w:w="650" w:type="dxa"/>
            <w:noWrap/>
            <w:vAlign w:val="center"/>
            <w:hideMark/>
          </w:tcPr>
          <w:p w14:paraId="229ADF0A" w14:textId="77777777" w:rsidR="004B1471" w:rsidRPr="001C487F" w:rsidRDefault="004B1471" w:rsidP="002815DB">
            <w:pPr>
              <w:rPr>
                <w:rFonts w:ascii="Arial" w:eastAsia="Calibri" w:hAnsi="Arial" w:cs="Arial"/>
                <w:b/>
                <w:sz w:val="18"/>
                <w:szCs w:val="18"/>
              </w:rPr>
            </w:pPr>
          </w:p>
        </w:tc>
        <w:tc>
          <w:tcPr>
            <w:tcW w:w="2798" w:type="dxa"/>
            <w:noWrap/>
            <w:vAlign w:val="center"/>
            <w:hideMark/>
          </w:tcPr>
          <w:p w14:paraId="2A6B5249" w14:textId="77777777" w:rsidR="004B1471" w:rsidRPr="001C487F" w:rsidRDefault="004B1471" w:rsidP="002815DB">
            <w:pPr>
              <w:rPr>
                <w:rFonts w:ascii="Arial" w:eastAsia="Calibri" w:hAnsi="Arial" w:cs="Arial"/>
                <w:sz w:val="18"/>
                <w:szCs w:val="18"/>
              </w:rPr>
            </w:pPr>
            <w:r w:rsidRPr="001C487F">
              <w:rPr>
                <w:rFonts w:ascii="Arial" w:eastAsia="Calibri" w:hAnsi="Arial" w:cs="Arial"/>
                <w:sz w:val="18"/>
                <w:szCs w:val="18"/>
              </w:rPr>
              <w:t>Prihodi od poreza</w:t>
            </w:r>
          </w:p>
        </w:tc>
        <w:tc>
          <w:tcPr>
            <w:tcW w:w="1170" w:type="dxa"/>
            <w:noWrap/>
            <w:vAlign w:val="center"/>
          </w:tcPr>
          <w:p w14:paraId="72407137"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8.917.460,00</w:t>
            </w:r>
          </w:p>
        </w:tc>
        <w:tc>
          <w:tcPr>
            <w:tcW w:w="1189" w:type="dxa"/>
            <w:noWrap/>
            <w:vAlign w:val="center"/>
          </w:tcPr>
          <w:p w14:paraId="2D443BC0"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32,45</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2DB4F677"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9.755.945,00</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FF22C"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34,34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A4BA5"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109,40</w:t>
            </w:r>
          </w:p>
        </w:tc>
      </w:tr>
      <w:tr w:rsidR="004B1471" w:rsidRPr="001C487F" w14:paraId="3A1EEC04" w14:textId="77777777" w:rsidTr="002815DB">
        <w:trPr>
          <w:jc w:val="center"/>
        </w:trPr>
        <w:tc>
          <w:tcPr>
            <w:tcW w:w="650" w:type="dxa"/>
            <w:noWrap/>
            <w:vAlign w:val="center"/>
            <w:hideMark/>
          </w:tcPr>
          <w:p w14:paraId="3A151429" w14:textId="77777777" w:rsidR="004B1471" w:rsidRPr="001C487F" w:rsidRDefault="004B1471" w:rsidP="002815DB">
            <w:pPr>
              <w:rPr>
                <w:rFonts w:ascii="Arial" w:eastAsia="Calibri" w:hAnsi="Arial" w:cs="Arial"/>
                <w:b/>
                <w:sz w:val="18"/>
                <w:szCs w:val="18"/>
              </w:rPr>
            </w:pPr>
          </w:p>
        </w:tc>
        <w:tc>
          <w:tcPr>
            <w:tcW w:w="2798" w:type="dxa"/>
            <w:noWrap/>
            <w:vAlign w:val="center"/>
            <w:hideMark/>
          </w:tcPr>
          <w:p w14:paraId="55B332EC" w14:textId="77777777" w:rsidR="004B1471" w:rsidRPr="001C487F" w:rsidRDefault="004B1471" w:rsidP="002815DB">
            <w:pPr>
              <w:rPr>
                <w:rFonts w:ascii="Arial" w:eastAsia="Calibri" w:hAnsi="Arial" w:cs="Arial"/>
                <w:sz w:val="18"/>
                <w:szCs w:val="18"/>
              </w:rPr>
            </w:pPr>
            <w:r w:rsidRPr="001C487F">
              <w:rPr>
                <w:rFonts w:ascii="Arial" w:eastAsia="Calibri" w:hAnsi="Arial" w:cs="Arial"/>
                <w:sz w:val="18"/>
                <w:szCs w:val="18"/>
              </w:rPr>
              <w:t>Pomoći iz inozemstva i od subjekata unutar općeg proračuna</w:t>
            </w:r>
          </w:p>
        </w:tc>
        <w:tc>
          <w:tcPr>
            <w:tcW w:w="1170" w:type="dxa"/>
            <w:noWrap/>
            <w:vAlign w:val="center"/>
          </w:tcPr>
          <w:p w14:paraId="56B57341"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9.255.803,00</w:t>
            </w:r>
          </w:p>
        </w:tc>
        <w:tc>
          <w:tcPr>
            <w:tcW w:w="1189" w:type="dxa"/>
            <w:noWrap/>
            <w:vAlign w:val="center"/>
          </w:tcPr>
          <w:p w14:paraId="0A13778F"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33,68</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27DE4E7D"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9.654.472,00</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5EB54"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33,98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1A7CB"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104,31</w:t>
            </w:r>
          </w:p>
        </w:tc>
      </w:tr>
      <w:tr w:rsidR="004B1471" w:rsidRPr="001C487F" w14:paraId="1D22B877" w14:textId="77777777" w:rsidTr="002815DB">
        <w:trPr>
          <w:jc w:val="center"/>
        </w:trPr>
        <w:tc>
          <w:tcPr>
            <w:tcW w:w="650" w:type="dxa"/>
            <w:noWrap/>
            <w:vAlign w:val="center"/>
            <w:hideMark/>
          </w:tcPr>
          <w:p w14:paraId="4F51240D" w14:textId="77777777" w:rsidR="004B1471" w:rsidRPr="001C487F" w:rsidRDefault="004B1471" w:rsidP="002815DB">
            <w:pPr>
              <w:rPr>
                <w:rFonts w:ascii="Arial" w:eastAsia="Calibri" w:hAnsi="Arial" w:cs="Arial"/>
                <w:b/>
                <w:sz w:val="18"/>
                <w:szCs w:val="18"/>
              </w:rPr>
            </w:pPr>
          </w:p>
        </w:tc>
        <w:tc>
          <w:tcPr>
            <w:tcW w:w="2798" w:type="dxa"/>
            <w:noWrap/>
            <w:vAlign w:val="center"/>
            <w:hideMark/>
          </w:tcPr>
          <w:p w14:paraId="76E0F550" w14:textId="77777777" w:rsidR="004B1471" w:rsidRPr="001C487F" w:rsidRDefault="004B1471" w:rsidP="002815DB">
            <w:pPr>
              <w:rPr>
                <w:rFonts w:ascii="Arial" w:eastAsia="Calibri" w:hAnsi="Arial" w:cs="Arial"/>
                <w:sz w:val="18"/>
                <w:szCs w:val="18"/>
              </w:rPr>
            </w:pPr>
            <w:r w:rsidRPr="001C487F">
              <w:rPr>
                <w:rFonts w:ascii="Arial" w:eastAsia="Calibri" w:hAnsi="Arial" w:cs="Arial"/>
                <w:sz w:val="18"/>
                <w:szCs w:val="18"/>
              </w:rPr>
              <w:t>Prihodi od imovine</w:t>
            </w:r>
          </w:p>
        </w:tc>
        <w:tc>
          <w:tcPr>
            <w:tcW w:w="1170" w:type="dxa"/>
            <w:noWrap/>
            <w:vAlign w:val="center"/>
          </w:tcPr>
          <w:p w14:paraId="2F30022A"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1.235.776,00</w:t>
            </w:r>
          </w:p>
        </w:tc>
        <w:tc>
          <w:tcPr>
            <w:tcW w:w="1189" w:type="dxa"/>
            <w:noWrap/>
            <w:vAlign w:val="center"/>
          </w:tcPr>
          <w:p w14:paraId="5FCFC1B9"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4,50</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4047C673"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1.056.201,00</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5075E"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3,72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84F9B"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85,47</w:t>
            </w:r>
          </w:p>
        </w:tc>
      </w:tr>
      <w:tr w:rsidR="004B1471" w:rsidRPr="001C487F" w14:paraId="4B5A32E4" w14:textId="77777777" w:rsidTr="002815DB">
        <w:trPr>
          <w:jc w:val="center"/>
        </w:trPr>
        <w:tc>
          <w:tcPr>
            <w:tcW w:w="650" w:type="dxa"/>
            <w:noWrap/>
            <w:vAlign w:val="center"/>
            <w:hideMark/>
          </w:tcPr>
          <w:p w14:paraId="580B67D3" w14:textId="77777777" w:rsidR="004B1471" w:rsidRPr="001C487F" w:rsidRDefault="004B1471" w:rsidP="002815DB">
            <w:pPr>
              <w:rPr>
                <w:rFonts w:ascii="Arial" w:eastAsia="Calibri" w:hAnsi="Arial" w:cs="Arial"/>
                <w:b/>
                <w:sz w:val="18"/>
                <w:szCs w:val="18"/>
              </w:rPr>
            </w:pPr>
          </w:p>
        </w:tc>
        <w:tc>
          <w:tcPr>
            <w:tcW w:w="2798" w:type="dxa"/>
            <w:noWrap/>
            <w:vAlign w:val="center"/>
            <w:hideMark/>
          </w:tcPr>
          <w:p w14:paraId="489AE524" w14:textId="77777777" w:rsidR="004B1471" w:rsidRPr="001C487F" w:rsidRDefault="004B1471" w:rsidP="002815DB">
            <w:pPr>
              <w:rPr>
                <w:rFonts w:ascii="Arial" w:eastAsia="Calibri" w:hAnsi="Arial" w:cs="Arial"/>
                <w:sz w:val="18"/>
                <w:szCs w:val="18"/>
              </w:rPr>
            </w:pPr>
            <w:r w:rsidRPr="001C487F">
              <w:rPr>
                <w:rFonts w:ascii="Arial" w:eastAsia="Calibri" w:hAnsi="Arial" w:cs="Arial"/>
                <w:sz w:val="18"/>
                <w:szCs w:val="18"/>
              </w:rPr>
              <w:t>Prihodi od upravnih i administrativnih pristojbi, pristojbi po  posebnim propisima i naknada</w:t>
            </w:r>
          </w:p>
        </w:tc>
        <w:tc>
          <w:tcPr>
            <w:tcW w:w="1170" w:type="dxa"/>
            <w:noWrap/>
            <w:vAlign w:val="center"/>
          </w:tcPr>
          <w:p w14:paraId="79556799"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4.906.057,00</w:t>
            </w:r>
          </w:p>
        </w:tc>
        <w:tc>
          <w:tcPr>
            <w:tcW w:w="1189" w:type="dxa"/>
            <w:noWrap/>
            <w:vAlign w:val="center"/>
          </w:tcPr>
          <w:p w14:paraId="5C744A66"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17,85</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74570198" w14:textId="77777777" w:rsidR="004B1471" w:rsidRPr="001C487F" w:rsidRDefault="004B1471" w:rsidP="002815DB">
            <w:pPr>
              <w:jc w:val="right"/>
              <w:rPr>
                <w:rFonts w:ascii="Arial" w:eastAsia="Calibri" w:hAnsi="Arial" w:cs="Arial"/>
                <w:sz w:val="18"/>
                <w:szCs w:val="18"/>
              </w:rPr>
            </w:pPr>
            <w:bookmarkStart w:id="9" w:name="_Hlk203241973"/>
            <w:r w:rsidRPr="001C487F">
              <w:rPr>
                <w:rFonts w:ascii="Arial" w:eastAsia="Calibri" w:hAnsi="Arial" w:cs="Arial"/>
                <w:sz w:val="18"/>
                <w:szCs w:val="18"/>
              </w:rPr>
              <w:t>4.765.056,00</w:t>
            </w:r>
            <w:bookmarkEnd w:id="9"/>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51C8E"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16,77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542A3"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97,13</w:t>
            </w:r>
          </w:p>
        </w:tc>
      </w:tr>
      <w:tr w:rsidR="004B1471" w:rsidRPr="001C487F" w14:paraId="4BF9D684" w14:textId="77777777" w:rsidTr="002815DB">
        <w:trPr>
          <w:jc w:val="center"/>
        </w:trPr>
        <w:tc>
          <w:tcPr>
            <w:tcW w:w="650" w:type="dxa"/>
            <w:noWrap/>
            <w:vAlign w:val="center"/>
            <w:hideMark/>
          </w:tcPr>
          <w:p w14:paraId="5E5F4033" w14:textId="77777777" w:rsidR="004B1471" w:rsidRPr="001C487F" w:rsidRDefault="004B1471" w:rsidP="002815DB">
            <w:pPr>
              <w:rPr>
                <w:rFonts w:ascii="Arial" w:eastAsia="Calibri" w:hAnsi="Arial" w:cs="Arial"/>
                <w:b/>
                <w:sz w:val="18"/>
                <w:szCs w:val="18"/>
              </w:rPr>
            </w:pPr>
          </w:p>
        </w:tc>
        <w:tc>
          <w:tcPr>
            <w:tcW w:w="2798" w:type="dxa"/>
            <w:noWrap/>
            <w:vAlign w:val="center"/>
            <w:hideMark/>
          </w:tcPr>
          <w:p w14:paraId="072EC989" w14:textId="77777777" w:rsidR="004B1471" w:rsidRPr="001C487F" w:rsidRDefault="004B1471" w:rsidP="002815DB">
            <w:pPr>
              <w:rPr>
                <w:rFonts w:ascii="Arial" w:eastAsia="Calibri" w:hAnsi="Arial" w:cs="Arial"/>
                <w:sz w:val="18"/>
                <w:szCs w:val="18"/>
              </w:rPr>
            </w:pPr>
            <w:r w:rsidRPr="001C487F">
              <w:rPr>
                <w:rFonts w:ascii="Arial" w:eastAsia="Calibri" w:hAnsi="Arial" w:cs="Arial"/>
                <w:sz w:val="18"/>
                <w:szCs w:val="18"/>
              </w:rPr>
              <w:t>Prihodi od prodaje proizvoda i roba te pruženih usluga i prihodi od donacija</w:t>
            </w:r>
          </w:p>
        </w:tc>
        <w:tc>
          <w:tcPr>
            <w:tcW w:w="1170" w:type="dxa"/>
            <w:noWrap/>
            <w:vAlign w:val="center"/>
          </w:tcPr>
          <w:p w14:paraId="28F63A8D"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863.183,00</w:t>
            </w:r>
          </w:p>
        </w:tc>
        <w:tc>
          <w:tcPr>
            <w:tcW w:w="1189" w:type="dxa"/>
            <w:noWrap/>
            <w:vAlign w:val="center"/>
          </w:tcPr>
          <w:p w14:paraId="09310C64"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3,14</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39B511A6"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874.699,00</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2E56B"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3,08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82B17"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101,33</w:t>
            </w:r>
          </w:p>
        </w:tc>
      </w:tr>
      <w:tr w:rsidR="004B1471" w:rsidRPr="001C487F" w14:paraId="22E41EAC" w14:textId="77777777" w:rsidTr="002815DB">
        <w:trPr>
          <w:jc w:val="center"/>
        </w:trPr>
        <w:tc>
          <w:tcPr>
            <w:tcW w:w="650" w:type="dxa"/>
            <w:noWrap/>
            <w:vAlign w:val="center"/>
            <w:hideMark/>
          </w:tcPr>
          <w:p w14:paraId="4AA75288" w14:textId="77777777" w:rsidR="004B1471" w:rsidRPr="001C487F" w:rsidRDefault="004B1471" w:rsidP="002815DB">
            <w:pPr>
              <w:rPr>
                <w:rFonts w:ascii="Arial" w:eastAsia="Calibri" w:hAnsi="Arial" w:cs="Arial"/>
                <w:b/>
                <w:sz w:val="18"/>
                <w:szCs w:val="18"/>
              </w:rPr>
            </w:pPr>
          </w:p>
        </w:tc>
        <w:tc>
          <w:tcPr>
            <w:tcW w:w="2798" w:type="dxa"/>
            <w:noWrap/>
            <w:vAlign w:val="center"/>
            <w:hideMark/>
          </w:tcPr>
          <w:p w14:paraId="1015F750" w14:textId="77777777" w:rsidR="004B1471" w:rsidRPr="001C487F" w:rsidRDefault="004B1471" w:rsidP="002815DB">
            <w:pPr>
              <w:rPr>
                <w:rFonts w:ascii="Arial" w:eastAsia="Calibri" w:hAnsi="Arial" w:cs="Arial"/>
                <w:sz w:val="18"/>
                <w:szCs w:val="18"/>
              </w:rPr>
            </w:pPr>
            <w:r w:rsidRPr="001C487F">
              <w:rPr>
                <w:rFonts w:ascii="Arial" w:eastAsia="Calibri" w:hAnsi="Arial" w:cs="Arial"/>
                <w:sz w:val="18"/>
                <w:szCs w:val="18"/>
              </w:rPr>
              <w:t>Kazne, upravne mjere i ostali prihodi</w:t>
            </w:r>
          </w:p>
        </w:tc>
        <w:tc>
          <w:tcPr>
            <w:tcW w:w="1170" w:type="dxa"/>
            <w:noWrap/>
            <w:vAlign w:val="center"/>
          </w:tcPr>
          <w:p w14:paraId="35BD6B9D"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38.585,00</w:t>
            </w:r>
          </w:p>
        </w:tc>
        <w:tc>
          <w:tcPr>
            <w:tcW w:w="1189" w:type="dxa"/>
            <w:noWrap/>
            <w:vAlign w:val="center"/>
          </w:tcPr>
          <w:p w14:paraId="3ED63EAD"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0,14</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3C2F481E"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32.585,00</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E757F"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0,11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E77BB"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84,45</w:t>
            </w:r>
          </w:p>
        </w:tc>
      </w:tr>
      <w:tr w:rsidR="004B1471" w:rsidRPr="001C487F" w14:paraId="11CB5870" w14:textId="77777777" w:rsidTr="002815DB">
        <w:trPr>
          <w:jc w:val="center"/>
        </w:trPr>
        <w:tc>
          <w:tcPr>
            <w:tcW w:w="650" w:type="dxa"/>
            <w:shd w:val="clear" w:color="auto" w:fill="E7E6E6"/>
            <w:noWrap/>
            <w:vAlign w:val="center"/>
            <w:hideMark/>
          </w:tcPr>
          <w:p w14:paraId="247968E1" w14:textId="77777777" w:rsidR="004B1471" w:rsidRPr="001C487F" w:rsidRDefault="004B1471" w:rsidP="002815DB">
            <w:pPr>
              <w:rPr>
                <w:rFonts w:ascii="Arial" w:eastAsia="Calibri" w:hAnsi="Arial" w:cs="Arial"/>
                <w:b/>
                <w:sz w:val="18"/>
                <w:szCs w:val="18"/>
              </w:rPr>
            </w:pPr>
            <w:r w:rsidRPr="001C487F">
              <w:rPr>
                <w:rFonts w:ascii="Arial" w:eastAsia="Calibri" w:hAnsi="Arial" w:cs="Arial"/>
                <w:b/>
                <w:sz w:val="18"/>
                <w:szCs w:val="18"/>
              </w:rPr>
              <w:t>2.</w:t>
            </w:r>
          </w:p>
        </w:tc>
        <w:tc>
          <w:tcPr>
            <w:tcW w:w="2798" w:type="dxa"/>
            <w:shd w:val="clear" w:color="auto" w:fill="E7E6E6"/>
            <w:noWrap/>
            <w:vAlign w:val="center"/>
            <w:hideMark/>
          </w:tcPr>
          <w:p w14:paraId="60B942A6" w14:textId="77777777" w:rsidR="004B1471" w:rsidRPr="001C487F" w:rsidRDefault="004B1471" w:rsidP="002815DB">
            <w:pPr>
              <w:rPr>
                <w:rFonts w:ascii="Arial" w:eastAsia="Calibri" w:hAnsi="Arial" w:cs="Arial"/>
                <w:b/>
                <w:sz w:val="18"/>
                <w:szCs w:val="18"/>
              </w:rPr>
            </w:pPr>
            <w:r w:rsidRPr="001C487F">
              <w:rPr>
                <w:rFonts w:ascii="Arial" w:eastAsia="Calibri" w:hAnsi="Arial" w:cs="Arial"/>
                <w:b/>
                <w:sz w:val="18"/>
                <w:szCs w:val="18"/>
              </w:rPr>
              <w:t>PRIHODI OD PRODAJE NEFINANCIJSKE IMOVINE</w:t>
            </w:r>
          </w:p>
        </w:tc>
        <w:tc>
          <w:tcPr>
            <w:tcW w:w="1170" w:type="dxa"/>
            <w:shd w:val="clear" w:color="auto" w:fill="E7E6E6"/>
            <w:noWrap/>
            <w:vAlign w:val="center"/>
          </w:tcPr>
          <w:p w14:paraId="3E3EBC03" w14:textId="77777777" w:rsidR="004B1471" w:rsidRPr="001C487F" w:rsidRDefault="004B1471" w:rsidP="002815DB">
            <w:pPr>
              <w:jc w:val="right"/>
              <w:rPr>
                <w:rFonts w:ascii="Arial" w:eastAsia="Calibri" w:hAnsi="Arial" w:cs="Arial"/>
                <w:b/>
                <w:sz w:val="18"/>
                <w:szCs w:val="18"/>
              </w:rPr>
            </w:pPr>
            <w:r w:rsidRPr="001C487F">
              <w:rPr>
                <w:rFonts w:ascii="Arial" w:eastAsia="Calibri" w:hAnsi="Arial" w:cs="Arial"/>
                <w:b/>
                <w:sz w:val="18"/>
                <w:szCs w:val="18"/>
              </w:rPr>
              <w:t>2.239.910,00</w:t>
            </w:r>
          </w:p>
        </w:tc>
        <w:tc>
          <w:tcPr>
            <w:tcW w:w="1189" w:type="dxa"/>
            <w:shd w:val="clear" w:color="auto" w:fill="E7E6E6"/>
            <w:noWrap/>
            <w:vAlign w:val="center"/>
          </w:tcPr>
          <w:p w14:paraId="07BF938A" w14:textId="77777777" w:rsidR="004B1471" w:rsidRPr="001C487F" w:rsidRDefault="004B1471" w:rsidP="002815DB">
            <w:pPr>
              <w:jc w:val="right"/>
              <w:rPr>
                <w:rFonts w:ascii="Arial" w:eastAsia="Calibri" w:hAnsi="Arial" w:cs="Arial"/>
                <w:b/>
                <w:sz w:val="18"/>
                <w:szCs w:val="18"/>
              </w:rPr>
            </w:pPr>
            <w:r w:rsidRPr="001C487F">
              <w:rPr>
                <w:rFonts w:ascii="Arial" w:eastAsia="Calibri" w:hAnsi="Arial" w:cs="Arial"/>
                <w:b/>
                <w:sz w:val="18"/>
                <w:szCs w:val="18"/>
              </w:rPr>
              <w:t>8,15</w:t>
            </w:r>
          </w:p>
        </w:tc>
        <w:tc>
          <w:tcPr>
            <w:tcW w:w="1220" w:type="dxa"/>
            <w:tcBorders>
              <w:top w:val="single" w:sz="4" w:space="0" w:color="auto"/>
              <w:left w:val="nil"/>
              <w:bottom w:val="single" w:sz="4" w:space="0" w:color="auto"/>
              <w:right w:val="single" w:sz="4" w:space="0" w:color="auto"/>
            </w:tcBorders>
            <w:shd w:val="clear" w:color="auto" w:fill="E7E6E6" w:themeFill="background2"/>
            <w:noWrap/>
            <w:vAlign w:val="center"/>
          </w:tcPr>
          <w:p w14:paraId="5B8BBD71" w14:textId="77777777" w:rsidR="004B1471" w:rsidRPr="001C487F" w:rsidRDefault="004B1471" w:rsidP="002815DB">
            <w:pPr>
              <w:jc w:val="right"/>
              <w:rPr>
                <w:rFonts w:ascii="Arial" w:eastAsia="Calibri" w:hAnsi="Arial" w:cs="Arial"/>
                <w:b/>
                <w:bCs/>
                <w:sz w:val="18"/>
                <w:szCs w:val="18"/>
              </w:rPr>
            </w:pPr>
            <w:r w:rsidRPr="001C487F">
              <w:rPr>
                <w:rFonts w:ascii="Arial" w:eastAsia="Calibri" w:hAnsi="Arial" w:cs="Arial"/>
                <w:b/>
                <w:bCs/>
                <w:sz w:val="18"/>
                <w:szCs w:val="18"/>
              </w:rPr>
              <w:t>1.508.790,00</w:t>
            </w:r>
          </w:p>
        </w:tc>
        <w:tc>
          <w:tcPr>
            <w:tcW w:w="118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AEF8D9E" w14:textId="77777777" w:rsidR="004B1471" w:rsidRPr="001C487F" w:rsidRDefault="004B1471" w:rsidP="002815DB">
            <w:pPr>
              <w:jc w:val="right"/>
              <w:rPr>
                <w:rFonts w:ascii="Arial" w:eastAsia="Calibri" w:hAnsi="Arial" w:cs="Arial"/>
                <w:b/>
                <w:bCs/>
                <w:sz w:val="18"/>
                <w:szCs w:val="18"/>
              </w:rPr>
            </w:pPr>
            <w:r w:rsidRPr="001C487F">
              <w:rPr>
                <w:rFonts w:ascii="Arial" w:eastAsia="Calibri" w:hAnsi="Arial" w:cs="Arial"/>
                <w:b/>
                <w:bCs/>
                <w:sz w:val="18"/>
                <w:szCs w:val="18"/>
              </w:rPr>
              <w:t>5,31</w:t>
            </w:r>
          </w:p>
        </w:tc>
        <w:tc>
          <w:tcPr>
            <w:tcW w:w="110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31899A6" w14:textId="77777777" w:rsidR="004B1471" w:rsidRPr="001C487F" w:rsidRDefault="004B1471" w:rsidP="002815DB">
            <w:pPr>
              <w:jc w:val="right"/>
              <w:rPr>
                <w:rFonts w:ascii="Arial" w:eastAsia="Calibri" w:hAnsi="Arial" w:cs="Arial"/>
                <w:b/>
                <w:bCs/>
                <w:sz w:val="18"/>
                <w:szCs w:val="18"/>
              </w:rPr>
            </w:pPr>
            <w:r w:rsidRPr="001C487F">
              <w:rPr>
                <w:rFonts w:ascii="Arial" w:eastAsia="Calibri" w:hAnsi="Arial" w:cs="Arial"/>
                <w:b/>
                <w:bCs/>
                <w:sz w:val="18"/>
                <w:szCs w:val="18"/>
              </w:rPr>
              <w:t>67,36</w:t>
            </w:r>
          </w:p>
        </w:tc>
      </w:tr>
      <w:tr w:rsidR="004B1471" w:rsidRPr="001C487F" w14:paraId="40A07E4A" w14:textId="77777777" w:rsidTr="002815DB">
        <w:trPr>
          <w:jc w:val="center"/>
        </w:trPr>
        <w:tc>
          <w:tcPr>
            <w:tcW w:w="650" w:type="dxa"/>
            <w:noWrap/>
            <w:vAlign w:val="center"/>
            <w:hideMark/>
          </w:tcPr>
          <w:p w14:paraId="410C8027" w14:textId="77777777" w:rsidR="004B1471" w:rsidRPr="001C487F" w:rsidRDefault="004B1471" w:rsidP="002815DB">
            <w:pPr>
              <w:rPr>
                <w:rFonts w:ascii="Arial" w:eastAsia="Calibri" w:hAnsi="Arial" w:cs="Arial"/>
                <w:b/>
                <w:sz w:val="18"/>
                <w:szCs w:val="18"/>
              </w:rPr>
            </w:pPr>
          </w:p>
        </w:tc>
        <w:tc>
          <w:tcPr>
            <w:tcW w:w="2798" w:type="dxa"/>
            <w:noWrap/>
            <w:vAlign w:val="center"/>
            <w:hideMark/>
          </w:tcPr>
          <w:p w14:paraId="179D2C3E" w14:textId="77777777" w:rsidR="004B1471" w:rsidRPr="001C487F" w:rsidRDefault="004B1471" w:rsidP="002815DB">
            <w:pPr>
              <w:rPr>
                <w:rFonts w:ascii="Arial" w:eastAsia="Calibri" w:hAnsi="Arial" w:cs="Arial"/>
                <w:sz w:val="18"/>
                <w:szCs w:val="18"/>
              </w:rPr>
            </w:pPr>
            <w:r w:rsidRPr="001C487F">
              <w:rPr>
                <w:rFonts w:ascii="Arial" w:eastAsia="Calibri" w:hAnsi="Arial" w:cs="Arial"/>
                <w:sz w:val="18"/>
                <w:szCs w:val="18"/>
              </w:rPr>
              <w:t xml:space="preserve">Prihodi od prodaje </w:t>
            </w:r>
            <w:proofErr w:type="spellStart"/>
            <w:r w:rsidRPr="001C487F">
              <w:rPr>
                <w:rFonts w:ascii="Arial" w:eastAsia="Calibri" w:hAnsi="Arial" w:cs="Arial"/>
                <w:sz w:val="18"/>
                <w:szCs w:val="18"/>
              </w:rPr>
              <w:t>neproizvedene</w:t>
            </w:r>
            <w:proofErr w:type="spellEnd"/>
            <w:r w:rsidRPr="001C487F">
              <w:rPr>
                <w:rFonts w:ascii="Arial" w:eastAsia="Calibri" w:hAnsi="Arial" w:cs="Arial"/>
                <w:sz w:val="18"/>
                <w:szCs w:val="18"/>
              </w:rPr>
              <w:t xml:space="preserve"> dugotrajne imovine</w:t>
            </w:r>
          </w:p>
        </w:tc>
        <w:tc>
          <w:tcPr>
            <w:tcW w:w="1170" w:type="dxa"/>
            <w:noWrap/>
            <w:vAlign w:val="center"/>
          </w:tcPr>
          <w:p w14:paraId="03B6F25C"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2.000.610,00</w:t>
            </w:r>
          </w:p>
        </w:tc>
        <w:tc>
          <w:tcPr>
            <w:tcW w:w="1189" w:type="dxa"/>
            <w:noWrap/>
            <w:vAlign w:val="center"/>
          </w:tcPr>
          <w:p w14:paraId="1C7C70DE"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7,28</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6D02A606"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1.267.490,00</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828EC"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4,46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69935"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63,36</w:t>
            </w:r>
          </w:p>
        </w:tc>
      </w:tr>
      <w:tr w:rsidR="004B1471" w:rsidRPr="001C487F" w14:paraId="0E91340C" w14:textId="77777777" w:rsidTr="002815DB">
        <w:trPr>
          <w:jc w:val="center"/>
        </w:trPr>
        <w:tc>
          <w:tcPr>
            <w:tcW w:w="650" w:type="dxa"/>
            <w:noWrap/>
            <w:vAlign w:val="center"/>
            <w:hideMark/>
          </w:tcPr>
          <w:p w14:paraId="6819B645" w14:textId="77777777" w:rsidR="004B1471" w:rsidRPr="001C487F" w:rsidRDefault="004B1471" w:rsidP="002815DB">
            <w:pPr>
              <w:rPr>
                <w:rFonts w:ascii="Arial" w:eastAsia="Calibri" w:hAnsi="Arial" w:cs="Arial"/>
                <w:b/>
                <w:sz w:val="18"/>
                <w:szCs w:val="18"/>
              </w:rPr>
            </w:pPr>
          </w:p>
        </w:tc>
        <w:tc>
          <w:tcPr>
            <w:tcW w:w="2798" w:type="dxa"/>
            <w:noWrap/>
            <w:vAlign w:val="center"/>
            <w:hideMark/>
          </w:tcPr>
          <w:p w14:paraId="3D7269A8" w14:textId="77777777" w:rsidR="004B1471" w:rsidRPr="001C487F" w:rsidRDefault="004B1471" w:rsidP="002815DB">
            <w:pPr>
              <w:rPr>
                <w:rFonts w:ascii="Arial" w:eastAsia="Calibri" w:hAnsi="Arial" w:cs="Arial"/>
                <w:sz w:val="18"/>
                <w:szCs w:val="18"/>
              </w:rPr>
            </w:pPr>
            <w:r w:rsidRPr="001C487F">
              <w:rPr>
                <w:rFonts w:ascii="Arial" w:eastAsia="Calibri" w:hAnsi="Arial" w:cs="Arial"/>
                <w:sz w:val="18"/>
                <w:szCs w:val="18"/>
              </w:rPr>
              <w:t>Prihodi od prodaje proizvedene dugotrajne imovine</w:t>
            </w:r>
          </w:p>
        </w:tc>
        <w:tc>
          <w:tcPr>
            <w:tcW w:w="1170" w:type="dxa"/>
            <w:noWrap/>
            <w:vAlign w:val="center"/>
          </w:tcPr>
          <w:p w14:paraId="694C1DC8"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239.300,00</w:t>
            </w:r>
          </w:p>
        </w:tc>
        <w:tc>
          <w:tcPr>
            <w:tcW w:w="1189" w:type="dxa"/>
            <w:noWrap/>
            <w:vAlign w:val="center"/>
          </w:tcPr>
          <w:p w14:paraId="281F7400"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0,87</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59B1DE85"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241.300,00</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268D7"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0,85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CAF63"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100,84</w:t>
            </w:r>
          </w:p>
        </w:tc>
      </w:tr>
      <w:tr w:rsidR="004B1471" w:rsidRPr="001C487F" w14:paraId="022B2BB4" w14:textId="77777777" w:rsidTr="002815DB">
        <w:trPr>
          <w:jc w:val="center"/>
        </w:trPr>
        <w:tc>
          <w:tcPr>
            <w:tcW w:w="650" w:type="dxa"/>
            <w:shd w:val="clear" w:color="auto" w:fill="E7E6E6"/>
            <w:noWrap/>
            <w:vAlign w:val="center"/>
            <w:hideMark/>
          </w:tcPr>
          <w:p w14:paraId="738663FB" w14:textId="77777777" w:rsidR="004B1471" w:rsidRPr="001C487F" w:rsidRDefault="004B1471" w:rsidP="002815DB">
            <w:pPr>
              <w:rPr>
                <w:rFonts w:ascii="Arial" w:eastAsia="Calibri" w:hAnsi="Arial" w:cs="Arial"/>
                <w:b/>
                <w:sz w:val="18"/>
                <w:szCs w:val="18"/>
              </w:rPr>
            </w:pPr>
            <w:r w:rsidRPr="001C487F">
              <w:rPr>
                <w:rFonts w:ascii="Arial" w:eastAsia="Calibri" w:hAnsi="Arial" w:cs="Arial"/>
                <w:b/>
                <w:sz w:val="18"/>
                <w:szCs w:val="18"/>
              </w:rPr>
              <w:t>3.</w:t>
            </w:r>
          </w:p>
        </w:tc>
        <w:tc>
          <w:tcPr>
            <w:tcW w:w="2798" w:type="dxa"/>
            <w:shd w:val="clear" w:color="auto" w:fill="E7E6E6"/>
            <w:noWrap/>
            <w:vAlign w:val="center"/>
            <w:hideMark/>
          </w:tcPr>
          <w:p w14:paraId="05B69A29" w14:textId="77777777" w:rsidR="004B1471" w:rsidRPr="001C487F" w:rsidRDefault="004B1471" w:rsidP="002815DB">
            <w:pPr>
              <w:rPr>
                <w:rFonts w:ascii="Arial" w:eastAsia="Calibri" w:hAnsi="Arial" w:cs="Arial"/>
                <w:b/>
                <w:sz w:val="18"/>
                <w:szCs w:val="18"/>
              </w:rPr>
            </w:pPr>
            <w:r w:rsidRPr="001C487F">
              <w:rPr>
                <w:rFonts w:ascii="Arial" w:eastAsia="Calibri" w:hAnsi="Arial" w:cs="Arial"/>
                <w:b/>
                <w:sz w:val="18"/>
                <w:szCs w:val="18"/>
              </w:rPr>
              <w:t>PRIMICI OD FINANCIJSKE IMOVINE I ZADUŽIVANJA</w:t>
            </w:r>
          </w:p>
        </w:tc>
        <w:tc>
          <w:tcPr>
            <w:tcW w:w="1170" w:type="dxa"/>
            <w:shd w:val="clear" w:color="auto" w:fill="E7E6E6"/>
            <w:noWrap/>
            <w:vAlign w:val="center"/>
          </w:tcPr>
          <w:p w14:paraId="4944C1AE" w14:textId="77777777" w:rsidR="004B1471" w:rsidRPr="001C487F" w:rsidRDefault="004B1471" w:rsidP="002815DB">
            <w:pPr>
              <w:jc w:val="right"/>
              <w:rPr>
                <w:rFonts w:ascii="Arial" w:eastAsia="Calibri" w:hAnsi="Arial" w:cs="Arial"/>
                <w:b/>
                <w:sz w:val="18"/>
                <w:szCs w:val="18"/>
              </w:rPr>
            </w:pPr>
            <w:r w:rsidRPr="001C487F">
              <w:rPr>
                <w:rFonts w:ascii="Arial" w:eastAsia="Calibri" w:hAnsi="Arial" w:cs="Arial"/>
                <w:b/>
                <w:sz w:val="18"/>
                <w:szCs w:val="18"/>
              </w:rPr>
              <w:t>0,00</w:t>
            </w:r>
          </w:p>
        </w:tc>
        <w:tc>
          <w:tcPr>
            <w:tcW w:w="1189" w:type="dxa"/>
            <w:shd w:val="clear" w:color="auto" w:fill="E7E6E6"/>
            <w:noWrap/>
            <w:vAlign w:val="center"/>
          </w:tcPr>
          <w:p w14:paraId="6DC6FF2F" w14:textId="77777777" w:rsidR="004B1471" w:rsidRPr="001C487F" w:rsidRDefault="004B1471" w:rsidP="002815DB">
            <w:pPr>
              <w:jc w:val="right"/>
              <w:rPr>
                <w:rFonts w:ascii="Arial" w:eastAsia="Calibri" w:hAnsi="Arial" w:cs="Arial"/>
                <w:b/>
                <w:sz w:val="18"/>
                <w:szCs w:val="18"/>
              </w:rPr>
            </w:pPr>
            <w:r w:rsidRPr="001C487F">
              <w:rPr>
                <w:rFonts w:ascii="Arial" w:eastAsia="Calibri" w:hAnsi="Arial" w:cs="Arial"/>
                <w:b/>
                <w:sz w:val="18"/>
                <w:szCs w:val="18"/>
              </w:rPr>
              <w:t>0,00</w:t>
            </w:r>
          </w:p>
        </w:tc>
        <w:tc>
          <w:tcPr>
            <w:tcW w:w="1220" w:type="dxa"/>
            <w:tcBorders>
              <w:top w:val="single" w:sz="4" w:space="0" w:color="auto"/>
              <w:left w:val="nil"/>
              <w:bottom w:val="single" w:sz="4" w:space="0" w:color="auto"/>
              <w:right w:val="single" w:sz="4" w:space="0" w:color="auto"/>
            </w:tcBorders>
            <w:shd w:val="clear" w:color="auto" w:fill="E7E6E6" w:themeFill="background2"/>
            <w:noWrap/>
            <w:vAlign w:val="center"/>
          </w:tcPr>
          <w:p w14:paraId="06389927" w14:textId="77777777" w:rsidR="004B1471" w:rsidRPr="001C487F" w:rsidRDefault="004B1471" w:rsidP="002815DB">
            <w:pPr>
              <w:jc w:val="right"/>
              <w:rPr>
                <w:rFonts w:ascii="Arial" w:eastAsia="Calibri" w:hAnsi="Arial" w:cs="Arial"/>
                <w:b/>
                <w:bCs/>
                <w:sz w:val="18"/>
                <w:szCs w:val="18"/>
              </w:rPr>
            </w:pPr>
            <w:r w:rsidRPr="001C487F">
              <w:rPr>
                <w:rFonts w:ascii="Arial" w:eastAsia="Calibri" w:hAnsi="Arial" w:cs="Arial"/>
                <w:b/>
                <w:bCs/>
                <w:sz w:val="18"/>
                <w:szCs w:val="18"/>
              </w:rPr>
              <w:t>0,00</w:t>
            </w:r>
          </w:p>
        </w:tc>
        <w:tc>
          <w:tcPr>
            <w:tcW w:w="118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4581002" w14:textId="77777777" w:rsidR="004B1471" w:rsidRPr="001C487F" w:rsidRDefault="004B1471" w:rsidP="002815DB">
            <w:pPr>
              <w:jc w:val="right"/>
              <w:rPr>
                <w:rFonts w:ascii="Arial" w:eastAsia="Calibri" w:hAnsi="Arial" w:cs="Arial"/>
                <w:b/>
                <w:bCs/>
                <w:sz w:val="18"/>
                <w:szCs w:val="18"/>
              </w:rPr>
            </w:pPr>
            <w:r w:rsidRPr="001C487F">
              <w:rPr>
                <w:rFonts w:ascii="Arial" w:eastAsia="Calibri" w:hAnsi="Arial" w:cs="Arial"/>
                <w:b/>
                <w:bCs/>
                <w:sz w:val="18"/>
                <w:szCs w:val="18"/>
              </w:rPr>
              <w:t>0,00</w:t>
            </w:r>
          </w:p>
        </w:tc>
        <w:tc>
          <w:tcPr>
            <w:tcW w:w="110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16B0854" w14:textId="77777777" w:rsidR="004B1471" w:rsidRPr="001C487F" w:rsidRDefault="004B1471" w:rsidP="002815DB">
            <w:pPr>
              <w:jc w:val="right"/>
              <w:rPr>
                <w:rFonts w:ascii="Arial" w:eastAsia="Calibri" w:hAnsi="Arial" w:cs="Arial"/>
                <w:b/>
                <w:bCs/>
                <w:sz w:val="18"/>
                <w:szCs w:val="18"/>
              </w:rPr>
            </w:pPr>
            <w:r w:rsidRPr="001C487F">
              <w:rPr>
                <w:rFonts w:ascii="Arial" w:eastAsia="Calibri" w:hAnsi="Arial" w:cs="Arial"/>
                <w:b/>
                <w:bCs/>
                <w:sz w:val="18"/>
                <w:szCs w:val="18"/>
              </w:rPr>
              <w:t>0,00</w:t>
            </w:r>
          </w:p>
        </w:tc>
      </w:tr>
      <w:tr w:rsidR="004B1471" w:rsidRPr="001C487F" w14:paraId="721D9E1B" w14:textId="77777777" w:rsidTr="002815DB">
        <w:trPr>
          <w:jc w:val="center"/>
        </w:trPr>
        <w:tc>
          <w:tcPr>
            <w:tcW w:w="650" w:type="dxa"/>
            <w:noWrap/>
            <w:vAlign w:val="center"/>
            <w:hideMark/>
          </w:tcPr>
          <w:p w14:paraId="4D3839CF" w14:textId="77777777" w:rsidR="004B1471" w:rsidRPr="001C487F" w:rsidRDefault="004B1471" w:rsidP="002815DB">
            <w:pPr>
              <w:rPr>
                <w:rFonts w:ascii="Arial" w:eastAsia="Calibri" w:hAnsi="Arial" w:cs="Arial"/>
                <w:b/>
                <w:sz w:val="18"/>
                <w:szCs w:val="18"/>
              </w:rPr>
            </w:pPr>
          </w:p>
        </w:tc>
        <w:tc>
          <w:tcPr>
            <w:tcW w:w="2798" w:type="dxa"/>
            <w:noWrap/>
            <w:vAlign w:val="center"/>
            <w:hideMark/>
          </w:tcPr>
          <w:p w14:paraId="010E9FFE" w14:textId="77777777" w:rsidR="004B1471" w:rsidRPr="001C487F" w:rsidRDefault="004B1471" w:rsidP="002815DB">
            <w:pPr>
              <w:rPr>
                <w:rFonts w:ascii="Arial" w:eastAsia="Calibri" w:hAnsi="Arial" w:cs="Arial"/>
                <w:sz w:val="18"/>
                <w:szCs w:val="18"/>
              </w:rPr>
            </w:pPr>
            <w:r w:rsidRPr="001C487F">
              <w:rPr>
                <w:rFonts w:ascii="Arial" w:eastAsia="Calibri" w:hAnsi="Arial" w:cs="Arial"/>
                <w:sz w:val="18"/>
                <w:szCs w:val="18"/>
              </w:rPr>
              <w:t>Primici od zaduživanja</w:t>
            </w:r>
          </w:p>
        </w:tc>
        <w:tc>
          <w:tcPr>
            <w:tcW w:w="1170" w:type="dxa"/>
            <w:noWrap/>
            <w:vAlign w:val="center"/>
          </w:tcPr>
          <w:p w14:paraId="291C79B7" w14:textId="77777777" w:rsidR="004B1471" w:rsidRPr="001C487F" w:rsidRDefault="004B1471" w:rsidP="002815DB">
            <w:pPr>
              <w:jc w:val="right"/>
              <w:rPr>
                <w:rFonts w:ascii="Arial" w:eastAsia="Calibri" w:hAnsi="Arial" w:cs="Arial"/>
                <w:bCs/>
                <w:sz w:val="18"/>
                <w:szCs w:val="18"/>
              </w:rPr>
            </w:pPr>
            <w:r w:rsidRPr="001C487F">
              <w:rPr>
                <w:rFonts w:ascii="Arial" w:eastAsia="Calibri" w:hAnsi="Arial" w:cs="Arial"/>
                <w:bCs/>
                <w:sz w:val="18"/>
                <w:szCs w:val="18"/>
              </w:rPr>
              <w:t>0,00</w:t>
            </w:r>
          </w:p>
        </w:tc>
        <w:tc>
          <w:tcPr>
            <w:tcW w:w="1189" w:type="dxa"/>
            <w:noWrap/>
            <w:vAlign w:val="center"/>
          </w:tcPr>
          <w:p w14:paraId="44761BED"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0,00</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021A2C27"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0,00</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C9641"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0,00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D1D67" w14:textId="77777777" w:rsidR="004B1471" w:rsidRPr="001C487F" w:rsidRDefault="004B1471" w:rsidP="002815DB">
            <w:pPr>
              <w:jc w:val="right"/>
              <w:rPr>
                <w:rFonts w:ascii="Arial" w:eastAsia="Calibri" w:hAnsi="Arial" w:cs="Arial"/>
                <w:sz w:val="18"/>
                <w:szCs w:val="18"/>
              </w:rPr>
            </w:pPr>
            <w:r w:rsidRPr="001C487F">
              <w:rPr>
                <w:rFonts w:ascii="Arial" w:eastAsia="Calibri" w:hAnsi="Arial" w:cs="Arial"/>
                <w:sz w:val="18"/>
                <w:szCs w:val="18"/>
              </w:rPr>
              <w:t>0,00</w:t>
            </w:r>
          </w:p>
        </w:tc>
      </w:tr>
      <w:tr w:rsidR="004B1471" w:rsidRPr="001C487F" w14:paraId="0976C757" w14:textId="77777777" w:rsidTr="002815DB">
        <w:trPr>
          <w:jc w:val="center"/>
        </w:trPr>
        <w:tc>
          <w:tcPr>
            <w:tcW w:w="650" w:type="dxa"/>
            <w:shd w:val="clear" w:color="auto" w:fill="E7E6E6"/>
            <w:noWrap/>
            <w:vAlign w:val="center"/>
            <w:hideMark/>
          </w:tcPr>
          <w:p w14:paraId="754759A8" w14:textId="77777777" w:rsidR="004B1471" w:rsidRPr="001C487F" w:rsidRDefault="004B1471" w:rsidP="002815DB">
            <w:pPr>
              <w:rPr>
                <w:rFonts w:ascii="Arial" w:eastAsia="Calibri" w:hAnsi="Arial" w:cs="Arial"/>
                <w:b/>
                <w:sz w:val="18"/>
                <w:szCs w:val="18"/>
              </w:rPr>
            </w:pPr>
          </w:p>
        </w:tc>
        <w:tc>
          <w:tcPr>
            <w:tcW w:w="2798" w:type="dxa"/>
            <w:shd w:val="clear" w:color="auto" w:fill="E7E6E6"/>
            <w:noWrap/>
            <w:vAlign w:val="center"/>
            <w:hideMark/>
          </w:tcPr>
          <w:p w14:paraId="4D478455" w14:textId="77777777" w:rsidR="004B1471" w:rsidRPr="001C487F" w:rsidRDefault="004B1471" w:rsidP="002815DB">
            <w:pPr>
              <w:rPr>
                <w:rFonts w:ascii="Arial" w:eastAsia="Calibri" w:hAnsi="Arial" w:cs="Arial"/>
                <w:b/>
                <w:sz w:val="18"/>
                <w:szCs w:val="18"/>
              </w:rPr>
            </w:pPr>
            <w:r w:rsidRPr="001C487F">
              <w:rPr>
                <w:rFonts w:ascii="Arial" w:eastAsia="Calibri" w:hAnsi="Arial" w:cs="Arial"/>
                <w:b/>
                <w:sz w:val="18"/>
                <w:szCs w:val="18"/>
              </w:rPr>
              <w:t>UKUPNO PRIHODI I PRIMICI</w:t>
            </w:r>
          </w:p>
        </w:tc>
        <w:tc>
          <w:tcPr>
            <w:tcW w:w="1170" w:type="dxa"/>
            <w:shd w:val="clear" w:color="auto" w:fill="E7E6E6"/>
            <w:noWrap/>
            <w:vAlign w:val="center"/>
          </w:tcPr>
          <w:p w14:paraId="4BAC85EC" w14:textId="77777777" w:rsidR="004B1471" w:rsidRPr="001C487F" w:rsidRDefault="004B1471" w:rsidP="002815DB">
            <w:pPr>
              <w:jc w:val="right"/>
              <w:rPr>
                <w:rFonts w:ascii="Arial" w:eastAsia="Calibri" w:hAnsi="Arial" w:cs="Arial"/>
                <w:b/>
                <w:sz w:val="18"/>
                <w:szCs w:val="18"/>
              </w:rPr>
            </w:pPr>
            <w:r w:rsidRPr="001C487F">
              <w:rPr>
                <w:rFonts w:ascii="Arial" w:eastAsia="Calibri" w:hAnsi="Arial" w:cs="Arial"/>
                <w:b/>
                <w:sz w:val="18"/>
                <w:szCs w:val="18"/>
              </w:rPr>
              <w:t>27.456.774,00</w:t>
            </w:r>
          </w:p>
        </w:tc>
        <w:tc>
          <w:tcPr>
            <w:tcW w:w="1189" w:type="dxa"/>
            <w:shd w:val="clear" w:color="auto" w:fill="E7E6E6"/>
            <w:noWrap/>
            <w:vAlign w:val="center"/>
          </w:tcPr>
          <w:p w14:paraId="349A8ECB" w14:textId="77777777" w:rsidR="004B1471" w:rsidRPr="001C487F" w:rsidRDefault="004B1471" w:rsidP="002815DB">
            <w:pPr>
              <w:jc w:val="right"/>
              <w:rPr>
                <w:rFonts w:ascii="Arial" w:eastAsia="Calibri" w:hAnsi="Arial" w:cs="Arial"/>
                <w:b/>
                <w:sz w:val="18"/>
                <w:szCs w:val="18"/>
              </w:rPr>
            </w:pPr>
            <w:r w:rsidRPr="001C487F">
              <w:rPr>
                <w:rFonts w:ascii="Arial" w:eastAsia="Calibri" w:hAnsi="Arial" w:cs="Arial"/>
                <w:b/>
                <w:sz w:val="18"/>
                <w:szCs w:val="18"/>
              </w:rPr>
              <w:t>99,91</w:t>
            </w:r>
          </w:p>
        </w:tc>
        <w:tc>
          <w:tcPr>
            <w:tcW w:w="1220" w:type="dxa"/>
            <w:tcBorders>
              <w:top w:val="single" w:sz="4" w:space="0" w:color="auto"/>
            </w:tcBorders>
            <w:shd w:val="clear" w:color="auto" w:fill="E7E6E6"/>
            <w:noWrap/>
            <w:vAlign w:val="center"/>
          </w:tcPr>
          <w:p w14:paraId="2864D658" w14:textId="77777777" w:rsidR="004B1471" w:rsidRPr="001C487F" w:rsidRDefault="004B1471" w:rsidP="002815DB">
            <w:pPr>
              <w:jc w:val="right"/>
              <w:rPr>
                <w:rFonts w:ascii="Arial" w:eastAsia="Calibri" w:hAnsi="Arial" w:cs="Arial"/>
                <w:b/>
                <w:sz w:val="18"/>
                <w:szCs w:val="18"/>
              </w:rPr>
            </w:pPr>
            <w:r w:rsidRPr="001C487F">
              <w:rPr>
                <w:rFonts w:ascii="Arial" w:eastAsia="Calibri" w:hAnsi="Arial" w:cs="Arial"/>
                <w:b/>
                <w:sz w:val="18"/>
                <w:szCs w:val="18"/>
              </w:rPr>
              <w:t>27.647.748,00</w:t>
            </w:r>
          </w:p>
        </w:tc>
        <w:tc>
          <w:tcPr>
            <w:tcW w:w="1181" w:type="dxa"/>
            <w:tcBorders>
              <w:top w:val="single" w:sz="4" w:space="0" w:color="auto"/>
            </w:tcBorders>
            <w:shd w:val="clear" w:color="auto" w:fill="E7E6E6"/>
            <w:noWrap/>
            <w:vAlign w:val="center"/>
          </w:tcPr>
          <w:p w14:paraId="3F7FA438" w14:textId="77777777" w:rsidR="004B1471" w:rsidRPr="001C487F" w:rsidRDefault="004B1471" w:rsidP="002815DB">
            <w:pPr>
              <w:jc w:val="right"/>
              <w:rPr>
                <w:rFonts w:ascii="Arial" w:eastAsia="Calibri" w:hAnsi="Arial" w:cs="Arial"/>
                <w:b/>
                <w:sz w:val="18"/>
                <w:szCs w:val="18"/>
              </w:rPr>
            </w:pPr>
            <w:r w:rsidRPr="001C487F">
              <w:rPr>
                <w:rFonts w:ascii="Arial" w:eastAsia="Calibri" w:hAnsi="Arial" w:cs="Arial"/>
                <w:b/>
                <w:sz w:val="18"/>
                <w:szCs w:val="18"/>
              </w:rPr>
              <w:t>97,31</w:t>
            </w:r>
          </w:p>
        </w:tc>
        <w:tc>
          <w:tcPr>
            <w:tcW w:w="1106" w:type="dxa"/>
            <w:tcBorders>
              <w:top w:val="single" w:sz="4" w:space="0" w:color="auto"/>
            </w:tcBorders>
            <w:shd w:val="clear" w:color="auto" w:fill="E7E6E6"/>
            <w:noWrap/>
            <w:vAlign w:val="center"/>
          </w:tcPr>
          <w:p w14:paraId="1ECBBF4E" w14:textId="77777777" w:rsidR="004B1471" w:rsidRPr="001C487F" w:rsidRDefault="004B1471" w:rsidP="002815DB">
            <w:pPr>
              <w:jc w:val="right"/>
              <w:rPr>
                <w:rFonts w:ascii="Arial" w:eastAsia="Calibri" w:hAnsi="Arial" w:cs="Arial"/>
                <w:b/>
                <w:sz w:val="18"/>
                <w:szCs w:val="18"/>
              </w:rPr>
            </w:pPr>
            <w:r w:rsidRPr="001C487F">
              <w:rPr>
                <w:rFonts w:ascii="Arial" w:eastAsia="Calibri" w:hAnsi="Arial" w:cs="Arial"/>
                <w:b/>
                <w:sz w:val="18"/>
                <w:szCs w:val="18"/>
              </w:rPr>
              <w:t>100,70</w:t>
            </w:r>
          </w:p>
        </w:tc>
      </w:tr>
      <w:tr w:rsidR="004B1471" w:rsidRPr="001C487F" w14:paraId="125795D3" w14:textId="77777777" w:rsidTr="002815DB">
        <w:trPr>
          <w:jc w:val="center"/>
        </w:trPr>
        <w:tc>
          <w:tcPr>
            <w:tcW w:w="650" w:type="dxa"/>
            <w:noWrap/>
            <w:vAlign w:val="center"/>
            <w:hideMark/>
          </w:tcPr>
          <w:p w14:paraId="2CCA0A55" w14:textId="77777777" w:rsidR="004B1471" w:rsidRPr="001C487F" w:rsidRDefault="004B1471" w:rsidP="002815DB">
            <w:pPr>
              <w:rPr>
                <w:rFonts w:ascii="Arial" w:eastAsia="Calibri" w:hAnsi="Arial" w:cs="Arial"/>
                <w:b/>
                <w:sz w:val="18"/>
                <w:szCs w:val="18"/>
              </w:rPr>
            </w:pPr>
            <w:r w:rsidRPr="001C487F">
              <w:rPr>
                <w:rFonts w:ascii="Arial" w:eastAsia="Calibri" w:hAnsi="Arial" w:cs="Arial"/>
                <w:b/>
                <w:sz w:val="18"/>
                <w:szCs w:val="18"/>
              </w:rPr>
              <w:t>4.</w:t>
            </w:r>
          </w:p>
        </w:tc>
        <w:tc>
          <w:tcPr>
            <w:tcW w:w="2798" w:type="dxa"/>
            <w:noWrap/>
            <w:vAlign w:val="center"/>
            <w:hideMark/>
          </w:tcPr>
          <w:p w14:paraId="5DFB1B6B" w14:textId="77777777" w:rsidR="004B1471" w:rsidRPr="001C487F" w:rsidRDefault="004B1471" w:rsidP="002815DB">
            <w:pPr>
              <w:rPr>
                <w:rFonts w:ascii="Arial" w:eastAsia="Calibri" w:hAnsi="Arial" w:cs="Arial"/>
                <w:b/>
                <w:sz w:val="18"/>
                <w:szCs w:val="18"/>
              </w:rPr>
            </w:pPr>
            <w:r w:rsidRPr="001C487F">
              <w:rPr>
                <w:rFonts w:ascii="Arial" w:eastAsia="Calibri" w:hAnsi="Arial" w:cs="Arial"/>
                <w:b/>
                <w:sz w:val="18"/>
                <w:szCs w:val="18"/>
              </w:rPr>
              <w:t>VIŠAK/MANJAK PRIHODA IZ PRETHODNE GODINE</w:t>
            </w:r>
          </w:p>
        </w:tc>
        <w:tc>
          <w:tcPr>
            <w:tcW w:w="1170" w:type="dxa"/>
            <w:noWrap/>
            <w:vAlign w:val="center"/>
          </w:tcPr>
          <w:p w14:paraId="0557CF16" w14:textId="77777777" w:rsidR="004B1471" w:rsidRPr="001C487F" w:rsidRDefault="004B1471" w:rsidP="002815DB">
            <w:pPr>
              <w:jc w:val="right"/>
              <w:rPr>
                <w:rFonts w:ascii="Arial" w:eastAsia="Calibri" w:hAnsi="Arial" w:cs="Arial"/>
                <w:b/>
                <w:sz w:val="18"/>
                <w:szCs w:val="18"/>
              </w:rPr>
            </w:pPr>
            <w:r w:rsidRPr="001C487F">
              <w:rPr>
                <w:rFonts w:ascii="Arial" w:eastAsia="Calibri" w:hAnsi="Arial" w:cs="Arial"/>
                <w:b/>
                <w:sz w:val="18"/>
                <w:szCs w:val="18"/>
              </w:rPr>
              <w:t>23.532,00</w:t>
            </w:r>
          </w:p>
        </w:tc>
        <w:tc>
          <w:tcPr>
            <w:tcW w:w="1189" w:type="dxa"/>
            <w:noWrap/>
            <w:vAlign w:val="center"/>
          </w:tcPr>
          <w:p w14:paraId="14B03219" w14:textId="77777777" w:rsidR="004B1471" w:rsidRPr="001C487F" w:rsidRDefault="004B1471" w:rsidP="002815DB">
            <w:pPr>
              <w:jc w:val="right"/>
              <w:rPr>
                <w:rFonts w:ascii="Arial" w:eastAsia="Calibri" w:hAnsi="Arial" w:cs="Arial"/>
                <w:b/>
                <w:sz w:val="18"/>
                <w:szCs w:val="18"/>
              </w:rPr>
            </w:pPr>
            <w:r w:rsidRPr="001C487F">
              <w:rPr>
                <w:rFonts w:ascii="Arial" w:eastAsia="Calibri" w:hAnsi="Arial" w:cs="Arial"/>
                <w:b/>
                <w:sz w:val="18"/>
                <w:szCs w:val="18"/>
              </w:rPr>
              <w:t>0,09</w:t>
            </w:r>
          </w:p>
        </w:tc>
        <w:tc>
          <w:tcPr>
            <w:tcW w:w="1220" w:type="dxa"/>
            <w:noWrap/>
            <w:vAlign w:val="center"/>
          </w:tcPr>
          <w:p w14:paraId="467E97EA" w14:textId="77777777" w:rsidR="004B1471" w:rsidRPr="001C487F" w:rsidRDefault="004B1471" w:rsidP="002815DB">
            <w:pPr>
              <w:jc w:val="right"/>
              <w:rPr>
                <w:rFonts w:ascii="Arial" w:eastAsia="Calibri" w:hAnsi="Arial" w:cs="Arial"/>
                <w:b/>
                <w:bCs/>
                <w:sz w:val="18"/>
                <w:szCs w:val="18"/>
              </w:rPr>
            </w:pPr>
            <w:r w:rsidRPr="001C487F">
              <w:rPr>
                <w:rFonts w:ascii="Arial" w:eastAsia="Calibri" w:hAnsi="Arial" w:cs="Arial"/>
                <w:b/>
                <w:bCs/>
                <w:sz w:val="18"/>
                <w:szCs w:val="18"/>
              </w:rPr>
              <w:t>765.853,00</w:t>
            </w:r>
          </w:p>
        </w:tc>
        <w:tc>
          <w:tcPr>
            <w:tcW w:w="1181" w:type="dxa"/>
            <w:noWrap/>
            <w:vAlign w:val="center"/>
          </w:tcPr>
          <w:p w14:paraId="0196B3A5" w14:textId="77777777" w:rsidR="004B1471" w:rsidRPr="001C487F" w:rsidRDefault="004B1471" w:rsidP="002815DB">
            <w:pPr>
              <w:jc w:val="right"/>
              <w:rPr>
                <w:rFonts w:ascii="Arial" w:eastAsia="Calibri" w:hAnsi="Arial" w:cs="Arial"/>
                <w:b/>
                <w:bCs/>
                <w:sz w:val="18"/>
                <w:szCs w:val="18"/>
              </w:rPr>
            </w:pPr>
            <w:r w:rsidRPr="001C487F">
              <w:rPr>
                <w:rFonts w:ascii="Arial" w:eastAsia="Calibri" w:hAnsi="Arial" w:cs="Arial"/>
                <w:b/>
                <w:bCs/>
                <w:sz w:val="18"/>
                <w:szCs w:val="18"/>
              </w:rPr>
              <w:t>2,69</w:t>
            </w:r>
          </w:p>
        </w:tc>
        <w:tc>
          <w:tcPr>
            <w:tcW w:w="1106" w:type="dxa"/>
            <w:noWrap/>
            <w:vAlign w:val="center"/>
          </w:tcPr>
          <w:p w14:paraId="0D7666EF" w14:textId="77777777" w:rsidR="004B1471" w:rsidRPr="001C487F" w:rsidRDefault="004B1471" w:rsidP="002815DB">
            <w:pPr>
              <w:jc w:val="right"/>
              <w:rPr>
                <w:rFonts w:ascii="Arial" w:eastAsia="Calibri" w:hAnsi="Arial" w:cs="Arial"/>
                <w:b/>
                <w:bCs/>
                <w:sz w:val="18"/>
                <w:szCs w:val="18"/>
              </w:rPr>
            </w:pPr>
            <w:r w:rsidRPr="001C487F">
              <w:rPr>
                <w:rFonts w:ascii="Arial" w:eastAsia="Calibri" w:hAnsi="Arial" w:cs="Arial"/>
                <w:b/>
                <w:bCs/>
                <w:sz w:val="18"/>
                <w:szCs w:val="18"/>
              </w:rPr>
              <w:t>3.254,52</w:t>
            </w:r>
          </w:p>
        </w:tc>
      </w:tr>
      <w:tr w:rsidR="004B1471" w:rsidRPr="001C487F" w14:paraId="7DA1D15E" w14:textId="77777777" w:rsidTr="002815DB">
        <w:trPr>
          <w:jc w:val="center"/>
        </w:trPr>
        <w:tc>
          <w:tcPr>
            <w:tcW w:w="650" w:type="dxa"/>
            <w:shd w:val="clear" w:color="auto" w:fill="E7E6E6"/>
            <w:noWrap/>
            <w:vAlign w:val="center"/>
            <w:hideMark/>
          </w:tcPr>
          <w:p w14:paraId="451B8B11" w14:textId="77777777" w:rsidR="004B1471" w:rsidRPr="001C487F" w:rsidRDefault="004B1471" w:rsidP="002815DB">
            <w:pPr>
              <w:rPr>
                <w:rFonts w:ascii="Arial" w:eastAsia="Calibri" w:hAnsi="Arial" w:cs="Arial"/>
                <w:b/>
                <w:sz w:val="18"/>
                <w:szCs w:val="18"/>
              </w:rPr>
            </w:pPr>
            <w:r w:rsidRPr="001C487F">
              <w:rPr>
                <w:rFonts w:ascii="Arial" w:eastAsia="Calibri" w:hAnsi="Arial" w:cs="Arial"/>
                <w:b/>
                <w:sz w:val="18"/>
                <w:szCs w:val="18"/>
              </w:rPr>
              <w:t>5.</w:t>
            </w:r>
          </w:p>
        </w:tc>
        <w:tc>
          <w:tcPr>
            <w:tcW w:w="2798" w:type="dxa"/>
            <w:shd w:val="clear" w:color="auto" w:fill="E7E6E6"/>
            <w:noWrap/>
            <w:vAlign w:val="center"/>
            <w:hideMark/>
          </w:tcPr>
          <w:p w14:paraId="4CB2F157" w14:textId="77777777" w:rsidR="004B1471" w:rsidRPr="001C487F" w:rsidRDefault="004B1471" w:rsidP="002815DB">
            <w:pPr>
              <w:rPr>
                <w:rFonts w:ascii="Arial" w:eastAsia="Calibri" w:hAnsi="Arial" w:cs="Arial"/>
                <w:b/>
                <w:sz w:val="18"/>
                <w:szCs w:val="18"/>
              </w:rPr>
            </w:pPr>
            <w:r w:rsidRPr="001C487F">
              <w:rPr>
                <w:rFonts w:ascii="Arial" w:eastAsia="Calibri" w:hAnsi="Arial" w:cs="Arial"/>
                <w:b/>
                <w:sz w:val="18"/>
                <w:szCs w:val="18"/>
              </w:rPr>
              <w:t>SVEUKUPNO PRIHODI, PRIMICI I VIŠAK PRIHODA</w:t>
            </w:r>
          </w:p>
        </w:tc>
        <w:tc>
          <w:tcPr>
            <w:tcW w:w="1170" w:type="dxa"/>
            <w:shd w:val="clear" w:color="auto" w:fill="E7E6E6"/>
            <w:noWrap/>
            <w:vAlign w:val="center"/>
          </w:tcPr>
          <w:p w14:paraId="07E176D1" w14:textId="77777777" w:rsidR="004B1471" w:rsidRPr="001C487F" w:rsidRDefault="004B1471" w:rsidP="002815DB">
            <w:pPr>
              <w:jc w:val="right"/>
              <w:rPr>
                <w:rFonts w:ascii="Arial" w:eastAsia="Calibri" w:hAnsi="Arial" w:cs="Arial"/>
                <w:b/>
                <w:sz w:val="18"/>
                <w:szCs w:val="18"/>
              </w:rPr>
            </w:pPr>
            <w:r w:rsidRPr="001C487F">
              <w:rPr>
                <w:rFonts w:ascii="Arial" w:eastAsia="Calibri" w:hAnsi="Arial" w:cs="Arial"/>
                <w:b/>
                <w:sz w:val="18"/>
                <w:szCs w:val="18"/>
              </w:rPr>
              <w:t>27.480.306,00</w:t>
            </w:r>
          </w:p>
        </w:tc>
        <w:tc>
          <w:tcPr>
            <w:tcW w:w="1189" w:type="dxa"/>
            <w:shd w:val="clear" w:color="auto" w:fill="E7E6E6"/>
            <w:noWrap/>
            <w:vAlign w:val="center"/>
          </w:tcPr>
          <w:p w14:paraId="6F97EC17" w14:textId="77777777" w:rsidR="004B1471" w:rsidRPr="001C487F" w:rsidRDefault="004B1471" w:rsidP="002815DB">
            <w:pPr>
              <w:jc w:val="right"/>
              <w:rPr>
                <w:rFonts w:ascii="Arial" w:eastAsia="Calibri" w:hAnsi="Arial" w:cs="Arial"/>
                <w:b/>
                <w:sz w:val="18"/>
                <w:szCs w:val="18"/>
              </w:rPr>
            </w:pPr>
            <w:r w:rsidRPr="001C487F">
              <w:rPr>
                <w:rFonts w:ascii="Arial" w:eastAsia="Calibri" w:hAnsi="Arial" w:cs="Arial"/>
                <w:b/>
                <w:sz w:val="18"/>
                <w:szCs w:val="18"/>
              </w:rPr>
              <w:t>100,00</w:t>
            </w:r>
          </w:p>
        </w:tc>
        <w:tc>
          <w:tcPr>
            <w:tcW w:w="1220" w:type="dxa"/>
            <w:shd w:val="clear" w:color="auto" w:fill="E7E6E6"/>
            <w:noWrap/>
            <w:vAlign w:val="center"/>
          </w:tcPr>
          <w:p w14:paraId="32492917" w14:textId="77777777" w:rsidR="004B1471" w:rsidRPr="001C487F" w:rsidRDefault="004B1471" w:rsidP="002815DB">
            <w:pPr>
              <w:jc w:val="right"/>
              <w:rPr>
                <w:rFonts w:ascii="Arial" w:eastAsia="Calibri" w:hAnsi="Arial" w:cs="Arial"/>
                <w:b/>
                <w:bCs/>
                <w:sz w:val="18"/>
                <w:szCs w:val="18"/>
              </w:rPr>
            </w:pPr>
            <w:bookmarkStart w:id="10" w:name="_Hlk203199610"/>
            <w:r w:rsidRPr="001C487F">
              <w:rPr>
                <w:rFonts w:ascii="Arial" w:eastAsia="Calibri" w:hAnsi="Arial" w:cs="Arial"/>
                <w:b/>
                <w:bCs/>
                <w:sz w:val="18"/>
                <w:szCs w:val="18"/>
              </w:rPr>
              <w:t>28.413.601,00</w:t>
            </w:r>
            <w:bookmarkEnd w:id="10"/>
          </w:p>
        </w:tc>
        <w:tc>
          <w:tcPr>
            <w:tcW w:w="1181" w:type="dxa"/>
            <w:shd w:val="clear" w:color="auto" w:fill="E7E6E6"/>
            <w:noWrap/>
            <w:vAlign w:val="center"/>
          </w:tcPr>
          <w:p w14:paraId="3BBA1F36" w14:textId="77777777" w:rsidR="004B1471" w:rsidRPr="001C487F" w:rsidRDefault="004B1471" w:rsidP="002815DB">
            <w:pPr>
              <w:jc w:val="right"/>
              <w:rPr>
                <w:rFonts w:ascii="Arial" w:eastAsia="Calibri" w:hAnsi="Arial" w:cs="Arial"/>
                <w:b/>
                <w:bCs/>
                <w:sz w:val="18"/>
                <w:szCs w:val="18"/>
              </w:rPr>
            </w:pPr>
            <w:r w:rsidRPr="001C487F">
              <w:rPr>
                <w:rFonts w:ascii="Arial" w:eastAsia="Calibri" w:hAnsi="Arial" w:cs="Arial"/>
                <w:b/>
                <w:bCs/>
                <w:sz w:val="18"/>
                <w:szCs w:val="18"/>
              </w:rPr>
              <w:t>100,00</w:t>
            </w:r>
          </w:p>
        </w:tc>
        <w:tc>
          <w:tcPr>
            <w:tcW w:w="1106" w:type="dxa"/>
            <w:shd w:val="clear" w:color="auto" w:fill="E7E6E6"/>
            <w:noWrap/>
            <w:vAlign w:val="center"/>
          </w:tcPr>
          <w:p w14:paraId="6E4C3BDF" w14:textId="77777777" w:rsidR="004B1471" w:rsidRPr="001C487F" w:rsidRDefault="004B1471" w:rsidP="002815DB">
            <w:pPr>
              <w:jc w:val="right"/>
              <w:rPr>
                <w:rFonts w:ascii="Arial" w:eastAsia="Calibri" w:hAnsi="Arial" w:cs="Arial"/>
                <w:b/>
                <w:bCs/>
                <w:sz w:val="18"/>
                <w:szCs w:val="18"/>
              </w:rPr>
            </w:pPr>
            <w:r w:rsidRPr="001C487F">
              <w:rPr>
                <w:rFonts w:ascii="Arial" w:eastAsia="Calibri" w:hAnsi="Arial" w:cs="Arial"/>
                <w:b/>
                <w:bCs/>
                <w:sz w:val="18"/>
                <w:szCs w:val="18"/>
              </w:rPr>
              <w:t>103,40</w:t>
            </w:r>
          </w:p>
        </w:tc>
      </w:tr>
    </w:tbl>
    <w:p w14:paraId="43EA10FD" w14:textId="77777777" w:rsidR="004B1471" w:rsidRPr="00D20E84" w:rsidRDefault="004B1471" w:rsidP="004B1471">
      <w:pPr>
        <w:jc w:val="both"/>
        <w:rPr>
          <w:rFonts w:ascii="Arial" w:hAnsi="Arial" w:cs="Arial"/>
          <w:b/>
          <w:bCs/>
          <w:sz w:val="22"/>
        </w:rPr>
      </w:pPr>
    </w:p>
    <w:p w14:paraId="059A8DE9" w14:textId="77777777" w:rsidR="004B1471" w:rsidRPr="00D20E84" w:rsidRDefault="004B1471" w:rsidP="004B1471">
      <w:pPr>
        <w:jc w:val="both"/>
        <w:rPr>
          <w:rFonts w:ascii="Arial" w:eastAsia="Calibri" w:hAnsi="Arial" w:cs="Arial"/>
          <w:b/>
          <w:sz w:val="22"/>
        </w:rPr>
      </w:pPr>
    </w:p>
    <w:p w14:paraId="1542C883" w14:textId="77777777" w:rsidR="004B1471" w:rsidRPr="00D20E84" w:rsidRDefault="004B1471" w:rsidP="004B1471">
      <w:pPr>
        <w:jc w:val="both"/>
        <w:rPr>
          <w:rFonts w:ascii="Arial" w:eastAsia="Calibri" w:hAnsi="Arial" w:cs="Arial"/>
          <w:sz w:val="22"/>
        </w:rPr>
      </w:pPr>
      <w:r>
        <w:rPr>
          <w:rFonts w:ascii="Arial" w:eastAsia="Calibri" w:hAnsi="Arial" w:cs="Arial"/>
          <w:b/>
          <w:sz w:val="22"/>
        </w:rPr>
        <w:t xml:space="preserve">1. </w:t>
      </w:r>
      <w:r w:rsidRPr="00D20E84">
        <w:rPr>
          <w:rFonts w:ascii="Arial" w:eastAsia="Calibri" w:hAnsi="Arial" w:cs="Arial"/>
          <w:b/>
          <w:sz w:val="22"/>
        </w:rPr>
        <w:t>Prihodi poslovanja</w:t>
      </w:r>
      <w:r w:rsidRPr="00D20E84">
        <w:rPr>
          <w:rFonts w:ascii="Arial" w:eastAsia="Calibri" w:hAnsi="Arial" w:cs="Arial"/>
          <w:sz w:val="22"/>
        </w:rPr>
        <w:t xml:space="preserve">  planirani su u visini od </w:t>
      </w:r>
      <w:r w:rsidRPr="00EE0553">
        <w:rPr>
          <w:rFonts w:ascii="Arial" w:eastAsia="Calibri" w:hAnsi="Arial" w:cs="Arial"/>
          <w:sz w:val="22"/>
        </w:rPr>
        <w:t>26.138.958,00</w:t>
      </w:r>
      <w:r>
        <w:rPr>
          <w:rFonts w:ascii="Arial" w:eastAsia="Calibri" w:hAnsi="Arial" w:cs="Arial"/>
          <w:sz w:val="22"/>
        </w:rPr>
        <w:t xml:space="preserve"> EUR</w:t>
      </w:r>
      <w:r w:rsidRPr="00D20E84">
        <w:rPr>
          <w:rFonts w:ascii="Arial" w:eastAsia="Calibri" w:hAnsi="Arial" w:cs="Arial"/>
          <w:sz w:val="22"/>
        </w:rPr>
        <w:t xml:space="preserve">, odnosno uz porast od </w:t>
      </w:r>
      <w:r>
        <w:rPr>
          <w:rFonts w:ascii="Arial" w:eastAsia="Calibri" w:hAnsi="Arial" w:cs="Arial"/>
          <w:sz w:val="22"/>
        </w:rPr>
        <w:t>3,66</w:t>
      </w:r>
      <w:r w:rsidRPr="00D20E84">
        <w:rPr>
          <w:rFonts w:ascii="Arial" w:eastAsia="Calibri" w:hAnsi="Arial" w:cs="Arial"/>
          <w:sz w:val="22"/>
        </w:rPr>
        <w:t>% u odnosu na plan za 202</w:t>
      </w:r>
      <w:r>
        <w:rPr>
          <w:rFonts w:ascii="Arial" w:eastAsia="Calibri" w:hAnsi="Arial" w:cs="Arial"/>
          <w:sz w:val="22"/>
        </w:rPr>
        <w:t>5</w:t>
      </w:r>
      <w:r w:rsidRPr="00D20E84">
        <w:rPr>
          <w:rFonts w:ascii="Arial" w:eastAsia="Calibri" w:hAnsi="Arial" w:cs="Arial"/>
          <w:sz w:val="22"/>
        </w:rPr>
        <w:t xml:space="preserve">. godinu, a istovremeno čine </w:t>
      </w:r>
      <w:r>
        <w:rPr>
          <w:rFonts w:ascii="Arial" w:eastAsia="Calibri" w:hAnsi="Arial" w:cs="Arial"/>
          <w:sz w:val="22"/>
        </w:rPr>
        <w:t>92</w:t>
      </w:r>
      <w:r w:rsidRPr="00D20E84">
        <w:rPr>
          <w:rFonts w:ascii="Arial" w:eastAsia="Calibri" w:hAnsi="Arial" w:cs="Arial"/>
          <w:sz w:val="22"/>
        </w:rPr>
        <w:t xml:space="preserve">% ukupnih prihoda proračuna Grada Labina, </w:t>
      </w:r>
      <w:r>
        <w:rPr>
          <w:rFonts w:ascii="Arial" w:eastAsia="Calibri" w:hAnsi="Arial" w:cs="Arial"/>
          <w:sz w:val="22"/>
        </w:rPr>
        <w:t>te je</w:t>
      </w:r>
      <w:r w:rsidRPr="00D20E84">
        <w:rPr>
          <w:rFonts w:ascii="Arial" w:eastAsia="Calibri" w:hAnsi="Arial" w:cs="Arial"/>
          <w:sz w:val="22"/>
        </w:rPr>
        <w:t xml:space="preserve"> učešće nešto manje u odnosu na plan zbog povećanja viška</w:t>
      </w:r>
      <w:r>
        <w:rPr>
          <w:rFonts w:ascii="Arial" w:eastAsia="Calibri" w:hAnsi="Arial" w:cs="Arial"/>
          <w:sz w:val="22"/>
        </w:rPr>
        <w:t xml:space="preserve"> iz</w:t>
      </w:r>
      <w:r w:rsidRPr="00D20E84">
        <w:rPr>
          <w:rFonts w:ascii="Arial" w:eastAsia="Calibri" w:hAnsi="Arial" w:cs="Arial"/>
          <w:sz w:val="22"/>
        </w:rPr>
        <w:t xml:space="preserve"> 202</w:t>
      </w:r>
      <w:r>
        <w:rPr>
          <w:rFonts w:ascii="Arial" w:eastAsia="Calibri" w:hAnsi="Arial" w:cs="Arial"/>
          <w:sz w:val="22"/>
        </w:rPr>
        <w:t>4</w:t>
      </w:r>
      <w:r w:rsidRPr="00D20E84">
        <w:rPr>
          <w:rFonts w:ascii="Arial" w:eastAsia="Calibri" w:hAnsi="Arial" w:cs="Arial"/>
          <w:sz w:val="22"/>
        </w:rPr>
        <w:t>. godine u odnosu na plan.</w:t>
      </w:r>
    </w:p>
    <w:p w14:paraId="3E130B27" w14:textId="77777777" w:rsidR="004B1471" w:rsidRPr="00D20E84" w:rsidRDefault="004B1471" w:rsidP="004B1471">
      <w:pPr>
        <w:jc w:val="both"/>
        <w:rPr>
          <w:rFonts w:ascii="Arial" w:eastAsia="Calibri" w:hAnsi="Arial" w:cs="Arial"/>
          <w:sz w:val="22"/>
        </w:rPr>
      </w:pPr>
    </w:p>
    <w:p w14:paraId="7B9FAE88" w14:textId="77777777" w:rsidR="004B1471" w:rsidRPr="001C487F" w:rsidRDefault="004B1471" w:rsidP="004B1471">
      <w:pPr>
        <w:jc w:val="both"/>
        <w:rPr>
          <w:rFonts w:ascii="Arial" w:eastAsia="Calibri" w:hAnsi="Arial" w:cs="Arial"/>
          <w:sz w:val="22"/>
        </w:rPr>
      </w:pPr>
      <w:r w:rsidRPr="001C487F">
        <w:rPr>
          <w:rFonts w:ascii="Arial" w:eastAsia="Calibri" w:hAnsi="Arial" w:cs="Arial"/>
          <w:b/>
          <w:sz w:val="22"/>
        </w:rPr>
        <w:t>Prihodi od poreza</w:t>
      </w:r>
      <w:r w:rsidRPr="001C487F">
        <w:rPr>
          <w:rFonts w:ascii="Arial" w:eastAsia="Calibri" w:hAnsi="Arial" w:cs="Arial"/>
          <w:sz w:val="22"/>
        </w:rPr>
        <w:t xml:space="preserve"> planirani su  u iznosu od 9.755.945,00 EUR, odnosno povećanje od 9,40% u odnosu na plan proračuna za 2025. godinu</w:t>
      </w:r>
    </w:p>
    <w:p w14:paraId="37F78FAB" w14:textId="77777777" w:rsidR="004B1471" w:rsidRPr="001C487F" w:rsidRDefault="004B1471" w:rsidP="004B1471">
      <w:pPr>
        <w:jc w:val="both"/>
        <w:rPr>
          <w:rFonts w:ascii="Arial" w:eastAsia="Calibri" w:hAnsi="Arial" w:cs="Arial"/>
          <w:color w:val="FF0000"/>
          <w:sz w:val="22"/>
        </w:rPr>
      </w:pPr>
    </w:p>
    <w:p w14:paraId="2F4F5B21" w14:textId="77777777" w:rsidR="004B1471" w:rsidRPr="000A7A95" w:rsidRDefault="004B1471" w:rsidP="004B1471">
      <w:pPr>
        <w:jc w:val="both"/>
        <w:rPr>
          <w:rFonts w:ascii="Arial" w:eastAsia="Calibri" w:hAnsi="Arial" w:cs="Arial"/>
          <w:sz w:val="22"/>
        </w:rPr>
      </w:pPr>
      <w:r w:rsidRPr="000A7A95">
        <w:rPr>
          <w:rFonts w:ascii="Arial" w:eastAsia="Calibri" w:hAnsi="Arial" w:cs="Arial"/>
          <w:sz w:val="22"/>
        </w:rPr>
        <w:t xml:space="preserve">Ovim I izmjenama i dopunama povećani su </w:t>
      </w:r>
      <w:r w:rsidRPr="000A7A95">
        <w:rPr>
          <w:rFonts w:ascii="Arial" w:eastAsia="Calibri" w:hAnsi="Arial" w:cs="Arial"/>
          <w:sz w:val="22"/>
          <w:u w:val="single"/>
        </w:rPr>
        <w:t>prihodi od poreza na dohodak</w:t>
      </w:r>
      <w:r w:rsidRPr="000A7A95">
        <w:rPr>
          <w:rFonts w:ascii="Arial" w:eastAsia="Calibri" w:hAnsi="Arial" w:cs="Arial"/>
          <w:sz w:val="22"/>
        </w:rPr>
        <w:t xml:space="preserve"> </w:t>
      </w:r>
      <w:r>
        <w:rPr>
          <w:rFonts w:ascii="Arial" w:eastAsia="Calibri" w:hAnsi="Arial" w:cs="Arial"/>
          <w:sz w:val="22"/>
        </w:rPr>
        <w:t>za</w:t>
      </w:r>
      <w:r w:rsidRPr="000A7A95">
        <w:rPr>
          <w:rFonts w:ascii="Arial" w:eastAsia="Calibri" w:hAnsi="Arial" w:cs="Arial"/>
          <w:sz w:val="22"/>
        </w:rPr>
        <w:t xml:space="preserve"> iznos</w:t>
      </w:r>
      <w:r>
        <w:rPr>
          <w:rFonts w:ascii="Arial" w:eastAsia="Calibri" w:hAnsi="Arial" w:cs="Arial"/>
          <w:sz w:val="22"/>
        </w:rPr>
        <w:t xml:space="preserve"> od</w:t>
      </w:r>
      <w:r w:rsidRPr="000A7A95">
        <w:rPr>
          <w:rFonts w:ascii="Arial" w:eastAsia="Calibri" w:hAnsi="Arial" w:cs="Arial"/>
          <w:sz w:val="22"/>
        </w:rPr>
        <w:t xml:space="preserve"> 570.483,00 EUR, a porast je vidljiv kod poreza na dohodak od nesamostalnog rada, od samostalnih djelatnosti, od poreza na dohodak od kapitala</w:t>
      </w:r>
      <w:r>
        <w:rPr>
          <w:rFonts w:ascii="Arial" w:eastAsia="Calibri" w:hAnsi="Arial" w:cs="Arial"/>
          <w:sz w:val="22"/>
        </w:rPr>
        <w:t>, ali i kod</w:t>
      </w:r>
      <w:r w:rsidRPr="000A7A95">
        <w:rPr>
          <w:rFonts w:ascii="Arial" w:eastAsia="Calibri" w:hAnsi="Arial" w:cs="Arial"/>
          <w:sz w:val="22"/>
        </w:rPr>
        <w:t xml:space="preserve"> povrata poreza po godišnjoj prijavi</w:t>
      </w:r>
      <w:r>
        <w:rPr>
          <w:rFonts w:ascii="Arial" w:eastAsia="Calibri" w:hAnsi="Arial" w:cs="Arial"/>
          <w:sz w:val="22"/>
        </w:rPr>
        <w:t xml:space="preserve"> što znači da je za taj iznos smanjen ukupan iznos poreza</w:t>
      </w:r>
      <w:r w:rsidRPr="000A7A95">
        <w:rPr>
          <w:rFonts w:ascii="Arial" w:eastAsia="Calibri" w:hAnsi="Arial" w:cs="Arial"/>
          <w:sz w:val="22"/>
        </w:rPr>
        <w:t xml:space="preserve">. Povećanje je planirano temeljem ostvarenja za period siječanj – lipanj i procjene do kraja godine. </w:t>
      </w:r>
    </w:p>
    <w:p w14:paraId="1267C9D2" w14:textId="77777777" w:rsidR="004B1471" w:rsidRPr="000A7A95" w:rsidRDefault="004B1471" w:rsidP="004B1471">
      <w:pPr>
        <w:jc w:val="both"/>
        <w:rPr>
          <w:rFonts w:ascii="Arial" w:eastAsia="Calibri" w:hAnsi="Arial" w:cs="Arial"/>
          <w:sz w:val="22"/>
        </w:rPr>
      </w:pPr>
      <w:r w:rsidRPr="000A7A95">
        <w:rPr>
          <w:rFonts w:ascii="Arial" w:eastAsia="Calibri" w:hAnsi="Arial" w:cs="Arial"/>
          <w:sz w:val="22"/>
        </w:rPr>
        <w:t xml:space="preserve">Do povećanja poreza na dohodak dovodi konstantni porast plaća, a na kojeg indirektno utječu rast inflacije, rast osobne potrošnje, turističkih usluga, investicija.  </w:t>
      </w:r>
    </w:p>
    <w:p w14:paraId="32B6460C" w14:textId="77777777" w:rsidR="004B1471" w:rsidRPr="001A0DF6" w:rsidRDefault="004B1471" w:rsidP="004B1471">
      <w:pPr>
        <w:jc w:val="both"/>
        <w:rPr>
          <w:rFonts w:ascii="Arial" w:eastAsia="Calibri" w:hAnsi="Arial" w:cs="Arial"/>
          <w:sz w:val="22"/>
        </w:rPr>
      </w:pPr>
    </w:p>
    <w:p w14:paraId="15A9FC26" w14:textId="77777777" w:rsidR="004B1471" w:rsidRPr="001A0DF6" w:rsidRDefault="004B1471" w:rsidP="004B1471">
      <w:pPr>
        <w:jc w:val="both"/>
        <w:rPr>
          <w:rFonts w:ascii="Arial" w:eastAsia="Calibri" w:hAnsi="Arial" w:cs="Arial"/>
          <w:sz w:val="22"/>
        </w:rPr>
      </w:pPr>
      <w:r w:rsidRPr="001A0DF6">
        <w:rPr>
          <w:rFonts w:ascii="Arial" w:eastAsia="Calibri" w:hAnsi="Arial" w:cs="Arial"/>
          <w:sz w:val="22"/>
        </w:rPr>
        <w:t>Nadalje, povećani su prihodi od poreza na imovinu za 268.002,00 EUR, odnosno za 25,84 % više u odnosu na važeći plan. Povećanje u iznosu od 168.002,00 EUR odnosi se na povećanje prihoda od poreza na nekretnine i to temeljem do sada izdanih rješenja i procjene novih rješenja koji će se vršiti u zadnjem tromjesečju ove godine. Obračun i naplatu poreza na nekretnine za Grad vrši Istarska županija. Također se planira i povećanje poreza na promet nekretnina i to za iznos od 100.000,00 EUR, a procjena je izvršena na temelju analize ostvarenih prihoda po istoj osnovi u periodu od siječnja do lipnja 2024. godine te tijekom 2024. godine.</w:t>
      </w:r>
    </w:p>
    <w:p w14:paraId="353B03B7" w14:textId="77777777" w:rsidR="004B1471" w:rsidRPr="001A0DF6" w:rsidRDefault="004B1471" w:rsidP="004B1471">
      <w:pPr>
        <w:jc w:val="both"/>
        <w:rPr>
          <w:rFonts w:ascii="Arial" w:eastAsia="Calibri" w:hAnsi="Arial" w:cs="Arial"/>
          <w:sz w:val="22"/>
        </w:rPr>
      </w:pPr>
    </w:p>
    <w:p w14:paraId="340A4904" w14:textId="77777777" w:rsidR="004B1471" w:rsidRPr="001C487F" w:rsidRDefault="004B1471" w:rsidP="004B1471">
      <w:pPr>
        <w:jc w:val="both"/>
        <w:rPr>
          <w:rFonts w:ascii="Arial" w:eastAsia="Calibri" w:hAnsi="Arial" w:cs="Arial"/>
          <w:color w:val="FF0000"/>
          <w:sz w:val="22"/>
        </w:rPr>
      </w:pPr>
    </w:p>
    <w:p w14:paraId="099FE783" w14:textId="77777777" w:rsidR="004B1471" w:rsidRPr="00036AC4" w:rsidRDefault="004B1471" w:rsidP="004B1471">
      <w:pPr>
        <w:jc w:val="both"/>
        <w:rPr>
          <w:rFonts w:ascii="Arial" w:eastAsia="Calibri" w:hAnsi="Arial" w:cs="Arial"/>
          <w:sz w:val="22"/>
        </w:rPr>
      </w:pPr>
      <w:r w:rsidRPr="00036AC4">
        <w:rPr>
          <w:rFonts w:ascii="Arial" w:eastAsia="Calibri" w:hAnsi="Arial" w:cs="Arial"/>
          <w:b/>
          <w:sz w:val="22"/>
        </w:rPr>
        <w:t>Pomoći iz inozemstva i od subjekata unutar opće proračuna</w:t>
      </w:r>
      <w:r w:rsidRPr="00036AC4">
        <w:rPr>
          <w:rFonts w:ascii="Arial" w:eastAsia="Calibri" w:hAnsi="Arial" w:cs="Arial"/>
          <w:sz w:val="22"/>
        </w:rPr>
        <w:t xml:space="preserve">, planirane su u visini od 9.654.472,00 EUR, odnosno povećane su za 4,31% u odnosu na plan proračuna 2025. godine ili nominalno 398.669,00 EUR. </w:t>
      </w:r>
    </w:p>
    <w:p w14:paraId="568143E3" w14:textId="77777777" w:rsidR="004B1471" w:rsidRPr="00036AC4" w:rsidRDefault="004B1471" w:rsidP="004B1471">
      <w:pPr>
        <w:jc w:val="both"/>
        <w:rPr>
          <w:rFonts w:ascii="Arial" w:eastAsia="Calibri" w:hAnsi="Arial" w:cs="Arial"/>
          <w:sz w:val="22"/>
        </w:rPr>
      </w:pPr>
      <w:r w:rsidRPr="00036AC4">
        <w:rPr>
          <w:rFonts w:ascii="Arial" w:eastAsia="Calibri" w:hAnsi="Arial" w:cs="Arial"/>
          <w:sz w:val="22"/>
        </w:rPr>
        <w:t>U sklopu navedene skupine izvršeno je usklađenje plana proračuna sa izračunom iznosa odobrenih i planiranih sredstava iz EU fondova i Državnog proračuna.</w:t>
      </w:r>
    </w:p>
    <w:p w14:paraId="38163741" w14:textId="77777777" w:rsidR="004B1471" w:rsidRPr="001C487F" w:rsidRDefault="004B1471" w:rsidP="004B1471">
      <w:pPr>
        <w:jc w:val="both"/>
        <w:rPr>
          <w:rFonts w:ascii="Arial" w:eastAsia="Calibri" w:hAnsi="Arial" w:cs="Arial"/>
          <w:color w:val="FF0000"/>
          <w:sz w:val="22"/>
        </w:rPr>
      </w:pPr>
    </w:p>
    <w:p w14:paraId="47527FA5" w14:textId="77777777" w:rsidR="004B1471" w:rsidRPr="00A644B5" w:rsidRDefault="004B1471" w:rsidP="004B1471">
      <w:pPr>
        <w:jc w:val="both"/>
        <w:rPr>
          <w:rFonts w:ascii="Arial" w:eastAsia="Calibri" w:hAnsi="Arial" w:cs="Arial"/>
          <w:sz w:val="22"/>
        </w:rPr>
      </w:pPr>
      <w:r>
        <w:rPr>
          <w:rFonts w:ascii="Arial" w:eastAsia="Calibri" w:hAnsi="Arial" w:cs="Arial"/>
          <w:sz w:val="22"/>
        </w:rPr>
        <w:t>Z</w:t>
      </w:r>
      <w:r w:rsidRPr="00A644B5">
        <w:rPr>
          <w:rFonts w:ascii="Arial" w:eastAsia="Calibri" w:hAnsi="Arial" w:cs="Arial"/>
          <w:sz w:val="22"/>
        </w:rPr>
        <w:t>načajniji iznosi povećanja odnose se na:</w:t>
      </w:r>
    </w:p>
    <w:p w14:paraId="42F7BE46" w14:textId="77777777" w:rsidR="004B1471" w:rsidRPr="00197F98" w:rsidRDefault="004B1471" w:rsidP="004B1471">
      <w:pPr>
        <w:jc w:val="both"/>
        <w:rPr>
          <w:rFonts w:ascii="Arial" w:hAnsi="Arial" w:cs="Arial"/>
          <w:sz w:val="22"/>
        </w:rPr>
      </w:pPr>
      <w:r w:rsidRPr="00197F98">
        <w:rPr>
          <w:rFonts w:ascii="Arial" w:eastAsia="Calibri" w:hAnsi="Arial" w:cs="Arial"/>
          <w:sz w:val="22"/>
        </w:rPr>
        <w:t xml:space="preserve">- povećanje tekućih pomoći iz fondova EU za ukupan iznos od 87.368,00 EUR i to po postojećim projektima CICERO, CO-MAY te po projektu Zelene urbane obnove Grada Labina </w:t>
      </w:r>
      <w:r w:rsidRPr="00197F98">
        <w:rPr>
          <w:rFonts w:ascii="Arial" w:hAnsi="Arial" w:cs="Arial"/>
          <w:sz w:val="22"/>
        </w:rPr>
        <w:t>iz Nacionalnog plana oporavka i otpornosti 2021.-2026 u iznosu od 32.991,00 EUR, koji projekti su u cijelosti realizirani u 2024. godine</w:t>
      </w:r>
      <w:r>
        <w:rPr>
          <w:rFonts w:ascii="Arial" w:hAnsi="Arial" w:cs="Arial"/>
          <w:sz w:val="22"/>
        </w:rPr>
        <w:t>,</w:t>
      </w:r>
    </w:p>
    <w:p w14:paraId="354B5B65" w14:textId="77777777" w:rsidR="004B1471" w:rsidRDefault="004B1471" w:rsidP="004B1471">
      <w:pPr>
        <w:jc w:val="both"/>
        <w:rPr>
          <w:rFonts w:ascii="Arial" w:hAnsi="Arial" w:cs="Arial"/>
          <w:sz w:val="22"/>
        </w:rPr>
      </w:pPr>
      <w:r w:rsidRPr="00197F98">
        <w:rPr>
          <w:rFonts w:ascii="Arial" w:hAnsi="Arial" w:cs="Arial"/>
          <w:sz w:val="22"/>
        </w:rPr>
        <w:t xml:space="preserve">- </w:t>
      </w:r>
      <w:r w:rsidRPr="00197F98">
        <w:rPr>
          <w:rFonts w:ascii="Arial" w:eastAsia="Calibri" w:hAnsi="Arial" w:cs="Arial"/>
          <w:sz w:val="22"/>
        </w:rPr>
        <w:t xml:space="preserve">povećanje tekućih pomoći iz državnog proračuna u iznosu od </w:t>
      </w:r>
      <w:r w:rsidRPr="00197F98">
        <w:rPr>
          <w:rFonts w:ascii="Arial" w:hAnsi="Arial" w:cs="Arial"/>
          <w:sz w:val="22"/>
        </w:rPr>
        <w:t>50.407,00 EUR  i to kao sufinanciranje udjela Grada u provođenju projekata CICERO, CO-MAY i RAST</w:t>
      </w:r>
      <w:r>
        <w:rPr>
          <w:rFonts w:ascii="Arial" w:hAnsi="Arial" w:cs="Arial"/>
          <w:sz w:val="22"/>
        </w:rPr>
        <w:t>,</w:t>
      </w:r>
    </w:p>
    <w:p w14:paraId="26FE14F9" w14:textId="77777777" w:rsidR="004B1471" w:rsidRDefault="004B1471" w:rsidP="004B1471">
      <w:pPr>
        <w:jc w:val="both"/>
        <w:rPr>
          <w:rFonts w:ascii="Arial" w:hAnsi="Arial" w:cs="Arial"/>
          <w:sz w:val="22"/>
        </w:rPr>
      </w:pPr>
      <w:r>
        <w:rPr>
          <w:rFonts w:ascii="Arial" w:hAnsi="Arial" w:cs="Arial"/>
          <w:sz w:val="22"/>
        </w:rPr>
        <w:t>- povećanje tekućih pomoći županijskog proračuna u iznosu od 27.614,00 EUR za provedbu lokalnih izbora,</w:t>
      </w:r>
    </w:p>
    <w:p w14:paraId="7C7761C8" w14:textId="77777777" w:rsidR="004B1471" w:rsidRPr="00197F98" w:rsidRDefault="004B1471" w:rsidP="004B1471">
      <w:pPr>
        <w:jc w:val="both"/>
        <w:rPr>
          <w:rFonts w:ascii="Arial" w:hAnsi="Arial" w:cs="Arial"/>
          <w:sz w:val="22"/>
        </w:rPr>
      </w:pPr>
      <w:r>
        <w:rPr>
          <w:rFonts w:ascii="Arial" w:hAnsi="Arial" w:cs="Arial"/>
          <w:sz w:val="22"/>
        </w:rPr>
        <w:t>- povećanje kapitalnih i tekućih pomoći državnog proračuna za provedbu projekata „za naš vrtić mali, malo opreme nam fali“, odnosno za uređenje dvorišta Centralnog vrtića, te za obnovu preslice crkve Gospe od Karmela, u ukupnom iznosu od 50.050,00 EUR,</w:t>
      </w:r>
    </w:p>
    <w:p w14:paraId="0AEF20E2" w14:textId="77777777" w:rsidR="004B1471" w:rsidRPr="00872013" w:rsidRDefault="004B1471" w:rsidP="004B1471">
      <w:pPr>
        <w:jc w:val="both"/>
        <w:rPr>
          <w:rFonts w:ascii="Arial" w:hAnsi="Arial" w:cs="Arial"/>
          <w:sz w:val="22"/>
        </w:rPr>
      </w:pPr>
      <w:r>
        <w:rPr>
          <w:rFonts w:ascii="Arial" w:hAnsi="Arial" w:cs="Arial"/>
          <w:sz w:val="22"/>
        </w:rPr>
        <w:t>-</w:t>
      </w:r>
      <w:r w:rsidRPr="00872013">
        <w:rPr>
          <w:rFonts w:ascii="Arial" w:hAnsi="Arial" w:cs="Arial"/>
          <w:sz w:val="22"/>
        </w:rPr>
        <w:t xml:space="preserve"> povećanje pomoći iz sredstava Državnog proračuna (državna riznica) u iznosu od 137.695,00 EUR za isplatu plaća djelatnicima osnovnih škola budući da je u toku ove godine došlo do povećanja plaća.</w:t>
      </w:r>
    </w:p>
    <w:p w14:paraId="12CD2EE2" w14:textId="77777777" w:rsidR="004B1471" w:rsidRPr="00872013" w:rsidRDefault="004B1471" w:rsidP="004B1471">
      <w:pPr>
        <w:jc w:val="both"/>
        <w:rPr>
          <w:rFonts w:ascii="Arial" w:hAnsi="Arial" w:cs="Arial"/>
          <w:sz w:val="22"/>
        </w:rPr>
      </w:pPr>
      <w:r>
        <w:rPr>
          <w:rFonts w:ascii="Arial" w:hAnsi="Arial" w:cs="Arial"/>
          <w:sz w:val="22"/>
        </w:rPr>
        <w:t xml:space="preserve">- </w:t>
      </w:r>
      <w:r w:rsidRPr="00872013">
        <w:rPr>
          <w:rFonts w:ascii="Arial" w:hAnsi="Arial" w:cs="Arial"/>
          <w:sz w:val="22"/>
        </w:rPr>
        <w:t xml:space="preserve">povećanje pomoći državnog proračuna osnovnim školama za menstrualne potrepštine i marende </w:t>
      </w:r>
      <w:r>
        <w:rPr>
          <w:rFonts w:ascii="Arial" w:hAnsi="Arial" w:cs="Arial"/>
          <w:sz w:val="22"/>
        </w:rPr>
        <w:t>u iznosu</w:t>
      </w:r>
      <w:r w:rsidRPr="00872013">
        <w:rPr>
          <w:rFonts w:ascii="Arial" w:hAnsi="Arial" w:cs="Arial"/>
          <w:sz w:val="22"/>
        </w:rPr>
        <w:t xml:space="preserve"> od 21.237,00 EUR</w:t>
      </w:r>
      <w:r>
        <w:rPr>
          <w:rFonts w:ascii="Arial" w:hAnsi="Arial" w:cs="Arial"/>
          <w:sz w:val="22"/>
        </w:rPr>
        <w:t>,</w:t>
      </w:r>
    </w:p>
    <w:p w14:paraId="648C5117" w14:textId="77777777" w:rsidR="004B1471" w:rsidRDefault="004B1471" w:rsidP="004B1471">
      <w:pPr>
        <w:jc w:val="both"/>
        <w:rPr>
          <w:rFonts w:ascii="Arial" w:hAnsi="Arial" w:cs="Arial"/>
          <w:sz w:val="22"/>
        </w:rPr>
      </w:pPr>
      <w:r>
        <w:rPr>
          <w:rFonts w:ascii="Arial" w:hAnsi="Arial" w:cs="Arial"/>
          <w:sz w:val="22"/>
        </w:rPr>
        <w:t xml:space="preserve">- </w:t>
      </w:r>
      <w:r w:rsidRPr="00872013">
        <w:rPr>
          <w:rFonts w:ascii="Arial" w:hAnsi="Arial" w:cs="Arial"/>
          <w:sz w:val="22"/>
        </w:rPr>
        <w:t>usklađivanje sa Odlukom o kriterijima i mjerilima za utvrđivanje bilančnih prava za financiranje minimalnog financijskog standarda javnih potreba osnovnog školstva u 2025. godini te Odlukom o minimalnim financijskim standardima, kriterijima i mjerilima za financiranje rashoda javnih vatrogasnih postrojbi u 2025. godini (Narodne novine RH 16/2025.)</w:t>
      </w:r>
      <w:r>
        <w:rPr>
          <w:rFonts w:ascii="Arial" w:hAnsi="Arial" w:cs="Arial"/>
          <w:sz w:val="22"/>
        </w:rPr>
        <w:t xml:space="preserve"> i to ukupnim povećanjem iznosa </w:t>
      </w:r>
      <w:r w:rsidRPr="00872013">
        <w:rPr>
          <w:rFonts w:ascii="Arial" w:hAnsi="Arial" w:cs="Arial"/>
          <w:sz w:val="22"/>
        </w:rPr>
        <w:t>od 25.965,00 EUR</w:t>
      </w:r>
      <w:r>
        <w:rPr>
          <w:rFonts w:ascii="Arial" w:hAnsi="Arial" w:cs="Arial"/>
          <w:sz w:val="22"/>
        </w:rPr>
        <w:t>,</w:t>
      </w:r>
      <w:r w:rsidRPr="00872013">
        <w:rPr>
          <w:rFonts w:ascii="Arial" w:hAnsi="Arial" w:cs="Arial"/>
          <w:sz w:val="22"/>
        </w:rPr>
        <w:t xml:space="preserve"> </w:t>
      </w:r>
    </w:p>
    <w:p w14:paraId="760FDA03" w14:textId="77777777" w:rsidR="004B1471" w:rsidRDefault="004B1471" w:rsidP="004B1471">
      <w:pPr>
        <w:jc w:val="both"/>
        <w:rPr>
          <w:rFonts w:ascii="Arial" w:hAnsi="Arial" w:cs="Arial"/>
          <w:sz w:val="22"/>
        </w:rPr>
      </w:pPr>
      <w:r>
        <w:rPr>
          <w:rFonts w:ascii="Arial" w:hAnsi="Arial" w:cs="Arial"/>
          <w:sz w:val="22"/>
        </w:rPr>
        <w:t>- povećanje t</w:t>
      </w:r>
      <w:r w:rsidRPr="001303CB">
        <w:rPr>
          <w:rFonts w:ascii="Arial" w:hAnsi="Arial" w:cs="Arial"/>
          <w:sz w:val="22"/>
        </w:rPr>
        <w:t>ekuć</w:t>
      </w:r>
      <w:r>
        <w:rPr>
          <w:rFonts w:ascii="Arial" w:hAnsi="Arial" w:cs="Arial"/>
          <w:sz w:val="22"/>
        </w:rPr>
        <w:t>ih</w:t>
      </w:r>
      <w:r w:rsidRPr="001303CB">
        <w:rPr>
          <w:rFonts w:ascii="Arial" w:hAnsi="Arial" w:cs="Arial"/>
          <w:sz w:val="22"/>
        </w:rPr>
        <w:t xml:space="preserve"> pomoći državnog proračuna</w:t>
      </w:r>
      <w:r>
        <w:rPr>
          <w:rFonts w:ascii="Arial" w:hAnsi="Arial" w:cs="Arial"/>
          <w:sz w:val="22"/>
        </w:rPr>
        <w:t xml:space="preserve"> temeljem Odluke</w:t>
      </w:r>
      <w:r w:rsidRPr="001303CB">
        <w:t xml:space="preserve"> </w:t>
      </w:r>
      <w:r w:rsidRPr="001303CB">
        <w:rPr>
          <w:rFonts w:ascii="Arial" w:hAnsi="Arial" w:cs="Arial"/>
          <w:sz w:val="22"/>
        </w:rPr>
        <w:t>o dodjeli sredstava za fiskalnu održivost dječjih vrtića za pedagošku godinu 2024./2025. (Narodne novine RH 132/2024.)</w:t>
      </w:r>
      <w:r>
        <w:rPr>
          <w:rFonts w:ascii="Arial" w:hAnsi="Arial" w:cs="Arial"/>
          <w:sz w:val="22"/>
        </w:rPr>
        <w:t xml:space="preserve"> u iznosu od</w:t>
      </w:r>
      <w:r w:rsidRPr="001303CB">
        <w:rPr>
          <w:rFonts w:ascii="Arial" w:hAnsi="Arial" w:cs="Arial"/>
          <w:sz w:val="22"/>
        </w:rPr>
        <w:t xml:space="preserve"> </w:t>
      </w:r>
      <w:r>
        <w:rPr>
          <w:rFonts w:ascii="Arial" w:hAnsi="Arial" w:cs="Arial"/>
          <w:sz w:val="22"/>
        </w:rPr>
        <w:t>53.429,00 EUR,</w:t>
      </w:r>
    </w:p>
    <w:p w14:paraId="592B8C31" w14:textId="77777777" w:rsidR="004B1471" w:rsidRPr="00872013" w:rsidRDefault="004B1471" w:rsidP="004B1471">
      <w:pPr>
        <w:jc w:val="both"/>
        <w:rPr>
          <w:rFonts w:ascii="Arial" w:hAnsi="Arial" w:cs="Arial"/>
          <w:sz w:val="22"/>
        </w:rPr>
      </w:pPr>
    </w:p>
    <w:p w14:paraId="76AE0B3D" w14:textId="77777777" w:rsidR="004B1471" w:rsidRPr="00872013" w:rsidRDefault="004B1471" w:rsidP="004B1471">
      <w:pPr>
        <w:jc w:val="both"/>
        <w:rPr>
          <w:rFonts w:ascii="Arial" w:hAnsi="Arial" w:cs="Arial"/>
          <w:sz w:val="22"/>
        </w:rPr>
      </w:pPr>
      <w:r>
        <w:rPr>
          <w:rFonts w:ascii="Arial" w:hAnsi="Arial" w:cs="Arial"/>
          <w:sz w:val="22"/>
        </w:rPr>
        <w:t xml:space="preserve">- </w:t>
      </w:r>
      <w:r w:rsidRPr="00872013">
        <w:rPr>
          <w:rFonts w:ascii="Arial" w:hAnsi="Arial" w:cs="Arial"/>
          <w:sz w:val="22"/>
        </w:rPr>
        <w:t xml:space="preserve">povećanje pomoći od općina za sufinanciranje djelatnosti Dječjeg vrtića </w:t>
      </w:r>
      <w:proofErr w:type="spellStart"/>
      <w:r w:rsidRPr="00872013">
        <w:rPr>
          <w:rFonts w:ascii="Arial" w:hAnsi="Arial" w:cs="Arial"/>
          <w:sz w:val="22"/>
        </w:rPr>
        <w:t>Pjerina</w:t>
      </w:r>
      <w:proofErr w:type="spellEnd"/>
      <w:r w:rsidRPr="00872013">
        <w:rPr>
          <w:rFonts w:ascii="Arial" w:hAnsi="Arial" w:cs="Arial"/>
          <w:sz w:val="22"/>
        </w:rPr>
        <w:t xml:space="preserve"> </w:t>
      </w:r>
      <w:proofErr w:type="spellStart"/>
      <w:r w:rsidRPr="00872013">
        <w:rPr>
          <w:rFonts w:ascii="Arial" w:hAnsi="Arial" w:cs="Arial"/>
          <w:sz w:val="22"/>
        </w:rPr>
        <w:t>Verbanac</w:t>
      </w:r>
      <w:proofErr w:type="spellEnd"/>
      <w:r w:rsidRPr="00872013">
        <w:rPr>
          <w:rFonts w:ascii="Arial" w:hAnsi="Arial" w:cs="Arial"/>
          <w:sz w:val="22"/>
        </w:rPr>
        <w:t xml:space="preserve"> te Javne vatrogasne postrojbe Labin</w:t>
      </w:r>
      <w:r w:rsidRPr="00512935">
        <w:rPr>
          <w:rFonts w:ascii="Arial" w:hAnsi="Arial" w:cs="Arial"/>
          <w:sz w:val="22"/>
        </w:rPr>
        <w:t xml:space="preserve"> </w:t>
      </w:r>
      <w:r>
        <w:rPr>
          <w:rFonts w:ascii="Arial" w:hAnsi="Arial" w:cs="Arial"/>
          <w:sz w:val="22"/>
        </w:rPr>
        <w:t>u ukupnom iznosu</w:t>
      </w:r>
      <w:r w:rsidRPr="00872013">
        <w:rPr>
          <w:rFonts w:ascii="Arial" w:hAnsi="Arial" w:cs="Arial"/>
          <w:sz w:val="22"/>
        </w:rPr>
        <w:t xml:space="preserve"> od 83.863,00 EUR,</w:t>
      </w:r>
      <w:r>
        <w:rPr>
          <w:rFonts w:ascii="Arial" w:hAnsi="Arial" w:cs="Arial"/>
          <w:sz w:val="22"/>
        </w:rPr>
        <w:t xml:space="preserve"> te za </w:t>
      </w:r>
      <w:r w:rsidRPr="00872013">
        <w:rPr>
          <w:rFonts w:ascii="Arial" w:hAnsi="Arial" w:cs="Arial"/>
          <w:sz w:val="22"/>
        </w:rPr>
        <w:t xml:space="preserve">sufinanciranje produženog boravka u osnovnim školama </w:t>
      </w:r>
      <w:r>
        <w:rPr>
          <w:rFonts w:ascii="Arial" w:hAnsi="Arial" w:cs="Arial"/>
          <w:sz w:val="22"/>
        </w:rPr>
        <w:t xml:space="preserve">u ukupnom iznosu od </w:t>
      </w:r>
      <w:r w:rsidRPr="00872013">
        <w:rPr>
          <w:rFonts w:ascii="Arial" w:hAnsi="Arial" w:cs="Arial"/>
          <w:sz w:val="22"/>
        </w:rPr>
        <w:t>18.805,00 EUR</w:t>
      </w:r>
      <w:r>
        <w:rPr>
          <w:rFonts w:ascii="Arial" w:hAnsi="Arial" w:cs="Arial"/>
          <w:sz w:val="22"/>
        </w:rPr>
        <w:t>,</w:t>
      </w:r>
    </w:p>
    <w:p w14:paraId="0DF22264" w14:textId="77777777" w:rsidR="004B1471" w:rsidRDefault="004B1471" w:rsidP="004B1471">
      <w:pPr>
        <w:jc w:val="both"/>
        <w:rPr>
          <w:rFonts w:ascii="Arial" w:hAnsi="Arial" w:cs="Arial"/>
          <w:sz w:val="22"/>
        </w:rPr>
      </w:pPr>
      <w:r>
        <w:rPr>
          <w:rFonts w:ascii="Arial" w:hAnsi="Arial" w:cs="Arial"/>
          <w:sz w:val="22"/>
        </w:rPr>
        <w:lastRenderedPageBreak/>
        <w:t>- povećanje pomoći županijskog i državnog proračuna Pučkom otvorenom učilištu</w:t>
      </w:r>
      <w:r w:rsidRPr="00B73676">
        <w:rPr>
          <w:rFonts w:ascii="Arial" w:hAnsi="Arial" w:cs="Arial"/>
          <w:sz w:val="22"/>
        </w:rPr>
        <w:t xml:space="preserve"> </w:t>
      </w:r>
      <w:r>
        <w:rPr>
          <w:rFonts w:ascii="Arial" w:hAnsi="Arial" w:cs="Arial"/>
          <w:sz w:val="22"/>
        </w:rPr>
        <w:t>u iznosu od 49.667,00 EUR.</w:t>
      </w:r>
    </w:p>
    <w:p w14:paraId="1D1E1A4A" w14:textId="77777777" w:rsidR="004B1471" w:rsidRPr="001C487F" w:rsidRDefault="004B1471" w:rsidP="004B1471">
      <w:pPr>
        <w:jc w:val="both"/>
        <w:rPr>
          <w:rFonts w:ascii="Arial" w:eastAsia="Calibri" w:hAnsi="Arial" w:cs="Arial"/>
          <w:color w:val="FF0000"/>
          <w:sz w:val="22"/>
        </w:rPr>
      </w:pPr>
    </w:p>
    <w:p w14:paraId="26E3590F" w14:textId="77777777" w:rsidR="004B1471" w:rsidRPr="00872013" w:rsidRDefault="004B1471" w:rsidP="004B1471">
      <w:pPr>
        <w:jc w:val="both"/>
        <w:rPr>
          <w:rFonts w:ascii="Arial" w:eastAsia="Calibri" w:hAnsi="Arial" w:cs="Arial"/>
          <w:sz w:val="22"/>
        </w:rPr>
      </w:pPr>
      <w:r w:rsidRPr="00872013">
        <w:rPr>
          <w:rFonts w:ascii="Arial" w:eastAsia="Calibri" w:hAnsi="Arial" w:cs="Arial"/>
          <w:sz w:val="22"/>
        </w:rPr>
        <w:t xml:space="preserve">Unutar ovih prihoda izvršena su i smanjenja po pojedinim skupinama pomoći, a najveće smanjenje u iznosu od 63.750,00 EUR odnosi se na smanjenje iznosa po projektu RAST budući je navedeni iznos ostvaren u prethodnoj godini te se ovim </w:t>
      </w:r>
      <w:proofErr w:type="spellStart"/>
      <w:r w:rsidRPr="00872013">
        <w:rPr>
          <w:rFonts w:ascii="Arial" w:eastAsia="Calibri" w:hAnsi="Arial" w:cs="Arial"/>
          <w:sz w:val="22"/>
        </w:rPr>
        <w:t>rebalasnom</w:t>
      </w:r>
      <w:proofErr w:type="spellEnd"/>
      <w:r w:rsidRPr="00872013">
        <w:rPr>
          <w:rFonts w:ascii="Arial" w:eastAsia="Calibri" w:hAnsi="Arial" w:cs="Arial"/>
          <w:sz w:val="22"/>
        </w:rPr>
        <w:t xml:space="preserve"> unosi u proračun pod novim izvorom, te u iznosu od 12.000,00 EUR za pilot projekt provedbe edukativnih, kulturnih i sportskih aktivnosti djece predškolskoj dobi i djece do IV razreda, a budući je i taj iznos zaprimljen u prethodnoj godini.</w:t>
      </w:r>
    </w:p>
    <w:p w14:paraId="7ADC558F" w14:textId="77777777" w:rsidR="004B1471" w:rsidRPr="00872013" w:rsidRDefault="004B1471" w:rsidP="004B1471">
      <w:pPr>
        <w:jc w:val="both"/>
        <w:rPr>
          <w:rFonts w:ascii="Arial" w:eastAsia="Calibri" w:hAnsi="Arial" w:cs="Arial"/>
          <w:sz w:val="22"/>
        </w:rPr>
      </w:pPr>
    </w:p>
    <w:p w14:paraId="71CB493B" w14:textId="77777777" w:rsidR="004B1471" w:rsidRDefault="004B1471" w:rsidP="004B1471">
      <w:pPr>
        <w:jc w:val="both"/>
        <w:rPr>
          <w:rFonts w:ascii="Arial" w:eastAsia="Calibri" w:hAnsi="Arial" w:cs="Arial"/>
          <w:color w:val="FF0000"/>
          <w:sz w:val="22"/>
        </w:rPr>
      </w:pPr>
    </w:p>
    <w:p w14:paraId="1EC5470F" w14:textId="77777777" w:rsidR="004B1471" w:rsidRPr="00512935" w:rsidRDefault="004B1471" w:rsidP="004B1471">
      <w:pPr>
        <w:jc w:val="both"/>
        <w:rPr>
          <w:rFonts w:ascii="Arial" w:eastAsia="Calibri" w:hAnsi="Arial" w:cs="Arial"/>
          <w:sz w:val="22"/>
        </w:rPr>
      </w:pPr>
      <w:r w:rsidRPr="00512935">
        <w:rPr>
          <w:rFonts w:ascii="Arial" w:eastAsia="Calibri" w:hAnsi="Arial" w:cs="Arial"/>
          <w:b/>
          <w:bCs/>
          <w:sz w:val="22"/>
        </w:rPr>
        <w:t xml:space="preserve">Prihodi od imovine </w:t>
      </w:r>
      <w:r w:rsidRPr="00512935">
        <w:rPr>
          <w:rFonts w:ascii="Arial" w:eastAsia="Calibri" w:hAnsi="Arial" w:cs="Arial"/>
          <w:sz w:val="22"/>
        </w:rPr>
        <w:t>planirani su u visini od 1.056.201,00</w:t>
      </w:r>
      <w:r w:rsidRPr="00512935">
        <w:rPr>
          <w:rFonts w:ascii="Arial" w:eastAsia="Calibri" w:hAnsi="Arial" w:cs="Arial"/>
          <w:sz w:val="22"/>
        </w:rPr>
        <w:tab/>
        <w:t xml:space="preserve">EUR, te su za 179.575,00 EUR, odnosno za 14,53% manji u odnosu na plan za 2025. godine, a u navedenu skupinu prihoda ulaze prihodi od zakupa stanova i poslovnih prostora, te prihod od korištenja prostora elektrane, koncesija i drugo. </w:t>
      </w:r>
    </w:p>
    <w:p w14:paraId="1143D036" w14:textId="77777777" w:rsidR="004B1471" w:rsidRPr="00C268BE" w:rsidRDefault="004B1471" w:rsidP="004B1471">
      <w:pPr>
        <w:jc w:val="both"/>
        <w:rPr>
          <w:rFonts w:ascii="Arial" w:eastAsia="Calibri" w:hAnsi="Arial" w:cs="Arial"/>
          <w:sz w:val="22"/>
        </w:rPr>
      </w:pPr>
      <w:r w:rsidRPr="00512935">
        <w:rPr>
          <w:rFonts w:ascii="Arial" w:eastAsia="Calibri" w:hAnsi="Arial" w:cs="Arial"/>
          <w:sz w:val="22"/>
        </w:rPr>
        <w:t xml:space="preserve">Najveće smanjenje unutar ovih prihoda odnosi se na smanjenje prihoda od naknada za korištenje prostora pogona termoelektrane Plomin i to za iznos od 140.000,00 EUR budući da je </w:t>
      </w:r>
      <w:r w:rsidRPr="00C268BE">
        <w:rPr>
          <w:rFonts w:ascii="Arial" w:eastAsia="Calibri" w:hAnsi="Arial" w:cs="Arial"/>
          <w:sz w:val="22"/>
        </w:rPr>
        <w:t xml:space="preserve">postrojenje od početka ove godine van pogona, a u planu je bilo planirano da će termoelektrana biti van pogona tri mjeseca. </w:t>
      </w:r>
    </w:p>
    <w:p w14:paraId="71975F36" w14:textId="77777777" w:rsidR="004B1471" w:rsidRDefault="004B1471" w:rsidP="004B1471">
      <w:pPr>
        <w:jc w:val="both"/>
        <w:rPr>
          <w:rFonts w:ascii="Arial" w:eastAsia="Calibri" w:hAnsi="Arial" w:cs="Arial"/>
          <w:sz w:val="22"/>
        </w:rPr>
      </w:pPr>
      <w:r w:rsidRPr="00C268BE">
        <w:rPr>
          <w:rFonts w:ascii="Arial" w:eastAsia="Calibri" w:hAnsi="Arial" w:cs="Arial"/>
          <w:sz w:val="22"/>
        </w:rPr>
        <w:t>Nadalje se smanjenje iznosa od 35.000,00 EUR odnosi i na smanjenje prihoda od labinske gradske tržnice budući je krajem 2024. godine potpisan Aneks ugovora kojim je</w:t>
      </w:r>
      <w:r w:rsidRPr="00C268BE">
        <w:t xml:space="preserve"> </w:t>
      </w:r>
      <w:r w:rsidRPr="00C268BE">
        <w:rPr>
          <w:rFonts w:ascii="Arial" w:eastAsia="Calibri" w:hAnsi="Arial" w:cs="Arial"/>
          <w:sz w:val="22"/>
        </w:rPr>
        <w:t xml:space="preserve">Grad oslobodio trgovačko društvo 1.MAJ obaveze plaćanja mjesečne fiksne naknade u visini od 2.654,46 EUR. </w:t>
      </w:r>
    </w:p>
    <w:p w14:paraId="572C9247" w14:textId="77777777" w:rsidR="004B1471" w:rsidRDefault="004B1471" w:rsidP="004B1471">
      <w:pPr>
        <w:jc w:val="both"/>
        <w:rPr>
          <w:rFonts w:ascii="Arial" w:eastAsia="Calibri" w:hAnsi="Arial" w:cs="Arial"/>
          <w:sz w:val="22"/>
        </w:rPr>
      </w:pPr>
      <w:r>
        <w:rPr>
          <w:rFonts w:ascii="Arial" w:eastAsia="Calibri" w:hAnsi="Arial" w:cs="Arial"/>
          <w:sz w:val="22"/>
        </w:rPr>
        <w:t>Unutar ovi skupine su smanjeni i iznosi od kamata na oročena sredstva te</w:t>
      </w:r>
      <w:r w:rsidRPr="00C268BE">
        <w:rPr>
          <w:rFonts w:ascii="Arial" w:eastAsia="Calibri" w:hAnsi="Arial" w:cs="Arial"/>
          <w:sz w:val="22"/>
        </w:rPr>
        <w:t xml:space="preserve"> </w:t>
      </w:r>
      <w:r>
        <w:rPr>
          <w:rFonts w:ascii="Arial" w:eastAsia="Calibri" w:hAnsi="Arial" w:cs="Arial"/>
          <w:sz w:val="22"/>
        </w:rPr>
        <w:t>su povećani prihodi od zateznih kamata.</w:t>
      </w:r>
    </w:p>
    <w:p w14:paraId="63F48AC7" w14:textId="77777777" w:rsidR="004B1471" w:rsidRPr="00C268BE" w:rsidRDefault="004B1471" w:rsidP="004B1471">
      <w:pPr>
        <w:jc w:val="both"/>
        <w:rPr>
          <w:rFonts w:ascii="Arial" w:eastAsia="Calibri" w:hAnsi="Arial" w:cs="Arial"/>
          <w:sz w:val="22"/>
        </w:rPr>
      </w:pPr>
    </w:p>
    <w:p w14:paraId="377CDE18" w14:textId="77777777" w:rsidR="004B1471" w:rsidRPr="00874F54" w:rsidRDefault="004B1471" w:rsidP="004B1471">
      <w:pPr>
        <w:jc w:val="both"/>
        <w:rPr>
          <w:rFonts w:ascii="Arial" w:eastAsia="Calibri" w:hAnsi="Arial" w:cs="Arial"/>
          <w:b/>
          <w:bCs/>
          <w:sz w:val="22"/>
        </w:rPr>
      </w:pPr>
    </w:p>
    <w:p w14:paraId="4C61047A" w14:textId="77777777" w:rsidR="004B1471" w:rsidRPr="00874F54" w:rsidRDefault="004B1471" w:rsidP="004B1471">
      <w:pPr>
        <w:jc w:val="both"/>
        <w:rPr>
          <w:rFonts w:ascii="Arial" w:eastAsia="Calibri" w:hAnsi="Arial" w:cs="Arial"/>
          <w:sz w:val="22"/>
        </w:rPr>
      </w:pPr>
      <w:r w:rsidRPr="00874F54">
        <w:rPr>
          <w:rFonts w:ascii="Arial" w:eastAsia="Calibri" w:hAnsi="Arial" w:cs="Arial"/>
          <w:b/>
          <w:bCs/>
          <w:sz w:val="22"/>
        </w:rPr>
        <w:t>Prihodi od upravnih i administrativnih pristojbi, pristojbi po posebnim propisima i naknada</w:t>
      </w:r>
      <w:r w:rsidRPr="00874F54">
        <w:rPr>
          <w:rFonts w:ascii="Arial" w:eastAsia="Calibri" w:hAnsi="Arial" w:cs="Arial"/>
          <w:sz w:val="22"/>
        </w:rPr>
        <w:t xml:space="preserve"> planirani su u iznosu od 4.765.056,00 EUR, te su, u odnosu na plan proračuna za 2025. godinu smanjeni za 141.001,00 EUR, odnosno za 2,87%.  </w:t>
      </w:r>
    </w:p>
    <w:p w14:paraId="40F59A48" w14:textId="77777777" w:rsidR="004B1471" w:rsidRPr="00874F54" w:rsidRDefault="004B1471" w:rsidP="004B1471">
      <w:pPr>
        <w:jc w:val="both"/>
        <w:rPr>
          <w:rFonts w:ascii="Arial" w:eastAsia="Calibri" w:hAnsi="Arial" w:cs="Arial"/>
          <w:sz w:val="22"/>
        </w:rPr>
      </w:pPr>
      <w:r w:rsidRPr="00874F54">
        <w:rPr>
          <w:rFonts w:ascii="Arial" w:eastAsia="Calibri" w:hAnsi="Arial" w:cs="Arial"/>
          <w:sz w:val="22"/>
        </w:rPr>
        <w:t>Od ukupnog iznosa smanjenja prihoda Grada, najveći iznos odnosi se na smanjenje prihoda od komunalnog doprinosa i to u iznosu od 146.973,00 EUR, dok se iznos komunalne naknade povećao za iznos od 47.957,00 EUR.</w:t>
      </w:r>
    </w:p>
    <w:p w14:paraId="292C8D75" w14:textId="77777777" w:rsidR="004B1471" w:rsidRPr="00874F54" w:rsidRDefault="004B1471" w:rsidP="004B1471">
      <w:pPr>
        <w:jc w:val="both"/>
        <w:rPr>
          <w:rFonts w:ascii="Arial" w:eastAsia="Calibri" w:hAnsi="Arial" w:cs="Arial"/>
          <w:sz w:val="22"/>
        </w:rPr>
      </w:pPr>
      <w:r w:rsidRPr="00874F54">
        <w:rPr>
          <w:rFonts w:ascii="Arial" w:eastAsia="Calibri" w:hAnsi="Arial" w:cs="Arial"/>
          <w:sz w:val="22"/>
        </w:rPr>
        <w:t xml:space="preserve">Kod prihoda proračunskih korisnika smanjeni su prihodi od korisnika Doma za starije osobe u iznosu od 66.100,00 EUR, budući je tijekom ove godine donesena odluka o povećanju sufinanciranja smještaja od strane Grada, dok je kod proračunskog korisnika Dječjeg vrtića  došlo do povećanja prihoda u ovoj skupini u iznosu od 35.000,00 EUR </w:t>
      </w:r>
    </w:p>
    <w:p w14:paraId="2D3B780E" w14:textId="77777777" w:rsidR="004B1471" w:rsidRPr="00874F54" w:rsidRDefault="004B1471" w:rsidP="004B1471">
      <w:pPr>
        <w:jc w:val="both"/>
        <w:rPr>
          <w:rFonts w:ascii="Arial" w:eastAsia="Calibri" w:hAnsi="Arial" w:cs="Arial"/>
          <w:sz w:val="22"/>
        </w:rPr>
      </w:pPr>
    </w:p>
    <w:p w14:paraId="5D796D8D" w14:textId="77777777" w:rsidR="004B1471" w:rsidRPr="001C487F" w:rsidRDefault="004B1471" w:rsidP="004B1471">
      <w:pPr>
        <w:jc w:val="both"/>
        <w:rPr>
          <w:rFonts w:ascii="Arial" w:eastAsia="Calibri" w:hAnsi="Arial" w:cs="Arial"/>
          <w:color w:val="FF0000"/>
          <w:sz w:val="22"/>
        </w:rPr>
      </w:pPr>
    </w:p>
    <w:p w14:paraId="166CAA78" w14:textId="77777777" w:rsidR="004B1471" w:rsidRPr="00113020" w:rsidRDefault="004B1471" w:rsidP="004B1471">
      <w:pPr>
        <w:jc w:val="both"/>
        <w:rPr>
          <w:rFonts w:ascii="Arial" w:eastAsia="Calibri" w:hAnsi="Arial" w:cs="Arial"/>
          <w:sz w:val="22"/>
        </w:rPr>
      </w:pPr>
      <w:r w:rsidRPr="00874F54">
        <w:rPr>
          <w:rFonts w:ascii="Arial" w:hAnsi="Arial" w:cs="Arial"/>
          <w:b/>
          <w:sz w:val="22"/>
        </w:rPr>
        <w:t>Prihodi od prodaje proizvoda i robe te pruženih usluga i prihodi od donacija</w:t>
      </w:r>
      <w:r w:rsidRPr="00874F54">
        <w:rPr>
          <w:rFonts w:ascii="Arial" w:hAnsi="Arial" w:cs="Arial"/>
          <w:sz w:val="22"/>
        </w:rPr>
        <w:t xml:space="preserve"> </w:t>
      </w:r>
      <w:r w:rsidRPr="00874F54">
        <w:rPr>
          <w:rFonts w:ascii="Arial" w:eastAsia="Calibri" w:hAnsi="Arial" w:cs="Arial"/>
          <w:sz w:val="22"/>
        </w:rPr>
        <w:t xml:space="preserve">planirani su u visini od 874.699,00EUR, te za 1,33% povećani u odnosu na plan proračuna za 2025. </w:t>
      </w:r>
      <w:r w:rsidRPr="00113020">
        <w:rPr>
          <w:rFonts w:ascii="Arial" w:eastAsia="Calibri" w:hAnsi="Arial" w:cs="Arial"/>
          <w:sz w:val="22"/>
        </w:rPr>
        <w:t>godinu.</w:t>
      </w:r>
    </w:p>
    <w:p w14:paraId="61D474D0" w14:textId="77777777" w:rsidR="004B1471" w:rsidRPr="00113020" w:rsidRDefault="004B1471" w:rsidP="004B1471">
      <w:pPr>
        <w:jc w:val="both"/>
        <w:rPr>
          <w:rFonts w:ascii="Arial" w:eastAsia="Calibri" w:hAnsi="Arial" w:cs="Arial"/>
          <w:sz w:val="22"/>
        </w:rPr>
      </w:pPr>
      <w:r w:rsidRPr="00113020">
        <w:rPr>
          <w:rFonts w:ascii="Arial" w:eastAsia="Calibri" w:hAnsi="Arial" w:cs="Arial"/>
          <w:sz w:val="22"/>
        </w:rPr>
        <w:t>Ovi prihodi sadrže prihode od prodaje proizvoda i robe te pruženih usluga i donacije od pravnih i fizičkih osoba izvan općeg proračuna, a povećani su za 11.516,00 EUR.</w:t>
      </w:r>
    </w:p>
    <w:p w14:paraId="2E924ABF" w14:textId="77777777" w:rsidR="004B1471" w:rsidRPr="00874F54" w:rsidRDefault="004B1471" w:rsidP="004B1471">
      <w:pPr>
        <w:jc w:val="both"/>
        <w:rPr>
          <w:rFonts w:ascii="Arial" w:eastAsia="Calibri" w:hAnsi="Arial" w:cs="Arial"/>
          <w:sz w:val="22"/>
        </w:rPr>
      </w:pPr>
    </w:p>
    <w:p w14:paraId="3D4A4C8A" w14:textId="77777777" w:rsidR="004B1471" w:rsidRPr="00874F54" w:rsidRDefault="004B1471" w:rsidP="004B1471">
      <w:pPr>
        <w:jc w:val="both"/>
        <w:rPr>
          <w:rFonts w:ascii="Arial" w:eastAsia="Calibri" w:hAnsi="Arial" w:cs="Arial"/>
          <w:sz w:val="22"/>
        </w:rPr>
      </w:pPr>
      <w:r w:rsidRPr="00874F54">
        <w:rPr>
          <w:rFonts w:ascii="Arial" w:eastAsia="Calibri" w:hAnsi="Arial" w:cs="Arial"/>
          <w:sz w:val="22"/>
        </w:rPr>
        <w:t>Prihodi Grada od kapitalnih donacija povećali su se za 21.526,00 EUR, a od tekućih donacija za 20.000,00 EUR.</w:t>
      </w:r>
    </w:p>
    <w:p w14:paraId="66672B17" w14:textId="77777777" w:rsidR="004B1471" w:rsidRPr="00113020" w:rsidRDefault="004B1471" w:rsidP="004B1471">
      <w:pPr>
        <w:jc w:val="both"/>
        <w:rPr>
          <w:rFonts w:ascii="Arial" w:eastAsia="Calibri" w:hAnsi="Arial" w:cs="Arial"/>
          <w:sz w:val="22"/>
        </w:rPr>
      </w:pPr>
      <w:r w:rsidRPr="00874F54">
        <w:rPr>
          <w:rFonts w:ascii="Arial" w:eastAsia="Calibri" w:hAnsi="Arial" w:cs="Arial"/>
          <w:sz w:val="22"/>
        </w:rPr>
        <w:t xml:space="preserve">Kapitalne donacije proračunskih korisnika povećale su se za 3.030,00 EUR, a tekuće donacije su </w:t>
      </w:r>
      <w:r w:rsidRPr="00113020">
        <w:rPr>
          <w:rFonts w:ascii="Arial" w:eastAsia="Calibri" w:hAnsi="Arial" w:cs="Arial"/>
          <w:sz w:val="22"/>
        </w:rPr>
        <w:t xml:space="preserve">se smanjile za 62.430,00 EUR, a to se najviše odnosi na smanjenje prihoda od donacija JVP Labin od PVZ-a.  </w:t>
      </w:r>
    </w:p>
    <w:p w14:paraId="1EECECD8" w14:textId="77777777" w:rsidR="004B1471" w:rsidRPr="00113020" w:rsidRDefault="004B1471" w:rsidP="004B1471">
      <w:pPr>
        <w:jc w:val="both"/>
        <w:rPr>
          <w:rFonts w:ascii="Arial" w:eastAsia="Calibri" w:hAnsi="Arial" w:cs="Arial"/>
          <w:sz w:val="22"/>
        </w:rPr>
      </w:pPr>
      <w:r w:rsidRPr="00113020">
        <w:rPr>
          <w:rFonts w:ascii="Arial" w:eastAsia="Calibri" w:hAnsi="Arial" w:cs="Arial"/>
          <w:sz w:val="22"/>
        </w:rPr>
        <w:t>Prihodi od prodaje proizvoda i pruženih usluga proračunskih korisnika povećali su se za 29.390,00 EUR i to u najvećem iznosu kod Pučkog otvorenog učilišta.</w:t>
      </w:r>
    </w:p>
    <w:p w14:paraId="0246EBFF" w14:textId="77777777" w:rsidR="004B1471" w:rsidRDefault="004B1471" w:rsidP="004B1471">
      <w:pPr>
        <w:jc w:val="both"/>
        <w:rPr>
          <w:rFonts w:ascii="Arial" w:hAnsi="Arial" w:cs="Arial"/>
          <w:sz w:val="22"/>
        </w:rPr>
      </w:pPr>
    </w:p>
    <w:p w14:paraId="75D83AB9" w14:textId="77777777" w:rsidR="004B1471" w:rsidRDefault="004B1471" w:rsidP="004B1471">
      <w:pPr>
        <w:jc w:val="both"/>
        <w:rPr>
          <w:rFonts w:ascii="Arial" w:hAnsi="Arial" w:cs="Arial"/>
          <w:sz w:val="22"/>
        </w:rPr>
      </w:pPr>
    </w:p>
    <w:p w14:paraId="0351C80B" w14:textId="77777777" w:rsidR="004B1471" w:rsidRPr="00F5303A" w:rsidRDefault="004B1471" w:rsidP="004B1471">
      <w:pPr>
        <w:jc w:val="both"/>
        <w:rPr>
          <w:rFonts w:ascii="Arial" w:eastAsia="Calibri" w:hAnsi="Arial" w:cs="Arial"/>
          <w:sz w:val="22"/>
        </w:rPr>
      </w:pPr>
      <w:r>
        <w:rPr>
          <w:rFonts w:ascii="Arial" w:eastAsia="Calibri" w:hAnsi="Arial" w:cs="Arial"/>
          <w:b/>
          <w:sz w:val="22"/>
        </w:rPr>
        <w:lastRenderedPageBreak/>
        <w:t>Prihodi od k</w:t>
      </w:r>
      <w:r w:rsidRPr="00F5303A">
        <w:rPr>
          <w:rFonts w:ascii="Arial" w:eastAsia="Calibri" w:hAnsi="Arial" w:cs="Arial"/>
          <w:b/>
          <w:sz w:val="22"/>
        </w:rPr>
        <w:t>azn</w:t>
      </w:r>
      <w:r>
        <w:rPr>
          <w:rFonts w:ascii="Arial" w:eastAsia="Calibri" w:hAnsi="Arial" w:cs="Arial"/>
          <w:b/>
          <w:sz w:val="22"/>
        </w:rPr>
        <w:t>i</w:t>
      </w:r>
      <w:r w:rsidRPr="00F5303A">
        <w:rPr>
          <w:rFonts w:ascii="Arial" w:eastAsia="Calibri" w:hAnsi="Arial" w:cs="Arial"/>
          <w:b/>
          <w:sz w:val="22"/>
        </w:rPr>
        <w:t>, upravn</w:t>
      </w:r>
      <w:r>
        <w:rPr>
          <w:rFonts w:ascii="Arial" w:eastAsia="Calibri" w:hAnsi="Arial" w:cs="Arial"/>
          <w:b/>
          <w:sz w:val="22"/>
        </w:rPr>
        <w:t>ih</w:t>
      </w:r>
      <w:r w:rsidRPr="00F5303A">
        <w:rPr>
          <w:rFonts w:ascii="Arial" w:eastAsia="Calibri" w:hAnsi="Arial" w:cs="Arial"/>
          <w:b/>
          <w:sz w:val="22"/>
        </w:rPr>
        <w:t xml:space="preserve"> mjer</w:t>
      </w:r>
      <w:r>
        <w:rPr>
          <w:rFonts w:ascii="Arial" w:eastAsia="Calibri" w:hAnsi="Arial" w:cs="Arial"/>
          <w:b/>
          <w:sz w:val="22"/>
        </w:rPr>
        <w:t>a</w:t>
      </w:r>
      <w:r w:rsidRPr="00F5303A">
        <w:rPr>
          <w:rFonts w:ascii="Arial" w:eastAsia="Calibri" w:hAnsi="Arial" w:cs="Arial"/>
          <w:b/>
          <w:sz w:val="22"/>
        </w:rPr>
        <w:t xml:space="preserve"> i ostali</w:t>
      </w:r>
      <w:r>
        <w:rPr>
          <w:rFonts w:ascii="Arial" w:eastAsia="Calibri" w:hAnsi="Arial" w:cs="Arial"/>
          <w:b/>
          <w:sz w:val="22"/>
        </w:rPr>
        <w:t>h</w:t>
      </w:r>
      <w:r w:rsidRPr="00F5303A">
        <w:rPr>
          <w:rFonts w:ascii="Arial" w:eastAsia="Calibri" w:hAnsi="Arial" w:cs="Arial"/>
          <w:b/>
          <w:sz w:val="22"/>
        </w:rPr>
        <w:t xml:space="preserve"> prihod</w:t>
      </w:r>
      <w:r>
        <w:rPr>
          <w:rFonts w:ascii="Arial" w:eastAsia="Calibri" w:hAnsi="Arial" w:cs="Arial"/>
          <w:b/>
          <w:sz w:val="22"/>
        </w:rPr>
        <w:t xml:space="preserve">a, </w:t>
      </w:r>
      <w:r w:rsidRPr="00B77E08">
        <w:rPr>
          <w:rFonts w:ascii="Arial" w:eastAsia="Calibri" w:hAnsi="Arial" w:cs="Arial"/>
          <w:sz w:val="22"/>
        </w:rPr>
        <w:t>planirani su u visini od 32.585,00</w:t>
      </w:r>
      <w:r>
        <w:rPr>
          <w:rFonts w:ascii="Arial" w:eastAsia="Calibri" w:hAnsi="Arial" w:cs="Arial"/>
          <w:sz w:val="22"/>
        </w:rPr>
        <w:t xml:space="preserve"> </w:t>
      </w:r>
      <w:r w:rsidRPr="00B77E08">
        <w:rPr>
          <w:rFonts w:ascii="Arial" w:eastAsia="Calibri" w:hAnsi="Arial" w:cs="Arial"/>
          <w:sz w:val="22"/>
        </w:rPr>
        <w:t>EUR</w:t>
      </w:r>
      <w:r>
        <w:rPr>
          <w:rFonts w:ascii="Arial" w:eastAsia="Calibri" w:hAnsi="Arial" w:cs="Arial"/>
          <w:sz w:val="22"/>
        </w:rPr>
        <w:t xml:space="preserve"> i smanjeni su za 6.000,00 EUR </w:t>
      </w:r>
      <w:r w:rsidRPr="00B77E08">
        <w:rPr>
          <w:rFonts w:ascii="Arial" w:eastAsia="Calibri" w:hAnsi="Arial" w:cs="Arial"/>
          <w:sz w:val="22"/>
        </w:rPr>
        <w:t>u odnosu na plan proračuna za 2025. godinu</w:t>
      </w:r>
      <w:r>
        <w:rPr>
          <w:rFonts w:ascii="Arial" w:eastAsia="Calibri" w:hAnsi="Arial" w:cs="Arial"/>
          <w:sz w:val="22"/>
        </w:rPr>
        <w:t xml:space="preserve">, </w:t>
      </w:r>
      <w:r w:rsidRPr="00F5303A">
        <w:rPr>
          <w:rFonts w:ascii="Arial" w:eastAsia="Calibri" w:hAnsi="Arial" w:cs="Arial"/>
          <w:sz w:val="22"/>
        </w:rPr>
        <w:t>a odnose se na kazne za prekršaje u prometu i ostale kazne.</w:t>
      </w:r>
    </w:p>
    <w:p w14:paraId="737409B6" w14:textId="77777777" w:rsidR="004B1471" w:rsidRPr="00F5303A" w:rsidRDefault="004B1471" w:rsidP="004B1471">
      <w:pPr>
        <w:jc w:val="both"/>
        <w:rPr>
          <w:rFonts w:ascii="Arial" w:hAnsi="Arial" w:cs="Arial"/>
          <w:sz w:val="22"/>
        </w:rPr>
      </w:pPr>
    </w:p>
    <w:p w14:paraId="45A58268" w14:textId="77777777" w:rsidR="004B1471" w:rsidRPr="002A5D30" w:rsidRDefault="004B1471" w:rsidP="004B1471">
      <w:pPr>
        <w:jc w:val="both"/>
        <w:rPr>
          <w:rFonts w:ascii="Arial" w:hAnsi="Arial" w:cs="Arial"/>
          <w:sz w:val="22"/>
        </w:rPr>
      </w:pPr>
    </w:p>
    <w:p w14:paraId="7988A0ED" w14:textId="77777777" w:rsidR="004B1471" w:rsidRPr="002A5D30" w:rsidRDefault="004B1471" w:rsidP="004B1471">
      <w:pPr>
        <w:jc w:val="both"/>
        <w:rPr>
          <w:rFonts w:ascii="Arial" w:eastAsia="Calibri" w:hAnsi="Arial" w:cs="Arial"/>
          <w:sz w:val="22"/>
        </w:rPr>
      </w:pPr>
      <w:r w:rsidRPr="002A5D30">
        <w:rPr>
          <w:rFonts w:ascii="Arial" w:eastAsia="Calibri" w:hAnsi="Arial" w:cs="Arial"/>
          <w:b/>
          <w:sz w:val="22"/>
        </w:rPr>
        <w:t>2. Prihodi od prodaje nefinancijske imovine</w:t>
      </w:r>
      <w:r w:rsidRPr="002A5D30">
        <w:rPr>
          <w:rFonts w:ascii="Arial" w:eastAsia="Calibri" w:hAnsi="Arial" w:cs="Arial"/>
          <w:sz w:val="22"/>
        </w:rPr>
        <w:t xml:space="preserve"> odnose se na prihod od prodaje stanova na kojima postoji stanarsko pravo, stare devizne štednje, stanova u vlasništvu Grada Labina, garaža, poslovnih prostora i zemljišta. Iz navedenih prihoda financiraju se rashodi za nabavu nefinancijske  imovine. </w:t>
      </w:r>
    </w:p>
    <w:p w14:paraId="09929970" w14:textId="77777777" w:rsidR="004B1471" w:rsidRPr="002A5D30" w:rsidRDefault="004B1471" w:rsidP="004B1471">
      <w:pPr>
        <w:jc w:val="both"/>
        <w:rPr>
          <w:rFonts w:ascii="Arial" w:eastAsia="Calibri" w:hAnsi="Arial" w:cs="Arial"/>
          <w:sz w:val="22"/>
        </w:rPr>
      </w:pPr>
      <w:r w:rsidRPr="002A5D30">
        <w:rPr>
          <w:rFonts w:ascii="Arial" w:eastAsia="Calibri" w:hAnsi="Arial" w:cs="Arial"/>
          <w:sz w:val="22"/>
        </w:rPr>
        <w:t xml:space="preserve">Planirani su u iznosu od 1.508.790,00 EUR, te su za 731.120,00 EUR odnosno 32,64% manji od plana za 2025. godinu, a smanjenje se uglavnom odnosi na smanjenje planiranih prihoda od prodaje zemljišta. </w:t>
      </w:r>
    </w:p>
    <w:p w14:paraId="5815228C" w14:textId="77777777" w:rsidR="004B1471" w:rsidRDefault="004B1471" w:rsidP="004B1471">
      <w:pPr>
        <w:jc w:val="both"/>
        <w:rPr>
          <w:rFonts w:ascii="Arial" w:hAnsi="Arial" w:cs="Arial"/>
          <w:b/>
          <w:bCs/>
          <w:sz w:val="22"/>
        </w:rPr>
      </w:pPr>
    </w:p>
    <w:p w14:paraId="3DDB2BED" w14:textId="77777777" w:rsidR="004B1471" w:rsidRPr="002A5D30" w:rsidRDefault="004B1471" w:rsidP="004B1471">
      <w:pPr>
        <w:jc w:val="both"/>
        <w:rPr>
          <w:rFonts w:ascii="Arial" w:hAnsi="Arial" w:cs="Arial"/>
          <w:b/>
          <w:bCs/>
          <w:sz w:val="22"/>
        </w:rPr>
      </w:pPr>
    </w:p>
    <w:p w14:paraId="1C30FF7D" w14:textId="77777777" w:rsidR="004B1471" w:rsidRPr="00551912" w:rsidRDefault="004B1471" w:rsidP="004B1471">
      <w:pPr>
        <w:jc w:val="both"/>
        <w:rPr>
          <w:rFonts w:ascii="Arial" w:hAnsi="Arial" w:cs="Arial"/>
          <w:sz w:val="22"/>
        </w:rPr>
      </w:pPr>
      <w:r w:rsidRPr="00551912">
        <w:rPr>
          <w:rFonts w:ascii="Arial" w:hAnsi="Arial" w:cs="Arial"/>
          <w:b/>
          <w:bCs/>
          <w:sz w:val="22"/>
        </w:rPr>
        <w:t>3. Primici od financijske imovine i zaduživanja</w:t>
      </w:r>
      <w:r w:rsidRPr="00551912">
        <w:rPr>
          <w:rFonts w:ascii="Arial" w:hAnsi="Arial" w:cs="Arial"/>
          <w:sz w:val="22"/>
        </w:rPr>
        <w:t xml:space="preserve"> </w:t>
      </w:r>
    </w:p>
    <w:p w14:paraId="1EC61077" w14:textId="77777777" w:rsidR="004B1471" w:rsidRPr="00551912" w:rsidRDefault="004B1471" w:rsidP="004B1471">
      <w:pPr>
        <w:jc w:val="both"/>
        <w:rPr>
          <w:rFonts w:ascii="Arial" w:hAnsi="Arial" w:cs="Arial"/>
          <w:bCs/>
          <w:sz w:val="22"/>
        </w:rPr>
      </w:pPr>
      <w:r w:rsidRPr="00551912">
        <w:rPr>
          <w:rFonts w:ascii="Arial" w:hAnsi="Arial" w:cs="Arial"/>
          <w:sz w:val="22"/>
        </w:rPr>
        <w:t xml:space="preserve">Grad Labin nema u planu za 2025. godinu namjenske primitke temeljem dugoročnog zaduživanja te iznose 0,00 </w:t>
      </w:r>
      <w:r w:rsidRPr="00551912">
        <w:rPr>
          <w:rFonts w:ascii="Arial" w:hAnsi="Arial" w:cs="Arial"/>
          <w:bCs/>
          <w:sz w:val="22"/>
        </w:rPr>
        <w:t>EUR.</w:t>
      </w:r>
    </w:p>
    <w:p w14:paraId="2F726598" w14:textId="77777777" w:rsidR="004B1471" w:rsidRDefault="004B1471" w:rsidP="004B1471">
      <w:pPr>
        <w:jc w:val="both"/>
        <w:rPr>
          <w:rFonts w:ascii="Arial" w:hAnsi="Arial" w:cs="Arial"/>
          <w:bCs/>
          <w:sz w:val="22"/>
        </w:rPr>
      </w:pPr>
      <w:r w:rsidRPr="00551912">
        <w:rPr>
          <w:rFonts w:ascii="Arial" w:hAnsi="Arial" w:cs="Arial"/>
          <w:bCs/>
          <w:sz w:val="22"/>
        </w:rPr>
        <w:t>Međutim, Grad je dana 27. lipnja 2025. godine, temeljem Odluke Gradonačelnika, sklopio Ugovor o kratkoročnom revolving kreditu sa Privrednom Bankom Zagreb d.d. i to prema sljedećim uvjetima kreditiranja:</w:t>
      </w:r>
    </w:p>
    <w:p w14:paraId="52B0532E" w14:textId="77777777" w:rsidR="004B1471" w:rsidRPr="00551912" w:rsidRDefault="004B1471" w:rsidP="004B1471">
      <w:pPr>
        <w:jc w:val="both"/>
        <w:rPr>
          <w:rFonts w:ascii="Arial" w:hAnsi="Arial" w:cs="Arial"/>
          <w:bCs/>
          <w:sz w:val="22"/>
        </w:rPr>
      </w:pPr>
    </w:p>
    <w:tbl>
      <w:tblPr>
        <w:tblStyle w:val="Reetkatablice"/>
        <w:tblW w:w="0" w:type="auto"/>
        <w:tblLook w:val="04A0" w:firstRow="1" w:lastRow="0" w:firstColumn="1" w:lastColumn="0" w:noHBand="0" w:noVBand="1"/>
      </w:tblPr>
      <w:tblGrid>
        <w:gridCol w:w="3964"/>
        <w:gridCol w:w="5098"/>
      </w:tblGrid>
      <w:tr w:rsidR="004B1471" w:rsidRPr="00551912" w14:paraId="3B9040EF" w14:textId="77777777" w:rsidTr="002815DB">
        <w:tc>
          <w:tcPr>
            <w:tcW w:w="3964" w:type="dxa"/>
          </w:tcPr>
          <w:p w14:paraId="5173F92E" w14:textId="77777777" w:rsidR="004B1471" w:rsidRPr="00551912" w:rsidRDefault="004B1471" w:rsidP="002815DB">
            <w:pPr>
              <w:rPr>
                <w:rFonts w:ascii="Arial" w:hAnsi="Arial" w:cs="Arial"/>
                <w:sz w:val="20"/>
                <w:szCs w:val="20"/>
              </w:rPr>
            </w:pPr>
            <w:r w:rsidRPr="00551912">
              <w:rPr>
                <w:rFonts w:ascii="Arial" w:hAnsi="Arial" w:cs="Arial"/>
                <w:sz w:val="20"/>
                <w:szCs w:val="20"/>
              </w:rPr>
              <w:t>Vrsta kredita</w:t>
            </w:r>
          </w:p>
        </w:tc>
        <w:tc>
          <w:tcPr>
            <w:tcW w:w="5098" w:type="dxa"/>
          </w:tcPr>
          <w:p w14:paraId="692B4202" w14:textId="77777777" w:rsidR="004B1471" w:rsidRPr="00551912" w:rsidRDefault="004B1471" w:rsidP="002815DB">
            <w:pPr>
              <w:rPr>
                <w:rFonts w:ascii="Arial" w:hAnsi="Arial" w:cs="Arial"/>
                <w:sz w:val="20"/>
                <w:szCs w:val="20"/>
              </w:rPr>
            </w:pPr>
            <w:r w:rsidRPr="00551912">
              <w:rPr>
                <w:rFonts w:ascii="Arial" w:hAnsi="Arial" w:cs="Arial"/>
                <w:sz w:val="20"/>
                <w:szCs w:val="20"/>
              </w:rPr>
              <w:t>Kratkoročni revolving kredit</w:t>
            </w:r>
          </w:p>
        </w:tc>
      </w:tr>
      <w:tr w:rsidR="004B1471" w:rsidRPr="00551912" w14:paraId="4DB97E07" w14:textId="77777777" w:rsidTr="002815DB">
        <w:tc>
          <w:tcPr>
            <w:tcW w:w="3964" w:type="dxa"/>
          </w:tcPr>
          <w:p w14:paraId="2817F47B" w14:textId="77777777" w:rsidR="004B1471" w:rsidRPr="00551912" w:rsidRDefault="004B1471" w:rsidP="002815DB">
            <w:pPr>
              <w:rPr>
                <w:rFonts w:ascii="Arial" w:hAnsi="Arial" w:cs="Arial"/>
                <w:sz w:val="20"/>
                <w:szCs w:val="20"/>
              </w:rPr>
            </w:pPr>
            <w:r w:rsidRPr="00551912">
              <w:rPr>
                <w:rFonts w:ascii="Arial" w:hAnsi="Arial" w:cs="Arial"/>
                <w:sz w:val="20"/>
                <w:szCs w:val="20"/>
              </w:rPr>
              <w:t>Iznos kredita</w:t>
            </w:r>
          </w:p>
        </w:tc>
        <w:tc>
          <w:tcPr>
            <w:tcW w:w="5098" w:type="dxa"/>
          </w:tcPr>
          <w:p w14:paraId="3A0ADC7D" w14:textId="77777777" w:rsidR="004B1471" w:rsidRPr="00551912" w:rsidRDefault="004B1471" w:rsidP="002815DB">
            <w:pPr>
              <w:rPr>
                <w:rFonts w:ascii="Arial" w:hAnsi="Arial" w:cs="Arial"/>
                <w:sz w:val="20"/>
                <w:szCs w:val="20"/>
              </w:rPr>
            </w:pPr>
            <w:r w:rsidRPr="00551912">
              <w:rPr>
                <w:rFonts w:ascii="Arial" w:hAnsi="Arial" w:cs="Arial"/>
                <w:sz w:val="20"/>
                <w:szCs w:val="20"/>
              </w:rPr>
              <w:t>2.500.000,00 EUR</w:t>
            </w:r>
          </w:p>
        </w:tc>
      </w:tr>
      <w:tr w:rsidR="004B1471" w:rsidRPr="00551912" w14:paraId="41B54922" w14:textId="77777777" w:rsidTr="002815DB">
        <w:tc>
          <w:tcPr>
            <w:tcW w:w="3964" w:type="dxa"/>
          </w:tcPr>
          <w:p w14:paraId="6024AB7B" w14:textId="77777777" w:rsidR="004B1471" w:rsidRPr="00551912" w:rsidRDefault="004B1471" w:rsidP="002815DB">
            <w:pPr>
              <w:rPr>
                <w:rFonts w:ascii="Arial" w:hAnsi="Arial" w:cs="Arial"/>
                <w:sz w:val="20"/>
                <w:szCs w:val="20"/>
              </w:rPr>
            </w:pPr>
            <w:r w:rsidRPr="00551912">
              <w:rPr>
                <w:rFonts w:ascii="Arial" w:hAnsi="Arial" w:cs="Arial"/>
                <w:sz w:val="20"/>
                <w:szCs w:val="20"/>
              </w:rPr>
              <w:t xml:space="preserve">Kamatna stopa </w:t>
            </w:r>
          </w:p>
        </w:tc>
        <w:tc>
          <w:tcPr>
            <w:tcW w:w="5098" w:type="dxa"/>
          </w:tcPr>
          <w:p w14:paraId="79D37ED2" w14:textId="77777777" w:rsidR="004B1471" w:rsidRPr="00551912" w:rsidRDefault="004B1471" w:rsidP="002815DB">
            <w:pPr>
              <w:rPr>
                <w:rFonts w:ascii="Arial" w:hAnsi="Arial" w:cs="Arial"/>
                <w:sz w:val="20"/>
                <w:szCs w:val="20"/>
              </w:rPr>
            </w:pPr>
            <w:r w:rsidRPr="00551912">
              <w:rPr>
                <w:rFonts w:ascii="Arial" w:hAnsi="Arial" w:cs="Arial"/>
                <w:sz w:val="20"/>
                <w:szCs w:val="20"/>
              </w:rPr>
              <w:t xml:space="preserve">2,40% godišnje, fiksna </w:t>
            </w:r>
          </w:p>
        </w:tc>
      </w:tr>
      <w:tr w:rsidR="004B1471" w:rsidRPr="00551912" w14:paraId="63FECABE" w14:textId="77777777" w:rsidTr="002815DB">
        <w:tc>
          <w:tcPr>
            <w:tcW w:w="3964" w:type="dxa"/>
          </w:tcPr>
          <w:p w14:paraId="62C36727" w14:textId="77777777" w:rsidR="004B1471" w:rsidRPr="00551912" w:rsidRDefault="004B1471" w:rsidP="002815DB">
            <w:pPr>
              <w:rPr>
                <w:rFonts w:ascii="Arial" w:hAnsi="Arial" w:cs="Arial"/>
                <w:sz w:val="20"/>
                <w:szCs w:val="20"/>
              </w:rPr>
            </w:pPr>
            <w:r w:rsidRPr="00551912">
              <w:rPr>
                <w:rFonts w:ascii="Arial" w:hAnsi="Arial" w:cs="Arial"/>
                <w:sz w:val="20"/>
                <w:szCs w:val="20"/>
              </w:rPr>
              <w:t>Rok korištenja kredita</w:t>
            </w:r>
          </w:p>
        </w:tc>
        <w:tc>
          <w:tcPr>
            <w:tcW w:w="5098" w:type="dxa"/>
          </w:tcPr>
          <w:p w14:paraId="7D594025" w14:textId="77777777" w:rsidR="004B1471" w:rsidRPr="00551912" w:rsidRDefault="004B1471" w:rsidP="002815DB">
            <w:pPr>
              <w:rPr>
                <w:rFonts w:ascii="Arial" w:hAnsi="Arial" w:cs="Arial"/>
                <w:sz w:val="20"/>
                <w:szCs w:val="20"/>
              </w:rPr>
            </w:pPr>
            <w:r w:rsidRPr="00551912">
              <w:rPr>
                <w:rFonts w:ascii="Arial" w:hAnsi="Arial" w:cs="Arial"/>
                <w:sz w:val="20"/>
                <w:szCs w:val="20"/>
              </w:rPr>
              <w:t>Do 15. svibnja 2026.</w:t>
            </w:r>
          </w:p>
        </w:tc>
      </w:tr>
      <w:tr w:rsidR="004B1471" w:rsidRPr="00551912" w14:paraId="34F1C548" w14:textId="77777777" w:rsidTr="002815DB">
        <w:tc>
          <w:tcPr>
            <w:tcW w:w="3964" w:type="dxa"/>
          </w:tcPr>
          <w:p w14:paraId="40B4CC3E" w14:textId="77777777" w:rsidR="004B1471" w:rsidRPr="00551912" w:rsidRDefault="004B1471" w:rsidP="002815DB">
            <w:pPr>
              <w:rPr>
                <w:rFonts w:ascii="Arial" w:hAnsi="Arial" w:cs="Arial"/>
                <w:sz w:val="20"/>
                <w:szCs w:val="20"/>
              </w:rPr>
            </w:pPr>
            <w:r w:rsidRPr="00551912">
              <w:rPr>
                <w:rFonts w:ascii="Arial" w:hAnsi="Arial" w:cs="Arial"/>
                <w:sz w:val="20"/>
                <w:szCs w:val="20"/>
              </w:rPr>
              <w:t>Otplata kredita</w:t>
            </w:r>
          </w:p>
        </w:tc>
        <w:tc>
          <w:tcPr>
            <w:tcW w:w="5098" w:type="dxa"/>
          </w:tcPr>
          <w:p w14:paraId="730C2B9B" w14:textId="77777777" w:rsidR="004B1471" w:rsidRPr="00551912" w:rsidRDefault="004B1471" w:rsidP="002815DB">
            <w:pPr>
              <w:pStyle w:val="Default"/>
              <w:rPr>
                <w:color w:val="auto"/>
                <w:sz w:val="20"/>
                <w:szCs w:val="20"/>
              </w:rPr>
            </w:pPr>
            <w:r w:rsidRPr="00551912">
              <w:rPr>
                <w:color w:val="auto"/>
                <w:sz w:val="20"/>
                <w:szCs w:val="20"/>
              </w:rPr>
              <w:t xml:space="preserve">sukcesivno prema mogućnostima korisnika kredita, najkasnije do 31.svibnja 2026. </w:t>
            </w:r>
          </w:p>
        </w:tc>
      </w:tr>
      <w:tr w:rsidR="004B1471" w:rsidRPr="00551912" w14:paraId="2F97A64E" w14:textId="77777777" w:rsidTr="002815DB">
        <w:tc>
          <w:tcPr>
            <w:tcW w:w="3964" w:type="dxa"/>
          </w:tcPr>
          <w:p w14:paraId="3A2A2B41" w14:textId="77777777" w:rsidR="004B1471" w:rsidRPr="00551912" w:rsidRDefault="004B1471" w:rsidP="002815DB">
            <w:pPr>
              <w:rPr>
                <w:rFonts w:ascii="Arial" w:hAnsi="Arial" w:cs="Arial"/>
                <w:sz w:val="20"/>
                <w:szCs w:val="20"/>
              </w:rPr>
            </w:pPr>
            <w:r w:rsidRPr="00551912">
              <w:rPr>
                <w:rFonts w:ascii="Arial" w:hAnsi="Arial" w:cs="Arial"/>
                <w:sz w:val="20"/>
                <w:szCs w:val="20"/>
              </w:rPr>
              <w:t>Otplata kamata</w:t>
            </w:r>
          </w:p>
        </w:tc>
        <w:tc>
          <w:tcPr>
            <w:tcW w:w="5098" w:type="dxa"/>
          </w:tcPr>
          <w:p w14:paraId="7ECA3D1E" w14:textId="77777777" w:rsidR="004B1471" w:rsidRPr="00551912" w:rsidRDefault="004B1471" w:rsidP="002815DB">
            <w:pPr>
              <w:rPr>
                <w:rFonts w:ascii="Arial" w:hAnsi="Arial" w:cs="Arial"/>
                <w:sz w:val="20"/>
                <w:szCs w:val="20"/>
              </w:rPr>
            </w:pPr>
            <w:r w:rsidRPr="00551912">
              <w:rPr>
                <w:rFonts w:ascii="Arial" w:hAnsi="Arial" w:cs="Arial"/>
                <w:sz w:val="20"/>
                <w:szCs w:val="20"/>
              </w:rPr>
              <w:t xml:space="preserve">Kamata se plaća mjesečno na saldo iskorištenog kredita </w:t>
            </w:r>
          </w:p>
        </w:tc>
      </w:tr>
      <w:tr w:rsidR="004B1471" w:rsidRPr="00551912" w14:paraId="2404B922" w14:textId="77777777" w:rsidTr="002815DB">
        <w:tc>
          <w:tcPr>
            <w:tcW w:w="3964" w:type="dxa"/>
          </w:tcPr>
          <w:p w14:paraId="67D3C24B" w14:textId="77777777" w:rsidR="004B1471" w:rsidRPr="00551912" w:rsidRDefault="004B1471" w:rsidP="002815DB">
            <w:pPr>
              <w:rPr>
                <w:rFonts w:ascii="Arial" w:hAnsi="Arial" w:cs="Arial"/>
                <w:sz w:val="20"/>
                <w:szCs w:val="20"/>
              </w:rPr>
            </w:pPr>
            <w:r w:rsidRPr="00551912">
              <w:rPr>
                <w:rFonts w:ascii="Arial" w:hAnsi="Arial" w:cs="Arial"/>
                <w:sz w:val="20"/>
                <w:szCs w:val="20"/>
              </w:rPr>
              <w:t>Naknada za odobrenje kreditnog zahtjeva</w:t>
            </w:r>
          </w:p>
        </w:tc>
        <w:tc>
          <w:tcPr>
            <w:tcW w:w="5098" w:type="dxa"/>
          </w:tcPr>
          <w:p w14:paraId="41D1ADC8" w14:textId="77777777" w:rsidR="004B1471" w:rsidRPr="00551912" w:rsidRDefault="004B1471" w:rsidP="002815DB">
            <w:pPr>
              <w:rPr>
                <w:rFonts w:ascii="Arial" w:hAnsi="Arial" w:cs="Arial"/>
                <w:sz w:val="20"/>
                <w:szCs w:val="20"/>
              </w:rPr>
            </w:pPr>
            <w:r w:rsidRPr="00551912">
              <w:rPr>
                <w:rFonts w:ascii="Arial" w:hAnsi="Arial" w:cs="Arial"/>
                <w:sz w:val="20"/>
                <w:szCs w:val="20"/>
              </w:rPr>
              <w:t>0,1% (2.500,00 EUR)</w:t>
            </w:r>
          </w:p>
        </w:tc>
      </w:tr>
      <w:tr w:rsidR="004B1471" w:rsidRPr="00551912" w14:paraId="562DD1FC" w14:textId="77777777" w:rsidTr="002815DB">
        <w:tc>
          <w:tcPr>
            <w:tcW w:w="3964" w:type="dxa"/>
          </w:tcPr>
          <w:p w14:paraId="643F2145" w14:textId="77777777" w:rsidR="004B1471" w:rsidRPr="00551912" w:rsidRDefault="004B1471" w:rsidP="002815DB">
            <w:pPr>
              <w:rPr>
                <w:rFonts w:ascii="Arial" w:hAnsi="Arial" w:cs="Arial"/>
                <w:sz w:val="20"/>
                <w:szCs w:val="20"/>
              </w:rPr>
            </w:pPr>
            <w:r w:rsidRPr="00551912">
              <w:rPr>
                <w:rFonts w:ascii="Arial" w:hAnsi="Arial" w:cs="Arial"/>
                <w:sz w:val="20"/>
                <w:szCs w:val="20"/>
              </w:rPr>
              <w:t>Naknada za rezervaciju sredstava</w:t>
            </w:r>
          </w:p>
        </w:tc>
        <w:tc>
          <w:tcPr>
            <w:tcW w:w="5098" w:type="dxa"/>
          </w:tcPr>
          <w:p w14:paraId="64EC3EB0" w14:textId="77777777" w:rsidR="004B1471" w:rsidRPr="00551912" w:rsidRDefault="004B1471" w:rsidP="002815DB">
            <w:pPr>
              <w:rPr>
                <w:rFonts w:ascii="Arial" w:hAnsi="Arial" w:cs="Arial"/>
                <w:sz w:val="20"/>
                <w:szCs w:val="20"/>
              </w:rPr>
            </w:pPr>
            <w:r w:rsidRPr="00551912">
              <w:rPr>
                <w:rFonts w:ascii="Arial" w:hAnsi="Arial" w:cs="Arial"/>
                <w:sz w:val="20"/>
                <w:szCs w:val="20"/>
              </w:rPr>
              <w:t xml:space="preserve">Nema </w:t>
            </w:r>
          </w:p>
        </w:tc>
      </w:tr>
      <w:tr w:rsidR="004B1471" w:rsidRPr="00551912" w14:paraId="495A93C2" w14:textId="77777777" w:rsidTr="002815DB">
        <w:tc>
          <w:tcPr>
            <w:tcW w:w="3964" w:type="dxa"/>
          </w:tcPr>
          <w:p w14:paraId="36DD878A" w14:textId="77777777" w:rsidR="004B1471" w:rsidRPr="00551912" w:rsidRDefault="004B1471" w:rsidP="002815DB">
            <w:pPr>
              <w:rPr>
                <w:rFonts w:ascii="Arial" w:hAnsi="Arial" w:cs="Arial"/>
                <w:sz w:val="20"/>
                <w:szCs w:val="20"/>
              </w:rPr>
            </w:pPr>
            <w:r w:rsidRPr="00551912">
              <w:rPr>
                <w:rFonts w:ascii="Arial" w:hAnsi="Arial" w:cs="Arial"/>
                <w:sz w:val="20"/>
                <w:szCs w:val="20"/>
              </w:rPr>
              <w:t>Instrumenti osiguranja kredita</w:t>
            </w:r>
          </w:p>
        </w:tc>
        <w:tc>
          <w:tcPr>
            <w:tcW w:w="5098" w:type="dxa"/>
          </w:tcPr>
          <w:p w14:paraId="6BA58E8C" w14:textId="77777777" w:rsidR="004B1471" w:rsidRPr="00551912" w:rsidRDefault="004B1471" w:rsidP="002815DB">
            <w:pPr>
              <w:rPr>
                <w:rFonts w:ascii="Arial" w:hAnsi="Arial" w:cs="Arial"/>
                <w:sz w:val="20"/>
                <w:szCs w:val="20"/>
              </w:rPr>
            </w:pPr>
            <w:r w:rsidRPr="00551912">
              <w:rPr>
                <w:rFonts w:ascii="Arial" w:hAnsi="Arial" w:cs="Arial"/>
                <w:sz w:val="20"/>
                <w:szCs w:val="20"/>
              </w:rPr>
              <w:t>Zadužnica</w:t>
            </w:r>
          </w:p>
        </w:tc>
      </w:tr>
    </w:tbl>
    <w:p w14:paraId="32E35FE8" w14:textId="77777777" w:rsidR="004B1471" w:rsidRPr="00551912" w:rsidRDefault="004B1471" w:rsidP="004B1471">
      <w:pPr>
        <w:jc w:val="both"/>
        <w:rPr>
          <w:rFonts w:ascii="Arial" w:hAnsi="Arial" w:cs="Arial"/>
          <w:sz w:val="22"/>
        </w:rPr>
      </w:pPr>
    </w:p>
    <w:p w14:paraId="57E3065F" w14:textId="77777777" w:rsidR="004B1471" w:rsidRPr="00551912" w:rsidRDefault="004B1471" w:rsidP="004B1471">
      <w:pPr>
        <w:jc w:val="both"/>
        <w:rPr>
          <w:rFonts w:ascii="Arial" w:hAnsi="Arial" w:cs="Arial"/>
          <w:sz w:val="22"/>
        </w:rPr>
      </w:pPr>
      <w:r w:rsidRPr="00551912">
        <w:rPr>
          <w:rFonts w:ascii="Arial" w:hAnsi="Arial" w:cs="Arial"/>
          <w:sz w:val="22"/>
        </w:rPr>
        <w:t>Sredstva kredita koristit će se u slučaju nedostatka likvidnih sredstava za plaćanje tekućih obveza prema dospijeću.</w:t>
      </w:r>
    </w:p>
    <w:p w14:paraId="3B78421A" w14:textId="77777777" w:rsidR="004B1471" w:rsidRDefault="004B1471" w:rsidP="004B1471">
      <w:pPr>
        <w:jc w:val="both"/>
        <w:rPr>
          <w:rFonts w:ascii="Arial" w:hAnsi="Arial" w:cs="Arial"/>
          <w:color w:val="FF0000"/>
          <w:sz w:val="22"/>
        </w:rPr>
      </w:pPr>
    </w:p>
    <w:p w14:paraId="0F8CC640" w14:textId="77777777" w:rsidR="004B1471" w:rsidRDefault="004B1471" w:rsidP="004B1471">
      <w:pPr>
        <w:jc w:val="both"/>
        <w:rPr>
          <w:rFonts w:ascii="Arial" w:hAnsi="Arial" w:cs="Arial"/>
          <w:color w:val="FF0000"/>
          <w:sz w:val="22"/>
        </w:rPr>
      </w:pPr>
    </w:p>
    <w:p w14:paraId="269E40D2" w14:textId="77777777" w:rsidR="004B1471" w:rsidRPr="00D70F20" w:rsidRDefault="004B1471" w:rsidP="004B1471">
      <w:pPr>
        <w:jc w:val="both"/>
        <w:rPr>
          <w:rFonts w:ascii="Arial" w:hAnsi="Arial" w:cs="Arial"/>
          <w:bCs/>
          <w:sz w:val="22"/>
        </w:rPr>
      </w:pPr>
      <w:r w:rsidRPr="00D70F20">
        <w:rPr>
          <w:rFonts w:ascii="Arial" w:hAnsi="Arial" w:cs="Arial"/>
          <w:b/>
          <w:bCs/>
          <w:sz w:val="22"/>
        </w:rPr>
        <w:t xml:space="preserve">4. Višak prihoda iz prethodne godine </w:t>
      </w:r>
      <w:r w:rsidRPr="00D70F20">
        <w:rPr>
          <w:rFonts w:ascii="Arial" w:hAnsi="Arial" w:cs="Arial"/>
          <w:bCs/>
          <w:sz w:val="22"/>
        </w:rPr>
        <w:t xml:space="preserve">planiran je u iznosu od 1.136.137,00 EUR, a odnosi se na viškove Grada Labina u iznosu od 1.040.836,00 EUR te na viškove proračunskih korisnika u iznosu od 95.301,00 EUR. </w:t>
      </w:r>
    </w:p>
    <w:p w14:paraId="20297B47" w14:textId="0547B7BA" w:rsidR="004B1471" w:rsidRPr="00D70F20" w:rsidRDefault="004B1471" w:rsidP="004B1471">
      <w:pPr>
        <w:jc w:val="both"/>
        <w:rPr>
          <w:rFonts w:ascii="Arial" w:hAnsi="Arial" w:cs="Arial"/>
          <w:bCs/>
          <w:sz w:val="22"/>
        </w:rPr>
      </w:pPr>
      <w:r w:rsidRPr="00D70F20">
        <w:rPr>
          <w:rFonts w:ascii="Arial" w:hAnsi="Arial" w:cs="Arial"/>
          <w:bCs/>
          <w:sz w:val="22"/>
        </w:rPr>
        <w:t xml:space="preserve">Manjkovi se, kao i prethodne godine planiraju na rashodovnoj strani proračuna, te iznose </w:t>
      </w:r>
      <w:r w:rsidRPr="00D70F20">
        <w:rPr>
          <w:rFonts w:ascii="Arial" w:hAnsi="Arial" w:cs="Arial"/>
          <w:sz w:val="22"/>
        </w:rPr>
        <w:t>370.2</w:t>
      </w:r>
      <w:r w:rsidR="002F22AE">
        <w:rPr>
          <w:rFonts w:ascii="Arial" w:hAnsi="Arial" w:cs="Arial"/>
          <w:sz w:val="22"/>
        </w:rPr>
        <w:t>8</w:t>
      </w:r>
      <w:r w:rsidRPr="00D70F20">
        <w:rPr>
          <w:rFonts w:ascii="Arial" w:hAnsi="Arial" w:cs="Arial"/>
          <w:sz w:val="22"/>
        </w:rPr>
        <w:t xml:space="preserve">4,00 </w:t>
      </w:r>
      <w:r w:rsidRPr="00D70F20">
        <w:rPr>
          <w:rFonts w:ascii="Arial" w:hAnsi="Arial" w:cs="Arial"/>
          <w:bCs/>
          <w:sz w:val="22"/>
        </w:rPr>
        <w:t xml:space="preserve">EUR. </w:t>
      </w:r>
    </w:p>
    <w:p w14:paraId="726B151A" w14:textId="77777777" w:rsidR="004B1471" w:rsidRPr="00D70F20" w:rsidRDefault="004B1471" w:rsidP="004B1471">
      <w:pPr>
        <w:jc w:val="both"/>
        <w:rPr>
          <w:rFonts w:ascii="Arial" w:hAnsi="Arial" w:cs="Arial"/>
          <w:sz w:val="22"/>
        </w:rPr>
      </w:pPr>
      <w:r w:rsidRPr="00D70F20">
        <w:rPr>
          <w:rFonts w:ascii="Arial" w:hAnsi="Arial" w:cs="Arial"/>
          <w:bCs/>
          <w:sz w:val="22"/>
        </w:rPr>
        <w:t xml:space="preserve">Razlika viškova i manjkova proračuna po izvorima iz 2024. godine iznosi </w:t>
      </w:r>
      <w:r w:rsidRPr="00D70F20">
        <w:rPr>
          <w:rFonts w:ascii="Arial" w:hAnsi="Arial" w:cs="Arial"/>
          <w:sz w:val="22"/>
        </w:rPr>
        <w:t xml:space="preserve">765.863,00 </w:t>
      </w:r>
      <w:r w:rsidRPr="00D70F20">
        <w:rPr>
          <w:rFonts w:ascii="Arial" w:hAnsi="Arial" w:cs="Arial"/>
          <w:bCs/>
          <w:sz w:val="22"/>
        </w:rPr>
        <w:t>EUR.</w:t>
      </w:r>
      <w:r w:rsidRPr="00D70F20">
        <w:rPr>
          <w:rFonts w:ascii="Arial" w:hAnsi="Arial" w:cs="Arial"/>
          <w:sz w:val="22"/>
        </w:rPr>
        <w:t xml:space="preserve">  </w:t>
      </w:r>
    </w:p>
    <w:p w14:paraId="11157D23" w14:textId="77777777" w:rsidR="004B1471" w:rsidRPr="00D70F20" w:rsidRDefault="004B1471" w:rsidP="004B1471">
      <w:pPr>
        <w:jc w:val="both"/>
        <w:rPr>
          <w:rFonts w:ascii="Arial" w:hAnsi="Arial" w:cs="Arial"/>
          <w:sz w:val="22"/>
        </w:rPr>
      </w:pPr>
      <w:r w:rsidRPr="00D70F20">
        <w:rPr>
          <w:rFonts w:ascii="Arial" w:hAnsi="Arial" w:cs="Arial"/>
          <w:sz w:val="22"/>
        </w:rPr>
        <w:t xml:space="preserve">Stoga, ukupni prihodi i primici </w:t>
      </w:r>
      <w:r w:rsidRPr="00D70F20">
        <w:rPr>
          <w:rFonts w:ascii="Arial" w:hAnsi="Arial" w:cs="Arial"/>
          <w:bCs/>
          <w:sz w:val="22"/>
        </w:rPr>
        <w:t>sa prenesenim viškom prihoda po izvorima iz 2024. godine</w:t>
      </w:r>
      <w:r w:rsidRPr="00D70F20">
        <w:rPr>
          <w:rFonts w:ascii="Arial" w:hAnsi="Arial" w:cs="Arial"/>
          <w:sz w:val="22"/>
        </w:rPr>
        <w:t xml:space="preserve"> te rashodi izdaci iznose 28.413.601,00 EUR.</w:t>
      </w:r>
    </w:p>
    <w:p w14:paraId="006E5068" w14:textId="77777777" w:rsidR="004B1471" w:rsidRPr="001C487F" w:rsidRDefault="004B1471" w:rsidP="004B1471">
      <w:pPr>
        <w:rPr>
          <w:color w:val="FF0000"/>
        </w:rPr>
      </w:pPr>
    </w:p>
    <w:p w14:paraId="4D5FCA7F" w14:textId="77777777" w:rsidR="004B5128" w:rsidRDefault="004B5128" w:rsidP="004B5128"/>
    <w:p w14:paraId="7E31CFB9" w14:textId="77777777" w:rsidR="00950446" w:rsidRDefault="00950446" w:rsidP="004B5128"/>
    <w:p w14:paraId="009F3828" w14:textId="77777777" w:rsidR="00950446" w:rsidRDefault="00950446" w:rsidP="004B5128"/>
    <w:p w14:paraId="3BE03BEF" w14:textId="77777777" w:rsidR="00950446" w:rsidRDefault="00950446" w:rsidP="004B5128"/>
    <w:p w14:paraId="4679F9C7" w14:textId="77777777" w:rsidR="00950446" w:rsidRDefault="00950446" w:rsidP="004B5128"/>
    <w:p w14:paraId="78F3242D" w14:textId="77777777" w:rsidR="00950446" w:rsidRDefault="00950446" w:rsidP="004B5128"/>
    <w:p w14:paraId="31D555CD" w14:textId="77777777" w:rsidR="00950446" w:rsidRDefault="00950446" w:rsidP="004B5128"/>
    <w:p w14:paraId="52155567" w14:textId="77777777" w:rsidR="00950446" w:rsidRDefault="00950446" w:rsidP="004B5128"/>
    <w:p w14:paraId="464385AC" w14:textId="77777777" w:rsidR="00950446" w:rsidRDefault="00950446" w:rsidP="004B5128"/>
    <w:p w14:paraId="42E4D3D3" w14:textId="71AFCD74" w:rsidR="00D1535A" w:rsidRDefault="004B5128" w:rsidP="00D1535A">
      <w:pPr>
        <w:keepNext/>
        <w:keepLines/>
        <w:spacing w:before="40"/>
        <w:outlineLvl w:val="1"/>
        <w:rPr>
          <w:rFonts w:ascii="Arial" w:eastAsiaTheme="majorEastAsia" w:hAnsi="Arial" w:cs="Arial"/>
          <w:b/>
        </w:rPr>
      </w:pPr>
      <w:bookmarkStart w:id="11" w:name="_Toc116629386"/>
      <w:bookmarkStart w:id="12" w:name="_Hlk202942367"/>
      <w:r>
        <w:rPr>
          <w:rFonts w:ascii="Arial" w:eastAsiaTheme="majorEastAsia" w:hAnsi="Arial" w:cs="Arial"/>
          <w:b/>
        </w:rPr>
        <w:lastRenderedPageBreak/>
        <w:t>3</w:t>
      </w:r>
      <w:r w:rsidRPr="00D21BF7">
        <w:rPr>
          <w:rFonts w:ascii="Arial" w:eastAsiaTheme="majorEastAsia" w:hAnsi="Arial" w:cs="Arial"/>
          <w:b/>
        </w:rPr>
        <w:t>.1.2. Rashodi i izdaci</w:t>
      </w:r>
      <w:bookmarkEnd w:id="11"/>
      <w:r w:rsidRPr="00D21BF7">
        <w:rPr>
          <w:rFonts w:ascii="Arial" w:eastAsiaTheme="majorEastAsia" w:hAnsi="Arial" w:cs="Arial"/>
          <w:b/>
        </w:rPr>
        <w:t xml:space="preserve"> </w:t>
      </w:r>
    </w:p>
    <w:p w14:paraId="5B90AC60" w14:textId="77777777" w:rsidR="00D1535A" w:rsidRPr="00D21BF7" w:rsidRDefault="00D1535A" w:rsidP="00D1535A">
      <w:pPr>
        <w:keepNext/>
        <w:keepLines/>
        <w:spacing w:before="40"/>
        <w:outlineLvl w:val="1"/>
        <w:rPr>
          <w:rFonts w:ascii="Arial" w:eastAsiaTheme="majorEastAsia" w:hAnsi="Arial" w:cs="Arial"/>
          <w:b/>
        </w:rPr>
      </w:pPr>
    </w:p>
    <w:p w14:paraId="5F9F2D80" w14:textId="77777777" w:rsidR="00D1535A" w:rsidRPr="00D21BF7" w:rsidRDefault="00D1535A" w:rsidP="00D1535A">
      <w:pPr>
        <w:jc w:val="both"/>
        <w:rPr>
          <w:rFonts w:ascii="Arial" w:hAnsi="Arial" w:cs="Arial"/>
          <w:sz w:val="22"/>
        </w:rPr>
      </w:pPr>
    </w:p>
    <w:p w14:paraId="78A17E42" w14:textId="77777777" w:rsidR="00D1535A" w:rsidRPr="00497178" w:rsidRDefault="00D1535A" w:rsidP="00D1535A">
      <w:pPr>
        <w:jc w:val="both"/>
        <w:rPr>
          <w:rFonts w:ascii="Arial" w:hAnsi="Arial" w:cs="Arial"/>
          <w:sz w:val="22"/>
        </w:rPr>
      </w:pPr>
      <w:r w:rsidRPr="00497178">
        <w:rPr>
          <w:rFonts w:ascii="Arial" w:hAnsi="Arial" w:cs="Arial"/>
          <w:sz w:val="22"/>
        </w:rPr>
        <w:t xml:space="preserve">Rashodi i izdaci proračuna Grada Labina za 2025. godinu  iznose 27.480.306,00 EUR, a ovim je Prvim izmjenama i dopunama proračuna planirano povećanje rashoda koji sada iznose </w:t>
      </w:r>
      <w:r w:rsidRPr="00497178">
        <w:rPr>
          <w:rFonts w:ascii="Arial" w:hAnsi="Arial" w:cs="Arial"/>
          <w:b/>
          <w:bCs/>
          <w:sz w:val="22"/>
        </w:rPr>
        <w:t>28.413.601,00</w:t>
      </w:r>
      <w:r w:rsidRPr="00497178">
        <w:rPr>
          <w:rFonts w:ascii="Arial" w:hAnsi="Arial" w:cs="Arial"/>
          <w:sz w:val="22"/>
        </w:rPr>
        <w:t xml:space="preserve"> EUR a raspoređeni su na:</w:t>
      </w:r>
    </w:p>
    <w:p w14:paraId="6675A65B" w14:textId="77777777" w:rsidR="00D1535A" w:rsidRPr="00497178" w:rsidRDefault="00D1535A" w:rsidP="00D1535A">
      <w:pPr>
        <w:jc w:val="both"/>
        <w:rPr>
          <w:rFonts w:ascii="Arial" w:eastAsia="Calibri" w:hAnsi="Arial" w:cs="Arial"/>
          <w:sz w:val="22"/>
        </w:rPr>
      </w:pPr>
    </w:p>
    <w:tbl>
      <w:tblPr>
        <w:tblStyle w:val="Reetkatablice"/>
        <w:tblW w:w="0" w:type="auto"/>
        <w:tblLook w:val="04A0" w:firstRow="1" w:lastRow="0" w:firstColumn="1" w:lastColumn="0" w:noHBand="0" w:noVBand="1"/>
      </w:tblPr>
      <w:tblGrid>
        <w:gridCol w:w="4962"/>
        <w:gridCol w:w="2546"/>
      </w:tblGrid>
      <w:tr w:rsidR="00D1535A" w:rsidRPr="00497178" w14:paraId="07238429" w14:textId="77777777" w:rsidTr="00512D52">
        <w:trPr>
          <w:trHeight w:val="284"/>
        </w:trPr>
        <w:tc>
          <w:tcPr>
            <w:tcW w:w="4962" w:type="dxa"/>
          </w:tcPr>
          <w:p w14:paraId="4A7BDEFA" w14:textId="77777777" w:rsidR="00D1535A" w:rsidRPr="00497178" w:rsidRDefault="00D1535A" w:rsidP="00512D52">
            <w:pPr>
              <w:jc w:val="both"/>
              <w:rPr>
                <w:rFonts w:ascii="Arial" w:eastAsia="Calibri" w:hAnsi="Arial" w:cs="Arial"/>
                <w:sz w:val="22"/>
              </w:rPr>
            </w:pPr>
            <w:r w:rsidRPr="00497178">
              <w:rPr>
                <w:rFonts w:ascii="Arial" w:eastAsia="Calibri" w:hAnsi="Arial" w:cs="Arial"/>
                <w:sz w:val="22"/>
              </w:rPr>
              <w:t xml:space="preserve">rashode poslovanja  </w:t>
            </w:r>
          </w:p>
        </w:tc>
        <w:tc>
          <w:tcPr>
            <w:tcW w:w="2546" w:type="dxa"/>
          </w:tcPr>
          <w:p w14:paraId="0D260892" w14:textId="77777777" w:rsidR="00D1535A" w:rsidRPr="00497178" w:rsidRDefault="00D1535A" w:rsidP="00512D52">
            <w:pPr>
              <w:jc w:val="right"/>
              <w:rPr>
                <w:rFonts w:ascii="Arial" w:eastAsia="Calibri" w:hAnsi="Arial" w:cs="Arial"/>
                <w:sz w:val="22"/>
              </w:rPr>
            </w:pPr>
            <w:r w:rsidRPr="00497178">
              <w:rPr>
                <w:rFonts w:ascii="Arial" w:eastAsia="Calibri" w:hAnsi="Arial" w:cs="Arial"/>
                <w:sz w:val="22"/>
              </w:rPr>
              <w:t>22.901.308,00 EUR</w:t>
            </w:r>
          </w:p>
        </w:tc>
      </w:tr>
      <w:tr w:rsidR="00D1535A" w:rsidRPr="00497178" w14:paraId="5459BEEF" w14:textId="77777777" w:rsidTr="00512D52">
        <w:trPr>
          <w:trHeight w:val="284"/>
        </w:trPr>
        <w:tc>
          <w:tcPr>
            <w:tcW w:w="4962" w:type="dxa"/>
          </w:tcPr>
          <w:p w14:paraId="7891D86E" w14:textId="77777777" w:rsidR="00D1535A" w:rsidRPr="00497178" w:rsidRDefault="00D1535A" w:rsidP="00512D52">
            <w:pPr>
              <w:jc w:val="both"/>
              <w:rPr>
                <w:rFonts w:ascii="Arial" w:eastAsia="Calibri" w:hAnsi="Arial" w:cs="Arial"/>
                <w:sz w:val="22"/>
              </w:rPr>
            </w:pPr>
            <w:r w:rsidRPr="00497178">
              <w:rPr>
                <w:rFonts w:ascii="Arial" w:eastAsia="Calibri" w:hAnsi="Arial" w:cs="Arial"/>
                <w:sz w:val="22"/>
              </w:rPr>
              <w:t>rashode za nabavu nefinancijske imovine</w:t>
            </w:r>
          </w:p>
        </w:tc>
        <w:tc>
          <w:tcPr>
            <w:tcW w:w="2546" w:type="dxa"/>
          </w:tcPr>
          <w:p w14:paraId="0E28F55E" w14:textId="77777777" w:rsidR="00D1535A" w:rsidRPr="00497178" w:rsidRDefault="00D1535A" w:rsidP="00512D52">
            <w:pPr>
              <w:jc w:val="right"/>
              <w:rPr>
                <w:rFonts w:ascii="Arial" w:eastAsia="Calibri" w:hAnsi="Arial" w:cs="Arial"/>
                <w:sz w:val="22"/>
              </w:rPr>
            </w:pPr>
            <w:r w:rsidRPr="00497178">
              <w:rPr>
                <w:rFonts w:ascii="Arial" w:eastAsia="Calibri" w:hAnsi="Arial" w:cs="Arial"/>
                <w:sz w:val="22"/>
              </w:rPr>
              <w:t>4.818.547,00 EUR</w:t>
            </w:r>
          </w:p>
        </w:tc>
      </w:tr>
      <w:tr w:rsidR="00D1535A" w:rsidRPr="00497178" w14:paraId="3825DDC3" w14:textId="77777777" w:rsidTr="00512D52">
        <w:trPr>
          <w:trHeight w:val="284"/>
        </w:trPr>
        <w:tc>
          <w:tcPr>
            <w:tcW w:w="4962" w:type="dxa"/>
          </w:tcPr>
          <w:p w14:paraId="11FEC1FA" w14:textId="77777777" w:rsidR="00D1535A" w:rsidRPr="00497178" w:rsidRDefault="00D1535A" w:rsidP="00512D52">
            <w:pPr>
              <w:jc w:val="both"/>
              <w:rPr>
                <w:rFonts w:ascii="Arial" w:eastAsia="Calibri" w:hAnsi="Arial" w:cs="Arial"/>
                <w:sz w:val="22"/>
              </w:rPr>
            </w:pPr>
            <w:r w:rsidRPr="00497178">
              <w:rPr>
                <w:rFonts w:ascii="Arial" w:eastAsia="Calibri" w:hAnsi="Arial" w:cs="Arial"/>
                <w:sz w:val="22"/>
              </w:rPr>
              <w:t>izdaci za financijsku imovinu i otplate zajmova</w:t>
            </w:r>
          </w:p>
        </w:tc>
        <w:tc>
          <w:tcPr>
            <w:tcW w:w="2546" w:type="dxa"/>
          </w:tcPr>
          <w:p w14:paraId="75643D8D" w14:textId="77777777" w:rsidR="00D1535A" w:rsidRPr="00497178" w:rsidRDefault="00D1535A" w:rsidP="00512D52">
            <w:pPr>
              <w:jc w:val="right"/>
              <w:rPr>
                <w:rFonts w:ascii="Arial" w:eastAsia="Calibri" w:hAnsi="Arial" w:cs="Arial"/>
                <w:sz w:val="22"/>
              </w:rPr>
            </w:pPr>
            <w:r w:rsidRPr="00497178">
              <w:rPr>
                <w:rFonts w:ascii="Arial" w:eastAsia="Calibri" w:hAnsi="Arial" w:cs="Arial"/>
                <w:sz w:val="22"/>
              </w:rPr>
              <w:t>693.746,00 EUR</w:t>
            </w:r>
          </w:p>
          <w:p w14:paraId="219A5119" w14:textId="77777777" w:rsidR="00D1535A" w:rsidRPr="00497178" w:rsidRDefault="00D1535A" w:rsidP="00512D52">
            <w:pPr>
              <w:jc w:val="right"/>
              <w:rPr>
                <w:rFonts w:ascii="Arial" w:eastAsia="Calibri" w:hAnsi="Arial" w:cs="Arial"/>
                <w:sz w:val="22"/>
              </w:rPr>
            </w:pPr>
          </w:p>
        </w:tc>
      </w:tr>
    </w:tbl>
    <w:p w14:paraId="1FB945BA" w14:textId="77777777" w:rsidR="00D1535A" w:rsidRPr="00497178" w:rsidRDefault="00D1535A" w:rsidP="00D1535A">
      <w:pPr>
        <w:jc w:val="both"/>
        <w:rPr>
          <w:rFonts w:ascii="Arial" w:eastAsia="Calibri" w:hAnsi="Arial" w:cs="Arial"/>
          <w:sz w:val="22"/>
        </w:rPr>
      </w:pPr>
    </w:p>
    <w:p w14:paraId="21B4B9C7" w14:textId="77777777" w:rsidR="00D1535A" w:rsidRPr="00497178" w:rsidRDefault="00D1535A" w:rsidP="00D1535A">
      <w:pPr>
        <w:jc w:val="both"/>
        <w:rPr>
          <w:rFonts w:ascii="Arial" w:eastAsia="Calibri" w:hAnsi="Arial" w:cs="Arial"/>
          <w:sz w:val="22"/>
        </w:rPr>
      </w:pPr>
    </w:p>
    <w:p w14:paraId="2D47CC87" w14:textId="77777777" w:rsidR="00D1535A" w:rsidRPr="00497178" w:rsidRDefault="00D1535A" w:rsidP="00D1535A">
      <w:pPr>
        <w:jc w:val="both"/>
        <w:rPr>
          <w:rFonts w:ascii="Arial" w:eastAsia="Calibri" w:hAnsi="Arial" w:cs="Arial"/>
          <w:sz w:val="22"/>
        </w:rPr>
      </w:pPr>
      <w:r w:rsidRPr="00497178">
        <w:rPr>
          <w:rFonts w:ascii="Arial" w:eastAsia="Calibri" w:hAnsi="Arial" w:cs="Arial"/>
          <w:sz w:val="22"/>
        </w:rPr>
        <w:t xml:space="preserve">Preneseni manjkovi po izvorima iz 2024. godine iznose </w:t>
      </w:r>
      <w:bookmarkStart w:id="13" w:name="_Hlk168667416"/>
      <w:r w:rsidRPr="00497178">
        <w:rPr>
          <w:rFonts w:ascii="Arial" w:eastAsia="Calibri" w:hAnsi="Arial" w:cs="Arial"/>
          <w:sz w:val="22"/>
        </w:rPr>
        <w:t xml:space="preserve">370.284,00 EUR, te </w:t>
      </w:r>
      <w:bookmarkStart w:id="14" w:name="_Hlk168667350"/>
      <w:r w:rsidRPr="00497178">
        <w:rPr>
          <w:rFonts w:ascii="Arial" w:eastAsia="Calibri" w:hAnsi="Arial" w:cs="Arial"/>
          <w:sz w:val="22"/>
        </w:rPr>
        <w:t xml:space="preserve">zbroj rashoda i izdataka i manjka po izvorima iz prethodne godine </w:t>
      </w:r>
      <w:bookmarkEnd w:id="14"/>
      <w:r w:rsidRPr="00497178">
        <w:rPr>
          <w:rFonts w:ascii="Arial" w:eastAsia="Calibri" w:hAnsi="Arial" w:cs="Arial"/>
          <w:sz w:val="22"/>
        </w:rPr>
        <w:t xml:space="preserve">iznosi 28.783.885,00 EUR. Međutim ukupni viškovi iznose 1.136.137,00 EUR te je ukupni zbroj rashoda i izdataka </w:t>
      </w:r>
      <w:bookmarkEnd w:id="13"/>
      <w:r w:rsidRPr="00497178">
        <w:rPr>
          <w:rFonts w:ascii="Arial" w:eastAsia="Calibri" w:hAnsi="Arial" w:cs="Arial"/>
          <w:sz w:val="22"/>
        </w:rPr>
        <w:t xml:space="preserve">i manjka po izvorima iz prethodne godine izjednačen sa zbrojem prihoda i primitaka i viška prihoda po izvorima iz prethodne godine, prikazanog u tabeli 1 ovog obrazloženja. </w:t>
      </w:r>
    </w:p>
    <w:p w14:paraId="367E2A97" w14:textId="77777777" w:rsidR="00D1535A" w:rsidRPr="00497178" w:rsidRDefault="00D1535A" w:rsidP="00D1535A">
      <w:pPr>
        <w:jc w:val="both"/>
        <w:rPr>
          <w:rFonts w:ascii="Arial" w:eastAsia="Calibri" w:hAnsi="Arial" w:cs="Arial"/>
          <w:sz w:val="22"/>
        </w:rPr>
      </w:pPr>
    </w:p>
    <w:p w14:paraId="2134AAA4" w14:textId="77777777" w:rsidR="00D1535A" w:rsidRPr="00497178" w:rsidRDefault="00D1535A" w:rsidP="00D1535A">
      <w:pPr>
        <w:jc w:val="both"/>
        <w:rPr>
          <w:rFonts w:ascii="Arial" w:eastAsia="Calibri" w:hAnsi="Arial" w:cs="Arial"/>
          <w:sz w:val="22"/>
        </w:rPr>
      </w:pPr>
    </w:p>
    <w:p w14:paraId="7C830980" w14:textId="77777777" w:rsidR="00D1535A" w:rsidRPr="00497178" w:rsidRDefault="00D1535A" w:rsidP="00D1535A">
      <w:pPr>
        <w:ind w:firstLine="709"/>
        <w:jc w:val="both"/>
        <w:rPr>
          <w:rFonts w:ascii="Arial" w:eastAsia="Calibri" w:hAnsi="Arial" w:cs="Arial"/>
          <w:sz w:val="22"/>
        </w:rPr>
      </w:pPr>
      <w:r w:rsidRPr="00497178">
        <w:rPr>
          <w:rFonts w:ascii="Arial" w:eastAsia="Calibri" w:hAnsi="Arial" w:cs="Arial"/>
          <w:sz w:val="22"/>
        </w:rPr>
        <w:t>U nastavku se daje prikaz rashoda i izdataka sa udjelom u proračunu, prije i nakon izmjena, te indeks promjene.</w:t>
      </w:r>
    </w:p>
    <w:p w14:paraId="4A106EFB" w14:textId="77777777" w:rsidR="00D1535A" w:rsidRPr="00497178" w:rsidRDefault="00D1535A" w:rsidP="00D1535A">
      <w:pPr>
        <w:tabs>
          <w:tab w:val="left" w:pos="2580"/>
        </w:tabs>
        <w:jc w:val="both"/>
        <w:rPr>
          <w:rFonts w:ascii="Arial" w:hAnsi="Arial" w:cs="Arial"/>
          <w:sz w:val="22"/>
        </w:rPr>
      </w:pPr>
      <w:r w:rsidRPr="00497178">
        <w:rPr>
          <w:rFonts w:ascii="Arial" w:hAnsi="Arial" w:cs="Arial"/>
          <w:sz w:val="22"/>
        </w:rPr>
        <w:tab/>
      </w:r>
    </w:p>
    <w:p w14:paraId="737E7A35" w14:textId="77777777" w:rsidR="00D1535A" w:rsidRPr="00497178" w:rsidRDefault="00D1535A" w:rsidP="00D1535A">
      <w:pPr>
        <w:jc w:val="both"/>
        <w:rPr>
          <w:rFonts w:ascii="Arial" w:hAnsi="Arial" w:cs="Arial"/>
          <w:b/>
          <w:bCs/>
          <w:sz w:val="22"/>
        </w:rPr>
      </w:pPr>
      <w:r w:rsidRPr="00497178">
        <w:rPr>
          <w:rFonts w:ascii="Arial" w:hAnsi="Arial" w:cs="Arial"/>
          <w:b/>
          <w:bCs/>
          <w:sz w:val="22"/>
        </w:rPr>
        <w:t>Tabela 2.</w:t>
      </w:r>
    </w:p>
    <w:p w14:paraId="56233A17" w14:textId="630AF5A4" w:rsidR="00D1535A" w:rsidRPr="00497178" w:rsidRDefault="00BC7E60" w:rsidP="00D1535A">
      <w:pPr>
        <w:jc w:val="both"/>
        <w:rPr>
          <w:rFonts w:ascii="Arial" w:hAnsi="Arial" w:cs="Arial"/>
          <w:b/>
          <w:bCs/>
          <w:sz w:val="22"/>
        </w:rPr>
      </w:pP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 EUR</w:t>
      </w:r>
    </w:p>
    <w:tbl>
      <w:tblPr>
        <w:tblStyle w:val="Reetkatablice5"/>
        <w:tblW w:w="10379" w:type="dxa"/>
        <w:jc w:val="center"/>
        <w:tblLook w:val="04A0" w:firstRow="1" w:lastRow="0" w:firstColumn="1" w:lastColumn="0" w:noHBand="0" w:noVBand="1"/>
      </w:tblPr>
      <w:tblGrid>
        <w:gridCol w:w="693"/>
        <w:gridCol w:w="2563"/>
        <w:gridCol w:w="1559"/>
        <w:gridCol w:w="1134"/>
        <w:gridCol w:w="1843"/>
        <w:gridCol w:w="1312"/>
        <w:gridCol w:w="1275"/>
      </w:tblGrid>
      <w:tr w:rsidR="00D1535A" w:rsidRPr="00497178" w14:paraId="2A930E33" w14:textId="77777777" w:rsidTr="00512D52">
        <w:trPr>
          <w:trHeight w:val="528"/>
          <w:jc w:val="center"/>
        </w:trPr>
        <w:tc>
          <w:tcPr>
            <w:tcW w:w="693" w:type="dxa"/>
            <w:vMerge w:val="restart"/>
            <w:noWrap/>
            <w:vAlign w:val="center"/>
            <w:hideMark/>
          </w:tcPr>
          <w:p w14:paraId="2078617E" w14:textId="77777777" w:rsidR="00D1535A" w:rsidRPr="00497178" w:rsidRDefault="00D1535A" w:rsidP="00512D52">
            <w:pPr>
              <w:jc w:val="center"/>
              <w:rPr>
                <w:rFonts w:ascii="Arial" w:eastAsia="Calibri" w:hAnsi="Arial" w:cs="Arial"/>
                <w:b/>
                <w:sz w:val="20"/>
                <w:szCs w:val="20"/>
              </w:rPr>
            </w:pPr>
            <w:r w:rsidRPr="00497178">
              <w:rPr>
                <w:rFonts w:ascii="Arial" w:eastAsia="Calibri" w:hAnsi="Arial" w:cs="Arial"/>
                <w:b/>
                <w:sz w:val="20"/>
                <w:szCs w:val="20"/>
              </w:rPr>
              <w:t>Red.</w:t>
            </w:r>
          </w:p>
          <w:p w14:paraId="4540F025" w14:textId="77777777" w:rsidR="00D1535A" w:rsidRPr="00497178" w:rsidRDefault="00D1535A" w:rsidP="00512D52">
            <w:pPr>
              <w:jc w:val="center"/>
              <w:rPr>
                <w:rFonts w:ascii="Arial" w:eastAsia="Calibri" w:hAnsi="Arial" w:cs="Arial"/>
                <w:b/>
                <w:sz w:val="20"/>
                <w:szCs w:val="20"/>
              </w:rPr>
            </w:pPr>
            <w:r w:rsidRPr="00497178">
              <w:rPr>
                <w:rFonts w:ascii="Arial" w:eastAsia="Calibri" w:hAnsi="Arial" w:cs="Arial"/>
                <w:b/>
                <w:sz w:val="20"/>
                <w:szCs w:val="20"/>
              </w:rPr>
              <w:t>br.</w:t>
            </w:r>
          </w:p>
        </w:tc>
        <w:tc>
          <w:tcPr>
            <w:tcW w:w="2563" w:type="dxa"/>
            <w:vMerge w:val="restart"/>
            <w:noWrap/>
            <w:vAlign w:val="center"/>
            <w:hideMark/>
          </w:tcPr>
          <w:p w14:paraId="67499F52" w14:textId="77777777" w:rsidR="00D1535A" w:rsidRPr="00497178" w:rsidRDefault="00D1535A" w:rsidP="00512D52">
            <w:pPr>
              <w:jc w:val="center"/>
              <w:rPr>
                <w:rFonts w:ascii="Arial" w:eastAsia="Calibri" w:hAnsi="Arial" w:cs="Arial"/>
                <w:b/>
                <w:sz w:val="20"/>
                <w:szCs w:val="20"/>
              </w:rPr>
            </w:pPr>
            <w:r w:rsidRPr="00497178">
              <w:rPr>
                <w:rFonts w:ascii="Arial" w:eastAsia="Calibri" w:hAnsi="Arial" w:cs="Arial"/>
                <w:b/>
                <w:sz w:val="20"/>
                <w:szCs w:val="20"/>
              </w:rPr>
              <w:t>O P I S</w:t>
            </w:r>
          </w:p>
        </w:tc>
        <w:tc>
          <w:tcPr>
            <w:tcW w:w="2693" w:type="dxa"/>
            <w:gridSpan w:val="2"/>
            <w:noWrap/>
            <w:vAlign w:val="center"/>
            <w:hideMark/>
          </w:tcPr>
          <w:p w14:paraId="0E71EB80" w14:textId="77777777" w:rsidR="00D1535A" w:rsidRPr="00497178" w:rsidRDefault="00D1535A" w:rsidP="00512D52">
            <w:pPr>
              <w:jc w:val="center"/>
              <w:rPr>
                <w:rFonts w:ascii="Arial" w:eastAsia="Calibri" w:hAnsi="Arial" w:cs="Arial"/>
                <w:b/>
                <w:sz w:val="20"/>
                <w:szCs w:val="20"/>
              </w:rPr>
            </w:pPr>
            <w:r w:rsidRPr="00497178">
              <w:rPr>
                <w:rFonts w:ascii="Arial" w:eastAsia="Calibri" w:hAnsi="Arial" w:cs="Arial"/>
                <w:b/>
                <w:sz w:val="20"/>
                <w:szCs w:val="20"/>
              </w:rPr>
              <w:t>PLAN 2025. GODINA</w:t>
            </w:r>
          </w:p>
        </w:tc>
        <w:tc>
          <w:tcPr>
            <w:tcW w:w="3155" w:type="dxa"/>
            <w:gridSpan w:val="2"/>
            <w:noWrap/>
            <w:vAlign w:val="center"/>
            <w:hideMark/>
          </w:tcPr>
          <w:p w14:paraId="436457C1" w14:textId="77777777" w:rsidR="00D1535A" w:rsidRPr="00497178" w:rsidRDefault="00D1535A" w:rsidP="00512D52">
            <w:pPr>
              <w:jc w:val="center"/>
              <w:rPr>
                <w:rFonts w:ascii="Arial" w:eastAsia="Calibri" w:hAnsi="Arial" w:cs="Arial"/>
                <w:b/>
                <w:sz w:val="20"/>
                <w:szCs w:val="20"/>
              </w:rPr>
            </w:pPr>
            <w:r w:rsidRPr="00497178">
              <w:rPr>
                <w:rFonts w:ascii="Arial" w:eastAsia="Calibri" w:hAnsi="Arial" w:cs="Arial"/>
                <w:b/>
                <w:sz w:val="20"/>
                <w:szCs w:val="20"/>
              </w:rPr>
              <w:t xml:space="preserve">NOVI PLAN  2025. – </w:t>
            </w:r>
          </w:p>
          <w:p w14:paraId="7B87612C" w14:textId="77777777" w:rsidR="00D1535A" w:rsidRPr="00497178" w:rsidRDefault="00D1535A">
            <w:pPr>
              <w:pStyle w:val="Odlomakpopisa"/>
              <w:numPr>
                <w:ilvl w:val="0"/>
                <w:numId w:val="49"/>
              </w:numPr>
              <w:spacing w:after="0" w:line="240" w:lineRule="auto"/>
              <w:jc w:val="center"/>
              <w:rPr>
                <w:rFonts w:ascii="Arial" w:hAnsi="Arial" w:cs="Arial"/>
                <w:b/>
                <w:sz w:val="20"/>
                <w:szCs w:val="20"/>
              </w:rPr>
            </w:pPr>
            <w:r w:rsidRPr="00497178">
              <w:rPr>
                <w:rFonts w:ascii="Arial" w:hAnsi="Arial" w:cs="Arial"/>
                <w:b/>
                <w:sz w:val="20"/>
                <w:szCs w:val="20"/>
              </w:rPr>
              <w:t>IZMJENE I DOPUNE</w:t>
            </w:r>
          </w:p>
        </w:tc>
        <w:tc>
          <w:tcPr>
            <w:tcW w:w="1275" w:type="dxa"/>
            <w:noWrap/>
            <w:vAlign w:val="center"/>
            <w:hideMark/>
          </w:tcPr>
          <w:p w14:paraId="13A7E1ED" w14:textId="77777777" w:rsidR="00D1535A" w:rsidRPr="00497178" w:rsidRDefault="00D1535A" w:rsidP="00512D52">
            <w:pPr>
              <w:jc w:val="center"/>
              <w:rPr>
                <w:rFonts w:ascii="Arial" w:eastAsia="Calibri" w:hAnsi="Arial" w:cs="Arial"/>
                <w:b/>
                <w:sz w:val="20"/>
                <w:szCs w:val="20"/>
              </w:rPr>
            </w:pPr>
            <w:r w:rsidRPr="00497178">
              <w:rPr>
                <w:rFonts w:ascii="Arial" w:eastAsia="Calibri" w:hAnsi="Arial" w:cs="Arial"/>
                <w:b/>
                <w:sz w:val="20"/>
                <w:szCs w:val="20"/>
              </w:rPr>
              <w:t>INDEKS</w:t>
            </w:r>
          </w:p>
        </w:tc>
      </w:tr>
      <w:tr w:rsidR="00D1535A" w:rsidRPr="00497178" w14:paraId="2207D66D" w14:textId="77777777" w:rsidTr="00512D52">
        <w:trPr>
          <w:trHeight w:val="266"/>
          <w:jc w:val="center"/>
        </w:trPr>
        <w:tc>
          <w:tcPr>
            <w:tcW w:w="693" w:type="dxa"/>
            <w:vMerge/>
            <w:noWrap/>
            <w:vAlign w:val="center"/>
            <w:hideMark/>
          </w:tcPr>
          <w:p w14:paraId="669490D8" w14:textId="77777777" w:rsidR="00D1535A" w:rsidRPr="00497178" w:rsidRDefault="00D1535A" w:rsidP="00512D52">
            <w:pPr>
              <w:jc w:val="center"/>
              <w:rPr>
                <w:rFonts w:ascii="Arial" w:eastAsia="Calibri" w:hAnsi="Arial" w:cs="Arial"/>
                <w:sz w:val="20"/>
                <w:szCs w:val="20"/>
              </w:rPr>
            </w:pPr>
          </w:p>
        </w:tc>
        <w:tc>
          <w:tcPr>
            <w:tcW w:w="2563" w:type="dxa"/>
            <w:vMerge/>
            <w:noWrap/>
            <w:vAlign w:val="center"/>
            <w:hideMark/>
          </w:tcPr>
          <w:p w14:paraId="6C8591E5" w14:textId="77777777" w:rsidR="00D1535A" w:rsidRPr="00497178" w:rsidRDefault="00D1535A" w:rsidP="00512D52">
            <w:pPr>
              <w:rPr>
                <w:rFonts w:ascii="Arial" w:eastAsia="Calibri" w:hAnsi="Arial" w:cs="Arial"/>
                <w:sz w:val="20"/>
                <w:szCs w:val="20"/>
              </w:rPr>
            </w:pPr>
          </w:p>
        </w:tc>
        <w:tc>
          <w:tcPr>
            <w:tcW w:w="1559" w:type="dxa"/>
            <w:noWrap/>
            <w:vAlign w:val="center"/>
            <w:hideMark/>
          </w:tcPr>
          <w:p w14:paraId="5B3AFFD1" w14:textId="77777777" w:rsidR="00D1535A" w:rsidRPr="00497178" w:rsidRDefault="00D1535A" w:rsidP="00512D52">
            <w:pPr>
              <w:jc w:val="center"/>
              <w:rPr>
                <w:rFonts w:ascii="Arial" w:eastAsia="Calibri" w:hAnsi="Arial" w:cs="Arial"/>
                <w:sz w:val="20"/>
                <w:szCs w:val="20"/>
              </w:rPr>
            </w:pPr>
            <w:r w:rsidRPr="00497178">
              <w:rPr>
                <w:rFonts w:ascii="Arial" w:eastAsia="Calibri" w:hAnsi="Arial" w:cs="Arial"/>
                <w:sz w:val="20"/>
                <w:szCs w:val="20"/>
              </w:rPr>
              <w:t>Iznos EUR</w:t>
            </w:r>
          </w:p>
        </w:tc>
        <w:tc>
          <w:tcPr>
            <w:tcW w:w="1134" w:type="dxa"/>
            <w:noWrap/>
            <w:vAlign w:val="center"/>
            <w:hideMark/>
          </w:tcPr>
          <w:p w14:paraId="0174D80F" w14:textId="77777777" w:rsidR="00D1535A" w:rsidRPr="00497178" w:rsidRDefault="00D1535A" w:rsidP="00512D52">
            <w:pPr>
              <w:jc w:val="center"/>
              <w:rPr>
                <w:rFonts w:ascii="Arial" w:eastAsia="Calibri" w:hAnsi="Arial" w:cs="Arial"/>
                <w:sz w:val="20"/>
                <w:szCs w:val="20"/>
              </w:rPr>
            </w:pPr>
            <w:r w:rsidRPr="00497178">
              <w:rPr>
                <w:rFonts w:ascii="Arial" w:eastAsia="Calibri" w:hAnsi="Arial" w:cs="Arial"/>
                <w:sz w:val="20"/>
                <w:szCs w:val="20"/>
              </w:rPr>
              <w:t>% udjela</w:t>
            </w:r>
          </w:p>
        </w:tc>
        <w:tc>
          <w:tcPr>
            <w:tcW w:w="1843" w:type="dxa"/>
            <w:noWrap/>
            <w:vAlign w:val="center"/>
            <w:hideMark/>
          </w:tcPr>
          <w:p w14:paraId="7A9176D6" w14:textId="77777777" w:rsidR="00D1535A" w:rsidRPr="00497178" w:rsidRDefault="00D1535A" w:rsidP="00512D52">
            <w:pPr>
              <w:jc w:val="center"/>
              <w:rPr>
                <w:rFonts w:ascii="Arial" w:eastAsia="Calibri" w:hAnsi="Arial" w:cs="Arial"/>
                <w:sz w:val="20"/>
                <w:szCs w:val="20"/>
              </w:rPr>
            </w:pPr>
            <w:r w:rsidRPr="00497178">
              <w:rPr>
                <w:rFonts w:ascii="Arial" w:eastAsia="Calibri" w:hAnsi="Arial" w:cs="Arial"/>
                <w:sz w:val="20"/>
                <w:szCs w:val="20"/>
              </w:rPr>
              <w:t>Iznos EUR</w:t>
            </w:r>
          </w:p>
        </w:tc>
        <w:tc>
          <w:tcPr>
            <w:tcW w:w="1312" w:type="dxa"/>
            <w:noWrap/>
            <w:vAlign w:val="center"/>
            <w:hideMark/>
          </w:tcPr>
          <w:p w14:paraId="3988E335" w14:textId="77777777" w:rsidR="00D1535A" w:rsidRPr="00497178" w:rsidRDefault="00D1535A" w:rsidP="00512D52">
            <w:pPr>
              <w:jc w:val="center"/>
              <w:rPr>
                <w:rFonts w:ascii="Arial" w:eastAsia="Calibri" w:hAnsi="Arial" w:cs="Arial"/>
                <w:sz w:val="20"/>
                <w:szCs w:val="20"/>
              </w:rPr>
            </w:pPr>
            <w:r w:rsidRPr="00497178">
              <w:rPr>
                <w:rFonts w:ascii="Arial" w:eastAsia="Calibri" w:hAnsi="Arial" w:cs="Arial"/>
                <w:sz w:val="20"/>
                <w:szCs w:val="20"/>
              </w:rPr>
              <w:t>% udjela</w:t>
            </w:r>
          </w:p>
        </w:tc>
        <w:tc>
          <w:tcPr>
            <w:tcW w:w="1275" w:type="dxa"/>
            <w:noWrap/>
            <w:vAlign w:val="center"/>
            <w:hideMark/>
          </w:tcPr>
          <w:p w14:paraId="53814A2F" w14:textId="77777777" w:rsidR="00D1535A" w:rsidRPr="00497178" w:rsidRDefault="00D1535A" w:rsidP="00512D52">
            <w:pPr>
              <w:jc w:val="center"/>
              <w:rPr>
                <w:rFonts w:ascii="Arial" w:eastAsia="Calibri" w:hAnsi="Arial" w:cs="Arial"/>
                <w:sz w:val="20"/>
                <w:szCs w:val="20"/>
              </w:rPr>
            </w:pPr>
            <w:r w:rsidRPr="00497178">
              <w:rPr>
                <w:rFonts w:ascii="Arial" w:eastAsia="Calibri" w:hAnsi="Arial" w:cs="Arial"/>
                <w:sz w:val="20"/>
                <w:szCs w:val="20"/>
              </w:rPr>
              <w:t>(5/3)</w:t>
            </w:r>
          </w:p>
        </w:tc>
      </w:tr>
      <w:tr w:rsidR="00D1535A" w:rsidRPr="00497178" w14:paraId="1BDCF51C" w14:textId="77777777" w:rsidTr="00512D52">
        <w:trPr>
          <w:trHeight w:val="244"/>
          <w:jc w:val="center"/>
        </w:trPr>
        <w:tc>
          <w:tcPr>
            <w:tcW w:w="693" w:type="dxa"/>
            <w:noWrap/>
            <w:vAlign w:val="center"/>
            <w:hideMark/>
          </w:tcPr>
          <w:p w14:paraId="21B9D5E9" w14:textId="77777777" w:rsidR="00D1535A" w:rsidRPr="00497178" w:rsidRDefault="00D1535A" w:rsidP="00512D52">
            <w:pPr>
              <w:jc w:val="center"/>
              <w:rPr>
                <w:rFonts w:ascii="Arial" w:eastAsia="Calibri" w:hAnsi="Arial" w:cs="Arial"/>
                <w:b/>
                <w:sz w:val="20"/>
                <w:szCs w:val="20"/>
              </w:rPr>
            </w:pPr>
            <w:r w:rsidRPr="00497178">
              <w:rPr>
                <w:rFonts w:ascii="Arial" w:eastAsia="Calibri" w:hAnsi="Arial" w:cs="Arial"/>
                <w:b/>
                <w:sz w:val="20"/>
                <w:szCs w:val="20"/>
              </w:rPr>
              <w:t>1</w:t>
            </w:r>
          </w:p>
        </w:tc>
        <w:tc>
          <w:tcPr>
            <w:tcW w:w="2563" w:type="dxa"/>
            <w:noWrap/>
            <w:vAlign w:val="center"/>
            <w:hideMark/>
          </w:tcPr>
          <w:p w14:paraId="71501BF7" w14:textId="77777777" w:rsidR="00D1535A" w:rsidRPr="00497178" w:rsidRDefault="00D1535A" w:rsidP="00512D52">
            <w:pPr>
              <w:jc w:val="center"/>
              <w:rPr>
                <w:rFonts w:ascii="Arial" w:eastAsia="Calibri" w:hAnsi="Arial" w:cs="Arial"/>
                <w:b/>
                <w:sz w:val="20"/>
                <w:szCs w:val="20"/>
              </w:rPr>
            </w:pPr>
            <w:r w:rsidRPr="00497178">
              <w:rPr>
                <w:rFonts w:ascii="Arial" w:eastAsia="Calibri" w:hAnsi="Arial" w:cs="Arial"/>
                <w:b/>
                <w:sz w:val="20"/>
                <w:szCs w:val="20"/>
              </w:rPr>
              <w:t>2</w:t>
            </w:r>
          </w:p>
        </w:tc>
        <w:tc>
          <w:tcPr>
            <w:tcW w:w="1559" w:type="dxa"/>
            <w:noWrap/>
            <w:vAlign w:val="center"/>
            <w:hideMark/>
          </w:tcPr>
          <w:p w14:paraId="294DC825" w14:textId="77777777" w:rsidR="00D1535A" w:rsidRPr="00497178" w:rsidRDefault="00D1535A" w:rsidP="00512D52">
            <w:pPr>
              <w:jc w:val="center"/>
              <w:rPr>
                <w:rFonts w:ascii="Arial" w:eastAsia="Calibri" w:hAnsi="Arial" w:cs="Arial"/>
                <w:b/>
                <w:sz w:val="20"/>
                <w:szCs w:val="20"/>
              </w:rPr>
            </w:pPr>
            <w:r w:rsidRPr="00497178">
              <w:rPr>
                <w:rFonts w:ascii="Arial" w:eastAsia="Calibri" w:hAnsi="Arial" w:cs="Arial"/>
                <w:b/>
                <w:sz w:val="20"/>
                <w:szCs w:val="20"/>
              </w:rPr>
              <w:t>3</w:t>
            </w:r>
          </w:p>
        </w:tc>
        <w:tc>
          <w:tcPr>
            <w:tcW w:w="1134" w:type="dxa"/>
            <w:noWrap/>
            <w:vAlign w:val="center"/>
            <w:hideMark/>
          </w:tcPr>
          <w:p w14:paraId="2803FF32" w14:textId="77777777" w:rsidR="00D1535A" w:rsidRPr="00497178" w:rsidRDefault="00D1535A" w:rsidP="00512D52">
            <w:pPr>
              <w:jc w:val="center"/>
              <w:rPr>
                <w:rFonts w:ascii="Arial" w:eastAsia="Calibri" w:hAnsi="Arial" w:cs="Arial"/>
                <w:b/>
                <w:sz w:val="20"/>
                <w:szCs w:val="20"/>
              </w:rPr>
            </w:pPr>
            <w:r w:rsidRPr="00497178">
              <w:rPr>
                <w:rFonts w:ascii="Arial" w:eastAsia="Calibri" w:hAnsi="Arial" w:cs="Arial"/>
                <w:b/>
                <w:sz w:val="20"/>
                <w:szCs w:val="20"/>
              </w:rPr>
              <w:t>4</w:t>
            </w:r>
          </w:p>
        </w:tc>
        <w:tc>
          <w:tcPr>
            <w:tcW w:w="1843" w:type="dxa"/>
            <w:noWrap/>
            <w:vAlign w:val="center"/>
            <w:hideMark/>
          </w:tcPr>
          <w:p w14:paraId="3C61ED24" w14:textId="77777777" w:rsidR="00D1535A" w:rsidRPr="00497178" w:rsidRDefault="00D1535A" w:rsidP="00512D52">
            <w:pPr>
              <w:jc w:val="center"/>
              <w:rPr>
                <w:rFonts w:ascii="Arial" w:eastAsia="Calibri" w:hAnsi="Arial" w:cs="Arial"/>
                <w:b/>
                <w:sz w:val="20"/>
                <w:szCs w:val="20"/>
              </w:rPr>
            </w:pPr>
            <w:r w:rsidRPr="00497178">
              <w:rPr>
                <w:rFonts w:ascii="Arial" w:eastAsia="Calibri" w:hAnsi="Arial" w:cs="Arial"/>
                <w:b/>
                <w:sz w:val="20"/>
                <w:szCs w:val="20"/>
              </w:rPr>
              <w:t>5</w:t>
            </w:r>
          </w:p>
        </w:tc>
        <w:tc>
          <w:tcPr>
            <w:tcW w:w="1312" w:type="dxa"/>
            <w:noWrap/>
            <w:vAlign w:val="center"/>
            <w:hideMark/>
          </w:tcPr>
          <w:p w14:paraId="13D35EF7" w14:textId="77777777" w:rsidR="00D1535A" w:rsidRPr="00497178" w:rsidRDefault="00D1535A" w:rsidP="00512D52">
            <w:pPr>
              <w:jc w:val="center"/>
              <w:rPr>
                <w:rFonts w:ascii="Arial" w:eastAsia="Calibri" w:hAnsi="Arial" w:cs="Arial"/>
                <w:b/>
                <w:sz w:val="20"/>
                <w:szCs w:val="20"/>
              </w:rPr>
            </w:pPr>
            <w:r w:rsidRPr="00497178">
              <w:rPr>
                <w:rFonts w:ascii="Arial" w:eastAsia="Calibri" w:hAnsi="Arial" w:cs="Arial"/>
                <w:b/>
                <w:sz w:val="20"/>
                <w:szCs w:val="20"/>
              </w:rPr>
              <w:t>6</w:t>
            </w:r>
          </w:p>
        </w:tc>
        <w:tc>
          <w:tcPr>
            <w:tcW w:w="1275" w:type="dxa"/>
            <w:noWrap/>
            <w:vAlign w:val="center"/>
            <w:hideMark/>
          </w:tcPr>
          <w:p w14:paraId="2EEED7E3" w14:textId="77777777" w:rsidR="00D1535A" w:rsidRPr="00497178" w:rsidRDefault="00D1535A" w:rsidP="00512D52">
            <w:pPr>
              <w:jc w:val="center"/>
              <w:rPr>
                <w:rFonts w:ascii="Arial" w:eastAsia="Calibri" w:hAnsi="Arial" w:cs="Arial"/>
                <w:b/>
                <w:sz w:val="20"/>
                <w:szCs w:val="20"/>
              </w:rPr>
            </w:pPr>
            <w:r w:rsidRPr="00497178">
              <w:rPr>
                <w:rFonts w:ascii="Arial" w:eastAsia="Calibri" w:hAnsi="Arial" w:cs="Arial"/>
                <w:b/>
                <w:sz w:val="20"/>
                <w:szCs w:val="20"/>
              </w:rPr>
              <w:t>7</w:t>
            </w:r>
          </w:p>
        </w:tc>
      </w:tr>
      <w:tr w:rsidR="00D1535A" w:rsidRPr="00497178" w14:paraId="21BBD3E5" w14:textId="77777777" w:rsidTr="00512D52">
        <w:trPr>
          <w:trHeight w:val="300"/>
          <w:jc w:val="center"/>
        </w:trPr>
        <w:tc>
          <w:tcPr>
            <w:tcW w:w="693" w:type="dxa"/>
            <w:shd w:val="clear" w:color="auto" w:fill="E7E6E6"/>
            <w:noWrap/>
            <w:vAlign w:val="center"/>
            <w:hideMark/>
          </w:tcPr>
          <w:p w14:paraId="06B3FE41" w14:textId="77777777" w:rsidR="00D1535A" w:rsidRPr="00497178" w:rsidRDefault="00D1535A" w:rsidP="00512D52">
            <w:pPr>
              <w:jc w:val="center"/>
              <w:rPr>
                <w:rFonts w:ascii="Arial" w:eastAsia="Calibri" w:hAnsi="Arial" w:cs="Arial"/>
                <w:b/>
                <w:sz w:val="20"/>
                <w:szCs w:val="20"/>
              </w:rPr>
            </w:pPr>
            <w:r w:rsidRPr="00497178">
              <w:rPr>
                <w:rFonts w:ascii="Arial" w:eastAsia="Calibri" w:hAnsi="Arial" w:cs="Arial"/>
                <w:b/>
                <w:sz w:val="20"/>
                <w:szCs w:val="20"/>
              </w:rPr>
              <w:t>1.</w:t>
            </w:r>
          </w:p>
        </w:tc>
        <w:tc>
          <w:tcPr>
            <w:tcW w:w="2563" w:type="dxa"/>
            <w:shd w:val="clear" w:color="auto" w:fill="E7E6E6"/>
            <w:noWrap/>
            <w:vAlign w:val="center"/>
            <w:hideMark/>
          </w:tcPr>
          <w:p w14:paraId="422DB73D" w14:textId="77777777" w:rsidR="00D1535A" w:rsidRPr="00497178" w:rsidRDefault="00D1535A" w:rsidP="00512D52">
            <w:pPr>
              <w:rPr>
                <w:rFonts w:ascii="Arial" w:eastAsia="Calibri" w:hAnsi="Arial" w:cs="Arial"/>
                <w:b/>
                <w:sz w:val="20"/>
                <w:szCs w:val="20"/>
              </w:rPr>
            </w:pPr>
            <w:bookmarkStart w:id="15" w:name="_Hlk168826268"/>
            <w:r w:rsidRPr="00497178">
              <w:rPr>
                <w:rFonts w:ascii="Arial" w:eastAsia="Calibri" w:hAnsi="Arial" w:cs="Arial"/>
                <w:b/>
                <w:sz w:val="20"/>
                <w:szCs w:val="20"/>
              </w:rPr>
              <w:t>RASHODI POSLOVANJA</w:t>
            </w:r>
            <w:bookmarkEnd w:id="15"/>
          </w:p>
        </w:tc>
        <w:tc>
          <w:tcPr>
            <w:tcW w:w="1559" w:type="dxa"/>
            <w:shd w:val="clear" w:color="auto" w:fill="E7E6E6"/>
            <w:noWrap/>
            <w:vAlign w:val="center"/>
          </w:tcPr>
          <w:p w14:paraId="6EDB7EC4" w14:textId="77777777" w:rsidR="00D1535A" w:rsidRPr="00497178" w:rsidRDefault="00D1535A" w:rsidP="00512D52">
            <w:pPr>
              <w:jc w:val="right"/>
              <w:rPr>
                <w:rFonts w:ascii="Arial" w:eastAsia="Calibri" w:hAnsi="Arial" w:cs="Arial"/>
                <w:b/>
                <w:sz w:val="20"/>
                <w:szCs w:val="20"/>
              </w:rPr>
            </w:pPr>
            <w:r w:rsidRPr="00497178">
              <w:rPr>
                <w:rFonts w:ascii="Arial" w:eastAsia="Calibri" w:hAnsi="Arial" w:cs="Arial"/>
                <w:b/>
                <w:sz w:val="20"/>
                <w:szCs w:val="20"/>
              </w:rPr>
              <w:t>21.688.842,00</w:t>
            </w:r>
          </w:p>
        </w:tc>
        <w:tc>
          <w:tcPr>
            <w:tcW w:w="1134" w:type="dxa"/>
            <w:shd w:val="clear" w:color="auto" w:fill="E7E6E6"/>
            <w:noWrap/>
            <w:vAlign w:val="center"/>
          </w:tcPr>
          <w:p w14:paraId="759B1CB6" w14:textId="77777777" w:rsidR="00D1535A" w:rsidRPr="00497178" w:rsidRDefault="00D1535A" w:rsidP="00512D52">
            <w:pPr>
              <w:jc w:val="right"/>
              <w:rPr>
                <w:rFonts w:ascii="Arial" w:eastAsia="Calibri" w:hAnsi="Arial" w:cs="Arial"/>
                <w:b/>
                <w:sz w:val="20"/>
                <w:szCs w:val="20"/>
              </w:rPr>
            </w:pPr>
            <w:r w:rsidRPr="00497178">
              <w:rPr>
                <w:rFonts w:ascii="Arial" w:eastAsia="Calibri" w:hAnsi="Arial" w:cs="Arial"/>
                <w:b/>
                <w:sz w:val="20"/>
                <w:szCs w:val="20"/>
              </w:rPr>
              <w:t>78,93</w:t>
            </w:r>
          </w:p>
        </w:tc>
        <w:tc>
          <w:tcPr>
            <w:tcW w:w="1843" w:type="dxa"/>
            <w:shd w:val="clear" w:color="auto" w:fill="E7E6E6"/>
            <w:noWrap/>
            <w:vAlign w:val="center"/>
          </w:tcPr>
          <w:p w14:paraId="5AA96787" w14:textId="77777777" w:rsidR="00D1535A" w:rsidRPr="00497178" w:rsidRDefault="00D1535A" w:rsidP="00512D52">
            <w:pPr>
              <w:jc w:val="right"/>
              <w:rPr>
                <w:rFonts w:ascii="Arial" w:eastAsia="Calibri" w:hAnsi="Arial" w:cs="Arial"/>
                <w:b/>
                <w:sz w:val="20"/>
                <w:szCs w:val="20"/>
              </w:rPr>
            </w:pPr>
            <w:r w:rsidRPr="00497178">
              <w:rPr>
                <w:rFonts w:ascii="Arial" w:eastAsia="Calibri" w:hAnsi="Arial" w:cs="Arial"/>
                <w:b/>
                <w:sz w:val="20"/>
                <w:szCs w:val="20"/>
              </w:rPr>
              <w:t>22.901.308,00</w:t>
            </w:r>
          </w:p>
        </w:tc>
        <w:tc>
          <w:tcPr>
            <w:tcW w:w="1312" w:type="dxa"/>
            <w:shd w:val="clear" w:color="auto" w:fill="E7E6E6"/>
            <w:noWrap/>
            <w:vAlign w:val="center"/>
          </w:tcPr>
          <w:p w14:paraId="2FF59829" w14:textId="77777777" w:rsidR="00D1535A" w:rsidRPr="00497178" w:rsidRDefault="00D1535A" w:rsidP="00512D52">
            <w:pPr>
              <w:jc w:val="right"/>
              <w:rPr>
                <w:rFonts w:ascii="Arial" w:eastAsia="Calibri" w:hAnsi="Arial" w:cs="Arial"/>
                <w:b/>
                <w:bCs/>
                <w:sz w:val="20"/>
                <w:szCs w:val="20"/>
              </w:rPr>
            </w:pPr>
            <w:r w:rsidRPr="00497178">
              <w:rPr>
                <w:rFonts w:ascii="Arial" w:eastAsia="Calibri" w:hAnsi="Arial" w:cs="Arial"/>
                <w:b/>
                <w:bCs/>
                <w:sz w:val="20"/>
                <w:szCs w:val="20"/>
              </w:rPr>
              <w:t>80,60</w:t>
            </w:r>
          </w:p>
        </w:tc>
        <w:tc>
          <w:tcPr>
            <w:tcW w:w="1275" w:type="dxa"/>
            <w:shd w:val="clear" w:color="auto" w:fill="E7E6E6"/>
            <w:noWrap/>
            <w:vAlign w:val="center"/>
          </w:tcPr>
          <w:p w14:paraId="7BDB28DE" w14:textId="77777777" w:rsidR="00D1535A" w:rsidRPr="00497178" w:rsidRDefault="00D1535A" w:rsidP="00512D52">
            <w:pPr>
              <w:jc w:val="right"/>
              <w:rPr>
                <w:rFonts w:ascii="Arial" w:eastAsia="Calibri" w:hAnsi="Arial" w:cs="Arial"/>
                <w:b/>
                <w:bCs/>
                <w:sz w:val="20"/>
                <w:szCs w:val="20"/>
              </w:rPr>
            </w:pPr>
            <w:r w:rsidRPr="00497178">
              <w:rPr>
                <w:rFonts w:ascii="Arial" w:eastAsia="Calibri" w:hAnsi="Arial" w:cs="Arial"/>
                <w:b/>
                <w:bCs/>
                <w:sz w:val="20"/>
                <w:szCs w:val="20"/>
              </w:rPr>
              <w:t>105,59</w:t>
            </w:r>
          </w:p>
        </w:tc>
      </w:tr>
      <w:tr w:rsidR="00D1535A" w:rsidRPr="00497178" w14:paraId="7B8D37D9" w14:textId="77777777" w:rsidTr="00512D52">
        <w:trPr>
          <w:trHeight w:val="300"/>
          <w:jc w:val="center"/>
        </w:trPr>
        <w:tc>
          <w:tcPr>
            <w:tcW w:w="693" w:type="dxa"/>
            <w:noWrap/>
            <w:vAlign w:val="center"/>
            <w:hideMark/>
          </w:tcPr>
          <w:p w14:paraId="3DBCCCC9" w14:textId="77777777" w:rsidR="00D1535A" w:rsidRPr="00497178" w:rsidRDefault="00D1535A" w:rsidP="00512D52">
            <w:pPr>
              <w:jc w:val="center"/>
              <w:rPr>
                <w:rFonts w:ascii="Arial" w:eastAsia="Calibri" w:hAnsi="Arial" w:cs="Arial"/>
                <w:sz w:val="20"/>
                <w:szCs w:val="20"/>
              </w:rPr>
            </w:pPr>
          </w:p>
        </w:tc>
        <w:tc>
          <w:tcPr>
            <w:tcW w:w="2563" w:type="dxa"/>
            <w:noWrap/>
            <w:vAlign w:val="center"/>
            <w:hideMark/>
          </w:tcPr>
          <w:p w14:paraId="0F0917A2" w14:textId="77777777" w:rsidR="00D1535A" w:rsidRPr="00497178" w:rsidRDefault="00D1535A" w:rsidP="00512D52">
            <w:pPr>
              <w:rPr>
                <w:rFonts w:ascii="Arial" w:eastAsia="Calibri" w:hAnsi="Arial" w:cs="Arial"/>
                <w:sz w:val="20"/>
                <w:szCs w:val="20"/>
              </w:rPr>
            </w:pPr>
            <w:r w:rsidRPr="00497178">
              <w:rPr>
                <w:rFonts w:ascii="Arial" w:eastAsia="Calibri" w:hAnsi="Arial" w:cs="Arial"/>
                <w:sz w:val="20"/>
                <w:szCs w:val="20"/>
              </w:rPr>
              <w:t xml:space="preserve">Rashodi za zaposlene </w:t>
            </w:r>
          </w:p>
        </w:tc>
        <w:tc>
          <w:tcPr>
            <w:tcW w:w="1559" w:type="dxa"/>
            <w:noWrap/>
            <w:vAlign w:val="center"/>
          </w:tcPr>
          <w:p w14:paraId="6ADC68CE"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13.076.482,00</w:t>
            </w:r>
          </w:p>
        </w:tc>
        <w:tc>
          <w:tcPr>
            <w:tcW w:w="1134" w:type="dxa"/>
            <w:noWrap/>
            <w:vAlign w:val="center"/>
          </w:tcPr>
          <w:p w14:paraId="24ADA791"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47,59</w:t>
            </w:r>
          </w:p>
        </w:tc>
        <w:tc>
          <w:tcPr>
            <w:tcW w:w="1843" w:type="dxa"/>
            <w:noWrap/>
            <w:vAlign w:val="center"/>
          </w:tcPr>
          <w:p w14:paraId="35021B8D"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13.549.431,00</w:t>
            </w:r>
          </w:p>
        </w:tc>
        <w:tc>
          <w:tcPr>
            <w:tcW w:w="1312" w:type="dxa"/>
            <w:noWrap/>
            <w:vAlign w:val="center"/>
          </w:tcPr>
          <w:p w14:paraId="2CE7BAB4"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47,69</w:t>
            </w:r>
          </w:p>
        </w:tc>
        <w:tc>
          <w:tcPr>
            <w:tcW w:w="1275" w:type="dxa"/>
            <w:noWrap/>
            <w:vAlign w:val="center"/>
          </w:tcPr>
          <w:p w14:paraId="50F253FF"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103,62</w:t>
            </w:r>
          </w:p>
        </w:tc>
      </w:tr>
      <w:tr w:rsidR="00D1535A" w:rsidRPr="00497178" w14:paraId="03A8620B" w14:textId="77777777" w:rsidTr="00512D52">
        <w:trPr>
          <w:trHeight w:val="300"/>
          <w:jc w:val="center"/>
        </w:trPr>
        <w:tc>
          <w:tcPr>
            <w:tcW w:w="693" w:type="dxa"/>
            <w:noWrap/>
            <w:vAlign w:val="center"/>
            <w:hideMark/>
          </w:tcPr>
          <w:p w14:paraId="73A47458" w14:textId="77777777" w:rsidR="00D1535A" w:rsidRPr="00497178" w:rsidRDefault="00D1535A" w:rsidP="00512D52">
            <w:pPr>
              <w:jc w:val="center"/>
              <w:rPr>
                <w:rFonts w:ascii="Arial" w:eastAsia="Calibri" w:hAnsi="Arial" w:cs="Arial"/>
                <w:sz w:val="20"/>
                <w:szCs w:val="20"/>
              </w:rPr>
            </w:pPr>
          </w:p>
        </w:tc>
        <w:tc>
          <w:tcPr>
            <w:tcW w:w="2563" w:type="dxa"/>
            <w:noWrap/>
            <w:vAlign w:val="center"/>
            <w:hideMark/>
          </w:tcPr>
          <w:p w14:paraId="07103F32" w14:textId="77777777" w:rsidR="00D1535A" w:rsidRPr="00497178" w:rsidRDefault="00D1535A" w:rsidP="00512D52">
            <w:pPr>
              <w:rPr>
                <w:rFonts w:ascii="Arial" w:eastAsia="Calibri" w:hAnsi="Arial" w:cs="Arial"/>
                <w:sz w:val="20"/>
                <w:szCs w:val="20"/>
              </w:rPr>
            </w:pPr>
            <w:r w:rsidRPr="00497178">
              <w:rPr>
                <w:rFonts w:ascii="Arial" w:eastAsia="Calibri" w:hAnsi="Arial" w:cs="Arial"/>
                <w:sz w:val="20"/>
                <w:szCs w:val="20"/>
              </w:rPr>
              <w:t>Materijalni rashodi</w:t>
            </w:r>
          </w:p>
        </w:tc>
        <w:tc>
          <w:tcPr>
            <w:tcW w:w="1559" w:type="dxa"/>
            <w:noWrap/>
            <w:vAlign w:val="center"/>
          </w:tcPr>
          <w:p w14:paraId="155511F2"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6.788.856,00</w:t>
            </w:r>
          </w:p>
        </w:tc>
        <w:tc>
          <w:tcPr>
            <w:tcW w:w="1134" w:type="dxa"/>
            <w:noWrap/>
            <w:vAlign w:val="center"/>
          </w:tcPr>
          <w:p w14:paraId="7B9E2DE7"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24,71</w:t>
            </w:r>
          </w:p>
        </w:tc>
        <w:tc>
          <w:tcPr>
            <w:tcW w:w="1843" w:type="dxa"/>
            <w:noWrap/>
            <w:vAlign w:val="center"/>
          </w:tcPr>
          <w:p w14:paraId="7E53F192"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7.276.370,00</w:t>
            </w:r>
          </w:p>
        </w:tc>
        <w:tc>
          <w:tcPr>
            <w:tcW w:w="1312" w:type="dxa"/>
            <w:noWrap/>
            <w:vAlign w:val="center"/>
          </w:tcPr>
          <w:p w14:paraId="75677B93"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25,61</w:t>
            </w:r>
          </w:p>
        </w:tc>
        <w:tc>
          <w:tcPr>
            <w:tcW w:w="1275" w:type="dxa"/>
            <w:noWrap/>
            <w:vAlign w:val="center"/>
          </w:tcPr>
          <w:p w14:paraId="1DFCBB41"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107,18</w:t>
            </w:r>
          </w:p>
        </w:tc>
      </w:tr>
      <w:tr w:rsidR="00D1535A" w:rsidRPr="00497178" w14:paraId="3ED7348A" w14:textId="77777777" w:rsidTr="00512D52">
        <w:trPr>
          <w:trHeight w:val="300"/>
          <w:jc w:val="center"/>
        </w:trPr>
        <w:tc>
          <w:tcPr>
            <w:tcW w:w="693" w:type="dxa"/>
            <w:noWrap/>
            <w:vAlign w:val="center"/>
            <w:hideMark/>
          </w:tcPr>
          <w:p w14:paraId="6DC5E0AA" w14:textId="77777777" w:rsidR="00D1535A" w:rsidRPr="00497178" w:rsidRDefault="00D1535A" w:rsidP="00512D52">
            <w:pPr>
              <w:jc w:val="center"/>
              <w:rPr>
                <w:rFonts w:ascii="Arial" w:eastAsia="Calibri" w:hAnsi="Arial" w:cs="Arial"/>
                <w:sz w:val="20"/>
                <w:szCs w:val="20"/>
              </w:rPr>
            </w:pPr>
          </w:p>
        </w:tc>
        <w:tc>
          <w:tcPr>
            <w:tcW w:w="2563" w:type="dxa"/>
            <w:noWrap/>
            <w:vAlign w:val="center"/>
            <w:hideMark/>
          </w:tcPr>
          <w:p w14:paraId="5B48BB17" w14:textId="77777777" w:rsidR="00D1535A" w:rsidRPr="00497178" w:rsidRDefault="00D1535A" w:rsidP="00512D52">
            <w:pPr>
              <w:rPr>
                <w:rFonts w:ascii="Arial" w:eastAsia="Calibri" w:hAnsi="Arial" w:cs="Arial"/>
                <w:sz w:val="20"/>
                <w:szCs w:val="20"/>
              </w:rPr>
            </w:pPr>
            <w:r w:rsidRPr="00497178">
              <w:rPr>
                <w:rFonts w:ascii="Arial" w:eastAsia="Calibri" w:hAnsi="Arial" w:cs="Arial"/>
                <w:sz w:val="20"/>
                <w:szCs w:val="20"/>
              </w:rPr>
              <w:t>Financijski rashodi</w:t>
            </w:r>
          </w:p>
        </w:tc>
        <w:tc>
          <w:tcPr>
            <w:tcW w:w="1559" w:type="dxa"/>
            <w:noWrap/>
            <w:vAlign w:val="center"/>
          </w:tcPr>
          <w:p w14:paraId="103E3966"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97.430,00</w:t>
            </w:r>
          </w:p>
        </w:tc>
        <w:tc>
          <w:tcPr>
            <w:tcW w:w="1134" w:type="dxa"/>
            <w:noWrap/>
            <w:vAlign w:val="center"/>
          </w:tcPr>
          <w:p w14:paraId="3E2CC1F1"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0,35</w:t>
            </w:r>
          </w:p>
        </w:tc>
        <w:tc>
          <w:tcPr>
            <w:tcW w:w="1843" w:type="dxa"/>
            <w:noWrap/>
            <w:vAlign w:val="center"/>
          </w:tcPr>
          <w:p w14:paraId="561903C1"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107.650,00</w:t>
            </w:r>
          </w:p>
        </w:tc>
        <w:tc>
          <w:tcPr>
            <w:tcW w:w="1312" w:type="dxa"/>
            <w:noWrap/>
            <w:vAlign w:val="center"/>
          </w:tcPr>
          <w:p w14:paraId="18B1EEB7"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0,38</w:t>
            </w:r>
          </w:p>
        </w:tc>
        <w:tc>
          <w:tcPr>
            <w:tcW w:w="1275" w:type="dxa"/>
            <w:noWrap/>
            <w:vAlign w:val="center"/>
          </w:tcPr>
          <w:p w14:paraId="7D1F8FA9"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110,49</w:t>
            </w:r>
          </w:p>
        </w:tc>
      </w:tr>
      <w:tr w:rsidR="00D1535A" w:rsidRPr="00497178" w14:paraId="567C1EBC" w14:textId="77777777" w:rsidTr="00512D52">
        <w:trPr>
          <w:trHeight w:val="300"/>
          <w:jc w:val="center"/>
        </w:trPr>
        <w:tc>
          <w:tcPr>
            <w:tcW w:w="693" w:type="dxa"/>
            <w:noWrap/>
            <w:vAlign w:val="center"/>
            <w:hideMark/>
          </w:tcPr>
          <w:p w14:paraId="61076C92" w14:textId="77777777" w:rsidR="00D1535A" w:rsidRPr="00497178" w:rsidRDefault="00D1535A" w:rsidP="00512D52">
            <w:pPr>
              <w:jc w:val="center"/>
              <w:rPr>
                <w:rFonts w:ascii="Arial" w:eastAsia="Calibri" w:hAnsi="Arial" w:cs="Arial"/>
                <w:sz w:val="20"/>
                <w:szCs w:val="20"/>
              </w:rPr>
            </w:pPr>
          </w:p>
        </w:tc>
        <w:tc>
          <w:tcPr>
            <w:tcW w:w="2563" w:type="dxa"/>
            <w:noWrap/>
            <w:vAlign w:val="center"/>
            <w:hideMark/>
          </w:tcPr>
          <w:p w14:paraId="74DD0017" w14:textId="77777777" w:rsidR="00D1535A" w:rsidRPr="00497178" w:rsidRDefault="00D1535A" w:rsidP="00512D52">
            <w:pPr>
              <w:rPr>
                <w:rFonts w:ascii="Arial" w:eastAsia="Calibri" w:hAnsi="Arial" w:cs="Arial"/>
                <w:sz w:val="20"/>
                <w:szCs w:val="20"/>
              </w:rPr>
            </w:pPr>
            <w:r w:rsidRPr="00497178">
              <w:rPr>
                <w:rFonts w:ascii="Arial" w:eastAsia="Calibri" w:hAnsi="Arial" w:cs="Arial"/>
                <w:sz w:val="20"/>
                <w:szCs w:val="20"/>
              </w:rPr>
              <w:t xml:space="preserve">Subvencije </w:t>
            </w:r>
          </w:p>
        </w:tc>
        <w:tc>
          <w:tcPr>
            <w:tcW w:w="1559" w:type="dxa"/>
            <w:noWrap/>
            <w:vAlign w:val="center"/>
          </w:tcPr>
          <w:p w14:paraId="5D597780"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134.654,00</w:t>
            </w:r>
          </w:p>
        </w:tc>
        <w:tc>
          <w:tcPr>
            <w:tcW w:w="1134" w:type="dxa"/>
            <w:noWrap/>
            <w:vAlign w:val="center"/>
          </w:tcPr>
          <w:p w14:paraId="4C4A6129"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0,49</w:t>
            </w:r>
          </w:p>
        </w:tc>
        <w:tc>
          <w:tcPr>
            <w:tcW w:w="1843" w:type="dxa"/>
            <w:noWrap/>
            <w:vAlign w:val="center"/>
          </w:tcPr>
          <w:p w14:paraId="5C7E3ECE"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126.674,00</w:t>
            </w:r>
          </w:p>
        </w:tc>
        <w:tc>
          <w:tcPr>
            <w:tcW w:w="1312" w:type="dxa"/>
            <w:noWrap/>
            <w:vAlign w:val="center"/>
          </w:tcPr>
          <w:p w14:paraId="723C47AA"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0,445</w:t>
            </w:r>
          </w:p>
        </w:tc>
        <w:tc>
          <w:tcPr>
            <w:tcW w:w="1275" w:type="dxa"/>
            <w:noWrap/>
            <w:vAlign w:val="center"/>
          </w:tcPr>
          <w:p w14:paraId="0D963501"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94,07</w:t>
            </w:r>
          </w:p>
        </w:tc>
      </w:tr>
      <w:tr w:rsidR="00D1535A" w:rsidRPr="00497178" w14:paraId="2861D567" w14:textId="77777777" w:rsidTr="00512D52">
        <w:trPr>
          <w:trHeight w:val="300"/>
          <w:jc w:val="center"/>
        </w:trPr>
        <w:tc>
          <w:tcPr>
            <w:tcW w:w="693" w:type="dxa"/>
            <w:noWrap/>
            <w:vAlign w:val="center"/>
            <w:hideMark/>
          </w:tcPr>
          <w:p w14:paraId="72B3F50D" w14:textId="77777777" w:rsidR="00D1535A" w:rsidRPr="00497178" w:rsidRDefault="00D1535A" w:rsidP="00512D52">
            <w:pPr>
              <w:jc w:val="center"/>
              <w:rPr>
                <w:rFonts w:ascii="Arial" w:eastAsia="Calibri" w:hAnsi="Arial" w:cs="Arial"/>
                <w:sz w:val="20"/>
                <w:szCs w:val="20"/>
              </w:rPr>
            </w:pPr>
            <w:bookmarkStart w:id="16" w:name="_Hlk168762363"/>
          </w:p>
        </w:tc>
        <w:tc>
          <w:tcPr>
            <w:tcW w:w="2563" w:type="dxa"/>
            <w:noWrap/>
            <w:vAlign w:val="center"/>
            <w:hideMark/>
          </w:tcPr>
          <w:p w14:paraId="7CCCDCFE" w14:textId="77777777" w:rsidR="00D1535A" w:rsidRPr="00497178" w:rsidRDefault="00D1535A" w:rsidP="00512D52">
            <w:pPr>
              <w:rPr>
                <w:rFonts w:ascii="Arial" w:eastAsia="Calibri" w:hAnsi="Arial" w:cs="Arial"/>
                <w:sz w:val="20"/>
                <w:szCs w:val="20"/>
              </w:rPr>
            </w:pPr>
            <w:r w:rsidRPr="00497178">
              <w:rPr>
                <w:rFonts w:ascii="Arial" w:eastAsia="Calibri" w:hAnsi="Arial" w:cs="Arial"/>
                <w:sz w:val="20"/>
                <w:szCs w:val="20"/>
              </w:rPr>
              <w:t>Pomoći dane u inozemstvo i unutar opće države</w:t>
            </w:r>
          </w:p>
        </w:tc>
        <w:tc>
          <w:tcPr>
            <w:tcW w:w="1559" w:type="dxa"/>
            <w:noWrap/>
            <w:vAlign w:val="center"/>
          </w:tcPr>
          <w:p w14:paraId="5A47046B"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330.165,00</w:t>
            </w:r>
          </w:p>
        </w:tc>
        <w:tc>
          <w:tcPr>
            <w:tcW w:w="1134" w:type="dxa"/>
            <w:noWrap/>
            <w:vAlign w:val="center"/>
          </w:tcPr>
          <w:p w14:paraId="7181585B"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1,20</w:t>
            </w:r>
          </w:p>
        </w:tc>
        <w:tc>
          <w:tcPr>
            <w:tcW w:w="1843" w:type="dxa"/>
            <w:noWrap/>
            <w:vAlign w:val="center"/>
          </w:tcPr>
          <w:p w14:paraId="0A2792F3"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377.185,00</w:t>
            </w:r>
          </w:p>
        </w:tc>
        <w:tc>
          <w:tcPr>
            <w:tcW w:w="1312" w:type="dxa"/>
            <w:noWrap/>
            <w:vAlign w:val="center"/>
          </w:tcPr>
          <w:p w14:paraId="2B3D195E"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1,33</w:t>
            </w:r>
          </w:p>
        </w:tc>
        <w:tc>
          <w:tcPr>
            <w:tcW w:w="1275" w:type="dxa"/>
            <w:noWrap/>
            <w:vAlign w:val="center"/>
          </w:tcPr>
          <w:p w14:paraId="6203019D"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114,24</w:t>
            </w:r>
          </w:p>
        </w:tc>
      </w:tr>
      <w:tr w:rsidR="00D1535A" w:rsidRPr="00497178" w14:paraId="50024003" w14:textId="77777777" w:rsidTr="00512D52">
        <w:trPr>
          <w:trHeight w:val="300"/>
          <w:jc w:val="center"/>
        </w:trPr>
        <w:tc>
          <w:tcPr>
            <w:tcW w:w="693" w:type="dxa"/>
            <w:noWrap/>
            <w:vAlign w:val="center"/>
            <w:hideMark/>
          </w:tcPr>
          <w:p w14:paraId="4C44A370" w14:textId="77777777" w:rsidR="00D1535A" w:rsidRPr="00497178" w:rsidRDefault="00D1535A" w:rsidP="00512D52">
            <w:pPr>
              <w:jc w:val="center"/>
              <w:rPr>
                <w:rFonts w:ascii="Arial" w:eastAsia="Calibri" w:hAnsi="Arial" w:cs="Arial"/>
                <w:sz w:val="20"/>
                <w:szCs w:val="20"/>
              </w:rPr>
            </w:pPr>
            <w:bookmarkStart w:id="17" w:name="_Hlk168764610"/>
            <w:bookmarkEnd w:id="16"/>
          </w:p>
        </w:tc>
        <w:tc>
          <w:tcPr>
            <w:tcW w:w="2563" w:type="dxa"/>
            <w:noWrap/>
            <w:vAlign w:val="center"/>
            <w:hideMark/>
          </w:tcPr>
          <w:p w14:paraId="003EE36C" w14:textId="77777777" w:rsidR="00D1535A" w:rsidRPr="00497178" w:rsidRDefault="00D1535A" w:rsidP="00512D52">
            <w:pPr>
              <w:rPr>
                <w:rFonts w:ascii="Arial" w:eastAsia="Calibri" w:hAnsi="Arial" w:cs="Arial"/>
                <w:sz w:val="20"/>
                <w:szCs w:val="20"/>
              </w:rPr>
            </w:pPr>
            <w:r w:rsidRPr="00497178">
              <w:rPr>
                <w:rFonts w:ascii="Arial" w:eastAsia="Calibri" w:hAnsi="Arial" w:cs="Arial"/>
                <w:sz w:val="20"/>
                <w:szCs w:val="20"/>
              </w:rPr>
              <w:t>Naknade građanima i kućanstvima na temelju osiguranja i dr. naknade</w:t>
            </w:r>
          </w:p>
        </w:tc>
        <w:tc>
          <w:tcPr>
            <w:tcW w:w="1559" w:type="dxa"/>
            <w:noWrap/>
            <w:vAlign w:val="center"/>
          </w:tcPr>
          <w:p w14:paraId="07A750A6"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561.265,00</w:t>
            </w:r>
          </w:p>
        </w:tc>
        <w:tc>
          <w:tcPr>
            <w:tcW w:w="1134" w:type="dxa"/>
            <w:noWrap/>
            <w:vAlign w:val="center"/>
          </w:tcPr>
          <w:p w14:paraId="38CD9C71"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2,04</w:t>
            </w:r>
          </w:p>
        </w:tc>
        <w:tc>
          <w:tcPr>
            <w:tcW w:w="1843" w:type="dxa"/>
            <w:noWrap/>
            <w:vAlign w:val="center"/>
          </w:tcPr>
          <w:p w14:paraId="42F75C61"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720.445,00</w:t>
            </w:r>
          </w:p>
        </w:tc>
        <w:tc>
          <w:tcPr>
            <w:tcW w:w="1312" w:type="dxa"/>
            <w:noWrap/>
            <w:vAlign w:val="center"/>
          </w:tcPr>
          <w:p w14:paraId="269FCEC8"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2,53</w:t>
            </w:r>
          </w:p>
        </w:tc>
        <w:tc>
          <w:tcPr>
            <w:tcW w:w="1275" w:type="dxa"/>
            <w:noWrap/>
            <w:vAlign w:val="center"/>
          </w:tcPr>
          <w:p w14:paraId="5BCC8474"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128,36</w:t>
            </w:r>
          </w:p>
        </w:tc>
      </w:tr>
      <w:tr w:rsidR="00D1535A" w:rsidRPr="00497178" w14:paraId="4B1FC036" w14:textId="77777777" w:rsidTr="00512D52">
        <w:trPr>
          <w:trHeight w:val="300"/>
          <w:jc w:val="center"/>
        </w:trPr>
        <w:tc>
          <w:tcPr>
            <w:tcW w:w="693" w:type="dxa"/>
            <w:noWrap/>
            <w:vAlign w:val="center"/>
            <w:hideMark/>
          </w:tcPr>
          <w:p w14:paraId="015EA62F" w14:textId="77777777" w:rsidR="00D1535A" w:rsidRPr="00497178" w:rsidRDefault="00D1535A" w:rsidP="00512D52">
            <w:pPr>
              <w:jc w:val="center"/>
              <w:rPr>
                <w:rFonts w:ascii="Arial" w:eastAsia="Calibri" w:hAnsi="Arial" w:cs="Arial"/>
                <w:sz w:val="20"/>
                <w:szCs w:val="20"/>
              </w:rPr>
            </w:pPr>
            <w:bookmarkStart w:id="18" w:name="_Hlk168765343"/>
            <w:bookmarkEnd w:id="17"/>
          </w:p>
        </w:tc>
        <w:tc>
          <w:tcPr>
            <w:tcW w:w="2563" w:type="dxa"/>
            <w:noWrap/>
            <w:vAlign w:val="center"/>
            <w:hideMark/>
          </w:tcPr>
          <w:p w14:paraId="271A0C8D" w14:textId="77777777" w:rsidR="00D1535A" w:rsidRPr="00497178" w:rsidRDefault="00D1535A" w:rsidP="00512D52">
            <w:pPr>
              <w:rPr>
                <w:rFonts w:ascii="Arial" w:eastAsia="Calibri" w:hAnsi="Arial" w:cs="Arial"/>
                <w:sz w:val="20"/>
                <w:szCs w:val="20"/>
              </w:rPr>
            </w:pPr>
            <w:r w:rsidRPr="00497178">
              <w:rPr>
                <w:rFonts w:ascii="Arial" w:eastAsia="Calibri" w:hAnsi="Arial" w:cs="Arial"/>
                <w:sz w:val="20"/>
                <w:szCs w:val="20"/>
              </w:rPr>
              <w:t xml:space="preserve">Rashodi za donacije, </w:t>
            </w:r>
            <w:r>
              <w:rPr>
                <w:rFonts w:ascii="Arial" w:eastAsia="Calibri" w:hAnsi="Arial" w:cs="Arial"/>
                <w:sz w:val="20"/>
                <w:szCs w:val="20"/>
              </w:rPr>
              <w:t xml:space="preserve">kazne, </w:t>
            </w:r>
            <w:r w:rsidRPr="00497178">
              <w:rPr>
                <w:rFonts w:ascii="Arial" w:eastAsia="Calibri" w:hAnsi="Arial" w:cs="Arial"/>
                <w:sz w:val="20"/>
                <w:szCs w:val="20"/>
              </w:rPr>
              <w:t>naknade štete i kapitalne pomoći</w:t>
            </w:r>
          </w:p>
        </w:tc>
        <w:tc>
          <w:tcPr>
            <w:tcW w:w="1559" w:type="dxa"/>
            <w:noWrap/>
            <w:vAlign w:val="center"/>
          </w:tcPr>
          <w:p w14:paraId="2D604EE6"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699.990,00</w:t>
            </w:r>
          </w:p>
        </w:tc>
        <w:tc>
          <w:tcPr>
            <w:tcW w:w="1134" w:type="dxa"/>
            <w:noWrap/>
            <w:vAlign w:val="center"/>
          </w:tcPr>
          <w:p w14:paraId="62BF8C15"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2,55</w:t>
            </w:r>
          </w:p>
        </w:tc>
        <w:tc>
          <w:tcPr>
            <w:tcW w:w="1843" w:type="dxa"/>
            <w:noWrap/>
            <w:vAlign w:val="center"/>
          </w:tcPr>
          <w:p w14:paraId="696DDE80"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743.553,00</w:t>
            </w:r>
          </w:p>
        </w:tc>
        <w:tc>
          <w:tcPr>
            <w:tcW w:w="1312" w:type="dxa"/>
            <w:noWrap/>
            <w:vAlign w:val="center"/>
          </w:tcPr>
          <w:p w14:paraId="36FDC6FE"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2,62</w:t>
            </w:r>
          </w:p>
        </w:tc>
        <w:tc>
          <w:tcPr>
            <w:tcW w:w="1275" w:type="dxa"/>
            <w:noWrap/>
            <w:vAlign w:val="center"/>
          </w:tcPr>
          <w:p w14:paraId="40C7C6BB"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106,22</w:t>
            </w:r>
          </w:p>
        </w:tc>
      </w:tr>
      <w:bookmarkEnd w:id="18"/>
      <w:tr w:rsidR="00D1535A" w:rsidRPr="00497178" w14:paraId="4CD1C48B" w14:textId="77777777" w:rsidTr="00512D52">
        <w:trPr>
          <w:trHeight w:val="300"/>
          <w:jc w:val="center"/>
        </w:trPr>
        <w:tc>
          <w:tcPr>
            <w:tcW w:w="693" w:type="dxa"/>
            <w:shd w:val="clear" w:color="auto" w:fill="E7E6E6"/>
            <w:noWrap/>
            <w:vAlign w:val="center"/>
            <w:hideMark/>
          </w:tcPr>
          <w:p w14:paraId="1C1DAE03" w14:textId="77777777" w:rsidR="00D1535A" w:rsidRPr="00497178" w:rsidRDefault="00D1535A" w:rsidP="00512D52">
            <w:pPr>
              <w:jc w:val="center"/>
              <w:rPr>
                <w:rFonts w:ascii="Arial" w:eastAsia="Calibri" w:hAnsi="Arial" w:cs="Arial"/>
                <w:b/>
                <w:sz w:val="20"/>
                <w:szCs w:val="20"/>
              </w:rPr>
            </w:pPr>
            <w:r w:rsidRPr="00497178">
              <w:rPr>
                <w:rFonts w:ascii="Arial" w:eastAsia="Calibri" w:hAnsi="Arial" w:cs="Arial"/>
                <w:b/>
                <w:sz w:val="20"/>
                <w:szCs w:val="20"/>
              </w:rPr>
              <w:t>2.</w:t>
            </w:r>
          </w:p>
        </w:tc>
        <w:tc>
          <w:tcPr>
            <w:tcW w:w="2563" w:type="dxa"/>
            <w:shd w:val="clear" w:color="auto" w:fill="E7E6E6"/>
            <w:noWrap/>
            <w:vAlign w:val="center"/>
            <w:hideMark/>
          </w:tcPr>
          <w:p w14:paraId="39A96D20" w14:textId="77777777" w:rsidR="00D1535A" w:rsidRPr="00497178" w:rsidRDefault="00D1535A" w:rsidP="00512D52">
            <w:pPr>
              <w:rPr>
                <w:rFonts w:ascii="Arial" w:eastAsia="Calibri" w:hAnsi="Arial" w:cs="Arial"/>
                <w:b/>
                <w:sz w:val="20"/>
                <w:szCs w:val="20"/>
              </w:rPr>
            </w:pPr>
            <w:bookmarkStart w:id="19" w:name="_Hlk168826567"/>
            <w:r w:rsidRPr="00497178">
              <w:rPr>
                <w:rFonts w:ascii="Arial" w:eastAsia="Calibri" w:hAnsi="Arial" w:cs="Arial"/>
                <w:b/>
                <w:sz w:val="20"/>
                <w:szCs w:val="20"/>
              </w:rPr>
              <w:t>RASHODI ZA NABAVU NEFINANCIJSKE IMOVINE</w:t>
            </w:r>
            <w:bookmarkEnd w:id="19"/>
          </w:p>
        </w:tc>
        <w:tc>
          <w:tcPr>
            <w:tcW w:w="1559" w:type="dxa"/>
            <w:shd w:val="clear" w:color="auto" w:fill="E7E6E6"/>
            <w:noWrap/>
            <w:vAlign w:val="center"/>
          </w:tcPr>
          <w:p w14:paraId="33CC3BC5" w14:textId="77777777" w:rsidR="00D1535A" w:rsidRPr="00497178" w:rsidRDefault="00D1535A" w:rsidP="00512D52">
            <w:pPr>
              <w:jc w:val="right"/>
              <w:rPr>
                <w:rFonts w:ascii="Arial" w:eastAsia="Calibri" w:hAnsi="Arial" w:cs="Arial"/>
                <w:b/>
                <w:sz w:val="20"/>
                <w:szCs w:val="20"/>
              </w:rPr>
            </w:pPr>
            <w:r w:rsidRPr="00497178">
              <w:rPr>
                <w:rFonts w:ascii="Arial" w:eastAsia="Calibri" w:hAnsi="Arial" w:cs="Arial"/>
                <w:b/>
                <w:sz w:val="20"/>
                <w:szCs w:val="20"/>
              </w:rPr>
              <w:t>5.097.718,00</w:t>
            </w:r>
          </w:p>
        </w:tc>
        <w:tc>
          <w:tcPr>
            <w:tcW w:w="1134" w:type="dxa"/>
            <w:shd w:val="clear" w:color="auto" w:fill="E7E6E6"/>
            <w:noWrap/>
            <w:vAlign w:val="center"/>
          </w:tcPr>
          <w:p w14:paraId="3D1DB18F" w14:textId="77777777" w:rsidR="00D1535A" w:rsidRPr="00497178" w:rsidRDefault="00D1535A" w:rsidP="00512D52">
            <w:pPr>
              <w:jc w:val="right"/>
              <w:rPr>
                <w:rFonts w:ascii="Arial" w:eastAsia="Calibri" w:hAnsi="Arial" w:cs="Arial"/>
                <w:b/>
                <w:sz w:val="20"/>
                <w:szCs w:val="20"/>
              </w:rPr>
            </w:pPr>
            <w:r w:rsidRPr="00497178">
              <w:rPr>
                <w:rFonts w:ascii="Arial" w:eastAsia="Calibri" w:hAnsi="Arial" w:cs="Arial"/>
                <w:b/>
                <w:sz w:val="20"/>
                <w:szCs w:val="20"/>
              </w:rPr>
              <w:t>18,55</w:t>
            </w:r>
          </w:p>
        </w:tc>
        <w:tc>
          <w:tcPr>
            <w:tcW w:w="1843" w:type="dxa"/>
            <w:shd w:val="clear" w:color="auto" w:fill="E7E6E6"/>
            <w:noWrap/>
            <w:vAlign w:val="center"/>
          </w:tcPr>
          <w:p w14:paraId="37318F3F" w14:textId="77777777" w:rsidR="00D1535A" w:rsidRPr="00497178" w:rsidRDefault="00D1535A" w:rsidP="00512D52">
            <w:pPr>
              <w:jc w:val="right"/>
              <w:rPr>
                <w:rFonts w:ascii="Arial" w:eastAsia="Calibri" w:hAnsi="Arial" w:cs="Arial"/>
                <w:b/>
                <w:bCs/>
                <w:sz w:val="20"/>
                <w:szCs w:val="20"/>
              </w:rPr>
            </w:pPr>
            <w:r w:rsidRPr="00497178">
              <w:rPr>
                <w:rFonts w:ascii="Arial" w:eastAsia="Calibri" w:hAnsi="Arial" w:cs="Arial"/>
                <w:b/>
                <w:bCs/>
                <w:sz w:val="20"/>
                <w:szCs w:val="20"/>
              </w:rPr>
              <w:t>4.818.547,00</w:t>
            </w:r>
          </w:p>
        </w:tc>
        <w:tc>
          <w:tcPr>
            <w:tcW w:w="1312" w:type="dxa"/>
            <w:shd w:val="clear" w:color="auto" w:fill="E7E6E6"/>
            <w:noWrap/>
            <w:vAlign w:val="center"/>
          </w:tcPr>
          <w:p w14:paraId="035124A1" w14:textId="77777777" w:rsidR="00D1535A" w:rsidRPr="00497178" w:rsidRDefault="00D1535A" w:rsidP="00512D52">
            <w:pPr>
              <w:jc w:val="right"/>
              <w:rPr>
                <w:rFonts w:ascii="Arial" w:eastAsia="Calibri" w:hAnsi="Arial" w:cs="Arial"/>
                <w:b/>
                <w:bCs/>
                <w:sz w:val="20"/>
                <w:szCs w:val="20"/>
              </w:rPr>
            </w:pPr>
            <w:r w:rsidRPr="00497178">
              <w:rPr>
                <w:rFonts w:ascii="Arial" w:eastAsia="Calibri" w:hAnsi="Arial" w:cs="Arial"/>
                <w:b/>
                <w:bCs/>
                <w:sz w:val="20"/>
                <w:szCs w:val="20"/>
              </w:rPr>
              <w:t>16,96</w:t>
            </w:r>
          </w:p>
        </w:tc>
        <w:tc>
          <w:tcPr>
            <w:tcW w:w="1275" w:type="dxa"/>
            <w:shd w:val="clear" w:color="auto" w:fill="E7E6E6"/>
            <w:noWrap/>
            <w:vAlign w:val="center"/>
          </w:tcPr>
          <w:p w14:paraId="5AF6E591" w14:textId="77777777" w:rsidR="00D1535A" w:rsidRPr="00497178" w:rsidRDefault="00D1535A" w:rsidP="00512D52">
            <w:pPr>
              <w:jc w:val="right"/>
              <w:rPr>
                <w:rFonts w:ascii="Arial" w:eastAsia="Calibri" w:hAnsi="Arial" w:cs="Arial"/>
                <w:b/>
                <w:bCs/>
                <w:sz w:val="20"/>
                <w:szCs w:val="20"/>
              </w:rPr>
            </w:pPr>
            <w:r w:rsidRPr="00497178">
              <w:rPr>
                <w:rFonts w:ascii="Arial" w:eastAsia="Calibri" w:hAnsi="Arial" w:cs="Arial"/>
                <w:b/>
                <w:bCs/>
                <w:sz w:val="20"/>
                <w:szCs w:val="20"/>
              </w:rPr>
              <w:t>94,52</w:t>
            </w:r>
          </w:p>
        </w:tc>
      </w:tr>
      <w:tr w:rsidR="00D1535A" w:rsidRPr="00497178" w14:paraId="2A98109D" w14:textId="77777777" w:rsidTr="00512D52">
        <w:trPr>
          <w:trHeight w:val="300"/>
          <w:jc w:val="center"/>
        </w:trPr>
        <w:tc>
          <w:tcPr>
            <w:tcW w:w="693" w:type="dxa"/>
            <w:noWrap/>
            <w:vAlign w:val="center"/>
            <w:hideMark/>
          </w:tcPr>
          <w:p w14:paraId="266DE350" w14:textId="77777777" w:rsidR="00D1535A" w:rsidRPr="00497178" w:rsidRDefault="00D1535A" w:rsidP="00512D52">
            <w:pPr>
              <w:jc w:val="center"/>
              <w:rPr>
                <w:rFonts w:ascii="Arial" w:eastAsia="Calibri" w:hAnsi="Arial" w:cs="Arial"/>
                <w:sz w:val="20"/>
                <w:szCs w:val="20"/>
              </w:rPr>
            </w:pPr>
          </w:p>
        </w:tc>
        <w:tc>
          <w:tcPr>
            <w:tcW w:w="2563" w:type="dxa"/>
            <w:noWrap/>
            <w:vAlign w:val="center"/>
            <w:hideMark/>
          </w:tcPr>
          <w:p w14:paraId="60B62D3B" w14:textId="77777777" w:rsidR="00D1535A" w:rsidRPr="00497178" w:rsidRDefault="00D1535A" w:rsidP="00512D52">
            <w:pPr>
              <w:rPr>
                <w:rFonts w:ascii="Arial" w:eastAsia="Calibri" w:hAnsi="Arial" w:cs="Arial"/>
                <w:sz w:val="20"/>
                <w:szCs w:val="20"/>
              </w:rPr>
            </w:pPr>
            <w:r w:rsidRPr="00497178">
              <w:rPr>
                <w:rFonts w:ascii="Arial" w:eastAsia="Calibri" w:hAnsi="Arial" w:cs="Arial"/>
                <w:sz w:val="20"/>
                <w:szCs w:val="20"/>
              </w:rPr>
              <w:t xml:space="preserve">Rashodi za nabavu </w:t>
            </w:r>
            <w:proofErr w:type="spellStart"/>
            <w:r w:rsidRPr="00497178">
              <w:rPr>
                <w:rFonts w:ascii="Arial" w:eastAsia="Calibri" w:hAnsi="Arial" w:cs="Arial"/>
                <w:sz w:val="20"/>
                <w:szCs w:val="20"/>
              </w:rPr>
              <w:t>neproizvedene</w:t>
            </w:r>
            <w:proofErr w:type="spellEnd"/>
            <w:r w:rsidRPr="00497178">
              <w:rPr>
                <w:rFonts w:ascii="Arial" w:eastAsia="Calibri" w:hAnsi="Arial" w:cs="Arial"/>
                <w:sz w:val="20"/>
                <w:szCs w:val="20"/>
              </w:rPr>
              <w:t xml:space="preserve"> dugotrajne imovine</w:t>
            </w:r>
          </w:p>
        </w:tc>
        <w:tc>
          <w:tcPr>
            <w:tcW w:w="1559" w:type="dxa"/>
            <w:noWrap/>
            <w:vAlign w:val="center"/>
          </w:tcPr>
          <w:p w14:paraId="47F220FA"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500.936,00</w:t>
            </w:r>
          </w:p>
        </w:tc>
        <w:tc>
          <w:tcPr>
            <w:tcW w:w="1134" w:type="dxa"/>
            <w:noWrap/>
            <w:vAlign w:val="center"/>
          </w:tcPr>
          <w:p w14:paraId="2EE7E9EB"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1,82</w:t>
            </w:r>
          </w:p>
        </w:tc>
        <w:tc>
          <w:tcPr>
            <w:tcW w:w="1843" w:type="dxa"/>
            <w:noWrap/>
            <w:vAlign w:val="center"/>
          </w:tcPr>
          <w:p w14:paraId="1205A0B5"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218.781,00</w:t>
            </w:r>
          </w:p>
        </w:tc>
        <w:tc>
          <w:tcPr>
            <w:tcW w:w="1312" w:type="dxa"/>
            <w:noWrap/>
            <w:vAlign w:val="center"/>
          </w:tcPr>
          <w:p w14:paraId="7CF30C67"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0,77</w:t>
            </w:r>
          </w:p>
        </w:tc>
        <w:tc>
          <w:tcPr>
            <w:tcW w:w="1275" w:type="dxa"/>
            <w:noWrap/>
            <w:vAlign w:val="center"/>
          </w:tcPr>
          <w:p w14:paraId="132FC4A8"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43,67</w:t>
            </w:r>
          </w:p>
        </w:tc>
      </w:tr>
      <w:tr w:rsidR="00D1535A" w:rsidRPr="00497178" w14:paraId="7550ACB1" w14:textId="77777777" w:rsidTr="00512D52">
        <w:trPr>
          <w:trHeight w:val="300"/>
          <w:jc w:val="center"/>
        </w:trPr>
        <w:tc>
          <w:tcPr>
            <w:tcW w:w="693" w:type="dxa"/>
            <w:noWrap/>
            <w:vAlign w:val="center"/>
            <w:hideMark/>
          </w:tcPr>
          <w:p w14:paraId="26C217A0" w14:textId="77777777" w:rsidR="00D1535A" w:rsidRPr="00497178" w:rsidRDefault="00D1535A" w:rsidP="00512D52">
            <w:pPr>
              <w:jc w:val="center"/>
              <w:rPr>
                <w:rFonts w:ascii="Arial" w:eastAsia="Calibri" w:hAnsi="Arial" w:cs="Arial"/>
                <w:sz w:val="20"/>
                <w:szCs w:val="20"/>
              </w:rPr>
            </w:pPr>
          </w:p>
        </w:tc>
        <w:tc>
          <w:tcPr>
            <w:tcW w:w="2563" w:type="dxa"/>
            <w:noWrap/>
            <w:vAlign w:val="center"/>
            <w:hideMark/>
          </w:tcPr>
          <w:p w14:paraId="7F111EA0" w14:textId="77777777" w:rsidR="00D1535A" w:rsidRPr="00497178" w:rsidRDefault="00D1535A" w:rsidP="00512D52">
            <w:pPr>
              <w:rPr>
                <w:rFonts w:ascii="Arial" w:eastAsia="Calibri" w:hAnsi="Arial" w:cs="Arial"/>
                <w:sz w:val="20"/>
                <w:szCs w:val="20"/>
              </w:rPr>
            </w:pPr>
            <w:r w:rsidRPr="00497178">
              <w:rPr>
                <w:rFonts w:ascii="Arial" w:eastAsia="Calibri" w:hAnsi="Arial" w:cs="Arial"/>
                <w:sz w:val="20"/>
                <w:szCs w:val="20"/>
              </w:rPr>
              <w:t xml:space="preserve">Rashodi za </w:t>
            </w:r>
            <w:bookmarkStart w:id="20" w:name="_Hlk168761963"/>
            <w:r w:rsidRPr="00497178">
              <w:rPr>
                <w:rFonts w:ascii="Arial" w:eastAsia="Calibri" w:hAnsi="Arial" w:cs="Arial"/>
                <w:sz w:val="20"/>
                <w:szCs w:val="20"/>
              </w:rPr>
              <w:t>nabavu proizvedene dugotrajne imovine</w:t>
            </w:r>
            <w:bookmarkEnd w:id="20"/>
          </w:p>
        </w:tc>
        <w:tc>
          <w:tcPr>
            <w:tcW w:w="1559" w:type="dxa"/>
            <w:noWrap/>
            <w:vAlign w:val="center"/>
          </w:tcPr>
          <w:p w14:paraId="4ED0E798"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4.545.282,00</w:t>
            </w:r>
          </w:p>
        </w:tc>
        <w:tc>
          <w:tcPr>
            <w:tcW w:w="1134" w:type="dxa"/>
            <w:noWrap/>
            <w:vAlign w:val="center"/>
          </w:tcPr>
          <w:p w14:paraId="3F519BA5"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16,54</w:t>
            </w:r>
          </w:p>
        </w:tc>
        <w:tc>
          <w:tcPr>
            <w:tcW w:w="1843" w:type="dxa"/>
            <w:noWrap/>
            <w:vAlign w:val="center"/>
          </w:tcPr>
          <w:p w14:paraId="38CCD239"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4.520.903,00</w:t>
            </w:r>
          </w:p>
        </w:tc>
        <w:tc>
          <w:tcPr>
            <w:tcW w:w="1312" w:type="dxa"/>
            <w:noWrap/>
            <w:vAlign w:val="center"/>
          </w:tcPr>
          <w:p w14:paraId="24A9A0E9"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15,91</w:t>
            </w:r>
          </w:p>
        </w:tc>
        <w:tc>
          <w:tcPr>
            <w:tcW w:w="1275" w:type="dxa"/>
            <w:noWrap/>
            <w:vAlign w:val="center"/>
          </w:tcPr>
          <w:p w14:paraId="1A8EDA12"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99,46</w:t>
            </w:r>
          </w:p>
        </w:tc>
      </w:tr>
      <w:tr w:rsidR="00D1535A" w:rsidRPr="00497178" w14:paraId="45B2FF73" w14:textId="77777777" w:rsidTr="00512D52">
        <w:trPr>
          <w:trHeight w:val="300"/>
          <w:jc w:val="center"/>
        </w:trPr>
        <w:tc>
          <w:tcPr>
            <w:tcW w:w="693" w:type="dxa"/>
            <w:noWrap/>
            <w:vAlign w:val="center"/>
            <w:hideMark/>
          </w:tcPr>
          <w:p w14:paraId="32FDFF6F" w14:textId="77777777" w:rsidR="00D1535A" w:rsidRPr="00497178" w:rsidRDefault="00D1535A" w:rsidP="00512D52">
            <w:pPr>
              <w:jc w:val="center"/>
              <w:rPr>
                <w:rFonts w:ascii="Arial" w:eastAsia="Calibri" w:hAnsi="Arial" w:cs="Arial"/>
                <w:sz w:val="20"/>
                <w:szCs w:val="20"/>
              </w:rPr>
            </w:pPr>
          </w:p>
        </w:tc>
        <w:tc>
          <w:tcPr>
            <w:tcW w:w="2563" w:type="dxa"/>
            <w:noWrap/>
            <w:vAlign w:val="center"/>
            <w:hideMark/>
          </w:tcPr>
          <w:p w14:paraId="553D05FD" w14:textId="77777777" w:rsidR="00D1535A" w:rsidRPr="00497178" w:rsidRDefault="00D1535A" w:rsidP="00512D52">
            <w:pPr>
              <w:rPr>
                <w:rFonts w:ascii="Arial" w:eastAsia="Calibri" w:hAnsi="Arial" w:cs="Arial"/>
                <w:sz w:val="20"/>
                <w:szCs w:val="20"/>
              </w:rPr>
            </w:pPr>
            <w:r w:rsidRPr="00497178">
              <w:rPr>
                <w:rFonts w:ascii="Arial" w:eastAsia="Calibri" w:hAnsi="Arial" w:cs="Arial"/>
                <w:sz w:val="20"/>
                <w:szCs w:val="20"/>
              </w:rPr>
              <w:t>Rashodi za dodatna ulaganja na nefinancijskoj imovini</w:t>
            </w:r>
          </w:p>
        </w:tc>
        <w:tc>
          <w:tcPr>
            <w:tcW w:w="1559" w:type="dxa"/>
            <w:noWrap/>
            <w:vAlign w:val="center"/>
          </w:tcPr>
          <w:p w14:paraId="211B8B63"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51.500,00</w:t>
            </w:r>
          </w:p>
        </w:tc>
        <w:tc>
          <w:tcPr>
            <w:tcW w:w="1134" w:type="dxa"/>
            <w:noWrap/>
            <w:vAlign w:val="center"/>
          </w:tcPr>
          <w:p w14:paraId="38BF0B97"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0,19</w:t>
            </w:r>
          </w:p>
        </w:tc>
        <w:tc>
          <w:tcPr>
            <w:tcW w:w="1843" w:type="dxa"/>
            <w:noWrap/>
            <w:vAlign w:val="center"/>
          </w:tcPr>
          <w:p w14:paraId="142C634B"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78.863,00</w:t>
            </w:r>
          </w:p>
        </w:tc>
        <w:tc>
          <w:tcPr>
            <w:tcW w:w="1312" w:type="dxa"/>
            <w:noWrap/>
            <w:vAlign w:val="center"/>
          </w:tcPr>
          <w:p w14:paraId="05E9FA02"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0,28</w:t>
            </w:r>
          </w:p>
        </w:tc>
        <w:tc>
          <w:tcPr>
            <w:tcW w:w="1275" w:type="dxa"/>
            <w:noWrap/>
            <w:vAlign w:val="center"/>
          </w:tcPr>
          <w:p w14:paraId="7C28D652"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153,13</w:t>
            </w:r>
          </w:p>
        </w:tc>
      </w:tr>
      <w:tr w:rsidR="00D1535A" w:rsidRPr="00497178" w14:paraId="3BA6DD07" w14:textId="77777777" w:rsidTr="00512D52">
        <w:trPr>
          <w:trHeight w:val="300"/>
          <w:jc w:val="center"/>
        </w:trPr>
        <w:tc>
          <w:tcPr>
            <w:tcW w:w="693" w:type="dxa"/>
            <w:shd w:val="clear" w:color="auto" w:fill="E7E6E6"/>
            <w:noWrap/>
            <w:vAlign w:val="center"/>
            <w:hideMark/>
          </w:tcPr>
          <w:p w14:paraId="7EFEBBC3" w14:textId="77777777" w:rsidR="00D1535A" w:rsidRPr="00497178" w:rsidRDefault="00D1535A" w:rsidP="00512D52">
            <w:pPr>
              <w:jc w:val="center"/>
              <w:rPr>
                <w:rFonts w:ascii="Arial" w:eastAsia="Calibri" w:hAnsi="Arial" w:cs="Arial"/>
                <w:b/>
                <w:sz w:val="20"/>
                <w:szCs w:val="20"/>
              </w:rPr>
            </w:pPr>
            <w:r w:rsidRPr="00497178">
              <w:rPr>
                <w:rFonts w:ascii="Arial" w:eastAsia="Calibri" w:hAnsi="Arial" w:cs="Arial"/>
                <w:b/>
                <w:sz w:val="20"/>
                <w:szCs w:val="20"/>
              </w:rPr>
              <w:t>3.</w:t>
            </w:r>
          </w:p>
        </w:tc>
        <w:tc>
          <w:tcPr>
            <w:tcW w:w="2563" w:type="dxa"/>
            <w:shd w:val="clear" w:color="auto" w:fill="E7E6E6"/>
            <w:noWrap/>
            <w:vAlign w:val="center"/>
            <w:hideMark/>
          </w:tcPr>
          <w:p w14:paraId="0D7611A4" w14:textId="77777777" w:rsidR="00D1535A" w:rsidRPr="00497178" w:rsidRDefault="00D1535A" w:rsidP="00512D52">
            <w:pPr>
              <w:rPr>
                <w:rFonts w:ascii="Arial" w:eastAsia="Calibri" w:hAnsi="Arial" w:cs="Arial"/>
                <w:b/>
                <w:sz w:val="20"/>
                <w:szCs w:val="20"/>
              </w:rPr>
            </w:pPr>
            <w:r w:rsidRPr="00497178">
              <w:rPr>
                <w:rFonts w:ascii="Arial" w:eastAsia="Calibri" w:hAnsi="Arial" w:cs="Arial"/>
                <w:b/>
                <w:sz w:val="20"/>
                <w:szCs w:val="20"/>
              </w:rPr>
              <w:t>IZDACI ZA FINANCIJSKU IMOVINU I OTPLATE ZAJMOVA</w:t>
            </w:r>
          </w:p>
        </w:tc>
        <w:tc>
          <w:tcPr>
            <w:tcW w:w="1559" w:type="dxa"/>
            <w:shd w:val="clear" w:color="auto" w:fill="E7E6E6"/>
            <w:noWrap/>
            <w:vAlign w:val="center"/>
          </w:tcPr>
          <w:p w14:paraId="058F8657" w14:textId="77777777" w:rsidR="00D1535A" w:rsidRPr="00497178" w:rsidRDefault="00D1535A" w:rsidP="00512D52">
            <w:pPr>
              <w:jc w:val="right"/>
              <w:rPr>
                <w:rFonts w:ascii="Arial" w:eastAsia="Calibri" w:hAnsi="Arial" w:cs="Arial"/>
                <w:b/>
                <w:sz w:val="20"/>
                <w:szCs w:val="20"/>
              </w:rPr>
            </w:pPr>
            <w:r w:rsidRPr="00497178">
              <w:rPr>
                <w:rFonts w:ascii="Arial" w:eastAsia="Calibri" w:hAnsi="Arial" w:cs="Arial"/>
                <w:b/>
                <w:sz w:val="20"/>
                <w:szCs w:val="20"/>
              </w:rPr>
              <w:t>693.746,00</w:t>
            </w:r>
          </w:p>
        </w:tc>
        <w:tc>
          <w:tcPr>
            <w:tcW w:w="1134" w:type="dxa"/>
            <w:shd w:val="clear" w:color="auto" w:fill="E7E6E6"/>
            <w:noWrap/>
            <w:vAlign w:val="center"/>
          </w:tcPr>
          <w:p w14:paraId="6E216F33" w14:textId="77777777" w:rsidR="00D1535A" w:rsidRPr="00497178" w:rsidRDefault="00D1535A" w:rsidP="00512D52">
            <w:pPr>
              <w:jc w:val="right"/>
              <w:rPr>
                <w:rFonts w:ascii="Arial" w:eastAsia="Calibri" w:hAnsi="Arial" w:cs="Arial"/>
                <w:b/>
                <w:sz w:val="20"/>
                <w:szCs w:val="20"/>
              </w:rPr>
            </w:pPr>
            <w:r w:rsidRPr="00497178">
              <w:rPr>
                <w:rFonts w:ascii="Arial" w:eastAsia="Calibri" w:hAnsi="Arial" w:cs="Arial"/>
                <w:b/>
                <w:sz w:val="20"/>
                <w:szCs w:val="20"/>
              </w:rPr>
              <w:t>2,52</w:t>
            </w:r>
          </w:p>
        </w:tc>
        <w:tc>
          <w:tcPr>
            <w:tcW w:w="1843" w:type="dxa"/>
            <w:shd w:val="clear" w:color="auto" w:fill="E7E6E6"/>
            <w:noWrap/>
            <w:vAlign w:val="center"/>
          </w:tcPr>
          <w:p w14:paraId="13B3EF31" w14:textId="77777777" w:rsidR="00D1535A" w:rsidRPr="00497178" w:rsidRDefault="00D1535A" w:rsidP="00512D52">
            <w:pPr>
              <w:jc w:val="right"/>
              <w:rPr>
                <w:rFonts w:ascii="Arial" w:eastAsia="Calibri" w:hAnsi="Arial" w:cs="Arial"/>
                <w:b/>
                <w:bCs/>
                <w:sz w:val="20"/>
                <w:szCs w:val="20"/>
              </w:rPr>
            </w:pPr>
            <w:r w:rsidRPr="00497178">
              <w:rPr>
                <w:rFonts w:ascii="Arial" w:eastAsia="Calibri" w:hAnsi="Arial" w:cs="Arial"/>
                <w:b/>
                <w:sz w:val="20"/>
                <w:szCs w:val="20"/>
              </w:rPr>
              <w:t>693.746,00</w:t>
            </w:r>
          </w:p>
        </w:tc>
        <w:tc>
          <w:tcPr>
            <w:tcW w:w="1312" w:type="dxa"/>
            <w:shd w:val="clear" w:color="auto" w:fill="E7E6E6"/>
            <w:noWrap/>
            <w:vAlign w:val="center"/>
          </w:tcPr>
          <w:p w14:paraId="78EBE16C" w14:textId="77777777" w:rsidR="00D1535A" w:rsidRPr="00497178" w:rsidRDefault="00D1535A" w:rsidP="00512D52">
            <w:pPr>
              <w:jc w:val="right"/>
              <w:rPr>
                <w:rFonts w:ascii="Arial" w:eastAsia="Calibri" w:hAnsi="Arial" w:cs="Arial"/>
                <w:b/>
                <w:bCs/>
                <w:sz w:val="20"/>
                <w:szCs w:val="20"/>
              </w:rPr>
            </w:pPr>
            <w:r w:rsidRPr="00497178">
              <w:rPr>
                <w:rFonts w:ascii="Arial" w:eastAsia="Calibri" w:hAnsi="Arial" w:cs="Arial"/>
                <w:b/>
                <w:bCs/>
                <w:sz w:val="20"/>
                <w:szCs w:val="20"/>
              </w:rPr>
              <w:t>2,44</w:t>
            </w:r>
          </w:p>
        </w:tc>
        <w:tc>
          <w:tcPr>
            <w:tcW w:w="1275" w:type="dxa"/>
            <w:shd w:val="clear" w:color="auto" w:fill="E7E6E6"/>
            <w:noWrap/>
            <w:vAlign w:val="center"/>
          </w:tcPr>
          <w:p w14:paraId="0C33D609" w14:textId="77777777" w:rsidR="00D1535A" w:rsidRPr="00497178" w:rsidRDefault="00D1535A" w:rsidP="00512D52">
            <w:pPr>
              <w:jc w:val="right"/>
              <w:rPr>
                <w:rFonts w:ascii="Arial" w:eastAsia="Calibri" w:hAnsi="Arial" w:cs="Arial"/>
                <w:b/>
                <w:bCs/>
                <w:sz w:val="20"/>
                <w:szCs w:val="20"/>
              </w:rPr>
            </w:pPr>
            <w:r w:rsidRPr="00497178">
              <w:rPr>
                <w:rFonts w:ascii="Arial" w:eastAsia="Calibri" w:hAnsi="Arial" w:cs="Arial"/>
                <w:b/>
                <w:bCs/>
                <w:sz w:val="20"/>
                <w:szCs w:val="20"/>
              </w:rPr>
              <w:t>100,00</w:t>
            </w:r>
          </w:p>
        </w:tc>
      </w:tr>
      <w:tr w:rsidR="00D1535A" w:rsidRPr="00497178" w14:paraId="416471A6" w14:textId="77777777" w:rsidTr="00512D52">
        <w:trPr>
          <w:trHeight w:val="300"/>
          <w:jc w:val="center"/>
        </w:trPr>
        <w:tc>
          <w:tcPr>
            <w:tcW w:w="693" w:type="dxa"/>
            <w:noWrap/>
            <w:vAlign w:val="center"/>
            <w:hideMark/>
          </w:tcPr>
          <w:p w14:paraId="0B7A3382" w14:textId="77777777" w:rsidR="00D1535A" w:rsidRPr="00497178" w:rsidRDefault="00D1535A" w:rsidP="00512D52">
            <w:pPr>
              <w:jc w:val="center"/>
              <w:rPr>
                <w:rFonts w:ascii="Arial" w:eastAsia="Calibri" w:hAnsi="Arial" w:cs="Arial"/>
                <w:b/>
                <w:sz w:val="20"/>
                <w:szCs w:val="20"/>
              </w:rPr>
            </w:pPr>
          </w:p>
        </w:tc>
        <w:tc>
          <w:tcPr>
            <w:tcW w:w="2563" w:type="dxa"/>
            <w:noWrap/>
            <w:vAlign w:val="center"/>
            <w:hideMark/>
          </w:tcPr>
          <w:p w14:paraId="6A16AD29" w14:textId="77777777" w:rsidR="00D1535A" w:rsidRPr="00497178" w:rsidRDefault="00D1535A" w:rsidP="00512D52">
            <w:pPr>
              <w:rPr>
                <w:rFonts w:ascii="Arial" w:eastAsia="Calibri" w:hAnsi="Arial" w:cs="Arial"/>
                <w:bCs/>
                <w:sz w:val="20"/>
                <w:szCs w:val="20"/>
              </w:rPr>
            </w:pPr>
            <w:r w:rsidRPr="00497178">
              <w:rPr>
                <w:rFonts w:ascii="Arial" w:eastAsia="Calibri" w:hAnsi="Arial" w:cs="Arial"/>
                <w:bCs/>
                <w:sz w:val="20"/>
                <w:szCs w:val="20"/>
              </w:rPr>
              <w:t>Izdaci za otplatu glavnice primljenih kredita i  zajmova</w:t>
            </w:r>
          </w:p>
        </w:tc>
        <w:tc>
          <w:tcPr>
            <w:tcW w:w="1559" w:type="dxa"/>
            <w:noWrap/>
            <w:vAlign w:val="center"/>
          </w:tcPr>
          <w:p w14:paraId="02FDDACF" w14:textId="77777777" w:rsidR="00D1535A" w:rsidRPr="00497178" w:rsidRDefault="00D1535A" w:rsidP="00512D52">
            <w:pPr>
              <w:jc w:val="right"/>
              <w:rPr>
                <w:rFonts w:ascii="Arial" w:eastAsia="Calibri" w:hAnsi="Arial" w:cs="Arial"/>
                <w:bCs/>
                <w:sz w:val="20"/>
                <w:szCs w:val="20"/>
              </w:rPr>
            </w:pPr>
            <w:r w:rsidRPr="00497178">
              <w:rPr>
                <w:rFonts w:ascii="Arial" w:eastAsia="Calibri" w:hAnsi="Arial" w:cs="Arial"/>
                <w:bCs/>
                <w:sz w:val="20"/>
                <w:szCs w:val="20"/>
              </w:rPr>
              <w:t>693.746,00</w:t>
            </w:r>
          </w:p>
        </w:tc>
        <w:tc>
          <w:tcPr>
            <w:tcW w:w="1134" w:type="dxa"/>
            <w:noWrap/>
            <w:vAlign w:val="center"/>
          </w:tcPr>
          <w:p w14:paraId="5FBFF3AA" w14:textId="77777777" w:rsidR="00D1535A" w:rsidRPr="00497178" w:rsidRDefault="00D1535A" w:rsidP="00512D52">
            <w:pPr>
              <w:jc w:val="right"/>
              <w:rPr>
                <w:rFonts w:ascii="Arial" w:eastAsia="Calibri" w:hAnsi="Arial" w:cs="Arial"/>
                <w:bCs/>
                <w:sz w:val="20"/>
                <w:szCs w:val="20"/>
              </w:rPr>
            </w:pPr>
            <w:r w:rsidRPr="00497178">
              <w:rPr>
                <w:rFonts w:ascii="Arial" w:eastAsia="Calibri" w:hAnsi="Arial" w:cs="Arial"/>
                <w:bCs/>
                <w:sz w:val="20"/>
                <w:szCs w:val="20"/>
              </w:rPr>
              <w:t>2,52</w:t>
            </w:r>
          </w:p>
        </w:tc>
        <w:tc>
          <w:tcPr>
            <w:tcW w:w="1843" w:type="dxa"/>
            <w:noWrap/>
            <w:vAlign w:val="center"/>
          </w:tcPr>
          <w:p w14:paraId="61F3B100" w14:textId="77777777" w:rsidR="00D1535A" w:rsidRPr="00497178" w:rsidRDefault="00D1535A" w:rsidP="00512D52">
            <w:pPr>
              <w:jc w:val="right"/>
              <w:rPr>
                <w:rFonts w:ascii="Arial" w:eastAsia="Calibri" w:hAnsi="Arial" w:cs="Arial"/>
                <w:bCs/>
                <w:sz w:val="20"/>
                <w:szCs w:val="20"/>
              </w:rPr>
            </w:pPr>
            <w:r w:rsidRPr="00497178">
              <w:rPr>
                <w:rFonts w:ascii="Arial" w:eastAsia="Calibri" w:hAnsi="Arial" w:cs="Arial"/>
                <w:bCs/>
                <w:sz w:val="20"/>
                <w:szCs w:val="20"/>
              </w:rPr>
              <w:t>693.746,00</w:t>
            </w:r>
          </w:p>
        </w:tc>
        <w:tc>
          <w:tcPr>
            <w:tcW w:w="1312" w:type="dxa"/>
            <w:noWrap/>
            <w:vAlign w:val="center"/>
          </w:tcPr>
          <w:p w14:paraId="5CDA4196" w14:textId="77777777" w:rsidR="00D1535A" w:rsidRPr="00497178" w:rsidRDefault="00D1535A" w:rsidP="00512D52">
            <w:pPr>
              <w:jc w:val="right"/>
              <w:rPr>
                <w:rFonts w:ascii="Arial" w:eastAsia="Calibri" w:hAnsi="Arial" w:cs="Arial"/>
                <w:sz w:val="20"/>
                <w:szCs w:val="20"/>
              </w:rPr>
            </w:pPr>
            <w:r w:rsidRPr="00497178">
              <w:rPr>
                <w:rFonts w:ascii="Arial" w:eastAsia="Calibri" w:hAnsi="Arial" w:cs="Arial"/>
                <w:sz w:val="20"/>
                <w:szCs w:val="20"/>
              </w:rPr>
              <w:t>2,44</w:t>
            </w:r>
          </w:p>
        </w:tc>
        <w:tc>
          <w:tcPr>
            <w:tcW w:w="1275" w:type="dxa"/>
            <w:noWrap/>
            <w:vAlign w:val="center"/>
          </w:tcPr>
          <w:p w14:paraId="3C13099C" w14:textId="77777777" w:rsidR="00D1535A" w:rsidRPr="00497178" w:rsidRDefault="00D1535A" w:rsidP="00512D52">
            <w:pPr>
              <w:jc w:val="right"/>
              <w:rPr>
                <w:rFonts w:ascii="Arial" w:eastAsia="Calibri" w:hAnsi="Arial" w:cs="Arial"/>
                <w:bCs/>
                <w:sz w:val="20"/>
                <w:szCs w:val="20"/>
              </w:rPr>
            </w:pPr>
            <w:r w:rsidRPr="00497178">
              <w:rPr>
                <w:rFonts w:ascii="Arial" w:eastAsia="Calibri" w:hAnsi="Arial" w:cs="Arial"/>
                <w:bCs/>
                <w:sz w:val="20"/>
                <w:szCs w:val="20"/>
              </w:rPr>
              <w:t>100,00</w:t>
            </w:r>
          </w:p>
        </w:tc>
      </w:tr>
      <w:tr w:rsidR="00D1535A" w:rsidRPr="00497178" w14:paraId="76D70D9D" w14:textId="77777777" w:rsidTr="00512D52">
        <w:trPr>
          <w:trHeight w:val="300"/>
          <w:jc w:val="center"/>
        </w:trPr>
        <w:tc>
          <w:tcPr>
            <w:tcW w:w="693" w:type="dxa"/>
            <w:shd w:val="clear" w:color="auto" w:fill="E7E6E6"/>
            <w:noWrap/>
            <w:vAlign w:val="center"/>
            <w:hideMark/>
          </w:tcPr>
          <w:p w14:paraId="4568CE30" w14:textId="77777777" w:rsidR="00D1535A" w:rsidRPr="00497178" w:rsidRDefault="00D1535A" w:rsidP="00512D52">
            <w:pPr>
              <w:jc w:val="center"/>
              <w:rPr>
                <w:rFonts w:ascii="Arial" w:eastAsia="Calibri" w:hAnsi="Arial" w:cs="Arial"/>
                <w:b/>
                <w:sz w:val="20"/>
                <w:szCs w:val="20"/>
              </w:rPr>
            </w:pPr>
            <w:r w:rsidRPr="00497178">
              <w:rPr>
                <w:rFonts w:ascii="Arial" w:eastAsia="Calibri" w:hAnsi="Arial" w:cs="Arial"/>
                <w:b/>
                <w:sz w:val="20"/>
                <w:szCs w:val="20"/>
              </w:rPr>
              <w:t>4.</w:t>
            </w:r>
          </w:p>
        </w:tc>
        <w:tc>
          <w:tcPr>
            <w:tcW w:w="2563" w:type="dxa"/>
            <w:shd w:val="clear" w:color="auto" w:fill="E7E6E6"/>
            <w:noWrap/>
            <w:vAlign w:val="center"/>
            <w:hideMark/>
          </w:tcPr>
          <w:p w14:paraId="60BADBF4" w14:textId="77777777" w:rsidR="00D1535A" w:rsidRPr="00497178" w:rsidRDefault="00D1535A" w:rsidP="00512D52">
            <w:pPr>
              <w:rPr>
                <w:rFonts w:ascii="Arial" w:eastAsia="Calibri" w:hAnsi="Arial" w:cs="Arial"/>
                <w:b/>
                <w:sz w:val="20"/>
                <w:szCs w:val="20"/>
              </w:rPr>
            </w:pPr>
            <w:r w:rsidRPr="00497178">
              <w:rPr>
                <w:rFonts w:ascii="Arial" w:eastAsia="Calibri" w:hAnsi="Arial" w:cs="Arial"/>
                <w:b/>
                <w:sz w:val="20"/>
                <w:szCs w:val="20"/>
              </w:rPr>
              <w:t>UKUPNI RASHODI I IZDACI</w:t>
            </w:r>
          </w:p>
        </w:tc>
        <w:tc>
          <w:tcPr>
            <w:tcW w:w="1559" w:type="dxa"/>
            <w:shd w:val="clear" w:color="auto" w:fill="E7E6E6"/>
            <w:noWrap/>
            <w:vAlign w:val="center"/>
          </w:tcPr>
          <w:p w14:paraId="7B951BA5" w14:textId="77777777" w:rsidR="00D1535A" w:rsidRPr="00497178" w:rsidRDefault="00D1535A" w:rsidP="00512D52">
            <w:pPr>
              <w:jc w:val="right"/>
              <w:rPr>
                <w:rFonts w:ascii="Arial" w:eastAsia="Calibri" w:hAnsi="Arial" w:cs="Arial"/>
                <w:b/>
                <w:sz w:val="20"/>
                <w:szCs w:val="20"/>
              </w:rPr>
            </w:pPr>
            <w:r w:rsidRPr="00497178">
              <w:rPr>
                <w:rFonts w:ascii="Arial" w:eastAsia="Calibri" w:hAnsi="Arial" w:cs="Arial"/>
                <w:b/>
                <w:sz w:val="20"/>
                <w:szCs w:val="20"/>
              </w:rPr>
              <w:t>27.480.306,00</w:t>
            </w:r>
          </w:p>
        </w:tc>
        <w:tc>
          <w:tcPr>
            <w:tcW w:w="1134" w:type="dxa"/>
            <w:shd w:val="clear" w:color="auto" w:fill="E7E6E6"/>
            <w:noWrap/>
            <w:vAlign w:val="center"/>
          </w:tcPr>
          <w:p w14:paraId="22527A63" w14:textId="77777777" w:rsidR="00D1535A" w:rsidRPr="00497178" w:rsidRDefault="00D1535A" w:rsidP="00512D52">
            <w:pPr>
              <w:jc w:val="right"/>
              <w:rPr>
                <w:rFonts w:ascii="Arial" w:eastAsia="Calibri" w:hAnsi="Arial" w:cs="Arial"/>
                <w:b/>
                <w:sz w:val="20"/>
                <w:szCs w:val="20"/>
              </w:rPr>
            </w:pPr>
            <w:r w:rsidRPr="00497178">
              <w:rPr>
                <w:rFonts w:ascii="Arial" w:eastAsia="Calibri" w:hAnsi="Arial" w:cs="Arial"/>
                <w:b/>
                <w:sz w:val="20"/>
                <w:szCs w:val="20"/>
              </w:rPr>
              <w:t>100,00</w:t>
            </w:r>
          </w:p>
        </w:tc>
        <w:tc>
          <w:tcPr>
            <w:tcW w:w="1843" w:type="dxa"/>
            <w:shd w:val="clear" w:color="auto" w:fill="E7E6E6"/>
            <w:noWrap/>
            <w:vAlign w:val="center"/>
          </w:tcPr>
          <w:p w14:paraId="512DDBBD" w14:textId="77777777" w:rsidR="00D1535A" w:rsidRPr="00497178" w:rsidRDefault="00D1535A" w:rsidP="00512D52">
            <w:pPr>
              <w:jc w:val="right"/>
              <w:rPr>
                <w:rFonts w:ascii="Arial" w:eastAsia="Calibri" w:hAnsi="Arial" w:cs="Arial"/>
                <w:b/>
                <w:sz w:val="20"/>
                <w:szCs w:val="20"/>
              </w:rPr>
            </w:pPr>
            <w:r w:rsidRPr="00497178">
              <w:rPr>
                <w:rFonts w:ascii="Arial" w:eastAsia="Calibri" w:hAnsi="Arial" w:cs="Arial"/>
                <w:b/>
                <w:sz w:val="20"/>
                <w:szCs w:val="20"/>
              </w:rPr>
              <w:t>28.413.601,00</w:t>
            </w:r>
          </w:p>
        </w:tc>
        <w:tc>
          <w:tcPr>
            <w:tcW w:w="1312" w:type="dxa"/>
            <w:shd w:val="clear" w:color="auto" w:fill="E7E6E6"/>
            <w:noWrap/>
            <w:vAlign w:val="center"/>
          </w:tcPr>
          <w:p w14:paraId="6753CF34" w14:textId="77777777" w:rsidR="00D1535A" w:rsidRPr="00497178" w:rsidRDefault="00D1535A" w:rsidP="00512D52">
            <w:pPr>
              <w:jc w:val="right"/>
              <w:rPr>
                <w:rFonts w:ascii="Arial" w:eastAsia="Calibri" w:hAnsi="Arial" w:cs="Arial"/>
                <w:b/>
                <w:sz w:val="20"/>
                <w:szCs w:val="20"/>
              </w:rPr>
            </w:pPr>
            <w:r w:rsidRPr="00497178">
              <w:rPr>
                <w:rFonts w:ascii="Arial" w:eastAsia="Calibri" w:hAnsi="Arial" w:cs="Arial"/>
                <w:b/>
                <w:sz w:val="20"/>
                <w:szCs w:val="20"/>
              </w:rPr>
              <w:t>100,00</w:t>
            </w:r>
          </w:p>
        </w:tc>
        <w:tc>
          <w:tcPr>
            <w:tcW w:w="1275" w:type="dxa"/>
            <w:shd w:val="clear" w:color="auto" w:fill="E7E6E6"/>
            <w:noWrap/>
            <w:vAlign w:val="center"/>
          </w:tcPr>
          <w:p w14:paraId="1540ED29" w14:textId="77777777" w:rsidR="00D1535A" w:rsidRPr="00497178" w:rsidRDefault="00D1535A" w:rsidP="00512D52">
            <w:pPr>
              <w:jc w:val="right"/>
              <w:rPr>
                <w:rFonts w:ascii="Arial" w:eastAsia="Calibri" w:hAnsi="Arial" w:cs="Arial"/>
                <w:b/>
                <w:sz w:val="20"/>
                <w:szCs w:val="20"/>
              </w:rPr>
            </w:pPr>
            <w:r w:rsidRPr="00497178">
              <w:rPr>
                <w:rFonts w:ascii="Arial" w:eastAsia="Calibri" w:hAnsi="Arial" w:cs="Arial"/>
                <w:b/>
                <w:sz w:val="20"/>
                <w:szCs w:val="20"/>
              </w:rPr>
              <w:t>103,40</w:t>
            </w:r>
          </w:p>
        </w:tc>
      </w:tr>
    </w:tbl>
    <w:p w14:paraId="33324A6E" w14:textId="77777777" w:rsidR="00D1535A" w:rsidRPr="00497178" w:rsidRDefault="00D1535A" w:rsidP="00D1535A">
      <w:pPr>
        <w:jc w:val="both"/>
        <w:rPr>
          <w:rFonts w:ascii="Arial" w:hAnsi="Arial" w:cs="Arial"/>
          <w:b/>
          <w:bCs/>
          <w:sz w:val="20"/>
          <w:szCs w:val="20"/>
        </w:rPr>
      </w:pPr>
    </w:p>
    <w:p w14:paraId="2B5E2452" w14:textId="77777777" w:rsidR="00D1535A" w:rsidRPr="00497178" w:rsidRDefault="00D1535A" w:rsidP="00D1535A">
      <w:pPr>
        <w:jc w:val="both"/>
        <w:rPr>
          <w:rFonts w:ascii="Arial" w:eastAsia="Calibri" w:hAnsi="Arial" w:cs="Arial"/>
          <w:sz w:val="22"/>
        </w:rPr>
      </w:pPr>
      <w:r w:rsidRPr="00497178">
        <w:rPr>
          <w:rFonts w:ascii="Arial" w:eastAsia="Calibri" w:hAnsi="Arial" w:cs="Arial"/>
          <w:sz w:val="22"/>
        </w:rPr>
        <w:tab/>
      </w:r>
    </w:p>
    <w:p w14:paraId="55A426C5" w14:textId="77777777" w:rsidR="00D1535A" w:rsidRPr="00497178" w:rsidRDefault="00D1535A" w:rsidP="00D1535A">
      <w:pPr>
        <w:jc w:val="both"/>
        <w:rPr>
          <w:rFonts w:ascii="Arial" w:eastAsia="Calibri" w:hAnsi="Arial" w:cs="Arial"/>
          <w:sz w:val="22"/>
        </w:rPr>
      </w:pPr>
      <w:r w:rsidRPr="00497178">
        <w:rPr>
          <w:rFonts w:ascii="Arial" w:eastAsia="Calibri" w:hAnsi="Arial" w:cs="Arial"/>
          <w:sz w:val="22"/>
        </w:rPr>
        <w:t>Sveukupni rashodi i izdaci proračuna po ovim Prvim Izmjenama i dopunama planirani su u iznosu od 28.413.601,00 EUR što je u odnosu na prvobitan proračun više za 933.295,00 EUR odnosno 3,40%.</w:t>
      </w:r>
    </w:p>
    <w:p w14:paraId="15702A43" w14:textId="77777777" w:rsidR="00D1535A" w:rsidRPr="00497178" w:rsidRDefault="00D1535A" w:rsidP="00D1535A">
      <w:pPr>
        <w:jc w:val="both"/>
        <w:rPr>
          <w:rFonts w:ascii="Arial" w:eastAsia="Calibri" w:hAnsi="Arial" w:cs="Arial"/>
          <w:sz w:val="22"/>
        </w:rPr>
      </w:pPr>
      <w:r w:rsidRPr="00497178">
        <w:rPr>
          <w:rFonts w:ascii="Arial" w:eastAsia="Calibri" w:hAnsi="Arial" w:cs="Arial"/>
          <w:sz w:val="22"/>
        </w:rPr>
        <w:t>Najveće povećanje vidljivo je kod rashoda za dodatna ulaganja na nefinancijskoj imovini,</w:t>
      </w:r>
      <w:r w:rsidRPr="00497178">
        <w:rPr>
          <w:rFonts w:ascii="Arial" w:eastAsia="Calibri" w:hAnsi="Arial" w:cs="Arial"/>
          <w:sz w:val="20"/>
          <w:szCs w:val="20"/>
        </w:rPr>
        <w:t xml:space="preserve"> </w:t>
      </w:r>
      <w:r w:rsidRPr="00497178">
        <w:rPr>
          <w:rFonts w:ascii="Arial" w:eastAsia="Calibri" w:hAnsi="Arial" w:cs="Arial"/>
          <w:sz w:val="22"/>
        </w:rPr>
        <w:t xml:space="preserve"> naknada građanima i kućanstvima na temelju osiguranja i dr. naknade, pomoći dane u inozemstvo i unutar opće države zatim financijskih rashoda i materijalnih rashoda.</w:t>
      </w:r>
    </w:p>
    <w:p w14:paraId="0B1205E3" w14:textId="77777777" w:rsidR="00D1535A" w:rsidRPr="00497178" w:rsidRDefault="00D1535A" w:rsidP="00D1535A">
      <w:pPr>
        <w:jc w:val="both"/>
        <w:rPr>
          <w:rFonts w:ascii="Arial" w:eastAsia="Calibri" w:hAnsi="Arial" w:cs="Arial"/>
          <w:sz w:val="22"/>
        </w:rPr>
      </w:pPr>
      <w:r w:rsidRPr="00497178">
        <w:rPr>
          <w:rFonts w:ascii="Arial" w:eastAsia="Calibri" w:hAnsi="Arial" w:cs="Arial"/>
          <w:sz w:val="22"/>
        </w:rPr>
        <w:t>U nastavku slijedi detaljnije obrazloženje povećanja pojedine vrste rashoda.</w:t>
      </w:r>
    </w:p>
    <w:p w14:paraId="245CEF10" w14:textId="77777777" w:rsidR="00900CF9" w:rsidRDefault="00900CF9" w:rsidP="00900CF9"/>
    <w:p w14:paraId="756A0710" w14:textId="77777777" w:rsidR="00900CF9" w:rsidRDefault="00900CF9" w:rsidP="00900CF9"/>
    <w:bookmarkEnd w:id="12"/>
    <w:p w14:paraId="6A2615F2" w14:textId="77777777" w:rsidR="00BC7E60" w:rsidRPr="00497178" w:rsidRDefault="00BC7E60" w:rsidP="00BC7E60">
      <w:pPr>
        <w:keepNext/>
        <w:outlineLvl w:val="4"/>
        <w:rPr>
          <w:rFonts w:ascii="Arial" w:hAnsi="Arial" w:cs="Arial"/>
          <w:b/>
          <w:bCs/>
          <w:sz w:val="22"/>
        </w:rPr>
      </w:pPr>
      <w:r w:rsidRPr="00497178">
        <w:rPr>
          <w:rFonts w:ascii="Arial" w:hAnsi="Arial" w:cs="Arial"/>
          <w:b/>
          <w:bCs/>
          <w:sz w:val="22"/>
        </w:rPr>
        <w:lastRenderedPageBreak/>
        <w:t>PREGLED PLANA PRORAČUNA GRAD LABIN / PRORAČUNSKI KORISNICI</w:t>
      </w:r>
    </w:p>
    <w:p w14:paraId="5224CABE" w14:textId="77777777" w:rsidR="00BC7E60" w:rsidRPr="00497178" w:rsidRDefault="00BC7E60" w:rsidP="00BC7E60">
      <w:pPr>
        <w:keepNext/>
        <w:outlineLvl w:val="4"/>
        <w:rPr>
          <w:rFonts w:ascii="Arial" w:hAnsi="Arial" w:cs="Arial"/>
          <w:b/>
          <w:bCs/>
          <w:sz w:val="22"/>
        </w:rPr>
      </w:pPr>
    </w:p>
    <w:p w14:paraId="6882AF17" w14:textId="77777777" w:rsidR="00BC7E60" w:rsidRDefault="00BC7E60" w:rsidP="00BC7E60">
      <w:pPr>
        <w:keepNext/>
        <w:outlineLvl w:val="4"/>
        <w:rPr>
          <w:rFonts w:ascii="Arial" w:hAnsi="Arial" w:cs="Arial"/>
          <w:b/>
          <w:bCs/>
          <w:sz w:val="22"/>
        </w:rPr>
      </w:pPr>
      <w:r w:rsidRPr="00497178">
        <w:rPr>
          <w:rFonts w:ascii="Arial" w:hAnsi="Arial" w:cs="Arial"/>
          <w:b/>
          <w:bCs/>
          <w:sz w:val="22"/>
        </w:rPr>
        <w:t>Tabela 3.</w:t>
      </w:r>
    </w:p>
    <w:p w14:paraId="7883FDE9" w14:textId="77777777" w:rsidR="00BC7E60" w:rsidRPr="00497178" w:rsidRDefault="00BC7E60" w:rsidP="00BC7E60">
      <w:pPr>
        <w:keepNext/>
        <w:outlineLvl w:val="4"/>
        <w:rPr>
          <w:rFonts w:ascii="Arial" w:hAnsi="Arial" w:cs="Arial"/>
          <w:b/>
          <w:bCs/>
          <w:sz w:val="22"/>
        </w:rPr>
      </w:pPr>
    </w:p>
    <w:p w14:paraId="7AB0DDCF" w14:textId="77777777" w:rsidR="00BC7E60" w:rsidRPr="003E3111" w:rsidRDefault="00BC7E60" w:rsidP="00BC7E60">
      <w:pPr>
        <w:pStyle w:val="Odlomakpopisa"/>
        <w:keepNext/>
        <w:spacing w:after="0" w:line="240" w:lineRule="auto"/>
        <w:outlineLvl w:val="4"/>
        <w:rPr>
          <w:rFonts w:ascii="Arial" w:eastAsia="Times New Roman" w:hAnsi="Arial" w:cs="Arial"/>
          <w:b/>
          <w:bCs/>
        </w:rPr>
      </w:pPr>
      <w:r>
        <w:rPr>
          <w:rFonts w:ascii="Arial" w:eastAsia="Times New Roman" w:hAnsi="Arial" w:cs="Arial"/>
          <w:b/>
          <w:bCs/>
        </w:rPr>
        <w:t xml:space="preserve">                                                                                                                 -</w:t>
      </w:r>
      <w:r w:rsidRPr="003E3111">
        <w:rPr>
          <w:rFonts w:ascii="Arial" w:eastAsia="Times New Roman" w:hAnsi="Arial" w:cs="Arial"/>
          <w:b/>
          <w:bCs/>
        </w:rPr>
        <w:t xml:space="preserve"> EUR</w:t>
      </w:r>
    </w:p>
    <w:tbl>
      <w:tblPr>
        <w:tblStyle w:val="Reetkatablice5"/>
        <w:tblW w:w="0" w:type="auto"/>
        <w:tblLayout w:type="fixed"/>
        <w:tblLook w:val="04A0" w:firstRow="1" w:lastRow="0" w:firstColumn="1" w:lastColumn="0" w:noHBand="0" w:noVBand="1"/>
      </w:tblPr>
      <w:tblGrid>
        <w:gridCol w:w="704"/>
        <w:gridCol w:w="2410"/>
        <w:gridCol w:w="1701"/>
        <w:gridCol w:w="1701"/>
        <w:gridCol w:w="1568"/>
        <w:gridCol w:w="978"/>
      </w:tblGrid>
      <w:tr w:rsidR="00BC7E60" w:rsidRPr="00497178" w14:paraId="0F32CA64" w14:textId="77777777" w:rsidTr="00512D52">
        <w:tc>
          <w:tcPr>
            <w:tcW w:w="704" w:type="dxa"/>
            <w:shd w:val="clear" w:color="auto" w:fill="auto"/>
          </w:tcPr>
          <w:p w14:paraId="6E3A4C4D" w14:textId="77777777" w:rsidR="00BC7E60" w:rsidRPr="00497178" w:rsidRDefault="00BC7E60" w:rsidP="00512D52">
            <w:pPr>
              <w:keepNext/>
              <w:outlineLvl w:val="4"/>
              <w:rPr>
                <w:rFonts w:ascii="Arial" w:hAnsi="Arial" w:cs="Arial"/>
                <w:bCs/>
                <w:sz w:val="20"/>
                <w:szCs w:val="20"/>
              </w:rPr>
            </w:pPr>
            <w:r w:rsidRPr="00497178">
              <w:rPr>
                <w:rFonts w:ascii="Arial" w:hAnsi="Arial" w:cs="Arial"/>
                <w:b/>
                <w:bCs/>
                <w:sz w:val="20"/>
                <w:szCs w:val="20"/>
              </w:rPr>
              <w:t>Red.br</w:t>
            </w:r>
            <w:r w:rsidRPr="00497178">
              <w:rPr>
                <w:rFonts w:ascii="Arial" w:hAnsi="Arial" w:cs="Arial"/>
                <w:bCs/>
                <w:sz w:val="20"/>
                <w:szCs w:val="20"/>
              </w:rPr>
              <w:t>.</w:t>
            </w:r>
          </w:p>
        </w:tc>
        <w:tc>
          <w:tcPr>
            <w:tcW w:w="2410" w:type="dxa"/>
            <w:shd w:val="clear" w:color="auto" w:fill="auto"/>
          </w:tcPr>
          <w:p w14:paraId="4D8E1AC9" w14:textId="77777777" w:rsidR="00BC7E60" w:rsidRPr="00497178" w:rsidRDefault="00BC7E60" w:rsidP="00512D52">
            <w:pPr>
              <w:keepNext/>
              <w:jc w:val="center"/>
              <w:outlineLvl w:val="4"/>
              <w:rPr>
                <w:rFonts w:ascii="Arial" w:hAnsi="Arial" w:cs="Arial"/>
                <w:b/>
                <w:bCs/>
                <w:sz w:val="20"/>
                <w:szCs w:val="20"/>
              </w:rPr>
            </w:pPr>
          </w:p>
          <w:p w14:paraId="5FA671C0" w14:textId="77777777" w:rsidR="00BC7E60" w:rsidRPr="00497178" w:rsidRDefault="00BC7E60" w:rsidP="00512D52">
            <w:pPr>
              <w:keepNext/>
              <w:jc w:val="center"/>
              <w:outlineLvl w:val="4"/>
              <w:rPr>
                <w:rFonts w:ascii="Arial" w:hAnsi="Arial" w:cs="Arial"/>
                <w:b/>
                <w:bCs/>
                <w:sz w:val="20"/>
                <w:szCs w:val="20"/>
              </w:rPr>
            </w:pPr>
            <w:r w:rsidRPr="00497178">
              <w:rPr>
                <w:rFonts w:ascii="Arial" w:hAnsi="Arial" w:cs="Arial"/>
                <w:b/>
                <w:bCs/>
                <w:sz w:val="20"/>
                <w:szCs w:val="20"/>
              </w:rPr>
              <w:t>Korisnik</w:t>
            </w:r>
          </w:p>
        </w:tc>
        <w:tc>
          <w:tcPr>
            <w:tcW w:w="1701" w:type="dxa"/>
            <w:shd w:val="clear" w:color="auto" w:fill="auto"/>
          </w:tcPr>
          <w:p w14:paraId="0F66BFB3" w14:textId="77777777" w:rsidR="00BC7E60" w:rsidRPr="00497178" w:rsidRDefault="00BC7E60" w:rsidP="00512D52">
            <w:pPr>
              <w:keepNext/>
              <w:jc w:val="center"/>
              <w:outlineLvl w:val="4"/>
              <w:rPr>
                <w:rFonts w:ascii="Arial" w:hAnsi="Arial" w:cs="Arial"/>
                <w:b/>
                <w:bCs/>
                <w:sz w:val="20"/>
                <w:szCs w:val="20"/>
              </w:rPr>
            </w:pPr>
          </w:p>
          <w:p w14:paraId="73D4ED8C" w14:textId="77777777" w:rsidR="00BC7E60" w:rsidRPr="00497178" w:rsidRDefault="00BC7E60" w:rsidP="00512D52">
            <w:pPr>
              <w:keepNext/>
              <w:jc w:val="center"/>
              <w:outlineLvl w:val="4"/>
              <w:rPr>
                <w:rFonts w:ascii="Arial" w:hAnsi="Arial" w:cs="Arial"/>
                <w:b/>
                <w:bCs/>
                <w:sz w:val="20"/>
                <w:szCs w:val="20"/>
              </w:rPr>
            </w:pPr>
            <w:r w:rsidRPr="00497178">
              <w:rPr>
                <w:rFonts w:ascii="Arial" w:hAnsi="Arial" w:cs="Arial"/>
                <w:b/>
                <w:bCs/>
                <w:sz w:val="20"/>
                <w:szCs w:val="20"/>
              </w:rPr>
              <w:t>Plan 2025.</w:t>
            </w:r>
          </w:p>
          <w:p w14:paraId="4AAA048D" w14:textId="77777777" w:rsidR="00BC7E60" w:rsidRPr="00497178" w:rsidRDefault="00BC7E60" w:rsidP="00512D52">
            <w:pPr>
              <w:keepNext/>
              <w:outlineLvl w:val="4"/>
              <w:rPr>
                <w:rFonts w:ascii="Arial" w:hAnsi="Arial" w:cs="Arial"/>
                <w:b/>
                <w:bCs/>
                <w:sz w:val="20"/>
                <w:szCs w:val="20"/>
              </w:rPr>
            </w:pPr>
          </w:p>
        </w:tc>
        <w:tc>
          <w:tcPr>
            <w:tcW w:w="1701" w:type="dxa"/>
          </w:tcPr>
          <w:p w14:paraId="777D7640" w14:textId="77777777" w:rsidR="00BC7E60" w:rsidRPr="00497178" w:rsidRDefault="00BC7E60" w:rsidP="00512D52">
            <w:pPr>
              <w:keepNext/>
              <w:jc w:val="center"/>
              <w:outlineLvl w:val="4"/>
              <w:rPr>
                <w:rFonts w:ascii="Arial" w:hAnsi="Arial" w:cs="Arial"/>
                <w:b/>
                <w:bCs/>
                <w:sz w:val="20"/>
                <w:szCs w:val="20"/>
              </w:rPr>
            </w:pPr>
            <w:r w:rsidRPr="00497178">
              <w:rPr>
                <w:rFonts w:ascii="Arial" w:hAnsi="Arial" w:cs="Arial"/>
                <w:b/>
                <w:bCs/>
                <w:sz w:val="20"/>
                <w:szCs w:val="20"/>
              </w:rPr>
              <w:t>Povećanje/</w:t>
            </w:r>
          </w:p>
          <w:p w14:paraId="232E7E12" w14:textId="77777777" w:rsidR="00BC7E60" w:rsidRPr="00497178" w:rsidRDefault="00BC7E60" w:rsidP="00512D52">
            <w:pPr>
              <w:keepNext/>
              <w:jc w:val="center"/>
              <w:outlineLvl w:val="4"/>
              <w:rPr>
                <w:rFonts w:ascii="Arial" w:hAnsi="Arial" w:cs="Arial"/>
                <w:b/>
                <w:bCs/>
                <w:sz w:val="20"/>
                <w:szCs w:val="20"/>
              </w:rPr>
            </w:pPr>
            <w:r w:rsidRPr="00497178">
              <w:rPr>
                <w:rFonts w:ascii="Arial" w:hAnsi="Arial" w:cs="Arial"/>
                <w:b/>
                <w:bCs/>
                <w:sz w:val="20"/>
                <w:szCs w:val="20"/>
              </w:rPr>
              <w:t>smanjenje</w:t>
            </w:r>
          </w:p>
        </w:tc>
        <w:tc>
          <w:tcPr>
            <w:tcW w:w="1568" w:type="dxa"/>
            <w:shd w:val="clear" w:color="auto" w:fill="FFFFFF"/>
          </w:tcPr>
          <w:p w14:paraId="49A74617" w14:textId="77777777" w:rsidR="00BC7E60" w:rsidRPr="00497178" w:rsidRDefault="00BC7E60" w:rsidP="00512D52">
            <w:pPr>
              <w:keepNext/>
              <w:jc w:val="center"/>
              <w:outlineLvl w:val="4"/>
              <w:rPr>
                <w:rFonts w:ascii="Arial" w:hAnsi="Arial" w:cs="Arial"/>
                <w:b/>
                <w:bCs/>
                <w:sz w:val="20"/>
                <w:szCs w:val="20"/>
              </w:rPr>
            </w:pPr>
            <w:r w:rsidRPr="00497178">
              <w:rPr>
                <w:rFonts w:ascii="Arial" w:hAnsi="Arial" w:cs="Arial"/>
                <w:b/>
                <w:bCs/>
                <w:sz w:val="20"/>
                <w:szCs w:val="20"/>
              </w:rPr>
              <w:t>Novi plan</w:t>
            </w:r>
          </w:p>
          <w:p w14:paraId="3138BA1F" w14:textId="77777777" w:rsidR="00BC7E60" w:rsidRPr="00497178" w:rsidRDefault="00BC7E60" w:rsidP="00512D52">
            <w:pPr>
              <w:keepNext/>
              <w:jc w:val="center"/>
              <w:outlineLvl w:val="4"/>
              <w:rPr>
                <w:rFonts w:ascii="Arial" w:hAnsi="Arial" w:cs="Arial"/>
                <w:b/>
                <w:bCs/>
                <w:sz w:val="20"/>
                <w:szCs w:val="20"/>
              </w:rPr>
            </w:pPr>
            <w:r w:rsidRPr="00497178">
              <w:rPr>
                <w:rFonts w:ascii="Arial" w:hAnsi="Arial" w:cs="Arial"/>
                <w:b/>
                <w:bCs/>
                <w:sz w:val="20"/>
                <w:szCs w:val="20"/>
              </w:rPr>
              <w:t>2025.</w:t>
            </w:r>
          </w:p>
          <w:p w14:paraId="684901F7" w14:textId="77777777" w:rsidR="00BC7E60" w:rsidRPr="00497178" w:rsidRDefault="00BC7E60" w:rsidP="00512D52">
            <w:pPr>
              <w:keepNext/>
              <w:jc w:val="center"/>
              <w:outlineLvl w:val="4"/>
              <w:rPr>
                <w:rFonts w:ascii="Arial" w:hAnsi="Arial" w:cs="Arial"/>
                <w:b/>
                <w:bCs/>
                <w:sz w:val="20"/>
                <w:szCs w:val="20"/>
              </w:rPr>
            </w:pPr>
          </w:p>
        </w:tc>
        <w:tc>
          <w:tcPr>
            <w:tcW w:w="978" w:type="dxa"/>
            <w:shd w:val="clear" w:color="auto" w:fill="auto"/>
          </w:tcPr>
          <w:p w14:paraId="53DD3E3D" w14:textId="77777777" w:rsidR="00BC7E60" w:rsidRPr="00497178" w:rsidRDefault="00BC7E60" w:rsidP="00512D52">
            <w:pPr>
              <w:keepNext/>
              <w:jc w:val="center"/>
              <w:outlineLvl w:val="4"/>
              <w:rPr>
                <w:rFonts w:ascii="Arial" w:hAnsi="Arial" w:cs="Arial"/>
                <w:b/>
                <w:bCs/>
                <w:sz w:val="20"/>
                <w:szCs w:val="20"/>
              </w:rPr>
            </w:pPr>
            <w:r w:rsidRPr="00497178">
              <w:rPr>
                <w:rFonts w:ascii="Arial" w:hAnsi="Arial" w:cs="Arial"/>
                <w:b/>
                <w:bCs/>
                <w:sz w:val="20"/>
                <w:szCs w:val="20"/>
              </w:rPr>
              <w:t>Index</w:t>
            </w:r>
          </w:p>
          <w:p w14:paraId="69A99E5F" w14:textId="77777777" w:rsidR="00BC7E60" w:rsidRPr="00497178" w:rsidRDefault="00BC7E60" w:rsidP="00512D52">
            <w:pPr>
              <w:keepNext/>
              <w:jc w:val="center"/>
              <w:outlineLvl w:val="4"/>
              <w:rPr>
                <w:rFonts w:ascii="Arial" w:hAnsi="Arial" w:cs="Arial"/>
                <w:b/>
                <w:bCs/>
                <w:sz w:val="20"/>
                <w:szCs w:val="20"/>
              </w:rPr>
            </w:pPr>
          </w:p>
          <w:p w14:paraId="2B2D9827" w14:textId="77777777" w:rsidR="00BC7E60" w:rsidRPr="00497178" w:rsidRDefault="00BC7E60" w:rsidP="00512D52">
            <w:pPr>
              <w:keepNext/>
              <w:jc w:val="center"/>
              <w:outlineLvl w:val="4"/>
              <w:rPr>
                <w:rFonts w:ascii="Arial" w:hAnsi="Arial" w:cs="Arial"/>
                <w:b/>
                <w:bCs/>
                <w:sz w:val="20"/>
                <w:szCs w:val="20"/>
              </w:rPr>
            </w:pPr>
            <w:r w:rsidRPr="00497178">
              <w:rPr>
                <w:rFonts w:ascii="Arial" w:hAnsi="Arial" w:cs="Arial"/>
                <w:b/>
                <w:bCs/>
                <w:sz w:val="20"/>
                <w:szCs w:val="20"/>
              </w:rPr>
              <w:t>5/3</w:t>
            </w:r>
          </w:p>
        </w:tc>
      </w:tr>
      <w:tr w:rsidR="00BC7E60" w:rsidRPr="00497178" w14:paraId="54C359E9" w14:textId="77777777" w:rsidTr="00512D52">
        <w:tc>
          <w:tcPr>
            <w:tcW w:w="704" w:type="dxa"/>
            <w:shd w:val="clear" w:color="auto" w:fill="auto"/>
          </w:tcPr>
          <w:p w14:paraId="2A8B16FA" w14:textId="77777777" w:rsidR="00BC7E60" w:rsidRPr="00497178" w:rsidRDefault="00BC7E60" w:rsidP="00512D52">
            <w:pPr>
              <w:keepNext/>
              <w:outlineLvl w:val="4"/>
              <w:rPr>
                <w:rFonts w:ascii="Arial" w:hAnsi="Arial" w:cs="Arial"/>
                <w:b/>
                <w:bCs/>
                <w:sz w:val="20"/>
                <w:szCs w:val="20"/>
              </w:rPr>
            </w:pPr>
            <w:r w:rsidRPr="00497178">
              <w:rPr>
                <w:rFonts w:ascii="Arial" w:hAnsi="Arial" w:cs="Arial"/>
                <w:b/>
                <w:bCs/>
                <w:sz w:val="20"/>
                <w:szCs w:val="20"/>
              </w:rPr>
              <w:t>1</w:t>
            </w:r>
          </w:p>
        </w:tc>
        <w:tc>
          <w:tcPr>
            <w:tcW w:w="2410" w:type="dxa"/>
            <w:shd w:val="clear" w:color="auto" w:fill="auto"/>
          </w:tcPr>
          <w:p w14:paraId="34FD3496" w14:textId="77777777" w:rsidR="00BC7E60" w:rsidRPr="00497178" w:rsidRDefault="00BC7E60" w:rsidP="00512D52">
            <w:pPr>
              <w:keepNext/>
              <w:jc w:val="center"/>
              <w:outlineLvl w:val="4"/>
              <w:rPr>
                <w:rFonts w:ascii="Arial" w:hAnsi="Arial" w:cs="Arial"/>
                <w:b/>
                <w:bCs/>
                <w:sz w:val="20"/>
                <w:szCs w:val="20"/>
              </w:rPr>
            </w:pPr>
            <w:r w:rsidRPr="00497178">
              <w:rPr>
                <w:rFonts w:ascii="Arial" w:hAnsi="Arial" w:cs="Arial"/>
                <w:b/>
                <w:bCs/>
                <w:sz w:val="20"/>
                <w:szCs w:val="20"/>
              </w:rPr>
              <w:t>2</w:t>
            </w:r>
          </w:p>
        </w:tc>
        <w:tc>
          <w:tcPr>
            <w:tcW w:w="1701" w:type="dxa"/>
            <w:shd w:val="clear" w:color="auto" w:fill="auto"/>
          </w:tcPr>
          <w:p w14:paraId="70D72812" w14:textId="77777777" w:rsidR="00BC7E60" w:rsidRPr="00497178" w:rsidRDefault="00BC7E60" w:rsidP="00512D52">
            <w:pPr>
              <w:keepNext/>
              <w:jc w:val="center"/>
              <w:outlineLvl w:val="4"/>
              <w:rPr>
                <w:rFonts w:ascii="Arial" w:hAnsi="Arial" w:cs="Arial"/>
                <w:b/>
                <w:bCs/>
                <w:sz w:val="20"/>
                <w:szCs w:val="20"/>
              </w:rPr>
            </w:pPr>
            <w:r w:rsidRPr="00497178">
              <w:rPr>
                <w:rFonts w:ascii="Arial" w:hAnsi="Arial" w:cs="Arial"/>
                <w:b/>
                <w:bCs/>
                <w:sz w:val="20"/>
                <w:szCs w:val="20"/>
              </w:rPr>
              <w:t>3</w:t>
            </w:r>
          </w:p>
        </w:tc>
        <w:tc>
          <w:tcPr>
            <w:tcW w:w="1701" w:type="dxa"/>
          </w:tcPr>
          <w:p w14:paraId="0929229E" w14:textId="77777777" w:rsidR="00BC7E60" w:rsidRPr="00497178" w:rsidRDefault="00BC7E60" w:rsidP="00512D52">
            <w:pPr>
              <w:keepNext/>
              <w:jc w:val="center"/>
              <w:outlineLvl w:val="4"/>
              <w:rPr>
                <w:rFonts w:ascii="Arial" w:hAnsi="Arial" w:cs="Arial"/>
                <w:b/>
                <w:bCs/>
                <w:sz w:val="20"/>
                <w:szCs w:val="20"/>
              </w:rPr>
            </w:pPr>
            <w:r w:rsidRPr="00497178">
              <w:rPr>
                <w:rFonts w:ascii="Arial" w:hAnsi="Arial" w:cs="Arial"/>
                <w:b/>
                <w:bCs/>
                <w:sz w:val="20"/>
                <w:szCs w:val="20"/>
              </w:rPr>
              <w:t>4</w:t>
            </w:r>
          </w:p>
        </w:tc>
        <w:tc>
          <w:tcPr>
            <w:tcW w:w="1568" w:type="dxa"/>
            <w:shd w:val="clear" w:color="auto" w:fill="FFFFFF"/>
          </w:tcPr>
          <w:p w14:paraId="0A21C66B" w14:textId="77777777" w:rsidR="00BC7E60" w:rsidRPr="00497178" w:rsidRDefault="00BC7E60" w:rsidP="00512D52">
            <w:pPr>
              <w:keepNext/>
              <w:jc w:val="center"/>
              <w:outlineLvl w:val="4"/>
              <w:rPr>
                <w:rFonts w:ascii="Arial" w:hAnsi="Arial" w:cs="Arial"/>
                <w:b/>
                <w:bCs/>
                <w:sz w:val="20"/>
                <w:szCs w:val="20"/>
              </w:rPr>
            </w:pPr>
            <w:r w:rsidRPr="00497178">
              <w:rPr>
                <w:rFonts w:ascii="Arial" w:hAnsi="Arial" w:cs="Arial"/>
                <w:b/>
                <w:bCs/>
                <w:sz w:val="20"/>
                <w:szCs w:val="20"/>
              </w:rPr>
              <w:t>5</w:t>
            </w:r>
          </w:p>
        </w:tc>
        <w:tc>
          <w:tcPr>
            <w:tcW w:w="978" w:type="dxa"/>
            <w:shd w:val="clear" w:color="auto" w:fill="auto"/>
          </w:tcPr>
          <w:p w14:paraId="4CC5A121" w14:textId="77777777" w:rsidR="00BC7E60" w:rsidRPr="00497178" w:rsidRDefault="00BC7E60" w:rsidP="00512D52">
            <w:pPr>
              <w:keepNext/>
              <w:jc w:val="center"/>
              <w:outlineLvl w:val="4"/>
              <w:rPr>
                <w:rFonts w:ascii="Arial" w:hAnsi="Arial" w:cs="Arial"/>
                <w:b/>
                <w:bCs/>
                <w:sz w:val="20"/>
                <w:szCs w:val="20"/>
              </w:rPr>
            </w:pPr>
            <w:r w:rsidRPr="00497178">
              <w:rPr>
                <w:rFonts w:ascii="Arial" w:hAnsi="Arial" w:cs="Arial"/>
                <w:b/>
                <w:bCs/>
                <w:sz w:val="20"/>
                <w:szCs w:val="20"/>
              </w:rPr>
              <w:t>6</w:t>
            </w:r>
          </w:p>
        </w:tc>
      </w:tr>
      <w:tr w:rsidR="00BC7E60" w:rsidRPr="00497178" w14:paraId="37AAFF28" w14:textId="77777777" w:rsidTr="00512D52">
        <w:trPr>
          <w:trHeight w:val="418"/>
        </w:trPr>
        <w:tc>
          <w:tcPr>
            <w:tcW w:w="704" w:type="dxa"/>
            <w:shd w:val="clear" w:color="auto" w:fill="auto"/>
          </w:tcPr>
          <w:p w14:paraId="655D2133" w14:textId="77777777" w:rsidR="00BC7E60" w:rsidRPr="00497178" w:rsidRDefault="00BC7E60" w:rsidP="00512D52">
            <w:pPr>
              <w:keepNext/>
              <w:outlineLvl w:val="4"/>
              <w:rPr>
                <w:rFonts w:ascii="Arial" w:hAnsi="Arial" w:cs="Arial"/>
                <w:b/>
                <w:sz w:val="20"/>
                <w:szCs w:val="20"/>
              </w:rPr>
            </w:pPr>
            <w:r w:rsidRPr="00497178">
              <w:rPr>
                <w:rFonts w:ascii="Arial" w:hAnsi="Arial" w:cs="Arial"/>
                <w:b/>
                <w:sz w:val="20"/>
                <w:szCs w:val="20"/>
              </w:rPr>
              <w:t>1.</w:t>
            </w:r>
          </w:p>
        </w:tc>
        <w:tc>
          <w:tcPr>
            <w:tcW w:w="2410" w:type="dxa"/>
            <w:shd w:val="clear" w:color="auto" w:fill="auto"/>
            <w:vAlign w:val="center"/>
          </w:tcPr>
          <w:p w14:paraId="40CF8E66" w14:textId="77777777" w:rsidR="00BC7E60" w:rsidRPr="00497178" w:rsidRDefault="00BC7E60" w:rsidP="00512D52">
            <w:pPr>
              <w:keepNext/>
              <w:outlineLvl w:val="4"/>
              <w:rPr>
                <w:rFonts w:ascii="Arial" w:hAnsi="Arial" w:cs="Arial"/>
                <w:b/>
                <w:sz w:val="20"/>
                <w:szCs w:val="20"/>
              </w:rPr>
            </w:pPr>
            <w:r w:rsidRPr="00497178">
              <w:rPr>
                <w:rFonts w:ascii="Arial" w:hAnsi="Arial" w:cs="Arial"/>
                <w:b/>
                <w:sz w:val="20"/>
                <w:szCs w:val="20"/>
              </w:rPr>
              <w:t>Gradska uprava</w:t>
            </w:r>
          </w:p>
        </w:tc>
        <w:tc>
          <w:tcPr>
            <w:tcW w:w="1701" w:type="dxa"/>
            <w:shd w:val="clear" w:color="auto" w:fill="auto"/>
            <w:vAlign w:val="center"/>
          </w:tcPr>
          <w:p w14:paraId="7596B5F8" w14:textId="77777777" w:rsidR="00BC7E60" w:rsidRPr="00497178" w:rsidRDefault="00BC7E60" w:rsidP="00512D52">
            <w:pPr>
              <w:keepNext/>
              <w:jc w:val="right"/>
              <w:outlineLvl w:val="4"/>
              <w:rPr>
                <w:rFonts w:ascii="Arial" w:hAnsi="Arial" w:cs="Arial"/>
                <w:b/>
                <w:sz w:val="20"/>
                <w:szCs w:val="20"/>
              </w:rPr>
            </w:pPr>
            <w:r w:rsidRPr="00497178">
              <w:rPr>
                <w:rFonts w:ascii="Arial" w:hAnsi="Arial" w:cs="Arial"/>
                <w:b/>
                <w:sz w:val="20"/>
                <w:szCs w:val="20"/>
              </w:rPr>
              <w:t>12.956.621,00</w:t>
            </w:r>
          </w:p>
        </w:tc>
        <w:tc>
          <w:tcPr>
            <w:tcW w:w="1701" w:type="dxa"/>
            <w:vAlign w:val="center"/>
          </w:tcPr>
          <w:p w14:paraId="31CFDFE8" w14:textId="77777777" w:rsidR="00BC7E60" w:rsidRPr="00497178" w:rsidRDefault="00BC7E60" w:rsidP="00512D52">
            <w:pPr>
              <w:keepNext/>
              <w:jc w:val="right"/>
              <w:outlineLvl w:val="4"/>
              <w:rPr>
                <w:rFonts w:ascii="Arial" w:hAnsi="Arial" w:cs="Arial"/>
                <w:b/>
                <w:sz w:val="20"/>
                <w:szCs w:val="20"/>
              </w:rPr>
            </w:pPr>
            <w:r w:rsidRPr="00497178">
              <w:rPr>
                <w:rFonts w:ascii="Arial" w:hAnsi="Arial" w:cs="Arial"/>
                <w:b/>
                <w:sz w:val="20"/>
                <w:szCs w:val="20"/>
              </w:rPr>
              <w:t>328.546,00</w:t>
            </w:r>
          </w:p>
        </w:tc>
        <w:tc>
          <w:tcPr>
            <w:tcW w:w="1568" w:type="dxa"/>
            <w:shd w:val="clear" w:color="auto" w:fill="FFFFFF"/>
            <w:vAlign w:val="center"/>
          </w:tcPr>
          <w:p w14:paraId="0ECDA804" w14:textId="77777777" w:rsidR="00BC7E60" w:rsidRPr="00497178" w:rsidRDefault="00BC7E60" w:rsidP="00512D52">
            <w:pPr>
              <w:keepNext/>
              <w:jc w:val="right"/>
              <w:outlineLvl w:val="4"/>
              <w:rPr>
                <w:rFonts w:ascii="Arial" w:hAnsi="Arial" w:cs="Arial"/>
                <w:b/>
                <w:sz w:val="20"/>
                <w:szCs w:val="20"/>
              </w:rPr>
            </w:pPr>
            <w:r w:rsidRPr="00497178">
              <w:rPr>
                <w:rFonts w:ascii="Arial" w:hAnsi="Arial" w:cs="Arial"/>
                <w:b/>
                <w:sz w:val="20"/>
                <w:szCs w:val="20"/>
              </w:rPr>
              <w:t>13.285.167,00</w:t>
            </w:r>
          </w:p>
        </w:tc>
        <w:tc>
          <w:tcPr>
            <w:tcW w:w="978" w:type="dxa"/>
            <w:shd w:val="clear" w:color="auto" w:fill="auto"/>
            <w:vAlign w:val="center"/>
          </w:tcPr>
          <w:p w14:paraId="02B3680A" w14:textId="77777777" w:rsidR="00BC7E60" w:rsidRPr="00497178" w:rsidRDefault="00BC7E60" w:rsidP="00512D52">
            <w:pPr>
              <w:keepNext/>
              <w:jc w:val="right"/>
              <w:outlineLvl w:val="4"/>
              <w:rPr>
                <w:rFonts w:ascii="Arial" w:hAnsi="Arial" w:cs="Arial"/>
                <w:b/>
                <w:sz w:val="20"/>
                <w:szCs w:val="20"/>
              </w:rPr>
            </w:pPr>
            <w:r w:rsidRPr="00497178">
              <w:rPr>
                <w:rFonts w:ascii="Arial" w:hAnsi="Arial" w:cs="Arial"/>
                <w:b/>
                <w:sz w:val="20"/>
                <w:szCs w:val="20"/>
              </w:rPr>
              <w:t>102,54</w:t>
            </w:r>
          </w:p>
        </w:tc>
      </w:tr>
      <w:tr w:rsidR="00BC7E60" w:rsidRPr="00497178" w14:paraId="2C96611C" w14:textId="77777777" w:rsidTr="00512D52">
        <w:tc>
          <w:tcPr>
            <w:tcW w:w="704" w:type="dxa"/>
            <w:shd w:val="clear" w:color="auto" w:fill="auto"/>
          </w:tcPr>
          <w:p w14:paraId="360B6BDD" w14:textId="77777777" w:rsidR="00BC7E60" w:rsidRPr="00497178" w:rsidRDefault="00BC7E60" w:rsidP="00512D52">
            <w:pPr>
              <w:keepNext/>
              <w:outlineLvl w:val="4"/>
              <w:rPr>
                <w:rFonts w:ascii="Arial" w:hAnsi="Arial" w:cs="Arial"/>
                <w:bCs/>
                <w:sz w:val="20"/>
                <w:szCs w:val="20"/>
              </w:rPr>
            </w:pPr>
          </w:p>
          <w:p w14:paraId="6F35CEF4"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2.</w:t>
            </w:r>
          </w:p>
        </w:tc>
        <w:tc>
          <w:tcPr>
            <w:tcW w:w="2410" w:type="dxa"/>
            <w:shd w:val="clear" w:color="auto" w:fill="auto"/>
          </w:tcPr>
          <w:p w14:paraId="7E516664"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Vijeće bošnjačke nacionalne manjine</w:t>
            </w:r>
          </w:p>
        </w:tc>
        <w:tc>
          <w:tcPr>
            <w:tcW w:w="1701" w:type="dxa"/>
            <w:shd w:val="clear" w:color="auto" w:fill="auto"/>
            <w:vAlign w:val="center"/>
          </w:tcPr>
          <w:p w14:paraId="13D1FEFF"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14.100,00</w:t>
            </w:r>
          </w:p>
        </w:tc>
        <w:tc>
          <w:tcPr>
            <w:tcW w:w="1701" w:type="dxa"/>
            <w:vAlign w:val="center"/>
          </w:tcPr>
          <w:p w14:paraId="7A302911"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w:t>
            </w:r>
          </w:p>
        </w:tc>
        <w:tc>
          <w:tcPr>
            <w:tcW w:w="1568" w:type="dxa"/>
            <w:shd w:val="clear" w:color="auto" w:fill="auto"/>
            <w:vAlign w:val="center"/>
          </w:tcPr>
          <w:p w14:paraId="24A4665E"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14.100,00</w:t>
            </w:r>
          </w:p>
        </w:tc>
        <w:tc>
          <w:tcPr>
            <w:tcW w:w="978" w:type="dxa"/>
            <w:shd w:val="clear" w:color="auto" w:fill="auto"/>
            <w:vAlign w:val="center"/>
          </w:tcPr>
          <w:p w14:paraId="51F7DAEC"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100,00</w:t>
            </w:r>
          </w:p>
        </w:tc>
      </w:tr>
      <w:tr w:rsidR="00BC7E60" w:rsidRPr="00497178" w14:paraId="21D0C2B9" w14:textId="77777777" w:rsidTr="00512D52">
        <w:trPr>
          <w:trHeight w:val="70"/>
        </w:trPr>
        <w:tc>
          <w:tcPr>
            <w:tcW w:w="704" w:type="dxa"/>
            <w:shd w:val="clear" w:color="auto" w:fill="auto"/>
          </w:tcPr>
          <w:p w14:paraId="20182CB1" w14:textId="77777777" w:rsidR="00BC7E60" w:rsidRPr="00497178" w:rsidRDefault="00BC7E60" w:rsidP="00512D52">
            <w:pPr>
              <w:keepNext/>
              <w:outlineLvl w:val="4"/>
              <w:rPr>
                <w:rFonts w:ascii="Arial" w:hAnsi="Arial" w:cs="Arial"/>
                <w:bCs/>
                <w:sz w:val="20"/>
                <w:szCs w:val="20"/>
              </w:rPr>
            </w:pPr>
          </w:p>
          <w:p w14:paraId="5A773AA5"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3.</w:t>
            </w:r>
          </w:p>
        </w:tc>
        <w:tc>
          <w:tcPr>
            <w:tcW w:w="2410" w:type="dxa"/>
            <w:shd w:val="clear" w:color="auto" w:fill="auto"/>
          </w:tcPr>
          <w:p w14:paraId="2B11BC8F"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Vijeće srpske nacionalne manjine</w:t>
            </w:r>
          </w:p>
        </w:tc>
        <w:tc>
          <w:tcPr>
            <w:tcW w:w="1701" w:type="dxa"/>
            <w:shd w:val="clear" w:color="auto" w:fill="auto"/>
            <w:vAlign w:val="center"/>
          </w:tcPr>
          <w:p w14:paraId="627B9403"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10.000,00</w:t>
            </w:r>
          </w:p>
        </w:tc>
        <w:tc>
          <w:tcPr>
            <w:tcW w:w="1701" w:type="dxa"/>
            <w:vAlign w:val="center"/>
          </w:tcPr>
          <w:p w14:paraId="39EA1DAB"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w:t>
            </w:r>
          </w:p>
        </w:tc>
        <w:tc>
          <w:tcPr>
            <w:tcW w:w="1568" w:type="dxa"/>
            <w:shd w:val="clear" w:color="auto" w:fill="auto"/>
            <w:vAlign w:val="center"/>
          </w:tcPr>
          <w:p w14:paraId="6580F625"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10.000,00</w:t>
            </w:r>
          </w:p>
        </w:tc>
        <w:tc>
          <w:tcPr>
            <w:tcW w:w="978" w:type="dxa"/>
            <w:shd w:val="clear" w:color="auto" w:fill="auto"/>
            <w:vAlign w:val="center"/>
          </w:tcPr>
          <w:p w14:paraId="1F6FDF28"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100,00</w:t>
            </w:r>
          </w:p>
        </w:tc>
      </w:tr>
      <w:tr w:rsidR="00BC7E60" w:rsidRPr="00497178" w14:paraId="031F4180" w14:textId="77777777" w:rsidTr="00512D52">
        <w:trPr>
          <w:trHeight w:val="70"/>
        </w:trPr>
        <w:tc>
          <w:tcPr>
            <w:tcW w:w="704" w:type="dxa"/>
            <w:shd w:val="clear" w:color="auto" w:fill="auto"/>
          </w:tcPr>
          <w:p w14:paraId="60CAE7BB"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 xml:space="preserve">4. </w:t>
            </w:r>
          </w:p>
        </w:tc>
        <w:tc>
          <w:tcPr>
            <w:tcW w:w="2410" w:type="dxa"/>
            <w:shd w:val="clear" w:color="auto" w:fill="auto"/>
          </w:tcPr>
          <w:p w14:paraId="6328D76F"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Vijeće talijanske nacionalne manjine</w:t>
            </w:r>
          </w:p>
        </w:tc>
        <w:tc>
          <w:tcPr>
            <w:tcW w:w="1701" w:type="dxa"/>
            <w:shd w:val="clear" w:color="auto" w:fill="auto"/>
            <w:vAlign w:val="center"/>
          </w:tcPr>
          <w:p w14:paraId="30DDA9BF"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10.000,00</w:t>
            </w:r>
          </w:p>
        </w:tc>
        <w:tc>
          <w:tcPr>
            <w:tcW w:w="1701" w:type="dxa"/>
            <w:vAlign w:val="center"/>
          </w:tcPr>
          <w:p w14:paraId="42C5D7DB"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w:t>
            </w:r>
          </w:p>
        </w:tc>
        <w:tc>
          <w:tcPr>
            <w:tcW w:w="1568" w:type="dxa"/>
            <w:shd w:val="clear" w:color="auto" w:fill="auto"/>
            <w:vAlign w:val="center"/>
          </w:tcPr>
          <w:p w14:paraId="3AF6D3BC"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10.000,00</w:t>
            </w:r>
          </w:p>
        </w:tc>
        <w:tc>
          <w:tcPr>
            <w:tcW w:w="978" w:type="dxa"/>
            <w:shd w:val="clear" w:color="auto" w:fill="auto"/>
            <w:vAlign w:val="center"/>
          </w:tcPr>
          <w:p w14:paraId="2A25B1B5"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100,00</w:t>
            </w:r>
          </w:p>
        </w:tc>
      </w:tr>
      <w:tr w:rsidR="00BC7E60" w:rsidRPr="00497178" w14:paraId="15139C1F" w14:textId="77777777" w:rsidTr="00512D52">
        <w:trPr>
          <w:trHeight w:val="70"/>
        </w:trPr>
        <w:tc>
          <w:tcPr>
            <w:tcW w:w="704" w:type="dxa"/>
            <w:shd w:val="clear" w:color="auto" w:fill="auto"/>
          </w:tcPr>
          <w:p w14:paraId="61208FAF" w14:textId="77777777" w:rsidR="00BC7E60" w:rsidRPr="00497178" w:rsidRDefault="00BC7E60" w:rsidP="00512D52">
            <w:pPr>
              <w:keepNext/>
              <w:outlineLvl w:val="4"/>
              <w:rPr>
                <w:rFonts w:ascii="Arial" w:hAnsi="Arial" w:cs="Arial"/>
                <w:bCs/>
                <w:sz w:val="20"/>
                <w:szCs w:val="20"/>
              </w:rPr>
            </w:pPr>
          </w:p>
          <w:p w14:paraId="393511A8"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5.</w:t>
            </w:r>
          </w:p>
        </w:tc>
        <w:tc>
          <w:tcPr>
            <w:tcW w:w="2410" w:type="dxa"/>
            <w:shd w:val="clear" w:color="auto" w:fill="auto"/>
          </w:tcPr>
          <w:p w14:paraId="43F325C9"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Javna vatrogasna postrojba Labin</w:t>
            </w:r>
          </w:p>
        </w:tc>
        <w:tc>
          <w:tcPr>
            <w:tcW w:w="1701" w:type="dxa"/>
            <w:shd w:val="clear" w:color="auto" w:fill="auto"/>
            <w:vAlign w:val="center"/>
          </w:tcPr>
          <w:p w14:paraId="61FD5BFF"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1.597.472,00</w:t>
            </w:r>
          </w:p>
        </w:tc>
        <w:tc>
          <w:tcPr>
            <w:tcW w:w="1701" w:type="dxa"/>
            <w:vAlign w:val="center"/>
          </w:tcPr>
          <w:p w14:paraId="4FBF2685" w14:textId="77777777" w:rsidR="00BC7E60" w:rsidRPr="00497178" w:rsidRDefault="00BC7E60" w:rsidP="00512D52">
            <w:pPr>
              <w:keepNext/>
              <w:jc w:val="right"/>
              <w:outlineLvl w:val="4"/>
              <w:rPr>
                <w:rFonts w:ascii="Arial" w:hAnsi="Arial" w:cs="Arial"/>
                <w:sz w:val="20"/>
                <w:szCs w:val="20"/>
              </w:rPr>
            </w:pPr>
            <w:r w:rsidRPr="00497178">
              <w:rPr>
                <w:rFonts w:ascii="Arial" w:hAnsi="Arial" w:cs="Arial"/>
                <w:sz w:val="20"/>
                <w:szCs w:val="20"/>
              </w:rPr>
              <w:t>40.168,00</w:t>
            </w:r>
          </w:p>
        </w:tc>
        <w:tc>
          <w:tcPr>
            <w:tcW w:w="1568" w:type="dxa"/>
            <w:shd w:val="clear" w:color="auto" w:fill="FFFFFF"/>
            <w:vAlign w:val="center"/>
          </w:tcPr>
          <w:p w14:paraId="733590D5" w14:textId="77777777" w:rsidR="00BC7E60" w:rsidRPr="00497178" w:rsidRDefault="00BC7E60" w:rsidP="00512D52">
            <w:pPr>
              <w:keepNext/>
              <w:jc w:val="right"/>
              <w:outlineLvl w:val="4"/>
              <w:rPr>
                <w:rFonts w:ascii="Arial" w:hAnsi="Arial" w:cs="Arial"/>
                <w:sz w:val="20"/>
                <w:szCs w:val="20"/>
              </w:rPr>
            </w:pPr>
            <w:r w:rsidRPr="00497178">
              <w:rPr>
                <w:rFonts w:ascii="Arial" w:hAnsi="Arial" w:cs="Arial"/>
                <w:sz w:val="20"/>
                <w:szCs w:val="20"/>
              </w:rPr>
              <w:t>1.637.640,00</w:t>
            </w:r>
          </w:p>
        </w:tc>
        <w:tc>
          <w:tcPr>
            <w:tcW w:w="978" w:type="dxa"/>
            <w:shd w:val="clear" w:color="auto" w:fill="auto"/>
            <w:vAlign w:val="center"/>
          </w:tcPr>
          <w:p w14:paraId="69023762" w14:textId="77777777" w:rsidR="00BC7E60" w:rsidRPr="00497178" w:rsidRDefault="00BC7E60" w:rsidP="00512D52">
            <w:pPr>
              <w:jc w:val="right"/>
              <w:rPr>
                <w:rFonts w:ascii="Arial" w:hAnsi="Arial" w:cs="Arial"/>
                <w:sz w:val="20"/>
                <w:szCs w:val="20"/>
              </w:rPr>
            </w:pPr>
            <w:r w:rsidRPr="00497178">
              <w:rPr>
                <w:rFonts w:ascii="Arial" w:hAnsi="Arial" w:cs="Arial"/>
                <w:sz w:val="20"/>
                <w:szCs w:val="20"/>
              </w:rPr>
              <w:t>102,51</w:t>
            </w:r>
          </w:p>
        </w:tc>
      </w:tr>
      <w:tr w:rsidR="00BC7E60" w:rsidRPr="00497178" w14:paraId="74050F9A" w14:textId="77777777" w:rsidTr="00512D52">
        <w:trPr>
          <w:trHeight w:val="70"/>
        </w:trPr>
        <w:tc>
          <w:tcPr>
            <w:tcW w:w="704" w:type="dxa"/>
            <w:shd w:val="clear" w:color="auto" w:fill="auto"/>
          </w:tcPr>
          <w:p w14:paraId="2C590BDB" w14:textId="77777777" w:rsidR="00BC7E60" w:rsidRPr="00497178" w:rsidRDefault="00BC7E60" w:rsidP="00512D52">
            <w:pPr>
              <w:keepNext/>
              <w:outlineLvl w:val="4"/>
              <w:rPr>
                <w:rFonts w:ascii="Arial" w:hAnsi="Arial" w:cs="Arial"/>
                <w:bCs/>
                <w:sz w:val="20"/>
                <w:szCs w:val="20"/>
              </w:rPr>
            </w:pPr>
          </w:p>
          <w:p w14:paraId="6F28AC0B"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6.</w:t>
            </w:r>
          </w:p>
        </w:tc>
        <w:tc>
          <w:tcPr>
            <w:tcW w:w="2410" w:type="dxa"/>
            <w:shd w:val="clear" w:color="auto" w:fill="auto"/>
          </w:tcPr>
          <w:p w14:paraId="065D19E3"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 xml:space="preserve">Dječji vrtić </w:t>
            </w:r>
            <w:proofErr w:type="spellStart"/>
            <w:r w:rsidRPr="00497178">
              <w:rPr>
                <w:rFonts w:ascii="Arial" w:hAnsi="Arial" w:cs="Arial"/>
                <w:bCs/>
                <w:sz w:val="20"/>
                <w:szCs w:val="20"/>
              </w:rPr>
              <w:t>Pjerina</w:t>
            </w:r>
            <w:proofErr w:type="spellEnd"/>
            <w:r w:rsidRPr="00497178">
              <w:rPr>
                <w:rFonts w:ascii="Arial" w:hAnsi="Arial" w:cs="Arial"/>
                <w:bCs/>
                <w:sz w:val="20"/>
                <w:szCs w:val="20"/>
              </w:rPr>
              <w:t xml:space="preserve"> </w:t>
            </w:r>
            <w:proofErr w:type="spellStart"/>
            <w:r w:rsidRPr="00497178">
              <w:rPr>
                <w:rFonts w:ascii="Arial" w:hAnsi="Arial" w:cs="Arial"/>
                <w:bCs/>
                <w:sz w:val="20"/>
                <w:szCs w:val="20"/>
              </w:rPr>
              <w:t>Verbanac</w:t>
            </w:r>
            <w:proofErr w:type="spellEnd"/>
          </w:p>
        </w:tc>
        <w:tc>
          <w:tcPr>
            <w:tcW w:w="1701" w:type="dxa"/>
            <w:shd w:val="clear" w:color="auto" w:fill="auto"/>
            <w:vAlign w:val="center"/>
          </w:tcPr>
          <w:p w14:paraId="3CB6BE8E"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3.593.217,00</w:t>
            </w:r>
          </w:p>
        </w:tc>
        <w:tc>
          <w:tcPr>
            <w:tcW w:w="1701" w:type="dxa"/>
            <w:vAlign w:val="center"/>
          </w:tcPr>
          <w:p w14:paraId="49B9240E" w14:textId="77777777" w:rsidR="00BC7E60" w:rsidRPr="00497178" w:rsidRDefault="00BC7E60" w:rsidP="00512D52">
            <w:pPr>
              <w:keepNext/>
              <w:jc w:val="right"/>
              <w:outlineLvl w:val="4"/>
              <w:rPr>
                <w:rFonts w:ascii="Arial" w:hAnsi="Arial" w:cs="Arial"/>
                <w:sz w:val="20"/>
                <w:szCs w:val="20"/>
              </w:rPr>
            </w:pPr>
            <w:r w:rsidRPr="00497178">
              <w:rPr>
                <w:rFonts w:ascii="Arial" w:hAnsi="Arial" w:cs="Arial"/>
                <w:sz w:val="20"/>
                <w:szCs w:val="20"/>
              </w:rPr>
              <w:t>150.305,00</w:t>
            </w:r>
          </w:p>
        </w:tc>
        <w:tc>
          <w:tcPr>
            <w:tcW w:w="1568" w:type="dxa"/>
            <w:shd w:val="clear" w:color="auto" w:fill="FFFFFF"/>
            <w:vAlign w:val="center"/>
          </w:tcPr>
          <w:p w14:paraId="5EA8F816" w14:textId="77777777" w:rsidR="00BC7E60" w:rsidRPr="00497178" w:rsidRDefault="00BC7E60" w:rsidP="00512D52">
            <w:pPr>
              <w:keepNext/>
              <w:jc w:val="right"/>
              <w:outlineLvl w:val="4"/>
              <w:rPr>
                <w:rFonts w:ascii="Arial" w:hAnsi="Arial" w:cs="Arial"/>
                <w:sz w:val="20"/>
                <w:szCs w:val="20"/>
              </w:rPr>
            </w:pPr>
            <w:r w:rsidRPr="00497178">
              <w:rPr>
                <w:rFonts w:ascii="Arial" w:hAnsi="Arial" w:cs="Arial"/>
                <w:sz w:val="20"/>
                <w:szCs w:val="20"/>
              </w:rPr>
              <w:t>3.743.522,00</w:t>
            </w:r>
          </w:p>
        </w:tc>
        <w:tc>
          <w:tcPr>
            <w:tcW w:w="978" w:type="dxa"/>
            <w:shd w:val="clear" w:color="auto" w:fill="auto"/>
            <w:vAlign w:val="center"/>
          </w:tcPr>
          <w:p w14:paraId="13425D61"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104,18</w:t>
            </w:r>
          </w:p>
        </w:tc>
      </w:tr>
      <w:tr w:rsidR="00BC7E60" w:rsidRPr="00497178" w14:paraId="43D57998" w14:textId="77777777" w:rsidTr="00512D52">
        <w:trPr>
          <w:trHeight w:val="70"/>
        </w:trPr>
        <w:tc>
          <w:tcPr>
            <w:tcW w:w="704" w:type="dxa"/>
            <w:shd w:val="clear" w:color="auto" w:fill="auto"/>
          </w:tcPr>
          <w:p w14:paraId="01347E16" w14:textId="77777777" w:rsidR="00BC7E60" w:rsidRPr="00497178" w:rsidRDefault="00BC7E60" w:rsidP="00512D52">
            <w:pPr>
              <w:keepNext/>
              <w:outlineLvl w:val="4"/>
              <w:rPr>
                <w:rFonts w:ascii="Arial" w:hAnsi="Arial" w:cs="Arial"/>
                <w:bCs/>
                <w:sz w:val="20"/>
                <w:szCs w:val="20"/>
              </w:rPr>
            </w:pPr>
          </w:p>
          <w:p w14:paraId="55D5BE46"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7.</w:t>
            </w:r>
          </w:p>
        </w:tc>
        <w:tc>
          <w:tcPr>
            <w:tcW w:w="2410" w:type="dxa"/>
            <w:shd w:val="clear" w:color="auto" w:fill="auto"/>
          </w:tcPr>
          <w:p w14:paraId="03F16AB0"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O.Š. Matije Vlačića Labin</w:t>
            </w:r>
          </w:p>
        </w:tc>
        <w:tc>
          <w:tcPr>
            <w:tcW w:w="1701" w:type="dxa"/>
            <w:shd w:val="clear" w:color="auto" w:fill="auto"/>
            <w:vAlign w:val="center"/>
          </w:tcPr>
          <w:p w14:paraId="5F96860D"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1.964.356,00</w:t>
            </w:r>
          </w:p>
        </w:tc>
        <w:tc>
          <w:tcPr>
            <w:tcW w:w="1701" w:type="dxa"/>
            <w:vAlign w:val="center"/>
          </w:tcPr>
          <w:p w14:paraId="2CA18FB1"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55.757,00</w:t>
            </w:r>
          </w:p>
        </w:tc>
        <w:tc>
          <w:tcPr>
            <w:tcW w:w="1568" w:type="dxa"/>
            <w:shd w:val="clear" w:color="auto" w:fill="FFFFFF"/>
            <w:vAlign w:val="center"/>
          </w:tcPr>
          <w:p w14:paraId="4D125384"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2.020.113,00</w:t>
            </w:r>
          </w:p>
        </w:tc>
        <w:tc>
          <w:tcPr>
            <w:tcW w:w="978" w:type="dxa"/>
            <w:shd w:val="clear" w:color="auto" w:fill="auto"/>
            <w:vAlign w:val="center"/>
          </w:tcPr>
          <w:p w14:paraId="531ABD1A"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102,84</w:t>
            </w:r>
          </w:p>
        </w:tc>
      </w:tr>
      <w:tr w:rsidR="00BC7E60" w:rsidRPr="00497178" w14:paraId="3B734DA2" w14:textId="77777777" w:rsidTr="00512D52">
        <w:trPr>
          <w:trHeight w:val="70"/>
        </w:trPr>
        <w:tc>
          <w:tcPr>
            <w:tcW w:w="704" w:type="dxa"/>
            <w:shd w:val="clear" w:color="auto" w:fill="auto"/>
          </w:tcPr>
          <w:p w14:paraId="6FA68C51" w14:textId="77777777" w:rsidR="00BC7E60" w:rsidRPr="00497178" w:rsidRDefault="00BC7E60" w:rsidP="00512D52">
            <w:pPr>
              <w:keepNext/>
              <w:outlineLvl w:val="4"/>
              <w:rPr>
                <w:rFonts w:ascii="Arial" w:hAnsi="Arial" w:cs="Arial"/>
                <w:bCs/>
                <w:sz w:val="20"/>
                <w:szCs w:val="20"/>
              </w:rPr>
            </w:pPr>
          </w:p>
          <w:p w14:paraId="6361DFEE"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8.</w:t>
            </w:r>
          </w:p>
        </w:tc>
        <w:tc>
          <w:tcPr>
            <w:tcW w:w="2410" w:type="dxa"/>
            <w:shd w:val="clear" w:color="auto" w:fill="auto"/>
          </w:tcPr>
          <w:p w14:paraId="3CD8ABDE"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O.Š. “Ivo Lola Ribar” Labin</w:t>
            </w:r>
          </w:p>
        </w:tc>
        <w:tc>
          <w:tcPr>
            <w:tcW w:w="1701" w:type="dxa"/>
            <w:shd w:val="clear" w:color="auto" w:fill="auto"/>
            <w:vAlign w:val="center"/>
          </w:tcPr>
          <w:p w14:paraId="5F462788"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2.808.091,00</w:t>
            </w:r>
          </w:p>
        </w:tc>
        <w:tc>
          <w:tcPr>
            <w:tcW w:w="1701" w:type="dxa"/>
            <w:vAlign w:val="center"/>
          </w:tcPr>
          <w:p w14:paraId="21677BFA"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143.922,00</w:t>
            </w:r>
          </w:p>
        </w:tc>
        <w:tc>
          <w:tcPr>
            <w:tcW w:w="1568" w:type="dxa"/>
            <w:shd w:val="clear" w:color="auto" w:fill="FFFFFF"/>
            <w:vAlign w:val="center"/>
          </w:tcPr>
          <w:p w14:paraId="1A0BEB0F"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2.952.013,00</w:t>
            </w:r>
          </w:p>
        </w:tc>
        <w:tc>
          <w:tcPr>
            <w:tcW w:w="978" w:type="dxa"/>
            <w:shd w:val="clear" w:color="auto" w:fill="auto"/>
            <w:vAlign w:val="center"/>
          </w:tcPr>
          <w:p w14:paraId="56454BA1"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105,13</w:t>
            </w:r>
          </w:p>
        </w:tc>
      </w:tr>
      <w:tr w:rsidR="00BC7E60" w:rsidRPr="00497178" w14:paraId="6E6BF576" w14:textId="77777777" w:rsidTr="00512D52">
        <w:trPr>
          <w:trHeight w:val="70"/>
        </w:trPr>
        <w:tc>
          <w:tcPr>
            <w:tcW w:w="704" w:type="dxa"/>
            <w:shd w:val="clear" w:color="auto" w:fill="auto"/>
          </w:tcPr>
          <w:p w14:paraId="51761A24" w14:textId="77777777" w:rsidR="00BC7E60" w:rsidRPr="00497178" w:rsidRDefault="00BC7E60" w:rsidP="00512D52">
            <w:pPr>
              <w:keepNext/>
              <w:outlineLvl w:val="4"/>
              <w:rPr>
                <w:rFonts w:ascii="Arial" w:hAnsi="Arial" w:cs="Arial"/>
                <w:bCs/>
                <w:sz w:val="20"/>
                <w:szCs w:val="20"/>
              </w:rPr>
            </w:pPr>
          </w:p>
          <w:p w14:paraId="3AD5AC33"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9.</w:t>
            </w:r>
          </w:p>
        </w:tc>
        <w:tc>
          <w:tcPr>
            <w:tcW w:w="2410" w:type="dxa"/>
            <w:shd w:val="clear" w:color="auto" w:fill="auto"/>
          </w:tcPr>
          <w:p w14:paraId="323BE131"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 xml:space="preserve">Centar Liče </w:t>
            </w:r>
            <w:proofErr w:type="spellStart"/>
            <w:r w:rsidRPr="00497178">
              <w:rPr>
                <w:rFonts w:ascii="Arial" w:hAnsi="Arial" w:cs="Arial"/>
                <w:bCs/>
                <w:sz w:val="20"/>
                <w:szCs w:val="20"/>
              </w:rPr>
              <w:t>Faraguna</w:t>
            </w:r>
            <w:proofErr w:type="spellEnd"/>
            <w:r w:rsidRPr="00497178">
              <w:rPr>
                <w:rFonts w:ascii="Arial" w:hAnsi="Arial" w:cs="Arial"/>
                <w:bCs/>
                <w:sz w:val="20"/>
                <w:szCs w:val="20"/>
              </w:rPr>
              <w:t xml:space="preserve"> Labin</w:t>
            </w:r>
          </w:p>
        </w:tc>
        <w:tc>
          <w:tcPr>
            <w:tcW w:w="1701" w:type="dxa"/>
            <w:shd w:val="clear" w:color="auto" w:fill="auto"/>
            <w:vAlign w:val="center"/>
          </w:tcPr>
          <w:p w14:paraId="3E3AE546"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664.020,00</w:t>
            </w:r>
          </w:p>
        </w:tc>
        <w:tc>
          <w:tcPr>
            <w:tcW w:w="1701" w:type="dxa"/>
            <w:vAlign w:val="center"/>
          </w:tcPr>
          <w:p w14:paraId="747A8B6A"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36.854,00</w:t>
            </w:r>
          </w:p>
        </w:tc>
        <w:tc>
          <w:tcPr>
            <w:tcW w:w="1568" w:type="dxa"/>
            <w:shd w:val="clear" w:color="auto" w:fill="FFFFFF"/>
            <w:vAlign w:val="center"/>
          </w:tcPr>
          <w:p w14:paraId="1C434B4F"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700.874,00</w:t>
            </w:r>
          </w:p>
        </w:tc>
        <w:tc>
          <w:tcPr>
            <w:tcW w:w="978" w:type="dxa"/>
            <w:shd w:val="clear" w:color="auto" w:fill="auto"/>
            <w:vAlign w:val="center"/>
          </w:tcPr>
          <w:p w14:paraId="5CACDB75"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105,55</w:t>
            </w:r>
          </w:p>
        </w:tc>
      </w:tr>
      <w:tr w:rsidR="00BC7E60" w:rsidRPr="00497178" w14:paraId="3A31EBCE" w14:textId="77777777" w:rsidTr="00512D52">
        <w:trPr>
          <w:trHeight w:val="498"/>
        </w:trPr>
        <w:tc>
          <w:tcPr>
            <w:tcW w:w="704" w:type="dxa"/>
            <w:shd w:val="clear" w:color="auto" w:fill="auto"/>
          </w:tcPr>
          <w:p w14:paraId="3EB4A787" w14:textId="77777777" w:rsidR="00BC7E60" w:rsidRPr="00497178" w:rsidRDefault="00BC7E60" w:rsidP="00512D52">
            <w:pPr>
              <w:keepNext/>
              <w:outlineLvl w:val="4"/>
              <w:rPr>
                <w:rFonts w:ascii="Arial" w:hAnsi="Arial" w:cs="Arial"/>
                <w:bCs/>
                <w:sz w:val="20"/>
                <w:szCs w:val="20"/>
              </w:rPr>
            </w:pPr>
          </w:p>
          <w:p w14:paraId="338BC308"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10.</w:t>
            </w:r>
          </w:p>
        </w:tc>
        <w:tc>
          <w:tcPr>
            <w:tcW w:w="2410" w:type="dxa"/>
            <w:shd w:val="clear" w:color="auto" w:fill="auto"/>
          </w:tcPr>
          <w:p w14:paraId="13C5CD58"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Umjetnička škola Matka Brajše Rašana Labin</w:t>
            </w:r>
          </w:p>
        </w:tc>
        <w:tc>
          <w:tcPr>
            <w:tcW w:w="1701" w:type="dxa"/>
            <w:shd w:val="clear" w:color="auto" w:fill="auto"/>
            <w:vAlign w:val="center"/>
          </w:tcPr>
          <w:p w14:paraId="26636EBB"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1.352.670,00</w:t>
            </w:r>
          </w:p>
        </w:tc>
        <w:tc>
          <w:tcPr>
            <w:tcW w:w="1701" w:type="dxa"/>
            <w:vAlign w:val="center"/>
          </w:tcPr>
          <w:p w14:paraId="4F9BB388"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53.870,00</w:t>
            </w:r>
          </w:p>
        </w:tc>
        <w:tc>
          <w:tcPr>
            <w:tcW w:w="1568" w:type="dxa"/>
            <w:shd w:val="clear" w:color="auto" w:fill="FFFFFF"/>
            <w:vAlign w:val="center"/>
          </w:tcPr>
          <w:p w14:paraId="234339B5"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1.406.540,00</w:t>
            </w:r>
          </w:p>
        </w:tc>
        <w:tc>
          <w:tcPr>
            <w:tcW w:w="978" w:type="dxa"/>
            <w:shd w:val="clear" w:color="auto" w:fill="auto"/>
            <w:vAlign w:val="center"/>
          </w:tcPr>
          <w:p w14:paraId="65098B4D"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103,98</w:t>
            </w:r>
          </w:p>
        </w:tc>
      </w:tr>
      <w:tr w:rsidR="00BC7E60" w:rsidRPr="00497178" w14:paraId="14A5A0FB" w14:textId="77777777" w:rsidTr="00512D52">
        <w:trPr>
          <w:trHeight w:val="70"/>
        </w:trPr>
        <w:tc>
          <w:tcPr>
            <w:tcW w:w="704" w:type="dxa"/>
            <w:shd w:val="clear" w:color="auto" w:fill="auto"/>
          </w:tcPr>
          <w:p w14:paraId="283007B8" w14:textId="77777777" w:rsidR="00BC7E60" w:rsidRPr="00497178" w:rsidRDefault="00BC7E60" w:rsidP="00512D52">
            <w:pPr>
              <w:keepNext/>
              <w:outlineLvl w:val="4"/>
              <w:rPr>
                <w:rFonts w:ascii="Arial" w:hAnsi="Arial" w:cs="Arial"/>
                <w:bCs/>
                <w:sz w:val="20"/>
                <w:szCs w:val="20"/>
              </w:rPr>
            </w:pPr>
          </w:p>
          <w:p w14:paraId="55A4D511"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11.</w:t>
            </w:r>
          </w:p>
        </w:tc>
        <w:tc>
          <w:tcPr>
            <w:tcW w:w="2410" w:type="dxa"/>
            <w:shd w:val="clear" w:color="auto" w:fill="auto"/>
          </w:tcPr>
          <w:p w14:paraId="2F8EC1FF"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Pučko otvoreno učilište Labin</w:t>
            </w:r>
          </w:p>
        </w:tc>
        <w:tc>
          <w:tcPr>
            <w:tcW w:w="1701" w:type="dxa"/>
            <w:shd w:val="clear" w:color="auto" w:fill="auto"/>
            <w:vAlign w:val="center"/>
          </w:tcPr>
          <w:p w14:paraId="12B51ECB"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524.394,00</w:t>
            </w:r>
          </w:p>
        </w:tc>
        <w:tc>
          <w:tcPr>
            <w:tcW w:w="1701" w:type="dxa"/>
            <w:vAlign w:val="center"/>
          </w:tcPr>
          <w:p w14:paraId="496B0C57"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76.988,00</w:t>
            </w:r>
          </w:p>
        </w:tc>
        <w:tc>
          <w:tcPr>
            <w:tcW w:w="1568" w:type="dxa"/>
            <w:shd w:val="clear" w:color="auto" w:fill="FFFFFF"/>
            <w:vAlign w:val="center"/>
          </w:tcPr>
          <w:p w14:paraId="2AC54118"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601.382,00</w:t>
            </w:r>
          </w:p>
        </w:tc>
        <w:tc>
          <w:tcPr>
            <w:tcW w:w="978" w:type="dxa"/>
            <w:shd w:val="clear" w:color="auto" w:fill="auto"/>
            <w:vAlign w:val="center"/>
          </w:tcPr>
          <w:p w14:paraId="6C5F073D"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114,68</w:t>
            </w:r>
          </w:p>
        </w:tc>
      </w:tr>
      <w:tr w:rsidR="00BC7E60" w:rsidRPr="00497178" w14:paraId="795F51F2" w14:textId="77777777" w:rsidTr="00512D52">
        <w:trPr>
          <w:trHeight w:val="70"/>
        </w:trPr>
        <w:tc>
          <w:tcPr>
            <w:tcW w:w="704" w:type="dxa"/>
            <w:shd w:val="clear" w:color="auto" w:fill="auto"/>
          </w:tcPr>
          <w:p w14:paraId="311D6D5D" w14:textId="77777777" w:rsidR="00BC7E60" w:rsidRPr="00497178" w:rsidRDefault="00BC7E60" w:rsidP="00512D52">
            <w:pPr>
              <w:keepNext/>
              <w:outlineLvl w:val="4"/>
              <w:rPr>
                <w:rFonts w:ascii="Arial" w:hAnsi="Arial" w:cs="Arial"/>
                <w:bCs/>
                <w:sz w:val="20"/>
                <w:szCs w:val="20"/>
              </w:rPr>
            </w:pPr>
          </w:p>
          <w:p w14:paraId="50F95AC2"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12.</w:t>
            </w:r>
          </w:p>
        </w:tc>
        <w:tc>
          <w:tcPr>
            <w:tcW w:w="2410" w:type="dxa"/>
            <w:shd w:val="clear" w:color="auto" w:fill="auto"/>
          </w:tcPr>
          <w:p w14:paraId="091B9361"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Gradska knjižnica Labin</w:t>
            </w:r>
          </w:p>
        </w:tc>
        <w:tc>
          <w:tcPr>
            <w:tcW w:w="1701" w:type="dxa"/>
            <w:shd w:val="clear" w:color="auto" w:fill="auto"/>
            <w:vAlign w:val="center"/>
          </w:tcPr>
          <w:p w14:paraId="01F1ADFC"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248.235,00</w:t>
            </w:r>
          </w:p>
        </w:tc>
        <w:tc>
          <w:tcPr>
            <w:tcW w:w="1701" w:type="dxa"/>
            <w:vAlign w:val="center"/>
          </w:tcPr>
          <w:p w14:paraId="2FAC4370"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13.972,00</w:t>
            </w:r>
          </w:p>
        </w:tc>
        <w:tc>
          <w:tcPr>
            <w:tcW w:w="1568" w:type="dxa"/>
            <w:shd w:val="clear" w:color="auto" w:fill="FFFFFF"/>
            <w:vAlign w:val="center"/>
          </w:tcPr>
          <w:p w14:paraId="7EA3DD94"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262.207,00</w:t>
            </w:r>
          </w:p>
        </w:tc>
        <w:tc>
          <w:tcPr>
            <w:tcW w:w="978" w:type="dxa"/>
            <w:shd w:val="clear" w:color="auto" w:fill="auto"/>
            <w:vAlign w:val="center"/>
          </w:tcPr>
          <w:p w14:paraId="6F7868F4"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105,63</w:t>
            </w:r>
          </w:p>
        </w:tc>
      </w:tr>
      <w:tr w:rsidR="00BC7E60" w:rsidRPr="00497178" w14:paraId="45D49BD1" w14:textId="77777777" w:rsidTr="00512D52">
        <w:trPr>
          <w:trHeight w:val="70"/>
        </w:trPr>
        <w:tc>
          <w:tcPr>
            <w:tcW w:w="704" w:type="dxa"/>
            <w:shd w:val="clear" w:color="auto" w:fill="auto"/>
          </w:tcPr>
          <w:p w14:paraId="58D7B41D" w14:textId="77777777" w:rsidR="00BC7E60" w:rsidRPr="00497178" w:rsidRDefault="00BC7E60" w:rsidP="00512D52">
            <w:pPr>
              <w:keepNext/>
              <w:outlineLvl w:val="4"/>
              <w:rPr>
                <w:rFonts w:ascii="Arial" w:hAnsi="Arial" w:cs="Arial"/>
                <w:bCs/>
                <w:sz w:val="20"/>
                <w:szCs w:val="20"/>
              </w:rPr>
            </w:pPr>
          </w:p>
          <w:p w14:paraId="66259878"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 xml:space="preserve">13. </w:t>
            </w:r>
          </w:p>
        </w:tc>
        <w:tc>
          <w:tcPr>
            <w:tcW w:w="2410" w:type="dxa"/>
            <w:shd w:val="clear" w:color="auto" w:fill="auto"/>
          </w:tcPr>
          <w:p w14:paraId="4B572EED" w14:textId="77777777" w:rsidR="00BC7E60" w:rsidRPr="00497178" w:rsidRDefault="00BC7E60" w:rsidP="00512D52">
            <w:pPr>
              <w:keepNext/>
              <w:outlineLvl w:val="4"/>
              <w:rPr>
                <w:rFonts w:ascii="Arial" w:hAnsi="Arial" w:cs="Arial"/>
                <w:bCs/>
                <w:sz w:val="20"/>
                <w:szCs w:val="20"/>
              </w:rPr>
            </w:pPr>
            <w:r w:rsidRPr="00497178">
              <w:rPr>
                <w:rFonts w:ascii="Arial" w:hAnsi="Arial" w:cs="Arial"/>
                <w:bCs/>
                <w:sz w:val="20"/>
                <w:szCs w:val="20"/>
              </w:rPr>
              <w:t>Dom za starije osobe Labin</w:t>
            </w:r>
          </w:p>
        </w:tc>
        <w:tc>
          <w:tcPr>
            <w:tcW w:w="1701" w:type="dxa"/>
            <w:shd w:val="clear" w:color="auto" w:fill="auto"/>
            <w:vAlign w:val="center"/>
          </w:tcPr>
          <w:p w14:paraId="6AB0132F"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1.737.130,00</w:t>
            </w:r>
          </w:p>
        </w:tc>
        <w:tc>
          <w:tcPr>
            <w:tcW w:w="1701" w:type="dxa"/>
            <w:vAlign w:val="center"/>
          </w:tcPr>
          <w:p w14:paraId="7FDCF126"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32.913,00</w:t>
            </w:r>
          </w:p>
        </w:tc>
        <w:tc>
          <w:tcPr>
            <w:tcW w:w="1568" w:type="dxa"/>
            <w:shd w:val="clear" w:color="auto" w:fill="FFFFFF"/>
            <w:vAlign w:val="center"/>
          </w:tcPr>
          <w:p w14:paraId="5A1C4167"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1.770.043,00</w:t>
            </w:r>
          </w:p>
        </w:tc>
        <w:tc>
          <w:tcPr>
            <w:tcW w:w="978" w:type="dxa"/>
            <w:shd w:val="clear" w:color="auto" w:fill="auto"/>
            <w:vAlign w:val="center"/>
          </w:tcPr>
          <w:p w14:paraId="0905FD57" w14:textId="77777777" w:rsidR="00BC7E60" w:rsidRPr="00497178" w:rsidRDefault="00BC7E60" w:rsidP="00512D52">
            <w:pPr>
              <w:keepNext/>
              <w:jc w:val="right"/>
              <w:outlineLvl w:val="4"/>
              <w:rPr>
                <w:rFonts w:ascii="Arial" w:hAnsi="Arial" w:cs="Arial"/>
                <w:bCs/>
                <w:sz w:val="20"/>
                <w:szCs w:val="20"/>
              </w:rPr>
            </w:pPr>
            <w:r w:rsidRPr="00497178">
              <w:rPr>
                <w:rFonts w:ascii="Arial" w:hAnsi="Arial" w:cs="Arial"/>
                <w:bCs/>
                <w:sz w:val="20"/>
                <w:szCs w:val="20"/>
              </w:rPr>
              <w:t>101,89</w:t>
            </w:r>
          </w:p>
        </w:tc>
      </w:tr>
      <w:tr w:rsidR="00BC7E60" w:rsidRPr="00497178" w14:paraId="615457A0" w14:textId="77777777" w:rsidTr="00512D52">
        <w:trPr>
          <w:trHeight w:val="458"/>
        </w:trPr>
        <w:tc>
          <w:tcPr>
            <w:tcW w:w="704" w:type="dxa"/>
            <w:shd w:val="clear" w:color="auto" w:fill="auto"/>
          </w:tcPr>
          <w:p w14:paraId="086A7706" w14:textId="77777777" w:rsidR="00BC7E60" w:rsidRPr="00497178" w:rsidRDefault="00BC7E60" w:rsidP="00512D52">
            <w:pPr>
              <w:keepNext/>
              <w:outlineLvl w:val="4"/>
              <w:rPr>
                <w:rFonts w:ascii="Arial" w:hAnsi="Arial" w:cs="Arial"/>
                <w:bCs/>
                <w:sz w:val="20"/>
                <w:szCs w:val="20"/>
              </w:rPr>
            </w:pPr>
          </w:p>
        </w:tc>
        <w:tc>
          <w:tcPr>
            <w:tcW w:w="2410" w:type="dxa"/>
            <w:shd w:val="clear" w:color="auto" w:fill="auto"/>
            <w:vAlign w:val="center"/>
          </w:tcPr>
          <w:p w14:paraId="7764C957" w14:textId="77777777" w:rsidR="00BC7E60" w:rsidRPr="00497178" w:rsidRDefault="00BC7E60" w:rsidP="00512D52">
            <w:pPr>
              <w:keepNext/>
              <w:outlineLvl w:val="4"/>
              <w:rPr>
                <w:rFonts w:ascii="Arial" w:hAnsi="Arial" w:cs="Arial"/>
                <w:b/>
                <w:sz w:val="20"/>
                <w:szCs w:val="20"/>
              </w:rPr>
            </w:pPr>
            <w:r w:rsidRPr="00497178">
              <w:rPr>
                <w:rFonts w:ascii="Arial" w:hAnsi="Arial" w:cs="Arial"/>
                <w:b/>
                <w:sz w:val="20"/>
                <w:szCs w:val="20"/>
              </w:rPr>
              <w:t xml:space="preserve">Ukupno korisnici: </w:t>
            </w:r>
          </w:p>
        </w:tc>
        <w:tc>
          <w:tcPr>
            <w:tcW w:w="1701" w:type="dxa"/>
            <w:shd w:val="clear" w:color="auto" w:fill="auto"/>
            <w:vAlign w:val="center"/>
          </w:tcPr>
          <w:p w14:paraId="708CF63B" w14:textId="77777777" w:rsidR="00BC7E60" w:rsidRPr="00497178" w:rsidRDefault="00BC7E60" w:rsidP="00512D52">
            <w:pPr>
              <w:keepNext/>
              <w:jc w:val="right"/>
              <w:outlineLvl w:val="4"/>
              <w:rPr>
                <w:rFonts w:ascii="Arial" w:hAnsi="Arial" w:cs="Arial"/>
                <w:b/>
                <w:sz w:val="20"/>
                <w:szCs w:val="20"/>
              </w:rPr>
            </w:pPr>
            <w:r w:rsidRPr="00497178">
              <w:rPr>
                <w:rFonts w:ascii="Arial" w:hAnsi="Arial" w:cs="Arial"/>
                <w:b/>
                <w:sz w:val="20"/>
                <w:szCs w:val="20"/>
              </w:rPr>
              <w:t>14.523.685,00</w:t>
            </w:r>
          </w:p>
        </w:tc>
        <w:tc>
          <w:tcPr>
            <w:tcW w:w="1701" w:type="dxa"/>
            <w:vAlign w:val="center"/>
          </w:tcPr>
          <w:p w14:paraId="6ACF175D" w14:textId="77777777" w:rsidR="00BC7E60" w:rsidRPr="00497178" w:rsidRDefault="00BC7E60" w:rsidP="00512D52">
            <w:pPr>
              <w:keepNext/>
              <w:jc w:val="right"/>
              <w:outlineLvl w:val="4"/>
              <w:rPr>
                <w:rFonts w:ascii="Arial" w:hAnsi="Arial" w:cs="Arial"/>
                <w:b/>
                <w:sz w:val="20"/>
                <w:szCs w:val="20"/>
              </w:rPr>
            </w:pPr>
            <w:r w:rsidRPr="00497178">
              <w:rPr>
                <w:rFonts w:ascii="Arial" w:hAnsi="Arial" w:cs="Arial"/>
                <w:b/>
                <w:sz w:val="20"/>
                <w:szCs w:val="20"/>
              </w:rPr>
              <w:t>604.749,00</w:t>
            </w:r>
          </w:p>
        </w:tc>
        <w:tc>
          <w:tcPr>
            <w:tcW w:w="1568" w:type="dxa"/>
            <w:shd w:val="clear" w:color="auto" w:fill="FFFFFF"/>
            <w:vAlign w:val="center"/>
          </w:tcPr>
          <w:p w14:paraId="25C03436" w14:textId="77777777" w:rsidR="00BC7E60" w:rsidRPr="00497178" w:rsidRDefault="00BC7E60" w:rsidP="00512D52">
            <w:pPr>
              <w:keepNext/>
              <w:jc w:val="right"/>
              <w:outlineLvl w:val="4"/>
              <w:rPr>
                <w:rFonts w:ascii="Arial" w:hAnsi="Arial" w:cs="Arial"/>
                <w:b/>
                <w:sz w:val="20"/>
                <w:szCs w:val="20"/>
              </w:rPr>
            </w:pPr>
            <w:r w:rsidRPr="00497178">
              <w:rPr>
                <w:rFonts w:ascii="Arial" w:hAnsi="Arial" w:cs="Arial"/>
                <w:b/>
                <w:sz w:val="20"/>
                <w:szCs w:val="20"/>
              </w:rPr>
              <w:t>15.128.434,00</w:t>
            </w:r>
          </w:p>
        </w:tc>
        <w:tc>
          <w:tcPr>
            <w:tcW w:w="978" w:type="dxa"/>
            <w:shd w:val="clear" w:color="auto" w:fill="auto"/>
            <w:vAlign w:val="center"/>
          </w:tcPr>
          <w:p w14:paraId="599FC4F9" w14:textId="77777777" w:rsidR="00BC7E60" w:rsidRPr="00497178" w:rsidRDefault="00BC7E60" w:rsidP="00512D52">
            <w:pPr>
              <w:keepNext/>
              <w:jc w:val="right"/>
              <w:outlineLvl w:val="4"/>
              <w:rPr>
                <w:rFonts w:ascii="Arial" w:hAnsi="Arial" w:cs="Arial"/>
                <w:b/>
                <w:sz w:val="20"/>
                <w:szCs w:val="20"/>
              </w:rPr>
            </w:pPr>
            <w:r w:rsidRPr="00497178">
              <w:rPr>
                <w:rFonts w:ascii="Arial" w:hAnsi="Arial" w:cs="Arial"/>
                <w:b/>
                <w:sz w:val="20"/>
                <w:szCs w:val="20"/>
              </w:rPr>
              <w:t>104,16</w:t>
            </w:r>
          </w:p>
        </w:tc>
      </w:tr>
      <w:tr w:rsidR="00BC7E60" w:rsidRPr="00497178" w14:paraId="7CF32FEB" w14:textId="77777777" w:rsidTr="00512D52">
        <w:trPr>
          <w:trHeight w:val="438"/>
        </w:trPr>
        <w:tc>
          <w:tcPr>
            <w:tcW w:w="3114" w:type="dxa"/>
            <w:gridSpan w:val="2"/>
            <w:shd w:val="clear" w:color="auto" w:fill="auto"/>
          </w:tcPr>
          <w:p w14:paraId="7BB286CA" w14:textId="77777777" w:rsidR="00BC7E60" w:rsidRPr="00497178" w:rsidRDefault="00BC7E60" w:rsidP="00512D52">
            <w:pPr>
              <w:keepNext/>
              <w:jc w:val="center"/>
              <w:outlineLvl w:val="4"/>
              <w:rPr>
                <w:rFonts w:ascii="Arial" w:hAnsi="Arial" w:cs="Arial"/>
                <w:b/>
                <w:bCs/>
                <w:sz w:val="20"/>
                <w:szCs w:val="20"/>
              </w:rPr>
            </w:pPr>
            <w:r w:rsidRPr="00497178">
              <w:rPr>
                <w:rFonts w:ascii="Arial" w:hAnsi="Arial" w:cs="Arial"/>
                <w:b/>
                <w:bCs/>
                <w:sz w:val="20"/>
                <w:szCs w:val="20"/>
              </w:rPr>
              <w:t>SVEUKUPNO GRAD + KORISNICI:</w:t>
            </w:r>
          </w:p>
        </w:tc>
        <w:tc>
          <w:tcPr>
            <w:tcW w:w="1701" w:type="dxa"/>
            <w:shd w:val="clear" w:color="auto" w:fill="auto"/>
            <w:vAlign w:val="center"/>
          </w:tcPr>
          <w:p w14:paraId="0AE9E248" w14:textId="77777777" w:rsidR="00BC7E60" w:rsidRPr="00497178" w:rsidRDefault="00BC7E60" w:rsidP="00512D52">
            <w:pPr>
              <w:keepNext/>
              <w:jc w:val="right"/>
              <w:outlineLvl w:val="4"/>
              <w:rPr>
                <w:rFonts w:ascii="Arial" w:hAnsi="Arial" w:cs="Arial"/>
                <w:b/>
                <w:bCs/>
                <w:sz w:val="20"/>
                <w:szCs w:val="20"/>
              </w:rPr>
            </w:pPr>
            <w:r w:rsidRPr="00497178">
              <w:rPr>
                <w:rFonts w:ascii="Arial" w:hAnsi="Arial" w:cs="Arial"/>
                <w:b/>
                <w:bCs/>
                <w:sz w:val="20"/>
                <w:szCs w:val="20"/>
              </w:rPr>
              <w:t>27.480.306,00</w:t>
            </w:r>
          </w:p>
        </w:tc>
        <w:tc>
          <w:tcPr>
            <w:tcW w:w="1701" w:type="dxa"/>
            <w:vAlign w:val="center"/>
          </w:tcPr>
          <w:p w14:paraId="499A910A" w14:textId="77777777" w:rsidR="00BC7E60" w:rsidRPr="00497178" w:rsidRDefault="00BC7E60" w:rsidP="00512D52">
            <w:pPr>
              <w:keepNext/>
              <w:jc w:val="right"/>
              <w:outlineLvl w:val="4"/>
              <w:rPr>
                <w:rFonts w:ascii="Arial" w:hAnsi="Arial" w:cs="Arial"/>
                <w:b/>
                <w:bCs/>
                <w:sz w:val="20"/>
                <w:szCs w:val="20"/>
              </w:rPr>
            </w:pPr>
            <w:r w:rsidRPr="00497178">
              <w:rPr>
                <w:rFonts w:ascii="Arial" w:hAnsi="Arial" w:cs="Arial"/>
                <w:b/>
                <w:bCs/>
                <w:sz w:val="20"/>
                <w:szCs w:val="20"/>
              </w:rPr>
              <w:t>933.295,00</w:t>
            </w:r>
          </w:p>
        </w:tc>
        <w:tc>
          <w:tcPr>
            <w:tcW w:w="1568" w:type="dxa"/>
            <w:shd w:val="clear" w:color="auto" w:fill="FFFFFF"/>
            <w:vAlign w:val="center"/>
          </w:tcPr>
          <w:p w14:paraId="49BAFEE7" w14:textId="77777777" w:rsidR="00BC7E60" w:rsidRPr="00497178" w:rsidRDefault="00BC7E60" w:rsidP="00512D52">
            <w:pPr>
              <w:keepNext/>
              <w:jc w:val="right"/>
              <w:outlineLvl w:val="4"/>
              <w:rPr>
                <w:rFonts w:ascii="Arial" w:hAnsi="Arial" w:cs="Arial"/>
                <w:b/>
                <w:bCs/>
                <w:sz w:val="20"/>
                <w:szCs w:val="20"/>
              </w:rPr>
            </w:pPr>
            <w:r w:rsidRPr="00497178">
              <w:rPr>
                <w:rFonts w:ascii="Arial" w:hAnsi="Arial" w:cs="Arial"/>
                <w:b/>
                <w:bCs/>
                <w:sz w:val="20"/>
                <w:szCs w:val="20"/>
              </w:rPr>
              <w:t>28.413.601,00</w:t>
            </w:r>
          </w:p>
        </w:tc>
        <w:tc>
          <w:tcPr>
            <w:tcW w:w="978" w:type="dxa"/>
            <w:shd w:val="clear" w:color="auto" w:fill="auto"/>
            <w:vAlign w:val="center"/>
          </w:tcPr>
          <w:p w14:paraId="25D1CEB1" w14:textId="77777777" w:rsidR="00BC7E60" w:rsidRPr="00497178" w:rsidRDefault="00BC7E60" w:rsidP="00512D52">
            <w:pPr>
              <w:keepNext/>
              <w:jc w:val="right"/>
              <w:outlineLvl w:val="4"/>
              <w:rPr>
                <w:rFonts w:ascii="Arial" w:hAnsi="Arial" w:cs="Arial"/>
                <w:b/>
                <w:bCs/>
                <w:sz w:val="20"/>
                <w:szCs w:val="20"/>
              </w:rPr>
            </w:pPr>
            <w:r w:rsidRPr="00497178">
              <w:rPr>
                <w:rFonts w:ascii="Arial" w:hAnsi="Arial" w:cs="Arial"/>
                <w:b/>
                <w:bCs/>
                <w:sz w:val="20"/>
                <w:szCs w:val="20"/>
              </w:rPr>
              <w:t>103,40</w:t>
            </w:r>
          </w:p>
        </w:tc>
      </w:tr>
    </w:tbl>
    <w:p w14:paraId="18823F7D" w14:textId="77777777" w:rsidR="00BC7E60" w:rsidRPr="00497178" w:rsidRDefault="00BC7E60" w:rsidP="00BC7E60">
      <w:pPr>
        <w:rPr>
          <w:rFonts w:ascii="Arial" w:eastAsia="Calibri" w:hAnsi="Arial" w:cs="Arial"/>
          <w:sz w:val="22"/>
        </w:rPr>
      </w:pPr>
    </w:p>
    <w:p w14:paraId="57CA4E4A" w14:textId="77777777" w:rsidR="00BC7E60" w:rsidRPr="00497178" w:rsidRDefault="00BC7E60" w:rsidP="00BC7E60">
      <w:pPr>
        <w:jc w:val="both"/>
        <w:rPr>
          <w:rFonts w:ascii="Arial" w:eastAsia="Calibri" w:hAnsi="Arial" w:cs="Arial"/>
          <w:sz w:val="22"/>
        </w:rPr>
      </w:pPr>
      <w:r w:rsidRPr="00497178">
        <w:rPr>
          <w:rFonts w:ascii="Arial" w:eastAsia="Calibri" w:hAnsi="Arial" w:cs="Arial"/>
          <w:sz w:val="22"/>
        </w:rPr>
        <w:t xml:space="preserve">Iz tabele je vidljivo da  povećanje proračuna Grada Labina, bez proračunskih korisnika, iznosi  328.546,00 </w:t>
      </w:r>
      <w:r w:rsidRPr="00497178">
        <w:rPr>
          <w:rFonts w:ascii="Arial" w:hAnsi="Arial" w:cs="Arial"/>
          <w:sz w:val="22"/>
        </w:rPr>
        <w:t>EUR</w:t>
      </w:r>
      <w:r w:rsidRPr="00497178">
        <w:rPr>
          <w:rFonts w:ascii="Arial" w:eastAsia="Calibri" w:hAnsi="Arial" w:cs="Arial"/>
          <w:sz w:val="22"/>
        </w:rPr>
        <w:t xml:space="preserve">, odnosno povećan je za 2,54%, dok povećanje proračuna proračunskih korisnika ukupno iznosi 604.749,00 </w:t>
      </w:r>
      <w:r w:rsidRPr="00497178">
        <w:rPr>
          <w:rFonts w:ascii="Arial" w:hAnsi="Arial" w:cs="Arial"/>
          <w:sz w:val="22"/>
        </w:rPr>
        <w:t>EUR, odnosno  4,16%.</w:t>
      </w:r>
    </w:p>
    <w:p w14:paraId="072A4959" w14:textId="77777777" w:rsidR="00BC7E60" w:rsidRPr="00497178" w:rsidRDefault="00BC7E60" w:rsidP="00BC7E60">
      <w:pPr>
        <w:rPr>
          <w:rFonts w:ascii="Arial" w:eastAsia="Calibri" w:hAnsi="Arial" w:cs="Arial"/>
          <w:sz w:val="22"/>
        </w:rPr>
      </w:pPr>
    </w:p>
    <w:p w14:paraId="7C4C9459" w14:textId="77777777" w:rsidR="00BC7E60" w:rsidRPr="00497178" w:rsidRDefault="00BC7E60">
      <w:pPr>
        <w:numPr>
          <w:ilvl w:val="0"/>
          <w:numId w:val="10"/>
        </w:numPr>
        <w:spacing w:after="160" w:line="259" w:lineRule="auto"/>
        <w:contextualSpacing/>
        <w:rPr>
          <w:rFonts w:ascii="Arial" w:eastAsia="Calibri" w:hAnsi="Arial" w:cs="Arial"/>
          <w:sz w:val="22"/>
        </w:rPr>
      </w:pPr>
      <w:r w:rsidRPr="00497178">
        <w:rPr>
          <w:rFonts w:ascii="Arial" w:eastAsia="Calibri" w:hAnsi="Arial" w:cs="Arial"/>
          <w:b/>
          <w:sz w:val="22"/>
        </w:rPr>
        <w:t>RASHODI POSLOVANJA</w:t>
      </w:r>
    </w:p>
    <w:p w14:paraId="20E4234E" w14:textId="77777777" w:rsidR="00BC7E60" w:rsidRPr="00497178" w:rsidRDefault="00BC7E60" w:rsidP="00BC7E60">
      <w:pPr>
        <w:ind w:left="720"/>
        <w:contextualSpacing/>
        <w:rPr>
          <w:rFonts w:ascii="Arial" w:eastAsia="Calibri" w:hAnsi="Arial" w:cs="Arial"/>
          <w:sz w:val="22"/>
        </w:rPr>
      </w:pPr>
    </w:p>
    <w:p w14:paraId="6B2B1C4F" w14:textId="77777777" w:rsidR="00BC7E60" w:rsidRPr="00497178" w:rsidRDefault="00BC7E60" w:rsidP="00BC7E60">
      <w:pPr>
        <w:jc w:val="both"/>
        <w:rPr>
          <w:rFonts w:ascii="Arial" w:hAnsi="Arial" w:cs="Arial"/>
          <w:sz w:val="22"/>
        </w:rPr>
      </w:pPr>
      <w:r w:rsidRPr="00497178">
        <w:rPr>
          <w:rFonts w:ascii="Arial" w:hAnsi="Arial" w:cs="Arial"/>
          <w:b/>
          <w:sz w:val="22"/>
        </w:rPr>
        <w:t>Rashodi za zaposlene</w:t>
      </w:r>
      <w:r w:rsidRPr="00497178">
        <w:rPr>
          <w:rFonts w:ascii="Arial" w:hAnsi="Arial" w:cs="Arial"/>
          <w:sz w:val="22"/>
        </w:rPr>
        <w:t xml:space="preserve"> planirani su u iznosu od </w:t>
      </w:r>
      <w:bookmarkStart w:id="21" w:name="_Hlk168668084"/>
      <w:r w:rsidRPr="00497178">
        <w:rPr>
          <w:rFonts w:ascii="Arial" w:hAnsi="Arial" w:cs="Arial"/>
          <w:sz w:val="22"/>
        </w:rPr>
        <w:t>13.549.431,00 EUR</w:t>
      </w:r>
      <w:bookmarkEnd w:id="21"/>
      <w:r w:rsidRPr="00497178">
        <w:rPr>
          <w:rFonts w:ascii="Arial" w:hAnsi="Arial" w:cs="Arial"/>
          <w:sz w:val="22"/>
        </w:rPr>
        <w:t xml:space="preserve"> i uvećani su za 103,62 % u odnosu na plan ili 472.949,00 EUR. Ovu skupinu rashoda čine bruto plaće, ostali rashodi za zaposlene – otpremnine, regres za godišnji odmor, dar djeci, jubilarne nagrade, bonusi za uspješan rad, naknade za bolest i smrtni slučaj   i doprinosi na plaću. </w:t>
      </w:r>
    </w:p>
    <w:p w14:paraId="6FE9ECA5" w14:textId="77777777" w:rsidR="00BC7E60" w:rsidRPr="00497178" w:rsidRDefault="00BC7E60" w:rsidP="00BC7E60">
      <w:pPr>
        <w:jc w:val="both"/>
        <w:rPr>
          <w:rFonts w:ascii="Arial" w:hAnsi="Arial" w:cs="Arial"/>
          <w:sz w:val="22"/>
        </w:rPr>
      </w:pPr>
      <w:r w:rsidRPr="00497178">
        <w:rPr>
          <w:rFonts w:ascii="Arial" w:hAnsi="Arial" w:cs="Arial"/>
          <w:sz w:val="22"/>
        </w:rPr>
        <w:t xml:space="preserve">Na rashode za zaposlene Grada Labina otpada 12,70 %  dok se preostalih 87,30% odnosi na korisnike, što je prikazano u sljedećoj tablici. </w:t>
      </w:r>
    </w:p>
    <w:p w14:paraId="7C287025" w14:textId="77777777" w:rsidR="00BC7E60" w:rsidRPr="00497178" w:rsidRDefault="00BC7E60" w:rsidP="00BC7E60">
      <w:pPr>
        <w:jc w:val="both"/>
        <w:rPr>
          <w:rFonts w:ascii="Arial" w:hAnsi="Arial" w:cs="Arial"/>
          <w:sz w:val="22"/>
        </w:rPr>
      </w:pPr>
      <w:r w:rsidRPr="00497178">
        <w:rPr>
          <w:rFonts w:ascii="Arial" w:hAnsi="Arial" w:cs="Arial"/>
          <w:sz w:val="22"/>
        </w:rPr>
        <w:t xml:space="preserve">Od ukupnog iznosa rashoda za zaposlene, iznos od 4.920.510 EUR odnosi se na rashode za zaposlene u osnovnim školama, a navedeni se rashodi isplaćuju iz riznice državnog proračuna. </w:t>
      </w:r>
    </w:p>
    <w:p w14:paraId="36634589" w14:textId="77777777" w:rsidR="00BC7E60" w:rsidRPr="00497178" w:rsidRDefault="00BC7E60" w:rsidP="00BC7E60">
      <w:pPr>
        <w:jc w:val="both"/>
        <w:rPr>
          <w:rFonts w:ascii="Arial" w:hAnsi="Arial" w:cs="Arial"/>
          <w:sz w:val="22"/>
        </w:rPr>
      </w:pPr>
      <w:r w:rsidRPr="00497178">
        <w:rPr>
          <w:rFonts w:ascii="Arial" w:hAnsi="Arial" w:cs="Arial"/>
          <w:sz w:val="22"/>
        </w:rPr>
        <w:lastRenderedPageBreak/>
        <w:t xml:space="preserve">Preostali iznos rashoda za zaposlene od 8.628.921 </w:t>
      </w:r>
      <w:bookmarkStart w:id="22" w:name="_Hlk168747014"/>
      <w:r w:rsidRPr="00497178">
        <w:rPr>
          <w:rFonts w:ascii="Arial" w:hAnsi="Arial" w:cs="Arial"/>
          <w:sz w:val="22"/>
        </w:rPr>
        <w:t xml:space="preserve">EUR </w:t>
      </w:r>
      <w:bookmarkEnd w:id="22"/>
      <w:r w:rsidRPr="00497178">
        <w:rPr>
          <w:rFonts w:ascii="Arial" w:hAnsi="Arial" w:cs="Arial"/>
          <w:sz w:val="22"/>
        </w:rPr>
        <w:t>odnosi se na rashode za zaposlene Grada Labina i proračunskih korisnika (bez rashoda osnovnih škola koji se isplaćuju iz državne riznice).</w:t>
      </w:r>
    </w:p>
    <w:p w14:paraId="196F699F" w14:textId="77777777" w:rsidR="00BC7E60" w:rsidRPr="00497178" w:rsidRDefault="00BC7E60" w:rsidP="00BC7E60">
      <w:pPr>
        <w:jc w:val="both"/>
        <w:rPr>
          <w:rFonts w:ascii="Arial" w:hAnsi="Arial" w:cs="Arial"/>
          <w:sz w:val="22"/>
        </w:rPr>
      </w:pPr>
    </w:p>
    <w:p w14:paraId="6233ABDC" w14:textId="77777777" w:rsidR="00BC7E60" w:rsidRPr="00497178" w:rsidRDefault="00BC7E60" w:rsidP="00BC7E60">
      <w:pPr>
        <w:jc w:val="both"/>
        <w:rPr>
          <w:rFonts w:ascii="Arial" w:hAnsi="Arial" w:cs="Arial"/>
          <w:sz w:val="22"/>
        </w:rPr>
      </w:pPr>
    </w:p>
    <w:p w14:paraId="7355127A" w14:textId="77777777" w:rsidR="00BC7E60" w:rsidRPr="00497178" w:rsidRDefault="00BC7E60" w:rsidP="00BC7E60">
      <w:pPr>
        <w:keepNext/>
        <w:outlineLvl w:val="4"/>
        <w:rPr>
          <w:rFonts w:ascii="Arial" w:hAnsi="Arial" w:cs="Arial"/>
          <w:b/>
          <w:bCs/>
          <w:sz w:val="22"/>
        </w:rPr>
      </w:pPr>
      <w:r w:rsidRPr="00497178">
        <w:rPr>
          <w:rFonts w:ascii="Arial" w:eastAsia="Calibri" w:hAnsi="Arial" w:cs="Arial"/>
          <w:b/>
          <w:sz w:val="22"/>
        </w:rPr>
        <w:t xml:space="preserve">PREGLED RASHODA  ZA ZAPOSLENE  </w:t>
      </w:r>
      <w:r w:rsidRPr="00497178">
        <w:rPr>
          <w:rFonts w:ascii="Arial" w:hAnsi="Arial" w:cs="Arial"/>
          <w:b/>
          <w:bCs/>
          <w:sz w:val="22"/>
        </w:rPr>
        <w:t>GRAD LABIN / PRORAČUNSKI KORISNICI</w:t>
      </w:r>
    </w:p>
    <w:p w14:paraId="21B2C051" w14:textId="77777777" w:rsidR="00BC7E60" w:rsidRPr="00497178" w:rsidRDefault="00BC7E60" w:rsidP="00BC7E60">
      <w:pPr>
        <w:keepNext/>
        <w:outlineLvl w:val="4"/>
        <w:rPr>
          <w:rFonts w:ascii="Arial" w:hAnsi="Arial" w:cs="Arial"/>
          <w:b/>
          <w:bCs/>
          <w:sz w:val="22"/>
        </w:rPr>
      </w:pPr>
    </w:p>
    <w:p w14:paraId="6188AFC7" w14:textId="77777777" w:rsidR="00BC7E60" w:rsidRDefault="00BC7E60" w:rsidP="00BC7E60">
      <w:pPr>
        <w:jc w:val="both"/>
        <w:rPr>
          <w:rFonts w:ascii="Arial" w:hAnsi="Arial" w:cs="Arial"/>
          <w:b/>
          <w:bCs/>
          <w:sz w:val="22"/>
        </w:rPr>
      </w:pPr>
      <w:r w:rsidRPr="00497178">
        <w:rPr>
          <w:rFonts w:ascii="Arial" w:hAnsi="Arial" w:cs="Arial"/>
          <w:b/>
          <w:bCs/>
          <w:sz w:val="22"/>
        </w:rPr>
        <w:t>Tabela 4.</w:t>
      </w:r>
    </w:p>
    <w:p w14:paraId="18F2AACC" w14:textId="1BB32931" w:rsidR="00BC7E60" w:rsidRPr="00497178" w:rsidRDefault="00BC7E60" w:rsidP="00BC7E60">
      <w:pPr>
        <w:jc w:val="both"/>
        <w:rPr>
          <w:rFonts w:ascii="Arial" w:hAnsi="Arial" w:cs="Arial"/>
          <w:b/>
          <w:bCs/>
          <w:sz w:val="22"/>
        </w:rPr>
      </w:pP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 EUR</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663"/>
        <w:gridCol w:w="1440"/>
        <w:gridCol w:w="1729"/>
        <w:gridCol w:w="1729"/>
        <w:gridCol w:w="1297"/>
      </w:tblGrid>
      <w:tr w:rsidR="00BC7E60" w:rsidRPr="00497178" w14:paraId="7EF9FC5D" w14:textId="77777777" w:rsidTr="00512D52">
        <w:trPr>
          <w:cantSplit/>
          <w:trHeight w:val="225"/>
        </w:trPr>
        <w:tc>
          <w:tcPr>
            <w:tcW w:w="646" w:type="dxa"/>
            <w:vMerge w:val="restart"/>
            <w:tcBorders>
              <w:top w:val="single" w:sz="4" w:space="0" w:color="auto"/>
              <w:left w:val="single" w:sz="4" w:space="0" w:color="auto"/>
              <w:bottom w:val="single" w:sz="4" w:space="0" w:color="auto"/>
              <w:right w:val="single" w:sz="4" w:space="0" w:color="auto"/>
            </w:tcBorders>
          </w:tcPr>
          <w:p w14:paraId="53CC42A7" w14:textId="77777777" w:rsidR="00BC7E60" w:rsidRPr="00497178" w:rsidRDefault="00BC7E60" w:rsidP="00512D52">
            <w:pPr>
              <w:jc w:val="center"/>
              <w:rPr>
                <w:rFonts w:ascii="Arial" w:hAnsi="Arial" w:cs="Arial"/>
                <w:b/>
                <w:bCs/>
                <w:sz w:val="18"/>
                <w:szCs w:val="18"/>
              </w:rPr>
            </w:pPr>
          </w:p>
          <w:p w14:paraId="5E25E6F2"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Red.</w:t>
            </w:r>
          </w:p>
          <w:p w14:paraId="6F19A96E"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br.</w:t>
            </w:r>
          </w:p>
        </w:tc>
        <w:tc>
          <w:tcPr>
            <w:tcW w:w="2663" w:type="dxa"/>
            <w:vMerge w:val="restart"/>
            <w:tcBorders>
              <w:top w:val="single" w:sz="4" w:space="0" w:color="auto"/>
              <w:left w:val="single" w:sz="4" w:space="0" w:color="auto"/>
              <w:bottom w:val="single" w:sz="4" w:space="0" w:color="auto"/>
              <w:right w:val="single" w:sz="4" w:space="0" w:color="auto"/>
            </w:tcBorders>
          </w:tcPr>
          <w:p w14:paraId="4685C0CB" w14:textId="77777777" w:rsidR="00BC7E60" w:rsidRPr="00497178" w:rsidRDefault="00BC7E60" w:rsidP="00512D52">
            <w:pPr>
              <w:jc w:val="center"/>
              <w:rPr>
                <w:rFonts w:ascii="Arial" w:hAnsi="Arial" w:cs="Arial"/>
                <w:b/>
                <w:bCs/>
                <w:sz w:val="18"/>
                <w:szCs w:val="18"/>
              </w:rPr>
            </w:pPr>
          </w:p>
          <w:p w14:paraId="144211E0" w14:textId="77777777" w:rsidR="00BC7E60" w:rsidRPr="00497178" w:rsidRDefault="00BC7E60" w:rsidP="00512D52">
            <w:pPr>
              <w:jc w:val="center"/>
              <w:rPr>
                <w:rFonts w:ascii="Arial" w:hAnsi="Arial" w:cs="Arial"/>
                <w:b/>
                <w:bCs/>
                <w:sz w:val="18"/>
                <w:szCs w:val="18"/>
              </w:rPr>
            </w:pPr>
          </w:p>
          <w:p w14:paraId="45B487F4"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KORISNIK</w:t>
            </w:r>
          </w:p>
        </w:tc>
        <w:tc>
          <w:tcPr>
            <w:tcW w:w="3169" w:type="dxa"/>
            <w:gridSpan w:val="2"/>
            <w:tcBorders>
              <w:top w:val="single" w:sz="4" w:space="0" w:color="auto"/>
              <w:left w:val="single" w:sz="4" w:space="0" w:color="auto"/>
              <w:bottom w:val="single" w:sz="4" w:space="0" w:color="auto"/>
              <w:right w:val="single" w:sz="4" w:space="0" w:color="auto"/>
            </w:tcBorders>
            <w:hideMark/>
          </w:tcPr>
          <w:p w14:paraId="39D083B7"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I z n o s</w:t>
            </w:r>
          </w:p>
        </w:tc>
        <w:tc>
          <w:tcPr>
            <w:tcW w:w="1729" w:type="dxa"/>
            <w:vMerge w:val="restart"/>
            <w:tcBorders>
              <w:top w:val="single" w:sz="4" w:space="0" w:color="auto"/>
              <w:left w:val="single" w:sz="4" w:space="0" w:color="auto"/>
              <w:bottom w:val="single" w:sz="4" w:space="0" w:color="auto"/>
              <w:right w:val="single" w:sz="4" w:space="0" w:color="auto"/>
            </w:tcBorders>
          </w:tcPr>
          <w:p w14:paraId="0F59E8C9" w14:textId="77777777" w:rsidR="00BC7E60" w:rsidRPr="00497178" w:rsidRDefault="00BC7E60" w:rsidP="00512D52">
            <w:pPr>
              <w:jc w:val="center"/>
              <w:rPr>
                <w:rFonts w:ascii="Arial" w:hAnsi="Arial" w:cs="Arial"/>
                <w:b/>
                <w:bCs/>
                <w:sz w:val="18"/>
                <w:szCs w:val="18"/>
              </w:rPr>
            </w:pPr>
          </w:p>
          <w:p w14:paraId="074430AE"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Novi plan</w:t>
            </w:r>
          </w:p>
          <w:p w14:paraId="5E0C2587"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2025.</w:t>
            </w:r>
          </w:p>
        </w:tc>
        <w:tc>
          <w:tcPr>
            <w:tcW w:w="1297" w:type="dxa"/>
            <w:vMerge w:val="restart"/>
            <w:tcBorders>
              <w:top w:val="single" w:sz="4" w:space="0" w:color="auto"/>
              <w:left w:val="single" w:sz="4" w:space="0" w:color="auto"/>
              <w:right w:val="single" w:sz="4" w:space="0" w:color="auto"/>
            </w:tcBorders>
          </w:tcPr>
          <w:p w14:paraId="13088D3A" w14:textId="77777777" w:rsidR="00BC7E60" w:rsidRPr="00497178" w:rsidRDefault="00BC7E60" w:rsidP="00512D52">
            <w:pPr>
              <w:jc w:val="center"/>
              <w:rPr>
                <w:rFonts w:ascii="Arial" w:hAnsi="Arial" w:cs="Arial"/>
                <w:b/>
                <w:bCs/>
                <w:sz w:val="18"/>
                <w:szCs w:val="18"/>
              </w:rPr>
            </w:pPr>
          </w:p>
          <w:p w14:paraId="4A1EB419"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Indeks</w:t>
            </w:r>
          </w:p>
          <w:p w14:paraId="16F00E9B" w14:textId="77777777" w:rsidR="00BC7E60" w:rsidRPr="00497178" w:rsidRDefault="00BC7E60" w:rsidP="00512D52">
            <w:pPr>
              <w:jc w:val="center"/>
              <w:rPr>
                <w:rFonts w:ascii="Arial" w:hAnsi="Arial" w:cs="Arial"/>
                <w:b/>
                <w:bCs/>
                <w:sz w:val="18"/>
                <w:szCs w:val="18"/>
              </w:rPr>
            </w:pPr>
          </w:p>
          <w:p w14:paraId="126D1CE3"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5/3</w:t>
            </w:r>
          </w:p>
        </w:tc>
      </w:tr>
      <w:tr w:rsidR="00BC7E60" w:rsidRPr="00497178" w14:paraId="159C1916" w14:textId="77777777" w:rsidTr="00512D52">
        <w:trPr>
          <w:cantSplit/>
          <w:trHeight w:val="227"/>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57537C10" w14:textId="77777777" w:rsidR="00BC7E60" w:rsidRPr="00497178" w:rsidRDefault="00BC7E60" w:rsidP="00512D52">
            <w:pPr>
              <w:rPr>
                <w:rFonts w:ascii="Arial" w:hAnsi="Arial" w:cs="Arial"/>
                <w:b/>
                <w:bCs/>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14:paraId="38CB4A74" w14:textId="77777777" w:rsidR="00BC7E60" w:rsidRPr="00497178" w:rsidRDefault="00BC7E60" w:rsidP="00512D52">
            <w:pP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9F41968"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 xml:space="preserve">Plan 2025. </w:t>
            </w:r>
          </w:p>
        </w:tc>
        <w:tc>
          <w:tcPr>
            <w:tcW w:w="1729" w:type="dxa"/>
            <w:tcBorders>
              <w:top w:val="single" w:sz="4" w:space="0" w:color="auto"/>
              <w:left w:val="single" w:sz="4" w:space="0" w:color="auto"/>
              <w:bottom w:val="single" w:sz="4" w:space="0" w:color="auto"/>
              <w:right w:val="single" w:sz="4" w:space="0" w:color="auto"/>
            </w:tcBorders>
            <w:hideMark/>
          </w:tcPr>
          <w:p w14:paraId="547F9FBE"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Povećanje/</w:t>
            </w:r>
          </w:p>
          <w:p w14:paraId="3F202A9E"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smanjenje</w:t>
            </w: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500FCD22" w14:textId="77777777" w:rsidR="00BC7E60" w:rsidRPr="00497178" w:rsidRDefault="00BC7E60" w:rsidP="00512D52">
            <w:pPr>
              <w:rPr>
                <w:rFonts w:ascii="Arial" w:hAnsi="Arial" w:cs="Arial"/>
                <w:b/>
                <w:bCs/>
                <w:sz w:val="18"/>
                <w:szCs w:val="18"/>
              </w:rPr>
            </w:pPr>
          </w:p>
        </w:tc>
        <w:tc>
          <w:tcPr>
            <w:tcW w:w="1297" w:type="dxa"/>
            <w:vMerge/>
            <w:tcBorders>
              <w:left w:val="single" w:sz="4" w:space="0" w:color="auto"/>
              <w:right w:val="single" w:sz="4" w:space="0" w:color="auto"/>
            </w:tcBorders>
          </w:tcPr>
          <w:p w14:paraId="093D741C" w14:textId="77777777" w:rsidR="00BC7E60" w:rsidRPr="00497178" w:rsidRDefault="00BC7E60" w:rsidP="00512D52">
            <w:pPr>
              <w:rPr>
                <w:rFonts w:ascii="Arial" w:hAnsi="Arial" w:cs="Arial"/>
                <w:b/>
                <w:bCs/>
                <w:sz w:val="18"/>
                <w:szCs w:val="18"/>
              </w:rPr>
            </w:pPr>
          </w:p>
        </w:tc>
      </w:tr>
      <w:tr w:rsidR="00BC7E60" w:rsidRPr="00497178" w14:paraId="16545843" w14:textId="77777777" w:rsidTr="00512D52">
        <w:trPr>
          <w:cantSplit/>
          <w:trHeight w:val="278"/>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207B1C56" w14:textId="77777777" w:rsidR="00BC7E60" w:rsidRPr="00497178" w:rsidRDefault="00BC7E60" w:rsidP="00512D52">
            <w:pPr>
              <w:rPr>
                <w:rFonts w:ascii="Arial" w:hAnsi="Arial" w:cs="Arial"/>
                <w:b/>
                <w:bCs/>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14:paraId="2DFAE3B0" w14:textId="77777777" w:rsidR="00BC7E60" w:rsidRPr="00497178" w:rsidRDefault="00BC7E60" w:rsidP="00512D52">
            <w:pP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CFDA59E"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Iznos</w:t>
            </w:r>
          </w:p>
        </w:tc>
        <w:tc>
          <w:tcPr>
            <w:tcW w:w="1729" w:type="dxa"/>
            <w:tcBorders>
              <w:top w:val="single" w:sz="4" w:space="0" w:color="auto"/>
              <w:left w:val="single" w:sz="4" w:space="0" w:color="auto"/>
              <w:bottom w:val="single" w:sz="4" w:space="0" w:color="auto"/>
              <w:right w:val="single" w:sz="4" w:space="0" w:color="auto"/>
            </w:tcBorders>
            <w:hideMark/>
          </w:tcPr>
          <w:p w14:paraId="79C7473B"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Iznos</w:t>
            </w: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6D04A269" w14:textId="77777777" w:rsidR="00BC7E60" w:rsidRPr="00497178" w:rsidRDefault="00BC7E60" w:rsidP="00512D52">
            <w:pPr>
              <w:rPr>
                <w:rFonts w:ascii="Arial" w:hAnsi="Arial" w:cs="Arial"/>
                <w:b/>
                <w:bCs/>
                <w:sz w:val="18"/>
                <w:szCs w:val="18"/>
              </w:rPr>
            </w:pPr>
          </w:p>
        </w:tc>
        <w:tc>
          <w:tcPr>
            <w:tcW w:w="1297" w:type="dxa"/>
            <w:vMerge/>
            <w:tcBorders>
              <w:left w:val="single" w:sz="4" w:space="0" w:color="auto"/>
              <w:bottom w:val="single" w:sz="4" w:space="0" w:color="auto"/>
              <w:right w:val="single" w:sz="4" w:space="0" w:color="auto"/>
            </w:tcBorders>
          </w:tcPr>
          <w:p w14:paraId="65D77946" w14:textId="77777777" w:rsidR="00BC7E60" w:rsidRPr="00497178" w:rsidRDefault="00BC7E60" w:rsidP="00512D52">
            <w:pPr>
              <w:rPr>
                <w:rFonts w:ascii="Arial" w:hAnsi="Arial" w:cs="Arial"/>
                <w:b/>
                <w:bCs/>
                <w:sz w:val="18"/>
                <w:szCs w:val="18"/>
              </w:rPr>
            </w:pPr>
          </w:p>
        </w:tc>
      </w:tr>
      <w:tr w:rsidR="00BC7E60" w:rsidRPr="00497178" w14:paraId="4BAFCDC3" w14:textId="77777777" w:rsidTr="00512D52">
        <w:trPr>
          <w:trHeight w:val="225"/>
        </w:trPr>
        <w:tc>
          <w:tcPr>
            <w:tcW w:w="646" w:type="dxa"/>
            <w:tcBorders>
              <w:top w:val="single" w:sz="4" w:space="0" w:color="auto"/>
              <w:left w:val="single" w:sz="4" w:space="0" w:color="auto"/>
              <w:bottom w:val="single" w:sz="4" w:space="0" w:color="auto"/>
              <w:right w:val="single" w:sz="4" w:space="0" w:color="auto"/>
            </w:tcBorders>
          </w:tcPr>
          <w:p w14:paraId="3CCAB00C"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1</w:t>
            </w:r>
          </w:p>
        </w:tc>
        <w:tc>
          <w:tcPr>
            <w:tcW w:w="2663" w:type="dxa"/>
            <w:tcBorders>
              <w:top w:val="single" w:sz="4" w:space="0" w:color="auto"/>
              <w:left w:val="single" w:sz="4" w:space="0" w:color="auto"/>
              <w:bottom w:val="single" w:sz="4" w:space="0" w:color="auto"/>
              <w:right w:val="single" w:sz="4" w:space="0" w:color="auto"/>
            </w:tcBorders>
          </w:tcPr>
          <w:p w14:paraId="46D08E8E"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F9C164"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3</w:t>
            </w:r>
          </w:p>
        </w:tc>
        <w:tc>
          <w:tcPr>
            <w:tcW w:w="1729" w:type="dxa"/>
            <w:tcBorders>
              <w:top w:val="single" w:sz="4" w:space="0" w:color="auto"/>
              <w:left w:val="single" w:sz="4" w:space="0" w:color="auto"/>
              <w:bottom w:val="single" w:sz="4" w:space="0" w:color="auto"/>
              <w:right w:val="single" w:sz="4" w:space="0" w:color="auto"/>
            </w:tcBorders>
          </w:tcPr>
          <w:p w14:paraId="0D7CF113"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4</w:t>
            </w:r>
          </w:p>
        </w:tc>
        <w:tc>
          <w:tcPr>
            <w:tcW w:w="1729" w:type="dxa"/>
            <w:tcBorders>
              <w:top w:val="single" w:sz="4" w:space="0" w:color="auto"/>
              <w:left w:val="single" w:sz="4" w:space="0" w:color="auto"/>
              <w:bottom w:val="single" w:sz="4" w:space="0" w:color="auto"/>
              <w:right w:val="single" w:sz="4" w:space="0" w:color="auto"/>
            </w:tcBorders>
          </w:tcPr>
          <w:p w14:paraId="0D390DEB"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5</w:t>
            </w:r>
          </w:p>
        </w:tc>
        <w:tc>
          <w:tcPr>
            <w:tcW w:w="1297" w:type="dxa"/>
            <w:tcBorders>
              <w:top w:val="single" w:sz="4" w:space="0" w:color="auto"/>
              <w:left w:val="single" w:sz="4" w:space="0" w:color="auto"/>
              <w:bottom w:val="single" w:sz="4" w:space="0" w:color="auto"/>
              <w:right w:val="single" w:sz="4" w:space="0" w:color="auto"/>
            </w:tcBorders>
          </w:tcPr>
          <w:p w14:paraId="60D7A3B2"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6</w:t>
            </w:r>
          </w:p>
        </w:tc>
      </w:tr>
      <w:tr w:rsidR="00BC7E60" w:rsidRPr="00497178" w14:paraId="549F1C73" w14:textId="77777777" w:rsidTr="00512D52">
        <w:trPr>
          <w:trHeight w:val="328"/>
        </w:trPr>
        <w:tc>
          <w:tcPr>
            <w:tcW w:w="646" w:type="dxa"/>
            <w:tcBorders>
              <w:top w:val="single" w:sz="4" w:space="0" w:color="auto"/>
              <w:left w:val="single" w:sz="4" w:space="0" w:color="auto"/>
              <w:bottom w:val="single" w:sz="4" w:space="0" w:color="auto"/>
              <w:right w:val="single" w:sz="4" w:space="0" w:color="auto"/>
            </w:tcBorders>
            <w:hideMark/>
          </w:tcPr>
          <w:p w14:paraId="32759379" w14:textId="77777777" w:rsidR="00BC7E60" w:rsidRPr="00497178" w:rsidRDefault="00BC7E60" w:rsidP="00512D52">
            <w:pPr>
              <w:jc w:val="both"/>
              <w:rPr>
                <w:rFonts w:ascii="Arial" w:hAnsi="Arial" w:cs="Arial"/>
                <w:b/>
                <w:bCs/>
                <w:sz w:val="18"/>
                <w:szCs w:val="18"/>
              </w:rPr>
            </w:pPr>
            <w:r w:rsidRPr="00497178">
              <w:rPr>
                <w:rFonts w:ascii="Arial" w:hAnsi="Arial" w:cs="Arial"/>
                <w:b/>
                <w:bCs/>
                <w:sz w:val="18"/>
                <w:szCs w:val="18"/>
              </w:rPr>
              <w:t>1.</w:t>
            </w:r>
          </w:p>
        </w:tc>
        <w:tc>
          <w:tcPr>
            <w:tcW w:w="2663" w:type="dxa"/>
            <w:tcBorders>
              <w:top w:val="single" w:sz="4" w:space="0" w:color="auto"/>
              <w:left w:val="single" w:sz="4" w:space="0" w:color="auto"/>
              <w:bottom w:val="single" w:sz="4" w:space="0" w:color="auto"/>
              <w:right w:val="single" w:sz="4" w:space="0" w:color="auto"/>
            </w:tcBorders>
            <w:hideMark/>
          </w:tcPr>
          <w:p w14:paraId="63A7566E" w14:textId="77777777" w:rsidR="00BC7E60" w:rsidRPr="00497178" w:rsidRDefault="00BC7E60" w:rsidP="00512D52">
            <w:pPr>
              <w:jc w:val="both"/>
              <w:rPr>
                <w:rFonts w:ascii="Arial" w:hAnsi="Arial" w:cs="Arial"/>
                <w:b/>
                <w:bCs/>
                <w:sz w:val="18"/>
                <w:szCs w:val="18"/>
              </w:rPr>
            </w:pPr>
            <w:r w:rsidRPr="00497178">
              <w:rPr>
                <w:rFonts w:ascii="Arial" w:hAnsi="Arial" w:cs="Arial"/>
                <w:b/>
                <w:bCs/>
                <w:sz w:val="18"/>
                <w:szCs w:val="18"/>
              </w:rPr>
              <w:t>Gradska uprava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ABB31F" w14:textId="77777777" w:rsidR="00BC7E60" w:rsidRPr="00497178" w:rsidRDefault="00BC7E60" w:rsidP="00512D52">
            <w:pPr>
              <w:jc w:val="right"/>
              <w:rPr>
                <w:rFonts w:ascii="Arial" w:hAnsi="Arial" w:cs="Arial"/>
                <w:b/>
                <w:bCs/>
                <w:sz w:val="18"/>
                <w:szCs w:val="18"/>
              </w:rPr>
            </w:pPr>
            <w:r w:rsidRPr="00497178">
              <w:rPr>
                <w:rFonts w:ascii="Arial" w:hAnsi="Arial" w:cs="Arial"/>
                <w:b/>
                <w:bCs/>
                <w:sz w:val="18"/>
                <w:szCs w:val="18"/>
              </w:rPr>
              <w:t>1.690.200,00</w:t>
            </w:r>
          </w:p>
        </w:tc>
        <w:tc>
          <w:tcPr>
            <w:tcW w:w="1729" w:type="dxa"/>
            <w:tcBorders>
              <w:top w:val="single" w:sz="4" w:space="0" w:color="auto"/>
              <w:left w:val="single" w:sz="4" w:space="0" w:color="auto"/>
              <w:bottom w:val="single" w:sz="4" w:space="0" w:color="auto"/>
              <w:right w:val="single" w:sz="4" w:space="0" w:color="auto"/>
            </w:tcBorders>
            <w:vAlign w:val="center"/>
          </w:tcPr>
          <w:p w14:paraId="47037B16" w14:textId="77777777" w:rsidR="00BC7E60" w:rsidRPr="00497178" w:rsidRDefault="00BC7E60" w:rsidP="00512D52">
            <w:pPr>
              <w:jc w:val="right"/>
              <w:rPr>
                <w:rFonts w:ascii="Arial" w:hAnsi="Arial" w:cs="Arial"/>
                <w:b/>
                <w:bCs/>
                <w:sz w:val="18"/>
                <w:szCs w:val="18"/>
              </w:rPr>
            </w:pPr>
            <w:r w:rsidRPr="00497178">
              <w:rPr>
                <w:rFonts w:ascii="Arial" w:hAnsi="Arial" w:cs="Arial"/>
                <w:b/>
                <w:bCs/>
                <w:sz w:val="18"/>
                <w:szCs w:val="18"/>
              </w:rPr>
              <w:t>30.000,00</w:t>
            </w:r>
          </w:p>
        </w:tc>
        <w:tc>
          <w:tcPr>
            <w:tcW w:w="1729" w:type="dxa"/>
            <w:tcBorders>
              <w:top w:val="single" w:sz="4" w:space="0" w:color="auto"/>
              <w:left w:val="single" w:sz="4" w:space="0" w:color="auto"/>
              <w:bottom w:val="single" w:sz="4" w:space="0" w:color="auto"/>
              <w:right w:val="single" w:sz="4" w:space="0" w:color="auto"/>
            </w:tcBorders>
            <w:vAlign w:val="center"/>
          </w:tcPr>
          <w:p w14:paraId="6B95D820" w14:textId="77777777" w:rsidR="00BC7E60" w:rsidRPr="00497178" w:rsidRDefault="00BC7E60" w:rsidP="00512D52">
            <w:pPr>
              <w:jc w:val="right"/>
              <w:rPr>
                <w:rFonts w:ascii="Arial" w:hAnsi="Arial" w:cs="Arial"/>
                <w:b/>
                <w:bCs/>
                <w:sz w:val="18"/>
                <w:szCs w:val="18"/>
              </w:rPr>
            </w:pPr>
            <w:r w:rsidRPr="00497178">
              <w:rPr>
                <w:rFonts w:ascii="Arial" w:hAnsi="Arial" w:cs="Arial"/>
                <w:b/>
                <w:bCs/>
                <w:sz w:val="18"/>
                <w:szCs w:val="18"/>
              </w:rPr>
              <w:t>1.720.200,00</w:t>
            </w:r>
          </w:p>
        </w:tc>
        <w:tc>
          <w:tcPr>
            <w:tcW w:w="1297" w:type="dxa"/>
            <w:tcBorders>
              <w:top w:val="single" w:sz="4" w:space="0" w:color="auto"/>
              <w:left w:val="single" w:sz="4" w:space="0" w:color="auto"/>
              <w:bottom w:val="single" w:sz="4" w:space="0" w:color="auto"/>
              <w:right w:val="single" w:sz="4" w:space="0" w:color="auto"/>
            </w:tcBorders>
            <w:vAlign w:val="center"/>
          </w:tcPr>
          <w:p w14:paraId="6E913B5C" w14:textId="77777777" w:rsidR="00BC7E60" w:rsidRPr="00497178" w:rsidRDefault="00BC7E60" w:rsidP="00512D52">
            <w:pPr>
              <w:jc w:val="right"/>
              <w:rPr>
                <w:rFonts w:ascii="Arial" w:hAnsi="Arial" w:cs="Arial"/>
                <w:b/>
                <w:bCs/>
                <w:sz w:val="18"/>
                <w:szCs w:val="18"/>
              </w:rPr>
            </w:pPr>
            <w:r w:rsidRPr="00497178">
              <w:rPr>
                <w:rFonts w:ascii="Arial" w:hAnsi="Arial" w:cs="Arial"/>
                <w:b/>
                <w:bCs/>
                <w:sz w:val="18"/>
                <w:szCs w:val="18"/>
              </w:rPr>
              <w:t>101,77</w:t>
            </w:r>
          </w:p>
        </w:tc>
      </w:tr>
      <w:tr w:rsidR="00BC7E60" w:rsidRPr="00497178" w14:paraId="26CC8635" w14:textId="77777777" w:rsidTr="00512D52">
        <w:trPr>
          <w:trHeight w:val="418"/>
        </w:trPr>
        <w:tc>
          <w:tcPr>
            <w:tcW w:w="646" w:type="dxa"/>
            <w:tcBorders>
              <w:top w:val="single" w:sz="4" w:space="0" w:color="auto"/>
              <w:left w:val="single" w:sz="4" w:space="0" w:color="auto"/>
              <w:bottom w:val="single" w:sz="4" w:space="0" w:color="auto"/>
              <w:right w:val="single" w:sz="4" w:space="0" w:color="auto"/>
            </w:tcBorders>
          </w:tcPr>
          <w:p w14:paraId="7713547F"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2.</w:t>
            </w:r>
          </w:p>
        </w:tc>
        <w:tc>
          <w:tcPr>
            <w:tcW w:w="2663" w:type="dxa"/>
            <w:tcBorders>
              <w:top w:val="single" w:sz="4" w:space="0" w:color="auto"/>
              <w:left w:val="single" w:sz="4" w:space="0" w:color="auto"/>
              <w:bottom w:val="single" w:sz="4" w:space="0" w:color="auto"/>
              <w:right w:val="single" w:sz="4" w:space="0" w:color="auto"/>
            </w:tcBorders>
          </w:tcPr>
          <w:p w14:paraId="3B9D7B7B"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Javna vatrogasna postrojba Labin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96F487"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1.352.000,00</w:t>
            </w:r>
          </w:p>
        </w:tc>
        <w:tc>
          <w:tcPr>
            <w:tcW w:w="1729" w:type="dxa"/>
            <w:tcBorders>
              <w:top w:val="single" w:sz="4" w:space="0" w:color="auto"/>
              <w:left w:val="single" w:sz="4" w:space="0" w:color="auto"/>
              <w:bottom w:val="single" w:sz="4" w:space="0" w:color="auto"/>
              <w:right w:val="single" w:sz="4" w:space="0" w:color="auto"/>
            </w:tcBorders>
            <w:vAlign w:val="center"/>
          </w:tcPr>
          <w:p w14:paraId="712FA686"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25.188,00</w:t>
            </w:r>
          </w:p>
        </w:tc>
        <w:tc>
          <w:tcPr>
            <w:tcW w:w="1729" w:type="dxa"/>
            <w:tcBorders>
              <w:top w:val="single" w:sz="4" w:space="0" w:color="auto"/>
              <w:left w:val="nil"/>
              <w:bottom w:val="single" w:sz="4" w:space="0" w:color="auto"/>
              <w:right w:val="nil"/>
            </w:tcBorders>
            <w:shd w:val="clear" w:color="FFFFFF" w:fill="FFFFFF"/>
            <w:vAlign w:val="center"/>
          </w:tcPr>
          <w:p w14:paraId="4C144775"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1.377.190,00</w:t>
            </w:r>
          </w:p>
        </w:tc>
        <w:tc>
          <w:tcPr>
            <w:tcW w:w="1297" w:type="dxa"/>
            <w:tcBorders>
              <w:top w:val="single" w:sz="4" w:space="0" w:color="auto"/>
              <w:left w:val="single" w:sz="4" w:space="0" w:color="auto"/>
              <w:bottom w:val="single" w:sz="4" w:space="0" w:color="auto"/>
              <w:right w:val="single" w:sz="4" w:space="0" w:color="auto"/>
            </w:tcBorders>
            <w:vAlign w:val="center"/>
          </w:tcPr>
          <w:p w14:paraId="4106392F"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101,86</w:t>
            </w:r>
          </w:p>
        </w:tc>
      </w:tr>
      <w:tr w:rsidR="00BC7E60" w:rsidRPr="00497178" w14:paraId="0169AD08" w14:textId="77777777" w:rsidTr="00512D52">
        <w:trPr>
          <w:trHeight w:val="282"/>
        </w:trPr>
        <w:tc>
          <w:tcPr>
            <w:tcW w:w="646" w:type="dxa"/>
            <w:tcBorders>
              <w:top w:val="single" w:sz="4" w:space="0" w:color="auto"/>
              <w:left w:val="single" w:sz="4" w:space="0" w:color="auto"/>
              <w:bottom w:val="single" w:sz="4" w:space="0" w:color="auto"/>
              <w:right w:val="single" w:sz="4" w:space="0" w:color="auto"/>
            </w:tcBorders>
          </w:tcPr>
          <w:p w14:paraId="0F4579B2"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3.</w:t>
            </w:r>
          </w:p>
        </w:tc>
        <w:tc>
          <w:tcPr>
            <w:tcW w:w="2663" w:type="dxa"/>
            <w:tcBorders>
              <w:top w:val="single" w:sz="4" w:space="0" w:color="auto"/>
              <w:left w:val="single" w:sz="4" w:space="0" w:color="auto"/>
              <w:bottom w:val="single" w:sz="4" w:space="0" w:color="auto"/>
              <w:right w:val="single" w:sz="4" w:space="0" w:color="auto"/>
            </w:tcBorders>
          </w:tcPr>
          <w:p w14:paraId="775A5E5A"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 xml:space="preserve">Dječji  vrtić </w:t>
            </w:r>
            <w:proofErr w:type="spellStart"/>
            <w:r w:rsidRPr="00497178">
              <w:rPr>
                <w:rFonts w:ascii="Arial" w:hAnsi="Arial" w:cs="Arial"/>
                <w:sz w:val="18"/>
                <w:szCs w:val="18"/>
              </w:rPr>
              <w:t>Pjerina</w:t>
            </w:r>
            <w:proofErr w:type="spellEnd"/>
            <w:r w:rsidRPr="00497178">
              <w:rPr>
                <w:rFonts w:ascii="Arial" w:hAnsi="Arial" w:cs="Arial"/>
                <w:sz w:val="18"/>
                <w:szCs w:val="18"/>
              </w:rPr>
              <w:t xml:space="preserve"> </w:t>
            </w:r>
            <w:proofErr w:type="spellStart"/>
            <w:r w:rsidRPr="00497178">
              <w:rPr>
                <w:rFonts w:ascii="Arial" w:hAnsi="Arial" w:cs="Arial"/>
                <w:sz w:val="18"/>
                <w:szCs w:val="18"/>
              </w:rPr>
              <w:t>Verbanac</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E2A7D7"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2.922.553,00</w:t>
            </w:r>
          </w:p>
        </w:tc>
        <w:tc>
          <w:tcPr>
            <w:tcW w:w="1729" w:type="dxa"/>
            <w:tcBorders>
              <w:top w:val="single" w:sz="4" w:space="0" w:color="auto"/>
              <w:left w:val="single" w:sz="4" w:space="0" w:color="auto"/>
              <w:bottom w:val="single" w:sz="4" w:space="0" w:color="auto"/>
              <w:right w:val="single" w:sz="4" w:space="0" w:color="auto"/>
            </w:tcBorders>
            <w:vAlign w:val="center"/>
          </w:tcPr>
          <w:p w14:paraId="724DDAC3"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135.125,00</w:t>
            </w:r>
          </w:p>
        </w:tc>
        <w:tc>
          <w:tcPr>
            <w:tcW w:w="1729" w:type="dxa"/>
            <w:tcBorders>
              <w:top w:val="single" w:sz="4" w:space="0" w:color="auto"/>
              <w:left w:val="nil"/>
              <w:bottom w:val="single" w:sz="4" w:space="0" w:color="auto"/>
              <w:right w:val="nil"/>
            </w:tcBorders>
            <w:shd w:val="clear" w:color="FFFFFF" w:fill="FFFFFF"/>
            <w:vAlign w:val="center"/>
          </w:tcPr>
          <w:p w14:paraId="2FCE6E1E"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3.057.678,00</w:t>
            </w:r>
          </w:p>
        </w:tc>
        <w:tc>
          <w:tcPr>
            <w:tcW w:w="1297" w:type="dxa"/>
            <w:tcBorders>
              <w:top w:val="single" w:sz="4" w:space="0" w:color="auto"/>
              <w:left w:val="single" w:sz="4" w:space="0" w:color="auto"/>
              <w:bottom w:val="single" w:sz="4" w:space="0" w:color="auto"/>
              <w:right w:val="single" w:sz="4" w:space="0" w:color="auto"/>
            </w:tcBorders>
            <w:vAlign w:val="center"/>
          </w:tcPr>
          <w:p w14:paraId="1D63315E"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104,62</w:t>
            </w:r>
          </w:p>
        </w:tc>
      </w:tr>
      <w:tr w:rsidR="00BC7E60" w:rsidRPr="00497178" w14:paraId="1E8497FF" w14:textId="77777777" w:rsidTr="00512D52">
        <w:trPr>
          <w:trHeight w:val="258"/>
        </w:trPr>
        <w:tc>
          <w:tcPr>
            <w:tcW w:w="646" w:type="dxa"/>
            <w:tcBorders>
              <w:top w:val="single" w:sz="4" w:space="0" w:color="auto"/>
              <w:left w:val="single" w:sz="4" w:space="0" w:color="auto"/>
              <w:bottom w:val="single" w:sz="4" w:space="0" w:color="auto"/>
              <w:right w:val="single" w:sz="4" w:space="0" w:color="auto"/>
            </w:tcBorders>
          </w:tcPr>
          <w:p w14:paraId="4E1FC321"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4.</w:t>
            </w:r>
          </w:p>
        </w:tc>
        <w:tc>
          <w:tcPr>
            <w:tcW w:w="2663" w:type="dxa"/>
            <w:tcBorders>
              <w:top w:val="single" w:sz="4" w:space="0" w:color="auto"/>
              <w:left w:val="single" w:sz="4" w:space="0" w:color="auto"/>
              <w:bottom w:val="single" w:sz="4" w:space="0" w:color="auto"/>
              <w:right w:val="single" w:sz="4" w:space="0" w:color="auto"/>
            </w:tcBorders>
          </w:tcPr>
          <w:p w14:paraId="338D9DCF" w14:textId="77777777" w:rsidR="00BC7E60" w:rsidRPr="00497178" w:rsidRDefault="00BC7E60" w:rsidP="00512D52">
            <w:pPr>
              <w:rPr>
                <w:rFonts w:ascii="Arial" w:hAnsi="Arial" w:cs="Arial"/>
                <w:sz w:val="18"/>
                <w:szCs w:val="18"/>
              </w:rPr>
            </w:pPr>
            <w:r w:rsidRPr="00497178">
              <w:rPr>
                <w:rFonts w:ascii="Arial" w:hAnsi="Arial" w:cs="Arial"/>
                <w:sz w:val="18"/>
                <w:szCs w:val="18"/>
              </w:rPr>
              <w:t>O.Š. «Matija Vlačić» Labin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AEBE4D1"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1.611.210,00</w:t>
            </w:r>
          </w:p>
        </w:tc>
        <w:tc>
          <w:tcPr>
            <w:tcW w:w="1729" w:type="dxa"/>
            <w:tcBorders>
              <w:top w:val="single" w:sz="4" w:space="0" w:color="auto"/>
              <w:left w:val="single" w:sz="4" w:space="0" w:color="auto"/>
              <w:bottom w:val="single" w:sz="4" w:space="0" w:color="auto"/>
              <w:right w:val="single" w:sz="4" w:space="0" w:color="auto"/>
            </w:tcBorders>
            <w:vAlign w:val="center"/>
          </w:tcPr>
          <w:p w14:paraId="26B5FEDE"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29.950,00</w:t>
            </w:r>
          </w:p>
        </w:tc>
        <w:tc>
          <w:tcPr>
            <w:tcW w:w="1729" w:type="dxa"/>
            <w:tcBorders>
              <w:top w:val="single" w:sz="4" w:space="0" w:color="auto"/>
              <w:left w:val="nil"/>
              <w:bottom w:val="single" w:sz="4" w:space="0" w:color="auto"/>
              <w:right w:val="nil"/>
            </w:tcBorders>
            <w:shd w:val="clear" w:color="FFFFFF" w:fill="FFFFFF"/>
            <w:vAlign w:val="center"/>
          </w:tcPr>
          <w:p w14:paraId="2EFF556E"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1.641.160,00</w:t>
            </w:r>
          </w:p>
        </w:tc>
        <w:tc>
          <w:tcPr>
            <w:tcW w:w="1297" w:type="dxa"/>
            <w:tcBorders>
              <w:top w:val="single" w:sz="4" w:space="0" w:color="auto"/>
              <w:left w:val="single" w:sz="4" w:space="0" w:color="auto"/>
              <w:bottom w:val="single" w:sz="4" w:space="0" w:color="auto"/>
              <w:right w:val="single" w:sz="4" w:space="0" w:color="auto"/>
            </w:tcBorders>
            <w:vAlign w:val="center"/>
          </w:tcPr>
          <w:p w14:paraId="147D1B14"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101,86</w:t>
            </w:r>
          </w:p>
        </w:tc>
      </w:tr>
      <w:tr w:rsidR="00BC7E60" w:rsidRPr="00497178" w14:paraId="210AF207" w14:textId="77777777" w:rsidTr="00512D52">
        <w:trPr>
          <w:trHeight w:val="276"/>
        </w:trPr>
        <w:tc>
          <w:tcPr>
            <w:tcW w:w="646" w:type="dxa"/>
            <w:tcBorders>
              <w:top w:val="single" w:sz="4" w:space="0" w:color="auto"/>
              <w:left w:val="single" w:sz="4" w:space="0" w:color="auto"/>
              <w:bottom w:val="single" w:sz="4" w:space="0" w:color="auto"/>
              <w:right w:val="single" w:sz="4" w:space="0" w:color="auto"/>
            </w:tcBorders>
          </w:tcPr>
          <w:p w14:paraId="5FC7E149"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5.</w:t>
            </w:r>
          </w:p>
        </w:tc>
        <w:tc>
          <w:tcPr>
            <w:tcW w:w="2663" w:type="dxa"/>
            <w:tcBorders>
              <w:top w:val="single" w:sz="4" w:space="0" w:color="auto"/>
              <w:left w:val="single" w:sz="4" w:space="0" w:color="auto"/>
              <w:bottom w:val="single" w:sz="4" w:space="0" w:color="auto"/>
              <w:right w:val="single" w:sz="4" w:space="0" w:color="auto"/>
            </w:tcBorders>
          </w:tcPr>
          <w:p w14:paraId="121A8A95" w14:textId="77777777" w:rsidR="00BC7E60" w:rsidRPr="00497178" w:rsidRDefault="00BC7E60" w:rsidP="00512D52">
            <w:pPr>
              <w:rPr>
                <w:rFonts w:ascii="Arial" w:hAnsi="Arial" w:cs="Arial"/>
                <w:sz w:val="18"/>
                <w:szCs w:val="18"/>
              </w:rPr>
            </w:pPr>
            <w:r w:rsidRPr="00497178">
              <w:rPr>
                <w:rFonts w:ascii="Arial" w:hAnsi="Arial" w:cs="Arial"/>
                <w:sz w:val="18"/>
                <w:szCs w:val="18"/>
              </w:rPr>
              <w:t>O.Š. «Ivo Lola Ribar» Labin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F434089"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2.209.867,00</w:t>
            </w:r>
          </w:p>
        </w:tc>
        <w:tc>
          <w:tcPr>
            <w:tcW w:w="1729" w:type="dxa"/>
            <w:tcBorders>
              <w:top w:val="single" w:sz="4" w:space="0" w:color="auto"/>
              <w:left w:val="single" w:sz="4" w:space="0" w:color="auto"/>
              <w:bottom w:val="single" w:sz="4" w:space="0" w:color="auto"/>
              <w:right w:val="single" w:sz="4" w:space="0" w:color="auto"/>
            </w:tcBorders>
            <w:vAlign w:val="center"/>
          </w:tcPr>
          <w:p w14:paraId="720F8967"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112.993,00</w:t>
            </w:r>
          </w:p>
        </w:tc>
        <w:tc>
          <w:tcPr>
            <w:tcW w:w="1729" w:type="dxa"/>
            <w:tcBorders>
              <w:top w:val="single" w:sz="4" w:space="0" w:color="auto"/>
              <w:left w:val="nil"/>
              <w:bottom w:val="single" w:sz="4" w:space="0" w:color="auto"/>
              <w:right w:val="nil"/>
            </w:tcBorders>
            <w:shd w:val="clear" w:color="FFFFFF" w:fill="FFFFFF"/>
            <w:vAlign w:val="center"/>
          </w:tcPr>
          <w:p w14:paraId="5917391D"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2.322.860,00</w:t>
            </w:r>
          </w:p>
        </w:tc>
        <w:tc>
          <w:tcPr>
            <w:tcW w:w="1297" w:type="dxa"/>
            <w:tcBorders>
              <w:top w:val="single" w:sz="4" w:space="0" w:color="auto"/>
              <w:left w:val="single" w:sz="4" w:space="0" w:color="auto"/>
              <w:bottom w:val="single" w:sz="4" w:space="0" w:color="auto"/>
              <w:right w:val="single" w:sz="4" w:space="0" w:color="auto"/>
            </w:tcBorders>
            <w:vAlign w:val="center"/>
          </w:tcPr>
          <w:p w14:paraId="6AF701BF"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105,11</w:t>
            </w:r>
          </w:p>
        </w:tc>
      </w:tr>
      <w:tr w:rsidR="00BC7E60" w:rsidRPr="00497178" w14:paraId="0CD3A0D1" w14:textId="77777777" w:rsidTr="00512D52">
        <w:trPr>
          <w:trHeight w:val="280"/>
        </w:trPr>
        <w:tc>
          <w:tcPr>
            <w:tcW w:w="646" w:type="dxa"/>
            <w:tcBorders>
              <w:top w:val="single" w:sz="4" w:space="0" w:color="auto"/>
              <w:left w:val="single" w:sz="4" w:space="0" w:color="auto"/>
              <w:bottom w:val="single" w:sz="4" w:space="0" w:color="auto"/>
              <w:right w:val="single" w:sz="4" w:space="0" w:color="auto"/>
            </w:tcBorders>
          </w:tcPr>
          <w:p w14:paraId="3BF3B0EA"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6.</w:t>
            </w:r>
          </w:p>
        </w:tc>
        <w:tc>
          <w:tcPr>
            <w:tcW w:w="2663" w:type="dxa"/>
            <w:tcBorders>
              <w:top w:val="single" w:sz="4" w:space="0" w:color="auto"/>
              <w:left w:val="single" w:sz="4" w:space="0" w:color="auto"/>
              <w:bottom w:val="single" w:sz="4" w:space="0" w:color="auto"/>
              <w:right w:val="single" w:sz="4" w:space="0" w:color="auto"/>
            </w:tcBorders>
          </w:tcPr>
          <w:p w14:paraId="0ED6C798" w14:textId="77777777" w:rsidR="00BC7E60" w:rsidRPr="00497178" w:rsidRDefault="00BC7E60" w:rsidP="00512D52">
            <w:pPr>
              <w:rPr>
                <w:rFonts w:ascii="Arial" w:hAnsi="Arial" w:cs="Arial"/>
                <w:sz w:val="18"/>
                <w:szCs w:val="18"/>
              </w:rPr>
            </w:pPr>
            <w:r w:rsidRPr="00497178">
              <w:rPr>
                <w:rFonts w:ascii="Arial" w:hAnsi="Arial" w:cs="Arial"/>
                <w:sz w:val="18"/>
                <w:szCs w:val="18"/>
              </w:rPr>
              <w:t xml:space="preserve">Centar Liče </w:t>
            </w:r>
            <w:proofErr w:type="spellStart"/>
            <w:r w:rsidRPr="00497178">
              <w:rPr>
                <w:rFonts w:ascii="Arial" w:hAnsi="Arial" w:cs="Arial"/>
                <w:sz w:val="18"/>
                <w:szCs w:val="18"/>
              </w:rPr>
              <w:t>Faraguna</w:t>
            </w:r>
            <w:proofErr w:type="spellEnd"/>
            <w:r w:rsidRPr="00497178">
              <w:rPr>
                <w:rFonts w:ascii="Arial" w:hAnsi="Arial" w:cs="Arial"/>
                <w:sz w:val="18"/>
                <w:szCs w:val="18"/>
              </w:rPr>
              <w:t xml:space="preserve"> Labin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B3C9BD"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588.600,00</w:t>
            </w:r>
          </w:p>
        </w:tc>
        <w:tc>
          <w:tcPr>
            <w:tcW w:w="1729" w:type="dxa"/>
            <w:tcBorders>
              <w:top w:val="single" w:sz="4" w:space="0" w:color="auto"/>
              <w:left w:val="single" w:sz="4" w:space="0" w:color="auto"/>
              <w:bottom w:val="single" w:sz="4" w:space="0" w:color="auto"/>
              <w:right w:val="single" w:sz="4" w:space="0" w:color="auto"/>
            </w:tcBorders>
            <w:vAlign w:val="center"/>
          </w:tcPr>
          <w:p w14:paraId="6C4F485A"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15.980,00</w:t>
            </w:r>
          </w:p>
        </w:tc>
        <w:tc>
          <w:tcPr>
            <w:tcW w:w="1729" w:type="dxa"/>
            <w:tcBorders>
              <w:top w:val="single" w:sz="4" w:space="0" w:color="auto"/>
              <w:left w:val="nil"/>
              <w:bottom w:val="single" w:sz="4" w:space="0" w:color="auto"/>
              <w:right w:val="nil"/>
            </w:tcBorders>
            <w:shd w:val="clear" w:color="FFFFFF" w:fill="FFFFFF"/>
            <w:vAlign w:val="center"/>
          </w:tcPr>
          <w:p w14:paraId="389785BA"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604.580,00</w:t>
            </w:r>
          </w:p>
        </w:tc>
        <w:tc>
          <w:tcPr>
            <w:tcW w:w="1297" w:type="dxa"/>
            <w:tcBorders>
              <w:top w:val="single" w:sz="4" w:space="0" w:color="auto"/>
              <w:left w:val="single" w:sz="4" w:space="0" w:color="auto"/>
              <w:bottom w:val="single" w:sz="4" w:space="0" w:color="auto"/>
              <w:right w:val="single" w:sz="4" w:space="0" w:color="auto"/>
            </w:tcBorders>
            <w:vAlign w:val="center"/>
          </w:tcPr>
          <w:p w14:paraId="27F2131A"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102,71</w:t>
            </w:r>
          </w:p>
        </w:tc>
      </w:tr>
      <w:tr w:rsidR="00BC7E60" w:rsidRPr="00497178" w14:paraId="0231DCCB" w14:textId="77777777" w:rsidTr="00512D52">
        <w:trPr>
          <w:trHeight w:val="451"/>
        </w:trPr>
        <w:tc>
          <w:tcPr>
            <w:tcW w:w="646" w:type="dxa"/>
            <w:tcBorders>
              <w:top w:val="single" w:sz="4" w:space="0" w:color="auto"/>
              <w:left w:val="single" w:sz="4" w:space="0" w:color="auto"/>
              <w:bottom w:val="single" w:sz="4" w:space="0" w:color="auto"/>
              <w:right w:val="single" w:sz="4" w:space="0" w:color="auto"/>
            </w:tcBorders>
          </w:tcPr>
          <w:p w14:paraId="2DCD39A2"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7.</w:t>
            </w:r>
          </w:p>
        </w:tc>
        <w:tc>
          <w:tcPr>
            <w:tcW w:w="2663" w:type="dxa"/>
            <w:tcBorders>
              <w:top w:val="single" w:sz="4" w:space="0" w:color="auto"/>
              <w:left w:val="single" w:sz="4" w:space="0" w:color="auto"/>
              <w:bottom w:val="single" w:sz="4" w:space="0" w:color="auto"/>
              <w:right w:val="single" w:sz="4" w:space="0" w:color="auto"/>
            </w:tcBorders>
          </w:tcPr>
          <w:p w14:paraId="3528CF2C" w14:textId="77777777" w:rsidR="00BC7E60" w:rsidRPr="00497178" w:rsidRDefault="00BC7E60" w:rsidP="00512D52">
            <w:pPr>
              <w:rPr>
                <w:rFonts w:ascii="Arial" w:hAnsi="Arial" w:cs="Arial"/>
                <w:sz w:val="18"/>
                <w:szCs w:val="18"/>
              </w:rPr>
            </w:pPr>
            <w:r w:rsidRPr="00497178">
              <w:rPr>
                <w:rFonts w:ascii="Arial" w:hAnsi="Arial" w:cs="Arial"/>
                <w:sz w:val="18"/>
                <w:szCs w:val="18"/>
              </w:rPr>
              <w:t>Umjetnička škola Matka Brajše Rašana Labin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A0A439"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1.042.500,00</w:t>
            </w:r>
          </w:p>
        </w:tc>
        <w:tc>
          <w:tcPr>
            <w:tcW w:w="1729" w:type="dxa"/>
            <w:tcBorders>
              <w:top w:val="single" w:sz="4" w:space="0" w:color="auto"/>
              <w:left w:val="single" w:sz="4" w:space="0" w:color="auto"/>
              <w:bottom w:val="single" w:sz="4" w:space="0" w:color="auto"/>
              <w:right w:val="single" w:sz="4" w:space="0" w:color="auto"/>
            </w:tcBorders>
            <w:vAlign w:val="center"/>
          </w:tcPr>
          <w:p w14:paraId="22C9055C"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49.500,00</w:t>
            </w:r>
          </w:p>
        </w:tc>
        <w:tc>
          <w:tcPr>
            <w:tcW w:w="1729" w:type="dxa"/>
            <w:tcBorders>
              <w:top w:val="single" w:sz="4" w:space="0" w:color="auto"/>
              <w:left w:val="nil"/>
              <w:bottom w:val="single" w:sz="4" w:space="0" w:color="auto"/>
              <w:right w:val="nil"/>
            </w:tcBorders>
            <w:shd w:val="clear" w:color="FFFFFF" w:fill="FFFFFF"/>
            <w:vAlign w:val="center"/>
          </w:tcPr>
          <w:p w14:paraId="14DF6E92"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1.092.000,00</w:t>
            </w:r>
          </w:p>
        </w:tc>
        <w:tc>
          <w:tcPr>
            <w:tcW w:w="1297" w:type="dxa"/>
            <w:tcBorders>
              <w:top w:val="single" w:sz="4" w:space="0" w:color="auto"/>
              <w:left w:val="single" w:sz="4" w:space="0" w:color="auto"/>
              <w:bottom w:val="single" w:sz="4" w:space="0" w:color="auto"/>
              <w:right w:val="single" w:sz="4" w:space="0" w:color="auto"/>
            </w:tcBorders>
            <w:vAlign w:val="center"/>
          </w:tcPr>
          <w:p w14:paraId="5AA189D7"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104,75</w:t>
            </w:r>
          </w:p>
        </w:tc>
      </w:tr>
      <w:tr w:rsidR="00BC7E60" w:rsidRPr="00497178" w14:paraId="7604738A" w14:textId="77777777" w:rsidTr="00512D52">
        <w:trPr>
          <w:trHeight w:val="234"/>
        </w:trPr>
        <w:tc>
          <w:tcPr>
            <w:tcW w:w="646" w:type="dxa"/>
            <w:tcBorders>
              <w:top w:val="single" w:sz="4" w:space="0" w:color="auto"/>
              <w:left w:val="single" w:sz="4" w:space="0" w:color="auto"/>
              <w:bottom w:val="single" w:sz="4" w:space="0" w:color="auto"/>
              <w:right w:val="single" w:sz="4" w:space="0" w:color="auto"/>
            </w:tcBorders>
            <w:hideMark/>
          </w:tcPr>
          <w:p w14:paraId="4DF0097F"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8.</w:t>
            </w:r>
          </w:p>
        </w:tc>
        <w:tc>
          <w:tcPr>
            <w:tcW w:w="2663" w:type="dxa"/>
            <w:tcBorders>
              <w:top w:val="single" w:sz="4" w:space="0" w:color="auto"/>
              <w:left w:val="single" w:sz="4" w:space="0" w:color="auto"/>
              <w:bottom w:val="single" w:sz="4" w:space="0" w:color="auto"/>
              <w:right w:val="single" w:sz="4" w:space="0" w:color="auto"/>
            </w:tcBorders>
            <w:hideMark/>
          </w:tcPr>
          <w:p w14:paraId="0CA93E5C" w14:textId="77777777" w:rsidR="00BC7E60" w:rsidRPr="00497178" w:rsidRDefault="00BC7E60" w:rsidP="00512D52">
            <w:pPr>
              <w:rPr>
                <w:rFonts w:ascii="Arial" w:hAnsi="Arial" w:cs="Arial"/>
                <w:sz w:val="18"/>
                <w:szCs w:val="18"/>
              </w:rPr>
            </w:pPr>
            <w:r w:rsidRPr="00497178">
              <w:rPr>
                <w:rFonts w:ascii="Arial" w:hAnsi="Arial" w:cs="Arial"/>
                <w:sz w:val="18"/>
                <w:szCs w:val="18"/>
              </w:rPr>
              <w:t xml:space="preserve">Pučko otvoreno učilište Labin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CA0525"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309.475,00</w:t>
            </w:r>
          </w:p>
        </w:tc>
        <w:tc>
          <w:tcPr>
            <w:tcW w:w="1729" w:type="dxa"/>
            <w:tcBorders>
              <w:top w:val="single" w:sz="4" w:space="0" w:color="auto"/>
              <w:left w:val="single" w:sz="4" w:space="0" w:color="auto"/>
              <w:bottom w:val="single" w:sz="4" w:space="0" w:color="auto"/>
              <w:right w:val="single" w:sz="4" w:space="0" w:color="auto"/>
            </w:tcBorders>
            <w:vAlign w:val="center"/>
          </w:tcPr>
          <w:p w14:paraId="08343F5A"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-6.950,00</w:t>
            </w:r>
          </w:p>
        </w:tc>
        <w:tc>
          <w:tcPr>
            <w:tcW w:w="1729" w:type="dxa"/>
            <w:tcBorders>
              <w:top w:val="single" w:sz="4" w:space="0" w:color="auto"/>
              <w:left w:val="nil"/>
              <w:bottom w:val="single" w:sz="4" w:space="0" w:color="auto"/>
              <w:right w:val="nil"/>
            </w:tcBorders>
            <w:shd w:val="clear" w:color="FFFFFF" w:fill="FFFFFF"/>
            <w:vAlign w:val="center"/>
          </w:tcPr>
          <w:p w14:paraId="576F0A2E"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302.525,00</w:t>
            </w:r>
          </w:p>
        </w:tc>
        <w:tc>
          <w:tcPr>
            <w:tcW w:w="1297" w:type="dxa"/>
            <w:tcBorders>
              <w:top w:val="single" w:sz="4" w:space="0" w:color="auto"/>
              <w:left w:val="single" w:sz="4" w:space="0" w:color="auto"/>
              <w:bottom w:val="single" w:sz="4" w:space="0" w:color="auto"/>
              <w:right w:val="single" w:sz="4" w:space="0" w:color="auto"/>
            </w:tcBorders>
            <w:vAlign w:val="center"/>
          </w:tcPr>
          <w:p w14:paraId="59E6602D"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97,75</w:t>
            </w:r>
          </w:p>
        </w:tc>
      </w:tr>
      <w:tr w:rsidR="00BC7E60" w:rsidRPr="00497178" w14:paraId="0398F81D" w14:textId="77777777" w:rsidTr="00512D52">
        <w:trPr>
          <w:trHeight w:val="266"/>
        </w:trPr>
        <w:tc>
          <w:tcPr>
            <w:tcW w:w="646" w:type="dxa"/>
            <w:tcBorders>
              <w:top w:val="single" w:sz="4" w:space="0" w:color="auto"/>
              <w:left w:val="single" w:sz="4" w:space="0" w:color="auto"/>
              <w:bottom w:val="single" w:sz="4" w:space="0" w:color="auto"/>
              <w:right w:val="single" w:sz="4" w:space="0" w:color="auto"/>
            </w:tcBorders>
          </w:tcPr>
          <w:p w14:paraId="23D16321"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 xml:space="preserve">9. </w:t>
            </w:r>
          </w:p>
        </w:tc>
        <w:tc>
          <w:tcPr>
            <w:tcW w:w="2663" w:type="dxa"/>
            <w:tcBorders>
              <w:top w:val="single" w:sz="4" w:space="0" w:color="auto"/>
              <w:left w:val="single" w:sz="4" w:space="0" w:color="auto"/>
              <w:bottom w:val="single" w:sz="4" w:space="0" w:color="auto"/>
              <w:right w:val="single" w:sz="4" w:space="0" w:color="auto"/>
            </w:tcBorders>
          </w:tcPr>
          <w:p w14:paraId="32D4B557" w14:textId="77777777" w:rsidR="00BC7E60" w:rsidRPr="00497178" w:rsidRDefault="00BC7E60" w:rsidP="00512D52">
            <w:pPr>
              <w:rPr>
                <w:rFonts w:ascii="Arial" w:hAnsi="Arial" w:cs="Arial"/>
                <w:sz w:val="18"/>
                <w:szCs w:val="18"/>
              </w:rPr>
            </w:pPr>
            <w:r w:rsidRPr="00497178">
              <w:rPr>
                <w:rFonts w:ascii="Arial" w:hAnsi="Arial" w:cs="Arial"/>
                <w:sz w:val="18"/>
                <w:szCs w:val="18"/>
              </w:rPr>
              <w:t>Gradska knjižnica Labin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3DA7F8"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140.075,00</w:t>
            </w:r>
          </w:p>
        </w:tc>
        <w:tc>
          <w:tcPr>
            <w:tcW w:w="1729" w:type="dxa"/>
            <w:tcBorders>
              <w:top w:val="single" w:sz="4" w:space="0" w:color="auto"/>
              <w:left w:val="single" w:sz="4" w:space="0" w:color="auto"/>
              <w:bottom w:val="single" w:sz="4" w:space="0" w:color="auto"/>
              <w:right w:val="single" w:sz="4" w:space="0" w:color="auto"/>
            </w:tcBorders>
            <w:vAlign w:val="center"/>
          </w:tcPr>
          <w:p w14:paraId="49619502"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700,00</w:t>
            </w:r>
          </w:p>
        </w:tc>
        <w:tc>
          <w:tcPr>
            <w:tcW w:w="1729" w:type="dxa"/>
            <w:tcBorders>
              <w:top w:val="single" w:sz="4" w:space="0" w:color="auto"/>
              <w:left w:val="nil"/>
              <w:bottom w:val="single" w:sz="4" w:space="0" w:color="auto"/>
              <w:right w:val="nil"/>
            </w:tcBorders>
            <w:shd w:val="clear" w:color="FFFFFF" w:fill="FFFFFF"/>
            <w:vAlign w:val="center"/>
          </w:tcPr>
          <w:p w14:paraId="3F9E453E"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140.775,00</w:t>
            </w:r>
          </w:p>
        </w:tc>
        <w:tc>
          <w:tcPr>
            <w:tcW w:w="1297" w:type="dxa"/>
            <w:tcBorders>
              <w:top w:val="single" w:sz="4" w:space="0" w:color="auto"/>
              <w:left w:val="single" w:sz="4" w:space="0" w:color="auto"/>
              <w:bottom w:val="single" w:sz="4" w:space="0" w:color="auto"/>
              <w:right w:val="single" w:sz="4" w:space="0" w:color="auto"/>
            </w:tcBorders>
            <w:vAlign w:val="center"/>
          </w:tcPr>
          <w:p w14:paraId="35D33B5C"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100,50</w:t>
            </w:r>
          </w:p>
        </w:tc>
      </w:tr>
      <w:tr w:rsidR="00BC7E60" w:rsidRPr="00497178" w14:paraId="6A429BBD" w14:textId="77777777" w:rsidTr="00512D52">
        <w:trPr>
          <w:trHeight w:val="284"/>
        </w:trPr>
        <w:tc>
          <w:tcPr>
            <w:tcW w:w="646" w:type="dxa"/>
            <w:tcBorders>
              <w:top w:val="single" w:sz="4" w:space="0" w:color="auto"/>
              <w:left w:val="single" w:sz="4" w:space="0" w:color="auto"/>
              <w:bottom w:val="single" w:sz="4" w:space="0" w:color="auto"/>
              <w:right w:val="single" w:sz="4" w:space="0" w:color="auto"/>
            </w:tcBorders>
          </w:tcPr>
          <w:p w14:paraId="1E733326"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 xml:space="preserve">10. </w:t>
            </w:r>
          </w:p>
        </w:tc>
        <w:tc>
          <w:tcPr>
            <w:tcW w:w="2663" w:type="dxa"/>
            <w:tcBorders>
              <w:top w:val="single" w:sz="4" w:space="0" w:color="auto"/>
              <w:left w:val="single" w:sz="4" w:space="0" w:color="auto"/>
              <w:bottom w:val="single" w:sz="4" w:space="0" w:color="auto"/>
              <w:right w:val="single" w:sz="4" w:space="0" w:color="auto"/>
            </w:tcBorders>
          </w:tcPr>
          <w:p w14:paraId="447DFEA3" w14:textId="77777777" w:rsidR="00BC7E60" w:rsidRPr="00497178" w:rsidRDefault="00BC7E60" w:rsidP="00512D52">
            <w:pPr>
              <w:rPr>
                <w:rFonts w:ascii="Arial" w:hAnsi="Arial" w:cs="Arial"/>
                <w:sz w:val="18"/>
                <w:szCs w:val="18"/>
              </w:rPr>
            </w:pPr>
            <w:r w:rsidRPr="00497178">
              <w:rPr>
                <w:rFonts w:ascii="Arial" w:hAnsi="Arial" w:cs="Arial"/>
                <w:sz w:val="18"/>
                <w:szCs w:val="18"/>
              </w:rPr>
              <w:t>Dom za starije osobe Labin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9E9825"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1.210.000,00</w:t>
            </w:r>
          </w:p>
        </w:tc>
        <w:tc>
          <w:tcPr>
            <w:tcW w:w="1729" w:type="dxa"/>
            <w:tcBorders>
              <w:top w:val="single" w:sz="4" w:space="0" w:color="auto"/>
              <w:left w:val="single" w:sz="4" w:space="0" w:color="auto"/>
              <w:bottom w:val="single" w:sz="4" w:space="0" w:color="auto"/>
              <w:right w:val="single" w:sz="4" w:space="0" w:color="auto"/>
            </w:tcBorders>
            <w:vAlign w:val="center"/>
          </w:tcPr>
          <w:p w14:paraId="4F3F909E"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80.463,00</w:t>
            </w:r>
          </w:p>
        </w:tc>
        <w:tc>
          <w:tcPr>
            <w:tcW w:w="1729" w:type="dxa"/>
            <w:tcBorders>
              <w:top w:val="single" w:sz="4" w:space="0" w:color="auto"/>
              <w:left w:val="nil"/>
              <w:bottom w:val="single" w:sz="4" w:space="0" w:color="auto"/>
              <w:right w:val="nil"/>
            </w:tcBorders>
            <w:shd w:val="clear" w:color="FFFFFF" w:fill="FFFFFF"/>
            <w:vAlign w:val="center"/>
          </w:tcPr>
          <w:p w14:paraId="549BDAAF"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1.290.463,00</w:t>
            </w:r>
          </w:p>
        </w:tc>
        <w:tc>
          <w:tcPr>
            <w:tcW w:w="1297" w:type="dxa"/>
            <w:tcBorders>
              <w:top w:val="single" w:sz="4" w:space="0" w:color="auto"/>
              <w:left w:val="single" w:sz="4" w:space="0" w:color="auto"/>
              <w:bottom w:val="single" w:sz="4" w:space="0" w:color="auto"/>
              <w:right w:val="single" w:sz="4" w:space="0" w:color="auto"/>
            </w:tcBorders>
            <w:vAlign w:val="center"/>
          </w:tcPr>
          <w:p w14:paraId="7A214AE1"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106,65</w:t>
            </w:r>
          </w:p>
        </w:tc>
      </w:tr>
      <w:tr w:rsidR="00BC7E60" w:rsidRPr="00497178" w14:paraId="34F5237C" w14:textId="77777777" w:rsidTr="00512D52">
        <w:trPr>
          <w:trHeight w:val="404"/>
        </w:trPr>
        <w:tc>
          <w:tcPr>
            <w:tcW w:w="646" w:type="dxa"/>
            <w:tcBorders>
              <w:top w:val="single" w:sz="4" w:space="0" w:color="auto"/>
              <w:left w:val="single" w:sz="4" w:space="0" w:color="auto"/>
              <w:bottom w:val="single" w:sz="4" w:space="0" w:color="auto"/>
              <w:right w:val="single" w:sz="4" w:space="0" w:color="auto"/>
            </w:tcBorders>
          </w:tcPr>
          <w:p w14:paraId="185D8132" w14:textId="77777777" w:rsidR="00BC7E60" w:rsidRPr="00497178" w:rsidRDefault="00BC7E60" w:rsidP="00512D52">
            <w:pPr>
              <w:jc w:val="both"/>
              <w:rPr>
                <w:rFonts w:ascii="Arial" w:hAnsi="Arial" w:cs="Arial"/>
                <w:sz w:val="18"/>
                <w:szCs w:val="18"/>
              </w:rPr>
            </w:pPr>
          </w:p>
        </w:tc>
        <w:tc>
          <w:tcPr>
            <w:tcW w:w="2663" w:type="dxa"/>
            <w:tcBorders>
              <w:top w:val="single" w:sz="4" w:space="0" w:color="auto"/>
              <w:left w:val="single" w:sz="4" w:space="0" w:color="auto"/>
              <w:bottom w:val="single" w:sz="4" w:space="0" w:color="auto"/>
              <w:right w:val="single" w:sz="4" w:space="0" w:color="auto"/>
            </w:tcBorders>
            <w:vAlign w:val="center"/>
          </w:tcPr>
          <w:p w14:paraId="56322558" w14:textId="77777777" w:rsidR="00BC7E60" w:rsidRPr="00497178" w:rsidRDefault="00BC7E60" w:rsidP="00512D52">
            <w:pPr>
              <w:rPr>
                <w:rFonts w:ascii="Arial" w:hAnsi="Arial" w:cs="Arial"/>
                <w:b/>
                <w:bCs/>
                <w:sz w:val="18"/>
                <w:szCs w:val="18"/>
              </w:rPr>
            </w:pPr>
            <w:r w:rsidRPr="00497178">
              <w:rPr>
                <w:rFonts w:ascii="Arial" w:hAnsi="Arial" w:cs="Arial"/>
                <w:b/>
                <w:bCs/>
                <w:sz w:val="18"/>
                <w:szCs w:val="18"/>
              </w:rPr>
              <w:t xml:space="preserve">Ukupno korisnici: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CF7410" w14:textId="77777777" w:rsidR="00BC7E60" w:rsidRPr="00497178" w:rsidRDefault="00BC7E60" w:rsidP="00512D52">
            <w:pPr>
              <w:jc w:val="right"/>
              <w:rPr>
                <w:rFonts w:ascii="Arial" w:hAnsi="Arial" w:cs="Arial"/>
                <w:b/>
                <w:bCs/>
                <w:sz w:val="18"/>
                <w:szCs w:val="18"/>
              </w:rPr>
            </w:pPr>
            <w:r w:rsidRPr="00497178">
              <w:rPr>
                <w:rFonts w:ascii="Arial" w:hAnsi="Arial" w:cs="Arial"/>
                <w:b/>
                <w:bCs/>
                <w:sz w:val="18"/>
                <w:szCs w:val="18"/>
              </w:rPr>
              <w:t>11.386.282,00</w:t>
            </w:r>
          </w:p>
        </w:tc>
        <w:tc>
          <w:tcPr>
            <w:tcW w:w="1729" w:type="dxa"/>
            <w:tcBorders>
              <w:top w:val="single" w:sz="4" w:space="0" w:color="auto"/>
              <w:left w:val="single" w:sz="4" w:space="0" w:color="auto"/>
              <w:bottom w:val="single" w:sz="4" w:space="0" w:color="auto"/>
              <w:right w:val="single" w:sz="4" w:space="0" w:color="auto"/>
            </w:tcBorders>
            <w:vAlign w:val="center"/>
          </w:tcPr>
          <w:p w14:paraId="1DA47483" w14:textId="77777777" w:rsidR="00BC7E60" w:rsidRPr="00497178" w:rsidRDefault="00BC7E60" w:rsidP="00512D52">
            <w:pPr>
              <w:jc w:val="right"/>
              <w:rPr>
                <w:rFonts w:ascii="Arial" w:hAnsi="Arial" w:cs="Arial"/>
                <w:b/>
                <w:bCs/>
                <w:sz w:val="18"/>
                <w:szCs w:val="18"/>
              </w:rPr>
            </w:pPr>
            <w:r w:rsidRPr="00497178">
              <w:rPr>
                <w:rFonts w:ascii="Arial" w:hAnsi="Arial" w:cs="Arial"/>
                <w:b/>
                <w:bCs/>
                <w:sz w:val="18"/>
                <w:szCs w:val="18"/>
              </w:rPr>
              <w:t>442.949,00</w:t>
            </w:r>
          </w:p>
        </w:tc>
        <w:tc>
          <w:tcPr>
            <w:tcW w:w="1729" w:type="dxa"/>
            <w:tcBorders>
              <w:top w:val="single" w:sz="4" w:space="0" w:color="auto"/>
              <w:left w:val="single" w:sz="4" w:space="0" w:color="auto"/>
              <w:bottom w:val="single" w:sz="4" w:space="0" w:color="auto"/>
              <w:right w:val="single" w:sz="4" w:space="0" w:color="auto"/>
            </w:tcBorders>
            <w:vAlign w:val="center"/>
          </w:tcPr>
          <w:p w14:paraId="4916923E" w14:textId="77777777" w:rsidR="00BC7E60" w:rsidRPr="00497178" w:rsidRDefault="00BC7E60" w:rsidP="00512D52">
            <w:pPr>
              <w:jc w:val="right"/>
              <w:rPr>
                <w:rFonts w:ascii="Arial" w:hAnsi="Arial" w:cs="Arial"/>
                <w:b/>
                <w:bCs/>
                <w:sz w:val="18"/>
                <w:szCs w:val="18"/>
              </w:rPr>
            </w:pPr>
            <w:r w:rsidRPr="00497178">
              <w:rPr>
                <w:rFonts w:ascii="Arial" w:hAnsi="Arial" w:cs="Arial"/>
                <w:b/>
                <w:bCs/>
                <w:sz w:val="18"/>
                <w:szCs w:val="18"/>
              </w:rPr>
              <w:t>11.830.211,00</w:t>
            </w:r>
          </w:p>
        </w:tc>
        <w:tc>
          <w:tcPr>
            <w:tcW w:w="1297" w:type="dxa"/>
            <w:tcBorders>
              <w:top w:val="single" w:sz="4" w:space="0" w:color="auto"/>
              <w:left w:val="single" w:sz="4" w:space="0" w:color="auto"/>
              <w:bottom w:val="single" w:sz="4" w:space="0" w:color="auto"/>
              <w:right w:val="single" w:sz="4" w:space="0" w:color="auto"/>
            </w:tcBorders>
            <w:vAlign w:val="center"/>
          </w:tcPr>
          <w:p w14:paraId="01F52766" w14:textId="77777777" w:rsidR="00BC7E60" w:rsidRPr="00497178" w:rsidRDefault="00BC7E60" w:rsidP="00512D52">
            <w:pPr>
              <w:jc w:val="right"/>
              <w:rPr>
                <w:rFonts w:ascii="Arial" w:hAnsi="Arial" w:cs="Arial"/>
                <w:b/>
                <w:bCs/>
                <w:sz w:val="18"/>
                <w:szCs w:val="18"/>
              </w:rPr>
            </w:pPr>
            <w:r w:rsidRPr="00497178">
              <w:rPr>
                <w:rFonts w:ascii="Arial" w:hAnsi="Arial" w:cs="Arial"/>
                <w:b/>
                <w:bCs/>
                <w:sz w:val="18"/>
                <w:szCs w:val="18"/>
              </w:rPr>
              <w:t>103,90</w:t>
            </w:r>
          </w:p>
        </w:tc>
      </w:tr>
      <w:tr w:rsidR="00BC7E60" w:rsidRPr="00497178" w14:paraId="629325FE" w14:textId="77777777" w:rsidTr="00512D52">
        <w:trPr>
          <w:trHeight w:val="464"/>
        </w:trPr>
        <w:tc>
          <w:tcPr>
            <w:tcW w:w="646" w:type="dxa"/>
            <w:tcBorders>
              <w:top w:val="single" w:sz="4" w:space="0" w:color="auto"/>
              <w:left w:val="single" w:sz="4" w:space="0" w:color="auto"/>
              <w:bottom w:val="single" w:sz="4" w:space="0" w:color="auto"/>
              <w:right w:val="single" w:sz="4" w:space="0" w:color="auto"/>
            </w:tcBorders>
          </w:tcPr>
          <w:p w14:paraId="3B5F2511" w14:textId="77777777" w:rsidR="00BC7E60" w:rsidRPr="00497178" w:rsidRDefault="00BC7E60" w:rsidP="00512D52">
            <w:pPr>
              <w:jc w:val="both"/>
              <w:rPr>
                <w:rFonts w:ascii="Arial" w:hAnsi="Arial" w:cs="Arial"/>
                <w:b/>
                <w:bCs/>
                <w:sz w:val="18"/>
                <w:szCs w:val="18"/>
              </w:rPr>
            </w:pPr>
          </w:p>
        </w:tc>
        <w:tc>
          <w:tcPr>
            <w:tcW w:w="2663" w:type="dxa"/>
            <w:tcBorders>
              <w:top w:val="single" w:sz="4" w:space="0" w:color="auto"/>
              <w:left w:val="single" w:sz="4" w:space="0" w:color="auto"/>
              <w:bottom w:val="single" w:sz="4" w:space="0" w:color="auto"/>
              <w:right w:val="single" w:sz="4" w:space="0" w:color="auto"/>
            </w:tcBorders>
            <w:hideMark/>
          </w:tcPr>
          <w:p w14:paraId="4C1DBF90" w14:textId="77777777" w:rsidR="00BC7E60" w:rsidRPr="00497178" w:rsidRDefault="00BC7E60" w:rsidP="00512D52">
            <w:pPr>
              <w:jc w:val="both"/>
              <w:rPr>
                <w:rFonts w:ascii="Arial" w:hAnsi="Arial" w:cs="Arial"/>
                <w:b/>
                <w:bCs/>
                <w:sz w:val="18"/>
                <w:szCs w:val="18"/>
              </w:rPr>
            </w:pPr>
            <w:r w:rsidRPr="00497178">
              <w:rPr>
                <w:rFonts w:ascii="Arial" w:hAnsi="Arial" w:cs="Arial"/>
                <w:b/>
                <w:bCs/>
                <w:sz w:val="18"/>
                <w:szCs w:val="18"/>
              </w:rPr>
              <w:t>SVEUKUPNO GRAD + KORISNICI:</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4ACE9B" w14:textId="77777777" w:rsidR="00BC7E60" w:rsidRPr="00497178" w:rsidRDefault="00BC7E60" w:rsidP="00512D52">
            <w:pPr>
              <w:jc w:val="right"/>
              <w:rPr>
                <w:rFonts w:ascii="Arial" w:hAnsi="Arial" w:cs="Arial"/>
                <w:b/>
                <w:bCs/>
                <w:sz w:val="18"/>
                <w:szCs w:val="18"/>
              </w:rPr>
            </w:pPr>
            <w:r w:rsidRPr="00497178">
              <w:rPr>
                <w:rFonts w:ascii="Arial" w:hAnsi="Arial" w:cs="Arial"/>
                <w:b/>
                <w:bCs/>
                <w:sz w:val="18"/>
                <w:szCs w:val="18"/>
              </w:rPr>
              <w:t>13.076.482,00</w:t>
            </w:r>
          </w:p>
        </w:tc>
        <w:tc>
          <w:tcPr>
            <w:tcW w:w="1729" w:type="dxa"/>
            <w:tcBorders>
              <w:top w:val="single" w:sz="4" w:space="0" w:color="auto"/>
              <w:left w:val="single" w:sz="4" w:space="0" w:color="auto"/>
              <w:bottom w:val="single" w:sz="4" w:space="0" w:color="auto"/>
              <w:right w:val="single" w:sz="4" w:space="0" w:color="auto"/>
            </w:tcBorders>
            <w:vAlign w:val="center"/>
          </w:tcPr>
          <w:p w14:paraId="4CE4DB3D" w14:textId="77777777" w:rsidR="00BC7E60" w:rsidRPr="00497178" w:rsidRDefault="00BC7E60" w:rsidP="00512D52">
            <w:pPr>
              <w:jc w:val="right"/>
              <w:rPr>
                <w:rFonts w:ascii="Arial" w:hAnsi="Arial" w:cs="Arial"/>
                <w:b/>
                <w:bCs/>
                <w:sz w:val="18"/>
                <w:szCs w:val="18"/>
              </w:rPr>
            </w:pPr>
            <w:r w:rsidRPr="00497178">
              <w:rPr>
                <w:rFonts w:ascii="Arial" w:hAnsi="Arial" w:cs="Arial"/>
                <w:b/>
                <w:bCs/>
                <w:sz w:val="18"/>
                <w:szCs w:val="18"/>
              </w:rPr>
              <w:t>472.949,00</w:t>
            </w:r>
          </w:p>
        </w:tc>
        <w:tc>
          <w:tcPr>
            <w:tcW w:w="1729" w:type="dxa"/>
            <w:tcBorders>
              <w:top w:val="single" w:sz="4" w:space="0" w:color="auto"/>
              <w:left w:val="single" w:sz="4" w:space="0" w:color="auto"/>
              <w:bottom w:val="single" w:sz="4" w:space="0" w:color="auto"/>
              <w:right w:val="single" w:sz="4" w:space="0" w:color="auto"/>
            </w:tcBorders>
            <w:vAlign w:val="center"/>
          </w:tcPr>
          <w:p w14:paraId="02BB7F37" w14:textId="77777777" w:rsidR="00BC7E60" w:rsidRPr="00497178" w:rsidRDefault="00BC7E60" w:rsidP="00512D52">
            <w:pPr>
              <w:jc w:val="right"/>
              <w:rPr>
                <w:rFonts w:ascii="Arial" w:hAnsi="Arial" w:cs="Arial"/>
                <w:b/>
                <w:bCs/>
                <w:sz w:val="18"/>
                <w:szCs w:val="18"/>
              </w:rPr>
            </w:pPr>
            <w:r w:rsidRPr="00497178">
              <w:rPr>
                <w:rFonts w:ascii="Arial" w:hAnsi="Arial" w:cs="Arial"/>
                <w:b/>
                <w:bCs/>
                <w:sz w:val="18"/>
                <w:szCs w:val="18"/>
              </w:rPr>
              <w:t>13.549.431,00</w:t>
            </w:r>
          </w:p>
        </w:tc>
        <w:tc>
          <w:tcPr>
            <w:tcW w:w="1297" w:type="dxa"/>
            <w:tcBorders>
              <w:top w:val="single" w:sz="4" w:space="0" w:color="auto"/>
              <w:left w:val="single" w:sz="4" w:space="0" w:color="auto"/>
              <w:bottom w:val="single" w:sz="4" w:space="0" w:color="auto"/>
              <w:right w:val="single" w:sz="4" w:space="0" w:color="auto"/>
            </w:tcBorders>
            <w:vAlign w:val="center"/>
          </w:tcPr>
          <w:p w14:paraId="6E0C2277" w14:textId="77777777" w:rsidR="00BC7E60" w:rsidRPr="00497178" w:rsidRDefault="00BC7E60" w:rsidP="00512D52">
            <w:pPr>
              <w:jc w:val="right"/>
              <w:rPr>
                <w:rFonts w:ascii="Arial" w:hAnsi="Arial" w:cs="Arial"/>
                <w:b/>
                <w:bCs/>
                <w:sz w:val="18"/>
                <w:szCs w:val="18"/>
              </w:rPr>
            </w:pPr>
            <w:r w:rsidRPr="00497178">
              <w:rPr>
                <w:rFonts w:ascii="Arial" w:hAnsi="Arial" w:cs="Arial"/>
                <w:b/>
                <w:bCs/>
                <w:sz w:val="18"/>
                <w:szCs w:val="18"/>
              </w:rPr>
              <w:t>103,62</w:t>
            </w:r>
          </w:p>
        </w:tc>
      </w:tr>
    </w:tbl>
    <w:p w14:paraId="42256E4B" w14:textId="77777777" w:rsidR="00BC7E60" w:rsidRPr="00497178" w:rsidRDefault="00BC7E60" w:rsidP="00BC7E60">
      <w:pPr>
        <w:jc w:val="both"/>
        <w:rPr>
          <w:rFonts w:ascii="Arial" w:hAnsi="Arial" w:cs="Arial"/>
          <w:sz w:val="22"/>
        </w:rPr>
      </w:pPr>
    </w:p>
    <w:p w14:paraId="3105181A" w14:textId="77777777" w:rsidR="00BC7E60" w:rsidRPr="00497178" w:rsidRDefault="00BC7E60" w:rsidP="00BC7E60">
      <w:pPr>
        <w:jc w:val="both"/>
        <w:rPr>
          <w:rFonts w:ascii="Arial" w:hAnsi="Arial" w:cs="Arial"/>
          <w:sz w:val="22"/>
        </w:rPr>
      </w:pPr>
    </w:p>
    <w:p w14:paraId="2B7A63A8" w14:textId="77777777" w:rsidR="00BC7E60" w:rsidRPr="00497178" w:rsidRDefault="00BC7E60" w:rsidP="00BC7E60">
      <w:pPr>
        <w:jc w:val="both"/>
        <w:rPr>
          <w:rFonts w:ascii="Arial" w:hAnsi="Arial" w:cs="Arial"/>
          <w:sz w:val="22"/>
        </w:rPr>
      </w:pPr>
    </w:p>
    <w:p w14:paraId="114DDF14" w14:textId="77777777" w:rsidR="00BC7E60" w:rsidRPr="00497178" w:rsidRDefault="00BC7E60" w:rsidP="00BC7E60">
      <w:pPr>
        <w:jc w:val="both"/>
        <w:rPr>
          <w:rFonts w:ascii="Arial" w:hAnsi="Arial" w:cs="Arial"/>
          <w:sz w:val="22"/>
        </w:rPr>
      </w:pPr>
      <w:r w:rsidRPr="00497178">
        <w:rPr>
          <w:rFonts w:ascii="Arial" w:hAnsi="Arial" w:cs="Arial"/>
          <w:sz w:val="22"/>
        </w:rPr>
        <w:t>Ukupni rashodi za zaposlene povećani su za 3,62% odnosno za 472.949 EUR.</w:t>
      </w:r>
    </w:p>
    <w:p w14:paraId="7373BAD5" w14:textId="77777777" w:rsidR="00BC7E60" w:rsidRPr="00497178" w:rsidRDefault="00BC7E60" w:rsidP="00BC7E60">
      <w:pPr>
        <w:jc w:val="both"/>
        <w:rPr>
          <w:rFonts w:ascii="Arial" w:hAnsi="Arial" w:cs="Arial"/>
          <w:sz w:val="22"/>
        </w:rPr>
      </w:pPr>
      <w:r w:rsidRPr="00497178">
        <w:rPr>
          <w:rFonts w:ascii="Arial" w:hAnsi="Arial" w:cs="Arial"/>
          <w:sz w:val="22"/>
        </w:rPr>
        <w:t>Povećanje rashoda za zaposlene vidljivo je kod Gradske uprave, zbog</w:t>
      </w:r>
      <w:r>
        <w:rPr>
          <w:rFonts w:ascii="Arial" w:hAnsi="Arial" w:cs="Arial"/>
          <w:sz w:val="22"/>
        </w:rPr>
        <w:t xml:space="preserve"> povećanja plaća djelatnika i</w:t>
      </w:r>
      <w:r w:rsidRPr="00497178">
        <w:rPr>
          <w:rFonts w:ascii="Arial" w:hAnsi="Arial" w:cs="Arial"/>
          <w:sz w:val="22"/>
        </w:rPr>
        <w:t xml:space="preserve"> obveze isplate naknade plaće i staža osiguranja po prestanku profesionalnog obavljanja dužnosti gradonačelnika GL.</w:t>
      </w:r>
    </w:p>
    <w:p w14:paraId="39D382E7" w14:textId="77777777" w:rsidR="00BC7E60" w:rsidRPr="00497178" w:rsidRDefault="00BC7E60" w:rsidP="00BC7E60">
      <w:pPr>
        <w:jc w:val="both"/>
        <w:rPr>
          <w:rFonts w:ascii="Arial" w:hAnsi="Arial" w:cs="Arial"/>
          <w:sz w:val="22"/>
        </w:rPr>
      </w:pPr>
      <w:r w:rsidRPr="00497178">
        <w:rPr>
          <w:rFonts w:ascii="Arial" w:hAnsi="Arial" w:cs="Arial"/>
          <w:sz w:val="22"/>
        </w:rPr>
        <w:t xml:space="preserve">Manje povećanje rashoda za zaposlene odnosi se na povećanje plaća djelatnika u osnovnim školama, a sredstva se osiguravaju iz sredstava državne riznice, osim za povećanje plaća učitelja produženog boravka koje se uglavnom osiguravaju iz sredstava Grada Labina te manjim dijelom iz sredstava općina Raša i Svete Nedjelje. </w:t>
      </w:r>
    </w:p>
    <w:p w14:paraId="0251A5C6" w14:textId="77777777" w:rsidR="00BC7E60" w:rsidRPr="00497178" w:rsidRDefault="00BC7E60" w:rsidP="00BC7E60">
      <w:pPr>
        <w:jc w:val="both"/>
        <w:rPr>
          <w:rFonts w:ascii="Arial" w:hAnsi="Arial" w:cs="Arial"/>
          <w:sz w:val="22"/>
          <w:lang w:val="hr-BA"/>
        </w:rPr>
      </w:pPr>
      <w:r w:rsidRPr="00497178">
        <w:rPr>
          <w:rFonts w:ascii="Arial" w:hAnsi="Arial" w:cs="Arial"/>
          <w:sz w:val="22"/>
        </w:rPr>
        <w:t xml:space="preserve">Povećani su rashodi za zaposlene Javne postrojbe Labin u iznosu od 25.188 EUR </w:t>
      </w:r>
      <w:r w:rsidRPr="00497178">
        <w:rPr>
          <w:rFonts w:ascii="Arial" w:hAnsi="Arial" w:cs="Arial"/>
          <w:sz w:val="22"/>
          <w:lang w:val="hr-BA"/>
        </w:rPr>
        <w:t xml:space="preserve"> radi potrebe radnika za prekovremenim radom ostvarenim na većim intervencijama.</w:t>
      </w:r>
    </w:p>
    <w:p w14:paraId="115145D8" w14:textId="77777777" w:rsidR="00BC7E60" w:rsidRPr="00497178" w:rsidRDefault="00BC7E60" w:rsidP="00BC7E60">
      <w:pPr>
        <w:jc w:val="both"/>
        <w:rPr>
          <w:rFonts w:ascii="Arial" w:hAnsi="Arial" w:cs="Arial"/>
          <w:sz w:val="22"/>
        </w:rPr>
      </w:pPr>
      <w:r w:rsidRPr="00497178">
        <w:rPr>
          <w:rFonts w:ascii="Arial" w:hAnsi="Arial" w:cs="Arial"/>
          <w:sz w:val="22"/>
        </w:rPr>
        <w:t xml:space="preserve">Nadalje, povećani su rashodi za zaposlene u dječjem vrtiću </w:t>
      </w:r>
      <w:proofErr w:type="spellStart"/>
      <w:r w:rsidRPr="00497178">
        <w:rPr>
          <w:rFonts w:ascii="Arial" w:hAnsi="Arial" w:cs="Arial"/>
          <w:sz w:val="22"/>
        </w:rPr>
        <w:t>Pjerina</w:t>
      </w:r>
      <w:proofErr w:type="spellEnd"/>
      <w:r w:rsidRPr="00497178">
        <w:rPr>
          <w:rFonts w:ascii="Arial" w:hAnsi="Arial" w:cs="Arial"/>
          <w:sz w:val="22"/>
        </w:rPr>
        <w:t xml:space="preserve"> </w:t>
      </w:r>
      <w:proofErr w:type="spellStart"/>
      <w:r w:rsidRPr="00497178">
        <w:rPr>
          <w:rFonts w:ascii="Arial" w:hAnsi="Arial" w:cs="Arial"/>
          <w:sz w:val="22"/>
        </w:rPr>
        <w:t>Verbanac</w:t>
      </w:r>
      <w:proofErr w:type="spellEnd"/>
      <w:r w:rsidRPr="00497178">
        <w:rPr>
          <w:rFonts w:ascii="Arial" w:hAnsi="Arial" w:cs="Arial"/>
          <w:sz w:val="22"/>
        </w:rPr>
        <w:t xml:space="preserve"> u iznosu od 135.125 EUR odnosno 4,62% jer se povećava broj zaposlenika a povećavaju se i  izdaci za materijalne rashode radnika prema kolektivnome ugovoru.</w:t>
      </w:r>
    </w:p>
    <w:p w14:paraId="75F129B0" w14:textId="77777777" w:rsidR="00BC7E60" w:rsidRPr="00497178" w:rsidRDefault="00BC7E60" w:rsidP="00BC7E60">
      <w:pPr>
        <w:jc w:val="both"/>
        <w:rPr>
          <w:rFonts w:ascii="Arial" w:hAnsi="Arial" w:cs="Arial"/>
          <w:sz w:val="22"/>
        </w:rPr>
      </w:pPr>
      <w:r w:rsidRPr="00497178">
        <w:rPr>
          <w:rFonts w:ascii="Arial" w:hAnsi="Arial" w:cs="Arial"/>
          <w:sz w:val="22"/>
        </w:rPr>
        <w:t xml:space="preserve">Sredstva za povećanje plaća osiguravaju se iz sredstava Grada Labina u visini 64,46%, a ostatak iz sredstava pomoći Općina Raša i Sveta Nedjelja. </w:t>
      </w:r>
    </w:p>
    <w:p w14:paraId="3FD93AF3" w14:textId="77777777" w:rsidR="00BC7E60" w:rsidRPr="00497178" w:rsidRDefault="00BC7E60" w:rsidP="00BC7E60">
      <w:pPr>
        <w:jc w:val="both"/>
        <w:rPr>
          <w:rFonts w:ascii="Arial" w:hAnsi="Arial" w:cs="Arial"/>
          <w:sz w:val="22"/>
        </w:rPr>
      </w:pPr>
      <w:r w:rsidRPr="00497178">
        <w:rPr>
          <w:rFonts w:ascii="Arial" w:hAnsi="Arial" w:cs="Arial"/>
          <w:sz w:val="22"/>
        </w:rPr>
        <w:t>Za zaposlene u Domu za starije osobe Labin rashodi za zaposlene su povećani  za 6,65% više od plana za 2025. godinu ili 80.463 EUR. Do povećanja rashoda došlo je zbog promjena koje su nastupile sa datumom 01.01.2025. kada je na snagu stupio Kolektivni ugovor Doma za starije osobe Labin.</w:t>
      </w:r>
    </w:p>
    <w:p w14:paraId="0BB7596B" w14:textId="77777777" w:rsidR="00BC7E60" w:rsidRPr="00497178" w:rsidRDefault="00BC7E60" w:rsidP="00BC7E60">
      <w:pPr>
        <w:jc w:val="both"/>
        <w:rPr>
          <w:rFonts w:ascii="Arial" w:hAnsi="Arial" w:cs="Arial"/>
          <w:sz w:val="22"/>
        </w:rPr>
      </w:pPr>
    </w:p>
    <w:p w14:paraId="13EE08E2" w14:textId="77777777" w:rsidR="00BC7E60" w:rsidRDefault="00BC7E60" w:rsidP="00BC7E60">
      <w:pPr>
        <w:jc w:val="both"/>
        <w:rPr>
          <w:rFonts w:ascii="Arial" w:hAnsi="Arial" w:cs="Arial"/>
          <w:sz w:val="22"/>
        </w:rPr>
      </w:pPr>
    </w:p>
    <w:p w14:paraId="071423EB" w14:textId="77777777" w:rsidR="00BC7E60" w:rsidRPr="00497178" w:rsidRDefault="00BC7E60" w:rsidP="00BC7E60">
      <w:pPr>
        <w:jc w:val="both"/>
        <w:rPr>
          <w:rFonts w:ascii="Arial" w:hAnsi="Arial" w:cs="Arial"/>
          <w:sz w:val="22"/>
        </w:rPr>
      </w:pPr>
    </w:p>
    <w:p w14:paraId="2DD7839E" w14:textId="77777777" w:rsidR="00BC7E60" w:rsidRDefault="00BC7E60" w:rsidP="00BC7E60">
      <w:pPr>
        <w:rPr>
          <w:rFonts w:ascii="Arial" w:eastAsia="Calibri" w:hAnsi="Arial" w:cs="Arial"/>
          <w:b/>
          <w:sz w:val="22"/>
        </w:rPr>
      </w:pPr>
      <w:r w:rsidRPr="00497178">
        <w:rPr>
          <w:rFonts w:ascii="Arial" w:eastAsia="Calibri" w:hAnsi="Arial" w:cs="Arial"/>
          <w:b/>
          <w:sz w:val="22"/>
        </w:rPr>
        <w:lastRenderedPageBreak/>
        <w:t xml:space="preserve">Materijalni rashodi </w:t>
      </w:r>
    </w:p>
    <w:p w14:paraId="203D276C" w14:textId="77777777" w:rsidR="00BC7E60" w:rsidRPr="00497178" w:rsidRDefault="00BC7E60" w:rsidP="00BC7E60">
      <w:pPr>
        <w:rPr>
          <w:rFonts w:ascii="Arial" w:eastAsia="Calibri" w:hAnsi="Arial" w:cs="Arial"/>
          <w:b/>
          <w:sz w:val="22"/>
        </w:rPr>
      </w:pPr>
    </w:p>
    <w:p w14:paraId="3FE1231C" w14:textId="77777777" w:rsidR="00BC7E60" w:rsidRPr="00497178" w:rsidRDefault="00BC7E60" w:rsidP="00BC7E60">
      <w:pPr>
        <w:keepNext/>
        <w:outlineLvl w:val="3"/>
        <w:rPr>
          <w:rFonts w:ascii="Arial" w:hAnsi="Arial" w:cs="Arial"/>
          <w:b/>
          <w:bCs/>
          <w:sz w:val="22"/>
        </w:rPr>
      </w:pPr>
      <w:r w:rsidRPr="00497178">
        <w:rPr>
          <w:rFonts w:ascii="Arial" w:hAnsi="Arial" w:cs="Arial"/>
          <w:b/>
          <w:sz w:val="22"/>
        </w:rPr>
        <w:t>Tabela 5</w:t>
      </w:r>
      <w:r w:rsidRPr="00497178">
        <w:rPr>
          <w:rFonts w:ascii="Arial" w:hAnsi="Arial" w:cs="Arial"/>
          <w:sz w:val="22"/>
        </w:rPr>
        <w:t xml:space="preserve">. </w:t>
      </w:r>
      <w:r w:rsidRPr="00497178">
        <w:rPr>
          <w:rFonts w:ascii="Arial" w:hAnsi="Arial" w:cs="Arial"/>
          <w:b/>
          <w:bCs/>
          <w:sz w:val="22"/>
        </w:rPr>
        <w:t>Materijalni rashodi po korisnicima</w:t>
      </w:r>
    </w:p>
    <w:p w14:paraId="3B0CB36D" w14:textId="77777777" w:rsidR="00BC7E60" w:rsidRDefault="00BC7E60" w:rsidP="00BC7E60">
      <w:pPr>
        <w:jc w:val="both"/>
        <w:rPr>
          <w:rFonts w:ascii="Arial" w:hAnsi="Arial" w:cs="Arial"/>
          <w:b/>
          <w:bCs/>
          <w:sz w:val="22"/>
        </w:rPr>
      </w:pPr>
    </w:p>
    <w:p w14:paraId="500EAD9D" w14:textId="0D42E5EB" w:rsidR="00BC7E60" w:rsidRPr="00497178" w:rsidRDefault="00BC7E60" w:rsidP="00BC7E60">
      <w:pPr>
        <w:jc w:val="both"/>
        <w:rPr>
          <w:rFonts w:ascii="Arial" w:hAnsi="Arial" w:cs="Arial"/>
          <w:b/>
          <w:bCs/>
          <w:sz w:val="22"/>
        </w:rPr>
      </w:pP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2500"/>
        <w:gridCol w:w="1384"/>
        <w:gridCol w:w="1414"/>
        <w:gridCol w:w="1801"/>
        <w:gridCol w:w="1356"/>
      </w:tblGrid>
      <w:tr w:rsidR="00BC7E60" w:rsidRPr="00497178" w14:paraId="3BC612C5" w14:textId="77777777" w:rsidTr="00512D52">
        <w:trPr>
          <w:cantSplit/>
          <w:trHeight w:val="621"/>
        </w:trPr>
        <w:tc>
          <w:tcPr>
            <w:tcW w:w="607" w:type="dxa"/>
            <w:shd w:val="clear" w:color="auto" w:fill="auto"/>
          </w:tcPr>
          <w:p w14:paraId="714C36A9" w14:textId="77777777" w:rsidR="00BC7E60" w:rsidRPr="00497178" w:rsidRDefault="00BC7E60" w:rsidP="00512D52">
            <w:pPr>
              <w:jc w:val="both"/>
              <w:rPr>
                <w:rFonts w:ascii="Arial" w:hAnsi="Arial" w:cs="Arial"/>
                <w:b/>
                <w:bCs/>
                <w:sz w:val="18"/>
                <w:szCs w:val="18"/>
              </w:rPr>
            </w:pPr>
            <w:r w:rsidRPr="00497178">
              <w:rPr>
                <w:rFonts w:ascii="Arial" w:hAnsi="Arial" w:cs="Arial"/>
                <w:b/>
                <w:bCs/>
                <w:sz w:val="18"/>
                <w:szCs w:val="18"/>
              </w:rPr>
              <w:t>Red.</w:t>
            </w:r>
          </w:p>
          <w:p w14:paraId="13D9D7F9" w14:textId="77777777" w:rsidR="00BC7E60" w:rsidRPr="00497178" w:rsidRDefault="00BC7E60" w:rsidP="00512D52">
            <w:pPr>
              <w:jc w:val="both"/>
              <w:rPr>
                <w:rFonts w:ascii="Arial" w:hAnsi="Arial" w:cs="Arial"/>
                <w:b/>
                <w:bCs/>
                <w:sz w:val="18"/>
                <w:szCs w:val="18"/>
              </w:rPr>
            </w:pPr>
            <w:r w:rsidRPr="00497178">
              <w:rPr>
                <w:rFonts w:ascii="Arial" w:hAnsi="Arial" w:cs="Arial"/>
                <w:b/>
                <w:bCs/>
                <w:sz w:val="18"/>
                <w:szCs w:val="18"/>
              </w:rPr>
              <w:t>br.</w:t>
            </w:r>
          </w:p>
        </w:tc>
        <w:tc>
          <w:tcPr>
            <w:tcW w:w="2502" w:type="dxa"/>
            <w:shd w:val="clear" w:color="auto" w:fill="auto"/>
          </w:tcPr>
          <w:p w14:paraId="273F388F" w14:textId="77777777" w:rsidR="00BC7E60" w:rsidRPr="00497178" w:rsidRDefault="00BC7E60" w:rsidP="00512D52">
            <w:pPr>
              <w:jc w:val="center"/>
              <w:rPr>
                <w:rFonts w:ascii="Arial" w:hAnsi="Arial" w:cs="Arial"/>
                <w:b/>
                <w:bCs/>
                <w:sz w:val="18"/>
                <w:szCs w:val="18"/>
              </w:rPr>
            </w:pPr>
          </w:p>
          <w:p w14:paraId="3F699C44"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KORISNIK</w:t>
            </w:r>
          </w:p>
        </w:tc>
        <w:tc>
          <w:tcPr>
            <w:tcW w:w="1382" w:type="dxa"/>
            <w:shd w:val="clear" w:color="auto" w:fill="auto"/>
          </w:tcPr>
          <w:p w14:paraId="519CC022"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 xml:space="preserve">Plan </w:t>
            </w:r>
          </w:p>
          <w:p w14:paraId="0583B39E"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2025.</w:t>
            </w:r>
          </w:p>
        </w:tc>
        <w:tc>
          <w:tcPr>
            <w:tcW w:w="1414" w:type="dxa"/>
          </w:tcPr>
          <w:p w14:paraId="288E7104"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Povećanje/</w:t>
            </w:r>
          </w:p>
          <w:p w14:paraId="7B927E44"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smanjenje</w:t>
            </w:r>
          </w:p>
        </w:tc>
        <w:tc>
          <w:tcPr>
            <w:tcW w:w="1801" w:type="dxa"/>
            <w:shd w:val="clear" w:color="auto" w:fill="auto"/>
          </w:tcPr>
          <w:p w14:paraId="3E02F269"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 xml:space="preserve">Novi plan </w:t>
            </w:r>
          </w:p>
          <w:p w14:paraId="121A7BCA"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2025.godina</w:t>
            </w:r>
          </w:p>
          <w:p w14:paraId="1D0BBF77" w14:textId="77777777" w:rsidR="00BC7E60" w:rsidRPr="00497178" w:rsidRDefault="00BC7E60" w:rsidP="00512D52">
            <w:pPr>
              <w:jc w:val="center"/>
              <w:rPr>
                <w:rFonts w:ascii="Arial" w:hAnsi="Arial" w:cs="Arial"/>
                <w:b/>
                <w:bCs/>
                <w:sz w:val="18"/>
                <w:szCs w:val="18"/>
              </w:rPr>
            </w:pPr>
          </w:p>
        </w:tc>
        <w:tc>
          <w:tcPr>
            <w:tcW w:w="1356" w:type="dxa"/>
          </w:tcPr>
          <w:p w14:paraId="66BCEBDB"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Indeks</w:t>
            </w:r>
          </w:p>
          <w:p w14:paraId="78B1102A"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5/3</w:t>
            </w:r>
          </w:p>
        </w:tc>
      </w:tr>
      <w:tr w:rsidR="00BC7E60" w:rsidRPr="00497178" w14:paraId="7CA43D28" w14:textId="77777777" w:rsidTr="00512D52">
        <w:tc>
          <w:tcPr>
            <w:tcW w:w="607" w:type="dxa"/>
            <w:shd w:val="clear" w:color="auto" w:fill="auto"/>
          </w:tcPr>
          <w:p w14:paraId="38CADE9E"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1</w:t>
            </w:r>
          </w:p>
        </w:tc>
        <w:tc>
          <w:tcPr>
            <w:tcW w:w="2502" w:type="dxa"/>
            <w:shd w:val="clear" w:color="auto" w:fill="auto"/>
          </w:tcPr>
          <w:p w14:paraId="59CB1F13"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2</w:t>
            </w:r>
          </w:p>
        </w:tc>
        <w:tc>
          <w:tcPr>
            <w:tcW w:w="1382" w:type="dxa"/>
            <w:shd w:val="clear" w:color="auto" w:fill="auto"/>
          </w:tcPr>
          <w:p w14:paraId="60740746"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3</w:t>
            </w:r>
          </w:p>
        </w:tc>
        <w:tc>
          <w:tcPr>
            <w:tcW w:w="1414" w:type="dxa"/>
          </w:tcPr>
          <w:p w14:paraId="5E47ED6E"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4</w:t>
            </w:r>
          </w:p>
        </w:tc>
        <w:tc>
          <w:tcPr>
            <w:tcW w:w="1801" w:type="dxa"/>
            <w:shd w:val="clear" w:color="auto" w:fill="auto"/>
          </w:tcPr>
          <w:p w14:paraId="086C8F79"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5</w:t>
            </w:r>
          </w:p>
        </w:tc>
        <w:tc>
          <w:tcPr>
            <w:tcW w:w="1356" w:type="dxa"/>
          </w:tcPr>
          <w:p w14:paraId="47C8C7C2" w14:textId="77777777" w:rsidR="00BC7E60" w:rsidRPr="00497178" w:rsidRDefault="00BC7E60" w:rsidP="00512D52">
            <w:pPr>
              <w:jc w:val="center"/>
              <w:rPr>
                <w:rFonts w:ascii="Arial" w:hAnsi="Arial" w:cs="Arial"/>
                <w:b/>
                <w:bCs/>
                <w:sz w:val="18"/>
                <w:szCs w:val="18"/>
              </w:rPr>
            </w:pPr>
            <w:r w:rsidRPr="00497178">
              <w:rPr>
                <w:rFonts w:ascii="Arial" w:hAnsi="Arial" w:cs="Arial"/>
                <w:b/>
                <w:bCs/>
                <w:sz w:val="18"/>
                <w:szCs w:val="18"/>
              </w:rPr>
              <w:t>6</w:t>
            </w:r>
          </w:p>
        </w:tc>
      </w:tr>
      <w:tr w:rsidR="00BC7E60" w:rsidRPr="00497178" w14:paraId="2F07CFF2" w14:textId="77777777" w:rsidTr="00512D52">
        <w:tc>
          <w:tcPr>
            <w:tcW w:w="607" w:type="dxa"/>
            <w:shd w:val="clear" w:color="auto" w:fill="auto"/>
          </w:tcPr>
          <w:p w14:paraId="43CB2603"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1.</w:t>
            </w:r>
          </w:p>
        </w:tc>
        <w:tc>
          <w:tcPr>
            <w:tcW w:w="2502" w:type="dxa"/>
            <w:shd w:val="clear" w:color="auto" w:fill="auto"/>
          </w:tcPr>
          <w:p w14:paraId="637E0BF1" w14:textId="77777777" w:rsidR="00BC7E60" w:rsidRPr="00497178" w:rsidRDefault="00BC7E60" w:rsidP="00512D52">
            <w:pPr>
              <w:rPr>
                <w:rFonts w:ascii="Arial" w:hAnsi="Arial" w:cs="Arial"/>
                <w:sz w:val="18"/>
                <w:szCs w:val="18"/>
              </w:rPr>
            </w:pPr>
            <w:r w:rsidRPr="00497178">
              <w:rPr>
                <w:rFonts w:ascii="Arial" w:hAnsi="Arial" w:cs="Arial"/>
                <w:sz w:val="18"/>
                <w:szCs w:val="18"/>
              </w:rPr>
              <w:t xml:space="preserve">Upravni odjel za poslove Gradonačelnika, Gradskog vijeća I opće poslove </w:t>
            </w:r>
          </w:p>
        </w:tc>
        <w:tc>
          <w:tcPr>
            <w:tcW w:w="1382" w:type="dxa"/>
            <w:shd w:val="clear" w:color="auto" w:fill="auto"/>
            <w:vAlign w:val="center"/>
          </w:tcPr>
          <w:p w14:paraId="759D07FF"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757.367,00</w:t>
            </w:r>
          </w:p>
        </w:tc>
        <w:tc>
          <w:tcPr>
            <w:tcW w:w="1414" w:type="dxa"/>
            <w:vAlign w:val="center"/>
          </w:tcPr>
          <w:p w14:paraId="2448AD9C"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58.894,00</w:t>
            </w:r>
          </w:p>
        </w:tc>
        <w:tc>
          <w:tcPr>
            <w:tcW w:w="1801" w:type="dxa"/>
            <w:shd w:val="clear" w:color="auto" w:fill="auto"/>
            <w:vAlign w:val="center"/>
          </w:tcPr>
          <w:p w14:paraId="133909C6"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816.261,00</w:t>
            </w:r>
          </w:p>
        </w:tc>
        <w:tc>
          <w:tcPr>
            <w:tcW w:w="1356" w:type="dxa"/>
            <w:vAlign w:val="center"/>
          </w:tcPr>
          <w:p w14:paraId="0E38AB14"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107,78</w:t>
            </w:r>
          </w:p>
        </w:tc>
      </w:tr>
      <w:tr w:rsidR="00BC7E60" w:rsidRPr="00497178" w14:paraId="62DB8D94" w14:textId="77777777" w:rsidTr="00512D52">
        <w:tc>
          <w:tcPr>
            <w:tcW w:w="607" w:type="dxa"/>
            <w:shd w:val="clear" w:color="auto" w:fill="auto"/>
          </w:tcPr>
          <w:p w14:paraId="59C13ACC"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2.</w:t>
            </w:r>
          </w:p>
        </w:tc>
        <w:tc>
          <w:tcPr>
            <w:tcW w:w="2502" w:type="dxa"/>
            <w:shd w:val="clear" w:color="auto" w:fill="auto"/>
          </w:tcPr>
          <w:p w14:paraId="64F993AD" w14:textId="77777777" w:rsidR="00BC7E60" w:rsidRPr="00497178" w:rsidRDefault="00BC7E60" w:rsidP="00512D52">
            <w:pPr>
              <w:rPr>
                <w:rFonts w:ascii="Arial" w:hAnsi="Arial" w:cs="Arial"/>
                <w:sz w:val="18"/>
                <w:szCs w:val="18"/>
              </w:rPr>
            </w:pPr>
            <w:r w:rsidRPr="00497178">
              <w:rPr>
                <w:rFonts w:ascii="Arial" w:hAnsi="Arial" w:cs="Arial"/>
                <w:sz w:val="18"/>
                <w:szCs w:val="18"/>
              </w:rPr>
              <w:t>Upravni odjel za proračun i financije</w:t>
            </w:r>
          </w:p>
        </w:tc>
        <w:tc>
          <w:tcPr>
            <w:tcW w:w="1382" w:type="dxa"/>
            <w:shd w:val="clear" w:color="auto" w:fill="auto"/>
            <w:vAlign w:val="center"/>
          </w:tcPr>
          <w:p w14:paraId="55A33F72"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224.000,00</w:t>
            </w:r>
          </w:p>
        </w:tc>
        <w:tc>
          <w:tcPr>
            <w:tcW w:w="1414" w:type="dxa"/>
            <w:vAlign w:val="center"/>
          </w:tcPr>
          <w:p w14:paraId="72C5CBF5"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10.000,00</w:t>
            </w:r>
          </w:p>
        </w:tc>
        <w:tc>
          <w:tcPr>
            <w:tcW w:w="1801" w:type="dxa"/>
            <w:shd w:val="clear" w:color="auto" w:fill="auto"/>
            <w:vAlign w:val="center"/>
          </w:tcPr>
          <w:p w14:paraId="292E6426"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234.000,00</w:t>
            </w:r>
          </w:p>
        </w:tc>
        <w:tc>
          <w:tcPr>
            <w:tcW w:w="1356" w:type="dxa"/>
            <w:vAlign w:val="center"/>
          </w:tcPr>
          <w:p w14:paraId="73C4E03E"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104,46</w:t>
            </w:r>
          </w:p>
        </w:tc>
      </w:tr>
      <w:tr w:rsidR="00BC7E60" w:rsidRPr="00497178" w14:paraId="4DFC51E3" w14:textId="77777777" w:rsidTr="00512D52">
        <w:tc>
          <w:tcPr>
            <w:tcW w:w="607" w:type="dxa"/>
            <w:shd w:val="clear" w:color="auto" w:fill="auto"/>
          </w:tcPr>
          <w:p w14:paraId="1BD345B4"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3.</w:t>
            </w:r>
          </w:p>
        </w:tc>
        <w:tc>
          <w:tcPr>
            <w:tcW w:w="2502" w:type="dxa"/>
            <w:shd w:val="clear" w:color="auto" w:fill="auto"/>
          </w:tcPr>
          <w:p w14:paraId="1325C330" w14:textId="77777777" w:rsidR="00BC7E60" w:rsidRPr="00497178" w:rsidRDefault="00BC7E60" w:rsidP="00512D52">
            <w:pPr>
              <w:rPr>
                <w:rFonts w:ascii="Arial" w:hAnsi="Arial" w:cs="Arial"/>
                <w:sz w:val="18"/>
                <w:szCs w:val="18"/>
              </w:rPr>
            </w:pPr>
            <w:r w:rsidRPr="00497178">
              <w:rPr>
                <w:rFonts w:ascii="Arial" w:hAnsi="Arial" w:cs="Arial"/>
                <w:sz w:val="18"/>
                <w:szCs w:val="18"/>
              </w:rPr>
              <w:t>Upravni odjel za prostorno uređenje, zaštitu okoliša i izdavanje akata za gradnju</w:t>
            </w:r>
          </w:p>
        </w:tc>
        <w:tc>
          <w:tcPr>
            <w:tcW w:w="1382" w:type="dxa"/>
            <w:shd w:val="clear" w:color="auto" w:fill="auto"/>
            <w:vAlign w:val="center"/>
          </w:tcPr>
          <w:p w14:paraId="2ABDD624"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74.570,00</w:t>
            </w:r>
          </w:p>
        </w:tc>
        <w:tc>
          <w:tcPr>
            <w:tcW w:w="1414" w:type="dxa"/>
            <w:vAlign w:val="center"/>
          </w:tcPr>
          <w:p w14:paraId="4FCCE46A"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1.035,00</w:t>
            </w:r>
          </w:p>
        </w:tc>
        <w:tc>
          <w:tcPr>
            <w:tcW w:w="1801" w:type="dxa"/>
            <w:shd w:val="clear" w:color="auto" w:fill="auto"/>
            <w:vAlign w:val="center"/>
          </w:tcPr>
          <w:p w14:paraId="02639F56"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75.605,00</w:t>
            </w:r>
          </w:p>
        </w:tc>
        <w:tc>
          <w:tcPr>
            <w:tcW w:w="1356" w:type="dxa"/>
            <w:vAlign w:val="center"/>
          </w:tcPr>
          <w:p w14:paraId="42E45E24"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101,39</w:t>
            </w:r>
          </w:p>
        </w:tc>
      </w:tr>
      <w:tr w:rsidR="00BC7E60" w:rsidRPr="00497178" w14:paraId="5B9DD6A2" w14:textId="77777777" w:rsidTr="00512D52">
        <w:tc>
          <w:tcPr>
            <w:tcW w:w="607" w:type="dxa"/>
            <w:shd w:val="clear" w:color="auto" w:fill="auto"/>
          </w:tcPr>
          <w:p w14:paraId="63DE54E5"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4.</w:t>
            </w:r>
          </w:p>
        </w:tc>
        <w:tc>
          <w:tcPr>
            <w:tcW w:w="2502" w:type="dxa"/>
            <w:shd w:val="clear" w:color="auto" w:fill="auto"/>
          </w:tcPr>
          <w:p w14:paraId="636BB074" w14:textId="77777777" w:rsidR="00BC7E60" w:rsidRPr="00497178" w:rsidRDefault="00BC7E60" w:rsidP="00512D52">
            <w:pPr>
              <w:rPr>
                <w:rFonts w:ascii="Arial" w:hAnsi="Arial" w:cs="Arial"/>
                <w:sz w:val="18"/>
                <w:szCs w:val="18"/>
              </w:rPr>
            </w:pPr>
            <w:bookmarkStart w:id="23" w:name="_Hlk168758952"/>
            <w:r w:rsidRPr="00497178">
              <w:rPr>
                <w:rFonts w:ascii="Arial" w:hAnsi="Arial" w:cs="Arial"/>
                <w:sz w:val="18"/>
                <w:szCs w:val="18"/>
              </w:rPr>
              <w:t>Upravni odjel za komunalno gospodarstvo i upravljanje imovinom</w:t>
            </w:r>
            <w:bookmarkEnd w:id="23"/>
          </w:p>
        </w:tc>
        <w:tc>
          <w:tcPr>
            <w:tcW w:w="1382" w:type="dxa"/>
            <w:shd w:val="clear" w:color="auto" w:fill="auto"/>
            <w:vAlign w:val="center"/>
          </w:tcPr>
          <w:p w14:paraId="355D351F"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2.615.400,00</w:t>
            </w:r>
          </w:p>
        </w:tc>
        <w:tc>
          <w:tcPr>
            <w:tcW w:w="1414" w:type="dxa"/>
            <w:vAlign w:val="center"/>
          </w:tcPr>
          <w:p w14:paraId="53CBBE14"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151.712,00</w:t>
            </w:r>
          </w:p>
        </w:tc>
        <w:tc>
          <w:tcPr>
            <w:tcW w:w="1801" w:type="dxa"/>
            <w:shd w:val="clear" w:color="auto" w:fill="auto"/>
            <w:vAlign w:val="center"/>
          </w:tcPr>
          <w:p w14:paraId="4A47DA9C"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2.767.112,00</w:t>
            </w:r>
          </w:p>
        </w:tc>
        <w:tc>
          <w:tcPr>
            <w:tcW w:w="1356" w:type="dxa"/>
            <w:vAlign w:val="center"/>
          </w:tcPr>
          <w:p w14:paraId="419A683D"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105,80</w:t>
            </w:r>
          </w:p>
        </w:tc>
      </w:tr>
      <w:tr w:rsidR="00BC7E60" w:rsidRPr="00497178" w14:paraId="13D9CA3A" w14:textId="77777777" w:rsidTr="00512D52">
        <w:tc>
          <w:tcPr>
            <w:tcW w:w="607" w:type="dxa"/>
            <w:shd w:val="clear" w:color="auto" w:fill="auto"/>
          </w:tcPr>
          <w:p w14:paraId="513FE2F6"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5.</w:t>
            </w:r>
          </w:p>
        </w:tc>
        <w:tc>
          <w:tcPr>
            <w:tcW w:w="2502" w:type="dxa"/>
            <w:shd w:val="clear" w:color="auto" w:fill="auto"/>
          </w:tcPr>
          <w:p w14:paraId="1AF2D69B" w14:textId="77777777" w:rsidR="00BC7E60" w:rsidRPr="00497178" w:rsidRDefault="00BC7E60" w:rsidP="00512D52">
            <w:pPr>
              <w:rPr>
                <w:rFonts w:ascii="Arial" w:hAnsi="Arial" w:cs="Arial"/>
                <w:sz w:val="18"/>
                <w:szCs w:val="18"/>
              </w:rPr>
            </w:pPr>
            <w:r w:rsidRPr="00497178">
              <w:rPr>
                <w:rFonts w:ascii="Arial" w:hAnsi="Arial" w:cs="Arial"/>
                <w:sz w:val="18"/>
                <w:szCs w:val="18"/>
              </w:rPr>
              <w:t xml:space="preserve">Upravni odjel za društvene djelatnosti </w:t>
            </w:r>
          </w:p>
        </w:tc>
        <w:tc>
          <w:tcPr>
            <w:tcW w:w="1382" w:type="dxa"/>
            <w:shd w:val="clear" w:color="auto" w:fill="auto"/>
            <w:vAlign w:val="center"/>
          </w:tcPr>
          <w:p w14:paraId="711FA69D"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186.200,00</w:t>
            </w:r>
          </w:p>
        </w:tc>
        <w:tc>
          <w:tcPr>
            <w:tcW w:w="1414" w:type="dxa"/>
            <w:vAlign w:val="center"/>
          </w:tcPr>
          <w:p w14:paraId="6647B89D"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72.916,00</w:t>
            </w:r>
          </w:p>
        </w:tc>
        <w:tc>
          <w:tcPr>
            <w:tcW w:w="1801" w:type="dxa"/>
            <w:shd w:val="clear" w:color="auto" w:fill="auto"/>
            <w:vAlign w:val="center"/>
          </w:tcPr>
          <w:p w14:paraId="6882484F"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259.116,00</w:t>
            </w:r>
          </w:p>
        </w:tc>
        <w:tc>
          <w:tcPr>
            <w:tcW w:w="1356" w:type="dxa"/>
            <w:vAlign w:val="center"/>
          </w:tcPr>
          <w:p w14:paraId="691CE067"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139,16</w:t>
            </w:r>
          </w:p>
        </w:tc>
      </w:tr>
      <w:tr w:rsidR="00BC7E60" w:rsidRPr="00497178" w14:paraId="5BF7A3FC" w14:textId="77777777" w:rsidTr="00512D52">
        <w:tc>
          <w:tcPr>
            <w:tcW w:w="607" w:type="dxa"/>
            <w:shd w:val="clear" w:color="auto" w:fill="auto"/>
          </w:tcPr>
          <w:p w14:paraId="252FE1BF"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 xml:space="preserve">6. </w:t>
            </w:r>
          </w:p>
        </w:tc>
        <w:tc>
          <w:tcPr>
            <w:tcW w:w="2502" w:type="dxa"/>
            <w:shd w:val="clear" w:color="auto" w:fill="auto"/>
          </w:tcPr>
          <w:p w14:paraId="38F42B96" w14:textId="77777777" w:rsidR="00BC7E60" w:rsidRPr="00497178" w:rsidRDefault="00BC7E60" w:rsidP="00512D52">
            <w:pPr>
              <w:rPr>
                <w:rFonts w:ascii="Arial" w:hAnsi="Arial" w:cs="Arial"/>
                <w:sz w:val="18"/>
                <w:szCs w:val="18"/>
              </w:rPr>
            </w:pPr>
            <w:r w:rsidRPr="00497178">
              <w:rPr>
                <w:rFonts w:ascii="Arial" w:hAnsi="Arial" w:cs="Arial"/>
                <w:sz w:val="18"/>
                <w:szCs w:val="18"/>
              </w:rPr>
              <w:t>Upravni odjel za gospodarstvo i EU projekte</w:t>
            </w:r>
          </w:p>
        </w:tc>
        <w:tc>
          <w:tcPr>
            <w:tcW w:w="1382" w:type="dxa"/>
            <w:shd w:val="clear" w:color="auto" w:fill="auto"/>
            <w:vAlign w:val="center"/>
          </w:tcPr>
          <w:p w14:paraId="0A38F31C"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133.864,00</w:t>
            </w:r>
          </w:p>
        </w:tc>
        <w:tc>
          <w:tcPr>
            <w:tcW w:w="1414" w:type="dxa"/>
            <w:vAlign w:val="center"/>
          </w:tcPr>
          <w:p w14:paraId="45D335F0"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23.713,00</w:t>
            </w:r>
          </w:p>
        </w:tc>
        <w:tc>
          <w:tcPr>
            <w:tcW w:w="1801" w:type="dxa"/>
            <w:shd w:val="clear" w:color="auto" w:fill="auto"/>
            <w:vAlign w:val="center"/>
          </w:tcPr>
          <w:p w14:paraId="52C91DF0"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157.577,00</w:t>
            </w:r>
          </w:p>
        </w:tc>
        <w:tc>
          <w:tcPr>
            <w:tcW w:w="1356" w:type="dxa"/>
            <w:vAlign w:val="center"/>
          </w:tcPr>
          <w:p w14:paraId="088E73A8"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117,71</w:t>
            </w:r>
          </w:p>
        </w:tc>
      </w:tr>
      <w:tr w:rsidR="00BC7E60" w:rsidRPr="00497178" w14:paraId="64D6BCAE" w14:textId="77777777" w:rsidTr="00512D52">
        <w:trPr>
          <w:cantSplit/>
          <w:trHeight w:val="411"/>
        </w:trPr>
        <w:tc>
          <w:tcPr>
            <w:tcW w:w="3109" w:type="dxa"/>
            <w:gridSpan w:val="2"/>
            <w:shd w:val="clear" w:color="auto" w:fill="auto"/>
            <w:vAlign w:val="center"/>
          </w:tcPr>
          <w:p w14:paraId="465ADDFA" w14:textId="77777777" w:rsidR="00BC7E60" w:rsidRPr="00497178" w:rsidRDefault="00BC7E60" w:rsidP="00512D52">
            <w:pPr>
              <w:rPr>
                <w:rFonts w:ascii="Arial" w:hAnsi="Arial" w:cs="Arial"/>
                <w:b/>
                <w:bCs/>
                <w:sz w:val="20"/>
                <w:szCs w:val="20"/>
              </w:rPr>
            </w:pPr>
            <w:r w:rsidRPr="00497178">
              <w:rPr>
                <w:rFonts w:ascii="Arial" w:hAnsi="Arial" w:cs="Arial"/>
                <w:b/>
                <w:bCs/>
                <w:sz w:val="20"/>
                <w:szCs w:val="20"/>
              </w:rPr>
              <w:t xml:space="preserve">    UKUPNO GRAD LABIN:</w:t>
            </w:r>
          </w:p>
        </w:tc>
        <w:tc>
          <w:tcPr>
            <w:tcW w:w="1382" w:type="dxa"/>
            <w:shd w:val="clear" w:color="auto" w:fill="auto"/>
            <w:vAlign w:val="center"/>
          </w:tcPr>
          <w:p w14:paraId="27029B16" w14:textId="77777777" w:rsidR="00BC7E60" w:rsidRPr="00497178" w:rsidRDefault="00BC7E60" w:rsidP="00512D52">
            <w:pPr>
              <w:jc w:val="right"/>
              <w:rPr>
                <w:rFonts w:ascii="Arial" w:hAnsi="Arial" w:cs="Arial"/>
                <w:b/>
                <w:bCs/>
                <w:sz w:val="20"/>
                <w:szCs w:val="20"/>
              </w:rPr>
            </w:pPr>
            <w:r w:rsidRPr="00497178">
              <w:rPr>
                <w:rFonts w:ascii="Arial" w:hAnsi="Arial" w:cs="Arial"/>
                <w:b/>
                <w:bCs/>
                <w:sz w:val="20"/>
                <w:szCs w:val="20"/>
              </w:rPr>
              <w:t>3.991.401,00</w:t>
            </w:r>
          </w:p>
        </w:tc>
        <w:tc>
          <w:tcPr>
            <w:tcW w:w="1414" w:type="dxa"/>
            <w:vAlign w:val="center"/>
          </w:tcPr>
          <w:p w14:paraId="2A04579C" w14:textId="77777777" w:rsidR="00BC7E60" w:rsidRPr="00497178" w:rsidRDefault="00BC7E60" w:rsidP="00512D52">
            <w:pPr>
              <w:jc w:val="right"/>
              <w:rPr>
                <w:rFonts w:ascii="Arial" w:hAnsi="Arial" w:cs="Arial"/>
                <w:b/>
                <w:bCs/>
                <w:sz w:val="20"/>
                <w:szCs w:val="20"/>
              </w:rPr>
            </w:pPr>
            <w:r w:rsidRPr="00497178">
              <w:rPr>
                <w:rFonts w:ascii="Arial" w:hAnsi="Arial" w:cs="Arial"/>
                <w:b/>
                <w:bCs/>
                <w:sz w:val="20"/>
                <w:szCs w:val="20"/>
              </w:rPr>
              <w:t>318.270,00</w:t>
            </w:r>
          </w:p>
        </w:tc>
        <w:tc>
          <w:tcPr>
            <w:tcW w:w="1801" w:type="dxa"/>
            <w:shd w:val="clear" w:color="auto" w:fill="auto"/>
            <w:vAlign w:val="center"/>
          </w:tcPr>
          <w:p w14:paraId="03A1D37E" w14:textId="77777777" w:rsidR="00BC7E60" w:rsidRPr="00497178" w:rsidRDefault="00BC7E60" w:rsidP="00512D52">
            <w:pPr>
              <w:jc w:val="right"/>
              <w:rPr>
                <w:rFonts w:ascii="Arial" w:hAnsi="Arial" w:cs="Arial"/>
                <w:b/>
                <w:bCs/>
                <w:sz w:val="20"/>
                <w:szCs w:val="20"/>
              </w:rPr>
            </w:pPr>
            <w:r w:rsidRPr="00497178">
              <w:rPr>
                <w:rFonts w:ascii="Arial" w:hAnsi="Arial" w:cs="Arial"/>
                <w:b/>
                <w:bCs/>
                <w:sz w:val="20"/>
                <w:szCs w:val="20"/>
              </w:rPr>
              <w:t>4.309.671,00</w:t>
            </w:r>
          </w:p>
        </w:tc>
        <w:tc>
          <w:tcPr>
            <w:tcW w:w="1356" w:type="dxa"/>
            <w:vAlign w:val="center"/>
          </w:tcPr>
          <w:p w14:paraId="723B37C0" w14:textId="77777777" w:rsidR="00BC7E60" w:rsidRPr="00497178" w:rsidRDefault="00BC7E60" w:rsidP="00512D52">
            <w:pPr>
              <w:jc w:val="right"/>
              <w:rPr>
                <w:rFonts w:ascii="Arial" w:hAnsi="Arial" w:cs="Arial"/>
                <w:b/>
                <w:bCs/>
                <w:sz w:val="20"/>
                <w:szCs w:val="20"/>
              </w:rPr>
            </w:pPr>
            <w:r w:rsidRPr="00497178">
              <w:rPr>
                <w:rFonts w:ascii="Arial" w:hAnsi="Arial" w:cs="Arial"/>
                <w:b/>
                <w:bCs/>
                <w:sz w:val="20"/>
                <w:szCs w:val="20"/>
              </w:rPr>
              <w:t>107,97</w:t>
            </w:r>
          </w:p>
        </w:tc>
      </w:tr>
      <w:tr w:rsidR="00BC7E60" w:rsidRPr="00497178" w14:paraId="32C54D44" w14:textId="77777777" w:rsidTr="00512D52">
        <w:tc>
          <w:tcPr>
            <w:tcW w:w="607" w:type="dxa"/>
            <w:shd w:val="clear" w:color="auto" w:fill="auto"/>
          </w:tcPr>
          <w:p w14:paraId="1D1149D6"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7.</w:t>
            </w:r>
          </w:p>
        </w:tc>
        <w:tc>
          <w:tcPr>
            <w:tcW w:w="2502" w:type="dxa"/>
            <w:shd w:val="clear" w:color="auto" w:fill="auto"/>
          </w:tcPr>
          <w:p w14:paraId="3B4A5C6D" w14:textId="77777777" w:rsidR="00BC7E60" w:rsidRPr="00497178" w:rsidRDefault="00BC7E60" w:rsidP="00512D52">
            <w:pPr>
              <w:rPr>
                <w:rFonts w:ascii="Arial" w:hAnsi="Arial" w:cs="Arial"/>
                <w:sz w:val="18"/>
                <w:szCs w:val="18"/>
              </w:rPr>
            </w:pPr>
            <w:r w:rsidRPr="00497178">
              <w:rPr>
                <w:rFonts w:ascii="Arial" w:hAnsi="Arial" w:cs="Arial"/>
                <w:sz w:val="18"/>
                <w:szCs w:val="18"/>
              </w:rPr>
              <w:t xml:space="preserve">Vijeće bošnjačke </w:t>
            </w:r>
            <w:proofErr w:type="spellStart"/>
            <w:r w:rsidRPr="00497178">
              <w:rPr>
                <w:rFonts w:ascii="Arial" w:hAnsi="Arial" w:cs="Arial"/>
                <w:sz w:val="18"/>
                <w:szCs w:val="18"/>
              </w:rPr>
              <w:t>nacionalalne</w:t>
            </w:r>
            <w:proofErr w:type="spellEnd"/>
            <w:r w:rsidRPr="00497178">
              <w:rPr>
                <w:rFonts w:ascii="Arial" w:hAnsi="Arial" w:cs="Arial"/>
                <w:sz w:val="18"/>
                <w:szCs w:val="18"/>
              </w:rPr>
              <w:t xml:space="preserve"> manjine</w:t>
            </w:r>
          </w:p>
        </w:tc>
        <w:tc>
          <w:tcPr>
            <w:tcW w:w="1382" w:type="dxa"/>
            <w:shd w:val="clear" w:color="auto" w:fill="auto"/>
            <w:vAlign w:val="center"/>
          </w:tcPr>
          <w:p w14:paraId="2EC89897"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13.700,00</w:t>
            </w:r>
          </w:p>
        </w:tc>
        <w:tc>
          <w:tcPr>
            <w:tcW w:w="1414" w:type="dxa"/>
            <w:vAlign w:val="center"/>
          </w:tcPr>
          <w:p w14:paraId="6092AE46"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-10,00</w:t>
            </w:r>
          </w:p>
        </w:tc>
        <w:tc>
          <w:tcPr>
            <w:tcW w:w="1801" w:type="dxa"/>
            <w:shd w:val="clear" w:color="auto" w:fill="auto"/>
            <w:vAlign w:val="center"/>
          </w:tcPr>
          <w:p w14:paraId="76348FF7"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13.690,00</w:t>
            </w:r>
          </w:p>
        </w:tc>
        <w:tc>
          <w:tcPr>
            <w:tcW w:w="1356" w:type="dxa"/>
            <w:vAlign w:val="center"/>
          </w:tcPr>
          <w:p w14:paraId="5983DD15"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99,93</w:t>
            </w:r>
          </w:p>
        </w:tc>
      </w:tr>
      <w:tr w:rsidR="00BC7E60" w:rsidRPr="00497178" w14:paraId="1D676255" w14:textId="77777777" w:rsidTr="00512D52">
        <w:tc>
          <w:tcPr>
            <w:tcW w:w="607" w:type="dxa"/>
            <w:shd w:val="clear" w:color="auto" w:fill="auto"/>
          </w:tcPr>
          <w:p w14:paraId="5631ECFD"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 xml:space="preserve">8. </w:t>
            </w:r>
          </w:p>
        </w:tc>
        <w:tc>
          <w:tcPr>
            <w:tcW w:w="2502" w:type="dxa"/>
            <w:shd w:val="clear" w:color="auto" w:fill="auto"/>
          </w:tcPr>
          <w:p w14:paraId="545D8418" w14:textId="77777777" w:rsidR="00BC7E60" w:rsidRPr="00497178" w:rsidRDefault="00BC7E60" w:rsidP="00512D52">
            <w:pPr>
              <w:rPr>
                <w:rFonts w:ascii="Arial" w:hAnsi="Arial" w:cs="Arial"/>
                <w:sz w:val="18"/>
                <w:szCs w:val="18"/>
              </w:rPr>
            </w:pPr>
            <w:r w:rsidRPr="00497178">
              <w:rPr>
                <w:rFonts w:ascii="Arial" w:hAnsi="Arial" w:cs="Arial"/>
                <w:sz w:val="18"/>
                <w:szCs w:val="18"/>
              </w:rPr>
              <w:t>Vijeće talijanske nacionalne manjine</w:t>
            </w:r>
          </w:p>
        </w:tc>
        <w:tc>
          <w:tcPr>
            <w:tcW w:w="1382" w:type="dxa"/>
            <w:shd w:val="clear" w:color="auto" w:fill="auto"/>
            <w:vAlign w:val="center"/>
          </w:tcPr>
          <w:p w14:paraId="22A172EC"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10.000,00</w:t>
            </w:r>
          </w:p>
        </w:tc>
        <w:tc>
          <w:tcPr>
            <w:tcW w:w="1414" w:type="dxa"/>
            <w:vAlign w:val="center"/>
          </w:tcPr>
          <w:p w14:paraId="26C29849"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w:t>
            </w:r>
          </w:p>
        </w:tc>
        <w:tc>
          <w:tcPr>
            <w:tcW w:w="1801" w:type="dxa"/>
            <w:shd w:val="clear" w:color="auto" w:fill="auto"/>
            <w:vAlign w:val="center"/>
          </w:tcPr>
          <w:p w14:paraId="1258E61D"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10.000,00</w:t>
            </w:r>
          </w:p>
        </w:tc>
        <w:tc>
          <w:tcPr>
            <w:tcW w:w="1356" w:type="dxa"/>
            <w:vAlign w:val="center"/>
          </w:tcPr>
          <w:p w14:paraId="7780A5D9"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100,00</w:t>
            </w:r>
          </w:p>
        </w:tc>
      </w:tr>
      <w:tr w:rsidR="00BC7E60" w:rsidRPr="00497178" w14:paraId="093EFC5F" w14:textId="77777777" w:rsidTr="00512D52">
        <w:tc>
          <w:tcPr>
            <w:tcW w:w="607" w:type="dxa"/>
            <w:shd w:val="clear" w:color="auto" w:fill="auto"/>
          </w:tcPr>
          <w:p w14:paraId="22340AF5"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9.</w:t>
            </w:r>
          </w:p>
        </w:tc>
        <w:tc>
          <w:tcPr>
            <w:tcW w:w="2502" w:type="dxa"/>
            <w:shd w:val="clear" w:color="auto" w:fill="auto"/>
          </w:tcPr>
          <w:p w14:paraId="419515B2" w14:textId="77777777" w:rsidR="00BC7E60" w:rsidRPr="00497178" w:rsidRDefault="00BC7E60" w:rsidP="00512D52">
            <w:pPr>
              <w:rPr>
                <w:rFonts w:ascii="Arial" w:hAnsi="Arial" w:cs="Arial"/>
                <w:sz w:val="18"/>
                <w:szCs w:val="18"/>
              </w:rPr>
            </w:pPr>
            <w:r w:rsidRPr="00497178">
              <w:rPr>
                <w:rFonts w:ascii="Arial" w:hAnsi="Arial" w:cs="Arial"/>
                <w:sz w:val="18"/>
                <w:szCs w:val="18"/>
              </w:rPr>
              <w:t>Vijeće srpske nacionalne manjine</w:t>
            </w:r>
          </w:p>
        </w:tc>
        <w:tc>
          <w:tcPr>
            <w:tcW w:w="1382" w:type="dxa"/>
            <w:shd w:val="clear" w:color="auto" w:fill="auto"/>
            <w:vAlign w:val="center"/>
          </w:tcPr>
          <w:p w14:paraId="0F6E2C74"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10.000,00</w:t>
            </w:r>
          </w:p>
        </w:tc>
        <w:tc>
          <w:tcPr>
            <w:tcW w:w="1414" w:type="dxa"/>
            <w:vAlign w:val="center"/>
          </w:tcPr>
          <w:p w14:paraId="10AC0901"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-10,00</w:t>
            </w:r>
          </w:p>
        </w:tc>
        <w:tc>
          <w:tcPr>
            <w:tcW w:w="1801" w:type="dxa"/>
            <w:shd w:val="clear" w:color="auto" w:fill="auto"/>
            <w:vAlign w:val="center"/>
          </w:tcPr>
          <w:p w14:paraId="32E21AF2"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9.990,00</w:t>
            </w:r>
          </w:p>
        </w:tc>
        <w:tc>
          <w:tcPr>
            <w:tcW w:w="1356" w:type="dxa"/>
            <w:vAlign w:val="center"/>
          </w:tcPr>
          <w:p w14:paraId="27307681"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99,90</w:t>
            </w:r>
          </w:p>
        </w:tc>
      </w:tr>
      <w:tr w:rsidR="00BC7E60" w:rsidRPr="00497178" w14:paraId="53AE82EF" w14:textId="77777777" w:rsidTr="00512D52">
        <w:tc>
          <w:tcPr>
            <w:tcW w:w="607" w:type="dxa"/>
            <w:shd w:val="clear" w:color="auto" w:fill="auto"/>
          </w:tcPr>
          <w:p w14:paraId="50648341"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10.</w:t>
            </w:r>
          </w:p>
        </w:tc>
        <w:tc>
          <w:tcPr>
            <w:tcW w:w="2502" w:type="dxa"/>
            <w:shd w:val="clear" w:color="auto" w:fill="auto"/>
          </w:tcPr>
          <w:p w14:paraId="3B0C3E0A" w14:textId="77777777" w:rsidR="00BC7E60" w:rsidRPr="00497178" w:rsidRDefault="00BC7E60" w:rsidP="00512D52">
            <w:pPr>
              <w:rPr>
                <w:rFonts w:ascii="Arial" w:hAnsi="Arial" w:cs="Arial"/>
                <w:sz w:val="18"/>
                <w:szCs w:val="18"/>
              </w:rPr>
            </w:pPr>
            <w:r w:rsidRPr="00497178">
              <w:rPr>
                <w:rFonts w:ascii="Arial" w:hAnsi="Arial" w:cs="Arial"/>
                <w:sz w:val="18"/>
                <w:szCs w:val="18"/>
              </w:rPr>
              <w:t xml:space="preserve">Javna vatrogasna postrojba Labin </w:t>
            </w:r>
          </w:p>
        </w:tc>
        <w:tc>
          <w:tcPr>
            <w:tcW w:w="1382" w:type="dxa"/>
            <w:shd w:val="clear" w:color="auto" w:fill="auto"/>
            <w:vAlign w:val="center"/>
          </w:tcPr>
          <w:p w14:paraId="5FB4CEE9"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218.530,00</w:t>
            </w:r>
          </w:p>
        </w:tc>
        <w:tc>
          <w:tcPr>
            <w:tcW w:w="1414" w:type="dxa"/>
            <w:vAlign w:val="center"/>
          </w:tcPr>
          <w:p w14:paraId="3672B336"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11.369,00</w:t>
            </w:r>
          </w:p>
        </w:tc>
        <w:tc>
          <w:tcPr>
            <w:tcW w:w="1801" w:type="dxa"/>
            <w:shd w:val="clear" w:color="auto" w:fill="auto"/>
            <w:vAlign w:val="center"/>
          </w:tcPr>
          <w:p w14:paraId="6951EE0A"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229.899,00</w:t>
            </w:r>
          </w:p>
        </w:tc>
        <w:tc>
          <w:tcPr>
            <w:tcW w:w="1356" w:type="dxa"/>
            <w:vAlign w:val="center"/>
          </w:tcPr>
          <w:p w14:paraId="0725E428"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105,20</w:t>
            </w:r>
          </w:p>
        </w:tc>
      </w:tr>
      <w:tr w:rsidR="00BC7E60" w:rsidRPr="00497178" w14:paraId="601917B9" w14:textId="77777777" w:rsidTr="00512D52">
        <w:tc>
          <w:tcPr>
            <w:tcW w:w="607" w:type="dxa"/>
            <w:shd w:val="clear" w:color="auto" w:fill="auto"/>
          </w:tcPr>
          <w:p w14:paraId="68E1F1B3"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11.</w:t>
            </w:r>
          </w:p>
        </w:tc>
        <w:tc>
          <w:tcPr>
            <w:tcW w:w="2502" w:type="dxa"/>
            <w:shd w:val="clear" w:color="auto" w:fill="auto"/>
          </w:tcPr>
          <w:p w14:paraId="3F0248ED" w14:textId="77777777" w:rsidR="00BC7E60" w:rsidRPr="00497178" w:rsidRDefault="00BC7E60" w:rsidP="00512D52">
            <w:pPr>
              <w:rPr>
                <w:rFonts w:ascii="Arial" w:hAnsi="Arial" w:cs="Arial"/>
                <w:sz w:val="18"/>
                <w:szCs w:val="18"/>
              </w:rPr>
            </w:pPr>
            <w:r w:rsidRPr="00497178">
              <w:rPr>
                <w:rFonts w:ascii="Arial" w:hAnsi="Arial" w:cs="Arial"/>
                <w:sz w:val="18"/>
                <w:szCs w:val="18"/>
              </w:rPr>
              <w:t xml:space="preserve">Dječji vrtić </w:t>
            </w:r>
            <w:proofErr w:type="spellStart"/>
            <w:r w:rsidRPr="00497178">
              <w:rPr>
                <w:rFonts w:ascii="Arial" w:hAnsi="Arial" w:cs="Arial"/>
                <w:sz w:val="18"/>
                <w:szCs w:val="18"/>
              </w:rPr>
              <w:t>Pjerina</w:t>
            </w:r>
            <w:proofErr w:type="spellEnd"/>
            <w:r w:rsidRPr="00497178">
              <w:rPr>
                <w:rFonts w:ascii="Arial" w:hAnsi="Arial" w:cs="Arial"/>
                <w:sz w:val="18"/>
                <w:szCs w:val="18"/>
              </w:rPr>
              <w:t xml:space="preserve"> </w:t>
            </w:r>
            <w:proofErr w:type="spellStart"/>
            <w:r w:rsidRPr="00497178">
              <w:rPr>
                <w:rFonts w:ascii="Arial" w:hAnsi="Arial" w:cs="Arial"/>
                <w:sz w:val="18"/>
                <w:szCs w:val="18"/>
              </w:rPr>
              <w:t>Verbanac</w:t>
            </w:r>
            <w:proofErr w:type="spellEnd"/>
            <w:r w:rsidRPr="00497178">
              <w:rPr>
                <w:rFonts w:ascii="Arial" w:hAnsi="Arial" w:cs="Arial"/>
                <w:sz w:val="18"/>
                <w:szCs w:val="18"/>
              </w:rPr>
              <w:t xml:space="preserve"> Labin</w:t>
            </w:r>
          </w:p>
        </w:tc>
        <w:tc>
          <w:tcPr>
            <w:tcW w:w="1382" w:type="dxa"/>
            <w:shd w:val="clear" w:color="auto" w:fill="auto"/>
            <w:vAlign w:val="center"/>
          </w:tcPr>
          <w:p w14:paraId="55B49153"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633.828,00</w:t>
            </w:r>
          </w:p>
        </w:tc>
        <w:tc>
          <w:tcPr>
            <w:tcW w:w="1414" w:type="dxa"/>
            <w:vAlign w:val="center"/>
          </w:tcPr>
          <w:p w14:paraId="0B380635"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12.650,00</w:t>
            </w:r>
          </w:p>
        </w:tc>
        <w:tc>
          <w:tcPr>
            <w:tcW w:w="1801" w:type="dxa"/>
            <w:shd w:val="clear" w:color="auto" w:fill="auto"/>
            <w:vAlign w:val="center"/>
          </w:tcPr>
          <w:p w14:paraId="7F52C5B0"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646.478,00</w:t>
            </w:r>
          </w:p>
        </w:tc>
        <w:tc>
          <w:tcPr>
            <w:tcW w:w="1356" w:type="dxa"/>
            <w:vAlign w:val="center"/>
          </w:tcPr>
          <w:p w14:paraId="2576F81C"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102,00</w:t>
            </w:r>
          </w:p>
        </w:tc>
      </w:tr>
      <w:tr w:rsidR="00BC7E60" w:rsidRPr="00497178" w14:paraId="64924743" w14:textId="77777777" w:rsidTr="00512D52">
        <w:trPr>
          <w:trHeight w:val="275"/>
        </w:trPr>
        <w:tc>
          <w:tcPr>
            <w:tcW w:w="607" w:type="dxa"/>
            <w:shd w:val="clear" w:color="auto" w:fill="auto"/>
          </w:tcPr>
          <w:p w14:paraId="3DAFEDF9"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12.</w:t>
            </w:r>
          </w:p>
        </w:tc>
        <w:tc>
          <w:tcPr>
            <w:tcW w:w="2502" w:type="dxa"/>
            <w:shd w:val="clear" w:color="auto" w:fill="auto"/>
          </w:tcPr>
          <w:p w14:paraId="2149342A" w14:textId="77777777" w:rsidR="00BC7E60" w:rsidRPr="00497178" w:rsidRDefault="00BC7E60" w:rsidP="00512D52">
            <w:pPr>
              <w:rPr>
                <w:rFonts w:ascii="Arial" w:hAnsi="Arial" w:cs="Arial"/>
                <w:sz w:val="18"/>
                <w:szCs w:val="18"/>
              </w:rPr>
            </w:pPr>
            <w:r w:rsidRPr="00497178">
              <w:rPr>
                <w:rFonts w:ascii="Arial" w:hAnsi="Arial" w:cs="Arial"/>
                <w:sz w:val="18"/>
                <w:szCs w:val="18"/>
              </w:rPr>
              <w:t>OŠ Matija Vlačić Labin</w:t>
            </w:r>
          </w:p>
        </w:tc>
        <w:tc>
          <w:tcPr>
            <w:tcW w:w="1382" w:type="dxa"/>
            <w:shd w:val="clear" w:color="auto" w:fill="auto"/>
            <w:vAlign w:val="center"/>
          </w:tcPr>
          <w:p w14:paraId="1062E669"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332.446,00</w:t>
            </w:r>
          </w:p>
        </w:tc>
        <w:tc>
          <w:tcPr>
            <w:tcW w:w="1414" w:type="dxa"/>
            <w:vAlign w:val="center"/>
          </w:tcPr>
          <w:p w14:paraId="3D2DF1A2"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21.472,00</w:t>
            </w:r>
          </w:p>
        </w:tc>
        <w:tc>
          <w:tcPr>
            <w:tcW w:w="1801" w:type="dxa"/>
            <w:shd w:val="clear" w:color="auto" w:fill="auto"/>
            <w:vAlign w:val="center"/>
          </w:tcPr>
          <w:p w14:paraId="269BA321"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353.918,00</w:t>
            </w:r>
          </w:p>
        </w:tc>
        <w:tc>
          <w:tcPr>
            <w:tcW w:w="1356" w:type="dxa"/>
            <w:vAlign w:val="center"/>
          </w:tcPr>
          <w:p w14:paraId="3BCDE335"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106,46</w:t>
            </w:r>
          </w:p>
        </w:tc>
      </w:tr>
      <w:tr w:rsidR="00BC7E60" w:rsidRPr="00497178" w14:paraId="5B917CF0" w14:textId="77777777" w:rsidTr="00512D52">
        <w:trPr>
          <w:trHeight w:val="280"/>
        </w:trPr>
        <w:tc>
          <w:tcPr>
            <w:tcW w:w="607" w:type="dxa"/>
            <w:shd w:val="clear" w:color="auto" w:fill="auto"/>
          </w:tcPr>
          <w:p w14:paraId="5AC4BB77"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13.</w:t>
            </w:r>
          </w:p>
        </w:tc>
        <w:tc>
          <w:tcPr>
            <w:tcW w:w="2502" w:type="dxa"/>
            <w:shd w:val="clear" w:color="auto" w:fill="auto"/>
          </w:tcPr>
          <w:p w14:paraId="4858B42C" w14:textId="77777777" w:rsidR="00BC7E60" w:rsidRPr="00497178" w:rsidRDefault="00BC7E60" w:rsidP="00512D52">
            <w:pPr>
              <w:rPr>
                <w:rFonts w:ascii="Arial" w:hAnsi="Arial" w:cs="Arial"/>
                <w:sz w:val="18"/>
                <w:szCs w:val="18"/>
              </w:rPr>
            </w:pPr>
            <w:r w:rsidRPr="00497178">
              <w:rPr>
                <w:rFonts w:ascii="Arial" w:hAnsi="Arial" w:cs="Arial"/>
                <w:sz w:val="18"/>
                <w:szCs w:val="18"/>
              </w:rPr>
              <w:t>OŠ Ivo Lola Ribar Labin</w:t>
            </w:r>
          </w:p>
        </w:tc>
        <w:tc>
          <w:tcPr>
            <w:tcW w:w="1382" w:type="dxa"/>
            <w:shd w:val="clear" w:color="auto" w:fill="auto"/>
            <w:vAlign w:val="center"/>
          </w:tcPr>
          <w:p w14:paraId="0E04E410"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473.942,00</w:t>
            </w:r>
          </w:p>
        </w:tc>
        <w:tc>
          <w:tcPr>
            <w:tcW w:w="1414" w:type="dxa"/>
            <w:vAlign w:val="center"/>
          </w:tcPr>
          <w:p w14:paraId="6CADF8C0"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39.863,00</w:t>
            </w:r>
          </w:p>
        </w:tc>
        <w:tc>
          <w:tcPr>
            <w:tcW w:w="1801" w:type="dxa"/>
            <w:shd w:val="clear" w:color="auto" w:fill="auto"/>
            <w:vAlign w:val="center"/>
          </w:tcPr>
          <w:p w14:paraId="692CCDC4"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513.805,00</w:t>
            </w:r>
          </w:p>
        </w:tc>
        <w:tc>
          <w:tcPr>
            <w:tcW w:w="1356" w:type="dxa"/>
            <w:vAlign w:val="center"/>
          </w:tcPr>
          <w:p w14:paraId="76DEC752"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108,41</w:t>
            </w:r>
          </w:p>
        </w:tc>
      </w:tr>
      <w:tr w:rsidR="00BC7E60" w:rsidRPr="00497178" w14:paraId="5B9F22F9" w14:textId="77777777" w:rsidTr="00512D52">
        <w:trPr>
          <w:trHeight w:val="270"/>
        </w:trPr>
        <w:tc>
          <w:tcPr>
            <w:tcW w:w="607" w:type="dxa"/>
            <w:shd w:val="clear" w:color="auto" w:fill="auto"/>
          </w:tcPr>
          <w:p w14:paraId="7772EF9B"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14.</w:t>
            </w:r>
          </w:p>
        </w:tc>
        <w:tc>
          <w:tcPr>
            <w:tcW w:w="2502" w:type="dxa"/>
            <w:shd w:val="clear" w:color="auto" w:fill="auto"/>
          </w:tcPr>
          <w:p w14:paraId="0F5F0725" w14:textId="77777777" w:rsidR="00BC7E60" w:rsidRPr="00497178" w:rsidRDefault="00BC7E60" w:rsidP="00512D52">
            <w:pPr>
              <w:rPr>
                <w:rFonts w:ascii="Arial" w:hAnsi="Arial" w:cs="Arial"/>
                <w:sz w:val="18"/>
                <w:szCs w:val="18"/>
              </w:rPr>
            </w:pPr>
            <w:r w:rsidRPr="00497178">
              <w:rPr>
                <w:rFonts w:ascii="Arial" w:hAnsi="Arial" w:cs="Arial"/>
                <w:sz w:val="18"/>
                <w:szCs w:val="18"/>
              </w:rPr>
              <w:t xml:space="preserve">Centar Liče </w:t>
            </w:r>
            <w:proofErr w:type="spellStart"/>
            <w:r w:rsidRPr="00497178">
              <w:rPr>
                <w:rFonts w:ascii="Arial" w:hAnsi="Arial" w:cs="Arial"/>
                <w:sz w:val="18"/>
                <w:szCs w:val="18"/>
              </w:rPr>
              <w:t>Faraguna</w:t>
            </w:r>
            <w:proofErr w:type="spellEnd"/>
            <w:r w:rsidRPr="00497178">
              <w:rPr>
                <w:rFonts w:ascii="Arial" w:hAnsi="Arial" w:cs="Arial"/>
                <w:sz w:val="18"/>
                <w:szCs w:val="18"/>
              </w:rPr>
              <w:t xml:space="preserve"> Labin</w:t>
            </w:r>
          </w:p>
        </w:tc>
        <w:tc>
          <w:tcPr>
            <w:tcW w:w="1382" w:type="dxa"/>
            <w:shd w:val="clear" w:color="auto" w:fill="auto"/>
            <w:vAlign w:val="center"/>
          </w:tcPr>
          <w:p w14:paraId="4BA1D767"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73.380,00</w:t>
            </w:r>
          </w:p>
        </w:tc>
        <w:tc>
          <w:tcPr>
            <w:tcW w:w="1414" w:type="dxa"/>
            <w:vAlign w:val="center"/>
          </w:tcPr>
          <w:p w14:paraId="1AD176C4"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14.874,00</w:t>
            </w:r>
          </w:p>
        </w:tc>
        <w:tc>
          <w:tcPr>
            <w:tcW w:w="1801" w:type="dxa"/>
            <w:shd w:val="clear" w:color="auto" w:fill="auto"/>
            <w:vAlign w:val="center"/>
          </w:tcPr>
          <w:p w14:paraId="70C609B4"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88.254,00</w:t>
            </w:r>
          </w:p>
        </w:tc>
        <w:tc>
          <w:tcPr>
            <w:tcW w:w="1356" w:type="dxa"/>
            <w:vAlign w:val="center"/>
          </w:tcPr>
          <w:p w14:paraId="786F29AF"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120,27</w:t>
            </w:r>
          </w:p>
        </w:tc>
      </w:tr>
      <w:tr w:rsidR="00BC7E60" w:rsidRPr="00497178" w14:paraId="1603DED5" w14:textId="77777777" w:rsidTr="00512D52">
        <w:trPr>
          <w:trHeight w:val="416"/>
        </w:trPr>
        <w:tc>
          <w:tcPr>
            <w:tcW w:w="607" w:type="dxa"/>
            <w:shd w:val="clear" w:color="auto" w:fill="auto"/>
          </w:tcPr>
          <w:p w14:paraId="030D82CD"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 xml:space="preserve">15. </w:t>
            </w:r>
          </w:p>
        </w:tc>
        <w:tc>
          <w:tcPr>
            <w:tcW w:w="2502" w:type="dxa"/>
            <w:shd w:val="clear" w:color="auto" w:fill="auto"/>
          </w:tcPr>
          <w:p w14:paraId="385FABDE" w14:textId="77777777" w:rsidR="00BC7E60" w:rsidRPr="00497178" w:rsidRDefault="00BC7E60" w:rsidP="00512D52">
            <w:pPr>
              <w:rPr>
                <w:rFonts w:ascii="Arial" w:hAnsi="Arial" w:cs="Arial"/>
                <w:sz w:val="18"/>
                <w:szCs w:val="18"/>
              </w:rPr>
            </w:pPr>
            <w:r w:rsidRPr="00497178">
              <w:rPr>
                <w:rFonts w:ascii="Arial" w:hAnsi="Arial" w:cs="Arial"/>
                <w:sz w:val="18"/>
                <w:szCs w:val="18"/>
              </w:rPr>
              <w:t>Umjetnička škola Matka Brajše Rašana</w:t>
            </w:r>
          </w:p>
        </w:tc>
        <w:tc>
          <w:tcPr>
            <w:tcW w:w="1382" w:type="dxa"/>
            <w:shd w:val="clear" w:color="auto" w:fill="auto"/>
            <w:vAlign w:val="center"/>
          </w:tcPr>
          <w:p w14:paraId="495142BC"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291.420,00</w:t>
            </w:r>
          </w:p>
        </w:tc>
        <w:tc>
          <w:tcPr>
            <w:tcW w:w="1414" w:type="dxa"/>
            <w:vAlign w:val="center"/>
          </w:tcPr>
          <w:p w14:paraId="4D7A0408"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2.170,00</w:t>
            </w:r>
          </w:p>
        </w:tc>
        <w:tc>
          <w:tcPr>
            <w:tcW w:w="1801" w:type="dxa"/>
            <w:shd w:val="clear" w:color="auto" w:fill="auto"/>
            <w:vAlign w:val="center"/>
          </w:tcPr>
          <w:p w14:paraId="5CF989A9"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293.590,00</w:t>
            </w:r>
          </w:p>
        </w:tc>
        <w:tc>
          <w:tcPr>
            <w:tcW w:w="1356" w:type="dxa"/>
            <w:vAlign w:val="center"/>
          </w:tcPr>
          <w:p w14:paraId="6C2301AB"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100,74</w:t>
            </w:r>
          </w:p>
        </w:tc>
      </w:tr>
      <w:tr w:rsidR="00BC7E60" w:rsidRPr="00497178" w14:paraId="0204A684" w14:textId="77777777" w:rsidTr="00512D52">
        <w:tc>
          <w:tcPr>
            <w:tcW w:w="607" w:type="dxa"/>
            <w:shd w:val="clear" w:color="auto" w:fill="auto"/>
          </w:tcPr>
          <w:p w14:paraId="2D883F76" w14:textId="77777777" w:rsidR="00BC7E60" w:rsidRPr="00497178" w:rsidRDefault="00BC7E60" w:rsidP="00512D52">
            <w:pPr>
              <w:jc w:val="both"/>
              <w:rPr>
                <w:rFonts w:ascii="Arial" w:hAnsi="Arial" w:cs="Arial"/>
                <w:sz w:val="18"/>
                <w:szCs w:val="18"/>
              </w:rPr>
            </w:pPr>
            <w:r w:rsidRPr="00497178">
              <w:rPr>
                <w:rFonts w:ascii="Arial" w:hAnsi="Arial" w:cs="Arial"/>
                <w:sz w:val="18"/>
                <w:szCs w:val="18"/>
              </w:rPr>
              <w:t>16.</w:t>
            </w:r>
          </w:p>
        </w:tc>
        <w:tc>
          <w:tcPr>
            <w:tcW w:w="2502" w:type="dxa"/>
            <w:shd w:val="clear" w:color="auto" w:fill="auto"/>
          </w:tcPr>
          <w:p w14:paraId="5EF7608A" w14:textId="77777777" w:rsidR="00BC7E60" w:rsidRPr="00497178" w:rsidRDefault="00BC7E60" w:rsidP="00512D52">
            <w:pPr>
              <w:rPr>
                <w:rFonts w:ascii="Arial" w:hAnsi="Arial" w:cs="Arial"/>
                <w:sz w:val="18"/>
                <w:szCs w:val="18"/>
              </w:rPr>
            </w:pPr>
            <w:r w:rsidRPr="00497178">
              <w:rPr>
                <w:rFonts w:ascii="Arial" w:hAnsi="Arial" w:cs="Arial"/>
                <w:sz w:val="18"/>
                <w:szCs w:val="18"/>
              </w:rPr>
              <w:t>Pučko otvoreno učilište Labin</w:t>
            </w:r>
          </w:p>
        </w:tc>
        <w:tc>
          <w:tcPr>
            <w:tcW w:w="1382" w:type="dxa"/>
            <w:shd w:val="clear" w:color="auto" w:fill="auto"/>
            <w:vAlign w:val="center"/>
          </w:tcPr>
          <w:p w14:paraId="533F83B2"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202.919,00</w:t>
            </w:r>
          </w:p>
        </w:tc>
        <w:tc>
          <w:tcPr>
            <w:tcW w:w="1414" w:type="dxa"/>
            <w:vAlign w:val="center"/>
          </w:tcPr>
          <w:p w14:paraId="46AC1D47"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58.215,00</w:t>
            </w:r>
          </w:p>
        </w:tc>
        <w:tc>
          <w:tcPr>
            <w:tcW w:w="1801" w:type="dxa"/>
            <w:shd w:val="clear" w:color="auto" w:fill="auto"/>
            <w:vAlign w:val="center"/>
          </w:tcPr>
          <w:p w14:paraId="53EC0FEC"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261.134,00</w:t>
            </w:r>
          </w:p>
        </w:tc>
        <w:tc>
          <w:tcPr>
            <w:tcW w:w="1356" w:type="dxa"/>
            <w:vAlign w:val="center"/>
          </w:tcPr>
          <w:p w14:paraId="222BB67D"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128,69</w:t>
            </w:r>
          </w:p>
        </w:tc>
      </w:tr>
      <w:tr w:rsidR="00BC7E60" w:rsidRPr="00497178" w14:paraId="61B1122D" w14:textId="77777777" w:rsidTr="00512D52">
        <w:trPr>
          <w:trHeight w:val="274"/>
        </w:trPr>
        <w:tc>
          <w:tcPr>
            <w:tcW w:w="607" w:type="dxa"/>
            <w:shd w:val="clear" w:color="auto" w:fill="auto"/>
            <w:vAlign w:val="center"/>
          </w:tcPr>
          <w:p w14:paraId="0774C5E9" w14:textId="77777777" w:rsidR="00BC7E60" w:rsidRPr="00497178" w:rsidRDefault="00BC7E60" w:rsidP="00512D52">
            <w:pPr>
              <w:rPr>
                <w:rFonts w:ascii="Arial" w:hAnsi="Arial" w:cs="Arial"/>
                <w:sz w:val="18"/>
                <w:szCs w:val="18"/>
              </w:rPr>
            </w:pPr>
            <w:r w:rsidRPr="00497178">
              <w:rPr>
                <w:rFonts w:ascii="Arial" w:hAnsi="Arial" w:cs="Arial"/>
                <w:sz w:val="18"/>
                <w:szCs w:val="18"/>
              </w:rPr>
              <w:t>17.</w:t>
            </w:r>
          </w:p>
        </w:tc>
        <w:tc>
          <w:tcPr>
            <w:tcW w:w="2502" w:type="dxa"/>
            <w:shd w:val="clear" w:color="auto" w:fill="auto"/>
            <w:vAlign w:val="center"/>
          </w:tcPr>
          <w:p w14:paraId="25D938B7" w14:textId="77777777" w:rsidR="00BC7E60" w:rsidRPr="00497178" w:rsidRDefault="00BC7E60" w:rsidP="00512D52">
            <w:pPr>
              <w:rPr>
                <w:rFonts w:ascii="Arial" w:hAnsi="Arial" w:cs="Arial"/>
                <w:sz w:val="22"/>
              </w:rPr>
            </w:pPr>
            <w:r w:rsidRPr="00497178">
              <w:rPr>
                <w:rFonts w:ascii="Arial" w:hAnsi="Arial" w:cs="Arial"/>
                <w:sz w:val="18"/>
                <w:szCs w:val="18"/>
              </w:rPr>
              <w:t>Gradska knjižnica Labin</w:t>
            </w:r>
          </w:p>
        </w:tc>
        <w:tc>
          <w:tcPr>
            <w:tcW w:w="1382" w:type="dxa"/>
            <w:shd w:val="clear" w:color="auto" w:fill="auto"/>
            <w:vAlign w:val="center"/>
          </w:tcPr>
          <w:p w14:paraId="19619060"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72.860,00</w:t>
            </w:r>
          </w:p>
        </w:tc>
        <w:tc>
          <w:tcPr>
            <w:tcW w:w="1414" w:type="dxa"/>
            <w:vAlign w:val="center"/>
          </w:tcPr>
          <w:p w14:paraId="4EEC7D8A"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7.401,00</w:t>
            </w:r>
          </w:p>
        </w:tc>
        <w:tc>
          <w:tcPr>
            <w:tcW w:w="1801" w:type="dxa"/>
            <w:shd w:val="clear" w:color="auto" w:fill="auto"/>
            <w:vAlign w:val="center"/>
          </w:tcPr>
          <w:p w14:paraId="61990457"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80.261,00</w:t>
            </w:r>
          </w:p>
        </w:tc>
        <w:tc>
          <w:tcPr>
            <w:tcW w:w="1356" w:type="dxa"/>
            <w:vAlign w:val="center"/>
          </w:tcPr>
          <w:p w14:paraId="464860A9"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110,16</w:t>
            </w:r>
          </w:p>
        </w:tc>
      </w:tr>
      <w:tr w:rsidR="00BC7E60" w:rsidRPr="00497178" w14:paraId="14965C41" w14:textId="77777777" w:rsidTr="00512D52">
        <w:trPr>
          <w:trHeight w:val="290"/>
        </w:trPr>
        <w:tc>
          <w:tcPr>
            <w:tcW w:w="607" w:type="dxa"/>
            <w:shd w:val="clear" w:color="auto" w:fill="auto"/>
            <w:vAlign w:val="center"/>
          </w:tcPr>
          <w:p w14:paraId="61133FEE" w14:textId="77777777" w:rsidR="00BC7E60" w:rsidRPr="00497178" w:rsidRDefault="00BC7E60" w:rsidP="00512D52">
            <w:pPr>
              <w:rPr>
                <w:rFonts w:ascii="Arial" w:hAnsi="Arial" w:cs="Arial"/>
                <w:sz w:val="18"/>
                <w:szCs w:val="18"/>
              </w:rPr>
            </w:pPr>
            <w:r w:rsidRPr="00497178">
              <w:rPr>
                <w:rFonts w:ascii="Arial" w:hAnsi="Arial" w:cs="Arial"/>
                <w:sz w:val="18"/>
                <w:szCs w:val="18"/>
              </w:rPr>
              <w:t xml:space="preserve">18. </w:t>
            </w:r>
          </w:p>
        </w:tc>
        <w:tc>
          <w:tcPr>
            <w:tcW w:w="2502" w:type="dxa"/>
            <w:shd w:val="clear" w:color="auto" w:fill="auto"/>
            <w:vAlign w:val="center"/>
          </w:tcPr>
          <w:p w14:paraId="3A8889C5" w14:textId="77777777" w:rsidR="00BC7E60" w:rsidRPr="00497178" w:rsidRDefault="00BC7E60" w:rsidP="00512D52">
            <w:pPr>
              <w:rPr>
                <w:rFonts w:ascii="Arial" w:hAnsi="Arial" w:cs="Arial"/>
                <w:sz w:val="18"/>
                <w:szCs w:val="18"/>
              </w:rPr>
            </w:pPr>
            <w:r w:rsidRPr="00497178">
              <w:rPr>
                <w:rFonts w:ascii="Arial" w:hAnsi="Arial" w:cs="Arial"/>
                <w:sz w:val="18"/>
                <w:szCs w:val="18"/>
              </w:rPr>
              <w:t>Dom za starije osobe Labin</w:t>
            </w:r>
          </w:p>
        </w:tc>
        <w:tc>
          <w:tcPr>
            <w:tcW w:w="1382" w:type="dxa"/>
            <w:shd w:val="clear" w:color="auto" w:fill="auto"/>
            <w:vAlign w:val="center"/>
          </w:tcPr>
          <w:p w14:paraId="231A0B28"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464.430,00</w:t>
            </w:r>
          </w:p>
        </w:tc>
        <w:tc>
          <w:tcPr>
            <w:tcW w:w="1414" w:type="dxa"/>
            <w:vAlign w:val="center"/>
          </w:tcPr>
          <w:p w14:paraId="392AC709"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1.250,00</w:t>
            </w:r>
          </w:p>
        </w:tc>
        <w:tc>
          <w:tcPr>
            <w:tcW w:w="1801" w:type="dxa"/>
            <w:shd w:val="clear" w:color="auto" w:fill="auto"/>
            <w:vAlign w:val="center"/>
          </w:tcPr>
          <w:p w14:paraId="39228561"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465.680,00</w:t>
            </w:r>
          </w:p>
        </w:tc>
        <w:tc>
          <w:tcPr>
            <w:tcW w:w="1356" w:type="dxa"/>
            <w:vAlign w:val="center"/>
          </w:tcPr>
          <w:p w14:paraId="7C639D4C" w14:textId="77777777" w:rsidR="00BC7E60" w:rsidRPr="00497178" w:rsidRDefault="00BC7E60" w:rsidP="00512D52">
            <w:pPr>
              <w:jc w:val="right"/>
              <w:rPr>
                <w:rFonts w:ascii="Arial" w:hAnsi="Arial" w:cs="Arial"/>
                <w:sz w:val="18"/>
                <w:szCs w:val="18"/>
              </w:rPr>
            </w:pPr>
            <w:r w:rsidRPr="00497178">
              <w:rPr>
                <w:rFonts w:ascii="Arial" w:hAnsi="Arial" w:cs="Arial"/>
                <w:sz w:val="18"/>
                <w:szCs w:val="18"/>
              </w:rPr>
              <w:t>100,27</w:t>
            </w:r>
          </w:p>
        </w:tc>
      </w:tr>
      <w:tr w:rsidR="00BC7E60" w:rsidRPr="00497178" w14:paraId="577C82C5" w14:textId="77777777" w:rsidTr="00512D52">
        <w:trPr>
          <w:cantSplit/>
        </w:trPr>
        <w:tc>
          <w:tcPr>
            <w:tcW w:w="3109" w:type="dxa"/>
            <w:gridSpan w:val="2"/>
            <w:shd w:val="clear" w:color="auto" w:fill="auto"/>
          </w:tcPr>
          <w:p w14:paraId="675DF5F7" w14:textId="77777777" w:rsidR="00BC7E60" w:rsidRPr="00497178" w:rsidRDefault="00BC7E60" w:rsidP="00512D52">
            <w:pPr>
              <w:jc w:val="both"/>
              <w:rPr>
                <w:rFonts w:ascii="Arial" w:hAnsi="Arial" w:cs="Arial"/>
                <w:b/>
                <w:bCs/>
                <w:sz w:val="20"/>
                <w:szCs w:val="20"/>
              </w:rPr>
            </w:pPr>
            <w:r w:rsidRPr="00497178">
              <w:rPr>
                <w:rFonts w:ascii="Arial" w:hAnsi="Arial" w:cs="Arial"/>
                <w:b/>
                <w:bCs/>
                <w:sz w:val="20"/>
                <w:szCs w:val="20"/>
              </w:rPr>
              <w:t>UKUPNO</w:t>
            </w:r>
          </w:p>
          <w:p w14:paraId="1AB1E218" w14:textId="77777777" w:rsidR="00BC7E60" w:rsidRPr="00497178" w:rsidRDefault="00BC7E60" w:rsidP="00512D52">
            <w:pPr>
              <w:jc w:val="both"/>
              <w:rPr>
                <w:rFonts w:ascii="Arial" w:hAnsi="Arial" w:cs="Arial"/>
                <w:b/>
                <w:bCs/>
                <w:sz w:val="20"/>
                <w:szCs w:val="20"/>
              </w:rPr>
            </w:pPr>
            <w:r w:rsidRPr="00497178">
              <w:rPr>
                <w:rFonts w:ascii="Arial" w:hAnsi="Arial" w:cs="Arial"/>
                <w:b/>
                <w:bCs/>
                <w:sz w:val="20"/>
                <w:szCs w:val="20"/>
              </w:rPr>
              <w:t>PRORAČUNSKI KORISNICI:</w:t>
            </w:r>
          </w:p>
        </w:tc>
        <w:tc>
          <w:tcPr>
            <w:tcW w:w="1382" w:type="dxa"/>
            <w:shd w:val="clear" w:color="auto" w:fill="auto"/>
            <w:vAlign w:val="center"/>
          </w:tcPr>
          <w:p w14:paraId="353B72A2" w14:textId="77777777" w:rsidR="00BC7E60" w:rsidRPr="00497178" w:rsidRDefault="00BC7E60" w:rsidP="00512D52">
            <w:pPr>
              <w:jc w:val="right"/>
              <w:rPr>
                <w:rFonts w:ascii="Arial" w:hAnsi="Arial" w:cs="Arial"/>
                <w:b/>
                <w:bCs/>
                <w:sz w:val="20"/>
                <w:szCs w:val="20"/>
              </w:rPr>
            </w:pPr>
            <w:r w:rsidRPr="00497178">
              <w:rPr>
                <w:rFonts w:ascii="Arial" w:hAnsi="Arial" w:cs="Arial"/>
                <w:b/>
                <w:bCs/>
                <w:sz w:val="20"/>
                <w:szCs w:val="20"/>
              </w:rPr>
              <w:t>2.797.455,00</w:t>
            </w:r>
          </w:p>
        </w:tc>
        <w:tc>
          <w:tcPr>
            <w:tcW w:w="1414" w:type="dxa"/>
            <w:vAlign w:val="center"/>
          </w:tcPr>
          <w:p w14:paraId="44A9885E" w14:textId="77777777" w:rsidR="00BC7E60" w:rsidRPr="00497178" w:rsidRDefault="00BC7E60" w:rsidP="00512D52">
            <w:pPr>
              <w:jc w:val="right"/>
              <w:rPr>
                <w:rFonts w:ascii="Arial" w:hAnsi="Arial" w:cs="Arial"/>
                <w:b/>
                <w:bCs/>
                <w:sz w:val="20"/>
                <w:szCs w:val="20"/>
              </w:rPr>
            </w:pPr>
            <w:r w:rsidRPr="00497178">
              <w:rPr>
                <w:rFonts w:ascii="Arial" w:hAnsi="Arial" w:cs="Arial"/>
                <w:b/>
                <w:bCs/>
                <w:sz w:val="20"/>
                <w:szCs w:val="20"/>
              </w:rPr>
              <w:t>169.244,00</w:t>
            </w:r>
          </w:p>
        </w:tc>
        <w:tc>
          <w:tcPr>
            <w:tcW w:w="1801" w:type="dxa"/>
            <w:shd w:val="clear" w:color="auto" w:fill="auto"/>
            <w:vAlign w:val="center"/>
          </w:tcPr>
          <w:p w14:paraId="36E15DFC" w14:textId="77777777" w:rsidR="00BC7E60" w:rsidRPr="00497178" w:rsidRDefault="00BC7E60" w:rsidP="00512D52">
            <w:pPr>
              <w:jc w:val="right"/>
              <w:rPr>
                <w:rFonts w:ascii="Arial" w:hAnsi="Arial" w:cs="Arial"/>
                <w:b/>
                <w:bCs/>
                <w:sz w:val="20"/>
                <w:szCs w:val="20"/>
              </w:rPr>
            </w:pPr>
            <w:r w:rsidRPr="00497178">
              <w:rPr>
                <w:rFonts w:ascii="Arial" w:hAnsi="Arial" w:cs="Arial"/>
                <w:b/>
                <w:bCs/>
                <w:sz w:val="20"/>
                <w:szCs w:val="20"/>
              </w:rPr>
              <w:t>2.966.699,00</w:t>
            </w:r>
          </w:p>
        </w:tc>
        <w:tc>
          <w:tcPr>
            <w:tcW w:w="1356" w:type="dxa"/>
            <w:vAlign w:val="center"/>
          </w:tcPr>
          <w:p w14:paraId="7EDF4C3B" w14:textId="77777777" w:rsidR="00BC7E60" w:rsidRPr="00497178" w:rsidRDefault="00BC7E60" w:rsidP="00512D52">
            <w:pPr>
              <w:jc w:val="right"/>
              <w:rPr>
                <w:rFonts w:ascii="Arial" w:hAnsi="Arial" w:cs="Arial"/>
                <w:b/>
                <w:bCs/>
                <w:sz w:val="20"/>
                <w:szCs w:val="20"/>
              </w:rPr>
            </w:pPr>
            <w:r w:rsidRPr="00497178">
              <w:rPr>
                <w:rFonts w:ascii="Arial" w:hAnsi="Arial" w:cs="Arial"/>
                <w:b/>
                <w:bCs/>
                <w:sz w:val="20"/>
                <w:szCs w:val="20"/>
              </w:rPr>
              <w:t>106,05</w:t>
            </w:r>
          </w:p>
        </w:tc>
      </w:tr>
      <w:tr w:rsidR="00BC7E60" w:rsidRPr="00497178" w14:paraId="3363A559" w14:textId="77777777" w:rsidTr="00512D52">
        <w:trPr>
          <w:cantSplit/>
          <w:trHeight w:val="454"/>
        </w:trPr>
        <w:tc>
          <w:tcPr>
            <w:tcW w:w="3109" w:type="dxa"/>
            <w:gridSpan w:val="2"/>
            <w:shd w:val="clear" w:color="auto" w:fill="auto"/>
          </w:tcPr>
          <w:p w14:paraId="5EB1ABD6" w14:textId="77777777" w:rsidR="00BC7E60" w:rsidRPr="00497178" w:rsidRDefault="00BC7E60" w:rsidP="00512D52">
            <w:pPr>
              <w:keepNext/>
              <w:outlineLvl w:val="6"/>
              <w:rPr>
                <w:rFonts w:ascii="Arial" w:hAnsi="Arial" w:cs="Arial"/>
                <w:b/>
                <w:bCs/>
                <w:sz w:val="20"/>
                <w:szCs w:val="20"/>
              </w:rPr>
            </w:pPr>
            <w:r w:rsidRPr="00497178">
              <w:rPr>
                <w:rFonts w:ascii="Arial" w:hAnsi="Arial" w:cs="Arial"/>
                <w:b/>
                <w:bCs/>
                <w:sz w:val="20"/>
                <w:szCs w:val="20"/>
              </w:rPr>
              <w:t>SVEUKUPNO GRAD + KORISNICI:</w:t>
            </w:r>
          </w:p>
        </w:tc>
        <w:tc>
          <w:tcPr>
            <w:tcW w:w="1382" w:type="dxa"/>
            <w:shd w:val="clear" w:color="auto" w:fill="auto"/>
            <w:vAlign w:val="center"/>
          </w:tcPr>
          <w:p w14:paraId="611A1CA3" w14:textId="77777777" w:rsidR="00BC7E60" w:rsidRPr="00497178" w:rsidRDefault="00BC7E60" w:rsidP="00512D52">
            <w:pPr>
              <w:jc w:val="right"/>
              <w:rPr>
                <w:rFonts w:ascii="Arial" w:hAnsi="Arial" w:cs="Arial"/>
                <w:b/>
                <w:bCs/>
                <w:sz w:val="20"/>
                <w:szCs w:val="20"/>
              </w:rPr>
            </w:pPr>
            <w:r w:rsidRPr="00497178">
              <w:rPr>
                <w:rFonts w:ascii="Arial" w:hAnsi="Arial" w:cs="Arial"/>
                <w:b/>
                <w:bCs/>
                <w:sz w:val="20"/>
                <w:szCs w:val="20"/>
              </w:rPr>
              <w:t>6.788.856,00</w:t>
            </w:r>
          </w:p>
        </w:tc>
        <w:tc>
          <w:tcPr>
            <w:tcW w:w="1414" w:type="dxa"/>
            <w:vAlign w:val="center"/>
          </w:tcPr>
          <w:p w14:paraId="41C988A2" w14:textId="77777777" w:rsidR="00BC7E60" w:rsidRPr="00497178" w:rsidRDefault="00BC7E60" w:rsidP="00512D52">
            <w:pPr>
              <w:jc w:val="right"/>
              <w:rPr>
                <w:rFonts w:ascii="Arial" w:hAnsi="Arial" w:cs="Arial"/>
                <w:b/>
                <w:bCs/>
                <w:sz w:val="20"/>
                <w:szCs w:val="20"/>
              </w:rPr>
            </w:pPr>
            <w:r w:rsidRPr="00497178">
              <w:rPr>
                <w:rFonts w:ascii="Arial" w:hAnsi="Arial" w:cs="Arial"/>
                <w:b/>
                <w:bCs/>
                <w:sz w:val="20"/>
                <w:szCs w:val="20"/>
              </w:rPr>
              <w:t>487.514,00</w:t>
            </w:r>
          </w:p>
        </w:tc>
        <w:tc>
          <w:tcPr>
            <w:tcW w:w="1801" w:type="dxa"/>
            <w:shd w:val="clear" w:color="auto" w:fill="auto"/>
            <w:vAlign w:val="center"/>
          </w:tcPr>
          <w:p w14:paraId="6B8B8C82" w14:textId="77777777" w:rsidR="00BC7E60" w:rsidRPr="00497178" w:rsidRDefault="00BC7E60" w:rsidP="00512D52">
            <w:pPr>
              <w:jc w:val="right"/>
              <w:rPr>
                <w:rFonts w:ascii="Arial" w:hAnsi="Arial" w:cs="Arial"/>
                <w:b/>
                <w:bCs/>
                <w:sz w:val="20"/>
                <w:szCs w:val="20"/>
              </w:rPr>
            </w:pPr>
            <w:r w:rsidRPr="00497178">
              <w:rPr>
                <w:rFonts w:ascii="Arial" w:hAnsi="Arial" w:cs="Arial"/>
                <w:b/>
                <w:bCs/>
                <w:sz w:val="20"/>
                <w:szCs w:val="20"/>
              </w:rPr>
              <w:t>7.276.370,00</w:t>
            </w:r>
          </w:p>
        </w:tc>
        <w:tc>
          <w:tcPr>
            <w:tcW w:w="1356" w:type="dxa"/>
            <w:vAlign w:val="center"/>
          </w:tcPr>
          <w:p w14:paraId="639A5960" w14:textId="77777777" w:rsidR="00BC7E60" w:rsidRPr="00497178" w:rsidRDefault="00BC7E60" w:rsidP="00512D52">
            <w:pPr>
              <w:jc w:val="right"/>
              <w:rPr>
                <w:rFonts w:ascii="Arial" w:hAnsi="Arial" w:cs="Arial"/>
                <w:b/>
                <w:bCs/>
                <w:sz w:val="20"/>
                <w:szCs w:val="20"/>
              </w:rPr>
            </w:pPr>
            <w:r w:rsidRPr="00497178">
              <w:rPr>
                <w:rFonts w:ascii="Arial" w:hAnsi="Arial" w:cs="Arial"/>
                <w:b/>
                <w:bCs/>
                <w:sz w:val="20"/>
                <w:szCs w:val="20"/>
              </w:rPr>
              <w:t>107,18</w:t>
            </w:r>
          </w:p>
        </w:tc>
      </w:tr>
    </w:tbl>
    <w:p w14:paraId="10CB0946" w14:textId="77777777" w:rsidR="00BC7E60" w:rsidRPr="00497178" w:rsidRDefault="00BC7E60" w:rsidP="00BC7E60">
      <w:pPr>
        <w:jc w:val="both"/>
        <w:rPr>
          <w:rFonts w:ascii="Arial" w:hAnsi="Arial" w:cs="Arial"/>
          <w:sz w:val="22"/>
        </w:rPr>
      </w:pPr>
    </w:p>
    <w:p w14:paraId="582F6FE9" w14:textId="77777777" w:rsidR="00BC7E60" w:rsidRPr="00497178" w:rsidRDefault="00BC7E60" w:rsidP="00BC7E60">
      <w:pPr>
        <w:jc w:val="both"/>
        <w:rPr>
          <w:rFonts w:ascii="Arial" w:hAnsi="Arial" w:cs="Arial"/>
          <w:sz w:val="22"/>
        </w:rPr>
      </w:pPr>
    </w:p>
    <w:p w14:paraId="2EE5214D" w14:textId="77777777" w:rsidR="00BC7E60" w:rsidRPr="00497178" w:rsidRDefault="00BC7E60" w:rsidP="00BC7E60">
      <w:pPr>
        <w:jc w:val="both"/>
        <w:rPr>
          <w:rFonts w:ascii="Arial" w:hAnsi="Arial" w:cs="Arial"/>
          <w:b/>
          <w:bCs/>
          <w:sz w:val="22"/>
        </w:rPr>
      </w:pPr>
    </w:p>
    <w:p w14:paraId="273B50C7" w14:textId="77777777" w:rsidR="00BC7E60" w:rsidRPr="00497178" w:rsidRDefault="00BC7E60" w:rsidP="00BC7E60">
      <w:pPr>
        <w:jc w:val="both"/>
        <w:rPr>
          <w:rFonts w:ascii="Arial" w:hAnsi="Arial" w:cs="Arial"/>
          <w:bCs/>
          <w:sz w:val="22"/>
        </w:rPr>
      </w:pPr>
      <w:r w:rsidRPr="00497178">
        <w:rPr>
          <w:rFonts w:ascii="Arial" w:hAnsi="Arial" w:cs="Arial"/>
          <w:b/>
          <w:bCs/>
          <w:sz w:val="22"/>
        </w:rPr>
        <w:t>Materijalni rashodi</w:t>
      </w:r>
      <w:r w:rsidRPr="00497178">
        <w:rPr>
          <w:rFonts w:ascii="Arial" w:hAnsi="Arial" w:cs="Arial"/>
          <w:bCs/>
          <w:sz w:val="22"/>
        </w:rPr>
        <w:t xml:space="preserve"> u svojoj strukturi sadrže:</w:t>
      </w:r>
    </w:p>
    <w:p w14:paraId="2996B8E9" w14:textId="77777777" w:rsidR="00BC7E60" w:rsidRPr="00497178" w:rsidRDefault="00BC7E60">
      <w:pPr>
        <w:numPr>
          <w:ilvl w:val="0"/>
          <w:numId w:val="8"/>
        </w:numPr>
        <w:spacing w:line="276" w:lineRule="auto"/>
        <w:contextualSpacing/>
        <w:jc w:val="both"/>
        <w:rPr>
          <w:rFonts w:ascii="Arial" w:hAnsi="Arial" w:cs="Arial"/>
          <w:bCs/>
          <w:sz w:val="22"/>
        </w:rPr>
      </w:pPr>
      <w:r w:rsidRPr="00497178">
        <w:rPr>
          <w:rFonts w:ascii="Arial" w:hAnsi="Arial" w:cs="Arial"/>
          <w:bCs/>
          <w:sz w:val="22"/>
        </w:rPr>
        <w:t>Naknade troškova zaposlenima (troškovi službenih putovanja, naknade za prijevoz za dolazak na posao i stručno usavršavanje),</w:t>
      </w:r>
    </w:p>
    <w:p w14:paraId="16409B96" w14:textId="77777777" w:rsidR="00BC7E60" w:rsidRPr="00497178" w:rsidRDefault="00BC7E60">
      <w:pPr>
        <w:numPr>
          <w:ilvl w:val="0"/>
          <w:numId w:val="8"/>
        </w:numPr>
        <w:spacing w:line="276" w:lineRule="auto"/>
        <w:contextualSpacing/>
        <w:jc w:val="both"/>
        <w:rPr>
          <w:rFonts w:ascii="Arial" w:hAnsi="Arial" w:cs="Arial"/>
          <w:bCs/>
          <w:sz w:val="22"/>
        </w:rPr>
      </w:pPr>
      <w:r w:rsidRPr="00497178">
        <w:rPr>
          <w:rFonts w:ascii="Arial" w:hAnsi="Arial" w:cs="Arial"/>
          <w:bCs/>
          <w:sz w:val="22"/>
        </w:rPr>
        <w:t>Rashodi za materijal i energiju,</w:t>
      </w:r>
    </w:p>
    <w:p w14:paraId="479D9445" w14:textId="77777777" w:rsidR="00BC7E60" w:rsidRPr="00497178" w:rsidRDefault="00BC7E60">
      <w:pPr>
        <w:numPr>
          <w:ilvl w:val="0"/>
          <w:numId w:val="8"/>
        </w:numPr>
        <w:spacing w:line="276" w:lineRule="auto"/>
        <w:contextualSpacing/>
        <w:jc w:val="both"/>
        <w:rPr>
          <w:rFonts w:ascii="Arial" w:hAnsi="Arial" w:cs="Arial"/>
          <w:bCs/>
          <w:sz w:val="22"/>
        </w:rPr>
      </w:pPr>
      <w:r w:rsidRPr="00497178">
        <w:rPr>
          <w:rFonts w:ascii="Arial" w:hAnsi="Arial" w:cs="Arial"/>
          <w:bCs/>
          <w:sz w:val="22"/>
        </w:rPr>
        <w:t xml:space="preserve">Rashodi za usluge </w:t>
      </w:r>
    </w:p>
    <w:p w14:paraId="034DFF8D" w14:textId="77777777" w:rsidR="00BC7E60" w:rsidRPr="00497178" w:rsidRDefault="00BC7E60">
      <w:pPr>
        <w:numPr>
          <w:ilvl w:val="0"/>
          <w:numId w:val="8"/>
        </w:numPr>
        <w:spacing w:line="276" w:lineRule="auto"/>
        <w:contextualSpacing/>
        <w:jc w:val="both"/>
        <w:rPr>
          <w:rFonts w:ascii="Arial" w:hAnsi="Arial" w:cs="Arial"/>
          <w:bCs/>
          <w:sz w:val="22"/>
        </w:rPr>
      </w:pPr>
      <w:r w:rsidRPr="00497178">
        <w:rPr>
          <w:rFonts w:ascii="Arial" w:hAnsi="Arial" w:cs="Arial"/>
          <w:bCs/>
          <w:sz w:val="22"/>
        </w:rPr>
        <w:t xml:space="preserve">Naknade troškova osoba izvan radnog odnosa i </w:t>
      </w:r>
    </w:p>
    <w:p w14:paraId="62516796" w14:textId="77777777" w:rsidR="00BC7E60" w:rsidRPr="00497178" w:rsidRDefault="00BC7E60">
      <w:pPr>
        <w:numPr>
          <w:ilvl w:val="0"/>
          <w:numId w:val="8"/>
        </w:numPr>
        <w:spacing w:line="276" w:lineRule="auto"/>
        <w:contextualSpacing/>
        <w:jc w:val="both"/>
        <w:rPr>
          <w:rFonts w:ascii="Arial" w:hAnsi="Arial" w:cs="Arial"/>
          <w:bCs/>
          <w:sz w:val="22"/>
        </w:rPr>
      </w:pPr>
      <w:r w:rsidRPr="00497178">
        <w:rPr>
          <w:rFonts w:ascii="Arial" w:hAnsi="Arial" w:cs="Arial"/>
          <w:bCs/>
          <w:sz w:val="22"/>
        </w:rPr>
        <w:t xml:space="preserve">Ostali nespomenuti rashodi poslovanja. </w:t>
      </w:r>
    </w:p>
    <w:p w14:paraId="5D94D7ED" w14:textId="77777777" w:rsidR="00BC7E60" w:rsidRPr="00497178" w:rsidRDefault="00BC7E60" w:rsidP="00BC7E60">
      <w:pPr>
        <w:jc w:val="both"/>
        <w:rPr>
          <w:rFonts w:ascii="Arial" w:hAnsi="Arial" w:cs="Arial"/>
          <w:bCs/>
          <w:sz w:val="22"/>
        </w:rPr>
      </w:pPr>
      <w:r w:rsidRPr="00497178">
        <w:rPr>
          <w:rFonts w:ascii="Arial" w:hAnsi="Arial" w:cs="Arial"/>
          <w:bCs/>
          <w:sz w:val="22"/>
        </w:rPr>
        <w:lastRenderedPageBreak/>
        <w:t xml:space="preserve">U strukturi materijalnih rashoda planiranih u 2025. godini, na Grad Labin odnosi se 59,23%, dok se na proračunske korisnike odnosi 40,77% učešća. Materijalni rashodi Grada Labina planirani su u iznosu od </w:t>
      </w:r>
      <w:r w:rsidRPr="00497178">
        <w:rPr>
          <w:rFonts w:ascii="Arial" w:hAnsi="Arial" w:cs="Arial"/>
          <w:sz w:val="22"/>
        </w:rPr>
        <w:t>4.309.671,00</w:t>
      </w:r>
      <w:r w:rsidRPr="00497178">
        <w:rPr>
          <w:rFonts w:ascii="Arial" w:hAnsi="Arial" w:cs="Arial"/>
          <w:b/>
          <w:bCs/>
          <w:sz w:val="20"/>
          <w:szCs w:val="20"/>
        </w:rPr>
        <w:t xml:space="preserve"> </w:t>
      </w:r>
      <w:r w:rsidRPr="00497178">
        <w:rPr>
          <w:rFonts w:ascii="Arial" w:hAnsi="Arial" w:cs="Arial"/>
          <w:bCs/>
          <w:sz w:val="22"/>
        </w:rPr>
        <w:t>EUR i veći su u odnosu na postojeći plan 7,97%.  Materijalni rashodi proračunskih korisnika planirani su u iznosu od 2.966.699,00 EUR i veći su za 6,05% u odnosu na važeći plan.</w:t>
      </w:r>
    </w:p>
    <w:p w14:paraId="322C86CD" w14:textId="77777777" w:rsidR="00BC7E60" w:rsidRPr="00497178" w:rsidRDefault="00BC7E60" w:rsidP="00BC7E60">
      <w:pPr>
        <w:jc w:val="both"/>
        <w:rPr>
          <w:rFonts w:ascii="Arial" w:hAnsi="Arial" w:cs="Arial"/>
          <w:bCs/>
          <w:sz w:val="22"/>
        </w:rPr>
      </w:pPr>
      <w:r w:rsidRPr="00497178">
        <w:rPr>
          <w:rFonts w:ascii="Arial" w:hAnsi="Arial" w:cs="Arial"/>
          <w:bCs/>
          <w:sz w:val="22"/>
        </w:rPr>
        <w:t>Kod upravnih odjela Grada Labina povećanje je primjetno kod Upravnog odjela za komunalno gospodarstvo i upravljanje imovinom u iznosu od 151.712 EUR, a povećanje se uglavnom odnosi na povećanje rashoda za održavanje nerazvrstanih cesta (36.092 EUR), za redovno održavanje javnih zelenih površina (47.000 EUR), održavanje javne rasvjete i potrošnju el. Energije (35.000 EUR),  održavanje poslovnih i stambenih  prostora (13.000 EUR), održavanje čistoće javnih površina (13.000 EUR), održavanje igrališta i sportske dvorane (41.000 EUR) i sl., dok je kod drugih aktivnosti došlo do manjeg smanjenja rashoda.</w:t>
      </w:r>
    </w:p>
    <w:p w14:paraId="713C28EE" w14:textId="7545FF70" w:rsidR="00BC7E60" w:rsidRPr="00497178" w:rsidRDefault="00BC7E60" w:rsidP="00BC7E60">
      <w:pPr>
        <w:jc w:val="both"/>
        <w:rPr>
          <w:rFonts w:ascii="Arial" w:hAnsi="Arial" w:cs="Arial"/>
          <w:bCs/>
          <w:sz w:val="22"/>
        </w:rPr>
      </w:pPr>
      <w:r w:rsidRPr="00497178">
        <w:rPr>
          <w:rFonts w:ascii="Arial" w:hAnsi="Arial" w:cs="Arial"/>
          <w:bCs/>
          <w:sz w:val="22"/>
        </w:rPr>
        <w:t>Manje povećanje planiranih rashoda drugih</w:t>
      </w:r>
      <w:r>
        <w:rPr>
          <w:rFonts w:ascii="Arial" w:hAnsi="Arial" w:cs="Arial"/>
          <w:bCs/>
          <w:sz w:val="22"/>
        </w:rPr>
        <w:t xml:space="preserve"> </w:t>
      </w:r>
      <w:r w:rsidRPr="00497178">
        <w:rPr>
          <w:rFonts w:ascii="Arial" w:hAnsi="Arial" w:cs="Arial"/>
          <w:bCs/>
          <w:sz w:val="22"/>
        </w:rPr>
        <w:t>Upravnih</w:t>
      </w:r>
      <w:r w:rsidR="001145A7">
        <w:rPr>
          <w:rFonts w:ascii="Arial" w:hAnsi="Arial" w:cs="Arial"/>
          <w:bCs/>
          <w:sz w:val="22"/>
        </w:rPr>
        <w:t xml:space="preserve"> odjela</w:t>
      </w:r>
      <w:r w:rsidRPr="00497178">
        <w:rPr>
          <w:rFonts w:ascii="Arial" w:hAnsi="Arial" w:cs="Arial"/>
          <w:bCs/>
          <w:sz w:val="22"/>
        </w:rPr>
        <w:t xml:space="preserve"> detaljnije je obrazloženo </w:t>
      </w:r>
      <w:bookmarkStart w:id="24" w:name="_Hlk168760323"/>
      <w:r w:rsidRPr="00497178">
        <w:rPr>
          <w:rFonts w:ascii="Arial" w:hAnsi="Arial" w:cs="Arial"/>
          <w:bCs/>
          <w:sz w:val="22"/>
        </w:rPr>
        <w:t xml:space="preserve">kroz obrazloženje koje su dali </w:t>
      </w:r>
      <w:bookmarkEnd w:id="24"/>
      <w:r w:rsidRPr="00497178">
        <w:rPr>
          <w:rFonts w:ascii="Arial" w:hAnsi="Arial" w:cs="Arial"/>
          <w:bCs/>
          <w:sz w:val="22"/>
        </w:rPr>
        <w:t>Upravni odjeli u posebnom dijelu.</w:t>
      </w:r>
    </w:p>
    <w:p w14:paraId="2BFB3716" w14:textId="77777777" w:rsidR="00BC7E60" w:rsidRPr="00497178" w:rsidRDefault="00BC7E60" w:rsidP="00BC7E60">
      <w:pPr>
        <w:jc w:val="both"/>
        <w:rPr>
          <w:rFonts w:ascii="Arial" w:hAnsi="Arial" w:cs="Arial"/>
          <w:bCs/>
          <w:sz w:val="22"/>
        </w:rPr>
      </w:pPr>
    </w:p>
    <w:p w14:paraId="5F7D0DF3" w14:textId="77777777" w:rsidR="00BC7E60" w:rsidRPr="00497178" w:rsidRDefault="00BC7E60" w:rsidP="00BC7E60">
      <w:pPr>
        <w:jc w:val="both"/>
        <w:rPr>
          <w:rFonts w:ascii="Arial" w:hAnsi="Arial" w:cs="Arial"/>
          <w:bCs/>
          <w:sz w:val="22"/>
        </w:rPr>
      </w:pPr>
      <w:r w:rsidRPr="00497178">
        <w:rPr>
          <w:rFonts w:ascii="Arial" w:hAnsi="Arial" w:cs="Arial"/>
          <w:bCs/>
          <w:sz w:val="22"/>
        </w:rPr>
        <w:t xml:space="preserve">Kod proračunskih korisnika porast materijalnih rashoda u odnosu na važeći plan iznosi 6,05% i različito je ovisno o pojedinom proračunskom korisniku, a detaljnije je obrazloženo kroz obrazloženja koja su dali proračunski korisnici. </w:t>
      </w:r>
    </w:p>
    <w:p w14:paraId="5B8CFDA4" w14:textId="77777777" w:rsidR="00BC7E60" w:rsidRPr="00497178" w:rsidRDefault="00BC7E60" w:rsidP="00BC7E60">
      <w:pPr>
        <w:jc w:val="both"/>
        <w:rPr>
          <w:rFonts w:ascii="Arial" w:hAnsi="Arial" w:cs="Arial"/>
          <w:bCs/>
          <w:sz w:val="22"/>
        </w:rPr>
      </w:pPr>
      <w:r w:rsidRPr="00497178">
        <w:rPr>
          <w:rFonts w:ascii="Arial" w:hAnsi="Arial" w:cs="Arial"/>
          <w:bCs/>
          <w:sz w:val="22"/>
        </w:rPr>
        <w:t xml:space="preserve">   </w:t>
      </w:r>
    </w:p>
    <w:p w14:paraId="4AEB58AA" w14:textId="77777777" w:rsidR="00BC7E60" w:rsidRPr="00497178" w:rsidRDefault="00BC7E60" w:rsidP="00BC7E60">
      <w:pPr>
        <w:jc w:val="both"/>
        <w:rPr>
          <w:rFonts w:ascii="Arial" w:hAnsi="Arial" w:cs="Arial"/>
          <w:bCs/>
          <w:sz w:val="22"/>
        </w:rPr>
      </w:pPr>
    </w:p>
    <w:p w14:paraId="41B554AA" w14:textId="77777777" w:rsidR="00BC7E60" w:rsidRPr="00497178" w:rsidRDefault="00BC7E60" w:rsidP="00BC7E60">
      <w:pPr>
        <w:keepNext/>
        <w:outlineLvl w:val="3"/>
        <w:rPr>
          <w:rFonts w:ascii="Arial" w:eastAsia="Calibri" w:hAnsi="Arial" w:cs="Arial"/>
          <w:b/>
          <w:bCs/>
          <w:sz w:val="22"/>
        </w:rPr>
      </w:pPr>
      <w:r w:rsidRPr="00497178">
        <w:rPr>
          <w:rFonts w:ascii="Arial" w:eastAsia="Calibri" w:hAnsi="Arial" w:cs="Arial"/>
          <w:b/>
          <w:bCs/>
          <w:sz w:val="22"/>
        </w:rPr>
        <w:t>Financijski rashodi</w:t>
      </w:r>
    </w:p>
    <w:p w14:paraId="647DCE9B" w14:textId="77777777" w:rsidR="00BC7E60" w:rsidRPr="00497178" w:rsidRDefault="00BC7E60" w:rsidP="00BC7E60">
      <w:pPr>
        <w:keepNext/>
        <w:outlineLvl w:val="3"/>
        <w:rPr>
          <w:rFonts w:ascii="Arial" w:eastAsia="Calibri" w:hAnsi="Arial" w:cs="Arial"/>
          <w:b/>
          <w:bCs/>
          <w:sz w:val="22"/>
        </w:rPr>
      </w:pPr>
    </w:p>
    <w:p w14:paraId="496BE9C6" w14:textId="77777777" w:rsidR="00BC7E60" w:rsidRPr="00497178" w:rsidRDefault="00BC7E60" w:rsidP="00BC7E60">
      <w:pPr>
        <w:jc w:val="both"/>
        <w:rPr>
          <w:rFonts w:ascii="Arial" w:eastAsia="Calibri" w:hAnsi="Arial" w:cs="Arial"/>
          <w:sz w:val="22"/>
        </w:rPr>
      </w:pPr>
      <w:r w:rsidRPr="00497178">
        <w:rPr>
          <w:rFonts w:ascii="Arial" w:eastAsia="Calibri" w:hAnsi="Arial" w:cs="Arial"/>
          <w:sz w:val="22"/>
        </w:rPr>
        <w:t>Financijski rashodi planirani su u iznosu od 107.650,00 EUR, a u odnosu na prethodni plan povećani su za 10,49% odnosno za 10.220 EUR. Povećanje od 10.000 EUR  je planirano u UO za proračun i financije kod Aktivnosti zajednički troškovi upravnih odjela (2.000 EUR) za bankarske usluge i  Aktivnosti otplata zajmova (8.000 EUR) za kamate .</w:t>
      </w:r>
    </w:p>
    <w:p w14:paraId="4BF4261F" w14:textId="77777777" w:rsidR="00BC7E60" w:rsidRPr="00497178" w:rsidRDefault="00BC7E60" w:rsidP="00BC7E60">
      <w:pPr>
        <w:jc w:val="both"/>
        <w:rPr>
          <w:rFonts w:ascii="Arial" w:eastAsia="Calibri" w:hAnsi="Arial" w:cs="Arial"/>
          <w:b/>
          <w:bCs/>
          <w:sz w:val="22"/>
        </w:rPr>
      </w:pPr>
      <w:r w:rsidRPr="00497178">
        <w:rPr>
          <w:rFonts w:ascii="Arial" w:eastAsia="Calibri" w:hAnsi="Arial" w:cs="Arial"/>
          <w:sz w:val="22"/>
        </w:rPr>
        <w:t>Kod proračunskih korisnika planirano je povećanje od 220 EUR a odnosi se na povećanje rashoda za zatezne kamate.</w:t>
      </w:r>
    </w:p>
    <w:p w14:paraId="70676141" w14:textId="77777777" w:rsidR="00BC7E60" w:rsidRPr="00497178" w:rsidRDefault="00BC7E60" w:rsidP="00BC7E60">
      <w:pPr>
        <w:keepNext/>
        <w:outlineLvl w:val="3"/>
        <w:rPr>
          <w:rFonts w:ascii="Arial" w:eastAsia="Calibri" w:hAnsi="Arial" w:cs="Arial"/>
          <w:b/>
          <w:bCs/>
          <w:sz w:val="22"/>
        </w:rPr>
      </w:pPr>
    </w:p>
    <w:p w14:paraId="490AED54" w14:textId="77777777" w:rsidR="00BC7E60" w:rsidRPr="00497178" w:rsidRDefault="00BC7E60" w:rsidP="00BC7E60">
      <w:pPr>
        <w:keepNext/>
        <w:outlineLvl w:val="3"/>
        <w:rPr>
          <w:rFonts w:ascii="Arial" w:eastAsia="Calibri" w:hAnsi="Arial" w:cs="Arial"/>
          <w:b/>
          <w:bCs/>
          <w:sz w:val="22"/>
        </w:rPr>
      </w:pPr>
      <w:r w:rsidRPr="00497178">
        <w:rPr>
          <w:rFonts w:ascii="Arial" w:eastAsia="Calibri" w:hAnsi="Arial" w:cs="Arial"/>
          <w:b/>
          <w:bCs/>
          <w:sz w:val="22"/>
        </w:rPr>
        <w:t>Subvencije</w:t>
      </w:r>
    </w:p>
    <w:p w14:paraId="433F8CF4" w14:textId="77777777" w:rsidR="00BC7E60" w:rsidRPr="00497178" w:rsidRDefault="00BC7E60" w:rsidP="00BC7E60">
      <w:pPr>
        <w:keepNext/>
        <w:outlineLvl w:val="3"/>
        <w:rPr>
          <w:rFonts w:ascii="Arial" w:eastAsia="Calibri" w:hAnsi="Arial" w:cs="Arial"/>
          <w:b/>
          <w:bCs/>
          <w:sz w:val="22"/>
        </w:rPr>
      </w:pPr>
    </w:p>
    <w:p w14:paraId="780F3385" w14:textId="77777777" w:rsidR="00BC7E60" w:rsidRPr="00497178" w:rsidRDefault="00BC7E60" w:rsidP="00BC7E60">
      <w:pPr>
        <w:jc w:val="both"/>
        <w:rPr>
          <w:rFonts w:ascii="Arial" w:hAnsi="Arial" w:cs="Arial"/>
          <w:sz w:val="22"/>
        </w:rPr>
      </w:pPr>
      <w:r w:rsidRPr="00497178">
        <w:rPr>
          <w:rFonts w:ascii="Arial" w:hAnsi="Arial" w:cs="Arial"/>
          <w:sz w:val="22"/>
        </w:rPr>
        <w:t xml:space="preserve">Rashodi za subvencije planirani su u iznosu od 126.674,00 EUR i smanjeni su u odnosu na važeći plan za 7.980 EUR ili 5,93 %. Smanjenje je planirano u Upravnom odjelu za poslove Gradonačelnika, Gradskog vijeća i opće poslove u iznosu od 4.300 EUR i Upravnom odjelu za gospodarstvo i EU projekte u iznosu od 4.000 EUR. Povećanje od 320 EUR planirano je u </w:t>
      </w:r>
    </w:p>
    <w:p w14:paraId="7A386F12" w14:textId="77777777" w:rsidR="00BC7E60" w:rsidRPr="00497178" w:rsidRDefault="00BC7E60" w:rsidP="00BC7E60">
      <w:pPr>
        <w:jc w:val="both"/>
        <w:rPr>
          <w:rFonts w:ascii="Arial" w:hAnsi="Arial" w:cs="Arial"/>
          <w:sz w:val="22"/>
        </w:rPr>
      </w:pPr>
      <w:r w:rsidRPr="00497178">
        <w:rPr>
          <w:rFonts w:ascii="Arial" w:hAnsi="Arial" w:cs="Arial"/>
          <w:sz w:val="22"/>
        </w:rPr>
        <w:t>Upravnom odjelu za društvene djelatnosti kod Programa Predškolski odgoj i  aktivnosti Sufinanciranje predškolske djelatnosti.</w:t>
      </w:r>
    </w:p>
    <w:p w14:paraId="620A0C2F" w14:textId="77777777" w:rsidR="00BC7E60" w:rsidRPr="00497178" w:rsidRDefault="00BC7E60" w:rsidP="00BC7E60">
      <w:pPr>
        <w:jc w:val="both"/>
        <w:rPr>
          <w:rFonts w:ascii="Arial" w:hAnsi="Arial" w:cs="Arial"/>
          <w:sz w:val="22"/>
        </w:rPr>
      </w:pPr>
    </w:p>
    <w:p w14:paraId="368250A6" w14:textId="77777777" w:rsidR="00BC7E60" w:rsidRPr="00497178" w:rsidRDefault="00BC7E60" w:rsidP="00BC7E60">
      <w:pPr>
        <w:keepNext/>
        <w:outlineLvl w:val="3"/>
        <w:rPr>
          <w:rFonts w:ascii="Arial" w:eastAsia="Calibri" w:hAnsi="Arial" w:cs="Arial"/>
          <w:b/>
          <w:bCs/>
          <w:sz w:val="22"/>
        </w:rPr>
      </w:pPr>
      <w:r w:rsidRPr="00497178">
        <w:rPr>
          <w:rFonts w:ascii="Arial" w:eastAsia="Calibri" w:hAnsi="Arial" w:cs="Arial"/>
          <w:b/>
          <w:bCs/>
          <w:sz w:val="22"/>
        </w:rPr>
        <w:t>Pomoći dane u inozemstvo i unutar općeg proračuna</w:t>
      </w:r>
    </w:p>
    <w:p w14:paraId="405CC786" w14:textId="77777777" w:rsidR="00BC7E60" w:rsidRPr="00497178" w:rsidRDefault="00BC7E60" w:rsidP="00BC7E60">
      <w:pPr>
        <w:keepNext/>
        <w:outlineLvl w:val="3"/>
        <w:rPr>
          <w:rFonts w:ascii="Arial" w:eastAsia="Calibri" w:hAnsi="Arial" w:cs="Arial"/>
          <w:b/>
          <w:bCs/>
          <w:sz w:val="22"/>
        </w:rPr>
      </w:pPr>
    </w:p>
    <w:p w14:paraId="425F23A4" w14:textId="77777777" w:rsidR="00BC7E60" w:rsidRPr="00497178" w:rsidRDefault="00BC7E60" w:rsidP="00BC7E60">
      <w:pPr>
        <w:jc w:val="both"/>
        <w:rPr>
          <w:rFonts w:ascii="Arial" w:hAnsi="Arial" w:cs="Arial"/>
          <w:bCs/>
          <w:sz w:val="22"/>
          <w:highlight w:val="yellow"/>
        </w:rPr>
      </w:pPr>
      <w:r w:rsidRPr="00497178">
        <w:rPr>
          <w:rFonts w:ascii="Arial" w:hAnsi="Arial" w:cs="Arial"/>
          <w:bCs/>
          <w:sz w:val="22"/>
        </w:rPr>
        <w:t>U okviru</w:t>
      </w:r>
      <w:r w:rsidRPr="00497178">
        <w:rPr>
          <w:rFonts w:ascii="Arial" w:hAnsi="Arial" w:cs="Arial"/>
          <w:b/>
          <w:bCs/>
          <w:sz w:val="22"/>
        </w:rPr>
        <w:t xml:space="preserve"> </w:t>
      </w:r>
      <w:r w:rsidRPr="00497178">
        <w:rPr>
          <w:rFonts w:ascii="Arial" w:hAnsi="Arial" w:cs="Arial"/>
          <w:bCs/>
          <w:sz w:val="22"/>
        </w:rPr>
        <w:t xml:space="preserve">ove skupine planirana sredstva iznose 377.185,00 EUR i povećana su za 14,24% u odnosu na važeći plan, a odnose se najvećim dijelom na povećanje u UO za društvene djelatnosti i to 45.522 EUR i C za 1.498 EUR. Detaljno je objašnjeno u Posebnom dijelu kod ovih UO. </w:t>
      </w:r>
      <w:r w:rsidRPr="00497178">
        <w:rPr>
          <w:rFonts w:ascii="Arial" w:hAnsi="Arial" w:cs="Arial"/>
          <w:bCs/>
          <w:sz w:val="22"/>
          <w:highlight w:val="yellow"/>
        </w:rPr>
        <w:t xml:space="preserve"> </w:t>
      </w:r>
    </w:p>
    <w:p w14:paraId="56E71AC0" w14:textId="77777777" w:rsidR="00BC7E60" w:rsidRPr="00497178" w:rsidRDefault="00BC7E60" w:rsidP="00BC7E60">
      <w:pPr>
        <w:jc w:val="both"/>
        <w:rPr>
          <w:rFonts w:ascii="Arial" w:hAnsi="Arial" w:cs="Arial"/>
          <w:bCs/>
          <w:sz w:val="22"/>
          <w:highlight w:val="yellow"/>
        </w:rPr>
      </w:pPr>
      <w:r w:rsidRPr="00497178">
        <w:rPr>
          <w:rFonts w:ascii="Arial" w:hAnsi="Arial" w:cs="Arial"/>
          <w:bCs/>
          <w:sz w:val="22"/>
          <w:highlight w:val="yellow"/>
        </w:rPr>
        <w:t xml:space="preserve"> </w:t>
      </w:r>
    </w:p>
    <w:p w14:paraId="7AFA1F39" w14:textId="77777777" w:rsidR="00BC7E60" w:rsidRPr="00497178" w:rsidRDefault="00BC7E60" w:rsidP="00BC7E60">
      <w:pPr>
        <w:jc w:val="both"/>
        <w:rPr>
          <w:rFonts w:ascii="Arial" w:hAnsi="Arial" w:cs="Arial"/>
          <w:bCs/>
          <w:sz w:val="22"/>
        </w:rPr>
      </w:pPr>
    </w:p>
    <w:p w14:paraId="688CC7FD" w14:textId="77777777" w:rsidR="00BC7E60" w:rsidRPr="00497178" w:rsidRDefault="00BC7E60" w:rsidP="00BC7E60">
      <w:pPr>
        <w:keepNext/>
        <w:outlineLvl w:val="3"/>
        <w:rPr>
          <w:rFonts w:ascii="Arial" w:hAnsi="Arial" w:cs="Arial"/>
          <w:b/>
          <w:bCs/>
          <w:sz w:val="22"/>
        </w:rPr>
      </w:pPr>
      <w:r w:rsidRPr="00497178">
        <w:rPr>
          <w:rFonts w:ascii="Arial" w:hAnsi="Arial" w:cs="Arial"/>
          <w:b/>
          <w:bCs/>
          <w:sz w:val="22"/>
        </w:rPr>
        <w:t>Naknade građanima i kućanstvima na temelju osiguranja i druge naknade</w:t>
      </w:r>
    </w:p>
    <w:p w14:paraId="7BE11F88" w14:textId="77777777" w:rsidR="00BC7E60" w:rsidRPr="00497178" w:rsidRDefault="00BC7E60" w:rsidP="00BC7E60">
      <w:pPr>
        <w:keepNext/>
        <w:outlineLvl w:val="3"/>
        <w:rPr>
          <w:rFonts w:ascii="Arial" w:hAnsi="Arial" w:cs="Arial"/>
          <w:b/>
          <w:bCs/>
          <w:sz w:val="22"/>
        </w:rPr>
      </w:pPr>
    </w:p>
    <w:p w14:paraId="06839075" w14:textId="77777777" w:rsidR="00BC7E60" w:rsidRPr="00497178" w:rsidRDefault="00BC7E60" w:rsidP="00BC7E60">
      <w:pPr>
        <w:jc w:val="both"/>
        <w:rPr>
          <w:rFonts w:ascii="Arial" w:hAnsi="Arial" w:cs="Arial"/>
          <w:bCs/>
          <w:sz w:val="22"/>
        </w:rPr>
      </w:pPr>
      <w:r w:rsidRPr="00497178">
        <w:rPr>
          <w:rFonts w:ascii="Arial" w:hAnsi="Arial" w:cs="Arial"/>
          <w:bCs/>
          <w:sz w:val="22"/>
        </w:rPr>
        <w:t xml:space="preserve">Naknade građanima i kućanstvima planirane su u iznosu od 720.445,00 EUR uz povećanje od 28,36% ili 159.180 EUR u odnosu na važeći plan proračuna.  Ovo povećanje je u potpunosti planirano u UO za društvene djelatnosti i to kod Programa: Predškolski odgoj 29.680 EUR, Obrazovanje 5.500 EUR i Socijalna skrb 124.000 EUR. </w:t>
      </w:r>
    </w:p>
    <w:p w14:paraId="00498949" w14:textId="77777777" w:rsidR="00BC7E60" w:rsidRDefault="00BC7E60" w:rsidP="00BC7E60">
      <w:pPr>
        <w:jc w:val="both"/>
        <w:rPr>
          <w:rFonts w:ascii="Arial" w:hAnsi="Arial" w:cs="Arial"/>
          <w:bCs/>
          <w:sz w:val="22"/>
        </w:rPr>
      </w:pPr>
    </w:p>
    <w:p w14:paraId="797F41FD" w14:textId="77777777" w:rsidR="00807388" w:rsidRDefault="00807388" w:rsidP="00BC7E60">
      <w:pPr>
        <w:jc w:val="both"/>
        <w:rPr>
          <w:rFonts w:ascii="Arial" w:hAnsi="Arial" w:cs="Arial"/>
          <w:bCs/>
          <w:sz w:val="22"/>
        </w:rPr>
      </w:pPr>
    </w:p>
    <w:p w14:paraId="6113C236" w14:textId="77777777" w:rsidR="00807388" w:rsidRPr="00497178" w:rsidRDefault="00807388" w:rsidP="00BC7E60">
      <w:pPr>
        <w:jc w:val="both"/>
        <w:rPr>
          <w:rFonts w:ascii="Arial" w:hAnsi="Arial" w:cs="Arial"/>
          <w:bCs/>
          <w:sz w:val="22"/>
        </w:rPr>
      </w:pPr>
    </w:p>
    <w:p w14:paraId="20247283" w14:textId="77777777" w:rsidR="00BC7E60" w:rsidRPr="00497178" w:rsidRDefault="00BC7E60" w:rsidP="00BC7E60">
      <w:pPr>
        <w:jc w:val="both"/>
        <w:rPr>
          <w:rFonts w:ascii="Arial" w:hAnsi="Arial" w:cs="Arial"/>
          <w:b/>
          <w:bCs/>
          <w:sz w:val="22"/>
        </w:rPr>
      </w:pPr>
      <w:r w:rsidRPr="00497178">
        <w:rPr>
          <w:rFonts w:ascii="Arial" w:eastAsia="Calibri" w:hAnsi="Arial" w:cs="Arial"/>
          <w:b/>
          <w:bCs/>
          <w:sz w:val="22"/>
        </w:rPr>
        <w:lastRenderedPageBreak/>
        <w:t>Rashodi za donacije, naknade štete i kapitalne pomoći</w:t>
      </w:r>
    </w:p>
    <w:p w14:paraId="3149DFE3" w14:textId="77777777" w:rsidR="00BC7E60" w:rsidRPr="00497178" w:rsidRDefault="00BC7E60" w:rsidP="00BC7E60">
      <w:pPr>
        <w:keepNext/>
        <w:outlineLvl w:val="3"/>
        <w:rPr>
          <w:rFonts w:ascii="Arial" w:hAnsi="Arial" w:cs="Arial"/>
          <w:b/>
          <w:bCs/>
          <w:sz w:val="22"/>
        </w:rPr>
      </w:pPr>
    </w:p>
    <w:p w14:paraId="7A1ED696" w14:textId="77777777" w:rsidR="00BC7E60" w:rsidRPr="00497178" w:rsidRDefault="00BC7E60" w:rsidP="00BC7E60">
      <w:pPr>
        <w:jc w:val="both"/>
        <w:rPr>
          <w:rFonts w:ascii="Arial" w:hAnsi="Arial" w:cs="Arial"/>
          <w:bCs/>
          <w:sz w:val="22"/>
        </w:rPr>
      </w:pPr>
      <w:r w:rsidRPr="00497178">
        <w:rPr>
          <w:rFonts w:ascii="Arial" w:hAnsi="Arial" w:cs="Arial"/>
          <w:bCs/>
          <w:sz w:val="22"/>
        </w:rPr>
        <w:t>Ovi rashodi planirani su u iznosu od 743.553,00 EUR s indeksom 106,22% u odnosu na  važeći plan što znači da je postojeći plan povećan za 43.563 EUR.</w:t>
      </w:r>
    </w:p>
    <w:p w14:paraId="0C1B3181" w14:textId="77777777" w:rsidR="00BC7E60" w:rsidRPr="00497178" w:rsidRDefault="00BC7E60" w:rsidP="00BC7E60">
      <w:pPr>
        <w:jc w:val="both"/>
        <w:rPr>
          <w:rFonts w:ascii="Arial" w:hAnsi="Arial" w:cs="Arial"/>
          <w:bCs/>
          <w:sz w:val="22"/>
        </w:rPr>
      </w:pPr>
      <w:r w:rsidRPr="00497178">
        <w:rPr>
          <w:rFonts w:ascii="Arial" w:hAnsi="Arial" w:cs="Arial"/>
          <w:bCs/>
          <w:sz w:val="22"/>
        </w:rPr>
        <w:t xml:space="preserve">Planirana sredstva umanjena su u </w:t>
      </w:r>
      <w:r w:rsidRPr="00497178">
        <w:rPr>
          <w:rFonts w:ascii="Arial" w:hAnsi="Arial" w:cs="Arial"/>
          <w:sz w:val="22"/>
        </w:rPr>
        <w:t xml:space="preserve">UO za poslove Gradonačelnika, Gradskog vijeća i opće poslove za 2.748 EUR, dok je povećanje od 44.100 EUR evidentirano kod </w:t>
      </w:r>
      <w:r w:rsidRPr="00497178">
        <w:rPr>
          <w:rFonts w:ascii="Arial" w:hAnsi="Arial" w:cs="Arial"/>
          <w:bCs/>
          <w:sz w:val="22"/>
        </w:rPr>
        <w:t xml:space="preserve">UO za društvene djelatnosti i povećanje od 1.675 EUR u </w:t>
      </w:r>
      <w:r w:rsidRPr="00497178">
        <w:rPr>
          <w:rFonts w:ascii="Arial" w:hAnsi="Arial" w:cs="Arial"/>
          <w:sz w:val="22"/>
        </w:rPr>
        <w:t>UO za gospodarstvo i EU projekte. Kod proračunskih korisnika planirano je povećanje u ukupnom iznosu od 536 EUR.</w:t>
      </w:r>
    </w:p>
    <w:p w14:paraId="0A46E2D4" w14:textId="77777777" w:rsidR="00BC7E60" w:rsidRPr="00497178" w:rsidRDefault="00BC7E60" w:rsidP="00BC7E60">
      <w:pPr>
        <w:keepNext/>
        <w:outlineLvl w:val="3"/>
        <w:rPr>
          <w:rFonts w:ascii="Arial" w:hAnsi="Arial" w:cs="Arial"/>
          <w:bCs/>
          <w:sz w:val="22"/>
        </w:rPr>
      </w:pPr>
    </w:p>
    <w:p w14:paraId="5C78A4FF" w14:textId="77777777" w:rsidR="00BC7E60" w:rsidRPr="00497178" w:rsidRDefault="00BC7E60" w:rsidP="00BC7E60">
      <w:pPr>
        <w:keepNext/>
        <w:outlineLvl w:val="3"/>
        <w:rPr>
          <w:rFonts w:ascii="Arial" w:hAnsi="Arial" w:cs="Arial"/>
          <w:bCs/>
          <w:sz w:val="22"/>
        </w:rPr>
      </w:pPr>
    </w:p>
    <w:p w14:paraId="1B5EBD81" w14:textId="77777777" w:rsidR="00BC7E60" w:rsidRPr="00807388" w:rsidRDefault="00BC7E60">
      <w:pPr>
        <w:keepNext/>
        <w:numPr>
          <w:ilvl w:val="0"/>
          <w:numId w:val="10"/>
        </w:numPr>
        <w:contextualSpacing/>
        <w:outlineLvl w:val="3"/>
        <w:rPr>
          <w:rFonts w:ascii="Arial" w:hAnsi="Arial" w:cs="Arial"/>
          <w:bCs/>
          <w:sz w:val="22"/>
        </w:rPr>
      </w:pPr>
      <w:r w:rsidRPr="00497178">
        <w:rPr>
          <w:rFonts w:ascii="Arial" w:eastAsia="Calibri" w:hAnsi="Arial" w:cs="Arial"/>
          <w:b/>
          <w:sz w:val="22"/>
        </w:rPr>
        <w:t>RASHODI ZA NABAVU NEFINANCIJSKE IMOVINE</w:t>
      </w:r>
    </w:p>
    <w:p w14:paraId="6728AD8C" w14:textId="77777777" w:rsidR="00807388" w:rsidRPr="00497178" w:rsidRDefault="00807388" w:rsidP="00807388">
      <w:pPr>
        <w:keepNext/>
        <w:ind w:left="720"/>
        <w:contextualSpacing/>
        <w:outlineLvl w:val="3"/>
        <w:rPr>
          <w:rFonts w:ascii="Arial" w:hAnsi="Arial" w:cs="Arial"/>
          <w:bCs/>
          <w:sz w:val="22"/>
        </w:rPr>
      </w:pPr>
    </w:p>
    <w:p w14:paraId="1C98C2CD" w14:textId="77777777" w:rsidR="00BC7E60" w:rsidRPr="00497178" w:rsidRDefault="00BC7E60" w:rsidP="00BC7E60">
      <w:pPr>
        <w:keepNext/>
        <w:outlineLvl w:val="3"/>
        <w:rPr>
          <w:rFonts w:ascii="Arial" w:hAnsi="Arial" w:cs="Arial"/>
          <w:b/>
          <w:bCs/>
          <w:sz w:val="22"/>
        </w:rPr>
      </w:pPr>
    </w:p>
    <w:p w14:paraId="2B75EA25" w14:textId="77777777" w:rsidR="00BC7E60" w:rsidRPr="00497178" w:rsidRDefault="00BC7E60" w:rsidP="00BC7E60">
      <w:pPr>
        <w:keepNext/>
        <w:outlineLvl w:val="3"/>
        <w:rPr>
          <w:rFonts w:ascii="Arial" w:hAnsi="Arial" w:cs="Arial"/>
          <w:b/>
          <w:bCs/>
          <w:sz w:val="22"/>
        </w:rPr>
      </w:pPr>
      <w:r w:rsidRPr="00497178">
        <w:rPr>
          <w:rFonts w:ascii="Arial" w:hAnsi="Arial" w:cs="Arial"/>
          <w:b/>
          <w:bCs/>
          <w:sz w:val="22"/>
        </w:rPr>
        <w:t xml:space="preserve">Materijalna i nematerijalna imovina </w:t>
      </w:r>
    </w:p>
    <w:p w14:paraId="65A465B4" w14:textId="77777777" w:rsidR="00BC7E60" w:rsidRPr="00497178" w:rsidRDefault="00BC7E60" w:rsidP="00BC7E60">
      <w:pPr>
        <w:jc w:val="both"/>
        <w:rPr>
          <w:rFonts w:ascii="Arial" w:hAnsi="Arial" w:cs="Arial"/>
          <w:b/>
          <w:bCs/>
          <w:sz w:val="22"/>
        </w:rPr>
      </w:pPr>
    </w:p>
    <w:p w14:paraId="6EDEA98B" w14:textId="77777777" w:rsidR="00BC7E60" w:rsidRDefault="00BC7E60" w:rsidP="00BC7E60">
      <w:pPr>
        <w:jc w:val="both"/>
        <w:rPr>
          <w:rFonts w:ascii="Arial" w:hAnsi="Arial" w:cs="Arial"/>
          <w:b/>
          <w:bCs/>
          <w:sz w:val="22"/>
        </w:rPr>
      </w:pPr>
      <w:r w:rsidRPr="00497178">
        <w:rPr>
          <w:rFonts w:ascii="Arial" w:hAnsi="Arial" w:cs="Arial"/>
          <w:b/>
          <w:bCs/>
          <w:sz w:val="22"/>
        </w:rPr>
        <w:t>Tabela 6.</w:t>
      </w:r>
    </w:p>
    <w:p w14:paraId="1F7B9CC8" w14:textId="77777777" w:rsidR="00807388" w:rsidRPr="00497178" w:rsidRDefault="00807388" w:rsidP="00BC7E60">
      <w:pPr>
        <w:jc w:val="both"/>
        <w:rPr>
          <w:rFonts w:ascii="Arial" w:hAnsi="Arial" w:cs="Arial"/>
          <w:b/>
          <w:bCs/>
          <w:sz w:val="22"/>
        </w:rPr>
      </w:pPr>
    </w:p>
    <w:p w14:paraId="6F1B1CB3" w14:textId="6CD9C93B" w:rsidR="00BC7E60" w:rsidRPr="00497178" w:rsidRDefault="00807388" w:rsidP="00BC7E60">
      <w:pPr>
        <w:jc w:val="both"/>
        <w:rPr>
          <w:rFonts w:ascii="Arial" w:hAnsi="Arial" w:cs="Arial"/>
          <w:b/>
          <w:bCs/>
          <w:sz w:val="22"/>
        </w:rPr>
      </w:pP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 EUR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2704"/>
        <w:gridCol w:w="1536"/>
        <w:gridCol w:w="1583"/>
        <w:gridCol w:w="1701"/>
        <w:gridCol w:w="992"/>
      </w:tblGrid>
      <w:tr w:rsidR="00BC7E60" w:rsidRPr="00497178" w14:paraId="385D6087" w14:textId="77777777" w:rsidTr="00512D52">
        <w:trPr>
          <w:cantSplit/>
        </w:trPr>
        <w:tc>
          <w:tcPr>
            <w:tcW w:w="693" w:type="dxa"/>
            <w:vMerge w:val="restart"/>
            <w:shd w:val="clear" w:color="auto" w:fill="auto"/>
          </w:tcPr>
          <w:p w14:paraId="7E28EBBF" w14:textId="77777777" w:rsidR="00BC7E60" w:rsidRPr="00497178" w:rsidRDefault="00BC7E60" w:rsidP="00512D52">
            <w:pPr>
              <w:jc w:val="both"/>
              <w:rPr>
                <w:rFonts w:ascii="Arial" w:hAnsi="Arial" w:cs="Arial"/>
                <w:b/>
                <w:bCs/>
                <w:sz w:val="22"/>
              </w:rPr>
            </w:pPr>
            <w:r w:rsidRPr="00497178">
              <w:rPr>
                <w:rFonts w:ascii="Arial" w:hAnsi="Arial" w:cs="Arial"/>
                <w:b/>
                <w:bCs/>
                <w:sz w:val="22"/>
              </w:rPr>
              <w:t>Red.</w:t>
            </w:r>
          </w:p>
          <w:p w14:paraId="02E8EDCF" w14:textId="77777777" w:rsidR="00BC7E60" w:rsidRPr="00497178" w:rsidRDefault="00BC7E60" w:rsidP="00512D52">
            <w:pPr>
              <w:jc w:val="both"/>
              <w:rPr>
                <w:rFonts w:ascii="Arial" w:hAnsi="Arial" w:cs="Arial"/>
                <w:b/>
                <w:bCs/>
                <w:sz w:val="22"/>
              </w:rPr>
            </w:pPr>
            <w:r w:rsidRPr="00497178">
              <w:rPr>
                <w:rFonts w:ascii="Arial" w:hAnsi="Arial" w:cs="Arial"/>
                <w:b/>
                <w:bCs/>
                <w:sz w:val="22"/>
              </w:rPr>
              <w:t>br.</w:t>
            </w:r>
          </w:p>
        </w:tc>
        <w:tc>
          <w:tcPr>
            <w:tcW w:w="2704" w:type="dxa"/>
            <w:vMerge w:val="restart"/>
            <w:shd w:val="clear" w:color="auto" w:fill="auto"/>
          </w:tcPr>
          <w:p w14:paraId="3CF7D592" w14:textId="77777777" w:rsidR="00BC7E60" w:rsidRPr="00497178" w:rsidRDefault="00BC7E60" w:rsidP="00512D52">
            <w:pPr>
              <w:jc w:val="center"/>
              <w:rPr>
                <w:rFonts w:ascii="Arial" w:hAnsi="Arial" w:cs="Arial"/>
                <w:b/>
                <w:bCs/>
                <w:sz w:val="22"/>
              </w:rPr>
            </w:pPr>
            <w:r w:rsidRPr="00497178">
              <w:rPr>
                <w:rFonts w:ascii="Arial" w:hAnsi="Arial" w:cs="Arial"/>
                <w:b/>
                <w:bCs/>
                <w:sz w:val="22"/>
              </w:rPr>
              <w:t>NAMJENA</w:t>
            </w:r>
          </w:p>
        </w:tc>
        <w:tc>
          <w:tcPr>
            <w:tcW w:w="3119" w:type="dxa"/>
            <w:gridSpan w:val="2"/>
            <w:shd w:val="clear" w:color="auto" w:fill="auto"/>
          </w:tcPr>
          <w:p w14:paraId="0AC924CD" w14:textId="77777777" w:rsidR="00BC7E60" w:rsidRPr="00497178" w:rsidRDefault="00BC7E60" w:rsidP="00512D52">
            <w:pPr>
              <w:jc w:val="center"/>
              <w:rPr>
                <w:rFonts w:ascii="Arial" w:hAnsi="Arial" w:cs="Arial"/>
                <w:b/>
                <w:bCs/>
                <w:sz w:val="22"/>
              </w:rPr>
            </w:pPr>
            <w:r w:rsidRPr="00497178">
              <w:rPr>
                <w:rFonts w:ascii="Arial" w:hAnsi="Arial" w:cs="Arial"/>
                <w:b/>
                <w:bCs/>
                <w:sz w:val="22"/>
              </w:rPr>
              <w:t>I z n o s</w:t>
            </w:r>
          </w:p>
        </w:tc>
        <w:tc>
          <w:tcPr>
            <w:tcW w:w="1701" w:type="dxa"/>
            <w:vMerge w:val="restart"/>
          </w:tcPr>
          <w:p w14:paraId="61958006" w14:textId="77777777" w:rsidR="00BC7E60" w:rsidRPr="00497178" w:rsidRDefault="00BC7E60" w:rsidP="00512D52">
            <w:pPr>
              <w:jc w:val="center"/>
              <w:rPr>
                <w:rFonts w:ascii="Arial" w:hAnsi="Arial" w:cs="Arial"/>
                <w:b/>
                <w:bCs/>
                <w:sz w:val="22"/>
              </w:rPr>
            </w:pPr>
            <w:r w:rsidRPr="00497178">
              <w:rPr>
                <w:rFonts w:ascii="Arial" w:hAnsi="Arial" w:cs="Arial"/>
                <w:b/>
                <w:bCs/>
                <w:sz w:val="22"/>
              </w:rPr>
              <w:t>Novi plan</w:t>
            </w:r>
          </w:p>
          <w:p w14:paraId="3F5D3ED2" w14:textId="77777777" w:rsidR="00BC7E60" w:rsidRPr="00497178" w:rsidRDefault="00BC7E60" w:rsidP="00512D52">
            <w:pPr>
              <w:jc w:val="center"/>
              <w:rPr>
                <w:rFonts w:ascii="Arial" w:hAnsi="Arial" w:cs="Arial"/>
                <w:b/>
                <w:bCs/>
                <w:sz w:val="22"/>
              </w:rPr>
            </w:pPr>
            <w:r w:rsidRPr="00497178">
              <w:rPr>
                <w:rFonts w:ascii="Arial" w:hAnsi="Arial" w:cs="Arial"/>
                <w:b/>
                <w:bCs/>
                <w:sz w:val="22"/>
              </w:rPr>
              <w:t>2025.</w:t>
            </w:r>
          </w:p>
        </w:tc>
        <w:tc>
          <w:tcPr>
            <w:tcW w:w="992" w:type="dxa"/>
            <w:vMerge w:val="restart"/>
            <w:shd w:val="clear" w:color="auto" w:fill="auto"/>
          </w:tcPr>
          <w:p w14:paraId="773FD38E" w14:textId="77777777" w:rsidR="00BC7E60" w:rsidRPr="00497178" w:rsidRDefault="00BC7E60" w:rsidP="00512D52">
            <w:pPr>
              <w:jc w:val="center"/>
              <w:rPr>
                <w:rFonts w:ascii="Arial" w:hAnsi="Arial" w:cs="Arial"/>
                <w:b/>
                <w:bCs/>
                <w:sz w:val="22"/>
              </w:rPr>
            </w:pPr>
            <w:r w:rsidRPr="00497178">
              <w:rPr>
                <w:rFonts w:ascii="Arial" w:hAnsi="Arial" w:cs="Arial"/>
                <w:b/>
                <w:bCs/>
                <w:sz w:val="22"/>
              </w:rPr>
              <w:t>Indeks</w:t>
            </w:r>
          </w:p>
          <w:p w14:paraId="66A3E38C" w14:textId="77777777" w:rsidR="00BC7E60" w:rsidRPr="00497178" w:rsidRDefault="00BC7E60" w:rsidP="00512D52">
            <w:pPr>
              <w:jc w:val="center"/>
              <w:rPr>
                <w:rFonts w:ascii="Arial" w:hAnsi="Arial" w:cs="Arial"/>
                <w:b/>
                <w:bCs/>
                <w:sz w:val="22"/>
              </w:rPr>
            </w:pPr>
            <w:r w:rsidRPr="00497178">
              <w:rPr>
                <w:rFonts w:ascii="Arial" w:hAnsi="Arial" w:cs="Arial"/>
                <w:b/>
                <w:bCs/>
                <w:sz w:val="22"/>
              </w:rPr>
              <w:t>5/3</w:t>
            </w:r>
          </w:p>
        </w:tc>
      </w:tr>
      <w:tr w:rsidR="00BC7E60" w:rsidRPr="00497178" w14:paraId="425FB798" w14:textId="77777777" w:rsidTr="00512D52">
        <w:trPr>
          <w:cantSplit/>
        </w:trPr>
        <w:tc>
          <w:tcPr>
            <w:tcW w:w="693" w:type="dxa"/>
            <w:vMerge/>
            <w:shd w:val="clear" w:color="auto" w:fill="auto"/>
          </w:tcPr>
          <w:p w14:paraId="714CFFBE" w14:textId="77777777" w:rsidR="00BC7E60" w:rsidRPr="00497178" w:rsidRDefault="00BC7E60" w:rsidP="00512D52">
            <w:pPr>
              <w:jc w:val="both"/>
              <w:rPr>
                <w:rFonts w:ascii="Arial" w:hAnsi="Arial" w:cs="Arial"/>
                <w:sz w:val="22"/>
              </w:rPr>
            </w:pPr>
          </w:p>
        </w:tc>
        <w:tc>
          <w:tcPr>
            <w:tcW w:w="2704" w:type="dxa"/>
            <w:vMerge/>
            <w:shd w:val="clear" w:color="auto" w:fill="auto"/>
          </w:tcPr>
          <w:p w14:paraId="31FC2106" w14:textId="77777777" w:rsidR="00BC7E60" w:rsidRPr="00497178" w:rsidRDefault="00BC7E60" w:rsidP="00512D52">
            <w:pPr>
              <w:jc w:val="both"/>
              <w:rPr>
                <w:rFonts w:ascii="Arial" w:hAnsi="Arial" w:cs="Arial"/>
                <w:sz w:val="22"/>
              </w:rPr>
            </w:pPr>
          </w:p>
        </w:tc>
        <w:tc>
          <w:tcPr>
            <w:tcW w:w="1536" w:type="dxa"/>
            <w:shd w:val="clear" w:color="auto" w:fill="auto"/>
          </w:tcPr>
          <w:p w14:paraId="308BA68B" w14:textId="77777777" w:rsidR="00BC7E60" w:rsidRPr="00497178" w:rsidRDefault="00BC7E60" w:rsidP="00512D52">
            <w:pPr>
              <w:jc w:val="center"/>
              <w:rPr>
                <w:rFonts w:ascii="Arial" w:hAnsi="Arial" w:cs="Arial"/>
                <w:b/>
                <w:bCs/>
                <w:sz w:val="22"/>
              </w:rPr>
            </w:pPr>
            <w:r w:rsidRPr="00497178">
              <w:rPr>
                <w:rFonts w:ascii="Arial" w:hAnsi="Arial" w:cs="Arial"/>
                <w:b/>
                <w:bCs/>
                <w:sz w:val="22"/>
              </w:rPr>
              <w:t xml:space="preserve">Plan 2025. </w:t>
            </w:r>
          </w:p>
        </w:tc>
        <w:tc>
          <w:tcPr>
            <w:tcW w:w="1583" w:type="dxa"/>
            <w:shd w:val="clear" w:color="auto" w:fill="auto"/>
          </w:tcPr>
          <w:p w14:paraId="7880E148" w14:textId="77777777" w:rsidR="00BC7E60" w:rsidRPr="00497178" w:rsidRDefault="00BC7E60" w:rsidP="00512D52">
            <w:pPr>
              <w:jc w:val="center"/>
              <w:rPr>
                <w:rFonts w:ascii="Arial" w:hAnsi="Arial" w:cs="Arial"/>
                <w:b/>
                <w:bCs/>
                <w:sz w:val="22"/>
              </w:rPr>
            </w:pPr>
            <w:r w:rsidRPr="00497178">
              <w:rPr>
                <w:rFonts w:ascii="Arial" w:hAnsi="Arial" w:cs="Arial"/>
                <w:b/>
                <w:bCs/>
                <w:sz w:val="22"/>
              </w:rPr>
              <w:t>Povećanje</w:t>
            </w:r>
          </w:p>
          <w:p w14:paraId="034F8F9B" w14:textId="77777777" w:rsidR="00BC7E60" w:rsidRPr="00497178" w:rsidRDefault="00BC7E60" w:rsidP="00512D52">
            <w:pPr>
              <w:jc w:val="center"/>
              <w:rPr>
                <w:rFonts w:ascii="Arial" w:hAnsi="Arial" w:cs="Arial"/>
                <w:b/>
                <w:bCs/>
                <w:sz w:val="22"/>
              </w:rPr>
            </w:pPr>
            <w:r w:rsidRPr="00497178">
              <w:rPr>
                <w:rFonts w:ascii="Arial" w:hAnsi="Arial" w:cs="Arial"/>
                <w:b/>
                <w:bCs/>
                <w:sz w:val="22"/>
              </w:rPr>
              <w:t>/ smanjenje</w:t>
            </w:r>
          </w:p>
        </w:tc>
        <w:tc>
          <w:tcPr>
            <w:tcW w:w="1701" w:type="dxa"/>
            <w:vMerge/>
          </w:tcPr>
          <w:p w14:paraId="1E44D7F2" w14:textId="77777777" w:rsidR="00BC7E60" w:rsidRPr="00497178" w:rsidRDefault="00BC7E60" w:rsidP="00512D52">
            <w:pPr>
              <w:jc w:val="both"/>
              <w:rPr>
                <w:rFonts w:ascii="Arial" w:hAnsi="Arial" w:cs="Arial"/>
                <w:b/>
                <w:bCs/>
                <w:sz w:val="22"/>
              </w:rPr>
            </w:pPr>
          </w:p>
        </w:tc>
        <w:tc>
          <w:tcPr>
            <w:tcW w:w="992" w:type="dxa"/>
            <w:vMerge/>
            <w:shd w:val="clear" w:color="auto" w:fill="auto"/>
          </w:tcPr>
          <w:p w14:paraId="521D1FF4" w14:textId="77777777" w:rsidR="00BC7E60" w:rsidRPr="00497178" w:rsidRDefault="00BC7E60" w:rsidP="00512D52">
            <w:pPr>
              <w:jc w:val="both"/>
              <w:rPr>
                <w:rFonts w:ascii="Arial" w:hAnsi="Arial" w:cs="Arial"/>
                <w:b/>
                <w:bCs/>
                <w:sz w:val="22"/>
              </w:rPr>
            </w:pPr>
          </w:p>
        </w:tc>
      </w:tr>
      <w:tr w:rsidR="00BC7E60" w:rsidRPr="00497178" w14:paraId="58168E1D" w14:textId="77777777" w:rsidTr="00512D52">
        <w:tc>
          <w:tcPr>
            <w:tcW w:w="693" w:type="dxa"/>
            <w:shd w:val="clear" w:color="auto" w:fill="auto"/>
          </w:tcPr>
          <w:p w14:paraId="6D1327E5" w14:textId="77777777" w:rsidR="00BC7E60" w:rsidRPr="00497178" w:rsidRDefault="00BC7E60" w:rsidP="00512D52">
            <w:pPr>
              <w:jc w:val="center"/>
              <w:rPr>
                <w:rFonts w:ascii="Arial" w:hAnsi="Arial" w:cs="Arial"/>
                <w:b/>
                <w:bCs/>
                <w:sz w:val="22"/>
              </w:rPr>
            </w:pPr>
            <w:r w:rsidRPr="00497178">
              <w:rPr>
                <w:rFonts w:ascii="Arial" w:hAnsi="Arial" w:cs="Arial"/>
                <w:b/>
                <w:bCs/>
                <w:sz w:val="22"/>
              </w:rPr>
              <w:t>1</w:t>
            </w:r>
          </w:p>
        </w:tc>
        <w:tc>
          <w:tcPr>
            <w:tcW w:w="2704" w:type="dxa"/>
            <w:shd w:val="clear" w:color="auto" w:fill="auto"/>
          </w:tcPr>
          <w:p w14:paraId="12EE68B1" w14:textId="77777777" w:rsidR="00BC7E60" w:rsidRPr="00497178" w:rsidRDefault="00BC7E60" w:rsidP="00512D52">
            <w:pPr>
              <w:jc w:val="center"/>
              <w:rPr>
                <w:rFonts w:ascii="Arial" w:hAnsi="Arial" w:cs="Arial"/>
                <w:b/>
                <w:bCs/>
                <w:sz w:val="22"/>
              </w:rPr>
            </w:pPr>
            <w:r w:rsidRPr="00497178">
              <w:rPr>
                <w:rFonts w:ascii="Arial" w:hAnsi="Arial" w:cs="Arial"/>
                <w:b/>
                <w:bCs/>
                <w:sz w:val="22"/>
              </w:rPr>
              <w:t>2</w:t>
            </w:r>
          </w:p>
        </w:tc>
        <w:tc>
          <w:tcPr>
            <w:tcW w:w="1536" w:type="dxa"/>
            <w:shd w:val="clear" w:color="auto" w:fill="auto"/>
          </w:tcPr>
          <w:p w14:paraId="5F330260" w14:textId="77777777" w:rsidR="00BC7E60" w:rsidRPr="00497178" w:rsidRDefault="00BC7E60" w:rsidP="00512D52">
            <w:pPr>
              <w:jc w:val="center"/>
              <w:rPr>
                <w:rFonts w:ascii="Arial" w:hAnsi="Arial" w:cs="Arial"/>
                <w:b/>
                <w:bCs/>
                <w:sz w:val="22"/>
              </w:rPr>
            </w:pPr>
            <w:r w:rsidRPr="00497178">
              <w:rPr>
                <w:rFonts w:ascii="Arial" w:hAnsi="Arial" w:cs="Arial"/>
                <w:b/>
                <w:bCs/>
                <w:sz w:val="22"/>
              </w:rPr>
              <w:t>3</w:t>
            </w:r>
          </w:p>
        </w:tc>
        <w:tc>
          <w:tcPr>
            <w:tcW w:w="1583" w:type="dxa"/>
            <w:shd w:val="clear" w:color="auto" w:fill="auto"/>
          </w:tcPr>
          <w:p w14:paraId="42EEFFEE" w14:textId="77777777" w:rsidR="00BC7E60" w:rsidRPr="00497178" w:rsidRDefault="00BC7E60" w:rsidP="00512D52">
            <w:pPr>
              <w:jc w:val="center"/>
              <w:rPr>
                <w:rFonts w:ascii="Arial" w:hAnsi="Arial" w:cs="Arial"/>
                <w:b/>
                <w:bCs/>
                <w:sz w:val="22"/>
              </w:rPr>
            </w:pPr>
            <w:r w:rsidRPr="00497178">
              <w:rPr>
                <w:rFonts w:ascii="Arial" w:hAnsi="Arial" w:cs="Arial"/>
                <w:b/>
                <w:bCs/>
                <w:sz w:val="22"/>
              </w:rPr>
              <w:t>4</w:t>
            </w:r>
          </w:p>
        </w:tc>
        <w:tc>
          <w:tcPr>
            <w:tcW w:w="1701" w:type="dxa"/>
          </w:tcPr>
          <w:p w14:paraId="65DD2C3E" w14:textId="77777777" w:rsidR="00BC7E60" w:rsidRPr="00497178" w:rsidRDefault="00BC7E60" w:rsidP="00512D52">
            <w:pPr>
              <w:jc w:val="center"/>
              <w:rPr>
                <w:rFonts w:ascii="Arial" w:hAnsi="Arial" w:cs="Arial"/>
                <w:b/>
                <w:bCs/>
                <w:sz w:val="22"/>
              </w:rPr>
            </w:pPr>
            <w:r w:rsidRPr="00497178">
              <w:rPr>
                <w:rFonts w:ascii="Arial" w:hAnsi="Arial" w:cs="Arial"/>
                <w:b/>
                <w:bCs/>
                <w:sz w:val="22"/>
              </w:rPr>
              <w:t>5</w:t>
            </w:r>
          </w:p>
        </w:tc>
        <w:tc>
          <w:tcPr>
            <w:tcW w:w="992" w:type="dxa"/>
            <w:shd w:val="clear" w:color="auto" w:fill="auto"/>
          </w:tcPr>
          <w:p w14:paraId="70F73E1B" w14:textId="77777777" w:rsidR="00BC7E60" w:rsidRPr="00497178" w:rsidRDefault="00BC7E60" w:rsidP="00512D52">
            <w:pPr>
              <w:jc w:val="center"/>
              <w:rPr>
                <w:rFonts w:ascii="Arial" w:hAnsi="Arial" w:cs="Arial"/>
                <w:b/>
                <w:bCs/>
                <w:sz w:val="22"/>
              </w:rPr>
            </w:pPr>
            <w:r w:rsidRPr="00497178">
              <w:rPr>
                <w:rFonts w:ascii="Arial" w:hAnsi="Arial" w:cs="Arial"/>
                <w:b/>
                <w:bCs/>
                <w:sz w:val="22"/>
              </w:rPr>
              <w:t>6</w:t>
            </w:r>
          </w:p>
        </w:tc>
      </w:tr>
      <w:tr w:rsidR="00BC7E60" w:rsidRPr="00497178" w14:paraId="2D0D3753" w14:textId="77777777" w:rsidTr="00512D52">
        <w:tc>
          <w:tcPr>
            <w:tcW w:w="693" w:type="dxa"/>
            <w:shd w:val="clear" w:color="auto" w:fill="auto"/>
          </w:tcPr>
          <w:p w14:paraId="7456D58F" w14:textId="77777777" w:rsidR="00BC7E60" w:rsidRPr="00497178" w:rsidRDefault="00BC7E60" w:rsidP="00512D52">
            <w:pPr>
              <w:jc w:val="both"/>
              <w:rPr>
                <w:rFonts w:ascii="Arial" w:hAnsi="Arial" w:cs="Arial"/>
                <w:sz w:val="22"/>
              </w:rPr>
            </w:pPr>
            <w:r w:rsidRPr="00497178">
              <w:rPr>
                <w:rFonts w:ascii="Arial" w:hAnsi="Arial" w:cs="Arial"/>
                <w:sz w:val="22"/>
              </w:rPr>
              <w:t>1.</w:t>
            </w:r>
          </w:p>
        </w:tc>
        <w:tc>
          <w:tcPr>
            <w:tcW w:w="2704" w:type="dxa"/>
            <w:shd w:val="clear" w:color="auto" w:fill="auto"/>
          </w:tcPr>
          <w:p w14:paraId="424BC5C9" w14:textId="77777777" w:rsidR="00BC7E60" w:rsidRPr="00497178" w:rsidRDefault="00BC7E60" w:rsidP="00512D52">
            <w:pPr>
              <w:jc w:val="both"/>
              <w:rPr>
                <w:rFonts w:ascii="Arial" w:hAnsi="Arial" w:cs="Arial"/>
                <w:sz w:val="22"/>
              </w:rPr>
            </w:pPr>
            <w:r w:rsidRPr="00497178">
              <w:rPr>
                <w:rFonts w:ascii="Arial" w:hAnsi="Arial" w:cs="Arial"/>
                <w:sz w:val="22"/>
              </w:rPr>
              <w:t>Zemljište, nematerijalna imovina – 4111, 4123, 4124</w:t>
            </w:r>
          </w:p>
        </w:tc>
        <w:tc>
          <w:tcPr>
            <w:tcW w:w="1536" w:type="dxa"/>
            <w:shd w:val="clear" w:color="auto" w:fill="auto"/>
            <w:vAlign w:val="center"/>
          </w:tcPr>
          <w:p w14:paraId="6FEF8D27" w14:textId="77777777" w:rsidR="00BC7E60" w:rsidRPr="00497178" w:rsidRDefault="00BC7E60" w:rsidP="00512D52">
            <w:pPr>
              <w:jc w:val="right"/>
              <w:rPr>
                <w:rFonts w:ascii="Arial" w:hAnsi="Arial" w:cs="Arial"/>
                <w:sz w:val="22"/>
              </w:rPr>
            </w:pPr>
            <w:r w:rsidRPr="00497178">
              <w:rPr>
                <w:rFonts w:ascii="Arial" w:hAnsi="Arial" w:cs="Arial"/>
                <w:sz w:val="22"/>
              </w:rPr>
              <w:t>500.936,00</w:t>
            </w:r>
          </w:p>
        </w:tc>
        <w:tc>
          <w:tcPr>
            <w:tcW w:w="1583" w:type="dxa"/>
            <w:shd w:val="clear" w:color="auto" w:fill="auto"/>
            <w:vAlign w:val="center"/>
          </w:tcPr>
          <w:p w14:paraId="540708E7" w14:textId="77777777" w:rsidR="00BC7E60" w:rsidRPr="00497178" w:rsidRDefault="00BC7E60" w:rsidP="00512D52">
            <w:pPr>
              <w:jc w:val="right"/>
              <w:rPr>
                <w:rFonts w:ascii="Arial" w:hAnsi="Arial" w:cs="Arial"/>
                <w:sz w:val="22"/>
              </w:rPr>
            </w:pPr>
            <w:r w:rsidRPr="00497178">
              <w:rPr>
                <w:rFonts w:ascii="Arial" w:hAnsi="Arial" w:cs="Arial"/>
                <w:sz w:val="22"/>
              </w:rPr>
              <w:t>-282.155,00</w:t>
            </w:r>
          </w:p>
        </w:tc>
        <w:tc>
          <w:tcPr>
            <w:tcW w:w="1701" w:type="dxa"/>
            <w:vAlign w:val="center"/>
          </w:tcPr>
          <w:p w14:paraId="2CED69F3" w14:textId="77777777" w:rsidR="00BC7E60" w:rsidRPr="00497178" w:rsidRDefault="00BC7E60" w:rsidP="00512D52">
            <w:pPr>
              <w:jc w:val="right"/>
              <w:rPr>
                <w:rFonts w:ascii="Arial" w:hAnsi="Arial" w:cs="Arial"/>
                <w:sz w:val="22"/>
              </w:rPr>
            </w:pPr>
            <w:r w:rsidRPr="00497178">
              <w:rPr>
                <w:rFonts w:ascii="Arial" w:hAnsi="Arial" w:cs="Arial"/>
                <w:sz w:val="22"/>
              </w:rPr>
              <w:t>218.781,00</w:t>
            </w:r>
          </w:p>
        </w:tc>
        <w:tc>
          <w:tcPr>
            <w:tcW w:w="992" w:type="dxa"/>
            <w:shd w:val="clear" w:color="auto" w:fill="auto"/>
            <w:vAlign w:val="center"/>
          </w:tcPr>
          <w:p w14:paraId="2B065590" w14:textId="77777777" w:rsidR="00BC7E60" w:rsidRPr="00497178" w:rsidRDefault="00BC7E60" w:rsidP="00512D52">
            <w:pPr>
              <w:jc w:val="right"/>
              <w:rPr>
                <w:rFonts w:ascii="Arial" w:hAnsi="Arial" w:cs="Arial"/>
                <w:sz w:val="22"/>
              </w:rPr>
            </w:pPr>
            <w:r w:rsidRPr="00497178">
              <w:rPr>
                <w:rFonts w:ascii="Arial" w:hAnsi="Arial" w:cs="Arial"/>
                <w:sz w:val="22"/>
              </w:rPr>
              <w:t>43,67</w:t>
            </w:r>
          </w:p>
        </w:tc>
      </w:tr>
      <w:tr w:rsidR="00BC7E60" w:rsidRPr="00497178" w14:paraId="431CBE6D" w14:textId="77777777" w:rsidTr="00512D52">
        <w:tc>
          <w:tcPr>
            <w:tcW w:w="693" w:type="dxa"/>
            <w:shd w:val="clear" w:color="auto" w:fill="auto"/>
          </w:tcPr>
          <w:p w14:paraId="6F1045F6" w14:textId="77777777" w:rsidR="00BC7E60" w:rsidRPr="00497178" w:rsidRDefault="00BC7E60" w:rsidP="00512D52">
            <w:pPr>
              <w:jc w:val="both"/>
              <w:rPr>
                <w:rFonts w:ascii="Arial" w:hAnsi="Arial" w:cs="Arial"/>
                <w:sz w:val="22"/>
              </w:rPr>
            </w:pPr>
            <w:r w:rsidRPr="00497178">
              <w:rPr>
                <w:rFonts w:ascii="Arial" w:hAnsi="Arial" w:cs="Arial"/>
                <w:sz w:val="22"/>
              </w:rPr>
              <w:t xml:space="preserve">2. </w:t>
            </w:r>
          </w:p>
        </w:tc>
        <w:tc>
          <w:tcPr>
            <w:tcW w:w="2704" w:type="dxa"/>
            <w:shd w:val="clear" w:color="auto" w:fill="auto"/>
          </w:tcPr>
          <w:p w14:paraId="5E58F443" w14:textId="77777777" w:rsidR="00BC7E60" w:rsidRPr="00497178" w:rsidRDefault="00BC7E60" w:rsidP="00512D52">
            <w:pPr>
              <w:jc w:val="both"/>
              <w:rPr>
                <w:rFonts w:ascii="Arial" w:hAnsi="Arial" w:cs="Arial"/>
                <w:sz w:val="22"/>
              </w:rPr>
            </w:pPr>
            <w:r w:rsidRPr="00497178">
              <w:rPr>
                <w:rFonts w:ascii="Arial" w:hAnsi="Arial" w:cs="Arial"/>
                <w:sz w:val="22"/>
              </w:rPr>
              <w:t>Knjige, umjetnička djela i ostalo – 4241, 4243</w:t>
            </w:r>
          </w:p>
        </w:tc>
        <w:tc>
          <w:tcPr>
            <w:tcW w:w="1536" w:type="dxa"/>
            <w:shd w:val="clear" w:color="auto" w:fill="auto"/>
            <w:vAlign w:val="center"/>
          </w:tcPr>
          <w:p w14:paraId="159F9EF6" w14:textId="77777777" w:rsidR="00BC7E60" w:rsidRPr="00497178" w:rsidRDefault="00BC7E60" w:rsidP="00512D52">
            <w:pPr>
              <w:jc w:val="right"/>
              <w:rPr>
                <w:rFonts w:ascii="Arial" w:hAnsi="Arial" w:cs="Arial"/>
                <w:sz w:val="22"/>
              </w:rPr>
            </w:pPr>
            <w:r w:rsidRPr="00497178">
              <w:rPr>
                <w:rFonts w:ascii="Arial" w:hAnsi="Arial" w:cs="Arial"/>
                <w:sz w:val="22"/>
              </w:rPr>
              <w:t>69.761,00</w:t>
            </w:r>
          </w:p>
        </w:tc>
        <w:tc>
          <w:tcPr>
            <w:tcW w:w="1583" w:type="dxa"/>
            <w:shd w:val="clear" w:color="auto" w:fill="auto"/>
            <w:vAlign w:val="center"/>
          </w:tcPr>
          <w:p w14:paraId="27A1F712" w14:textId="77777777" w:rsidR="00BC7E60" w:rsidRPr="00497178" w:rsidRDefault="00BC7E60" w:rsidP="00512D52">
            <w:pPr>
              <w:jc w:val="right"/>
              <w:rPr>
                <w:rFonts w:ascii="Arial" w:hAnsi="Arial" w:cs="Arial"/>
                <w:sz w:val="22"/>
              </w:rPr>
            </w:pPr>
            <w:r w:rsidRPr="00497178">
              <w:rPr>
                <w:rFonts w:ascii="Arial" w:hAnsi="Arial" w:cs="Arial"/>
                <w:sz w:val="22"/>
              </w:rPr>
              <w:t>668,00</w:t>
            </w:r>
          </w:p>
        </w:tc>
        <w:tc>
          <w:tcPr>
            <w:tcW w:w="1701" w:type="dxa"/>
            <w:vAlign w:val="center"/>
          </w:tcPr>
          <w:p w14:paraId="0B902DC2" w14:textId="77777777" w:rsidR="00BC7E60" w:rsidRPr="00497178" w:rsidRDefault="00BC7E60" w:rsidP="00512D52">
            <w:pPr>
              <w:jc w:val="right"/>
              <w:rPr>
                <w:rFonts w:ascii="Arial" w:hAnsi="Arial" w:cs="Arial"/>
                <w:sz w:val="22"/>
              </w:rPr>
            </w:pPr>
            <w:r w:rsidRPr="00497178">
              <w:rPr>
                <w:rFonts w:ascii="Arial" w:hAnsi="Arial" w:cs="Arial"/>
                <w:sz w:val="22"/>
              </w:rPr>
              <w:t>70.429,00</w:t>
            </w:r>
          </w:p>
        </w:tc>
        <w:tc>
          <w:tcPr>
            <w:tcW w:w="992" w:type="dxa"/>
            <w:shd w:val="clear" w:color="auto" w:fill="auto"/>
            <w:vAlign w:val="center"/>
          </w:tcPr>
          <w:p w14:paraId="35381224" w14:textId="77777777" w:rsidR="00BC7E60" w:rsidRPr="00497178" w:rsidRDefault="00BC7E60" w:rsidP="00512D52">
            <w:pPr>
              <w:jc w:val="right"/>
              <w:rPr>
                <w:rFonts w:ascii="Arial" w:hAnsi="Arial" w:cs="Arial"/>
                <w:sz w:val="22"/>
              </w:rPr>
            </w:pPr>
            <w:r w:rsidRPr="00497178">
              <w:rPr>
                <w:rFonts w:ascii="Arial" w:hAnsi="Arial" w:cs="Arial"/>
                <w:sz w:val="22"/>
              </w:rPr>
              <w:t>100,96</w:t>
            </w:r>
          </w:p>
        </w:tc>
      </w:tr>
      <w:tr w:rsidR="00BC7E60" w:rsidRPr="00497178" w14:paraId="3783E636" w14:textId="77777777" w:rsidTr="00512D52">
        <w:tc>
          <w:tcPr>
            <w:tcW w:w="693" w:type="dxa"/>
            <w:shd w:val="clear" w:color="auto" w:fill="auto"/>
          </w:tcPr>
          <w:p w14:paraId="40C24326" w14:textId="77777777" w:rsidR="00BC7E60" w:rsidRPr="00497178" w:rsidRDefault="00BC7E60" w:rsidP="00512D52">
            <w:pPr>
              <w:jc w:val="both"/>
              <w:rPr>
                <w:rFonts w:ascii="Arial" w:hAnsi="Arial" w:cs="Arial"/>
                <w:sz w:val="22"/>
              </w:rPr>
            </w:pPr>
            <w:r w:rsidRPr="00497178">
              <w:rPr>
                <w:rFonts w:ascii="Arial" w:hAnsi="Arial" w:cs="Arial"/>
                <w:sz w:val="22"/>
              </w:rPr>
              <w:t>3.</w:t>
            </w:r>
          </w:p>
        </w:tc>
        <w:tc>
          <w:tcPr>
            <w:tcW w:w="2704" w:type="dxa"/>
            <w:shd w:val="clear" w:color="auto" w:fill="auto"/>
          </w:tcPr>
          <w:p w14:paraId="7796E3B1" w14:textId="77777777" w:rsidR="00BC7E60" w:rsidRPr="00497178" w:rsidRDefault="00BC7E60" w:rsidP="00512D52">
            <w:pPr>
              <w:jc w:val="both"/>
              <w:rPr>
                <w:rFonts w:ascii="Arial" w:hAnsi="Arial" w:cs="Arial"/>
                <w:sz w:val="22"/>
              </w:rPr>
            </w:pPr>
            <w:r w:rsidRPr="00497178">
              <w:rPr>
                <w:rFonts w:ascii="Arial" w:hAnsi="Arial" w:cs="Arial"/>
                <w:sz w:val="22"/>
              </w:rPr>
              <w:t>Računalni programi- 4262</w:t>
            </w:r>
          </w:p>
        </w:tc>
        <w:tc>
          <w:tcPr>
            <w:tcW w:w="1536" w:type="dxa"/>
            <w:shd w:val="clear" w:color="auto" w:fill="auto"/>
            <w:vAlign w:val="center"/>
          </w:tcPr>
          <w:p w14:paraId="72A9E3CD" w14:textId="77777777" w:rsidR="00BC7E60" w:rsidRPr="00497178" w:rsidRDefault="00BC7E60" w:rsidP="00512D52">
            <w:pPr>
              <w:jc w:val="right"/>
              <w:rPr>
                <w:rFonts w:ascii="Arial" w:hAnsi="Arial" w:cs="Arial"/>
                <w:sz w:val="22"/>
              </w:rPr>
            </w:pPr>
            <w:r w:rsidRPr="00497178">
              <w:rPr>
                <w:rFonts w:ascii="Arial" w:hAnsi="Arial" w:cs="Arial"/>
                <w:sz w:val="22"/>
              </w:rPr>
              <w:t>5.000,00</w:t>
            </w:r>
          </w:p>
        </w:tc>
        <w:tc>
          <w:tcPr>
            <w:tcW w:w="1583" w:type="dxa"/>
            <w:shd w:val="clear" w:color="auto" w:fill="auto"/>
            <w:vAlign w:val="center"/>
          </w:tcPr>
          <w:p w14:paraId="7A951BE4" w14:textId="77777777" w:rsidR="00BC7E60" w:rsidRPr="00497178" w:rsidRDefault="00BC7E60" w:rsidP="00512D52">
            <w:pPr>
              <w:jc w:val="right"/>
              <w:rPr>
                <w:rFonts w:ascii="Arial" w:hAnsi="Arial" w:cs="Arial"/>
                <w:sz w:val="22"/>
              </w:rPr>
            </w:pPr>
            <w:r w:rsidRPr="00497178">
              <w:rPr>
                <w:rFonts w:ascii="Arial" w:hAnsi="Arial" w:cs="Arial"/>
                <w:sz w:val="22"/>
              </w:rPr>
              <w:t>3.000,00</w:t>
            </w:r>
          </w:p>
        </w:tc>
        <w:tc>
          <w:tcPr>
            <w:tcW w:w="1701" w:type="dxa"/>
            <w:vAlign w:val="center"/>
          </w:tcPr>
          <w:p w14:paraId="455BF3BD" w14:textId="77777777" w:rsidR="00BC7E60" w:rsidRPr="00497178" w:rsidRDefault="00BC7E60" w:rsidP="00512D52">
            <w:pPr>
              <w:jc w:val="right"/>
              <w:rPr>
                <w:rFonts w:ascii="Arial" w:hAnsi="Arial" w:cs="Arial"/>
                <w:sz w:val="22"/>
              </w:rPr>
            </w:pPr>
            <w:r w:rsidRPr="00497178">
              <w:rPr>
                <w:rFonts w:ascii="Arial" w:hAnsi="Arial" w:cs="Arial"/>
                <w:sz w:val="22"/>
              </w:rPr>
              <w:t>8.000,00</w:t>
            </w:r>
          </w:p>
        </w:tc>
        <w:tc>
          <w:tcPr>
            <w:tcW w:w="992" w:type="dxa"/>
            <w:shd w:val="clear" w:color="auto" w:fill="auto"/>
            <w:vAlign w:val="center"/>
          </w:tcPr>
          <w:p w14:paraId="73A26183" w14:textId="77777777" w:rsidR="00BC7E60" w:rsidRPr="00497178" w:rsidRDefault="00BC7E60" w:rsidP="00512D52">
            <w:pPr>
              <w:jc w:val="right"/>
              <w:rPr>
                <w:rFonts w:ascii="Arial" w:hAnsi="Arial" w:cs="Arial"/>
                <w:sz w:val="22"/>
              </w:rPr>
            </w:pPr>
            <w:r w:rsidRPr="00497178">
              <w:rPr>
                <w:rFonts w:ascii="Arial" w:hAnsi="Arial" w:cs="Arial"/>
                <w:sz w:val="22"/>
              </w:rPr>
              <w:t>160,00</w:t>
            </w:r>
          </w:p>
        </w:tc>
      </w:tr>
      <w:tr w:rsidR="00BC7E60" w:rsidRPr="00497178" w14:paraId="7F3B78C0" w14:textId="77777777" w:rsidTr="00512D52">
        <w:tc>
          <w:tcPr>
            <w:tcW w:w="693" w:type="dxa"/>
            <w:shd w:val="clear" w:color="auto" w:fill="auto"/>
            <w:vAlign w:val="bottom"/>
          </w:tcPr>
          <w:p w14:paraId="5A2376C3" w14:textId="77777777" w:rsidR="00BC7E60" w:rsidRPr="00497178" w:rsidRDefault="00BC7E60" w:rsidP="00512D52">
            <w:pPr>
              <w:rPr>
                <w:rFonts w:ascii="Arial" w:hAnsi="Arial" w:cs="Arial"/>
                <w:sz w:val="22"/>
              </w:rPr>
            </w:pPr>
            <w:r w:rsidRPr="00497178">
              <w:rPr>
                <w:rFonts w:ascii="Arial" w:hAnsi="Arial" w:cs="Arial"/>
                <w:sz w:val="22"/>
              </w:rPr>
              <w:t>4.</w:t>
            </w:r>
          </w:p>
        </w:tc>
        <w:tc>
          <w:tcPr>
            <w:tcW w:w="2704" w:type="dxa"/>
            <w:shd w:val="clear" w:color="auto" w:fill="auto"/>
          </w:tcPr>
          <w:p w14:paraId="1D900C2E" w14:textId="77777777" w:rsidR="00BC7E60" w:rsidRPr="00497178" w:rsidRDefault="00BC7E60" w:rsidP="00512D52">
            <w:pPr>
              <w:jc w:val="both"/>
              <w:rPr>
                <w:rFonts w:ascii="Arial" w:hAnsi="Arial" w:cs="Arial"/>
                <w:sz w:val="22"/>
              </w:rPr>
            </w:pPr>
            <w:r w:rsidRPr="00497178">
              <w:rPr>
                <w:rFonts w:ascii="Arial" w:hAnsi="Arial" w:cs="Arial"/>
                <w:sz w:val="22"/>
              </w:rPr>
              <w:t xml:space="preserve">Umjetnička, </w:t>
            </w:r>
            <w:proofErr w:type="spellStart"/>
            <w:r w:rsidRPr="00497178">
              <w:rPr>
                <w:rFonts w:ascii="Arial" w:hAnsi="Arial" w:cs="Arial"/>
                <w:sz w:val="22"/>
              </w:rPr>
              <w:t>liter</w:t>
            </w:r>
            <w:proofErr w:type="spellEnd"/>
            <w:r w:rsidRPr="00497178">
              <w:rPr>
                <w:rFonts w:ascii="Arial" w:hAnsi="Arial" w:cs="Arial"/>
                <w:sz w:val="22"/>
              </w:rPr>
              <w:t>. i znan. djela (planovi i stručne podloge) – 4263</w:t>
            </w:r>
          </w:p>
        </w:tc>
        <w:tc>
          <w:tcPr>
            <w:tcW w:w="1536" w:type="dxa"/>
            <w:shd w:val="clear" w:color="auto" w:fill="auto"/>
            <w:vAlign w:val="center"/>
          </w:tcPr>
          <w:p w14:paraId="3A30056C" w14:textId="77777777" w:rsidR="00BC7E60" w:rsidRPr="00497178" w:rsidRDefault="00BC7E60" w:rsidP="00512D52">
            <w:pPr>
              <w:jc w:val="right"/>
              <w:rPr>
                <w:rFonts w:ascii="Arial" w:hAnsi="Arial" w:cs="Arial"/>
                <w:sz w:val="22"/>
              </w:rPr>
            </w:pPr>
            <w:r w:rsidRPr="00497178">
              <w:rPr>
                <w:rFonts w:ascii="Arial" w:hAnsi="Arial" w:cs="Arial"/>
                <w:sz w:val="22"/>
              </w:rPr>
              <w:t>128.908,00</w:t>
            </w:r>
          </w:p>
        </w:tc>
        <w:tc>
          <w:tcPr>
            <w:tcW w:w="1583" w:type="dxa"/>
            <w:shd w:val="clear" w:color="auto" w:fill="auto"/>
            <w:vAlign w:val="center"/>
          </w:tcPr>
          <w:p w14:paraId="5F4CC95D" w14:textId="77777777" w:rsidR="00BC7E60" w:rsidRPr="00497178" w:rsidRDefault="00BC7E60" w:rsidP="00512D52">
            <w:pPr>
              <w:jc w:val="right"/>
              <w:rPr>
                <w:rFonts w:ascii="Arial" w:hAnsi="Arial" w:cs="Arial"/>
                <w:sz w:val="22"/>
              </w:rPr>
            </w:pPr>
            <w:r w:rsidRPr="00497178">
              <w:rPr>
                <w:rFonts w:ascii="Arial" w:hAnsi="Arial" w:cs="Arial"/>
                <w:sz w:val="22"/>
              </w:rPr>
              <w:t>-12.059,00</w:t>
            </w:r>
          </w:p>
        </w:tc>
        <w:tc>
          <w:tcPr>
            <w:tcW w:w="1701" w:type="dxa"/>
            <w:vAlign w:val="center"/>
          </w:tcPr>
          <w:p w14:paraId="1FD5D96B" w14:textId="77777777" w:rsidR="00BC7E60" w:rsidRPr="00497178" w:rsidRDefault="00BC7E60" w:rsidP="00512D52">
            <w:pPr>
              <w:jc w:val="right"/>
              <w:rPr>
                <w:rFonts w:ascii="Arial" w:hAnsi="Arial" w:cs="Arial"/>
                <w:sz w:val="22"/>
              </w:rPr>
            </w:pPr>
            <w:r w:rsidRPr="00497178">
              <w:rPr>
                <w:rFonts w:ascii="Arial" w:hAnsi="Arial" w:cs="Arial"/>
                <w:sz w:val="22"/>
              </w:rPr>
              <w:t>116.849,00</w:t>
            </w:r>
          </w:p>
        </w:tc>
        <w:tc>
          <w:tcPr>
            <w:tcW w:w="992" w:type="dxa"/>
            <w:shd w:val="clear" w:color="auto" w:fill="auto"/>
            <w:vAlign w:val="center"/>
          </w:tcPr>
          <w:p w14:paraId="6A028F2C" w14:textId="77777777" w:rsidR="00BC7E60" w:rsidRPr="00497178" w:rsidRDefault="00BC7E60" w:rsidP="00512D52">
            <w:pPr>
              <w:jc w:val="right"/>
              <w:rPr>
                <w:rFonts w:ascii="Arial" w:hAnsi="Arial" w:cs="Arial"/>
                <w:sz w:val="22"/>
              </w:rPr>
            </w:pPr>
            <w:r w:rsidRPr="00497178">
              <w:rPr>
                <w:rFonts w:ascii="Arial" w:hAnsi="Arial" w:cs="Arial"/>
                <w:sz w:val="22"/>
              </w:rPr>
              <w:t>90,65</w:t>
            </w:r>
          </w:p>
        </w:tc>
      </w:tr>
      <w:tr w:rsidR="00BC7E60" w:rsidRPr="00497178" w14:paraId="0F2739B2" w14:textId="77777777" w:rsidTr="00512D52">
        <w:tc>
          <w:tcPr>
            <w:tcW w:w="693" w:type="dxa"/>
            <w:shd w:val="clear" w:color="auto" w:fill="auto"/>
          </w:tcPr>
          <w:p w14:paraId="279461ED" w14:textId="77777777" w:rsidR="00BC7E60" w:rsidRPr="00497178" w:rsidRDefault="00BC7E60" w:rsidP="00512D52">
            <w:pPr>
              <w:jc w:val="both"/>
              <w:rPr>
                <w:rFonts w:ascii="Arial" w:hAnsi="Arial" w:cs="Arial"/>
                <w:sz w:val="22"/>
              </w:rPr>
            </w:pPr>
            <w:r w:rsidRPr="00497178">
              <w:rPr>
                <w:rFonts w:ascii="Arial" w:hAnsi="Arial" w:cs="Arial"/>
                <w:sz w:val="22"/>
              </w:rPr>
              <w:t>5.</w:t>
            </w:r>
          </w:p>
        </w:tc>
        <w:tc>
          <w:tcPr>
            <w:tcW w:w="2704" w:type="dxa"/>
            <w:shd w:val="clear" w:color="auto" w:fill="auto"/>
          </w:tcPr>
          <w:p w14:paraId="027D8476" w14:textId="77777777" w:rsidR="00BC7E60" w:rsidRPr="00497178" w:rsidRDefault="00BC7E60" w:rsidP="00512D52">
            <w:pPr>
              <w:jc w:val="both"/>
              <w:rPr>
                <w:rFonts w:ascii="Arial" w:hAnsi="Arial" w:cs="Arial"/>
                <w:sz w:val="22"/>
              </w:rPr>
            </w:pPr>
            <w:r w:rsidRPr="00497178">
              <w:rPr>
                <w:rFonts w:ascii="Arial" w:hAnsi="Arial" w:cs="Arial"/>
                <w:sz w:val="22"/>
              </w:rPr>
              <w:t>Planovi i projekti – 4264</w:t>
            </w:r>
          </w:p>
        </w:tc>
        <w:tc>
          <w:tcPr>
            <w:tcW w:w="1536" w:type="dxa"/>
            <w:shd w:val="clear" w:color="auto" w:fill="auto"/>
            <w:vAlign w:val="center"/>
          </w:tcPr>
          <w:p w14:paraId="244F61A9" w14:textId="77777777" w:rsidR="00BC7E60" w:rsidRPr="00497178" w:rsidRDefault="00BC7E60" w:rsidP="00512D52">
            <w:pPr>
              <w:jc w:val="right"/>
              <w:rPr>
                <w:rFonts w:ascii="Arial" w:hAnsi="Arial" w:cs="Arial"/>
                <w:sz w:val="22"/>
              </w:rPr>
            </w:pPr>
            <w:r w:rsidRPr="00497178">
              <w:rPr>
                <w:rFonts w:ascii="Arial" w:hAnsi="Arial" w:cs="Arial"/>
                <w:sz w:val="22"/>
              </w:rPr>
              <w:t>409.464,00</w:t>
            </w:r>
          </w:p>
        </w:tc>
        <w:tc>
          <w:tcPr>
            <w:tcW w:w="1583" w:type="dxa"/>
            <w:shd w:val="clear" w:color="auto" w:fill="auto"/>
            <w:vAlign w:val="center"/>
          </w:tcPr>
          <w:p w14:paraId="14624C1E" w14:textId="77777777" w:rsidR="00BC7E60" w:rsidRPr="00497178" w:rsidRDefault="00BC7E60" w:rsidP="00512D52">
            <w:pPr>
              <w:jc w:val="right"/>
              <w:rPr>
                <w:rFonts w:ascii="Arial" w:hAnsi="Arial" w:cs="Arial"/>
                <w:sz w:val="22"/>
              </w:rPr>
            </w:pPr>
            <w:r w:rsidRPr="00497178">
              <w:rPr>
                <w:rFonts w:ascii="Arial" w:hAnsi="Arial" w:cs="Arial"/>
                <w:sz w:val="22"/>
              </w:rPr>
              <w:t>59.976,00</w:t>
            </w:r>
          </w:p>
        </w:tc>
        <w:tc>
          <w:tcPr>
            <w:tcW w:w="1701" w:type="dxa"/>
            <w:vAlign w:val="center"/>
          </w:tcPr>
          <w:p w14:paraId="1A0EDC77" w14:textId="77777777" w:rsidR="00BC7E60" w:rsidRPr="00497178" w:rsidRDefault="00BC7E60" w:rsidP="00512D52">
            <w:pPr>
              <w:jc w:val="right"/>
              <w:rPr>
                <w:rFonts w:ascii="Arial" w:hAnsi="Arial" w:cs="Arial"/>
                <w:sz w:val="22"/>
              </w:rPr>
            </w:pPr>
            <w:r w:rsidRPr="00497178">
              <w:rPr>
                <w:rFonts w:ascii="Arial" w:hAnsi="Arial" w:cs="Arial"/>
                <w:sz w:val="22"/>
              </w:rPr>
              <w:t>469.440,00</w:t>
            </w:r>
          </w:p>
        </w:tc>
        <w:tc>
          <w:tcPr>
            <w:tcW w:w="992" w:type="dxa"/>
            <w:shd w:val="clear" w:color="auto" w:fill="auto"/>
            <w:vAlign w:val="center"/>
          </w:tcPr>
          <w:p w14:paraId="472C723C" w14:textId="77777777" w:rsidR="00BC7E60" w:rsidRPr="00497178" w:rsidRDefault="00BC7E60" w:rsidP="00512D52">
            <w:pPr>
              <w:jc w:val="right"/>
              <w:rPr>
                <w:rFonts w:ascii="Arial" w:hAnsi="Arial" w:cs="Arial"/>
                <w:sz w:val="22"/>
              </w:rPr>
            </w:pPr>
            <w:r w:rsidRPr="00497178">
              <w:rPr>
                <w:rFonts w:ascii="Arial" w:hAnsi="Arial" w:cs="Arial"/>
                <w:sz w:val="22"/>
              </w:rPr>
              <w:t>114,65</w:t>
            </w:r>
          </w:p>
        </w:tc>
      </w:tr>
      <w:tr w:rsidR="00BC7E60" w:rsidRPr="00497178" w14:paraId="140D1A4D" w14:textId="77777777" w:rsidTr="00512D52">
        <w:tc>
          <w:tcPr>
            <w:tcW w:w="693" w:type="dxa"/>
            <w:shd w:val="clear" w:color="auto" w:fill="auto"/>
          </w:tcPr>
          <w:p w14:paraId="6EDD2998" w14:textId="77777777" w:rsidR="00BC7E60" w:rsidRPr="00497178" w:rsidRDefault="00BC7E60" w:rsidP="00512D52">
            <w:pPr>
              <w:jc w:val="both"/>
              <w:rPr>
                <w:rFonts w:ascii="Arial" w:hAnsi="Arial" w:cs="Arial"/>
                <w:sz w:val="22"/>
              </w:rPr>
            </w:pPr>
            <w:r w:rsidRPr="00497178">
              <w:rPr>
                <w:rFonts w:ascii="Arial" w:hAnsi="Arial" w:cs="Arial"/>
                <w:sz w:val="22"/>
              </w:rPr>
              <w:t xml:space="preserve">6. </w:t>
            </w:r>
          </w:p>
        </w:tc>
        <w:tc>
          <w:tcPr>
            <w:tcW w:w="2704" w:type="dxa"/>
            <w:shd w:val="clear" w:color="auto" w:fill="auto"/>
          </w:tcPr>
          <w:p w14:paraId="35919472" w14:textId="77777777" w:rsidR="00BC7E60" w:rsidRPr="00497178" w:rsidRDefault="00BC7E60" w:rsidP="00512D52">
            <w:pPr>
              <w:jc w:val="both"/>
              <w:rPr>
                <w:rFonts w:ascii="Arial" w:hAnsi="Arial" w:cs="Arial"/>
                <w:sz w:val="22"/>
              </w:rPr>
            </w:pPr>
            <w:bookmarkStart w:id="25" w:name="_Hlk168833832"/>
            <w:r w:rsidRPr="00497178">
              <w:rPr>
                <w:rFonts w:ascii="Arial" w:hAnsi="Arial" w:cs="Arial"/>
                <w:sz w:val="22"/>
              </w:rPr>
              <w:t xml:space="preserve">Dodatna ulaganja na nefinancijskoj imovini </w:t>
            </w:r>
            <w:bookmarkEnd w:id="25"/>
            <w:r w:rsidRPr="00497178">
              <w:rPr>
                <w:rFonts w:ascii="Arial" w:hAnsi="Arial" w:cs="Arial"/>
                <w:sz w:val="22"/>
              </w:rPr>
              <w:t>– 451, 452, 453</w:t>
            </w:r>
          </w:p>
        </w:tc>
        <w:tc>
          <w:tcPr>
            <w:tcW w:w="1536" w:type="dxa"/>
            <w:shd w:val="clear" w:color="auto" w:fill="auto"/>
            <w:vAlign w:val="center"/>
          </w:tcPr>
          <w:p w14:paraId="2CF8A65E" w14:textId="77777777" w:rsidR="00BC7E60" w:rsidRPr="00497178" w:rsidRDefault="00BC7E60" w:rsidP="00512D52">
            <w:pPr>
              <w:jc w:val="right"/>
              <w:rPr>
                <w:rFonts w:ascii="Arial" w:hAnsi="Arial" w:cs="Arial"/>
                <w:sz w:val="22"/>
              </w:rPr>
            </w:pPr>
            <w:r w:rsidRPr="00497178">
              <w:rPr>
                <w:rFonts w:ascii="Arial" w:hAnsi="Arial" w:cs="Arial"/>
                <w:sz w:val="22"/>
              </w:rPr>
              <w:t>51.500,00</w:t>
            </w:r>
          </w:p>
        </w:tc>
        <w:tc>
          <w:tcPr>
            <w:tcW w:w="1583" w:type="dxa"/>
            <w:shd w:val="clear" w:color="auto" w:fill="auto"/>
            <w:vAlign w:val="center"/>
          </w:tcPr>
          <w:p w14:paraId="5A132C87" w14:textId="77777777" w:rsidR="00BC7E60" w:rsidRPr="00497178" w:rsidRDefault="00BC7E60" w:rsidP="00512D52">
            <w:pPr>
              <w:jc w:val="right"/>
              <w:rPr>
                <w:rFonts w:ascii="Arial" w:hAnsi="Arial" w:cs="Arial"/>
                <w:sz w:val="22"/>
              </w:rPr>
            </w:pPr>
            <w:r w:rsidRPr="00497178">
              <w:rPr>
                <w:rFonts w:ascii="Arial" w:hAnsi="Arial" w:cs="Arial"/>
                <w:sz w:val="22"/>
              </w:rPr>
              <w:t>27.363,00</w:t>
            </w:r>
          </w:p>
        </w:tc>
        <w:tc>
          <w:tcPr>
            <w:tcW w:w="1701" w:type="dxa"/>
            <w:vAlign w:val="center"/>
          </w:tcPr>
          <w:p w14:paraId="2CA022B7" w14:textId="77777777" w:rsidR="00BC7E60" w:rsidRPr="00497178" w:rsidRDefault="00BC7E60" w:rsidP="00512D52">
            <w:pPr>
              <w:jc w:val="right"/>
              <w:rPr>
                <w:rFonts w:ascii="Arial" w:hAnsi="Arial" w:cs="Arial"/>
                <w:sz w:val="22"/>
              </w:rPr>
            </w:pPr>
            <w:r w:rsidRPr="00497178">
              <w:rPr>
                <w:rFonts w:ascii="Arial" w:hAnsi="Arial" w:cs="Arial"/>
                <w:sz w:val="22"/>
              </w:rPr>
              <w:t>78.863,00</w:t>
            </w:r>
          </w:p>
        </w:tc>
        <w:tc>
          <w:tcPr>
            <w:tcW w:w="992" w:type="dxa"/>
            <w:shd w:val="clear" w:color="auto" w:fill="auto"/>
            <w:vAlign w:val="center"/>
          </w:tcPr>
          <w:p w14:paraId="1660A0FF" w14:textId="77777777" w:rsidR="00BC7E60" w:rsidRPr="00497178" w:rsidRDefault="00BC7E60" w:rsidP="00512D52">
            <w:pPr>
              <w:jc w:val="right"/>
              <w:rPr>
                <w:rFonts w:ascii="Arial" w:hAnsi="Arial" w:cs="Arial"/>
                <w:sz w:val="22"/>
              </w:rPr>
            </w:pPr>
            <w:r w:rsidRPr="00497178">
              <w:rPr>
                <w:rFonts w:ascii="Arial" w:hAnsi="Arial" w:cs="Arial"/>
                <w:sz w:val="22"/>
              </w:rPr>
              <w:t>153,13</w:t>
            </w:r>
          </w:p>
        </w:tc>
      </w:tr>
      <w:tr w:rsidR="00BC7E60" w:rsidRPr="00497178" w14:paraId="71F10386" w14:textId="77777777" w:rsidTr="00512D52">
        <w:tc>
          <w:tcPr>
            <w:tcW w:w="693" w:type="dxa"/>
            <w:shd w:val="clear" w:color="auto" w:fill="auto"/>
          </w:tcPr>
          <w:p w14:paraId="55B6B046" w14:textId="77777777" w:rsidR="00BC7E60" w:rsidRPr="00497178" w:rsidRDefault="00BC7E60" w:rsidP="00512D52">
            <w:pPr>
              <w:jc w:val="both"/>
              <w:rPr>
                <w:rFonts w:ascii="Arial" w:hAnsi="Arial" w:cs="Arial"/>
                <w:b/>
                <w:bCs/>
                <w:sz w:val="22"/>
              </w:rPr>
            </w:pPr>
          </w:p>
          <w:p w14:paraId="5C953F06" w14:textId="77777777" w:rsidR="00BC7E60" w:rsidRPr="00497178" w:rsidRDefault="00BC7E60" w:rsidP="00512D52">
            <w:pPr>
              <w:jc w:val="both"/>
              <w:rPr>
                <w:rFonts w:ascii="Arial" w:hAnsi="Arial" w:cs="Arial"/>
                <w:b/>
                <w:bCs/>
                <w:sz w:val="22"/>
              </w:rPr>
            </w:pPr>
          </w:p>
        </w:tc>
        <w:tc>
          <w:tcPr>
            <w:tcW w:w="2704" w:type="dxa"/>
            <w:shd w:val="clear" w:color="auto" w:fill="auto"/>
          </w:tcPr>
          <w:p w14:paraId="649FC1F6" w14:textId="77777777" w:rsidR="00BC7E60" w:rsidRPr="00497178" w:rsidRDefault="00BC7E60" w:rsidP="00512D52">
            <w:pPr>
              <w:jc w:val="both"/>
              <w:rPr>
                <w:rFonts w:ascii="Arial" w:hAnsi="Arial" w:cs="Arial"/>
                <w:b/>
                <w:bCs/>
                <w:sz w:val="22"/>
              </w:rPr>
            </w:pPr>
          </w:p>
          <w:p w14:paraId="5FE0F313" w14:textId="77777777" w:rsidR="00BC7E60" w:rsidRPr="00497178" w:rsidRDefault="00BC7E60" w:rsidP="00512D52">
            <w:pPr>
              <w:jc w:val="both"/>
              <w:rPr>
                <w:rFonts w:ascii="Arial" w:hAnsi="Arial" w:cs="Arial"/>
                <w:b/>
                <w:bCs/>
                <w:sz w:val="22"/>
              </w:rPr>
            </w:pPr>
            <w:r w:rsidRPr="00497178">
              <w:rPr>
                <w:rFonts w:ascii="Arial" w:hAnsi="Arial" w:cs="Arial"/>
                <w:b/>
                <w:bCs/>
                <w:sz w:val="22"/>
              </w:rPr>
              <w:t>UKUPNO:</w:t>
            </w:r>
          </w:p>
        </w:tc>
        <w:tc>
          <w:tcPr>
            <w:tcW w:w="1536" w:type="dxa"/>
            <w:shd w:val="clear" w:color="auto" w:fill="auto"/>
            <w:vAlign w:val="center"/>
          </w:tcPr>
          <w:p w14:paraId="53DA11A5" w14:textId="77777777" w:rsidR="00BC7E60" w:rsidRPr="00497178" w:rsidRDefault="00BC7E60" w:rsidP="00512D52">
            <w:pPr>
              <w:jc w:val="right"/>
              <w:rPr>
                <w:rFonts w:ascii="Arial" w:hAnsi="Arial" w:cs="Arial"/>
                <w:b/>
                <w:bCs/>
                <w:sz w:val="22"/>
              </w:rPr>
            </w:pPr>
            <w:r w:rsidRPr="00497178">
              <w:rPr>
                <w:rFonts w:ascii="Arial" w:hAnsi="Arial" w:cs="Arial"/>
                <w:b/>
                <w:bCs/>
                <w:sz w:val="22"/>
              </w:rPr>
              <w:t>1.165.569,00</w:t>
            </w:r>
          </w:p>
        </w:tc>
        <w:tc>
          <w:tcPr>
            <w:tcW w:w="1583" w:type="dxa"/>
            <w:shd w:val="clear" w:color="auto" w:fill="auto"/>
            <w:vAlign w:val="center"/>
          </w:tcPr>
          <w:p w14:paraId="6FE3B670" w14:textId="77777777" w:rsidR="00BC7E60" w:rsidRPr="00497178" w:rsidRDefault="00BC7E60" w:rsidP="00512D52">
            <w:pPr>
              <w:jc w:val="right"/>
              <w:rPr>
                <w:rFonts w:ascii="Arial" w:hAnsi="Arial" w:cs="Arial"/>
                <w:b/>
                <w:bCs/>
                <w:sz w:val="22"/>
              </w:rPr>
            </w:pPr>
            <w:r w:rsidRPr="00497178">
              <w:rPr>
                <w:rFonts w:ascii="Arial" w:hAnsi="Arial" w:cs="Arial"/>
                <w:b/>
                <w:bCs/>
                <w:sz w:val="22"/>
              </w:rPr>
              <w:t>-203.207,00</w:t>
            </w:r>
          </w:p>
        </w:tc>
        <w:tc>
          <w:tcPr>
            <w:tcW w:w="1701" w:type="dxa"/>
            <w:vAlign w:val="center"/>
          </w:tcPr>
          <w:p w14:paraId="0DDADC2E" w14:textId="77777777" w:rsidR="00BC7E60" w:rsidRPr="00497178" w:rsidRDefault="00BC7E60" w:rsidP="00512D52">
            <w:pPr>
              <w:jc w:val="right"/>
              <w:rPr>
                <w:rFonts w:ascii="Arial" w:hAnsi="Arial" w:cs="Arial"/>
                <w:b/>
                <w:bCs/>
                <w:sz w:val="22"/>
              </w:rPr>
            </w:pPr>
            <w:r w:rsidRPr="00497178">
              <w:rPr>
                <w:rFonts w:ascii="Arial" w:hAnsi="Arial" w:cs="Arial"/>
                <w:b/>
                <w:bCs/>
                <w:sz w:val="22"/>
              </w:rPr>
              <w:t>962.362,00</w:t>
            </w:r>
          </w:p>
        </w:tc>
        <w:tc>
          <w:tcPr>
            <w:tcW w:w="992" w:type="dxa"/>
            <w:shd w:val="clear" w:color="auto" w:fill="auto"/>
            <w:vAlign w:val="center"/>
          </w:tcPr>
          <w:p w14:paraId="203D7CFF" w14:textId="77777777" w:rsidR="00BC7E60" w:rsidRPr="00497178" w:rsidRDefault="00BC7E60" w:rsidP="00512D52">
            <w:pPr>
              <w:jc w:val="right"/>
              <w:rPr>
                <w:rFonts w:ascii="Arial" w:hAnsi="Arial" w:cs="Arial"/>
                <w:b/>
                <w:bCs/>
                <w:sz w:val="22"/>
              </w:rPr>
            </w:pPr>
            <w:r w:rsidRPr="00497178">
              <w:rPr>
                <w:rFonts w:ascii="Arial" w:hAnsi="Arial" w:cs="Arial"/>
                <w:b/>
                <w:bCs/>
                <w:sz w:val="22"/>
              </w:rPr>
              <w:t>82,57</w:t>
            </w:r>
          </w:p>
        </w:tc>
      </w:tr>
    </w:tbl>
    <w:p w14:paraId="4621110F" w14:textId="77777777" w:rsidR="00BC7E60" w:rsidRPr="00497178" w:rsidRDefault="00BC7E60" w:rsidP="00BC7E60">
      <w:pPr>
        <w:jc w:val="both"/>
        <w:rPr>
          <w:rFonts w:ascii="Arial" w:hAnsi="Arial" w:cs="Arial"/>
          <w:sz w:val="22"/>
        </w:rPr>
      </w:pPr>
    </w:p>
    <w:p w14:paraId="7D983D25" w14:textId="77777777" w:rsidR="00BC7E60" w:rsidRPr="00497178" w:rsidRDefault="00BC7E60" w:rsidP="00BC7E60">
      <w:pPr>
        <w:jc w:val="both"/>
        <w:rPr>
          <w:rFonts w:ascii="Arial" w:hAnsi="Arial" w:cs="Arial"/>
          <w:sz w:val="22"/>
        </w:rPr>
      </w:pPr>
    </w:p>
    <w:p w14:paraId="546EA655" w14:textId="77777777" w:rsidR="00BC7E60" w:rsidRPr="00497178" w:rsidRDefault="00BC7E60" w:rsidP="00BC7E60">
      <w:pPr>
        <w:jc w:val="both"/>
        <w:rPr>
          <w:rFonts w:ascii="Arial" w:hAnsi="Arial" w:cs="Arial"/>
          <w:sz w:val="22"/>
        </w:rPr>
      </w:pPr>
      <w:r w:rsidRPr="00497178">
        <w:rPr>
          <w:rFonts w:ascii="Arial" w:hAnsi="Arial" w:cs="Arial"/>
          <w:sz w:val="22"/>
        </w:rPr>
        <w:t>Iz navedene tabele se je u konačnici primjetno smanjenje ulaganja u materijalnu i nematerijalnu imovinu i to za 203.207,00 EUR 17,43 ili %, a detaljnije obrazloženje smanjenja, odnosno povećanja po pojedinim kontima slijedi u nastavku:</w:t>
      </w:r>
    </w:p>
    <w:p w14:paraId="33EFE851" w14:textId="77777777" w:rsidR="00BC7E60" w:rsidRPr="00497178" w:rsidRDefault="00BC7E60" w:rsidP="00BC7E60">
      <w:pPr>
        <w:jc w:val="both"/>
        <w:rPr>
          <w:rFonts w:ascii="Arial" w:hAnsi="Arial" w:cs="Arial"/>
          <w:sz w:val="22"/>
        </w:rPr>
      </w:pPr>
      <w:r w:rsidRPr="00497178">
        <w:rPr>
          <w:rFonts w:ascii="Arial" w:hAnsi="Arial" w:cs="Arial"/>
          <w:sz w:val="22"/>
        </w:rPr>
        <w:t xml:space="preserve"> </w:t>
      </w:r>
    </w:p>
    <w:p w14:paraId="15B03250" w14:textId="77777777" w:rsidR="00BC7E60" w:rsidRPr="000500DC" w:rsidRDefault="00BC7E60" w:rsidP="00BC7E60">
      <w:pPr>
        <w:jc w:val="both"/>
        <w:rPr>
          <w:rFonts w:ascii="Arial" w:eastAsia="Calibri" w:hAnsi="Arial" w:cs="Arial"/>
          <w:kern w:val="2"/>
          <w:sz w:val="22"/>
          <w14:ligatures w14:val="standardContextual"/>
        </w:rPr>
      </w:pPr>
      <w:r w:rsidRPr="000500DC">
        <w:rPr>
          <w:rFonts w:ascii="Arial" w:hAnsi="Arial" w:cs="Arial"/>
          <w:sz w:val="22"/>
        </w:rPr>
        <w:t xml:space="preserve">1. smanjenje ulaganja u zemljišta i nematerijalnu imovinu u iznosu od 282.155 EUR se zapravo odnosi na smanjenje rashoda u iznosu od 277.155 EUR u </w:t>
      </w:r>
      <w:bookmarkStart w:id="26" w:name="_Hlk168833473"/>
      <w:r w:rsidRPr="000500DC">
        <w:rPr>
          <w:rFonts w:ascii="Arial" w:hAnsi="Arial" w:cs="Arial"/>
          <w:sz w:val="22"/>
        </w:rPr>
        <w:t xml:space="preserve">upravnom odjelu </w:t>
      </w:r>
      <w:bookmarkEnd w:id="26"/>
      <w:r w:rsidRPr="000500DC">
        <w:rPr>
          <w:rFonts w:ascii="Arial" w:hAnsi="Arial" w:cs="Arial"/>
          <w:sz w:val="22"/>
        </w:rPr>
        <w:t xml:space="preserve">za prostorno uređenje, zaštitu okoliša i izdavanja akata i to za ulaganje u Park </w:t>
      </w:r>
      <w:proofErr w:type="spellStart"/>
      <w:r w:rsidRPr="000500DC">
        <w:rPr>
          <w:rFonts w:ascii="Arial" w:hAnsi="Arial" w:cs="Arial"/>
          <w:sz w:val="22"/>
        </w:rPr>
        <w:t>Pineta</w:t>
      </w:r>
      <w:proofErr w:type="spellEnd"/>
      <w:r w:rsidRPr="000500DC">
        <w:rPr>
          <w:rFonts w:ascii="Arial" w:hAnsi="Arial" w:cs="Arial"/>
          <w:sz w:val="22"/>
        </w:rPr>
        <w:t>. N</w:t>
      </w:r>
      <w:r w:rsidRPr="000500DC">
        <w:rPr>
          <w:rFonts w:ascii="Arial" w:eastAsia="Calibri" w:hAnsi="Arial" w:cs="Arial"/>
          <w:kern w:val="2"/>
          <w:sz w:val="22"/>
          <w14:ligatures w14:val="standardContextual"/>
        </w:rPr>
        <w:t xml:space="preserve">astavljen je rad na rješavanju statusa </w:t>
      </w:r>
      <w:proofErr w:type="spellStart"/>
      <w:r w:rsidRPr="000500DC">
        <w:rPr>
          <w:rFonts w:ascii="Arial" w:eastAsia="Calibri" w:hAnsi="Arial" w:cs="Arial"/>
          <w:kern w:val="2"/>
          <w:sz w:val="22"/>
          <w14:ligatures w14:val="standardContextual"/>
        </w:rPr>
        <w:t>Pinete</w:t>
      </w:r>
      <w:proofErr w:type="spellEnd"/>
      <w:r w:rsidRPr="000500DC">
        <w:rPr>
          <w:rFonts w:ascii="Arial" w:eastAsia="Calibri" w:hAnsi="Arial" w:cs="Arial"/>
          <w:kern w:val="2"/>
          <w:sz w:val="22"/>
          <w14:ligatures w14:val="standardContextual"/>
        </w:rPr>
        <w:t xml:space="preserve"> koja je u vlasništvu Republike Hrvatske,</w:t>
      </w:r>
      <w:r>
        <w:rPr>
          <w:rFonts w:ascii="Arial" w:eastAsia="Calibri" w:hAnsi="Arial" w:cs="Arial"/>
          <w:kern w:val="2"/>
          <w:sz w:val="22"/>
          <w14:ligatures w14:val="standardContextual"/>
        </w:rPr>
        <w:t xml:space="preserve"> te je </w:t>
      </w:r>
      <w:r w:rsidRPr="000500DC">
        <w:rPr>
          <w:rFonts w:ascii="Arial" w:eastAsia="Calibri" w:hAnsi="Arial" w:cs="Arial"/>
          <w:kern w:val="2"/>
          <w:sz w:val="22"/>
          <w14:ligatures w14:val="standardContextual"/>
        </w:rPr>
        <w:t>na osnovu donesene Odluke o proglašenju komunalne infrastrukture javnim dobrom u općoj uporabi u vlasništvu Grada Labina izrađen Elaborat za evidentiranje izvedenog stanja komunalne infrastrukture, međutim isto je utjecalo na dinamiku početka realizacije projekta</w:t>
      </w:r>
      <w:r>
        <w:rPr>
          <w:rFonts w:ascii="Arial" w:eastAsia="Calibri" w:hAnsi="Arial" w:cs="Arial"/>
          <w:kern w:val="2"/>
          <w:sz w:val="22"/>
          <w14:ligatures w14:val="standardContextual"/>
        </w:rPr>
        <w:t>.</w:t>
      </w:r>
    </w:p>
    <w:p w14:paraId="2386D419" w14:textId="77777777" w:rsidR="00BC7E60" w:rsidRPr="00497178" w:rsidRDefault="00BC7E60" w:rsidP="00BC7E60">
      <w:pPr>
        <w:jc w:val="both"/>
        <w:rPr>
          <w:rFonts w:ascii="Arial" w:hAnsi="Arial" w:cs="Arial"/>
          <w:sz w:val="22"/>
        </w:rPr>
      </w:pPr>
      <w:r w:rsidRPr="00497178">
        <w:rPr>
          <w:rFonts w:ascii="Arial" w:hAnsi="Arial" w:cs="Arial"/>
          <w:sz w:val="22"/>
        </w:rPr>
        <w:t>U UO za poslove Gradonačelnika, Gradskog vijeća i opće poslove smanjenje iznosi 5.00</w:t>
      </w:r>
      <w:r>
        <w:rPr>
          <w:rFonts w:ascii="Arial" w:hAnsi="Arial" w:cs="Arial"/>
          <w:sz w:val="22"/>
        </w:rPr>
        <w:t>0</w:t>
      </w:r>
      <w:r w:rsidRPr="00497178">
        <w:rPr>
          <w:rFonts w:ascii="Arial" w:hAnsi="Arial" w:cs="Arial"/>
          <w:sz w:val="22"/>
        </w:rPr>
        <w:t xml:space="preserve"> EUR a odnosi se na kupnju licenci. </w:t>
      </w:r>
    </w:p>
    <w:p w14:paraId="06837CEE" w14:textId="77777777" w:rsidR="00BC7E60" w:rsidRPr="00497178" w:rsidRDefault="00BC7E60" w:rsidP="00BC7E60">
      <w:pPr>
        <w:jc w:val="both"/>
        <w:rPr>
          <w:rFonts w:ascii="Arial" w:hAnsi="Arial" w:cs="Arial"/>
          <w:sz w:val="22"/>
        </w:rPr>
      </w:pPr>
    </w:p>
    <w:p w14:paraId="7D5C72A0" w14:textId="77777777" w:rsidR="00BC7E60" w:rsidRPr="00497178" w:rsidRDefault="00BC7E60" w:rsidP="00BC7E60">
      <w:pPr>
        <w:jc w:val="both"/>
        <w:rPr>
          <w:rFonts w:ascii="Arial" w:hAnsi="Arial" w:cs="Arial"/>
          <w:sz w:val="22"/>
        </w:rPr>
      </w:pPr>
      <w:r w:rsidRPr="00497178">
        <w:rPr>
          <w:rFonts w:ascii="Arial" w:hAnsi="Arial" w:cs="Arial"/>
          <w:sz w:val="22"/>
        </w:rPr>
        <w:lastRenderedPageBreak/>
        <w:t>2. ulaganja u knjige, umjetnička djela i ostalo planirana su u vrijednosti od 70.429,00 EUR, odnosno za 668 EUR ili 0,96% više nego postojeći plan, a povećanje je  planirano kod Gradske knjižnice Labin (338 EUR) i  Osnovne škole Ivo Lola Ribar (330 EUR) za nabavu knjiga.</w:t>
      </w:r>
    </w:p>
    <w:p w14:paraId="5EA65EDB" w14:textId="77777777" w:rsidR="00BC7E60" w:rsidRPr="00497178" w:rsidRDefault="00BC7E60" w:rsidP="00BC7E60">
      <w:pPr>
        <w:jc w:val="both"/>
        <w:rPr>
          <w:rFonts w:ascii="Arial" w:hAnsi="Arial" w:cs="Arial"/>
          <w:sz w:val="22"/>
        </w:rPr>
      </w:pPr>
    </w:p>
    <w:p w14:paraId="2F91E5C8" w14:textId="77777777" w:rsidR="00BC7E60" w:rsidRPr="00497178" w:rsidRDefault="00BC7E60" w:rsidP="00BC7E60">
      <w:pPr>
        <w:jc w:val="both"/>
        <w:rPr>
          <w:rFonts w:ascii="Arial" w:hAnsi="Arial" w:cs="Arial"/>
          <w:sz w:val="22"/>
        </w:rPr>
      </w:pPr>
      <w:r w:rsidRPr="00497178">
        <w:rPr>
          <w:rFonts w:ascii="Arial" w:hAnsi="Arial" w:cs="Arial"/>
          <w:sz w:val="22"/>
        </w:rPr>
        <w:t>3. ulaganje u računalne programe povećano je za 3.000 EUR u odnosu na tekući plan a planirano je u UO za poslove Gradonačelnika, Gradskog vijeća i opće poslove.</w:t>
      </w:r>
    </w:p>
    <w:p w14:paraId="0B28E48E" w14:textId="77777777" w:rsidR="00BC7E60" w:rsidRPr="00497178" w:rsidRDefault="00BC7E60" w:rsidP="00BC7E60">
      <w:pPr>
        <w:jc w:val="both"/>
        <w:rPr>
          <w:rFonts w:ascii="Arial" w:hAnsi="Arial" w:cs="Arial"/>
          <w:sz w:val="22"/>
        </w:rPr>
      </w:pPr>
    </w:p>
    <w:p w14:paraId="3AD4C639" w14:textId="77777777" w:rsidR="00BC7E60" w:rsidRPr="00497178" w:rsidRDefault="00BC7E60" w:rsidP="00BC7E60">
      <w:pPr>
        <w:jc w:val="both"/>
        <w:rPr>
          <w:rFonts w:ascii="Arial" w:hAnsi="Arial" w:cs="Arial"/>
          <w:sz w:val="22"/>
        </w:rPr>
      </w:pPr>
      <w:r w:rsidRPr="00497178">
        <w:rPr>
          <w:rFonts w:ascii="Arial" w:hAnsi="Arial" w:cs="Arial"/>
          <w:sz w:val="22"/>
        </w:rPr>
        <w:t>4. smanjenje ulaganja za 12.059 EUR, odnosno za 9,35% u odnosu na važeći plan, planirano je u upravnom odjelu za prostorno uređenje, zaštitu okoliša i izdavanja akata, a odnosi se na smanjenje ulaganja u izradu dokumenata prostornog uređenja (planovi, stručne podloge, konzervatorske podloge  i sl.).</w:t>
      </w:r>
    </w:p>
    <w:p w14:paraId="0FC539C0" w14:textId="77777777" w:rsidR="00BC7E60" w:rsidRPr="00497178" w:rsidRDefault="00BC7E60" w:rsidP="00BC7E60">
      <w:pPr>
        <w:jc w:val="both"/>
        <w:rPr>
          <w:rFonts w:ascii="Arial" w:hAnsi="Arial" w:cs="Arial"/>
          <w:sz w:val="22"/>
        </w:rPr>
      </w:pPr>
    </w:p>
    <w:p w14:paraId="1C452157" w14:textId="77777777" w:rsidR="00BC7E60" w:rsidRPr="00497178" w:rsidRDefault="00BC7E60" w:rsidP="00BC7E60">
      <w:pPr>
        <w:jc w:val="both"/>
        <w:rPr>
          <w:rFonts w:ascii="Arial" w:hAnsi="Arial" w:cs="Arial"/>
          <w:sz w:val="22"/>
        </w:rPr>
      </w:pPr>
      <w:r w:rsidRPr="00497178">
        <w:rPr>
          <w:rFonts w:ascii="Arial" w:hAnsi="Arial" w:cs="Arial"/>
          <w:sz w:val="22"/>
        </w:rPr>
        <w:t xml:space="preserve">5. rashodi vezani za izradu projektne dokumentacije (idejni, glavni projekti) uvećani su za 59.976 EUR ili 14,65%, a planirani su u upravnom odjelu za prostorno uređenje, zaštitu okoliša i izdavanja akata za gradnju, a detaljnije je objašnjeno u obrazloženju navedenog odjela. </w:t>
      </w:r>
    </w:p>
    <w:p w14:paraId="231CCEFD" w14:textId="77777777" w:rsidR="00BC7E60" w:rsidRPr="00497178" w:rsidRDefault="00BC7E60" w:rsidP="00BC7E60">
      <w:pPr>
        <w:jc w:val="both"/>
        <w:rPr>
          <w:rFonts w:ascii="Arial" w:hAnsi="Arial" w:cs="Arial"/>
          <w:sz w:val="22"/>
        </w:rPr>
      </w:pPr>
      <w:r w:rsidRPr="00497178">
        <w:rPr>
          <w:rFonts w:ascii="Arial" w:hAnsi="Arial" w:cs="Arial"/>
          <w:sz w:val="22"/>
        </w:rPr>
        <w:t xml:space="preserve">    </w:t>
      </w:r>
    </w:p>
    <w:p w14:paraId="233D8539" w14:textId="77777777" w:rsidR="00BC7E60" w:rsidRPr="00497178" w:rsidRDefault="00BC7E60" w:rsidP="00BC7E60">
      <w:pPr>
        <w:jc w:val="both"/>
        <w:rPr>
          <w:rFonts w:ascii="Arial" w:hAnsi="Arial" w:cs="Arial"/>
          <w:sz w:val="22"/>
        </w:rPr>
      </w:pPr>
      <w:r w:rsidRPr="00497178">
        <w:rPr>
          <w:rFonts w:ascii="Arial" w:hAnsi="Arial" w:cs="Arial"/>
          <w:sz w:val="22"/>
        </w:rPr>
        <w:t>6. povećanje dodatnih ulaganja na nefinancijskoj imovini iznosi 27.363 EUR a planirano je u UO za prostorno uređenje, zaštitu okoliša i izdavanje akata za gradnju u iznosu od 25.000 EUR za Kapitalni projekt: Crkva Gospe od Karmela – obnova preslice i u UO za komunalno gospodarstvo i upravljanje imovinom u iznosu od 12.363 EUR za zamjenu ulaznih vrata na stadionu NK Rudar Labin. Smanjenje od 10.000 EUR planirano je kod OŠ Ivo Lola Ribar Labin.</w:t>
      </w:r>
    </w:p>
    <w:p w14:paraId="0A2C8FDC" w14:textId="77777777" w:rsidR="00BC7E60" w:rsidRPr="00497178" w:rsidRDefault="00BC7E60" w:rsidP="00BC7E60">
      <w:pPr>
        <w:spacing w:line="276" w:lineRule="auto"/>
        <w:ind w:left="720"/>
        <w:contextualSpacing/>
        <w:jc w:val="both"/>
        <w:rPr>
          <w:rFonts w:ascii="Arial" w:hAnsi="Arial" w:cs="Arial"/>
          <w:sz w:val="22"/>
        </w:rPr>
      </w:pPr>
    </w:p>
    <w:p w14:paraId="6A97AE94" w14:textId="77777777" w:rsidR="00BC7E60" w:rsidRPr="00497178" w:rsidRDefault="00BC7E60" w:rsidP="00BC7E60">
      <w:pPr>
        <w:spacing w:line="276" w:lineRule="auto"/>
        <w:ind w:left="720"/>
        <w:contextualSpacing/>
        <w:jc w:val="both"/>
        <w:rPr>
          <w:rFonts w:ascii="Arial" w:hAnsi="Arial" w:cs="Arial"/>
          <w:sz w:val="22"/>
        </w:rPr>
      </w:pPr>
    </w:p>
    <w:p w14:paraId="581164CA" w14:textId="77777777" w:rsidR="00BC7E60" w:rsidRPr="00497178" w:rsidRDefault="00BC7E60" w:rsidP="00BC7E60">
      <w:pPr>
        <w:keepNext/>
        <w:outlineLvl w:val="3"/>
        <w:rPr>
          <w:rFonts w:ascii="Arial" w:hAnsi="Arial" w:cs="Arial"/>
          <w:b/>
          <w:bCs/>
          <w:sz w:val="22"/>
        </w:rPr>
      </w:pPr>
      <w:r w:rsidRPr="00497178">
        <w:rPr>
          <w:rFonts w:ascii="Arial" w:hAnsi="Arial" w:cs="Arial"/>
          <w:b/>
          <w:bCs/>
          <w:sz w:val="22"/>
        </w:rPr>
        <w:t>Građevinski objekti, postrojenja, oprema i prijevozna sredstva</w:t>
      </w:r>
    </w:p>
    <w:p w14:paraId="2E549158" w14:textId="77777777" w:rsidR="00BC7E60" w:rsidRPr="00497178" w:rsidRDefault="00BC7E60" w:rsidP="00BC7E60">
      <w:pPr>
        <w:keepNext/>
        <w:outlineLvl w:val="3"/>
        <w:rPr>
          <w:rFonts w:ascii="Arial" w:hAnsi="Arial" w:cs="Arial"/>
          <w:b/>
          <w:bCs/>
          <w:sz w:val="22"/>
        </w:rPr>
      </w:pPr>
    </w:p>
    <w:p w14:paraId="7D58AF63" w14:textId="77777777" w:rsidR="00BC7E60" w:rsidRDefault="00BC7E60" w:rsidP="00BC7E60">
      <w:pPr>
        <w:keepNext/>
        <w:outlineLvl w:val="3"/>
        <w:rPr>
          <w:rFonts w:ascii="Arial" w:hAnsi="Arial" w:cs="Arial"/>
          <w:b/>
          <w:bCs/>
          <w:sz w:val="22"/>
        </w:rPr>
      </w:pPr>
      <w:r w:rsidRPr="00497178">
        <w:rPr>
          <w:rFonts w:ascii="Arial" w:hAnsi="Arial" w:cs="Arial"/>
          <w:b/>
          <w:sz w:val="22"/>
        </w:rPr>
        <w:t>Tabela 7.</w:t>
      </w:r>
      <w:r w:rsidRPr="00497178">
        <w:rPr>
          <w:rFonts w:ascii="Arial" w:hAnsi="Arial" w:cs="Arial"/>
          <w:b/>
          <w:bCs/>
          <w:sz w:val="22"/>
        </w:rPr>
        <w:t xml:space="preserve"> </w:t>
      </w:r>
    </w:p>
    <w:p w14:paraId="48271FAF" w14:textId="77777777" w:rsidR="00807388" w:rsidRPr="00497178" w:rsidRDefault="00807388" w:rsidP="00BC7E60">
      <w:pPr>
        <w:keepNext/>
        <w:outlineLvl w:val="3"/>
        <w:rPr>
          <w:rFonts w:ascii="Arial" w:hAnsi="Arial" w:cs="Arial"/>
          <w:b/>
          <w:bCs/>
          <w:sz w:val="22"/>
        </w:rPr>
      </w:pPr>
    </w:p>
    <w:p w14:paraId="4E4D61AC" w14:textId="31398F74" w:rsidR="00BC7E60" w:rsidRPr="00497178" w:rsidRDefault="00807388" w:rsidP="00BC7E60">
      <w:pPr>
        <w:jc w:val="both"/>
        <w:rPr>
          <w:rFonts w:ascii="Arial" w:hAnsi="Arial" w:cs="Arial"/>
          <w:b/>
          <w:bCs/>
          <w:sz w:val="22"/>
        </w:rPr>
      </w:pP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 EUR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2673"/>
        <w:gridCol w:w="1700"/>
        <w:gridCol w:w="1414"/>
        <w:gridCol w:w="1737"/>
        <w:gridCol w:w="1134"/>
      </w:tblGrid>
      <w:tr w:rsidR="00BC7E60" w:rsidRPr="00497178" w14:paraId="092F199C" w14:textId="77777777" w:rsidTr="00512D52">
        <w:trPr>
          <w:cantSplit/>
        </w:trPr>
        <w:tc>
          <w:tcPr>
            <w:tcW w:w="693" w:type="dxa"/>
            <w:vMerge w:val="restart"/>
            <w:shd w:val="clear" w:color="auto" w:fill="auto"/>
          </w:tcPr>
          <w:p w14:paraId="09A8F54E" w14:textId="77777777" w:rsidR="00BC7E60" w:rsidRPr="00497178" w:rsidRDefault="00BC7E60" w:rsidP="00512D52">
            <w:pPr>
              <w:jc w:val="both"/>
              <w:rPr>
                <w:rFonts w:ascii="Arial" w:hAnsi="Arial" w:cs="Arial"/>
                <w:b/>
                <w:bCs/>
                <w:sz w:val="22"/>
              </w:rPr>
            </w:pPr>
            <w:r w:rsidRPr="00497178">
              <w:rPr>
                <w:rFonts w:ascii="Arial" w:hAnsi="Arial" w:cs="Arial"/>
                <w:b/>
                <w:bCs/>
                <w:sz w:val="22"/>
              </w:rPr>
              <w:t>Red.</w:t>
            </w:r>
          </w:p>
          <w:p w14:paraId="31D76171" w14:textId="77777777" w:rsidR="00BC7E60" w:rsidRPr="00497178" w:rsidRDefault="00BC7E60" w:rsidP="00512D52">
            <w:pPr>
              <w:jc w:val="both"/>
              <w:rPr>
                <w:rFonts w:ascii="Arial" w:hAnsi="Arial" w:cs="Arial"/>
                <w:b/>
                <w:bCs/>
                <w:sz w:val="22"/>
              </w:rPr>
            </w:pPr>
            <w:r w:rsidRPr="00497178">
              <w:rPr>
                <w:rFonts w:ascii="Arial" w:hAnsi="Arial" w:cs="Arial"/>
                <w:b/>
                <w:bCs/>
                <w:sz w:val="22"/>
              </w:rPr>
              <w:t>Br.</w:t>
            </w:r>
          </w:p>
        </w:tc>
        <w:tc>
          <w:tcPr>
            <w:tcW w:w="2673" w:type="dxa"/>
            <w:vMerge w:val="restart"/>
            <w:shd w:val="clear" w:color="auto" w:fill="auto"/>
          </w:tcPr>
          <w:p w14:paraId="2EC1F70E" w14:textId="77777777" w:rsidR="00BC7E60" w:rsidRPr="00497178" w:rsidRDefault="00BC7E60" w:rsidP="00512D52">
            <w:pPr>
              <w:jc w:val="center"/>
              <w:rPr>
                <w:rFonts w:ascii="Arial" w:hAnsi="Arial" w:cs="Arial"/>
                <w:b/>
                <w:bCs/>
                <w:sz w:val="22"/>
              </w:rPr>
            </w:pPr>
            <w:r w:rsidRPr="00497178">
              <w:rPr>
                <w:rFonts w:ascii="Arial" w:hAnsi="Arial" w:cs="Arial"/>
                <w:b/>
                <w:bCs/>
                <w:sz w:val="22"/>
              </w:rPr>
              <w:t>KORISNIK – namjena</w:t>
            </w:r>
          </w:p>
        </w:tc>
        <w:tc>
          <w:tcPr>
            <w:tcW w:w="3114" w:type="dxa"/>
            <w:gridSpan w:val="2"/>
            <w:shd w:val="clear" w:color="auto" w:fill="auto"/>
          </w:tcPr>
          <w:p w14:paraId="622FA71B" w14:textId="77777777" w:rsidR="00BC7E60" w:rsidRPr="00497178" w:rsidRDefault="00BC7E60" w:rsidP="00512D52">
            <w:pPr>
              <w:jc w:val="center"/>
              <w:rPr>
                <w:rFonts w:ascii="Arial" w:hAnsi="Arial" w:cs="Arial"/>
                <w:b/>
                <w:bCs/>
                <w:sz w:val="22"/>
              </w:rPr>
            </w:pPr>
            <w:r w:rsidRPr="00497178">
              <w:rPr>
                <w:rFonts w:ascii="Arial" w:hAnsi="Arial" w:cs="Arial"/>
                <w:b/>
                <w:bCs/>
                <w:sz w:val="22"/>
              </w:rPr>
              <w:t>I z n o s</w:t>
            </w:r>
          </w:p>
        </w:tc>
        <w:tc>
          <w:tcPr>
            <w:tcW w:w="1737" w:type="dxa"/>
            <w:vMerge w:val="restart"/>
          </w:tcPr>
          <w:p w14:paraId="592A9A89" w14:textId="77777777" w:rsidR="00BC7E60" w:rsidRPr="00497178" w:rsidRDefault="00BC7E60" w:rsidP="00512D52">
            <w:pPr>
              <w:jc w:val="center"/>
              <w:rPr>
                <w:rFonts w:ascii="Arial" w:hAnsi="Arial" w:cs="Arial"/>
                <w:b/>
                <w:bCs/>
                <w:sz w:val="22"/>
              </w:rPr>
            </w:pPr>
            <w:r w:rsidRPr="00497178">
              <w:rPr>
                <w:rFonts w:ascii="Arial" w:hAnsi="Arial" w:cs="Arial"/>
                <w:b/>
                <w:bCs/>
                <w:sz w:val="22"/>
              </w:rPr>
              <w:t>Novi plan 2025.</w:t>
            </w:r>
          </w:p>
        </w:tc>
        <w:tc>
          <w:tcPr>
            <w:tcW w:w="1134" w:type="dxa"/>
            <w:vMerge w:val="restart"/>
          </w:tcPr>
          <w:p w14:paraId="527770E8" w14:textId="77777777" w:rsidR="00BC7E60" w:rsidRPr="00497178" w:rsidRDefault="00BC7E60" w:rsidP="00512D52">
            <w:pPr>
              <w:jc w:val="center"/>
              <w:rPr>
                <w:rFonts w:ascii="Arial" w:hAnsi="Arial" w:cs="Arial"/>
                <w:b/>
                <w:bCs/>
                <w:sz w:val="22"/>
              </w:rPr>
            </w:pPr>
            <w:r w:rsidRPr="00497178">
              <w:rPr>
                <w:rFonts w:ascii="Arial" w:hAnsi="Arial" w:cs="Arial"/>
                <w:b/>
                <w:bCs/>
                <w:sz w:val="22"/>
              </w:rPr>
              <w:t>INDEKS</w:t>
            </w:r>
          </w:p>
          <w:p w14:paraId="4B3346C7" w14:textId="77777777" w:rsidR="00BC7E60" w:rsidRPr="00497178" w:rsidRDefault="00BC7E60" w:rsidP="00512D52">
            <w:pPr>
              <w:jc w:val="center"/>
              <w:rPr>
                <w:rFonts w:ascii="Arial" w:hAnsi="Arial" w:cs="Arial"/>
                <w:b/>
                <w:bCs/>
                <w:sz w:val="22"/>
              </w:rPr>
            </w:pPr>
            <w:r w:rsidRPr="00497178">
              <w:rPr>
                <w:rFonts w:ascii="Arial" w:hAnsi="Arial" w:cs="Arial"/>
                <w:b/>
                <w:bCs/>
                <w:sz w:val="22"/>
              </w:rPr>
              <w:t>5/3</w:t>
            </w:r>
          </w:p>
        </w:tc>
      </w:tr>
      <w:tr w:rsidR="00BC7E60" w:rsidRPr="00497178" w14:paraId="136BF868" w14:textId="77777777" w:rsidTr="00512D52">
        <w:trPr>
          <w:cantSplit/>
        </w:trPr>
        <w:tc>
          <w:tcPr>
            <w:tcW w:w="693" w:type="dxa"/>
            <w:vMerge/>
            <w:shd w:val="clear" w:color="auto" w:fill="auto"/>
          </w:tcPr>
          <w:p w14:paraId="6EF63CED" w14:textId="77777777" w:rsidR="00BC7E60" w:rsidRPr="00497178" w:rsidRDefault="00BC7E60" w:rsidP="00512D52">
            <w:pPr>
              <w:jc w:val="both"/>
              <w:rPr>
                <w:rFonts w:ascii="Arial" w:hAnsi="Arial" w:cs="Arial"/>
                <w:sz w:val="22"/>
              </w:rPr>
            </w:pPr>
          </w:p>
        </w:tc>
        <w:tc>
          <w:tcPr>
            <w:tcW w:w="2673" w:type="dxa"/>
            <w:vMerge/>
            <w:shd w:val="clear" w:color="auto" w:fill="auto"/>
          </w:tcPr>
          <w:p w14:paraId="778C4655" w14:textId="77777777" w:rsidR="00BC7E60" w:rsidRPr="00497178" w:rsidRDefault="00BC7E60" w:rsidP="00512D52">
            <w:pPr>
              <w:jc w:val="both"/>
              <w:rPr>
                <w:rFonts w:ascii="Arial" w:hAnsi="Arial" w:cs="Arial"/>
                <w:sz w:val="22"/>
              </w:rPr>
            </w:pPr>
          </w:p>
        </w:tc>
        <w:tc>
          <w:tcPr>
            <w:tcW w:w="1700" w:type="dxa"/>
            <w:shd w:val="clear" w:color="auto" w:fill="auto"/>
          </w:tcPr>
          <w:p w14:paraId="5B731CFE" w14:textId="77777777" w:rsidR="00BC7E60" w:rsidRPr="00497178" w:rsidRDefault="00BC7E60" w:rsidP="00512D52">
            <w:pPr>
              <w:jc w:val="center"/>
              <w:rPr>
                <w:rFonts w:ascii="Arial" w:hAnsi="Arial" w:cs="Arial"/>
                <w:b/>
                <w:bCs/>
                <w:sz w:val="22"/>
              </w:rPr>
            </w:pPr>
            <w:r w:rsidRPr="00497178">
              <w:rPr>
                <w:rFonts w:ascii="Arial" w:hAnsi="Arial" w:cs="Arial"/>
                <w:b/>
                <w:bCs/>
                <w:sz w:val="22"/>
              </w:rPr>
              <w:t xml:space="preserve">    Plan 2025. </w:t>
            </w:r>
          </w:p>
        </w:tc>
        <w:tc>
          <w:tcPr>
            <w:tcW w:w="1414" w:type="dxa"/>
            <w:shd w:val="clear" w:color="auto" w:fill="auto"/>
          </w:tcPr>
          <w:p w14:paraId="6A2C2EB0" w14:textId="77777777" w:rsidR="00BC7E60" w:rsidRPr="00497178" w:rsidRDefault="00BC7E60" w:rsidP="00512D52">
            <w:pPr>
              <w:jc w:val="center"/>
              <w:rPr>
                <w:rFonts w:ascii="Arial" w:hAnsi="Arial" w:cs="Arial"/>
                <w:b/>
                <w:bCs/>
                <w:sz w:val="22"/>
              </w:rPr>
            </w:pPr>
            <w:r w:rsidRPr="00497178">
              <w:rPr>
                <w:rFonts w:ascii="Arial" w:hAnsi="Arial" w:cs="Arial"/>
                <w:b/>
                <w:bCs/>
                <w:sz w:val="22"/>
              </w:rPr>
              <w:t>Povećanje /</w:t>
            </w:r>
          </w:p>
          <w:p w14:paraId="3C07FDCA" w14:textId="77777777" w:rsidR="00BC7E60" w:rsidRPr="00497178" w:rsidRDefault="00BC7E60" w:rsidP="00512D52">
            <w:pPr>
              <w:jc w:val="center"/>
              <w:rPr>
                <w:rFonts w:ascii="Arial" w:hAnsi="Arial" w:cs="Arial"/>
                <w:b/>
                <w:bCs/>
                <w:sz w:val="22"/>
              </w:rPr>
            </w:pPr>
            <w:r w:rsidRPr="00497178">
              <w:rPr>
                <w:rFonts w:ascii="Arial" w:hAnsi="Arial" w:cs="Arial"/>
                <w:b/>
                <w:bCs/>
                <w:sz w:val="22"/>
              </w:rPr>
              <w:t>smanjenje</w:t>
            </w:r>
          </w:p>
        </w:tc>
        <w:tc>
          <w:tcPr>
            <w:tcW w:w="1737" w:type="dxa"/>
            <w:vMerge/>
          </w:tcPr>
          <w:p w14:paraId="199FFEC9" w14:textId="77777777" w:rsidR="00BC7E60" w:rsidRPr="00497178" w:rsidRDefault="00BC7E60" w:rsidP="00512D52">
            <w:pPr>
              <w:jc w:val="center"/>
              <w:rPr>
                <w:rFonts w:ascii="Arial" w:hAnsi="Arial" w:cs="Arial"/>
                <w:b/>
                <w:bCs/>
                <w:sz w:val="22"/>
              </w:rPr>
            </w:pPr>
          </w:p>
        </w:tc>
        <w:tc>
          <w:tcPr>
            <w:tcW w:w="1134" w:type="dxa"/>
            <w:vMerge/>
          </w:tcPr>
          <w:p w14:paraId="29FE14AD" w14:textId="77777777" w:rsidR="00BC7E60" w:rsidRPr="00497178" w:rsidRDefault="00BC7E60" w:rsidP="00512D52">
            <w:pPr>
              <w:jc w:val="center"/>
              <w:rPr>
                <w:rFonts w:ascii="Arial" w:hAnsi="Arial" w:cs="Arial"/>
                <w:b/>
                <w:bCs/>
                <w:sz w:val="22"/>
              </w:rPr>
            </w:pPr>
          </w:p>
        </w:tc>
      </w:tr>
      <w:tr w:rsidR="00BC7E60" w:rsidRPr="00497178" w14:paraId="46288C9B" w14:textId="77777777" w:rsidTr="00512D52">
        <w:tc>
          <w:tcPr>
            <w:tcW w:w="693" w:type="dxa"/>
            <w:shd w:val="clear" w:color="auto" w:fill="auto"/>
          </w:tcPr>
          <w:p w14:paraId="3025732B" w14:textId="77777777" w:rsidR="00BC7E60" w:rsidRPr="00497178" w:rsidRDefault="00BC7E60" w:rsidP="00512D52">
            <w:pPr>
              <w:jc w:val="center"/>
              <w:rPr>
                <w:rFonts w:ascii="Arial" w:hAnsi="Arial" w:cs="Arial"/>
                <w:b/>
                <w:bCs/>
                <w:sz w:val="22"/>
              </w:rPr>
            </w:pPr>
            <w:r w:rsidRPr="00497178">
              <w:rPr>
                <w:rFonts w:ascii="Arial" w:hAnsi="Arial" w:cs="Arial"/>
                <w:b/>
                <w:bCs/>
                <w:sz w:val="22"/>
              </w:rPr>
              <w:t>1</w:t>
            </w:r>
          </w:p>
        </w:tc>
        <w:tc>
          <w:tcPr>
            <w:tcW w:w="2673" w:type="dxa"/>
            <w:shd w:val="clear" w:color="auto" w:fill="auto"/>
          </w:tcPr>
          <w:p w14:paraId="27BFF3BE" w14:textId="77777777" w:rsidR="00BC7E60" w:rsidRPr="00497178" w:rsidRDefault="00BC7E60" w:rsidP="00512D52">
            <w:pPr>
              <w:jc w:val="center"/>
              <w:rPr>
                <w:rFonts w:ascii="Arial" w:hAnsi="Arial" w:cs="Arial"/>
                <w:b/>
                <w:bCs/>
                <w:sz w:val="22"/>
              </w:rPr>
            </w:pPr>
            <w:r w:rsidRPr="00497178">
              <w:rPr>
                <w:rFonts w:ascii="Arial" w:hAnsi="Arial" w:cs="Arial"/>
                <w:b/>
                <w:bCs/>
                <w:sz w:val="22"/>
              </w:rPr>
              <w:t>2</w:t>
            </w:r>
          </w:p>
        </w:tc>
        <w:tc>
          <w:tcPr>
            <w:tcW w:w="1700" w:type="dxa"/>
            <w:shd w:val="clear" w:color="auto" w:fill="auto"/>
          </w:tcPr>
          <w:p w14:paraId="09F67F91" w14:textId="77777777" w:rsidR="00BC7E60" w:rsidRPr="00497178" w:rsidRDefault="00BC7E60" w:rsidP="00512D52">
            <w:pPr>
              <w:jc w:val="center"/>
              <w:rPr>
                <w:rFonts w:ascii="Arial" w:hAnsi="Arial" w:cs="Arial"/>
                <w:b/>
                <w:bCs/>
                <w:sz w:val="22"/>
              </w:rPr>
            </w:pPr>
            <w:r w:rsidRPr="00497178">
              <w:rPr>
                <w:rFonts w:ascii="Arial" w:hAnsi="Arial" w:cs="Arial"/>
                <w:b/>
                <w:bCs/>
                <w:sz w:val="22"/>
              </w:rPr>
              <w:t>3</w:t>
            </w:r>
          </w:p>
        </w:tc>
        <w:tc>
          <w:tcPr>
            <w:tcW w:w="1414" w:type="dxa"/>
            <w:shd w:val="clear" w:color="auto" w:fill="auto"/>
          </w:tcPr>
          <w:p w14:paraId="5088925A" w14:textId="77777777" w:rsidR="00BC7E60" w:rsidRPr="00497178" w:rsidRDefault="00BC7E60" w:rsidP="00512D52">
            <w:pPr>
              <w:jc w:val="center"/>
              <w:rPr>
                <w:rFonts w:ascii="Arial" w:hAnsi="Arial" w:cs="Arial"/>
                <w:b/>
                <w:bCs/>
                <w:sz w:val="22"/>
              </w:rPr>
            </w:pPr>
            <w:r w:rsidRPr="00497178">
              <w:rPr>
                <w:rFonts w:ascii="Arial" w:hAnsi="Arial" w:cs="Arial"/>
                <w:b/>
                <w:bCs/>
                <w:sz w:val="22"/>
              </w:rPr>
              <w:t>4</w:t>
            </w:r>
          </w:p>
        </w:tc>
        <w:tc>
          <w:tcPr>
            <w:tcW w:w="1737" w:type="dxa"/>
          </w:tcPr>
          <w:p w14:paraId="226354C6" w14:textId="77777777" w:rsidR="00BC7E60" w:rsidRPr="00497178" w:rsidRDefault="00BC7E60" w:rsidP="00512D52">
            <w:pPr>
              <w:jc w:val="center"/>
              <w:rPr>
                <w:rFonts w:ascii="Arial" w:hAnsi="Arial" w:cs="Arial"/>
                <w:b/>
                <w:bCs/>
                <w:sz w:val="22"/>
              </w:rPr>
            </w:pPr>
            <w:r w:rsidRPr="00497178">
              <w:rPr>
                <w:rFonts w:ascii="Arial" w:hAnsi="Arial" w:cs="Arial"/>
                <w:b/>
                <w:bCs/>
                <w:sz w:val="22"/>
              </w:rPr>
              <w:t>5</w:t>
            </w:r>
          </w:p>
        </w:tc>
        <w:tc>
          <w:tcPr>
            <w:tcW w:w="1134" w:type="dxa"/>
          </w:tcPr>
          <w:p w14:paraId="57B7EDBF" w14:textId="77777777" w:rsidR="00BC7E60" w:rsidRPr="00497178" w:rsidRDefault="00BC7E60" w:rsidP="00512D52">
            <w:pPr>
              <w:jc w:val="center"/>
              <w:rPr>
                <w:rFonts w:ascii="Arial" w:hAnsi="Arial" w:cs="Arial"/>
                <w:b/>
                <w:bCs/>
                <w:sz w:val="22"/>
              </w:rPr>
            </w:pPr>
            <w:r w:rsidRPr="00497178">
              <w:rPr>
                <w:rFonts w:ascii="Arial" w:hAnsi="Arial" w:cs="Arial"/>
                <w:b/>
                <w:bCs/>
                <w:sz w:val="22"/>
              </w:rPr>
              <w:t>6</w:t>
            </w:r>
          </w:p>
        </w:tc>
      </w:tr>
      <w:tr w:rsidR="00BC7E60" w:rsidRPr="00497178" w14:paraId="2A8E3415" w14:textId="77777777" w:rsidTr="00512D52">
        <w:tc>
          <w:tcPr>
            <w:tcW w:w="693" w:type="dxa"/>
            <w:shd w:val="clear" w:color="auto" w:fill="auto"/>
          </w:tcPr>
          <w:p w14:paraId="1CA6F672" w14:textId="77777777" w:rsidR="00BC7E60" w:rsidRPr="00497178" w:rsidRDefault="00BC7E60" w:rsidP="00512D52">
            <w:pPr>
              <w:jc w:val="both"/>
              <w:rPr>
                <w:rFonts w:ascii="Arial" w:hAnsi="Arial" w:cs="Arial"/>
                <w:sz w:val="22"/>
              </w:rPr>
            </w:pPr>
            <w:r w:rsidRPr="00497178">
              <w:rPr>
                <w:rFonts w:ascii="Arial" w:hAnsi="Arial" w:cs="Arial"/>
                <w:sz w:val="22"/>
              </w:rPr>
              <w:t>1.</w:t>
            </w:r>
          </w:p>
        </w:tc>
        <w:tc>
          <w:tcPr>
            <w:tcW w:w="2673" w:type="dxa"/>
            <w:shd w:val="clear" w:color="auto" w:fill="auto"/>
          </w:tcPr>
          <w:p w14:paraId="4C49289D" w14:textId="77777777" w:rsidR="00BC7E60" w:rsidRPr="00497178" w:rsidRDefault="00BC7E60" w:rsidP="00512D52">
            <w:pPr>
              <w:rPr>
                <w:rFonts w:ascii="Arial" w:hAnsi="Arial" w:cs="Arial"/>
                <w:sz w:val="22"/>
              </w:rPr>
            </w:pPr>
            <w:r w:rsidRPr="00497178">
              <w:rPr>
                <w:rFonts w:ascii="Arial" w:hAnsi="Arial" w:cs="Arial"/>
                <w:sz w:val="22"/>
              </w:rPr>
              <w:t>UO za poslove Gradonačelnika,</w:t>
            </w:r>
          </w:p>
          <w:p w14:paraId="2DA7E787" w14:textId="77777777" w:rsidR="00BC7E60" w:rsidRPr="00497178" w:rsidRDefault="00BC7E60" w:rsidP="00512D52">
            <w:pPr>
              <w:rPr>
                <w:rFonts w:ascii="Arial" w:hAnsi="Arial" w:cs="Arial"/>
                <w:sz w:val="22"/>
              </w:rPr>
            </w:pPr>
            <w:r w:rsidRPr="00497178">
              <w:rPr>
                <w:rFonts w:ascii="Arial" w:hAnsi="Arial" w:cs="Arial"/>
                <w:sz w:val="22"/>
              </w:rPr>
              <w:t>Gradskog vijeća i opće poslove</w:t>
            </w:r>
          </w:p>
          <w:p w14:paraId="1D69ED61" w14:textId="77777777" w:rsidR="00BC7E60" w:rsidRPr="00497178" w:rsidRDefault="00BC7E60" w:rsidP="00512D52">
            <w:pPr>
              <w:rPr>
                <w:rFonts w:ascii="Arial" w:hAnsi="Arial" w:cs="Arial"/>
                <w:sz w:val="22"/>
              </w:rPr>
            </w:pPr>
            <w:r w:rsidRPr="00497178">
              <w:rPr>
                <w:rFonts w:ascii="Arial" w:hAnsi="Arial" w:cs="Arial"/>
                <w:sz w:val="22"/>
              </w:rPr>
              <w:t xml:space="preserve"> </w:t>
            </w:r>
          </w:p>
          <w:p w14:paraId="03C452B9" w14:textId="77777777" w:rsidR="00BC7E60" w:rsidRPr="00497178" w:rsidRDefault="00BC7E60">
            <w:pPr>
              <w:numPr>
                <w:ilvl w:val="0"/>
                <w:numId w:val="11"/>
              </w:numPr>
              <w:contextualSpacing/>
              <w:rPr>
                <w:rFonts w:ascii="Arial" w:hAnsi="Arial" w:cs="Arial"/>
                <w:sz w:val="22"/>
              </w:rPr>
            </w:pPr>
            <w:r w:rsidRPr="00497178">
              <w:rPr>
                <w:rFonts w:ascii="Arial" w:hAnsi="Arial" w:cs="Arial"/>
                <w:sz w:val="22"/>
              </w:rPr>
              <w:t>oprema</w:t>
            </w:r>
          </w:p>
          <w:p w14:paraId="1DA62454" w14:textId="77777777" w:rsidR="00BC7E60" w:rsidRPr="00497178" w:rsidRDefault="00BC7E60">
            <w:pPr>
              <w:numPr>
                <w:ilvl w:val="0"/>
                <w:numId w:val="11"/>
              </w:numPr>
              <w:contextualSpacing/>
              <w:rPr>
                <w:rFonts w:ascii="Arial" w:hAnsi="Arial" w:cs="Arial"/>
                <w:sz w:val="22"/>
              </w:rPr>
            </w:pPr>
            <w:r w:rsidRPr="00497178">
              <w:rPr>
                <w:rFonts w:ascii="Arial" w:hAnsi="Arial" w:cs="Arial"/>
                <w:sz w:val="22"/>
              </w:rPr>
              <w:t>prijevozno sredstvo-          automobil</w:t>
            </w:r>
          </w:p>
        </w:tc>
        <w:tc>
          <w:tcPr>
            <w:tcW w:w="1700" w:type="dxa"/>
            <w:shd w:val="clear" w:color="auto" w:fill="auto"/>
          </w:tcPr>
          <w:p w14:paraId="09CC68EF" w14:textId="77777777" w:rsidR="00BC7E60" w:rsidRPr="00497178" w:rsidRDefault="00BC7E60" w:rsidP="00512D52">
            <w:pPr>
              <w:jc w:val="right"/>
              <w:rPr>
                <w:rFonts w:ascii="Arial" w:hAnsi="Arial" w:cs="Arial"/>
                <w:sz w:val="22"/>
              </w:rPr>
            </w:pPr>
          </w:p>
          <w:p w14:paraId="01E25811" w14:textId="77777777" w:rsidR="00BC7E60" w:rsidRPr="00497178" w:rsidRDefault="00BC7E60" w:rsidP="00512D52">
            <w:pPr>
              <w:jc w:val="right"/>
              <w:rPr>
                <w:rFonts w:ascii="Arial" w:hAnsi="Arial" w:cs="Arial"/>
                <w:sz w:val="22"/>
              </w:rPr>
            </w:pPr>
          </w:p>
          <w:p w14:paraId="63594357" w14:textId="77777777" w:rsidR="00BC7E60" w:rsidRPr="00497178" w:rsidRDefault="00BC7E60" w:rsidP="00512D52">
            <w:pPr>
              <w:jc w:val="right"/>
              <w:rPr>
                <w:rFonts w:ascii="Arial" w:hAnsi="Arial" w:cs="Arial"/>
                <w:b/>
                <w:bCs/>
                <w:sz w:val="22"/>
              </w:rPr>
            </w:pPr>
            <w:r w:rsidRPr="00497178">
              <w:rPr>
                <w:rFonts w:ascii="Arial" w:hAnsi="Arial" w:cs="Arial"/>
                <w:b/>
                <w:bCs/>
                <w:sz w:val="22"/>
              </w:rPr>
              <w:t>48.100,00</w:t>
            </w:r>
          </w:p>
          <w:p w14:paraId="72793F2A" w14:textId="77777777" w:rsidR="00BC7E60" w:rsidRPr="00497178" w:rsidRDefault="00BC7E60" w:rsidP="00512D52">
            <w:pPr>
              <w:jc w:val="right"/>
              <w:rPr>
                <w:rFonts w:ascii="Arial" w:hAnsi="Arial" w:cs="Arial"/>
                <w:b/>
                <w:bCs/>
                <w:sz w:val="22"/>
              </w:rPr>
            </w:pPr>
          </w:p>
          <w:p w14:paraId="307927F1" w14:textId="77777777" w:rsidR="00BC7E60" w:rsidRPr="00497178" w:rsidRDefault="00BC7E60" w:rsidP="00512D52">
            <w:pPr>
              <w:jc w:val="right"/>
              <w:rPr>
                <w:rFonts w:ascii="Arial" w:hAnsi="Arial" w:cs="Arial"/>
                <w:b/>
                <w:bCs/>
                <w:sz w:val="22"/>
              </w:rPr>
            </w:pPr>
          </w:p>
          <w:p w14:paraId="32FE21CB" w14:textId="77777777" w:rsidR="00BC7E60" w:rsidRPr="00497178" w:rsidRDefault="00BC7E60" w:rsidP="00512D52">
            <w:pPr>
              <w:jc w:val="right"/>
              <w:rPr>
                <w:rFonts w:ascii="Arial" w:hAnsi="Arial" w:cs="Arial"/>
                <w:sz w:val="22"/>
              </w:rPr>
            </w:pPr>
            <w:r w:rsidRPr="00497178">
              <w:rPr>
                <w:rFonts w:ascii="Arial" w:hAnsi="Arial" w:cs="Arial"/>
                <w:sz w:val="22"/>
              </w:rPr>
              <w:t>14.600,00</w:t>
            </w:r>
          </w:p>
          <w:p w14:paraId="5A632909" w14:textId="77777777" w:rsidR="00BC7E60" w:rsidRPr="00497178" w:rsidRDefault="00BC7E60" w:rsidP="00512D52">
            <w:pPr>
              <w:jc w:val="right"/>
              <w:rPr>
                <w:rFonts w:ascii="Arial" w:hAnsi="Arial" w:cs="Arial"/>
                <w:sz w:val="22"/>
              </w:rPr>
            </w:pPr>
            <w:r w:rsidRPr="00497178">
              <w:rPr>
                <w:rFonts w:ascii="Arial" w:hAnsi="Arial" w:cs="Arial"/>
                <w:sz w:val="22"/>
              </w:rPr>
              <w:t>33.500,00</w:t>
            </w:r>
          </w:p>
        </w:tc>
        <w:tc>
          <w:tcPr>
            <w:tcW w:w="1414" w:type="dxa"/>
            <w:shd w:val="clear" w:color="auto" w:fill="auto"/>
          </w:tcPr>
          <w:p w14:paraId="292A1244" w14:textId="77777777" w:rsidR="00BC7E60" w:rsidRPr="00497178" w:rsidRDefault="00BC7E60" w:rsidP="00512D52">
            <w:pPr>
              <w:jc w:val="right"/>
              <w:rPr>
                <w:rFonts w:ascii="Arial" w:hAnsi="Arial" w:cs="Arial"/>
                <w:sz w:val="22"/>
              </w:rPr>
            </w:pPr>
          </w:p>
          <w:p w14:paraId="4E0B85EE" w14:textId="77777777" w:rsidR="00BC7E60" w:rsidRPr="00497178" w:rsidRDefault="00BC7E60" w:rsidP="00512D52">
            <w:pPr>
              <w:jc w:val="right"/>
              <w:rPr>
                <w:rFonts w:ascii="Arial" w:hAnsi="Arial" w:cs="Arial"/>
                <w:sz w:val="22"/>
              </w:rPr>
            </w:pPr>
          </w:p>
          <w:p w14:paraId="2B1DE363" w14:textId="77777777" w:rsidR="00BC7E60" w:rsidRPr="00497178" w:rsidRDefault="00BC7E60" w:rsidP="00512D52">
            <w:pPr>
              <w:jc w:val="right"/>
              <w:rPr>
                <w:rFonts w:ascii="Arial" w:hAnsi="Arial" w:cs="Arial"/>
                <w:b/>
                <w:bCs/>
                <w:sz w:val="22"/>
              </w:rPr>
            </w:pPr>
            <w:r w:rsidRPr="00497178">
              <w:rPr>
                <w:rFonts w:ascii="Arial" w:hAnsi="Arial" w:cs="Arial"/>
                <w:b/>
                <w:bCs/>
                <w:sz w:val="22"/>
              </w:rPr>
              <w:t>12.700,00</w:t>
            </w:r>
          </w:p>
          <w:p w14:paraId="34A92455" w14:textId="77777777" w:rsidR="00BC7E60" w:rsidRPr="00497178" w:rsidRDefault="00BC7E60" w:rsidP="00512D52">
            <w:pPr>
              <w:jc w:val="right"/>
              <w:rPr>
                <w:rFonts w:ascii="Arial" w:hAnsi="Arial" w:cs="Arial"/>
                <w:sz w:val="22"/>
              </w:rPr>
            </w:pPr>
          </w:p>
          <w:p w14:paraId="57E3A2C6" w14:textId="77777777" w:rsidR="00BC7E60" w:rsidRPr="00497178" w:rsidRDefault="00BC7E60" w:rsidP="00512D52">
            <w:pPr>
              <w:jc w:val="right"/>
              <w:rPr>
                <w:rFonts w:ascii="Arial" w:hAnsi="Arial" w:cs="Arial"/>
                <w:sz w:val="22"/>
              </w:rPr>
            </w:pPr>
          </w:p>
          <w:p w14:paraId="52E87439" w14:textId="77777777" w:rsidR="00BC7E60" w:rsidRPr="00497178" w:rsidRDefault="00BC7E60" w:rsidP="00512D52">
            <w:pPr>
              <w:jc w:val="right"/>
              <w:rPr>
                <w:rFonts w:ascii="Arial" w:hAnsi="Arial" w:cs="Arial"/>
                <w:sz w:val="22"/>
              </w:rPr>
            </w:pPr>
            <w:r w:rsidRPr="00497178">
              <w:rPr>
                <w:rFonts w:ascii="Arial" w:hAnsi="Arial" w:cs="Arial"/>
                <w:sz w:val="22"/>
              </w:rPr>
              <w:t>12.700,00</w:t>
            </w:r>
          </w:p>
          <w:p w14:paraId="3ABF96EF" w14:textId="77777777" w:rsidR="00BC7E60" w:rsidRPr="00497178" w:rsidRDefault="00BC7E60" w:rsidP="00512D52">
            <w:pPr>
              <w:jc w:val="right"/>
              <w:rPr>
                <w:rFonts w:ascii="Arial" w:hAnsi="Arial" w:cs="Arial"/>
                <w:sz w:val="22"/>
              </w:rPr>
            </w:pPr>
            <w:r w:rsidRPr="00497178">
              <w:rPr>
                <w:rFonts w:ascii="Arial" w:hAnsi="Arial" w:cs="Arial"/>
                <w:sz w:val="22"/>
              </w:rPr>
              <w:t>-</w:t>
            </w:r>
          </w:p>
        </w:tc>
        <w:tc>
          <w:tcPr>
            <w:tcW w:w="1737" w:type="dxa"/>
          </w:tcPr>
          <w:p w14:paraId="630E1BB3" w14:textId="77777777" w:rsidR="00BC7E60" w:rsidRPr="00497178" w:rsidRDefault="00BC7E60" w:rsidP="00512D52">
            <w:pPr>
              <w:jc w:val="right"/>
              <w:rPr>
                <w:rFonts w:ascii="Arial" w:hAnsi="Arial" w:cs="Arial"/>
                <w:sz w:val="22"/>
              </w:rPr>
            </w:pPr>
          </w:p>
          <w:p w14:paraId="2F4989CE" w14:textId="77777777" w:rsidR="00BC7E60" w:rsidRPr="00497178" w:rsidRDefault="00BC7E60" w:rsidP="00512D52">
            <w:pPr>
              <w:jc w:val="right"/>
              <w:rPr>
                <w:rFonts w:ascii="Arial" w:hAnsi="Arial" w:cs="Arial"/>
                <w:sz w:val="22"/>
              </w:rPr>
            </w:pPr>
          </w:p>
          <w:p w14:paraId="33386D44" w14:textId="77777777" w:rsidR="00BC7E60" w:rsidRPr="00497178" w:rsidRDefault="00BC7E60" w:rsidP="00512D52">
            <w:pPr>
              <w:jc w:val="right"/>
              <w:rPr>
                <w:rFonts w:ascii="Arial" w:hAnsi="Arial" w:cs="Arial"/>
                <w:b/>
                <w:bCs/>
                <w:sz w:val="22"/>
              </w:rPr>
            </w:pPr>
            <w:r w:rsidRPr="00497178">
              <w:rPr>
                <w:rFonts w:ascii="Arial" w:hAnsi="Arial" w:cs="Arial"/>
                <w:b/>
                <w:bCs/>
                <w:sz w:val="22"/>
              </w:rPr>
              <w:t>60.800,00</w:t>
            </w:r>
          </w:p>
          <w:p w14:paraId="16C4A3D8" w14:textId="77777777" w:rsidR="00BC7E60" w:rsidRPr="00497178" w:rsidRDefault="00BC7E60" w:rsidP="00512D52">
            <w:pPr>
              <w:jc w:val="right"/>
              <w:rPr>
                <w:rFonts w:ascii="Arial" w:hAnsi="Arial" w:cs="Arial"/>
                <w:sz w:val="22"/>
              </w:rPr>
            </w:pPr>
          </w:p>
          <w:p w14:paraId="10CE5CA7" w14:textId="77777777" w:rsidR="00BC7E60" w:rsidRPr="00497178" w:rsidRDefault="00BC7E60" w:rsidP="00512D52">
            <w:pPr>
              <w:jc w:val="right"/>
              <w:rPr>
                <w:rFonts w:ascii="Arial" w:hAnsi="Arial" w:cs="Arial"/>
                <w:sz w:val="22"/>
              </w:rPr>
            </w:pPr>
          </w:p>
          <w:p w14:paraId="57C53B92" w14:textId="77777777" w:rsidR="00BC7E60" w:rsidRPr="00497178" w:rsidRDefault="00BC7E60" w:rsidP="00512D52">
            <w:pPr>
              <w:jc w:val="right"/>
              <w:rPr>
                <w:rFonts w:ascii="Arial" w:hAnsi="Arial" w:cs="Arial"/>
                <w:sz w:val="22"/>
              </w:rPr>
            </w:pPr>
            <w:r w:rsidRPr="00497178">
              <w:rPr>
                <w:rFonts w:ascii="Arial" w:hAnsi="Arial" w:cs="Arial"/>
                <w:sz w:val="22"/>
              </w:rPr>
              <w:t>27.300,00</w:t>
            </w:r>
          </w:p>
          <w:p w14:paraId="448B4620" w14:textId="77777777" w:rsidR="00BC7E60" w:rsidRPr="00497178" w:rsidRDefault="00BC7E60" w:rsidP="00512D52">
            <w:pPr>
              <w:jc w:val="right"/>
              <w:rPr>
                <w:rFonts w:ascii="Arial" w:hAnsi="Arial" w:cs="Arial"/>
                <w:sz w:val="22"/>
              </w:rPr>
            </w:pPr>
            <w:r w:rsidRPr="00497178">
              <w:rPr>
                <w:rFonts w:ascii="Arial" w:hAnsi="Arial" w:cs="Arial"/>
                <w:sz w:val="22"/>
              </w:rPr>
              <w:t>33.500,00</w:t>
            </w:r>
          </w:p>
        </w:tc>
        <w:tc>
          <w:tcPr>
            <w:tcW w:w="1134" w:type="dxa"/>
          </w:tcPr>
          <w:p w14:paraId="2E0E1DA8" w14:textId="77777777" w:rsidR="00BC7E60" w:rsidRPr="00497178" w:rsidRDefault="00BC7E60" w:rsidP="00512D52">
            <w:pPr>
              <w:jc w:val="right"/>
              <w:rPr>
                <w:rFonts w:ascii="Arial" w:hAnsi="Arial" w:cs="Arial"/>
                <w:sz w:val="22"/>
              </w:rPr>
            </w:pPr>
          </w:p>
          <w:p w14:paraId="6E947C50" w14:textId="77777777" w:rsidR="00BC7E60" w:rsidRPr="00497178" w:rsidRDefault="00BC7E60" w:rsidP="00512D52">
            <w:pPr>
              <w:jc w:val="right"/>
              <w:rPr>
                <w:rFonts w:ascii="Arial" w:hAnsi="Arial" w:cs="Arial"/>
                <w:sz w:val="22"/>
              </w:rPr>
            </w:pPr>
          </w:p>
          <w:p w14:paraId="5171F170" w14:textId="77777777" w:rsidR="00BC7E60" w:rsidRPr="00497178" w:rsidRDefault="00BC7E60" w:rsidP="00512D52">
            <w:pPr>
              <w:jc w:val="right"/>
              <w:rPr>
                <w:rFonts w:ascii="Arial" w:hAnsi="Arial" w:cs="Arial"/>
                <w:b/>
                <w:bCs/>
                <w:sz w:val="22"/>
              </w:rPr>
            </w:pPr>
            <w:r w:rsidRPr="00497178">
              <w:rPr>
                <w:rFonts w:ascii="Arial" w:hAnsi="Arial" w:cs="Arial"/>
                <w:b/>
                <w:bCs/>
                <w:sz w:val="22"/>
              </w:rPr>
              <w:t>126,40</w:t>
            </w:r>
          </w:p>
          <w:p w14:paraId="1B483094" w14:textId="77777777" w:rsidR="00BC7E60" w:rsidRPr="00497178" w:rsidRDefault="00BC7E60" w:rsidP="00512D52">
            <w:pPr>
              <w:jc w:val="right"/>
              <w:rPr>
                <w:rFonts w:ascii="Arial" w:hAnsi="Arial" w:cs="Arial"/>
                <w:b/>
                <w:bCs/>
                <w:sz w:val="22"/>
              </w:rPr>
            </w:pPr>
          </w:p>
          <w:p w14:paraId="3B7C5DE8" w14:textId="77777777" w:rsidR="00BC7E60" w:rsidRPr="00497178" w:rsidRDefault="00BC7E60" w:rsidP="00512D52">
            <w:pPr>
              <w:jc w:val="right"/>
              <w:rPr>
                <w:rFonts w:ascii="Arial" w:hAnsi="Arial" w:cs="Arial"/>
                <w:b/>
                <w:bCs/>
                <w:sz w:val="22"/>
              </w:rPr>
            </w:pPr>
          </w:p>
          <w:p w14:paraId="2D2B5357" w14:textId="77777777" w:rsidR="00BC7E60" w:rsidRPr="00497178" w:rsidRDefault="00BC7E60" w:rsidP="00512D52">
            <w:pPr>
              <w:jc w:val="right"/>
              <w:rPr>
                <w:rFonts w:ascii="Arial" w:hAnsi="Arial" w:cs="Arial"/>
                <w:sz w:val="22"/>
              </w:rPr>
            </w:pPr>
            <w:r w:rsidRPr="00497178">
              <w:rPr>
                <w:rFonts w:ascii="Arial" w:hAnsi="Arial" w:cs="Arial"/>
                <w:sz w:val="22"/>
              </w:rPr>
              <w:t>186,97</w:t>
            </w:r>
          </w:p>
          <w:p w14:paraId="72290413" w14:textId="77777777" w:rsidR="00BC7E60" w:rsidRPr="00497178" w:rsidRDefault="00BC7E60" w:rsidP="00512D52">
            <w:pPr>
              <w:jc w:val="right"/>
              <w:rPr>
                <w:rFonts w:ascii="Arial" w:hAnsi="Arial" w:cs="Arial"/>
                <w:b/>
                <w:bCs/>
                <w:sz w:val="22"/>
              </w:rPr>
            </w:pPr>
            <w:r w:rsidRPr="00497178">
              <w:rPr>
                <w:rFonts w:ascii="Arial" w:hAnsi="Arial" w:cs="Arial"/>
                <w:sz w:val="22"/>
              </w:rPr>
              <w:t>100,00</w:t>
            </w:r>
          </w:p>
        </w:tc>
      </w:tr>
      <w:tr w:rsidR="00BC7E60" w:rsidRPr="00497178" w14:paraId="3746E132" w14:textId="77777777" w:rsidTr="00512D52">
        <w:trPr>
          <w:trHeight w:val="1137"/>
        </w:trPr>
        <w:tc>
          <w:tcPr>
            <w:tcW w:w="693" w:type="dxa"/>
            <w:shd w:val="clear" w:color="auto" w:fill="auto"/>
          </w:tcPr>
          <w:p w14:paraId="2C70C1C0" w14:textId="77777777" w:rsidR="00BC7E60" w:rsidRPr="00497178" w:rsidRDefault="00BC7E60" w:rsidP="00512D52">
            <w:pPr>
              <w:jc w:val="both"/>
              <w:rPr>
                <w:rFonts w:ascii="Arial" w:hAnsi="Arial" w:cs="Arial"/>
                <w:sz w:val="22"/>
              </w:rPr>
            </w:pPr>
            <w:r w:rsidRPr="00497178">
              <w:rPr>
                <w:rFonts w:ascii="Arial" w:hAnsi="Arial" w:cs="Arial"/>
                <w:sz w:val="22"/>
              </w:rPr>
              <w:t>2.</w:t>
            </w:r>
          </w:p>
        </w:tc>
        <w:tc>
          <w:tcPr>
            <w:tcW w:w="2673" w:type="dxa"/>
            <w:shd w:val="clear" w:color="auto" w:fill="auto"/>
          </w:tcPr>
          <w:p w14:paraId="7CC5BE75" w14:textId="77777777" w:rsidR="00BC7E60" w:rsidRPr="00497178" w:rsidRDefault="00BC7E60" w:rsidP="00512D52">
            <w:pPr>
              <w:rPr>
                <w:rFonts w:ascii="Arial" w:hAnsi="Arial" w:cs="Arial"/>
                <w:sz w:val="22"/>
              </w:rPr>
            </w:pPr>
            <w:bookmarkStart w:id="27" w:name="_Hlk168844430"/>
            <w:r w:rsidRPr="00497178">
              <w:rPr>
                <w:rFonts w:ascii="Arial" w:hAnsi="Arial" w:cs="Arial"/>
                <w:sz w:val="22"/>
              </w:rPr>
              <w:t>UO za prostorno uređenje, zaštitu okoliša i izdavanje akata za gradnju</w:t>
            </w:r>
          </w:p>
          <w:bookmarkEnd w:id="27"/>
          <w:p w14:paraId="49289B4B" w14:textId="77777777" w:rsidR="00BC7E60" w:rsidRPr="00497178" w:rsidRDefault="00BC7E60" w:rsidP="00512D52">
            <w:pPr>
              <w:rPr>
                <w:rFonts w:ascii="Arial" w:hAnsi="Arial" w:cs="Arial"/>
                <w:sz w:val="22"/>
              </w:rPr>
            </w:pPr>
          </w:p>
          <w:p w14:paraId="35DA71C6" w14:textId="77777777" w:rsidR="00BC7E60" w:rsidRPr="00497178" w:rsidRDefault="00BC7E60">
            <w:pPr>
              <w:numPr>
                <w:ilvl w:val="0"/>
                <w:numId w:val="7"/>
              </w:numPr>
              <w:tabs>
                <w:tab w:val="clear" w:pos="720"/>
                <w:tab w:val="num" w:pos="360"/>
              </w:tabs>
              <w:ind w:left="360"/>
              <w:jc w:val="both"/>
              <w:rPr>
                <w:rFonts w:ascii="Arial" w:hAnsi="Arial" w:cs="Arial"/>
                <w:sz w:val="22"/>
              </w:rPr>
            </w:pPr>
            <w:r w:rsidRPr="00497178">
              <w:rPr>
                <w:rFonts w:ascii="Arial" w:hAnsi="Arial" w:cs="Arial"/>
                <w:sz w:val="22"/>
              </w:rPr>
              <w:t>poslovni objekti</w:t>
            </w:r>
          </w:p>
          <w:p w14:paraId="184B977E" w14:textId="77777777" w:rsidR="00BC7E60" w:rsidRPr="00497178" w:rsidRDefault="00BC7E60">
            <w:pPr>
              <w:numPr>
                <w:ilvl w:val="0"/>
                <w:numId w:val="7"/>
              </w:numPr>
              <w:tabs>
                <w:tab w:val="clear" w:pos="720"/>
                <w:tab w:val="num" w:pos="360"/>
              </w:tabs>
              <w:ind w:left="360"/>
              <w:jc w:val="both"/>
              <w:rPr>
                <w:rFonts w:ascii="Arial" w:hAnsi="Arial" w:cs="Arial"/>
                <w:sz w:val="22"/>
              </w:rPr>
            </w:pPr>
            <w:r w:rsidRPr="00497178">
              <w:rPr>
                <w:rFonts w:ascii="Arial" w:hAnsi="Arial" w:cs="Arial"/>
                <w:sz w:val="22"/>
              </w:rPr>
              <w:t>ceste</w:t>
            </w:r>
          </w:p>
          <w:p w14:paraId="26FF7918" w14:textId="77777777" w:rsidR="00BC7E60" w:rsidRPr="00497178" w:rsidRDefault="00BC7E60">
            <w:pPr>
              <w:numPr>
                <w:ilvl w:val="0"/>
                <w:numId w:val="7"/>
              </w:numPr>
              <w:tabs>
                <w:tab w:val="clear" w:pos="720"/>
                <w:tab w:val="num" w:pos="360"/>
              </w:tabs>
              <w:ind w:left="360"/>
              <w:jc w:val="both"/>
              <w:rPr>
                <w:rFonts w:ascii="Arial" w:hAnsi="Arial" w:cs="Arial"/>
                <w:sz w:val="22"/>
              </w:rPr>
            </w:pPr>
            <w:r w:rsidRPr="00497178">
              <w:rPr>
                <w:rFonts w:ascii="Arial" w:hAnsi="Arial" w:cs="Arial"/>
                <w:sz w:val="22"/>
              </w:rPr>
              <w:t xml:space="preserve">ostali </w:t>
            </w:r>
            <w:proofErr w:type="spellStart"/>
            <w:r w:rsidRPr="00497178">
              <w:rPr>
                <w:rFonts w:ascii="Arial" w:hAnsi="Arial" w:cs="Arial"/>
                <w:sz w:val="22"/>
              </w:rPr>
              <w:t>građ</w:t>
            </w:r>
            <w:proofErr w:type="spellEnd"/>
            <w:r w:rsidRPr="00497178">
              <w:rPr>
                <w:rFonts w:ascii="Arial" w:hAnsi="Arial" w:cs="Arial"/>
                <w:sz w:val="22"/>
              </w:rPr>
              <w:t>. objekti</w:t>
            </w:r>
          </w:p>
          <w:p w14:paraId="31D549AA" w14:textId="77777777" w:rsidR="00BC7E60" w:rsidRPr="00497178" w:rsidRDefault="00BC7E60">
            <w:pPr>
              <w:numPr>
                <w:ilvl w:val="0"/>
                <w:numId w:val="7"/>
              </w:numPr>
              <w:tabs>
                <w:tab w:val="clear" w:pos="720"/>
                <w:tab w:val="num" w:pos="360"/>
              </w:tabs>
              <w:ind w:left="360"/>
              <w:jc w:val="both"/>
              <w:rPr>
                <w:rFonts w:ascii="Arial" w:hAnsi="Arial" w:cs="Arial"/>
                <w:sz w:val="22"/>
              </w:rPr>
            </w:pPr>
            <w:r w:rsidRPr="00497178">
              <w:rPr>
                <w:rFonts w:ascii="Arial" w:hAnsi="Arial" w:cs="Arial"/>
                <w:sz w:val="22"/>
              </w:rPr>
              <w:t>postrojenja i oprema</w:t>
            </w:r>
          </w:p>
        </w:tc>
        <w:tc>
          <w:tcPr>
            <w:tcW w:w="1700" w:type="dxa"/>
            <w:shd w:val="clear" w:color="auto" w:fill="auto"/>
          </w:tcPr>
          <w:p w14:paraId="5E77BE38" w14:textId="77777777" w:rsidR="00BC7E60" w:rsidRPr="00497178" w:rsidRDefault="00BC7E60" w:rsidP="00512D52">
            <w:pPr>
              <w:jc w:val="right"/>
              <w:rPr>
                <w:rFonts w:ascii="Arial" w:hAnsi="Arial" w:cs="Arial"/>
                <w:sz w:val="22"/>
              </w:rPr>
            </w:pPr>
          </w:p>
          <w:p w14:paraId="32C964C7" w14:textId="77777777" w:rsidR="00BC7E60" w:rsidRPr="00497178" w:rsidRDefault="00BC7E60" w:rsidP="00512D52">
            <w:pPr>
              <w:jc w:val="right"/>
              <w:rPr>
                <w:rFonts w:ascii="Arial" w:hAnsi="Arial" w:cs="Arial"/>
                <w:sz w:val="22"/>
              </w:rPr>
            </w:pPr>
          </w:p>
          <w:p w14:paraId="732BF87D" w14:textId="77777777" w:rsidR="00BC7E60" w:rsidRPr="00497178" w:rsidRDefault="00BC7E60" w:rsidP="00512D52">
            <w:pPr>
              <w:jc w:val="right"/>
              <w:rPr>
                <w:rFonts w:ascii="Arial" w:hAnsi="Arial" w:cs="Arial"/>
                <w:b/>
                <w:bCs/>
                <w:sz w:val="22"/>
              </w:rPr>
            </w:pPr>
            <w:r w:rsidRPr="00497178">
              <w:rPr>
                <w:rFonts w:ascii="Arial" w:hAnsi="Arial" w:cs="Arial"/>
                <w:b/>
                <w:bCs/>
                <w:sz w:val="22"/>
              </w:rPr>
              <w:t>3.684.593,00</w:t>
            </w:r>
          </w:p>
          <w:p w14:paraId="78E8B736" w14:textId="77777777" w:rsidR="00BC7E60" w:rsidRPr="00497178" w:rsidRDefault="00BC7E60" w:rsidP="00512D52">
            <w:pPr>
              <w:jc w:val="right"/>
              <w:rPr>
                <w:rFonts w:ascii="Arial" w:hAnsi="Arial" w:cs="Arial"/>
                <w:sz w:val="22"/>
              </w:rPr>
            </w:pPr>
          </w:p>
          <w:p w14:paraId="12C990B9" w14:textId="77777777" w:rsidR="00BC7E60" w:rsidRPr="00497178" w:rsidRDefault="00BC7E60" w:rsidP="00512D52">
            <w:pPr>
              <w:jc w:val="right"/>
              <w:rPr>
                <w:rFonts w:ascii="Arial" w:hAnsi="Arial" w:cs="Arial"/>
                <w:sz w:val="22"/>
              </w:rPr>
            </w:pPr>
          </w:p>
          <w:p w14:paraId="59C1D7A8" w14:textId="77777777" w:rsidR="00BC7E60" w:rsidRPr="00497178" w:rsidRDefault="00BC7E60" w:rsidP="00512D52">
            <w:pPr>
              <w:jc w:val="right"/>
              <w:rPr>
                <w:rFonts w:ascii="Arial" w:hAnsi="Arial" w:cs="Arial"/>
                <w:sz w:val="22"/>
              </w:rPr>
            </w:pPr>
            <w:r w:rsidRPr="00497178">
              <w:rPr>
                <w:rFonts w:ascii="Arial" w:hAnsi="Arial" w:cs="Arial"/>
                <w:sz w:val="22"/>
              </w:rPr>
              <w:t>1.730.921,00</w:t>
            </w:r>
          </w:p>
          <w:p w14:paraId="7C7B28AF" w14:textId="77777777" w:rsidR="00BC7E60" w:rsidRPr="00497178" w:rsidRDefault="00BC7E60" w:rsidP="00512D52">
            <w:pPr>
              <w:jc w:val="right"/>
              <w:rPr>
                <w:rFonts w:ascii="Arial" w:hAnsi="Arial" w:cs="Arial"/>
                <w:sz w:val="22"/>
              </w:rPr>
            </w:pPr>
            <w:r w:rsidRPr="00497178">
              <w:rPr>
                <w:rFonts w:ascii="Arial" w:hAnsi="Arial" w:cs="Arial"/>
                <w:sz w:val="22"/>
              </w:rPr>
              <w:t>1.063.010,00</w:t>
            </w:r>
          </w:p>
          <w:p w14:paraId="1BD4CDEB" w14:textId="77777777" w:rsidR="00BC7E60" w:rsidRPr="00497178" w:rsidRDefault="00BC7E60" w:rsidP="00512D52">
            <w:pPr>
              <w:jc w:val="right"/>
              <w:rPr>
                <w:rFonts w:ascii="Arial" w:hAnsi="Arial" w:cs="Arial"/>
                <w:sz w:val="22"/>
              </w:rPr>
            </w:pPr>
            <w:r w:rsidRPr="00497178">
              <w:rPr>
                <w:rFonts w:ascii="Arial" w:hAnsi="Arial" w:cs="Arial"/>
                <w:sz w:val="22"/>
              </w:rPr>
              <w:t>804.412,00</w:t>
            </w:r>
          </w:p>
          <w:p w14:paraId="4DEC6C17" w14:textId="77777777" w:rsidR="00BC7E60" w:rsidRPr="00497178" w:rsidRDefault="00BC7E60" w:rsidP="00512D52">
            <w:pPr>
              <w:jc w:val="right"/>
              <w:rPr>
                <w:rFonts w:ascii="Arial" w:hAnsi="Arial" w:cs="Arial"/>
                <w:sz w:val="22"/>
              </w:rPr>
            </w:pPr>
            <w:r w:rsidRPr="00497178">
              <w:rPr>
                <w:rFonts w:ascii="Arial" w:hAnsi="Arial" w:cs="Arial"/>
                <w:sz w:val="22"/>
              </w:rPr>
              <w:t>86.250,00</w:t>
            </w:r>
          </w:p>
        </w:tc>
        <w:tc>
          <w:tcPr>
            <w:tcW w:w="1414" w:type="dxa"/>
            <w:shd w:val="clear" w:color="auto" w:fill="auto"/>
          </w:tcPr>
          <w:p w14:paraId="01FB7F48" w14:textId="77777777" w:rsidR="00BC7E60" w:rsidRPr="00497178" w:rsidRDefault="00BC7E60" w:rsidP="00512D52">
            <w:pPr>
              <w:jc w:val="right"/>
              <w:rPr>
                <w:rFonts w:ascii="Arial" w:hAnsi="Arial" w:cs="Arial"/>
                <w:sz w:val="22"/>
              </w:rPr>
            </w:pPr>
          </w:p>
          <w:p w14:paraId="284EA73A" w14:textId="77777777" w:rsidR="00BC7E60" w:rsidRPr="00497178" w:rsidRDefault="00BC7E60" w:rsidP="00512D52">
            <w:pPr>
              <w:jc w:val="right"/>
              <w:rPr>
                <w:rFonts w:ascii="Arial" w:hAnsi="Arial" w:cs="Arial"/>
                <w:sz w:val="22"/>
              </w:rPr>
            </w:pPr>
          </w:p>
          <w:p w14:paraId="6C722D25" w14:textId="77777777" w:rsidR="00BC7E60" w:rsidRPr="00497178" w:rsidRDefault="00BC7E60" w:rsidP="00512D52">
            <w:pPr>
              <w:jc w:val="right"/>
              <w:rPr>
                <w:rFonts w:ascii="Arial" w:hAnsi="Arial" w:cs="Arial"/>
                <w:b/>
                <w:bCs/>
                <w:sz w:val="22"/>
              </w:rPr>
            </w:pPr>
            <w:r w:rsidRPr="00497178">
              <w:rPr>
                <w:rFonts w:ascii="Arial" w:hAnsi="Arial" w:cs="Arial"/>
                <w:b/>
                <w:bCs/>
                <w:sz w:val="22"/>
              </w:rPr>
              <w:t>-155.140,00</w:t>
            </w:r>
          </w:p>
          <w:p w14:paraId="733AC373" w14:textId="77777777" w:rsidR="00BC7E60" w:rsidRPr="00497178" w:rsidRDefault="00BC7E60" w:rsidP="00512D52">
            <w:pPr>
              <w:jc w:val="right"/>
              <w:rPr>
                <w:rFonts w:ascii="Arial" w:hAnsi="Arial" w:cs="Arial"/>
                <w:sz w:val="22"/>
              </w:rPr>
            </w:pPr>
          </w:p>
          <w:p w14:paraId="3068F8E8" w14:textId="77777777" w:rsidR="00BC7E60" w:rsidRPr="00497178" w:rsidRDefault="00BC7E60" w:rsidP="00512D52">
            <w:pPr>
              <w:jc w:val="right"/>
              <w:rPr>
                <w:rFonts w:ascii="Arial" w:hAnsi="Arial" w:cs="Arial"/>
                <w:sz w:val="22"/>
              </w:rPr>
            </w:pPr>
          </w:p>
          <w:p w14:paraId="4621A5F0" w14:textId="77777777" w:rsidR="00BC7E60" w:rsidRPr="00497178" w:rsidRDefault="00BC7E60" w:rsidP="00512D52">
            <w:pPr>
              <w:jc w:val="right"/>
              <w:rPr>
                <w:rFonts w:ascii="Arial" w:hAnsi="Arial" w:cs="Arial"/>
                <w:sz w:val="22"/>
              </w:rPr>
            </w:pPr>
            <w:r w:rsidRPr="00497178">
              <w:rPr>
                <w:rFonts w:ascii="Arial" w:hAnsi="Arial" w:cs="Arial"/>
                <w:sz w:val="22"/>
              </w:rPr>
              <w:t>341.837,00</w:t>
            </w:r>
          </w:p>
          <w:p w14:paraId="13E7B0DF" w14:textId="77777777" w:rsidR="00BC7E60" w:rsidRPr="00497178" w:rsidRDefault="00BC7E60" w:rsidP="00512D52">
            <w:pPr>
              <w:jc w:val="right"/>
              <w:rPr>
                <w:rFonts w:ascii="Arial" w:hAnsi="Arial" w:cs="Arial"/>
                <w:sz w:val="22"/>
              </w:rPr>
            </w:pPr>
            <w:r w:rsidRPr="00497178">
              <w:rPr>
                <w:rFonts w:ascii="Arial" w:hAnsi="Arial" w:cs="Arial"/>
                <w:sz w:val="22"/>
              </w:rPr>
              <w:t>8.017,00</w:t>
            </w:r>
          </w:p>
          <w:p w14:paraId="3A7915D5" w14:textId="77777777" w:rsidR="00BC7E60" w:rsidRPr="00497178" w:rsidRDefault="00BC7E60" w:rsidP="00512D52">
            <w:pPr>
              <w:jc w:val="right"/>
              <w:rPr>
                <w:rFonts w:ascii="Arial" w:hAnsi="Arial" w:cs="Arial"/>
                <w:sz w:val="22"/>
              </w:rPr>
            </w:pPr>
            <w:r w:rsidRPr="00497178">
              <w:rPr>
                <w:rFonts w:ascii="Arial" w:hAnsi="Arial" w:cs="Arial"/>
                <w:sz w:val="22"/>
              </w:rPr>
              <w:t>-562.994,00</w:t>
            </w:r>
          </w:p>
          <w:p w14:paraId="52475668" w14:textId="77777777" w:rsidR="00BC7E60" w:rsidRPr="00497178" w:rsidRDefault="00BC7E60" w:rsidP="00512D52">
            <w:pPr>
              <w:jc w:val="right"/>
              <w:rPr>
                <w:rFonts w:ascii="Arial" w:hAnsi="Arial" w:cs="Arial"/>
                <w:sz w:val="22"/>
              </w:rPr>
            </w:pPr>
            <w:r w:rsidRPr="00497178">
              <w:rPr>
                <w:rFonts w:ascii="Arial" w:hAnsi="Arial" w:cs="Arial"/>
                <w:sz w:val="22"/>
              </w:rPr>
              <w:t>58.000,00</w:t>
            </w:r>
          </w:p>
        </w:tc>
        <w:tc>
          <w:tcPr>
            <w:tcW w:w="1737" w:type="dxa"/>
          </w:tcPr>
          <w:p w14:paraId="15CABF4E" w14:textId="77777777" w:rsidR="00BC7E60" w:rsidRPr="00497178" w:rsidRDefault="00BC7E60" w:rsidP="00512D52">
            <w:pPr>
              <w:jc w:val="right"/>
              <w:rPr>
                <w:rFonts w:ascii="Arial" w:hAnsi="Arial" w:cs="Arial"/>
                <w:sz w:val="22"/>
              </w:rPr>
            </w:pPr>
          </w:p>
          <w:p w14:paraId="1E19DFEA" w14:textId="77777777" w:rsidR="00BC7E60" w:rsidRPr="00497178" w:rsidRDefault="00BC7E60" w:rsidP="00512D52">
            <w:pPr>
              <w:jc w:val="right"/>
              <w:rPr>
                <w:rFonts w:ascii="Arial" w:hAnsi="Arial" w:cs="Arial"/>
                <w:sz w:val="22"/>
              </w:rPr>
            </w:pPr>
          </w:p>
          <w:p w14:paraId="61AFDFE9" w14:textId="77777777" w:rsidR="00BC7E60" w:rsidRPr="00497178" w:rsidRDefault="00BC7E60" w:rsidP="00512D52">
            <w:pPr>
              <w:jc w:val="right"/>
              <w:rPr>
                <w:rFonts w:ascii="Arial" w:hAnsi="Arial" w:cs="Arial"/>
                <w:b/>
                <w:bCs/>
                <w:sz w:val="22"/>
              </w:rPr>
            </w:pPr>
            <w:r w:rsidRPr="00497178">
              <w:rPr>
                <w:rFonts w:ascii="Arial" w:hAnsi="Arial" w:cs="Arial"/>
                <w:b/>
                <w:bCs/>
                <w:sz w:val="22"/>
              </w:rPr>
              <w:t>3.529.453,00</w:t>
            </w:r>
          </w:p>
          <w:p w14:paraId="332DC78F" w14:textId="77777777" w:rsidR="00BC7E60" w:rsidRPr="00497178" w:rsidRDefault="00BC7E60" w:rsidP="00512D52">
            <w:pPr>
              <w:jc w:val="right"/>
              <w:rPr>
                <w:rFonts w:ascii="Arial" w:hAnsi="Arial" w:cs="Arial"/>
                <w:sz w:val="22"/>
              </w:rPr>
            </w:pPr>
          </w:p>
          <w:p w14:paraId="7E4D9196" w14:textId="77777777" w:rsidR="00BC7E60" w:rsidRPr="00497178" w:rsidRDefault="00BC7E60" w:rsidP="00512D52">
            <w:pPr>
              <w:jc w:val="right"/>
              <w:rPr>
                <w:rFonts w:ascii="Arial" w:hAnsi="Arial" w:cs="Arial"/>
                <w:sz w:val="22"/>
              </w:rPr>
            </w:pPr>
          </w:p>
          <w:p w14:paraId="00D72321" w14:textId="77777777" w:rsidR="00BC7E60" w:rsidRPr="00497178" w:rsidRDefault="00BC7E60" w:rsidP="00512D52">
            <w:pPr>
              <w:jc w:val="right"/>
              <w:rPr>
                <w:rFonts w:ascii="Arial" w:hAnsi="Arial" w:cs="Arial"/>
                <w:sz w:val="22"/>
              </w:rPr>
            </w:pPr>
            <w:r w:rsidRPr="00497178">
              <w:rPr>
                <w:rFonts w:ascii="Arial" w:hAnsi="Arial" w:cs="Arial"/>
                <w:sz w:val="22"/>
              </w:rPr>
              <w:t>2.072.758,00</w:t>
            </w:r>
          </w:p>
          <w:p w14:paraId="586B5160" w14:textId="77777777" w:rsidR="00BC7E60" w:rsidRPr="00497178" w:rsidRDefault="00BC7E60" w:rsidP="00512D52">
            <w:pPr>
              <w:jc w:val="right"/>
              <w:rPr>
                <w:rFonts w:ascii="Arial" w:hAnsi="Arial" w:cs="Arial"/>
                <w:sz w:val="22"/>
              </w:rPr>
            </w:pPr>
            <w:r w:rsidRPr="00497178">
              <w:rPr>
                <w:rFonts w:ascii="Arial" w:hAnsi="Arial" w:cs="Arial"/>
                <w:sz w:val="22"/>
              </w:rPr>
              <w:t>1.071.027,00</w:t>
            </w:r>
          </w:p>
          <w:p w14:paraId="281DA60C" w14:textId="77777777" w:rsidR="00BC7E60" w:rsidRPr="00497178" w:rsidRDefault="00BC7E60" w:rsidP="00512D52">
            <w:pPr>
              <w:jc w:val="right"/>
              <w:rPr>
                <w:rFonts w:ascii="Arial" w:hAnsi="Arial" w:cs="Arial"/>
                <w:sz w:val="22"/>
              </w:rPr>
            </w:pPr>
            <w:r w:rsidRPr="00497178">
              <w:rPr>
                <w:rFonts w:ascii="Arial" w:hAnsi="Arial" w:cs="Arial"/>
                <w:sz w:val="22"/>
              </w:rPr>
              <w:t>241.418,00</w:t>
            </w:r>
          </w:p>
          <w:p w14:paraId="1477D4F5" w14:textId="77777777" w:rsidR="00BC7E60" w:rsidRPr="00497178" w:rsidRDefault="00BC7E60" w:rsidP="00512D52">
            <w:pPr>
              <w:jc w:val="right"/>
              <w:rPr>
                <w:rFonts w:ascii="Arial" w:hAnsi="Arial" w:cs="Arial"/>
                <w:sz w:val="22"/>
              </w:rPr>
            </w:pPr>
            <w:r w:rsidRPr="00497178">
              <w:rPr>
                <w:rFonts w:ascii="Arial" w:hAnsi="Arial" w:cs="Arial"/>
                <w:sz w:val="22"/>
              </w:rPr>
              <w:t>144.250,00</w:t>
            </w:r>
          </w:p>
        </w:tc>
        <w:tc>
          <w:tcPr>
            <w:tcW w:w="1134" w:type="dxa"/>
          </w:tcPr>
          <w:p w14:paraId="54317021" w14:textId="77777777" w:rsidR="00BC7E60" w:rsidRPr="00497178" w:rsidRDefault="00BC7E60" w:rsidP="00512D52">
            <w:pPr>
              <w:jc w:val="right"/>
              <w:rPr>
                <w:rFonts w:ascii="Arial" w:hAnsi="Arial" w:cs="Arial"/>
                <w:sz w:val="22"/>
              </w:rPr>
            </w:pPr>
          </w:p>
          <w:p w14:paraId="07A77384" w14:textId="77777777" w:rsidR="00BC7E60" w:rsidRPr="00497178" w:rsidRDefault="00BC7E60" w:rsidP="00512D52">
            <w:pPr>
              <w:jc w:val="right"/>
              <w:rPr>
                <w:rFonts w:ascii="Arial" w:hAnsi="Arial" w:cs="Arial"/>
                <w:sz w:val="22"/>
              </w:rPr>
            </w:pPr>
          </w:p>
          <w:p w14:paraId="3E07340B" w14:textId="77777777" w:rsidR="00BC7E60" w:rsidRPr="00497178" w:rsidRDefault="00BC7E60" w:rsidP="00512D52">
            <w:pPr>
              <w:jc w:val="right"/>
              <w:rPr>
                <w:rFonts w:ascii="Arial" w:hAnsi="Arial" w:cs="Arial"/>
                <w:b/>
                <w:bCs/>
                <w:sz w:val="22"/>
              </w:rPr>
            </w:pPr>
            <w:r w:rsidRPr="00497178">
              <w:rPr>
                <w:rFonts w:ascii="Arial" w:hAnsi="Arial" w:cs="Arial"/>
                <w:b/>
                <w:bCs/>
                <w:sz w:val="22"/>
              </w:rPr>
              <w:t>95,79</w:t>
            </w:r>
          </w:p>
          <w:p w14:paraId="35646077" w14:textId="77777777" w:rsidR="00BC7E60" w:rsidRPr="00497178" w:rsidRDefault="00BC7E60" w:rsidP="00512D52">
            <w:pPr>
              <w:jc w:val="right"/>
              <w:rPr>
                <w:rFonts w:ascii="Arial" w:hAnsi="Arial" w:cs="Arial"/>
                <w:sz w:val="22"/>
              </w:rPr>
            </w:pPr>
          </w:p>
          <w:p w14:paraId="66D5803B" w14:textId="77777777" w:rsidR="00BC7E60" w:rsidRPr="00497178" w:rsidRDefault="00BC7E60" w:rsidP="00512D52">
            <w:pPr>
              <w:jc w:val="right"/>
              <w:rPr>
                <w:rFonts w:ascii="Arial" w:hAnsi="Arial" w:cs="Arial"/>
                <w:sz w:val="22"/>
              </w:rPr>
            </w:pPr>
          </w:p>
          <w:p w14:paraId="27A550D2" w14:textId="77777777" w:rsidR="00BC7E60" w:rsidRPr="00497178" w:rsidRDefault="00BC7E60" w:rsidP="00512D52">
            <w:pPr>
              <w:jc w:val="right"/>
              <w:rPr>
                <w:rFonts w:ascii="Arial" w:hAnsi="Arial" w:cs="Arial"/>
                <w:sz w:val="22"/>
              </w:rPr>
            </w:pPr>
            <w:r w:rsidRPr="00497178">
              <w:rPr>
                <w:rFonts w:ascii="Arial" w:hAnsi="Arial" w:cs="Arial"/>
                <w:sz w:val="22"/>
              </w:rPr>
              <w:t>119,75</w:t>
            </w:r>
          </w:p>
          <w:p w14:paraId="0C1A45A9" w14:textId="77777777" w:rsidR="00BC7E60" w:rsidRPr="00497178" w:rsidRDefault="00BC7E60" w:rsidP="00512D52">
            <w:pPr>
              <w:jc w:val="right"/>
              <w:rPr>
                <w:rFonts w:ascii="Arial" w:hAnsi="Arial" w:cs="Arial"/>
                <w:sz w:val="22"/>
              </w:rPr>
            </w:pPr>
            <w:r w:rsidRPr="00497178">
              <w:rPr>
                <w:rFonts w:ascii="Arial" w:hAnsi="Arial" w:cs="Arial"/>
                <w:sz w:val="22"/>
              </w:rPr>
              <w:t>100,75</w:t>
            </w:r>
          </w:p>
          <w:p w14:paraId="66EF0ECD" w14:textId="77777777" w:rsidR="00BC7E60" w:rsidRPr="00497178" w:rsidRDefault="00BC7E60" w:rsidP="00512D52">
            <w:pPr>
              <w:jc w:val="right"/>
              <w:rPr>
                <w:rFonts w:ascii="Arial" w:hAnsi="Arial" w:cs="Arial"/>
                <w:sz w:val="22"/>
              </w:rPr>
            </w:pPr>
            <w:r w:rsidRPr="00497178">
              <w:rPr>
                <w:rFonts w:ascii="Arial" w:hAnsi="Arial" w:cs="Arial"/>
                <w:sz w:val="22"/>
              </w:rPr>
              <w:t>30,01</w:t>
            </w:r>
          </w:p>
          <w:p w14:paraId="7C17C754" w14:textId="77777777" w:rsidR="00BC7E60" w:rsidRPr="00497178" w:rsidRDefault="00BC7E60" w:rsidP="00512D52">
            <w:pPr>
              <w:jc w:val="right"/>
              <w:rPr>
                <w:rFonts w:ascii="Arial" w:hAnsi="Arial" w:cs="Arial"/>
                <w:sz w:val="22"/>
              </w:rPr>
            </w:pPr>
            <w:r w:rsidRPr="00497178">
              <w:rPr>
                <w:rFonts w:ascii="Arial" w:hAnsi="Arial" w:cs="Arial"/>
                <w:sz w:val="22"/>
              </w:rPr>
              <w:t>167,25</w:t>
            </w:r>
          </w:p>
        </w:tc>
      </w:tr>
      <w:tr w:rsidR="00BC7E60" w:rsidRPr="00497178" w14:paraId="3C712775" w14:textId="77777777" w:rsidTr="00512D52">
        <w:tc>
          <w:tcPr>
            <w:tcW w:w="693" w:type="dxa"/>
            <w:shd w:val="clear" w:color="auto" w:fill="auto"/>
          </w:tcPr>
          <w:p w14:paraId="353A026C" w14:textId="77777777" w:rsidR="00BC7E60" w:rsidRPr="00497178" w:rsidRDefault="00BC7E60" w:rsidP="00512D52">
            <w:pPr>
              <w:jc w:val="both"/>
              <w:rPr>
                <w:rFonts w:ascii="Arial" w:hAnsi="Arial" w:cs="Arial"/>
                <w:sz w:val="22"/>
              </w:rPr>
            </w:pPr>
            <w:r w:rsidRPr="00497178">
              <w:rPr>
                <w:rFonts w:ascii="Arial" w:hAnsi="Arial" w:cs="Arial"/>
                <w:sz w:val="22"/>
              </w:rPr>
              <w:t>3.</w:t>
            </w:r>
          </w:p>
        </w:tc>
        <w:tc>
          <w:tcPr>
            <w:tcW w:w="2673" w:type="dxa"/>
            <w:shd w:val="clear" w:color="auto" w:fill="auto"/>
          </w:tcPr>
          <w:p w14:paraId="0D7BB91D" w14:textId="77777777" w:rsidR="00BC7E60" w:rsidRPr="00497178" w:rsidRDefault="00BC7E60" w:rsidP="00512D52">
            <w:pPr>
              <w:rPr>
                <w:rFonts w:ascii="Arial" w:hAnsi="Arial" w:cs="Arial"/>
                <w:sz w:val="22"/>
              </w:rPr>
            </w:pPr>
            <w:r w:rsidRPr="00497178">
              <w:rPr>
                <w:rFonts w:ascii="Arial" w:hAnsi="Arial" w:cs="Arial"/>
                <w:sz w:val="22"/>
              </w:rPr>
              <w:t>UO za komunalno  gospodarstvo i upravljanje imovinom</w:t>
            </w:r>
          </w:p>
          <w:p w14:paraId="5E7932C6" w14:textId="77777777" w:rsidR="00BC7E60" w:rsidRPr="00497178" w:rsidRDefault="00BC7E60" w:rsidP="00512D52">
            <w:pPr>
              <w:rPr>
                <w:rFonts w:ascii="Arial" w:hAnsi="Arial" w:cs="Arial"/>
                <w:sz w:val="22"/>
              </w:rPr>
            </w:pPr>
          </w:p>
          <w:p w14:paraId="6A9DBA55" w14:textId="77777777" w:rsidR="00BC7E60" w:rsidRPr="00497178" w:rsidRDefault="00BC7E60">
            <w:pPr>
              <w:numPr>
                <w:ilvl w:val="0"/>
                <w:numId w:val="7"/>
              </w:numPr>
              <w:tabs>
                <w:tab w:val="clear" w:pos="720"/>
                <w:tab w:val="num" w:pos="360"/>
              </w:tabs>
              <w:ind w:left="360"/>
              <w:jc w:val="both"/>
              <w:rPr>
                <w:rFonts w:ascii="Arial" w:hAnsi="Arial" w:cs="Arial"/>
                <w:sz w:val="22"/>
              </w:rPr>
            </w:pPr>
            <w:r w:rsidRPr="00497178">
              <w:rPr>
                <w:rFonts w:ascii="Arial" w:hAnsi="Arial" w:cs="Arial"/>
                <w:sz w:val="22"/>
              </w:rPr>
              <w:lastRenderedPageBreak/>
              <w:t xml:space="preserve">ostali </w:t>
            </w:r>
            <w:proofErr w:type="spellStart"/>
            <w:r w:rsidRPr="00497178">
              <w:rPr>
                <w:rFonts w:ascii="Arial" w:hAnsi="Arial" w:cs="Arial"/>
                <w:sz w:val="22"/>
              </w:rPr>
              <w:t>građ</w:t>
            </w:r>
            <w:proofErr w:type="spellEnd"/>
            <w:r w:rsidRPr="00497178">
              <w:rPr>
                <w:rFonts w:ascii="Arial" w:hAnsi="Arial" w:cs="Arial"/>
                <w:sz w:val="22"/>
              </w:rPr>
              <w:t>. objekti</w:t>
            </w:r>
          </w:p>
          <w:p w14:paraId="40023801" w14:textId="77777777" w:rsidR="00BC7E60" w:rsidRPr="00497178" w:rsidRDefault="00BC7E60">
            <w:pPr>
              <w:numPr>
                <w:ilvl w:val="0"/>
                <w:numId w:val="7"/>
              </w:numPr>
              <w:tabs>
                <w:tab w:val="clear" w:pos="720"/>
                <w:tab w:val="num" w:pos="360"/>
              </w:tabs>
              <w:ind w:left="360"/>
              <w:contextualSpacing/>
              <w:rPr>
                <w:rFonts w:ascii="Arial" w:hAnsi="Arial" w:cs="Arial"/>
                <w:sz w:val="22"/>
              </w:rPr>
            </w:pPr>
            <w:r w:rsidRPr="00497178">
              <w:rPr>
                <w:rFonts w:ascii="Arial" w:hAnsi="Arial" w:cs="Arial"/>
                <w:sz w:val="22"/>
              </w:rPr>
              <w:t>oprema za održavanje i zaštitu</w:t>
            </w:r>
          </w:p>
        </w:tc>
        <w:tc>
          <w:tcPr>
            <w:tcW w:w="1700" w:type="dxa"/>
            <w:shd w:val="clear" w:color="auto" w:fill="auto"/>
          </w:tcPr>
          <w:p w14:paraId="302B5222" w14:textId="77777777" w:rsidR="00BC7E60" w:rsidRPr="00497178" w:rsidRDefault="00BC7E60" w:rsidP="00512D52">
            <w:pPr>
              <w:jc w:val="right"/>
              <w:rPr>
                <w:rFonts w:ascii="Arial" w:hAnsi="Arial" w:cs="Arial"/>
                <w:b/>
                <w:bCs/>
                <w:sz w:val="22"/>
              </w:rPr>
            </w:pPr>
          </w:p>
          <w:p w14:paraId="08FABF0B" w14:textId="77777777" w:rsidR="00BC7E60" w:rsidRPr="00497178" w:rsidRDefault="00BC7E60" w:rsidP="00512D52">
            <w:pPr>
              <w:jc w:val="right"/>
              <w:rPr>
                <w:rFonts w:ascii="Arial" w:hAnsi="Arial" w:cs="Arial"/>
                <w:b/>
                <w:bCs/>
                <w:sz w:val="22"/>
              </w:rPr>
            </w:pPr>
            <w:r w:rsidRPr="00497178">
              <w:rPr>
                <w:rFonts w:ascii="Arial" w:hAnsi="Arial" w:cs="Arial"/>
                <w:b/>
                <w:bCs/>
                <w:sz w:val="22"/>
              </w:rPr>
              <w:t>30.625,00</w:t>
            </w:r>
          </w:p>
          <w:p w14:paraId="167FB090" w14:textId="77777777" w:rsidR="00BC7E60" w:rsidRPr="00497178" w:rsidRDefault="00BC7E60" w:rsidP="00512D52">
            <w:pPr>
              <w:jc w:val="right"/>
              <w:rPr>
                <w:rFonts w:ascii="Arial" w:hAnsi="Arial" w:cs="Arial"/>
                <w:b/>
                <w:bCs/>
                <w:sz w:val="22"/>
              </w:rPr>
            </w:pPr>
          </w:p>
          <w:p w14:paraId="3BA53431" w14:textId="77777777" w:rsidR="00BC7E60" w:rsidRPr="00497178" w:rsidRDefault="00BC7E60" w:rsidP="00512D52">
            <w:pPr>
              <w:jc w:val="right"/>
              <w:rPr>
                <w:rFonts w:ascii="Arial" w:hAnsi="Arial" w:cs="Arial"/>
                <w:sz w:val="22"/>
              </w:rPr>
            </w:pPr>
          </w:p>
          <w:p w14:paraId="4BD01843" w14:textId="77777777" w:rsidR="00BC7E60" w:rsidRPr="00497178" w:rsidRDefault="00BC7E60" w:rsidP="00512D52">
            <w:pPr>
              <w:jc w:val="right"/>
              <w:rPr>
                <w:rFonts w:ascii="Arial" w:hAnsi="Arial" w:cs="Arial"/>
                <w:sz w:val="22"/>
              </w:rPr>
            </w:pPr>
            <w:r w:rsidRPr="00497178">
              <w:rPr>
                <w:rFonts w:ascii="Arial" w:hAnsi="Arial" w:cs="Arial"/>
                <w:sz w:val="22"/>
              </w:rPr>
              <w:lastRenderedPageBreak/>
              <w:t>20.625,00</w:t>
            </w:r>
          </w:p>
          <w:p w14:paraId="093FA1BA" w14:textId="77777777" w:rsidR="00BC7E60" w:rsidRPr="00497178" w:rsidRDefault="00BC7E60" w:rsidP="00512D52">
            <w:pPr>
              <w:jc w:val="right"/>
              <w:rPr>
                <w:rFonts w:ascii="Arial" w:hAnsi="Arial" w:cs="Arial"/>
                <w:sz w:val="22"/>
              </w:rPr>
            </w:pPr>
          </w:p>
          <w:p w14:paraId="692C18CF" w14:textId="77777777" w:rsidR="00BC7E60" w:rsidRPr="00497178" w:rsidRDefault="00BC7E60" w:rsidP="00512D52">
            <w:pPr>
              <w:jc w:val="right"/>
              <w:rPr>
                <w:rFonts w:ascii="Arial" w:hAnsi="Arial" w:cs="Arial"/>
                <w:sz w:val="22"/>
              </w:rPr>
            </w:pPr>
            <w:r w:rsidRPr="00497178">
              <w:rPr>
                <w:rFonts w:ascii="Arial" w:hAnsi="Arial" w:cs="Arial"/>
                <w:sz w:val="22"/>
              </w:rPr>
              <w:t>10.000,00</w:t>
            </w:r>
          </w:p>
          <w:p w14:paraId="5BC0BEE6" w14:textId="77777777" w:rsidR="00BC7E60" w:rsidRPr="00497178" w:rsidRDefault="00BC7E60" w:rsidP="00512D52">
            <w:pPr>
              <w:jc w:val="right"/>
              <w:rPr>
                <w:rFonts w:ascii="Arial" w:hAnsi="Arial" w:cs="Arial"/>
                <w:sz w:val="22"/>
              </w:rPr>
            </w:pPr>
          </w:p>
          <w:p w14:paraId="0C686782" w14:textId="77777777" w:rsidR="00BC7E60" w:rsidRPr="00497178" w:rsidRDefault="00BC7E60" w:rsidP="00512D52">
            <w:pPr>
              <w:jc w:val="right"/>
              <w:rPr>
                <w:rFonts w:ascii="Arial" w:hAnsi="Arial" w:cs="Arial"/>
                <w:sz w:val="22"/>
              </w:rPr>
            </w:pPr>
          </w:p>
        </w:tc>
        <w:tc>
          <w:tcPr>
            <w:tcW w:w="1414" w:type="dxa"/>
            <w:shd w:val="clear" w:color="auto" w:fill="auto"/>
          </w:tcPr>
          <w:p w14:paraId="1C579390" w14:textId="77777777" w:rsidR="00BC7E60" w:rsidRPr="00497178" w:rsidRDefault="00BC7E60" w:rsidP="00512D52">
            <w:pPr>
              <w:jc w:val="right"/>
              <w:rPr>
                <w:rFonts w:ascii="Arial" w:hAnsi="Arial" w:cs="Arial"/>
                <w:sz w:val="22"/>
              </w:rPr>
            </w:pPr>
          </w:p>
          <w:p w14:paraId="66C4AAAA" w14:textId="77777777" w:rsidR="00BC7E60" w:rsidRPr="00497178" w:rsidRDefault="00BC7E60" w:rsidP="00512D52">
            <w:pPr>
              <w:jc w:val="right"/>
              <w:rPr>
                <w:rFonts w:ascii="Arial" w:hAnsi="Arial" w:cs="Arial"/>
                <w:b/>
                <w:bCs/>
                <w:sz w:val="22"/>
              </w:rPr>
            </w:pPr>
            <w:r w:rsidRPr="00497178">
              <w:rPr>
                <w:rFonts w:ascii="Arial" w:hAnsi="Arial" w:cs="Arial"/>
                <w:b/>
                <w:bCs/>
                <w:sz w:val="22"/>
              </w:rPr>
              <w:t>62.944,00</w:t>
            </w:r>
          </w:p>
          <w:p w14:paraId="21D4342B" w14:textId="77777777" w:rsidR="00BC7E60" w:rsidRPr="00497178" w:rsidRDefault="00BC7E60" w:rsidP="00512D52">
            <w:pPr>
              <w:jc w:val="right"/>
              <w:rPr>
                <w:rFonts w:ascii="Arial" w:hAnsi="Arial" w:cs="Arial"/>
                <w:sz w:val="22"/>
              </w:rPr>
            </w:pPr>
          </w:p>
          <w:p w14:paraId="64E22B7D" w14:textId="77777777" w:rsidR="00BC7E60" w:rsidRPr="00497178" w:rsidRDefault="00BC7E60" w:rsidP="00512D52">
            <w:pPr>
              <w:jc w:val="right"/>
              <w:rPr>
                <w:rFonts w:ascii="Arial" w:hAnsi="Arial" w:cs="Arial"/>
                <w:sz w:val="22"/>
              </w:rPr>
            </w:pPr>
          </w:p>
          <w:p w14:paraId="53AB3A64" w14:textId="77777777" w:rsidR="00BC7E60" w:rsidRPr="00497178" w:rsidRDefault="00BC7E60" w:rsidP="00512D52">
            <w:pPr>
              <w:jc w:val="right"/>
              <w:rPr>
                <w:rFonts w:ascii="Arial" w:hAnsi="Arial" w:cs="Arial"/>
                <w:sz w:val="22"/>
              </w:rPr>
            </w:pPr>
            <w:r w:rsidRPr="00497178">
              <w:rPr>
                <w:rFonts w:ascii="Arial" w:hAnsi="Arial" w:cs="Arial"/>
                <w:sz w:val="22"/>
              </w:rPr>
              <w:lastRenderedPageBreak/>
              <w:t>25.694,00</w:t>
            </w:r>
          </w:p>
          <w:p w14:paraId="6AEC0251" w14:textId="77777777" w:rsidR="00BC7E60" w:rsidRPr="00497178" w:rsidRDefault="00BC7E60" w:rsidP="00512D52">
            <w:pPr>
              <w:jc w:val="right"/>
              <w:rPr>
                <w:rFonts w:ascii="Arial" w:hAnsi="Arial" w:cs="Arial"/>
                <w:sz w:val="22"/>
              </w:rPr>
            </w:pPr>
          </w:p>
          <w:p w14:paraId="7B21BE28" w14:textId="77777777" w:rsidR="00BC7E60" w:rsidRPr="00497178" w:rsidRDefault="00BC7E60" w:rsidP="00512D52">
            <w:pPr>
              <w:jc w:val="right"/>
              <w:rPr>
                <w:rFonts w:ascii="Arial" w:hAnsi="Arial" w:cs="Arial"/>
                <w:sz w:val="22"/>
              </w:rPr>
            </w:pPr>
            <w:r w:rsidRPr="00497178">
              <w:rPr>
                <w:rFonts w:ascii="Arial" w:hAnsi="Arial" w:cs="Arial"/>
                <w:sz w:val="22"/>
              </w:rPr>
              <w:t>37.250,00</w:t>
            </w:r>
          </w:p>
        </w:tc>
        <w:tc>
          <w:tcPr>
            <w:tcW w:w="1737" w:type="dxa"/>
          </w:tcPr>
          <w:p w14:paraId="5888F18D" w14:textId="77777777" w:rsidR="00BC7E60" w:rsidRPr="00497178" w:rsidRDefault="00BC7E60" w:rsidP="00512D52">
            <w:pPr>
              <w:rPr>
                <w:rFonts w:ascii="Arial" w:hAnsi="Arial" w:cs="Arial"/>
                <w:sz w:val="22"/>
              </w:rPr>
            </w:pPr>
          </w:p>
          <w:p w14:paraId="18A79327" w14:textId="77777777" w:rsidR="00BC7E60" w:rsidRPr="00497178" w:rsidRDefault="00BC7E60" w:rsidP="00512D52">
            <w:pPr>
              <w:jc w:val="right"/>
              <w:rPr>
                <w:rFonts w:ascii="Arial" w:hAnsi="Arial" w:cs="Arial"/>
                <w:b/>
                <w:bCs/>
                <w:sz w:val="22"/>
              </w:rPr>
            </w:pPr>
            <w:r w:rsidRPr="00497178">
              <w:rPr>
                <w:rFonts w:ascii="Arial" w:hAnsi="Arial" w:cs="Arial"/>
                <w:b/>
                <w:bCs/>
                <w:sz w:val="22"/>
              </w:rPr>
              <w:t>93.569,00</w:t>
            </w:r>
          </w:p>
          <w:p w14:paraId="6FC50C57" w14:textId="77777777" w:rsidR="00BC7E60" w:rsidRPr="00497178" w:rsidRDefault="00BC7E60" w:rsidP="00512D52">
            <w:pPr>
              <w:rPr>
                <w:rFonts w:ascii="Arial" w:hAnsi="Arial" w:cs="Arial"/>
                <w:sz w:val="22"/>
              </w:rPr>
            </w:pPr>
          </w:p>
          <w:p w14:paraId="75776940" w14:textId="77777777" w:rsidR="00BC7E60" w:rsidRPr="00497178" w:rsidRDefault="00BC7E60" w:rsidP="00512D52">
            <w:pPr>
              <w:rPr>
                <w:rFonts w:ascii="Arial" w:hAnsi="Arial" w:cs="Arial"/>
                <w:sz w:val="22"/>
              </w:rPr>
            </w:pPr>
          </w:p>
          <w:p w14:paraId="010DC200" w14:textId="77777777" w:rsidR="00BC7E60" w:rsidRPr="00497178" w:rsidRDefault="00BC7E60" w:rsidP="00512D52">
            <w:pPr>
              <w:jc w:val="right"/>
              <w:rPr>
                <w:rFonts w:ascii="Arial" w:hAnsi="Arial" w:cs="Arial"/>
                <w:sz w:val="22"/>
              </w:rPr>
            </w:pPr>
            <w:r w:rsidRPr="00497178">
              <w:rPr>
                <w:rFonts w:ascii="Arial" w:hAnsi="Arial" w:cs="Arial"/>
                <w:sz w:val="22"/>
              </w:rPr>
              <w:lastRenderedPageBreak/>
              <w:t>46.319,00</w:t>
            </w:r>
          </w:p>
          <w:p w14:paraId="07D83652" w14:textId="77777777" w:rsidR="00BC7E60" w:rsidRPr="00497178" w:rsidRDefault="00BC7E60" w:rsidP="00512D52">
            <w:pPr>
              <w:jc w:val="right"/>
              <w:rPr>
                <w:rFonts w:ascii="Arial" w:hAnsi="Arial" w:cs="Arial"/>
                <w:sz w:val="22"/>
              </w:rPr>
            </w:pPr>
          </w:p>
          <w:p w14:paraId="0CA8A3BD" w14:textId="77777777" w:rsidR="00BC7E60" w:rsidRPr="00497178" w:rsidRDefault="00BC7E60" w:rsidP="00512D52">
            <w:pPr>
              <w:jc w:val="right"/>
              <w:rPr>
                <w:rFonts w:ascii="Arial" w:hAnsi="Arial" w:cs="Arial"/>
                <w:sz w:val="22"/>
              </w:rPr>
            </w:pPr>
            <w:r w:rsidRPr="00497178">
              <w:rPr>
                <w:rFonts w:ascii="Arial" w:hAnsi="Arial" w:cs="Arial"/>
                <w:sz w:val="22"/>
              </w:rPr>
              <w:t>47.250,00</w:t>
            </w:r>
          </w:p>
        </w:tc>
        <w:tc>
          <w:tcPr>
            <w:tcW w:w="1134" w:type="dxa"/>
          </w:tcPr>
          <w:p w14:paraId="3C9E2E43" w14:textId="77777777" w:rsidR="00BC7E60" w:rsidRPr="00497178" w:rsidRDefault="00BC7E60" w:rsidP="00512D52">
            <w:pPr>
              <w:jc w:val="right"/>
              <w:rPr>
                <w:rFonts w:ascii="Arial" w:hAnsi="Arial" w:cs="Arial"/>
                <w:sz w:val="22"/>
              </w:rPr>
            </w:pPr>
          </w:p>
          <w:p w14:paraId="1B61A30F" w14:textId="77777777" w:rsidR="00BC7E60" w:rsidRPr="00497178" w:rsidRDefault="00BC7E60" w:rsidP="00512D52">
            <w:pPr>
              <w:jc w:val="right"/>
              <w:rPr>
                <w:rFonts w:ascii="Arial" w:hAnsi="Arial" w:cs="Arial"/>
                <w:b/>
                <w:bCs/>
                <w:sz w:val="22"/>
              </w:rPr>
            </w:pPr>
            <w:r w:rsidRPr="00497178">
              <w:rPr>
                <w:rFonts w:ascii="Arial" w:hAnsi="Arial" w:cs="Arial"/>
                <w:b/>
                <w:bCs/>
                <w:sz w:val="22"/>
              </w:rPr>
              <w:t>305,53</w:t>
            </w:r>
          </w:p>
          <w:p w14:paraId="0BB94906" w14:textId="77777777" w:rsidR="00BC7E60" w:rsidRPr="00497178" w:rsidRDefault="00BC7E60" w:rsidP="00512D52">
            <w:pPr>
              <w:jc w:val="right"/>
              <w:rPr>
                <w:rFonts w:ascii="Arial" w:hAnsi="Arial" w:cs="Arial"/>
                <w:sz w:val="22"/>
              </w:rPr>
            </w:pPr>
          </w:p>
          <w:p w14:paraId="5E332519" w14:textId="77777777" w:rsidR="00BC7E60" w:rsidRPr="00497178" w:rsidRDefault="00BC7E60" w:rsidP="00512D52">
            <w:pPr>
              <w:jc w:val="right"/>
              <w:rPr>
                <w:rFonts w:ascii="Arial" w:hAnsi="Arial" w:cs="Arial"/>
                <w:sz w:val="22"/>
              </w:rPr>
            </w:pPr>
          </w:p>
          <w:p w14:paraId="6B231994" w14:textId="77777777" w:rsidR="00BC7E60" w:rsidRPr="00497178" w:rsidRDefault="00BC7E60" w:rsidP="00512D52">
            <w:pPr>
              <w:jc w:val="right"/>
              <w:rPr>
                <w:rFonts w:ascii="Arial" w:hAnsi="Arial" w:cs="Arial"/>
                <w:sz w:val="22"/>
              </w:rPr>
            </w:pPr>
            <w:r w:rsidRPr="00497178">
              <w:rPr>
                <w:rFonts w:ascii="Arial" w:hAnsi="Arial" w:cs="Arial"/>
                <w:sz w:val="22"/>
              </w:rPr>
              <w:lastRenderedPageBreak/>
              <w:t>224,28</w:t>
            </w:r>
          </w:p>
          <w:p w14:paraId="3C993961" w14:textId="77777777" w:rsidR="00BC7E60" w:rsidRPr="00497178" w:rsidRDefault="00BC7E60" w:rsidP="00512D52">
            <w:pPr>
              <w:jc w:val="right"/>
              <w:rPr>
                <w:rFonts w:ascii="Arial" w:hAnsi="Arial" w:cs="Arial"/>
                <w:sz w:val="22"/>
              </w:rPr>
            </w:pPr>
          </w:p>
          <w:p w14:paraId="5D3B0665" w14:textId="77777777" w:rsidR="00BC7E60" w:rsidRPr="00497178" w:rsidRDefault="00BC7E60" w:rsidP="00512D52">
            <w:pPr>
              <w:jc w:val="right"/>
              <w:rPr>
                <w:rFonts w:ascii="Arial" w:hAnsi="Arial" w:cs="Arial"/>
                <w:sz w:val="22"/>
              </w:rPr>
            </w:pPr>
            <w:r w:rsidRPr="00497178">
              <w:rPr>
                <w:rFonts w:ascii="Arial" w:hAnsi="Arial" w:cs="Arial"/>
                <w:sz w:val="22"/>
              </w:rPr>
              <w:t>472,50</w:t>
            </w:r>
          </w:p>
        </w:tc>
      </w:tr>
      <w:tr w:rsidR="00BC7E60" w:rsidRPr="00497178" w14:paraId="139293FF" w14:textId="77777777" w:rsidTr="00512D52">
        <w:tc>
          <w:tcPr>
            <w:tcW w:w="693" w:type="dxa"/>
            <w:shd w:val="clear" w:color="auto" w:fill="auto"/>
          </w:tcPr>
          <w:p w14:paraId="5C039A61" w14:textId="77777777" w:rsidR="00BC7E60" w:rsidRPr="00497178" w:rsidRDefault="00BC7E60" w:rsidP="00512D52">
            <w:pPr>
              <w:jc w:val="both"/>
              <w:rPr>
                <w:rFonts w:ascii="Arial" w:hAnsi="Arial" w:cs="Arial"/>
                <w:sz w:val="22"/>
              </w:rPr>
            </w:pPr>
            <w:r w:rsidRPr="00497178">
              <w:rPr>
                <w:rFonts w:ascii="Arial" w:hAnsi="Arial" w:cs="Arial"/>
                <w:sz w:val="22"/>
              </w:rPr>
              <w:lastRenderedPageBreak/>
              <w:t xml:space="preserve">4. </w:t>
            </w:r>
          </w:p>
        </w:tc>
        <w:tc>
          <w:tcPr>
            <w:tcW w:w="2673" w:type="dxa"/>
            <w:shd w:val="clear" w:color="auto" w:fill="auto"/>
          </w:tcPr>
          <w:p w14:paraId="11466424" w14:textId="77777777" w:rsidR="00BC7E60" w:rsidRPr="00497178" w:rsidRDefault="00BC7E60" w:rsidP="00512D52">
            <w:pPr>
              <w:rPr>
                <w:rFonts w:ascii="Arial" w:hAnsi="Arial" w:cs="Arial"/>
                <w:sz w:val="22"/>
              </w:rPr>
            </w:pPr>
            <w:r w:rsidRPr="00497178">
              <w:rPr>
                <w:rFonts w:ascii="Arial" w:hAnsi="Arial" w:cs="Arial"/>
                <w:sz w:val="22"/>
              </w:rPr>
              <w:t xml:space="preserve">Upravni odjel za gospodarenje i EU projekte              </w:t>
            </w:r>
          </w:p>
          <w:p w14:paraId="547C77F1" w14:textId="77777777" w:rsidR="00BC7E60" w:rsidRPr="00497178" w:rsidRDefault="00BC7E60" w:rsidP="00512D52">
            <w:pPr>
              <w:rPr>
                <w:rFonts w:ascii="Arial" w:hAnsi="Arial" w:cs="Arial"/>
                <w:sz w:val="22"/>
              </w:rPr>
            </w:pPr>
            <w:r w:rsidRPr="00497178">
              <w:rPr>
                <w:rFonts w:ascii="Arial" w:hAnsi="Arial" w:cs="Arial"/>
                <w:sz w:val="22"/>
              </w:rPr>
              <w:t>- oprema</w:t>
            </w:r>
          </w:p>
        </w:tc>
        <w:tc>
          <w:tcPr>
            <w:tcW w:w="1700" w:type="dxa"/>
            <w:shd w:val="clear" w:color="auto" w:fill="auto"/>
          </w:tcPr>
          <w:p w14:paraId="4612419A" w14:textId="77777777" w:rsidR="00BC7E60" w:rsidRPr="00497178" w:rsidRDefault="00BC7E60" w:rsidP="00512D52">
            <w:pPr>
              <w:jc w:val="right"/>
              <w:rPr>
                <w:rFonts w:ascii="Arial" w:hAnsi="Arial" w:cs="Arial"/>
                <w:b/>
                <w:bCs/>
                <w:sz w:val="22"/>
              </w:rPr>
            </w:pPr>
          </w:p>
          <w:p w14:paraId="456B7DBF" w14:textId="77777777" w:rsidR="00BC7E60" w:rsidRPr="00497178" w:rsidRDefault="00BC7E60" w:rsidP="00512D52">
            <w:pPr>
              <w:jc w:val="right"/>
              <w:rPr>
                <w:rFonts w:ascii="Arial" w:hAnsi="Arial" w:cs="Arial"/>
                <w:b/>
                <w:bCs/>
                <w:sz w:val="22"/>
              </w:rPr>
            </w:pPr>
            <w:r w:rsidRPr="00497178">
              <w:rPr>
                <w:rFonts w:ascii="Arial" w:hAnsi="Arial" w:cs="Arial"/>
                <w:b/>
                <w:bCs/>
                <w:sz w:val="22"/>
              </w:rPr>
              <w:t>5.900,00</w:t>
            </w:r>
          </w:p>
          <w:p w14:paraId="47C3E932" w14:textId="77777777" w:rsidR="00BC7E60" w:rsidRPr="00497178" w:rsidRDefault="00BC7E60" w:rsidP="00512D52">
            <w:pPr>
              <w:jc w:val="right"/>
              <w:rPr>
                <w:rFonts w:ascii="Arial" w:hAnsi="Arial" w:cs="Arial"/>
                <w:b/>
                <w:bCs/>
                <w:sz w:val="22"/>
              </w:rPr>
            </w:pPr>
          </w:p>
          <w:p w14:paraId="41D5F0B7" w14:textId="77777777" w:rsidR="00BC7E60" w:rsidRPr="00497178" w:rsidRDefault="00BC7E60" w:rsidP="00512D52">
            <w:pPr>
              <w:jc w:val="right"/>
              <w:rPr>
                <w:rFonts w:ascii="Arial" w:hAnsi="Arial" w:cs="Arial"/>
                <w:sz w:val="22"/>
              </w:rPr>
            </w:pPr>
            <w:r w:rsidRPr="00497178">
              <w:rPr>
                <w:rFonts w:ascii="Arial" w:hAnsi="Arial" w:cs="Arial"/>
                <w:sz w:val="22"/>
              </w:rPr>
              <w:t>5.900,00</w:t>
            </w:r>
          </w:p>
        </w:tc>
        <w:tc>
          <w:tcPr>
            <w:tcW w:w="1414" w:type="dxa"/>
            <w:shd w:val="clear" w:color="auto" w:fill="auto"/>
          </w:tcPr>
          <w:p w14:paraId="4780763F" w14:textId="77777777" w:rsidR="00BC7E60" w:rsidRPr="00497178" w:rsidRDefault="00BC7E60" w:rsidP="00512D52">
            <w:pPr>
              <w:jc w:val="right"/>
              <w:rPr>
                <w:rFonts w:ascii="Arial" w:hAnsi="Arial" w:cs="Arial"/>
                <w:sz w:val="22"/>
              </w:rPr>
            </w:pPr>
          </w:p>
          <w:p w14:paraId="26451998" w14:textId="77777777" w:rsidR="00BC7E60" w:rsidRPr="00497178" w:rsidRDefault="00BC7E60" w:rsidP="00512D52">
            <w:pPr>
              <w:jc w:val="right"/>
              <w:rPr>
                <w:rFonts w:ascii="Arial" w:hAnsi="Arial" w:cs="Arial"/>
                <w:sz w:val="22"/>
              </w:rPr>
            </w:pPr>
            <w:r w:rsidRPr="00497178">
              <w:rPr>
                <w:rFonts w:ascii="Arial" w:hAnsi="Arial" w:cs="Arial"/>
                <w:b/>
                <w:bCs/>
                <w:sz w:val="22"/>
              </w:rPr>
              <w:t>2.400,00</w:t>
            </w:r>
          </w:p>
          <w:p w14:paraId="43F3935E" w14:textId="77777777" w:rsidR="00BC7E60" w:rsidRPr="00497178" w:rsidRDefault="00BC7E60" w:rsidP="00512D52">
            <w:pPr>
              <w:jc w:val="right"/>
              <w:rPr>
                <w:rFonts w:ascii="Arial" w:hAnsi="Arial" w:cs="Arial"/>
                <w:sz w:val="22"/>
              </w:rPr>
            </w:pPr>
          </w:p>
          <w:p w14:paraId="72694AFF" w14:textId="77777777" w:rsidR="00BC7E60" w:rsidRPr="00497178" w:rsidRDefault="00BC7E60" w:rsidP="00512D52">
            <w:pPr>
              <w:jc w:val="right"/>
              <w:rPr>
                <w:rFonts w:ascii="Arial" w:hAnsi="Arial" w:cs="Arial"/>
                <w:sz w:val="22"/>
              </w:rPr>
            </w:pPr>
            <w:r w:rsidRPr="00497178">
              <w:rPr>
                <w:rFonts w:ascii="Arial" w:hAnsi="Arial" w:cs="Arial"/>
                <w:sz w:val="22"/>
              </w:rPr>
              <w:t>2.400,00</w:t>
            </w:r>
          </w:p>
        </w:tc>
        <w:tc>
          <w:tcPr>
            <w:tcW w:w="1737" w:type="dxa"/>
          </w:tcPr>
          <w:p w14:paraId="4C6F0E46" w14:textId="77777777" w:rsidR="00BC7E60" w:rsidRPr="00497178" w:rsidRDefault="00BC7E60" w:rsidP="00512D52">
            <w:pPr>
              <w:jc w:val="right"/>
              <w:rPr>
                <w:rFonts w:ascii="Arial" w:hAnsi="Arial" w:cs="Arial"/>
                <w:sz w:val="22"/>
              </w:rPr>
            </w:pPr>
          </w:p>
          <w:p w14:paraId="5B837429" w14:textId="77777777" w:rsidR="00BC7E60" w:rsidRPr="00497178" w:rsidRDefault="00BC7E60" w:rsidP="00512D52">
            <w:pPr>
              <w:jc w:val="right"/>
              <w:rPr>
                <w:rFonts w:ascii="Arial" w:hAnsi="Arial" w:cs="Arial"/>
                <w:b/>
                <w:bCs/>
                <w:sz w:val="22"/>
              </w:rPr>
            </w:pPr>
            <w:r w:rsidRPr="00497178">
              <w:rPr>
                <w:rFonts w:ascii="Arial" w:hAnsi="Arial" w:cs="Arial"/>
                <w:b/>
                <w:bCs/>
                <w:sz w:val="22"/>
              </w:rPr>
              <w:t>8.300,00</w:t>
            </w:r>
          </w:p>
          <w:p w14:paraId="5D0C35D7" w14:textId="77777777" w:rsidR="00BC7E60" w:rsidRPr="00497178" w:rsidRDefault="00BC7E60" w:rsidP="00512D52">
            <w:pPr>
              <w:jc w:val="right"/>
              <w:rPr>
                <w:rFonts w:ascii="Arial" w:hAnsi="Arial" w:cs="Arial"/>
                <w:b/>
                <w:bCs/>
                <w:sz w:val="22"/>
              </w:rPr>
            </w:pPr>
          </w:p>
          <w:p w14:paraId="387A56FE" w14:textId="77777777" w:rsidR="00BC7E60" w:rsidRPr="00497178" w:rsidRDefault="00BC7E60" w:rsidP="00512D52">
            <w:pPr>
              <w:jc w:val="right"/>
              <w:rPr>
                <w:rFonts w:ascii="Arial" w:hAnsi="Arial" w:cs="Arial"/>
                <w:sz w:val="22"/>
              </w:rPr>
            </w:pPr>
            <w:r w:rsidRPr="00497178">
              <w:rPr>
                <w:rFonts w:ascii="Arial" w:hAnsi="Arial" w:cs="Arial"/>
                <w:sz w:val="22"/>
              </w:rPr>
              <w:t>8.300,00</w:t>
            </w:r>
          </w:p>
        </w:tc>
        <w:tc>
          <w:tcPr>
            <w:tcW w:w="1134" w:type="dxa"/>
          </w:tcPr>
          <w:p w14:paraId="4868189A" w14:textId="77777777" w:rsidR="00BC7E60" w:rsidRPr="00497178" w:rsidRDefault="00BC7E60" w:rsidP="00512D52">
            <w:pPr>
              <w:jc w:val="right"/>
              <w:rPr>
                <w:rFonts w:ascii="Arial" w:hAnsi="Arial" w:cs="Arial"/>
                <w:sz w:val="22"/>
              </w:rPr>
            </w:pPr>
          </w:p>
          <w:p w14:paraId="5C84ACFA" w14:textId="77777777" w:rsidR="00BC7E60" w:rsidRPr="00497178" w:rsidRDefault="00BC7E60" w:rsidP="00512D52">
            <w:pPr>
              <w:jc w:val="right"/>
              <w:rPr>
                <w:rFonts w:ascii="Arial" w:hAnsi="Arial" w:cs="Arial"/>
                <w:b/>
                <w:bCs/>
                <w:sz w:val="22"/>
              </w:rPr>
            </w:pPr>
            <w:r w:rsidRPr="00497178">
              <w:rPr>
                <w:rFonts w:ascii="Arial" w:hAnsi="Arial" w:cs="Arial"/>
                <w:b/>
                <w:bCs/>
                <w:sz w:val="22"/>
              </w:rPr>
              <w:t>140,68</w:t>
            </w:r>
          </w:p>
          <w:p w14:paraId="68ECD546" w14:textId="77777777" w:rsidR="00BC7E60" w:rsidRPr="00497178" w:rsidRDefault="00BC7E60" w:rsidP="00512D52">
            <w:pPr>
              <w:jc w:val="right"/>
              <w:rPr>
                <w:rFonts w:ascii="Arial" w:hAnsi="Arial" w:cs="Arial"/>
                <w:b/>
                <w:bCs/>
                <w:sz w:val="22"/>
              </w:rPr>
            </w:pPr>
          </w:p>
          <w:p w14:paraId="60BED231" w14:textId="77777777" w:rsidR="00BC7E60" w:rsidRPr="00497178" w:rsidRDefault="00BC7E60" w:rsidP="00512D52">
            <w:pPr>
              <w:jc w:val="right"/>
              <w:rPr>
                <w:rFonts w:ascii="Arial" w:hAnsi="Arial" w:cs="Arial"/>
                <w:sz w:val="22"/>
              </w:rPr>
            </w:pPr>
            <w:r w:rsidRPr="00497178">
              <w:rPr>
                <w:rFonts w:ascii="Arial" w:hAnsi="Arial" w:cs="Arial"/>
                <w:sz w:val="22"/>
              </w:rPr>
              <w:t>140,68</w:t>
            </w:r>
          </w:p>
        </w:tc>
      </w:tr>
      <w:tr w:rsidR="00BC7E60" w:rsidRPr="00497178" w14:paraId="4A18FE36" w14:textId="77777777" w:rsidTr="00512D52">
        <w:tc>
          <w:tcPr>
            <w:tcW w:w="693" w:type="dxa"/>
            <w:shd w:val="clear" w:color="auto" w:fill="auto"/>
          </w:tcPr>
          <w:p w14:paraId="79444A37" w14:textId="77777777" w:rsidR="00BC7E60" w:rsidRPr="00497178" w:rsidRDefault="00BC7E60" w:rsidP="00512D52">
            <w:pPr>
              <w:jc w:val="both"/>
              <w:rPr>
                <w:rFonts w:ascii="Arial" w:hAnsi="Arial" w:cs="Arial"/>
                <w:sz w:val="22"/>
              </w:rPr>
            </w:pPr>
          </w:p>
        </w:tc>
        <w:tc>
          <w:tcPr>
            <w:tcW w:w="2673" w:type="dxa"/>
            <w:shd w:val="clear" w:color="auto" w:fill="auto"/>
          </w:tcPr>
          <w:p w14:paraId="4BE0231B" w14:textId="77777777" w:rsidR="00BC7E60" w:rsidRPr="00497178" w:rsidRDefault="00BC7E60" w:rsidP="00512D52">
            <w:pPr>
              <w:rPr>
                <w:rFonts w:ascii="Arial" w:hAnsi="Arial" w:cs="Arial"/>
                <w:b/>
                <w:sz w:val="22"/>
              </w:rPr>
            </w:pPr>
            <w:r w:rsidRPr="00497178">
              <w:rPr>
                <w:rFonts w:ascii="Arial" w:hAnsi="Arial" w:cs="Arial"/>
                <w:b/>
                <w:sz w:val="22"/>
              </w:rPr>
              <w:t>UKUPNO: GRAD LABIN</w:t>
            </w:r>
          </w:p>
        </w:tc>
        <w:tc>
          <w:tcPr>
            <w:tcW w:w="1700" w:type="dxa"/>
            <w:shd w:val="clear" w:color="auto" w:fill="auto"/>
          </w:tcPr>
          <w:p w14:paraId="70AF97D9" w14:textId="77777777" w:rsidR="00BC7E60" w:rsidRPr="00497178" w:rsidRDefault="00BC7E60" w:rsidP="00512D52">
            <w:pPr>
              <w:jc w:val="right"/>
              <w:rPr>
                <w:rFonts w:ascii="Arial" w:hAnsi="Arial" w:cs="Arial"/>
                <w:b/>
                <w:sz w:val="22"/>
              </w:rPr>
            </w:pPr>
          </w:p>
          <w:p w14:paraId="1B616642" w14:textId="77777777" w:rsidR="00BC7E60" w:rsidRPr="00497178" w:rsidRDefault="00BC7E60" w:rsidP="00512D52">
            <w:pPr>
              <w:jc w:val="right"/>
              <w:rPr>
                <w:rFonts w:ascii="Arial" w:hAnsi="Arial" w:cs="Arial"/>
                <w:b/>
                <w:sz w:val="22"/>
              </w:rPr>
            </w:pPr>
            <w:r w:rsidRPr="00497178">
              <w:rPr>
                <w:rFonts w:ascii="Arial" w:hAnsi="Arial" w:cs="Arial"/>
                <w:b/>
                <w:sz w:val="22"/>
              </w:rPr>
              <w:t>3.769.218,00</w:t>
            </w:r>
          </w:p>
        </w:tc>
        <w:tc>
          <w:tcPr>
            <w:tcW w:w="1414" w:type="dxa"/>
            <w:shd w:val="clear" w:color="auto" w:fill="auto"/>
          </w:tcPr>
          <w:p w14:paraId="029CA05C" w14:textId="77777777" w:rsidR="00BC7E60" w:rsidRPr="00497178" w:rsidRDefault="00BC7E60" w:rsidP="00512D52">
            <w:pPr>
              <w:jc w:val="right"/>
              <w:rPr>
                <w:rFonts w:ascii="Arial" w:hAnsi="Arial" w:cs="Arial"/>
                <w:b/>
                <w:sz w:val="22"/>
              </w:rPr>
            </w:pPr>
          </w:p>
          <w:p w14:paraId="4DC0AD9B" w14:textId="77777777" w:rsidR="00BC7E60" w:rsidRPr="00497178" w:rsidRDefault="00BC7E60" w:rsidP="00512D52">
            <w:pPr>
              <w:jc w:val="right"/>
              <w:rPr>
                <w:rFonts w:ascii="Arial" w:hAnsi="Arial" w:cs="Arial"/>
                <w:b/>
                <w:sz w:val="22"/>
              </w:rPr>
            </w:pPr>
            <w:r w:rsidRPr="00497178">
              <w:rPr>
                <w:rFonts w:ascii="Arial" w:hAnsi="Arial" w:cs="Arial"/>
                <w:b/>
                <w:sz w:val="22"/>
              </w:rPr>
              <w:t>-77.096,00</w:t>
            </w:r>
          </w:p>
        </w:tc>
        <w:tc>
          <w:tcPr>
            <w:tcW w:w="1737" w:type="dxa"/>
          </w:tcPr>
          <w:p w14:paraId="73D0F863" w14:textId="77777777" w:rsidR="00BC7E60" w:rsidRPr="00497178" w:rsidRDefault="00BC7E60" w:rsidP="00512D52">
            <w:pPr>
              <w:jc w:val="right"/>
              <w:rPr>
                <w:rFonts w:ascii="Arial" w:hAnsi="Arial" w:cs="Arial"/>
                <w:b/>
                <w:sz w:val="22"/>
              </w:rPr>
            </w:pPr>
          </w:p>
          <w:p w14:paraId="32D5E015" w14:textId="77777777" w:rsidR="00BC7E60" w:rsidRPr="00497178" w:rsidRDefault="00BC7E60" w:rsidP="00512D52">
            <w:pPr>
              <w:jc w:val="right"/>
              <w:rPr>
                <w:rFonts w:ascii="Arial" w:hAnsi="Arial" w:cs="Arial"/>
                <w:b/>
                <w:sz w:val="22"/>
              </w:rPr>
            </w:pPr>
            <w:r w:rsidRPr="00497178">
              <w:rPr>
                <w:rFonts w:ascii="Arial" w:hAnsi="Arial" w:cs="Arial"/>
                <w:b/>
                <w:sz w:val="22"/>
              </w:rPr>
              <w:t>3.692.122,00</w:t>
            </w:r>
          </w:p>
        </w:tc>
        <w:tc>
          <w:tcPr>
            <w:tcW w:w="1134" w:type="dxa"/>
          </w:tcPr>
          <w:p w14:paraId="520251AE" w14:textId="77777777" w:rsidR="00BC7E60" w:rsidRPr="00497178" w:rsidRDefault="00BC7E60" w:rsidP="00512D52">
            <w:pPr>
              <w:jc w:val="right"/>
              <w:rPr>
                <w:rFonts w:ascii="Arial" w:hAnsi="Arial" w:cs="Arial"/>
                <w:b/>
                <w:sz w:val="22"/>
              </w:rPr>
            </w:pPr>
          </w:p>
          <w:p w14:paraId="3E046810" w14:textId="77777777" w:rsidR="00BC7E60" w:rsidRPr="00497178" w:rsidRDefault="00BC7E60" w:rsidP="00512D52">
            <w:pPr>
              <w:jc w:val="right"/>
              <w:rPr>
                <w:rFonts w:ascii="Arial" w:hAnsi="Arial" w:cs="Arial"/>
                <w:b/>
                <w:sz w:val="22"/>
              </w:rPr>
            </w:pPr>
            <w:r w:rsidRPr="00497178">
              <w:rPr>
                <w:rFonts w:ascii="Arial" w:hAnsi="Arial" w:cs="Arial"/>
                <w:b/>
                <w:sz w:val="22"/>
              </w:rPr>
              <w:t>97,95</w:t>
            </w:r>
          </w:p>
        </w:tc>
      </w:tr>
      <w:tr w:rsidR="00BC7E60" w:rsidRPr="00497178" w14:paraId="27405D83" w14:textId="77777777" w:rsidTr="00512D52">
        <w:tc>
          <w:tcPr>
            <w:tcW w:w="693" w:type="dxa"/>
            <w:shd w:val="clear" w:color="auto" w:fill="auto"/>
          </w:tcPr>
          <w:p w14:paraId="3BDD33A3" w14:textId="77777777" w:rsidR="00BC7E60" w:rsidRPr="00497178" w:rsidRDefault="00BC7E60" w:rsidP="00512D52">
            <w:pPr>
              <w:jc w:val="both"/>
              <w:rPr>
                <w:rFonts w:ascii="Arial" w:hAnsi="Arial" w:cs="Arial"/>
                <w:sz w:val="22"/>
              </w:rPr>
            </w:pPr>
            <w:r w:rsidRPr="00497178">
              <w:rPr>
                <w:rFonts w:ascii="Arial" w:hAnsi="Arial" w:cs="Arial"/>
                <w:sz w:val="22"/>
              </w:rPr>
              <w:t>5.</w:t>
            </w:r>
          </w:p>
        </w:tc>
        <w:tc>
          <w:tcPr>
            <w:tcW w:w="2673" w:type="dxa"/>
            <w:shd w:val="clear" w:color="auto" w:fill="auto"/>
          </w:tcPr>
          <w:p w14:paraId="3012BBC6" w14:textId="77777777" w:rsidR="00BC7E60" w:rsidRPr="00497178" w:rsidRDefault="00BC7E60" w:rsidP="00512D52">
            <w:pPr>
              <w:rPr>
                <w:rFonts w:ascii="Arial" w:hAnsi="Arial" w:cs="Arial"/>
                <w:b/>
                <w:sz w:val="22"/>
              </w:rPr>
            </w:pPr>
            <w:r w:rsidRPr="00497178">
              <w:rPr>
                <w:rFonts w:ascii="Arial" w:hAnsi="Arial" w:cs="Arial"/>
                <w:sz w:val="22"/>
              </w:rPr>
              <w:t>Javna vatrogasna postrojba Labin</w:t>
            </w:r>
          </w:p>
        </w:tc>
        <w:tc>
          <w:tcPr>
            <w:tcW w:w="1700" w:type="dxa"/>
            <w:shd w:val="clear" w:color="auto" w:fill="auto"/>
          </w:tcPr>
          <w:p w14:paraId="59BA6050" w14:textId="77777777" w:rsidR="00BC7E60" w:rsidRPr="00497178" w:rsidRDefault="00BC7E60" w:rsidP="00512D52">
            <w:pPr>
              <w:jc w:val="right"/>
              <w:rPr>
                <w:rFonts w:ascii="Arial" w:hAnsi="Arial" w:cs="Arial"/>
                <w:sz w:val="22"/>
              </w:rPr>
            </w:pPr>
          </w:p>
          <w:p w14:paraId="5E0DBE8B" w14:textId="77777777" w:rsidR="00BC7E60" w:rsidRPr="00497178" w:rsidRDefault="00BC7E60" w:rsidP="00512D52">
            <w:pPr>
              <w:jc w:val="right"/>
              <w:rPr>
                <w:rFonts w:ascii="Arial" w:hAnsi="Arial" w:cs="Arial"/>
                <w:sz w:val="22"/>
              </w:rPr>
            </w:pPr>
            <w:r w:rsidRPr="00497178">
              <w:rPr>
                <w:rFonts w:ascii="Arial" w:hAnsi="Arial" w:cs="Arial"/>
                <w:sz w:val="22"/>
              </w:rPr>
              <w:t>26.890,00</w:t>
            </w:r>
          </w:p>
        </w:tc>
        <w:tc>
          <w:tcPr>
            <w:tcW w:w="1414" w:type="dxa"/>
            <w:shd w:val="clear" w:color="auto" w:fill="auto"/>
          </w:tcPr>
          <w:p w14:paraId="5053C066" w14:textId="77777777" w:rsidR="00BC7E60" w:rsidRPr="00497178" w:rsidRDefault="00BC7E60" w:rsidP="00512D52">
            <w:pPr>
              <w:jc w:val="right"/>
              <w:rPr>
                <w:rFonts w:ascii="Arial" w:hAnsi="Arial" w:cs="Arial"/>
                <w:sz w:val="22"/>
              </w:rPr>
            </w:pPr>
          </w:p>
          <w:p w14:paraId="3808E418" w14:textId="77777777" w:rsidR="00BC7E60" w:rsidRPr="00497178" w:rsidRDefault="00BC7E60" w:rsidP="00512D52">
            <w:pPr>
              <w:jc w:val="right"/>
              <w:rPr>
                <w:rFonts w:ascii="Arial" w:hAnsi="Arial" w:cs="Arial"/>
                <w:sz w:val="22"/>
              </w:rPr>
            </w:pPr>
            <w:r w:rsidRPr="00497178">
              <w:rPr>
                <w:rFonts w:ascii="Arial" w:hAnsi="Arial" w:cs="Arial"/>
                <w:sz w:val="22"/>
              </w:rPr>
              <w:t>3.611,00</w:t>
            </w:r>
          </w:p>
        </w:tc>
        <w:tc>
          <w:tcPr>
            <w:tcW w:w="1737" w:type="dxa"/>
          </w:tcPr>
          <w:p w14:paraId="48233ACB" w14:textId="77777777" w:rsidR="00BC7E60" w:rsidRPr="00497178" w:rsidRDefault="00BC7E60" w:rsidP="00512D52">
            <w:pPr>
              <w:jc w:val="right"/>
              <w:rPr>
                <w:rFonts w:ascii="Arial" w:hAnsi="Arial" w:cs="Arial"/>
                <w:sz w:val="22"/>
              </w:rPr>
            </w:pPr>
          </w:p>
          <w:p w14:paraId="0A9361EE" w14:textId="77777777" w:rsidR="00BC7E60" w:rsidRPr="00497178" w:rsidRDefault="00BC7E60" w:rsidP="00512D52">
            <w:pPr>
              <w:jc w:val="right"/>
              <w:rPr>
                <w:rFonts w:ascii="Arial" w:hAnsi="Arial" w:cs="Arial"/>
                <w:sz w:val="22"/>
              </w:rPr>
            </w:pPr>
            <w:r w:rsidRPr="00497178">
              <w:rPr>
                <w:rFonts w:ascii="Arial" w:hAnsi="Arial" w:cs="Arial"/>
                <w:sz w:val="22"/>
              </w:rPr>
              <w:t>30.501,00</w:t>
            </w:r>
          </w:p>
        </w:tc>
        <w:tc>
          <w:tcPr>
            <w:tcW w:w="1134" w:type="dxa"/>
          </w:tcPr>
          <w:p w14:paraId="53209551" w14:textId="77777777" w:rsidR="00BC7E60" w:rsidRPr="00497178" w:rsidRDefault="00BC7E60" w:rsidP="00512D52">
            <w:pPr>
              <w:jc w:val="right"/>
              <w:rPr>
                <w:rFonts w:ascii="Arial" w:hAnsi="Arial" w:cs="Arial"/>
                <w:sz w:val="22"/>
              </w:rPr>
            </w:pPr>
          </w:p>
          <w:p w14:paraId="240D2490" w14:textId="77777777" w:rsidR="00BC7E60" w:rsidRPr="00497178" w:rsidRDefault="00BC7E60" w:rsidP="00512D52">
            <w:pPr>
              <w:jc w:val="right"/>
              <w:rPr>
                <w:rFonts w:ascii="Arial" w:hAnsi="Arial" w:cs="Arial"/>
                <w:sz w:val="22"/>
              </w:rPr>
            </w:pPr>
            <w:r w:rsidRPr="00497178">
              <w:rPr>
                <w:rFonts w:ascii="Arial" w:hAnsi="Arial" w:cs="Arial"/>
                <w:sz w:val="22"/>
              </w:rPr>
              <w:t>113,43</w:t>
            </w:r>
          </w:p>
        </w:tc>
      </w:tr>
      <w:tr w:rsidR="00BC7E60" w:rsidRPr="00497178" w14:paraId="336AE14A" w14:textId="77777777" w:rsidTr="00512D52">
        <w:tc>
          <w:tcPr>
            <w:tcW w:w="693" w:type="dxa"/>
            <w:shd w:val="clear" w:color="auto" w:fill="auto"/>
          </w:tcPr>
          <w:p w14:paraId="6B504314" w14:textId="77777777" w:rsidR="00BC7E60" w:rsidRPr="00497178" w:rsidRDefault="00BC7E60" w:rsidP="00512D52">
            <w:pPr>
              <w:jc w:val="both"/>
              <w:rPr>
                <w:rFonts w:ascii="Arial" w:hAnsi="Arial" w:cs="Arial"/>
                <w:sz w:val="22"/>
              </w:rPr>
            </w:pPr>
            <w:r w:rsidRPr="00497178">
              <w:rPr>
                <w:rFonts w:ascii="Arial" w:hAnsi="Arial" w:cs="Arial"/>
                <w:sz w:val="22"/>
              </w:rPr>
              <w:t>6.</w:t>
            </w:r>
          </w:p>
        </w:tc>
        <w:tc>
          <w:tcPr>
            <w:tcW w:w="2673" w:type="dxa"/>
            <w:shd w:val="clear" w:color="auto" w:fill="auto"/>
          </w:tcPr>
          <w:p w14:paraId="012A43F7" w14:textId="77777777" w:rsidR="00BC7E60" w:rsidRPr="00497178" w:rsidRDefault="00BC7E60" w:rsidP="00512D52">
            <w:pPr>
              <w:rPr>
                <w:rFonts w:ascii="Arial" w:hAnsi="Arial" w:cs="Arial"/>
                <w:sz w:val="22"/>
              </w:rPr>
            </w:pPr>
            <w:r w:rsidRPr="00497178">
              <w:rPr>
                <w:rFonts w:ascii="Arial" w:hAnsi="Arial" w:cs="Arial"/>
                <w:sz w:val="22"/>
              </w:rPr>
              <w:t>Dječji vrtić “</w:t>
            </w:r>
            <w:proofErr w:type="spellStart"/>
            <w:r w:rsidRPr="00497178">
              <w:rPr>
                <w:rFonts w:ascii="Arial" w:hAnsi="Arial" w:cs="Arial"/>
                <w:sz w:val="22"/>
              </w:rPr>
              <w:t>Pjerina</w:t>
            </w:r>
            <w:proofErr w:type="spellEnd"/>
            <w:r w:rsidRPr="00497178">
              <w:rPr>
                <w:rFonts w:ascii="Arial" w:hAnsi="Arial" w:cs="Arial"/>
                <w:sz w:val="22"/>
              </w:rPr>
              <w:t xml:space="preserve"> </w:t>
            </w:r>
            <w:proofErr w:type="spellStart"/>
            <w:r w:rsidRPr="00497178">
              <w:rPr>
                <w:rFonts w:ascii="Arial" w:hAnsi="Arial" w:cs="Arial"/>
                <w:sz w:val="22"/>
              </w:rPr>
              <w:t>Verbanac</w:t>
            </w:r>
            <w:proofErr w:type="spellEnd"/>
            <w:r w:rsidRPr="00497178">
              <w:rPr>
                <w:rFonts w:ascii="Arial" w:hAnsi="Arial" w:cs="Arial"/>
                <w:sz w:val="22"/>
              </w:rPr>
              <w:t>” Labin</w:t>
            </w:r>
          </w:p>
        </w:tc>
        <w:tc>
          <w:tcPr>
            <w:tcW w:w="1700" w:type="dxa"/>
            <w:shd w:val="clear" w:color="auto" w:fill="auto"/>
          </w:tcPr>
          <w:p w14:paraId="4D7E0B35" w14:textId="77777777" w:rsidR="00BC7E60" w:rsidRPr="00497178" w:rsidRDefault="00BC7E60" w:rsidP="00512D52">
            <w:pPr>
              <w:jc w:val="right"/>
              <w:rPr>
                <w:rFonts w:ascii="Arial" w:hAnsi="Arial" w:cs="Arial"/>
                <w:sz w:val="22"/>
              </w:rPr>
            </w:pPr>
          </w:p>
          <w:p w14:paraId="7780DE19" w14:textId="77777777" w:rsidR="00BC7E60" w:rsidRPr="00497178" w:rsidRDefault="00BC7E60" w:rsidP="00512D52">
            <w:pPr>
              <w:jc w:val="right"/>
              <w:rPr>
                <w:rFonts w:ascii="Arial" w:hAnsi="Arial" w:cs="Arial"/>
                <w:sz w:val="22"/>
              </w:rPr>
            </w:pPr>
            <w:r w:rsidRPr="00497178">
              <w:rPr>
                <w:rFonts w:ascii="Arial" w:hAnsi="Arial" w:cs="Arial"/>
                <w:sz w:val="22"/>
              </w:rPr>
              <w:t>8.000,00</w:t>
            </w:r>
          </w:p>
        </w:tc>
        <w:tc>
          <w:tcPr>
            <w:tcW w:w="1414" w:type="dxa"/>
            <w:shd w:val="clear" w:color="auto" w:fill="auto"/>
          </w:tcPr>
          <w:p w14:paraId="25D55554" w14:textId="77777777" w:rsidR="00BC7E60" w:rsidRPr="00497178" w:rsidRDefault="00BC7E60" w:rsidP="00512D52">
            <w:pPr>
              <w:jc w:val="right"/>
              <w:rPr>
                <w:rFonts w:ascii="Arial" w:hAnsi="Arial" w:cs="Arial"/>
                <w:sz w:val="22"/>
              </w:rPr>
            </w:pPr>
          </w:p>
          <w:p w14:paraId="04372EE4" w14:textId="77777777" w:rsidR="00BC7E60" w:rsidRPr="00497178" w:rsidRDefault="00BC7E60" w:rsidP="00512D52">
            <w:pPr>
              <w:jc w:val="right"/>
              <w:rPr>
                <w:rFonts w:ascii="Arial" w:hAnsi="Arial" w:cs="Arial"/>
                <w:sz w:val="22"/>
              </w:rPr>
            </w:pPr>
            <w:r w:rsidRPr="00497178">
              <w:rPr>
                <w:rFonts w:ascii="Arial" w:hAnsi="Arial" w:cs="Arial"/>
                <w:sz w:val="22"/>
              </w:rPr>
              <w:t>2.530,00</w:t>
            </w:r>
          </w:p>
        </w:tc>
        <w:tc>
          <w:tcPr>
            <w:tcW w:w="1737" w:type="dxa"/>
          </w:tcPr>
          <w:p w14:paraId="540E9D38" w14:textId="77777777" w:rsidR="00BC7E60" w:rsidRPr="00497178" w:rsidRDefault="00BC7E60" w:rsidP="00512D52">
            <w:pPr>
              <w:jc w:val="right"/>
              <w:rPr>
                <w:rFonts w:ascii="Arial" w:hAnsi="Arial" w:cs="Arial"/>
                <w:sz w:val="22"/>
              </w:rPr>
            </w:pPr>
          </w:p>
          <w:p w14:paraId="4FB2569E" w14:textId="77777777" w:rsidR="00BC7E60" w:rsidRPr="00497178" w:rsidRDefault="00BC7E60" w:rsidP="00512D52">
            <w:pPr>
              <w:jc w:val="right"/>
              <w:rPr>
                <w:rFonts w:ascii="Arial" w:hAnsi="Arial" w:cs="Arial"/>
                <w:sz w:val="22"/>
              </w:rPr>
            </w:pPr>
            <w:r w:rsidRPr="00497178">
              <w:rPr>
                <w:rFonts w:ascii="Arial" w:hAnsi="Arial" w:cs="Arial"/>
                <w:sz w:val="22"/>
              </w:rPr>
              <w:t>10.530,00</w:t>
            </w:r>
          </w:p>
        </w:tc>
        <w:tc>
          <w:tcPr>
            <w:tcW w:w="1134" w:type="dxa"/>
          </w:tcPr>
          <w:p w14:paraId="07B1CD1C" w14:textId="77777777" w:rsidR="00BC7E60" w:rsidRPr="00497178" w:rsidRDefault="00BC7E60" w:rsidP="00512D52">
            <w:pPr>
              <w:jc w:val="right"/>
              <w:rPr>
                <w:rFonts w:ascii="Arial" w:hAnsi="Arial" w:cs="Arial"/>
                <w:sz w:val="22"/>
              </w:rPr>
            </w:pPr>
          </w:p>
          <w:p w14:paraId="4B165941" w14:textId="77777777" w:rsidR="00BC7E60" w:rsidRPr="00497178" w:rsidRDefault="00BC7E60" w:rsidP="00512D52">
            <w:pPr>
              <w:jc w:val="right"/>
              <w:rPr>
                <w:rFonts w:ascii="Arial" w:hAnsi="Arial" w:cs="Arial"/>
                <w:sz w:val="22"/>
              </w:rPr>
            </w:pPr>
            <w:r w:rsidRPr="00497178">
              <w:rPr>
                <w:rFonts w:ascii="Arial" w:hAnsi="Arial" w:cs="Arial"/>
                <w:sz w:val="22"/>
              </w:rPr>
              <w:t>131,63</w:t>
            </w:r>
          </w:p>
        </w:tc>
      </w:tr>
      <w:tr w:rsidR="00BC7E60" w:rsidRPr="00497178" w14:paraId="2E909940" w14:textId="77777777" w:rsidTr="00512D52">
        <w:tc>
          <w:tcPr>
            <w:tcW w:w="693" w:type="dxa"/>
            <w:shd w:val="clear" w:color="auto" w:fill="auto"/>
          </w:tcPr>
          <w:p w14:paraId="2651A315" w14:textId="77777777" w:rsidR="00BC7E60" w:rsidRPr="00497178" w:rsidRDefault="00BC7E60" w:rsidP="00512D52">
            <w:pPr>
              <w:jc w:val="both"/>
              <w:rPr>
                <w:rFonts w:ascii="Arial" w:hAnsi="Arial" w:cs="Arial"/>
                <w:sz w:val="22"/>
              </w:rPr>
            </w:pPr>
            <w:r w:rsidRPr="00497178">
              <w:rPr>
                <w:rFonts w:ascii="Arial" w:hAnsi="Arial" w:cs="Arial"/>
                <w:sz w:val="22"/>
              </w:rPr>
              <w:t xml:space="preserve">7. </w:t>
            </w:r>
          </w:p>
        </w:tc>
        <w:tc>
          <w:tcPr>
            <w:tcW w:w="2673" w:type="dxa"/>
            <w:shd w:val="clear" w:color="auto" w:fill="auto"/>
          </w:tcPr>
          <w:p w14:paraId="24EA363F" w14:textId="77777777" w:rsidR="00BC7E60" w:rsidRPr="00497178" w:rsidRDefault="00BC7E60" w:rsidP="00512D52">
            <w:pPr>
              <w:rPr>
                <w:rFonts w:ascii="Arial" w:hAnsi="Arial" w:cs="Arial"/>
                <w:sz w:val="22"/>
              </w:rPr>
            </w:pPr>
            <w:r w:rsidRPr="00497178">
              <w:rPr>
                <w:rFonts w:ascii="Arial" w:hAnsi="Arial" w:cs="Arial"/>
                <w:sz w:val="22"/>
              </w:rPr>
              <w:t>OŠ Matije Vlačića Labin</w:t>
            </w:r>
          </w:p>
        </w:tc>
        <w:tc>
          <w:tcPr>
            <w:tcW w:w="1700" w:type="dxa"/>
            <w:shd w:val="clear" w:color="auto" w:fill="auto"/>
          </w:tcPr>
          <w:p w14:paraId="482FCBA7" w14:textId="77777777" w:rsidR="00BC7E60" w:rsidRPr="00497178" w:rsidRDefault="00BC7E60" w:rsidP="00512D52">
            <w:pPr>
              <w:jc w:val="right"/>
              <w:rPr>
                <w:rFonts w:ascii="Arial" w:hAnsi="Arial" w:cs="Arial"/>
                <w:sz w:val="22"/>
              </w:rPr>
            </w:pPr>
            <w:r w:rsidRPr="00497178">
              <w:rPr>
                <w:rFonts w:ascii="Arial" w:hAnsi="Arial" w:cs="Arial"/>
                <w:sz w:val="22"/>
              </w:rPr>
              <w:t>3.800,00</w:t>
            </w:r>
          </w:p>
        </w:tc>
        <w:tc>
          <w:tcPr>
            <w:tcW w:w="1414" w:type="dxa"/>
            <w:shd w:val="clear" w:color="auto" w:fill="auto"/>
          </w:tcPr>
          <w:p w14:paraId="6CA4AB6B" w14:textId="77777777" w:rsidR="00BC7E60" w:rsidRPr="00497178" w:rsidRDefault="00BC7E60" w:rsidP="00512D52">
            <w:pPr>
              <w:jc w:val="right"/>
              <w:rPr>
                <w:rFonts w:ascii="Arial" w:hAnsi="Arial" w:cs="Arial"/>
                <w:sz w:val="22"/>
              </w:rPr>
            </w:pPr>
            <w:r w:rsidRPr="00497178">
              <w:rPr>
                <w:rFonts w:ascii="Arial" w:hAnsi="Arial" w:cs="Arial"/>
                <w:sz w:val="22"/>
              </w:rPr>
              <w:t>3.615,00</w:t>
            </w:r>
          </w:p>
        </w:tc>
        <w:tc>
          <w:tcPr>
            <w:tcW w:w="1737" w:type="dxa"/>
          </w:tcPr>
          <w:p w14:paraId="04511B57" w14:textId="77777777" w:rsidR="00BC7E60" w:rsidRPr="00497178" w:rsidRDefault="00BC7E60" w:rsidP="00512D52">
            <w:pPr>
              <w:jc w:val="right"/>
              <w:rPr>
                <w:rFonts w:ascii="Arial" w:hAnsi="Arial" w:cs="Arial"/>
                <w:sz w:val="22"/>
              </w:rPr>
            </w:pPr>
            <w:r w:rsidRPr="00497178">
              <w:rPr>
                <w:rFonts w:ascii="Arial" w:hAnsi="Arial" w:cs="Arial"/>
                <w:sz w:val="22"/>
              </w:rPr>
              <w:t>7.415,00</w:t>
            </w:r>
          </w:p>
        </w:tc>
        <w:tc>
          <w:tcPr>
            <w:tcW w:w="1134" w:type="dxa"/>
          </w:tcPr>
          <w:p w14:paraId="369288A3" w14:textId="77777777" w:rsidR="00BC7E60" w:rsidRPr="00497178" w:rsidRDefault="00BC7E60" w:rsidP="00512D52">
            <w:pPr>
              <w:jc w:val="right"/>
              <w:rPr>
                <w:rFonts w:ascii="Arial" w:hAnsi="Arial" w:cs="Arial"/>
                <w:sz w:val="22"/>
              </w:rPr>
            </w:pPr>
            <w:r w:rsidRPr="00497178">
              <w:rPr>
                <w:rFonts w:ascii="Arial" w:hAnsi="Arial" w:cs="Arial"/>
                <w:sz w:val="22"/>
              </w:rPr>
              <w:t>195,13</w:t>
            </w:r>
          </w:p>
        </w:tc>
      </w:tr>
      <w:tr w:rsidR="00BC7E60" w:rsidRPr="00497178" w14:paraId="2DD0CD74" w14:textId="77777777" w:rsidTr="00512D52">
        <w:tc>
          <w:tcPr>
            <w:tcW w:w="693" w:type="dxa"/>
            <w:shd w:val="clear" w:color="auto" w:fill="auto"/>
          </w:tcPr>
          <w:p w14:paraId="7C540363" w14:textId="77777777" w:rsidR="00BC7E60" w:rsidRPr="00497178" w:rsidRDefault="00BC7E60" w:rsidP="00512D52">
            <w:pPr>
              <w:jc w:val="both"/>
              <w:rPr>
                <w:rFonts w:ascii="Arial" w:hAnsi="Arial" w:cs="Arial"/>
                <w:sz w:val="22"/>
              </w:rPr>
            </w:pPr>
            <w:r w:rsidRPr="00497178">
              <w:rPr>
                <w:rFonts w:ascii="Arial" w:hAnsi="Arial" w:cs="Arial"/>
                <w:sz w:val="22"/>
              </w:rPr>
              <w:t>8.</w:t>
            </w:r>
          </w:p>
        </w:tc>
        <w:tc>
          <w:tcPr>
            <w:tcW w:w="2673" w:type="dxa"/>
            <w:shd w:val="clear" w:color="auto" w:fill="auto"/>
          </w:tcPr>
          <w:p w14:paraId="3E12F6AF" w14:textId="77777777" w:rsidR="00BC7E60" w:rsidRPr="00497178" w:rsidRDefault="00BC7E60" w:rsidP="00512D52">
            <w:pPr>
              <w:jc w:val="both"/>
              <w:rPr>
                <w:rFonts w:ascii="Arial" w:hAnsi="Arial" w:cs="Arial"/>
                <w:b/>
                <w:bCs/>
                <w:sz w:val="22"/>
              </w:rPr>
            </w:pPr>
            <w:r w:rsidRPr="00497178">
              <w:rPr>
                <w:rFonts w:ascii="Arial" w:hAnsi="Arial" w:cs="Arial"/>
                <w:sz w:val="22"/>
              </w:rPr>
              <w:t>OŠ Ivo Lola Ribar Labin</w:t>
            </w:r>
          </w:p>
        </w:tc>
        <w:tc>
          <w:tcPr>
            <w:tcW w:w="1700" w:type="dxa"/>
            <w:shd w:val="clear" w:color="auto" w:fill="auto"/>
          </w:tcPr>
          <w:p w14:paraId="788E6C04" w14:textId="77777777" w:rsidR="00BC7E60" w:rsidRPr="00497178" w:rsidRDefault="00BC7E60" w:rsidP="00512D52">
            <w:pPr>
              <w:jc w:val="right"/>
              <w:rPr>
                <w:rFonts w:ascii="Arial" w:hAnsi="Arial" w:cs="Arial"/>
                <w:sz w:val="22"/>
              </w:rPr>
            </w:pPr>
            <w:r w:rsidRPr="00497178">
              <w:rPr>
                <w:rFonts w:ascii="Arial" w:hAnsi="Arial" w:cs="Arial"/>
                <w:sz w:val="22"/>
              </w:rPr>
              <w:t>31.611,00</w:t>
            </w:r>
          </w:p>
        </w:tc>
        <w:tc>
          <w:tcPr>
            <w:tcW w:w="1414" w:type="dxa"/>
            <w:shd w:val="clear" w:color="auto" w:fill="auto"/>
          </w:tcPr>
          <w:p w14:paraId="0AD2CA7F" w14:textId="77777777" w:rsidR="00BC7E60" w:rsidRPr="00497178" w:rsidRDefault="00BC7E60" w:rsidP="00512D52">
            <w:pPr>
              <w:jc w:val="right"/>
              <w:rPr>
                <w:rFonts w:ascii="Arial" w:hAnsi="Arial" w:cs="Arial"/>
                <w:sz w:val="22"/>
              </w:rPr>
            </w:pPr>
            <w:r w:rsidRPr="00497178">
              <w:rPr>
                <w:rFonts w:ascii="Arial" w:hAnsi="Arial" w:cs="Arial"/>
                <w:sz w:val="22"/>
              </w:rPr>
              <w:t>1.000,00</w:t>
            </w:r>
          </w:p>
        </w:tc>
        <w:tc>
          <w:tcPr>
            <w:tcW w:w="1737" w:type="dxa"/>
          </w:tcPr>
          <w:p w14:paraId="53AF131F" w14:textId="77777777" w:rsidR="00BC7E60" w:rsidRPr="00497178" w:rsidRDefault="00BC7E60" w:rsidP="00512D52">
            <w:pPr>
              <w:jc w:val="right"/>
              <w:rPr>
                <w:rFonts w:ascii="Arial" w:hAnsi="Arial" w:cs="Arial"/>
                <w:sz w:val="22"/>
              </w:rPr>
            </w:pPr>
            <w:r w:rsidRPr="00497178">
              <w:rPr>
                <w:rFonts w:ascii="Arial" w:hAnsi="Arial" w:cs="Arial"/>
                <w:sz w:val="22"/>
              </w:rPr>
              <w:t>32.611,00</w:t>
            </w:r>
          </w:p>
        </w:tc>
        <w:tc>
          <w:tcPr>
            <w:tcW w:w="1134" w:type="dxa"/>
          </w:tcPr>
          <w:p w14:paraId="7E7D73CF" w14:textId="77777777" w:rsidR="00BC7E60" w:rsidRPr="00497178" w:rsidRDefault="00BC7E60" w:rsidP="00512D52">
            <w:pPr>
              <w:jc w:val="right"/>
              <w:rPr>
                <w:rFonts w:ascii="Arial" w:hAnsi="Arial" w:cs="Arial"/>
                <w:sz w:val="22"/>
              </w:rPr>
            </w:pPr>
            <w:r w:rsidRPr="00497178">
              <w:rPr>
                <w:rFonts w:ascii="Arial" w:hAnsi="Arial" w:cs="Arial"/>
                <w:sz w:val="22"/>
              </w:rPr>
              <w:t>103,16</w:t>
            </w:r>
          </w:p>
        </w:tc>
      </w:tr>
      <w:tr w:rsidR="00BC7E60" w:rsidRPr="00497178" w14:paraId="0563B652" w14:textId="77777777" w:rsidTr="00512D52">
        <w:tc>
          <w:tcPr>
            <w:tcW w:w="693" w:type="dxa"/>
            <w:shd w:val="clear" w:color="auto" w:fill="auto"/>
          </w:tcPr>
          <w:p w14:paraId="3E669B5B" w14:textId="77777777" w:rsidR="00BC7E60" w:rsidRPr="00497178" w:rsidRDefault="00BC7E60" w:rsidP="00512D52">
            <w:pPr>
              <w:jc w:val="both"/>
              <w:rPr>
                <w:rFonts w:ascii="Arial" w:hAnsi="Arial" w:cs="Arial"/>
                <w:sz w:val="22"/>
              </w:rPr>
            </w:pPr>
            <w:r w:rsidRPr="00497178">
              <w:rPr>
                <w:rFonts w:ascii="Arial" w:hAnsi="Arial" w:cs="Arial"/>
                <w:sz w:val="22"/>
              </w:rPr>
              <w:t>9.</w:t>
            </w:r>
          </w:p>
        </w:tc>
        <w:tc>
          <w:tcPr>
            <w:tcW w:w="2673" w:type="dxa"/>
            <w:shd w:val="clear" w:color="auto" w:fill="auto"/>
          </w:tcPr>
          <w:p w14:paraId="0162BF17" w14:textId="77777777" w:rsidR="00BC7E60" w:rsidRPr="00497178" w:rsidRDefault="00BC7E60" w:rsidP="00512D52">
            <w:pPr>
              <w:rPr>
                <w:rFonts w:ascii="Arial" w:hAnsi="Arial" w:cs="Arial"/>
                <w:sz w:val="22"/>
              </w:rPr>
            </w:pPr>
            <w:r w:rsidRPr="00497178">
              <w:rPr>
                <w:rFonts w:ascii="Arial" w:hAnsi="Arial" w:cs="Arial"/>
                <w:sz w:val="22"/>
              </w:rPr>
              <w:t xml:space="preserve">Centar Liče </w:t>
            </w:r>
            <w:proofErr w:type="spellStart"/>
            <w:r w:rsidRPr="00497178">
              <w:rPr>
                <w:rFonts w:ascii="Arial" w:hAnsi="Arial" w:cs="Arial"/>
                <w:sz w:val="22"/>
              </w:rPr>
              <w:t>Faraguna</w:t>
            </w:r>
            <w:proofErr w:type="spellEnd"/>
            <w:r w:rsidRPr="00497178">
              <w:rPr>
                <w:rFonts w:ascii="Arial" w:hAnsi="Arial" w:cs="Arial"/>
                <w:sz w:val="22"/>
              </w:rPr>
              <w:t xml:space="preserve"> Labin</w:t>
            </w:r>
          </w:p>
        </w:tc>
        <w:tc>
          <w:tcPr>
            <w:tcW w:w="1700" w:type="dxa"/>
            <w:shd w:val="clear" w:color="auto" w:fill="auto"/>
          </w:tcPr>
          <w:p w14:paraId="44497E57" w14:textId="77777777" w:rsidR="00BC7E60" w:rsidRPr="00497178" w:rsidRDefault="00BC7E60" w:rsidP="00512D52">
            <w:pPr>
              <w:jc w:val="right"/>
              <w:rPr>
                <w:rFonts w:ascii="Arial" w:hAnsi="Arial" w:cs="Arial"/>
                <w:sz w:val="22"/>
              </w:rPr>
            </w:pPr>
          </w:p>
          <w:p w14:paraId="5280B728" w14:textId="77777777" w:rsidR="00BC7E60" w:rsidRPr="00497178" w:rsidRDefault="00BC7E60" w:rsidP="00512D52">
            <w:pPr>
              <w:jc w:val="right"/>
              <w:rPr>
                <w:rFonts w:ascii="Arial" w:hAnsi="Arial" w:cs="Arial"/>
                <w:sz w:val="22"/>
              </w:rPr>
            </w:pPr>
            <w:r w:rsidRPr="00497178">
              <w:rPr>
                <w:rFonts w:ascii="Arial" w:hAnsi="Arial" w:cs="Arial"/>
                <w:sz w:val="22"/>
              </w:rPr>
              <w:t>2.000,00</w:t>
            </w:r>
          </w:p>
        </w:tc>
        <w:tc>
          <w:tcPr>
            <w:tcW w:w="1414" w:type="dxa"/>
            <w:shd w:val="clear" w:color="auto" w:fill="auto"/>
          </w:tcPr>
          <w:p w14:paraId="2EFF5FE2" w14:textId="77777777" w:rsidR="00BC7E60" w:rsidRPr="00497178" w:rsidRDefault="00BC7E60" w:rsidP="00512D52">
            <w:pPr>
              <w:jc w:val="right"/>
              <w:rPr>
                <w:rFonts w:ascii="Arial" w:hAnsi="Arial" w:cs="Arial"/>
                <w:sz w:val="22"/>
              </w:rPr>
            </w:pPr>
          </w:p>
          <w:p w14:paraId="160E3F97" w14:textId="77777777" w:rsidR="00BC7E60" w:rsidRPr="00497178" w:rsidRDefault="00BC7E60" w:rsidP="00512D52">
            <w:pPr>
              <w:jc w:val="right"/>
              <w:rPr>
                <w:rFonts w:ascii="Arial" w:hAnsi="Arial" w:cs="Arial"/>
                <w:sz w:val="22"/>
              </w:rPr>
            </w:pPr>
            <w:r w:rsidRPr="00497178">
              <w:rPr>
                <w:rFonts w:ascii="Arial" w:hAnsi="Arial" w:cs="Arial"/>
                <w:sz w:val="22"/>
              </w:rPr>
              <w:t>6.000,00</w:t>
            </w:r>
          </w:p>
        </w:tc>
        <w:tc>
          <w:tcPr>
            <w:tcW w:w="1737" w:type="dxa"/>
          </w:tcPr>
          <w:p w14:paraId="3BAA3934" w14:textId="77777777" w:rsidR="00BC7E60" w:rsidRPr="00497178" w:rsidRDefault="00BC7E60" w:rsidP="00512D52">
            <w:pPr>
              <w:jc w:val="right"/>
              <w:rPr>
                <w:rFonts w:ascii="Arial" w:hAnsi="Arial" w:cs="Arial"/>
                <w:sz w:val="22"/>
              </w:rPr>
            </w:pPr>
          </w:p>
          <w:p w14:paraId="0C616652" w14:textId="77777777" w:rsidR="00BC7E60" w:rsidRPr="00497178" w:rsidRDefault="00BC7E60" w:rsidP="00512D52">
            <w:pPr>
              <w:jc w:val="right"/>
              <w:rPr>
                <w:rFonts w:ascii="Arial" w:hAnsi="Arial" w:cs="Arial"/>
                <w:sz w:val="22"/>
              </w:rPr>
            </w:pPr>
            <w:r w:rsidRPr="00497178">
              <w:rPr>
                <w:rFonts w:ascii="Arial" w:hAnsi="Arial" w:cs="Arial"/>
                <w:sz w:val="22"/>
              </w:rPr>
              <w:t>8.000,00</w:t>
            </w:r>
          </w:p>
        </w:tc>
        <w:tc>
          <w:tcPr>
            <w:tcW w:w="1134" w:type="dxa"/>
          </w:tcPr>
          <w:p w14:paraId="0F9F16E2" w14:textId="77777777" w:rsidR="00BC7E60" w:rsidRPr="00497178" w:rsidRDefault="00BC7E60" w:rsidP="00512D52">
            <w:pPr>
              <w:jc w:val="right"/>
              <w:rPr>
                <w:rFonts w:ascii="Arial" w:hAnsi="Arial" w:cs="Arial"/>
                <w:sz w:val="22"/>
              </w:rPr>
            </w:pPr>
          </w:p>
          <w:p w14:paraId="653D8D54" w14:textId="77777777" w:rsidR="00BC7E60" w:rsidRPr="00497178" w:rsidRDefault="00BC7E60" w:rsidP="00512D52">
            <w:pPr>
              <w:jc w:val="right"/>
              <w:rPr>
                <w:rFonts w:ascii="Arial" w:hAnsi="Arial" w:cs="Arial"/>
                <w:sz w:val="22"/>
              </w:rPr>
            </w:pPr>
            <w:r w:rsidRPr="00497178">
              <w:rPr>
                <w:rFonts w:ascii="Arial" w:hAnsi="Arial" w:cs="Arial"/>
                <w:sz w:val="22"/>
              </w:rPr>
              <w:t>400,00</w:t>
            </w:r>
          </w:p>
        </w:tc>
      </w:tr>
      <w:tr w:rsidR="00BC7E60" w:rsidRPr="00497178" w14:paraId="35149E99" w14:textId="77777777" w:rsidTr="00512D52">
        <w:tc>
          <w:tcPr>
            <w:tcW w:w="693" w:type="dxa"/>
            <w:shd w:val="clear" w:color="auto" w:fill="auto"/>
          </w:tcPr>
          <w:p w14:paraId="5D56235B" w14:textId="77777777" w:rsidR="00BC7E60" w:rsidRPr="00497178" w:rsidRDefault="00BC7E60" w:rsidP="00512D52">
            <w:pPr>
              <w:jc w:val="both"/>
              <w:rPr>
                <w:rFonts w:ascii="Arial" w:hAnsi="Arial" w:cs="Arial"/>
                <w:sz w:val="22"/>
              </w:rPr>
            </w:pPr>
          </w:p>
          <w:p w14:paraId="4C974368" w14:textId="77777777" w:rsidR="00BC7E60" w:rsidRPr="00497178" w:rsidRDefault="00BC7E60" w:rsidP="00512D52">
            <w:pPr>
              <w:jc w:val="both"/>
              <w:rPr>
                <w:rFonts w:ascii="Arial" w:hAnsi="Arial" w:cs="Arial"/>
                <w:sz w:val="22"/>
              </w:rPr>
            </w:pPr>
            <w:r w:rsidRPr="00497178">
              <w:rPr>
                <w:rFonts w:ascii="Arial" w:hAnsi="Arial" w:cs="Arial"/>
                <w:sz w:val="22"/>
              </w:rPr>
              <w:t>10.</w:t>
            </w:r>
          </w:p>
        </w:tc>
        <w:tc>
          <w:tcPr>
            <w:tcW w:w="2673" w:type="dxa"/>
            <w:shd w:val="clear" w:color="auto" w:fill="auto"/>
          </w:tcPr>
          <w:p w14:paraId="6201D574" w14:textId="77777777" w:rsidR="00BC7E60" w:rsidRPr="00497178" w:rsidRDefault="00BC7E60" w:rsidP="00512D52">
            <w:pPr>
              <w:jc w:val="both"/>
              <w:rPr>
                <w:rFonts w:ascii="Arial" w:hAnsi="Arial" w:cs="Arial"/>
                <w:sz w:val="22"/>
              </w:rPr>
            </w:pPr>
            <w:r w:rsidRPr="00497178">
              <w:rPr>
                <w:rFonts w:ascii="Arial" w:hAnsi="Arial" w:cs="Arial"/>
                <w:sz w:val="22"/>
              </w:rPr>
              <w:t>Umjetnička škola Matka Brajše Rašana Labin</w:t>
            </w:r>
          </w:p>
        </w:tc>
        <w:tc>
          <w:tcPr>
            <w:tcW w:w="1700" w:type="dxa"/>
            <w:shd w:val="clear" w:color="auto" w:fill="auto"/>
          </w:tcPr>
          <w:p w14:paraId="7B66B9D3" w14:textId="77777777" w:rsidR="00BC7E60" w:rsidRPr="00497178" w:rsidRDefault="00BC7E60" w:rsidP="00512D52">
            <w:pPr>
              <w:jc w:val="right"/>
              <w:rPr>
                <w:rFonts w:ascii="Arial" w:hAnsi="Arial" w:cs="Arial"/>
                <w:sz w:val="22"/>
              </w:rPr>
            </w:pPr>
          </w:p>
          <w:p w14:paraId="2EF3C911" w14:textId="77777777" w:rsidR="00BC7E60" w:rsidRPr="00497178" w:rsidRDefault="00BC7E60" w:rsidP="00512D52">
            <w:pPr>
              <w:jc w:val="right"/>
              <w:rPr>
                <w:rFonts w:ascii="Arial" w:hAnsi="Arial" w:cs="Arial"/>
                <w:sz w:val="22"/>
              </w:rPr>
            </w:pPr>
            <w:r w:rsidRPr="00497178">
              <w:rPr>
                <w:rFonts w:ascii="Arial" w:hAnsi="Arial" w:cs="Arial"/>
                <w:sz w:val="22"/>
              </w:rPr>
              <w:t>18.300,00</w:t>
            </w:r>
          </w:p>
        </w:tc>
        <w:tc>
          <w:tcPr>
            <w:tcW w:w="1414" w:type="dxa"/>
            <w:shd w:val="clear" w:color="auto" w:fill="auto"/>
          </w:tcPr>
          <w:p w14:paraId="59755CED" w14:textId="77777777" w:rsidR="00BC7E60" w:rsidRPr="00497178" w:rsidRDefault="00BC7E60" w:rsidP="00512D52">
            <w:pPr>
              <w:jc w:val="right"/>
              <w:rPr>
                <w:rFonts w:ascii="Arial" w:hAnsi="Arial" w:cs="Arial"/>
                <w:sz w:val="22"/>
              </w:rPr>
            </w:pPr>
          </w:p>
          <w:p w14:paraId="067AE271" w14:textId="77777777" w:rsidR="00BC7E60" w:rsidRPr="00497178" w:rsidRDefault="00BC7E60" w:rsidP="00512D52">
            <w:pPr>
              <w:jc w:val="right"/>
              <w:rPr>
                <w:rFonts w:ascii="Arial" w:hAnsi="Arial" w:cs="Arial"/>
                <w:sz w:val="22"/>
              </w:rPr>
            </w:pPr>
            <w:r w:rsidRPr="00497178">
              <w:rPr>
                <w:rFonts w:ascii="Arial" w:hAnsi="Arial" w:cs="Arial"/>
                <w:sz w:val="22"/>
              </w:rPr>
              <w:t>2.200,00</w:t>
            </w:r>
          </w:p>
        </w:tc>
        <w:tc>
          <w:tcPr>
            <w:tcW w:w="1737" w:type="dxa"/>
          </w:tcPr>
          <w:p w14:paraId="334DC392" w14:textId="77777777" w:rsidR="00BC7E60" w:rsidRPr="00497178" w:rsidRDefault="00BC7E60" w:rsidP="00512D52">
            <w:pPr>
              <w:jc w:val="right"/>
              <w:rPr>
                <w:rFonts w:ascii="Arial" w:hAnsi="Arial" w:cs="Arial"/>
                <w:sz w:val="22"/>
              </w:rPr>
            </w:pPr>
          </w:p>
          <w:p w14:paraId="49548C8F" w14:textId="77777777" w:rsidR="00BC7E60" w:rsidRPr="00497178" w:rsidRDefault="00BC7E60" w:rsidP="00512D52">
            <w:pPr>
              <w:jc w:val="right"/>
              <w:rPr>
                <w:rFonts w:ascii="Arial" w:hAnsi="Arial" w:cs="Arial"/>
                <w:sz w:val="22"/>
              </w:rPr>
            </w:pPr>
            <w:r w:rsidRPr="00497178">
              <w:rPr>
                <w:rFonts w:ascii="Arial" w:hAnsi="Arial" w:cs="Arial"/>
                <w:sz w:val="22"/>
              </w:rPr>
              <w:t>20.500,00</w:t>
            </w:r>
          </w:p>
        </w:tc>
        <w:tc>
          <w:tcPr>
            <w:tcW w:w="1134" w:type="dxa"/>
          </w:tcPr>
          <w:p w14:paraId="4BA11F98" w14:textId="77777777" w:rsidR="00BC7E60" w:rsidRPr="00497178" w:rsidRDefault="00BC7E60" w:rsidP="00512D52">
            <w:pPr>
              <w:jc w:val="right"/>
              <w:rPr>
                <w:rFonts w:ascii="Arial" w:hAnsi="Arial" w:cs="Arial"/>
                <w:sz w:val="22"/>
              </w:rPr>
            </w:pPr>
          </w:p>
          <w:p w14:paraId="7F45D54B" w14:textId="77777777" w:rsidR="00BC7E60" w:rsidRPr="00497178" w:rsidRDefault="00BC7E60" w:rsidP="00512D52">
            <w:pPr>
              <w:jc w:val="right"/>
              <w:rPr>
                <w:rFonts w:ascii="Arial" w:hAnsi="Arial" w:cs="Arial"/>
                <w:sz w:val="22"/>
              </w:rPr>
            </w:pPr>
            <w:r w:rsidRPr="00497178">
              <w:rPr>
                <w:rFonts w:ascii="Arial" w:hAnsi="Arial" w:cs="Arial"/>
                <w:sz w:val="22"/>
              </w:rPr>
              <w:t>112,,02</w:t>
            </w:r>
          </w:p>
        </w:tc>
      </w:tr>
      <w:tr w:rsidR="00BC7E60" w:rsidRPr="00497178" w14:paraId="3E5F0EEC" w14:textId="77777777" w:rsidTr="00512D52">
        <w:tc>
          <w:tcPr>
            <w:tcW w:w="693" w:type="dxa"/>
            <w:shd w:val="clear" w:color="auto" w:fill="auto"/>
          </w:tcPr>
          <w:p w14:paraId="73153343" w14:textId="77777777" w:rsidR="00BC7E60" w:rsidRPr="00497178" w:rsidRDefault="00BC7E60" w:rsidP="00512D52">
            <w:pPr>
              <w:jc w:val="both"/>
              <w:rPr>
                <w:rFonts w:ascii="Arial" w:hAnsi="Arial" w:cs="Arial"/>
                <w:sz w:val="22"/>
              </w:rPr>
            </w:pPr>
            <w:r w:rsidRPr="00497178">
              <w:rPr>
                <w:rFonts w:ascii="Arial" w:hAnsi="Arial" w:cs="Arial"/>
                <w:sz w:val="22"/>
              </w:rPr>
              <w:t xml:space="preserve">11. </w:t>
            </w:r>
          </w:p>
        </w:tc>
        <w:tc>
          <w:tcPr>
            <w:tcW w:w="2673" w:type="dxa"/>
            <w:shd w:val="clear" w:color="auto" w:fill="auto"/>
          </w:tcPr>
          <w:p w14:paraId="0F5C8FD2" w14:textId="77777777" w:rsidR="00BC7E60" w:rsidRPr="00497178" w:rsidRDefault="00BC7E60" w:rsidP="00512D52">
            <w:pPr>
              <w:jc w:val="both"/>
              <w:rPr>
                <w:rFonts w:ascii="Arial" w:hAnsi="Arial" w:cs="Arial"/>
                <w:sz w:val="22"/>
              </w:rPr>
            </w:pPr>
            <w:r w:rsidRPr="00497178">
              <w:rPr>
                <w:rFonts w:ascii="Arial" w:hAnsi="Arial" w:cs="Arial"/>
                <w:sz w:val="22"/>
              </w:rPr>
              <w:t>Pučko otvoreno učilište Labin</w:t>
            </w:r>
          </w:p>
        </w:tc>
        <w:tc>
          <w:tcPr>
            <w:tcW w:w="1700" w:type="dxa"/>
            <w:shd w:val="clear" w:color="auto" w:fill="auto"/>
          </w:tcPr>
          <w:p w14:paraId="6D063624" w14:textId="77777777" w:rsidR="00BC7E60" w:rsidRPr="00497178" w:rsidRDefault="00BC7E60" w:rsidP="00512D52">
            <w:pPr>
              <w:jc w:val="right"/>
              <w:rPr>
                <w:rFonts w:ascii="Arial" w:hAnsi="Arial" w:cs="Arial"/>
                <w:sz w:val="22"/>
              </w:rPr>
            </w:pPr>
          </w:p>
          <w:p w14:paraId="2257EE87" w14:textId="77777777" w:rsidR="00BC7E60" w:rsidRPr="00497178" w:rsidRDefault="00BC7E60" w:rsidP="00512D52">
            <w:pPr>
              <w:jc w:val="right"/>
              <w:rPr>
                <w:rFonts w:ascii="Arial" w:hAnsi="Arial" w:cs="Arial"/>
                <w:sz w:val="22"/>
              </w:rPr>
            </w:pPr>
            <w:r w:rsidRPr="00497178">
              <w:rPr>
                <w:rFonts w:ascii="Arial" w:hAnsi="Arial" w:cs="Arial"/>
                <w:sz w:val="22"/>
              </w:rPr>
              <w:t>9.530,00</w:t>
            </w:r>
          </w:p>
        </w:tc>
        <w:tc>
          <w:tcPr>
            <w:tcW w:w="1414" w:type="dxa"/>
            <w:shd w:val="clear" w:color="auto" w:fill="auto"/>
          </w:tcPr>
          <w:p w14:paraId="226676CE" w14:textId="77777777" w:rsidR="00BC7E60" w:rsidRPr="00497178" w:rsidRDefault="00BC7E60" w:rsidP="00512D52">
            <w:pPr>
              <w:jc w:val="right"/>
              <w:rPr>
                <w:rFonts w:ascii="Arial" w:hAnsi="Arial" w:cs="Arial"/>
                <w:sz w:val="22"/>
              </w:rPr>
            </w:pPr>
          </w:p>
          <w:p w14:paraId="4FE8746F" w14:textId="77777777" w:rsidR="00BC7E60" w:rsidRPr="00497178" w:rsidRDefault="00BC7E60" w:rsidP="00512D52">
            <w:pPr>
              <w:jc w:val="right"/>
              <w:rPr>
                <w:rFonts w:ascii="Arial" w:hAnsi="Arial" w:cs="Arial"/>
                <w:sz w:val="22"/>
              </w:rPr>
            </w:pPr>
            <w:r w:rsidRPr="00497178">
              <w:rPr>
                <w:rFonts w:ascii="Arial" w:hAnsi="Arial" w:cs="Arial"/>
                <w:sz w:val="22"/>
              </w:rPr>
              <w:t>25.643,00</w:t>
            </w:r>
          </w:p>
        </w:tc>
        <w:tc>
          <w:tcPr>
            <w:tcW w:w="1737" w:type="dxa"/>
          </w:tcPr>
          <w:p w14:paraId="23C797A0" w14:textId="77777777" w:rsidR="00BC7E60" w:rsidRPr="00497178" w:rsidRDefault="00BC7E60" w:rsidP="00512D52">
            <w:pPr>
              <w:jc w:val="right"/>
              <w:rPr>
                <w:rFonts w:ascii="Arial" w:hAnsi="Arial" w:cs="Arial"/>
                <w:sz w:val="22"/>
              </w:rPr>
            </w:pPr>
          </w:p>
          <w:p w14:paraId="3B108BAC" w14:textId="77777777" w:rsidR="00BC7E60" w:rsidRPr="00497178" w:rsidRDefault="00BC7E60" w:rsidP="00512D52">
            <w:pPr>
              <w:jc w:val="right"/>
              <w:rPr>
                <w:rFonts w:ascii="Arial" w:hAnsi="Arial" w:cs="Arial"/>
                <w:sz w:val="22"/>
              </w:rPr>
            </w:pPr>
            <w:r w:rsidRPr="00497178">
              <w:rPr>
                <w:rFonts w:ascii="Arial" w:hAnsi="Arial" w:cs="Arial"/>
                <w:sz w:val="22"/>
              </w:rPr>
              <w:t>35.173,00</w:t>
            </w:r>
          </w:p>
        </w:tc>
        <w:tc>
          <w:tcPr>
            <w:tcW w:w="1134" w:type="dxa"/>
          </w:tcPr>
          <w:p w14:paraId="04CB2852" w14:textId="77777777" w:rsidR="00BC7E60" w:rsidRPr="00497178" w:rsidRDefault="00BC7E60" w:rsidP="00512D52">
            <w:pPr>
              <w:jc w:val="right"/>
              <w:rPr>
                <w:rFonts w:ascii="Arial" w:hAnsi="Arial" w:cs="Arial"/>
                <w:sz w:val="22"/>
              </w:rPr>
            </w:pPr>
          </w:p>
          <w:p w14:paraId="00D6754F" w14:textId="77777777" w:rsidR="00BC7E60" w:rsidRPr="00497178" w:rsidRDefault="00BC7E60" w:rsidP="00512D52">
            <w:pPr>
              <w:jc w:val="right"/>
              <w:rPr>
                <w:rFonts w:ascii="Arial" w:hAnsi="Arial" w:cs="Arial"/>
                <w:sz w:val="22"/>
              </w:rPr>
            </w:pPr>
            <w:r w:rsidRPr="00497178">
              <w:rPr>
                <w:rFonts w:ascii="Arial" w:hAnsi="Arial" w:cs="Arial"/>
                <w:sz w:val="22"/>
              </w:rPr>
              <w:t>369,08</w:t>
            </w:r>
          </w:p>
        </w:tc>
      </w:tr>
      <w:tr w:rsidR="00BC7E60" w:rsidRPr="00497178" w14:paraId="05DCBDF1" w14:textId="77777777" w:rsidTr="00512D52">
        <w:tc>
          <w:tcPr>
            <w:tcW w:w="693" w:type="dxa"/>
            <w:shd w:val="clear" w:color="auto" w:fill="auto"/>
          </w:tcPr>
          <w:p w14:paraId="5FCC488E" w14:textId="77777777" w:rsidR="00BC7E60" w:rsidRPr="00497178" w:rsidRDefault="00BC7E60" w:rsidP="00512D52">
            <w:pPr>
              <w:jc w:val="both"/>
              <w:rPr>
                <w:rFonts w:ascii="Arial" w:hAnsi="Arial" w:cs="Arial"/>
                <w:sz w:val="22"/>
              </w:rPr>
            </w:pPr>
            <w:r w:rsidRPr="00497178">
              <w:rPr>
                <w:rFonts w:ascii="Arial" w:hAnsi="Arial" w:cs="Arial"/>
                <w:sz w:val="22"/>
              </w:rPr>
              <w:t>12.</w:t>
            </w:r>
          </w:p>
        </w:tc>
        <w:tc>
          <w:tcPr>
            <w:tcW w:w="2673" w:type="dxa"/>
            <w:shd w:val="clear" w:color="auto" w:fill="auto"/>
          </w:tcPr>
          <w:p w14:paraId="3B084634" w14:textId="77777777" w:rsidR="00BC7E60" w:rsidRPr="00497178" w:rsidRDefault="00BC7E60" w:rsidP="00512D52">
            <w:pPr>
              <w:jc w:val="both"/>
              <w:rPr>
                <w:rFonts w:ascii="Arial" w:hAnsi="Arial" w:cs="Arial"/>
                <w:sz w:val="22"/>
              </w:rPr>
            </w:pPr>
            <w:r w:rsidRPr="00497178">
              <w:rPr>
                <w:rFonts w:ascii="Arial" w:hAnsi="Arial" w:cs="Arial"/>
                <w:sz w:val="22"/>
              </w:rPr>
              <w:t>Gradska knjižnica Labin</w:t>
            </w:r>
          </w:p>
        </w:tc>
        <w:tc>
          <w:tcPr>
            <w:tcW w:w="1700" w:type="dxa"/>
            <w:shd w:val="clear" w:color="auto" w:fill="auto"/>
          </w:tcPr>
          <w:p w14:paraId="477A11D5" w14:textId="77777777" w:rsidR="00BC7E60" w:rsidRPr="00497178" w:rsidRDefault="00BC7E60" w:rsidP="00512D52">
            <w:pPr>
              <w:jc w:val="right"/>
              <w:rPr>
                <w:rFonts w:ascii="Arial" w:hAnsi="Arial" w:cs="Arial"/>
                <w:sz w:val="22"/>
              </w:rPr>
            </w:pPr>
            <w:r w:rsidRPr="00497178">
              <w:rPr>
                <w:rFonts w:ascii="Arial" w:hAnsi="Arial" w:cs="Arial"/>
                <w:sz w:val="22"/>
              </w:rPr>
              <w:t>300,00</w:t>
            </w:r>
          </w:p>
        </w:tc>
        <w:tc>
          <w:tcPr>
            <w:tcW w:w="1414" w:type="dxa"/>
            <w:shd w:val="clear" w:color="auto" w:fill="auto"/>
          </w:tcPr>
          <w:p w14:paraId="310AE329" w14:textId="77777777" w:rsidR="00BC7E60" w:rsidRPr="00497178" w:rsidRDefault="00BC7E60" w:rsidP="00512D52">
            <w:pPr>
              <w:jc w:val="right"/>
              <w:rPr>
                <w:rFonts w:ascii="Arial" w:hAnsi="Arial" w:cs="Arial"/>
                <w:sz w:val="22"/>
              </w:rPr>
            </w:pPr>
            <w:r w:rsidRPr="00497178">
              <w:rPr>
                <w:rFonts w:ascii="Arial" w:hAnsi="Arial" w:cs="Arial"/>
                <w:sz w:val="22"/>
              </w:rPr>
              <w:t>5.533,00</w:t>
            </w:r>
          </w:p>
        </w:tc>
        <w:tc>
          <w:tcPr>
            <w:tcW w:w="1737" w:type="dxa"/>
          </w:tcPr>
          <w:p w14:paraId="09B95A04" w14:textId="77777777" w:rsidR="00BC7E60" w:rsidRPr="00497178" w:rsidRDefault="00BC7E60" w:rsidP="00512D52">
            <w:pPr>
              <w:jc w:val="right"/>
              <w:rPr>
                <w:rFonts w:ascii="Arial" w:hAnsi="Arial" w:cs="Arial"/>
                <w:sz w:val="22"/>
              </w:rPr>
            </w:pPr>
            <w:r w:rsidRPr="00497178">
              <w:rPr>
                <w:rFonts w:ascii="Arial" w:hAnsi="Arial" w:cs="Arial"/>
                <w:sz w:val="22"/>
              </w:rPr>
              <w:t>5.833,00</w:t>
            </w:r>
          </w:p>
        </w:tc>
        <w:tc>
          <w:tcPr>
            <w:tcW w:w="1134" w:type="dxa"/>
          </w:tcPr>
          <w:p w14:paraId="26BEEED2" w14:textId="77777777" w:rsidR="00BC7E60" w:rsidRPr="00497178" w:rsidRDefault="00BC7E60" w:rsidP="00512D52">
            <w:pPr>
              <w:jc w:val="right"/>
              <w:rPr>
                <w:rFonts w:ascii="Arial" w:hAnsi="Arial" w:cs="Arial"/>
                <w:sz w:val="22"/>
              </w:rPr>
            </w:pPr>
            <w:r w:rsidRPr="00497178">
              <w:rPr>
                <w:rFonts w:ascii="Arial" w:hAnsi="Arial" w:cs="Arial"/>
                <w:sz w:val="22"/>
              </w:rPr>
              <w:t>1944,33</w:t>
            </w:r>
          </w:p>
        </w:tc>
      </w:tr>
      <w:tr w:rsidR="00BC7E60" w:rsidRPr="00497178" w14:paraId="45A39969" w14:textId="77777777" w:rsidTr="00512D52">
        <w:tc>
          <w:tcPr>
            <w:tcW w:w="693" w:type="dxa"/>
            <w:shd w:val="clear" w:color="auto" w:fill="auto"/>
          </w:tcPr>
          <w:p w14:paraId="006F7D41" w14:textId="77777777" w:rsidR="00BC7E60" w:rsidRPr="00497178" w:rsidRDefault="00BC7E60" w:rsidP="00512D52">
            <w:pPr>
              <w:jc w:val="both"/>
              <w:rPr>
                <w:rFonts w:ascii="Arial" w:hAnsi="Arial" w:cs="Arial"/>
                <w:sz w:val="22"/>
              </w:rPr>
            </w:pPr>
            <w:r w:rsidRPr="00497178">
              <w:rPr>
                <w:rFonts w:ascii="Arial" w:hAnsi="Arial" w:cs="Arial"/>
                <w:sz w:val="22"/>
              </w:rPr>
              <w:t xml:space="preserve">13. </w:t>
            </w:r>
          </w:p>
        </w:tc>
        <w:tc>
          <w:tcPr>
            <w:tcW w:w="2673" w:type="dxa"/>
            <w:shd w:val="clear" w:color="auto" w:fill="auto"/>
          </w:tcPr>
          <w:p w14:paraId="5024CAA7" w14:textId="77777777" w:rsidR="00BC7E60" w:rsidRPr="00497178" w:rsidRDefault="00BC7E60" w:rsidP="00512D52">
            <w:pPr>
              <w:jc w:val="both"/>
              <w:rPr>
                <w:rFonts w:ascii="Arial" w:hAnsi="Arial" w:cs="Arial"/>
                <w:sz w:val="22"/>
              </w:rPr>
            </w:pPr>
            <w:r w:rsidRPr="00497178">
              <w:rPr>
                <w:rFonts w:ascii="Arial" w:hAnsi="Arial" w:cs="Arial"/>
                <w:sz w:val="22"/>
              </w:rPr>
              <w:t>Dom za starije osobe Labin</w:t>
            </w:r>
          </w:p>
        </w:tc>
        <w:tc>
          <w:tcPr>
            <w:tcW w:w="1700" w:type="dxa"/>
            <w:shd w:val="clear" w:color="auto" w:fill="auto"/>
          </w:tcPr>
          <w:p w14:paraId="2E7F50AC" w14:textId="77777777" w:rsidR="00BC7E60" w:rsidRPr="00497178" w:rsidRDefault="00BC7E60" w:rsidP="00512D52">
            <w:pPr>
              <w:jc w:val="right"/>
              <w:rPr>
                <w:rFonts w:ascii="Arial" w:hAnsi="Arial" w:cs="Arial"/>
                <w:sz w:val="22"/>
              </w:rPr>
            </w:pPr>
          </w:p>
          <w:p w14:paraId="654699EB" w14:textId="77777777" w:rsidR="00BC7E60" w:rsidRPr="00497178" w:rsidRDefault="00BC7E60" w:rsidP="00512D52">
            <w:pPr>
              <w:jc w:val="right"/>
              <w:rPr>
                <w:rFonts w:ascii="Arial" w:hAnsi="Arial" w:cs="Arial"/>
                <w:sz w:val="22"/>
              </w:rPr>
            </w:pPr>
            <w:r w:rsidRPr="00497178">
              <w:rPr>
                <w:rFonts w:ascii="Arial" w:hAnsi="Arial" w:cs="Arial"/>
                <w:sz w:val="22"/>
              </w:rPr>
              <w:t>62.500,00</w:t>
            </w:r>
          </w:p>
        </w:tc>
        <w:tc>
          <w:tcPr>
            <w:tcW w:w="1414" w:type="dxa"/>
            <w:shd w:val="clear" w:color="auto" w:fill="auto"/>
          </w:tcPr>
          <w:p w14:paraId="608BB87E" w14:textId="77777777" w:rsidR="00BC7E60" w:rsidRPr="00497178" w:rsidRDefault="00BC7E60" w:rsidP="00512D52">
            <w:pPr>
              <w:jc w:val="right"/>
              <w:rPr>
                <w:rFonts w:ascii="Arial" w:hAnsi="Arial" w:cs="Arial"/>
                <w:sz w:val="22"/>
              </w:rPr>
            </w:pPr>
          </w:p>
          <w:p w14:paraId="6B3197BB" w14:textId="77777777" w:rsidR="00BC7E60" w:rsidRPr="00497178" w:rsidRDefault="00BC7E60" w:rsidP="00512D52">
            <w:pPr>
              <w:jc w:val="right"/>
              <w:rPr>
                <w:rFonts w:ascii="Arial" w:hAnsi="Arial" w:cs="Arial"/>
                <w:sz w:val="22"/>
              </w:rPr>
            </w:pPr>
            <w:r w:rsidRPr="00497178">
              <w:rPr>
                <w:rFonts w:ascii="Arial" w:hAnsi="Arial" w:cs="Arial"/>
                <w:sz w:val="22"/>
              </w:rPr>
              <w:t>-49.000,00</w:t>
            </w:r>
          </w:p>
        </w:tc>
        <w:tc>
          <w:tcPr>
            <w:tcW w:w="1737" w:type="dxa"/>
          </w:tcPr>
          <w:p w14:paraId="6896D898" w14:textId="77777777" w:rsidR="00BC7E60" w:rsidRPr="00497178" w:rsidRDefault="00BC7E60" w:rsidP="00512D52">
            <w:pPr>
              <w:jc w:val="right"/>
              <w:rPr>
                <w:rFonts w:ascii="Arial" w:hAnsi="Arial" w:cs="Arial"/>
                <w:sz w:val="22"/>
              </w:rPr>
            </w:pPr>
          </w:p>
          <w:p w14:paraId="7E001C34" w14:textId="77777777" w:rsidR="00BC7E60" w:rsidRPr="00497178" w:rsidRDefault="00BC7E60" w:rsidP="00512D52">
            <w:pPr>
              <w:jc w:val="right"/>
              <w:rPr>
                <w:rFonts w:ascii="Arial" w:hAnsi="Arial" w:cs="Arial"/>
                <w:sz w:val="22"/>
              </w:rPr>
            </w:pPr>
            <w:r w:rsidRPr="00497178">
              <w:rPr>
                <w:rFonts w:ascii="Arial" w:hAnsi="Arial" w:cs="Arial"/>
                <w:sz w:val="22"/>
              </w:rPr>
              <w:t>13.500,00</w:t>
            </w:r>
          </w:p>
        </w:tc>
        <w:tc>
          <w:tcPr>
            <w:tcW w:w="1134" w:type="dxa"/>
          </w:tcPr>
          <w:p w14:paraId="6546E0B0" w14:textId="77777777" w:rsidR="00BC7E60" w:rsidRPr="00497178" w:rsidRDefault="00BC7E60" w:rsidP="00512D52">
            <w:pPr>
              <w:jc w:val="right"/>
              <w:rPr>
                <w:rFonts w:ascii="Arial" w:hAnsi="Arial" w:cs="Arial"/>
                <w:sz w:val="22"/>
              </w:rPr>
            </w:pPr>
          </w:p>
          <w:p w14:paraId="6B26AC0F" w14:textId="77777777" w:rsidR="00BC7E60" w:rsidRPr="00497178" w:rsidRDefault="00BC7E60" w:rsidP="00512D52">
            <w:pPr>
              <w:jc w:val="right"/>
              <w:rPr>
                <w:rFonts w:ascii="Arial" w:hAnsi="Arial" w:cs="Arial"/>
                <w:sz w:val="22"/>
              </w:rPr>
            </w:pPr>
            <w:r w:rsidRPr="00497178">
              <w:rPr>
                <w:rFonts w:ascii="Arial" w:hAnsi="Arial" w:cs="Arial"/>
                <w:sz w:val="22"/>
              </w:rPr>
              <w:t>21,60</w:t>
            </w:r>
          </w:p>
        </w:tc>
      </w:tr>
      <w:tr w:rsidR="00BC7E60" w:rsidRPr="00497178" w14:paraId="1FB979D0" w14:textId="77777777" w:rsidTr="00512D52">
        <w:tc>
          <w:tcPr>
            <w:tcW w:w="693" w:type="dxa"/>
            <w:shd w:val="clear" w:color="auto" w:fill="auto"/>
          </w:tcPr>
          <w:p w14:paraId="30412298" w14:textId="77777777" w:rsidR="00BC7E60" w:rsidRPr="00497178" w:rsidRDefault="00BC7E60" w:rsidP="00512D52">
            <w:pPr>
              <w:jc w:val="both"/>
              <w:rPr>
                <w:rFonts w:ascii="Arial" w:hAnsi="Arial" w:cs="Arial"/>
                <w:sz w:val="22"/>
              </w:rPr>
            </w:pPr>
          </w:p>
        </w:tc>
        <w:tc>
          <w:tcPr>
            <w:tcW w:w="2673" w:type="dxa"/>
            <w:shd w:val="clear" w:color="auto" w:fill="auto"/>
          </w:tcPr>
          <w:p w14:paraId="4DD8E5B4" w14:textId="77777777" w:rsidR="00BC7E60" w:rsidRPr="00497178" w:rsidRDefault="00BC7E60" w:rsidP="00512D52">
            <w:pPr>
              <w:rPr>
                <w:rFonts w:ascii="Arial" w:hAnsi="Arial" w:cs="Arial"/>
                <w:b/>
                <w:sz w:val="22"/>
              </w:rPr>
            </w:pPr>
          </w:p>
          <w:p w14:paraId="14F104FB" w14:textId="77777777" w:rsidR="00BC7E60" w:rsidRPr="00497178" w:rsidRDefault="00BC7E60" w:rsidP="00512D52">
            <w:pPr>
              <w:rPr>
                <w:rFonts w:ascii="Arial" w:hAnsi="Arial" w:cs="Arial"/>
                <w:b/>
                <w:sz w:val="22"/>
              </w:rPr>
            </w:pPr>
            <w:r w:rsidRPr="00497178">
              <w:rPr>
                <w:rFonts w:ascii="Arial" w:hAnsi="Arial" w:cs="Arial"/>
                <w:b/>
                <w:sz w:val="22"/>
              </w:rPr>
              <w:t>UKUPNO: PRORAČUNSKI KORISNICI</w:t>
            </w:r>
          </w:p>
        </w:tc>
        <w:tc>
          <w:tcPr>
            <w:tcW w:w="1700" w:type="dxa"/>
            <w:shd w:val="clear" w:color="auto" w:fill="auto"/>
          </w:tcPr>
          <w:p w14:paraId="7D58DBCF" w14:textId="77777777" w:rsidR="00BC7E60" w:rsidRPr="00497178" w:rsidRDefault="00BC7E60" w:rsidP="00512D52">
            <w:pPr>
              <w:jc w:val="right"/>
              <w:rPr>
                <w:rFonts w:ascii="Arial" w:hAnsi="Arial" w:cs="Arial"/>
                <w:b/>
                <w:sz w:val="22"/>
              </w:rPr>
            </w:pPr>
          </w:p>
          <w:p w14:paraId="54F5911B" w14:textId="77777777" w:rsidR="00BC7E60" w:rsidRPr="00497178" w:rsidRDefault="00BC7E60" w:rsidP="00512D52">
            <w:pPr>
              <w:jc w:val="right"/>
              <w:rPr>
                <w:rFonts w:ascii="Arial" w:hAnsi="Arial" w:cs="Arial"/>
                <w:b/>
                <w:sz w:val="22"/>
              </w:rPr>
            </w:pPr>
          </w:p>
          <w:p w14:paraId="6BCC8ADA" w14:textId="77777777" w:rsidR="00BC7E60" w:rsidRPr="00497178" w:rsidRDefault="00BC7E60" w:rsidP="00512D52">
            <w:pPr>
              <w:jc w:val="right"/>
              <w:rPr>
                <w:rFonts w:ascii="Arial" w:hAnsi="Arial" w:cs="Arial"/>
                <w:b/>
                <w:sz w:val="22"/>
              </w:rPr>
            </w:pPr>
            <w:r w:rsidRPr="00497178">
              <w:rPr>
                <w:rFonts w:ascii="Arial" w:hAnsi="Arial" w:cs="Arial"/>
                <w:b/>
                <w:sz w:val="22"/>
              </w:rPr>
              <w:t>162.931,00</w:t>
            </w:r>
          </w:p>
        </w:tc>
        <w:tc>
          <w:tcPr>
            <w:tcW w:w="1414" w:type="dxa"/>
            <w:shd w:val="clear" w:color="auto" w:fill="auto"/>
          </w:tcPr>
          <w:p w14:paraId="20F7C96E" w14:textId="77777777" w:rsidR="00BC7E60" w:rsidRPr="00497178" w:rsidRDefault="00BC7E60" w:rsidP="00512D52">
            <w:pPr>
              <w:jc w:val="right"/>
              <w:rPr>
                <w:rFonts w:ascii="Arial" w:hAnsi="Arial" w:cs="Arial"/>
                <w:b/>
                <w:sz w:val="22"/>
              </w:rPr>
            </w:pPr>
          </w:p>
          <w:p w14:paraId="5CF73ABB" w14:textId="77777777" w:rsidR="00BC7E60" w:rsidRPr="00497178" w:rsidRDefault="00BC7E60" w:rsidP="00512D52">
            <w:pPr>
              <w:jc w:val="right"/>
              <w:rPr>
                <w:rFonts w:ascii="Arial" w:hAnsi="Arial" w:cs="Arial"/>
                <w:b/>
                <w:sz w:val="22"/>
              </w:rPr>
            </w:pPr>
          </w:p>
          <w:p w14:paraId="1394F380" w14:textId="77777777" w:rsidR="00BC7E60" w:rsidRPr="00497178" w:rsidRDefault="00BC7E60" w:rsidP="00512D52">
            <w:pPr>
              <w:jc w:val="right"/>
              <w:rPr>
                <w:rFonts w:ascii="Arial" w:hAnsi="Arial" w:cs="Arial"/>
                <w:b/>
                <w:sz w:val="22"/>
              </w:rPr>
            </w:pPr>
            <w:r w:rsidRPr="00497178">
              <w:rPr>
                <w:rFonts w:ascii="Arial" w:hAnsi="Arial" w:cs="Arial"/>
                <w:b/>
                <w:sz w:val="22"/>
              </w:rPr>
              <w:t>1.132,00</w:t>
            </w:r>
          </w:p>
        </w:tc>
        <w:tc>
          <w:tcPr>
            <w:tcW w:w="1737" w:type="dxa"/>
          </w:tcPr>
          <w:p w14:paraId="544E27A0" w14:textId="77777777" w:rsidR="00BC7E60" w:rsidRPr="00497178" w:rsidRDefault="00BC7E60" w:rsidP="00512D52">
            <w:pPr>
              <w:jc w:val="right"/>
              <w:rPr>
                <w:rFonts w:ascii="Arial" w:hAnsi="Arial" w:cs="Arial"/>
                <w:b/>
                <w:sz w:val="22"/>
              </w:rPr>
            </w:pPr>
          </w:p>
          <w:p w14:paraId="555312D2" w14:textId="77777777" w:rsidR="00BC7E60" w:rsidRPr="00497178" w:rsidRDefault="00BC7E60" w:rsidP="00512D52">
            <w:pPr>
              <w:jc w:val="right"/>
              <w:rPr>
                <w:rFonts w:ascii="Arial" w:hAnsi="Arial" w:cs="Arial"/>
                <w:b/>
                <w:sz w:val="22"/>
              </w:rPr>
            </w:pPr>
          </w:p>
          <w:p w14:paraId="6F05D921" w14:textId="77777777" w:rsidR="00BC7E60" w:rsidRPr="00497178" w:rsidRDefault="00BC7E60" w:rsidP="00512D52">
            <w:pPr>
              <w:jc w:val="right"/>
              <w:rPr>
                <w:rFonts w:ascii="Arial" w:hAnsi="Arial" w:cs="Arial"/>
                <w:b/>
                <w:sz w:val="22"/>
              </w:rPr>
            </w:pPr>
            <w:r w:rsidRPr="00497178">
              <w:rPr>
                <w:rFonts w:ascii="Arial" w:hAnsi="Arial" w:cs="Arial"/>
                <w:b/>
                <w:sz w:val="22"/>
              </w:rPr>
              <w:t>164.063,00</w:t>
            </w:r>
          </w:p>
        </w:tc>
        <w:tc>
          <w:tcPr>
            <w:tcW w:w="1134" w:type="dxa"/>
          </w:tcPr>
          <w:p w14:paraId="4E67B4D5" w14:textId="77777777" w:rsidR="00BC7E60" w:rsidRPr="00497178" w:rsidRDefault="00BC7E60" w:rsidP="00512D52">
            <w:pPr>
              <w:jc w:val="right"/>
              <w:rPr>
                <w:rFonts w:ascii="Arial" w:hAnsi="Arial" w:cs="Arial"/>
                <w:b/>
                <w:sz w:val="22"/>
              </w:rPr>
            </w:pPr>
          </w:p>
          <w:p w14:paraId="7B91344E" w14:textId="77777777" w:rsidR="00BC7E60" w:rsidRPr="00497178" w:rsidRDefault="00BC7E60" w:rsidP="00512D52">
            <w:pPr>
              <w:jc w:val="right"/>
              <w:rPr>
                <w:rFonts w:ascii="Arial" w:hAnsi="Arial" w:cs="Arial"/>
                <w:b/>
                <w:sz w:val="22"/>
              </w:rPr>
            </w:pPr>
          </w:p>
          <w:p w14:paraId="0C9087E1" w14:textId="77777777" w:rsidR="00BC7E60" w:rsidRPr="00497178" w:rsidRDefault="00BC7E60" w:rsidP="00512D52">
            <w:pPr>
              <w:jc w:val="right"/>
              <w:rPr>
                <w:rFonts w:ascii="Arial" w:hAnsi="Arial" w:cs="Arial"/>
                <w:b/>
                <w:sz w:val="22"/>
              </w:rPr>
            </w:pPr>
            <w:r w:rsidRPr="00497178">
              <w:rPr>
                <w:rFonts w:ascii="Arial" w:hAnsi="Arial" w:cs="Arial"/>
                <w:b/>
                <w:sz w:val="22"/>
              </w:rPr>
              <w:t>100,69</w:t>
            </w:r>
          </w:p>
        </w:tc>
      </w:tr>
      <w:tr w:rsidR="00BC7E60" w:rsidRPr="00497178" w14:paraId="0AEFD098" w14:textId="77777777" w:rsidTr="00512D52">
        <w:tc>
          <w:tcPr>
            <w:tcW w:w="693" w:type="dxa"/>
            <w:shd w:val="clear" w:color="auto" w:fill="auto"/>
          </w:tcPr>
          <w:p w14:paraId="2982E772" w14:textId="77777777" w:rsidR="00BC7E60" w:rsidRPr="00497178" w:rsidRDefault="00BC7E60" w:rsidP="00512D52">
            <w:pPr>
              <w:jc w:val="both"/>
              <w:rPr>
                <w:rFonts w:ascii="Arial" w:hAnsi="Arial" w:cs="Arial"/>
                <w:b/>
                <w:bCs/>
                <w:sz w:val="22"/>
              </w:rPr>
            </w:pPr>
          </w:p>
        </w:tc>
        <w:tc>
          <w:tcPr>
            <w:tcW w:w="2673" w:type="dxa"/>
            <w:shd w:val="clear" w:color="auto" w:fill="auto"/>
          </w:tcPr>
          <w:p w14:paraId="1DF5D3D0" w14:textId="77777777" w:rsidR="00BC7E60" w:rsidRPr="00497178" w:rsidRDefault="00BC7E60" w:rsidP="00512D52">
            <w:pPr>
              <w:jc w:val="both"/>
              <w:rPr>
                <w:rFonts w:ascii="Arial" w:hAnsi="Arial" w:cs="Arial"/>
                <w:b/>
                <w:bCs/>
                <w:sz w:val="22"/>
              </w:rPr>
            </w:pPr>
            <w:r w:rsidRPr="00497178">
              <w:rPr>
                <w:rFonts w:ascii="Arial" w:hAnsi="Arial" w:cs="Arial"/>
                <w:b/>
                <w:bCs/>
                <w:sz w:val="22"/>
              </w:rPr>
              <w:t>SVEUKUPNO: GRAD I PRORAČUNSKI KORISNICI</w:t>
            </w:r>
          </w:p>
        </w:tc>
        <w:tc>
          <w:tcPr>
            <w:tcW w:w="1700" w:type="dxa"/>
            <w:shd w:val="clear" w:color="auto" w:fill="auto"/>
          </w:tcPr>
          <w:p w14:paraId="7ACB8C67" w14:textId="77777777" w:rsidR="00BC7E60" w:rsidRPr="00497178" w:rsidRDefault="00BC7E60" w:rsidP="00512D52">
            <w:pPr>
              <w:jc w:val="right"/>
              <w:rPr>
                <w:rFonts w:ascii="Arial" w:hAnsi="Arial" w:cs="Arial"/>
                <w:b/>
                <w:bCs/>
                <w:sz w:val="22"/>
              </w:rPr>
            </w:pPr>
          </w:p>
          <w:p w14:paraId="6DD6544F" w14:textId="77777777" w:rsidR="00BC7E60" w:rsidRPr="00497178" w:rsidRDefault="00BC7E60" w:rsidP="00512D52">
            <w:pPr>
              <w:jc w:val="right"/>
              <w:rPr>
                <w:rFonts w:ascii="Arial" w:hAnsi="Arial" w:cs="Arial"/>
                <w:b/>
                <w:bCs/>
                <w:sz w:val="22"/>
              </w:rPr>
            </w:pPr>
            <w:r w:rsidRPr="00497178">
              <w:rPr>
                <w:rFonts w:ascii="Arial" w:hAnsi="Arial" w:cs="Arial"/>
                <w:b/>
                <w:bCs/>
                <w:sz w:val="22"/>
              </w:rPr>
              <w:t>3.932.149,00</w:t>
            </w:r>
          </w:p>
        </w:tc>
        <w:tc>
          <w:tcPr>
            <w:tcW w:w="1414" w:type="dxa"/>
            <w:shd w:val="clear" w:color="auto" w:fill="auto"/>
          </w:tcPr>
          <w:p w14:paraId="526D5582" w14:textId="77777777" w:rsidR="00BC7E60" w:rsidRPr="00497178" w:rsidRDefault="00BC7E60" w:rsidP="00512D52">
            <w:pPr>
              <w:jc w:val="right"/>
              <w:rPr>
                <w:rFonts w:ascii="Arial" w:hAnsi="Arial" w:cs="Arial"/>
                <w:b/>
                <w:bCs/>
                <w:sz w:val="22"/>
              </w:rPr>
            </w:pPr>
          </w:p>
          <w:p w14:paraId="47762AFA" w14:textId="77777777" w:rsidR="00BC7E60" w:rsidRPr="00497178" w:rsidRDefault="00BC7E60" w:rsidP="00512D52">
            <w:pPr>
              <w:jc w:val="right"/>
              <w:rPr>
                <w:rFonts w:ascii="Arial" w:hAnsi="Arial" w:cs="Arial"/>
                <w:b/>
                <w:bCs/>
                <w:sz w:val="22"/>
              </w:rPr>
            </w:pPr>
            <w:r w:rsidRPr="00497178">
              <w:rPr>
                <w:rFonts w:ascii="Arial" w:hAnsi="Arial" w:cs="Arial"/>
                <w:b/>
                <w:bCs/>
                <w:sz w:val="22"/>
              </w:rPr>
              <w:t>-75.964,00</w:t>
            </w:r>
          </w:p>
        </w:tc>
        <w:tc>
          <w:tcPr>
            <w:tcW w:w="1737" w:type="dxa"/>
          </w:tcPr>
          <w:p w14:paraId="1B5B8EFE" w14:textId="77777777" w:rsidR="00BC7E60" w:rsidRPr="00497178" w:rsidRDefault="00BC7E60" w:rsidP="00512D52">
            <w:pPr>
              <w:jc w:val="right"/>
              <w:rPr>
                <w:rFonts w:ascii="Arial" w:hAnsi="Arial" w:cs="Arial"/>
                <w:b/>
                <w:bCs/>
                <w:sz w:val="22"/>
              </w:rPr>
            </w:pPr>
          </w:p>
          <w:p w14:paraId="22895568" w14:textId="77777777" w:rsidR="00BC7E60" w:rsidRPr="00497178" w:rsidRDefault="00BC7E60" w:rsidP="00512D52">
            <w:pPr>
              <w:jc w:val="right"/>
              <w:rPr>
                <w:rFonts w:ascii="Arial" w:hAnsi="Arial" w:cs="Arial"/>
                <w:b/>
                <w:bCs/>
                <w:sz w:val="22"/>
              </w:rPr>
            </w:pPr>
            <w:r w:rsidRPr="00497178">
              <w:rPr>
                <w:rFonts w:ascii="Arial" w:hAnsi="Arial" w:cs="Arial"/>
                <w:b/>
                <w:bCs/>
                <w:sz w:val="22"/>
              </w:rPr>
              <w:t>3.856.185,00</w:t>
            </w:r>
          </w:p>
        </w:tc>
        <w:tc>
          <w:tcPr>
            <w:tcW w:w="1134" w:type="dxa"/>
          </w:tcPr>
          <w:p w14:paraId="099E33ED" w14:textId="77777777" w:rsidR="00BC7E60" w:rsidRPr="00497178" w:rsidRDefault="00BC7E60" w:rsidP="00512D52">
            <w:pPr>
              <w:jc w:val="right"/>
              <w:rPr>
                <w:rFonts w:ascii="Arial" w:hAnsi="Arial" w:cs="Arial"/>
                <w:b/>
                <w:bCs/>
                <w:sz w:val="22"/>
              </w:rPr>
            </w:pPr>
          </w:p>
          <w:p w14:paraId="153AC6F8" w14:textId="77777777" w:rsidR="00BC7E60" w:rsidRPr="00497178" w:rsidRDefault="00BC7E60" w:rsidP="00512D52">
            <w:pPr>
              <w:jc w:val="right"/>
              <w:rPr>
                <w:rFonts w:ascii="Arial" w:hAnsi="Arial" w:cs="Arial"/>
                <w:b/>
                <w:bCs/>
                <w:sz w:val="22"/>
              </w:rPr>
            </w:pPr>
            <w:r w:rsidRPr="00497178">
              <w:rPr>
                <w:rFonts w:ascii="Arial" w:hAnsi="Arial" w:cs="Arial"/>
                <w:b/>
                <w:bCs/>
                <w:sz w:val="22"/>
              </w:rPr>
              <w:t>98,07</w:t>
            </w:r>
          </w:p>
        </w:tc>
      </w:tr>
    </w:tbl>
    <w:p w14:paraId="2D22090C" w14:textId="77777777" w:rsidR="00BC7E60" w:rsidRPr="00497178" w:rsidRDefault="00BC7E60" w:rsidP="00BC7E60">
      <w:pPr>
        <w:jc w:val="both"/>
        <w:rPr>
          <w:rFonts w:ascii="Arial" w:hAnsi="Arial" w:cs="Arial"/>
          <w:b/>
          <w:bCs/>
          <w:sz w:val="22"/>
        </w:rPr>
      </w:pPr>
    </w:p>
    <w:p w14:paraId="0DC1E32F" w14:textId="77777777" w:rsidR="00BC7E60" w:rsidRPr="00497178" w:rsidRDefault="00BC7E60" w:rsidP="00BC7E60">
      <w:pPr>
        <w:jc w:val="both"/>
        <w:rPr>
          <w:rFonts w:ascii="Arial" w:hAnsi="Arial" w:cs="Arial"/>
          <w:b/>
          <w:bCs/>
          <w:sz w:val="22"/>
        </w:rPr>
      </w:pPr>
    </w:p>
    <w:p w14:paraId="62354309" w14:textId="77777777" w:rsidR="00BC7E60" w:rsidRPr="00497178" w:rsidRDefault="00BC7E60" w:rsidP="00BC7E60">
      <w:pPr>
        <w:jc w:val="both"/>
        <w:rPr>
          <w:rFonts w:ascii="Arial" w:hAnsi="Arial" w:cs="Arial"/>
          <w:sz w:val="22"/>
        </w:rPr>
      </w:pPr>
      <w:r w:rsidRPr="00497178">
        <w:rPr>
          <w:rFonts w:ascii="Arial" w:hAnsi="Arial" w:cs="Arial"/>
          <w:sz w:val="22"/>
        </w:rPr>
        <w:t>Iz navedene analize rashoda za nabavu proizvedene dugotrajne imovine razabire se smanjenje ulaganja  u iznosu od 75.964  EUR ili 1,93%. Smanjenje se najvećim dijelom odnosi na Grad Labin i to 77.096 EUR od ukupnog smanjenja, od čega se iznos od 155.140 EUR odnosi na smanjenje rashoda unutar upravnog odjela za prostorno uređenje, zaštitu okoliša i izdavanje akata za gradnju, dok je kod ostalih UO evidentirano manje povećanje rashoda.</w:t>
      </w:r>
    </w:p>
    <w:p w14:paraId="30599C9E" w14:textId="77777777" w:rsidR="00BC7E60" w:rsidRPr="00497178" w:rsidRDefault="00BC7E60" w:rsidP="00BC7E60">
      <w:pPr>
        <w:jc w:val="both"/>
        <w:rPr>
          <w:rFonts w:ascii="Arial" w:hAnsi="Arial" w:cs="Arial"/>
          <w:sz w:val="22"/>
        </w:rPr>
      </w:pPr>
      <w:r w:rsidRPr="00497178">
        <w:rPr>
          <w:rFonts w:ascii="Arial" w:hAnsi="Arial" w:cs="Arial"/>
          <w:sz w:val="22"/>
        </w:rPr>
        <w:t>Smanjenje odnosno povećanje ulaganja za Grad Labin detaljnije je obrazloženo u nastavku kroz obrazloženje posebnog dijela proračuna po Upravnim odjelima.</w:t>
      </w:r>
    </w:p>
    <w:p w14:paraId="78DA25E6" w14:textId="77777777" w:rsidR="00BC7E60" w:rsidRPr="00497178" w:rsidRDefault="00BC7E60" w:rsidP="00BC7E60">
      <w:pPr>
        <w:jc w:val="both"/>
        <w:rPr>
          <w:rFonts w:ascii="Arial" w:hAnsi="Arial" w:cs="Arial"/>
          <w:sz w:val="22"/>
        </w:rPr>
      </w:pPr>
    </w:p>
    <w:p w14:paraId="63ECD3DA" w14:textId="77777777" w:rsidR="00BC7E60" w:rsidRPr="00497178" w:rsidRDefault="00BC7E60" w:rsidP="00BC7E60">
      <w:pPr>
        <w:jc w:val="both"/>
        <w:rPr>
          <w:rFonts w:ascii="Arial" w:hAnsi="Arial" w:cs="Arial"/>
          <w:sz w:val="22"/>
        </w:rPr>
      </w:pPr>
      <w:r w:rsidRPr="00497178">
        <w:rPr>
          <w:rFonts w:ascii="Arial" w:hAnsi="Arial" w:cs="Arial"/>
          <w:sz w:val="22"/>
        </w:rPr>
        <w:t>Iznos od 1.132  EUR odnosi se na ukupno povećanje kod proračunske korisnike, međutim kod proračunskog korisnika Dom za starije osobe Labin došlo je do znatnijeg smanjenja od 49.000 EUR  kod nabave uređaja, strojeva i opreme za ostale namjene dok je kod ostalih proračunskih korisnika sveukupno došlo do povećanja od 50.132 EUR.</w:t>
      </w:r>
    </w:p>
    <w:p w14:paraId="0F88303C" w14:textId="77777777" w:rsidR="00BC7E60" w:rsidRPr="00497178" w:rsidRDefault="00BC7E60" w:rsidP="00BC7E60">
      <w:pPr>
        <w:jc w:val="both"/>
        <w:rPr>
          <w:rFonts w:ascii="Arial" w:hAnsi="Arial" w:cs="Arial"/>
          <w:sz w:val="22"/>
        </w:rPr>
      </w:pPr>
    </w:p>
    <w:p w14:paraId="76AF1FB2" w14:textId="77777777" w:rsidR="00BC7E60" w:rsidRPr="00497178" w:rsidRDefault="00BC7E60" w:rsidP="00BC7E60">
      <w:pPr>
        <w:rPr>
          <w:rFonts w:ascii="Arial" w:hAnsi="Arial" w:cs="Arial"/>
          <w:sz w:val="22"/>
        </w:rPr>
      </w:pPr>
      <w:r w:rsidRPr="00497178">
        <w:rPr>
          <w:rFonts w:ascii="Arial" w:hAnsi="Arial" w:cs="Arial"/>
          <w:sz w:val="22"/>
        </w:rPr>
        <w:t>Proračunski korisnici povećanjem rashoda u iznosu od 50.132 EUR planiraju sljedeća ulaganja:</w:t>
      </w:r>
    </w:p>
    <w:p w14:paraId="375FEED1" w14:textId="77777777" w:rsidR="00BC7E60" w:rsidRPr="00497178" w:rsidRDefault="00BC7E60" w:rsidP="00BC7E60">
      <w:pPr>
        <w:jc w:val="both"/>
        <w:rPr>
          <w:rFonts w:ascii="Arial" w:hAnsi="Arial" w:cs="Arial"/>
          <w:sz w:val="22"/>
        </w:rPr>
      </w:pPr>
      <w:r w:rsidRPr="00497178">
        <w:rPr>
          <w:rFonts w:ascii="Arial" w:hAnsi="Arial" w:cs="Arial"/>
          <w:sz w:val="22"/>
        </w:rPr>
        <w:t>1. JVP Labin – nabava opreme za održavanje i zaštitu (3.611 EUR),</w:t>
      </w:r>
    </w:p>
    <w:p w14:paraId="7659AB34" w14:textId="77777777" w:rsidR="00BC7E60" w:rsidRPr="00497178" w:rsidRDefault="00BC7E60" w:rsidP="00BC7E60">
      <w:pPr>
        <w:rPr>
          <w:rFonts w:ascii="Arial" w:hAnsi="Arial" w:cs="Arial"/>
          <w:sz w:val="22"/>
        </w:rPr>
      </w:pPr>
      <w:r w:rsidRPr="00497178">
        <w:rPr>
          <w:rFonts w:ascii="Arial" w:hAnsi="Arial" w:cs="Arial"/>
          <w:sz w:val="22"/>
        </w:rPr>
        <w:t xml:space="preserve">2. DV </w:t>
      </w:r>
      <w:proofErr w:type="spellStart"/>
      <w:r w:rsidRPr="00497178">
        <w:rPr>
          <w:rFonts w:ascii="Arial" w:hAnsi="Arial" w:cs="Arial"/>
          <w:sz w:val="22"/>
        </w:rPr>
        <w:t>Pjerina</w:t>
      </w:r>
      <w:proofErr w:type="spellEnd"/>
      <w:r w:rsidRPr="00497178">
        <w:rPr>
          <w:rFonts w:ascii="Arial" w:hAnsi="Arial" w:cs="Arial"/>
          <w:sz w:val="22"/>
        </w:rPr>
        <w:t xml:space="preserve"> </w:t>
      </w:r>
      <w:proofErr w:type="spellStart"/>
      <w:r w:rsidRPr="00497178">
        <w:rPr>
          <w:rFonts w:ascii="Arial" w:hAnsi="Arial" w:cs="Arial"/>
          <w:sz w:val="22"/>
        </w:rPr>
        <w:t>Verbanac</w:t>
      </w:r>
      <w:proofErr w:type="spellEnd"/>
      <w:r w:rsidRPr="00497178">
        <w:rPr>
          <w:rFonts w:ascii="Arial" w:hAnsi="Arial" w:cs="Arial"/>
          <w:sz w:val="22"/>
        </w:rPr>
        <w:t xml:space="preserve"> Labin – nabava </w:t>
      </w:r>
      <w:bookmarkStart w:id="28" w:name="_Hlk168846710"/>
      <w:r w:rsidRPr="00497178">
        <w:rPr>
          <w:rFonts w:ascii="Arial" w:hAnsi="Arial" w:cs="Arial"/>
          <w:sz w:val="22"/>
        </w:rPr>
        <w:t>uređaja, strojeva i opreme za ostale namjene (2.530 EUR)</w:t>
      </w:r>
      <w:bookmarkEnd w:id="28"/>
      <w:r w:rsidRPr="00497178">
        <w:rPr>
          <w:rFonts w:ascii="Arial" w:hAnsi="Arial" w:cs="Arial"/>
          <w:sz w:val="22"/>
        </w:rPr>
        <w:t>;</w:t>
      </w:r>
    </w:p>
    <w:p w14:paraId="6909DD94" w14:textId="77777777" w:rsidR="00BC7E60" w:rsidRPr="00497178" w:rsidRDefault="00BC7E60" w:rsidP="00BC7E60">
      <w:pPr>
        <w:jc w:val="both"/>
        <w:rPr>
          <w:rFonts w:ascii="Arial" w:hAnsi="Arial" w:cs="Arial"/>
          <w:sz w:val="22"/>
        </w:rPr>
      </w:pPr>
      <w:r w:rsidRPr="00497178">
        <w:rPr>
          <w:rFonts w:ascii="Arial" w:hAnsi="Arial" w:cs="Arial"/>
          <w:sz w:val="22"/>
        </w:rPr>
        <w:lastRenderedPageBreak/>
        <w:t xml:space="preserve">3. OŠ Matija Vlačić Labin –  nabava uredske opreme i namještaja (1.465 EUR), komunikacijske opreme (1.300 EUR) i sportske i glazbene opreme (850 EUR); </w:t>
      </w:r>
    </w:p>
    <w:p w14:paraId="3A8661FD" w14:textId="77777777" w:rsidR="00BC7E60" w:rsidRPr="00497178" w:rsidRDefault="00BC7E60" w:rsidP="00BC7E60">
      <w:pPr>
        <w:rPr>
          <w:rFonts w:ascii="Arial" w:hAnsi="Arial" w:cs="Arial"/>
          <w:sz w:val="22"/>
        </w:rPr>
      </w:pPr>
      <w:r w:rsidRPr="00497178">
        <w:rPr>
          <w:rFonts w:ascii="Arial" w:hAnsi="Arial" w:cs="Arial"/>
          <w:sz w:val="22"/>
        </w:rPr>
        <w:t>4. OŠ Ivo Lola Ribar Labin – nabava uredske opreme i namještaja (1.000 EUR);</w:t>
      </w:r>
    </w:p>
    <w:p w14:paraId="5069FDFA" w14:textId="77777777" w:rsidR="00BC7E60" w:rsidRPr="00497178" w:rsidRDefault="00BC7E60" w:rsidP="00BC7E60">
      <w:pPr>
        <w:rPr>
          <w:rFonts w:ascii="Arial" w:hAnsi="Arial" w:cs="Arial"/>
          <w:sz w:val="22"/>
        </w:rPr>
      </w:pPr>
      <w:r w:rsidRPr="00497178">
        <w:rPr>
          <w:rFonts w:ascii="Arial" w:hAnsi="Arial" w:cs="Arial"/>
          <w:sz w:val="22"/>
        </w:rPr>
        <w:t xml:space="preserve">5. Centar Liče </w:t>
      </w:r>
      <w:proofErr w:type="spellStart"/>
      <w:r w:rsidRPr="00497178">
        <w:rPr>
          <w:rFonts w:ascii="Arial" w:hAnsi="Arial" w:cs="Arial"/>
          <w:sz w:val="22"/>
        </w:rPr>
        <w:t>Faraguna</w:t>
      </w:r>
      <w:proofErr w:type="spellEnd"/>
      <w:r w:rsidRPr="00497178">
        <w:rPr>
          <w:rFonts w:ascii="Arial" w:hAnsi="Arial" w:cs="Arial"/>
          <w:sz w:val="22"/>
        </w:rPr>
        <w:t xml:space="preserve"> Labin –  nabava uredske opreme i namještaja (4.000 EUR) i uređaja, strojeva i opreme za ostale namjene (2.000 EUR);</w:t>
      </w:r>
    </w:p>
    <w:p w14:paraId="0D413C36" w14:textId="77777777" w:rsidR="00BC7E60" w:rsidRPr="00497178" w:rsidRDefault="00BC7E60" w:rsidP="00BC7E60">
      <w:pPr>
        <w:jc w:val="both"/>
        <w:rPr>
          <w:rFonts w:ascii="Arial" w:hAnsi="Arial" w:cs="Arial"/>
          <w:sz w:val="22"/>
        </w:rPr>
      </w:pPr>
      <w:r w:rsidRPr="00497178">
        <w:rPr>
          <w:rFonts w:ascii="Arial" w:hAnsi="Arial" w:cs="Arial"/>
          <w:sz w:val="22"/>
        </w:rPr>
        <w:t>6. Umjetnička škola Matka Brajša Rašana Labin – nabava uredske opreme i namještaja (2.200 EUR);</w:t>
      </w:r>
    </w:p>
    <w:p w14:paraId="1AAF95AC" w14:textId="77777777" w:rsidR="00BC7E60" w:rsidRPr="00497178" w:rsidRDefault="00BC7E60" w:rsidP="00BC7E60">
      <w:pPr>
        <w:rPr>
          <w:rFonts w:ascii="Arial" w:hAnsi="Arial" w:cs="Arial"/>
          <w:sz w:val="22"/>
        </w:rPr>
      </w:pPr>
      <w:r w:rsidRPr="00497178">
        <w:rPr>
          <w:rFonts w:ascii="Arial" w:hAnsi="Arial" w:cs="Arial"/>
          <w:sz w:val="22"/>
        </w:rPr>
        <w:t>7. Pučko otvoreno učilište  Labin</w:t>
      </w:r>
      <w:r w:rsidRPr="00497178">
        <w:rPr>
          <w:rFonts w:ascii="Arial" w:eastAsia="Arial" w:hAnsi="Arial" w:cs="Arial"/>
          <w:b/>
          <w:sz w:val="22"/>
        </w:rPr>
        <w:t xml:space="preserve"> </w:t>
      </w:r>
      <w:r w:rsidRPr="00497178">
        <w:rPr>
          <w:rFonts w:ascii="Arial" w:eastAsia="Arial" w:hAnsi="Arial" w:cs="Arial"/>
          <w:sz w:val="22"/>
        </w:rPr>
        <w:t xml:space="preserve">– nabava </w:t>
      </w:r>
      <w:r w:rsidRPr="00497178">
        <w:rPr>
          <w:rFonts w:ascii="Arial" w:hAnsi="Arial" w:cs="Arial"/>
          <w:sz w:val="22"/>
        </w:rPr>
        <w:t>uredske opreme i namještaja (21.743 EUR), smanjenje kod komunikacijske opreme (-300 EUR) te nabava uređaja, strojeva i opreme za ostale namjene (4.200 EUR);</w:t>
      </w:r>
    </w:p>
    <w:p w14:paraId="5D0DA7D9" w14:textId="77777777" w:rsidR="00BC7E60" w:rsidRPr="00497178" w:rsidRDefault="00BC7E60" w:rsidP="00BC7E60">
      <w:pPr>
        <w:rPr>
          <w:rFonts w:ascii="Arial" w:hAnsi="Arial" w:cs="Arial"/>
          <w:sz w:val="22"/>
        </w:rPr>
      </w:pPr>
      <w:r w:rsidRPr="00497178">
        <w:rPr>
          <w:rFonts w:ascii="Arial" w:hAnsi="Arial" w:cs="Arial"/>
          <w:sz w:val="22"/>
        </w:rPr>
        <w:t>8. Gradska knjižnica Labin – nabava uredske opreme i namještaja (5.533 EUR).</w:t>
      </w:r>
    </w:p>
    <w:p w14:paraId="6FED0ACB" w14:textId="77777777" w:rsidR="00BC7E60" w:rsidRPr="00497178" w:rsidRDefault="00BC7E60" w:rsidP="00BC7E60">
      <w:pPr>
        <w:rPr>
          <w:rFonts w:ascii="Arial" w:hAnsi="Arial" w:cs="Arial"/>
          <w:sz w:val="22"/>
        </w:rPr>
      </w:pPr>
    </w:p>
    <w:p w14:paraId="73C3FB37" w14:textId="77777777" w:rsidR="00BC7E60" w:rsidRPr="00497178" w:rsidRDefault="00BC7E60" w:rsidP="00BC7E60">
      <w:pPr>
        <w:rPr>
          <w:rFonts w:ascii="Arial" w:hAnsi="Arial" w:cs="Arial"/>
          <w:sz w:val="22"/>
        </w:rPr>
      </w:pPr>
    </w:p>
    <w:p w14:paraId="4089555B" w14:textId="77777777" w:rsidR="00BC7E60" w:rsidRPr="00497178" w:rsidRDefault="00BC7E60" w:rsidP="00BC7E60">
      <w:pPr>
        <w:rPr>
          <w:rFonts w:ascii="Arial" w:hAnsi="Arial" w:cs="Arial"/>
          <w:sz w:val="22"/>
        </w:rPr>
      </w:pPr>
    </w:p>
    <w:p w14:paraId="6F9C5EF2" w14:textId="77777777" w:rsidR="00BC7E60" w:rsidRPr="00497178" w:rsidRDefault="00BC7E60" w:rsidP="00BC7E60">
      <w:pPr>
        <w:jc w:val="both"/>
        <w:rPr>
          <w:rFonts w:ascii="Arial" w:hAnsi="Arial" w:cs="Arial"/>
          <w:sz w:val="22"/>
        </w:rPr>
      </w:pPr>
      <w:r w:rsidRPr="00497178">
        <w:rPr>
          <w:rFonts w:ascii="Arial" w:hAnsi="Arial" w:cs="Arial"/>
          <w:sz w:val="22"/>
        </w:rPr>
        <w:t>U prilogu je tabelarni prikaz povećanja / smanjenja po Upravnim odjelima i Programima.</w:t>
      </w:r>
    </w:p>
    <w:p w14:paraId="5CF3506A" w14:textId="77777777" w:rsidR="00BC7E60" w:rsidRPr="00497178" w:rsidRDefault="00BC7E60" w:rsidP="00BC7E60">
      <w:pPr>
        <w:rPr>
          <w:rFonts w:ascii="Arial" w:hAnsi="Arial" w:cs="Arial"/>
          <w:sz w:val="22"/>
        </w:rPr>
      </w:pPr>
    </w:p>
    <w:p w14:paraId="7D60DEED" w14:textId="77777777" w:rsidR="00BC7E60" w:rsidRPr="00497178" w:rsidRDefault="00BC7E60" w:rsidP="00BC7E60">
      <w:pPr>
        <w:keepNext/>
        <w:outlineLvl w:val="3"/>
        <w:rPr>
          <w:rFonts w:ascii="Arial" w:hAnsi="Arial" w:cs="Arial"/>
          <w:b/>
          <w:bCs/>
          <w:sz w:val="22"/>
        </w:rPr>
      </w:pPr>
      <w:r w:rsidRPr="00497178">
        <w:rPr>
          <w:rFonts w:ascii="Arial" w:hAnsi="Arial" w:cs="Arial"/>
          <w:b/>
          <w:sz w:val="22"/>
        </w:rPr>
        <w:t>Tabela 8.</w:t>
      </w:r>
      <w:r w:rsidRPr="00497178">
        <w:rPr>
          <w:rFonts w:ascii="Arial" w:hAnsi="Arial" w:cs="Arial"/>
          <w:b/>
          <w:bCs/>
          <w:sz w:val="22"/>
        </w:rPr>
        <w:t xml:space="preserve"> </w:t>
      </w:r>
    </w:p>
    <w:p w14:paraId="085523EF" w14:textId="2E9B30D5" w:rsidR="00BC7E60" w:rsidRPr="00497178" w:rsidRDefault="00807388" w:rsidP="00BC7E60">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Pr>
          <w:rFonts w:ascii="Arial" w:hAnsi="Arial" w:cs="Arial"/>
          <w:b/>
          <w:bCs/>
          <w:sz w:val="22"/>
        </w:rPr>
        <w:t>- EUR</w:t>
      </w:r>
    </w:p>
    <w:p w14:paraId="455048C9" w14:textId="77777777" w:rsidR="00BC7E60" w:rsidRPr="00497178" w:rsidRDefault="00BC7E60" w:rsidP="00BC7E60">
      <w:pPr>
        <w:rPr>
          <w:rFonts w:ascii="Arial" w:hAnsi="Arial" w:cs="Arial"/>
          <w:sz w:val="16"/>
          <w:szCs w:val="16"/>
        </w:rPr>
      </w:pPr>
    </w:p>
    <w:tbl>
      <w:tblPr>
        <w:tblW w:w="9608" w:type="dxa"/>
        <w:tblLook w:val="04A0" w:firstRow="1" w:lastRow="0" w:firstColumn="1" w:lastColumn="0" w:noHBand="0" w:noVBand="1"/>
      </w:tblPr>
      <w:tblGrid>
        <w:gridCol w:w="4815"/>
        <w:gridCol w:w="1307"/>
        <w:gridCol w:w="1123"/>
        <w:gridCol w:w="1123"/>
        <w:gridCol w:w="1240"/>
      </w:tblGrid>
      <w:tr w:rsidR="00BC7E60" w:rsidRPr="00497178" w14:paraId="566F7EB7" w14:textId="77777777" w:rsidTr="00512D52">
        <w:trPr>
          <w:trHeight w:val="450"/>
        </w:trPr>
        <w:tc>
          <w:tcPr>
            <w:tcW w:w="4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05335E" w14:textId="77777777" w:rsidR="00BC7E60" w:rsidRPr="00497178" w:rsidRDefault="00BC7E60" w:rsidP="00512D52">
            <w:pPr>
              <w:jc w:val="center"/>
              <w:rPr>
                <w:rFonts w:ascii="Arial" w:hAnsi="Arial" w:cs="Arial"/>
                <w:b/>
                <w:bCs/>
                <w:sz w:val="16"/>
                <w:szCs w:val="16"/>
              </w:rPr>
            </w:pPr>
            <w:r w:rsidRPr="00497178">
              <w:rPr>
                <w:rFonts w:ascii="Arial" w:hAnsi="Arial" w:cs="Arial"/>
                <w:b/>
                <w:bCs/>
                <w:sz w:val="16"/>
                <w:szCs w:val="16"/>
              </w:rPr>
              <w:t>PROGRAMI</w:t>
            </w:r>
          </w:p>
        </w:tc>
        <w:tc>
          <w:tcPr>
            <w:tcW w:w="1307" w:type="dxa"/>
            <w:tcBorders>
              <w:top w:val="single" w:sz="4" w:space="0" w:color="auto"/>
              <w:left w:val="nil"/>
              <w:bottom w:val="single" w:sz="4" w:space="0" w:color="auto"/>
              <w:right w:val="single" w:sz="4" w:space="0" w:color="auto"/>
            </w:tcBorders>
            <w:shd w:val="clear" w:color="000000" w:fill="FFFFFF"/>
            <w:noWrap/>
            <w:vAlign w:val="bottom"/>
            <w:hideMark/>
          </w:tcPr>
          <w:p w14:paraId="469069A6"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PLANIRANO</w:t>
            </w:r>
          </w:p>
        </w:tc>
        <w:tc>
          <w:tcPr>
            <w:tcW w:w="1123" w:type="dxa"/>
            <w:tcBorders>
              <w:top w:val="single" w:sz="4" w:space="0" w:color="auto"/>
              <w:left w:val="nil"/>
              <w:bottom w:val="single" w:sz="4" w:space="0" w:color="auto"/>
              <w:right w:val="single" w:sz="4" w:space="0" w:color="auto"/>
            </w:tcBorders>
            <w:shd w:val="clear" w:color="000000" w:fill="FFFFFF"/>
            <w:noWrap/>
            <w:vAlign w:val="bottom"/>
            <w:hideMark/>
          </w:tcPr>
          <w:p w14:paraId="2D31F09A"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PROMJENA IZNOS</w:t>
            </w:r>
          </w:p>
        </w:tc>
        <w:tc>
          <w:tcPr>
            <w:tcW w:w="1123" w:type="dxa"/>
            <w:tcBorders>
              <w:top w:val="single" w:sz="4" w:space="0" w:color="auto"/>
              <w:left w:val="nil"/>
              <w:bottom w:val="single" w:sz="4" w:space="0" w:color="auto"/>
              <w:right w:val="single" w:sz="4" w:space="0" w:color="auto"/>
            </w:tcBorders>
            <w:shd w:val="clear" w:color="000000" w:fill="FFFFFF"/>
            <w:vAlign w:val="bottom"/>
            <w:hideMark/>
          </w:tcPr>
          <w:p w14:paraId="6FE821FA"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 xml:space="preserve">PROMJENA </w:t>
            </w:r>
            <w:r w:rsidRPr="00497178">
              <w:rPr>
                <w:rFonts w:ascii="Arial" w:hAnsi="Arial" w:cs="Arial"/>
                <w:b/>
                <w:bCs/>
                <w:sz w:val="16"/>
                <w:szCs w:val="16"/>
              </w:rPr>
              <w:br/>
              <w:t>POSTOTAK</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14:paraId="376C7273"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NOVI IZNOS</w:t>
            </w:r>
          </w:p>
        </w:tc>
      </w:tr>
      <w:tr w:rsidR="00BC7E60" w:rsidRPr="00497178" w14:paraId="2483DCD3"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E5D23A0" w14:textId="77777777" w:rsidR="00BC7E60" w:rsidRPr="00497178" w:rsidRDefault="00BC7E60" w:rsidP="00512D52">
            <w:pPr>
              <w:jc w:val="center"/>
              <w:rPr>
                <w:rFonts w:ascii="Arial" w:hAnsi="Arial" w:cs="Arial"/>
                <w:b/>
                <w:bCs/>
                <w:sz w:val="16"/>
                <w:szCs w:val="16"/>
              </w:rPr>
            </w:pPr>
            <w:r w:rsidRPr="00497178">
              <w:rPr>
                <w:rFonts w:ascii="Arial" w:hAnsi="Arial" w:cs="Arial"/>
                <w:b/>
                <w:bCs/>
                <w:sz w:val="16"/>
                <w:szCs w:val="16"/>
              </w:rPr>
              <w:t>SVEUKUPNO RASHODI / IZDACI</w:t>
            </w:r>
          </w:p>
        </w:tc>
        <w:tc>
          <w:tcPr>
            <w:tcW w:w="1307" w:type="dxa"/>
            <w:tcBorders>
              <w:top w:val="nil"/>
              <w:left w:val="nil"/>
              <w:bottom w:val="single" w:sz="4" w:space="0" w:color="auto"/>
              <w:right w:val="single" w:sz="4" w:space="0" w:color="auto"/>
            </w:tcBorders>
            <w:shd w:val="clear" w:color="000000" w:fill="FFFFFF"/>
            <w:noWrap/>
            <w:vAlign w:val="bottom"/>
            <w:hideMark/>
          </w:tcPr>
          <w:p w14:paraId="262C6F3E"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27.480.306,00</w:t>
            </w:r>
          </w:p>
        </w:tc>
        <w:tc>
          <w:tcPr>
            <w:tcW w:w="1123" w:type="dxa"/>
            <w:tcBorders>
              <w:top w:val="nil"/>
              <w:left w:val="nil"/>
              <w:bottom w:val="single" w:sz="4" w:space="0" w:color="auto"/>
              <w:right w:val="single" w:sz="4" w:space="0" w:color="auto"/>
            </w:tcBorders>
            <w:shd w:val="clear" w:color="000000" w:fill="FFFFFF"/>
            <w:noWrap/>
            <w:vAlign w:val="bottom"/>
            <w:hideMark/>
          </w:tcPr>
          <w:p w14:paraId="11B46742"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933.295,00</w:t>
            </w:r>
          </w:p>
        </w:tc>
        <w:tc>
          <w:tcPr>
            <w:tcW w:w="1123" w:type="dxa"/>
            <w:tcBorders>
              <w:top w:val="nil"/>
              <w:left w:val="nil"/>
              <w:bottom w:val="single" w:sz="4" w:space="0" w:color="auto"/>
              <w:right w:val="single" w:sz="4" w:space="0" w:color="auto"/>
            </w:tcBorders>
            <w:shd w:val="clear" w:color="000000" w:fill="FFFFFF"/>
            <w:noWrap/>
            <w:vAlign w:val="bottom"/>
            <w:hideMark/>
          </w:tcPr>
          <w:p w14:paraId="50E9F843"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3,40</w:t>
            </w:r>
          </w:p>
        </w:tc>
        <w:tc>
          <w:tcPr>
            <w:tcW w:w="1240" w:type="dxa"/>
            <w:tcBorders>
              <w:top w:val="nil"/>
              <w:left w:val="nil"/>
              <w:bottom w:val="single" w:sz="4" w:space="0" w:color="auto"/>
              <w:right w:val="single" w:sz="4" w:space="0" w:color="auto"/>
            </w:tcBorders>
            <w:shd w:val="clear" w:color="000000" w:fill="FFFFFF"/>
            <w:noWrap/>
            <w:vAlign w:val="bottom"/>
            <w:hideMark/>
          </w:tcPr>
          <w:p w14:paraId="3AE5FF67"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28.413.601,00</w:t>
            </w:r>
          </w:p>
        </w:tc>
      </w:tr>
      <w:tr w:rsidR="00BC7E60" w:rsidRPr="00497178" w14:paraId="3B8E6B13"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1BB4C49"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Razdjel 100 UPRAVNI ODJEL ZA POSLOVE GRADONAČELNIKA, GRADSKO VIJEĆE I OPĆE POSLOVE</w:t>
            </w:r>
          </w:p>
        </w:tc>
        <w:tc>
          <w:tcPr>
            <w:tcW w:w="1307" w:type="dxa"/>
            <w:tcBorders>
              <w:top w:val="nil"/>
              <w:left w:val="nil"/>
              <w:bottom w:val="single" w:sz="4" w:space="0" w:color="auto"/>
              <w:right w:val="single" w:sz="4" w:space="0" w:color="auto"/>
            </w:tcBorders>
            <w:shd w:val="clear" w:color="000000" w:fill="FFFFFF"/>
            <w:noWrap/>
            <w:vAlign w:val="bottom"/>
            <w:hideMark/>
          </w:tcPr>
          <w:p w14:paraId="396A9138"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2.609.804,00</w:t>
            </w:r>
          </w:p>
        </w:tc>
        <w:tc>
          <w:tcPr>
            <w:tcW w:w="1123" w:type="dxa"/>
            <w:tcBorders>
              <w:top w:val="nil"/>
              <w:left w:val="nil"/>
              <w:bottom w:val="single" w:sz="4" w:space="0" w:color="auto"/>
              <w:right w:val="single" w:sz="4" w:space="0" w:color="auto"/>
            </w:tcBorders>
            <w:shd w:val="clear" w:color="000000" w:fill="FFFFFF"/>
            <w:noWrap/>
            <w:vAlign w:val="bottom"/>
            <w:hideMark/>
          </w:tcPr>
          <w:p w14:paraId="4851DF32"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102.714,00</w:t>
            </w:r>
          </w:p>
        </w:tc>
        <w:tc>
          <w:tcPr>
            <w:tcW w:w="1123" w:type="dxa"/>
            <w:tcBorders>
              <w:top w:val="nil"/>
              <w:left w:val="nil"/>
              <w:bottom w:val="single" w:sz="4" w:space="0" w:color="auto"/>
              <w:right w:val="single" w:sz="4" w:space="0" w:color="auto"/>
            </w:tcBorders>
            <w:shd w:val="clear" w:color="000000" w:fill="FFFFFF"/>
            <w:noWrap/>
            <w:vAlign w:val="bottom"/>
            <w:hideMark/>
          </w:tcPr>
          <w:p w14:paraId="07EC5071"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3,94</w:t>
            </w:r>
          </w:p>
        </w:tc>
        <w:tc>
          <w:tcPr>
            <w:tcW w:w="1240" w:type="dxa"/>
            <w:tcBorders>
              <w:top w:val="nil"/>
              <w:left w:val="nil"/>
              <w:bottom w:val="single" w:sz="4" w:space="0" w:color="auto"/>
              <w:right w:val="single" w:sz="4" w:space="0" w:color="auto"/>
            </w:tcBorders>
            <w:shd w:val="clear" w:color="000000" w:fill="FFFFFF"/>
            <w:noWrap/>
            <w:vAlign w:val="bottom"/>
            <w:hideMark/>
          </w:tcPr>
          <w:p w14:paraId="0FD6B946"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2.712.518,00</w:t>
            </w:r>
          </w:p>
        </w:tc>
      </w:tr>
      <w:tr w:rsidR="00BC7E60" w:rsidRPr="00497178" w14:paraId="31198563"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1AE9E07"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Glava 10001 UPRAVNI ODJEL ZA POSLOVE GRADONAČELNIKA, GRADSKO VIJEĆE I OPĆE POSLOVE</w:t>
            </w:r>
          </w:p>
        </w:tc>
        <w:tc>
          <w:tcPr>
            <w:tcW w:w="1307" w:type="dxa"/>
            <w:tcBorders>
              <w:top w:val="nil"/>
              <w:left w:val="nil"/>
              <w:bottom w:val="single" w:sz="4" w:space="0" w:color="auto"/>
              <w:right w:val="single" w:sz="4" w:space="0" w:color="auto"/>
            </w:tcBorders>
            <w:shd w:val="clear" w:color="000000" w:fill="FFFFFF"/>
            <w:noWrap/>
            <w:vAlign w:val="bottom"/>
            <w:hideMark/>
          </w:tcPr>
          <w:p w14:paraId="02F1627D"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978.232,00</w:t>
            </w:r>
          </w:p>
        </w:tc>
        <w:tc>
          <w:tcPr>
            <w:tcW w:w="1123" w:type="dxa"/>
            <w:tcBorders>
              <w:top w:val="nil"/>
              <w:left w:val="nil"/>
              <w:bottom w:val="single" w:sz="4" w:space="0" w:color="auto"/>
              <w:right w:val="single" w:sz="4" w:space="0" w:color="auto"/>
            </w:tcBorders>
            <w:shd w:val="clear" w:color="000000" w:fill="FFFFFF"/>
            <w:noWrap/>
            <w:vAlign w:val="bottom"/>
            <w:hideMark/>
          </w:tcPr>
          <w:p w14:paraId="015C1720"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62.546,00</w:t>
            </w:r>
          </w:p>
        </w:tc>
        <w:tc>
          <w:tcPr>
            <w:tcW w:w="1123" w:type="dxa"/>
            <w:tcBorders>
              <w:top w:val="nil"/>
              <w:left w:val="nil"/>
              <w:bottom w:val="single" w:sz="4" w:space="0" w:color="auto"/>
              <w:right w:val="single" w:sz="4" w:space="0" w:color="auto"/>
            </w:tcBorders>
            <w:shd w:val="clear" w:color="000000" w:fill="FFFFFF"/>
            <w:noWrap/>
            <w:vAlign w:val="bottom"/>
            <w:hideMark/>
          </w:tcPr>
          <w:p w14:paraId="44EFE591"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6,39</w:t>
            </w:r>
          </w:p>
        </w:tc>
        <w:tc>
          <w:tcPr>
            <w:tcW w:w="1240" w:type="dxa"/>
            <w:tcBorders>
              <w:top w:val="nil"/>
              <w:left w:val="nil"/>
              <w:bottom w:val="single" w:sz="4" w:space="0" w:color="auto"/>
              <w:right w:val="single" w:sz="4" w:space="0" w:color="auto"/>
            </w:tcBorders>
            <w:shd w:val="clear" w:color="000000" w:fill="FFFFFF"/>
            <w:noWrap/>
            <w:vAlign w:val="bottom"/>
            <w:hideMark/>
          </w:tcPr>
          <w:p w14:paraId="4246CC54"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1.040.778,00</w:t>
            </w:r>
          </w:p>
        </w:tc>
      </w:tr>
      <w:tr w:rsidR="00BC7E60" w:rsidRPr="00497178" w14:paraId="7218EA3B"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3B1EFCC2"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1001 Javna uprava i administracija</w:t>
            </w:r>
          </w:p>
        </w:tc>
        <w:tc>
          <w:tcPr>
            <w:tcW w:w="1307" w:type="dxa"/>
            <w:tcBorders>
              <w:top w:val="nil"/>
              <w:left w:val="nil"/>
              <w:bottom w:val="single" w:sz="4" w:space="0" w:color="auto"/>
              <w:right w:val="single" w:sz="4" w:space="0" w:color="auto"/>
            </w:tcBorders>
            <w:shd w:val="clear" w:color="000000" w:fill="FFFFFF"/>
            <w:noWrap/>
            <w:vAlign w:val="bottom"/>
            <w:hideMark/>
          </w:tcPr>
          <w:p w14:paraId="2ED3777E"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898.350,00</w:t>
            </w:r>
          </w:p>
        </w:tc>
        <w:tc>
          <w:tcPr>
            <w:tcW w:w="1123" w:type="dxa"/>
            <w:tcBorders>
              <w:top w:val="nil"/>
              <w:left w:val="nil"/>
              <w:bottom w:val="single" w:sz="4" w:space="0" w:color="auto"/>
              <w:right w:val="single" w:sz="4" w:space="0" w:color="auto"/>
            </w:tcBorders>
            <w:shd w:val="clear" w:color="000000" w:fill="FFFFFF"/>
            <w:noWrap/>
            <w:vAlign w:val="bottom"/>
            <w:hideMark/>
          </w:tcPr>
          <w:p w14:paraId="019BEE86"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62.546,00</w:t>
            </w:r>
          </w:p>
        </w:tc>
        <w:tc>
          <w:tcPr>
            <w:tcW w:w="1123" w:type="dxa"/>
            <w:tcBorders>
              <w:top w:val="nil"/>
              <w:left w:val="nil"/>
              <w:bottom w:val="single" w:sz="4" w:space="0" w:color="auto"/>
              <w:right w:val="single" w:sz="4" w:space="0" w:color="auto"/>
            </w:tcBorders>
            <w:shd w:val="clear" w:color="000000" w:fill="FFFFFF"/>
            <w:noWrap/>
            <w:vAlign w:val="bottom"/>
            <w:hideMark/>
          </w:tcPr>
          <w:p w14:paraId="561A44AC"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6,96</w:t>
            </w:r>
          </w:p>
        </w:tc>
        <w:tc>
          <w:tcPr>
            <w:tcW w:w="1240" w:type="dxa"/>
            <w:tcBorders>
              <w:top w:val="nil"/>
              <w:left w:val="nil"/>
              <w:bottom w:val="single" w:sz="4" w:space="0" w:color="auto"/>
              <w:right w:val="single" w:sz="4" w:space="0" w:color="auto"/>
            </w:tcBorders>
            <w:shd w:val="clear" w:color="000000" w:fill="FFFFFF"/>
            <w:noWrap/>
            <w:vAlign w:val="bottom"/>
            <w:hideMark/>
          </w:tcPr>
          <w:p w14:paraId="48C96AF4"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960.896,00</w:t>
            </w:r>
          </w:p>
        </w:tc>
      </w:tr>
      <w:tr w:rsidR="00BC7E60" w:rsidRPr="00497178" w14:paraId="03DE8BA1"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0DEC03C"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A100001 Redovna djelatnost upravnih odjela</w:t>
            </w:r>
          </w:p>
        </w:tc>
        <w:tc>
          <w:tcPr>
            <w:tcW w:w="1307" w:type="dxa"/>
            <w:tcBorders>
              <w:top w:val="nil"/>
              <w:left w:val="nil"/>
              <w:bottom w:val="single" w:sz="4" w:space="0" w:color="auto"/>
              <w:right w:val="single" w:sz="4" w:space="0" w:color="auto"/>
            </w:tcBorders>
            <w:shd w:val="clear" w:color="000000" w:fill="FFFFFF"/>
            <w:noWrap/>
            <w:vAlign w:val="bottom"/>
            <w:hideMark/>
          </w:tcPr>
          <w:p w14:paraId="3C819FB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551.750,00</w:t>
            </w:r>
          </w:p>
        </w:tc>
        <w:tc>
          <w:tcPr>
            <w:tcW w:w="1123" w:type="dxa"/>
            <w:tcBorders>
              <w:top w:val="nil"/>
              <w:left w:val="nil"/>
              <w:bottom w:val="single" w:sz="4" w:space="0" w:color="auto"/>
              <w:right w:val="single" w:sz="4" w:space="0" w:color="auto"/>
            </w:tcBorders>
            <w:shd w:val="clear" w:color="000000" w:fill="FFFFFF"/>
            <w:noWrap/>
            <w:vAlign w:val="bottom"/>
            <w:hideMark/>
          </w:tcPr>
          <w:p w14:paraId="53D98BE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-18.000,00</w:t>
            </w:r>
          </w:p>
        </w:tc>
        <w:tc>
          <w:tcPr>
            <w:tcW w:w="1123" w:type="dxa"/>
            <w:tcBorders>
              <w:top w:val="nil"/>
              <w:left w:val="nil"/>
              <w:bottom w:val="single" w:sz="4" w:space="0" w:color="auto"/>
              <w:right w:val="single" w:sz="4" w:space="0" w:color="auto"/>
            </w:tcBorders>
            <w:shd w:val="clear" w:color="000000" w:fill="FFFFFF"/>
            <w:noWrap/>
            <w:vAlign w:val="bottom"/>
            <w:hideMark/>
          </w:tcPr>
          <w:p w14:paraId="5BD99F0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-3,26</w:t>
            </w:r>
          </w:p>
        </w:tc>
        <w:tc>
          <w:tcPr>
            <w:tcW w:w="1240" w:type="dxa"/>
            <w:tcBorders>
              <w:top w:val="nil"/>
              <w:left w:val="nil"/>
              <w:bottom w:val="single" w:sz="4" w:space="0" w:color="auto"/>
              <w:right w:val="single" w:sz="4" w:space="0" w:color="auto"/>
            </w:tcBorders>
            <w:shd w:val="clear" w:color="000000" w:fill="FFFFFF"/>
            <w:noWrap/>
            <w:vAlign w:val="bottom"/>
            <w:hideMark/>
          </w:tcPr>
          <w:p w14:paraId="46B75FA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533.750,00</w:t>
            </w:r>
          </w:p>
        </w:tc>
      </w:tr>
      <w:tr w:rsidR="00BC7E60" w:rsidRPr="00497178" w14:paraId="482BC25B"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B9F44CE"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A100002 Redovna djelatnost  ureda gradonačelnika</w:t>
            </w:r>
          </w:p>
        </w:tc>
        <w:tc>
          <w:tcPr>
            <w:tcW w:w="1307" w:type="dxa"/>
            <w:tcBorders>
              <w:top w:val="nil"/>
              <w:left w:val="nil"/>
              <w:bottom w:val="single" w:sz="4" w:space="0" w:color="auto"/>
              <w:right w:val="single" w:sz="4" w:space="0" w:color="auto"/>
            </w:tcBorders>
            <w:shd w:val="clear" w:color="000000" w:fill="FFFFFF"/>
            <w:noWrap/>
            <w:vAlign w:val="bottom"/>
            <w:hideMark/>
          </w:tcPr>
          <w:p w14:paraId="781F57D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150.000,00</w:t>
            </w:r>
          </w:p>
        </w:tc>
        <w:tc>
          <w:tcPr>
            <w:tcW w:w="1123" w:type="dxa"/>
            <w:tcBorders>
              <w:top w:val="nil"/>
              <w:left w:val="nil"/>
              <w:bottom w:val="single" w:sz="4" w:space="0" w:color="auto"/>
              <w:right w:val="single" w:sz="4" w:space="0" w:color="auto"/>
            </w:tcBorders>
            <w:shd w:val="clear" w:color="000000" w:fill="FFFFFF"/>
            <w:noWrap/>
            <w:vAlign w:val="bottom"/>
            <w:hideMark/>
          </w:tcPr>
          <w:p w14:paraId="6579DE7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21.700,00</w:t>
            </w:r>
          </w:p>
        </w:tc>
        <w:tc>
          <w:tcPr>
            <w:tcW w:w="1123" w:type="dxa"/>
            <w:tcBorders>
              <w:top w:val="nil"/>
              <w:left w:val="nil"/>
              <w:bottom w:val="single" w:sz="4" w:space="0" w:color="auto"/>
              <w:right w:val="single" w:sz="4" w:space="0" w:color="auto"/>
            </w:tcBorders>
            <w:shd w:val="clear" w:color="000000" w:fill="FFFFFF"/>
            <w:noWrap/>
            <w:vAlign w:val="bottom"/>
            <w:hideMark/>
          </w:tcPr>
          <w:p w14:paraId="0F589C1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14,47</w:t>
            </w:r>
          </w:p>
        </w:tc>
        <w:tc>
          <w:tcPr>
            <w:tcW w:w="1240" w:type="dxa"/>
            <w:tcBorders>
              <w:top w:val="nil"/>
              <w:left w:val="nil"/>
              <w:bottom w:val="single" w:sz="4" w:space="0" w:color="auto"/>
              <w:right w:val="single" w:sz="4" w:space="0" w:color="auto"/>
            </w:tcBorders>
            <w:shd w:val="clear" w:color="000000" w:fill="FFFFFF"/>
            <w:noWrap/>
            <w:vAlign w:val="bottom"/>
            <w:hideMark/>
          </w:tcPr>
          <w:p w14:paraId="55696A9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171.700,00</w:t>
            </w:r>
          </w:p>
        </w:tc>
      </w:tr>
      <w:tr w:rsidR="00BC7E60" w:rsidRPr="00497178" w14:paraId="15A74CF6"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1CBF52C"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A100003 Manifestacije pod pokroviteljstvom Grada Labina</w:t>
            </w:r>
          </w:p>
        </w:tc>
        <w:tc>
          <w:tcPr>
            <w:tcW w:w="1307" w:type="dxa"/>
            <w:tcBorders>
              <w:top w:val="nil"/>
              <w:left w:val="nil"/>
              <w:bottom w:val="single" w:sz="4" w:space="0" w:color="auto"/>
              <w:right w:val="single" w:sz="4" w:space="0" w:color="auto"/>
            </w:tcBorders>
            <w:shd w:val="clear" w:color="000000" w:fill="FFFFFF"/>
            <w:noWrap/>
            <w:vAlign w:val="bottom"/>
            <w:hideMark/>
          </w:tcPr>
          <w:p w14:paraId="18898A3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34.000,00</w:t>
            </w:r>
          </w:p>
        </w:tc>
        <w:tc>
          <w:tcPr>
            <w:tcW w:w="1123" w:type="dxa"/>
            <w:tcBorders>
              <w:top w:val="nil"/>
              <w:left w:val="nil"/>
              <w:bottom w:val="single" w:sz="4" w:space="0" w:color="auto"/>
              <w:right w:val="single" w:sz="4" w:space="0" w:color="auto"/>
            </w:tcBorders>
            <w:shd w:val="clear" w:color="000000" w:fill="FFFFFF"/>
            <w:noWrap/>
            <w:vAlign w:val="bottom"/>
            <w:hideMark/>
          </w:tcPr>
          <w:p w14:paraId="6F87B1F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16.000,00</w:t>
            </w:r>
          </w:p>
        </w:tc>
        <w:tc>
          <w:tcPr>
            <w:tcW w:w="1123" w:type="dxa"/>
            <w:tcBorders>
              <w:top w:val="nil"/>
              <w:left w:val="nil"/>
              <w:bottom w:val="single" w:sz="4" w:space="0" w:color="auto"/>
              <w:right w:val="single" w:sz="4" w:space="0" w:color="auto"/>
            </w:tcBorders>
            <w:shd w:val="clear" w:color="000000" w:fill="FFFFFF"/>
            <w:noWrap/>
            <w:vAlign w:val="bottom"/>
            <w:hideMark/>
          </w:tcPr>
          <w:p w14:paraId="43C3896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47,06</w:t>
            </w:r>
          </w:p>
        </w:tc>
        <w:tc>
          <w:tcPr>
            <w:tcW w:w="1240" w:type="dxa"/>
            <w:tcBorders>
              <w:top w:val="nil"/>
              <w:left w:val="nil"/>
              <w:bottom w:val="single" w:sz="4" w:space="0" w:color="auto"/>
              <w:right w:val="single" w:sz="4" w:space="0" w:color="auto"/>
            </w:tcBorders>
            <w:shd w:val="clear" w:color="000000" w:fill="FFFFFF"/>
            <w:noWrap/>
            <w:vAlign w:val="bottom"/>
            <w:hideMark/>
          </w:tcPr>
          <w:p w14:paraId="3F7C110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50.000,00</w:t>
            </w:r>
          </w:p>
        </w:tc>
      </w:tr>
      <w:tr w:rsidR="00BC7E60" w:rsidRPr="00497178" w14:paraId="78EDD337"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E402B0B"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A100005 Financiranje predstavničkih i izvršnih tijela</w:t>
            </w:r>
          </w:p>
        </w:tc>
        <w:tc>
          <w:tcPr>
            <w:tcW w:w="1307" w:type="dxa"/>
            <w:tcBorders>
              <w:top w:val="nil"/>
              <w:left w:val="nil"/>
              <w:bottom w:val="single" w:sz="4" w:space="0" w:color="auto"/>
              <w:right w:val="single" w:sz="4" w:space="0" w:color="auto"/>
            </w:tcBorders>
            <w:shd w:val="clear" w:color="000000" w:fill="FFFFFF"/>
            <w:noWrap/>
            <w:vAlign w:val="bottom"/>
            <w:hideMark/>
          </w:tcPr>
          <w:p w14:paraId="0EC02F3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18.200,00</w:t>
            </w:r>
          </w:p>
        </w:tc>
        <w:tc>
          <w:tcPr>
            <w:tcW w:w="1123" w:type="dxa"/>
            <w:tcBorders>
              <w:top w:val="nil"/>
              <w:left w:val="nil"/>
              <w:bottom w:val="single" w:sz="4" w:space="0" w:color="auto"/>
              <w:right w:val="single" w:sz="4" w:space="0" w:color="auto"/>
            </w:tcBorders>
            <w:shd w:val="clear" w:color="000000" w:fill="FFFFFF"/>
            <w:noWrap/>
            <w:vAlign w:val="bottom"/>
            <w:hideMark/>
          </w:tcPr>
          <w:p w14:paraId="7DE14D1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900,00</w:t>
            </w:r>
          </w:p>
        </w:tc>
        <w:tc>
          <w:tcPr>
            <w:tcW w:w="1123" w:type="dxa"/>
            <w:tcBorders>
              <w:top w:val="nil"/>
              <w:left w:val="nil"/>
              <w:bottom w:val="single" w:sz="4" w:space="0" w:color="auto"/>
              <w:right w:val="single" w:sz="4" w:space="0" w:color="auto"/>
            </w:tcBorders>
            <w:shd w:val="clear" w:color="000000" w:fill="FFFFFF"/>
            <w:noWrap/>
            <w:vAlign w:val="bottom"/>
            <w:hideMark/>
          </w:tcPr>
          <w:p w14:paraId="475756F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4,95</w:t>
            </w:r>
          </w:p>
        </w:tc>
        <w:tc>
          <w:tcPr>
            <w:tcW w:w="1240" w:type="dxa"/>
            <w:tcBorders>
              <w:top w:val="nil"/>
              <w:left w:val="nil"/>
              <w:bottom w:val="single" w:sz="4" w:space="0" w:color="auto"/>
              <w:right w:val="single" w:sz="4" w:space="0" w:color="auto"/>
            </w:tcBorders>
            <w:shd w:val="clear" w:color="000000" w:fill="FFFFFF"/>
            <w:noWrap/>
            <w:vAlign w:val="bottom"/>
            <w:hideMark/>
          </w:tcPr>
          <w:p w14:paraId="7CAFA22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19.100,00</w:t>
            </w:r>
          </w:p>
        </w:tc>
      </w:tr>
      <w:tr w:rsidR="00BC7E60" w:rsidRPr="00497178" w14:paraId="301F9423"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6CCE5C8"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A100006 Financiranje političkih stranaka</w:t>
            </w:r>
          </w:p>
        </w:tc>
        <w:tc>
          <w:tcPr>
            <w:tcW w:w="1307" w:type="dxa"/>
            <w:tcBorders>
              <w:top w:val="nil"/>
              <w:left w:val="nil"/>
              <w:bottom w:val="single" w:sz="4" w:space="0" w:color="auto"/>
              <w:right w:val="single" w:sz="4" w:space="0" w:color="auto"/>
            </w:tcBorders>
            <w:shd w:val="clear" w:color="000000" w:fill="FFFFFF"/>
            <w:noWrap/>
            <w:vAlign w:val="bottom"/>
            <w:hideMark/>
          </w:tcPr>
          <w:p w14:paraId="0D980CC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18.000,00</w:t>
            </w:r>
          </w:p>
        </w:tc>
        <w:tc>
          <w:tcPr>
            <w:tcW w:w="1123" w:type="dxa"/>
            <w:tcBorders>
              <w:top w:val="nil"/>
              <w:left w:val="nil"/>
              <w:bottom w:val="single" w:sz="4" w:space="0" w:color="auto"/>
              <w:right w:val="single" w:sz="4" w:space="0" w:color="auto"/>
            </w:tcBorders>
            <w:shd w:val="clear" w:color="000000" w:fill="FFFFFF"/>
            <w:noWrap/>
            <w:vAlign w:val="bottom"/>
            <w:hideMark/>
          </w:tcPr>
          <w:p w14:paraId="1D2F60C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-2.748,00</w:t>
            </w:r>
          </w:p>
        </w:tc>
        <w:tc>
          <w:tcPr>
            <w:tcW w:w="1123" w:type="dxa"/>
            <w:tcBorders>
              <w:top w:val="nil"/>
              <w:left w:val="nil"/>
              <w:bottom w:val="single" w:sz="4" w:space="0" w:color="auto"/>
              <w:right w:val="single" w:sz="4" w:space="0" w:color="auto"/>
            </w:tcBorders>
            <w:shd w:val="clear" w:color="000000" w:fill="FFFFFF"/>
            <w:noWrap/>
            <w:vAlign w:val="bottom"/>
            <w:hideMark/>
          </w:tcPr>
          <w:p w14:paraId="3DA0590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-15,27</w:t>
            </w:r>
          </w:p>
        </w:tc>
        <w:tc>
          <w:tcPr>
            <w:tcW w:w="1240" w:type="dxa"/>
            <w:tcBorders>
              <w:top w:val="nil"/>
              <w:left w:val="nil"/>
              <w:bottom w:val="single" w:sz="4" w:space="0" w:color="auto"/>
              <w:right w:val="single" w:sz="4" w:space="0" w:color="auto"/>
            </w:tcBorders>
            <w:shd w:val="clear" w:color="000000" w:fill="FFFFFF"/>
            <w:noWrap/>
            <w:vAlign w:val="bottom"/>
            <w:hideMark/>
          </w:tcPr>
          <w:p w14:paraId="4B845E3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15.252,00</w:t>
            </w:r>
          </w:p>
        </w:tc>
      </w:tr>
      <w:tr w:rsidR="00BC7E60" w:rsidRPr="00497178" w14:paraId="149563B1"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682DDFA"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A100007 Nagrade grada Labina</w:t>
            </w:r>
          </w:p>
        </w:tc>
        <w:tc>
          <w:tcPr>
            <w:tcW w:w="1307" w:type="dxa"/>
            <w:tcBorders>
              <w:top w:val="nil"/>
              <w:left w:val="nil"/>
              <w:bottom w:val="single" w:sz="4" w:space="0" w:color="auto"/>
              <w:right w:val="single" w:sz="4" w:space="0" w:color="auto"/>
            </w:tcBorders>
            <w:shd w:val="clear" w:color="000000" w:fill="FFFFFF"/>
            <w:noWrap/>
            <w:vAlign w:val="bottom"/>
            <w:hideMark/>
          </w:tcPr>
          <w:p w14:paraId="258AA2C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6.600,00</w:t>
            </w:r>
          </w:p>
        </w:tc>
        <w:tc>
          <w:tcPr>
            <w:tcW w:w="1123" w:type="dxa"/>
            <w:tcBorders>
              <w:top w:val="nil"/>
              <w:left w:val="nil"/>
              <w:bottom w:val="single" w:sz="4" w:space="0" w:color="auto"/>
              <w:right w:val="single" w:sz="4" w:space="0" w:color="auto"/>
            </w:tcBorders>
            <w:shd w:val="clear" w:color="000000" w:fill="FFFFFF"/>
            <w:noWrap/>
            <w:vAlign w:val="bottom"/>
            <w:hideMark/>
          </w:tcPr>
          <w:p w14:paraId="52946A4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-5.600,00</w:t>
            </w:r>
          </w:p>
        </w:tc>
        <w:tc>
          <w:tcPr>
            <w:tcW w:w="1123" w:type="dxa"/>
            <w:tcBorders>
              <w:top w:val="nil"/>
              <w:left w:val="nil"/>
              <w:bottom w:val="single" w:sz="4" w:space="0" w:color="auto"/>
              <w:right w:val="single" w:sz="4" w:space="0" w:color="auto"/>
            </w:tcBorders>
            <w:shd w:val="clear" w:color="000000" w:fill="FFFFFF"/>
            <w:noWrap/>
            <w:vAlign w:val="bottom"/>
            <w:hideMark/>
          </w:tcPr>
          <w:p w14:paraId="22BE6E3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-84,85</w:t>
            </w:r>
          </w:p>
        </w:tc>
        <w:tc>
          <w:tcPr>
            <w:tcW w:w="1240" w:type="dxa"/>
            <w:tcBorders>
              <w:top w:val="nil"/>
              <w:left w:val="nil"/>
              <w:bottom w:val="single" w:sz="4" w:space="0" w:color="auto"/>
              <w:right w:val="single" w:sz="4" w:space="0" w:color="auto"/>
            </w:tcBorders>
            <w:shd w:val="clear" w:color="000000" w:fill="FFFFFF"/>
            <w:noWrap/>
            <w:vAlign w:val="bottom"/>
            <w:hideMark/>
          </w:tcPr>
          <w:p w14:paraId="7E977CA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1.000,00</w:t>
            </w:r>
          </w:p>
        </w:tc>
      </w:tr>
      <w:tr w:rsidR="00BC7E60" w:rsidRPr="00497178" w14:paraId="548E69E2"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21E351F"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A100008 Savjet mladih grada Labina</w:t>
            </w:r>
          </w:p>
        </w:tc>
        <w:tc>
          <w:tcPr>
            <w:tcW w:w="1307" w:type="dxa"/>
            <w:tcBorders>
              <w:top w:val="nil"/>
              <w:left w:val="nil"/>
              <w:bottom w:val="single" w:sz="4" w:space="0" w:color="auto"/>
              <w:right w:val="single" w:sz="4" w:space="0" w:color="auto"/>
            </w:tcBorders>
            <w:shd w:val="clear" w:color="000000" w:fill="FFFFFF"/>
            <w:noWrap/>
            <w:vAlign w:val="bottom"/>
            <w:hideMark/>
          </w:tcPr>
          <w:p w14:paraId="1BE8CC7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4.000,00</w:t>
            </w:r>
          </w:p>
        </w:tc>
        <w:tc>
          <w:tcPr>
            <w:tcW w:w="1123" w:type="dxa"/>
            <w:tcBorders>
              <w:top w:val="nil"/>
              <w:left w:val="nil"/>
              <w:bottom w:val="single" w:sz="4" w:space="0" w:color="auto"/>
              <w:right w:val="single" w:sz="4" w:space="0" w:color="auto"/>
            </w:tcBorders>
            <w:shd w:val="clear" w:color="000000" w:fill="FFFFFF"/>
            <w:noWrap/>
            <w:vAlign w:val="bottom"/>
            <w:hideMark/>
          </w:tcPr>
          <w:p w14:paraId="4CF8C1C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7E2ED33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56AFD9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4.000,00</w:t>
            </w:r>
          </w:p>
        </w:tc>
      </w:tr>
      <w:tr w:rsidR="00BC7E60" w:rsidRPr="00497178" w14:paraId="255C31E0"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680E481"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A100009 Izbori</w:t>
            </w:r>
          </w:p>
        </w:tc>
        <w:tc>
          <w:tcPr>
            <w:tcW w:w="1307" w:type="dxa"/>
            <w:tcBorders>
              <w:top w:val="nil"/>
              <w:left w:val="nil"/>
              <w:bottom w:val="single" w:sz="4" w:space="0" w:color="auto"/>
              <w:right w:val="single" w:sz="4" w:space="0" w:color="auto"/>
            </w:tcBorders>
            <w:shd w:val="clear" w:color="000000" w:fill="FFFFFF"/>
            <w:noWrap/>
            <w:vAlign w:val="bottom"/>
            <w:hideMark/>
          </w:tcPr>
          <w:p w14:paraId="49CB2E2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15.200,00</w:t>
            </w:r>
          </w:p>
        </w:tc>
        <w:tc>
          <w:tcPr>
            <w:tcW w:w="1123" w:type="dxa"/>
            <w:tcBorders>
              <w:top w:val="nil"/>
              <w:left w:val="nil"/>
              <w:bottom w:val="single" w:sz="4" w:space="0" w:color="auto"/>
              <w:right w:val="single" w:sz="4" w:space="0" w:color="auto"/>
            </w:tcBorders>
            <w:shd w:val="clear" w:color="000000" w:fill="FFFFFF"/>
            <w:noWrap/>
            <w:vAlign w:val="bottom"/>
            <w:hideMark/>
          </w:tcPr>
          <w:p w14:paraId="12B6BA2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39.594,00</w:t>
            </w:r>
          </w:p>
        </w:tc>
        <w:tc>
          <w:tcPr>
            <w:tcW w:w="1123" w:type="dxa"/>
            <w:tcBorders>
              <w:top w:val="nil"/>
              <w:left w:val="nil"/>
              <w:bottom w:val="single" w:sz="4" w:space="0" w:color="auto"/>
              <w:right w:val="single" w:sz="4" w:space="0" w:color="auto"/>
            </w:tcBorders>
            <w:shd w:val="clear" w:color="000000" w:fill="FFFFFF"/>
            <w:noWrap/>
            <w:vAlign w:val="bottom"/>
            <w:hideMark/>
          </w:tcPr>
          <w:p w14:paraId="070F58A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260,49</w:t>
            </w:r>
          </w:p>
        </w:tc>
        <w:tc>
          <w:tcPr>
            <w:tcW w:w="1240" w:type="dxa"/>
            <w:tcBorders>
              <w:top w:val="nil"/>
              <w:left w:val="nil"/>
              <w:bottom w:val="single" w:sz="4" w:space="0" w:color="auto"/>
              <w:right w:val="single" w:sz="4" w:space="0" w:color="auto"/>
            </w:tcBorders>
            <w:shd w:val="clear" w:color="000000" w:fill="FFFFFF"/>
            <w:noWrap/>
            <w:vAlign w:val="bottom"/>
            <w:hideMark/>
          </w:tcPr>
          <w:p w14:paraId="72C9089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54.794,00</w:t>
            </w:r>
          </w:p>
        </w:tc>
      </w:tr>
      <w:tr w:rsidR="00BC7E60" w:rsidRPr="00497178" w14:paraId="0F89B6B5"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CF212C0" w14:textId="77777777" w:rsidR="00BC7E60" w:rsidRPr="00497178" w:rsidRDefault="00BC7E60" w:rsidP="00512D52">
            <w:pPr>
              <w:rPr>
                <w:rFonts w:ascii="Arial" w:hAnsi="Arial" w:cs="Arial"/>
                <w:sz w:val="16"/>
                <w:szCs w:val="16"/>
              </w:rPr>
            </w:pPr>
            <w:r w:rsidRPr="00497178">
              <w:rPr>
                <w:rFonts w:ascii="Arial" w:hAnsi="Arial" w:cs="Arial"/>
                <w:sz w:val="16"/>
                <w:szCs w:val="16"/>
              </w:rPr>
              <w:t>Kapitalni projekt K100001 Nabava dugotrajne imovine</w:t>
            </w:r>
          </w:p>
        </w:tc>
        <w:tc>
          <w:tcPr>
            <w:tcW w:w="1307" w:type="dxa"/>
            <w:tcBorders>
              <w:top w:val="nil"/>
              <w:left w:val="nil"/>
              <w:bottom w:val="single" w:sz="4" w:space="0" w:color="auto"/>
              <w:right w:val="single" w:sz="4" w:space="0" w:color="auto"/>
            </w:tcBorders>
            <w:shd w:val="clear" w:color="000000" w:fill="FFFFFF"/>
            <w:noWrap/>
            <w:vAlign w:val="bottom"/>
            <w:hideMark/>
          </w:tcPr>
          <w:p w14:paraId="4DC6285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98.100,00</w:t>
            </w:r>
          </w:p>
        </w:tc>
        <w:tc>
          <w:tcPr>
            <w:tcW w:w="1123" w:type="dxa"/>
            <w:tcBorders>
              <w:top w:val="nil"/>
              <w:left w:val="nil"/>
              <w:bottom w:val="single" w:sz="4" w:space="0" w:color="auto"/>
              <w:right w:val="single" w:sz="4" w:space="0" w:color="auto"/>
            </w:tcBorders>
            <w:shd w:val="clear" w:color="000000" w:fill="FFFFFF"/>
            <w:noWrap/>
            <w:vAlign w:val="bottom"/>
            <w:hideMark/>
          </w:tcPr>
          <w:p w14:paraId="460579B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10.700,00</w:t>
            </w:r>
          </w:p>
        </w:tc>
        <w:tc>
          <w:tcPr>
            <w:tcW w:w="1123" w:type="dxa"/>
            <w:tcBorders>
              <w:top w:val="nil"/>
              <w:left w:val="nil"/>
              <w:bottom w:val="single" w:sz="4" w:space="0" w:color="auto"/>
              <w:right w:val="single" w:sz="4" w:space="0" w:color="auto"/>
            </w:tcBorders>
            <w:shd w:val="clear" w:color="000000" w:fill="FFFFFF"/>
            <w:noWrap/>
            <w:vAlign w:val="bottom"/>
            <w:hideMark/>
          </w:tcPr>
          <w:p w14:paraId="5B1BA74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10,91</w:t>
            </w:r>
          </w:p>
        </w:tc>
        <w:tc>
          <w:tcPr>
            <w:tcW w:w="1240" w:type="dxa"/>
            <w:tcBorders>
              <w:top w:val="nil"/>
              <w:left w:val="nil"/>
              <w:bottom w:val="single" w:sz="4" w:space="0" w:color="auto"/>
              <w:right w:val="single" w:sz="4" w:space="0" w:color="auto"/>
            </w:tcBorders>
            <w:shd w:val="clear" w:color="000000" w:fill="FFFFFF"/>
            <w:noWrap/>
            <w:vAlign w:val="bottom"/>
            <w:hideMark/>
          </w:tcPr>
          <w:p w14:paraId="4EEDB01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108.800,00</w:t>
            </w:r>
          </w:p>
        </w:tc>
      </w:tr>
      <w:tr w:rsidR="00BC7E60" w:rsidRPr="00497178" w14:paraId="64A3C5AA"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3132E864" w14:textId="77777777" w:rsidR="00BC7E60" w:rsidRPr="00497178" w:rsidRDefault="00BC7E60" w:rsidP="00512D52">
            <w:pPr>
              <w:rPr>
                <w:rFonts w:ascii="Arial" w:hAnsi="Arial" w:cs="Arial"/>
                <w:sz w:val="16"/>
                <w:szCs w:val="16"/>
              </w:rPr>
            </w:pPr>
            <w:r w:rsidRPr="00497178">
              <w:rPr>
                <w:rFonts w:ascii="Arial" w:hAnsi="Arial" w:cs="Arial"/>
                <w:sz w:val="16"/>
                <w:szCs w:val="16"/>
              </w:rPr>
              <w:t>Kapitalni projekt K100002 E-grad</w:t>
            </w:r>
          </w:p>
        </w:tc>
        <w:tc>
          <w:tcPr>
            <w:tcW w:w="1307" w:type="dxa"/>
            <w:tcBorders>
              <w:top w:val="nil"/>
              <w:left w:val="nil"/>
              <w:bottom w:val="single" w:sz="4" w:space="0" w:color="auto"/>
              <w:right w:val="single" w:sz="4" w:space="0" w:color="auto"/>
            </w:tcBorders>
            <w:shd w:val="clear" w:color="000000" w:fill="FFFFFF"/>
            <w:noWrap/>
            <w:vAlign w:val="bottom"/>
            <w:hideMark/>
          </w:tcPr>
          <w:p w14:paraId="090A055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2.500,00</w:t>
            </w:r>
          </w:p>
        </w:tc>
        <w:tc>
          <w:tcPr>
            <w:tcW w:w="1123" w:type="dxa"/>
            <w:tcBorders>
              <w:top w:val="nil"/>
              <w:left w:val="nil"/>
              <w:bottom w:val="single" w:sz="4" w:space="0" w:color="auto"/>
              <w:right w:val="single" w:sz="4" w:space="0" w:color="auto"/>
            </w:tcBorders>
            <w:shd w:val="clear" w:color="000000" w:fill="FFFFFF"/>
            <w:noWrap/>
            <w:vAlign w:val="bottom"/>
            <w:hideMark/>
          </w:tcPr>
          <w:p w14:paraId="607CB41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2B1611D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8B6B75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2.500,00</w:t>
            </w:r>
          </w:p>
        </w:tc>
      </w:tr>
      <w:tr w:rsidR="00BC7E60" w:rsidRPr="00497178" w14:paraId="2A2906D9"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9E2F4C7"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1002 Mjesna samouprava</w:t>
            </w:r>
          </w:p>
        </w:tc>
        <w:tc>
          <w:tcPr>
            <w:tcW w:w="1307" w:type="dxa"/>
            <w:tcBorders>
              <w:top w:val="nil"/>
              <w:left w:val="nil"/>
              <w:bottom w:val="single" w:sz="4" w:space="0" w:color="auto"/>
              <w:right w:val="single" w:sz="4" w:space="0" w:color="auto"/>
            </w:tcBorders>
            <w:shd w:val="clear" w:color="000000" w:fill="FFFFFF"/>
            <w:noWrap/>
            <w:vAlign w:val="bottom"/>
            <w:hideMark/>
          </w:tcPr>
          <w:p w14:paraId="12D57753"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4.900,00</w:t>
            </w:r>
          </w:p>
        </w:tc>
        <w:tc>
          <w:tcPr>
            <w:tcW w:w="1123" w:type="dxa"/>
            <w:tcBorders>
              <w:top w:val="nil"/>
              <w:left w:val="nil"/>
              <w:bottom w:val="single" w:sz="4" w:space="0" w:color="auto"/>
              <w:right w:val="single" w:sz="4" w:space="0" w:color="auto"/>
            </w:tcBorders>
            <w:shd w:val="clear" w:color="000000" w:fill="FFFFFF"/>
            <w:noWrap/>
            <w:vAlign w:val="bottom"/>
            <w:hideMark/>
          </w:tcPr>
          <w:p w14:paraId="224F568A"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58B7A620"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86D0A18"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4.900,00</w:t>
            </w:r>
          </w:p>
        </w:tc>
      </w:tr>
      <w:tr w:rsidR="00BC7E60" w:rsidRPr="00497178" w14:paraId="0F70DA62"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2F87B4B"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A100001 Financiranje mjesnog odbora Gornji Labin</w:t>
            </w:r>
          </w:p>
        </w:tc>
        <w:tc>
          <w:tcPr>
            <w:tcW w:w="1307" w:type="dxa"/>
            <w:tcBorders>
              <w:top w:val="nil"/>
              <w:left w:val="nil"/>
              <w:bottom w:val="single" w:sz="4" w:space="0" w:color="auto"/>
              <w:right w:val="single" w:sz="4" w:space="0" w:color="auto"/>
            </w:tcBorders>
            <w:shd w:val="clear" w:color="000000" w:fill="FFFFFF"/>
            <w:noWrap/>
            <w:vAlign w:val="bottom"/>
            <w:hideMark/>
          </w:tcPr>
          <w:p w14:paraId="119E922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700,00</w:t>
            </w:r>
          </w:p>
        </w:tc>
        <w:tc>
          <w:tcPr>
            <w:tcW w:w="1123" w:type="dxa"/>
            <w:tcBorders>
              <w:top w:val="nil"/>
              <w:left w:val="nil"/>
              <w:bottom w:val="single" w:sz="4" w:space="0" w:color="auto"/>
              <w:right w:val="single" w:sz="4" w:space="0" w:color="auto"/>
            </w:tcBorders>
            <w:shd w:val="clear" w:color="000000" w:fill="FFFFFF"/>
            <w:noWrap/>
            <w:vAlign w:val="bottom"/>
            <w:hideMark/>
          </w:tcPr>
          <w:p w14:paraId="0B5A054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1789C2E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B07A5D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700,00</w:t>
            </w:r>
          </w:p>
        </w:tc>
      </w:tr>
      <w:tr w:rsidR="00BC7E60" w:rsidRPr="00497178" w14:paraId="40931E7B"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7768F74"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Aktivnost A100002 Financiranje mjesnog odbora </w:t>
            </w:r>
            <w:proofErr w:type="spellStart"/>
            <w:r w:rsidRPr="00497178">
              <w:rPr>
                <w:rFonts w:ascii="Arial" w:hAnsi="Arial" w:cs="Arial"/>
                <w:sz w:val="16"/>
                <w:szCs w:val="16"/>
              </w:rPr>
              <w:t>Vinež</w:t>
            </w:r>
            <w:proofErr w:type="spellEnd"/>
          </w:p>
        </w:tc>
        <w:tc>
          <w:tcPr>
            <w:tcW w:w="1307" w:type="dxa"/>
            <w:tcBorders>
              <w:top w:val="nil"/>
              <w:left w:val="nil"/>
              <w:bottom w:val="single" w:sz="4" w:space="0" w:color="auto"/>
              <w:right w:val="single" w:sz="4" w:space="0" w:color="auto"/>
            </w:tcBorders>
            <w:shd w:val="clear" w:color="000000" w:fill="FFFFFF"/>
            <w:noWrap/>
            <w:vAlign w:val="bottom"/>
            <w:hideMark/>
          </w:tcPr>
          <w:p w14:paraId="1A6A5BA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700,00</w:t>
            </w:r>
          </w:p>
        </w:tc>
        <w:tc>
          <w:tcPr>
            <w:tcW w:w="1123" w:type="dxa"/>
            <w:tcBorders>
              <w:top w:val="nil"/>
              <w:left w:val="nil"/>
              <w:bottom w:val="single" w:sz="4" w:space="0" w:color="auto"/>
              <w:right w:val="single" w:sz="4" w:space="0" w:color="auto"/>
            </w:tcBorders>
            <w:shd w:val="clear" w:color="000000" w:fill="FFFFFF"/>
            <w:noWrap/>
            <w:vAlign w:val="bottom"/>
            <w:hideMark/>
          </w:tcPr>
          <w:p w14:paraId="7D4A57D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281925A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7C6616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700,00</w:t>
            </w:r>
          </w:p>
        </w:tc>
      </w:tr>
      <w:tr w:rsidR="00BC7E60" w:rsidRPr="00497178" w14:paraId="4C572ED8"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70536C3"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Aktivnost A100003 Financiranje mjesnog odbora </w:t>
            </w:r>
            <w:proofErr w:type="spellStart"/>
            <w:r w:rsidRPr="00497178">
              <w:rPr>
                <w:rFonts w:ascii="Arial" w:hAnsi="Arial" w:cs="Arial"/>
                <w:sz w:val="16"/>
                <w:szCs w:val="16"/>
              </w:rPr>
              <w:t>Kature</w:t>
            </w:r>
            <w:proofErr w:type="spellEnd"/>
          </w:p>
        </w:tc>
        <w:tc>
          <w:tcPr>
            <w:tcW w:w="1307" w:type="dxa"/>
            <w:tcBorders>
              <w:top w:val="nil"/>
              <w:left w:val="nil"/>
              <w:bottom w:val="single" w:sz="4" w:space="0" w:color="auto"/>
              <w:right w:val="single" w:sz="4" w:space="0" w:color="auto"/>
            </w:tcBorders>
            <w:shd w:val="clear" w:color="000000" w:fill="FFFFFF"/>
            <w:noWrap/>
            <w:vAlign w:val="bottom"/>
            <w:hideMark/>
          </w:tcPr>
          <w:p w14:paraId="4E12CE2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700,00</w:t>
            </w:r>
          </w:p>
        </w:tc>
        <w:tc>
          <w:tcPr>
            <w:tcW w:w="1123" w:type="dxa"/>
            <w:tcBorders>
              <w:top w:val="nil"/>
              <w:left w:val="nil"/>
              <w:bottom w:val="single" w:sz="4" w:space="0" w:color="auto"/>
              <w:right w:val="single" w:sz="4" w:space="0" w:color="auto"/>
            </w:tcBorders>
            <w:shd w:val="clear" w:color="000000" w:fill="FFFFFF"/>
            <w:noWrap/>
            <w:vAlign w:val="bottom"/>
            <w:hideMark/>
          </w:tcPr>
          <w:p w14:paraId="427A820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70DC4A8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E23BEA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700,00</w:t>
            </w:r>
          </w:p>
        </w:tc>
      </w:tr>
      <w:tr w:rsidR="00BC7E60" w:rsidRPr="00497178" w14:paraId="123E2FA5"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7ACE431"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Aktivnost A100004 Financiranje mjesnog odbora </w:t>
            </w:r>
            <w:proofErr w:type="spellStart"/>
            <w:r w:rsidRPr="00497178">
              <w:rPr>
                <w:rFonts w:ascii="Arial" w:hAnsi="Arial" w:cs="Arial"/>
                <w:sz w:val="16"/>
                <w:szCs w:val="16"/>
              </w:rPr>
              <w:t>Ripenda</w:t>
            </w:r>
            <w:proofErr w:type="spellEnd"/>
          </w:p>
        </w:tc>
        <w:tc>
          <w:tcPr>
            <w:tcW w:w="1307" w:type="dxa"/>
            <w:tcBorders>
              <w:top w:val="nil"/>
              <w:left w:val="nil"/>
              <w:bottom w:val="single" w:sz="4" w:space="0" w:color="auto"/>
              <w:right w:val="single" w:sz="4" w:space="0" w:color="auto"/>
            </w:tcBorders>
            <w:shd w:val="clear" w:color="000000" w:fill="FFFFFF"/>
            <w:noWrap/>
            <w:vAlign w:val="bottom"/>
            <w:hideMark/>
          </w:tcPr>
          <w:p w14:paraId="4EBB0FD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700,00</w:t>
            </w:r>
          </w:p>
        </w:tc>
        <w:tc>
          <w:tcPr>
            <w:tcW w:w="1123" w:type="dxa"/>
            <w:tcBorders>
              <w:top w:val="nil"/>
              <w:left w:val="nil"/>
              <w:bottom w:val="single" w:sz="4" w:space="0" w:color="auto"/>
              <w:right w:val="single" w:sz="4" w:space="0" w:color="auto"/>
            </w:tcBorders>
            <w:shd w:val="clear" w:color="000000" w:fill="FFFFFF"/>
            <w:noWrap/>
            <w:vAlign w:val="bottom"/>
            <w:hideMark/>
          </w:tcPr>
          <w:p w14:paraId="795B24A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389A4FC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2F3137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700,00</w:t>
            </w:r>
          </w:p>
        </w:tc>
      </w:tr>
      <w:tr w:rsidR="00BC7E60" w:rsidRPr="00497178" w14:paraId="6802F444"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6B692FF"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A100005 Financiranje mjesnog odbora Rabac</w:t>
            </w:r>
          </w:p>
        </w:tc>
        <w:tc>
          <w:tcPr>
            <w:tcW w:w="1307" w:type="dxa"/>
            <w:tcBorders>
              <w:top w:val="nil"/>
              <w:left w:val="nil"/>
              <w:bottom w:val="single" w:sz="4" w:space="0" w:color="auto"/>
              <w:right w:val="single" w:sz="4" w:space="0" w:color="auto"/>
            </w:tcBorders>
            <w:shd w:val="clear" w:color="000000" w:fill="FFFFFF"/>
            <w:noWrap/>
            <w:vAlign w:val="bottom"/>
            <w:hideMark/>
          </w:tcPr>
          <w:p w14:paraId="55323A7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700,00</w:t>
            </w:r>
          </w:p>
        </w:tc>
        <w:tc>
          <w:tcPr>
            <w:tcW w:w="1123" w:type="dxa"/>
            <w:tcBorders>
              <w:top w:val="nil"/>
              <w:left w:val="nil"/>
              <w:bottom w:val="single" w:sz="4" w:space="0" w:color="auto"/>
              <w:right w:val="single" w:sz="4" w:space="0" w:color="auto"/>
            </w:tcBorders>
            <w:shd w:val="clear" w:color="000000" w:fill="FFFFFF"/>
            <w:noWrap/>
            <w:vAlign w:val="bottom"/>
            <w:hideMark/>
          </w:tcPr>
          <w:p w14:paraId="02F9F4E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4A35C7B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C3BAA5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700,00</w:t>
            </w:r>
          </w:p>
        </w:tc>
      </w:tr>
      <w:tr w:rsidR="00BC7E60" w:rsidRPr="00497178" w14:paraId="10017305"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461D009"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A100006 Financiranje mjesnog odbora Donji Labin</w:t>
            </w:r>
          </w:p>
        </w:tc>
        <w:tc>
          <w:tcPr>
            <w:tcW w:w="1307" w:type="dxa"/>
            <w:tcBorders>
              <w:top w:val="nil"/>
              <w:left w:val="nil"/>
              <w:bottom w:val="single" w:sz="4" w:space="0" w:color="auto"/>
              <w:right w:val="single" w:sz="4" w:space="0" w:color="auto"/>
            </w:tcBorders>
            <w:shd w:val="clear" w:color="000000" w:fill="FFFFFF"/>
            <w:noWrap/>
            <w:vAlign w:val="bottom"/>
            <w:hideMark/>
          </w:tcPr>
          <w:p w14:paraId="4776C25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700,00</w:t>
            </w:r>
          </w:p>
        </w:tc>
        <w:tc>
          <w:tcPr>
            <w:tcW w:w="1123" w:type="dxa"/>
            <w:tcBorders>
              <w:top w:val="nil"/>
              <w:left w:val="nil"/>
              <w:bottom w:val="single" w:sz="4" w:space="0" w:color="auto"/>
              <w:right w:val="single" w:sz="4" w:space="0" w:color="auto"/>
            </w:tcBorders>
            <w:shd w:val="clear" w:color="000000" w:fill="FFFFFF"/>
            <w:noWrap/>
            <w:vAlign w:val="bottom"/>
            <w:hideMark/>
          </w:tcPr>
          <w:p w14:paraId="320B1C2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6F4346F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305C92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700,00</w:t>
            </w:r>
          </w:p>
        </w:tc>
      </w:tr>
      <w:tr w:rsidR="00BC7E60" w:rsidRPr="00497178" w14:paraId="253748DB"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22A6489C"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A100007 Financiranje mjesnog odbora Kapelica</w:t>
            </w:r>
          </w:p>
        </w:tc>
        <w:tc>
          <w:tcPr>
            <w:tcW w:w="1307" w:type="dxa"/>
            <w:tcBorders>
              <w:top w:val="nil"/>
              <w:left w:val="nil"/>
              <w:bottom w:val="single" w:sz="4" w:space="0" w:color="auto"/>
              <w:right w:val="single" w:sz="4" w:space="0" w:color="auto"/>
            </w:tcBorders>
            <w:shd w:val="clear" w:color="000000" w:fill="FFFFFF"/>
            <w:noWrap/>
            <w:vAlign w:val="bottom"/>
            <w:hideMark/>
          </w:tcPr>
          <w:p w14:paraId="603C3F3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700,00</w:t>
            </w:r>
          </w:p>
        </w:tc>
        <w:tc>
          <w:tcPr>
            <w:tcW w:w="1123" w:type="dxa"/>
            <w:tcBorders>
              <w:top w:val="nil"/>
              <w:left w:val="nil"/>
              <w:bottom w:val="single" w:sz="4" w:space="0" w:color="auto"/>
              <w:right w:val="single" w:sz="4" w:space="0" w:color="auto"/>
            </w:tcBorders>
            <w:shd w:val="clear" w:color="000000" w:fill="FFFFFF"/>
            <w:noWrap/>
            <w:vAlign w:val="bottom"/>
            <w:hideMark/>
          </w:tcPr>
          <w:p w14:paraId="02522A2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2528CA3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8E2F0A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700,00</w:t>
            </w:r>
          </w:p>
        </w:tc>
      </w:tr>
      <w:tr w:rsidR="00BC7E60" w:rsidRPr="00497178" w14:paraId="441E98F7"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4F2BBA5"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1003 Organiziranje i provođenje zaštite i spašavanja</w:t>
            </w:r>
          </w:p>
        </w:tc>
        <w:tc>
          <w:tcPr>
            <w:tcW w:w="1307" w:type="dxa"/>
            <w:tcBorders>
              <w:top w:val="nil"/>
              <w:left w:val="nil"/>
              <w:bottom w:val="single" w:sz="4" w:space="0" w:color="auto"/>
              <w:right w:val="single" w:sz="4" w:space="0" w:color="auto"/>
            </w:tcBorders>
            <w:shd w:val="clear" w:color="000000" w:fill="FFFFFF"/>
            <w:noWrap/>
            <w:vAlign w:val="bottom"/>
            <w:hideMark/>
          </w:tcPr>
          <w:p w14:paraId="7F158AB8"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74.982,00</w:t>
            </w:r>
          </w:p>
        </w:tc>
        <w:tc>
          <w:tcPr>
            <w:tcW w:w="1123" w:type="dxa"/>
            <w:tcBorders>
              <w:top w:val="nil"/>
              <w:left w:val="nil"/>
              <w:bottom w:val="single" w:sz="4" w:space="0" w:color="auto"/>
              <w:right w:val="single" w:sz="4" w:space="0" w:color="auto"/>
            </w:tcBorders>
            <w:shd w:val="clear" w:color="000000" w:fill="FFFFFF"/>
            <w:noWrap/>
            <w:vAlign w:val="bottom"/>
            <w:hideMark/>
          </w:tcPr>
          <w:p w14:paraId="7877B69E"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23A5BC51"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8363F14"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74.982,00</w:t>
            </w:r>
          </w:p>
        </w:tc>
      </w:tr>
      <w:tr w:rsidR="00BC7E60" w:rsidRPr="00497178" w14:paraId="0CB20E30"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4DF0622"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A100001 Civilna zaštita</w:t>
            </w:r>
          </w:p>
        </w:tc>
        <w:tc>
          <w:tcPr>
            <w:tcW w:w="1307" w:type="dxa"/>
            <w:tcBorders>
              <w:top w:val="nil"/>
              <w:left w:val="nil"/>
              <w:bottom w:val="single" w:sz="4" w:space="0" w:color="auto"/>
              <w:right w:val="single" w:sz="4" w:space="0" w:color="auto"/>
            </w:tcBorders>
            <w:shd w:val="clear" w:color="000000" w:fill="FFFFFF"/>
            <w:noWrap/>
            <w:vAlign w:val="bottom"/>
            <w:hideMark/>
          </w:tcPr>
          <w:p w14:paraId="5AFB2E5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7.000,00</w:t>
            </w:r>
          </w:p>
        </w:tc>
        <w:tc>
          <w:tcPr>
            <w:tcW w:w="1123" w:type="dxa"/>
            <w:tcBorders>
              <w:top w:val="nil"/>
              <w:left w:val="nil"/>
              <w:bottom w:val="single" w:sz="4" w:space="0" w:color="auto"/>
              <w:right w:val="single" w:sz="4" w:space="0" w:color="auto"/>
            </w:tcBorders>
            <w:shd w:val="clear" w:color="000000" w:fill="FFFFFF"/>
            <w:noWrap/>
            <w:vAlign w:val="bottom"/>
            <w:hideMark/>
          </w:tcPr>
          <w:p w14:paraId="712E110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0F502DA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1F55B0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7.000,00</w:t>
            </w:r>
          </w:p>
        </w:tc>
      </w:tr>
      <w:tr w:rsidR="00BC7E60" w:rsidRPr="00497178" w14:paraId="385211F1"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25D6F778"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A100002 Financiranje Područne vatrogasne zajednice Labin</w:t>
            </w:r>
          </w:p>
        </w:tc>
        <w:tc>
          <w:tcPr>
            <w:tcW w:w="1307" w:type="dxa"/>
            <w:tcBorders>
              <w:top w:val="nil"/>
              <w:left w:val="nil"/>
              <w:bottom w:val="single" w:sz="4" w:space="0" w:color="auto"/>
              <w:right w:val="single" w:sz="4" w:space="0" w:color="auto"/>
            </w:tcBorders>
            <w:shd w:val="clear" w:color="000000" w:fill="FFFFFF"/>
            <w:noWrap/>
            <w:vAlign w:val="bottom"/>
            <w:hideMark/>
          </w:tcPr>
          <w:p w14:paraId="42E07AA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64.000,00</w:t>
            </w:r>
          </w:p>
        </w:tc>
        <w:tc>
          <w:tcPr>
            <w:tcW w:w="1123" w:type="dxa"/>
            <w:tcBorders>
              <w:top w:val="nil"/>
              <w:left w:val="nil"/>
              <w:bottom w:val="single" w:sz="4" w:space="0" w:color="auto"/>
              <w:right w:val="single" w:sz="4" w:space="0" w:color="auto"/>
            </w:tcBorders>
            <w:shd w:val="clear" w:color="000000" w:fill="FFFFFF"/>
            <w:noWrap/>
            <w:vAlign w:val="bottom"/>
            <w:hideMark/>
          </w:tcPr>
          <w:p w14:paraId="38CD49A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368E88D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5249AC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64.000,00</w:t>
            </w:r>
          </w:p>
        </w:tc>
      </w:tr>
      <w:tr w:rsidR="00BC7E60" w:rsidRPr="00497178" w14:paraId="7F61B8A6"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3F8721FE"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A100003 Financiranje dobrovoljnog vatrogastva</w:t>
            </w:r>
          </w:p>
        </w:tc>
        <w:tc>
          <w:tcPr>
            <w:tcW w:w="1307" w:type="dxa"/>
            <w:tcBorders>
              <w:top w:val="nil"/>
              <w:left w:val="nil"/>
              <w:bottom w:val="single" w:sz="4" w:space="0" w:color="auto"/>
              <w:right w:val="single" w:sz="4" w:space="0" w:color="auto"/>
            </w:tcBorders>
            <w:shd w:val="clear" w:color="000000" w:fill="FFFFFF"/>
            <w:noWrap/>
            <w:vAlign w:val="bottom"/>
            <w:hideMark/>
          </w:tcPr>
          <w:p w14:paraId="3E2FE62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3.982,00</w:t>
            </w:r>
          </w:p>
        </w:tc>
        <w:tc>
          <w:tcPr>
            <w:tcW w:w="1123" w:type="dxa"/>
            <w:tcBorders>
              <w:top w:val="nil"/>
              <w:left w:val="nil"/>
              <w:bottom w:val="single" w:sz="4" w:space="0" w:color="auto"/>
              <w:right w:val="single" w:sz="4" w:space="0" w:color="auto"/>
            </w:tcBorders>
            <w:shd w:val="clear" w:color="000000" w:fill="FFFFFF"/>
            <w:noWrap/>
            <w:vAlign w:val="bottom"/>
            <w:hideMark/>
          </w:tcPr>
          <w:p w14:paraId="4E9CB6E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6D210B1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7B2548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3.982,00</w:t>
            </w:r>
          </w:p>
        </w:tc>
      </w:tr>
      <w:tr w:rsidR="00BC7E60" w:rsidRPr="00497178" w14:paraId="559C868B"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2F5B0F0"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Glava 10002 VIJEĆA NACIONALNIH MANJINA</w:t>
            </w:r>
          </w:p>
        </w:tc>
        <w:tc>
          <w:tcPr>
            <w:tcW w:w="1307" w:type="dxa"/>
            <w:tcBorders>
              <w:top w:val="nil"/>
              <w:left w:val="nil"/>
              <w:bottom w:val="single" w:sz="4" w:space="0" w:color="auto"/>
              <w:right w:val="single" w:sz="4" w:space="0" w:color="auto"/>
            </w:tcBorders>
            <w:shd w:val="clear" w:color="000000" w:fill="FFFFFF"/>
            <w:noWrap/>
            <w:vAlign w:val="bottom"/>
            <w:hideMark/>
          </w:tcPr>
          <w:p w14:paraId="0691D21D"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34.100,00</w:t>
            </w:r>
          </w:p>
        </w:tc>
        <w:tc>
          <w:tcPr>
            <w:tcW w:w="1123" w:type="dxa"/>
            <w:tcBorders>
              <w:top w:val="nil"/>
              <w:left w:val="nil"/>
              <w:bottom w:val="single" w:sz="4" w:space="0" w:color="auto"/>
              <w:right w:val="single" w:sz="4" w:space="0" w:color="auto"/>
            </w:tcBorders>
            <w:shd w:val="clear" w:color="000000" w:fill="FFFFFF"/>
            <w:noWrap/>
            <w:vAlign w:val="bottom"/>
            <w:hideMark/>
          </w:tcPr>
          <w:p w14:paraId="23365DBB"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77B69570"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28FE6F8"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34.100,00</w:t>
            </w:r>
          </w:p>
        </w:tc>
      </w:tr>
      <w:tr w:rsidR="00BC7E60" w:rsidRPr="00497178" w14:paraId="72D4B14F"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0E26327"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Proračunski korisnik 45470 VIJEĆE BOŠNJAČKE NACIONALNE MANJINE U GRADU LABINU</w:t>
            </w:r>
          </w:p>
        </w:tc>
        <w:tc>
          <w:tcPr>
            <w:tcW w:w="1307" w:type="dxa"/>
            <w:tcBorders>
              <w:top w:val="nil"/>
              <w:left w:val="nil"/>
              <w:bottom w:val="single" w:sz="4" w:space="0" w:color="auto"/>
              <w:right w:val="single" w:sz="4" w:space="0" w:color="auto"/>
            </w:tcBorders>
            <w:shd w:val="clear" w:color="000000" w:fill="FFFFFF"/>
            <w:noWrap/>
            <w:vAlign w:val="bottom"/>
            <w:hideMark/>
          </w:tcPr>
          <w:p w14:paraId="3802B525"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14.100,00</w:t>
            </w:r>
          </w:p>
        </w:tc>
        <w:tc>
          <w:tcPr>
            <w:tcW w:w="1123" w:type="dxa"/>
            <w:tcBorders>
              <w:top w:val="nil"/>
              <w:left w:val="nil"/>
              <w:bottom w:val="single" w:sz="4" w:space="0" w:color="auto"/>
              <w:right w:val="single" w:sz="4" w:space="0" w:color="auto"/>
            </w:tcBorders>
            <w:shd w:val="clear" w:color="000000" w:fill="FFFFFF"/>
            <w:noWrap/>
            <w:vAlign w:val="bottom"/>
            <w:hideMark/>
          </w:tcPr>
          <w:p w14:paraId="5AEC2E85"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31C19B9A"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B7B4360"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14.100,00</w:t>
            </w:r>
          </w:p>
        </w:tc>
      </w:tr>
      <w:tr w:rsidR="00BC7E60" w:rsidRPr="00497178" w14:paraId="2D21DF2E"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4A31237"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1004 Zaštita prava nacionalnih manjina</w:t>
            </w:r>
          </w:p>
        </w:tc>
        <w:tc>
          <w:tcPr>
            <w:tcW w:w="1307" w:type="dxa"/>
            <w:tcBorders>
              <w:top w:val="nil"/>
              <w:left w:val="nil"/>
              <w:bottom w:val="single" w:sz="4" w:space="0" w:color="auto"/>
              <w:right w:val="single" w:sz="4" w:space="0" w:color="auto"/>
            </w:tcBorders>
            <w:shd w:val="clear" w:color="000000" w:fill="FFFFFF"/>
            <w:noWrap/>
            <w:vAlign w:val="bottom"/>
            <w:hideMark/>
          </w:tcPr>
          <w:p w14:paraId="5EFEC52F"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14.100,00</w:t>
            </w:r>
          </w:p>
        </w:tc>
        <w:tc>
          <w:tcPr>
            <w:tcW w:w="1123" w:type="dxa"/>
            <w:tcBorders>
              <w:top w:val="nil"/>
              <w:left w:val="nil"/>
              <w:bottom w:val="single" w:sz="4" w:space="0" w:color="auto"/>
              <w:right w:val="single" w:sz="4" w:space="0" w:color="auto"/>
            </w:tcBorders>
            <w:shd w:val="clear" w:color="000000" w:fill="FFFFFF"/>
            <w:noWrap/>
            <w:vAlign w:val="bottom"/>
            <w:hideMark/>
          </w:tcPr>
          <w:p w14:paraId="6EDF89EB"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10BAE127"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C5C547B"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14.100,00</w:t>
            </w:r>
          </w:p>
        </w:tc>
      </w:tr>
      <w:tr w:rsidR="00BC7E60" w:rsidRPr="00497178" w14:paraId="4B19C7CA"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77BC227"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A100001 Poslovi redovne djelatnosti nacionalnih manjina</w:t>
            </w:r>
          </w:p>
        </w:tc>
        <w:tc>
          <w:tcPr>
            <w:tcW w:w="1307" w:type="dxa"/>
            <w:tcBorders>
              <w:top w:val="nil"/>
              <w:left w:val="nil"/>
              <w:bottom w:val="single" w:sz="4" w:space="0" w:color="auto"/>
              <w:right w:val="single" w:sz="4" w:space="0" w:color="auto"/>
            </w:tcBorders>
            <w:shd w:val="clear" w:color="000000" w:fill="FFFFFF"/>
            <w:noWrap/>
            <w:vAlign w:val="bottom"/>
            <w:hideMark/>
          </w:tcPr>
          <w:p w14:paraId="31D40ED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14.100,00</w:t>
            </w:r>
          </w:p>
        </w:tc>
        <w:tc>
          <w:tcPr>
            <w:tcW w:w="1123" w:type="dxa"/>
            <w:tcBorders>
              <w:top w:val="nil"/>
              <w:left w:val="nil"/>
              <w:bottom w:val="single" w:sz="4" w:space="0" w:color="auto"/>
              <w:right w:val="single" w:sz="4" w:space="0" w:color="auto"/>
            </w:tcBorders>
            <w:shd w:val="clear" w:color="000000" w:fill="FFFFFF"/>
            <w:noWrap/>
            <w:vAlign w:val="bottom"/>
            <w:hideMark/>
          </w:tcPr>
          <w:p w14:paraId="2F4AECB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6867ACF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C63C8C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14.100,00</w:t>
            </w:r>
          </w:p>
        </w:tc>
      </w:tr>
      <w:tr w:rsidR="00BC7E60" w:rsidRPr="00497178" w14:paraId="41658415"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37128067"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lastRenderedPageBreak/>
              <w:t>Proračunski korisnik 46307 VIJEĆE TALIJANSKE NACIONALNE MANJINE U GRADU LABINU</w:t>
            </w:r>
          </w:p>
        </w:tc>
        <w:tc>
          <w:tcPr>
            <w:tcW w:w="1307" w:type="dxa"/>
            <w:tcBorders>
              <w:top w:val="nil"/>
              <w:left w:val="nil"/>
              <w:bottom w:val="single" w:sz="4" w:space="0" w:color="auto"/>
              <w:right w:val="single" w:sz="4" w:space="0" w:color="auto"/>
            </w:tcBorders>
            <w:shd w:val="clear" w:color="000000" w:fill="FFFFFF"/>
            <w:noWrap/>
            <w:vAlign w:val="bottom"/>
            <w:hideMark/>
          </w:tcPr>
          <w:p w14:paraId="5BD4B819"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10.000,00</w:t>
            </w:r>
          </w:p>
        </w:tc>
        <w:tc>
          <w:tcPr>
            <w:tcW w:w="1123" w:type="dxa"/>
            <w:tcBorders>
              <w:top w:val="nil"/>
              <w:left w:val="nil"/>
              <w:bottom w:val="single" w:sz="4" w:space="0" w:color="auto"/>
              <w:right w:val="single" w:sz="4" w:space="0" w:color="auto"/>
            </w:tcBorders>
            <w:shd w:val="clear" w:color="000000" w:fill="FFFFFF"/>
            <w:noWrap/>
            <w:vAlign w:val="bottom"/>
            <w:hideMark/>
          </w:tcPr>
          <w:p w14:paraId="0AA77845"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55BD92BB"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4B2FB74"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10.000,00</w:t>
            </w:r>
          </w:p>
        </w:tc>
      </w:tr>
      <w:tr w:rsidR="00BC7E60" w:rsidRPr="00497178" w14:paraId="1E34DE81"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E88E587"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1004 Zaštita prava nacionalnih manjina</w:t>
            </w:r>
          </w:p>
        </w:tc>
        <w:tc>
          <w:tcPr>
            <w:tcW w:w="1307" w:type="dxa"/>
            <w:tcBorders>
              <w:top w:val="nil"/>
              <w:left w:val="nil"/>
              <w:bottom w:val="single" w:sz="4" w:space="0" w:color="auto"/>
              <w:right w:val="single" w:sz="4" w:space="0" w:color="auto"/>
            </w:tcBorders>
            <w:shd w:val="clear" w:color="000000" w:fill="FFFFFF"/>
            <w:noWrap/>
            <w:vAlign w:val="bottom"/>
            <w:hideMark/>
          </w:tcPr>
          <w:p w14:paraId="14DA6C53"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10.000,00</w:t>
            </w:r>
          </w:p>
        </w:tc>
        <w:tc>
          <w:tcPr>
            <w:tcW w:w="1123" w:type="dxa"/>
            <w:tcBorders>
              <w:top w:val="nil"/>
              <w:left w:val="nil"/>
              <w:bottom w:val="single" w:sz="4" w:space="0" w:color="auto"/>
              <w:right w:val="single" w:sz="4" w:space="0" w:color="auto"/>
            </w:tcBorders>
            <w:shd w:val="clear" w:color="000000" w:fill="FFFFFF"/>
            <w:noWrap/>
            <w:vAlign w:val="bottom"/>
            <w:hideMark/>
          </w:tcPr>
          <w:p w14:paraId="1A7A5E6F"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6385773A"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23BE109"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10.000,00</w:t>
            </w:r>
          </w:p>
        </w:tc>
      </w:tr>
      <w:tr w:rsidR="00BC7E60" w:rsidRPr="00497178" w14:paraId="3B3336D4"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D48B23C"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A100001 Poslovi redovne djelatnosti nacionalnih manjina</w:t>
            </w:r>
          </w:p>
        </w:tc>
        <w:tc>
          <w:tcPr>
            <w:tcW w:w="1307" w:type="dxa"/>
            <w:tcBorders>
              <w:top w:val="nil"/>
              <w:left w:val="nil"/>
              <w:bottom w:val="single" w:sz="4" w:space="0" w:color="auto"/>
              <w:right w:val="single" w:sz="4" w:space="0" w:color="auto"/>
            </w:tcBorders>
            <w:shd w:val="clear" w:color="000000" w:fill="FFFFFF"/>
            <w:noWrap/>
            <w:vAlign w:val="bottom"/>
            <w:hideMark/>
          </w:tcPr>
          <w:p w14:paraId="18EA8A8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10.000,00</w:t>
            </w:r>
          </w:p>
        </w:tc>
        <w:tc>
          <w:tcPr>
            <w:tcW w:w="1123" w:type="dxa"/>
            <w:tcBorders>
              <w:top w:val="nil"/>
              <w:left w:val="nil"/>
              <w:bottom w:val="single" w:sz="4" w:space="0" w:color="auto"/>
              <w:right w:val="single" w:sz="4" w:space="0" w:color="auto"/>
            </w:tcBorders>
            <w:shd w:val="clear" w:color="000000" w:fill="FFFFFF"/>
            <w:noWrap/>
            <w:vAlign w:val="bottom"/>
            <w:hideMark/>
          </w:tcPr>
          <w:p w14:paraId="78D22CA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3207A59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A6837D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10.000,00</w:t>
            </w:r>
          </w:p>
        </w:tc>
      </w:tr>
      <w:tr w:rsidR="00BC7E60" w:rsidRPr="00497178" w14:paraId="425D8238"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36CB494B"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Proračunski korisnik 47756 VIJEĆE SRPSKE NACIONALNE MANJINE U GRADU LABINU</w:t>
            </w:r>
          </w:p>
        </w:tc>
        <w:tc>
          <w:tcPr>
            <w:tcW w:w="1307" w:type="dxa"/>
            <w:tcBorders>
              <w:top w:val="nil"/>
              <w:left w:val="nil"/>
              <w:bottom w:val="single" w:sz="4" w:space="0" w:color="auto"/>
              <w:right w:val="single" w:sz="4" w:space="0" w:color="auto"/>
            </w:tcBorders>
            <w:shd w:val="clear" w:color="000000" w:fill="FFFFFF"/>
            <w:noWrap/>
            <w:vAlign w:val="bottom"/>
            <w:hideMark/>
          </w:tcPr>
          <w:p w14:paraId="2FC799C3"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10.000,00</w:t>
            </w:r>
          </w:p>
        </w:tc>
        <w:tc>
          <w:tcPr>
            <w:tcW w:w="1123" w:type="dxa"/>
            <w:tcBorders>
              <w:top w:val="nil"/>
              <w:left w:val="nil"/>
              <w:bottom w:val="single" w:sz="4" w:space="0" w:color="auto"/>
              <w:right w:val="single" w:sz="4" w:space="0" w:color="auto"/>
            </w:tcBorders>
            <w:shd w:val="clear" w:color="000000" w:fill="FFFFFF"/>
            <w:noWrap/>
            <w:vAlign w:val="bottom"/>
            <w:hideMark/>
          </w:tcPr>
          <w:p w14:paraId="1762ADAD"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3FAD8589"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EE8C1BE"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10.000,00</w:t>
            </w:r>
          </w:p>
        </w:tc>
      </w:tr>
      <w:tr w:rsidR="00BC7E60" w:rsidRPr="00497178" w14:paraId="16836AAC"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18598346"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1004 Zaštita prava nacionalnih manjina</w:t>
            </w:r>
          </w:p>
        </w:tc>
        <w:tc>
          <w:tcPr>
            <w:tcW w:w="1307" w:type="dxa"/>
            <w:tcBorders>
              <w:top w:val="nil"/>
              <w:left w:val="nil"/>
              <w:bottom w:val="single" w:sz="4" w:space="0" w:color="auto"/>
              <w:right w:val="single" w:sz="4" w:space="0" w:color="auto"/>
            </w:tcBorders>
            <w:shd w:val="clear" w:color="000000" w:fill="FFFFFF"/>
            <w:noWrap/>
            <w:vAlign w:val="bottom"/>
            <w:hideMark/>
          </w:tcPr>
          <w:p w14:paraId="3D0DE19B"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10.000,00</w:t>
            </w:r>
          </w:p>
        </w:tc>
        <w:tc>
          <w:tcPr>
            <w:tcW w:w="1123" w:type="dxa"/>
            <w:tcBorders>
              <w:top w:val="nil"/>
              <w:left w:val="nil"/>
              <w:bottom w:val="single" w:sz="4" w:space="0" w:color="auto"/>
              <w:right w:val="single" w:sz="4" w:space="0" w:color="auto"/>
            </w:tcBorders>
            <w:shd w:val="clear" w:color="000000" w:fill="FFFFFF"/>
            <w:noWrap/>
            <w:vAlign w:val="bottom"/>
            <w:hideMark/>
          </w:tcPr>
          <w:p w14:paraId="5894D498"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60ACAA87"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B16D8AE"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10.000,00</w:t>
            </w:r>
          </w:p>
        </w:tc>
      </w:tr>
      <w:tr w:rsidR="00BC7E60" w:rsidRPr="00497178" w14:paraId="79DE2BFD"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AA00BB2"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A100001 Poslovi redovne djelatnosti nacionalnih manjina</w:t>
            </w:r>
          </w:p>
        </w:tc>
        <w:tc>
          <w:tcPr>
            <w:tcW w:w="1307" w:type="dxa"/>
            <w:tcBorders>
              <w:top w:val="nil"/>
              <w:left w:val="nil"/>
              <w:bottom w:val="single" w:sz="4" w:space="0" w:color="auto"/>
              <w:right w:val="single" w:sz="4" w:space="0" w:color="auto"/>
            </w:tcBorders>
            <w:shd w:val="clear" w:color="000000" w:fill="FFFFFF"/>
            <w:noWrap/>
            <w:vAlign w:val="bottom"/>
            <w:hideMark/>
          </w:tcPr>
          <w:p w14:paraId="78ED82E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10.000,00</w:t>
            </w:r>
          </w:p>
        </w:tc>
        <w:tc>
          <w:tcPr>
            <w:tcW w:w="1123" w:type="dxa"/>
            <w:tcBorders>
              <w:top w:val="nil"/>
              <w:left w:val="nil"/>
              <w:bottom w:val="single" w:sz="4" w:space="0" w:color="auto"/>
              <w:right w:val="single" w:sz="4" w:space="0" w:color="auto"/>
            </w:tcBorders>
            <w:shd w:val="clear" w:color="000000" w:fill="FFFFFF"/>
            <w:noWrap/>
            <w:vAlign w:val="bottom"/>
            <w:hideMark/>
          </w:tcPr>
          <w:p w14:paraId="4AC2DC1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3081221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50487E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10.000,00</w:t>
            </w:r>
          </w:p>
        </w:tc>
      </w:tr>
      <w:tr w:rsidR="00BC7E60" w:rsidRPr="00497178" w14:paraId="23B848B3"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B4A73E8"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Glava 10003 VATROGASNE POSTROJBE</w:t>
            </w:r>
          </w:p>
        </w:tc>
        <w:tc>
          <w:tcPr>
            <w:tcW w:w="1307" w:type="dxa"/>
            <w:tcBorders>
              <w:top w:val="nil"/>
              <w:left w:val="nil"/>
              <w:bottom w:val="single" w:sz="4" w:space="0" w:color="auto"/>
              <w:right w:val="single" w:sz="4" w:space="0" w:color="auto"/>
            </w:tcBorders>
            <w:shd w:val="clear" w:color="000000" w:fill="FFFFFF"/>
            <w:noWrap/>
            <w:vAlign w:val="bottom"/>
            <w:hideMark/>
          </w:tcPr>
          <w:p w14:paraId="524D73CE"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1.597.472,00</w:t>
            </w:r>
          </w:p>
        </w:tc>
        <w:tc>
          <w:tcPr>
            <w:tcW w:w="1123" w:type="dxa"/>
            <w:tcBorders>
              <w:top w:val="nil"/>
              <w:left w:val="nil"/>
              <w:bottom w:val="single" w:sz="4" w:space="0" w:color="auto"/>
              <w:right w:val="single" w:sz="4" w:space="0" w:color="auto"/>
            </w:tcBorders>
            <w:shd w:val="clear" w:color="000000" w:fill="FFFFFF"/>
            <w:noWrap/>
            <w:vAlign w:val="bottom"/>
            <w:hideMark/>
          </w:tcPr>
          <w:p w14:paraId="00608E97"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40.168,00</w:t>
            </w:r>
          </w:p>
        </w:tc>
        <w:tc>
          <w:tcPr>
            <w:tcW w:w="1123" w:type="dxa"/>
            <w:tcBorders>
              <w:top w:val="nil"/>
              <w:left w:val="nil"/>
              <w:bottom w:val="single" w:sz="4" w:space="0" w:color="auto"/>
              <w:right w:val="single" w:sz="4" w:space="0" w:color="auto"/>
            </w:tcBorders>
            <w:shd w:val="clear" w:color="000000" w:fill="FFFFFF"/>
            <w:noWrap/>
            <w:vAlign w:val="bottom"/>
            <w:hideMark/>
          </w:tcPr>
          <w:p w14:paraId="134AE7C9"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2,51</w:t>
            </w:r>
          </w:p>
        </w:tc>
        <w:tc>
          <w:tcPr>
            <w:tcW w:w="1240" w:type="dxa"/>
            <w:tcBorders>
              <w:top w:val="nil"/>
              <w:left w:val="nil"/>
              <w:bottom w:val="single" w:sz="4" w:space="0" w:color="auto"/>
              <w:right w:val="single" w:sz="4" w:space="0" w:color="auto"/>
            </w:tcBorders>
            <w:shd w:val="clear" w:color="000000" w:fill="FFFFFF"/>
            <w:noWrap/>
            <w:vAlign w:val="bottom"/>
            <w:hideMark/>
          </w:tcPr>
          <w:p w14:paraId="3BAAD4F3"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1.637.640,00</w:t>
            </w:r>
          </w:p>
        </w:tc>
      </w:tr>
      <w:tr w:rsidR="00BC7E60" w:rsidRPr="00497178" w14:paraId="5599353F"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FC9BF96"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Proračunski korisnik 35837 JAVNA VATROGASNA POSTROJBA LABIN</w:t>
            </w:r>
          </w:p>
        </w:tc>
        <w:tc>
          <w:tcPr>
            <w:tcW w:w="1307" w:type="dxa"/>
            <w:tcBorders>
              <w:top w:val="nil"/>
              <w:left w:val="nil"/>
              <w:bottom w:val="single" w:sz="4" w:space="0" w:color="auto"/>
              <w:right w:val="single" w:sz="4" w:space="0" w:color="auto"/>
            </w:tcBorders>
            <w:shd w:val="clear" w:color="000000" w:fill="FFFFFF"/>
            <w:noWrap/>
            <w:vAlign w:val="bottom"/>
            <w:hideMark/>
          </w:tcPr>
          <w:p w14:paraId="29C7BF0D"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1.597.472,00</w:t>
            </w:r>
          </w:p>
        </w:tc>
        <w:tc>
          <w:tcPr>
            <w:tcW w:w="1123" w:type="dxa"/>
            <w:tcBorders>
              <w:top w:val="nil"/>
              <w:left w:val="nil"/>
              <w:bottom w:val="single" w:sz="4" w:space="0" w:color="auto"/>
              <w:right w:val="single" w:sz="4" w:space="0" w:color="auto"/>
            </w:tcBorders>
            <w:shd w:val="clear" w:color="000000" w:fill="FFFFFF"/>
            <w:noWrap/>
            <w:vAlign w:val="bottom"/>
            <w:hideMark/>
          </w:tcPr>
          <w:p w14:paraId="6EF91C61"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40.168,00</w:t>
            </w:r>
          </w:p>
        </w:tc>
        <w:tc>
          <w:tcPr>
            <w:tcW w:w="1123" w:type="dxa"/>
            <w:tcBorders>
              <w:top w:val="nil"/>
              <w:left w:val="nil"/>
              <w:bottom w:val="single" w:sz="4" w:space="0" w:color="auto"/>
              <w:right w:val="single" w:sz="4" w:space="0" w:color="auto"/>
            </w:tcBorders>
            <w:shd w:val="clear" w:color="000000" w:fill="FFFFFF"/>
            <w:noWrap/>
            <w:vAlign w:val="bottom"/>
            <w:hideMark/>
          </w:tcPr>
          <w:p w14:paraId="65C29A17"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2,51</w:t>
            </w:r>
          </w:p>
        </w:tc>
        <w:tc>
          <w:tcPr>
            <w:tcW w:w="1240" w:type="dxa"/>
            <w:tcBorders>
              <w:top w:val="nil"/>
              <w:left w:val="nil"/>
              <w:bottom w:val="single" w:sz="4" w:space="0" w:color="auto"/>
              <w:right w:val="single" w:sz="4" w:space="0" w:color="auto"/>
            </w:tcBorders>
            <w:shd w:val="clear" w:color="000000" w:fill="FFFFFF"/>
            <w:noWrap/>
            <w:vAlign w:val="bottom"/>
            <w:hideMark/>
          </w:tcPr>
          <w:p w14:paraId="759E5113"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1.637.640,00</w:t>
            </w:r>
          </w:p>
        </w:tc>
      </w:tr>
      <w:tr w:rsidR="00BC7E60" w:rsidRPr="00497178" w14:paraId="6AF01458"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19C88BA"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1003 Organiziranje i provođenje zaštite i spašavanja</w:t>
            </w:r>
          </w:p>
        </w:tc>
        <w:tc>
          <w:tcPr>
            <w:tcW w:w="1307" w:type="dxa"/>
            <w:tcBorders>
              <w:top w:val="nil"/>
              <w:left w:val="nil"/>
              <w:bottom w:val="single" w:sz="4" w:space="0" w:color="auto"/>
              <w:right w:val="single" w:sz="4" w:space="0" w:color="auto"/>
            </w:tcBorders>
            <w:shd w:val="clear" w:color="000000" w:fill="FFFFFF"/>
            <w:noWrap/>
            <w:vAlign w:val="bottom"/>
            <w:hideMark/>
          </w:tcPr>
          <w:p w14:paraId="1D36356B"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1.597.472,00</w:t>
            </w:r>
          </w:p>
        </w:tc>
        <w:tc>
          <w:tcPr>
            <w:tcW w:w="1123" w:type="dxa"/>
            <w:tcBorders>
              <w:top w:val="nil"/>
              <w:left w:val="nil"/>
              <w:bottom w:val="single" w:sz="4" w:space="0" w:color="auto"/>
              <w:right w:val="single" w:sz="4" w:space="0" w:color="auto"/>
            </w:tcBorders>
            <w:shd w:val="clear" w:color="000000" w:fill="FFFFFF"/>
            <w:noWrap/>
            <w:vAlign w:val="bottom"/>
            <w:hideMark/>
          </w:tcPr>
          <w:p w14:paraId="43AC0870"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40.168,00</w:t>
            </w:r>
          </w:p>
        </w:tc>
        <w:tc>
          <w:tcPr>
            <w:tcW w:w="1123" w:type="dxa"/>
            <w:tcBorders>
              <w:top w:val="nil"/>
              <w:left w:val="nil"/>
              <w:bottom w:val="single" w:sz="4" w:space="0" w:color="auto"/>
              <w:right w:val="single" w:sz="4" w:space="0" w:color="auto"/>
            </w:tcBorders>
            <w:shd w:val="clear" w:color="000000" w:fill="FFFFFF"/>
            <w:noWrap/>
            <w:vAlign w:val="bottom"/>
            <w:hideMark/>
          </w:tcPr>
          <w:p w14:paraId="39CC7DDD"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2,51</w:t>
            </w:r>
          </w:p>
        </w:tc>
        <w:tc>
          <w:tcPr>
            <w:tcW w:w="1240" w:type="dxa"/>
            <w:tcBorders>
              <w:top w:val="nil"/>
              <w:left w:val="nil"/>
              <w:bottom w:val="single" w:sz="4" w:space="0" w:color="auto"/>
              <w:right w:val="single" w:sz="4" w:space="0" w:color="auto"/>
            </w:tcBorders>
            <w:shd w:val="clear" w:color="000000" w:fill="FFFFFF"/>
            <w:noWrap/>
            <w:vAlign w:val="bottom"/>
            <w:hideMark/>
          </w:tcPr>
          <w:p w14:paraId="75056491"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1.637.640,00</w:t>
            </w:r>
          </w:p>
        </w:tc>
      </w:tr>
      <w:tr w:rsidR="00BC7E60" w:rsidRPr="00497178" w14:paraId="2C58C2A5"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174975F9"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A100004 Financiranje Javne vatrogasne postrojbe Labin</w:t>
            </w:r>
          </w:p>
        </w:tc>
        <w:tc>
          <w:tcPr>
            <w:tcW w:w="1307" w:type="dxa"/>
            <w:tcBorders>
              <w:top w:val="nil"/>
              <w:left w:val="nil"/>
              <w:bottom w:val="single" w:sz="4" w:space="0" w:color="auto"/>
              <w:right w:val="single" w:sz="4" w:space="0" w:color="auto"/>
            </w:tcBorders>
            <w:shd w:val="clear" w:color="000000" w:fill="FFFFFF"/>
            <w:noWrap/>
            <w:vAlign w:val="bottom"/>
            <w:hideMark/>
          </w:tcPr>
          <w:p w14:paraId="783F8AA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1.579.382,00</w:t>
            </w:r>
          </w:p>
        </w:tc>
        <w:tc>
          <w:tcPr>
            <w:tcW w:w="1123" w:type="dxa"/>
            <w:tcBorders>
              <w:top w:val="nil"/>
              <w:left w:val="nil"/>
              <w:bottom w:val="single" w:sz="4" w:space="0" w:color="auto"/>
              <w:right w:val="single" w:sz="4" w:space="0" w:color="auto"/>
            </w:tcBorders>
            <w:shd w:val="clear" w:color="000000" w:fill="FFFFFF"/>
            <w:noWrap/>
            <w:vAlign w:val="bottom"/>
            <w:hideMark/>
          </w:tcPr>
          <w:p w14:paraId="38B60CA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40.168,00</w:t>
            </w:r>
          </w:p>
        </w:tc>
        <w:tc>
          <w:tcPr>
            <w:tcW w:w="1123" w:type="dxa"/>
            <w:tcBorders>
              <w:top w:val="nil"/>
              <w:left w:val="nil"/>
              <w:bottom w:val="single" w:sz="4" w:space="0" w:color="auto"/>
              <w:right w:val="single" w:sz="4" w:space="0" w:color="auto"/>
            </w:tcBorders>
            <w:shd w:val="clear" w:color="000000" w:fill="FFFFFF"/>
            <w:noWrap/>
            <w:vAlign w:val="bottom"/>
            <w:hideMark/>
          </w:tcPr>
          <w:p w14:paraId="3B10CF5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2,54</w:t>
            </w:r>
          </w:p>
        </w:tc>
        <w:tc>
          <w:tcPr>
            <w:tcW w:w="1240" w:type="dxa"/>
            <w:tcBorders>
              <w:top w:val="nil"/>
              <w:left w:val="nil"/>
              <w:bottom w:val="single" w:sz="4" w:space="0" w:color="auto"/>
              <w:right w:val="single" w:sz="4" w:space="0" w:color="auto"/>
            </w:tcBorders>
            <w:shd w:val="clear" w:color="000000" w:fill="FFFFFF"/>
            <w:noWrap/>
            <w:vAlign w:val="bottom"/>
            <w:hideMark/>
          </w:tcPr>
          <w:p w14:paraId="0EF01B6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1.619.550,00</w:t>
            </w:r>
          </w:p>
        </w:tc>
      </w:tr>
      <w:tr w:rsidR="00BC7E60" w:rsidRPr="00497178" w14:paraId="14BFE5EE"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430078F"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A100005 Provedba posebnih mjera zaštite izvan područja redovnog djelovanja-VZIŽ</w:t>
            </w:r>
          </w:p>
        </w:tc>
        <w:tc>
          <w:tcPr>
            <w:tcW w:w="1307" w:type="dxa"/>
            <w:tcBorders>
              <w:top w:val="nil"/>
              <w:left w:val="nil"/>
              <w:bottom w:val="single" w:sz="4" w:space="0" w:color="auto"/>
              <w:right w:val="single" w:sz="4" w:space="0" w:color="auto"/>
            </w:tcBorders>
            <w:shd w:val="clear" w:color="000000" w:fill="FFFFFF"/>
            <w:noWrap/>
            <w:vAlign w:val="bottom"/>
            <w:hideMark/>
          </w:tcPr>
          <w:p w14:paraId="219EEE1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3.300,00</w:t>
            </w:r>
          </w:p>
        </w:tc>
        <w:tc>
          <w:tcPr>
            <w:tcW w:w="1123" w:type="dxa"/>
            <w:tcBorders>
              <w:top w:val="nil"/>
              <w:left w:val="nil"/>
              <w:bottom w:val="single" w:sz="4" w:space="0" w:color="auto"/>
              <w:right w:val="single" w:sz="4" w:space="0" w:color="auto"/>
            </w:tcBorders>
            <w:shd w:val="clear" w:color="000000" w:fill="FFFFFF"/>
            <w:noWrap/>
            <w:vAlign w:val="bottom"/>
            <w:hideMark/>
          </w:tcPr>
          <w:p w14:paraId="691FB1F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7FFBBFA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7F5335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3.300,00</w:t>
            </w:r>
          </w:p>
        </w:tc>
      </w:tr>
      <w:tr w:rsidR="00BC7E60" w:rsidRPr="00497178" w14:paraId="6A7CB8B8"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20E49409"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A100006 Provedba posebnih mjera zaštite-sezonski vatrogasci</w:t>
            </w:r>
          </w:p>
        </w:tc>
        <w:tc>
          <w:tcPr>
            <w:tcW w:w="1307" w:type="dxa"/>
            <w:tcBorders>
              <w:top w:val="nil"/>
              <w:left w:val="nil"/>
              <w:bottom w:val="single" w:sz="4" w:space="0" w:color="auto"/>
              <w:right w:val="single" w:sz="4" w:space="0" w:color="auto"/>
            </w:tcBorders>
            <w:shd w:val="clear" w:color="000000" w:fill="FFFFFF"/>
            <w:noWrap/>
            <w:vAlign w:val="bottom"/>
            <w:hideMark/>
          </w:tcPr>
          <w:p w14:paraId="7C0FD61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14.790,00</w:t>
            </w:r>
          </w:p>
        </w:tc>
        <w:tc>
          <w:tcPr>
            <w:tcW w:w="1123" w:type="dxa"/>
            <w:tcBorders>
              <w:top w:val="nil"/>
              <w:left w:val="nil"/>
              <w:bottom w:val="single" w:sz="4" w:space="0" w:color="auto"/>
              <w:right w:val="single" w:sz="4" w:space="0" w:color="auto"/>
            </w:tcBorders>
            <w:shd w:val="clear" w:color="000000" w:fill="FFFFFF"/>
            <w:noWrap/>
            <w:vAlign w:val="bottom"/>
            <w:hideMark/>
          </w:tcPr>
          <w:p w14:paraId="069417E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7A64D42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92BA59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14.790,00</w:t>
            </w:r>
          </w:p>
        </w:tc>
      </w:tr>
      <w:tr w:rsidR="00BC7E60" w:rsidRPr="00497178" w14:paraId="344AAB48"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DC75863"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Razdjel 200 UPRAVNI ODJEL ZA PRORAČUN I FINANCIJE</w:t>
            </w:r>
          </w:p>
        </w:tc>
        <w:tc>
          <w:tcPr>
            <w:tcW w:w="1307" w:type="dxa"/>
            <w:tcBorders>
              <w:top w:val="nil"/>
              <w:left w:val="nil"/>
              <w:bottom w:val="single" w:sz="4" w:space="0" w:color="auto"/>
              <w:right w:val="single" w:sz="4" w:space="0" w:color="auto"/>
            </w:tcBorders>
            <w:shd w:val="clear" w:color="000000" w:fill="FFFFFF"/>
            <w:noWrap/>
            <w:vAlign w:val="bottom"/>
            <w:hideMark/>
          </w:tcPr>
          <w:p w14:paraId="7396BD3B"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2.693.700,00</w:t>
            </w:r>
          </w:p>
        </w:tc>
        <w:tc>
          <w:tcPr>
            <w:tcW w:w="1123" w:type="dxa"/>
            <w:tcBorders>
              <w:top w:val="nil"/>
              <w:left w:val="nil"/>
              <w:bottom w:val="single" w:sz="4" w:space="0" w:color="auto"/>
              <w:right w:val="single" w:sz="4" w:space="0" w:color="auto"/>
            </w:tcBorders>
            <w:shd w:val="clear" w:color="000000" w:fill="FFFFFF"/>
            <w:noWrap/>
            <w:vAlign w:val="bottom"/>
            <w:hideMark/>
          </w:tcPr>
          <w:p w14:paraId="78E67684"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50.000,00</w:t>
            </w:r>
          </w:p>
        </w:tc>
        <w:tc>
          <w:tcPr>
            <w:tcW w:w="1123" w:type="dxa"/>
            <w:tcBorders>
              <w:top w:val="nil"/>
              <w:left w:val="nil"/>
              <w:bottom w:val="single" w:sz="4" w:space="0" w:color="auto"/>
              <w:right w:val="single" w:sz="4" w:space="0" w:color="auto"/>
            </w:tcBorders>
            <w:shd w:val="clear" w:color="000000" w:fill="FFFFFF"/>
            <w:noWrap/>
            <w:vAlign w:val="bottom"/>
            <w:hideMark/>
          </w:tcPr>
          <w:p w14:paraId="3C5DB059"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1,86</w:t>
            </w:r>
          </w:p>
        </w:tc>
        <w:tc>
          <w:tcPr>
            <w:tcW w:w="1240" w:type="dxa"/>
            <w:tcBorders>
              <w:top w:val="nil"/>
              <w:left w:val="nil"/>
              <w:bottom w:val="single" w:sz="4" w:space="0" w:color="auto"/>
              <w:right w:val="single" w:sz="4" w:space="0" w:color="auto"/>
            </w:tcBorders>
            <w:shd w:val="clear" w:color="000000" w:fill="FFFFFF"/>
            <w:noWrap/>
            <w:vAlign w:val="bottom"/>
            <w:hideMark/>
          </w:tcPr>
          <w:p w14:paraId="71430CB0"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2.743.700,00</w:t>
            </w:r>
          </w:p>
        </w:tc>
      </w:tr>
      <w:tr w:rsidR="00BC7E60" w:rsidRPr="00497178" w14:paraId="52404AD2"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2F99C000"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Glava 20001 UPRAVNI ODJEL ZA PRORAČUN I FINANCIJE</w:t>
            </w:r>
          </w:p>
        </w:tc>
        <w:tc>
          <w:tcPr>
            <w:tcW w:w="1307" w:type="dxa"/>
            <w:tcBorders>
              <w:top w:val="nil"/>
              <w:left w:val="nil"/>
              <w:bottom w:val="single" w:sz="4" w:space="0" w:color="auto"/>
              <w:right w:val="single" w:sz="4" w:space="0" w:color="auto"/>
            </w:tcBorders>
            <w:shd w:val="clear" w:color="000000" w:fill="FFFFFF"/>
            <w:noWrap/>
            <w:vAlign w:val="bottom"/>
            <w:hideMark/>
          </w:tcPr>
          <w:p w14:paraId="3867877B"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2.693.700,00</w:t>
            </w:r>
          </w:p>
        </w:tc>
        <w:tc>
          <w:tcPr>
            <w:tcW w:w="1123" w:type="dxa"/>
            <w:tcBorders>
              <w:top w:val="nil"/>
              <w:left w:val="nil"/>
              <w:bottom w:val="single" w:sz="4" w:space="0" w:color="auto"/>
              <w:right w:val="single" w:sz="4" w:space="0" w:color="auto"/>
            </w:tcBorders>
            <w:shd w:val="clear" w:color="000000" w:fill="FFFFFF"/>
            <w:noWrap/>
            <w:vAlign w:val="bottom"/>
            <w:hideMark/>
          </w:tcPr>
          <w:p w14:paraId="76C55E76"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50.000,00</w:t>
            </w:r>
          </w:p>
        </w:tc>
        <w:tc>
          <w:tcPr>
            <w:tcW w:w="1123" w:type="dxa"/>
            <w:tcBorders>
              <w:top w:val="nil"/>
              <w:left w:val="nil"/>
              <w:bottom w:val="single" w:sz="4" w:space="0" w:color="auto"/>
              <w:right w:val="single" w:sz="4" w:space="0" w:color="auto"/>
            </w:tcBorders>
            <w:shd w:val="clear" w:color="000000" w:fill="FFFFFF"/>
            <w:noWrap/>
            <w:vAlign w:val="bottom"/>
            <w:hideMark/>
          </w:tcPr>
          <w:p w14:paraId="0CC5BA79"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1,86</w:t>
            </w:r>
          </w:p>
        </w:tc>
        <w:tc>
          <w:tcPr>
            <w:tcW w:w="1240" w:type="dxa"/>
            <w:tcBorders>
              <w:top w:val="nil"/>
              <w:left w:val="nil"/>
              <w:bottom w:val="single" w:sz="4" w:space="0" w:color="auto"/>
              <w:right w:val="single" w:sz="4" w:space="0" w:color="auto"/>
            </w:tcBorders>
            <w:shd w:val="clear" w:color="000000" w:fill="FFFFFF"/>
            <w:noWrap/>
            <w:vAlign w:val="bottom"/>
            <w:hideMark/>
          </w:tcPr>
          <w:p w14:paraId="188F7320"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2.743.700,00</w:t>
            </w:r>
          </w:p>
        </w:tc>
      </w:tr>
      <w:tr w:rsidR="00BC7E60" w:rsidRPr="00497178" w14:paraId="5AB20A41"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7833CF9"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2001 Javna uprava i administracija</w:t>
            </w:r>
          </w:p>
        </w:tc>
        <w:tc>
          <w:tcPr>
            <w:tcW w:w="1307" w:type="dxa"/>
            <w:tcBorders>
              <w:top w:val="nil"/>
              <w:left w:val="nil"/>
              <w:bottom w:val="single" w:sz="4" w:space="0" w:color="auto"/>
              <w:right w:val="single" w:sz="4" w:space="0" w:color="auto"/>
            </w:tcBorders>
            <w:shd w:val="clear" w:color="000000" w:fill="FFFFFF"/>
            <w:noWrap/>
            <w:vAlign w:val="bottom"/>
            <w:hideMark/>
          </w:tcPr>
          <w:p w14:paraId="50C6D866"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2.693.700,00</w:t>
            </w:r>
          </w:p>
        </w:tc>
        <w:tc>
          <w:tcPr>
            <w:tcW w:w="1123" w:type="dxa"/>
            <w:tcBorders>
              <w:top w:val="nil"/>
              <w:left w:val="nil"/>
              <w:bottom w:val="single" w:sz="4" w:space="0" w:color="auto"/>
              <w:right w:val="single" w:sz="4" w:space="0" w:color="auto"/>
            </w:tcBorders>
            <w:shd w:val="clear" w:color="000000" w:fill="FFFFFF"/>
            <w:noWrap/>
            <w:vAlign w:val="bottom"/>
            <w:hideMark/>
          </w:tcPr>
          <w:p w14:paraId="7768A6E1"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50.000,00</w:t>
            </w:r>
          </w:p>
        </w:tc>
        <w:tc>
          <w:tcPr>
            <w:tcW w:w="1123" w:type="dxa"/>
            <w:tcBorders>
              <w:top w:val="nil"/>
              <w:left w:val="nil"/>
              <w:bottom w:val="single" w:sz="4" w:space="0" w:color="auto"/>
              <w:right w:val="single" w:sz="4" w:space="0" w:color="auto"/>
            </w:tcBorders>
            <w:shd w:val="clear" w:color="000000" w:fill="FFFFFF"/>
            <w:noWrap/>
            <w:vAlign w:val="bottom"/>
            <w:hideMark/>
          </w:tcPr>
          <w:p w14:paraId="04D7002D"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1,86</w:t>
            </w:r>
          </w:p>
        </w:tc>
        <w:tc>
          <w:tcPr>
            <w:tcW w:w="1240" w:type="dxa"/>
            <w:tcBorders>
              <w:top w:val="nil"/>
              <w:left w:val="nil"/>
              <w:bottom w:val="single" w:sz="4" w:space="0" w:color="auto"/>
              <w:right w:val="single" w:sz="4" w:space="0" w:color="auto"/>
            </w:tcBorders>
            <w:shd w:val="clear" w:color="000000" w:fill="FFFFFF"/>
            <w:noWrap/>
            <w:vAlign w:val="bottom"/>
            <w:hideMark/>
          </w:tcPr>
          <w:p w14:paraId="472E6A55"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2.743.700,00</w:t>
            </w:r>
          </w:p>
        </w:tc>
      </w:tr>
      <w:tr w:rsidR="00BC7E60" w:rsidRPr="00497178" w14:paraId="56867E4B"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B405579"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A200001 Zajednički troškovi upravnih odjela</w:t>
            </w:r>
          </w:p>
        </w:tc>
        <w:tc>
          <w:tcPr>
            <w:tcW w:w="1307" w:type="dxa"/>
            <w:tcBorders>
              <w:top w:val="nil"/>
              <w:left w:val="nil"/>
              <w:bottom w:val="single" w:sz="4" w:space="0" w:color="auto"/>
              <w:right w:val="single" w:sz="4" w:space="0" w:color="auto"/>
            </w:tcBorders>
            <w:shd w:val="clear" w:color="000000" w:fill="FFFFFF"/>
            <w:noWrap/>
            <w:vAlign w:val="bottom"/>
            <w:hideMark/>
          </w:tcPr>
          <w:p w14:paraId="6E1BF87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1.903.000,00</w:t>
            </w:r>
          </w:p>
        </w:tc>
        <w:tc>
          <w:tcPr>
            <w:tcW w:w="1123" w:type="dxa"/>
            <w:tcBorders>
              <w:top w:val="nil"/>
              <w:left w:val="nil"/>
              <w:bottom w:val="single" w:sz="4" w:space="0" w:color="auto"/>
              <w:right w:val="single" w:sz="4" w:space="0" w:color="auto"/>
            </w:tcBorders>
            <w:shd w:val="clear" w:color="000000" w:fill="FFFFFF"/>
            <w:noWrap/>
            <w:vAlign w:val="bottom"/>
            <w:hideMark/>
          </w:tcPr>
          <w:p w14:paraId="4217000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42.000,00</w:t>
            </w:r>
          </w:p>
        </w:tc>
        <w:tc>
          <w:tcPr>
            <w:tcW w:w="1123" w:type="dxa"/>
            <w:tcBorders>
              <w:top w:val="nil"/>
              <w:left w:val="nil"/>
              <w:bottom w:val="single" w:sz="4" w:space="0" w:color="auto"/>
              <w:right w:val="single" w:sz="4" w:space="0" w:color="auto"/>
            </w:tcBorders>
            <w:shd w:val="clear" w:color="000000" w:fill="FFFFFF"/>
            <w:noWrap/>
            <w:vAlign w:val="bottom"/>
            <w:hideMark/>
          </w:tcPr>
          <w:p w14:paraId="076A26C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2,21</w:t>
            </w:r>
          </w:p>
        </w:tc>
        <w:tc>
          <w:tcPr>
            <w:tcW w:w="1240" w:type="dxa"/>
            <w:tcBorders>
              <w:top w:val="nil"/>
              <w:left w:val="nil"/>
              <w:bottom w:val="single" w:sz="4" w:space="0" w:color="auto"/>
              <w:right w:val="single" w:sz="4" w:space="0" w:color="auto"/>
            </w:tcBorders>
            <w:shd w:val="clear" w:color="000000" w:fill="FFFFFF"/>
            <w:noWrap/>
            <w:vAlign w:val="bottom"/>
            <w:hideMark/>
          </w:tcPr>
          <w:p w14:paraId="0E5E664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1.945.000,00</w:t>
            </w:r>
          </w:p>
        </w:tc>
      </w:tr>
      <w:tr w:rsidR="00BC7E60" w:rsidRPr="00497178" w14:paraId="673BF8D8"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0A7EE8C"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A200002 Proračunska pričuva</w:t>
            </w:r>
          </w:p>
        </w:tc>
        <w:tc>
          <w:tcPr>
            <w:tcW w:w="1307" w:type="dxa"/>
            <w:tcBorders>
              <w:top w:val="nil"/>
              <w:left w:val="nil"/>
              <w:bottom w:val="single" w:sz="4" w:space="0" w:color="auto"/>
              <w:right w:val="single" w:sz="4" w:space="0" w:color="auto"/>
            </w:tcBorders>
            <w:shd w:val="clear" w:color="000000" w:fill="FFFFFF"/>
            <w:noWrap/>
            <w:vAlign w:val="bottom"/>
            <w:hideMark/>
          </w:tcPr>
          <w:p w14:paraId="4577288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35.000,00</w:t>
            </w:r>
          </w:p>
        </w:tc>
        <w:tc>
          <w:tcPr>
            <w:tcW w:w="1123" w:type="dxa"/>
            <w:tcBorders>
              <w:top w:val="nil"/>
              <w:left w:val="nil"/>
              <w:bottom w:val="single" w:sz="4" w:space="0" w:color="auto"/>
              <w:right w:val="single" w:sz="4" w:space="0" w:color="auto"/>
            </w:tcBorders>
            <w:shd w:val="clear" w:color="000000" w:fill="FFFFFF"/>
            <w:noWrap/>
            <w:vAlign w:val="bottom"/>
            <w:hideMark/>
          </w:tcPr>
          <w:p w14:paraId="075AC1A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3FC4C7B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B2F78D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35.000,00</w:t>
            </w:r>
          </w:p>
        </w:tc>
      </w:tr>
      <w:tr w:rsidR="00BC7E60" w:rsidRPr="00497178" w14:paraId="52799EA3"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2C65269"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A200003 Otplata zajmova</w:t>
            </w:r>
          </w:p>
        </w:tc>
        <w:tc>
          <w:tcPr>
            <w:tcW w:w="1307" w:type="dxa"/>
            <w:tcBorders>
              <w:top w:val="nil"/>
              <w:left w:val="nil"/>
              <w:bottom w:val="single" w:sz="4" w:space="0" w:color="auto"/>
              <w:right w:val="single" w:sz="4" w:space="0" w:color="auto"/>
            </w:tcBorders>
            <w:shd w:val="clear" w:color="000000" w:fill="FFFFFF"/>
            <w:noWrap/>
            <w:vAlign w:val="bottom"/>
            <w:hideMark/>
          </w:tcPr>
          <w:p w14:paraId="0D5434C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715.700,00</w:t>
            </w:r>
          </w:p>
        </w:tc>
        <w:tc>
          <w:tcPr>
            <w:tcW w:w="1123" w:type="dxa"/>
            <w:tcBorders>
              <w:top w:val="nil"/>
              <w:left w:val="nil"/>
              <w:bottom w:val="single" w:sz="4" w:space="0" w:color="auto"/>
              <w:right w:val="single" w:sz="4" w:space="0" w:color="auto"/>
            </w:tcBorders>
            <w:shd w:val="clear" w:color="000000" w:fill="FFFFFF"/>
            <w:noWrap/>
            <w:vAlign w:val="bottom"/>
            <w:hideMark/>
          </w:tcPr>
          <w:p w14:paraId="727882D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8.000,00</w:t>
            </w:r>
          </w:p>
        </w:tc>
        <w:tc>
          <w:tcPr>
            <w:tcW w:w="1123" w:type="dxa"/>
            <w:tcBorders>
              <w:top w:val="nil"/>
              <w:left w:val="nil"/>
              <w:bottom w:val="single" w:sz="4" w:space="0" w:color="auto"/>
              <w:right w:val="single" w:sz="4" w:space="0" w:color="auto"/>
            </w:tcBorders>
            <w:shd w:val="clear" w:color="000000" w:fill="FFFFFF"/>
            <w:noWrap/>
            <w:vAlign w:val="bottom"/>
            <w:hideMark/>
          </w:tcPr>
          <w:p w14:paraId="144061D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1,12</w:t>
            </w:r>
          </w:p>
        </w:tc>
        <w:tc>
          <w:tcPr>
            <w:tcW w:w="1240" w:type="dxa"/>
            <w:tcBorders>
              <w:top w:val="nil"/>
              <w:left w:val="nil"/>
              <w:bottom w:val="single" w:sz="4" w:space="0" w:color="auto"/>
              <w:right w:val="single" w:sz="4" w:space="0" w:color="auto"/>
            </w:tcBorders>
            <w:shd w:val="clear" w:color="000000" w:fill="FFFFFF"/>
            <w:noWrap/>
            <w:vAlign w:val="bottom"/>
            <w:hideMark/>
          </w:tcPr>
          <w:p w14:paraId="04F552E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723.700,00</w:t>
            </w:r>
          </w:p>
        </w:tc>
      </w:tr>
      <w:tr w:rsidR="00BC7E60" w:rsidRPr="00497178" w14:paraId="13CB6DD5"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1EC7BAB1"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A200004 Županijski centar gospodarenja otpadom "</w:t>
            </w:r>
            <w:proofErr w:type="spellStart"/>
            <w:r w:rsidRPr="00497178">
              <w:rPr>
                <w:rFonts w:ascii="Arial" w:hAnsi="Arial" w:cs="Arial"/>
                <w:sz w:val="16"/>
                <w:szCs w:val="16"/>
              </w:rPr>
              <w:t>Kaštijun</w:t>
            </w:r>
            <w:proofErr w:type="spellEnd"/>
            <w:r w:rsidRPr="00497178">
              <w:rPr>
                <w:rFonts w:ascii="Arial" w:hAnsi="Arial" w:cs="Arial"/>
                <w:sz w:val="16"/>
                <w:szCs w:val="16"/>
              </w:rPr>
              <w:t>"</w:t>
            </w:r>
          </w:p>
        </w:tc>
        <w:tc>
          <w:tcPr>
            <w:tcW w:w="1307" w:type="dxa"/>
            <w:tcBorders>
              <w:top w:val="nil"/>
              <w:left w:val="nil"/>
              <w:bottom w:val="single" w:sz="4" w:space="0" w:color="auto"/>
              <w:right w:val="single" w:sz="4" w:space="0" w:color="auto"/>
            </w:tcBorders>
            <w:shd w:val="clear" w:color="000000" w:fill="FFFFFF"/>
            <w:noWrap/>
            <w:vAlign w:val="bottom"/>
            <w:hideMark/>
          </w:tcPr>
          <w:p w14:paraId="6F51EC3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29.700,00</w:t>
            </w:r>
          </w:p>
        </w:tc>
        <w:tc>
          <w:tcPr>
            <w:tcW w:w="1123" w:type="dxa"/>
            <w:tcBorders>
              <w:top w:val="nil"/>
              <w:left w:val="nil"/>
              <w:bottom w:val="single" w:sz="4" w:space="0" w:color="auto"/>
              <w:right w:val="single" w:sz="4" w:space="0" w:color="auto"/>
            </w:tcBorders>
            <w:shd w:val="clear" w:color="000000" w:fill="FFFFFF"/>
            <w:noWrap/>
            <w:vAlign w:val="bottom"/>
            <w:hideMark/>
          </w:tcPr>
          <w:p w14:paraId="34E00AF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121191D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715362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29.700,00</w:t>
            </w:r>
          </w:p>
        </w:tc>
      </w:tr>
      <w:tr w:rsidR="00BC7E60" w:rsidRPr="00497178" w14:paraId="5248861E"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E413AEC"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A200006 Specijalna bolnica Rovinj</w:t>
            </w:r>
          </w:p>
        </w:tc>
        <w:tc>
          <w:tcPr>
            <w:tcW w:w="1307" w:type="dxa"/>
            <w:tcBorders>
              <w:top w:val="nil"/>
              <w:left w:val="nil"/>
              <w:bottom w:val="single" w:sz="4" w:space="0" w:color="auto"/>
              <w:right w:val="single" w:sz="4" w:space="0" w:color="auto"/>
            </w:tcBorders>
            <w:shd w:val="clear" w:color="000000" w:fill="FFFFFF"/>
            <w:noWrap/>
            <w:vAlign w:val="bottom"/>
            <w:hideMark/>
          </w:tcPr>
          <w:p w14:paraId="277E78E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9.300,00</w:t>
            </w:r>
          </w:p>
        </w:tc>
        <w:tc>
          <w:tcPr>
            <w:tcW w:w="1123" w:type="dxa"/>
            <w:tcBorders>
              <w:top w:val="nil"/>
              <w:left w:val="nil"/>
              <w:bottom w:val="single" w:sz="4" w:space="0" w:color="auto"/>
              <w:right w:val="single" w:sz="4" w:space="0" w:color="auto"/>
            </w:tcBorders>
            <w:shd w:val="clear" w:color="000000" w:fill="FFFFFF"/>
            <w:noWrap/>
            <w:vAlign w:val="bottom"/>
            <w:hideMark/>
          </w:tcPr>
          <w:p w14:paraId="39F20C6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15D3231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FF4ED8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9.300,00</w:t>
            </w:r>
          </w:p>
        </w:tc>
      </w:tr>
      <w:tr w:rsidR="00BC7E60" w:rsidRPr="00497178" w14:paraId="1E2D897D"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34E0A56"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A200007 Dnevni centar za rehabilitaciju Veruda-Pula</w:t>
            </w:r>
          </w:p>
        </w:tc>
        <w:tc>
          <w:tcPr>
            <w:tcW w:w="1307" w:type="dxa"/>
            <w:tcBorders>
              <w:top w:val="nil"/>
              <w:left w:val="nil"/>
              <w:bottom w:val="single" w:sz="4" w:space="0" w:color="auto"/>
              <w:right w:val="single" w:sz="4" w:space="0" w:color="auto"/>
            </w:tcBorders>
            <w:shd w:val="clear" w:color="000000" w:fill="FFFFFF"/>
            <w:noWrap/>
            <w:vAlign w:val="bottom"/>
            <w:hideMark/>
          </w:tcPr>
          <w:p w14:paraId="23EF4C2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1.000,00</w:t>
            </w:r>
          </w:p>
        </w:tc>
        <w:tc>
          <w:tcPr>
            <w:tcW w:w="1123" w:type="dxa"/>
            <w:tcBorders>
              <w:top w:val="nil"/>
              <w:left w:val="nil"/>
              <w:bottom w:val="single" w:sz="4" w:space="0" w:color="auto"/>
              <w:right w:val="single" w:sz="4" w:space="0" w:color="auto"/>
            </w:tcBorders>
            <w:shd w:val="clear" w:color="000000" w:fill="FFFFFF"/>
            <w:noWrap/>
            <w:vAlign w:val="bottom"/>
            <w:hideMark/>
          </w:tcPr>
          <w:p w14:paraId="2E483B0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240D0F0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4063BB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1.000,00</w:t>
            </w:r>
          </w:p>
        </w:tc>
      </w:tr>
      <w:tr w:rsidR="00BC7E60" w:rsidRPr="00497178" w14:paraId="0ACB42E6"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400481E"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Razdjel 300 UPRAVNI ODJEL ZA PROSTORNO UREĐENJE, ZAŠTITU OKOLIŠA I IZDAVANJA AKATA ZA GRADNJU</w:t>
            </w:r>
          </w:p>
        </w:tc>
        <w:tc>
          <w:tcPr>
            <w:tcW w:w="1307" w:type="dxa"/>
            <w:tcBorders>
              <w:top w:val="nil"/>
              <w:left w:val="nil"/>
              <w:bottom w:val="single" w:sz="4" w:space="0" w:color="auto"/>
              <w:right w:val="single" w:sz="4" w:space="0" w:color="auto"/>
            </w:tcBorders>
            <w:shd w:val="clear" w:color="000000" w:fill="FFFFFF"/>
            <w:noWrap/>
            <w:vAlign w:val="bottom"/>
            <w:hideMark/>
          </w:tcPr>
          <w:p w14:paraId="29DB7A38"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4.771.731,00</w:t>
            </w:r>
          </w:p>
        </w:tc>
        <w:tc>
          <w:tcPr>
            <w:tcW w:w="1123" w:type="dxa"/>
            <w:tcBorders>
              <w:top w:val="nil"/>
              <w:left w:val="nil"/>
              <w:bottom w:val="single" w:sz="4" w:space="0" w:color="auto"/>
              <w:right w:val="single" w:sz="4" w:space="0" w:color="auto"/>
            </w:tcBorders>
            <w:shd w:val="clear" w:color="000000" w:fill="FFFFFF"/>
            <w:noWrap/>
            <w:vAlign w:val="bottom"/>
            <w:hideMark/>
          </w:tcPr>
          <w:p w14:paraId="63EC8F95"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-358.343,00</w:t>
            </w:r>
          </w:p>
        </w:tc>
        <w:tc>
          <w:tcPr>
            <w:tcW w:w="1123" w:type="dxa"/>
            <w:tcBorders>
              <w:top w:val="nil"/>
              <w:left w:val="nil"/>
              <w:bottom w:val="single" w:sz="4" w:space="0" w:color="auto"/>
              <w:right w:val="single" w:sz="4" w:space="0" w:color="auto"/>
            </w:tcBorders>
            <w:shd w:val="clear" w:color="000000" w:fill="FFFFFF"/>
            <w:noWrap/>
            <w:vAlign w:val="bottom"/>
            <w:hideMark/>
          </w:tcPr>
          <w:p w14:paraId="054D2DC9"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-7,51</w:t>
            </w:r>
          </w:p>
        </w:tc>
        <w:tc>
          <w:tcPr>
            <w:tcW w:w="1240" w:type="dxa"/>
            <w:tcBorders>
              <w:top w:val="nil"/>
              <w:left w:val="nil"/>
              <w:bottom w:val="single" w:sz="4" w:space="0" w:color="auto"/>
              <w:right w:val="single" w:sz="4" w:space="0" w:color="auto"/>
            </w:tcBorders>
            <w:shd w:val="clear" w:color="000000" w:fill="FFFFFF"/>
            <w:noWrap/>
            <w:vAlign w:val="bottom"/>
            <w:hideMark/>
          </w:tcPr>
          <w:p w14:paraId="7CE225A6"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4.413.388,00</w:t>
            </w:r>
          </w:p>
        </w:tc>
      </w:tr>
      <w:tr w:rsidR="00BC7E60" w:rsidRPr="00497178" w14:paraId="1BA33FD3"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32D2331E"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Glava 30001 UPRAVNI ODJEL ZA PROSTORNO UREĐENJE, ZAŠTITU OKOLIŠA I IZDAVANJA AKATA ZA GRADNJU</w:t>
            </w:r>
          </w:p>
        </w:tc>
        <w:tc>
          <w:tcPr>
            <w:tcW w:w="1307" w:type="dxa"/>
            <w:tcBorders>
              <w:top w:val="nil"/>
              <w:left w:val="nil"/>
              <w:bottom w:val="single" w:sz="4" w:space="0" w:color="auto"/>
              <w:right w:val="single" w:sz="4" w:space="0" w:color="auto"/>
            </w:tcBorders>
            <w:shd w:val="clear" w:color="000000" w:fill="FFFFFF"/>
            <w:noWrap/>
            <w:vAlign w:val="bottom"/>
            <w:hideMark/>
          </w:tcPr>
          <w:p w14:paraId="44FFDD44"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4.771.731,00</w:t>
            </w:r>
          </w:p>
        </w:tc>
        <w:tc>
          <w:tcPr>
            <w:tcW w:w="1123" w:type="dxa"/>
            <w:tcBorders>
              <w:top w:val="nil"/>
              <w:left w:val="nil"/>
              <w:bottom w:val="single" w:sz="4" w:space="0" w:color="auto"/>
              <w:right w:val="single" w:sz="4" w:space="0" w:color="auto"/>
            </w:tcBorders>
            <w:shd w:val="clear" w:color="000000" w:fill="FFFFFF"/>
            <w:noWrap/>
            <w:vAlign w:val="bottom"/>
            <w:hideMark/>
          </w:tcPr>
          <w:p w14:paraId="26D84B9A"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-358.343,00</w:t>
            </w:r>
          </w:p>
        </w:tc>
        <w:tc>
          <w:tcPr>
            <w:tcW w:w="1123" w:type="dxa"/>
            <w:tcBorders>
              <w:top w:val="nil"/>
              <w:left w:val="nil"/>
              <w:bottom w:val="single" w:sz="4" w:space="0" w:color="auto"/>
              <w:right w:val="single" w:sz="4" w:space="0" w:color="auto"/>
            </w:tcBorders>
            <w:shd w:val="clear" w:color="000000" w:fill="FFFFFF"/>
            <w:noWrap/>
            <w:vAlign w:val="bottom"/>
            <w:hideMark/>
          </w:tcPr>
          <w:p w14:paraId="52D91AE0"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-7,51</w:t>
            </w:r>
          </w:p>
        </w:tc>
        <w:tc>
          <w:tcPr>
            <w:tcW w:w="1240" w:type="dxa"/>
            <w:tcBorders>
              <w:top w:val="nil"/>
              <w:left w:val="nil"/>
              <w:bottom w:val="single" w:sz="4" w:space="0" w:color="auto"/>
              <w:right w:val="single" w:sz="4" w:space="0" w:color="auto"/>
            </w:tcBorders>
            <w:shd w:val="clear" w:color="000000" w:fill="FFFFFF"/>
            <w:noWrap/>
            <w:vAlign w:val="bottom"/>
            <w:hideMark/>
          </w:tcPr>
          <w:p w14:paraId="6DE8EB99"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4.413.388,00</w:t>
            </w:r>
          </w:p>
        </w:tc>
      </w:tr>
      <w:tr w:rsidR="00BC7E60" w:rsidRPr="00497178" w14:paraId="015C82F8"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0D44337"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3001 Dokumenti prostornog uređenja</w:t>
            </w:r>
          </w:p>
        </w:tc>
        <w:tc>
          <w:tcPr>
            <w:tcW w:w="1307" w:type="dxa"/>
            <w:tcBorders>
              <w:top w:val="nil"/>
              <w:left w:val="nil"/>
              <w:bottom w:val="single" w:sz="4" w:space="0" w:color="auto"/>
              <w:right w:val="single" w:sz="4" w:space="0" w:color="auto"/>
            </w:tcBorders>
            <w:shd w:val="clear" w:color="000000" w:fill="FFFFFF"/>
            <w:noWrap/>
            <w:vAlign w:val="bottom"/>
            <w:hideMark/>
          </w:tcPr>
          <w:p w14:paraId="4A236C59"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187.018,00</w:t>
            </w:r>
          </w:p>
        </w:tc>
        <w:tc>
          <w:tcPr>
            <w:tcW w:w="1123" w:type="dxa"/>
            <w:tcBorders>
              <w:top w:val="nil"/>
              <w:left w:val="nil"/>
              <w:bottom w:val="single" w:sz="4" w:space="0" w:color="auto"/>
              <w:right w:val="single" w:sz="4" w:space="0" w:color="auto"/>
            </w:tcBorders>
            <w:shd w:val="clear" w:color="000000" w:fill="FFFFFF"/>
            <w:noWrap/>
            <w:vAlign w:val="bottom"/>
            <w:hideMark/>
          </w:tcPr>
          <w:p w14:paraId="4C00643A"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-12.059,00</w:t>
            </w:r>
          </w:p>
        </w:tc>
        <w:tc>
          <w:tcPr>
            <w:tcW w:w="1123" w:type="dxa"/>
            <w:tcBorders>
              <w:top w:val="nil"/>
              <w:left w:val="nil"/>
              <w:bottom w:val="single" w:sz="4" w:space="0" w:color="auto"/>
              <w:right w:val="single" w:sz="4" w:space="0" w:color="auto"/>
            </w:tcBorders>
            <w:shd w:val="clear" w:color="000000" w:fill="FFFFFF"/>
            <w:noWrap/>
            <w:vAlign w:val="bottom"/>
            <w:hideMark/>
          </w:tcPr>
          <w:p w14:paraId="4611F35D"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-6,45</w:t>
            </w:r>
          </w:p>
        </w:tc>
        <w:tc>
          <w:tcPr>
            <w:tcW w:w="1240" w:type="dxa"/>
            <w:tcBorders>
              <w:top w:val="nil"/>
              <w:left w:val="nil"/>
              <w:bottom w:val="single" w:sz="4" w:space="0" w:color="auto"/>
              <w:right w:val="single" w:sz="4" w:space="0" w:color="auto"/>
            </w:tcBorders>
            <w:shd w:val="clear" w:color="000000" w:fill="FFFFFF"/>
            <w:noWrap/>
            <w:vAlign w:val="bottom"/>
            <w:hideMark/>
          </w:tcPr>
          <w:p w14:paraId="39B21F03"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174.959,00</w:t>
            </w:r>
          </w:p>
        </w:tc>
      </w:tr>
      <w:tr w:rsidR="00BC7E60" w:rsidRPr="00497178" w14:paraId="3D0A8ACA"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5192581" w14:textId="77777777" w:rsidR="00BC7E60" w:rsidRPr="00497178" w:rsidRDefault="00BC7E60" w:rsidP="00512D52">
            <w:pPr>
              <w:rPr>
                <w:rFonts w:ascii="Arial" w:hAnsi="Arial" w:cs="Arial"/>
                <w:sz w:val="16"/>
                <w:szCs w:val="16"/>
              </w:rPr>
            </w:pPr>
            <w:r w:rsidRPr="00497178">
              <w:rPr>
                <w:rFonts w:ascii="Arial" w:hAnsi="Arial" w:cs="Arial"/>
                <w:sz w:val="16"/>
                <w:szCs w:val="16"/>
              </w:rPr>
              <w:t>Kapitalni projekt K300001 Izrada dokumenata prostornog uređenja</w:t>
            </w:r>
          </w:p>
        </w:tc>
        <w:tc>
          <w:tcPr>
            <w:tcW w:w="1307" w:type="dxa"/>
            <w:tcBorders>
              <w:top w:val="nil"/>
              <w:left w:val="nil"/>
              <w:bottom w:val="single" w:sz="4" w:space="0" w:color="auto"/>
              <w:right w:val="single" w:sz="4" w:space="0" w:color="auto"/>
            </w:tcBorders>
            <w:shd w:val="clear" w:color="000000" w:fill="FFFFFF"/>
            <w:noWrap/>
            <w:vAlign w:val="bottom"/>
            <w:hideMark/>
          </w:tcPr>
          <w:p w14:paraId="40C0B5A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128.908,00</w:t>
            </w:r>
          </w:p>
        </w:tc>
        <w:tc>
          <w:tcPr>
            <w:tcW w:w="1123" w:type="dxa"/>
            <w:tcBorders>
              <w:top w:val="nil"/>
              <w:left w:val="nil"/>
              <w:bottom w:val="single" w:sz="4" w:space="0" w:color="auto"/>
              <w:right w:val="single" w:sz="4" w:space="0" w:color="auto"/>
            </w:tcBorders>
            <w:shd w:val="clear" w:color="000000" w:fill="FFFFFF"/>
            <w:noWrap/>
            <w:vAlign w:val="bottom"/>
            <w:hideMark/>
          </w:tcPr>
          <w:p w14:paraId="3C05D3A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-12.059,00</w:t>
            </w:r>
          </w:p>
        </w:tc>
        <w:tc>
          <w:tcPr>
            <w:tcW w:w="1123" w:type="dxa"/>
            <w:tcBorders>
              <w:top w:val="nil"/>
              <w:left w:val="nil"/>
              <w:bottom w:val="single" w:sz="4" w:space="0" w:color="auto"/>
              <w:right w:val="single" w:sz="4" w:space="0" w:color="auto"/>
            </w:tcBorders>
            <w:shd w:val="clear" w:color="000000" w:fill="FFFFFF"/>
            <w:noWrap/>
            <w:vAlign w:val="bottom"/>
            <w:hideMark/>
          </w:tcPr>
          <w:p w14:paraId="4694D36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-9,35</w:t>
            </w:r>
          </w:p>
        </w:tc>
        <w:tc>
          <w:tcPr>
            <w:tcW w:w="1240" w:type="dxa"/>
            <w:tcBorders>
              <w:top w:val="nil"/>
              <w:left w:val="nil"/>
              <w:bottom w:val="single" w:sz="4" w:space="0" w:color="auto"/>
              <w:right w:val="single" w:sz="4" w:space="0" w:color="auto"/>
            </w:tcBorders>
            <w:shd w:val="clear" w:color="000000" w:fill="FFFFFF"/>
            <w:noWrap/>
            <w:vAlign w:val="bottom"/>
            <w:hideMark/>
          </w:tcPr>
          <w:p w14:paraId="567E0EC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116.849,00</w:t>
            </w:r>
          </w:p>
        </w:tc>
      </w:tr>
      <w:tr w:rsidR="00BC7E60" w:rsidRPr="00497178" w14:paraId="0E3EBB35"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87B49B0" w14:textId="77777777" w:rsidR="00BC7E60" w:rsidRPr="00497178" w:rsidRDefault="00BC7E60" w:rsidP="00512D52">
            <w:pPr>
              <w:rPr>
                <w:rFonts w:ascii="Arial" w:hAnsi="Arial" w:cs="Arial"/>
                <w:sz w:val="16"/>
                <w:szCs w:val="16"/>
              </w:rPr>
            </w:pPr>
            <w:r w:rsidRPr="00497178">
              <w:rPr>
                <w:rFonts w:ascii="Arial" w:hAnsi="Arial" w:cs="Arial"/>
                <w:sz w:val="16"/>
                <w:szCs w:val="16"/>
              </w:rPr>
              <w:t>Kapitalni projekt K300002 Provedba dokumenata prostornog uređenja</w:t>
            </w:r>
          </w:p>
        </w:tc>
        <w:tc>
          <w:tcPr>
            <w:tcW w:w="1307" w:type="dxa"/>
            <w:tcBorders>
              <w:top w:val="nil"/>
              <w:left w:val="nil"/>
              <w:bottom w:val="single" w:sz="4" w:space="0" w:color="auto"/>
              <w:right w:val="single" w:sz="4" w:space="0" w:color="auto"/>
            </w:tcBorders>
            <w:shd w:val="clear" w:color="000000" w:fill="FFFFFF"/>
            <w:noWrap/>
            <w:vAlign w:val="bottom"/>
            <w:hideMark/>
          </w:tcPr>
          <w:p w14:paraId="0CC6CAC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58.110,00</w:t>
            </w:r>
          </w:p>
        </w:tc>
        <w:tc>
          <w:tcPr>
            <w:tcW w:w="1123" w:type="dxa"/>
            <w:tcBorders>
              <w:top w:val="nil"/>
              <w:left w:val="nil"/>
              <w:bottom w:val="single" w:sz="4" w:space="0" w:color="auto"/>
              <w:right w:val="single" w:sz="4" w:space="0" w:color="auto"/>
            </w:tcBorders>
            <w:shd w:val="clear" w:color="000000" w:fill="FFFFFF"/>
            <w:noWrap/>
            <w:vAlign w:val="bottom"/>
            <w:hideMark/>
          </w:tcPr>
          <w:p w14:paraId="415D954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3E3470A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CD18DE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58.110,00</w:t>
            </w:r>
          </w:p>
        </w:tc>
      </w:tr>
      <w:tr w:rsidR="00BC7E60" w:rsidRPr="00497178" w14:paraId="10E4535A"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17A08858"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3002 Izgradnja komunalne infrastrukture</w:t>
            </w:r>
          </w:p>
        </w:tc>
        <w:tc>
          <w:tcPr>
            <w:tcW w:w="1307" w:type="dxa"/>
            <w:tcBorders>
              <w:top w:val="nil"/>
              <w:left w:val="nil"/>
              <w:bottom w:val="single" w:sz="4" w:space="0" w:color="auto"/>
              <w:right w:val="single" w:sz="4" w:space="0" w:color="auto"/>
            </w:tcBorders>
            <w:shd w:val="clear" w:color="000000" w:fill="FFFFFF"/>
            <w:noWrap/>
            <w:vAlign w:val="bottom"/>
            <w:hideMark/>
          </w:tcPr>
          <w:p w14:paraId="049B5244"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2.272.742,00</w:t>
            </w:r>
          </w:p>
        </w:tc>
        <w:tc>
          <w:tcPr>
            <w:tcW w:w="1123" w:type="dxa"/>
            <w:tcBorders>
              <w:top w:val="nil"/>
              <w:left w:val="nil"/>
              <w:bottom w:val="single" w:sz="4" w:space="0" w:color="auto"/>
              <w:right w:val="single" w:sz="4" w:space="0" w:color="auto"/>
            </w:tcBorders>
            <w:shd w:val="clear" w:color="000000" w:fill="FFFFFF"/>
            <w:noWrap/>
            <w:vAlign w:val="bottom"/>
            <w:hideMark/>
          </w:tcPr>
          <w:p w14:paraId="55AFBA51"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-874.113,00</w:t>
            </w:r>
          </w:p>
        </w:tc>
        <w:tc>
          <w:tcPr>
            <w:tcW w:w="1123" w:type="dxa"/>
            <w:tcBorders>
              <w:top w:val="nil"/>
              <w:left w:val="nil"/>
              <w:bottom w:val="single" w:sz="4" w:space="0" w:color="auto"/>
              <w:right w:val="single" w:sz="4" w:space="0" w:color="auto"/>
            </w:tcBorders>
            <w:shd w:val="clear" w:color="000000" w:fill="FFFFFF"/>
            <w:noWrap/>
            <w:vAlign w:val="bottom"/>
            <w:hideMark/>
          </w:tcPr>
          <w:p w14:paraId="518B976E"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-38,46</w:t>
            </w:r>
          </w:p>
        </w:tc>
        <w:tc>
          <w:tcPr>
            <w:tcW w:w="1240" w:type="dxa"/>
            <w:tcBorders>
              <w:top w:val="nil"/>
              <w:left w:val="nil"/>
              <w:bottom w:val="single" w:sz="4" w:space="0" w:color="auto"/>
              <w:right w:val="single" w:sz="4" w:space="0" w:color="auto"/>
            </w:tcBorders>
            <w:shd w:val="clear" w:color="000000" w:fill="FFFFFF"/>
            <w:noWrap/>
            <w:vAlign w:val="bottom"/>
            <w:hideMark/>
          </w:tcPr>
          <w:p w14:paraId="733D4747"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1.398.629,00</w:t>
            </w:r>
          </w:p>
        </w:tc>
      </w:tr>
      <w:tr w:rsidR="00BC7E60" w:rsidRPr="00497178" w14:paraId="72AF9BF7"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225E4E2F" w14:textId="77777777" w:rsidR="00BC7E60" w:rsidRPr="00497178" w:rsidRDefault="00BC7E60" w:rsidP="00512D52">
            <w:pPr>
              <w:rPr>
                <w:rFonts w:ascii="Arial" w:hAnsi="Arial" w:cs="Arial"/>
                <w:sz w:val="16"/>
                <w:szCs w:val="16"/>
              </w:rPr>
            </w:pPr>
            <w:r w:rsidRPr="00497178">
              <w:rPr>
                <w:rFonts w:ascii="Arial" w:hAnsi="Arial" w:cs="Arial"/>
                <w:sz w:val="16"/>
                <w:szCs w:val="16"/>
              </w:rPr>
              <w:t>Kapitalni projekt K300006 Projekti cesta i ostale infrastrukture u zonama izgradnje</w:t>
            </w:r>
          </w:p>
        </w:tc>
        <w:tc>
          <w:tcPr>
            <w:tcW w:w="1307" w:type="dxa"/>
            <w:tcBorders>
              <w:top w:val="nil"/>
              <w:left w:val="nil"/>
              <w:bottom w:val="single" w:sz="4" w:space="0" w:color="auto"/>
              <w:right w:val="single" w:sz="4" w:space="0" w:color="auto"/>
            </w:tcBorders>
            <w:shd w:val="clear" w:color="000000" w:fill="FFFFFF"/>
            <w:noWrap/>
            <w:vAlign w:val="bottom"/>
            <w:hideMark/>
          </w:tcPr>
          <w:p w14:paraId="16EA142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25.000,00</w:t>
            </w:r>
          </w:p>
        </w:tc>
        <w:tc>
          <w:tcPr>
            <w:tcW w:w="1123" w:type="dxa"/>
            <w:tcBorders>
              <w:top w:val="nil"/>
              <w:left w:val="nil"/>
              <w:bottom w:val="single" w:sz="4" w:space="0" w:color="auto"/>
              <w:right w:val="single" w:sz="4" w:space="0" w:color="auto"/>
            </w:tcBorders>
            <w:shd w:val="clear" w:color="000000" w:fill="FFFFFF"/>
            <w:noWrap/>
            <w:vAlign w:val="bottom"/>
            <w:hideMark/>
          </w:tcPr>
          <w:p w14:paraId="2D14D78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139DB72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487395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25.000,00</w:t>
            </w:r>
          </w:p>
        </w:tc>
      </w:tr>
      <w:tr w:rsidR="00BC7E60" w:rsidRPr="00497178" w14:paraId="357FAA02"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5FF3902"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Kapitalni projekt K300012 Infrastruktura u starogradskoj jezgri i popločenje </w:t>
            </w:r>
            <w:proofErr w:type="spellStart"/>
            <w:r w:rsidRPr="00497178">
              <w:rPr>
                <w:rFonts w:ascii="Arial" w:hAnsi="Arial" w:cs="Arial"/>
                <w:sz w:val="16"/>
                <w:szCs w:val="16"/>
              </w:rPr>
              <w:t>parternih</w:t>
            </w:r>
            <w:proofErr w:type="spellEnd"/>
            <w:r w:rsidRPr="00497178">
              <w:rPr>
                <w:rFonts w:ascii="Arial" w:hAnsi="Arial" w:cs="Arial"/>
                <w:sz w:val="16"/>
                <w:szCs w:val="16"/>
              </w:rPr>
              <w:t xml:space="preserve"> površina</w:t>
            </w:r>
          </w:p>
        </w:tc>
        <w:tc>
          <w:tcPr>
            <w:tcW w:w="1307" w:type="dxa"/>
            <w:tcBorders>
              <w:top w:val="nil"/>
              <w:left w:val="nil"/>
              <w:bottom w:val="single" w:sz="4" w:space="0" w:color="auto"/>
              <w:right w:val="single" w:sz="4" w:space="0" w:color="auto"/>
            </w:tcBorders>
            <w:shd w:val="clear" w:color="000000" w:fill="FFFFFF"/>
            <w:noWrap/>
            <w:vAlign w:val="bottom"/>
            <w:hideMark/>
          </w:tcPr>
          <w:p w14:paraId="3B3AD95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296.800,00</w:t>
            </w:r>
          </w:p>
        </w:tc>
        <w:tc>
          <w:tcPr>
            <w:tcW w:w="1123" w:type="dxa"/>
            <w:tcBorders>
              <w:top w:val="nil"/>
              <w:left w:val="nil"/>
              <w:bottom w:val="single" w:sz="4" w:space="0" w:color="auto"/>
              <w:right w:val="single" w:sz="4" w:space="0" w:color="auto"/>
            </w:tcBorders>
            <w:shd w:val="clear" w:color="000000" w:fill="FFFFFF"/>
            <w:noWrap/>
            <w:vAlign w:val="bottom"/>
            <w:hideMark/>
          </w:tcPr>
          <w:p w14:paraId="5BAFDF3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-261.800,00</w:t>
            </w:r>
          </w:p>
        </w:tc>
        <w:tc>
          <w:tcPr>
            <w:tcW w:w="1123" w:type="dxa"/>
            <w:tcBorders>
              <w:top w:val="nil"/>
              <w:left w:val="nil"/>
              <w:bottom w:val="single" w:sz="4" w:space="0" w:color="auto"/>
              <w:right w:val="single" w:sz="4" w:space="0" w:color="auto"/>
            </w:tcBorders>
            <w:shd w:val="clear" w:color="000000" w:fill="FFFFFF"/>
            <w:noWrap/>
            <w:vAlign w:val="bottom"/>
            <w:hideMark/>
          </w:tcPr>
          <w:p w14:paraId="0513960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-88,21</w:t>
            </w:r>
          </w:p>
        </w:tc>
        <w:tc>
          <w:tcPr>
            <w:tcW w:w="1240" w:type="dxa"/>
            <w:tcBorders>
              <w:top w:val="nil"/>
              <w:left w:val="nil"/>
              <w:bottom w:val="single" w:sz="4" w:space="0" w:color="auto"/>
              <w:right w:val="single" w:sz="4" w:space="0" w:color="auto"/>
            </w:tcBorders>
            <w:shd w:val="clear" w:color="000000" w:fill="FFFFFF"/>
            <w:noWrap/>
            <w:vAlign w:val="bottom"/>
            <w:hideMark/>
          </w:tcPr>
          <w:p w14:paraId="5B6E675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35.000,00</w:t>
            </w:r>
          </w:p>
        </w:tc>
      </w:tr>
      <w:tr w:rsidR="00BC7E60" w:rsidRPr="00497178" w14:paraId="64D84837"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DA9DF0C"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Kapitalni projekt K300029 Park </w:t>
            </w:r>
            <w:proofErr w:type="spellStart"/>
            <w:r w:rsidRPr="00497178">
              <w:rPr>
                <w:rFonts w:ascii="Arial" w:hAnsi="Arial" w:cs="Arial"/>
                <w:sz w:val="16"/>
                <w:szCs w:val="16"/>
              </w:rPr>
              <w:t>Pineta</w:t>
            </w:r>
            <w:proofErr w:type="spellEnd"/>
          </w:p>
        </w:tc>
        <w:tc>
          <w:tcPr>
            <w:tcW w:w="1307" w:type="dxa"/>
            <w:tcBorders>
              <w:top w:val="nil"/>
              <w:left w:val="nil"/>
              <w:bottom w:val="single" w:sz="4" w:space="0" w:color="auto"/>
              <w:right w:val="single" w:sz="4" w:space="0" w:color="auto"/>
            </w:tcBorders>
            <w:shd w:val="clear" w:color="000000" w:fill="FFFFFF"/>
            <w:noWrap/>
            <w:vAlign w:val="bottom"/>
            <w:hideMark/>
          </w:tcPr>
          <w:p w14:paraId="78DEC4C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408.186,00</w:t>
            </w:r>
          </w:p>
        </w:tc>
        <w:tc>
          <w:tcPr>
            <w:tcW w:w="1123" w:type="dxa"/>
            <w:tcBorders>
              <w:top w:val="nil"/>
              <w:left w:val="nil"/>
              <w:bottom w:val="single" w:sz="4" w:space="0" w:color="auto"/>
              <w:right w:val="single" w:sz="4" w:space="0" w:color="auto"/>
            </w:tcBorders>
            <w:shd w:val="clear" w:color="000000" w:fill="FFFFFF"/>
            <w:noWrap/>
            <w:vAlign w:val="bottom"/>
            <w:hideMark/>
          </w:tcPr>
          <w:p w14:paraId="152FABA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-277.155,00</w:t>
            </w:r>
          </w:p>
        </w:tc>
        <w:tc>
          <w:tcPr>
            <w:tcW w:w="1123" w:type="dxa"/>
            <w:tcBorders>
              <w:top w:val="nil"/>
              <w:left w:val="nil"/>
              <w:bottom w:val="single" w:sz="4" w:space="0" w:color="auto"/>
              <w:right w:val="single" w:sz="4" w:space="0" w:color="auto"/>
            </w:tcBorders>
            <w:shd w:val="clear" w:color="000000" w:fill="FFFFFF"/>
            <w:noWrap/>
            <w:vAlign w:val="bottom"/>
            <w:hideMark/>
          </w:tcPr>
          <w:p w14:paraId="60DA24A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-67,90</w:t>
            </w:r>
          </w:p>
        </w:tc>
        <w:tc>
          <w:tcPr>
            <w:tcW w:w="1240" w:type="dxa"/>
            <w:tcBorders>
              <w:top w:val="nil"/>
              <w:left w:val="nil"/>
              <w:bottom w:val="single" w:sz="4" w:space="0" w:color="auto"/>
              <w:right w:val="single" w:sz="4" w:space="0" w:color="auto"/>
            </w:tcBorders>
            <w:shd w:val="clear" w:color="000000" w:fill="FFFFFF"/>
            <w:noWrap/>
            <w:vAlign w:val="bottom"/>
            <w:hideMark/>
          </w:tcPr>
          <w:p w14:paraId="2BBBF5F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131.031,00</w:t>
            </w:r>
          </w:p>
        </w:tc>
      </w:tr>
      <w:tr w:rsidR="00BC7E60" w:rsidRPr="00497178" w14:paraId="4BE2BE4A"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857625C" w14:textId="77777777" w:rsidR="00BC7E60" w:rsidRPr="00497178" w:rsidRDefault="00BC7E60" w:rsidP="00512D52">
            <w:pPr>
              <w:rPr>
                <w:rFonts w:ascii="Arial" w:hAnsi="Arial" w:cs="Arial"/>
                <w:sz w:val="16"/>
                <w:szCs w:val="16"/>
              </w:rPr>
            </w:pPr>
            <w:r w:rsidRPr="00497178">
              <w:rPr>
                <w:rFonts w:ascii="Arial" w:hAnsi="Arial" w:cs="Arial"/>
                <w:sz w:val="16"/>
                <w:szCs w:val="16"/>
              </w:rPr>
              <w:t>Kapitalni projekt K300038 Spomenik rudaru borcu</w:t>
            </w:r>
          </w:p>
        </w:tc>
        <w:tc>
          <w:tcPr>
            <w:tcW w:w="1307" w:type="dxa"/>
            <w:tcBorders>
              <w:top w:val="nil"/>
              <w:left w:val="nil"/>
              <w:bottom w:val="single" w:sz="4" w:space="0" w:color="auto"/>
              <w:right w:val="single" w:sz="4" w:space="0" w:color="auto"/>
            </w:tcBorders>
            <w:shd w:val="clear" w:color="000000" w:fill="FFFFFF"/>
            <w:noWrap/>
            <w:vAlign w:val="bottom"/>
            <w:hideMark/>
          </w:tcPr>
          <w:p w14:paraId="2B65515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147.990,00</w:t>
            </w:r>
          </w:p>
        </w:tc>
        <w:tc>
          <w:tcPr>
            <w:tcW w:w="1123" w:type="dxa"/>
            <w:tcBorders>
              <w:top w:val="nil"/>
              <w:left w:val="nil"/>
              <w:bottom w:val="single" w:sz="4" w:space="0" w:color="auto"/>
              <w:right w:val="single" w:sz="4" w:space="0" w:color="auto"/>
            </w:tcBorders>
            <w:shd w:val="clear" w:color="000000" w:fill="FFFFFF"/>
            <w:noWrap/>
            <w:vAlign w:val="bottom"/>
            <w:hideMark/>
          </w:tcPr>
          <w:p w14:paraId="68EE625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1.153,00</w:t>
            </w:r>
          </w:p>
        </w:tc>
        <w:tc>
          <w:tcPr>
            <w:tcW w:w="1123" w:type="dxa"/>
            <w:tcBorders>
              <w:top w:val="nil"/>
              <w:left w:val="nil"/>
              <w:bottom w:val="single" w:sz="4" w:space="0" w:color="auto"/>
              <w:right w:val="single" w:sz="4" w:space="0" w:color="auto"/>
            </w:tcBorders>
            <w:shd w:val="clear" w:color="000000" w:fill="FFFFFF"/>
            <w:noWrap/>
            <w:vAlign w:val="bottom"/>
            <w:hideMark/>
          </w:tcPr>
          <w:p w14:paraId="1C3FF82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0,78</w:t>
            </w:r>
          </w:p>
        </w:tc>
        <w:tc>
          <w:tcPr>
            <w:tcW w:w="1240" w:type="dxa"/>
            <w:tcBorders>
              <w:top w:val="nil"/>
              <w:left w:val="nil"/>
              <w:bottom w:val="single" w:sz="4" w:space="0" w:color="auto"/>
              <w:right w:val="single" w:sz="4" w:space="0" w:color="auto"/>
            </w:tcBorders>
            <w:shd w:val="clear" w:color="000000" w:fill="FFFFFF"/>
            <w:noWrap/>
            <w:vAlign w:val="bottom"/>
            <w:hideMark/>
          </w:tcPr>
          <w:p w14:paraId="5D20BC4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149.143,00</w:t>
            </w:r>
          </w:p>
        </w:tc>
      </w:tr>
      <w:tr w:rsidR="00BC7E60" w:rsidRPr="00497178" w14:paraId="10D931F7"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4AAEAF5" w14:textId="77777777" w:rsidR="00BC7E60" w:rsidRPr="00497178" w:rsidRDefault="00BC7E60" w:rsidP="00512D52">
            <w:pPr>
              <w:rPr>
                <w:rFonts w:ascii="Arial" w:hAnsi="Arial" w:cs="Arial"/>
                <w:sz w:val="16"/>
                <w:szCs w:val="16"/>
              </w:rPr>
            </w:pPr>
            <w:r w:rsidRPr="00497178">
              <w:rPr>
                <w:rFonts w:ascii="Arial" w:hAnsi="Arial" w:cs="Arial"/>
                <w:sz w:val="16"/>
                <w:szCs w:val="16"/>
              </w:rPr>
              <w:t>Kapitalni projekt K300041 Ostali poslovi vezani za izgradnju komunalne infrastrukture</w:t>
            </w:r>
          </w:p>
        </w:tc>
        <w:tc>
          <w:tcPr>
            <w:tcW w:w="1307" w:type="dxa"/>
            <w:tcBorders>
              <w:top w:val="nil"/>
              <w:left w:val="nil"/>
              <w:bottom w:val="single" w:sz="4" w:space="0" w:color="auto"/>
              <w:right w:val="single" w:sz="4" w:space="0" w:color="auto"/>
            </w:tcBorders>
            <w:shd w:val="clear" w:color="000000" w:fill="FFFFFF"/>
            <w:noWrap/>
            <w:vAlign w:val="bottom"/>
            <w:hideMark/>
          </w:tcPr>
          <w:p w14:paraId="3C049D2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63.495,00</w:t>
            </w:r>
          </w:p>
        </w:tc>
        <w:tc>
          <w:tcPr>
            <w:tcW w:w="1123" w:type="dxa"/>
            <w:tcBorders>
              <w:top w:val="nil"/>
              <w:left w:val="nil"/>
              <w:bottom w:val="single" w:sz="4" w:space="0" w:color="auto"/>
              <w:right w:val="single" w:sz="4" w:space="0" w:color="auto"/>
            </w:tcBorders>
            <w:shd w:val="clear" w:color="000000" w:fill="FFFFFF"/>
            <w:noWrap/>
            <w:vAlign w:val="bottom"/>
            <w:hideMark/>
          </w:tcPr>
          <w:p w14:paraId="180EE84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1.035,00</w:t>
            </w:r>
          </w:p>
        </w:tc>
        <w:tc>
          <w:tcPr>
            <w:tcW w:w="1123" w:type="dxa"/>
            <w:tcBorders>
              <w:top w:val="nil"/>
              <w:left w:val="nil"/>
              <w:bottom w:val="single" w:sz="4" w:space="0" w:color="auto"/>
              <w:right w:val="single" w:sz="4" w:space="0" w:color="auto"/>
            </w:tcBorders>
            <w:shd w:val="clear" w:color="000000" w:fill="FFFFFF"/>
            <w:noWrap/>
            <w:vAlign w:val="bottom"/>
            <w:hideMark/>
          </w:tcPr>
          <w:p w14:paraId="0EF2656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1,63</w:t>
            </w:r>
          </w:p>
        </w:tc>
        <w:tc>
          <w:tcPr>
            <w:tcW w:w="1240" w:type="dxa"/>
            <w:tcBorders>
              <w:top w:val="nil"/>
              <w:left w:val="nil"/>
              <w:bottom w:val="single" w:sz="4" w:space="0" w:color="auto"/>
              <w:right w:val="single" w:sz="4" w:space="0" w:color="auto"/>
            </w:tcBorders>
            <w:shd w:val="clear" w:color="000000" w:fill="FFFFFF"/>
            <w:noWrap/>
            <w:vAlign w:val="bottom"/>
            <w:hideMark/>
          </w:tcPr>
          <w:p w14:paraId="042815C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64.530,00</w:t>
            </w:r>
          </w:p>
        </w:tc>
      </w:tr>
      <w:tr w:rsidR="00BC7E60" w:rsidRPr="00497178" w14:paraId="129350C8"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75E980F" w14:textId="77777777" w:rsidR="00BC7E60" w:rsidRPr="00497178" w:rsidRDefault="00BC7E60" w:rsidP="00512D52">
            <w:pPr>
              <w:rPr>
                <w:rFonts w:ascii="Arial" w:hAnsi="Arial" w:cs="Arial"/>
                <w:sz w:val="16"/>
                <w:szCs w:val="16"/>
              </w:rPr>
            </w:pPr>
            <w:r w:rsidRPr="00497178">
              <w:rPr>
                <w:rFonts w:ascii="Arial" w:hAnsi="Arial" w:cs="Arial"/>
                <w:sz w:val="16"/>
                <w:szCs w:val="16"/>
              </w:rPr>
              <w:t>Kapitalni projekt K300044 Opremanje zone urbanih vila na lokaciji uz Istarsku ulicu</w:t>
            </w:r>
          </w:p>
        </w:tc>
        <w:tc>
          <w:tcPr>
            <w:tcW w:w="1307" w:type="dxa"/>
            <w:tcBorders>
              <w:top w:val="nil"/>
              <w:left w:val="nil"/>
              <w:bottom w:val="single" w:sz="4" w:space="0" w:color="auto"/>
              <w:right w:val="single" w:sz="4" w:space="0" w:color="auto"/>
            </w:tcBorders>
            <w:shd w:val="clear" w:color="000000" w:fill="FFFFFF"/>
            <w:noWrap/>
            <w:vAlign w:val="bottom"/>
            <w:hideMark/>
          </w:tcPr>
          <w:p w14:paraId="02FC74A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90.700,00</w:t>
            </w:r>
          </w:p>
        </w:tc>
        <w:tc>
          <w:tcPr>
            <w:tcW w:w="1123" w:type="dxa"/>
            <w:tcBorders>
              <w:top w:val="nil"/>
              <w:left w:val="nil"/>
              <w:bottom w:val="single" w:sz="4" w:space="0" w:color="auto"/>
              <w:right w:val="single" w:sz="4" w:space="0" w:color="auto"/>
            </w:tcBorders>
            <w:shd w:val="clear" w:color="000000" w:fill="FFFFFF"/>
            <w:noWrap/>
            <w:vAlign w:val="bottom"/>
            <w:hideMark/>
          </w:tcPr>
          <w:p w14:paraId="2A14189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60001E3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F9502A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90.700,00</w:t>
            </w:r>
          </w:p>
        </w:tc>
      </w:tr>
      <w:tr w:rsidR="00BC7E60" w:rsidRPr="00497178" w14:paraId="77F469EF"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388EBE3B"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Kapitalni projekt K300045 Nerazvrstana cesta u Rapcu (k.č.1779/4, </w:t>
            </w:r>
            <w:proofErr w:type="spellStart"/>
            <w:r w:rsidRPr="00497178">
              <w:rPr>
                <w:rFonts w:ascii="Arial" w:hAnsi="Arial" w:cs="Arial"/>
                <w:sz w:val="16"/>
                <w:szCs w:val="16"/>
              </w:rPr>
              <w:t>k.č</w:t>
            </w:r>
            <w:proofErr w:type="spellEnd"/>
            <w:r w:rsidRPr="00497178">
              <w:rPr>
                <w:rFonts w:ascii="Arial" w:hAnsi="Arial" w:cs="Arial"/>
                <w:sz w:val="16"/>
                <w:szCs w:val="16"/>
              </w:rPr>
              <w:t xml:space="preserve">. 1770/5 i </w:t>
            </w:r>
            <w:proofErr w:type="spellStart"/>
            <w:r w:rsidRPr="00497178">
              <w:rPr>
                <w:rFonts w:ascii="Arial" w:hAnsi="Arial" w:cs="Arial"/>
                <w:sz w:val="16"/>
                <w:szCs w:val="16"/>
              </w:rPr>
              <w:t>k.č</w:t>
            </w:r>
            <w:proofErr w:type="spellEnd"/>
            <w:r w:rsidRPr="00497178">
              <w:rPr>
                <w:rFonts w:ascii="Arial" w:hAnsi="Arial" w:cs="Arial"/>
                <w:sz w:val="16"/>
                <w:szCs w:val="16"/>
              </w:rPr>
              <w:t xml:space="preserve">. 1778/6 sve k.o. </w:t>
            </w:r>
            <w:proofErr w:type="spellStart"/>
            <w:r w:rsidRPr="00497178">
              <w:rPr>
                <w:rFonts w:ascii="Arial" w:hAnsi="Arial" w:cs="Arial"/>
                <w:sz w:val="16"/>
                <w:szCs w:val="16"/>
              </w:rPr>
              <w:t>Ripenda</w:t>
            </w:r>
            <w:proofErr w:type="spellEnd"/>
            <w:r w:rsidRPr="00497178">
              <w:rPr>
                <w:rFonts w:ascii="Arial" w:hAnsi="Arial" w:cs="Arial"/>
                <w:sz w:val="16"/>
                <w:szCs w:val="16"/>
              </w:rPr>
              <w:t>) - spoj na NC 16</w:t>
            </w:r>
          </w:p>
        </w:tc>
        <w:tc>
          <w:tcPr>
            <w:tcW w:w="1307" w:type="dxa"/>
            <w:tcBorders>
              <w:top w:val="nil"/>
              <w:left w:val="nil"/>
              <w:bottom w:val="single" w:sz="4" w:space="0" w:color="auto"/>
              <w:right w:val="single" w:sz="4" w:space="0" w:color="auto"/>
            </w:tcBorders>
            <w:shd w:val="clear" w:color="000000" w:fill="FFFFFF"/>
            <w:noWrap/>
            <w:vAlign w:val="bottom"/>
            <w:hideMark/>
          </w:tcPr>
          <w:p w14:paraId="5724B26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63.570,00</w:t>
            </w:r>
          </w:p>
        </w:tc>
        <w:tc>
          <w:tcPr>
            <w:tcW w:w="1123" w:type="dxa"/>
            <w:tcBorders>
              <w:top w:val="nil"/>
              <w:left w:val="nil"/>
              <w:bottom w:val="single" w:sz="4" w:space="0" w:color="auto"/>
              <w:right w:val="single" w:sz="4" w:space="0" w:color="auto"/>
            </w:tcBorders>
            <w:shd w:val="clear" w:color="000000" w:fill="FFFFFF"/>
            <w:noWrap/>
            <w:vAlign w:val="bottom"/>
            <w:hideMark/>
          </w:tcPr>
          <w:p w14:paraId="35DCF28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78503DF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96522C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63.570,00</w:t>
            </w:r>
          </w:p>
        </w:tc>
      </w:tr>
      <w:tr w:rsidR="00BC7E60" w:rsidRPr="00497178" w14:paraId="67D30E3E"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690EBC2"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Kapitalni projekt K300051 Omladinska </w:t>
            </w:r>
            <w:proofErr w:type="spellStart"/>
            <w:r w:rsidRPr="00497178">
              <w:rPr>
                <w:rFonts w:ascii="Arial" w:hAnsi="Arial" w:cs="Arial"/>
                <w:sz w:val="16"/>
                <w:szCs w:val="16"/>
              </w:rPr>
              <w:t>uica</w:t>
            </w:r>
            <w:proofErr w:type="spellEnd"/>
            <w:r w:rsidRPr="00497178">
              <w:rPr>
                <w:rFonts w:ascii="Arial" w:hAnsi="Arial" w:cs="Arial"/>
                <w:sz w:val="16"/>
                <w:szCs w:val="16"/>
              </w:rPr>
              <w:t xml:space="preserve"> Rabac - rekonstrukcija raskrižja</w:t>
            </w:r>
          </w:p>
        </w:tc>
        <w:tc>
          <w:tcPr>
            <w:tcW w:w="1307" w:type="dxa"/>
            <w:tcBorders>
              <w:top w:val="nil"/>
              <w:left w:val="nil"/>
              <w:bottom w:val="single" w:sz="4" w:space="0" w:color="auto"/>
              <w:right w:val="single" w:sz="4" w:space="0" w:color="auto"/>
            </w:tcBorders>
            <w:shd w:val="clear" w:color="000000" w:fill="FFFFFF"/>
            <w:noWrap/>
            <w:vAlign w:val="bottom"/>
            <w:hideMark/>
          </w:tcPr>
          <w:p w14:paraId="30B16E1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205.215,00</w:t>
            </w:r>
          </w:p>
        </w:tc>
        <w:tc>
          <w:tcPr>
            <w:tcW w:w="1123" w:type="dxa"/>
            <w:tcBorders>
              <w:top w:val="nil"/>
              <w:left w:val="nil"/>
              <w:bottom w:val="single" w:sz="4" w:space="0" w:color="auto"/>
              <w:right w:val="single" w:sz="4" w:space="0" w:color="auto"/>
            </w:tcBorders>
            <w:shd w:val="clear" w:color="000000" w:fill="FFFFFF"/>
            <w:noWrap/>
            <w:vAlign w:val="bottom"/>
            <w:hideMark/>
          </w:tcPr>
          <w:p w14:paraId="21D8F82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1BB5499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4D5C42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205.215,00</w:t>
            </w:r>
          </w:p>
        </w:tc>
      </w:tr>
      <w:tr w:rsidR="00BC7E60" w:rsidRPr="00497178" w14:paraId="6FDE3162"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26D646F4" w14:textId="77777777" w:rsidR="00BC7E60" w:rsidRPr="00497178" w:rsidRDefault="00BC7E60" w:rsidP="00512D52">
            <w:pPr>
              <w:rPr>
                <w:rFonts w:ascii="Arial" w:hAnsi="Arial" w:cs="Arial"/>
                <w:sz w:val="16"/>
                <w:szCs w:val="16"/>
              </w:rPr>
            </w:pPr>
            <w:r w:rsidRPr="00497178">
              <w:rPr>
                <w:rFonts w:ascii="Arial" w:hAnsi="Arial" w:cs="Arial"/>
                <w:sz w:val="16"/>
                <w:szCs w:val="16"/>
              </w:rPr>
              <w:t>Kapitalni projekt K300055 Uređenje priobalnog dijela Centralne zone naselja Rabac</w:t>
            </w:r>
          </w:p>
        </w:tc>
        <w:tc>
          <w:tcPr>
            <w:tcW w:w="1307" w:type="dxa"/>
            <w:tcBorders>
              <w:top w:val="nil"/>
              <w:left w:val="nil"/>
              <w:bottom w:val="single" w:sz="4" w:space="0" w:color="auto"/>
              <w:right w:val="single" w:sz="4" w:space="0" w:color="auto"/>
            </w:tcBorders>
            <w:shd w:val="clear" w:color="000000" w:fill="FFFFFF"/>
            <w:noWrap/>
            <w:vAlign w:val="bottom"/>
            <w:hideMark/>
          </w:tcPr>
          <w:p w14:paraId="056CBDB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77.164,00</w:t>
            </w:r>
          </w:p>
        </w:tc>
        <w:tc>
          <w:tcPr>
            <w:tcW w:w="1123" w:type="dxa"/>
            <w:tcBorders>
              <w:top w:val="nil"/>
              <w:left w:val="nil"/>
              <w:bottom w:val="single" w:sz="4" w:space="0" w:color="auto"/>
              <w:right w:val="single" w:sz="4" w:space="0" w:color="auto"/>
            </w:tcBorders>
            <w:shd w:val="clear" w:color="000000" w:fill="FFFFFF"/>
            <w:noWrap/>
            <w:vAlign w:val="bottom"/>
            <w:hideMark/>
          </w:tcPr>
          <w:p w14:paraId="37B7868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-50.000,00</w:t>
            </w:r>
          </w:p>
        </w:tc>
        <w:tc>
          <w:tcPr>
            <w:tcW w:w="1123" w:type="dxa"/>
            <w:tcBorders>
              <w:top w:val="nil"/>
              <w:left w:val="nil"/>
              <w:bottom w:val="single" w:sz="4" w:space="0" w:color="auto"/>
              <w:right w:val="single" w:sz="4" w:space="0" w:color="auto"/>
            </w:tcBorders>
            <w:shd w:val="clear" w:color="000000" w:fill="FFFFFF"/>
            <w:noWrap/>
            <w:vAlign w:val="bottom"/>
            <w:hideMark/>
          </w:tcPr>
          <w:p w14:paraId="16B0A97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-64,80</w:t>
            </w:r>
          </w:p>
        </w:tc>
        <w:tc>
          <w:tcPr>
            <w:tcW w:w="1240" w:type="dxa"/>
            <w:tcBorders>
              <w:top w:val="nil"/>
              <w:left w:val="nil"/>
              <w:bottom w:val="single" w:sz="4" w:space="0" w:color="auto"/>
              <w:right w:val="single" w:sz="4" w:space="0" w:color="auto"/>
            </w:tcBorders>
            <w:shd w:val="clear" w:color="000000" w:fill="FFFFFF"/>
            <w:noWrap/>
            <w:vAlign w:val="bottom"/>
            <w:hideMark/>
          </w:tcPr>
          <w:p w14:paraId="1262B59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27.164,00</w:t>
            </w:r>
          </w:p>
        </w:tc>
      </w:tr>
      <w:tr w:rsidR="00BC7E60" w:rsidRPr="00497178" w14:paraId="39D28E76"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3A196547"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Kapitalni projekt K300056 Cesta Ulaz Rabac - Ulica </w:t>
            </w:r>
            <w:proofErr w:type="spellStart"/>
            <w:r w:rsidRPr="00497178">
              <w:rPr>
                <w:rFonts w:ascii="Arial" w:hAnsi="Arial" w:cs="Arial"/>
                <w:sz w:val="16"/>
                <w:szCs w:val="16"/>
              </w:rPr>
              <w:t>G.Martinuzzi</w:t>
            </w:r>
            <w:proofErr w:type="spellEnd"/>
            <w:r w:rsidRPr="00497178">
              <w:rPr>
                <w:rFonts w:ascii="Arial" w:hAnsi="Arial" w:cs="Arial"/>
                <w:sz w:val="16"/>
                <w:szCs w:val="16"/>
              </w:rPr>
              <w:t>-  Creska ulica</w:t>
            </w:r>
          </w:p>
        </w:tc>
        <w:tc>
          <w:tcPr>
            <w:tcW w:w="1307" w:type="dxa"/>
            <w:tcBorders>
              <w:top w:val="nil"/>
              <w:left w:val="nil"/>
              <w:bottom w:val="single" w:sz="4" w:space="0" w:color="auto"/>
              <w:right w:val="single" w:sz="4" w:space="0" w:color="auto"/>
            </w:tcBorders>
            <w:shd w:val="clear" w:color="000000" w:fill="FFFFFF"/>
            <w:noWrap/>
            <w:vAlign w:val="bottom"/>
            <w:hideMark/>
          </w:tcPr>
          <w:p w14:paraId="7B4F253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250.000,00</w:t>
            </w:r>
          </w:p>
        </w:tc>
        <w:tc>
          <w:tcPr>
            <w:tcW w:w="1123" w:type="dxa"/>
            <w:tcBorders>
              <w:top w:val="nil"/>
              <w:left w:val="nil"/>
              <w:bottom w:val="single" w:sz="4" w:space="0" w:color="auto"/>
              <w:right w:val="single" w:sz="4" w:space="0" w:color="auto"/>
            </w:tcBorders>
            <w:shd w:val="clear" w:color="000000" w:fill="FFFFFF"/>
            <w:noWrap/>
            <w:vAlign w:val="bottom"/>
            <w:hideMark/>
          </w:tcPr>
          <w:p w14:paraId="26529ED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4AA3A5D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31E3B3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250.000,00</w:t>
            </w:r>
          </w:p>
        </w:tc>
      </w:tr>
      <w:tr w:rsidR="00BC7E60" w:rsidRPr="00497178" w14:paraId="3F2DA8CA"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DB02AC5"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Kapitalni projekt K300058 Park </w:t>
            </w:r>
            <w:proofErr w:type="spellStart"/>
            <w:r w:rsidRPr="00497178">
              <w:rPr>
                <w:rFonts w:ascii="Arial" w:hAnsi="Arial" w:cs="Arial"/>
                <w:sz w:val="16"/>
                <w:szCs w:val="16"/>
              </w:rPr>
              <w:t>Kature</w:t>
            </w:r>
            <w:proofErr w:type="spellEnd"/>
          </w:p>
        </w:tc>
        <w:tc>
          <w:tcPr>
            <w:tcW w:w="1307" w:type="dxa"/>
            <w:tcBorders>
              <w:top w:val="nil"/>
              <w:left w:val="nil"/>
              <w:bottom w:val="single" w:sz="4" w:space="0" w:color="auto"/>
              <w:right w:val="single" w:sz="4" w:space="0" w:color="auto"/>
            </w:tcBorders>
            <w:shd w:val="clear" w:color="000000" w:fill="FFFFFF"/>
            <w:noWrap/>
            <w:vAlign w:val="bottom"/>
            <w:hideMark/>
          </w:tcPr>
          <w:p w14:paraId="4A65B99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377.622,00</w:t>
            </w:r>
          </w:p>
        </w:tc>
        <w:tc>
          <w:tcPr>
            <w:tcW w:w="1123" w:type="dxa"/>
            <w:tcBorders>
              <w:top w:val="nil"/>
              <w:left w:val="nil"/>
              <w:bottom w:val="single" w:sz="4" w:space="0" w:color="auto"/>
              <w:right w:val="single" w:sz="4" w:space="0" w:color="auto"/>
            </w:tcBorders>
            <w:shd w:val="clear" w:color="000000" w:fill="FFFFFF"/>
            <w:noWrap/>
            <w:vAlign w:val="bottom"/>
            <w:hideMark/>
          </w:tcPr>
          <w:p w14:paraId="3B8E5AA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-308.872,00</w:t>
            </w:r>
          </w:p>
        </w:tc>
        <w:tc>
          <w:tcPr>
            <w:tcW w:w="1123" w:type="dxa"/>
            <w:tcBorders>
              <w:top w:val="nil"/>
              <w:left w:val="nil"/>
              <w:bottom w:val="single" w:sz="4" w:space="0" w:color="auto"/>
              <w:right w:val="single" w:sz="4" w:space="0" w:color="auto"/>
            </w:tcBorders>
            <w:shd w:val="clear" w:color="000000" w:fill="FFFFFF"/>
            <w:noWrap/>
            <w:vAlign w:val="bottom"/>
            <w:hideMark/>
          </w:tcPr>
          <w:p w14:paraId="5F39AA3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-81,79</w:t>
            </w:r>
          </w:p>
        </w:tc>
        <w:tc>
          <w:tcPr>
            <w:tcW w:w="1240" w:type="dxa"/>
            <w:tcBorders>
              <w:top w:val="nil"/>
              <w:left w:val="nil"/>
              <w:bottom w:val="single" w:sz="4" w:space="0" w:color="auto"/>
              <w:right w:val="single" w:sz="4" w:space="0" w:color="auto"/>
            </w:tcBorders>
            <w:shd w:val="clear" w:color="000000" w:fill="FFFFFF"/>
            <w:noWrap/>
            <w:vAlign w:val="bottom"/>
            <w:hideMark/>
          </w:tcPr>
          <w:p w14:paraId="4243D42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68.750,00</w:t>
            </w:r>
          </w:p>
        </w:tc>
      </w:tr>
      <w:tr w:rsidR="00BC7E60" w:rsidRPr="00497178" w14:paraId="7C118379"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5B12D11"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Kapitalni projekt K300059 Nerazvrstana cesta </w:t>
            </w:r>
            <w:proofErr w:type="spellStart"/>
            <w:r w:rsidRPr="00497178">
              <w:rPr>
                <w:rFonts w:ascii="Arial" w:hAnsi="Arial" w:cs="Arial"/>
                <w:sz w:val="16"/>
                <w:szCs w:val="16"/>
              </w:rPr>
              <w:t>Ripenda</w:t>
            </w:r>
            <w:proofErr w:type="spellEnd"/>
            <w:r w:rsidRPr="00497178">
              <w:rPr>
                <w:rFonts w:ascii="Arial" w:hAnsi="Arial" w:cs="Arial"/>
                <w:sz w:val="16"/>
                <w:szCs w:val="16"/>
              </w:rPr>
              <w:t xml:space="preserve"> Kras-Mali Kosi ( NC.14.-3,9 km)</w:t>
            </w:r>
          </w:p>
        </w:tc>
        <w:tc>
          <w:tcPr>
            <w:tcW w:w="1307" w:type="dxa"/>
            <w:tcBorders>
              <w:top w:val="nil"/>
              <w:left w:val="nil"/>
              <w:bottom w:val="single" w:sz="4" w:space="0" w:color="auto"/>
              <w:right w:val="single" w:sz="4" w:space="0" w:color="auto"/>
            </w:tcBorders>
            <w:shd w:val="clear" w:color="000000" w:fill="FFFFFF"/>
            <w:noWrap/>
            <w:vAlign w:val="bottom"/>
            <w:hideMark/>
          </w:tcPr>
          <w:p w14:paraId="091ABD4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250.000,00</w:t>
            </w:r>
          </w:p>
        </w:tc>
        <w:tc>
          <w:tcPr>
            <w:tcW w:w="1123" w:type="dxa"/>
            <w:tcBorders>
              <w:top w:val="nil"/>
              <w:left w:val="nil"/>
              <w:bottom w:val="single" w:sz="4" w:space="0" w:color="auto"/>
              <w:right w:val="single" w:sz="4" w:space="0" w:color="auto"/>
            </w:tcBorders>
            <w:shd w:val="clear" w:color="000000" w:fill="FFFFFF"/>
            <w:noWrap/>
            <w:vAlign w:val="bottom"/>
            <w:hideMark/>
          </w:tcPr>
          <w:p w14:paraId="61DCB11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6A82F78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D5EE20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250.000,00</w:t>
            </w:r>
          </w:p>
        </w:tc>
      </w:tr>
      <w:tr w:rsidR="00BC7E60" w:rsidRPr="00497178" w14:paraId="435047B4"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6EDB8DC"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Kapitalni projekt K300060 </w:t>
            </w:r>
            <w:proofErr w:type="spellStart"/>
            <w:r w:rsidRPr="00497178">
              <w:rPr>
                <w:rFonts w:ascii="Arial" w:hAnsi="Arial" w:cs="Arial"/>
                <w:sz w:val="16"/>
                <w:szCs w:val="16"/>
              </w:rPr>
              <w:t>Idrijska</w:t>
            </w:r>
            <w:proofErr w:type="spellEnd"/>
            <w:r w:rsidRPr="00497178">
              <w:rPr>
                <w:rFonts w:ascii="Arial" w:hAnsi="Arial" w:cs="Arial"/>
                <w:sz w:val="16"/>
                <w:szCs w:val="16"/>
              </w:rPr>
              <w:t xml:space="preserve"> ulica u Rapcu-izgradnja prometnice</w:t>
            </w:r>
          </w:p>
        </w:tc>
        <w:tc>
          <w:tcPr>
            <w:tcW w:w="1307" w:type="dxa"/>
            <w:tcBorders>
              <w:top w:val="nil"/>
              <w:left w:val="nil"/>
              <w:bottom w:val="single" w:sz="4" w:space="0" w:color="auto"/>
              <w:right w:val="single" w:sz="4" w:space="0" w:color="auto"/>
            </w:tcBorders>
            <w:shd w:val="clear" w:color="000000" w:fill="FFFFFF"/>
            <w:noWrap/>
            <w:vAlign w:val="bottom"/>
            <w:hideMark/>
          </w:tcPr>
          <w:p w14:paraId="28D9AC2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17.000,00</w:t>
            </w:r>
          </w:p>
        </w:tc>
        <w:tc>
          <w:tcPr>
            <w:tcW w:w="1123" w:type="dxa"/>
            <w:tcBorders>
              <w:top w:val="nil"/>
              <w:left w:val="nil"/>
              <w:bottom w:val="single" w:sz="4" w:space="0" w:color="auto"/>
              <w:right w:val="single" w:sz="4" w:space="0" w:color="auto"/>
            </w:tcBorders>
            <w:shd w:val="clear" w:color="000000" w:fill="FFFFFF"/>
            <w:noWrap/>
            <w:vAlign w:val="bottom"/>
            <w:hideMark/>
          </w:tcPr>
          <w:p w14:paraId="41AE6B6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5B5A0A7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850EAE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17.000,00</w:t>
            </w:r>
          </w:p>
        </w:tc>
      </w:tr>
      <w:tr w:rsidR="00BC7E60" w:rsidRPr="00497178" w14:paraId="42D3DF1B"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9DBAF89" w14:textId="77777777" w:rsidR="00BC7E60" w:rsidRPr="00497178" w:rsidRDefault="00BC7E60" w:rsidP="00512D52">
            <w:pPr>
              <w:rPr>
                <w:rFonts w:ascii="Arial" w:hAnsi="Arial" w:cs="Arial"/>
                <w:sz w:val="16"/>
                <w:szCs w:val="16"/>
              </w:rPr>
            </w:pPr>
            <w:r w:rsidRPr="00497178">
              <w:rPr>
                <w:rFonts w:ascii="Arial" w:hAnsi="Arial" w:cs="Arial"/>
                <w:sz w:val="16"/>
                <w:szCs w:val="16"/>
              </w:rPr>
              <w:t>Kapitalni projekt K300061 Nerazvrstana cesta NC 43.02 - pristupna prometnica vodosprema Breg</w:t>
            </w:r>
          </w:p>
        </w:tc>
        <w:tc>
          <w:tcPr>
            <w:tcW w:w="1307" w:type="dxa"/>
            <w:tcBorders>
              <w:top w:val="nil"/>
              <w:left w:val="nil"/>
              <w:bottom w:val="single" w:sz="4" w:space="0" w:color="auto"/>
              <w:right w:val="single" w:sz="4" w:space="0" w:color="auto"/>
            </w:tcBorders>
            <w:shd w:val="clear" w:color="000000" w:fill="FFFFFF"/>
            <w:noWrap/>
            <w:vAlign w:val="bottom"/>
            <w:hideMark/>
          </w:tcPr>
          <w:p w14:paraId="7BEA113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5DA3E50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5.969,00</w:t>
            </w:r>
          </w:p>
        </w:tc>
        <w:tc>
          <w:tcPr>
            <w:tcW w:w="1123" w:type="dxa"/>
            <w:tcBorders>
              <w:top w:val="nil"/>
              <w:left w:val="nil"/>
              <w:bottom w:val="single" w:sz="4" w:space="0" w:color="auto"/>
              <w:right w:val="single" w:sz="4" w:space="0" w:color="auto"/>
            </w:tcBorders>
            <w:shd w:val="clear" w:color="000000" w:fill="FFFFFF"/>
            <w:noWrap/>
            <w:vAlign w:val="bottom"/>
            <w:hideMark/>
          </w:tcPr>
          <w:p w14:paraId="7395A98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4F95D9D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5.969,00</w:t>
            </w:r>
          </w:p>
        </w:tc>
      </w:tr>
      <w:tr w:rsidR="00BC7E60" w:rsidRPr="00497178" w14:paraId="3E403571"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522F742" w14:textId="77777777" w:rsidR="00BC7E60" w:rsidRPr="00497178" w:rsidRDefault="00BC7E60" w:rsidP="00512D52">
            <w:pPr>
              <w:rPr>
                <w:rFonts w:ascii="Arial" w:hAnsi="Arial" w:cs="Arial"/>
                <w:sz w:val="16"/>
                <w:szCs w:val="16"/>
              </w:rPr>
            </w:pPr>
            <w:r w:rsidRPr="00497178">
              <w:rPr>
                <w:rFonts w:ascii="Arial" w:hAnsi="Arial" w:cs="Arial"/>
                <w:sz w:val="16"/>
                <w:szCs w:val="16"/>
              </w:rPr>
              <w:lastRenderedPageBreak/>
              <w:t>Kapitalni projekt K300062 Nerazvrstana cesta NC 16.15. - pristupna prometnica UPOV Rabac</w:t>
            </w:r>
          </w:p>
        </w:tc>
        <w:tc>
          <w:tcPr>
            <w:tcW w:w="1307" w:type="dxa"/>
            <w:tcBorders>
              <w:top w:val="nil"/>
              <w:left w:val="nil"/>
              <w:bottom w:val="single" w:sz="4" w:space="0" w:color="auto"/>
              <w:right w:val="single" w:sz="4" w:space="0" w:color="auto"/>
            </w:tcBorders>
            <w:shd w:val="clear" w:color="000000" w:fill="FFFFFF"/>
            <w:noWrap/>
            <w:vAlign w:val="bottom"/>
            <w:hideMark/>
          </w:tcPr>
          <w:p w14:paraId="397480C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457C6DE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15.557,00</w:t>
            </w:r>
          </w:p>
        </w:tc>
        <w:tc>
          <w:tcPr>
            <w:tcW w:w="1123" w:type="dxa"/>
            <w:tcBorders>
              <w:top w:val="nil"/>
              <w:left w:val="nil"/>
              <w:bottom w:val="single" w:sz="4" w:space="0" w:color="auto"/>
              <w:right w:val="single" w:sz="4" w:space="0" w:color="auto"/>
            </w:tcBorders>
            <w:shd w:val="clear" w:color="000000" w:fill="FFFFFF"/>
            <w:noWrap/>
            <w:vAlign w:val="bottom"/>
            <w:hideMark/>
          </w:tcPr>
          <w:p w14:paraId="51908E6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31B3152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15.557,00</w:t>
            </w:r>
          </w:p>
        </w:tc>
      </w:tr>
      <w:tr w:rsidR="00BC7E60" w:rsidRPr="00497178" w14:paraId="5A74F614"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04EFE93"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3003 Izgradnja građevina javne namjene</w:t>
            </w:r>
          </w:p>
        </w:tc>
        <w:tc>
          <w:tcPr>
            <w:tcW w:w="1307" w:type="dxa"/>
            <w:tcBorders>
              <w:top w:val="nil"/>
              <w:left w:val="nil"/>
              <w:bottom w:val="single" w:sz="4" w:space="0" w:color="auto"/>
              <w:right w:val="single" w:sz="4" w:space="0" w:color="auto"/>
            </w:tcBorders>
            <w:shd w:val="clear" w:color="000000" w:fill="FFFFFF"/>
            <w:noWrap/>
            <w:vAlign w:val="bottom"/>
            <w:hideMark/>
          </w:tcPr>
          <w:p w14:paraId="31893508"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2.310.971,00</w:t>
            </w:r>
          </w:p>
        </w:tc>
        <w:tc>
          <w:tcPr>
            <w:tcW w:w="1123" w:type="dxa"/>
            <w:tcBorders>
              <w:top w:val="nil"/>
              <w:left w:val="nil"/>
              <w:bottom w:val="single" w:sz="4" w:space="0" w:color="auto"/>
              <w:right w:val="single" w:sz="4" w:space="0" w:color="auto"/>
            </w:tcBorders>
            <w:shd w:val="clear" w:color="000000" w:fill="FFFFFF"/>
            <w:noWrap/>
            <w:vAlign w:val="bottom"/>
            <w:hideMark/>
          </w:tcPr>
          <w:p w14:paraId="77C42F65"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527.829,00</w:t>
            </w:r>
          </w:p>
        </w:tc>
        <w:tc>
          <w:tcPr>
            <w:tcW w:w="1123" w:type="dxa"/>
            <w:tcBorders>
              <w:top w:val="nil"/>
              <w:left w:val="nil"/>
              <w:bottom w:val="single" w:sz="4" w:space="0" w:color="auto"/>
              <w:right w:val="single" w:sz="4" w:space="0" w:color="auto"/>
            </w:tcBorders>
            <w:shd w:val="clear" w:color="000000" w:fill="FFFFFF"/>
            <w:noWrap/>
            <w:vAlign w:val="bottom"/>
            <w:hideMark/>
          </w:tcPr>
          <w:p w14:paraId="3C5B3E70"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22,84</w:t>
            </w:r>
          </w:p>
        </w:tc>
        <w:tc>
          <w:tcPr>
            <w:tcW w:w="1240" w:type="dxa"/>
            <w:tcBorders>
              <w:top w:val="nil"/>
              <w:left w:val="nil"/>
              <w:bottom w:val="single" w:sz="4" w:space="0" w:color="auto"/>
              <w:right w:val="single" w:sz="4" w:space="0" w:color="auto"/>
            </w:tcBorders>
            <w:shd w:val="clear" w:color="000000" w:fill="FFFFFF"/>
            <w:noWrap/>
            <w:vAlign w:val="bottom"/>
            <w:hideMark/>
          </w:tcPr>
          <w:p w14:paraId="13771533"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2.838.800,00</w:t>
            </w:r>
          </w:p>
        </w:tc>
      </w:tr>
      <w:tr w:rsidR="00BC7E60" w:rsidRPr="00497178" w14:paraId="74EBE351"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4115214" w14:textId="77777777" w:rsidR="00BC7E60" w:rsidRPr="00497178" w:rsidRDefault="00BC7E60" w:rsidP="00512D52">
            <w:pPr>
              <w:rPr>
                <w:rFonts w:ascii="Arial" w:hAnsi="Arial" w:cs="Arial"/>
                <w:sz w:val="16"/>
                <w:szCs w:val="16"/>
              </w:rPr>
            </w:pPr>
            <w:r w:rsidRPr="00497178">
              <w:rPr>
                <w:rFonts w:ascii="Arial" w:hAnsi="Arial" w:cs="Arial"/>
                <w:sz w:val="16"/>
                <w:szCs w:val="16"/>
              </w:rPr>
              <w:t>Kapitalni projekt K300002 Rekonstrukcija rive Rabac</w:t>
            </w:r>
          </w:p>
        </w:tc>
        <w:tc>
          <w:tcPr>
            <w:tcW w:w="1307" w:type="dxa"/>
            <w:tcBorders>
              <w:top w:val="nil"/>
              <w:left w:val="nil"/>
              <w:bottom w:val="single" w:sz="4" w:space="0" w:color="auto"/>
              <w:right w:val="single" w:sz="4" w:space="0" w:color="auto"/>
            </w:tcBorders>
            <w:shd w:val="clear" w:color="000000" w:fill="FFFFFF"/>
            <w:noWrap/>
            <w:vAlign w:val="bottom"/>
            <w:hideMark/>
          </w:tcPr>
          <w:p w14:paraId="3786A9E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15.930,00</w:t>
            </w:r>
          </w:p>
        </w:tc>
        <w:tc>
          <w:tcPr>
            <w:tcW w:w="1123" w:type="dxa"/>
            <w:tcBorders>
              <w:top w:val="nil"/>
              <w:left w:val="nil"/>
              <w:bottom w:val="single" w:sz="4" w:space="0" w:color="auto"/>
              <w:right w:val="single" w:sz="4" w:space="0" w:color="auto"/>
            </w:tcBorders>
            <w:shd w:val="clear" w:color="000000" w:fill="FFFFFF"/>
            <w:noWrap/>
            <w:vAlign w:val="bottom"/>
            <w:hideMark/>
          </w:tcPr>
          <w:p w14:paraId="4431A8B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4022302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A9D059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15.930,00</w:t>
            </w:r>
          </w:p>
        </w:tc>
      </w:tr>
      <w:tr w:rsidR="00BC7E60" w:rsidRPr="00497178" w14:paraId="77F1A66E"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187C91A4"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Kapitalni projekt K300005 </w:t>
            </w:r>
            <w:proofErr w:type="spellStart"/>
            <w:r w:rsidRPr="00497178">
              <w:rPr>
                <w:rFonts w:ascii="Arial" w:hAnsi="Arial" w:cs="Arial"/>
                <w:sz w:val="16"/>
                <w:szCs w:val="16"/>
              </w:rPr>
              <w:t>Rekons</w:t>
            </w:r>
            <w:proofErr w:type="spellEnd"/>
            <w:r w:rsidRPr="00497178">
              <w:rPr>
                <w:rFonts w:ascii="Arial" w:hAnsi="Arial" w:cs="Arial"/>
                <w:sz w:val="16"/>
                <w:szCs w:val="16"/>
              </w:rPr>
              <w:t xml:space="preserve">. i sanacija velikog </w:t>
            </w:r>
            <w:proofErr w:type="spellStart"/>
            <w:r w:rsidRPr="00497178">
              <w:rPr>
                <w:rFonts w:ascii="Arial" w:hAnsi="Arial" w:cs="Arial"/>
                <w:sz w:val="16"/>
                <w:szCs w:val="16"/>
              </w:rPr>
              <w:t>kupatila,tople</w:t>
            </w:r>
            <w:proofErr w:type="spellEnd"/>
            <w:r w:rsidRPr="00497178">
              <w:rPr>
                <w:rFonts w:ascii="Arial" w:hAnsi="Arial" w:cs="Arial"/>
                <w:sz w:val="16"/>
                <w:szCs w:val="16"/>
              </w:rPr>
              <w:t xml:space="preserve"> veze i </w:t>
            </w:r>
            <w:proofErr w:type="spellStart"/>
            <w:r w:rsidRPr="00497178">
              <w:rPr>
                <w:rFonts w:ascii="Arial" w:hAnsi="Arial" w:cs="Arial"/>
                <w:sz w:val="16"/>
                <w:szCs w:val="16"/>
              </w:rPr>
              <w:t>šohta</w:t>
            </w:r>
            <w:proofErr w:type="spellEnd"/>
            <w:r w:rsidRPr="00497178">
              <w:rPr>
                <w:rFonts w:ascii="Arial" w:hAnsi="Arial" w:cs="Arial"/>
                <w:sz w:val="16"/>
                <w:szCs w:val="16"/>
              </w:rPr>
              <w:t xml:space="preserve"> u sklopu </w:t>
            </w:r>
            <w:proofErr w:type="spellStart"/>
            <w:r w:rsidRPr="00497178">
              <w:rPr>
                <w:rFonts w:ascii="Arial" w:hAnsi="Arial" w:cs="Arial"/>
                <w:sz w:val="16"/>
                <w:szCs w:val="16"/>
              </w:rPr>
              <w:t>rudar.komp</w:t>
            </w:r>
            <w:proofErr w:type="spellEnd"/>
            <w:r w:rsidRPr="00497178">
              <w:rPr>
                <w:rFonts w:ascii="Arial" w:hAnsi="Arial" w:cs="Arial"/>
                <w:sz w:val="16"/>
                <w:szCs w:val="16"/>
              </w:rPr>
              <w:t xml:space="preserve">. </w:t>
            </w:r>
            <w:proofErr w:type="spellStart"/>
            <w:r w:rsidRPr="00497178">
              <w:rPr>
                <w:rFonts w:ascii="Arial" w:hAnsi="Arial" w:cs="Arial"/>
                <w:sz w:val="16"/>
                <w:szCs w:val="16"/>
              </w:rPr>
              <w:t>Pijacal</w:t>
            </w:r>
            <w:proofErr w:type="spellEnd"/>
          </w:p>
        </w:tc>
        <w:tc>
          <w:tcPr>
            <w:tcW w:w="1307" w:type="dxa"/>
            <w:tcBorders>
              <w:top w:val="nil"/>
              <w:left w:val="nil"/>
              <w:bottom w:val="single" w:sz="4" w:space="0" w:color="auto"/>
              <w:right w:val="single" w:sz="4" w:space="0" w:color="auto"/>
            </w:tcBorders>
            <w:shd w:val="clear" w:color="000000" w:fill="FFFFFF"/>
            <w:noWrap/>
            <w:vAlign w:val="bottom"/>
            <w:hideMark/>
          </w:tcPr>
          <w:p w14:paraId="7DEBF3C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261.050,00</w:t>
            </w:r>
          </w:p>
        </w:tc>
        <w:tc>
          <w:tcPr>
            <w:tcW w:w="1123" w:type="dxa"/>
            <w:tcBorders>
              <w:top w:val="nil"/>
              <w:left w:val="nil"/>
              <w:bottom w:val="single" w:sz="4" w:space="0" w:color="auto"/>
              <w:right w:val="single" w:sz="4" w:space="0" w:color="auto"/>
            </w:tcBorders>
            <w:shd w:val="clear" w:color="000000" w:fill="FFFFFF"/>
            <w:noWrap/>
            <w:vAlign w:val="bottom"/>
            <w:hideMark/>
          </w:tcPr>
          <w:p w14:paraId="5FF30F4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38.450,00</w:t>
            </w:r>
          </w:p>
        </w:tc>
        <w:tc>
          <w:tcPr>
            <w:tcW w:w="1123" w:type="dxa"/>
            <w:tcBorders>
              <w:top w:val="nil"/>
              <w:left w:val="nil"/>
              <w:bottom w:val="single" w:sz="4" w:space="0" w:color="auto"/>
              <w:right w:val="single" w:sz="4" w:space="0" w:color="auto"/>
            </w:tcBorders>
            <w:shd w:val="clear" w:color="000000" w:fill="FFFFFF"/>
            <w:noWrap/>
            <w:vAlign w:val="bottom"/>
            <w:hideMark/>
          </w:tcPr>
          <w:p w14:paraId="0A9DDA7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14,73</w:t>
            </w:r>
          </w:p>
        </w:tc>
        <w:tc>
          <w:tcPr>
            <w:tcW w:w="1240" w:type="dxa"/>
            <w:tcBorders>
              <w:top w:val="nil"/>
              <w:left w:val="nil"/>
              <w:bottom w:val="single" w:sz="4" w:space="0" w:color="auto"/>
              <w:right w:val="single" w:sz="4" w:space="0" w:color="auto"/>
            </w:tcBorders>
            <w:shd w:val="clear" w:color="000000" w:fill="FFFFFF"/>
            <w:noWrap/>
            <w:vAlign w:val="bottom"/>
            <w:hideMark/>
          </w:tcPr>
          <w:p w14:paraId="64D26EC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299.500,00</w:t>
            </w:r>
          </w:p>
        </w:tc>
      </w:tr>
      <w:tr w:rsidR="00BC7E60" w:rsidRPr="00497178" w14:paraId="79501626"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C8AC2C0"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Kapitalni projekt K300015 Dječji vrtić </w:t>
            </w:r>
            <w:proofErr w:type="spellStart"/>
            <w:r w:rsidRPr="00497178">
              <w:rPr>
                <w:rFonts w:ascii="Arial" w:hAnsi="Arial" w:cs="Arial"/>
                <w:sz w:val="16"/>
                <w:szCs w:val="16"/>
              </w:rPr>
              <w:t>Vinež</w:t>
            </w:r>
            <w:proofErr w:type="spellEnd"/>
            <w:r w:rsidRPr="00497178">
              <w:rPr>
                <w:rFonts w:ascii="Arial" w:hAnsi="Arial" w:cs="Arial"/>
                <w:sz w:val="16"/>
                <w:szCs w:val="16"/>
              </w:rPr>
              <w:t xml:space="preserve"> (novi)</w:t>
            </w:r>
          </w:p>
        </w:tc>
        <w:tc>
          <w:tcPr>
            <w:tcW w:w="1307" w:type="dxa"/>
            <w:tcBorders>
              <w:top w:val="nil"/>
              <w:left w:val="nil"/>
              <w:bottom w:val="single" w:sz="4" w:space="0" w:color="auto"/>
              <w:right w:val="single" w:sz="4" w:space="0" w:color="auto"/>
            </w:tcBorders>
            <w:shd w:val="clear" w:color="000000" w:fill="FFFFFF"/>
            <w:noWrap/>
            <w:vAlign w:val="bottom"/>
            <w:hideMark/>
          </w:tcPr>
          <w:p w14:paraId="425DEBB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1.484.546,00</w:t>
            </w:r>
          </w:p>
        </w:tc>
        <w:tc>
          <w:tcPr>
            <w:tcW w:w="1123" w:type="dxa"/>
            <w:tcBorders>
              <w:top w:val="nil"/>
              <w:left w:val="nil"/>
              <w:bottom w:val="single" w:sz="4" w:space="0" w:color="auto"/>
              <w:right w:val="single" w:sz="4" w:space="0" w:color="auto"/>
            </w:tcBorders>
            <w:shd w:val="clear" w:color="000000" w:fill="FFFFFF"/>
            <w:noWrap/>
            <w:vAlign w:val="bottom"/>
            <w:hideMark/>
          </w:tcPr>
          <w:p w14:paraId="282956A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399.837,00</w:t>
            </w:r>
          </w:p>
        </w:tc>
        <w:tc>
          <w:tcPr>
            <w:tcW w:w="1123" w:type="dxa"/>
            <w:tcBorders>
              <w:top w:val="nil"/>
              <w:left w:val="nil"/>
              <w:bottom w:val="single" w:sz="4" w:space="0" w:color="auto"/>
              <w:right w:val="single" w:sz="4" w:space="0" w:color="auto"/>
            </w:tcBorders>
            <w:shd w:val="clear" w:color="000000" w:fill="FFFFFF"/>
            <w:noWrap/>
            <w:vAlign w:val="bottom"/>
            <w:hideMark/>
          </w:tcPr>
          <w:p w14:paraId="54EEFA5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26,93</w:t>
            </w:r>
          </w:p>
        </w:tc>
        <w:tc>
          <w:tcPr>
            <w:tcW w:w="1240" w:type="dxa"/>
            <w:tcBorders>
              <w:top w:val="nil"/>
              <w:left w:val="nil"/>
              <w:bottom w:val="single" w:sz="4" w:space="0" w:color="auto"/>
              <w:right w:val="single" w:sz="4" w:space="0" w:color="auto"/>
            </w:tcBorders>
            <w:shd w:val="clear" w:color="000000" w:fill="FFFFFF"/>
            <w:noWrap/>
            <w:vAlign w:val="bottom"/>
            <w:hideMark/>
          </w:tcPr>
          <w:p w14:paraId="6F06F77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1.884.383,00</w:t>
            </w:r>
          </w:p>
        </w:tc>
      </w:tr>
      <w:tr w:rsidR="00BC7E60" w:rsidRPr="00497178" w14:paraId="7F014537"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106E9722"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Kapitalni projekt K300018 Sportski kompleks </w:t>
            </w:r>
            <w:proofErr w:type="spellStart"/>
            <w:r w:rsidRPr="00497178">
              <w:rPr>
                <w:rFonts w:ascii="Arial" w:hAnsi="Arial" w:cs="Arial"/>
                <w:sz w:val="16"/>
                <w:szCs w:val="16"/>
              </w:rPr>
              <w:t>Vinež</w:t>
            </w:r>
            <w:proofErr w:type="spellEnd"/>
          </w:p>
        </w:tc>
        <w:tc>
          <w:tcPr>
            <w:tcW w:w="1307" w:type="dxa"/>
            <w:tcBorders>
              <w:top w:val="nil"/>
              <w:left w:val="nil"/>
              <w:bottom w:val="single" w:sz="4" w:space="0" w:color="auto"/>
              <w:right w:val="single" w:sz="4" w:space="0" w:color="auto"/>
            </w:tcBorders>
            <w:shd w:val="clear" w:color="000000" w:fill="FFFFFF"/>
            <w:noWrap/>
            <w:vAlign w:val="bottom"/>
            <w:hideMark/>
          </w:tcPr>
          <w:p w14:paraId="7DA8B96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170.525,00</w:t>
            </w:r>
          </w:p>
        </w:tc>
        <w:tc>
          <w:tcPr>
            <w:tcW w:w="1123" w:type="dxa"/>
            <w:tcBorders>
              <w:top w:val="nil"/>
              <w:left w:val="nil"/>
              <w:bottom w:val="single" w:sz="4" w:space="0" w:color="auto"/>
              <w:right w:val="single" w:sz="4" w:space="0" w:color="auto"/>
            </w:tcBorders>
            <w:shd w:val="clear" w:color="000000" w:fill="FFFFFF"/>
            <w:noWrap/>
            <w:vAlign w:val="bottom"/>
            <w:hideMark/>
          </w:tcPr>
          <w:p w14:paraId="4CDDC49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64.542,00</w:t>
            </w:r>
          </w:p>
        </w:tc>
        <w:tc>
          <w:tcPr>
            <w:tcW w:w="1123" w:type="dxa"/>
            <w:tcBorders>
              <w:top w:val="nil"/>
              <w:left w:val="nil"/>
              <w:bottom w:val="single" w:sz="4" w:space="0" w:color="auto"/>
              <w:right w:val="single" w:sz="4" w:space="0" w:color="auto"/>
            </w:tcBorders>
            <w:shd w:val="clear" w:color="000000" w:fill="FFFFFF"/>
            <w:noWrap/>
            <w:vAlign w:val="bottom"/>
            <w:hideMark/>
          </w:tcPr>
          <w:p w14:paraId="72CCA25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37,85</w:t>
            </w:r>
          </w:p>
        </w:tc>
        <w:tc>
          <w:tcPr>
            <w:tcW w:w="1240" w:type="dxa"/>
            <w:tcBorders>
              <w:top w:val="nil"/>
              <w:left w:val="nil"/>
              <w:bottom w:val="single" w:sz="4" w:space="0" w:color="auto"/>
              <w:right w:val="single" w:sz="4" w:space="0" w:color="auto"/>
            </w:tcBorders>
            <w:shd w:val="clear" w:color="000000" w:fill="FFFFFF"/>
            <w:noWrap/>
            <w:vAlign w:val="bottom"/>
            <w:hideMark/>
          </w:tcPr>
          <w:p w14:paraId="2F7D8FC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235.067,00</w:t>
            </w:r>
          </w:p>
        </w:tc>
      </w:tr>
      <w:tr w:rsidR="00BC7E60" w:rsidRPr="00497178" w14:paraId="483A7828"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EC94836" w14:textId="77777777" w:rsidR="00BC7E60" w:rsidRPr="00497178" w:rsidRDefault="00BC7E60" w:rsidP="00512D52">
            <w:pPr>
              <w:rPr>
                <w:rFonts w:ascii="Arial" w:hAnsi="Arial" w:cs="Arial"/>
                <w:sz w:val="16"/>
                <w:szCs w:val="16"/>
              </w:rPr>
            </w:pPr>
            <w:r w:rsidRPr="00497178">
              <w:rPr>
                <w:rFonts w:ascii="Arial" w:hAnsi="Arial" w:cs="Arial"/>
                <w:sz w:val="16"/>
                <w:szCs w:val="16"/>
              </w:rPr>
              <w:t>Kapitalni projekt K300028 Ostali poslovi vezani za izgradnju građevina javne namjene</w:t>
            </w:r>
          </w:p>
        </w:tc>
        <w:tc>
          <w:tcPr>
            <w:tcW w:w="1307" w:type="dxa"/>
            <w:tcBorders>
              <w:top w:val="nil"/>
              <w:left w:val="nil"/>
              <w:bottom w:val="single" w:sz="4" w:space="0" w:color="auto"/>
              <w:right w:val="single" w:sz="4" w:space="0" w:color="auto"/>
            </w:tcBorders>
            <w:shd w:val="clear" w:color="000000" w:fill="FFFFFF"/>
            <w:noWrap/>
            <w:vAlign w:val="bottom"/>
            <w:hideMark/>
          </w:tcPr>
          <w:p w14:paraId="3AE43BE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14.295,00</w:t>
            </w:r>
          </w:p>
        </w:tc>
        <w:tc>
          <w:tcPr>
            <w:tcW w:w="1123" w:type="dxa"/>
            <w:tcBorders>
              <w:top w:val="nil"/>
              <w:left w:val="nil"/>
              <w:bottom w:val="single" w:sz="4" w:space="0" w:color="auto"/>
              <w:right w:val="single" w:sz="4" w:space="0" w:color="auto"/>
            </w:tcBorders>
            <w:shd w:val="clear" w:color="000000" w:fill="FFFFFF"/>
            <w:noWrap/>
            <w:vAlign w:val="bottom"/>
            <w:hideMark/>
          </w:tcPr>
          <w:p w14:paraId="60DBB3C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678C105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35AAA0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14.295,00</w:t>
            </w:r>
          </w:p>
        </w:tc>
      </w:tr>
      <w:tr w:rsidR="00BC7E60" w:rsidRPr="00497178" w14:paraId="5CF38620"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62082A8"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Kapitalni projekt K300038 Obnova i prenamjena zgrade bivše škole </w:t>
            </w:r>
            <w:proofErr w:type="spellStart"/>
            <w:r w:rsidRPr="00497178">
              <w:rPr>
                <w:rFonts w:ascii="Arial" w:hAnsi="Arial" w:cs="Arial"/>
                <w:sz w:val="16"/>
                <w:szCs w:val="16"/>
              </w:rPr>
              <w:t>Ripenda</w:t>
            </w:r>
            <w:proofErr w:type="spellEnd"/>
            <w:r w:rsidRPr="00497178">
              <w:rPr>
                <w:rFonts w:ascii="Arial" w:hAnsi="Arial" w:cs="Arial"/>
                <w:sz w:val="16"/>
                <w:szCs w:val="16"/>
              </w:rPr>
              <w:t xml:space="preserve"> (zgr.k.č.321( k.č.2519) </w:t>
            </w:r>
            <w:proofErr w:type="spellStart"/>
            <w:r w:rsidRPr="00497178">
              <w:rPr>
                <w:rFonts w:ascii="Arial" w:hAnsi="Arial" w:cs="Arial"/>
                <w:sz w:val="16"/>
                <w:szCs w:val="16"/>
              </w:rPr>
              <w:t>k.o.Ripenda</w:t>
            </w:r>
            <w:proofErr w:type="spellEnd"/>
            <w:r w:rsidRPr="00497178">
              <w:rPr>
                <w:rFonts w:ascii="Arial" w:hAnsi="Arial" w:cs="Arial"/>
                <w:sz w:val="16"/>
                <w:szCs w:val="16"/>
              </w:rPr>
              <w:t>)</w:t>
            </w:r>
          </w:p>
        </w:tc>
        <w:tc>
          <w:tcPr>
            <w:tcW w:w="1307" w:type="dxa"/>
            <w:tcBorders>
              <w:top w:val="nil"/>
              <w:left w:val="nil"/>
              <w:bottom w:val="single" w:sz="4" w:space="0" w:color="auto"/>
              <w:right w:val="single" w:sz="4" w:space="0" w:color="auto"/>
            </w:tcBorders>
            <w:shd w:val="clear" w:color="000000" w:fill="FFFFFF"/>
            <w:noWrap/>
            <w:vAlign w:val="bottom"/>
            <w:hideMark/>
          </w:tcPr>
          <w:p w14:paraId="28411EA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332.625,00</w:t>
            </w:r>
          </w:p>
        </w:tc>
        <w:tc>
          <w:tcPr>
            <w:tcW w:w="1123" w:type="dxa"/>
            <w:tcBorders>
              <w:top w:val="nil"/>
              <w:left w:val="nil"/>
              <w:bottom w:val="single" w:sz="4" w:space="0" w:color="auto"/>
              <w:right w:val="single" w:sz="4" w:space="0" w:color="auto"/>
            </w:tcBorders>
            <w:shd w:val="clear" w:color="000000" w:fill="FFFFFF"/>
            <w:noWrap/>
            <w:vAlign w:val="bottom"/>
            <w:hideMark/>
          </w:tcPr>
          <w:p w14:paraId="6540D7C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03A316E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2B38B4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332.625,00</w:t>
            </w:r>
          </w:p>
        </w:tc>
      </w:tr>
      <w:tr w:rsidR="00BC7E60" w:rsidRPr="00497178" w14:paraId="42BE6F3C"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56D5737"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Kapitalni projekt K300040 Zgrada u ul. Aldo </w:t>
            </w:r>
            <w:proofErr w:type="spellStart"/>
            <w:r w:rsidRPr="00497178">
              <w:rPr>
                <w:rFonts w:ascii="Arial" w:hAnsi="Arial" w:cs="Arial"/>
                <w:sz w:val="16"/>
                <w:szCs w:val="16"/>
              </w:rPr>
              <w:t>Negri</w:t>
            </w:r>
            <w:proofErr w:type="spellEnd"/>
            <w:r w:rsidRPr="00497178">
              <w:rPr>
                <w:rFonts w:ascii="Arial" w:hAnsi="Arial" w:cs="Arial"/>
                <w:sz w:val="16"/>
                <w:szCs w:val="16"/>
              </w:rPr>
              <w:t xml:space="preserve"> 6 (k.č.1087 </w:t>
            </w:r>
            <w:proofErr w:type="spellStart"/>
            <w:r w:rsidRPr="00497178">
              <w:rPr>
                <w:rFonts w:ascii="Arial" w:hAnsi="Arial" w:cs="Arial"/>
                <w:sz w:val="16"/>
                <w:szCs w:val="16"/>
              </w:rPr>
              <w:t>k.o.Novi</w:t>
            </w:r>
            <w:proofErr w:type="spellEnd"/>
            <w:r w:rsidRPr="00497178">
              <w:rPr>
                <w:rFonts w:ascii="Arial" w:hAnsi="Arial" w:cs="Arial"/>
                <w:sz w:val="16"/>
                <w:szCs w:val="16"/>
              </w:rPr>
              <w:t xml:space="preserve"> Labin)</w:t>
            </w:r>
          </w:p>
        </w:tc>
        <w:tc>
          <w:tcPr>
            <w:tcW w:w="1307" w:type="dxa"/>
            <w:tcBorders>
              <w:top w:val="nil"/>
              <w:left w:val="nil"/>
              <w:bottom w:val="single" w:sz="4" w:space="0" w:color="auto"/>
              <w:right w:val="single" w:sz="4" w:space="0" w:color="auto"/>
            </w:tcBorders>
            <w:shd w:val="clear" w:color="000000" w:fill="FFFFFF"/>
            <w:noWrap/>
            <w:vAlign w:val="bottom"/>
            <w:hideMark/>
          </w:tcPr>
          <w:p w14:paraId="4EB7876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32.000,00</w:t>
            </w:r>
          </w:p>
        </w:tc>
        <w:tc>
          <w:tcPr>
            <w:tcW w:w="1123" w:type="dxa"/>
            <w:tcBorders>
              <w:top w:val="nil"/>
              <w:left w:val="nil"/>
              <w:bottom w:val="single" w:sz="4" w:space="0" w:color="auto"/>
              <w:right w:val="single" w:sz="4" w:space="0" w:color="auto"/>
            </w:tcBorders>
            <w:shd w:val="clear" w:color="000000" w:fill="FFFFFF"/>
            <w:noWrap/>
            <w:vAlign w:val="bottom"/>
            <w:hideMark/>
          </w:tcPr>
          <w:p w14:paraId="71D39ED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5E817F1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8F4647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32.000,00</w:t>
            </w:r>
          </w:p>
        </w:tc>
      </w:tr>
      <w:tr w:rsidR="00BC7E60" w:rsidRPr="00497178" w14:paraId="3FD87C8F"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1EBE3A60" w14:textId="77777777" w:rsidR="00BC7E60" w:rsidRPr="00497178" w:rsidRDefault="00BC7E60" w:rsidP="00512D52">
            <w:pPr>
              <w:rPr>
                <w:rFonts w:ascii="Arial" w:hAnsi="Arial" w:cs="Arial"/>
                <w:sz w:val="16"/>
                <w:szCs w:val="16"/>
              </w:rPr>
            </w:pPr>
            <w:r w:rsidRPr="00497178">
              <w:rPr>
                <w:rFonts w:ascii="Arial" w:hAnsi="Arial" w:cs="Arial"/>
                <w:sz w:val="16"/>
                <w:szCs w:val="16"/>
              </w:rPr>
              <w:t>Kapitalni projekt K300042 Crkva Gospe od Karmela - obnova preslice</w:t>
            </w:r>
          </w:p>
        </w:tc>
        <w:tc>
          <w:tcPr>
            <w:tcW w:w="1307" w:type="dxa"/>
            <w:tcBorders>
              <w:top w:val="nil"/>
              <w:left w:val="nil"/>
              <w:bottom w:val="single" w:sz="4" w:space="0" w:color="auto"/>
              <w:right w:val="single" w:sz="4" w:space="0" w:color="auto"/>
            </w:tcBorders>
            <w:shd w:val="clear" w:color="000000" w:fill="FFFFFF"/>
            <w:noWrap/>
            <w:vAlign w:val="bottom"/>
            <w:hideMark/>
          </w:tcPr>
          <w:p w14:paraId="02D225B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52FE3AE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25.000,00</w:t>
            </w:r>
          </w:p>
        </w:tc>
        <w:tc>
          <w:tcPr>
            <w:tcW w:w="1123" w:type="dxa"/>
            <w:tcBorders>
              <w:top w:val="nil"/>
              <w:left w:val="nil"/>
              <w:bottom w:val="single" w:sz="4" w:space="0" w:color="auto"/>
              <w:right w:val="single" w:sz="4" w:space="0" w:color="auto"/>
            </w:tcBorders>
            <w:shd w:val="clear" w:color="000000" w:fill="FFFFFF"/>
            <w:noWrap/>
            <w:vAlign w:val="bottom"/>
            <w:hideMark/>
          </w:tcPr>
          <w:p w14:paraId="7E26335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1A8D754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25.000,00</w:t>
            </w:r>
          </w:p>
        </w:tc>
      </w:tr>
      <w:tr w:rsidR="00BC7E60" w:rsidRPr="00497178" w14:paraId="7B194293"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F2F3F08"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3004 Komunalne vodne građevine i gospodarenje otpadom</w:t>
            </w:r>
          </w:p>
        </w:tc>
        <w:tc>
          <w:tcPr>
            <w:tcW w:w="1307" w:type="dxa"/>
            <w:tcBorders>
              <w:top w:val="nil"/>
              <w:left w:val="nil"/>
              <w:bottom w:val="single" w:sz="4" w:space="0" w:color="auto"/>
              <w:right w:val="single" w:sz="4" w:space="0" w:color="auto"/>
            </w:tcBorders>
            <w:shd w:val="clear" w:color="000000" w:fill="FFFFFF"/>
            <w:noWrap/>
            <w:vAlign w:val="bottom"/>
            <w:hideMark/>
          </w:tcPr>
          <w:p w14:paraId="029201E2"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1.000,00</w:t>
            </w:r>
          </w:p>
        </w:tc>
        <w:tc>
          <w:tcPr>
            <w:tcW w:w="1123" w:type="dxa"/>
            <w:tcBorders>
              <w:top w:val="nil"/>
              <w:left w:val="nil"/>
              <w:bottom w:val="single" w:sz="4" w:space="0" w:color="auto"/>
              <w:right w:val="single" w:sz="4" w:space="0" w:color="auto"/>
            </w:tcBorders>
            <w:shd w:val="clear" w:color="000000" w:fill="FFFFFF"/>
            <w:noWrap/>
            <w:vAlign w:val="bottom"/>
            <w:hideMark/>
          </w:tcPr>
          <w:p w14:paraId="365EE4D6"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717DC640"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12B744C"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1.000,00</w:t>
            </w:r>
          </w:p>
        </w:tc>
      </w:tr>
      <w:tr w:rsidR="00BC7E60" w:rsidRPr="00497178" w14:paraId="7C992B88"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131BFFBC" w14:textId="77777777" w:rsidR="00BC7E60" w:rsidRPr="00497178" w:rsidRDefault="00BC7E60" w:rsidP="00512D52">
            <w:pPr>
              <w:rPr>
                <w:rFonts w:ascii="Arial" w:hAnsi="Arial" w:cs="Arial"/>
                <w:sz w:val="16"/>
                <w:szCs w:val="16"/>
              </w:rPr>
            </w:pPr>
            <w:r w:rsidRPr="00497178">
              <w:rPr>
                <w:rFonts w:ascii="Arial" w:hAnsi="Arial" w:cs="Arial"/>
                <w:sz w:val="16"/>
                <w:szCs w:val="16"/>
              </w:rPr>
              <w:t>Kapitalni projekt K300003 Odlagalište komunalnog otpada Cere</w:t>
            </w:r>
          </w:p>
        </w:tc>
        <w:tc>
          <w:tcPr>
            <w:tcW w:w="1307" w:type="dxa"/>
            <w:tcBorders>
              <w:top w:val="nil"/>
              <w:left w:val="nil"/>
              <w:bottom w:val="single" w:sz="4" w:space="0" w:color="auto"/>
              <w:right w:val="single" w:sz="4" w:space="0" w:color="auto"/>
            </w:tcBorders>
            <w:shd w:val="clear" w:color="000000" w:fill="FFFFFF"/>
            <w:noWrap/>
            <w:vAlign w:val="bottom"/>
            <w:hideMark/>
          </w:tcPr>
          <w:p w14:paraId="342E97C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1.000,00</w:t>
            </w:r>
          </w:p>
        </w:tc>
        <w:tc>
          <w:tcPr>
            <w:tcW w:w="1123" w:type="dxa"/>
            <w:tcBorders>
              <w:top w:val="nil"/>
              <w:left w:val="nil"/>
              <w:bottom w:val="single" w:sz="4" w:space="0" w:color="auto"/>
              <w:right w:val="single" w:sz="4" w:space="0" w:color="auto"/>
            </w:tcBorders>
            <w:shd w:val="clear" w:color="000000" w:fill="FFFFFF"/>
            <w:noWrap/>
            <w:vAlign w:val="bottom"/>
            <w:hideMark/>
          </w:tcPr>
          <w:p w14:paraId="7A80936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31A339B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DEA325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1.000,00</w:t>
            </w:r>
          </w:p>
        </w:tc>
      </w:tr>
      <w:tr w:rsidR="00BC7E60" w:rsidRPr="00497178" w14:paraId="4B42BE0F"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1B280602"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Razdjel 400 UPRAVNI ODJEL ZA KOMUNALNO GOSPODARSTVO I UPRAVLJANJE IMOVINOM</w:t>
            </w:r>
          </w:p>
        </w:tc>
        <w:tc>
          <w:tcPr>
            <w:tcW w:w="1307" w:type="dxa"/>
            <w:tcBorders>
              <w:top w:val="nil"/>
              <w:left w:val="nil"/>
              <w:bottom w:val="single" w:sz="4" w:space="0" w:color="auto"/>
              <w:right w:val="single" w:sz="4" w:space="0" w:color="auto"/>
            </w:tcBorders>
            <w:shd w:val="clear" w:color="000000" w:fill="FFFFFF"/>
            <w:noWrap/>
            <w:vAlign w:val="bottom"/>
            <w:hideMark/>
          </w:tcPr>
          <w:p w14:paraId="697B291B"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2.646.025,00</w:t>
            </w:r>
          </w:p>
        </w:tc>
        <w:tc>
          <w:tcPr>
            <w:tcW w:w="1123" w:type="dxa"/>
            <w:tcBorders>
              <w:top w:val="nil"/>
              <w:left w:val="nil"/>
              <w:bottom w:val="single" w:sz="4" w:space="0" w:color="auto"/>
              <w:right w:val="single" w:sz="4" w:space="0" w:color="auto"/>
            </w:tcBorders>
            <w:shd w:val="clear" w:color="000000" w:fill="FFFFFF"/>
            <w:noWrap/>
            <w:vAlign w:val="bottom"/>
            <w:hideMark/>
          </w:tcPr>
          <w:p w14:paraId="34E4DB5C"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227.019,00</w:t>
            </w:r>
          </w:p>
        </w:tc>
        <w:tc>
          <w:tcPr>
            <w:tcW w:w="1123" w:type="dxa"/>
            <w:tcBorders>
              <w:top w:val="nil"/>
              <w:left w:val="nil"/>
              <w:bottom w:val="single" w:sz="4" w:space="0" w:color="auto"/>
              <w:right w:val="single" w:sz="4" w:space="0" w:color="auto"/>
            </w:tcBorders>
            <w:shd w:val="clear" w:color="000000" w:fill="FFFFFF"/>
            <w:noWrap/>
            <w:vAlign w:val="bottom"/>
            <w:hideMark/>
          </w:tcPr>
          <w:p w14:paraId="4AC01723"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8,58</w:t>
            </w:r>
          </w:p>
        </w:tc>
        <w:tc>
          <w:tcPr>
            <w:tcW w:w="1240" w:type="dxa"/>
            <w:tcBorders>
              <w:top w:val="nil"/>
              <w:left w:val="nil"/>
              <w:bottom w:val="single" w:sz="4" w:space="0" w:color="auto"/>
              <w:right w:val="single" w:sz="4" w:space="0" w:color="auto"/>
            </w:tcBorders>
            <w:shd w:val="clear" w:color="000000" w:fill="FFFFFF"/>
            <w:noWrap/>
            <w:vAlign w:val="bottom"/>
            <w:hideMark/>
          </w:tcPr>
          <w:p w14:paraId="464474D4"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2.873.044,00</w:t>
            </w:r>
          </w:p>
        </w:tc>
      </w:tr>
      <w:tr w:rsidR="00BC7E60" w:rsidRPr="00497178" w14:paraId="3E410CC0"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A822582"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Glava 40001 UPRAVNI ODJEL ZA KOMUNALNO GOSPODARSTVO I UPRAVLJANJE IMOVINOM</w:t>
            </w:r>
          </w:p>
        </w:tc>
        <w:tc>
          <w:tcPr>
            <w:tcW w:w="1307" w:type="dxa"/>
            <w:tcBorders>
              <w:top w:val="nil"/>
              <w:left w:val="nil"/>
              <w:bottom w:val="single" w:sz="4" w:space="0" w:color="auto"/>
              <w:right w:val="single" w:sz="4" w:space="0" w:color="auto"/>
            </w:tcBorders>
            <w:shd w:val="clear" w:color="000000" w:fill="FFFFFF"/>
            <w:noWrap/>
            <w:vAlign w:val="bottom"/>
            <w:hideMark/>
          </w:tcPr>
          <w:p w14:paraId="4DE5C0D2"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2.646.025,00</w:t>
            </w:r>
          </w:p>
        </w:tc>
        <w:tc>
          <w:tcPr>
            <w:tcW w:w="1123" w:type="dxa"/>
            <w:tcBorders>
              <w:top w:val="nil"/>
              <w:left w:val="nil"/>
              <w:bottom w:val="single" w:sz="4" w:space="0" w:color="auto"/>
              <w:right w:val="single" w:sz="4" w:space="0" w:color="auto"/>
            </w:tcBorders>
            <w:shd w:val="clear" w:color="000000" w:fill="FFFFFF"/>
            <w:noWrap/>
            <w:vAlign w:val="bottom"/>
            <w:hideMark/>
          </w:tcPr>
          <w:p w14:paraId="022314E8"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227.019,00</w:t>
            </w:r>
          </w:p>
        </w:tc>
        <w:tc>
          <w:tcPr>
            <w:tcW w:w="1123" w:type="dxa"/>
            <w:tcBorders>
              <w:top w:val="nil"/>
              <w:left w:val="nil"/>
              <w:bottom w:val="single" w:sz="4" w:space="0" w:color="auto"/>
              <w:right w:val="single" w:sz="4" w:space="0" w:color="auto"/>
            </w:tcBorders>
            <w:shd w:val="clear" w:color="000000" w:fill="FFFFFF"/>
            <w:noWrap/>
            <w:vAlign w:val="bottom"/>
            <w:hideMark/>
          </w:tcPr>
          <w:p w14:paraId="16E5A8E1"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8,58</w:t>
            </w:r>
          </w:p>
        </w:tc>
        <w:tc>
          <w:tcPr>
            <w:tcW w:w="1240" w:type="dxa"/>
            <w:tcBorders>
              <w:top w:val="nil"/>
              <w:left w:val="nil"/>
              <w:bottom w:val="single" w:sz="4" w:space="0" w:color="auto"/>
              <w:right w:val="single" w:sz="4" w:space="0" w:color="auto"/>
            </w:tcBorders>
            <w:shd w:val="clear" w:color="000000" w:fill="FFFFFF"/>
            <w:noWrap/>
            <w:vAlign w:val="bottom"/>
            <w:hideMark/>
          </w:tcPr>
          <w:p w14:paraId="038C73BF"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2.873.044,00</w:t>
            </w:r>
          </w:p>
        </w:tc>
      </w:tr>
      <w:tr w:rsidR="00BC7E60" w:rsidRPr="00497178" w14:paraId="11463C3F"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092FB96"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4001 Održavanje komunalne infrastrukture</w:t>
            </w:r>
          </w:p>
        </w:tc>
        <w:tc>
          <w:tcPr>
            <w:tcW w:w="1307" w:type="dxa"/>
            <w:tcBorders>
              <w:top w:val="nil"/>
              <w:left w:val="nil"/>
              <w:bottom w:val="single" w:sz="4" w:space="0" w:color="auto"/>
              <w:right w:val="single" w:sz="4" w:space="0" w:color="auto"/>
            </w:tcBorders>
            <w:shd w:val="clear" w:color="000000" w:fill="FFFFFF"/>
            <w:noWrap/>
            <w:vAlign w:val="bottom"/>
            <w:hideMark/>
          </w:tcPr>
          <w:p w14:paraId="01CAA188"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2.049.400,00</w:t>
            </w:r>
          </w:p>
        </w:tc>
        <w:tc>
          <w:tcPr>
            <w:tcW w:w="1123" w:type="dxa"/>
            <w:tcBorders>
              <w:top w:val="nil"/>
              <w:left w:val="nil"/>
              <w:bottom w:val="single" w:sz="4" w:space="0" w:color="auto"/>
              <w:right w:val="single" w:sz="4" w:space="0" w:color="auto"/>
            </w:tcBorders>
            <w:shd w:val="clear" w:color="000000" w:fill="FFFFFF"/>
            <w:noWrap/>
            <w:vAlign w:val="bottom"/>
            <w:hideMark/>
          </w:tcPr>
          <w:p w14:paraId="55A3916E"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81.862,00</w:t>
            </w:r>
          </w:p>
        </w:tc>
        <w:tc>
          <w:tcPr>
            <w:tcW w:w="1123" w:type="dxa"/>
            <w:tcBorders>
              <w:top w:val="nil"/>
              <w:left w:val="nil"/>
              <w:bottom w:val="single" w:sz="4" w:space="0" w:color="auto"/>
              <w:right w:val="single" w:sz="4" w:space="0" w:color="auto"/>
            </w:tcBorders>
            <w:shd w:val="clear" w:color="000000" w:fill="FFFFFF"/>
            <w:noWrap/>
            <w:vAlign w:val="bottom"/>
            <w:hideMark/>
          </w:tcPr>
          <w:p w14:paraId="7F0F1D8C"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3,99</w:t>
            </w:r>
          </w:p>
        </w:tc>
        <w:tc>
          <w:tcPr>
            <w:tcW w:w="1240" w:type="dxa"/>
            <w:tcBorders>
              <w:top w:val="nil"/>
              <w:left w:val="nil"/>
              <w:bottom w:val="single" w:sz="4" w:space="0" w:color="auto"/>
              <w:right w:val="single" w:sz="4" w:space="0" w:color="auto"/>
            </w:tcBorders>
            <w:shd w:val="clear" w:color="000000" w:fill="FFFFFF"/>
            <w:noWrap/>
            <w:vAlign w:val="bottom"/>
            <w:hideMark/>
          </w:tcPr>
          <w:p w14:paraId="01ED8CFB"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2.131.262,00</w:t>
            </w:r>
          </w:p>
        </w:tc>
      </w:tr>
      <w:tr w:rsidR="00BC7E60" w:rsidRPr="00497178" w14:paraId="21CB64EC"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E82062B"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A400012 Održavanje nerazvrstanih cesta</w:t>
            </w:r>
          </w:p>
        </w:tc>
        <w:tc>
          <w:tcPr>
            <w:tcW w:w="1307" w:type="dxa"/>
            <w:tcBorders>
              <w:top w:val="nil"/>
              <w:left w:val="nil"/>
              <w:bottom w:val="single" w:sz="4" w:space="0" w:color="auto"/>
              <w:right w:val="single" w:sz="4" w:space="0" w:color="auto"/>
            </w:tcBorders>
            <w:shd w:val="clear" w:color="000000" w:fill="FFFFFF"/>
            <w:noWrap/>
            <w:vAlign w:val="bottom"/>
            <w:hideMark/>
          </w:tcPr>
          <w:p w14:paraId="6D3382D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698.000,00</w:t>
            </w:r>
          </w:p>
        </w:tc>
        <w:tc>
          <w:tcPr>
            <w:tcW w:w="1123" w:type="dxa"/>
            <w:tcBorders>
              <w:top w:val="nil"/>
              <w:left w:val="nil"/>
              <w:bottom w:val="single" w:sz="4" w:space="0" w:color="auto"/>
              <w:right w:val="single" w:sz="4" w:space="0" w:color="auto"/>
            </w:tcBorders>
            <w:shd w:val="clear" w:color="000000" w:fill="FFFFFF"/>
            <w:noWrap/>
            <w:vAlign w:val="bottom"/>
            <w:hideMark/>
          </w:tcPr>
          <w:p w14:paraId="6C2EC55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36.092,00</w:t>
            </w:r>
          </w:p>
        </w:tc>
        <w:tc>
          <w:tcPr>
            <w:tcW w:w="1123" w:type="dxa"/>
            <w:tcBorders>
              <w:top w:val="nil"/>
              <w:left w:val="nil"/>
              <w:bottom w:val="single" w:sz="4" w:space="0" w:color="auto"/>
              <w:right w:val="single" w:sz="4" w:space="0" w:color="auto"/>
            </w:tcBorders>
            <w:shd w:val="clear" w:color="000000" w:fill="FFFFFF"/>
            <w:noWrap/>
            <w:vAlign w:val="bottom"/>
            <w:hideMark/>
          </w:tcPr>
          <w:p w14:paraId="5956BCE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5,17</w:t>
            </w:r>
          </w:p>
        </w:tc>
        <w:tc>
          <w:tcPr>
            <w:tcW w:w="1240" w:type="dxa"/>
            <w:tcBorders>
              <w:top w:val="nil"/>
              <w:left w:val="nil"/>
              <w:bottom w:val="single" w:sz="4" w:space="0" w:color="auto"/>
              <w:right w:val="single" w:sz="4" w:space="0" w:color="auto"/>
            </w:tcBorders>
            <w:shd w:val="clear" w:color="000000" w:fill="FFFFFF"/>
            <w:noWrap/>
            <w:vAlign w:val="bottom"/>
            <w:hideMark/>
          </w:tcPr>
          <w:p w14:paraId="6F9AD43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734.092,00</w:t>
            </w:r>
          </w:p>
        </w:tc>
      </w:tr>
      <w:tr w:rsidR="00BC7E60" w:rsidRPr="00497178" w14:paraId="01AD166E"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12EB74CC"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A400013 Održavanje javnih površina na kojima nije dopušten promet motornim vozilima</w:t>
            </w:r>
          </w:p>
        </w:tc>
        <w:tc>
          <w:tcPr>
            <w:tcW w:w="1307" w:type="dxa"/>
            <w:tcBorders>
              <w:top w:val="nil"/>
              <w:left w:val="nil"/>
              <w:bottom w:val="single" w:sz="4" w:space="0" w:color="auto"/>
              <w:right w:val="single" w:sz="4" w:space="0" w:color="auto"/>
            </w:tcBorders>
            <w:shd w:val="clear" w:color="000000" w:fill="FFFFFF"/>
            <w:noWrap/>
            <w:vAlign w:val="bottom"/>
            <w:hideMark/>
          </w:tcPr>
          <w:p w14:paraId="6DEC7F6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121.000,00</w:t>
            </w:r>
          </w:p>
        </w:tc>
        <w:tc>
          <w:tcPr>
            <w:tcW w:w="1123" w:type="dxa"/>
            <w:tcBorders>
              <w:top w:val="nil"/>
              <w:left w:val="nil"/>
              <w:bottom w:val="single" w:sz="4" w:space="0" w:color="auto"/>
              <w:right w:val="single" w:sz="4" w:space="0" w:color="auto"/>
            </w:tcBorders>
            <w:shd w:val="clear" w:color="000000" w:fill="FFFFFF"/>
            <w:noWrap/>
            <w:vAlign w:val="bottom"/>
            <w:hideMark/>
          </w:tcPr>
          <w:p w14:paraId="24DFEB8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-19.230,00</w:t>
            </w:r>
          </w:p>
        </w:tc>
        <w:tc>
          <w:tcPr>
            <w:tcW w:w="1123" w:type="dxa"/>
            <w:tcBorders>
              <w:top w:val="nil"/>
              <w:left w:val="nil"/>
              <w:bottom w:val="single" w:sz="4" w:space="0" w:color="auto"/>
              <w:right w:val="single" w:sz="4" w:space="0" w:color="auto"/>
            </w:tcBorders>
            <w:shd w:val="clear" w:color="000000" w:fill="FFFFFF"/>
            <w:noWrap/>
            <w:vAlign w:val="bottom"/>
            <w:hideMark/>
          </w:tcPr>
          <w:p w14:paraId="3D5B8FE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-15,89</w:t>
            </w:r>
          </w:p>
        </w:tc>
        <w:tc>
          <w:tcPr>
            <w:tcW w:w="1240" w:type="dxa"/>
            <w:tcBorders>
              <w:top w:val="nil"/>
              <w:left w:val="nil"/>
              <w:bottom w:val="single" w:sz="4" w:space="0" w:color="auto"/>
              <w:right w:val="single" w:sz="4" w:space="0" w:color="auto"/>
            </w:tcBorders>
            <w:shd w:val="clear" w:color="000000" w:fill="FFFFFF"/>
            <w:noWrap/>
            <w:vAlign w:val="bottom"/>
            <w:hideMark/>
          </w:tcPr>
          <w:p w14:paraId="7CAC866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101.770,00</w:t>
            </w:r>
          </w:p>
        </w:tc>
      </w:tr>
      <w:tr w:rsidR="00BC7E60" w:rsidRPr="00497178" w14:paraId="2A897F1A"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8423AEC"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A400014 Održavanje građevina javne odvodnje oborinskih voda</w:t>
            </w:r>
          </w:p>
        </w:tc>
        <w:tc>
          <w:tcPr>
            <w:tcW w:w="1307" w:type="dxa"/>
            <w:tcBorders>
              <w:top w:val="nil"/>
              <w:left w:val="nil"/>
              <w:bottom w:val="single" w:sz="4" w:space="0" w:color="auto"/>
              <w:right w:val="single" w:sz="4" w:space="0" w:color="auto"/>
            </w:tcBorders>
            <w:shd w:val="clear" w:color="000000" w:fill="FFFFFF"/>
            <w:noWrap/>
            <w:vAlign w:val="bottom"/>
            <w:hideMark/>
          </w:tcPr>
          <w:p w14:paraId="4FDB5C1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40.000,00</w:t>
            </w:r>
          </w:p>
        </w:tc>
        <w:tc>
          <w:tcPr>
            <w:tcW w:w="1123" w:type="dxa"/>
            <w:tcBorders>
              <w:top w:val="nil"/>
              <w:left w:val="nil"/>
              <w:bottom w:val="single" w:sz="4" w:space="0" w:color="auto"/>
              <w:right w:val="single" w:sz="4" w:space="0" w:color="auto"/>
            </w:tcBorders>
            <w:shd w:val="clear" w:color="000000" w:fill="FFFFFF"/>
            <w:noWrap/>
            <w:vAlign w:val="bottom"/>
            <w:hideMark/>
          </w:tcPr>
          <w:p w14:paraId="2D68752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-15.000,00</w:t>
            </w:r>
          </w:p>
        </w:tc>
        <w:tc>
          <w:tcPr>
            <w:tcW w:w="1123" w:type="dxa"/>
            <w:tcBorders>
              <w:top w:val="nil"/>
              <w:left w:val="nil"/>
              <w:bottom w:val="single" w:sz="4" w:space="0" w:color="auto"/>
              <w:right w:val="single" w:sz="4" w:space="0" w:color="auto"/>
            </w:tcBorders>
            <w:shd w:val="clear" w:color="000000" w:fill="FFFFFF"/>
            <w:noWrap/>
            <w:vAlign w:val="bottom"/>
            <w:hideMark/>
          </w:tcPr>
          <w:p w14:paraId="1B627B9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-37,50</w:t>
            </w:r>
          </w:p>
        </w:tc>
        <w:tc>
          <w:tcPr>
            <w:tcW w:w="1240" w:type="dxa"/>
            <w:tcBorders>
              <w:top w:val="nil"/>
              <w:left w:val="nil"/>
              <w:bottom w:val="single" w:sz="4" w:space="0" w:color="auto"/>
              <w:right w:val="single" w:sz="4" w:space="0" w:color="auto"/>
            </w:tcBorders>
            <w:shd w:val="clear" w:color="000000" w:fill="FFFFFF"/>
            <w:noWrap/>
            <w:vAlign w:val="bottom"/>
            <w:hideMark/>
          </w:tcPr>
          <w:p w14:paraId="2C2BE1F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25.000,00</w:t>
            </w:r>
          </w:p>
        </w:tc>
      </w:tr>
      <w:tr w:rsidR="00BC7E60" w:rsidRPr="00497178" w14:paraId="5F26278A"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7DDDA44"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A400015 Održavanje javnih zelenih površina</w:t>
            </w:r>
          </w:p>
        </w:tc>
        <w:tc>
          <w:tcPr>
            <w:tcW w:w="1307" w:type="dxa"/>
            <w:tcBorders>
              <w:top w:val="nil"/>
              <w:left w:val="nil"/>
              <w:bottom w:val="single" w:sz="4" w:space="0" w:color="auto"/>
              <w:right w:val="single" w:sz="4" w:space="0" w:color="auto"/>
            </w:tcBorders>
            <w:shd w:val="clear" w:color="000000" w:fill="FFFFFF"/>
            <w:noWrap/>
            <w:vAlign w:val="bottom"/>
            <w:hideMark/>
          </w:tcPr>
          <w:p w14:paraId="150B4A0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591.000,00</w:t>
            </w:r>
          </w:p>
        </w:tc>
        <w:tc>
          <w:tcPr>
            <w:tcW w:w="1123" w:type="dxa"/>
            <w:tcBorders>
              <w:top w:val="nil"/>
              <w:left w:val="nil"/>
              <w:bottom w:val="single" w:sz="4" w:space="0" w:color="auto"/>
              <w:right w:val="single" w:sz="4" w:space="0" w:color="auto"/>
            </w:tcBorders>
            <w:shd w:val="clear" w:color="000000" w:fill="FFFFFF"/>
            <w:noWrap/>
            <w:vAlign w:val="bottom"/>
            <w:hideMark/>
          </w:tcPr>
          <w:p w14:paraId="6D23DAF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47.000,00</w:t>
            </w:r>
          </w:p>
        </w:tc>
        <w:tc>
          <w:tcPr>
            <w:tcW w:w="1123" w:type="dxa"/>
            <w:tcBorders>
              <w:top w:val="nil"/>
              <w:left w:val="nil"/>
              <w:bottom w:val="single" w:sz="4" w:space="0" w:color="auto"/>
              <w:right w:val="single" w:sz="4" w:space="0" w:color="auto"/>
            </w:tcBorders>
            <w:shd w:val="clear" w:color="000000" w:fill="FFFFFF"/>
            <w:noWrap/>
            <w:vAlign w:val="bottom"/>
            <w:hideMark/>
          </w:tcPr>
          <w:p w14:paraId="1394093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7,95</w:t>
            </w:r>
          </w:p>
        </w:tc>
        <w:tc>
          <w:tcPr>
            <w:tcW w:w="1240" w:type="dxa"/>
            <w:tcBorders>
              <w:top w:val="nil"/>
              <w:left w:val="nil"/>
              <w:bottom w:val="single" w:sz="4" w:space="0" w:color="auto"/>
              <w:right w:val="single" w:sz="4" w:space="0" w:color="auto"/>
            </w:tcBorders>
            <w:shd w:val="clear" w:color="000000" w:fill="FFFFFF"/>
            <w:noWrap/>
            <w:vAlign w:val="bottom"/>
            <w:hideMark/>
          </w:tcPr>
          <w:p w14:paraId="3131D0D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638.000,00</w:t>
            </w:r>
          </w:p>
        </w:tc>
      </w:tr>
      <w:tr w:rsidR="00BC7E60" w:rsidRPr="00497178" w14:paraId="309B362B"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5C7CBFF"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A400016 Održavanje građevina, uređaja i predmeta javne namjene</w:t>
            </w:r>
          </w:p>
        </w:tc>
        <w:tc>
          <w:tcPr>
            <w:tcW w:w="1307" w:type="dxa"/>
            <w:tcBorders>
              <w:top w:val="nil"/>
              <w:left w:val="nil"/>
              <w:bottom w:val="single" w:sz="4" w:space="0" w:color="auto"/>
              <w:right w:val="single" w:sz="4" w:space="0" w:color="auto"/>
            </w:tcBorders>
            <w:shd w:val="clear" w:color="000000" w:fill="FFFFFF"/>
            <w:noWrap/>
            <w:vAlign w:val="bottom"/>
            <w:hideMark/>
          </w:tcPr>
          <w:p w14:paraId="6CE9E0E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148.500,00</w:t>
            </w:r>
          </w:p>
        </w:tc>
        <w:tc>
          <w:tcPr>
            <w:tcW w:w="1123" w:type="dxa"/>
            <w:tcBorders>
              <w:top w:val="nil"/>
              <w:left w:val="nil"/>
              <w:bottom w:val="single" w:sz="4" w:space="0" w:color="auto"/>
              <w:right w:val="single" w:sz="4" w:space="0" w:color="auto"/>
            </w:tcBorders>
            <w:shd w:val="clear" w:color="000000" w:fill="FFFFFF"/>
            <w:noWrap/>
            <w:vAlign w:val="bottom"/>
            <w:hideMark/>
          </w:tcPr>
          <w:p w14:paraId="63670ED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03B1E64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ADB781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148.500,00</w:t>
            </w:r>
          </w:p>
        </w:tc>
      </w:tr>
      <w:tr w:rsidR="00BC7E60" w:rsidRPr="00497178" w14:paraId="25031A1B"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D79D65A"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A400017 Održavanje groblja i krematorija unutar groblja</w:t>
            </w:r>
          </w:p>
        </w:tc>
        <w:tc>
          <w:tcPr>
            <w:tcW w:w="1307" w:type="dxa"/>
            <w:tcBorders>
              <w:top w:val="nil"/>
              <w:left w:val="nil"/>
              <w:bottom w:val="single" w:sz="4" w:space="0" w:color="auto"/>
              <w:right w:val="single" w:sz="4" w:space="0" w:color="auto"/>
            </w:tcBorders>
            <w:shd w:val="clear" w:color="000000" w:fill="FFFFFF"/>
            <w:noWrap/>
            <w:vAlign w:val="bottom"/>
            <w:hideMark/>
          </w:tcPr>
          <w:p w14:paraId="5621268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4.000,00</w:t>
            </w:r>
          </w:p>
        </w:tc>
        <w:tc>
          <w:tcPr>
            <w:tcW w:w="1123" w:type="dxa"/>
            <w:tcBorders>
              <w:top w:val="nil"/>
              <w:left w:val="nil"/>
              <w:bottom w:val="single" w:sz="4" w:space="0" w:color="auto"/>
              <w:right w:val="single" w:sz="4" w:space="0" w:color="auto"/>
            </w:tcBorders>
            <w:shd w:val="clear" w:color="000000" w:fill="FFFFFF"/>
            <w:noWrap/>
            <w:vAlign w:val="bottom"/>
            <w:hideMark/>
          </w:tcPr>
          <w:p w14:paraId="50CF7E6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4331173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D53DAF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4.000,00</w:t>
            </w:r>
          </w:p>
        </w:tc>
      </w:tr>
      <w:tr w:rsidR="00BC7E60" w:rsidRPr="00497178" w14:paraId="359F2FF0"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30D4D63"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A400018 Održavanje čistoće javnih površina</w:t>
            </w:r>
          </w:p>
        </w:tc>
        <w:tc>
          <w:tcPr>
            <w:tcW w:w="1307" w:type="dxa"/>
            <w:tcBorders>
              <w:top w:val="nil"/>
              <w:left w:val="nil"/>
              <w:bottom w:val="single" w:sz="4" w:space="0" w:color="auto"/>
              <w:right w:val="single" w:sz="4" w:space="0" w:color="auto"/>
            </w:tcBorders>
            <w:shd w:val="clear" w:color="000000" w:fill="FFFFFF"/>
            <w:noWrap/>
            <w:vAlign w:val="bottom"/>
            <w:hideMark/>
          </w:tcPr>
          <w:p w14:paraId="305E7EB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203.000,00</w:t>
            </w:r>
          </w:p>
        </w:tc>
        <w:tc>
          <w:tcPr>
            <w:tcW w:w="1123" w:type="dxa"/>
            <w:tcBorders>
              <w:top w:val="nil"/>
              <w:left w:val="nil"/>
              <w:bottom w:val="single" w:sz="4" w:space="0" w:color="auto"/>
              <w:right w:val="single" w:sz="4" w:space="0" w:color="auto"/>
            </w:tcBorders>
            <w:shd w:val="clear" w:color="000000" w:fill="FFFFFF"/>
            <w:noWrap/>
            <w:vAlign w:val="bottom"/>
            <w:hideMark/>
          </w:tcPr>
          <w:p w14:paraId="342F413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13.000,00</w:t>
            </w:r>
          </w:p>
        </w:tc>
        <w:tc>
          <w:tcPr>
            <w:tcW w:w="1123" w:type="dxa"/>
            <w:tcBorders>
              <w:top w:val="nil"/>
              <w:left w:val="nil"/>
              <w:bottom w:val="single" w:sz="4" w:space="0" w:color="auto"/>
              <w:right w:val="single" w:sz="4" w:space="0" w:color="auto"/>
            </w:tcBorders>
            <w:shd w:val="clear" w:color="000000" w:fill="FFFFFF"/>
            <w:noWrap/>
            <w:vAlign w:val="bottom"/>
            <w:hideMark/>
          </w:tcPr>
          <w:p w14:paraId="13E4CD1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6,40</w:t>
            </w:r>
          </w:p>
        </w:tc>
        <w:tc>
          <w:tcPr>
            <w:tcW w:w="1240" w:type="dxa"/>
            <w:tcBorders>
              <w:top w:val="nil"/>
              <w:left w:val="nil"/>
              <w:bottom w:val="single" w:sz="4" w:space="0" w:color="auto"/>
              <w:right w:val="single" w:sz="4" w:space="0" w:color="auto"/>
            </w:tcBorders>
            <w:shd w:val="clear" w:color="000000" w:fill="FFFFFF"/>
            <w:noWrap/>
            <w:vAlign w:val="bottom"/>
            <w:hideMark/>
          </w:tcPr>
          <w:p w14:paraId="4B9BDDF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216.000,00</w:t>
            </w:r>
          </w:p>
        </w:tc>
      </w:tr>
      <w:tr w:rsidR="00BC7E60" w:rsidRPr="00497178" w14:paraId="32B03FE3"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36FED08C"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A400019 Održavanje javne rasvjete i potrošnja električne energije</w:t>
            </w:r>
          </w:p>
        </w:tc>
        <w:tc>
          <w:tcPr>
            <w:tcW w:w="1307" w:type="dxa"/>
            <w:tcBorders>
              <w:top w:val="nil"/>
              <w:left w:val="nil"/>
              <w:bottom w:val="single" w:sz="4" w:space="0" w:color="auto"/>
              <w:right w:val="single" w:sz="4" w:space="0" w:color="auto"/>
            </w:tcBorders>
            <w:shd w:val="clear" w:color="000000" w:fill="FFFFFF"/>
            <w:noWrap/>
            <w:vAlign w:val="bottom"/>
            <w:hideMark/>
          </w:tcPr>
          <w:p w14:paraId="689353D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144.000,00</w:t>
            </w:r>
          </w:p>
        </w:tc>
        <w:tc>
          <w:tcPr>
            <w:tcW w:w="1123" w:type="dxa"/>
            <w:tcBorders>
              <w:top w:val="nil"/>
              <w:left w:val="nil"/>
              <w:bottom w:val="single" w:sz="4" w:space="0" w:color="auto"/>
              <w:right w:val="single" w:sz="4" w:space="0" w:color="auto"/>
            </w:tcBorders>
            <w:shd w:val="clear" w:color="000000" w:fill="FFFFFF"/>
            <w:noWrap/>
            <w:vAlign w:val="bottom"/>
            <w:hideMark/>
          </w:tcPr>
          <w:p w14:paraId="770435C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35.000,00</w:t>
            </w:r>
          </w:p>
        </w:tc>
        <w:tc>
          <w:tcPr>
            <w:tcW w:w="1123" w:type="dxa"/>
            <w:tcBorders>
              <w:top w:val="nil"/>
              <w:left w:val="nil"/>
              <w:bottom w:val="single" w:sz="4" w:space="0" w:color="auto"/>
              <w:right w:val="single" w:sz="4" w:space="0" w:color="auto"/>
            </w:tcBorders>
            <w:shd w:val="clear" w:color="000000" w:fill="FFFFFF"/>
            <w:noWrap/>
            <w:vAlign w:val="bottom"/>
            <w:hideMark/>
          </w:tcPr>
          <w:p w14:paraId="7790B30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24,31</w:t>
            </w:r>
          </w:p>
        </w:tc>
        <w:tc>
          <w:tcPr>
            <w:tcW w:w="1240" w:type="dxa"/>
            <w:tcBorders>
              <w:top w:val="nil"/>
              <w:left w:val="nil"/>
              <w:bottom w:val="single" w:sz="4" w:space="0" w:color="auto"/>
              <w:right w:val="single" w:sz="4" w:space="0" w:color="auto"/>
            </w:tcBorders>
            <w:shd w:val="clear" w:color="000000" w:fill="FFFFFF"/>
            <w:noWrap/>
            <w:vAlign w:val="bottom"/>
            <w:hideMark/>
          </w:tcPr>
          <w:p w14:paraId="05308D7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179.000,00</w:t>
            </w:r>
          </w:p>
        </w:tc>
      </w:tr>
      <w:tr w:rsidR="00BC7E60" w:rsidRPr="00497178" w14:paraId="6FEBE6E5"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2E8FB4A4"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A400020 Održavanje ostale komunalne infrastrukture</w:t>
            </w:r>
          </w:p>
        </w:tc>
        <w:tc>
          <w:tcPr>
            <w:tcW w:w="1307" w:type="dxa"/>
            <w:tcBorders>
              <w:top w:val="nil"/>
              <w:left w:val="nil"/>
              <w:bottom w:val="single" w:sz="4" w:space="0" w:color="auto"/>
              <w:right w:val="single" w:sz="4" w:space="0" w:color="auto"/>
            </w:tcBorders>
            <w:shd w:val="clear" w:color="000000" w:fill="FFFFFF"/>
            <w:noWrap/>
            <w:vAlign w:val="bottom"/>
            <w:hideMark/>
          </w:tcPr>
          <w:p w14:paraId="5A11D4D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99.900,00</w:t>
            </w:r>
          </w:p>
        </w:tc>
        <w:tc>
          <w:tcPr>
            <w:tcW w:w="1123" w:type="dxa"/>
            <w:tcBorders>
              <w:top w:val="nil"/>
              <w:left w:val="nil"/>
              <w:bottom w:val="single" w:sz="4" w:space="0" w:color="auto"/>
              <w:right w:val="single" w:sz="4" w:space="0" w:color="auto"/>
            </w:tcBorders>
            <w:shd w:val="clear" w:color="000000" w:fill="FFFFFF"/>
            <w:noWrap/>
            <w:vAlign w:val="bottom"/>
            <w:hideMark/>
          </w:tcPr>
          <w:p w14:paraId="7920019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-15.000,00</w:t>
            </w:r>
          </w:p>
        </w:tc>
        <w:tc>
          <w:tcPr>
            <w:tcW w:w="1123" w:type="dxa"/>
            <w:tcBorders>
              <w:top w:val="nil"/>
              <w:left w:val="nil"/>
              <w:bottom w:val="single" w:sz="4" w:space="0" w:color="auto"/>
              <w:right w:val="single" w:sz="4" w:space="0" w:color="auto"/>
            </w:tcBorders>
            <w:shd w:val="clear" w:color="000000" w:fill="FFFFFF"/>
            <w:noWrap/>
            <w:vAlign w:val="bottom"/>
            <w:hideMark/>
          </w:tcPr>
          <w:p w14:paraId="5BE9FFD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-15,02</w:t>
            </w:r>
          </w:p>
        </w:tc>
        <w:tc>
          <w:tcPr>
            <w:tcW w:w="1240" w:type="dxa"/>
            <w:tcBorders>
              <w:top w:val="nil"/>
              <w:left w:val="nil"/>
              <w:bottom w:val="single" w:sz="4" w:space="0" w:color="auto"/>
              <w:right w:val="single" w:sz="4" w:space="0" w:color="auto"/>
            </w:tcBorders>
            <w:shd w:val="clear" w:color="000000" w:fill="FFFFFF"/>
            <w:noWrap/>
            <w:vAlign w:val="bottom"/>
            <w:hideMark/>
          </w:tcPr>
          <w:p w14:paraId="3B09541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84.900,00</w:t>
            </w:r>
          </w:p>
        </w:tc>
      </w:tr>
      <w:tr w:rsidR="00BC7E60" w:rsidRPr="00497178" w14:paraId="692D4372"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805D8A6"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4002 Održavanje stambenih i poslovnih prostora i dr.</w:t>
            </w:r>
          </w:p>
        </w:tc>
        <w:tc>
          <w:tcPr>
            <w:tcW w:w="1307" w:type="dxa"/>
            <w:tcBorders>
              <w:top w:val="nil"/>
              <w:left w:val="nil"/>
              <w:bottom w:val="single" w:sz="4" w:space="0" w:color="auto"/>
              <w:right w:val="single" w:sz="4" w:space="0" w:color="auto"/>
            </w:tcBorders>
            <w:shd w:val="clear" w:color="000000" w:fill="FFFFFF"/>
            <w:noWrap/>
            <w:vAlign w:val="bottom"/>
            <w:hideMark/>
          </w:tcPr>
          <w:p w14:paraId="23554314"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551.000,00</w:t>
            </w:r>
          </w:p>
        </w:tc>
        <w:tc>
          <w:tcPr>
            <w:tcW w:w="1123" w:type="dxa"/>
            <w:tcBorders>
              <w:top w:val="nil"/>
              <w:left w:val="nil"/>
              <w:bottom w:val="single" w:sz="4" w:space="0" w:color="auto"/>
              <w:right w:val="single" w:sz="4" w:space="0" w:color="auto"/>
            </w:tcBorders>
            <w:shd w:val="clear" w:color="000000" w:fill="FFFFFF"/>
            <w:noWrap/>
            <w:vAlign w:val="bottom"/>
            <w:hideMark/>
          </w:tcPr>
          <w:p w14:paraId="18FB29E3"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82.163,00</w:t>
            </w:r>
          </w:p>
        </w:tc>
        <w:tc>
          <w:tcPr>
            <w:tcW w:w="1123" w:type="dxa"/>
            <w:tcBorders>
              <w:top w:val="nil"/>
              <w:left w:val="nil"/>
              <w:bottom w:val="single" w:sz="4" w:space="0" w:color="auto"/>
              <w:right w:val="single" w:sz="4" w:space="0" w:color="auto"/>
            </w:tcBorders>
            <w:shd w:val="clear" w:color="000000" w:fill="FFFFFF"/>
            <w:noWrap/>
            <w:vAlign w:val="bottom"/>
            <w:hideMark/>
          </w:tcPr>
          <w:p w14:paraId="7682B836"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14,91</w:t>
            </w:r>
          </w:p>
        </w:tc>
        <w:tc>
          <w:tcPr>
            <w:tcW w:w="1240" w:type="dxa"/>
            <w:tcBorders>
              <w:top w:val="nil"/>
              <w:left w:val="nil"/>
              <w:bottom w:val="single" w:sz="4" w:space="0" w:color="auto"/>
              <w:right w:val="single" w:sz="4" w:space="0" w:color="auto"/>
            </w:tcBorders>
            <w:shd w:val="clear" w:color="000000" w:fill="FFFFFF"/>
            <w:noWrap/>
            <w:vAlign w:val="bottom"/>
            <w:hideMark/>
          </w:tcPr>
          <w:p w14:paraId="0FE1EC27"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633.163,00</w:t>
            </w:r>
          </w:p>
        </w:tc>
      </w:tr>
      <w:tr w:rsidR="00BC7E60" w:rsidRPr="00497178" w14:paraId="03A40EB7"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8815DDC"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A400001 Održavanje stambenih prostora</w:t>
            </w:r>
          </w:p>
        </w:tc>
        <w:tc>
          <w:tcPr>
            <w:tcW w:w="1307" w:type="dxa"/>
            <w:tcBorders>
              <w:top w:val="nil"/>
              <w:left w:val="nil"/>
              <w:bottom w:val="single" w:sz="4" w:space="0" w:color="auto"/>
              <w:right w:val="single" w:sz="4" w:space="0" w:color="auto"/>
            </w:tcBorders>
            <w:shd w:val="clear" w:color="000000" w:fill="FFFFFF"/>
            <w:noWrap/>
            <w:vAlign w:val="bottom"/>
            <w:hideMark/>
          </w:tcPr>
          <w:p w14:paraId="65FA748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73.500,00</w:t>
            </w:r>
          </w:p>
        </w:tc>
        <w:tc>
          <w:tcPr>
            <w:tcW w:w="1123" w:type="dxa"/>
            <w:tcBorders>
              <w:top w:val="nil"/>
              <w:left w:val="nil"/>
              <w:bottom w:val="single" w:sz="4" w:space="0" w:color="auto"/>
              <w:right w:val="single" w:sz="4" w:space="0" w:color="auto"/>
            </w:tcBorders>
            <w:shd w:val="clear" w:color="000000" w:fill="FFFFFF"/>
            <w:noWrap/>
            <w:vAlign w:val="bottom"/>
            <w:hideMark/>
          </w:tcPr>
          <w:p w14:paraId="5455FE7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11.500,00</w:t>
            </w:r>
          </w:p>
        </w:tc>
        <w:tc>
          <w:tcPr>
            <w:tcW w:w="1123" w:type="dxa"/>
            <w:tcBorders>
              <w:top w:val="nil"/>
              <w:left w:val="nil"/>
              <w:bottom w:val="single" w:sz="4" w:space="0" w:color="auto"/>
              <w:right w:val="single" w:sz="4" w:space="0" w:color="auto"/>
            </w:tcBorders>
            <w:shd w:val="clear" w:color="000000" w:fill="FFFFFF"/>
            <w:noWrap/>
            <w:vAlign w:val="bottom"/>
            <w:hideMark/>
          </w:tcPr>
          <w:p w14:paraId="021012B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15,65</w:t>
            </w:r>
          </w:p>
        </w:tc>
        <w:tc>
          <w:tcPr>
            <w:tcW w:w="1240" w:type="dxa"/>
            <w:tcBorders>
              <w:top w:val="nil"/>
              <w:left w:val="nil"/>
              <w:bottom w:val="single" w:sz="4" w:space="0" w:color="auto"/>
              <w:right w:val="single" w:sz="4" w:space="0" w:color="auto"/>
            </w:tcBorders>
            <w:shd w:val="clear" w:color="000000" w:fill="FFFFFF"/>
            <w:noWrap/>
            <w:vAlign w:val="bottom"/>
            <w:hideMark/>
          </w:tcPr>
          <w:p w14:paraId="3DABD20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85.000,00</w:t>
            </w:r>
          </w:p>
        </w:tc>
      </w:tr>
      <w:tr w:rsidR="00BC7E60" w:rsidRPr="00497178" w14:paraId="1472C8F7"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7D53C40"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A400002 Održavanje poslovnih prostora, štandova i privremenih priključaka</w:t>
            </w:r>
          </w:p>
        </w:tc>
        <w:tc>
          <w:tcPr>
            <w:tcW w:w="1307" w:type="dxa"/>
            <w:tcBorders>
              <w:top w:val="nil"/>
              <w:left w:val="nil"/>
              <w:bottom w:val="single" w:sz="4" w:space="0" w:color="auto"/>
              <w:right w:val="single" w:sz="4" w:space="0" w:color="auto"/>
            </w:tcBorders>
            <w:shd w:val="clear" w:color="000000" w:fill="FFFFFF"/>
            <w:noWrap/>
            <w:vAlign w:val="bottom"/>
            <w:hideMark/>
          </w:tcPr>
          <w:p w14:paraId="5A753ED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117.000,00</w:t>
            </w:r>
          </w:p>
        </w:tc>
        <w:tc>
          <w:tcPr>
            <w:tcW w:w="1123" w:type="dxa"/>
            <w:tcBorders>
              <w:top w:val="nil"/>
              <w:left w:val="nil"/>
              <w:bottom w:val="single" w:sz="4" w:space="0" w:color="auto"/>
              <w:right w:val="single" w:sz="4" w:space="0" w:color="auto"/>
            </w:tcBorders>
            <w:shd w:val="clear" w:color="000000" w:fill="FFFFFF"/>
            <w:noWrap/>
            <w:vAlign w:val="bottom"/>
            <w:hideMark/>
          </w:tcPr>
          <w:p w14:paraId="5EF78A0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1.500,00</w:t>
            </w:r>
          </w:p>
        </w:tc>
        <w:tc>
          <w:tcPr>
            <w:tcW w:w="1123" w:type="dxa"/>
            <w:tcBorders>
              <w:top w:val="nil"/>
              <w:left w:val="nil"/>
              <w:bottom w:val="single" w:sz="4" w:space="0" w:color="auto"/>
              <w:right w:val="single" w:sz="4" w:space="0" w:color="auto"/>
            </w:tcBorders>
            <w:shd w:val="clear" w:color="000000" w:fill="FFFFFF"/>
            <w:noWrap/>
            <w:vAlign w:val="bottom"/>
            <w:hideMark/>
          </w:tcPr>
          <w:p w14:paraId="5978026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1,28</w:t>
            </w:r>
          </w:p>
        </w:tc>
        <w:tc>
          <w:tcPr>
            <w:tcW w:w="1240" w:type="dxa"/>
            <w:tcBorders>
              <w:top w:val="nil"/>
              <w:left w:val="nil"/>
              <w:bottom w:val="single" w:sz="4" w:space="0" w:color="auto"/>
              <w:right w:val="single" w:sz="4" w:space="0" w:color="auto"/>
            </w:tcBorders>
            <w:shd w:val="clear" w:color="000000" w:fill="FFFFFF"/>
            <w:noWrap/>
            <w:vAlign w:val="bottom"/>
            <w:hideMark/>
          </w:tcPr>
          <w:p w14:paraId="6C0199B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118.500,00</w:t>
            </w:r>
          </w:p>
        </w:tc>
      </w:tr>
      <w:tr w:rsidR="00BC7E60" w:rsidRPr="00497178" w14:paraId="0CC7B34D"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12946A4C"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A400003 Mjere preventivne zaštite i veterinarske usluge</w:t>
            </w:r>
          </w:p>
        </w:tc>
        <w:tc>
          <w:tcPr>
            <w:tcW w:w="1307" w:type="dxa"/>
            <w:tcBorders>
              <w:top w:val="nil"/>
              <w:left w:val="nil"/>
              <w:bottom w:val="single" w:sz="4" w:space="0" w:color="auto"/>
              <w:right w:val="single" w:sz="4" w:space="0" w:color="auto"/>
            </w:tcBorders>
            <w:shd w:val="clear" w:color="000000" w:fill="FFFFFF"/>
            <w:noWrap/>
            <w:vAlign w:val="bottom"/>
            <w:hideMark/>
          </w:tcPr>
          <w:p w14:paraId="62BEB2C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44.000,00</w:t>
            </w:r>
          </w:p>
        </w:tc>
        <w:tc>
          <w:tcPr>
            <w:tcW w:w="1123" w:type="dxa"/>
            <w:tcBorders>
              <w:top w:val="nil"/>
              <w:left w:val="nil"/>
              <w:bottom w:val="single" w:sz="4" w:space="0" w:color="auto"/>
              <w:right w:val="single" w:sz="4" w:space="0" w:color="auto"/>
            </w:tcBorders>
            <w:shd w:val="clear" w:color="000000" w:fill="FFFFFF"/>
            <w:noWrap/>
            <w:vAlign w:val="bottom"/>
            <w:hideMark/>
          </w:tcPr>
          <w:p w14:paraId="48DDA64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7.000,00</w:t>
            </w:r>
          </w:p>
        </w:tc>
        <w:tc>
          <w:tcPr>
            <w:tcW w:w="1123" w:type="dxa"/>
            <w:tcBorders>
              <w:top w:val="nil"/>
              <w:left w:val="nil"/>
              <w:bottom w:val="single" w:sz="4" w:space="0" w:color="auto"/>
              <w:right w:val="single" w:sz="4" w:space="0" w:color="auto"/>
            </w:tcBorders>
            <w:shd w:val="clear" w:color="000000" w:fill="FFFFFF"/>
            <w:noWrap/>
            <w:vAlign w:val="bottom"/>
            <w:hideMark/>
          </w:tcPr>
          <w:p w14:paraId="7A41DDA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15,91</w:t>
            </w:r>
          </w:p>
        </w:tc>
        <w:tc>
          <w:tcPr>
            <w:tcW w:w="1240" w:type="dxa"/>
            <w:tcBorders>
              <w:top w:val="nil"/>
              <w:left w:val="nil"/>
              <w:bottom w:val="single" w:sz="4" w:space="0" w:color="auto"/>
              <w:right w:val="single" w:sz="4" w:space="0" w:color="auto"/>
            </w:tcBorders>
            <w:shd w:val="clear" w:color="000000" w:fill="FFFFFF"/>
            <w:noWrap/>
            <w:vAlign w:val="bottom"/>
            <w:hideMark/>
          </w:tcPr>
          <w:p w14:paraId="4BE0DE9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51.000,00</w:t>
            </w:r>
          </w:p>
        </w:tc>
      </w:tr>
      <w:tr w:rsidR="00BC7E60" w:rsidRPr="00497178" w14:paraId="6813D7FD"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4365B26"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A400004 Dostava vode</w:t>
            </w:r>
          </w:p>
        </w:tc>
        <w:tc>
          <w:tcPr>
            <w:tcW w:w="1307" w:type="dxa"/>
            <w:tcBorders>
              <w:top w:val="nil"/>
              <w:left w:val="nil"/>
              <w:bottom w:val="single" w:sz="4" w:space="0" w:color="auto"/>
              <w:right w:val="single" w:sz="4" w:space="0" w:color="auto"/>
            </w:tcBorders>
            <w:shd w:val="clear" w:color="000000" w:fill="FFFFFF"/>
            <w:noWrap/>
            <w:vAlign w:val="bottom"/>
            <w:hideMark/>
          </w:tcPr>
          <w:p w14:paraId="1453BA4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1.500,00</w:t>
            </w:r>
          </w:p>
        </w:tc>
        <w:tc>
          <w:tcPr>
            <w:tcW w:w="1123" w:type="dxa"/>
            <w:tcBorders>
              <w:top w:val="nil"/>
              <w:left w:val="nil"/>
              <w:bottom w:val="single" w:sz="4" w:space="0" w:color="auto"/>
              <w:right w:val="single" w:sz="4" w:space="0" w:color="auto"/>
            </w:tcBorders>
            <w:shd w:val="clear" w:color="000000" w:fill="FFFFFF"/>
            <w:noWrap/>
            <w:vAlign w:val="bottom"/>
            <w:hideMark/>
          </w:tcPr>
          <w:p w14:paraId="6B1D870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66D2574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E6B5E7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1.500,00</w:t>
            </w:r>
          </w:p>
        </w:tc>
      </w:tr>
      <w:tr w:rsidR="00BC7E60" w:rsidRPr="00497178" w14:paraId="3D64BD1A"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C52002A"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Aktivnost A400005 Usluge pomoći izvršenja poslova </w:t>
            </w:r>
            <w:proofErr w:type="spellStart"/>
            <w:r w:rsidRPr="00497178">
              <w:rPr>
                <w:rFonts w:ascii="Arial" w:hAnsi="Arial" w:cs="Arial"/>
                <w:sz w:val="16"/>
                <w:szCs w:val="16"/>
              </w:rPr>
              <w:t>komun</w:t>
            </w:r>
            <w:proofErr w:type="spellEnd"/>
            <w:r w:rsidRPr="00497178">
              <w:rPr>
                <w:rFonts w:ascii="Arial" w:hAnsi="Arial" w:cs="Arial"/>
                <w:sz w:val="16"/>
                <w:szCs w:val="16"/>
              </w:rPr>
              <w:t>. i promet. redarstva</w:t>
            </w:r>
          </w:p>
        </w:tc>
        <w:tc>
          <w:tcPr>
            <w:tcW w:w="1307" w:type="dxa"/>
            <w:tcBorders>
              <w:top w:val="nil"/>
              <w:left w:val="nil"/>
              <w:bottom w:val="single" w:sz="4" w:space="0" w:color="auto"/>
              <w:right w:val="single" w:sz="4" w:space="0" w:color="auto"/>
            </w:tcBorders>
            <w:shd w:val="clear" w:color="000000" w:fill="FFFFFF"/>
            <w:noWrap/>
            <w:vAlign w:val="bottom"/>
            <w:hideMark/>
          </w:tcPr>
          <w:p w14:paraId="50DD43B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45.500,00</w:t>
            </w:r>
          </w:p>
        </w:tc>
        <w:tc>
          <w:tcPr>
            <w:tcW w:w="1123" w:type="dxa"/>
            <w:tcBorders>
              <w:top w:val="nil"/>
              <w:left w:val="nil"/>
              <w:bottom w:val="single" w:sz="4" w:space="0" w:color="auto"/>
              <w:right w:val="single" w:sz="4" w:space="0" w:color="auto"/>
            </w:tcBorders>
            <w:shd w:val="clear" w:color="000000" w:fill="FFFFFF"/>
            <w:noWrap/>
            <w:vAlign w:val="bottom"/>
            <w:hideMark/>
          </w:tcPr>
          <w:p w14:paraId="537CACD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8.800,00</w:t>
            </w:r>
          </w:p>
        </w:tc>
        <w:tc>
          <w:tcPr>
            <w:tcW w:w="1123" w:type="dxa"/>
            <w:tcBorders>
              <w:top w:val="nil"/>
              <w:left w:val="nil"/>
              <w:bottom w:val="single" w:sz="4" w:space="0" w:color="auto"/>
              <w:right w:val="single" w:sz="4" w:space="0" w:color="auto"/>
            </w:tcBorders>
            <w:shd w:val="clear" w:color="000000" w:fill="FFFFFF"/>
            <w:noWrap/>
            <w:vAlign w:val="bottom"/>
            <w:hideMark/>
          </w:tcPr>
          <w:p w14:paraId="71004FC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19,34</w:t>
            </w:r>
          </w:p>
        </w:tc>
        <w:tc>
          <w:tcPr>
            <w:tcW w:w="1240" w:type="dxa"/>
            <w:tcBorders>
              <w:top w:val="nil"/>
              <w:left w:val="nil"/>
              <w:bottom w:val="single" w:sz="4" w:space="0" w:color="auto"/>
              <w:right w:val="single" w:sz="4" w:space="0" w:color="auto"/>
            </w:tcBorders>
            <w:shd w:val="clear" w:color="000000" w:fill="FFFFFF"/>
            <w:noWrap/>
            <w:vAlign w:val="bottom"/>
            <w:hideMark/>
          </w:tcPr>
          <w:p w14:paraId="3401A00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54.300,00</w:t>
            </w:r>
          </w:p>
        </w:tc>
      </w:tr>
      <w:tr w:rsidR="00BC7E60" w:rsidRPr="00497178" w14:paraId="738430C1"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CB76DC1"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A400008 Održavanje igrališta</w:t>
            </w:r>
          </w:p>
        </w:tc>
        <w:tc>
          <w:tcPr>
            <w:tcW w:w="1307" w:type="dxa"/>
            <w:tcBorders>
              <w:top w:val="nil"/>
              <w:left w:val="nil"/>
              <w:bottom w:val="single" w:sz="4" w:space="0" w:color="auto"/>
              <w:right w:val="single" w:sz="4" w:space="0" w:color="auto"/>
            </w:tcBorders>
            <w:shd w:val="clear" w:color="000000" w:fill="FFFFFF"/>
            <w:noWrap/>
            <w:vAlign w:val="bottom"/>
            <w:hideMark/>
          </w:tcPr>
          <w:p w14:paraId="03FA60C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121.000,00</w:t>
            </w:r>
          </w:p>
        </w:tc>
        <w:tc>
          <w:tcPr>
            <w:tcW w:w="1123" w:type="dxa"/>
            <w:tcBorders>
              <w:top w:val="nil"/>
              <w:left w:val="nil"/>
              <w:bottom w:val="single" w:sz="4" w:space="0" w:color="auto"/>
              <w:right w:val="single" w:sz="4" w:space="0" w:color="auto"/>
            </w:tcBorders>
            <w:shd w:val="clear" w:color="000000" w:fill="FFFFFF"/>
            <w:noWrap/>
            <w:vAlign w:val="bottom"/>
            <w:hideMark/>
          </w:tcPr>
          <w:p w14:paraId="375E853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40.363,00</w:t>
            </w:r>
          </w:p>
        </w:tc>
        <w:tc>
          <w:tcPr>
            <w:tcW w:w="1123" w:type="dxa"/>
            <w:tcBorders>
              <w:top w:val="nil"/>
              <w:left w:val="nil"/>
              <w:bottom w:val="single" w:sz="4" w:space="0" w:color="auto"/>
              <w:right w:val="single" w:sz="4" w:space="0" w:color="auto"/>
            </w:tcBorders>
            <w:shd w:val="clear" w:color="000000" w:fill="FFFFFF"/>
            <w:noWrap/>
            <w:vAlign w:val="bottom"/>
            <w:hideMark/>
          </w:tcPr>
          <w:p w14:paraId="40292BD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33,36</w:t>
            </w:r>
          </w:p>
        </w:tc>
        <w:tc>
          <w:tcPr>
            <w:tcW w:w="1240" w:type="dxa"/>
            <w:tcBorders>
              <w:top w:val="nil"/>
              <w:left w:val="nil"/>
              <w:bottom w:val="single" w:sz="4" w:space="0" w:color="auto"/>
              <w:right w:val="single" w:sz="4" w:space="0" w:color="auto"/>
            </w:tcBorders>
            <w:shd w:val="clear" w:color="000000" w:fill="FFFFFF"/>
            <w:noWrap/>
            <w:vAlign w:val="bottom"/>
            <w:hideMark/>
          </w:tcPr>
          <w:p w14:paraId="06833B3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161.363,00</w:t>
            </w:r>
          </w:p>
        </w:tc>
      </w:tr>
      <w:tr w:rsidR="00BC7E60" w:rsidRPr="00497178" w14:paraId="2D67DFCD"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314F52A7"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A400009 Održavanje sportske dvorane</w:t>
            </w:r>
          </w:p>
        </w:tc>
        <w:tc>
          <w:tcPr>
            <w:tcW w:w="1307" w:type="dxa"/>
            <w:tcBorders>
              <w:top w:val="nil"/>
              <w:left w:val="nil"/>
              <w:bottom w:val="single" w:sz="4" w:space="0" w:color="auto"/>
              <w:right w:val="single" w:sz="4" w:space="0" w:color="auto"/>
            </w:tcBorders>
            <w:shd w:val="clear" w:color="000000" w:fill="FFFFFF"/>
            <w:noWrap/>
            <w:vAlign w:val="bottom"/>
            <w:hideMark/>
          </w:tcPr>
          <w:p w14:paraId="4B2291E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145.000,00</w:t>
            </w:r>
          </w:p>
        </w:tc>
        <w:tc>
          <w:tcPr>
            <w:tcW w:w="1123" w:type="dxa"/>
            <w:tcBorders>
              <w:top w:val="nil"/>
              <w:left w:val="nil"/>
              <w:bottom w:val="single" w:sz="4" w:space="0" w:color="auto"/>
              <w:right w:val="single" w:sz="4" w:space="0" w:color="auto"/>
            </w:tcBorders>
            <w:shd w:val="clear" w:color="000000" w:fill="FFFFFF"/>
            <w:noWrap/>
            <w:vAlign w:val="bottom"/>
            <w:hideMark/>
          </w:tcPr>
          <w:p w14:paraId="0845395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13.000,00</w:t>
            </w:r>
          </w:p>
        </w:tc>
        <w:tc>
          <w:tcPr>
            <w:tcW w:w="1123" w:type="dxa"/>
            <w:tcBorders>
              <w:top w:val="nil"/>
              <w:left w:val="nil"/>
              <w:bottom w:val="single" w:sz="4" w:space="0" w:color="auto"/>
              <w:right w:val="single" w:sz="4" w:space="0" w:color="auto"/>
            </w:tcBorders>
            <w:shd w:val="clear" w:color="000000" w:fill="FFFFFF"/>
            <w:noWrap/>
            <w:vAlign w:val="bottom"/>
            <w:hideMark/>
          </w:tcPr>
          <w:p w14:paraId="62B4BAC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8,97</w:t>
            </w:r>
          </w:p>
        </w:tc>
        <w:tc>
          <w:tcPr>
            <w:tcW w:w="1240" w:type="dxa"/>
            <w:tcBorders>
              <w:top w:val="nil"/>
              <w:left w:val="nil"/>
              <w:bottom w:val="single" w:sz="4" w:space="0" w:color="auto"/>
              <w:right w:val="single" w:sz="4" w:space="0" w:color="auto"/>
            </w:tcBorders>
            <w:shd w:val="clear" w:color="000000" w:fill="FFFFFF"/>
            <w:noWrap/>
            <w:vAlign w:val="bottom"/>
            <w:hideMark/>
          </w:tcPr>
          <w:p w14:paraId="4A6F5DA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158.000,00</w:t>
            </w:r>
          </w:p>
        </w:tc>
      </w:tr>
      <w:tr w:rsidR="00BC7E60" w:rsidRPr="00497178" w14:paraId="071A9625"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5018E0C"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A400010 Održavanje boćarske dvorane</w:t>
            </w:r>
          </w:p>
        </w:tc>
        <w:tc>
          <w:tcPr>
            <w:tcW w:w="1307" w:type="dxa"/>
            <w:tcBorders>
              <w:top w:val="nil"/>
              <w:left w:val="nil"/>
              <w:bottom w:val="single" w:sz="4" w:space="0" w:color="auto"/>
              <w:right w:val="single" w:sz="4" w:space="0" w:color="auto"/>
            </w:tcBorders>
            <w:shd w:val="clear" w:color="000000" w:fill="FFFFFF"/>
            <w:noWrap/>
            <w:vAlign w:val="bottom"/>
            <w:hideMark/>
          </w:tcPr>
          <w:p w14:paraId="27B31C4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3.500,00</w:t>
            </w:r>
          </w:p>
        </w:tc>
        <w:tc>
          <w:tcPr>
            <w:tcW w:w="1123" w:type="dxa"/>
            <w:tcBorders>
              <w:top w:val="nil"/>
              <w:left w:val="nil"/>
              <w:bottom w:val="single" w:sz="4" w:space="0" w:color="auto"/>
              <w:right w:val="single" w:sz="4" w:space="0" w:color="auto"/>
            </w:tcBorders>
            <w:shd w:val="clear" w:color="000000" w:fill="FFFFFF"/>
            <w:noWrap/>
            <w:vAlign w:val="bottom"/>
            <w:hideMark/>
          </w:tcPr>
          <w:p w14:paraId="1D50B94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3CE1427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8C0CA3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3.500,00</w:t>
            </w:r>
          </w:p>
        </w:tc>
      </w:tr>
      <w:tr w:rsidR="00BC7E60" w:rsidRPr="00497178" w14:paraId="3F214823"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21FECE14"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4003 Oprema komunalne infrastrukture</w:t>
            </w:r>
          </w:p>
        </w:tc>
        <w:tc>
          <w:tcPr>
            <w:tcW w:w="1307" w:type="dxa"/>
            <w:tcBorders>
              <w:top w:val="nil"/>
              <w:left w:val="nil"/>
              <w:bottom w:val="single" w:sz="4" w:space="0" w:color="auto"/>
              <w:right w:val="single" w:sz="4" w:space="0" w:color="auto"/>
            </w:tcBorders>
            <w:shd w:val="clear" w:color="000000" w:fill="FFFFFF"/>
            <w:noWrap/>
            <w:vAlign w:val="bottom"/>
            <w:hideMark/>
          </w:tcPr>
          <w:p w14:paraId="4734976D"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37.625,00</w:t>
            </w:r>
          </w:p>
        </w:tc>
        <w:tc>
          <w:tcPr>
            <w:tcW w:w="1123" w:type="dxa"/>
            <w:tcBorders>
              <w:top w:val="nil"/>
              <w:left w:val="nil"/>
              <w:bottom w:val="single" w:sz="4" w:space="0" w:color="auto"/>
              <w:right w:val="single" w:sz="4" w:space="0" w:color="auto"/>
            </w:tcBorders>
            <w:shd w:val="clear" w:color="000000" w:fill="FFFFFF"/>
            <w:noWrap/>
            <w:vAlign w:val="bottom"/>
            <w:hideMark/>
          </w:tcPr>
          <w:p w14:paraId="47A21959"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70.994,00</w:t>
            </w:r>
          </w:p>
        </w:tc>
        <w:tc>
          <w:tcPr>
            <w:tcW w:w="1123" w:type="dxa"/>
            <w:tcBorders>
              <w:top w:val="nil"/>
              <w:left w:val="nil"/>
              <w:bottom w:val="single" w:sz="4" w:space="0" w:color="auto"/>
              <w:right w:val="single" w:sz="4" w:space="0" w:color="auto"/>
            </w:tcBorders>
            <w:shd w:val="clear" w:color="000000" w:fill="FFFFFF"/>
            <w:noWrap/>
            <w:vAlign w:val="bottom"/>
            <w:hideMark/>
          </w:tcPr>
          <w:p w14:paraId="30B342A0"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188,69</w:t>
            </w:r>
          </w:p>
        </w:tc>
        <w:tc>
          <w:tcPr>
            <w:tcW w:w="1240" w:type="dxa"/>
            <w:tcBorders>
              <w:top w:val="nil"/>
              <w:left w:val="nil"/>
              <w:bottom w:val="single" w:sz="4" w:space="0" w:color="auto"/>
              <w:right w:val="single" w:sz="4" w:space="0" w:color="auto"/>
            </w:tcBorders>
            <w:shd w:val="clear" w:color="000000" w:fill="FFFFFF"/>
            <w:noWrap/>
            <w:vAlign w:val="bottom"/>
            <w:hideMark/>
          </w:tcPr>
          <w:p w14:paraId="680FBF0D"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108.619,00</w:t>
            </w:r>
          </w:p>
        </w:tc>
      </w:tr>
      <w:tr w:rsidR="00BC7E60" w:rsidRPr="00497178" w14:paraId="66AE9A10"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AD94E90" w14:textId="77777777" w:rsidR="00BC7E60" w:rsidRPr="00497178" w:rsidRDefault="00BC7E60" w:rsidP="00512D52">
            <w:pPr>
              <w:rPr>
                <w:rFonts w:ascii="Arial" w:hAnsi="Arial" w:cs="Arial"/>
                <w:sz w:val="16"/>
                <w:szCs w:val="16"/>
              </w:rPr>
            </w:pPr>
            <w:r w:rsidRPr="00497178">
              <w:rPr>
                <w:rFonts w:ascii="Arial" w:hAnsi="Arial" w:cs="Arial"/>
                <w:sz w:val="16"/>
                <w:szCs w:val="16"/>
              </w:rPr>
              <w:t>Kapitalni projekt K400001 Nabava opreme</w:t>
            </w:r>
          </w:p>
        </w:tc>
        <w:tc>
          <w:tcPr>
            <w:tcW w:w="1307" w:type="dxa"/>
            <w:tcBorders>
              <w:top w:val="nil"/>
              <w:left w:val="nil"/>
              <w:bottom w:val="single" w:sz="4" w:space="0" w:color="auto"/>
              <w:right w:val="single" w:sz="4" w:space="0" w:color="auto"/>
            </w:tcBorders>
            <w:shd w:val="clear" w:color="000000" w:fill="FFFFFF"/>
            <w:noWrap/>
            <w:vAlign w:val="bottom"/>
            <w:hideMark/>
          </w:tcPr>
          <w:p w14:paraId="7DA7E11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13.000,00</w:t>
            </w:r>
          </w:p>
        </w:tc>
        <w:tc>
          <w:tcPr>
            <w:tcW w:w="1123" w:type="dxa"/>
            <w:tcBorders>
              <w:top w:val="nil"/>
              <w:left w:val="nil"/>
              <w:bottom w:val="single" w:sz="4" w:space="0" w:color="auto"/>
              <w:right w:val="single" w:sz="4" w:space="0" w:color="auto"/>
            </w:tcBorders>
            <w:shd w:val="clear" w:color="000000" w:fill="FFFFFF"/>
            <w:noWrap/>
            <w:vAlign w:val="bottom"/>
            <w:hideMark/>
          </w:tcPr>
          <w:p w14:paraId="2C726BF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3CA5E43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331C06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13.000,00</w:t>
            </w:r>
          </w:p>
        </w:tc>
      </w:tr>
      <w:tr w:rsidR="00BC7E60" w:rsidRPr="00497178" w14:paraId="5570AAA0"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3593A91" w14:textId="77777777" w:rsidR="00BC7E60" w:rsidRPr="00497178" w:rsidRDefault="00BC7E60" w:rsidP="00512D52">
            <w:pPr>
              <w:rPr>
                <w:rFonts w:ascii="Arial" w:hAnsi="Arial" w:cs="Arial"/>
                <w:sz w:val="16"/>
                <w:szCs w:val="16"/>
              </w:rPr>
            </w:pPr>
            <w:r w:rsidRPr="00497178">
              <w:rPr>
                <w:rFonts w:ascii="Arial" w:hAnsi="Arial" w:cs="Arial"/>
                <w:sz w:val="16"/>
                <w:szCs w:val="16"/>
              </w:rPr>
              <w:t>Kapitalni projekt K400002 Izgradnja komunalne infrastrukture</w:t>
            </w:r>
          </w:p>
        </w:tc>
        <w:tc>
          <w:tcPr>
            <w:tcW w:w="1307" w:type="dxa"/>
            <w:tcBorders>
              <w:top w:val="nil"/>
              <w:left w:val="nil"/>
              <w:bottom w:val="single" w:sz="4" w:space="0" w:color="auto"/>
              <w:right w:val="single" w:sz="4" w:space="0" w:color="auto"/>
            </w:tcBorders>
            <w:shd w:val="clear" w:color="000000" w:fill="FFFFFF"/>
            <w:noWrap/>
            <w:vAlign w:val="bottom"/>
            <w:hideMark/>
          </w:tcPr>
          <w:p w14:paraId="2128B5F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24.625,00</w:t>
            </w:r>
          </w:p>
        </w:tc>
        <w:tc>
          <w:tcPr>
            <w:tcW w:w="1123" w:type="dxa"/>
            <w:tcBorders>
              <w:top w:val="nil"/>
              <w:left w:val="nil"/>
              <w:bottom w:val="single" w:sz="4" w:space="0" w:color="auto"/>
              <w:right w:val="single" w:sz="4" w:space="0" w:color="auto"/>
            </w:tcBorders>
            <w:shd w:val="clear" w:color="000000" w:fill="FFFFFF"/>
            <w:noWrap/>
            <w:vAlign w:val="bottom"/>
            <w:hideMark/>
          </w:tcPr>
          <w:p w14:paraId="31D90CF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7.344,00</w:t>
            </w:r>
          </w:p>
        </w:tc>
        <w:tc>
          <w:tcPr>
            <w:tcW w:w="1123" w:type="dxa"/>
            <w:tcBorders>
              <w:top w:val="nil"/>
              <w:left w:val="nil"/>
              <w:bottom w:val="single" w:sz="4" w:space="0" w:color="auto"/>
              <w:right w:val="single" w:sz="4" w:space="0" w:color="auto"/>
            </w:tcBorders>
            <w:shd w:val="clear" w:color="000000" w:fill="FFFFFF"/>
            <w:noWrap/>
            <w:vAlign w:val="bottom"/>
            <w:hideMark/>
          </w:tcPr>
          <w:p w14:paraId="6ED3F3F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29,82</w:t>
            </w:r>
          </w:p>
        </w:tc>
        <w:tc>
          <w:tcPr>
            <w:tcW w:w="1240" w:type="dxa"/>
            <w:tcBorders>
              <w:top w:val="nil"/>
              <w:left w:val="nil"/>
              <w:bottom w:val="single" w:sz="4" w:space="0" w:color="auto"/>
              <w:right w:val="single" w:sz="4" w:space="0" w:color="auto"/>
            </w:tcBorders>
            <w:shd w:val="clear" w:color="000000" w:fill="FFFFFF"/>
            <w:noWrap/>
            <w:vAlign w:val="bottom"/>
            <w:hideMark/>
          </w:tcPr>
          <w:p w14:paraId="544425F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31.969,00</w:t>
            </w:r>
          </w:p>
        </w:tc>
      </w:tr>
      <w:tr w:rsidR="00BC7E60" w:rsidRPr="00497178" w14:paraId="483CE26C"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E4EA3AD" w14:textId="77777777" w:rsidR="00BC7E60" w:rsidRPr="00497178" w:rsidRDefault="00BC7E60" w:rsidP="00512D52">
            <w:pPr>
              <w:rPr>
                <w:rFonts w:ascii="Arial" w:hAnsi="Arial" w:cs="Arial"/>
                <w:sz w:val="16"/>
                <w:szCs w:val="16"/>
              </w:rPr>
            </w:pPr>
            <w:r w:rsidRPr="00497178">
              <w:rPr>
                <w:rFonts w:ascii="Arial" w:hAnsi="Arial" w:cs="Arial"/>
                <w:sz w:val="16"/>
                <w:szCs w:val="16"/>
              </w:rPr>
              <w:t>Tekući projekt T400002 Projekt " Za naš vrtić mali, malo opreme nam fali"</w:t>
            </w:r>
          </w:p>
        </w:tc>
        <w:tc>
          <w:tcPr>
            <w:tcW w:w="1307" w:type="dxa"/>
            <w:tcBorders>
              <w:top w:val="nil"/>
              <w:left w:val="nil"/>
              <w:bottom w:val="single" w:sz="4" w:space="0" w:color="auto"/>
              <w:right w:val="single" w:sz="4" w:space="0" w:color="auto"/>
            </w:tcBorders>
            <w:shd w:val="clear" w:color="000000" w:fill="FFFFFF"/>
            <w:noWrap/>
            <w:vAlign w:val="bottom"/>
            <w:hideMark/>
          </w:tcPr>
          <w:p w14:paraId="09E9FEB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70DE58C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63.650,00</w:t>
            </w:r>
          </w:p>
        </w:tc>
        <w:tc>
          <w:tcPr>
            <w:tcW w:w="1123" w:type="dxa"/>
            <w:tcBorders>
              <w:top w:val="nil"/>
              <w:left w:val="nil"/>
              <w:bottom w:val="single" w:sz="4" w:space="0" w:color="auto"/>
              <w:right w:val="single" w:sz="4" w:space="0" w:color="auto"/>
            </w:tcBorders>
            <w:shd w:val="clear" w:color="000000" w:fill="FFFFFF"/>
            <w:noWrap/>
            <w:vAlign w:val="bottom"/>
            <w:hideMark/>
          </w:tcPr>
          <w:p w14:paraId="1D01768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5C2D12F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63.650,00</w:t>
            </w:r>
          </w:p>
        </w:tc>
      </w:tr>
      <w:tr w:rsidR="00BC7E60" w:rsidRPr="00497178" w14:paraId="69C8F308"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2C72385"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4004 Zaštita okoliša</w:t>
            </w:r>
          </w:p>
        </w:tc>
        <w:tc>
          <w:tcPr>
            <w:tcW w:w="1307" w:type="dxa"/>
            <w:tcBorders>
              <w:top w:val="nil"/>
              <w:left w:val="nil"/>
              <w:bottom w:val="single" w:sz="4" w:space="0" w:color="auto"/>
              <w:right w:val="single" w:sz="4" w:space="0" w:color="auto"/>
            </w:tcBorders>
            <w:shd w:val="clear" w:color="000000" w:fill="FFFFFF"/>
            <w:noWrap/>
            <w:vAlign w:val="bottom"/>
            <w:hideMark/>
          </w:tcPr>
          <w:p w14:paraId="0CAAA0CD"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8.000,00</w:t>
            </w:r>
          </w:p>
        </w:tc>
        <w:tc>
          <w:tcPr>
            <w:tcW w:w="1123" w:type="dxa"/>
            <w:tcBorders>
              <w:top w:val="nil"/>
              <w:left w:val="nil"/>
              <w:bottom w:val="single" w:sz="4" w:space="0" w:color="auto"/>
              <w:right w:val="single" w:sz="4" w:space="0" w:color="auto"/>
            </w:tcBorders>
            <w:shd w:val="clear" w:color="000000" w:fill="FFFFFF"/>
            <w:noWrap/>
            <w:vAlign w:val="bottom"/>
            <w:hideMark/>
          </w:tcPr>
          <w:p w14:paraId="08E79924"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-8.000,00</w:t>
            </w:r>
          </w:p>
        </w:tc>
        <w:tc>
          <w:tcPr>
            <w:tcW w:w="1123" w:type="dxa"/>
            <w:tcBorders>
              <w:top w:val="nil"/>
              <w:left w:val="nil"/>
              <w:bottom w:val="single" w:sz="4" w:space="0" w:color="auto"/>
              <w:right w:val="single" w:sz="4" w:space="0" w:color="auto"/>
            </w:tcBorders>
            <w:shd w:val="clear" w:color="000000" w:fill="FFFFFF"/>
            <w:noWrap/>
            <w:vAlign w:val="bottom"/>
            <w:hideMark/>
          </w:tcPr>
          <w:p w14:paraId="37EAA430"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3FA9A26D"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0,00</w:t>
            </w:r>
          </w:p>
        </w:tc>
      </w:tr>
      <w:tr w:rsidR="00BC7E60" w:rsidRPr="00497178" w14:paraId="3E138600"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D206607"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Tekući projekt T400001 </w:t>
            </w:r>
            <w:proofErr w:type="spellStart"/>
            <w:r w:rsidRPr="00497178">
              <w:rPr>
                <w:rFonts w:ascii="Arial" w:hAnsi="Arial" w:cs="Arial"/>
                <w:sz w:val="16"/>
                <w:szCs w:val="16"/>
              </w:rPr>
              <w:t>MOREmo</w:t>
            </w:r>
            <w:proofErr w:type="spellEnd"/>
            <w:r w:rsidRPr="00497178">
              <w:rPr>
                <w:rFonts w:ascii="Arial" w:hAnsi="Arial" w:cs="Arial"/>
                <w:sz w:val="16"/>
                <w:szCs w:val="16"/>
              </w:rPr>
              <w:t xml:space="preserve"> brinuti o moru</w:t>
            </w:r>
          </w:p>
        </w:tc>
        <w:tc>
          <w:tcPr>
            <w:tcW w:w="1307" w:type="dxa"/>
            <w:tcBorders>
              <w:top w:val="nil"/>
              <w:left w:val="nil"/>
              <w:bottom w:val="single" w:sz="4" w:space="0" w:color="auto"/>
              <w:right w:val="single" w:sz="4" w:space="0" w:color="auto"/>
            </w:tcBorders>
            <w:shd w:val="clear" w:color="000000" w:fill="FFFFFF"/>
            <w:noWrap/>
            <w:vAlign w:val="bottom"/>
            <w:hideMark/>
          </w:tcPr>
          <w:p w14:paraId="3EF6F88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23A83E2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086587C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A17CCA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r>
      <w:tr w:rsidR="00BC7E60" w:rsidRPr="00497178" w14:paraId="1C65166A"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E088B97"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Tekući projekt T400002 Bara </w:t>
            </w:r>
            <w:proofErr w:type="spellStart"/>
            <w:r w:rsidRPr="00497178">
              <w:rPr>
                <w:rFonts w:ascii="Arial" w:hAnsi="Arial" w:cs="Arial"/>
                <w:sz w:val="16"/>
                <w:szCs w:val="16"/>
              </w:rPr>
              <w:t>Marcilnica</w:t>
            </w:r>
            <w:proofErr w:type="spellEnd"/>
          </w:p>
        </w:tc>
        <w:tc>
          <w:tcPr>
            <w:tcW w:w="1307" w:type="dxa"/>
            <w:tcBorders>
              <w:top w:val="nil"/>
              <w:left w:val="nil"/>
              <w:bottom w:val="single" w:sz="4" w:space="0" w:color="auto"/>
              <w:right w:val="single" w:sz="4" w:space="0" w:color="auto"/>
            </w:tcBorders>
            <w:shd w:val="clear" w:color="000000" w:fill="FFFFFF"/>
            <w:noWrap/>
            <w:vAlign w:val="bottom"/>
            <w:hideMark/>
          </w:tcPr>
          <w:p w14:paraId="78DFCE4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8.000,00</w:t>
            </w:r>
          </w:p>
        </w:tc>
        <w:tc>
          <w:tcPr>
            <w:tcW w:w="1123" w:type="dxa"/>
            <w:tcBorders>
              <w:top w:val="nil"/>
              <w:left w:val="nil"/>
              <w:bottom w:val="single" w:sz="4" w:space="0" w:color="auto"/>
              <w:right w:val="single" w:sz="4" w:space="0" w:color="auto"/>
            </w:tcBorders>
            <w:shd w:val="clear" w:color="000000" w:fill="FFFFFF"/>
            <w:noWrap/>
            <w:vAlign w:val="bottom"/>
            <w:hideMark/>
          </w:tcPr>
          <w:p w14:paraId="3CFA9E3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-8.000,00</w:t>
            </w:r>
          </w:p>
        </w:tc>
        <w:tc>
          <w:tcPr>
            <w:tcW w:w="1123" w:type="dxa"/>
            <w:tcBorders>
              <w:top w:val="nil"/>
              <w:left w:val="nil"/>
              <w:bottom w:val="single" w:sz="4" w:space="0" w:color="auto"/>
              <w:right w:val="single" w:sz="4" w:space="0" w:color="auto"/>
            </w:tcBorders>
            <w:shd w:val="clear" w:color="000000" w:fill="FFFFFF"/>
            <w:noWrap/>
            <w:vAlign w:val="bottom"/>
            <w:hideMark/>
          </w:tcPr>
          <w:p w14:paraId="7594850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5DBFA68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r>
      <w:tr w:rsidR="00BC7E60" w:rsidRPr="00497178" w14:paraId="72E51298"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D1993E8"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Razdjel 500 UPRAVNI ODJEL ZA DRUŠTVENE DJELATNOSTI</w:t>
            </w:r>
          </w:p>
        </w:tc>
        <w:tc>
          <w:tcPr>
            <w:tcW w:w="1307" w:type="dxa"/>
            <w:tcBorders>
              <w:top w:val="nil"/>
              <w:left w:val="nil"/>
              <w:bottom w:val="single" w:sz="4" w:space="0" w:color="auto"/>
              <w:right w:val="single" w:sz="4" w:space="0" w:color="auto"/>
            </w:tcBorders>
            <w:shd w:val="clear" w:color="000000" w:fill="FFFFFF"/>
            <w:noWrap/>
            <w:vAlign w:val="bottom"/>
            <w:hideMark/>
          </w:tcPr>
          <w:p w14:paraId="094C1C5A"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14.459.328,00</w:t>
            </w:r>
          </w:p>
        </w:tc>
        <w:tc>
          <w:tcPr>
            <w:tcW w:w="1123" w:type="dxa"/>
            <w:tcBorders>
              <w:top w:val="nil"/>
              <w:left w:val="nil"/>
              <w:bottom w:val="single" w:sz="4" w:space="0" w:color="auto"/>
              <w:right w:val="single" w:sz="4" w:space="0" w:color="auto"/>
            </w:tcBorders>
            <w:shd w:val="clear" w:color="000000" w:fill="FFFFFF"/>
            <w:noWrap/>
            <w:vAlign w:val="bottom"/>
            <w:hideMark/>
          </w:tcPr>
          <w:p w14:paraId="47E85FEB"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886.619,00</w:t>
            </w:r>
          </w:p>
        </w:tc>
        <w:tc>
          <w:tcPr>
            <w:tcW w:w="1123" w:type="dxa"/>
            <w:tcBorders>
              <w:top w:val="nil"/>
              <w:left w:val="nil"/>
              <w:bottom w:val="single" w:sz="4" w:space="0" w:color="auto"/>
              <w:right w:val="single" w:sz="4" w:space="0" w:color="auto"/>
            </w:tcBorders>
            <w:shd w:val="clear" w:color="000000" w:fill="FFFFFF"/>
            <w:noWrap/>
            <w:vAlign w:val="bottom"/>
            <w:hideMark/>
          </w:tcPr>
          <w:p w14:paraId="38B48F31"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6,13</w:t>
            </w:r>
          </w:p>
        </w:tc>
        <w:tc>
          <w:tcPr>
            <w:tcW w:w="1240" w:type="dxa"/>
            <w:tcBorders>
              <w:top w:val="nil"/>
              <w:left w:val="nil"/>
              <w:bottom w:val="single" w:sz="4" w:space="0" w:color="auto"/>
              <w:right w:val="single" w:sz="4" w:space="0" w:color="auto"/>
            </w:tcBorders>
            <w:shd w:val="clear" w:color="000000" w:fill="FFFFFF"/>
            <w:noWrap/>
            <w:vAlign w:val="bottom"/>
            <w:hideMark/>
          </w:tcPr>
          <w:p w14:paraId="01E615F5"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15.345.947,00</w:t>
            </w:r>
          </w:p>
        </w:tc>
      </w:tr>
      <w:tr w:rsidR="00BC7E60" w:rsidRPr="00497178" w14:paraId="18048C29"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9075312"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Glava 50001 UPRAVNI ODJEL ZA DRUŠTVENE DJELATNOSTI</w:t>
            </w:r>
          </w:p>
        </w:tc>
        <w:tc>
          <w:tcPr>
            <w:tcW w:w="1307" w:type="dxa"/>
            <w:tcBorders>
              <w:top w:val="nil"/>
              <w:left w:val="nil"/>
              <w:bottom w:val="single" w:sz="4" w:space="0" w:color="auto"/>
              <w:right w:val="single" w:sz="4" w:space="0" w:color="auto"/>
            </w:tcBorders>
            <w:shd w:val="clear" w:color="000000" w:fill="FFFFFF"/>
            <w:noWrap/>
            <w:vAlign w:val="bottom"/>
            <w:hideMark/>
          </w:tcPr>
          <w:p w14:paraId="090AC211"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1.567.215,00</w:t>
            </w:r>
          </w:p>
        </w:tc>
        <w:tc>
          <w:tcPr>
            <w:tcW w:w="1123" w:type="dxa"/>
            <w:tcBorders>
              <w:top w:val="nil"/>
              <w:left w:val="nil"/>
              <w:bottom w:val="single" w:sz="4" w:space="0" w:color="auto"/>
              <w:right w:val="single" w:sz="4" w:space="0" w:color="auto"/>
            </w:tcBorders>
            <w:shd w:val="clear" w:color="000000" w:fill="FFFFFF"/>
            <w:noWrap/>
            <w:vAlign w:val="bottom"/>
            <w:hideMark/>
          </w:tcPr>
          <w:p w14:paraId="7CC3C88F"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322.038,00</w:t>
            </w:r>
          </w:p>
        </w:tc>
        <w:tc>
          <w:tcPr>
            <w:tcW w:w="1123" w:type="dxa"/>
            <w:tcBorders>
              <w:top w:val="nil"/>
              <w:left w:val="nil"/>
              <w:bottom w:val="single" w:sz="4" w:space="0" w:color="auto"/>
              <w:right w:val="single" w:sz="4" w:space="0" w:color="auto"/>
            </w:tcBorders>
            <w:shd w:val="clear" w:color="000000" w:fill="FFFFFF"/>
            <w:noWrap/>
            <w:vAlign w:val="bottom"/>
            <w:hideMark/>
          </w:tcPr>
          <w:p w14:paraId="7DF2139A"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20,55</w:t>
            </w:r>
          </w:p>
        </w:tc>
        <w:tc>
          <w:tcPr>
            <w:tcW w:w="1240" w:type="dxa"/>
            <w:tcBorders>
              <w:top w:val="nil"/>
              <w:left w:val="nil"/>
              <w:bottom w:val="single" w:sz="4" w:space="0" w:color="auto"/>
              <w:right w:val="single" w:sz="4" w:space="0" w:color="auto"/>
            </w:tcBorders>
            <w:shd w:val="clear" w:color="000000" w:fill="FFFFFF"/>
            <w:noWrap/>
            <w:vAlign w:val="bottom"/>
            <w:hideMark/>
          </w:tcPr>
          <w:p w14:paraId="4AE6EC50"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1.889.253,00</w:t>
            </w:r>
          </w:p>
        </w:tc>
      </w:tr>
      <w:tr w:rsidR="00BC7E60" w:rsidRPr="00497178" w14:paraId="446DCC2D"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181C53C"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5001 Predškolski odgoj</w:t>
            </w:r>
          </w:p>
        </w:tc>
        <w:tc>
          <w:tcPr>
            <w:tcW w:w="1307" w:type="dxa"/>
            <w:tcBorders>
              <w:top w:val="nil"/>
              <w:left w:val="nil"/>
              <w:bottom w:val="single" w:sz="4" w:space="0" w:color="auto"/>
              <w:right w:val="single" w:sz="4" w:space="0" w:color="auto"/>
            </w:tcBorders>
            <w:shd w:val="clear" w:color="000000" w:fill="FFFFFF"/>
            <w:noWrap/>
            <w:vAlign w:val="bottom"/>
            <w:hideMark/>
          </w:tcPr>
          <w:p w14:paraId="6A783515"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38.000,00</w:t>
            </w:r>
          </w:p>
        </w:tc>
        <w:tc>
          <w:tcPr>
            <w:tcW w:w="1123" w:type="dxa"/>
            <w:tcBorders>
              <w:top w:val="nil"/>
              <w:left w:val="nil"/>
              <w:bottom w:val="single" w:sz="4" w:space="0" w:color="auto"/>
              <w:right w:val="single" w:sz="4" w:space="0" w:color="auto"/>
            </w:tcBorders>
            <w:shd w:val="clear" w:color="000000" w:fill="FFFFFF"/>
            <w:noWrap/>
            <w:vAlign w:val="bottom"/>
            <w:hideMark/>
          </w:tcPr>
          <w:p w14:paraId="20995FDE"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29.000,00</w:t>
            </w:r>
          </w:p>
        </w:tc>
        <w:tc>
          <w:tcPr>
            <w:tcW w:w="1123" w:type="dxa"/>
            <w:tcBorders>
              <w:top w:val="nil"/>
              <w:left w:val="nil"/>
              <w:bottom w:val="single" w:sz="4" w:space="0" w:color="auto"/>
              <w:right w:val="single" w:sz="4" w:space="0" w:color="auto"/>
            </w:tcBorders>
            <w:shd w:val="clear" w:color="000000" w:fill="FFFFFF"/>
            <w:noWrap/>
            <w:vAlign w:val="bottom"/>
            <w:hideMark/>
          </w:tcPr>
          <w:p w14:paraId="36FF828B"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76,32</w:t>
            </w:r>
          </w:p>
        </w:tc>
        <w:tc>
          <w:tcPr>
            <w:tcW w:w="1240" w:type="dxa"/>
            <w:tcBorders>
              <w:top w:val="nil"/>
              <w:left w:val="nil"/>
              <w:bottom w:val="single" w:sz="4" w:space="0" w:color="auto"/>
              <w:right w:val="single" w:sz="4" w:space="0" w:color="auto"/>
            </w:tcBorders>
            <w:shd w:val="clear" w:color="000000" w:fill="FFFFFF"/>
            <w:noWrap/>
            <w:vAlign w:val="bottom"/>
            <w:hideMark/>
          </w:tcPr>
          <w:p w14:paraId="033FDF7F"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67.000,00</w:t>
            </w:r>
          </w:p>
        </w:tc>
      </w:tr>
      <w:tr w:rsidR="00BC7E60" w:rsidRPr="00497178" w14:paraId="218957F8"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33EA74D" w14:textId="77777777" w:rsidR="00BC7E60" w:rsidRPr="00497178" w:rsidRDefault="00BC7E60" w:rsidP="00512D52">
            <w:pPr>
              <w:rPr>
                <w:rFonts w:ascii="Arial" w:hAnsi="Arial" w:cs="Arial"/>
                <w:sz w:val="16"/>
                <w:szCs w:val="16"/>
              </w:rPr>
            </w:pPr>
            <w:r w:rsidRPr="00497178">
              <w:rPr>
                <w:rFonts w:ascii="Arial" w:hAnsi="Arial" w:cs="Arial"/>
                <w:sz w:val="16"/>
                <w:szCs w:val="16"/>
              </w:rPr>
              <w:lastRenderedPageBreak/>
              <w:t>Aktivnost A500001 Sufinanciranje predškolske djelatnosti</w:t>
            </w:r>
          </w:p>
        </w:tc>
        <w:tc>
          <w:tcPr>
            <w:tcW w:w="1307" w:type="dxa"/>
            <w:tcBorders>
              <w:top w:val="nil"/>
              <w:left w:val="nil"/>
              <w:bottom w:val="single" w:sz="4" w:space="0" w:color="auto"/>
              <w:right w:val="single" w:sz="4" w:space="0" w:color="auto"/>
            </w:tcBorders>
            <w:shd w:val="clear" w:color="000000" w:fill="FFFFFF"/>
            <w:noWrap/>
            <w:vAlign w:val="bottom"/>
            <w:hideMark/>
          </w:tcPr>
          <w:p w14:paraId="55A5145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38.000,00</w:t>
            </w:r>
          </w:p>
        </w:tc>
        <w:tc>
          <w:tcPr>
            <w:tcW w:w="1123" w:type="dxa"/>
            <w:tcBorders>
              <w:top w:val="nil"/>
              <w:left w:val="nil"/>
              <w:bottom w:val="single" w:sz="4" w:space="0" w:color="auto"/>
              <w:right w:val="single" w:sz="4" w:space="0" w:color="auto"/>
            </w:tcBorders>
            <w:shd w:val="clear" w:color="000000" w:fill="FFFFFF"/>
            <w:noWrap/>
            <w:vAlign w:val="bottom"/>
            <w:hideMark/>
          </w:tcPr>
          <w:p w14:paraId="390AC9A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29.000,00</w:t>
            </w:r>
          </w:p>
        </w:tc>
        <w:tc>
          <w:tcPr>
            <w:tcW w:w="1123" w:type="dxa"/>
            <w:tcBorders>
              <w:top w:val="nil"/>
              <w:left w:val="nil"/>
              <w:bottom w:val="single" w:sz="4" w:space="0" w:color="auto"/>
              <w:right w:val="single" w:sz="4" w:space="0" w:color="auto"/>
            </w:tcBorders>
            <w:shd w:val="clear" w:color="000000" w:fill="FFFFFF"/>
            <w:noWrap/>
            <w:vAlign w:val="bottom"/>
            <w:hideMark/>
          </w:tcPr>
          <w:p w14:paraId="6DE75A1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76,32</w:t>
            </w:r>
          </w:p>
        </w:tc>
        <w:tc>
          <w:tcPr>
            <w:tcW w:w="1240" w:type="dxa"/>
            <w:tcBorders>
              <w:top w:val="nil"/>
              <w:left w:val="nil"/>
              <w:bottom w:val="single" w:sz="4" w:space="0" w:color="auto"/>
              <w:right w:val="single" w:sz="4" w:space="0" w:color="auto"/>
            </w:tcBorders>
            <w:shd w:val="clear" w:color="000000" w:fill="FFFFFF"/>
            <w:noWrap/>
            <w:vAlign w:val="bottom"/>
            <w:hideMark/>
          </w:tcPr>
          <w:p w14:paraId="5F7834A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67.000,00</w:t>
            </w:r>
          </w:p>
        </w:tc>
      </w:tr>
      <w:tr w:rsidR="00BC7E60" w:rsidRPr="00497178" w14:paraId="70E7090F"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2D008263"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5002 Obrazovanje</w:t>
            </w:r>
          </w:p>
        </w:tc>
        <w:tc>
          <w:tcPr>
            <w:tcW w:w="1307" w:type="dxa"/>
            <w:tcBorders>
              <w:top w:val="nil"/>
              <w:left w:val="nil"/>
              <w:bottom w:val="single" w:sz="4" w:space="0" w:color="auto"/>
              <w:right w:val="single" w:sz="4" w:space="0" w:color="auto"/>
            </w:tcBorders>
            <w:shd w:val="clear" w:color="000000" w:fill="FFFFFF"/>
            <w:noWrap/>
            <w:vAlign w:val="bottom"/>
            <w:hideMark/>
          </w:tcPr>
          <w:p w14:paraId="0796D9C6"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346.000,00</w:t>
            </w:r>
          </w:p>
        </w:tc>
        <w:tc>
          <w:tcPr>
            <w:tcW w:w="1123" w:type="dxa"/>
            <w:tcBorders>
              <w:top w:val="nil"/>
              <w:left w:val="nil"/>
              <w:bottom w:val="single" w:sz="4" w:space="0" w:color="auto"/>
              <w:right w:val="single" w:sz="4" w:space="0" w:color="auto"/>
            </w:tcBorders>
            <w:shd w:val="clear" w:color="000000" w:fill="FFFFFF"/>
            <w:noWrap/>
            <w:vAlign w:val="bottom"/>
            <w:hideMark/>
          </w:tcPr>
          <w:p w14:paraId="412D312F"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7.354,00</w:t>
            </w:r>
          </w:p>
        </w:tc>
        <w:tc>
          <w:tcPr>
            <w:tcW w:w="1123" w:type="dxa"/>
            <w:tcBorders>
              <w:top w:val="nil"/>
              <w:left w:val="nil"/>
              <w:bottom w:val="single" w:sz="4" w:space="0" w:color="auto"/>
              <w:right w:val="single" w:sz="4" w:space="0" w:color="auto"/>
            </w:tcBorders>
            <w:shd w:val="clear" w:color="000000" w:fill="FFFFFF"/>
            <w:noWrap/>
            <w:vAlign w:val="bottom"/>
            <w:hideMark/>
          </w:tcPr>
          <w:p w14:paraId="7DC4B103"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2,13</w:t>
            </w:r>
          </w:p>
        </w:tc>
        <w:tc>
          <w:tcPr>
            <w:tcW w:w="1240" w:type="dxa"/>
            <w:tcBorders>
              <w:top w:val="nil"/>
              <w:left w:val="nil"/>
              <w:bottom w:val="single" w:sz="4" w:space="0" w:color="auto"/>
              <w:right w:val="single" w:sz="4" w:space="0" w:color="auto"/>
            </w:tcBorders>
            <w:shd w:val="clear" w:color="000000" w:fill="FFFFFF"/>
            <w:noWrap/>
            <w:vAlign w:val="bottom"/>
            <w:hideMark/>
          </w:tcPr>
          <w:p w14:paraId="7DC7B13A"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353.354,00</w:t>
            </w:r>
          </w:p>
        </w:tc>
      </w:tr>
      <w:tr w:rsidR="00BC7E60" w:rsidRPr="00497178" w14:paraId="4E0BED99"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A53828D"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A500001 Stipendiranje učenika i studenata</w:t>
            </w:r>
          </w:p>
        </w:tc>
        <w:tc>
          <w:tcPr>
            <w:tcW w:w="1307" w:type="dxa"/>
            <w:tcBorders>
              <w:top w:val="nil"/>
              <w:left w:val="nil"/>
              <w:bottom w:val="single" w:sz="4" w:space="0" w:color="auto"/>
              <w:right w:val="single" w:sz="4" w:space="0" w:color="auto"/>
            </w:tcBorders>
            <w:shd w:val="clear" w:color="000000" w:fill="FFFFFF"/>
            <w:noWrap/>
            <w:vAlign w:val="bottom"/>
            <w:hideMark/>
          </w:tcPr>
          <w:p w14:paraId="20C4500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160.000,00</w:t>
            </w:r>
          </w:p>
        </w:tc>
        <w:tc>
          <w:tcPr>
            <w:tcW w:w="1123" w:type="dxa"/>
            <w:tcBorders>
              <w:top w:val="nil"/>
              <w:left w:val="nil"/>
              <w:bottom w:val="single" w:sz="4" w:space="0" w:color="auto"/>
              <w:right w:val="single" w:sz="4" w:space="0" w:color="auto"/>
            </w:tcBorders>
            <w:shd w:val="clear" w:color="000000" w:fill="FFFFFF"/>
            <w:noWrap/>
            <w:vAlign w:val="bottom"/>
            <w:hideMark/>
          </w:tcPr>
          <w:p w14:paraId="263F49E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6503EF1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2F78DE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160.000,00</w:t>
            </w:r>
          </w:p>
        </w:tc>
      </w:tr>
      <w:tr w:rsidR="00BC7E60" w:rsidRPr="00497178" w14:paraId="1D30689D"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3AA6EB23"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A500002 Pomoći u školovanju</w:t>
            </w:r>
          </w:p>
        </w:tc>
        <w:tc>
          <w:tcPr>
            <w:tcW w:w="1307" w:type="dxa"/>
            <w:tcBorders>
              <w:top w:val="nil"/>
              <w:left w:val="nil"/>
              <w:bottom w:val="single" w:sz="4" w:space="0" w:color="auto"/>
              <w:right w:val="single" w:sz="4" w:space="0" w:color="auto"/>
            </w:tcBorders>
            <w:shd w:val="clear" w:color="000000" w:fill="FFFFFF"/>
            <w:noWrap/>
            <w:vAlign w:val="bottom"/>
            <w:hideMark/>
          </w:tcPr>
          <w:p w14:paraId="30976E6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14.000,00</w:t>
            </w:r>
          </w:p>
        </w:tc>
        <w:tc>
          <w:tcPr>
            <w:tcW w:w="1123" w:type="dxa"/>
            <w:tcBorders>
              <w:top w:val="nil"/>
              <w:left w:val="nil"/>
              <w:bottom w:val="single" w:sz="4" w:space="0" w:color="auto"/>
              <w:right w:val="single" w:sz="4" w:space="0" w:color="auto"/>
            </w:tcBorders>
            <w:shd w:val="clear" w:color="000000" w:fill="FFFFFF"/>
            <w:noWrap/>
            <w:vAlign w:val="bottom"/>
            <w:hideMark/>
          </w:tcPr>
          <w:p w14:paraId="3C73A40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5.000,00</w:t>
            </w:r>
          </w:p>
        </w:tc>
        <w:tc>
          <w:tcPr>
            <w:tcW w:w="1123" w:type="dxa"/>
            <w:tcBorders>
              <w:top w:val="nil"/>
              <w:left w:val="nil"/>
              <w:bottom w:val="single" w:sz="4" w:space="0" w:color="auto"/>
              <w:right w:val="single" w:sz="4" w:space="0" w:color="auto"/>
            </w:tcBorders>
            <w:shd w:val="clear" w:color="000000" w:fill="FFFFFF"/>
            <w:noWrap/>
            <w:vAlign w:val="bottom"/>
            <w:hideMark/>
          </w:tcPr>
          <w:p w14:paraId="3B68CAB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35,71</w:t>
            </w:r>
          </w:p>
        </w:tc>
        <w:tc>
          <w:tcPr>
            <w:tcW w:w="1240" w:type="dxa"/>
            <w:tcBorders>
              <w:top w:val="nil"/>
              <w:left w:val="nil"/>
              <w:bottom w:val="single" w:sz="4" w:space="0" w:color="auto"/>
              <w:right w:val="single" w:sz="4" w:space="0" w:color="auto"/>
            </w:tcBorders>
            <w:shd w:val="clear" w:color="000000" w:fill="FFFFFF"/>
            <w:noWrap/>
            <w:vAlign w:val="bottom"/>
            <w:hideMark/>
          </w:tcPr>
          <w:p w14:paraId="3E3548A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19.000,00</w:t>
            </w:r>
          </w:p>
        </w:tc>
      </w:tr>
      <w:tr w:rsidR="00BC7E60" w:rsidRPr="00497178" w14:paraId="6116B354"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52A08E1"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Tekući projekt T500006 </w:t>
            </w:r>
            <w:proofErr w:type="spellStart"/>
            <w:r w:rsidRPr="00497178">
              <w:rPr>
                <w:rFonts w:ascii="Arial" w:hAnsi="Arial" w:cs="Arial"/>
                <w:sz w:val="16"/>
                <w:szCs w:val="16"/>
              </w:rPr>
              <w:t>Ravnomj</w:t>
            </w:r>
            <w:proofErr w:type="spellEnd"/>
            <w:r w:rsidRPr="00497178">
              <w:rPr>
                <w:rFonts w:ascii="Arial" w:hAnsi="Arial" w:cs="Arial"/>
                <w:sz w:val="16"/>
                <w:szCs w:val="16"/>
              </w:rPr>
              <w:t>. socijalna i obrazovna inkluzija učen. s teškoćama u razvoju IV -Projekt RAST IV</w:t>
            </w:r>
          </w:p>
        </w:tc>
        <w:tc>
          <w:tcPr>
            <w:tcW w:w="1307" w:type="dxa"/>
            <w:tcBorders>
              <w:top w:val="nil"/>
              <w:left w:val="nil"/>
              <w:bottom w:val="single" w:sz="4" w:space="0" w:color="auto"/>
              <w:right w:val="single" w:sz="4" w:space="0" w:color="auto"/>
            </w:tcBorders>
            <w:shd w:val="clear" w:color="000000" w:fill="FFFFFF"/>
            <w:noWrap/>
            <w:vAlign w:val="bottom"/>
            <w:hideMark/>
          </w:tcPr>
          <w:p w14:paraId="18A3824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172.000,00</w:t>
            </w:r>
          </w:p>
        </w:tc>
        <w:tc>
          <w:tcPr>
            <w:tcW w:w="1123" w:type="dxa"/>
            <w:tcBorders>
              <w:top w:val="nil"/>
              <w:left w:val="nil"/>
              <w:bottom w:val="single" w:sz="4" w:space="0" w:color="auto"/>
              <w:right w:val="single" w:sz="4" w:space="0" w:color="auto"/>
            </w:tcBorders>
            <w:shd w:val="clear" w:color="000000" w:fill="FFFFFF"/>
            <w:noWrap/>
            <w:vAlign w:val="bottom"/>
            <w:hideMark/>
          </w:tcPr>
          <w:p w14:paraId="53C9656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2.354,00</w:t>
            </w:r>
          </w:p>
        </w:tc>
        <w:tc>
          <w:tcPr>
            <w:tcW w:w="1123" w:type="dxa"/>
            <w:tcBorders>
              <w:top w:val="nil"/>
              <w:left w:val="nil"/>
              <w:bottom w:val="single" w:sz="4" w:space="0" w:color="auto"/>
              <w:right w:val="single" w:sz="4" w:space="0" w:color="auto"/>
            </w:tcBorders>
            <w:shd w:val="clear" w:color="000000" w:fill="FFFFFF"/>
            <w:noWrap/>
            <w:vAlign w:val="bottom"/>
            <w:hideMark/>
          </w:tcPr>
          <w:p w14:paraId="7045416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1,37</w:t>
            </w:r>
          </w:p>
        </w:tc>
        <w:tc>
          <w:tcPr>
            <w:tcW w:w="1240" w:type="dxa"/>
            <w:tcBorders>
              <w:top w:val="nil"/>
              <w:left w:val="nil"/>
              <w:bottom w:val="single" w:sz="4" w:space="0" w:color="auto"/>
              <w:right w:val="single" w:sz="4" w:space="0" w:color="auto"/>
            </w:tcBorders>
            <w:shd w:val="clear" w:color="000000" w:fill="FFFFFF"/>
            <w:noWrap/>
            <w:vAlign w:val="bottom"/>
            <w:hideMark/>
          </w:tcPr>
          <w:p w14:paraId="2BEA930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174.354,00</w:t>
            </w:r>
          </w:p>
        </w:tc>
      </w:tr>
      <w:tr w:rsidR="00BC7E60" w:rsidRPr="00497178" w14:paraId="633BF940"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3EEA842B"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5003 Razvoj sporta i rekreacije</w:t>
            </w:r>
          </w:p>
        </w:tc>
        <w:tc>
          <w:tcPr>
            <w:tcW w:w="1307" w:type="dxa"/>
            <w:tcBorders>
              <w:top w:val="nil"/>
              <w:left w:val="nil"/>
              <w:bottom w:val="single" w:sz="4" w:space="0" w:color="auto"/>
              <w:right w:val="single" w:sz="4" w:space="0" w:color="auto"/>
            </w:tcBorders>
            <w:shd w:val="clear" w:color="000000" w:fill="FFFFFF"/>
            <w:noWrap/>
            <w:vAlign w:val="bottom"/>
            <w:hideMark/>
          </w:tcPr>
          <w:p w14:paraId="45DD399E"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385.000,00</w:t>
            </w:r>
          </w:p>
        </w:tc>
        <w:tc>
          <w:tcPr>
            <w:tcW w:w="1123" w:type="dxa"/>
            <w:tcBorders>
              <w:top w:val="nil"/>
              <w:left w:val="nil"/>
              <w:bottom w:val="single" w:sz="4" w:space="0" w:color="auto"/>
              <w:right w:val="single" w:sz="4" w:space="0" w:color="auto"/>
            </w:tcBorders>
            <w:shd w:val="clear" w:color="000000" w:fill="FFFFFF"/>
            <w:noWrap/>
            <w:vAlign w:val="bottom"/>
            <w:hideMark/>
          </w:tcPr>
          <w:p w14:paraId="52F82DA0"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19.000,00</w:t>
            </w:r>
          </w:p>
        </w:tc>
        <w:tc>
          <w:tcPr>
            <w:tcW w:w="1123" w:type="dxa"/>
            <w:tcBorders>
              <w:top w:val="nil"/>
              <w:left w:val="nil"/>
              <w:bottom w:val="single" w:sz="4" w:space="0" w:color="auto"/>
              <w:right w:val="single" w:sz="4" w:space="0" w:color="auto"/>
            </w:tcBorders>
            <w:shd w:val="clear" w:color="000000" w:fill="FFFFFF"/>
            <w:noWrap/>
            <w:vAlign w:val="bottom"/>
            <w:hideMark/>
          </w:tcPr>
          <w:p w14:paraId="15FB3B0E"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4,94</w:t>
            </w:r>
          </w:p>
        </w:tc>
        <w:tc>
          <w:tcPr>
            <w:tcW w:w="1240" w:type="dxa"/>
            <w:tcBorders>
              <w:top w:val="nil"/>
              <w:left w:val="nil"/>
              <w:bottom w:val="single" w:sz="4" w:space="0" w:color="auto"/>
              <w:right w:val="single" w:sz="4" w:space="0" w:color="auto"/>
            </w:tcBorders>
            <w:shd w:val="clear" w:color="000000" w:fill="FFFFFF"/>
            <w:noWrap/>
            <w:vAlign w:val="bottom"/>
            <w:hideMark/>
          </w:tcPr>
          <w:p w14:paraId="62153916"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404.000,00</w:t>
            </w:r>
          </w:p>
        </w:tc>
      </w:tr>
      <w:tr w:rsidR="00BC7E60" w:rsidRPr="00497178" w14:paraId="1E0A35C2"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ED5FA8C"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A500001 Sufinanciranje Sportske zajednice Grada Labina</w:t>
            </w:r>
          </w:p>
        </w:tc>
        <w:tc>
          <w:tcPr>
            <w:tcW w:w="1307" w:type="dxa"/>
            <w:tcBorders>
              <w:top w:val="nil"/>
              <w:left w:val="nil"/>
              <w:bottom w:val="single" w:sz="4" w:space="0" w:color="auto"/>
              <w:right w:val="single" w:sz="4" w:space="0" w:color="auto"/>
            </w:tcBorders>
            <w:shd w:val="clear" w:color="000000" w:fill="FFFFFF"/>
            <w:noWrap/>
            <w:vAlign w:val="bottom"/>
            <w:hideMark/>
          </w:tcPr>
          <w:p w14:paraId="41F98EB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385.000,00</w:t>
            </w:r>
          </w:p>
        </w:tc>
        <w:tc>
          <w:tcPr>
            <w:tcW w:w="1123" w:type="dxa"/>
            <w:tcBorders>
              <w:top w:val="nil"/>
              <w:left w:val="nil"/>
              <w:bottom w:val="single" w:sz="4" w:space="0" w:color="auto"/>
              <w:right w:val="single" w:sz="4" w:space="0" w:color="auto"/>
            </w:tcBorders>
            <w:shd w:val="clear" w:color="000000" w:fill="FFFFFF"/>
            <w:noWrap/>
            <w:vAlign w:val="bottom"/>
            <w:hideMark/>
          </w:tcPr>
          <w:p w14:paraId="1DE51C1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19.000,00</w:t>
            </w:r>
          </w:p>
        </w:tc>
        <w:tc>
          <w:tcPr>
            <w:tcW w:w="1123" w:type="dxa"/>
            <w:tcBorders>
              <w:top w:val="nil"/>
              <w:left w:val="nil"/>
              <w:bottom w:val="single" w:sz="4" w:space="0" w:color="auto"/>
              <w:right w:val="single" w:sz="4" w:space="0" w:color="auto"/>
            </w:tcBorders>
            <w:shd w:val="clear" w:color="000000" w:fill="FFFFFF"/>
            <w:noWrap/>
            <w:vAlign w:val="bottom"/>
            <w:hideMark/>
          </w:tcPr>
          <w:p w14:paraId="7973396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4,94</w:t>
            </w:r>
          </w:p>
        </w:tc>
        <w:tc>
          <w:tcPr>
            <w:tcW w:w="1240" w:type="dxa"/>
            <w:tcBorders>
              <w:top w:val="nil"/>
              <w:left w:val="nil"/>
              <w:bottom w:val="single" w:sz="4" w:space="0" w:color="auto"/>
              <w:right w:val="single" w:sz="4" w:space="0" w:color="auto"/>
            </w:tcBorders>
            <w:shd w:val="clear" w:color="000000" w:fill="FFFFFF"/>
            <w:noWrap/>
            <w:vAlign w:val="bottom"/>
            <w:hideMark/>
          </w:tcPr>
          <w:p w14:paraId="546E143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404.000,00</w:t>
            </w:r>
          </w:p>
        </w:tc>
      </w:tr>
      <w:tr w:rsidR="00BC7E60" w:rsidRPr="00497178" w14:paraId="54603129"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8BD1AAA"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5004 Promicanje kulture</w:t>
            </w:r>
          </w:p>
        </w:tc>
        <w:tc>
          <w:tcPr>
            <w:tcW w:w="1307" w:type="dxa"/>
            <w:tcBorders>
              <w:top w:val="nil"/>
              <w:left w:val="nil"/>
              <w:bottom w:val="single" w:sz="4" w:space="0" w:color="auto"/>
              <w:right w:val="single" w:sz="4" w:space="0" w:color="auto"/>
            </w:tcBorders>
            <w:shd w:val="clear" w:color="000000" w:fill="FFFFFF"/>
            <w:noWrap/>
            <w:vAlign w:val="bottom"/>
            <w:hideMark/>
          </w:tcPr>
          <w:p w14:paraId="59B48E4C"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139.500,00</w:t>
            </w:r>
          </w:p>
        </w:tc>
        <w:tc>
          <w:tcPr>
            <w:tcW w:w="1123" w:type="dxa"/>
            <w:tcBorders>
              <w:top w:val="nil"/>
              <w:left w:val="nil"/>
              <w:bottom w:val="single" w:sz="4" w:space="0" w:color="auto"/>
              <w:right w:val="single" w:sz="4" w:space="0" w:color="auto"/>
            </w:tcBorders>
            <w:shd w:val="clear" w:color="000000" w:fill="FFFFFF"/>
            <w:noWrap/>
            <w:vAlign w:val="bottom"/>
            <w:hideMark/>
          </w:tcPr>
          <w:p w14:paraId="7EC3EFB1"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60.566,00</w:t>
            </w:r>
          </w:p>
        </w:tc>
        <w:tc>
          <w:tcPr>
            <w:tcW w:w="1123" w:type="dxa"/>
            <w:tcBorders>
              <w:top w:val="nil"/>
              <w:left w:val="nil"/>
              <w:bottom w:val="single" w:sz="4" w:space="0" w:color="auto"/>
              <w:right w:val="single" w:sz="4" w:space="0" w:color="auto"/>
            </w:tcBorders>
            <w:shd w:val="clear" w:color="000000" w:fill="FFFFFF"/>
            <w:noWrap/>
            <w:vAlign w:val="bottom"/>
            <w:hideMark/>
          </w:tcPr>
          <w:p w14:paraId="3DCF63B2"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43,42</w:t>
            </w:r>
          </w:p>
        </w:tc>
        <w:tc>
          <w:tcPr>
            <w:tcW w:w="1240" w:type="dxa"/>
            <w:tcBorders>
              <w:top w:val="nil"/>
              <w:left w:val="nil"/>
              <w:bottom w:val="single" w:sz="4" w:space="0" w:color="auto"/>
              <w:right w:val="single" w:sz="4" w:space="0" w:color="auto"/>
            </w:tcBorders>
            <w:shd w:val="clear" w:color="000000" w:fill="FFFFFF"/>
            <w:noWrap/>
            <w:vAlign w:val="bottom"/>
            <w:hideMark/>
          </w:tcPr>
          <w:p w14:paraId="58306A05"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200.066,00</w:t>
            </w:r>
          </w:p>
        </w:tc>
      </w:tr>
      <w:tr w:rsidR="00BC7E60" w:rsidRPr="00497178" w14:paraId="3A3F67B9"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94AC897"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A500001 Kulturne manifestacije Grada Labina</w:t>
            </w:r>
          </w:p>
        </w:tc>
        <w:tc>
          <w:tcPr>
            <w:tcW w:w="1307" w:type="dxa"/>
            <w:tcBorders>
              <w:top w:val="nil"/>
              <w:left w:val="nil"/>
              <w:bottom w:val="single" w:sz="4" w:space="0" w:color="auto"/>
              <w:right w:val="single" w:sz="4" w:space="0" w:color="auto"/>
            </w:tcBorders>
            <w:shd w:val="clear" w:color="000000" w:fill="FFFFFF"/>
            <w:noWrap/>
            <w:vAlign w:val="bottom"/>
            <w:hideMark/>
          </w:tcPr>
          <w:p w14:paraId="14FE026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58.000,00</w:t>
            </w:r>
          </w:p>
        </w:tc>
        <w:tc>
          <w:tcPr>
            <w:tcW w:w="1123" w:type="dxa"/>
            <w:tcBorders>
              <w:top w:val="nil"/>
              <w:left w:val="nil"/>
              <w:bottom w:val="single" w:sz="4" w:space="0" w:color="auto"/>
              <w:right w:val="single" w:sz="4" w:space="0" w:color="auto"/>
            </w:tcBorders>
            <w:shd w:val="clear" w:color="000000" w:fill="FFFFFF"/>
            <w:noWrap/>
            <w:vAlign w:val="bottom"/>
            <w:hideMark/>
          </w:tcPr>
          <w:p w14:paraId="6FAEF01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14.566,00</w:t>
            </w:r>
          </w:p>
        </w:tc>
        <w:tc>
          <w:tcPr>
            <w:tcW w:w="1123" w:type="dxa"/>
            <w:tcBorders>
              <w:top w:val="nil"/>
              <w:left w:val="nil"/>
              <w:bottom w:val="single" w:sz="4" w:space="0" w:color="auto"/>
              <w:right w:val="single" w:sz="4" w:space="0" w:color="auto"/>
            </w:tcBorders>
            <w:shd w:val="clear" w:color="000000" w:fill="FFFFFF"/>
            <w:noWrap/>
            <w:vAlign w:val="bottom"/>
            <w:hideMark/>
          </w:tcPr>
          <w:p w14:paraId="253CEDC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25,11</w:t>
            </w:r>
          </w:p>
        </w:tc>
        <w:tc>
          <w:tcPr>
            <w:tcW w:w="1240" w:type="dxa"/>
            <w:tcBorders>
              <w:top w:val="nil"/>
              <w:left w:val="nil"/>
              <w:bottom w:val="single" w:sz="4" w:space="0" w:color="auto"/>
              <w:right w:val="single" w:sz="4" w:space="0" w:color="auto"/>
            </w:tcBorders>
            <w:shd w:val="clear" w:color="000000" w:fill="FFFFFF"/>
            <w:noWrap/>
            <w:vAlign w:val="bottom"/>
            <w:hideMark/>
          </w:tcPr>
          <w:p w14:paraId="2D79F1D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72.566,00</w:t>
            </w:r>
          </w:p>
        </w:tc>
      </w:tr>
      <w:tr w:rsidR="00BC7E60" w:rsidRPr="00497178" w14:paraId="222AFC0C"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2D7AFAE7"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A500002 Labin Art Republika</w:t>
            </w:r>
          </w:p>
        </w:tc>
        <w:tc>
          <w:tcPr>
            <w:tcW w:w="1307" w:type="dxa"/>
            <w:tcBorders>
              <w:top w:val="nil"/>
              <w:left w:val="nil"/>
              <w:bottom w:val="single" w:sz="4" w:space="0" w:color="auto"/>
              <w:right w:val="single" w:sz="4" w:space="0" w:color="auto"/>
            </w:tcBorders>
            <w:shd w:val="clear" w:color="000000" w:fill="FFFFFF"/>
            <w:noWrap/>
            <w:vAlign w:val="bottom"/>
            <w:hideMark/>
          </w:tcPr>
          <w:p w14:paraId="61F8297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22.000,00</w:t>
            </w:r>
          </w:p>
        </w:tc>
        <w:tc>
          <w:tcPr>
            <w:tcW w:w="1123" w:type="dxa"/>
            <w:tcBorders>
              <w:top w:val="nil"/>
              <w:left w:val="nil"/>
              <w:bottom w:val="single" w:sz="4" w:space="0" w:color="auto"/>
              <w:right w:val="single" w:sz="4" w:space="0" w:color="auto"/>
            </w:tcBorders>
            <w:shd w:val="clear" w:color="000000" w:fill="FFFFFF"/>
            <w:noWrap/>
            <w:vAlign w:val="bottom"/>
            <w:hideMark/>
          </w:tcPr>
          <w:p w14:paraId="085B80E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5.000,00</w:t>
            </w:r>
          </w:p>
        </w:tc>
        <w:tc>
          <w:tcPr>
            <w:tcW w:w="1123" w:type="dxa"/>
            <w:tcBorders>
              <w:top w:val="nil"/>
              <w:left w:val="nil"/>
              <w:bottom w:val="single" w:sz="4" w:space="0" w:color="auto"/>
              <w:right w:val="single" w:sz="4" w:space="0" w:color="auto"/>
            </w:tcBorders>
            <w:shd w:val="clear" w:color="000000" w:fill="FFFFFF"/>
            <w:noWrap/>
            <w:vAlign w:val="bottom"/>
            <w:hideMark/>
          </w:tcPr>
          <w:p w14:paraId="396C695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22,73</w:t>
            </w:r>
          </w:p>
        </w:tc>
        <w:tc>
          <w:tcPr>
            <w:tcW w:w="1240" w:type="dxa"/>
            <w:tcBorders>
              <w:top w:val="nil"/>
              <w:left w:val="nil"/>
              <w:bottom w:val="single" w:sz="4" w:space="0" w:color="auto"/>
              <w:right w:val="single" w:sz="4" w:space="0" w:color="auto"/>
            </w:tcBorders>
            <w:shd w:val="clear" w:color="000000" w:fill="FFFFFF"/>
            <w:noWrap/>
            <w:vAlign w:val="bottom"/>
            <w:hideMark/>
          </w:tcPr>
          <w:p w14:paraId="0F11350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27.000,00</w:t>
            </w:r>
          </w:p>
        </w:tc>
      </w:tr>
      <w:tr w:rsidR="00BC7E60" w:rsidRPr="00497178" w14:paraId="3339D7C3"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61410EE"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A500003 Sufinanciranje projekata kulture</w:t>
            </w:r>
          </w:p>
        </w:tc>
        <w:tc>
          <w:tcPr>
            <w:tcW w:w="1307" w:type="dxa"/>
            <w:tcBorders>
              <w:top w:val="nil"/>
              <w:left w:val="nil"/>
              <w:bottom w:val="single" w:sz="4" w:space="0" w:color="auto"/>
              <w:right w:val="single" w:sz="4" w:space="0" w:color="auto"/>
            </w:tcBorders>
            <w:shd w:val="clear" w:color="000000" w:fill="FFFFFF"/>
            <w:noWrap/>
            <w:vAlign w:val="bottom"/>
            <w:hideMark/>
          </w:tcPr>
          <w:p w14:paraId="2ADA599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46.000,00</w:t>
            </w:r>
          </w:p>
        </w:tc>
        <w:tc>
          <w:tcPr>
            <w:tcW w:w="1123" w:type="dxa"/>
            <w:tcBorders>
              <w:top w:val="nil"/>
              <w:left w:val="nil"/>
              <w:bottom w:val="single" w:sz="4" w:space="0" w:color="auto"/>
              <w:right w:val="single" w:sz="4" w:space="0" w:color="auto"/>
            </w:tcBorders>
            <w:shd w:val="clear" w:color="000000" w:fill="FFFFFF"/>
            <w:noWrap/>
            <w:vAlign w:val="bottom"/>
            <w:hideMark/>
          </w:tcPr>
          <w:p w14:paraId="15ACF67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1.000,00</w:t>
            </w:r>
          </w:p>
        </w:tc>
        <w:tc>
          <w:tcPr>
            <w:tcW w:w="1123" w:type="dxa"/>
            <w:tcBorders>
              <w:top w:val="nil"/>
              <w:left w:val="nil"/>
              <w:bottom w:val="single" w:sz="4" w:space="0" w:color="auto"/>
              <w:right w:val="single" w:sz="4" w:space="0" w:color="auto"/>
            </w:tcBorders>
            <w:shd w:val="clear" w:color="000000" w:fill="FFFFFF"/>
            <w:noWrap/>
            <w:vAlign w:val="bottom"/>
            <w:hideMark/>
          </w:tcPr>
          <w:p w14:paraId="2777F49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2,17</w:t>
            </w:r>
          </w:p>
        </w:tc>
        <w:tc>
          <w:tcPr>
            <w:tcW w:w="1240" w:type="dxa"/>
            <w:tcBorders>
              <w:top w:val="nil"/>
              <w:left w:val="nil"/>
              <w:bottom w:val="single" w:sz="4" w:space="0" w:color="auto"/>
              <w:right w:val="single" w:sz="4" w:space="0" w:color="auto"/>
            </w:tcBorders>
            <w:shd w:val="clear" w:color="000000" w:fill="FFFFFF"/>
            <w:noWrap/>
            <w:vAlign w:val="bottom"/>
            <w:hideMark/>
          </w:tcPr>
          <w:p w14:paraId="3FEE478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47.000,00</w:t>
            </w:r>
          </w:p>
        </w:tc>
      </w:tr>
      <w:tr w:rsidR="00BC7E60" w:rsidRPr="00497178" w14:paraId="262AA4EE"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D171AA6"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Aktivnost A500004 </w:t>
            </w:r>
            <w:proofErr w:type="spellStart"/>
            <w:r w:rsidRPr="00497178">
              <w:rPr>
                <w:rFonts w:ascii="Arial" w:hAnsi="Arial" w:cs="Arial"/>
                <w:sz w:val="16"/>
                <w:szCs w:val="16"/>
              </w:rPr>
              <w:t>Brendiranje</w:t>
            </w:r>
            <w:proofErr w:type="spellEnd"/>
            <w:r w:rsidRPr="00497178">
              <w:rPr>
                <w:rFonts w:ascii="Arial" w:hAnsi="Arial" w:cs="Arial"/>
                <w:sz w:val="16"/>
                <w:szCs w:val="16"/>
              </w:rPr>
              <w:t xml:space="preserve">-Praktična realizacija na </w:t>
            </w:r>
            <w:proofErr w:type="spellStart"/>
            <w:r w:rsidRPr="00497178">
              <w:rPr>
                <w:rFonts w:ascii="Arial" w:hAnsi="Arial" w:cs="Arial"/>
                <w:sz w:val="16"/>
                <w:szCs w:val="16"/>
              </w:rPr>
              <w:t>proj</w:t>
            </w:r>
            <w:proofErr w:type="spellEnd"/>
            <w:r w:rsidRPr="00497178">
              <w:rPr>
                <w:rFonts w:ascii="Arial" w:hAnsi="Arial" w:cs="Arial"/>
                <w:sz w:val="16"/>
                <w:szCs w:val="16"/>
              </w:rPr>
              <w:t xml:space="preserve">. </w:t>
            </w:r>
            <w:proofErr w:type="spellStart"/>
            <w:r w:rsidRPr="00497178">
              <w:rPr>
                <w:rFonts w:ascii="Arial" w:hAnsi="Arial" w:cs="Arial"/>
                <w:sz w:val="16"/>
                <w:szCs w:val="16"/>
              </w:rPr>
              <w:t>cakavice</w:t>
            </w:r>
            <w:proofErr w:type="spellEnd"/>
            <w:r w:rsidRPr="00497178">
              <w:rPr>
                <w:rFonts w:ascii="Arial" w:hAnsi="Arial" w:cs="Arial"/>
                <w:sz w:val="16"/>
                <w:szCs w:val="16"/>
              </w:rPr>
              <w:t xml:space="preserve">, </w:t>
            </w:r>
            <w:proofErr w:type="spellStart"/>
            <w:r w:rsidRPr="00497178">
              <w:rPr>
                <w:rFonts w:ascii="Arial" w:hAnsi="Arial" w:cs="Arial"/>
                <w:sz w:val="16"/>
                <w:szCs w:val="16"/>
              </w:rPr>
              <w:t>M.Vlačića</w:t>
            </w:r>
            <w:proofErr w:type="spellEnd"/>
            <w:r w:rsidRPr="00497178">
              <w:rPr>
                <w:rFonts w:ascii="Arial" w:hAnsi="Arial" w:cs="Arial"/>
                <w:sz w:val="16"/>
                <w:szCs w:val="16"/>
              </w:rPr>
              <w:t xml:space="preserve"> i rudarstva</w:t>
            </w:r>
          </w:p>
        </w:tc>
        <w:tc>
          <w:tcPr>
            <w:tcW w:w="1307" w:type="dxa"/>
            <w:tcBorders>
              <w:top w:val="nil"/>
              <w:left w:val="nil"/>
              <w:bottom w:val="single" w:sz="4" w:space="0" w:color="auto"/>
              <w:right w:val="single" w:sz="4" w:space="0" w:color="auto"/>
            </w:tcBorders>
            <w:shd w:val="clear" w:color="000000" w:fill="FFFFFF"/>
            <w:noWrap/>
            <w:vAlign w:val="bottom"/>
            <w:hideMark/>
          </w:tcPr>
          <w:p w14:paraId="0A661EB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11.500,00</w:t>
            </w:r>
          </w:p>
        </w:tc>
        <w:tc>
          <w:tcPr>
            <w:tcW w:w="1123" w:type="dxa"/>
            <w:tcBorders>
              <w:top w:val="nil"/>
              <w:left w:val="nil"/>
              <w:bottom w:val="single" w:sz="4" w:space="0" w:color="auto"/>
              <w:right w:val="single" w:sz="4" w:space="0" w:color="auto"/>
            </w:tcBorders>
            <w:shd w:val="clear" w:color="000000" w:fill="FFFFFF"/>
            <w:noWrap/>
            <w:vAlign w:val="bottom"/>
            <w:hideMark/>
          </w:tcPr>
          <w:p w14:paraId="0AB5D04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7C037C7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CCBEC0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11.500,00</w:t>
            </w:r>
          </w:p>
        </w:tc>
      </w:tr>
      <w:tr w:rsidR="00BC7E60" w:rsidRPr="00497178" w14:paraId="3424DD00"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D0616E0"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A500016 Kulturno povijesni susreti</w:t>
            </w:r>
          </w:p>
        </w:tc>
        <w:tc>
          <w:tcPr>
            <w:tcW w:w="1307" w:type="dxa"/>
            <w:tcBorders>
              <w:top w:val="nil"/>
              <w:left w:val="nil"/>
              <w:bottom w:val="single" w:sz="4" w:space="0" w:color="auto"/>
              <w:right w:val="single" w:sz="4" w:space="0" w:color="auto"/>
            </w:tcBorders>
            <w:shd w:val="clear" w:color="000000" w:fill="FFFFFF"/>
            <w:noWrap/>
            <w:vAlign w:val="bottom"/>
            <w:hideMark/>
          </w:tcPr>
          <w:p w14:paraId="7DA8761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2.000,00</w:t>
            </w:r>
          </w:p>
        </w:tc>
        <w:tc>
          <w:tcPr>
            <w:tcW w:w="1123" w:type="dxa"/>
            <w:tcBorders>
              <w:top w:val="nil"/>
              <w:left w:val="nil"/>
              <w:bottom w:val="single" w:sz="4" w:space="0" w:color="auto"/>
              <w:right w:val="single" w:sz="4" w:space="0" w:color="auto"/>
            </w:tcBorders>
            <w:shd w:val="clear" w:color="000000" w:fill="FFFFFF"/>
            <w:noWrap/>
            <w:vAlign w:val="bottom"/>
            <w:hideMark/>
          </w:tcPr>
          <w:p w14:paraId="42C79E6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7F14E96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04AE44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2.000,00</w:t>
            </w:r>
          </w:p>
        </w:tc>
      </w:tr>
      <w:tr w:rsidR="00BC7E60" w:rsidRPr="00497178" w14:paraId="09A0C05C"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53F14FB"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A500017 Božić u Labinu</w:t>
            </w:r>
          </w:p>
        </w:tc>
        <w:tc>
          <w:tcPr>
            <w:tcW w:w="1307" w:type="dxa"/>
            <w:tcBorders>
              <w:top w:val="nil"/>
              <w:left w:val="nil"/>
              <w:bottom w:val="single" w:sz="4" w:space="0" w:color="auto"/>
              <w:right w:val="single" w:sz="4" w:space="0" w:color="auto"/>
            </w:tcBorders>
            <w:shd w:val="clear" w:color="000000" w:fill="FFFFFF"/>
            <w:noWrap/>
            <w:vAlign w:val="bottom"/>
            <w:hideMark/>
          </w:tcPr>
          <w:p w14:paraId="60149BB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11A61CE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40.000,00</w:t>
            </w:r>
          </w:p>
        </w:tc>
        <w:tc>
          <w:tcPr>
            <w:tcW w:w="1123" w:type="dxa"/>
            <w:tcBorders>
              <w:top w:val="nil"/>
              <w:left w:val="nil"/>
              <w:bottom w:val="single" w:sz="4" w:space="0" w:color="auto"/>
              <w:right w:val="single" w:sz="4" w:space="0" w:color="auto"/>
            </w:tcBorders>
            <w:shd w:val="clear" w:color="000000" w:fill="FFFFFF"/>
            <w:noWrap/>
            <w:vAlign w:val="bottom"/>
            <w:hideMark/>
          </w:tcPr>
          <w:p w14:paraId="2CAFEC4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74089DF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40.000,00</w:t>
            </w:r>
          </w:p>
        </w:tc>
      </w:tr>
      <w:tr w:rsidR="00BC7E60" w:rsidRPr="00497178" w14:paraId="0ECF6062"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70042BD"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5006 Socijalna skrb</w:t>
            </w:r>
          </w:p>
        </w:tc>
        <w:tc>
          <w:tcPr>
            <w:tcW w:w="1307" w:type="dxa"/>
            <w:tcBorders>
              <w:top w:val="nil"/>
              <w:left w:val="nil"/>
              <w:bottom w:val="single" w:sz="4" w:space="0" w:color="auto"/>
              <w:right w:val="single" w:sz="4" w:space="0" w:color="auto"/>
            </w:tcBorders>
            <w:shd w:val="clear" w:color="000000" w:fill="FFFFFF"/>
            <w:noWrap/>
            <w:vAlign w:val="bottom"/>
            <w:hideMark/>
          </w:tcPr>
          <w:p w14:paraId="600D4B23"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467.915,00</w:t>
            </w:r>
          </w:p>
        </w:tc>
        <w:tc>
          <w:tcPr>
            <w:tcW w:w="1123" w:type="dxa"/>
            <w:tcBorders>
              <w:top w:val="nil"/>
              <w:left w:val="nil"/>
              <w:bottom w:val="single" w:sz="4" w:space="0" w:color="auto"/>
              <w:right w:val="single" w:sz="4" w:space="0" w:color="auto"/>
            </w:tcBorders>
            <w:shd w:val="clear" w:color="000000" w:fill="FFFFFF"/>
            <w:noWrap/>
            <w:vAlign w:val="bottom"/>
            <w:hideMark/>
          </w:tcPr>
          <w:p w14:paraId="79086EEE"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150.100,00</w:t>
            </w:r>
          </w:p>
        </w:tc>
        <w:tc>
          <w:tcPr>
            <w:tcW w:w="1123" w:type="dxa"/>
            <w:tcBorders>
              <w:top w:val="nil"/>
              <w:left w:val="nil"/>
              <w:bottom w:val="single" w:sz="4" w:space="0" w:color="auto"/>
              <w:right w:val="single" w:sz="4" w:space="0" w:color="auto"/>
            </w:tcBorders>
            <w:shd w:val="clear" w:color="000000" w:fill="FFFFFF"/>
            <w:noWrap/>
            <w:vAlign w:val="bottom"/>
            <w:hideMark/>
          </w:tcPr>
          <w:p w14:paraId="53948BE8"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32,08</w:t>
            </w:r>
          </w:p>
        </w:tc>
        <w:tc>
          <w:tcPr>
            <w:tcW w:w="1240" w:type="dxa"/>
            <w:tcBorders>
              <w:top w:val="nil"/>
              <w:left w:val="nil"/>
              <w:bottom w:val="single" w:sz="4" w:space="0" w:color="auto"/>
              <w:right w:val="single" w:sz="4" w:space="0" w:color="auto"/>
            </w:tcBorders>
            <w:shd w:val="clear" w:color="000000" w:fill="FFFFFF"/>
            <w:noWrap/>
            <w:vAlign w:val="bottom"/>
            <w:hideMark/>
          </w:tcPr>
          <w:p w14:paraId="04C82F68"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618.015,00</w:t>
            </w:r>
          </w:p>
        </w:tc>
      </w:tr>
      <w:tr w:rsidR="00BC7E60" w:rsidRPr="00497178" w14:paraId="10CDB301"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4B13A89"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A500001 Socijalna zaštita djece i mladih</w:t>
            </w:r>
          </w:p>
        </w:tc>
        <w:tc>
          <w:tcPr>
            <w:tcW w:w="1307" w:type="dxa"/>
            <w:tcBorders>
              <w:top w:val="nil"/>
              <w:left w:val="nil"/>
              <w:bottom w:val="single" w:sz="4" w:space="0" w:color="auto"/>
              <w:right w:val="single" w:sz="4" w:space="0" w:color="auto"/>
            </w:tcBorders>
            <w:shd w:val="clear" w:color="000000" w:fill="FFFFFF"/>
            <w:noWrap/>
            <w:vAlign w:val="bottom"/>
            <w:hideMark/>
          </w:tcPr>
          <w:p w14:paraId="5E1F76A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86.000,00</w:t>
            </w:r>
          </w:p>
        </w:tc>
        <w:tc>
          <w:tcPr>
            <w:tcW w:w="1123" w:type="dxa"/>
            <w:tcBorders>
              <w:top w:val="nil"/>
              <w:left w:val="nil"/>
              <w:bottom w:val="single" w:sz="4" w:space="0" w:color="auto"/>
              <w:right w:val="single" w:sz="4" w:space="0" w:color="auto"/>
            </w:tcBorders>
            <w:shd w:val="clear" w:color="000000" w:fill="FFFFFF"/>
            <w:noWrap/>
            <w:vAlign w:val="bottom"/>
            <w:hideMark/>
          </w:tcPr>
          <w:p w14:paraId="7818D40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6B8B73E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FE9361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86.000,00</w:t>
            </w:r>
          </w:p>
        </w:tc>
      </w:tr>
      <w:tr w:rsidR="00BC7E60" w:rsidRPr="00497178" w14:paraId="53542513"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3E58F73E"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A500002 Socijalna zaštita starijih, bolesnih i nemoćnih osoba</w:t>
            </w:r>
          </w:p>
        </w:tc>
        <w:tc>
          <w:tcPr>
            <w:tcW w:w="1307" w:type="dxa"/>
            <w:tcBorders>
              <w:top w:val="nil"/>
              <w:left w:val="nil"/>
              <w:bottom w:val="single" w:sz="4" w:space="0" w:color="auto"/>
              <w:right w:val="single" w:sz="4" w:space="0" w:color="auto"/>
            </w:tcBorders>
            <w:shd w:val="clear" w:color="000000" w:fill="FFFFFF"/>
            <w:noWrap/>
            <w:vAlign w:val="bottom"/>
            <w:hideMark/>
          </w:tcPr>
          <w:p w14:paraId="7611E31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101.000,00</w:t>
            </w:r>
          </w:p>
        </w:tc>
        <w:tc>
          <w:tcPr>
            <w:tcW w:w="1123" w:type="dxa"/>
            <w:tcBorders>
              <w:top w:val="nil"/>
              <w:left w:val="nil"/>
              <w:bottom w:val="single" w:sz="4" w:space="0" w:color="auto"/>
              <w:right w:val="single" w:sz="4" w:space="0" w:color="auto"/>
            </w:tcBorders>
            <w:shd w:val="clear" w:color="000000" w:fill="FFFFFF"/>
            <w:noWrap/>
            <w:vAlign w:val="bottom"/>
            <w:hideMark/>
          </w:tcPr>
          <w:p w14:paraId="27427DF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119.000,00</w:t>
            </w:r>
          </w:p>
        </w:tc>
        <w:tc>
          <w:tcPr>
            <w:tcW w:w="1123" w:type="dxa"/>
            <w:tcBorders>
              <w:top w:val="nil"/>
              <w:left w:val="nil"/>
              <w:bottom w:val="single" w:sz="4" w:space="0" w:color="auto"/>
              <w:right w:val="single" w:sz="4" w:space="0" w:color="auto"/>
            </w:tcBorders>
            <w:shd w:val="clear" w:color="000000" w:fill="FFFFFF"/>
            <w:noWrap/>
            <w:vAlign w:val="bottom"/>
            <w:hideMark/>
          </w:tcPr>
          <w:p w14:paraId="3CE8446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117,82</w:t>
            </w:r>
          </w:p>
        </w:tc>
        <w:tc>
          <w:tcPr>
            <w:tcW w:w="1240" w:type="dxa"/>
            <w:tcBorders>
              <w:top w:val="nil"/>
              <w:left w:val="nil"/>
              <w:bottom w:val="single" w:sz="4" w:space="0" w:color="auto"/>
              <w:right w:val="single" w:sz="4" w:space="0" w:color="auto"/>
            </w:tcBorders>
            <w:shd w:val="clear" w:color="000000" w:fill="FFFFFF"/>
            <w:noWrap/>
            <w:vAlign w:val="bottom"/>
            <w:hideMark/>
          </w:tcPr>
          <w:p w14:paraId="3595EA8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220.000,00</w:t>
            </w:r>
          </w:p>
        </w:tc>
      </w:tr>
      <w:tr w:rsidR="00BC7E60" w:rsidRPr="00497178" w14:paraId="033C914B"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E1F1B6C"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A500003 Socijalna zaštita obitelji</w:t>
            </w:r>
          </w:p>
        </w:tc>
        <w:tc>
          <w:tcPr>
            <w:tcW w:w="1307" w:type="dxa"/>
            <w:tcBorders>
              <w:top w:val="nil"/>
              <w:left w:val="nil"/>
              <w:bottom w:val="single" w:sz="4" w:space="0" w:color="auto"/>
              <w:right w:val="single" w:sz="4" w:space="0" w:color="auto"/>
            </w:tcBorders>
            <w:shd w:val="clear" w:color="000000" w:fill="FFFFFF"/>
            <w:noWrap/>
            <w:vAlign w:val="bottom"/>
            <w:hideMark/>
          </w:tcPr>
          <w:p w14:paraId="6A6BF00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114.000,00</w:t>
            </w:r>
          </w:p>
        </w:tc>
        <w:tc>
          <w:tcPr>
            <w:tcW w:w="1123" w:type="dxa"/>
            <w:tcBorders>
              <w:top w:val="nil"/>
              <w:left w:val="nil"/>
              <w:bottom w:val="single" w:sz="4" w:space="0" w:color="auto"/>
              <w:right w:val="single" w:sz="4" w:space="0" w:color="auto"/>
            </w:tcBorders>
            <w:shd w:val="clear" w:color="000000" w:fill="FFFFFF"/>
            <w:noWrap/>
            <w:vAlign w:val="bottom"/>
            <w:hideMark/>
          </w:tcPr>
          <w:p w14:paraId="49E4F93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7.000,00</w:t>
            </w:r>
          </w:p>
        </w:tc>
        <w:tc>
          <w:tcPr>
            <w:tcW w:w="1123" w:type="dxa"/>
            <w:tcBorders>
              <w:top w:val="nil"/>
              <w:left w:val="nil"/>
              <w:bottom w:val="single" w:sz="4" w:space="0" w:color="auto"/>
              <w:right w:val="single" w:sz="4" w:space="0" w:color="auto"/>
            </w:tcBorders>
            <w:shd w:val="clear" w:color="000000" w:fill="FFFFFF"/>
            <w:noWrap/>
            <w:vAlign w:val="bottom"/>
            <w:hideMark/>
          </w:tcPr>
          <w:p w14:paraId="703897C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6,14</w:t>
            </w:r>
          </w:p>
        </w:tc>
        <w:tc>
          <w:tcPr>
            <w:tcW w:w="1240" w:type="dxa"/>
            <w:tcBorders>
              <w:top w:val="nil"/>
              <w:left w:val="nil"/>
              <w:bottom w:val="single" w:sz="4" w:space="0" w:color="auto"/>
              <w:right w:val="single" w:sz="4" w:space="0" w:color="auto"/>
            </w:tcBorders>
            <w:shd w:val="clear" w:color="000000" w:fill="FFFFFF"/>
            <w:noWrap/>
            <w:vAlign w:val="bottom"/>
            <w:hideMark/>
          </w:tcPr>
          <w:p w14:paraId="46248CD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121.000,00</w:t>
            </w:r>
          </w:p>
        </w:tc>
      </w:tr>
      <w:tr w:rsidR="00BC7E60" w:rsidRPr="00497178" w14:paraId="243ACDBD"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59E94A8"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A500004 Socijalna zaštita osoba s invaliditetom</w:t>
            </w:r>
          </w:p>
        </w:tc>
        <w:tc>
          <w:tcPr>
            <w:tcW w:w="1307" w:type="dxa"/>
            <w:tcBorders>
              <w:top w:val="nil"/>
              <w:left w:val="nil"/>
              <w:bottom w:val="single" w:sz="4" w:space="0" w:color="auto"/>
              <w:right w:val="single" w:sz="4" w:space="0" w:color="auto"/>
            </w:tcBorders>
            <w:shd w:val="clear" w:color="000000" w:fill="FFFFFF"/>
            <w:noWrap/>
            <w:vAlign w:val="bottom"/>
            <w:hideMark/>
          </w:tcPr>
          <w:p w14:paraId="6FB9C38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14.265,00</w:t>
            </w:r>
          </w:p>
        </w:tc>
        <w:tc>
          <w:tcPr>
            <w:tcW w:w="1123" w:type="dxa"/>
            <w:tcBorders>
              <w:top w:val="nil"/>
              <w:left w:val="nil"/>
              <w:bottom w:val="single" w:sz="4" w:space="0" w:color="auto"/>
              <w:right w:val="single" w:sz="4" w:space="0" w:color="auto"/>
            </w:tcBorders>
            <w:shd w:val="clear" w:color="000000" w:fill="FFFFFF"/>
            <w:noWrap/>
            <w:vAlign w:val="bottom"/>
            <w:hideMark/>
          </w:tcPr>
          <w:p w14:paraId="448F025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3D5A680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5056926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14.265,00</w:t>
            </w:r>
          </w:p>
        </w:tc>
      </w:tr>
      <w:tr w:rsidR="00BC7E60" w:rsidRPr="00497178" w14:paraId="036886A8"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EF3831B"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A500006 Humanitarne akcije</w:t>
            </w:r>
          </w:p>
        </w:tc>
        <w:tc>
          <w:tcPr>
            <w:tcW w:w="1307" w:type="dxa"/>
            <w:tcBorders>
              <w:top w:val="nil"/>
              <w:left w:val="nil"/>
              <w:bottom w:val="single" w:sz="4" w:space="0" w:color="auto"/>
              <w:right w:val="single" w:sz="4" w:space="0" w:color="auto"/>
            </w:tcBorders>
            <w:shd w:val="clear" w:color="000000" w:fill="FFFFFF"/>
            <w:noWrap/>
            <w:vAlign w:val="bottom"/>
            <w:hideMark/>
          </w:tcPr>
          <w:p w14:paraId="5EF98C8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2.000,00</w:t>
            </w:r>
          </w:p>
        </w:tc>
        <w:tc>
          <w:tcPr>
            <w:tcW w:w="1123" w:type="dxa"/>
            <w:tcBorders>
              <w:top w:val="nil"/>
              <w:left w:val="nil"/>
              <w:bottom w:val="single" w:sz="4" w:space="0" w:color="auto"/>
              <w:right w:val="single" w:sz="4" w:space="0" w:color="auto"/>
            </w:tcBorders>
            <w:shd w:val="clear" w:color="000000" w:fill="FFFFFF"/>
            <w:noWrap/>
            <w:vAlign w:val="bottom"/>
            <w:hideMark/>
          </w:tcPr>
          <w:p w14:paraId="269122A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28EA89E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8B92FB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2.000,00</w:t>
            </w:r>
          </w:p>
        </w:tc>
      </w:tr>
      <w:tr w:rsidR="00BC7E60" w:rsidRPr="00497178" w14:paraId="693A7EB3"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C028238"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A500007 Socijalna zaštita obitelji u nužnom smještaju</w:t>
            </w:r>
          </w:p>
        </w:tc>
        <w:tc>
          <w:tcPr>
            <w:tcW w:w="1307" w:type="dxa"/>
            <w:tcBorders>
              <w:top w:val="nil"/>
              <w:left w:val="nil"/>
              <w:bottom w:val="single" w:sz="4" w:space="0" w:color="auto"/>
              <w:right w:val="single" w:sz="4" w:space="0" w:color="auto"/>
            </w:tcBorders>
            <w:shd w:val="clear" w:color="000000" w:fill="FFFFFF"/>
            <w:noWrap/>
            <w:vAlign w:val="bottom"/>
            <w:hideMark/>
          </w:tcPr>
          <w:p w14:paraId="674A781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19.000,00</w:t>
            </w:r>
          </w:p>
        </w:tc>
        <w:tc>
          <w:tcPr>
            <w:tcW w:w="1123" w:type="dxa"/>
            <w:tcBorders>
              <w:top w:val="nil"/>
              <w:left w:val="nil"/>
              <w:bottom w:val="single" w:sz="4" w:space="0" w:color="auto"/>
              <w:right w:val="single" w:sz="4" w:space="0" w:color="auto"/>
            </w:tcBorders>
            <w:shd w:val="clear" w:color="000000" w:fill="FFFFFF"/>
            <w:noWrap/>
            <w:vAlign w:val="bottom"/>
            <w:hideMark/>
          </w:tcPr>
          <w:p w14:paraId="2EEE94E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11D232E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7F6FC5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19.000,00</w:t>
            </w:r>
          </w:p>
        </w:tc>
      </w:tr>
      <w:tr w:rsidR="00BC7E60" w:rsidRPr="00497178" w14:paraId="37F7DA1C"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41B799D"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Aktivnost A500008 Programi udruga i ustanova u području </w:t>
            </w:r>
            <w:proofErr w:type="spellStart"/>
            <w:r w:rsidRPr="00497178">
              <w:rPr>
                <w:rFonts w:ascii="Arial" w:hAnsi="Arial" w:cs="Arial"/>
                <w:sz w:val="16"/>
                <w:szCs w:val="16"/>
              </w:rPr>
              <w:t>soc.skrbi</w:t>
            </w:r>
            <w:proofErr w:type="spellEnd"/>
          </w:p>
        </w:tc>
        <w:tc>
          <w:tcPr>
            <w:tcW w:w="1307" w:type="dxa"/>
            <w:tcBorders>
              <w:top w:val="nil"/>
              <w:left w:val="nil"/>
              <w:bottom w:val="single" w:sz="4" w:space="0" w:color="auto"/>
              <w:right w:val="single" w:sz="4" w:space="0" w:color="auto"/>
            </w:tcBorders>
            <w:shd w:val="clear" w:color="000000" w:fill="FFFFFF"/>
            <w:noWrap/>
            <w:vAlign w:val="bottom"/>
            <w:hideMark/>
          </w:tcPr>
          <w:p w14:paraId="2D1534A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131.650,00</w:t>
            </w:r>
          </w:p>
        </w:tc>
        <w:tc>
          <w:tcPr>
            <w:tcW w:w="1123" w:type="dxa"/>
            <w:tcBorders>
              <w:top w:val="nil"/>
              <w:left w:val="nil"/>
              <w:bottom w:val="single" w:sz="4" w:space="0" w:color="auto"/>
              <w:right w:val="single" w:sz="4" w:space="0" w:color="auto"/>
            </w:tcBorders>
            <w:shd w:val="clear" w:color="000000" w:fill="FFFFFF"/>
            <w:noWrap/>
            <w:vAlign w:val="bottom"/>
            <w:hideMark/>
          </w:tcPr>
          <w:p w14:paraId="2192DD5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24.100,00</w:t>
            </w:r>
          </w:p>
        </w:tc>
        <w:tc>
          <w:tcPr>
            <w:tcW w:w="1123" w:type="dxa"/>
            <w:tcBorders>
              <w:top w:val="nil"/>
              <w:left w:val="nil"/>
              <w:bottom w:val="single" w:sz="4" w:space="0" w:color="auto"/>
              <w:right w:val="single" w:sz="4" w:space="0" w:color="auto"/>
            </w:tcBorders>
            <w:shd w:val="clear" w:color="000000" w:fill="FFFFFF"/>
            <w:noWrap/>
            <w:vAlign w:val="bottom"/>
            <w:hideMark/>
          </w:tcPr>
          <w:p w14:paraId="1A421C3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18,31</w:t>
            </w:r>
          </w:p>
        </w:tc>
        <w:tc>
          <w:tcPr>
            <w:tcW w:w="1240" w:type="dxa"/>
            <w:tcBorders>
              <w:top w:val="nil"/>
              <w:left w:val="nil"/>
              <w:bottom w:val="single" w:sz="4" w:space="0" w:color="auto"/>
              <w:right w:val="single" w:sz="4" w:space="0" w:color="auto"/>
            </w:tcBorders>
            <w:shd w:val="clear" w:color="000000" w:fill="FFFFFF"/>
            <w:noWrap/>
            <w:vAlign w:val="bottom"/>
            <w:hideMark/>
          </w:tcPr>
          <w:p w14:paraId="75401F2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155.750,00</w:t>
            </w:r>
          </w:p>
        </w:tc>
      </w:tr>
      <w:tr w:rsidR="00BC7E60" w:rsidRPr="00497178" w14:paraId="620C1DFD"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3A772DD4"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5008 Zdravstvo</w:t>
            </w:r>
          </w:p>
        </w:tc>
        <w:tc>
          <w:tcPr>
            <w:tcW w:w="1307" w:type="dxa"/>
            <w:tcBorders>
              <w:top w:val="nil"/>
              <w:left w:val="nil"/>
              <w:bottom w:val="single" w:sz="4" w:space="0" w:color="auto"/>
              <w:right w:val="single" w:sz="4" w:space="0" w:color="auto"/>
            </w:tcBorders>
            <w:shd w:val="clear" w:color="000000" w:fill="FFFFFF"/>
            <w:noWrap/>
            <w:vAlign w:val="bottom"/>
            <w:hideMark/>
          </w:tcPr>
          <w:p w14:paraId="0925E6B3"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120.800,00</w:t>
            </w:r>
          </w:p>
        </w:tc>
        <w:tc>
          <w:tcPr>
            <w:tcW w:w="1123" w:type="dxa"/>
            <w:tcBorders>
              <w:top w:val="nil"/>
              <w:left w:val="nil"/>
              <w:bottom w:val="single" w:sz="4" w:space="0" w:color="auto"/>
              <w:right w:val="single" w:sz="4" w:space="0" w:color="auto"/>
            </w:tcBorders>
            <w:shd w:val="clear" w:color="000000" w:fill="FFFFFF"/>
            <w:noWrap/>
            <w:vAlign w:val="bottom"/>
            <w:hideMark/>
          </w:tcPr>
          <w:p w14:paraId="0E101BD9"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43.548,00</w:t>
            </w:r>
          </w:p>
        </w:tc>
        <w:tc>
          <w:tcPr>
            <w:tcW w:w="1123" w:type="dxa"/>
            <w:tcBorders>
              <w:top w:val="nil"/>
              <w:left w:val="nil"/>
              <w:bottom w:val="single" w:sz="4" w:space="0" w:color="auto"/>
              <w:right w:val="single" w:sz="4" w:space="0" w:color="auto"/>
            </w:tcBorders>
            <w:shd w:val="clear" w:color="000000" w:fill="FFFFFF"/>
            <w:noWrap/>
            <w:vAlign w:val="bottom"/>
            <w:hideMark/>
          </w:tcPr>
          <w:p w14:paraId="1B091DDD"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36,05</w:t>
            </w:r>
          </w:p>
        </w:tc>
        <w:tc>
          <w:tcPr>
            <w:tcW w:w="1240" w:type="dxa"/>
            <w:tcBorders>
              <w:top w:val="nil"/>
              <w:left w:val="nil"/>
              <w:bottom w:val="single" w:sz="4" w:space="0" w:color="auto"/>
              <w:right w:val="single" w:sz="4" w:space="0" w:color="auto"/>
            </w:tcBorders>
            <w:shd w:val="clear" w:color="000000" w:fill="FFFFFF"/>
            <w:noWrap/>
            <w:vAlign w:val="bottom"/>
            <w:hideMark/>
          </w:tcPr>
          <w:p w14:paraId="47CB6C72"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164.348,00</w:t>
            </w:r>
          </w:p>
        </w:tc>
      </w:tr>
      <w:tr w:rsidR="00BC7E60" w:rsidRPr="00497178" w14:paraId="4D943641"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5E7652E"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A500001 Hitna medicinska pomoć</w:t>
            </w:r>
          </w:p>
        </w:tc>
        <w:tc>
          <w:tcPr>
            <w:tcW w:w="1307" w:type="dxa"/>
            <w:tcBorders>
              <w:top w:val="nil"/>
              <w:left w:val="nil"/>
              <w:bottom w:val="single" w:sz="4" w:space="0" w:color="auto"/>
              <w:right w:val="single" w:sz="4" w:space="0" w:color="auto"/>
            </w:tcBorders>
            <w:shd w:val="clear" w:color="000000" w:fill="FFFFFF"/>
            <w:noWrap/>
            <w:vAlign w:val="bottom"/>
            <w:hideMark/>
          </w:tcPr>
          <w:p w14:paraId="1921494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92.800,00</w:t>
            </w:r>
          </w:p>
        </w:tc>
        <w:tc>
          <w:tcPr>
            <w:tcW w:w="1123" w:type="dxa"/>
            <w:tcBorders>
              <w:top w:val="nil"/>
              <w:left w:val="nil"/>
              <w:bottom w:val="single" w:sz="4" w:space="0" w:color="auto"/>
              <w:right w:val="single" w:sz="4" w:space="0" w:color="auto"/>
            </w:tcBorders>
            <w:shd w:val="clear" w:color="000000" w:fill="FFFFFF"/>
            <w:noWrap/>
            <w:vAlign w:val="bottom"/>
            <w:hideMark/>
          </w:tcPr>
          <w:p w14:paraId="2D0467F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1D15DD7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ADD79B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92.800,00</w:t>
            </w:r>
          </w:p>
        </w:tc>
      </w:tr>
      <w:tr w:rsidR="00BC7E60" w:rsidRPr="00497178" w14:paraId="1DBCA26C"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9F23959"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A500008 Prevencija bolesti i promocija zdravlja</w:t>
            </w:r>
          </w:p>
        </w:tc>
        <w:tc>
          <w:tcPr>
            <w:tcW w:w="1307" w:type="dxa"/>
            <w:tcBorders>
              <w:top w:val="nil"/>
              <w:left w:val="nil"/>
              <w:bottom w:val="single" w:sz="4" w:space="0" w:color="auto"/>
              <w:right w:val="single" w:sz="4" w:space="0" w:color="auto"/>
            </w:tcBorders>
            <w:shd w:val="clear" w:color="000000" w:fill="FFFFFF"/>
            <w:noWrap/>
            <w:vAlign w:val="bottom"/>
            <w:hideMark/>
          </w:tcPr>
          <w:p w14:paraId="6C8EEE1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28.000,00</w:t>
            </w:r>
          </w:p>
        </w:tc>
        <w:tc>
          <w:tcPr>
            <w:tcW w:w="1123" w:type="dxa"/>
            <w:tcBorders>
              <w:top w:val="nil"/>
              <w:left w:val="nil"/>
              <w:bottom w:val="single" w:sz="4" w:space="0" w:color="auto"/>
              <w:right w:val="single" w:sz="4" w:space="0" w:color="auto"/>
            </w:tcBorders>
            <w:shd w:val="clear" w:color="000000" w:fill="FFFFFF"/>
            <w:noWrap/>
            <w:vAlign w:val="bottom"/>
            <w:hideMark/>
          </w:tcPr>
          <w:p w14:paraId="4250AB4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43.548,00</w:t>
            </w:r>
          </w:p>
        </w:tc>
        <w:tc>
          <w:tcPr>
            <w:tcW w:w="1123" w:type="dxa"/>
            <w:tcBorders>
              <w:top w:val="nil"/>
              <w:left w:val="nil"/>
              <w:bottom w:val="single" w:sz="4" w:space="0" w:color="auto"/>
              <w:right w:val="single" w:sz="4" w:space="0" w:color="auto"/>
            </w:tcBorders>
            <w:shd w:val="clear" w:color="000000" w:fill="FFFFFF"/>
            <w:noWrap/>
            <w:vAlign w:val="bottom"/>
            <w:hideMark/>
          </w:tcPr>
          <w:p w14:paraId="2BC7317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155,53</w:t>
            </w:r>
          </w:p>
        </w:tc>
        <w:tc>
          <w:tcPr>
            <w:tcW w:w="1240" w:type="dxa"/>
            <w:tcBorders>
              <w:top w:val="nil"/>
              <w:left w:val="nil"/>
              <w:bottom w:val="single" w:sz="4" w:space="0" w:color="auto"/>
              <w:right w:val="single" w:sz="4" w:space="0" w:color="auto"/>
            </w:tcBorders>
            <w:shd w:val="clear" w:color="000000" w:fill="FFFFFF"/>
            <w:noWrap/>
            <w:vAlign w:val="bottom"/>
            <w:hideMark/>
          </w:tcPr>
          <w:p w14:paraId="13C23D7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71.548,00</w:t>
            </w:r>
          </w:p>
        </w:tc>
      </w:tr>
      <w:tr w:rsidR="00BC7E60" w:rsidRPr="00497178" w14:paraId="5E235369"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8AFD8CE"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5009 Razvoj civilnog društva</w:t>
            </w:r>
          </w:p>
        </w:tc>
        <w:tc>
          <w:tcPr>
            <w:tcW w:w="1307" w:type="dxa"/>
            <w:tcBorders>
              <w:top w:val="nil"/>
              <w:left w:val="nil"/>
              <w:bottom w:val="single" w:sz="4" w:space="0" w:color="auto"/>
              <w:right w:val="single" w:sz="4" w:space="0" w:color="auto"/>
            </w:tcBorders>
            <w:shd w:val="clear" w:color="000000" w:fill="FFFFFF"/>
            <w:noWrap/>
            <w:vAlign w:val="bottom"/>
            <w:hideMark/>
          </w:tcPr>
          <w:p w14:paraId="3D1D534B"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25.000,00</w:t>
            </w:r>
          </w:p>
        </w:tc>
        <w:tc>
          <w:tcPr>
            <w:tcW w:w="1123" w:type="dxa"/>
            <w:tcBorders>
              <w:top w:val="nil"/>
              <w:left w:val="nil"/>
              <w:bottom w:val="single" w:sz="4" w:space="0" w:color="auto"/>
              <w:right w:val="single" w:sz="4" w:space="0" w:color="auto"/>
            </w:tcBorders>
            <w:shd w:val="clear" w:color="000000" w:fill="FFFFFF"/>
            <w:noWrap/>
            <w:vAlign w:val="bottom"/>
            <w:hideMark/>
          </w:tcPr>
          <w:p w14:paraId="291132C6"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13D59732"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41614A9"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25.000,00</w:t>
            </w:r>
          </w:p>
        </w:tc>
      </w:tr>
      <w:tr w:rsidR="00BC7E60" w:rsidRPr="00497178" w14:paraId="733319A1"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C43CFF2"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A500001 Financiranje udruga građana</w:t>
            </w:r>
          </w:p>
        </w:tc>
        <w:tc>
          <w:tcPr>
            <w:tcW w:w="1307" w:type="dxa"/>
            <w:tcBorders>
              <w:top w:val="nil"/>
              <w:left w:val="nil"/>
              <w:bottom w:val="single" w:sz="4" w:space="0" w:color="auto"/>
              <w:right w:val="single" w:sz="4" w:space="0" w:color="auto"/>
            </w:tcBorders>
            <w:shd w:val="clear" w:color="000000" w:fill="FFFFFF"/>
            <w:noWrap/>
            <w:vAlign w:val="bottom"/>
            <w:hideMark/>
          </w:tcPr>
          <w:p w14:paraId="208D208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25.000,00</w:t>
            </w:r>
          </w:p>
        </w:tc>
        <w:tc>
          <w:tcPr>
            <w:tcW w:w="1123" w:type="dxa"/>
            <w:tcBorders>
              <w:top w:val="nil"/>
              <w:left w:val="nil"/>
              <w:bottom w:val="single" w:sz="4" w:space="0" w:color="auto"/>
              <w:right w:val="single" w:sz="4" w:space="0" w:color="auto"/>
            </w:tcBorders>
            <w:shd w:val="clear" w:color="000000" w:fill="FFFFFF"/>
            <w:noWrap/>
            <w:vAlign w:val="bottom"/>
            <w:hideMark/>
          </w:tcPr>
          <w:p w14:paraId="6124A11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55440FD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2F1FD4C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25.000,00</w:t>
            </w:r>
          </w:p>
        </w:tc>
      </w:tr>
      <w:tr w:rsidR="00BC7E60" w:rsidRPr="00497178" w14:paraId="33EE63C8"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A6B23F0"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5010 Preventivni programi i aktivnosti</w:t>
            </w:r>
          </w:p>
        </w:tc>
        <w:tc>
          <w:tcPr>
            <w:tcW w:w="1307" w:type="dxa"/>
            <w:tcBorders>
              <w:top w:val="nil"/>
              <w:left w:val="nil"/>
              <w:bottom w:val="single" w:sz="4" w:space="0" w:color="auto"/>
              <w:right w:val="single" w:sz="4" w:space="0" w:color="auto"/>
            </w:tcBorders>
            <w:shd w:val="clear" w:color="000000" w:fill="FFFFFF"/>
            <w:noWrap/>
            <w:vAlign w:val="bottom"/>
            <w:hideMark/>
          </w:tcPr>
          <w:p w14:paraId="4B4E57C6"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45.000,00</w:t>
            </w:r>
          </w:p>
        </w:tc>
        <w:tc>
          <w:tcPr>
            <w:tcW w:w="1123" w:type="dxa"/>
            <w:tcBorders>
              <w:top w:val="nil"/>
              <w:left w:val="nil"/>
              <w:bottom w:val="single" w:sz="4" w:space="0" w:color="auto"/>
              <w:right w:val="single" w:sz="4" w:space="0" w:color="auto"/>
            </w:tcBorders>
            <w:shd w:val="clear" w:color="000000" w:fill="FFFFFF"/>
            <w:noWrap/>
            <w:vAlign w:val="bottom"/>
            <w:hideMark/>
          </w:tcPr>
          <w:p w14:paraId="178A1981"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12.470,00</w:t>
            </w:r>
          </w:p>
        </w:tc>
        <w:tc>
          <w:tcPr>
            <w:tcW w:w="1123" w:type="dxa"/>
            <w:tcBorders>
              <w:top w:val="nil"/>
              <w:left w:val="nil"/>
              <w:bottom w:val="single" w:sz="4" w:space="0" w:color="auto"/>
              <w:right w:val="single" w:sz="4" w:space="0" w:color="auto"/>
            </w:tcBorders>
            <w:shd w:val="clear" w:color="000000" w:fill="FFFFFF"/>
            <w:noWrap/>
            <w:vAlign w:val="bottom"/>
            <w:hideMark/>
          </w:tcPr>
          <w:p w14:paraId="280123C9"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27,71</w:t>
            </w:r>
          </w:p>
        </w:tc>
        <w:tc>
          <w:tcPr>
            <w:tcW w:w="1240" w:type="dxa"/>
            <w:tcBorders>
              <w:top w:val="nil"/>
              <w:left w:val="nil"/>
              <w:bottom w:val="single" w:sz="4" w:space="0" w:color="auto"/>
              <w:right w:val="single" w:sz="4" w:space="0" w:color="auto"/>
            </w:tcBorders>
            <w:shd w:val="clear" w:color="000000" w:fill="FFFFFF"/>
            <w:noWrap/>
            <w:vAlign w:val="bottom"/>
            <w:hideMark/>
          </w:tcPr>
          <w:p w14:paraId="4EC69928"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57.470,00</w:t>
            </w:r>
          </w:p>
        </w:tc>
      </w:tr>
      <w:tr w:rsidR="00BC7E60" w:rsidRPr="00497178" w14:paraId="72F3D2C0"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B76B7BC"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A500001 Grad Prijatelj djece</w:t>
            </w:r>
          </w:p>
        </w:tc>
        <w:tc>
          <w:tcPr>
            <w:tcW w:w="1307" w:type="dxa"/>
            <w:tcBorders>
              <w:top w:val="nil"/>
              <w:left w:val="nil"/>
              <w:bottom w:val="single" w:sz="4" w:space="0" w:color="auto"/>
              <w:right w:val="single" w:sz="4" w:space="0" w:color="auto"/>
            </w:tcBorders>
            <w:shd w:val="clear" w:color="000000" w:fill="FFFFFF"/>
            <w:noWrap/>
            <w:vAlign w:val="bottom"/>
            <w:hideMark/>
          </w:tcPr>
          <w:p w14:paraId="74739D7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500,00</w:t>
            </w:r>
          </w:p>
        </w:tc>
        <w:tc>
          <w:tcPr>
            <w:tcW w:w="1123" w:type="dxa"/>
            <w:tcBorders>
              <w:top w:val="nil"/>
              <w:left w:val="nil"/>
              <w:bottom w:val="single" w:sz="4" w:space="0" w:color="auto"/>
              <w:right w:val="single" w:sz="4" w:space="0" w:color="auto"/>
            </w:tcBorders>
            <w:shd w:val="clear" w:color="000000" w:fill="FFFFFF"/>
            <w:noWrap/>
            <w:vAlign w:val="bottom"/>
            <w:hideMark/>
          </w:tcPr>
          <w:p w14:paraId="126C7C8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1.200,00</w:t>
            </w:r>
          </w:p>
        </w:tc>
        <w:tc>
          <w:tcPr>
            <w:tcW w:w="1123" w:type="dxa"/>
            <w:tcBorders>
              <w:top w:val="nil"/>
              <w:left w:val="nil"/>
              <w:bottom w:val="single" w:sz="4" w:space="0" w:color="auto"/>
              <w:right w:val="single" w:sz="4" w:space="0" w:color="auto"/>
            </w:tcBorders>
            <w:shd w:val="clear" w:color="000000" w:fill="FFFFFF"/>
            <w:noWrap/>
            <w:vAlign w:val="bottom"/>
            <w:hideMark/>
          </w:tcPr>
          <w:p w14:paraId="66F1230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240,00</w:t>
            </w:r>
          </w:p>
        </w:tc>
        <w:tc>
          <w:tcPr>
            <w:tcW w:w="1240" w:type="dxa"/>
            <w:tcBorders>
              <w:top w:val="nil"/>
              <w:left w:val="nil"/>
              <w:bottom w:val="single" w:sz="4" w:space="0" w:color="auto"/>
              <w:right w:val="single" w:sz="4" w:space="0" w:color="auto"/>
            </w:tcBorders>
            <w:shd w:val="clear" w:color="000000" w:fill="FFFFFF"/>
            <w:noWrap/>
            <w:vAlign w:val="bottom"/>
            <w:hideMark/>
          </w:tcPr>
          <w:p w14:paraId="4BD985E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1.700,00</w:t>
            </w:r>
          </w:p>
        </w:tc>
      </w:tr>
      <w:tr w:rsidR="00BC7E60" w:rsidRPr="00497178" w14:paraId="5730E783"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EE9010B"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A500002 Dani dječje radosti</w:t>
            </w:r>
          </w:p>
        </w:tc>
        <w:tc>
          <w:tcPr>
            <w:tcW w:w="1307" w:type="dxa"/>
            <w:tcBorders>
              <w:top w:val="nil"/>
              <w:left w:val="nil"/>
              <w:bottom w:val="single" w:sz="4" w:space="0" w:color="auto"/>
              <w:right w:val="single" w:sz="4" w:space="0" w:color="auto"/>
            </w:tcBorders>
            <w:shd w:val="clear" w:color="000000" w:fill="FFFFFF"/>
            <w:noWrap/>
            <w:vAlign w:val="bottom"/>
            <w:hideMark/>
          </w:tcPr>
          <w:p w14:paraId="1BD9CF0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12.000,00</w:t>
            </w:r>
          </w:p>
        </w:tc>
        <w:tc>
          <w:tcPr>
            <w:tcW w:w="1123" w:type="dxa"/>
            <w:tcBorders>
              <w:top w:val="nil"/>
              <w:left w:val="nil"/>
              <w:bottom w:val="single" w:sz="4" w:space="0" w:color="auto"/>
              <w:right w:val="single" w:sz="4" w:space="0" w:color="auto"/>
            </w:tcBorders>
            <w:shd w:val="clear" w:color="000000" w:fill="FFFFFF"/>
            <w:noWrap/>
            <w:vAlign w:val="bottom"/>
            <w:hideMark/>
          </w:tcPr>
          <w:p w14:paraId="0DE8E73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3AFAD30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37E167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12.000,00</w:t>
            </w:r>
          </w:p>
        </w:tc>
      </w:tr>
      <w:tr w:rsidR="00BC7E60" w:rsidRPr="00497178" w14:paraId="01C607A2"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A2E7857"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A500003 Aktivnosti Zdravog grada</w:t>
            </w:r>
          </w:p>
        </w:tc>
        <w:tc>
          <w:tcPr>
            <w:tcW w:w="1307" w:type="dxa"/>
            <w:tcBorders>
              <w:top w:val="nil"/>
              <w:left w:val="nil"/>
              <w:bottom w:val="single" w:sz="4" w:space="0" w:color="auto"/>
              <w:right w:val="single" w:sz="4" w:space="0" w:color="auto"/>
            </w:tcBorders>
            <w:shd w:val="clear" w:color="000000" w:fill="FFFFFF"/>
            <w:noWrap/>
            <w:vAlign w:val="bottom"/>
            <w:hideMark/>
          </w:tcPr>
          <w:p w14:paraId="33CB5CB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32.500,00</w:t>
            </w:r>
          </w:p>
        </w:tc>
        <w:tc>
          <w:tcPr>
            <w:tcW w:w="1123" w:type="dxa"/>
            <w:tcBorders>
              <w:top w:val="nil"/>
              <w:left w:val="nil"/>
              <w:bottom w:val="single" w:sz="4" w:space="0" w:color="auto"/>
              <w:right w:val="single" w:sz="4" w:space="0" w:color="auto"/>
            </w:tcBorders>
            <w:shd w:val="clear" w:color="000000" w:fill="FFFFFF"/>
            <w:noWrap/>
            <w:vAlign w:val="bottom"/>
            <w:hideMark/>
          </w:tcPr>
          <w:p w14:paraId="1BB10B1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11.270,00</w:t>
            </w:r>
          </w:p>
        </w:tc>
        <w:tc>
          <w:tcPr>
            <w:tcW w:w="1123" w:type="dxa"/>
            <w:tcBorders>
              <w:top w:val="nil"/>
              <w:left w:val="nil"/>
              <w:bottom w:val="single" w:sz="4" w:space="0" w:color="auto"/>
              <w:right w:val="single" w:sz="4" w:space="0" w:color="auto"/>
            </w:tcBorders>
            <w:shd w:val="clear" w:color="000000" w:fill="FFFFFF"/>
            <w:noWrap/>
            <w:vAlign w:val="bottom"/>
            <w:hideMark/>
          </w:tcPr>
          <w:p w14:paraId="72040C3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34,68</w:t>
            </w:r>
          </w:p>
        </w:tc>
        <w:tc>
          <w:tcPr>
            <w:tcW w:w="1240" w:type="dxa"/>
            <w:tcBorders>
              <w:top w:val="nil"/>
              <w:left w:val="nil"/>
              <w:bottom w:val="single" w:sz="4" w:space="0" w:color="auto"/>
              <w:right w:val="single" w:sz="4" w:space="0" w:color="auto"/>
            </w:tcBorders>
            <w:shd w:val="clear" w:color="000000" w:fill="FFFFFF"/>
            <w:noWrap/>
            <w:vAlign w:val="bottom"/>
            <w:hideMark/>
          </w:tcPr>
          <w:p w14:paraId="205541B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43.770,00</w:t>
            </w:r>
          </w:p>
        </w:tc>
      </w:tr>
      <w:tr w:rsidR="00BC7E60" w:rsidRPr="00497178" w14:paraId="2D6744B6"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251F8DA5"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Glava 50002 PREDŠKOLSKI ODGOJ</w:t>
            </w:r>
          </w:p>
        </w:tc>
        <w:tc>
          <w:tcPr>
            <w:tcW w:w="1307" w:type="dxa"/>
            <w:tcBorders>
              <w:top w:val="nil"/>
              <w:left w:val="nil"/>
              <w:bottom w:val="single" w:sz="4" w:space="0" w:color="auto"/>
              <w:right w:val="single" w:sz="4" w:space="0" w:color="auto"/>
            </w:tcBorders>
            <w:shd w:val="clear" w:color="000000" w:fill="FFFFFF"/>
            <w:noWrap/>
            <w:vAlign w:val="bottom"/>
            <w:hideMark/>
          </w:tcPr>
          <w:p w14:paraId="4689CAD6"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3.593.217,00</w:t>
            </w:r>
          </w:p>
        </w:tc>
        <w:tc>
          <w:tcPr>
            <w:tcW w:w="1123" w:type="dxa"/>
            <w:tcBorders>
              <w:top w:val="nil"/>
              <w:left w:val="nil"/>
              <w:bottom w:val="single" w:sz="4" w:space="0" w:color="auto"/>
              <w:right w:val="single" w:sz="4" w:space="0" w:color="auto"/>
            </w:tcBorders>
            <w:shd w:val="clear" w:color="000000" w:fill="FFFFFF"/>
            <w:noWrap/>
            <w:vAlign w:val="bottom"/>
            <w:hideMark/>
          </w:tcPr>
          <w:p w14:paraId="2F3740B2"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150.305,00</w:t>
            </w:r>
          </w:p>
        </w:tc>
        <w:tc>
          <w:tcPr>
            <w:tcW w:w="1123" w:type="dxa"/>
            <w:tcBorders>
              <w:top w:val="nil"/>
              <w:left w:val="nil"/>
              <w:bottom w:val="single" w:sz="4" w:space="0" w:color="auto"/>
              <w:right w:val="single" w:sz="4" w:space="0" w:color="auto"/>
            </w:tcBorders>
            <w:shd w:val="clear" w:color="000000" w:fill="FFFFFF"/>
            <w:noWrap/>
            <w:vAlign w:val="bottom"/>
            <w:hideMark/>
          </w:tcPr>
          <w:p w14:paraId="75B9B50B"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4,18</w:t>
            </w:r>
          </w:p>
        </w:tc>
        <w:tc>
          <w:tcPr>
            <w:tcW w:w="1240" w:type="dxa"/>
            <w:tcBorders>
              <w:top w:val="nil"/>
              <w:left w:val="nil"/>
              <w:bottom w:val="single" w:sz="4" w:space="0" w:color="auto"/>
              <w:right w:val="single" w:sz="4" w:space="0" w:color="auto"/>
            </w:tcBorders>
            <w:shd w:val="clear" w:color="000000" w:fill="FFFFFF"/>
            <w:noWrap/>
            <w:vAlign w:val="bottom"/>
            <w:hideMark/>
          </w:tcPr>
          <w:p w14:paraId="706352AA"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3.743.522,00</w:t>
            </w:r>
          </w:p>
        </w:tc>
      </w:tr>
      <w:tr w:rsidR="00BC7E60" w:rsidRPr="00497178" w14:paraId="70245B38"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DC3C4D1"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Proračunski korisnik 35812 DJEČJI VRTIĆ PJERINA VERBANAC</w:t>
            </w:r>
          </w:p>
        </w:tc>
        <w:tc>
          <w:tcPr>
            <w:tcW w:w="1307" w:type="dxa"/>
            <w:tcBorders>
              <w:top w:val="nil"/>
              <w:left w:val="nil"/>
              <w:bottom w:val="single" w:sz="4" w:space="0" w:color="auto"/>
              <w:right w:val="single" w:sz="4" w:space="0" w:color="auto"/>
            </w:tcBorders>
            <w:shd w:val="clear" w:color="000000" w:fill="FFFFFF"/>
            <w:noWrap/>
            <w:vAlign w:val="bottom"/>
            <w:hideMark/>
          </w:tcPr>
          <w:p w14:paraId="0A6289CE"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3.593.217,00</w:t>
            </w:r>
          </w:p>
        </w:tc>
        <w:tc>
          <w:tcPr>
            <w:tcW w:w="1123" w:type="dxa"/>
            <w:tcBorders>
              <w:top w:val="nil"/>
              <w:left w:val="nil"/>
              <w:bottom w:val="single" w:sz="4" w:space="0" w:color="auto"/>
              <w:right w:val="single" w:sz="4" w:space="0" w:color="auto"/>
            </w:tcBorders>
            <w:shd w:val="clear" w:color="000000" w:fill="FFFFFF"/>
            <w:noWrap/>
            <w:vAlign w:val="bottom"/>
            <w:hideMark/>
          </w:tcPr>
          <w:p w14:paraId="014D4B54"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150.305,00</w:t>
            </w:r>
          </w:p>
        </w:tc>
        <w:tc>
          <w:tcPr>
            <w:tcW w:w="1123" w:type="dxa"/>
            <w:tcBorders>
              <w:top w:val="nil"/>
              <w:left w:val="nil"/>
              <w:bottom w:val="single" w:sz="4" w:space="0" w:color="auto"/>
              <w:right w:val="single" w:sz="4" w:space="0" w:color="auto"/>
            </w:tcBorders>
            <w:shd w:val="clear" w:color="000000" w:fill="FFFFFF"/>
            <w:noWrap/>
            <w:vAlign w:val="bottom"/>
            <w:hideMark/>
          </w:tcPr>
          <w:p w14:paraId="0D4F7E6E"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4,18</w:t>
            </w:r>
          </w:p>
        </w:tc>
        <w:tc>
          <w:tcPr>
            <w:tcW w:w="1240" w:type="dxa"/>
            <w:tcBorders>
              <w:top w:val="nil"/>
              <w:left w:val="nil"/>
              <w:bottom w:val="single" w:sz="4" w:space="0" w:color="auto"/>
              <w:right w:val="single" w:sz="4" w:space="0" w:color="auto"/>
            </w:tcBorders>
            <w:shd w:val="clear" w:color="000000" w:fill="FFFFFF"/>
            <w:noWrap/>
            <w:vAlign w:val="bottom"/>
            <w:hideMark/>
          </w:tcPr>
          <w:p w14:paraId="3DB1FC2F"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3.743.522,00</w:t>
            </w:r>
          </w:p>
        </w:tc>
      </w:tr>
      <w:tr w:rsidR="00BC7E60" w:rsidRPr="00497178" w14:paraId="15C96FAB"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3DCC6815"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5001 Predškolski odgoj</w:t>
            </w:r>
          </w:p>
        </w:tc>
        <w:tc>
          <w:tcPr>
            <w:tcW w:w="1307" w:type="dxa"/>
            <w:tcBorders>
              <w:top w:val="nil"/>
              <w:left w:val="nil"/>
              <w:bottom w:val="single" w:sz="4" w:space="0" w:color="auto"/>
              <w:right w:val="single" w:sz="4" w:space="0" w:color="auto"/>
            </w:tcBorders>
            <w:shd w:val="clear" w:color="000000" w:fill="FFFFFF"/>
            <w:noWrap/>
            <w:vAlign w:val="bottom"/>
            <w:hideMark/>
          </w:tcPr>
          <w:p w14:paraId="65C1C777"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3.593.217,00</w:t>
            </w:r>
          </w:p>
        </w:tc>
        <w:tc>
          <w:tcPr>
            <w:tcW w:w="1123" w:type="dxa"/>
            <w:tcBorders>
              <w:top w:val="nil"/>
              <w:left w:val="nil"/>
              <w:bottom w:val="single" w:sz="4" w:space="0" w:color="auto"/>
              <w:right w:val="single" w:sz="4" w:space="0" w:color="auto"/>
            </w:tcBorders>
            <w:shd w:val="clear" w:color="000000" w:fill="FFFFFF"/>
            <w:noWrap/>
            <w:vAlign w:val="bottom"/>
            <w:hideMark/>
          </w:tcPr>
          <w:p w14:paraId="560E1844"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150.305,00</w:t>
            </w:r>
          </w:p>
        </w:tc>
        <w:tc>
          <w:tcPr>
            <w:tcW w:w="1123" w:type="dxa"/>
            <w:tcBorders>
              <w:top w:val="nil"/>
              <w:left w:val="nil"/>
              <w:bottom w:val="single" w:sz="4" w:space="0" w:color="auto"/>
              <w:right w:val="single" w:sz="4" w:space="0" w:color="auto"/>
            </w:tcBorders>
            <w:shd w:val="clear" w:color="000000" w:fill="FFFFFF"/>
            <w:noWrap/>
            <w:vAlign w:val="bottom"/>
            <w:hideMark/>
          </w:tcPr>
          <w:p w14:paraId="75C5C217"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4,18</w:t>
            </w:r>
          </w:p>
        </w:tc>
        <w:tc>
          <w:tcPr>
            <w:tcW w:w="1240" w:type="dxa"/>
            <w:tcBorders>
              <w:top w:val="nil"/>
              <w:left w:val="nil"/>
              <w:bottom w:val="single" w:sz="4" w:space="0" w:color="auto"/>
              <w:right w:val="single" w:sz="4" w:space="0" w:color="auto"/>
            </w:tcBorders>
            <w:shd w:val="clear" w:color="000000" w:fill="FFFFFF"/>
            <w:noWrap/>
            <w:vAlign w:val="bottom"/>
            <w:hideMark/>
          </w:tcPr>
          <w:p w14:paraId="3EB3E0F2"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3.743.522,00</w:t>
            </w:r>
          </w:p>
        </w:tc>
      </w:tr>
      <w:tr w:rsidR="00BC7E60" w:rsidRPr="00497178" w14:paraId="44015342"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BCDBF19"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A500002 Odgojno, administrativno i tehničko osoblje</w:t>
            </w:r>
          </w:p>
        </w:tc>
        <w:tc>
          <w:tcPr>
            <w:tcW w:w="1307" w:type="dxa"/>
            <w:tcBorders>
              <w:top w:val="nil"/>
              <w:left w:val="nil"/>
              <w:bottom w:val="single" w:sz="4" w:space="0" w:color="auto"/>
              <w:right w:val="single" w:sz="4" w:space="0" w:color="auto"/>
            </w:tcBorders>
            <w:shd w:val="clear" w:color="000000" w:fill="FFFFFF"/>
            <w:noWrap/>
            <w:vAlign w:val="bottom"/>
            <w:hideMark/>
          </w:tcPr>
          <w:p w14:paraId="4F2902F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3.571.217,00</w:t>
            </w:r>
          </w:p>
        </w:tc>
        <w:tc>
          <w:tcPr>
            <w:tcW w:w="1123" w:type="dxa"/>
            <w:tcBorders>
              <w:top w:val="nil"/>
              <w:left w:val="nil"/>
              <w:bottom w:val="single" w:sz="4" w:space="0" w:color="auto"/>
              <w:right w:val="single" w:sz="4" w:space="0" w:color="auto"/>
            </w:tcBorders>
            <w:shd w:val="clear" w:color="000000" w:fill="FFFFFF"/>
            <w:noWrap/>
            <w:vAlign w:val="bottom"/>
            <w:hideMark/>
          </w:tcPr>
          <w:p w14:paraId="7363925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143.273,00</w:t>
            </w:r>
          </w:p>
        </w:tc>
        <w:tc>
          <w:tcPr>
            <w:tcW w:w="1123" w:type="dxa"/>
            <w:tcBorders>
              <w:top w:val="nil"/>
              <w:left w:val="nil"/>
              <w:bottom w:val="single" w:sz="4" w:space="0" w:color="auto"/>
              <w:right w:val="single" w:sz="4" w:space="0" w:color="auto"/>
            </w:tcBorders>
            <w:shd w:val="clear" w:color="000000" w:fill="FFFFFF"/>
            <w:noWrap/>
            <w:vAlign w:val="bottom"/>
            <w:hideMark/>
          </w:tcPr>
          <w:p w14:paraId="4DF156C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4,01</w:t>
            </w:r>
          </w:p>
        </w:tc>
        <w:tc>
          <w:tcPr>
            <w:tcW w:w="1240" w:type="dxa"/>
            <w:tcBorders>
              <w:top w:val="nil"/>
              <w:left w:val="nil"/>
              <w:bottom w:val="single" w:sz="4" w:space="0" w:color="auto"/>
              <w:right w:val="single" w:sz="4" w:space="0" w:color="auto"/>
            </w:tcBorders>
            <w:shd w:val="clear" w:color="000000" w:fill="FFFFFF"/>
            <w:noWrap/>
            <w:vAlign w:val="bottom"/>
            <w:hideMark/>
          </w:tcPr>
          <w:p w14:paraId="3E9A642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3.714.490,00</w:t>
            </w:r>
          </w:p>
        </w:tc>
      </w:tr>
      <w:tr w:rsidR="00BC7E60" w:rsidRPr="00497178" w14:paraId="4ADB1A1F"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1E3E711"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A500003 Opremanje ustanove</w:t>
            </w:r>
          </w:p>
        </w:tc>
        <w:tc>
          <w:tcPr>
            <w:tcW w:w="1307" w:type="dxa"/>
            <w:tcBorders>
              <w:top w:val="nil"/>
              <w:left w:val="nil"/>
              <w:bottom w:val="single" w:sz="4" w:space="0" w:color="auto"/>
              <w:right w:val="single" w:sz="4" w:space="0" w:color="auto"/>
            </w:tcBorders>
            <w:shd w:val="clear" w:color="000000" w:fill="FFFFFF"/>
            <w:noWrap/>
            <w:vAlign w:val="bottom"/>
            <w:hideMark/>
          </w:tcPr>
          <w:p w14:paraId="1F2433B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7.000,00</w:t>
            </w:r>
          </w:p>
        </w:tc>
        <w:tc>
          <w:tcPr>
            <w:tcW w:w="1123" w:type="dxa"/>
            <w:tcBorders>
              <w:top w:val="nil"/>
              <w:left w:val="nil"/>
              <w:bottom w:val="single" w:sz="4" w:space="0" w:color="auto"/>
              <w:right w:val="single" w:sz="4" w:space="0" w:color="auto"/>
            </w:tcBorders>
            <w:shd w:val="clear" w:color="000000" w:fill="FFFFFF"/>
            <w:noWrap/>
            <w:vAlign w:val="bottom"/>
            <w:hideMark/>
          </w:tcPr>
          <w:p w14:paraId="4AE0EAB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3.530,00</w:t>
            </w:r>
          </w:p>
        </w:tc>
        <w:tc>
          <w:tcPr>
            <w:tcW w:w="1123" w:type="dxa"/>
            <w:tcBorders>
              <w:top w:val="nil"/>
              <w:left w:val="nil"/>
              <w:bottom w:val="single" w:sz="4" w:space="0" w:color="auto"/>
              <w:right w:val="single" w:sz="4" w:space="0" w:color="auto"/>
            </w:tcBorders>
            <w:shd w:val="clear" w:color="000000" w:fill="FFFFFF"/>
            <w:noWrap/>
            <w:vAlign w:val="bottom"/>
            <w:hideMark/>
          </w:tcPr>
          <w:p w14:paraId="319878C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50,43</w:t>
            </w:r>
          </w:p>
        </w:tc>
        <w:tc>
          <w:tcPr>
            <w:tcW w:w="1240" w:type="dxa"/>
            <w:tcBorders>
              <w:top w:val="nil"/>
              <w:left w:val="nil"/>
              <w:bottom w:val="single" w:sz="4" w:space="0" w:color="auto"/>
              <w:right w:val="single" w:sz="4" w:space="0" w:color="auto"/>
            </w:tcBorders>
            <w:shd w:val="clear" w:color="000000" w:fill="FFFFFF"/>
            <w:noWrap/>
            <w:vAlign w:val="bottom"/>
            <w:hideMark/>
          </w:tcPr>
          <w:p w14:paraId="415DE9B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10.530,00</w:t>
            </w:r>
          </w:p>
        </w:tc>
      </w:tr>
      <w:tr w:rsidR="00BC7E60" w:rsidRPr="00497178" w14:paraId="69CCD3E1"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285E38A"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Aktivnost A500004 Financiranje programa za djecu s teškoćama u razvoju , pripadnika manjina i </w:t>
            </w:r>
            <w:proofErr w:type="spellStart"/>
            <w:r w:rsidRPr="00497178">
              <w:rPr>
                <w:rFonts w:ascii="Arial" w:hAnsi="Arial" w:cs="Arial"/>
                <w:sz w:val="16"/>
                <w:szCs w:val="16"/>
              </w:rPr>
              <w:t>predškole</w:t>
            </w:r>
            <w:proofErr w:type="spellEnd"/>
          </w:p>
        </w:tc>
        <w:tc>
          <w:tcPr>
            <w:tcW w:w="1307" w:type="dxa"/>
            <w:tcBorders>
              <w:top w:val="nil"/>
              <w:left w:val="nil"/>
              <w:bottom w:val="single" w:sz="4" w:space="0" w:color="auto"/>
              <w:right w:val="single" w:sz="4" w:space="0" w:color="auto"/>
            </w:tcBorders>
            <w:shd w:val="clear" w:color="000000" w:fill="FFFFFF"/>
            <w:noWrap/>
            <w:vAlign w:val="bottom"/>
            <w:hideMark/>
          </w:tcPr>
          <w:p w14:paraId="7576FB8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12.500,00</w:t>
            </w:r>
          </w:p>
        </w:tc>
        <w:tc>
          <w:tcPr>
            <w:tcW w:w="1123" w:type="dxa"/>
            <w:tcBorders>
              <w:top w:val="nil"/>
              <w:left w:val="nil"/>
              <w:bottom w:val="single" w:sz="4" w:space="0" w:color="auto"/>
              <w:right w:val="single" w:sz="4" w:space="0" w:color="auto"/>
            </w:tcBorders>
            <w:shd w:val="clear" w:color="000000" w:fill="FFFFFF"/>
            <w:noWrap/>
            <w:vAlign w:val="bottom"/>
            <w:hideMark/>
          </w:tcPr>
          <w:p w14:paraId="709C2E1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000000" w:fill="FFFFFF"/>
            <w:noWrap/>
            <w:vAlign w:val="bottom"/>
            <w:hideMark/>
          </w:tcPr>
          <w:p w14:paraId="32A08C6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0,40</w:t>
            </w:r>
          </w:p>
        </w:tc>
        <w:tc>
          <w:tcPr>
            <w:tcW w:w="1240" w:type="dxa"/>
            <w:tcBorders>
              <w:top w:val="nil"/>
              <w:left w:val="nil"/>
              <w:bottom w:val="single" w:sz="4" w:space="0" w:color="auto"/>
              <w:right w:val="single" w:sz="4" w:space="0" w:color="auto"/>
            </w:tcBorders>
            <w:shd w:val="clear" w:color="000000" w:fill="FFFFFF"/>
            <w:noWrap/>
            <w:vAlign w:val="bottom"/>
            <w:hideMark/>
          </w:tcPr>
          <w:p w14:paraId="5437553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12.550,00</w:t>
            </w:r>
          </w:p>
        </w:tc>
      </w:tr>
      <w:tr w:rsidR="00BC7E60" w:rsidRPr="00497178" w14:paraId="2125E89C"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1E941B7" w14:textId="77777777" w:rsidR="00BC7E60" w:rsidRPr="00497178" w:rsidRDefault="00BC7E60" w:rsidP="00512D52">
            <w:pPr>
              <w:rPr>
                <w:rFonts w:ascii="Arial" w:hAnsi="Arial" w:cs="Arial"/>
                <w:sz w:val="16"/>
                <w:szCs w:val="16"/>
              </w:rPr>
            </w:pPr>
            <w:r w:rsidRPr="00497178">
              <w:rPr>
                <w:rFonts w:ascii="Arial" w:hAnsi="Arial" w:cs="Arial"/>
                <w:sz w:val="16"/>
                <w:szCs w:val="16"/>
              </w:rPr>
              <w:t>Tekući projekt T500003 Projekt Erasmus "Vrtić u kojem su sretna i djeca i roditelji"</w:t>
            </w:r>
          </w:p>
        </w:tc>
        <w:tc>
          <w:tcPr>
            <w:tcW w:w="1307" w:type="dxa"/>
            <w:tcBorders>
              <w:top w:val="nil"/>
              <w:left w:val="nil"/>
              <w:bottom w:val="single" w:sz="4" w:space="0" w:color="auto"/>
              <w:right w:val="single" w:sz="4" w:space="0" w:color="auto"/>
            </w:tcBorders>
            <w:shd w:val="clear" w:color="000000" w:fill="FFFFFF"/>
            <w:noWrap/>
            <w:vAlign w:val="bottom"/>
            <w:hideMark/>
          </w:tcPr>
          <w:p w14:paraId="1C8B07A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2.500,00</w:t>
            </w:r>
          </w:p>
        </w:tc>
        <w:tc>
          <w:tcPr>
            <w:tcW w:w="1123" w:type="dxa"/>
            <w:tcBorders>
              <w:top w:val="nil"/>
              <w:left w:val="nil"/>
              <w:bottom w:val="single" w:sz="4" w:space="0" w:color="auto"/>
              <w:right w:val="single" w:sz="4" w:space="0" w:color="auto"/>
            </w:tcBorders>
            <w:shd w:val="clear" w:color="000000" w:fill="FFFFFF"/>
            <w:noWrap/>
            <w:vAlign w:val="bottom"/>
            <w:hideMark/>
          </w:tcPr>
          <w:p w14:paraId="1CB1B3B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3.452,00</w:t>
            </w:r>
          </w:p>
        </w:tc>
        <w:tc>
          <w:tcPr>
            <w:tcW w:w="1123" w:type="dxa"/>
            <w:tcBorders>
              <w:top w:val="nil"/>
              <w:left w:val="nil"/>
              <w:bottom w:val="single" w:sz="4" w:space="0" w:color="auto"/>
              <w:right w:val="single" w:sz="4" w:space="0" w:color="auto"/>
            </w:tcBorders>
            <w:shd w:val="clear" w:color="000000" w:fill="FFFFFF"/>
            <w:noWrap/>
            <w:vAlign w:val="bottom"/>
            <w:hideMark/>
          </w:tcPr>
          <w:p w14:paraId="68492F3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138,08</w:t>
            </w:r>
          </w:p>
        </w:tc>
        <w:tc>
          <w:tcPr>
            <w:tcW w:w="1240" w:type="dxa"/>
            <w:tcBorders>
              <w:top w:val="nil"/>
              <w:left w:val="nil"/>
              <w:bottom w:val="single" w:sz="4" w:space="0" w:color="auto"/>
              <w:right w:val="single" w:sz="4" w:space="0" w:color="auto"/>
            </w:tcBorders>
            <w:shd w:val="clear" w:color="000000" w:fill="FFFFFF"/>
            <w:noWrap/>
            <w:vAlign w:val="bottom"/>
            <w:hideMark/>
          </w:tcPr>
          <w:p w14:paraId="5AA5AE8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5.952,00</w:t>
            </w:r>
          </w:p>
        </w:tc>
      </w:tr>
      <w:tr w:rsidR="00BC7E60" w:rsidRPr="00497178" w14:paraId="309F6757"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659618B"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Glava 50003 USTANOVE ŠKOLSTVA</w:t>
            </w:r>
          </w:p>
        </w:tc>
        <w:tc>
          <w:tcPr>
            <w:tcW w:w="1307" w:type="dxa"/>
            <w:tcBorders>
              <w:top w:val="nil"/>
              <w:left w:val="nil"/>
              <w:bottom w:val="single" w:sz="4" w:space="0" w:color="auto"/>
              <w:right w:val="single" w:sz="4" w:space="0" w:color="auto"/>
            </w:tcBorders>
            <w:shd w:val="clear" w:color="000000" w:fill="FFFFFF"/>
            <w:noWrap/>
            <w:vAlign w:val="bottom"/>
            <w:hideMark/>
          </w:tcPr>
          <w:p w14:paraId="6DFFE62A"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6.789.137,00</w:t>
            </w:r>
          </w:p>
        </w:tc>
        <w:tc>
          <w:tcPr>
            <w:tcW w:w="1123" w:type="dxa"/>
            <w:tcBorders>
              <w:top w:val="nil"/>
              <w:left w:val="nil"/>
              <w:bottom w:val="single" w:sz="4" w:space="0" w:color="auto"/>
              <w:right w:val="single" w:sz="4" w:space="0" w:color="auto"/>
            </w:tcBorders>
            <w:shd w:val="clear" w:color="000000" w:fill="FFFFFF"/>
            <w:noWrap/>
            <w:vAlign w:val="bottom"/>
            <w:hideMark/>
          </w:tcPr>
          <w:p w14:paraId="0D2DBCD7"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290.403,00</w:t>
            </w:r>
          </w:p>
        </w:tc>
        <w:tc>
          <w:tcPr>
            <w:tcW w:w="1123" w:type="dxa"/>
            <w:tcBorders>
              <w:top w:val="nil"/>
              <w:left w:val="nil"/>
              <w:bottom w:val="single" w:sz="4" w:space="0" w:color="auto"/>
              <w:right w:val="single" w:sz="4" w:space="0" w:color="auto"/>
            </w:tcBorders>
            <w:shd w:val="clear" w:color="000000" w:fill="FFFFFF"/>
            <w:noWrap/>
            <w:vAlign w:val="bottom"/>
            <w:hideMark/>
          </w:tcPr>
          <w:p w14:paraId="2EB24705"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4,28</w:t>
            </w:r>
          </w:p>
        </w:tc>
        <w:tc>
          <w:tcPr>
            <w:tcW w:w="1240" w:type="dxa"/>
            <w:tcBorders>
              <w:top w:val="nil"/>
              <w:left w:val="nil"/>
              <w:bottom w:val="single" w:sz="4" w:space="0" w:color="auto"/>
              <w:right w:val="single" w:sz="4" w:space="0" w:color="auto"/>
            </w:tcBorders>
            <w:shd w:val="clear" w:color="000000" w:fill="FFFFFF"/>
            <w:noWrap/>
            <w:vAlign w:val="bottom"/>
            <w:hideMark/>
          </w:tcPr>
          <w:p w14:paraId="085B462A"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7.079.540,00</w:t>
            </w:r>
          </w:p>
        </w:tc>
      </w:tr>
      <w:tr w:rsidR="00BC7E60" w:rsidRPr="00497178" w14:paraId="15261595"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E4C4347"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Proračunski korisnik 10581 OSNOVNA ŠKOLA MATIJE VLAČIĆA LABIN</w:t>
            </w:r>
          </w:p>
        </w:tc>
        <w:tc>
          <w:tcPr>
            <w:tcW w:w="1307" w:type="dxa"/>
            <w:tcBorders>
              <w:top w:val="nil"/>
              <w:left w:val="nil"/>
              <w:bottom w:val="single" w:sz="4" w:space="0" w:color="auto"/>
              <w:right w:val="single" w:sz="4" w:space="0" w:color="auto"/>
            </w:tcBorders>
            <w:shd w:val="clear" w:color="000000" w:fill="FFFFFF"/>
            <w:noWrap/>
            <w:vAlign w:val="bottom"/>
            <w:hideMark/>
          </w:tcPr>
          <w:p w14:paraId="7EBDF05A"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1.964.356,00</w:t>
            </w:r>
          </w:p>
        </w:tc>
        <w:tc>
          <w:tcPr>
            <w:tcW w:w="1123" w:type="dxa"/>
            <w:tcBorders>
              <w:top w:val="nil"/>
              <w:left w:val="nil"/>
              <w:bottom w:val="single" w:sz="4" w:space="0" w:color="auto"/>
              <w:right w:val="single" w:sz="4" w:space="0" w:color="auto"/>
            </w:tcBorders>
            <w:shd w:val="clear" w:color="000000" w:fill="FFFFFF"/>
            <w:noWrap/>
            <w:vAlign w:val="bottom"/>
            <w:hideMark/>
          </w:tcPr>
          <w:p w14:paraId="57BAACBF"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55.757,00</w:t>
            </w:r>
          </w:p>
        </w:tc>
        <w:tc>
          <w:tcPr>
            <w:tcW w:w="1123" w:type="dxa"/>
            <w:tcBorders>
              <w:top w:val="nil"/>
              <w:left w:val="nil"/>
              <w:bottom w:val="single" w:sz="4" w:space="0" w:color="auto"/>
              <w:right w:val="single" w:sz="4" w:space="0" w:color="auto"/>
            </w:tcBorders>
            <w:shd w:val="clear" w:color="000000" w:fill="FFFFFF"/>
            <w:noWrap/>
            <w:vAlign w:val="bottom"/>
            <w:hideMark/>
          </w:tcPr>
          <w:p w14:paraId="2F820590"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2,84</w:t>
            </w:r>
          </w:p>
        </w:tc>
        <w:tc>
          <w:tcPr>
            <w:tcW w:w="1240" w:type="dxa"/>
            <w:tcBorders>
              <w:top w:val="nil"/>
              <w:left w:val="nil"/>
              <w:bottom w:val="single" w:sz="4" w:space="0" w:color="auto"/>
              <w:right w:val="single" w:sz="4" w:space="0" w:color="auto"/>
            </w:tcBorders>
            <w:shd w:val="clear" w:color="000000" w:fill="FFFFFF"/>
            <w:noWrap/>
            <w:vAlign w:val="bottom"/>
            <w:hideMark/>
          </w:tcPr>
          <w:p w14:paraId="2A1C278D"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2.020.113,00</w:t>
            </w:r>
          </w:p>
        </w:tc>
      </w:tr>
      <w:tr w:rsidR="00BC7E60" w:rsidRPr="00497178" w14:paraId="7F40EE07"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116A1EF"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5002 Obrazovanje</w:t>
            </w:r>
          </w:p>
        </w:tc>
        <w:tc>
          <w:tcPr>
            <w:tcW w:w="1307" w:type="dxa"/>
            <w:tcBorders>
              <w:top w:val="nil"/>
              <w:left w:val="nil"/>
              <w:bottom w:val="single" w:sz="4" w:space="0" w:color="auto"/>
              <w:right w:val="single" w:sz="4" w:space="0" w:color="auto"/>
            </w:tcBorders>
            <w:shd w:val="clear" w:color="000000" w:fill="FFFFFF"/>
            <w:noWrap/>
            <w:vAlign w:val="bottom"/>
            <w:hideMark/>
          </w:tcPr>
          <w:p w14:paraId="0C4F3F7E"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1.964.356,00</w:t>
            </w:r>
          </w:p>
        </w:tc>
        <w:tc>
          <w:tcPr>
            <w:tcW w:w="1123" w:type="dxa"/>
            <w:tcBorders>
              <w:top w:val="nil"/>
              <w:left w:val="nil"/>
              <w:bottom w:val="single" w:sz="4" w:space="0" w:color="auto"/>
              <w:right w:val="single" w:sz="4" w:space="0" w:color="auto"/>
            </w:tcBorders>
            <w:shd w:val="clear" w:color="000000" w:fill="FFFFFF"/>
            <w:noWrap/>
            <w:vAlign w:val="bottom"/>
            <w:hideMark/>
          </w:tcPr>
          <w:p w14:paraId="57438D61"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55.757,00</w:t>
            </w:r>
          </w:p>
        </w:tc>
        <w:tc>
          <w:tcPr>
            <w:tcW w:w="1123" w:type="dxa"/>
            <w:tcBorders>
              <w:top w:val="nil"/>
              <w:left w:val="nil"/>
              <w:bottom w:val="single" w:sz="4" w:space="0" w:color="auto"/>
              <w:right w:val="single" w:sz="4" w:space="0" w:color="auto"/>
            </w:tcBorders>
            <w:shd w:val="clear" w:color="000000" w:fill="FFFFFF"/>
            <w:noWrap/>
            <w:vAlign w:val="bottom"/>
            <w:hideMark/>
          </w:tcPr>
          <w:p w14:paraId="55939C73"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2,84</w:t>
            </w:r>
          </w:p>
        </w:tc>
        <w:tc>
          <w:tcPr>
            <w:tcW w:w="1240" w:type="dxa"/>
            <w:tcBorders>
              <w:top w:val="nil"/>
              <w:left w:val="nil"/>
              <w:bottom w:val="single" w:sz="4" w:space="0" w:color="auto"/>
              <w:right w:val="single" w:sz="4" w:space="0" w:color="auto"/>
            </w:tcBorders>
            <w:shd w:val="clear" w:color="000000" w:fill="FFFFFF"/>
            <w:noWrap/>
            <w:vAlign w:val="bottom"/>
            <w:hideMark/>
          </w:tcPr>
          <w:p w14:paraId="1AE5DC4B"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2.020.113,00</w:t>
            </w:r>
          </w:p>
        </w:tc>
      </w:tr>
      <w:tr w:rsidR="00BC7E60" w:rsidRPr="00497178" w14:paraId="6C88DB74"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8F87900"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A500003 Financiranje djelatnosti osnovnog školstva</w:t>
            </w:r>
          </w:p>
        </w:tc>
        <w:tc>
          <w:tcPr>
            <w:tcW w:w="1307" w:type="dxa"/>
            <w:tcBorders>
              <w:top w:val="nil"/>
              <w:left w:val="nil"/>
              <w:bottom w:val="single" w:sz="4" w:space="0" w:color="auto"/>
              <w:right w:val="single" w:sz="4" w:space="0" w:color="auto"/>
            </w:tcBorders>
            <w:shd w:val="clear" w:color="000000" w:fill="FFFFFF"/>
            <w:noWrap/>
            <w:vAlign w:val="bottom"/>
            <w:hideMark/>
          </w:tcPr>
          <w:p w14:paraId="6F46FBF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1.624.296,00</w:t>
            </w:r>
          </w:p>
        </w:tc>
        <w:tc>
          <w:tcPr>
            <w:tcW w:w="1123" w:type="dxa"/>
            <w:tcBorders>
              <w:top w:val="nil"/>
              <w:left w:val="nil"/>
              <w:bottom w:val="single" w:sz="4" w:space="0" w:color="auto"/>
              <w:right w:val="single" w:sz="4" w:space="0" w:color="auto"/>
            </w:tcBorders>
            <w:shd w:val="clear" w:color="000000" w:fill="FFFFFF"/>
            <w:noWrap/>
            <w:vAlign w:val="bottom"/>
            <w:hideMark/>
          </w:tcPr>
          <w:p w14:paraId="113C520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26.447,00</w:t>
            </w:r>
          </w:p>
        </w:tc>
        <w:tc>
          <w:tcPr>
            <w:tcW w:w="1123" w:type="dxa"/>
            <w:tcBorders>
              <w:top w:val="nil"/>
              <w:left w:val="nil"/>
              <w:bottom w:val="single" w:sz="4" w:space="0" w:color="auto"/>
              <w:right w:val="single" w:sz="4" w:space="0" w:color="auto"/>
            </w:tcBorders>
            <w:shd w:val="clear" w:color="000000" w:fill="FFFFFF"/>
            <w:noWrap/>
            <w:vAlign w:val="bottom"/>
            <w:hideMark/>
          </w:tcPr>
          <w:p w14:paraId="522290C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1,63</w:t>
            </w:r>
          </w:p>
        </w:tc>
        <w:tc>
          <w:tcPr>
            <w:tcW w:w="1240" w:type="dxa"/>
            <w:tcBorders>
              <w:top w:val="nil"/>
              <w:left w:val="nil"/>
              <w:bottom w:val="single" w:sz="4" w:space="0" w:color="auto"/>
              <w:right w:val="single" w:sz="4" w:space="0" w:color="auto"/>
            </w:tcBorders>
            <w:shd w:val="clear" w:color="000000" w:fill="FFFFFF"/>
            <w:noWrap/>
            <w:vAlign w:val="bottom"/>
            <w:hideMark/>
          </w:tcPr>
          <w:p w14:paraId="131A21A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1.650.743,00</w:t>
            </w:r>
          </w:p>
        </w:tc>
      </w:tr>
      <w:tr w:rsidR="00BC7E60" w:rsidRPr="00497178" w14:paraId="2FE8C49A"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957D34C"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A500004 Produženi boravak</w:t>
            </w:r>
          </w:p>
        </w:tc>
        <w:tc>
          <w:tcPr>
            <w:tcW w:w="1307" w:type="dxa"/>
            <w:tcBorders>
              <w:top w:val="nil"/>
              <w:left w:val="nil"/>
              <w:bottom w:val="single" w:sz="4" w:space="0" w:color="auto"/>
              <w:right w:val="single" w:sz="4" w:space="0" w:color="auto"/>
            </w:tcBorders>
            <w:shd w:val="clear" w:color="000000" w:fill="FFFFFF"/>
            <w:noWrap/>
            <w:vAlign w:val="bottom"/>
            <w:hideMark/>
          </w:tcPr>
          <w:p w14:paraId="1951E2A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195.250,00</w:t>
            </w:r>
          </w:p>
        </w:tc>
        <w:tc>
          <w:tcPr>
            <w:tcW w:w="1123" w:type="dxa"/>
            <w:tcBorders>
              <w:top w:val="nil"/>
              <w:left w:val="nil"/>
              <w:bottom w:val="single" w:sz="4" w:space="0" w:color="auto"/>
              <w:right w:val="single" w:sz="4" w:space="0" w:color="auto"/>
            </w:tcBorders>
            <w:shd w:val="clear" w:color="000000" w:fill="FFFFFF"/>
            <w:noWrap/>
            <w:vAlign w:val="bottom"/>
            <w:hideMark/>
          </w:tcPr>
          <w:p w14:paraId="7570E48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10.200,00</w:t>
            </w:r>
          </w:p>
        </w:tc>
        <w:tc>
          <w:tcPr>
            <w:tcW w:w="1123" w:type="dxa"/>
            <w:tcBorders>
              <w:top w:val="nil"/>
              <w:left w:val="nil"/>
              <w:bottom w:val="single" w:sz="4" w:space="0" w:color="auto"/>
              <w:right w:val="single" w:sz="4" w:space="0" w:color="auto"/>
            </w:tcBorders>
            <w:shd w:val="clear" w:color="000000" w:fill="FFFFFF"/>
            <w:noWrap/>
            <w:vAlign w:val="bottom"/>
            <w:hideMark/>
          </w:tcPr>
          <w:p w14:paraId="06FCE4C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5,22</w:t>
            </w:r>
          </w:p>
        </w:tc>
        <w:tc>
          <w:tcPr>
            <w:tcW w:w="1240" w:type="dxa"/>
            <w:tcBorders>
              <w:top w:val="nil"/>
              <w:left w:val="nil"/>
              <w:bottom w:val="single" w:sz="4" w:space="0" w:color="auto"/>
              <w:right w:val="single" w:sz="4" w:space="0" w:color="auto"/>
            </w:tcBorders>
            <w:shd w:val="clear" w:color="000000" w:fill="FFFFFF"/>
            <w:noWrap/>
            <w:vAlign w:val="bottom"/>
            <w:hideMark/>
          </w:tcPr>
          <w:p w14:paraId="2EE2050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205.450,00</w:t>
            </w:r>
          </w:p>
        </w:tc>
      </w:tr>
      <w:tr w:rsidR="00BC7E60" w:rsidRPr="00497178" w14:paraId="60E0E5AB"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FCB0B9C"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A500005 Dodatne aktivnosti učenika i osoblja u školi</w:t>
            </w:r>
          </w:p>
        </w:tc>
        <w:tc>
          <w:tcPr>
            <w:tcW w:w="1307" w:type="dxa"/>
            <w:tcBorders>
              <w:top w:val="nil"/>
              <w:left w:val="nil"/>
              <w:bottom w:val="single" w:sz="4" w:space="0" w:color="auto"/>
              <w:right w:val="single" w:sz="4" w:space="0" w:color="auto"/>
            </w:tcBorders>
            <w:shd w:val="clear" w:color="000000" w:fill="FFFFFF"/>
            <w:noWrap/>
            <w:vAlign w:val="bottom"/>
            <w:hideMark/>
          </w:tcPr>
          <w:p w14:paraId="7B8913F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22.560,00</w:t>
            </w:r>
          </w:p>
        </w:tc>
        <w:tc>
          <w:tcPr>
            <w:tcW w:w="1123" w:type="dxa"/>
            <w:tcBorders>
              <w:top w:val="nil"/>
              <w:left w:val="nil"/>
              <w:bottom w:val="single" w:sz="4" w:space="0" w:color="auto"/>
              <w:right w:val="single" w:sz="4" w:space="0" w:color="auto"/>
            </w:tcBorders>
            <w:shd w:val="clear" w:color="000000" w:fill="FFFFFF"/>
            <w:noWrap/>
            <w:vAlign w:val="bottom"/>
            <w:hideMark/>
          </w:tcPr>
          <w:p w14:paraId="54D0090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4.860,00</w:t>
            </w:r>
          </w:p>
        </w:tc>
        <w:tc>
          <w:tcPr>
            <w:tcW w:w="1123" w:type="dxa"/>
            <w:tcBorders>
              <w:top w:val="nil"/>
              <w:left w:val="nil"/>
              <w:bottom w:val="single" w:sz="4" w:space="0" w:color="auto"/>
              <w:right w:val="single" w:sz="4" w:space="0" w:color="auto"/>
            </w:tcBorders>
            <w:shd w:val="clear" w:color="000000" w:fill="FFFFFF"/>
            <w:noWrap/>
            <w:vAlign w:val="bottom"/>
            <w:hideMark/>
          </w:tcPr>
          <w:p w14:paraId="4BF8309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21,54</w:t>
            </w:r>
          </w:p>
        </w:tc>
        <w:tc>
          <w:tcPr>
            <w:tcW w:w="1240" w:type="dxa"/>
            <w:tcBorders>
              <w:top w:val="nil"/>
              <w:left w:val="nil"/>
              <w:bottom w:val="single" w:sz="4" w:space="0" w:color="auto"/>
              <w:right w:val="single" w:sz="4" w:space="0" w:color="auto"/>
            </w:tcBorders>
            <w:shd w:val="clear" w:color="000000" w:fill="FFFFFF"/>
            <w:noWrap/>
            <w:vAlign w:val="bottom"/>
            <w:hideMark/>
          </w:tcPr>
          <w:p w14:paraId="0B6C9D7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27.420,00</w:t>
            </w:r>
          </w:p>
        </w:tc>
      </w:tr>
      <w:tr w:rsidR="00BC7E60" w:rsidRPr="00497178" w14:paraId="752DD028"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2ED7C75C"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A500006 Osiguranje pomoćnika učenicima s teškoćama</w:t>
            </w:r>
          </w:p>
        </w:tc>
        <w:tc>
          <w:tcPr>
            <w:tcW w:w="1307" w:type="dxa"/>
            <w:tcBorders>
              <w:top w:val="nil"/>
              <w:left w:val="nil"/>
              <w:bottom w:val="single" w:sz="4" w:space="0" w:color="auto"/>
              <w:right w:val="single" w:sz="4" w:space="0" w:color="auto"/>
            </w:tcBorders>
            <w:shd w:val="clear" w:color="000000" w:fill="FFFFFF"/>
            <w:noWrap/>
            <w:vAlign w:val="bottom"/>
            <w:hideMark/>
          </w:tcPr>
          <w:p w14:paraId="2707E00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117.250,00</w:t>
            </w:r>
          </w:p>
        </w:tc>
        <w:tc>
          <w:tcPr>
            <w:tcW w:w="1123" w:type="dxa"/>
            <w:tcBorders>
              <w:top w:val="nil"/>
              <w:left w:val="nil"/>
              <w:bottom w:val="single" w:sz="4" w:space="0" w:color="auto"/>
              <w:right w:val="single" w:sz="4" w:space="0" w:color="auto"/>
            </w:tcBorders>
            <w:shd w:val="clear" w:color="000000" w:fill="FFFFFF"/>
            <w:noWrap/>
            <w:vAlign w:val="bottom"/>
            <w:hideMark/>
          </w:tcPr>
          <w:p w14:paraId="742A2A9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700,00</w:t>
            </w:r>
          </w:p>
        </w:tc>
        <w:tc>
          <w:tcPr>
            <w:tcW w:w="1123" w:type="dxa"/>
            <w:tcBorders>
              <w:top w:val="nil"/>
              <w:left w:val="nil"/>
              <w:bottom w:val="single" w:sz="4" w:space="0" w:color="auto"/>
              <w:right w:val="single" w:sz="4" w:space="0" w:color="auto"/>
            </w:tcBorders>
            <w:shd w:val="clear" w:color="000000" w:fill="FFFFFF"/>
            <w:noWrap/>
            <w:vAlign w:val="bottom"/>
            <w:hideMark/>
          </w:tcPr>
          <w:p w14:paraId="10B07F4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0,60</w:t>
            </w:r>
          </w:p>
        </w:tc>
        <w:tc>
          <w:tcPr>
            <w:tcW w:w="1240" w:type="dxa"/>
            <w:tcBorders>
              <w:top w:val="nil"/>
              <w:left w:val="nil"/>
              <w:bottom w:val="single" w:sz="4" w:space="0" w:color="auto"/>
              <w:right w:val="single" w:sz="4" w:space="0" w:color="auto"/>
            </w:tcBorders>
            <w:shd w:val="clear" w:color="000000" w:fill="FFFFFF"/>
            <w:noWrap/>
            <w:vAlign w:val="bottom"/>
            <w:hideMark/>
          </w:tcPr>
          <w:p w14:paraId="5E0EB47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117.950,00</w:t>
            </w:r>
          </w:p>
        </w:tc>
      </w:tr>
      <w:tr w:rsidR="00BC7E60" w:rsidRPr="00497178" w14:paraId="7FB662A4"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9977EB2"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A500007 Financiranje izvannastavnih projekata i drugo</w:t>
            </w:r>
          </w:p>
        </w:tc>
        <w:tc>
          <w:tcPr>
            <w:tcW w:w="1307" w:type="dxa"/>
            <w:tcBorders>
              <w:top w:val="nil"/>
              <w:left w:val="nil"/>
              <w:bottom w:val="single" w:sz="4" w:space="0" w:color="auto"/>
              <w:right w:val="single" w:sz="4" w:space="0" w:color="auto"/>
            </w:tcBorders>
            <w:shd w:val="clear" w:color="000000" w:fill="FFFFFF"/>
            <w:noWrap/>
            <w:vAlign w:val="bottom"/>
            <w:hideMark/>
          </w:tcPr>
          <w:p w14:paraId="43E46FB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3.000,00</w:t>
            </w:r>
          </w:p>
        </w:tc>
        <w:tc>
          <w:tcPr>
            <w:tcW w:w="1123" w:type="dxa"/>
            <w:tcBorders>
              <w:top w:val="nil"/>
              <w:left w:val="nil"/>
              <w:bottom w:val="single" w:sz="4" w:space="0" w:color="auto"/>
              <w:right w:val="single" w:sz="4" w:space="0" w:color="auto"/>
            </w:tcBorders>
            <w:shd w:val="clear" w:color="000000" w:fill="FFFFFF"/>
            <w:noWrap/>
            <w:vAlign w:val="bottom"/>
            <w:hideMark/>
          </w:tcPr>
          <w:p w14:paraId="2D9EC5D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12.250,00</w:t>
            </w:r>
          </w:p>
        </w:tc>
        <w:tc>
          <w:tcPr>
            <w:tcW w:w="1123" w:type="dxa"/>
            <w:tcBorders>
              <w:top w:val="nil"/>
              <w:left w:val="nil"/>
              <w:bottom w:val="single" w:sz="4" w:space="0" w:color="auto"/>
              <w:right w:val="single" w:sz="4" w:space="0" w:color="auto"/>
            </w:tcBorders>
            <w:shd w:val="clear" w:color="000000" w:fill="FFFFFF"/>
            <w:noWrap/>
            <w:vAlign w:val="bottom"/>
            <w:hideMark/>
          </w:tcPr>
          <w:p w14:paraId="3F1823A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408,33</w:t>
            </w:r>
          </w:p>
        </w:tc>
        <w:tc>
          <w:tcPr>
            <w:tcW w:w="1240" w:type="dxa"/>
            <w:tcBorders>
              <w:top w:val="nil"/>
              <w:left w:val="nil"/>
              <w:bottom w:val="single" w:sz="4" w:space="0" w:color="auto"/>
              <w:right w:val="single" w:sz="4" w:space="0" w:color="auto"/>
            </w:tcBorders>
            <w:shd w:val="clear" w:color="000000" w:fill="FFFFFF"/>
            <w:noWrap/>
            <w:vAlign w:val="bottom"/>
            <w:hideMark/>
          </w:tcPr>
          <w:p w14:paraId="1C1C2B5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15.250,00</w:t>
            </w:r>
          </w:p>
        </w:tc>
      </w:tr>
      <w:tr w:rsidR="00BC7E60" w:rsidRPr="00497178" w14:paraId="303F2BA1"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12F331D4" w14:textId="77777777" w:rsidR="00BC7E60" w:rsidRPr="00497178" w:rsidRDefault="00BC7E60" w:rsidP="00512D52">
            <w:pPr>
              <w:rPr>
                <w:rFonts w:ascii="Arial" w:hAnsi="Arial" w:cs="Arial"/>
                <w:sz w:val="16"/>
                <w:szCs w:val="16"/>
              </w:rPr>
            </w:pPr>
            <w:r w:rsidRPr="00497178">
              <w:rPr>
                <w:rFonts w:ascii="Arial" w:hAnsi="Arial" w:cs="Arial"/>
                <w:sz w:val="16"/>
                <w:szCs w:val="16"/>
              </w:rPr>
              <w:t>Kapitalni projekt K500001 Kapitalna ulaganja osnovnog školstva</w:t>
            </w:r>
          </w:p>
        </w:tc>
        <w:tc>
          <w:tcPr>
            <w:tcW w:w="1307" w:type="dxa"/>
            <w:tcBorders>
              <w:top w:val="nil"/>
              <w:left w:val="nil"/>
              <w:bottom w:val="single" w:sz="4" w:space="0" w:color="auto"/>
              <w:right w:val="single" w:sz="4" w:space="0" w:color="auto"/>
            </w:tcBorders>
            <w:shd w:val="clear" w:color="000000" w:fill="FFFFFF"/>
            <w:noWrap/>
            <w:vAlign w:val="bottom"/>
            <w:hideMark/>
          </w:tcPr>
          <w:p w14:paraId="16CB5C6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2.000,00</w:t>
            </w:r>
          </w:p>
        </w:tc>
        <w:tc>
          <w:tcPr>
            <w:tcW w:w="1123" w:type="dxa"/>
            <w:tcBorders>
              <w:top w:val="nil"/>
              <w:left w:val="nil"/>
              <w:bottom w:val="single" w:sz="4" w:space="0" w:color="auto"/>
              <w:right w:val="single" w:sz="4" w:space="0" w:color="auto"/>
            </w:tcBorders>
            <w:shd w:val="clear" w:color="000000" w:fill="FFFFFF"/>
            <w:noWrap/>
            <w:vAlign w:val="bottom"/>
            <w:hideMark/>
          </w:tcPr>
          <w:p w14:paraId="12A55CE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1.300,00</w:t>
            </w:r>
          </w:p>
        </w:tc>
        <w:tc>
          <w:tcPr>
            <w:tcW w:w="1123" w:type="dxa"/>
            <w:tcBorders>
              <w:top w:val="nil"/>
              <w:left w:val="nil"/>
              <w:bottom w:val="single" w:sz="4" w:space="0" w:color="auto"/>
              <w:right w:val="single" w:sz="4" w:space="0" w:color="auto"/>
            </w:tcBorders>
            <w:shd w:val="clear" w:color="000000" w:fill="FFFFFF"/>
            <w:noWrap/>
            <w:vAlign w:val="bottom"/>
            <w:hideMark/>
          </w:tcPr>
          <w:p w14:paraId="6CE8B55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65,00</w:t>
            </w:r>
          </w:p>
        </w:tc>
        <w:tc>
          <w:tcPr>
            <w:tcW w:w="1240" w:type="dxa"/>
            <w:tcBorders>
              <w:top w:val="nil"/>
              <w:left w:val="nil"/>
              <w:bottom w:val="single" w:sz="4" w:space="0" w:color="auto"/>
              <w:right w:val="single" w:sz="4" w:space="0" w:color="auto"/>
            </w:tcBorders>
            <w:shd w:val="clear" w:color="000000" w:fill="FFFFFF"/>
            <w:noWrap/>
            <w:vAlign w:val="bottom"/>
            <w:hideMark/>
          </w:tcPr>
          <w:p w14:paraId="3681E51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3.300,00</w:t>
            </w:r>
          </w:p>
        </w:tc>
      </w:tr>
      <w:tr w:rsidR="00BC7E60" w:rsidRPr="00497178" w14:paraId="7FFBD4D8"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2798BC5"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Proračunski korisnik 10590 OSNOVNA ŠKOLA IVO LOLA RIBAR LABIN</w:t>
            </w:r>
          </w:p>
        </w:tc>
        <w:tc>
          <w:tcPr>
            <w:tcW w:w="1307" w:type="dxa"/>
            <w:tcBorders>
              <w:top w:val="nil"/>
              <w:left w:val="nil"/>
              <w:bottom w:val="single" w:sz="4" w:space="0" w:color="auto"/>
              <w:right w:val="single" w:sz="4" w:space="0" w:color="auto"/>
            </w:tcBorders>
            <w:shd w:val="clear" w:color="000000" w:fill="FFFFFF"/>
            <w:noWrap/>
            <w:vAlign w:val="bottom"/>
            <w:hideMark/>
          </w:tcPr>
          <w:p w14:paraId="0BF3B499"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2.808.091,00</w:t>
            </w:r>
          </w:p>
        </w:tc>
        <w:tc>
          <w:tcPr>
            <w:tcW w:w="1123" w:type="dxa"/>
            <w:tcBorders>
              <w:top w:val="nil"/>
              <w:left w:val="nil"/>
              <w:bottom w:val="single" w:sz="4" w:space="0" w:color="auto"/>
              <w:right w:val="single" w:sz="4" w:space="0" w:color="auto"/>
            </w:tcBorders>
            <w:shd w:val="clear" w:color="000000" w:fill="FFFFFF"/>
            <w:noWrap/>
            <w:vAlign w:val="bottom"/>
            <w:hideMark/>
          </w:tcPr>
          <w:p w14:paraId="1F64159F"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143.922,00</w:t>
            </w:r>
          </w:p>
        </w:tc>
        <w:tc>
          <w:tcPr>
            <w:tcW w:w="1123" w:type="dxa"/>
            <w:tcBorders>
              <w:top w:val="nil"/>
              <w:left w:val="nil"/>
              <w:bottom w:val="single" w:sz="4" w:space="0" w:color="auto"/>
              <w:right w:val="single" w:sz="4" w:space="0" w:color="auto"/>
            </w:tcBorders>
            <w:shd w:val="clear" w:color="000000" w:fill="FFFFFF"/>
            <w:noWrap/>
            <w:vAlign w:val="bottom"/>
            <w:hideMark/>
          </w:tcPr>
          <w:p w14:paraId="5D9E3C88"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5,13</w:t>
            </w:r>
          </w:p>
        </w:tc>
        <w:tc>
          <w:tcPr>
            <w:tcW w:w="1240" w:type="dxa"/>
            <w:tcBorders>
              <w:top w:val="nil"/>
              <w:left w:val="nil"/>
              <w:bottom w:val="single" w:sz="4" w:space="0" w:color="auto"/>
              <w:right w:val="single" w:sz="4" w:space="0" w:color="auto"/>
            </w:tcBorders>
            <w:shd w:val="clear" w:color="000000" w:fill="FFFFFF"/>
            <w:noWrap/>
            <w:vAlign w:val="bottom"/>
            <w:hideMark/>
          </w:tcPr>
          <w:p w14:paraId="1A851ED0"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2.952.013,00</w:t>
            </w:r>
          </w:p>
        </w:tc>
      </w:tr>
      <w:tr w:rsidR="00BC7E60" w:rsidRPr="00497178" w14:paraId="0DBAEE63"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B216703"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lastRenderedPageBreak/>
              <w:t>Program 5002 Obrazovanje</w:t>
            </w:r>
          </w:p>
        </w:tc>
        <w:tc>
          <w:tcPr>
            <w:tcW w:w="1307" w:type="dxa"/>
            <w:tcBorders>
              <w:top w:val="nil"/>
              <w:left w:val="nil"/>
              <w:bottom w:val="single" w:sz="4" w:space="0" w:color="auto"/>
              <w:right w:val="single" w:sz="4" w:space="0" w:color="auto"/>
            </w:tcBorders>
            <w:shd w:val="clear" w:color="000000" w:fill="FFFFFF"/>
            <w:noWrap/>
            <w:vAlign w:val="bottom"/>
            <w:hideMark/>
          </w:tcPr>
          <w:p w14:paraId="4B79EABB"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2.808.091,00</w:t>
            </w:r>
          </w:p>
        </w:tc>
        <w:tc>
          <w:tcPr>
            <w:tcW w:w="1123" w:type="dxa"/>
            <w:tcBorders>
              <w:top w:val="nil"/>
              <w:left w:val="nil"/>
              <w:bottom w:val="single" w:sz="4" w:space="0" w:color="auto"/>
              <w:right w:val="single" w:sz="4" w:space="0" w:color="auto"/>
            </w:tcBorders>
            <w:shd w:val="clear" w:color="000000" w:fill="FFFFFF"/>
            <w:noWrap/>
            <w:vAlign w:val="bottom"/>
            <w:hideMark/>
          </w:tcPr>
          <w:p w14:paraId="1F2EDF87"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143.922,00</w:t>
            </w:r>
          </w:p>
        </w:tc>
        <w:tc>
          <w:tcPr>
            <w:tcW w:w="1123" w:type="dxa"/>
            <w:tcBorders>
              <w:top w:val="nil"/>
              <w:left w:val="nil"/>
              <w:bottom w:val="single" w:sz="4" w:space="0" w:color="auto"/>
              <w:right w:val="single" w:sz="4" w:space="0" w:color="auto"/>
            </w:tcBorders>
            <w:shd w:val="clear" w:color="000000" w:fill="FFFFFF"/>
            <w:noWrap/>
            <w:vAlign w:val="bottom"/>
            <w:hideMark/>
          </w:tcPr>
          <w:p w14:paraId="6441FE7B"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5,13</w:t>
            </w:r>
          </w:p>
        </w:tc>
        <w:tc>
          <w:tcPr>
            <w:tcW w:w="1240" w:type="dxa"/>
            <w:tcBorders>
              <w:top w:val="nil"/>
              <w:left w:val="nil"/>
              <w:bottom w:val="single" w:sz="4" w:space="0" w:color="auto"/>
              <w:right w:val="single" w:sz="4" w:space="0" w:color="auto"/>
            </w:tcBorders>
            <w:shd w:val="clear" w:color="000000" w:fill="FFFFFF"/>
            <w:noWrap/>
            <w:vAlign w:val="bottom"/>
            <w:hideMark/>
          </w:tcPr>
          <w:p w14:paraId="52CC969D"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2.952.013,00</w:t>
            </w:r>
          </w:p>
        </w:tc>
      </w:tr>
      <w:tr w:rsidR="00BC7E60" w:rsidRPr="00497178" w14:paraId="2855EBD6"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7580E46"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A500003 Financiranje djelatnosti osnovnog školstva</w:t>
            </w:r>
          </w:p>
        </w:tc>
        <w:tc>
          <w:tcPr>
            <w:tcW w:w="1307" w:type="dxa"/>
            <w:tcBorders>
              <w:top w:val="nil"/>
              <w:left w:val="nil"/>
              <w:bottom w:val="single" w:sz="4" w:space="0" w:color="auto"/>
              <w:right w:val="single" w:sz="4" w:space="0" w:color="auto"/>
            </w:tcBorders>
            <w:shd w:val="clear" w:color="000000" w:fill="FFFFFF"/>
            <w:noWrap/>
            <w:vAlign w:val="bottom"/>
            <w:hideMark/>
          </w:tcPr>
          <w:p w14:paraId="68288A1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2.277.975,00</w:t>
            </w:r>
          </w:p>
        </w:tc>
        <w:tc>
          <w:tcPr>
            <w:tcW w:w="1123" w:type="dxa"/>
            <w:tcBorders>
              <w:top w:val="nil"/>
              <w:left w:val="nil"/>
              <w:bottom w:val="single" w:sz="4" w:space="0" w:color="auto"/>
              <w:right w:val="single" w:sz="4" w:space="0" w:color="auto"/>
            </w:tcBorders>
            <w:shd w:val="clear" w:color="000000" w:fill="FFFFFF"/>
            <w:noWrap/>
            <w:vAlign w:val="bottom"/>
            <w:hideMark/>
          </w:tcPr>
          <w:p w14:paraId="76476FF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78.760,00</w:t>
            </w:r>
          </w:p>
        </w:tc>
        <w:tc>
          <w:tcPr>
            <w:tcW w:w="1123" w:type="dxa"/>
            <w:tcBorders>
              <w:top w:val="nil"/>
              <w:left w:val="nil"/>
              <w:bottom w:val="single" w:sz="4" w:space="0" w:color="auto"/>
              <w:right w:val="single" w:sz="4" w:space="0" w:color="auto"/>
            </w:tcBorders>
            <w:shd w:val="clear" w:color="000000" w:fill="FFFFFF"/>
            <w:noWrap/>
            <w:vAlign w:val="bottom"/>
            <w:hideMark/>
          </w:tcPr>
          <w:p w14:paraId="2D9E88F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3,46</w:t>
            </w:r>
          </w:p>
        </w:tc>
        <w:tc>
          <w:tcPr>
            <w:tcW w:w="1240" w:type="dxa"/>
            <w:tcBorders>
              <w:top w:val="nil"/>
              <w:left w:val="nil"/>
              <w:bottom w:val="single" w:sz="4" w:space="0" w:color="auto"/>
              <w:right w:val="single" w:sz="4" w:space="0" w:color="auto"/>
            </w:tcBorders>
            <w:shd w:val="clear" w:color="000000" w:fill="FFFFFF"/>
            <w:noWrap/>
            <w:vAlign w:val="bottom"/>
            <w:hideMark/>
          </w:tcPr>
          <w:p w14:paraId="35F8E42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2.356.735,00</w:t>
            </w:r>
          </w:p>
        </w:tc>
      </w:tr>
      <w:tr w:rsidR="00BC7E60" w:rsidRPr="00497178" w14:paraId="71B4ACA6"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3453CA6"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A500004 Produženi boravak</w:t>
            </w:r>
          </w:p>
        </w:tc>
        <w:tc>
          <w:tcPr>
            <w:tcW w:w="1307" w:type="dxa"/>
            <w:tcBorders>
              <w:top w:val="nil"/>
              <w:left w:val="nil"/>
              <w:bottom w:val="single" w:sz="4" w:space="0" w:color="auto"/>
              <w:right w:val="single" w:sz="4" w:space="0" w:color="auto"/>
            </w:tcBorders>
            <w:shd w:val="clear" w:color="000000" w:fill="FFFFFF"/>
            <w:noWrap/>
            <w:vAlign w:val="bottom"/>
            <w:hideMark/>
          </w:tcPr>
          <w:p w14:paraId="12345FD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323.314,00</w:t>
            </w:r>
          </w:p>
        </w:tc>
        <w:tc>
          <w:tcPr>
            <w:tcW w:w="1123" w:type="dxa"/>
            <w:tcBorders>
              <w:top w:val="nil"/>
              <w:left w:val="nil"/>
              <w:bottom w:val="single" w:sz="4" w:space="0" w:color="auto"/>
              <w:right w:val="single" w:sz="4" w:space="0" w:color="auto"/>
            </w:tcBorders>
            <w:shd w:val="clear" w:color="000000" w:fill="FFFFFF"/>
            <w:noWrap/>
            <w:vAlign w:val="bottom"/>
            <w:hideMark/>
          </w:tcPr>
          <w:p w14:paraId="7E4E2D3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64.828,00</w:t>
            </w:r>
          </w:p>
        </w:tc>
        <w:tc>
          <w:tcPr>
            <w:tcW w:w="1123" w:type="dxa"/>
            <w:tcBorders>
              <w:top w:val="nil"/>
              <w:left w:val="nil"/>
              <w:bottom w:val="single" w:sz="4" w:space="0" w:color="auto"/>
              <w:right w:val="single" w:sz="4" w:space="0" w:color="auto"/>
            </w:tcBorders>
            <w:shd w:val="clear" w:color="000000" w:fill="FFFFFF"/>
            <w:noWrap/>
            <w:vAlign w:val="bottom"/>
            <w:hideMark/>
          </w:tcPr>
          <w:p w14:paraId="1828E9C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20,05</w:t>
            </w:r>
          </w:p>
        </w:tc>
        <w:tc>
          <w:tcPr>
            <w:tcW w:w="1240" w:type="dxa"/>
            <w:tcBorders>
              <w:top w:val="nil"/>
              <w:left w:val="nil"/>
              <w:bottom w:val="single" w:sz="4" w:space="0" w:color="auto"/>
              <w:right w:val="single" w:sz="4" w:space="0" w:color="auto"/>
            </w:tcBorders>
            <w:shd w:val="clear" w:color="000000" w:fill="FFFFFF"/>
            <w:noWrap/>
            <w:vAlign w:val="bottom"/>
            <w:hideMark/>
          </w:tcPr>
          <w:p w14:paraId="749E231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388.142,00</w:t>
            </w:r>
          </w:p>
        </w:tc>
      </w:tr>
      <w:tr w:rsidR="00BC7E60" w:rsidRPr="00497178" w14:paraId="1214DD1A"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3B505C35"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A500005 Dodatne aktivnosti učenika i osoblja u školi</w:t>
            </w:r>
          </w:p>
        </w:tc>
        <w:tc>
          <w:tcPr>
            <w:tcW w:w="1307" w:type="dxa"/>
            <w:tcBorders>
              <w:top w:val="nil"/>
              <w:left w:val="nil"/>
              <w:bottom w:val="single" w:sz="4" w:space="0" w:color="auto"/>
              <w:right w:val="single" w:sz="4" w:space="0" w:color="auto"/>
            </w:tcBorders>
            <w:shd w:val="clear" w:color="000000" w:fill="FFFFFF"/>
            <w:noWrap/>
            <w:vAlign w:val="bottom"/>
            <w:hideMark/>
          </w:tcPr>
          <w:p w14:paraId="14EE397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51.040,00</w:t>
            </w:r>
          </w:p>
        </w:tc>
        <w:tc>
          <w:tcPr>
            <w:tcW w:w="1123" w:type="dxa"/>
            <w:tcBorders>
              <w:top w:val="nil"/>
              <w:left w:val="nil"/>
              <w:bottom w:val="single" w:sz="4" w:space="0" w:color="auto"/>
              <w:right w:val="single" w:sz="4" w:space="0" w:color="auto"/>
            </w:tcBorders>
            <w:shd w:val="clear" w:color="000000" w:fill="FFFFFF"/>
            <w:noWrap/>
            <w:vAlign w:val="bottom"/>
            <w:hideMark/>
          </w:tcPr>
          <w:p w14:paraId="1220614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-3.235,00</w:t>
            </w:r>
          </w:p>
        </w:tc>
        <w:tc>
          <w:tcPr>
            <w:tcW w:w="1123" w:type="dxa"/>
            <w:tcBorders>
              <w:top w:val="nil"/>
              <w:left w:val="nil"/>
              <w:bottom w:val="single" w:sz="4" w:space="0" w:color="auto"/>
              <w:right w:val="single" w:sz="4" w:space="0" w:color="auto"/>
            </w:tcBorders>
            <w:shd w:val="clear" w:color="000000" w:fill="FFFFFF"/>
            <w:noWrap/>
            <w:vAlign w:val="bottom"/>
            <w:hideMark/>
          </w:tcPr>
          <w:p w14:paraId="7F3FC33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-6,34</w:t>
            </w:r>
          </w:p>
        </w:tc>
        <w:tc>
          <w:tcPr>
            <w:tcW w:w="1240" w:type="dxa"/>
            <w:tcBorders>
              <w:top w:val="nil"/>
              <w:left w:val="nil"/>
              <w:bottom w:val="single" w:sz="4" w:space="0" w:color="auto"/>
              <w:right w:val="single" w:sz="4" w:space="0" w:color="auto"/>
            </w:tcBorders>
            <w:shd w:val="clear" w:color="000000" w:fill="FFFFFF"/>
            <w:noWrap/>
            <w:vAlign w:val="bottom"/>
            <w:hideMark/>
          </w:tcPr>
          <w:p w14:paraId="4C31158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47.805,00</w:t>
            </w:r>
          </w:p>
        </w:tc>
      </w:tr>
      <w:tr w:rsidR="00BC7E60" w:rsidRPr="00497178" w14:paraId="554ECBE0"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572F33B"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A500006 Osiguranje pomoćnika učenicima s teškoćama</w:t>
            </w:r>
          </w:p>
        </w:tc>
        <w:tc>
          <w:tcPr>
            <w:tcW w:w="1307" w:type="dxa"/>
            <w:tcBorders>
              <w:top w:val="nil"/>
              <w:left w:val="nil"/>
              <w:bottom w:val="single" w:sz="4" w:space="0" w:color="auto"/>
              <w:right w:val="single" w:sz="4" w:space="0" w:color="auto"/>
            </w:tcBorders>
            <w:shd w:val="clear" w:color="000000" w:fill="FFFFFF"/>
            <w:noWrap/>
            <w:vAlign w:val="bottom"/>
            <w:hideMark/>
          </w:tcPr>
          <w:p w14:paraId="65E9EE8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75.690,00</w:t>
            </w:r>
          </w:p>
        </w:tc>
        <w:tc>
          <w:tcPr>
            <w:tcW w:w="1123" w:type="dxa"/>
            <w:tcBorders>
              <w:top w:val="nil"/>
              <w:left w:val="nil"/>
              <w:bottom w:val="single" w:sz="4" w:space="0" w:color="auto"/>
              <w:right w:val="single" w:sz="4" w:space="0" w:color="auto"/>
            </w:tcBorders>
            <w:shd w:val="clear" w:color="000000" w:fill="FFFFFF"/>
            <w:noWrap/>
            <w:vAlign w:val="bottom"/>
            <w:hideMark/>
          </w:tcPr>
          <w:p w14:paraId="5A70B7E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9.175,00</w:t>
            </w:r>
          </w:p>
        </w:tc>
        <w:tc>
          <w:tcPr>
            <w:tcW w:w="1123" w:type="dxa"/>
            <w:tcBorders>
              <w:top w:val="nil"/>
              <w:left w:val="nil"/>
              <w:bottom w:val="single" w:sz="4" w:space="0" w:color="auto"/>
              <w:right w:val="single" w:sz="4" w:space="0" w:color="auto"/>
            </w:tcBorders>
            <w:shd w:val="clear" w:color="000000" w:fill="FFFFFF"/>
            <w:noWrap/>
            <w:vAlign w:val="bottom"/>
            <w:hideMark/>
          </w:tcPr>
          <w:p w14:paraId="314C640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12,12</w:t>
            </w:r>
          </w:p>
        </w:tc>
        <w:tc>
          <w:tcPr>
            <w:tcW w:w="1240" w:type="dxa"/>
            <w:tcBorders>
              <w:top w:val="nil"/>
              <w:left w:val="nil"/>
              <w:bottom w:val="single" w:sz="4" w:space="0" w:color="auto"/>
              <w:right w:val="single" w:sz="4" w:space="0" w:color="auto"/>
            </w:tcBorders>
            <w:shd w:val="clear" w:color="000000" w:fill="FFFFFF"/>
            <w:noWrap/>
            <w:vAlign w:val="bottom"/>
            <w:hideMark/>
          </w:tcPr>
          <w:p w14:paraId="5AA70A9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84.865,00</w:t>
            </w:r>
          </w:p>
        </w:tc>
      </w:tr>
      <w:tr w:rsidR="00BC7E60" w:rsidRPr="00497178" w14:paraId="284E3288"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AF03BF9"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A500007 Financiranje izvannastavnih projekata i drugo</w:t>
            </w:r>
          </w:p>
        </w:tc>
        <w:tc>
          <w:tcPr>
            <w:tcW w:w="1307" w:type="dxa"/>
            <w:tcBorders>
              <w:top w:val="nil"/>
              <w:left w:val="nil"/>
              <w:bottom w:val="single" w:sz="4" w:space="0" w:color="auto"/>
              <w:right w:val="single" w:sz="4" w:space="0" w:color="auto"/>
            </w:tcBorders>
            <w:shd w:val="clear" w:color="000000" w:fill="FFFFFF"/>
            <w:noWrap/>
            <w:vAlign w:val="bottom"/>
            <w:hideMark/>
          </w:tcPr>
          <w:p w14:paraId="7D39930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1.300,00</w:t>
            </w:r>
          </w:p>
        </w:tc>
        <w:tc>
          <w:tcPr>
            <w:tcW w:w="1123" w:type="dxa"/>
            <w:tcBorders>
              <w:top w:val="nil"/>
              <w:left w:val="nil"/>
              <w:bottom w:val="single" w:sz="4" w:space="0" w:color="auto"/>
              <w:right w:val="single" w:sz="4" w:space="0" w:color="auto"/>
            </w:tcBorders>
            <w:shd w:val="clear" w:color="000000" w:fill="FFFFFF"/>
            <w:noWrap/>
            <w:vAlign w:val="bottom"/>
            <w:hideMark/>
          </w:tcPr>
          <w:p w14:paraId="24C9552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4.394,00</w:t>
            </w:r>
          </w:p>
        </w:tc>
        <w:tc>
          <w:tcPr>
            <w:tcW w:w="1123" w:type="dxa"/>
            <w:tcBorders>
              <w:top w:val="nil"/>
              <w:left w:val="nil"/>
              <w:bottom w:val="single" w:sz="4" w:space="0" w:color="auto"/>
              <w:right w:val="single" w:sz="4" w:space="0" w:color="auto"/>
            </w:tcBorders>
            <w:shd w:val="clear" w:color="000000" w:fill="FFFFFF"/>
            <w:noWrap/>
            <w:vAlign w:val="bottom"/>
            <w:hideMark/>
          </w:tcPr>
          <w:p w14:paraId="5AD446E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338,00</w:t>
            </w:r>
          </w:p>
        </w:tc>
        <w:tc>
          <w:tcPr>
            <w:tcW w:w="1240" w:type="dxa"/>
            <w:tcBorders>
              <w:top w:val="nil"/>
              <w:left w:val="nil"/>
              <w:bottom w:val="single" w:sz="4" w:space="0" w:color="auto"/>
              <w:right w:val="single" w:sz="4" w:space="0" w:color="auto"/>
            </w:tcBorders>
            <w:shd w:val="clear" w:color="000000" w:fill="FFFFFF"/>
            <w:noWrap/>
            <w:vAlign w:val="bottom"/>
            <w:hideMark/>
          </w:tcPr>
          <w:p w14:paraId="1CB008C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5.694,00</w:t>
            </w:r>
          </w:p>
        </w:tc>
      </w:tr>
      <w:tr w:rsidR="00BC7E60" w:rsidRPr="00497178" w14:paraId="12C6E617"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AF55CA1" w14:textId="77777777" w:rsidR="00BC7E60" w:rsidRPr="00497178" w:rsidRDefault="00BC7E60" w:rsidP="00512D52">
            <w:pPr>
              <w:rPr>
                <w:rFonts w:ascii="Arial" w:hAnsi="Arial" w:cs="Arial"/>
                <w:sz w:val="16"/>
                <w:szCs w:val="16"/>
              </w:rPr>
            </w:pPr>
            <w:r w:rsidRPr="00497178">
              <w:rPr>
                <w:rFonts w:ascii="Arial" w:hAnsi="Arial" w:cs="Arial"/>
                <w:sz w:val="16"/>
                <w:szCs w:val="16"/>
              </w:rPr>
              <w:t>Kapitalni projekt K500001 Kapitalna ulaganja osnovnog školstva</w:t>
            </w:r>
          </w:p>
        </w:tc>
        <w:tc>
          <w:tcPr>
            <w:tcW w:w="1307" w:type="dxa"/>
            <w:tcBorders>
              <w:top w:val="nil"/>
              <w:left w:val="nil"/>
              <w:bottom w:val="single" w:sz="4" w:space="0" w:color="auto"/>
              <w:right w:val="single" w:sz="4" w:space="0" w:color="auto"/>
            </w:tcBorders>
            <w:shd w:val="clear" w:color="000000" w:fill="FFFFFF"/>
            <w:noWrap/>
            <w:vAlign w:val="bottom"/>
            <w:hideMark/>
          </w:tcPr>
          <w:p w14:paraId="11EF626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78.772,00</w:t>
            </w:r>
          </w:p>
        </w:tc>
        <w:tc>
          <w:tcPr>
            <w:tcW w:w="1123" w:type="dxa"/>
            <w:tcBorders>
              <w:top w:val="nil"/>
              <w:left w:val="nil"/>
              <w:bottom w:val="single" w:sz="4" w:space="0" w:color="auto"/>
              <w:right w:val="single" w:sz="4" w:space="0" w:color="auto"/>
            </w:tcBorders>
            <w:shd w:val="clear" w:color="000000" w:fill="FFFFFF"/>
            <w:noWrap/>
            <w:vAlign w:val="bottom"/>
            <w:hideMark/>
          </w:tcPr>
          <w:p w14:paraId="279FFCE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-10.000,00</w:t>
            </w:r>
          </w:p>
        </w:tc>
        <w:tc>
          <w:tcPr>
            <w:tcW w:w="1123" w:type="dxa"/>
            <w:tcBorders>
              <w:top w:val="nil"/>
              <w:left w:val="nil"/>
              <w:bottom w:val="single" w:sz="4" w:space="0" w:color="auto"/>
              <w:right w:val="single" w:sz="4" w:space="0" w:color="auto"/>
            </w:tcBorders>
            <w:shd w:val="clear" w:color="000000" w:fill="FFFFFF"/>
            <w:noWrap/>
            <w:vAlign w:val="bottom"/>
            <w:hideMark/>
          </w:tcPr>
          <w:p w14:paraId="3FB6668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-12,69</w:t>
            </w:r>
          </w:p>
        </w:tc>
        <w:tc>
          <w:tcPr>
            <w:tcW w:w="1240" w:type="dxa"/>
            <w:tcBorders>
              <w:top w:val="nil"/>
              <w:left w:val="nil"/>
              <w:bottom w:val="single" w:sz="4" w:space="0" w:color="auto"/>
              <w:right w:val="single" w:sz="4" w:space="0" w:color="auto"/>
            </w:tcBorders>
            <w:shd w:val="clear" w:color="000000" w:fill="FFFFFF"/>
            <w:noWrap/>
            <w:vAlign w:val="bottom"/>
            <w:hideMark/>
          </w:tcPr>
          <w:p w14:paraId="538790B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68.772,00</w:t>
            </w:r>
          </w:p>
        </w:tc>
      </w:tr>
      <w:tr w:rsidR="00BC7E60" w:rsidRPr="00497178" w14:paraId="50B43B2D"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375C9A2"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Proračunski korisnik 10645 CENTAR LIČE FARAGUNA LABIN</w:t>
            </w:r>
          </w:p>
        </w:tc>
        <w:tc>
          <w:tcPr>
            <w:tcW w:w="1307" w:type="dxa"/>
            <w:tcBorders>
              <w:top w:val="nil"/>
              <w:left w:val="nil"/>
              <w:bottom w:val="single" w:sz="4" w:space="0" w:color="auto"/>
              <w:right w:val="single" w:sz="4" w:space="0" w:color="auto"/>
            </w:tcBorders>
            <w:shd w:val="clear" w:color="000000" w:fill="FFFFFF"/>
            <w:noWrap/>
            <w:vAlign w:val="bottom"/>
            <w:hideMark/>
          </w:tcPr>
          <w:p w14:paraId="08C53E6C"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664.020,00</w:t>
            </w:r>
          </w:p>
        </w:tc>
        <w:tc>
          <w:tcPr>
            <w:tcW w:w="1123" w:type="dxa"/>
            <w:tcBorders>
              <w:top w:val="nil"/>
              <w:left w:val="nil"/>
              <w:bottom w:val="single" w:sz="4" w:space="0" w:color="auto"/>
              <w:right w:val="single" w:sz="4" w:space="0" w:color="auto"/>
            </w:tcBorders>
            <w:shd w:val="clear" w:color="000000" w:fill="FFFFFF"/>
            <w:noWrap/>
            <w:vAlign w:val="bottom"/>
            <w:hideMark/>
          </w:tcPr>
          <w:p w14:paraId="11F85E60"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36.854,00</w:t>
            </w:r>
          </w:p>
        </w:tc>
        <w:tc>
          <w:tcPr>
            <w:tcW w:w="1123" w:type="dxa"/>
            <w:tcBorders>
              <w:top w:val="nil"/>
              <w:left w:val="nil"/>
              <w:bottom w:val="single" w:sz="4" w:space="0" w:color="auto"/>
              <w:right w:val="single" w:sz="4" w:space="0" w:color="auto"/>
            </w:tcBorders>
            <w:shd w:val="clear" w:color="000000" w:fill="FFFFFF"/>
            <w:noWrap/>
            <w:vAlign w:val="bottom"/>
            <w:hideMark/>
          </w:tcPr>
          <w:p w14:paraId="004931A4"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5,55</w:t>
            </w:r>
          </w:p>
        </w:tc>
        <w:tc>
          <w:tcPr>
            <w:tcW w:w="1240" w:type="dxa"/>
            <w:tcBorders>
              <w:top w:val="nil"/>
              <w:left w:val="nil"/>
              <w:bottom w:val="single" w:sz="4" w:space="0" w:color="auto"/>
              <w:right w:val="single" w:sz="4" w:space="0" w:color="auto"/>
            </w:tcBorders>
            <w:shd w:val="clear" w:color="000000" w:fill="FFFFFF"/>
            <w:noWrap/>
            <w:vAlign w:val="bottom"/>
            <w:hideMark/>
          </w:tcPr>
          <w:p w14:paraId="13020CDD"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700.874,00</w:t>
            </w:r>
          </w:p>
        </w:tc>
      </w:tr>
      <w:tr w:rsidR="00BC7E60" w:rsidRPr="00497178" w14:paraId="68AEFF08"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2D4EFABB"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5002 Obrazovanje</w:t>
            </w:r>
          </w:p>
        </w:tc>
        <w:tc>
          <w:tcPr>
            <w:tcW w:w="1307" w:type="dxa"/>
            <w:tcBorders>
              <w:top w:val="nil"/>
              <w:left w:val="nil"/>
              <w:bottom w:val="single" w:sz="4" w:space="0" w:color="auto"/>
              <w:right w:val="single" w:sz="4" w:space="0" w:color="auto"/>
            </w:tcBorders>
            <w:shd w:val="clear" w:color="000000" w:fill="FFFFFF"/>
            <w:noWrap/>
            <w:vAlign w:val="bottom"/>
            <w:hideMark/>
          </w:tcPr>
          <w:p w14:paraId="49F5ABA1"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664.020,00</w:t>
            </w:r>
          </w:p>
        </w:tc>
        <w:tc>
          <w:tcPr>
            <w:tcW w:w="1123" w:type="dxa"/>
            <w:tcBorders>
              <w:top w:val="nil"/>
              <w:left w:val="nil"/>
              <w:bottom w:val="single" w:sz="4" w:space="0" w:color="auto"/>
              <w:right w:val="single" w:sz="4" w:space="0" w:color="auto"/>
            </w:tcBorders>
            <w:shd w:val="clear" w:color="000000" w:fill="FFFFFF"/>
            <w:noWrap/>
            <w:vAlign w:val="bottom"/>
            <w:hideMark/>
          </w:tcPr>
          <w:p w14:paraId="70C61534"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36.854,00</w:t>
            </w:r>
          </w:p>
        </w:tc>
        <w:tc>
          <w:tcPr>
            <w:tcW w:w="1123" w:type="dxa"/>
            <w:tcBorders>
              <w:top w:val="nil"/>
              <w:left w:val="nil"/>
              <w:bottom w:val="single" w:sz="4" w:space="0" w:color="auto"/>
              <w:right w:val="single" w:sz="4" w:space="0" w:color="auto"/>
            </w:tcBorders>
            <w:shd w:val="clear" w:color="000000" w:fill="FFFFFF"/>
            <w:noWrap/>
            <w:vAlign w:val="bottom"/>
            <w:hideMark/>
          </w:tcPr>
          <w:p w14:paraId="7A28644C"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5,55</w:t>
            </w:r>
          </w:p>
        </w:tc>
        <w:tc>
          <w:tcPr>
            <w:tcW w:w="1240" w:type="dxa"/>
            <w:tcBorders>
              <w:top w:val="nil"/>
              <w:left w:val="nil"/>
              <w:bottom w:val="single" w:sz="4" w:space="0" w:color="auto"/>
              <w:right w:val="single" w:sz="4" w:space="0" w:color="auto"/>
            </w:tcBorders>
            <w:shd w:val="clear" w:color="000000" w:fill="FFFFFF"/>
            <w:noWrap/>
            <w:vAlign w:val="bottom"/>
            <w:hideMark/>
          </w:tcPr>
          <w:p w14:paraId="7A9CB3EA"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700.874,00</w:t>
            </w:r>
          </w:p>
        </w:tc>
      </w:tr>
      <w:tr w:rsidR="00BC7E60" w:rsidRPr="00497178" w14:paraId="01D05488"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1C7ACCD2"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A500003 Financiranje djelatnosti osnovnog školstva</w:t>
            </w:r>
          </w:p>
        </w:tc>
        <w:tc>
          <w:tcPr>
            <w:tcW w:w="1307" w:type="dxa"/>
            <w:tcBorders>
              <w:top w:val="nil"/>
              <w:left w:val="nil"/>
              <w:bottom w:val="single" w:sz="4" w:space="0" w:color="auto"/>
              <w:right w:val="single" w:sz="4" w:space="0" w:color="auto"/>
            </w:tcBorders>
            <w:shd w:val="clear" w:color="000000" w:fill="FFFFFF"/>
            <w:noWrap/>
            <w:vAlign w:val="bottom"/>
            <w:hideMark/>
          </w:tcPr>
          <w:p w14:paraId="2E1051E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557.340,00</w:t>
            </w:r>
          </w:p>
        </w:tc>
        <w:tc>
          <w:tcPr>
            <w:tcW w:w="1123" w:type="dxa"/>
            <w:tcBorders>
              <w:top w:val="nil"/>
              <w:left w:val="nil"/>
              <w:bottom w:val="single" w:sz="4" w:space="0" w:color="auto"/>
              <w:right w:val="single" w:sz="4" w:space="0" w:color="auto"/>
            </w:tcBorders>
            <w:shd w:val="clear" w:color="000000" w:fill="FFFFFF"/>
            <w:noWrap/>
            <w:vAlign w:val="bottom"/>
            <w:hideMark/>
          </w:tcPr>
          <w:p w14:paraId="43220A6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25.784,00</w:t>
            </w:r>
          </w:p>
        </w:tc>
        <w:tc>
          <w:tcPr>
            <w:tcW w:w="1123" w:type="dxa"/>
            <w:tcBorders>
              <w:top w:val="nil"/>
              <w:left w:val="nil"/>
              <w:bottom w:val="single" w:sz="4" w:space="0" w:color="auto"/>
              <w:right w:val="single" w:sz="4" w:space="0" w:color="auto"/>
            </w:tcBorders>
            <w:shd w:val="clear" w:color="000000" w:fill="FFFFFF"/>
            <w:noWrap/>
            <w:vAlign w:val="bottom"/>
            <w:hideMark/>
          </w:tcPr>
          <w:p w14:paraId="0BF6710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4,63</w:t>
            </w:r>
          </w:p>
        </w:tc>
        <w:tc>
          <w:tcPr>
            <w:tcW w:w="1240" w:type="dxa"/>
            <w:tcBorders>
              <w:top w:val="nil"/>
              <w:left w:val="nil"/>
              <w:bottom w:val="single" w:sz="4" w:space="0" w:color="auto"/>
              <w:right w:val="single" w:sz="4" w:space="0" w:color="auto"/>
            </w:tcBorders>
            <w:shd w:val="clear" w:color="000000" w:fill="FFFFFF"/>
            <w:noWrap/>
            <w:vAlign w:val="bottom"/>
            <w:hideMark/>
          </w:tcPr>
          <w:p w14:paraId="085A0DC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583.124,00</w:t>
            </w:r>
          </w:p>
        </w:tc>
      </w:tr>
      <w:tr w:rsidR="00BC7E60" w:rsidRPr="00497178" w14:paraId="0E67FB50"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30479DD4"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A500006 Osiguranje pomoćnika učenicima s teškoćama</w:t>
            </w:r>
          </w:p>
        </w:tc>
        <w:tc>
          <w:tcPr>
            <w:tcW w:w="1307" w:type="dxa"/>
            <w:tcBorders>
              <w:top w:val="nil"/>
              <w:left w:val="nil"/>
              <w:bottom w:val="single" w:sz="4" w:space="0" w:color="auto"/>
              <w:right w:val="single" w:sz="4" w:space="0" w:color="auto"/>
            </w:tcBorders>
            <w:shd w:val="clear" w:color="000000" w:fill="FFFFFF"/>
            <w:noWrap/>
            <w:vAlign w:val="bottom"/>
            <w:hideMark/>
          </w:tcPr>
          <w:p w14:paraId="467E9F3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74.000,00</w:t>
            </w:r>
          </w:p>
        </w:tc>
        <w:tc>
          <w:tcPr>
            <w:tcW w:w="1123" w:type="dxa"/>
            <w:tcBorders>
              <w:top w:val="nil"/>
              <w:left w:val="nil"/>
              <w:bottom w:val="single" w:sz="4" w:space="0" w:color="auto"/>
              <w:right w:val="single" w:sz="4" w:space="0" w:color="auto"/>
            </w:tcBorders>
            <w:shd w:val="clear" w:color="000000" w:fill="FFFFFF"/>
            <w:noWrap/>
            <w:vAlign w:val="bottom"/>
            <w:hideMark/>
          </w:tcPr>
          <w:p w14:paraId="02AFD41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2E68EDB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0A73900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74.000,00</w:t>
            </w:r>
          </w:p>
        </w:tc>
      </w:tr>
      <w:tr w:rsidR="00BC7E60" w:rsidRPr="00497178" w14:paraId="23A11837"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620DF17"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A500007 Financiranje izvannastavnih projekata i drugo</w:t>
            </w:r>
          </w:p>
        </w:tc>
        <w:tc>
          <w:tcPr>
            <w:tcW w:w="1307" w:type="dxa"/>
            <w:tcBorders>
              <w:top w:val="nil"/>
              <w:left w:val="nil"/>
              <w:bottom w:val="single" w:sz="4" w:space="0" w:color="auto"/>
              <w:right w:val="single" w:sz="4" w:space="0" w:color="auto"/>
            </w:tcBorders>
            <w:shd w:val="clear" w:color="000000" w:fill="FFFFFF"/>
            <w:noWrap/>
            <w:vAlign w:val="bottom"/>
            <w:hideMark/>
          </w:tcPr>
          <w:p w14:paraId="761B439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1.300,00</w:t>
            </w:r>
          </w:p>
        </w:tc>
        <w:tc>
          <w:tcPr>
            <w:tcW w:w="1123" w:type="dxa"/>
            <w:tcBorders>
              <w:top w:val="nil"/>
              <w:left w:val="nil"/>
              <w:bottom w:val="single" w:sz="4" w:space="0" w:color="auto"/>
              <w:right w:val="single" w:sz="4" w:space="0" w:color="auto"/>
            </w:tcBorders>
            <w:shd w:val="clear" w:color="000000" w:fill="FFFFFF"/>
            <w:noWrap/>
            <w:vAlign w:val="bottom"/>
            <w:hideMark/>
          </w:tcPr>
          <w:p w14:paraId="0EFC76E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0669882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999280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1.300,00</w:t>
            </w:r>
          </w:p>
        </w:tc>
      </w:tr>
      <w:tr w:rsidR="00BC7E60" w:rsidRPr="00497178" w14:paraId="5D458E64"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62ACBFF"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A500008 Sufinanciranje boravka djece</w:t>
            </w:r>
          </w:p>
        </w:tc>
        <w:tc>
          <w:tcPr>
            <w:tcW w:w="1307" w:type="dxa"/>
            <w:tcBorders>
              <w:top w:val="nil"/>
              <w:left w:val="nil"/>
              <w:bottom w:val="single" w:sz="4" w:space="0" w:color="auto"/>
              <w:right w:val="single" w:sz="4" w:space="0" w:color="auto"/>
            </w:tcBorders>
            <w:shd w:val="clear" w:color="000000" w:fill="FFFFFF"/>
            <w:noWrap/>
            <w:vAlign w:val="bottom"/>
            <w:hideMark/>
          </w:tcPr>
          <w:p w14:paraId="62E0E38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12.500,00</w:t>
            </w:r>
          </w:p>
        </w:tc>
        <w:tc>
          <w:tcPr>
            <w:tcW w:w="1123" w:type="dxa"/>
            <w:tcBorders>
              <w:top w:val="nil"/>
              <w:left w:val="nil"/>
              <w:bottom w:val="single" w:sz="4" w:space="0" w:color="auto"/>
              <w:right w:val="single" w:sz="4" w:space="0" w:color="auto"/>
            </w:tcBorders>
            <w:shd w:val="clear" w:color="000000" w:fill="FFFFFF"/>
            <w:noWrap/>
            <w:vAlign w:val="bottom"/>
            <w:hideMark/>
          </w:tcPr>
          <w:p w14:paraId="6886AA6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5.070,00</w:t>
            </w:r>
          </w:p>
        </w:tc>
        <w:tc>
          <w:tcPr>
            <w:tcW w:w="1123" w:type="dxa"/>
            <w:tcBorders>
              <w:top w:val="nil"/>
              <w:left w:val="nil"/>
              <w:bottom w:val="single" w:sz="4" w:space="0" w:color="auto"/>
              <w:right w:val="single" w:sz="4" w:space="0" w:color="auto"/>
            </w:tcBorders>
            <w:shd w:val="clear" w:color="000000" w:fill="FFFFFF"/>
            <w:noWrap/>
            <w:vAlign w:val="bottom"/>
            <w:hideMark/>
          </w:tcPr>
          <w:p w14:paraId="1144403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40,56</w:t>
            </w:r>
          </w:p>
        </w:tc>
        <w:tc>
          <w:tcPr>
            <w:tcW w:w="1240" w:type="dxa"/>
            <w:tcBorders>
              <w:top w:val="nil"/>
              <w:left w:val="nil"/>
              <w:bottom w:val="single" w:sz="4" w:space="0" w:color="auto"/>
              <w:right w:val="single" w:sz="4" w:space="0" w:color="auto"/>
            </w:tcBorders>
            <w:shd w:val="clear" w:color="000000" w:fill="FFFFFF"/>
            <w:noWrap/>
            <w:vAlign w:val="bottom"/>
            <w:hideMark/>
          </w:tcPr>
          <w:p w14:paraId="0260F93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17.570,00</w:t>
            </w:r>
          </w:p>
        </w:tc>
      </w:tr>
      <w:tr w:rsidR="00BC7E60" w:rsidRPr="00497178" w14:paraId="56B87247"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074833F"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A500013 Financiranje aktivnosti predškolske djece</w:t>
            </w:r>
          </w:p>
        </w:tc>
        <w:tc>
          <w:tcPr>
            <w:tcW w:w="1307" w:type="dxa"/>
            <w:tcBorders>
              <w:top w:val="nil"/>
              <w:left w:val="nil"/>
              <w:bottom w:val="single" w:sz="4" w:space="0" w:color="auto"/>
              <w:right w:val="single" w:sz="4" w:space="0" w:color="auto"/>
            </w:tcBorders>
            <w:shd w:val="clear" w:color="000000" w:fill="FFFFFF"/>
            <w:noWrap/>
            <w:vAlign w:val="bottom"/>
            <w:hideMark/>
          </w:tcPr>
          <w:p w14:paraId="20DBEE7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17.880,00</w:t>
            </w:r>
          </w:p>
        </w:tc>
        <w:tc>
          <w:tcPr>
            <w:tcW w:w="1123" w:type="dxa"/>
            <w:tcBorders>
              <w:top w:val="nil"/>
              <w:left w:val="nil"/>
              <w:bottom w:val="single" w:sz="4" w:space="0" w:color="auto"/>
              <w:right w:val="single" w:sz="4" w:space="0" w:color="auto"/>
            </w:tcBorders>
            <w:shd w:val="clear" w:color="000000" w:fill="FFFFFF"/>
            <w:noWrap/>
            <w:vAlign w:val="bottom"/>
            <w:hideMark/>
          </w:tcPr>
          <w:p w14:paraId="3058184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3EA76B5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7CD36B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17.880,00</w:t>
            </w:r>
          </w:p>
        </w:tc>
      </w:tr>
      <w:tr w:rsidR="00BC7E60" w:rsidRPr="00497178" w14:paraId="15EBD960"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D04F44B" w14:textId="77777777" w:rsidR="00BC7E60" w:rsidRPr="00497178" w:rsidRDefault="00BC7E60" w:rsidP="00512D52">
            <w:pPr>
              <w:rPr>
                <w:rFonts w:ascii="Arial" w:hAnsi="Arial" w:cs="Arial"/>
                <w:sz w:val="16"/>
                <w:szCs w:val="16"/>
              </w:rPr>
            </w:pPr>
            <w:r w:rsidRPr="00497178">
              <w:rPr>
                <w:rFonts w:ascii="Arial" w:hAnsi="Arial" w:cs="Arial"/>
                <w:sz w:val="16"/>
                <w:szCs w:val="16"/>
              </w:rPr>
              <w:t>Kapitalni projekt K500001 Kapitalna ulaganja osnovnog školstva</w:t>
            </w:r>
          </w:p>
        </w:tc>
        <w:tc>
          <w:tcPr>
            <w:tcW w:w="1307" w:type="dxa"/>
            <w:tcBorders>
              <w:top w:val="nil"/>
              <w:left w:val="nil"/>
              <w:bottom w:val="single" w:sz="4" w:space="0" w:color="auto"/>
              <w:right w:val="single" w:sz="4" w:space="0" w:color="auto"/>
            </w:tcBorders>
            <w:shd w:val="clear" w:color="000000" w:fill="FFFFFF"/>
            <w:noWrap/>
            <w:vAlign w:val="bottom"/>
            <w:hideMark/>
          </w:tcPr>
          <w:p w14:paraId="421CCDA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1.000,00</w:t>
            </w:r>
          </w:p>
        </w:tc>
        <w:tc>
          <w:tcPr>
            <w:tcW w:w="1123" w:type="dxa"/>
            <w:tcBorders>
              <w:top w:val="nil"/>
              <w:left w:val="nil"/>
              <w:bottom w:val="single" w:sz="4" w:space="0" w:color="auto"/>
              <w:right w:val="single" w:sz="4" w:space="0" w:color="auto"/>
            </w:tcBorders>
            <w:shd w:val="clear" w:color="000000" w:fill="FFFFFF"/>
            <w:noWrap/>
            <w:vAlign w:val="bottom"/>
            <w:hideMark/>
          </w:tcPr>
          <w:p w14:paraId="660AECA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6.000,00</w:t>
            </w:r>
          </w:p>
        </w:tc>
        <w:tc>
          <w:tcPr>
            <w:tcW w:w="1123" w:type="dxa"/>
            <w:tcBorders>
              <w:top w:val="nil"/>
              <w:left w:val="nil"/>
              <w:bottom w:val="single" w:sz="4" w:space="0" w:color="auto"/>
              <w:right w:val="single" w:sz="4" w:space="0" w:color="auto"/>
            </w:tcBorders>
            <w:shd w:val="clear" w:color="000000" w:fill="FFFFFF"/>
            <w:noWrap/>
            <w:vAlign w:val="bottom"/>
            <w:hideMark/>
          </w:tcPr>
          <w:p w14:paraId="4C2623E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600,00</w:t>
            </w:r>
          </w:p>
        </w:tc>
        <w:tc>
          <w:tcPr>
            <w:tcW w:w="1240" w:type="dxa"/>
            <w:tcBorders>
              <w:top w:val="nil"/>
              <w:left w:val="nil"/>
              <w:bottom w:val="single" w:sz="4" w:space="0" w:color="auto"/>
              <w:right w:val="single" w:sz="4" w:space="0" w:color="auto"/>
            </w:tcBorders>
            <w:shd w:val="clear" w:color="000000" w:fill="FFFFFF"/>
            <w:noWrap/>
            <w:vAlign w:val="bottom"/>
            <w:hideMark/>
          </w:tcPr>
          <w:p w14:paraId="6E3C2F3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7.000,00</w:t>
            </w:r>
          </w:p>
        </w:tc>
      </w:tr>
      <w:tr w:rsidR="00BC7E60" w:rsidRPr="00497178" w14:paraId="2CABEEDC"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13FEF88B"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Proračunski korisnik 48478 UMJETNIČKA ŠKOLA MATKA BRAJŠE RAŠANA LABIN</w:t>
            </w:r>
          </w:p>
        </w:tc>
        <w:tc>
          <w:tcPr>
            <w:tcW w:w="1307" w:type="dxa"/>
            <w:tcBorders>
              <w:top w:val="nil"/>
              <w:left w:val="nil"/>
              <w:bottom w:val="single" w:sz="4" w:space="0" w:color="auto"/>
              <w:right w:val="single" w:sz="4" w:space="0" w:color="auto"/>
            </w:tcBorders>
            <w:shd w:val="clear" w:color="000000" w:fill="FFFFFF"/>
            <w:noWrap/>
            <w:vAlign w:val="bottom"/>
            <w:hideMark/>
          </w:tcPr>
          <w:p w14:paraId="3791969B"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1.352.670,00</w:t>
            </w:r>
          </w:p>
        </w:tc>
        <w:tc>
          <w:tcPr>
            <w:tcW w:w="1123" w:type="dxa"/>
            <w:tcBorders>
              <w:top w:val="nil"/>
              <w:left w:val="nil"/>
              <w:bottom w:val="single" w:sz="4" w:space="0" w:color="auto"/>
              <w:right w:val="single" w:sz="4" w:space="0" w:color="auto"/>
            </w:tcBorders>
            <w:shd w:val="clear" w:color="000000" w:fill="FFFFFF"/>
            <w:noWrap/>
            <w:vAlign w:val="bottom"/>
            <w:hideMark/>
          </w:tcPr>
          <w:p w14:paraId="674B954B"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53.870,00</w:t>
            </w:r>
          </w:p>
        </w:tc>
        <w:tc>
          <w:tcPr>
            <w:tcW w:w="1123" w:type="dxa"/>
            <w:tcBorders>
              <w:top w:val="nil"/>
              <w:left w:val="nil"/>
              <w:bottom w:val="single" w:sz="4" w:space="0" w:color="auto"/>
              <w:right w:val="single" w:sz="4" w:space="0" w:color="auto"/>
            </w:tcBorders>
            <w:shd w:val="clear" w:color="000000" w:fill="FFFFFF"/>
            <w:noWrap/>
            <w:vAlign w:val="bottom"/>
            <w:hideMark/>
          </w:tcPr>
          <w:p w14:paraId="59AB480B"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3,98</w:t>
            </w:r>
          </w:p>
        </w:tc>
        <w:tc>
          <w:tcPr>
            <w:tcW w:w="1240" w:type="dxa"/>
            <w:tcBorders>
              <w:top w:val="nil"/>
              <w:left w:val="nil"/>
              <w:bottom w:val="single" w:sz="4" w:space="0" w:color="auto"/>
              <w:right w:val="single" w:sz="4" w:space="0" w:color="auto"/>
            </w:tcBorders>
            <w:shd w:val="clear" w:color="000000" w:fill="FFFFFF"/>
            <w:noWrap/>
            <w:vAlign w:val="bottom"/>
            <w:hideMark/>
          </w:tcPr>
          <w:p w14:paraId="1AF7BA1F"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1.406.540,00</w:t>
            </w:r>
          </w:p>
        </w:tc>
      </w:tr>
      <w:tr w:rsidR="00BC7E60" w:rsidRPr="00497178" w14:paraId="38FCCD33"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AF73F38"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5002 Obrazovanje</w:t>
            </w:r>
          </w:p>
        </w:tc>
        <w:tc>
          <w:tcPr>
            <w:tcW w:w="1307" w:type="dxa"/>
            <w:tcBorders>
              <w:top w:val="nil"/>
              <w:left w:val="nil"/>
              <w:bottom w:val="single" w:sz="4" w:space="0" w:color="auto"/>
              <w:right w:val="single" w:sz="4" w:space="0" w:color="auto"/>
            </w:tcBorders>
            <w:shd w:val="clear" w:color="000000" w:fill="FFFFFF"/>
            <w:noWrap/>
            <w:vAlign w:val="bottom"/>
            <w:hideMark/>
          </w:tcPr>
          <w:p w14:paraId="5A412441"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1.352.670,00</w:t>
            </w:r>
          </w:p>
        </w:tc>
        <w:tc>
          <w:tcPr>
            <w:tcW w:w="1123" w:type="dxa"/>
            <w:tcBorders>
              <w:top w:val="nil"/>
              <w:left w:val="nil"/>
              <w:bottom w:val="single" w:sz="4" w:space="0" w:color="auto"/>
              <w:right w:val="single" w:sz="4" w:space="0" w:color="auto"/>
            </w:tcBorders>
            <w:shd w:val="clear" w:color="000000" w:fill="FFFFFF"/>
            <w:noWrap/>
            <w:vAlign w:val="bottom"/>
            <w:hideMark/>
          </w:tcPr>
          <w:p w14:paraId="1018B472"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53.870,00</w:t>
            </w:r>
          </w:p>
        </w:tc>
        <w:tc>
          <w:tcPr>
            <w:tcW w:w="1123" w:type="dxa"/>
            <w:tcBorders>
              <w:top w:val="nil"/>
              <w:left w:val="nil"/>
              <w:bottom w:val="single" w:sz="4" w:space="0" w:color="auto"/>
              <w:right w:val="single" w:sz="4" w:space="0" w:color="auto"/>
            </w:tcBorders>
            <w:shd w:val="clear" w:color="000000" w:fill="FFFFFF"/>
            <w:noWrap/>
            <w:vAlign w:val="bottom"/>
            <w:hideMark/>
          </w:tcPr>
          <w:p w14:paraId="1ECF434C"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3,98</w:t>
            </w:r>
          </w:p>
        </w:tc>
        <w:tc>
          <w:tcPr>
            <w:tcW w:w="1240" w:type="dxa"/>
            <w:tcBorders>
              <w:top w:val="nil"/>
              <w:left w:val="nil"/>
              <w:bottom w:val="single" w:sz="4" w:space="0" w:color="auto"/>
              <w:right w:val="single" w:sz="4" w:space="0" w:color="auto"/>
            </w:tcBorders>
            <w:shd w:val="clear" w:color="000000" w:fill="FFFFFF"/>
            <w:noWrap/>
            <w:vAlign w:val="bottom"/>
            <w:hideMark/>
          </w:tcPr>
          <w:p w14:paraId="105571D6"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1.406.540,00</w:t>
            </w:r>
          </w:p>
        </w:tc>
      </w:tr>
      <w:tr w:rsidR="00BC7E60" w:rsidRPr="00497178" w14:paraId="47FAC55E"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558E8AE"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A500003 Financiranje djelatnosti osnovnog školstva</w:t>
            </w:r>
          </w:p>
        </w:tc>
        <w:tc>
          <w:tcPr>
            <w:tcW w:w="1307" w:type="dxa"/>
            <w:tcBorders>
              <w:top w:val="nil"/>
              <w:left w:val="nil"/>
              <w:bottom w:val="single" w:sz="4" w:space="0" w:color="auto"/>
              <w:right w:val="single" w:sz="4" w:space="0" w:color="auto"/>
            </w:tcBorders>
            <w:shd w:val="clear" w:color="000000" w:fill="FFFFFF"/>
            <w:noWrap/>
            <w:vAlign w:val="bottom"/>
            <w:hideMark/>
          </w:tcPr>
          <w:p w14:paraId="4EE33C2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1.324.970,00</w:t>
            </w:r>
          </w:p>
        </w:tc>
        <w:tc>
          <w:tcPr>
            <w:tcW w:w="1123" w:type="dxa"/>
            <w:tcBorders>
              <w:top w:val="nil"/>
              <w:left w:val="nil"/>
              <w:bottom w:val="single" w:sz="4" w:space="0" w:color="auto"/>
              <w:right w:val="single" w:sz="4" w:space="0" w:color="auto"/>
            </w:tcBorders>
            <w:shd w:val="clear" w:color="000000" w:fill="FFFFFF"/>
            <w:noWrap/>
            <w:vAlign w:val="bottom"/>
            <w:hideMark/>
          </w:tcPr>
          <w:p w14:paraId="7E88191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51.150,00</w:t>
            </w:r>
          </w:p>
        </w:tc>
        <w:tc>
          <w:tcPr>
            <w:tcW w:w="1123" w:type="dxa"/>
            <w:tcBorders>
              <w:top w:val="nil"/>
              <w:left w:val="nil"/>
              <w:bottom w:val="single" w:sz="4" w:space="0" w:color="auto"/>
              <w:right w:val="single" w:sz="4" w:space="0" w:color="auto"/>
            </w:tcBorders>
            <w:shd w:val="clear" w:color="000000" w:fill="FFFFFF"/>
            <w:noWrap/>
            <w:vAlign w:val="bottom"/>
            <w:hideMark/>
          </w:tcPr>
          <w:p w14:paraId="463818B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3,86</w:t>
            </w:r>
          </w:p>
        </w:tc>
        <w:tc>
          <w:tcPr>
            <w:tcW w:w="1240" w:type="dxa"/>
            <w:tcBorders>
              <w:top w:val="nil"/>
              <w:left w:val="nil"/>
              <w:bottom w:val="single" w:sz="4" w:space="0" w:color="auto"/>
              <w:right w:val="single" w:sz="4" w:space="0" w:color="auto"/>
            </w:tcBorders>
            <w:shd w:val="clear" w:color="000000" w:fill="FFFFFF"/>
            <w:noWrap/>
            <w:vAlign w:val="bottom"/>
            <w:hideMark/>
          </w:tcPr>
          <w:p w14:paraId="7118301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1.376.120,00</w:t>
            </w:r>
          </w:p>
        </w:tc>
      </w:tr>
      <w:tr w:rsidR="00BC7E60" w:rsidRPr="00497178" w14:paraId="515A91F8"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A72724C"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A500012 Pripremni glazbeni i plesni program</w:t>
            </w:r>
          </w:p>
        </w:tc>
        <w:tc>
          <w:tcPr>
            <w:tcW w:w="1307" w:type="dxa"/>
            <w:tcBorders>
              <w:top w:val="nil"/>
              <w:left w:val="nil"/>
              <w:bottom w:val="single" w:sz="4" w:space="0" w:color="auto"/>
              <w:right w:val="single" w:sz="4" w:space="0" w:color="auto"/>
            </w:tcBorders>
            <w:shd w:val="clear" w:color="000000" w:fill="FFFFFF"/>
            <w:noWrap/>
            <w:vAlign w:val="bottom"/>
            <w:hideMark/>
          </w:tcPr>
          <w:p w14:paraId="1397D4E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22.200,00</w:t>
            </w:r>
          </w:p>
        </w:tc>
        <w:tc>
          <w:tcPr>
            <w:tcW w:w="1123" w:type="dxa"/>
            <w:tcBorders>
              <w:top w:val="nil"/>
              <w:left w:val="nil"/>
              <w:bottom w:val="single" w:sz="4" w:space="0" w:color="auto"/>
              <w:right w:val="single" w:sz="4" w:space="0" w:color="auto"/>
            </w:tcBorders>
            <w:shd w:val="clear" w:color="000000" w:fill="FFFFFF"/>
            <w:noWrap/>
            <w:vAlign w:val="bottom"/>
            <w:hideMark/>
          </w:tcPr>
          <w:p w14:paraId="42D08A1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554EC08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93D57B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22.200,00</w:t>
            </w:r>
          </w:p>
        </w:tc>
      </w:tr>
      <w:tr w:rsidR="00BC7E60" w:rsidRPr="00497178" w14:paraId="3588C5AF"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1A9EC16B" w14:textId="77777777" w:rsidR="00BC7E60" w:rsidRPr="00497178" w:rsidRDefault="00BC7E60" w:rsidP="00512D52">
            <w:pPr>
              <w:rPr>
                <w:rFonts w:ascii="Arial" w:hAnsi="Arial" w:cs="Arial"/>
                <w:sz w:val="16"/>
                <w:szCs w:val="16"/>
              </w:rPr>
            </w:pPr>
            <w:r w:rsidRPr="00497178">
              <w:rPr>
                <w:rFonts w:ascii="Arial" w:hAnsi="Arial" w:cs="Arial"/>
                <w:sz w:val="16"/>
                <w:szCs w:val="16"/>
              </w:rPr>
              <w:t>Kapitalni projekt K500001 Kapitalna ulaganja osnovnog školstva</w:t>
            </w:r>
          </w:p>
        </w:tc>
        <w:tc>
          <w:tcPr>
            <w:tcW w:w="1307" w:type="dxa"/>
            <w:tcBorders>
              <w:top w:val="nil"/>
              <w:left w:val="nil"/>
              <w:bottom w:val="single" w:sz="4" w:space="0" w:color="auto"/>
              <w:right w:val="single" w:sz="4" w:space="0" w:color="auto"/>
            </w:tcBorders>
            <w:shd w:val="clear" w:color="000000" w:fill="FFFFFF"/>
            <w:noWrap/>
            <w:vAlign w:val="bottom"/>
            <w:hideMark/>
          </w:tcPr>
          <w:p w14:paraId="576EF60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5.500,00</w:t>
            </w:r>
          </w:p>
        </w:tc>
        <w:tc>
          <w:tcPr>
            <w:tcW w:w="1123" w:type="dxa"/>
            <w:tcBorders>
              <w:top w:val="nil"/>
              <w:left w:val="nil"/>
              <w:bottom w:val="single" w:sz="4" w:space="0" w:color="auto"/>
              <w:right w:val="single" w:sz="4" w:space="0" w:color="auto"/>
            </w:tcBorders>
            <w:shd w:val="clear" w:color="000000" w:fill="FFFFFF"/>
            <w:noWrap/>
            <w:vAlign w:val="bottom"/>
            <w:hideMark/>
          </w:tcPr>
          <w:p w14:paraId="56E1EB7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341354E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64ABFFF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5.500,00</w:t>
            </w:r>
          </w:p>
        </w:tc>
      </w:tr>
      <w:tr w:rsidR="00BC7E60" w:rsidRPr="00497178" w14:paraId="4319D46F"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B14A191" w14:textId="77777777" w:rsidR="00BC7E60" w:rsidRPr="00497178" w:rsidRDefault="00BC7E60" w:rsidP="00512D52">
            <w:pPr>
              <w:rPr>
                <w:rFonts w:ascii="Arial" w:hAnsi="Arial" w:cs="Arial"/>
                <w:sz w:val="16"/>
                <w:szCs w:val="16"/>
              </w:rPr>
            </w:pPr>
            <w:r w:rsidRPr="00497178">
              <w:rPr>
                <w:rFonts w:ascii="Arial" w:hAnsi="Arial" w:cs="Arial"/>
                <w:sz w:val="16"/>
                <w:szCs w:val="16"/>
              </w:rPr>
              <w:t>Tekući projekt T500007 Kulturno blago</w:t>
            </w:r>
          </w:p>
        </w:tc>
        <w:tc>
          <w:tcPr>
            <w:tcW w:w="1307" w:type="dxa"/>
            <w:tcBorders>
              <w:top w:val="nil"/>
              <w:left w:val="nil"/>
              <w:bottom w:val="single" w:sz="4" w:space="0" w:color="auto"/>
              <w:right w:val="single" w:sz="4" w:space="0" w:color="auto"/>
            </w:tcBorders>
            <w:shd w:val="clear" w:color="000000" w:fill="FFFFFF"/>
            <w:noWrap/>
            <w:vAlign w:val="bottom"/>
            <w:hideMark/>
          </w:tcPr>
          <w:p w14:paraId="41870D1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750E2E4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2.720,00</w:t>
            </w:r>
          </w:p>
        </w:tc>
        <w:tc>
          <w:tcPr>
            <w:tcW w:w="1123" w:type="dxa"/>
            <w:tcBorders>
              <w:top w:val="nil"/>
              <w:left w:val="nil"/>
              <w:bottom w:val="single" w:sz="4" w:space="0" w:color="auto"/>
              <w:right w:val="single" w:sz="4" w:space="0" w:color="auto"/>
            </w:tcBorders>
            <w:shd w:val="clear" w:color="000000" w:fill="FFFFFF"/>
            <w:noWrap/>
            <w:vAlign w:val="bottom"/>
            <w:hideMark/>
          </w:tcPr>
          <w:p w14:paraId="3C1159F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100,00</w:t>
            </w:r>
          </w:p>
        </w:tc>
        <w:tc>
          <w:tcPr>
            <w:tcW w:w="1240" w:type="dxa"/>
            <w:tcBorders>
              <w:top w:val="nil"/>
              <w:left w:val="nil"/>
              <w:bottom w:val="single" w:sz="4" w:space="0" w:color="auto"/>
              <w:right w:val="single" w:sz="4" w:space="0" w:color="auto"/>
            </w:tcBorders>
            <w:shd w:val="clear" w:color="000000" w:fill="FFFFFF"/>
            <w:noWrap/>
            <w:vAlign w:val="bottom"/>
            <w:hideMark/>
          </w:tcPr>
          <w:p w14:paraId="00B5375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2.720,00</w:t>
            </w:r>
          </w:p>
        </w:tc>
      </w:tr>
      <w:tr w:rsidR="00BC7E60" w:rsidRPr="00497178" w14:paraId="387453EB"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0F78482"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Glava 50004 USTANOVE U KULTURI</w:t>
            </w:r>
          </w:p>
        </w:tc>
        <w:tc>
          <w:tcPr>
            <w:tcW w:w="1307" w:type="dxa"/>
            <w:tcBorders>
              <w:top w:val="nil"/>
              <w:left w:val="nil"/>
              <w:bottom w:val="single" w:sz="4" w:space="0" w:color="auto"/>
              <w:right w:val="single" w:sz="4" w:space="0" w:color="auto"/>
            </w:tcBorders>
            <w:shd w:val="clear" w:color="000000" w:fill="FFFFFF"/>
            <w:noWrap/>
            <w:vAlign w:val="bottom"/>
            <w:hideMark/>
          </w:tcPr>
          <w:p w14:paraId="42A360E5"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772.629,00</w:t>
            </w:r>
          </w:p>
        </w:tc>
        <w:tc>
          <w:tcPr>
            <w:tcW w:w="1123" w:type="dxa"/>
            <w:tcBorders>
              <w:top w:val="nil"/>
              <w:left w:val="nil"/>
              <w:bottom w:val="single" w:sz="4" w:space="0" w:color="auto"/>
              <w:right w:val="single" w:sz="4" w:space="0" w:color="auto"/>
            </w:tcBorders>
            <w:shd w:val="clear" w:color="000000" w:fill="FFFFFF"/>
            <w:noWrap/>
            <w:vAlign w:val="bottom"/>
            <w:hideMark/>
          </w:tcPr>
          <w:p w14:paraId="10C8F9BA"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90.960,00</w:t>
            </w:r>
          </w:p>
        </w:tc>
        <w:tc>
          <w:tcPr>
            <w:tcW w:w="1123" w:type="dxa"/>
            <w:tcBorders>
              <w:top w:val="nil"/>
              <w:left w:val="nil"/>
              <w:bottom w:val="single" w:sz="4" w:space="0" w:color="auto"/>
              <w:right w:val="single" w:sz="4" w:space="0" w:color="auto"/>
            </w:tcBorders>
            <w:shd w:val="clear" w:color="000000" w:fill="FFFFFF"/>
            <w:noWrap/>
            <w:vAlign w:val="bottom"/>
            <w:hideMark/>
          </w:tcPr>
          <w:p w14:paraId="09210175"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11,77</w:t>
            </w:r>
          </w:p>
        </w:tc>
        <w:tc>
          <w:tcPr>
            <w:tcW w:w="1240" w:type="dxa"/>
            <w:tcBorders>
              <w:top w:val="nil"/>
              <w:left w:val="nil"/>
              <w:bottom w:val="single" w:sz="4" w:space="0" w:color="auto"/>
              <w:right w:val="single" w:sz="4" w:space="0" w:color="auto"/>
            </w:tcBorders>
            <w:shd w:val="clear" w:color="000000" w:fill="FFFFFF"/>
            <w:noWrap/>
            <w:vAlign w:val="bottom"/>
            <w:hideMark/>
          </w:tcPr>
          <w:p w14:paraId="52419169"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863.589,00</w:t>
            </w:r>
          </w:p>
        </w:tc>
      </w:tr>
      <w:tr w:rsidR="00BC7E60" w:rsidRPr="00497178" w14:paraId="6AD7F5C3"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1C431FD"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Proračunski korisnik 15577 PUČKO OTVORENO UČILIŠTE LABIN</w:t>
            </w:r>
          </w:p>
        </w:tc>
        <w:tc>
          <w:tcPr>
            <w:tcW w:w="1307" w:type="dxa"/>
            <w:tcBorders>
              <w:top w:val="nil"/>
              <w:left w:val="nil"/>
              <w:bottom w:val="single" w:sz="4" w:space="0" w:color="auto"/>
              <w:right w:val="single" w:sz="4" w:space="0" w:color="auto"/>
            </w:tcBorders>
            <w:shd w:val="clear" w:color="000000" w:fill="FFFFFF"/>
            <w:noWrap/>
            <w:vAlign w:val="bottom"/>
            <w:hideMark/>
          </w:tcPr>
          <w:p w14:paraId="3EBEAC06"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524.394,00</w:t>
            </w:r>
          </w:p>
        </w:tc>
        <w:tc>
          <w:tcPr>
            <w:tcW w:w="1123" w:type="dxa"/>
            <w:tcBorders>
              <w:top w:val="nil"/>
              <w:left w:val="nil"/>
              <w:bottom w:val="single" w:sz="4" w:space="0" w:color="auto"/>
              <w:right w:val="single" w:sz="4" w:space="0" w:color="auto"/>
            </w:tcBorders>
            <w:shd w:val="clear" w:color="000000" w:fill="FFFFFF"/>
            <w:noWrap/>
            <w:vAlign w:val="bottom"/>
            <w:hideMark/>
          </w:tcPr>
          <w:p w14:paraId="33DA3859"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76.988,00</w:t>
            </w:r>
          </w:p>
        </w:tc>
        <w:tc>
          <w:tcPr>
            <w:tcW w:w="1123" w:type="dxa"/>
            <w:tcBorders>
              <w:top w:val="nil"/>
              <w:left w:val="nil"/>
              <w:bottom w:val="single" w:sz="4" w:space="0" w:color="auto"/>
              <w:right w:val="single" w:sz="4" w:space="0" w:color="auto"/>
            </w:tcBorders>
            <w:shd w:val="clear" w:color="000000" w:fill="FFFFFF"/>
            <w:noWrap/>
            <w:vAlign w:val="bottom"/>
            <w:hideMark/>
          </w:tcPr>
          <w:p w14:paraId="55B083D3"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14,68</w:t>
            </w:r>
          </w:p>
        </w:tc>
        <w:tc>
          <w:tcPr>
            <w:tcW w:w="1240" w:type="dxa"/>
            <w:tcBorders>
              <w:top w:val="nil"/>
              <w:left w:val="nil"/>
              <w:bottom w:val="single" w:sz="4" w:space="0" w:color="auto"/>
              <w:right w:val="single" w:sz="4" w:space="0" w:color="auto"/>
            </w:tcBorders>
            <w:shd w:val="clear" w:color="000000" w:fill="FFFFFF"/>
            <w:noWrap/>
            <w:vAlign w:val="bottom"/>
            <w:hideMark/>
          </w:tcPr>
          <w:p w14:paraId="6FBE1928"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601.382,00</w:t>
            </w:r>
          </w:p>
        </w:tc>
      </w:tr>
      <w:tr w:rsidR="00BC7E60" w:rsidRPr="00497178" w14:paraId="3D88E24D"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9FC18C5"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5004 Promicanje kulture</w:t>
            </w:r>
          </w:p>
        </w:tc>
        <w:tc>
          <w:tcPr>
            <w:tcW w:w="1307" w:type="dxa"/>
            <w:tcBorders>
              <w:top w:val="nil"/>
              <w:left w:val="nil"/>
              <w:bottom w:val="single" w:sz="4" w:space="0" w:color="auto"/>
              <w:right w:val="single" w:sz="4" w:space="0" w:color="auto"/>
            </w:tcBorders>
            <w:shd w:val="clear" w:color="000000" w:fill="FFFFFF"/>
            <w:noWrap/>
            <w:vAlign w:val="bottom"/>
            <w:hideMark/>
          </w:tcPr>
          <w:p w14:paraId="574F432A"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524.394,00</w:t>
            </w:r>
          </w:p>
        </w:tc>
        <w:tc>
          <w:tcPr>
            <w:tcW w:w="1123" w:type="dxa"/>
            <w:tcBorders>
              <w:top w:val="nil"/>
              <w:left w:val="nil"/>
              <w:bottom w:val="single" w:sz="4" w:space="0" w:color="auto"/>
              <w:right w:val="single" w:sz="4" w:space="0" w:color="auto"/>
            </w:tcBorders>
            <w:shd w:val="clear" w:color="000000" w:fill="FFFFFF"/>
            <w:noWrap/>
            <w:vAlign w:val="bottom"/>
            <w:hideMark/>
          </w:tcPr>
          <w:p w14:paraId="16D07701"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76.988,00</w:t>
            </w:r>
          </w:p>
        </w:tc>
        <w:tc>
          <w:tcPr>
            <w:tcW w:w="1123" w:type="dxa"/>
            <w:tcBorders>
              <w:top w:val="nil"/>
              <w:left w:val="nil"/>
              <w:bottom w:val="single" w:sz="4" w:space="0" w:color="auto"/>
              <w:right w:val="single" w:sz="4" w:space="0" w:color="auto"/>
            </w:tcBorders>
            <w:shd w:val="clear" w:color="000000" w:fill="FFFFFF"/>
            <w:noWrap/>
            <w:vAlign w:val="bottom"/>
            <w:hideMark/>
          </w:tcPr>
          <w:p w14:paraId="5672258C"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14,68</w:t>
            </w:r>
          </w:p>
        </w:tc>
        <w:tc>
          <w:tcPr>
            <w:tcW w:w="1240" w:type="dxa"/>
            <w:tcBorders>
              <w:top w:val="nil"/>
              <w:left w:val="nil"/>
              <w:bottom w:val="single" w:sz="4" w:space="0" w:color="auto"/>
              <w:right w:val="single" w:sz="4" w:space="0" w:color="auto"/>
            </w:tcBorders>
            <w:shd w:val="clear" w:color="000000" w:fill="FFFFFF"/>
            <w:noWrap/>
            <w:vAlign w:val="bottom"/>
            <w:hideMark/>
          </w:tcPr>
          <w:p w14:paraId="741750EF"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601.382,00</w:t>
            </w:r>
          </w:p>
        </w:tc>
      </w:tr>
      <w:tr w:rsidR="00BC7E60" w:rsidRPr="00497178" w14:paraId="0E0A748F"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75E7904"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A500007 Glazbeno scenska djelatnost</w:t>
            </w:r>
          </w:p>
        </w:tc>
        <w:tc>
          <w:tcPr>
            <w:tcW w:w="1307" w:type="dxa"/>
            <w:tcBorders>
              <w:top w:val="nil"/>
              <w:left w:val="nil"/>
              <w:bottom w:val="single" w:sz="4" w:space="0" w:color="auto"/>
              <w:right w:val="single" w:sz="4" w:space="0" w:color="auto"/>
            </w:tcBorders>
            <w:shd w:val="clear" w:color="000000" w:fill="FFFFFF"/>
            <w:noWrap/>
            <w:vAlign w:val="bottom"/>
            <w:hideMark/>
          </w:tcPr>
          <w:p w14:paraId="0E556E8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9.000,00</w:t>
            </w:r>
          </w:p>
        </w:tc>
        <w:tc>
          <w:tcPr>
            <w:tcW w:w="1123" w:type="dxa"/>
            <w:tcBorders>
              <w:top w:val="nil"/>
              <w:left w:val="nil"/>
              <w:bottom w:val="single" w:sz="4" w:space="0" w:color="auto"/>
              <w:right w:val="single" w:sz="4" w:space="0" w:color="auto"/>
            </w:tcBorders>
            <w:shd w:val="clear" w:color="000000" w:fill="FFFFFF"/>
            <w:noWrap/>
            <w:vAlign w:val="bottom"/>
            <w:hideMark/>
          </w:tcPr>
          <w:p w14:paraId="7E7D6C2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3.000,00</w:t>
            </w:r>
          </w:p>
        </w:tc>
        <w:tc>
          <w:tcPr>
            <w:tcW w:w="1123" w:type="dxa"/>
            <w:tcBorders>
              <w:top w:val="nil"/>
              <w:left w:val="nil"/>
              <w:bottom w:val="single" w:sz="4" w:space="0" w:color="auto"/>
              <w:right w:val="single" w:sz="4" w:space="0" w:color="auto"/>
            </w:tcBorders>
            <w:shd w:val="clear" w:color="000000" w:fill="FFFFFF"/>
            <w:noWrap/>
            <w:vAlign w:val="bottom"/>
            <w:hideMark/>
          </w:tcPr>
          <w:p w14:paraId="2CAC23B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33,33</w:t>
            </w:r>
          </w:p>
        </w:tc>
        <w:tc>
          <w:tcPr>
            <w:tcW w:w="1240" w:type="dxa"/>
            <w:tcBorders>
              <w:top w:val="nil"/>
              <w:left w:val="nil"/>
              <w:bottom w:val="single" w:sz="4" w:space="0" w:color="auto"/>
              <w:right w:val="single" w:sz="4" w:space="0" w:color="auto"/>
            </w:tcBorders>
            <w:shd w:val="clear" w:color="000000" w:fill="FFFFFF"/>
            <w:noWrap/>
            <w:vAlign w:val="bottom"/>
            <w:hideMark/>
          </w:tcPr>
          <w:p w14:paraId="62E1DDE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12.000,00</w:t>
            </w:r>
          </w:p>
        </w:tc>
      </w:tr>
      <w:tr w:rsidR="00BC7E60" w:rsidRPr="00497178" w14:paraId="0ED81E1D"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22647AC"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A500009 Gradska galerija</w:t>
            </w:r>
          </w:p>
        </w:tc>
        <w:tc>
          <w:tcPr>
            <w:tcW w:w="1307" w:type="dxa"/>
            <w:tcBorders>
              <w:top w:val="nil"/>
              <w:left w:val="nil"/>
              <w:bottom w:val="single" w:sz="4" w:space="0" w:color="auto"/>
              <w:right w:val="single" w:sz="4" w:space="0" w:color="auto"/>
            </w:tcBorders>
            <w:shd w:val="clear" w:color="000000" w:fill="FFFFFF"/>
            <w:noWrap/>
            <w:vAlign w:val="bottom"/>
            <w:hideMark/>
          </w:tcPr>
          <w:p w14:paraId="5198746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27.600,00</w:t>
            </w:r>
          </w:p>
        </w:tc>
        <w:tc>
          <w:tcPr>
            <w:tcW w:w="1123" w:type="dxa"/>
            <w:tcBorders>
              <w:top w:val="nil"/>
              <w:left w:val="nil"/>
              <w:bottom w:val="single" w:sz="4" w:space="0" w:color="auto"/>
              <w:right w:val="single" w:sz="4" w:space="0" w:color="auto"/>
            </w:tcBorders>
            <w:shd w:val="clear" w:color="000000" w:fill="FFFFFF"/>
            <w:noWrap/>
            <w:vAlign w:val="bottom"/>
            <w:hideMark/>
          </w:tcPr>
          <w:p w14:paraId="60B5F12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6.705,00</w:t>
            </w:r>
          </w:p>
        </w:tc>
        <w:tc>
          <w:tcPr>
            <w:tcW w:w="1123" w:type="dxa"/>
            <w:tcBorders>
              <w:top w:val="nil"/>
              <w:left w:val="nil"/>
              <w:bottom w:val="single" w:sz="4" w:space="0" w:color="auto"/>
              <w:right w:val="single" w:sz="4" w:space="0" w:color="auto"/>
            </w:tcBorders>
            <w:shd w:val="clear" w:color="000000" w:fill="FFFFFF"/>
            <w:noWrap/>
            <w:vAlign w:val="bottom"/>
            <w:hideMark/>
          </w:tcPr>
          <w:p w14:paraId="3EF224D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24,29</w:t>
            </w:r>
          </w:p>
        </w:tc>
        <w:tc>
          <w:tcPr>
            <w:tcW w:w="1240" w:type="dxa"/>
            <w:tcBorders>
              <w:top w:val="nil"/>
              <w:left w:val="nil"/>
              <w:bottom w:val="single" w:sz="4" w:space="0" w:color="auto"/>
              <w:right w:val="single" w:sz="4" w:space="0" w:color="auto"/>
            </w:tcBorders>
            <w:shd w:val="clear" w:color="000000" w:fill="FFFFFF"/>
            <w:noWrap/>
            <w:vAlign w:val="bottom"/>
            <w:hideMark/>
          </w:tcPr>
          <w:p w14:paraId="6A7B14C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34.305,00</w:t>
            </w:r>
          </w:p>
        </w:tc>
      </w:tr>
      <w:tr w:rsidR="00BC7E60" w:rsidRPr="00497178" w14:paraId="17942AA0"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1407E487"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A500010 Financiranje redovne djelatnosti kina</w:t>
            </w:r>
          </w:p>
        </w:tc>
        <w:tc>
          <w:tcPr>
            <w:tcW w:w="1307" w:type="dxa"/>
            <w:tcBorders>
              <w:top w:val="nil"/>
              <w:left w:val="nil"/>
              <w:bottom w:val="single" w:sz="4" w:space="0" w:color="auto"/>
              <w:right w:val="single" w:sz="4" w:space="0" w:color="auto"/>
            </w:tcBorders>
            <w:shd w:val="clear" w:color="000000" w:fill="FFFFFF"/>
            <w:noWrap/>
            <w:vAlign w:val="bottom"/>
            <w:hideMark/>
          </w:tcPr>
          <w:p w14:paraId="0DD6C60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50.185,00</w:t>
            </w:r>
          </w:p>
        </w:tc>
        <w:tc>
          <w:tcPr>
            <w:tcW w:w="1123" w:type="dxa"/>
            <w:tcBorders>
              <w:top w:val="nil"/>
              <w:left w:val="nil"/>
              <w:bottom w:val="single" w:sz="4" w:space="0" w:color="auto"/>
              <w:right w:val="single" w:sz="4" w:space="0" w:color="auto"/>
            </w:tcBorders>
            <w:shd w:val="clear" w:color="000000" w:fill="FFFFFF"/>
            <w:noWrap/>
            <w:vAlign w:val="bottom"/>
            <w:hideMark/>
          </w:tcPr>
          <w:p w14:paraId="037853E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18.643,00</w:t>
            </w:r>
          </w:p>
        </w:tc>
        <w:tc>
          <w:tcPr>
            <w:tcW w:w="1123" w:type="dxa"/>
            <w:tcBorders>
              <w:top w:val="nil"/>
              <w:left w:val="nil"/>
              <w:bottom w:val="single" w:sz="4" w:space="0" w:color="auto"/>
              <w:right w:val="single" w:sz="4" w:space="0" w:color="auto"/>
            </w:tcBorders>
            <w:shd w:val="clear" w:color="000000" w:fill="FFFFFF"/>
            <w:noWrap/>
            <w:vAlign w:val="bottom"/>
            <w:hideMark/>
          </w:tcPr>
          <w:p w14:paraId="3A37E92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37,15</w:t>
            </w:r>
          </w:p>
        </w:tc>
        <w:tc>
          <w:tcPr>
            <w:tcW w:w="1240" w:type="dxa"/>
            <w:tcBorders>
              <w:top w:val="nil"/>
              <w:left w:val="nil"/>
              <w:bottom w:val="single" w:sz="4" w:space="0" w:color="auto"/>
              <w:right w:val="single" w:sz="4" w:space="0" w:color="auto"/>
            </w:tcBorders>
            <w:shd w:val="clear" w:color="000000" w:fill="FFFFFF"/>
            <w:noWrap/>
            <w:vAlign w:val="bottom"/>
            <w:hideMark/>
          </w:tcPr>
          <w:p w14:paraId="0DF8A9B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68.828,00</w:t>
            </w:r>
          </w:p>
        </w:tc>
      </w:tr>
      <w:tr w:rsidR="00BC7E60" w:rsidRPr="00497178" w14:paraId="28C2A9AD"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2A33FEBD"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A500011 Financiranje redovne djelatnosti obrazovanja odraslih</w:t>
            </w:r>
          </w:p>
        </w:tc>
        <w:tc>
          <w:tcPr>
            <w:tcW w:w="1307" w:type="dxa"/>
            <w:tcBorders>
              <w:top w:val="nil"/>
              <w:left w:val="nil"/>
              <w:bottom w:val="single" w:sz="4" w:space="0" w:color="auto"/>
              <w:right w:val="single" w:sz="4" w:space="0" w:color="auto"/>
            </w:tcBorders>
            <w:shd w:val="clear" w:color="000000" w:fill="FFFFFF"/>
            <w:noWrap/>
            <w:vAlign w:val="bottom"/>
            <w:hideMark/>
          </w:tcPr>
          <w:p w14:paraId="27C05E7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42.694,00</w:t>
            </w:r>
          </w:p>
        </w:tc>
        <w:tc>
          <w:tcPr>
            <w:tcW w:w="1123" w:type="dxa"/>
            <w:tcBorders>
              <w:top w:val="nil"/>
              <w:left w:val="nil"/>
              <w:bottom w:val="single" w:sz="4" w:space="0" w:color="auto"/>
              <w:right w:val="single" w:sz="4" w:space="0" w:color="auto"/>
            </w:tcBorders>
            <w:shd w:val="clear" w:color="000000" w:fill="FFFFFF"/>
            <w:noWrap/>
            <w:vAlign w:val="bottom"/>
            <w:hideMark/>
          </w:tcPr>
          <w:p w14:paraId="19F5ECB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25.250,00</w:t>
            </w:r>
          </w:p>
        </w:tc>
        <w:tc>
          <w:tcPr>
            <w:tcW w:w="1123" w:type="dxa"/>
            <w:tcBorders>
              <w:top w:val="nil"/>
              <w:left w:val="nil"/>
              <w:bottom w:val="single" w:sz="4" w:space="0" w:color="auto"/>
              <w:right w:val="single" w:sz="4" w:space="0" w:color="auto"/>
            </w:tcBorders>
            <w:shd w:val="clear" w:color="000000" w:fill="FFFFFF"/>
            <w:noWrap/>
            <w:vAlign w:val="bottom"/>
            <w:hideMark/>
          </w:tcPr>
          <w:p w14:paraId="0A86829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59,14</w:t>
            </w:r>
          </w:p>
        </w:tc>
        <w:tc>
          <w:tcPr>
            <w:tcW w:w="1240" w:type="dxa"/>
            <w:tcBorders>
              <w:top w:val="nil"/>
              <w:left w:val="nil"/>
              <w:bottom w:val="single" w:sz="4" w:space="0" w:color="auto"/>
              <w:right w:val="single" w:sz="4" w:space="0" w:color="auto"/>
            </w:tcBorders>
            <w:shd w:val="clear" w:color="000000" w:fill="FFFFFF"/>
            <w:noWrap/>
            <w:vAlign w:val="bottom"/>
            <w:hideMark/>
          </w:tcPr>
          <w:p w14:paraId="654BD1F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67.944,00</w:t>
            </w:r>
          </w:p>
        </w:tc>
      </w:tr>
      <w:tr w:rsidR="00BC7E60" w:rsidRPr="00497178" w14:paraId="70B3ECB2"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EF42D7C"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A500020 Financiranje zajedničkih službi</w:t>
            </w:r>
          </w:p>
        </w:tc>
        <w:tc>
          <w:tcPr>
            <w:tcW w:w="1307" w:type="dxa"/>
            <w:tcBorders>
              <w:top w:val="nil"/>
              <w:left w:val="nil"/>
              <w:bottom w:val="single" w:sz="4" w:space="0" w:color="auto"/>
              <w:right w:val="single" w:sz="4" w:space="0" w:color="auto"/>
            </w:tcBorders>
            <w:shd w:val="clear" w:color="000000" w:fill="FFFFFF"/>
            <w:noWrap/>
            <w:vAlign w:val="bottom"/>
            <w:hideMark/>
          </w:tcPr>
          <w:p w14:paraId="0881CD8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353.061,00</w:t>
            </w:r>
          </w:p>
        </w:tc>
        <w:tc>
          <w:tcPr>
            <w:tcW w:w="1123" w:type="dxa"/>
            <w:tcBorders>
              <w:top w:val="nil"/>
              <w:left w:val="nil"/>
              <w:bottom w:val="single" w:sz="4" w:space="0" w:color="auto"/>
              <w:right w:val="single" w:sz="4" w:space="0" w:color="auto"/>
            </w:tcBorders>
            <w:shd w:val="clear" w:color="000000" w:fill="FFFFFF"/>
            <w:noWrap/>
            <w:vAlign w:val="bottom"/>
            <w:hideMark/>
          </w:tcPr>
          <w:p w14:paraId="76B5B76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7.890,00</w:t>
            </w:r>
          </w:p>
        </w:tc>
        <w:tc>
          <w:tcPr>
            <w:tcW w:w="1123" w:type="dxa"/>
            <w:tcBorders>
              <w:top w:val="nil"/>
              <w:left w:val="nil"/>
              <w:bottom w:val="single" w:sz="4" w:space="0" w:color="auto"/>
              <w:right w:val="single" w:sz="4" w:space="0" w:color="auto"/>
            </w:tcBorders>
            <w:shd w:val="clear" w:color="000000" w:fill="FFFFFF"/>
            <w:noWrap/>
            <w:vAlign w:val="bottom"/>
            <w:hideMark/>
          </w:tcPr>
          <w:p w14:paraId="344B1AE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2,23</w:t>
            </w:r>
          </w:p>
        </w:tc>
        <w:tc>
          <w:tcPr>
            <w:tcW w:w="1240" w:type="dxa"/>
            <w:tcBorders>
              <w:top w:val="nil"/>
              <w:left w:val="nil"/>
              <w:bottom w:val="single" w:sz="4" w:space="0" w:color="auto"/>
              <w:right w:val="single" w:sz="4" w:space="0" w:color="auto"/>
            </w:tcBorders>
            <w:shd w:val="clear" w:color="000000" w:fill="FFFFFF"/>
            <w:noWrap/>
            <w:vAlign w:val="bottom"/>
            <w:hideMark/>
          </w:tcPr>
          <w:p w14:paraId="4053FA3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360.951,00</w:t>
            </w:r>
          </w:p>
        </w:tc>
      </w:tr>
      <w:tr w:rsidR="00BC7E60" w:rsidRPr="00497178" w14:paraId="010EAAC7"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18C5024"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A500021 Financiranje muzejske djelatnosti</w:t>
            </w:r>
          </w:p>
        </w:tc>
        <w:tc>
          <w:tcPr>
            <w:tcW w:w="1307" w:type="dxa"/>
            <w:tcBorders>
              <w:top w:val="nil"/>
              <w:left w:val="nil"/>
              <w:bottom w:val="single" w:sz="4" w:space="0" w:color="auto"/>
              <w:right w:val="single" w:sz="4" w:space="0" w:color="auto"/>
            </w:tcBorders>
            <w:shd w:val="clear" w:color="000000" w:fill="FFFFFF"/>
            <w:noWrap/>
            <w:vAlign w:val="bottom"/>
            <w:hideMark/>
          </w:tcPr>
          <w:p w14:paraId="3EEB491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41.854,00</w:t>
            </w:r>
          </w:p>
        </w:tc>
        <w:tc>
          <w:tcPr>
            <w:tcW w:w="1123" w:type="dxa"/>
            <w:tcBorders>
              <w:top w:val="nil"/>
              <w:left w:val="nil"/>
              <w:bottom w:val="single" w:sz="4" w:space="0" w:color="auto"/>
              <w:right w:val="single" w:sz="4" w:space="0" w:color="auto"/>
            </w:tcBorders>
            <w:shd w:val="clear" w:color="000000" w:fill="FFFFFF"/>
            <w:noWrap/>
            <w:vAlign w:val="bottom"/>
            <w:hideMark/>
          </w:tcPr>
          <w:p w14:paraId="635F292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15.500,00</w:t>
            </w:r>
          </w:p>
        </w:tc>
        <w:tc>
          <w:tcPr>
            <w:tcW w:w="1123" w:type="dxa"/>
            <w:tcBorders>
              <w:top w:val="nil"/>
              <w:left w:val="nil"/>
              <w:bottom w:val="single" w:sz="4" w:space="0" w:color="auto"/>
              <w:right w:val="single" w:sz="4" w:space="0" w:color="auto"/>
            </w:tcBorders>
            <w:shd w:val="clear" w:color="000000" w:fill="FFFFFF"/>
            <w:noWrap/>
            <w:vAlign w:val="bottom"/>
            <w:hideMark/>
          </w:tcPr>
          <w:p w14:paraId="54B9BEE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37,03</w:t>
            </w:r>
          </w:p>
        </w:tc>
        <w:tc>
          <w:tcPr>
            <w:tcW w:w="1240" w:type="dxa"/>
            <w:tcBorders>
              <w:top w:val="nil"/>
              <w:left w:val="nil"/>
              <w:bottom w:val="single" w:sz="4" w:space="0" w:color="auto"/>
              <w:right w:val="single" w:sz="4" w:space="0" w:color="auto"/>
            </w:tcBorders>
            <w:shd w:val="clear" w:color="000000" w:fill="FFFFFF"/>
            <w:noWrap/>
            <w:vAlign w:val="bottom"/>
            <w:hideMark/>
          </w:tcPr>
          <w:p w14:paraId="74DDEE5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57.354,00</w:t>
            </w:r>
          </w:p>
        </w:tc>
      </w:tr>
      <w:tr w:rsidR="00BC7E60" w:rsidRPr="00497178" w14:paraId="27BE2AB9"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2ABA35F0"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Proračunski korisnik 42266 GRADSKA KNJIŽNICA LABIN</w:t>
            </w:r>
          </w:p>
        </w:tc>
        <w:tc>
          <w:tcPr>
            <w:tcW w:w="1307" w:type="dxa"/>
            <w:tcBorders>
              <w:top w:val="nil"/>
              <w:left w:val="nil"/>
              <w:bottom w:val="single" w:sz="4" w:space="0" w:color="auto"/>
              <w:right w:val="single" w:sz="4" w:space="0" w:color="auto"/>
            </w:tcBorders>
            <w:shd w:val="clear" w:color="000000" w:fill="FFFFFF"/>
            <w:noWrap/>
            <w:vAlign w:val="bottom"/>
            <w:hideMark/>
          </w:tcPr>
          <w:p w14:paraId="44B40105"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248.235,00</w:t>
            </w:r>
          </w:p>
        </w:tc>
        <w:tc>
          <w:tcPr>
            <w:tcW w:w="1123" w:type="dxa"/>
            <w:tcBorders>
              <w:top w:val="nil"/>
              <w:left w:val="nil"/>
              <w:bottom w:val="single" w:sz="4" w:space="0" w:color="auto"/>
              <w:right w:val="single" w:sz="4" w:space="0" w:color="auto"/>
            </w:tcBorders>
            <w:shd w:val="clear" w:color="000000" w:fill="FFFFFF"/>
            <w:noWrap/>
            <w:vAlign w:val="bottom"/>
            <w:hideMark/>
          </w:tcPr>
          <w:p w14:paraId="4897F113"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13.972,00</w:t>
            </w:r>
          </w:p>
        </w:tc>
        <w:tc>
          <w:tcPr>
            <w:tcW w:w="1123" w:type="dxa"/>
            <w:tcBorders>
              <w:top w:val="nil"/>
              <w:left w:val="nil"/>
              <w:bottom w:val="single" w:sz="4" w:space="0" w:color="auto"/>
              <w:right w:val="single" w:sz="4" w:space="0" w:color="auto"/>
            </w:tcBorders>
            <w:shd w:val="clear" w:color="000000" w:fill="FFFFFF"/>
            <w:noWrap/>
            <w:vAlign w:val="bottom"/>
            <w:hideMark/>
          </w:tcPr>
          <w:p w14:paraId="08083661"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5,63</w:t>
            </w:r>
          </w:p>
        </w:tc>
        <w:tc>
          <w:tcPr>
            <w:tcW w:w="1240" w:type="dxa"/>
            <w:tcBorders>
              <w:top w:val="nil"/>
              <w:left w:val="nil"/>
              <w:bottom w:val="single" w:sz="4" w:space="0" w:color="auto"/>
              <w:right w:val="single" w:sz="4" w:space="0" w:color="auto"/>
            </w:tcBorders>
            <w:shd w:val="clear" w:color="000000" w:fill="FFFFFF"/>
            <w:noWrap/>
            <w:vAlign w:val="bottom"/>
            <w:hideMark/>
          </w:tcPr>
          <w:p w14:paraId="3E1ADDDD"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262.207,00</w:t>
            </w:r>
          </w:p>
        </w:tc>
      </w:tr>
      <w:tr w:rsidR="00BC7E60" w:rsidRPr="00497178" w14:paraId="24FB6015"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579C0F7"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5004 Promicanje kulture</w:t>
            </w:r>
          </w:p>
        </w:tc>
        <w:tc>
          <w:tcPr>
            <w:tcW w:w="1307" w:type="dxa"/>
            <w:tcBorders>
              <w:top w:val="nil"/>
              <w:left w:val="nil"/>
              <w:bottom w:val="single" w:sz="4" w:space="0" w:color="auto"/>
              <w:right w:val="single" w:sz="4" w:space="0" w:color="auto"/>
            </w:tcBorders>
            <w:shd w:val="clear" w:color="000000" w:fill="FFFFFF"/>
            <w:noWrap/>
            <w:vAlign w:val="bottom"/>
            <w:hideMark/>
          </w:tcPr>
          <w:p w14:paraId="6AECA1B0"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248.235,00</w:t>
            </w:r>
          </w:p>
        </w:tc>
        <w:tc>
          <w:tcPr>
            <w:tcW w:w="1123" w:type="dxa"/>
            <w:tcBorders>
              <w:top w:val="nil"/>
              <w:left w:val="nil"/>
              <w:bottom w:val="single" w:sz="4" w:space="0" w:color="auto"/>
              <w:right w:val="single" w:sz="4" w:space="0" w:color="auto"/>
            </w:tcBorders>
            <w:shd w:val="clear" w:color="000000" w:fill="FFFFFF"/>
            <w:noWrap/>
            <w:vAlign w:val="bottom"/>
            <w:hideMark/>
          </w:tcPr>
          <w:p w14:paraId="1303D49A"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13.972,00</w:t>
            </w:r>
          </w:p>
        </w:tc>
        <w:tc>
          <w:tcPr>
            <w:tcW w:w="1123" w:type="dxa"/>
            <w:tcBorders>
              <w:top w:val="nil"/>
              <w:left w:val="nil"/>
              <w:bottom w:val="single" w:sz="4" w:space="0" w:color="auto"/>
              <w:right w:val="single" w:sz="4" w:space="0" w:color="auto"/>
            </w:tcBorders>
            <w:shd w:val="clear" w:color="000000" w:fill="FFFFFF"/>
            <w:noWrap/>
            <w:vAlign w:val="bottom"/>
            <w:hideMark/>
          </w:tcPr>
          <w:p w14:paraId="14FFCE92"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5,63</w:t>
            </w:r>
          </w:p>
        </w:tc>
        <w:tc>
          <w:tcPr>
            <w:tcW w:w="1240" w:type="dxa"/>
            <w:tcBorders>
              <w:top w:val="nil"/>
              <w:left w:val="nil"/>
              <w:bottom w:val="single" w:sz="4" w:space="0" w:color="auto"/>
              <w:right w:val="single" w:sz="4" w:space="0" w:color="auto"/>
            </w:tcBorders>
            <w:shd w:val="clear" w:color="000000" w:fill="FFFFFF"/>
            <w:noWrap/>
            <w:vAlign w:val="bottom"/>
            <w:hideMark/>
          </w:tcPr>
          <w:p w14:paraId="34A47A7A"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262.207,00</w:t>
            </w:r>
          </w:p>
        </w:tc>
      </w:tr>
      <w:tr w:rsidR="00BC7E60" w:rsidRPr="00497178" w14:paraId="42568701"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AA1BD39"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A500013 Financiranje redovne djelatnosti knjižnice</w:t>
            </w:r>
          </w:p>
        </w:tc>
        <w:tc>
          <w:tcPr>
            <w:tcW w:w="1307" w:type="dxa"/>
            <w:tcBorders>
              <w:top w:val="nil"/>
              <w:left w:val="nil"/>
              <w:bottom w:val="single" w:sz="4" w:space="0" w:color="auto"/>
              <w:right w:val="single" w:sz="4" w:space="0" w:color="auto"/>
            </w:tcBorders>
            <w:shd w:val="clear" w:color="000000" w:fill="FFFFFF"/>
            <w:noWrap/>
            <w:vAlign w:val="bottom"/>
            <w:hideMark/>
          </w:tcPr>
          <w:p w14:paraId="09E52B5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203.635,00</w:t>
            </w:r>
          </w:p>
        </w:tc>
        <w:tc>
          <w:tcPr>
            <w:tcW w:w="1123" w:type="dxa"/>
            <w:tcBorders>
              <w:top w:val="nil"/>
              <w:left w:val="nil"/>
              <w:bottom w:val="single" w:sz="4" w:space="0" w:color="auto"/>
              <w:right w:val="single" w:sz="4" w:space="0" w:color="auto"/>
            </w:tcBorders>
            <w:shd w:val="clear" w:color="000000" w:fill="FFFFFF"/>
            <w:noWrap/>
            <w:vAlign w:val="bottom"/>
            <w:hideMark/>
          </w:tcPr>
          <w:p w14:paraId="37BD920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9.894,00</w:t>
            </w:r>
          </w:p>
        </w:tc>
        <w:tc>
          <w:tcPr>
            <w:tcW w:w="1123" w:type="dxa"/>
            <w:tcBorders>
              <w:top w:val="nil"/>
              <w:left w:val="nil"/>
              <w:bottom w:val="single" w:sz="4" w:space="0" w:color="auto"/>
              <w:right w:val="single" w:sz="4" w:space="0" w:color="auto"/>
            </w:tcBorders>
            <w:shd w:val="clear" w:color="000000" w:fill="FFFFFF"/>
            <w:noWrap/>
            <w:vAlign w:val="bottom"/>
            <w:hideMark/>
          </w:tcPr>
          <w:p w14:paraId="7E992C4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4,86</w:t>
            </w:r>
          </w:p>
        </w:tc>
        <w:tc>
          <w:tcPr>
            <w:tcW w:w="1240" w:type="dxa"/>
            <w:tcBorders>
              <w:top w:val="nil"/>
              <w:left w:val="nil"/>
              <w:bottom w:val="single" w:sz="4" w:space="0" w:color="auto"/>
              <w:right w:val="single" w:sz="4" w:space="0" w:color="auto"/>
            </w:tcBorders>
            <w:shd w:val="clear" w:color="000000" w:fill="FFFFFF"/>
            <w:noWrap/>
            <w:vAlign w:val="bottom"/>
            <w:hideMark/>
          </w:tcPr>
          <w:p w14:paraId="5544900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213.529,00</w:t>
            </w:r>
          </w:p>
        </w:tc>
      </w:tr>
      <w:tr w:rsidR="00BC7E60" w:rsidRPr="00497178" w14:paraId="5E8F9E03"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C86141F"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A500014 Književni susreti i radionice</w:t>
            </w:r>
          </w:p>
        </w:tc>
        <w:tc>
          <w:tcPr>
            <w:tcW w:w="1307" w:type="dxa"/>
            <w:tcBorders>
              <w:top w:val="nil"/>
              <w:left w:val="nil"/>
              <w:bottom w:val="single" w:sz="4" w:space="0" w:color="auto"/>
              <w:right w:val="single" w:sz="4" w:space="0" w:color="auto"/>
            </w:tcBorders>
            <w:shd w:val="clear" w:color="000000" w:fill="FFFFFF"/>
            <w:noWrap/>
            <w:vAlign w:val="bottom"/>
            <w:hideMark/>
          </w:tcPr>
          <w:p w14:paraId="0EBEAC2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10.400,00</w:t>
            </w:r>
          </w:p>
        </w:tc>
        <w:tc>
          <w:tcPr>
            <w:tcW w:w="1123" w:type="dxa"/>
            <w:tcBorders>
              <w:top w:val="nil"/>
              <w:left w:val="nil"/>
              <w:bottom w:val="single" w:sz="4" w:space="0" w:color="auto"/>
              <w:right w:val="single" w:sz="4" w:space="0" w:color="auto"/>
            </w:tcBorders>
            <w:shd w:val="clear" w:color="000000" w:fill="FFFFFF"/>
            <w:noWrap/>
            <w:vAlign w:val="bottom"/>
            <w:hideMark/>
          </w:tcPr>
          <w:p w14:paraId="43DFF5B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3.740,00</w:t>
            </w:r>
          </w:p>
        </w:tc>
        <w:tc>
          <w:tcPr>
            <w:tcW w:w="1123" w:type="dxa"/>
            <w:tcBorders>
              <w:top w:val="nil"/>
              <w:left w:val="nil"/>
              <w:bottom w:val="single" w:sz="4" w:space="0" w:color="auto"/>
              <w:right w:val="single" w:sz="4" w:space="0" w:color="auto"/>
            </w:tcBorders>
            <w:shd w:val="clear" w:color="000000" w:fill="FFFFFF"/>
            <w:noWrap/>
            <w:vAlign w:val="bottom"/>
            <w:hideMark/>
          </w:tcPr>
          <w:p w14:paraId="01E15BC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35,96</w:t>
            </w:r>
          </w:p>
        </w:tc>
        <w:tc>
          <w:tcPr>
            <w:tcW w:w="1240" w:type="dxa"/>
            <w:tcBorders>
              <w:top w:val="nil"/>
              <w:left w:val="nil"/>
              <w:bottom w:val="single" w:sz="4" w:space="0" w:color="auto"/>
              <w:right w:val="single" w:sz="4" w:space="0" w:color="auto"/>
            </w:tcBorders>
            <w:shd w:val="clear" w:color="000000" w:fill="FFFFFF"/>
            <w:noWrap/>
            <w:vAlign w:val="bottom"/>
            <w:hideMark/>
          </w:tcPr>
          <w:p w14:paraId="3D897D1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14.140,00</w:t>
            </w:r>
          </w:p>
        </w:tc>
      </w:tr>
      <w:tr w:rsidR="00BC7E60" w:rsidRPr="00497178" w14:paraId="60C4D6F9"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6ADC9B5" w14:textId="77777777" w:rsidR="00BC7E60" w:rsidRPr="00497178" w:rsidRDefault="00BC7E60" w:rsidP="00512D52">
            <w:pPr>
              <w:rPr>
                <w:rFonts w:ascii="Arial" w:hAnsi="Arial" w:cs="Arial"/>
                <w:sz w:val="16"/>
                <w:szCs w:val="16"/>
              </w:rPr>
            </w:pPr>
            <w:r w:rsidRPr="00497178">
              <w:rPr>
                <w:rFonts w:ascii="Arial" w:hAnsi="Arial" w:cs="Arial"/>
                <w:sz w:val="16"/>
                <w:szCs w:val="16"/>
              </w:rPr>
              <w:t>Kapitalni projekt K500001 Kapitalna ulaganja</w:t>
            </w:r>
          </w:p>
        </w:tc>
        <w:tc>
          <w:tcPr>
            <w:tcW w:w="1307" w:type="dxa"/>
            <w:tcBorders>
              <w:top w:val="nil"/>
              <w:left w:val="nil"/>
              <w:bottom w:val="single" w:sz="4" w:space="0" w:color="auto"/>
              <w:right w:val="single" w:sz="4" w:space="0" w:color="auto"/>
            </w:tcBorders>
            <w:shd w:val="clear" w:color="000000" w:fill="FFFFFF"/>
            <w:noWrap/>
            <w:vAlign w:val="bottom"/>
            <w:hideMark/>
          </w:tcPr>
          <w:p w14:paraId="141FFED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34.200,00</w:t>
            </w:r>
          </w:p>
        </w:tc>
        <w:tc>
          <w:tcPr>
            <w:tcW w:w="1123" w:type="dxa"/>
            <w:tcBorders>
              <w:top w:val="nil"/>
              <w:left w:val="nil"/>
              <w:bottom w:val="single" w:sz="4" w:space="0" w:color="auto"/>
              <w:right w:val="single" w:sz="4" w:space="0" w:color="auto"/>
            </w:tcBorders>
            <w:shd w:val="clear" w:color="000000" w:fill="FFFFFF"/>
            <w:noWrap/>
            <w:vAlign w:val="bottom"/>
            <w:hideMark/>
          </w:tcPr>
          <w:p w14:paraId="2A7F7E8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338,00</w:t>
            </w:r>
          </w:p>
        </w:tc>
        <w:tc>
          <w:tcPr>
            <w:tcW w:w="1123" w:type="dxa"/>
            <w:tcBorders>
              <w:top w:val="nil"/>
              <w:left w:val="nil"/>
              <w:bottom w:val="single" w:sz="4" w:space="0" w:color="auto"/>
              <w:right w:val="single" w:sz="4" w:space="0" w:color="auto"/>
            </w:tcBorders>
            <w:shd w:val="clear" w:color="000000" w:fill="FFFFFF"/>
            <w:noWrap/>
            <w:vAlign w:val="bottom"/>
            <w:hideMark/>
          </w:tcPr>
          <w:p w14:paraId="7824E7E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0,99</w:t>
            </w:r>
          </w:p>
        </w:tc>
        <w:tc>
          <w:tcPr>
            <w:tcW w:w="1240" w:type="dxa"/>
            <w:tcBorders>
              <w:top w:val="nil"/>
              <w:left w:val="nil"/>
              <w:bottom w:val="single" w:sz="4" w:space="0" w:color="auto"/>
              <w:right w:val="single" w:sz="4" w:space="0" w:color="auto"/>
            </w:tcBorders>
            <w:shd w:val="clear" w:color="000000" w:fill="FFFFFF"/>
            <w:noWrap/>
            <w:vAlign w:val="bottom"/>
            <w:hideMark/>
          </w:tcPr>
          <w:p w14:paraId="3AE0E52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34.538,00</w:t>
            </w:r>
          </w:p>
        </w:tc>
      </w:tr>
      <w:tr w:rsidR="00BC7E60" w:rsidRPr="00497178" w14:paraId="42A81A8E"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A77F04F"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Glava 50005 USTANOVE U SOCIJALNOJ SKRBI</w:t>
            </w:r>
          </w:p>
        </w:tc>
        <w:tc>
          <w:tcPr>
            <w:tcW w:w="1307" w:type="dxa"/>
            <w:tcBorders>
              <w:top w:val="nil"/>
              <w:left w:val="nil"/>
              <w:bottom w:val="single" w:sz="4" w:space="0" w:color="auto"/>
              <w:right w:val="single" w:sz="4" w:space="0" w:color="auto"/>
            </w:tcBorders>
            <w:shd w:val="clear" w:color="000000" w:fill="FFFFFF"/>
            <w:noWrap/>
            <w:vAlign w:val="bottom"/>
            <w:hideMark/>
          </w:tcPr>
          <w:p w14:paraId="664B0F71"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1.737.130,00</w:t>
            </w:r>
          </w:p>
        </w:tc>
        <w:tc>
          <w:tcPr>
            <w:tcW w:w="1123" w:type="dxa"/>
            <w:tcBorders>
              <w:top w:val="nil"/>
              <w:left w:val="nil"/>
              <w:bottom w:val="single" w:sz="4" w:space="0" w:color="auto"/>
              <w:right w:val="single" w:sz="4" w:space="0" w:color="auto"/>
            </w:tcBorders>
            <w:shd w:val="clear" w:color="000000" w:fill="FFFFFF"/>
            <w:noWrap/>
            <w:vAlign w:val="bottom"/>
            <w:hideMark/>
          </w:tcPr>
          <w:p w14:paraId="689C4EEB"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32.913,00</w:t>
            </w:r>
          </w:p>
        </w:tc>
        <w:tc>
          <w:tcPr>
            <w:tcW w:w="1123" w:type="dxa"/>
            <w:tcBorders>
              <w:top w:val="nil"/>
              <w:left w:val="nil"/>
              <w:bottom w:val="single" w:sz="4" w:space="0" w:color="auto"/>
              <w:right w:val="single" w:sz="4" w:space="0" w:color="auto"/>
            </w:tcBorders>
            <w:shd w:val="clear" w:color="000000" w:fill="FFFFFF"/>
            <w:noWrap/>
            <w:vAlign w:val="bottom"/>
            <w:hideMark/>
          </w:tcPr>
          <w:p w14:paraId="4F8C8AA7"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1,89</w:t>
            </w:r>
          </w:p>
        </w:tc>
        <w:tc>
          <w:tcPr>
            <w:tcW w:w="1240" w:type="dxa"/>
            <w:tcBorders>
              <w:top w:val="nil"/>
              <w:left w:val="nil"/>
              <w:bottom w:val="single" w:sz="4" w:space="0" w:color="auto"/>
              <w:right w:val="single" w:sz="4" w:space="0" w:color="auto"/>
            </w:tcBorders>
            <w:shd w:val="clear" w:color="000000" w:fill="FFFFFF"/>
            <w:noWrap/>
            <w:vAlign w:val="bottom"/>
            <w:hideMark/>
          </w:tcPr>
          <w:p w14:paraId="5DAFF71E"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1.770.043,00</w:t>
            </w:r>
          </w:p>
        </w:tc>
      </w:tr>
      <w:tr w:rsidR="00BC7E60" w:rsidRPr="00497178" w14:paraId="5BD7D3C2"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460F9F90"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Proračunski korisnik 53994 DOM ZA STARIJE OSOBE LABIN</w:t>
            </w:r>
          </w:p>
        </w:tc>
        <w:tc>
          <w:tcPr>
            <w:tcW w:w="1307" w:type="dxa"/>
            <w:tcBorders>
              <w:top w:val="nil"/>
              <w:left w:val="nil"/>
              <w:bottom w:val="single" w:sz="4" w:space="0" w:color="auto"/>
              <w:right w:val="single" w:sz="4" w:space="0" w:color="auto"/>
            </w:tcBorders>
            <w:shd w:val="clear" w:color="000000" w:fill="FFFFFF"/>
            <w:noWrap/>
            <w:vAlign w:val="bottom"/>
            <w:hideMark/>
          </w:tcPr>
          <w:p w14:paraId="60693951"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1.737.130,00</w:t>
            </w:r>
          </w:p>
        </w:tc>
        <w:tc>
          <w:tcPr>
            <w:tcW w:w="1123" w:type="dxa"/>
            <w:tcBorders>
              <w:top w:val="nil"/>
              <w:left w:val="nil"/>
              <w:bottom w:val="single" w:sz="4" w:space="0" w:color="auto"/>
              <w:right w:val="single" w:sz="4" w:space="0" w:color="auto"/>
            </w:tcBorders>
            <w:shd w:val="clear" w:color="000000" w:fill="FFFFFF"/>
            <w:noWrap/>
            <w:vAlign w:val="bottom"/>
            <w:hideMark/>
          </w:tcPr>
          <w:p w14:paraId="3FC8C8BE"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32.913,00</w:t>
            </w:r>
          </w:p>
        </w:tc>
        <w:tc>
          <w:tcPr>
            <w:tcW w:w="1123" w:type="dxa"/>
            <w:tcBorders>
              <w:top w:val="nil"/>
              <w:left w:val="nil"/>
              <w:bottom w:val="single" w:sz="4" w:space="0" w:color="auto"/>
              <w:right w:val="single" w:sz="4" w:space="0" w:color="auto"/>
            </w:tcBorders>
            <w:shd w:val="clear" w:color="000000" w:fill="FFFFFF"/>
            <w:noWrap/>
            <w:vAlign w:val="bottom"/>
            <w:hideMark/>
          </w:tcPr>
          <w:p w14:paraId="14CA0595"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1,89</w:t>
            </w:r>
          </w:p>
        </w:tc>
        <w:tc>
          <w:tcPr>
            <w:tcW w:w="1240" w:type="dxa"/>
            <w:tcBorders>
              <w:top w:val="nil"/>
              <w:left w:val="nil"/>
              <w:bottom w:val="single" w:sz="4" w:space="0" w:color="auto"/>
              <w:right w:val="single" w:sz="4" w:space="0" w:color="auto"/>
            </w:tcBorders>
            <w:shd w:val="clear" w:color="000000" w:fill="FFFFFF"/>
            <w:noWrap/>
            <w:vAlign w:val="bottom"/>
            <w:hideMark/>
          </w:tcPr>
          <w:p w14:paraId="2544CF77"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1.770.043,00</w:t>
            </w:r>
          </w:p>
        </w:tc>
      </w:tr>
      <w:tr w:rsidR="00BC7E60" w:rsidRPr="00497178" w14:paraId="40E6666F"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1E396EB"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5011 Socijalna skrb sa smještajem</w:t>
            </w:r>
          </w:p>
        </w:tc>
        <w:tc>
          <w:tcPr>
            <w:tcW w:w="1307" w:type="dxa"/>
            <w:tcBorders>
              <w:top w:val="nil"/>
              <w:left w:val="nil"/>
              <w:bottom w:val="single" w:sz="4" w:space="0" w:color="auto"/>
              <w:right w:val="single" w:sz="4" w:space="0" w:color="auto"/>
            </w:tcBorders>
            <w:shd w:val="clear" w:color="000000" w:fill="FFFFFF"/>
            <w:noWrap/>
            <w:vAlign w:val="bottom"/>
            <w:hideMark/>
          </w:tcPr>
          <w:p w14:paraId="132155E5"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1.737.130,00</w:t>
            </w:r>
          </w:p>
        </w:tc>
        <w:tc>
          <w:tcPr>
            <w:tcW w:w="1123" w:type="dxa"/>
            <w:tcBorders>
              <w:top w:val="nil"/>
              <w:left w:val="nil"/>
              <w:bottom w:val="single" w:sz="4" w:space="0" w:color="auto"/>
              <w:right w:val="single" w:sz="4" w:space="0" w:color="auto"/>
            </w:tcBorders>
            <w:shd w:val="clear" w:color="000000" w:fill="FFFFFF"/>
            <w:noWrap/>
            <w:vAlign w:val="bottom"/>
            <w:hideMark/>
          </w:tcPr>
          <w:p w14:paraId="00E8DF3B"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32.913,00</w:t>
            </w:r>
          </w:p>
        </w:tc>
        <w:tc>
          <w:tcPr>
            <w:tcW w:w="1123" w:type="dxa"/>
            <w:tcBorders>
              <w:top w:val="nil"/>
              <w:left w:val="nil"/>
              <w:bottom w:val="single" w:sz="4" w:space="0" w:color="auto"/>
              <w:right w:val="single" w:sz="4" w:space="0" w:color="auto"/>
            </w:tcBorders>
            <w:shd w:val="clear" w:color="000000" w:fill="FFFFFF"/>
            <w:noWrap/>
            <w:vAlign w:val="bottom"/>
            <w:hideMark/>
          </w:tcPr>
          <w:p w14:paraId="00C884EC"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1,89</w:t>
            </w:r>
          </w:p>
        </w:tc>
        <w:tc>
          <w:tcPr>
            <w:tcW w:w="1240" w:type="dxa"/>
            <w:tcBorders>
              <w:top w:val="nil"/>
              <w:left w:val="nil"/>
              <w:bottom w:val="single" w:sz="4" w:space="0" w:color="auto"/>
              <w:right w:val="single" w:sz="4" w:space="0" w:color="auto"/>
            </w:tcBorders>
            <w:shd w:val="clear" w:color="000000" w:fill="FFFFFF"/>
            <w:noWrap/>
            <w:vAlign w:val="bottom"/>
            <w:hideMark/>
          </w:tcPr>
          <w:p w14:paraId="27A004D7"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1.770.043,00</w:t>
            </w:r>
          </w:p>
        </w:tc>
      </w:tr>
      <w:tr w:rsidR="00BC7E60" w:rsidRPr="00497178" w14:paraId="3143B53A"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1F495F6"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A500001 Socijalna zaštita starijih i nemoćnih osoba</w:t>
            </w:r>
          </w:p>
        </w:tc>
        <w:tc>
          <w:tcPr>
            <w:tcW w:w="1307" w:type="dxa"/>
            <w:tcBorders>
              <w:top w:val="nil"/>
              <w:left w:val="nil"/>
              <w:bottom w:val="single" w:sz="4" w:space="0" w:color="auto"/>
              <w:right w:val="single" w:sz="4" w:space="0" w:color="auto"/>
            </w:tcBorders>
            <w:shd w:val="clear" w:color="000000" w:fill="FFFFFF"/>
            <w:noWrap/>
            <w:vAlign w:val="bottom"/>
            <w:hideMark/>
          </w:tcPr>
          <w:p w14:paraId="7F29FA9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1.688.630,00</w:t>
            </w:r>
          </w:p>
        </w:tc>
        <w:tc>
          <w:tcPr>
            <w:tcW w:w="1123" w:type="dxa"/>
            <w:tcBorders>
              <w:top w:val="nil"/>
              <w:left w:val="nil"/>
              <w:bottom w:val="single" w:sz="4" w:space="0" w:color="auto"/>
              <w:right w:val="single" w:sz="4" w:space="0" w:color="auto"/>
            </w:tcBorders>
            <w:shd w:val="clear" w:color="000000" w:fill="FFFFFF"/>
            <w:noWrap/>
            <w:vAlign w:val="bottom"/>
            <w:hideMark/>
          </w:tcPr>
          <w:p w14:paraId="087F9F9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33.413,00</w:t>
            </w:r>
          </w:p>
        </w:tc>
        <w:tc>
          <w:tcPr>
            <w:tcW w:w="1123" w:type="dxa"/>
            <w:tcBorders>
              <w:top w:val="nil"/>
              <w:left w:val="nil"/>
              <w:bottom w:val="single" w:sz="4" w:space="0" w:color="auto"/>
              <w:right w:val="single" w:sz="4" w:space="0" w:color="auto"/>
            </w:tcBorders>
            <w:shd w:val="clear" w:color="000000" w:fill="FFFFFF"/>
            <w:noWrap/>
            <w:vAlign w:val="bottom"/>
            <w:hideMark/>
          </w:tcPr>
          <w:p w14:paraId="23194B6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1,98</w:t>
            </w:r>
          </w:p>
        </w:tc>
        <w:tc>
          <w:tcPr>
            <w:tcW w:w="1240" w:type="dxa"/>
            <w:tcBorders>
              <w:top w:val="nil"/>
              <w:left w:val="nil"/>
              <w:bottom w:val="single" w:sz="4" w:space="0" w:color="auto"/>
              <w:right w:val="single" w:sz="4" w:space="0" w:color="auto"/>
            </w:tcBorders>
            <w:shd w:val="clear" w:color="000000" w:fill="FFFFFF"/>
            <w:noWrap/>
            <w:vAlign w:val="bottom"/>
            <w:hideMark/>
          </w:tcPr>
          <w:p w14:paraId="1C6D899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1.722.043,00</w:t>
            </w:r>
          </w:p>
        </w:tc>
      </w:tr>
      <w:tr w:rsidR="00BC7E60" w:rsidRPr="00497178" w14:paraId="60ECC357"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0D8C5055"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A500002 Sufinanciranje programa dnevnog boravka</w:t>
            </w:r>
          </w:p>
        </w:tc>
        <w:tc>
          <w:tcPr>
            <w:tcW w:w="1307" w:type="dxa"/>
            <w:tcBorders>
              <w:top w:val="nil"/>
              <w:left w:val="nil"/>
              <w:bottom w:val="single" w:sz="4" w:space="0" w:color="auto"/>
              <w:right w:val="single" w:sz="4" w:space="0" w:color="auto"/>
            </w:tcBorders>
            <w:shd w:val="clear" w:color="000000" w:fill="FFFFFF"/>
            <w:noWrap/>
            <w:vAlign w:val="bottom"/>
            <w:hideMark/>
          </w:tcPr>
          <w:p w14:paraId="5AF293A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30.000,00</w:t>
            </w:r>
          </w:p>
        </w:tc>
        <w:tc>
          <w:tcPr>
            <w:tcW w:w="1123" w:type="dxa"/>
            <w:tcBorders>
              <w:top w:val="nil"/>
              <w:left w:val="nil"/>
              <w:bottom w:val="single" w:sz="4" w:space="0" w:color="auto"/>
              <w:right w:val="single" w:sz="4" w:space="0" w:color="auto"/>
            </w:tcBorders>
            <w:shd w:val="clear" w:color="000000" w:fill="FFFFFF"/>
            <w:noWrap/>
            <w:vAlign w:val="bottom"/>
            <w:hideMark/>
          </w:tcPr>
          <w:p w14:paraId="2718935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-15.000,00</w:t>
            </w:r>
          </w:p>
        </w:tc>
        <w:tc>
          <w:tcPr>
            <w:tcW w:w="1123" w:type="dxa"/>
            <w:tcBorders>
              <w:top w:val="nil"/>
              <w:left w:val="nil"/>
              <w:bottom w:val="single" w:sz="4" w:space="0" w:color="auto"/>
              <w:right w:val="single" w:sz="4" w:space="0" w:color="auto"/>
            </w:tcBorders>
            <w:shd w:val="clear" w:color="000000" w:fill="FFFFFF"/>
            <w:noWrap/>
            <w:vAlign w:val="bottom"/>
            <w:hideMark/>
          </w:tcPr>
          <w:p w14:paraId="74DA3B1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-50,00</w:t>
            </w:r>
          </w:p>
        </w:tc>
        <w:tc>
          <w:tcPr>
            <w:tcW w:w="1240" w:type="dxa"/>
            <w:tcBorders>
              <w:top w:val="nil"/>
              <w:left w:val="nil"/>
              <w:bottom w:val="single" w:sz="4" w:space="0" w:color="auto"/>
              <w:right w:val="single" w:sz="4" w:space="0" w:color="auto"/>
            </w:tcBorders>
            <w:shd w:val="clear" w:color="000000" w:fill="FFFFFF"/>
            <w:noWrap/>
            <w:vAlign w:val="bottom"/>
            <w:hideMark/>
          </w:tcPr>
          <w:p w14:paraId="731AA9B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15.000,00</w:t>
            </w:r>
          </w:p>
        </w:tc>
      </w:tr>
      <w:tr w:rsidR="00BC7E60" w:rsidRPr="00497178" w14:paraId="63E073FA"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60ECAED"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A500003 Sufinanciranje programa pomoć u kući i organiziranje prijevoza</w:t>
            </w:r>
          </w:p>
        </w:tc>
        <w:tc>
          <w:tcPr>
            <w:tcW w:w="1307" w:type="dxa"/>
            <w:tcBorders>
              <w:top w:val="nil"/>
              <w:left w:val="nil"/>
              <w:bottom w:val="single" w:sz="4" w:space="0" w:color="auto"/>
              <w:right w:val="single" w:sz="4" w:space="0" w:color="auto"/>
            </w:tcBorders>
            <w:shd w:val="clear" w:color="000000" w:fill="FFFFFF"/>
            <w:noWrap/>
            <w:vAlign w:val="bottom"/>
            <w:hideMark/>
          </w:tcPr>
          <w:p w14:paraId="308BDCA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18.500,00</w:t>
            </w:r>
          </w:p>
        </w:tc>
        <w:tc>
          <w:tcPr>
            <w:tcW w:w="1123" w:type="dxa"/>
            <w:tcBorders>
              <w:top w:val="nil"/>
              <w:left w:val="nil"/>
              <w:bottom w:val="single" w:sz="4" w:space="0" w:color="auto"/>
              <w:right w:val="single" w:sz="4" w:space="0" w:color="auto"/>
            </w:tcBorders>
            <w:shd w:val="clear" w:color="000000" w:fill="FFFFFF"/>
            <w:noWrap/>
            <w:vAlign w:val="bottom"/>
            <w:hideMark/>
          </w:tcPr>
          <w:p w14:paraId="009C1A7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14.500,00</w:t>
            </w:r>
          </w:p>
        </w:tc>
        <w:tc>
          <w:tcPr>
            <w:tcW w:w="1123" w:type="dxa"/>
            <w:tcBorders>
              <w:top w:val="nil"/>
              <w:left w:val="nil"/>
              <w:bottom w:val="single" w:sz="4" w:space="0" w:color="auto"/>
              <w:right w:val="single" w:sz="4" w:space="0" w:color="auto"/>
            </w:tcBorders>
            <w:shd w:val="clear" w:color="000000" w:fill="FFFFFF"/>
            <w:noWrap/>
            <w:vAlign w:val="bottom"/>
            <w:hideMark/>
          </w:tcPr>
          <w:p w14:paraId="7FB09C2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78,38</w:t>
            </w:r>
          </w:p>
        </w:tc>
        <w:tc>
          <w:tcPr>
            <w:tcW w:w="1240" w:type="dxa"/>
            <w:tcBorders>
              <w:top w:val="nil"/>
              <w:left w:val="nil"/>
              <w:bottom w:val="single" w:sz="4" w:space="0" w:color="auto"/>
              <w:right w:val="single" w:sz="4" w:space="0" w:color="auto"/>
            </w:tcBorders>
            <w:shd w:val="clear" w:color="000000" w:fill="FFFFFF"/>
            <w:noWrap/>
            <w:vAlign w:val="bottom"/>
            <w:hideMark/>
          </w:tcPr>
          <w:p w14:paraId="35644CB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33.000,00</w:t>
            </w:r>
          </w:p>
        </w:tc>
      </w:tr>
      <w:tr w:rsidR="00BC7E60" w:rsidRPr="00497178" w14:paraId="66BFEE84"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34CE3A0D"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Razdjel 600 UPRAVNI ODJEL ZA GOSPODARSTVO I EU PROJEKTE</w:t>
            </w:r>
          </w:p>
        </w:tc>
        <w:tc>
          <w:tcPr>
            <w:tcW w:w="1307" w:type="dxa"/>
            <w:tcBorders>
              <w:top w:val="nil"/>
              <w:left w:val="nil"/>
              <w:bottom w:val="single" w:sz="4" w:space="0" w:color="auto"/>
              <w:right w:val="single" w:sz="4" w:space="0" w:color="auto"/>
            </w:tcBorders>
            <w:shd w:val="clear" w:color="000000" w:fill="FFFFFF"/>
            <w:noWrap/>
            <w:vAlign w:val="bottom"/>
            <w:hideMark/>
          </w:tcPr>
          <w:p w14:paraId="6695E4B4"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299.718,00</w:t>
            </w:r>
          </w:p>
        </w:tc>
        <w:tc>
          <w:tcPr>
            <w:tcW w:w="1123" w:type="dxa"/>
            <w:tcBorders>
              <w:top w:val="nil"/>
              <w:left w:val="nil"/>
              <w:bottom w:val="single" w:sz="4" w:space="0" w:color="auto"/>
              <w:right w:val="single" w:sz="4" w:space="0" w:color="auto"/>
            </w:tcBorders>
            <w:shd w:val="clear" w:color="000000" w:fill="FFFFFF"/>
            <w:noWrap/>
            <w:vAlign w:val="bottom"/>
            <w:hideMark/>
          </w:tcPr>
          <w:p w14:paraId="1F73C162"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25.286,00</w:t>
            </w:r>
          </w:p>
        </w:tc>
        <w:tc>
          <w:tcPr>
            <w:tcW w:w="1123" w:type="dxa"/>
            <w:tcBorders>
              <w:top w:val="nil"/>
              <w:left w:val="nil"/>
              <w:bottom w:val="single" w:sz="4" w:space="0" w:color="auto"/>
              <w:right w:val="single" w:sz="4" w:space="0" w:color="auto"/>
            </w:tcBorders>
            <w:shd w:val="clear" w:color="000000" w:fill="FFFFFF"/>
            <w:noWrap/>
            <w:vAlign w:val="bottom"/>
            <w:hideMark/>
          </w:tcPr>
          <w:p w14:paraId="36CE86F9"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8,44</w:t>
            </w:r>
          </w:p>
        </w:tc>
        <w:tc>
          <w:tcPr>
            <w:tcW w:w="1240" w:type="dxa"/>
            <w:tcBorders>
              <w:top w:val="nil"/>
              <w:left w:val="nil"/>
              <w:bottom w:val="single" w:sz="4" w:space="0" w:color="auto"/>
              <w:right w:val="single" w:sz="4" w:space="0" w:color="auto"/>
            </w:tcBorders>
            <w:shd w:val="clear" w:color="000000" w:fill="FFFFFF"/>
            <w:noWrap/>
            <w:vAlign w:val="bottom"/>
            <w:hideMark/>
          </w:tcPr>
          <w:p w14:paraId="2C1CC50B"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325.004,00</w:t>
            </w:r>
          </w:p>
        </w:tc>
      </w:tr>
      <w:tr w:rsidR="00BC7E60" w:rsidRPr="00497178" w14:paraId="599D169B"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C2E2EA5"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Glava 60001 UPRAVNI ODJEL ZA GOSPODARSTVO I EU PROJEKTE</w:t>
            </w:r>
          </w:p>
        </w:tc>
        <w:tc>
          <w:tcPr>
            <w:tcW w:w="1307" w:type="dxa"/>
            <w:tcBorders>
              <w:top w:val="nil"/>
              <w:left w:val="nil"/>
              <w:bottom w:val="single" w:sz="4" w:space="0" w:color="auto"/>
              <w:right w:val="single" w:sz="4" w:space="0" w:color="auto"/>
            </w:tcBorders>
            <w:shd w:val="clear" w:color="000000" w:fill="FFFFFF"/>
            <w:noWrap/>
            <w:vAlign w:val="bottom"/>
            <w:hideMark/>
          </w:tcPr>
          <w:p w14:paraId="42C050F9"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299.718,00</w:t>
            </w:r>
          </w:p>
        </w:tc>
        <w:tc>
          <w:tcPr>
            <w:tcW w:w="1123" w:type="dxa"/>
            <w:tcBorders>
              <w:top w:val="nil"/>
              <w:left w:val="nil"/>
              <w:bottom w:val="single" w:sz="4" w:space="0" w:color="auto"/>
              <w:right w:val="single" w:sz="4" w:space="0" w:color="auto"/>
            </w:tcBorders>
            <w:shd w:val="clear" w:color="000000" w:fill="FFFFFF"/>
            <w:noWrap/>
            <w:vAlign w:val="bottom"/>
            <w:hideMark/>
          </w:tcPr>
          <w:p w14:paraId="66EF42FC"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25.286,00</w:t>
            </w:r>
          </w:p>
        </w:tc>
        <w:tc>
          <w:tcPr>
            <w:tcW w:w="1123" w:type="dxa"/>
            <w:tcBorders>
              <w:top w:val="nil"/>
              <w:left w:val="nil"/>
              <w:bottom w:val="single" w:sz="4" w:space="0" w:color="auto"/>
              <w:right w:val="single" w:sz="4" w:space="0" w:color="auto"/>
            </w:tcBorders>
            <w:shd w:val="clear" w:color="000000" w:fill="FFFFFF"/>
            <w:noWrap/>
            <w:vAlign w:val="bottom"/>
            <w:hideMark/>
          </w:tcPr>
          <w:p w14:paraId="03E9B849"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8,44</w:t>
            </w:r>
          </w:p>
        </w:tc>
        <w:tc>
          <w:tcPr>
            <w:tcW w:w="1240" w:type="dxa"/>
            <w:tcBorders>
              <w:top w:val="nil"/>
              <w:left w:val="nil"/>
              <w:bottom w:val="single" w:sz="4" w:space="0" w:color="auto"/>
              <w:right w:val="single" w:sz="4" w:space="0" w:color="auto"/>
            </w:tcBorders>
            <w:shd w:val="clear" w:color="000000" w:fill="FFFFFF"/>
            <w:noWrap/>
            <w:vAlign w:val="bottom"/>
            <w:hideMark/>
          </w:tcPr>
          <w:p w14:paraId="384F69DD"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325.004,00</w:t>
            </w:r>
          </w:p>
        </w:tc>
      </w:tr>
      <w:tr w:rsidR="00BC7E60" w:rsidRPr="00497178" w14:paraId="68003369"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A79118C"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6001 Jačanje gospodarstva</w:t>
            </w:r>
          </w:p>
        </w:tc>
        <w:tc>
          <w:tcPr>
            <w:tcW w:w="1307" w:type="dxa"/>
            <w:tcBorders>
              <w:top w:val="nil"/>
              <w:left w:val="nil"/>
              <w:bottom w:val="single" w:sz="4" w:space="0" w:color="auto"/>
              <w:right w:val="single" w:sz="4" w:space="0" w:color="auto"/>
            </w:tcBorders>
            <w:shd w:val="clear" w:color="000000" w:fill="FFFFFF"/>
            <w:noWrap/>
            <w:vAlign w:val="bottom"/>
            <w:hideMark/>
          </w:tcPr>
          <w:p w14:paraId="11A30E84"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144.618,00</w:t>
            </w:r>
          </w:p>
        </w:tc>
        <w:tc>
          <w:tcPr>
            <w:tcW w:w="1123" w:type="dxa"/>
            <w:tcBorders>
              <w:top w:val="nil"/>
              <w:left w:val="nil"/>
              <w:bottom w:val="single" w:sz="4" w:space="0" w:color="auto"/>
              <w:right w:val="single" w:sz="4" w:space="0" w:color="auto"/>
            </w:tcBorders>
            <w:shd w:val="clear" w:color="000000" w:fill="FFFFFF"/>
            <w:noWrap/>
            <w:vAlign w:val="bottom"/>
            <w:hideMark/>
          </w:tcPr>
          <w:p w14:paraId="37708BBC"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-11.325,00</w:t>
            </w:r>
          </w:p>
        </w:tc>
        <w:tc>
          <w:tcPr>
            <w:tcW w:w="1123" w:type="dxa"/>
            <w:tcBorders>
              <w:top w:val="nil"/>
              <w:left w:val="nil"/>
              <w:bottom w:val="single" w:sz="4" w:space="0" w:color="auto"/>
              <w:right w:val="single" w:sz="4" w:space="0" w:color="auto"/>
            </w:tcBorders>
            <w:shd w:val="clear" w:color="000000" w:fill="FFFFFF"/>
            <w:noWrap/>
            <w:vAlign w:val="bottom"/>
            <w:hideMark/>
          </w:tcPr>
          <w:p w14:paraId="73AD8475"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-7,83</w:t>
            </w:r>
          </w:p>
        </w:tc>
        <w:tc>
          <w:tcPr>
            <w:tcW w:w="1240" w:type="dxa"/>
            <w:tcBorders>
              <w:top w:val="nil"/>
              <w:left w:val="nil"/>
              <w:bottom w:val="single" w:sz="4" w:space="0" w:color="auto"/>
              <w:right w:val="single" w:sz="4" w:space="0" w:color="auto"/>
            </w:tcBorders>
            <w:shd w:val="clear" w:color="000000" w:fill="FFFFFF"/>
            <w:noWrap/>
            <w:vAlign w:val="bottom"/>
            <w:hideMark/>
          </w:tcPr>
          <w:p w14:paraId="62BF828D"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133.293,00</w:t>
            </w:r>
          </w:p>
        </w:tc>
      </w:tr>
      <w:tr w:rsidR="00BC7E60" w:rsidRPr="00497178" w14:paraId="3C7CB369"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AC13B54"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A600001 Učešće u Fondu za razvoj poljoprivrede i agroturizma Istre</w:t>
            </w:r>
          </w:p>
        </w:tc>
        <w:tc>
          <w:tcPr>
            <w:tcW w:w="1307" w:type="dxa"/>
            <w:tcBorders>
              <w:top w:val="nil"/>
              <w:left w:val="nil"/>
              <w:bottom w:val="single" w:sz="4" w:space="0" w:color="auto"/>
              <w:right w:val="single" w:sz="4" w:space="0" w:color="auto"/>
            </w:tcBorders>
            <w:shd w:val="clear" w:color="000000" w:fill="FFFFFF"/>
            <w:noWrap/>
            <w:vAlign w:val="bottom"/>
            <w:hideMark/>
          </w:tcPr>
          <w:p w14:paraId="120DECD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2.654,00</w:t>
            </w:r>
          </w:p>
        </w:tc>
        <w:tc>
          <w:tcPr>
            <w:tcW w:w="1123" w:type="dxa"/>
            <w:tcBorders>
              <w:top w:val="nil"/>
              <w:left w:val="nil"/>
              <w:bottom w:val="single" w:sz="4" w:space="0" w:color="auto"/>
              <w:right w:val="single" w:sz="4" w:space="0" w:color="auto"/>
            </w:tcBorders>
            <w:shd w:val="clear" w:color="000000" w:fill="FFFFFF"/>
            <w:noWrap/>
            <w:vAlign w:val="bottom"/>
            <w:hideMark/>
          </w:tcPr>
          <w:p w14:paraId="3B43E07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36068EA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349B14E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2.654,00</w:t>
            </w:r>
          </w:p>
        </w:tc>
      </w:tr>
      <w:tr w:rsidR="00BC7E60" w:rsidRPr="00497178" w14:paraId="2A79DD45"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16FB9B6A"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A600002 Promocija tradicionalnih obrta i proizvoda</w:t>
            </w:r>
          </w:p>
        </w:tc>
        <w:tc>
          <w:tcPr>
            <w:tcW w:w="1307" w:type="dxa"/>
            <w:tcBorders>
              <w:top w:val="nil"/>
              <w:left w:val="nil"/>
              <w:bottom w:val="single" w:sz="4" w:space="0" w:color="auto"/>
              <w:right w:val="single" w:sz="4" w:space="0" w:color="auto"/>
            </w:tcBorders>
            <w:shd w:val="clear" w:color="000000" w:fill="FFFFFF"/>
            <w:noWrap/>
            <w:vAlign w:val="bottom"/>
            <w:hideMark/>
          </w:tcPr>
          <w:p w14:paraId="4D85E3E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4.000,00</w:t>
            </w:r>
          </w:p>
        </w:tc>
        <w:tc>
          <w:tcPr>
            <w:tcW w:w="1123" w:type="dxa"/>
            <w:tcBorders>
              <w:top w:val="nil"/>
              <w:left w:val="nil"/>
              <w:bottom w:val="single" w:sz="4" w:space="0" w:color="auto"/>
              <w:right w:val="single" w:sz="4" w:space="0" w:color="auto"/>
            </w:tcBorders>
            <w:shd w:val="clear" w:color="000000" w:fill="FFFFFF"/>
            <w:noWrap/>
            <w:vAlign w:val="bottom"/>
            <w:hideMark/>
          </w:tcPr>
          <w:p w14:paraId="24862B0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-1.000,00</w:t>
            </w:r>
          </w:p>
        </w:tc>
        <w:tc>
          <w:tcPr>
            <w:tcW w:w="1123" w:type="dxa"/>
            <w:tcBorders>
              <w:top w:val="nil"/>
              <w:left w:val="nil"/>
              <w:bottom w:val="single" w:sz="4" w:space="0" w:color="auto"/>
              <w:right w:val="single" w:sz="4" w:space="0" w:color="auto"/>
            </w:tcBorders>
            <w:shd w:val="clear" w:color="000000" w:fill="FFFFFF"/>
            <w:noWrap/>
            <w:vAlign w:val="bottom"/>
            <w:hideMark/>
          </w:tcPr>
          <w:p w14:paraId="4A2D984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-25,00</w:t>
            </w:r>
          </w:p>
        </w:tc>
        <w:tc>
          <w:tcPr>
            <w:tcW w:w="1240" w:type="dxa"/>
            <w:tcBorders>
              <w:top w:val="nil"/>
              <w:left w:val="nil"/>
              <w:bottom w:val="single" w:sz="4" w:space="0" w:color="auto"/>
              <w:right w:val="single" w:sz="4" w:space="0" w:color="auto"/>
            </w:tcBorders>
            <w:shd w:val="clear" w:color="000000" w:fill="FFFFFF"/>
            <w:noWrap/>
            <w:vAlign w:val="bottom"/>
            <w:hideMark/>
          </w:tcPr>
          <w:p w14:paraId="523731A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3.000,00</w:t>
            </w:r>
          </w:p>
        </w:tc>
      </w:tr>
      <w:tr w:rsidR="00BC7E60" w:rsidRPr="00497178" w14:paraId="35BA8C1C"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202A599D"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A600003 Lokalna akcijska grupa Istočna Istra</w:t>
            </w:r>
          </w:p>
        </w:tc>
        <w:tc>
          <w:tcPr>
            <w:tcW w:w="1307" w:type="dxa"/>
            <w:tcBorders>
              <w:top w:val="nil"/>
              <w:left w:val="nil"/>
              <w:bottom w:val="single" w:sz="4" w:space="0" w:color="auto"/>
              <w:right w:val="single" w:sz="4" w:space="0" w:color="auto"/>
            </w:tcBorders>
            <w:shd w:val="clear" w:color="000000" w:fill="FFFFFF"/>
            <w:noWrap/>
            <w:vAlign w:val="bottom"/>
            <w:hideMark/>
          </w:tcPr>
          <w:p w14:paraId="13BCA2B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3.982,00</w:t>
            </w:r>
          </w:p>
        </w:tc>
        <w:tc>
          <w:tcPr>
            <w:tcW w:w="1123" w:type="dxa"/>
            <w:tcBorders>
              <w:top w:val="nil"/>
              <w:left w:val="nil"/>
              <w:bottom w:val="single" w:sz="4" w:space="0" w:color="auto"/>
              <w:right w:val="single" w:sz="4" w:space="0" w:color="auto"/>
            </w:tcBorders>
            <w:shd w:val="clear" w:color="000000" w:fill="FFFFFF"/>
            <w:noWrap/>
            <w:vAlign w:val="bottom"/>
            <w:hideMark/>
          </w:tcPr>
          <w:p w14:paraId="46BA452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72FBD5B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243951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3.982,00</w:t>
            </w:r>
          </w:p>
        </w:tc>
      </w:tr>
      <w:tr w:rsidR="00BC7E60" w:rsidRPr="00497178" w14:paraId="7F576202"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09DED55" w14:textId="77777777" w:rsidR="00BC7E60" w:rsidRPr="00497178" w:rsidRDefault="00BC7E60" w:rsidP="00512D52">
            <w:pPr>
              <w:rPr>
                <w:rFonts w:ascii="Arial" w:hAnsi="Arial" w:cs="Arial"/>
                <w:sz w:val="16"/>
                <w:szCs w:val="16"/>
              </w:rPr>
            </w:pPr>
            <w:r w:rsidRPr="00497178">
              <w:rPr>
                <w:rFonts w:ascii="Arial" w:hAnsi="Arial" w:cs="Arial"/>
                <w:sz w:val="16"/>
                <w:szCs w:val="16"/>
              </w:rPr>
              <w:lastRenderedPageBreak/>
              <w:t>Aktivnost A600004 Lokalna akcijska grupa u ribarstvu Istočna Istra</w:t>
            </w:r>
          </w:p>
        </w:tc>
        <w:tc>
          <w:tcPr>
            <w:tcW w:w="1307" w:type="dxa"/>
            <w:tcBorders>
              <w:top w:val="nil"/>
              <w:left w:val="nil"/>
              <w:bottom w:val="single" w:sz="4" w:space="0" w:color="auto"/>
              <w:right w:val="single" w:sz="4" w:space="0" w:color="auto"/>
            </w:tcBorders>
            <w:shd w:val="clear" w:color="000000" w:fill="FFFFFF"/>
            <w:noWrap/>
            <w:vAlign w:val="bottom"/>
            <w:hideMark/>
          </w:tcPr>
          <w:p w14:paraId="55A6A39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3.982,00</w:t>
            </w:r>
          </w:p>
        </w:tc>
        <w:tc>
          <w:tcPr>
            <w:tcW w:w="1123" w:type="dxa"/>
            <w:tcBorders>
              <w:top w:val="nil"/>
              <w:left w:val="nil"/>
              <w:bottom w:val="single" w:sz="4" w:space="0" w:color="auto"/>
              <w:right w:val="single" w:sz="4" w:space="0" w:color="auto"/>
            </w:tcBorders>
            <w:shd w:val="clear" w:color="000000" w:fill="FFFFFF"/>
            <w:noWrap/>
            <w:vAlign w:val="bottom"/>
            <w:hideMark/>
          </w:tcPr>
          <w:p w14:paraId="74DE4C7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0F285A0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A13A96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3.982,00</w:t>
            </w:r>
          </w:p>
        </w:tc>
      </w:tr>
      <w:tr w:rsidR="00BC7E60" w:rsidRPr="00497178" w14:paraId="1AB1AEE7"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657D565"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A600005 Bespovratne potpore i subvencije</w:t>
            </w:r>
          </w:p>
        </w:tc>
        <w:tc>
          <w:tcPr>
            <w:tcW w:w="1307" w:type="dxa"/>
            <w:tcBorders>
              <w:top w:val="nil"/>
              <w:left w:val="nil"/>
              <w:bottom w:val="single" w:sz="4" w:space="0" w:color="auto"/>
              <w:right w:val="single" w:sz="4" w:space="0" w:color="auto"/>
            </w:tcBorders>
            <w:shd w:val="clear" w:color="000000" w:fill="FFFFFF"/>
            <w:noWrap/>
            <w:vAlign w:val="bottom"/>
            <w:hideMark/>
          </w:tcPr>
          <w:p w14:paraId="02A26879"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94.000,00</w:t>
            </w:r>
          </w:p>
        </w:tc>
        <w:tc>
          <w:tcPr>
            <w:tcW w:w="1123" w:type="dxa"/>
            <w:tcBorders>
              <w:top w:val="nil"/>
              <w:left w:val="nil"/>
              <w:bottom w:val="single" w:sz="4" w:space="0" w:color="auto"/>
              <w:right w:val="single" w:sz="4" w:space="0" w:color="auto"/>
            </w:tcBorders>
            <w:shd w:val="clear" w:color="000000" w:fill="FFFFFF"/>
            <w:noWrap/>
            <w:vAlign w:val="bottom"/>
            <w:hideMark/>
          </w:tcPr>
          <w:p w14:paraId="2B8EA93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-3.000,00</w:t>
            </w:r>
          </w:p>
        </w:tc>
        <w:tc>
          <w:tcPr>
            <w:tcW w:w="1123" w:type="dxa"/>
            <w:tcBorders>
              <w:top w:val="nil"/>
              <w:left w:val="nil"/>
              <w:bottom w:val="single" w:sz="4" w:space="0" w:color="auto"/>
              <w:right w:val="single" w:sz="4" w:space="0" w:color="auto"/>
            </w:tcBorders>
            <w:shd w:val="clear" w:color="000000" w:fill="FFFFFF"/>
            <w:noWrap/>
            <w:vAlign w:val="bottom"/>
            <w:hideMark/>
          </w:tcPr>
          <w:p w14:paraId="1AFDC8B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-3,19</w:t>
            </w:r>
          </w:p>
        </w:tc>
        <w:tc>
          <w:tcPr>
            <w:tcW w:w="1240" w:type="dxa"/>
            <w:tcBorders>
              <w:top w:val="nil"/>
              <w:left w:val="nil"/>
              <w:bottom w:val="single" w:sz="4" w:space="0" w:color="auto"/>
              <w:right w:val="single" w:sz="4" w:space="0" w:color="auto"/>
            </w:tcBorders>
            <w:shd w:val="clear" w:color="000000" w:fill="FFFFFF"/>
            <w:noWrap/>
            <w:vAlign w:val="bottom"/>
            <w:hideMark/>
          </w:tcPr>
          <w:p w14:paraId="150923D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91.000,00</w:t>
            </w:r>
          </w:p>
        </w:tc>
      </w:tr>
      <w:tr w:rsidR="00BC7E60" w:rsidRPr="00497178" w14:paraId="1E222BAC"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2D8F90B0"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Aktivnost A600006 </w:t>
            </w:r>
            <w:proofErr w:type="spellStart"/>
            <w:r w:rsidRPr="00497178">
              <w:rPr>
                <w:rFonts w:ascii="Arial" w:hAnsi="Arial" w:cs="Arial"/>
                <w:sz w:val="16"/>
                <w:szCs w:val="16"/>
              </w:rPr>
              <w:t>Iformativna</w:t>
            </w:r>
            <w:proofErr w:type="spellEnd"/>
            <w:r w:rsidRPr="00497178">
              <w:rPr>
                <w:rFonts w:ascii="Arial" w:hAnsi="Arial" w:cs="Arial"/>
                <w:sz w:val="16"/>
                <w:szCs w:val="16"/>
              </w:rPr>
              <w:t xml:space="preserve"> i edukativna potpora</w:t>
            </w:r>
          </w:p>
        </w:tc>
        <w:tc>
          <w:tcPr>
            <w:tcW w:w="1307" w:type="dxa"/>
            <w:tcBorders>
              <w:top w:val="nil"/>
              <w:left w:val="nil"/>
              <w:bottom w:val="single" w:sz="4" w:space="0" w:color="auto"/>
              <w:right w:val="single" w:sz="4" w:space="0" w:color="auto"/>
            </w:tcBorders>
            <w:shd w:val="clear" w:color="000000" w:fill="FFFFFF"/>
            <w:noWrap/>
            <w:vAlign w:val="bottom"/>
            <w:hideMark/>
          </w:tcPr>
          <w:p w14:paraId="77AE6F5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19.000,00</w:t>
            </w:r>
          </w:p>
        </w:tc>
        <w:tc>
          <w:tcPr>
            <w:tcW w:w="1123" w:type="dxa"/>
            <w:tcBorders>
              <w:top w:val="nil"/>
              <w:left w:val="nil"/>
              <w:bottom w:val="single" w:sz="4" w:space="0" w:color="auto"/>
              <w:right w:val="single" w:sz="4" w:space="0" w:color="auto"/>
            </w:tcBorders>
            <w:shd w:val="clear" w:color="000000" w:fill="FFFFFF"/>
            <w:noWrap/>
            <w:vAlign w:val="bottom"/>
            <w:hideMark/>
          </w:tcPr>
          <w:p w14:paraId="79F1B69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-3.325,00</w:t>
            </w:r>
          </w:p>
        </w:tc>
        <w:tc>
          <w:tcPr>
            <w:tcW w:w="1123" w:type="dxa"/>
            <w:tcBorders>
              <w:top w:val="nil"/>
              <w:left w:val="nil"/>
              <w:bottom w:val="single" w:sz="4" w:space="0" w:color="auto"/>
              <w:right w:val="single" w:sz="4" w:space="0" w:color="auto"/>
            </w:tcBorders>
            <w:shd w:val="clear" w:color="000000" w:fill="FFFFFF"/>
            <w:noWrap/>
            <w:vAlign w:val="bottom"/>
            <w:hideMark/>
          </w:tcPr>
          <w:p w14:paraId="48F7A1C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-17,50</w:t>
            </w:r>
          </w:p>
        </w:tc>
        <w:tc>
          <w:tcPr>
            <w:tcW w:w="1240" w:type="dxa"/>
            <w:tcBorders>
              <w:top w:val="nil"/>
              <w:left w:val="nil"/>
              <w:bottom w:val="single" w:sz="4" w:space="0" w:color="auto"/>
              <w:right w:val="single" w:sz="4" w:space="0" w:color="auto"/>
            </w:tcBorders>
            <w:shd w:val="clear" w:color="000000" w:fill="FFFFFF"/>
            <w:noWrap/>
            <w:vAlign w:val="bottom"/>
            <w:hideMark/>
          </w:tcPr>
          <w:p w14:paraId="5F06ACD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15.675,00</w:t>
            </w:r>
          </w:p>
        </w:tc>
      </w:tr>
      <w:tr w:rsidR="00BC7E60" w:rsidRPr="00497178" w14:paraId="04C88A04"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1FF21E5B"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Tekući projekt T600001 </w:t>
            </w:r>
            <w:proofErr w:type="spellStart"/>
            <w:r w:rsidRPr="00497178">
              <w:rPr>
                <w:rFonts w:ascii="Arial" w:hAnsi="Arial" w:cs="Arial"/>
                <w:sz w:val="16"/>
                <w:szCs w:val="16"/>
              </w:rPr>
              <w:t>Coworking</w:t>
            </w:r>
            <w:proofErr w:type="spellEnd"/>
          </w:p>
        </w:tc>
        <w:tc>
          <w:tcPr>
            <w:tcW w:w="1307" w:type="dxa"/>
            <w:tcBorders>
              <w:top w:val="nil"/>
              <w:left w:val="nil"/>
              <w:bottom w:val="single" w:sz="4" w:space="0" w:color="auto"/>
              <w:right w:val="single" w:sz="4" w:space="0" w:color="auto"/>
            </w:tcBorders>
            <w:shd w:val="clear" w:color="000000" w:fill="FFFFFF"/>
            <w:noWrap/>
            <w:vAlign w:val="bottom"/>
            <w:hideMark/>
          </w:tcPr>
          <w:p w14:paraId="26835DBB"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15.000,00</w:t>
            </w:r>
          </w:p>
        </w:tc>
        <w:tc>
          <w:tcPr>
            <w:tcW w:w="1123" w:type="dxa"/>
            <w:tcBorders>
              <w:top w:val="nil"/>
              <w:left w:val="nil"/>
              <w:bottom w:val="single" w:sz="4" w:space="0" w:color="auto"/>
              <w:right w:val="single" w:sz="4" w:space="0" w:color="auto"/>
            </w:tcBorders>
            <w:shd w:val="clear" w:color="000000" w:fill="FFFFFF"/>
            <w:noWrap/>
            <w:vAlign w:val="bottom"/>
            <w:hideMark/>
          </w:tcPr>
          <w:p w14:paraId="18AF8C2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-4.000,00</w:t>
            </w:r>
          </w:p>
        </w:tc>
        <w:tc>
          <w:tcPr>
            <w:tcW w:w="1123" w:type="dxa"/>
            <w:tcBorders>
              <w:top w:val="nil"/>
              <w:left w:val="nil"/>
              <w:bottom w:val="single" w:sz="4" w:space="0" w:color="auto"/>
              <w:right w:val="single" w:sz="4" w:space="0" w:color="auto"/>
            </w:tcBorders>
            <w:shd w:val="clear" w:color="000000" w:fill="FFFFFF"/>
            <w:noWrap/>
            <w:vAlign w:val="bottom"/>
            <w:hideMark/>
          </w:tcPr>
          <w:p w14:paraId="21A0770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-26,67</w:t>
            </w:r>
          </w:p>
        </w:tc>
        <w:tc>
          <w:tcPr>
            <w:tcW w:w="1240" w:type="dxa"/>
            <w:tcBorders>
              <w:top w:val="nil"/>
              <w:left w:val="nil"/>
              <w:bottom w:val="single" w:sz="4" w:space="0" w:color="auto"/>
              <w:right w:val="single" w:sz="4" w:space="0" w:color="auto"/>
            </w:tcBorders>
            <w:shd w:val="clear" w:color="000000" w:fill="FFFFFF"/>
            <w:noWrap/>
            <w:vAlign w:val="bottom"/>
            <w:hideMark/>
          </w:tcPr>
          <w:p w14:paraId="24023C1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11.000,00</w:t>
            </w:r>
          </w:p>
        </w:tc>
      </w:tr>
      <w:tr w:rsidR="00BC7E60" w:rsidRPr="00497178" w14:paraId="71202FBF"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1C636364" w14:textId="77777777" w:rsidR="00BC7E60" w:rsidRPr="00497178" w:rsidRDefault="00BC7E60" w:rsidP="00512D52">
            <w:pPr>
              <w:rPr>
                <w:rFonts w:ascii="Arial" w:hAnsi="Arial" w:cs="Arial"/>
                <w:sz w:val="16"/>
                <w:szCs w:val="16"/>
              </w:rPr>
            </w:pPr>
            <w:r w:rsidRPr="00497178">
              <w:rPr>
                <w:rFonts w:ascii="Arial" w:hAnsi="Arial" w:cs="Arial"/>
                <w:sz w:val="16"/>
                <w:szCs w:val="16"/>
              </w:rPr>
              <w:t>Tekući projekt T600002 On line baza podataka</w:t>
            </w:r>
          </w:p>
        </w:tc>
        <w:tc>
          <w:tcPr>
            <w:tcW w:w="1307" w:type="dxa"/>
            <w:tcBorders>
              <w:top w:val="nil"/>
              <w:left w:val="nil"/>
              <w:bottom w:val="single" w:sz="4" w:space="0" w:color="auto"/>
              <w:right w:val="single" w:sz="4" w:space="0" w:color="auto"/>
            </w:tcBorders>
            <w:shd w:val="clear" w:color="000000" w:fill="FFFFFF"/>
            <w:noWrap/>
            <w:vAlign w:val="bottom"/>
            <w:hideMark/>
          </w:tcPr>
          <w:p w14:paraId="2BE8C60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2.000,00</w:t>
            </w:r>
          </w:p>
        </w:tc>
        <w:tc>
          <w:tcPr>
            <w:tcW w:w="1123" w:type="dxa"/>
            <w:tcBorders>
              <w:top w:val="nil"/>
              <w:left w:val="nil"/>
              <w:bottom w:val="single" w:sz="4" w:space="0" w:color="auto"/>
              <w:right w:val="single" w:sz="4" w:space="0" w:color="auto"/>
            </w:tcBorders>
            <w:shd w:val="clear" w:color="000000" w:fill="FFFFFF"/>
            <w:noWrap/>
            <w:vAlign w:val="bottom"/>
            <w:hideMark/>
          </w:tcPr>
          <w:p w14:paraId="1C02A89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2D0A170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7722122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2.000,00</w:t>
            </w:r>
          </w:p>
        </w:tc>
      </w:tr>
      <w:tr w:rsidR="00BC7E60" w:rsidRPr="00497178" w14:paraId="66466276"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AD4A5B3"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6002 Upravljanje EU projektima</w:t>
            </w:r>
          </w:p>
        </w:tc>
        <w:tc>
          <w:tcPr>
            <w:tcW w:w="1307" w:type="dxa"/>
            <w:tcBorders>
              <w:top w:val="nil"/>
              <w:left w:val="nil"/>
              <w:bottom w:val="single" w:sz="4" w:space="0" w:color="auto"/>
              <w:right w:val="single" w:sz="4" w:space="0" w:color="auto"/>
            </w:tcBorders>
            <w:shd w:val="clear" w:color="000000" w:fill="FFFFFF"/>
            <w:noWrap/>
            <w:vAlign w:val="bottom"/>
            <w:hideMark/>
          </w:tcPr>
          <w:p w14:paraId="4AE5B2D9"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114.100,00</w:t>
            </w:r>
          </w:p>
        </w:tc>
        <w:tc>
          <w:tcPr>
            <w:tcW w:w="1123" w:type="dxa"/>
            <w:tcBorders>
              <w:top w:val="nil"/>
              <w:left w:val="nil"/>
              <w:bottom w:val="single" w:sz="4" w:space="0" w:color="auto"/>
              <w:right w:val="single" w:sz="4" w:space="0" w:color="auto"/>
            </w:tcBorders>
            <w:shd w:val="clear" w:color="000000" w:fill="FFFFFF"/>
            <w:noWrap/>
            <w:vAlign w:val="bottom"/>
            <w:hideMark/>
          </w:tcPr>
          <w:p w14:paraId="690AFB2F"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37.000,00</w:t>
            </w:r>
          </w:p>
        </w:tc>
        <w:tc>
          <w:tcPr>
            <w:tcW w:w="1123" w:type="dxa"/>
            <w:tcBorders>
              <w:top w:val="nil"/>
              <w:left w:val="nil"/>
              <w:bottom w:val="single" w:sz="4" w:space="0" w:color="auto"/>
              <w:right w:val="single" w:sz="4" w:space="0" w:color="auto"/>
            </w:tcBorders>
            <w:shd w:val="clear" w:color="000000" w:fill="FFFFFF"/>
            <w:noWrap/>
            <w:vAlign w:val="bottom"/>
            <w:hideMark/>
          </w:tcPr>
          <w:p w14:paraId="6553176F"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32,43</w:t>
            </w:r>
          </w:p>
        </w:tc>
        <w:tc>
          <w:tcPr>
            <w:tcW w:w="1240" w:type="dxa"/>
            <w:tcBorders>
              <w:top w:val="nil"/>
              <w:left w:val="nil"/>
              <w:bottom w:val="single" w:sz="4" w:space="0" w:color="auto"/>
              <w:right w:val="single" w:sz="4" w:space="0" w:color="auto"/>
            </w:tcBorders>
            <w:shd w:val="clear" w:color="000000" w:fill="FFFFFF"/>
            <w:noWrap/>
            <w:vAlign w:val="bottom"/>
            <w:hideMark/>
          </w:tcPr>
          <w:p w14:paraId="3FB6E39A"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151.100,00</w:t>
            </w:r>
          </w:p>
        </w:tc>
      </w:tr>
      <w:tr w:rsidR="00BC7E60" w:rsidRPr="00497178" w14:paraId="7B7FEB28"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353C28B4"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A600001 Priprema projekata iz EU fondova</w:t>
            </w:r>
          </w:p>
        </w:tc>
        <w:tc>
          <w:tcPr>
            <w:tcW w:w="1307" w:type="dxa"/>
            <w:tcBorders>
              <w:top w:val="nil"/>
              <w:left w:val="nil"/>
              <w:bottom w:val="single" w:sz="4" w:space="0" w:color="auto"/>
              <w:right w:val="single" w:sz="4" w:space="0" w:color="auto"/>
            </w:tcBorders>
            <w:shd w:val="clear" w:color="000000" w:fill="FFFFFF"/>
            <w:noWrap/>
            <w:vAlign w:val="bottom"/>
            <w:hideMark/>
          </w:tcPr>
          <w:p w14:paraId="5FF2411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64.800,00</w:t>
            </w:r>
          </w:p>
        </w:tc>
        <w:tc>
          <w:tcPr>
            <w:tcW w:w="1123" w:type="dxa"/>
            <w:tcBorders>
              <w:top w:val="nil"/>
              <w:left w:val="nil"/>
              <w:bottom w:val="single" w:sz="4" w:space="0" w:color="auto"/>
              <w:right w:val="single" w:sz="4" w:space="0" w:color="auto"/>
            </w:tcBorders>
            <w:shd w:val="clear" w:color="000000" w:fill="FFFFFF"/>
            <w:noWrap/>
            <w:vAlign w:val="bottom"/>
            <w:hideMark/>
          </w:tcPr>
          <w:p w14:paraId="6BB7853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37.000,00</w:t>
            </w:r>
          </w:p>
        </w:tc>
        <w:tc>
          <w:tcPr>
            <w:tcW w:w="1123" w:type="dxa"/>
            <w:tcBorders>
              <w:top w:val="nil"/>
              <w:left w:val="nil"/>
              <w:bottom w:val="single" w:sz="4" w:space="0" w:color="auto"/>
              <w:right w:val="single" w:sz="4" w:space="0" w:color="auto"/>
            </w:tcBorders>
            <w:shd w:val="clear" w:color="000000" w:fill="FFFFFF"/>
            <w:noWrap/>
            <w:vAlign w:val="bottom"/>
            <w:hideMark/>
          </w:tcPr>
          <w:p w14:paraId="7A7F615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57,10</w:t>
            </w:r>
          </w:p>
        </w:tc>
        <w:tc>
          <w:tcPr>
            <w:tcW w:w="1240" w:type="dxa"/>
            <w:tcBorders>
              <w:top w:val="nil"/>
              <w:left w:val="nil"/>
              <w:bottom w:val="single" w:sz="4" w:space="0" w:color="auto"/>
              <w:right w:val="single" w:sz="4" w:space="0" w:color="auto"/>
            </w:tcBorders>
            <w:shd w:val="clear" w:color="000000" w:fill="FFFFFF"/>
            <w:noWrap/>
            <w:vAlign w:val="bottom"/>
            <w:hideMark/>
          </w:tcPr>
          <w:p w14:paraId="03C6C4FE"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101.800,00</w:t>
            </w:r>
          </w:p>
        </w:tc>
      </w:tr>
      <w:tr w:rsidR="00BC7E60" w:rsidRPr="00497178" w14:paraId="3805EB34"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756D6825" w14:textId="77777777" w:rsidR="00BC7E60" w:rsidRPr="00497178" w:rsidRDefault="00BC7E60" w:rsidP="00512D52">
            <w:pPr>
              <w:rPr>
                <w:rFonts w:ascii="Arial" w:hAnsi="Arial" w:cs="Arial"/>
                <w:sz w:val="16"/>
                <w:szCs w:val="16"/>
              </w:rPr>
            </w:pPr>
            <w:r w:rsidRPr="00497178">
              <w:rPr>
                <w:rFonts w:ascii="Arial" w:hAnsi="Arial" w:cs="Arial"/>
                <w:sz w:val="16"/>
                <w:szCs w:val="16"/>
              </w:rPr>
              <w:t>Tekući projekt T600009 Projekt WI4EU</w:t>
            </w:r>
          </w:p>
        </w:tc>
        <w:tc>
          <w:tcPr>
            <w:tcW w:w="1307" w:type="dxa"/>
            <w:tcBorders>
              <w:top w:val="nil"/>
              <w:left w:val="nil"/>
              <w:bottom w:val="single" w:sz="4" w:space="0" w:color="auto"/>
              <w:right w:val="single" w:sz="4" w:space="0" w:color="auto"/>
            </w:tcBorders>
            <w:shd w:val="clear" w:color="000000" w:fill="FFFFFF"/>
            <w:noWrap/>
            <w:vAlign w:val="bottom"/>
            <w:hideMark/>
          </w:tcPr>
          <w:p w14:paraId="01415525"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1.300,00</w:t>
            </w:r>
          </w:p>
        </w:tc>
        <w:tc>
          <w:tcPr>
            <w:tcW w:w="1123" w:type="dxa"/>
            <w:tcBorders>
              <w:top w:val="nil"/>
              <w:left w:val="nil"/>
              <w:bottom w:val="single" w:sz="4" w:space="0" w:color="auto"/>
              <w:right w:val="single" w:sz="4" w:space="0" w:color="auto"/>
            </w:tcBorders>
            <w:shd w:val="clear" w:color="000000" w:fill="FFFFFF"/>
            <w:noWrap/>
            <w:vAlign w:val="bottom"/>
            <w:hideMark/>
          </w:tcPr>
          <w:p w14:paraId="426C301A"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4B7E301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43087F3C"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1.300,00</w:t>
            </w:r>
          </w:p>
        </w:tc>
      </w:tr>
      <w:tr w:rsidR="00BC7E60" w:rsidRPr="00497178" w14:paraId="10095259"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61CEB87" w14:textId="77777777" w:rsidR="00BC7E60" w:rsidRPr="00497178" w:rsidRDefault="00BC7E60" w:rsidP="00512D52">
            <w:pPr>
              <w:rPr>
                <w:rFonts w:ascii="Arial" w:hAnsi="Arial" w:cs="Arial"/>
                <w:sz w:val="16"/>
                <w:szCs w:val="16"/>
              </w:rPr>
            </w:pPr>
            <w:r w:rsidRPr="00497178">
              <w:rPr>
                <w:rFonts w:ascii="Arial" w:hAnsi="Arial" w:cs="Arial"/>
                <w:sz w:val="16"/>
                <w:szCs w:val="16"/>
              </w:rPr>
              <w:t>Tekući projekt T600014 PROJEKT Road2Resilience</w:t>
            </w:r>
          </w:p>
        </w:tc>
        <w:tc>
          <w:tcPr>
            <w:tcW w:w="1307" w:type="dxa"/>
            <w:tcBorders>
              <w:top w:val="nil"/>
              <w:left w:val="nil"/>
              <w:bottom w:val="single" w:sz="4" w:space="0" w:color="auto"/>
              <w:right w:val="single" w:sz="4" w:space="0" w:color="auto"/>
            </w:tcBorders>
            <w:shd w:val="clear" w:color="000000" w:fill="FFFFFF"/>
            <w:noWrap/>
            <w:vAlign w:val="bottom"/>
            <w:hideMark/>
          </w:tcPr>
          <w:p w14:paraId="2E847861"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48.000,00</w:t>
            </w:r>
          </w:p>
        </w:tc>
        <w:tc>
          <w:tcPr>
            <w:tcW w:w="1123" w:type="dxa"/>
            <w:tcBorders>
              <w:top w:val="nil"/>
              <w:left w:val="nil"/>
              <w:bottom w:val="single" w:sz="4" w:space="0" w:color="auto"/>
              <w:right w:val="single" w:sz="4" w:space="0" w:color="auto"/>
            </w:tcBorders>
            <w:shd w:val="clear" w:color="000000" w:fill="FFFFFF"/>
            <w:noWrap/>
            <w:vAlign w:val="bottom"/>
            <w:hideMark/>
          </w:tcPr>
          <w:p w14:paraId="2B0AEF04"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123" w:type="dxa"/>
            <w:tcBorders>
              <w:top w:val="nil"/>
              <w:left w:val="nil"/>
              <w:bottom w:val="single" w:sz="4" w:space="0" w:color="auto"/>
              <w:right w:val="single" w:sz="4" w:space="0" w:color="auto"/>
            </w:tcBorders>
            <w:shd w:val="clear" w:color="000000" w:fill="FFFFFF"/>
            <w:noWrap/>
            <w:vAlign w:val="bottom"/>
            <w:hideMark/>
          </w:tcPr>
          <w:p w14:paraId="5D8034C2"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000000" w:fill="FFFFFF"/>
            <w:noWrap/>
            <w:vAlign w:val="bottom"/>
            <w:hideMark/>
          </w:tcPr>
          <w:p w14:paraId="1A74DB2F"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48.000,00</w:t>
            </w:r>
          </w:p>
        </w:tc>
      </w:tr>
      <w:tr w:rsidR="00BC7E60" w:rsidRPr="00497178" w14:paraId="372F34E7"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50A8E39E"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6003 Poticanje korištenja obnovljivih izvora energije</w:t>
            </w:r>
          </w:p>
        </w:tc>
        <w:tc>
          <w:tcPr>
            <w:tcW w:w="1307" w:type="dxa"/>
            <w:tcBorders>
              <w:top w:val="nil"/>
              <w:left w:val="nil"/>
              <w:bottom w:val="single" w:sz="4" w:space="0" w:color="auto"/>
              <w:right w:val="single" w:sz="4" w:space="0" w:color="auto"/>
            </w:tcBorders>
            <w:shd w:val="clear" w:color="000000" w:fill="FFFFFF"/>
            <w:noWrap/>
            <w:vAlign w:val="bottom"/>
            <w:hideMark/>
          </w:tcPr>
          <w:p w14:paraId="7A310294"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29.000,00</w:t>
            </w:r>
          </w:p>
        </w:tc>
        <w:tc>
          <w:tcPr>
            <w:tcW w:w="1123" w:type="dxa"/>
            <w:tcBorders>
              <w:top w:val="nil"/>
              <w:left w:val="nil"/>
              <w:bottom w:val="single" w:sz="4" w:space="0" w:color="auto"/>
              <w:right w:val="single" w:sz="4" w:space="0" w:color="auto"/>
            </w:tcBorders>
            <w:shd w:val="clear" w:color="000000" w:fill="FFFFFF"/>
            <w:noWrap/>
            <w:vAlign w:val="bottom"/>
            <w:hideMark/>
          </w:tcPr>
          <w:p w14:paraId="453CF455"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-2.000,00</w:t>
            </w:r>
          </w:p>
        </w:tc>
        <w:tc>
          <w:tcPr>
            <w:tcW w:w="1123" w:type="dxa"/>
            <w:tcBorders>
              <w:top w:val="nil"/>
              <w:left w:val="nil"/>
              <w:bottom w:val="single" w:sz="4" w:space="0" w:color="auto"/>
              <w:right w:val="single" w:sz="4" w:space="0" w:color="auto"/>
            </w:tcBorders>
            <w:shd w:val="clear" w:color="000000" w:fill="FFFFFF"/>
            <w:noWrap/>
            <w:vAlign w:val="bottom"/>
            <w:hideMark/>
          </w:tcPr>
          <w:p w14:paraId="4E76316D"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-6,90</w:t>
            </w:r>
          </w:p>
        </w:tc>
        <w:tc>
          <w:tcPr>
            <w:tcW w:w="1240" w:type="dxa"/>
            <w:tcBorders>
              <w:top w:val="nil"/>
              <w:left w:val="nil"/>
              <w:bottom w:val="single" w:sz="4" w:space="0" w:color="auto"/>
              <w:right w:val="single" w:sz="4" w:space="0" w:color="auto"/>
            </w:tcBorders>
            <w:shd w:val="clear" w:color="000000" w:fill="FFFFFF"/>
            <w:noWrap/>
            <w:vAlign w:val="bottom"/>
            <w:hideMark/>
          </w:tcPr>
          <w:p w14:paraId="2753068E"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27.000,00</w:t>
            </w:r>
          </w:p>
        </w:tc>
      </w:tr>
      <w:tr w:rsidR="00BC7E60" w:rsidRPr="00497178" w14:paraId="497676FE"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290D480D" w14:textId="77777777" w:rsidR="00BC7E60" w:rsidRPr="00497178" w:rsidRDefault="00BC7E60" w:rsidP="00512D52">
            <w:pPr>
              <w:rPr>
                <w:rFonts w:ascii="Arial" w:hAnsi="Arial" w:cs="Arial"/>
                <w:sz w:val="16"/>
                <w:szCs w:val="16"/>
              </w:rPr>
            </w:pPr>
            <w:r w:rsidRPr="00497178">
              <w:rPr>
                <w:rFonts w:ascii="Arial" w:hAnsi="Arial" w:cs="Arial"/>
                <w:sz w:val="16"/>
                <w:szCs w:val="16"/>
              </w:rPr>
              <w:t>Aktivnost A600001 Poticaj za korištenje obnovljivih izvora energije</w:t>
            </w:r>
          </w:p>
        </w:tc>
        <w:tc>
          <w:tcPr>
            <w:tcW w:w="1307" w:type="dxa"/>
            <w:tcBorders>
              <w:top w:val="nil"/>
              <w:left w:val="nil"/>
              <w:bottom w:val="single" w:sz="4" w:space="0" w:color="auto"/>
              <w:right w:val="single" w:sz="4" w:space="0" w:color="auto"/>
            </w:tcBorders>
            <w:shd w:val="clear" w:color="000000" w:fill="FFFFFF"/>
            <w:noWrap/>
            <w:vAlign w:val="bottom"/>
            <w:hideMark/>
          </w:tcPr>
          <w:p w14:paraId="7D91F528"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29.000,00</w:t>
            </w:r>
          </w:p>
        </w:tc>
        <w:tc>
          <w:tcPr>
            <w:tcW w:w="1123" w:type="dxa"/>
            <w:tcBorders>
              <w:top w:val="nil"/>
              <w:left w:val="nil"/>
              <w:bottom w:val="single" w:sz="4" w:space="0" w:color="auto"/>
              <w:right w:val="single" w:sz="4" w:space="0" w:color="auto"/>
            </w:tcBorders>
            <w:shd w:val="clear" w:color="000000" w:fill="FFFFFF"/>
            <w:noWrap/>
            <w:vAlign w:val="bottom"/>
            <w:hideMark/>
          </w:tcPr>
          <w:p w14:paraId="637708F3"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-2.000,00</w:t>
            </w:r>
          </w:p>
        </w:tc>
        <w:tc>
          <w:tcPr>
            <w:tcW w:w="1123" w:type="dxa"/>
            <w:tcBorders>
              <w:top w:val="nil"/>
              <w:left w:val="nil"/>
              <w:bottom w:val="single" w:sz="4" w:space="0" w:color="auto"/>
              <w:right w:val="single" w:sz="4" w:space="0" w:color="auto"/>
            </w:tcBorders>
            <w:shd w:val="clear" w:color="000000" w:fill="FFFFFF"/>
            <w:noWrap/>
            <w:vAlign w:val="bottom"/>
            <w:hideMark/>
          </w:tcPr>
          <w:p w14:paraId="689F313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-6,90</w:t>
            </w:r>
          </w:p>
        </w:tc>
        <w:tc>
          <w:tcPr>
            <w:tcW w:w="1240" w:type="dxa"/>
            <w:tcBorders>
              <w:top w:val="nil"/>
              <w:left w:val="nil"/>
              <w:bottom w:val="single" w:sz="4" w:space="0" w:color="auto"/>
              <w:right w:val="single" w:sz="4" w:space="0" w:color="auto"/>
            </w:tcBorders>
            <w:shd w:val="clear" w:color="000000" w:fill="FFFFFF"/>
            <w:noWrap/>
            <w:vAlign w:val="bottom"/>
            <w:hideMark/>
          </w:tcPr>
          <w:p w14:paraId="3E2FC3C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27.000,00</w:t>
            </w:r>
          </w:p>
        </w:tc>
      </w:tr>
      <w:tr w:rsidR="00BC7E60" w:rsidRPr="00497178" w14:paraId="787CBD69"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0BFD5F9" w14:textId="77777777" w:rsidR="00BC7E60" w:rsidRPr="00497178" w:rsidRDefault="00BC7E60" w:rsidP="00512D52">
            <w:pPr>
              <w:rPr>
                <w:rFonts w:ascii="Arial" w:hAnsi="Arial" w:cs="Arial"/>
                <w:b/>
                <w:bCs/>
                <w:sz w:val="16"/>
                <w:szCs w:val="16"/>
              </w:rPr>
            </w:pPr>
            <w:r w:rsidRPr="00497178">
              <w:rPr>
                <w:rFonts w:ascii="Arial" w:hAnsi="Arial" w:cs="Arial"/>
                <w:b/>
                <w:bCs/>
                <w:sz w:val="16"/>
                <w:szCs w:val="16"/>
              </w:rPr>
              <w:t>Program 6004 Upravljanje projektima financiranim iz nacionalnih sredstava</w:t>
            </w:r>
          </w:p>
        </w:tc>
        <w:tc>
          <w:tcPr>
            <w:tcW w:w="1307" w:type="dxa"/>
            <w:tcBorders>
              <w:top w:val="nil"/>
              <w:left w:val="nil"/>
              <w:bottom w:val="single" w:sz="4" w:space="0" w:color="auto"/>
              <w:right w:val="single" w:sz="4" w:space="0" w:color="auto"/>
            </w:tcBorders>
            <w:shd w:val="clear" w:color="000000" w:fill="FFFFFF"/>
            <w:noWrap/>
            <w:vAlign w:val="bottom"/>
            <w:hideMark/>
          </w:tcPr>
          <w:p w14:paraId="3A809A48"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12.000,00</w:t>
            </w:r>
          </w:p>
        </w:tc>
        <w:tc>
          <w:tcPr>
            <w:tcW w:w="1123" w:type="dxa"/>
            <w:tcBorders>
              <w:top w:val="nil"/>
              <w:left w:val="nil"/>
              <w:bottom w:val="single" w:sz="4" w:space="0" w:color="auto"/>
              <w:right w:val="single" w:sz="4" w:space="0" w:color="auto"/>
            </w:tcBorders>
            <w:shd w:val="clear" w:color="000000" w:fill="FFFFFF"/>
            <w:noWrap/>
            <w:vAlign w:val="bottom"/>
            <w:hideMark/>
          </w:tcPr>
          <w:p w14:paraId="72AB9A6A"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1.611,00</w:t>
            </w:r>
          </w:p>
        </w:tc>
        <w:tc>
          <w:tcPr>
            <w:tcW w:w="1123" w:type="dxa"/>
            <w:tcBorders>
              <w:top w:val="nil"/>
              <w:left w:val="nil"/>
              <w:bottom w:val="single" w:sz="4" w:space="0" w:color="auto"/>
              <w:right w:val="single" w:sz="4" w:space="0" w:color="auto"/>
            </w:tcBorders>
            <w:shd w:val="clear" w:color="000000" w:fill="FFFFFF"/>
            <w:noWrap/>
            <w:vAlign w:val="bottom"/>
            <w:hideMark/>
          </w:tcPr>
          <w:p w14:paraId="3C4FC1AE"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13,43</w:t>
            </w:r>
          </w:p>
        </w:tc>
        <w:tc>
          <w:tcPr>
            <w:tcW w:w="1240" w:type="dxa"/>
            <w:tcBorders>
              <w:top w:val="nil"/>
              <w:left w:val="nil"/>
              <w:bottom w:val="single" w:sz="4" w:space="0" w:color="auto"/>
              <w:right w:val="single" w:sz="4" w:space="0" w:color="auto"/>
            </w:tcBorders>
            <w:shd w:val="clear" w:color="000000" w:fill="FFFFFF"/>
            <w:noWrap/>
            <w:vAlign w:val="bottom"/>
            <w:hideMark/>
          </w:tcPr>
          <w:p w14:paraId="5AC5FCB6" w14:textId="77777777" w:rsidR="00BC7E60" w:rsidRPr="00497178" w:rsidRDefault="00BC7E60" w:rsidP="00512D52">
            <w:pPr>
              <w:jc w:val="right"/>
              <w:rPr>
                <w:rFonts w:ascii="Arial" w:hAnsi="Arial" w:cs="Arial"/>
                <w:b/>
                <w:bCs/>
                <w:sz w:val="16"/>
                <w:szCs w:val="16"/>
              </w:rPr>
            </w:pPr>
            <w:r w:rsidRPr="00497178">
              <w:rPr>
                <w:rFonts w:ascii="Arial" w:hAnsi="Arial" w:cs="Arial"/>
                <w:b/>
                <w:bCs/>
                <w:sz w:val="16"/>
                <w:szCs w:val="16"/>
              </w:rPr>
              <w:t>13.611,00</w:t>
            </w:r>
          </w:p>
        </w:tc>
      </w:tr>
      <w:tr w:rsidR="00BC7E60" w:rsidRPr="00497178" w14:paraId="37107250" w14:textId="77777777" w:rsidTr="00512D52">
        <w:trPr>
          <w:trHeight w:val="25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14:paraId="647B698A" w14:textId="77777777" w:rsidR="00BC7E60" w:rsidRPr="00497178" w:rsidRDefault="00BC7E60" w:rsidP="00512D52">
            <w:pPr>
              <w:rPr>
                <w:rFonts w:ascii="Arial" w:hAnsi="Arial" w:cs="Arial"/>
                <w:sz w:val="16"/>
                <w:szCs w:val="16"/>
              </w:rPr>
            </w:pPr>
            <w:r w:rsidRPr="00497178">
              <w:rPr>
                <w:rFonts w:ascii="Arial" w:hAnsi="Arial" w:cs="Arial"/>
                <w:sz w:val="16"/>
                <w:szCs w:val="16"/>
              </w:rPr>
              <w:t xml:space="preserve">Tekući projekt T600001 Pilot projekt provedbe </w:t>
            </w:r>
            <w:proofErr w:type="spellStart"/>
            <w:r w:rsidRPr="00497178">
              <w:rPr>
                <w:rFonts w:ascii="Arial" w:hAnsi="Arial" w:cs="Arial"/>
                <w:sz w:val="16"/>
                <w:szCs w:val="16"/>
              </w:rPr>
              <w:t>edukativnih,kulturnih</w:t>
            </w:r>
            <w:proofErr w:type="spellEnd"/>
            <w:r w:rsidRPr="00497178">
              <w:rPr>
                <w:rFonts w:ascii="Arial" w:hAnsi="Arial" w:cs="Arial"/>
                <w:sz w:val="16"/>
                <w:szCs w:val="16"/>
              </w:rPr>
              <w:t xml:space="preserve"> i sportskih aktiv. djece </w:t>
            </w:r>
            <w:proofErr w:type="spellStart"/>
            <w:r w:rsidRPr="00497178">
              <w:rPr>
                <w:rFonts w:ascii="Arial" w:hAnsi="Arial" w:cs="Arial"/>
                <w:sz w:val="16"/>
                <w:szCs w:val="16"/>
              </w:rPr>
              <w:t>predšk.dobi</w:t>
            </w:r>
            <w:proofErr w:type="spellEnd"/>
            <w:r w:rsidRPr="00497178">
              <w:rPr>
                <w:rFonts w:ascii="Arial" w:hAnsi="Arial" w:cs="Arial"/>
                <w:sz w:val="16"/>
                <w:szCs w:val="16"/>
              </w:rPr>
              <w:t xml:space="preserve"> i djece do IV </w:t>
            </w:r>
            <w:proofErr w:type="spellStart"/>
            <w:r w:rsidRPr="00497178">
              <w:rPr>
                <w:rFonts w:ascii="Arial" w:hAnsi="Arial" w:cs="Arial"/>
                <w:sz w:val="16"/>
                <w:szCs w:val="16"/>
              </w:rPr>
              <w:t>raz</w:t>
            </w:r>
            <w:proofErr w:type="spellEnd"/>
            <w:r w:rsidRPr="00497178">
              <w:rPr>
                <w:rFonts w:ascii="Arial" w:hAnsi="Arial" w:cs="Arial"/>
                <w:sz w:val="16"/>
                <w:szCs w:val="16"/>
              </w:rPr>
              <w:t>.</w:t>
            </w:r>
          </w:p>
        </w:tc>
        <w:tc>
          <w:tcPr>
            <w:tcW w:w="1307" w:type="dxa"/>
            <w:tcBorders>
              <w:top w:val="nil"/>
              <w:left w:val="nil"/>
              <w:bottom w:val="single" w:sz="4" w:space="0" w:color="auto"/>
              <w:right w:val="single" w:sz="4" w:space="0" w:color="auto"/>
            </w:tcBorders>
            <w:shd w:val="clear" w:color="000000" w:fill="FFFFFF"/>
            <w:noWrap/>
            <w:vAlign w:val="bottom"/>
            <w:hideMark/>
          </w:tcPr>
          <w:p w14:paraId="6D8CD1D6"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12.000,00</w:t>
            </w:r>
          </w:p>
        </w:tc>
        <w:tc>
          <w:tcPr>
            <w:tcW w:w="1123" w:type="dxa"/>
            <w:tcBorders>
              <w:top w:val="nil"/>
              <w:left w:val="nil"/>
              <w:bottom w:val="single" w:sz="4" w:space="0" w:color="auto"/>
              <w:right w:val="single" w:sz="4" w:space="0" w:color="auto"/>
            </w:tcBorders>
            <w:shd w:val="clear" w:color="000000" w:fill="FFFFFF"/>
            <w:noWrap/>
            <w:vAlign w:val="bottom"/>
            <w:hideMark/>
          </w:tcPr>
          <w:p w14:paraId="4E5ADE80"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1.611,00</w:t>
            </w:r>
          </w:p>
        </w:tc>
        <w:tc>
          <w:tcPr>
            <w:tcW w:w="1123" w:type="dxa"/>
            <w:tcBorders>
              <w:top w:val="nil"/>
              <w:left w:val="nil"/>
              <w:bottom w:val="single" w:sz="4" w:space="0" w:color="auto"/>
              <w:right w:val="single" w:sz="4" w:space="0" w:color="auto"/>
            </w:tcBorders>
            <w:shd w:val="clear" w:color="000000" w:fill="FFFFFF"/>
            <w:noWrap/>
            <w:vAlign w:val="bottom"/>
            <w:hideMark/>
          </w:tcPr>
          <w:p w14:paraId="0F16B3BD"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13,43</w:t>
            </w:r>
          </w:p>
        </w:tc>
        <w:tc>
          <w:tcPr>
            <w:tcW w:w="1240" w:type="dxa"/>
            <w:tcBorders>
              <w:top w:val="nil"/>
              <w:left w:val="nil"/>
              <w:bottom w:val="single" w:sz="4" w:space="0" w:color="auto"/>
              <w:right w:val="single" w:sz="4" w:space="0" w:color="auto"/>
            </w:tcBorders>
            <w:shd w:val="clear" w:color="000000" w:fill="FFFFFF"/>
            <w:noWrap/>
            <w:vAlign w:val="bottom"/>
            <w:hideMark/>
          </w:tcPr>
          <w:p w14:paraId="74FA07F7" w14:textId="77777777" w:rsidR="00BC7E60" w:rsidRPr="00497178" w:rsidRDefault="00BC7E60" w:rsidP="00512D52">
            <w:pPr>
              <w:jc w:val="right"/>
              <w:rPr>
                <w:rFonts w:ascii="Arial" w:hAnsi="Arial" w:cs="Arial"/>
                <w:sz w:val="16"/>
                <w:szCs w:val="16"/>
              </w:rPr>
            </w:pPr>
            <w:r w:rsidRPr="00497178">
              <w:rPr>
                <w:rFonts w:ascii="Arial" w:hAnsi="Arial" w:cs="Arial"/>
                <w:sz w:val="16"/>
                <w:szCs w:val="16"/>
              </w:rPr>
              <w:t>13.611,00</w:t>
            </w:r>
          </w:p>
        </w:tc>
      </w:tr>
    </w:tbl>
    <w:p w14:paraId="0CFE29FA" w14:textId="77777777" w:rsidR="00BC7E60" w:rsidRPr="00497178" w:rsidRDefault="00BC7E60" w:rsidP="00BC7E60">
      <w:pPr>
        <w:rPr>
          <w:rFonts w:ascii="Arial" w:hAnsi="Arial" w:cs="Arial"/>
          <w:sz w:val="16"/>
          <w:szCs w:val="16"/>
        </w:rPr>
      </w:pPr>
    </w:p>
    <w:p w14:paraId="0D9D172B" w14:textId="77777777" w:rsidR="00BC7E60" w:rsidRPr="00497178" w:rsidRDefault="00BC7E60" w:rsidP="00BC7E60">
      <w:pPr>
        <w:rPr>
          <w:rFonts w:ascii="Arial" w:hAnsi="Arial" w:cs="Arial"/>
          <w:sz w:val="16"/>
          <w:szCs w:val="16"/>
        </w:rPr>
      </w:pPr>
    </w:p>
    <w:p w14:paraId="5E8E7AB3" w14:textId="77777777" w:rsidR="00BC7E60" w:rsidRPr="00497178" w:rsidRDefault="00BC7E60" w:rsidP="00BC7E60">
      <w:pPr>
        <w:rPr>
          <w:rFonts w:ascii="Arial" w:hAnsi="Arial" w:cs="Arial"/>
          <w:sz w:val="22"/>
        </w:rPr>
      </w:pPr>
    </w:p>
    <w:p w14:paraId="1B061A11" w14:textId="77777777" w:rsidR="00BC7E60" w:rsidRPr="00497178" w:rsidRDefault="00BC7E60">
      <w:pPr>
        <w:pStyle w:val="Odlomakpopisa"/>
        <w:keepNext/>
        <w:numPr>
          <w:ilvl w:val="0"/>
          <w:numId w:val="10"/>
        </w:numPr>
        <w:spacing w:after="0" w:line="240" w:lineRule="auto"/>
        <w:outlineLvl w:val="3"/>
        <w:rPr>
          <w:rFonts w:ascii="Arial" w:eastAsia="Times New Roman" w:hAnsi="Arial" w:cs="Arial"/>
          <w:b/>
          <w:bCs/>
        </w:rPr>
      </w:pPr>
      <w:r w:rsidRPr="00497178">
        <w:rPr>
          <w:rFonts w:ascii="Arial" w:eastAsia="Times New Roman" w:hAnsi="Arial" w:cs="Arial"/>
          <w:b/>
          <w:bCs/>
        </w:rPr>
        <w:t xml:space="preserve">Izdaci za otplatu glavnice primljenih kredita i zajmova </w:t>
      </w:r>
    </w:p>
    <w:p w14:paraId="5422CD60" w14:textId="77777777" w:rsidR="00BC7E60" w:rsidRPr="00497178" w:rsidRDefault="00BC7E60" w:rsidP="00BC7E60">
      <w:pPr>
        <w:keepNext/>
        <w:outlineLvl w:val="3"/>
        <w:rPr>
          <w:rFonts w:ascii="Arial" w:hAnsi="Arial" w:cs="Arial"/>
          <w:b/>
          <w:bCs/>
          <w:sz w:val="22"/>
        </w:rPr>
      </w:pPr>
    </w:p>
    <w:p w14:paraId="562DB57D" w14:textId="77777777" w:rsidR="00BC7E60" w:rsidRPr="00497178" w:rsidRDefault="00BC7E60" w:rsidP="00BC7E60">
      <w:pPr>
        <w:jc w:val="both"/>
        <w:rPr>
          <w:rFonts w:ascii="Arial" w:hAnsi="Arial" w:cs="Arial"/>
          <w:bCs/>
          <w:sz w:val="22"/>
        </w:rPr>
      </w:pPr>
      <w:r w:rsidRPr="00497178">
        <w:rPr>
          <w:rFonts w:ascii="Arial" w:hAnsi="Arial" w:cs="Arial"/>
          <w:bCs/>
          <w:sz w:val="22"/>
        </w:rPr>
        <w:t xml:space="preserve">Izdaci za otplatu glavnice primljenih kredita u 2025. godini ostaju na razini trenutno važećeg plana, odnosno nije došlo do izmjene planiranih sredstava. </w:t>
      </w:r>
    </w:p>
    <w:p w14:paraId="32985F8B" w14:textId="77777777" w:rsidR="00BC7E60" w:rsidRPr="00497178" w:rsidRDefault="00BC7E60" w:rsidP="00BC7E60"/>
    <w:p w14:paraId="2A786BD0" w14:textId="77777777" w:rsidR="00900CF9" w:rsidRDefault="00900CF9" w:rsidP="00900CF9"/>
    <w:p w14:paraId="622B2F90" w14:textId="77777777" w:rsidR="00900CF9" w:rsidRDefault="00900CF9" w:rsidP="00900CF9"/>
    <w:p w14:paraId="0DFD0B16" w14:textId="77777777" w:rsidR="00900CF9" w:rsidRDefault="00900CF9" w:rsidP="00900CF9"/>
    <w:p w14:paraId="53C6B4E2" w14:textId="77777777" w:rsidR="00900CF9" w:rsidRDefault="00900CF9" w:rsidP="00900CF9"/>
    <w:p w14:paraId="22974362" w14:textId="77777777" w:rsidR="00900CF9" w:rsidRDefault="00900CF9" w:rsidP="00900CF9"/>
    <w:p w14:paraId="2A4AF495" w14:textId="77777777" w:rsidR="00900CF9" w:rsidRDefault="00900CF9" w:rsidP="00900CF9"/>
    <w:p w14:paraId="08E54C59" w14:textId="77777777" w:rsidR="00950446" w:rsidRDefault="00950446" w:rsidP="00900CF9"/>
    <w:p w14:paraId="4BF8F267" w14:textId="77777777" w:rsidR="00950446" w:rsidRDefault="00950446" w:rsidP="00900CF9"/>
    <w:p w14:paraId="2739324E" w14:textId="77777777" w:rsidR="00950446" w:rsidRDefault="00950446" w:rsidP="00900CF9"/>
    <w:p w14:paraId="67D0DC1C" w14:textId="77777777" w:rsidR="00950446" w:rsidRDefault="00950446" w:rsidP="00900CF9"/>
    <w:p w14:paraId="5318C99F" w14:textId="77777777" w:rsidR="00950446" w:rsidRDefault="00950446" w:rsidP="00900CF9"/>
    <w:p w14:paraId="6B83C9AA" w14:textId="77777777" w:rsidR="00950446" w:rsidRDefault="00950446" w:rsidP="00900CF9"/>
    <w:p w14:paraId="5B447202" w14:textId="77777777" w:rsidR="00950446" w:rsidRDefault="00950446" w:rsidP="00900CF9"/>
    <w:p w14:paraId="24DBD52A" w14:textId="77777777" w:rsidR="00950446" w:rsidRDefault="00950446" w:rsidP="00900CF9"/>
    <w:p w14:paraId="6D2823BD" w14:textId="77777777" w:rsidR="00950446" w:rsidRDefault="00950446" w:rsidP="00900CF9"/>
    <w:p w14:paraId="0D0DC82D" w14:textId="77777777" w:rsidR="00950446" w:rsidRDefault="00950446" w:rsidP="00900CF9"/>
    <w:p w14:paraId="78E120CB" w14:textId="77777777" w:rsidR="00950446" w:rsidRDefault="00950446" w:rsidP="00900CF9"/>
    <w:p w14:paraId="6A8B8BD1" w14:textId="77777777" w:rsidR="00950446" w:rsidRDefault="00950446" w:rsidP="00900CF9"/>
    <w:p w14:paraId="6D33D6F0" w14:textId="77777777" w:rsidR="00950446" w:rsidRDefault="00950446" w:rsidP="00900CF9"/>
    <w:p w14:paraId="6C045D4C" w14:textId="77777777" w:rsidR="00950446" w:rsidRDefault="00950446" w:rsidP="00900CF9"/>
    <w:p w14:paraId="7CBEBA15" w14:textId="77777777" w:rsidR="00950446" w:rsidRDefault="00950446" w:rsidP="00900CF9"/>
    <w:p w14:paraId="5B8C0448" w14:textId="77777777" w:rsidR="00950446" w:rsidRDefault="00950446" w:rsidP="00900CF9"/>
    <w:p w14:paraId="32683198" w14:textId="77777777" w:rsidR="00950446" w:rsidRDefault="00950446" w:rsidP="00900CF9"/>
    <w:p w14:paraId="5FA45ACD" w14:textId="77777777" w:rsidR="004B1471" w:rsidRDefault="004B1471" w:rsidP="00900CF9"/>
    <w:p w14:paraId="0A906F23" w14:textId="77777777" w:rsidR="004B1471" w:rsidRDefault="004B1471" w:rsidP="00900CF9"/>
    <w:p w14:paraId="599A1211" w14:textId="77777777" w:rsidR="004B1471" w:rsidRDefault="004B1471" w:rsidP="00900CF9"/>
    <w:p w14:paraId="40143ABD" w14:textId="77777777" w:rsidR="004B1471" w:rsidRDefault="004B1471" w:rsidP="00900CF9"/>
    <w:p w14:paraId="1864FC4A" w14:textId="77777777" w:rsidR="004B1471" w:rsidRDefault="004B1471" w:rsidP="00900CF9"/>
    <w:bookmarkEnd w:id="5"/>
    <w:p w14:paraId="05ACF0B3" w14:textId="37F17DEC" w:rsidR="00CD4D18" w:rsidRPr="002A689D" w:rsidRDefault="00A87320" w:rsidP="00D357A6">
      <w:pPr>
        <w:spacing w:line="259" w:lineRule="auto"/>
        <w:jc w:val="center"/>
        <w:rPr>
          <w:rFonts w:ascii="Arial" w:hAnsi="Arial" w:cs="Arial"/>
          <w:b/>
          <w:bCs/>
          <w:color w:val="000000" w:themeColor="text1"/>
        </w:rPr>
      </w:pPr>
      <w:r>
        <w:rPr>
          <w:rFonts w:ascii="Arial" w:hAnsi="Arial" w:cs="Arial"/>
          <w:b/>
          <w:bCs/>
          <w:color w:val="000000" w:themeColor="text1"/>
        </w:rPr>
        <w:lastRenderedPageBreak/>
        <w:t>3</w:t>
      </w:r>
      <w:r w:rsidR="002A689D" w:rsidRPr="002A689D">
        <w:rPr>
          <w:rFonts w:ascii="Arial" w:hAnsi="Arial" w:cs="Arial"/>
          <w:b/>
          <w:bCs/>
          <w:color w:val="000000" w:themeColor="text1"/>
        </w:rPr>
        <w:t xml:space="preserve">.2. </w:t>
      </w:r>
      <w:r w:rsidR="00BD7EED" w:rsidRPr="002A689D">
        <w:rPr>
          <w:rFonts w:ascii="Arial" w:hAnsi="Arial" w:cs="Arial"/>
          <w:b/>
          <w:bCs/>
          <w:color w:val="000000" w:themeColor="text1"/>
        </w:rPr>
        <w:t>OBRAZLOŽENJE POSEBNOG DIJELA PRORAČUNA</w:t>
      </w:r>
    </w:p>
    <w:p w14:paraId="16C82395" w14:textId="77777777" w:rsidR="002A689D" w:rsidRDefault="002A689D" w:rsidP="00D357A6">
      <w:pPr>
        <w:spacing w:line="259" w:lineRule="auto"/>
        <w:rPr>
          <w:color w:val="000000" w:themeColor="text1"/>
        </w:rPr>
      </w:pPr>
    </w:p>
    <w:p w14:paraId="62E92D78" w14:textId="77777777" w:rsidR="00670BA2" w:rsidRDefault="00670BA2" w:rsidP="00D357A6">
      <w:pPr>
        <w:pStyle w:val="Naslov3"/>
        <w:spacing w:before="0" w:line="259" w:lineRule="auto"/>
        <w:rPr>
          <w:rFonts w:ascii="Arial" w:hAnsi="Arial" w:cs="Arial"/>
          <w:b/>
          <w:color w:val="000000" w:themeColor="text1"/>
        </w:rPr>
      </w:pPr>
      <w:bookmarkStart w:id="29" w:name="_Toc116629388"/>
    </w:p>
    <w:p w14:paraId="078F0AC2" w14:textId="01B6F532" w:rsidR="007D63F4" w:rsidRDefault="00A06700" w:rsidP="00D357A6">
      <w:pPr>
        <w:pStyle w:val="Naslov3"/>
        <w:spacing w:before="0" w:line="259" w:lineRule="auto"/>
        <w:rPr>
          <w:rFonts w:ascii="Arial" w:hAnsi="Arial" w:cs="Arial"/>
          <w:b/>
          <w:color w:val="000000" w:themeColor="text1"/>
        </w:rPr>
      </w:pPr>
      <w:r>
        <w:rPr>
          <w:rFonts w:ascii="Arial" w:hAnsi="Arial" w:cs="Arial"/>
          <w:b/>
          <w:color w:val="000000" w:themeColor="text1"/>
        </w:rPr>
        <w:t>3</w:t>
      </w:r>
      <w:r w:rsidR="007D63F4">
        <w:rPr>
          <w:rFonts w:ascii="Arial" w:hAnsi="Arial" w:cs="Arial"/>
          <w:b/>
          <w:color w:val="000000" w:themeColor="text1"/>
        </w:rPr>
        <w:t>.</w:t>
      </w:r>
      <w:r w:rsidR="00915EC7">
        <w:rPr>
          <w:rFonts w:ascii="Arial" w:hAnsi="Arial" w:cs="Arial"/>
          <w:b/>
          <w:color w:val="000000" w:themeColor="text1"/>
        </w:rPr>
        <w:t>2</w:t>
      </w:r>
      <w:r w:rsidR="007D63F4">
        <w:rPr>
          <w:rFonts w:ascii="Arial" w:hAnsi="Arial" w:cs="Arial"/>
          <w:b/>
          <w:color w:val="000000" w:themeColor="text1"/>
        </w:rPr>
        <w:t>.</w:t>
      </w:r>
      <w:r w:rsidR="00915EC7">
        <w:rPr>
          <w:rFonts w:ascii="Arial" w:hAnsi="Arial" w:cs="Arial"/>
          <w:b/>
          <w:color w:val="000000" w:themeColor="text1"/>
        </w:rPr>
        <w:t>1.</w:t>
      </w:r>
      <w:r w:rsidR="007D63F4">
        <w:rPr>
          <w:rFonts w:ascii="Arial" w:hAnsi="Arial" w:cs="Arial"/>
          <w:b/>
          <w:color w:val="000000" w:themeColor="text1"/>
        </w:rPr>
        <w:t xml:space="preserve"> </w:t>
      </w:r>
      <w:r w:rsidR="007D63F4" w:rsidRPr="003C002B">
        <w:rPr>
          <w:rFonts w:ascii="Arial" w:hAnsi="Arial" w:cs="Arial"/>
          <w:b/>
          <w:color w:val="000000" w:themeColor="text1"/>
        </w:rPr>
        <w:t>Upravni o</w:t>
      </w:r>
      <w:r w:rsidR="007D63F4">
        <w:rPr>
          <w:rFonts w:ascii="Arial" w:hAnsi="Arial" w:cs="Arial"/>
          <w:b/>
          <w:color w:val="000000" w:themeColor="text1"/>
        </w:rPr>
        <w:t>djel za poslove Gradonačelnika, Gradsko</w:t>
      </w:r>
      <w:r w:rsidR="007D63F4" w:rsidRPr="003C002B">
        <w:rPr>
          <w:rFonts w:ascii="Arial" w:hAnsi="Arial" w:cs="Arial"/>
          <w:b/>
          <w:color w:val="000000" w:themeColor="text1"/>
        </w:rPr>
        <w:t xml:space="preserve"> vijeć</w:t>
      </w:r>
      <w:r w:rsidR="007D63F4">
        <w:rPr>
          <w:rFonts w:ascii="Arial" w:hAnsi="Arial" w:cs="Arial"/>
          <w:b/>
          <w:color w:val="000000" w:themeColor="text1"/>
        </w:rPr>
        <w:t>e i opće poslove</w:t>
      </w:r>
      <w:bookmarkEnd w:id="29"/>
    </w:p>
    <w:p w14:paraId="5A6EC232" w14:textId="77777777" w:rsidR="008B1841" w:rsidRDefault="008B1841" w:rsidP="00D357A6">
      <w:pPr>
        <w:spacing w:line="259" w:lineRule="auto"/>
      </w:pPr>
    </w:p>
    <w:p w14:paraId="00191E4B" w14:textId="77777777" w:rsidR="004D0A63" w:rsidRDefault="004D0A63" w:rsidP="00D357A6">
      <w:pPr>
        <w:spacing w:line="259" w:lineRule="auto"/>
        <w:ind w:firstLine="709"/>
        <w:jc w:val="both"/>
        <w:rPr>
          <w:rFonts w:ascii="Arial" w:hAnsi="Arial" w:cs="Arial"/>
          <w:sz w:val="22"/>
        </w:rPr>
      </w:pPr>
      <w:r>
        <w:rPr>
          <w:rFonts w:ascii="Arial" w:hAnsi="Arial" w:cs="Arial"/>
          <w:sz w:val="22"/>
        </w:rPr>
        <w:t xml:space="preserve">Prvim </w:t>
      </w:r>
      <w:r w:rsidRPr="00355022">
        <w:rPr>
          <w:rFonts w:ascii="Arial" w:hAnsi="Arial" w:cs="Arial"/>
          <w:sz w:val="22"/>
        </w:rPr>
        <w:t xml:space="preserve">izmjenama i dopunama </w:t>
      </w:r>
      <w:r w:rsidRPr="00355022">
        <w:rPr>
          <w:rFonts w:ascii="Arial" w:hAnsi="Arial" w:cs="Arial"/>
          <w:bCs/>
          <w:sz w:val="22"/>
        </w:rPr>
        <w:t>Proračun UO za poslove Gradonačelnika, Gradskog vijeća i opće poslove za 202</w:t>
      </w:r>
      <w:r>
        <w:rPr>
          <w:rFonts w:ascii="Arial" w:hAnsi="Arial" w:cs="Arial"/>
          <w:bCs/>
          <w:sz w:val="22"/>
        </w:rPr>
        <w:t>5</w:t>
      </w:r>
      <w:r w:rsidRPr="00355022">
        <w:rPr>
          <w:rFonts w:ascii="Arial" w:hAnsi="Arial" w:cs="Arial"/>
          <w:bCs/>
          <w:sz w:val="22"/>
        </w:rPr>
        <w:t>. godinu sa projekcijom za 202</w:t>
      </w:r>
      <w:r>
        <w:rPr>
          <w:rFonts w:ascii="Arial" w:hAnsi="Arial" w:cs="Arial"/>
          <w:bCs/>
          <w:sz w:val="22"/>
        </w:rPr>
        <w:t>6</w:t>
      </w:r>
      <w:r w:rsidRPr="00355022">
        <w:rPr>
          <w:rFonts w:ascii="Arial" w:hAnsi="Arial" w:cs="Arial"/>
          <w:bCs/>
          <w:sz w:val="22"/>
        </w:rPr>
        <w:t>. i 202</w:t>
      </w:r>
      <w:r>
        <w:rPr>
          <w:rFonts w:ascii="Arial" w:hAnsi="Arial" w:cs="Arial"/>
          <w:bCs/>
          <w:sz w:val="22"/>
        </w:rPr>
        <w:t>7</w:t>
      </w:r>
      <w:r w:rsidRPr="00355022">
        <w:rPr>
          <w:rFonts w:ascii="Arial" w:hAnsi="Arial" w:cs="Arial"/>
          <w:bCs/>
          <w:sz w:val="22"/>
        </w:rPr>
        <w:t>. godinu ( u daljnjem tekstu: Proračun)</w:t>
      </w:r>
      <w:r w:rsidRPr="00355022">
        <w:rPr>
          <w:rFonts w:ascii="Arial" w:hAnsi="Arial" w:cs="Arial"/>
          <w:sz w:val="22"/>
        </w:rPr>
        <w:t xml:space="preserve"> povećao se sveukupno  za </w:t>
      </w:r>
      <w:r>
        <w:rPr>
          <w:rFonts w:ascii="Arial" w:hAnsi="Arial" w:cs="Arial"/>
          <w:sz w:val="22"/>
        </w:rPr>
        <w:t>105.797,00</w:t>
      </w:r>
      <w:r w:rsidRPr="00355022">
        <w:rPr>
          <w:rFonts w:ascii="Arial" w:hAnsi="Arial" w:cs="Arial"/>
          <w:sz w:val="22"/>
        </w:rPr>
        <w:t xml:space="preserve"> EUR  ili</w:t>
      </w:r>
      <w:r>
        <w:rPr>
          <w:rFonts w:ascii="Arial" w:hAnsi="Arial" w:cs="Arial"/>
          <w:sz w:val="22"/>
        </w:rPr>
        <w:t xml:space="preserve"> 4,05</w:t>
      </w:r>
      <w:r w:rsidRPr="00355022">
        <w:rPr>
          <w:rFonts w:ascii="Arial" w:hAnsi="Arial" w:cs="Arial"/>
          <w:sz w:val="22"/>
        </w:rPr>
        <w:t xml:space="preserve">% od planiranog iznosa. </w:t>
      </w:r>
    </w:p>
    <w:p w14:paraId="5EABC4BD" w14:textId="77777777" w:rsidR="004D0A63" w:rsidRDefault="004D0A63" w:rsidP="00D357A6">
      <w:pPr>
        <w:spacing w:line="259" w:lineRule="auto"/>
        <w:ind w:firstLine="709"/>
        <w:jc w:val="both"/>
        <w:rPr>
          <w:rFonts w:ascii="Arial" w:hAnsi="Arial" w:cs="Arial"/>
          <w:sz w:val="22"/>
        </w:rPr>
      </w:pPr>
    </w:p>
    <w:tbl>
      <w:tblPr>
        <w:tblW w:w="9426" w:type="dxa"/>
        <w:tblLook w:val="04A0" w:firstRow="1" w:lastRow="0" w:firstColumn="1" w:lastColumn="0" w:noHBand="0" w:noVBand="1"/>
      </w:tblPr>
      <w:tblGrid>
        <w:gridCol w:w="5098"/>
        <w:gridCol w:w="1560"/>
        <w:gridCol w:w="1350"/>
        <w:gridCol w:w="1418"/>
      </w:tblGrid>
      <w:tr w:rsidR="004D0A63" w:rsidRPr="00BB01F4" w14:paraId="47A610E1" w14:textId="77777777" w:rsidTr="00D357A6">
        <w:trPr>
          <w:trHeight w:val="450"/>
        </w:trPr>
        <w:tc>
          <w:tcPr>
            <w:tcW w:w="5098" w:type="dxa"/>
            <w:tcBorders>
              <w:top w:val="single" w:sz="4" w:space="0" w:color="auto"/>
              <w:left w:val="single" w:sz="4" w:space="0" w:color="auto"/>
              <w:bottom w:val="single" w:sz="4" w:space="0" w:color="auto"/>
              <w:right w:val="single" w:sz="4" w:space="0" w:color="auto"/>
            </w:tcBorders>
            <w:shd w:val="clear" w:color="000000" w:fill="FFFFFF"/>
            <w:vAlign w:val="bottom"/>
          </w:tcPr>
          <w:p w14:paraId="774A8101" w14:textId="77777777" w:rsidR="004D0A63" w:rsidRPr="00BB01F4" w:rsidRDefault="004D0A63" w:rsidP="00DB54DB">
            <w:pPr>
              <w:rPr>
                <w:rFonts w:ascii="Arial" w:hAnsi="Arial" w:cs="Arial"/>
                <w:b/>
                <w:bCs/>
                <w:sz w:val="20"/>
                <w:szCs w:val="20"/>
              </w:rPr>
            </w:pP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0043ED17" w14:textId="77777777" w:rsidR="004D0A63" w:rsidRPr="00BB01F4" w:rsidRDefault="004D0A63" w:rsidP="00DB54DB">
            <w:pPr>
              <w:rPr>
                <w:rFonts w:ascii="Arial" w:hAnsi="Arial" w:cs="Arial"/>
                <w:b/>
                <w:bCs/>
                <w:sz w:val="20"/>
                <w:szCs w:val="20"/>
              </w:rPr>
            </w:pPr>
            <w:r w:rsidRPr="00BB01F4">
              <w:rPr>
                <w:rFonts w:ascii="Arial" w:hAnsi="Arial" w:cs="Arial"/>
                <w:b/>
                <w:bCs/>
                <w:sz w:val="20"/>
                <w:szCs w:val="20"/>
              </w:rPr>
              <w:t>PLANIRANO</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48EB4A38" w14:textId="77777777" w:rsidR="004D0A63" w:rsidRPr="00BB01F4" w:rsidRDefault="004D0A63" w:rsidP="00DB54DB">
            <w:pPr>
              <w:rPr>
                <w:rFonts w:ascii="Arial" w:hAnsi="Arial" w:cs="Arial"/>
                <w:b/>
                <w:bCs/>
                <w:sz w:val="20"/>
                <w:szCs w:val="20"/>
              </w:rPr>
            </w:pPr>
            <w:r w:rsidRPr="00BB01F4">
              <w:rPr>
                <w:rFonts w:ascii="Arial" w:hAnsi="Arial" w:cs="Arial"/>
                <w:b/>
                <w:bCs/>
                <w:sz w:val="20"/>
                <w:szCs w:val="20"/>
              </w:rPr>
              <w:t>PROMJENA IZNOS</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14:paraId="058B2F66" w14:textId="77777777" w:rsidR="004D0A63" w:rsidRPr="00BB01F4" w:rsidRDefault="004D0A63" w:rsidP="00DB54DB">
            <w:pPr>
              <w:rPr>
                <w:rFonts w:ascii="Arial" w:hAnsi="Arial" w:cs="Arial"/>
                <w:b/>
                <w:bCs/>
                <w:sz w:val="20"/>
                <w:szCs w:val="20"/>
              </w:rPr>
            </w:pPr>
            <w:r w:rsidRPr="00BB01F4">
              <w:rPr>
                <w:rFonts w:ascii="Arial" w:hAnsi="Arial" w:cs="Arial"/>
                <w:b/>
                <w:bCs/>
                <w:sz w:val="20"/>
                <w:szCs w:val="20"/>
              </w:rPr>
              <w:t>NOVI IZNOS</w:t>
            </w:r>
          </w:p>
        </w:tc>
      </w:tr>
      <w:tr w:rsidR="004D0A63" w:rsidRPr="00BB01F4" w14:paraId="5320EA3A"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48E263C0" w14:textId="77777777" w:rsidR="004D0A63" w:rsidRPr="00BB01F4" w:rsidRDefault="004D0A63" w:rsidP="00DB54DB">
            <w:pPr>
              <w:rPr>
                <w:rFonts w:ascii="Arial" w:hAnsi="Arial" w:cs="Arial"/>
                <w:b/>
                <w:bCs/>
                <w:sz w:val="20"/>
                <w:szCs w:val="20"/>
              </w:rPr>
            </w:pPr>
            <w:r w:rsidRPr="00BB01F4">
              <w:rPr>
                <w:rFonts w:ascii="Arial" w:hAnsi="Arial" w:cs="Arial"/>
                <w:b/>
                <w:bCs/>
                <w:sz w:val="20"/>
                <w:szCs w:val="20"/>
              </w:rPr>
              <w:t xml:space="preserve">  SVEUKUPNO RASHODI / IZDACI</w:t>
            </w:r>
          </w:p>
        </w:tc>
        <w:tc>
          <w:tcPr>
            <w:tcW w:w="1560" w:type="dxa"/>
            <w:tcBorders>
              <w:top w:val="nil"/>
              <w:left w:val="nil"/>
              <w:bottom w:val="single" w:sz="4" w:space="0" w:color="auto"/>
              <w:right w:val="single" w:sz="4" w:space="0" w:color="auto"/>
            </w:tcBorders>
            <w:shd w:val="clear" w:color="000000" w:fill="FFFFFF"/>
            <w:noWrap/>
            <w:vAlign w:val="bottom"/>
            <w:hideMark/>
          </w:tcPr>
          <w:p w14:paraId="301998B0"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2.609.804,00</w:t>
            </w:r>
          </w:p>
        </w:tc>
        <w:tc>
          <w:tcPr>
            <w:tcW w:w="1350" w:type="dxa"/>
            <w:tcBorders>
              <w:top w:val="nil"/>
              <w:left w:val="nil"/>
              <w:bottom w:val="single" w:sz="4" w:space="0" w:color="auto"/>
              <w:right w:val="single" w:sz="4" w:space="0" w:color="auto"/>
            </w:tcBorders>
            <w:shd w:val="clear" w:color="000000" w:fill="FFFFFF"/>
            <w:noWrap/>
            <w:vAlign w:val="bottom"/>
            <w:hideMark/>
          </w:tcPr>
          <w:p w14:paraId="61036CE8"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105.797,00</w:t>
            </w:r>
          </w:p>
        </w:tc>
        <w:tc>
          <w:tcPr>
            <w:tcW w:w="1418" w:type="dxa"/>
            <w:tcBorders>
              <w:top w:val="nil"/>
              <w:left w:val="nil"/>
              <w:bottom w:val="single" w:sz="4" w:space="0" w:color="auto"/>
              <w:right w:val="single" w:sz="4" w:space="0" w:color="auto"/>
            </w:tcBorders>
            <w:shd w:val="clear" w:color="000000" w:fill="FFFFFF"/>
            <w:noWrap/>
            <w:vAlign w:val="bottom"/>
            <w:hideMark/>
          </w:tcPr>
          <w:p w14:paraId="5B75D95F"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2.715.601,00</w:t>
            </w:r>
          </w:p>
        </w:tc>
      </w:tr>
      <w:tr w:rsidR="004D0A63" w:rsidRPr="00BB01F4" w14:paraId="12DA03BB"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30C68F4F" w14:textId="77777777" w:rsidR="004D0A63" w:rsidRPr="00BB01F4" w:rsidRDefault="004D0A63" w:rsidP="00DB54DB">
            <w:pPr>
              <w:rPr>
                <w:rFonts w:ascii="Arial" w:hAnsi="Arial" w:cs="Arial"/>
                <w:b/>
                <w:bCs/>
                <w:sz w:val="20"/>
                <w:szCs w:val="20"/>
              </w:rPr>
            </w:pPr>
            <w:r w:rsidRPr="00BB01F4">
              <w:rPr>
                <w:rFonts w:ascii="Arial" w:hAnsi="Arial" w:cs="Arial"/>
                <w:b/>
                <w:bCs/>
                <w:sz w:val="20"/>
                <w:szCs w:val="20"/>
              </w:rPr>
              <w:t>Razdjel 100 UPRAVNI ODJEL ZA POSLOVE GRADONAČELNIKA, GRADSKO VIJEĆE I OPĆE POSLOVE</w:t>
            </w:r>
          </w:p>
        </w:tc>
        <w:tc>
          <w:tcPr>
            <w:tcW w:w="1560" w:type="dxa"/>
            <w:tcBorders>
              <w:top w:val="nil"/>
              <w:left w:val="nil"/>
              <w:bottom w:val="single" w:sz="4" w:space="0" w:color="auto"/>
              <w:right w:val="single" w:sz="4" w:space="0" w:color="auto"/>
            </w:tcBorders>
            <w:shd w:val="clear" w:color="000000" w:fill="FFFFFF"/>
            <w:noWrap/>
            <w:vAlign w:val="bottom"/>
            <w:hideMark/>
          </w:tcPr>
          <w:p w14:paraId="4C74942D"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2.609.804,00</w:t>
            </w:r>
          </w:p>
        </w:tc>
        <w:tc>
          <w:tcPr>
            <w:tcW w:w="1350" w:type="dxa"/>
            <w:tcBorders>
              <w:top w:val="nil"/>
              <w:left w:val="nil"/>
              <w:bottom w:val="single" w:sz="4" w:space="0" w:color="auto"/>
              <w:right w:val="single" w:sz="4" w:space="0" w:color="auto"/>
            </w:tcBorders>
            <w:shd w:val="clear" w:color="000000" w:fill="FFFFFF"/>
            <w:noWrap/>
            <w:vAlign w:val="bottom"/>
            <w:hideMark/>
          </w:tcPr>
          <w:p w14:paraId="2F657151"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105.797,00</w:t>
            </w:r>
          </w:p>
        </w:tc>
        <w:tc>
          <w:tcPr>
            <w:tcW w:w="1418" w:type="dxa"/>
            <w:tcBorders>
              <w:top w:val="nil"/>
              <w:left w:val="nil"/>
              <w:bottom w:val="single" w:sz="4" w:space="0" w:color="auto"/>
              <w:right w:val="single" w:sz="4" w:space="0" w:color="auto"/>
            </w:tcBorders>
            <w:shd w:val="clear" w:color="000000" w:fill="FFFFFF"/>
            <w:noWrap/>
            <w:vAlign w:val="bottom"/>
            <w:hideMark/>
          </w:tcPr>
          <w:p w14:paraId="61B90AA3"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2.715.601,00</w:t>
            </w:r>
          </w:p>
        </w:tc>
      </w:tr>
      <w:tr w:rsidR="004D0A63" w:rsidRPr="00BB01F4" w14:paraId="7BF809A8"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50CDE1B8" w14:textId="77777777" w:rsidR="004D0A63" w:rsidRPr="00BB01F4" w:rsidRDefault="004D0A63" w:rsidP="00DB54DB">
            <w:pPr>
              <w:rPr>
                <w:rFonts w:ascii="Arial" w:hAnsi="Arial" w:cs="Arial"/>
                <w:b/>
                <w:bCs/>
                <w:sz w:val="20"/>
                <w:szCs w:val="20"/>
              </w:rPr>
            </w:pPr>
            <w:r w:rsidRPr="00BB01F4">
              <w:rPr>
                <w:rFonts w:ascii="Arial" w:hAnsi="Arial" w:cs="Arial"/>
                <w:b/>
                <w:bCs/>
                <w:sz w:val="20"/>
                <w:szCs w:val="20"/>
              </w:rPr>
              <w:t>Glava 10001 UPRAVNI ODJEL ZA POSLOVE GRADONAČELNIKA, GRADSKO VIJEĆE I OPĆE POSLOVE</w:t>
            </w:r>
          </w:p>
        </w:tc>
        <w:tc>
          <w:tcPr>
            <w:tcW w:w="1560" w:type="dxa"/>
            <w:tcBorders>
              <w:top w:val="nil"/>
              <w:left w:val="nil"/>
              <w:bottom w:val="single" w:sz="4" w:space="0" w:color="auto"/>
              <w:right w:val="single" w:sz="4" w:space="0" w:color="auto"/>
            </w:tcBorders>
            <w:shd w:val="clear" w:color="000000" w:fill="FFFFFF"/>
            <w:noWrap/>
            <w:vAlign w:val="bottom"/>
            <w:hideMark/>
          </w:tcPr>
          <w:p w14:paraId="05591FF2"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978.232,00</w:t>
            </w:r>
          </w:p>
        </w:tc>
        <w:tc>
          <w:tcPr>
            <w:tcW w:w="1350" w:type="dxa"/>
            <w:tcBorders>
              <w:top w:val="nil"/>
              <w:left w:val="nil"/>
              <w:bottom w:val="single" w:sz="4" w:space="0" w:color="auto"/>
              <w:right w:val="single" w:sz="4" w:space="0" w:color="auto"/>
            </w:tcBorders>
            <w:shd w:val="clear" w:color="000000" w:fill="FFFFFF"/>
            <w:noWrap/>
            <w:vAlign w:val="bottom"/>
            <w:hideMark/>
          </w:tcPr>
          <w:p w14:paraId="472B410F"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62.546,00</w:t>
            </w:r>
          </w:p>
        </w:tc>
        <w:tc>
          <w:tcPr>
            <w:tcW w:w="1418" w:type="dxa"/>
            <w:tcBorders>
              <w:top w:val="nil"/>
              <w:left w:val="nil"/>
              <w:bottom w:val="single" w:sz="4" w:space="0" w:color="auto"/>
              <w:right w:val="single" w:sz="4" w:space="0" w:color="auto"/>
            </w:tcBorders>
            <w:shd w:val="clear" w:color="000000" w:fill="FFFFFF"/>
            <w:noWrap/>
            <w:vAlign w:val="bottom"/>
            <w:hideMark/>
          </w:tcPr>
          <w:p w14:paraId="616BB47D"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1.040.778,00</w:t>
            </w:r>
          </w:p>
        </w:tc>
      </w:tr>
      <w:tr w:rsidR="004D0A63" w:rsidRPr="00BB01F4" w14:paraId="4786ABDC"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75976199" w14:textId="77777777" w:rsidR="004D0A63" w:rsidRPr="00BB01F4" w:rsidRDefault="004D0A63" w:rsidP="00DB54DB">
            <w:pPr>
              <w:rPr>
                <w:rFonts w:ascii="Arial" w:hAnsi="Arial" w:cs="Arial"/>
                <w:b/>
                <w:bCs/>
                <w:sz w:val="20"/>
                <w:szCs w:val="20"/>
              </w:rPr>
            </w:pPr>
            <w:r w:rsidRPr="00BB01F4">
              <w:rPr>
                <w:rFonts w:ascii="Arial" w:hAnsi="Arial" w:cs="Arial"/>
                <w:b/>
                <w:bCs/>
                <w:sz w:val="20"/>
                <w:szCs w:val="20"/>
              </w:rPr>
              <w:t>Program 1001 Javna uprava i administracija</w:t>
            </w:r>
          </w:p>
        </w:tc>
        <w:tc>
          <w:tcPr>
            <w:tcW w:w="1560" w:type="dxa"/>
            <w:tcBorders>
              <w:top w:val="nil"/>
              <w:left w:val="nil"/>
              <w:bottom w:val="single" w:sz="4" w:space="0" w:color="auto"/>
              <w:right w:val="single" w:sz="4" w:space="0" w:color="auto"/>
            </w:tcBorders>
            <w:shd w:val="clear" w:color="000000" w:fill="FFFFFF"/>
            <w:noWrap/>
            <w:vAlign w:val="bottom"/>
            <w:hideMark/>
          </w:tcPr>
          <w:p w14:paraId="4B881641"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898.350,00</w:t>
            </w:r>
          </w:p>
        </w:tc>
        <w:tc>
          <w:tcPr>
            <w:tcW w:w="1350" w:type="dxa"/>
            <w:tcBorders>
              <w:top w:val="nil"/>
              <w:left w:val="nil"/>
              <w:bottom w:val="single" w:sz="4" w:space="0" w:color="auto"/>
              <w:right w:val="single" w:sz="4" w:space="0" w:color="auto"/>
            </w:tcBorders>
            <w:shd w:val="clear" w:color="000000" w:fill="FFFFFF"/>
            <w:noWrap/>
            <w:vAlign w:val="bottom"/>
            <w:hideMark/>
          </w:tcPr>
          <w:p w14:paraId="3ECA9634"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62.546,00</w:t>
            </w:r>
          </w:p>
        </w:tc>
        <w:tc>
          <w:tcPr>
            <w:tcW w:w="1418" w:type="dxa"/>
            <w:tcBorders>
              <w:top w:val="nil"/>
              <w:left w:val="nil"/>
              <w:bottom w:val="single" w:sz="4" w:space="0" w:color="auto"/>
              <w:right w:val="single" w:sz="4" w:space="0" w:color="auto"/>
            </w:tcBorders>
            <w:shd w:val="clear" w:color="000000" w:fill="FFFFFF"/>
            <w:noWrap/>
            <w:vAlign w:val="bottom"/>
            <w:hideMark/>
          </w:tcPr>
          <w:p w14:paraId="7CF11384"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960.896,00</w:t>
            </w:r>
          </w:p>
        </w:tc>
      </w:tr>
      <w:tr w:rsidR="004D0A63" w:rsidRPr="00BB01F4" w14:paraId="47EDB464"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147BE8F9" w14:textId="77777777" w:rsidR="004D0A63" w:rsidRPr="00BB01F4" w:rsidRDefault="004D0A63" w:rsidP="00DB54DB">
            <w:pPr>
              <w:rPr>
                <w:rFonts w:ascii="Arial" w:hAnsi="Arial" w:cs="Arial"/>
                <w:sz w:val="20"/>
                <w:szCs w:val="20"/>
              </w:rPr>
            </w:pPr>
            <w:r w:rsidRPr="00BB01F4">
              <w:rPr>
                <w:rFonts w:ascii="Arial" w:hAnsi="Arial" w:cs="Arial"/>
                <w:sz w:val="20"/>
                <w:szCs w:val="20"/>
              </w:rPr>
              <w:t>Aktivnost A100001 Redovna djelatnost upravnih odjela</w:t>
            </w:r>
          </w:p>
        </w:tc>
        <w:tc>
          <w:tcPr>
            <w:tcW w:w="1560" w:type="dxa"/>
            <w:tcBorders>
              <w:top w:val="nil"/>
              <w:left w:val="nil"/>
              <w:bottom w:val="single" w:sz="4" w:space="0" w:color="auto"/>
              <w:right w:val="single" w:sz="4" w:space="0" w:color="auto"/>
            </w:tcBorders>
            <w:shd w:val="clear" w:color="000000" w:fill="FFFFFF"/>
            <w:noWrap/>
            <w:vAlign w:val="bottom"/>
            <w:hideMark/>
          </w:tcPr>
          <w:p w14:paraId="70A547F5"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551.750,00</w:t>
            </w:r>
          </w:p>
        </w:tc>
        <w:tc>
          <w:tcPr>
            <w:tcW w:w="1350" w:type="dxa"/>
            <w:tcBorders>
              <w:top w:val="nil"/>
              <w:left w:val="nil"/>
              <w:bottom w:val="single" w:sz="4" w:space="0" w:color="auto"/>
              <w:right w:val="single" w:sz="4" w:space="0" w:color="auto"/>
            </w:tcBorders>
            <w:shd w:val="clear" w:color="000000" w:fill="FFFFFF"/>
            <w:noWrap/>
            <w:vAlign w:val="bottom"/>
            <w:hideMark/>
          </w:tcPr>
          <w:p w14:paraId="0FC6885B"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-18.000,00</w:t>
            </w:r>
          </w:p>
        </w:tc>
        <w:tc>
          <w:tcPr>
            <w:tcW w:w="1418" w:type="dxa"/>
            <w:tcBorders>
              <w:top w:val="nil"/>
              <w:left w:val="nil"/>
              <w:bottom w:val="single" w:sz="4" w:space="0" w:color="auto"/>
              <w:right w:val="single" w:sz="4" w:space="0" w:color="auto"/>
            </w:tcBorders>
            <w:shd w:val="clear" w:color="000000" w:fill="FFFFFF"/>
            <w:noWrap/>
            <w:vAlign w:val="bottom"/>
            <w:hideMark/>
          </w:tcPr>
          <w:p w14:paraId="4E69B265"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533.750,00</w:t>
            </w:r>
          </w:p>
        </w:tc>
      </w:tr>
      <w:tr w:rsidR="004D0A63" w:rsidRPr="00BB01F4" w14:paraId="05015A9B"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052E4928" w14:textId="77777777" w:rsidR="004D0A63" w:rsidRPr="00BB01F4" w:rsidRDefault="004D0A63" w:rsidP="00DB54DB">
            <w:pPr>
              <w:rPr>
                <w:rFonts w:ascii="Arial" w:hAnsi="Arial" w:cs="Arial"/>
                <w:sz w:val="20"/>
                <w:szCs w:val="20"/>
              </w:rPr>
            </w:pPr>
            <w:r w:rsidRPr="00BB01F4">
              <w:rPr>
                <w:rFonts w:ascii="Arial" w:hAnsi="Arial" w:cs="Arial"/>
                <w:sz w:val="20"/>
                <w:szCs w:val="20"/>
              </w:rPr>
              <w:t>Aktivnost A100002 Redovna djelatnost  ureda gradonačelnika</w:t>
            </w:r>
          </w:p>
        </w:tc>
        <w:tc>
          <w:tcPr>
            <w:tcW w:w="1560" w:type="dxa"/>
            <w:tcBorders>
              <w:top w:val="nil"/>
              <w:left w:val="nil"/>
              <w:bottom w:val="single" w:sz="4" w:space="0" w:color="auto"/>
              <w:right w:val="single" w:sz="4" w:space="0" w:color="auto"/>
            </w:tcBorders>
            <w:shd w:val="clear" w:color="000000" w:fill="FFFFFF"/>
            <w:noWrap/>
            <w:vAlign w:val="bottom"/>
            <w:hideMark/>
          </w:tcPr>
          <w:p w14:paraId="5BB93B6D"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150.000,00</w:t>
            </w:r>
          </w:p>
        </w:tc>
        <w:tc>
          <w:tcPr>
            <w:tcW w:w="1350" w:type="dxa"/>
            <w:tcBorders>
              <w:top w:val="nil"/>
              <w:left w:val="nil"/>
              <w:bottom w:val="single" w:sz="4" w:space="0" w:color="auto"/>
              <w:right w:val="single" w:sz="4" w:space="0" w:color="auto"/>
            </w:tcBorders>
            <w:shd w:val="clear" w:color="000000" w:fill="FFFFFF"/>
            <w:noWrap/>
            <w:vAlign w:val="bottom"/>
            <w:hideMark/>
          </w:tcPr>
          <w:p w14:paraId="6C29B1C4"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21.700,00</w:t>
            </w:r>
          </w:p>
        </w:tc>
        <w:tc>
          <w:tcPr>
            <w:tcW w:w="1418" w:type="dxa"/>
            <w:tcBorders>
              <w:top w:val="nil"/>
              <w:left w:val="nil"/>
              <w:bottom w:val="single" w:sz="4" w:space="0" w:color="auto"/>
              <w:right w:val="single" w:sz="4" w:space="0" w:color="auto"/>
            </w:tcBorders>
            <w:shd w:val="clear" w:color="000000" w:fill="FFFFFF"/>
            <w:noWrap/>
            <w:vAlign w:val="bottom"/>
            <w:hideMark/>
          </w:tcPr>
          <w:p w14:paraId="16959EFF"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171.700,00</w:t>
            </w:r>
          </w:p>
        </w:tc>
      </w:tr>
      <w:tr w:rsidR="004D0A63" w:rsidRPr="00BB01F4" w14:paraId="5F0B02C1"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1FFDA81B" w14:textId="77777777" w:rsidR="004D0A63" w:rsidRPr="00BB01F4" w:rsidRDefault="004D0A63" w:rsidP="00DB54DB">
            <w:pPr>
              <w:rPr>
                <w:rFonts w:ascii="Arial" w:hAnsi="Arial" w:cs="Arial"/>
                <w:sz w:val="20"/>
                <w:szCs w:val="20"/>
              </w:rPr>
            </w:pPr>
            <w:r w:rsidRPr="00BB01F4">
              <w:rPr>
                <w:rFonts w:ascii="Arial" w:hAnsi="Arial" w:cs="Arial"/>
                <w:sz w:val="20"/>
                <w:szCs w:val="20"/>
              </w:rPr>
              <w:t>Aktivnost A100003 Manifestacije pod pokroviteljstvom Grada Labina</w:t>
            </w:r>
          </w:p>
        </w:tc>
        <w:tc>
          <w:tcPr>
            <w:tcW w:w="1560" w:type="dxa"/>
            <w:tcBorders>
              <w:top w:val="nil"/>
              <w:left w:val="nil"/>
              <w:bottom w:val="single" w:sz="4" w:space="0" w:color="auto"/>
              <w:right w:val="single" w:sz="4" w:space="0" w:color="auto"/>
            </w:tcBorders>
            <w:shd w:val="clear" w:color="000000" w:fill="FFFFFF"/>
            <w:noWrap/>
            <w:vAlign w:val="bottom"/>
            <w:hideMark/>
          </w:tcPr>
          <w:p w14:paraId="6126C556"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34.000,00</w:t>
            </w:r>
          </w:p>
        </w:tc>
        <w:tc>
          <w:tcPr>
            <w:tcW w:w="1350" w:type="dxa"/>
            <w:tcBorders>
              <w:top w:val="nil"/>
              <w:left w:val="nil"/>
              <w:bottom w:val="single" w:sz="4" w:space="0" w:color="auto"/>
              <w:right w:val="single" w:sz="4" w:space="0" w:color="auto"/>
            </w:tcBorders>
            <w:shd w:val="clear" w:color="000000" w:fill="FFFFFF"/>
            <w:noWrap/>
            <w:vAlign w:val="bottom"/>
            <w:hideMark/>
          </w:tcPr>
          <w:p w14:paraId="276D508E"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16.000,00</w:t>
            </w:r>
          </w:p>
        </w:tc>
        <w:tc>
          <w:tcPr>
            <w:tcW w:w="1418" w:type="dxa"/>
            <w:tcBorders>
              <w:top w:val="nil"/>
              <w:left w:val="nil"/>
              <w:bottom w:val="single" w:sz="4" w:space="0" w:color="auto"/>
              <w:right w:val="single" w:sz="4" w:space="0" w:color="auto"/>
            </w:tcBorders>
            <w:shd w:val="clear" w:color="000000" w:fill="FFFFFF"/>
            <w:noWrap/>
            <w:vAlign w:val="bottom"/>
            <w:hideMark/>
          </w:tcPr>
          <w:p w14:paraId="27B82909"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50.000,00</w:t>
            </w:r>
          </w:p>
        </w:tc>
      </w:tr>
      <w:tr w:rsidR="004D0A63" w:rsidRPr="00BB01F4" w14:paraId="65883A76"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447580B4" w14:textId="77777777" w:rsidR="004D0A63" w:rsidRPr="00BB01F4" w:rsidRDefault="004D0A63" w:rsidP="00DB54DB">
            <w:pPr>
              <w:rPr>
                <w:rFonts w:ascii="Arial" w:hAnsi="Arial" w:cs="Arial"/>
                <w:sz w:val="20"/>
                <w:szCs w:val="20"/>
              </w:rPr>
            </w:pPr>
            <w:r w:rsidRPr="00BB01F4">
              <w:rPr>
                <w:rFonts w:ascii="Arial" w:hAnsi="Arial" w:cs="Arial"/>
                <w:sz w:val="20"/>
                <w:szCs w:val="20"/>
              </w:rPr>
              <w:t xml:space="preserve">Aktivnost A100004 Manifestacija Terra </w:t>
            </w:r>
            <w:proofErr w:type="spellStart"/>
            <w:r w:rsidRPr="00BB01F4">
              <w:rPr>
                <w:rFonts w:ascii="Arial" w:hAnsi="Arial" w:cs="Arial"/>
                <w:sz w:val="20"/>
                <w:szCs w:val="20"/>
              </w:rPr>
              <w:t>Albona</w:t>
            </w:r>
            <w:proofErr w:type="spellEnd"/>
          </w:p>
        </w:tc>
        <w:tc>
          <w:tcPr>
            <w:tcW w:w="1560" w:type="dxa"/>
            <w:tcBorders>
              <w:top w:val="nil"/>
              <w:left w:val="nil"/>
              <w:bottom w:val="single" w:sz="4" w:space="0" w:color="auto"/>
              <w:right w:val="single" w:sz="4" w:space="0" w:color="auto"/>
            </w:tcBorders>
            <w:shd w:val="clear" w:color="000000" w:fill="FFFFFF"/>
            <w:noWrap/>
            <w:vAlign w:val="bottom"/>
            <w:hideMark/>
          </w:tcPr>
          <w:p w14:paraId="6AD74404"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5F594A5B"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7F867D77"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0,00</w:t>
            </w:r>
          </w:p>
        </w:tc>
      </w:tr>
      <w:tr w:rsidR="004D0A63" w:rsidRPr="00BB01F4" w14:paraId="18DF1A77"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3637A100" w14:textId="77777777" w:rsidR="004D0A63" w:rsidRPr="00BB01F4" w:rsidRDefault="004D0A63" w:rsidP="00DB54DB">
            <w:pPr>
              <w:rPr>
                <w:rFonts w:ascii="Arial" w:hAnsi="Arial" w:cs="Arial"/>
                <w:sz w:val="20"/>
                <w:szCs w:val="20"/>
              </w:rPr>
            </w:pPr>
            <w:r w:rsidRPr="00BB01F4">
              <w:rPr>
                <w:rFonts w:ascii="Arial" w:hAnsi="Arial" w:cs="Arial"/>
                <w:sz w:val="20"/>
                <w:szCs w:val="20"/>
              </w:rPr>
              <w:t>Aktivnost A100005 Financiranje predstavničkih i izvršnih tijela</w:t>
            </w:r>
          </w:p>
        </w:tc>
        <w:tc>
          <w:tcPr>
            <w:tcW w:w="1560" w:type="dxa"/>
            <w:tcBorders>
              <w:top w:val="nil"/>
              <w:left w:val="nil"/>
              <w:bottom w:val="single" w:sz="4" w:space="0" w:color="auto"/>
              <w:right w:val="single" w:sz="4" w:space="0" w:color="auto"/>
            </w:tcBorders>
            <w:shd w:val="clear" w:color="000000" w:fill="FFFFFF"/>
            <w:noWrap/>
            <w:vAlign w:val="bottom"/>
            <w:hideMark/>
          </w:tcPr>
          <w:p w14:paraId="0F285891"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18.200,00</w:t>
            </w:r>
          </w:p>
        </w:tc>
        <w:tc>
          <w:tcPr>
            <w:tcW w:w="1350" w:type="dxa"/>
            <w:tcBorders>
              <w:top w:val="nil"/>
              <w:left w:val="nil"/>
              <w:bottom w:val="single" w:sz="4" w:space="0" w:color="auto"/>
              <w:right w:val="single" w:sz="4" w:space="0" w:color="auto"/>
            </w:tcBorders>
            <w:shd w:val="clear" w:color="000000" w:fill="FFFFFF"/>
            <w:noWrap/>
            <w:vAlign w:val="bottom"/>
            <w:hideMark/>
          </w:tcPr>
          <w:p w14:paraId="19DA64CE"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900,00</w:t>
            </w:r>
          </w:p>
        </w:tc>
        <w:tc>
          <w:tcPr>
            <w:tcW w:w="1418" w:type="dxa"/>
            <w:tcBorders>
              <w:top w:val="nil"/>
              <w:left w:val="nil"/>
              <w:bottom w:val="single" w:sz="4" w:space="0" w:color="auto"/>
              <w:right w:val="single" w:sz="4" w:space="0" w:color="auto"/>
            </w:tcBorders>
            <w:shd w:val="clear" w:color="000000" w:fill="FFFFFF"/>
            <w:noWrap/>
            <w:vAlign w:val="bottom"/>
            <w:hideMark/>
          </w:tcPr>
          <w:p w14:paraId="6A59FA2A"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19.100,00</w:t>
            </w:r>
          </w:p>
        </w:tc>
      </w:tr>
      <w:tr w:rsidR="004D0A63" w:rsidRPr="00BB01F4" w14:paraId="69C66F10"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42070EB6" w14:textId="77777777" w:rsidR="004D0A63" w:rsidRPr="00BB01F4" w:rsidRDefault="004D0A63" w:rsidP="00DB54DB">
            <w:pPr>
              <w:rPr>
                <w:rFonts w:ascii="Arial" w:hAnsi="Arial" w:cs="Arial"/>
                <w:sz w:val="20"/>
                <w:szCs w:val="20"/>
              </w:rPr>
            </w:pPr>
            <w:r w:rsidRPr="00BB01F4">
              <w:rPr>
                <w:rFonts w:ascii="Arial" w:hAnsi="Arial" w:cs="Arial"/>
                <w:sz w:val="20"/>
                <w:szCs w:val="20"/>
              </w:rPr>
              <w:t>Aktivnost A100006 Financiranje političkih stranaka</w:t>
            </w:r>
          </w:p>
        </w:tc>
        <w:tc>
          <w:tcPr>
            <w:tcW w:w="1560" w:type="dxa"/>
            <w:tcBorders>
              <w:top w:val="nil"/>
              <w:left w:val="nil"/>
              <w:bottom w:val="single" w:sz="4" w:space="0" w:color="auto"/>
              <w:right w:val="single" w:sz="4" w:space="0" w:color="auto"/>
            </w:tcBorders>
            <w:shd w:val="clear" w:color="000000" w:fill="FFFFFF"/>
            <w:noWrap/>
            <w:vAlign w:val="bottom"/>
            <w:hideMark/>
          </w:tcPr>
          <w:p w14:paraId="23CC40E6"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18.000,00</w:t>
            </w:r>
          </w:p>
        </w:tc>
        <w:tc>
          <w:tcPr>
            <w:tcW w:w="1350" w:type="dxa"/>
            <w:tcBorders>
              <w:top w:val="nil"/>
              <w:left w:val="nil"/>
              <w:bottom w:val="single" w:sz="4" w:space="0" w:color="auto"/>
              <w:right w:val="single" w:sz="4" w:space="0" w:color="auto"/>
            </w:tcBorders>
            <w:shd w:val="clear" w:color="000000" w:fill="FFFFFF"/>
            <w:noWrap/>
            <w:vAlign w:val="bottom"/>
            <w:hideMark/>
          </w:tcPr>
          <w:p w14:paraId="6DE276CB"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-2.748,00</w:t>
            </w:r>
          </w:p>
        </w:tc>
        <w:tc>
          <w:tcPr>
            <w:tcW w:w="1418" w:type="dxa"/>
            <w:tcBorders>
              <w:top w:val="nil"/>
              <w:left w:val="nil"/>
              <w:bottom w:val="single" w:sz="4" w:space="0" w:color="auto"/>
              <w:right w:val="single" w:sz="4" w:space="0" w:color="auto"/>
            </w:tcBorders>
            <w:shd w:val="clear" w:color="000000" w:fill="FFFFFF"/>
            <w:noWrap/>
            <w:vAlign w:val="bottom"/>
            <w:hideMark/>
          </w:tcPr>
          <w:p w14:paraId="23F42F47"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15.252,00</w:t>
            </w:r>
          </w:p>
        </w:tc>
      </w:tr>
      <w:tr w:rsidR="004D0A63" w:rsidRPr="00BB01F4" w14:paraId="47D426C9"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7C9FA275" w14:textId="77777777" w:rsidR="004D0A63" w:rsidRPr="00BB01F4" w:rsidRDefault="004D0A63" w:rsidP="00DB54DB">
            <w:pPr>
              <w:rPr>
                <w:rFonts w:ascii="Arial" w:hAnsi="Arial" w:cs="Arial"/>
                <w:sz w:val="20"/>
                <w:szCs w:val="20"/>
              </w:rPr>
            </w:pPr>
            <w:r w:rsidRPr="00BB01F4">
              <w:rPr>
                <w:rFonts w:ascii="Arial" w:hAnsi="Arial" w:cs="Arial"/>
                <w:sz w:val="20"/>
                <w:szCs w:val="20"/>
              </w:rPr>
              <w:t>Aktivnost A100007 Nagrade grada Labina</w:t>
            </w:r>
          </w:p>
        </w:tc>
        <w:tc>
          <w:tcPr>
            <w:tcW w:w="1560" w:type="dxa"/>
            <w:tcBorders>
              <w:top w:val="nil"/>
              <w:left w:val="nil"/>
              <w:bottom w:val="single" w:sz="4" w:space="0" w:color="auto"/>
              <w:right w:val="single" w:sz="4" w:space="0" w:color="auto"/>
            </w:tcBorders>
            <w:shd w:val="clear" w:color="000000" w:fill="FFFFFF"/>
            <w:noWrap/>
            <w:vAlign w:val="bottom"/>
            <w:hideMark/>
          </w:tcPr>
          <w:p w14:paraId="1328670E"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6.600,00</w:t>
            </w:r>
          </w:p>
        </w:tc>
        <w:tc>
          <w:tcPr>
            <w:tcW w:w="1350" w:type="dxa"/>
            <w:tcBorders>
              <w:top w:val="nil"/>
              <w:left w:val="nil"/>
              <w:bottom w:val="single" w:sz="4" w:space="0" w:color="auto"/>
              <w:right w:val="single" w:sz="4" w:space="0" w:color="auto"/>
            </w:tcBorders>
            <w:shd w:val="clear" w:color="000000" w:fill="FFFFFF"/>
            <w:noWrap/>
            <w:vAlign w:val="bottom"/>
            <w:hideMark/>
          </w:tcPr>
          <w:p w14:paraId="10064401"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-5.600,00</w:t>
            </w:r>
          </w:p>
        </w:tc>
        <w:tc>
          <w:tcPr>
            <w:tcW w:w="1418" w:type="dxa"/>
            <w:tcBorders>
              <w:top w:val="nil"/>
              <w:left w:val="nil"/>
              <w:bottom w:val="single" w:sz="4" w:space="0" w:color="auto"/>
              <w:right w:val="single" w:sz="4" w:space="0" w:color="auto"/>
            </w:tcBorders>
            <w:shd w:val="clear" w:color="000000" w:fill="FFFFFF"/>
            <w:noWrap/>
            <w:vAlign w:val="bottom"/>
            <w:hideMark/>
          </w:tcPr>
          <w:p w14:paraId="5B6B8B84"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1.000,00</w:t>
            </w:r>
          </w:p>
        </w:tc>
      </w:tr>
      <w:tr w:rsidR="004D0A63" w:rsidRPr="00BB01F4" w14:paraId="19C24D75"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30E0D313" w14:textId="77777777" w:rsidR="004D0A63" w:rsidRPr="00BB01F4" w:rsidRDefault="004D0A63" w:rsidP="00DB54DB">
            <w:pPr>
              <w:rPr>
                <w:rFonts w:ascii="Arial" w:hAnsi="Arial" w:cs="Arial"/>
                <w:sz w:val="20"/>
                <w:szCs w:val="20"/>
              </w:rPr>
            </w:pPr>
            <w:r w:rsidRPr="00BB01F4">
              <w:rPr>
                <w:rFonts w:ascii="Arial" w:hAnsi="Arial" w:cs="Arial"/>
                <w:sz w:val="20"/>
                <w:szCs w:val="20"/>
              </w:rPr>
              <w:t>Aktivnost A100008 Savjet mladih grada Labina</w:t>
            </w:r>
          </w:p>
        </w:tc>
        <w:tc>
          <w:tcPr>
            <w:tcW w:w="1560" w:type="dxa"/>
            <w:tcBorders>
              <w:top w:val="nil"/>
              <w:left w:val="nil"/>
              <w:bottom w:val="single" w:sz="4" w:space="0" w:color="auto"/>
              <w:right w:val="single" w:sz="4" w:space="0" w:color="auto"/>
            </w:tcBorders>
            <w:shd w:val="clear" w:color="000000" w:fill="FFFFFF"/>
            <w:noWrap/>
            <w:vAlign w:val="bottom"/>
            <w:hideMark/>
          </w:tcPr>
          <w:p w14:paraId="3C0E4284"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4.000,00</w:t>
            </w:r>
          </w:p>
        </w:tc>
        <w:tc>
          <w:tcPr>
            <w:tcW w:w="1350" w:type="dxa"/>
            <w:tcBorders>
              <w:top w:val="nil"/>
              <w:left w:val="nil"/>
              <w:bottom w:val="single" w:sz="4" w:space="0" w:color="auto"/>
              <w:right w:val="single" w:sz="4" w:space="0" w:color="auto"/>
            </w:tcBorders>
            <w:shd w:val="clear" w:color="000000" w:fill="FFFFFF"/>
            <w:noWrap/>
            <w:vAlign w:val="bottom"/>
            <w:hideMark/>
          </w:tcPr>
          <w:p w14:paraId="0A1A87CA"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36D80EF3"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4.000,00</w:t>
            </w:r>
          </w:p>
        </w:tc>
      </w:tr>
      <w:tr w:rsidR="004D0A63" w:rsidRPr="00BB01F4" w14:paraId="03593F98"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4E22386D" w14:textId="77777777" w:rsidR="004D0A63" w:rsidRPr="00BB01F4" w:rsidRDefault="004D0A63" w:rsidP="00DB54DB">
            <w:pPr>
              <w:rPr>
                <w:rFonts w:ascii="Arial" w:hAnsi="Arial" w:cs="Arial"/>
                <w:sz w:val="20"/>
                <w:szCs w:val="20"/>
              </w:rPr>
            </w:pPr>
            <w:r w:rsidRPr="00BB01F4">
              <w:rPr>
                <w:rFonts w:ascii="Arial" w:hAnsi="Arial" w:cs="Arial"/>
                <w:sz w:val="20"/>
                <w:szCs w:val="20"/>
              </w:rPr>
              <w:t>Aktivnost A100009 Izbori</w:t>
            </w:r>
          </w:p>
        </w:tc>
        <w:tc>
          <w:tcPr>
            <w:tcW w:w="1560" w:type="dxa"/>
            <w:tcBorders>
              <w:top w:val="nil"/>
              <w:left w:val="nil"/>
              <w:bottom w:val="single" w:sz="4" w:space="0" w:color="auto"/>
              <w:right w:val="single" w:sz="4" w:space="0" w:color="auto"/>
            </w:tcBorders>
            <w:shd w:val="clear" w:color="000000" w:fill="FFFFFF"/>
            <w:noWrap/>
            <w:vAlign w:val="bottom"/>
            <w:hideMark/>
          </w:tcPr>
          <w:p w14:paraId="11DB8CE9"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15.200,00</w:t>
            </w:r>
          </w:p>
        </w:tc>
        <w:tc>
          <w:tcPr>
            <w:tcW w:w="1350" w:type="dxa"/>
            <w:tcBorders>
              <w:top w:val="nil"/>
              <w:left w:val="nil"/>
              <w:bottom w:val="single" w:sz="4" w:space="0" w:color="auto"/>
              <w:right w:val="single" w:sz="4" w:space="0" w:color="auto"/>
            </w:tcBorders>
            <w:shd w:val="clear" w:color="000000" w:fill="FFFFFF"/>
            <w:noWrap/>
            <w:vAlign w:val="bottom"/>
            <w:hideMark/>
          </w:tcPr>
          <w:p w14:paraId="2EB97BEC"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39.594,00</w:t>
            </w:r>
          </w:p>
        </w:tc>
        <w:tc>
          <w:tcPr>
            <w:tcW w:w="1418" w:type="dxa"/>
            <w:tcBorders>
              <w:top w:val="nil"/>
              <w:left w:val="nil"/>
              <w:bottom w:val="single" w:sz="4" w:space="0" w:color="auto"/>
              <w:right w:val="single" w:sz="4" w:space="0" w:color="auto"/>
            </w:tcBorders>
            <w:shd w:val="clear" w:color="000000" w:fill="FFFFFF"/>
            <w:noWrap/>
            <w:vAlign w:val="bottom"/>
            <w:hideMark/>
          </w:tcPr>
          <w:p w14:paraId="1CD3C5D5"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54.794,00</w:t>
            </w:r>
          </w:p>
        </w:tc>
      </w:tr>
      <w:tr w:rsidR="004D0A63" w:rsidRPr="00BB01F4" w14:paraId="7BCEF92D"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11E95B13" w14:textId="77777777" w:rsidR="004D0A63" w:rsidRPr="00BB01F4" w:rsidRDefault="004D0A63" w:rsidP="00DB54DB">
            <w:pPr>
              <w:rPr>
                <w:rFonts w:ascii="Arial" w:hAnsi="Arial" w:cs="Arial"/>
                <w:sz w:val="20"/>
                <w:szCs w:val="20"/>
              </w:rPr>
            </w:pPr>
            <w:r w:rsidRPr="00BB01F4">
              <w:rPr>
                <w:rFonts w:ascii="Arial" w:hAnsi="Arial" w:cs="Arial"/>
                <w:sz w:val="20"/>
                <w:szCs w:val="20"/>
              </w:rPr>
              <w:t>Kapitalni projekt K100001 Nabava dugotrajne imovine</w:t>
            </w:r>
          </w:p>
        </w:tc>
        <w:tc>
          <w:tcPr>
            <w:tcW w:w="1560" w:type="dxa"/>
            <w:tcBorders>
              <w:top w:val="nil"/>
              <w:left w:val="nil"/>
              <w:bottom w:val="single" w:sz="4" w:space="0" w:color="auto"/>
              <w:right w:val="single" w:sz="4" w:space="0" w:color="auto"/>
            </w:tcBorders>
            <w:shd w:val="clear" w:color="000000" w:fill="FFFFFF"/>
            <w:noWrap/>
            <w:vAlign w:val="bottom"/>
            <w:hideMark/>
          </w:tcPr>
          <w:p w14:paraId="4057ABDD"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98.100,00</w:t>
            </w:r>
          </w:p>
        </w:tc>
        <w:tc>
          <w:tcPr>
            <w:tcW w:w="1350" w:type="dxa"/>
            <w:tcBorders>
              <w:top w:val="nil"/>
              <w:left w:val="nil"/>
              <w:bottom w:val="single" w:sz="4" w:space="0" w:color="auto"/>
              <w:right w:val="single" w:sz="4" w:space="0" w:color="auto"/>
            </w:tcBorders>
            <w:shd w:val="clear" w:color="000000" w:fill="FFFFFF"/>
            <w:noWrap/>
            <w:vAlign w:val="bottom"/>
            <w:hideMark/>
          </w:tcPr>
          <w:p w14:paraId="7E690D74"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10.700,00</w:t>
            </w:r>
          </w:p>
        </w:tc>
        <w:tc>
          <w:tcPr>
            <w:tcW w:w="1418" w:type="dxa"/>
            <w:tcBorders>
              <w:top w:val="nil"/>
              <w:left w:val="nil"/>
              <w:bottom w:val="single" w:sz="4" w:space="0" w:color="auto"/>
              <w:right w:val="single" w:sz="4" w:space="0" w:color="auto"/>
            </w:tcBorders>
            <w:shd w:val="clear" w:color="000000" w:fill="FFFFFF"/>
            <w:noWrap/>
            <w:vAlign w:val="bottom"/>
            <w:hideMark/>
          </w:tcPr>
          <w:p w14:paraId="1F3628FB"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108.800,00</w:t>
            </w:r>
          </w:p>
        </w:tc>
      </w:tr>
      <w:tr w:rsidR="004D0A63" w:rsidRPr="00BB01F4" w14:paraId="4C3212EE"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4E3A24F0" w14:textId="77777777" w:rsidR="004D0A63" w:rsidRPr="00BB01F4" w:rsidRDefault="004D0A63" w:rsidP="00DB54DB">
            <w:pPr>
              <w:rPr>
                <w:rFonts w:ascii="Arial" w:hAnsi="Arial" w:cs="Arial"/>
                <w:sz w:val="20"/>
                <w:szCs w:val="20"/>
              </w:rPr>
            </w:pPr>
            <w:r w:rsidRPr="00BB01F4">
              <w:rPr>
                <w:rFonts w:ascii="Arial" w:hAnsi="Arial" w:cs="Arial"/>
                <w:sz w:val="20"/>
                <w:szCs w:val="20"/>
              </w:rPr>
              <w:t>Kapitalni projekt K100002 E-grad</w:t>
            </w:r>
          </w:p>
        </w:tc>
        <w:tc>
          <w:tcPr>
            <w:tcW w:w="1560" w:type="dxa"/>
            <w:tcBorders>
              <w:top w:val="nil"/>
              <w:left w:val="nil"/>
              <w:bottom w:val="single" w:sz="4" w:space="0" w:color="auto"/>
              <w:right w:val="single" w:sz="4" w:space="0" w:color="auto"/>
            </w:tcBorders>
            <w:shd w:val="clear" w:color="000000" w:fill="FFFFFF"/>
            <w:noWrap/>
            <w:vAlign w:val="bottom"/>
            <w:hideMark/>
          </w:tcPr>
          <w:p w14:paraId="27A7F31D"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2.500,00</w:t>
            </w:r>
          </w:p>
        </w:tc>
        <w:tc>
          <w:tcPr>
            <w:tcW w:w="1350" w:type="dxa"/>
            <w:tcBorders>
              <w:top w:val="nil"/>
              <w:left w:val="nil"/>
              <w:bottom w:val="single" w:sz="4" w:space="0" w:color="auto"/>
              <w:right w:val="single" w:sz="4" w:space="0" w:color="auto"/>
            </w:tcBorders>
            <w:shd w:val="clear" w:color="000000" w:fill="FFFFFF"/>
            <w:noWrap/>
            <w:vAlign w:val="bottom"/>
            <w:hideMark/>
          </w:tcPr>
          <w:p w14:paraId="712676E6"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6BAC4DD0"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2.500,00</w:t>
            </w:r>
          </w:p>
        </w:tc>
      </w:tr>
      <w:tr w:rsidR="004D0A63" w:rsidRPr="00BB01F4" w14:paraId="339171F7"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380D23BB" w14:textId="77777777" w:rsidR="004D0A63" w:rsidRPr="00BB01F4" w:rsidRDefault="004D0A63" w:rsidP="00DB54DB">
            <w:pPr>
              <w:rPr>
                <w:rFonts w:ascii="Arial" w:hAnsi="Arial" w:cs="Arial"/>
                <w:b/>
                <w:bCs/>
                <w:sz w:val="20"/>
                <w:szCs w:val="20"/>
              </w:rPr>
            </w:pPr>
            <w:r w:rsidRPr="00BB01F4">
              <w:rPr>
                <w:rFonts w:ascii="Arial" w:hAnsi="Arial" w:cs="Arial"/>
                <w:b/>
                <w:bCs/>
                <w:sz w:val="20"/>
                <w:szCs w:val="20"/>
              </w:rPr>
              <w:t>Program 1002 Mjesna samouprava</w:t>
            </w:r>
          </w:p>
        </w:tc>
        <w:tc>
          <w:tcPr>
            <w:tcW w:w="1560" w:type="dxa"/>
            <w:tcBorders>
              <w:top w:val="nil"/>
              <w:left w:val="nil"/>
              <w:bottom w:val="single" w:sz="4" w:space="0" w:color="auto"/>
              <w:right w:val="single" w:sz="4" w:space="0" w:color="auto"/>
            </w:tcBorders>
            <w:shd w:val="clear" w:color="000000" w:fill="FFFFFF"/>
            <w:noWrap/>
            <w:vAlign w:val="bottom"/>
            <w:hideMark/>
          </w:tcPr>
          <w:p w14:paraId="6B208CA8"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4.900,00</w:t>
            </w:r>
          </w:p>
        </w:tc>
        <w:tc>
          <w:tcPr>
            <w:tcW w:w="1350" w:type="dxa"/>
            <w:tcBorders>
              <w:top w:val="nil"/>
              <w:left w:val="nil"/>
              <w:bottom w:val="single" w:sz="4" w:space="0" w:color="auto"/>
              <w:right w:val="single" w:sz="4" w:space="0" w:color="auto"/>
            </w:tcBorders>
            <w:shd w:val="clear" w:color="000000" w:fill="FFFFFF"/>
            <w:noWrap/>
            <w:vAlign w:val="bottom"/>
            <w:hideMark/>
          </w:tcPr>
          <w:p w14:paraId="5AC0ED0F"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3653452C"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4.900,00</w:t>
            </w:r>
          </w:p>
        </w:tc>
      </w:tr>
      <w:tr w:rsidR="004D0A63" w:rsidRPr="00BB01F4" w14:paraId="53AE3865"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6DCDE76C" w14:textId="77777777" w:rsidR="004D0A63" w:rsidRPr="00BB01F4" w:rsidRDefault="004D0A63" w:rsidP="00DB54DB">
            <w:pPr>
              <w:rPr>
                <w:rFonts w:ascii="Arial" w:hAnsi="Arial" w:cs="Arial"/>
                <w:sz w:val="20"/>
                <w:szCs w:val="20"/>
              </w:rPr>
            </w:pPr>
            <w:r w:rsidRPr="00BB01F4">
              <w:rPr>
                <w:rFonts w:ascii="Arial" w:hAnsi="Arial" w:cs="Arial"/>
                <w:sz w:val="20"/>
                <w:szCs w:val="20"/>
              </w:rPr>
              <w:t>Aktivnost A100001 Financiranje mjesnog odbora Gornji Labin</w:t>
            </w:r>
          </w:p>
        </w:tc>
        <w:tc>
          <w:tcPr>
            <w:tcW w:w="1560" w:type="dxa"/>
            <w:tcBorders>
              <w:top w:val="nil"/>
              <w:left w:val="nil"/>
              <w:bottom w:val="single" w:sz="4" w:space="0" w:color="auto"/>
              <w:right w:val="single" w:sz="4" w:space="0" w:color="auto"/>
            </w:tcBorders>
            <w:shd w:val="clear" w:color="000000" w:fill="FFFFFF"/>
            <w:noWrap/>
            <w:vAlign w:val="bottom"/>
            <w:hideMark/>
          </w:tcPr>
          <w:p w14:paraId="0F33FA25"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700,00</w:t>
            </w:r>
          </w:p>
        </w:tc>
        <w:tc>
          <w:tcPr>
            <w:tcW w:w="1350" w:type="dxa"/>
            <w:tcBorders>
              <w:top w:val="nil"/>
              <w:left w:val="nil"/>
              <w:bottom w:val="single" w:sz="4" w:space="0" w:color="auto"/>
              <w:right w:val="single" w:sz="4" w:space="0" w:color="auto"/>
            </w:tcBorders>
            <w:shd w:val="clear" w:color="000000" w:fill="FFFFFF"/>
            <w:noWrap/>
            <w:vAlign w:val="bottom"/>
            <w:hideMark/>
          </w:tcPr>
          <w:p w14:paraId="58102419"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7E45B7EF"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700,00</w:t>
            </w:r>
          </w:p>
        </w:tc>
      </w:tr>
      <w:tr w:rsidR="004D0A63" w:rsidRPr="00BB01F4" w14:paraId="3747D95E"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5DB65C2C" w14:textId="77777777" w:rsidR="004D0A63" w:rsidRPr="00BB01F4" w:rsidRDefault="004D0A63" w:rsidP="00DB54DB">
            <w:pPr>
              <w:rPr>
                <w:rFonts w:ascii="Arial" w:hAnsi="Arial" w:cs="Arial"/>
                <w:sz w:val="20"/>
                <w:szCs w:val="20"/>
              </w:rPr>
            </w:pPr>
            <w:r w:rsidRPr="00BB01F4">
              <w:rPr>
                <w:rFonts w:ascii="Arial" w:hAnsi="Arial" w:cs="Arial"/>
                <w:sz w:val="20"/>
                <w:szCs w:val="20"/>
              </w:rPr>
              <w:t xml:space="preserve">Aktivnost A100002 Financiranje mjesnog odbora </w:t>
            </w:r>
            <w:proofErr w:type="spellStart"/>
            <w:r w:rsidRPr="00BB01F4">
              <w:rPr>
                <w:rFonts w:ascii="Arial" w:hAnsi="Arial" w:cs="Arial"/>
                <w:sz w:val="20"/>
                <w:szCs w:val="20"/>
              </w:rPr>
              <w:t>Vinež</w:t>
            </w:r>
            <w:proofErr w:type="spellEnd"/>
          </w:p>
        </w:tc>
        <w:tc>
          <w:tcPr>
            <w:tcW w:w="1560" w:type="dxa"/>
            <w:tcBorders>
              <w:top w:val="nil"/>
              <w:left w:val="nil"/>
              <w:bottom w:val="single" w:sz="4" w:space="0" w:color="auto"/>
              <w:right w:val="single" w:sz="4" w:space="0" w:color="auto"/>
            </w:tcBorders>
            <w:shd w:val="clear" w:color="000000" w:fill="FFFFFF"/>
            <w:noWrap/>
            <w:vAlign w:val="bottom"/>
            <w:hideMark/>
          </w:tcPr>
          <w:p w14:paraId="37FAE9E3"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700,00</w:t>
            </w:r>
          </w:p>
        </w:tc>
        <w:tc>
          <w:tcPr>
            <w:tcW w:w="1350" w:type="dxa"/>
            <w:tcBorders>
              <w:top w:val="nil"/>
              <w:left w:val="nil"/>
              <w:bottom w:val="single" w:sz="4" w:space="0" w:color="auto"/>
              <w:right w:val="single" w:sz="4" w:space="0" w:color="auto"/>
            </w:tcBorders>
            <w:shd w:val="clear" w:color="000000" w:fill="FFFFFF"/>
            <w:noWrap/>
            <w:vAlign w:val="bottom"/>
            <w:hideMark/>
          </w:tcPr>
          <w:p w14:paraId="2FEB8481"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794716EF"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700,00</w:t>
            </w:r>
          </w:p>
        </w:tc>
      </w:tr>
      <w:tr w:rsidR="004D0A63" w:rsidRPr="00BB01F4" w14:paraId="5262AAF1"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5A6ABF71" w14:textId="77777777" w:rsidR="004D0A63" w:rsidRPr="00BB01F4" w:rsidRDefault="004D0A63" w:rsidP="00DB54DB">
            <w:pPr>
              <w:rPr>
                <w:rFonts w:ascii="Arial" w:hAnsi="Arial" w:cs="Arial"/>
                <w:sz w:val="20"/>
                <w:szCs w:val="20"/>
              </w:rPr>
            </w:pPr>
            <w:r w:rsidRPr="00BB01F4">
              <w:rPr>
                <w:rFonts w:ascii="Arial" w:hAnsi="Arial" w:cs="Arial"/>
                <w:sz w:val="20"/>
                <w:szCs w:val="20"/>
              </w:rPr>
              <w:t xml:space="preserve">Aktivnost A100003 Financiranje mjesnog odbora </w:t>
            </w:r>
            <w:proofErr w:type="spellStart"/>
            <w:r w:rsidRPr="00BB01F4">
              <w:rPr>
                <w:rFonts w:ascii="Arial" w:hAnsi="Arial" w:cs="Arial"/>
                <w:sz w:val="20"/>
                <w:szCs w:val="20"/>
              </w:rPr>
              <w:t>Kature</w:t>
            </w:r>
            <w:proofErr w:type="spellEnd"/>
          </w:p>
        </w:tc>
        <w:tc>
          <w:tcPr>
            <w:tcW w:w="1560" w:type="dxa"/>
            <w:tcBorders>
              <w:top w:val="nil"/>
              <w:left w:val="nil"/>
              <w:bottom w:val="single" w:sz="4" w:space="0" w:color="auto"/>
              <w:right w:val="single" w:sz="4" w:space="0" w:color="auto"/>
            </w:tcBorders>
            <w:shd w:val="clear" w:color="000000" w:fill="FFFFFF"/>
            <w:noWrap/>
            <w:vAlign w:val="bottom"/>
            <w:hideMark/>
          </w:tcPr>
          <w:p w14:paraId="4C3F3927"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700,00</w:t>
            </w:r>
          </w:p>
        </w:tc>
        <w:tc>
          <w:tcPr>
            <w:tcW w:w="1350" w:type="dxa"/>
            <w:tcBorders>
              <w:top w:val="nil"/>
              <w:left w:val="nil"/>
              <w:bottom w:val="single" w:sz="4" w:space="0" w:color="auto"/>
              <w:right w:val="single" w:sz="4" w:space="0" w:color="auto"/>
            </w:tcBorders>
            <w:shd w:val="clear" w:color="000000" w:fill="FFFFFF"/>
            <w:noWrap/>
            <w:vAlign w:val="bottom"/>
            <w:hideMark/>
          </w:tcPr>
          <w:p w14:paraId="3080649C"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48A08D89"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700,00</w:t>
            </w:r>
          </w:p>
        </w:tc>
      </w:tr>
      <w:tr w:rsidR="004D0A63" w:rsidRPr="00BB01F4" w14:paraId="654CA107"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2E44C827" w14:textId="77777777" w:rsidR="004D0A63" w:rsidRPr="00BB01F4" w:rsidRDefault="004D0A63" w:rsidP="00DB54DB">
            <w:pPr>
              <w:rPr>
                <w:rFonts w:ascii="Arial" w:hAnsi="Arial" w:cs="Arial"/>
                <w:sz w:val="20"/>
                <w:szCs w:val="20"/>
              </w:rPr>
            </w:pPr>
            <w:r w:rsidRPr="00BB01F4">
              <w:rPr>
                <w:rFonts w:ascii="Arial" w:hAnsi="Arial" w:cs="Arial"/>
                <w:sz w:val="20"/>
                <w:szCs w:val="20"/>
              </w:rPr>
              <w:t xml:space="preserve">Aktivnost A100004 Financiranje mjesnog odbora </w:t>
            </w:r>
            <w:proofErr w:type="spellStart"/>
            <w:r w:rsidRPr="00BB01F4">
              <w:rPr>
                <w:rFonts w:ascii="Arial" w:hAnsi="Arial" w:cs="Arial"/>
                <w:sz w:val="20"/>
                <w:szCs w:val="20"/>
              </w:rPr>
              <w:t>Ripenda</w:t>
            </w:r>
            <w:proofErr w:type="spellEnd"/>
          </w:p>
        </w:tc>
        <w:tc>
          <w:tcPr>
            <w:tcW w:w="1560" w:type="dxa"/>
            <w:tcBorders>
              <w:top w:val="nil"/>
              <w:left w:val="nil"/>
              <w:bottom w:val="single" w:sz="4" w:space="0" w:color="auto"/>
              <w:right w:val="single" w:sz="4" w:space="0" w:color="auto"/>
            </w:tcBorders>
            <w:shd w:val="clear" w:color="000000" w:fill="FFFFFF"/>
            <w:noWrap/>
            <w:vAlign w:val="bottom"/>
            <w:hideMark/>
          </w:tcPr>
          <w:p w14:paraId="1FBF4986"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700,00</w:t>
            </w:r>
          </w:p>
        </w:tc>
        <w:tc>
          <w:tcPr>
            <w:tcW w:w="1350" w:type="dxa"/>
            <w:tcBorders>
              <w:top w:val="nil"/>
              <w:left w:val="nil"/>
              <w:bottom w:val="single" w:sz="4" w:space="0" w:color="auto"/>
              <w:right w:val="single" w:sz="4" w:space="0" w:color="auto"/>
            </w:tcBorders>
            <w:shd w:val="clear" w:color="000000" w:fill="FFFFFF"/>
            <w:noWrap/>
            <w:vAlign w:val="bottom"/>
            <w:hideMark/>
          </w:tcPr>
          <w:p w14:paraId="08746CDB"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7580B27F"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700,00</w:t>
            </w:r>
          </w:p>
        </w:tc>
      </w:tr>
      <w:tr w:rsidR="004D0A63" w:rsidRPr="00BB01F4" w14:paraId="72309428"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47CA8327" w14:textId="77777777" w:rsidR="004D0A63" w:rsidRPr="00BB01F4" w:rsidRDefault="004D0A63" w:rsidP="00DB54DB">
            <w:pPr>
              <w:rPr>
                <w:rFonts w:ascii="Arial" w:hAnsi="Arial" w:cs="Arial"/>
                <w:sz w:val="20"/>
                <w:szCs w:val="20"/>
              </w:rPr>
            </w:pPr>
            <w:r w:rsidRPr="00BB01F4">
              <w:rPr>
                <w:rFonts w:ascii="Arial" w:hAnsi="Arial" w:cs="Arial"/>
                <w:sz w:val="20"/>
                <w:szCs w:val="20"/>
              </w:rPr>
              <w:t>Aktivnost A100005 Financiranje mjesnog odbora Rabac</w:t>
            </w:r>
          </w:p>
        </w:tc>
        <w:tc>
          <w:tcPr>
            <w:tcW w:w="1560" w:type="dxa"/>
            <w:tcBorders>
              <w:top w:val="nil"/>
              <w:left w:val="nil"/>
              <w:bottom w:val="single" w:sz="4" w:space="0" w:color="auto"/>
              <w:right w:val="single" w:sz="4" w:space="0" w:color="auto"/>
            </w:tcBorders>
            <w:shd w:val="clear" w:color="000000" w:fill="FFFFFF"/>
            <w:noWrap/>
            <w:vAlign w:val="bottom"/>
            <w:hideMark/>
          </w:tcPr>
          <w:p w14:paraId="3F164171"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700,00</w:t>
            </w:r>
          </w:p>
        </w:tc>
        <w:tc>
          <w:tcPr>
            <w:tcW w:w="1350" w:type="dxa"/>
            <w:tcBorders>
              <w:top w:val="nil"/>
              <w:left w:val="nil"/>
              <w:bottom w:val="single" w:sz="4" w:space="0" w:color="auto"/>
              <w:right w:val="single" w:sz="4" w:space="0" w:color="auto"/>
            </w:tcBorders>
            <w:shd w:val="clear" w:color="000000" w:fill="FFFFFF"/>
            <w:noWrap/>
            <w:vAlign w:val="bottom"/>
            <w:hideMark/>
          </w:tcPr>
          <w:p w14:paraId="53D95076"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52F0927D"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700,00</w:t>
            </w:r>
          </w:p>
        </w:tc>
      </w:tr>
      <w:tr w:rsidR="004D0A63" w:rsidRPr="00BB01F4" w14:paraId="724C5581"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4CB0BF10" w14:textId="77777777" w:rsidR="004D0A63" w:rsidRPr="00BB01F4" w:rsidRDefault="004D0A63" w:rsidP="00DB54DB">
            <w:pPr>
              <w:rPr>
                <w:rFonts w:ascii="Arial" w:hAnsi="Arial" w:cs="Arial"/>
                <w:sz w:val="20"/>
                <w:szCs w:val="20"/>
              </w:rPr>
            </w:pPr>
            <w:r w:rsidRPr="00BB01F4">
              <w:rPr>
                <w:rFonts w:ascii="Arial" w:hAnsi="Arial" w:cs="Arial"/>
                <w:sz w:val="20"/>
                <w:szCs w:val="20"/>
              </w:rPr>
              <w:t>Aktivnost A100006 Financiranje mjesnog odbora Donji Labin</w:t>
            </w:r>
          </w:p>
        </w:tc>
        <w:tc>
          <w:tcPr>
            <w:tcW w:w="1560" w:type="dxa"/>
            <w:tcBorders>
              <w:top w:val="nil"/>
              <w:left w:val="nil"/>
              <w:bottom w:val="single" w:sz="4" w:space="0" w:color="auto"/>
              <w:right w:val="single" w:sz="4" w:space="0" w:color="auto"/>
            </w:tcBorders>
            <w:shd w:val="clear" w:color="000000" w:fill="FFFFFF"/>
            <w:noWrap/>
            <w:vAlign w:val="bottom"/>
            <w:hideMark/>
          </w:tcPr>
          <w:p w14:paraId="339E9E75"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700,00</w:t>
            </w:r>
          </w:p>
        </w:tc>
        <w:tc>
          <w:tcPr>
            <w:tcW w:w="1350" w:type="dxa"/>
            <w:tcBorders>
              <w:top w:val="nil"/>
              <w:left w:val="nil"/>
              <w:bottom w:val="single" w:sz="4" w:space="0" w:color="auto"/>
              <w:right w:val="single" w:sz="4" w:space="0" w:color="auto"/>
            </w:tcBorders>
            <w:shd w:val="clear" w:color="000000" w:fill="FFFFFF"/>
            <w:noWrap/>
            <w:vAlign w:val="bottom"/>
            <w:hideMark/>
          </w:tcPr>
          <w:p w14:paraId="6731B994"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79A9631D"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700,00</w:t>
            </w:r>
          </w:p>
        </w:tc>
      </w:tr>
      <w:tr w:rsidR="004D0A63" w:rsidRPr="00BB01F4" w14:paraId="205B6CDE"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75792D5F" w14:textId="77777777" w:rsidR="004D0A63" w:rsidRPr="00BB01F4" w:rsidRDefault="004D0A63" w:rsidP="00DB54DB">
            <w:pPr>
              <w:rPr>
                <w:rFonts w:ascii="Arial" w:hAnsi="Arial" w:cs="Arial"/>
                <w:sz w:val="20"/>
                <w:szCs w:val="20"/>
              </w:rPr>
            </w:pPr>
            <w:r w:rsidRPr="00BB01F4">
              <w:rPr>
                <w:rFonts w:ascii="Arial" w:hAnsi="Arial" w:cs="Arial"/>
                <w:sz w:val="20"/>
                <w:szCs w:val="20"/>
              </w:rPr>
              <w:t>Aktivnost A100007 Financiranje mjesnog odbora Kapelica</w:t>
            </w:r>
          </w:p>
        </w:tc>
        <w:tc>
          <w:tcPr>
            <w:tcW w:w="1560" w:type="dxa"/>
            <w:tcBorders>
              <w:top w:val="nil"/>
              <w:left w:val="nil"/>
              <w:bottom w:val="single" w:sz="4" w:space="0" w:color="auto"/>
              <w:right w:val="single" w:sz="4" w:space="0" w:color="auto"/>
            </w:tcBorders>
            <w:shd w:val="clear" w:color="000000" w:fill="FFFFFF"/>
            <w:noWrap/>
            <w:vAlign w:val="bottom"/>
            <w:hideMark/>
          </w:tcPr>
          <w:p w14:paraId="44CE8AED"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700,00</w:t>
            </w:r>
          </w:p>
        </w:tc>
        <w:tc>
          <w:tcPr>
            <w:tcW w:w="1350" w:type="dxa"/>
            <w:tcBorders>
              <w:top w:val="nil"/>
              <w:left w:val="nil"/>
              <w:bottom w:val="single" w:sz="4" w:space="0" w:color="auto"/>
              <w:right w:val="single" w:sz="4" w:space="0" w:color="auto"/>
            </w:tcBorders>
            <w:shd w:val="clear" w:color="000000" w:fill="FFFFFF"/>
            <w:noWrap/>
            <w:vAlign w:val="bottom"/>
            <w:hideMark/>
          </w:tcPr>
          <w:p w14:paraId="42B471DA"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1F80842D"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700,00</w:t>
            </w:r>
          </w:p>
        </w:tc>
      </w:tr>
      <w:tr w:rsidR="004D0A63" w:rsidRPr="00BB01F4" w14:paraId="3CFD2871"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6E6C552A" w14:textId="77777777" w:rsidR="004D0A63" w:rsidRPr="00BB01F4" w:rsidRDefault="004D0A63" w:rsidP="00DB54DB">
            <w:pPr>
              <w:rPr>
                <w:rFonts w:ascii="Arial" w:hAnsi="Arial" w:cs="Arial"/>
                <w:b/>
                <w:bCs/>
                <w:sz w:val="20"/>
                <w:szCs w:val="20"/>
              </w:rPr>
            </w:pPr>
            <w:r w:rsidRPr="00BB01F4">
              <w:rPr>
                <w:rFonts w:ascii="Arial" w:hAnsi="Arial" w:cs="Arial"/>
                <w:b/>
                <w:bCs/>
                <w:sz w:val="20"/>
                <w:szCs w:val="20"/>
              </w:rPr>
              <w:t>Program 1003 Organiziranje i provođenje zaštite i spašavanja</w:t>
            </w:r>
          </w:p>
        </w:tc>
        <w:tc>
          <w:tcPr>
            <w:tcW w:w="1560" w:type="dxa"/>
            <w:tcBorders>
              <w:top w:val="nil"/>
              <w:left w:val="nil"/>
              <w:bottom w:val="single" w:sz="4" w:space="0" w:color="auto"/>
              <w:right w:val="single" w:sz="4" w:space="0" w:color="auto"/>
            </w:tcBorders>
            <w:shd w:val="clear" w:color="000000" w:fill="FFFFFF"/>
            <w:noWrap/>
            <w:vAlign w:val="bottom"/>
            <w:hideMark/>
          </w:tcPr>
          <w:p w14:paraId="4D0C2843"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74.982,00</w:t>
            </w:r>
          </w:p>
        </w:tc>
        <w:tc>
          <w:tcPr>
            <w:tcW w:w="1350" w:type="dxa"/>
            <w:tcBorders>
              <w:top w:val="nil"/>
              <w:left w:val="nil"/>
              <w:bottom w:val="single" w:sz="4" w:space="0" w:color="auto"/>
              <w:right w:val="single" w:sz="4" w:space="0" w:color="auto"/>
            </w:tcBorders>
            <w:shd w:val="clear" w:color="000000" w:fill="FFFFFF"/>
            <w:noWrap/>
            <w:vAlign w:val="bottom"/>
            <w:hideMark/>
          </w:tcPr>
          <w:p w14:paraId="667183DB"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2BDC4984"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74.982,00</w:t>
            </w:r>
          </w:p>
        </w:tc>
      </w:tr>
      <w:tr w:rsidR="004D0A63" w:rsidRPr="00BB01F4" w14:paraId="5DF9BE61"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57054892" w14:textId="77777777" w:rsidR="004D0A63" w:rsidRPr="00BB01F4" w:rsidRDefault="004D0A63" w:rsidP="00DB54DB">
            <w:pPr>
              <w:rPr>
                <w:rFonts w:ascii="Arial" w:hAnsi="Arial" w:cs="Arial"/>
                <w:sz w:val="20"/>
                <w:szCs w:val="20"/>
              </w:rPr>
            </w:pPr>
            <w:r w:rsidRPr="00BB01F4">
              <w:rPr>
                <w:rFonts w:ascii="Arial" w:hAnsi="Arial" w:cs="Arial"/>
                <w:sz w:val="20"/>
                <w:szCs w:val="20"/>
              </w:rPr>
              <w:t>Aktivnost A100001 Civilna zaštita</w:t>
            </w:r>
          </w:p>
        </w:tc>
        <w:tc>
          <w:tcPr>
            <w:tcW w:w="1560" w:type="dxa"/>
            <w:tcBorders>
              <w:top w:val="nil"/>
              <w:left w:val="nil"/>
              <w:bottom w:val="single" w:sz="4" w:space="0" w:color="auto"/>
              <w:right w:val="single" w:sz="4" w:space="0" w:color="auto"/>
            </w:tcBorders>
            <w:shd w:val="clear" w:color="000000" w:fill="FFFFFF"/>
            <w:noWrap/>
            <w:vAlign w:val="bottom"/>
            <w:hideMark/>
          </w:tcPr>
          <w:p w14:paraId="00BDFADC"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7.000,00</w:t>
            </w:r>
          </w:p>
        </w:tc>
        <w:tc>
          <w:tcPr>
            <w:tcW w:w="1350" w:type="dxa"/>
            <w:tcBorders>
              <w:top w:val="nil"/>
              <w:left w:val="nil"/>
              <w:bottom w:val="single" w:sz="4" w:space="0" w:color="auto"/>
              <w:right w:val="single" w:sz="4" w:space="0" w:color="auto"/>
            </w:tcBorders>
            <w:shd w:val="clear" w:color="000000" w:fill="FFFFFF"/>
            <w:noWrap/>
            <w:vAlign w:val="bottom"/>
            <w:hideMark/>
          </w:tcPr>
          <w:p w14:paraId="134D7A07"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1E4F298D"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7.000,00</w:t>
            </w:r>
          </w:p>
        </w:tc>
      </w:tr>
      <w:tr w:rsidR="004D0A63" w:rsidRPr="00BB01F4" w14:paraId="5B36B158"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5109819E" w14:textId="77777777" w:rsidR="004D0A63" w:rsidRPr="00BB01F4" w:rsidRDefault="004D0A63" w:rsidP="00DB54DB">
            <w:pPr>
              <w:rPr>
                <w:rFonts w:ascii="Arial" w:hAnsi="Arial" w:cs="Arial"/>
                <w:sz w:val="20"/>
                <w:szCs w:val="20"/>
              </w:rPr>
            </w:pPr>
            <w:r w:rsidRPr="00BB01F4">
              <w:rPr>
                <w:rFonts w:ascii="Arial" w:hAnsi="Arial" w:cs="Arial"/>
                <w:sz w:val="20"/>
                <w:szCs w:val="20"/>
              </w:rPr>
              <w:t>Aktivnost A100002 Financiranje Područne vatrogasne zajednice Labin</w:t>
            </w:r>
          </w:p>
        </w:tc>
        <w:tc>
          <w:tcPr>
            <w:tcW w:w="1560" w:type="dxa"/>
            <w:tcBorders>
              <w:top w:val="nil"/>
              <w:left w:val="nil"/>
              <w:bottom w:val="single" w:sz="4" w:space="0" w:color="auto"/>
              <w:right w:val="single" w:sz="4" w:space="0" w:color="auto"/>
            </w:tcBorders>
            <w:shd w:val="clear" w:color="000000" w:fill="FFFFFF"/>
            <w:noWrap/>
            <w:vAlign w:val="bottom"/>
            <w:hideMark/>
          </w:tcPr>
          <w:p w14:paraId="74BE5B9E"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64.000,00</w:t>
            </w:r>
          </w:p>
        </w:tc>
        <w:tc>
          <w:tcPr>
            <w:tcW w:w="1350" w:type="dxa"/>
            <w:tcBorders>
              <w:top w:val="nil"/>
              <w:left w:val="nil"/>
              <w:bottom w:val="single" w:sz="4" w:space="0" w:color="auto"/>
              <w:right w:val="single" w:sz="4" w:space="0" w:color="auto"/>
            </w:tcBorders>
            <w:shd w:val="clear" w:color="000000" w:fill="FFFFFF"/>
            <w:noWrap/>
            <w:vAlign w:val="bottom"/>
            <w:hideMark/>
          </w:tcPr>
          <w:p w14:paraId="45CDB8B4"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0033B86C"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64.000,00</w:t>
            </w:r>
          </w:p>
        </w:tc>
      </w:tr>
      <w:tr w:rsidR="004D0A63" w:rsidRPr="00BB01F4" w14:paraId="3D25F320"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5C3E59F4" w14:textId="77777777" w:rsidR="004D0A63" w:rsidRPr="00BB01F4" w:rsidRDefault="004D0A63" w:rsidP="00DB54DB">
            <w:pPr>
              <w:rPr>
                <w:rFonts w:ascii="Arial" w:hAnsi="Arial" w:cs="Arial"/>
                <w:sz w:val="20"/>
                <w:szCs w:val="20"/>
              </w:rPr>
            </w:pPr>
            <w:r w:rsidRPr="00BB01F4">
              <w:rPr>
                <w:rFonts w:ascii="Arial" w:hAnsi="Arial" w:cs="Arial"/>
                <w:sz w:val="20"/>
                <w:szCs w:val="20"/>
              </w:rPr>
              <w:t>Aktivnost A100003 Financiranje dobrovoljnog vatrogastva</w:t>
            </w:r>
          </w:p>
        </w:tc>
        <w:tc>
          <w:tcPr>
            <w:tcW w:w="1560" w:type="dxa"/>
            <w:tcBorders>
              <w:top w:val="nil"/>
              <w:left w:val="nil"/>
              <w:bottom w:val="single" w:sz="4" w:space="0" w:color="auto"/>
              <w:right w:val="single" w:sz="4" w:space="0" w:color="auto"/>
            </w:tcBorders>
            <w:shd w:val="clear" w:color="000000" w:fill="FFFFFF"/>
            <w:noWrap/>
            <w:vAlign w:val="bottom"/>
            <w:hideMark/>
          </w:tcPr>
          <w:p w14:paraId="5F0DDDD3"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3.982,00</w:t>
            </w:r>
          </w:p>
        </w:tc>
        <w:tc>
          <w:tcPr>
            <w:tcW w:w="1350" w:type="dxa"/>
            <w:tcBorders>
              <w:top w:val="nil"/>
              <w:left w:val="nil"/>
              <w:bottom w:val="single" w:sz="4" w:space="0" w:color="auto"/>
              <w:right w:val="single" w:sz="4" w:space="0" w:color="auto"/>
            </w:tcBorders>
            <w:shd w:val="clear" w:color="000000" w:fill="FFFFFF"/>
            <w:noWrap/>
            <w:vAlign w:val="bottom"/>
            <w:hideMark/>
          </w:tcPr>
          <w:p w14:paraId="3203CEFB"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5728392A"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3.982,00</w:t>
            </w:r>
          </w:p>
        </w:tc>
      </w:tr>
      <w:tr w:rsidR="004D0A63" w:rsidRPr="00BB01F4" w14:paraId="3F40EECB"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73ECD78E" w14:textId="77777777" w:rsidR="004D0A63" w:rsidRPr="00BB01F4" w:rsidRDefault="004D0A63" w:rsidP="00DB54DB">
            <w:pPr>
              <w:rPr>
                <w:rFonts w:ascii="Arial" w:hAnsi="Arial" w:cs="Arial"/>
                <w:b/>
                <w:bCs/>
                <w:sz w:val="20"/>
                <w:szCs w:val="20"/>
              </w:rPr>
            </w:pPr>
            <w:r w:rsidRPr="00BB01F4">
              <w:rPr>
                <w:rFonts w:ascii="Arial" w:hAnsi="Arial" w:cs="Arial"/>
                <w:b/>
                <w:bCs/>
                <w:sz w:val="20"/>
                <w:szCs w:val="20"/>
              </w:rPr>
              <w:t>Glava 10002 VIJEĆA NACIONALNIH MANJINA</w:t>
            </w:r>
          </w:p>
        </w:tc>
        <w:tc>
          <w:tcPr>
            <w:tcW w:w="1560" w:type="dxa"/>
            <w:tcBorders>
              <w:top w:val="nil"/>
              <w:left w:val="nil"/>
              <w:bottom w:val="single" w:sz="4" w:space="0" w:color="auto"/>
              <w:right w:val="single" w:sz="4" w:space="0" w:color="auto"/>
            </w:tcBorders>
            <w:shd w:val="clear" w:color="000000" w:fill="FFFFFF"/>
            <w:noWrap/>
            <w:vAlign w:val="bottom"/>
            <w:hideMark/>
          </w:tcPr>
          <w:p w14:paraId="601666FC"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34.100,00</w:t>
            </w:r>
          </w:p>
        </w:tc>
        <w:tc>
          <w:tcPr>
            <w:tcW w:w="1350" w:type="dxa"/>
            <w:tcBorders>
              <w:top w:val="nil"/>
              <w:left w:val="nil"/>
              <w:bottom w:val="single" w:sz="4" w:space="0" w:color="auto"/>
              <w:right w:val="single" w:sz="4" w:space="0" w:color="auto"/>
            </w:tcBorders>
            <w:shd w:val="clear" w:color="000000" w:fill="FFFFFF"/>
            <w:noWrap/>
            <w:vAlign w:val="bottom"/>
            <w:hideMark/>
          </w:tcPr>
          <w:p w14:paraId="5679A9E3"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1477493A"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34.100,00</w:t>
            </w:r>
          </w:p>
        </w:tc>
      </w:tr>
      <w:tr w:rsidR="004D0A63" w:rsidRPr="00BB01F4" w14:paraId="2D154711"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3915A87B" w14:textId="77777777" w:rsidR="004D0A63" w:rsidRPr="00BB01F4" w:rsidRDefault="004D0A63" w:rsidP="00DB54DB">
            <w:pPr>
              <w:rPr>
                <w:rFonts w:ascii="Arial" w:hAnsi="Arial" w:cs="Arial"/>
                <w:b/>
                <w:bCs/>
                <w:sz w:val="20"/>
                <w:szCs w:val="20"/>
              </w:rPr>
            </w:pPr>
            <w:r w:rsidRPr="00BB01F4">
              <w:rPr>
                <w:rFonts w:ascii="Arial" w:hAnsi="Arial" w:cs="Arial"/>
                <w:b/>
                <w:bCs/>
                <w:sz w:val="20"/>
                <w:szCs w:val="20"/>
              </w:rPr>
              <w:lastRenderedPageBreak/>
              <w:t>Proračunski korisnik 45470 VIJEĆE BOŠNJAČKE NACIONALNE MANJINE U GRADU LABINU</w:t>
            </w:r>
          </w:p>
        </w:tc>
        <w:tc>
          <w:tcPr>
            <w:tcW w:w="1560" w:type="dxa"/>
            <w:tcBorders>
              <w:top w:val="nil"/>
              <w:left w:val="nil"/>
              <w:bottom w:val="single" w:sz="4" w:space="0" w:color="auto"/>
              <w:right w:val="single" w:sz="4" w:space="0" w:color="auto"/>
            </w:tcBorders>
            <w:shd w:val="clear" w:color="000000" w:fill="FFFFFF"/>
            <w:noWrap/>
            <w:vAlign w:val="bottom"/>
            <w:hideMark/>
          </w:tcPr>
          <w:p w14:paraId="0EED3C25"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14.100,00</w:t>
            </w:r>
          </w:p>
        </w:tc>
        <w:tc>
          <w:tcPr>
            <w:tcW w:w="1350" w:type="dxa"/>
            <w:tcBorders>
              <w:top w:val="nil"/>
              <w:left w:val="nil"/>
              <w:bottom w:val="single" w:sz="4" w:space="0" w:color="auto"/>
              <w:right w:val="single" w:sz="4" w:space="0" w:color="auto"/>
            </w:tcBorders>
            <w:shd w:val="clear" w:color="000000" w:fill="FFFFFF"/>
            <w:noWrap/>
            <w:vAlign w:val="bottom"/>
            <w:hideMark/>
          </w:tcPr>
          <w:p w14:paraId="3E291987"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49C531D3"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14.100,00</w:t>
            </w:r>
          </w:p>
        </w:tc>
      </w:tr>
      <w:tr w:rsidR="004D0A63" w:rsidRPr="00BB01F4" w14:paraId="631D4FB0"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245421BB" w14:textId="77777777" w:rsidR="004D0A63" w:rsidRPr="00BB01F4" w:rsidRDefault="004D0A63" w:rsidP="00DB54DB">
            <w:pPr>
              <w:rPr>
                <w:rFonts w:ascii="Arial" w:hAnsi="Arial" w:cs="Arial"/>
                <w:b/>
                <w:bCs/>
                <w:sz w:val="20"/>
                <w:szCs w:val="20"/>
              </w:rPr>
            </w:pPr>
            <w:r w:rsidRPr="00BB01F4">
              <w:rPr>
                <w:rFonts w:ascii="Arial" w:hAnsi="Arial" w:cs="Arial"/>
                <w:b/>
                <w:bCs/>
                <w:sz w:val="20"/>
                <w:szCs w:val="20"/>
              </w:rPr>
              <w:t>Program 1004 Zaštita prava nacionalnih manjina</w:t>
            </w:r>
          </w:p>
        </w:tc>
        <w:tc>
          <w:tcPr>
            <w:tcW w:w="1560" w:type="dxa"/>
            <w:tcBorders>
              <w:top w:val="nil"/>
              <w:left w:val="nil"/>
              <w:bottom w:val="single" w:sz="4" w:space="0" w:color="auto"/>
              <w:right w:val="single" w:sz="4" w:space="0" w:color="auto"/>
            </w:tcBorders>
            <w:shd w:val="clear" w:color="000000" w:fill="FFFFFF"/>
            <w:noWrap/>
            <w:vAlign w:val="bottom"/>
            <w:hideMark/>
          </w:tcPr>
          <w:p w14:paraId="4A9ED282"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14.100,00</w:t>
            </w:r>
          </w:p>
        </w:tc>
        <w:tc>
          <w:tcPr>
            <w:tcW w:w="1350" w:type="dxa"/>
            <w:tcBorders>
              <w:top w:val="nil"/>
              <w:left w:val="nil"/>
              <w:bottom w:val="single" w:sz="4" w:space="0" w:color="auto"/>
              <w:right w:val="single" w:sz="4" w:space="0" w:color="auto"/>
            </w:tcBorders>
            <w:shd w:val="clear" w:color="000000" w:fill="FFFFFF"/>
            <w:noWrap/>
            <w:vAlign w:val="bottom"/>
            <w:hideMark/>
          </w:tcPr>
          <w:p w14:paraId="49FE9B52"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47996750"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14.100,00</w:t>
            </w:r>
          </w:p>
        </w:tc>
      </w:tr>
      <w:tr w:rsidR="004D0A63" w:rsidRPr="00BB01F4" w14:paraId="05A01C8A"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7686F4CA" w14:textId="77777777" w:rsidR="004D0A63" w:rsidRPr="00BB01F4" w:rsidRDefault="004D0A63" w:rsidP="00DB54DB">
            <w:pPr>
              <w:rPr>
                <w:rFonts w:ascii="Arial" w:hAnsi="Arial" w:cs="Arial"/>
                <w:sz w:val="20"/>
                <w:szCs w:val="20"/>
              </w:rPr>
            </w:pPr>
            <w:r w:rsidRPr="00BB01F4">
              <w:rPr>
                <w:rFonts w:ascii="Arial" w:hAnsi="Arial" w:cs="Arial"/>
                <w:sz w:val="20"/>
                <w:szCs w:val="20"/>
              </w:rPr>
              <w:t>Aktivnost A100001 Poslovi redovne djelatnosti nacionalnih manjina</w:t>
            </w:r>
          </w:p>
        </w:tc>
        <w:tc>
          <w:tcPr>
            <w:tcW w:w="1560" w:type="dxa"/>
            <w:tcBorders>
              <w:top w:val="nil"/>
              <w:left w:val="nil"/>
              <w:bottom w:val="single" w:sz="4" w:space="0" w:color="auto"/>
              <w:right w:val="single" w:sz="4" w:space="0" w:color="auto"/>
            </w:tcBorders>
            <w:shd w:val="clear" w:color="000000" w:fill="FFFFFF"/>
            <w:noWrap/>
            <w:vAlign w:val="bottom"/>
            <w:hideMark/>
          </w:tcPr>
          <w:p w14:paraId="3269F221"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14.100,00</w:t>
            </w:r>
          </w:p>
        </w:tc>
        <w:tc>
          <w:tcPr>
            <w:tcW w:w="1350" w:type="dxa"/>
            <w:tcBorders>
              <w:top w:val="nil"/>
              <w:left w:val="nil"/>
              <w:bottom w:val="single" w:sz="4" w:space="0" w:color="auto"/>
              <w:right w:val="single" w:sz="4" w:space="0" w:color="auto"/>
            </w:tcBorders>
            <w:shd w:val="clear" w:color="000000" w:fill="FFFFFF"/>
            <w:noWrap/>
            <w:vAlign w:val="bottom"/>
            <w:hideMark/>
          </w:tcPr>
          <w:p w14:paraId="257AA27F"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6CB8B90D"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14.100,00</w:t>
            </w:r>
          </w:p>
        </w:tc>
      </w:tr>
      <w:tr w:rsidR="004D0A63" w:rsidRPr="00BB01F4" w14:paraId="09F4F4E1"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6A739480" w14:textId="77777777" w:rsidR="004D0A63" w:rsidRPr="00BB01F4" w:rsidRDefault="004D0A63" w:rsidP="00DB54DB">
            <w:pPr>
              <w:rPr>
                <w:rFonts w:ascii="Arial" w:hAnsi="Arial" w:cs="Arial"/>
                <w:b/>
                <w:bCs/>
                <w:sz w:val="20"/>
                <w:szCs w:val="20"/>
              </w:rPr>
            </w:pPr>
            <w:r w:rsidRPr="00BB01F4">
              <w:rPr>
                <w:rFonts w:ascii="Arial" w:hAnsi="Arial" w:cs="Arial"/>
                <w:b/>
                <w:bCs/>
                <w:sz w:val="20"/>
                <w:szCs w:val="20"/>
              </w:rPr>
              <w:t>Proračunski korisnik 46307 VIJEĆE TALIJANSKE NACIONALNE MANJINE U GRADU LABINU</w:t>
            </w:r>
          </w:p>
        </w:tc>
        <w:tc>
          <w:tcPr>
            <w:tcW w:w="1560" w:type="dxa"/>
            <w:tcBorders>
              <w:top w:val="nil"/>
              <w:left w:val="nil"/>
              <w:bottom w:val="single" w:sz="4" w:space="0" w:color="auto"/>
              <w:right w:val="single" w:sz="4" w:space="0" w:color="auto"/>
            </w:tcBorders>
            <w:shd w:val="clear" w:color="000000" w:fill="FFFFFF"/>
            <w:noWrap/>
            <w:vAlign w:val="bottom"/>
            <w:hideMark/>
          </w:tcPr>
          <w:p w14:paraId="6F14DF71"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10.000,00</w:t>
            </w:r>
          </w:p>
        </w:tc>
        <w:tc>
          <w:tcPr>
            <w:tcW w:w="1350" w:type="dxa"/>
            <w:tcBorders>
              <w:top w:val="nil"/>
              <w:left w:val="nil"/>
              <w:bottom w:val="single" w:sz="4" w:space="0" w:color="auto"/>
              <w:right w:val="single" w:sz="4" w:space="0" w:color="auto"/>
            </w:tcBorders>
            <w:shd w:val="clear" w:color="000000" w:fill="FFFFFF"/>
            <w:noWrap/>
            <w:vAlign w:val="bottom"/>
            <w:hideMark/>
          </w:tcPr>
          <w:p w14:paraId="0ECCF64D"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6811B260"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10.000,00</w:t>
            </w:r>
          </w:p>
        </w:tc>
      </w:tr>
      <w:tr w:rsidR="004D0A63" w:rsidRPr="00BB01F4" w14:paraId="296555BE"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156313B6" w14:textId="77777777" w:rsidR="004D0A63" w:rsidRPr="00BB01F4" w:rsidRDefault="004D0A63" w:rsidP="00DB54DB">
            <w:pPr>
              <w:rPr>
                <w:rFonts w:ascii="Arial" w:hAnsi="Arial" w:cs="Arial"/>
                <w:b/>
                <w:bCs/>
                <w:sz w:val="20"/>
                <w:szCs w:val="20"/>
              </w:rPr>
            </w:pPr>
            <w:r w:rsidRPr="00BB01F4">
              <w:rPr>
                <w:rFonts w:ascii="Arial" w:hAnsi="Arial" w:cs="Arial"/>
                <w:b/>
                <w:bCs/>
                <w:sz w:val="20"/>
                <w:szCs w:val="20"/>
              </w:rPr>
              <w:t>Program 1004 Zaštita prava nacionalnih manjina</w:t>
            </w:r>
          </w:p>
        </w:tc>
        <w:tc>
          <w:tcPr>
            <w:tcW w:w="1560" w:type="dxa"/>
            <w:tcBorders>
              <w:top w:val="nil"/>
              <w:left w:val="nil"/>
              <w:bottom w:val="single" w:sz="4" w:space="0" w:color="auto"/>
              <w:right w:val="single" w:sz="4" w:space="0" w:color="auto"/>
            </w:tcBorders>
            <w:shd w:val="clear" w:color="000000" w:fill="FFFFFF"/>
            <w:noWrap/>
            <w:vAlign w:val="bottom"/>
            <w:hideMark/>
          </w:tcPr>
          <w:p w14:paraId="14F7FAE5"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10.000,00</w:t>
            </w:r>
          </w:p>
        </w:tc>
        <w:tc>
          <w:tcPr>
            <w:tcW w:w="1350" w:type="dxa"/>
            <w:tcBorders>
              <w:top w:val="nil"/>
              <w:left w:val="nil"/>
              <w:bottom w:val="single" w:sz="4" w:space="0" w:color="auto"/>
              <w:right w:val="single" w:sz="4" w:space="0" w:color="auto"/>
            </w:tcBorders>
            <w:shd w:val="clear" w:color="000000" w:fill="FFFFFF"/>
            <w:noWrap/>
            <w:vAlign w:val="bottom"/>
            <w:hideMark/>
          </w:tcPr>
          <w:p w14:paraId="0860EB80"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09374BD8"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10.000,00</w:t>
            </w:r>
          </w:p>
        </w:tc>
      </w:tr>
      <w:tr w:rsidR="004D0A63" w:rsidRPr="00BB01F4" w14:paraId="27A6570F"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2F971D4F" w14:textId="77777777" w:rsidR="004D0A63" w:rsidRPr="00BB01F4" w:rsidRDefault="004D0A63" w:rsidP="00DB54DB">
            <w:pPr>
              <w:rPr>
                <w:rFonts w:ascii="Arial" w:hAnsi="Arial" w:cs="Arial"/>
                <w:sz w:val="20"/>
                <w:szCs w:val="20"/>
              </w:rPr>
            </w:pPr>
            <w:r w:rsidRPr="00BB01F4">
              <w:rPr>
                <w:rFonts w:ascii="Arial" w:hAnsi="Arial" w:cs="Arial"/>
                <w:sz w:val="20"/>
                <w:szCs w:val="20"/>
              </w:rPr>
              <w:t>Aktivnost A100001 Poslovi redovne djelatnosti nacionalnih manjina</w:t>
            </w:r>
          </w:p>
        </w:tc>
        <w:tc>
          <w:tcPr>
            <w:tcW w:w="1560" w:type="dxa"/>
            <w:tcBorders>
              <w:top w:val="nil"/>
              <w:left w:val="nil"/>
              <w:bottom w:val="single" w:sz="4" w:space="0" w:color="auto"/>
              <w:right w:val="single" w:sz="4" w:space="0" w:color="auto"/>
            </w:tcBorders>
            <w:shd w:val="clear" w:color="000000" w:fill="FFFFFF"/>
            <w:noWrap/>
            <w:vAlign w:val="bottom"/>
            <w:hideMark/>
          </w:tcPr>
          <w:p w14:paraId="534C3DE2"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10.000,00</w:t>
            </w:r>
          </w:p>
        </w:tc>
        <w:tc>
          <w:tcPr>
            <w:tcW w:w="1350" w:type="dxa"/>
            <w:tcBorders>
              <w:top w:val="nil"/>
              <w:left w:val="nil"/>
              <w:bottom w:val="single" w:sz="4" w:space="0" w:color="auto"/>
              <w:right w:val="single" w:sz="4" w:space="0" w:color="auto"/>
            </w:tcBorders>
            <w:shd w:val="clear" w:color="000000" w:fill="FFFFFF"/>
            <w:noWrap/>
            <w:vAlign w:val="bottom"/>
            <w:hideMark/>
          </w:tcPr>
          <w:p w14:paraId="2EEEED4E"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1F1299E3"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10.000,00</w:t>
            </w:r>
          </w:p>
        </w:tc>
      </w:tr>
      <w:tr w:rsidR="004D0A63" w:rsidRPr="00BB01F4" w14:paraId="5D8D8B90"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336699C4" w14:textId="77777777" w:rsidR="004D0A63" w:rsidRPr="00BB01F4" w:rsidRDefault="004D0A63" w:rsidP="00DB54DB">
            <w:pPr>
              <w:rPr>
                <w:rFonts w:ascii="Arial" w:hAnsi="Arial" w:cs="Arial"/>
                <w:b/>
                <w:bCs/>
                <w:sz w:val="20"/>
                <w:szCs w:val="20"/>
              </w:rPr>
            </w:pPr>
            <w:r w:rsidRPr="00BB01F4">
              <w:rPr>
                <w:rFonts w:ascii="Arial" w:hAnsi="Arial" w:cs="Arial"/>
                <w:b/>
                <w:bCs/>
                <w:sz w:val="20"/>
                <w:szCs w:val="20"/>
              </w:rPr>
              <w:t>Proračunski korisnik 47756 VIJEĆE SRPSKE NACIONALNE MANJINE U GRADU LABINU</w:t>
            </w:r>
          </w:p>
        </w:tc>
        <w:tc>
          <w:tcPr>
            <w:tcW w:w="1560" w:type="dxa"/>
            <w:tcBorders>
              <w:top w:val="nil"/>
              <w:left w:val="nil"/>
              <w:bottom w:val="single" w:sz="4" w:space="0" w:color="auto"/>
              <w:right w:val="single" w:sz="4" w:space="0" w:color="auto"/>
            </w:tcBorders>
            <w:shd w:val="clear" w:color="000000" w:fill="FFFFFF"/>
            <w:noWrap/>
            <w:vAlign w:val="bottom"/>
            <w:hideMark/>
          </w:tcPr>
          <w:p w14:paraId="0225BA57"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10.000,00</w:t>
            </w:r>
          </w:p>
        </w:tc>
        <w:tc>
          <w:tcPr>
            <w:tcW w:w="1350" w:type="dxa"/>
            <w:tcBorders>
              <w:top w:val="nil"/>
              <w:left w:val="nil"/>
              <w:bottom w:val="single" w:sz="4" w:space="0" w:color="auto"/>
              <w:right w:val="single" w:sz="4" w:space="0" w:color="auto"/>
            </w:tcBorders>
            <w:shd w:val="clear" w:color="000000" w:fill="FFFFFF"/>
            <w:noWrap/>
            <w:vAlign w:val="bottom"/>
            <w:hideMark/>
          </w:tcPr>
          <w:p w14:paraId="7C6A4FAD"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157FA945"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10.000,00</w:t>
            </w:r>
          </w:p>
        </w:tc>
      </w:tr>
      <w:tr w:rsidR="004D0A63" w:rsidRPr="00BB01F4" w14:paraId="38160BC6"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1A3008CD" w14:textId="77777777" w:rsidR="004D0A63" w:rsidRPr="00BB01F4" w:rsidRDefault="004D0A63" w:rsidP="00DB54DB">
            <w:pPr>
              <w:rPr>
                <w:rFonts w:ascii="Arial" w:hAnsi="Arial" w:cs="Arial"/>
                <w:b/>
                <w:bCs/>
                <w:sz w:val="20"/>
                <w:szCs w:val="20"/>
              </w:rPr>
            </w:pPr>
            <w:r w:rsidRPr="00BB01F4">
              <w:rPr>
                <w:rFonts w:ascii="Arial" w:hAnsi="Arial" w:cs="Arial"/>
                <w:b/>
                <w:bCs/>
                <w:sz w:val="20"/>
                <w:szCs w:val="20"/>
              </w:rPr>
              <w:t>Program 1004 Zaštita prava nacionalnih manjina</w:t>
            </w:r>
          </w:p>
        </w:tc>
        <w:tc>
          <w:tcPr>
            <w:tcW w:w="1560" w:type="dxa"/>
            <w:tcBorders>
              <w:top w:val="nil"/>
              <w:left w:val="nil"/>
              <w:bottom w:val="single" w:sz="4" w:space="0" w:color="auto"/>
              <w:right w:val="single" w:sz="4" w:space="0" w:color="auto"/>
            </w:tcBorders>
            <w:shd w:val="clear" w:color="000000" w:fill="FFFFFF"/>
            <w:noWrap/>
            <w:vAlign w:val="bottom"/>
            <w:hideMark/>
          </w:tcPr>
          <w:p w14:paraId="3FCE731E"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10.000,00</w:t>
            </w:r>
          </w:p>
        </w:tc>
        <w:tc>
          <w:tcPr>
            <w:tcW w:w="1350" w:type="dxa"/>
            <w:tcBorders>
              <w:top w:val="nil"/>
              <w:left w:val="nil"/>
              <w:bottom w:val="single" w:sz="4" w:space="0" w:color="auto"/>
              <w:right w:val="single" w:sz="4" w:space="0" w:color="auto"/>
            </w:tcBorders>
            <w:shd w:val="clear" w:color="000000" w:fill="FFFFFF"/>
            <w:noWrap/>
            <w:vAlign w:val="bottom"/>
            <w:hideMark/>
          </w:tcPr>
          <w:p w14:paraId="6E232D26"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5687F02E"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10.000,00</w:t>
            </w:r>
          </w:p>
        </w:tc>
      </w:tr>
      <w:tr w:rsidR="004D0A63" w:rsidRPr="00BB01F4" w14:paraId="2179470E"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40CE7675" w14:textId="77777777" w:rsidR="004D0A63" w:rsidRPr="00BB01F4" w:rsidRDefault="004D0A63" w:rsidP="00DB54DB">
            <w:pPr>
              <w:rPr>
                <w:rFonts w:ascii="Arial" w:hAnsi="Arial" w:cs="Arial"/>
                <w:sz w:val="20"/>
                <w:szCs w:val="20"/>
              </w:rPr>
            </w:pPr>
            <w:r w:rsidRPr="00BB01F4">
              <w:rPr>
                <w:rFonts w:ascii="Arial" w:hAnsi="Arial" w:cs="Arial"/>
                <w:sz w:val="20"/>
                <w:szCs w:val="20"/>
              </w:rPr>
              <w:t>Aktivnost A100001 Poslovi redovne djelatnosti nacionalnih manjina</w:t>
            </w:r>
          </w:p>
        </w:tc>
        <w:tc>
          <w:tcPr>
            <w:tcW w:w="1560" w:type="dxa"/>
            <w:tcBorders>
              <w:top w:val="nil"/>
              <w:left w:val="nil"/>
              <w:bottom w:val="single" w:sz="4" w:space="0" w:color="auto"/>
              <w:right w:val="single" w:sz="4" w:space="0" w:color="auto"/>
            </w:tcBorders>
            <w:shd w:val="clear" w:color="000000" w:fill="FFFFFF"/>
            <w:noWrap/>
            <w:vAlign w:val="bottom"/>
            <w:hideMark/>
          </w:tcPr>
          <w:p w14:paraId="4BA343F0"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10.000,00</w:t>
            </w:r>
          </w:p>
        </w:tc>
        <w:tc>
          <w:tcPr>
            <w:tcW w:w="1350" w:type="dxa"/>
            <w:tcBorders>
              <w:top w:val="nil"/>
              <w:left w:val="nil"/>
              <w:bottom w:val="single" w:sz="4" w:space="0" w:color="auto"/>
              <w:right w:val="single" w:sz="4" w:space="0" w:color="auto"/>
            </w:tcBorders>
            <w:shd w:val="clear" w:color="000000" w:fill="FFFFFF"/>
            <w:noWrap/>
            <w:vAlign w:val="bottom"/>
            <w:hideMark/>
          </w:tcPr>
          <w:p w14:paraId="51723B6F"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265EE4B9"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10.000,00</w:t>
            </w:r>
          </w:p>
        </w:tc>
      </w:tr>
      <w:tr w:rsidR="004D0A63" w:rsidRPr="00BB01F4" w14:paraId="560671EF"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44A7A041" w14:textId="77777777" w:rsidR="004D0A63" w:rsidRPr="00BB01F4" w:rsidRDefault="004D0A63" w:rsidP="00DB54DB">
            <w:pPr>
              <w:rPr>
                <w:rFonts w:ascii="Arial" w:hAnsi="Arial" w:cs="Arial"/>
                <w:b/>
                <w:bCs/>
                <w:sz w:val="20"/>
                <w:szCs w:val="20"/>
              </w:rPr>
            </w:pPr>
            <w:r w:rsidRPr="00BB01F4">
              <w:rPr>
                <w:rFonts w:ascii="Arial" w:hAnsi="Arial" w:cs="Arial"/>
                <w:b/>
                <w:bCs/>
                <w:sz w:val="20"/>
                <w:szCs w:val="20"/>
              </w:rPr>
              <w:t>Glava 10003 VATROGASNE POSTROJBE</w:t>
            </w:r>
          </w:p>
        </w:tc>
        <w:tc>
          <w:tcPr>
            <w:tcW w:w="1560" w:type="dxa"/>
            <w:tcBorders>
              <w:top w:val="nil"/>
              <w:left w:val="nil"/>
              <w:bottom w:val="single" w:sz="4" w:space="0" w:color="auto"/>
              <w:right w:val="single" w:sz="4" w:space="0" w:color="auto"/>
            </w:tcBorders>
            <w:shd w:val="clear" w:color="000000" w:fill="FFFFFF"/>
            <w:noWrap/>
            <w:vAlign w:val="bottom"/>
            <w:hideMark/>
          </w:tcPr>
          <w:p w14:paraId="6DBBB1FB"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1.597.472,00</w:t>
            </w:r>
          </w:p>
        </w:tc>
        <w:tc>
          <w:tcPr>
            <w:tcW w:w="1350" w:type="dxa"/>
            <w:tcBorders>
              <w:top w:val="nil"/>
              <w:left w:val="nil"/>
              <w:bottom w:val="single" w:sz="4" w:space="0" w:color="auto"/>
              <w:right w:val="single" w:sz="4" w:space="0" w:color="auto"/>
            </w:tcBorders>
            <w:shd w:val="clear" w:color="000000" w:fill="FFFFFF"/>
            <w:noWrap/>
            <w:vAlign w:val="bottom"/>
            <w:hideMark/>
          </w:tcPr>
          <w:p w14:paraId="54A7D841"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43.251,00</w:t>
            </w:r>
          </w:p>
        </w:tc>
        <w:tc>
          <w:tcPr>
            <w:tcW w:w="1418" w:type="dxa"/>
            <w:tcBorders>
              <w:top w:val="nil"/>
              <w:left w:val="nil"/>
              <w:bottom w:val="single" w:sz="4" w:space="0" w:color="auto"/>
              <w:right w:val="single" w:sz="4" w:space="0" w:color="auto"/>
            </w:tcBorders>
            <w:shd w:val="clear" w:color="000000" w:fill="FFFFFF"/>
            <w:noWrap/>
            <w:vAlign w:val="bottom"/>
            <w:hideMark/>
          </w:tcPr>
          <w:p w14:paraId="46200902"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1.640.723,00</w:t>
            </w:r>
          </w:p>
        </w:tc>
      </w:tr>
      <w:tr w:rsidR="004D0A63" w:rsidRPr="00BB01F4" w14:paraId="2FCE3D4B"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504DC05B" w14:textId="77777777" w:rsidR="004D0A63" w:rsidRPr="00BB01F4" w:rsidRDefault="004D0A63" w:rsidP="00DB54DB">
            <w:pPr>
              <w:rPr>
                <w:rFonts w:ascii="Arial" w:hAnsi="Arial" w:cs="Arial"/>
                <w:b/>
                <w:bCs/>
                <w:sz w:val="20"/>
                <w:szCs w:val="20"/>
              </w:rPr>
            </w:pPr>
            <w:r w:rsidRPr="00BB01F4">
              <w:rPr>
                <w:rFonts w:ascii="Arial" w:hAnsi="Arial" w:cs="Arial"/>
                <w:b/>
                <w:bCs/>
                <w:sz w:val="20"/>
                <w:szCs w:val="20"/>
              </w:rPr>
              <w:t>Proračunski korisnik 35837 JAVNA VATROGASNA POSTROJBA LABIN</w:t>
            </w:r>
          </w:p>
        </w:tc>
        <w:tc>
          <w:tcPr>
            <w:tcW w:w="1560" w:type="dxa"/>
            <w:tcBorders>
              <w:top w:val="nil"/>
              <w:left w:val="nil"/>
              <w:bottom w:val="single" w:sz="4" w:space="0" w:color="auto"/>
              <w:right w:val="single" w:sz="4" w:space="0" w:color="auto"/>
            </w:tcBorders>
            <w:shd w:val="clear" w:color="000000" w:fill="FFFFFF"/>
            <w:noWrap/>
            <w:vAlign w:val="bottom"/>
            <w:hideMark/>
          </w:tcPr>
          <w:p w14:paraId="51D9376D"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1.597.472,00</w:t>
            </w:r>
          </w:p>
        </w:tc>
        <w:tc>
          <w:tcPr>
            <w:tcW w:w="1350" w:type="dxa"/>
            <w:tcBorders>
              <w:top w:val="nil"/>
              <w:left w:val="nil"/>
              <w:bottom w:val="single" w:sz="4" w:space="0" w:color="auto"/>
              <w:right w:val="single" w:sz="4" w:space="0" w:color="auto"/>
            </w:tcBorders>
            <w:shd w:val="clear" w:color="000000" w:fill="FFFFFF"/>
            <w:noWrap/>
            <w:vAlign w:val="bottom"/>
            <w:hideMark/>
          </w:tcPr>
          <w:p w14:paraId="15303EAC"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43.251,00</w:t>
            </w:r>
          </w:p>
        </w:tc>
        <w:tc>
          <w:tcPr>
            <w:tcW w:w="1418" w:type="dxa"/>
            <w:tcBorders>
              <w:top w:val="nil"/>
              <w:left w:val="nil"/>
              <w:bottom w:val="single" w:sz="4" w:space="0" w:color="auto"/>
              <w:right w:val="single" w:sz="4" w:space="0" w:color="auto"/>
            </w:tcBorders>
            <w:shd w:val="clear" w:color="000000" w:fill="FFFFFF"/>
            <w:noWrap/>
            <w:vAlign w:val="bottom"/>
            <w:hideMark/>
          </w:tcPr>
          <w:p w14:paraId="76E0F970"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1.640.723,00</w:t>
            </w:r>
          </w:p>
        </w:tc>
      </w:tr>
      <w:tr w:rsidR="004D0A63" w:rsidRPr="00BB01F4" w14:paraId="4D257133"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1612269D" w14:textId="77777777" w:rsidR="004D0A63" w:rsidRPr="00BB01F4" w:rsidRDefault="004D0A63" w:rsidP="00DB54DB">
            <w:pPr>
              <w:rPr>
                <w:rFonts w:ascii="Arial" w:hAnsi="Arial" w:cs="Arial"/>
                <w:b/>
                <w:bCs/>
                <w:sz w:val="20"/>
                <w:szCs w:val="20"/>
              </w:rPr>
            </w:pPr>
            <w:r w:rsidRPr="00BB01F4">
              <w:rPr>
                <w:rFonts w:ascii="Arial" w:hAnsi="Arial" w:cs="Arial"/>
                <w:b/>
                <w:bCs/>
                <w:sz w:val="20"/>
                <w:szCs w:val="20"/>
              </w:rPr>
              <w:t>Program 1003 Organiziranje i provođenje zaštite i spašavanja</w:t>
            </w:r>
          </w:p>
        </w:tc>
        <w:tc>
          <w:tcPr>
            <w:tcW w:w="1560" w:type="dxa"/>
            <w:tcBorders>
              <w:top w:val="nil"/>
              <w:left w:val="nil"/>
              <w:bottom w:val="single" w:sz="4" w:space="0" w:color="auto"/>
              <w:right w:val="single" w:sz="4" w:space="0" w:color="auto"/>
            </w:tcBorders>
            <w:shd w:val="clear" w:color="000000" w:fill="FFFFFF"/>
            <w:noWrap/>
            <w:vAlign w:val="bottom"/>
            <w:hideMark/>
          </w:tcPr>
          <w:p w14:paraId="516009A2"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1.597.472,00</w:t>
            </w:r>
          </w:p>
        </w:tc>
        <w:tc>
          <w:tcPr>
            <w:tcW w:w="1350" w:type="dxa"/>
            <w:tcBorders>
              <w:top w:val="nil"/>
              <w:left w:val="nil"/>
              <w:bottom w:val="single" w:sz="4" w:space="0" w:color="auto"/>
              <w:right w:val="single" w:sz="4" w:space="0" w:color="auto"/>
            </w:tcBorders>
            <w:shd w:val="clear" w:color="000000" w:fill="FFFFFF"/>
            <w:noWrap/>
            <w:vAlign w:val="bottom"/>
            <w:hideMark/>
          </w:tcPr>
          <w:p w14:paraId="6C5E7952"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43.251,00</w:t>
            </w:r>
          </w:p>
        </w:tc>
        <w:tc>
          <w:tcPr>
            <w:tcW w:w="1418" w:type="dxa"/>
            <w:tcBorders>
              <w:top w:val="nil"/>
              <w:left w:val="nil"/>
              <w:bottom w:val="single" w:sz="4" w:space="0" w:color="auto"/>
              <w:right w:val="single" w:sz="4" w:space="0" w:color="auto"/>
            </w:tcBorders>
            <w:shd w:val="clear" w:color="000000" w:fill="FFFFFF"/>
            <w:noWrap/>
            <w:vAlign w:val="bottom"/>
            <w:hideMark/>
          </w:tcPr>
          <w:p w14:paraId="7F612716" w14:textId="77777777" w:rsidR="004D0A63" w:rsidRPr="00BB01F4" w:rsidRDefault="004D0A63" w:rsidP="00DB54DB">
            <w:pPr>
              <w:jc w:val="right"/>
              <w:rPr>
                <w:rFonts w:ascii="Arial" w:hAnsi="Arial" w:cs="Arial"/>
                <w:b/>
                <w:bCs/>
                <w:sz w:val="20"/>
                <w:szCs w:val="20"/>
              </w:rPr>
            </w:pPr>
            <w:r w:rsidRPr="00BB01F4">
              <w:rPr>
                <w:rFonts w:ascii="Arial" w:hAnsi="Arial" w:cs="Arial"/>
                <w:b/>
                <w:bCs/>
                <w:sz w:val="20"/>
                <w:szCs w:val="20"/>
              </w:rPr>
              <w:t>1.640.723,00</w:t>
            </w:r>
          </w:p>
        </w:tc>
      </w:tr>
      <w:tr w:rsidR="004D0A63" w:rsidRPr="00BB01F4" w14:paraId="693BF525"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30749542" w14:textId="77777777" w:rsidR="004D0A63" w:rsidRPr="00BB01F4" w:rsidRDefault="004D0A63" w:rsidP="00DB54DB">
            <w:pPr>
              <w:rPr>
                <w:rFonts w:ascii="Arial" w:hAnsi="Arial" w:cs="Arial"/>
                <w:sz w:val="20"/>
                <w:szCs w:val="20"/>
              </w:rPr>
            </w:pPr>
            <w:r w:rsidRPr="00BB01F4">
              <w:rPr>
                <w:rFonts w:ascii="Arial" w:hAnsi="Arial" w:cs="Arial"/>
                <w:sz w:val="20"/>
                <w:szCs w:val="20"/>
              </w:rPr>
              <w:t>Aktivnost A100004 Financiranje Javne vatrogasne postrojbe Labin</w:t>
            </w:r>
          </w:p>
        </w:tc>
        <w:tc>
          <w:tcPr>
            <w:tcW w:w="1560" w:type="dxa"/>
            <w:tcBorders>
              <w:top w:val="nil"/>
              <w:left w:val="nil"/>
              <w:bottom w:val="single" w:sz="4" w:space="0" w:color="auto"/>
              <w:right w:val="single" w:sz="4" w:space="0" w:color="auto"/>
            </w:tcBorders>
            <w:shd w:val="clear" w:color="000000" w:fill="FFFFFF"/>
            <w:noWrap/>
            <w:vAlign w:val="bottom"/>
            <w:hideMark/>
          </w:tcPr>
          <w:p w14:paraId="038ED5C1"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1.579.382,00</w:t>
            </w:r>
          </w:p>
        </w:tc>
        <w:tc>
          <w:tcPr>
            <w:tcW w:w="1350" w:type="dxa"/>
            <w:tcBorders>
              <w:top w:val="nil"/>
              <w:left w:val="nil"/>
              <w:bottom w:val="single" w:sz="4" w:space="0" w:color="auto"/>
              <w:right w:val="single" w:sz="4" w:space="0" w:color="auto"/>
            </w:tcBorders>
            <w:shd w:val="clear" w:color="000000" w:fill="FFFFFF"/>
            <w:noWrap/>
            <w:vAlign w:val="bottom"/>
            <w:hideMark/>
          </w:tcPr>
          <w:p w14:paraId="19AAF940"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43.251,00</w:t>
            </w:r>
          </w:p>
        </w:tc>
        <w:tc>
          <w:tcPr>
            <w:tcW w:w="1418" w:type="dxa"/>
            <w:tcBorders>
              <w:top w:val="nil"/>
              <w:left w:val="nil"/>
              <w:bottom w:val="single" w:sz="4" w:space="0" w:color="auto"/>
              <w:right w:val="single" w:sz="4" w:space="0" w:color="auto"/>
            </w:tcBorders>
            <w:shd w:val="clear" w:color="000000" w:fill="FFFFFF"/>
            <w:noWrap/>
            <w:vAlign w:val="bottom"/>
            <w:hideMark/>
          </w:tcPr>
          <w:p w14:paraId="4F28BF33"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1.622.633,00</w:t>
            </w:r>
          </w:p>
        </w:tc>
      </w:tr>
      <w:tr w:rsidR="004D0A63" w:rsidRPr="00BB01F4" w14:paraId="78A5A053"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3C3882AE" w14:textId="77777777" w:rsidR="004D0A63" w:rsidRPr="00BB01F4" w:rsidRDefault="004D0A63" w:rsidP="00DB54DB">
            <w:pPr>
              <w:rPr>
                <w:rFonts w:ascii="Arial" w:hAnsi="Arial" w:cs="Arial"/>
                <w:sz w:val="20"/>
                <w:szCs w:val="20"/>
              </w:rPr>
            </w:pPr>
            <w:r w:rsidRPr="00BB01F4">
              <w:rPr>
                <w:rFonts w:ascii="Arial" w:hAnsi="Arial" w:cs="Arial"/>
                <w:sz w:val="20"/>
                <w:szCs w:val="20"/>
              </w:rPr>
              <w:t>Aktivnost A100005 Provedba posebnih mjera zaštite izvan područja redovnog djelovanja-VZIŽ</w:t>
            </w:r>
          </w:p>
        </w:tc>
        <w:tc>
          <w:tcPr>
            <w:tcW w:w="1560" w:type="dxa"/>
            <w:tcBorders>
              <w:top w:val="nil"/>
              <w:left w:val="nil"/>
              <w:bottom w:val="single" w:sz="4" w:space="0" w:color="auto"/>
              <w:right w:val="single" w:sz="4" w:space="0" w:color="auto"/>
            </w:tcBorders>
            <w:shd w:val="clear" w:color="000000" w:fill="FFFFFF"/>
            <w:noWrap/>
            <w:vAlign w:val="bottom"/>
            <w:hideMark/>
          </w:tcPr>
          <w:p w14:paraId="5EFA18D0"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3.300,00</w:t>
            </w:r>
          </w:p>
        </w:tc>
        <w:tc>
          <w:tcPr>
            <w:tcW w:w="1350" w:type="dxa"/>
            <w:tcBorders>
              <w:top w:val="nil"/>
              <w:left w:val="nil"/>
              <w:bottom w:val="single" w:sz="4" w:space="0" w:color="auto"/>
              <w:right w:val="single" w:sz="4" w:space="0" w:color="auto"/>
            </w:tcBorders>
            <w:shd w:val="clear" w:color="000000" w:fill="FFFFFF"/>
            <w:noWrap/>
            <w:vAlign w:val="bottom"/>
            <w:hideMark/>
          </w:tcPr>
          <w:p w14:paraId="3B96C7F8"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228237DB"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3.300,00</w:t>
            </w:r>
          </w:p>
        </w:tc>
      </w:tr>
      <w:tr w:rsidR="004D0A63" w:rsidRPr="00BB01F4" w14:paraId="4F2F0E4A" w14:textId="77777777" w:rsidTr="00D357A6">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14:paraId="05049335" w14:textId="77777777" w:rsidR="004D0A63" w:rsidRPr="00BB01F4" w:rsidRDefault="004D0A63" w:rsidP="00DB54DB">
            <w:pPr>
              <w:rPr>
                <w:rFonts w:ascii="Arial" w:hAnsi="Arial" w:cs="Arial"/>
                <w:sz w:val="20"/>
                <w:szCs w:val="20"/>
              </w:rPr>
            </w:pPr>
            <w:r w:rsidRPr="00BB01F4">
              <w:rPr>
                <w:rFonts w:ascii="Arial" w:hAnsi="Arial" w:cs="Arial"/>
                <w:sz w:val="20"/>
                <w:szCs w:val="20"/>
              </w:rPr>
              <w:t>Aktivnost A100006 Provedba posebnih mjera zaštite-sezonski vatrogasci</w:t>
            </w:r>
          </w:p>
        </w:tc>
        <w:tc>
          <w:tcPr>
            <w:tcW w:w="1560" w:type="dxa"/>
            <w:tcBorders>
              <w:top w:val="nil"/>
              <w:left w:val="nil"/>
              <w:bottom w:val="single" w:sz="4" w:space="0" w:color="auto"/>
              <w:right w:val="single" w:sz="4" w:space="0" w:color="auto"/>
            </w:tcBorders>
            <w:shd w:val="clear" w:color="000000" w:fill="FFFFFF"/>
            <w:noWrap/>
            <w:vAlign w:val="bottom"/>
            <w:hideMark/>
          </w:tcPr>
          <w:p w14:paraId="1B8FFFE5"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14.790,00</w:t>
            </w:r>
          </w:p>
        </w:tc>
        <w:tc>
          <w:tcPr>
            <w:tcW w:w="1350" w:type="dxa"/>
            <w:tcBorders>
              <w:top w:val="nil"/>
              <w:left w:val="nil"/>
              <w:bottom w:val="single" w:sz="4" w:space="0" w:color="auto"/>
              <w:right w:val="single" w:sz="4" w:space="0" w:color="auto"/>
            </w:tcBorders>
            <w:shd w:val="clear" w:color="000000" w:fill="FFFFFF"/>
            <w:noWrap/>
            <w:vAlign w:val="bottom"/>
            <w:hideMark/>
          </w:tcPr>
          <w:p w14:paraId="7E58AB09"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2AA676FA" w14:textId="77777777" w:rsidR="004D0A63" w:rsidRPr="00BB01F4" w:rsidRDefault="004D0A63" w:rsidP="00DB54DB">
            <w:pPr>
              <w:jc w:val="right"/>
              <w:rPr>
                <w:rFonts w:ascii="Arial" w:hAnsi="Arial" w:cs="Arial"/>
                <w:sz w:val="20"/>
                <w:szCs w:val="20"/>
              </w:rPr>
            </w:pPr>
            <w:r w:rsidRPr="00BB01F4">
              <w:rPr>
                <w:rFonts w:ascii="Arial" w:hAnsi="Arial" w:cs="Arial"/>
                <w:sz w:val="20"/>
                <w:szCs w:val="20"/>
              </w:rPr>
              <w:t>14.790,00</w:t>
            </w:r>
          </w:p>
        </w:tc>
      </w:tr>
    </w:tbl>
    <w:p w14:paraId="5B4412EF" w14:textId="77777777" w:rsidR="004D0A63" w:rsidRPr="00BB01F4" w:rsidRDefault="004D0A63" w:rsidP="004D0A63">
      <w:pPr>
        <w:ind w:firstLine="708"/>
        <w:jc w:val="both"/>
        <w:rPr>
          <w:rFonts w:ascii="Arial" w:hAnsi="Arial" w:cs="Arial"/>
          <w:sz w:val="22"/>
        </w:rPr>
      </w:pPr>
    </w:p>
    <w:p w14:paraId="5D9743CC" w14:textId="77777777" w:rsidR="004D0A63" w:rsidRPr="00BB01F4" w:rsidRDefault="004D0A63" w:rsidP="004D0A63">
      <w:pPr>
        <w:jc w:val="both"/>
        <w:rPr>
          <w:rFonts w:ascii="Arial" w:hAnsi="Arial" w:cs="Arial"/>
          <w:sz w:val="22"/>
        </w:rPr>
      </w:pPr>
    </w:p>
    <w:p w14:paraId="0F10D54F" w14:textId="77777777" w:rsidR="004D0A63" w:rsidRPr="00BB01F4" w:rsidRDefault="004D0A63" w:rsidP="00D357A6">
      <w:pPr>
        <w:spacing w:line="259" w:lineRule="auto"/>
        <w:ind w:firstLine="709"/>
        <w:jc w:val="both"/>
        <w:rPr>
          <w:rFonts w:ascii="Arial" w:hAnsi="Arial" w:cs="Arial"/>
          <w:sz w:val="22"/>
        </w:rPr>
      </w:pPr>
      <w:r w:rsidRPr="00BB01F4">
        <w:rPr>
          <w:rFonts w:ascii="Arial" w:hAnsi="Arial" w:cs="Arial"/>
          <w:sz w:val="22"/>
        </w:rPr>
        <w:t xml:space="preserve">Program 1001 Javna uprava i administracija povećao se za 62.546,00 EUR od planiranog iznosa.  </w:t>
      </w:r>
    </w:p>
    <w:p w14:paraId="13D3F644" w14:textId="77777777" w:rsidR="004D0A63" w:rsidRDefault="004D0A63" w:rsidP="00D357A6">
      <w:pPr>
        <w:spacing w:line="259" w:lineRule="auto"/>
        <w:ind w:firstLine="709"/>
        <w:jc w:val="both"/>
        <w:rPr>
          <w:rFonts w:ascii="Arial" w:hAnsi="Arial" w:cs="Arial"/>
          <w:sz w:val="22"/>
        </w:rPr>
      </w:pPr>
      <w:r w:rsidRPr="00C43176">
        <w:rPr>
          <w:rFonts w:ascii="Arial" w:hAnsi="Arial" w:cs="Arial"/>
          <w:sz w:val="22"/>
        </w:rPr>
        <w:t xml:space="preserve">Aktivnost Redovna djelatnost upravnih odjela </w:t>
      </w:r>
      <w:r>
        <w:rPr>
          <w:rFonts w:ascii="Arial" w:hAnsi="Arial" w:cs="Arial"/>
          <w:sz w:val="22"/>
        </w:rPr>
        <w:t xml:space="preserve">smanjena je za 18.000,00 EUR i to na poziciji Intelektualne i osobne usluge s obzirom da ne postoji potreba za daljnjim angažiranjem osobe koja je obavljala poslove na ugovor o djelu. Računalne usluge su također smanjene jer je nadogradnja operativnog sustava i baze podataka za potrebe rada LC SPI programa kao i nadogradnja </w:t>
      </w:r>
      <w:proofErr w:type="spellStart"/>
      <w:r>
        <w:rPr>
          <w:rFonts w:ascii="Arial" w:hAnsi="Arial" w:cs="Arial"/>
          <w:sz w:val="22"/>
        </w:rPr>
        <w:t>mailing</w:t>
      </w:r>
      <w:proofErr w:type="spellEnd"/>
      <w:r>
        <w:rPr>
          <w:rFonts w:ascii="Arial" w:hAnsi="Arial" w:cs="Arial"/>
          <w:sz w:val="22"/>
        </w:rPr>
        <w:t xml:space="preserve"> sustava na m365 sustav knjižena na kapitalnim projektima. Do povećanja je došlo u Redovnoj djelatnosti ureda gradonačelnika za 21.700,00 EUR vezano za planirano angažiranje tvrtke koja će provesti reviziju poslovanja u gradskoj upravi te troškovima koji su već realizirani i novim troškovima za koje se predviđa da će nastati do kraja tekuće godine. Aktivnost Manifestacije pod pokroviteljstvom Grada Labina povećana je za 16.000,00 EUR  iz razloga produženja sufinanciranja biciklističke utrke Cro race na naredno trogodišnje razdoblje i potreba podmirenja obveza vezano za obilježavanje svečane sjednice povodom Dana grada. Aktivnost Financiranje političkih stranaka smanjena je za 2.748,00 EUR iz razloga raspuštanja Gradskog vijeća u kojem razdoblju nije bilo redovitog financiranja političkih stranaka i nezavisnih vijećnika kao i Aktivnost financiranje predstavničkih i izvršnih tijela za 900,00 EUR iz istog razloga. Nagrade grada Labina smanjene su za 5.600,00 EUR jer se iste neće dodijeliti u 2025. godini. Aktivnost Izbori je povećana za 39.594,00 EUR iz razloga povećanih troškova nastalih u provođenju lokalnih izbora od čega se povećanje u iznosu od 27.614,00 EUR odnosi na pomoć iz županijskog proračuna za podmirenje naknada biračkim odborima i izbornom povjerenstvu te putne troškove. Kapitalni projekt nabava dugotrajne imovine povećan je za 10.700,00 EUR iz prije spomenutog razloga </w:t>
      </w:r>
      <w:proofErr w:type="spellStart"/>
      <w:r>
        <w:rPr>
          <w:rFonts w:ascii="Arial" w:hAnsi="Arial" w:cs="Arial"/>
          <w:sz w:val="22"/>
        </w:rPr>
        <w:t>preknjiženja</w:t>
      </w:r>
      <w:proofErr w:type="spellEnd"/>
      <w:r>
        <w:rPr>
          <w:rFonts w:ascii="Arial" w:hAnsi="Arial" w:cs="Arial"/>
          <w:sz w:val="22"/>
        </w:rPr>
        <w:t xml:space="preserve"> sredstava iz računalnih usluga.</w:t>
      </w:r>
    </w:p>
    <w:p w14:paraId="7F61B070" w14:textId="77777777" w:rsidR="00950446" w:rsidRDefault="00950446" w:rsidP="008B1841"/>
    <w:p w14:paraId="51E9F6A6" w14:textId="77777777" w:rsidR="00D357A6" w:rsidRDefault="00D357A6" w:rsidP="008B1841"/>
    <w:p w14:paraId="6CB1F02F" w14:textId="77777777" w:rsidR="00670BA2" w:rsidRDefault="00670BA2" w:rsidP="008B1841"/>
    <w:p w14:paraId="0282F87F" w14:textId="77777777" w:rsidR="00D357A6" w:rsidRDefault="00D357A6" w:rsidP="008B1841"/>
    <w:p w14:paraId="1451D23C" w14:textId="77777777" w:rsidR="007D63F4" w:rsidRPr="00D357A6" w:rsidRDefault="007D63F4" w:rsidP="00D357A6">
      <w:pPr>
        <w:shd w:val="clear" w:color="auto" w:fill="FFFFFF" w:themeFill="background1"/>
        <w:spacing w:line="259" w:lineRule="auto"/>
        <w:jc w:val="center"/>
        <w:rPr>
          <w:rFonts w:ascii="Arial" w:eastAsia="Calibri" w:hAnsi="Arial" w:cs="Arial"/>
          <w:b/>
          <w:sz w:val="22"/>
          <w:szCs w:val="22"/>
        </w:rPr>
      </w:pPr>
      <w:r w:rsidRPr="00D357A6">
        <w:rPr>
          <w:rFonts w:ascii="Arial" w:eastAsia="Calibri" w:hAnsi="Arial" w:cs="Arial"/>
          <w:b/>
          <w:sz w:val="22"/>
          <w:szCs w:val="22"/>
        </w:rPr>
        <w:lastRenderedPageBreak/>
        <w:t>PRORAČUNSKI KORISNIK 35837: JAVNA VATROGASNA POSTROJBA LABIN</w:t>
      </w:r>
    </w:p>
    <w:p w14:paraId="1E1DB644" w14:textId="77777777" w:rsidR="00B24DC4" w:rsidRPr="00D357A6" w:rsidRDefault="00B24DC4" w:rsidP="00D357A6">
      <w:pPr>
        <w:spacing w:line="259" w:lineRule="auto"/>
        <w:jc w:val="both"/>
        <w:rPr>
          <w:rFonts w:ascii="Arial" w:eastAsia="Calibri" w:hAnsi="Arial" w:cs="Arial"/>
          <w:sz w:val="22"/>
          <w:szCs w:val="22"/>
        </w:rPr>
      </w:pPr>
    </w:p>
    <w:p w14:paraId="4315931D" w14:textId="77777777" w:rsidR="00DE48F8" w:rsidRPr="00D357A6" w:rsidRDefault="00DE48F8" w:rsidP="00D357A6">
      <w:pPr>
        <w:spacing w:line="259" w:lineRule="auto"/>
        <w:rPr>
          <w:color w:val="000000" w:themeColor="text1"/>
          <w:sz w:val="22"/>
          <w:szCs w:val="22"/>
        </w:rPr>
      </w:pPr>
    </w:p>
    <w:p w14:paraId="5B23EECB" w14:textId="77777777" w:rsidR="00D357A6" w:rsidRPr="00D357A6" w:rsidRDefault="00D357A6" w:rsidP="00D357A6">
      <w:pPr>
        <w:spacing w:line="259" w:lineRule="auto"/>
        <w:jc w:val="center"/>
        <w:rPr>
          <w:rFonts w:ascii="Arial" w:hAnsi="Arial" w:cs="Arial"/>
          <w:b/>
          <w:sz w:val="22"/>
          <w:szCs w:val="22"/>
        </w:rPr>
      </w:pPr>
      <w:r w:rsidRPr="00D357A6">
        <w:rPr>
          <w:rFonts w:ascii="Arial" w:hAnsi="Arial" w:cs="Arial"/>
          <w:b/>
          <w:sz w:val="22"/>
          <w:szCs w:val="22"/>
        </w:rPr>
        <w:t>OBRAZLOŽENJE OPĆEG  DIJELA I. IZMJENA I DOPUNA  FINANCIJSKOG PLANA ZA 2025. GODINU</w:t>
      </w:r>
    </w:p>
    <w:p w14:paraId="0C8CB8E4" w14:textId="77777777" w:rsidR="00D357A6" w:rsidRPr="00D357A6" w:rsidRDefault="00D357A6" w:rsidP="00D357A6">
      <w:pPr>
        <w:spacing w:line="259" w:lineRule="auto"/>
        <w:jc w:val="both"/>
        <w:rPr>
          <w:rFonts w:ascii="Arial" w:eastAsia="Calibri" w:hAnsi="Arial" w:cs="Arial"/>
          <w:sz w:val="22"/>
          <w:szCs w:val="22"/>
        </w:rPr>
      </w:pPr>
    </w:p>
    <w:p w14:paraId="0D9DBFD3" w14:textId="77777777" w:rsidR="00D357A6" w:rsidRPr="00D357A6" w:rsidRDefault="00D357A6" w:rsidP="00D357A6">
      <w:pPr>
        <w:spacing w:line="259" w:lineRule="auto"/>
        <w:jc w:val="both"/>
        <w:rPr>
          <w:rFonts w:ascii="Arial" w:hAnsi="Arial" w:cs="Arial"/>
          <w:b/>
          <w:sz w:val="22"/>
          <w:szCs w:val="22"/>
        </w:rPr>
      </w:pPr>
      <w:r w:rsidRPr="00D357A6">
        <w:rPr>
          <w:rFonts w:ascii="Arial" w:hAnsi="Arial" w:cs="Arial"/>
          <w:b/>
          <w:sz w:val="22"/>
          <w:szCs w:val="22"/>
        </w:rPr>
        <w:t>1. OPĆENITO O PLANU JAVNE VATROGASNE POSTROJBE LABIN</w:t>
      </w:r>
    </w:p>
    <w:p w14:paraId="77D4AF95" w14:textId="77777777" w:rsidR="00D357A6" w:rsidRPr="00D357A6" w:rsidRDefault="00D357A6" w:rsidP="00D357A6">
      <w:pPr>
        <w:spacing w:line="259" w:lineRule="auto"/>
        <w:jc w:val="both"/>
        <w:rPr>
          <w:rFonts w:ascii="Arial" w:eastAsia="Calibri" w:hAnsi="Arial" w:cs="Arial"/>
          <w:sz w:val="22"/>
          <w:szCs w:val="22"/>
        </w:rPr>
      </w:pPr>
    </w:p>
    <w:p w14:paraId="3560CE3B" w14:textId="77777777" w:rsidR="00D357A6" w:rsidRPr="00D357A6" w:rsidRDefault="00D357A6" w:rsidP="00D357A6">
      <w:pPr>
        <w:spacing w:line="259" w:lineRule="auto"/>
        <w:jc w:val="both"/>
        <w:rPr>
          <w:rFonts w:ascii="Arial" w:hAnsi="Arial" w:cs="Arial"/>
          <w:sz w:val="22"/>
          <w:szCs w:val="22"/>
        </w:rPr>
      </w:pPr>
      <w:r w:rsidRPr="00D357A6">
        <w:rPr>
          <w:rFonts w:ascii="Arial" w:hAnsi="Arial" w:cs="Arial"/>
          <w:sz w:val="22"/>
          <w:szCs w:val="22"/>
        </w:rPr>
        <w:t>Prihodi i primici Javne vatrogasne postrojbe Labin za 2025. godinu planirani su  I. Izmjenama i dopunama Financijskog plana u iznosu od 1.640.723,00 eura, a sastoje se od:</w:t>
      </w:r>
    </w:p>
    <w:p w14:paraId="5DD484E0" w14:textId="77777777" w:rsidR="00D357A6" w:rsidRPr="00D357A6" w:rsidRDefault="00D357A6" w:rsidP="00D357A6">
      <w:pPr>
        <w:spacing w:line="259" w:lineRule="auto"/>
        <w:jc w:val="both"/>
        <w:rPr>
          <w:rFonts w:ascii="Arial" w:eastAsia="Calibri" w:hAnsi="Arial" w:cs="Arial"/>
          <w:sz w:val="22"/>
          <w:szCs w:val="22"/>
        </w:rPr>
      </w:pPr>
    </w:p>
    <w:p w14:paraId="3CFA5E3E" w14:textId="77777777" w:rsidR="00D357A6" w:rsidRPr="00D357A6" w:rsidRDefault="00D357A6" w:rsidP="00D357A6">
      <w:pPr>
        <w:spacing w:line="259" w:lineRule="auto"/>
        <w:jc w:val="both"/>
        <w:rPr>
          <w:rFonts w:ascii="Arial" w:eastAsia="Calibri" w:hAnsi="Arial" w:cs="Arial"/>
          <w:sz w:val="22"/>
          <w:szCs w:val="22"/>
        </w:rPr>
      </w:pPr>
      <w:r w:rsidRPr="00D357A6">
        <w:rPr>
          <w:rFonts w:ascii="Arial" w:eastAsia="Calibri" w:hAnsi="Arial" w:cs="Arial"/>
          <w:sz w:val="22"/>
          <w:szCs w:val="22"/>
        </w:rPr>
        <w:t xml:space="preserve">-  prihoda poslovanja  </w:t>
      </w:r>
      <w:r w:rsidRPr="00D357A6">
        <w:rPr>
          <w:rFonts w:ascii="Arial" w:eastAsia="Calibri" w:hAnsi="Arial" w:cs="Arial"/>
          <w:sz w:val="22"/>
          <w:szCs w:val="22"/>
        </w:rPr>
        <w:tab/>
        <w:t xml:space="preserve">                                         1.632.431,00 EUR</w:t>
      </w:r>
    </w:p>
    <w:p w14:paraId="122A897B" w14:textId="22249E51" w:rsidR="00D357A6" w:rsidRPr="00D357A6" w:rsidRDefault="00D357A6" w:rsidP="00D357A6">
      <w:pPr>
        <w:spacing w:line="259" w:lineRule="auto"/>
        <w:jc w:val="both"/>
        <w:rPr>
          <w:rFonts w:ascii="Arial" w:eastAsia="Calibri" w:hAnsi="Arial" w:cs="Arial"/>
          <w:sz w:val="22"/>
          <w:szCs w:val="22"/>
        </w:rPr>
      </w:pPr>
      <w:r w:rsidRPr="00D357A6">
        <w:rPr>
          <w:rFonts w:ascii="Arial" w:eastAsia="Calibri" w:hAnsi="Arial" w:cs="Arial"/>
          <w:sz w:val="22"/>
          <w:szCs w:val="22"/>
        </w:rPr>
        <w:t xml:space="preserve">-  prihoda od prodaje  nefinancijske imovine                 </w:t>
      </w:r>
      <w:r>
        <w:rPr>
          <w:rFonts w:ascii="Arial" w:eastAsia="Calibri" w:hAnsi="Arial" w:cs="Arial"/>
          <w:sz w:val="22"/>
          <w:szCs w:val="22"/>
        </w:rPr>
        <w:t xml:space="preserve"> </w:t>
      </w:r>
      <w:r w:rsidRPr="00D357A6">
        <w:rPr>
          <w:rFonts w:ascii="Arial" w:eastAsia="Calibri" w:hAnsi="Arial" w:cs="Arial"/>
          <w:sz w:val="22"/>
          <w:szCs w:val="22"/>
        </w:rPr>
        <w:t xml:space="preserve">       2.000,00 EUR </w:t>
      </w:r>
    </w:p>
    <w:p w14:paraId="04E8FD0B" w14:textId="76AF630B" w:rsidR="00D357A6" w:rsidRPr="00D357A6" w:rsidRDefault="00D357A6" w:rsidP="00D357A6">
      <w:pPr>
        <w:spacing w:line="259" w:lineRule="auto"/>
        <w:jc w:val="both"/>
        <w:rPr>
          <w:rFonts w:ascii="Arial" w:eastAsia="Calibri" w:hAnsi="Arial" w:cs="Arial"/>
          <w:sz w:val="22"/>
          <w:szCs w:val="22"/>
        </w:rPr>
      </w:pPr>
      <w:r w:rsidRPr="00D357A6">
        <w:rPr>
          <w:rFonts w:ascii="Arial" w:eastAsia="Calibri" w:hAnsi="Arial" w:cs="Arial"/>
          <w:sz w:val="22"/>
          <w:szCs w:val="22"/>
        </w:rPr>
        <w:t xml:space="preserve">- primici od financijske imovine i zaduživanja                </w:t>
      </w:r>
      <w:r>
        <w:rPr>
          <w:rFonts w:ascii="Arial" w:eastAsia="Calibri" w:hAnsi="Arial" w:cs="Arial"/>
          <w:sz w:val="22"/>
          <w:szCs w:val="22"/>
        </w:rPr>
        <w:t xml:space="preserve">    </w:t>
      </w:r>
      <w:r w:rsidRPr="00D357A6">
        <w:rPr>
          <w:rFonts w:ascii="Arial" w:eastAsia="Calibri" w:hAnsi="Arial" w:cs="Arial"/>
          <w:sz w:val="22"/>
          <w:szCs w:val="22"/>
        </w:rPr>
        <w:t xml:space="preserve">          0,00 EUR</w:t>
      </w:r>
    </w:p>
    <w:p w14:paraId="79403BCD" w14:textId="4B1EC66F" w:rsidR="00D357A6" w:rsidRPr="00D357A6" w:rsidRDefault="00D357A6" w:rsidP="00D357A6">
      <w:pPr>
        <w:spacing w:line="259" w:lineRule="auto"/>
        <w:jc w:val="both"/>
        <w:rPr>
          <w:rFonts w:ascii="Arial" w:eastAsia="Calibri" w:hAnsi="Arial" w:cs="Arial"/>
          <w:sz w:val="22"/>
          <w:szCs w:val="22"/>
        </w:rPr>
      </w:pPr>
      <w:r w:rsidRPr="00D357A6">
        <w:rPr>
          <w:rFonts w:ascii="Arial" w:eastAsia="Calibri" w:hAnsi="Arial" w:cs="Arial"/>
          <w:sz w:val="22"/>
          <w:szCs w:val="22"/>
        </w:rPr>
        <w:t xml:space="preserve">- višak prihoda </w:t>
      </w:r>
      <w:r w:rsidRPr="00D357A6">
        <w:rPr>
          <w:rFonts w:ascii="Arial" w:eastAsia="Calibri" w:hAnsi="Arial" w:cs="Arial"/>
          <w:sz w:val="22"/>
          <w:szCs w:val="22"/>
        </w:rPr>
        <w:tab/>
      </w:r>
      <w:r w:rsidRPr="00D357A6">
        <w:rPr>
          <w:rFonts w:ascii="Arial" w:eastAsia="Calibri" w:hAnsi="Arial" w:cs="Arial"/>
          <w:sz w:val="22"/>
          <w:szCs w:val="22"/>
        </w:rPr>
        <w:tab/>
      </w:r>
      <w:r w:rsidRPr="00D357A6">
        <w:rPr>
          <w:rFonts w:ascii="Arial" w:eastAsia="Calibri" w:hAnsi="Arial" w:cs="Arial"/>
          <w:sz w:val="22"/>
          <w:szCs w:val="22"/>
        </w:rPr>
        <w:tab/>
      </w:r>
      <w:r w:rsidRPr="00D357A6">
        <w:rPr>
          <w:rFonts w:ascii="Arial" w:eastAsia="Calibri" w:hAnsi="Arial" w:cs="Arial"/>
          <w:sz w:val="22"/>
          <w:szCs w:val="22"/>
        </w:rPr>
        <w:tab/>
      </w:r>
      <w:r w:rsidRPr="00D357A6">
        <w:rPr>
          <w:rFonts w:ascii="Arial" w:eastAsia="Calibri" w:hAnsi="Arial" w:cs="Arial"/>
          <w:sz w:val="22"/>
          <w:szCs w:val="22"/>
        </w:rPr>
        <w:tab/>
        <w:t xml:space="preserve">             6.292,00 EUR  </w:t>
      </w:r>
    </w:p>
    <w:p w14:paraId="30431924" w14:textId="77777777" w:rsidR="00D357A6" w:rsidRPr="00D357A6" w:rsidRDefault="00D357A6" w:rsidP="00D357A6">
      <w:pPr>
        <w:spacing w:line="259" w:lineRule="auto"/>
        <w:jc w:val="both"/>
        <w:rPr>
          <w:rFonts w:ascii="Arial" w:hAnsi="Arial" w:cs="Arial"/>
          <w:sz w:val="22"/>
          <w:szCs w:val="22"/>
        </w:rPr>
      </w:pPr>
    </w:p>
    <w:p w14:paraId="192842B0" w14:textId="77777777" w:rsidR="00D357A6" w:rsidRPr="00D357A6" w:rsidRDefault="00D357A6" w:rsidP="00D357A6">
      <w:pPr>
        <w:spacing w:line="259" w:lineRule="auto"/>
        <w:jc w:val="both"/>
        <w:rPr>
          <w:rFonts w:ascii="Arial" w:hAnsi="Arial" w:cs="Arial"/>
          <w:sz w:val="22"/>
          <w:szCs w:val="22"/>
        </w:rPr>
      </w:pPr>
      <w:r w:rsidRPr="00D357A6">
        <w:rPr>
          <w:rFonts w:ascii="Arial" w:hAnsi="Arial" w:cs="Arial"/>
          <w:sz w:val="22"/>
          <w:szCs w:val="22"/>
        </w:rPr>
        <w:t>Rashodi i izdaci Javne vatrogasne postrojbe Labin za 2025. godinu planirani su I. Izmjenama i dopunama financijskog plana u iznosu od 1.640.723,00 eura, a raspoređeni su na:</w:t>
      </w:r>
    </w:p>
    <w:p w14:paraId="38930DCA" w14:textId="77777777" w:rsidR="00D357A6" w:rsidRPr="00D357A6" w:rsidRDefault="00D357A6" w:rsidP="00D357A6">
      <w:pPr>
        <w:spacing w:line="259" w:lineRule="auto"/>
        <w:ind w:firstLine="708"/>
        <w:jc w:val="both"/>
        <w:rPr>
          <w:rFonts w:ascii="Arial" w:hAnsi="Arial" w:cs="Arial"/>
          <w:sz w:val="22"/>
          <w:szCs w:val="22"/>
        </w:rPr>
      </w:pPr>
    </w:p>
    <w:p w14:paraId="7C84CC88" w14:textId="079D920F" w:rsidR="00D357A6" w:rsidRPr="00D357A6" w:rsidRDefault="00D357A6" w:rsidP="00D357A6">
      <w:pPr>
        <w:spacing w:line="259" w:lineRule="auto"/>
        <w:jc w:val="both"/>
        <w:rPr>
          <w:rFonts w:ascii="Arial" w:hAnsi="Arial" w:cs="Arial"/>
          <w:sz w:val="22"/>
          <w:szCs w:val="22"/>
        </w:rPr>
      </w:pPr>
      <w:r w:rsidRPr="00D357A6">
        <w:rPr>
          <w:rFonts w:ascii="Arial" w:hAnsi="Arial" w:cs="Arial"/>
          <w:sz w:val="22"/>
          <w:szCs w:val="22"/>
        </w:rPr>
        <w:t xml:space="preserve">- rashode poslovanja                                     </w:t>
      </w:r>
      <w:r>
        <w:rPr>
          <w:rFonts w:ascii="Arial" w:hAnsi="Arial" w:cs="Arial"/>
          <w:sz w:val="22"/>
          <w:szCs w:val="22"/>
        </w:rPr>
        <w:t xml:space="preserve">   </w:t>
      </w:r>
      <w:r w:rsidRPr="00D357A6">
        <w:rPr>
          <w:rFonts w:ascii="Arial" w:hAnsi="Arial" w:cs="Arial"/>
          <w:sz w:val="22"/>
          <w:szCs w:val="22"/>
        </w:rPr>
        <w:t xml:space="preserve">              1.607.139,00 EUR</w:t>
      </w:r>
    </w:p>
    <w:p w14:paraId="0DA7688F" w14:textId="7000D52E" w:rsidR="00D357A6" w:rsidRPr="00D357A6" w:rsidRDefault="00D357A6" w:rsidP="00D357A6">
      <w:pPr>
        <w:spacing w:line="259" w:lineRule="auto"/>
        <w:jc w:val="both"/>
        <w:rPr>
          <w:rFonts w:ascii="Arial" w:hAnsi="Arial" w:cs="Arial"/>
          <w:sz w:val="22"/>
          <w:szCs w:val="22"/>
        </w:rPr>
      </w:pPr>
      <w:r w:rsidRPr="00D357A6">
        <w:rPr>
          <w:rFonts w:ascii="Arial" w:hAnsi="Arial" w:cs="Arial"/>
          <w:sz w:val="22"/>
          <w:szCs w:val="22"/>
        </w:rPr>
        <w:t xml:space="preserve">- rashode za nabavu nefinancijske imovine         </w:t>
      </w:r>
      <w:r>
        <w:rPr>
          <w:rFonts w:ascii="Arial" w:hAnsi="Arial" w:cs="Arial"/>
          <w:sz w:val="22"/>
          <w:szCs w:val="22"/>
        </w:rPr>
        <w:t xml:space="preserve">   </w:t>
      </w:r>
      <w:r w:rsidRPr="00D357A6">
        <w:rPr>
          <w:rFonts w:ascii="Arial" w:hAnsi="Arial" w:cs="Arial"/>
          <w:sz w:val="22"/>
          <w:szCs w:val="22"/>
        </w:rPr>
        <w:t xml:space="preserve">            30.501,00 EUR</w:t>
      </w:r>
    </w:p>
    <w:p w14:paraId="6A62DFD5" w14:textId="45799F2C" w:rsidR="00D357A6" w:rsidRPr="00D357A6" w:rsidRDefault="00D357A6" w:rsidP="00D357A6">
      <w:pPr>
        <w:spacing w:line="259" w:lineRule="auto"/>
        <w:jc w:val="both"/>
        <w:rPr>
          <w:rFonts w:ascii="Arial" w:hAnsi="Arial" w:cs="Arial"/>
          <w:sz w:val="22"/>
          <w:szCs w:val="22"/>
        </w:rPr>
      </w:pPr>
      <w:r w:rsidRPr="00D357A6">
        <w:rPr>
          <w:rFonts w:ascii="Arial" w:hAnsi="Arial" w:cs="Arial"/>
          <w:sz w:val="22"/>
          <w:szCs w:val="22"/>
        </w:rPr>
        <w:t xml:space="preserve">- izdatke za financijsku imovinu i zaduživanje        </w:t>
      </w:r>
      <w:r>
        <w:rPr>
          <w:rFonts w:ascii="Arial" w:hAnsi="Arial" w:cs="Arial"/>
          <w:sz w:val="22"/>
          <w:szCs w:val="22"/>
        </w:rPr>
        <w:t xml:space="preserve">   </w:t>
      </w:r>
      <w:r w:rsidRPr="00D357A6">
        <w:rPr>
          <w:rFonts w:ascii="Arial" w:hAnsi="Arial" w:cs="Arial"/>
          <w:sz w:val="22"/>
          <w:szCs w:val="22"/>
        </w:rPr>
        <w:t xml:space="preserve">                   0,00 EUR</w:t>
      </w:r>
    </w:p>
    <w:p w14:paraId="6E31DCD2" w14:textId="2BFB2278" w:rsidR="00D357A6" w:rsidRPr="00D357A6" w:rsidRDefault="00D357A6" w:rsidP="00D357A6">
      <w:pPr>
        <w:spacing w:line="259" w:lineRule="auto"/>
        <w:jc w:val="both"/>
        <w:rPr>
          <w:rFonts w:ascii="Arial" w:hAnsi="Arial" w:cs="Arial"/>
          <w:sz w:val="22"/>
          <w:szCs w:val="22"/>
        </w:rPr>
      </w:pPr>
      <w:r w:rsidRPr="00D357A6">
        <w:rPr>
          <w:rFonts w:ascii="Arial" w:hAnsi="Arial" w:cs="Arial"/>
          <w:sz w:val="22"/>
          <w:szCs w:val="22"/>
        </w:rPr>
        <w:t xml:space="preserve">- manjak prihoda </w:t>
      </w:r>
      <w:r w:rsidRPr="00D357A6">
        <w:rPr>
          <w:rFonts w:ascii="Arial" w:hAnsi="Arial" w:cs="Arial"/>
          <w:sz w:val="22"/>
          <w:szCs w:val="22"/>
        </w:rPr>
        <w:tab/>
      </w:r>
      <w:r w:rsidRPr="00D357A6">
        <w:rPr>
          <w:rFonts w:ascii="Arial" w:hAnsi="Arial" w:cs="Arial"/>
          <w:sz w:val="22"/>
          <w:szCs w:val="22"/>
        </w:rPr>
        <w:tab/>
      </w:r>
      <w:r w:rsidRPr="00D357A6">
        <w:rPr>
          <w:rFonts w:ascii="Arial" w:hAnsi="Arial" w:cs="Arial"/>
          <w:sz w:val="22"/>
          <w:szCs w:val="22"/>
        </w:rPr>
        <w:tab/>
      </w:r>
      <w:r w:rsidRPr="00D357A6">
        <w:rPr>
          <w:rFonts w:ascii="Arial" w:hAnsi="Arial" w:cs="Arial"/>
          <w:sz w:val="22"/>
          <w:szCs w:val="22"/>
        </w:rPr>
        <w:tab/>
      </w:r>
      <w:r w:rsidRPr="00D357A6">
        <w:rPr>
          <w:rFonts w:ascii="Arial" w:hAnsi="Arial" w:cs="Arial"/>
          <w:sz w:val="22"/>
          <w:szCs w:val="22"/>
        </w:rPr>
        <w:tab/>
        <w:t xml:space="preserve">             3.083,00 EUR</w:t>
      </w:r>
    </w:p>
    <w:p w14:paraId="09F15A74" w14:textId="77777777" w:rsidR="00D357A6" w:rsidRPr="00D357A6" w:rsidRDefault="00D357A6" w:rsidP="00D357A6">
      <w:pPr>
        <w:spacing w:line="259" w:lineRule="auto"/>
        <w:ind w:firstLine="708"/>
        <w:jc w:val="both"/>
        <w:rPr>
          <w:rFonts w:ascii="Arial" w:hAnsi="Arial" w:cs="Arial"/>
          <w:sz w:val="22"/>
          <w:szCs w:val="22"/>
        </w:rPr>
      </w:pPr>
    </w:p>
    <w:p w14:paraId="0B27D8DA" w14:textId="77777777" w:rsidR="00D357A6" w:rsidRPr="00D357A6" w:rsidRDefault="00D357A6" w:rsidP="00D357A6">
      <w:pPr>
        <w:spacing w:line="259" w:lineRule="auto"/>
        <w:ind w:firstLine="708"/>
        <w:jc w:val="both"/>
        <w:rPr>
          <w:rFonts w:ascii="Arial" w:hAnsi="Arial" w:cs="Arial"/>
          <w:sz w:val="22"/>
          <w:szCs w:val="22"/>
        </w:rPr>
      </w:pPr>
      <w:r w:rsidRPr="00D357A6">
        <w:rPr>
          <w:rFonts w:ascii="Arial" w:hAnsi="Arial" w:cs="Arial"/>
          <w:sz w:val="22"/>
          <w:szCs w:val="22"/>
        </w:rPr>
        <w:t xml:space="preserve">U nastavku se daje  tabelarni prikaz plana prihoda i primitaka te rashoda i izdataka po skupinama  I. Izmjena i dopuna Financijskog plana za 2025.godinu sa Financijskim planom za 2025.godinu, te indeksom.  </w:t>
      </w:r>
    </w:p>
    <w:p w14:paraId="12B6EC54" w14:textId="77777777" w:rsidR="00D357A6" w:rsidRDefault="00D357A6" w:rsidP="00D357A6">
      <w:pPr>
        <w:rPr>
          <w:rFonts w:ascii="Arial" w:hAnsi="Arial" w:cs="Arial"/>
        </w:rPr>
      </w:pPr>
    </w:p>
    <w:p w14:paraId="5CF28C6D" w14:textId="77777777" w:rsidR="00D0293F" w:rsidRDefault="00D357A6" w:rsidP="00D357A6">
      <w:pPr>
        <w:spacing w:line="259" w:lineRule="auto"/>
        <w:rPr>
          <w:rFonts w:ascii="Arial" w:hAnsi="Arial" w:cs="Arial"/>
          <w:b/>
          <w:bCs/>
          <w:sz w:val="22"/>
          <w:szCs w:val="22"/>
        </w:rPr>
      </w:pPr>
      <w:r w:rsidRPr="00D0293F">
        <w:rPr>
          <w:rFonts w:ascii="Arial" w:hAnsi="Arial" w:cs="Arial"/>
          <w:b/>
          <w:bCs/>
          <w:sz w:val="22"/>
          <w:szCs w:val="22"/>
        </w:rPr>
        <w:t xml:space="preserve">TABLICA 1. </w:t>
      </w:r>
      <w:r w:rsidRPr="00D0293F">
        <w:rPr>
          <w:rFonts w:ascii="Arial" w:hAnsi="Arial" w:cs="Arial"/>
          <w:b/>
          <w:bCs/>
          <w:sz w:val="22"/>
          <w:szCs w:val="22"/>
        </w:rPr>
        <w:tab/>
      </w:r>
    </w:p>
    <w:p w14:paraId="0E9510C9" w14:textId="1B846EA8" w:rsidR="00D357A6" w:rsidRPr="00D357A6" w:rsidRDefault="00D0293F" w:rsidP="00D0293F">
      <w:pPr>
        <w:spacing w:line="259" w:lineRule="auto"/>
        <w:ind w:left="708"/>
        <w:rPr>
          <w:rFonts w:ascii="Arial" w:hAnsi="Arial" w:cs="Arial"/>
          <w:sz w:val="22"/>
          <w:szCs w:val="22"/>
        </w:rPr>
      </w:pPr>
      <w:r>
        <w:rPr>
          <w:rFonts w:ascii="Arial" w:hAnsi="Arial" w:cs="Arial"/>
          <w:b/>
          <w:bCs/>
          <w:sz w:val="22"/>
          <w:szCs w:val="22"/>
        </w:rPr>
        <w:t xml:space="preserve">                </w:t>
      </w:r>
      <w:r w:rsidR="00D357A6" w:rsidRPr="00D357A6">
        <w:rPr>
          <w:rFonts w:ascii="Arial" w:hAnsi="Arial" w:cs="Arial"/>
          <w:sz w:val="22"/>
          <w:szCs w:val="22"/>
        </w:rPr>
        <w:tab/>
      </w:r>
      <w:r w:rsidR="00D357A6" w:rsidRPr="00D357A6">
        <w:rPr>
          <w:rFonts w:ascii="Arial" w:hAnsi="Arial" w:cs="Arial"/>
          <w:sz w:val="22"/>
          <w:szCs w:val="22"/>
        </w:rPr>
        <w:tab/>
      </w:r>
      <w:r w:rsidR="00D357A6" w:rsidRPr="00D357A6">
        <w:rPr>
          <w:rFonts w:ascii="Arial" w:hAnsi="Arial" w:cs="Arial"/>
          <w:sz w:val="22"/>
          <w:szCs w:val="22"/>
        </w:rPr>
        <w:tab/>
      </w:r>
      <w:r w:rsidR="00D357A6" w:rsidRPr="00D357A6">
        <w:rPr>
          <w:rFonts w:ascii="Arial" w:hAnsi="Arial" w:cs="Arial"/>
          <w:sz w:val="22"/>
          <w:szCs w:val="22"/>
        </w:rPr>
        <w:tab/>
      </w:r>
      <w:r w:rsidR="00D357A6" w:rsidRPr="00D357A6">
        <w:rPr>
          <w:rFonts w:ascii="Arial" w:hAnsi="Arial" w:cs="Arial"/>
          <w:sz w:val="22"/>
          <w:szCs w:val="22"/>
        </w:rPr>
        <w:tab/>
      </w:r>
      <w:r w:rsidR="00D357A6" w:rsidRPr="00D357A6">
        <w:rPr>
          <w:rFonts w:ascii="Arial" w:hAnsi="Arial" w:cs="Arial"/>
          <w:sz w:val="22"/>
          <w:szCs w:val="22"/>
        </w:rPr>
        <w:tab/>
      </w:r>
      <w:r w:rsidR="00D357A6" w:rsidRPr="00D357A6">
        <w:rPr>
          <w:rFonts w:ascii="Arial" w:hAnsi="Arial" w:cs="Arial"/>
          <w:sz w:val="22"/>
          <w:szCs w:val="22"/>
        </w:rPr>
        <w:tab/>
      </w:r>
      <w:r w:rsidR="00D357A6" w:rsidRPr="00D357A6">
        <w:rPr>
          <w:rFonts w:ascii="Arial" w:hAnsi="Arial" w:cs="Arial"/>
          <w:sz w:val="22"/>
          <w:szCs w:val="22"/>
        </w:rPr>
        <w:tab/>
      </w:r>
      <w:r w:rsidR="00D357A6" w:rsidRPr="00D357A6">
        <w:rPr>
          <w:rFonts w:ascii="Arial" w:hAnsi="Arial" w:cs="Arial"/>
          <w:sz w:val="22"/>
          <w:szCs w:val="22"/>
        </w:rPr>
        <w:tab/>
        <w:t xml:space="preserve">       - EUR</w:t>
      </w:r>
    </w:p>
    <w:tbl>
      <w:tblPr>
        <w:tblW w:w="9020" w:type="dxa"/>
        <w:jc w:val="center"/>
        <w:tblLook w:val="04A0" w:firstRow="1" w:lastRow="0" w:firstColumn="1" w:lastColumn="0" w:noHBand="0" w:noVBand="1"/>
      </w:tblPr>
      <w:tblGrid>
        <w:gridCol w:w="1011"/>
        <w:gridCol w:w="3358"/>
        <w:gridCol w:w="1559"/>
        <w:gridCol w:w="1701"/>
        <w:gridCol w:w="1391"/>
      </w:tblGrid>
      <w:tr w:rsidR="00D357A6" w:rsidRPr="00D0293F" w14:paraId="6ED4522B" w14:textId="77777777" w:rsidTr="00D0293F">
        <w:trPr>
          <w:trHeight w:val="397"/>
          <w:jc w:val="center"/>
        </w:trPr>
        <w:tc>
          <w:tcPr>
            <w:tcW w:w="10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60578F" w14:textId="77777777" w:rsidR="00D357A6" w:rsidRPr="00D0293F" w:rsidRDefault="00D357A6" w:rsidP="00D0293F">
            <w:pPr>
              <w:jc w:val="center"/>
              <w:rPr>
                <w:rFonts w:ascii="Arial" w:hAnsi="Arial" w:cs="Arial"/>
                <w:b/>
                <w:bCs/>
                <w:color w:val="000000"/>
                <w:sz w:val="20"/>
                <w:szCs w:val="20"/>
              </w:rPr>
            </w:pPr>
            <w:r w:rsidRPr="00D0293F">
              <w:rPr>
                <w:rFonts w:ascii="Arial" w:hAnsi="Arial" w:cs="Arial"/>
                <w:b/>
                <w:bCs/>
                <w:color w:val="000000"/>
                <w:sz w:val="20"/>
                <w:szCs w:val="20"/>
              </w:rPr>
              <w:t>KONTO</w:t>
            </w:r>
          </w:p>
        </w:tc>
        <w:tc>
          <w:tcPr>
            <w:tcW w:w="33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0BE6C3" w14:textId="77777777" w:rsidR="00D357A6" w:rsidRPr="00D0293F" w:rsidRDefault="00D357A6" w:rsidP="00D0293F">
            <w:pPr>
              <w:jc w:val="center"/>
              <w:rPr>
                <w:rFonts w:ascii="Arial" w:hAnsi="Arial" w:cs="Arial"/>
                <w:b/>
                <w:bCs/>
                <w:color w:val="000000"/>
                <w:sz w:val="20"/>
                <w:szCs w:val="20"/>
              </w:rPr>
            </w:pPr>
            <w:r w:rsidRPr="00D0293F">
              <w:rPr>
                <w:rFonts w:ascii="Arial" w:hAnsi="Arial" w:cs="Arial"/>
                <w:b/>
                <w:bCs/>
                <w:color w:val="000000"/>
                <w:sz w:val="20"/>
                <w:szCs w:val="20"/>
              </w:rPr>
              <w:t>VRSTA PRIHODA I PRIMITAKA/ RASHODA I IZDATAKA</w:t>
            </w:r>
          </w:p>
        </w:tc>
        <w:tc>
          <w:tcPr>
            <w:tcW w:w="1559" w:type="dxa"/>
            <w:tcBorders>
              <w:top w:val="single" w:sz="8" w:space="0" w:color="auto"/>
              <w:left w:val="nil"/>
              <w:bottom w:val="nil"/>
              <w:right w:val="single" w:sz="8" w:space="0" w:color="auto"/>
            </w:tcBorders>
            <w:shd w:val="clear" w:color="auto" w:fill="auto"/>
            <w:vAlign w:val="center"/>
            <w:hideMark/>
          </w:tcPr>
          <w:p w14:paraId="46A08A33" w14:textId="77777777" w:rsidR="00D357A6" w:rsidRPr="00D0293F" w:rsidRDefault="00D357A6" w:rsidP="00D0293F">
            <w:pPr>
              <w:jc w:val="center"/>
              <w:rPr>
                <w:rFonts w:ascii="Arial" w:hAnsi="Arial" w:cs="Arial"/>
                <w:b/>
                <w:bCs/>
                <w:color w:val="000000"/>
                <w:sz w:val="20"/>
                <w:szCs w:val="20"/>
              </w:rPr>
            </w:pPr>
            <w:r w:rsidRPr="00D0293F">
              <w:rPr>
                <w:rFonts w:ascii="Arial" w:hAnsi="Arial" w:cs="Arial"/>
                <w:b/>
                <w:bCs/>
                <w:color w:val="000000"/>
                <w:sz w:val="20"/>
                <w:szCs w:val="20"/>
              </w:rPr>
              <w:t>2025.-</w:t>
            </w:r>
          </w:p>
        </w:tc>
        <w:tc>
          <w:tcPr>
            <w:tcW w:w="1701" w:type="dxa"/>
            <w:tcBorders>
              <w:top w:val="single" w:sz="8" w:space="0" w:color="auto"/>
              <w:left w:val="nil"/>
              <w:bottom w:val="nil"/>
              <w:right w:val="single" w:sz="8" w:space="0" w:color="auto"/>
            </w:tcBorders>
            <w:shd w:val="clear" w:color="auto" w:fill="auto"/>
            <w:vAlign w:val="center"/>
            <w:hideMark/>
          </w:tcPr>
          <w:p w14:paraId="17E2ABAF" w14:textId="77777777" w:rsidR="00D357A6" w:rsidRPr="00D0293F" w:rsidRDefault="00D357A6" w:rsidP="00D0293F">
            <w:pPr>
              <w:jc w:val="center"/>
              <w:rPr>
                <w:rFonts w:ascii="Arial" w:hAnsi="Arial" w:cs="Arial"/>
                <w:b/>
                <w:bCs/>
                <w:color w:val="000000"/>
                <w:sz w:val="20"/>
                <w:szCs w:val="20"/>
              </w:rPr>
            </w:pPr>
            <w:r w:rsidRPr="00D0293F">
              <w:rPr>
                <w:rFonts w:ascii="Arial" w:hAnsi="Arial" w:cs="Arial"/>
                <w:b/>
                <w:bCs/>
                <w:color w:val="000000"/>
                <w:sz w:val="20"/>
                <w:szCs w:val="20"/>
              </w:rPr>
              <w:t>2025.-</w:t>
            </w:r>
          </w:p>
        </w:tc>
        <w:tc>
          <w:tcPr>
            <w:tcW w:w="1391" w:type="dxa"/>
            <w:tcBorders>
              <w:top w:val="single" w:sz="8" w:space="0" w:color="auto"/>
              <w:left w:val="nil"/>
              <w:bottom w:val="nil"/>
              <w:right w:val="single" w:sz="8" w:space="0" w:color="auto"/>
            </w:tcBorders>
            <w:shd w:val="clear" w:color="auto" w:fill="auto"/>
            <w:vAlign w:val="center"/>
            <w:hideMark/>
          </w:tcPr>
          <w:p w14:paraId="6DE1144A" w14:textId="77777777" w:rsidR="00D357A6" w:rsidRPr="00D0293F" w:rsidRDefault="00D357A6" w:rsidP="00D0293F">
            <w:pPr>
              <w:jc w:val="center"/>
              <w:rPr>
                <w:rFonts w:ascii="Arial" w:hAnsi="Arial" w:cs="Arial"/>
                <w:b/>
                <w:bCs/>
                <w:color w:val="000000"/>
                <w:sz w:val="20"/>
                <w:szCs w:val="20"/>
              </w:rPr>
            </w:pPr>
            <w:r w:rsidRPr="00D0293F">
              <w:rPr>
                <w:rFonts w:ascii="Arial" w:hAnsi="Arial" w:cs="Arial"/>
                <w:b/>
                <w:bCs/>
                <w:color w:val="000000"/>
                <w:sz w:val="20"/>
                <w:szCs w:val="20"/>
              </w:rPr>
              <w:t>INDEKS</w:t>
            </w:r>
          </w:p>
        </w:tc>
      </w:tr>
      <w:tr w:rsidR="00D357A6" w:rsidRPr="00D0293F" w14:paraId="32FE3241" w14:textId="77777777" w:rsidTr="00D0293F">
        <w:trPr>
          <w:trHeight w:val="397"/>
          <w:jc w:val="center"/>
        </w:trPr>
        <w:tc>
          <w:tcPr>
            <w:tcW w:w="1011" w:type="dxa"/>
            <w:vMerge/>
            <w:tcBorders>
              <w:top w:val="single" w:sz="8" w:space="0" w:color="auto"/>
              <w:left w:val="single" w:sz="8" w:space="0" w:color="auto"/>
              <w:bottom w:val="single" w:sz="8" w:space="0" w:color="000000"/>
              <w:right w:val="single" w:sz="8" w:space="0" w:color="auto"/>
            </w:tcBorders>
            <w:vAlign w:val="center"/>
            <w:hideMark/>
          </w:tcPr>
          <w:p w14:paraId="62611C0D" w14:textId="77777777" w:rsidR="00D357A6" w:rsidRPr="00D0293F" w:rsidRDefault="00D357A6" w:rsidP="00D0293F">
            <w:pPr>
              <w:rPr>
                <w:rFonts w:ascii="Arial" w:hAnsi="Arial" w:cs="Arial"/>
                <w:b/>
                <w:bCs/>
                <w:color w:val="000000"/>
                <w:sz w:val="20"/>
                <w:szCs w:val="20"/>
              </w:rPr>
            </w:pPr>
          </w:p>
        </w:tc>
        <w:tc>
          <w:tcPr>
            <w:tcW w:w="3358" w:type="dxa"/>
            <w:vMerge/>
            <w:tcBorders>
              <w:top w:val="single" w:sz="8" w:space="0" w:color="auto"/>
              <w:left w:val="single" w:sz="8" w:space="0" w:color="auto"/>
              <w:bottom w:val="single" w:sz="8" w:space="0" w:color="000000"/>
              <w:right w:val="single" w:sz="8" w:space="0" w:color="auto"/>
            </w:tcBorders>
            <w:vAlign w:val="center"/>
            <w:hideMark/>
          </w:tcPr>
          <w:p w14:paraId="427E163C" w14:textId="77777777" w:rsidR="00D357A6" w:rsidRPr="00D0293F" w:rsidRDefault="00D357A6" w:rsidP="00D0293F">
            <w:pPr>
              <w:rPr>
                <w:rFonts w:ascii="Arial" w:hAnsi="Arial" w:cs="Arial"/>
                <w:b/>
                <w:bCs/>
                <w:color w:val="000000"/>
                <w:sz w:val="20"/>
                <w:szCs w:val="20"/>
              </w:rPr>
            </w:pPr>
          </w:p>
        </w:tc>
        <w:tc>
          <w:tcPr>
            <w:tcW w:w="1559" w:type="dxa"/>
            <w:tcBorders>
              <w:top w:val="nil"/>
              <w:left w:val="nil"/>
              <w:bottom w:val="single" w:sz="8" w:space="0" w:color="auto"/>
              <w:right w:val="single" w:sz="8" w:space="0" w:color="auto"/>
            </w:tcBorders>
            <w:shd w:val="clear" w:color="auto" w:fill="auto"/>
            <w:vAlign w:val="center"/>
            <w:hideMark/>
          </w:tcPr>
          <w:p w14:paraId="7A27CAC5" w14:textId="77777777" w:rsidR="00D357A6" w:rsidRPr="00D0293F" w:rsidRDefault="00D357A6" w:rsidP="00D0293F">
            <w:pPr>
              <w:jc w:val="center"/>
              <w:rPr>
                <w:rFonts w:ascii="Arial" w:hAnsi="Arial" w:cs="Arial"/>
                <w:b/>
                <w:bCs/>
                <w:color w:val="000000"/>
                <w:sz w:val="20"/>
                <w:szCs w:val="20"/>
              </w:rPr>
            </w:pPr>
            <w:r w:rsidRPr="00D0293F">
              <w:rPr>
                <w:rFonts w:ascii="Arial" w:hAnsi="Arial" w:cs="Arial"/>
                <w:b/>
                <w:bCs/>
                <w:color w:val="000000"/>
                <w:sz w:val="20"/>
                <w:szCs w:val="20"/>
              </w:rPr>
              <w:t>PLAN</w:t>
            </w:r>
          </w:p>
        </w:tc>
        <w:tc>
          <w:tcPr>
            <w:tcW w:w="1701" w:type="dxa"/>
            <w:tcBorders>
              <w:top w:val="nil"/>
              <w:left w:val="nil"/>
              <w:bottom w:val="single" w:sz="8" w:space="0" w:color="auto"/>
              <w:right w:val="single" w:sz="8" w:space="0" w:color="auto"/>
            </w:tcBorders>
            <w:shd w:val="clear" w:color="auto" w:fill="auto"/>
            <w:vAlign w:val="center"/>
            <w:hideMark/>
          </w:tcPr>
          <w:p w14:paraId="639AD2A3" w14:textId="77777777" w:rsidR="00D357A6" w:rsidRPr="00D0293F" w:rsidRDefault="00D357A6" w:rsidP="00D0293F">
            <w:pPr>
              <w:jc w:val="center"/>
              <w:rPr>
                <w:rFonts w:ascii="Arial" w:hAnsi="Arial" w:cs="Arial"/>
                <w:b/>
                <w:bCs/>
                <w:color w:val="000000"/>
                <w:sz w:val="20"/>
                <w:szCs w:val="20"/>
              </w:rPr>
            </w:pPr>
            <w:r w:rsidRPr="00D0293F">
              <w:rPr>
                <w:rFonts w:ascii="Arial" w:hAnsi="Arial" w:cs="Arial"/>
                <w:b/>
                <w:bCs/>
                <w:color w:val="000000"/>
                <w:sz w:val="20"/>
                <w:szCs w:val="20"/>
              </w:rPr>
              <w:t>I. REBALANS</w:t>
            </w:r>
          </w:p>
        </w:tc>
        <w:tc>
          <w:tcPr>
            <w:tcW w:w="1391" w:type="dxa"/>
            <w:tcBorders>
              <w:top w:val="nil"/>
              <w:left w:val="nil"/>
              <w:bottom w:val="single" w:sz="8" w:space="0" w:color="auto"/>
              <w:right w:val="single" w:sz="8" w:space="0" w:color="auto"/>
            </w:tcBorders>
            <w:shd w:val="clear" w:color="auto" w:fill="auto"/>
            <w:vAlign w:val="center"/>
            <w:hideMark/>
          </w:tcPr>
          <w:p w14:paraId="458FA6C8" w14:textId="77777777" w:rsidR="00D357A6" w:rsidRPr="00D0293F" w:rsidRDefault="00D357A6" w:rsidP="00D0293F">
            <w:pPr>
              <w:jc w:val="center"/>
              <w:rPr>
                <w:rFonts w:ascii="Arial" w:hAnsi="Arial" w:cs="Arial"/>
                <w:b/>
                <w:bCs/>
                <w:color w:val="000000"/>
                <w:sz w:val="20"/>
                <w:szCs w:val="20"/>
              </w:rPr>
            </w:pPr>
            <w:r w:rsidRPr="00D0293F">
              <w:rPr>
                <w:rFonts w:ascii="Arial" w:hAnsi="Arial" w:cs="Arial"/>
                <w:b/>
                <w:bCs/>
                <w:color w:val="000000"/>
                <w:sz w:val="20"/>
                <w:szCs w:val="20"/>
              </w:rPr>
              <w:t>4/3</w:t>
            </w:r>
          </w:p>
        </w:tc>
      </w:tr>
      <w:tr w:rsidR="00D357A6" w:rsidRPr="00D0293F" w14:paraId="293C4942" w14:textId="77777777" w:rsidTr="00D0293F">
        <w:trPr>
          <w:trHeight w:val="397"/>
          <w:jc w:val="center"/>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5CDABB28" w14:textId="77777777" w:rsidR="00D357A6" w:rsidRPr="00D0293F" w:rsidRDefault="00D357A6" w:rsidP="00D0293F">
            <w:pPr>
              <w:jc w:val="center"/>
              <w:rPr>
                <w:rFonts w:ascii="Arial" w:hAnsi="Arial" w:cs="Arial"/>
                <w:b/>
                <w:bCs/>
                <w:color w:val="000000"/>
                <w:sz w:val="20"/>
                <w:szCs w:val="20"/>
              </w:rPr>
            </w:pPr>
            <w:r w:rsidRPr="00D0293F">
              <w:rPr>
                <w:rFonts w:ascii="Arial" w:hAnsi="Arial" w:cs="Arial"/>
                <w:b/>
                <w:bCs/>
                <w:color w:val="000000"/>
                <w:sz w:val="20"/>
                <w:szCs w:val="20"/>
              </w:rPr>
              <w:t>1</w:t>
            </w:r>
          </w:p>
        </w:tc>
        <w:tc>
          <w:tcPr>
            <w:tcW w:w="3358" w:type="dxa"/>
            <w:tcBorders>
              <w:top w:val="nil"/>
              <w:left w:val="nil"/>
              <w:bottom w:val="single" w:sz="8" w:space="0" w:color="auto"/>
              <w:right w:val="single" w:sz="8" w:space="0" w:color="auto"/>
            </w:tcBorders>
            <w:shd w:val="clear" w:color="auto" w:fill="auto"/>
            <w:vAlign w:val="center"/>
            <w:hideMark/>
          </w:tcPr>
          <w:p w14:paraId="4E4ADBAD" w14:textId="77777777" w:rsidR="00D357A6" w:rsidRPr="00D0293F" w:rsidRDefault="00D357A6" w:rsidP="00D0293F">
            <w:pPr>
              <w:jc w:val="center"/>
              <w:rPr>
                <w:rFonts w:ascii="Arial" w:hAnsi="Arial" w:cs="Arial"/>
                <w:b/>
                <w:bCs/>
                <w:color w:val="000000"/>
                <w:sz w:val="20"/>
                <w:szCs w:val="20"/>
              </w:rPr>
            </w:pPr>
            <w:r w:rsidRPr="00D0293F">
              <w:rPr>
                <w:rFonts w:ascii="Arial" w:hAnsi="Arial" w:cs="Arial"/>
                <w:b/>
                <w:bCs/>
                <w:color w:val="000000"/>
                <w:sz w:val="20"/>
                <w:szCs w:val="20"/>
              </w:rPr>
              <w:t>2</w:t>
            </w:r>
          </w:p>
        </w:tc>
        <w:tc>
          <w:tcPr>
            <w:tcW w:w="1559" w:type="dxa"/>
            <w:tcBorders>
              <w:top w:val="nil"/>
              <w:left w:val="nil"/>
              <w:bottom w:val="single" w:sz="8" w:space="0" w:color="auto"/>
              <w:right w:val="single" w:sz="8" w:space="0" w:color="auto"/>
            </w:tcBorders>
            <w:shd w:val="clear" w:color="auto" w:fill="auto"/>
            <w:vAlign w:val="center"/>
            <w:hideMark/>
          </w:tcPr>
          <w:p w14:paraId="28DA5623" w14:textId="77777777" w:rsidR="00D357A6" w:rsidRPr="00D0293F" w:rsidRDefault="00D357A6" w:rsidP="00D0293F">
            <w:pPr>
              <w:jc w:val="center"/>
              <w:rPr>
                <w:rFonts w:ascii="Arial" w:hAnsi="Arial" w:cs="Arial"/>
                <w:b/>
                <w:bCs/>
                <w:color w:val="000000"/>
                <w:sz w:val="20"/>
                <w:szCs w:val="20"/>
              </w:rPr>
            </w:pPr>
            <w:r w:rsidRPr="00D0293F">
              <w:rPr>
                <w:rFonts w:ascii="Arial" w:hAnsi="Arial" w:cs="Arial"/>
                <w:b/>
                <w:bCs/>
                <w:color w:val="000000"/>
                <w:sz w:val="20"/>
                <w:szCs w:val="20"/>
              </w:rPr>
              <w:t>3</w:t>
            </w:r>
          </w:p>
        </w:tc>
        <w:tc>
          <w:tcPr>
            <w:tcW w:w="1701" w:type="dxa"/>
            <w:tcBorders>
              <w:top w:val="nil"/>
              <w:left w:val="nil"/>
              <w:bottom w:val="single" w:sz="8" w:space="0" w:color="auto"/>
              <w:right w:val="single" w:sz="8" w:space="0" w:color="auto"/>
            </w:tcBorders>
            <w:shd w:val="clear" w:color="auto" w:fill="auto"/>
            <w:vAlign w:val="center"/>
            <w:hideMark/>
          </w:tcPr>
          <w:p w14:paraId="5B2751D5" w14:textId="77777777" w:rsidR="00D357A6" w:rsidRPr="00D0293F" w:rsidRDefault="00D357A6" w:rsidP="00D0293F">
            <w:pPr>
              <w:jc w:val="center"/>
              <w:rPr>
                <w:rFonts w:ascii="Arial" w:hAnsi="Arial" w:cs="Arial"/>
                <w:b/>
                <w:bCs/>
                <w:color w:val="000000"/>
                <w:sz w:val="20"/>
                <w:szCs w:val="20"/>
              </w:rPr>
            </w:pPr>
            <w:r w:rsidRPr="00D0293F">
              <w:rPr>
                <w:rFonts w:ascii="Arial" w:hAnsi="Arial" w:cs="Arial"/>
                <w:b/>
                <w:bCs/>
                <w:color w:val="000000"/>
                <w:sz w:val="20"/>
                <w:szCs w:val="20"/>
              </w:rPr>
              <w:t>4</w:t>
            </w:r>
          </w:p>
        </w:tc>
        <w:tc>
          <w:tcPr>
            <w:tcW w:w="1391" w:type="dxa"/>
            <w:tcBorders>
              <w:top w:val="nil"/>
              <w:left w:val="nil"/>
              <w:bottom w:val="single" w:sz="8" w:space="0" w:color="auto"/>
              <w:right w:val="single" w:sz="8" w:space="0" w:color="auto"/>
            </w:tcBorders>
            <w:shd w:val="clear" w:color="auto" w:fill="auto"/>
            <w:vAlign w:val="center"/>
            <w:hideMark/>
          </w:tcPr>
          <w:p w14:paraId="0E7B3F69" w14:textId="77777777" w:rsidR="00D357A6" w:rsidRPr="00D0293F" w:rsidRDefault="00D357A6" w:rsidP="00D0293F">
            <w:pPr>
              <w:jc w:val="center"/>
              <w:rPr>
                <w:rFonts w:ascii="Arial" w:hAnsi="Arial" w:cs="Arial"/>
                <w:b/>
                <w:bCs/>
                <w:color w:val="000000"/>
                <w:sz w:val="20"/>
                <w:szCs w:val="20"/>
              </w:rPr>
            </w:pPr>
            <w:r w:rsidRPr="00D0293F">
              <w:rPr>
                <w:rFonts w:ascii="Arial" w:hAnsi="Arial" w:cs="Arial"/>
                <w:b/>
                <w:bCs/>
                <w:color w:val="000000"/>
                <w:sz w:val="20"/>
                <w:szCs w:val="20"/>
              </w:rPr>
              <w:t>5</w:t>
            </w:r>
          </w:p>
        </w:tc>
      </w:tr>
      <w:tr w:rsidR="00D357A6" w:rsidRPr="00D0293F" w14:paraId="3D517677" w14:textId="77777777" w:rsidTr="00D0293F">
        <w:trPr>
          <w:trHeight w:val="397"/>
          <w:jc w:val="center"/>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08D31F9A"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6</w:t>
            </w:r>
          </w:p>
        </w:tc>
        <w:tc>
          <w:tcPr>
            <w:tcW w:w="3358" w:type="dxa"/>
            <w:tcBorders>
              <w:top w:val="nil"/>
              <w:left w:val="nil"/>
              <w:bottom w:val="single" w:sz="8" w:space="0" w:color="auto"/>
              <w:right w:val="single" w:sz="8" w:space="0" w:color="auto"/>
            </w:tcBorders>
            <w:shd w:val="clear" w:color="auto" w:fill="auto"/>
            <w:vAlign w:val="center"/>
            <w:hideMark/>
          </w:tcPr>
          <w:p w14:paraId="26701A62" w14:textId="77777777" w:rsidR="00D357A6" w:rsidRPr="00D0293F" w:rsidRDefault="00D357A6" w:rsidP="00D0293F">
            <w:pPr>
              <w:rPr>
                <w:rFonts w:ascii="Arial" w:hAnsi="Arial" w:cs="Arial"/>
                <w:b/>
                <w:bCs/>
                <w:color w:val="000000"/>
                <w:sz w:val="20"/>
                <w:szCs w:val="20"/>
              </w:rPr>
            </w:pPr>
            <w:r w:rsidRPr="00D0293F">
              <w:rPr>
                <w:rFonts w:ascii="Arial" w:hAnsi="Arial" w:cs="Arial"/>
                <w:b/>
                <w:bCs/>
                <w:color w:val="000000"/>
                <w:sz w:val="20"/>
                <w:szCs w:val="20"/>
              </w:rPr>
              <w:t>PRIHODI POSLOVANJA</w:t>
            </w:r>
          </w:p>
        </w:tc>
        <w:tc>
          <w:tcPr>
            <w:tcW w:w="1559" w:type="dxa"/>
            <w:tcBorders>
              <w:top w:val="nil"/>
              <w:left w:val="nil"/>
              <w:bottom w:val="single" w:sz="8" w:space="0" w:color="auto"/>
              <w:right w:val="single" w:sz="8" w:space="0" w:color="auto"/>
            </w:tcBorders>
            <w:shd w:val="clear" w:color="auto" w:fill="auto"/>
            <w:vAlign w:val="center"/>
            <w:hideMark/>
          </w:tcPr>
          <w:p w14:paraId="35B0E75C"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1.593.472,00</w:t>
            </w:r>
          </w:p>
        </w:tc>
        <w:tc>
          <w:tcPr>
            <w:tcW w:w="1701" w:type="dxa"/>
            <w:tcBorders>
              <w:top w:val="nil"/>
              <w:left w:val="nil"/>
              <w:bottom w:val="single" w:sz="8" w:space="0" w:color="auto"/>
              <w:right w:val="single" w:sz="8" w:space="0" w:color="auto"/>
            </w:tcBorders>
            <w:shd w:val="clear" w:color="auto" w:fill="auto"/>
            <w:vAlign w:val="center"/>
            <w:hideMark/>
          </w:tcPr>
          <w:p w14:paraId="5EA89261"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1.632.431,00</w:t>
            </w:r>
          </w:p>
        </w:tc>
        <w:tc>
          <w:tcPr>
            <w:tcW w:w="1391" w:type="dxa"/>
            <w:tcBorders>
              <w:top w:val="nil"/>
              <w:left w:val="nil"/>
              <w:bottom w:val="single" w:sz="8" w:space="0" w:color="auto"/>
              <w:right w:val="single" w:sz="8" w:space="0" w:color="auto"/>
            </w:tcBorders>
            <w:shd w:val="clear" w:color="auto" w:fill="auto"/>
            <w:vAlign w:val="center"/>
            <w:hideMark/>
          </w:tcPr>
          <w:p w14:paraId="04048AE7"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102,44</w:t>
            </w:r>
          </w:p>
        </w:tc>
      </w:tr>
      <w:tr w:rsidR="00D357A6" w:rsidRPr="00D0293F" w14:paraId="02EDC3DA" w14:textId="77777777" w:rsidTr="00D0293F">
        <w:trPr>
          <w:trHeight w:val="397"/>
          <w:jc w:val="center"/>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793A960F"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63</w:t>
            </w:r>
          </w:p>
        </w:tc>
        <w:tc>
          <w:tcPr>
            <w:tcW w:w="3358" w:type="dxa"/>
            <w:tcBorders>
              <w:top w:val="nil"/>
              <w:left w:val="nil"/>
              <w:bottom w:val="single" w:sz="8" w:space="0" w:color="auto"/>
              <w:right w:val="single" w:sz="8" w:space="0" w:color="auto"/>
            </w:tcBorders>
            <w:shd w:val="clear" w:color="auto" w:fill="auto"/>
            <w:vAlign w:val="center"/>
            <w:hideMark/>
          </w:tcPr>
          <w:p w14:paraId="579BADB1" w14:textId="77777777" w:rsidR="00D357A6" w:rsidRPr="00D0293F" w:rsidRDefault="00D357A6" w:rsidP="00D0293F">
            <w:pPr>
              <w:rPr>
                <w:rFonts w:ascii="Arial" w:hAnsi="Arial" w:cs="Arial"/>
                <w:color w:val="000000"/>
                <w:sz w:val="20"/>
                <w:szCs w:val="20"/>
              </w:rPr>
            </w:pPr>
            <w:r w:rsidRPr="00D0293F">
              <w:rPr>
                <w:rFonts w:ascii="Arial" w:hAnsi="Arial" w:cs="Arial"/>
                <w:color w:val="000000"/>
                <w:sz w:val="20"/>
                <w:szCs w:val="20"/>
              </w:rPr>
              <w:t>POMOĆI IZ INOZ. I OD SUBJEKATA UNUTAR OPĆEG PRORAČUNA</w:t>
            </w:r>
          </w:p>
        </w:tc>
        <w:tc>
          <w:tcPr>
            <w:tcW w:w="1559" w:type="dxa"/>
            <w:tcBorders>
              <w:top w:val="nil"/>
              <w:left w:val="nil"/>
              <w:bottom w:val="single" w:sz="8" w:space="0" w:color="auto"/>
              <w:right w:val="single" w:sz="8" w:space="0" w:color="auto"/>
            </w:tcBorders>
            <w:shd w:val="clear" w:color="auto" w:fill="auto"/>
            <w:vAlign w:val="center"/>
            <w:hideMark/>
          </w:tcPr>
          <w:p w14:paraId="0A633D0A"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489.982,00</w:t>
            </w:r>
          </w:p>
        </w:tc>
        <w:tc>
          <w:tcPr>
            <w:tcW w:w="1701" w:type="dxa"/>
            <w:tcBorders>
              <w:top w:val="nil"/>
              <w:left w:val="nil"/>
              <w:bottom w:val="single" w:sz="8" w:space="0" w:color="auto"/>
              <w:right w:val="single" w:sz="8" w:space="0" w:color="auto"/>
            </w:tcBorders>
            <w:shd w:val="clear" w:color="auto" w:fill="auto"/>
            <w:vAlign w:val="center"/>
            <w:hideMark/>
          </w:tcPr>
          <w:p w14:paraId="1C296507"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525.052,00</w:t>
            </w:r>
          </w:p>
        </w:tc>
        <w:tc>
          <w:tcPr>
            <w:tcW w:w="1391" w:type="dxa"/>
            <w:tcBorders>
              <w:top w:val="nil"/>
              <w:left w:val="nil"/>
              <w:bottom w:val="single" w:sz="8" w:space="0" w:color="auto"/>
              <w:right w:val="single" w:sz="8" w:space="0" w:color="auto"/>
            </w:tcBorders>
            <w:shd w:val="clear" w:color="auto" w:fill="auto"/>
            <w:vAlign w:val="center"/>
            <w:hideMark/>
          </w:tcPr>
          <w:p w14:paraId="7B158073"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107,16</w:t>
            </w:r>
          </w:p>
        </w:tc>
      </w:tr>
      <w:tr w:rsidR="00D357A6" w:rsidRPr="00D0293F" w14:paraId="3E80A281" w14:textId="77777777" w:rsidTr="00D0293F">
        <w:trPr>
          <w:trHeight w:val="397"/>
          <w:jc w:val="center"/>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767F3046"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65</w:t>
            </w:r>
          </w:p>
        </w:tc>
        <w:tc>
          <w:tcPr>
            <w:tcW w:w="3358" w:type="dxa"/>
            <w:tcBorders>
              <w:top w:val="nil"/>
              <w:left w:val="nil"/>
              <w:bottom w:val="single" w:sz="8" w:space="0" w:color="auto"/>
              <w:right w:val="single" w:sz="8" w:space="0" w:color="auto"/>
            </w:tcBorders>
            <w:shd w:val="clear" w:color="auto" w:fill="auto"/>
            <w:vAlign w:val="center"/>
            <w:hideMark/>
          </w:tcPr>
          <w:p w14:paraId="086BE279" w14:textId="77777777" w:rsidR="00D357A6" w:rsidRPr="00D0293F" w:rsidRDefault="00D357A6" w:rsidP="00D0293F">
            <w:pPr>
              <w:rPr>
                <w:rFonts w:ascii="Arial" w:hAnsi="Arial" w:cs="Arial"/>
                <w:color w:val="000000"/>
                <w:sz w:val="20"/>
                <w:szCs w:val="20"/>
              </w:rPr>
            </w:pPr>
            <w:r w:rsidRPr="00D0293F">
              <w:rPr>
                <w:rFonts w:ascii="Arial" w:hAnsi="Arial" w:cs="Arial"/>
                <w:color w:val="000000"/>
                <w:sz w:val="20"/>
                <w:szCs w:val="20"/>
              </w:rPr>
              <w:t>PRIHODI OD UPRAVNIH I ADMIN.PRIST. PO POSEBNIM PROPISIMA I NAKNADA</w:t>
            </w:r>
          </w:p>
        </w:tc>
        <w:tc>
          <w:tcPr>
            <w:tcW w:w="1559" w:type="dxa"/>
            <w:tcBorders>
              <w:top w:val="nil"/>
              <w:left w:val="nil"/>
              <w:bottom w:val="single" w:sz="8" w:space="0" w:color="auto"/>
              <w:right w:val="single" w:sz="8" w:space="0" w:color="auto"/>
            </w:tcBorders>
            <w:shd w:val="clear" w:color="auto" w:fill="auto"/>
            <w:vAlign w:val="center"/>
            <w:hideMark/>
          </w:tcPr>
          <w:p w14:paraId="2DDBFBDF"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5.400,00</w:t>
            </w:r>
          </w:p>
        </w:tc>
        <w:tc>
          <w:tcPr>
            <w:tcW w:w="1701" w:type="dxa"/>
            <w:tcBorders>
              <w:top w:val="nil"/>
              <w:left w:val="nil"/>
              <w:bottom w:val="single" w:sz="8" w:space="0" w:color="auto"/>
              <w:right w:val="single" w:sz="8" w:space="0" w:color="auto"/>
            </w:tcBorders>
            <w:shd w:val="clear" w:color="auto" w:fill="auto"/>
            <w:vAlign w:val="center"/>
            <w:hideMark/>
          </w:tcPr>
          <w:p w14:paraId="6B5A7187"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6.600,00</w:t>
            </w:r>
          </w:p>
        </w:tc>
        <w:tc>
          <w:tcPr>
            <w:tcW w:w="1391" w:type="dxa"/>
            <w:tcBorders>
              <w:top w:val="nil"/>
              <w:left w:val="nil"/>
              <w:bottom w:val="single" w:sz="8" w:space="0" w:color="auto"/>
              <w:right w:val="single" w:sz="8" w:space="0" w:color="auto"/>
            </w:tcBorders>
            <w:shd w:val="clear" w:color="auto" w:fill="auto"/>
            <w:vAlign w:val="center"/>
            <w:hideMark/>
          </w:tcPr>
          <w:p w14:paraId="07C227E1" w14:textId="77777777" w:rsidR="00D357A6" w:rsidRPr="00D0293F" w:rsidRDefault="00D357A6" w:rsidP="00D0293F">
            <w:pPr>
              <w:jc w:val="right"/>
              <w:rPr>
                <w:rFonts w:ascii="Arial" w:hAnsi="Arial" w:cs="Arial"/>
                <w:bCs/>
                <w:color w:val="000000"/>
                <w:sz w:val="20"/>
                <w:szCs w:val="20"/>
              </w:rPr>
            </w:pPr>
            <w:r w:rsidRPr="00D0293F">
              <w:rPr>
                <w:rFonts w:ascii="Arial" w:hAnsi="Arial" w:cs="Arial"/>
                <w:bCs/>
                <w:color w:val="000000"/>
                <w:sz w:val="20"/>
                <w:szCs w:val="20"/>
              </w:rPr>
              <w:t>122,22</w:t>
            </w:r>
          </w:p>
        </w:tc>
      </w:tr>
      <w:tr w:rsidR="00D357A6" w:rsidRPr="00D0293F" w14:paraId="784C7CF2" w14:textId="77777777" w:rsidTr="00D0293F">
        <w:trPr>
          <w:trHeight w:val="397"/>
          <w:jc w:val="center"/>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67E6F871"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66</w:t>
            </w:r>
          </w:p>
        </w:tc>
        <w:tc>
          <w:tcPr>
            <w:tcW w:w="3358" w:type="dxa"/>
            <w:tcBorders>
              <w:top w:val="nil"/>
              <w:left w:val="nil"/>
              <w:bottom w:val="single" w:sz="8" w:space="0" w:color="auto"/>
              <w:right w:val="single" w:sz="8" w:space="0" w:color="auto"/>
            </w:tcBorders>
            <w:shd w:val="clear" w:color="auto" w:fill="auto"/>
            <w:vAlign w:val="center"/>
            <w:hideMark/>
          </w:tcPr>
          <w:p w14:paraId="22D5EF21" w14:textId="77777777" w:rsidR="00D357A6" w:rsidRPr="00D0293F" w:rsidRDefault="00D357A6" w:rsidP="00D0293F">
            <w:pPr>
              <w:rPr>
                <w:rFonts w:ascii="Arial" w:hAnsi="Arial" w:cs="Arial"/>
                <w:color w:val="000000"/>
                <w:sz w:val="20"/>
                <w:szCs w:val="20"/>
              </w:rPr>
            </w:pPr>
            <w:r w:rsidRPr="00D0293F">
              <w:rPr>
                <w:rFonts w:ascii="Arial" w:hAnsi="Arial" w:cs="Arial"/>
                <w:color w:val="000000"/>
                <w:sz w:val="20"/>
                <w:szCs w:val="20"/>
              </w:rPr>
              <w:t>PRIHODI OD PRODAJE PROIZVODA I ROBE TE PRUŽENIH USLUGA I PRIHODA OD DONACIJA</w:t>
            </w:r>
          </w:p>
        </w:tc>
        <w:tc>
          <w:tcPr>
            <w:tcW w:w="1559" w:type="dxa"/>
            <w:tcBorders>
              <w:top w:val="nil"/>
              <w:left w:val="nil"/>
              <w:bottom w:val="single" w:sz="8" w:space="0" w:color="auto"/>
              <w:right w:val="single" w:sz="8" w:space="0" w:color="auto"/>
            </w:tcBorders>
            <w:shd w:val="clear" w:color="auto" w:fill="auto"/>
            <w:vAlign w:val="center"/>
            <w:hideMark/>
          </w:tcPr>
          <w:p w14:paraId="044383EF"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156.684,00</w:t>
            </w:r>
          </w:p>
        </w:tc>
        <w:tc>
          <w:tcPr>
            <w:tcW w:w="1701" w:type="dxa"/>
            <w:tcBorders>
              <w:top w:val="nil"/>
              <w:left w:val="nil"/>
              <w:bottom w:val="single" w:sz="8" w:space="0" w:color="auto"/>
              <w:right w:val="single" w:sz="8" w:space="0" w:color="auto"/>
            </w:tcBorders>
            <w:shd w:val="clear" w:color="auto" w:fill="auto"/>
            <w:vAlign w:val="center"/>
            <w:hideMark/>
          </w:tcPr>
          <w:p w14:paraId="2D290B1E"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89.484,00</w:t>
            </w:r>
          </w:p>
        </w:tc>
        <w:tc>
          <w:tcPr>
            <w:tcW w:w="1391" w:type="dxa"/>
            <w:tcBorders>
              <w:top w:val="nil"/>
              <w:left w:val="nil"/>
              <w:bottom w:val="single" w:sz="8" w:space="0" w:color="auto"/>
              <w:right w:val="single" w:sz="8" w:space="0" w:color="auto"/>
            </w:tcBorders>
            <w:shd w:val="clear" w:color="auto" w:fill="auto"/>
            <w:vAlign w:val="center"/>
            <w:hideMark/>
          </w:tcPr>
          <w:p w14:paraId="1A9C4695" w14:textId="77777777" w:rsidR="00D357A6" w:rsidRPr="00D0293F" w:rsidRDefault="00D357A6" w:rsidP="00D0293F">
            <w:pPr>
              <w:jc w:val="right"/>
              <w:rPr>
                <w:rFonts w:ascii="Arial" w:hAnsi="Arial" w:cs="Arial"/>
                <w:bCs/>
                <w:color w:val="000000"/>
                <w:sz w:val="20"/>
                <w:szCs w:val="20"/>
              </w:rPr>
            </w:pPr>
            <w:r w:rsidRPr="00D0293F">
              <w:rPr>
                <w:rFonts w:ascii="Arial" w:hAnsi="Arial" w:cs="Arial"/>
                <w:bCs/>
                <w:color w:val="000000"/>
                <w:sz w:val="20"/>
                <w:szCs w:val="20"/>
              </w:rPr>
              <w:t>57,11</w:t>
            </w:r>
          </w:p>
        </w:tc>
      </w:tr>
      <w:tr w:rsidR="00D357A6" w:rsidRPr="00D0293F" w14:paraId="46510385" w14:textId="77777777" w:rsidTr="00D0293F">
        <w:trPr>
          <w:trHeight w:val="397"/>
          <w:jc w:val="center"/>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2962404F"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67</w:t>
            </w:r>
          </w:p>
        </w:tc>
        <w:tc>
          <w:tcPr>
            <w:tcW w:w="3358" w:type="dxa"/>
            <w:tcBorders>
              <w:top w:val="nil"/>
              <w:left w:val="nil"/>
              <w:bottom w:val="single" w:sz="8" w:space="0" w:color="auto"/>
              <w:right w:val="single" w:sz="8" w:space="0" w:color="auto"/>
            </w:tcBorders>
            <w:shd w:val="clear" w:color="auto" w:fill="auto"/>
            <w:vAlign w:val="center"/>
            <w:hideMark/>
          </w:tcPr>
          <w:p w14:paraId="3949DBDC" w14:textId="77777777" w:rsidR="00D357A6" w:rsidRPr="00D0293F" w:rsidRDefault="00D357A6" w:rsidP="00D0293F">
            <w:pPr>
              <w:rPr>
                <w:rFonts w:ascii="Arial" w:hAnsi="Arial" w:cs="Arial"/>
                <w:color w:val="000000"/>
                <w:sz w:val="20"/>
                <w:szCs w:val="20"/>
              </w:rPr>
            </w:pPr>
            <w:r w:rsidRPr="00D0293F">
              <w:rPr>
                <w:rFonts w:ascii="Arial" w:hAnsi="Arial" w:cs="Arial"/>
                <w:color w:val="000000"/>
                <w:sz w:val="20"/>
                <w:szCs w:val="20"/>
              </w:rPr>
              <w:t xml:space="preserve">PRIHODI IZ NADLEŽNOG PRORAČUNA </w:t>
            </w:r>
          </w:p>
        </w:tc>
        <w:tc>
          <w:tcPr>
            <w:tcW w:w="1559" w:type="dxa"/>
            <w:tcBorders>
              <w:top w:val="nil"/>
              <w:left w:val="nil"/>
              <w:bottom w:val="single" w:sz="8" w:space="0" w:color="auto"/>
              <w:right w:val="single" w:sz="8" w:space="0" w:color="auto"/>
            </w:tcBorders>
            <w:shd w:val="clear" w:color="auto" w:fill="auto"/>
            <w:vAlign w:val="center"/>
            <w:hideMark/>
          </w:tcPr>
          <w:p w14:paraId="6184537F"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941.406,00</w:t>
            </w:r>
          </w:p>
        </w:tc>
        <w:tc>
          <w:tcPr>
            <w:tcW w:w="1701" w:type="dxa"/>
            <w:tcBorders>
              <w:top w:val="nil"/>
              <w:left w:val="nil"/>
              <w:bottom w:val="single" w:sz="8" w:space="0" w:color="auto"/>
              <w:right w:val="single" w:sz="8" w:space="0" w:color="auto"/>
            </w:tcBorders>
            <w:shd w:val="clear" w:color="auto" w:fill="auto"/>
            <w:vAlign w:val="center"/>
            <w:hideMark/>
          </w:tcPr>
          <w:p w14:paraId="2C842167"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1.011.295,00</w:t>
            </w:r>
          </w:p>
        </w:tc>
        <w:tc>
          <w:tcPr>
            <w:tcW w:w="1391" w:type="dxa"/>
            <w:tcBorders>
              <w:top w:val="nil"/>
              <w:left w:val="nil"/>
              <w:bottom w:val="single" w:sz="8" w:space="0" w:color="auto"/>
              <w:right w:val="single" w:sz="8" w:space="0" w:color="auto"/>
            </w:tcBorders>
            <w:shd w:val="clear" w:color="auto" w:fill="auto"/>
            <w:vAlign w:val="center"/>
            <w:hideMark/>
          </w:tcPr>
          <w:p w14:paraId="64024654" w14:textId="77777777" w:rsidR="00D357A6" w:rsidRPr="00D0293F" w:rsidRDefault="00D357A6" w:rsidP="00D0293F">
            <w:pPr>
              <w:jc w:val="right"/>
              <w:rPr>
                <w:rFonts w:ascii="Arial" w:hAnsi="Arial" w:cs="Arial"/>
                <w:bCs/>
                <w:color w:val="000000"/>
                <w:sz w:val="20"/>
                <w:szCs w:val="20"/>
              </w:rPr>
            </w:pPr>
            <w:r w:rsidRPr="00D0293F">
              <w:rPr>
                <w:rFonts w:ascii="Arial" w:hAnsi="Arial" w:cs="Arial"/>
                <w:bCs/>
                <w:color w:val="000000"/>
                <w:sz w:val="20"/>
                <w:szCs w:val="20"/>
              </w:rPr>
              <w:t>107,42</w:t>
            </w:r>
          </w:p>
        </w:tc>
      </w:tr>
      <w:tr w:rsidR="00D357A6" w:rsidRPr="00D0293F" w14:paraId="3FDDFBBE" w14:textId="77777777" w:rsidTr="00D0293F">
        <w:trPr>
          <w:trHeight w:val="397"/>
          <w:jc w:val="center"/>
        </w:trPr>
        <w:tc>
          <w:tcPr>
            <w:tcW w:w="1011" w:type="dxa"/>
            <w:tcBorders>
              <w:top w:val="nil"/>
              <w:left w:val="single" w:sz="8" w:space="0" w:color="auto"/>
              <w:bottom w:val="single" w:sz="8" w:space="0" w:color="auto"/>
              <w:right w:val="single" w:sz="8" w:space="0" w:color="auto"/>
            </w:tcBorders>
            <w:shd w:val="clear" w:color="auto" w:fill="auto"/>
            <w:vAlign w:val="center"/>
          </w:tcPr>
          <w:p w14:paraId="2D00DA96"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7</w:t>
            </w:r>
          </w:p>
        </w:tc>
        <w:tc>
          <w:tcPr>
            <w:tcW w:w="3358" w:type="dxa"/>
            <w:tcBorders>
              <w:top w:val="nil"/>
              <w:left w:val="nil"/>
              <w:bottom w:val="single" w:sz="8" w:space="0" w:color="auto"/>
              <w:right w:val="single" w:sz="8" w:space="0" w:color="auto"/>
            </w:tcBorders>
            <w:shd w:val="clear" w:color="auto" w:fill="auto"/>
            <w:vAlign w:val="center"/>
          </w:tcPr>
          <w:p w14:paraId="14CE7B18" w14:textId="77777777" w:rsidR="00D357A6" w:rsidRPr="00D0293F" w:rsidRDefault="00D357A6" w:rsidP="00D0293F">
            <w:pPr>
              <w:rPr>
                <w:rFonts w:ascii="Arial" w:hAnsi="Arial" w:cs="Arial"/>
                <w:b/>
                <w:bCs/>
                <w:color w:val="000000"/>
                <w:sz w:val="20"/>
                <w:szCs w:val="20"/>
              </w:rPr>
            </w:pPr>
            <w:r w:rsidRPr="00D0293F">
              <w:rPr>
                <w:rFonts w:ascii="Arial" w:hAnsi="Arial" w:cs="Arial"/>
                <w:b/>
                <w:bCs/>
                <w:color w:val="000000"/>
                <w:sz w:val="20"/>
                <w:szCs w:val="20"/>
              </w:rPr>
              <w:t>PRIHODI OD PRODAJE NEFIN. IMOVINE</w:t>
            </w:r>
          </w:p>
        </w:tc>
        <w:tc>
          <w:tcPr>
            <w:tcW w:w="1559" w:type="dxa"/>
            <w:tcBorders>
              <w:top w:val="nil"/>
              <w:left w:val="nil"/>
              <w:bottom w:val="single" w:sz="8" w:space="0" w:color="auto"/>
              <w:right w:val="single" w:sz="8" w:space="0" w:color="auto"/>
            </w:tcBorders>
            <w:shd w:val="clear" w:color="auto" w:fill="auto"/>
            <w:vAlign w:val="center"/>
          </w:tcPr>
          <w:p w14:paraId="50550FF3"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0,00</w:t>
            </w:r>
          </w:p>
        </w:tc>
        <w:tc>
          <w:tcPr>
            <w:tcW w:w="1701" w:type="dxa"/>
            <w:tcBorders>
              <w:top w:val="nil"/>
              <w:left w:val="nil"/>
              <w:bottom w:val="single" w:sz="8" w:space="0" w:color="auto"/>
              <w:right w:val="single" w:sz="8" w:space="0" w:color="auto"/>
            </w:tcBorders>
            <w:shd w:val="clear" w:color="auto" w:fill="auto"/>
            <w:vAlign w:val="center"/>
          </w:tcPr>
          <w:p w14:paraId="6A51BB03"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2.000,00</w:t>
            </w:r>
          </w:p>
        </w:tc>
        <w:tc>
          <w:tcPr>
            <w:tcW w:w="1391" w:type="dxa"/>
            <w:tcBorders>
              <w:top w:val="nil"/>
              <w:left w:val="nil"/>
              <w:bottom w:val="single" w:sz="8" w:space="0" w:color="auto"/>
              <w:right w:val="single" w:sz="8" w:space="0" w:color="auto"/>
            </w:tcBorders>
            <w:shd w:val="clear" w:color="auto" w:fill="auto"/>
            <w:vAlign w:val="center"/>
          </w:tcPr>
          <w:p w14:paraId="5C8044D8"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100,00</w:t>
            </w:r>
          </w:p>
        </w:tc>
      </w:tr>
      <w:tr w:rsidR="00D357A6" w:rsidRPr="00D0293F" w14:paraId="2B36F49D" w14:textId="77777777" w:rsidTr="00D0293F">
        <w:trPr>
          <w:trHeight w:val="397"/>
          <w:jc w:val="center"/>
        </w:trPr>
        <w:tc>
          <w:tcPr>
            <w:tcW w:w="1011" w:type="dxa"/>
            <w:tcBorders>
              <w:top w:val="nil"/>
              <w:left w:val="single" w:sz="8" w:space="0" w:color="auto"/>
              <w:bottom w:val="single" w:sz="8" w:space="0" w:color="auto"/>
              <w:right w:val="single" w:sz="8" w:space="0" w:color="auto"/>
            </w:tcBorders>
            <w:shd w:val="clear" w:color="auto" w:fill="auto"/>
            <w:vAlign w:val="center"/>
          </w:tcPr>
          <w:p w14:paraId="420F89BB"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72</w:t>
            </w:r>
          </w:p>
        </w:tc>
        <w:tc>
          <w:tcPr>
            <w:tcW w:w="3358" w:type="dxa"/>
            <w:tcBorders>
              <w:top w:val="nil"/>
              <w:left w:val="nil"/>
              <w:bottom w:val="single" w:sz="8" w:space="0" w:color="auto"/>
              <w:right w:val="single" w:sz="8" w:space="0" w:color="auto"/>
            </w:tcBorders>
            <w:shd w:val="clear" w:color="auto" w:fill="auto"/>
            <w:vAlign w:val="center"/>
          </w:tcPr>
          <w:p w14:paraId="69239F60" w14:textId="77777777" w:rsidR="00D357A6" w:rsidRPr="00D0293F" w:rsidRDefault="00D357A6" w:rsidP="00D0293F">
            <w:pPr>
              <w:rPr>
                <w:rFonts w:ascii="Arial" w:hAnsi="Arial" w:cs="Arial"/>
                <w:color w:val="000000"/>
                <w:sz w:val="20"/>
                <w:szCs w:val="20"/>
              </w:rPr>
            </w:pPr>
            <w:r w:rsidRPr="00D0293F">
              <w:rPr>
                <w:rFonts w:ascii="Arial" w:hAnsi="Arial" w:cs="Arial"/>
                <w:color w:val="000000"/>
                <w:sz w:val="20"/>
                <w:szCs w:val="20"/>
              </w:rPr>
              <w:t>PRIHODI OD PRODAJE PROIZVEDENE DUGOTRAJNE IMOVINE</w:t>
            </w:r>
          </w:p>
        </w:tc>
        <w:tc>
          <w:tcPr>
            <w:tcW w:w="1559" w:type="dxa"/>
            <w:tcBorders>
              <w:top w:val="nil"/>
              <w:left w:val="nil"/>
              <w:bottom w:val="single" w:sz="8" w:space="0" w:color="auto"/>
              <w:right w:val="single" w:sz="8" w:space="0" w:color="auto"/>
            </w:tcBorders>
            <w:shd w:val="clear" w:color="auto" w:fill="auto"/>
            <w:vAlign w:val="center"/>
          </w:tcPr>
          <w:p w14:paraId="16A61AEA"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0,00</w:t>
            </w:r>
          </w:p>
        </w:tc>
        <w:tc>
          <w:tcPr>
            <w:tcW w:w="1701" w:type="dxa"/>
            <w:tcBorders>
              <w:top w:val="nil"/>
              <w:left w:val="nil"/>
              <w:bottom w:val="single" w:sz="8" w:space="0" w:color="auto"/>
              <w:right w:val="single" w:sz="8" w:space="0" w:color="auto"/>
            </w:tcBorders>
            <w:shd w:val="clear" w:color="auto" w:fill="auto"/>
            <w:vAlign w:val="center"/>
          </w:tcPr>
          <w:p w14:paraId="7D635234"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2.000,00</w:t>
            </w:r>
          </w:p>
        </w:tc>
        <w:tc>
          <w:tcPr>
            <w:tcW w:w="1391" w:type="dxa"/>
            <w:tcBorders>
              <w:top w:val="nil"/>
              <w:left w:val="nil"/>
              <w:bottom w:val="single" w:sz="8" w:space="0" w:color="auto"/>
              <w:right w:val="single" w:sz="8" w:space="0" w:color="auto"/>
            </w:tcBorders>
            <w:shd w:val="clear" w:color="auto" w:fill="auto"/>
            <w:vAlign w:val="center"/>
          </w:tcPr>
          <w:p w14:paraId="665594DE" w14:textId="77777777" w:rsidR="00D357A6" w:rsidRPr="00D0293F" w:rsidRDefault="00D357A6" w:rsidP="00D0293F">
            <w:pPr>
              <w:jc w:val="right"/>
              <w:rPr>
                <w:rFonts w:ascii="Arial" w:hAnsi="Arial" w:cs="Arial"/>
                <w:bCs/>
                <w:color w:val="000000"/>
                <w:sz w:val="20"/>
                <w:szCs w:val="20"/>
              </w:rPr>
            </w:pPr>
          </w:p>
          <w:p w14:paraId="7C3CEBC6" w14:textId="77777777" w:rsidR="00D357A6" w:rsidRPr="00D0293F" w:rsidRDefault="00D357A6" w:rsidP="00D0293F">
            <w:pPr>
              <w:jc w:val="right"/>
              <w:rPr>
                <w:rFonts w:ascii="Arial" w:hAnsi="Arial" w:cs="Arial"/>
                <w:bCs/>
                <w:color w:val="000000"/>
                <w:sz w:val="20"/>
                <w:szCs w:val="20"/>
              </w:rPr>
            </w:pPr>
            <w:r w:rsidRPr="00D0293F">
              <w:rPr>
                <w:rFonts w:ascii="Arial" w:hAnsi="Arial" w:cs="Arial"/>
                <w:bCs/>
                <w:color w:val="000000"/>
                <w:sz w:val="20"/>
                <w:szCs w:val="20"/>
              </w:rPr>
              <w:t>100,00</w:t>
            </w:r>
          </w:p>
          <w:p w14:paraId="482E170C" w14:textId="77777777" w:rsidR="00D357A6" w:rsidRPr="00D0293F" w:rsidRDefault="00D357A6" w:rsidP="00D0293F">
            <w:pPr>
              <w:rPr>
                <w:rFonts w:ascii="Arial" w:hAnsi="Arial" w:cs="Arial"/>
                <w:bCs/>
                <w:color w:val="000000"/>
                <w:sz w:val="20"/>
                <w:szCs w:val="20"/>
              </w:rPr>
            </w:pPr>
          </w:p>
        </w:tc>
      </w:tr>
      <w:tr w:rsidR="00D357A6" w:rsidRPr="00D0293F" w14:paraId="1658CC7C" w14:textId="77777777" w:rsidTr="00D0293F">
        <w:trPr>
          <w:trHeight w:val="397"/>
          <w:jc w:val="center"/>
        </w:trPr>
        <w:tc>
          <w:tcPr>
            <w:tcW w:w="1011" w:type="dxa"/>
            <w:tcBorders>
              <w:top w:val="nil"/>
              <w:left w:val="single" w:sz="8" w:space="0" w:color="auto"/>
              <w:bottom w:val="single" w:sz="8" w:space="0" w:color="auto"/>
              <w:right w:val="single" w:sz="8" w:space="0" w:color="auto"/>
            </w:tcBorders>
            <w:shd w:val="clear" w:color="auto" w:fill="auto"/>
            <w:vAlign w:val="center"/>
          </w:tcPr>
          <w:p w14:paraId="7652E8EC" w14:textId="77777777" w:rsidR="00D357A6" w:rsidRPr="00D0293F" w:rsidRDefault="00D357A6" w:rsidP="00D0293F">
            <w:pPr>
              <w:jc w:val="right"/>
              <w:rPr>
                <w:rFonts w:ascii="Arial" w:hAnsi="Arial" w:cs="Arial"/>
                <w:b/>
                <w:bCs/>
                <w:color w:val="000000"/>
                <w:sz w:val="20"/>
                <w:szCs w:val="20"/>
              </w:rPr>
            </w:pPr>
          </w:p>
        </w:tc>
        <w:tc>
          <w:tcPr>
            <w:tcW w:w="3358" w:type="dxa"/>
            <w:tcBorders>
              <w:top w:val="nil"/>
              <w:left w:val="nil"/>
              <w:bottom w:val="single" w:sz="8" w:space="0" w:color="auto"/>
              <w:right w:val="single" w:sz="8" w:space="0" w:color="auto"/>
            </w:tcBorders>
            <w:shd w:val="clear" w:color="auto" w:fill="auto"/>
            <w:vAlign w:val="center"/>
          </w:tcPr>
          <w:p w14:paraId="65BEA749" w14:textId="77777777" w:rsidR="00D357A6" w:rsidRPr="00D0293F" w:rsidRDefault="00D357A6" w:rsidP="00D0293F">
            <w:pPr>
              <w:rPr>
                <w:rFonts w:ascii="Arial" w:hAnsi="Arial" w:cs="Arial"/>
                <w:b/>
                <w:bCs/>
                <w:color w:val="000000"/>
                <w:sz w:val="20"/>
                <w:szCs w:val="20"/>
              </w:rPr>
            </w:pPr>
            <w:r w:rsidRPr="00D0293F">
              <w:rPr>
                <w:rFonts w:ascii="Arial" w:hAnsi="Arial" w:cs="Arial"/>
                <w:b/>
                <w:bCs/>
                <w:color w:val="000000"/>
                <w:sz w:val="20"/>
                <w:szCs w:val="20"/>
              </w:rPr>
              <w:t>UKUPNO PRIHODI</w:t>
            </w:r>
          </w:p>
        </w:tc>
        <w:tc>
          <w:tcPr>
            <w:tcW w:w="1559" w:type="dxa"/>
            <w:tcBorders>
              <w:top w:val="nil"/>
              <w:left w:val="nil"/>
              <w:bottom w:val="single" w:sz="8" w:space="0" w:color="auto"/>
              <w:right w:val="single" w:sz="8" w:space="0" w:color="auto"/>
            </w:tcBorders>
            <w:shd w:val="clear" w:color="auto" w:fill="auto"/>
            <w:vAlign w:val="center"/>
          </w:tcPr>
          <w:p w14:paraId="5E24779B"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1.593.472,00</w:t>
            </w:r>
          </w:p>
        </w:tc>
        <w:tc>
          <w:tcPr>
            <w:tcW w:w="1701" w:type="dxa"/>
            <w:tcBorders>
              <w:top w:val="nil"/>
              <w:left w:val="nil"/>
              <w:bottom w:val="single" w:sz="8" w:space="0" w:color="auto"/>
              <w:right w:val="single" w:sz="8" w:space="0" w:color="auto"/>
            </w:tcBorders>
            <w:shd w:val="clear" w:color="auto" w:fill="auto"/>
            <w:vAlign w:val="center"/>
          </w:tcPr>
          <w:p w14:paraId="380D5837"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1.634.431,00</w:t>
            </w:r>
          </w:p>
        </w:tc>
        <w:tc>
          <w:tcPr>
            <w:tcW w:w="1391" w:type="dxa"/>
            <w:tcBorders>
              <w:top w:val="nil"/>
              <w:left w:val="nil"/>
              <w:bottom w:val="single" w:sz="8" w:space="0" w:color="auto"/>
              <w:right w:val="single" w:sz="8" w:space="0" w:color="auto"/>
            </w:tcBorders>
            <w:shd w:val="clear" w:color="auto" w:fill="auto"/>
            <w:vAlign w:val="center"/>
          </w:tcPr>
          <w:p w14:paraId="72FE06D3"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102,57</w:t>
            </w:r>
          </w:p>
        </w:tc>
      </w:tr>
      <w:tr w:rsidR="00D357A6" w:rsidRPr="00D0293F" w14:paraId="1C1CBEAD" w14:textId="77777777" w:rsidTr="00D0293F">
        <w:trPr>
          <w:trHeight w:val="397"/>
          <w:jc w:val="center"/>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67A96006"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9</w:t>
            </w:r>
          </w:p>
        </w:tc>
        <w:tc>
          <w:tcPr>
            <w:tcW w:w="3358" w:type="dxa"/>
            <w:tcBorders>
              <w:top w:val="nil"/>
              <w:left w:val="nil"/>
              <w:bottom w:val="single" w:sz="8" w:space="0" w:color="auto"/>
              <w:right w:val="single" w:sz="8" w:space="0" w:color="auto"/>
            </w:tcBorders>
            <w:shd w:val="clear" w:color="auto" w:fill="auto"/>
            <w:vAlign w:val="center"/>
            <w:hideMark/>
          </w:tcPr>
          <w:p w14:paraId="67D5C21C" w14:textId="77777777" w:rsidR="00D357A6" w:rsidRPr="00D0293F" w:rsidRDefault="00D357A6" w:rsidP="00D0293F">
            <w:pPr>
              <w:rPr>
                <w:rFonts w:ascii="Arial" w:hAnsi="Arial" w:cs="Arial"/>
                <w:b/>
                <w:bCs/>
                <w:color w:val="000000"/>
                <w:sz w:val="20"/>
                <w:szCs w:val="20"/>
              </w:rPr>
            </w:pPr>
            <w:r w:rsidRPr="00D0293F">
              <w:rPr>
                <w:rFonts w:ascii="Arial" w:hAnsi="Arial" w:cs="Arial"/>
                <w:b/>
                <w:bCs/>
                <w:color w:val="000000"/>
                <w:sz w:val="20"/>
                <w:szCs w:val="20"/>
              </w:rPr>
              <w:t>VLASTITI IZVORI</w:t>
            </w:r>
          </w:p>
        </w:tc>
        <w:tc>
          <w:tcPr>
            <w:tcW w:w="1559" w:type="dxa"/>
            <w:tcBorders>
              <w:top w:val="nil"/>
              <w:left w:val="nil"/>
              <w:bottom w:val="single" w:sz="8" w:space="0" w:color="auto"/>
              <w:right w:val="single" w:sz="8" w:space="0" w:color="auto"/>
            </w:tcBorders>
            <w:shd w:val="clear" w:color="auto" w:fill="auto"/>
            <w:vAlign w:val="center"/>
            <w:hideMark/>
          </w:tcPr>
          <w:p w14:paraId="0E8496A6"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4.000,00</w:t>
            </w:r>
          </w:p>
        </w:tc>
        <w:tc>
          <w:tcPr>
            <w:tcW w:w="1701" w:type="dxa"/>
            <w:tcBorders>
              <w:top w:val="nil"/>
              <w:left w:val="nil"/>
              <w:bottom w:val="single" w:sz="8" w:space="0" w:color="auto"/>
              <w:right w:val="single" w:sz="8" w:space="0" w:color="auto"/>
            </w:tcBorders>
            <w:shd w:val="clear" w:color="auto" w:fill="auto"/>
            <w:vAlign w:val="center"/>
            <w:hideMark/>
          </w:tcPr>
          <w:p w14:paraId="0F94160E"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6.292,00</w:t>
            </w:r>
          </w:p>
        </w:tc>
        <w:tc>
          <w:tcPr>
            <w:tcW w:w="1391" w:type="dxa"/>
            <w:tcBorders>
              <w:top w:val="nil"/>
              <w:left w:val="nil"/>
              <w:bottom w:val="single" w:sz="8" w:space="0" w:color="auto"/>
              <w:right w:val="single" w:sz="8" w:space="0" w:color="auto"/>
            </w:tcBorders>
            <w:shd w:val="clear" w:color="auto" w:fill="auto"/>
            <w:vAlign w:val="center"/>
            <w:hideMark/>
          </w:tcPr>
          <w:p w14:paraId="3F1ECFF5"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157,30</w:t>
            </w:r>
          </w:p>
        </w:tc>
      </w:tr>
      <w:tr w:rsidR="00D357A6" w:rsidRPr="00D0293F" w14:paraId="7C61F4AC" w14:textId="77777777" w:rsidTr="00D0293F">
        <w:trPr>
          <w:trHeight w:val="397"/>
          <w:jc w:val="center"/>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15CBB011"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92</w:t>
            </w:r>
          </w:p>
        </w:tc>
        <w:tc>
          <w:tcPr>
            <w:tcW w:w="3358" w:type="dxa"/>
            <w:tcBorders>
              <w:top w:val="nil"/>
              <w:left w:val="nil"/>
              <w:bottom w:val="single" w:sz="8" w:space="0" w:color="auto"/>
              <w:right w:val="single" w:sz="8" w:space="0" w:color="auto"/>
            </w:tcBorders>
            <w:shd w:val="clear" w:color="auto" w:fill="auto"/>
            <w:vAlign w:val="center"/>
            <w:hideMark/>
          </w:tcPr>
          <w:p w14:paraId="422E3F03" w14:textId="77777777" w:rsidR="00D357A6" w:rsidRPr="00D0293F" w:rsidRDefault="00D357A6" w:rsidP="00D0293F">
            <w:pPr>
              <w:rPr>
                <w:rFonts w:ascii="Arial" w:hAnsi="Arial" w:cs="Arial"/>
                <w:color w:val="000000"/>
                <w:sz w:val="20"/>
                <w:szCs w:val="20"/>
              </w:rPr>
            </w:pPr>
            <w:r w:rsidRPr="00D0293F">
              <w:rPr>
                <w:rFonts w:ascii="Arial" w:hAnsi="Arial" w:cs="Arial"/>
                <w:color w:val="000000"/>
                <w:sz w:val="20"/>
                <w:szCs w:val="20"/>
              </w:rPr>
              <w:t>REZULTAT POSLOVANJA – VIŠAK</w:t>
            </w:r>
          </w:p>
        </w:tc>
        <w:tc>
          <w:tcPr>
            <w:tcW w:w="1559" w:type="dxa"/>
            <w:tcBorders>
              <w:top w:val="nil"/>
              <w:left w:val="nil"/>
              <w:bottom w:val="single" w:sz="8" w:space="0" w:color="auto"/>
              <w:right w:val="single" w:sz="8" w:space="0" w:color="auto"/>
            </w:tcBorders>
            <w:shd w:val="clear" w:color="auto" w:fill="auto"/>
            <w:vAlign w:val="center"/>
            <w:hideMark/>
          </w:tcPr>
          <w:p w14:paraId="033430D5"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4.000,00</w:t>
            </w:r>
          </w:p>
        </w:tc>
        <w:tc>
          <w:tcPr>
            <w:tcW w:w="1701" w:type="dxa"/>
            <w:tcBorders>
              <w:top w:val="nil"/>
              <w:left w:val="nil"/>
              <w:bottom w:val="single" w:sz="8" w:space="0" w:color="auto"/>
              <w:right w:val="single" w:sz="8" w:space="0" w:color="auto"/>
            </w:tcBorders>
            <w:shd w:val="clear" w:color="auto" w:fill="auto"/>
            <w:vAlign w:val="center"/>
            <w:hideMark/>
          </w:tcPr>
          <w:p w14:paraId="04420D96"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6.292,00</w:t>
            </w:r>
          </w:p>
        </w:tc>
        <w:tc>
          <w:tcPr>
            <w:tcW w:w="1391" w:type="dxa"/>
            <w:tcBorders>
              <w:top w:val="nil"/>
              <w:left w:val="nil"/>
              <w:bottom w:val="single" w:sz="8" w:space="0" w:color="auto"/>
              <w:right w:val="single" w:sz="8" w:space="0" w:color="auto"/>
            </w:tcBorders>
            <w:shd w:val="clear" w:color="auto" w:fill="auto"/>
            <w:vAlign w:val="center"/>
            <w:hideMark/>
          </w:tcPr>
          <w:p w14:paraId="750FDB6E" w14:textId="77777777" w:rsidR="00D357A6" w:rsidRPr="00D0293F" w:rsidRDefault="00D357A6" w:rsidP="00D0293F">
            <w:pPr>
              <w:jc w:val="right"/>
              <w:rPr>
                <w:rFonts w:ascii="Arial" w:hAnsi="Arial" w:cs="Arial"/>
                <w:bCs/>
                <w:color w:val="000000"/>
                <w:sz w:val="20"/>
                <w:szCs w:val="20"/>
              </w:rPr>
            </w:pPr>
            <w:r w:rsidRPr="00D0293F">
              <w:rPr>
                <w:rFonts w:ascii="Arial" w:hAnsi="Arial" w:cs="Arial"/>
                <w:bCs/>
                <w:color w:val="000000"/>
                <w:sz w:val="20"/>
                <w:szCs w:val="20"/>
              </w:rPr>
              <w:t>157,30</w:t>
            </w:r>
          </w:p>
        </w:tc>
      </w:tr>
      <w:tr w:rsidR="00D357A6" w:rsidRPr="00D0293F" w14:paraId="07773A2E" w14:textId="77777777" w:rsidTr="00D0293F">
        <w:trPr>
          <w:trHeight w:val="397"/>
          <w:jc w:val="center"/>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54F466CA" w14:textId="77777777" w:rsidR="00D357A6" w:rsidRPr="00D0293F" w:rsidRDefault="00D357A6" w:rsidP="00D0293F">
            <w:pPr>
              <w:rPr>
                <w:rFonts w:ascii="Arial" w:hAnsi="Arial" w:cs="Arial"/>
                <w:color w:val="000000"/>
                <w:sz w:val="20"/>
                <w:szCs w:val="20"/>
              </w:rPr>
            </w:pPr>
            <w:r w:rsidRPr="00D0293F">
              <w:rPr>
                <w:rFonts w:ascii="Arial" w:hAnsi="Arial" w:cs="Arial"/>
                <w:color w:val="000000"/>
                <w:sz w:val="20"/>
                <w:szCs w:val="20"/>
              </w:rPr>
              <w:t> </w:t>
            </w:r>
          </w:p>
        </w:tc>
        <w:tc>
          <w:tcPr>
            <w:tcW w:w="3358" w:type="dxa"/>
            <w:tcBorders>
              <w:top w:val="nil"/>
              <w:left w:val="nil"/>
              <w:bottom w:val="single" w:sz="8" w:space="0" w:color="auto"/>
              <w:right w:val="single" w:sz="8" w:space="0" w:color="auto"/>
            </w:tcBorders>
            <w:shd w:val="clear" w:color="auto" w:fill="auto"/>
            <w:vAlign w:val="center"/>
            <w:hideMark/>
          </w:tcPr>
          <w:p w14:paraId="3F183A69" w14:textId="77777777" w:rsidR="00D357A6" w:rsidRPr="00D0293F" w:rsidRDefault="00D357A6" w:rsidP="00D0293F">
            <w:pPr>
              <w:rPr>
                <w:rFonts w:ascii="Arial" w:hAnsi="Arial" w:cs="Arial"/>
                <w:b/>
                <w:bCs/>
                <w:color w:val="000000"/>
                <w:sz w:val="20"/>
                <w:szCs w:val="20"/>
              </w:rPr>
            </w:pPr>
            <w:r w:rsidRPr="00D0293F">
              <w:rPr>
                <w:rFonts w:ascii="Arial" w:hAnsi="Arial" w:cs="Arial"/>
                <w:b/>
                <w:bCs/>
                <w:color w:val="000000"/>
                <w:sz w:val="20"/>
                <w:szCs w:val="20"/>
              </w:rPr>
              <w:t>SVEUKUPNI PRIHODI I REZULTAT POSLOVANJA</w:t>
            </w:r>
          </w:p>
        </w:tc>
        <w:tc>
          <w:tcPr>
            <w:tcW w:w="1559" w:type="dxa"/>
            <w:tcBorders>
              <w:top w:val="nil"/>
              <w:left w:val="nil"/>
              <w:bottom w:val="single" w:sz="8" w:space="0" w:color="auto"/>
              <w:right w:val="single" w:sz="8" w:space="0" w:color="auto"/>
            </w:tcBorders>
            <w:shd w:val="clear" w:color="auto" w:fill="auto"/>
            <w:vAlign w:val="center"/>
            <w:hideMark/>
          </w:tcPr>
          <w:p w14:paraId="1F859E9F"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1.597.472,00</w:t>
            </w:r>
          </w:p>
        </w:tc>
        <w:tc>
          <w:tcPr>
            <w:tcW w:w="1701" w:type="dxa"/>
            <w:tcBorders>
              <w:top w:val="nil"/>
              <w:left w:val="nil"/>
              <w:bottom w:val="single" w:sz="8" w:space="0" w:color="auto"/>
              <w:right w:val="single" w:sz="8" w:space="0" w:color="auto"/>
            </w:tcBorders>
            <w:shd w:val="clear" w:color="auto" w:fill="auto"/>
            <w:vAlign w:val="center"/>
            <w:hideMark/>
          </w:tcPr>
          <w:p w14:paraId="6422F062"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1.640.723,00</w:t>
            </w:r>
          </w:p>
        </w:tc>
        <w:tc>
          <w:tcPr>
            <w:tcW w:w="1391" w:type="dxa"/>
            <w:tcBorders>
              <w:top w:val="nil"/>
              <w:left w:val="nil"/>
              <w:bottom w:val="single" w:sz="8" w:space="0" w:color="auto"/>
              <w:right w:val="single" w:sz="8" w:space="0" w:color="auto"/>
            </w:tcBorders>
            <w:shd w:val="clear" w:color="auto" w:fill="auto"/>
            <w:vAlign w:val="center"/>
            <w:hideMark/>
          </w:tcPr>
          <w:p w14:paraId="2B6CC967"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102,07</w:t>
            </w:r>
          </w:p>
        </w:tc>
      </w:tr>
      <w:tr w:rsidR="00D357A6" w:rsidRPr="00D0293F" w14:paraId="40129B98" w14:textId="77777777" w:rsidTr="00D0293F">
        <w:trPr>
          <w:trHeight w:val="397"/>
          <w:jc w:val="center"/>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03FFAE50"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3</w:t>
            </w:r>
          </w:p>
        </w:tc>
        <w:tc>
          <w:tcPr>
            <w:tcW w:w="3358" w:type="dxa"/>
            <w:tcBorders>
              <w:top w:val="nil"/>
              <w:left w:val="nil"/>
              <w:bottom w:val="single" w:sz="8" w:space="0" w:color="auto"/>
              <w:right w:val="single" w:sz="8" w:space="0" w:color="auto"/>
            </w:tcBorders>
            <w:shd w:val="clear" w:color="auto" w:fill="auto"/>
            <w:vAlign w:val="center"/>
            <w:hideMark/>
          </w:tcPr>
          <w:p w14:paraId="02CEDE00" w14:textId="77777777" w:rsidR="00D357A6" w:rsidRPr="00D0293F" w:rsidRDefault="00D357A6" w:rsidP="00D0293F">
            <w:pPr>
              <w:rPr>
                <w:rFonts w:ascii="Arial" w:hAnsi="Arial" w:cs="Arial"/>
                <w:b/>
                <w:bCs/>
                <w:color w:val="000000"/>
                <w:sz w:val="20"/>
                <w:szCs w:val="20"/>
              </w:rPr>
            </w:pPr>
            <w:r w:rsidRPr="00D0293F">
              <w:rPr>
                <w:rFonts w:ascii="Arial" w:hAnsi="Arial" w:cs="Arial"/>
                <w:b/>
                <w:bCs/>
                <w:color w:val="000000"/>
                <w:sz w:val="20"/>
                <w:szCs w:val="20"/>
              </w:rPr>
              <w:t>RASHODI POSLOVANJA</w:t>
            </w:r>
          </w:p>
        </w:tc>
        <w:tc>
          <w:tcPr>
            <w:tcW w:w="1559" w:type="dxa"/>
            <w:tcBorders>
              <w:top w:val="nil"/>
              <w:left w:val="nil"/>
              <w:bottom w:val="single" w:sz="8" w:space="0" w:color="auto"/>
              <w:right w:val="single" w:sz="8" w:space="0" w:color="auto"/>
            </w:tcBorders>
            <w:shd w:val="clear" w:color="auto" w:fill="auto"/>
            <w:vAlign w:val="center"/>
            <w:hideMark/>
          </w:tcPr>
          <w:p w14:paraId="55275C8C"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1.570.582,00</w:t>
            </w:r>
          </w:p>
        </w:tc>
        <w:tc>
          <w:tcPr>
            <w:tcW w:w="1701" w:type="dxa"/>
            <w:tcBorders>
              <w:top w:val="nil"/>
              <w:left w:val="nil"/>
              <w:bottom w:val="single" w:sz="8" w:space="0" w:color="auto"/>
              <w:right w:val="single" w:sz="8" w:space="0" w:color="auto"/>
            </w:tcBorders>
            <w:shd w:val="clear" w:color="auto" w:fill="auto"/>
            <w:vAlign w:val="center"/>
            <w:hideMark/>
          </w:tcPr>
          <w:p w14:paraId="621649B1"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1.607.139,00</w:t>
            </w:r>
          </w:p>
        </w:tc>
        <w:tc>
          <w:tcPr>
            <w:tcW w:w="1391" w:type="dxa"/>
            <w:tcBorders>
              <w:top w:val="nil"/>
              <w:left w:val="nil"/>
              <w:bottom w:val="single" w:sz="8" w:space="0" w:color="auto"/>
              <w:right w:val="single" w:sz="8" w:space="0" w:color="auto"/>
            </w:tcBorders>
            <w:shd w:val="clear" w:color="auto" w:fill="auto"/>
            <w:vAlign w:val="center"/>
            <w:hideMark/>
          </w:tcPr>
          <w:p w14:paraId="0C15EC30"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102,33</w:t>
            </w:r>
          </w:p>
        </w:tc>
      </w:tr>
      <w:tr w:rsidR="00D357A6" w:rsidRPr="00D0293F" w14:paraId="6D79FE05" w14:textId="77777777" w:rsidTr="00D0293F">
        <w:trPr>
          <w:trHeight w:val="397"/>
          <w:jc w:val="center"/>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24E7EBDD"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31</w:t>
            </w:r>
          </w:p>
        </w:tc>
        <w:tc>
          <w:tcPr>
            <w:tcW w:w="3358" w:type="dxa"/>
            <w:tcBorders>
              <w:top w:val="nil"/>
              <w:left w:val="nil"/>
              <w:bottom w:val="single" w:sz="8" w:space="0" w:color="auto"/>
              <w:right w:val="single" w:sz="8" w:space="0" w:color="auto"/>
            </w:tcBorders>
            <w:shd w:val="clear" w:color="auto" w:fill="auto"/>
            <w:vAlign w:val="center"/>
            <w:hideMark/>
          </w:tcPr>
          <w:p w14:paraId="7050485C" w14:textId="77777777" w:rsidR="00D357A6" w:rsidRPr="00D0293F" w:rsidRDefault="00D357A6" w:rsidP="00D0293F">
            <w:pPr>
              <w:rPr>
                <w:rFonts w:ascii="Arial" w:hAnsi="Arial" w:cs="Arial"/>
                <w:color w:val="000000"/>
                <w:sz w:val="20"/>
                <w:szCs w:val="20"/>
              </w:rPr>
            </w:pPr>
            <w:r w:rsidRPr="00D0293F">
              <w:rPr>
                <w:rFonts w:ascii="Arial" w:hAnsi="Arial" w:cs="Arial"/>
                <w:color w:val="000000"/>
                <w:sz w:val="20"/>
                <w:szCs w:val="20"/>
              </w:rPr>
              <w:t>RASHODI ZA ZAPOSLENE</w:t>
            </w:r>
          </w:p>
        </w:tc>
        <w:tc>
          <w:tcPr>
            <w:tcW w:w="1559" w:type="dxa"/>
            <w:tcBorders>
              <w:top w:val="nil"/>
              <w:left w:val="nil"/>
              <w:bottom w:val="single" w:sz="8" w:space="0" w:color="auto"/>
              <w:right w:val="single" w:sz="8" w:space="0" w:color="auto"/>
            </w:tcBorders>
            <w:shd w:val="clear" w:color="auto" w:fill="auto"/>
            <w:vAlign w:val="center"/>
            <w:hideMark/>
          </w:tcPr>
          <w:p w14:paraId="52F4F1C6"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1.352.002,00</w:t>
            </w:r>
          </w:p>
        </w:tc>
        <w:tc>
          <w:tcPr>
            <w:tcW w:w="1701" w:type="dxa"/>
            <w:tcBorders>
              <w:top w:val="nil"/>
              <w:left w:val="nil"/>
              <w:bottom w:val="single" w:sz="8" w:space="0" w:color="auto"/>
              <w:right w:val="single" w:sz="8" w:space="0" w:color="auto"/>
            </w:tcBorders>
            <w:shd w:val="clear" w:color="auto" w:fill="auto"/>
            <w:vAlign w:val="center"/>
            <w:hideMark/>
          </w:tcPr>
          <w:p w14:paraId="19EC189E"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1.377.190,00</w:t>
            </w:r>
          </w:p>
        </w:tc>
        <w:tc>
          <w:tcPr>
            <w:tcW w:w="1391" w:type="dxa"/>
            <w:tcBorders>
              <w:top w:val="nil"/>
              <w:left w:val="nil"/>
              <w:bottom w:val="single" w:sz="8" w:space="0" w:color="auto"/>
              <w:right w:val="single" w:sz="8" w:space="0" w:color="auto"/>
            </w:tcBorders>
            <w:shd w:val="clear" w:color="auto" w:fill="auto"/>
            <w:vAlign w:val="center"/>
            <w:hideMark/>
          </w:tcPr>
          <w:p w14:paraId="11791727" w14:textId="77777777" w:rsidR="00D357A6" w:rsidRPr="00D0293F" w:rsidRDefault="00D357A6" w:rsidP="00D0293F">
            <w:pPr>
              <w:jc w:val="right"/>
              <w:rPr>
                <w:rFonts w:ascii="Arial" w:hAnsi="Arial" w:cs="Arial"/>
                <w:bCs/>
                <w:color w:val="000000"/>
                <w:sz w:val="20"/>
                <w:szCs w:val="20"/>
              </w:rPr>
            </w:pPr>
            <w:r w:rsidRPr="00D0293F">
              <w:rPr>
                <w:rFonts w:ascii="Arial" w:hAnsi="Arial" w:cs="Arial"/>
                <w:bCs/>
                <w:color w:val="000000"/>
                <w:sz w:val="20"/>
                <w:szCs w:val="20"/>
              </w:rPr>
              <w:t>101,86</w:t>
            </w:r>
          </w:p>
        </w:tc>
      </w:tr>
      <w:tr w:rsidR="00D357A6" w:rsidRPr="00D0293F" w14:paraId="37F83762" w14:textId="77777777" w:rsidTr="00D0293F">
        <w:trPr>
          <w:trHeight w:val="397"/>
          <w:jc w:val="center"/>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7C12F143"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32</w:t>
            </w:r>
          </w:p>
        </w:tc>
        <w:tc>
          <w:tcPr>
            <w:tcW w:w="3358" w:type="dxa"/>
            <w:tcBorders>
              <w:top w:val="nil"/>
              <w:left w:val="nil"/>
              <w:bottom w:val="single" w:sz="8" w:space="0" w:color="auto"/>
              <w:right w:val="single" w:sz="8" w:space="0" w:color="auto"/>
            </w:tcBorders>
            <w:shd w:val="clear" w:color="auto" w:fill="auto"/>
            <w:vAlign w:val="center"/>
            <w:hideMark/>
          </w:tcPr>
          <w:p w14:paraId="7DBE8375" w14:textId="77777777" w:rsidR="00D357A6" w:rsidRPr="00D0293F" w:rsidRDefault="00D357A6" w:rsidP="00D0293F">
            <w:pPr>
              <w:rPr>
                <w:rFonts w:ascii="Arial" w:hAnsi="Arial" w:cs="Arial"/>
                <w:color w:val="000000"/>
                <w:sz w:val="20"/>
                <w:szCs w:val="20"/>
              </w:rPr>
            </w:pPr>
            <w:r w:rsidRPr="00D0293F">
              <w:rPr>
                <w:rFonts w:ascii="Arial" w:hAnsi="Arial" w:cs="Arial"/>
                <w:color w:val="000000"/>
                <w:sz w:val="20"/>
                <w:szCs w:val="20"/>
              </w:rPr>
              <w:t>MATERIJALNI RASHODI</w:t>
            </w:r>
          </w:p>
        </w:tc>
        <w:tc>
          <w:tcPr>
            <w:tcW w:w="1559" w:type="dxa"/>
            <w:tcBorders>
              <w:top w:val="nil"/>
              <w:left w:val="nil"/>
              <w:bottom w:val="single" w:sz="8" w:space="0" w:color="auto"/>
              <w:right w:val="single" w:sz="8" w:space="0" w:color="auto"/>
            </w:tcBorders>
            <w:shd w:val="clear" w:color="auto" w:fill="auto"/>
            <w:vAlign w:val="center"/>
            <w:hideMark/>
          </w:tcPr>
          <w:p w14:paraId="10C623E8"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218.530,00</w:t>
            </w:r>
          </w:p>
        </w:tc>
        <w:tc>
          <w:tcPr>
            <w:tcW w:w="1701" w:type="dxa"/>
            <w:tcBorders>
              <w:top w:val="nil"/>
              <w:left w:val="nil"/>
              <w:bottom w:val="single" w:sz="8" w:space="0" w:color="auto"/>
              <w:right w:val="single" w:sz="8" w:space="0" w:color="auto"/>
            </w:tcBorders>
            <w:shd w:val="clear" w:color="auto" w:fill="auto"/>
            <w:vAlign w:val="center"/>
            <w:hideMark/>
          </w:tcPr>
          <w:p w14:paraId="1C5C2D43"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229.899,00</w:t>
            </w:r>
          </w:p>
        </w:tc>
        <w:tc>
          <w:tcPr>
            <w:tcW w:w="1391" w:type="dxa"/>
            <w:tcBorders>
              <w:top w:val="nil"/>
              <w:left w:val="nil"/>
              <w:bottom w:val="single" w:sz="8" w:space="0" w:color="auto"/>
              <w:right w:val="single" w:sz="8" w:space="0" w:color="auto"/>
            </w:tcBorders>
            <w:shd w:val="clear" w:color="auto" w:fill="auto"/>
            <w:vAlign w:val="center"/>
            <w:hideMark/>
          </w:tcPr>
          <w:p w14:paraId="17411CBD" w14:textId="77777777" w:rsidR="00D357A6" w:rsidRPr="00D0293F" w:rsidRDefault="00D357A6" w:rsidP="00D0293F">
            <w:pPr>
              <w:jc w:val="right"/>
              <w:rPr>
                <w:rFonts w:ascii="Arial" w:hAnsi="Arial" w:cs="Arial"/>
                <w:bCs/>
                <w:color w:val="000000"/>
                <w:sz w:val="20"/>
                <w:szCs w:val="20"/>
              </w:rPr>
            </w:pPr>
            <w:r w:rsidRPr="00D0293F">
              <w:rPr>
                <w:rFonts w:ascii="Arial" w:hAnsi="Arial" w:cs="Arial"/>
                <w:bCs/>
                <w:color w:val="000000"/>
                <w:sz w:val="20"/>
                <w:szCs w:val="20"/>
              </w:rPr>
              <w:t>105,20</w:t>
            </w:r>
          </w:p>
        </w:tc>
      </w:tr>
      <w:tr w:rsidR="00D357A6" w:rsidRPr="00D0293F" w14:paraId="63A7E879" w14:textId="77777777" w:rsidTr="00D0293F">
        <w:trPr>
          <w:trHeight w:val="397"/>
          <w:jc w:val="center"/>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48717155"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34</w:t>
            </w:r>
          </w:p>
        </w:tc>
        <w:tc>
          <w:tcPr>
            <w:tcW w:w="3358" w:type="dxa"/>
            <w:tcBorders>
              <w:top w:val="nil"/>
              <w:left w:val="nil"/>
              <w:bottom w:val="single" w:sz="8" w:space="0" w:color="auto"/>
              <w:right w:val="single" w:sz="8" w:space="0" w:color="auto"/>
            </w:tcBorders>
            <w:shd w:val="clear" w:color="auto" w:fill="auto"/>
            <w:vAlign w:val="center"/>
            <w:hideMark/>
          </w:tcPr>
          <w:p w14:paraId="4315B5B3" w14:textId="77777777" w:rsidR="00D357A6" w:rsidRPr="00D0293F" w:rsidRDefault="00D357A6" w:rsidP="00D0293F">
            <w:pPr>
              <w:rPr>
                <w:rFonts w:ascii="Arial" w:hAnsi="Arial" w:cs="Arial"/>
                <w:color w:val="000000"/>
                <w:sz w:val="20"/>
                <w:szCs w:val="20"/>
              </w:rPr>
            </w:pPr>
            <w:r w:rsidRPr="00D0293F">
              <w:rPr>
                <w:rFonts w:ascii="Arial" w:hAnsi="Arial" w:cs="Arial"/>
                <w:color w:val="000000"/>
                <w:sz w:val="20"/>
                <w:szCs w:val="20"/>
              </w:rPr>
              <w:t>FINANCIJSKI RASHODI</w:t>
            </w:r>
          </w:p>
        </w:tc>
        <w:tc>
          <w:tcPr>
            <w:tcW w:w="1559" w:type="dxa"/>
            <w:tcBorders>
              <w:top w:val="nil"/>
              <w:left w:val="nil"/>
              <w:bottom w:val="single" w:sz="8" w:space="0" w:color="auto"/>
              <w:right w:val="single" w:sz="8" w:space="0" w:color="auto"/>
            </w:tcBorders>
            <w:shd w:val="clear" w:color="auto" w:fill="auto"/>
            <w:vAlign w:val="center"/>
            <w:hideMark/>
          </w:tcPr>
          <w:p w14:paraId="32E87C7A"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50,00</w:t>
            </w:r>
          </w:p>
        </w:tc>
        <w:tc>
          <w:tcPr>
            <w:tcW w:w="1701" w:type="dxa"/>
            <w:tcBorders>
              <w:top w:val="nil"/>
              <w:left w:val="nil"/>
              <w:bottom w:val="single" w:sz="8" w:space="0" w:color="auto"/>
              <w:right w:val="single" w:sz="8" w:space="0" w:color="auto"/>
            </w:tcBorders>
            <w:shd w:val="clear" w:color="auto" w:fill="auto"/>
            <w:vAlign w:val="center"/>
            <w:hideMark/>
          </w:tcPr>
          <w:p w14:paraId="1BFC361B"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50,00</w:t>
            </w:r>
          </w:p>
        </w:tc>
        <w:tc>
          <w:tcPr>
            <w:tcW w:w="1391" w:type="dxa"/>
            <w:tcBorders>
              <w:top w:val="nil"/>
              <w:left w:val="nil"/>
              <w:bottom w:val="single" w:sz="8" w:space="0" w:color="auto"/>
              <w:right w:val="single" w:sz="8" w:space="0" w:color="auto"/>
            </w:tcBorders>
            <w:shd w:val="clear" w:color="auto" w:fill="auto"/>
            <w:vAlign w:val="center"/>
            <w:hideMark/>
          </w:tcPr>
          <w:p w14:paraId="35B45EDC" w14:textId="77777777" w:rsidR="00D357A6" w:rsidRPr="00D0293F" w:rsidRDefault="00D357A6" w:rsidP="00D0293F">
            <w:pPr>
              <w:jc w:val="right"/>
              <w:rPr>
                <w:rFonts w:ascii="Arial" w:hAnsi="Arial" w:cs="Arial"/>
                <w:bCs/>
                <w:color w:val="000000"/>
                <w:sz w:val="20"/>
                <w:szCs w:val="20"/>
              </w:rPr>
            </w:pPr>
            <w:r w:rsidRPr="00D0293F">
              <w:rPr>
                <w:rFonts w:ascii="Arial" w:hAnsi="Arial" w:cs="Arial"/>
                <w:bCs/>
                <w:color w:val="000000"/>
                <w:sz w:val="20"/>
                <w:szCs w:val="20"/>
              </w:rPr>
              <w:t>100,00</w:t>
            </w:r>
          </w:p>
        </w:tc>
      </w:tr>
      <w:tr w:rsidR="00D357A6" w:rsidRPr="00D0293F" w14:paraId="684E8AED" w14:textId="77777777" w:rsidTr="00D0293F">
        <w:trPr>
          <w:trHeight w:val="397"/>
          <w:jc w:val="center"/>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3B8E5FE5"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4</w:t>
            </w:r>
          </w:p>
        </w:tc>
        <w:tc>
          <w:tcPr>
            <w:tcW w:w="3358" w:type="dxa"/>
            <w:tcBorders>
              <w:top w:val="nil"/>
              <w:left w:val="nil"/>
              <w:bottom w:val="single" w:sz="8" w:space="0" w:color="auto"/>
              <w:right w:val="single" w:sz="8" w:space="0" w:color="auto"/>
            </w:tcBorders>
            <w:shd w:val="clear" w:color="auto" w:fill="auto"/>
            <w:vAlign w:val="center"/>
            <w:hideMark/>
          </w:tcPr>
          <w:p w14:paraId="6001AA48" w14:textId="77777777" w:rsidR="00D357A6" w:rsidRPr="00D0293F" w:rsidRDefault="00D357A6" w:rsidP="00D0293F">
            <w:pPr>
              <w:rPr>
                <w:rFonts w:ascii="Arial" w:hAnsi="Arial" w:cs="Arial"/>
                <w:b/>
                <w:bCs/>
                <w:color w:val="000000"/>
                <w:sz w:val="20"/>
                <w:szCs w:val="20"/>
              </w:rPr>
            </w:pPr>
            <w:r w:rsidRPr="00D0293F">
              <w:rPr>
                <w:rFonts w:ascii="Arial" w:hAnsi="Arial" w:cs="Arial"/>
                <w:b/>
                <w:bCs/>
                <w:color w:val="000000"/>
                <w:sz w:val="20"/>
                <w:szCs w:val="20"/>
              </w:rPr>
              <w:t>RASHODI ZA NABAVU NEFINANCIJSKE IMOVINE</w:t>
            </w:r>
          </w:p>
        </w:tc>
        <w:tc>
          <w:tcPr>
            <w:tcW w:w="1559" w:type="dxa"/>
            <w:tcBorders>
              <w:top w:val="nil"/>
              <w:left w:val="nil"/>
              <w:bottom w:val="single" w:sz="8" w:space="0" w:color="auto"/>
              <w:right w:val="single" w:sz="8" w:space="0" w:color="auto"/>
            </w:tcBorders>
            <w:shd w:val="clear" w:color="auto" w:fill="auto"/>
            <w:vAlign w:val="center"/>
            <w:hideMark/>
          </w:tcPr>
          <w:p w14:paraId="3AEE810C"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26.890,00</w:t>
            </w:r>
          </w:p>
        </w:tc>
        <w:tc>
          <w:tcPr>
            <w:tcW w:w="1701" w:type="dxa"/>
            <w:tcBorders>
              <w:top w:val="nil"/>
              <w:left w:val="nil"/>
              <w:bottom w:val="single" w:sz="8" w:space="0" w:color="auto"/>
              <w:right w:val="single" w:sz="8" w:space="0" w:color="auto"/>
            </w:tcBorders>
            <w:shd w:val="clear" w:color="auto" w:fill="auto"/>
            <w:vAlign w:val="center"/>
            <w:hideMark/>
          </w:tcPr>
          <w:p w14:paraId="6AD96A9F"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30.501,00</w:t>
            </w:r>
          </w:p>
        </w:tc>
        <w:tc>
          <w:tcPr>
            <w:tcW w:w="1391" w:type="dxa"/>
            <w:tcBorders>
              <w:top w:val="nil"/>
              <w:left w:val="nil"/>
              <w:bottom w:val="single" w:sz="8" w:space="0" w:color="auto"/>
              <w:right w:val="single" w:sz="8" w:space="0" w:color="auto"/>
            </w:tcBorders>
            <w:shd w:val="clear" w:color="auto" w:fill="auto"/>
            <w:vAlign w:val="center"/>
            <w:hideMark/>
          </w:tcPr>
          <w:p w14:paraId="31DC379F"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113,43</w:t>
            </w:r>
          </w:p>
        </w:tc>
      </w:tr>
      <w:tr w:rsidR="00D357A6" w:rsidRPr="00D0293F" w14:paraId="30676245" w14:textId="77777777" w:rsidTr="00D0293F">
        <w:trPr>
          <w:trHeight w:val="397"/>
          <w:jc w:val="center"/>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2834A0D5"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42</w:t>
            </w:r>
          </w:p>
        </w:tc>
        <w:tc>
          <w:tcPr>
            <w:tcW w:w="3358" w:type="dxa"/>
            <w:tcBorders>
              <w:top w:val="nil"/>
              <w:left w:val="nil"/>
              <w:bottom w:val="single" w:sz="8" w:space="0" w:color="auto"/>
              <w:right w:val="single" w:sz="8" w:space="0" w:color="auto"/>
            </w:tcBorders>
            <w:shd w:val="clear" w:color="auto" w:fill="auto"/>
            <w:vAlign w:val="center"/>
            <w:hideMark/>
          </w:tcPr>
          <w:p w14:paraId="060AD317" w14:textId="77777777" w:rsidR="00D357A6" w:rsidRPr="00D0293F" w:rsidRDefault="00D357A6" w:rsidP="00D0293F">
            <w:pPr>
              <w:rPr>
                <w:rFonts w:ascii="Arial" w:hAnsi="Arial" w:cs="Arial"/>
                <w:color w:val="000000"/>
                <w:sz w:val="20"/>
                <w:szCs w:val="20"/>
              </w:rPr>
            </w:pPr>
            <w:r w:rsidRPr="00D0293F">
              <w:rPr>
                <w:rFonts w:ascii="Arial" w:hAnsi="Arial" w:cs="Arial"/>
                <w:color w:val="000000"/>
                <w:sz w:val="20"/>
                <w:szCs w:val="20"/>
              </w:rPr>
              <w:t>RASHODI ZA NABAVU PROIZVEDENE DUGOTRAJNE IMOVINE</w:t>
            </w:r>
          </w:p>
        </w:tc>
        <w:tc>
          <w:tcPr>
            <w:tcW w:w="1559" w:type="dxa"/>
            <w:tcBorders>
              <w:top w:val="nil"/>
              <w:left w:val="nil"/>
              <w:bottom w:val="single" w:sz="8" w:space="0" w:color="auto"/>
              <w:right w:val="single" w:sz="8" w:space="0" w:color="auto"/>
            </w:tcBorders>
            <w:shd w:val="clear" w:color="auto" w:fill="auto"/>
            <w:vAlign w:val="center"/>
            <w:hideMark/>
          </w:tcPr>
          <w:p w14:paraId="6850C64F"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26.890,00</w:t>
            </w:r>
          </w:p>
        </w:tc>
        <w:tc>
          <w:tcPr>
            <w:tcW w:w="1701" w:type="dxa"/>
            <w:tcBorders>
              <w:top w:val="nil"/>
              <w:left w:val="nil"/>
              <w:bottom w:val="single" w:sz="8" w:space="0" w:color="auto"/>
              <w:right w:val="single" w:sz="8" w:space="0" w:color="auto"/>
            </w:tcBorders>
            <w:shd w:val="clear" w:color="auto" w:fill="auto"/>
            <w:vAlign w:val="center"/>
            <w:hideMark/>
          </w:tcPr>
          <w:p w14:paraId="7DD4C44C"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30.501,00</w:t>
            </w:r>
          </w:p>
        </w:tc>
        <w:tc>
          <w:tcPr>
            <w:tcW w:w="1391" w:type="dxa"/>
            <w:tcBorders>
              <w:top w:val="nil"/>
              <w:left w:val="nil"/>
              <w:bottom w:val="single" w:sz="8" w:space="0" w:color="auto"/>
              <w:right w:val="single" w:sz="8" w:space="0" w:color="auto"/>
            </w:tcBorders>
            <w:shd w:val="clear" w:color="auto" w:fill="auto"/>
            <w:vAlign w:val="center"/>
            <w:hideMark/>
          </w:tcPr>
          <w:p w14:paraId="667BA49F" w14:textId="77777777" w:rsidR="00D357A6" w:rsidRPr="00D0293F" w:rsidRDefault="00D357A6" w:rsidP="00D0293F">
            <w:pPr>
              <w:jc w:val="right"/>
              <w:rPr>
                <w:rFonts w:ascii="Arial" w:hAnsi="Arial" w:cs="Arial"/>
                <w:bCs/>
                <w:color w:val="000000"/>
                <w:sz w:val="20"/>
                <w:szCs w:val="20"/>
              </w:rPr>
            </w:pPr>
            <w:r w:rsidRPr="00D0293F">
              <w:rPr>
                <w:rFonts w:ascii="Arial" w:hAnsi="Arial" w:cs="Arial"/>
                <w:bCs/>
                <w:color w:val="000000"/>
                <w:sz w:val="20"/>
                <w:szCs w:val="20"/>
              </w:rPr>
              <w:t>113,43</w:t>
            </w:r>
          </w:p>
        </w:tc>
      </w:tr>
      <w:tr w:rsidR="00D357A6" w:rsidRPr="00D0293F" w14:paraId="378ED3A1" w14:textId="77777777" w:rsidTr="00D0293F">
        <w:trPr>
          <w:trHeight w:val="397"/>
          <w:jc w:val="center"/>
        </w:trPr>
        <w:tc>
          <w:tcPr>
            <w:tcW w:w="1011" w:type="dxa"/>
            <w:tcBorders>
              <w:top w:val="nil"/>
              <w:left w:val="single" w:sz="8" w:space="0" w:color="auto"/>
              <w:bottom w:val="single" w:sz="8" w:space="0" w:color="auto"/>
              <w:right w:val="single" w:sz="8" w:space="0" w:color="auto"/>
            </w:tcBorders>
            <w:shd w:val="clear" w:color="auto" w:fill="auto"/>
            <w:vAlign w:val="center"/>
          </w:tcPr>
          <w:p w14:paraId="0931CA3C" w14:textId="77777777" w:rsidR="00D357A6" w:rsidRPr="00D0293F" w:rsidRDefault="00D357A6" w:rsidP="00D0293F">
            <w:pPr>
              <w:jc w:val="right"/>
              <w:rPr>
                <w:rFonts w:ascii="Arial" w:hAnsi="Arial" w:cs="Arial"/>
                <w:color w:val="000000"/>
                <w:sz w:val="20"/>
                <w:szCs w:val="20"/>
              </w:rPr>
            </w:pPr>
          </w:p>
        </w:tc>
        <w:tc>
          <w:tcPr>
            <w:tcW w:w="3358" w:type="dxa"/>
            <w:tcBorders>
              <w:top w:val="nil"/>
              <w:left w:val="nil"/>
              <w:bottom w:val="single" w:sz="8" w:space="0" w:color="auto"/>
              <w:right w:val="single" w:sz="8" w:space="0" w:color="auto"/>
            </w:tcBorders>
            <w:shd w:val="clear" w:color="auto" w:fill="auto"/>
            <w:vAlign w:val="center"/>
          </w:tcPr>
          <w:p w14:paraId="5628191E" w14:textId="77777777" w:rsidR="00D357A6" w:rsidRPr="00D0293F" w:rsidRDefault="00D357A6" w:rsidP="00D0293F">
            <w:pPr>
              <w:rPr>
                <w:rFonts w:ascii="Arial" w:hAnsi="Arial" w:cs="Arial"/>
                <w:b/>
                <w:color w:val="000000"/>
                <w:sz w:val="20"/>
                <w:szCs w:val="20"/>
              </w:rPr>
            </w:pPr>
            <w:r w:rsidRPr="00D0293F">
              <w:rPr>
                <w:rFonts w:ascii="Arial" w:hAnsi="Arial" w:cs="Arial"/>
                <w:b/>
                <w:color w:val="000000"/>
                <w:sz w:val="20"/>
                <w:szCs w:val="20"/>
              </w:rPr>
              <w:t>UKUPNI RASHODI</w:t>
            </w:r>
          </w:p>
        </w:tc>
        <w:tc>
          <w:tcPr>
            <w:tcW w:w="1559" w:type="dxa"/>
            <w:tcBorders>
              <w:top w:val="nil"/>
              <w:left w:val="nil"/>
              <w:bottom w:val="single" w:sz="8" w:space="0" w:color="auto"/>
              <w:right w:val="single" w:sz="8" w:space="0" w:color="auto"/>
            </w:tcBorders>
            <w:shd w:val="clear" w:color="auto" w:fill="auto"/>
            <w:vAlign w:val="center"/>
          </w:tcPr>
          <w:p w14:paraId="5B586C03"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1.597.472,00</w:t>
            </w:r>
          </w:p>
        </w:tc>
        <w:tc>
          <w:tcPr>
            <w:tcW w:w="1701" w:type="dxa"/>
            <w:tcBorders>
              <w:top w:val="nil"/>
              <w:left w:val="nil"/>
              <w:bottom w:val="single" w:sz="8" w:space="0" w:color="auto"/>
              <w:right w:val="single" w:sz="8" w:space="0" w:color="auto"/>
            </w:tcBorders>
            <w:shd w:val="clear" w:color="auto" w:fill="auto"/>
            <w:vAlign w:val="center"/>
          </w:tcPr>
          <w:p w14:paraId="6A34A04E"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1.637.640,00</w:t>
            </w:r>
          </w:p>
        </w:tc>
        <w:tc>
          <w:tcPr>
            <w:tcW w:w="1391" w:type="dxa"/>
            <w:tcBorders>
              <w:top w:val="nil"/>
              <w:left w:val="nil"/>
              <w:bottom w:val="single" w:sz="8" w:space="0" w:color="auto"/>
              <w:right w:val="single" w:sz="8" w:space="0" w:color="auto"/>
            </w:tcBorders>
            <w:shd w:val="clear" w:color="auto" w:fill="auto"/>
            <w:vAlign w:val="center"/>
          </w:tcPr>
          <w:p w14:paraId="7FF6BBC8"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102,51</w:t>
            </w:r>
          </w:p>
        </w:tc>
      </w:tr>
      <w:tr w:rsidR="00D357A6" w:rsidRPr="00D0293F" w14:paraId="61434FB1" w14:textId="77777777" w:rsidTr="00D0293F">
        <w:trPr>
          <w:trHeight w:val="397"/>
          <w:jc w:val="center"/>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7D599795"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9</w:t>
            </w:r>
          </w:p>
        </w:tc>
        <w:tc>
          <w:tcPr>
            <w:tcW w:w="3358" w:type="dxa"/>
            <w:tcBorders>
              <w:top w:val="nil"/>
              <w:left w:val="nil"/>
              <w:bottom w:val="single" w:sz="8" w:space="0" w:color="auto"/>
              <w:right w:val="single" w:sz="8" w:space="0" w:color="auto"/>
            </w:tcBorders>
            <w:shd w:val="clear" w:color="auto" w:fill="auto"/>
            <w:vAlign w:val="center"/>
            <w:hideMark/>
          </w:tcPr>
          <w:p w14:paraId="711935FF" w14:textId="77777777" w:rsidR="00D357A6" w:rsidRPr="00D0293F" w:rsidRDefault="00D357A6" w:rsidP="00D0293F">
            <w:pPr>
              <w:rPr>
                <w:rFonts w:ascii="Arial" w:hAnsi="Arial" w:cs="Arial"/>
                <w:b/>
                <w:bCs/>
                <w:color w:val="000000"/>
                <w:sz w:val="20"/>
                <w:szCs w:val="20"/>
              </w:rPr>
            </w:pPr>
            <w:r w:rsidRPr="00D0293F">
              <w:rPr>
                <w:rFonts w:ascii="Arial" w:hAnsi="Arial" w:cs="Arial"/>
                <w:b/>
                <w:bCs/>
                <w:color w:val="000000"/>
                <w:sz w:val="20"/>
                <w:szCs w:val="20"/>
              </w:rPr>
              <w:t>VLASTITI IZVORI</w:t>
            </w:r>
          </w:p>
        </w:tc>
        <w:tc>
          <w:tcPr>
            <w:tcW w:w="1559" w:type="dxa"/>
            <w:tcBorders>
              <w:top w:val="nil"/>
              <w:left w:val="nil"/>
              <w:bottom w:val="single" w:sz="8" w:space="0" w:color="auto"/>
              <w:right w:val="single" w:sz="8" w:space="0" w:color="auto"/>
            </w:tcBorders>
            <w:shd w:val="clear" w:color="auto" w:fill="auto"/>
            <w:vAlign w:val="center"/>
            <w:hideMark/>
          </w:tcPr>
          <w:p w14:paraId="6F39760A"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 0,00</w:t>
            </w:r>
          </w:p>
        </w:tc>
        <w:tc>
          <w:tcPr>
            <w:tcW w:w="1701" w:type="dxa"/>
            <w:tcBorders>
              <w:top w:val="nil"/>
              <w:left w:val="nil"/>
              <w:bottom w:val="single" w:sz="8" w:space="0" w:color="auto"/>
              <w:right w:val="single" w:sz="8" w:space="0" w:color="auto"/>
            </w:tcBorders>
            <w:shd w:val="clear" w:color="auto" w:fill="auto"/>
            <w:vAlign w:val="center"/>
            <w:hideMark/>
          </w:tcPr>
          <w:p w14:paraId="0A7247F6"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3.083,00</w:t>
            </w:r>
          </w:p>
        </w:tc>
        <w:tc>
          <w:tcPr>
            <w:tcW w:w="1391" w:type="dxa"/>
            <w:tcBorders>
              <w:top w:val="nil"/>
              <w:left w:val="nil"/>
              <w:bottom w:val="single" w:sz="8" w:space="0" w:color="auto"/>
              <w:right w:val="single" w:sz="8" w:space="0" w:color="auto"/>
            </w:tcBorders>
            <w:shd w:val="clear" w:color="auto" w:fill="auto"/>
            <w:vAlign w:val="center"/>
            <w:hideMark/>
          </w:tcPr>
          <w:p w14:paraId="5D3F5240"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100,00</w:t>
            </w:r>
          </w:p>
        </w:tc>
      </w:tr>
      <w:tr w:rsidR="00D357A6" w:rsidRPr="00D0293F" w14:paraId="09A3E7F9" w14:textId="77777777" w:rsidTr="00D0293F">
        <w:trPr>
          <w:trHeight w:val="397"/>
          <w:jc w:val="center"/>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6E552F76"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92</w:t>
            </w:r>
          </w:p>
        </w:tc>
        <w:tc>
          <w:tcPr>
            <w:tcW w:w="3358" w:type="dxa"/>
            <w:tcBorders>
              <w:top w:val="nil"/>
              <w:left w:val="nil"/>
              <w:bottom w:val="single" w:sz="8" w:space="0" w:color="auto"/>
              <w:right w:val="single" w:sz="8" w:space="0" w:color="auto"/>
            </w:tcBorders>
            <w:shd w:val="clear" w:color="auto" w:fill="auto"/>
            <w:vAlign w:val="center"/>
            <w:hideMark/>
          </w:tcPr>
          <w:p w14:paraId="550AACDD" w14:textId="77777777" w:rsidR="00D357A6" w:rsidRPr="00D0293F" w:rsidRDefault="00D357A6" w:rsidP="00D0293F">
            <w:pPr>
              <w:rPr>
                <w:rFonts w:ascii="Arial" w:hAnsi="Arial" w:cs="Arial"/>
                <w:color w:val="000000"/>
                <w:sz w:val="20"/>
                <w:szCs w:val="20"/>
              </w:rPr>
            </w:pPr>
            <w:r w:rsidRPr="00D0293F">
              <w:rPr>
                <w:rFonts w:ascii="Arial" w:hAnsi="Arial" w:cs="Arial"/>
                <w:color w:val="000000"/>
                <w:sz w:val="20"/>
                <w:szCs w:val="20"/>
              </w:rPr>
              <w:t>REZULTAT POSLOVANJA – MANJAK</w:t>
            </w:r>
          </w:p>
        </w:tc>
        <w:tc>
          <w:tcPr>
            <w:tcW w:w="1559" w:type="dxa"/>
            <w:tcBorders>
              <w:top w:val="nil"/>
              <w:left w:val="nil"/>
              <w:bottom w:val="single" w:sz="8" w:space="0" w:color="auto"/>
              <w:right w:val="single" w:sz="8" w:space="0" w:color="auto"/>
            </w:tcBorders>
            <w:shd w:val="clear" w:color="auto" w:fill="auto"/>
            <w:vAlign w:val="center"/>
            <w:hideMark/>
          </w:tcPr>
          <w:p w14:paraId="159682D0"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 0,00</w:t>
            </w:r>
          </w:p>
        </w:tc>
        <w:tc>
          <w:tcPr>
            <w:tcW w:w="1701" w:type="dxa"/>
            <w:tcBorders>
              <w:top w:val="nil"/>
              <w:left w:val="nil"/>
              <w:bottom w:val="single" w:sz="8" w:space="0" w:color="auto"/>
              <w:right w:val="single" w:sz="8" w:space="0" w:color="auto"/>
            </w:tcBorders>
            <w:shd w:val="clear" w:color="auto" w:fill="auto"/>
            <w:vAlign w:val="center"/>
            <w:hideMark/>
          </w:tcPr>
          <w:p w14:paraId="4A2527F3" w14:textId="77777777" w:rsidR="00D357A6" w:rsidRPr="00D0293F" w:rsidRDefault="00D357A6" w:rsidP="00D0293F">
            <w:pPr>
              <w:jc w:val="right"/>
              <w:rPr>
                <w:rFonts w:ascii="Arial" w:hAnsi="Arial" w:cs="Arial"/>
                <w:color w:val="000000"/>
                <w:sz w:val="20"/>
                <w:szCs w:val="20"/>
              </w:rPr>
            </w:pPr>
            <w:r w:rsidRPr="00D0293F">
              <w:rPr>
                <w:rFonts w:ascii="Arial" w:hAnsi="Arial" w:cs="Arial"/>
                <w:color w:val="000000"/>
                <w:sz w:val="20"/>
                <w:szCs w:val="20"/>
              </w:rPr>
              <w:t>3.083,00</w:t>
            </w:r>
          </w:p>
        </w:tc>
        <w:tc>
          <w:tcPr>
            <w:tcW w:w="1391" w:type="dxa"/>
            <w:tcBorders>
              <w:top w:val="nil"/>
              <w:left w:val="nil"/>
              <w:bottom w:val="single" w:sz="8" w:space="0" w:color="auto"/>
              <w:right w:val="single" w:sz="8" w:space="0" w:color="auto"/>
            </w:tcBorders>
            <w:shd w:val="clear" w:color="auto" w:fill="auto"/>
            <w:vAlign w:val="center"/>
            <w:hideMark/>
          </w:tcPr>
          <w:p w14:paraId="0E7A6C92" w14:textId="77777777" w:rsidR="00D357A6" w:rsidRPr="00D0293F" w:rsidRDefault="00D357A6" w:rsidP="00D0293F">
            <w:pPr>
              <w:jc w:val="right"/>
              <w:rPr>
                <w:rFonts w:ascii="Arial" w:hAnsi="Arial" w:cs="Arial"/>
                <w:color w:val="000000"/>
                <w:sz w:val="20"/>
                <w:szCs w:val="20"/>
              </w:rPr>
            </w:pPr>
            <w:r w:rsidRPr="00D0293F">
              <w:rPr>
                <w:rFonts w:ascii="Arial" w:hAnsi="Arial" w:cs="Arial"/>
                <w:bCs/>
                <w:color w:val="000000"/>
                <w:sz w:val="20"/>
                <w:szCs w:val="20"/>
              </w:rPr>
              <w:t>100,00</w:t>
            </w:r>
          </w:p>
        </w:tc>
      </w:tr>
      <w:tr w:rsidR="00D357A6" w:rsidRPr="00D0293F" w14:paraId="3DC935E3" w14:textId="77777777" w:rsidTr="00D0293F">
        <w:trPr>
          <w:trHeight w:val="397"/>
          <w:jc w:val="center"/>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7006E125" w14:textId="77777777" w:rsidR="00D357A6" w:rsidRPr="00D0293F" w:rsidRDefault="00D357A6" w:rsidP="00D0293F">
            <w:pPr>
              <w:rPr>
                <w:rFonts w:ascii="Arial" w:hAnsi="Arial" w:cs="Arial"/>
                <w:color w:val="000000"/>
                <w:sz w:val="20"/>
                <w:szCs w:val="20"/>
              </w:rPr>
            </w:pPr>
            <w:r w:rsidRPr="00D0293F">
              <w:rPr>
                <w:rFonts w:ascii="Arial" w:hAnsi="Arial" w:cs="Arial"/>
                <w:color w:val="000000"/>
                <w:sz w:val="20"/>
                <w:szCs w:val="20"/>
              </w:rPr>
              <w:t> </w:t>
            </w:r>
          </w:p>
        </w:tc>
        <w:tc>
          <w:tcPr>
            <w:tcW w:w="3358" w:type="dxa"/>
            <w:tcBorders>
              <w:top w:val="nil"/>
              <w:left w:val="nil"/>
              <w:bottom w:val="single" w:sz="8" w:space="0" w:color="auto"/>
              <w:right w:val="single" w:sz="8" w:space="0" w:color="auto"/>
            </w:tcBorders>
            <w:shd w:val="clear" w:color="auto" w:fill="auto"/>
            <w:vAlign w:val="center"/>
            <w:hideMark/>
          </w:tcPr>
          <w:p w14:paraId="52F8304B" w14:textId="77777777" w:rsidR="00D357A6" w:rsidRPr="00D0293F" w:rsidRDefault="00D357A6" w:rsidP="00D0293F">
            <w:pPr>
              <w:rPr>
                <w:rFonts w:ascii="Arial" w:hAnsi="Arial" w:cs="Arial"/>
                <w:b/>
                <w:bCs/>
                <w:color w:val="000000"/>
                <w:sz w:val="20"/>
                <w:szCs w:val="20"/>
              </w:rPr>
            </w:pPr>
            <w:r w:rsidRPr="00D0293F">
              <w:rPr>
                <w:rFonts w:ascii="Arial" w:hAnsi="Arial" w:cs="Arial"/>
                <w:b/>
                <w:bCs/>
                <w:color w:val="000000"/>
                <w:sz w:val="20"/>
                <w:szCs w:val="20"/>
              </w:rPr>
              <w:t>UKUPNI RASHODI I REZULTAT POSLOVANJA:</w:t>
            </w:r>
          </w:p>
        </w:tc>
        <w:tc>
          <w:tcPr>
            <w:tcW w:w="1559" w:type="dxa"/>
            <w:tcBorders>
              <w:top w:val="nil"/>
              <w:left w:val="nil"/>
              <w:bottom w:val="single" w:sz="8" w:space="0" w:color="auto"/>
              <w:right w:val="single" w:sz="8" w:space="0" w:color="auto"/>
            </w:tcBorders>
            <w:shd w:val="clear" w:color="auto" w:fill="auto"/>
            <w:vAlign w:val="center"/>
            <w:hideMark/>
          </w:tcPr>
          <w:p w14:paraId="16617DCC"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1.597.472,00</w:t>
            </w:r>
          </w:p>
        </w:tc>
        <w:tc>
          <w:tcPr>
            <w:tcW w:w="1701" w:type="dxa"/>
            <w:tcBorders>
              <w:top w:val="nil"/>
              <w:left w:val="nil"/>
              <w:bottom w:val="single" w:sz="8" w:space="0" w:color="auto"/>
              <w:right w:val="single" w:sz="8" w:space="0" w:color="auto"/>
            </w:tcBorders>
            <w:shd w:val="clear" w:color="auto" w:fill="auto"/>
            <w:vAlign w:val="center"/>
            <w:hideMark/>
          </w:tcPr>
          <w:p w14:paraId="3523B8B4"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1.640.723,00</w:t>
            </w:r>
          </w:p>
        </w:tc>
        <w:tc>
          <w:tcPr>
            <w:tcW w:w="1391" w:type="dxa"/>
            <w:tcBorders>
              <w:top w:val="nil"/>
              <w:left w:val="nil"/>
              <w:bottom w:val="single" w:sz="8" w:space="0" w:color="auto"/>
              <w:right w:val="single" w:sz="8" w:space="0" w:color="auto"/>
            </w:tcBorders>
            <w:shd w:val="clear" w:color="auto" w:fill="auto"/>
            <w:vAlign w:val="center"/>
            <w:hideMark/>
          </w:tcPr>
          <w:p w14:paraId="367190B5"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102,71</w:t>
            </w:r>
          </w:p>
        </w:tc>
      </w:tr>
      <w:tr w:rsidR="00D357A6" w:rsidRPr="00D0293F" w14:paraId="3085EFF3" w14:textId="77777777" w:rsidTr="00D0293F">
        <w:trPr>
          <w:trHeight w:val="397"/>
          <w:jc w:val="center"/>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6B251FE7" w14:textId="77777777" w:rsidR="00D357A6" w:rsidRPr="00D0293F" w:rsidRDefault="00D357A6" w:rsidP="00D0293F">
            <w:pPr>
              <w:rPr>
                <w:rFonts w:ascii="Arial" w:hAnsi="Arial" w:cs="Arial"/>
                <w:color w:val="000000"/>
                <w:sz w:val="20"/>
                <w:szCs w:val="20"/>
              </w:rPr>
            </w:pPr>
            <w:r w:rsidRPr="00D0293F">
              <w:rPr>
                <w:rFonts w:ascii="Arial" w:hAnsi="Arial" w:cs="Arial"/>
                <w:color w:val="000000"/>
                <w:sz w:val="20"/>
                <w:szCs w:val="20"/>
              </w:rPr>
              <w:t> </w:t>
            </w:r>
          </w:p>
        </w:tc>
        <w:tc>
          <w:tcPr>
            <w:tcW w:w="3358" w:type="dxa"/>
            <w:tcBorders>
              <w:top w:val="nil"/>
              <w:left w:val="nil"/>
              <w:bottom w:val="single" w:sz="8" w:space="0" w:color="auto"/>
              <w:right w:val="single" w:sz="8" w:space="0" w:color="auto"/>
            </w:tcBorders>
            <w:shd w:val="clear" w:color="auto" w:fill="auto"/>
            <w:vAlign w:val="center"/>
            <w:hideMark/>
          </w:tcPr>
          <w:p w14:paraId="0A45C3FA" w14:textId="77777777" w:rsidR="00D357A6" w:rsidRPr="00D0293F" w:rsidRDefault="00D357A6" w:rsidP="00D0293F">
            <w:pPr>
              <w:rPr>
                <w:rFonts w:ascii="Arial" w:hAnsi="Arial" w:cs="Arial"/>
                <w:b/>
                <w:bCs/>
                <w:color w:val="000000"/>
                <w:sz w:val="20"/>
                <w:szCs w:val="20"/>
              </w:rPr>
            </w:pPr>
            <w:r w:rsidRPr="00D0293F">
              <w:rPr>
                <w:rFonts w:ascii="Arial" w:hAnsi="Arial" w:cs="Arial"/>
                <w:b/>
                <w:bCs/>
                <w:color w:val="000000"/>
                <w:sz w:val="20"/>
                <w:szCs w:val="20"/>
              </w:rPr>
              <w:t xml:space="preserve">REZULTAT POSLOVANJA: </w:t>
            </w:r>
          </w:p>
        </w:tc>
        <w:tc>
          <w:tcPr>
            <w:tcW w:w="1559" w:type="dxa"/>
            <w:tcBorders>
              <w:top w:val="nil"/>
              <w:left w:val="nil"/>
              <w:bottom w:val="single" w:sz="8" w:space="0" w:color="auto"/>
              <w:right w:val="single" w:sz="8" w:space="0" w:color="auto"/>
            </w:tcBorders>
            <w:shd w:val="clear" w:color="auto" w:fill="auto"/>
            <w:vAlign w:val="center"/>
            <w:hideMark/>
          </w:tcPr>
          <w:p w14:paraId="317C0664"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0,00</w:t>
            </w:r>
          </w:p>
        </w:tc>
        <w:tc>
          <w:tcPr>
            <w:tcW w:w="1701" w:type="dxa"/>
            <w:tcBorders>
              <w:top w:val="nil"/>
              <w:left w:val="nil"/>
              <w:bottom w:val="single" w:sz="8" w:space="0" w:color="auto"/>
              <w:right w:val="single" w:sz="8" w:space="0" w:color="auto"/>
            </w:tcBorders>
            <w:shd w:val="clear" w:color="auto" w:fill="auto"/>
            <w:vAlign w:val="center"/>
            <w:hideMark/>
          </w:tcPr>
          <w:p w14:paraId="7E0E097C"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0,00</w:t>
            </w:r>
          </w:p>
        </w:tc>
        <w:tc>
          <w:tcPr>
            <w:tcW w:w="1391" w:type="dxa"/>
            <w:tcBorders>
              <w:top w:val="nil"/>
              <w:left w:val="nil"/>
              <w:bottom w:val="single" w:sz="8" w:space="0" w:color="auto"/>
              <w:right w:val="single" w:sz="8" w:space="0" w:color="auto"/>
            </w:tcBorders>
            <w:shd w:val="clear" w:color="auto" w:fill="auto"/>
            <w:vAlign w:val="center"/>
            <w:hideMark/>
          </w:tcPr>
          <w:p w14:paraId="7B8ECE1C" w14:textId="77777777" w:rsidR="00D357A6" w:rsidRPr="00D0293F" w:rsidRDefault="00D357A6" w:rsidP="00D0293F">
            <w:pPr>
              <w:jc w:val="right"/>
              <w:rPr>
                <w:rFonts w:ascii="Arial" w:hAnsi="Arial" w:cs="Arial"/>
                <w:b/>
                <w:bCs/>
                <w:color w:val="000000"/>
                <w:sz w:val="20"/>
                <w:szCs w:val="20"/>
              </w:rPr>
            </w:pPr>
            <w:r w:rsidRPr="00D0293F">
              <w:rPr>
                <w:rFonts w:ascii="Arial" w:hAnsi="Arial" w:cs="Arial"/>
                <w:b/>
                <w:bCs/>
                <w:color w:val="000000"/>
                <w:sz w:val="20"/>
                <w:szCs w:val="20"/>
              </w:rPr>
              <w:t>0,00</w:t>
            </w:r>
          </w:p>
        </w:tc>
      </w:tr>
    </w:tbl>
    <w:p w14:paraId="1D5306C9" w14:textId="77777777" w:rsidR="00D357A6" w:rsidRPr="00517829" w:rsidRDefault="00D357A6" w:rsidP="00D357A6">
      <w:pPr>
        <w:rPr>
          <w:rFonts w:ascii="Arial" w:hAnsi="Arial" w:cs="Arial"/>
          <w:sz w:val="22"/>
        </w:rPr>
      </w:pPr>
    </w:p>
    <w:p w14:paraId="45D07D85" w14:textId="77777777" w:rsidR="00D357A6" w:rsidRPr="00D0293F" w:rsidRDefault="00D357A6" w:rsidP="00D0293F">
      <w:pPr>
        <w:pStyle w:val="Odlomakpopisa"/>
        <w:spacing w:after="0" w:line="259" w:lineRule="auto"/>
        <w:rPr>
          <w:rFonts w:ascii="Arial" w:hAnsi="Arial" w:cs="Arial"/>
          <w:b/>
          <w:szCs w:val="22"/>
        </w:rPr>
      </w:pPr>
    </w:p>
    <w:p w14:paraId="461D19DF" w14:textId="77777777" w:rsidR="00D0293F" w:rsidRDefault="00D0293F" w:rsidP="00D0293F">
      <w:pPr>
        <w:pStyle w:val="Odlomakpopisa"/>
        <w:spacing w:after="0" w:line="259" w:lineRule="auto"/>
        <w:rPr>
          <w:rFonts w:ascii="Arial" w:hAnsi="Arial" w:cs="Arial"/>
          <w:b/>
        </w:rPr>
      </w:pPr>
    </w:p>
    <w:p w14:paraId="6A6C3E91" w14:textId="2828F3C8" w:rsidR="00D357A6" w:rsidRPr="00D0293F" w:rsidRDefault="00D357A6" w:rsidP="00D0293F">
      <w:pPr>
        <w:pStyle w:val="Odlomakpopisa"/>
        <w:spacing w:after="0" w:line="259" w:lineRule="auto"/>
        <w:rPr>
          <w:rFonts w:ascii="Arial" w:hAnsi="Arial" w:cs="Arial"/>
          <w:b/>
          <w:sz w:val="24"/>
        </w:rPr>
      </w:pPr>
      <w:r w:rsidRPr="00D0293F">
        <w:rPr>
          <w:rFonts w:ascii="Arial" w:hAnsi="Arial" w:cs="Arial"/>
          <w:b/>
          <w:sz w:val="24"/>
        </w:rPr>
        <w:t>OBRAZLOŽENJE PRIHODA I PRIMITAKA</w:t>
      </w:r>
    </w:p>
    <w:p w14:paraId="66C82B10" w14:textId="77777777" w:rsidR="00D0293F" w:rsidRPr="00D0293F" w:rsidRDefault="00D0293F" w:rsidP="00D0293F">
      <w:pPr>
        <w:pStyle w:val="Odlomakpopisa"/>
        <w:spacing w:after="0" w:line="259" w:lineRule="auto"/>
        <w:rPr>
          <w:rFonts w:ascii="Arial" w:hAnsi="Arial" w:cs="Arial"/>
          <w:b/>
          <w:szCs w:val="22"/>
        </w:rPr>
      </w:pPr>
    </w:p>
    <w:p w14:paraId="55A9260E" w14:textId="77777777" w:rsidR="00D357A6" w:rsidRPr="00D0293F" w:rsidRDefault="00D357A6" w:rsidP="00D0293F">
      <w:pPr>
        <w:spacing w:line="259" w:lineRule="auto"/>
        <w:jc w:val="both"/>
        <w:rPr>
          <w:rFonts w:ascii="Arial" w:hAnsi="Arial" w:cs="Arial"/>
          <w:sz w:val="22"/>
          <w:szCs w:val="22"/>
          <w:lang w:val="hr-BA"/>
        </w:rPr>
      </w:pPr>
      <w:r w:rsidRPr="00D0293F">
        <w:rPr>
          <w:rFonts w:ascii="Arial" w:hAnsi="Arial" w:cs="Arial"/>
          <w:b/>
          <w:sz w:val="22"/>
          <w:szCs w:val="22"/>
          <w:lang w:val="hr-BA"/>
        </w:rPr>
        <w:t>Prihodi i primitci poslovanja</w:t>
      </w:r>
      <w:r w:rsidRPr="00D0293F">
        <w:rPr>
          <w:rFonts w:ascii="Arial" w:hAnsi="Arial" w:cs="Arial"/>
          <w:sz w:val="22"/>
          <w:szCs w:val="22"/>
          <w:lang w:val="hr-BA"/>
        </w:rPr>
        <w:t xml:space="preserve">  planirani su u visini 1.632.431,00 eura odnosno 2,44% više u odnosu na Financijski plan za 2025. godinu, a čine 99,49% ukupnih prihoda i primitaka.</w:t>
      </w:r>
    </w:p>
    <w:p w14:paraId="5525B7B5" w14:textId="77777777" w:rsidR="00D357A6" w:rsidRPr="00D0293F" w:rsidRDefault="00D357A6" w:rsidP="00D0293F">
      <w:pPr>
        <w:spacing w:line="259" w:lineRule="auto"/>
        <w:jc w:val="both"/>
        <w:rPr>
          <w:rFonts w:ascii="Arial" w:hAnsi="Arial" w:cs="Arial"/>
          <w:sz w:val="22"/>
          <w:szCs w:val="22"/>
          <w:lang w:val="hr-BA"/>
        </w:rPr>
      </w:pPr>
    </w:p>
    <w:p w14:paraId="230585AE" w14:textId="77777777" w:rsidR="00D357A6" w:rsidRPr="00D0293F" w:rsidRDefault="00D357A6" w:rsidP="00D0293F">
      <w:pPr>
        <w:spacing w:line="259" w:lineRule="auto"/>
        <w:jc w:val="both"/>
        <w:rPr>
          <w:rFonts w:ascii="Arial" w:hAnsi="Arial" w:cs="Arial"/>
          <w:sz w:val="22"/>
          <w:szCs w:val="22"/>
          <w:lang w:val="hr-BA"/>
        </w:rPr>
      </w:pPr>
      <w:r w:rsidRPr="00D0293F">
        <w:rPr>
          <w:rFonts w:ascii="Arial" w:hAnsi="Arial" w:cs="Arial"/>
          <w:b/>
          <w:sz w:val="22"/>
          <w:szCs w:val="22"/>
          <w:lang w:val="hr-BA"/>
        </w:rPr>
        <w:t xml:space="preserve">1. Pomoći iz inozemstva i od subjekata unutar općeg proračuna </w:t>
      </w:r>
      <w:r w:rsidRPr="00D0293F">
        <w:rPr>
          <w:rFonts w:ascii="Arial" w:hAnsi="Arial" w:cs="Arial"/>
          <w:sz w:val="22"/>
          <w:szCs w:val="22"/>
          <w:lang w:val="hr-BA"/>
        </w:rPr>
        <w:t>planirani su u iznosu od 525.052,00 eura, odnosno 7,16% više u odnosu na Financijski plan za 2025. godinu. Odnose se na pomoći proračunskim  korisnicima iz proračuna koji im nije nadležan. Planirana su sredstva iz proračuna općina i dodatna sredstva iz Državnog proračuna. Povećana su sredstva iz općinskih proračuna zbog preusmjeravanja sredstava iz donacija PVZ Labin. PVZ nije više u mogućnosti financirati materijalne rashode za redovno poslovanje JVP Labin radi otplate kredita za nabavku vozila.</w:t>
      </w:r>
    </w:p>
    <w:p w14:paraId="25E61F68" w14:textId="77777777" w:rsidR="00D357A6" w:rsidRPr="00D0293F" w:rsidRDefault="00D357A6" w:rsidP="00D0293F">
      <w:pPr>
        <w:spacing w:line="259" w:lineRule="auto"/>
        <w:jc w:val="both"/>
        <w:rPr>
          <w:rFonts w:ascii="Arial" w:hAnsi="Arial" w:cs="Arial"/>
          <w:sz w:val="22"/>
          <w:szCs w:val="22"/>
          <w:lang w:val="hr-BA"/>
        </w:rPr>
      </w:pPr>
    </w:p>
    <w:p w14:paraId="084F9F4B" w14:textId="77777777" w:rsidR="00D357A6" w:rsidRPr="00D0293F" w:rsidRDefault="00D357A6" w:rsidP="00D0293F">
      <w:pPr>
        <w:spacing w:line="259" w:lineRule="auto"/>
        <w:jc w:val="both"/>
        <w:rPr>
          <w:rFonts w:ascii="Arial" w:hAnsi="Arial" w:cs="Arial"/>
          <w:sz w:val="22"/>
          <w:szCs w:val="22"/>
          <w:lang w:val="hr-BA"/>
        </w:rPr>
      </w:pPr>
      <w:r w:rsidRPr="00D0293F">
        <w:rPr>
          <w:rFonts w:ascii="Arial" w:hAnsi="Arial" w:cs="Arial"/>
          <w:b/>
          <w:sz w:val="22"/>
          <w:szCs w:val="22"/>
          <w:lang w:val="hr-BA"/>
        </w:rPr>
        <w:t xml:space="preserve">2. Prihodi od upravnih i administrativnih pristojbi po posebnim propisima i naknada </w:t>
      </w:r>
      <w:r w:rsidRPr="00D0293F">
        <w:rPr>
          <w:rFonts w:ascii="Arial" w:hAnsi="Arial" w:cs="Arial"/>
          <w:sz w:val="22"/>
          <w:szCs w:val="22"/>
          <w:lang w:val="hr-BA"/>
        </w:rPr>
        <w:t>planirani su u iznosu od 6.600,00 eura odnosno 22,22% više u odnosu na plan za 2025. godinu, a odnose se na prihode od naknada šteta s osnova osiguranja i prihoda od povrata sredstva za školovanje radnika.</w:t>
      </w:r>
    </w:p>
    <w:p w14:paraId="719EB0CC" w14:textId="77777777" w:rsidR="00D357A6" w:rsidRPr="00D0293F" w:rsidRDefault="00D357A6" w:rsidP="00D0293F">
      <w:pPr>
        <w:spacing w:line="259" w:lineRule="auto"/>
        <w:jc w:val="both"/>
        <w:rPr>
          <w:rFonts w:ascii="Arial" w:hAnsi="Arial" w:cs="Arial"/>
          <w:b/>
          <w:sz w:val="22"/>
          <w:szCs w:val="22"/>
          <w:lang w:val="hr-BA"/>
        </w:rPr>
      </w:pPr>
    </w:p>
    <w:p w14:paraId="6FF176EC" w14:textId="77777777" w:rsidR="00D357A6" w:rsidRPr="00D0293F" w:rsidRDefault="00D357A6" w:rsidP="00D0293F">
      <w:pPr>
        <w:spacing w:line="259" w:lineRule="auto"/>
        <w:jc w:val="both"/>
        <w:rPr>
          <w:rFonts w:ascii="Arial" w:hAnsi="Arial" w:cs="Arial"/>
          <w:sz w:val="22"/>
          <w:szCs w:val="22"/>
          <w:lang w:val="hr-BA"/>
        </w:rPr>
      </w:pPr>
      <w:r w:rsidRPr="00D0293F">
        <w:rPr>
          <w:rFonts w:ascii="Arial" w:hAnsi="Arial" w:cs="Arial"/>
          <w:b/>
          <w:sz w:val="22"/>
          <w:szCs w:val="22"/>
          <w:lang w:val="hr-BA"/>
        </w:rPr>
        <w:t xml:space="preserve">3. Prihodi od prodaje proizvoda i robe  te pružanih usluga i prihoda od donacija </w:t>
      </w:r>
      <w:r w:rsidRPr="00D0293F">
        <w:rPr>
          <w:rFonts w:ascii="Arial" w:hAnsi="Arial" w:cs="Arial"/>
          <w:sz w:val="22"/>
          <w:szCs w:val="22"/>
          <w:lang w:val="hr-BA"/>
        </w:rPr>
        <w:t xml:space="preserve">planirani su u iznosu od 89.484,00 eura odnosno 42,89% manje u odnosu na plan za 2025. godinu. Planiraju se sredstva od izvršenih usluga i sredstva iz donacija i to prvenstveno iz Područne vatrogasne zajednice Labin i iz Vatrogasne zajednice Istarske županije. Sredstva su smanjena </w:t>
      </w:r>
      <w:r w:rsidRPr="00D0293F">
        <w:rPr>
          <w:rFonts w:ascii="Arial" w:hAnsi="Arial" w:cs="Arial"/>
          <w:sz w:val="22"/>
          <w:szCs w:val="22"/>
          <w:lang w:val="hr-BA"/>
        </w:rPr>
        <w:lastRenderedPageBreak/>
        <w:t xml:space="preserve">radi smanjenja donacija iz Područne vatrogasne zajednice Labin zbog nemogućnosti financiranja materijalnih rashoda za JVP Labin. </w:t>
      </w:r>
    </w:p>
    <w:p w14:paraId="1D6C1C78" w14:textId="77777777" w:rsidR="00D357A6" w:rsidRPr="00D0293F" w:rsidRDefault="00D357A6" w:rsidP="00D0293F">
      <w:pPr>
        <w:spacing w:line="259" w:lineRule="auto"/>
        <w:jc w:val="both"/>
        <w:rPr>
          <w:rFonts w:ascii="Arial" w:hAnsi="Arial" w:cs="Arial"/>
          <w:sz w:val="22"/>
          <w:szCs w:val="22"/>
          <w:lang w:val="hr-BA"/>
        </w:rPr>
      </w:pPr>
    </w:p>
    <w:p w14:paraId="578CEE40" w14:textId="77777777" w:rsidR="00D357A6" w:rsidRPr="00D0293F" w:rsidRDefault="00D357A6" w:rsidP="00D0293F">
      <w:pPr>
        <w:spacing w:line="259" w:lineRule="auto"/>
        <w:jc w:val="both"/>
        <w:rPr>
          <w:rFonts w:ascii="Arial" w:hAnsi="Arial" w:cs="Arial"/>
          <w:sz w:val="22"/>
          <w:szCs w:val="22"/>
          <w:lang w:val="hr-BA"/>
        </w:rPr>
      </w:pPr>
      <w:r w:rsidRPr="00D0293F">
        <w:rPr>
          <w:rFonts w:ascii="Arial" w:hAnsi="Arial" w:cs="Arial"/>
          <w:b/>
          <w:sz w:val="22"/>
          <w:szCs w:val="22"/>
          <w:lang w:val="hr-BA"/>
        </w:rPr>
        <w:t xml:space="preserve">4. Prihodi iz nadležnog proračuna </w:t>
      </w:r>
      <w:r w:rsidRPr="00D0293F">
        <w:rPr>
          <w:rFonts w:ascii="Arial" w:hAnsi="Arial" w:cs="Arial"/>
          <w:sz w:val="22"/>
          <w:szCs w:val="22"/>
          <w:lang w:val="hr-BA"/>
        </w:rPr>
        <w:t xml:space="preserve">planirani su u iznosu od 1.011.295,00 eura odnosno 7,42% više  odnosu na plan 2025. godine. Sredstva iz gradskog proračuna su povećana iz gore navedenih razloga, a decentralizirana sredstva su povećana  za 31.876,00 eura sukladno Odluci o minimalnim financijskim standardima, kriterijima i mjerilima za financiranje rashoda javnih vatrogasnih postrojbi u 2025. godini (NN 16/25). </w:t>
      </w:r>
    </w:p>
    <w:p w14:paraId="549CF21A" w14:textId="77777777" w:rsidR="00D357A6" w:rsidRPr="00D0293F" w:rsidRDefault="00D357A6" w:rsidP="00D0293F">
      <w:pPr>
        <w:spacing w:line="259" w:lineRule="auto"/>
        <w:jc w:val="both"/>
        <w:rPr>
          <w:rFonts w:ascii="Arial" w:hAnsi="Arial" w:cs="Arial"/>
          <w:sz w:val="22"/>
          <w:szCs w:val="22"/>
          <w:lang w:val="hr-BA"/>
        </w:rPr>
      </w:pPr>
    </w:p>
    <w:p w14:paraId="2400BC05" w14:textId="77777777" w:rsidR="00D357A6" w:rsidRPr="00D0293F" w:rsidRDefault="00D357A6" w:rsidP="00D0293F">
      <w:pPr>
        <w:spacing w:line="259" w:lineRule="auto"/>
        <w:jc w:val="both"/>
        <w:rPr>
          <w:rFonts w:ascii="Arial" w:hAnsi="Arial" w:cs="Arial"/>
          <w:sz w:val="22"/>
          <w:szCs w:val="22"/>
          <w:lang w:val="hr-BA"/>
        </w:rPr>
      </w:pPr>
      <w:r w:rsidRPr="00D0293F">
        <w:rPr>
          <w:rFonts w:ascii="Arial" w:hAnsi="Arial" w:cs="Arial"/>
          <w:b/>
          <w:bCs/>
          <w:sz w:val="22"/>
          <w:szCs w:val="22"/>
          <w:lang w:val="hr-BA"/>
        </w:rPr>
        <w:t xml:space="preserve">Prihodi od prodaje nefinancijske imovine </w:t>
      </w:r>
      <w:r w:rsidRPr="00D0293F">
        <w:rPr>
          <w:rFonts w:ascii="Arial" w:hAnsi="Arial" w:cs="Arial"/>
          <w:sz w:val="22"/>
          <w:szCs w:val="22"/>
          <w:lang w:val="hr-BA"/>
        </w:rPr>
        <w:t>planirani su u iznosu od 2.000,00 eura i čine 0,12% ukupnih prihoda.</w:t>
      </w:r>
    </w:p>
    <w:p w14:paraId="4B39C6DC" w14:textId="77777777" w:rsidR="00D357A6" w:rsidRPr="00D0293F" w:rsidRDefault="00D357A6" w:rsidP="00D0293F">
      <w:pPr>
        <w:spacing w:line="259" w:lineRule="auto"/>
        <w:jc w:val="both"/>
        <w:rPr>
          <w:rFonts w:ascii="Arial" w:hAnsi="Arial" w:cs="Arial"/>
          <w:sz w:val="22"/>
          <w:szCs w:val="22"/>
          <w:lang w:val="hr-BA"/>
        </w:rPr>
      </w:pPr>
    </w:p>
    <w:p w14:paraId="028EC4DC" w14:textId="77777777" w:rsidR="00D357A6" w:rsidRPr="00D0293F" w:rsidRDefault="00D357A6" w:rsidP="00D0293F">
      <w:pPr>
        <w:spacing w:line="259" w:lineRule="auto"/>
        <w:jc w:val="both"/>
        <w:rPr>
          <w:rFonts w:ascii="Arial" w:hAnsi="Arial" w:cs="Arial"/>
          <w:sz w:val="22"/>
          <w:szCs w:val="22"/>
          <w:lang w:val="hr-BA"/>
        </w:rPr>
      </w:pPr>
      <w:r w:rsidRPr="00D0293F">
        <w:rPr>
          <w:rFonts w:ascii="Arial" w:hAnsi="Arial" w:cs="Arial"/>
          <w:b/>
          <w:sz w:val="22"/>
          <w:szCs w:val="22"/>
          <w:lang w:val="hr-BA"/>
        </w:rPr>
        <w:t xml:space="preserve">1. Prihodi od prodaje proizvedene dugotrajne imovine </w:t>
      </w:r>
      <w:r w:rsidRPr="00D0293F">
        <w:rPr>
          <w:rFonts w:ascii="Arial" w:hAnsi="Arial" w:cs="Arial"/>
          <w:sz w:val="22"/>
          <w:szCs w:val="22"/>
          <w:lang w:val="hr-BA"/>
        </w:rPr>
        <w:t>planirani su u iznosu od 2.000,00 eura. Odnose se na prihode od prodaje starih prijevoznih sredstava.</w:t>
      </w:r>
    </w:p>
    <w:p w14:paraId="3A22E4B8" w14:textId="77777777" w:rsidR="00D357A6" w:rsidRPr="00D0293F" w:rsidRDefault="00D357A6" w:rsidP="00D0293F">
      <w:pPr>
        <w:spacing w:line="259" w:lineRule="auto"/>
        <w:jc w:val="both"/>
        <w:rPr>
          <w:rFonts w:ascii="Arial" w:hAnsi="Arial" w:cs="Arial"/>
          <w:sz w:val="22"/>
          <w:szCs w:val="22"/>
          <w:lang w:val="hr-BA"/>
        </w:rPr>
      </w:pPr>
    </w:p>
    <w:p w14:paraId="67AD348B" w14:textId="77777777" w:rsidR="00D357A6" w:rsidRPr="00D0293F" w:rsidRDefault="00D357A6" w:rsidP="00D0293F">
      <w:pPr>
        <w:spacing w:line="259" w:lineRule="auto"/>
        <w:jc w:val="both"/>
        <w:rPr>
          <w:rFonts w:ascii="Arial" w:hAnsi="Arial" w:cs="Arial"/>
          <w:color w:val="FF0000"/>
          <w:sz w:val="22"/>
          <w:szCs w:val="22"/>
          <w:lang w:val="hr-BA"/>
        </w:rPr>
      </w:pPr>
      <w:r w:rsidRPr="00D0293F">
        <w:rPr>
          <w:rFonts w:ascii="Arial" w:hAnsi="Arial" w:cs="Arial"/>
          <w:b/>
          <w:sz w:val="22"/>
          <w:szCs w:val="22"/>
          <w:lang w:val="hr-BA"/>
        </w:rPr>
        <w:t xml:space="preserve">Rezultat poslovanja- višak prihoda </w:t>
      </w:r>
      <w:r w:rsidRPr="00D0293F">
        <w:rPr>
          <w:rFonts w:ascii="Arial" w:hAnsi="Arial" w:cs="Arial"/>
          <w:bCs/>
          <w:sz w:val="22"/>
          <w:szCs w:val="22"/>
          <w:lang w:val="hr-BA"/>
        </w:rPr>
        <w:t xml:space="preserve"> iz 2024. godine iznosi 6.292,00 eura što je za 57,30% više u odnosu na planiranu procjenu viška prihoda. Ostvaren je veći višak prihoda radi više ostvarenih vlastitih prihoda od planiranih.</w:t>
      </w:r>
    </w:p>
    <w:p w14:paraId="7AC5B732" w14:textId="77777777" w:rsidR="00D357A6" w:rsidRPr="00D0293F" w:rsidRDefault="00D357A6" w:rsidP="00D0293F">
      <w:pPr>
        <w:spacing w:line="259" w:lineRule="auto"/>
        <w:ind w:firstLine="708"/>
        <w:rPr>
          <w:rFonts w:ascii="Arial" w:hAnsi="Arial" w:cs="Arial"/>
          <w:b/>
          <w:sz w:val="22"/>
          <w:szCs w:val="22"/>
          <w:lang w:val="hr-BA"/>
        </w:rPr>
      </w:pPr>
    </w:p>
    <w:p w14:paraId="57D52D60" w14:textId="77777777" w:rsidR="00D357A6" w:rsidRPr="00D0293F" w:rsidRDefault="00D357A6" w:rsidP="00D0293F">
      <w:pPr>
        <w:spacing w:line="259" w:lineRule="auto"/>
        <w:ind w:firstLine="708"/>
        <w:rPr>
          <w:rFonts w:ascii="Arial" w:hAnsi="Arial" w:cs="Arial"/>
          <w:b/>
          <w:sz w:val="22"/>
          <w:szCs w:val="22"/>
          <w:lang w:val="hr-BA"/>
        </w:rPr>
      </w:pPr>
    </w:p>
    <w:p w14:paraId="283A9471" w14:textId="77777777" w:rsidR="00D357A6" w:rsidRPr="00AC3007" w:rsidRDefault="00D357A6" w:rsidP="00D0293F">
      <w:pPr>
        <w:spacing w:line="259" w:lineRule="auto"/>
        <w:ind w:firstLine="708"/>
        <w:rPr>
          <w:rFonts w:ascii="Arial" w:hAnsi="Arial" w:cs="Arial"/>
          <w:b/>
          <w:lang w:val="hr-BA"/>
        </w:rPr>
      </w:pPr>
    </w:p>
    <w:p w14:paraId="6A5D8159" w14:textId="77777777" w:rsidR="00D357A6" w:rsidRPr="00AC3007" w:rsidRDefault="00D357A6" w:rsidP="00D0293F">
      <w:pPr>
        <w:spacing w:line="259" w:lineRule="auto"/>
        <w:ind w:firstLine="708"/>
        <w:rPr>
          <w:rFonts w:ascii="Arial" w:hAnsi="Arial" w:cs="Arial"/>
          <w:b/>
          <w:lang w:val="hr-BA"/>
        </w:rPr>
      </w:pPr>
      <w:r w:rsidRPr="00AC3007">
        <w:rPr>
          <w:rFonts w:ascii="Arial" w:hAnsi="Arial" w:cs="Arial"/>
          <w:b/>
          <w:lang w:val="hr-BA"/>
        </w:rPr>
        <w:t>OBRAZLOŽENJE RASHODA  I IZDATAKA</w:t>
      </w:r>
    </w:p>
    <w:p w14:paraId="20382C6B" w14:textId="77777777" w:rsidR="00D357A6" w:rsidRPr="00D0293F" w:rsidRDefault="00D357A6" w:rsidP="00D0293F">
      <w:pPr>
        <w:spacing w:line="259" w:lineRule="auto"/>
        <w:ind w:firstLine="708"/>
        <w:rPr>
          <w:rFonts w:ascii="Arial" w:hAnsi="Arial" w:cs="Arial"/>
          <w:b/>
          <w:sz w:val="22"/>
          <w:szCs w:val="22"/>
          <w:lang w:val="hr-BA"/>
        </w:rPr>
      </w:pPr>
    </w:p>
    <w:p w14:paraId="260CCCBB" w14:textId="77777777" w:rsidR="00D357A6" w:rsidRPr="00D0293F" w:rsidRDefault="00D357A6" w:rsidP="00D0293F">
      <w:pPr>
        <w:spacing w:line="259" w:lineRule="auto"/>
        <w:jc w:val="both"/>
        <w:rPr>
          <w:rFonts w:ascii="Arial" w:hAnsi="Arial" w:cs="Arial"/>
          <w:sz w:val="22"/>
          <w:szCs w:val="22"/>
          <w:lang w:val="hr-BA"/>
        </w:rPr>
      </w:pPr>
      <w:r w:rsidRPr="00D0293F">
        <w:rPr>
          <w:rFonts w:ascii="Arial" w:hAnsi="Arial" w:cs="Arial"/>
          <w:b/>
          <w:sz w:val="22"/>
          <w:szCs w:val="22"/>
          <w:lang w:val="hr-BA"/>
        </w:rPr>
        <w:t xml:space="preserve">Rashodi i izdaci poslovanja </w:t>
      </w:r>
      <w:r w:rsidRPr="00D0293F">
        <w:rPr>
          <w:rFonts w:ascii="Arial" w:hAnsi="Arial" w:cs="Arial"/>
          <w:sz w:val="22"/>
          <w:szCs w:val="22"/>
          <w:lang w:val="hr-BA"/>
        </w:rPr>
        <w:t>planirani su u iznosu od 1.607.139,00 eura odnosno 2,33% više u odnosu na plan 2025. godine, a čine 98,14% ukupnih rashoda i izdataka.</w:t>
      </w:r>
    </w:p>
    <w:p w14:paraId="5416DCD4" w14:textId="77777777" w:rsidR="00D357A6" w:rsidRPr="00D0293F" w:rsidRDefault="00D357A6" w:rsidP="00D0293F">
      <w:pPr>
        <w:spacing w:line="259" w:lineRule="auto"/>
        <w:jc w:val="both"/>
        <w:rPr>
          <w:rFonts w:ascii="Arial" w:hAnsi="Arial" w:cs="Arial"/>
          <w:b/>
          <w:sz w:val="22"/>
          <w:szCs w:val="22"/>
          <w:lang w:val="hr-BA"/>
        </w:rPr>
      </w:pPr>
    </w:p>
    <w:p w14:paraId="0C228204" w14:textId="77777777" w:rsidR="00D357A6" w:rsidRPr="00D0293F" w:rsidRDefault="00D357A6" w:rsidP="00D0293F">
      <w:pPr>
        <w:spacing w:line="259" w:lineRule="auto"/>
        <w:jc w:val="both"/>
        <w:rPr>
          <w:rFonts w:ascii="Arial" w:hAnsi="Arial" w:cs="Arial"/>
          <w:sz w:val="22"/>
          <w:szCs w:val="22"/>
          <w:lang w:val="hr-BA"/>
        </w:rPr>
      </w:pPr>
      <w:r w:rsidRPr="00D0293F">
        <w:rPr>
          <w:rFonts w:ascii="Arial" w:hAnsi="Arial" w:cs="Arial"/>
          <w:b/>
          <w:sz w:val="22"/>
          <w:szCs w:val="22"/>
          <w:lang w:val="hr-BA"/>
        </w:rPr>
        <w:t xml:space="preserve">1. Rashodi za zaposlene  </w:t>
      </w:r>
      <w:r w:rsidRPr="00D0293F">
        <w:rPr>
          <w:rFonts w:ascii="Arial" w:hAnsi="Arial" w:cs="Arial"/>
          <w:sz w:val="22"/>
          <w:szCs w:val="22"/>
          <w:lang w:val="hr-BA"/>
        </w:rPr>
        <w:t xml:space="preserve">planirani su u iznosu od 1.377.190,00 eura ili 1,86% više u odnosu na plan za 2025. godinu. Rashodi su povećani radi potrebe radnika za prekovremenim radom ostvarenim na većim intervencijama. </w:t>
      </w:r>
    </w:p>
    <w:p w14:paraId="22E2947E" w14:textId="77777777" w:rsidR="00D357A6" w:rsidRPr="00D0293F" w:rsidRDefault="00D357A6" w:rsidP="00D0293F">
      <w:pPr>
        <w:spacing w:line="259" w:lineRule="auto"/>
        <w:jc w:val="both"/>
        <w:rPr>
          <w:rFonts w:ascii="Arial" w:hAnsi="Arial" w:cs="Arial"/>
          <w:sz w:val="22"/>
          <w:szCs w:val="22"/>
          <w:lang w:val="hr-BA"/>
        </w:rPr>
      </w:pPr>
    </w:p>
    <w:p w14:paraId="696772B9" w14:textId="77777777" w:rsidR="00D357A6" w:rsidRPr="00D0293F" w:rsidRDefault="00D357A6" w:rsidP="00D0293F">
      <w:pPr>
        <w:spacing w:line="259" w:lineRule="auto"/>
        <w:jc w:val="both"/>
        <w:rPr>
          <w:rFonts w:ascii="Arial" w:hAnsi="Arial" w:cs="Arial"/>
          <w:sz w:val="22"/>
          <w:szCs w:val="22"/>
          <w:lang w:val="hr-BA"/>
        </w:rPr>
      </w:pPr>
      <w:r w:rsidRPr="00D0293F">
        <w:rPr>
          <w:rFonts w:ascii="Arial" w:hAnsi="Arial" w:cs="Arial"/>
          <w:b/>
          <w:sz w:val="22"/>
          <w:szCs w:val="22"/>
          <w:lang w:val="hr-BA"/>
        </w:rPr>
        <w:t xml:space="preserve">2. Materijalni rashodi </w:t>
      </w:r>
      <w:r w:rsidRPr="00D0293F">
        <w:rPr>
          <w:rFonts w:ascii="Arial" w:hAnsi="Arial" w:cs="Arial"/>
          <w:sz w:val="22"/>
          <w:szCs w:val="22"/>
          <w:lang w:val="hr-BA"/>
        </w:rPr>
        <w:t>planirani su u iznosu od 229.899,00 eura odnosno 5,20% više od plana 2025. godine.</w:t>
      </w:r>
    </w:p>
    <w:p w14:paraId="40A911F4" w14:textId="77777777" w:rsidR="00D357A6" w:rsidRPr="00D0293F" w:rsidRDefault="00D357A6" w:rsidP="00D0293F">
      <w:pPr>
        <w:spacing w:line="259" w:lineRule="auto"/>
        <w:jc w:val="both"/>
        <w:rPr>
          <w:rFonts w:ascii="Arial" w:hAnsi="Arial" w:cs="Arial"/>
          <w:sz w:val="22"/>
          <w:szCs w:val="22"/>
          <w:lang w:val="hr-BA"/>
        </w:rPr>
      </w:pPr>
      <w:r w:rsidRPr="00D0293F">
        <w:rPr>
          <w:rFonts w:ascii="Arial" w:hAnsi="Arial" w:cs="Arial"/>
          <w:sz w:val="22"/>
          <w:szCs w:val="22"/>
          <w:lang w:val="hr-BA"/>
        </w:rPr>
        <w:t>Planiraju se sredstva za naknade troškova zaposlenima, rashode za materijal i energiju, rashode za usluge i ostale nespomenute rashode. Veća sredstva planirana su za nabavu službene, zaštitne i radne odjeće i obuće i sitnog inventara-vatrogasne zaštitne opreme za novozaposlene radnike, te za usluge tekućeg i investicijskog održavanja opreme i vozila radi servisa istih.</w:t>
      </w:r>
    </w:p>
    <w:p w14:paraId="312282F3" w14:textId="77777777" w:rsidR="00D357A6" w:rsidRPr="00D0293F" w:rsidRDefault="00D357A6" w:rsidP="00D0293F">
      <w:pPr>
        <w:spacing w:line="259" w:lineRule="auto"/>
        <w:jc w:val="both"/>
        <w:rPr>
          <w:rFonts w:ascii="Arial" w:hAnsi="Arial" w:cs="Arial"/>
          <w:b/>
          <w:bCs/>
          <w:sz w:val="22"/>
          <w:szCs w:val="22"/>
          <w:lang w:val="hr-BA"/>
        </w:rPr>
      </w:pPr>
    </w:p>
    <w:p w14:paraId="14067ECB" w14:textId="77777777" w:rsidR="00D357A6" w:rsidRPr="00D0293F" w:rsidRDefault="00D357A6" w:rsidP="00D0293F">
      <w:pPr>
        <w:spacing w:line="259" w:lineRule="auto"/>
        <w:jc w:val="both"/>
        <w:rPr>
          <w:rFonts w:ascii="Arial" w:hAnsi="Arial" w:cs="Arial"/>
          <w:sz w:val="22"/>
          <w:szCs w:val="22"/>
          <w:lang w:val="hr-BA"/>
        </w:rPr>
      </w:pPr>
      <w:r w:rsidRPr="00D0293F">
        <w:rPr>
          <w:rFonts w:ascii="Arial" w:hAnsi="Arial" w:cs="Arial"/>
          <w:b/>
          <w:bCs/>
          <w:sz w:val="22"/>
          <w:szCs w:val="22"/>
          <w:lang w:val="hr-BA"/>
        </w:rPr>
        <w:t xml:space="preserve">3. Financijski rashodi </w:t>
      </w:r>
      <w:r w:rsidRPr="00D0293F">
        <w:rPr>
          <w:rFonts w:ascii="Arial" w:hAnsi="Arial" w:cs="Arial"/>
          <w:sz w:val="22"/>
          <w:szCs w:val="22"/>
          <w:lang w:val="hr-BA"/>
        </w:rPr>
        <w:t xml:space="preserve">nema promjena u odnosu na Financijski plan 2025. godine. </w:t>
      </w:r>
    </w:p>
    <w:p w14:paraId="583AF568" w14:textId="77777777" w:rsidR="00D357A6" w:rsidRPr="00D0293F" w:rsidRDefault="00D357A6" w:rsidP="00D0293F">
      <w:pPr>
        <w:spacing w:line="259" w:lineRule="auto"/>
        <w:jc w:val="both"/>
        <w:rPr>
          <w:rFonts w:ascii="Arial" w:hAnsi="Arial" w:cs="Arial"/>
          <w:b/>
          <w:sz w:val="22"/>
          <w:szCs w:val="22"/>
          <w:lang w:val="hr-BA"/>
        </w:rPr>
      </w:pPr>
    </w:p>
    <w:p w14:paraId="68E57171" w14:textId="77777777" w:rsidR="00D357A6" w:rsidRPr="00D0293F" w:rsidRDefault="00D357A6" w:rsidP="00D0293F">
      <w:pPr>
        <w:spacing w:line="259" w:lineRule="auto"/>
        <w:jc w:val="both"/>
        <w:rPr>
          <w:rFonts w:ascii="Arial" w:hAnsi="Arial" w:cs="Arial"/>
          <w:sz w:val="22"/>
          <w:szCs w:val="22"/>
          <w:lang w:val="hr-BA"/>
        </w:rPr>
      </w:pPr>
      <w:r w:rsidRPr="00D0293F">
        <w:rPr>
          <w:rFonts w:ascii="Arial" w:hAnsi="Arial" w:cs="Arial"/>
          <w:b/>
          <w:sz w:val="22"/>
          <w:szCs w:val="22"/>
          <w:lang w:val="hr-BA"/>
        </w:rPr>
        <w:t xml:space="preserve">Rashodi za nabavu nefinancijske imovine </w:t>
      </w:r>
      <w:r w:rsidRPr="00D0293F">
        <w:rPr>
          <w:rFonts w:ascii="Arial" w:hAnsi="Arial" w:cs="Arial"/>
          <w:sz w:val="22"/>
          <w:szCs w:val="22"/>
          <w:lang w:val="hr-BA"/>
        </w:rPr>
        <w:t>planirani su u iznosu od 30.501,00 eura odnosno 13,43% više od plana 2025. godine, a čine  1,86 % rashoda i izdataka.</w:t>
      </w:r>
    </w:p>
    <w:p w14:paraId="453DF403" w14:textId="77777777" w:rsidR="00D357A6" w:rsidRPr="00D0293F" w:rsidRDefault="00D357A6" w:rsidP="00D0293F">
      <w:pPr>
        <w:spacing w:line="259" w:lineRule="auto"/>
        <w:jc w:val="both"/>
        <w:rPr>
          <w:rFonts w:ascii="Arial" w:hAnsi="Arial" w:cs="Arial"/>
          <w:b/>
          <w:sz w:val="22"/>
          <w:szCs w:val="22"/>
          <w:lang w:val="hr-BA"/>
        </w:rPr>
      </w:pPr>
    </w:p>
    <w:p w14:paraId="74C6E982" w14:textId="77777777" w:rsidR="00D357A6" w:rsidRPr="00D0293F" w:rsidRDefault="00D357A6" w:rsidP="00D0293F">
      <w:pPr>
        <w:spacing w:line="259" w:lineRule="auto"/>
        <w:jc w:val="both"/>
        <w:rPr>
          <w:rFonts w:ascii="Arial" w:hAnsi="Arial" w:cs="Arial"/>
          <w:sz w:val="22"/>
          <w:szCs w:val="22"/>
          <w:lang w:val="hr-BA"/>
        </w:rPr>
      </w:pPr>
      <w:r w:rsidRPr="00D0293F">
        <w:rPr>
          <w:rFonts w:ascii="Arial" w:hAnsi="Arial" w:cs="Arial"/>
          <w:b/>
          <w:sz w:val="22"/>
          <w:szCs w:val="22"/>
          <w:lang w:val="hr-BA"/>
        </w:rPr>
        <w:t xml:space="preserve">1.Rashodi za nabavu proizvedene dugotrajne imovine  </w:t>
      </w:r>
      <w:r w:rsidRPr="00D0293F">
        <w:rPr>
          <w:rFonts w:ascii="Arial" w:hAnsi="Arial" w:cs="Arial"/>
          <w:sz w:val="22"/>
          <w:szCs w:val="22"/>
          <w:lang w:val="hr-BA"/>
        </w:rPr>
        <w:t>planirani su u iznosu od 30.501,00 eura odnosno 13,43% više od plana 2025. godine. Sredstva su povećana zbog planirane nabave vatrogasne opreme.</w:t>
      </w:r>
    </w:p>
    <w:p w14:paraId="0DF918F0" w14:textId="77777777" w:rsidR="00D357A6" w:rsidRPr="00D0293F" w:rsidRDefault="00D357A6" w:rsidP="00D0293F">
      <w:pPr>
        <w:spacing w:line="259" w:lineRule="auto"/>
        <w:jc w:val="both"/>
        <w:rPr>
          <w:rFonts w:ascii="Arial" w:hAnsi="Arial" w:cs="Arial"/>
          <w:sz w:val="22"/>
          <w:szCs w:val="22"/>
          <w:lang w:val="hr-BA"/>
        </w:rPr>
      </w:pPr>
    </w:p>
    <w:p w14:paraId="283E7AA4" w14:textId="77777777" w:rsidR="00D357A6" w:rsidRPr="00D0293F" w:rsidRDefault="00D357A6" w:rsidP="00D0293F">
      <w:pPr>
        <w:spacing w:line="259" w:lineRule="auto"/>
        <w:jc w:val="both"/>
        <w:rPr>
          <w:rFonts w:ascii="Arial" w:hAnsi="Arial" w:cs="Arial"/>
          <w:color w:val="FF0000"/>
          <w:sz w:val="22"/>
          <w:szCs w:val="22"/>
          <w:lang w:val="hr-BA"/>
        </w:rPr>
      </w:pPr>
      <w:r w:rsidRPr="00D0293F">
        <w:rPr>
          <w:rFonts w:ascii="Arial" w:hAnsi="Arial" w:cs="Arial"/>
          <w:b/>
          <w:bCs/>
          <w:sz w:val="22"/>
          <w:szCs w:val="22"/>
          <w:lang w:val="hr-BA"/>
        </w:rPr>
        <w:t>Rezultat poslovanja – manjak prihoda</w:t>
      </w:r>
      <w:r w:rsidRPr="00D0293F">
        <w:rPr>
          <w:rFonts w:ascii="Arial" w:hAnsi="Arial" w:cs="Arial"/>
          <w:sz w:val="22"/>
          <w:szCs w:val="22"/>
          <w:lang w:val="hr-BA"/>
        </w:rPr>
        <w:t xml:space="preserve"> ostvaren u 2024. godini iznosi 3.083,00 eura, a odnosi se na neplaćene račune do 31.12.2024. godine iz sredstava gradskog proračuna koji nisu podmireni do 31.12.2024. </w:t>
      </w:r>
    </w:p>
    <w:p w14:paraId="5D4E3D23" w14:textId="77777777" w:rsidR="00D357A6" w:rsidRPr="00D0293F" w:rsidRDefault="00D357A6" w:rsidP="00D0293F">
      <w:pPr>
        <w:spacing w:line="259" w:lineRule="auto"/>
        <w:rPr>
          <w:rFonts w:ascii="Arial" w:hAnsi="Arial" w:cs="Arial"/>
          <w:b/>
          <w:sz w:val="22"/>
          <w:szCs w:val="22"/>
          <w:lang w:val="hr-BA"/>
        </w:rPr>
      </w:pPr>
    </w:p>
    <w:p w14:paraId="1D8C4D05" w14:textId="77777777" w:rsidR="00D357A6" w:rsidRDefault="00D357A6" w:rsidP="00D357A6">
      <w:pPr>
        <w:rPr>
          <w:rFonts w:ascii="Arial" w:hAnsi="Arial" w:cs="Arial"/>
          <w:b/>
          <w:lang w:val="hr-BA"/>
        </w:rPr>
      </w:pPr>
      <w:r w:rsidRPr="00917929">
        <w:rPr>
          <w:rFonts w:ascii="Arial" w:hAnsi="Arial" w:cs="Arial"/>
          <w:b/>
          <w:lang w:val="hr-BA"/>
        </w:rPr>
        <w:lastRenderedPageBreak/>
        <w:t>2. PREGLED PLANIRAHIH PRIHODA I PRIMITAKA, RASHODA I IZDATAKA TE PLANIRANOG REZULTATA POSLOVANJA PREMA IZVORIMA FINANCIRANJA ZA 202</w:t>
      </w:r>
      <w:r>
        <w:rPr>
          <w:rFonts w:ascii="Arial" w:hAnsi="Arial" w:cs="Arial"/>
          <w:b/>
          <w:lang w:val="hr-BA"/>
        </w:rPr>
        <w:t>5</w:t>
      </w:r>
      <w:r w:rsidRPr="00917929">
        <w:rPr>
          <w:rFonts w:ascii="Arial" w:hAnsi="Arial" w:cs="Arial"/>
          <w:b/>
          <w:lang w:val="hr-BA"/>
        </w:rPr>
        <w:t>.GODINU</w:t>
      </w:r>
    </w:p>
    <w:p w14:paraId="2DEE572D" w14:textId="77777777" w:rsidR="00AC3007" w:rsidRPr="00917929" w:rsidRDefault="00AC3007" w:rsidP="00D357A6">
      <w:pPr>
        <w:rPr>
          <w:rFonts w:ascii="Arial" w:hAnsi="Arial" w:cs="Arial"/>
          <w:b/>
          <w:lang w:val="hr-BA"/>
        </w:rPr>
      </w:pPr>
    </w:p>
    <w:p w14:paraId="2A738279" w14:textId="3E2D9D0A" w:rsidR="00D357A6" w:rsidRDefault="00D357A6" w:rsidP="00AC3007">
      <w:pPr>
        <w:keepNext/>
        <w:keepLines/>
        <w:spacing w:line="259" w:lineRule="auto"/>
        <w:jc w:val="both"/>
        <w:outlineLvl w:val="1"/>
        <w:rPr>
          <w:rFonts w:ascii="Arial" w:hAnsi="Arial"/>
          <w:bCs/>
          <w:sz w:val="22"/>
          <w:szCs w:val="22"/>
          <w:lang w:val="hr-BA"/>
        </w:rPr>
      </w:pPr>
      <w:r w:rsidRPr="00AC3007">
        <w:rPr>
          <w:rFonts w:ascii="Arial" w:hAnsi="Arial"/>
          <w:bCs/>
          <w:sz w:val="22"/>
          <w:szCs w:val="22"/>
          <w:lang w:val="hr-BA"/>
        </w:rPr>
        <w:t>Tabelarni pregled planiranog - ostvarenog viška/manjka 2024.</w:t>
      </w:r>
      <w:r w:rsidR="00AC3007">
        <w:rPr>
          <w:rFonts w:ascii="Arial" w:hAnsi="Arial"/>
          <w:bCs/>
          <w:sz w:val="22"/>
          <w:szCs w:val="22"/>
          <w:lang w:val="hr-BA"/>
        </w:rPr>
        <w:t xml:space="preserve"> </w:t>
      </w:r>
      <w:r w:rsidRPr="00AC3007">
        <w:rPr>
          <w:rFonts w:ascii="Arial" w:hAnsi="Arial"/>
          <w:bCs/>
          <w:sz w:val="22"/>
          <w:szCs w:val="22"/>
          <w:lang w:val="hr-BA"/>
        </w:rPr>
        <w:t>godine, planiranih prihoda i primitaka, rashoda i izdataka  prema izvorima financiranja za 2025.godinu</w:t>
      </w:r>
    </w:p>
    <w:p w14:paraId="7222DAB7" w14:textId="77777777" w:rsidR="00AC3007" w:rsidRPr="00AC3007" w:rsidRDefault="00AC3007" w:rsidP="00AC3007">
      <w:pPr>
        <w:keepNext/>
        <w:keepLines/>
        <w:spacing w:line="259" w:lineRule="auto"/>
        <w:jc w:val="both"/>
        <w:outlineLvl w:val="1"/>
        <w:rPr>
          <w:rFonts w:ascii="Arial" w:hAnsi="Arial"/>
          <w:bCs/>
          <w:sz w:val="22"/>
          <w:szCs w:val="22"/>
          <w:lang w:val="hr-BA"/>
        </w:rPr>
      </w:pPr>
    </w:p>
    <w:p w14:paraId="6C2CBB5A" w14:textId="77777777" w:rsidR="00AC3007" w:rsidRDefault="00D357A6" w:rsidP="00AC3007">
      <w:pPr>
        <w:keepNext/>
        <w:keepLines/>
        <w:spacing w:line="259" w:lineRule="auto"/>
        <w:jc w:val="both"/>
        <w:outlineLvl w:val="1"/>
        <w:rPr>
          <w:rFonts w:ascii="Arial" w:hAnsi="Arial" w:cs="Arial"/>
          <w:sz w:val="22"/>
          <w:szCs w:val="22"/>
        </w:rPr>
      </w:pPr>
      <w:r w:rsidRPr="00AC3007">
        <w:rPr>
          <w:rFonts w:ascii="Arial" w:hAnsi="Arial" w:cs="Arial"/>
          <w:b/>
          <w:bCs/>
          <w:sz w:val="22"/>
          <w:szCs w:val="22"/>
        </w:rPr>
        <w:t>TABLICA 2.</w:t>
      </w:r>
      <w:r w:rsidRPr="00AC3007">
        <w:rPr>
          <w:rFonts w:ascii="Arial" w:hAnsi="Arial" w:cs="Arial"/>
          <w:sz w:val="22"/>
          <w:szCs w:val="22"/>
        </w:rPr>
        <w:tab/>
      </w:r>
    </w:p>
    <w:p w14:paraId="2C6124A4" w14:textId="1D61451D" w:rsidR="00D357A6" w:rsidRPr="00AC3007" w:rsidRDefault="00AC3007" w:rsidP="00AC3007">
      <w:pPr>
        <w:keepNext/>
        <w:keepLines/>
        <w:spacing w:line="259" w:lineRule="auto"/>
        <w:ind w:left="1416"/>
        <w:jc w:val="both"/>
        <w:outlineLvl w:val="1"/>
        <w:rPr>
          <w:rFonts w:ascii="Arial" w:hAnsi="Arial" w:cs="Arial"/>
          <w:sz w:val="22"/>
          <w:szCs w:val="22"/>
        </w:rPr>
      </w:pPr>
      <w:r>
        <w:rPr>
          <w:rFonts w:ascii="Arial" w:hAnsi="Arial" w:cs="Arial"/>
          <w:sz w:val="22"/>
          <w:szCs w:val="22"/>
        </w:rPr>
        <w:t xml:space="preserve">    </w:t>
      </w:r>
      <w:r w:rsidR="00D357A6" w:rsidRPr="00AC3007">
        <w:rPr>
          <w:rFonts w:ascii="Arial" w:hAnsi="Arial" w:cs="Arial"/>
          <w:sz w:val="22"/>
          <w:szCs w:val="22"/>
        </w:rPr>
        <w:tab/>
      </w:r>
      <w:r w:rsidR="00D357A6" w:rsidRPr="00AC3007">
        <w:rPr>
          <w:rFonts w:ascii="Arial" w:hAnsi="Arial" w:cs="Arial"/>
          <w:sz w:val="22"/>
          <w:szCs w:val="22"/>
        </w:rPr>
        <w:tab/>
      </w:r>
      <w:r w:rsidR="00D357A6" w:rsidRPr="00AC3007">
        <w:rPr>
          <w:rFonts w:ascii="Arial" w:hAnsi="Arial" w:cs="Arial"/>
          <w:sz w:val="22"/>
          <w:szCs w:val="22"/>
        </w:rPr>
        <w:tab/>
      </w:r>
      <w:r w:rsidR="00D357A6" w:rsidRPr="00AC3007">
        <w:rPr>
          <w:rFonts w:ascii="Arial" w:hAnsi="Arial" w:cs="Arial"/>
          <w:sz w:val="22"/>
          <w:szCs w:val="22"/>
        </w:rPr>
        <w:tab/>
      </w:r>
      <w:r w:rsidR="00D357A6" w:rsidRPr="00AC3007">
        <w:rPr>
          <w:rFonts w:ascii="Arial" w:hAnsi="Arial" w:cs="Arial"/>
          <w:sz w:val="22"/>
          <w:szCs w:val="22"/>
        </w:rPr>
        <w:tab/>
      </w:r>
      <w:r w:rsidR="00D357A6" w:rsidRPr="00AC3007">
        <w:rPr>
          <w:rFonts w:ascii="Arial" w:hAnsi="Arial" w:cs="Arial"/>
          <w:sz w:val="22"/>
          <w:szCs w:val="22"/>
        </w:rPr>
        <w:tab/>
      </w:r>
      <w:r w:rsidR="00D357A6" w:rsidRPr="00AC3007">
        <w:rPr>
          <w:rFonts w:ascii="Arial" w:hAnsi="Arial" w:cs="Arial"/>
          <w:sz w:val="22"/>
          <w:szCs w:val="22"/>
        </w:rPr>
        <w:tab/>
      </w:r>
      <w:r w:rsidR="00D357A6" w:rsidRPr="00AC3007">
        <w:rPr>
          <w:rFonts w:ascii="Arial" w:hAnsi="Arial" w:cs="Arial"/>
          <w:sz w:val="22"/>
          <w:szCs w:val="22"/>
        </w:rPr>
        <w:tab/>
      </w:r>
      <w:r w:rsidR="00D357A6" w:rsidRPr="00AC3007">
        <w:rPr>
          <w:rFonts w:ascii="Arial" w:hAnsi="Arial" w:cs="Arial"/>
          <w:sz w:val="22"/>
          <w:szCs w:val="22"/>
        </w:rPr>
        <w:tab/>
      </w:r>
      <w:r>
        <w:rPr>
          <w:rFonts w:ascii="Arial" w:hAnsi="Arial" w:cs="Arial"/>
          <w:sz w:val="22"/>
          <w:szCs w:val="22"/>
        </w:rPr>
        <w:t xml:space="preserve">             </w:t>
      </w:r>
      <w:r w:rsidR="00D357A6" w:rsidRPr="00AC3007">
        <w:rPr>
          <w:rFonts w:ascii="Arial" w:hAnsi="Arial" w:cs="Arial"/>
          <w:sz w:val="22"/>
          <w:szCs w:val="22"/>
        </w:rPr>
        <w:t>EUR</w:t>
      </w:r>
    </w:p>
    <w:tbl>
      <w:tblPr>
        <w:tblW w:w="10362"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1399"/>
        <w:gridCol w:w="1739"/>
        <w:gridCol w:w="1667"/>
        <w:gridCol w:w="1832"/>
        <w:gridCol w:w="1488"/>
      </w:tblGrid>
      <w:tr w:rsidR="00AC3007" w:rsidRPr="00AC3007" w14:paraId="52989384" w14:textId="77777777" w:rsidTr="00AC3007">
        <w:trPr>
          <w:trHeight w:val="170"/>
        </w:trPr>
        <w:tc>
          <w:tcPr>
            <w:tcW w:w="2296" w:type="dxa"/>
            <w:shd w:val="clear" w:color="auto" w:fill="auto"/>
            <w:vAlign w:val="center"/>
          </w:tcPr>
          <w:p w14:paraId="31E57037" w14:textId="77A25C7F" w:rsidR="00AC3007" w:rsidRPr="00AC3007" w:rsidRDefault="00AC3007" w:rsidP="00AC3007">
            <w:pPr>
              <w:spacing w:line="259" w:lineRule="auto"/>
              <w:jc w:val="center"/>
              <w:rPr>
                <w:rFonts w:ascii="Arial" w:hAnsi="Arial" w:cs="Arial"/>
                <w:b/>
                <w:bCs/>
                <w:color w:val="000000"/>
                <w:sz w:val="20"/>
                <w:szCs w:val="20"/>
              </w:rPr>
            </w:pPr>
            <w:r w:rsidRPr="00AC3007">
              <w:rPr>
                <w:rFonts w:ascii="Arial" w:hAnsi="Arial" w:cs="Arial"/>
                <w:b/>
                <w:bCs/>
                <w:color w:val="000000"/>
                <w:sz w:val="20"/>
                <w:szCs w:val="20"/>
              </w:rPr>
              <w:t>NAZIV IZVORA PRIHODA</w:t>
            </w:r>
          </w:p>
        </w:tc>
        <w:tc>
          <w:tcPr>
            <w:tcW w:w="1417" w:type="dxa"/>
            <w:shd w:val="clear" w:color="auto" w:fill="auto"/>
            <w:vAlign w:val="center"/>
          </w:tcPr>
          <w:p w14:paraId="4A0EBD54" w14:textId="11EE22E4" w:rsidR="00AC3007" w:rsidRPr="00AC3007" w:rsidRDefault="00AC3007" w:rsidP="00AC3007">
            <w:pPr>
              <w:spacing w:line="259" w:lineRule="auto"/>
              <w:jc w:val="center"/>
              <w:rPr>
                <w:rFonts w:ascii="Arial" w:hAnsi="Arial" w:cs="Arial"/>
                <w:b/>
                <w:bCs/>
                <w:color w:val="000000"/>
                <w:sz w:val="20"/>
                <w:szCs w:val="20"/>
              </w:rPr>
            </w:pPr>
            <w:r w:rsidRPr="00AC3007">
              <w:rPr>
                <w:rFonts w:ascii="Arial" w:hAnsi="Arial" w:cs="Arial"/>
                <w:b/>
                <w:bCs/>
                <w:color w:val="000000"/>
                <w:sz w:val="20"/>
                <w:szCs w:val="20"/>
              </w:rPr>
              <w:t>IZVOR</w:t>
            </w:r>
          </w:p>
        </w:tc>
        <w:tc>
          <w:tcPr>
            <w:tcW w:w="1581" w:type="dxa"/>
            <w:shd w:val="clear" w:color="auto" w:fill="auto"/>
            <w:vAlign w:val="center"/>
          </w:tcPr>
          <w:p w14:paraId="32822711" w14:textId="1A9CE511" w:rsidR="00AC3007" w:rsidRPr="00AC3007" w:rsidRDefault="00AC3007" w:rsidP="00AC3007">
            <w:pPr>
              <w:spacing w:line="259" w:lineRule="auto"/>
              <w:jc w:val="center"/>
              <w:rPr>
                <w:rFonts w:ascii="Arial" w:hAnsi="Arial" w:cs="Arial"/>
                <w:b/>
                <w:bCs/>
                <w:color w:val="000000"/>
                <w:sz w:val="20"/>
                <w:szCs w:val="20"/>
              </w:rPr>
            </w:pPr>
            <w:r w:rsidRPr="00AC3007">
              <w:rPr>
                <w:rFonts w:ascii="Arial" w:hAnsi="Arial" w:cs="Arial"/>
                <w:b/>
                <w:bCs/>
                <w:color w:val="000000"/>
                <w:sz w:val="20"/>
                <w:szCs w:val="20"/>
              </w:rPr>
              <w:t>PLANIRANI – OSTVARENI VIŠAK/MANJAK 2024</w:t>
            </w:r>
          </w:p>
        </w:tc>
        <w:tc>
          <w:tcPr>
            <w:tcW w:w="1694" w:type="dxa"/>
            <w:shd w:val="clear" w:color="auto" w:fill="auto"/>
            <w:vAlign w:val="center"/>
          </w:tcPr>
          <w:p w14:paraId="46219210" w14:textId="34D7C388" w:rsidR="00AC3007" w:rsidRPr="00AC3007" w:rsidRDefault="00AC3007" w:rsidP="00AC3007">
            <w:pPr>
              <w:spacing w:line="259" w:lineRule="auto"/>
              <w:jc w:val="center"/>
              <w:rPr>
                <w:rFonts w:ascii="Arial" w:hAnsi="Arial" w:cs="Arial"/>
                <w:b/>
                <w:bCs/>
                <w:color w:val="000000"/>
                <w:sz w:val="20"/>
                <w:szCs w:val="20"/>
              </w:rPr>
            </w:pPr>
            <w:r w:rsidRPr="00AC3007">
              <w:rPr>
                <w:rFonts w:ascii="Arial" w:hAnsi="Arial" w:cs="Arial"/>
                <w:b/>
                <w:bCs/>
                <w:color w:val="000000"/>
                <w:sz w:val="20"/>
                <w:szCs w:val="20"/>
              </w:rPr>
              <w:t>PLANIRANI PRIHODI 2025.</w:t>
            </w:r>
          </w:p>
        </w:tc>
        <w:tc>
          <w:tcPr>
            <w:tcW w:w="1876" w:type="dxa"/>
            <w:shd w:val="clear" w:color="auto" w:fill="auto"/>
            <w:vAlign w:val="center"/>
          </w:tcPr>
          <w:p w14:paraId="10ED5651" w14:textId="22CA0390" w:rsidR="00AC3007" w:rsidRPr="00AC3007" w:rsidRDefault="00AC3007" w:rsidP="00AC3007">
            <w:pPr>
              <w:spacing w:line="259" w:lineRule="auto"/>
              <w:jc w:val="center"/>
              <w:rPr>
                <w:rFonts w:ascii="Arial" w:hAnsi="Arial" w:cs="Arial"/>
                <w:b/>
                <w:bCs/>
                <w:color w:val="000000"/>
                <w:sz w:val="20"/>
                <w:szCs w:val="20"/>
              </w:rPr>
            </w:pPr>
            <w:r w:rsidRPr="00AC3007">
              <w:rPr>
                <w:rFonts w:ascii="Arial" w:hAnsi="Arial" w:cs="Arial"/>
                <w:b/>
                <w:bCs/>
                <w:color w:val="000000"/>
                <w:sz w:val="20"/>
                <w:szCs w:val="20"/>
              </w:rPr>
              <w:t>PLANIRANI VIŠAK/</w:t>
            </w:r>
            <w:r>
              <w:rPr>
                <w:rFonts w:ascii="Arial" w:hAnsi="Arial" w:cs="Arial"/>
                <w:b/>
                <w:bCs/>
                <w:color w:val="000000"/>
                <w:sz w:val="20"/>
                <w:szCs w:val="20"/>
              </w:rPr>
              <w:t xml:space="preserve"> </w:t>
            </w:r>
            <w:r w:rsidRPr="00AC3007">
              <w:rPr>
                <w:rFonts w:ascii="Arial" w:hAnsi="Arial" w:cs="Arial"/>
                <w:b/>
                <w:bCs/>
                <w:color w:val="000000"/>
                <w:sz w:val="20"/>
                <w:szCs w:val="20"/>
              </w:rPr>
              <w:t>MANJAK</w:t>
            </w:r>
            <w:r>
              <w:rPr>
                <w:rFonts w:ascii="Arial" w:hAnsi="Arial" w:cs="Arial"/>
                <w:b/>
                <w:bCs/>
                <w:color w:val="000000"/>
                <w:sz w:val="20"/>
                <w:szCs w:val="20"/>
              </w:rPr>
              <w:t xml:space="preserve"> </w:t>
            </w:r>
            <w:r w:rsidRPr="00AC3007">
              <w:rPr>
                <w:rFonts w:ascii="Arial" w:hAnsi="Arial" w:cs="Arial"/>
                <w:b/>
                <w:bCs/>
                <w:color w:val="000000"/>
                <w:sz w:val="20"/>
                <w:szCs w:val="20"/>
              </w:rPr>
              <w:t>2024 + PLANIRANI PRIHODI 2025.</w:t>
            </w:r>
          </w:p>
        </w:tc>
        <w:tc>
          <w:tcPr>
            <w:tcW w:w="1498" w:type="dxa"/>
            <w:shd w:val="clear" w:color="auto" w:fill="auto"/>
            <w:vAlign w:val="center"/>
          </w:tcPr>
          <w:p w14:paraId="7C15277B" w14:textId="741DCEA4" w:rsidR="00AC3007" w:rsidRPr="00AC3007" w:rsidRDefault="00AC3007" w:rsidP="00AC3007">
            <w:pPr>
              <w:spacing w:line="259" w:lineRule="auto"/>
              <w:jc w:val="center"/>
              <w:rPr>
                <w:rFonts w:ascii="Arial" w:hAnsi="Arial" w:cs="Arial"/>
                <w:b/>
                <w:bCs/>
                <w:color w:val="000000"/>
                <w:sz w:val="20"/>
                <w:szCs w:val="20"/>
              </w:rPr>
            </w:pPr>
            <w:r w:rsidRPr="00AC3007">
              <w:rPr>
                <w:rFonts w:ascii="Arial" w:hAnsi="Arial" w:cs="Arial"/>
                <w:b/>
                <w:bCs/>
                <w:color w:val="000000"/>
                <w:sz w:val="20"/>
                <w:szCs w:val="20"/>
              </w:rPr>
              <w:t>PLANIRANI RASHODI 2025.</w:t>
            </w:r>
          </w:p>
        </w:tc>
      </w:tr>
      <w:tr w:rsidR="00AC3007" w:rsidRPr="00AC3007" w14:paraId="4359DB5B" w14:textId="77777777" w:rsidTr="00AC3007">
        <w:trPr>
          <w:trHeight w:val="170"/>
        </w:trPr>
        <w:tc>
          <w:tcPr>
            <w:tcW w:w="2296" w:type="dxa"/>
            <w:shd w:val="clear" w:color="auto" w:fill="auto"/>
            <w:vAlign w:val="center"/>
            <w:hideMark/>
          </w:tcPr>
          <w:p w14:paraId="08A2AF64" w14:textId="77777777" w:rsidR="00AC3007" w:rsidRPr="00AC3007" w:rsidRDefault="00AC3007" w:rsidP="00AC3007">
            <w:pPr>
              <w:spacing w:line="259" w:lineRule="auto"/>
              <w:jc w:val="center"/>
              <w:rPr>
                <w:rFonts w:ascii="Arial" w:hAnsi="Arial" w:cs="Arial"/>
                <w:b/>
                <w:bCs/>
                <w:color w:val="000000"/>
                <w:sz w:val="20"/>
                <w:szCs w:val="20"/>
              </w:rPr>
            </w:pPr>
            <w:r w:rsidRPr="00AC3007">
              <w:rPr>
                <w:rFonts w:ascii="Arial" w:hAnsi="Arial" w:cs="Arial"/>
                <w:b/>
                <w:bCs/>
                <w:color w:val="000000"/>
                <w:sz w:val="20"/>
                <w:szCs w:val="20"/>
              </w:rPr>
              <w:t>1</w:t>
            </w:r>
          </w:p>
        </w:tc>
        <w:tc>
          <w:tcPr>
            <w:tcW w:w="1417" w:type="dxa"/>
            <w:shd w:val="clear" w:color="auto" w:fill="auto"/>
            <w:vAlign w:val="center"/>
            <w:hideMark/>
          </w:tcPr>
          <w:p w14:paraId="642F47E6" w14:textId="77777777" w:rsidR="00AC3007" w:rsidRPr="00AC3007" w:rsidRDefault="00AC3007" w:rsidP="00AC3007">
            <w:pPr>
              <w:spacing w:line="259" w:lineRule="auto"/>
              <w:jc w:val="center"/>
              <w:rPr>
                <w:rFonts w:ascii="Arial" w:hAnsi="Arial" w:cs="Arial"/>
                <w:b/>
                <w:bCs/>
                <w:color w:val="000000"/>
                <w:sz w:val="20"/>
                <w:szCs w:val="20"/>
              </w:rPr>
            </w:pPr>
            <w:r w:rsidRPr="00AC3007">
              <w:rPr>
                <w:rFonts w:ascii="Arial" w:hAnsi="Arial" w:cs="Arial"/>
                <w:b/>
                <w:bCs/>
                <w:color w:val="000000"/>
                <w:sz w:val="20"/>
                <w:szCs w:val="20"/>
              </w:rPr>
              <w:t>2</w:t>
            </w:r>
          </w:p>
        </w:tc>
        <w:tc>
          <w:tcPr>
            <w:tcW w:w="1581" w:type="dxa"/>
            <w:shd w:val="clear" w:color="auto" w:fill="auto"/>
            <w:vAlign w:val="center"/>
            <w:hideMark/>
          </w:tcPr>
          <w:p w14:paraId="04E621B8" w14:textId="77777777" w:rsidR="00AC3007" w:rsidRPr="00AC3007" w:rsidRDefault="00AC3007" w:rsidP="00AC3007">
            <w:pPr>
              <w:spacing w:line="259" w:lineRule="auto"/>
              <w:jc w:val="center"/>
              <w:rPr>
                <w:rFonts w:ascii="Arial" w:hAnsi="Arial" w:cs="Arial"/>
                <w:b/>
                <w:bCs/>
                <w:color w:val="000000"/>
                <w:sz w:val="20"/>
                <w:szCs w:val="20"/>
              </w:rPr>
            </w:pPr>
            <w:r w:rsidRPr="00AC3007">
              <w:rPr>
                <w:rFonts w:ascii="Arial" w:hAnsi="Arial" w:cs="Arial"/>
                <w:b/>
                <w:bCs/>
                <w:color w:val="000000"/>
                <w:sz w:val="20"/>
                <w:szCs w:val="20"/>
              </w:rPr>
              <w:t>3</w:t>
            </w:r>
          </w:p>
        </w:tc>
        <w:tc>
          <w:tcPr>
            <w:tcW w:w="1694" w:type="dxa"/>
            <w:shd w:val="clear" w:color="auto" w:fill="auto"/>
            <w:vAlign w:val="center"/>
            <w:hideMark/>
          </w:tcPr>
          <w:p w14:paraId="0BA8372F" w14:textId="77777777" w:rsidR="00AC3007" w:rsidRPr="00AC3007" w:rsidRDefault="00AC3007" w:rsidP="00AC3007">
            <w:pPr>
              <w:spacing w:line="259" w:lineRule="auto"/>
              <w:jc w:val="center"/>
              <w:rPr>
                <w:rFonts w:ascii="Arial" w:hAnsi="Arial" w:cs="Arial"/>
                <w:b/>
                <w:bCs/>
                <w:color w:val="000000"/>
                <w:sz w:val="20"/>
                <w:szCs w:val="20"/>
              </w:rPr>
            </w:pPr>
            <w:r w:rsidRPr="00AC3007">
              <w:rPr>
                <w:rFonts w:ascii="Arial" w:hAnsi="Arial" w:cs="Arial"/>
                <w:b/>
                <w:bCs/>
                <w:color w:val="000000"/>
                <w:sz w:val="20"/>
                <w:szCs w:val="20"/>
              </w:rPr>
              <w:t>4</w:t>
            </w:r>
          </w:p>
        </w:tc>
        <w:tc>
          <w:tcPr>
            <w:tcW w:w="1876" w:type="dxa"/>
            <w:shd w:val="clear" w:color="auto" w:fill="auto"/>
            <w:vAlign w:val="center"/>
            <w:hideMark/>
          </w:tcPr>
          <w:p w14:paraId="4F59C769" w14:textId="77777777" w:rsidR="00AC3007" w:rsidRPr="00AC3007" w:rsidRDefault="00AC3007" w:rsidP="00AC3007">
            <w:pPr>
              <w:spacing w:line="259" w:lineRule="auto"/>
              <w:jc w:val="center"/>
              <w:rPr>
                <w:rFonts w:ascii="Arial" w:hAnsi="Arial" w:cs="Arial"/>
                <w:b/>
                <w:bCs/>
                <w:color w:val="000000"/>
                <w:sz w:val="20"/>
                <w:szCs w:val="20"/>
              </w:rPr>
            </w:pPr>
            <w:r w:rsidRPr="00AC3007">
              <w:rPr>
                <w:rFonts w:ascii="Arial" w:hAnsi="Arial" w:cs="Arial"/>
                <w:b/>
                <w:bCs/>
                <w:color w:val="000000"/>
                <w:sz w:val="20"/>
                <w:szCs w:val="20"/>
              </w:rPr>
              <w:t>5 (3+4)</w:t>
            </w:r>
          </w:p>
        </w:tc>
        <w:tc>
          <w:tcPr>
            <w:tcW w:w="1498" w:type="dxa"/>
            <w:shd w:val="clear" w:color="auto" w:fill="auto"/>
            <w:vAlign w:val="center"/>
            <w:hideMark/>
          </w:tcPr>
          <w:p w14:paraId="4243EFF8" w14:textId="77777777" w:rsidR="00AC3007" w:rsidRPr="00AC3007" w:rsidRDefault="00AC3007" w:rsidP="00AC3007">
            <w:pPr>
              <w:spacing w:line="259" w:lineRule="auto"/>
              <w:jc w:val="center"/>
              <w:rPr>
                <w:rFonts w:ascii="Arial" w:hAnsi="Arial" w:cs="Arial"/>
                <w:b/>
                <w:bCs/>
                <w:color w:val="000000"/>
                <w:sz w:val="20"/>
                <w:szCs w:val="20"/>
              </w:rPr>
            </w:pPr>
            <w:r w:rsidRPr="00AC3007">
              <w:rPr>
                <w:rFonts w:ascii="Arial" w:hAnsi="Arial" w:cs="Arial"/>
                <w:b/>
                <w:bCs/>
                <w:color w:val="000000"/>
                <w:sz w:val="20"/>
                <w:szCs w:val="20"/>
              </w:rPr>
              <w:t>6</w:t>
            </w:r>
          </w:p>
        </w:tc>
      </w:tr>
      <w:tr w:rsidR="00AC3007" w:rsidRPr="00AC3007" w14:paraId="16522492" w14:textId="77777777" w:rsidTr="00AC3007">
        <w:trPr>
          <w:trHeight w:val="170"/>
        </w:trPr>
        <w:tc>
          <w:tcPr>
            <w:tcW w:w="2296" w:type="dxa"/>
            <w:shd w:val="clear" w:color="auto" w:fill="auto"/>
            <w:vAlign w:val="center"/>
            <w:hideMark/>
          </w:tcPr>
          <w:p w14:paraId="6940F8DD" w14:textId="77777777" w:rsidR="00AC3007" w:rsidRPr="00AC3007" w:rsidRDefault="00AC3007" w:rsidP="00AC3007">
            <w:pPr>
              <w:spacing w:line="259" w:lineRule="auto"/>
              <w:jc w:val="both"/>
              <w:rPr>
                <w:rFonts w:ascii="Arial" w:hAnsi="Arial" w:cs="Arial"/>
                <w:color w:val="000000"/>
                <w:sz w:val="20"/>
                <w:szCs w:val="20"/>
              </w:rPr>
            </w:pPr>
            <w:r w:rsidRPr="00AC3007">
              <w:rPr>
                <w:rFonts w:ascii="Arial" w:hAnsi="Arial" w:cs="Arial"/>
                <w:bCs/>
                <w:color w:val="000000"/>
                <w:sz w:val="20"/>
                <w:szCs w:val="20"/>
              </w:rPr>
              <w:t>Opći prihodi i primici</w:t>
            </w:r>
          </w:p>
        </w:tc>
        <w:tc>
          <w:tcPr>
            <w:tcW w:w="1417" w:type="dxa"/>
            <w:shd w:val="clear" w:color="auto" w:fill="auto"/>
            <w:vAlign w:val="center"/>
            <w:hideMark/>
          </w:tcPr>
          <w:p w14:paraId="7C982912" w14:textId="77777777" w:rsidR="00AC3007" w:rsidRPr="00AC3007" w:rsidRDefault="00AC3007" w:rsidP="00AC3007">
            <w:pPr>
              <w:spacing w:line="259" w:lineRule="auto"/>
              <w:jc w:val="both"/>
              <w:rPr>
                <w:rFonts w:ascii="Arial" w:hAnsi="Arial" w:cs="Arial"/>
                <w:color w:val="000000"/>
                <w:sz w:val="20"/>
                <w:szCs w:val="20"/>
              </w:rPr>
            </w:pPr>
            <w:r w:rsidRPr="00AC3007">
              <w:rPr>
                <w:rFonts w:ascii="Arial" w:hAnsi="Arial" w:cs="Arial"/>
                <w:bCs/>
                <w:color w:val="000000"/>
                <w:sz w:val="20"/>
                <w:szCs w:val="20"/>
              </w:rPr>
              <w:t>1.1.001</w:t>
            </w:r>
          </w:p>
        </w:tc>
        <w:tc>
          <w:tcPr>
            <w:tcW w:w="1581" w:type="dxa"/>
            <w:shd w:val="clear" w:color="auto" w:fill="auto"/>
            <w:vAlign w:val="center"/>
            <w:hideMark/>
          </w:tcPr>
          <w:p w14:paraId="746CA23A"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color w:val="000000"/>
                <w:sz w:val="20"/>
                <w:szCs w:val="20"/>
              </w:rPr>
              <w:t>0,00</w:t>
            </w:r>
          </w:p>
        </w:tc>
        <w:tc>
          <w:tcPr>
            <w:tcW w:w="1694" w:type="dxa"/>
            <w:shd w:val="clear" w:color="auto" w:fill="auto"/>
            <w:vAlign w:val="center"/>
            <w:hideMark/>
          </w:tcPr>
          <w:p w14:paraId="069893AB"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520.974,00</w:t>
            </w:r>
          </w:p>
        </w:tc>
        <w:tc>
          <w:tcPr>
            <w:tcW w:w="1876" w:type="dxa"/>
            <w:shd w:val="clear" w:color="auto" w:fill="auto"/>
            <w:vAlign w:val="center"/>
            <w:hideMark/>
          </w:tcPr>
          <w:p w14:paraId="2665BFB2"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520.974,00</w:t>
            </w:r>
          </w:p>
        </w:tc>
        <w:tc>
          <w:tcPr>
            <w:tcW w:w="1498" w:type="dxa"/>
            <w:shd w:val="clear" w:color="auto" w:fill="auto"/>
            <w:vAlign w:val="center"/>
            <w:hideMark/>
          </w:tcPr>
          <w:p w14:paraId="2877C876"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520.974,00</w:t>
            </w:r>
          </w:p>
        </w:tc>
      </w:tr>
      <w:tr w:rsidR="00AC3007" w:rsidRPr="00AC3007" w14:paraId="634A99B5" w14:textId="77777777" w:rsidTr="00AC3007">
        <w:trPr>
          <w:trHeight w:val="170"/>
        </w:trPr>
        <w:tc>
          <w:tcPr>
            <w:tcW w:w="2296" w:type="dxa"/>
            <w:shd w:val="clear" w:color="auto" w:fill="auto"/>
            <w:vAlign w:val="center"/>
          </w:tcPr>
          <w:p w14:paraId="6851B660" w14:textId="77777777" w:rsidR="00AC3007" w:rsidRPr="00AC3007" w:rsidRDefault="00AC3007" w:rsidP="00AC3007">
            <w:pPr>
              <w:spacing w:line="259" w:lineRule="auto"/>
              <w:jc w:val="both"/>
              <w:rPr>
                <w:rFonts w:ascii="Arial" w:hAnsi="Arial" w:cs="Arial"/>
                <w:bCs/>
                <w:color w:val="000000"/>
                <w:sz w:val="20"/>
                <w:szCs w:val="20"/>
              </w:rPr>
            </w:pPr>
            <w:r w:rsidRPr="00AC3007">
              <w:rPr>
                <w:rFonts w:ascii="Arial" w:hAnsi="Arial" w:cs="Arial"/>
                <w:bCs/>
                <w:color w:val="000000"/>
                <w:sz w:val="20"/>
                <w:szCs w:val="20"/>
              </w:rPr>
              <w:t>Opći prihodi i primici - rezultat</w:t>
            </w:r>
          </w:p>
        </w:tc>
        <w:tc>
          <w:tcPr>
            <w:tcW w:w="1417" w:type="dxa"/>
            <w:shd w:val="clear" w:color="auto" w:fill="auto"/>
            <w:vAlign w:val="center"/>
          </w:tcPr>
          <w:p w14:paraId="21CE69B4" w14:textId="77777777" w:rsidR="00AC3007" w:rsidRPr="00AC3007" w:rsidRDefault="00AC3007" w:rsidP="00AC3007">
            <w:pPr>
              <w:spacing w:line="259" w:lineRule="auto"/>
              <w:jc w:val="both"/>
              <w:rPr>
                <w:rFonts w:ascii="Arial" w:hAnsi="Arial" w:cs="Arial"/>
                <w:bCs/>
                <w:color w:val="000000"/>
                <w:sz w:val="20"/>
                <w:szCs w:val="20"/>
              </w:rPr>
            </w:pPr>
            <w:r w:rsidRPr="00AC3007">
              <w:rPr>
                <w:rFonts w:ascii="Arial" w:hAnsi="Arial" w:cs="Arial"/>
                <w:bCs/>
                <w:color w:val="000000"/>
                <w:sz w:val="20"/>
                <w:szCs w:val="20"/>
              </w:rPr>
              <w:t>1.1.003</w:t>
            </w:r>
          </w:p>
        </w:tc>
        <w:tc>
          <w:tcPr>
            <w:tcW w:w="1581" w:type="dxa"/>
            <w:shd w:val="clear" w:color="auto" w:fill="auto"/>
            <w:vAlign w:val="center"/>
          </w:tcPr>
          <w:p w14:paraId="06B9D64A"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color w:val="000000"/>
                <w:sz w:val="20"/>
                <w:szCs w:val="20"/>
              </w:rPr>
              <w:t>-3.083,00</w:t>
            </w:r>
          </w:p>
        </w:tc>
        <w:tc>
          <w:tcPr>
            <w:tcW w:w="1694" w:type="dxa"/>
            <w:shd w:val="clear" w:color="auto" w:fill="auto"/>
            <w:vAlign w:val="center"/>
          </w:tcPr>
          <w:p w14:paraId="225E9BB1" w14:textId="77777777" w:rsidR="00AC3007" w:rsidRPr="00AC3007" w:rsidRDefault="00AC3007" w:rsidP="00AC3007">
            <w:pPr>
              <w:spacing w:line="259" w:lineRule="auto"/>
              <w:jc w:val="right"/>
              <w:rPr>
                <w:rFonts w:ascii="Arial" w:hAnsi="Arial" w:cs="Arial"/>
                <w:bCs/>
                <w:color w:val="000000"/>
                <w:sz w:val="20"/>
                <w:szCs w:val="20"/>
              </w:rPr>
            </w:pPr>
            <w:r w:rsidRPr="00AC3007">
              <w:rPr>
                <w:rFonts w:ascii="Arial" w:hAnsi="Arial" w:cs="Arial"/>
                <w:bCs/>
                <w:color w:val="000000"/>
                <w:sz w:val="20"/>
                <w:szCs w:val="20"/>
              </w:rPr>
              <w:t>3.083,00</w:t>
            </w:r>
          </w:p>
        </w:tc>
        <w:tc>
          <w:tcPr>
            <w:tcW w:w="1876" w:type="dxa"/>
            <w:shd w:val="clear" w:color="auto" w:fill="auto"/>
            <w:vAlign w:val="center"/>
          </w:tcPr>
          <w:p w14:paraId="2287A1BB" w14:textId="77777777" w:rsidR="00AC3007" w:rsidRPr="00AC3007" w:rsidRDefault="00AC3007" w:rsidP="00AC3007">
            <w:pPr>
              <w:spacing w:line="259" w:lineRule="auto"/>
              <w:jc w:val="right"/>
              <w:rPr>
                <w:rFonts w:ascii="Arial" w:hAnsi="Arial" w:cs="Arial"/>
                <w:bCs/>
                <w:color w:val="000000"/>
                <w:sz w:val="20"/>
                <w:szCs w:val="20"/>
              </w:rPr>
            </w:pPr>
            <w:r w:rsidRPr="00AC3007">
              <w:rPr>
                <w:rFonts w:ascii="Arial" w:hAnsi="Arial" w:cs="Arial"/>
                <w:bCs/>
                <w:color w:val="000000"/>
                <w:sz w:val="20"/>
                <w:szCs w:val="20"/>
              </w:rPr>
              <w:t>0,00</w:t>
            </w:r>
          </w:p>
        </w:tc>
        <w:tc>
          <w:tcPr>
            <w:tcW w:w="1498" w:type="dxa"/>
            <w:shd w:val="clear" w:color="auto" w:fill="auto"/>
            <w:vAlign w:val="center"/>
          </w:tcPr>
          <w:p w14:paraId="485440E6" w14:textId="77777777" w:rsidR="00AC3007" w:rsidRPr="00AC3007" w:rsidRDefault="00AC3007" w:rsidP="00AC3007">
            <w:pPr>
              <w:spacing w:line="259" w:lineRule="auto"/>
              <w:jc w:val="right"/>
              <w:rPr>
                <w:rFonts w:ascii="Arial" w:hAnsi="Arial" w:cs="Arial"/>
                <w:bCs/>
                <w:color w:val="000000"/>
                <w:sz w:val="20"/>
                <w:szCs w:val="20"/>
              </w:rPr>
            </w:pPr>
            <w:r w:rsidRPr="00AC3007">
              <w:rPr>
                <w:rFonts w:ascii="Arial" w:hAnsi="Arial" w:cs="Arial"/>
                <w:bCs/>
                <w:color w:val="000000"/>
                <w:sz w:val="20"/>
                <w:szCs w:val="20"/>
              </w:rPr>
              <w:t>0,00</w:t>
            </w:r>
          </w:p>
        </w:tc>
      </w:tr>
      <w:tr w:rsidR="00AC3007" w:rsidRPr="00AC3007" w14:paraId="0DE33701" w14:textId="77777777" w:rsidTr="00AC3007">
        <w:trPr>
          <w:trHeight w:val="170"/>
        </w:trPr>
        <w:tc>
          <w:tcPr>
            <w:tcW w:w="2296" w:type="dxa"/>
            <w:shd w:val="clear" w:color="auto" w:fill="auto"/>
            <w:vAlign w:val="center"/>
          </w:tcPr>
          <w:p w14:paraId="2319D7EB" w14:textId="4F314010" w:rsidR="00AC3007" w:rsidRPr="00AC3007" w:rsidRDefault="00AC3007" w:rsidP="00AC3007">
            <w:pPr>
              <w:spacing w:line="259" w:lineRule="auto"/>
              <w:jc w:val="both"/>
              <w:rPr>
                <w:rFonts w:ascii="Arial" w:hAnsi="Arial" w:cs="Arial"/>
                <w:bCs/>
                <w:color w:val="000000"/>
                <w:sz w:val="20"/>
                <w:szCs w:val="20"/>
              </w:rPr>
            </w:pPr>
            <w:r w:rsidRPr="00AC3007">
              <w:rPr>
                <w:rFonts w:ascii="Arial" w:hAnsi="Arial" w:cs="Arial"/>
                <w:bCs/>
                <w:color w:val="000000"/>
                <w:sz w:val="20"/>
                <w:szCs w:val="20"/>
              </w:rPr>
              <w:t>Vlastiti prihodi</w:t>
            </w:r>
          </w:p>
        </w:tc>
        <w:tc>
          <w:tcPr>
            <w:tcW w:w="1417" w:type="dxa"/>
            <w:shd w:val="clear" w:color="auto" w:fill="auto"/>
            <w:vAlign w:val="center"/>
          </w:tcPr>
          <w:p w14:paraId="317D21CC" w14:textId="0C98A484" w:rsidR="00AC3007" w:rsidRPr="00AC3007" w:rsidRDefault="00AC3007" w:rsidP="00AC3007">
            <w:pPr>
              <w:spacing w:line="259" w:lineRule="auto"/>
              <w:jc w:val="both"/>
              <w:rPr>
                <w:rFonts w:ascii="Arial" w:hAnsi="Arial" w:cs="Arial"/>
                <w:bCs/>
                <w:color w:val="000000"/>
                <w:sz w:val="20"/>
                <w:szCs w:val="20"/>
              </w:rPr>
            </w:pPr>
            <w:r w:rsidRPr="00AC3007">
              <w:rPr>
                <w:rFonts w:ascii="Arial" w:hAnsi="Arial" w:cs="Arial"/>
                <w:bCs/>
                <w:color w:val="000000"/>
                <w:sz w:val="20"/>
                <w:szCs w:val="20"/>
              </w:rPr>
              <w:t>3.9.000001</w:t>
            </w:r>
          </w:p>
        </w:tc>
        <w:tc>
          <w:tcPr>
            <w:tcW w:w="1581" w:type="dxa"/>
            <w:shd w:val="clear" w:color="auto" w:fill="auto"/>
            <w:vAlign w:val="center"/>
          </w:tcPr>
          <w:p w14:paraId="28865744" w14:textId="4C87D38B" w:rsidR="00AC3007" w:rsidRPr="00AC3007" w:rsidRDefault="00AC3007" w:rsidP="00AC3007">
            <w:pPr>
              <w:spacing w:line="259" w:lineRule="auto"/>
              <w:jc w:val="right"/>
              <w:rPr>
                <w:rFonts w:ascii="Arial" w:hAnsi="Arial" w:cs="Arial"/>
                <w:bCs/>
                <w:color w:val="000000"/>
                <w:sz w:val="20"/>
                <w:szCs w:val="20"/>
              </w:rPr>
            </w:pPr>
            <w:r w:rsidRPr="00AC3007">
              <w:rPr>
                <w:rFonts w:ascii="Arial" w:hAnsi="Arial" w:cs="Arial"/>
                <w:bCs/>
                <w:color w:val="000000"/>
                <w:sz w:val="20"/>
                <w:szCs w:val="20"/>
              </w:rPr>
              <w:t>0,00</w:t>
            </w:r>
          </w:p>
        </w:tc>
        <w:tc>
          <w:tcPr>
            <w:tcW w:w="1694" w:type="dxa"/>
            <w:shd w:val="clear" w:color="auto" w:fill="auto"/>
            <w:vAlign w:val="center"/>
          </w:tcPr>
          <w:p w14:paraId="44CEA278" w14:textId="061938F1" w:rsidR="00AC3007" w:rsidRPr="00AC3007" w:rsidRDefault="00AC3007" w:rsidP="00AC3007">
            <w:pPr>
              <w:spacing w:line="259" w:lineRule="auto"/>
              <w:jc w:val="right"/>
              <w:rPr>
                <w:rFonts w:ascii="Arial" w:hAnsi="Arial" w:cs="Arial"/>
                <w:bCs/>
                <w:color w:val="000000"/>
                <w:sz w:val="20"/>
                <w:szCs w:val="20"/>
              </w:rPr>
            </w:pPr>
            <w:r w:rsidRPr="00AC3007">
              <w:rPr>
                <w:rFonts w:ascii="Arial" w:hAnsi="Arial" w:cs="Arial"/>
                <w:bCs/>
                <w:color w:val="000000"/>
                <w:sz w:val="20"/>
                <w:szCs w:val="20"/>
              </w:rPr>
              <w:t>36.200,00</w:t>
            </w:r>
          </w:p>
        </w:tc>
        <w:tc>
          <w:tcPr>
            <w:tcW w:w="1876" w:type="dxa"/>
            <w:shd w:val="clear" w:color="auto" w:fill="auto"/>
            <w:vAlign w:val="center"/>
          </w:tcPr>
          <w:p w14:paraId="463BBC78" w14:textId="3952CD8F" w:rsidR="00AC3007" w:rsidRPr="00AC3007" w:rsidRDefault="00AC3007" w:rsidP="00AC3007">
            <w:pPr>
              <w:spacing w:line="259" w:lineRule="auto"/>
              <w:jc w:val="right"/>
              <w:rPr>
                <w:rFonts w:ascii="Arial" w:hAnsi="Arial" w:cs="Arial"/>
                <w:bCs/>
                <w:color w:val="000000"/>
                <w:sz w:val="20"/>
                <w:szCs w:val="20"/>
              </w:rPr>
            </w:pPr>
            <w:r w:rsidRPr="00AC3007">
              <w:rPr>
                <w:rFonts w:ascii="Arial" w:hAnsi="Arial" w:cs="Arial"/>
                <w:bCs/>
                <w:color w:val="000000"/>
                <w:sz w:val="20"/>
                <w:szCs w:val="20"/>
              </w:rPr>
              <w:t>36.200,00</w:t>
            </w:r>
          </w:p>
        </w:tc>
        <w:tc>
          <w:tcPr>
            <w:tcW w:w="1498" w:type="dxa"/>
            <w:shd w:val="clear" w:color="auto" w:fill="auto"/>
            <w:vAlign w:val="center"/>
          </w:tcPr>
          <w:p w14:paraId="7CBA307D" w14:textId="0EE35F42" w:rsidR="00AC3007" w:rsidRPr="00AC3007" w:rsidRDefault="00AC3007" w:rsidP="00AC3007">
            <w:pPr>
              <w:spacing w:line="259" w:lineRule="auto"/>
              <w:jc w:val="right"/>
              <w:rPr>
                <w:rFonts w:ascii="Arial" w:hAnsi="Arial" w:cs="Arial"/>
                <w:bCs/>
                <w:color w:val="000000"/>
                <w:sz w:val="20"/>
                <w:szCs w:val="20"/>
              </w:rPr>
            </w:pPr>
            <w:r w:rsidRPr="00AC3007">
              <w:rPr>
                <w:rFonts w:ascii="Arial" w:hAnsi="Arial" w:cs="Arial"/>
                <w:bCs/>
                <w:color w:val="000000"/>
                <w:sz w:val="20"/>
                <w:szCs w:val="20"/>
              </w:rPr>
              <w:t>36.200,00</w:t>
            </w:r>
          </w:p>
        </w:tc>
      </w:tr>
      <w:tr w:rsidR="00AC3007" w:rsidRPr="00AC3007" w14:paraId="029FCA10" w14:textId="77777777" w:rsidTr="00AC3007">
        <w:trPr>
          <w:trHeight w:val="170"/>
        </w:trPr>
        <w:tc>
          <w:tcPr>
            <w:tcW w:w="2296" w:type="dxa"/>
            <w:shd w:val="clear" w:color="auto" w:fill="auto"/>
            <w:vAlign w:val="center"/>
            <w:hideMark/>
          </w:tcPr>
          <w:p w14:paraId="5CDD11BB" w14:textId="77777777" w:rsidR="00AC3007" w:rsidRPr="00AC3007" w:rsidRDefault="00AC3007" w:rsidP="00AC3007">
            <w:pPr>
              <w:spacing w:line="259" w:lineRule="auto"/>
              <w:jc w:val="both"/>
              <w:rPr>
                <w:rFonts w:ascii="Arial" w:hAnsi="Arial" w:cs="Arial"/>
                <w:color w:val="000000"/>
                <w:sz w:val="20"/>
                <w:szCs w:val="20"/>
              </w:rPr>
            </w:pPr>
            <w:r w:rsidRPr="00AC3007">
              <w:rPr>
                <w:rFonts w:ascii="Arial" w:hAnsi="Arial" w:cs="Arial"/>
                <w:bCs/>
                <w:color w:val="000000"/>
                <w:sz w:val="20"/>
                <w:szCs w:val="20"/>
              </w:rPr>
              <w:t>Vlastiti prihodi – rezultat</w:t>
            </w:r>
          </w:p>
        </w:tc>
        <w:tc>
          <w:tcPr>
            <w:tcW w:w="1417" w:type="dxa"/>
            <w:shd w:val="clear" w:color="auto" w:fill="auto"/>
            <w:vAlign w:val="center"/>
            <w:hideMark/>
          </w:tcPr>
          <w:p w14:paraId="27FE18FD" w14:textId="77777777" w:rsidR="00AC3007" w:rsidRPr="00AC3007" w:rsidRDefault="00AC3007" w:rsidP="00AC3007">
            <w:pPr>
              <w:spacing w:line="259" w:lineRule="auto"/>
              <w:jc w:val="both"/>
              <w:rPr>
                <w:rFonts w:ascii="Arial" w:hAnsi="Arial" w:cs="Arial"/>
                <w:color w:val="000000"/>
                <w:sz w:val="20"/>
                <w:szCs w:val="20"/>
              </w:rPr>
            </w:pPr>
            <w:r w:rsidRPr="00AC3007">
              <w:rPr>
                <w:rFonts w:ascii="Arial" w:hAnsi="Arial" w:cs="Arial"/>
                <w:bCs/>
                <w:color w:val="000000"/>
                <w:sz w:val="20"/>
                <w:szCs w:val="20"/>
              </w:rPr>
              <w:t>3.9.000002</w:t>
            </w:r>
          </w:p>
        </w:tc>
        <w:tc>
          <w:tcPr>
            <w:tcW w:w="1581" w:type="dxa"/>
            <w:shd w:val="clear" w:color="auto" w:fill="auto"/>
            <w:vAlign w:val="center"/>
            <w:hideMark/>
          </w:tcPr>
          <w:p w14:paraId="5A116485"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4.477,00</w:t>
            </w:r>
          </w:p>
        </w:tc>
        <w:tc>
          <w:tcPr>
            <w:tcW w:w="1694" w:type="dxa"/>
            <w:shd w:val="clear" w:color="auto" w:fill="auto"/>
            <w:vAlign w:val="center"/>
            <w:hideMark/>
          </w:tcPr>
          <w:p w14:paraId="684A2E83"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0,00</w:t>
            </w:r>
          </w:p>
        </w:tc>
        <w:tc>
          <w:tcPr>
            <w:tcW w:w="1876" w:type="dxa"/>
            <w:shd w:val="clear" w:color="auto" w:fill="auto"/>
            <w:vAlign w:val="center"/>
            <w:hideMark/>
          </w:tcPr>
          <w:p w14:paraId="00E73C86"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4.477,00</w:t>
            </w:r>
          </w:p>
        </w:tc>
        <w:tc>
          <w:tcPr>
            <w:tcW w:w="1498" w:type="dxa"/>
            <w:shd w:val="clear" w:color="auto" w:fill="auto"/>
            <w:vAlign w:val="center"/>
            <w:hideMark/>
          </w:tcPr>
          <w:p w14:paraId="4209877E"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4.477,00</w:t>
            </w:r>
          </w:p>
        </w:tc>
      </w:tr>
      <w:tr w:rsidR="00AC3007" w:rsidRPr="00AC3007" w14:paraId="5888BC11" w14:textId="77777777" w:rsidTr="00AC3007">
        <w:trPr>
          <w:trHeight w:val="170"/>
        </w:trPr>
        <w:tc>
          <w:tcPr>
            <w:tcW w:w="2296" w:type="dxa"/>
            <w:shd w:val="clear" w:color="auto" w:fill="auto"/>
            <w:vAlign w:val="center"/>
            <w:hideMark/>
          </w:tcPr>
          <w:p w14:paraId="47178C39" w14:textId="77777777" w:rsidR="00AC3007" w:rsidRPr="00AC3007" w:rsidRDefault="00AC3007" w:rsidP="00AC3007">
            <w:pPr>
              <w:spacing w:line="259" w:lineRule="auto"/>
              <w:rPr>
                <w:rFonts w:ascii="Arial" w:hAnsi="Arial" w:cs="Arial"/>
                <w:color w:val="000000"/>
                <w:sz w:val="20"/>
                <w:szCs w:val="20"/>
              </w:rPr>
            </w:pPr>
            <w:r w:rsidRPr="00AC3007">
              <w:rPr>
                <w:rFonts w:ascii="Arial" w:hAnsi="Arial" w:cs="Arial"/>
                <w:bCs/>
                <w:color w:val="000000"/>
                <w:sz w:val="20"/>
                <w:szCs w:val="20"/>
              </w:rPr>
              <w:t>Prihodi za decentralizirane funkcije vatrogastva</w:t>
            </w:r>
          </w:p>
        </w:tc>
        <w:tc>
          <w:tcPr>
            <w:tcW w:w="1417" w:type="dxa"/>
            <w:shd w:val="clear" w:color="auto" w:fill="auto"/>
            <w:vAlign w:val="center"/>
            <w:hideMark/>
          </w:tcPr>
          <w:p w14:paraId="6D6B3A54" w14:textId="77777777" w:rsidR="00AC3007" w:rsidRPr="00AC3007" w:rsidRDefault="00AC3007" w:rsidP="00AC3007">
            <w:pPr>
              <w:spacing w:line="259" w:lineRule="auto"/>
              <w:jc w:val="both"/>
              <w:rPr>
                <w:rFonts w:ascii="Arial" w:hAnsi="Arial" w:cs="Arial"/>
                <w:color w:val="000000"/>
                <w:sz w:val="20"/>
                <w:szCs w:val="20"/>
              </w:rPr>
            </w:pPr>
            <w:r w:rsidRPr="00AC3007">
              <w:rPr>
                <w:rFonts w:ascii="Arial" w:hAnsi="Arial" w:cs="Arial"/>
                <w:bCs/>
                <w:color w:val="000000"/>
                <w:sz w:val="20"/>
                <w:szCs w:val="20"/>
              </w:rPr>
              <w:t>5.1.002</w:t>
            </w:r>
          </w:p>
        </w:tc>
        <w:tc>
          <w:tcPr>
            <w:tcW w:w="1581" w:type="dxa"/>
            <w:shd w:val="clear" w:color="auto" w:fill="auto"/>
            <w:vAlign w:val="center"/>
            <w:hideMark/>
          </w:tcPr>
          <w:p w14:paraId="45A98E45"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0,00</w:t>
            </w:r>
          </w:p>
        </w:tc>
        <w:tc>
          <w:tcPr>
            <w:tcW w:w="1694" w:type="dxa"/>
            <w:shd w:val="clear" w:color="auto" w:fill="auto"/>
            <w:vAlign w:val="center"/>
            <w:hideMark/>
          </w:tcPr>
          <w:p w14:paraId="14C3BA52"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487.238,00</w:t>
            </w:r>
          </w:p>
        </w:tc>
        <w:tc>
          <w:tcPr>
            <w:tcW w:w="1876" w:type="dxa"/>
            <w:shd w:val="clear" w:color="auto" w:fill="auto"/>
            <w:vAlign w:val="center"/>
            <w:hideMark/>
          </w:tcPr>
          <w:p w14:paraId="33CF99AE"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487.238,00</w:t>
            </w:r>
          </w:p>
        </w:tc>
        <w:tc>
          <w:tcPr>
            <w:tcW w:w="1498" w:type="dxa"/>
            <w:shd w:val="clear" w:color="auto" w:fill="auto"/>
            <w:vAlign w:val="center"/>
            <w:hideMark/>
          </w:tcPr>
          <w:p w14:paraId="3E478366"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487.238,00</w:t>
            </w:r>
          </w:p>
        </w:tc>
      </w:tr>
      <w:tr w:rsidR="00AC3007" w:rsidRPr="00AC3007" w14:paraId="7217FF3C" w14:textId="77777777" w:rsidTr="00AC3007">
        <w:trPr>
          <w:trHeight w:val="170"/>
        </w:trPr>
        <w:tc>
          <w:tcPr>
            <w:tcW w:w="2296" w:type="dxa"/>
            <w:shd w:val="clear" w:color="auto" w:fill="auto"/>
            <w:vAlign w:val="center"/>
            <w:hideMark/>
          </w:tcPr>
          <w:p w14:paraId="10A3B41E" w14:textId="77777777" w:rsidR="00AC3007" w:rsidRPr="00AC3007" w:rsidRDefault="00AC3007" w:rsidP="00AC3007">
            <w:pPr>
              <w:spacing w:line="259" w:lineRule="auto"/>
              <w:rPr>
                <w:rFonts w:ascii="Arial" w:hAnsi="Arial" w:cs="Arial"/>
                <w:color w:val="000000"/>
                <w:sz w:val="20"/>
                <w:szCs w:val="20"/>
              </w:rPr>
            </w:pPr>
            <w:r w:rsidRPr="00AC3007">
              <w:rPr>
                <w:rFonts w:ascii="Arial" w:hAnsi="Arial" w:cs="Arial"/>
                <w:bCs/>
                <w:color w:val="000000"/>
                <w:sz w:val="20"/>
                <w:szCs w:val="20"/>
              </w:rPr>
              <w:t>Pomoći korisnika</w:t>
            </w:r>
          </w:p>
        </w:tc>
        <w:tc>
          <w:tcPr>
            <w:tcW w:w="1417" w:type="dxa"/>
            <w:shd w:val="clear" w:color="auto" w:fill="auto"/>
            <w:vAlign w:val="center"/>
            <w:hideMark/>
          </w:tcPr>
          <w:p w14:paraId="73419180" w14:textId="77777777" w:rsidR="00AC3007" w:rsidRPr="00AC3007" w:rsidRDefault="00AC3007" w:rsidP="00AC3007">
            <w:pPr>
              <w:spacing w:line="259" w:lineRule="auto"/>
              <w:jc w:val="both"/>
              <w:rPr>
                <w:rFonts w:ascii="Arial" w:hAnsi="Arial" w:cs="Arial"/>
                <w:color w:val="000000"/>
                <w:sz w:val="20"/>
                <w:szCs w:val="20"/>
              </w:rPr>
            </w:pPr>
            <w:r w:rsidRPr="00AC3007">
              <w:rPr>
                <w:rFonts w:ascii="Arial" w:hAnsi="Arial" w:cs="Arial"/>
                <w:bCs/>
                <w:color w:val="000000"/>
                <w:sz w:val="20"/>
                <w:szCs w:val="20"/>
              </w:rPr>
              <w:t>5.9.000001</w:t>
            </w:r>
          </w:p>
        </w:tc>
        <w:tc>
          <w:tcPr>
            <w:tcW w:w="1581" w:type="dxa"/>
            <w:shd w:val="clear" w:color="auto" w:fill="auto"/>
            <w:vAlign w:val="center"/>
            <w:hideMark/>
          </w:tcPr>
          <w:p w14:paraId="3577DAF4"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0,00</w:t>
            </w:r>
          </w:p>
        </w:tc>
        <w:tc>
          <w:tcPr>
            <w:tcW w:w="1694" w:type="dxa"/>
            <w:shd w:val="clear" w:color="auto" w:fill="auto"/>
            <w:vAlign w:val="center"/>
            <w:hideMark/>
          </w:tcPr>
          <w:p w14:paraId="52179B6E"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1.990,00</w:t>
            </w:r>
          </w:p>
        </w:tc>
        <w:tc>
          <w:tcPr>
            <w:tcW w:w="1876" w:type="dxa"/>
            <w:shd w:val="clear" w:color="auto" w:fill="auto"/>
            <w:vAlign w:val="center"/>
            <w:hideMark/>
          </w:tcPr>
          <w:p w14:paraId="6EB2AE2A"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1.990,00</w:t>
            </w:r>
          </w:p>
        </w:tc>
        <w:tc>
          <w:tcPr>
            <w:tcW w:w="1498" w:type="dxa"/>
            <w:shd w:val="clear" w:color="auto" w:fill="auto"/>
            <w:vAlign w:val="center"/>
            <w:hideMark/>
          </w:tcPr>
          <w:p w14:paraId="57D06DFA"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1.990,00</w:t>
            </w:r>
          </w:p>
        </w:tc>
      </w:tr>
      <w:tr w:rsidR="00AC3007" w:rsidRPr="00AC3007" w14:paraId="6D36F8D3" w14:textId="77777777" w:rsidTr="00AC3007">
        <w:trPr>
          <w:trHeight w:val="170"/>
        </w:trPr>
        <w:tc>
          <w:tcPr>
            <w:tcW w:w="2296" w:type="dxa"/>
            <w:shd w:val="clear" w:color="auto" w:fill="auto"/>
            <w:vAlign w:val="center"/>
          </w:tcPr>
          <w:p w14:paraId="1DA7A4D3" w14:textId="77777777" w:rsidR="00AC3007" w:rsidRPr="00AC3007" w:rsidRDefault="00AC3007" w:rsidP="00AC3007">
            <w:pPr>
              <w:spacing w:line="259" w:lineRule="auto"/>
              <w:rPr>
                <w:rFonts w:ascii="Arial" w:hAnsi="Arial" w:cs="Arial"/>
                <w:bCs/>
                <w:color w:val="000000"/>
                <w:sz w:val="20"/>
                <w:szCs w:val="20"/>
              </w:rPr>
            </w:pPr>
            <w:r w:rsidRPr="00AC3007">
              <w:rPr>
                <w:rFonts w:ascii="Arial" w:hAnsi="Arial" w:cs="Arial"/>
                <w:bCs/>
                <w:color w:val="000000"/>
                <w:sz w:val="20"/>
                <w:szCs w:val="20"/>
              </w:rPr>
              <w:t>Pomoći korisnika – rezultat 5.9.000001</w:t>
            </w:r>
          </w:p>
        </w:tc>
        <w:tc>
          <w:tcPr>
            <w:tcW w:w="1417" w:type="dxa"/>
            <w:shd w:val="clear" w:color="auto" w:fill="auto"/>
            <w:vAlign w:val="center"/>
          </w:tcPr>
          <w:p w14:paraId="436AE83A" w14:textId="77777777" w:rsidR="00AC3007" w:rsidRPr="00AC3007" w:rsidRDefault="00AC3007" w:rsidP="00AC3007">
            <w:pPr>
              <w:spacing w:line="259" w:lineRule="auto"/>
              <w:jc w:val="both"/>
              <w:rPr>
                <w:rFonts w:ascii="Arial" w:hAnsi="Arial" w:cs="Arial"/>
                <w:bCs/>
                <w:color w:val="000000"/>
                <w:sz w:val="20"/>
                <w:szCs w:val="20"/>
              </w:rPr>
            </w:pPr>
            <w:r w:rsidRPr="00AC3007">
              <w:rPr>
                <w:rFonts w:ascii="Arial" w:hAnsi="Arial" w:cs="Arial"/>
                <w:bCs/>
                <w:color w:val="000000"/>
                <w:sz w:val="20"/>
                <w:szCs w:val="20"/>
              </w:rPr>
              <w:t>5.9.000004</w:t>
            </w:r>
          </w:p>
        </w:tc>
        <w:tc>
          <w:tcPr>
            <w:tcW w:w="1581" w:type="dxa"/>
            <w:shd w:val="clear" w:color="auto" w:fill="auto"/>
            <w:vAlign w:val="center"/>
          </w:tcPr>
          <w:p w14:paraId="775BCE09" w14:textId="77777777" w:rsidR="00AC3007" w:rsidRPr="00AC3007" w:rsidRDefault="00AC3007" w:rsidP="00AC3007">
            <w:pPr>
              <w:spacing w:line="259" w:lineRule="auto"/>
              <w:jc w:val="right"/>
              <w:rPr>
                <w:rFonts w:ascii="Arial" w:hAnsi="Arial" w:cs="Arial"/>
                <w:bCs/>
                <w:color w:val="000000"/>
                <w:sz w:val="20"/>
                <w:szCs w:val="20"/>
              </w:rPr>
            </w:pPr>
            <w:r w:rsidRPr="00AC3007">
              <w:rPr>
                <w:rFonts w:ascii="Arial" w:hAnsi="Arial" w:cs="Arial"/>
                <w:bCs/>
                <w:color w:val="000000"/>
                <w:sz w:val="20"/>
                <w:szCs w:val="20"/>
              </w:rPr>
              <w:t>0,00</w:t>
            </w:r>
          </w:p>
        </w:tc>
        <w:tc>
          <w:tcPr>
            <w:tcW w:w="1694" w:type="dxa"/>
            <w:shd w:val="clear" w:color="auto" w:fill="auto"/>
            <w:vAlign w:val="center"/>
          </w:tcPr>
          <w:p w14:paraId="17FC2EBA" w14:textId="77777777" w:rsidR="00AC3007" w:rsidRPr="00AC3007" w:rsidRDefault="00AC3007" w:rsidP="00AC3007">
            <w:pPr>
              <w:spacing w:line="259" w:lineRule="auto"/>
              <w:jc w:val="right"/>
              <w:rPr>
                <w:rFonts w:ascii="Arial" w:hAnsi="Arial" w:cs="Arial"/>
                <w:bCs/>
                <w:color w:val="000000"/>
                <w:sz w:val="20"/>
                <w:szCs w:val="20"/>
              </w:rPr>
            </w:pPr>
            <w:r w:rsidRPr="00AC3007">
              <w:rPr>
                <w:rFonts w:ascii="Arial" w:hAnsi="Arial" w:cs="Arial"/>
                <w:bCs/>
                <w:color w:val="000000"/>
                <w:sz w:val="20"/>
                <w:szCs w:val="20"/>
              </w:rPr>
              <w:t>0,00</w:t>
            </w:r>
          </w:p>
        </w:tc>
        <w:tc>
          <w:tcPr>
            <w:tcW w:w="1876" w:type="dxa"/>
            <w:shd w:val="clear" w:color="auto" w:fill="auto"/>
            <w:vAlign w:val="center"/>
          </w:tcPr>
          <w:p w14:paraId="409947FF" w14:textId="77777777" w:rsidR="00AC3007" w:rsidRPr="00AC3007" w:rsidRDefault="00AC3007" w:rsidP="00AC3007">
            <w:pPr>
              <w:spacing w:line="259" w:lineRule="auto"/>
              <w:jc w:val="right"/>
              <w:rPr>
                <w:rFonts w:ascii="Arial" w:hAnsi="Arial" w:cs="Arial"/>
                <w:bCs/>
                <w:color w:val="000000"/>
                <w:sz w:val="20"/>
                <w:szCs w:val="20"/>
              </w:rPr>
            </w:pPr>
            <w:r w:rsidRPr="00AC3007">
              <w:rPr>
                <w:rFonts w:ascii="Arial" w:hAnsi="Arial" w:cs="Arial"/>
                <w:bCs/>
                <w:color w:val="000000"/>
                <w:sz w:val="20"/>
                <w:szCs w:val="20"/>
              </w:rPr>
              <w:t>0,00</w:t>
            </w:r>
          </w:p>
        </w:tc>
        <w:tc>
          <w:tcPr>
            <w:tcW w:w="1498" w:type="dxa"/>
            <w:shd w:val="clear" w:color="auto" w:fill="auto"/>
            <w:vAlign w:val="center"/>
          </w:tcPr>
          <w:p w14:paraId="536BE4D7" w14:textId="77777777" w:rsidR="00AC3007" w:rsidRPr="00AC3007" w:rsidRDefault="00AC3007" w:rsidP="00AC3007">
            <w:pPr>
              <w:spacing w:line="259" w:lineRule="auto"/>
              <w:jc w:val="right"/>
              <w:rPr>
                <w:rFonts w:ascii="Arial" w:hAnsi="Arial" w:cs="Arial"/>
                <w:bCs/>
                <w:color w:val="000000"/>
                <w:sz w:val="20"/>
                <w:szCs w:val="20"/>
              </w:rPr>
            </w:pPr>
            <w:r w:rsidRPr="00AC3007">
              <w:rPr>
                <w:rFonts w:ascii="Arial" w:hAnsi="Arial" w:cs="Arial"/>
                <w:bCs/>
                <w:color w:val="000000"/>
                <w:sz w:val="20"/>
                <w:szCs w:val="20"/>
              </w:rPr>
              <w:t>0,00</w:t>
            </w:r>
          </w:p>
        </w:tc>
      </w:tr>
      <w:tr w:rsidR="00AC3007" w:rsidRPr="00AC3007" w14:paraId="67D50827" w14:textId="77777777" w:rsidTr="00AC3007">
        <w:trPr>
          <w:trHeight w:val="170"/>
        </w:trPr>
        <w:tc>
          <w:tcPr>
            <w:tcW w:w="2296" w:type="dxa"/>
            <w:shd w:val="clear" w:color="auto" w:fill="auto"/>
            <w:vAlign w:val="center"/>
            <w:hideMark/>
          </w:tcPr>
          <w:p w14:paraId="70F4A5FE" w14:textId="77777777" w:rsidR="00AC3007" w:rsidRPr="00AC3007" w:rsidRDefault="00AC3007" w:rsidP="00AC3007">
            <w:pPr>
              <w:spacing w:line="259" w:lineRule="auto"/>
              <w:rPr>
                <w:rFonts w:ascii="Arial" w:hAnsi="Arial" w:cs="Arial"/>
                <w:color w:val="000000"/>
                <w:sz w:val="20"/>
                <w:szCs w:val="20"/>
              </w:rPr>
            </w:pPr>
            <w:r w:rsidRPr="00AC3007">
              <w:rPr>
                <w:rFonts w:ascii="Arial" w:hAnsi="Arial" w:cs="Arial"/>
                <w:bCs/>
                <w:color w:val="000000"/>
                <w:sz w:val="20"/>
                <w:szCs w:val="20"/>
              </w:rPr>
              <w:t>Pomoći općine</w:t>
            </w:r>
          </w:p>
        </w:tc>
        <w:tc>
          <w:tcPr>
            <w:tcW w:w="1417" w:type="dxa"/>
            <w:shd w:val="clear" w:color="auto" w:fill="auto"/>
            <w:vAlign w:val="center"/>
            <w:hideMark/>
          </w:tcPr>
          <w:p w14:paraId="7490FE7A" w14:textId="77777777" w:rsidR="00AC3007" w:rsidRPr="00AC3007" w:rsidRDefault="00AC3007" w:rsidP="00AC3007">
            <w:pPr>
              <w:spacing w:line="259" w:lineRule="auto"/>
              <w:jc w:val="both"/>
              <w:rPr>
                <w:rFonts w:ascii="Arial" w:hAnsi="Arial" w:cs="Arial"/>
                <w:color w:val="000000"/>
                <w:sz w:val="20"/>
                <w:szCs w:val="20"/>
              </w:rPr>
            </w:pPr>
            <w:r w:rsidRPr="00AC3007">
              <w:rPr>
                <w:rFonts w:ascii="Arial" w:hAnsi="Arial" w:cs="Arial"/>
                <w:bCs/>
                <w:color w:val="000000"/>
                <w:sz w:val="20"/>
                <w:szCs w:val="20"/>
              </w:rPr>
              <w:t>5.9.000002</w:t>
            </w:r>
          </w:p>
        </w:tc>
        <w:tc>
          <w:tcPr>
            <w:tcW w:w="1581" w:type="dxa"/>
            <w:shd w:val="clear" w:color="auto" w:fill="auto"/>
            <w:vAlign w:val="center"/>
            <w:hideMark/>
          </w:tcPr>
          <w:p w14:paraId="797F7C3D"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0,00</w:t>
            </w:r>
          </w:p>
        </w:tc>
        <w:tc>
          <w:tcPr>
            <w:tcW w:w="1694" w:type="dxa"/>
            <w:shd w:val="clear" w:color="auto" w:fill="auto"/>
            <w:vAlign w:val="center"/>
            <w:hideMark/>
          </w:tcPr>
          <w:p w14:paraId="2ACE1BFC"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523.062,00</w:t>
            </w:r>
          </w:p>
        </w:tc>
        <w:tc>
          <w:tcPr>
            <w:tcW w:w="1876" w:type="dxa"/>
            <w:shd w:val="clear" w:color="auto" w:fill="auto"/>
            <w:vAlign w:val="center"/>
            <w:hideMark/>
          </w:tcPr>
          <w:p w14:paraId="401454B5"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523.062,00</w:t>
            </w:r>
          </w:p>
        </w:tc>
        <w:tc>
          <w:tcPr>
            <w:tcW w:w="1498" w:type="dxa"/>
            <w:shd w:val="clear" w:color="auto" w:fill="auto"/>
            <w:vAlign w:val="center"/>
            <w:hideMark/>
          </w:tcPr>
          <w:p w14:paraId="67028C80"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523.062,00</w:t>
            </w:r>
          </w:p>
        </w:tc>
      </w:tr>
      <w:tr w:rsidR="00AC3007" w:rsidRPr="00AC3007" w14:paraId="5C8FCA5B" w14:textId="77777777" w:rsidTr="00AC3007">
        <w:trPr>
          <w:trHeight w:val="170"/>
        </w:trPr>
        <w:tc>
          <w:tcPr>
            <w:tcW w:w="2296" w:type="dxa"/>
            <w:shd w:val="clear" w:color="auto" w:fill="auto"/>
            <w:vAlign w:val="center"/>
            <w:hideMark/>
          </w:tcPr>
          <w:p w14:paraId="72A6B175" w14:textId="77777777" w:rsidR="00AC3007" w:rsidRPr="00AC3007" w:rsidRDefault="00AC3007" w:rsidP="00AC3007">
            <w:pPr>
              <w:spacing w:line="259" w:lineRule="auto"/>
              <w:rPr>
                <w:rFonts w:ascii="Arial" w:hAnsi="Arial" w:cs="Arial"/>
                <w:color w:val="000000"/>
                <w:sz w:val="20"/>
                <w:szCs w:val="20"/>
              </w:rPr>
            </w:pPr>
            <w:r w:rsidRPr="00AC3007">
              <w:rPr>
                <w:rFonts w:ascii="Arial" w:hAnsi="Arial" w:cs="Arial"/>
                <w:bCs/>
                <w:color w:val="000000"/>
                <w:sz w:val="20"/>
                <w:szCs w:val="20"/>
              </w:rPr>
              <w:t>Donacije</w:t>
            </w:r>
          </w:p>
        </w:tc>
        <w:tc>
          <w:tcPr>
            <w:tcW w:w="1417" w:type="dxa"/>
            <w:shd w:val="clear" w:color="auto" w:fill="auto"/>
            <w:vAlign w:val="center"/>
            <w:hideMark/>
          </w:tcPr>
          <w:p w14:paraId="7FF2C7EA" w14:textId="77777777" w:rsidR="00AC3007" w:rsidRPr="00AC3007" w:rsidRDefault="00AC3007" w:rsidP="00AC3007">
            <w:pPr>
              <w:spacing w:line="259" w:lineRule="auto"/>
              <w:jc w:val="both"/>
              <w:rPr>
                <w:rFonts w:ascii="Arial" w:hAnsi="Arial" w:cs="Arial"/>
                <w:color w:val="000000"/>
                <w:sz w:val="20"/>
                <w:szCs w:val="20"/>
              </w:rPr>
            </w:pPr>
            <w:r w:rsidRPr="00AC3007">
              <w:rPr>
                <w:rFonts w:ascii="Arial" w:hAnsi="Arial" w:cs="Arial"/>
                <w:bCs/>
                <w:color w:val="000000"/>
                <w:sz w:val="20"/>
                <w:szCs w:val="20"/>
              </w:rPr>
              <w:t>6.9.000001</w:t>
            </w:r>
          </w:p>
        </w:tc>
        <w:tc>
          <w:tcPr>
            <w:tcW w:w="1581" w:type="dxa"/>
            <w:shd w:val="clear" w:color="auto" w:fill="auto"/>
            <w:vAlign w:val="center"/>
            <w:hideMark/>
          </w:tcPr>
          <w:p w14:paraId="1FEC6A4D"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0,00</w:t>
            </w:r>
          </w:p>
        </w:tc>
        <w:tc>
          <w:tcPr>
            <w:tcW w:w="1694" w:type="dxa"/>
            <w:shd w:val="clear" w:color="auto" w:fill="auto"/>
            <w:vAlign w:val="center"/>
            <w:hideMark/>
          </w:tcPr>
          <w:p w14:paraId="4BB6BD0D"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54.484,00</w:t>
            </w:r>
          </w:p>
        </w:tc>
        <w:tc>
          <w:tcPr>
            <w:tcW w:w="1876" w:type="dxa"/>
            <w:shd w:val="clear" w:color="auto" w:fill="auto"/>
            <w:vAlign w:val="center"/>
            <w:hideMark/>
          </w:tcPr>
          <w:p w14:paraId="3C7F7497"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54.484,00</w:t>
            </w:r>
          </w:p>
        </w:tc>
        <w:tc>
          <w:tcPr>
            <w:tcW w:w="1498" w:type="dxa"/>
            <w:shd w:val="clear" w:color="auto" w:fill="auto"/>
            <w:vAlign w:val="center"/>
            <w:hideMark/>
          </w:tcPr>
          <w:p w14:paraId="00A888AB"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54.484,00</w:t>
            </w:r>
          </w:p>
        </w:tc>
      </w:tr>
      <w:tr w:rsidR="00AC3007" w:rsidRPr="00AC3007" w14:paraId="28E576E7" w14:textId="77777777" w:rsidTr="00AC3007">
        <w:trPr>
          <w:trHeight w:val="170"/>
        </w:trPr>
        <w:tc>
          <w:tcPr>
            <w:tcW w:w="2296" w:type="dxa"/>
            <w:shd w:val="clear" w:color="auto" w:fill="auto"/>
            <w:vAlign w:val="center"/>
            <w:hideMark/>
          </w:tcPr>
          <w:p w14:paraId="1352F4C8" w14:textId="77777777" w:rsidR="00AC3007" w:rsidRPr="00AC3007" w:rsidRDefault="00AC3007" w:rsidP="00AC3007">
            <w:pPr>
              <w:spacing w:line="259" w:lineRule="auto"/>
              <w:rPr>
                <w:rFonts w:ascii="Arial" w:hAnsi="Arial" w:cs="Arial"/>
                <w:color w:val="000000"/>
                <w:sz w:val="20"/>
                <w:szCs w:val="20"/>
              </w:rPr>
            </w:pPr>
            <w:r w:rsidRPr="00AC3007">
              <w:rPr>
                <w:rFonts w:ascii="Arial" w:hAnsi="Arial" w:cs="Arial"/>
                <w:bCs/>
                <w:color w:val="000000"/>
                <w:sz w:val="20"/>
                <w:szCs w:val="20"/>
              </w:rPr>
              <w:t>Donacije – rezultat</w:t>
            </w:r>
          </w:p>
        </w:tc>
        <w:tc>
          <w:tcPr>
            <w:tcW w:w="1417" w:type="dxa"/>
            <w:shd w:val="clear" w:color="auto" w:fill="auto"/>
            <w:vAlign w:val="center"/>
            <w:hideMark/>
          </w:tcPr>
          <w:p w14:paraId="708554ED" w14:textId="77777777" w:rsidR="00AC3007" w:rsidRPr="00AC3007" w:rsidRDefault="00AC3007" w:rsidP="00AC3007">
            <w:pPr>
              <w:spacing w:line="259" w:lineRule="auto"/>
              <w:jc w:val="both"/>
              <w:rPr>
                <w:rFonts w:ascii="Arial" w:hAnsi="Arial" w:cs="Arial"/>
                <w:color w:val="000000"/>
                <w:sz w:val="20"/>
                <w:szCs w:val="20"/>
              </w:rPr>
            </w:pPr>
            <w:r w:rsidRPr="00AC3007">
              <w:rPr>
                <w:rFonts w:ascii="Arial" w:hAnsi="Arial" w:cs="Arial"/>
                <w:bCs/>
                <w:color w:val="000000"/>
                <w:sz w:val="20"/>
                <w:szCs w:val="20"/>
              </w:rPr>
              <w:t>6.9.000002</w:t>
            </w:r>
          </w:p>
        </w:tc>
        <w:tc>
          <w:tcPr>
            <w:tcW w:w="1581" w:type="dxa"/>
            <w:shd w:val="clear" w:color="auto" w:fill="auto"/>
            <w:vAlign w:val="center"/>
            <w:hideMark/>
          </w:tcPr>
          <w:p w14:paraId="4617F1BF"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1.204,00</w:t>
            </w:r>
          </w:p>
        </w:tc>
        <w:tc>
          <w:tcPr>
            <w:tcW w:w="1694" w:type="dxa"/>
            <w:shd w:val="clear" w:color="auto" w:fill="auto"/>
            <w:vAlign w:val="center"/>
            <w:hideMark/>
          </w:tcPr>
          <w:p w14:paraId="1FA20AB9"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0,00</w:t>
            </w:r>
          </w:p>
        </w:tc>
        <w:tc>
          <w:tcPr>
            <w:tcW w:w="1876" w:type="dxa"/>
            <w:shd w:val="clear" w:color="auto" w:fill="auto"/>
            <w:vAlign w:val="center"/>
            <w:hideMark/>
          </w:tcPr>
          <w:p w14:paraId="268228FC"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1.204,00</w:t>
            </w:r>
          </w:p>
        </w:tc>
        <w:tc>
          <w:tcPr>
            <w:tcW w:w="1498" w:type="dxa"/>
            <w:shd w:val="clear" w:color="auto" w:fill="auto"/>
            <w:vAlign w:val="center"/>
            <w:hideMark/>
          </w:tcPr>
          <w:p w14:paraId="6A6B13DA"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1.204,00</w:t>
            </w:r>
          </w:p>
        </w:tc>
      </w:tr>
      <w:tr w:rsidR="00AC3007" w:rsidRPr="00AC3007" w14:paraId="7A7CA2F0" w14:textId="77777777" w:rsidTr="00AC3007">
        <w:trPr>
          <w:trHeight w:val="170"/>
        </w:trPr>
        <w:tc>
          <w:tcPr>
            <w:tcW w:w="2296" w:type="dxa"/>
            <w:shd w:val="clear" w:color="auto" w:fill="auto"/>
            <w:vAlign w:val="center"/>
            <w:hideMark/>
          </w:tcPr>
          <w:p w14:paraId="060F3431" w14:textId="77777777" w:rsidR="00AC3007" w:rsidRPr="00AC3007" w:rsidRDefault="00AC3007" w:rsidP="00AC3007">
            <w:pPr>
              <w:spacing w:line="259" w:lineRule="auto"/>
              <w:rPr>
                <w:rFonts w:ascii="Arial" w:hAnsi="Arial" w:cs="Arial"/>
                <w:color w:val="000000"/>
                <w:sz w:val="20"/>
                <w:szCs w:val="20"/>
              </w:rPr>
            </w:pPr>
            <w:r w:rsidRPr="00AC3007">
              <w:rPr>
                <w:rFonts w:ascii="Arial" w:hAnsi="Arial" w:cs="Arial"/>
                <w:bCs/>
                <w:color w:val="000000"/>
                <w:sz w:val="20"/>
                <w:szCs w:val="20"/>
              </w:rPr>
              <w:t>Prihodi od naknada šteta s osnova osiguranja</w:t>
            </w:r>
          </w:p>
        </w:tc>
        <w:tc>
          <w:tcPr>
            <w:tcW w:w="1417" w:type="dxa"/>
            <w:shd w:val="clear" w:color="auto" w:fill="auto"/>
            <w:vAlign w:val="center"/>
            <w:hideMark/>
          </w:tcPr>
          <w:p w14:paraId="1051FF17" w14:textId="77777777" w:rsidR="00AC3007" w:rsidRPr="00AC3007" w:rsidRDefault="00AC3007" w:rsidP="00AC3007">
            <w:pPr>
              <w:spacing w:line="259" w:lineRule="auto"/>
              <w:jc w:val="both"/>
              <w:rPr>
                <w:rFonts w:ascii="Arial" w:hAnsi="Arial" w:cs="Arial"/>
                <w:color w:val="000000"/>
                <w:sz w:val="20"/>
                <w:szCs w:val="20"/>
              </w:rPr>
            </w:pPr>
            <w:r w:rsidRPr="00AC3007">
              <w:rPr>
                <w:rFonts w:ascii="Arial" w:hAnsi="Arial" w:cs="Arial"/>
                <w:bCs/>
                <w:color w:val="000000"/>
                <w:sz w:val="20"/>
                <w:szCs w:val="20"/>
              </w:rPr>
              <w:t>7.9.000001</w:t>
            </w:r>
          </w:p>
        </w:tc>
        <w:tc>
          <w:tcPr>
            <w:tcW w:w="1581" w:type="dxa"/>
            <w:shd w:val="clear" w:color="auto" w:fill="auto"/>
            <w:vAlign w:val="center"/>
            <w:hideMark/>
          </w:tcPr>
          <w:p w14:paraId="34B3CD2E"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0,00</w:t>
            </w:r>
          </w:p>
        </w:tc>
        <w:tc>
          <w:tcPr>
            <w:tcW w:w="1694" w:type="dxa"/>
            <w:shd w:val="clear" w:color="auto" w:fill="auto"/>
            <w:vAlign w:val="center"/>
            <w:hideMark/>
          </w:tcPr>
          <w:p w14:paraId="70D31D8C"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5.400,00</w:t>
            </w:r>
          </w:p>
        </w:tc>
        <w:tc>
          <w:tcPr>
            <w:tcW w:w="1876" w:type="dxa"/>
            <w:shd w:val="clear" w:color="auto" w:fill="auto"/>
            <w:vAlign w:val="center"/>
            <w:hideMark/>
          </w:tcPr>
          <w:p w14:paraId="6E217AC5"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5.400,00</w:t>
            </w:r>
          </w:p>
        </w:tc>
        <w:tc>
          <w:tcPr>
            <w:tcW w:w="1498" w:type="dxa"/>
            <w:shd w:val="clear" w:color="auto" w:fill="auto"/>
            <w:vAlign w:val="center"/>
            <w:hideMark/>
          </w:tcPr>
          <w:p w14:paraId="156FBB99" w14:textId="77777777" w:rsidR="00AC3007" w:rsidRPr="00AC3007" w:rsidRDefault="00AC3007" w:rsidP="00AC3007">
            <w:pPr>
              <w:spacing w:line="259" w:lineRule="auto"/>
              <w:rPr>
                <w:rFonts w:ascii="Arial" w:hAnsi="Arial" w:cs="Arial"/>
                <w:bCs/>
                <w:color w:val="000000"/>
                <w:sz w:val="20"/>
                <w:szCs w:val="20"/>
              </w:rPr>
            </w:pPr>
            <w:r w:rsidRPr="00AC3007">
              <w:rPr>
                <w:rFonts w:ascii="Arial" w:hAnsi="Arial" w:cs="Arial"/>
                <w:bCs/>
                <w:color w:val="000000"/>
                <w:sz w:val="20"/>
                <w:szCs w:val="20"/>
              </w:rPr>
              <w:t xml:space="preserve">      5.400,00</w:t>
            </w:r>
          </w:p>
        </w:tc>
      </w:tr>
      <w:tr w:rsidR="00AC3007" w:rsidRPr="00AC3007" w14:paraId="39575E12" w14:textId="77777777" w:rsidTr="00AC3007">
        <w:trPr>
          <w:trHeight w:val="170"/>
        </w:trPr>
        <w:tc>
          <w:tcPr>
            <w:tcW w:w="2296" w:type="dxa"/>
            <w:shd w:val="clear" w:color="auto" w:fill="auto"/>
            <w:vAlign w:val="center"/>
          </w:tcPr>
          <w:p w14:paraId="1A83C089" w14:textId="77777777" w:rsidR="00AC3007" w:rsidRPr="00AC3007" w:rsidRDefault="00AC3007" w:rsidP="00AC3007">
            <w:pPr>
              <w:spacing w:line="259" w:lineRule="auto"/>
              <w:rPr>
                <w:rFonts w:ascii="Arial" w:hAnsi="Arial" w:cs="Arial"/>
                <w:bCs/>
                <w:color w:val="000000"/>
                <w:sz w:val="20"/>
                <w:szCs w:val="20"/>
              </w:rPr>
            </w:pPr>
            <w:r w:rsidRPr="00AC3007">
              <w:rPr>
                <w:rFonts w:ascii="Arial" w:hAnsi="Arial" w:cs="Arial"/>
                <w:bCs/>
                <w:color w:val="000000"/>
                <w:sz w:val="20"/>
                <w:szCs w:val="20"/>
              </w:rPr>
              <w:t>Prihodi od nefinancijske imovine</w:t>
            </w:r>
          </w:p>
        </w:tc>
        <w:tc>
          <w:tcPr>
            <w:tcW w:w="1417" w:type="dxa"/>
            <w:shd w:val="clear" w:color="auto" w:fill="auto"/>
            <w:vAlign w:val="center"/>
          </w:tcPr>
          <w:p w14:paraId="4B7DF83F" w14:textId="77777777" w:rsidR="00AC3007" w:rsidRPr="00AC3007" w:rsidRDefault="00AC3007" w:rsidP="00AC3007">
            <w:pPr>
              <w:spacing w:line="259" w:lineRule="auto"/>
              <w:jc w:val="both"/>
              <w:rPr>
                <w:rFonts w:ascii="Arial" w:hAnsi="Arial" w:cs="Arial"/>
                <w:bCs/>
                <w:color w:val="000000"/>
                <w:sz w:val="20"/>
                <w:szCs w:val="20"/>
              </w:rPr>
            </w:pPr>
            <w:r w:rsidRPr="00AC3007">
              <w:rPr>
                <w:rFonts w:ascii="Arial" w:hAnsi="Arial" w:cs="Arial"/>
                <w:bCs/>
                <w:color w:val="000000"/>
                <w:sz w:val="20"/>
                <w:szCs w:val="20"/>
              </w:rPr>
              <w:t>7.9.000002</w:t>
            </w:r>
          </w:p>
        </w:tc>
        <w:tc>
          <w:tcPr>
            <w:tcW w:w="1581" w:type="dxa"/>
            <w:shd w:val="clear" w:color="auto" w:fill="auto"/>
            <w:vAlign w:val="center"/>
          </w:tcPr>
          <w:p w14:paraId="3AA976BB" w14:textId="77777777" w:rsidR="00AC3007" w:rsidRPr="00AC3007" w:rsidRDefault="00AC3007" w:rsidP="00AC3007">
            <w:pPr>
              <w:spacing w:line="259" w:lineRule="auto"/>
              <w:jc w:val="right"/>
              <w:rPr>
                <w:rFonts w:ascii="Arial" w:hAnsi="Arial" w:cs="Arial"/>
                <w:bCs/>
                <w:color w:val="000000"/>
                <w:sz w:val="20"/>
                <w:szCs w:val="20"/>
              </w:rPr>
            </w:pPr>
            <w:r w:rsidRPr="00AC3007">
              <w:rPr>
                <w:rFonts w:ascii="Arial" w:hAnsi="Arial" w:cs="Arial"/>
                <w:bCs/>
                <w:color w:val="000000"/>
                <w:sz w:val="20"/>
                <w:szCs w:val="20"/>
              </w:rPr>
              <w:t>611,00</w:t>
            </w:r>
          </w:p>
        </w:tc>
        <w:tc>
          <w:tcPr>
            <w:tcW w:w="1694" w:type="dxa"/>
            <w:shd w:val="clear" w:color="auto" w:fill="auto"/>
            <w:vAlign w:val="center"/>
          </w:tcPr>
          <w:p w14:paraId="123CC8B7" w14:textId="77777777" w:rsidR="00AC3007" w:rsidRPr="00AC3007" w:rsidRDefault="00AC3007" w:rsidP="00AC3007">
            <w:pPr>
              <w:spacing w:line="259" w:lineRule="auto"/>
              <w:jc w:val="right"/>
              <w:rPr>
                <w:rFonts w:ascii="Arial" w:hAnsi="Arial" w:cs="Arial"/>
                <w:bCs/>
                <w:color w:val="000000"/>
                <w:sz w:val="20"/>
                <w:szCs w:val="20"/>
              </w:rPr>
            </w:pPr>
            <w:r w:rsidRPr="00AC3007">
              <w:rPr>
                <w:rFonts w:ascii="Arial" w:hAnsi="Arial" w:cs="Arial"/>
                <w:bCs/>
                <w:color w:val="000000"/>
                <w:sz w:val="20"/>
                <w:szCs w:val="20"/>
              </w:rPr>
              <w:t>2.000,00</w:t>
            </w:r>
          </w:p>
        </w:tc>
        <w:tc>
          <w:tcPr>
            <w:tcW w:w="1876" w:type="dxa"/>
            <w:shd w:val="clear" w:color="auto" w:fill="auto"/>
            <w:vAlign w:val="center"/>
          </w:tcPr>
          <w:p w14:paraId="40ECD3B8" w14:textId="77777777" w:rsidR="00AC3007" w:rsidRPr="00AC3007" w:rsidRDefault="00AC3007" w:rsidP="00AC3007">
            <w:pPr>
              <w:spacing w:line="259" w:lineRule="auto"/>
              <w:jc w:val="right"/>
              <w:rPr>
                <w:rFonts w:ascii="Arial" w:hAnsi="Arial" w:cs="Arial"/>
                <w:bCs/>
                <w:color w:val="000000"/>
                <w:sz w:val="20"/>
                <w:szCs w:val="20"/>
              </w:rPr>
            </w:pPr>
            <w:r w:rsidRPr="00AC3007">
              <w:rPr>
                <w:rFonts w:ascii="Arial" w:hAnsi="Arial" w:cs="Arial"/>
                <w:bCs/>
                <w:color w:val="000000"/>
                <w:sz w:val="20"/>
                <w:szCs w:val="20"/>
              </w:rPr>
              <w:t>2.611,00</w:t>
            </w:r>
          </w:p>
        </w:tc>
        <w:tc>
          <w:tcPr>
            <w:tcW w:w="1498" w:type="dxa"/>
            <w:shd w:val="clear" w:color="auto" w:fill="auto"/>
            <w:vAlign w:val="center"/>
          </w:tcPr>
          <w:p w14:paraId="58831F5F" w14:textId="77777777" w:rsidR="00AC3007" w:rsidRPr="00AC3007" w:rsidRDefault="00AC3007" w:rsidP="00AC3007">
            <w:pPr>
              <w:spacing w:line="259" w:lineRule="auto"/>
              <w:jc w:val="right"/>
              <w:rPr>
                <w:rFonts w:ascii="Arial" w:hAnsi="Arial" w:cs="Arial"/>
                <w:bCs/>
                <w:color w:val="000000"/>
                <w:sz w:val="20"/>
                <w:szCs w:val="20"/>
              </w:rPr>
            </w:pPr>
            <w:r w:rsidRPr="00AC3007">
              <w:rPr>
                <w:rFonts w:ascii="Arial" w:hAnsi="Arial" w:cs="Arial"/>
                <w:bCs/>
                <w:color w:val="000000"/>
                <w:sz w:val="20"/>
                <w:szCs w:val="20"/>
              </w:rPr>
              <w:t>2.611,00</w:t>
            </w:r>
          </w:p>
        </w:tc>
      </w:tr>
      <w:tr w:rsidR="00AC3007" w:rsidRPr="00AC3007" w14:paraId="128BB5E5" w14:textId="77777777" w:rsidTr="00AC3007">
        <w:trPr>
          <w:trHeight w:val="170"/>
        </w:trPr>
        <w:tc>
          <w:tcPr>
            <w:tcW w:w="2296" w:type="dxa"/>
            <w:shd w:val="clear" w:color="auto" w:fill="auto"/>
            <w:vAlign w:val="center"/>
            <w:hideMark/>
          </w:tcPr>
          <w:p w14:paraId="67C0BB38" w14:textId="77777777" w:rsidR="00AC3007" w:rsidRPr="00AC3007" w:rsidRDefault="00AC3007" w:rsidP="00AC3007">
            <w:pPr>
              <w:spacing w:line="259" w:lineRule="auto"/>
              <w:rPr>
                <w:rFonts w:ascii="Arial" w:hAnsi="Arial" w:cs="Arial"/>
                <w:color w:val="000000"/>
                <w:sz w:val="20"/>
                <w:szCs w:val="20"/>
              </w:rPr>
            </w:pPr>
            <w:r w:rsidRPr="00AC3007">
              <w:rPr>
                <w:rFonts w:ascii="Arial" w:hAnsi="Arial" w:cs="Arial"/>
                <w:bCs/>
                <w:color w:val="000000"/>
                <w:sz w:val="20"/>
                <w:szCs w:val="20"/>
              </w:rPr>
              <w:t>Prihodi od nefinancijske imovine – rezultat</w:t>
            </w:r>
          </w:p>
        </w:tc>
        <w:tc>
          <w:tcPr>
            <w:tcW w:w="1417" w:type="dxa"/>
            <w:shd w:val="clear" w:color="auto" w:fill="auto"/>
            <w:vAlign w:val="center"/>
            <w:hideMark/>
          </w:tcPr>
          <w:p w14:paraId="67DB35A6" w14:textId="77777777" w:rsidR="00AC3007" w:rsidRPr="00AC3007" w:rsidRDefault="00AC3007" w:rsidP="00AC3007">
            <w:pPr>
              <w:spacing w:line="259" w:lineRule="auto"/>
              <w:jc w:val="both"/>
              <w:rPr>
                <w:rFonts w:ascii="Arial" w:hAnsi="Arial" w:cs="Arial"/>
                <w:color w:val="000000"/>
                <w:sz w:val="20"/>
                <w:szCs w:val="20"/>
              </w:rPr>
            </w:pPr>
            <w:r w:rsidRPr="00AC3007">
              <w:rPr>
                <w:rFonts w:ascii="Arial" w:hAnsi="Arial" w:cs="Arial"/>
                <w:bCs/>
                <w:color w:val="000000"/>
                <w:sz w:val="20"/>
                <w:szCs w:val="20"/>
              </w:rPr>
              <w:t>7.9.000003</w:t>
            </w:r>
          </w:p>
        </w:tc>
        <w:tc>
          <w:tcPr>
            <w:tcW w:w="1581" w:type="dxa"/>
            <w:shd w:val="clear" w:color="auto" w:fill="auto"/>
            <w:vAlign w:val="center"/>
            <w:hideMark/>
          </w:tcPr>
          <w:p w14:paraId="5FA60721"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0,00</w:t>
            </w:r>
          </w:p>
        </w:tc>
        <w:tc>
          <w:tcPr>
            <w:tcW w:w="1694" w:type="dxa"/>
            <w:shd w:val="clear" w:color="auto" w:fill="auto"/>
            <w:vAlign w:val="center"/>
            <w:hideMark/>
          </w:tcPr>
          <w:p w14:paraId="7F6C776B"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0,00</w:t>
            </w:r>
          </w:p>
        </w:tc>
        <w:tc>
          <w:tcPr>
            <w:tcW w:w="1876" w:type="dxa"/>
            <w:shd w:val="clear" w:color="auto" w:fill="auto"/>
            <w:vAlign w:val="center"/>
            <w:hideMark/>
          </w:tcPr>
          <w:p w14:paraId="7F2E3C6D"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0,00</w:t>
            </w:r>
          </w:p>
        </w:tc>
        <w:tc>
          <w:tcPr>
            <w:tcW w:w="1498" w:type="dxa"/>
            <w:shd w:val="clear" w:color="auto" w:fill="auto"/>
            <w:vAlign w:val="center"/>
            <w:hideMark/>
          </w:tcPr>
          <w:p w14:paraId="2BD12BD8"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0,00</w:t>
            </w:r>
          </w:p>
        </w:tc>
      </w:tr>
      <w:tr w:rsidR="00AC3007" w:rsidRPr="00AC3007" w14:paraId="100AF443" w14:textId="77777777" w:rsidTr="00AC3007">
        <w:trPr>
          <w:trHeight w:val="170"/>
        </w:trPr>
        <w:tc>
          <w:tcPr>
            <w:tcW w:w="2296" w:type="dxa"/>
            <w:shd w:val="clear" w:color="auto" w:fill="auto"/>
            <w:vAlign w:val="center"/>
            <w:hideMark/>
          </w:tcPr>
          <w:p w14:paraId="14CDBD0E" w14:textId="77777777" w:rsidR="00AC3007" w:rsidRPr="00AC3007" w:rsidRDefault="00AC3007" w:rsidP="00AC3007">
            <w:pPr>
              <w:spacing w:line="259" w:lineRule="auto"/>
              <w:rPr>
                <w:rFonts w:ascii="Arial" w:hAnsi="Arial" w:cs="Arial"/>
                <w:color w:val="000000"/>
                <w:sz w:val="20"/>
                <w:szCs w:val="20"/>
              </w:rPr>
            </w:pPr>
            <w:r w:rsidRPr="00AC3007">
              <w:rPr>
                <w:rFonts w:ascii="Arial" w:hAnsi="Arial" w:cs="Arial"/>
                <w:bCs/>
                <w:color w:val="000000"/>
                <w:sz w:val="20"/>
                <w:szCs w:val="20"/>
              </w:rPr>
              <w:t>Prihodi od naknada šteta – rezultat</w:t>
            </w:r>
          </w:p>
        </w:tc>
        <w:tc>
          <w:tcPr>
            <w:tcW w:w="1417" w:type="dxa"/>
            <w:shd w:val="clear" w:color="auto" w:fill="auto"/>
            <w:vAlign w:val="center"/>
            <w:hideMark/>
          </w:tcPr>
          <w:p w14:paraId="33DA71AB" w14:textId="77777777" w:rsidR="00AC3007" w:rsidRPr="00AC3007" w:rsidRDefault="00AC3007" w:rsidP="00AC3007">
            <w:pPr>
              <w:spacing w:line="259" w:lineRule="auto"/>
              <w:jc w:val="both"/>
              <w:rPr>
                <w:rFonts w:ascii="Arial" w:hAnsi="Arial" w:cs="Arial"/>
                <w:color w:val="000000"/>
                <w:sz w:val="20"/>
                <w:szCs w:val="20"/>
              </w:rPr>
            </w:pPr>
            <w:r w:rsidRPr="00AC3007">
              <w:rPr>
                <w:rFonts w:ascii="Arial" w:hAnsi="Arial" w:cs="Arial"/>
                <w:bCs/>
                <w:color w:val="000000"/>
                <w:sz w:val="20"/>
                <w:szCs w:val="20"/>
              </w:rPr>
              <w:t>7.9.000004</w:t>
            </w:r>
          </w:p>
        </w:tc>
        <w:tc>
          <w:tcPr>
            <w:tcW w:w="1581" w:type="dxa"/>
            <w:shd w:val="clear" w:color="auto" w:fill="auto"/>
            <w:vAlign w:val="center"/>
            <w:hideMark/>
          </w:tcPr>
          <w:p w14:paraId="5E476DB5"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0,00</w:t>
            </w:r>
          </w:p>
        </w:tc>
        <w:tc>
          <w:tcPr>
            <w:tcW w:w="1694" w:type="dxa"/>
            <w:shd w:val="clear" w:color="auto" w:fill="auto"/>
            <w:vAlign w:val="center"/>
            <w:hideMark/>
          </w:tcPr>
          <w:p w14:paraId="7548A89E"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0,00</w:t>
            </w:r>
          </w:p>
        </w:tc>
        <w:tc>
          <w:tcPr>
            <w:tcW w:w="1876" w:type="dxa"/>
            <w:shd w:val="clear" w:color="auto" w:fill="auto"/>
            <w:vAlign w:val="center"/>
            <w:hideMark/>
          </w:tcPr>
          <w:p w14:paraId="7F79BCDE"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0,00</w:t>
            </w:r>
          </w:p>
        </w:tc>
        <w:tc>
          <w:tcPr>
            <w:tcW w:w="1498" w:type="dxa"/>
            <w:shd w:val="clear" w:color="auto" w:fill="auto"/>
            <w:vAlign w:val="center"/>
            <w:hideMark/>
          </w:tcPr>
          <w:p w14:paraId="7C4F7A12" w14:textId="77777777" w:rsidR="00AC3007" w:rsidRPr="00AC3007" w:rsidRDefault="00AC3007" w:rsidP="00AC3007">
            <w:pPr>
              <w:spacing w:line="259" w:lineRule="auto"/>
              <w:jc w:val="right"/>
              <w:rPr>
                <w:rFonts w:ascii="Arial" w:hAnsi="Arial" w:cs="Arial"/>
                <w:color w:val="000000"/>
                <w:sz w:val="20"/>
                <w:szCs w:val="20"/>
              </w:rPr>
            </w:pPr>
            <w:r w:rsidRPr="00AC3007">
              <w:rPr>
                <w:rFonts w:ascii="Arial" w:hAnsi="Arial" w:cs="Arial"/>
                <w:bCs/>
                <w:color w:val="000000"/>
                <w:sz w:val="20"/>
                <w:szCs w:val="20"/>
              </w:rPr>
              <w:t>0,00</w:t>
            </w:r>
          </w:p>
        </w:tc>
      </w:tr>
      <w:tr w:rsidR="00AC3007" w:rsidRPr="00AC3007" w14:paraId="57EA5810" w14:textId="77777777" w:rsidTr="00AC3007">
        <w:trPr>
          <w:trHeight w:val="170"/>
        </w:trPr>
        <w:tc>
          <w:tcPr>
            <w:tcW w:w="2296" w:type="dxa"/>
            <w:shd w:val="clear" w:color="auto" w:fill="auto"/>
            <w:vAlign w:val="center"/>
            <w:hideMark/>
          </w:tcPr>
          <w:p w14:paraId="0F495B3A" w14:textId="77777777" w:rsidR="00AC3007" w:rsidRPr="00AC3007" w:rsidRDefault="00AC3007" w:rsidP="00AC3007">
            <w:pPr>
              <w:spacing w:line="259" w:lineRule="auto"/>
              <w:rPr>
                <w:rFonts w:ascii="Arial" w:hAnsi="Arial" w:cs="Arial"/>
                <w:b/>
                <w:bCs/>
                <w:color w:val="000000"/>
                <w:sz w:val="20"/>
                <w:szCs w:val="20"/>
              </w:rPr>
            </w:pPr>
            <w:r w:rsidRPr="00AC3007">
              <w:rPr>
                <w:rFonts w:ascii="Arial" w:hAnsi="Arial" w:cs="Arial"/>
                <w:b/>
                <w:bCs/>
                <w:color w:val="000000"/>
                <w:sz w:val="20"/>
                <w:szCs w:val="20"/>
              </w:rPr>
              <w:t xml:space="preserve">                     UKUPNO:</w:t>
            </w:r>
          </w:p>
        </w:tc>
        <w:tc>
          <w:tcPr>
            <w:tcW w:w="1417" w:type="dxa"/>
            <w:shd w:val="clear" w:color="auto" w:fill="auto"/>
            <w:vAlign w:val="center"/>
            <w:hideMark/>
          </w:tcPr>
          <w:p w14:paraId="0C3D6BFB" w14:textId="77777777" w:rsidR="00AC3007" w:rsidRPr="00AC3007" w:rsidRDefault="00AC3007" w:rsidP="00AC3007">
            <w:pPr>
              <w:spacing w:line="259" w:lineRule="auto"/>
              <w:jc w:val="center"/>
              <w:rPr>
                <w:rFonts w:ascii="Arial" w:hAnsi="Arial" w:cs="Arial"/>
                <w:b/>
                <w:bCs/>
                <w:color w:val="000000"/>
                <w:sz w:val="20"/>
                <w:szCs w:val="20"/>
              </w:rPr>
            </w:pPr>
            <w:r w:rsidRPr="00AC3007">
              <w:rPr>
                <w:rFonts w:ascii="Arial" w:hAnsi="Arial" w:cs="Arial"/>
                <w:b/>
                <w:bCs/>
                <w:color w:val="000000"/>
                <w:sz w:val="20"/>
                <w:szCs w:val="20"/>
              </w:rPr>
              <w:t> </w:t>
            </w:r>
          </w:p>
        </w:tc>
        <w:tc>
          <w:tcPr>
            <w:tcW w:w="1581" w:type="dxa"/>
            <w:shd w:val="clear" w:color="auto" w:fill="auto"/>
            <w:vAlign w:val="center"/>
            <w:hideMark/>
          </w:tcPr>
          <w:p w14:paraId="2B644098" w14:textId="77777777" w:rsidR="00AC3007" w:rsidRPr="00AC3007" w:rsidRDefault="00AC3007" w:rsidP="00AC3007">
            <w:pPr>
              <w:spacing w:line="259" w:lineRule="auto"/>
              <w:jc w:val="right"/>
              <w:rPr>
                <w:rFonts w:ascii="Arial" w:hAnsi="Arial" w:cs="Arial"/>
                <w:b/>
                <w:bCs/>
                <w:color w:val="000000"/>
                <w:sz w:val="20"/>
                <w:szCs w:val="20"/>
              </w:rPr>
            </w:pPr>
            <w:r w:rsidRPr="00AC3007">
              <w:rPr>
                <w:rFonts w:ascii="Arial" w:hAnsi="Arial" w:cs="Arial"/>
                <w:b/>
                <w:bCs/>
                <w:color w:val="000000"/>
                <w:sz w:val="20"/>
                <w:szCs w:val="20"/>
              </w:rPr>
              <w:t xml:space="preserve">            3.209,00</w:t>
            </w:r>
          </w:p>
        </w:tc>
        <w:tc>
          <w:tcPr>
            <w:tcW w:w="1694" w:type="dxa"/>
            <w:shd w:val="clear" w:color="auto" w:fill="auto"/>
            <w:vAlign w:val="center"/>
            <w:hideMark/>
          </w:tcPr>
          <w:p w14:paraId="400EDAD7" w14:textId="77777777" w:rsidR="00AC3007" w:rsidRPr="00AC3007" w:rsidRDefault="00AC3007" w:rsidP="00AC3007">
            <w:pPr>
              <w:spacing w:line="259" w:lineRule="auto"/>
              <w:jc w:val="right"/>
              <w:rPr>
                <w:rFonts w:ascii="Arial" w:hAnsi="Arial" w:cs="Arial"/>
                <w:b/>
                <w:bCs/>
                <w:color w:val="000000"/>
                <w:sz w:val="20"/>
                <w:szCs w:val="20"/>
              </w:rPr>
            </w:pPr>
            <w:r w:rsidRPr="00AC3007">
              <w:rPr>
                <w:rFonts w:ascii="Arial" w:hAnsi="Arial" w:cs="Arial"/>
                <w:b/>
                <w:bCs/>
                <w:color w:val="000000"/>
                <w:sz w:val="20"/>
                <w:szCs w:val="20"/>
              </w:rPr>
              <w:t>1.634.431,00</w:t>
            </w:r>
          </w:p>
        </w:tc>
        <w:tc>
          <w:tcPr>
            <w:tcW w:w="1876" w:type="dxa"/>
            <w:shd w:val="clear" w:color="auto" w:fill="auto"/>
            <w:vAlign w:val="center"/>
            <w:hideMark/>
          </w:tcPr>
          <w:p w14:paraId="14EE38DC" w14:textId="77777777" w:rsidR="00AC3007" w:rsidRPr="00AC3007" w:rsidRDefault="00AC3007" w:rsidP="00AC3007">
            <w:pPr>
              <w:spacing w:line="259" w:lineRule="auto"/>
              <w:jc w:val="right"/>
              <w:rPr>
                <w:rFonts w:ascii="Arial" w:hAnsi="Arial" w:cs="Arial"/>
                <w:b/>
                <w:bCs/>
                <w:color w:val="000000"/>
                <w:sz w:val="20"/>
                <w:szCs w:val="20"/>
              </w:rPr>
            </w:pPr>
            <w:r w:rsidRPr="00AC3007">
              <w:rPr>
                <w:rFonts w:ascii="Arial" w:hAnsi="Arial" w:cs="Arial"/>
                <w:b/>
                <w:bCs/>
                <w:color w:val="000000"/>
                <w:sz w:val="20"/>
                <w:szCs w:val="20"/>
              </w:rPr>
              <w:t>1.637.640,00</w:t>
            </w:r>
          </w:p>
        </w:tc>
        <w:tc>
          <w:tcPr>
            <w:tcW w:w="1498" w:type="dxa"/>
            <w:shd w:val="clear" w:color="auto" w:fill="auto"/>
            <w:vAlign w:val="center"/>
            <w:hideMark/>
          </w:tcPr>
          <w:p w14:paraId="1207FFBB" w14:textId="77777777" w:rsidR="00AC3007" w:rsidRPr="00AC3007" w:rsidRDefault="00AC3007" w:rsidP="00AC3007">
            <w:pPr>
              <w:spacing w:line="259" w:lineRule="auto"/>
              <w:jc w:val="right"/>
              <w:rPr>
                <w:rFonts w:ascii="Arial" w:hAnsi="Arial" w:cs="Arial"/>
                <w:b/>
                <w:bCs/>
                <w:color w:val="000000"/>
                <w:sz w:val="20"/>
                <w:szCs w:val="20"/>
              </w:rPr>
            </w:pPr>
            <w:r w:rsidRPr="00AC3007">
              <w:rPr>
                <w:rFonts w:ascii="Arial" w:hAnsi="Arial" w:cs="Arial"/>
                <w:b/>
                <w:bCs/>
                <w:color w:val="000000"/>
                <w:sz w:val="20"/>
                <w:szCs w:val="20"/>
              </w:rPr>
              <w:t>1.637.640,00</w:t>
            </w:r>
          </w:p>
        </w:tc>
      </w:tr>
    </w:tbl>
    <w:p w14:paraId="58AF3BB6" w14:textId="77777777" w:rsidR="00AC3007" w:rsidRPr="00AC3007" w:rsidRDefault="00AC3007" w:rsidP="00AC3007">
      <w:pPr>
        <w:keepNext/>
        <w:keepLines/>
        <w:spacing w:line="259" w:lineRule="auto"/>
        <w:jc w:val="both"/>
        <w:outlineLvl w:val="1"/>
        <w:rPr>
          <w:rFonts w:ascii="Arial" w:hAnsi="Arial" w:cs="Arial"/>
          <w:b/>
          <w:sz w:val="22"/>
          <w:szCs w:val="22"/>
        </w:rPr>
      </w:pPr>
    </w:p>
    <w:p w14:paraId="54414151" w14:textId="55929EEA" w:rsidR="00D357A6" w:rsidRPr="00AC3007" w:rsidRDefault="00D357A6" w:rsidP="00AC3007">
      <w:pPr>
        <w:keepNext/>
        <w:keepLines/>
        <w:spacing w:line="259" w:lineRule="auto"/>
        <w:jc w:val="both"/>
        <w:outlineLvl w:val="1"/>
        <w:rPr>
          <w:rFonts w:ascii="Arial" w:hAnsi="Arial" w:cs="Arial"/>
          <w:sz w:val="22"/>
          <w:szCs w:val="22"/>
        </w:rPr>
      </w:pPr>
      <w:r w:rsidRPr="00AC3007">
        <w:rPr>
          <w:rFonts w:ascii="Arial" w:hAnsi="Arial" w:cs="Arial"/>
          <w:b/>
          <w:sz w:val="22"/>
          <w:szCs w:val="22"/>
        </w:rPr>
        <w:t>OBRAZLOŽENJE TABELE</w:t>
      </w:r>
    </w:p>
    <w:p w14:paraId="6673A2A8" w14:textId="77777777" w:rsidR="00D357A6" w:rsidRPr="00AC3007" w:rsidRDefault="00D357A6" w:rsidP="00AC3007">
      <w:pPr>
        <w:spacing w:line="259" w:lineRule="auto"/>
        <w:jc w:val="both"/>
        <w:rPr>
          <w:rFonts w:ascii="Arial" w:hAnsi="Arial" w:cs="Arial"/>
          <w:sz w:val="22"/>
          <w:szCs w:val="22"/>
          <w:u w:val="single"/>
        </w:rPr>
      </w:pPr>
    </w:p>
    <w:p w14:paraId="7D33E5E3" w14:textId="77777777" w:rsidR="00D357A6" w:rsidRPr="00AC3007" w:rsidRDefault="00D357A6" w:rsidP="00AC3007">
      <w:pPr>
        <w:spacing w:line="259" w:lineRule="auto"/>
        <w:jc w:val="both"/>
        <w:rPr>
          <w:rFonts w:ascii="Arial" w:hAnsi="Arial" w:cs="Arial"/>
          <w:sz w:val="22"/>
          <w:szCs w:val="22"/>
        </w:rPr>
      </w:pPr>
      <w:r w:rsidRPr="00AC3007">
        <w:rPr>
          <w:rFonts w:ascii="Arial" w:hAnsi="Arial" w:cs="Arial"/>
          <w:sz w:val="22"/>
          <w:szCs w:val="22"/>
          <w:u w:val="single"/>
        </w:rPr>
        <w:t xml:space="preserve">Opći prihodi i primici  </w:t>
      </w:r>
      <w:r w:rsidRPr="00AC3007">
        <w:rPr>
          <w:rFonts w:ascii="Arial" w:hAnsi="Arial" w:cs="Arial"/>
          <w:sz w:val="22"/>
          <w:szCs w:val="22"/>
        </w:rPr>
        <w:t>planirani su u iznosu od 524.057,00,00 eura odnosno 7,82% više od plana  2025. godine. Sredstva se planiraju iz gradskog proračuna za financiranje redovne djelatnosti u iznosu od 520.974,00 eura, što je povećanje od 7,19% u odnosu na plan 2025. godine, a koriste se  za podmirenje rashoda poslovanja tekuće godine i to najvećim dijelom rashoda za zaposlene i 3.083,00 eura za podmirenje manjka iz prethodne godine koji je nastao radi neplaćanja računa iz 2024. godine do 31.12.2024. godine. Sredstva su povećana radi preusmjeravanja sredstava iz donacija PVZ Labin za financiranje materijalnih rashoda za redovno poslovanje.</w:t>
      </w:r>
    </w:p>
    <w:p w14:paraId="4B073405" w14:textId="77777777" w:rsidR="00D357A6" w:rsidRPr="00AC3007" w:rsidRDefault="00D357A6" w:rsidP="00AC3007">
      <w:pPr>
        <w:spacing w:line="259" w:lineRule="auto"/>
        <w:jc w:val="both"/>
        <w:rPr>
          <w:rFonts w:ascii="Arial" w:hAnsi="Arial" w:cs="Arial"/>
          <w:sz w:val="22"/>
          <w:szCs w:val="22"/>
        </w:rPr>
      </w:pPr>
    </w:p>
    <w:p w14:paraId="6E6375B6" w14:textId="77777777" w:rsidR="00D357A6" w:rsidRPr="00AC3007" w:rsidRDefault="00D357A6" w:rsidP="00AC3007">
      <w:pPr>
        <w:spacing w:line="259" w:lineRule="auto"/>
        <w:jc w:val="both"/>
        <w:rPr>
          <w:rFonts w:ascii="Arial" w:hAnsi="Arial" w:cs="Arial"/>
          <w:sz w:val="22"/>
          <w:szCs w:val="22"/>
        </w:rPr>
      </w:pPr>
      <w:r w:rsidRPr="00AC3007">
        <w:rPr>
          <w:rFonts w:ascii="Arial" w:hAnsi="Arial" w:cs="Arial"/>
          <w:sz w:val="22"/>
          <w:szCs w:val="22"/>
          <w:u w:val="single"/>
        </w:rPr>
        <w:t>Vlastiti prihodi</w:t>
      </w:r>
      <w:r w:rsidRPr="00AC3007">
        <w:rPr>
          <w:rFonts w:ascii="Arial" w:hAnsi="Arial" w:cs="Arial"/>
          <w:sz w:val="22"/>
          <w:szCs w:val="22"/>
        </w:rPr>
        <w:t xml:space="preserve"> planirani su u iznosu od 36.200,00 eura odnosno 3,43% više u odnosu na plan 2025. godine. Prihodi su povećani zbog dosadašnjeg većeg ostvarenja od planiranih sredstava.  Uz to ostvaren je višak prihoda iz 2024. godine u iznosu od 4.447,00 eura te je povećan procijenjeni višak prihoda za 123,85%. Višak prihoda koristit će se za rashode za usluge tekućeg i investicijskog održavanja i za rashode za nabavu nefinancijske imovine.</w:t>
      </w:r>
    </w:p>
    <w:p w14:paraId="78A7B569" w14:textId="77777777" w:rsidR="00D357A6" w:rsidRPr="00AC3007" w:rsidRDefault="00D357A6" w:rsidP="00AC3007">
      <w:pPr>
        <w:spacing w:line="259" w:lineRule="auto"/>
        <w:jc w:val="both"/>
        <w:rPr>
          <w:rFonts w:ascii="Arial" w:hAnsi="Arial" w:cs="Arial"/>
          <w:sz w:val="22"/>
          <w:szCs w:val="22"/>
        </w:rPr>
      </w:pPr>
    </w:p>
    <w:p w14:paraId="54E7655E" w14:textId="77777777" w:rsidR="00D357A6" w:rsidRPr="00AC3007" w:rsidRDefault="00D357A6" w:rsidP="00AC3007">
      <w:pPr>
        <w:spacing w:line="259" w:lineRule="auto"/>
        <w:jc w:val="both"/>
        <w:rPr>
          <w:rFonts w:ascii="Arial" w:hAnsi="Arial" w:cs="Arial"/>
          <w:sz w:val="22"/>
          <w:szCs w:val="22"/>
        </w:rPr>
      </w:pPr>
      <w:r w:rsidRPr="00AC3007">
        <w:rPr>
          <w:rFonts w:ascii="Arial" w:hAnsi="Arial" w:cs="Arial"/>
          <w:sz w:val="22"/>
          <w:szCs w:val="22"/>
          <w:u w:val="single"/>
        </w:rPr>
        <w:t>Potpore za decentralizirane funkcije vatrogastva</w:t>
      </w:r>
      <w:r w:rsidRPr="00AC3007">
        <w:rPr>
          <w:rFonts w:ascii="Arial" w:hAnsi="Arial" w:cs="Arial"/>
          <w:sz w:val="22"/>
          <w:szCs w:val="22"/>
        </w:rPr>
        <w:t xml:space="preserve">  planirana su u iznosu od 487.238,00 eura , odnosno za 7,00% više od plana za 2025. godinu prema Odluci o minimalnim financijskim standardima, kriterijima i mjerilima za financiranje rashoda javnih vatrogasnih postrojbi u 2025. godini (NN 16/2025.). </w:t>
      </w:r>
    </w:p>
    <w:p w14:paraId="4C28BA76" w14:textId="77777777" w:rsidR="00D357A6" w:rsidRPr="00AC3007" w:rsidRDefault="00D357A6" w:rsidP="00AC3007">
      <w:pPr>
        <w:spacing w:line="259" w:lineRule="auto"/>
        <w:jc w:val="both"/>
        <w:rPr>
          <w:rFonts w:ascii="Arial" w:hAnsi="Arial" w:cs="Arial"/>
          <w:sz w:val="22"/>
          <w:szCs w:val="22"/>
        </w:rPr>
      </w:pPr>
      <w:r w:rsidRPr="00AC3007">
        <w:rPr>
          <w:rFonts w:ascii="Arial" w:hAnsi="Arial" w:cs="Arial"/>
          <w:sz w:val="22"/>
          <w:szCs w:val="22"/>
        </w:rPr>
        <w:t>Sredstva se koriste za financiranje rashoda poslovanja.</w:t>
      </w:r>
    </w:p>
    <w:p w14:paraId="51862F9C" w14:textId="77777777" w:rsidR="00D357A6" w:rsidRPr="00AC3007" w:rsidRDefault="00D357A6" w:rsidP="00AC3007">
      <w:pPr>
        <w:spacing w:line="259" w:lineRule="auto"/>
        <w:jc w:val="both"/>
        <w:rPr>
          <w:rFonts w:ascii="Arial" w:hAnsi="Arial" w:cs="Arial"/>
          <w:sz w:val="22"/>
          <w:szCs w:val="22"/>
        </w:rPr>
      </w:pPr>
    </w:p>
    <w:p w14:paraId="23DD5F59" w14:textId="77777777" w:rsidR="00D357A6" w:rsidRPr="00917929" w:rsidRDefault="00D357A6">
      <w:pPr>
        <w:pStyle w:val="Odlomakpopisa"/>
        <w:numPr>
          <w:ilvl w:val="0"/>
          <w:numId w:val="3"/>
        </w:numPr>
        <w:spacing w:line="259" w:lineRule="auto"/>
        <w:ind w:left="714" w:hanging="357"/>
        <w:jc w:val="both"/>
        <w:rPr>
          <w:rFonts w:ascii="Arial" w:hAnsi="Arial" w:cs="Arial"/>
        </w:rPr>
      </w:pPr>
      <w:r>
        <w:rPr>
          <w:rFonts w:ascii="Arial" w:hAnsi="Arial" w:cs="Arial"/>
        </w:rPr>
        <w:t>Grad Labin 49,9%</w:t>
      </w:r>
      <w:r>
        <w:rPr>
          <w:rFonts w:ascii="Arial" w:hAnsi="Arial" w:cs="Arial"/>
        </w:rPr>
        <w:tab/>
      </w:r>
      <w:r>
        <w:rPr>
          <w:rFonts w:ascii="Arial" w:hAnsi="Arial" w:cs="Arial"/>
        </w:rPr>
        <w:tab/>
      </w:r>
      <w:r>
        <w:rPr>
          <w:rFonts w:ascii="Arial" w:hAnsi="Arial" w:cs="Arial"/>
        </w:rPr>
        <w:tab/>
        <w:t xml:space="preserve">   243.132</w:t>
      </w:r>
      <w:r w:rsidRPr="00917929">
        <w:rPr>
          <w:rFonts w:ascii="Arial" w:hAnsi="Arial" w:cs="Arial"/>
        </w:rPr>
        <w:t>,00</w:t>
      </w:r>
    </w:p>
    <w:p w14:paraId="7E9F8D7B" w14:textId="1A340464" w:rsidR="00D357A6" w:rsidRPr="00917929" w:rsidRDefault="00D357A6">
      <w:pPr>
        <w:pStyle w:val="Odlomakpopisa"/>
        <w:numPr>
          <w:ilvl w:val="0"/>
          <w:numId w:val="3"/>
        </w:numPr>
        <w:spacing w:line="259" w:lineRule="auto"/>
        <w:ind w:left="714" w:hanging="357"/>
        <w:jc w:val="both"/>
        <w:rPr>
          <w:rFonts w:ascii="Arial" w:hAnsi="Arial" w:cs="Arial"/>
        </w:rPr>
      </w:pPr>
      <w:r w:rsidRPr="00917929">
        <w:rPr>
          <w:rFonts w:ascii="Arial" w:hAnsi="Arial" w:cs="Arial"/>
        </w:rPr>
        <w:t>Op</w:t>
      </w:r>
      <w:r>
        <w:rPr>
          <w:rFonts w:ascii="Arial" w:hAnsi="Arial" w:cs="Arial"/>
        </w:rPr>
        <w:t>ćina Kršan 13,2%</w:t>
      </w:r>
      <w:r>
        <w:rPr>
          <w:rFonts w:ascii="Arial" w:hAnsi="Arial" w:cs="Arial"/>
        </w:rPr>
        <w:tab/>
      </w:r>
      <w:r>
        <w:rPr>
          <w:rFonts w:ascii="Arial" w:hAnsi="Arial" w:cs="Arial"/>
        </w:rPr>
        <w:tab/>
      </w:r>
      <w:r w:rsidR="00670BA2">
        <w:rPr>
          <w:rFonts w:ascii="Arial" w:hAnsi="Arial" w:cs="Arial"/>
        </w:rPr>
        <w:t xml:space="preserve">           </w:t>
      </w:r>
      <w:r>
        <w:rPr>
          <w:rFonts w:ascii="Arial" w:hAnsi="Arial" w:cs="Arial"/>
        </w:rPr>
        <w:t xml:space="preserve">     64.315</w:t>
      </w:r>
      <w:r w:rsidRPr="00917929">
        <w:rPr>
          <w:rFonts w:ascii="Arial" w:hAnsi="Arial" w:cs="Arial"/>
        </w:rPr>
        <w:t>,00</w:t>
      </w:r>
    </w:p>
    <w:p w14:paraId="4A0391B5" w14:textId="77777777" w:rsidR="00D357A6" w:rsidRPr="00917929" w:rsidRDefault="00D357A6">
      <w:pPr>
        <w:pStyle w:val="Odlomakpopisa"/>
        <w:numPr>
          <w:ilvl w:val="0"/>
          <w:numId w:val="3"/>
        </w:numPr>
        <w:spacing w:line="259" w:lineRule="auto"/>
        <w:ind w:left="714" w:hanging="357"/>
        <w:jc w:val="both"/>
        <w:rPr>
          <w:rFonts w:ascii="Arial" w:hAnsi="Arial" w:cs="Arial"/>
        </w:rPr>
      </w:pPr>
      <w:r w:rsidRPr="00917929">
        <w:rPr>
          <w:rFonts w:ascii="Arial" w:hAnsi="Arial" w:cs="Arial"/>
        </w:rPr>
        <w:t>Opć</w:t>
      </w:r>
      <w:r>
        <w:rPr>
          <w:rFonts w:ascii="Arial" w:hAnsi="Arial" w:cs="Arial"/>
        </w:rPr>
        <w:t xml:space="preserve">ina </w:t>
      </w:r>
      <w:proofErr w:type="spellStart"/>
      <w:r>
        <w:rPr>
          <w:rFonts w:ascii="Arial" w:hAnsi="Arial" w:cs="Arial"/>
        </w:rPr>
        <w:t>Pićan</w:t>
      </w:r>
      <w:proofErr w:type="spellEnd"/>
      <w:r>
        <w:rPr>
          <w:rFonts w:ascii="Arial" w:hAnsi="Arial" w:cs="Arial"/>
        </w:rPr>
        <w:t xml:space="preserve">  8,2%</w:t>
      </w:r>
      <w:r>
        <w:rPr>
          <w:rFonts w:ascii="Arial" w:hAnsi="Arial" w:cs="Arial"/>
        </w:rPr>
        <w:tab/>
      </w:r>
      <w:r>
        <w:rPr>
          <w:rFonts w:ascii="Arial" w:hAnsi="Arial" w:cs="Arial"/>
        </w:rPr>
        <w:tab/>
        <w:t xml:space="preserve">   </w:t>
      </w:r>
      <w:r>
        <w:rPr>
          <w:rFonts w:ascii="Arial" w:hAnsi="Arial" w:cs="Arial"/>
        </w:rPr>
        <w:tab/>
        <w:t xml:space="preserve">     39.954</w:t>
      </w:r>
      <w:r w:rsidRPr="00917929">
        <w:rPr>
          <w:rFonts w:ascii="Arial" w:hAnsi="Arial" w:cs="Arial"/>
        </w:rPr>
        <w:t>,00</w:t>
      </w:r>
    </w:p>
    <w:p w14:paraId="05F9A77F" w14:textId="77777777" w:rsidR="00D357A6" w:rsidRPr="00917929" w:rsidRDefault="00D357A6">
      <w:pPr>
        <w:pStyle w:val="Odlomakpopisa"/>
        <w:numPr>
          <w:ilvl w:val="0"/>
          <w:numId w:val="3"/>
        </w:numPr>
        <w:spacing w:line="259" w:lineRule="auto"/>
        <w:ind w:left="714" w:hanging="357"/>
        <w:jc w:val="both"/>
        <w:rPr>
          <w:rFonts w:ascii="Arial" w:hAnsi="Arial" w:cs="Arial"/>
        </w:rPr>
      </w:pPr>
      <w:r w:rsidRPr="00917929">
        <w:rPr>
          <w:rFonts w:ascii="Arial" w:hAnsi="Arial" w:cs="Arial"/>
        </w:rPr>
        <w:t>Op</w:t>
      </w:r>
      <w:r>
        <w:rPr>
          <w:rFonts w:ascii="Arial" w:hAnsi="Arial" w:cs="Arial"/>
        </w:rPr>
        <w:t>ćina Raša</w:t>
      </w:r>
      <w:r>
        <w:rPr>
          <w:rFonts w:ascii="Arial" w:hAnsi="Arial" w:cs="Arial"/>
        </w:rPr>
        <w:tab/>
        <w:t>15,9%</w:t>
      </w:r>
      <w:r>
        <w:rPr>
          <w:rFonts w:ascii="Arial" w:hAnsi="Arial" w:cs="Arial"/>
        </w:rPr>
        <w:tab/>
      </w:r>
      <w:r>
        <w:rPr>
          <w:rFonts w:ascii="Arial" w:hAnsi="Arial" w:cs="Arial"/>
        </w:rPr>
        <w:tab/>
        <w:t xml:space="preserve">   </w:t>
      </w:r>
      <w:r>
        <w:rPr>
          <w:rFonts w:ascii="Arial" w:hAnsi="Arial" w:cs="Arial"/>
        </w:rPr>
        <w:tab/>
        <w:t xml:space="preserve">     77.471</w:t>
      </w:r>
      <w:r w:rsidRPr="00917929">
        <w:rPr>
          <w:rFonts w:ascii="Arial" w:hAnsi="Arial" w:cs="Arial"/>
        </w:rPr>
        <w:t>,00</w:t>
      </w:r>
    </w:p>
    <w:p w14:paraId="559B6556" w14:textId="04AA501A" w:rsidR="00D357A6" w:rsidRPr="00917929" w:rsidRDefault="00D357A6">
      <w:pPr>
        <w:pStyle w:val="Odlomakpopisa"/>
        <w:numPr>
          <w:ilvl w:val="0"/>
          <w:numId w:val="3"/>
        </w:numPr>
        <w:spacing w:line="259" w:lineRule="auto"/>
        <w:ind w:left="714" w:hanging="357"/>
        <w:jc w:val="both"/>
        <w:rPr>
          <w:rFonts w:ascii="Arial" w:hAnsi="Arial" w:cs="Arial"/>
        </w:rPr>
      </w:pPr>
      <w:r w:rsidRPr="00917929">
        <w:rPr>
          <w:rFonts w:ascii="Arial" w:hAnsi="Arial" w:cs="Arial"/>
        </w:rPr>
        <w:t>Općina</w:t>
      </w:r>
      <w:r>
        <w:rPr>
          <w:rFonts w:ascii="Arial" w:hAnsi="Arial" w:cs="Arial"/>
        </w:rPr>
        <w:t xml:space="preserve"> Sveta </w:t>
      </w:r>
      <w:proofErr w:type="spellStart"/>
      <w:r>
        <w:rPr>
          <w:rFonts w:ascii="Arial" w:hAnsi="Arial" w:cs="Arial"/>
        </w:rPr>
        <w:t>Nedelja</w:t>
      </w:r>
      <w:proofErr w:type="spellEnd"/>
      <w:r>
        <w:rPr>
          <w:rFonts w:ascii="Arial" w:hAnsi="Arial" w:cs="Arial"/>
        </w:rPr>
        <w:t xml:space="preserve"> 12,8%          </w:t>
      </w:r>
      <w:r w:rsidR="00670BA2">
        <w:rPr>
          <w:rFonts w:ascii="Arial" w:hAnsi="Arial" w:cs="Arial"/>
        </w:rPr>
        <w:t xml:space="preserve">    </w:t>
      </w:r>
      <w:r>
        <w:rPr>
          <w:rFonts w:ascii="Arial" w:hAnsi="Arial" w:cs="Arial"/>
        </w:rPr>
        <w:t xml:space="preserve">   62.366</w:t>
      </w:r>
      <w:r w:rsidRPr="00917929">
        <w:rPr>
          <w:rFonts w:ascii="Arial" w:hAnsi="Arial" w:cs="Arial"/>
        </w:rPr>
        <w:t>,00</w:t>
      </w:r>
    </w:p>
    <w:p w14:paraId="78C95AC6" w14:textId="77777777" w:rsidR="00AC3007" w:rsidRDefault="00AC3007" w:rsidP="00D357A6">
      <w:pPr>
        <w:jc w:val="both"/>
        <w:rPr>
          <w:rFonts w:ascii="Arial" w:hAnsi="Arial" w:cs="Arial"/>
          <w:u w:val="single"/>
        </w:rPr>
      </w:pPr>
    </w:p>
    <w:p w14:paraId="458B88E8" w14:textId="1AB3A4E3" w:rsidR="00D357A6" w:rsidRPr="00AC3007" w:rsidRDefault="00D357A6" w:rsidP="00AC3007">
      <w:pPr>
        <w:spacing w:line="259" w:lineRule="auto"/>
        <w:jc w:val="both"/>
        <w:rPr>
          <w:rFonts w:ascii="Arial" w:hAnsi="Arial" w:cs="Arial"/>
          <w:sz w:val="22"/>
          <w:szCs w:val="22"/>
        </w:rPr>
      </w:pPr>
      <w:r w:rsidRPr="00AC3007">
        <w:rPr>
          <w:rFonts w:ascii="Arial" w:hAnsi="Arial" w:cs="Arial"/>
          <w:sz w:val="22"/>
          <w:szCs w:val="22"/>
          <w:u w:val="single"/>
        </w:rPr>
        <w:t xml:space="preserve">Pomoći korisnika </w:t>
      </w:r>
      <w:r w:rsidRPr="00AC3007">
        <w:rPr>
          <w:rFonts w:ascii="Arial" w:hAnsi="Arial" w:cs="Arial"/>
          <w:sz w:val="22"/>
          <w:szCs w:val="22"/>
        </w:rPr>
        <w:t xml:space="preserve">planirana su u iznosu od 1.990,00 eura, kao i Financijskim planom za 2025. godinu. </w:t>
      </w:r>
    </w:p>
    <w:p w14:paraId="150FFF01" w14:textId="77777777" w:rsidR="00D357A6" w:rsidRPr="00AC3007" w:rsidRDefault="00D357A6" w:rsidP="00AC3007">
      <w:pPr>
        <w:spacing w:line="259" w:lineRule="auto"/>
        <w:jc w:val="both"/>
        <w:rPr>
          <w:rFonts w:ascii="Arial" w:hAnsi="Arial" w:cs="Arial"/>
          <w:sz w:val="22"/>
          <w:szCs w:val="22"/>
        </w:rPr>
      </w:pPr>
    </w:p>
    <w:p w14:paraId="21B69139" w14:textId="77777777" w:rsidR="00D357A6" w:rsidRDefault="00D357A6" w:rsidP="00AC3007">
      <w:pPr>
        <w:spacing w:line="259" w:lineRule="auto"/>
        <w:jc w:val="both"/>
        <w:rPr>
          <w:rFonts w:ascii="Arial" w:hAnsi="Arial" w:cs="Arial"/>
          <w:sz w:val="22"/>
          <w:szCs w:val="22"/>
        </w:rPr>
      </w:pPr>
      <w:r w:rsidRPr="00AC3007">
        <w:rPr>
          <w:rFonts w:ascii="Arial" w:hAnsi="Arial" w:cs="Arial"/>
          <w:sz w:val="22"/>
          <w:szCs w:val="22"/>
          <w:u w:val="single"/>
        </w:rPr>
        <w:t>Pomoći – općine</w:t>
      </w:r>
      <w:r w:rsidRPr="00AC3007">
        <w:rPr>
          <w:rFonts w:ascii="Arial" w:hAnsi="Arial" w:cs="Arial"/>
          <w:sz w:val="22"/>
          <w:szCs w:val="22"/>
        </w:rPr>
        <w:t xml:space="preserve"> – planiraju se u iznosu od 523.062,00 eura odnosno 7,19% više u odnosu na plan za 2025. godinu. Sredstva se planiraju iz općinskih proračuna za financiranje redovne djelatnosti. Raspoređuju se na rashode za zaposlene i materijalne rashode, a povećana su zbog smanjenja donacija iz Područne vatrogasne zajednice Labin. </w:t>
      </w:r>
    </w:p>
    <w:p w14:paraId="6A80E892" w14:textId="77777777" w:rsidR="00AC3007" w:rsidRPr="00AC3007" w:rsidRDefault="00AC3007" w:rsidP="00AC3007">
      <w:pPr>
        <w:spacing w:line="259" w:lineRule="auto"/>
        <w:jc w:val="both"/>
        <w:rPr>
          <w:rFonts w:ascii="Arial" w:hAnsi="Arial" w:cs="Arial"/>
          <w:sz w:val="22"/>
          <w:szCs w:val="22"/>
        </w:rPr>
      </w:pPr>
    </w:p>
    <w:p w14:paraId="0A80CEF2" w14:textId="420DE5A0" w:rsidR="00D357A6" w:rsidRPr="00AC3007" w:rsidRDefault="00D357A6">
      <w:pPr>
        <w:pStyle w:val="Odlomakpopisa"/>
        <w:numPr>
          <w:ilvl w:val="0"/>
          <w:numId w:val="3"/>
        </w:numPr>
        <w:spacing w:after="0" w:line="259" w:lineRule="auto"/>
        <w:jc w:val="both"/>
        <w:rPr>
          <w:rFonts w:ascii="Arial" w:hAnsi="Arial" w:cs="Arial"/>
          <w:szCs w:val="22"/>
        </w:rPr>
      </w:pPr>
      <w:r w:rsidRPr="00AC3007">
        <w:rPr>
          <w:rFonts w:ascii="Arial" w:hAnsi="Arial" w:cs="Arial"/>
          <w:szCs w:val="22"/>
        </w:rPr>
        <w:t>Općina Kršan</w:t>
      </w:r>
      <w:r w:rsidRPr="00AC3007">
        <w:rPr>
          <w:rFonts w:ascii="Arial" w:hAnsi="Arial" w:cs="Arial"/>
          <w:szCs w:val="22"/>
        </w:rPr>
        <w:tab/>
      </w:r>
      <w:r w:rsidR="00AC3007">
        <w:rPr>
          <w:rFonts w:ascii="Arial" w:hAnsi="Arial" w:cs="Arial"/>
        </w:rPr>
        <w:t xml:space="preserve">   </w:t>
      </w:r>
      <w:r w:rsidRPr="00AC3007">
        <w:rPr>
          <w:rFonts w:ascii="Arial" w:hAnsi="Arial" w:cs="Arial"/>
          <w:szCs w:val="22"/>
        </w:rPr>
        <w:tab/>
      </w:r>
      <w:r w:rsidR="00AC3007">
        <w:rPr>
          <w:rFonts w:ascii="Arial" w:hAnsi="Arial" w:cs="Arial"/>
        </w:rPr>
        <w:t xml:space="preserve">           </w:t>
      </w:r>
      <w:r w:rsidRPr="00AC3007">
        <w:rPr>
          <w:rFonts w:ascii="Arial" w:hAnsi="Arial" w:cs="Arial"/>
          <w:szCs w:val="22"/>
        </w:rPr>
        <w:t>137.813,00</w:t>
      </w:r>
    </w:p>
    <w:p w14:paraId="0A8FDB08" w14:textId="5C805370" w:rsidR="00D357A6" w:rsidRPr="00AC3007" w:rsidRDefault="00D357A6">
      <w:pPr>
        <w:pStyle w:val="Odlomakpopisa"/>
        <w:numPr>
          <w:ilvl w:val="0"/>
          <w:numId w:val="3"/>
        </w:numPr>
        <w:spacing w:after="0" w:line="259" w:lineRule="auto"/>
        <w:jc w:val="both"/>
        <w:rPr>
          <w:rFonts w:ascii="Arial" w:hAnsi="Arial" w:cs="Arial"/>
          <w:szCs w:val="22"/>
        </w:rPr>
      </w:pPr>
      <w:r w:rsidRPr="00AC3007">
        <w:rPr>
          <w:rFonts w:ascii="Arial" w:hAnsi="Arial" w:cs="Arial"/>
          <w:szCs w:val="22"/>
        </w:rPr>
        <w:t xml:space="preserve">Općina </w:t>
      </w:r>
      <w:proofErr w:type="spellStart"/>
      <w:r w:rsidRPr="00AC3007">
        <w:rPr>
          <w:rFonts w:ascii="Arial" w:hAnsi="Arial" w:cs="Arial"/>
          <w:szCs w:val="22"/>
        </w:rPr>
        <w:t>Pićan</w:t>
      </w:r>
      <w:proofErr w:type="spellEnd"/>
      <w:r w:rsidRPr="00AC3007">
        <w:rPr>
          <w:rFonts w:ascii="Arial" w:hAnsi="Arial" w:cs="Arial"/>
          <w:szCs w:val="22"/>
        </w:rPr>
        <w:tab/>
        <w:t xml:space="preserve">        </w:t>
      </w:r>
      <w:r w:rsidR="00AC3007">
        <w:rPr>
          <w:rFonts w:ascii="Arial" w:hAnsi="Arial" w:cs="Arial"/>
        </w:rPr>
        <w:t xml:space="preserve">             </w:t>
      </w:r>
      <w:r w:rsidRPr="00AC3007">
        <w:rPr>
          <w:rFonts w:ascii="Arial" w:hAnsi="Arial" w:cs="Arial"/>
          <w:szCs w:val="22"/>
        </w:rPr>
        <w:t xml:space="preserve">    85.610,00</w:t>
      </w:r>
    </w:p>
    <w:p w14:paraId="4BD26F76" w14:textId="77777777" w:rsidR="00D357A6" w:rsidRPr="00AC3007" w:rsidRDefault="00D357A6">
      <w:pPr>
        <w:pStyle w:val="Odlomakpopisa"/>
        <w:numPr>
          <w:ilvl w:val="0"/>
          <w:numId w:val="3"/>
        </w:numPr>
        <w:spacing w:after="0" w:line="259" w:lineRule="auto"/>
        <w:jc w:val="both"/>
        <w:rPr>
          <w:rFonts w:ascii="Arial" w:hAnsi="Arial" w:cs="Arial"/>
          <w:szCs w:val="22"/>
        </w:rPr>
      </w:pPr>
      <w:r w:rsidRPr="00AC3007">
        <w:rPr>
          <w:rFonts w:ascii="Arial" w:hAnsi="Arial" w:cs="Arial"/>
          <w:szCs w:val="22"/>
        </w:rPr>
        <w:t>Općina Raša</w:t>
      </w:r>
      <w:r w:rsidRPr="00AC3007">
        <w:rPr>
          <w:rFonts w:ascii="Arial" w:hAnsi="Arial" w:cs="Arial"/>
          <w:szCs w:val="22"/>
        </w:rPr>
        <w:tab/>
      </w:r>
      <w:r w:rsidRPr="00AC3007">
        <w:rPr>
          <w:rFonts w:ascii="Arial" w:hAnsi="Arial" w:cs="Arial"/>
          <w:szCs w:val="22"/>
        </w:rPr>
        <w:tab/>
        <w:t xml:space="preserve">           166.002,00</w:t>
      </w:r>
    </w:p>
    <w:p w14:paraId="630AEC7D" w14:textId="77777777" w:rsidR="00D357A6" w:rsidRPr="00AC3007" w:rsidRDefault="00D357A6">
      <w:pPr>
        <w:pStyle w:val="Odlomakpopisa"/>
        <w:numPr>
          <w:ilvl w:val="0"/>
          <w:numId w:val="3"/>
        </w:numPr>
        <w:spacing w:after="0" w:line="259" w:lineRule="auto"/>
        <w:jc w:val="both"/>
        <w:rPr>
          <w:rFonts w:ascii="Arial" w:hAnsi="Arial" w:cs="Arial"/>
          <w:szCs w:val="22"/>
        </w:rPr>
      </w:pPr>
      <w:r w:rsidRPr="00AC3007">
        <w:rPr>
          <w:rFonts w:ascii="Arial" w:hAnsi="Arial" w:cs="Arial"/>
          <w:szCs w:val="22"/>
        </w:rPr>
        <w:t xml:space="preserve">Općina Sveta Nedjelja </w:t>
      </w:r>
      <w:r w:rsidRPr="00AC3007">
        <w:rPr>
          <w:rFonts w:ascii="Arial" w:hAnsi="Arial" w:cs="Arial"/>
          <w:szCs w:val="22"/>
        </w:rPr>
        <w:tab/>
        <w:t>133.637,00</w:t>
      </w:r>
    </w:p>
    <w:p w14:paraId="4FCADBD4" w14:textId="77777777" w:rsidR="00AC3007" w:rsidRDefault="00AC3007" w:rsidP="00AC3007">
      <w:pPr>
        <w:spacing w:line="259" w:lineRule="auto"/>
        <w:jc w:val="both"/>
        <w:rPr>
          <w:rFonts w:ascii="Arial" w:hAnsi="Arial" w:cs="Arial"/>
          <w:sz w:val="22"/>
          <w:szCs w:val="22"/>
          <w:u w:val="single"/>
        </w:rPr>
      </w:pPr>
    </w:p>
    <w:p w14:paraId="04B1D7B4" w14:textId="77777777" w:rsidR="00AC3007" w:rsidRDefault="00AC3007" w:rsidP="00AC3007">
      <w:pPr>
        <w:spacing w:line="259" w:lineRule="auto"/>
        <w:jc w:val="both"/>
        <w:rPr>
          <w:rFonts w:ascii="Arial" w:hAnsi="Arial" w:cs="Arial"/>
          <w:sz w:val="22"/>
          <w:szCs w:val="22"/>
          <w:u w:val="single"/>
        </w:rPr>
      </w:pPr>
    </w:p>
    <w:p w14:paraId="351F6375" w14:textId="7E8502D7" w:rsidR="00D357A6" w:rsidRPr="00AC3007" w:rsidRDefault="00D357A6" w:rsidP="00AC3007">
      <w:pPr>
        <w:spacing w:line="259" w:lineRule="auto"/>
        <w:jc w:val="both"/>
        <w:rPr>
          <w:rFonts w:ascii="Arial" w:hAnsi="Arial" w:cs="Arial"/>
          <w:sz w:val="22"/>
          <w:szCs w:val="22"/>
        </w:rPr>
      </w:pPr>
      <w:r w:rsidRPr="00AC3007">
        <w:rPr>
          <w:rFonts w:ascii="Arial" w:hAnsi="Arial" w:cs="Arial"/>
          <w:sz w:val="22"/>
          <w:szCs w:val="22"/>
          <w:u w:val="single"/>
        </w:rPr>
        <w:t>Donacije</w:t>
      </w:r>
      <w:r w:rsidRPr="00AC3007">
        <w:rPr>
          <w:rFonts w:ascii="Arial" w:hAnsi="Arial" w:cs="Arial"/>
          <w:sz w:val="22"/>
          <w:szCs w:val="22"/>
        </w:rPr>
        <w:t xml:space="preserve">   su planirane  u iznosu od 54.484,00 eura odnosno 55,23% manje u odnosu na plan za 2025. Uz to ostvaren je višak prihoda iz 2024. godine u iznosu od 1.204,00 eura, što je smanjenje od  39,80% procijenjenog višaka prihoda. Sredstva iz donacija PVZ raspoređena su za financiranje rashoda poslovanja, rashoda za nabavu nefinancijske imovine i sredstva za sezonske vatrogasce, te sredstva iz VZIŽ za sezonske vatrogasce i sredstva za vatrogasce ukoliko sudjeluju izvan našeg područja djelovanja. </w:t>
      </w:r>
    </w:p>
    <w:p w14:paraId="10375680" w14:textId="77777777" w:rsidR="00D357A6" w:rsidRPr="00AC3007" w:rsidRDefault="00D357A6" w:rsidP="00AC3007">
      <w:pPr>
        <w:spacing w:line="259" w:lineRule="auto"/>
        <w:jc w:val="both"/>
        <w:rPr>
          <w:rFonts w:ascii="Arial" w:hAnsi="Arial" w:cs="Arial"/>
          <w:sz w:val="22"/>
          <w:szCs w:val="22"/>
        </w:rPr>
      </w:pPr>
    </w:p>
    <w:p w14:paraId="35FE1B8E" w14:textId="77777777" w:rsidR="00D357A6" w:rsidRPr="00AC3007" w:rsidRDefault="00D357A6" w:rsidP="00AC3007">
      <w:pPr>
        <w:spacing w:line="259" w:lineRule="auto"/>
        <w:jc w:val="both"/>
        <w:rPr>
          <w:rFonts w:ascii="Arial" w:hAnsi="Arial" w:cs="Arial"/>
          <w:sz w:val="22"/>
          <w:szCs w:val="22"/>
        </w:rPr>
      </w:pPr>
      <w:r w:rsidRPr="00AC3007">
        <w:rPr>
          <w:rFonts w:ascii="Arial" w:hAnsi="Arial" w:cs="Arial"/>
          <w:sz w:val="22"/>
          <w:szCs w:val="22"/>
          <w:u w:val="single"/>
        </w:rPr>
        <w:t>Prihodi od naknada šteta s osnova osiguranja</w:t>
      </w:r>
      <w:r w:rsidRPr="00AC3007">
        <w:rPr>
          <w:rFonts w:ascii="Arial" w:hAnsi="Arial" w:cs="Arial"/>
          <w:sz w:val="22"/>
          <w:szCs w:val="22"/>
        </w:rPr>
        <w:t xml:space="preserve"> planirani su u iznosu od 5.400,00 eura kao i Financijskim planom za 2025. godinu. </w:t>
      </w:r>
    </w:p>
    <w:p w14:paraId="7073F31F" w14:textId="77777777" w:rsidR="00D357A6" w:rsidRPr="00AC3007" w:rsidRDefault="00D357A6" w:rsidP="00AC3007">
      <w:pPr>
        <w:spacing w:line="259" w:lineRule="auto"/>
        <w:jc w:val="both"/>
        <w:rPr>
          <w:rFonts w:ascii="Arial" w:hAnsi="Arial" w:cs="Arial"/>
          <w:sz w:val="22"/>
          <w:szCs w:val="22"/>
        </w:rPr>
      </w:pPr>
    </w:p>
    <w:p w14:paraId="2B42D29E" w14:textId="77777777" w:rsidR="00D357A6" w:rsidRPr="00AC3007" w:rsidRDefault="00D357A6" w:rsidP="00AC3007">
      <w:pPr>
        <w:spacing w:line="259" w:lineRule="auto"/>
        <w:jc w:val="both"/>
        <w:rPr>
          <w:rFonts w:ascii="Arial" w:hAnsi="Arial" w:cs="Arial"/>
          <w:sz w:val="22"/>
          <w:szCs w:val="22"/>
        </w:rPr>
      </w:pPr>
      <w:r w:rsidRPr="00AC3007">
        <w:rPr>
          <w:rFonts w:ascii="Arial" w:hAnsi="Arial" w:cs="Arial"/>
          <w:sz w:val="22"/>
          <w:szCs w:val="22"/>
          <w:u w:val="single"/>
        </w:rPr>
        <w:t>Prihodi od nefinancijske imovine</w:t>
      </w:r>
      <w:r w:rsidRPr="00AC3007">
        <w:rPr>
          <w:rFonts w:ascii="Arial" w:hAnsi="Arial" w:cs="Arial"/>
          <w:sz w:val="22"/>
          <w:szCs w:val="22"/>
        </w:rPr>
        <w:t xml:space="preserve"> planirani su u iznosu od 2.000,00 eura. Planirani su zbog prodaje starih prijevoznih sredstva. Ostvaren je višak prihoda iz 2024. godine u iznosu od 611,00 eura. Višak prihoda koristit će se za nabavu opreme za održavanje i zaštitu.</w:t>
      </w:r>
    </w:p>
    <w:p w14:paraId="3D96AFAC" w14:textId="77777777" w:rsidR="00D357A6" w:rsidRDefault="00D357A6" w:rsidP="00AC3007">
      <w:pPr>
        <w:spacing w:line="259" w:lineRule="auto"/>
        <w:jc w:val="both"/>
        <w:rPr>
          <w:rFonts w:ascii="Arial" w:hAnsi="Arial" w:cs="Arial"/>
          <w:b/>
          <w:sz w:val="22"/>
          <w:szCs w:val="22"/>
        </w:rPr>
      </w:pPr>
    </w:p>
    <w:p w14:paraId="684E8FDE" w14:textId="77777777" w:rsidR="00AC3007" w:rsidRDefault="00AC3007" w:rsidP="00AC3007">
      <w:pPr>
        <w:spacing w:line="259" w:lineRule="auto"/>
        <w:jc w:val="both"/>
        <w:rPr>
          <w:rFonts w:ascii="Arial" w:hAnsi="Arial" w:cs="Arial"/>
          <w:b/>
          <w:sz w:val="22"/>
          <w:szCs w:val="22"/>
        </w:rPr>
      </w:pPr>
    </w:p>
    <w:p w14:paraId="6BA6A249" w14:textId="77777777" w:rsidR="00AC3007" w:rsidRDefault="00AC3007" w:rsidP="00AC3007">
      <w:pPr>
        <w:spacing w:line="259" w:lineRule="auto"/>
        <w:jc w:val="both"/>
        <w:rPr>
          <w:rFonts w:ascii="Arial" w:hAnsi="Arial" w:cs="Arial"/>
          <w:b/>
          <w:sz w:val="22"/>
          <w:szCs w:val="22"/>
        </w:rPr>
      </w:pPr>
    </w:p>
    <w:p w14:paraId="6571E06C" w14:textId="77777777" w:rsidR="00AC3007" w:rsidRPr="00AC3007" w:rsidRDefault="00AC3007" w:rsidP="00AC3007">
      <w:pPr>
        <w:spacing w:line="259" w:lineRule="auto"/>
        <w:jc w:val="both"/>
        <w:rPr>
          <w:rFonts w:ascii="Arial" w:hAnsi="Arial" w:cs="Arial"/>
          <w:b/>
          <w:sz w:val="22"/>
          <w:szCs w:val="22"/>
        </w:rPr>
      </w:pPr>
    </w:p>
    <w:p w14:paraId="58DE1CC5" w14:textId="77777777" w:rsidR="00D357A6" w:rsidRPr="00AC3007" w:rsidRDefault="00D357A6" w:rsidP="00AC3007">
      <w:pPr>
        <w:pStyle w:val="Odlomakpopisa"/>
        <w:spacing w:after="0" w:line="259" w:lineRule="auto"/>
        <w:jc w:val="center"/>
        <w:rPr>
          <w:rFonts w:ascii="Arial" w:hAnsi="Arial" w:cs="Arial"/>
          <w:b/>
          <w:szCs w:val="22"/>
        </w:rPr>
      </w:pPr>
      <w:r w:rsidRPr="00AC3007">
        <w:rPr>
          <w:rFonts w:ascii="Arial" w:hAnsi="Arial" w:cs="Arial"/>
          <w:b/>
          <w:szCs w:val="22"/>
        </w:rPr>
        <w:lastRenderedPageBreak/>
        <w:t>OBRAZLOŽENJE POSEBNOG DIJELA PRORAČUNA</w:t>
      </w:r>
    </w:p>
    <w:p w14:paraId="5C028FC0" w14:textId="77777777" w:rsidR="00D357A6" w:rsidRPr="00AC3007" w:rsidRDefault="00D357A6" w:rsidP="00AC3007">
      <w:pPr>
        <w:pStyle w:val="Odlomakpopisa"/>
        <w:spacing w:after="0" w:line="259" w:lineRule="auto"/>
        <w:rPr>
          <w:rFonts w:ascii="Arial" w:hAnsi="Arial" w:cs="Arial"/>
          <w:b/>
          <w:szCs w:val="22"/>
        </w:rPr>
      </w:pPr>
    </w:p>
    <w:p w14:paraId="69519EF3" w14:textId="77777777" w:rsidR="00D357A6" w:rsidRPr="00AC3007" w:rsidRDefault="00D357A6" w:rsidP="00AC3007">
      <w:pPr>
        <w:spacing w:line="259" w:lineRule="auto"/>
        <w:rPr>
          <w:rFonts w:ascii="Arial" w:hAnsi="Arial" w:cs="Arial"/>
          <w:b/>
          <w:sz w:val="22"/>
          <w:szCs w:val="22"/>
        </w:rPr>
      </w:pPr>
      <w:r w:rsidRPr="00AC3007">
        <w:rPr>
          <w:rFonts w:ascii="Arial" w:hAnsi="Arial" w:cs="Arial"/>
          <w:b/>
          <w:sz w:val="22"/>
          <w:szCs w:val="22"/>
        </w:rPr>
        <w:t xml:space="preserve">SAŽETAK DJELOKRUGA RADA PRORAČUNSKOG KORISNIKA </w:t>
      </w:r>
    </w:p>
    <w:p w14:paraId="7B4BC72F" w14:textId="77777777" w:rsidR="00D357A6" w:rsidRPr="00AC3007" w:rsidRDefault="00D357A6" w:rsidP="00AC3007">
      <w:pPr>
        <w:spacing w:line="259" w:lineRule="auto"/>
        <w:jc w:val="both"/>
        <w:rPr>
          <w:rFonts w:ascii="Arial" w:hAnsi="Arial" w:cs="Arial"/>
          <w:sz w:val="22"/>
          <w:szCs w:val="22"/>
        </w:rPr>
      </w:pPr>
    </w:p>
    <w:p w14:paraId="25256065" w14:textId="77777777" w:rsidR="00D357A6" w:rsidRPr="00AC3007" w:rsidRDefault="00D357A6" w:rsidP="00AC3007">
      <w:pPr>
        <w:spacing w:line="259" w:lineRule="auto"/>
        <w:jc w:val="both"/>
        <w:rPr>
          <w:rFonts w:ascii="Arial" w:hAnsi="Arial" w:cs="Arial"/>
          <w:sz w:val="22"/>
          <w:szCs w:val="22"/>
        </w:rPr>
      </w:pPr>
      <w:r w:rsidRPr="00AC3007">
        <w:rPr>
          <w:rFonts w:ascii="Arial" w:hAnsi="Arial" w:cs="Arial"/>
          <w:sz w:val="22"/>
          <w:szCs w:val="22"/>
        </w:rPr>
        <w:t xml:space="preserve">Javna vatrogasna postrojba Labin osnovana je 01.07.2000. godine temeljem Sporazuma o osnivanju, a njeni osnivači su Grad Labin i Općine Kršan, </w:t>
      </w:r>
      <w:proofErr w:type="spellStart"/>
      <w:r w:rsidRPr="00AC3007">
        <w:rPr>
          <w:rFonts w:ascii="Arial" w:hAnsi="Arial" w:cs="Arial"/>
          <w:sz w:val="22"/>
          <w:szCs w:val="22"/>
        </w:rPr>
        <w:t>Pićan</w:t>
      </w:r>
      <w:proofErr w:type="spellEnd"/>
      <w:r w:rsidRPr="00AC3007">
        <w:rPr>
          <w:rFonts w:ascii="Arial" w:hAnsi="Arial" w:cs="Arial"/>
          <w:sz w:val="22"/>
          <w:szCs w:val="22"/>
        </w:rPr>
        <w:t xml:space="preserve">, Raša i Sveta </w:t>
      </w:r>
      <w:proofErr w:type="spellStart"/>
      <w:r w:rsidRPr="00AC3007">
        <w:rPr>
          <w:rFonts w:ascii="Arial" w:hAnsi="Arial" w:cs="Arial"/>
          <w:sz w:val="22"/>
          <w:szCs w:val="22"/>
        </w:rPr>
        <w:t>Nedelja</w:t>
      </w:r>
      <w:proofErr w:type="spellEnd"/>
      <w:r w:rsidRPr="00AC3007">
        <w:rPr>
          <w:rFonts w:ascii="Arial" w:hAnsi="Arial" w:cs="Arial"/>
          <w:sz w:val="22"/>
          <w:szCs w:val="22"/>
        </w:rPr>
        <w:t xml:space="preserve">. </w:t>
      </w:r>
    </w:p>
    <w:p w14:paraId="25EFC228" w14:textId="77777777" w:rsidR="00D357A6" w:rsidRPr="00AC3007" w:rsidRDefault="00D357A6" w:rsidP="00AC3007">
      <w:pPr>
        <w:spacing w:line="259" w:lineRule="auto"/>
        <w:jc w:val="both"/>
        <w:rPr>
          <w:rFonts w:ascii="Arial" w:hAnsi="Arial" w:cs="Arial"/>
          <w:sz w:val="22"/>
          <w:szCs w:val="22"/>
        </w:rPr>
      </w:pPr>
      <w:r w:rsidRPr="00AC3007">
        <w:rPr>
          <w:rFonts w:ascii="Arial" w:hAnsi="Arial" w:cs="Arial"/>
          <w:sz w:val="22"/>
          <w:szCs w:val="22"/>
        </w:rPr>
        <w:t>Javnom vatrogasnom postrojbom upravlja Vatrogasno vijeće od 3 člana i to  jedan predstavnik osnivača, jedan predstavnik Vatrogasne zajednice Istarske županije i jedan predstavnik radnika.</w:t>
      </w:r>
    </w:p>
    <w:p w14:paraId="79F84C99" w14:textId="77777777" w:rsidR="00D357A6" w:rsidRPr="00AC3007" w:rsidRDefault="00D357A6" w:rsidP="00AC3007">
      <w:pPr>
        <w:spacing w:line="259" w:lineRule="auto"/>
        <w:jc w:val="both"/>
        <w:rPr>
          <w:rFonts w:ascii="Arial" w:hAnsi="Arial" w:cs="Arial"/>
          <w:sz w:val="22"/>
          <w:szCs w:val="22"/>
        </w:rPr>
      </w:pPr>
      <w:r w:rsidRPr="00AC3007">
        <w:rPr>
          <w:rFonts w:ascii="Arial" w:hAnsi="Arial" w:cs="Arial"/>
          <w:sz w:val="22"/>
          <w:szCs w:val="22"/>
        </w:rPr>
        <w:t xml:space="preserve">Djelatnost postrojbe obuhvaća sudjelovanje u provedbi preventivnih mjera zaštite od požara i eksplozija, gašenje požara i spašavanja ljudi, životinja i imovine ugroženih požarom i eksplozijom ili drugim ugrozama na kopnu, vodi i ispod vodene površine, pružanje tehničke pomoći u nezgodama i opasnim situacijama, obavljanje poslova u ekološkim i drugim nesrećama. </w:t>
      </w:r>
    </w:p>
    <w:p w14:paraId="459F8224" w14:textId="77777777" w:rsidR="00D357A6" w:rsidRPr="00AC3007" w:rsidRDefault="00D357A6" w:rsidP="00AC3007">
      <w:pPr>
        <w:spacing w:line="259" w:lineRule="auto"/>
        <w:jc w:val="both"/>
        <w:rPr>
          <w:rFonts w:ascii="Arial" w:hAnsi="Arial" w:cs="Arial"/>
          <w:sz w:val="22"/>
          <w:szCs w:val="22"/>
        </w:rPr>
      </w:pPr>
      <w:r w:rsidRPr="00AC3007">
        <w:rPr>
          <w:rFonts w:ascii="Arial" w:hAnsi="Arial" w:cs="Arial"/>
          <w:sz w:val="22"/>
          <w:szCs w:val="22"/>
        </w:rPr>
        <w:t>Pravilnikom u unutarnjoj organizaciji  i sistematizaciji radnih mjesta predviđeno je 33 radnika od toga  30 profesionalnih vatrogasaca, JVP Labin ima sada zaposleno 32 radnika. Sukladno Programu aktivnosti u provedbi posebnih mjera zaštite od požara od interesa ta Republiku Hrvatsku tijekom ljetne sezone zapošljavamo 2 sezonska vatrogasca.</w:t>
      </w:r>
    </w:p>
    <w:p w14:paraId="135082F6" w14:textId="77777777" w:rsidR="00D357A6" w:rsidRPr="00AC3007" w:rsidRDefault="00D357A6" w:rsidP="00AC3007">
      <w:pPr>
        <w:spacing w:line="259" w:lineRule="auto"/>
        <w:jc w:val="both"/>
        <w:rPr>
          <w:rFonts w:ascii="Arial" w:hAnsi="Arial" w:cs="Arial"/>
          <w:sz w:val="22"/>
          <w:szCs w:val="22"/>
        </w:rPr>
      </w:pPr>
    </w:p>
    <w:p w14:paraId="12BCCFB7" w14:textId="77777777" w:rsidR="00D357A6" w:rsidRPr="00AC3007" w:rsidRDefault="00D357A6" w:rsidP="00AC3007">
      <w:pPr>
        <w:spacing w:line="259" w:lineRule="auto"/>
        <w:jc w:val="both"/>
        <w:rPr>
          <w:rFonts w:ascii="Arial" w:eastAsia="Arial" w:hAnsi="Arial" w:cs="Arial"/>
          <w:b/>
          <w:sz w:val="22"/>
          <w:szCs w:val="22"/>
        </w:rPr>
      </w:pPr>
      <w:r w:rsidRPr="00AC3007">
        <w:rPr>
          <w:rFonts w:ascii="Arial" w:eastAsia="Arial" w:hAnsi="Arial" w:cs="Arial"/>
          <w:b/>
          <w:sz w:val="22"/>
          <w:szCs w:val="22"/>
        </w:rPr>
        <w:t xml:space="preserve">Opis i obrazloženje Programa i aktivnosti </w:t>
      </w:r>
    </w:p>
    <w:p w14:paraId="707969BB" w14:textId="77777777" w:rsidR="00D357A6" w:rsidRPr="00AC3007" w:rsidRDefault="00D357A6">
      <w:pPr>
        <w:pStyle w:val="Bezproreda"/>
        <w:numPr>
          <w:ilvl w:val="0"/>
          <w:numId w:val="4"/>
        </w:numPr>
        <w:spacing w:line="259" w:lineRule="auto"/>
        <w:jc w:val="both"/>
        <w:rPr>
          <w:rFonts w:ascii="Arial" w:eastAsia="Arial" w:hAnsi="Arial" w:cs="Arial"/>
        </w:rPr>
      </w:pPr>
      <w:r w:rsidRPr="00AC3007">
        <w:rPr>
          <w:rFonts w:ascii="Arial" w:eastAsia="Arial" w:hAnsi="Arial" w:cs="Arial"/>
        </w:rPr>
        <w:t>Program 1003 Organiziranje i provođenje zaštite i spašavanja</w:t>
      </w:r>
    </w:p>
    <w:p w14:paraId="7CDA2B5B" w14:textId="77777777" w:rsidR="00D357A6" w:rsidRPr="00AC3007" w:rsidRDefault="00D357A6">
      <w:pPr>
        <w:pStyle w:val="Bezproreda"/>
        <w:numPr>
          <w:ilvl w:val="0"/>
          <w:numId w:val="3"/>
        </w:numPr>
        <w:spacing w:line="259" w:lineRule="auto"/>
        <w:jc w:val="both"/>
        <w:rPr>
          <w:rFonts w:ascii="Arial" w:eastAsia="Arial" w:hAnsi="Arial" w:cs="Arial"/>
        </w:rPr>
      </w:pPr>
      <w:r w:rsidRPr="00AC3007">
        <w:rPr>
          <w:rFonts w:ascii="Arial" w:eastAsia="Arial" w:hAnsi="Arial" w:cs="Arial"/>
        </w:rPr>
        <w:t>Aktivnost   A100004 Financiranje Javne vatrogasne postrojbe Labin</w:t>
      </w:r>
    </w:p>
    <w:p w14:paraId="58BE4F26" w14:textId="77777777" w:rsidR="00D357A6" w:rsidRPr="00AC3007" w:rsidRDefault="00D357A6">
      <w:pPr>
        <w:pStyle w:val="Bezproreda"/>
        <w:numPr>
          <w:ilvl w:val="0"/>
          <w:numId w:val="3"/>
        </w:numPr>
        <w:spacing w:line="259" w:lineRule="auto"/>
        <w:jc w:val="both"/>
        <w:rPr>
          <w:rFonts w:ascii="Arial" w:eastAsia="Arial" w:hAnsi="Arial" w:cs="Arial"/>
        </w:rPr>
      </w:pPr>
      <w:r w:rsidRPr="00AC3007">
        <w:rPr>
          <w:rFonts w:ascii="Arial" w:eastAsia="Arial" w:hAnsi="Arial" w:cs="Arial"/>
        </w:rPr>
        <w:t>Aktivnost A100005 Provedba posebnih mjera zaštite izvan područja redovnog djelovanja – VZIŽ</w:t>
      </w:r>
    </w:p>
    <w:p w14:paraId="17EF3FD8" w14:textId="77777777" w:rsidR="00D357A6" w:rsidRPr="00AC3007" w:rsidRDefault="00D357A6">
      <w:pPr>
        <w:pStyle w:val="Bezproreda"/>
        <w:numPr>
          <w:ilvl w:val="0"/>
          <w:numId w:val="3"/>
        </w:numPr>
        <w:spacing w:line="259" w:lineRule="auto"/>
        <w:jc w:val="both"/>
        <w:rPr>
          <w:rFonts w:ascii="Arial" w:eastAsia="Arial" w:hAnsi="Arial" w:cs="Arial"/>
        </w:rPr>
      </w:pPr>
      <w:r w:rsidRPr="00AC3007">
        <w:rPr>
          <w:rFonts w:ascii="Arial" w:eastAsia="Arial" w:hAnsi="Arial" w:cs="Arial"/>
        </w:rPr>
        <w:t>Aktivnost   A100006 Provedba posebnih mjera zaštite – sezonski vatrogasci</w:t>
      </w:r>
    </w:p>
    <w:p w14:paraId="50710F8B" w14:textId="77777777" w:rsidR="00D357A6" w:rsidRPr="00AC3007" w:rsidRDefault="00D357A6" w:rsidP="00AC3007">
      <w:pPr>
        <w:pStyle w:val="Bezproreda"/>
        <w:spacing w:line="259" w:lineRule="auto"/>
        <w:jc w:val="both"/>
        <w:rPr>
          <w:rFonts w:ascii="Arial" w:eastAsia="Arial" w:hAnsi="Arial" w:cs="Arial"/>
        </w:rPr>
      </w:pPr>
    </w:p>
    <w:p w14:paraId="1C6E2BAD" w14:textId="77777777" w:rsidR="00D357A6" w:rsidRPr="00AC3007" w:rsidRDefault="00D357A6" w:rsidP="00AC3007">
      <w:pPr>
        <w:pStyle w:val="Bezproreda"/>
        <w:spacing w:line="259" w:lineRule="auto"/>
        <w:jc w:val="both"/>
        <w:rPr>
          <w:rFonts w:ascii="Arial" w:eastAsia="Arial" w:hAnsi="Arial" w:cs="Arial"/>
          <w:b/>
          <w:bCs/>
        </w:rPr>
      </w:pPr>
      <w:r w:rsidRPr="00AC3007">
        <w:rPr>
          <w:rFonts w:ascii="Arial" w:eastAsia="Arial" w:hAnsi="Arial" w:cs="Arial"/>
          <w:b/>
          <w:bCs/>
        </w:rPr>
        <w:t>Izvori financiranja su:</w:t>
      </w:r>
    </w:p>
    <w:p w14:paraId="498E6011" w14:textId="77777777" w:rsidR="00D357A6" w:rsidRPr="00AC3007" w:rsidRDefault="00D357A6">
      <w:pPr>
        <w:pStyle w:val="Bezproreda"/>
        <w:numPr>
          <w:ilvl w:val="0"/>
          <w:numId w:val="3"/>
        </w:numPr>
        <w:spacing w:line="259" w:lineRule="auto"/>
        <w:jc w:val="both"/>
        <w:rPr>
          <w:rFonts w:ascii="Arial" w:eastAsia="Arial" w:hAnsi="Arial" w:cs="Arial"/>
        </w:rPr>
      </w:pPr>
      <w:r w:rsidRPr="00AC3007">
        <w:rPr>
          <w:rFonts w:ascii="Arial" w:eastAsia="Arial" w:hAnsi="Arial" w:cs="Arial"/>
        </w:rPr>
        <w:t>1.1.001 Opći prihodi i primici – prihodi iz gradskog proračuna</w:t>
      </w:r>
    </w:p>
    <w:p w14:paraId="76084C4E" w14:textId="77777777" w:rsidR="00D357A6" w:rsidRPr="00AC3007" w:rsidRDefault="00D357A6">
      <w:pPr>
        <w:pStyle w:val="Bezproreda"/>
        <w:numPr>
          <w:ilvl w:val="0"/>
          <w:numId w:val="3"/>
        </w:numPr>
        <w:spacing w:line="259" w:lineRule="auto"/>
        <w:jc w:val="both"/>
        <w:rPr>
          <w:rFonts w:ascii="Arial" w:eastAsia="Arial" w:hAnsi="Arial" w:cs="Arial"/>
        </w:rPr>
      </w:pPr>
      <w:r w:rsidRPr="00AC3007">
        <w:rPr>
          <w:rFonts w:ascii="Arial" w:eastAsia="Arial" w:hAnsi="Arial" w:cs="Arial"/>
        </w:rPr>
        <w:t>1.1.003 Opći prihodi i primici - rezultat</w:t>
      </w:r>
    </w:p>
    <w:p w14:paraId="37644E43" w14:textId="77777777" w:rsidR="00D357A6" w:rsidRPr="00AC3007" w:rsidRDefault="00D357A6">
      <w:pPr>
        <w:pStyle w:val="Bezproreda"/>
        <w:numPr>
          <w:ilvl w:val="0"/>
          <w:numId w:val="3"/>
        </w:numPr>
        <w:spacing w:line="259" w:lineRule="auto"/>
        <w:jc w:val="both"/>
        <w:rPr>
          <w:rFonts w:ascii="Arial" w:eastAsia="Arial" w:hAnsi="Arial" w:cs="Arial"/>
        </w:rPr>
      </w:pPr>
      <w:r w:rsidRPr="00AC3007">
        <w:rPr>
          <w:rFonts w:ascii="Arial" w:eastAsia="Arial" w:hAnsi="Arial" w:cs="Arial"/>
        </w:rPr>
        <w:t>3.9.000001 Vlastiti prihodi</w:t>
      </w:r>
    </w:p>
    <w:p w14:paraId="1E1B38FB" w14:textId="77777777" w:rsidR="00D357A6" w:rsidRPr="00AC3007" w:rsidRDefault="00D357A6">
      <w:pPr>
        <w:pStyle w:val="Bezproreda"/>
        <w:numPr>
          <w:ilvl w:val="0"/>
          <w:numId w:val="3"/>
        </w:numPr>
        <w:spacing w:line="259" w:lineRule="auto"/>
        <w:jc w:val="both"/>
        <w:rPr>
          <w:rFonts w:ascii="Arial" w:eastAsia="Arial" w:hAnsi="Arial" w:cs="Arial"/>
        </w:rPr>
      </w:pPr>
      <w:r w:rsidRPr="00AC3007">
        <w:rPr>
          <w:rFonts w:ascii="Arial" w:eastAsia="Arial" w:hAnsi="Arial" w:cs="Arial"/>
        </w:rPr>
        <w:t>3.9.000002 Vlastiti prihodi - rezultat</w:t>
      </w:r>
    </w:p>
    <w:p w14:paraId="1565CA74" w14:textId="77777777" w:rsidR="00D357A6" w:rsidRPr="00AC3007" w:rsidRDefault="00D357A6">
      <w:pPr>
        <w:pStyle w:val="Bezproreda"/>
        <w:numPr>
          <w:ilvl w:val="0"/>
          <w:numId w:val="3"/>
        </w:numPr>
        <w:spacing w:line="259" w:lineRule="auto"/>
        <w:jc w:val="both"/>
        <w:rPr>
          <w:rFonts w:ascii="Arial" w:eastAsia="Arial" w:hAnsi="Arial" w:cs="Arial"/>
        </w:rPr>
      </w:pPr>
      <w:r w:rsidRPr="00AC3007">
        <w:rPr>
          <w:rFonts w:ascii="Arial" w:eastAsia="Arial" w:hAnsi="Arial" w:cs="Arial"/>
        </w:rPr>
        <w:t>5.1.002 Potpore za decentralizirane funkcije vatrogastva</w:t>
      </w:r>
    </w:p>
    <w:p w14:paraId="7D1492BD" w14:textId="77777777" w:rsidR="00D357A6" w:rsidRPr="00AC3007" w:rsidRDefault="00D357A6">
      <w:pPr>
        <w:pStyle w:val="Bezproreda"/>
        <w:numPr>
          <w:ilvl w:val="0"/>
          <w:numId w:val="3"/>
        </w:numPr>
        <w:spacing w:line="259" w:lineRule="auto"/>
        <w:jc w:val="both"/>
        <w:rPr>
          <w:rFonts w:ascii="Arial" w:eastAsia="Arial" w:hAnsi="Arial" w:cs="Arial"/>
        </w:rPr>
      </w:pPr>
      <w:r w:rsidRPr="00AC3007">
        <w:rPr>
          <w:rFonts w:ascii="Arial" w:eastAsia="Arial" w:hAnsi="Arial" w:cs="Arial"/>
        </w:rPr>
        <w:t>5.9.000001 Pomoći</w:t>
      </w:r>
    </w:p>
    <w:p w14:paraId="194E4B42" w14:textId="77777777" w:rsidR="00D357A6" w:rsidRPr="00AC3007" w:rsidRDefault="00D357A6">
      <w:pPr>
        <w:pStyle w:val="Bezproreda"/>
        <w:numPr>
          <w:ilvl w:val="0"/>
          <w:numId w:val="3"/>
        </w:numPr>
        <w:spacing w:line="259" w:lineRule="auto"/>
        <w:jc w:val="both"/>
        <w:rPr>
          <w:rFonts w:ascii="Arial" w:eastAsia="Arial" w:hAnsi="Arial" w:cs="Arial"/>
        </w:rPr>
      </w:pPr>
      <w:r w:rsidRPr="00AC3007">
        <w:rPr>
          <w:rFonts w:ascii="Arial" w:eastAsia="Arial" w:hAnsi="Arial" w:cs="Arial"/>
        </w:rPr>
        <w:t>5.9.000002 Pomoći – općine</w:t>
      </w:r>
    </w:p>
    <w:p w14:paraId="6BA9DA59" w14:textId="77777777" w:rsidR="00D357A6" w:rsidRPr="00AC3007" w:rsidRDefault="00D357A6">
      <w:pPr>
        <w:pStyle w:val="Bezproreda"/>
        <w:numPr>
          <w:ilvl w:val="0"/>
          <w:numId w:val="3"/>
        </w:numPr>
        <w:spacing w:line="259" w:lineRule="auto"/>
        <w:jc w:val="both"/>
        <w:rPr>
          <w:rFonts w:ascii="Arial" w:eastAsia="Arial" w:hAnsi="Arial" w:cs="Arial"/>
        </w:rPr>
      </w:pPr>
      <w:r w:rsidRPr="00AC3007">
        <w:rPr>
          <w:rFonts w:ascii="Arial" w:eastAsia="Arial" w:hAnsi="Arial" w:cs="Arial"/>
        </w:rPr>
        <w:t>5.9.000004 Pomoći – kor. rezultat 5.9.000001</w:t>
      </w:r>
    </w:p>
    <w:p w14:paraId="6E2A6B16" w14:textId="77777777" w:rsidR="00D357A6" w:rsidRPr="00AC3007" w:rsidRDefault="00D357A6">
      <w:pPr>
        <w:pStyle w:val="Bezproreda"/>
        <w:numPr>
          <w:ilvl w:val="0"/>
          <w:numId w:val="3"/>
        </w:numPr>
        <w:spacing w:line="259" w:lineRule="auto"/>
        <w:jc w:val="both"/>
        <w:rPr>
          <w:rFonts w:ascii="Arial" w:eastAsia="Arial" w:hAnsi="Arial" w:cs="Arial"/>
        </w:rPr>
      </w:pPr>
      <w:r w:rsidRPr="00AC3007">
        <w:rPr>
          <w:rFonts w:ascii="Arial" w:eastAsia="Arial" w:hAnsi="Arial" w:cs="Arial"/>
        </w:rPr>
        <w:t>6.9.000001 Donacije</w:t>
      </w:r>
    </w:p>
    <w:p w14:paraId="6C5B146A" w14:textId="77777777" w:rsidR="00D357A6" w:rsidRPr="00AC3007" w:rsidRDefault="00D357A6">
      <w:pPr>
        <w:pStyle w:val="Bezproreda"/>
        <w:numPr>
          <w:ilvl w:val="0"/>
          <w:numId w:val="3"/>
        </w:numPr>
        <w:spacing w:line="259" w:lineRule="auto"/>
        <w:jc w:val="both"/>
        <w:rPr>
          <w:rFonts w:ascii="Arial" w:eastAsia="Arial" w:hAnsi="Arial" w:cs="Arial"/>
        </w:rPr>
      </w:pPr>
      <w:r w:rsidRPr="00AC3007">
        <w:rPr>
          <w:rFonts w:ascii="Arial" w:eastAsia="Arial" w:hAnsi="Arial" w:cs="Arial"/>
        </w:rPr>
        <w:t>6.9.000002 Donacije - rezultat</w:t>
      </w:r>
    </w:p>
    <w:p w14:paraId="7D2B1639" w14:textId="77777777" w:rsidR="00D357A6" w:rsidRPr="00AC3007" w:rsidRDefault="00D357A6">
      <w:pPr>
        <w:pStyle w:val="Bezproreda"/>
        <w:numPr>
          <w:ilvl w:val="0"/>
          <w:numId w:val="3"/>
        </w:numPr>
        <w:spacing w:line="259" w:lineRule="auto"/>
        <w:jc w:val="both"/>
        <w:rPr>
          <w:rFonts w:ascii="Arial" w:eastAsia="Arial" w:hAnsi="Arial" w:cs="Arial"/>
        </w:rPr>
      </w:pPr>
      <w:r w:rsidRPr="00AC3007">
        <w:rPr>
          <w:rFonts w:ascii="Arial" w:eastAsia="Arial" w:hAnsi="Arial" w:cs="Arial"/>
        </w:rPr>
        <w:t>7.9.000001 Prihodi od naknada štete s osnova osiguranja</w:t>
      </w:r>
    </w:p>
    <w:p w14:paraId="79008250" w14:textId="77777777" w:rsidR="00D357A6" w:rsidRPr="00AC3007" w:rsidRDefault="00D357A6">
      <w:pPr>
        <w:pStyle w:val="Bezproreda"/>
        <w:numPr>
          <w:ilvl w:val="0"/>
          <w:numId w:val="3"/>
        </w:numPr>
        <w:spacing w:line="259" w:lineRule="auto"/>
        <w:jc w:val="both"/>
        <w:rPr>
          <w:rFonts w:ascii="Arial" w:eastAsia="Arial" w:hAnsi="Arial" w:cs="Arial"/>
        </w:rPr>
      </w:pPr>
      <w:r w:rsidRPr="00AC3007">
        <w:rPr>
          <w:rFonts w:ascii="Arial" w:eastAsia="Arial" w:hAnsi="Arial" w:cs="Arial"/>
        </w:rPr>
        <w:t>7.9.000002 Prihodi od nefinancijske imovine</w:t>
      </w:r>
    </w:p>
    <w:p w14:paraId="23942FC6" w14:textId="77777777" w:rsidR="00D357A6" w:rsidRPr="00AC3007" w:rsidRDefault="00D357A6">
      <w:pPr>
        <w:pStyle w:val="Bezproreda"/>
        <w:numPr>
          <w:ilvl w:val="0"/>
          <w:numId w:val="3"/>
        </w:numPr>
        <w:spacing w:line="259" w:lineRule="auto"/>
        <w:jc w:val="both"/>
        <w:rPr>
          <w:rFonts w:ascii="Arial" w:eastAsia="Arial" w:hAnsi="Arial" w:cs="Arial"/>
        </w:rPr>
      </w:pPr>
      <w:r w:rsidRPr="00AC3007">
        <w:rPr>
          <w:rFonts w:ascii="Arial" w:eastAsia="Arial" w:hAnsi="Arial" w:cs="Arial"/>
        </w:rPr>
        <w:t>7.9.000003 Prihodi od nefinancijske imovine – rezultat</w:t>
      </w:r>
    </w:p>
    <w:p w14:paraId="06F98A63" w14:textId="77777777" w:rsidR="00D357A6" w:rsidRPr="00AC3007" w:rsidRDefault="00D357A6">
      <w:pPr>
        <w:pStyle w:val="Bezproreda"/>
        <w:numPr>
          <w:ilvl w:val="0"/>
          <w:numId w:val="3"/>
        </w:numPr>
        <w:spacing w:line="259" w:lineRule="auto"/>
        <w:jc w:val="both"/>
        <w:rPr>
          <w:rFonts w:ascii="Arial" w:eastAsia="Arial" w:hAnsi="Arial" w:cs="Arial"/>
        </w:rPr>
      </w:pPr>
      <w:r w:rsidRPr="00AC3007">
        <w:rPr>
          <w:rFonts w:ascii="Arial" w:eastAsia="Arial" w:hAnsi="Arial" w:cs="Arial"/>
        </w:rPr>
        <w:t>7.9.000004 Prihodi od naknada šteta s osnova osiguranja . rezultat</w:t>
      </w:r>
    </w:p>
    <w:p w14:paraId="2E3EA812" w14:textId="77777777" w:rsidR="00D357A6" w:rsidRDefault="00D357A6" w:rsidP="00AC3007">
      <w:pPr>
        <w:pStyle w:val="Bezproreda"/>
        <w:spacing w:line="259" w:lineRule="auto"/>
        <w:jc w:val="both"/>
        <w:rPr>
          <w:rFonts w:ascii="Arial" w:eastAsia="Arial" w:hAnsi="Arial" w:cs="Arial"/>
        </w:rPr>
      </w:pPr>
    </w:p>
    <w:p w14:paraId="29E2A116" w14:textId="77777777" w:rsidR="00AC3007" w:rsidRPr="00AC3007" w:rsidRDefault="00AC3007" w:rsidP="00AC3007">
      <w:pPr>
        <w:pStyle w:val="Bezproreda"/>
        <w:spacing w:line="259" w:lineRule="auto"/>
        <w:jc w:val="both"/>
        <w:rPr>
          <w:rFonts w:ascii="Arial" w:eastAsia="Arial" w:hAnsi="Arial" w:cs="Arial"/>
        </w:rPr>
      </w:pPr>
    </w:p>
    <w:p w14:paraId="34C2858B" w14:textId="77777777" w:rsidR="00D357A6" w:rsidRPr="00AC3007" w:rsidRDefault="00D357A6">
      <w:pPr>
        <w:pStyle w:val="Bezproreda"/>
        <w:numPr>
          <w:ilvl w:val="0"/>
          <w:numId w:val="5"/>
        </w:numPr>
        <w:spacing w:line="259" w:lineRule="auto"/>
        <w:jc w:val="both"/>
        <w:rPr>
          <w:rFonts w:ascii="Arial" w:eastAsia="Arial" w:hAnsi="Arial" w:cs="Arial"/>
          <w:b/>
          <w:bCs/>
        </w:rPr>
      </w:pPr>
      <w:r w:rsidRPr="00AC3007">
        <w:rPr>
          <w:rFonts w:ascii="Arial" w:eastAsia="Arial" w:hAnsi="Arial" w:cs="Arial"/>
          <w:b/>
          <w:bCs/>
        </w:rPr>
        <w:t>Aktivnost Financiranje Javne vatrogasne postrojbe Labin</w:t>
      </w:r>
    </w:p>
    <w:p w14:paraId="390FC3AF" w14:textId="77777777" w:rsidR="00D357A6" w:rsidRPr="00AC3007" w:rsidRDefault="00D357A6" w:rsidP="00AC3007">
      <w:pPr>
        <w:pStyle w:val="Bezproreda"/>
        <w:spacing w:line="259" w:lineRule="auto"/>
        <w:jc w:val="both"/>
        <w:rPr>
          <w:rFonts w:ascii="Arial" w:eastAsia="Arial" w:hAnsi="Arial" w:cs="Arial"/>
        </w:rPr>
      </w:pPr>
      <w:r w:rsidRPr="00AC3007">
        <w:rPr>
          <w:rFonts w:ascii="Arial" w:eastAsia="Arial" w:hAnsi="Arial" w:cs="Arial"/>
        </w:rPr>
        <w:t>Planirana su sredstva u iznosu od 1.622.633,00 eura odnosno 2,74% više od plana 2025. godine. Tom aktivnošću financira se redovno poslovanje javne vatrogasne postrojbe i to rashodi za zaposlene, materijalni rashodi i rashodi za nabavu nefinancijske imovine.</w:t>
      </w:r>
    </w:p>
    <w:p w14:paraId="2CD2E159" w14:textId="77777777" w:rsidR="00D357A6" w:rsidRDefault="00D357A6" w:rsidP="00AC3007">
      <w:pPr>
        <w:pStyle w:val="Bezproreda"/>
        <w:spacing w:line="259" w:lineRule="auto"/>
        <w:jc w:val="both"/>
        <w:rPr>
          <w:rFonts w:ascii="Arial" w:eastAsia="Arial" w:hAnsi="Arial" w:cs="Arial"/>
        </w:rPr>
      </w:pPr>
    </w:p>
    <w:p w14:paraId="220D5247" w14:textId="77777777" w:rsidR="00AC3007" w:rsidRDefault="00AC3007" w:rsidP="00AC3007">
      <w:pPr>
        <w:pStyle w:val="Bezproreda"/>
        <w:spacing w:line="259" w:lineRule="auto"/>
        <w:jc w:val="both"/>
        <w:rPr>
          <w:rFonts w:ascii="Arial" w:eastAsia="Arial" w:hAnsi="Arial" w:cs="Arial"/>
        </w:rPr>
      </w:pPr>
    </w:p>
    <w:p w14:paraId="234DD0FE" w14:textId="77777777" w:rsidR="00AC3007" w:rsidRPr="00AC3007" w:rsidRDefault="00AC3007" w:rsidP="00AC3007">
      <w:pPr>
        <w:pStyle w:val="Bezproreda"/>
        <w:spacing w:line="259" w:lineRule="auto"/>
        <w:jc w:val="both"/>
        <w:rPr>
          <w:rFonts w:ascii="Arial" w:eastAsia="Arial" w:hAnsi="Arial" w:cs="Arial"/>
        </w:rPr>
      </w:pPr>
    </w:p>
    <w:p w14:paraId="311BE5D4" w14:textId="77777777" w:rsidR="00D357A6" w:rsidRPr="00AC3007" w:rsidRDefault="00D357A6">
      <w:pPr>
        <w:pStyle w:val="Bezproreda"/>
        <w:numPr>
          <w:ilvl w:val="0"/>
          <w:numId w:val="5"/>
        </w:numPr>
        <w:spacing w:line="259" w:lineRule="auto"/>
        <w:jc w:val="both"/>
        <w:rPr>
          <w:rFonts w:ascii="Arial" w:eastAsia="Arial" w:hAnsi="Arial" w:cs="Arial"/>
          <w:b/>
          <w:bCs/>
        </w:rPr>
      </w:pPr>
      <w:r w:rsidRPr="00AC3007">
        <w:rPr>
          <w:rFonts w:ascii="Arial" w:eastAsia="Arial" w:hAnsi="Arial" w:cs="Arial"/>
          <w:b/>
          <w:bCs/>
        </w:rPr>
        <w:lastRenderedPageBreak/>
        <w:t>Aktivnost Provedba posebnih mjera zaštite izvan područja redovnog djelovanja – VZIŽ</w:t>
      </w:r>
    </w:p>
    <w:p w14:paraId="1BBAB723" w14:textId="77777777" w:rsidR="00D357A6" w:rsidRPr="00AC3007" w:rsidRDefault="00D357A6" w:rsidP="00AC3007">
      <w:pPr>
        <w:pStyle w:val="Bezproreda"/>
        <w:spacing w:line="259" w:lineRule="auto"/>
        <w:jc w:val="both"/>
        <w:rPr>
          <w:rFonts w:ascii="Arial" w:eastAsia="Arial" w:hAnsi="Arial" w:cs="Arial"/>
        </w:rPr>
      </w:pPr>
      <w:r w:rsidRPr="00AC3007">
        <w:rPr>
          <w:rFonts w:ascii="Arial" w:eastAsia="Arial" w:hAnsi="Arial" w:cs="Arial"/>
        </w:rPr>
        <w:t>Nema promjena u odnosu na Financijski plan 2025. godine.</w:t>
      </w:r>
    </w:p>
    <w:p w14:paraId="65108996" w14:textId="77777777" w:rsidR="00D357A6" w:rsidRDefault="00D357A6" w:rsidP="00AC3007">
      <w:pPr>
        <w:pStyle w:val="Bezproreda"/>
        <w:spacing w:line="259" w:lineRule="auto"/>
        <w:jc w:val="both"/>
        <w:rPr>
          <w:rFonts w:ascii="Arial" w:eastAsia="Arial" w:hAnsi="Arial" w:cs="Arial"/>
        </w:rPr>
      </w:pPr>
    </w:p>
    <w:p w14:paraId="60E136A9" w14:textId="77777777" w:rsidR="00AC3007" w:rsidRPr="00AC3007" w:rsidRDefault="00AC3007" w:rsidP="00AC3007">
      <w:pPr>
        <w:pStyle w:val="Bezproreda"/>
        <w:spacing w:line="259" w:lineRule="auto"/>
        <w:jc w:val="both"/>
        <w:rPr>
          <w:rFonts w:ascii="Arial" w:eastAsia="Arial" w:hAnsi="Arial" w:cs="Arial"/>
        </w:rPr>
      </w:pPr>
    </w:p>
    <w:p w14:paraId="467B3175" w14:textId="77777777" w:rsidR="00D357A6" w:rsidRPr="00AC3007" w:rsidRDefault="00D357A6">
      <w:pPr>
        <w:pStyle w:val="Bezproreda"/>
        <w:numPr>
          <w:ilvl w:val="0"/>
          <w:numId w:val="5"/>
        </w:numPr>
        <w:spacing w:line="259" w:lineRule="auto"/>
        <w:jc w:val="both"/>
        <w:rPr>
          <w:rFonts w:ascii="Arial" w:eastAsia="Arial" w:hAnsi="Arial" w:cs="Arial"/>
          <w:b/>
          <w:bCs/>
        </w:rPr>
      </w:pPr>
      <w:r w:rsidRPr="00AC3007">
        <w:rPr>
          <w:rFonts w:ascii="Arial" w:eastAsia="Arial" w:hAnsi="Arial" w:cs="Arial"/>
          <w:b/>
          <w:bCs/>
        </w:rPr>
        <w:t>Aktivnost Provedba posebnih mjera zaštite – sezonski vatrogasci</w:t>
      </w:r>
    </w:p>
    <w:p w14:paraId="522B6268" w14:textId="77777777" w:rsidR="00D357A6" w:rsidRPr="00AC3007" w:rsidRDefault="00D357A6" w:rsidP="00AC3007">
      <w:pPr>
        <w:pStyle w:val="Bezproreda"/>
        <w:spacing w:line="259" w:lineRule="auto"/>
        <w:jc w:val="both"/>
        <w:rPr>
          <w:rFonts w:ascii="Arial" w:eastAsia="Arial" w:hAnsi="Arial" w:cs="Arial"/>
        </w:rPr>
      </w:pPr>
      <w:r w:rsidRPr="00AC3007">
        <w:rPr>
          <w:rFonts w:ascii="Arial" w:eastAsia="Arial" w:hAnsi="Arial" w:cs="Arial"/>
        </w:rPr>
        <w:t>Nema promjena u odnosu na Financijski plan 2025 godine.</w:t>
      </w:r>
    </w:p>
    <w:p w14:paraId="656B03A0" w14:textId="77777777" w:rsidR="00D357A6" w:rsidRPr="00AC3007" w:rsidRDefault="00D357A6" w:rsidP="00AC3007">
      <w:pPr>
        <w:pStyle w:val="Bezproreda"/>
        <w:spacing w:line="259" w:lineRule="auto"/>
        <w:jc w:val="both"/>
        <w:rPr>
          <w:rFonts w:ascii="Arial" w:eastAsia="Arial" w:hAnsi="Arial" w:cs="Arial"/>
        </w:rPr>
      </w:pPr>
    </w:p>
    <w:p w14:paraId="5576F4C7" w14:textId="77777777" w:rsidR="00D357A6" w:rsidRPr="00AC3007" w:rsidRDefault="00D357A6" w:rsidP="00AC3007">
      <w:pPr>
        <w:pStyle w:val="Bezproreda"/>
        <w:spacing w:line="259" w:lineRule="auto"/>
        <w:jc w:val="both"/>
        <w:rPr>
          <w:rFonts w:ascii="Arial" w:eastAsia="Arial" w:hAnsi="Arial" w:cs="Arial"/>
          <w:b/>
        </w:rPr>
      </w:pPr>
      <w:r w:rsidRPr="00AC3007">
        <w:rPr>
          <w:rFonts w:ascii="Arial" w:eastAsia="Arial" w:hAnsi="Arial" w:cs="Arial"/>
        </w:rPr>
        <w:t>Zakonska osnova</w:t>
      </w:r>
      <w:r w:rsidRPr="00AC3007">
        <w:rPr>
          <w:rFonts w:ascii="Arial" w:eastAsia="Arial" w:hAnsi="Arial" w:cs="Arial"/>
          <w:b/>
        </w:rPr>
        <w:t>:</w:t>
      </w:r>
    </w:p>
    <w:p w14:paraId="4AFC937C" w14:textId="77777777" w:rsidR="00D357A6" w:rsidRPr="00AC3007" w:rsidRDefault="00D357A6">
      <w:pPr>
        <w:pStyle w:val="Odlomakpopisa"/>
        <w:numPr>
          <w:ilvl w:val="0"/>
          <w:numId w:val="3"/>
        </w:numPr>
        <w:spacing w:after="0" w:line="259" w:lineRule="auto"/>
        <w:jc w:val="both"/>
        <w:rPr>
          <w:rFonts w:ascii="Arial" w:hAnsi="Arial" w:cs="Arial"/>
          <w:szCs w:val="22"/>
        </w:rPr>
      </w:pPr>
      <w:r w:rsidRPr="00AC3007">
        <w:rPr>
          <w:rFonts w:ascii="Arial" w:hAnsi="Arial" w:cs="Arial"/>
          <w:szCs w:val="22"/>
        </w:rPr>
        <w:t>Zakon o proračunu (NN br. 144/21.)</w:t>
      </w:r>
    </w:p>
    <w:p w14:paraId="56B2D4FC" w14:textId="77777777" w:rsidR="00D357A6" w:rsidRPr="00AC3007" w:rsidRDefault="00D357A6">
      <w:pPr>
        <w:pStyle w:val="Odlomakpopisa"/>
        <w:numPr>
          <w:ilvl w:val="0"/>
          <w:numId w:val="3"/>
        </w:numPr>
        <w:spacing w:after="0" w:line="259" w:lineRule="auto"/>
        <w:jc w:val="both"/>
        <w:rPr>
          <w:rFonts w:ascii="Arial" w:hAnsi="Arial" w:cs="Arial"/>
          <w:szCs w:val="22"/>
        </w:rPr>
      </w:pPr>
      <w:r w:rsidRPr="00AC3007">
        <w:rPr>
          <w:rFonts w:ascii="Arial" w:hAnsi="Arial" w:cs="Arial"/>
          <w:szCs w:val="22"/>
        </w:rPr>
        <w:t>Pravilnik o proračunskom računovodstvu i računskom planu ( NN br. 158/23 i 154/24)</w:t>
      </w:r>
    </w:p>
    <w:p w14:paraId="25A1B8B1" w14:textId="77777777" w:rsidR="00D357A6" w:rsidRPr="00AC3007" w:rsidRDefault="00D357A6">
      <w:pPr>
        <w:pStyle w:val="Odlomakpopisa"/>
        <w:numPr>
          <w:ilvl w:val="0"/>
          <w:numId w:val="3"/>
        </w:numPr>
        <w:spacing w:after="0" w:line="259" w:lineRule="auto"/>
        <w:jc w:val="both"/>
        <w:rPr>
          <w:rFonts w:ascii="Arial" w:hAnsi="Arial" w:cs="Arial"/>
          <w:szCs w:val="22"/>
        </w:rPr>
      </w:pPr>
      <w:r w:rsidRPr="00AC3007">
        <w:rPr>
          <w:rFonts w:ascii="Arial" w:hAnsi="Arial" w:cs="Arial"/>
          <w:szCs w:val="22"/>
        </w:rPr>
        <w:t>Pravilnik o proračunskim klasifikacijama (NN br. 4/24.)</w:t>
      </w:r>
    </w:p>
    <w:p w14:paraId="48371C6B" w14:textId="77777777" w:rsidR="00D357A6" w:rsidRPr="00AC3007" w:rsidRDefault="00D357A6">
      <w:pPr>
        <w:pStyle w:val="Odlomakpopisa"/>
        <w:numPr>
          <w:ilvl w:val="0"/>
          <w:numId w:val="3"/>
        </w:numPr>
        <w:spacing w:after="0" w:line="259" w:lineRule="auto"/>
        <w:jc w:val="both"/>
        <w:rPr>
          <w:rFonts w:ascii="Arial" w:hAnsi="Arial" w:cs="Arial"/>
          <w:szCs w:val="22"/>
        </w:rPr>
      </w:pPr>
      <w:r w:rsidRPr="00AC3007">
        <w:rPr>
          <w:rFonts w:ascii="Arial" w:hAnsi="Arial" w:cs="Arial"/>
          <w:szCs w:val="22"/>
        </w:rPr>
        <w:t>Zakon o vatrogastvu (NN 125/19., 114/22. i 155/23.)</w:t>
      </w:r>
    </w:p>
    <w:p w14:paraId="0549FE9B" w14:textId="77777777" w:rsidR="00D357A6" w:rsidRPr="00AC3007" w:rsidRDefault="00D357A6">
      <w:pPr>
        <w:pStyle w:val="Odlomakpopisa"/>
        <w:numPr>
          <w:ilvl w:val="0"/>
          <w:numId w:val="3"/>
        </w:numPr>
        <w:spacing w:after="0" w:line="259" w:lineRule="auto"/>
        <w:jc w:val="both"/>
        <w:rPr>
          <w:rFonts w:ascii="Arial" w:hAnsi="Arial" w:cs="Arial"/>
          <w:szCs w:val="22"/>
        </w:rPr>
      </w:pPr>
      <w:r w:rsidRPr="00AC3007">
        <w:rPr>
          <w:rFonts w:ascii="Arial" w:hAnsi="Arial" w:cs="Arial"/>
          <w:szCs w:val="22"/>
        </w:rPr>
        <w:t>Odluka o minimalnim financijskim standardima za decentralizirano financiranje redovne djelatnosti javnih vatrogasnih postrojbi (NN 16/25)</w:t>
      </w:r>
    </w:p>
    <w:p w14:paraId="02B92999" w14:textId="77777777" w:rsidR="00D357A6" w:rsidRPr="00AC3007" w:rsidRDefault="00D357A6">
      <w:pPr>
        <w:pStyle w:val="Odlomakpopisa"/>
        <w:numPr>
          <w:ilvl w:val="0"/>
          <w:numId w:val="3"/>
        </w:numPr>
        <w:spacing w:after="0" w:line="259" w:lineRule="auto"/>
        <w:jc w:val="both"/>
        <w:rPr>
          <w:rFonts w:ascii="Arial" w:hAnsi="Arial" w:cs="Arial"/>
          <w:szCs w:val="22"/>
        </w:rPr>
      </w:pPr>
      <w:r w:rsidRPr="00AC3007">
        <w:rPr>
          <w:rFonts w:ascii="Arial" w:hAnsi="Arial" w:cs="Arial"/>
          <w:szCs w:val="22"/>
        </w:rPr>
        <w:t>Sporazum o osnivanju Javne vatrogasne postrojbe Labin</w:t>
      </w:r>
    </w:p>
    <w:p w14:paraId="147D8948" w14:textId="77777777" w:rsidR="00D357A6" w:rsidRPr="00AC3007" w:rsidRDefault="00D357A6">
      <w:pPr>
        <w:pStyle w:val="Odlomakpopisa"/>
        <w:numPr>
          <w:ilvl w:val="0"/>
          <w:numId w:val="3"/>
        </w:numPr>
        <w:spacing w:after="0" w:line="259" w:lineRule="auto"/>
        <w:jc w:val="both"/>
        <w:rPr>
          <w:rFonts w:ascii="Arial" w:hAnsi="Arial" w:cs="Arial"/>
          <w:szCs w:val="22"/>
        </w:rPr>
      </w:pPr>
      <w:r w:rsidRPr="00AC3007">
        <w:rPr>
          <w:rFonts w:ascii="Arial" w:hAnsi="Arial" w:cs="Arial"/>
          <w:szCs w:val="22"/>
        </w:rPr>
        <w:t>Program aktivnosti u provedbi posebnih mjera zaštite od požara od interesa za RH</w:t>
      </w:r>
    </w:p>
    <w:p w14:paraId="2F085990" w14:textId="77777777" w:rsidR="00D357A6" w:rsidRPr="00AC3007" w:rsidRDefault="00D357A6" w:rsidP="00AC3007">
      <w:pPr>
        <w:pStyle w:val="Bezproreda"/>
        <w:spacing w:line="259" w:lineRule="auto"/>
        <w:jc w:val="both"/>
        <w:rPr>
          <w:rFonts w:ascii="Arial" w:eastAsia="Arial" w:hAnsi="Arial" w:cs="Arial"/>
          <w:b/>
        </w:rPr>
      </w:pPr>
    </w:p>
    <w:p w14:paraId="6E60C1F3" w14:textId="77777777" w:rsidR="00D357A6" w:rsidRPr="00AC3007" w:rsidRDefault="00D357A6" w:rsidP="00AC3007">
      <w:pPr>
        <w:pStyle w:val="Bezproreda"/>
        <w:spacing w:line="259" w:lineRule="auto"/>
        <w:jc w:val="both"/>
        <w:rPr>
          <w:rFonts w:ascii="Arial" w:eastAsia="Arial" w:hAnsi="Arial" w:cs="Arial"/>
          <w:b/>
        </w:rPr>
      </w:pPr>
      <w:r w:rsidRPr="00AC3007">
        <w:rPr>
          <w:rFonts w:ascii="Arial" w:eastAsia="Arial" w:hAnsi="Arial" w:cs="Arial"/>
          <w:b/>
          <w:u w:val="single"/>
        </w:rPr>
        <w:t>Opis i cilj programa</w:t>
      </w:r>
      <w:r w:rsidRPr="00AC3007">
        <w:rPr>
          <w:rFonts w:ascii="Arial" w:eastAsia="Arial" w:hAnsi="Arial" w:cs="Arial"/>
          <w:b/>
        </w:rPr>
        <w:t>:</w:t>
      </w:r>
    </w:p>
    <w:p w14:paraId="6893F364" w14:textId="77777777" w:rsidR="00D357A6" w:rsidRPr="00AC3007" w:rsidRDefault="00D357A6" w:rsidP="00AC3007">
      <w:pPr>
        <w:pStyle w:val="Bezproreda"/>
        <w:spacing w:line="259" w:lineRule="auto"/>
        <w:jc w:val="both"/>
        <w:rPr>
          <w:rFonts w:ascii="Arial" w:eastAsia="Arial" w:hAnsi="Arial" w:cs="Arial"/>
        </w:rPr>
      </w:pPr>
      <w:r w:rsidRPr="00AC3007">
        <w:rPr>
          <w:rFonts w:ascii="Arial" w:eastAsia="Arial" w:hAnsi="Arial" w:cs="Arial"/>
        </w:rPr>
        <w:t>Cilj provedbe ovog programa je spašavanje ljudi, imovine i materijalnih resursa.</w:t>
      </w:r>
    </w:p>
    <w:p w14:paraId="0EED3FDD" w14:textId="77777777" w:rsidR="00D357A6" w:rsidRPr="00AC3007" w:rsidRDefault="00D357A6" w:rsidP="00AC3007">
      <w:pPr>
        <w:pStyle w:val="Bezproreda"/>
        <w:spacing w:line="259" w:lineRule="auto"/>
        <w:jc w:val="both"/>
        <w:rPr>
          <w:rFonts w:ascii="Arial" w:eastAsia="Arial" w:hAnsi="Arial" w:cs="Arial"/>
        </w:rPr>
      </w:pPr>
    </w:p>
    <w:p w14:paraId="3EB7B06A" w14:textId="77777777" w:rsidR="00D357A6" w:rsidRPr="00AC3007" w:rsidRDefault="00D357A6" w:rsidP="00AC3007">
      <w:pPr>
        <w:pStyle w:val="Bezproreda"/>
        <w:spacing w:line="259" w:lineRule="auto"/>
        <w:jc w:val="both"/>
        <w:rPr>
          <w:rFonts w:ascii="Arial" w:eastAsia="Arial" w:hAnsi="Arial" w:cs="Arial"/>
        </w:rPr>
      </w:pPr>
    </w:p>
    <w:p w14:paraId="27F7B604" w14:textId="77777777" w:rsidR="00D357A6" w:rsidRPr="00AC3007" w:rsidRDefault="00D357A6" w:rsidP="00AC3007">
      <w:pPr>
        <w:pStyle w:val="Bezproreda"/>
        <w:spacing w:line="259" w:lineRule="auto"/>
        <w:jc w:val="both"/>
        <w:rPr>
          <w:rFonts w:ascii="Arial" w:hAnsi="Arial" w:cs="Arial"/>
          <w:b/>
          <w:u w:val="single"/>
        </w:rPr>
      </w:pPr>
      <w:r w:rsidRPr="00AC3007">
        <w:rPr>
          <w:rFonts w:ascii="Arial" w:hAnsi="Arial" w:cs="Arial"/>
          <w:b/>
          <w:u w:val="single"/>
        </w:rPr>
        <w:t xml:space="preserve">Pokazatelji uspješnosti : </w:t>
      </w:r>
    </w:p>
    <w:p w14:paraId="766AEFA5" w14:textId="77777777" w:rsidR="00D357A6" w:rsidRPr="00AC3007" w:rsidRDefault="00D357A6" w:rsidP="00AC3007">
      <w:pPr>
        <w:pStyle w:val="Bezproreda"/>
        <w:spacing w:line="259" w:lineRule="auto"/>
        <w:jc w:val="both"/>
        <w:rPr>
          <w:rFonts w:ascii="Arial" w:hAnsi="Arial" w:cs="Arial"/>
        </w:rPr>
      </w:pPr>
      <w:r w:rsidRPr="00AC3007">
        <w:rPr>
          <w:rFonts w:ascii="Arial" w:hAnsi="Arial" w:cs="Arial"/>
        </w:rPr>
        <w:t>Pokazatelj uspješnosti je sigurnost građana i imovine.</w:t>
      </w:r>
      <w:r w:rsidRPr="00AC3007">
        <w:rPr>
          <w:rFonts w:ascii="Arial" w:hAnsi="Arial" w:cs="Arial"/>
        </w:rPr>
        <w:tab/>
      </w:r>
    </w:p>
    <w:p w14:paraId="7F788B7E" w14:textId="77777777" w:rsidR="00D357A6" w:rsidRPr="00AC3007" w:rsidRDefault="00D357A6" w:rsidP="00AC3007">
      <w:pPr>
        <w:pStyle w:val="Bezproreda"/>
        <w:spacing w:line="259" w:lineRule="auto"/>
        <w:jc w:val="both"/>
        <w:rPr>
          <w:rFonts w:ascii="Arial" w:eastAsia="Arial" w:hAnsi="Arial" w:cs="Arial"/>
          <w:b/>
        </w:rPr>
      </w:pPr>
      <w:r w:rsidRPr="00AC3007">
        <w:rPr>
          <w:rFonts w:ascii="Arial" w:eastAsia="Arial" w:hAnsi="Arial" w:cs="Arial"/>
          <w:b/>
        </w:rPr>
        <w:t xml:space="preserve"> </w:t>
      </w:r>
    </w:p>
    <w:p w14:paraId="4E8C5908" w14:textId="77777777" w:rsidR="00D357A6" w:rsidRPr="00AC3007" w:rsidRDefault="00D357A6" w:rsidP="00AC3007">
      <w:pPr>
        <w:spacing w:line="259" w:lineRule="auto"/>
        <w:rPr>
          <w:rFonts w:ascii="Arial" w:hAnsi="Arial" w:cs="Arial"/>
          <w:sz w:val="22"/>
          <w:szCs w:val="22"/>
        </w:rPr>
      </w:pPr>
    </w:p>
    <w:p w14:paraId="79407646" w14:textId="77777777" w:rsidR="00D357A6" w:rsidRPr="00AC3007" w:rsidRDefault="00D357A6" w:rsidP="00AC3007">
      <w:pPr>
        <w:shd w:val="clear" w:color="auto" w:fill="FFFFFF"/>
        <w:spacing w:line="259" w:lineRule="auto"/>
        <w:jc w:val="center"/>
        <w:rPr>
          <w:rFonts w:ascii="Arial" w:eastAsia="Calibri" w:hAnsi="Arial" w:cs="Arial"/>
          <w:b/>
          <w:sz w:val="22"/>
          <w:szCs w:val="22"/>
        </w:rPr>
      </w:pPr>
    </w:p>
    <w:p w14:paraId="39064AA0" w14:textId="77777777" w:rsidR="00D357A6" w:rsidRDefault="00D357A6" w:rsidP="00D357A6"/>
    <w:p w14:paraId="339B54A9" w14:textId="77777777" w:rsidR="00046B27" w:rsidRDefault="00046B27" w:rsidP="006132A6">
      <w:pPr>
        <w:rPr>
          <w:color w:val="000000" w:themeColor="text1"/>
        </w:rPr>
      </w:pPr>
    </w:p>
    <w:p w14:paraId="7CBE48F4" w14:textId="77777777" w:rsidR="00046B27" w:rsidRDefault="00046B27" w:rsidP="006132A6">
      <w:pPr>
        <w:rPr>
          <w:color w:val="000000" w:themeColor="text1"/>
        </w:rPr>
      </w:pPr>
    </w:p>
    <w:p w14:paraId="7BC6CC18" w14:textId="77777777" w:rsidR="00046B27" w:rsidRDefault="00046B27" w:rsidP="006132A6">
      <w:pPr>
        <w:rPr>
          <w:color w:val="000000" w:themeColor="text1"/>
        </w:rPr>
      </w:pPr>
    </w:p>
    <w:p w14:paraId="4B50E995" w14:textId="77777777" w:rsidR="00DE48F8" w:rsidRDefault="00DE48F8" w:rsidP="006132A6">
      <w:pPr>
        <w:rPr>
          <w:color w:val="000000" w:themeColor="text1"/>
        </w:rPr>
      </w:pPr>
    </w:p>
    <w:p w14:paraId="42AB5BA7" w14:textId="77777777" w:rsidR="00DE48F8" w:rsidRDefault="00DE48F8" w:rsidP="006132A6">
      <w:pPr>
        <w:rPr>
          <w:color w:val="000000" w:themeColor="text1"/>
        </w:rPr>
      </w:pPr>
    </w:p>
    <w:p w14:paraId="57045E16" w14:textId="77777777" w:rsidR="00DE48F8" w:rsidRDefault="00DE48F8" w:rsidP="006132A6">
      <w:pPr>
        <w:rPr>
          <w:color w:val="000000" w:themeColor="text1"/>
        </w:rPr>
      </w:pPr>
    </w:p>
    <w:p w14:paraId="7BDF53FB" w14:textId="77777777" w:rsidR="009769E2" w:rsidRDefault="009769E2" w:rsidP="006132A6">
      <w:pPr>
        <w:rPr>
          <w:color w:val="000000" w:themeColor="text1"/>
        </w:rPr>
      </w:pPr>
    </w:p>
    <w:p w14:paraId="108E2E94" w14:textId="77777777" w:rsidR="009769E2" w:rsidRDefault="009769E2" w:rsidP="006132A6">
      <w:pPr>
        <w:rPr>
          <w:color w:val="000000" w:themeColor="text1"/>
        </w:rPr>
      </w:pPr>
    </w:p>
    <w:p w14:paraId="33798D35" w14:textId="77777777" w:rsidR="00950446" w:rsidRDefault="00950446" w:rsidP="006132A6">
      <w:pPr>
        <w:rPr>
          <w:color w:val="000000" w:themeColor="text1"/>
        </w:rPr>
      </w:pPr>
    </w:p>
    <w:p w14:paraId="5F7D1E97" w14:textId="77777777" w:rsidR="00950446" w:rsidRDefault="00950446" w:rsidP="006132A6">
      <w:pPr>
        <w:rPr>
          <w:color w:val="000000" w:themeColor="text1"/>
        </w:rPr>
      </w:pPr>
    </w:p>
    <w:p w14:paraId="79C50D94" w14:textId="77777777" w:rsidR="00950446" w:rsidRDefault="00950446" w:rsidP="006132A6">
      <w:pPr>
        <w:rPr>
          <w:color w:val="000000" w:themeColor="text1"/>
        </w:rPr>
      </w:pPr>
    </w:p>
    <w:p w14:paraId="6E8C0E03" w14:textId="77777777" w:rsidR="009769E2" w:rsidRDefault="009769E2" w:rsidP="006132A6">
      <w:pPr>
        <w:rPr>
          <w:color w:val="000000" w:themeColor="text1"/>
        </w:rPr>
      </w:pPr>
    </w:p>
    <w:p w14:paraId="0EADDE36" w14:textId="77777777" w:rsidR="009769E2" w:rsidRDefault="009769E2" w:rsidP="006132A6">
      <w:pPr>
        <w:rPr>
          <w:color w:val="000000" w:themeColor="text1"/>
        </w:rPr>
      </w:pPr>
    </w:p>
    <w:p w14:paraId="76094BAB" w14:textId="77777777" w:rsidR="00950446" w:rsidRDefault="00950446" w:rsidP="006132A6">
      <w:pPr>
        <w:rPr>
          <w:color w:val="000000" w:themeColor="text1"/>
        </w:rPr>
      </w:pPr>
    </w:p>
    <w:p w14:paraId="2F088D74" w14:textId="77777777" w:rsidR="00950446" w:rsidRDefault="00950446" w:rsidP="006132A6">
      <w:pPr>
        <w:rPr>
          <w:color w:val="000000" w:themeColor="text1"/>
        </w:rPr>
      </w:pPr>
    </w:p>
    <w:p w14:paraId="629A3489" w14:textId="77777777" w:rsidR="00950446" w:rsidRDefault="00950446" w:rsidP="006132A6">
      <w:pPr>
        <w:rPr>
          <w:color w:val="000000" w:themeColor="text1"/>
        </w:rPr>
      </w:pPr>
    </w:p>
    <w:p w14:paraId="7C5A69BC" w14:textId="77777777" w:rsidR="00950446" w:rsidRDefault="00950446" w:rsidP="006132A6">
      <w:pPr>
        <w:rPr>
          <w:color w:val="000000" w:themeColor="text1"/>
        </w:rPr>
      </w:pPr>
    </w:p>
    <w:p w14:paraId="4D807FDF" w14:textId="77777777" w:rsidR="00950446" w:rsidRDefault="00950446" w:rsidP="006132A6">
      <w:pPr>
        <w:rPr>
          <w:color w:val="000000" w:themeColor="text1"/>
        </w:rPr>
      </w:pPr>
    </w:p>
    <w:p w14:paraId="4FA71FCB" w14:textId="77777777" w:rsidR="00950446" w:rsidRDefault="00950446" w:rsidP="006132A6">
      <w:pPr>
        <w:rPr>
          <w:color w:val="000000" w:themeColor="text1"/>
        </w:rPr>
      </w:pPr>
    </w:p>
    <w:p w14:paraId="72679D58" w14:textId="77777777" w:rsidR="00950446" w:rsidRDefault="00950446" w:rsidP="006132A6">
      <w:pPr>
        <w:rPr>
          <w:color w:val="000000" w:themeColor="text1"/>
        </w:rPr>
      </w:pPr>
    </w:p>
    <w:p w14:paraId="49C3D848" w14:textId="77777777" w:rsidR="00950446" w:rsidRDefault="00950446" w:rsidP="006132A6">
      <w:pPr>
        <w:rPr>
          <w:color w:val="000000" w:themeColor="text1"/>
        </w:rPr>
      </w:pPr>
    </w:p>
    <w:p w14:paraId="212BD54C" w14:textId="77777777" w:rsidR="00950446" w:rsidRDefault="00950446" w:rsidP="006132A6">
      <w:pPr>
        <w:rPr>
          <w:color w:val="000000" w:themeColor="text1"/>
        </w:rPr>
      </w:pPr>
    </w:p>
    <w:p w14:paraId="5D2444C7" w14:textId="77777777" w:rsidR="00950446" w:rsidRDefault="00950446" w:rsidP="006132A6">
      <w:pPr>
        <w:rPr>
          <w:color w:val="000000" w:themeColor="text1"/>
        </w:rPr>
      </w:pPr>
    </w:p>
    <w:p w14:paraId="1163CD7D" w14:textId="5BA611C9" w:rsidR="007D63F4" w:rsidRDefault="00A06700" w:rsidP="002A689D">
      <w:pPr>
        <w:jc w:val="center"/>
        <w:rPr>
          <w:rFonts w:ascii="Arial" w:hAnsi="Arial" w:cs="Arial"/>
          <w:b/>
          <w:color w:val="000000" w:themeColor="text1"/>
        </w:rPr>
      </w:pPr>
      <w:r>
        <w:rPr>
          <w:rFonts w:ascii="Arial" w:hAnsi="Arial" w:cs="Arial"/>
          <w:b/>
          <w:color w:val="000000" w:themeColor="text1"/>
        </w:rPr>
        <w:lastRenderedPageBreak/>
        <w:t>3</w:t>
      </w:r>
      <w:r w:rsidR="007D63F4">
        <w:rPr>
          <w:rFonts w:ascii="Arial" w:hAnsi="Arial" w:cs="Arial"/>
          <w:b/>
          <w:color w:val="000000" w:themeColor="text1"/>
        </w:rPr>
        <w:t>.2.</w:t>
      </w:r>
      <w:r w:rsidR="00915EC7">
        <w:rPr>
          <w:rFonts w:ascii="Arial" w:hAnsi="Arial" w:cs="Arial"/>
          <w:b/>
          <w:color w:val="000000" w:themeColor="text1"/>
        </w:rPr>
        <w:t xml:space="preserve">2. </w:t>
      </w:r>
      <w:r w:rsidR="007D63F4">
        <w:rPr>
          <w:rFonts w:ascii="Arial" w:hAnsi="Arial" w:cs="Arial"/>
          <w:b/>
          <w:color w:val="000000" w:themeColor="text1"/>
        </w:rPr>
        <w:t xml:space="preserve"> Upravni odjel za proračun i </w:t>
      </w:r>
      <w:r w:rsidR="007D63F4" w:rsidRPr="003C002B">
        <w:rPr>
          <w:rFonts w:ascii="Arial" w:hAnsi="Arial" w:cs="Arial"/>
          <w:b/>
          <w:color w:val="000000" w:themeColor="text1"/>
        </w:rPr>
        <w:t xml:space="preserve"> financije</w:t>
      </w:r>
    </w:p>
    <w:p w14:paraId="074C2514" w14:textId="77777777" w:rsidR="00D672BA" w:rsidRDefault="00D672BA" w:rsidP="002A689D">
      <w:pPr>
        <w:jc w:val="center"/>
        <w:rPr>
          <w:color w:val="000000" w:themeColor="text1"/>
        </w:rPr>
      </w:pPr>
    </w:p>
    <w:p w14:paraId="55505728" w14:textId="77777777" w:rsidR="00AA11D5" w:rsidRDefault="00AA11D5" w:rsidP="00AA11D5">
      <w:pPr>
        <w:rPr>
          <w:rFonts w:ascii="Arial" w:hAnsi="Arial" w:cs="Arial"/>
          <w:b/>
          <w:color w:val="000000" w:themeColor="text1"/>
        </w:rPr>
      </w:pPr>
    </w:p>
    <w:p w14:paraId="062C6AAF" w14:textId="77777777" w:rsidR="00AA11D5" w:rsidRDefault="00AA11D5" w:rsidP="00AA11D5">
      <w:pPr>
        <w:ind w:firstLine="708"/>
        <w:jc w:val="both"/>
        <w:rPr>
          <w:rFonts w:ascii="Arial" w:hAnsi="Arial" w:cs="Arial"/>
          <w:b/>
          <w:bCs/>
          <w:color w:val="000000"/>
          <w:sz w:val="22"/>
          <w:lang w:val="en-GB"/>
        </w:rPr>
      </w:pPr>
      <w:r w:rsidRPr="00BF25AE">
        <w:rPr>
          <w:rFonts w:ascii="Arial" w:hAnsi="Arial" w:cs="Arial"/>
          <w:color w:val="000000"/>
          <w:sz w:val="22"/>
          <w:lang w:val="en-GB"/>
        </w:rPr>
        <w:t xml:space="preserve">Plan </w:t>
      </w:r>
      <w:proofErr w:type="spellStart"/>
      <w:r w:rsidRPr="00BF25AE">
        <w:rPr>
          <w:rFonts w:ascii="Arial" w:hAnsi="Arial" w:cs="Arial"/>
          <w:color w:val="000000"/>
          <w:sz w:val="22"/>
          <w:lang w:val="en-GB"/>
        </w:rPr>
        <w:t>proračuna</w:t>
      </w:r>
      <w:proofErr w:type="spellEnd"/>
      <w:r w:rsidRPr="00BF25AE">
        <w:rPr>
          <w:rFonts w:ascii="Arial" w:hAnsi="Arial" w:cs="Arial"/>
          <w:color w:val="000000"/>
          <w:sz w:val="22"/>
          <w:lang w:val="en-GB"/>
        </w:rPr>
        <w:t xml:space="preserve"> Upravnog </w:t>
      </w:r>
      <w:proofErr w:type="spellStart"/>
      <w:r w:rsidRPr="00BF25AE">
        <w:rPr>
          <w:rFonts w:ascii="Arial" w:hAnsi="Arial" w:cs="Arial"/>
          <w:color w:val="000000"/>
          <w:sz w:val="22"/>
          <w:lang w:val="en-GB"/>
        </w:rPr>
        <w:t>odjela</w:t>
      </w:r>
      <w:proofErr w:type="spellEnd"/>
      <w:r w:rsidRPr="00BF25AE">
        <w:rPr>
          <w:rFonts w:ascii="Arial" w:hAnsi="Arial" w:cs="Arial"/>
          <w:color w:val="000000"/>
          <w:sz w:val="22"/>
          <w:lang w:val="en-GB"/>
        </w:rPr>
        <w:t xml:space="preserve"> za </w:t>
      </w:r>
      <w:proofErr w:type="spellStart"/>
      <w:r w:rsidRPr="00BF25AE">
        <w:rPr>
          <w:rFonts w:ascii="Arial" w:hAnsi="Arial" w:cs="Arial"/>
          <w:color w:val="000000"/>
          <w:sz w:val="22"/>
          <w:lang w:val="en-GB"/>
        </w:rPr>
        <w:t>proračun</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i</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financije</w:t>
      </w:r>
      <w:proofErr w:type="spellEnd"/>
      <w:r w:rsidRPr="00BF25AE">
        <w:rPr>
          <w:rFonts w:ascii="Arial" w:hAnsi="Arial" w:cs="Arial"/>
          <w:color w:val="000000"/>
          <w:sz w:val="22"/>
          <w:lang w:val="en-GB"/>
        </w:rPr>
        <w:t xml:space="preserve"> za 202</w:t>
      </w:r>
      <w:r>
        <w:rPr>
          <w:rFonts w:ascii="Arial" w:hAnsi="Arial" w:cs="Arial"/>
          <w:color w:val="000000"/>
          <w:sz w:val="22"/>
          <w:lang w:val="en-GB"/>
        </w:rPr>
        <w:t>5</w:t>
      </w:r>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godinu</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iznosi</w:t>
      </w:r>
      <w:proofErr w:type="spellEnd"/>
      <w:r w:rsidRPr="00BF25AE">
        <w:rPr>
          <w:rFonts w:ascii="Arial" w:hAnsi="Arial" w:cs="Arial"/>
          <w:color w:val="000000"/>
          <w:sz w:val="22"/>
          <w:lang w:val="en-GB"/>
        </w:rPr>
        <w:t xml:space="preserve"> </w:t>
      </w:r>
      <w:r w:rsidRPr="005C2AC9">
        <w:rPr>
          <w:rFonts w:ascii="Arial" w:hAnsi="Arial" w:cs="Arial"/>
          <w:b/>
          <w:bCs/>
          <w:color w:val="000000"/>
          <w:sz w:val="22"/>
          <w:lang w:val="en-GB"/>
        </w:rPr>
        <w:t>2.743.700,00</w:t>
      </w:r>
      <w:r>
        <w:rPr>
          <w:rFonts w:ascii="Arial" w:hAnsi="Arial" w:cs="Arial"/>
          <w:b/>
          <w:bCs/>
          <w:color w:val="000000"/>
          <w:sz w:val="22"/>
          <w:lang w:val="en-GB"/>
        </w:rPr>
        <w:t xml:space="preserve"> </w:t>
      </w:r>
      <w:r w:rsidRPr="00BF25AE">
        <w:rPr>
          <w:rFonts w:ascii="Arial" w:hAnsi="Arial" w:cs="Arial"/>
          <w:b/>
          <w:bCs/>
          <w:color w:val="000000"/>
          <w:sz w:val="22"/>
          <w:lang w:val="en-GB"/>
        </w:rPr>
        <w:t xml:space="preserve">EUR. </w:t>
      </w:r>
    </w:p>
    <w:p w14:paraId="7105642F" w14:textId="77777777" w:rsidR="00AA11D5" w:rsidRDefault="00AA11D5" w:rsidP="00AA11D5">
      <w:pPr>
        <w:spacing w:line="276" w:lineRule="auto"/>
        <w:ind w:firstLine="708"/>
        <w:jc w:val="both"/>
        <w:rPr>
          <w:rFonts w:ascii="Arial" w:hAnsi="Arial" w:cs="Arial"/>
          <w:b/>
          <w:bCs/>
          <w:color w:val="000000"/>
          <w:sz w:val="22"/>
          <w:lang w:val="en-GB"/>
        </w:rPr>
      </w:pPr>
    </w:p>
    <w:tbl>
      <w:tblPr>
        <w:tblW w:w="9209" w:type="dxa"/>
        <w:tblLook w:val="04A0" w:firstRow="1" w:lastRow="0" w:firstColumn="1" w:lastColumn="0" w:noHBand="0" w:noVBand="1"/>
      </w:tblPr>
      <w:tblGrid>
        <w:gridCol w:w="4280"/>
        <w:gridCol w:w="2094"/>
        <w:gridCol w:w="1350"/>
        <w:gridCol w:w="1559"/>
      </w:tblGrid>
      <w:tr w:rsidR="00AA11D5" w:rsidRPr="00A30F85" w14:paraId="346E24B3" w14:textId="77777777" w:rsidTr="002815DB">
        <w:trPr>
          <w:trHeight w:val="510"/>
        </w:trPr>
        <w:tc>
          <w:tcPr>
            <w:tcW w:w="42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E14A25" w14:textId="77777777" w:rsidR="00AA11D5" w:rsidRPr="00A30F85" w:rsidRDefault="00AA11D5" w:rsidP="002815DB">
            <w:pPr>
              <w:rPr>
                <w:rFonts w:ascii="Arial" w:hAnsi="Arial" w:cs="Arial"/>
                <w:b/>
                <w:bCs/>
                <w:sz w:val="20"/>
                <w:szCs w:val="20"/>
              </w:rPr>
            </w:pPr>
            <w:r w:rsidRPr="00A30F85">
              <w:rPr>
                <w:rFonts w:ascii="Arial" w:hAnsi="Arial" w:cs="Arial"/>
                <w:b/>
                <w:bCs/>
                <w:sz w:val="20"/>
                <w:szCs w:val="20"/>
              </w:rPr>
              <w:t xml:space="preserve">BROJ </w:t>
            </w:r>
            <w:r w:rsidRPr="00A30F85">
              <w:rPr>
                <w:rFonts w:ascii="Arial" w:hAnsi="Arial" w:cs="Arial"/>
                <w:b/>
                <w:bCs/>
                <w:sz w:val="20"/>
                <w:szCs w:val="20"/>
              </w:rPr>
              <w:br/>
              <w:t>KONTA</w:t>
            </w:r>
          </w:p>
        </w:tc>
        <w:tc>
          <w:tcPr>
            <w:tcW w:w="2094" w:type="dxa"/>
            <w:tcBorders>
              <w:top w:val="single" w:sz="4" w:space="0" w:color="auto"/>
              <w:left w:val="nil"/>
              <w:bottom w:val="single" w:sz="4" w:space="0" w:color="auto"/>
              <w:right w:val="single" w:sz="4" w:space="0" w:color="auto"/>
            </w:tcBorders>
            <w:shd w:val="clear" w:color="000000" w:fill="FFFFFF"/>
            <w:noWrap/>
            <w:vAlign w:val="bottom"/>
            <w:hideMark/>
          </w:tcPr>
          <w:p w14:paraId="3BE65D03" w14:textId="77777777" w:rsidR="00AA11D5" w:rsidRPr="00A30F85" w:rsidRDefault="00AA11D5" w:rsidP="002815DB">
            <w:pPr>
              <w:rPr>
                <w:rFonts w:ascii="Arial" w:hAnsi="Arial" w:cs="Arial"/>
                <w:b/>
                <w:bCs/>
                <w:sz w:val="20"/>
                <w:szCs w:val="20"/>
              </w:rPr>
            </w:pPr>
            <w:r w:rsidRPr="00A30F85">
              <w:rPr>
                <w:rFonts w:ascii="Arial" w:hAnsi="Arial" w:cs="Arial"/>
                <w:b/>
                <w:bCs/>
                <w:sz w:val="20"/>
                <w:szCs w:val="20"/>
              </w:rPr>
              <w:t>PLANIRANO</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0F8B0167" w14:textId="77777777" w:rsidR="00AA11D5" w:rsidRPr="00A30F85" w:rsidRDefault="00AA11D5" w:rsidP="002815DB">
            <w:pPr>
              <w:rPr>
                <w:rFonts w:ascii="Arial" w:hAnsi="Arial" w:cs="Arial"/>
                <w:b/>
                <w:bCs/>
                <w:sz w:val="20"/>
                <w:szCs w:val="20"/>
              </w:rPr>
            </w:pPr>
            <w:r w:rsidRPr="00A30F85">
              <w:rPr>
                <w:rFonts w:ascii="Arial" w:hAnsi="Arial" w:cs="Arial"/>
                <w:b/>
                <w:bCs/>
                <w:sz w:val="20"/>
                <w:szCs w:val="20"/>
              </w:rPr>
              <w:t>PROMJENA IZNOS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62C18091" w14:textId="77777777" w:rsidR="00AA11D5" w:rsidRPr="00A30F85" w:rsidRDefault="00AA11D5" w:rsidP="002815DB">
            <w:pPr>
              <w:rPr>
                <w:rFonts w:ascii="Arial" w:hAnsi="Arial" w:cs="Arial"/>
                <w:b/>
                <w:bCs/>
                <w:sz w:val="20"/>
                <w:szCs w:val="20"/>
              </w:rPr>
            </w:pPr>
            <w:r w:rsidRPr="00A30F85">
              <w:rPr>
                <w:rFonts w:ascii="Arial" w:hAnsi="Arial" w:cs="Arial"/>
                <w:b/>
                <w:bCs/>
                <w:sz w:val="20"/>
                <w:szCs w:val="20"/>
              </w:rPr>
              <w:t>NOVI IZNOS</w:t>
            </w:r>
          </w:p>
        </w:tc>
      </w:tr>
      <w:tr w:rsidR="00AA11D5" w:rsidRPr="00A30F85" w14:paraId="4C0F932F" w14:textId="77777777" w:rsidTr="002815DB">
        <w:trPr>
          <w:trHeight w:val="255"/>
        </w:trPr>
        <w:tc>
          <w:tcPr>
            <w:tcW w:w="4280" w:type="dxa"/>
            <w:tcBorders>
              <w:top w:val="nil"/>
              <w:left w:val="single" w:sz="4" w:space="0" w:color="auto"/>
              <w:bottom w:val="single" w:sz="4" w:space="0" w:color="auto"/>
              <w:right w:val="single" w:sz="4" w:space="0" w:color="auto"/>
            </w:tcBorders>
            <w:shd w:val="clear" w:color="000000" w:fill="FFFFFF"/>
            <w:noWrap/>
            <w:vAlign w:val="bottom"/>
            <w:hideMark/>
          </w:tcPr>
          <w:p w14:paraId="0082C1B2" w14:textId="77777777" w:rsidR="00AA11D5" w:rsidRPr="00A30F85" w:rsidRDefault="00AA11D5" w:rsidP="002815DB">
            <w:pPr>
              <w:rPr>
                <w:rFonts w:ascii="Arial" w:hAnsi="Arial" w:cs="Arial"/>
                <w:b/>
                <w:bCs/>
                <w:sz w:val="20"/>
                <w:szCs w:val="20"/>
              </w:rPr>
            </w:pPr>
            <w:r w:rsidRPr="00A30F85">
              <w:rPr>
                <w:rFonts w:ascii="Arial" w:hAnsi="Arial" w:cs="Arial"/>
                <w:b/>
                <w:bCs/>
                <w:sz w:val="20"/>
                <w:szCs w:val="20"/>
              </w:rPr>
              <w:t xml:space="preserve">  SVEUKUPNO RASHODI / IZDACI</w:t>
            </w:r>
          </w:p>
        </w:tc>
        <w:tc>
          <w:tcPr>
            <w:tcW w:w="2094" w:type="dxa"/>
            <w:tcBorders>
              <w:top w:val="nil"/>
              <w:left w:val="nil"/>
              <w:bottom w:val="single" w:sz="4" w:space="0" w:color="auto"/>
              <w:right w:val="single" w:sz="4" w:space="0" w:color="auto"/>
            </w:tcBorders>
            <w:shd w:val="clear" w:color="000000" w:fill="FFFFFF"/>
            <w:noWrap/>
            <w:vAlign w:val="bottom"/>
            <w:hideMark/>
          </w:tcPr>
          <w:p w14:paraId="334D74E6" w14:textId="77777777" w:rsidR="00AA11D5" w:rsidRPr="00A30F85" w:rsidRDefault="00AA11D5" w:rsidP="002815DB">
            <w:pPr>
              <w:jc w:val="right"/>
              <w:rPr>
                <w:rFonts w:ascii="Arial" w:hAnsi="Arial" w:cs="Arial"/>
                <w:b/>
                <w:bCs/>
                <w:sz w:val="20"/>
                <w:szCs w:val="20"/>
              </w:rPr>
            </w:pPr>
            <w:r w:rsidRPr="00A30F85">
              <w:rPr>
                <w:rFonts w:ascii="Arial" w:hAnsi="Arial" w:cs="Arial"/>
                <w:b/>
                <w:bCs/>
                <w:sz w:val="20"/>
                <w:szCs w:val="20"/>
              </w:rPr>
              <w:t>2.693.700,00</w:t>
            </w:r>
          </w:p>
        </w:tc>
        <w:tc>
          <w:tcPr>
            <w:tcW w:w="1276" w:type="dxa"/>
            <w:tcBorders>
              <w:top w:val="nil"/>
              <w:left w:val="nil"/>
              <w:bottom w:val="single" w:sz="4" w:space="0" w:color="auto"/>
              <w:right w:val="single" w:sz="4" w:space="0" w:color="auto"/>
            </w:tcBorders>
            <w:shd w:val="clear" w:color="000000" w:fill="FFFFFF"/>
            <w:noWrap/>
            <w:vAlign w:val="bottom"/>
            <w:hideMark/>
          </w:tcPr>
          <w:p w14:paraId="3D8A6DFA" w14:textId="77777777" w:rsidR="00AA11D5" w:rsidRPr="00A30F85" w:rsidRDefault="00AA11D5" w:rsidP="002815DB">
            <w:pPr>
              <w:jc w:val="right"/>
              <w:rPr>
                <w:rFonts w:ascii="Arial" w:hAnsi="Arial" w:cs="Arial"/>
                <w:b/>
                <w:bCs/>
                <w:sz w:val="20"/>
                <w:szCs w:val="20"/>
              </w:rPr>
            </w:pPr>
            <w:r w:rsidRPr="00A30F85">
              <w:rPr>
                <w:rFonts w:ascii="Arial" w:hAnsi="Arial" w:cs="Arial"/>
                <w:b/>
                <w:bCs/>
                <w:sz w:val="20"/>
                <w:szCs w:val="20"/>
              </w:rPr>
              <w:t>50.000,00</w:t>
            </w:r>
          </w:p>
        </w:tc>
        <w:tc>
          <w:tcPr>
            <w:tcW w:w="1559" w:type="dxa"/>
            <w:tcBorders>
              <w:top w:val="nil"/>
              <w:left w:val="nil"/>
              <w:bottom w:val="single" w:sz="4" w:space="0" w:color="auto"/>
              <w:right w:val="single" w:sz="4" w:space="0" w:color="auto"/>
            </w:tcBorders>
            <w:shd w:val="clear" w:color="000000" w:fill="FFFFFF"/>
            <w:noWrap/>
            <w:vAlign w:val="bottom"/>
            <w:hideMark/>
          </w:tcPr>
          <w:p w14:paraId="02A9EDAC" w14:textId="77777777" w:rsidR="00AA11D5" w:rsidRPr="00A30F85" w:rsidRDefault="00AA11D5" w:rsidP="002815DB">
            <w:pPr>
              <w:jc w:val="right"/>
              <w:rPr>
                <w:rFonts w:ascii="Arial" w:hAnsi="Arial" w:cs="Arial"/>
                <w:b/>
                <w:bCs/>
                <w:sz w:val="20"/>
                <w:szCs w:val="20"/>
              </w:rPr>
            </w:pPr>
            <w:bookmarkStart w:id="30" w:name="_Hlk203294336"/>
            <w:r w:rsidRPr="00A30F85">
              <w:rPr>
                <w:rFonts w:ascii="Arial" w:hAnsi="Arial" w:cs="Arial"/>
                <w:b/>
                <w:bCs/>
                <w:sz w:val="20"/>
                <w:szCs w:val="20"/>
              </w:rPr>
              <w:t>2.743.700,00</w:t>
            </w:r>
            <w:bookmarkEnd w:id="30"/>
          </w:p>
        </w:tc>
      </w:tr>
      <w:tr w:rsidR="00AA11D5" w:rsidRPr="00A30F85" w14:paraId="5E9EA1B7" w14:textId="77777777" w:rsidTr="002815DB">
        <w:trPr>
          <w:trHeight w:val="255"/>
        </w:trPr>
        <w:tc>
          <w:tcPr>
            <w:tcW w:w="4280" w:type="dxa"/>
            <w:tcBorders>
              <w:top w:val="nil"/>
              <w:left w:val="single" w:sz="4" w:space="0" w:color="auto"/>
              <w:bottom w:val="single" w:sz="4" w:space="0" w:color="auto"/>
              <w:right w:val="single" w:sz="4" w:space="0" w:color="auto"/>
            </w:tcBorders>
            <w:shd w:val="clear" w:color="000000" w:fill="FFFFFF"/>
            <w:noWrap/>
            <w:vAlign w:val="bottom"/>
            <w:hideMark/>
          </w:tcPr>
          <w:p w14:paraId="0C8E58A8" w14:textId="77777777" w:rsidR="00AA11D5" w:rsidRPr="00A30F85" w:rsidRDefault="00AA11D5" w:rsidP="002815DB">
            <w:pPr>
              <w:rPr>
                <w:rFonts w:ascii="Arial" w:hAnsi="Arial" w:cs="Arial"/>
                <w:b/>
                <w:bCs/>
                <w:sz w:val="20"/>
                <w:szCs w:val="20"/>
              </w:rPr>
            </w:pPr>
            <w:r w:rsidRPr="00A30F85">
              <w:rPr>
                <w:rFonts w:ascii="Arial" w:hAnsi="Arial" w:cs="Arial"/>
                <w:b/>
                <w:bCs/>
                <w:sz w:val="20"/>
                <w:szCs w:val="20"/>
              </w:rPr>
              <w:t>Razdjel 200 UPRAVNI ODJEL ZA PRORAČUN I FINANCIJE</w:t>
            </w:r>
          </w:p>
        </w:tc>
        <w:tc>
          <w:tcPr>
            <w:tcW w:w="2094" w:type="dxa"/>
            <w:tcBorders>
              <w:top w:val="nil"/>
              <w:left w:val="nil"/>
              <w:bottom w:val="single" w:sz="4" w:space="0" w:color="auto"/>
              <w:right w:val="single" w:sz="4" w:space="0" w:color="auto"/>
            </w:tcBorders>
            <w:shd w:val="clear" w:color="000000" w:fill="FFFFFF"/>
            <w:noWrap/>
            <w:vAlign w:val="bottom"/>
            <w:hideMark/>
          </w:tcPr>
          <w:p w14:paraId="4BEBE2B2" w14:textId="77777777" w:rsidR="00AA11D5" w:rsidRPr="00A30F85" w:rsidRDefault="00AA11D5" w:rsidP="002815DB">
            <w:pPr>
              <w:jc w:val="right"/>
              <w:rPr>
                <w:rFonts w:ascii="Arial" w:hAnsi="Arial" w:cs="Arial"/>
                <w:b/>
                <w:bCs/>
                <w:sz w:val="20"/>
                <w:szCs w:val="20"/>
              </w:rPr>
            </w:pPr>
            <w:r w:rsidRPr="00A30F85">
              <w:rPr>
                <w:rFonts w:ascii="Arial" w:hAnsi="Arial" w:cs="Arial"/>
                <w:b/>
                <w:bCs/>
                <w:sz w:val="20"/>
                <w:szCs w:val="20"/>
              </w:rPr>
              <w:t>2.693.700,00</w:t>
            </w:r>
          </w:p>
        </w:tc>
        <w:tc>
          <w:tcPr>
            <w:tcW w:w="1276" w:type="dxa"/>
            <w:tcBorders>
              <w:top w:val="nil"/>
              <w:left w:val="nil"/>
              <w:bottom w:val="single" w:sz="4" w:space="0" w:color="auto"/>
              <w:right w:val="single" w:sz="4" w:space="0" w:color="auto"/>
            </w:tcBorders>
            <w:shd w:val="clear" w:color="000000" w:fill="FFFFFF"/>
            <w:noWrap/>
            <w:vAlign w:val="bottom"/>
            <w:hideMark/>
          </w:tcPr>
          <w:p w14:paraId="3364B350" w14:textId="77777777" w:rsidR="00AA11D5" w:rsidRPr="00A30F85" w:rsidRDefault="00AA11D5" w:rsidP="002815DB">
            <w:pPr>
              <w:jc w:val="right"/>
              <w:rPr>
                <w:rFonts w:ascii="Arial" w:hAnsi="Arial" w:cs="Arial"/>
                <w:b/>
                <w:bCs/>
                <w:sz w:val="20"/>
                <w:szCs w:val="20"/>
              </w:rPr>
            </w:pPr>
            <w:r w:rsidRPr="00A30F85">
              <w:rPr>
                <w:rFonts w:ascii="Arial" w:hAnsi="Arial" w:cs="Arial"/>
                <w:b/>
                <w:bCs/>
                <w:sz w:val="20"/>
                <w:szCs w:val="20"/>
              </w:rPr>
              <w:t>50.000,00</w:t>
            </w:r>
          </w:p>
        </w:tc>
        <w:tc>
          <w:tcPr>
            <w:tcW w:w="1559" w:type="dxa"/>
            <w:tcBorders>
              <w:top w:val="nil"/>
              <w:left w:val="nil"/>
              <w:bottom w:val="single" w:sz="4" w:space="0" w:color="auto"/>
              <w:right w:val="single" w:sz="4" w:space="0" w:color="auto"/>
            </w:tcBorders>
            <w:shd w:val="clear" w:color="000000" w:fill="FFFFFF"/>
            <w:noWrap/>
            <w:vAlign w:val="bottom"/>
            <w:hideMark/>
          </w:tcPr>
          <w:p w14:paraId="393FC613" w14:textId="77777777" w:rsidR="00AA11D5" w:rsidRPr="00A30F85" w:rsidRDefault="00AA11D5" w:rsidP="002815DB">
            <w:pPr>
              <w:jc w:val="right"/>
              <w:rPr>
                <w:rFonts w:ascii="Arial" w:hAnsi="Arial" w:cs="Arial"/>
                <w:b/>
                <w:bCs/>
                <w:sz w:val="20"/>
                <w:szCs w:val="20"/>
              </w:rPr>
            </w:pPr>
            <w:r w:rsidRPr="00A30F85">
              <w:rPr>
                <w:rFonts w:ascii="Arial" w:hAnsi="Arial" w:cs="Arial"/>
                <w:b/>
                <w:bCs/>
                <w:sz w:val="20"/>
                <w:szCs w:val="20"/>
              </w:rPr>
              <w:t>2.743.700,00</w:t>
            </w:r>
          </w:p>
        </w:tc>
      </w:tr>
      <w:tr w:rsidR="00AA11D5" w:rsidRPr="00A30F85" w14:paraId="209A928F" w14:textId="77777777" w:rsidTr="002815DB">
        <w:trPr>
          <w:trHeight w:val="255"/>
        </w:trPr>
        <w:tc>
          <w:tcPr>
            <w:tcW w:w="4280" w:type="dxa"/>
            <w:tcBorders>
              <w:top w:val="nil"/>
              <w:left w:val="single" w:sz="4" w:space="0" w:color="auto"/>
              <w:bottom w:val="single" w:sz="4" w:space="0" w:color="auto"/>
              <w:right w:val="single" w:sz="4" w:space="0" w:color="auto"/>
            </w:tcBorders>
            <w:shd w:val="clear" w:color="000000" w:fill="FFFFFF"/>
            <w:noWrap/>
            <w:vAlign w:val="bottom"/>
            <w:hideMark/>
          </w:tcPr>
          <w:p w14:paraId="06AEC905" w14:textId="77777777" w:rsidR="00AA11D5" w:rsidRPr="00A30F85" w:rsidRDefault="00AA11D5" w:rsidP="002815DB">
            <w:pPr>
              <w:rPr>
                <w:rFonts w:ascii="Arial" w:hAnsi="Arial" w:cs="Arial"/>
                <w:b/>
                <w:bCs/>
                <w:sz w:val="20"/>
                <w:szCs w:val="20"/>
              </w:rPr>
            </w:pPr>
            <w:r w:rsidRPr="00A30F85">
              <w:rPr>
                <w:rFonts w:ascii="Arial" w:hAnsi="Arial" w:cs="Arial"/>
                <w:b/>
                <w:bCs/>
                <w:sz w:val="20"/>
                <w:szCs w:val="20"/>
              </w:rPr>
              <w:t>Glava 20001 UPRAVNI ODJEL ZA PRORAČUN I FINANCIJE</w:t>
            </w:r>
          </w:p>
        </w:tc>
        <w:tc>
          <w:tcPr>
            <w:tcW w:w="2094" w:type="dxa"/>
            <w:tcBorders>
              <w:top w:val="nil"/>
              <w:left w:val="nil"/>
              <w:bottom w:val="single" w:sz="4" w:space="0" w:color="auto"/>
              <w:right w:val="single" w:sz="4" w:space="0" w:color="auto"/>
            </w:tcBorders>
            <w:shd w:val="clear" w:color="000000" w:fill="FFFFFF"/>
            <w:noWrap/>
            <w:vAlign w:val="bottom"/>
            <w:hideMark/>
          </w:tcPr>
          <w:p w14:paraId="7A6268A1" w14:textId="77777777" w:rsidR="00AA11D5" w:rsidRPr="00A30F85" w:rsidRDefault="00AA11D5" w:rsidP="002815DB">
            <w:pPr>
              <w:jc w:val="right"/>
              <w:rPr>
                <w:rFonts w:ascii="Arial" w:hAnsi="Arial" w:cs="Arial"/>
                <w:b/>
                <w:bCs/>
                <w:sz w:val="20"/>
                <w:szCs w:val="20"/>
              </w:rPr>
            </w:pPr>
            <w:r w:rsidRPr="00A30F85">
              <w:rPr>
                <w:rFonts w:ascii="Arial" w:hAnsi="Arial" w:cs="Arial"/>
                <w:b/>
                <w:bCs/>
                <w:sz w:val="20"/>
                <w:szCs w:val="20"/>
              </w:rPr>
              <w:t>2.693.700,00</w:t>
            </w:r>
          </w:p>
        </w:tc>
        <w:tc>
          <w:tcPr>
            <w:tcW w:w="1276" w:type="dxa"/>
            <w:tcBorders>
              <w:top w:val="nil"/>
              <w:left w:val="nil"/>
              <w:bottom w:val="single" w:sz="4" w:space="0" w:color="auto"/>
              <w:right w:val="single" w:sz="4" w:space="0" w:color="auto"/>
            </w:tcBorders>
            <w:shd w:val="clear" w:color="000000" w:fill="FFFFFF"/>
            <w:noWrap/>
            <w:vAlign w:val="bottom"/>
            <w:hideMark/>
          </w:tcPr>
          <w:p w14:paraId="2C54E1F3" w14:textId="77777777" w:rsidR="00AA11D5" w:rsidRPr="00A30F85" w:rsidRDefault="00AA11D5" w:rsidP="002815DB">
            <w:pPr>
              <w:jc w:val="right"/>
              <w:rPr>
                <w:rFonts w:ascii="Arial" w:hAnsi="Arial" w:cs="Arial"/>
                <w:b/>
                <w:bCs/>
                <w:sz w:val="20"/>
                <w:szCs w:val="20"/>
              </w:rPr>
            </w:pPr>
            <w:r w:rsidRPr="00A30F85">
              <w:rPr>
                <w:rFonts w:ascii="Arial" w:hAnsi="Arial" w:cs="Arial"/>
                <w:b/>
                <w:bCs/>
                <w:sz w:val="20"/>
                <w:szCs w:val="20"/>
              </w:rPr>
              <w:t>50.000,00</w:t>
            </w:r>
          </w:p>
        </w:tc>
        <w:tc>
          <w:tcPr>
            <w:tcW w:w="1559" w:type="dxa"/>
            <w:tcBorders>
              <w:top w:val="nil"/>
              <w:left w:val="nil"/>
              <w:bottom w:val="single" w:sz="4" w:space="0" w:color="auto"/>
              <w:right w:val="single" w:sz="4" w:space="0" w:color="auto"/>
            </w:tcBorders>
            <w:shd w:val="clear" w:color="000000" w:fill="FFFFFF"/>
            <w:noWrap/>
            <w:vAlign w:val="bottom"/>
            <w:hideMark/>
          </w:tcPr>
          <w:p w14:paraId="4F6CEBB0" w14:textId="77777777" w:rsidR="00AA11D5" w:rsidRPr="00A30F85" w:rsidRDefault="00AA11D5" w:rsidP="002815DB">
            <w:pPr>
              <w:jc w:val="right"/>
              <w:rPr>
                <w:rFonts w:ascii="Arial" w:hAnsi="Arial" w:cs="Arial"/>
                <w:b/>
                <w:bCs/>
                <w:sz w:val="20"/>
                <w:szCs w:val="20"/>
              </w:rPr>
            </w:pPr>
            <w:r w:rsidRPr="00A30F85">
              <w:rPr>
                <w:rFonts w:ascii="Arial" w:hAnsi="Arial" w:cs="Arial"/>
                <w:b/>
                <w:bCs/>
                <w:sz w:val="20"/>
                <w:szCs w:val="20"/>
              </w:rPr>
              <w:t>2.743.700,00</w:t>
            </w:r>
          </w:p>
        </w:tc>
      </w:tr>
      <w:tr w:rsidR="00AA11D5" w:rsidRPr="00A30F85" w14:paraId="79C7D7FF" w14:textId="77777777" w:rsidTr="002815DB">
        <w:trPr>
          <w:trHeight w:val="255"/>
        </w:trPr>
        <w:tc>
          <w:tcPr>
            <w:tcW w:w="4280" w:type="dxa"/>
            <w:tcBorders>
              <w:top w:val="nil"/>
              <w:left w:val="single" w:sz="4" w:space="0" w:color="auto"/>
              <w:bottom w:val="single" w:sz="4" w:space="0" w:color="auto"/>
              <w:right w:val="single" w:sz="4" w:space="0" w:color="auto"/>
            </w:tcBorders>
            <w:shd w:val="clear" w:color="000000" w:fill="FFFFFF"/>
            <w:noWrap/>
            <w:vAlign w:val="bottom"/>
            <w:hideMark/>
          </w:tcPr>
          <w:p w14:paraId="64F546B2" w14:textId="77777777" w:rsidR="00AA11D5" w:rsidRPr="00A30F85" w:rsidRDefault="00AA11D5" w:rsidP="002815DB">
            <w:pPr>
              <w:rPr>
                <w:rFonts w:ascii="Arial" w:hAnsi="Arial" w:cs="Arial"/>
                <w:b/>
                <w:bCs/>
                <w:sz w:val="20"/>
                <w:szCs w:val="20"/>
              </w:rPr>
            </w:pPr>
            <w:r w:rsidRPr="00A30F85">
              <w:rPr>
                <w:rFonts w:ascii="Arial" w:hAnsi="Arial" w:cs="Arial"/>
                <w:b/>
                <w:bCs/>
                <w:sz w:val="20"/>
                <w:szCs w:val="20"/>
              </w:rPr>
              <w:t>Program 2001 Javna uprava i administracija</w:t>
            </w:r>
          </w:p>
        </w:tc>
        <w:tc>
          <w:tcPr>
            <w:tcW w:w="2094" w:type="dxa"/>
            <w:tcBorders>
              <w:top w:val="nil"/>
              <w:left w:val="nil"/>
              <w:bottom w:val="single" w:sz="4" w:space="0" w:color="auto"/>
              <w:right w:val="single" w:sz="4" w:space="0" w:color="auto"/>
            </w:tcBorders>
            <w:shd w:val="clear" w:color="000000" w:fill="FFFFFF"/>
            <w:noWrap/>
            <w:vAlign w:val="bottom"/>
            <w:hideMark/>
          </w:tcPr>
          <w:p w14:paraId="30A61732" w14:textId="77777777" w:rsidR="00AA11D5" w:rsidRPr="00A30F85" w:rsidRDefault="00AA11D5" w:rsidP="002815DB">
            <w:pPr>
              <w:jc w:val="right"/>
              <w:rPr>
                <w:rFonts w:ascii="Arial" w:hAnsi="Arial" w:cs="Arial"/>
                <w:b/>
                <w:bCs/>
                <w:sz w:val="20"/>
                <w:szCs w:val="20"/>
              </w:rPr>
            </w:pPr>
            <w:r w:rsidRPr="00A30F85">
              <w:rPr>
                <w:rFonts w:ascii="Arial" w:hAnsi="Arial" w:cs="Arial"/>
                <w:b/>
                <w:bCs/>
                <w:sz w:val="20"/>
                <w:szCs w:val="20"/>
              </w:rPr>
              <w:t>2.693.700,00</w:t>
            </w:r>
          </w:p>
        </w:tc>
        <w:tc>
          <w:tcPr>
            <w:tcW w:w="1276" w:type="dxa"/>
            <w:tcBorders>
              <w:top w:val="nil"/>
              <w:left w:val="nil"/>
              <w:bottom w:val="single" w:sz="4" w:space="0" w:color="auto"/>
              <w:right w:val="single" w:sz="4" w:space="0" w:color="auto"/>
            </w:tcBorders>
            <w:shd w:val="clear" w:color="000000" w:fill="FFFFFF"/>
            <w:noWrap/>
            <w:vAlign w:val="bottom"/>
            <w:hideMark/>
          </w:tcPr>
          <w:p w14:paraId="6ED4AEA8" w14:textId="77777777" w:rsidR="00AA11D5" w:rsidRPr="00A30F85" w:rsidRDefault="00AA11D5" w:rsidP="002815DB">
            <w:pPr>
              <w:jc w:val="right"/>
              <w:rPr>
                <w:rFonts w:ascii="Arial" w:hAnsi="Arial" w:cs="Arial"/>
                <w:b/>
                <w:bCs/>
                <w:sz w:val="20"/>
                <w:szCs w:val="20"/>
              </w:rPr>
            </w:pPr>
            <w:r w:rsidRPr="00A30F85">
              <w:rPr>
                <w:rFonts w:ascii="Arial" w:hAnsi="Arial" w:cs="Arial"/>
                <w:b/>
                <w:bCs/>
                <w:sz w:val="20"/>
                <w:szCs w:val="20"/>
              </w:rPr>
              <w:t>50.000,00</w:t>
            </w:r>
          </w:p>
        </w:tc>
        <w:tc>
          <w:tcPr>
            <w:tcW w:w="1559" w:type="dxa"/>
            <w:tcBorders>
              <w:top w:val="nil"/>
              <w:left w:val="nil"/>
              <w:bottom w:val="single" w:sz="4" w:space="0" w:color="auto"/>
              <w:right w:val="single" w:sz="4" w:space="0" w:color="auto"/>
            </w:tcBorders>
            <w:shd w:val="clear" w:color="000000" w:fill="FFFFFF"/>
            <w:noWrap/>
            <w:vAlign w:val="bottom"/>
            <w:hideMark/>
          </w:tcPr>
          <w:p w14:paraId="703D4689" w14:textId="77777777" w:rsidR="00AA11D5" w:rsidRPr="00A30F85" w:rsidRDefault="00AA11D5" w:rsidP="002815DB">
            <w:pPr>
              <w:jc w:val="right"/>
              <w:rPr>
                <w:rFonts w:ascii="Arial" w:hAnsi="Arial" w:cs="Arial"/>
                <w:b/>
                <w:bCs/>
                <w:sz w:val="20"/>
                <w:szCs w:val="20"/>
              </w:rPr>
            </w:pPr>
            <w:r w:rsidRPr="00A30F85">
              <w:rPr>
                <w:rFonts w:ascii="Arial" w:hAnsi="Arial" w:cs="Arial"/>
                <w:b/>
                <w:bCs/>
                <w:sz w:val="20"/>
                <w:szCs w:val="20"/>
              </w:rPr>
              <w:t>2.743.700,00</w:t>
            </w:r>
          </w:p>
        </w:tc>
      </w:tr>
      <w:tr w:rsidR="00AA11D5" w:rsidRPr="00A30F85" w14:paraId="49F29DD1" w14:textId="77777777" w:rsidTr="002815DB">
        <w:trPr>
          <w:trHeight w:val="255"/>
        </w:trPr>
        <w:tc>
          <w:tcPr>
            <w:tcW w:w="4280" w:type="dxa"/>
            <w:tcBorders>
              <w:top w:val="nil"/>
              <w:left w:val="single" w:sz="4" w:space="0" w:color="auto"/>
              <w:bottom w:val="single" w:sz="4" w:space="0" w:color="auto"/>
              <w:right w:val="single" w:sz="4" w:space="0" w:color="auto"/>
            </w:tcBorders>
            <w:shd w:val="clear" w:color="000000" w:fill="FFFFFF"/>
            <w:noWrap/>
            <w:vAlign w:val="bottom"/>
            <w:hideMark/>
          </w:tcPr>
          <w:p w14:paraId="02B656F0" w14:textId="77777777" w:rsidR="00AA11D5" w:rsidRPr="00A30F85" w:rsidRDefault="00AA11D5" w:rsidP="002815DB">
            <w:pPr>
              <w:rPr>
                <w:rFonts w:ascii="Arial" w:hAnsi="Arial" w:cs="Arial"/>
                <w:sz w:val="20"/>
                <w:szCs w:val="20"/>
              </w:rPr>
            </w:pPr>
            <w:r w:rsidRPr="00A30F85">
              <w:rPr>
                <w:rFonts w:ascii="Arial" w:hAnsi="Arial" w:cs="Arial"/>
                <w:sz w:val="20"/>
                <w:szCs w:val="20"/>
              </w:rPr>
              <w:t>Aktivnost A200001 Zajednički troškovi upravnih odjela</w:t>
            </w:r>
          </w:p>
        </w:tc>
        <w:tc>
          <w:tcPr>
            <w:tcW w:w="2094" w:type="dxa"/>
            <w:tcBorders>
              <w:top w:val="nil"/>
              <w:left w:val="nil"/>
              <w:bottom w:val="single" w:sz="4" w:space="0" w:color="auto"/>
              <w:right w:val="single" w:sz="4" w:space="0" w:color="auto"/>
            </w:tcBorders>
            <w:shd w:val="clear" w:color="000000" w:fill="FFFFFF"/>
            <w:noWrap/>
            <w:vAlign w:val="bottom"/>
            <w:hideMark/>
          </w:tcPr>
          <w:p w14:paraId="2831EE0F" w14:textId="77777777" w:rsidR="00AA11D5" w:rsidRPr="00A30F85" w:rsidRDefault="00AA11D5" w:rsidP="002815DB">
            <w:pPr>
              <w:jc w:val="right"/>
              <w:rPr>
                <w:rFonts w:ascii="Arial" w:hAnsi="Arial" w:cs="Arial"/>
                <w:sz w:val="20"/>
                <w:szCs w:val="20"/>
              </w:rPr>
            </w:pPr>
            <w:r w:rsidRPr="00A30F85">
              <w:rPr>
                <w:rFonts w:ascii="Arial" w:hAnsi="Arial" w:cs="Arial"/>
                <w:sz w:val="20"/>
                <w:szCs w:val="20"/>
              </w:rPr>
              <w:t>1.903.000,00</w:t>
            </w:r>
          </w:p>
        </w:tc>
        <w:tc>
          <w:tcPr>
            <w:tcW w:w="1276" w:type="dxa"/>
            <w:tcBorders>
              <w:top w:val="nil"/>
              <w:left w:val="nil"/>
              <w:bottom w:val="single" w:sz="4" w:space="0" w:color="auto"/>
              <w:right w:val="single" w:sz="4" w:space="0" w:color="auto"/>
            </w:tcBorders>
            <w:shd w:val="clear" w:color="000000" w:fill="FFFFFF"/>
            <w:noWrap/>
            <w:vAlign w:val="bottom"/>
            <w:hideMark/>
          </w:tcPr>
          <w:p w14:paraId="1E868A1F" w14:textId="77777777" w:rsidR="00AA11D5" w:rsidRPr="00A30F85" w:rsidRDefault="00AA11D5" w:rsidP="002815DB">
            <w:pPr>
              <w:jc w:val="right"/>
              <w:rPr>
                <w:rFonts w:ascii="Arial" w:hAnsi="Arial" w:cs="Arial"/>
                <w:sz w:val="20"/>
                <w:szCs w:val="20"/>
              </w:rPr>
            </w:pPr>
            <w:r w:rsidRPr="00A30F85">
              <w:rPr>
                <w:rFonts w:ascii="Arial" w:hAnsi="Arial" w:cs="Arial"/>
                <w:sz w:val="20"/>
                <w:szCs w:val="20"/>
              </w:rPr>
              <w:t>42.000,00</w:t>
            </w:r>
          </w:p>
        </w:tc>
        <w:tc>
          <w:tcPr>
            <w:tcW w:w="1559" w:type="dxa"/>
            <w:tcBorders>
              <w:top w:val="nil"/>
              <w:left w:val="nil"/>
              <w:bottom w:val="single" w:sz="4" w:space="0" w:color="auto"/>
              <w:right w:val="single" w:sz="4" w:space="0" w:color="auto"/>
            </w:tcBorders>
            <w:shd w:val="clear" w:color="000000" w:fill="FFFFFF"/>
            <w:noWrap/>
            <w:vAlign w:val="bottom"/>
            <w:hideMark/>
          </w:tcPr>
          <w:p w14:paraId="2A6D9B7C" w14:textId="77777777" w:rsidR="00AA11D5" w:rsidRPr="00A30F85" w:rsidRDefault="00AA11D5" w:rsidP="002815DB">
            <w:pPr>
              <w:jc w:val="right"/>
              <w:rPr>
                <w:rFonts w:ascii="Arial" w:hAnsi="Arial" w:cs="Arial"/>
                <w:sz w:val="20"/>
                <w:szCs w:val="20"/>
              </w:rPr>
            </w:pPr>
            <w:r w:rsidRPr="00A30F85">
              <w:rPr>
                <w:rFonts w:ascii="Arial" w:hAnsi="Arial" w:cs="Arial"/>
                <w:sz w:val="20"/>
                <w:szCs w:val="20"/>
              </w:rPr>
              <w:t>1.945.000,00</w:t>
            </w:r>
          </w:p>
        </w:tc>
      </w:tr>
      <w:tr w:rsidR="00AA11D5" w:rsidRPr="00A30F85" w14:paraId="2D210218" w14:textId="77777777" w:rsidTr="002815DB">
        <w:trPr>
          <w:trHeight w:val="255"/>
        </w:trPr>
        <w:tc>
          <w:tcPr>
            <w:tcW w:w="4280" w:type="dxa"/>
            <w:tcBorders>
              <w:top w:val="nil"/>
              <w:left w:val="single" w:sz="4" w:space="0" w:color="auto"/>
              <w:bottom w:val="single" w:sz="4" w:space="0" w:color="auto"/>
              <w:right w:val="single" w:sz="4" w:space="0" w:color="auto"/>
            </w:tcBorders>
            <w:shd w:val="clear" w:color="000000" w:fill="FFFFFF"/>
            <w:noWrap/>
            <w:vAlign w:val="bottom"/>
            <w:hideMark/>
          </w:tcPr>
          <w:p w14:paraId="7B9D367C" w14:textId="77777777" w:rsidR="00AA11D5" w:rsidRPr="00A30F85" w:rsidRDefault="00AA11D5" w:rsidP="002815DB">
            <w:pPr>
              <w:rPr>
                <w:rFonts w:ascii="Arial" w:hAnsi="Arial" w:cs="Arial"/>
                <w:sz w:val="20"/>
                <w:szCs w:val="20"/>
              </w:rPr>
            </w:pPr>
            <w:r w:rsidRPr="00A30F85">
              <w:rPr>
                <w:rFonts w:ascii="Arial" w:hAnsi="Arial" w:cs="Arial"/>
                <w:sz w:val="20"/>
                <w:szCs w:val="20"/>
              </w:rPr>
              <w:t>Aktivnost A200002 Proračunska pričuva</w:t>
            </w:r>
          </w:p>
        </w:tc>
        <w:tc>
          <w:tcPr>
            <w:tcW w:w="2094" w:type="dxa"/>
            <w:tcBorders>
              <w:top w:val="nil"/>
              <w:left w:val="nil"/>
              <w:bottom w:val="single" w:sz="4" w:space="0" w:color="auto"/>
              <w:right w:val="single" w:sz="4" w:space="0" w:color="auto"/>
            </w:tcBorders>
            <w:shd w:val="clear" w:color="000000" w:fill="FFFFFF"/>
            <w:noWrap/>
            <w:vAlign w:val="bottom"/>
            <w:hideMark/>
          </w:tcPr>
          <w:p w14:paraId="594031E6" w14:textId="77777777" w:rsidR="00AA11D5" w:rsidRPr="00A30F85" w:rsidRDefault="00AA11D5" w:rsidP="002815DB">
            <w:pPr>
              <w:jc w:val="right"/>
              <w:rPr>
                <w:rFonts w:ascii="Arial" w:hAnsi="Arial" w:cs="Arial"/>
                <w:sz w:val="20"/>
                <w:szCs w:val="20"/>
              </w:rPr>
            </w:pPr>
            <w:r w:rsidRPr="00A30F85">
              <w:rPr>
                <w:rFonts w:ascii="Arial" w:hAnsi="Arial" w:cs="Arial"/>
                <w:sz w:val="20"/>
                <w:szCs w:val="20"/>
              </w:rPr>
              <w:t>35.000,00</w:t>
            </w:r>
          </w:p>
        </w:tc>
        <w:tc>
          <w:tcPr>
            <w:tcW w:w="1276" w:type="dxa"/>
            <w:tcBorders>
              <w:top w:val="nil"/>
              <w:left w:val="nil"/>
              <w:bottom w:val="single" w:sz="4" w:space="0" w:color="auto"/>
              <w:right w:val="single" w:sz="4" w:space="0" w:color="auto"/>
            </w:tcBorders>
            <w:shd w:val="clear" w:color="000000" w:fill="FFFFFF"/>
            <w:noWrap/>
            <w:vAlign w:val="bottom"/>
            <w:hideMark/>
          </w:tcPr>
          <w:p w14:paraId="0EC73254" w14:textId="77777777" w:rsidR="00AA11D5" w:rsidRPr="00A30F85" w:rsidRDefault="00AA11D5" w:rsidP="002815DB">
            <w:pPr>
              <w:jc w:val="right"/>
              <w:rPr>
                <w:rFonts w:ascii="Arial" w:hAnsi="Arial" w:cs="Arial"/>
                <w:sz w:val="20"/>
                <w:szCs w:val="20"/>
              </w:rPr>
            </w:pPr>
            <w:r w:rsidRPr="00A30F85">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0AE277F7" w14:textId="77777777" w:rsidR="00AA11D5" w:rsidRPr="00A30F85" w:rsidRDefault="00AA11D5" w:rsidP="002815DB">
            <w:pPr>
              <w:jc w:val="right"/>
              <w:rPr>
                <w:rFonts w:ascii="Arial" w:hAnsi="Arial" w:cs="Arial"/>
                <w:sz w:val="20"/>
                <w:szCs w:val="20"/>
              </w:rPr>
            </w:pPr>
            <w:r w:rsidRPr="00A30F85">
              <w:rPr>
                <w:rFonts w:ascii="Arial" w:hAnsi="Arial" w:cs="Arial"/>
                <w:sz w:val="20"/>
                <w:szCs w:val="20"/>
              </w:rPr>
              <w:t>35.000,00</w:t>
            </w:r>
          </w:p>
        </w:tc>
      </w:tr>
      <w:tr w:rsidR="00AA11D5" w:rsidRPr="00A30F85" w14:paraId="6070843C" w14:textId="77777777" w:rsidTr="002815DB">
        <w:trPr>
          <w:trHeight w:val="255"/>
        </w:trPr>
        <w:tc>
          <w:tcPr>
            <w:tcW w:w="4280" w:type="dxa"/>
            <w:tcBorders>
              <w:top w:val="nil"/>
              <w:left w:val="single" w:sz="4" w:space="0" w:color="auto"/>
              <w:bottom w:val="single" w:sz="4" w:space="0" w:color="auto"/>
              <w:right w:val="single" w:sz="4" w:space="0" w:color="auto"/>
            </w:tcBorders>
            <w:shd w:val="clear" w:color="000000" w:fill="FFFFFF"/>
            <w:noWrap/>
            <w:vAlign w:val="bottom"/>
            <w:hideMark/>
          </w:tcPr>
          <w:p w14:paraId="665A1182" w14:textId="77777777" w:rsidR="00AA11D5" w:rsidRPr="00A30F85" w:rsidRDefault="00AA11D5" w:rsidP="002815DB">
            <w:pPr>
              <w:rPr>
                <w:rFonts w:ascii="Arial" w:hAnsi="Arial" w:cs="Arial"/>
                <w:sz w:val="20"/>
                <w:szCs w:val="20"/>
              </w:rPr>
            </w:pPr>
            <w:r w:rsidRPr="00A30F85">
              <w:rPr>
                <w:rFonts w:ascii="Arial" w:hAnsi="Arial" w:cs="Arial"/>
                <w:sz w:val="20"/>
                <w:szCs w:val="20"/>
              </w:rPr>
              <w:t>Aktivnost A200003 Otplata zajmova</w:t>
            </w:r>
          </w:p>
        </w:tc>
        <w:tc>
          <w:tcPr>
            <w:tcW w:w="2094" w:type="dxa"/>
            <w:tcBorders>
              <w:top w:val="nil"/>
              <w:left w:val="nil"/>
              <w:bottom w:val="single" w:sz="4" w:space="0" w:color="auto"/>
              <w:right w:val="single" w:sz="4" w:space="0" w:color="auto"/>
            </w:tcBorders>
            <w:shd w:val="clear" w:color="000000" w:fill="FFFFFF"/>
            <w:noWrap/>
            <w:vAlign w:val="bottom"/>
            <w:hideMark/>
          </w:tcPr>
          <w:p w14:paraId="285E8A4F" w14:textId="77777777" w:rsidR="00AA11D5" w:rsidRPr="00A30F85" w:rsidRDefault="00AA11D5" w:rsidP="002815DB">
            <w:pPr>
              <w:jc w:val="right"/>
              <w:rPr>
                <w:rFonts w:ascii="Arial" w:hAnsi="Arial" w:cs="Arial"/>
                <w:sz w:val="20"/>
                <w:szCs w:val="20"/>
              </w:rPr>
            </w:pPr>
            <w:r w:rsidRPr="00A30F85">
              <w:rPr>
                <w:rFonts w:ascii="Arial" w:hAnsi="Arial" w:cs="Arial"/>
                <w:sz w:val="20"/>
                <w:szCs w:val="20"/>
              </w:rPr>
              <w:t>715.700,00</w:t>
            </w:r>
          </w:p>
        </w:tc>
        <w:tc>
          <w:tcPr>
            <w:tcW w:w="1276" w:type="dxa"/>
            <w:tcBorders>
              <w:top w:val="nil"/>
              <w:left w:val="nil"/>
              <w:bottom w:val="single" w:sz="4" w:space="0" w:color="auto"/>
              <w:right w:val="single" w:sz="4" w:space="0" w:color="auto"/>
            </w:tcBorders>
            <w:shd w:val="clear" w:color="000000" w:fill="FFFFFF"/>
            <w:noWrap/>
            <w:vAlign w:val="bottom"/>
            <w:hideMark/>
          </w:tcPr>
          <w:p w14:paraId="4DECC99F" w14:textId="77777777" w:rsidR="00AA11D5" w:rsidRPr="00A30F85" w:rsidRDefault="00AA11D5" w:rsidP="002815DB">
            <w:pPr>
              <w:jc w:val="right"/>
              <w:rPr>
                <w:rFonts w:ascii="Arial" w:hAnsi="Arial" w:cs="Arial"/>
                <w:sz w:val="20"/>
                <w:szCs w:val="20"/>
              </w:rPr>
            </w:pPr>
            <w:r w:rsidRPr="00A30F85">
              <w:rPr>
                <w:rFonts w:ascii="Arial" w:hAnsi="Arial" w:cs="Arial"/>
                <w:sz w:val="20"/>
                <w:szCs w:val="20"/>
              </w:rPr>
              <w:t>8.000,00</w:t>
            </w:r>
          </w:p>
        </w:tc>
        <w:tc>
          <w:tcPr>
            <w:tcW w:w="1559" w:type="dxa"/>
            <w:tcBorders>
              <w:top w:val="nil"/>
              <w:left w:val="nil"/>
              <w:bottom w:val="single" w:sz="4" w:space="0" w:color="auto"/>
              <w:right w:val="single" w:sz="4" w:space="0" w:color="auto"/>
            </w:tcBorders>
            <w:shd w:val="clear" w:color="000000" w:fill="FFFFFF"/>
            <w:noWrap/>
            <w:vAlign w:val="bottom"/>
            <w:hideMark/>
          </w:tcPr>
          <w:p w14:paraId="0FFFB933" w14:textId="77777777" w:rsidR="00AA11D5" w:rsidRPr="00A30F85" w:rsidRDefault="00AA11D5" w:rsidP="002815DB">
            <w:pPr>
              <w:jc w:val="right"/>
              <w:rPr>
                <w:rFonts w:ascii="Arial" w:hAnsi="Arial" w:cs="Arial"/>
                <w:sz w:val="20"/>
                <w:szCs w:val="20"/>
              </w:rPr>
            </w:pPr>
            <w:r w:rsidRPr="00A30F85">
              <w:rPr>
                <w:rFonts w:ascii="Arial" w:hAnsi="Arial" w:cs="Arial"/>
                <w:sz w:val="20"/>
                <w:szCs w:val="20"/>
              </w:rPr>
              <w:t>723.700,00</w:t>
            </w:r>
          </w:p>
        </w:tc>
      </w:tr>
      <w:tr w:rsidR="00AA11D5" w:rsidRPr="00A30F85" w14:paraId="4E0F86BF" w14:textId="77777777" w:rsidTr="002815DB">
        <w:trPr>
          <w:trHeight w:val="255"/>
        </w:trPr>
        <w:tc>
          <w:tcPr>
            <w:tcW w:w="4280" w:type="dxa"/>
            <w:tcBorders>
              <w:top w:val="nil"/>
              <w:left w:val="single" w:sz="4" w:space="0" w:color="auto"/>
              <w:bottom w:val="single" w:sz="4" w:space="0" w:color="auto"/>
              <w:right w:val="single" w:sz="4" w:space="0" w:color="auto"/>
            </w:tcBorders>
            <w:shd w:val="clear" w:color="000000" w:fill="FFFFFF"/>
            <w:noWrap/>
            <w:vAlign w:val="bottom"/>
            <w:hideMark/>
          </w:tcPr>
          <w:p w14:paraId="578DE02A" w14:textId="77777777" w:rsidR="00AA11D5" w:rsidRPr="00A30F85" w:rsidRDefault="00AA11D5" w:rsidP="002815DB">
            <w:pPr>
              <w:rPr>
                <w:rFonts w:ascii="Arial" w:hAnsi="Arial" w:cs="Arial"/>
                <w:sz w:val="20"/>
                <w:szCs w:val="20"/>
              </w:rPr>
            </w:pPr>
            <w:r w:rsidRPr="00A30F85">
              <w:rPr>
                <w:rFonts w:ascii="Arial" w:hAnsi="Arial" w:cs="Arial"/>
                <w:sz w:val="20"/>
                <w:szCs w:val="20"/>
              </w:rPr>
              <w:t>Aktivnost A200004 Županijski centar gospodarenja otpadom "</w:t>
            </w:r>
            <w:proofErr w:type="spellStart"/>
            <w:r w:rsidRPr="00A30F85">
              <w:rPr>
                <w:rFonts w:ascii="Arial" w:hAnsi="Arial" w:cs="Arial"/>
                <w:sz w:val="20"/>
                <w:szCs w:val="20"/>
              </w:rPr>
              <w:t>Kaštijun</w:t>
            </w:r>
            <w:proofErr w:type="spellEnd"/>
            <w:r w:rsidRPr="00A30F85">
              <w:rPr>
                <w:rFonts w:ascii="Arial" w:hAnsi="Arial" w:cs="Arial"/>
                <w:sz w:val="20"/>
                <w:szCs w:val="20"/>
              </w:rPr>
              <w:t>"</w:t>
            </w:r>
          </w:p>
        </w:tc>
        <w:tc>
          <w:tcPr>
            <w:tcW w:w="2094" w:type="dxa"/>
            <w:tcBorders>
              <w:top w:val="nil"/>
              <w:left w:val="nil"/>
              <w:bottom w:val="single" w:sz="4" w:space="0" w:color="auto"/>
              <w:right w:val="single" w:sz="4" w:space="0" w:color="auto"/>
            </w:tcBorders>
            <w:shd w:val="clear" w:color="000000" w:fill="FFFFFF"/>
            <w:noWrap/>
            <w:vAlign w:val="bottom"/>
            <w:hideMark/>
          </w:tcPr>
          <w:p w14:paraId="78DD9A73" w14:textId="77777777" w:rsidR="00AA11D5" w:rsidRPr="00A30F85" w:rsidRDefault="00AA11D5" w:rsidP="002815DB">
            <w:pPr>
              <w:jc w:val="right"/>
              <w:rPr>
                <w:rFonts w:ascii="Arial" w:hAnsi="Arial" w:cs="Arial"/>
                <w:sz w:val="20"/>
                <w:szCs w:val="20"/>
              </w:rPr>
            </w:pPr>
            <w:r w:rsidRPr="00A30F85">
              <w:rPr>
                <w:rFonts w:ascii="Arial" w:hAnsi="Arial" w:cs="Arial"/>
                <w:sz w:val="20"/>
                <w:szCs w:val="20"/>
              </w:rPr>
              <w:t>29.700,00</w:t>
            </w:r>
          </w:p>
        </w:tc>
        <w:tc>
          <w:tcPr>
            <w:tcW w:w="1276" w:type="dxa"/>
            <w:tcBorders>
              <w:top w:val="nil"/>
              <w:left w:val="nil"/>
              <w:bottom w:val="single" w:sz="4" w:space="0" w:color="auto"/>
              <w:right w:val="single" w:sz="4" w:space="0" w:color="auto"/>
            </w:tcBorders>
            <w:shd w:val="clear" w:color="000000" w:fill="FFFFFF"/>
            <w:noWrap/>
            <w:vAlign w:val="bottom"/>
            <w:hideMark/>
          </w:tcPr>
          <w:p w14:paraId="687B1CE5" w14:textId="77777777" w:rsidR="00AA11D5" w:rsidRPr="00A30F85" w:rsidRDefault="00AA11D5" w:rsidP="002815DB">
            <w:pPr>
              <w:jc w:val="right"/>
              <w:rPr>
                <w:rFonts w:ascii="Arial" w:hAnsi="Arial" w:cs="Arial"/>
                <w:sz w:val="20"/>
                <w:szCs w:val="20"/>
              </w:rPr>
            </w:pPr>
            <w:r w:rsidRPr="00A30F85">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5610656A" w14:textId="77777777" w:rsidR="00AA11D5" w:rsidRPr="00A30F85" w:rsidRDefault="00AA11D5" w:rsidP="002815DB">
            <w:pPr>
              <w:jc w:val="right"/>
              <w:rPr>
                <w:rFonts w:ascii="Arial" w:hAnsi="Arial" w:cs="Arial"/>
                <w:sz w:val="20"/>
                <w:szCs w:val="20"/>
              </w:rPr>
            </w:pPr>
            <w:r w:rsidRPr="00A30F85">
              <w:rPr>
                <w:rFonts w:ascii="Arial" w:hAnsi="Arial" w:cs="Arial"/>
                <w:sz w:val="20"/>
                <w:szCs w:val="20"/>
              </w:rPr>
              <w:t>29.700,00</w:t>
            </w:r>
          </w:p>
        </w:tc>
      </w:tr>
      <w:tr w:rsidR="00AA11D5" w:rsidRPr="00A30F85" w14:paraId="40DA25AF" w14:textId="77777777" w:rsidTr="002815DB">
        <w:trPr>
          <w:trHeight w:val="255"/>
        </w:trPr>
        <w:tc>
          <w:tcPr>
            <w:tcW w:w="4280" w:type="dxa"/>
            <w:tcBorders>
              <w:top w:val="nil"/>
              <w:left w:val="single" w:sz="4" w:space="0" w:color="auto"/>
              <w:bottom w:val="single" w:sz="4" w:space="0" w:color="auto"/>
              <w:right w:val="single" w:sz="4" w:space="0" w:color="auto"/>
            </w:tcBorders>
            <w:shd w:val="clear" w:color="000000" w:fill="FFFFFF"/>
            <w:noWrap/>
            <w:vAlign w:val="bottom"/>
            <w:hideMark/>
          </w:tcPr>
          <w:p w14:paraId="44B1352A" w14:textId="77777777" w:rsidR="00AA11D5" w:rsidRPr="00A30F85" w:rsidRDefault="00AA11D5" w:rsidP="002815DB">
            <w:pPr>
              <w:rPr>
                <w:rFonts w:ascii="Arial" w:hAnsi="Arial" w:cs="Arial"/>
                <w:sz w:val="20"/>
                <w:szCs w:val="20"/>
              </w:rPr>
            </w:pPr>
            <w:r w:rsidRPr="00A30F85">
              <w:rPr>
                <w:rFonts w:ascii="Arial" w:hAnsi="Arial" w:cs="Arial"/>
                <w:sz w:val="20"/>
                <w:szCs w:val="20"/>
              </w:rPr>
              <w:t>Aktivnost A200005 Opća bolnica Pula</w:t>
            </w:r>
          </w:p>
        </w:tc>
        <w:tc>
          <w:tcPr>
            <w:tcW w:w="2094" w:type="dxa"/>
            <w:tcBorders>
              <w:top w:val="nil"/>
              <w:left w:val="nil"/>
              <w:bottom w:val="single" w:sz="4" w:space="0" w:color="auto"/>
              <w:right w:val="single" w:sz="4" w:space="0" w:color="auto"/>
            </w:tcBorders>
            <w:shd w:val="clear" w:color="000000" w:fill="FFFFFF"/>
            <w:noWrap/>
            <w:vAlign w:val="bottom"/>
            <w:hideMark/>
          </w:tcPr>
          <w:p w14:paraId="5D5155B0" w14:textId="77777777" w:rsidR="00AA11D5" w:rsidRPr="00A30F85" w:rsidRDefault="00AA11D5" w:rsidP="002815DB">
            <w:pPr>
              <w:jc w:val="right"/>
              <w:rPr>
                <w:rFonts w:ascii="Arial" w:hAnsi="Arial" w:cs="Arial"/>
                <w:sz w:val="20"/>
                <w:szCs w:val="20"/>
              </w:rPr>
            </w:pPr>
            <w:r w:rsidRPr="00A30F85">
              <w:rPr>
                <w:rFonts w:ascii="Arial" w:hAnsi="Arial" w:cs="Arial"/>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14:paraId="14511B14" w14:textId="77777777" w:rsidR="00AA11D5" w:rsidRPr="00A30F85" w:rsidRDefault="00AA11D5" w:rsidP="002815DB">
            <w:pPr>
              <w:jc w:val="right"/>
              <w:rPr>
                <w:rFonts w:ascii="Arial" w:hAnsi="Arial" w:cs="Arial"/>
                <w:sz w:val="20"/>
                <w:szCs w:val="20"/>
              </w:rPr>
            </w:pPr>
            <w:r w:rsidRPr="00A30F85">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06889574" w14:textId="77777777" w:rsidR="00AA11D5" w:rsidRPr="00A30F85" w:rsidRDefault="00AA11D5" w:rsidP="002815DB">
            <w:pPr>
              <w:jc w:val="right"/>
              <w:rPr>
                <w:rFonts w:ascii="Arial" w:hAnsi="Arial" w:cs="Arial"/>
                <w:sz w:val="20"/>
                <w:szCs w:val="20"/>
              </w:rPr>
            </w:pPr>
            <w:r w:rsidRPr="00A30F85">
              <w:rPr>
                <w:rFonts w:ascii="Arial" w:hAnsi="Arial" w:cs="Arial"/>
                <w:sz w:val="20"/>
                <w:szCs w:val="20"/>
              </w:rPr>
              <w:t>0,00</w:t>
            </w:r>
          </w:p>
        </w:tc>
      </w:tr>
      <w:tr w:rsidR="00AA11D5" w:rsidRPr="00A30F85" w14:paraId="7A997C6B" w14:textId="77777777" w:rsidTr="002815DB">
        <w:trPr>
          <w:trHeight w:val="255"/>
        </w:trPr>
        <w:tc>
          <w:tcPr>
            <w:tcW w:w="4280" w:type="dxa"/>
            <w:tcBorders>
              <w:top w:val="nil"/>
              <w:left w:val="single" w:sz="4" w:space="0" w:color="auto"/>
              <w:bottom w:val="single" w:sz="4" w:space="0" w:color="auto"/>
              <w:right w:val="single" w:sz="4" w:space="0" w:color="auto"/>
            </w:tcBorders>
            <w:shd w:val="clear" w:color="000000" w:fill="FFFFFF"/>
            <w:noWrap/>
            <w:vAlign w:val="bottom"/>
            <w:hideMark/>
          </w:tcPr>
          <w:p w14:paraId="0BE47A4D" w14:textId="77777777" w:rsidR="00AA11D5" w:rsidRPr="00A30F85" w:rsidRDefault="00AA11D5" w:rsidP="002815DB">
            <w:pPr>
              <w:rPr>
                <w:rFonts w:ascii="Arial" w:hAnsi="Arial" w:cs="Arial"/>
                <w:sz w:val="20"/>
                <w:szCs w:val="20"/>
              </w:rPr>
            </w:pPr>
            <w:r w:rsidRPr="00A30F85">
              <w:rPr>
                <w:rFonts w:ascii="Arial" w:hAnsi="Arial" w:cs="Arial"/>
                <w:sz w:val="20"/>
                <w:szCs w:val="20"/>
              </w:rPr>
              <w:t>Aktivnost A200006 Specijalna bolnica Rovinj</w:t>
            </w:r>
          </w:p>
        </w:tc>
        <w:tc>
          <w:tcPr>
            <w:tcW w:w="2094" w:type="dxa"/>
            <w:tcBorders>
              <w:top w:val="nil"/>
              <w:left w:val="nil"/>
              <w:bottom w:val="single" w:sz="4" w:space="0" w:color="auto"/>
              <w:right w:val="single" w:sz="4" w:space="0" w:color="auto"/>
            </w:tcBorders>
            <w:shd w:val="clear" w:color="000000" w:fill="FFFFFF"/>
            <w:noWrap/>
            <w:vAlign w:val="bottom"/>
            <w:hideMark/>
          </w:tcPr>
          <w:p w14:paraId="573499A3" w14:textId="77777777" w:rsidR="00AA11D5" w:rsidRPr="00A30F85" w:rsidRDefault="00AA11D5" w:rsidP="002815DB">
            <w:pPr>
              <w:jc w:val="right"/>
              <w:rPr>
                <w:rFonts w:ascii="Arial" w:hAnsi="Arial" w:cs="Arial"/>
                <w:sz w:val="20"/>
                <w:szCs w:val="20"/>
              </w:rPr>
            </w:pPr>
            <w:r w:rsidRPr="00A30F85">
              <w:rPr>
                <w:rFonts w:ascii="Arial" w:hAnsi="Arial" w:cs="Arial"/>
                <w:sz w:val="20"/>
                <w:szCs w:val="20"/>
              </w:rPr>
              <w:t>9.300,00</w:t>
            </w:r>
          </w:p>
        </w:tc>
        <w:tc>
          <w:tcPr>
            <w:tcW w:w="1276" w:type="dxa"/>
            <w:tcBorders>
              <w:top w:val="nil"/>
              <w:left w:val="nil"/>
              <w:bottom w:val="single" w:sz="4" w:space="0" w:color="auto"/>
              <w:right w:val="single" w:sz="4" w:space="0" w:color="auto"/>
            </w:tcBorders>
            <w:shd w:val="clear" w:color="000000" w:fill="FFFFFF"/>
            <w:noWrap/>
            <w:vAlign w:val="bottom"/>
            <w:hideMark/>
          </w:tcPr>
          <w:p w14:paraId="17F6EEDD" w14:textId="77777777" w:rsidR="00AA11D5" w:rsidRPr="00A30F85" w:rsidRDefault="00AA11D5" w:rsidP="002815DB">
            <w:pPr>
              <w:jc w:val="right"/>
              <w:rPr>
                <w:rFonts w:ascii="Arial" w:hAnsi="Arial" w:cs="Arial"/>
                <w:sz w:val="20"/>
                <w:szCs w:val="20"/>
              </w:rPr>
            </w:pPr>
            <w:r w:rsidRPr="00A30F85">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7736564B" w14:textId="77777777" w:rsidR="00AA11D5" w:rsidRPr="00A30F85" w:rsidRDefault="00AA11D5" w:rsidP="002815DB">
            <w:pPr>
              <w:jc w:val="right"/>
              <w:rPr>
                <w:rFonts w:ascii="Arial" w:hAnsi="Arial" w:cs="Arial"/>
                <w:sz w:val="20"/>
                <w:szCs w:val="20"/>
              </w:rPr>
            </w:pPr>
            <w:r w:rsidRPr="00A30F85">
              <w:rPr>
                <w:rFonts w:ascii="Arial" w:hAnsi="Arial" w:cs="Arial"/>
                <w:sz w:val="20"/>
                <w:szCs w:val="20"/>
              </w:rPr>
              <w:t>9.300,00</w:t>
            </w:r>
          </w:p>
        </w:tc>
      </w:tr>
      <w:tr w:rsidR="00AA11D5" w:rsidRPr="00A30F85" w14:paraId="4E09D27F" w14:textId="77777777" w:rsidTr="002815DB">
        <w:trPr>
          <w:trHeight w:val="255"/>
        </w:trPr>
        <w:tc>
          <w:tcPr>
            <w:tcW w:w="4280" w:type="dxa"/>
            <w:tcBorders>
              <w:top w:val="nil"/>
              <w:left w:val="single" w:sz="4" w:space="0" w:color="auto"/>
              <w:bottom w:val="single" w:sz="4" w:space="0" w:color="auto"/>
              <w:right w:val="single" w:sz="4" w:space="0" w:color="auto"/>
            </w:tcBorders>
            <w:shd w:val="clear" w:color="000000" w:fill="FFFFFF"/>
            <w:noWrap/>
            <w:vAlign w:val="bottom"/>
            <w:hideMark/>
          </w:tcPr>
          <w:p w14:paraId="6D471AC4" w14:textId="77777777" w:rsidR="00AA11D5" w:rsidRPr="00A30F85" w:rsidRDefault="00AA11D5" w:rsidP="002815DB">
            <w:pPr>
              <w:rPr>
                <w:rFonts w:ascii="Arial" w:hAnsi="Arial" w:cs="Arial"/>
                <w:sz w:val="20"/>
                <w:szCs w:val="20"/>
              </w:rPr>
            </w:pPr>
            <w:r w:rsidRPr="00A30F85">
              <w:rPr>
                <w:rFonts w:ascii="Arial" w:hAnsi="Arial" w:cs="Arial"/>
                <w:sz w:val="20"/>
                <w:szCs w:val="20"/>
              </w:rPr>
              <w:t>Aktivnost A200007 Dnevni centar za rehabilitaciju Veruda-Pula</w:t>
            </w:r>
          </w:p>
        </w:tc>
        <w:tc>
          <w:tcPr>
            <w:tcW w:w="2094" w:type="dxa"/>
            <w:tcBorders>
              <w:top w:val="nil"/>
              <w:left w:val="nil"/>
              <w:bottom w:val="single" w:sz="4" w:space="0" w:color="auto"/>
              <w:right w:val="single" w:sz="4" w:space="0" w:color="auto"/>
            </w:tcBorders>
            <w:shd w:val="clear" w:color="000000" w:fill="FFFFFF"/>
            <w:noWrap/>
            <w:vAlign w:val="bottom"/>
            <w:hideMark/>
          </w:tcPr>
          <w:p w14:paraId="5BDAC1D2" w14:textId="77777777" w:rsidR="00AA11D5" w:rsidRPr="00A30F85" w:rsidRDefault="00AA11D5" w:rsidP="002815DB">
            <w:pPr>
              <w:jc w:val="right"/>
              <w:rPr>
                <w:rFonts w:ascii="Arial" w:hAnsi="Arial" w:cs="Arial"/>
                <w:sz w:val="20"/>
                <w:szCs w:val="20"/>
              </w:rPr>
            </w:pPr>
            <w:r w:rsidRPr="00A30F85">
              <w:rPr>
                <w:rFonts w:ascii="Arial" w:hAnsi="Arial" w:cs="Arial"/>
                <w:sz w:val="20"/>
                <w:szCs w:val="20"/>
              </w:rPr>
              <w:t>1.000,00</w:t>
            </w:r>
          </w:p>
        </w:tc>
        <w:tc>
          <w:tcPr>
            <w:tcW w:w="1276" w:type="dxa"/>
            <w:tcBorders>
              <w:top w:val="nil"/>
              <w:left w:val="nil"/>
              <w:bottom w:val="single" w:sz="4" w:space="0" w:color="auto"/>
              <w:right w:val="single" w:sz="4" w:space="0" w:color="auto"/>
            </w:tcBorders>
            <w:shd w:val="clear" w:color="000000" w:fill="FFFFFF"/>
            <w:noWrap/>
            <w:vAlign w:val="bottom"/>
            <w:hideMark/>
          </w:tcPr>
          <w:p w14:paraId="724A6F6D" w14:textId="77777777" w:rsidR="00AA11D5" w:rsidRPr="00A30F85" w:rsidRDefault="00AA11D5" w:rsidP="002815DB">
            <w:pPr>
              <w:jc w:val="right"/>
              <w:rPr>
                <w:rFonts w:ascii="Arial" w:hAnsi="Arial" w:cs="Arial"/>
                <w:sz w:val="20"/>
                <w:szCs w:val="20"/>
              </w:rPr>
            </w:pPr>
            <w:r w:rsidRPr="00A30F85">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2CA19625" w14:textId="77777777" w:rsidR="00AA11D5" w:rsidRPr="00A30F85" w:rsidRDefault="00AA11D5" w:rsidP="002815DB">
            <w:pPr>
              <w:jc w:val="right"/>
              <w:rPr>
                <w:rFonts w:ascii="Arial" w:hAnsi="Arial" w:cs="Arial"/>
                <w:sz w:val="20"/>
                <w:szCs w:val="20"/>
              </w:rPr>
            </w:pPr>
            <w:r w:rsidRPr="00A30F85">
              <w:rPr>
                <w:rFonts w:ascii="Arial" w:hAnsi="Arial" w:cs="Arial"/>
                <w:sz w:val="20"/>
                <w:szCs w:val="20"/>
              </w:rPr>
              <w:t>1.000,00</w:t>
            </w:r>
          </w:p>
        </w:tc>
      </w:tr>
    </w:tbl>
    <w:p w14:paraId="69DD2FCB" w14:textId="77777777" w:rsidR="00AA11D5" w:rsidRDefault="00AA11D5" w:rsidP="00AA11D5">
      <w:pPr>
        <w:spacing w:line="276" w:lineRule="auto"/>
        <w:ind w:firstLine="708"/>
        <w:jc w:val="both"/>
        <w:rPr>
          <w:rFonts w:ascii="Arial" w:hAnsi="Arial" w:cs="Arial"/>
          <w:b/>
          <w:bCs/>
          <w:color w:val="000000"/>
          <w:sz w:val="22"/>
          <w:lang w:val="en-GB"/>
        </w:rPr>
      </w:pPr>
    </w:p>
    <w:p w14:paraId="657F80E5" w14:textId="77777777" w:rsidR="00AA11D5" w:rsidRDefault="00AA11D5" w:rsidP="00AA11D5">
      <w:pPr>
        <w:ind w:firstLine="708"/>
        <w:jc w:val="both"/>
        <w:rPr>
          <w:rFonts w:ascii="Arial" w:hAnsi="Arial" w:cs="Arial"/>
          <w:b/>
          <w:bCs/>
          <w:color w:val="000000"/>
          <w:sz w:val="22"/>
          <w:lang w:val="en-GB"/>
        </w:rPr>
      </w:pPr>
    </w:p>
    <w:p w14:paraId="6780BE96" w14:textId="77777777" w:rsidR="00AA11D5" w:rsidRPr="00BF25AE" w:rsidRDefault="00AA11D5" w:rsidP="00AA11D5">
      <w:pPr>
        <w:rPr>
          <w:rFonts w:ascii="Arial" w:hAnsi="Arial" w:cs="Arial"/>
          <w:b/>
          <w:color w:val="000000"/>
          <w:sz w:val="22"/>
          <w:lang w:val="en-GB"/>
        </w:rPr>
      </w:pPr>
      <w:r w:rsidRPr="00BF25AE">
        <w:rPr>
          <w:rFonts w:ascii="Arial" w:hAnsi="Arial" w:cs="Arial"/>
          <w:b/>
          <w:color w:val="000000"/>
          <w:sz w:val="22"/>
          <w:lang w:val="en-GB"/>
        </w:rPr>
        <w:t>PROGRAM: JAVNA UPRAVA I ADMINISTRACIJA</w:t>
      </w:r>
    </w:p>
    <w:p w14:paraId="511C61D3" w14:textId="77777777" w:rsidR="00AA11D5" w:rsidRPr="00BF25AE" w:rsidRDefault="00AA11D5" w:rsidP="00AA11D5">
      <w:pPr>
        <w:jc w:val="both"/>
        <w:rPr>
          <w:rFonts w:ascii="Arial" w:hAnsi="Arial" w:cs="Arial"/>
          <w:b/>
          <w:color w:val="000000"/>
          <w:sz w:val="22"/>
          <w:lang w:val="en-GB"/>
        </w:rPr>
      </w:pPr>
    </w:p>
    <w:p w14:paraId="48E1B39E" w14:textId="77777777" w:rsidR="00AA11D5" w:rsidRPr="00BF25AE" w:rsidRDefault="00AA11D5" w:rsidP="00AA11D5">
      <w:pPr>
        <w:jc w:val="both"/>
        <w:rPr>
          <w:rFonts w:ascii="Arial" w:hAnsi="Arial" w:cs="Arial"/>
          <w:color w:val="000000"/>
          <w:sz w:val="22"/>
          <w:lang w:val="en-GB"/>
        </w:rPr>
      </w:pPr>
      <w:proofErr w:type="spellStart"/>
      <w:r w:rsidRPr="00BF25AE">
        <w:rPr>
          <w:rFonts w:ascii="Arial" w:hAnsi="Arial" w:cs="Arial"/>
          <w:color w:val="000000"/>
          <w:sz w:val="22"/>
          <w:u w:val="single"/>
          <w:lang w:val="en-GB"/>
        </w:rPr>
        <w:t>Zakonska</w:t>
      </w:r>
      <w:proofErr w:type="spellEnd"/>
      <w:r w:rsidRPr="00BF25AE">
        <w:rPr>
          <w:rFonts w:ascii="Arial" w:hAnsi="Arial" w:cs="Arial"/>
          <w:color w:val="000000"/>
          <w:sz w:val="22"/>
          <w:u w:val="single"/>
          <w:lang w:val="en-GB"/>
        </w:rPr>
        <w:t xml:space="preserve"> </w:t>
      </w:r>
      <w:proofErr w:type="spellStart"/>
      <w:r w:rsidRPr="00BF25AE">
        <w:rPr>
          <w:rFonts w:ascii="Arial" w:hAnsi="Arial" w:cs="Arial"/>
          <w:color w:val="000000"/>
          <w:sz w:val="22"/>
          <w:u w:val="single"/>
          <w:lang w:val="en-GB"/>
        </w:rPr>
        <w:t>osnova</w:t>
      </w:r>
      <w:proofErr w:type="spellEnd"/>
      <w:r w:rsidRPr="00BF25AE">
        <w:rPr>
          <w:rFonts w:ascii="Arial" w:hAnsi="Arial" w:cs="Arial"/>
          <w:color w:val="000000"/>
          <w:sz w:val="22"/>
          <w:u w:val="single"/>
          <w:lang w:val="en-GB"/>
        </w:rPr>
        <w:t>:</w:t>
      </w:r>
      <w:r w:rsidRPr="007A1438">
        <w:rPr>
          <w:rFonts w:ascii="Arial" w:hAnsi="Arial" w:cs="Arial"/>
          <w:color w:val="000000"/>
          <w:sz w:val="22"/>
          <w:lang w:val="en-GB"/>
        </w:rPr>
        <w:t xml:space="preserve"> </w:t>
      </w:r>
      <w:r w:rsidRPr="00BF25AE">
        <w:rPr>
          <w:rFonts w:ascii="Arial" w:hAnsi="Arial" w:cs="Arial"/>
          <w:sz w:val="22"/>
          <w:lang w:val="en-GB"/>
        </w:rPr>
        <w:t xml:space="preserve">Zakon o </w:t>
      </w:r>
      <w:proofErr w:type="spellStart"/>
      <w:r w:rsidRPr="00BF25AE">
        <w:rPr>
          <w:rFonts w:ascii="Arial" w:hAnsi="Arial" w:cs="Arial"/>
          <w:sz w:val="22"/>
          <w:lang w:val="en-GB"/>
        </w:rPr>
        <w:t>proračunu</w:t>
      </w:r>
      <w:proofErr w:type="spellEnd"/>
      <w:r w:rsidRPr="00BF25AE">
        <w:rPr>
          <w:rFonts w:ascii="Arial" w:hAnsi="Arial" w:cs="Arial"/>
          <w:sz w:val="22"/>
          <w:lang w:val="en-GB"/>
        </w:rPr>
        <w:t xml:space="preserve">, </w:t>
      </w:r>
      <w:proofErr w:type="spellStart"/>
      <w:r w:rsidRPr="00BF25AE">
        <w:rPr>
          <w:rFonts w:ascii="Arial" w:hAnsi="Arial" w:cs="Arial"/>
          <w:sz w:val="22"/>
          <w:lang w:val="en-GB"/>
        </w:rPr>
        <w:t>Opći</w:t>
      </w:r>
      <w:proofErr w:type="spellEnd"/>
      <w:r w:rsidRPr="00BF25AE">
        <w:rPr>
          <w:rFonts w:ascii="Arial" w:hAnsi="Arial" w:cs="Arial"/>
          <w:sz w:val="22"/>
          <w:lang w:val="en-GB"/>
        </w:rPr>
        <w:t xml:space="preserve"> </w:t>
      </w:r>
      <w:proofErr w:type="spellStart"/>
      <w:r w:rsidRPr="00BF25AE">
        <w:rPr>
          <w:rFonts w:ascii="Arial" w:hAnsi="Arial" w:cs="Arial"/>
          <w:sz w:val="22"/>
          <w:lang w:val="en-GB"/>
        </w:rPr>
        <w:t>porezni</w:t>
      </w:r>
      <w:proofErr w:type="spellEnd"/>
      <w:r w:rsidRPr="00BF25AE">
        <w:rPr>
          <w:rFonts w:ascii="Arial" w:hAnsi="Arial" w:cs="Arial"/>
          <w:sz w:val="22"/>
          <w:lang w:val="en-GB"/>
        </w:rPr>
        <w:t xml:space="preserve"> </w:t>
      </w:r>
      <w:proofErr w:type="spellStart"/>
      <w:r w:rsidRPr="00BF25AE">
        <w:rPr>
          <w:rFonts w:ascii="Arial" w:hAnsi="Arial" w:cs="Arial"/>
          <w:sz w:val="22"/>
          <w:lang w:val="en-GB"/>
        </w:rPr>
        <w:t>zakon</w:t>
      </w:r>
      <w:proofErr w:type="spellEnd"/>
      <w:r w:rsidRPr="00BF25AE">
        <w:rPr>
          <w:rFonts w:ascii="Arial" w:hAnsi="Arial" w:cs="Arial"/>
          <w:sz w:val="22"/>
          <w:lang w:val="en-GB"/>
        </w:rPr>
        <w:t xml:space="preserve">, Zakon o </w:t>
      </w:r>
      <w:proofErr w:type="spellStart"/>
      <w:r w:rsidRPr="00BF25AE">
        <w:rPr>
          <w:rFonts w:ascii="Arial" w:hAnsi="Arial" w:cs="Arial"/>
          <w:sz w:val="22"/>
          <w:lang w:val="en-GB"/>
        </w:rPr>
        <w:t>lokalnoj</w:t>
      </w:r>
      <w:proofErr w:type="spellEnd"/>
      <w:r w:rsidRPr="00BF25AE">
        <w:rPr>
          <w:rFonts w:ascii="Arial" w:hAnsi="Arial" w:cs="Arial"/>
          <w:sz w:val="22"/>
          <w:lang w:val="en-GB"/>
        </w:rPr>
        <w:t xml:space="preserve"> </w:t>
      </w:r>
      <w:proofErr w:type="spellStart"/>
      <w:r w:rsidRPr="00BF25AE">
        <w:rPr>
          <w:rFonts w:ascii="Arial" w:hAnsi="Arial" w:cs="Arial"/>
          <w:sz w:val="22"/>
          <w:lang w:val="en-GB"/>
        </w:rPr>
        <w:t>i</w:t>
      </w:r>
      <w:proofErr w:type="spellEnd"/>
      <w:r w:rsidRPr="00BF25AE">
        <w:rPr>
          <w:rFonts w:ascii="Arial" w:hAnsi="Arial" w:cs="Arial"/>
          <w:sz w:val="22"/>
          <w:lang w:val="en-GB"/>
        </w:rPr>
        <w:t xml:space="preserve"> </w:t>
      </w:r>
      <w:proofErr w:type="spellStart"/>
      <w:r w:rsidRPr="00BF25AE">
        <w:rPr>
          <w:rFonts w:ascii="Arial" w:hAnsi="Arial" w:cs="Arial"/>
          <w:sz w:val="22"/>
          <w:lang w:val="en-GB"/>
        </w:rPr>
        <w:t>područnoj</w:t>
      </w:r>
      <w:proofErr w:type="spellEnd"/>
      <w:r w:rsidRPr="00BF25AE">
        <w:rPr>
          <w:rFonts w:ascii="Arial" w:hAnsi="Arial" w:cs="Arial"/>
          <w:sz w:val="22"/>
          <w:lang w:val="en-GB"/>
        </w:rPr>
        <w:t xml:space="preserve"> </w:t>
      </w:r>
      <w:proofErr w:type="spellStart"/>
      <w:r w:rsidRPr="00BF25AE">
        <w:rPr>
          <w:rFonts w:ascii="Arial" w:hAnsi="Arial" w:cs="Arial"/>
          <w:sz w:val="22"/>
          <w:lang w:val="en-GB"/>
        </w:rPr>
        <w:t>regionalnoj</w:t>
      </w:r>
      <w:proofErr w:type="spellEnd"/>
      <w:r w:rsidRPr="00BF25AE">
        <w:rPr>
          <w:rFonts w:ascii="Arial" w:hAnsi="Arial" w:cs="Arial"/>
          <w:sz w:val="22"/>
          <w:lang w:val="en-GB"/>
        </w:rPr>
        <w:t xml:space="preserve">) </w:t>
      </w:r>
      <w:proofErr w:type="spellStart"/>
      <w:r w:rsidRPr="00BF25AE">
        <w:rPr>
          <w:rFonts w:ascii="Arial" w:hAnsi="Arial" w:cs="Arial"/>
          <w:sz w:val="22"/>
          <w:lang w:val="en-GB"/>
        </w:rPr>
        <w:t>samoupravi</w:t>
      </w:r>
      <w:proofErr w:type="spellEnd"/>
      <w:r w:rsidRPr="00BF25AE">
        <w:rPr>
          <w:rFonts w:ascii="Arial" w:hAnsi="Arial" w:cs="Arial"/>
          <w:sz w:val="22"/>
          <w:lang w:val="en-GB"/>
        </w:rPr>
        <w:t xml:space="preserve">, Zakon o </w:t>
      </w:r>
      <w:proofErr w:type="spellStart"/>
      <w:r w:rsidRPr="00BF25AE">
        <w:rPr>
          <w:rFonts w:ascii="Arial" w:hAnsi="Arial" w:cs="Arial"/>
          <w:sz w:val="22"/>
          <w:lang w:val="en-GB"/>
        </w:rPr>
        <w:t>financiranju</w:t>
      </w:r>
      <w:proofErr w:type="spellEnd"/>
      <w:r w:rsidRPr="00BF25AE">
        <w:rPr>
          <w:rFonts w:ascii="Arial" w:hAnsi="Arial" w:cs="Arial"/>
          <w:sz w:val="22"/>
          <w:lang w:val="en-GB"/>
        </w:rPr>
        <w:t xml:space="preserve"> </w:t>
      </w:r>
      <w:proofErr w:type="spellStart"/>
      <w:r w:rsidRPr="00BF25AE">
        <w:rPr>
          <w:rFonts w:ascii="Arial" w:hAnsi="Arial" w:cs="Arial"/>
          <w:sz w:val="22"/>
          <w:lang w:val="en-GB"/>
        </w:rPr>
        <w:t>jedinica</w:t>
      </w:r>
      <w:proofErr w:type="spellEnd"/>
      <w:r w:rsidRPr="00BF25AE">
        <w:rPr>
          <w:rFonts w:ascii="Arial" w:hAnsi="Arial" w:cs="Arial"/>
          <w:sz w:val="22"/>
          <w:lang w:val="en-GB"/>
        </w:rPr>
        <w:t xml:space="preserve"> </w:t>
      </w:r>
      <w:proofErr w:type="spellStart"/>
      <w:r w:rsidRPr="00BF25AE">
        <w:rPr>
          <w:rFonts w:ascii="Arial" w:hAnsi="Arial" w:cs="Arial"/>
          <w:sz w:val="22"/>
          <w:lang w:val="en-GB"/>
        </w:rPr>
        <w:t>lokalne</w:t>
      </w:r>
      <w:proofErr w:type="spellEnd"/>
      <w:r w:rsidRPr="00BF25AE">
        <w:rPr>
          <w:rFonts w:ascii="Arial" w:hAnsi="Arial" w:cs="Arial"/>
          <w:sz w:val="22"/>
          <w:lang w:val="en-GB"/>
        </w:rPr>
        <w:t xml:space="preserve"> </w:t>
      </w:r>
      <w:proofErr w:type="spellStart"/>
      <w:r w:rsidRPr="00BF25AE">
        <w:rPr>
          <w:rFonts w:ascii="Arial" w:hAnsi="Arial" w:cs="Arial"/>
          <w:sz w:val="22"/>
          <w:lang w:val="en-GB"/>
        </w:rPr>
        <w:t>i</w:t>
      </w:r>
      <w:proofErr w:type="spellEnd"/>
      <w:r w:rsidRPr="00BF25AE">
        <w:rPr>
          <w:rFonts w:ascii="Arial" w:hAnsi="Arial" w:cs="Arial"/>
          <w:sz w:val="22"/>
          <w:lang w:val="en-GB"/>
        </w:rPr>
        <w:t xml:space="preserve"> </w:t>
      </w:r>
      <w:proofErr w:type="spellStart"/>
      <w:r w:rsidRPr="00BF25AE">
        <w:rPr>
          <w:rFonts w:ascii="Arial" w:hAnsi="Arial" w:cs="Arial"/>
          <w:sz w:val="22"/>
          <w:lang w:val="en-GB"/>
        </w:rPr>
        <w:t>područne</w:t>
      </w:r>
      <w:proofErr w:type="spellEnd"/>
      <w:r w:rsidRPr="00BF25AE">
        <w:rPr>
          <w:rFonts w:ascii="Arial" w:hAnsi="Arial" w:cs="Arial"/>
          <w:sz w:val="22"/>
          <w:lang w:val="en-GB"/>
        </w:rPr>
        <w:t xml:space="preserve"> (</w:t>
      </w:r>
      <w:proofErr w:type="spellStart"/>
      <w:r w:rsidRPr="00BF25AE">
        <w:rPr>
          <w:rFonts w:ascii="Arial" w:hAnsi="Arial" w:cs="Arial"/>
          <w:sz w:val="22"/>
          <w:lang w:val="en-GB"/>
        </w:rPr>
        <w:t>regionalne</w:t>
      </w:r>
      <w:proofErr w:type="spellEnd"/>
      <w:r w:rsidRPr="00BF25AE">
        <w:rPr>
          <w:rFonts w:ascii="Arial" w:hAnsi="Arial" w:cs="Arial"/>
          <w:sz w:val="22"/>
          <w:lang w:val="en-GB"/>
        </w:rPr>
        <w:t xml:space="preserve">) </w:t>
      </w:r>
      <w:proofErr w:type="spellStart"/>
      <w:r w:rsidRPr="00BF25AE">
        <w:rPr>
          <w:rFonts w:ascii="Arial" w:hAnsi="Arial" w:cs="Arial"/>
          <w:sz w:val="22"/>
          <w:lang w:val="en-GB"/>
        </w:rPr>
        <w:t>samouprave</w:t>
      </w:r>
      <w:proofErr w:type="spellEnd"/>
      <w:r w:rsidRPr="00BF25AE">
        <w:rPr>
          <w:rFonts w:ascii="Arial" w:hAnsi="Arial" w:cs="Arial"/>
          <w:sz w:val="22"/>
          <w:lang w:val="en-GB"/>
        </w:rPr>
        <w:t xml:space="preserve">, Zakon o </w:t>
      </w:r>
      <w:proofErr w:type="spellStart"/>
      <w:r w:rsidRPr="00BF25AE">
        <w:rPr>
          <w:rFonts w:ascii="Arial" w:hAnsi="Arial" w:cs="Arial"/>
          <w:sz w:val="22"/>
          <w:lang w:val="en-GB"/>
        </w:rPr>
        <w:t>javnoj</w:t>
      </w:r>
      <w:proofErr w:type="spellEnd"/>
      <w:r w:rsidRPr="00BF25AE">
        <w:rPr>
          <w:rFonts w:ascii="Arial" w:hAnsi="Arial" w:cs="Arial"/>
          <w:sz w:val="22"/>
          <w:lang w:val="en-GB"/>
        </w:rPr>
        <w:t xml:space="preserve"> </w:t>
      </w:r>
      <w:proofErr w:type="spellStart"/>
      <w:r w:rsidRPr="00BF25AE">
        <w:rPr>
          <w:rFonts w:ascii="Arial" w:hAnsi="Arial" w:cs="Arial"/>
          <w:sz w:val="22"/>
          <w:lang w:val="en-GB"/>
        </w:rPr>
        <w:t>nabavi</w:t>
      </w:r>
      <w:proofErr w:type="spellEnd"/>
      <w:r w:rsidRPr="00BF25AE">
        <w:rPr>
          <w:rFonts w:ascii="Arial" w:hAnsi="Arial" w:cs="Arial"/>
          <w:sz w:val="22"/>
          <w:lang w:val="en-GB"/>
        </w:rPr>
        <w:t xml:space="preserve">, Zakon o </w:t>
      </w:r>
      <w:proofErr w:type="spellStart"/>
      <w:r w:rsidRPr="00BF25AE">
        <w:rPr>
          <w:rFonts w:ascii="Arial" w:hAnsi="Arial" w:cs="Arial"/>
          <w:sz w:val="22"/>
          <w:lang w:val="en-GB"/>
        </w:rPr>
        <w:t>porezu</w:t>
      </w:r>
      <w:proofErr w:type="spellEnd"/>
      <w:r w:rsidRPr="00BF25AE">
        <w:rPr>
          <w:rFonts w:ascii="Arial" w:hAnsi="Arial" w:cs="Arial"/>
          <w:sz w:val="22"/>
          <w:lang w:val="en-GB"/>
        </w:rPr>
        <w:t xml:space="preserve"> </w:t>
      </w:r>
      <w:proofErr w:type="spellStart"/>
      <w:r w:rsidRPr="00BF25AE">
        <w:rPr>
          <w:rFonts w:ascii="Arial" w:hAnsi="Arial" w:cs="Arial"/>
          <w:sz w:val="22"/>
          <w:lang w:val="en-GB"/>
        </w:rPr>
        <w:t>na</w:t>
      </w:r>
      <w:proofErr w:type="spellEnd"/>
      <w:r w:rsidRPr="00BF25AE">
        <w:rPr>
          <w:rFonts w:ascii="Arial" w:hAnsi="Arial" w:cs="Arial"/>
          <w:sz w:val="22"/>
          <w:lang w:val="en-GB"/>
        </w:rPr>
        <w:t xml:space="preserve"> </w:t>
      </w:r>
      <w:proofErr w:type="spellStart"/>
      <w:r w:rsidRPr="00BF25AE">
        <w:rPr>
          <w:rFonts w:ascii="Arial" w:hAnsi="Arial" w:cs="Arial"/>
          <w:sz w:val="22"/>
          <w:lang w:val="en-GB"/>
        </w:rPr>
        <w:t>dohodak</w:t>
      </w:r>
      <w:proofErr w:type="spellEnd"/>
      <w:r w:rsidRPr="00BF25AE">
        <w:rPr>
          <w:rFonts w:ascii="Arial" w:hAnsi="Arial" w:cs="Arial"/>
          <w:sz w:val="22"/>
          <w:lang w:val="en-GB"/>
        </w:rPr>
        <w:t xml:space="preserve">, </w:t>
      </w:r>
      <w:proofErr w:type="spellStart"/>
      <w:r w:rsidRPr="00BF25AE">
        <w:rPr>
          <w:rFonts w:ascii="Arial" w:hAnsi="Arial" w:cs="Arial"/>
          <w:sz w:val="22"/>
          <w:lang w:val="en-GB"/>
        </w:rPr>
        <w:t>Pravilnik</w:t>
      </w:r>
      <w:proofErr w:type="spellEnd"/>
      <w:r w:rsidRPr="00BF25AE">
        <w:rPr>
          <w:rFonts w:ascii="Arial" w:hAnsi="Arial" w:cs="Arial"/>
          <w:sz w:val="22"/>
          <w:lang w:val="en-GB"/>
        </w:rPr>
        <w:t xml:space="preserve"> o </w:t>
      </w:r>
      <w:proofErr w:type="spellStart"/>
      <w:r w:rsidRPr="00BF25AE">
        <w:rPr>
          <w:rFonts w:ascii="Arial" w:hAnsi="Arial" w:cs="Arial"/>
          <w:sz w:val="22"/>
          <w:lang w:val="en-GB"/>
        </w:rPr>
        <w:t>porezu</w:t>
      </w:r>
      <w:proofErr w:type="spellEnd"/>
      <w:r w:rsidRPr="00BF25AE">
        <w:rPr>
          <w:rFonts w:ascii="Arial" w:hAnsi="Arial" w:cs="Arial"/>
          <w:sz w:val="22"/>
          <w:lang w:val="en-GB"/>
        </w:rPr>
        <w:t xml:space="preserve"> </w:t>
      </w:r>
      <w:proofErr w:type="spellStart"/>
      <w:r w:rsidRPr="00BF25AE">
        <w:rPr>
          <w:rFonts w:ascii="Arial" w:hAnsi="Arial" w:cs="Arial"/>
          <w:sz w:val="22"/>
          <w:lang w:val="en-GB"/>
        </w:rPr>
        <w:t>na</w:t>
      </w:r>
      <w:proofErr w:type="spellEnd"/>
      <w:r w:rsidRPr="00BF25AE">
        <w:rPr>
          <w:rFonts w:ascii="Arial" w:hAnsi="Arial" w:cs="Arial"/>
          <w:sz w:val="22"/>
          <w:lang w:val="en-GB"/>
        </w:rPr>
        <w:t xml:space="preserve"> </w:t>
      </w:r>
      <w:proofErr w:type="spellStart"/>
      <w:r w:rsidRPr="00BF25AE">
        <w:rPr>
          <w:rFonts w:ascii="Arial" w:hAnsi="Arial" w:cs="Arial"/>
          <w:sz w:val="22"/>
          <w:lang w:val="en-GB"/>
        </w:rPr>
        <w:t>dohodak</w:t>
      </w:r>
      <w:proofErr w:type="spellEnd"/>
      <w:r w:rsidRPr="00BF25AE">
        <w:rPr>
          <w:rFonts w:ascii="Arial" w:hAnsi="Arial" w:cs="Arial"/>
          <w:sz w:val="22"/>
          <w:lang w:val="en-GB"/>
        </w:rPr>
        <w:t xml:space="preserve">,  Zakon o </w:t>
      </w:r>
      <w:proofErr w:type="spellStart"/>
      <w:r w:rsidRPr="00BF25AE">
        <w:rPr>
          <w:rFonts w:ascii="Arial" w:hAnsi="Arial" w:cs="Arial"/>
          <w:sz w:val="22"/>
          <w:lang w:val="en-GB"/>
        </w:rPr>
        <w:t>fiskalnoj</w:t>
      </w:r>
      <w:proofErr w:type="spellEnd"/>
      <w:r w:rsidRPr="00BF25AE">
        <w:rPr>
          <w:rFonts w:ascii="Arial" w:hAnsi="Arial" w:cs="Arial"/>
          <w:sz w:val="22"/>
          <w:lang w:val="en-GB"/>
        </w:rPr>
        <w:t xml:space="preserve"> </w:t>
      </w:r>
      <w:proofErr w:type="spellStart"/>
      <w:r w:rsidRPr="00BF25AE">
        <w:rPr>
          <w:rFonts w:ascii="Arial" w:hAnsi="Arial" w:cs="Arial"/>
          <w:sz w:val="22"/>
          <w:lang w:val="en-GB"/>
        </w:rPr>
        <w:t>odgovornosti</w:t>
      </w:r>
      <w:proofErr w:type="spellEnd"/>
      <w:r w:rsidRPr="00BF25AE">
        <w:rPr>
          <w:rFonts w:ascii="Arial" w:hAnsi="Arial" w:cs="Arial"/>
          <w:sz w:val="22"/>
          <w:lang w:val="en-GB"/>
        </w:rPr>
        <w:t xml:space="preserve">, </w:t>
      </w:r>
      <w:proofErr w:type="spellStart"/>
      <w:r w:rsidRPr="00BF25AE">
        <w:rPr>
          <w:rFonts w:ascii="Arial" w:hAnsi="Arial" w:cs="Arial"/>
          <w:sz w:val="22"/>
          <w:lang w:val="en-GB"/>
        </w:rPr>
        <w:t>Odluka</w:t>
      </w:r>
      <w:proofErr w:type="spellEnd"/>
      <w:r w:rsidRPr="00BF25AE">
        <w:rPr>
          <w:rFonts w:ascii="Arial" w:hAnsi="Arial" w:cs="Arial"/>
          <w:sz w:val="22"/>
          <w:lang w:val="en-GB"/>
        </w:rPr>
        <w:t xml:space="preserve"> o </w:t>
      </w:r>
      <w:proofErr w:type="spellStart"/>
      <w:r w:rsidRPr="00BF25AE">
        <w:rPr>
          <w:rFonts w:ascii="Arial" w:hAnsi="Arial" w:cs="Arial"/>
          <w:sz w:val="22"/>
          <w:lang w:val="en-GB"/>
        </w:rPr>
        <w:t>izvršavanju</w:t>
      </w:r>
      <w:proofErr w:type="spellEnd"/>
      <w:r w:rsidRPr="00BF25AE">
        <w:rPr>
          <w:rFonts w:ascii="Arial" w:hAnsi="Arial" w:cs="Arial"/>
          <w:sz w:val="22"/>
          <w:lang w:val="en-GB"/>
        </w:rPr>
        <w:t xml:space="preserve"> </w:t>
      </w:r>
      <w:proofErr w:type="spellStart"/>
      <w:r w:rsidRPr="00BF25AE">
        <w:rPr>
          <w:rFonts w:ascii="Arial" w:hAnsi="Arial" w:cs="Arial"/>
          <w:sz w:val="22"/>
          <w:lang w:val="en-GB"/>
        </w:rPr>
        <w:t>proračuna</w:t>
      </w:r>
      <w:proofErr w:type="spellEnd"/>
      <w:r w:rsidRPr="00BF25AE">
        <w:rPr>
          <w:rFonts w:ascii="Arial" w:hAnsi="Arial" w:cs="Arial"/>
          <w:sz w:val="22"/>
          <w:lang w:val="en-GB"/>
        </w:rPr>
        <w:t xml:space="preserve"> Grada Labina, </w:t>
      </w:r>
      <w:proofErr w:type="spellStart"/>
      <w:r w:rsidRPr="00BF25AE">
        <w:rPr>
          <w:rFonts w:ascii="Arial" w:hAnsi="Arial" w:cs="Arial"/>
          <w:sz w:val="22"/>
          <w:lang w:val="en-GB"/>
        </w:rPr>
        <w:t>Kolektivni</w:t>
      </w:r>
      <w:proofErr w:type="spellEnd"/>
      <w:r w:rsidRPr="00BF25AE">
        <w:rPr>
          <w:rFonts w:ascii="Arial" w:hAnsi="Arial" w:cs="Arial"/>
          <w:sz w:val="22"/>
          <w:lang w:val="en-GB"/>
        </w:rPr>
        <w:t xml:space="preserve"> </w:t>
      </w:r>
      <w:proofErr w:type="spellStart"/>
      <w:r w:rsidRPr="00BF25AE">
        <w:rPr>
          <w:rFonts w:ascii="Arial" w:hAnsi="Arial" w:cs="Arial"/>
          <w:sz w:val="22"/>
          <w:lang w:val="en-GB"/>
        </w:rPr>
        <w:t>ugovor</w:t>
      </w:r>
      <w:proofErr w:type="spellEnd"/>
      <w:r w:rsidRPr="00BF25AE">
        <w:rPr>
          <w:rFonts w:ascii="Arial" w:hAnsi="Arial" w:cs="Arial"/>
          <w:sz w:val="22"/>
          <w:lang w:val="en-GB"/>
        </w:rPr>
        <w:t xml:space="preserve"> za </w:t>
      </w:r>
      <w:proofErr w:type="spellStart"/>
      <w:r w:rsidRPr="00BF25AE">
        <w:rPr>
          <w:rFonts w:ascii="Arial" w:hAnsi="Arial" w:cs="Arial"/>
          <w:sz w:val="22"/>
          <w:lang w:val="en-GB"/>
        </w:rPr>
        <w:t>zaposlene</w:t>
      </w:r>
      <w:proofErr w:type="spellEnd"/>
      <w:r w:rsidRPr="00BF25AE">
        <w:rPr>
          <w:rFonts w:ascii="Arial" w:hAnsi="Arial" w:cs="Arial"/>
          <w:sz w:val="22"/>
          <w:lang w:val="en-GB"/>
        </w:rPr>
        <w:t xml:space="preserve"> u </w:t>
      </w:r>
      <w:proofErr w:type="spellStart"/>
      <w:r w:rsidRPr="00BF25AE">
        <w:rPr>
          <w:rFonts w:ascii="Arial" w:hAnsi="Arial" w:cs="Arial"/>
          <w:sz w:val="22"/>
          <w:lang w:val="en-GB"/>
        </w:rPr>
        <w:t>upravnim</w:t>
      </w:r>
      <w:proofErr w:type="spellEnd"/>
      <w:r w:rsidRPr="00BF25AE">
        <w:rPr>
          <w:rFonts w:ascii="Arial" w:hAnsi="Arial" w:cs="Arial"/>
          <w:sz w:val="22"/>
          <w:lang w:val="en-GB"/>
        </w:rPr>
        <w:t xml:space="preserve"> </w:t>
      </w:r>
      <w:proofErr w:type="spellStart"/>
      <w:r w:rsidRPr="00BF25AE">
        <w:rPr>
          <w:rFonts w:ascii="Arial" w:hAnsi="Arial" w:cs="Arial"/>
          <w:sz w:val="22"/>
          <w:lang w:val="en-GB"/>
        </w:rPr>
        <w:t>tijelima</w:t>
      </w:r>
      <w:proofErr w:type="spellEnd"/>
      <w:r w:rsidRPr="00BF25AE">
        <w:rPr>
          <w:rFonts w:ascii="Arial" w:hAnsi="Arial" w:cs="Arial"/>
          <w:sz w:val="22"/>
          <w:lang w:val="en-GB"/>
        </w:rPr>
        <w:t xml:space="preserve"> Grada Labina, </w:t>
      </w:r>
      <w:proofErr w:type="spellStart"/>
      <w:r w:rsidRPr="00BF25AE">
        <w:rPr>
          <w:rFonts w:ascii="Arial" w:hAnsi="Arial" w:cs="Arial"/>
          <w:sz w:val="22"/>
          <w:lang w:val="en-GB"/>
        </w:rPr>
        <w:t>Odluka</w:t>
      </w:r>
      <w:proofErr w:type="spellEnd"/>
      <w:r w:rsidRPr="00BF25AE">
        <w:rPr>
          <w:rFonts w:ascii="Arial" w:hAnsi="Arial" w:cs="Arial"/>
          <w:sz w:val="22"/>
          <w:lang w:val="en-GB"/>
        </w:rPr>
        <w:t xml:space="preserve"> o </w:t>
      </w:r>
      <w:proofErr w:type="spellStart"/>
      <w:r w:rsidRPr="00BF25AE">
        <w:rPr>
          <w:rFonts w:ascii="Arial" w:hAnsi="Arial" w:cs="Arial"/>
          <w:sz w:val="22"/>
          <w:lang w:val="en-GB"/>
        </w:rPr>
        <w:t>ustrojstvu</w:t>
      </w:r>
      <w:proofErr w:type="spellEnd"/>
      <w:r w:rsidRPr="00BF25AE">
        <w:rPr>
          <w:rFonts w:ascii="Arial" w:hAnsi="Arial" w:cs="Arial"/>
          <w:sz w:val="22"/>
          <w:lang w:val="en-GB"/>
        </w:rPr>
        <w:t xml:space="preserve"> </w:t>
      </w:r>
      <w:proofErr w:type="spellStart"/>
      <w:r w:rsidRPr="00BF25AE">
        <w:rPr>
          <w:rFonts w:ascii="Arial" w:hAnsi="Arial" w:cs="Arial"/>
          <w:sz w:val="22"/>
          <w:lang w:val="en-GB"/>
        </w:rPr>
        <w:t>i</w:t>
      </w:r>
      <w:proofErr w:type="spellEnd"/>
      <w:r w:rsidRPr="00BF25AE">
        <w:rPr>
          <w:rFonts w:ascii="Arial" w:hAnsi="Arial" w:cs="Arial"/>
          <w:sz w:val="22"/>
          <w:lang w:val="en-GB"/>
        </w:rPr>
        <w:t xml:space="preserve"> </w:t>
      </w:r>
      <w:proofErr w:type="spellStart"/>
      <w:r w:rsidRPr="00BF25AE">
        <w:rPr>
          <w:rFonts w:ascii="Arial" w:hAnsi="Arial" w:cs="Arial"/>
          <w:sz w:val="22"/>
          <w:lang w:val="en-GB"/>
        </w:rPr>
        <w:t>djelokrugu</w:t>
      </w:r>
      <w:proofErr w:type="spellEnd"/>
      <w:r w:rsidRPr="00BF25AE">
        <w:rPr>
          <w:rFonts w:ascii="Arial" w:hAnsi="Arial" w:cs="Arial"/>
          <w:sz w:val="22"/>
          <w:lang w:val="en-GB"/>
        </w:rPr>
        <w:t xml:space="preserve"> </w:t>
      </w:r>
      <w:proofErr w:type="spellStart"/>
      <w:r w:rsidRPr="00BF25AE">
        <w:rPr>
          <w:rFonts w:ascii="Arial" w:hAnsi="Arial" w:cs="Arial"/>
          <w:sz w:val="22"/>
          <w:lang w:val="en-GB"/>
        </w:rPr>
        <w:t>Gradske</w:t>
      </w:r>
      <w:proofErr w:type="spellEnd"/>
      <w:r w:rsidRPr="00BF25AE">
        <w:rPr>
          <w:rFonts w:ascii="Arial" w:hAnsi="Arial" w:cs="Arial"/>
          <w:sz w:val="22"/>
          <w:lang w:val="en-GB"/>
        </w:rPr>
        <w:t xml:space="preserve"> </w:t>
      </w:r>
      <w:proofErr w:type="spellStart"/>
      <w:r w:rsidRPr="00BF25AE">
        <w:rPr>
          <w:rFonts w:ascii="Arial" w:hAnsi="Arial" w:cs="Arial"/>
          <w:sz w:val="22"/>
          <w:lang w:val="en-GB"/>
        </w:rPr>
        <w:t>uprave</w:t>
      </w:r>
      <w:proofErr w:type="spellEnd"/>
      <w:r w:rsidRPr="00BF25AE">
        <w:rPr>
          <w:rFonts w:ascii="Arial" w:hAnsi="Arial" w:cs="Arial"/>
          <w:sz w:val="22"/>
          <w:lang w:val="en-GB"/>
        </w:rPr>
        <w:t xml:space="preserve"> Grada Labina, </w:t>
      </w:r>
      <w:proofErr w:type="spellStart"/>
      <w:r w:rsidRPr="00BF25AE">
        <w:rPr>
          <w:rFonts w:ascii="Arial" w:hAnsi="Arial" w:cs="Arial"/>
          <w:sz w:val="22"/>
          <w:lang w:val="en-GB"/>
        </w:rPr>
        <w:t>Statut</w:t>
      </w:r>
      <w:proofErr w:type="spellEnd"/>
      <w:r w:rsidRPr="00BF25AE">
        <w:rPr>
          <w:rFonts w:ascii="Arial" w:hAnsi="Arial" w:cs="Arial"/>
          <w:sz w:val="22"/>
          <w:lang w:val="en-GB"/>
        </w:rPr>
        <w:t xml:space="preserve"> Grada Labina,  </w:t>
      </w:r>
      <w:proofErr w:type="spellStart"/>
      <w:r w:rsidRPr="00BF25AE">
        <w:rPr>
          <w:rFonts w:ascii="Arial" w:hAnsi="Arial" w:cs="Arial"/>
          <w:sz w:val="22"/>
          <w:lang w:val="en-GB"/>
        </w:rPr>
        <w:t>Pravilnik</w:t>
      </w:r>
      <w:proofErr w:type="spellEnd"/>
      <w:r w:rsidRPr="00BF25AE">
        <w:rPr>
          <w:rFonts w:ascii="Arial" w:hAnsi="Arial" w:cs="Arial"/>
          <w:sz w:val="22"/>
          <w:lang w:val="en-GB"/>
        </w:rPr>
        <w:t xml:space="preserve"> o </w:t>
      </w:r>
      <w:proofErr w:type="spellStart"/>
      <w:r w:rsidRPr="00BF25AE">
        <w:rPr>
          <w:rFonts w:ascii="Arial" w:hAnsi="Arial" w:cs="Arial"/>
          <w:sz w:val="22"/>
          <w:lang w:val="en-GB"/>
        </w:rPr>
        <w:t>unutarnjem</w:t>
      </w:r>
      <w:proofErr w:type="spellEnd"/>
      <w:r w:rsidRPr="00BF25AE">
        <w:rPr>
          <w:rFonts w:ascii="Arial" w:hAnsi="Arial" w:cs="Arial"/>
          <w:sz w:val="22"/>
          <w:lang w:val="en-GB"/>
        </w:rPr>
        <w:t xml:space="preserve"> </w:t>
      </w:r>
      <w:proofErr w:type="spellStart"/>
      <w:r w:rsidRPr="00BF25AE">
        <w:rPr>
          <w:rFonts w:ascii="Arial" w:hAnsi="Arial" w:cs="Arial"/>
          <w:sz w:val="22"/>
          <w:lang w:val="en-GB"/>
        </w:rPr>
        <w:t>redu</w:t>
      </w:r>
      <w:proofErr w:type="spellEnd"/>
      <w:r w:rsidRPr="00BF25AE">
        <w:rPr>
          <w:rFonts w:ascii="Arial" w:hAnsi="Arial" w:cs="Arial"/>
          <w:sz w:val="22"/>
          <w:lang w:val="en-GB"/>
        </w:rPr>
        <w:t xml:space="preserve"> </w:t>
      </w:r>
      <w:proofErr w:type="spellStart"/>
      <w:r w:rsidRPr="00BF25AE">
        <w:rPr>
          <w:rFonts w:ascii="Arial" w:hAnsi="Arial" w:cs="Arial"/>
          <w:sz w:val="22"/>
          <w:lang w:val="en-GB"/>
        </w:rPr>
        <w:t>gradske</w:t>
      </w:r>
      <w:proofErr w:type="spellEnd"/>
      <w:r w:rsidRPr="00BF25AE">
        <w:rPr>
          <w:rFonts w:ascii="Arial" w:hAnsi="Arial" w:cs="Arial"/>
          <w:sz w:val="22"/>
          <w:lang w:val="en-GB"/>
        </w:rPr>
        <w:t xml:space="preserve"> </w:t>
      </w:r>
      <w:proofErr w:type="spellStart"/>
      <w:r w:rsidRPr="00BF25AE">
        <w:rPr>
          <w:rFonts w:ascii="Arial" w:hAnsi="Arial" w:cs="Arial"/>
          <w:sz w:val="22"/>
          <w:lang w:val="en-GB"/>
        </w:rPr>
        <w:t>uprave</w:t>
      </w:r>
      <w:proofErr w:type="spellEnd"/>
      <w:r w:rsidRPr="00BF25AE">
        <w:rPr>
          <w:rFonts w:ascii="Arial" w:hAnsi="Arial" w:cs="Arial"/>
          <w:sz w:val="22"/>
          <w:lang w:val="en-GB"/>
        </w:rPr>
        <w:t xml:space="preserve"> Grada Labina, </w:t>
      </w:r>
      <w:proofErr w:type="spellStart"/>
      <w:r w:rsidRPr="00BF25AE">
        <w:rPr>
          <w:rFonts w:ascii="Arial" w:hAnsi="Arial" w:cs="Arial"/>
          <w:sz w:val="22"/>
          <w:lang w:val="en-GB"/>
        </w:rPr>
        <w:t>Ugovori</w:t>
      </w:r>
      <w:proofErr w:type="spellEnd"/>
      <w:r w:rsidRPr="00BF25AE">
        <w:rPr>
          <w:rFonts w:ascii="Arial" w:hAnsi="Arial" w:cs="Arial"/>
          <w:sz w:val="22"/>
          <w:lang w:val="en-GB"/>
        </w:rPr>
        <w:t xml:space="preserve"> o </w:t>
      </w:r>
      <w:proofErr w:type="spellStart"/>
      <w:r w:rsidRPr="00BF25AE">
        <w:rPr>
          <w:rFonts w:ascii="Arial" w:hAnsi="Arial" w:cs="Arial"/>
          <w:sz w:val="22"/>
          <w:lang w:val="en-GB"/>
        </w:rPr>
        <w:t>dugoročnim</w:t>
      </w:r>
      <w:proofErr w:type="spellEnd"/>
      <w:r w:rsidRPr="00BF25AE">
        <w:rPr>
          <w:rFonts w:ascii="Arial" w:hAnsi="Arial" w:cs="Arial"/>
          <w:sz w:val="22"/>
          <w:lang w:val="en-GB"/>
        </w:rPr>
        <w:t xml:space="preserve"> </w:t>
      </w:r>
      <w:proofErr w:type="spellStart"/>
      <w:r w:rsidRPr="00BF25AE">
        <w:rPr>
          <w:rFonts w:ascii="Arial" w:hAnsi="Arial" w:cs="Arial"/>
          <w:sz w:val="22"/>
          <w:lang w:val="en-GB"/>
        </w:rPr>
        <w:t>kreditima</w:t>
      </w:r>
      <w:proofErr w:type="spellEnd"/>
      <w:r w:rsidRPr="00BF25AE">
        <w:rPr>
          <w:rFonts w:ascii="Arial" w:hAnsi="Arial" w:cs="Arial"/>
          <w:sz w:val="22"/>
          <w:lang w:val="en-GB"/>
        </w:rPr>
        <w:t>.</w:t>
      </w:r>
    </w:p>
    <w:p w14:paraId="15B497AE" w14:textId="77777777" w:rsidR="00AA11D5" w:rsidRPr="00BF25AE" w:rsidRDefault="00AA11D5" w:rsidP="00AA11D5">
      <w:pPr>
        <w:jc w:val="both"/>
        <w:rPr>
          <w:rFonts w:ascii="Arial" w:eastAsia="Calibri" w:hAnsi="Arial" w:cs="Arial"/>
          <w:color w:val="000000"/>
          <w:sz w:val="22"/>
          <w:u w:val="single"/>
        </w:rPr>
      </w:pPr>
    </w:p>
    <w:p w14:paraId="4C2BBB89" w14:textId="77777777" w:rsidR="00AA11D5" w:rsidRPr="00BF25AE" w:rsidRDefault="00AA11D5" w:rsidP="00AA11D5">
      <w:pPr>
        <w:jc w:val="both"/>
        <w:rPr>
          <w:rFonts w:ascii="Arial" w:eastAsia="Calibri" w:hAnsi="Arial" w:cs="Arial"/>
          <w:sz w:val="22"/>
        </w:rPr>
      </w:pPr>
      <w:r w:rsidRPr="00BF25AE">
        <w:rPr>
          <w:rFonts w:ascii="Arial" w:eastAsia="Calibri" w:hAnsi="Arial" w:cs="Arial"/>
          <w:color w:val="000000"/>
          <w:sz w:val="22"/>
          <w:u w:val="single"/>
        </w:rPr>
        <w:t>Opis programa sa općim i posebnim ciljem</w:t>
      </w:r>
      <w:r w:rsidRPr="000E20F5">
        <w:rPr>
          <w:rFonts w:ascii="Arial" w:eastAsia="Calibri" w:hAnsi="Arial" w:cs="Arial"/>
          <w:color w:val="000000"/>
          <w:sz w:val="22"/>
        </w:rPr>
        <w:t xml:space="preserve">: </w:t>
      </w:r>
      <w:r w:rsidRPr="00BF25AE">
        <w:rPr>
          <w:rFonts w:ascii="Arial" w:eastAsia="Calibri" w:hAnsi="Arial" w:cs="Arial"/>
          <w:sz w:val="22"/>
        </w:rPr>
        <w:t>Poslovi u djelokrug</w:t>
      </w:r>
      <w:r>
        <w:rPr>
          <w:rFonts w:ascii="Arial" w:eastAsia="Calibri" w:hAnsi="Arial" w:cs="Arial"/>
          <w:sz w:val="22"/>
        </w:rPr>
        <w:t>u</w:t>
      </w:r>
      <w:r w:rsidRPr="00BF25AE">
        <w:rPr>
          <w:rFonts w:ascii="Arial" w:eastAsia="Calibri" w:hAnsi="Arial" w:cs="Arial"/>
          <w:sz w:val="22"/>
        </w:rPr>
        <w:t xml:space="preserve"> ovog programa osiguravaju redovno poslovanje svih upravnih odjela Grada Labina, osiguravajući financijska sredstva za podmirenje zajedničkih rashoda Gradske uprave, a što omogućava normalno funkcioniranje upravnih odjela. </w:t>
      </w:r>
    </w:p>
    <w:p w14:paraId="44C661FE" w14:textId="77777777" w:rsidR="00AA11D5" w:rsidRPr="00BF25AE" w:rsidRDefault="00AA11D5" w:rsidP="00AA11D5">
      <w:pPr>
        <w:jc w:val="both"/>
        <w:rPr>
          <w:rFonts w:ascii="Arial" w:eastAsia="Calibri" w:hAnsi="Arial" w:cs="Arial"/>
          <w:sz w:val="22"/>
        </w:rPr>
      </w:pPr>
    </w:p>
    <w:p w14:paraId="09AA2458" w14:textId="77777777" w:rsidR="00AA11D5" w:rsidRDefault="00AA11D5" w:rsidP="00AA11D5">
      <w:pPr>
        <w:jc w:val="both"/>
        <w:rPr>
          <w:rFonts w:ascii="Arial" w:eastAsia="Calibri" w:hAnsi="Arial" w:cs="Arial"/>
          <w:sz w:val="22"/>
        </w:rPr>
      </w:pPr>
      <w:r>
        <w:rPr>
          <w:rFonts w:ascii="Arial" w:eastAsia="Calibri" w:hAnsi="Arial" w:cs="Arial"/>
          <w:sz w:val="22"/>
        </w:rPr>
        <w:t>U odnosu na Plan Proračuna za 2025. godinu, ovim I. Izmjenama i dopunama, r</w:t>
      </w:r>
      <w:r w:rsidRPr="00CC4317">
        <w:rPr>
          <w:rFonts w:ascii="Arial" w:eastAsia="Calibri" w:hAnsi="Arial" w:cs="Arial"/>
          <w:sz w:val="22"/>
        </w:rPr>
        <w:t>ashodi s</w:t>
      </w:r>
      <w:r>
        <w:rPr>
          <w:rFonts w:ascii="Arial" w:eastAsia="Calibri" w:hAnsi="Arial" w:cs="Arial"/>
          <w:sz w:val="22"/>
        </w:rPr>
        <w:t>e ukupno povećavaju za</w:t>
      </w:r>
      <w:r w:rsidRPr="00CC4317">
        <w:rPr>
          <w:rFonts w:ascii="Arial" w:eastAsia="Calibri" w:hAnsi="Arial" w:cs="Arial"/>
          <w:sz w:val="22"/>
        </w:rPr>
        <w:t xml:space="preserve"> </w:t>
      </w:r>
      <w:r>
        <w:rPr>
          <w:rFonts w:ascii="Arial" w:eastAsia="Calibri" w:hAnsi="Arial" w:cs="Arial"/>
          <w:sz w:val="22"/>
        </w:rPr>
        <w:t>50.000</w:t>
      </w:r>
      <w:r w:rsidRPr="00CC4317">
        <w:rPr>
          <w:rFonts w:ascii="Arial" w:eastAsia="Calibri" w:hAnsi="Arial" w:cs="Arial"/>
          <w:sz w:val="22"/>
        </w:rPr>
        <w:t>,00</w:t>
      </w:r>
      <w:r>
        <w:rPr>
          <w:rFonts w:ascii="Arial" w:eastAsia="Calibri" w:hAnsi="Arial" w:cs="Arial"/>
          <w:sz w:val="22"/>
        </w:rPr>
        <w:t xml:space="preserve"> EUR, odnosno 1,86%</w:t>
      </w:r>
      <w:r w:rsidRPr="00CC4317">
        <w:rPr>
          <w:rFonts w:ascii="Arial" w:eastAsia="Calibri" w:hAnsi="Arial" w:cs="Arial"/>
          <w:sz w:val="22"/>
        </w:rPr>
        <w:t xml:space="preserve">. </w:t>
      </w:r>
    </w:p>
    <w:p w14:paraId="5F40F9FE" w14:textId="77777777" w:rsidR="00AA11D5" w:rsidRDefault="00AA11D5" w:rsidP="00AA11D5">
      <w:pPr>
        <w:jc w:val="both"/>
        <w:rPr>
          <w:rFonts w:ascii="Arial" w:eastAsia="Calibri" w:hAnsi="Arial" w:cs="Arial"/>
          <w:sz w:val="22"/>
        </w:rPr>
      </w:pPr>
    </w:p>
    <w:p w14:paraId="5AC35DB0" w14:textId="77777777" w:rsidR="00AA11D5" w:rsidRDefault="00AA11D5" w:rsidP="00AA11D5">
      <w:pPr>
        <w:jc w:val="both"/>
        <w:rPr>
          <w:rFonts w:ascii="Arial" w:eastAsia="Calibri" w:hAnsi="Arial" w:cs="Arial"/>
          <w:sz w:val="22"/>
        </w:rPr>
      </w:pPr>
      <w:r>
        <w:rPr>
          <w:rFonts w:ascii="Arial" w:eastAsia="Calibri" w:hAnsi="Arial" w:cs="Arial"/>
          <w:sz w:val="22"/>
        </w:rPr>
        <w:t xml:space="preserve">Povećanje se odnosi na povećanje unutar aktivnosti </w:t>
      </w:r>
      <w:r w:rsidRPr="00235429">
        <w:rPr>
          <w:rFonts w:ascii="Arial" w:eastAsia="Calibri" w:hAnsi="Arial" w:cs="Arial"/>
          <w:sz w:val="22"/>
        </w:rPr>
        <w:t xml:space="preserve">Zajednički troškovi upravnih odjela </w:t>
      </w:r>
      <w:r>
        <w:rPr>
          <w:rFonts w:ascii="Arial" w:eastAsia="Calibri" w:hAnsi="Arial" w:cs="Arial"/>
          <w:sz w:val="22"/>
        </w:rPr>
        <w:t>i to u pogledu rashoda za zaposlene (plaća za redovan rad, doprinosa za zdravstveno osiguranje, ostalih naknada za zaposlene i prijevoz) u ukupnom iznosu od 35.000,00 EUR, a obzirom na povećanje plaća djelatnika te</w:t>
      </w:r>
      <w:r w:rsidRPr="007A1438">
        <w:t xml:space="preserve"> </w:t>
      </w:r>
      <w:r w:rsidRPr="007A1438">
        <w:rPr>
          <w:rFonts w:ascii="Arial" w:eastAsia="Calibri" w:hAnsi="Arial" w:cs="Arial"/>
          <w:sz w:val="22"/>
        </w:rPr>
        <w:t>isplate naknade plaće po prestanku profesionalnog obavljanja dužnosti gradonačelnika</w:t>
      </w:r>
      <w:r>
        <w:rPr>
          <w:rFonts w:ascii="Arial" w:eastAsia="Calibri" w:hAnsi="Arial" w:cs="Arial"/>
          <w:sz w:val="22"/>
        </w:rPr>
        <w:t xml:space="preserve">. </w:t>
      </w:r>
    </w:p>
    <w:p w14:paraId="13EE0FAB" w14:textId="77777777" w:rsidR="00AA11D5" w:rsidRDefault="00AA11D5" w:rsidP="00AA11D5">
      <w:pPr>
        <w:jc w:val="both"/>
        <w:rPr>
          <w:rFonts w:ascii="Arial" w:eastAsia="Calibri" w:hAnsi="Arial" w:cs="Arial"/>
          <w:sz w:val="22"/>
        </w:rPr>
      </w:pPr>
      <w:r>
        <w:rPr>
          <w:rFonts w:ascii="Arial" w:eastAsia="Calibri" w:hAnsi="Arial" w:cs="Arial"/>
          <w:sz w:val="22"/>
        </w:rPr>
        <w:t>Unutar iste aktivnosti još su povećani i rashodi za odvjetničke usluge za 5.000,00 EUR, te  rashodi za bankarske usluge i usluge platnog prometa za 2.000,00 EUR.</w:t>
      </w:r>
    </w:p>
    <w:p w14:paraId="2EDBC7B9" w14:textId="77777777" w:rsidR="00AA11D5" w:rsidRDefault="00AA11D5" w:rsidP="00AA11D5">
      <w:pPr>
        <w:jc w:val="both"/>
        <w:rPr>
          <w:rFonts w:ascii="Arial" w:eastAsia="Calibri" w:hAnsi="Arial" w:cs="Arial"/>
          <w:sz w:val="22"/>
        </w:rPr>
      </w:pPr>
    </w:p>
    <w:p w14:paraId="4089CB50" w14:textId="77777777" w:rsidR="00AA11D5" w:rsidRDefault="00AA11D5" w:rsidP="00AA11D5">
      <w:pPr>
        <w:jc w:val="both"/>
        <w:rPr>
          <w:rFonts w:ascii="Arial" w:eastAsia="Calibri" w:hAnsi="Arial" w:cs="Arial"/>
          <w:sz w:val="22"/>
        </w:rPr>
      </w:pPr>
      <w:r>
        <w:rPr>
          <w:rFonts w:ascii="Arial" w:eastAsia="Calibri" w:hAnsi="Arial" w:cs="Arial"/>
          <w:sz w:val="22"/>
        </w:rPr>
        <w:t>Unutar aktivnosti otplata zajmova povećani su rashodi za 2.000,00 EUR, a odnose se na troškove revolving kredita.</w:t>
      </w:r>
    </w:p>
    <w:p w14:paraId="0149A45E" w14:textId="77777777" w:rsidR="00AA11D5" w:rsidRDefault="00AA11D5" w:rsidP="00AA11D5">
      <w:pPr>
        <w:jc w:val="both"/>
        <w:rPr>
          <w:rFonts w:ascii="Arial" w:eastAsia="Calibri" w:hAnsi="Arial" w:cs="Arial"/>
          <w:sz w:val="22"/>
        </w:rPr>
      </w:pPr>
    </w:p>
    <w:p w14:paraId="013357A2" w14:textId="77777777" w:rsidR="00AA11D5" w:rsidRDefault="00AA11D5" w:rsidP="00AA11D5">
      <w:pPr>
        <w:jc w:val="both"/>
        <w:rPr>
          <w:rFonts w:ascii="Arial" w:eastAsia="Calibri" w:hAnsi="Arial" w:cs="Arial"/>
          <w:sz w:val="22"/>
        </w:rPr>
      </w:pPr>
      <w:r>
        <w:rPr>
          <w:rFonts w:ascii="Arial" w:eastAsia="Calibri" w:hAnsi="Arial" w:cs="Arial"/>
          <w:sz w:val="22"/>
        </w:rPr>
        <w:t>U ostalim aktivnostima Upravnog odjela za proračun i financije nije došlo do promjena.</w:t>
      </w:r>
    </w:p>
    <w:p w14:paraId="29B59F25" w14:textId="77777777" w:rsidR="00AA11D5" w:rsidRPr="008F2364" w:rsidRDefault="00AA11D5" w:rsidP="00AA11D5">
      <w:pPr>
        <w:jc w:val="both"/>
        <w:rPr>
          <w:rFonts w:ascii="Arial" w:hAnsi="Arial" w:cs="Arial"/>
          <w:sz w:val="22"/>
          <w:lang w:val="en-GB"/>
        </w:rPr>
      </w:pPr>
      <w:r w:rsidRPr="008F2364">
        <w:rPr>
          <w:rFonts w:ascii="Arial" w:hAnsi="Arial" w:cs="Arial"/>
          <w:sz w:val="22"/>
          <w:lang w:val="en-GB"/>
        </w:rPr>
        <w:tab/>
      </w:r>
    </w:p>
    <w:p w14:paraId="37A723BF" w14:textId="77777777" w:rsidR="00AA11D5" w:rsidRPr="00BF25AE" w:rsidRDefault="00AA11D5" w:rsidP="00AA11D5">
      <w:pPr>
        <w:jc w:val="both"/>
        <w:rPr>
          <w:rFonts w:ascii="Arial" w:hAnsi="Arial" w:cs="Arial"/>
          <w:color w:val="000000"/>
          <w:sz w:val="22"/>
          <w:lang w:val="en-GB"/>
        </w:rPr>
      </w:pPr>
      <w:proofErr w:type="spellStart"/>
      <w:r w:rsidRPr="00BF25AE">
        <w:rPr>
          <w:rFonts w:ascii="Arial" w:hAnsi="Arial" w:cs="Arial"/>
          <w:color w:val="000000"/>
          <w:sz w:val="22"/>
          <w:lang w:val="en-GB"/>
        </w:rPr>
        <w:t>Cilj</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programa</w:t>
      </w:r>
      <w:proofErr w:type="spellEnd"/>
      <w:r w:rsidRPr="00BF25AE">
        <w:rPr>
          <w:rFonts w:ascii="Arial" w:hAnsi="Arial" w:cs="Arial"/>
          <w:color w:val="000000"/>
          <w:sz w:val="22"/>
          <w:lang w:val="en-GB"/>
        </w:rPr>
        <w:t xml:space="preserve"> je </w:t>
      </w:r>
      <w:proofErr w:type="spellStart"/>
      <w:r w:rsidRPr="00BF25AE">
        <w:rPr>
          <w:rFonts w:ascii="Arial" w:hAnsi="Arial" w:cs="Arial"/>
          <w:color w:val="000000"/>
          <w:sz w:val="22"/>
          <w:lang w:val="en-GB"/>
        </w:rPr>
        <w:t>dugoročno</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provoditi</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politiku</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plaća</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i</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drugih</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materijalnih</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prava</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zaposlenika</w:t>
      </w:r>
      <w:proofErr w:type="spellEnd"/>
      <w:r w:rsidRPr="00BF25AE">
        <w:rPr>
          <w:rFonts w:ascii="Arial" w:hAnsi="Arial" w:cs="Arial"/>
          <w:color w:val="000000"/>
          <w:sz w:val="22"/>
          <w:lang w:val="en-GB"/>
        </w:rPr>
        <w:t xml:space="preserve"> Grada u </w:t>
      </w:r>
      <w:proofErr w:type="spellStart"/>
      <w:r w:rsidRPr="00BF25AE">
        <w:rPr>
          <w:rFonts w:ascii="Arial" w:hAnsi="Arial" w:cs="Arial"/>
          <w:color w:val="000000"/>
          <w:sz w:val="22"/>
          <w:lang w:val="en-GB"/>
        </w:rPr>
        <w:t>skladu</w:t>
      </w:r>
      <w:proofErr w:type="spellEnd"/>
      <w:r w:rsidRPr="00BF25AE">
        <w:rPr>
          <w:rFonts w:ascii="Arial" w:hAnsi="Arial" w:cs="Arial"/>
          <w:color w:val="000000"/>
          <w:sz w:val="22"/>
          <w:lang w:val="en-GB"/>
        </w:rPr>
        <w:t xml:space="preserve"> s </w:t>
      </w:r>
      <w:proofErr w:type="spellStart"/>
      <w:r w:rsidRPr="00BF25AE">
        <w:rPr>
          <w:rFonts w:ascii="Arial" w:hAnsi="Arial" w:cs="Arial"/>
          <w:color w:val="000000"/>
          <w:sz w:val="22"/>
          <w:lang w:val="en-GB"/>
        </w:rPr>
        <w:t>proračunskim</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mogućnostima</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Kolektivnim</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ugovorom</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i</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inflatornim</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kretanjima</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na</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tržištu</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roba</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i</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usluga</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te</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osigurati</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sredstva</w:t>
      </w:r>
      <w:proofErr w:type="spellEnd"/>
      <w:r w:rsidRPr="00BF25AE">
        <w:rPr>
          <w:rFonts w:ascii="Arial" w:hAnsi="Arial" w:cs="Arial"/>
          <w:color w:val="000000"/>
          <w:sz w:val="22"/>
          <w:lang w:val="en-GB"/>
        </w:rPr>
        <w:t xml:space="preserve"> za </w:t>
      </w:r>
      <w:proofErr w:type="spellStart"/>
      <w:r w:rsidRPr="00BF25AE">
        <w:rPr>
          <w:rFonts w:ascii="Arial" w:hAnsi="Arial" w:cs="Arial"/>
          <w:color w:val="000000"/>
          <w:sz w:val="22"/>
          <w:lang w:val="en-GB"/>
        </w:rPr>
        <w:t>nesmetano</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obavljane</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poslova</w:t>
      </w:r>
      <w:proofErr w:type="spellEnd"/>
      <w:r w:rsidRPr="00BF25AE">
        <w:rPr>
          <w:rFonts w:ascii="Arial" w:hAnsi="Arial" w:cs="Arial"/>
          <w:color w:val="000000"/>
          <w:sz w:val="22"/>
          <w:lang w:val="en-GB"/>
        </w:rPr>
        <w:t xml:space="preserve"> u </w:t>
      </w:r>
      <w:proofErr w:type="spellStart"/>
      <w:r w:rsidRPr="00BF25AE">
        <w:rPr>
          <w:rFonts w:ascii="Arial" w:hAnsi="Arial" w:cs="Arial"/>
          <w:color w:val="000000"/>
          <w:sz w:val="22"/>
          <w:lang w:val="en-GB"/>
        </w:rPr>
        <w:t>odjelima</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gradske</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uprave</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kao</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i</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redovito</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podmirivati</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dospjele</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financijske</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obveze</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prema</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bankama</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dobavljačima</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zaposlenicima</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i</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ostalim</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korisnicima</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proračunskih</w:t>
      </w:r>
      <w:proofErr w:type="spellEnd"/>
      <w:r w:rsidRPr="00BF25AE">
        <w:rPr>
          <w:rFonts w:ascii="Arial" w:hAnsi="Arial" w:cs="Arial"/>
          <w:color w:val="000000"/>
          <w:sz w:val="22"/>
          <w:lang w:val="en-GB"/>
        </w:rPr>
        <w:t xml:space="preserve"> </w:t>
      </w:r>
      <w:proofErr w:type="spellStart"/>
      <w:r w:rsidRPr="00BF25AE">
        <w:rPr>
          <w:rFonts w:ascii="Arial" w:hAnsi="Arial" w:cs="Arial"/>
          <w:color w:val="000000"/>
          <w:sz w:val="22"/>
          <w:lang w:val="en-GB"/>
        </w:rPr>
        <w:t>sredstava</w:t>
      </w:r>
      <w:proofErr w:type="spellEnd"/>
      <w:r w:rsidRPr="00BF25AE">
        <w:rPr>
          <w:rFonts w:ascii="Arial" w:hAnsi="Arial" w:cs="Arial"/>
          <w:color w:val="000000"/>
          <w:sz w:val="22"/>
          <w:lang w:val="en-GB"/>
        </w:rPr>
        <w:t>.</w:t>
      </w:r>
    </w:p>
    <w:p w14:paraId="221324A7" w14:textId="77777777" w:rsidR="00AA11D5" w:rsidRPr="00BF25AE" w:rsidRDefault="00AA11D5" w:rsidP="00AA11D5">
      <w:pPr>
        <w:jc w:val="both"/>
        <w:rPr>
          <w:rFonts w:ascii="Arial" w:hAnsi="Arial" w:cs="Arial"/>
          <w:color w:val="000000"/>
          <w:sz w:val="22"/>
          <w:lang w:val="en-GB"/>
        </w:rPr>
      </w:pPr>
    </w:p>
    <w:p w14:paraId="5371D6C2" w14:textId="77777777" w:rsidR="00AA11D5" w:rsidRPr="00BF25AE" w:rsidRDefault="00AA11D5" w:rsidP="00AA11D5">
      <w:pPr>
        <w:jc w:val="both"/>
        <w:rPr>
          <w:rFonts w:ascii="Arial" w:eastAsia="Calibri" w:hAnsi="Arial" w:cs="Arial"/>
          <w:sz w:val="22"/>
        </w:rPr>
      </w:pPr>
      <w:r w:rsidRPr="00BF25AE">
        <w:rPr>
          <w:rFonts w:ascii="Arial" w:eastAsia="Calibri" w:hAnsi="Arial" w:cs="Arial"/>
          <w:color w:val="000000"/>
          <w:sz w:val="22"/>
          <w:u w:val="single"/>
        </w:rPr>
        <w:t>Pokazatelj uspješnosti i mogući rizici:</w:t>
      </w:r>
      <w:r w:rsidRPr="00BF25AE">
        <w:rPr>
          <w:rFonts w:ascii="Arial" w:eastAsia="Calibri" w:hAnsi="Arial" w:cs="Arial"/>
          <w:sz w:val="22"/>
        </w:rPr>
        <w:t xml:space="preserve"> Ostvareni uvjeti za normalno funkcioniranje upravn</w:t>
      </w:r>
      <w:r>
        <w:rPr>
          <w:rFonts w:ascii="Arial" w:eastAsia="Calibri" w:hAnsi="Arial" w:cs="Arial"/>
          <w:sz w:val="22"/>
        </w:rPr>
        <w:t>og</w:t>
      </w:r>
      <w:r w:rsidRPr="00BF25AE">
        <w:rPr>
          <w:rFonts w:ascii="Arial" w:eastAsia="Calibri" w:hAnsi="Arial" w:cs="Arial"/>
          <w:sz w:val="22"/>
        </w:rPr>
        <w:t xml:space="preserve"> odjela, realizacija planiranih rashoda u skladu sa planiranim, te uplate glavnice i kamata prema dinamici ugovorenoj ugovorom o zaduživanju.  </w:t>
      </w:r>
    </w:p>
    <w:p w14:paraId="5148C43D" w14:textId="77777777" w:rsidR="00AA11D5" w:rsidRDefault="00AA11D5" w:rsidP="00AA11D5">
      <w:pPr>
        <w:jc w:val="both"/>
        <w:rPr>
          <w:rFonts w:ascii="Arial" w:eastAsia="Calibri" w:hAnsi="Arial" w:cs="Arial"/>
          <w:color w:val="000000"/>
          <w:sz w:val="22"/>
        </w:rPr>
      </w:pPr>
      <w:r w:rsidRPr="00BF25AE">
        <w:rPr>
          <w:rFonts w:ascii="Arial" w:eastAsia="Calibri" w:hAnsi="Arial" w:cs="Arial"/>
          <w:sz w:val="22"/>
        </w:rPr>
        <w:t>Rizik predstavlja moguće značajno smanjenje sredstava za realizaciju ovog programa, pojava novih zahtjeva za koje nisu osigurana sredstva, sudske presude u korist podnositelja zahtjeva ili mogući poremećaji cijena na tržištu roba i usluga zbog inflacije, kao i poremećaji na tržištu kapitala.</w:t>
      </w:r>
      <w:r w:rsidRPr="00BF25AE">
        <w:rPr>
          <w:rFonts w:ascii="Arial" w:eastAsia="Calibri" w:hAnsi="Arial" w:cs="Arial"/>
          <w:color w:val="000000"/>
          <w:sz w:val="22"/>
        </w:rPr>
        <w:t xml:space="preserve"> </w:t>
      </w:r>
    </w:p>
    <w:p w14:paraId="579E8E7E" w14:textId="77777777" w:rsidR="00CF5F11" w:rsidRDefault="00CF5F11" w:rsidP="002A689D">
      <w:pPr>
        <w:jc w:val="center"/>
        <w:rPr>
          <w:color w:val="000000" w:themeColor="text1"/>
        </w:rPr>
      </w:pPr>
    </w:p>
    <w:p w14:paraId="78957C22" w14:textId="77777777" w:rsidR="00CF5F11" w:rsidRDefault="00CF5F11" w:rsidP="002A689D">
      <w:pPr>
        <w:jc w:val="center"/>
        <w:rPr>
          <w:color w:val="000000" w:themeColor="text1"/>
        </w:rPr>
      </w:pPr>
    </w:p>
    <w:p w14:paraId="3B948E52" w14:textId="77777777" w:rsidR="008030E0" w:rsidRDefault="008030E0" w:rsidP="008030E0">
      <w:pPr>
        <w:jc w:val="center"/>
        <w:rPr>
          <w:color w:val="000000" w:themeColor="text1"/>
        </w:rPr>
      </w:pPr>
    </w:p>
    <w:p w14:paraId="4D24BC8D" w14:textId="77777777" w:rsidR="008030E0" w:rsidRDefault="008030E0" w:rsidP="008030E0"/>
    <w:p w14:paraId="22C7193C" w14:textId="77777777" w:rsidR="004B7BCD" w:rsidRDefault="004B7BCD" w:rsidP="004B7BCD"/>
    <w:p w14:paraId="646A0ED1" w14:textId="77777777" w:rsidR="00DE48F8" w:rsidRDefault="00DE48F8" w:rsidP="004B7BCD"/>
    <w:p w14:paraId="211E2C41" w14:textId="77777777" w:rsidR="00DE48F8" w:rsidRDefault="00DE48F8" w:rsidP="004B7BCD"/>
    <w:p w14:paraId="4033BB22" w14:textId="77777777" w:rsidR="00DE48F8" w:rsidRDefault="00DE48F8" w:rsidP="004B7BCD"/>
    <w:p w14:paraId="3BBE9009" w14:textId="77777777" w:rsidR="00950446" w:rsidRDefault="00950446" w:rsidP="004B7BCD"/>
    <w:p w14:paraId="125ECA7F" w14:textId="77777777" w:rsidR="00950446" w:rsidRDefault="00950446" w:rsidP="004B7BCD"/>
    <w:p w14:paraId="48E7C29D" w14:textId="77777777" w:rsidR="00950446" w:rsidRDefault="00950446" w:rsidP="004B7BCD"/>
    <w:p w14:paraId="7258463F" w14:textId="77777777" w:rsidR="00950446" w:rsidRDefault="00950446" w:rsidP="004B7BCD"/>
    <w:p w14:paraId="6FD2B6F3" w14:textId="77777777" w:rsidR="00950446" w:rsidRDefault="00950446" w:rsidP="004B7BCD"/>
    <w:p w14:paraId="78220DEA" w14:textId="77777777" w:rsidR="00950446" w:rsidRDefault="00950446" w:rsidP="004B7BCD"/>
    <w:p w14:paraId="45249C5D" w14:textId="77777777" w:rsidR="00950446" w:rsidRDefault="00950446" w:rsidP="004B7BCD"/>
    <w:p w14:paraId="1FE5CC3A" w14:textId="77777777" w:rsidR="00950446" w:rsidRDefault="00950446" w:rsidP="004B7BCD"/>
    <w:p w14:paraId="064F6675" w14:textId="77777777" w:rsidR="00950446" w:rsidRDefault="00950446" w:rsidP="004B7BCD"/>
    <w:p w14:paraId="1B1D7CFD" w14:textId="77777777" w:rsidR="00DE48F8" w:rsidRDefault="00DE48F8" w:rsidP="004B7BCD"/>
    <w:p w14:paraId="692AE431" w14:textId="77777777" w:rsidR="00DE48F8" w:rsidRDefault="00DE48F8" w:rsidP="004B7BCD"/>
    <w:p w14:paraId="767DC0C2" w14:textId="77777777" w:rsidR="00DE48F8" w:rsidRDefault="00DE48F8" w:rsidP="004B7BCD"/>
    <w:p w14:paraId="24E81C38" w14:textId="77777777" w:rsidR="00DE48F8" w:rsidRDefault="00DE48F8" w:rsidP="004B7BCD"/>
    <w:p w14:paraId="1C25DA2B" w14:textId="77777777" w:rsidR="00DE48F8" w:rsidRDefault="00DE48F8" w:rsidP="004B7BCD"/>
    <w:p w14:paraId="7EE927E2" w14:textId="77777777" w:rsidR="00670BA2" w:rsidRDefault="00670BA2" w:rsidP="004B7BCD"/>
    <w:p w14:paraId="507D809E" w14:textId="77777777" w:rsidR="00670BA2" w:rsidRDefault="00670BA2" w:rsidP="004B7BCD"/>
    <w:p w14:paraId="3C466E27" w14:textId="77777777" w:rsidR="00670BA2" w:rsidRDefault="00670BA2" w:rsidP="004B7BCD"/>
    <w:p w14:paraId="1C16A2C8" w14:textId="77777777" w:rsidR="00670BA2" w:rsidRDefault="00670BA2" w:rsidP="004B7BCD"/>
    <w:p w14:paraId="7062990E" w14:textId="77777777" w:rsidR="00670BA2" w:rsidRDefault="00670BA2" w:rsidP="004B7BCD"/>
    <w:p w14:paraId="5BC8E8B7" w14:textId="77777777" w:rsidR="00670BA2" w:rsidRDefault="00670BA2" w:rsidP="004B7BCD"/>
    <w:p w14:paraId="724C6D1E" w14:textId="77777777" w:rsidR="00670BA2" w:rsidRDefault="00670BA2" w:rsidP="004B7BCD"/>
    <w:p w14:paraId="059E1C55" w14:textId="77777777" w:rsidR="00670BA2" w:rsidRDefault="00670BA2" w:rsidP="004B7BCD"/>
    <w:p w14:paraId="42F31348" w14:textId="77777777" w:rsidR="00670BA2" w:rsidRDefault="00670BA2" w:rsidP="004B7BCD"/>
    <w:p w14:paraId="26CDF678" w14:textId="77777777" w:rsidR="00670BA2" w:rsidRDefault="00670BA2" w:rsidP="004B7BCD"/>
    <w:p w14:paraId="1401CE87" w14:textId="77777777" w:rsidR="00670BA2" w:rsidRDefault="00670BA2" w:rsidP="004B7BCD"/>
    <w:p w14:paraId="1611524F" w14:textId="77777777" w:rsidR="00670BA2" w:rsidRDefault="00670BA2" w:rsidP="004B7BCD"/>
    <w:p w14:paraId="66040CD5" w14:textId="77777777" w:rsidR="00670BA2" w:rsidRDefault="00670BA2" w:rsidP="004B7BCD"/>
    <w:p w14:paraId="2C26F5EB" w14:textId="77777777" w:rsidR="00670BA2" w:rsidRDefault="00670BA2" w:rsidP="004B7BCD"/>
    <w:p w14:paraId="324A64EF" w14:textId="1BF43ECB" w:rsidR="007D63F4" w:rsidRDefault="00A06700" w:rsidP="007D63F4">
      <w:pPr>
        <w:pStyle w:val="Naslov3"/>
        <w:jc w:val="center"/>
        <w:rPr>
          <w:rFonts w:ascii="Arial" w:hAnsi="Arial" w:cs="Arial"/>
          <w:b/>
          <w:color w:val="000000" w:themeColor="text1"/>
        </w:rPr>
      </w:pPr>
      <w:bookmarkStart w:id="31" w:name="_Toc116629399"/>
      <w:r>
        <w:rPr>
          <w:rFonts w:ascii="Arial" w:hAnsi="Arial" w:cs="Arial"/>
          <w:b/>
          <w:color w:val="000000" w:themeColor="text1"/>
        </w:rPr>
        <w:lastRenderedPageBreak/>
        <w:t>3</w:t>
      </w:r>
      <w:r w:rsidR="00915EC7">
        <w:rPr>
          <w:rFonts w:ascii="Arial" w:hAnsi="Arial" w:cs="Arial"/>
          <w:b/>
          <w:color w:val="000000" w:themeColor="text1"/>
        </w:rPr>
        <w:t>.2.</w:t>
      </w:r>
      <w:r w:rsidR="007D63F4">
        <w:rPr>
          <w:rFonts w:ascii="Arial" w:hAnsi="Arial" w:cs="Arial"/>
          <w:b/>
          <w:color w:val="000000" w:themeColor="text1"/>
        </w:rPr>
        <w:t xml:space="preserve">3. </w:t>
      </w:r>
      <w:r w:rsidR="007D63F4" w:rsidRPr="008F7C80">
        <w:rPr>
          <w:rFonts w:ascii="Arial" w:hAnsi="Arial" w:cs="Arial"/>
          <w:b/>
          <w:color w:val="000000" w:themeColor="text1"/>
        </w:rPr>
        <w:t xml:space="preserve">Upravni odjel za </w:t>
      </w:r>
      <w:r w:rsidR="007D63F4">
        <w:rPr>
          <w:rFonts w:ascii="Arial" w:hAnsi="Arial" w:cs="Arial"/>
          <w:b/>
          <w:color w:val="000000" w:themeColor="text1"/>
        </w:rPr>
        <w:t>prostorno uređenje, zaštitu okoliša i izdavanje akata za gradnju</w:t>
      </w:r>
      <w:bookmarkEnd w:id="31"/>
    </w:p>
    <w:p w14:paraId="671658D5" w14:textId="77777777" w:rsidR="0026419F" w:rsidRDefault="0026419F" w:rsidP="0026419F">
      <w:pPr>
        <w:spacing w:line="259" w:lineRule="auto"/>
        <w:rPr>
          <w:color w:val="000000" w:themeColor="text1"/>
        </w:rPr>
      </w:pPr>
    </w:p>
    <w:p w14:paraId="3BD1AA56" w14:textId="77777777" w:rsidR="00670BA2" w:rsidRPr="0026419F" w:rsidRDefault="00670BA2" w:rsidP="0026419F">
      <w:pPr>
        <w:spacing w:line="259" w:lineRule="auto"/>
        <w:rPr>
          <w:rFonts w:eastAsia="Aptos"/>
          <w:color w:val="000000"/>
          <w:sz w:val="22"/>
          <w:szCs w:val="22"/>
          <w:lang w:eastAsia="en-US"/>
        </w:rPr>
      </w:pPr>
    </w:p>
    <w:p w14:paraId="5F5ADCB0" w14:textId="4E85C03D" w:rsidR="0026419F" w:rsidRPr="0026419F" w:rsidRDefault="0026419F" w:rsidP="0026419F">
      <w:pPr>
        <w:spacing w:line="259" w:lineRule="auto"/>
        <w:ind w:firstLine="708"/>
        <w:jc w:val="both"/>
        <w:rPr>
          <w:rFonts w:ascii="Arial" w:eastAsia="Calibri" w:hAnsi="Arial" w:cs="Arial"/>
          <w:iCs/>
          <w:color w:val="000000"/>
          <w:sz w:val="22"/>
          <w:szCs w:val="22"/>
          <w:lang w:eastAsia="en-US"/>
        </w:rPr>
      </w:pPr>
      <w:proofErr w:type="spellStart"/>
      <w:r w:rsidRPr="0026419F">
        <w:rPr>
          <w:rFonts w:ascii="Arial" w:eastAsia="Calibri" w:hAnsi="Arial" w:cs="Arial"/>
          <w:color w:val="000000"/>
          <w:sz w:val="22"/>
          <w:szCs w:val="22"/>
          <w:lang w:val="en-GB" w:eastAsia="en-US"/>
        </w:rPr>
        <w:t>Prve</w:t>
      </w:r>
      <w:proofErr w:type="spellEnd"/>
      <w:r w:rsidRPr="0026419F">
        <w:rPr>
          <w:rFonts w:ascii="Arial" w:eastAsia="Calibri" w:hAnsi="Arial" w:cs="Arial"/>
          <w:color w:val="000000"/>
          <w:sz w:val="22"/>
          <w:szCs w:val="22"/>
          <w:lang w:val="en-GB" w:eastAsia="en-US"/>
        </w:rPr>
        <w:t xml:space="preserve"> </w:t>
      </w:r>
      <w:proofErr w:type="spellStart"/>
      <w:r w:rsidRPr="0026419F">
        <w:rPr>
          <w:rFonts w:ascii="Arial" w:eastAsia="Calibri" w:hAnsi="Arial" w:cs="Arial"/>
          <w:color w:val="000000"/>
          <w:sz w:val="22"/>
          <w:szCs w:val="22"/>
          <w:lang w:val="en-GB" w:eastAsia="en-US"/>
        </w:rPr>
        <w:t>izmjene</w:t>
      </w:r>
      <w:proofErr w:type="spellEnd"/>
      <w:r w:rsidRPr="0026419F">
        <w:rPr>
          <w:rFonts w:ascii="Arial" w:eastAsia="Calibri" w:hAnsi="Arial" w:cs="Arial"/>
          <w:color w:val="000000"/>
          <w:sz w:val="22"/>
          <w:szCs w:val="22"/>
          <w:lang w:val="en-GB" w:eastAsia="en-US"/>
        </w:rPr>
        <w:t xml:space="preserve"> </w:t>
      </w:r>
      <w:proofErr w:type="spellStart"/>
      <w:r w:rsidRPr="0026419F">
        <w:rPr>
          <w:rFonts w:ascii="Arial" w:eastAsia="Calibri" w:hAnsi="Arial" w:cs="Arial"/>
          <w:color w:val="000000"/>
          <w:sz w:val="22"/>
          <w:szCs w:val="22"/>
          <w:lang w:val="en-GB" w:eastAsia="en-US"/>
        </w:rPr>
        <w:t>i</w:t>
      </w:r>
      <w:proofErr w:type="spellEnd"/>
      <w:r w:rsidRPr="0026419F">
        <w:rPr>
          <w:rFonts w:ascii="Arial" w:eastAsia="Calibri" w:hAnsi="Arial" w:cs="Arial"/>
          <w:color w:val="000000"/>
          <w:sz w:val="22"/>
          <w:szCs w:val="22"/>
          <w:lang w:val="en-GB" w:eastAsia="en-US"/>
        </w:rPr>
        <w:t xml:space="preserve"> </w:t>
      </w:r>
      <w:proofErr w:type="spellStart"/>
      <w:r w:rsidRPr="0026419F">
        <w:rPr>
          <w:rFonts w:ascii="Arial" w:eastAsia="Calibri" w:hAnsi="Arial" w:cs="Arial"/>
          <w:color w:val="000000"/>
          <w:sz w:val="22"/>
          <w:szCs w:val="22"/>
          <w:lang w:val="en-GB" w:eastAsia="en-US"/>
        </w:rPr>
        <w:t>dopune</w:t>
      </w:r>
      <w:proofErr w:type="spellEnd"/>
      <w:r w:rsidRPr="0026419F">
        <w:rPr>
          <w:rFonts w:ascii="Arial" w:eastAsia="Calibri" w:hAnsi="Arial" w:cs="Arial"/>
          <w:color w:val="000000"/>
          <w:sz w:val="22"/>
          <w:szCs w:val="22"/>
          <w:lang w:val="en-GB" w:eastAsia="en-US"/>
        </w:rPr>
        <w:t xml:space="preserve"> Plana </w:t>
      </w:r>
      <w:proofErr w:type="spellStart"/>
      <w:r w:rsidRPr="0026419F">
        <w:rPr>
          <w:rFonts w:ascii="Arial" w:eastAsia="Calibri" w:hAnsi="Arial" w:cs="Arial"/>
          <w:color w:val="000000"/>
          <w:sz w:val="22"/>
          <w:szCs w:val="22"/>
          <w:lang w:val="en-GB" w:eastAsia="en-US"/>
        </w:rPr>
        <w:t>proračuna</w:t>
      </w:r>
      <w:proofErr w:type="spellEnd"/>
      <w:r w:rsidRPr="0026419F">
        <w:rPr>
          <w:rFonts w:ascii="Arial" w:eastAsia="Calibri" w:hAnsi="Arial" w:cs="Arial"/>
          <w:color w:val="000000"/>
          <w:sz w:val="22"/>
          <w:szCs w:val="22"/>
          <w:lang w:val="en-GB" w:eastAsia="en-US"/>
        </w:rPr>
        <w:t xml:space="preserve"> Upravnog </w:t>
      </w:r>
      <w:proofErr w:type="spellStart"/>
      <w:r w:rsidRPr="0026419F">
        <w:rPr>
          <w:rFonts w:ascii="Arial" w:eastAsia="Calibri" w:hAnsi="Arial" w:cs="Arial"/>
          <w:color w:val="000000"/>
          <w:sz w:val="22"/>
          <w:szCs w:val="22"/>
          <w:lang w:val="en-GB" w:eastAsia="en-US"/>
        </w:rPr>
        <w:t>odjela</w:t>
      </w:r>
      <w:proofErr w:type="spellEnd"/>
      <w:r w:rsidRPr="0026419F">
        <w:rPr>
          <w:rFonts w:ascii="Arial" w:eastAsia="Calibri" w:hAnsi="Arial" w:cs="Arial"/>
          <w:color w:val="000000"/>
          <w:sz w:val="22"/>
          <w:szCs w:val="22"/>
          <w:lang w:val="en-GB" w:eastAsia="en-US"/>
        </w:rPr>
        <w:t xml:space="preserve"> za </w:t>
      </w:r>
      <w:proofErr w:type="spellStart"/>
      <w:r w:rsidRPr="0026419F">
        <w:rPr>
          <w:rFonts w:ascii="Arial" w:eastAsia="Calibri" w:hAnsi="Arial" w:cs="Arial"/>
          <w:color w:val="000000"/>
          <w:sz w:val="22"/>
          <w:szCs w:val="22"/>
          <w:lang w:val="en-GB" w:eastAsia="en-US"/>
        </w:rPr>
        <w:t>prostorno</w:t>
      </w:r>
      <w:proofErr w:type="spellEnd"/>
      <w:r w:rsidRPr="0026419F">
        <w:rPr>
          <w:rFonts w:ascii="Arial" w:eastAsia="Calibri" w:hAnsi="Arial" w:cs="Arial"/>
          <w:color w:val="000000"/>
          <w:sz w:val="22"/>
          <w:szCs w:val="22"/>
          <w:lang w:val="en-GB" w:eastAsia="en-US"/>
        </w:rPr>
        <w:t xml:space="preserve"> </w:t>
      </w:r>
      <w:proofErr w:type="spellStart"/>
      <w:r w:rsidRPr="0026419F">
        <w:rPr>
          <w:rFonts w:ascii="Arial" w:eastAsia="Calibri" w:hAnsi="Arial" w:cs="Arial"/>
          <w:color w:val="000000"/>
          <w:sz w:val="22"/>
          <w:szCs w:val="22"/>
          <w:lang w:val="en-GB" w:eastAsia="en-US"/>
        </w:rPr>
        <w:t>uređenje</w:t>
      </w:r>
      <w:proofErr w:type="spellEnd"/>
      <w:r w:rsidRPr="0026419F">
        <w:rPr>
          <w:rFonts w:ascii="Arial" w:eastAsia="Calibri" w:hAnsi="Arial" w:cs="Arial"/>
          <w:color w:val="000000"/>
          <w:sz w:val="22"/>
          <w:szCs w:val="22"/>
          <w:lang w:val="en-GB" w:eastAsia="en-US"/>
        </w:rPr>
        <w:t xml:space="preserve">, </w:t>
      </w:r>
      <w:proofErr w:type="spellStart"/>
      <w:r w:rsidRPr="0026419F">
        <w:rPr>
          <w:rFonts w:ascii="Arial" w:eastAsia="Calibri" w:hAnsi="Arial" w:cs="Arial"/>
          <w:color w:val="000000"/>
          <w:sz w:val="22"/>
          <w:szCs w:val="22"/>
          <w:lang w:val="en-GB" w:eastAsia="en-US"/>
        </w:rPr>
        <w:t>zaštitu</w:t>
      </w:r>
      <w:proofErr w:type="spellEnd"/>
      <w:r w:rsidRPr="0026419F">
        <w:rPr>
          <w:rFonts w:ascii="Arial" w:eastAsia="Calibri" w:hAnsi="Arial" w:cs="Arial"/>
          <w:color w:val="000000"/>
          <w:sz w:val="22"/>
          <w:szCs w:val="22"/>
          <w:lang w:val="en-GB" w:eastAsia="en-US"/>
        </w:rPr>
        <w:t xml:space="preserve"> </w:t>
      </w:r>
      <w:proofErr w:type="spellStart"/>
      <w:r w:rsidRPr="0026419F">
        <w:rPr>
          <w:rFonts w:ascii="Arial" w:eastAsia="Calibri" w:hAnsi="Arial" w:cs="Arial"/>
          <w:color w:val="000000"/>
          <w:sz w:val="22"/>
          <w:szCs w:val="22"/>
          <w:lang w:val="en-GB" w:eastAsia="en-US"/>
        </w:rPr>
        <w:t>okoliša</w:t>
      </w:r>
      <w:proofErr w:type="spellEnd"/>
      <w:r w:rsidRPr="0026419F">
        <w:rPr>
          <w:rFonts w:ascii="Arial" w:eastAsia="Calibri" w:hAnsi="Arial" w:cs="Arial"/>
          <w:color w:val="000000"/>
          <w:sz w:val="22"/>
          <w:szCs w:val="22"/>
          <w:lang w:val="en-GB" w:eastAsia="en-US"/>
        </w:rPr>
        <w:t xml:space="preserve"> </w:t>
      </w:r>
      <w:proofErr w:type="spellStart"/>
      <w:r w:rsidRPr="0026419F">
        <w:rPr>
          <w:rFonts w:ascii="Arial" w:eastAsia="Calibri" w:hAnsi="Arial" w:cs="Arial"/>
          <w:color w:val="000000"/>
          <w:sz w:val="22"/>
          <w:szCs w:val="22"/>
          <w:lang w:val="en-GB" w:eastAsia="en-US"/>
        </w:rPr>
        <w:t>i</w:t>
      </w:r>
      <w:proofErr w:type="spellEnd"/>
      <w:r w:rsidRPr="0026419F">
        <w:rPr>
          <w:rFonts w:ascii="Arial" w:eastAsia="Calibri" w:hAnsi="Arial" w:cs="Arial"/>
          <w:color w:val="000000"/>
          <w:sz w:val="22"/>
          <w:szCs w:val="22"/>
          <w:lang w:val="en-GB" w:eastAsia="en-US"/>
        </w:rPr>
        <w:t xml:space="preserve"> </w:t>
      </w:r>
      <w:proofErr w:type="spellStart"/>
      <w:r w:rsidRPr="0026419F">
        <w:rPr>
          <w:rFonts w:ascii="Arial" w:eastAsia="Calibri" w:hAnsi="Arial" w:cs="Arial"/>
          <w:color w:val="000000"/>
          <w:sz w:val="22"/>
          <w:szCs w:val="22"/>
          <w:lang w:val="en-GB" w:eastAsia="en-US"/>
        </w:rPr>
        <w:t>izdavanje</w:t>
      </w:r>
      <w:proofErr w:type="spellEnd"/>
      <w:r w:rsidRPr="0026419F">
        <w:rPr>
          <w:rFonts w:ascii="Arial" w:eastAsia="Calibri" w:hAnsi="Arial" w:cs="Arial"/>
          <w:color w:val="000000"/>
          <w:sz w:val="22"/>
          <w:szCs w:val="22"/>
          <w:lang w:val="en-GB" w:eastAsia="en-US"/>
        </w:rPr>
        <w:t xml:space="preserve"> </w:t>
      </w:r>
      <w:proofErr w:type="spellStart"/>
      <w:r w:rsidRPr="0026419F">
        <w:rPr>
          <w:rFonts w:ascii="Arial" w:eastAsia="Calibri" w:hAnsi="Arial" w:cs="Arial"/>
          <w:color w:val="000000"/>
          <w:sz w:val="22"/>
          <w:szCs w:val="22"/>
          <w:lang w:val="en-GB" w:eastAsia="en-US"/>
        </w:rPr>
        <w:t>akata</w:t>
      </w:r>
      <w:proofErr w:type="spellEnd"/>
      <w:r w:rsidRPr="0026419F">
        <w:rPr>
          <w:rFonts w:ascii="Arial" w:eastAsia="Calibri" w:hAnsi="Arial" w:cs="Arial"/>
          <w:color w:val="000000"/>
          <w:sz w:val="22"/>
          <w:szCs w:val="22"/>
          <w:lang w:val="en-GB" w:eastAsia="en-US"/>
        </w:rPr>
        <w:t xml:space="preserve"> za </w:t>
      </w:r>
      <w:proofErr w:type="spellStart"/>
      <w:r w:rsidRPr="0026419F">
        <w:rPr>
          <w:rFonts w:ascii="Arial" w:eastAsia="Calibri" w:hAnsi="Arial" w:cs="Arial"/>
          <w:color w:val="000000"/>
          <w:sz w:val="22"/>
          <w:szCs w:val="22"/>
          <w:lang w:val="en-GB" w:eastAsia="en-US"/>
        </w:rPr>
        <w:t>gradnju</w:t>
      </w:r>
      <w:proofErr w:type="spellEnd"/>
      <w:r w:rsidRPr="0026419F">
        <w:rPr>
          <w:rFonts w:ascii="Arial" w:eastAsia="Calibri" w:hAnsi="Arial" w:cs="Arial"/>
          <w:color w:val="000000"/>
          <w:sz w:val="22"/>
          <w:szCs w:val="22"/>
          <w:lang w:val="en-GB" w:eastAsia="en-US"/>
        </w:rPr>
        <w:t xml:space="preserve"> za </w:t>
      </w:r>
      <w:r w:rsidRPr="0026419F">
        <w:rPr>
          <w:rFonts w:ascii="Arial" w:eastAsia="Calibri" w:hAnsi="Arial" w:cs="Arial"/>
          <w:color w:val="000000"/>
          <w:sz w:val="22"/>
          <w:szCs w:val="22"/>
          <w:shd w:val="clear" w:color="auto" w:fill="FFFFFF"/>
          <w:lang w:val="en-GB" w:eastAsia="en-US"/>
        </w:rPr>
        <w:t>2025</w:t>
      </w:r>
      <w:r w:rsidRPr="0026419F">
        <w:rPr>
          <w:rFonts w:ascii="Arial" w:eastAsia="Calibri" w:hAnsi="Arial" w:cs="Arial"/>
          <w:color w:val="000000"/>
          <w:sz w:val="22"/>
          <w:szCs w:val="22"/>
          <w:lang w:val="en-GB" w:eastAsia="en-US"/>
        </w:rPr>
        <w:t xml:space="preserve">. </w:t>
      </w:r>
      <w:proofErr w:type="spellStart"/>
      <w:r w:rsidRPr="0026419F">
        <w:rPr>
          <w:rFonts w:ascii="Arial" w:eastAsia="Calibri" w:hAnsi="Arial" w:cs="Arial"/>
          <w:color w:val="000000"/>
          <w:sz w:val="22"/>
          <w:szCs w:val="22"/>
          <w:lang w:val="en-GB" w:eastAsia="en-US"/>
        </w:rPr>
        <w:t>godinu</w:t>
      </w:r>
      <w:proofErr w:type="spellEnd"/>
      <w:r w:rsidRPr="0026419F">
        <w:rPr>
          <w:rFonts w:ascii="Arial" w:eastAsia="Calibri" w:hAnsi="Arial" w:cs="Arial"/>
          <w:color w:val="000000"/>
          <w:sz w:val="22"/>
          <w:szCs w:val="22"/>
          <w:lang w:val="en-GB" w:eastAsia="en-US"/>
        </w:rPr>
        <w:t xml:space="preserve"> (u </w:t>
      </w:r>
      <w:proofErr w:type="spellStart"/>
      <w:r w:rsidRPr="0026419F">
        <w:rPr>
          <w:rFonts w:ascii="Arial" w:eastAsia="Calibri" w:hAnsi="Arial" w:cs="Arial"/>
          <w:color w:val="000000"/>
          <w:sz w:val="22"/>
          <w:szCs w:val="22"/>
          <w:lang w:val="en-GB" w:eastAsia="en-US"/>
        </w:rPr>
        <w:t>nastavku</w:t>
      </w:r>
      <w:proofErr w:type="spellEnd"/>
      <w:r w:rsidRPr="0026419F">
        <w:rPr>
          <w:rFonts w:ascii="Arial" w:eastAsia="Calibri" w:hAnsi="Arial" w:cs="Arial"/>
          <w:color w:val="000000"/>
          <w:sz w:val="22"/>
          <w:szCs w:val="22"/>
          <w:lang w:val="en-GB" w:eastAsia="en-US"/>
        </w:rPr>
        <w:t xml:space="preserve">: Program </w:t>
      </w:r>
      <w:proofErr w:type="spellStart"/>
      <w:r w:rsidRPr="0026419F">
        <w:rPr>
          <w:rFonts w:ascii="Arial" w:eastAsia="Calibri" w:hAnsi="Arial" w:cs="Arial"/>
          <w:color w:val="000000"/>
          <w:sz w:val="22"/>
          <w:szCs w:val="22"/>
          <w:lang w:val="en-GB" w:eastAsia="en-US"/>
        </w:rPr>
        <w:t>izgradnje</w:t>
      </w:r>
      <w:proofErr w:type="spellEnd"/>
      <w:r w:rsidRPr="0026419F">
        <w:rPr>
          <w:rFonts w:ascii="Arial" w:eastAsia="Calibri" w:hAnsi="Arial" w:cs="Arial"/>
          <w:color w:val="000000"/>
          <w:sz w:val="22"/>
          <w:szCs w:val="22"/>
          <w:lang w:val="en-GB" w:eastAsia="en-US"/>
        </w:rPr>
        <w:t xml:space="preserve">) </w:t>
      </w:r>
      <w:r w:rsidRPr="0026419F">
        <w:rPr>
          <w:rFonts w:ascii="Arial" w:eastAsia="Calibri" w:hAnsi="Arial" w:cs="Arial"/>
          <w:iCs/>
          <w:color w:val="000000"/>
          <w:sz w:val="22"/>
          <w:szCs w:val="22"/>
          <w:lang w:eastAsia="en-US"/>
        </w:rPr>
        <w:t xml:space="preserve">predlažu se na način da se planirani iznos iz važećeg Programa izgradnje smanji za </w:t>
      </w:r>
      <w:r w:rsidRPr="0026419F">
        <w:rPr>
          <w:rFonts w:ascii="Arial" w:eastAsia="Calibri" w:hAnsi="Arial" w:cs="Arial"/>
          <w:b/>
          <w:iCs/>
          <w:color w:val="000000"/>
          <w:sz w:val="22"/>
          <w:szCs w:val="22"/>
          <w:lang w:eastAsia="en-US"/>
        </w:rPr>
        <w:t>4,92%</w:t>
      </w:r>
      <w:r w:rsidRPr="0026419F">
        <w:rPr>
          <w:rFonts w:ascii="Arial" w:eastAsia="Calibri" w:hAnsi="Arial" w:cs="Arial"/>
          <w:iCs/>
          <w:color w:val="000000"/>
          <w:sz w:val="22"/>
          <w:szCs w:val="22"/>
          <w:lang w:eastAsia="en-US"/>
        </w:rPr>
        <w:t xml:space="preserve"> odnosno za</w:t>
      </w:r>
      <w:r w:rsidRPr="0026419F">
        <w:rPr>
          <w:rFonts w:ascii="Arial" w:eastAsia="Calibri" w:hAnsi="Arial" w:cs="Arial"/>
          <w:b/>
          <w:iCs/>
          <w:color w:val="000000"/>
          <w:sz w:val="22"/>
          <w:szCs w:val="22"/>
          <w:lang w:eastAsia="en-US"/>
        </w:rPr>
        <w:t xml:space="preserve"> 234.533,00 EUR,</w:t>
      </w:r>
      <w:r w:rsidRPr="0026419F">
        <w:rPr>
          <w:rFonts w:ascii="Arial" w:eastAsia="Calibri" w:hAnsi="Arial" w:cs="Arial"/>
          <w:iCs/>
          <w:color w:val="000000"/>
          <w:sz w:val="22"/>
          <w:szCs w:val="22"/>
          <w:lang w:eastAsia="en-US"/>
        </w:rPr>
        <w:t xml:space="preserve"> tako da umjesto </w:t>
      </w:r>
      <w:r w:rsidRPr="0026419F">
        <w:rPr>
          <w:rFonts w:ascii="Arial" w:eastAsia="Calibri" w:hAnsi="Arial" w:cs="Arial"/>
          <w:b/>
          <w:bCs/>
          <w:iCs/>
          <w:color w:val="000000"/>
          <w:sz w:val="22"/>
          <w:szCs w:val="22"/>
          <w:lang w:eastAsia="en-US"/>
        </w:rPr>
        <w:t>4.</w:t>
      </w:r>
      <w:r w:rsidRPr="0026419F">
        <w:rPr>
          <w:rFonts w:ascii="Arial" w:eastAsia="Calibri" w:hAnsi="Arial" w:cs="Arial"/>
          <w:b/>
          <w:iCs/>
          <w:color w:val="000000"/>
          <w:sz w:val="22"/>
          <w:szCs w:val="22"/>
          <w:lang w:eastAsia="en-US"/>
        </w:rPr>
        <w:t xml:space="preserve">771.731,00 EUR sada iznosi 4.537.198,00 EUR. </w:t>
      </w:r>
      <w:r w:rsidRPr="0026419F">
        <w:rPr>
          <w:rFonts w:ascii="Arial" w:eastAsia="Calibri" w:hAnsi="Arial" w:cs="Arial"/>
          <w:iCs/>
          <w:color w:val="000000"/>
          <w:sz w:val="22"/>
          <w:szCs w:val="22"/>
          <w:lang w:eastAsia="en-US"/>
        </w:rPr>
        <w:t xml:space="preserve">Predloženim izmjenama i dopunama Programa izgradnje najveći dio smanjenja odnosi se na program Izgradnja komunalne infrastrukture, kapitalne projekte: Park </w:t>
      </w:r>
      <w:proofErr w:type="spellStart"/>
      <w:r w:rsidRPr="0026419F">
        <w:rPr>
          <w:rFonts w:ascii="Arial" w:eastAsia="Calibri" w:hAnsi="Arial" w:cs="Arial"/>
          <w:iCs/>
          <w:color w:val="000000"/>
          <w:sz w:val="22"/>
          <w:szCs w:val="22"/>
          <w:lang w:eastAsia="en-US"/>
        </w:rPr>
        <w:t>Kature</w:t>
      </w:r>
      <w:proofErr w:type="spellEnd"/>
      <w:r w:rsidRPr="0026419F">
        <w:rPr>
          <w:rFonts w:ascii="Arial" w:eastAsia="Calibri" w:hAnsi="Arial" w:cs="Arial"/>
          <w:iCs/>
          <w:color w:val="000000"/>
          <w:sz w:val="22"/>
          <w:szCs w:val="22"/>
          <w:lang w:eastAsia="en-US"/>
        </w:rPr>
        <w:t xml:space="preserve">, Park </w:t>
      </w:r>
      <w:proofErr w:type="spellStart"/>
      <w:r w:rsidRPr="0026419F">
        <w:rPr>
          <w:rFonts w:ascii="Arial" w:eastAsia="Calibri" w:hAnsi="Arial" w:cs="Arial"/>
          <w:iCs/>
          <w:color w:val="000000"/>
          <w:sz w:val="22"/>
          <w:szCs w:val="22"/>
          <w:lang w:eastAsia="en-US"/>
        </w:rPr>
        <w:t>Pineta</w:t>
      </w:r>
      <w:proofErr w:type="spellEnd"/>
      <w:r w:rsidRPr="0026419F">
        <w:rPr>
          <w:rFonts w:ascii="Arial" w:eastAsia="Calibri" w:hAnsi="Arial" w:cs="Arial"/>
          <w:iCs/>
          <w:color w:val="000000"/>
          <w:sz w:val="22"/>
          <w:szCs w:val="22"/>
          <w:lang w:eastAsia="en-US"/>
        </w:rPr>
        <w:t xml:space="preserve">, Uređenje priobalnog dijela Centralne zone naselja Rabac, Radovi izgradnje infrastrukture u starogradskoj jezgri i popločenje </w:t>
      </w:r>
      <w:proofErr w:type="spellStart"/>
      <w:r w:rsidRPr="0026419F">
        <w:rPr>
          <w:rFonts w:ascii="Arial" w:eastAsia="Calibri" w:hAnsi="Arial" w:cs="Arial"/>
          <w:iCs/>
          <w:color w:val="000000"/>
          <w:sz w:val="22"/>
          <w:szCs w:val="22"/>
          <w:lang w:eastAsia="en-US"/>
        </w:rPr>
        <w:t>parternih</w:t>
      </w:r>
      <w:proofErr w:type="spellEnd"/>
      <w:r w:rsidRPr="0026419F">
        <w:rPr>
          <w:rFonts w:ascii="Arial" w:eastAsia="Calibri" w:hAnsi="Arial" w:cs="Arial"/>
          <w:iCs/>
          <w:color w:val="000000"/>
          <w:sz w:val="22"/>
          <w:szCs w:val="22"/>
          <w:lang w:eastAsia="en-US"/>
        </w:rPr>
        <w:t xml:space="preserve"> površina.  Razlog ovog smanjenja je prije svega usklađenje ovog Programa sa dinamikom ostvarenja pojedinih prihoda iz kojih su planirani projekti financiraju, a to su prije svega sredstva komunalnog doprinosa i sredstva od prodaje nefinancijske imovine. Drugi razlog je da se dvije investicije koje su planirane kroz dvije proračunske godine, a to je Izgradnja dječjeg vrtića </w:t>
      </w:r>
      <w:proofErr w:type="spellStart"/>
      <w:r w:rsidRPr="0026419F">
        <w:rPr>
          <w:rFonts w:ascii="Arial" w:eastAsia="Calibri" w:hAnsi="Arial" w:cs="Arial"/>
          <w:iCs/>
          <w:color w:val="000000"/>
          <w:sz w:val="22"/>
          <w:szCs w:val="22"/>
          <w:lang w:eastAsia="en-US"/>
        </w:rPr>
        <w:t>Vinež</w:t>
      </w:r>
      <w:proofErr w:type="spellEnd"/>
      <w:r w:rsidRPr="0026419F">
        <w:rPr>
          <w:rFonts w:ascii="Arial" w:eastAsia="Calibri" w:hAnsi="Arial" w:cs="Arial"/>
          <w:iCs/>
          <w:color w:val="000000"/>
          <w:sz w:val="22"/>
          <w:szCs w:val="22"/>
          <w:lang w:eastAsia="en-US"/>
        </w:rPr>
        <w:t xml:space="preserve"> i izgradnja pristupne prometnice sportskom kompleksu </w:t>
      </w:r>
      <w:proofErr w:type="spellStart"/>
      <w:r w:rsidRPr="0026419F">
        <w:rPr>
          <w:rFonts w:ascii="Arial" w:eastAsia="Calibri" w:hAnsi="Arial" w:cs="Arial"/>
          <w:iCs/>
          <w:color w:val="000000"/>
          <w:sz w:val="22"/>
          <w:szCs w:val="22"/>
          <w:lang w:eastAsia="en-US"/>
        </w:rPr>
        <w:t>Vinež</w:t>
      </w:r>
      <w:proofErr w:type="spellEnd"/>
      <w:r w:rsidRPr="0026419F">
        <w:rPr>
          <w:rFonts w:ascii="Arial" w:eastAsia="Calibri" w:hAnsi="Arial" w:cs="Arial"/>
          <w:iCs/>
          <w:color w:val="000000"/>
          <w:sz w:val="22"/>
          <w:szCs w:val="22"/>
          <w:lang w:eastAsia="en-US"/>
        </w:rPr>
        <w:t xml:space="preserve"> usklađuju u dijelu financijskog plana trošenja sredstava sa stvarnom realizacijom izvođenja radova koja se u odnosu na plan u jednom dijelu prelila iz prošle u ovu godinu što iziskuje povećanje sredstava na tim kapitalnim projektima. Isto tako izrada pojedine projektne dokumentacije kao što je izrada glavnog projekta za rekonstrukciju i prenamjenu velikog kupatila čija je izrada  započeta prošle godine a završava koncem godine usklađuje se financijsko planiranje i dinamika realizacije izrade projekta. </w:t>
      </w:r>
    </w:p>
    <w:p w14:paraId="3BD128B3" w14:textId="77777777" w:rsidR="0026419F" w:rsidRPr="0026419F" w:rsidRDefault="0026419F" w:rsidP="0026419F">
      <w:pPr>
        <w:spacing w:line="259" w:lineRule="auto"/>
        <w:ind w:firstLine="708"/>
        <w:jc w:val="both"/>
        <w:rPr>
          <w:rFonts w:ascii="Arial" w:eastAsia="Calibri" w:hAnsi="Arial" w:cs="Arial"/>
          <w:iCs/>
          <w:color w:val="000000"/>
          <w:sz w:val="22"/>
          <w:szCs w:val="22"/>
          <w:lang w:eastAsia="en-US"/>
        </w:rPr>
      </w:pPr>
    </w:p>
    <w:p w14:paraId="62132FEB" w14:textId="77777777" w:rsidR="0026419F" w:rsidRPr="0026419F" w:rsidRDefault="0026419F" w:rsidP="0026419F">
      <w:pPr>
        <w:spacing w:line="259" w:lineRule="auto"/>
        <w:ind w:firstLine="708"/>
        <w:jc w:val="both"/>
        <w:rPr>
          <w:rFonts w:ascii="Arial" w:eastAsia="Calibri" w:hAnsi="Arial" w:cs="Arial"/>
          <w:iCs/>
          <w:color w:val="000000"/>
          <w:sz w:val="22"/>
          <w:szCs w:val="22"/>
          <w:lang w:eastAsia="en-US"/>
        </w:rPr>
      </w:pPr>
      <w:r w:rsidRPr="0026419F">
        <w:rPr>
          <w:rFonts w:ascii="Arial" w:eastAsia="Calibri" w:hAnsi="Arial" w:cs="Arial"/>
          <w:iCs/>
          <w:color w:val="000000"/>
          <w:sz w:val="22"/>
          <w:szCs w:val="22"/>
          <w:lang w:eastAsia="en-US"/>
        </w:rPr>
        <w:t>Ovim izmjenama i dopunama Programa izgradnje obuhvaćeni su i prihodi  koji su ostali kao rezultat izvršenja Proračuna 2024. godine, a najvećim dijelom se odnose na opće prihode, komunalni doprinos, prihode od nefinancijske imovine a manjim dijelom na fiskalna održivost dječjih vrtića. Jedini dio u sklopu Programa izgradnje gdje se ne predlažu izmjene i dopune je Program 3004 – Komunalne vodne građevine i gospodarenje otpadom. Sve navedeno vidljivo je i obrazloženo u nastavku pojedinačno za svaki Program i kapitalni projekt gdje se predlažu izmjene i dopune, a detaljnije u sklopu prijedloga prvih izmjena i dopuna Programa izgradnje.</w:t>
      </w:r>
    </w:p>
    <w:p w14:paraId="152242DC" w14:textId="77777777" w:rsidR="0026419F" w:rsidRPr="0026419F" w:rsidRDefault="0026419F" w:rsidP="0026419F">
      <w:pPr>
        <w:spacing w:line="259" w:lineRule="auto"/>
        <w:ind w:firstLine="708"/>
        <w:jc w:val="both"/>
        <w:rPr>
          <w:rFonts w:ascii="Arial" w:eastAsia="Calibri" w:hAnsi="Arial" w:cs="Arial"/>
          <w:iCs/>
          <w:color w:val="000000"/>
          <w:sz w:val="22"/>
          <w:szCs w:val="22"/>
          <w:lang w:eastAsia="en-US"/>
        </w:rPr>
      </w:pPr>
    </w:p>
    <w:tbl>
      <w:tblPr>
        <w:tblW w:w="9067" w:type="dxa"/>
        <w:tblLook w:val="04A0" w:firstRow="1" w:lastRow="0" w:firstColumn="1" w:lastColumn="0" w:noHBand="0" w:noVBand="1"/>
      </w:tblPr>
      <w:tblGrid>
        <w:gridCol w:w="4352"/>
        <w:gridCol w:w="1739"/>
        <w:gridCol w:w="1417"/>
        <w:gridCol w:w="1559"/>
      </w:tblGrid>
      <w:tr w:rsidR="0026419F" w:rsidRPr="0026419F" w14:paraId="7EA407BA" w14:textId="77777777" w:rsidTr="0026419F">
        <w:trPr>
          <w:trHeight w:val="510"/>
        </w:trPr>
        <w:tc>
          <w:tcPr>
            <w:tcW w:w="435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E6BA865" w14:textId="77777777" w:rsidR="0026419F" w:rsidRPr="0026419F" w:rsidRDefault="0026419F" w:rsidP="0026419F">
            <w:pPr>
              <w:spacing w:after="160" w:line="256" w:lineRule="auto"/>
              <w:rPr>
                <w:rFonts w:ascii="Arial" w:eastAsia="Aptos" w:hAnsi="Arial" w:cs="Arial"/>
                <w:iCs/>
                <w:color w:val="000000"/>
                <w:szCs w:val="22"/>
                <w:lang w:eastAsia="en-US"/>
              </w:rPr>
            </w:pPr>
          </w:p>
        </w:tc>
        <w:tc>
          <w:tcPr>
            <w:tcW w:w="1739" w:type="dxa"/>
            <w:tcBorders>
              <w:top w:val="single" w:sz="4" w:space="0" w:color="auto"/>
              <w:left w:val="nil"/>
              <w:bottom w:val="single" w:sz="4" w:space="0" w:color="auto"/>
              <w:right w:val="single" w:sz="4" w:space="0" w:color="auto"/>
            </w:tcBorders>
            <w:shd w:val="clear" w:color="auto" w:fill="FFFFFF"/>
            <w:noWrap/>
            <w:vAlign w:val="bottom"/>
            <w:hideMark/>
          </w:tcPr>
          <w:p w14:paraId="6328068D" w14:textId="77777777" w:rsidR="0026419F" w:rsidRPr="0026419F" w:rsidRDefault="0026419F" w:rsidP="0026419F">
            <w:pPr>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PLANIRANO</w:t>
            </w:r>
          </w:p>
        </w:tc>
        <w:tc>
          <w:tcPr>
            <w:tcW w:w="1417" w:type="dxa"/>
            <w:tcBorders>
              <w:top w:val="single" w:sz="4" w:space="0" w:color="auto"/>
              <w:left w:val="nil"/>
              <w:bottom w:val="single" w:sz="4" w:space="0" w:color="auto"/>
              <w:right w:val="single" w:sz="4" w:space="0" w:color="auto"/>
            </w:tcBorders>
            <w:shd w:val="clear" w:color="auto" w:fill="FFFFFF"/>
            <w:noWrap/>
            <w:vAlign w:val="bottom"/>
            <w:hideMark/>
          </w:tcPr>
          <w:p w14:paraId="11904397" w14:textId="77777777" w:rsidR="0026419F" w:rsidRPr="0026419F" w:rsidRDefault="0026419F" w:rsidP="0026419F">
            <w:pPr>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PROMJENA IZNOS</w:t>
            </w:r>
          </w:p>
        </w:tc>
        <w:tc>
          <w:tcPr>
            <w:tcW w:w="1559" w:type="dxa"/>
            <w:tcBorders>
              <w:top w:val="single" w:sz="4" w:space="0" w:color="auto"/>
              <w:left w:val="nil"/>
              <w:bottom w:val="single" w:sz="4" w:space="0" w:color="auto"/>
              <w:right w:val="single" w:sz="4" w:space="0" w:color="auto"/>
            </w:tcBorders>
            <w:shd w:val="clear" w:color="auto" w:fill="FFFFFF"/>
            <w:noWrap/>
            <w:vAlign w:val="bottom"/>
            <w:hideMark/>
          </w:tcPr>
          <w:p w14:paraId="667DAEB3" w14:textId="77777777" w:rsidR="0026419F" w:rsidRPr="0026419F" w:rsidRDefault="0026419F" w:rsidP="0026419F">
            <w:pPr>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NOVI IZNOS</w:t>
            </w:r>
          </w:p>
        </w:tc>
      </w:tr>
      <w:tr w:rsidR="0026419F" w:rsidRPr="0026419F" w14:paraId="1FFBA4CC"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75C970B0" w14:textId="77777777" w:rsidR="0026419F" w:rsidRPr="0026419F" w:rsidRDefault="0026419F" w:rsidP="0026419F">
            <w:pPr>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 xml:space="preserve">  SVEUKUPNO RASHODI / IZDACI</w:t>
            </w:r>
          </w:p>
        </w:tc>
        <w:tc>
          <w:tcPr>
            <w:tcW w:w="1739" w:type="dxa"/>
            <w:tcBorders>
              <w:top w:val="nil"/>
              <w:left w:val="nil"/>
              <w:bottom w:val="single" w:sz="4" w:space="0" w:color="auto"/>
              <w:right w:val="single" w:sz="4" w:space="0" w:color="auto"/>
            </w:tcBorders>
            <w:shd w:val="clear" w:color="auto" w:fill="FFFFFF"/>
            <w:noWrap/>
            <w:vAlign w:val="bottom"/>
            <w:hideMark/>
          </w:tcPr>
          <w:p w14:paraId="4BF51589" w14:textId="77777777" w:rsidR="0026419F" w:rsidRPr="0026419F" w:rsidRDefault="0026419F" w:rsidP="0026419F">
            <w:pPr>
              <w:jc w:val="right"/>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4.771.731,00</w:t>
            </w:r>
          </w:p>
        </w:tc>
        <w:tc>
          <w:tcPr>
            <w:tcW w:w="1417" w:type="dxa"/>
            <w:tcBorders>
              <w:top w:val="nil"/>
              <w:left w:val="nil"/>
              <w:bottom w:val="single" w:sz="4" w:space="0" w:color="auto"/>
              <w:right w:val="single" w:sz="4" w:space="0" w:color="auto"/>
            </w:tcBorders>
            <w:shd w:val="clear" w:color="auto" w:fill="FFFFFF"/>
            <w:noWrap/>
            <w:vAlign w:val="bottom"/>
            <w:hideMark/>
          </w:tcPr>
          <w:p w14:paraId="1447FD84" w14:textId="77777777" w:rsidR="0026419F" w:rsidRPr="0026419F" w:rsidRDefault="0026419F" w:rsidP="0026419F">
            <w:pPr>
              <w:jc w:val="right"/>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-234.533,00</w:t>
            </w:r>
          </w:p>
        </w:tc>
        <w:tc>
          <w:tcPr>
            <w:tcW w:w="1559" w:type="dxa"/>
            <w:tcBorders>
              <w:top w:val="nil"/>
              <w:left w:val="nil"/>
              <w:bottom w:val="single" w:sz="4" w:space="0" w:color="auto"/>
              <w:right w:val="single" w:sz="4" w:space="0" w:color="auto"/>
            </w:tcBorders>
            <w:shd w:val="clear" w:color="auto" w:fill="FFFFFF"/>
            <w:noWrap/>
            <w:vAlign w:val="bottom"/>
            <w:hideMark/>
          </w:tcPr>
          <w:p w14:paraId="28D57524" w14:textId="77777777" w:rsidR="0026419F" w:rsidRPr="0026419F" w:rsidRDefault="0026419F" w:rsidP="0026419F">
            <w:pPr>
              <w:jc w:val="right"/>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4.537.198,00</w:t>
            </w:r>
          </w:p>
        </w:tc>
      </w:tr>
      <w:tr w:rsidR="0026419F" w:rsidRPr="0026419F" w14:paraId="167C996F"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13EDDADD" w14:textId="77777777" w:rsidR="0026419F" w:rsidRPr="0026419F" w:rsidRDefault="0026419F" w:rsidP="0026419F">
            <w:pPr>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Razdjel 300 UPRAVNI ODJEL ZA PROSTORNO UREĐENJE, ZAŠTITU OKOLIŠA I IZDAVANJA AKATA ZA GRADNJU</w:t>
            </w:r>
          </w:p>
        </w:tc>
        <w:tc>
          <w:tcPr>
            <w:tcW w:w="1739" w:type="dxa"/>
            <w:tcBorders>
              <w:top w:val="nil"/>
              <w:left w:val="nil"/>
              <w:bottom w:val="single" w:sz="4" w:space="0" w:color="auto"/>
              <w:right w:val="single" w:sz="4" w:space="0" w:color="auto"/>
            </w:tcBorders>
            <w:shd w:val="clear" w:color="auto" w:fill="FFFFFF"/>
            <w:noWrap/>
            <w:vAlign w:val="bottom"/>
            <w:hideMark/>
          </w:tcPr>
          <w:p w14:paraId="26F1FEF8" w14:textId="77777777" w:rsidR="0026419F" w:rsidRPr="0026419F" w:rsidRDefault="0026419F" w:rsidP="0026419F">
            <w:pPr>
              <w:jc w:val="right"/>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4.771.731,00</w:t>
            </w:r>
          </w:p>
        </w:tc>
        <w:tc>
          <w:tcPr>
            <w:tcW w:w="1417" w:type="dxa"/>
            <w:tcBorders>
              <w:top w:val="nil"/>
              <w:left w:val="nil"/>
              <w:bottom w:val="single" w:sz="4" w:space="0" w:color="auto"/>
              <w:right w:val="single" w:sz="4" w:space="0" w:color="auto"/>
            </w:tcBorders>
            <w:shd w:val="clear" w:color="auto" w:fill="FFFFFF"/>
            <w:noWrap/>
            <w:vAlign w:val="bottom"/>
            <w:hideMark/>
          </w:tcPr>
          <w:p w14:paraId="2CCF29CA" w14:textId="77777777" w:rsidR="0026419F" w:rsidRPr="0026419F" w:rsidRDefault="0026419F" w:rsidP="0026419F">
            <w:pPr>
              <w:jc w:val="right"/>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-234.533,00</w:t>
            </w:r>
          </w:p>
        </w:tc>
        <w:tc>
          <w:tcPr>
            <w:tcW w:w="1559" w:type="dxa"/>
            <w:tcBorders>
              <w:top w:val="nil"/>
              <w:left w:val="nil"/>
              <w:bottom w:val="single" w:sz="4" w:space="0" w:color="auto"/>
              <w:right w:val="single" w:sz="4" w:space="0" w:color="auto"/>
            </w:tcBorders>
            <w:shd w:val="clear" w:color="auto" w:fill="FFFFFF"/>
            <w:noWrap/>
            <w:vAlign w:val="bottom"/>
            <w:hideMark/>
          </w:tcPr>
          <w:p w14:paraId="2282FEFB" w14:textId="77777777" w:rsidR="0026419F" w:rsidRPr="0026419F" w:rsidRDefault="0026419F" w:rsidP="0026419F">
            <w:pPr>
              <w:jc w:val="right"/>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4.537.198,00</w:t>
            </w:r>
          </w:p>
        </w:tc>
      </w:tr>
      <w:tr w:rsidR="0026419F" w:rsidRPr="0026419F" w14:paraId="73FD36FF"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4516FE48" w14:textId="77777777" w:rsidR="0026419F" w:rsidRPr="0026419F" w:rsidRDefault="0026419F" w:rsidP="0026419F">
            <w:pPr>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Glava 30001 UPRAVNI ODJEL ZA PROSTORNO UREĐENJE, ZAŠTITU OKOLIŠA I IZDAVANJA AKATA ZA GRADNJU</w:t>
            </w:r>
          </w:p>
        </w:tc>
        <w:tc>
          <w:tcPr>
            <w:tcW w:w="1739" w:type="dxa"/>
            <w:tcBorders>
              <w:top w:val="nil"/>
              <w:left w:val="nil"/>
              <w:bottom w:val="single" w:sz="4" w:space="0" w:color="auto"/>
              <w:right w:val="single" w:sz="4" w:space="0" w:color="auto"/>
            </w:tcBorders>
            <w:shd w:val="clear" w:color="auto" w:fill="FFFFFF"/>
            <w:noWrap/>
            <w:vAlign w:val="bottom"/>
            <w:hideMark/>
          </w:tcPr>
          <w:p w14:paraId="1E25EA86" w14:textId="77777777" w:rsidR="0026419F" w:rsidRPr="0026419F" w:rsidRDefault="0026419F" w:rsidP="0026419F">
            <w:pPr>
              <w:jc w:val="right"/>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4.771.731,00</w:t>
            </w:r>
          </w:p>
        </w:tc>
        <w:tc>
          <w:tcPr>
            <w:tcW w:w="1417" w:type="dxa"/>
            <w:tcBorders>
              <w:top w:val="nil"/>
              <w:left w:val="nil"/>
              <w:bottom w:val="single" w:sz="4" w:space="0" w:color="auto"/>
              <w:right w:val="single" w:sz="4" w:space="0" w:color="auto"/>
            </w:tcBorders>
            <w:shd w:val="clear" w:color="auto" w:fill="FFFFFF"/>
            <w:noWrap/>
            <w:vAlign w:val="bottom"/>
            <w:hideMark/>
          </w:tcPr>
          <w:p w14:paraId="2FA2CC68" w14:textId="77777777" w:rsidR="0026419F" w:rsidRPr="0026419F" w:rsidRDefault="0026419F" w:rsidP="0026419F">
            <w:pPr>
              <w:jc w:val="right"/>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-234.533,00</w:t>
            </w:r>
          </w:p>
        </w:tc>
        <w:tc>
          <w:tcPr>
            <w:tcW w:w="1559" w:type="dxa"/>
            <w:tcBorders>
              <w:top w:val="nil"/>
              <w:left w:val="nil"/>
              <w:bottom w:val="single" w:sz="4" w:space="0" w:color="auto"/>
              <w:right w:val="single" w:sz="4" w:space="0" w:color="auto"/>
            </w:tcBorders>
            <w:shd w:val="clear" w:color="auto" w:fill="FFFFFF"/>
            <w:noWrap/>
            <w:vAlign w:val="bottom"/>
            <w:hideMark/>
          </w:tcPr>
          <w:p w14:paraId="13886E54" w14:textId="77777777" w:rsidR="0026419F" w:rsidRPr="0026419F" w:rsidRDefault="0026419F" w:rsidP="0026419F">
            <w:pPr>
              <w:jc w:val="right"/>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4.537.198,00</w:t>
            </w:r>
          </w:p>
        </w:tc>
      </w:tr>
      <w:tr w:rsidR="0026419F" w:rsidRPr="0026419F" w14:paraId="4D1BFEC9"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5433D477" w14:textId="77777777" w:rsidR="0026419F" w:rsidRPr="0026419F" w:rsidRDefault="0026419F" w:rsidP="0026419F">
            <w:pPr>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Program 3001 Dokumenti prostornog uređenja</w:t>
            </w:r>
          </w:p>
        </w:tc>
        <w:tc>
          <w:tcPr>
            <w:tcW w:w="1739" w:type="dxa"/>
            <w:tcBorders>
              <w:top w:val="nil"/>
              <w:left w:val="nil"/>
              <w:bottom w:val="single" w:sz="4" w:space="0" w:color="auto"/>
              <w:right w:val="single" w:sz="4" w:space="0" w:color="auto"/>
            </w:tcBorders>
            <w:shd w:val="clear" w:color="auto" w:fill="FFFFFF"/>
            <w:noWrap/>
            <w:vAlign w:val="bottom"/>
            <w:hideMark/>
          </w:tcPr>
          <w:p w14:paraId="636AAE92" w14:textId="77777777" w:rsidR="0026419F" w:rsidRPr="0026419F" w:rsidRDefault="0026419F" w:rsidP="0026419F">
            <w:pPr>
              <w:jc w:val="right"/>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187.018,00</w:t>
            </w:r>
          </w:p>
        </w:tc>
        <w:tc>
          <w:tcPr>
            <w:tcW w:w="1417" w:type="dxa"/>
            <w:tcBorders>
              <w:top w:val="nil"/>
              <w:left w:val="nil"/>
              <w:bottom w:val="single" w:sz="4" w:space="0" w:color="auto"/>
              <w:right w:val="single" w:sz="4" w:space="0" w:color="auto"/>
            </w:tcBorders>
            <w:shd w:val="clear" w:color="auto" w:fill="FFFFFF"/>
            <w:noWrap/>
            <w:vAlign w:val="bottom"/>
            <w:hideMark/>
          </w:tcPr>
          <w:p w14:paraId="0EB812F9" w14:textId="77777777" w:rsidR="0026419F" w:rsidRPr="0026419F" w:rsidRDefault="0026419F" w:rsidP="0026419F">
            <w:pPr>
              <w:jc w:val="right"/>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-12.059,00</w:t>
            </w:r>
          </w:p>
        </w:tc>
        <w:tc>
          <w:tcPr>
            <w:tcW w:w="1559" w:type="dxa"/>
            <w:tcBorders>
              <w:top w:val="nil"/>
              <w:left w:val="nil"/>
              <w:bottom w:val="single" w:sz="4" w:space="0" w:color="auto"/>
              <w:right w:val="single" w:sz="4" w:space="0" w:color="auto"/>
            </w:tcBorders>
            <w:shd w:val="clear" w:color="auto" w:fill="FFFFFF"/>
            <w:noWrap/>
            <w:vAlign w:val="bottom"/>
            <w:hideMark/>
          </w:tcPr>
          <w:p w14:paraId="46BC9E91" w14:textId="77777777" w:rsidR="0026419F" w:rsidRPr="0026419F" w:rsidRDefault="0026419F" w:rsidP="0026419F">
            <w:pPr>
              <w:jc w:val="right"/>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174.959,00</w:t>
            </w:r>
          </w:p>
        </w:tc>
      </w:tr>
      <w:tr w:rsidR="0026419F" w:rsidRPr="0026419F" w14:paraId="34B8B6E0"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460A4441"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Kapitalni projekt K300001 Izrada dokumenata prostornog uređenja</w:t>
            </w:r>
          </w:p>
        </w:tc>
        <w:tc>
          <w:tcPr>
            <w:tcW w:w="1739" w:type="dxa"/>
            <w:tcBorders>
              <w:top w:val="nil"/>
              <w:left w:val="nil"/>
              <w:bottom w:val="single" w:sz="4" w:space="0" w:color="auto"/>
              <w:right w:val="single" w:sz="4" w:space="0" w:color="auto"/>
            </w:tcBorders>
            <w:shd w:val="clear" w:color="auto" w:fill="FFFFFF"/>
            <w:noWrap/>
            <w:vAlign w:val="bottom"/>
            <w:hideMark/>
          </w:tcPr>
          <w:p w14:paraId="12E94649"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128.908,00</w:t>
            </w:r>
          </w:p>
        </w:tc>
        <w:tc>
          <w:tcPr>
            <w:tcW w:w="1417" w:type="dxa"/>
            <w:tcBorders>
              <w:top w:val="nil"/>
              <w:left w:val="nil"/>
              <w:bottom w:val="single" w:sz="4" w:space="0" w:color="auto"/>
              <w:right w:val="single" w:sz="4" w:space="0" w:color="auto"/>
            </w:tcBorders>
            <w:shd w:val="clear" w:color="auto" w:fill="FFFFFF"/>
            <w:noWrap/>
            <w:vAlign w:val="bottom"/>
            <w:hideMark/>
          </w:tcPr>
          <w:p w14:paraId="1A3A1BBD"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-12.059,00</w:t>
            </w:r>
          </w:p>
        </w:tc>
        <w:tc>
          <w:tcPr>
            <w:tcW w:w="1559" w:type="dxa"/>
            <w:tcBorders>
              <w:top w:val="nil"/>
              <w:left w:val="nil"/>
              <w:bottom w:val="single" w:sz="4" w:space="0" w:color="auto"/>
              <w:right w:val="single" w:sz="4" w:space="0" w:color="auto"/>
            </w:tcBorders>
            <w:shd w:val="clear" w:color="auto" w:fill="FFFFFF"/>
            <w:noWrap/>
            <w:vAlign w:val="bottom"/>
            <w:hideMark/>
          </w:tcPr>
          <w:p w14:paraId="4246E47F"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116.849,00</w:t>
            </w:r>
          </w:p>
        </w:tc>
      </w:tr>
      <w:tr w:rsidR="0026419F" w:rsidRPr="0026419F" w14:paraId="60B72853"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2D4C87F1"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Kapitalni projekt K300002 Provedba dokumenata prostornog uređenja</w:t>
            </w:r>
          </w:p>
        </w:tc>
        <w:tc>
          <w:tcPr>
            <w:tcW w:w="1739" w:type="dxa"/>
            <w:tcBorders>
              <w:top w:val="nil"/>
              <w:left w:val="nil"/>
              <w:bottom w:val="single" w:sz="4" w:space="0" w:color="auto"/>
              <w:right w:val="single" w:sz="4" w:space="0" w:color="auto"/>
            </w:tcBorders>
            <w:shd w:val="clear" w:color="auto" w:fill="FFFFFF"/>
            <w:noWrap/>
            <w:vAlign w:val="bottom"/>
            <w:hideMark/>
          </w:tcPr>
          <w:p w14:paraId="6C07F6D9"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58.110,00</w:t>
            </w:r>
          </w:p>
        </w:tc>
        <w:tc>
          <w:tcPr>
            <w:tcW w:w="1417" w:type="dxa"/>
            <w:tcBorders>
              <w:top w:val="nil"/>
              <w:left w:val="nil"/>
              <w:bottom w:val="single" w:sz="4" w:space="0" w:color="auto"/>
              <w:right w:val="single" w:sz="4" w:space="0" w:color="auto"/>
            </w:tcBorders>
            <w:shd w:val="clear" w:color="auto" w:fill="FFFFFF"/>
            <w:noWrap/>
            <w:vAlign w:val="bottom"/>
            <w:hideMark/>
          </w:tcPr>
          <w:p w14:paraId="0895DBEB"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0,00</w:t>
            </w:r>
          </w:p>
        </w:tc>
        <w:tc>
          <w:tcPr>
            <w:tcW w:w="1559" w:type="dxa"/>
            <w:tcBorders>
              <w:top w:val="nil"/>
              <w:left w:val="nil"/>
              <w:bottom w:val="single" w:sz="4" w:space="0" w:color="auto"/>
              <w:right w:val="single" w:sz="4" w:space="0" w:color="auto"/>
            </w:tcBorders>
            <w:shd w:val="clear" w:color="auto" w:fill="FFFFFF"/>
            <w:noWrap/>
            <w:vAlign w:val="bottom"/>
            <w:hideMark/>
          </w:tcPr>
          <w:p w14:paraId="78228E39"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58.110,00</w:t>
            </w:r>
          </w:p>
        </w:tc>
      </w:tr>
      <w:tr w:rsidR="0026419F" w:rsidRPr="0026419F" w14:paraId="53C8EB1E"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6D92EFA9" w14:textId="77777777" w:rsidR="0026419F" w:rsidRPr="0026419F" w:rsidRDefault="0026419F" w:rsidP="0026419F">
            <w:pPr>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Program 3002 Izgradnja komunalne infrastrukture</w:t>
            </w:r>
          </w:p>
        </w:tc>
        <w:tc>
          <w:tcPr>
            <w:tcW w:w="1739" w:type="dxa"/>
            <w:tcBorders>
              <w:top w:val="nil"/>
              <w:left w:val="nil"/>
              <w:bottom w:val="single" w:sz="4" w:space="0" w:color="auto"/>
              <w:right w:val="single" w:sz="4" w:space="0" w:color="auto"/>
            </w:tcBorders>
            <w:shd w:val="clear" w:color="auto" w:fill="FFFFFF"/>
            <w:noWrap/>
            <w:vAlign w:val="bottom"/>
            <w:hideMark/>
          </w:tcPr>
          <w:p w14:paraId="39011BBC" w14:textId="77777777" w:rsidR="0026419F" w:rsidRPr="0026419F" w:rsidRDefault="0026419F" w:rsidP="0026419F">
            <w:pPr>
              <w:jc w:val="right"/>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2.272.742,00</w:t>
            </w:r>
          </w:p>
        </w:tc>
        <w:tc>
          <w:tcPr>
            <w:tcW w:w="1417" w:type="dxa"/>
            <w:tcBorders>
              <w:top w:val="nil"/>
              <w:left w:val="nil"/>
              <w:bottom w:val="single" w:sz="4" w:space="0" w:color="auto"/>
              <w:right w:val="single" w:sz="4" w:space="0" w:color="auto"/>
            </w:tcBorders>
            <w:shd w:val="clear" w:color="auto" w:fill="FFFFFF"/>
            <w:noWrap/>
            <w:vAlign w:val="bottom"/>
            <w:hideMark/>
          </w:tcPr>
          <w:p w14:paraId="7A91C027" w14:textId="77777777" w:rsidR="0026419F" w:rsidRPr="0026419F" w:rsidRDefault="0026419F" w:rsidP="0026419F">
            <w:pPr>
              <w:jc w:val="right"/>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-750.303,00</w:t>
            </w:r>
          </w:p>
        </w:tc>
        <w:tc>
          <w:tcPr>
            <w:tcW w:w="1559" w:type="dxa"/>
            <w:tcBorders>
              <w:top w:val="nil"/>
              <w:left w:val="nil"/>
              <w:bottom w:val="single" w:sz="4" w:space="0" w:color="auto"/>
              <w:right w:val="single" w:sz="4" w:space="0" w:color="auto"/>
            </w:tcBorders>
            <w:shd w:val="clear" w:color="auto" w:fill="FFFFFF"/>
            <w:noWrap/>
            <w:vAlign w:val="bottom"/>
            <w:hideMark/>
          </w:tcPr>
          <w:p w14:paraId="44859599" w14:textId="77777777" w:rsidR="0026419F" w:rsidRPr="0026419F" w:rsidRDefault="0026419F" w:rsidP="0026419F">
            <w:pPr>
              <w:jc w:val="right"/>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1.522.439,00</w:t>
            </w:r>
          </w:p>
        </w:tc>
      </w:tr>
      <w:tr w:rsidR="0026419F" w:rsidRPr="0026419F" w14:paraId="0CD3D9A0"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5DF0C440"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Kapitalni projekt K300006 Projekti cesta i ostale infrastrukture u zonama izgradnje</w:t>
            </w:r>
          </w:p>
        </w:tc>
        <w:tc>
          <w:tcPr>
            <w:tcW w:w="1739" w:type="dxa"/>
            <w:tcBorders>
              <w:top w:val="nil"/>
              <w:left w:val="nil"/>
              <w:bottom w:val="single" w:sz="4" w:space="0" w:color="auto"/>
              <w:right w:val="single" w:sz="4" w:space="0" w:color="auto"/>
            </w:tcBorders>
            <w:shd w:val="clear" w:color="auto" w:fill="FFFFFF"/>
            <w:noWrap/>
            <w:vAlign w:val="bottom"/>
            <w:hideMark/>
          </w:tcPr>
          <w:p w14:paraId="78A5A9BB"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25.000,00</w:t>
            </w:r>
          </w:p>
        </w:tc>
        <w:tc>
          <w:tcPr>
            <w:tcW w:w="1417" w:type="dxa"/>
            <w:tcBorders>
              <w:top w:val="nil"/>
              <w:left w:val="nil"/>
              <w:bottom w:val="single" w:sz="4" w:space="0" w:color="auto"/>
              <w:right w:val="single" w:sz="4" w:space="0" w:color="auto"/>
            </w:tcBorders>
            <w:shd w:val="clear" w:color="auto" w:fill="FFFFFF"/>
            <w:noWrap/>
            <w:vAlign w:val="bottom"/>
            <w:hideMark/>
          </w:tcPr>
          <w:p w14:paraId="066D6D03"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0,00</w:t>
            </w:r>
          </w:p>
        </w:tc>
        <w:tc>
          <w:tcPr>
            <w:tcW w:w="1559" w:type="dxa"/>
            <w:tcBorders>
              <w:top w:val="nil"/>
              <w:left w:val="nil"/>
              <w:bottom w:val="single" w:sz="4" w:space="0" w:color="auto"/>
              <w:right w:val="single" w:sz="4" w:space="0" w:color="auto"/>
            </w:tcBorders>
            <w:shd w:val="clear" w:color="auto" w:fill="FFFFFF"/>
            <w:noWrap/>
            <w:vAlign w:val="bottom"/>
            <w:hideMark/>
          </w:tcPr>
          <w:p w14:paraId="2EFBCC28"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25.000,00</w:t>
            </w:r>
          </w:p>
        </w:tc>
      </w:tr>
      <w:tr w:rsidR="0026419F" w:rsidRPr="0026419F" w14:paraId="2601A782"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3650805B"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lastRenderedPageBreak/>
              <w:t xml:space="preserve">Kapitalni projekt K300012 Infrastruktura u starogradskoj jezgri i popločenje </w:t>
            </w:r>
            <w:proofErr w:type="spellStart"/>
            <w:r w:rsidRPr="0026419F">
              <w:rPr>
                <w:rFonts w:ascii="Arial" w:hAnsi="Arial" w:cs="Arial"/>
                <w:kern w:val="2"/>
                <w:sz w:val="20"/>
                <w:szCs w:val="20"/>
                <w14:ligatures w14:val="standardContextual"/>
              </w:rPr>
              <w:t>parternih</w:t>
            </w:r>
            <w:proofErr w:type="spellEnd"/>
            <w:r w:rsidRPr="0026419F">
              <w:rPr>
                <w:rFonts w:ascii="Arial" w:hAnsi="Arial" w:cs="Arial"/>
                <w:kern w:val="2"/>
                <w:sz w:val="20"/>
                <w:szCs w:val="20"/>
                <w14:ligatures w14:val="standardContextual"/>
              </w:rPr>
              <w:t xml:space="preserve"> površina</w:t>
            </w:r>
          </w:p>
        </w:tc>
        <w:tc>
          <w:tcPr>
            <w:tcW w:w="1739" w:type="dxa"/>
            <w:tcBorders>
              <w:top w:val="nil"/>
              <w:left w:val="nil"/>
              <w:bottom w:val="single" w:sz="4" w:space="0" w:color="auto"/>
              <w:right w:val="single" w:sz="4" w:space="0" w:color="auto"/>
            </w:tcBorders>
            <w:shd w:val="clear" w:color="auto" w:fill="FFFFFF"/>
            <w:noWrap/>
            <w:vAlign w:val="bottom"/>
            <w:hideMark/>
          </w:tcPr>
          <w:p w14:paraId="4958E37F"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296.800,00</w:t>
            </w:r>
          </w:p>
        </w:tc>
        <w:tc>
          <w:tcPr>
            <w:tcW w:w="1417" w:type="dxa"/>
            <w:tcBorders>
              <w:top w:val="nil"/>
              <w:left w:val="nil"/>
              <w:bottom w:val="single" w:sz="4" w:space="0" w:color="auto"/>
              <w:right w:val="single" w:sz="4" w:space="0" w:color="auto"/>
            </w:tcBorders>
            <w:shd w:val="clear" w:color="auto" w:fill="FFFFFF"/>
            <w:noWrap/>
            <w:vAlign w:val="bottom"/>
            <w:hideMark/>
          </w:tcPr>
          <w:p w14:paraId="721C6111"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-261.800,00</w:t>
            </w:r>
          </w:p>
        </w:tc>
        <w:tc>
          <w:tcPr>
            <w:tcW w:w="1559" w:type="dxa"/>
            <w:tcBorders>
              <w:top w:val="nil"/>
              <w:left w:val="nil"/>
              <w:bottom w:val="single" w:sz="4" w:space="0" w:color="auto"/>
              <w:right w:val="single" w:sz="4" w:space="0" w:color="auto"/>
            </w:tcBorders>
            <w:shd w:val="clear" w:color="auto" w:fill="FFFFFF"/>
            <w:noWrap/>
            <w:vAlign w:val="bottom"/>
            <w:hideMark/>
          </w:tcPr>
          <w:p w14:paraId="45C4B286"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35.000,00</w:t>
            </w:r>
          </w:p>
        </w:tc>
      </w:tr>
      <w:tr w:rsidR="0026419F" w:rsidRPr="0026419F" w14:paraId="3822196C"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2883DE20"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 xml:space="preserve">Kapitalni projekt K300029 Park </w:t>
            </w:r>
            <w:proofErr w:type="spellStart"/>
            <w:r w:rsidRPr="0026419F">
              <w:rPr>
                <w:rFonts w:ascii="Arial" w:hAnsi="Arial" w:cs="Arial"/>
                <w:kern w:val="2"/>
                <w:sz w:val="20"/>
                <w:szCs w:val="20"/>
                <w14:ligatures w14:val="standardContextual"/>
              </w:rPr>
              <w:t>Pineta</w:t>
            </w:r>
            <w:proofErr w:type="spellEnd"/>
          </w:p>
        </w:tc>
        <w:tc>
          <w:tcPr>
            <w:tcW w:w="1739" w:type="dxa"/>
            <w:tcBorders>
              <w:top w:val="nil"/>
              <w:left w:val="nil"/>
              <w:bottom w:val="single" w:sz="4" w:space="0" w:color="auto"/>
              <w:right w:val="single" w:sz="4" w:space="0" w:color="auto"/>
            </w:tcBorders>
            <w:shd w:val="clear" w:color="auto" w:fill="FFFFFF"/>
            <w:noWrap/>
            <w:vAlign w:val="bottom"/>
            <w:hideMark/>
          </w:tcPr>
          <w:p w14:paraId="65ED386E"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408.186,00</w:t>
            </w:r>
          </w:p>
        </w:tc>
        <w:tc>
          <w:tcPr>
            <w:tcW w:w="1417" w:type="dxa"/>
            <w:tcBorders>
              <w:top w:val="nil"/>
              <w:left w:val="nil"/>
              <w:bottom w:val="single" w:sz="4" w:space="0" w:color="auto"/>
              <w:right w:val="single" w:sz="4" w:space="0" w:color="auto"/>
            </w:tcBorders>
            <w:shd w:val="clear" w:color="auto" w:fill="FFFFFF"/>
            <w:noWrap/>
            <w:vAlign w:val="bottom"/>
            <w:hideMark/>
          </w:tcPr>
          <w:p w14:paraId="589AC6C0"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-277.155,00</w:t>
            </w:r>
          </w:p>
        </w:tc>
        <w:tc>
          <w:tcPr>
            <w:tcW w:w="1559" w:type="dxa"/>
            <w:tcBorders>
              <w:top w:val="nil"/>
              <w:left w:val="nil"/>
              <w:bottom w:val="single" w:sz="4" w:space="0" w:color="auto"/>
              <w:right w:val="single" w:sz="4" w:space="0" w:color="auto"/>
            </w:tcBorders>
            <w:shd w:val="clear" w:color="auto" w:fill="FFFFFF"/>
            <w:noWrap/>
            <w:vAlign w:val="bottom"/>
            <w:hideMark/>
          </w:tcPr>
          <w:p w14:paraId="44C79814"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131.031,00</w:t>
            </w:r>
          </w:p>
        </w:tc>
      </w:tr>
      <w:tr w:rsidR="0026419F" w:rsidRPr="0026419F" w14:paraId="3926A19E"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0F361C21"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Kapitalni projekt K300038 Spomenik rudaru borcu</w:t>
            </w:r>
          </w:p>
        </w:tc>
        <w:tc>
          <w:tcPr>
            <w:tcW w:w="1739" w:type="dxa"/>
            <w:tcBorders>
              <w:top w:val="nil"/>
              <w:left w:val="nil"/>
              <w:bottom w:val="single" w:sz="4" w:space="0" w:color="auto"/>
              <w:right w:val="single" w:sz="4" w:space="0" w:color="auto"/>
            </w:tcBorders>
            <w:shd w:val="clear" w:color="auto" w:fill="FFFFFF"/>
            <w:noWrap/>
            <w:vAlign w:val="bottom"/>
            <w:hideMark/>
          </w:tcPr>
          <w:p w14:paraId="29E1D3F0"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147.990,00</w:t>
            </w:r>
          </w:p>
        </w:tc>
        <w:tc>
          <w:tcPr>
            <w:tcW w:w="1417" w:type="dxa"/>
            <w:tcBorders>
              <w:top w:val="nil"/>
              <w:left w:val="nil"/>
              <w:bottom w:val="single" w:sz="4" w:space="0" w:color="auto"/>
              <w:right w:val="single" w:sz="4" w:space="0" w:color="auto"/>
            </w:tcBorders>
            <w:shd w:val="clear" w:color="auto" w:fill="FFFFFF"/>
            <w:noWrap/>
            <w:vAlign w:val="bottom"/>
            <w:hideMark/>
          </w:tcPr>
          <w:p w14:paraId="578C6FA2"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124.963,00</w:t>
            </w:r>
          </w:p>
        </w:tc>
        <w:tc>
          <w:tcPr>
            <w:tcW w:w="1559" w:type="dxa"/>
            <w:tcBorders>
              <w:top w:val="nil"/>
              <w:left w:val="nil"/>
              <w:bottom w:val="single" w:sz="4" w:space="0" w:color="auto"/>
              <w:right w:val="single" w:sz="4" w:space="0" w:color="auto"/>
            </w:tcBorders>
            <w:shd w:val="clear" w:color="auto" w:fill="FFFFFF"/>
            <w:noWrap/>
            <w:vAlign w:val="bottom"/>
            <w:hideMark/>
          </w:tcPr>
          <w:p w14:paraId="41A384B3"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272.953,00</w:t>
            </w:r>
          </w:p>
        </w:tc>
      </w:tr>
      <w:tr w:rsidR="0026419F" w:rsidRPr="0026419F" w14:paraId="2D248798"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1A12F508"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Kapitalni projekt K300041 Ostali poslovi vezani za izgradnju komunalne infrastrukture</w:t>
            </w:r>
          </w:p>
        </w:tc>
        <w:tc>
          <w:tcPr>
            <w:tcW w:w="1739" w:type="dxa"/>
            <w:tcBorders>
              <w:top w:val="nil"/>
              <w:left w:val="nil"/>
              <w:bottom w:val="single" w:sz="4" w:space="0" w:color="auto"/>
              <w:right w:val="single" w:sz="4" w:space="0" w:color="auto"/>
            </w:tcBorders>
            <w:shd w:val="clear" w:color="auto" w:fill="FFFFFF"/>
            <w:noWrap/>
            <w:vAlign w:val="bottom"/>
            <w:hideMark/>
          </w:tcPr>
          <w:p w14:paraId="644EE415"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63.495,00</w:t>
            </w:r>
          </w:p>
        </w:tc>
        <w:tc>
          <w:tcPr>
            <w:tcW w:w="1417" w:type="dxa"/>
            <w:tcBorders>
              <w:top w:val="nil"/>
              <w:left w:val="nil"/>
              <w:bottom w:val="single" w:sz="4" w:space="0" w:color="auto"/>
              <w:right w:val="single" w:sz="4" w:space="0" w:color="auto"/>
            </w:tcBorders>
            <w:shd w:val="clear" w:color="auto" w:fill="FFFFFF"/>
            <w:noWrap/>
            <w:vAlign w:val="bottom"/>
            <w:hideMark/>
          </w:tcPr>
          <w:p w14:paraId="4190F1F7"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1.035,00</w:t>
            </w:r>
          </w:p>
        </w:tc>
        <w:tc>
          <w:tcPr>
            <w:tcW w:w="1559" w:type="dxa"/>
            <w:tcBorders>
              <w:top w:val="nil"/>
              <w:left w:val="nil"/>
              <w:bottom w:val="single" w:sz="4" w:space="0" w:color="auto"/>
              <w:right w:val="single" w:sz="4" w:space="0" w:color="auto"/>
            </w:tcBorders>
            <w:shd w:val="clear" w:color="auto" w:fill="FFFFFF"/>
            <w:noWrap/>
            <w:vAlign w:val="bottom"/>
            <w:hideMark/>
          </w:tcPr>
          <w:p w14:paraId="709F5FA1"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64.530,00</w:t>
            </w:r>
          </w:p>
        </w:tc>
      </w:tr>
      <w:tr w:rsidR="0026419F" w:rsidRPr="0026419F" w14:paraId="128C4DBD"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6D729F78"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Kapitalni projekt K300044 Opremanje zone urbanih vila na lokaciji uz Istarsku ulicu</w:t>
            </w:r>
          </w:p>
        </w:tc>
        <w:tc>
          <w:tcPr>
            <w:tcW w:w="1739" w:type="dxa"/>
            <w:tcBorders>
              <w:top w:val="nil"/>
              <w:left w:val="nil"/>
              <w:bottom w:val="single" w:sz="4" w:space="0" w:color="auto"/>
              <w:right w:val="single" w:sz="4" w:space="0" w:color="auto"/>
            </w:tcBorders>
            <w:shd w:val="clear" w:color="auto" w:fill="FFFFFF"/>
            <w:noWrap/>
            <w:vAlign w:val="bottom"/>
            <w:hideMark/>
          </w:tcPr>
          <w:p w14:paraId="615CA2D9"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90.700,00</w:t>
            </w:r>
          </w:p>
        </w:tc>
        <w:tc>
          <w:tcPr>
            <w:tcW w:w="1417" w:type="dxa"/>
            <w:tcBorders>
              <w:top w:val="nil"/>
              <w:left w:val="nil"/>
              <w:bottom w:val="single" w:sz="4" w:space="0" w:color="auto"/>
              <w:right w:val="single" w:sz="4" w:space="0" w:color="auto"/>
            </w:tcBorders>
            <w:shd w:val="clear" w:color="auto" w:fill="FFFFFF"/>
            <w:noWrap/>
            <w:vAlign w:val="bottom"/>
            <w:hideMark/>
          </w:tcPr>
          <w:p w14:paraId="39E03A2C"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0,00</w:t>
            </w:r>
          </w:p>
        </w:tc>
        <w:tc>
          <w:tcPr>
            <w:tcW w:w="1559" w:type="dxa"/>
            <w:tcBorders>
              <w:top w:val="nil"/>
              <w:left w:val="nil"/>
              <w:bottom w:val="single" w:sz="4" w:space="0" w:color="auto"/>
              <w:right w:val="single" w:sz="4" w:space="0" w:color="auto"/>
            </w:tcBorders>
            <w:shd w:val="clear" w:color="auto" w:fill="FFFFFF"/>
            <w:noWrap/>
            <w:vAlign w:val="bottom"/>
            <w:hideMark/>
          </w:tcPr>
          <w:p w14:paraId="6A246D91"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90.700,00</w:t>
            </w:r>
          </w:p>
        </w:tc>
      </w:tr>
      <w:tr w:rsidR="0026419F" w:rsidRPr="0026419F" w14:paraId="0A0B6A0E"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2B8EFB04"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 xml:space="preserve">Kapitalni projekt K300045 Nerazvrstana cesta u Rapcu (k.č.1779/4, </w:t>
            </w:r>
            <w:proofErr w:type="spellStart"/>
            <w:r w:rsidRPr="0026419F">
              <w:rPr>
                <w:rFonts w:ascii="Arial" w:hAnsi="Arial" w:cs="Arial"/>
                <w:kern w:val="2"/>
                <w:sz w:val="20"/>
                <w:szCs w:val="20"/>
                <w14:ligatures w14:val="standardContextual"/>
              </w:rPr>
              <w:t>k.č</w:t>
            </w:r>
            <w:proofErr w:type="spellEnd"/>
            <w:r w:rsidRPr="0026419F">
              <w:rPr>
                <w:rFonts w:ascii="Arial" w:hAnsi="Arial" w:cs="Arial"/>
                <w:kern w:val="2"/>
                <w:sz w:val="20"/>
                <w:szCs w:val="20"/>
                <w14:ligatures w14:val="standardContextual"/>
              </w:rPr>
              <w:t xml:space="preserve">. 1770/5 i </w:t>
            </w:r>
            <w:proofErr w:type="spellStart"/>
            <w:r w:rsidRPr="0026419F">
              <w:rPr>
                <w:rFonts w:ascii="Arial" w:hAnsi="Arial" w:cs="Arial"/>
                <w:kern w:val="2"/>
                <w:sz w:val="20"/>
                <w:szCs w:val="20"/>
                <w14:ligatures w14:val="standardContextual"/>
              </w:rPr>
              <w:t>k.č</w:t>
            </w:r>
            <w:proofErr w:type="spellEnd"/>
            <w:r w:rsidRPr="0026419F">
              <w:rPr>
                <w:rFonts w:ascii="Arial" w:hAnsi="Arial" w:cs="Arial"/>
                <w:kern w:val="2"/>
                <w:sz w:val="20"/>
                <w:szCs w:val="20"/>
                <w14:ligatures w14:val="standardContextual"/>
              </w:rPr>
              <w:t xml:space="preserve">. 1778/6 sve k.o. </w:t>
            </w:r>
            <w:proofErr w:type="spellStart"/>
            <w:r w:rsidRPr="0026419F">
              <w:rPr>
                <w:rFonts w:ascii="Arial" w:hAnsi="Arial" w:cs="Arial"/>
                <w:kern w:val="2"/>
                <w:sz w:val="20"/>
                <w:szCs w:val="20"/>
                <w14:ligatures w14:val="standardContextual"/>
              </w:rPr>
              <w:t>Ripenda</w:t>
            </w:r>
            <w:proofErr w:type="spellEnd"/>
            <w:r w:rsidRPr="0026419F">
              <w:rPr>
                <w:rFonts w:ascii="Arial" w:hAnsi="Arial" w:cs="Arial"/>
                <w:kern w:val="2"/>
                <w:sz w:val="20"/>
                <w:szCs w:val="20"/>
                <w14:ligatures w14:val="standardContextual"/>
              </w:rPr>
              <w:t>) - spoj na NC 16</w:t>
            </w:r>
          </w:p>
        </w:tc>
        <w:tc>
          <w:tcPr>
            <w:tcW w:w="1739" w:type="dxa"/>
            <w:tcBorders>
              <w:top w:val="nil"/>
              <w:left w:val="nil"/>
              <w:bottom w:val="single" w:sz="4" w:space="0" w:color="auto"/>
              <w:right w:val="single" w:sz="4" w:space="0" w:color="auto"/>
            </w:tcBorders>
            <w:shd w:val="clear" w:color="auto" w:fill="FFFFFF"/>
            <w:noWrap/>
            <w:vAlign w:val="bottom"/>
            <w:hideMark/>
          </w:tcPr>
          <w:p w14:paraId="27409A80"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63.570,00</w:t>
            </w:r>
          </w:p>
        </w:tc>
        <w:tc>
          <w:tcPr>
            <w:tcW w:w="1417" w:type="dxa"/>
            <w:tcBorders>
              <w:top w:val="nil"/>
              <w:left w:val="nil"/>
              <w:bottom w:val="single" w:sz="4" w:space="0" w:color="auto"/>
              <w:right w:val="single" w:sz="4" w:space="0" w:color="auto"/>
            </w:tcBorders>
            <w:shd w:val="clear" w:color="auto" w:fill="FFFFFF"/>
            <w:noWrap/>
            <w:vAlign w:val="bottom"/>
            <w:hideMark/>
          </w:tcPr>
          <w:p w14:paraId="7473F65D"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0,00</w:t>
            </w:r>
          </w:p>
        </w:tc>
        <w:tc>
          <w:tcPr>
            <w:tcW w:w="1559" w:type="dxa"/>
            <w:tcBorders>
              <w:top w:val="nil"/>
              <w:left w:val="nil"/>
              <w:bottom w:val="single" w:sz="4" w:space="0" w:color="auto"/>
              <w:right w:val="single" w:sz="4" w:space="0" w:color="auto"/>
            </w:tcBorders>
            <w:shd w:val="clear" w:color="auto" w:fill="FFFFFF"/>
            <w:noWrap/>
            <w:vAlign w:val="bottom"/>
            <w:hideMark/>
          </w:tcPr>
          <w:p w14:paraId="1FBF5422"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63.570,00</w:t>
            </w:r>
          </w:p>
        </w:tc>
      </w:tr>
      <w:tr w:rsidR="0026419F" w:rsidRPr="0026419F" w14:paraId="78A26F69"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72F05C6C"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Kapitalni projekt K300051 Omladinska ulica Rabac - rekonstrukcija raskrižja</w:t>
            </w:r>
          </w:p>
        </w:tc>
        <w:tc>
          <w:tcPr>
            <w:tcW w:w="1739" w:type="dxa"/>
            <w:tcBorders>
              <w:top w:val="nil"/>
              <w:left w:val="nil"/>
              <w:bottom w:val="single" w:sz="4" w:space="0" w:color="auto"/>
              <w:right w:val="single" w:sz="4" w:space="0" w:color="auto"/>
            </w:tcBorders>
            <w:shd w:val="clear" w:color="auto" w:fill="FFFFFF"/>
            <w:noWrap/>
            <w:vAlign w:val="bottom"/>
            <w:hideMark/>
          </w:tcPr>
          <w:p w14:paraId="0A168410"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205.215,00</w:t>
            </w:r>
          </w:p>
        </w:tc>
        <w:tc>
          <w:tcPr>
            <w:tcW w:w="1417" w:type="dxa"/>
            <w:tcBorders>
              <w:top w:val="nil"/>
              <w:left w:val="nil"/>
              <w:bottom w:val="single" w:sz="4" w:space="0" w:color="auto"/>
              <w:right w:val="single" w:sz="4" w:space="0" w:color="auto"/>
            </w:tcBorders>
            <w:shd w:val="clear" w:color="auto" w:fill="FFFFFF"/>
            <w:noWrap/>
            <w:vAlign w:val="bottom"/>
            <w:hideMark/>
          </w:tcPr>
          <w:p w14:paraId="1CD511C9"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0,00</w:t>
            </w:r>
          </w:p>
        </w:tc>
        <w:tc>
          <w:tcPr>
            <w:tcW w:w="1559" w:type="dxa"/>
            <w:tcBorders>
              <w:top w:val="nil"/>
              <w:left w:val="nil"/>
              <w:bottom w:val="single" w:sz="4" w:space="0" w:color="auto"/>
              <w:right w:val="single" w:sz="4" w:space="0" w:color="auto"/>
            </w:tcBorders>
            <w:shd w:val="clear" w:color="auto" w:fill="FFFFFF"/>
            <w:noWrap/>
            <w:vAlign w:val="bottom"/>
            <w:hideMark/>
          </w:tcPr>
          <w:p w14:paraId="351819CC"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205.215,00</w:t>
            </w:r>
          </w:p>
        </w:tc>
      </w:tr>
      <w:tr w:rsidR="0026419F" w:rsidRPr="0026419F" w14:paraId="0D30A1DE"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0A991A37"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Kapitalni projekt K300055 Uređenje priobalnog dijela Centralne zone naselja Rabac</w:t>
            </w:r>
          </w:p>
        </w:tc>
        <w:tc>
          <w:tcPr>
            <w:tcW w:w="1739" w:type="dxa"/>
            <w:tcBorders>
              <w:top w:val="nil"/>
              <w:left w:val="nil"/>
              <w:bottom w:val="single" w:sz="4" w:space="0" w:color="auto"/>
              <w:right w:val="single" w:sz="4" w:space="0" w:color="auto"/>
            </w:tcBorders>
            <w:shd w:val="clear" w:color="auto" w:fill="FFFFFF"/>
            <w:noWrap/>
            <w:vAlign w:val="bottom"/>
            <w:hideMark/>
          </w:tcPr>
          <w:p w14:paraId="2E8F6841"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77.164,00</w:t>
            </w:r>
          </w:p>
        </w:tc>
        <w:tc>
          <w:tcPr>
            <w:tcW w:w="1417" w:type="dxa"/>
            <w:tcBorders>
              <w:top w:val="nil"/>
              <w:left w:val="nil"/>
              <w:bottom w:val="single" w:sz="4" w:space="0" w:color="auto"/>
              <w:right w:val="single" w:sz="4" w:space="0" w:color="auto"/>
            </w:tcBorders>
            <w:shd w:val="clear" w:color="auto" w:fill="FFFFFF"/>
            <w:noWrap/>
            <w:vAlign w:val="bottom"/>
            <w:hideMark/>
          </w:tcPr>
          <w:p w14:paraId="4E9F48E6"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-50.000,00</w:t>
            </w:r>
          </w:p>
        </w:tc>
        <w:tc>
          <w:tcPr>
            <w:tcW w:w="1559" w:type="dxa"/>
            <w:tcBorders>
              <w:top w:val="nil"/>
              <w:left w:val="nil"/>
              <w:bottom w:val="single" w:sz="4" w:space="0" w:color="auto"/>
              <w:right w:val="single" w:sz="4" w:space="0" w:color="auto"/>
            </w:tcBorders>
            <w:shd w:val="clear" w:color="auto" w:fill="FFFFFF"/>
            <w:noWrap/>
            <w:vAlign w:val="bottom"/>
            <w:hideMark/>
          </w:tcPr>
          <w:p w14:paraId="4FBC7DBD"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27.164,00</w:t>
            </w:r>
          </w:p>
        </w:tc>
      </w:tr>
      <w:tr w:rsidR="0026419F" w:rsidRPr="0026419F" w14:paraId="08097C12"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1DBE6BD6"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 xml:space="preserve">Kapitalni projekt K300056 Cesta Ulaz Rabac - Ulica </w:t>
            </w:r>
            <w:proofErr w:type="spellStart"/>
            <w:r w:rsidRPr="0026419F">
              <w:rPr>
                <w:rFonts w:ascii="Arial" w:hAnsi="Arial" w:cs="Arial"/>
                <w:kern w:val="2"/>
                <w:sz w:val="20"/>
                <w:szCs w:val="20"/>
                <w14:ligatures w14:val="standardContextual"/>
              </w:rPr>
              <w:t>G.Martinuzzi</w:t>
            </w:r>
            <w:proofErr w:type="spellEnd"/>
            <w:r w:rsidRPr="0026419F">
              <w:rPr>
                <w:rFonts w:ascii="Arial" w:hAnsi="Arial" w:cs="Arial"/>
                <w:kern w:val="2"/>
                <w:sz w:val="20"/>
                <w:szCs w:val="20"/>
                <w14:ligatures w14:val="standardContextual"/>
              </w:rPr>
              <w:t>-  Creska ulica</w:t>
            </w:r>
          </w:p>
        </w:tc>
        <w:tc>
          <w:tcPr>
            <w:tcW w:w="1739" w:type="dxa"/>
            <w:tcBorders>
              <w:top w:val="nil"/>
              <w:left w:val="nil"/>
              <w:bottom w:val="single" w:sz="4" w:space="0" w:color="auto"/>
              <w:right w:val="single" w:sz="4" w:space="0" w:color="auto"/>
            </w:tcBorders>
            <w:shd w:val="clear" w:color="auto" w:fill="FFFFFF"/>
            <w:noWrap/>
            <w:vAlign w:val="bottom"/>
            <w:hideMark/>
          </w:tcPr>
          <w:p w14:paraId="2D3BAE56"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250.000,00</w:t>
            </w:r>
          </w:p>
        </w:tc>
        <w:tc>
          <w:tcPr>
            <w:tcW w:w="1417" w:type="dxa"/>
            <w:tcBorders>
              <w:top w:val="nil"/>
              <w:left w:val="nil"/>
              <w:bottom w:val="single" w:sz="4" w:space="0" w:color="auto"/>
              <w:right w:val="single" w:sz="4" w:space="0" w:color="auto"/>
            </w:tcBorders>
            <w:shd w:val="clear" w:color="auto" w:fill="FFFFFF"/>
            <w:noWrap/>
            <w:vAlign w:val="bottom"/>
            <w:hideMark/>
          </w:tcPr>
          <w:p w14:paraId="659BD88E"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0,00</w:t>
            </w:r>
          </w:p>
        </w:tc>
        <w:tc>
          <w:tcPr>
            <w:tcW w:w="1559" w:type="dxa"/>
            <w:tcBorders>
              <w:top w:val="nil"/>
              <w:left w:val="nil"/>
              <w:bottom w:val="single" w:sz="4" w:space="0" w:color="auto"/>
              <w:right w:val="single" w:sz="4" w:space="0" w:color="auto"/>
            </w:tcBorders>
            <w:shd w:val="clear" w:color="auto" w:fill="FFFFFF"/>
            <w:noWrap/>
            <w:vAlign w:val="bottom"/>
            <w:hideMark/>
          </w:tcPr>
          <w:p w14:paraId="26CFAC15"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250.000,00</w:t>
            </w:r>
          </w:p>
        </w:tc>
      </w:tr>
      <w:tr w:rsidR="0026419F" w:rsidRPr="0026419F" w14:paraId="59D7E43D"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6EE97B3A"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 xml:space="preserve">Kapitalni projekt K300058 Park </w:t>
            </w:r>
            <w:proofErr w:type="spellStart"/>
            <w:r w:rsidRPr="0026419F">
              <w:rPr>
                <w:rFonts w:ascii="Arial" w:hAnsi="Arial" w:cs="Arial"/>
                <w:kern w:val="2"/>
                <w:sz w:val="20"/>
                <w:szCs w:val="20"/>
                <w14:ligatures w14:val="standardContextual"/>
              </w:rPr>
              <w:t>Kature</w:t>
            </w:r>
            <w:proofErr w:type="spellEnd"/>
          </w:p>
        </w:tc>
        <w:tc>
          <w:tcPr>
            <w:tcW w:w="1739" w:type="dxa"/>
            <w:tcBorders>
              <w:top w:val="nil"/>
              <w:left w:val="nil"/>
              <w:bottom w:val="single" w:sz="4" w:space="0" w:color="auto"/>
              <w:right w:val="single" w:sz="4" w:space="0" w:color="auto"/>
            </w:tcBorders>
            <w:shd w:val="clear" w:color="auto" w:fill="FFFFFF"/>
            <w:noWrap/>
            <w:vAlign w:val="bottom"/>
            <w:hideMark/>
          </w:tcPr>
          <w:p w14:paraId="0E296539"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377.622,00</w:t>
            </w:r>
          </w:p>
        </w:tc>
        <w:tc>
          <w:tcPr>
            <w:tcW w:w="1417" w:type="dxa"/>
            <w:tcBorders>
              <w:top w:val="nil"/>
              <w:left w:val="nil"/>
              <w:bottom w:val="single" w:sz="4" w:space="0" w:color="auto"/>
              <w:right w:val="single" w:sz="4" w:space="0" w:color="auto"/>
            </w:tcBorders>
            <w:shd w:val="clear" w:color="auto" w:fill="FFFFFF"/>
            <w:noWrap/>
            <w:vAlign w:val="bottom"/>
            <w:hideMark/>
          </w:tcPr>
          <w:p w14:paraId="651CE6A4"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-308.872,00</w:t>
            </w:r>
          </w:p>
        </w:tc>
        <w:tc>
          <w:tcPr>
            <w:tcW w:w="1559" w:type="dxa"/>
            <w:tcBorders>
              <w:top w:val="nil"/>
              <w:left w:val="nil"/>
              <w:bottom w:val="single" w:sz="4" w:space="0" w:color="auto"/>
              <w:right w:val="single" w:sz="4" w:space="0" w:color="auto"/>
            </w:tcBorders>
            <w:shd w:val="clear" w:color="auto" w:fill="FFFFFF"/>
            <w:noWrap/>
            <w:vAlign w:val="bottom"/>
            <w:hideMark/>
          </w:tcPr>
          <w:p w14:paraId="20C8FE7E"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68.750,00</w:t>
            </w:r>
          </w:p>
        </w:tc>
      </w:tr>
      <w:tr w:rsidR="0026419F" w:rsidRPr="0026419F" w14:paraId="44A44C1A"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4A5BE867"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 xml:space="preserve">Kapitalni projekt K300059 Nerazvrstana cesta </w:t>
            </w:r>
            <w:proofErr w:type="spellStart"/>
            <w:r w:rsidRPr="0026419F">
              <w:rPr>
                <w:rFonts w:ascii="Arial" w:hAnsi="Arial" w:cs="Arial"/>
                <w:kern w:val="2"/>
                <w:sz w:val="20"/>
                <w:szCs w:val="20"/>
                <w14:ligatures w14:val="standardContextual"/>
              </w:rPr>
              <w:t>Ripenda</w:t>
            </w:r>
            <w:proofErr w:type="spellEnd"/>
            <w:r w:rsidRPr="0026419F">
              <w:rPr>
                <w:rFonts w:ascii="Arial" w:hAnsi="Arial" w:cs="Arial"/>
                <w:kern w:val="2"/>
                <w:sz w:val="20"/>
                <w:szCs w:val="20"/>
                <w14:ligatures w14:val="standardContextual"/>
              </w:rPr>
              <w:t xml:space="preserve"> Kras-Mali Kosi ( NC.14.-3,9 km)</w:t>
            </w:r>
          </w:p>
        </w:tc>
        <w:tc>
          <w:tcPr>
            <w:tcW w:w="1739" w:type="dxa"/>
            <w:tcBorders>
              <w:top w:val="nil"/>
              <w:left w:val="nil"/>
              <w:bottom w:val="single" w:sz="4" w:space="0" w:color="auto"/>
              <w:right w:val="single" w:sz="4" w:space="0" w:color="auto"/>
            </w:tcBorders>
            <w:shd w:val="clear" w:color="auto" w:fill="FFFFFF"/>
            <w:noWrap/>
            <w:vAlign w:val="bottom"/>
            <w:hideMark/>
          </w:tcPr>
          <w:p w14:paraId="42EF9501"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250.000,00</w:t>
            </w:r>
          </w:p>
        </w:tc>
        <w:tc>
          <w:tcPr>
            <w:tcW w:w="1417" w:type="dxa"/>
            <w:tcBorders>
              <w:top w:val="nil"/>
              <w:left w:val="nil"/>
              <w:bottom w:val="single" w:sz="4" w:space="0" w:color="auto"/>
              <w:right w:val="single" w:sz="4" w:space="0" w:color="auto"/>
            </w:tcBorders>
            <w:shd w:val="clear" w:color="auto" w:fill="FFFFFF"/>
            <w:noWrap/>
            <w:vAlign w:val="bottom"/>
            <w:hideMark/>
          </w:tcPr>
          <w:p w14:paraId="7C341C2E"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0,00</w:t>
            </w:r>
          </w:p>
        </w:tc>
        <w:tc>
          <w:tcPr>
            <w:tcW w:w="1559" w:type="dxa"/>
            <w:tcBorders>
              <w:top w:val="nil"/>
              <w:left w:val="nil"/>
              <w:bottom w:val="single" w:sz="4" w:space="0" w:color="auto"/>
              <w:right w:val="single" w:sz="4" w:space="0" w:color="auto"/>
            </w:tcBorders>
            <w:shd w:val="clear" w:color="auto" w:fill="FFFFFF"/>
            <w:noWrap/>
            <w:vAlign w:val="bottom"/>
            <w:hideMark/>
          </w:tcPr>
          <w:p w14:paraId="762A0239"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250.000,00</w:t>
            </w:r>
          </w:p>
        </w:tc>
      </w:tr>
      <w:tr w:rsidR="0026419F" w:rsidRPr="0026419F" w14:paraId="14EF9EE2"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6E0863F9"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 xml:space="preserve">Kapitalni projekt K300060 </w:t>
            </w:r>
            <w:proofErr w:type="spellStart"/>
            <w:r w:rsidRPr="0026419F">
              <w:rPr>
                <w:rFonts w:ascii="Arial" w:hAnsi="Arial" w:cs="Arial"/>
                <w:kern w:val="2"/>
                <w:sz w:val="20"/>
                <w:szCs w:val="20"/>
                <w14:ligatures w14:val="standardContextual"/>
              </w:rPr>
              <w:t>Idrijska</w:t>
            </w:r>
            <w:proofErr w:type="spellEnd"/>
            <w:r w:rsidRPr="0026419F">
              <w:rPr>
                <w:rFonts w:ascii="Arial" w:hAnsi="Arial" w:cs="Arial"/>
                <w:kern w:val="2"/>
                <w:sz w:val="20"/>
                <w:szCs w:val="20"/>
                <w14:ligatures w14:val="standardContextual"/>
              </w:rPr>
              <w:t xml:space="preserve"> ulica u Rapcu-izgradnja prometnice</w:t>
            </w:r>
          </w:p>
        </w:tc>
        <w:tc>
          <w:tcPr>
            <w:tcW w:w="1739" w:type="dxa"/>
            <w:tcBorders>
              <w:top w:val="nil"/>
              <w:left w:val="nil"/>
              <w:bottom w:val="single" w:sz="4" w:space="0" w:color="auto"/>
              <w:right w:val="single" w:sz="4" w:space="0" w:color="auto"/>
            </w:tcBorders>
            <w:shd w:val="clear" w:color="auto" w:fill="FFFFFF"/>
            <w:noWrap/>
            <w:vAlign w:val="bottom"/>
            <w:hideMark/>
          </w:tcPr>
          <w:p w14:paraId="52F04230"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17.000,00</w:t>
            </w:r>
          </w:p>
        </w:tc>
        <w:tc>
          <w:tcPr>
            <w:tcW w:w="1417" w:type="dxa"/>
            <w:tcBorders>
              <w:top w:val="nil"/>
              <w:left w:val="nil"/>
              <w:bottom w:val="single" w:sz="4" w:space="0" w:color="auto"/>
              <w:right w:val="single" w:sz="4" w:space="0" w:color="auto"/>
            </w:tcBorders>
            <w:shd w:val="clear" w:color="auto" w:fill="FFFFFF"/>
            <w:noWrap/>
            <w:vAlign w:val="bottom"/>
            <w:hideMark/>
          </w:tcPr>
          <w:p w14:paraId="662819A8"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0,00</w:t>
            </w:r>
          </w:p>
        </w:tc>
        <w:tc>
          <w:tcPr>
            <w:tcW w:w="1559" w:type="dxa"/>
            <w:tcBorders>
              <w:top w:val="nil"/>
              <w:left w:val="nil"/>
              <w:bottom w:val="single" w:sz="4" w:space="0" w:color="auto"/>
              <w:right w:val="single" w:sz="4" w:space="0" w:color="auto"/>
            </w:tcBorders>
            <w:shd w:val="clear" w:color="auto" w:fill="FFFFFF"/>
            <w:noWrap/>
            <w:vAlign w:val="bottom"/>
            <w:hideMark/>
          </w:tcPr>
          <w:p w14:paraId="2B6D234A"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17.000,00</w:t>
            </w:r>
          </w:p>
        </w:tc>
      </w:tr>
      <w:tr w:rsidR="0026419F" w:rsidRPr="0026419F" w14:paraId="58014050"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47AF0524"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Kapitalni projekt K300061 Nerazvrstana cesta NC 43.02 - pristupna prometnica vodosprema Breg</w:t>
            </w:r>
          </w:p>
        </w:tc>
        <w:tc>
          <w:tcPr>
            <w:tcW w:w="1739" w:type="dxa"/>
            <w:tcBorders>
              <w:top w:val="nil"/>
              <w:left w:val="nil"/>
              <w:bottom w:val="single" w:sz="4" w:space="0" w:color="auto"/>
              <w:right w:val="single" w:sz="4" w:space="0" w:color="auto"/>
            </w:tcBorders>
            <w:shd w:val="clear" w:color="auto" w:fill="FFFFFF"/>
            <w:noWrap/>
            <w:vAlign w:val="bottom"/>
            <w:hideMark/>
          </w:tcPr>
          <w:p w14:paraId="20650308"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0,00</w:t>
            </w:r>
          </w:p>
        </w:tc>
        <w:tc>
          <w:tcPr>
            <w:tcW w:w="1417" w:type="dxa"/>
            <w:tcBorders>
              <w:top w:val="nil"/>
              <w:left w:val="nil"/>
              <w:bottom w:val="single" w:sz="4" w:space="0" w:color="auto"/>
              <w:right w:val="single" w:sz="4" w:space="0" w:color="auto"/>
            </w:tcBorders>
            <w:shd w:val="clear" w:color="auto" w:fill="FFFFFF"/>
            <w:noWrap/>
            <w:vAlign w:val="bottom"/>
            <w:hideMark/>
          </w:tcPr>
          <w:p w14:paraId="5E321249"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5.969,00</w:t>
            </w:r>
          </w:p>
        </w:tc>
        <w:tc>
          <w:tcPr>
            <w:tcW w:w="1559" w:type="dxa"/>
            <w:tcBorders>
              <w:top w:val="nil"/>
              <w:left w:val="nil"/>
              <w:bottom w:val="single" w:sz="4" w:space="0" w:color="auto"/>
              <w:right w:val="single" w:sz="4" w:space="0" w:color="auto"/>
            </w:tcBorders>
            <w:shd w:val="clear" w:color="auto" w:fill="FFFFFF"/>
            <w:noWrap/>
            <w:vAlign w:val="bottom"/>
            <w:hideMark/>
          </w:tcPr>
          <w:p w14:paraId="41F46631"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5.969,00</w:t>
            </w:r>
          </w:p>
        </w:tc>
      </w:tr>
      <w:tr w:rsidR="0026419F" w:rsidRPr="0026419F" w14:paraId="3250A9FE"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430D2716"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Kapitalni projekt K300062 Nerazvrstana cesta NC 16.15. - pristupna prometnica UPOV Rabac</w:t>
            </w:r>
          </w:p>
        </w:tc>
        <w:tc>
          <w:tcPr>
            <w:tcW w:w="1739" w:type="dxa"/>
            <w:tcBorders>
              <w:top w:val="nil"/>
              <w:left w:val="nil"/>
              <w:bottom w:val="single" w:sz="4" w:space="0" w:color="auto"/>
              <w:right w:val="single" w:sz="4" w:space="0" w:color="auto"/>
            </w:tcBorders>
            <w:shd w:val="clear" w:color="auto" w:fill="FFFFFF"/>
            <w:noWrap/>
            <w:vAlign w:val="bottom"/>
            <w:hideMark/>
          </w:tcPr>
          <w:p w14:paraId="6AA151A7"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0,00</w:t>
            </w:r>
          </w:p>
        </w:tc>
        <w:tc>
          <w:tcPr>
            <w:tcW w:w="1417" w:type="dxa"/>
            <w:tcBorders>
              <w:top w:val="nil"/>
              <w:left w:val="nil"/>
              <w:bottom w:val="single" w:sz="4" w:space="0" w:color="auto"/>
              <w:right w:val="single" w:sz="4" w:space="0" w:color="auto"/>
            </w:tcBorders>
            <w:shd w:val="clear" w:color="auto" w:fill="FFFFFF"/>
            <w:noWrap/>
            <w:vAlign w:val="bottom"/>
            <w:hideMark/>
          </w:tcPr>
          <w:p w14:paraId="49C66BA1"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15.557,00</w:t>
            </w:r>
          </w:p>
        </w:tc>
        <w:tc>
          <w:tcPr>
            <w:tcW w:w="1559" w:type="dxa"/>
            <w:tcBorders>
              <w:top w:val="nil"/>
              <w:left w:val="nil"/>
              <w:bottom w:val="single" w:sz="4" w:space="0" w:color="auto"/>
              <w:right w:val="single" w:sz="4" w:space="0" w:color="auto"/>
            </w:tcBorders>
            <w:shd w:val="clear" w:color="auto" w:fill="FFFFFF"/>
            <w:noWrap/>
            <w:vAlign w:val="bottom"/>
            <w:hideMark/>
          </w:tcPr>
          <w:p w14:paraId="5C1BD1E8"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15.557,00</w:t>
            </w:r>
          </w:p>
        </w:tc>
      </w:tr>
      <w:tr w:rsidR="0026419F" w:rsidRPr="0026419F" w14:paraId="0ABD3229"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5B9640A6" w14:textId="77777777" w:rsidR="0026419F" w:rsidRPr="0026419F" w:rsidRDefault="0026419F" w:rsidP="0026419F">
            <w:pPr>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Program 3003 Izgradnja građevina javne namjene</w:t>
            </w:r>
          </w:p>
        </w:tc>
        <w:tc>
          <w:tcPr>
            <w:tcW w:w="1739" w:type="dxa"/>
            <w:tcBorders>
              <w:top w:val="nil"/>
              <w:left w:val="nil"/>
              <w:bottom w:val="single" w:sz="4" w:space="0" w:color="auto"/>
              <w:right w:val="single" w:sz="4" w:space="0" w:color="auto"/>
            </w:tcBorders>
            <w:shd w:val="clear" w:color="auto" w:fill="FFFFFF"/>
            <w:noWrap/>
            <w:vAlign w:val="bottom"/>
            <w:hideMark/>
          </w:tcPr>
          <w:p w14:paraId="2E3B162B" w14:textId="77777777" w:rsidR="0026419F" w:rsidRPr="0026419F" w:rsidRDefault="0026419F" w:rsidP="0026419F">
            <w:pPr>
              <w:jc w:val="right"/>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2.310.971,00</w:t>
            </w:r>
          </w:p>
        </w:tc>
        <w:tc>
          <w:tcPr>
            <w:tcW w:w="1417" w:type="dxa"/>
            <w:tcBorders>
              <w:top w:val="nil"/>
              <w:left w:val="nil"/>
              <w:bottom w:val="single" w:sz="4" w:space="0" w:color="auto"/>
              <w:right w:val="single" w:sz="4" w:space="0" w:color="auto"/>
            </w:tcBorders>
            <w:shd w:val="clear" w:color="auto" w:fill="FFFFFF"/>
            <w:noWrap/>
            <w:vAlign w:val="bottom"/>
            <w:hideMark/>
          </w:tcPr>
          <w:p w14:paraId="2BCE3EBF" w14:textId="77777777" w:rsidR="0026419F" w:rsidRPr="0026419F" w:rsidRDefault="0026419F" w:rsidP="0026419F">
            <w:pPr>
              <w:jc w:val="right"/>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527.829,00</w:t>
            </w:r>
          </w:p>
        </w:tc>
        <w:tc>
          <w:tcPr>
            <w:tcW w:w="1559" w:type="dxa"/>
            <w:tcBorders>
              <w:top w:val="nil"/>
              <w:left w:val="nil"/>
              <w:bottom w:val="single" w:sz="4" w:space="0" w:color="auto"/>
              <w:right w:val="single" w:sz="4" w:space="0" w:color="auto"/>
            </w:tcBorders>
            <w:shd w:val="clear" w:color="auto" w:fill="FFFFFF"/>
            <w:noWrap/>
            <w:vAlign w:val="bottom"/>
            <w:hideMark/>
          </w:tcPr>
          <w:p w14:paraId="2249F809" w14:textId="77777777" w:rsidR="0026419F" w:rsidRPr="0026419F" w:rsidRDefault="0026419F" w:rsidP="0026419F">
            <w:pPr>
              <w:jc w:val="right"/>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2.838.800,00</w:t>
            </w:r>
          </w:p>
        </w:tc>
      </w:tr>
      <w:tr w:rsidR="0026419F" w:rsidRPr="0026419F" w14:paraId="4DC60615"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173A0DE9"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Kapitalni projekt K300002 Rekonstrukcija rive Rabac</w:t>
            </w:r>
          </w:p>
        </w:tc>
        <w:tc>
          <w:tcPr>
            <w:tcW w:w="1739" w:type="dxa"/>
            <w:tcBorders>
              <w:top w:val="nil"/>
              <w:left w:val="nil"/>
              <w:bottom w:val="single" w:sz="4" w:space="0" w:color="auto"/>
              <w:right w:val="single" w:sz="4" w:space="0" w:color="auto"/>
            </w:tcBorders>
            <w:shd w:val="clear" w:color="auto" w:fill="FFFFFF"/>
            <w:noWrap/>
            <w:vAlign w:val="bottom"/>
            <w:hideMark/>
          </w:tcPr>
          <w:p w14:paraId="29347445"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15.930,00</w:t>
            </w:r>
          </w:p>
        </w:tc>
        <w:tc>
          <w:tcPr>
            <w:tcW w:w="1417" w:type="dxa"/>
            <w:tcBorders>
              <w:top w:val="nil"/>
              <w:left w:val="nil"/>
              <w:bottom w:val="single" w:sz="4" w:space="0" w:color="auto"/>
              <w:right w:val="single" w:sz="4" w:space="0" w:color="auto"/>
            </w:tcBorders>
            <w:shd w:val="clear" w:color="auto" w:fill="FFFFFF"/>
            <w:noWrap/>
            <w:vAlign w:val="bottom"/>
            <w:hideMark/>
          </w:tcPr>
          <w:p w14:paraId="5C5D3FA0"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0,00</w:t>
            </w:r>
          </w:p>
        </w:tc>
        <w:tc>
          <w:tcPr>
            <w:tcW w:w="1559" w:type="dxa"/>
            <w:tcBorders>
              <w:top w:val="nil"/>
              <w:left w:val="nil"/>
              <w:bottom w:val="single" w:sz="4" w:space="0" w:color="auto"/>
              <w:right w:val="single" w:sz="4" w:space="0" w:color="auto"/>
            </w:tcBorders>
            <w:shd w:val="clear" w:color="auto" w:fill="FFFFFF"/>
            <w:noWrap/>
            <w:vAlign w:val="bottom"/>
            <w:hideMark/>
          </w:tcPr>
          <w:p w14:paraId="005EBEB0"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15.930,00</w:t>
            </w:r>
          </w:p>
        </w:tc>
      </w:tr>
      <w:tr w:rsidR="0026419F" w:rsidRPr="0026419F" w14:paraId="0AA40D36"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40E42A8C"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 xml:space="preserve">Kapitalni projekt K300005 </w:t>
            </w:r>
            <w:proofErr w:type="spellStart"/>
            <w:r w:rsidRPr="0026419F">
              <w:rPr>
                <w:rFonts w:ascii="Arial" w:hAnsi="Arial" w:cs="Arial"/>
                <w:kern w:val="2"/>
                <w:sz w:val="20"/>
                <w:szCs w:val="20"/>
                <w14:ligatures w14:val="standardContextual"/>
              </w:rPr>
              <w:t>Rekons</w:t>
            </w:r>
            <w:proofErr w:type="spellEnd"/>
            <w:r w:rsidRPr="0026419F">
              <w:rPr>
                <w:rFonts w:ascii="Arial" w:hAnsi="Arial" w:cs="Arial"/>
                <w:kern w:val="2"/>
                <w:sz w:val="20"/>
                <w:szCs w:val="20"/>
                <w14:ligatures w14:val="standardContextual"/>
              </w:rPr>
              <w:t xml:space="preserve">. i sanacija velikog </w:t>
            </w:r>
            <w:proofErr w:type="spellStart"/>
            <w:r w:rsidRPr="0026419F">
              <w:rPr>
                <w:rFonts w:ascii="Arial" w:hAnsi="Arial" w:cs="Arial"/>
                <w:kern w:val="2"/>
                <w:sz w:val="20"/>
                <w:szCs w:val="20"/>
                <w14:ligatures w14:val="standardContextual"/>
              </w:rPr>
              <w:t>kupatila,tople</w:t>
            </w:r>
            <w:proofErr w:type="spellEnd"/>
            <w:r w:rsidRPr="0026419F">
              <w:rPr>
                <w:rFonts w:ascii="Arial" w:hAnsi="Arial" w:cs="Arial"/>
                <w:kern w:val="2"/>
                <w:sz w:val="20"/>
                <w:szCs w:val="20"/>
                <w14:ligatures w14:val="standardContextual"/>
              </w:rPr>
              <w:t xml:space="preserve"> veze i </w:t>
            </w:r>
            <w:proofErr w:type="spellStart"/>
            <w:r w:rsidRPr="0026419F">
              <w:rPr>
                <w:rFonts w:ascii="Arial" w:hAnsi="Arial" w:cs="Arial"/>
                <w:kern w:val="2"/>
                <w:sz w:val="20"/>
                <w:szCs w:val="20"/>
                <w14:ligatures w14:val="standardContextual"/>
              </w:rPr>
              <w:t>šohta</w:t>
            </w:r>
            <w:proofErr w:type="spellEnd"/>
            <w:r w:rsidRPr="0026419F">
              <w:rPr>
                <w:rFonts w:ascii="Arial" w:hAnsi="Arial" w:cs="Arial"/>
                <w:kern w:val="2"/>
                <w:sz w:val="20"/>
                <w:szCs w:val="20"/>
                <w14:ligatures w14:val="standardContextual"/>
              </w:rPr>
              <w:t xml:space="preserve"> u sklopu </w:t>
            </w:r>
            <w:proofErr w:type="spellStart"/>
            <w:r w:rsidRPr="0026419F">
              <w:rPr>
                <w:rFonts w:ascii="Arial" w:hAnsi="Arial" w:cs="Arial"/>
                <w:kern w:val="2"/>
                <w:sz w:val="20"/>
                <w:szCs w:val="20"/>
                <w14:ligatures w14:val="standardContextual"/>
              </w:rPr>
              <w:t>rudar.komp</w:t>
            </w:r>
            <w:proofErr w:type="spellEnd"/>
            <w:r w:rsidRPr="0026419F">
              <w:rPr>
                <w:rFonts w:ascii="Arial" w:hAnsi="Arial" w:cs="Arial"/>
                <w:kern w:val="2"/>
                <w:sz w:val="20"/>
                <w:szCs w:val="20"/>
                <w14:ligatures w14:val="standardContextual"/>
              </w:rPr>
              <w:t xml:space="preserve">. </w:t>
            </w:r>
            <w:proofErr w:type="spellStart"/>
            <w:r w:rsidRPr="0026419F">
              <w:rPr>
                <w:rFonts w:ascii="Arial" w:hAnsi="Arial" w:cs="Arial"/>
                <w:kern w:val="2"/>
                <w:sz w:val="20"/>
                <w:szCs w:val="20"/>
                <w14:ligatures w14:val="standardContextual"/>
              </w:rPr>
              <w:t>Pijacal</w:t>
            </w:r>
            <w:proofErr w:type="spellEnd"/>
          </w:p>
        </w:tc>
        <w:tc>
          <w:tcPr>
            <w:tcW w:w="1739" w:type="dxa"/>
            <w:tcBorders>
              <w:top w:val="nil"/>
              <w:left w:val="nil"/>
              <w:bottom w:val="single" w:sz="4" w:space="0" w:color="auto"/>
              <w:right w:val="single" w:sz="4" w:space="0" w:color="auto"/>
            </w:tcBorders>
            <w:shd w:val="clear" w:color="auto" w:fill="FFFFFF"/>
            <w:noWrap/>
            <w:vAlign w:val="bottom"/>
            <w:hideMark/>
          </w:tcPr>
          <w:p w14:paraId="0C4119B3"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261.050,00</w:t>
            </w:r>
          </w:p>
        </w:tc>
        <w:tc>
          <w:tcPr>
            <w:tcW w:w="1417" w:type="dxa"/>
            <w:tcBorders>
              <w:top w:val="nil"/>
              <w:left w:val="nil"/>
              <w:bottom w:val="single" w:sz="4" w:space="0" w:color="auto"/>
              <w:right w:val="single" w:sz="4" w:space="0" w:color="auto"/>
            </w:tcBorders>
            <w:shd w:val="clear" w:color="auto" w:fill="FFFFFF"/>
            <w:noWrap/>
            <w:vAlign w:val="bottom"/>
            <w:hideMark/>
          </w:tcPr>
          <w:p w14:paraId="38839D87"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38.450,00</w:t>
            </w:r>
          </w:p>
        </w:tc>
        <w:tc>
          <w:tcPr>
            <w:tcW w:w="1559" w:type="dxa"/>
            <w:tcBorders>
              <w:top w:val="nil"/>
              <w:left w:val="nil"/>
              <w:bottom w:val="single" w:sz="4" w:space="0" w:color="auto"/>
              <w:right w:val="single" w:sz="4" w:space="0" w:color="auto"/>
            </w:tcBorders>
            <w:shd w:val="clear" w:color="auto" w:fill="FFFFFF"/>
            <w:noWrap/>
            <w:vAlign w:val="bottom"/>
            <w:hideMark/>
          </w:tcPr>
          <w:p w14:paraId="2C3F120B"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299.500,00</w:t>
            </w:r>
          </w:p>
        </w:tc>
      </w:tr>
      <w:tr w:rsidR="0026419F" w:rsidRPr="0026419F" w14:paraId="6DDFFAE9"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529B8298"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 xml:space="preserve">Kapitalni projekt K300015 Dječji vrtić </w:t>
            </w:r>
            <w:proofErr w:type="spellStart"/>
            <w:r w:rsidRPr="0026419F">
              <w:rPr>
                <w:rFonts w:ascii="Arial" w:hAnsi="Arial" w:cs="Arial"/>
                <w:kern w:val="2"/>
                <w:sz w:val="20"/>
                <w:szCs w:val="20"/>
                <w14:ligatures w14:val="standardContextual"/>
              </w:rPr>
              <w:t>Vinež</w:t>
            </w:r>
            <w:proofErr w:type="spellEnd"/>
            <w:r w:rsidRPr="0026419F">
              <w:rPr>
                <w:rFonts w:ascii="Arial" w:hAnsi="Arial" w:cs="Arial"/>
                <w:kern w:val="2"/>
                <w:sz w:val="20"/>
                <w:szCs w:val="20"/>
                <w14:ligatures w14:val="standardContextual"/>
              </w:rPr>
              <w:t xml:space="preserve"> (novi)</w:t>
            </w:r>
          </w:p>
        </w:tc>
        <w:tc>
          <w:tcPr>
            <w:tcW w:w="1739" w:type="dxa"/>
            <w:tcBorders>
              <w:top w:val="nil"/>
              <w:left w:val="nil"/>
              <w:bottom w:val="single" w:sz="4" w:space="0" w:color="auto"/>
              <w:right w:val="single" w:sz="4" w:space="0" w:color="auto"/>
            </w:tcBorders>
            <w:shd w:val="clear" w:color="auto" w:fill="FFFFFF"/>
            <w:noWrap/>
            <w:vAlign w:val="bottom"/>
            <w:hideMark/>
          </w:tcPr>
          <w:p w14:paraId="32EDE0FA"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1.484.546,00</w:t>
            </w:r>
          </w:p>
        </w:tc>
        <w:tc>
          <w:tcPr>
            <w:tcW w:w="1417" w:type="dxa"/>
            <w:tcBorders>
              <w:top w:val="nil"/>
              <w:left w:val="nil"/>
              <w:bottom w:val="single" w:sz="4" w:space="0" w:color="auto"/>
              <w:right w:val="single" w:sz="4" w:space="0" w:color="auto"/>
            </w:tcBorders>
            <w:shd w:val="clear" w:color="auto" w:fill="FFFFFF"/>
            <w:noWrap/>
            <w:vAlign w:val="bottom"/>
            <w:hideMark/>
          </w:tcPr>
          <w:p w14:paraId="6ADCB5E7"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399.837,00</w:t>
            </w:r>
          </w:p>
        </w:tc>
        <w:tc>
          <w:tcPr>
            <w:tcW w:w="1559" w:type="dxa"/>
            <w:tcBorders>
              <w:top w:val="nil"/>
              <w:left w:val="nil"/>
              <w:bottom w:val="single" w:sz="4" w:space="0" w:color="auto"/>
              <w:right w:val="single" w:sz="4" w:space="0" w:color="auto"/>
            </w:tcBorders>
            <w:shd w:val="clear" w:color="auto" w:fill="FFFFFF"/>
            <w:noWrap/>
            <w:vAlign w:val="bottom"/>
            <w:hideMark/>
          </w:tcPr>
          <w:p w14:paraId="303B4C04"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1.884.383,00</w:t>
            </w:r>
          </w:p>
        </w:tc>
      </w:tr>
      <w:tr w:rsidR="0026419F" w:rsidRPr="0026419F" w14:paraId="2AF0BB4B"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44A9A518"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 xml:space="preserve">Kapitalni projekt K300018 Sportski kompleks </w:t>
            </w:r>
            <w:proofErr w:type="spellStart"/>
            <w:r w:rsidRPr="0026419F">
              <w:rPr>
                <w:rFonts w:ascii="Arial" w:hAnsi="Arial" w:cs="Arial"/>
                <w:kern w:val="2"/>
                <w:sz w:val="20"/>
                <w:szCs w:val="20"/>
                <w14:ligatures w14:val="standardContextual"/>
              </w:rPr>
              <w:t>Vinež</w:t>
            </w:r>
            <w:proofErr w:type="spellEnd"/>
          </w:p>
        </w:tc>
        <w:tc>
          <w:tcPr>
            <w:tcW w:w="1739" w:type="dxa"/>
            <w:tcBorders>
              <w:top w:val="nil"/>
              <w:left w:val="nil"/>
              <w:bottom w:val="single" w:sz="4" w:space="0" w:color="auto"/>
              <w:right w:val="single" w:sz="4" w:space="0" w:color="auto"/>
            </w:tcBorders>
            <w:shd w:val="clear" w:color="auto" w:fill="FFFFFF"/>
            <w:noWrap/>
            <w:vAlign w:val="bottom"/>
            <w:hideMark/>
          </w:tcPr>
          <w:p w14:paraId="3B2F6BA7"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170.525,00</w:t>
            </w:r>
          </w:p>
        </w:tc>
        <w:tc>
          <w:tcPr>
            <w:tcW w:w="1417" w:type="dxa"/>
            <w:tcBorders>
              <w:top w:val="nil"/>
              <w:left w:val="nil"/>
              <w:bottom w:val="single" w:sz="4" w:space="0" w:color="auto"/>
              <w:right w:val="single" w:sz="4" w:space="0" w:color="auto"/>
            </w:tcBorders>
            <w:shd w:val="clear" w:color="auto" w:fill="FFFFFF"/>
            <w:noWrap/>
            <w:vAlign w:val="bottom"/>
            <w:hideMark/>
          </w:tcPr>
          <w:p w14:paraId="2541A8A8"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64.542,00</w:t>
            </w:r>
          </w:p>
        </w:tc>
        <w:tc>
          <w:tcPr>
            <w:tcW w:w="1559" w:type="dxa"/>
            <w:tcBorders>
              <w:top w:val="nil"/>
              <w:left w:val="nil"/>
              <w:bottom w:val="single" w:sz="4" w:space="0" w:color="auto"/>
              <w:right w:val="single" w:sz="4" w:space="0" w:color="auto"/>
            </w:tcBorders>
            <w:shd w:val="clear" w:color="auto" w:fill="FFFFFF"/>
            <w:noWrap/>
            <w:vAlign w:val="bottom"/>
            <w:hideMark/>
          </w:tcPr>
          <w:p w14:paraId="62EFF757"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235.067,00</w:t>
            </w:r>
          </w:p>
        </w:tc>
      </w:tr>
      <w:tr w:rsidR="0026419F" w:rsidRPr="0026419F" w14:paraId="3450AF2D"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704DFB4B"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Kapitalni projekt K300028 Ostali poslovi vezani za izgradnju građevina javne namjene</w:t>
            </w:r>
          </w:p>
        </w:tc>
        <w:tc>
          <w:tcPr>
            <w:tcW w:w="1739" w:type="dxa"/>
            <w:tcBorders>
              <w:top w:val="nil"/>
              <w:left w:val="nil"/>
              <w:bottom w:val="single" w:sz="4" w:space="0" w:color="auto"/>
              <w:right w:val="single" w:sz="4" w:space="0" w:color="auto"/>
            </w:tcBorders>
            <w:shd w:val="clear" w:color="auto" w:fill="FFFFFF"/>
            <w:noWrap/>
            <w:vAlign w:val="bottom"/>
            <w:hideMark/>
          </w:tcPr>
          <w:p w14:paraId="7AAE5E49"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14.295,00</w:t>
            </w:r>
          </w:p>
        </w:tc>
        <w:tc>
          <w:tcPr>
            <w:tcW w:w="1417" w:type="dxa"/>
            <w:tcBorders>
              <w:top w:val="nil"/>
              <w:left w:val="nil"/>
              <w:bottom w:val="single" w:sz="4" w:space="0" w:color="auto"/>
              <w:right w:val="single" w:sz="4" w:space="0" w:color="auto"/>
            </w:tcBorders>
            <w:shd w:val="clear" w:color="auto" w:fill="FFFFFF"/>
            <w:noWrap/>
            <w:vAlign w:val="bottom"/>
            <w:hideMark/>
          </w:tcPr>
          <w:p w14:paraId="0E64020C"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0,00</w:t>
            </w:r>
          </w:p>
        </w:tc>
        <w:tc>
          <w:tcPr>
            <w:tcW w:w="1559" w:type="dxa"/>
            <w:tcBorders>
              <w:top w:val="nil"/>
              <w:left w:val="nil"/>
              <w:bottom w:val="single" w:sz="4" w:space="0" w:color="auto"/>
              <w:right w:val="single" w:sz="4" w:space="0" w:color="auto"/>
            </w:tcBorders>
            <w:shd w:val="clear" w:color="auto" w:fill="FFFFFF"/>
            <w:noWrap/>
            <w:vAlign w:val="bottom"/>
            <w:hideMark/>
          </w:tcPr>
          <w:p w14:paraId="2DAF2CA6"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14.295,00</w:t>
            </w:r>
          </w:p>
        </w:tc>
      </w:tr>
      <w:tr w:rsidR="0026419F" w:rsidRPr="0026419F" w14:paraId="76D772F5"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165D2725"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 xml:space="preserve">Kapitalni projekt K300038 Obnova i prenamjena zgrade bivše škole </w:t>
            </w:r>
            <w:proofErr w:type="spellStart"/>
            <w:r w:rsidRPr="0026419F">
              <w:rPr>
                <w:rFonts w:ascii="Arial" w:hAnsi="Arial" w:cs="Arial"/>
                <w:kern w:val="2"/>
                <w:sz w:val="20"/>
                <w:szCs w:val="20"/>
                <w14:ligatures w14:val="standardContextual"/>
              </w:rPr>
              <w:t>Ripenda</w:t>
            </w:r>
            <w:proofErr w:type="spellEnd"/>
            <w:r w:rsidRPr="0026419F">
              <w:rPr>
                <w:rFonts w:ascii="Arial" w:hAnsi="Arial" w:cs="Arial"/>
                <w:kern w:val="2"/>
                <w:sz w:val="20"/>
                <w:szCs w:val="20"/>
                <w14:ligatures w14:val="standardContextual"/>
              </w:rPr>
              <w:t xml:space="preserve"> (zgr.k.č.321( k.č.2519) </w:t>
            </w:r>
            <w:proofErr w:type="spellStart"/>
            <w:r w:rsidRPr="0026419F">
              <w:rPr>
                <w:rFonts w:ascii="Arial" w:hAnsi="Arial" w:cs="Arial"/>
                <w:kern w:val="2"/>
                <w:sz w:val="20"/>
                <w:szCs w:val="20"/>
                <w14:ligatures w14:val="standardContextual"/>
              </w:rPr>
              <w:t>k.o.Ripenda</w:t>
            </w:r>
            <w:proofErr w:type="spellEnd"/>
            <w:r w:rsidRPr="0026419F">
              <w:rPr>
                <w:rFonts w:ascii="Arial" w:hAnsi="Arial" w:cs="Arial"/>
                <w:kern w:val="2"/>
                <w:sz w:val="20"/>
                <w:szCs w:val="20"/>
                <w14:ligatures w14:val="standardContextual"/>
              </w:rPr>
              <w:t>)</w:t>
            </w:r>
          </w:p>
        </w:tc>
        <w:tc>
          <w:tcPr>
            <w:tcW w:w="1739" w:type="dxa"/>
            <w:tcBorders>
              <w:top w:val="nil"/>
              <w:left w:val="nil"/>
              <w:bottom w:val="single" w:sz="4" w:space="0" w:color="auto"/>
              <w:right w:val="single" w:sz="4" w:space="0" w:color="auto"/>
            </w:tcBorders>
            <w:shd w:val="clear" w:color="auto" w:fill="FFFFFF"/>
            <w:noWrap/>
            <w:vAlign w:val="bottom"/>
            <w:hideMark/>
          </w:tcPr>
          <w:p w14:paraId="0EB36919"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332.625,00</w:t>
            </w:r>
          </w:p>
        </w:tc>
        <w:tc>
          <w:tcPr>
            <w:tcW w:w="1417" w:type="dxa"/>
            <w:tcBorders>
              <w:top w:val="nil"/>
              <w:left w:val="nil"/>
              <w:bottom w:val="single" w:sz="4" w:space="0" w:color="auto"/>
              <w:right w:val="single" w:sz="4" w:space="0" w:color="auto"/>
            </w:tcBorders>
            <w:shd w:val="clear" w:color="auto" w:fill="FFFFFF"/>
            <w:noWrap/>
            <w:vAlign w:val="bottom"/>
            <w:hideMark/>
          </w:tcPr>
          <w:p w14:paraId="13D38F78"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0,00</w:t>
            </w:r>
          </w:p>
        </w:tc>
        <w:tc>
          <w:tcPr>
            <w:tcW w:w="1559" w:type="dxa"/>
            <w:tcBorders>
              <w:top w:val="nil"/>
              <w:left w:val="nil"/>
              <w:bottom w:val="single" w:sz="4" w:space="0" w:color="auto"/>
              <w:right w:val="single" w:sz="4" w:space="0" w:color="auto"/>
            </w:tcBorders>
            <w:shd w:val="clear" w:color="auto" w:fill="FFFFFF"/>
            <w:noWrap/>
            <w:vAlign w:val="bottom"/>
            <w:hideMark/>
          </w:tcPr>
          <w:p w14:paraId="3633A897"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332.625,00</w:t>
            </w:r>
          </w:p>
        </w:tc>
      </w:tr>
      <w:tr w:rsidR="0026419F" w:rsidRPr="0026419F" w14:paraId="49F3C971"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4262137F"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 xml:space="preserve">Kapitalni projekt K300040 Zgrada u ul. Aldo </w:t>
            </w:r>
            <w:proofErr w:type="spellStart"/>
            <w:r w:rsidRPr="0026419F">
              <w:rPr>
                <w:rFonts w:ascii="Arial" w:hAnsi="Arial" w:cs="Arial"/>
                <w:kern w:val="2"/>
                <w:sz w:val="20"/>
                <w:szCs w:val="20"/>
                <w14:ligatures w14:val="standardContextual"/>
              </w:rPr>
              <w:t>Negri</w:t>
            </w:r>
            <w:proofErr w:type="spellEnd"/>
            <w:r w:rsidRPr="0026419F">
              <w:rPr>
                <w:rFonts w:ascii="Arial" w:hAnsi="Arial" w:cs="Arial"/>
                <w:kern w:val="2"/>
                <w:sz w:val="20"/>
                <w:szCs w:val="20"/>
                <w14:ligatures w14:val="standardContextual"/>
              </w:rPr>
              <w:t xml:space="preserve"> 6 (k.č.1087 </w:t>
            </w:r>
            <w:proofErr w:type="spellStart"/>
            <w:r w:rsidRPr="0026419F">
              <w:rPr>
                <w:rFonts w:ascii="Arial" w:hAnsi="Arial" w:cs="Arial"/>
                <w:kern w:val="2"/>
                <w:sz w:val="20"/>
                <w:szCs w:val="20"/>
                <w14:ligatures w14:val="standardContextual"/>
              </w:rPr>
              <w:t>k.o.Novi</w:t>
            </w:r>
            <w:proofErr w:type="spellEnd"/>
            <w:r w:rsidRPr="0026419F">
              <w:rPr>
                <w:rFonts w:ascii="Arial" w:hAnsi="Arial" w:cs="Arial"/>
                <w:kern w:val="2"/>
                <w:sz w:val="20"/>
                <w:szCs w:val="20"/>
                <w14:ligatures w14:val="standardContextual"/>
              </w:rPr>
              <w:t xml:space="preserve"> Labin)</w:t>
            </w:r>
          </w:p>
        </w:tc>
        <w:tc>
          <w:tcPr>
            <w:tcW w:w="1739" w:type="dxa"/>
            <w:tcBorders>
              <w:top w:val="nil"/>
              <w:left w:val="nil"/>
              <w:bottom w:val="single" w:sz="4" w:space="0" w:color="auto"/>
              <w:right w:val="single" w:sz="4" w:space="0" w:color="auto"/>
            </w:tcBorders>
            <w:shd w:val="clear" w:color="auto" w:fill="FFFFFF"/>
            <w:noWrap/>
            <w:vAlign w:val="bottom"/>
            <w:hideMark/>
          </w:tcPr>
          <w:p w14:paraId="4792B798"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32.000,00</w:t>
            </w:r>
          </w:p>
        </w:tc>
        <w:tc>
          <w:tcPr>
            <w:tcW w:w="1417" w:type="dxa"/>
            <w:tcBorders>
              <w:top w:val="nil"/>
              <w:left w:val="nil"/>
              <w:bottom w:val="single" w:sz="4" w:space="0" w:color="auto"/>
              <w:right w:val="single" w:sz="4" w:space="0" w:color="auto"/>
            </w:tcBorders>
            <w:shd w:val="clear" w:color="auto" w:fill="FFFFFF"/>
            <w:noWrap/>
            <w:vAlign w:val="bottom"/>
            <w:hideMark/>
          </w:tcPr>
          <w:p w14:paraId="629A0E7E"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0,00</w:t>
            </w:r>
          </w:p>
        </w:tc>
        <w:tc>
          <w:tcPr>
            <w:tcW w:w="1559" w:type="dxa"/>
            <w:tcBorders>
              <w:top w:val="nil"/>
              <w:left w:val="nil"/>
              <w:bottom w:val="single" w:sz="4" w:space="0" w:color="auto"/>
              <w:right w:val="single" w:sz="4" w:space="0" w:color="auto"/>
            </w:tcBorders>
            <w:shd w:val="clear" w:color="auto" w:fill="FFFFFF"/>
            <w:noWrap/>
            <w:vAlign w:val="bottom"/>
            <w:hideMark/>
          </w:tcPr>
          <w:p w14:paraId="4B2AF487"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32.000,00</w:t>
            </w:r>
          </w:p>
        </w:tc>
      </w:tr>
      <w:tr w:rsidR="0026419F" w:rsidRPr="0026419F" w14:paraId="5BA7D88E"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2883CB32"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Kapitalni projekt K300042 Crkva Gospe od Karmela - obnova preslice</w:t>
            </w:r>
          </w:p>
        </w:tc>
        <w:tc>
          <w:tcPr>
            <w:tcW w:w="1739" w:type="dxa"/>
            <w:tcBorders>
              <w:top w:val="nil"/>
              <w:left w:val="nil"/>
              <w:bottom w:val="single" w:sz="4" w:space="0" w:color="auto"/>
              <w:right w:val="single" w:sz="4" w:space="0" w:color="auto"/>
            </w:tcBorders>
            <w:shd w:val="clear" w:color="auto" w:fill="FFFFFF"/>
            <w:noWrap/>
            <w:vAlign w:val="bottom"/>
            <w:hideMark/>
          </w:tcPr>
          <w:p w14:paraId="6316FA27"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0,00</w:t>
            </w:r>
          </w:p>
        </w:tc>
        <w:tc>
          <w:tcPr>
            <w:tcW w:w="1417" w:type="dxa"/>
            <w:tcBorders>
              <w:top w:val="nil"/>
              <w:left w:val="nil"/>
              <w:bottom w:val="single" w:sz="4" w:space="0" w:color="auto"/>
              <w:right w:val="single" w:sz="4" w:space="0" w:color="auto"/>
            </w:tcBorders>
            <w:shd w:val="clear" w:color="auto" w:fill="FFFFFF"/>
            <w:noWrap/>
            <w:vAlign w:val="bottom"/>
            <w:hideMark/>
          </w:tcPr>
          <w:p w14:paraId="0387A4D4"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25.000,00</w:t>
            </w:r>
          </w:p>
        </w:tc>
        <w:tc>
          <w:tcPr>
            <w:tcW w:w="1559" w:type="dxa"/>
            <w:tcBorders>
              <w:top w:val="nil"/>
              <w:left w:val="nil"/>
              <w:bottom w:val="single" w:sz="4" w:space="0" w:color="auto"/>
              <w:right w:val="single" w:sz="4" w:space="0" w:color="auto"/>
            </w:tcBorders>
            <w:shd w:val="clear" w:color="auto" w:fill="FFFFFF"/>
            <w:noWrap/>
            <w:vAlign w:val="bottom"/>
            <w:hideMark/>
          </w:tcPr>
          <w:p w14:paraId="05CB19C2"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25.000,00</w:t>
            </w:r>
          </w:p>
        </w:tc>
      </w:tr>
      <w:tr w:rsidR="0026419F" w:rsidRPr="0026419F" w14:paraId="359C7BE4"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512B9873" w14:textId="77777777" w:rsidR="0026419F" w:rsidRPr="0026419F" w:rsidRDefault="0026419F" w:rsidP="0026419F">
            <w:pPr>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Program 3004 Komunalne vodne građevine i gospodarenje otpadom</w:t>
            </w:r>
          </w:p>
        </w:tc>
        <w:tc>
          <w:tcPr>
            <w:tcW w:w="1739" w:type="dxa"/>
            <w:tcBorders>
              <w:top w:val="nil"/>
              <w:left w:val="nil"/>
              <w:bottom w:val="single" w:sz="4" w:space="0" w:color="auto"/>
              <w:right w:val="single" w:sz="4" w:space="0" w:color="auto"/>
            </w:tcBorders>
            <w:shd w:val="clear" w:color="auto" w:fill="FFFFFF"/>
            <w:noWrap/>
            <w:vAlign w:val="bottom"/>
            <w:hideMark/>
          </w:tcPr>
          <w:p w14:paraId="10845DF4" w14:textId="77777777" w:rsidR="0026419F" w:rsidRPr="0026419F" w:rsidRDefault="0026419F" w:rsidP="0026419F">
            <w:pPr>
              <w:jc w:val="right"/>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1.000,00</w:t>
            </w:r>
          </w:p>
        </w:tc>
        <w:tc>
          <w:tcPr>
            <w:tcW w:w="1417" w:type="dxa"/>
            <w:tcBorders>
              <w:top w:val="nil"/>
              <w:left w:val="nil"/>
              <w:bottom w:val="single" w:sz="4" w:space="0" w:color="auto"/>
              <w:right w:val="single" w:sz="4" w:space="0" w:color="auto"/>
            </w:tcBorders>
            <w:shd w:val="clear" w:color="auto" w:fill="FFFFFF"/>
            <w:noWrap/>
            <w:vAlign w:val="bottom"/>
            <w:hideMark/>
          </w:tcPr>
          <w:p w14:paraId="41151BE1" w14:textId="77777777" w:rsidR="0026419F" w:rsidRPr="0026419F" w:rsidRDefault="0026419F" w:rsidP="0026419F">
            <w:pPr>
              <w:jc w:val="right"/>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0,00</w:t>
            </w:r>
          </w:p>
        </w:tc>
        <w:tc>
          <w:tcPr>
            <w:tcW w:w="1559" w:type="dxa"/>
            <w:tcBorders>
              <w:top w:val="nil"/>
              <w:left w:val="nil"/>
              <w:bottom w:val="single" w:sz="4" w:space="0" w:color="auto"/>
              <w:right w:val="single" w:sz="4" w:space="0" w:color="auto"/>
            </w:tcBorders>
            <w:shd w:val="clear" w:color="auto" w:fill="FFFFFF"/>
            <w:noWrap/>
            <w:vAlign w:val="bottom"/>
            <w:hideMark/>
          </w:tcPr>
          <w:p w14:paraId="61DB5017" w14:textId="77777777" w:rsidR="0026419F" w:rsidRPr="0026419F" w:rsidRDefault="0026419F" w:rsidP="0026419F">
            <w:pPr>
              <w:jc w:val="right"/>
              <w:rPr>
                <w:rFonts w:ascii="Arial" w:hAnsi="Arial" w:cs="Arial"/>
                <w:b/>
                <w:bCs/>
                <w:kern w:val="2"/>
                <w:sz w:val="20"/>
                <w:szCs w:val="20"/>
                <w14:ligatures w14:val="standardContextual"/>
              </w:rPr>
            </w:pPr>
            <w:r w:rsidRPr="0026419F">
              <w:rPr>
                <w:rFonts w:ascii="Arial" w:hAnsi="Arial" w:cs="Arial"/>
                <w:b/>
                <w:bCs/>
                <w:kern w:val="2"/>
                <w:sz w:val="20"/>
                <w:szCs w:val="20"/>
                <w14:ligatures w14:val="standardContextual"/>
              </w:rPr>
              <w:t>1.000,00</w:t>
            </w:r>
          </w:p>
        </w:tc>
      </w:tr>
      <w:tr w:rsidR="0026419F" w:rsidRPr="0026419F" w14:paraId="4FC694B8" w14:textId="77777777" w:rsidTr="0026419F">
        <w:trPr>
          <w:trHeight w:val="255"/>
        </w:trPr>
        <w:tc>
          <w:tcPr>
            <w:tcW w:w="4352" w:type="dxa"/>
            <w:tcBorders>
              <w:top w:val="nil"/>
              <w:left w:val="single" w:sz="4" w:space="0" w:color="auto"/>
              <w:bottom w:val="single" w:sz="4" w:space="0" w:color="auto"/>
              <w:right w:val="single" w:sz="4" w:space="0" w:color="auto"/>
            </w:tcBorders>
            <w:shd w:val="clear" w:color="auto" w:fill="FFFFFF"/>
            <w:noWrap/>
            <w:vAlign w:val="bottom"/>
            <w:hideMark/>
          </w:tcPr>
          <w:p w14:paraId="4F49A521" w14:textId="77777777" w:rsidR="0026419F" w:rsidRPr="0026419F" w:rsidRDefault="0026419F" w:rsidP="0026419F">
            <w:pPr>
              <w:rPr>
                <w:rFonts w:ascii="Arial" w:hAnsi="Arial" w:cs="Arial"/>
                <w:kern w:val="2"/>
                <w:sz w:val="20"/>
                <w:szCs w:val="20"/>
                <w14:ligatures w14:val="standardContextual"/>
              </w:rPr>
            </w:pPr>
            <w:r w:rsidRPr="0026419F">
              <w:rPr>
                <w:rFonts w:ascii="Arial" w:hAnsi="Arial" w:cs="Arial"/>
                <w:kern w:val="2"/>
                <w:sz w:val="20"/>
                <w:szCs w:val="20"/>
                <w14:ligatures w14:val="standardContextual"/>
              </w:rPr>
              <w:t>Kapitalni projekt K300003 Odlagalište komunalnog otpada Cere</w:t>
            </w:r>
          </w:p>
        </w:tc>
        <w:tc>
          <w:tcPr>
            <w:tcW w:w="1739" w:type="dxa"/>
            <w:tcBorders>
              <w:top w:val="nil"/>
              <w:left w:val="nil"/>
              <w:bottom w:val="single" w:sz="4" w:space="0" w:color="auto"/>
              <w:right w:val="single" w:sz="4" w:space="0" w:color="auto"/>
            </w:tcBorders>
            <w:shd w:val="clear" w:color="auto" w:fill="FFFFFF"/>
            <w:noWrap/>
            <w:vAlign w:val="bottom"/>
            <w:hideMark/>
          </w:tcPr>
          <w:p w14:paraId="5750D1E2"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1.000,00</w:t>
            </w:r>
          </w:p>
        </w:tc>
        <w:tc>
          <w:tcPr>
            <w:tcW w:w="1417" w:type="dxa"/>
            <w:tcBorders>
              <w:top w:val="nil"/>
              <w:left w:val="nil"/>
              <w:bottom w:val="single" w:sz="4" w:space="0" w:color="auto"/>
              <w:right w:val="single" w:sz="4" w:space="0" w:color="auto"/>
            </w:tcBorders>
            <w:shd w:val="clear" w:color="auto" w:fill="FFFFFF"/>
            <w:noWrap/>
            <w:vAlign w:val="bottom"/>
            <w:hideMark/>
          </w:tcPr>
          <w:p w14:paraId="52909E59"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0,00</w:t>
            </w:r>
          </w:p>
        </w:tc>
        <w:tc>
          <w:tcPr>
            <w:tcW w:w="1559" w:type="dxa"/>
            <w:tcBorders>
              <w:top w:val="nil"/>
              <w:left w:val="nil"/>
              <w:bottom w:val="single" w:sz="4" w:space="0" w:color="auto"/>
              <w:right w:val="single" w:sz="4" w:space="0" w:color="auto"/>
            </w:tcBorders>
            <w:shd w:val="clear" w:color="auto" w:fill="FFFFFF"/>
            <w:noWrap/>
            <w:vAlign w:val="bottom"/>
            <w:hideMark/>
          </w:tcPr>
          <w:p w14:paraId="11178E9B" w14:textId="77777777" w:rsidR="0026419F" w:rsidRPr="0026419F" w:rsidRDefault="0026419F" w:rsidP="0026419F">
            <w:pPr>
              <w:jc w:val="right"/>
              <w:rPr>
                <w:rFonts w:ascii="Arial" w:hAnsi="Arial" w:cs="Arial"/>
                <w:kern w:val="2"/>
                <w:sz w:val="20"/>
                <w:szCs w:val="20"/>
                <w14:ligatures w14:val="standardContextual"/>
              </w:rPr>
            </w:pPr>
            <w:r w:rsidRPr="0026419F">
              <w:rPr>
                <w:rFonts w:ascii="Arial" w:hAnsi="Arial" w:cs="Arial"/>
                <w:kern w:val="2"/>
                <w:sz w:val="20"/>
                <w:szCs w:val="20"/>
                <w14:ligatures w14:val="standardContextual"/>
              </w:rPr>
              <w:t>1.000,00</w:t>
            </w:r>
          </w:p>
        </w:tc>
      </w:tr>
    </w:tbl>
    <w:p w14:paraId="10442A78" w14:textId="77777777" w:rsidR="0026419F" w:rsidRPr="0026419F" w:rsidRDefault="0026419F" w:rsidP="0026419F">
      <w:pPr>
        <w:ind w:firstLine="708"/>
        <w:jc w:val="both"/>
        <w:rPr>
          <w:rFonts w:ascii="Arial" w:eastAsia="Calibri" w:hAnsi="Arial" w:cs="Arial"/>
          <w:iCs/>
          <w:color w:val="000000"/>
          <w:sz w:val="22"/>
          <w:szCs w:val="22"/>
          <w:lang w:eastAsia="en-US"/>
        </w:rPr>
      </w:pPr>
    </w:p>
    <w:p w14:paraId="221DE5FB" w14:textId="77777777" w:rsidR="0026419F" w:rsidRPr="0026419F" w:rsidRDefault="0026419F" w:rsidP="0026419F">
      <w:pPr>
        <w:ind w:firstLine="708"/>
        <w:jc w:val="both"/>
        <w:rPr>
          <w:rFonts w:ascii="Arial" w:eastAsia="Calibri" w:hAnsi="Arial" w:cs="Arial"/>
          <w:iCs/>
          <w:color w:val="000000"/>
          <w:szCs w:val="22"/>
          <w:lang w:eastAsia="en-US"/>
        </w:rPr>
      </w:pPr>
    </w:p>
    <w:p w14:paraId="700CA459" w14:textId="77777777" w:rsidR="0026419F" w:rsidRPr="0026419F" w:rsidRDefault="0026419F" w:rsidP="0026419F">
      <w:pPr>
        <w:ind w:firstLine="708"/>
        <w:jc w:val="both"/>
        <w:rPr>
          <w:rFonts w:ascii="Arial" w:eastAsia="Calibri" w:hAnsi="Arial" w:cs="Arial"/>
          <w:iCs/>
          <w:color w:val="000000"/>
          <w:szCs w:val="22"/>
          <w:lang w:eastAsia="en-US"/>
        </w:rPr>
      </w:pPr>
    </w:p>
    <w:p w14:paraId="3009E631" w14:textId="75808333" w:rsidR="0026419F" w:rsidRPr="0026419F" w:rsidRDefault="0026419F" w:rsidP="0026419F">
      <w:pPr>
        <w:shd w:val="clear" w:color="auto" w:fill="FFFFFF"/>
        <w:spacing w:after="160" w:line="256" w:lineRule="auto"/>
        <w:rPr>
          <w:rFonts w:ascii="Arial" w:eastAsia="Aptos" w:hAnsi="Arial" w:cs="Arial"/>
          <w:b/>
          <w:color w:val="000000"/>
          <w:szCs w:val="22"/>
          <w:lang w:eastAsia="en-US"/>
        </w:rPr>
      </w:pPr>
      <w:r w:rsidRPr="0026419F">
        <w:rPr>
          <w:rFonts w:ascii="Arial" w:eastAsia="Aptos" w:hAnsi="Arial" w:cs="Arial"/>
          <w:b/>
          <w:bCs/>
          <w:color w:val="000000"/>
          <w:szCs w:val="22"/>
          <w:lang w:eastAsia="en-US"/>
        </w:rPr>
        <w:lastRenderedPageBreak/>
        <w:t>1. DOKUMENTI PROSTORNOG UREĐENJA</w:t>
      </w:r>
    </w:p>
    <w:p w14:paraId="06D0A305" w14:textId="77777777" w:rsidR="0026419F" w:rsidRDefault="0026419F" w:rsidP="0026419F">
      <w:pPr>
        <w:spacing w:line="259" w:lineRule="auto"/>
        <w:jc w:val="both"/>
        <w:rPr>
          <w:rFonts w:ascii="Arial" w:eastAsia="Aptos" w:hAnsi="Arial" w:cs="Arial"/>
          <w:color w:val="000000"/>
          <w:sz w:val="22"/>
          <w:szCs w:val="22"/>
          <w:lang w:val="en-GB" w:eastAsia="en-US"/>
        </w:rPr>
      </w:pPr>
      <w:proofErr w:type="spellStart"/>
      <w:r w:rsidRPr="0026419F">
        <w:rPr>
          <w:rFonts w:ascii="Arial" w:eastAsia="Aptos" w:hAnsi="Arial" w:cs="Arial"/>
          <w:b/>
          <w:color w:val="000000"/>
          <w:sz w:val="22"/>
          <w:szCs w:val="22"/>
          <w:u w:val="single"/>
          <w:lang w:val="en-GB" w:eastAsia="en-US"/>
        </w:rPr>
        <w:t>Zakonska</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osnova</w:t>
      </w:r>
      <w:proofErr w:type="spellEnd"/>
      <w:r w:rsidRPr="0026419F">
        <w:rPr>
          <w:rFonts w:ascii="Arial" w:eastAsia="Aptos" w:hAnsi="Arial" w:cs="Arial"/>
          <w:color w:val="000000"/>
          <w:sz w:val="22"/>
          <w:szCs w:val="22"/>
          <w:lang w:val="en-GB" w:eastAsia="en-US"/>
        </w:rPr>
        <w:t xml:space="preserve">: </w:t>
      </w:r>
      <w:proofErr w:type="gramStart"/>
      <w:r w:rsidRPr="0026419F">
        <w:rPr>
          <w:rFonts w:ascii="Arial" w:eastAsia="Aptos" w:hAnsi="Arial" w:cs="Arial"/>
          <w:color w:val="000000"/>
          <w:sz w:val="22"/>
          <w:szCs w:val="22"/>
          <w:lang w:val="en-GB" w:eastAsia="en-US"/>
        </w:rPr>
        <w:t>Zakon  o</w:t>
      </w:r>
      <w:proofErr w:type="gram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lokalnoj</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područnoj</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regionalnoj</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samoupravi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Narodne</w:t>
      </w:r>
      <w:proofErr w:type="spellEnd"/>
      <w:r w:rsidRPr="0026419F">
        <w:rPr>
          <w:rFonts w:ascii="Arial" w:eastAsia="Aptos" w:hAnsi="Arial" w:cs="Arial"/>
          <w:color w:val="000000"/>
          <w:sz w:val="22"/>
          <w:szCs w:val="22"/>
          <w:lang w:val="en-GB" w:eastAsia="en-US"/>
        </w:rPr>
        <w:t xml:space="preserve"> novine" </w:t>
      </w:r>
      <w:proofErr w:type="spellStart"/>
      <w:r w:rsidRPr="0026419F">
        <w:rPr>
          <w:rFonts w:ascii="Arial" w:eastAsia="Aptos" w:hAnsi="Arial" w:cs="Arial"/>
          <w:color w:val="000000"/>
          <w:sz w:val="22"/>
          <w:szCs w:val="22"/>
          <w:lang w:val="en-GB" w:eastAsia="en-US"/>
        </w:rPr>
        <w:t>broj</w:t>
      </w:r>
      <w:proofErr w:type="spellEnd"/>
      <w:r w:rsidRPr="0026419F">
        <w:rPr>
          <w:rFonts w:ascii="Arial" w:eastAsia="Aptos" w:hAnsi="Arial" w:cs="Arial"/>
          <w:color w:val="000000"/>
          <w:sz w:val="22"/>
          <w:szCs w:val="22"/>
          <w:lang w:val="en-GB" w:eastAsia="en-US"/>
        </w:rPr>
        <w:t xml:space="preserve"> 33/01, 60/01, 129/05, 109/07, 125/08, 36/09, 36/09, 150/11, 144/12, 19/13, 137/15, 123/17, 98/19, 144/20)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Zakon o </w:t>
      </w:r>
      <w:proofErr w:type="spellStart"/>
      <w:r w:rsidRPr="0026419F">
        <w:rPr>
          <w:rFonts w:ascii="Arial" w:eastAsia="Aptos" w:hAnsi="Arial" w:cs="Arial"/>
          <w:color w:val="000000"/>
          <w:sz w:val="22"/>
          <w:szCs w:val="22"/>
          <w:lang w:val="en-GB" w:eastAsia="en-US"/>
        </w:rPr>
        <w:t>prostornom</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uređenju</w:t>
      </w:r>
      <w:proofErr w:type="spellEnd"/>
      <w:r w:rsidRPr="0026419F">
        <w:rPr>
          <w:rFonts w:ascii="Arial" w:eastAsia="Aptos" w:hAnsi="Arial" w:cs="Arial"/>
          <w:color w:val="000000"/>
          <w:sz w:val="22"/>
          <w:szCs w:val="22"/>
          <w:lang w:val="en-GB" w:eastAsia="en-US"/>
        </w:rPr>
        <w:t xml:space="preserve"> </w:t>
      </w:r>
      <w:proofErr w:type="gramStart"/>
      <w:r w:rsidRPr="0026419F">
        <w:rPr>
          <w:rFonts w:ascii="Arial" w:eastAsia="Aptos" w:hAnsi="Arial" w:cs="Arial"/>
          <w:color w:val="000000"/>
          <w:sz w:val="22"/>
          <w:szCs w:val="22"/>
          <w:lang w:val="en-GB" w:eastAsia="en-US"/>
        </w:rPr>
        <w:t>(”</w:t>
      </w:r>
      <w:proofErr w:type="spellStart"/>
      <w:r w:rsidRPr="0026419F">
        <w:rPr>
          <w:rFonts w:ascii="Arial" w:eastAsia="Aptos" w:hAnsi="Arial" w:cs="Arial"/>
          <w:color w:val="000000"/>
          <w:sz w:val="22"/>
          <w:szCs w:val="22"/>
          <w:lang w:val="en-GB" w:eastAsia="en-US"/>
        </w:rPr>
        <w:t>Narodne</w:t>
      </w:r>
      <w:proofErr w:type="spellEnd"/>
      <w:proofErr w:type="gramEnd"/>
      <w:r w:rsidRPr="0026419F">
        <w:rPr>
          <w:rFonts w:ascii="Arial" w:eastAsia="Aptos" w:hAnsi="Arial" w:cs="Arial"/>
          <w:color w:val="000000"/>
          <w:sz w:val="22"/>
          <w:szCs w:val="22"/>
          <w:lang w:val="en-GB" w:eastAsia="en-US"/>
        </w:rPr>
        <w:t xml:space="preserve"> novine” </w:t>
      </w:r>
      <w:proofErr w:type="spellStart"/>
      <w:r w:rsidRPr="0026419F">
        <w:rPr>
          <w:rFonts w:ascii="Arial" w:eastAsia="Aptos" w:hAnsi="Arial" w:cs="Arial"/>
          <w:color w:val="000000"/>
          <w:sz w:val="22"/>
          <w:szCs w:val="22"/>
          <w:lang w:val="en-GB" w:eastAsia="en-US"/>
        </w:rPr>
        <w:t>broj</w:t>
      </w:r>
      <w:proofErr w:type="spellEnd"/>
      <w:r w:rsidRPr="0026419F">
        <w:rPr>
          <w:rFonts w:ascii="Arial" w:eastAsia="Aptos" w:hAnsi="Arial" w:cs="Arial"/>
          <w:color w:val="000000"/>
          <w:sz w:val="22"/>
          <w:szCs w:val="22"/>
          <w:lang w:val="en-GB" w:eastAsia="en-US"/>
        </w:rPr>
        <w:t xml:space="preserve"> 153/13</w:t>
      </w:r>
      <w:proofErr w:type="gramStart"/>
      <w:r w:rsidRPr="0026419F">
        <w:rPr>
          <w:rFonts w:ascii="Arial" w:eastAsia="Aptos" w:hAnsi="Arial" w:cs="Arial"/>
          <w:color w:val="000000"/>
          <w:sz w:val="22"/>
          <w:szCs w:val="22"/>
          <w:lang w:val="en-GB" w:eastAsia="en-US"/>
        </w:rPr>
        <w:t>. ,</w:t>
      </w:r>
      <w:proofErr w:type="gramEnd"/>
      <w:r w:rsidRPr="0026419F">
        <w:rPr>
          <w:rFonts w:ascii="Arial" w:eastAsia="Aptos" w:hAnsi="Arial" w:cs="Arial"/>
          <w:color w:val="000000"/>
          <w:sz w:val="22"/>
          <w:szCs w:val="22"/>
          <w:lang w:val="en-GB" w:eastAsia="en-US"/>
        </w:rPr>
        <w:t xml:space="preserve"> 65/17., 114/18</w:t>
      </w:r>
      <w:proofErr w:type="gramStart"/>
      <w:r w:rsidRPr="0026419F">
        <w:rPr>
          <w:rFonts w:ascii="Arial" w:eastAsia="Aptos" w:hAnsi="Arial" w:cs="Arial"/>
          <w:color w:val="000000"/>
          <w:sz w:val="22"/>
          <w:szCs w:val="22"/>
          <w:lang w:val="en-GB" w:eastAsia="en-US"/>
        </w:rPr>
        <w:t>.,  39</w:t>
      </w:r>
      <w:proofErr w:type="gramEnd"/>
      <w:r w:rsidRPr="0026419F">
        <w:rPr>
          <w:rFonts w:ascii="Arial" w:eastAsia="Aptos" w:hAnsi="Arial" w:cs="Arial"/>
          <w:color w:val="000000"/>
          <w:sz w:val="22"/>
          <w:szCs w:val="22"/>
          <w:lang w:val="en-GB" w:eastAsia="en-US"/>
        </w:rPr>
        <w:t>/19</w:t>
      </w:r>
      <w:proofErr w:type="gramStart"/>
      <w:r w:rsidRPr="0026419F">
        <w:rPr>
          <w:rFonts w:ascii="Arial" w:eastAsia="Aptos" w:hAnsi="Arial" w:cs="Arial"/>
          <w:color w:val="000000"/>
          <w:sz w:val="22"/>
          <w:szCs w:val="22"/>
          <w:lang w:val="en-GB" w:eastAsia="en-US"/>
        </w:rPr>
        <w:t>. ,</w:t>
      </w:r>
      <w:proofErr w:type="gramEnd"/>
      <w:r w:rsidRPr="0026419F">
        <w:rPr>
          <w:rFonts w:ascii="Arial" w:eastAsia="Aptos" w:hAnsi="Arial" w:cs="Arial"/>
          <w:color w:val="000000"/>
          <w:sz w:val="22"/>
          <w:szCs w:val="22"/>
          <w:lang w:val="en-GB" w:eastAsia="en-US"/>
        </w:rPr>
        <w:t xml:space="preserve"> 98/19.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67/23.)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svi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podzakonski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akti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doneseni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temeljem</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tih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zakona</w:t>
      </w:r>
      <w:proofErr w:type="spellEnd"/>
      <w:r w:rsidRPr="0026419F">
        <w:rPr>
          <w:rFonts w:ascii="Arial" w:eastAsia="Aptos" w:hAnsi="Arial" w:cs="Arial"/>
          <w:color w:val="000000"/>
          <w:sz w:val="22"/>
          <w:szCs w:val="22"/>
          <w:lang w:val="en-GB" w:eastAsia="en-US"/>
        </w:rPr>
        <w:t>.</w:t>
      </w:r>
    </w:p>
    <w:p w14:paraId="7DC4D472" w14:textId="77777777" w:rsidR="0026419F" w:rsidRPr="0026419F" w:rsidRDefault="0026419F" w:rsidP="0026419F">
      <w:pPr>
        <w:spacing w:line="259" w:lineRule="auto"/>
        <w:jc w:val="both"/>
        <w:rPr>
          <w:rFonts w:ascii="Arial" w:eastAsia="Aptos" w:hAnsi="Arial" w:cs="Arial"/>
          <w:color w:val="000000"/>
          <w:sz w:val="22"/>
          <w:szCs w:val="22"/>
          <w:lang w:val="en-GB" w:eastAsia="en-US"/>
        </w:rPr>
      </w:pPr>
    </w:p>
    <w:p w14:paraId="0D0AB9A8" w14:textId="77777777" w:rsidR="0026419F" w:rsidRPr="0026419F" w:rsidRDefault="0026419F" w:rsidP="0026419F">
      <w:pPr>
        <w:spacing w:line="259" w:lineRule="auto"/>
        <w:jc w:val="both"/>
        <w:rPr>
          <w:rFonts w:ascii="Arial" w:eastAsia="Aptos" w:hAnsi="Arial" w:cs="Arial"/>
          <w:b/>
          <w:color w:val="000000"/>
          <w:sz w:val="22"/>
          <w:szCs w:val="22"/>
          <w:lang w:val="en-GB" w:eastAsia="en-US"/>
        </w:rPr>
      </w:pPr>
      <w:proofErr w:type="spellStart"/>
      <w:r w:rsidRPr="0026419F">
        <w:rPr>
          <w:rFonts w:ascii="Arial" w:eastAsia="Aptos" w:hAnsi="Arial" w:cs="Arial"/>
          <w:b/>
          <w:color w:val="000000"/>
          <w:sz w:val="22"/>
          <w:szCs w:val="22"/>
          <w:u w:val="single"/>
          <w:lang w:val="en-GB" w:eastAsia="en-US"/>
        </w:rPr>
        <w:t>Opis</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programa</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sa</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općim</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i</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posebnim</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ciljem</w:t>
      </w:r>
      <w:proofErr w:type="spellEnd"/>
      <w:r w:rsidRPr="0026419F">
        <w:rPr>
          <w:rFonts w:ascii="Arial" w:eastAsia="Aptos" w:hAnsi="Arial" w:cs="Arial"/>
          <w:b/>
          <w:color w:val="000000"/>
          <w:sz w:val="22"/>
          <w:szCs w:val="22"/>
          <w:u w:val="single"/>
          <w:lang w:val="en-GB" w:eastAsia="en-US"/>
        </w:rPr>
        <w:t xml:space="preserve">: </w:t>
      </w:r>
    </w:p>
    <w:p w14:paraId="6F811667" w14:textId="03787C57" w:rsidR="0026419F" w:rsidRPr="0026419F" w:rsidRDefault="0026419F" w:rsidP="0026419F">
      <w:pPr>
        <w:spacing w:line="259" w:lineRule="auto"/>
        <w:jc w:val="both"/>
        <w:rPr>
          <w:rFonts w:ascii="Arial" w:eastAsia="Calibri" w:hAnsi="Arial" w:cs="Arial"/>
          <w:color w:val="000000"/>
          <w:sz w:val="22"/>
          <w:szCs w:val="22"/>
          <w:lang w:eastAsia="en-US"/>
        </w:rPr>
      </w:pPr>
      <w:r w:rsidRPr="0026419F">
        <w:rPr>
          <w:rFonts w:ascii="Arial" w:eastAsia="Calibri" w:hAnsi="Arial" w:cs="Arial"/>
          <w:color w:val="000000"/>
          <w:sz w:val="22"/>
          <w:szCs w:val="22"/>
          <w:lang w:eastAsia="en-US"/>
        </w:rPr>
        <w:t xml:space="preserve">U </w:t>
      </w:r>
      <w:r w:rsidRPr="0026419F">
        <w:rPr>
          <w:rFonts w:ascii="Arial" w:eastAsia="Calibri" w:hAnsi="Arial" w:cs="Arial"/>
          <w:b/>
          <w:color w:val="000000"/>
          <w:sz w:val="22"/>
          <w:szCs w:val="22"/>
          <w:lang w:eastAsia="en-US"/>
        </w:rPr>
        <w:t xml:space="preserve">PROGRAMU P3001 – Dokumenti prostornog uređenja (izrada i provedba) </w:t>
      </w:r>
      <w:r w:rsidRPr="0026419F">
        <w:rPr>
          <w:rFonts w:ascii="Arial" w:eastAsia="Calibri" w:hAnsi="Arial" w:cs="Arial"/>
          <w:color w:val="000000"/>
          <w:sz w:val="22"/>
          <w:szCs w:val="22"/>
          <w:lang w:eastAsia="en-US"/>
        </w:rPr>
        <w:t>predlaže se smanjenje planiranog iznosa za</w:t>
      </w:r>
      <w:r w:rsidRPr="0026419F">
        <w:rPr>
          <w:rFonts w:ascii="Arial" w:eastAsia="Calibri" w:hAnsi="Arial" w:cs="Arial"/>
          <w:b/>
          <w:color w:val="000000"/>
          <w:sz w:val="22"/>
          <w:szCs w:val="22"/>
          <w:lang w:eastAsia="en-US"/>
        </w:rPr>
        <w:t xml:space="preserve"> 6,45% </w:t>
      </w:r>
      <w:r w:rsidRPr="0026419F">
        <w:rPr>
          <w:rFonts w:ascii="Arial" w:eastAsia="Calibri" w:hAnsi="Arial" w:cs="Arial"/>
          <w:color w:val="000000"/>
          <w:sz w:val="22"/>
          <w:szCs w:val="22"/>
          <w:lang w:eastAsia="en-US"/>
        </w:rPr>
        <w:t>odnosno za</w:t>
      </w:r>
      <w:r w:rsidRPr="0026419F">
        <w:rPr>
          <w:rFonts w:ascii="Arial" w:eastAsia="Calibri" w:hAnsi="Arial" w:cs="Arial"/>
          <w:b/>
          <w:color w:val="000000"/>
          <w:sz w:val="22"/>
          <w:szCs w:val="22"/>
          <w:lang w:eastAsia="en-US"/>
        </w:rPr>
        <w:t xml:space="preserve"> 12.059,00 EUR</w:t>
      </w:r>
      <w:r w:rsidRPr="0026419F">
        <w:rPr>
          <w:rFonts w:ascii="Arial" w:eastAsia="Calibri" w:hAnsi="Arial" w:cs="Arial"/>
          <w:color w:val="000000"/>
          <w:sz w:val="22"/>
          <w:szCs w:val="22"/>
          <w:lang w:eastAsia="en-US"/>
        </w:rPr>
        <w:t xml:space="preserve">, tako da umjesto </w:t>
      </w:r>
      <w:r w:rsidRPr="0026419F">
        <w:rPr>
          <w:rFonts w:ascii="Arial" w:eastAsia="Calibri" w:hAnsi="Arial" w:cs="Arial"/>
          <w:b/>
          <w:bCs/>
          <w:color w:val="000000"/>
          <w:sz w:val="22"/>
          <w:szCs w:val="22"/>
          <w:lang w:eastAsia="en-US"/>
        </w:rPr>
        <w:t>187</w:t>
      </w:r>
      <w:r w:rsidRPr="0026419F">
        <w:rPr>
          <w:rFonts w:ascii="Arial" w:eastAsia="Calibri" w:hAnsi="Arial" w:cs="Arial"/>
          <w:b/>
          <w:color w:val="000000"/>
          <w:sz w:val="22"/>
          <w:szCs w:val="22"/>
          <w:lang w:eastAsia="en-US"/>
        </w:rPr>
        <w:t>.018,00 EUR</w:t>
      </w:r>
      <w:r w:rsidRPr="0026419F">
        <w:rPr>
          <w:rFonts w:ascii="Arial" w:eastAsia="Calibri" w:hAnsi="Arial" w:cs="Arial"/>
          <w:color w:val="000000"/>
          <w:sz w:val="22"/>
          <w:szCs w:val="22"/>
          <w:lang w:eastAsia="en-US"/>
        </w:rPr>
        <w:t xml:space="preserve"> sada iznosi </w:t>
      </w:r>
      <w:r w:rsidRPr="0026419F">
        <w:rPr>
          <w:rFonts w:ascii="Arial" w:eastAsia="Calibri" w:hAnsi="Arial" w:cs="Arial"/>
          <w:b/>
          <w:color w:val="000000"/>
          <w:sz w:val="22"/>
          <w:szCs w:val="22"/>
          <w:lang w:eastAsia="en-US"/>
        </w:rPr>
        <w:t>174.959,00 EUR</w:t>
      </w:r>
      <w:r w:rsidRPr="0026419F">
        <w:rPr>
          <w:rFonts w:ascii="Arial" w:eastAsia="Calibri" w:hAnsi="Arial" w:cs="Arial"/>
          <w:color w:val="000000"/>
          <w:sz w:val="22"/>
          <w:szCs w:val="22"/>
          <w:lang w:eastAsia="en-US"/>
        </w:rPr>
        <w:t xml:space="preserve">. Krajem godine donesen je novi Zakonu o zaštiti i očuvanju kulturnih dobara (NN 145/24) sukladno kojem Ministarstvo utvrđuje konzervatorske podloge te iste dostavlja nositeljima izrade u postupku izrade  prostornih planova, dodatno Ministarstvo je ugovorilo izradu digitalne i javno dostupnih konzervatorske podloge za kulturno-povijesnu cjelinu Labina u okviru Nacionalnog plana oporavka i otpornosti 2021. – 2026. slijedom navedenog program je umanjen za vrijednost planirane aktivnosti izrade konzervatorske podloge nove generacije. Dodatno izvršeno je usklađenje sa ostvarenom realizacijom predaje konačnog prijedloga V. Izmjena i dopuna Prostornog plana uređenja Grada Labina koji je dostavljen na suglasnost Ministarstvu prostornog uređenja  graditeljstva i državne imovine krajem ožujka. </w:t>
      </w:r>
    </w:p>
    <w:p w14:paraId="46456C59" w14:textId="03171A38" w:rsidR="0026419F" w:rsidRDefault="0026419F" w:rsidP="0026419F">
      <w:pPr>
        <w:spacing w:line="259" w:lineRule="auto"/>
        <w:jc w:val="both"/>
        <w:rPr>
          <w:rFonts w:ascii="Arial" w:eastAsia="Calibri" w:hAnsi="Arial" w:cs="Arial"/>
          <w:color w:val="000000"/>
          <w:sz w:val="22"/>
          <w:szCs w:val="22"/>
          <w:lang w:eastAsia="en-US"/>
        </w:rPr>
      </w:pPr>
      <w:r w:rsidRPr="0026419F">
        <w:rPr>
          <w:rFonts w:ascii="Arial" w:eastAsia="Calibri" w:hAnsi="Arial" w:cs="Arial"/>
          <w:color w:val="000000"/>
          <w:sz w:val="22"/>
          <w:szCs w:val="22"/>
          <w:lang w:eastAsia="en-US"/>
        </w:rPr>
        <w:t>Cilj programa prostornog uređenja je stvaranje preduvjeta za gospodarenje prostorom i očuvanje povijesnog nasljeđa Grada kroz urbanističko planiranje što se postiže pripremom, izradom i donošenjem dokumenata prostornog uređenja, izradom konzervatorskih podloga,  prostornih studija i rješenja s ciljem očuvanja i učinkovitijeg gospodarenja prostorom na području Grada. Dokumenti prostornog uređenja, a posebno Prostorni plan uređenja Grada kao jedan od  strateških dokumenata, prisutni su u svim razvojnim ciljevima Grada Labina.</w:t>
      </w:r>
    </w:p>
    <w:p w14:paraId="75F97EED" w14:textId="77777777" w:rsidR="0026419F" w:rsidRPr="0026419F" w:rsidRDefault="0026419F" w:rsidP="0026419F">
      <w:pPr>
        <w:spacing w:line="259" w:lineRule="auto"/>
        <w:jc w:val="both"/>
        <w:rPr>
          <w:rFonts w:ascii="Arial" w:eastAsia="Calibri" w:hAnsi="Arial" w:cs="Arial"/>
          <w:color w:val="000000"/>
          <w:sz w:val="22"/>
          <w:szCs w:val="22"/>
          <w:lang w:eastAsia="en-US"/>
        </w:rPr>
      </w:pPr>
    </w:p>
    <w:p w14:paraId="705A60C8" w14:textId="77777777" w:rsidR="0026419F" w:rsidRPr="0026419F" w:rsidRDefault="0026419F" w:rsidP="0026419F">
      <w:pPr>
        <w:spacing w:line="259" w:lineRule="auto"/>
        <w:jc w:val="both"/>
        <w:rPr>
          <w:rFonts w:ascii="Arial" w:eastAsia="Aptos" w:hAnsi="Arial" w:cs="Arial"/>
          <w:b/>
          <w:color w:val="000000"/>
          <w:sz w:val="22"/>
          <w:szCs w:val="22"/>
          <w:u w:val="single"/>
          <w:lang w:val="en-GB" w:eastAsia="en-US"/>
        </w:rPr>
      </w:pPr>
      <w:proofErr w:type="spellStart"/>
      <w:r w:rsidRPr="0026419F">
        <w:rPr>
          <w:rFonts w:ascii="Arial" w:eastAsia="Aptos" w:hAnsi="Arial" w:cs="Arial"/>
          <w:b/>
          <w:color w:val="000000"/>
          <w:sz w:val="22"/>
          <w:szCs w:val="22"/>
          <w:u w:val="single"/>
          <w:lang w:val="en-GB" w:eastAsia="en-US"/>
        </w:rPr>
        <w:t>Pokazatelj</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uspješnosti</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i</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mogući</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rizici</w:t>
      </w:r>
      <w:proofErr w:type="spellEnd"/>
      <w:r w:rsidRPr="0026419F">
        <w:rPr>
          <w:rFonts w:ascii="Arial" w:eastAsia="Aptos" w:hAnsi="Arial" w:cs="Arial"/>
          <w:b/>
          <w:color w:val="000000"/>
          <w:sz w:val="22"/>
          <w:szCs w:val="22"/>
          <w:u w:val="single"/>
          <w:lang w:val="en-GB" w:eastAsia="en-US"/>
        </w:rPr>
        <w:t xml:space="preserve">: </w:t>
      </w:r>
    </w:p>
    <w:p w14:paraId="563FB950" w14:textId="77777777" w:rsidR="0026419F" w:rsidRPr="0026419F" w:rsidRDefault="0026419F" w:rsidP="0026419F">
      <w:pPr>
        <w:spacing w:line="259" w:lineRule="auto"/>
        <w:jc w:val="both"/>
        <w:rPr>
          <w:rFonts w:ascii="Arial" w:eastAsia="Aptos" w:hAnsi="Arial" w:cs="Arial"/>
          <w:color w:val="000000"/>
          <w:sz w:val="22"/>
          <w:szCs w:val="22"/>
          <w:lang w:val="en-GB" w:eastAsia="en-US"/>
        </w:rPr>
      </w:pPr>
      <w:r w:rsidRPr="0026419F">
        <w:rPr>
          <w:rFonts w:ascii="Arial" w:eastAsia="Aptos" w:hAnsi="Arial" w:cs="Arial"/>
          <w:color w:val="000000"/>
          <w:sz w:val="22"/>
          <w:szCs w:val="22"/>
          <w:lang w:val="en-GB" w:eastAsia="en-US"/>
        </w:rPr>
        <w:t xml:space="preserve">Gradsko </w:t>
      </w:r>
      <w:proofErr w:type="spellStart"/>
      <w:r w:rsidRPr="0026419F">
        <w:rPr>
          <w:rFonts w:ascii="Arial" w:eastAsia="Aptos" w:hAnsi="Arial" w:cs="Arial"/>
          <w:color w:val="000000"/>
          <w:sz w:val="22"/>
          <w:szCs w:val="22"/>
          <w:lang w:val="en-GB" w:eastAsia="en-US"/>
        </w:rPr>
        <w:t>vijeće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donijelo</w:t>
      </w:r>
      <w:proofErr w:type="spellEnd"/>
      <w:r w:rsidRPr="0026419F">
        <w:rPr>
          <w:rFonts w:ascii="Arial" w:eastAsia="Aptos" w:hAnsi="Arial" w:cs="Arial"/>
          <w:color w:val="000000"/>
          <w:sz w:val="22"/>
          <w:szCs w:val="22"/>
          <w:lang w:val="en-GB" w:eastAsia="en-US"/>
        </w:rPr>
        <w:t xml:space="preserve"> je </w:t>
      </w:r>
      <w:proofErr w:type="spellStart"/>
      <w:r w:rsidRPr="0026419F">
        <w:rPr>
          <w:rFonts w:ascii="Arial" w:eastAsia="Aptos" w:hAnsi="Arial" w:cs="Arial"/>
          <w:color w:val="000000"/>
          <w:sz w:val="22"/>
          <w:szCs w:val="22"/>
          <w:lang w:val="en-GB" w:eastAsia="en-US"/>
        </w:rPr>
        <w:t>planirane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dokumente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prostornog</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uređenja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Primjenom</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prostornih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planova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nakon</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njihova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stupanja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snagu</w:t>
      </w:r>
      <w:proofErr w:type="spellEnd"/>
      <w:r w:rsidRPr="0026419F">
        <w:rPr>
          <w:rFonts w:ascii="Arial" w:eastAsia="Aptos" w:hAnsi="Arial" w:cs="Arial"/>
          <w:color w:val="000000"/>
          <w:sz w:val="22"/>
          <w:szCs w:val="22"/>
          <w:lang w:val="en-GB" w:eastAsia="en-US"/>
        </w:rPr>
        <w:t xml:space="preserve"> bit </w:t>
      </w:r>
      <w:proofErr w:type="spellStart"/>
      <w:r w:rsidRPr="0026419F">
        <w:rPr>
          <w:rFonts w:ascii="Arial" w:eastAsia="Aptos" w:hAnsi="Arial" w:cs="Arial"/>
          <w:color w:val="000000"/>
          <w:sz w:val="22"/>
          <w:szCs w:val="22"/>
          <w:lang w:val="en-GB" w:eastAsia="en-US"/>
        </w:rPr>
        <w:t>će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ispunjeni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razlozi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zbog</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kojih</w:t>
      </w:r>
      <w:proofErr w:type="spellEnd"/>
      <w:r w:rsidRPr="0026419F">
        <w:rPr>
          <w:rFonts w:ascii="Arial" w:eastAsia="Aptos" w:hAnsi="Arial" w:cs="Arial"/>
          <w:color w:val="000000"/>
          <w:sz w:val="22"/>
          <w:szCs w:val="22"/>
          <w:lang w:val="en-GB" w:eastAsia="en-US"/>
        </w:rPr>
        <w:t xml:space="preserve"> se </w:t>
      </w:r>
      <w:proofErr w:type="spellStart"/>
      <w:r w:rsidRPr="0026419F">
        <w:rPr>
          <w:rFonts w:ascii="Arial" w:eastAsia="Aptos" w:hAnsi="Arial" w:cs="Arial"/>
          <w:color w:val="000000"/>
          <w:sz w:val="22"/>
          <w:szCs w:val="22"/>
          <w:lang w:val="en-GB" w:eastAsia="en-US"/>
        </w:rPr>
        <w:t>pristupilo</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njihovim</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izmjenama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dopunama</w:t>
      </w:r>
      <w:proofErr w:type="spellEnd"/>
      <w:r w:rsidRPr="0026419F">
        <w:rPr>
          <w:rFonts w:ascii="Arial" w:eastAsia="Aptos" w:hAnsi="Arial" w:cs="Arial"/>
          <w:color w:val="000000"/>
          <w:sz w:val="22"/>
          <w:szCs w:val="22"/>
          <w:lang w:val="en-GB" w:eastAsia="en-US"/>
        </w:rPr>
        <w:t xml:space="preserve">, a </w:t>
      </w:r>
      <w:proofErr w:type="spellStart"/>
      <w:r w:rsidRPr="0026419F">
        <w:rPr>
          <w:rFonts w:ascii="Arial" w:eastAsia="Aptos" w:hAnsi="Arial" w:cs="Arial"/>
          <w:color w:val="000000"/>
          <w:sz w:val="22"/>
          <w:szCs w:val="22"/>
          <w:lang w:val="en-GB" w:eastAsia="en-US"/>
        </w:rPr>
        <w:t>posebno</w:t>
      </w:r>
      <w:proofErr w:type="spellEnd"/>
      <w:r w:rsidRPr="0026419F">
        <w:rPr>
          <w:rFonts w:ascii="Arial" w:eastAsia="Aptos" w:hAnsi="Arial" w:cs="Arial"/>
          <w:color w:val="000000"/>
          <w:sz w:val="22"/>
          <w:szCs w:val="22"/>
          <w:lang w:val="en-GB" w:eastAsia="en-US"/>
        </w:rPr>
        <w:t xml:space="preserve"> u </w:t>
      </w:r>
      <w:proofErr w:type="spellStart"/>
      <w:r w:rsidRPr="0026419F">
        <w:rPr>
          <w:rFonts w:ascii="Arial" w:eastAsia="Aptos" w:hAnsi="Arial" w:cs="Arial"/>
          <w:color w:val="000000"/>
          <w:sz w:val="22"/>
          <w:szCs w:val="22"/>
          <w:lang w:val="en-GB" w:eastAsia="en-US"/>
        </w:rPr>
        <w:t>dijelu</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njihove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usklađenosti</w:t>
      </w:r>
      <w:proofErr w:type="spellEnd"/>
      <w:r w:rsidRPr="0026419F">
        <w:rPr>
          <w:rFonts w:ascii="Arial" w:eastAsia="Aptos" w:hAnsi="Arial" w:cs="Arial"/>
          <w:color w:val="000000"/>
          <w:sz w:val="22"/>
          <w:szCs w:val="22"/>
          <w:lang w:val="en-GB" w:eastAsia="en-US"/>
        </w:rPr>
        <w:t xml:space="preserve"> po </w:t>
      </w:r>
      <w:proofErr w:type="spellStart"/>
      <w:r w:rsidRPr="0026419F">
        <w:rPr>
          <w:rFonts w:ascii="Arial" w:eastAsia="Aptos" w:hAnsi="Arial" w:cs="Arial"/>
          <w:color w:val="000000"/>
          <w:sz w:val="22"/>
          <w:szCs w:val="22"/>
          <w:lang w:val="en-GB" w:eastAsia="en-US"/>
        </w:rPr>
        <w:t>različitim</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razinama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planova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omogućit</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će</w:t>
      </w:r>
      <w:proofErr w:type="spellEnd"/>
      <w:r w:rsidRPr="0026419F">
        <w:rPr>
          <w:rFonts w:ascii="Arial" w:eastAsia="Aptos" w:hAnsi="Arial" w:cs="Arial"/>
          <w:color w:val="000000"/>
          <w:sz w:val="22"/>
          <w:szCs w:val="22"/>
          <w:lang w:val="en-GB" w:eastAsia="en-US"/>
        </w:rPr>
        <w:t xml:space="preserve"> se </w:t>
      </w:r>
      <w:proofErr w:type="spellStart"/>
      <w:r w:rsidRPr="0026419F">
        <w:rPr>
          <w:rFonts w:ascii="Arial" w:eastAsia="Aptos" w:hAnsi="Arial" w:cs="Arial"/>
          <w:color w:val="000000"/>
          <w:sz w:val="22"/>
          <w:szCs w:val="22"/>
          <w:lang w:val="en-GB" w:eastAsia="en-US"/>
        </w:rPr>
        <w:t>gradnja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parcelama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koje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su</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ispunjavale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uvjete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iz</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Prostornog</w:t>
      </w:r>
      <w:proofErr w:type="spellEnd"/>
      <w:r w:rsidRPr="0026419F">
        <w:rPr>
          <w:rFonts w:ascii="Arial" w:eastAsia="Aptos" w:hAnsi="Arial" w:cs="Arial"/>
          <w:color w:val="000000"/>
          <w:sz w:val="22"/>
          <w:szCs w:val="22"/>
          <w:lang w:val="en-GB" w:eastAsia="en-US"/>
        </w:rPr>
        <w:t xml:space="preserve"> plana </w:t>
      </w:r>
      <w:proofErr w:type="spellStart"/>
      <w:r w:rsidRPr="0026419F">
        <w:rPr>
          <w:rFonts w:ascii="Arial" w:eastAsia="Aptos" w:hAnsi="Arial" w:cs="Arial"/>
          <w:color w:val="000000"/>
          <w:sz w:val="22"/>
          <w:szCs w:val="22"/>
          <w:lang w:val="en-GB" w:eastAsia="en-US"/>
        </w:rPr>
        <w:t>Istarske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županije</w:t>
      </w:r>
      <w:proofErr w:type="spellEnd"/>
      <w:r w:rsidRPr="0026419F">
        <w:rPr>
          <w:rFonts w:ascii="Arial" w:eastAsia="Aptos" w:hAnsi="Arial" w:cs="Arial"/>
          <w:color w:val="000000"/>
          <w:sz w:val="22"/>
          <w:szCs w:val="22"/>
          <w:lang w:val="en-GB" w:eastAsia="en-US"/>
        </w:rPr>
        <w:t xml:space="preserve"> da se </w:t>
      </w:r>
      <w:proofErr w:type="spellStart"/>
      <w:r w:rsidRPr="0026419F">
        <w:rPr>
          <w:rFonts w:ascii="Arial" w:eastAsia="Aptos" w:hAnsi="Arial" w:cs="Arial"/>
          <w:color w:val="000000"/>
          <w:sz w:val="22"/>
          <w:szCs w:val="22"/>
          <w:lang w:val="en-GB" w:eastAsia="en-US"/>
        </w:rPr>
        <w:t>sukladno</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zahtjevima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građana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uključe</w:t>
      </w:r>
      <w:proofErr w:type="spellEnd"/>
      <w:r w:rsidRPr="0026419F">
        <w:rPr>
          <w:rFonts w:ascii="Arial" w:eastAsia="Aptos" w:hAnsi="Arial" w:cs="Arial"/>
          <w:color w:val="000000"/>
          <w:sz w:val="22"/>
          <w:szCs w:val="22"/>
          <w:lang w:val="en-GB" w:eastAsia="en-US"/>
        </w:rPr>
        <w:t xml:space="preserve"> u </w:t>
      </w:r>
      <w:proofErr w:type="spellStart"/>
      <w:r w:rsidRPr="0026419F">
        <w:rPr>
          <w:rFonts w:ascii="Arial" w:eastAsia="Aptos" w:hAnsi="Arial" w:cs="Arial"/>
          <w:color w:val="000000"/>
          <w:sz w:val="22"/>
          <w:szCs w:val="22"/>
          <w:lang w:val="en-GB" w:eastAsia="en-US"/>
        </w:rPr>
        <w:t>građevinsko</w:t>
      </w:r>
      <w:proofErr w:type="spellEnd"/>
      <w:r w:rsidRPr="0026419F">
        <w:rPr>
          <w:rFonts w:ascii="Arial" w:eastAsia="Aptos" w:hAnsi="Arial" w:cs="Arial"/>
          <w:color w:val="000000"/>
          <w:sz w:val="22"/>
          <w:szCs w:val="22"/>
          <w:lang w:val="en-GB" w:eastAsia="en-US"/>
        </w:rPr>
        <w:t xml:space="preserve"> </w:t>
      </w:r>
      <w:proofErr w:type="spellStart"/>
      <w:proofErr w:type="gramStart"/>
      <w:r w:rsidRPr="0026419F">
        <w:rPr>
          <w:rFonts w:ascii="Arial" w:eastAsia="Aptos" w:hAnsi="Arial" w:cs="Arial"/>
          <w:color w:val="000000"/>
          <w:sz w:val="22"/>
          <w:szCs w:val="22"/>
          <w:lang w:val="en-GB" w:eastAsia="en-US"/>
        </w:rPr>
        <w:t>područje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te</w:t>
      </w:r>
      <w:proofErr w:type="spellEnd"/>
      <w:proofErr w:type="gramEnd"/>
      <w:r w:rsidRPr="0026419F">
        <w:rPr>
          <w:rFonts w:ascii="Arial" w:eastAsia="Aptos" w:hAnsi="Arial" w:cs="Arial"/>
          <w:color w:val="000000"/>
          <w:sz w:val="22"/>
          <w:szCs w:val="22"/>
          <w:lang w:val="en-GB" w:eastAsia="en-US"/>
        </w:rPr>
        <w:t xml:space="preserve"> u </w:t>
      </w:r>
      <w:proofErr w:type="spellStart"/>
      <w:r w:rsidRPr="0026419F">
        <w:rPr>
          <w:rFonts w:ascii="Arial" w:eastAsia="Aptos" w:hAnsi="Arial" w:cs="Arial"/>
          <w:color w:val="000000"/>
          <w:sz w:val="22"/>
          <w:szCs w:val="22"/>
          <w:lang w:val="en-GB" w:eastAsia="en-US"/>
        </w:rPr>
        <w:t>provedbi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otklone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određene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nejasnoće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uočene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tijekom</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dosadašnje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provedbe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Mogući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rizici</w:t>
      </w:r>
      <w:proofErr w:type="spellEnd"/>
      <w:r w:rsidRPr="0026419F">
        <w:rPr>
          <w:rFonts w:ascii="Arial" w:eastAsia="Aptos" w:hAnsi="Arial" w:cs="Arial"/>
          <w:color w:val="000000"/>
          <w:sz w:val="22"/>
          <w:szCs w:val="22"/>
          <w:lang w:val="en-GB" w:eastAsia="en-US"/>
        </w:rPr>
        <w:t xml:space="preserve"> ne </w:t>
      </w:r>
      <w:proofErr w:type="spellStart"/>
      <w:r w:rsidRPr="0026419F">
        <w:rPr>
          <w:rFonts w:ascii="Arial" w:eastAsia="Aptos" w:hAnsi="Arial" w:cs="Arial"/>
          <w:color w:val="000000"/>
          <w:sz w:val="22"/>
          <w:szCs w:val="22"/>
          <w:lang w:val="en-GB" w:eastAsia="en-US"/>
        </w:rPr>
        <w:t>donošenja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planiranih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prostornih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planova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su</w:t>
      </w:r>
      <w:proofErr w:type="spellEnd"/>
      <w:r w:rsidRPr="0026419F">
        <w:rPr>
          <w:rFonts w:ascii="Arial" w:eastAsia="Aptos" w:hAnsi="Arial" w:cs="Arial"/>
          <w:color w:val="000000"/>
          <w:sz w:val="22"/>
          <w:szCs w:val="22"/>
          <w:lang w:val="en-GB" w:eastAsia="en-US"/>
        </w:rPr>
        <w:t xml:space="preserve"> ne </w:t>
      </w:r>
      <w:proofErr w:type="spellStart"/>
      <w:r w:rsidRPr="0026419F">
        <w:rPr>
          <w:rFonts w:ascii="Arial" w:eastAsia="Aptos" w:hAnsi="Arial" w:cs="Arial"/>
          <w:color w:val="000000"/>
          <w:sz w:val="22"/>
          <w:szCs w:val="22"/>
          <w:lang w:val="en-GB" w:eastAsia="en-US"/>
        </w:rPr>
        <w:t>dobivanje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suglasnosti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javno-pravnih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tijela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konačni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prijedlog</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planova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kao</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ponavljanje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javne</w:t>
      </w:r>
      <w:proofErr w:type="spellEnd"/>
      <w:r w:rsidRPr="0026419F">
        <w:rPr>
          <w:rFonts w:ascii="Arial" w:eastAsia="Aptos" w:hAnsi="Arial" w:cs="Arial"/>
          <w:color w:val="000000"/>
          <w:sz w:val="22"/>
          <w:szCs w:val="22"/>
          <w:lang w:val="en-GB" w:eastAsia="en-US"/>
        </w:rPr>
        <w:t xml:space="preserve"> </w:t>
      </w:r>
      <w:proofErr w:type="spellStart"/>
      <w:proofErr w:type="gramStart"/>
      <w:r w:rsidRPr="0026419F">
        <w:rPr>
          <w:rFonts w:ascii="Arial" w:eastAsia="Aptos" w:hAnsi="Arial" w:cs="Arial"/>
          <w:color w:val="000000"/>
          <w:sz w:val="22"/>
          <w:szCs w:val="22"/>
          <w:lang w:val="en-GB" w:eastAsia="en-US"/>
        </w:rPr>
        <w:t>rasprave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kao</w:t>
      </w:r>
      <w:proofErr w:type="spellEnd"/>
      <w:proofErr w:type="gram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što</w:t>
      </w:r>
      <w:proofErr w:type="spellEnd"/>
      <w:r w:rsidRPr="0026419F">
        <w:rPr>
          <w:rFonts w:ascii="Arial" w:eastAsia="Aptos" w:hAnsi="Arial" w:cs="Arial"/>
          <w:color w:val="000000"/>
          <w:sz w:val="22"/>
          <w:szCs w:val="22"/>
          <w:lang w:val="en-GB" w:eastAsia="en-US"/>
        </w:rPr>
        <w:t xml:space="preserve"> je bio </w:t>
      </w:r>
      <w:proofErr w:type="spellStart"/>
      <w:r w:rsidRPr="0026419F">
        <w:rPr>
          <w:rFonts w:ascii="Arial" w:eastAsia="Aptos" w:hAnsi="Arial" w:cs="Arial"/>
          <w:color w:val="000000"/>
          <w:sz w:val="22"/>
          <w:szCs w:val="22"/>
          <w:lang w:val="en-GB" w:eastAsia="en-US"/>
        </w:rPr>
        <w:t>slučaj</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kod</w:t>
      </w:r>
      <w:proofErr w:type="spellEnd"/>
      <w:r w:rsidRPr="0026419F">
        <w:rPr>
          <w:rFonts w:ascii="Arial" w:eastAsia="Aptos" w:hAnsi="Arial" w:cs="Arial"/>
          <w:color w:val="000000"/>
          <w:sz w:val="22"/>
          <w:szCs w:val="22"/>
          <w:lang w:val="en-GB" w:eastAsia="en-US"/>
        </w:rPr>
        <w:t xml:space="preserve"> V. ID PPUGL u </w:t>
      </w:r>
      <w:proofErr w:type="spellStart"/>
      <w:r w:rsidRPr="0026419F">
        <w:rPr>
          <w:rFonts w:ascii="Arial" w:eastAsia="Aptos" w:hAnsi="Arial" w:cs="Arial"/>
          <w:color w:val="000000"/>
          <w:sz w:val="22"/>
          <w:szCs w:val="22"/>
          <w:lang w:val="en-GB" w:eastAsia="en-US"/>
        </w:rPr>
        <w:t>kojem</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postupku</w:t>
      </w:r>
      <w:proofErr w:type="spellEnd"/>
      <w:r w:rsidRPr="0026419F">
        <w:rPr>
          <w:rFonts w:ascii="Arial" w:eastAsia="Aptos" w:hAnsi="Arial" w:cs="Arial"/>
          <w:color w:val="000000"/>
          <w:sz w:val="22"/>
          <w:szCs w:val="22"/>
          <w:lang w:val="en-GB" w:eastAsia="en-US"/>
        </w:rPr>
        <w:t xml:space="preserve"> se </w:t>
      </w:r>
      <w:proofErr w:type="spellStart"/>
      <w:r w:rsidRPr="0026419F">
        <w:rPr>
          <w:rFonts w:ascii="Arial" w:eastAsia="Aptos" w:hAnsi="Arial" w:cs="Arial"/>
          <w:color w:val="000000"/>
          <w:sz w:val="22"/>
          <w:szCs w:val="22"/>
          <w:lang w:val="en-GB" w:eastAsia="en-US"/>
        </w:rPr>
        <w:t>javna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rasprava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dva</w:t>
      </w:r>
      <w:proofErr w:type="spellEnd"/>
      <w:r w:rsidRPr="0026419F">
        <w:rPr>
          <w:rFonts w:ascii="Arial" w:eastAsia="Aptos" w:hAnsi="Arial" w:cs="Arial"/>
          <w:color w:val="000000"/>
          <w:sz w:val="22"/>
          <w:szCs w:val="22"/>
          <w:lang w:val="en-GB" w:eastAsia="en-US"/>
        </w:rPr>
        <w:t xml:space="preserve"> puta </w:t>
      </w:r>
      <w:proofErr w:type="spellStart"/>
      <w:r w:rsidRPr="0026419F">
        <w:rPr>
          <w:rFonts w:ascii="Arial" w:eastAsia="Aptos" w:hAnsi="Arial" w:cs="Arial"/>
          <w:color w:val="000000"/>
          <w:sz w:val="22"/>
          <w:szCs w:val="22"/>
          <w:lang w:val="en-GB" w:eastAsia="en-US"/>
        </w:rPr>
        <w:t>ponavljala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što</w:t>
      </w:r>
      <w:proofErr w:type="spellEnd"/>
      <w:r w:rsidRPr="0026419F">
        <w:rPr>
          <w:rFonts w:ascii="Arial" w:eastAsia="Aptos" w:hAnsi="Arial" w:cs="Arial"/>
          <w:color w:val="000000"/>
          <w:sz w:val="22"/>
          <w:szCs w:val="22"/>
          <w:lang w:val="en-GB" w:eastAsia="en-US"/>
        </w:rPr>
        <w:t xml:space="preserve"> je </w:t>
      </w:r>
      <w:proofErr w:type="spellStart"/>
      <w:r w:rsidRPr="0026419F">
        <w:rPr>
          <w:rFonts w:ascii="Arial" w:eastAsia="Aptos" w:hAnsi="Arial" w:cs="Arial"/>
          <w:color w:val="000000"/>
          <w:sz w:val="22"/>
          <w:szCs w:val="22"/>
          <w:lang w:val="en-GB" w:eastAsia="en-US"/>
        </w:rPr>
        <w:t>znatno</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produžilo</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rok</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izrade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prostornih</w:t>
      </w:r>
      <w:proofErr w:type="spellEnd"/>
      <w:r w:rsidRPr="0026419F">
        <w:rPr>
          <w:rFonts w:ascii="Arial" w:eastAsia="Aptos" w:hAnsi="Arial" w:cs="Arial"/>
          <w:color w:val="000000"/>
          <w:sz w:val="22"/>
          <w:szCs w:val="22"/>
          <w:lang w:val="en-GB" w:eastAsia="en-US"/>
        </w:rPr>
        <w:t xml:space="preserve"> </w:t>
      </w:r>
      <w:proofErr w:type="spellStart"/>
      <w:proofErr w:type="gramStart"/>
      <w:r w:rsidRPr="0026419F">
        <w:rPr>
          <w:rFonts w:ascii="Arial" w:eastAsia="Aptos" w:hAnsi="Arial" w:cs="Arial"/>
          <w:color w:val="000000"/>
          <w:sz w:val="22"/>
          <w:szCs w:val="22"/>
          <w:lang w:val="en-GB" w:eastAsia="en-US"/>
        </w:rPr>
        <w:t>planova</w:t>
      </w:r>
      <w:proofErr w:type="spellEnd"/>
      <w:r w:rsidRPr="0026419F">
        <w:rPr>
          <w:rFonts w:ascii="Arial" w:eastAsia="Aptos" w:hAnsi="Arial" w:cs="Arial"/>
          <w:color w:val="000000"/>
          <w:sz w:val="22"/>
          <w:szCs w:val="22"/>
          <w:lang w:val="en-GB" w:eastAsia="en-US"/>
        </w:rPr>
        <w:t xml:space="preserve"> .</w:t>
      </w:r>
      <w:proofErr w:type="gramEnd"/>
    </w:p>
    <w:p w14:paraId="65B51830" w14:textId="77777777" w:rsidR="0026419F" w:rsidRPr="0026419F" w:rsidRDefault="0026419F" w:rsidP="0026419F">
      <w:pPr>
        <w:spacing w:line="259" w:lineRule="auto"/>
        <w:rPr>
          <w:rFonts w:ascii="Calibri" w:eastAsia="Calibri" w:hAnsi="Calibri"/>
          <w:color w:val="000000"/>
          <w:sz w:val="22"/>
          <w:szCs w:val="22"/>
          <w:lang w:val="en-GB" w:eastAsia="en-US"/>
        </w:rPr>
      </w:pPr>
    </w:p>
    <w:p w14:paraId="6F6DD961" w14:textId="77777777" w:rsidR="0026419F" w:rsidRPr="0026419F" w:rsidRDefault="0026419F" w:rsidP="0026419F">
      <w:pPr>
        <w:spacing w:after="160"/>
        <w:rPr>
          <w:rFonts w:ascii="Arial" w:eastAsia="Aptos" w:hAnsi="Arial" w:cs="Arial"/>
          <w:b/>
          <w:bCs/>
          <w:color w:val="000000"/>
          <w:szCs w:val="22"/>
          <w:lang w:eastAsia="en-US"/>
        </w:rPr>
      </w:pPr>
      <w:r w:rsidRPr="0026419F">
        <w:rPr>
          <w:rFonts w:ascii="Arial" w:eastAsia="Aptos" w:hAnsi="Arial" w:cs="Arial"/>
          <w:b/>
          <w:bCs/>
          <w:color w:val="000000"/>
          <w:szCs w:val="22"/>
          <w:lang w:eastAsia="en-US"/>
        </w:rPr>
        <w:t xml:space="preserve">2. IZGRADNJA KOMUNALNE INFRASTRUKTURE </w:t>
      </w:r>
    </w:p>
    <w:p w14:paraId="64394650" w14:textId="77777777" w:rsidR="0026419F" w:rsidRDefault="0026419F" w:rsidP="0026419F">
      <w:pPr>
        <w:spacing w:line="259" w:lineRule="auto"/>
        <w:jc w:val="both"/>
        <w:rPr>
          <w:rFonts w:ascii="Arial" w:eastAsia="Aptos" w:hAnsi="Arial" w:cs="Arial"/>
          <w:color w:val="000000"/>
          <w:sz w:val="22"/>
          <w:szCs w:val="22"/>
          <w:lang w:val="en-GB" w:eastAsia="en-US"/>
        </w:rPr>
      </w:pPr>
      <w:proofErr w:type="spellStart"/>
      <w:r w:rsidRPr="0026419F">
        <w:rPr>
          <w:rFonts w:ascii="Arial" w:eastAsia="Aptos" w:hAnsi="Arial" w:cs="Arial"/>
          <w:b/>
          <w:bCs/>
          <w:color w:val="000000"/>
          <w:sz w:val="22"/>
          <w:szCs w:val="22"/>
          <w:u w:val="single"/>
          <w:lang w:val="en-GB" w:eastAsia="en-US"/>
        </w:rPr>
        <w:t>Zakonska</w:t>
      </w:r>
      <w:proofErr w:type="spellEnd"/>
      <w:r w:rsidRPr="0026419F">
        <w:rPr>
          <w:rFonts w:ascii="Arial" w:eastAsia="Aptos" w:hAnsi="Arial" w:cs="Arial"/>
          <w:b/>
          <w:bCs/>
          <w:color w:val="000000"/>
          <w:sz w:val="22"/>
          <w:szCs w:val="22"/>
          <w:u w:val="single"/>
          <w:lang w:val="en-GB" w:eastAsia="en-US"/>
        </w:rPr>
        <w:t xml:space="preserve"> </w:t>
      </w:r>
      <w:proofErr w:type="spellStart"/>
      <w:r w:rsidRPr="0026419F">
        <w:rPr>
          <w:rFonts w:ascii="Arial" w:eastAsia="Aptos" w:hAnsi="Arial" w:cs="Arial"/>
          <w:b/>
          <w:bCs/>
          <w:color w:val="000000"/>
          <w:sz w:val="22"/>
          <w:szCs w:val="22"/>
          <w:u w:val="single"/>
          <w:lang w:val="en-GB" w:eastAsia="en-US"/>
        </w:rPr>
        <w:t>osnova</w:t>
      </w:r>
      <w:proofErr w:type="spellEnd"/>
      <w:r w:rsidRPr="0026419F">
        <w:rPr>
          <w:rFonts w:ascii="Arial" w:eastAsia="Aptos" w:hAnsi="Arial" w:cs="Arial"/>
          <w:bCs/>
          <w:color w:val="000000"/>
          <w:sz w:val="22"/>
          <w:szCs w:val="22"/>
          <w:lang w:val="en-GB" w:eastAsia="en-US"/>
        </w:rPr>
        <w:t xml:space="preserve">:  </w:t>
      </w:r>
      <w:proofErr w:type="gramStart"/>
      <w:r w:rsidRPr="0026419F">
        <w:rPr>
          <w:rFonts w:ascii="Arial" w:eastAsia="Aptos" w:hAnsi="Arial" w:cs="Arial"/>
          <w:color w:val="000000"/>
          <w:sz w:val="22"/>
          <w:szCs w:val="22"/>
          <w:lang w:val="en-GB" w:eastAsia="en-US"/>
        </w:rPr>
        <w:t>Zakon  o</w:t>
      </w:r>
      <w:proofErr w:type="gram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lokalnoj</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područnoj</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regionalnoj</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samoupravi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Narodne</w:t>
      </w:r>
      <w:proofErr w:type="spellEnd"/>
      <w:r w:rsidRPr="0026419F">
        <w:rPr>
          <w:rFonts w:ascii="Arial" w:eastAsia="Aptos" w:hAnsi="Arial" w:cs="Arial"/>
          <w:color w:val="000000"/>
          <w:sz w:val="22"/>
          <w:szCs w:val="22"/>
          <w:lang w:val="en-GB" w:eastAsia="en-US"/>
        </w:rPr>
        <w:t xml:space="preserve"> novine" </w:t>
      </w:r>
      <w:proofErr w:type="spellStart"/>
      <w:r w:rsidRPr="0026419F">
        <w:rPr>
          <w:rFonts w:ascii="Arial" w:eastAsia="Aptos" w:hAnsi="Arial" w:cs="Arial"/>
          <w:color w:val="000000"/>
          <w:sz w:val="22"/>
          <w:szCs w:val="22"/>
          <w:lang w:val="en-GB" w:eastAsia="en-US"/>
        </w:rPr>
        <w:t>broj</w:t>
      </w:r>
      <w:proofErr w:type="spellEnd"/>
      <w:r w:rsidRPr="0026419F">
        <w:rPr>
          <w:rFonts w:ascii="Arial" w:eastAsia="Aptos" w:hAnsi="Arial" w:cs="Arial"/>
          <w:color w:val="000000"/>
          <w:sz w:val="22"/>
          <w:szCs w:val="22"/>
          <w:lang w:val="en-GB" w:eastAsia="en-US"/>
        </w:rPr>
        <w:t xml:space="preserve"> 33/01, 60/01, 129/05, 109/07, 125/08, 36/09, 36/09, 150/11, 144/12, 19/13, 137/15, 123/17, 98/19, 144/20) Zakon o </w:t>
      </w:r>
      <w:proofErr w:type="spellStart"/>
      <w:r w:rsidRPr="0026419F">
        <w:rPr>
          <w:rFonts w:ascii="Arial" w:eastAsia="Aptos" w:hAnsi="Arial" w:cs="Arial"/>
          <w:color w:val="000000"/>
          <w:sz w:val="22"/>
          <w:szCs w:val="22"/>
          <w:lang w:val="en-GB" w:eastAsia="en-US"/>
        </w:rPr>
        <w:t>komunalnom</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gospodarstvu</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Narodne</w:t>
      </w:r>
      <w:proofErr w:type="spellEnd"/>
      <w:r w:rsidRPr="0026419F">
        <w:rPr>
          <w:rFonts w:ascii="Arial" w:eastAsia="Aptos" w:hAnsi="Arial" w:cs="Arial"/>
          <w:color w:val="000000"/>
          <w:sz w:val="22"/>
          <w:szCs w:val="22"/>
          <w:lang w:val="en-GB" w:eastAsia="en-US"/>
        </w:rPr>
        <w:t xml:space="preserve"> novine” </w:t>
      </w:r>
      <w:proofErr w:type="spellStart"/>
      <w:r w:rsidRPr="0026419F">
        <w:rPr>
          <w:rFonts w:ascii="Arial" w:eastAsia="Aptos" w:hAnsi="Arial" w:cs="Arial"/>
          <w:color w:val="000000"/>
          <w:sz w:val="22"/>
          <w:szCs w:val="22"/>
          <w:lang w:val="en-GB" w:eastAsia="en-US"/>
        </w:rPr>
        <w:t>broj</w:t>
      </w:r>
      <w:proofErr w:type="spellEnd"/>
      <w:r w:rsidRPr="0026419F">
        <w:rPr>
          <w:rFonts w:ascii="Arial" w:eastAsia="Aptos" w:hAnsi="Arial" w:cs="Arial"/>
          <w:color w:val="000000"/>
          <w:sz w:val="22"/>
          <w:szCs w:val="22"/>
          <w:lang w:val="en-GB" w:eastAsia="en-US"/>
        </w:rPr>
        <w:t xml:space="preserve"> 68/18.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110/18.), </w:t>
      </w:r>
      <w:r w:rsidRPr="0026419F">
        <w:rPr>
          <w:rFonts w:ascii="Arial" w:eastAsia="Aptos" w:hAnsi="Arial" w:cs="Arial"/>
          <w:bCs/>
          <w:color w:val="000000"/>
          <w:sz w:val="22"/>
          <w:szCs w:val="22"/>
          <w:lang w:val="en-GB" w:eastAsia="en-US"/>
        </w:rPr>
        <w:t xml:space="preserve">Zakon o </w:t>
      </w:r>
      <w:proofErr w:type="spellStart"/>
      <w:r w:rsidRPr="0026419F">
        <w:rPr>
          <w:rFonts w:ascii="Arial" w:eastAsia="Aptos" w:hAnsi="Arial" w:cs="Arial"/>
          <w:bCs/>
          <w:color w:val="000000"/>
          <w:sz w:val="22"/>
          <w:szCs w:val="22"/>
          <w:lang w:val="en-GB" w:eastAsia="en-US"/>
        </w:rPr>
        <w:t>prostornom</w:t>
      </w:r>
      <w:proofErr w:type="spellEnd"/>
      <w:r w:rsidRPr="0026419F">
        <w:rPr>
          <w:rFonts w:ascii="Arial" w:eastAsia="Aptos" w:hAnsi="Arial" w:cs="Arial"/>
          <w:bCs/>
          <w:color w:val="000000"/>
          <w:sz w:val="22"/>
          <w:szCs w:val="22"/>
          <w:lang w:val="en-GB" w:eastAsia="en-US"/>
        </w:rPr>
        <w:t xml:space="preserve"> </w:t>
      </w:r>
      <w:proofErr w:type="spellStart"/>
      <w:r w:rsidRPr="0026419F">
        <w:rPr>
          <w:rFonts w:ascii="Arial" w:eastAsia="Aptos" w:hAnsi="Arial" w:cs="Arial"/>
          <w:bCs/>
          <w:color w:val="000000"/>
          <w:sz w:val="22"/>
          <w:szCs w:val="22"/>
          <w:lang w:val="en-GB" w:eastAsia="en-US"/>
        </w:rPr>
        <w:t>uređenju</w:t>
      </w:r>
      <w:proofErr w:type="spellEnd"/>
      <w:r w:rsidRPr="0026419F">
        <w:rPr>
          <w:rFonts w:ascii="Arial" w:eastAsia="Aptos" w:hAnsi="Arial" w:cs="Arial"/>
          <w:bCs/>
          <w:color w:val="000000"/>
          <w:sz w:val="22"/>
          <w:szCs w:val="22"/>
          <w:lang w:val="en-GB" w:eastAsia="en-US"/>
        </w:rPr>
        <w:t xml:space="preserve"> („</w:t>
      </w:r>
      <w:proofErr w:type="spellStart"/>
      <w:r w:rsidRPr="0026419F">
        <w:rPr>
          <w:rFonts w:ascii="Arial" w:eastAsia="Aptos" w:hAnsi="Arial" w:cs="Arial"/>
          <w:bCs/>
          <w:color w:val="000000"/>
          <w:sz w:val="22"/>
          <w:szCs w:val="22"/>
          <w:lang w:val="en-GB" w:eastAsia="en-US"/>
        </w:rPr>
        <w:t>Narodne</w:t>
      </w:r>
      <w:proofErr w:type="spellEnd"/>
      <w:r w:rsidRPr="0026419F">
        <w:rPr>
          <w:rFonts w:ascii="Arial" w:eastAsia="Aptos" w:hAnsi="Arial" w:cs="Arial"/>
          <w:bCs/>
          <w:color w:val="000000"/>
          <w:sz w:val="22"/>
          <w:szCs w:val="22"/>
          <w:lang w:val="en-GB" w:eastAsia="en-US"/>
        </w:rPr>
        <w:t xml:space="preserve"> </w:t>
      </w:r>
      <w:proofErr w:type="gramStart"/>
      <w:r w:rsidRPr="0026419F">
        <w:rPr>
          <w:rFonts w:ascii="Arial" w:eastAsia="Aptos" w:hAnsi="Arial" w:cs="Arial"/>
          <w:bCs/>
          <w:color w:val="000000"/>
          <w:sz w:val="22"/>
          <w:szCs w:val="22"/>
          <w:lang w:val="en-GB" w:eastAsia="en-US"/>
        </w:rPr>
        <w:t xml:space="preserve">novine“ </w:t>
      </w:r>
      <w:proofErr w:type="spellStart"/>
      <w:r w:rsidRPr="0026419F">
        <w:rPr>
          <w:rFonts w:ascii="Arial" w:eastAsia="Aptos" w:hAnsi="Arial" w:cs="Arial"/>
          <w:bCs/>
          <w:color w:val="000000"/>
          <w:sz w:val="22"/>
          <w:szCs w:val="22"/>
          <w:lang w:val="en-GB" w:eastAsia="en-US"/>
        </w:rPr>
        <w:t>broj</w:t>
      </w:r>
      <w:proofErr w:type="spellEnd"/>
      <w:proofErr w:type="gramEnd"/>
      <w:r w:rsidRPr="0026419F">
        <w:rPr>
          <w:rFonts w:ascii="Arial" w:eastAsia="Aptos" w:hAnsi="Arial" w:cs="Arial"/>
          <w:bCs/>
          <w:color w:val="000000"/>
          <w:sz w:val="22"/>
          <w:szCs w:val="22"/>
          <w:lang w:val="en-GB" w:eastAsia="en-US"/>
        </w:rPr>
        <w:t xml:space="preserve"> 153/13</w:t>
      </w:r>
      <w:proofErr w:type="gramStart"/>
      <w:r w:rsidRPr="0026419F">
        <w:rPr>
          <w:rFonts w:ascii="Arial" w:eastAsia="Aptos" w:hAnsi="Arial" w:cs="Arial"/>
          <w:bCs/>
          <w:color w:val="000000"/>
          <w:sz w:val="22"/>
          <w:szCs w:val="22"/>
          <w:lang w:val="en-GB" w:eastAsia="en-US"/>
        </w:rPr>
        <w:t>. ,</w:t>
      </w:r>
      <w:proofErr w:type="gramEnd"/>
      <w:r w:rsidRPr="0026419F">
        <w:rPr>
          <w:rFonts w:ascii="Arial" w:eastAsia="Aptos" w:hAnsi="Arial" w:cs="Arial"/>
          <w:bCs/>
          <w:color w:val="000000"/>
          <w:sz w:val="22"/>
          <w:szCs w:val="22"/>
          <w:lang w:val="en-GB" w:eastAsia="en-US"/>
        </w:rPr>
        <w:t xml:space="preserve"> 65/17., 114/18., 39/19</w:t>
      </w:r>
      <w:proofErr w:type="gramStart"/>
      <w:r w:rsidRPr="0026419F">
        <w:rPr>
          <w:rFonts w:ascii="Arial" w:eastAsia="Aptos" w:hAnsi="Arial" w:cs="Arial"/>
          <w:bCs/>
          <w:color w:val="000000"/>
          <w:sz w:val="22"/>
          <w:szCs w:val="22"/>
          <w:lang w:val="en-GB" w:eastAsia="en-US"/>
        </w:rPr>
        <w:t>. ,</w:t>
      </w:r>
      <w:proofErr w:type="gramEnd"/>
      <w:r w:rsidRPr="0026419F">
        <w:rPr>
          <w:rFonts w:ascii="Arial" w:eastAsia="Aptos" w:hAnsi="Arial" w:cs="Arial"/>
          <w:bCs/>
          <w:color w:val="000000"/>
          <w:sz w:val="22"/>
          <w:szCs w:val="22"/>
          <w:lang w:val="en-GB" w:eastAsia="en-US"/>
        </w:rPr>
        <w:t xml:space="preserve"> 98/19. </w:t>
      </w:r>
      <w:proofErr w:type="spellStart"/>
      <w:r w:rsidRPr="0026419F">
        <w:rPr>
          <w:rFonts w:ascii="Arial" w:eastAsia="Aptos" w:hAnsi="Arial" w:cs="Arial"/>
          <w:bCs/>
          <w:color w:val="000000"/>
          <w:sz w:val="22"/>
          <w:szCs w:val="22"/>
          <w:lang w:val="en-GB" w:eastAsia="en-US"/>
        </w:rPr>
        <w:t>i</w:t>
      </w:r>
      <w:proofErr w:type="spellEnd"/>
      <w:r w:rsidRPr="0026419F">
        <w:rPr>
          <w:rFonts w:ascii="Arial" w:eastAsia="Aptos" w:hAnsi="Arial" w:cs="Arial"/>
          <w:bCs/>
          <w:color w:val="000000"/>
          <w:sz w:val="22"/>
          <w:szCs w:val="22"/>
          <w:lang w:val="en-GB" w:eastAsia="en-US"/>
        </w:rPr>
        <w:t xml:space="preserve"> 67/23.), Zakon o </w:t>
      </w:r>
      <w:proofErr w:type="spellStart"/>
      <w:r w:rsidRPr="0026419F">
        <w:rPr>
          <w:rFonts w:ascii="Arial" w:eastAsia="Aptos" w:hAnsi="Arial" w:cs="Arial"/>
          <w:bCs/>
          <w:color w:val="000000"/>
          <w:sz w:val="22"/>
          <w:szCs w:val="22"/>
          <w:lang w:val="en-GB" w:eastAsia="en-US"/>
        </w:rPr>
        <w:t>gradnji</w:t>
      </w:r>
      <w:proofErr w:type="spellEnd"/>
      <w:r w:rsidRPr="0026419F">
        <w:rPr>
          <w:rFonts w:ascii="Arial" w:eastAsia="Aptos" w:hAnsi="Arial" w:cs="Arial"/>
          <w:bCs/>
          <w:color w:val="000000"/>
          <w:sz w:val="22"/>
          <w:szCs w:val="22"/>
          <w:lang w:val="en-GB" w:eastAsia="en-US"/>
        </w:rPr>
        <w:t xml:space="preserve"> („</w:t>
      </w:r>
      <w:proofErr w:type="spellStart"/>
      <w:r w:rsidRPr="0026419F">
        <w:rPr>
          <w:rFonts w:ascii="Arial" w:eastAsia="Aptos" w:hAnsi="Arial" w:cs="Arial"/>
          <w:bCs/>
          <w:color w:val="000000"/>
          <w:sz w:val="22"/>
          <w:szCs w:val="22"/>
          <w:lang w:val="en-GB" w:eastAsia="en-US"/>
        </w:rPr>
        <w:t>Narodne</w:t>
      </w:r>
      <w:proofErr w:type="spellEnd"/>
      <w:r w:rsidRPr="0026419F">
        <w:rPr>
          <w:rFonts w:ascii="Arial" w:eastAsia="Aptos" w:hAnsi="Arial" w:cs="Arial"/>
          <w:bCs/>
          <w:color w:val="000000"/>
          <w:sz w:val="22"/>
          <w:szCs w:val="22"/>
          <w:lang w:val="en-GB" w:eastAsia="en-US"/>
        </w:rPr>
        <w:t xml:space="preserve"> </w:t>
      </w:r>
      <w:proofErr w:type="gramStart"/>
      <w:r w:rsidRPr="0026419F">
        <w:rPr>
          <w:rFonts w:ascii="Arial" w:eastAsia="Aptos" w:hAnsi="Arial" w:cs="Arial"/>
          <w:bCs/>
          <w:color w:val="000000"/>
          <w:sz w:val="22"/>
          <w:szCs w:val="22"/>
          <w:lang w:val="en-GB" w:eastAsia="en-US"/>
        </w:rPr>
        <w:t xml:space="preserve">novine“ </w:t>
      </w:r>
      <w:proofErr w:type="spellStart"/>
      <w:r w:rsidRPr="0026419F">
        <w:rPr>
          <w:rFonts w:ascii="Arial" w:eastAsia="Aptos" w:hAnsi="Arial" w:cs="Arial"/>
          <w:bCs/>
          <w:color w:val="000000"/>
          <w:sz w:val="22"/>
          <w:szCs w:val="22"/>
          <w:lang w:val="en-GB" w:eastAsia="en-US"/>
        </w:rPr>
        <w:t>broj</w:t>
      </w:r>
      <w:proofErr w:type="spellEnd"/>
      <w:proofErr w:type="gramEnd"/>
      <w:r w:rsidRPr="0026419F">
        <w:rPr>
          <w:rFonts w:ascii="Arial" w:eastAsia="Aptos" w:hAnsi="Arial" w:cs="Arial"/>
          <w:bCs/>
          <w:color w:val="000000"/>
          <w:sz w:val="22"/>
          <w:szCs w:val="22"/>
          <w:lang w:val="en-GB" w:eastAsia="en-US"/>
        </w:rPr>
        <w:t xml:space="preserve"> 153/13., 20/17</w:t>
      </w:r>
      <w:proofErr w:type="gramStart"/>
      <w:r w:rsidRPr="0026419F">
        <w:rPr>
          <w:rFonts w:ascii="Arial" w:eastAsia="Aptos" w:hAnsi="Arial" w:cs="Arial"/>
          <w:bCs/>
          <w:color w:val="000000"/>
          <w:sz w:val="22"/>
          <w:szCs w:val="22"/>
          <w:lang w:val="en-GB" w:eastAsia="en-US"/>
        </w:rPr>
        <w:t>. ,</w:t>
      </w:r>
      <w:proofErr w:type="gramEnd"/>
      <w:r w:rsidRPr="0026419F">
        <w:rPr>
          <w:rFonts w:ascii="Arial" w:eastAsia="Aptos" w:hAnsi="Arial" w:cs="Arial"/>
          <w:bCs/>
          <w:color w:val="000000"/>
          <w:sz w:val="22"/>
          <w:szCs w:val="22"/>
          <w:lang w:val="en-GB" w:eastAsia="en-US"/>
        </w:rPr>
        <w:t xml:space="preserve"> 39/19., 125/19. </w:t>
      </w:r>
      <w:proofErr w:type="spellStart"/>
      <w:r w:rsidRPr="0026419F">
        <w:rPr>
          <w:rFonts w:ascii="Arial" w:eastAsia="Aptos" w:hAnsi="Arial" w:cs="Arial"/>
          <w:bCs/>
          <w:color w:val="000000"/>
          <w:sz w:val="22"/>
          <w:szCs w:val="22"/>
          <w:lang w:val="en-GB" w:eastAsia="en-US"/>
        </w:rPr>
        <w:t>i</w:t>
      </w:r>
      <w:proofErr w:type="spellEnd"/>
      <w:r w:rsidRPr="0026419F">
        <w:rPr>
          <w:rFonts w:ascii="Arial" w:eastAsia="Aptos" w:hAnsi="Arial" w:cs="Arial"/>
          <w:bCs/>
          <w:color w:val="000000"/>
          <w:sz w:val="22"/>
          <w:szCs w:val="22"/>
          <w:lang w:val="en-GB" w:eastAsia="en-US"/>
        </w:rPr>
        <w:t xml:space="preserve"> 145/24</w:t>
      </w:r>
      <w:proofErr w:type="gramStart"/>
      <w:r w:rsidRPr="0026419F">
        <w:rPr>
          <w:rFonts w:ascii="Arial" w:eastAsia="Aptos" w:hAnsi="Arial" w:cs="Arial"/>
          <w:bCs/>
          <w:color w:val="000000"/>
          <w:sz w:val="22"/>
          <w:szCs w:val="22"/>
          <w:lang w:val="en-GB" w:eastAsia="en-US"/>
        </w:rPr>
        <w:t xml:space="preserve">),  </w:t>
      </w:r>
      <w:proofErr w:type="spellStart"/>
      <w:r w:rsidRPr="0026419F">
        <w:rPr>
          <w:rFonts w:ascii="Arial" w:eastAsia="Aptos" w:hAnsi="Arial" w:cs="Arial"/>
          <w:bCs/>
          <w:color w:val="000000"/>
          <w:sz w:val="22"/>
          <w:szCs w:val="22"/>
          <w:lang w:val="en-GB" w:eastAsia="en-US"/>
        </w:rPr>
        <w:t>Prostorni</w:t>
      </w:r>
      <w:proofErr w:type="spellEnd"/>
      <w:proofErr w:type="gramEnd"/>
      <w:r w:rsidRPr="0026419F">
        <w:rPr>
          <w:rFonts w:ascii="Arial" w:eastAsia="Aptos" w:hAnsi="Arial" w:cs="Arial"/>
          <w:bCs/>
          <w:color w:val="000000"/>
          <w:sz w:val="22"/>
          <w:szCs w:val="22"/>
          <w:lang w:val="en-GB" w:eastAsia="en-US"/>
        </w:rPr>
        <w:t xml:space="preserve"> plan </w:t>
      </w:r>
      <w:proofErr w:type="spellStart"/>
      <w:r w:rsidRPr="0026419F">
        <w:rPr>
          <w:rFonts w:ascii="Arial" w:eastAsia="Aptos" w:hAnsi="Arial" w:cs="Arial"/>
          <w:bCs/>
          <w:color w:val="000000"/>
          <w:sz w:val="22"/>
          <w:szCs w:val="22"/>
          <w:lang w:val="en-GB" w:eastAsia="en-US"/>
        </w:rPr>
        <w:t>uređenja</w:t>
      </w:r>
      <w:proofErr w:type="spellEnd"/>
      <w:r w:rsidRPr="0026419F">
        <w:rPr>
          <w:rFonts w:ascii="Arial" w:eastAsia="Aptos" w:hAnsi="Arial" w:cs="Arial"/>
          <w:bCs/>
          <w:color w:val="000000"/>
          <w:sz w:val="22"/>
          <w:szCs w:val="22"/>
          <w:lang w:val="en-GB" w:eastAsia="en-US"/>
        </w:rPr>
        <w:t xml:space="preserve"> Grada Labina (“</w:t>
      </w:r>
      <w:proofErr w:type="spellStart"/>
      <w:r w:rsidRPr="0026419F">
        <w:rPr>
          <w:rFonts w:ascii="Arial" w:eastAsia="Aptos" w:hAnsi="Arial" w:cs="Arial"/>
          <w:bCs/>
          <w:color w:val="000000"/>
          <w:sz w:val="22"/>
          <w:szCs w:val="22"/>
          <w:lang w:val="en-GB" w:eastAsia="en-US"/>
        </w:rPr>
        <w:t>Službene</w:t>
      </w:r>
      <w:proofErr w:type="spellEnd"/>
      <w:r w:rsidRPr="0026419F">
        <w:rPr>
          <w:rFonts w:ascii="Arial" w:eastAsia="Aptos" w:hAnsi="Arial" w:cs="Arial"/>
          <w:bCs/>
          <w:color w:val="000000"/>
          <w:sz w:val="22"/>
          <w:szCs w:val="22"/>
          <w:lang w:val="en-GB" w:eastAsia="en-US"/>
        </w:rPr>
        <w:t xml:space="preserve"> novine Grada Labina” </w:t>
      </w:r>
      <w:proofErr w:type="spellStart"/>
      <w:r w:rsidRPr="0026419F">
        <w:rPr>
          <w:rFonts w:ascii="Arial" w:eastAsia="Aptos" w:hAnsi="Arial" w:cs="Arial"/>
          <w:bCs/>
          <w:color w:val="000000"/>
          <w:sz w:val="22"/>
          <w:szCs w:val="22"/>
          <w:lang w:val="en-GB" w:eastAsia="en-US"/>
        </w:rPr>
        <w:t>broj</w:t>
      </w:r>
      <w:proofErr w:type="spellEnd"/>
      <w:r w:rsidRPr="0026419F">
        <w:rPr>
          <w:rFonts w:ascii="Arial" w:eastAsia="Aptos" w:hAnsi="Arial" w:cs="Arial"/>
          <w:bCs/>
          <w:color w:val="000000"/>
          <w:sz w:val="22"/>
          <w:szCs w:val="22"/>
          <w:lang w:val="en-GB" w:eastAsia="en-US"/>
        </w:rPr>
        <w:t xml:space="preserve"> 15/04., 04/05., 17/07., 09/11</w:t>
      </w:r>
      <w:proofErr w:type="gramStart"/>
      <w:r w:rsidRPr="0026419F">
        <w:rPr>
          <w:rFonts w:ascii="Arial" w:eastAsia="Aptos" w:hAnsi="Arial" w:cs="Arial"/>
          <w:bCs/>
          <w:color w:val="000000"/>
          <w:sz w:val="22"/>
          <w:szCs w:val="22"/>
          <w:lang w:val="en-GB" w:eastAsia="en-US"/>
        </w:rPr>
        <w:t>. ,</w:t>
      </w:r>
      <w:proofErr w:type="gramEnd"/>
      <w:r w:rsidRPr="0026419F">
        <w:rPr>
          <w:rFonts w:ascii="Arial" w:eastAsia="Aptos" w:hAnsi="Arial" w:cs="Arial"/>
          <w:bCs/>
          <w:color w:val="000000"/>
          <w:sz w:val="22"/>
          <w:szCs w:val="22"/>
          <w:lang w:val="en-GB" w:eastAsia="en-US"/>
        </w:rPr>
        <w:t xml:space="preserve"> 01/12. </w:t>
      </w:r>
      <w:proofErr w:type="spellStart"/>
      <w:r w:rsidRPr="0026419F">
        <w:rPr>
          <w:rFonts w:ascii="Arial" w:eastAsia="Aptos" w:hAnsi="Arial" w:cs="Arial"/>
          <w:bCs/>
          <w:color w:val="000000"/>
          <w:sz w:val="22"/>
          <w:szCs w:val="22"/>
          <w:lang w:val="en-GB" w:eastAsia="en-US"/>
        </w:rPr>
        <w:t>i</w:t>
      </w:r>
      <w:proofErr w:type="spellEnd"/>
      <w:r w:rsidRPr="0026419F">
        <w:rPr>
          <w:rFonts w:ascii="Arial" w:eastAsia="Aptos" w:hAnsi="Arial" w:cs="Arial"/>
          <w:bCs/>
          <w:color w:val="000000"/>
          <w:sz w:val="22"/>
          <w:szCs w:val="22"/>
          <w:lang w:val="en-GB" w:eastAsia="en-US"/>
        </w:rPr>
        <w:t xml:space="preserve"> 03/20.), </w:t>
      </w:r>
      <w:proofErr w:type="spellStart"/>
      <w:r w:rsidRPr="0026419F">
        <w:rPr>
          <w:rFonts w:ascii="Arial" w:eastAsia="Aptos" w:hAnsi="Arial" w:cs="Arial"/>
          <w:bCs/>
          <w:color w:val="000000"/>
          <w:sz w:val="22"/>
          <w:szCs w:val="22"/>
          <w:lang w:val="en-GB" w:eastAsia="en-US"/>
        </w:rPr>
        <w:t>Urbanistički</w:t>
      </w:r>
      <w:proofErr w:type="spellEnd"/>
      <w:r w:rsidRPr="0026419F">
        <w:rPr>
          <w:rFonts w:ascii="Arial" w:eastAsia="Aptos" w:hAnsi="Arial" w:cs="Arial"/>
          <w:bCs/>
          <w:color w:val="000000"/>
          <w:sz w:val="22"/>
          <w:szCs w:val="22"/>
          <w:lang w:val="en-GB" w:eastAsia="en-US"/>
        </w:rPr>
        <w:t xml:space="preserve"> plan </w:t>
      </w:r>
      <w:proofErr w:type="spellStart"/>
      <w:r w:rsidRPr="0026419F">
        <w:rPr>
          <w:rFonts w:ascii="Arial" w:eastAsia="Aptos" w:hAnsi="Arial" w:cs="Arial"/>
          <w:bCs/>
          <w:color w:val="000000"/>
          <w:sz w:val="22"/>
          <w:szCs w:val="22"/>
          <w:lang w:val="en-GB" w:eastAsia="en-US"/>
        </w:rPr>
        <w:t>uređenja</w:t>
      </w:r>
      <w:proofErr w:type="spellEnd"/>
      <w:r w:rsidRPr="0026419F">
        <w:rPr>
          <w:rFonts w:ascii="Arial" w:eastAsia="Aptos" w:hAnsi="Arial" w:cs="Arial"/>
          <w:bCs/>
          <w:color w:val="000000"/>
          <w:sz w:val="22"/>
          <w:szCs w:val="22"/>
          <w:lang w:val="en-GB" w:eastAsia="en-US"/>
        </w:rPr>
        <w:t xml:space="preserve"> Labina </w:t>
      </w:r>
      <w:proofErr w:type="spellStart"/>
      <w:r w:rsidRPr="0026419F">
        <w:rPr>
          <w:rFonts w:ascii="Arial" w:eastAsia="Aptos" w:hAnsi="Arial" w:cs="Arial"/>
          <w:bCs/>
          <w:color w:val="000000"/>
          <w:sz w:val="22"/>
          <w:szCs w:val="22"/>
          <w:lang w:val="en-GB" w:eastAsia="en-US"/>
        </w:rPr>
        <w:t>i</w:t>
      </w:r>
      <w:proofErr w:type="spellEnd"/>
      <w:r w:rsidRPr="0026419F">
        <w:rPr>
          <w:rFonts w:ascii="Arial" w:eastAsia="Aptos" w:hAnsi="Arial" w:cs="Arial"/>
          <w:bCs/>
          <w:color w:val="000000"/>
          <w:sz w:val="22"/>
          <w:szCs w:val="22"/>
          <w:lang w:val="en-GB" w:eastAsia="en-US"/>
        </w:rPr>
        <w:t xml:space="preserve"> </w:t>
      </w:r>
      <w:proofErr w:type="spellStart"/>
      <w:r w:rsidRPr="0026419F">
        <w:rPr>
          <w:rFonts w:ascii="Arial" w:eastAsia="Aptos" w:hAnsi="Arial" w:cs="Arial"/>
          <w:bCs/>
          <w:color w:val="000000"/>
          <w:sz w:val="22"/>
          <w:szCs w:val="22"/>
          <w:lang w:val="en-GB" w:eastAsia="en-US"/>
        </w:rPr>
        <w:t>Presike</w:t>
      </w:r>
      <w:proofErr w:type="spellEnd"/>
      <w:r w:rsidRPr="0026419F">
        <w:rPr>
          <w:rFonts w:ascii="Arial" w:eastAsia="Aptos" w:hAnsi="Arial" w:cs="Arial"/>
          <w:bCs/>
          <w:color w:val="000000"/>
          <w:sz w:val="22"/>
          <w:szCs w:val="22"/>
          <w:lang w:val="en-GB" w:eastAsia="en-US"/>
        </w:rPr>
        <w:t xml:space="preserve"> („</w:t>
      </w:r>
      <w:proofErr w:type="spellStart"/>
      <w:r w:rsidRPr="0026419F">
        <w:rPr>
          <w:rFonts w:ascii="Arial" w:eastAsia="Aptos" w:hAnsi="Arial" w:cs="Arial"/>
          <w:bCs/>
          <w:color w:val="000000"/>
          <w:sz w:val="22"/>
          <w:szCs w:val="22"/>
          <w:lang w:val="en-GB" w:eastAsia="en-US"/>
        </w:rPr>
        <w:t>Službene</w:t>
      </w:r>
      <w:proofErr w:type="spellEnd"/>
      <w:r w:rsidRPr="0026419F">
        <w:rPr>
          <w:rFonts w:ascii="Arial" w:eastAsia="Aptos" w:hAnsi="Arial" w:cs="Arial"/>
          <w:bCs/>
          <w:color w:val="000000"/>
          <w:sz w:val="22"/>
          <w:szCs w:val="22"/>
          <w:lang w:val="en-GB" w:eastAsia="en-US"/>
        </w:rPr>
        <w:t xml:space="preserve"> novine Grada Labina” </w:t>
      </w:r>
      <w:proofErr w:type="spellStart"/>
      <w:r w:rsidRPr="0026419F">
        <w:rPr>
          <w:rFonts w:ascii="Arial" w:eastAsia="Aptos" w:hAnsi="Arial" w:cs="Arial"/>
          <w:bCs/>
          <w:color w:val="000000"/>
          <w:sz w:val="22"/>
          <w:szCs w:val="22"/>
          <w:lang w:val="en-GB" w:eastAsia="en-US"/>
        </w:rPr>
        <w:t>broj</w:t>
      </w:r>
      <w:proofErr w:type="spellEnd"/>
      <w:r w:rsidRPr="0026419F">
        <w:rPr>
          <w:rFonts w:ascii="Arial" w:eastAsia="Aptos" w:hAnsi="Arial" w:cs="Arial"/>
          <w:bCs/>
          <w:color w:val="000000"/>
          <w:sz w:val="22"/>
          <w:szCs w:val="22"/>
          <w:lang w:val="en-GB" w:eastAsia="en-US"/>
        </w:rPr>
        <w:t xml:space="preserve"> 17/07., 07/13, 11/15</w:t>
      </w:r>
      <w:proofErr w:type="gramStart"/>
      <w:r w:rsidRPr="0026419F">
        <w:rPr>
          <w:rFonts w:ascii="Arial" w:eastAsia="Aptos" w:hAnsi="Arial" w:cs="Arial"/>
          <w:bCs/>
          <w:color w:val="000000"/>
          <w:sz w:val="22"/>
          <w:szCs w:val="22"/>
          <w:lang w:val="en-GB" w:eastAsia="en-US"/>
        </w:rPr>
        <w:t>. ,</w:t>
      </w:r>
      <w:proofErr w:type="gramEnd"/>
      <w:r w:rsidRPr="0026419F">
        <w:rPr>
          <w:rFonts w:ascii="Arial" w:eastAsia="Aptos" w:hAnsi="Arial" w:cs="Arial"/>
          <w:bCs/>
          <w:color w:val="000000"/>
          <w:sz w:val="22"/>
          <w:szCs w:val="22"/>
          <w:lang w:val="en-GB" w:eastAsia="en-US"/>
        </w:rPr>
        <w:t xml:space="preserve"> 08/19. </w:t>
      </w:r>
      <w:proofErr w:type="spellStart"/>
      <w:r w:rsidRPr="0026419F">
        <w:rPr>
          <w:rFonts w:ascii="Arial" w:eastAsia="Aptos" w:hAnsi="Arial" w:cs="Arial"/>
          <w:bCs/>
          <w:color w:val="000000"/>
          <w:sz w:val="22"/>
          <w:szCs w:val="22"/>
          <w:lang w:val="en-GB" w:eastAsia="en-US"/>
        </w:rPr>
        <w:t>i</w:t>
      </w:r>
      <w:proofErr w:type="spellEnd"/>
      <w:r w:rsidRPr="0026419F">
        <w:rPr>
          <w:rFonts w:ascii="Arial" w:eastAsia="Aptos" w:hAnsi="Arial" w:cs="Arial"/>
          <w:bCs/>
          <w:color w:val="000000"/>
          <w:sz w:val="22"/>
          <w:szCs w:val="22"/>
          <w:lang w:val="en-GB" w:eastAsia="en-US"/>
        </w:rPr>
        <w:t xml:space="preserve"> 03/20. ), </w:t>
      </w:r>
      <w:proofErr w:type="spellStart"/>
      <w:r w:rsidRPr="0026419F">
        <w:rPr>
          <w:rFonts w:ascii="Arial" w:eastAsia="Aptos" w:hAnsi="Arial" w:cs="Arial"/>
          <w:color w:val="000000"/>
          <w:sz w:val="22"/>
          <w:szCs w:val="22"/>
          <w:lang w:val="en-GB" w:eastAsia="en-US"/>
        </w:rPr>
        <w:t>Urbanistički</w:t>
      </w:r>
      <w:proofErr w:type="spellEnd"/>
      <w:r w:rsidRPr="0026419F">
        <w:rPr>
          <w:rFonts w:ascii="Arial" w:eastAsia="Aptos" w:hAnsi="Arial" w:cs="Arial"/>
          <w:color w:val="000000"/>
          <w:sz w:val="22"/>
          <w:szCs w:val="22"/>
          <w:lang w:val="en-GB" w:eastAsia="en-US"/>
        </w:rPr>
        <w:t xml:space="preserve"> plan </w:t>
      </w:r>
      <w:proofErr w:type="spellStart"/>
      <w:r w:rsidRPr="0026419F">
        <w:rPr>
          <w:rFonts w:ascii="Arial" w:eastAsia="Aptos" w:hAnsi="Arial" w:cs="Arial"/>
          <w:color w:val="000000"/>
          <w:sz w:val="22"/>
          <w:szCs w:val="22"/>
          <w:lang w:val="en-GB" w:eastAsia="en-US"/>
        </w:rPr>
        <w:t>uređenja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naselja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Vinež</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Službene</w:t>
      </w:r>
      <w:proofErr w:type="spellEnd"/>
      <w:r w:rsidRPr="0026419F">
        <w:rPr>
          <w:rFonts w:ascii="Arial" w:eastAsia="Aptos" w:hAnsi="Arial" w:cs="Arial"/>
          <w:color w:val="000000"/>
          <w:sz w:val="22"/>
          <w:szCs w:val="22"/>
          <w:lang w:val="en-GB" w:eastAsia="en-US"/>
        </w:rPr>
        <w:t xml:space="preserve"> novine Grada Labina“ </w:t>
      </w:r>
      <w:proofErr w:type="spellStart"/>
      <w:r w:rsidRPr="0026419F">
        <w:rPr>
          <w:rFonts w:ascii="Arial" w:eastAsia="Aptos" w:hAnsi="Arial" w:cs="Arial"/>
          <w:color w:val="000000"/>
          <w:sz w:val="22"/>
          <w:szCs w:val="22"/>
          <w:lang w:val="en-GB" w:eastAsia="en-US"/>
        </w:rPr>
        <w:t>broj</w:t>
      </w:r>
      <w:proofErr w:type="spellEnd"/>
      <w:r w:rsidRPr="0026419F">
        <w:rPr>
          <w:rFonts w:ascii="Arial" w:eastAsia="Aptos" w:hAnsi="Arial" w:cs="Arial"/>
          <w:color w:val="000000"/>
          <w:sz w:val="22"/>
          <w:szCs w:val="22"/>
          <w:lang w:val="en-GB" w:eastAsia="en-US"/>
        </w:rPr>
        <w:t xml:space="preserve"> 07/10.i 05/17.), </w:t>
      </w:r>
      <w:proofErr w:type="spellStart"/>
      <w:r w:rsidRPr="0026419F">
        <w:rPr>
          <w:rFonts w:ascii="Arial" w:eastAsia="Aptos" w:hAnsi="Arial" w:cs="Arial"/>
          <w:color w:val="000000"/>
          <w:sz w:val="22"/>
          <w:szCs w:val="22"/>
          <w:lang w:val="en-GB" w:eastAsia="en-US"/>
        </w:rPr>
        <w:t>Urbanistički</w:t>
      </w:r>
      <w:proofErr w:type="spellEnd"/>
      <w:r w:rsidRPr="0026419F">
        <w:rPr>
          <w:rFonts w:ascii="Arial" w:eastAsia="Aptos" w:hAnsi="Arial" w:cs="Arial"/>
          <w:color w:val="000000"/>
          <w:sz w:val="22"/>
          <w:szCs w:val="22"/>
          <w:lang w:val="en-GB" w:eastAsia="en-US"/>
        </w:rPr>
        <w:t xml:space="preserve"> plan </w:t>
      </w:r>
      <w:proofErr w:type="spellStart"/>
      <w:r w:rsidRPr="0026419F">
        <w:rPr>
          <w:rFonts w:ascii="Arial" w:eastAsia="Aptos" w:hAnsi="Arial" w:cs="Arial"/>
          <w:color w:val="000000"/>
          <w:sz w:val="22"/>
          <w:szCs w:val="22"/>
          <w:lang w:val="en-GB" w:eastAsia="en-US"/>
        </w:rPr>
        <w:t>uređenja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naselja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Rabac</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Službene</w:t>
      </w:r>
      <w:proofErr w:type="spellEnd"/>
      <w:r w:rsidRPr="0026419F">
        <w:rPr>
          <w:rFonts w:ascii="Arial" w:eastAsia="Aptos" w:hAnsi="Arial" w:cs="Arial"/>
          <w:color w:val="000000"/>
          <w:sz w:val="22"/>
          <w:szCs w:val="22"/>
          <w:lang w:val="en-GB" w:eastAsia="en-US"/>
        </w:rPr>
        <w:t xml:space="preserve"> novine Grada Labina” </w:t>
      </w:r>
      <w:proofErr w:type="spellStart"/>
      <w:r w:rsidRPr="0026419F">
        <w:rPr>
          <w:rFonts w:ascii="Arial" w:eastAsia="Aptos" w:hAnsi="Arial" w:cs="Arial"/>
          <w:color w:val="000000"/>
          <w:sz w:val="22"/>
          <w:szCs w:val="22"/>
          <w:lang w:val="en-GB" w:eastAsia="en-US"/>
        </w:rPr>
        <w:t>broj</w:t>
      </w:r>
      <w:proofErr w:type="spellEnd"/>
      <w:r w:rsidRPr="0026419F">
        <w:rPr>
          <w:rFonts w:ascii="Arial" w:eastAsia="Aptos" w:hAnsi="Arial" w:cs="Arial"/>
          <w:color w:val="000000"/>
          <w:sz w:val="22"/>
          <w:szCs w:val="22"/>
          <w:lang w:val="en-GB" w:eastAsia="en-US"/>
        </w:rPr>
        <w:t xml:space="preserve"> 20/20.),</w:t>
      </w:r>
      <w:r w:rsidRPr="0026419F">
        <w:rPr>
          <w:rFonts w:ascii="Arial" w:eastAsia="Aptos" w:hAnsi="Arial" w:cs="Arial"/>
          <w:color w:val="000000"/>
          <w:szCs w:val="22"/>
          <w:lang w:val="en-GB" w:eastAsia="en-US"/>
        </w:rPr>
        <w:t xml:space="preserve"> </w:t>
      </w:r>
      <w:proofErr w:type="spellStart"/>
      <w:r w:rsidRPr="0026419F">
        <w:rPr>
          <w:rFonts w:ascii="Arial" w:eastAsia="Aptos" w:hAnsi="Arial" w:cs="Arial"/>
          <w:color w:val="000000"/>
          <w:sz w:val="22"/>
          <w:szCs w:val="22"/>
          <w:lang w:val="en-GB" w:eastAsia="en-US"/>
        </w:rPr>
        <w:t>Urbanistički</w:t>
      </w:r>
      <w:proofErr w:type="spellEnd"/>
      <w:r w:rsidRPr="0026419F">
        <w:rPr>
          <w:rFonts w:ascii="Arial" w:eastAsia="Aptos" w:hAnsi="Arial" w:cs="Arial"/>
          <w:color w:val="000000"/>
          <w:sz w:val="22"/>
          <w:szCs w:val="22"/>
          <w:lang w:val="en-GB" w:eastAsia="en-US"/>
        </w:rPr>
        <w:t xml:space="preserve"> plan </w:t>
      </w:r>
      <w:proofErr w:type="spellStart"/>
      <w:r w:rsidRPr="0026419F">
        <w:rPr>
          <w:rFonts w:ascii="Arial" w:eastAsia="Aptos" w:hAnsi="Arial" w:cs="Arial"/>
          <w:color w:val="000000"/>
          <w:sz w:val="22"/>
          <w:szCs w:val="22"/>
          <w:lang w:val="en-GB" w:eastAsia="en-US"/>
        </w:rPr>
        <w:t>uređenja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naselja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Kapelica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Službene</w:t>
      </w:r>
      <w:proofErr w:type="spellEnd"/>
      <w:r w:rsidRPr="0026419F">
        <w:rPr>
          <w:rFonts w:ascii="Arial" w:eastAsia="Aptos" w:hAnsi="Arial" w:cs="Arial"/>
          <w:color w:val="000000"/>
          <w:sz w:val="22"/>
          <w:szCs w:val="22"/>
          <w:lang w:val="en-GB" w:eastAsia="en-US"/>
        </w:rPr>
        <w:t xml:space="preserve"> novine Grada Labina“ </w:t>
      </w:r>
      <w:proofErr w:type="spellStart"/>
      <w:r w:rsidRPr="0026419F">
        <w:rPr>
          <w:rFonts w:ascii="Arial" w:eastAsia="Aptos" w:hAnsi="Arial" w:cs="Arial"/>
          <w:color w:val="000000"/>
          <w:sz w:val="22"/>
          <w:szCs w:val="22"/>
          <w:lang w:val="en-GB" w:eastAsia="en-US"/>
        </w:rPr>
        <w:t>broj</w:t>
      </w:r>
      <w:proofErr w:type="spellEnd"/>
      <w:r w:rsidRPr="0026419F">
        <w:rPr>
          <w:rFonts w:ascii="Arial" w:eastAsia="Aptos" w:hAnsi="Arial" w:cs="Arial"/>
          <w:color w:val="000000"/>
          <w:sz w:val="22"/>
          <w:szCs w:val="22"/>
          <w:lang w:val="en-GB" w:eastAsia="en-US"/>
        </w:rPr>
        <w:t xml:space="preserve">  04/10.), </w:t>
      </w:r>
      <w:proofErr w:type="spellStart"/>
      <w:r w:rsidRPr="0026419F">
        <w:rPr>
          <w:rFonts w:ascii="Arial" w:eastAsia="Aptos" w:hAnsi="Arial" w:cs="Arial"/>
          <w:color w:val="000000"/>
          <w:sz w:val="22"/>
          <w:szCs w:val="22"/>
          <w:lang w:val="en-GB" w:eastAsia="en-US"/>
        </w:rPr>
        <w:t>Detaljni</w:t>
      </w:r>
      <w:proofErr w:type="spellEnd"/>
      <w:r w:rsidRPr="0026419F">
        <w:rPr>
          <w:rFonts w:ascii="Arial" w:eastAsia="Aptos" w:hAnsi="Arial" w:cs="Arial"/>
          <w:color w:val="000000"/>
          <w:sz w:val="22"/>
          <w:szCs w:val="22"/>
          <w:lang w:val="en-GB" w:eastAsia="en-US"/>
        </w:rPr>
        <w:t xml:space="preserve"> plan </w:t>
      </w:r>
      <w:proofErr w:type="spellStart"/>
      <w:r w:rsidRPr="0026419F">
        <w:rPr>
          <w:rFonts w:ascii="Arial" w:eastAsia="Aptos" w:hAnsi="Arial" w:cs="Arial"/>
          <w:color w:val="000000"/>
          <w:sz w:val="22"/>
          <w:szCs w:val="22"/>
          <w:lang w:val="en-GB" w:eastAsia="en-US"/>
        </w:rPr>
        <w:lastRenderedPageBreak/>
        <w:t>uređenja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Poslovne</w:t>
      </w:r>
      <w:proofErr w:type="spellEnd"/>
      <w:r w:rsidRPr="0026419F">
        <w:rPr>
          <w:rFonts w:ascii="Arial" w:eastAsia="Aptos" w:hAnsi="Arial" w:cs="Arial"/>
          <w:color w:val="000000"/>
          <w:sz w:val="22"/>
          <w:szCs w:val="22"/>
          <w:lang w:val="en-GB" w:eastAsia="en-US"/>
        </w:rPr>
        <w:t xml:space="preserve"> zone </w:t>
      </w:r>
      <w:proofErr w:type="spellStart"/>
      <w:r w:rsidRPr="0026419F">
        <w:rPr>
          <w:rFonts w:ascii="Arial" w:eastAsia="Aptos" w:hAnsi="Arial" w:cs="Arial"/>
          <w:color w:val="000000"/>
          <w:sz w:val="22"/>
          <w:szCs w:val="22"/>
          <w:lang w:val="en-GB" w:eastAsia="en-US"/>
        </w:rPr>
        <w:t>Vinež</w:t>
      </w:r>
      <w:proofErr w:type="spellEnd"/>
      <w:r w:rsidRPr="0026419F">
        <w:rPr>
          <w:rFonts w:ascii="Arial" w:eastAsia="Aptos" w:hAnsi="Arial" w:cs="Arial"/>
          <w:color w:val="000000"/>
          <w:sz w:val="22"/>
          <w:szCs w:val="22"/>
          <w:lang w:val="en-GB" w:eastAsia="en-US"/>
        </w:rPr>
        <w:t xml:space="preserve"> – II </w:t>
      </w:r>
      <w:proofErr w:type="spellStart"/>
      <w:r w:rsidRPr="0026419F">
        <w:rPr>
          <w:rFonts w:ascii="Arial" w:eastAsia="Aptos" w:hAnsi="Arial" w:cs="Arial"/>
          <w:color w:val="000000"/>
          <w:sz w:val="22"/>
          <w:szCs w:val="22"/>
          <w:lang w:val="en-GB" w:eastAsia="en-US"/>
        </w:rPr>
        <w:t>faza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Službene</w:t>
      </w:r>
      <w:proofErr w:type="spellEnd"/>
      <w:r w:rsidRPr="0026419F">
        <w:rPr>
          <w:rFonts w:ascii="Arial" w:eastAsia="Aptos" w:hAnsi="Arial" w:cs="Arial"/>
          <w:color w:val="000000"/>
          <w:sz w:val="22"/>
          <w:szCs w:val="22"/>
          <w:lang w:val="en-GB" w:eastAsia="en-US"/>
        </w:rPr>
        <w:t xml:space="preserve"> novine Grada Labina“ </w:t>
      </w:r>
      <w:proofErr w:type="spellStart"/>
      <w:r w:rsidRPr="0026419F">
        <w:rPr>
          <w:rFonts w:ascii="Arial" w:eastAsia="Aptos" w:hAnsi="Arial" w:cs="Arial"/>
          <w:color w:val="000000"/>
          <w:sz w:val="22"/>
          <w:szCs w:val="22"/>
          <w:lang w:val="en-GB" w:eastAsia="en-US"/>
        </w:rPr>
        <w:t>broj</w:t>
      </w:r>
      <w:proofErr w:type="spellEnd"/>
      <w:r w:rsidRPr="0026419F">
        <w:rPr>
          <w:rFonts w:ascii="Arial" w:eastAsia="Aptos" w:hAnsi="Arial" w:cs="Arial"/>
          <w:color w:val="000000"/>
          <w:sz w:val="22"/>
          <w:szCs w:val="22"/>
          <w:lang w:val="en-GB" w:eastAsia="en-US"/>
        </w:rPr>
        <w:t xml:space="preserve"> 01/09.i 13/18.)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Detaljni</w:t>
      </w:r>
      <w:proofErr w:type="spellEnd"/>
      <w:r w:rsidRPr="0026419F">
        <w:rPr>
          <w:rFonts w:ascii="Arial" w:eastAsia="Aptos" w:hAnsi="Arial" w:cs="Arial"/>
          <w:color w:val="000000"/>
          <w:sz w:val="22"/>
          <w:szCs w:val="22"/>
          <w:lang w:val="en-GB" w:eastAsia="en-US"/>
        </w:rPr>
        <w:t xml:space="preserve"> plan </w:t>
      </w:r>
      <w:proofErr w:type="spellStart"/>
      <w:r w:rsidRPr="0026419F">
        <w:rPr>
          <w:rFonts w:ascii="Arial" w:eastAsia="Aptos" w:hAnsi="Arial" w:cs="Arial"/>
          <w:color w:val="000000"/>
          <w:sz w:val="22"/>
          <w:szCs w:val="22"/>
          <w:lang w:val="en-GB" w:eastAsia="en-US"/>
        </w:rPr>
        <w:t>uređenja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Poslovne</w:t>
      </w:r>
      <w:proofErr w:type="spellEnd"/>
      <w:r w:rsidRPr="0026419F">
        <w:rPr>
          <w:rFonts w:ascii="Arial" w:eastAsia="Aptos" w:hAnsi="Arial" w:cs="Arial"/>
          <w:color w:val="000000"/>
          <w:sz w:val="22"/>
          <w:szCs w:val="22"/>
          <w:lang w:val="en-GB" w:eastAsia="en-US"/>
        </w:rPr>
        <w:t xml:space="preserve"> zone </w:t>
      </w:r>
      <w:proofErr w:type="spellStart"/>
      <w:r w:rsidRPr="0026419F">
        <w:rPr>
          <w:rFonts w:ascii="Arial" w:eastAsia="Aptos" w:hAnsi="Arial" w:cs="Arial"/>
          <w:color w:val="000000"/>
          <w:sz w:val="22"/>
          <w:szCs w:val="22"/>
          <w:lang w:val="en-GB" w:eastAsia="en-US"/>
        </w:rPr>
        <w:t>Ripenda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Verbanci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Službene</w:t>
      </w:r>
      <w:proofErr w:type="spellEnd"/>
      <w:r w:rsidRPr="0026419F">
        <w:rPr>
          <w:rFonts w:ascii="Arial" w:eastAsia="Aptos" w:hAnsi="Arial" w:cs="Arial"/>
          <w:color w:val="000000"/>
          <w:sz w:val="22"/>
          <w:szCs w:val="22"/>
          <w:lang w:val="en-GB" w:eastAsia="en-US"/>
        </w:rPr>
        <w:t xml:space="preserve"> novine Grada Labina“ </w:t>
      </w:r>
      <w:proofErr w:type="spellStart"/>
      <w:r w:rsidRPr="0026419F">
        <w:rPr>
          <w:rFonts w:ascii="Arial" w:eastAsia="Aptos" w:hAnsi="Arial" w:cs="Arial"/>
          <w:color w:val="000000"/>
          <w:sz w:val="22"/>
          <w:szCs w:val="22"/>
          <w:lang w:val="en-GB" w:eastAsia="en-US"/>
        </w:rPr>
        <w:t>broj</w:t>
      </w:r>
      <w:proofErr w:type="spellEnd"/>
      <w:r w:rsidRPr="0026419F">
        <w:rPr>
          <w:rFonts w:ascii="Arial" w:eastAsia="Aptos" w:hAnsi="Arial" w:cs="Arial"/>
          <w:color w:val="000000"/>
          <w:sz w:val="22"/>
          <w:szCs w:val="22"/>
          <w:lang w:val="en-GB" w:eastAsia="en-US"/>
        </w:rPr>
        <w:t xml:space="preserve"> 07/10.).</w:t>
      </w:r>
    </w:p>
    <w:p w14:paraId="4612C649" w14:textId="77777777" w:rsidR="0026419F" w:rsidRPr="0026419F" w:rsidRDefault="0026419F" w:rsidP="0026419F">
      <w:pPr>
        <w:spacing w:line="259" w:lineRule="auto"/>
        <w:jc w:val="both"/>
        <w:rPr>
          <w:rFonts w:ascii="Arial" w:eastAsia="Aptos" w:hAnsi="Arial" w:cs="Arial"/>
          <w:color w:val="000000"/>
          <w:sz w:val="22"/>
          <w:szCs w:val="22"/>
          <w:lang w:val="en-GB" w:eastAsia="en-US"/>
        </w:rPr>
      </w:pPr>
    </w:p>
    <w:p w14:paraId="044B5072" w14:textId="77777777" w:rsidR="0026419F" w:rsidRPr="0026419F" w:rsidRDefault="0026419F" w:rsidP="0026419F">
      <w:pPr>
        <w:spacing w:line="259" w:lineRule="auto"/>
        <w:jc w:val="both"/>
        <w:rPr>
          <w:rFonts w:ascii="Arial" w:eastAsia="Aptos" w:hAnsi="Arial" w:cs="Arial"/>
          <w:b/>
          <w:color w:val="000000"/>
          <w:sz w:val="22"/>
          <w:szCs w:val="22"/>
          <w:lang w:val="en-GB" w:eastAsia="en-US"/>
        </w:rPr>
      </w:pPr>
      <w:proofErr w:type="spellStart"/>
      <w:r w:rsidRPr="0026419F">
        <w:rPr>
          <w:rFonts w:ascii="Arial" w:eastAsia="Aptos" w:hAnsi="Arial" w:cs="Arial"/>
          <w:b/>
          <w:color w:val="000000"/>
          <w:sz w:val="22"/>
          <w:szCs w:val="22"/>
          <w:u w:val="single"/>
          <w:lang w:val="en-GB" w:eastAsia="en-US"/>
        </w:rPr>
        <w:t>Opis</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programa</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sa</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općim</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i</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posebnim</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ciljem</w:t>
      </w:r>
      <w:proofErr w:type="spellEnd"/>
      <w:r w:rsidRPr="0026419F">
        <w:rPr>
          <w:rFonts w:ascii="Arial" w:eastAsia="Aptos" w:hAnsi="Arial" w:cs="Arial"/>
          <w:b/>
          <w:color w:val="000000"/>
          <w:sz w:val="22"/>
          <w:szCs w:val="22"/>
          <w:u w:val="single"/>
          <w:lang w:val="en-GB" w:eastAsia="en-US"/>
        </w:rPr>
        <w:t xml:space="preserve">: </w:t>
      </w:r>
    </w:p>
    <w:p w14:paraId="5859CFAC" w14:textId="77777777" w:rsidR="0026419F" w:rsidRPr="0026419F" w:rsidRDefault="0026419F" w:rsidP="0026419F">
      <w:pPr>
        <w:spacing w:line="259" w:lineRule="auto"/>
        <w:jc w:val="both"/>
        <w:rPr>
          <w:rFonts w:ascii="Arial" w:eastAsia="Calibri" w:hAnsi="Arial" w:cs="Arial"/>
          <w:color w:val="000000"/>
          <w:sz w:val="22"/>
          <w:szCs w:val="22"/>
          <w:lang w:eastAsia="en-US"/>
        </w:rPr>
      </w:pPr>
      <w:r w:rsidRPr="0026419F">
        <w:rPr>
          <w:rFonts w:ascii="Arial" w:eastAsia="Calibri" w:hAnsi="Arial" w:cs="Arial"/>
          <w:color w:val="000000"/>
          <w:sz w:val="22"/>
          <w:szCs w:val="22"/>
          <w:lang w:eastAsia="en-US"/>
        </w:rPr>
        <w:t>Program obuhvaća poslove projektne pripreme i građenje građevina i uređaja komunalne infrastrukture. Cilj programa je uskladiti investicijske zahvate sa naglaskom na izgradnju prometnica s svom planiranom infrastrukturom, osigurati proširenje prometne mreže i pripadnih pješačkih površina, parkirališta i trgova uz zadržavanje odnosno unaprjeđenje standarda prometa i  infrastrukturne opremljenosti Grada Labina, a sve usmjereno prema slijedećim strateškim razvojnim ciljevima Grada Labina:</w:t>
      </w:r>
    </w:p>
    <w:p w14:paraId="0880E469" w14:textId="77777777" w:rsidR="0026419F" w:rsidRPr="0026419F" w:rsidRDefault="0026419F">
      <w:pPr>
        <w:numPr>
          <w:ilvl w:val="0"/>
          <w:numId w:val="13"/>
        </w:numPr>
        <w:spacing w:line="259" w:lineRule="auto"/>
        <w:rPr>
          <w:rFonts w:ascii="Arial" w:eastAsia="Calibri" w:hAnsi="Arial" w:cs="Arial"/>
          <w:color w:val="000000"/>
          <w:sz w:val="22"/>
          <w:szCs w:val="22"/>
          <w:lang w:eastAsia="en-US"/>
        </w:rPr>
      </w:pPr>
      <w:r w:rsidRPr="0026419F">
        <w:rPr>
          <w:rFonts w:ascii="Arial" w:eastAsia="Calibri" w:hAnsi="Arial" w:cs="Arial"/>
          <w:color w:val="000000"/>
          <w:sz w:val="22"/>
          <w:szCs w:val="22"/>
          <w:lang w:eastAsia="en-US"/>
        </w:rPr>
        <w:t>Povećanje gospodarske konkurentnosti</w:t>
      </w:r>
    </w:p>
    <w:p w14:paraId="53C74B56" w14:textId="77777777" w:rsidR="0026419F" w:rsidRPr="0026419F" w:rsidRDefault="0026419F">
      <w:pPr>
        <w:numPr>
          <w:ilvl w:val="0"/>
          <w:numId w:val="13"/>
        </w:numPr>
        <w:spacing w:line="259" w:lineRule="auto"/>
        <w:rPr>
          <w:rFonts w:ascii="Arial" w:eastAsia="Calibri" w:hAnsi="Arial" w:cs="Arial"/>
          <w:color w:val="000000"/>
          <w:sz w:val="22"/>
          <w:szCs w:val="22"/>
          <w:lang w:eastAsia="en-US"/>
        </w:rPr>
      </w:pPr>
      <w:r w:rsidRPr="0026419F">
        <w:rPr>
          <w:rFonts w:ascii="Arial" w:eastAsia="Calibri" w:hAnsi="Arial" w:cs="Arial"/>
          <w:color w:val="000000"/>
          <w:sz w:val="22"/>
          <w:szCs w:val="22"/>
          <w:lang w:eastAsia="en-US"/>
        </w:rPr>
        <w:t>Razvoj  ljudskih resursa i visoka kvaliteta života</w:t>
      </w:r>
    </w:p>
    <w:p w14:paraId="1FA20F1E" w14:textId="77777777" w:rsidR="0026419F" w:rsidRPr="0026419F" w:rsidRDefault="0026419F">
      <w:pPr>
        <w:numPr>
          <w:ilvl w:val="0"/>
          <w:numId w:val="13"/>
        </w:numPr>
        <w:spacing w:line="259" w:lineRule="auto"/>
        <w:rPr>
          <w:rFonts w:ascii="Arial" w:eastAsia="Calibri" w:hAnsi="Arial" w:cs="Arial"/>
          <w:color w:val="000000"/>
          <w:sz w:val="22"/>
          <w:szCs w:val="22"/>
          <w:lang w:eastAsia="en-US"/>
        </w:rPr>
      </w:pPr>
      <w:r w:rsidRPr="0026419F">
        <w:rPr>
          <w:rFonts w:ascii="Arial" w:eastAsia="Calibri" w:hAnsi="Arial" w:cs="Arial"/>
          <w:color w:val="000000"/>
          <w:sz w:val="22"/>
          <w:szCs w:val="22"/>
          <w:lang w:eastAsia="en-US"/>
        </w:rPr>
        <w:t>Jačanje infrastrukture, zaštite okoliša i održivog upravljanja prostorom i resursima</w:t>
      </w:r>
    </w:p>
    <w:p w14:paraId="272AA274" w14:textId="77777777" w:rsidR="0026419F" w:rsidRPr="0026419F" w:rsidRDefault="0026419F" w:rsidP="0026419F">
      <w:pPr>
        <w:autoSpaceDE w:val="0"/>
        <w:autoSpaceDN w:val="0"/>
        <w:adjustRightInd w:val="0"/>
        <w:spacing w:line="259" w:lineRule="auto"/>
        <w:jc w:val="both"/>
        <w:rPr>
          <w:rFonts w:ascii="Arial" w:eastAsia="Calibri" w:hAnsi="Arial" w:cs="Arial"/>
          <w:color w:val="000000"/>
          <w:sz w:val="22"/>
          <w:szCs w:val="22"/>
          <w:lang w:eastAsia="en-US"/>
        </w:rPr>
      </w:pPr>
      <w:r w:rsidRPr="0026419F">
        <w:rPr>
          <w:rFonts w:ascii="Arial" w:eastAsia="Calibri" w:hAnsi="Arial" w:cs="Arial"/>
          <w:color w:val="000000"/>
          <w:sz w:val="22"/>
          <w:szCs w:val="22"/>
          <w:lang w:eastAsia="en-US"/>
        </w:rPr>
        <w:t>te prema posebnim ciljevima kojima se želi podići standard komunalne opremljenosti i ravnomjeran razvoj gradske aglomeracije i ruralnog područja Grada Labina.</w:t>
      </w:r>
    </w:p>
    <w:p w14:paraId="29A70A98" w14:textId="2B9ECFFF" w:rsidR="0026419F" w:rsidRDefault="0026419F" w:rsidP="0026419F">
      <w:pPr>
        <w:autoSpaceDE w:val="0"/>
        <w:autoSpaceDN w:val="0"/>
        <w:adjustRightInd w:val="0"/>
        <w:spacing w:line="259" w:lineRule="auto"/>
        <w:jc w:val="both"/>
        <w:rPr>
          <w:rFonts w:ascii="Arial" w:eastAsia="Aptos" w:hAnsi="Arial" w:cs="Arial"/>
          <w:color w:val="000000"/>
          <w:sz w:val="22"/>
          <w:szCs w:val="22"/>
          <w:lang w:eastAsia="en-US"/>
        </w:rPr>
      </w:pPr>
      <w:r w:rsidRPr="0026419F">
        <w:rPr>
          <w:rFonts w:ascii="Arial" w:eastAsia="Aptos" w:hAnsi="Arial" w:cs="Arial"/>
          <w:color w:val="000000"/>
          <w:sz w:val="22"/>
          <w:szCs w:val="22"/>
          <w:lang w:eastAsia="en-US"/>
        </w:rPr>
        <w:t xml:space="preserve">U </w:t>
      </w:r>
      <w:r w:rsidRPr="0026419F">
        <w:rPr>
          <w:rFonts w:ascii="Arial" w:eastAsia="Aptos" w:hAnsi="Arial" w:cs="Arial"/>
          <w:b/>
          <w:color w:val="000000"/>
          <w:sz w:val="22"/>
          <w:szCs w:val="22"/>
          <w:lang w:eastAsia="en-US"/>
        </w:rPr>
        <w:t>PROGRAMU 3002 – Izgradnja komunalne  infrastrukture</w:t>
      </w:r>
      <w:r w:rsidRPr="0026419F">
        <w:rPr>
          <w:rFonts w:ascii="Arial" w:eastAsia="Aptos" w:hAnsi="Arial" w:cs="Arial"/>
          <w:color w:val="000000"/>
          <w:sz w:val="22"/>
          <w:szCs w:val="22"/>
          <w:lang w:eastAsia="en-US"/>
        </w:rPr>
        <w:t xml:space="preserve"> predlaže se smanjenje planiranog iznosa za </w:t>
      </w:r>
      <w:r w:rsidRPr="0026419F">
        <w:rPr>
          <w:rFonts w:ascii="Arial" w:eastAsia="Aptos" w:hAnsi="Arial" w:cs="Arial"/>
          <w:b/>
          <w:bCs/>
          <w:color w:val="000000"/>
          <w:sz w:val="22"/>
          <w:szCs w:val="22"/>
          <w:lang w:eastAsia="en-US"/>
        </w:rPr>
        <w:t>33,</w:t>
      </w:r>
      <w:r w:rsidRPr="0026419F">
        <w:rPr>
          <w:rFonts w:ascii="Arial" w:eastAsia="Aptos" w:hAnsi="Arial" w:cs="Arial"/>
          <w:b/>
          <w:color w:val="000000"/>
          <w:sz w:val="22"/>
          <w:szCs w:val="22"/>
          <w:lang w:eastAsia="en-US"/>
        </w:rPr>
        <w:t>01%</w:t>
      </w:r>
      <w:r w:rsidRPr="0026419F">
        <w:rPr>
          <w:rFonts w:ascii="Arial" w:eastAsia="Aptos" w:hAnsi="Arial" w:cs="Arial"/>
          <w:color w:val="000000"/>
          <w:sz w:val="22"/>
          <w:szCs w:val="22"/>
          <w:lang w:eastAsia="en-US"/>
        </w:rPr>
        <w:t xml:space="preserve"> odnosno za </w:t>
      </w:r>
      <w:r w:rsidRPr="0026419F">
        <w:rPr>
          <w:rFonts w:ascii="Arial" w:eastAsia="Aptos" w:hAnsi="Arial" w:cs="Arial"/>
          <w:b/>
          <w:bCs/>
          <w:color w:val="000000"/>
          <w:sz w:val="22"/>
          <w:szCs w:val="22"/>
          <w:lang w:eastAsia="en-US"/>
        </w:rPr>
        <w:t>750</w:t>
      </w:r>
      <w:r w:rsidRPr="0026419F">
        <w:rPr>
          <w:rFonts w:ascii="Arial" w:eastAsia="Aptos" w:hAnsi="Arial" w:cs="Arial"/>
          <w:b/>
          <w:color w:val="000000"/>
          <w:sz w:val="22"/>
          <w:szCs w:val="22"/>
          <w:lang w:eastAsia="en-US"/>
        </w:rPr>
        <w:t xml:space="preserve">.303,00 </w:t>
      </w:r>
      <w:r>
        <w:rPr>
          <w:rFonts w:ascii="Arial" w:eastAsia="Aptos" w:hAnsi="Arial" w:cs="Arial"/>
          <w:b/>
          <w:color w:val="000000"/>
          <w:sz w:val="22"/>
          <w:szCs w:val="22"/>
          <w:lang w:eastAsia="en-US"/>
        </w:rPr>
        <w:t>EUR</w:t>
      </w:r>
      <w:r w:rsidRPr="0026419F">
        <w:rPr>
          <w:rFonts w:ascii="Arial" w:eastAsia="Aptos" w:hAnsi="Arial" w:cs="Arial"/>
          <w:color w:val="000000"/>
          <w:sz w:val="22"/>
          <w:szCs w:val="22"/>
          <w:lang w:eastAsia="en-US"/>
        </w:rPr>
        <w:t xml:space="preserve">, tako da umjesto </w:t>
      </w:r>
      <w:r w:rsidRPr="0026419F">
        <w:rPr>
          <w:rFonts w:ascii="Arial" w:eastAsia="Aptos" w:hAnsi="Arial" w:cs="Arial"/>
          <w:b/>
          <w:color w:val="000000"/>
          <w:sz w:val="22"/>
          <w:szCs w:val="22"/>
          <w:lang w:eastAsia="en-US"/>
        </w:rPr>
        <w:t xml:space="preserve">2.272.742,00 </w:t>
      </w:r>
      <w:r>
        <w:rPr>
          <w:rFonts w:ascii="Arial" w:eastAsia="Aptos" w:hAnsi="Arial" w:cs="Arial"/>
          <w:b/>
          <w:color w:val="000000"/>
          <w:sz w:val="22"/>
          <w:szCs w:val="22"/>
          <w:lang w:eastAsia="en-US"/>
        </w:rPr>
        <w:t>EUR</w:t>
      </w:r>
      <w:r w:rsidRPr="0026419F">
        <w:rPr>
          <w:rFonts w:ascii="Arial" w:eastAsia="Aptos" w:hAnsi="Arial" w:cs="Arial"/>
          <w:color w:val="000000"/>
          <w:sz w:val="22"/>
          <w:szCs w:val="22"/>
          <w:lang w:eastAsia="en-US"/>
        </w:rPr>
        <w:t xml:space="preserve"> sada iznosi </w:t>
      </w:r>
      <w:r w:rsidRPr="0026419F">
        <w:rPr>
          <w:rFonts w:ascii="Arial" w:eastAsia="Aptos" w:hAnsi="Arial" w:cs="Arial"/>
          <w:b/>
          <w:color w:val="000000"/>
          <w:sz w:val="22"/>
          <w:szCs w:val="22"/>
          <w:lang w:eastAsia="en-US"/>
        </w:rPr>
        <w:t xml:space="preserve">1.522.439,00 </w:t>
      </w:r>
      <w:r>
        <w:rPr>
          <w:rFonts w:ascii="Arial" w:eastAsia="Aptos" w:hAnsi="Arial" w:cs="Arial"/>
          <w:b/>
          <w:color w:val="000000"/>
          <w:sz w:val="22"/>
          <w:szCs w:val="22"/>
          <w:lang w:eastAsia="en-US"/>
        </w:rPr>
        <w:t>EUR</w:t>
      </w:r>
      <w:r w:rsidRPr="0026419F">
        <w:rPr>
          <w:rFonts w:ascii="Arial" w:eastAsia="Aptos" w:hAnsi="Arial" w:cs="Arial"/>
          <w:color w:val="000000"/>
          <w:sz w:val="22"/>
          <w:szCs w:val="22"/>
          <w:lang w:eastAsia="en-US"/>
        </w:rPr>
        <w:t xml:space="preserve">. U nastavku se daje prikaz izmjena i dopuna po pojedinim kapitalnim projektima  koje se predlažu u odnosu na važeći Program izgradnje:   </w:t>
      </w:r>
    </w:p>
    <w:p w14:paraId="17E8391A" w14:textId="77777777" w:rsidR="0026419F" w:rsidRPr="0026419F" w:rsidRDefault="0026419F" w:rsidP="0026419F">
      <w:pPr>
        <w:autoSpaceDE w:val="0"/>
        <w:autoSpaceDN w:val="0"/>
        <w:adjustRightInd w:val="0"/>
        <w:spacing w:line="259" w:lineRule="auto"/>
        <w:jc w:val="both"/>
        <w:rPr>
          <w:rFonts w:ascii="Arial" w:eastAsia="Aptos" w:hAnsi="Arial" w:cs="Arial"/>
          <w:color w:val="000000"/>
          <w:sz w:val="22"/>
          <w:szCs w:val="22"/>
          <w:lang w:eastAsia="en-U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755"/>
        <w:gridCol w:w="2231"/>
        <w:gridCol w:w="1438"/>
        <w:gridCol w:w="1300"/>
        <w:gridCol w:w="1676"/>
      </w:tblGrid>
      <w:tr w:rsidR="0026419F" w:rsidRPr="0026419F" w14:paraId="38B53E91" w14:textId="77777777" w:rsidTr="0026419F">
        <w:trPr>
          <w:trHeight w:val="397"/>
        </w:trPr>
        <w:tc>
          <w:tcPr>
            <w:tcW w:w="8959" w:type="dxa"/>
            <w:gridSpan w:val="6"/>
            <w:tcBorders>
              <w:top w:val="single" w:sz="4" w:space="0" w:color="auto"/>
              <w:left w:val="single" w:sz="4" w:space="0" w:color="auto"/>
              <w:bottom w:val="single" w:sz="4" w:space="0" w:color="auto"/>
              <w:right w:val="single" w:sz="4" w:space="0" w:color="auto"/>
            </w:tcBorders>
            <w:vAlign w:val="center"/>
            <w:hideMark/>
          </w:tcPr>
          <w:p w14:paraId="084E2384" w14:textId="77777777" w:rsidR="0026419F" w:rsidRPr="0026419F" w:rsidRDefault="0026419F" w:rsidP="0026419F">
            <w:pPr>
              <w:spacing w:line="256" w:lineRule="auto"/>
              <w:jc w:val="center"/>
              <w:rPr>
                <w:rFonts w:ascii="Arial" w:eastAsia="Calibri" w:hAnsi="Arial" w:cs="Arial"/>
                <w:b/>
                <w:bCs/>
                <w:color w:val="000000"/>
                <w:kern w:val="2"/>
                <w:sz w:val="22"/>
                <w:szCs w:val="22"/>
                <w:lang w:eastAsia="en-US"/>
                <w14:ligatures w14:val="standardContextual"/>
              </w:rPr>
            </w:pPr>
            <w:r w:rsidRPr="0026419F">
              <w:rPr>
                <w:rFonts w:ascii="Arial" w:eastAsia="Calibri" w:hAnsi="Arial" w:cs="Arial"/>
                <w:b/>
                <w:bCs/>
                <w:color w:val="000000"/>
                <w:kern w:val="2"/>
                <w:szCs w:val="22"/>
                <w:lang w:eastAsia="en-US"/>
                <w14:ligatures w14:val="standardContextual"/>
              </w:rPr>
              <w:t>PROGRAM 3002 – Izgradnja komunalne infrastrukture</w:t>
            </w:r>
          </w:p>
        </w:tc>
      </w:tr>
      <w:tr w:rsidR="0026419F" w:rsidRPr="0026419F" w14:paraId="4048B00C" w14:textId="77777777" w:rsidTr="0026419F">
        <w:trPr>
          <w:trHeight w:val="510"/>
        </w:trPr>
        <w:tc>
          <w:tcPr>
            <w:tcW w:w="559" w:type="dxa"/>
            <w:tcBorders>
              <w:top w:val="single" w:sz="4" w:space="0" w:color="auto"/>
              <w:left w:val="single" w:sz="4" w:space="0" w:color="auto"/>
              <w:bottom w:val="single" w:sz="4" w:space="0" w:color="auto"/>
              <w:right w:val="single" w:sz="4" w:space="0" w:color="auto"/>
            </w:tcBorders>
            <w:vAlign w:val="center"/>
            <w:hideMark/>
          </w:tcPr>
          <w:p w14:paraId="1C2E22AF" w14:textId="77777777" w:rsidR="0026419F" w:rsidRPr="0026419F" w:rsidRDefault="0026419F" w:rsidP="0026419F">
            <w:pPr>
              <w:spacing w:after="160" w:line="256" w:lineRule="auto"/>
              <w:rPr>
                <w:rFonts w:ascii="Arial" w:eastAsia="Aptos" w:hAnsi="Arial" w:cs="Arial"/>
                <w:b/>
                <w:bCs/>
                <w:color w:val="000000"/>
                <w:kern w:val="2"/>
                <w:szCs w:val="22"/>
                <w:lang w:eastAsia="en-US"/>
                <w14:ligatures w14:val="standardContextual"/>
              </w:rPr>
            </w:pPr>
          </w:p>
        </w:tc>
        <w:tc>
          <w:tcPr>
            <w:tcW w:w="1755" w:type="dxa"/>
            <w:tcBorders>
              <w:top w:val="single" w:sz="4" w:space="0" w:color="auto"/>
              <w:left w:val="single" w:sz="4" w:space="0" w:color="auto"/>
              <w:bottom w:val="single" w:sz="4" w:space="0" w:color="auto"/>
              <w:right w:val="single" w:sz="4" w:space="0" w:color="auto"/>
            </w:tcBorders>
            <w:vAlign w:val="center"/>
            <w:hideMark/>
          </w:tcPr>
          <w:p w14:paraId="30F55D88"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Oznaka projekta</w:t>
            </w:r>
          </w:p>
        </w:tc>
        <w:tc>
          <w:tcPr>
            <w:tcW w:w="2231" w:type="dxa"/>
            <w:tcBorders>
              <w:top w:val="single" w:sz="4" w:space="0" w:color="auto"/>
              <w:left w:val="single" w:sz="4" w:space="0" w:color="auto"/>
              <w:bottom w:val="single" w:sz="4" w:space="0" w:color="auto"/>
              <w:right w:val="single" w:sz="4" w:space="0" w:color="auto"/>
            </w:tcBorders>
            <w:vAlign w:val="center"/>
            <w:hideMark/>
          </w:tcPr>
          <w:p w14:paraId="5011E899"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Naziv projekta</w:t>
            </w:r>
          </w:p>
        </w:tc>
        <w:tc>
          <w:tcPr>
            <w:tcW w:w="1438" w:type="dxa"/>
            <w:tcBorders>
              <w:top w:val="single" w:sz="4" w:space="0" w:color="auto"/>
              <w:left w:val="single" w:sz="4" w:space="0" w:color="auto"/>
              <w:bottom w:val="single" w:sz="4" w:space="0" w:color="auto"/>
              <w:right w:val="single" w:sz="4" w:space="0" w:color="auto"/>
            </w:tcBorders>
            <w:vAlign w:val="center"/>
            <w:hideMark/>
          </w:tcPr>
          <w:p w14:paraId="5A150647"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Plan za 2025. godinu</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39EC3AE"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Razlika</w:t>
            </w:r>
          </w:p>
        </w:tc>
        <w:tc>
          <w:tcPr>
            <w:tcW w:w="1676" w:type="dxa"/>
            <w:tcBorders>
              <w:top w:val="single" w:sz="4" w:space="0" w:color="auto"/>
              <w:left w:val="single" w:sz="4" w:space="0" w:color="auto"/>
              <w:bottom w:val="single" w:sz="4" w:space="0" w:color="auto"/>
              <w:right w:val="single" w:sz="4" w:space="0" w:color="auto"/>
            </w:tcBorders>
            <w:vAlign w:val="center"/>
            <w:hideMark/>
          </w:tcPr>
          <w:p w14:paraId="2CC5EE03"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Novi Plan za 2025. godinu</w:t>
            </w:r>
          </w:p>
        </w:tc>
      </w:tr>
      <w:tr w:rsidR="0026419F" w:rsidRPr="0026419F" w14:paraId="4913A335" w14:textId="77777777" w:rsidTr="0026419F">
        <w:trPr>
          <w:trHeight w:val="508"/>
        </w:trPr>
        <w:tc>
          <w:tcPr>
            <w:tcW w:w="559" w:type="dxa"/>
            <w:vMerge w:val="restart"/>
            <w:tcBorders>
              <w:top w:val="single" w:sz="4" w:space="0" w:color="auto"/>
              <w:left w:val="single" w:sz="4" w:space="0" w:color="auto"/>
              <w:bottom w:val="single" w:sz="4" w:space="0" w:color="auto"/>
              <w:right w:val="single" w:sz="4" w:space="0" w:color="auto"/>
            </w:tcBorders>
            <w:hideMark/>
          </w:tcPr>
          <w:p w14:paraId="3F9696B9" w14:textId="77777777" w:rsidR="0026419F" w:rsidRPr="0026419F" w:rsidRDefault="0026419F" w:rsidP="0026419F">
            <w:pPr>
              <w:spacing w:after="160" w:line="256" w:lineRule="auto"/>
              <w:jc w:val="center"/>
              <w:rPr>
                <w:rFonts w:ascii="Arial" w:eastAsia="Aptos" w:hAnsi="Arial" w:cs="Arial"/>
                <w:b/>
                <w:bCs/>
                <w:color w:val="000000"/>
                <w:kern w:val="2"/>
                <w:sz w:val="20"/>
                <w:szCs w:val="20"/>
                <w:lang w:eastAsia="en-US"/>
                <w14:ligatures w14:val="standardContextual"/>
              </w:rPr>
            </w:pPr>
            <w:r w:rsidRPr="0026419F">
              <w:rPr>
                <w:rFonts w:ascii="Arial" w:eastAsia="Aptos" w:hAnsi="Arial" w:cs="Arial"/>
                <w:b/>
                <w:bCs/>
                <w:color w:val="000000"/>
                <w:kern w:val="2"/>
                <w:sz w:val="20"/>
                <w:szCs w:val="20"/>
                <w:lang w:eastAsia="en-US"/>
                <w14:ligatures w14:val="standardContextual"/>
              </w:rPr>
              <w:t>1.</w:t>
            </w:r>
          </w:p>
        </w:tc>
        <w:tc>
          <w:tcPr>
            <w:tcW w:w="1755" w:type="dxa"/>
            <w:tcBorders>
              <w:top w:val="single" w:sz="4" w:space="0" w:color="auto"/>
              <w:left w:val="single" w:sz="4" w:space="0" w:color="auto"/>
              <w:bottom w:val="single" w:sz="4" w:space="0" w:color="auto"/>
              <w:right w:val="single" w:sz="4" w:space="0" w:color="auto"/>
            </w:tcBorders>
            <w:vAlign w:val="center"/>
            <w:hideMark/>
          </w:tcPr>
          <w:p w14:paraId="0F21134C"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Kapitalni projekt K300012</w:t>
            </w:r>
          </w:p>
        </w:tc>
        <w:tc>
          <w:tcPr>
            <w:tcW w:w="2231" w:type="dxa"/>
            <w:tcBorders>
              <w:top w:val="single" w:sz="4" w:space="0" w:color="auto"/>
              <w:left w:val="single" w:sz="4" w:space="0" w:color="auto"/>
              <w:bottom w:val="single" w:sz="4" w:space="0" w:color="auto"/>
              <w:right w:val="single" w:sz="4" w:space="0" w:color="auto"/>
            </w:tcBorders>
            <w:vAlign w:val="center"/>
            <w:hideMark/>
          </w:tcPr>
          <w:p w14:paraId="02EE0728"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 xml:space="preserve">Infrastruktura u starogradskoj jezgri i popločenje </w:t>
            </w:r>
            <w:proofErr w:type="spellStart"/>
            <w:r w:rsidRPr="0026419F">
              <w:rPr>
                <w:rFonts w:ascii="Arial" w:eastAsia="Calibri" w:hAnsi="Arial" w:cs="Arial"/>
                <w:b/>
                <w:bCs/>
                <w:color w:val="000000"/>
                <w:kern w:val="2"/>
                <w:sz w:val="20"/>
                <w:szCs w:val="20"/>
                <w:lang w:eastAsia="en-US"/>
                <w14:ligatures w14:val="standardContextual"/>
              </w:rPr>
              <w:t>parternih</w:t>
            </w:r>
            <w:proofErr w:type="spellEnd"/>
            <w:r w:rsidRPr="0026419F">
              <w:rPr>
                <w:rFonts w:ascii="Arial" w:eastAsia="Calibri" w:hAnsi="Arial" w:cs="Arial"/>
                <w:b/>
                <w:bCs/>
                <w:color w:val="000000"/>
                <w:kern w:val="2"/>
                <w:sz w:val="20"/>
                <w:szCs w:val="20"/>
                <w:lang w:eastAsia="en-US"/>
                <w14:ligatures w14:val="standardContextual"/>
              </w:rPr>
              <w:t xml:space="preserve"> površina</w:t>
            </w:r>
          </w:p>
        </w:tc>
        <w:tc>
          <w:tcPr>
            <w:tcW w:w="1438" w:type="dxa"/>
            <w:tcBorders>
              <w:top w:val="single" w:sz="4" w:space="0" w:color="auto"/>
              <w:left w:val="single" w:sz="4" w:space="0" w:color="auto"/>
              <w:bottom w:val="single" w:sz="4" w:space="0" w:color="auto"/>
              <w:right w:val="single" w:sz="4" w:space="0" w:color="auto"/>
            </w:tcBorders>
            <w:vAlign w:val="center"/>
            <w:hideMark/>
          </w:tcPr>
          <w:p w14:paraId="00953405"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296.800,00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6F956EB"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-261.800,00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56886190"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35.000,00</w:t>
            </w:r>
          </w:p>
        </w:tc>
      </w:tr>
      <w:tr w:rsidR="0026419F" w:rsidRPr="0026419F" w14:paraId="28D1D5DF" w14:textId="77777777" w:rsidTr="0026419F">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9168D" w14:textId="77777777" w:rsidR="0026419F" w:rsidRPr="0026419F" w:rsidRDefault="0026419F" w:rsidP="0026419F">
            <w:pPr>
              <w:spacing w:line="256" w:lineRule="auto"/>
              <w:rPr>
                <w:rFonts w:ascii="Arial" w:eastAsia="Aptos" w:hAnsi="Arial" w:cs="Arial"/>
                <w:b/>
                <w:bCs/>
                <w:color w:val="000000"/>
                <w:kern w:val="2"/>
                <w:sz w:val="20"/>
                <w:szCs w:val="20"/>
                <w:lang w:eastAsia="en-US"/>
                <w14:ligatures w14:val="standardContextual"/>
              </w:rPr>
            </w:pPr>
          </w:p>
        </w:tc>
        <w:tc>
          <w:tcPr>
            <w:tcW w:w="8400" w:type="dxa"/>
            <w:gridSpan w:val="5"/>
            <w:tcBorders>
              <w:top w:val="single" w:sz="4" w:space="0" w:color="auto"/>
              <w:left w:val="single" w:sz="4" w:space="0" w:color="auto"/>
              <w:bottom w:val="single" w:sz="4" w:space="0" w:color="auto"/>
              <w:right w:val="single" w:sz="4" w:space="0" w:color="auto"/>
            </w:tcBorders>
            <w:vAlign w:val="center"/>
            <w:hideMark/>
          </w:tcPr>
          <w:p w14:paraId="0792E117" w14:textId="77777777" w:rsidR="0026419F" w:rsidRPr="0026419F" w:rsidRDefault="0026419F" w:rsidP="0026419F">
            <w:pPr>
              <w:spacing w:line="256" w:lineRule="auto"/>
              <w:jc w:val="both"/>
              <w:rPr>
                <w:rFonts w:ascii="Arial" w:eastAsia="Calibri" w:hAnsi="Arial" w:cs="Arial"/>
                <w:color w:val="000000"/>
                <w:kern w:val="2"/>
                <w:sz w:val="20"/>
                <w:szCs w:val="20"/>
                <w:lang w:eastAsia="en-US"/>
                <w14:ligatures w14:val="standardContextual"/>
              </w:rPr>
            </w:pPr>
            <w:r w:rsidRPr="0026419F">
              <w:rPr>
                <w:rFonts w:ascii="Arial" w:eastAsia="Calibri" w:hAnsi="Arial" w:cs="Arial"/>
                <w:color w:val="000000"/>
                <w:kern w:val="2"/>
                <w:sz w:val="20"/>
                <w:szCs w:val="20"/>
                <w:lang w:eastAsia="en-US"/>
                <w14:ligatures w14:val="standardContextual"/>
              </w:rPr>
              <w:t>Projekt se priprema u uskoj suradnji sa Konzervatorskim odjelom Pula na čiji zahtjev su bile nužne dorade u projektnim podlogama, posebice u dijelu javne rasvjete. Paralelno se radilo na rješavanju imovinskopravnih odnosa, pokrenuti su postupci nepotpunog izvlaštenja, izvršen je terenski očevid nakon kojeg sudski vještaci izrađuju elaborate na osnovu kojih se određuje visina naknade za osnivanje prava služnosti. Obzirom da su se postupci izvlaštenja prolongirali što utječe na daljnju dinamiku, odnosno mogućnost početka pokretanja postupka javne nabave i početak realizacije projekta predlože se smanjenje  sukladno provedbi i okončanju postupka izvlaštenja koje se predviđaju u drugoj polovici godine.</w:t>
            </w:r>
          </w:p>
        </w:tc>
      </w:tr>
      <w:tr w:rsidR="0026419F" w:rsidRPr="0026419F" w14:paraId="460FA82E" w14:textId="77777777" w:rsidTr="0026419F">
        <w:trPr>
          <w:trHeight w:val="508"/>
        </w:trPr>
        <w:tc>
          <w:tcPr>
            <w:tcW w:w="559" w:type="dxa"/>
            <w:vMerge w:val="restart"/>
            <w:tcBorders>
              <w:top w:val="single" w:sz="4" w:space="0" w:color="auto"/>
              <w:left w:val="single" w:sz="4" w:space="0" w:color="auto"/>
              <w:bottom w:val="single" w:sz="4" w:space="0" w:color="auto"/>
              <w:right w:val="single" w:sz="4" w:space="0" w:color="auto"/>
            </w:tcBorders>
            <w:hideMark/>
          </w:tcPr>
          <w:p w14:paraId="15068D6D" w14:textId="77777777" w:rsidR="0026419F" w:rsidRPr="0026419F" w:rsidRDefault="0026419F" w:rsidP="0026419F">
            <w:pPr>
              <w:spacing w:after="160" w:line="256" w:lineRule="auto"/>
              <w:jc w:val="center"/>
              <w:rPr>
                <w:rFonts w:ascii="Arial" w:eastAsia="Aptos" w:hAnsi="Arial" w:cs="Arial"/>
                <w:b/>
                <w:bCs/>
                <w:color w:val="000000"/>
                <w:kern w:val="2"/>
                <w:sz w:val="20"/>
                <w:szCs w:val="20"/>
                <w:lang w:eastAsia="en-US"/>
                <w14:ligatures w14:val="standardContextual"/>
              </w:rPr>
            </w:pPr>
            <w:r w:rsidRPr="0026419F">
              <w:rPr>
                <w:rFonts w:ascii="Arial" w:eastAsia="Aptos" w:hAnsi="Arial" w:cs="Arial"/>
                <w:b/>
                <w:bCs/>
                <w:color w:val="000000"/>
                <w:kern w:val="2"/>
                <w:sz w:val="20"/>
                <w:szCs w:val="20"/>
                <w:lang w:eastAsia="en-US"/>
                <w14:ligatures w14:val="standardContextual"/>
              </w:rPr>
              <w:t>2.</w:t>
            </w:r>
          </w:p>
        </w:tc>
        <w:tc>
          <w:tcPr>
            <w:tcW w:w="1755" w:type="dxa"/>
            <w:tcBorders>
              <w:top w:val="single" w:sz="4" w:space="0" w:color="auto"/>
              <w:left w:val="single" w:sz="4" w:space="0" w:color="auto"/>
              <w:bottom w:val="single" w:sz="4" w:space="0" w:color="auto"/>
              <w:right w:val="single" w:sz="4" w:space="0" w:color="auto"/>
            </w:tcBorders>
            <w:vAlign w:val="center"/>
            <w:hideMark/>
          </w:tcPr>
          <w:p w14:paraId="376C5807"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Kapitalni projekt K300029</w:t>
            </w:r>
          </w:p>
        </w:tc>
        <w:tc>
          <w:tcPr>
            <w:tcW w:w="2231" w:type="dxa"/>
            <w:tcBorders>
              <w:top w:val="single" w:sz="4" w:space="0" w:color="auto"/>
              <w:left w:val="single" w:sz="4" w:space="0" w:color="auto"/>
              <w:bottom w:val="single" w:sz="4" w:space="0" w:color="auto"/>
              <w:right w:val="single" w:sz="4" w:space="0" w:color="auto"/>
            </w:tcBorders>
            <w:vAlign w:val="center"/>
            <w:hideMark/>
          </w:tcPr>
          <w:p w14:paraId="5279DEAE"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 xml:space="preserve">Park </w:t>
            </w:r>
            <w:proofErr w:type="spellStart"/>
            <w:r w:rsidRPr="0026419F">
              <w:rPr>
                <w:rFonts w:ascii="Arial" w:eastAsia="Calibri" w:hAnsi="Arial" w:cs="Arial"/>
                <w:b/>
                <w:bCs/>
                <w:color w:val="000000"/>
                <w:kern w:val="2"/>
                <w:sz w:val="20"/>
                <w:szCs w:val="20"/>
                <w:lang w:eastAsia="en-US"/>
                <w14:ligatures w14:val="standardContextual"/>
              </w:rPr>
              <w:t>Pineta</w:t>
            </w:r>
            <w:proofErr w:type="spellEnd"/>
          </w:p>
        </w:tc>
        <w:tc>
          <w:tcPr>
            <w:tcW w:w="1438" w:type="dxa"/>
            <w:tcBorders>
              <w:top w:val="single" w:sz="4" w:space="0" w:color="auto"/>
              <w:left w:val="single" w:sz="4" w:space="0" w:color="auto"/>
              <w:bottom w:val="single" w:sz="4" w:space="0" w:color="auto"/>
              <w:right w:val="single" w:sz="4" w:space="0" w:color="auto"/>
            </w:tcBorders>
            <w:vAlign w:val="center"/>
            <w:hideMark/>
          </w:tcPr>
          <w:p w14:paraId="2860A6C2"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408.186,00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EEA2962"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-277.155,00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18426454"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131.031,00</w:t>
            </w:r>
          </w:p>
        </w:tc>
      </w:tr>
      <w:tr w:rsidR="0026419F" w:rsidRPr="0026419F" w14:paraId="48CE5D23" w14:textId="77777777" w:rsidTr="0026419F">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B3D95B" w14:textId="77777777" w:rsidR="0026419F" w:rsidRPr="0026419F" w:rsidRDefault="0026419F" w:rsidP="0026419F">
            <w:pPr>
              <w:spacing w:line="256" w:lineRule="auto"/>
              <w:rPr>
                <w:rFonts w:ascii="Arial" w:eastAsia="Aptos" w:hAnsi="Arial" w:cs="Arial"/>
                <w:b/>
                <w:bCs/>
                <w:color w:val="000000"/>
                <w:kern w:val="2"/>
                <w:sz w:val="20"/>
                <w:szCs w:val="20"/>
                <w:lang w:eastAsia="en-US"/>
                <w14:ligatures w14:val="standardContextual"/>
              </w:rPr>
            </w:pPr>
          </w:p>
        </w:tc>
        <w:tc>
          <w:tcPr>
            <w:tcW w:w="8400" w:type="dxa"/>
            <w:gridSpan w:val="5"/>
            <w:tcBorders>
              <w:top w:val="single" w:sz="4" w:space="0" w:color="auto"/>
              <w:left w:val="single" w:sz="4" w:space="0" w:color="auto"/>
              <w:bottom w:val="single" w:sz="4" w:space="0" w:color="auto"/>
              <w:right w:val="single" w:sz="4" w:space="0" w:color="auto"/>
            </w:tcBorders>
            <w:vAlign w:val="center"/>
            <w:hideMark/>
          </w:tcPr>
          <w:p w14:paraId="4BA6606F" w14:textId="77777777" w:rsidR="0026419F" w:rsidRPr="0026419F" w:rsidRDefault="0026419F" w:rsidP="0026419F">
            <w:pPr>
              <w:spacing w:line="256" w:lineRule="auto"/>
              <w:jc w:val="both"/>
              <w:rPr>
                <w:rFonts w:ascii="Arial" w:eastAsia="Calibri" w:hAnsi="Arial" w:cs="Arial"/>
                <w:color w:val="000000"/>
                <w:kern w:val="2"/>
                <w:sz w:val="20"/>
                <w:szCs w:val="20"/>
                <w:lang w:eastAsia="en-US"/>
                <w14:ligatures w14:val="standardContextual"/>
              </w:rPr>
            </w:pPr>
            <w:r w:rsidRPr="0026419F">
              <w:rPr>
                <w:rFonts w:ascii="Arial" w:eastAsia="Calibri" w:hAnsi="Arial" w:cs="Arial"/>
                <w:color w:val="000000"/>
                <w:kern w:val="2"/>
                <w:sz w:val="20"/>
                <w:szCs w:val="20"/>
                <w:lang w:eastAsia="en-US"/>
                <w14:ligatures w14:val="standardContextual"/>
              </w:rPr>
              <w:t xml:space="preserve">U 2025.g. </w:t>
            </w:r>
            <w:bookmarkStart w:id="32" w:name="_Hlk203389801"/>
            <w:r w:rsidRPr="0026419F">
              <w:rPr>
                <w:rFonts w:ascii="Arial" w:eastAsia="Calibri" w:hAnsi="Arial" w:cs="Arial"/>
                <w:color w:val="000000"/>
                <w:kern w:val="2"/>
                <w:sz w:val="20"/>
                <w:szCs w:val="20"/>
                <w:lang w:eastAsia="en-US"/>
                <w14:ligatures w14:val="standardContextual"/>
              </w:rPr>
              <w:t xml:space="preserve">nastavljen je rad na rješavanju statusa </w:t>
            </w:r>
            <w:proofErr w:type="spellStart"/>
            <w:r w:rsidRPr="0026419F">
              <w:rPr>
                <w:rFonts w:ascii="Arial" w:eastAsia="Calibri" w:hAnsi="Arial" w:cs="Arial"/>
                <w:color w:val="000000"/>
                <w:kern w:val="2"/>
                <w:sz w:val="20"/>
                <w:szCs w:val="20"/>
                <w:lang w:eastAsia="en-US"/>
                <w14:ligatures w14:val="standardContextual"/>
              </w:rPr>
              <w:t>Pinete</w:t>
            </w:r>
            <w:proofErr w:type="spellEnd"/>
            <w:r w:rsidRPr="0026419F">
              <w:rPr>
                <w:rFonts w:ascii="Arial" w:eastAsia="Calibri" w:hAnsi="Arial" w:cs="Arial"/>
                <w:color w:val="000000"/>
                <w:kern w:val="2"/>
                <w:sz w:val="20"/>
                <w:szCs w:val="20"/>
                <w:lang w:eastAsia="en-US"/>
                <w14:ligatures w14:val="standardContextual"/>
              </w:rPr>
              <w:t xml:space="preserve">  koja je u vlasništvu Republike Hrvatske, na osnovu donesene Odluke o proglašenju komunalne infrastrukture javnim dobrom u općoj uporabi u vlasništvu Grada Labina izrađen je Elaborat za evidentiranje izvedenog stanja komunalne infrastrukture. Prijedlog geodetskog elaborata upućen je na suglasnost  Ministarstvu poljoprivrede, šumarstva i ribarstva, Uprava šumarstva, lovstva i drvne industrije. Budući da nije zaprimljen odgovor nadležne Uprave upućena je požurnica, čeka se njihovo očitovanje. Navedeno je utjecalo na dinamiku početka realizacije projekta </w:t>
            </w:r>
            <w:bookmarkEnd w:id="32"/>
            <w:r w:rsidRPr="0026419F">
              <w:rPr>
                <w:rFonts w:ascii="Arial" w:eastAsia="Calibri" w:hAnsi="Arial" w:cs="Arial"/>
                <w:color w:val="000000"/>
                <w:kern w:val="2"/>
                <w:sz w:val="20"/>
                <w:szCs w:val="20"/>
                <w:lang w:eastAsia="en-US"/>
                <w14:ligatures w14:val="standardContextual"/>
              </w:rPr>
              <w:t xml:space="preserve">naime radi se o šumi u vlasništvu Republike Hrvatske i Grad Labin nije ovlašten za poduzimanje radnji na predmetnom području. Slijedom navedenog predlože se usklađenje sa dinamikom rješavanja pravnog statusa </w:t>
            </w:r>
            <w:proofErr w:type="spellStart"/>
            <w:r w:rsidRPr="0026419F">
              <w:rPr>
                <w:rFonts w:ascii="Arial" w:eastAsia="Calibri" w:hAnsi="Arial" w:cs="Arial"/>
                <w:color w:val="000000"/>
                <w:kern w:val="2"/>
                <w:sz w:val="20"/>
                <w:szCs w:val="20"/>
                <w:lang w:eastAsia="en-US"/>
                <w14:ligatures w14:val="standardContextual"/>
              </w:rPr>
              <w:t>Pinete</w:t>
            </w:r>
            <w:proofErr w:type="spellEnd"/>
            <w:r w:rsidRPr="0026419F">
              <w:rPr>
                <w:rFonts w:ascii="Arial" w:eastAsia="Calibri" w:hAnsi="Arial" w:cs="Arial"/>
                <w:color w:val="000000"/>
                <w:kern w:val="2"/>
                <w:sz w:val="20"/>
                <w:szCs w:val="20"/>
                <w:lang w:eastAsia="en-US"/>
                <w14:ligatures w14:val="standardContextual"/>
              </w:rPr>
              <w:t xml:space="preserve"> i posljedično mogućim početkom realizacije.   </w:t>
            </w:r>
          </w:p>
        </w:tc>
      </w:tr>
      <w:tr w:rsidR="0026419F" w:rsidRPr="0026419F" w14:paraId="201D5AB9" w14:textId="77777777" w:rsidTr="0026419F">
        <w:trPr>
          <w:trHeight w:val="508"/>
        </w:trPr>
        <w:tc>
          <w:tcPr>
            <w:tcW w:w="559" w:type="dxa"/>
            <w:vMerge w:val="restart"/>
            <w:tcBorders>
              <w:top w:val="single" w:sz="4" w:space="0" w:color="auto"/>
              <w:left w:val="single" w:sz="4" w:space="0" w:color="auto"/>
              <w:bottom w:val="single" w:sz="4" w:space="0" w:color="auto"/>
              <w:right w:val="single" w:sz="4" w:space="0" w:color="auto"/>
            </w:tcBorders>
            <w:hideMark/>
          </w:tcPr>
          <w:p w14:paraId="2FD7E740" w14:textId="77777777" w:rsidR="0026419F" w:rsidRPr="0026419F" w:rsidRDefault="0026419F" w:rsidP="0026419F">
            <w:pPr>
              <w:spacing w:after="160" w:line="256" w:lineRule="auto"/>
              <w:jc w:val="center"/>
              <w:rPr>
                <w:rFonts w:ascii="Arial" w:eastAsia="Aptos" w:hAnsi="Arial" w:cs="Arial"/>
                <w:b/>
                <w:bCs/>
                <w:color w:val="000000"/>
                <w:kern w:val="2"/>
                <w:sz w:val="20"/>
                <w:szCs w:val="20"/>
                <w:lang w:eastAsia="en-US"/>
                <w14:ligatures w14:val="standardContextual"/>
              </w:rPr>
            </w:pPr>
            <w:r w:rsidRPr="0026419F">
              <w:rPr>
                <w:rFonts w:ascii="Arial" w:eastAsia="Aptos" w:hAnsi="Arial" w:cs="Arial"/>
                <w:b/>
                <w:bCs/>
                <w:color w:val="000000"/>
                <w:kern w:val="2"/>
                <w:sz w:val="20"/>
                <w:szCs w:val="20"/>
                <w:lang w:eastAsia="en-US"/>
                <w14:ligatures w14:val="standardContextual"/>
              </w:rPr>
              <w:t>3.</w:t>
            </w:r>
          </w:p>
        </w:tc>
        <w:tc>
          <w:tcPr>
            <w:tcW w:w="1755" w:type="dxa"/>
            <w:tcBorders>
              <w:top w:val="single" w:sz="4" w:space="0" w:color="auto"/>
              <w:left w:val="single" w:sz="4" w:space="0" w:color="auto"/>
              <w:bottom w:val="single" w:sz="4" w:space="0" w:color="auto"/>
              <w:right w:val="single" w:sz="4" w:space="0" w:color="auto"/>
            </w:tcBorders>
            <w:vAlign w:val="center"/>
            <w:hideMark/>
          </w:tcPr>
          <w:p w14:paraId="08CF4C6F"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Kapitalni projekt K300038</w:t>
            </w:r>
          </w:p>
        </w:tc>
        <w:tc>
          <w:tcPr>
            <w:tcW w:w="2231" w:type="dxa"/>
            <w:tcBorders>
              <w:top w:val="single" w:sz="4" w:space="0" w:color="auto"/>
              <w:left w:val="single" w:sz="4" w:space="0" w:color="auto"/>
              <w:bottom w:val="single" w:sz="4" w:space="0" w:color="auto"/>
              <w:right w:val="single" w:sz="4" w:space="0" w:color="auto"/>
            </w:tcBorders>
            <w:vAlign w:val="center"/>
            <w:hideMark/>
          </w:tcPr>
          <w:p w14:paraId="13B3EB0F"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Spomenik rudaru borcu</w:t>
            </w:r>
          </w:p>
        </w:tc>
        <w:tc>
          <w:tcPr>
            <w:tcW w:w="1438" w:type="dxa"/>
            <w:tcBorders>
              <w:top w:val="single" w:sz="4" w:space="0" w:color="auto"/>
              <w:left w:val="single" w:sz="4" w:space="0" w:color="auto"/>
              <w:bottom w:val="single" w:sz="4" w:space="0" w:color="auto"/>
              <w:right w:val="single" w:sz="4" w:space="0" w:color="auto"/>
            </w:tcBorders>
            <w:vAlign w:val="center"/>
            <w:hideMark/>
          </w:tcPr>
          <w:p w14:paraId="784D62C8"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147.990,00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BD385AC"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124.963,00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0CBBEA6F"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272.953,00</w:t>
            </w:r>
          </w:p>
        </w:tc>
      </w:tr>
      <w:tr w:rsidR="0026419F" w:rsidRPr="0026419F" w14:paraId="5DEF5283" w14:textId="77777777" w:rsidTr="0026419F">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2E401A" w14:textId="77777777" w:rsidR="0026419F" w:rsidRPr="0026419F" w:rsidRDefault="0026419F" w:rsidP="0026419F">
            <w:pPr>
              <w:spacing w:line="256" w:lineRule="auto"/>
              <w:rPr>
                <w:rFonts w:ascii="Arial" w:eastAsia="Aptos" w:hAnsi="Arial" w:cs="Arial"/>
                <w:b/>
                <w:bCs/>
                <w:color w:val="000000"/>
                <w:kern w:val="2"/>
                <w:sz w:val="20"/>
                <w:szCs w:val="20"/>
                <w:lang w:eastAsia="en-US"/>
                <w14:ligatures w14:val="standardContextual"/>
              </w:rPr>
            </w:pPr>
          </w:p>
        </w:tc>
        <w:tc>
          <w:tcPr>
            <w:tcW w:w="8400" w:type="dxa"/>
            <w:gridSpan w:val="5"/>
            <w:tcBorders>
              <w:top w:val="single" w:sz="4" w:space="0" w:color="auto"/>
              <w:left w:val="single" w:sz="4" w:space="0" w:color="auto"/>
              <w:bottom w:val="single" w:sz="4" w:space="0" w:color="auto"/>
              <w:right w:val="single" w:sz="4" w:space="0" w:color="auto"/>
            </w:tcBorders>
            <w:vAlign w:val="center"/>
            <w:hideMark/>
          </w:tcPr>
          <w:p w14:paraId="065DF792" w14:textId="77777777" w:rsidR="0026419F" w:rsidRPr="0026419F" w:rsidRDefault="0026419F" w:rsidP="0026419F">
            <w:pPr>
              <w:spacing w:line="256" w:lineRule="auto"/>
              <w:jc w:val="both"/>
              <w:rPr>
                <w:rFonts w:ascii="Arial" w:eastAsia="Calibri" w:hAnsi="Arial" w:cs="Arial"/>
                <w:color w:val="000000"/>
                <w:kern w:val="2"/>
                <w:sz w:val="20"/>
                <w:szCs w:val="20"/>
                <w:lang w:eastAsia="en-US"/>
                <w14:ligatures w14:val="standardContextual"/>
              </w:rPr>
            </w:pPr>
            <w:r w:rsidRPr="0026419F">
              <w:rPr>
                <w:rFonts w:ascii="Arial" w:eastAsia="Calibri" w:hAnsi="Arial" w:cs="Arial"/>
                <w:color w:val="000000"/>
                <w:kern w:val="2"/>
                <w:sz w:val="20"/>
                <w:szCs w:val="20"/>
                <w:lang w:eastAsia="en-US"/>
                <w14:ligatures w14:val="standardContextual"/>
              </w:rPr>
              <w:t xml:space="preserve">Kod ovog projekta izmjene se odnose na izvore financiranja. </w:t>
            </w:r>
            <w:r w:rsidRPr="0026419F">
              <w:rPr>
                <w:rFonts w:ascii="Arial" w:eastAsia="Aptos" w:hAnsi="Arial" w:cs="Arial"/>
                <w:color w:val="000000"/>
                <w:kern w:val="2"/>
                <w:sz w:val="20"/>
                <w:szCs w:val="20"/>
                <w:lang w:eastAsia="en-US"/>
                <w14:ligatures w14:val="standardContextual"/>
              </w:rPr>
              <w:t xml:space="preserve">U ovoj godini ostvaren je prihod u iznosu od 123.810,00 EUR koji se odnosi na uplatu od Fonda za zaštitu okoliša i energetsku </w:t>
            </w:r>
            <w:r w:rsidRPr="0026419F">
              <w:rPr>
                <w:rFonts w:ascii="Arial" w:eastAsia="Aptos" w:hAnsi="Arial" w:cs="Arial"/>
                <w:color w:val="000000"/>
                <w:kern w:val="2"/>
                <w:sz w:val="20"/>
                <w:szCs w:val="20"/>
                <w:lang w:eastAsia="en-US"/>
                <w14:ligatures w14:val="standardContextual"/>
              </w:rPr>
              <w:lastRenderedPageBreak/>
              <w:t xml:space="preserve">učinkovitost za provedbu projekta hortikulturnog uređenja Spomenika Rudaru borcu u Labinu koji je u cijelosti </w:t>
            </w:r>
            <w:proofErr w:type="spellStart"/>
            <w:r w:rsidRPr="0026419F">
              <w:rPr>
                <w:rFonts w:ascii="Arial" w:eastAsia="Aptos" w:hAnsi="Arial" w:cs="Arial"/>
                <w:color w:val="000000"/>
                <w:kern w:val="2"/>
                <w:sz w:val="20"/>
                <w:szCs w:val="20"/>
                <w:lang w:eastAsia="en-US"/>
                <w14:ligatures w14:val="standardContextual"/>
              </w:rPr>
              <w:t>izrealiziran</w:t>
            </w:r>
            <w:proofErr w:type="spellEnd"/>
            <w:r w:rsidRPr="0026419F">
              <w:rPr>
                <w:rFonts w:ascii="Arial" w:eastAsia="Aptos" w:hAnsi="Arial" w:cs="Arial"/>
                <w:color w:val="000000"/>
                <w:kern w:val="2"/>
                <w:sz w:val="20"/>
                <w:szCs w:val="20"/>
                <w:lang w:eastAsia="en-US"/>
                <w14:ligatures w14:val="standardContextual"/>
              </w:rPr>
              <w:t xml:space="preserve"> u 2024. godini, ali je isplata izvršena u tekućoj godini te se za taj iznos predlaže povećanje.</w:t>
            </w:r>
            <w:r w:rsidRPr="0026419F">
              <w:rPr>
                <w:rFonts w:ascii="Calibri" w:eastAsia="Calibri" w:hAnsi="Calibri"/>
                <w:color w:val="000000"/>
                <w:kern w:val="2"/>
                <w:szCs w:val="22"/>
                <w:lang w:eastAsia="en-US"/>
                <w14:ligatures w14:val="standardContextual"/>
              </w:rPr>
              <w:t xml:space="preserve"> I</w:t>
            </w:r>
            <w:r w:rsidRPr="0026419F">
              <w:rPr>
                <w:rFonts w:ascii="Arial" w:eastAsia="Aptos" w:hAnsi="Arial" w:cs="Arial"/>
                <w:color w:val="000000"/>
                <w:kern w:val="2"/>
                <w:sz w:val="20"/>
                <w:szCs w:val="20"/>
                <w:lang w:eastAsia="en-US"/>
                <w14:ligatures w14:val="standardContextual"/>
              </w:rPr>
              <w:t>stovremeno se dodaju sredstva iz izvora Komunalni doprinos i druge naknade sukladno ostvarenoj realizaciji podmirivanja dospjelih obveza.</w:t>
            </w:r>
            <w:r w:rsidRPr="0026419F">
              <w:rPr>
                <w:rFonts w:ascii="Arial" w:eastAsia="Calibri" w:hAnsi="Arial" w:cs="Arial"/>
                <w:color w:val="000000"/>
                <w:kern w:val="2"/>
                <w:sz w:val="20"/>
                <w:szCs w:val="20"/>
                <w:lang w:eastAsia="en-US"/>
                <w14:ligatures w14:val="standardContextual"/>
              </w:rPr>
              <w:t xml:space="preserve">  </w:t>
            </w:r>
          </w:p>
        </w:tc>
      </w:tr>
      <w:tr w:rsidR="0026419F" w:rsidRPr="0026419F" w14:paraId="088E743D" w14:textId="77777777" w:rsidTr="0026419F">
        <w:trPr>
          <w:trHeight w:val="508"/>
        </w:trPr>
        <w:tc>
          <w:tcPr>
            <w:tcW w:w="559" w:type="dxa"/>
            <w:vMerge w:val="restart"/>
            <w:tcBorders>
              <w:top w:val="single" w:sz="4" w:space="0" w:color="auto"/>
              <w:left w:val="single" w:sz="4" w:space="0" w:color="auto"/>
              <w:bottom w:val="single" w:sz="4" w:space="0" w:color="auto"/>
              <w:right w:val="single" w:sz="4" w:space="0" w:color="auto"/>
            </w:tcBorders>
            <w:hideMark/>
          </w:tcPr>
          <w:p w14:paraId="413D4774" w14:textId="77777777" w:rsidR="0026419F" w:rsidRPr="0026419F" w:rsidRDefault="0026419F" w:rsidP="0026419F">
            <w:pPr>
              <w:spacing w:after="160" w:line="256" w:lineRule="auto"/>
              <w:jc w:val="center"/>
              <w:rPr>
                <w:rFonts w:ascii="Arial" w:eastAsia="Aptos" w:hAnsi="Arial" w:cs="Arial"/>
                <w:b/>
                <w:bCs/>
                <w:color w:val="000000"/>
                <w:kern w:val="2"/>
                <w:sz w:val="20"/>
                <w:szCs w:val="20"/>
                <w:lang w:eastAsia="en-US"/>
                <w14:ligatures w14:val="standardContextual"/>
              </w:rPr>
            </w:pPr>
            <w:r w:rsidRPr="0026419F">
              <w:rPr>
                <w:rFonts w:ascii="Arial" w:eastAsia="Aptos" w:hAnsi="Arial" w:cs="Arial"/>
                <w:b/>
                <w:bCs/>
                <w:color w:val="000000"/>
                <w:kern w:val="2"/>
                <w:sz w:val="20"/>
                <w:szCs w:val="20"/>
                <w:lang w:eastAsia="en-US"/>
                <w14:ligatures w14:val="standardContextual"/>
              </w:rPr>
              <w:lastRenderedPageBreak/>
              <w:t>4.</w:t>
            </w:r>
          </w:p>
        </w:tc>
        <w:tc>
          <w:tcPr>
            <w:tcW w:w="1755" w:type="dxa"/>
            <w:tcBorders>
              <w:top w:val="single" w:sz="4" w:space="0" w:color="auto"/>
              <w:left w:val="single" w:sz="4" w:space="0" w:color="auto"/>
              <w:bottom w:val="single" w:sz="4" w:space="0" w:color="auto"/>
              <w:right w:val="single" w:sz="4" w:space="0" w:color="auto"/>
            </w:tcBorders>
            <w:vAlign w:val="center"/>
            <w:hideMark/>
          </w:tcPr>
          <w:p w14:paraId="66EAFB24"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K300041</w:t>
            </w:r>
          </w:p>
        </w:tc>
        <w:tc>
          <w:tcPr>
            <w:tcW w:w="2231" w:type="dxa"/>
            <w:tcBorders>
              <w:top w:val="single" w:sz="4" w:space="0" w:color="auto"/>
              <w:left w:val="single" w:sz="4" w:space="0" w:color="auto"/>
              <w:bottom w:val="single" w:sz="4" w:space="0" w:color="auto"/>
              <w:right w:val="single" w:sz="4" w:space="0" w:color="auto"/>
            </w:tcBorders>
            <w:vAlign w:val="center"/>
            <w:hideMark/>
          </w:tcPr>
          <w:p w14:paraId="5FB1714A"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Ostali poslovi vezani za izgradnju komunalne infrastrukture</w:t>
            </w:r>
          </w:p>
        </w:tc>
        <w:tc>
          <w:tcPr>
            <w:tcW w:w="1438" w:type="dxa"/>
            <w:tcBorders>
              <w:top w:val="single" w:sz="4" w:space="0" w:color="auto"/>
              <w:left w:val="single" w:sz="4" w:space="0" w:color="auto"/>
              <w:bottom w:val="single" w:sz="4" w:space="0" w:color="auto"/>
              <w:right w:val="single" w:sz="4" w:space="0" w:color="auto"/>
            </w:tcBorders>
            <w:vAlign w:val="center"/>
            <w:hideMark/>
          </w:tcPr>
          <w:p w14:paraId="3553FC39"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63.495,00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1FFF676"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1.035,00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039F1252"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64.530,00</w:t>
            </w:r>
          </w:p>
        </w:tc>
      </w:tr>
      <w:tr w:rsidR="0026419F" w:rsidRPr="0026419F" w14:paraId="41F76C6D" w14:textId="77777777" w:rsidTr="0026419F">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DEE39" w14:textId="77777777" w:rsidR="0026419F" w:rsidRPr="0026419F" w:rsidRDefault="0026419F" w:rsidP="0026419F">
            <w:pPr>
              <w:spacing w:line="256" w:lineRule="auto"/>
              <w:rPr>
                <w:rFonts w:ascii="Arial" w:eastAsia="Aptos" w:hAnsi="Arial" w:cs="Arial"/>
                <w:b/>
                <w:bCs/>
                <w:color w:val="000000"/>
                <w:kern w:val="2"/>
                <w:sz w:val="20"/>
                <w:szCs w:val="20"/>
                <w:lang w:eastAsia="en-US"/>
                <w14:ligatures w14:val="standardContextual"/>
              </w:rPr>
            </w:pPr>
          </w:p>
        </w:tc>
        <w:tc>
          <w:tcPr>
            <w:tcW w:w="8400" w:type="dxa"/>
            <w:gridSpan w:val="5"/>
            <w:tcBorders>
              <w:top w:val="single" w:sz="4" w:space="0" w:color="auto"/>
              <w:left w:val="single" w:sz="4" w:space="0" w:color="auto"/>
              <w:bottom w:val="single" w:sz="4" w:space="0" w:color="auto"/>
              <w:right w:val="single" w:sz="4" w:space="0" w:color="auto"/>
            </w:tcBorders>
            <w:vAlign w:val="center"/>
            <w:hideMark/>
          </w:tcPr>
          <w:p w14:paraId="1D78E50A" w14:textId="77777777" w:rsidR="0026419F" w:rsidRPr="0026419F" w:rsidRDefault="0026419F" w:rsidP="0026419F">
            <w:pPr>
              <w:spacing w:line="256" w:lineRule="auto"/>
              <w:jc w:val="both"/>
              <w:rPr>
                <w:rFonts w:ascii="Arial" w:eastAsia="Calibri" w:hAnsi="Arial" w:cs="Arial"/>
                <w:color w:val="000000"/>
                <w:kern w:val="2"/>
                <w:sz w:val="20"/>
                <w:szCs w:val="20"/>
                <w:lang w:eastAsia="en-US"/>
                <w14:ligatures w14:val="standardContextual"/>
              </w:rPr>
            </w:pPr>
            <w:r w:rsidRPr="0026419F">
              <w:rPr>
                <w:rFonts w:ascii="Arial" w:eastAsia="Calibri" w:hAnsi="Arial" w:cs="Arial"/>
                <w:color w:val="000000"/>
                <w:kern w:val="2"/>
                <w:sz w:val="20"/>
                <w:szCs w:val="20"/>
                <w:lang w:eastAsia="en-US"/>
                <w14:ligatures w14:val="standardContextual"/>
              </w:rPr>
              <w:t>Sklopljen je Ugovor o osnivanju prava služnosti sa RH radi postavljanja spomen-ploče poginulom naredniku 119. brigade HV Slavku Cindriću na rok od 50 godina. Kao ovlaštenik prava služnosti dužni smo vršiti pojedinačne godišnje isplate od 1.030,86 eura, zadnji obrok dospijeva na naplatu 2034.g. Predlaže se usklađenje sa preuzetom obvezom plaćanja godišnjeg obroka naknade prava služnosti.</w:t>
            </w:r>
          </w:p>
        </w:tc>
      </w:tr>
      <w:tr w:rsidR="0026419F" w:rsidRPr="0026419F" w14:paraId="30EC022B" w14:textId="77777777" w:rsidTr="0026419F">
        <w:trPr>
          <w:trHeight w:val="508"/>
        </w:trPr>
        <w:tc>
          <w:tcPr>
            <w:tcW w:w="559" w:type="dxa"/>
            <w:vMerge w:val="restart"/>
            <w:tcBorders>
              <w:top w:val="single" w:sz="4" w:space="0" w:color="auto"/>
              <w:left w:val="single" w:sz="4" w:space="0" w:color="auto"/>
              <w:bottom w:val="single" w:sz="4" w:space="0" w:color="auto"/>
              <w:right w:val="single" w:sz="4" w:space="0" w:color="auto"/>
            </w:tcBorders>
            <w:hideMark/>
          </w:tcPr>
          <w:p w14:paraId="4C07697D" w14:textId="77777777" w:rsidR="0026419F" w:rsidRPr="0026419F" w:rsidRDefault="0026419F" w:rsidP="0026419F">
            <w:pPr>
              <w:spacing w:after="160" w:line="256" w:lineRule="auto"/>
              <w:jc w:val="center"/>
              <w:rPr>
                <w:rFonts w:ascii="Arial" w:eastAsia="Aptos" w:hAnsi="Arial" w:cs="Arial"/>
                <w:b/>
                <w:bCs/>
                <w:color w:val="000000"/>
                <w:kern w:val="2"/>
                <w:sz w:val="20"/>
                <w:szCs w:val="20"/>
                <w:lang w:eastAsia="en-US"/>
                <w14:ligatures w14:val="standardContextual"/>
              </w:rPr>
            </w:pPr>
            <w:r w:rsidRPr="0026419F">
              <w:rPr>
                <w:rFonts w:ascii="Arial" w:eastAsia="Aptos" w:hAnsi="Arial" w:cs="Arial"/>
                <w:b/>
                <w:bCs/>
                <w:color w:val="000000"/>
                <w:kern w:val="2"/>
                <w:sz w:val="20"/>
                <w:szCs w:val="20"/>
                <w:lang w:eastAsia="en-US"/>
                <w14:ligatures w14:val="standardContextual"/>
              </w:rPr>
              <w:t>5.</w:t>
            </w:r>
          </w:p>
        </w:tc>
        <w:tc>
          <w:tcPr>
            <w:tcW w:w="1755" w:type="dxa"/>
            <w:tcBorders>
              <w:top w:val="single" w:sz="4" w:space="0" w:color="auto"/>
              <w:left w:val="single" w:sz="4" w:space="0" w:color="auto"/>
              <w:bottom w:val="single" w:sz="4" w:space="0" w:color="auto"/>
              <w:right w:val="single" w:sz="4" w:space="0" w:color="auto"/>
            </w:tcBorders>
            <w:vAlign w:val="center"/>
            <w:hideMark/>
          </w:tcPr>
          <w:p w14:paraId="5366BCB9"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Kapitalni projekt K300054</w:t>
            </w:r>
          </w:p>
        </w:tc>
        <w:tc>
          <w:tcPr>
            <w:tcW w:w="2231" w:type="dxa"/>
            <w:tcBorders>
              <w:top w:val="single" w:sz="4" w:space="0" w:color="auto"/>
              <w:left w:val="single" w:sz="4" w:space="0" w:color="auto"/>
              <w:bottom w:val="single" w:sz="4" w:space="0" w:color="auto"/>
              <w:right w:val="single" w:sz="4" w:space="0" w:color="auto"/>
            </w:tcBorders>
            <w:vAlign w:val="center"/>
            <w:hideMark/>
          </w:tcPr>
          <w:p w14:paraId="2762D6A8"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 xml:space="preserve">Uređenje priobalnog dijela Centralne zone naselja Rabac </w:t>
            </w:r>
          </w:p>
        </w:tc>
        <w:tc>
          <w:tcPr>
            <w:tcW w:w="1438" w:type="dxa"/>
            <w:tcBorders>
              <w:top w:val="single" w:sz="4" w:space="0" w:color="auto"/>
              <w:left w:val="single" w:sz="4" w:space="0" w:color="auto"/>
              <w:bottom w:val="single" w:sz="4" w:space="0" w:color="auto"/>
              <w:right w:val="single" w:sz="4" w:space="0" w:color="auto"/>
            </w:tcBorders>
            <w:vAlign w:val="center"/>
            <w:hideMark/>
          </w:tcPr>
          <w:p w14:paraId="15D1AF85"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77.164,00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847358B"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-50.000,00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4EDDE020"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27.164,00</w:t>
            </w:r>
          </w:p>
        </w:tc>
      </w:tr>
      <w:tr w:rsidR="0026419F" w:rsidRPr="0026419F" w14:paraId="33058601" w14:textId="77777777" w:rsidTr="0026419F">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BFD97" w14:textId="77777777" w:rsidR="0026419F" w:rsidRPr="0026419F" w:rsidRDefault="0026419F" w:rsidP="0026419F">
            <w:pPr>
              <w:spacing w:line="256" w:lineRule="auto"/>
              <w:rPr>
                <w:rFonts w:ascii="Arial" w:eastAsia="Aptos" w:hAnsi="Arial" w:cs="Arial"/>
                <w:b/>
                <w:bCs/>
                <w:color w:val="000000"/>
                <w:kern w:val="2"/>
                <w:sz w:val="20"/>
                <w:szCs w:val="20"/>
                <w:lang w:eastAsia="en-US"/>
                <w14:ligatures w14:val="standardContextual"/>
              </w:rPr>
            </w:pPr>
          </w:p>
        </w:tc>
        <w:tc>
          <w:tcPr>
            <w:tcW w:w="8400" w:type="dxa"/>
            <w:gridSpan w:val="5"/>
            <w:tcBorders>
              <w:top w:val="single" w:sz="4" w:space="0" w:color="auto"/>
              <w:left w:val="single" w:sz="4" w:space="0" w:color="auto"/>
              <w:bottom w:val="single" w:sz="4" w:space="0" w:color="auto"/>
              <w:right w:val="single" w:sz="4" w:space="0" w:color="auto"/>
            </w:tcBorders>
            <w:vAlign w:val="center"/>
            <w:hideMark/>
          </w:tcPr>
          <w:p w14:paraId="71DC7F1E" w14:textId="77777777" w:rsidR="0026419F" w:rsidRPr="0026419F" w:rsidRDefault="0026419F" w:rsidP="0026419F">
            <w:pPr>
              <w:spacing w:line="256" w:lineRule="auto"/>
              <w:jc w:val="both"/>
              <w:rPr>
                <w:rFonts w:ascii="Arial" w:eastAsia="Calibri" w:hAnsi="Arial" w:cs="Arial"/>
                <w:bCs/>
                <w:color w:val="000000"/>
                <w:kern w:val="2"/>
                <w:sz w:val="20"/>
                <w:szCs w:val="20"/>
                <w:lang w:eastAsia="en-US"/>
                <w14:ligatures w14:val="standardContextual"/>
              </w:rPr>
            </w:pPr>
            <w:r w:rsidRPr="0026419F">
              <w:rPr>
                <w:rFonts w:ascii="Arial" w:eastAsia="Calibri" w:hAnsi="Arial" w:cs="Arial"/>
                <w:color w:val="000000"/>
                <w:kern w:val="2"/>
                <w:sz w:val="20"/>
                <w:szCs w:val="20"/>
                <w:lang w:eastAsia="en-US"/>
                <w14:ligatures w14:val="standardContextual"/>
              </w:rPr>
              <w:t xml:space="preserve">Ova aktivnost je nastavak  Istraživačko-urbanističko-arhitektonske studije Centralne zone Rapca čiji autori su Maroje Mrduljaš i </w:t>
            </w:r>
            <w:proofErr w:type="spellStart"/>
            <w:r w:rsidRPr="0026419F">
              <w:rPr>
                <w:rFonts w:ascii="Arial" w:eastAsia="Calibri" w:hAnsi="Arial" w:cs="Arial"/>
                <w:color w:val="000000"/>
                <w:kern w:val="2"/>
                <w:sz w:val="20"/>
                <w:szCs w:val="20"/>
                <w:lang w:eastAsia="en-US"/>
                <w14:ligatures w14:val="standardContextual"/>
              </w:rPr>
              <w:t>Idis</w:t>
            </w:r>
            <w:proofErr w:type="spellEnd"/>
            <w:r w:rsidRPr="0026419F">
              <w:rPr>
                <w:rFonts w:ascii="Arial" w:eastAsia="Calibri" w:hAnsi="Arial" w:cs="Arial"/>
                <w:color w:val="000000"/>
                <w:kern w:val="2"/>
                <w:sz w:val="20"/>
                <w:szCs w:val="20"/>
                <w:lang w:eastAsia="en-US"/>
                <w14:ligatures w14:val="standardContextual"/>
              </w:rPr>
              <w:t xml:space="preserve"> </w:t>
            </w:r>
            <w:proofErr w:type="spellStart"/>
            <w:r w:rsidRPr="0026419F">
              <w:rPr>
                <w:rFonts w:ascii="Arial" w:eastAsia="Calibri" w:hAnsi="Arial" w:cs="Arial"/>
                <w:color w:val="000000"/>
                <w:kern w:val="2"/>
                <w:sz w:val="20"/>
                <w:szCs w:val="20"/>
                <w:lang w:eastAsia="en-US"/>
                <w14:ligatures w14:val="standardContextual"/>
              </w:rPr>
              <w:t>Turato</w:t>
            </w:r>
            <w:proofErr w:type="spellEnd"/>
            <w:r w:rsidRPr="0026419F">
              <w:rPr>
                <w:rFonts w:ascii="Arial" w:eastAsia="Calibri" w:hAnsi="Arial" w:cs="Arial"/>
                <w:color w:val="000000"/>
                <w:kern w:val="2"/>
                <w:sz w:val="20"/>
                <w:szCs w:val="20"/>
                <w:lang w:eastAsia="en-US"/>
                <w14:ligatures w14:val="standardContextual"/>
              </w:rPr>
              <w:t xml:space="preserve"> profesori Arhitektonskog fakulteta u Zagrebu.</w:t>
            </w:r>
            <w:r w:rsidRPr="0026419F">
              <w:rPr>
                <w:rFonts w:ascii="Arial" w:eastAsia="Calibri" w:hAnsi="Arial" w:cs="Arial"/>
                <w:bCs/>
                <w:color w:val="000000"/>
                <w:kern w:val="2"/>
                <w:sz w:val="20"/>
                <w:szCs w:val="20"/>
                <w:lang w:eastAsia="en-US"/>
                <w14:ligatures w14:val="standardContextual"/>
              </w:rPr>
              <w:t xml:space="preserve"> Tijekom 2023. godine održane su radionice za izvedbenu fazu ove Studije u dijelu oblikovanja  komunalnih zahvata ispred postojećih poslovnih prostora (arkade) u dijelu rive. U radionicama je sudjelovalo  više arhitekata iz Labina, Zagreba i Poreča, a moderatori su bili autori spomenute Studije. Rezultati u obliku idejnih rješenja prezentiran je javnosti, a prije svega građanima naselja Rabac u travnju ove godine. Svi radovi objedinjeni su u obliku brošure. Na osnovu istraživačke studije i providnih radionica potrebno je definirati prostorno planske smjernice  odnosno  uvjete gradnje te iste ugraditi u  Urbanistički plan uređenja naselja Rabac kroz izmjene plana, što je preduvjet za sve daljnje aktivnosti na ovom projektu. Predlaže se smanjenje sukladno aktivnostima potrebnih izmjena prostorno planske dokumentacije.</w:t>
            </w:r>
          </w:p>
        </w:tc>
      </w:tr>
      <w:tr w:rsidR="0026419F" w:rsidRPr="0026419F" w14:paraId="1A043051" w14:textId="77777777" w:rsidTr="0026419F">
        <w:trPr>
          <w:trHeight w:val="508"/>
        </w:trPr>
        <w:tc>
          <w:tcPr>
            <w:tcW w:w="559" w:type="dxa"/>
            <w:vMerge w:val="restart"/>
            <w:tcBorders>
              <w:top w:val="single" w:sz="4" w:space="0" w:color="auto"/>
              <w:left w:val="single" w:sz="4" w:space="0" w:color="auto"/>
              <w:bottom w:val="single" w:sz="4" w:space="0" w:color="auto"/>
              <w:right w:val="single" w:sz="4" w:space="0" w:color="auto"/>
            </w:tcBorders>
            <w:hideMark/>
          </w:tcPr>
          <w:p w14:paraId="75F2A19D" w14:textId="77777777" w:rsidR="0026419F" w:rsidRPr="0026419F" w:rsidRDefault="0026419F" w:rsidP="0026419F">
            <w:pPr>
              <w:spacing w:after="160" w:line="256" w:lineRule="auto"/>
              <w:jc w:val="center"/>
              <w:rPr>
                <w:rFonts w:ascii="Arial" w:eastAsia="Aptos" w:hAnsi="Arial" w:cs="Arial"/>
                <w:b/>
                <w:bCs/>
                <w:color w:val="000000"/>
                <w:kern w:val="2"/>
                <w:sz w:val="20"/>
                <w:szCs w:val="20"/>
                <w:lang w:eastAsia="en-US"/>
                <w14:ligatures w14:val="standardContextual"/>
              </w:rPr>
            </w:pPr>
            <w:r w:rsidRPr="0026419F">
              <w:rPr>
                <w:rFonts w:ascii="Arial" w:eastAsia="Aptos" w:hAnsi="Arial" w:cs="Arial"/>
                <w:b/>
                <w:bCs/>
                <w:color w:val="000000"/>
                <w:kern w:val="2"/>
                <w:sz w:val="20"/>
                <w:szCs w:val="20"/>
                <w:lang w:eastAsia="en-US"/>
                <w14:ligatures w14:val="standardContextual"/>
              </w:rPr>
              <w:t>6.</w:t>
            </w:r>
          </w:p>
        </w:tc>
        <w:tc>
          <w:tcPr>
            <w:tcW w:w="1755" w:type="dxa"/>
            <w:tcBorders>
              <w:top w:val="single" w:sz="4" w:space="0" w:color="auto"/>
              <w:left w:val="single" w:sz="4" w:space="0" w:color="auto"/>
              <w:bottom w:val="single" w:sz="4" w:space="0" w:color="auto"/>
              <w:right w:val="single" w:sz="4" w:space="0" w:color="auto"/>
            </w:tcBorders>
            <w:vAlign w:val="center"/>
            <w:hideMark/>
          </w:tcPr>
          <w:p w14:paraId="782EE849"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Kapitalni projekt K300058</w:t>
            </w:r>
          </w:p>
        </w:tc>
        <w:tc>
          <w:tcPr>
            <w:tcW w:w="2231" w:type="dxa"/>
            <w:tcBorders>
              <w:top w:val="single" w:sz="4" w:space="0" w:color="auto"/>
              <w:left w:val="single" w:sz="4" w:space="0" w:color="auto"/>
              <w:bottom w:val="single" w:sz="4" w:space="0" w:color="auto"/>
              <w:right w:val="single" w:sz="4" w:space="0" w:color="auto"/>
            </w:tcBorders>
            <w:vAlign w:val="center"/>
            <w:hideMark/>
          </w:tcPr>
          <w:p w14:paraId="3A923A39"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 xml:space="preserve">Park </w:t>
            </w:r>
            <w:proofErr w:type="spellStart"/>
            <w:r w:rsidRPr="0026419F">
              <w:rPr>
                <w:rFonts w:ascii="Arial" w:eastAsia="Calibri" w:hAnsi="Arial" w:cs="Arial"/>
                <w:b/>
                <w:bCs/>
                <w:color w:val="000000"/>
                <w:kern w:val="2"/>
                <w:sz w:val="20"/>
                <w:szCs w:val="20"/>
                <w:lang w:eastAsia="en-US"/>
                <w14:ligatures w14:val="standardContextual"/>
              </w:rPr>
              <w:t>Kature</w:t>
            </w:r>
            <w:proofErr w:type="spellEnd"/>
          </w:p>
        </w:tc>
        <w:tc>
          <w:tcPr>
            <w:tcW w:w="1438" w:type="dxa"/>
            <w:tcBorders>
              <w:top w:val="single" w:sz="4" w:space="0" w:color="auto"/>
              <w:left w:val="single" w:sz="4" w:space="0" w:color="auto"/>
              <w:bottom w:val="single" w:sz="4" w:space="0" w:color="auto"/>
              <w:right w:val="single" w:sz="4" w:space="0" w:color="auto"/>
            </w:tcBorders>
            <w:vAlign w:val="center"/>
            <w:hideMark/>
          </w:tcPr>
          <w:p w14:paraId="16D0605F"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377.622,00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30DD0D0"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-308.872,00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54108D29"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68.750,00</w:t>
            </w:r>
          </w:p>
        </w:tc>
      </w:tr>
      <w:tr w:rsidR="0026419F" w:rsidRPr="0026419F" w14:paraId="1D3E2E33" w14:textId="77777777" w:rsidTr="0026419F">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E65C6" w14:textId="77777777" w:rsidR="0026419F" w:rsidRPr="0026419F" w:rsidRDefault="0026419F" w:rsidP="0026419F">
            <w:pPr>
              <w:spacing w:line="256" w:lineRule="auto"/>
              <w:rPr>
                <w:rFonts w:ascii="Arial" w:eastAsia="Aptos" w:hAnsi="Arial" w:cs="Arial"/>
                <w:b/>
                <w:bCs/>
                <w:color w:val="000000"/>
                <w:kern w:val="2"/>
                <w:sz w:val="20"/>
                <w:szCs w:val="20"/>
                <w:lang w:eastAsia="en-US"/>
                <w14:ligatures w14:val="standardContextual"/>
              </w:rPr>
            </w:pPr>
          </w:p>
        </w:tc>
        <w:tc>
          <w:tcPr>
            <w:tcW w:w="8400" w:type="dxa"/>
            <w:gridSpan w:val="5"/>
            <w:tcBorders>
              <w:top w:val="single" w:sz="4" w:space="0" w:color="auto"/>
              <w:left w:val="single" w:sz="4" w:space="0" w:color="auto"/>
              <w:bottom w:val="single" w:sz="4" w:space="0" w:color="auto"/>
              <w:right w:val="single" w:sz="4" w:space="0" w:color="auto"/>
            </w:tcBorders>
            <w:vAlign w:val="center"/>
            <w:hideMark/>
          </w:tcPr>
          <w:p w14:paraId="7C53284E" w14:textId="77777777" w:rsidR="0026419F" w:rsidRPr="0026419F" w:rsidRDefault="0026419F" w:rsidP="0026419F">
            <w:pPr>
              <w:spacing w:line="256" w:lineRule="auto"/>
              <w:jc w:val="both"/>
              <w:rPr>
                <w:rFonts w:ascii="Arial" w:eastAsia="Calibri" w:hAnsi="Arial" w:cs="Arial"/>
                <w:color w:val="000000"/>
                <w:kern w:val="2"/>
                <w:sz w:val="20"/>
                <w:szCs w:val="20"/>
                <w:lang w:eastAsia="en-US"/>
                <w14:ligatures w14:val="standardContextual"/>
              </w:rPr>
            </w:pPr>
            <w:r w:rsidRPr="0026419F">
              <w:rPr>
                <w:rFonts w:ascii="Arial" w:eastAsia="Calibri" w:hAnsi="Arial" w:cs="Arial"/>
                <w:color w:val="000000"/>
                <w:kern w:val="2"/>
                <w:sz w:val="20"/>
                <w:szCs w:val="20"/>
                <w:lang w:eastAsia="en-US"/>
                <w14:ligatures w14:val="standardContextual"/>
              </w:rPr>
              <w:t>Kod ovog projekta predloženo je smanjenje iznosa za izgradnju parka kako bi se isti uskladili  sa dinamikom ostvarenja pojedinih prihoda iz kojih su planirani projekt financira, a to je prije svega sredstva komunalnog doprinosa, dodatno se radi na reviziji samog projekta i sagledavanju optimalnosti ulaganja i potreba građana.</w:t>
            </w:r>
          </w:p>
        </w:tc>
      </w:tr>
      <w:tr w:rsidR="0026419F" w:rsidRPr="0026419F" w14:paraId="571EEF7E" w14:textId="77777777" w:rsidTr="0026419F">
        <w:trPr>
          <w:trHeight w:val="508"/>
        </w:trPr>
        <w:tc>
          <w:tcPr>
            <w:tcW w:w="559" w:type="dxa"/>
            <w:vMerge w:val="restart"/>
            <w:tcBorders>
              <w:top w:val="single" w:sz="4" w:space="0" w:color="auto"/>
              <w:left w:val="single" w:sz="4" w:space="0" w:color="auto"/>
              <w:bottom w:val="single" w:sz="4" w:space="0" w:color="auto"/>
              <w:right w:val="single" w:sz="4" w:space="0" w:color="auto"/>
            </w:tcBorders>
            <w:hideMark/>
          </w:tcPr>
          <w:p w14:paraId="757F29B9" w14:textId="77777777" w:rsidR="0026419F" w:rsidRPr="0026419F" w:rsidRDefault="0026419F" w:rsidP="0026419F">
            <w:pPr>
              <w:spacing w:after="160" w:line="256" w:lineRule="auto"/>
              <w:jc w:val="center"/>
              <w:rPr>
                <w:rFonts w:ascii="Arial" w:eastAsia="Aptos" w:hAnsi="Arial" w:cs="Arial"/>
                <w:b/>
                <w:bCs/>
                <w:color w:val="000000"/>
                <w:kern w:val="2"/>
                <w:sz w:val="20"/>
                <w:szCs w:val="20"/>
                <w:lang w:eastAsia="en-US"/>
                <w14:ligatures w14:val="standardContextual"/>
              </w:rPr>
            </w:pPr>
            <w:r w:rsidRPr="0026419F">
              <w:rPr>
                <w:rFonts w:ascii="Arial" w:eastAsia="Aptos" w:hAnsi="Arial" w:cs="Arial"/>
                <w:b/>
                <w:bCs/>
                <w:color w:val="000000"/>
                <w:kern w:val="2"/>
                <w:sz w:val="20"/>
                <w:szCs w:val="20"/>
                <w:lang w:eastAsia="en-US"/>
                <w14:ligatures w14:val="standardContextual"/>
              </w:rPr>
              <w:t>7.</w:t>
            </w:r>
          </w:p>
        </w:tc>
        <w:tc>
          <w:tcPr>
            <w:tcW w:w="1755" w:type="dxa"/>
            <w:tcBorders>
              <w:top w:val="single" w:sz="4" w:space="0" w:color="auto"/>
              <w:left w:val="single" w:sz="4" w:space="0" w:color="auto"/>
              <w:bottom w:val="single" w:sz="4" w:space="0" w:color="auto"/>
              <w:right w:val="single" w:sz="4" w:space="0" w:color="auto"/>
            </w:tcBorders>
            <w:vAlign w:val="center"/>
            <w:hideMark/>
          </w:tcPr>
          <w:p w14:paraId="2A709E30"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Kapitalni projekt K300060</w:t>
            </w:r>
          </w:p>
        </w:tc>
        <w:tc>
          <w:tcPr>
            <w:tcW w:w="2231" w:type="dxa"/>
            <w:tcBorders>
              <w:top w:val="single" w:sz="4" w:space="0" w:color="auto"/>
              <w:left w:val="single" w:sz="4" w:space="0" w:color="auto"/>
              <w:bottom w:val="single" w:sz="4" w:space="0" w:color="auto"/>
              <w:right w:val="single" w:sz="4" w:space="0" w:color="auto"/>
            </w:tcBorders>
            <w:vAlign w:val="center"/>
            <w:hideMark/>
          </w:tcPr>
          <w:p w14:paraId="3D715434"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 xml:space="preserve">Nerazvrstana cesta NC 43.02. - pristupna prometnica UPPV Breg   </w:t>
            </w:r>
          </w:p>
        </w:tc>
        <w:tc>
          <w:tcPr>
            <w:tcW w:w="1438" w:type="dxa"/>
            <w:tcBorders>
              <w:top w:val="single" w:sz="4" w:space="0" w:color="auto"/>
              <w:left w:val="single" w:sz="4" w:space="0" w:color="auto"/>
              <w:bottom w:val="single" w:sz="4" w:space="0" w:color="auto"/>
              <w:right w:val="single" w:sz="4" w:space="0" w:color="auto"/>
            </w:tcBorders>
            <w:vAlign w:val="center"/>
            <w:hideMark/>
          </w:tcPr>
          <w:p w14:paraId="3FB834A5"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0,00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8C86B0C"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5.969,00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5BBF5B50"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5.969,00</w:t>
            </w:r>
          </w:p>
        </w:tc>
      </w:tr>
      <w:tr w:rsidR="0026419F" w:rsidRPr="0026419F" w14:paraId="24F14B11" w14:textId="77777777" w:rsidTr="0026419F">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D69009" w14:textId="77777777" w:rsidR="0026419F" w:rsidRPr="0026419F" w:rsidRDefault="0026419F" w:rsidP="0026419F">
            <w:pPr>
              <w:spacing w:line="256" w:lineRule="auto"/>
              <w:rPr>
                <w:rFonts w:ascii="Arial" w:eastAsia="Aptos" w:hAnsi="Arial" w:cs="Arial"/>
                <w:b/>
                <w:bCs/>
                <w:color w:val="000000"/>
                <w:kern w:val="2"/>
                <w:sz w:val="20"/>
                <w:szCs w:val="20"/>
                <w:lang w:eastAsia="en-US"/>
                <w14:ligatures w14:val="standardContextual"/>
              </w:rPr>
            </w:pPr>
          </w:p>
        </w:tc>
        <w:tc>
          <w:tcPr>
            <w:tcW w:w="8400" w:type="dxa"/>
            <w:gridSpan w:val="5"/>
            <w:tcBorders>
              <w:top w:val="single" w:sz="4" w:space="0" w:color="auto"/>
              <w:left w:val="single" w:sz="4" w:space="0" w:color="auto"/>
              <w:bottom w:val="single" w:sz="4" w:space="0" w:color="auto"/>
              <w:right w:val="single" w:sz="4" w:space="0" w:color="auto"/>
            </w:tcBorders>
            <w:vAlign w:val="center"/>
            <w:hideMark/>
          </w:tcPr>
          <w:p w14:paraId="3A608C40" w14:textId="77777777" w:rsidR="0026419F" w:rsidRPr="0026419F" w:rsidRDefault="0026419F" w:rsidP="0026419F">
            <w:pPr>
              <w:spacing w:line="256" w:lineRule="auto"/>
              <w:jc w:val="both"/>
              <w:rPr>
                <w:rFonts w:ascii="Arial" w:eastAsia="Calibri" w:hAnsi="Arial" w:cs="Arial"/>
                <w:color w:val="000000"/>
                <w:kern w:val="2"/>
                <w:sz w:val="20"/>
                <w:szCs w:val="20"/>
                <w:lang w:eastAsia="en-US"/>
                <w14:ligatures w14:val="standardContextual"/>
              </w:rPr>
            </w:pPr>
            <w:r w:rsidRPr="0026419F">
              <w:rPr>
                <w:rFonts w:ascii="Arial" w:eastAsia="Calibri" w:hAnsi="Arial" w:cs="Arial"/>
                <w:color w:val="000000"/>
                <w:kern w:val="2"/>
                <w:sz w:val="20"/>
                <w:szCs w:val="20"/>
                <w:lang w:eastAsia="en-US"/>
                <w14:ligatures w14:val="standardContextual"/>
              </w:rPr>
              <w:t>Predlaže se uključivanje novog projekta pristupne prometnice do UPPV Breg u  Program izgradnje komunalne infrastrukture. Navedenom prometnicom Vodovod Pula-Labin d.o.o. osigurava pristup do UPPV Breg koji se planira u sklopu aglomeracije Labina. Da bi se moglo nastaviti sa postupkom koji bi rezultirao sklapanjem Ugovora o izradi projektne dokumentacije predmetne komunalne infrastrukture taj projekt mora biti planiran u Proračunu.</w:t>
            </w:r>
            <w:r w:rsidRPr="0026419F">
              <w:rPr>
                <w:rFonts w:ascii="Calibri" w:eastAsia="Calibri" w:hAnsi="Calibri"/>
                <w:color w:val="000000"/>
                <w:kern w:val="2"/>
                <w:szCs w:val="22"/>
                <w:lang w:eastAsia="en-US"/>
                <w14:ligatures w14:val="standardContextual"/>
              </w:rPr>
              <w:t xml:space="preserve"> </w:t>
            </w:r>
            <w:r w:rsidRPr="0026419F">
              <w:rPr>
                <w:rFonts w:ascii="Arial" w:eastAsia="Calibri" w:hAnsi="Arial" w:cs="Arial"/>
                <w:color w:val="000000"/>
                <w:kern w:val="2"/>
                <w:sz w:val="20"/>
                <w:szCs w:val="20"/>
                <w:lang w:eastAsia="en-US"/>
                <w14:ligatures w14:val="standardContextual"/>
              </w:rPr>
              <w:t>Predloženi iznos predstavlja vrijednost usluge izrade projektne dokumentacije. U sljedećem koraku se  prijedlog ugovora dostavlja Gradskom vijeću na razmatranje i usvajanje.</w:t>
            </w:r>
          </w:p>
        </w:tc>
      </w:tr>
      <w:tr w:rsidR="0026419F" w:rsidRPr="0026419F" w14:paraId="285E7360" w14:textId="77777777" w:rsidTr="0026419F">
        <w:trPr>
          <w:trHeight w:val="508"/>
        </w:trPr>
        <w:tc>
          <w:tcPr>
            <w:tcW w:w="559" w:type="dxa"/>
            <w:vMerge w:val="restart"/>
            <w:tcBorders>
              <w:top w:val="single" w:sz="4" w:space="0" w:color="auto"/>
              <w:left w:val="single" w:sz="4" w:space="0" w:color="auto"/>
              <w:bottom w:val="single" w:sz="4" w:space="0" w:color="auto"/>
              <w:right w:val="single" w:sz="4" w:space="0" w:color="auto"/>
            </w:tcBorders>
            <w:hideMark/>
          </w:tcPr>
          <w:p w14:paraId="57D9A085" w14:textId="77777777" w:rsidR="0026419F" w:rsidRPr="0026419F" w:rsidRDefault="0026419F" w:rsidP="0026419F">
            <w:pPr>
              <w:spacing w:after="160" w:line="256" w:lineRule="auto"/>
              <w:jc w:val="center"/>
              <w:rPr>
                <w:rFonts w:ascii="Arial" w:eastAsia="Aptos" w:hAnsi="Arial" w:cs="Arial"/>
                <w:b/>
                <w:bCs/>
                <w:color w:val="000000"/>
                <w:kern w:val="2"/>
                <w:sz w:val="20"/>
                <w:szCs w:val="20"/>
                <w:lang w:eastAsia="en-US"/>
                <w14:ligatures w14:val="standardContextual"/>
              </w:rPr>
            </w:pPr>
            <w:r w:rsidRPr="0026419F">
              <w:rPr>
                <w:rFonts w:ascii="Arial" w:eastAsia="Aptos" w:hAnsi="Arial" w:cs="Arial"/>
                <w:b/>
                <w:bCs/>
                <w:color w:val="000000"/>
                <w:kern w:val="2"/>
                <w:sz w:val="20"/>
                <w:szCs w:val="20"/>
                <w:lang w:eastAsia="en-US"/>
                <w14:ligatures w14:val="standardContextual"/>
              </w:rPr>
              <w:t>8.</w:t>
            </w:r>
          </w:p>
        </w:tc>
        <w:tc>
          <w:tcPr>
            <w:tcW w:w="1755" w:type="dxa"/>
            <w:tcBorders>
              <w:top w:val="single" w:sz="4" w:space="0" w:color="auto"/>
              <w:left w:val="single" w:sz="4" w:space="0" w:color="auto"/>
              <w:bottom w:val="single" w:sz="4" w:space="0" w:color="auto"/>
              <w:right w:val="single" w:sz="4" w:space="0" w:color="auto"/>
            </w:tcBorders>
            <w:vAlign w:val="center"/>
            <w:hideMark/>
          </w:tcPr>
          <w:p w14:paraId="52EFE3E2"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Kapitalni projekt K300061</w:t>
            </w:r>
          </w:p>
        </w:tc>
        <w:tc>
          <w:tcPr>
            <w:tcW w:w="2231" w:type="dxa"/>
            <w:tcBorders>
              <w:top w:val="single" w:sz="4" w:space="0" w:color="auto"/>
              <w:left w:val="single" w:sz="4" w:space="0" w:color="auto"/>
              <w:bottom w:val="single" w:sz="4" w:space="0" w:color="auto"/>
              <w:right w:val="single" w:sz="4" w:space="0" w:color="auto"/>
            </w:tcBorders>
            <w:vAlign w:val="center"/>
            <w:hideMark/>
          </w:tcPr>
          <w:p w14:paraId="58063F93"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Nerazvrstana cesta NC 16.15  -pristupna prometnica UPOV Rabac</w:t>
            </w:r>
          </w:p>
        </w:tc>
        <w:tc>
          <w:tcPr>
            <w:tcW w:w="1438" w:type="dxa"/>
            <w:tcBorders>
              <w:top w:val="single" w:sz="4" w:space="0" w:color="auto"/>
              <w:left w:val="single" w:sz="4" w:space="0" w:color="auto"/>
              <w:bottom w:val="single" w:sz="4" w:space="0" w:color="auto"/>
              <w:right w:val="single" w:sz="4" w:space="0" w:color="auto"/>
            </w:tcBorders>
            <w:vAlign w:val="center"/>
            <w:hideMark/>
          </w:tcPr>
          <w:p w14:paraId="02C1C884"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0,00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F3628D2"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15.557,00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3BC8FB53"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15.557,00</w:t>
            </w:r>
          </w:p>
        </w:tc>
      </w:tr>
      <w:tr w:rsidR="0026419F" w:rsidRPr="0026419F" w14:paraId="188A895B" w14:textId="77777777" w:rsidTr="0026419F">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7CE3A5" w14:textId="77777777" w:rsidR="0026419F" w:rsidRPr="0026419F" w:rsidRDefault="0026419F" w:rsidP="0026419F">
            <w:pPr>
              <w:spacing w:line="256" w:lineRule="auto"/>
              <w:rPr>
                <w:rFonts w:ascii="Arial" w:eastAsia="Aptos" w:hAnsi="Arial" w:cs="Arial"/>
                <w:b/>
                <w:bCs/>
                <w:color w:val="000000"/>
                <w:kern w:val="2"/>
                <w:sz w:val="20"/>
                <w:szCs w:val="20"/>
                <w:lang w:eastAsia="en-US"/>
                <w14:ligatures w14:val="standardContextual"/>
              </w:rPr>
            </w:pPr>
          </w:p>
        </w:tc>
        <w:tc>
          <w:tcPr>
            <w:tcW w:w="8400" w:type="dxa"/>
            <w:gridSpan w:val="5"/>
            <w:tcBorders>
              <w:top w:val="single" w:sz="4" w:space="0" w:color="auto"/>
              <w:left w:val="single" w:sz="4" w:space="0" w:color="auto"/>
              <w:bottom w:val="single" w:sz="4" w:space="0" w:color="auto"/>
              <w:right w:val="single" w:sz="4" w:space="0" w:color="auto"/>
            </w:tcBorders>
            <w:vAlign w:val="center"/>
            <w:hideMark/>
          </w:tcPr>
          <w:p w14:paraId="34360C81" w14:textId="77777777" w:rsidR="0026419F" w:rsidRPr="0026419F" w:rsidRDefault="0026419F" w:rsidP="0026419F">
            <w:pPr>
              <w:spacing w:line="256" w:lineRule="auto"/>
              <w:jc w:val="both"/>
              <w:rPr>
                <w:rFonts w:ascii="Arial" w:eastAsia="Calibri" w:hAnsi="Arial" w:cs="Arial"/>
                <w:color w:val="000000"/>
                <w:kern w:val="2"/>
                <w:sz w:val="20"/>
                <w:szCs w:val="20"/>
                <w:lang w:eastAsia="en-US"/>
                <w14:ligatures w14:val="standardContextual"/>
              </w:rPr>
            </w:pPr>
            <w:r w:rsidRPr="0026419F">
              <w:rPr>
                <w:rFonts w:ascii="Arial" w:eastAsia="Calibri" w:hAnsi="Arial" w:cs="Arial"/>
                <w:color w:val="000000"/>
                <w:kern w:val="2"/>
                <w:sz w:val="20"/>
                <w:szCs w:val="20"/>
                <w:lang w:eastAsia="en-US"/>
                <w14:ligatures w14:val="standardContextual"/>
              </w:rPr>
              <w:t>Predlaže se uključivanje novog projekta pristupne prometnice do UPOV Rabac u  Program izgradnje komunalne infrastrukture. Navedenom prometnicom Vodovod Pula-Labin d.o.o. osigurava pristup do UPOV Rabac koji se planira u sklopu aglomeracije Labina. Da bi se moglo nastaviti sa postupkom koji bi rezultirao sklapanjem Ugovora o izradi projektne dokumentacije predmetne komunalne infrastrukture taj projekt mora biti planiran u Proračunu. Predloženi iznos predstavlja vrijednost usluge izrade projektne dokumentacije. U sljedećem koraku se  prijedlog ugovora dostavlja Gradskom vijeću na razmatranje i usvajanje.</w:t>
            </w:r>
          </w:p>
        </w:tc>
      </w:tr>
    </w:tbl>
    <w:p w14:paraId="15C42F65" w14:textId="77777777" w:rsidR="0026419F" w:rsidRPr="0026419F" w:rsidRDefault="0026419F" w:rsidP="0026419F">
      <w:pPr>
        <w:rPr>
          <w:rFonts w:ascii="Calibri" w:eastAsia="Calibri" w:hAnsi="Calibri"/>
          <w:color w:val="000000"/>
          <w:sz w:val="22"/>
          <w:szCs w:val="22"/>
          <w:lang w:eastAsia="en-US"/>
        </w:rPr>
      </w:pPr>
    </w:p>
    <w:p w14:paraId="225AE62C" w14:textId="77777777" w:rsidR="0026419F" w:rsidRPr="0026419F" w:rsidRDefault="0026419F" w:rsidP="0026419F">
      <w:pPr>
        <w:spacing w:after="160"/>
        <w:jc w:val="both"/>
        <w:rPr>
          <w:rFonts w:ascii="Arial" w:eastAsia="Aptos" w:hAnsi="Arial" w:cs="Arial"/>
          <w:b/>
          <w:color w:val="000000"/>
          <w:sz w:val="22"/>
          <w:szCs w:val="22"/>
          <w:u w:val="single"/>
          <w:lang w:val="en-GB" w:eastAsia="en-US"/>
        </w:rPr>
      </w:pPr>
      <w:proofErr w:type="spellStart"/>
      <w:r w:rsidRPr="0026419F">
        <w:rPr>
          <w:rFonts w:ascii="Arial" w:eastAsia="Aptos" w:hAnsi="Arial" w:cs="Arial"/>
          <w:b/>
          <w:color w:val="000000"/>
          <w:sz w:val="22"/>
          <w:szCs w:val="22"/>
          <w:u w:val="single"/>
          <w:lang w:val="en-GB" w:eastAsia="en-US"/>
        </w:rPr>
        <w:lastRenderedPageBreak/>
        <w:t>Pokazatelj</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uspješnosti</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i</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mogući</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rizici</w:t>
      </w:r>
      <w:proofErr w:type="spellEnd"/>
      <w:r w:rsidRPr="0026419F">
        <w:rPr>
          <w:rFonts w:ascii="Arial" w:eastAsia="Aptos" w:hAnsi="Arial" w:cs="Arial"/>
          <w:b/>
          <w:color w:val="000000"/>
          <w:sz w:val="22"/>
          <w:szCs w:val="22"/>
          <w:u w:val="single"/>
          <w:lang w:val="en-GB" w:eastAsia="en-US"/>
        </w:rPr>
        <w:t xml:space="preserve">: </w:t>
      </w:r>
    </w:p>
    <w:p w14:paraId="143CED78" w14:textId="77777777" w:rsidR="0026419F" w:rsidRPr="0026419F" w:rsidRDefault="0026419F" w:rsidP="003421A7">
      <w:pPr>
        <w:spacing w:line="259" w:lineRule="auto"/>
        <w:jc w:val="both"/>
        <w:rPr>
          <w:rFonts w:ascii="Arial" w:eastAsia="Aptos" w:hAnsi="Arial" w:cs="Arial"/>
          <w:color w:val="000000"/>
          <w:sz w:val="22"/>
          <w:szCs w:val="22"/>
          <w:lang w:val="en-GB" w:eastAsia="en-US"/>
        </w:rPr>
      </w:pPr>
      <w:proofErr w:type="spellStart"/>
      <w:r w:rsidRPr="0026419F">
        <w:rPr>
          <w:rFonts w:ascii="Arial" w:eastAsia="Aptos" w:hAnsi="Arial" w:cs="Arial"/>
          <w:color w:val="000000"/>
          <w:sz w:val="22"/>
          <w:szCs w:val="22"/>
          <w:lang w:val="en-GB" w:eastAsia="en-US"/>
        </w:rPr>
        <w:t>Uspješnost</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realizacije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kapitalnih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projekata</w:t>
      </w:r>
      <w:proofErr w:type="spellEnd"/>
      <w:r w:rsidRPr="0026419F">
        <w:rPr>
          <w:rFonts w:ascii="Arial" w:eastAsia="Aptos" w:hAnsi="Arial" w:cs="Arial"/>
          <w:color w:val="000000"/>
          <w:sz w:val="22"/>
          <w:szCs w:val="22"/>
          <w:lang w:val="en-GB" w:eastAsia="en-US"/>
        </w:rPr>
        <w:t xml:space="preserve"> u </w:t>
      </w:r>
      <w:proofErr w:type="spellStart"/>
      <w:r w:rsidRPr="0026419F">
        <w:rPr>
          <w:rFonts w:ascii="Arial" w:eastAsia="Aptos" w:hAnsi="Arial" w:cs="Arial"/>
          <w:color w:val="000000"/>
          <w:sz w:val="22"/>
          <w:szCs w:val="22"/>
          <w:lang w:val="en-GB" w:eastAsia="en-US"/>
        </w:rPr>
        <w:t>okviru</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ovog</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programa</w:t>
      </w:r>
      <w:proofErr w:type="spellEnd"/>
      <w:r w:rsidRPr="0026419F">
        <w:rPr>
          <w:rFonts w:ascii="Arial" w:eastAsia="Aptos" w:hAnsi="Arial" w:cs="Arial"/>
          <w:color w:val="000000"/>
          <w:sz w:val="22"/>
          <w:szCs w:val="22"/>
          <w:lang w:val="en-GB" w:eastAsia="en-US"/>
        </w:rPr>
        <w:t xml:space="preserve"> se </w:t>
      </w:r>
      <w:proofErr w:type="spellStart"/>
      <w:r w:rsidRPr="0026419F">
        <w:rPr>
          <w:rFonts w:ascii="Arial" w:eastAsia="Aptos" w:hAnsi="Arial" w:cs="Arial"/>
          <w:color w:val="000000"/>
          <w:sz w:val="22"/>
          <w:szCs w:val="22"/>
          <w:lang w:val="en-GB" w:eastAsia="en-US"/>
        </w:rPr>
        <w:t>iskazuje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kroz</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njihovo</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izvršenje</w:t>
      </w:r>
      <w:proofErr w:type="spellEnd"/>
      <w:r w:rsidRPr="0026419F">
        <w:rPr>
          <w:rFonts w:ascii="Arial" w:eastAsia="Aptos" w:hAnsi="Arial" w:cs="Arial"/>
          <w:color w:val="000000"/>
          <w:sz w:val="22"/>
          <w:szCs w:val="22"/>
          <w:lang w:val="en-GB" w:eastAsia="en-US"/>
        </w:rPr>
        <w:t xml:space="preserve"> do </w:t>
      </w:r>
      <w:proofErr w:type="spellStart"/>
      <w:r w:rsidRPr="0026419F">
        <w:rPr>
          <w:rFonts w:ascii="Arial" w:eastAsia="Aptos" w:hAnsi="Arial" w:cs="Arial"/>
          <w:color w:val="000000"/>
          <w:sz w:val="22"/>
          <w:szCs w:val="22"/>
          <w:lang w:val="en-GB" w:eastAsia="en-US"/>
        </w:rPr>
        <w:t>kraja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proračunske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godine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kroz</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dizanje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standarda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opremljenosti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komunalnom</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infrastrukturom</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gradskih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aglomeracija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ruralnog</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područja</w:t>
      </w:r>
      <w:proofErr w:type="spellEnd"/>
      <w:r w:rsidRPr="0026419F">
        <w:rPr>
          <w:rFonts w:ascii="Arial" w:eastAsia="Aptos" w:hAnsi="Arial" w:cs="Arial"/>
          <w:color w:val="000000"/>
          <w:sz w:val="22"/>
          <w:szCs w:val="22"/>
          <w:lang w:val="en-GB" w:eastAsia="en-US"/>
        </w:rPr>
        <w:t xml:space="preserve"> Grada Labina. </w:t>
      </w:r>
      <w:proofErr w:type="spellStart"/>
      <w:r w:rsidRPr="0026419F">
        <w:rPr>
          <w:rFonts w:ascii="Arial" w:eastAsia="Aptos" w:hAnsi="Arial" w:cs="Arial"/>
          <w:color w:val="000000"/>
          <w:sz w:val="22"/>
          <w:szCs w:val="22"/>
          <w:lang w:val="en-GB" w:eastAsia="en-US"/>
        </w:rPr>
        <w:t>Mogući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rizici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kod</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izvršenja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ovih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kapitalnih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projekata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su</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rokovi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provedbe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postupaka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javne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nabave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rješavanje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imovinsko</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pravnih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odnosa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ishođenja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potrebnih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akata</w:t>
      </w:r>
      <w:proofErr w:type="spellEnd"/>
      <w:r w:rsidRPr="0026419F">
        <w:rPr>
          <w:rFonts w:ascii="Arial" w:eastAsia="Aptos" w:hAnsi="Arial" w:cs="Arial"/>
          <w:color w:val="000000"/>
          <w:sz w:val="22"/>
          <w:szCs w:val="22"/>
          <w:lang w:val="en-GB" w:eastAsia="en-US"/>
        </w:rPr>
        <w:t xml:space="preserve"> o </w:t>
      </w:r>
      <w:proofErr w:type="spellStart"/>
      <w:r w:rsidRPr="0026419F">
        <w:rPr>
          <w:rFonts w:ascii="Arial" w:eastAsia="Aptos" w:hAnsi="Arial" w:cs="Arial"/>
          <w:color w:val="000000"/>
          <w:sz w:val="22"/>
          <w:szCs w:val="22"/>
          <w:lang w:val="en-GB" w:eastAsia="en-US"/>
        </w:rPr>
        <w:t>gradnji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gdje</w:t>
      </w:r>
      <w:proofErr w:type="spellEnd"/>
      <w:r w:rsidRPr="0026419F">
        <w:rPr>
          <w:rFonts w:ascii="Arial" w:eastAsia="Aptos" w:hAnsi="Arial" w:cs="Arial"/>
          <w:color w:val="000000"/>
          <w:sz w:val="22"/>
          <w:szCs w:val="22"/>
          <w:lang w:val="en-GB" w:eastAsia="en-US"/>
        </w:rPr>
        <w:t xml:space="preserve"> se </w:t>
      </w:r>
      <w:proofErr w:type="spellStart"/>
      <w:r w:rsidRPr="0026419F">
        <w:rPr>
          <w:rFonts w:ascii="Arial" w:eastAsia="Aptos" w:hAnsi="Arial" w:cs="Arial"/>
          <w:color w:val="000000"/>
          <w:sz w:val="22"/>
          <w:szCs w:val="22"/>
          <w:lang w:val="en-GB" w:eastAsia="en-US"/>
        </w:rPr>
        <w:t>mogu</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pojaviti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žalbeni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postupci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pokrenuti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od</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strane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stranaka</w:t>
      </w:r>
      <w:proofErr w:type="spellEnd"/>
      <w:r w:rsidRPr="0026419F">
        <w:rPr>
          <w:rFonts w:ascii="Arial" w:eastAsia="Aptos" w:hAnsi="Arial" w:cs="Arial"/>
          <w:color w:val="000000"/>
          <w:sz w:val="22"/>
          <w:szCs w:val="22"/>
          <w:lang w:val="en-GB" w:eastAsia="en-US"/>
        </w:rPr>
        <w:t xml:space="preserve"> u </w:t>
      </w:r>
      <w:proofErr w:type="spellStart"/>
      <w:r w:rsidRPr="0026419F">
        <w:rPr>
          <w:rFonts w:ascii="Arial" w:eastAsia="Aptos" w:hAnsi="Arial" w:cs="Arial"/>
          <w:color w:val="000000"/>
          <w:sz w:val="22"/>
          <w:szCs w:val="22"/>
          <w:lang w:val="en-GB" w:eastAsia="en-US"/>
        </w:rPr>
        <w:t>tim</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postupcima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kao</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poštivanje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rokova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od</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strane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svih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onih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javno</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pravnih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tijela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koja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sudjeluju</w:t>
      </w:r>
      <w:proofErr w:type="spellEnd"/>
      <w:r w:rsidRPr="0026419F">
        <w:rPr>
          <w:rFonts w:ascii="Arial" w:eastAsia="Aptos" w:hAnsi="Arial" w:cs="Arial"/>
          <w:color w:val="000000"/>
          <w:sz w:val="22"/>
          <w:szCs w:val="22"/>
          <w:lang w:val="en-GB" w:eastAsia="en-US"/>
        </w:rPr>
        <w:t xml:space="preserve"> u </w:t>
      </w:r>
      <w:proofErr w:type="spellStart"/>
      <w:r w:rsidRPr="0026419F">
        <w:rPr>
          <w:rFonts w:ascii="Arial" w:eastAsia="Aptos" w:hAnsi="Arial" w:cs="Arial"/>
          <w:color w:val="000000"/>
          <w:sz w:val="22"/>
          <w:szCs w:val="22"/>
          <w:lang w:val="en-GB" w:eastAsia="en-US"/>
        </w:rPr>
        <w:t>tim</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postupcima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Žalbeni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postupci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kod</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akata</w:t>
      </w:r>
      <w:proofErr w:type="spellEnd"/>
      <w:r w:rsidRPr="0026419F">
        <w:rPr>
          <w:rFonts w:ascii="Arial" w:eastAsia="Aptos" w:hAnsi="Arial" w:cs="Arial"/>
          <w:color w:val="000000"/>
          <w:sz w:val="22"/>
          <w:szCs w:val="22"/>
          <w:lang w:val="en-GB" w:eastAsia="en-US"/>
        </w:rPr>
        <w:t xml:space="preserve"> o </w:t>
      </w:r>
      <w:proofErr w:type="spellStart"/>
      <w:r w:rsidRPr="0026419F">
        <w:rPr>
          <w:rFonts w:ascii="Arial" w:eastAsia="Aptos" w:hAnsi="Arial" w:cs="Arial"/>
          <w:color w:val="000000"/>
          <w:sz w:val="22"/>
          <w:szCs w:val="22"/>
          <w:lang w:val="en-GB" w:eastAsia="en-US"/>
        </w:rPr>
        <w:t>gradnji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w:t>
      </w:r>
      <w:proofErr w:type="spellStart"/>
      <w:r w:rsidRPr="0026419F">
        <w:rPr>
          <w:rFonts w:ascii="Arial" w:eastAsia="Aptos" w:hAnsi="Arial" w:cs="Arial"/>
          <w:color w:val="000000"/>
          <w:sz w:val="22"/>
          <w:szCs w:val="22"/>
          <w:lang w:val="en-GB" w:eastAsia="en-US"/>
        </w:rPr>
        <w:t>ili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postupcima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javne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nabave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kao</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rokovi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provedbe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postupanja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kod</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pojedinih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javno</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pravnih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tijela</w:t>
      </w:r>
      <w:proofErr w:type="spellEnd"/>
      <w:r w:rsidRPr="0026419F">
        <w:rPr>
          <w:rFonts w:ascii="Arial" w:eastAsia="Aptos" w:hAnsi="Arial" w:cs="Arial"/>
          <w:color w:val="000000"/>
          <w:sz w:val="22"/>
          <w:szCs w:val="22"/>
          <w:lang w:val="en-GB" w:eastAsia="en-US"/>
        </w:rPr>
        <w:t xml:space="preserve"> u </w:t>
      </w:r>
      <w:proofErr w:type="spellStart"/>
      <w:r w:rsidRPr="0026419F">
        <w:rPr>
          <w:rFonts w:ascii="Arial" w:eastAsia="Aptos" w:hAnsi="Arial" w:cs="Arial"/>
          <w:color w:val="000000"/>
          <w:sz w:val="22"/>
          <w:szCs w:val="22"/>
          <w:lang w:val="en-GB" w:eastAsia="en-US"/>
        </w:rPr>
        <w:t>bitnome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utječu</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rokove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izvršenja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samog</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projekta</w:t>
      </w:r>
      <w:proofErr w:type="spellEnd"/>
      <w:r w:rsidRPr="0026419F">
        <w:rPr>
          <w:rFonts w:ascii="Arial" w:eastAsia="Aptos" w:hAnsi="Arial" w:cs="Arial"/>
          <w:color w:val="000000"/>
          <w:sz w:val="22"/>
          <w:szCs w:val="22"/>
          <w:lang w:val="en-GB" w:eastAsia="en-US"/>
        </w:rPr>
        <w:t>.</w:t>
      </w:r>
    </w:p>
    <w:p w14:paraId="006ED303" w14:textId="77777777" w:rsidR="0026419F" w:rsidRPr="0026419F" w:rsidRDefault="0026419F" w:rsidP="003421A7">
      <w:pPr>
        <w:spacing w:line="259" w:lineRule="auto"/>
        <w:rPr>
          <w:rFonts w:ascii="Calibri" w:eastAsia="Calibri" w:hAnsi="Calibri"/>
          <w:color w:val="000000"/>
          <w:sz w:val="22"/>
          <w:szCs w:val="22"/>
          <w:lang w:eastAsia="en-US"/>
        </w:rPr>
      </w:pPr>
    </w:p>
    <w:p w14:paraId="36A1D955" w14:textId="77777777" w:rsidR="0026419F" w:rsidRPr="0026419F" w:rsidRDefault="0026419F" w:rsidP="003421A7">
      <w:pPr>
        <w:spacing w:line="259" w:lineRule="auto"/>
        <w:rPr>
          <w:rFonts w:ascii="Arial" w:eastAsia="Aptos" w:hAnsi="Arial" w:cs="Arial"/>
          <w:b/>
          <w:bCs/>
          <w:color w:val="000000"/>
          <w:szCs w:val="22"/>
          <w:lang w:eastAsia="en-US"/>
        </w:rPr>
      </w:pPr>
      <w:r w:rsidRPr="0026419F">
        <w:rPr>
          <w:rFonts w:ascii="Arial" w:eastAsia="Aptos" w:hAnsi="Arial" w:cs="Arial"/>
          <w:b/>
          <w:bCs/>
          <w:color w:val="000000"/>
          <w:szCs w:val="22"/>
          <w:lang w:eastAsia="en-US"/>
        </w:rPr>
        <w:t>3. IZGRADNJA GRAĐEVINA JAVNE NAMJENE</w:t>
      </w:r>
    </w:p>
    <w:p w14:paraId="7A1B510B" w14:textId="77777777" w:rsidR="0026419F" w:rsidRDefault="0026419F" w:rsidP="003421A7">
      <w:pPr>
        <w:spacing w:line="259" w:lineRule="auto"/>
        <w:jc w:val="both"/>
        <w:rPr>
          <w:rFonts w:ascii="Arial" w:eastAsia="Aptos" w:hAnsi="Arial" w:cs="Arial"/>
          <w:color w:val="000000"/>
          <w:sz w:val="22"/>
          <w:szCs w:val="22"/>
          <w:lang w:val="en-GB" w:eastAsia="en-US"/>
        </w:rPr>
      </w:pPr>
      <w:proofErr w:type="spellStart"/>
      <w:r w:rsidRPr="0026419F">
        <w:rPr>
          <w:rFonts w:ascii="Arial" w:eastAsia="Aptos" w:hAnsi="Arial" w:cs="Arial"/>
          <w:b/>
          <w:color w:val="000000"/>
          <w:sz w:val="22"/>
          <w:szCs w:val="22"/>
          <w:u w:val="single"/>
          <w:lang w:val="en-GB" w:eastAsia="en-US"/>
        </w:rPr>
        <w:t>Zakonska</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osnova</w:t>
      </w:r>
      <w:proofErr w:type="spellEnd"/>
      <w:r w:rsidRPr="0026419F">
        <w:rPr>
          <w:rFonts w:ascii="Arial" w:eastAsia="Aptos" w:hAnsi="Arial" w:cs="Arial"/>
          <w:b/>
          <w:color w:val="000000"/>
          <w:sz w:val="22"/>
          <w:szCs w:val="22"/>
          <w:u w:val="single"/>
          <w:lang w:val="en-GB" w:eastAsia="en-US"/>
        </w:rPr>
        <w:t>:</w:t>
      </w:r>
      <w:r w:rsidRPr="0026419F">
        <w:rPr>
          <w:rFonts w:ascii="Arial" w:eastAsia="Aptos" w:hAnsi="Arial" w:cs="Arial"/>
          <w:color w:val="000000"/>
          <w:sz w:val="22"/>
          <w:szCs w:val="22"/>
          <w:lang w:val="en-GB" w:eastAsia="en-US"/>
        </w:rPr>
        <w:t xml:space="preserve">  Zakon o </w:t>
      </w:r>
      <w:proofErr w:type="spellStart"/>
      <w:r w:rsidRPr="0026419F">
        <w:rPr>
          <w:rFonts w:ascii="Arial" w:eastAsia="Aptos" w:hAnsi="Arial" w:cs="Arial"/>
          <w:color w:val="000000"/>
          <w:sz w:val="22"/>
          <w:szCs w:val="22"/>
          <w:lang w:val="en-GB" w:eastAsia="en-US"/>
        </w:rPr>
        <w:t>lokalnoj</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područnoj</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regionalnoj</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samoupravi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Narodne</w:t>
      </w:r>
      <w:proofErr w:type="spellEnd"/>
      <w:r w:rsidRPr="0026419F">
        <w:rPr>
          <w:rFonts w:ascii="Arial" w:eastAsia="Aptos" w:hAnsi="Arial" w:cs="Arial"/>
          <w:color w:val="000000"/>
          <w:sz w:val="22"/>
          <w:szCs w:val="22"/>
          <w:lang w:val="en-GB" w:eastAsia="en-US"/>
        </w:rPr>
        <w:t xml:space="preserve"> novine" </w:t>
      </w:r>
      <w:proofErr w:type="spellStart"/>
      <w:r w:rsidRPr="0026419F">
        <w:rPr>
          <w:rFonts w:ascii="Arial" w:eastAsia="Aptos" w:hAnsi="Arial" w:cs="Arial"/>
          <w:color w:val="000000"/>
          <w:sz w:val="22"/>
          <w:szCs w:val="22"/>
          <w:lang w:val="en-GB" w:eastAsia="en-US"/>
        </w:rPr>
        <w:t>broj</w:t>
      </w:r>
      <w:proofErr w:type="spellEnd"/>
      <w:r w:rsidRPr="0026419F">
        <w:rPr>
          <w:rFonts w:ascii="Arial" w:eastAsia="Aptos" w:hAnsi="Arial" w:cs="Arial"/>
          <w:color w:val="000000"/>
          <w:sz w:val="22"/>
          <w:szCs w:val="22"/>
          <w:lang w:val="en-GB" w:eastAsia="en-US"/>
        </w:rPr>
        <w:t xml:space="preserve"> 33/01, 60/01, 129/05, 109/07, 125/08, 36/09, 36/09, 150/11, 144/12, 19/13, 137/15, 123/17, 98/19, 144/20), </w:t>
      </w:r>
      <w:r w:rsidRPr="0026419F">
        <w:rPr>
          <w:rFonts w:ascii="Arial" w:eastAsia="Aptos" w:hAnsi="Arial" w:cs="Arial"/>
          <w:bCs/>
          <w:color w:val="000000"/>
          <w:sz w:val="22"/>
          <w:szCs w:val="22"/>
          <w:lang w:val="en-GB" w:eastAsia="en-US"/>
        </w:rPr>
        <w:t xml:space="preserve">Zakon o </w:t>
      </w:r>
      <w:proofErr w:type="spellStart"/>
      <w:r w:rsidRPr="0026419F">
        <w:rPr>
          <w:rFonts w:ascii="Arial" w:eastAsia="Aptos" w:hAnsi="Arial" w:cs="Arial"/>
          <w:bCs/>
          <w:color w:val="000000"/>
          <w:sz w:val="22"/>
          <w:szCs w:val="22"/>
          <w:lang w:val="en-GB" w:eastAsia="en-US"/>
        </w:rPr>
        <w:t>prostornom</w:t>
      </w:r>
      <w:proofErr w:type="spellEnd"/>
      <w:r w:rsidRPr="0026419F">
        <w:rPr>
          <w:rFonts w:ascii="Arial" w:eastAsia="Aptos" w:hAnsi="Arial" w:cs="Arial"/>
          <w:bCs/>
          <w:color w:val="000000"/>
          <w:sz w:val="22"/>
          <w:szCs w:val="22"/>
          <w:lang w:val="en-GB" w:eastAsia="en-US"/>
        </w:rPr>
        <w:t xml:space="preserve"> </w:t>
      </w:r>
      <w:proofErr w:type="spellStart"/>
      <w:r w:rsidRPr="0026419F">
        <w:rPr>
          <w:rFonts w:ascii="Arial" w:eastAsia="Aptos" w:hAnsi="Arial" w:cs="Arial"/>
          <w:bCs/>
          <w:color w:val="000000"/>
          <w:sz w:val="22"/>
          <w:szCs w:val="22"/>
          <w:lang w:val="en-GB" w:eastAsia="en-US"/>
        </w:rPr>
        <w:t>uređenju</w:t>
      </w:r>
      <w:proofErr w:type="spellEnd"/>
      <w:r w:rsidRPr="0026419F">
        <w:rPr>
          <w:rFonts w:ascii="Arial" w:eastAsia="Aptos" w:hAnsi="Arial" w:cs="Arial"/>
          <w:bCs/>
          <w:color w:val="000000"/>
          <w:sz w:val="22"/>
          <w:szCs w:val="22"/>
          <w:lang w:val="en-GB" w:eastAsia="en-US"/>
        </w:rPr>
        <w:t xml:space="preserve"> (“</w:t>
      </w:r>
      <w:proofErr w:type="spellStart"/>
      <w:r w:rsidRPr="0026419F">
        <w:rPr>
          <w:rFonts w:ascii="Arial" w:eastAsia="Aptos" w:hAnsi="Arial" w:cs="Arial"/>
          <w:bCs/>
          <w:color w:val="000000"/>
          <w:sz w:val="22"/>
          <w:szCs w:val="22"/>
          <w:lang w:val="en-GB" w:eastAsia="en-US"/>
        </w:rPr>
        <w:t>Narodne</w:t>
      </w:r>
      <w:proofErr w:type="spellEnd"/>
      <w:r w:rsidRPr="0026419F">
        <w:rPr>
          <w:rFonts w:ascii="Arial" w:eastAsia="Aptos" w:hAnsi="Arial" w:cs="Arial"/>
          <w:bCs/>
          <w:color w:val="000000"/>
          <w:sz w:val="22"/>
          <w:szCs w:val="22"/>
          <w:lang w:val="en-GB" w:eastAsia="en-US"/>
        </w:rPr>
        <w:t xml:space="preserve"> novine” </w:t>
      </w:r>
      <w:proofErr w:type="spellStart"/>
      <w:r w:rsidRPr="0026419F">
        <w:rPr>
          <w:rFonts w:ascii="Arial" w:eastAsia="Aptos" w:hAnsi="Arial" w:cs="Arial"/>
          <w:bCs/>
          <w:color w:val="000000"/>
          <w:sz w:val="22"/>
          <w:szCs w:val="22"/>
          <w:lang w:val="en-GB" w:eastAsia="en-US"/>
        </w:rPr>
        <w:t>broj</w:t>
      </w:r>
      <w:proofErr w:type="spellEnd"/>
      <w:r w:rsidRPr="0026419F">
        <w:rPr>
          <w:rFonts w:ascii="Arial" w:eastAsia="Aptos" w:hAnsi="Arial" w:cs="Arial"/>
          <w:bCs/>
          <w:color w:val="000000"/>
          <w:sz w:val="22"/>
          <w:szCs w:val="22"/>
          <w:lang w:val="en-GB" w:eastAsia="en-US"/>
        </w:rPr>
        <w:t xml:space="preserve"> 153/13., 65/17., 114/18</w:t>
      </w:r>
      <w:proofErr w:type="gramStart"/>
      <w:r w:rsidRPr="0026419F">
        <w:rPr>
          <w:rFonts w:ascii="Arial" w:eastAsia="Aptos" w:hAnsi="Arial" w:cs="Arial"/>
          <w:bCs/>
          <w:color w:val="000000"/>
          <w:sz w:val="22"/>
          <w:szCs w:val="22"/>
          <w:lang w:val="en-GB" w:eastAsia="en-US"/>
        </w:rPr>
        <w:t xml:space="preserve">.,   </w:t>
      </w:r>
      <w:proofErr w:type="gramEnd"/>
      <w:r w:rsidRPr="0026419F">
        <w:rPr>
          <w:rFonts w:ascii="Arial" w:eastAsia="Aptos" w:hAnsi="Arial" w:cs="Arial"/>
          <w:bCs/>
          <w:color w:val="000000"/>
          <w:sz w:val="22"/>
          <w:szCs w:val="22"/>
          <w:lang w:val="en-GB" w:eastAsia="en-US"/>
        </w:rPr>
        <w:t xml:space="preserve">39/19. </w:t>
      </w:r>
      <w:proofErr w:type="spellStart"/>
      <w:r w:rsidRPr="0026419F">
        <w:rPr>
          <w:rFonts w:ascii="Arial" w:eastAsia="Aptos" w:hAnsi="Arial" w:cs="Arial"/>
          <w:bCs/>
          <w:color w:val="000000"/>
          <w:sz w:val="22"/>
          <w:szCs w:val="22"/>
          <w:lang w:val="en-GB" w:eastAsia="en-US"/>
        </w:rPr>
        <w:t>i</w:t>
      </w:r>
      <w:proofErr w:type="spellEnd"/>
      <w:r w:rsidRPr="0026419F">
        <w:rPr>
          <w:rFonts w:ascii="Arial" w:eastAsia="Aptos" w:hAnsi="Arial" w:cs="Arial"/>
          <w:bCs/>
          <w:color w:val="000000"/>
          <w:sz w:val="22"/>
          <w:szCs w:val="22"/>
          <w:lang w:val="en-GB" w:eastAsia="en-US"/>
        </w:rPr>
        <w:t xml:space="preserve"> 67/23.), Zakon o </w:t>
      </w:r>
      <w:proofErr w:type="spellStart"/>
      <w:r w:rsidRPr="0026419F">
        <w:rPr>
          <w:rFonts w:ascii="Arial" w:eastAsia="Aptos" w:hAnsi="Arial" w:cs="Arial"/>
          <w:bCs/>
          <w:color w:val="000000"/>
          <w:sz w:val="22"/>
          <w:szCs w:val="22"/>
          <w:lang w:val="en-GB" w:eastAsia="en-US"/>
        </w:rPr>
        <w:t>gradnji</w:t>
      </w:r>
      <w:proofErr w:type="spellEnd"/>
      <w:r w:rsidRPr="0026419F">
        <w:rPr>
          <w:rFonts w:ascii="Arial" w:eastAsia="Aptos" w:hAnsi="Arial" w:cs="Arial"/>
          <w:bCs/>
          <w:color w:val="000000"/>
          <w:sz w:val="22"/>
          <w:szCs w:val="22"/>
          <w:lang w:val="en-GB" w:eastAsia="en-US"/>
        </w:rPr>
        <w:t xml:space="preserve"> („</w:t>
      </w:r>
      <w:proofErr w:type="spellStart"/>
      <w:r w:rsidRPr="0026419F">
        <w:rPr>
          <w:rFonts w:ascii="Arial" w:eastAsia="Aptos" w:hAnsi="Arial" w:cs="Arial"/>
          <w:bCs/>
          <w:color w:val="000000"/>
          <w:sz w:val="22"/>
          <w:szCs w:val="22"/>
          <w:lang w:val="en-GB" w:eastAsia="en-US"/>
        </w:rPr>
        <w:t>Narodne</w:t>
      </w:r>
      <w:proofErr w:type="spellEnd"/>
      <w:r w:rsidRPr="0026419F">
        <w:rPr>
          <w:rFonts w:ascii="Arial" w:eastAsia="Aptos" w:hAnsi="Arial" w:cs="Arial"/>
          <w:bCs/>
          <w:color w:val="000000"/>
          <w:sz w:val="22"/>
          <w:szCs w:val="22"/>
          <w:lang w:val="en-GB" w:eastAsia="en-US"/>
        </w:rPr>
        <w:t xml:space="preserve"> </w:t>
      </w:r>
      <w:proofErr w:type="spellStart"/>
      <w:proofErr w:type="gramStart"/>
      <w:r w:rsidRPr="0026419F">
        <w:rPr>
          <w:rFonts w:ascii="Arial" w:eastAsia="Aptos" w:hAnsi="Arial" w:cs="Arial"/>
          <w:bCs/>
          <w:color w:val="000000"/>
          <w:sz w:val="22"/>
          <w:szCs w:val="22"/>
          <w:lang w:val="en-GB" w:eastAsia="en-US"/>
        </w:rPr>
        <w:t>novine“</w:t>
      </w:r>
      <w:proofErr w:type="gramEnd"/>
      <w:r w:rsidRPr="0026419F">
        <w:rPr>
          <w:rFonts w:ascii="Arial" w:eastAsia="Aptos" w:hAnsi="Arial" w:cs="Arial"/>
          <w:bCs/>
          <w:color w:val="000000"/>
          <w:sz w:val="22"/>
          <w:szCs w:val="22"/>
          <w:lang w:val="en-GB" w:eastAsia="en-US"/>
        </w:rPr>
        <w:t>broj</w:t>
      </w:r>
      <w:proofErr w:type="spellEnd"/>
      <w:r w:rsidRPr="0026419F">
        <w:rPr>
          <w:rFonts w:ascii="Arial" w:eastAsia="Aptos" w:hAnsi="Arial" w:cs="Arial"/>
          <w:bCs/>
          <w:color w:val="000000"/>
          <w:sz w:val="22"/>
          <w:szCs w:val="22"/>
          <w:lang w:val="en-GB" w:eastAsia="en-US"/>
        </w:rPr>
        <w:t xml:space="preserve"> 153/13</w:t>
      </w:r>
      <w:proofErr w:type="gramStart"/>
      <w:r w:rsidRPr="0026419F">
        <w:rPr>
          <w:rFonts w:ascii="Arial" w:eastAsia="Aptos" w:hAnsi="Arial" w:cs="Arial"/>
          <w:bCs/>
          <w:color w:val="000000"/>
          <w:sz w:val="22"/>
          <w:szCs w:val="22"/>
          <w:lang w:val="en-GB" w:eastAsia="en-US"/>
        </w:rPr>
        <w:t>. ,</w:t>
      </w:r>
      <w:proofErr w:type="gramEnd"/>
      <w:r w:rsidRPr="0026419F">
        <w:rPr>
          <w:rFonts w:ascii="Arial" w:eastAsia="Aptos" w:hAnsi="Arial" w:cs="Arial"/>
          <w:bCs/>
          <w:color w:val="000000"/>
          <w:sz w:val="22"/>
          <w:szCs w:val="22"/>
          <w:lang w:val="en-GB" w:eastAsia="en-US"/>
        </w:rPr>
        <w:t xml:space="preserve"> 20/17., 39/19. </w:t>
      </w:r>
      <w:proofErr w:type="spellStart"/>
      <w:r w:rsidRPr="0026419F">
        <w:rPr>
          <w:rFonts w:ascii="Arial" w:eastAsia="Aptos" w:hAnsi="Arial" w:cs="Arial"/>
          <w:bCs/>
          <w:color w:val="000000"/>
          <w:sz w:val="22"/>
          <w:szCs w:val="22"/>
          <w:lang w:val="en-GB" w:eastAsia="en-US"/>
        </w:rPr>
        <w:t>i</w:t>
      </w:r>
      <w:proofErr w:type="spellEnd"/>
      <w:r w:rsidRPr="0026419F">
        <w:rPr>
          <w:rFonts w:ascii="Arial" w:eastAsia="Aptos" w:hAnsi="Arial" w:cs="Arial"/>
          <w:bCs/>
          <w:color w:val="000000"/>
          <w:sz w:val="22"/>
          <w:szCs w:val="22"/>
          <w:lang w:val="en-GB" w:eastAsia="en-US"/>
        </w:rPr>
        <w:t xml:space="preserve"> 145/24.)  </w:t>
      </w:r>
      <w:proofErr w:type="spellStart"/>
      <w:r w:rsidRPr="0026419F">
        <w:rPr>
          <w:rFonts w:ascii="Arial" w:eastAsia="Aptos" w:hAnsi="Arial" w:cs="Arial"/>
          <w:bCs/>
          <w:color w:val="000000"/>
          <w:sz w:val="22"/>
          <w:szCs w:val="22"/>
          <w:lang w:val="en-GB" w:eastAsia="en-US"/>
        </w:rPr>
        <w:t>te</w:t>
      </w:r>
      <w:proofErr w:type="spellEnd"/>
      <w:r w:rsidRPr="0026419F">
        <w:rPr>
          <w:rFonts w:ascii="Arial" w:eastAsia="Aptos" w:hAnsi="Arial" w:cs="Arial"/>
          <w:bCs/>
          <w:color w:val="000000"/>
          <w:sz w:val="22"/>
          <w:szCs w:val="22"/>
          <w:lang w:val="en-GB" w:eastAsia="en-US"/>
        </w:rPr>
        <w:t xml:space="preserve"> </w:t>
      </w:r>
      <w:proofErr w:type="spellStart"/>
      <w:r w:rsidRPr="0026419F">
        <w:rPr>
          <w:rFonts w:ascii="Arial" w:eastAsia="Aptos" w:hAnsi="Arial" w:cs="Arial"/>
          <w:bCs/>
          <w:color w:val="000000"/>
          <w:sz w:val="22"/>
          <w:szCs w:val="22"/>
          <w:lang w:val="en-GB" w:eastAsia="en-US"/>
        </w:rPr>
        <w:t>svi</w:t>
      </w:r>
      <w:proofErr w:type="spellEnd"/>
      <w:r w:rsidRPr="0026419F">
        <w:rPr>
          <w:rFonts w:ascii="Arial" w:eastAsia="Aptos" w:hAnsi="Arial" w:cs="Arial"/>
          <w:bCs/>
          <w:color w:val="000000"/>
          <w:sz w:val="22"/>
          <w:szCs w:val="22"/>
          <w:lang w:val="en-GB" w:eastAsia="en-US"/>
        </w:rPr>
        <w:t xml:space="preserve"> </w:t>
      </w:r>
      <w:proofErr w:type="spellStart"/>
      <w:r w:rsidRPr="0026419F">
        <w:rPr>
          <w:rFonts w:ascii="Arial" w:eastAsia="Aptos" w:hAnsi="Arial" w:cs="Arial"/>
          <w:bCs/>
          <w:color w:val="000000"/>
          <w:sz w:val="22"/>
          <w:szCs w:val="22"/>
          <w:lang w:val="en-GB" w:eastAsia="en-US"/>
        </w:rPr>
        <w:t>važeći</w:t>
      </w:r>
      <w:proofErr w:type="spellEnd"/>
      <w:r w:rsidRPr="0026419F">
        <w:rPr>
          <w:rFonts w:ascii="Arial" w:eastAsia="Aptos" w:hAnsi="Arial" w:cs="Arial"/>
          <w:bCs/>
          <w:color w:val="000000"/>
          <w:sz w:val="22"/>
          <w:szCs w:val="22"/>
          <w:lang w:val="en-GB" w:eastAsia="en-US"/>
        </w:rPr>
        <w:t xml:space="preserve"> </w:t>
      </w:r>
      <w:proofErr w:type="spellStart"/>
      <w:r w:rsidRPr="0026419F">
        <w:rPr>
          <w:rFonts w:ascii="Arial" w:eastAsia="Aptos" w:hAnsi="Arial" w:cs="Arial"/>
          <w:bCs/>
          <w:color w:val="000000"/>
          <w:sz w:val="22"/>
          <w:szCs w:val="22"/>
          <w:lang w:val="en-GB" w:eastAsia="en-US"/>
        </w:rPr>
        <w:t>dokumenti</w:t>
      </w:r>
      <w:proofErr w:type="spellEnd"/>
      <w:r w:rsidRPr="0026419F">
        <w:rPr>
          <w:rFonts w:ascii="Arial" w:eastAsia="Aptos" w:hAnsi="Arial" w:cs="Arial"/>
          <w:bCs/>
          <w:color w:val="000000"/>
          <w:sz w:val="22"/>
          <w:szCs w:val="22"/>
          <w:lang w:val="en-GB" w:eastAsia="en-US"/>
        </w:rPr>
        <w:t xml:space="preserve"> </w:t>
      </w:r>
      <w:proofErr w:type="spellStart"/>
      <w:r w:rsidRPr="0026419F">
        <w:rPr>
          <w:rFonts w:ascii="Arial" w:eastAsia="Aptos" w:hAnsi="Arial" w:cs="Arial"/>
          <w:bCs/>
          <w:color w:val="000000"/>
          <w:sz w:val="22"/>
          <w:szCs w:val="22"/>
          <w:lang w:val="en-GB" w:eastAsia="en-US"/>
        </w:rPr>
        <w:t>prostornog</w:t>
      </w:r>
      <w:proofErr w:type="spellEnd"/>
      <w:r w:rsidRPr="0026419F">
        <w:rPr>
          <w:rFonts w:ascii="Arial" w:eastAsia="Aptos" w:hAnsi="Arial" w:cs="Arial"/>
          <w:bCs/>
          <w:color w:val="000000"/>
          <w:sz w:val="22"/>
          <w:szCs w:val="22"/>
          <w:lang w:val="en-GB" w:eastAsia="en-US"/>
        </w:rPr>
        <w:t xml:space="preserve"> </w:t>
      </w:r>
      <w:proofErr w:type="spellStart"/>
      <w:r w:rsidRPr="0026419F">
        <w:rPr>
          <w:rFonts w:ascii="Arial" w:eastAsia="Aptos" w:hAnsi="Arial" w:cs="Arial"/>
          <w:bCs/>
          <w:color w:val="000000"/>
          <w:sz w:val="22"/>
          <w:szCs w:val="22"/>
          <w:lang w:val="en-GB" w:eastAsia="en-US"/>
        </w:rPr>
        <w:t>uređenja</w:t>
      </w:r>
      <w:proofErr w:type="spellEnd"/>
      <w:r w:rsidRPr="0026419F">
        <w:rPr>
          <w:rFonts w:ascii="Arial" w:eastAsia="Aptos" w:hAnsi="Arial" w:cs="Arial"/>
          <w:bCs/>
          <w:color w:val="000000"/>
          <w:sz w:val="22"/>
          <w:szCs w:val="22"/>
          <w:lang w:val="en-GB" w:eastAsia="en-US"/>
        </w:rPr>
        <w:t xml:space="preserve">: </w:t>
      </w:r>
      <w:proofErr w:type="spellStart"/>
      <w:r w:rsidRPr="0026419F">
        <w:rPr>
          <w:rFonts w:ascii="Arial" w:eastAsia="Aptos" w:hAnsi="Arial" w:cs="Arial"/>
          <w:bCs/>
          <w:color w:val="000000"/>
          <w:sz w:val="22"/>
          <w:szCs w:val="22"/>
          <w:lang w:val="en-GB" w:eastAsia="en-US"/>
        </w:rPr>
        <w:t>Prostorni</w:t>
      </w:r>
      <w:proofErr w:type="spellEnd"/>
      <w:r w:rsidRPr="0026419F">
        <w:rPr>
          <w:rFonts w:ascii="Arial" w:eastAsia="Aptos" w:hAnsi="Arial" w:cs="Arial"/>
          <w:bCs/>
          <w:color w:val="000000"/>
          <w:sz w:val="22"/>
          <w:szCs w:val="22"/>
          <w:lang w:val="en-GB" w:eastAsia="en-US"/>
        </w:rPr>
        <w:t xml:space="preserve"> plan </w:t>
      </w:r>
      <w:proofErr w:type="spellStart"/>
      <w:r w:rsidRPr="0026419F">
        <w:rPr>
          <w:rFonts w:ascii="Arial" w:eastAsia="Aptos" w:hAnsi="Arial" w:cs="Arial"/>
          <w:bCs/>
          <w:color w:val="000000"/>
          <w:sz w:val="22"/>
          <w:szCs w:val="22"/>
          <w:lang w:val="en-GB" w:eastAsia="en-US"/>
        </w:rPr>
        <w:t>uređenja</w:t>
      </w:r>
      <w:proofErr w:type="spellEnd"/>
      <w:r w:rsidRPr="0026419F">
        <w:rPr>
          <w:rFonts w:ascii="Arial" w:eastAsia="Aptos" w:hAnsi="Arial" w:cs="Arial"/>
          <w:bCs/>
          <w:color w:val="000000"/>
          <w:sz w:val="22"/>
          <w:szCs w:val="22"/>
          <w:lang w:val="en-GB" w:eastAsia="en-US"/>
        </w:rPr>
        <w:t xml:space="preserve"> Grada Labina (“</w:t>
      </w:r>
      <w:proofErr w:type="spellStart"/>
      <w:r w:rsidRPr="0026419F">
        <w:rPr>
          <w:rFonts w:ascii="Arial" w:eastAsia="Aptos" w:hAnsi="Arial" w:cs="Arial"/>
          <w:bCs/>
          <w:color w:val="000000"/>
          <w:sz w:val="22"/>
          <w:szCs w:val="22"/>
          <w:lang w:val="en-GB" w:eastAsia="en-US"/>
        </w:rPr>
        <w:t>Službene</w:t>
      </w:r>
      <w:proofErr w:type="spellEnd"/>
      <w:r w:rsidRPr="0026419F">
        <w:rPr>
          <w:rFonts w:ascii="Arial" w:eastAsia="Aptos" w:hAnsi="Arial" w:cs="Arial"/>
          <w:bCs/>
          <w:color w:val="000000"/>
          <w:sz w:val="22"/>
          <w:szCs w:val="22"/>
          <w:lang w:val="en-GB" w:eastAsia="en-US"/>
        </w:rPr>
        <w:t xml:space="preserve"> novine Grada Labina” </w:t>
      </w:r>
      <w:proofErr w:type="spellStart"/>
      <w:r w:rsidRPr="0026419F">
        <w:rPr>
          <w:rFonts w:ascii="Arial" w:eastAsia="Aptos" w:hAnsi="Arial" w:cs="Arial"/>
          <w:bCs/>
          <w:color w:val="000000"/>
          <w:sz w:val="22"/>
          <w:szCs w:val="22"/>
          <w:lang w:val="en-GB" w:eastAsia="en-US"/>
        </w:rPr>
        <w:t>broj</w:t>
      </w:r>
      <w:proofErr w:type="spellEnd"/>
      <w:r w:rsidRPr="0026419F">
        <w:rPr>
          <w:rFonts w:ascii="Arial" w:eastAsia="Aptos" w:hAnsi="Arial" w:cs="Arial"/>
          <w:bCs/>
          <w:color w:val="000000"/>
          <w:sz w:val="22"/>
          <w:szCs w:val="22"/>
          <w:lang w:val="en-GB" w:eastAsia="en-US"/>
        </w:rPr>
        <w:t xml:space="preserve"> 15/04., 04/05., 17/07., 09/11., 01/12. </w:t>
      </w:r>
      <w:proofErr w:type="spellStart"/>
      <w:r w:rsidRPr="0026419F">
        <w:rPr>
          <w:rFonts w:ascii="Arial" w:eastAsia="Aptos" w:hAnsi="Arial" w:cs="Arial"/>
          <w:bCs/>
          <w:color w:val="000000"/>
          <w:sz w:val="22"/>
          <w:szCs w:val="22"/>
          <w:lang w:val="en-GB" w:eastAsia="en-US"/>
        </w:rPr>
        <w:t>i</w:t>
      </w:r>
      <w:proofErr w:type="spellEnd"/>
      <w:r w:rsidRPr="0026419F">
        <w:rPr>
          <w:rFonts w:ascii="Arial" w:eastAsia="Aptos" w:hAnsi="Arial" w:cs="Arial"/>
          <w:bCs/>
          <w:color w:val="000000"/>
          <w:sz w:val="22"/>
          <w:szCs w:val="22"/>
          <w:lang w:val="en-GB" w:eastAsia="en-US"/>
        </w:rPr>
        <w:t xml:space="preserve"> 03/20.), </w:t>
      </w:r>
      <w:proofErr w:type="spellStart"/>
      <w:r w:rsidRPr="0026419F">
        <w:rPr>
          <w:rFonts w:ascii="Arial" w:eastAsia="Aptos" w:hAnsi="Arial" w:cs="Arial"/>
          <w:bCs/>
          <w:color w:val="000000"/>
          <w:sz w:val="22"/>
          <w:szCs w:val="22"/>
          <w:lang w:val="en-GB" w:eastAsia="en-US"/>
        </w:rPr>
        <w:t>Urbanistički</w:t>
      </w:r>
      <w:proofErr w:type="spellEnd"/>
      <w:r w:rsidRPr="0026419F">
        <w:rPr>
          <w:rFonts w:ascii="Arial" w:eastAsia="Aptos" w:hAnsi="Arial" w:cs="Arial"/>
          <w:bCs/>
          <w:color w:val="000000"/>
          <w:sz w:val="22"/>
          <w:szCs w:val="22"/>
          <w:lang w:val="en-GB" w:eastAsia="en-US"/>
        </w:rPr>
        <w:t xml:space="preserve"> plan </w:t>
      </w:r>
      <w:proofErr w:type="spellStart"/>
      <w:r w:rsidRPr="0026419F">
        <w:rPr>
          <w:rFonts w:ascii="Arial" w:eastAsia="Aptos" w:hAnsi="Arial" w:cs="Arial"/>
          <w:bCs/>
          <w:color w:val="000000"/>
          <w:sz w:val="22"/>
          <w:szCs w:val="22"/>
          <w:lang w:val="en-GB" w:eastAsia="en-US"/>
        </w:rPr>
        <w:t>uređenja</w:t>
      </w:r>
      <w:proofErr w:type="spellEnd"/>
      <w:r w:rsidRPr="0026419F">
        <w:rPr>
          <w:rFonts w:ascii="Arial" w:eastAsia="Aptos" w:hAnsi="Arial" w:cs="Arial"/>
          <w:bCs/>
          <w:color w:val="000000"/>
          <w:sz w:val="22"/>
          <w:szCs w:val="22"/>
          <w:lang w:val="en-GB" w:eastAsia="en-US"/>
        </w:rPr>
        <w:t xml:space="preserve"> Labina </w:t>
      </w:r>
      <w:proofErr w:type="spellStart"/>
      <w:r w:rsidRPr="0026419F">
        <w:rPr>
          <w:rFonts w:ascii="Arial" w:eastAsia="Aptos" w:hAnsi="Arial" w:cs="Arial"/>
          <w:bCs/>
          <w:color w:val="000000"/>
          <w:sz w:val="22"/>
          <w:szCs w:val="22"/>
          <w:lang w:val="en-GB" w:eastAsia="en-US"/>
        </w:rPr>
        <w:t>i</w:t>
      </w:r>
      <w:proofErr w:type="spellEnd"/>
      <w:r w:rsidRPr="0026419F">
        <w:rPr>
          <w:rFonts w:ascii="Arial" w:eastAsia="Aptos" w:hAnsi="Arial" w:cs="Arial"/>
          <w:bCs/>
          <w:color w:val="000000"/>
          <w:sz w:val="22"/>
          <w:szCs w:val="22"/>
          <w:lang w:val="en-GB" w:eastAsia="en-US"/>
        </w:rPr>
        <w:t xml:space="preserve"> </w:t>
      </w:r>
      <w:proofErr w:type="spellStart"/>
      <w:r w:rsidRPr="0026419F">
        <w:rPr>
          <w:rFonts w:ascii="Arial" w:eastAsia="Aptos" w:hAnsi="Arial" w:cs="Arial"/>
          <w:bCs/>
          <w:color w:val="000000"/>
          <w:sz w:val="22"/>
          <w:szCs w:val="22"/>
          <w:lang w:val="en-GB" w:eastAsia="en-US"/>
        </w:rPr>
        <w:t>Presike</w:t>
      </w:r>
      <w:proofErr w:type="spellEnd"/>
      <w:r w:rsidRPr="0026419F">
        <w:rPr>
          <w:rFonts w:ascii="Arial" w:eastAsia="Aptos" w:hAnsi="Arial" w:cs="Arial"/>
          <w:bCs/>
          <w:color w:val="000000"/>
          <w:sz w:val="22"/>
          <w:szCs w:val="22"/>
          <w:lang w:val="en-GB" w:eastAsia="en-US"/>
        </w:rPr>
        <w:t xml:space="preserve"> („</w:t>
      </w:r>
      <w:proofErr w:type="spellStart"/>
      <w:r w:rsidRPr="0026419F">
        <w:rPr>
          <w:rFonts w:ascii="Arial" w:eastAsia="Aptos" w:hAnsi="Arial" w:cs="Arial"/>
          <w:bCs/>
          <w:color w:val="000000"/>
          <w:sz w:val="22"/>
          <w:szCs w:val="22"/>
          <w:lang w:val="en-GB" w:eastAsia="en-US"/>
        </w:rPr>
        <w:t>Službene</w:t>
      </w:r>
      <w:proofErr w:type="spellEnd"/>
      <w:r w:rsidRPr="0026419F">
        <w:rPr>
          <w:rFonts w:ascii="Arial" w:eastAsia="Aptos" w:hAnsi="Arial" w:cs="Arial"/>
          <w:bCs/>
          <w:color w:val="000000"/>
          <w:sz w:val="22"/>
          <w:szCs w:val="22"/>
          <w:lang w:val="en-GB" w:eastAsia="en-US"/>
        </w:rPr>
        <w:t xml:space="preserve"> novine Grada Labina” </w:t>
      </w:r>
      <w:proofErr w:type="spellStart"/>
      <w:r w:rsidRPr="0026419F">
        <w:rPr>
          <w:rFonts w:ascii="Arial" w:eastAsia="Aptos" w:hAnsi="Arial" w:cs="Arial"/>
          <w:bCs/>
          <w:color w:val="000000"/>
          <w:sz w:val="22"/>
          <w:szCs w:val="22"/>
          <w:lang w:val="en-GB" w:eastAsia="en-US"/>
        </w:rPr>
        <w:t>broj</w:t>
      </w:r>
      <w:proofErr w:type="spellEnd"/>
      <w:r w:rsidRPr="0026419F">
        <w:rPr>
          <w:rFonts w:ascii="Arial" w:eastAsia="Aptos" w:hAnsi="Arial" w:cs="Arial"/>
          <w:bCs/>
          <w:color w:val="000000"/>
          <w:sz w:val="22"/>
          <w:szCs w:val="22"/>
          <w:lang w:val="en-GB" w:eastAsia="en-US"/>
        </w:rPr>
        <w:t xml:space="preserve"> 17/07., 07/13., 11/15., 08/19. </w:t>
      </w:r>
      <w:proofErr w:type="spellStart"/>
      <w:r w:rsidRPr="0026419F">
        <w:rPr>
          <w:rFonts w:ascii="Arial" w:eastAsia="Aptos" w:hAnsi="Arial" w:cs="Arial"/>
          <w:bCs/>
          <w:color w:val="000000"/>
          <w:sz w:val="22"/>
          <w:szCs w:val="22"/>
          <w:lang w:val="en-GB" w:eastAsia="en-US"/>
        </w:rPr>
        <w:t>i</w:t>
      </w:r>
      <w:proofErr w:type="spellEnd"/>
      <w:r w:rsidRPr="0026419F">
        <w:rPr>
          <w:rFonts w:ascii="Arial" w:eastAsia="Aptos" w:hAnsi="Arial" w:cs="Arial"/>
          <w:bCs/>
          <w:color w:val="000000"/>
          <w:sz w:val="22"/>
          <w:szCs w:val="22"/>
          <w:lang w:val="en-GB" w:eastAsia="en-US"/>
        </w:rPr>
        <w:t xml:space="preserve"> 03/20.), </w:t>
      </w:r>
      <w:proofErr w:type="spellStart"/>
      <w:r w:rsidRPr="0026419F">
        <w:rPr>
          <w:rFonts w:ascii="Arial" w:eastAsia="Aptos" w:hAnsi="Arial" w:cs="Arial"/>
          <w:color w:val="000000"/>
          <w:sz w:val="22"/>
          <w:szCs w:val="22"/>
          <w:lang w:val="en-GB" w:eastAsia="en-US"/>
        </w:rPr>
        <w:t>Urbanistički</w:t>
      </w:r>
      <w:proofErr w:type="spellEnd"/>
      <w:r w:rsidRPr="0026419F">
        <w:rPr>
          <w:rFonts w:ascii="Arial" w:eastAsia="Aptos" w:hAnsi="Arial" w:cs="Arial"/>
          <w:color w:val="000000"/>
          <w:sz w:val="22"/>
          <w:szCs w:val="22"/>
          <w:lang w:val="en-GB" w:eastAsia="en-US"/>
        </w:rPr>
        <w:t xml:space="preserve"> plan </w:t>
      </w:r>
      <w:proofErr w:type="spellStart"/>
      <w:r w:rsidRPr="0026419F">
        <w:rPr>
          <w:rFonts w:ascii="Arial" w:eastAsia="Aptos" w:hAnsi="Arial" w:cs="Arial"/>
          <w:color w:val="000000"/>
          <w:sz w:val="22"/>
          <w:szCs w:val="22"/>
          <w:lang w:val="en-GB" w:eastAsia="en-US"/>
        </w:rPr>
        <w:t>uređenja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naselja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Vinež</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Službene</w:t>
      </w:r>
      <w:proofErr w:type="spellEnd"/>
      <w:r w:rsidRPr="0026419F">
        <w:rPr>
          <w:rFonts w:ascii="Arial" w:eastAsia="Aptos" w:hAnsi="Arial" w:cs="Arial"/>
          <w:color w:val="000000"/>
          <w:sz w:val="22"/>
          <w:szCs w:val="22"/>
          <w:lang w:val="en-GB" w:eastAsia="en-US"/>
        </w:rPr>
        <w:t xml:space="preserve"> novine Grada </w:t>
      </w:r>
      <w:proofErr w:type="gramStart"/>
      <w:r w:rsidRPr="0026419F">
        <w:rPr>
          <w:rFonts w:ascii="Arial" w:eastAsia="Aptos" w:hAnsi="Arial" w:cs="Arial"/>
          <w:color w:val="000000"/>
          <w:sz w:val="22"/>
          <w:szCs w:val="22"/>
          <w:lang w:val="en-GB" w:eastAsia="en-US"/>
        </w:rPr>
        <w:t xml:space="preserve">Labina“ </w:t>
      </w:r>
      <w:proofErr w:type="spellStart"/>
      <w:r w:rsidRPr="0026419F">
        <w:rPr>
          <w:rFonts w:ascii="Arial" w:eastAsia="Aptos" w:hAnsi="Arial" w:cs="Arial"/>
          <w:color w:val="000000"/>
          <w:sz w:val="22"/>
          <w:szCs w:val="22"/>
          <w:lang w:val="en-GB" w:eastAsia="en-US"/>
        </w:rPr>
        <w:t>broj</w:t>
      </w:r>
      <w:proofErr w:type="spellEnd"/>
      <w:proofErr w:type="gramEnd"/>
      <w:r w:rsidRPr="0026419F">
        <w:rPr>
          <w:rFonts w:ascii="Arial" w:eastAsia="Aptos" w:hAnsi="Arial" w:cs="Arial"/>
          <w:color w:val="000000"/>
          <w:sz w:val="22"/>
          <w:szCs w:val="22"/>
          <w:lang w:val="en-GB" w:eastAsia="en-US"/>
        </w:rPr>
        <w:t xml:space="preserve"> 07/10.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05/17.), </w:t>
      </w:r>
      <w:proofErr w:type="spellStart"/>
      <w:r w:rsidRPr="0026419F">
        <w:rPr>
          <w:rFonts w:ascii="Arial" w:eastAsia="Aptos" w:hAnsi="Arial" w:cs="Arial"/>
          <w:color w:val="000000"/>
          <w:sz w:val="22"/>
          <w:szCs w:val="22"/>
          <w:lang w:val="en-GB" w:eastAsia="en-US"/>
        </w:rPr>
        <w:t>Urbanistički</w:t>
      </w:r>
      <w:proofErr w:type="spellEnd"/>
      <w:r w:rsidRPr="0026419F">
        <w:rPr>
          <w:rFonts w:ascii="Arial" w:eastAsia="Aptos" w:hAnsi="Arial" w:cs="Arial"/>
          <w:color w:val="000000"/>
          <w:sz w:val="22"/>
          <w:szCs w:val="22"/>
          <w:lang w:val="en-GB" w:eastAsia="en-US"/>
        </w:rPr>
        <w:t xml:space="preserve"> plan </w:t>
      </w:r>
      <w:proofErr w:type="spellStart"/>
      <w:r w:rsidRPr="0026419F">
        <w:rPr>
          <w:rFonts w:ascii="Arial" w:eastAsia="Aptos" w:hAnsi="Arial" w:cs="Arial"/>
          <w:color w:val="000000"/>
          <w:sz w:val="22"/>
          <w:szCs w:val="22"/>
          <w:lang w:val="en-GB" w:eastAsia="en-US"/>
        </w:rPr>
        <w:t>uređenja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naselja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Rabac</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Službene</w:t>
      </w:r>
      <w:proofErr w:type="spellEnd"/>
      <w:r w:rsidRPr="0026419F">
        <w:rPr>
          <w:rFonts w:ascii="Arial" w:eastAsia="Aptos" w:hAnsi="Arial" w:cs="Arial"/>
          <w:color w:val="000000"/>
          <w:sz w:val="22"/>
          <w:szCs w:val="22"/>
          <w:lang w:val="en-GB" w:eastAsia="en-US"/>
        </w:rPr>
        <w:t xml:space="preserve"> novine Grada Labina” </w:t>
      </w:r>
      <w:proofErr w:type="spellStart"/>
      <w:r w:rsidRPr="0026419F">
        <w:rPr>
          <w:rFonts w:ascii="Arial" w:eastAsia="Aptos" w:hAnsi="Arial" w:cs="Arial"/>
          <w:color w:val="000000"/>
          <w:sz w:val="22"/>
          <w:szCs w:val="22"/>
          <w:lang w:val="en-GB" w:eastAsia="en-US"/>
        </w:rPr>
        <w:t>broj</w:t>
      </w:r>
      <w:proofErr w:type="spellEnd"/>
      <w:r w:rsidRPr="0026419F">
        <w:rPr>
          <w:rFonts w:ascii="Arial" w:eastAsia="Aptos" w:hAnsi="Arial" w:cs="Arial"/>
          <w:color w:val="000000"/>
          <w:sz w:val="22"/>
          <w:szCs w:val="22"/>
          <w:lang w:val="en-GB" w:eastAsia="en-US"/>
        </w:rPr>
        <w:t xml:space="preserve"> 20/20.), </w:t>
      </w:r>
      <w:proofErr w:type="spellStart"/>
      <w:r w:rsidRPr="0026419F">
        <w:rPr>
          <w:rFonts w:ascii="Arial" w:eastAsia="Aptos" w:hAnsi="Arial" w:cs="Arial"/>
          <w:color w:val="000000"/>
          <w:sz w:val="22"/>
          <w:szCs w:val="22"/>
          <w:lang w:val="en-GB" w:eastAsia="en-US"/>
        </w:rPr>
        <w:t>Urbanistički</w:t>
      </w:r>
      <w:proofErr w:type="spellEnd"/>
      <w:r w:rsidRPr="0026419F">
        <w:rPr>
          <w:rFonts w:ascii="Arial" w:eastAsia="Aptos" w:hAnsi="Arial" w:cs="Arial"/>
          <w:color w:val="000000"/>
          <w:sz w:val="22"/>
          <w:szCs w:val="22"/>
          <w:lang w:val="en-GB" w:eastAsia="en-US"/>
        </w:rPr>
        <w:t xml:space="preserve"> plan </w:t>
      </w:r>
      <w:proofErr w:type="spellStart"/>
      <w:r w:rsidRPr="0026419F">
        <w:rPr>
          <w:rFonts w:ascii="Arial" w:eastAsia="Aptos" w:hAnsi="Arial" w:cs="Arial"/>
          <w:color w:val="000000"/>
          <w:sz w:val="22"/>
          <w:szCs w:val="22"/>
          <w:lang w:val="en-GB" w:eastAsia="en-US"/>
        </w:rPr>
        <w:t>uređenja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naselja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Kapelica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Službene</w:t>
      </w:r>
      <w:proofErr w:type="spellEnd"/>
      <w:r w:rsidRPr="0026419F">
        <w:rPr>
          <w:rFonts w:ascii="Arial" w:eastAsia="Aptos" w:hAnsi="Arial" w:cs="Arial"/>
          <w:color w:val="000000"/>
          <w:sz w:val="22"/>
          <w:szCs w:val="22"/>
          <w:lang w:val="en-GB" w:eastAsia="en-US"/>
        </w:rPr>
        <w:t xml:space="preserve"> novine Grada </w:t>
      </w:r>
      <w:proofErr w:type="gramStart"/>
      <w:r w:rsidRPr="0026419F">
        <w:rPr>
          <w:rFonts w:ascii="Arial" w:eastAsia="Aptos" w:hAnsi="Arial" w:cs="Arial"/>
          <w:color w:val="000000"/>
          <w:sz w:val="22"/>
          <w:szCs w:val="22"/>
          <w:lang w:val="en-GB" w:eastAsia="en-US"/>
        </w:rPr>
        <w:t xml:space="preserve">Labina“ </w:t>
      </w:r>
      <w:proofErr w:type="spellStart"/>
      <w:r w:rsidRPr="0026419F">
        <w:rPr>
          <w:rFonts w:ascii="Arial" w:eastAsia="Aptos" w:hAnsi="Arial" w:cs="Arial"/>
          <w:color w:val="000000"/>
          <w:sz w:val="22"/>
          <w:szCs w:val="22"/>
          <w:lang w:val="en-GB" w:eastAsia="en-US"/>
        </w:rPr>
        <w:t>broj</w:t>
      </w:r>
      <w:proofErr w:type="spellEnd"/>
      <w:proofErr w:type="gramEnd"/>
      <w:r w:rsidRPr="0026419F">
        <w:rPr>
          <w:rFonts w:ascii="Arial" w:eastAsia="Aptos" w:hAnsi="Arial" w:cs="Arial"/>
          <w:color w:val="000000"/>
          <w:sz w:val="22"/>
          <w:szCs w:val="22"/>
          <w:lang w:val="en-GB" w:eastAsia="en-US"/>
        </w:rPr>
        <w:t xml:space="preserve">  04/10.), </w:t>
      </w:r>
      <w:proofErr w:type="spellStart"/>
      <w:r w:rsidRPr="0026419F">
        <w:rPr>
          <w:rFonts w:ascii="Arial" w:eastAsia="Aptos" w:hAnsi="Arial" w:cs="Arial"/>
          <w:color w:val="000000"/>
          <w:sz w:val="22"/>
          <w:szCs w:val="22"/>
          <w:lang w:val="en-GB" w:eastAsia="en-US"/>
        </w:rPr>
        <w:t>Detaljni</w:t>
      </w:r>
      <w:proofErr w:type="spellEnd"/>
      <w:r w:rsidRPr="0026419F">
        <w:rPr>
          <w:rFonts w:ascii="Arial" w:eastAsia="Aptos" w:hAnsi="Arial" w:cs="Arial"/>
          <w:color w:val="000000"/>
          <w:sz w:val="22"/>
          <w:szCs w:val="22"/>
          <w:lang w:val="en-GB" w:eastAsia="en-US"/>
        </w:rPr>
        <w:t xml:space="preserve"> plan </w:t>
      </w:r>
      <w:proofErr w:type="spellStart"/>
      <w:r w:rsidRPr="0026419F">
        <w:rPr>
          <w:rFonts w:ascii="Arial" w:eastAsia="Aptos" w:hAnsi="Arial" w:cs="Arial"/>
          <w:color w:val="000000"/>
          <w:sz w:val="22"/>
          <w:szCs w:val="22"/>
          <w:lang w:val="en-GB" w:eastAsia="en-US"/>
        </w:rPr>
        <w:t>uređenja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Poslovne</w:t>
      </w:r>
      <w:proofErr w:type="spellEnd"/>
      <w:r w:rsidRPr="0026419F">
        <w:rPr>
          <w:rFonts w:ascii="Arial" w:eastAsia="Aptos" w:hAnsi="Arial" w:cs="Arial"/>
          <w:color w:val="000000"/>
          <w:sz w:val="22"/>
          <w:szCs w:val="22"/>
          <w:lang w:val="en-GB" w:eastAsia="en-US"/>
        </w:rPr>
        <w:t xml:space="preserve"> zone </w:t>
      </w:r>
      <w:proofErr w:type="spellStart"/>
      <w:r w:rsidRPr="0026419F">
        <w:rPr>
          <w:rFonts w:ascii="Arial" w:eastAsia="Aptos" w:hAnsi="Arial" w:cs="Arial"/>
          <w:color w:val="000000"/>
          <w:sz w:val="22"/>
          <w:szCs w:val="22"/>
          <w:lang w:val="en-GB" w:eastAsia="en-US"/>
        </w:rPr>
        <w:t>Vinež</w:t>
      </w:r>
      <w:proofErr w:type="spellEnd"/>
      <w:r w:rsidRPr="0026419F">
        <w:rPr>
          <w:rFonts w:ascii="Arial" w:eastAsia="Aptos" w:hAnsi="Arial" w:cs="Arial"/>
          <w:color w:val="000000"/>
          <w:sz w:val="22"/>
          <w:szCs w:val="22"/>
          <w:lang w:val="en-GB" w:eastAsia="en-US"/>
        </w:rPr>
        <w:t xml:space="preserve"> – II </w:t>
      </w:r>
      <w:proofErr w:type="spellStart"/>
      <w:r w:rsidRPr="0026419F">
        <w:rPr>
          <w:rFonts w:ascii="Arial" w:eastAsia="Aptos" w:hAnsi="Arial" w:cs="Arial"/>
          <w:color w:val="000000"/>
          <w:sz w:val="22"/>
          <w:szCs w:val="22"/>
          <w:lang w:val="en-GB" w:eastAsia="en-US"/>
        </w:rPr>
        <w:t>faza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Službene</w:t>
      </w:r>
      <w:proofErr w:type="spellEnd"/>
      <w:r w:rsidRPr="0026419F">
        <w:rPr>
          <w:rFonts w:ascii="Arial" w:eastAsia="Aptos" w:hAnsi="Arial" w:cs="Arial"/>
          <w:color w:val="000000"/>
          <w:sz w:val="22"/>
          <w:szCs w:val="22"/>
          <w:lang w:val="en-GB" w:eastAsia="en-US"/>
        </w:rPr>
        <w:t xml:space="preserve"> novine Grada </w:t>
      </w:r>
      <w:proofErr w:type="gramStart"/>
      <w:r w:rsidRPr="0026419F">
        <w:rPr>
          <w:rFonts w:ascii="Arial" w:eastAsia="Aptos" w:hAnsi="Arial" w:cs="Arial"/>
          <w:color w:val="000000"/>
          <w:sz w:val="22"/>
          <w:szCs w:val="22"/>
          <w:lang w:val="en-GB" w:eastAsia="en-US"/>
        </w:rPr>
        <w:t xml:space="preserve">Labina“ </w:t>
      </w:r>
      <w:proofErr w:type="spellStart"/>
      <w:r w:rsidRPr="0026419F">
        <w:rPr>
          <w:rFonts w:ascii="Arial" w:eastAsia="Aptos" w:hAnsi="Arial" w:cs="Arial"/>
          <w:color w:val="000000"/>
          <w:sz w:val="22"/>
          <w:szCs w:val="22"/>
          <w:lang w:val="en-GB" w:eastAsia="en-US"/>
        </w:rPr>
        <w:t>broj</w:t>
      </w:r>
      <w:proofErr w:type="spellEnd"/>
      <w:proofErr w:type="gramEnd"/>
      <w:r w:rsidRPr="0026419F">
        <w:rPr>
          <w:rFonts w:ascii="Arial" w:eastAsia="Aptos" w:hAnsi="Arial" w:cs="Arial"/>
          <w:color w:val="000000"/>
          <w:sz w:val="22"/>
          <w:szCs w:val="22"/>
          <w:lang w:val="en-GB" w:eastAsia="en-US"/>
        </w:rPr>
        <w:t xml:space="preserve"> 01/</w:t>
      </w:r>
      <w:proofErr w:type="gramStart"/>
      <w:r w:rsidRPr="0026419F">
        <w:rPr>
          <w:rFonts w:ascii="Arial" w:eastAsia="Aptos" w:hAnsi="Arial" w:cs="Arial"/>
          <w:color w:val="000000"/>
          <w:sz w:val="22"/>
          <w:szCs w:val="22"/>
          <w:lang w:val="en-GB" w:eastAsia="en-US"/>
        </w:rPr>
        <w:t>09.i</w:t>
      </w:r>
      <w:proofErr w:type="gramEnd"/>
      <w:r w:rsidRPr="0026419F">
        <w:rPr>
          <w:rFonts w:ascii="Arial" w:eastAsia="Aptos" w:hAnsi="Arial" w:cs="Arial"/>
          <w:color w:val="000000"/>
          <w:sz w:val="22"/>
          <w:szCs w:val="22"/>
          <w:lang w:val="en-GB" w:eastAsia="en-US"/>
        </w:rPr>
        <w:t xml:space="preserve"> 13/18.)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Detaljni</w:t>
      </w:r>
      <w:proofErr w:type="spellEnd"/>
      <w:r w:rsidRPr="0026419F">
        <w:rPr>
          <w:rFonts w:ascii="Arial" w:eastAsia="Aptos" w:hAnsi="Arial" w:cs="Arial"/>
          <w:color w:val="000000"/>
          <w:sz w:val="22"/>
          <w:szCs w:val="22"/>
          <w:lang w:val="en-GB" w:eastAsia="en-US"/>
        </w:rPr>
        <w:t xml:space="preserve"> plan </w:t>
      </w:r>
      <w:proofErr w:type="spellStart"/>
      <w:r w:rsidRPr="0026419F">
        <w:rPr>
          <w:rFonts w:ascii="Arial" w:eastAsia="Aptos" w:hAnsi="Arial" w:cs="Arial"/>
          <w:color w:val="000000"/>
          <w:sz w:val="22"/>
          <w:szCs w:val="22"/>
          <w:lang w:val="en-GB" w:eastAsia="en-US"/>
        </w:rPr>
        <w:t>uređenja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Poslovne</w:t>
      </w:r>
      <w:proofErr w:type="spellEnd"/>
      <w:r w:rsidRPr="0026419F">
        <w:rPr>
          <w:rFonts w:ascii="Arial" w:eastAsia="Aptos" w:hAnsi="Arial" w:cs="Arial"/>
          <w:color w:val="000000"/>
          <w:sz w:val="22"/>
          <w:szCs w:val="22"/>
          <w:lang w:val="en-GB" w:eastAsia="en-US"/>
        </w:rPr>
        <w:t xml:space="preserve"> zone </w:t>
      </w:r>
      <w:proofErr w:type="spellStart"/>
      <w:r w:rsidRPr="0026419F">
        <w:rPr>
          <w:rFonts w:ascii="Arial" w:eastAsia="Aptos" w:hAnsi="Arial" w:cs="Arial"/>
          <w:color w:val="000000"/>
          <w:sz w:val="22"/>
          <w:szCs w:val="22"/>
          <w:lang w:val="en-GB" w:eastAsia="en-US"/>
        </w:rPr>
        <w:t>Ripenda</w:t>
      </w:r>
      <w:proofErr w:type="spellEnd"/>
      <w:r w:rsidRPr="0026419F">
        <w:rPr>
          <w:rFonts w:ascii="Arial" w:eastAsia="Aptos" w:hAnsi="Arial" w:cs="Arial"/>
          <w:color w:val="000000"/>
          <w:sz w:val="22"/>
          <w:szCs w:val="22"/>
          <w:lang w:val="en-GB" w:eastAsia="en-US"/>
        </w:rPr>
        <w:t xml:space="preserve"> </w:t>
      </w:r>
      <w:proofErr w:type="spellStart"/>
      <w:proofErr w:type="gramStart"/>
      <w:r w:rsidRPr="0026419F">
        <w:rPr>
          <w:rFonts w:ascii="Arial" w:eastAsia="Aptos" w:hAnsi="Arial" w:cs="Arial"/>
          <w:color w:val="000000"/>
          <w:sz w:val="22"/>
          <w:szCs w:val="22"/>
          <w:lang w:val="en-GB" w:eastAsia="en-US"/>
        </w:rPr>
        <w:t>Verbanci</w:t>
      </w:r>
      <w:proofErr w:type="spellEnd"/>
      <w:r w:rsidRPr="0026419F">
        <w:rPr>
          <w:rFonts w:ascii="Arial" w:eastAsia="Aptos" w:hAnsi="Arial" w:cs="Arial"/>
          <w:color w:val="000000"/>
          <w:sz w:val="22"/>
          <w:szCs w:val="22"/>
          <w:lang w:val="en-GB" w:eastAsia="en-US"/>
        </w:rPr>
        <w:t xml:space="preserve">  (</w:t>
      </w:r>
      <w:proofErr w:type="gramEnd"/>
      <w:r w:rsidRPr="0026419F">
        <w:rPr>
          <w:rFonts w:ascii="Arial" w:eastAsia="Aptos" w:hAnsi="Arial" w:cs="Arial"/>
          <w:color w:val="000000"/>
          <w:sz w:val="22"/>
          <w:szCs w:val="22"/>
          <w:lang w:val="en-GB" w:eastAsia="en-US"/>
        </w:rPr>
        <w:t>„</w:t>
      </w:r>
      <w:proofErr w:type="spellStart"/>
      <w:r w:rsidRPr="0026419F">
        <w:rPr>
          <w:rFonts w:ascii="Arial" w:eastAsia="Aptos" w:hAnsi="Arial" w:cs="Arial"/>
          <w:color w:val="000000"/>
          <w:sz w:val="22"/>
          <w:szCs w:val="22"/>
          <w:lang w:val="en-GB" w:eastAsia="en-US"/>
        </w:rPr>
        <w:t>Službene</w:t>
      </w:r>
      <w:proofErr w:type="spellEnd"/>
      <w:r w:rsidRPr="0026419F">
        <w:rPr>
          <w:rFonts w:ascii="Arial" w:eastAsia="Aptos" w:hAnsi="Arial" w:cs="Arial"/>
          <w:color w:val="000000"/>
          <w:sz w:val="22"/>
          <w:szCs w:val="22"/>
          <w:lang w:val="en-GB" w:eastAsia="en-US"/>
        </w:rPr>
        <w:t xml:space="preserve"> novine Grada </w:t>
      </w:r>
      <w:proofErr w:type="gramStart"/>
      <w:r w:rsidRPr="0026419F">
        <w:rPr>
          <w:rFonts w:ascii="Arial" w:eastAsia="Aptos" w:hAnsi="Arial" w:cs="Arial"/>
          <w:color w:val="000000"/>
          <w:sz w:val="22"/>
          <w:szCs w:val="22"/>
          <w:lang w:val="en-GB" w:eastAsia="en-US"/>
        </w:rPr>
        <w:t xml:space="preserve">Labina“ </w:t>
      </w:r>
      <w:proofErr w:type="spellStart"/>
      <w:r w:rsidRPr="0026419F">
        <w:rPr>
          <w:rFonts w:ascii="Arial" w:eastAsia="Aptos" w:hAnsi="Arial" w:cs="Arial"/>
          <w:color w:val="000000"/>
          <w:sz w:val="22"/>
          <w:szCs w:val="22"/>
          <w:lang w:val="en-GB" w:eastAsia="en-US"/>
        </w:rPr>
        <w:t>broj</w:t>
      </w:r>
      <w:proofErr w:type="spellEnd"/>
      <w:proofErr w:type="gramEnd"/>
      <w:r w:rsidRPr="0026419F">
        <w:rPr>
          <w:rFonts w:ascii="Arial" w:eastAsia="Aptos" w:hAnsi="Arial" w:cs="Arial"/>
          <w:color w:val="000000"/>
          <w:sz w:val="22"/>
          <w:szCs w:val="22"/>
          <w:lang w:val="en-GB" w:eastAsia="en-US"/>
        </w:rPr>
        <w:t xml:space="preserve"> 07/10.).</w:t>
      </w:r>
    </w:p>
    <w:p w14:paraId="5CFF771E" w14:textId="77777777" w:rsidR="003421A7" w:rsidRPr="0026419F" w:rsidRDefault="003421A7" w:rsidP="003421A7">
      <w:pPr>
        <w:spacing w:line="259" w:lineRule="auto"/>
        <w:jc w:val="both"/>
        <w:rPr>
          <w:rFonts w:ascii="Arial" w:eastAsia="Aptos" w:hAnsi="Arial" w:cs="Arial"/>
          <w:color w:val="000000"/>
          <w:sz w:val="22"/>
          <w:szCs w:val="22"/>
          <w:lang w:val="en-GB" w:eastAsia="en-US"/>
        </w:rPr>
      </w:pPr>
    </w:p>
    <w:p w14:paraId="0500FD06" w14:textId="77777777" w:rsidR="0026419F" w:rsidRPr="0026419F" w:rsidRDefault="0026419F" w:rsidP="003421A7">
      <w:pPr>
        <w:spacing w:line="259" w:lineRule="auto"/>
        <w:jc w:val="both"/>
        <w:rPr>
          <w:rFonts w:ascii="Arial" w:eastAsia="Aptos" w:hAnsi="Arial" w:cs="Arial"/>
          <w:b/>
          <w:color w:val="000000"/>
          <w:sz w:val="22"/>
          <w:szCs w:val="22"/>
          <w:lang w:val="en-GB" w:eastAsia="en-US"/>
        </w:rPr>
      </w:pPr>
      <w:proofErr w:type="spellStart"/>
      <w:r w:rsidRPr="0026419F">
        <w:rPr>
          <w:rFonts w:ascii="Arial" w:eastAsia="Aptos" w:hAnsi="Arial" w:cs="Arial"/>
          <w:b/>
          <w:color w:val="000000"/>
          <w:sz w:val="22"/>
          <w:szCs w:val="22"/>
          <w:u w:val="single"/>
          <w:lang w:val="en-GB" w:eastAsia="en-US"/>
        </w:rPr>
        <w:t>Opis</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programa</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sa</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općim</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i</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posebnim</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ciljem</w:t>
      </w:r>
      <w:proofErr w:type="spellEnd"/>
      <w:r w:rsidRPr="0026419F">
        <w:rPr>
          <w:rFonts w:ascii="Arial" w:eastAsia="Aptos" w:hAnsi="Arial" w:cs="Arial"/>
          <w:b/>
          <w:color w:val="000000"/>
          <w:sz w:val="22"/>
          <w:szCs w:val="22"/>
          <w:u w:val="single"/>
          <w:lang w:val="en-GB" w:eastAsia="en-US"/>
        </w:rPr>
        <w:t xml:space="preserve">: </w:t>
      </w:r>
    </w:p>
    <w:p w14:paraId="11F7838F" w14:textId="77777777" w:rsidR="0026419F" w:rsidRPr="0026419F" w:rsidRDefault="0026419F" w:rsidP="003421A7">
      <w:pPr>
        <w:spacing w:line="259" w:lineRule="auto"/>
        <w:jc w:val="both"/>
        <w:rPr>
          <w:rFonts w:ascii="Arial" w:eastAsia="Calibri" w:hAnsi="Arial" w:cs="Arial"/>
          <w:color w:val="000000"/>
          <w:sz w:val="22"/>
          <w:szCs w:val="22"/>
          <w:lang w:eastAsia="en-US"/>
        </w:rPr>
      </w:pPr>
      <w:r w:rsidRPr="0026419F">
        <w:rPr>
          <w:rFonts w:ascii="Arial" w:eastAsia="Calibri" w:hAnsi="Arial" w:cs="Arial"/>
          <w:color w:val="000000"/>
          <w:sz w:val="22"/>
          <w:szCs w:val="22"/>
          <w:lang w:eastAsia="en-US"/>
        </w:rPr>
        <w:t xml:space="preserve">Program obuhvaća aktivnosti vezane uz pripremu i realizaciju pojedinih javnih razvojnih projekata sukladno zakonima i propisima koji se temelje na slijedećim strateškim razvojnim ciljevima Grada Labina: </w:t>
      </w:r>
    </w:p>
    <w:p w14:paraId="5F7EB726" w14:textId="77777777" w:rsidR="0026419F" w:rsidRPr="0026419F" w:rsidRDefault="0026419F">
      <w:pPr>
        <w:numPr>
          <w:ilvl w:val="0"/>
          <w:numId w:val="14"/>
        </w:numPr>
        <w:spacing w:line="259" w:lineRule="auto"/>
        <w:rPr>
          <w:rFonts w:ascii="Arial" w:eastAsia="Calibri" w:hAnsi="Arial" w:cs="Arial"/>
          <w:color w:val="000000"/>
          <w:sz w:val="22"/>
          <w:szCs w:val="22"/>
          <w:lang w:eastAsia="en-US"/>
        </w:rPr>
      </w:pPr>
      <w:r w:rsidRPr="0026419F">
        <w:rPr>
          <w:rFonts w:ascii="Arial" w:eastAsia="Calibri" w:hAnsi="Arial" w:cs="Arial"/>
          <w:color w:val="000000"/>
          <w:sz w:val="22"/>
          <w:szCs w:val="22"/>
          <w:lang w:eastAsia="en-US"/>
        </w:rPr>
        <w:t>Povećanje gospodarske konkurentnosti</w:t>
      </w:r>
    </w:p>
    <w:p w14:paraId="1B452178" w14:textId="77777777" w:rsidR="0026419F" w:rsidRPr="0026419F" w:rsidRDefault="0026419F">
      <w:pPr>
        <w:numPr>
          <w:ilvl w:val="0"/>
          <w:numId w:val="14"/>
        </w:numPr>
        <w:spacing w:line="259" w:lineRule="auto"/>
        <w:rPr>
          <w:rFonts w:ascii="Arial" w:eastAsia="Calibri" w:hAnsi="Arial" w:cs="Arial"/>
          <w:color w:val="000000"/>
          <w:sz w:val="22"/>
          <w:szCs w:val="22"/>
          <w:lang w:eastAsia="en-US"/>
        </w:rPr>
      </w:pPr>
      <w:r w:rsidRPr="0026419F">
        <w:rPr>
          <w:rFonts w:ascii="Arial" w:eastAsia="Calibri" w:hAnsi="Arial" w:cs="Arial"/>
          <w:color w:val="000000"/>
          <w:sz w:val="22"/>
          <w:szCs w:val="22"/>
          <w:lang w:eastAsia="en-US"/>
        </w:rPr>
        <w:t>Razvoj  ljudskih resursa i visoka kvaliteta života</w:t>
      </w:r>
    </w:p>
    <w:p w14:paraId="4621CB51" w14:textId="77777777" w:rsidR="0026419F" w:rsidRPr="0026419F" w:rsidRDefault="0026419F">
      <w:pPr>
        <w:numPr>
          <w:ilvl w:val="0"/>
          <w:numId w:val="14"/>
        </w:numPr>
        <w:spacing w:line="259" w:lineRule="auto"/>
        <w:rPr>
          <w:rFonts w:ascii="Arial" w:eastAsia="Calibri" w:hAnsi="Arial" w:cs="Arial"/>
          <w:color w:val="000000"/>
          <w:sz w:val="22"/>
          <w:szCs w:val="22"/>
          <w:lang w:eastAsia="en-US"/>
        </w:rPr>
      </w:pPr>
      <w:r w:rsidRPr="0026419F">
        <w:rPr>
          <w:rFonts w:ascii="Arial" w:eastAsia="Calibri" w:hAnsi="Arial" w:cs="Arial"/>
          <w:color w:val="000000"/>
          <w:sz w:val="22"/>
          <w:szCs w:val="22"/>
          <w:lang w:eastAsia="en-US"/>
        </w:rPr>
        <w:t>Jačanje infrastrukture, zaštite okoliša i održivog upravljanja prostorom i resursima</w:t>
      </w:r>
    </w:p>
    <w:p w14:paraId="1981AA49" w14:textId="77777777" w:rsidR="0026419F" w:rsidRPr="0026419F" w:rsidRDefault="0026419F">
      <w:pPr>
        <w:numPr>
          <w:ilvl w:val="0"/>
          <w:numId w:val="14"/>
        </w:numPr>
        <w:spacing w:line="259" w:lineRule="auto"/>
        <w:rPr>
          <w:rFonts w:ascii="Arial" w:eastAsia="Calibri" w:hAnsi="Arial" w:cs="Arial"/>
          <w:color w:val="000000"/>
          <w:sz w:val="22"/>
          <w:szCs w:val="22"/>
          <w:lang w:eastAsia="en-US"/>
        </w:rPr>
      </w:pPr>
      <w:r w:rsidRPr="0026419F">
        <w:rPr>
          <w:rFonts w:ascii="Arial" w:eastAsia="Calibri" w:hAnsi="Arial" w:cs="Arial"/>
          <w:color w:val="000000"/>
          <w:sz w:val="22"/>
          <w:szCs w:val="22"/>
          <w:lang w:eastAsia="en-US"/>
        </w:rPr>
        <w:t>Jačanje labinskog identiteta i njegove prepoznatljivosti,</w:t>
      </w:r>
    </w:p>
    <w:p w14:paraId="1E6E6D6A" w14:textId="77777777" w:rsidR="0026419F" w:rsidRPr="0026419F" w:rsidRDefault="0026419F" w:rsidP="003421A7">
      <w:pPr>
        <w:autoSpaceDE w:val="0"/>
        <w:autoSpaceDN w:val="0"/>
        <w:adjustRightInd w:val="0"/>
        <w:spacing w:line="259" w:lineRule="auto"/>
        <w:jc w:val="both"/>
        <w:rPr>
          <w:rFonts w:ascii="Arial" w:eastAsia="Aptos" w:hAnsi="Arial" w:cs="Arial"/>
          <w:color w:val="000000"/>
          <w:sz w:val="22"/>
          <w:szCs w:val="22"/>
          <w:lang w:eastAsia="en-US"/>
        </w:rPr>
      </w:pPr>
      <w:r w:rsidRPr="0026419F">
        <w:rPr>
          <w:rFonts w:ascii="Arial" w:eastAsia="Calibri" w:hAnsi="Arial" w:cs="Arial"/>
          <w:color w:val="000000"/>
          <w:sz w:val="22"/>
          <w:szCs w:val="22"/>
          <w:lang w:eastAsia="en-US"/>
        </w:rPr>
        <w:t xml:space="preserve">te na posebnim ciljevima kojima se želi podići kvaliteta života u gradu, </w:t>
      </w:r>
      <w:proofErr w:type="spellStart"/>
      <w:r w:rsidRPr="0026419F">
        <w:rPr>
          <w:rFonts w:ascii="Arial" w:eastAsia="Aptos" w:hAnsi="Arial" w:cs="Arial"/>
          <w:color w:val="000000"/>
          <w:sz w:val="22"/>
          <w:szCs w:val="22"/>
          <w:lang w:val="en-GB" w:eastAsia="en-US"/>
        </w:rPr>
        <w:t>gdje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će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sve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veći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broj</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kavalitetno</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uređenih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javnih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prostora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dati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ugodan</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doživljaj</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življenja</w:t>
      </w:r>
      <w:proofErr w:type="spellEnd"/>
      <w:r w:rsidRPr="0026419F">
        <w:rPr>
          <w:rFonts w:ascii="Arial" w:eastAsia="Aptos" w:hAnsi="Arial" w:cs="Arial"/>
          <w:color w:val="000000"/>
          <w:sz w:val="22"/>
          <w:szCs w:val="22"/>
          <w:lang w:val="en-GB" w:eastAsia="en-US"/>
        </w:rPr>
        <w:t xml:space="preserve"> u </w:t>
      </w:r>
      <w:proofErr w:type="spellStart"/>
      <w:r w:rsidRPr="0026419F">
        <w:rPr>
          <w:rFonts w:ascii="Arial" w:eastAsia="Aptos" w:hAnsi="Arial" w:cs="Arial"/>
          <w:color w:val="000000"/>
          <w:sz w:val="22"/>
          <w:szCs w:val="22"/>
          <w:lang w:val="en-GB" w:eastAsia="en-US"/>
        </w:rPr>
        <w:t>gradu</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svim</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njegovim</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stanovnicima</w:t>
      </w:r>
      <w:proofErr w:type="spellEnd"/>
      <w:r w:rsidRPr="0026419F">
        <w:rPr>
          <w:rFonts w:ascii="Arial" w:eastAsia="Aptos" w:hAnsi="Arial" w:cs="Arial"/>
          <w:color w:val="000000"/>
          <w:sz w:val="22"/>
          <w:szCs w:val="22"/>
          <w:lang w:val="en-GB" w:eastAsia="en-US"/>
        </w:rPr>
        <w:t xml:space="preserve">, </w:t>
      </w:r>
      <w:r w:rsidRPr="0026419F">
        <w:rPr>
          <w:rFonts w:ascii="Arial" w:eastAsia="Calibri" w:hAnsi="Arial" w:cs="Arial"/>
          <w:color w:val="000000"/>
          <w:sz w:val="22"/>
          <w:szCs w:val="22"/>
          <w:lang w:eastAsia="en-US"/>
        </w:rPr>
        <w:t>kvaliteta društvene infrastrukture u kulturi, odgoju i obrazovanju, sportskoj infrastrukturi i socijalnoj skrbi, zapošljavanju.</w:t>
      </w:r>
    </w:p>
    <w:p w14:paraId="46E914AA" w14:textId="77777777" w:rsidR="003421A7" w:rsidRDefault="003421A7" w:rsidP="003421A7">
      <w:pPr>
        <w:autoSpaceDE w:val="0"/>
        <w:autoSpaceDN w:val="0"/>
        <w:adjustRightInd w:val="0"/>
        <w:spacing w:line="259" w:lineRule="auto"/>
        <w:jc w:val="both"/>
        <w:rPr>
          <w:rFonts w:ascii="Arial" w:eastAsia="Aptos" w:hAnsi="Arial" w:cs="Arial"/>
          <w:color w:val="000000"/>
          <w:sz w:val="22"/>
          <w:szCs w:val="22"/>
          <w:lang w:eastAsia="en-US"/>
        </w:rPr>
      </w:pPr>
    </w:p>
    <w:p w14:paraId="0D684C82" w14:textId="540109FD" w:rsidR="0026419F" w:rsidRDefault="0026419F" w:rsidP="003421A7">
      <w:pPr>
        <w:autoSpaceDE w:val="0"/>
        <w:autoSpaceDN w:val="0"/>
        <w:adjustRightInd w:val="0"/>
        <w:spacing w:line="259" w:lineRule="auto"/>
        <w:jc w:val="both"/>
        <w:rPr>
          <w:rFonts w:ascii="Arial" w:eastAsia="Aptos" w:hAnsi="Arial" w:cs="Arial"/>
          <w:color w:val="000000"/>
          <w:sz w:val="22"/>
          <w:szCs w:val="22"/>
          <w:lang w:eastAsia="en-US"/>
        </w:rPr>
      </w:pPr>
      <w:r w:rsidRPr="0026419F">
        <w:rPr>
          <w:rFonts w:ascii="Arial" w:eastAsia="Aptos" w:hAnsi="Arial" w:cs="Arial"/>
          <w:color w:val="000000"/>
          <w:sz w:val="22"/>
          <w:szCs w:val="22"/>
          <w:lang w:eastAsia="en-US"/>
        </w:rPr>
        <w:t xml:space="preserve">U </w:t>
      </w:r>
      <w:r w:rsidRPr="0026419F">
        <w:rPr>
          <w:rFonts w:ascii="Arial" w:eastAsia="Aptos" w:hAnsi="Arial" w:cs="Arial"/>
          <w:b/>
          <w:color w:val="000000"/>
          <w:sz w:val="22"/>
          <w:szCs w:val="22"/>
          <w:lang w:eastAsia="en-US"/>
        </w:rPr>
        <w:t xml:space="preserve">PROGRAMU 3003 – Izgradnja građevina javne namjene </w:t>
      </w:r>
      <w:r w:rsidRPr="0026419F">
        <w:rPr>
          <w:rFonts w:ascii="Arial" w:eastAsia="Aptos" w:hAnsi="Arial" w:cs="Arial"/>
          <w:color w:val="000000"/>
          <w:sz w:val="22"/>
          <w:szCs w:val="22"/>
          <w:lang w:eastAsia="en-US"/>
        </w:rPr>
        <w:t xml:space="preserve">predlaže se povećanje planiranog iznosa za </w:t>
      </w:r>
      <w:r w:rsidRPr="0026419F">
        <w:rPr>
          <w:rFonts w:ascii="Arial" w:eastAsia="Aptos" w:hAnsi="Arial" w:cs="Arial"/>
          <w:b/>
          <w:color w:val="000000"/>
          <w:sz w:val="22"/>
          <w:szCs w:val="22"/>
          <w:lang w:eastAsia="en-US"/>
        </w:rPr>
        <w:t>22,84%</w:t>
      </w:r>
      <w:r w:rsidRPr="0026419F">
        <w:rPr>
          <w:rFonts w:ascii="Arial" w:eastAsia="Aptos" w:hAnsi="Arial" w:cs="Arial"/>
          <w:color w:val="000000"/>
          <w:sz w:val="22"/>
          <w:szCs w:val="22"/>
          <w:lang w:eastAsia="en-US"/>
        </w:rPr>
        <w:t xml:space="preserve"> odnosno za </w:t>
      </w:r>
      <w:r w:rsidRPr="0026419F">
        <w:rPr>
          <w:rFonts w:ascii="Arial" w:eastAsia="Aptos" w:hAnsi="Arial" w:cs="Arial"/>
          <w:b/>
          <w:bCs/>
          <w:color w:val="000000"/>
          <w:sz w:val="22"/>
          <w:szCs w:val="22"/>
          <w:lang w:eastAsia="en-US"/>
        </w:rPr>
        <w:t xml:space="preserve">527.829,00 </w:t>
      </w:r>
      <w:r>
        <w:rPr>
          <w:rFonts w:ascii="Arial" w:eastAsia="Aptos" w:hAnsi="Arial" w:cs="Arial"/>
          <w:b/>
          <w:color w:val="000000"/>
          <w:sz w:val="22"/>
          <w:szCs w:val="22"/>
          <w:lang w:eastAsia="en-US"/>
        </w:rPr>
        <w:t>EUR</w:t>
      </w:r>
      <w:r w:rsidRPr="0026419F">
        <w:rPr>
          <w:rFonts w:ascii="Arial" w:eastAsia="Aptos" w:hAnsi="Arial" w:cs="Arial"/>
          <w:color w:val="000000"/>
          <w:sz w:val="22"/>
          <w:szCs w:val="22"/>
          <w:lang w:eastAsia="en-US"/>
        </w:rPr>
        <w:t xml:space="preserve">, tako da umjesto </w:t>
      </w:r>
      <w:r w:rsidRPr="0026419F">
        <w:rPr>
          <w:rFonts w:ascii="Arial" w:eastAsia="Aptos" w:hAnsi="Arial" w:cs="Arial"/>
          <w:b/>
          <w:bCs/>
          <w:color w:val="000000"/>
          <w:sz w:val="22"/>
          <w:szCs w:val="22"/>
          <w:lang w:eastAsia="en-US"/>
        </w:rPr>
        <w:t xml:space="preserve">2.310.971,00 </w:t>
      </w:r>
      <w:r>
        <w:rPr>
          <w:rFonts w:ascii="Arial" w:eastAsia="Aptos" w:hAnsi="Arial" w:cs="Arial"/>
          <w:b/>
          <w:color w:val="000000"/>
          <w:sz w:val="22"/>
          <w:szCs w:val="22"/>
          <w:lang w:eastAsia="en-US"/>
        </w:rPr>
        <w:t>EUR</w:t>
      </w:r>
      <w:r w:rsidRPr="0026419F">
        <w:rPr>
          <w:rFonts w:ascii="Arial" w:eastAsia="Aptos" w:hAnsi="Arial" w:cs="Arial"/>
          <w:b/>
          <w:color w:val="000000"/>
          <w:sz w:val="22"/>
          <w:szCs w:val="22"/>
          <w:lang w:eastAsia="en-US"/>
        </w:rPr>
        <w:t xml:space="preserve"> </w:t>
      </w:r>
      <w:r w:rsidRPr="0026419F">
        <w:rPr>
          <w:rFonts w:ascii="Arial" w:eastAsia="Aptos" w:hAnsi="Arial" w:cs="Arial"/>
          <w:color w:val="000000"/>
          <w:sz w:val="22"/>
          <w:szCs w:val="22"/>
          <w:lang w:eastAsia="en-US"/>
        </w:rPr>
        <w:t xml:space="preserve">sada iznosi </w:t>
      </w:r>
      <w:r w:rsidRPr="0026419F">
        <w:rPr>
          <w:rFonts w:ascii="Arial" w:eastAsia="Aptos" w:hAnsi="Arial" w:cs="Arial"/>
          <w:b/>
          <w:color w:val="000000"/>
          <w:sz w:val="22"/>
          <w:szCs w:val="22"/>
          <w:lang w:eastAsia="en-US"/>
        </w:rPr>
        <w:t xml:space="preserve">2.838.800,00 </w:t>
      </w:r>
      <w:r>
        <w:rPr>
          <w:rFonts w:ascii="Arial" w:eastAsia="Aptos" w:hAnsi="Arial" w:cs="Arial"/>
          <w:b/>
          <w:color w:val="000000"/>
          <w:sz w:val="22"/>
          <w:szCs w:val="22"/>
          <w:lang w:eastAsia="en-US"/>
        </w:rPr>
        <w:t>EUR</w:t>
      </w:r>
      <w:r w:rsidRPr="0026419F">
        <w:rPr>
          <w:rFonts w:ascii="Arial" w:eastAsia="Aptos" w:hAnsi="Arial" w:cs="Arial"/>
          <w:color w:val="000000"/>
          <w:sz w:val="22"/>
          <w:szCs w:val="22"/>
          <w:lang w:eastAsia="en-US"/>
        </w:rPr>
        <w:t xml:space="preserve">.  U nastavku se daje prikaz izmjena i dopuna po pojedinim kapitalnim projektima  koje se predlažu u odnosu na važeći Program izgradnje:  </w:t>
      </w:r>
    </w:p>
    <w:p w14:paraId="533DF03D" w14:textId="77777777" w:rsidR="003421A7" w:rsidRPr="0026419F" w:rsidRDefault="003421A7" w:rsidP="003421A7">
      <w:pPr>
        <w:autoSpaceDE w:val="0"/>
        <w:autoSpaceDN w:val="0"/>
        <w:adjustRightInd w:val="0"/>
        <w:spacing w:line="259" w:lineRule="auto"/>
        <w:jc w:val="both"/>
        <w:rPr>
          <w:rFonts w:ascii="Arial" w:eastAsia="Aptos" w:hAnsi="Arial" w:cs="Arial"/>
          <w:color w:val="000000"/>
          <w:sz w:val="22"/>
          <w:szCs w:val="22"/>
          <w:lang w:eastAsia="en-U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815"/>
        <w:gridCol w:w="2188"/>
        <w:gridCol w:w="1700"/>
        <w:gridCol w:w="1217"/>
        <w:gridCol w:w="1478"/>
      </w:tblGrid>
      <w:tr w:rsidR="0026419F" w:rsidRPr="0026419F" w14:paraId="79B475A7" w14:textId="77777777" w:rsidTr="0026419F">
        <w:trPr>
          <w:trHeight w:val="397"/>
        </w:trPr>
        <w:tc>
          <w:tcPr>
            <w:tcW w:w="8959" w:type="dxa"/>
            <w:gridSpan w:val="6"/>
            <w:tcBorders>
              <w:top w:val="single" w:sz="4" w:space="0" w:color="auto"/>
              <w:left w:val="single" w:sz="4" w:space="0" w:color="auto"/>
              <w:bottom w:val="single" w:sz="4" w:space="0" w:color="auto"/>
              <w:right w:val="single" w:sz="4" w:space="0" w:color="auto"/>
            </w:tcBorders>
            <w:vAlign w:val="center"/>
            <w:hideMark/>
          </w:tcPr>
          <w:p w14:paraId="754BD843" w14:textId="77777777" w:rsidR="0026419F" w:rsidRPr="0026419F" w:rsidRDefault="0026419F" w:rsidP="0026419F">
            <w:pPr>
              <w:spacing w:line="256" w:lineRule="auto"/>
              <w:jc w:val="center"/>
              <w:rPr>
                <w:rFonts w:ascii="Arial" w:eastAsia="Calibri" w:hAnsi="Arial" w:cs="Arial"/>
                <w:b/>
                <w:bCs/>
                <w:color w:val="000000"/>
                <w:kern w:val="2"/>
                <w:sz w:val="22"/>
                <w:szCs w:val="22"/>
                <w:lang w:eastAsia="en-US"/>
                <w14:ligatures w14:val="standardContextual"/>
              </w:rPr>
            </w:pPr>
            <w:r w:rsidRPr="0026419F">
              <w:rPr>
                <w:rFonts w:ascii="Arial" w:eastAsia="Calibri" w:hAnsi="Arial" w:cs="Arial"/>
                <w:b/>
                <w:bCs/>
                <w:color w:val="000000"/>
                <w:kern w:val="2"/>
                <w:szCs w:val="22"/>
                <w:lang w:eastAsia="en-US"/>
                <w14:ligatures w14:val="standardContextual"/>
              </w:rPr>
              <w:t>PROGRAM 3003 – Izgradnja građevina javne namjene</w:t>
            </w:r>
          </w:p>
        </w:tc>
      </w:tr>
      <w:tr w:rsidR="0026419F" w:rsidRPr="0026419F" w14:paraId="677A9C18" w14:textId="77777777" w:rsidTr="0026419F">
        <w:trPr>
          <w:trHeight w:val="298"/>
        </w:trPr>
        <w:tc>
          <w:tcPr>
            <w:tcW w:w="561" w:type="dxa"/>
            <w:tcBorders>
              <w:top w:val="single" w:sz="4" w:space="0" w:color="auto"/>
              <w:left w:val="single" w:sz="4" w:space="0" w:color="auto"/>
              <w:bottom w:val="single" w:sz="4" w:space="0" w:color="auto"/>
              <w:right w:val="single" w:sz="4" w:space="0" w:color="auto"/>
            </w:tcBorders>
            <w:vAlign w:val="center"/>
            <w:hideMark/>
          </w:tcPr>
          <w:p w14:paraId="1B12767D" w14:textId="77777777" w:rsidR="0026419F" w:rsidRPr="0026419F" w:rsidRDefault="0026419F" w:rsidP="0026419F">
            <w:pPr>
              <w:spacing w:after="160" w:line="256" w:lineRule="auto"/>
              <w:rPr>
                <w:rFonts w:ascii="Arial" w:eastAsia="Aptos" w:hAnsi="Arial" w:cs="Arial"/>
                <w:b/>
                <w:bCs/>
                <w:color w:val="000000"/>
                <w:kern w:val="2"/>
                <w:szCs w:val="22"/>
                <w:lang w:eastAsia="en-US"/>
                <w14:ligatures w14:val="standardContextual"/>
              </w:rPr>
            </w:pPr>
          </w:p>
        </w:tc>
        <w:tc>
          <w:tcPr>
            <w:tcW w:w="1815" w:type="dxa"/>
            <w:tcBorders>
              <w:top w:val="single" w:sz="4" w:space="0" w:color="auto"/>
              <w:left w:val="single" w:sz="4" w:space="0" w:color="auto"/>
              <w:bottom w:val="single" w:sz="4" w:space="0" w:color="auto"/>
              <w:right w:val="single" w:sz="4" w:space="0" w:color="auto"/>
            </w:tcBorders>
            <w:vAlign w:val="center"/>
            <w:hideMark/>
          </w:tcPr>
          <w:p w14:paraId="2E5865C3"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Oznaka projekta</w:t>
            </w:r>
          </w:p>
        </w:tc>
        <w:tc>
          <w:tcPr>
            <w:tcW w:w="2188" w:type="dxa"/>
            <w:tcBorders>
              <w:top w:val="single" w:sz="4" w:space="0" w:color="auto"/>
              <w:left w:val="single" w:sz="4" w:space="0" w:color="auto"/>
              <w:bottom w:val="single" w:sz="4" w:space="0" w:color="auto"/>
              <w:right w:val="single" w:sz="4" w:space="0" w:color="auto"/>
            </w:tcBorders>
            <w:vAlign w:val="center"/>
            <w:hideMark/>
          </w:tcPr>
          <w:p w14:paraId="1044C734"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Naziv projekta</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99AD5CE"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Plan za 2025. godinu</w:t>
            </w:r>
          </w:p>
        </w:tc>
        <w:tc>
          <w:tcPr>
            <w:tcW w:w="1217" w:type="dxa"/>
            <w:tcBorders>
              <w:top w:val="single" w:sz="4" w:space="0" w:color="auto"/>
              <w:left w:val="single" w:sz="4" w:space="0" w:color="auto"/>
              <w:bottom w:val="single" w:sz="4" w:space="0" w:color="auto"/>
              <w:right w:val="single" w:sz="4" w:space="0" w:color="auto"/>
            </w:tcBorders>
            <w:vAlign w:val="center"/>
            <w:hideMark/>
          </w:tcPr>
          <w:p w14:paraId="0409175B"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Razlika</w:t>
            </w:r>
          </w:p>
        </w:tc>
        <w:tc>
          <w:tcPr>
            <w:tcW w:w="1478" w:type="dxa"/>
            <w:tcBorders>
              <w:top w:val="single" w:sz="4" w:space="0" w:color="auto"/>
              <w:left w:val="single" w:sz="4" w:space="0" w:color="auto"/>
              <w:bottom w:val="single" w:sz="4" w:space="0" w:color="auto"/>
              <w:right w:val="single" w:sz="4" w:space="0" w:color="auto"/>
            </w:tcBorders>
            <w:vAlign w:val="center"/>
            <w:hideMark/>
          </w:tcPr>
          <w:p w14:paraId="6BD1B787"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Novi Plan za 2025. godinu</w:t>
            </w:r>
          </w:p>
        </w:tc>
      </w:tr>
      <w:tr w:rsidR="0026419F" w:rsidRPr="0026419F" w14:paraId="0D8953DF" w14:textId="77777777" w:rsidTr="0026419F">
        <w:trPr>
          <w:trHeight w:val="508"/>
        </w:trPr>
        <w:tc>
          <w:tcPr>
            <w:tcW w:w="561" w:type="dxa"/>
            <w:vMerge w:val="restart"/>
            <w:tcBorders>
              <w:top w:val="single" w:sz="4" w:space="0" w:color="auto"/>
              <w:left w:val="single" w:sz="4" w:space="0" w:color="auto"/>
              <w:bottom w:val="single" w:sz="4" w:space="0" w:color="auto"/>
              <w:right w:val="single" w:sz="4" w:space="0" w:color="auto"/>
            </w:tcBorders>
            <w:hideMark/>
          </w:tcPr>
          <w:p w14:paraId="65C32DD7" w14:textId="77777777" w:rsidR="0026419F" w:rsidRPr="0026419F" w:rsidRDefault="0026419F" w:rsidP="0026419F">
            <w:pPr>
              <w:spacing w:after="160" w:line="256" w:lineRule="auto"/>
              <w:jc w:val="center"/>
              <w:rPr>
                <w:rFonts w:ascii="Arial" w:eastAsia="Aptos" w:hAnsi="Arial" w:cs="Arial"/>
                <w:b/>
                <w:bCs/>
                <w:color w:val="000000"/>
                <w:kern w:val="2"/>
                <w:sz w:val="20"/>
                <w:szCs w:val="20"/>
                <w:lang w:eastAsia="en-US"/>
                <w14:ligatures w14:val="standardContextual"/>
              </w:rPr>
            </w:pPr>
            <w:r w:rsidRPr="0026419F">
              <w:rPr>
                <w:rFonts w:ascii="Arial" w:eastAsia="Aptos" w:hAnsi="Arial" w:cs="Arial"/>
                <w:b/>
                <w:bCs/>
                <w:color w:val="000000"/>
                <w:kern w:val="2"/>
                <w:sz w:val="20"/>
                <w:szCs w:val="20"/>
                <w:lang w:eastAsia="en-US"/>
                <w14:ligatures w14:val="standardContextual"/>
              </w:rPr>
              <w:t xml:space="preserve">1. </w:t>
            </w:r>
          </w:p>
        </w:tc>
        <w:tc>
          <w:tcPr>
            <w:tcW w:w="1815" w:type="dxa"/>
            <w:tcBorders>
              <w:top w:val="single" w:sz="4" w:space="0" w:color="auto"/>
              <w:left w:val="single" w:sz="4" w:space="0" w:color="auto"/>
              <w:bottom w:val="single" w:sz="4" w:space="0" w:color="auto"/>
              <w:right w:val="single" w:sz="4" w:space="0" w:color="auto"/>
            </w:tcBorders>
            <w:vAlign w:val="center"/>
            <w:hideMark/>
          </w:tcPr>
          <w:p w14:paraId="0BC28B3E"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Kapitalni projekt K300005</w:t>
            </w:r>
          </w:p>
        </w:tc>
        <w:tc>
          <w:tcPr>
            <w:tcW w:w="2188" w:type="dxa"/>
            <w:tcBorders>
              <w:top w:val="single" w:sz="4" w:space="0" w:color="auto"/>
              <w:left w:val="single" w:sz="4" w:space="0" w:color="auto"/>
              <w:bottom w:val="single" w:sz="4" w:space="0" w:color="auto"/>
              <w:right w:val="single" w:sz="4" w:space="0" w:color="auto"/>
            </w:tcBorders>
            <w:vAlign w:val="center"/>
            <w:hideMark/>
          </w:tcPr>
          <w:p w14:paraId="41647FD9"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 xml:space="preserve">Rekonstrukcija i sanacija velikog kupatila, tople veze i </w:t>
            </w:r>
            <w:proofErr w:type="spellStart"/>
            <w:r w:rsidRPr="0026419F">
              <w:rPr>
                <w:rFonts w:ascii="Arial" w:eastAsia="Calibri" w:hAnsi="Arial" w:cs="Arial"/>
                <w:b/>
                <w:bCs/>
                <w:color w:val="000000"/>
                <w:kern w:val="2"/>
                <w:sz w:val="20"/>
                <w:szCs w:val="20"/>
                <w:lang w:eastAsia="en-US"/>
                <w14:ligatures w14:val="standardContextual"/>
              </w:rPr>
              <w:lastRenderedPageBreak/>
              <w:t>šohta</w:t>
            </w:r>
            <w:proofErr w:type="spellEnd"/>
            <w:r w:rsidRPr="0026419F">
              <w:rPr>
                <w:rFonts w:ascii="Arial" w:eastAsia="Calibri" w:hAnsi="Arial" w:cs="Arial"/>
                <w:b/>
                <w:bCs/>
                <w:color w:val="000000"/>
                <w:kern w:val="2"/>
                <w:sz w:val="20"/>
                <w:szCs w:val="20"/>
                <w:lang w:eastAsia="en-US"/>
                <w14:ligatures w14:val="standardContextual"/>
              </w:rPr>
              <w:t xml:space="preserve"> u sklopu rudarskog kompleksa </w:t>
            </w:r>
            <w:proofErr w:type="spellStart"/>
            <w:r w:rsidRPr="0026419F">
              <w:rPr>
                <w:rFonts w:ascii="Arial" w:eastAsia="Calibri" w:hAnsi="Arial" w:cs="Arial"/>
                <w:b/>
                <w:bCs/>
                <w:color w:val="000000"/>
                <w:kern w:val="2"/>
                <w:sz w:val="20"/>
                <w:szCs w:val="20"/>
                <w:lang w:eastAsia="en-US"/>
                <w14:ligatures w14:val="standardContextual"/>
              </w:rPr>
              <w:t>Pijacal</w:t>
            </w:r>
            <w:proofErr w:type="spellEnd"/>
          </w:p>
        </w:tc>
        <w:tc>
          <w:tcPr>
            <w:tcW w:w="1700" w:type="dxa"/>
            <w:tcBorders>
              <w:top w:val="single" w:sz="4" w:space="0" w:color="auto"/>
              <w:left w:val="single" w:sz="4" w:space="0" w:color="auto"/>
              <w:bottom w:val="single" w:sz="4" w:space="0" w:color="auto"/>
              <w:right w:val="single" w:sz="4" w:space="0" w:color="auto"/>
            </w:tcBorders>
            <w:vAlign w:val="center"/>
            <w:hideMark/>
          </w:tcPr>
          <w:p w14:paraId="478975C2"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lastRenderedPageBreak/>
              <w:t>261.050,00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F7769B7"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38.450,00</w:t>
            </w:r>
          </w:p>
        </w:tc>
        <w:tc>
          <w:tcPr>
            <w:tcW w:w="1478" w:type="dxa"/>
            <w:tcBorders>
              <w:top w:val="single" w:sz="4" w:space="0" w:color="auto"/>
              <w:left w:val="single" w:sz="4" w:space="0" w:color="auto"/>
              <w:bottom w:val="single" w:sz="4" w:space="0" w:color="auto"/>
              <w:right w:val="single" w:sz="4" w:space="0" w:color="auto"/>
            </w:tcBorders>
            <w:vAlign w:val="center"/>
            <w:hideMark/>
          </w:tcPr>
          <w:p w14:paraId="231F944F"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299.500,00</w:t>
            </w:r>
          </w:p>
        </w:tc>
      </w:tr>
      <w:tr w:rsidR="0026419F" w:rsidRPr="0026419F" w14:paraId="64ADB9E3" w14:textId="77777777" w:rsidTr="0026419F">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35C30" w14:textId="77777777" w:rsidR="0026419F" w:rsidRPr="0026419F" w:rsidRDefault="0026419F" w:rsidP="0026419F">
            <w:pPr>
              <w:spacing w:line="256" w:lineRule="auto"/>
              <w:rPr>
                <w:rFonts w:ascii="Arial" w:eastAsia="Aptos" w:hAnsi="Arial" w:cs="Arial"/>
                <w:b/>
                <w:bCs/>
                <w:color w:val="000000"/>
                <w:kern w:val="2"/>
                <w:sz w:val="20"/>
                <w:szCs w:val="20"/>
                <w:lang w:eastAsia="en-US"/>
                <w14:ligatures w14:val="standardContextual"/>
              </w:rPr>
            </w:pPr>
          </w:p>
        </w:tc>
        <w:tc>
          <w:tcPr>
            <w:tcW w:w="8398" w:type="dxa"/>
            <w:gridSpan w:val="5"/>
            <w:tcBorders>
              <w:top w:val="single" w:sz="4" w:space="0" w:color="auto"/>
              <w:left w:val="single" w:sz="4" w:space="0" w:color="auto"/>
              <w:bottom w:val="single" w:sz="4" w:space="0" w:color="auto"/>
              <w:right w:val="single" w:sz="4" w:space="0" w:color="auto"/>
            </w:tcBorders>
            <w:vAlign w:val="center"/>
            <w:hideMark/>
          </w:tcPr>
          <w:p w14:paraId="46D496E5" w14:textId="77777777" w:rsidR="0026419F" w:rsidRPr="0026419F" w:rsidRDefault="0026419F" w:rsidP="0026419F">
            <w:pPr>
              <w:spacing w:line="256" w:lineRule="auto"/>
              <w:jc w:val="both"/>
              <w:rPr>
                <w:rFonts w:ascii="Arial" w:eastAsia="Calibri" w:hAnsi="Arial" w:cs="Arial"/>
                <w:color w:val="000000"/>
                <w:kern w:val="2"/>
                <w:sz w:val="20"/>
                <w:szCs w:val="20"/>
                <w:lang w:eastAsia="en-US"/>
                <w14:ligatures w14:val="standardContextual"/>
              </w:rPr>
            </w:pPr>
            <w:r w:rsidRPr="0026419F">
              <w:rPr>
                <w:rFonts w:ascii="Arial" w:eastAsia="Calibri" w:hAnsi="Arial" w:cs="Arial"/>
                <w:color w:val="000000"/>
                <w:kern w:val="2"/>
                <w:sz w:val="20"/>
                <w:szCs w:val="20"/>
                <w:lang w:eastAsia="en-US"/>
                <w14:ligatures w14:val="standardContextual"/>
              </w:rPr>
              <w:t xml:space="preserve">Povećanje se odnosi na projekt prenamjene rudarskih kupatila. Ovom izmjenom omogućava se provedba konzervatorsko-restauratorskih istražnih radova i dodatne pred projektne dokumentacije </w:t>
            </w:r>
            <w:proofErr w:type="spellStart"/>
            <w:r w:rsidRPr="0026419F">
              <w:rPr>
                <w:rFonts w:ascii="Arial" w:eastAsia="Calibri" w:hAnsi="Arial" w:cs="Arial"/>
                <w:color w:val="000000"/>
                <w:kern w:val="2"/>
                <w:sz w:val="20"/>
                <w:szCs w:val="20"/>
                <w:lang w:eastAsia="en-US"/>
                <w14:ligatures w14:val="standardContextual"/>
              </w:rPr>
              <w:t>zahtjevane</w:t>
            </w:r>
            <w:proofErr w:type="spellEnd"/>
            <w:r w:rsidRPr="0026419F">
              <w:rPr>
                <w:rFonts w:ascii="Arial" w:eastAsia="Calibri" w:hAnsi="Arial" w:cs="Arial"/>
                <w:color w:val="000000"/>
                <w:kern w:val="2"/>
                <w:sz w:val="20"/>
                <w:szCs w:val="20"/>
                <w:lang w:eastAsia="en-US"/>
                <w14:ligatures w14:val="standardContextual"/>
              </w:rPr>
              <w:t xml:space="preserve"> od strane KO Pula kao nužne predradnje u postupku izrade glavnog projekta a u konačnom cilju ishođenja suglasnosti i potvrda od strane KO Pula. Ovaj projekt je dio ovog Programa odnosno Proračuna Grada Labina iz razloga što je Grad Labin potencijalni korisnik Operacije 3. „Ulaganja poduzetničke potporne institucije (</w:t>
            </w:r>
            <w:proofErr w:type="spellStart"/>
            <w:r w:rsidRPr="0026419F">
              <w:rPr>
                <w:rFonts w:ascii="Arial" w:eastAsia="Calibri" w:hAnsi="Arial" w:cs="Arial"/>
                <w:color w:val="000000"/>
                <w:kern w:val="2"/>
                <w:sz w:val="20"/>
                <w:szCs w:val="20"/>
                <w:lang w:eastAsia="en-US"/>
                <w14:ligatures w14:val="standardContextual"/>
              </w:rPr>
              <w:t>coworking</w:t>
            </w:r>
            <w:proofErr w:type="spellEnd"/>
            <w:r w:rsidRPr="0026419F">
              <w:rPr>
                <w:rFonts w:ascii="Arial" w:eastAsia="Calibri" w:hAnsi="Arial" w:cs="Arial"/>
                <w:color w:val="000000"/>
                <w:kern w:val="2"/>
                <w:sz w:val="20"/>
                <w:szCs w:val="20"/>
                <w:lang w:eastAsia="en-US"/>
                <w14:ligatures w14:val="standardContextual"/>
              </w:rPr>
              <w:t xml:space="preserve"> prostori, tehnološko-inovacijski inkubatori, centre (HUB) znanja, kreativnosti i inovacija)“ u okviru Fonda za pravednu tranziciju za Istarsku županiju kroz projekte „Podzemni eko centar izvrsnosti“ i </w:t>
            </w:r>
            <w:proofErr w:type="spellStart"/>
            <w:r w:rsidRPr="0026419F">
              <w:rPr>
                <w:rFonts w:ascii="Arial" w:eastAsia="Calibri" w:hAnsi="Arial" w:cs="Arial"/>
                <w:color w:val="000000"/>
                <w:kern w:val="2"/>
                <w:sz w:val="20"/>
                <w:szCs w:val="20"/>
                <w:lang w:eastAsia="en-US"/>
                <w14:ligatures w14:val="standardContextual"/>
              </w:rPr>
              <w:t>Pijacal</w:t>
            </w:r>
            <w:proofErr w:type="spellEnd"/>
            <w:r w:rsidRPr="0026419F">
              <w:rPr>
                <w:rFonts w:ascii="Arial" w:eastAsia="Calibri" w:hAnsi="Arial" w:cs="Arial"/>
                <w:color w:val="000000"/>
                <w:kern w:val="2"/>
                <w:sz w:val="20"/>
                <w:szCs w:val="20"/>
                <w:lang w:eastAsia="en-US"/>
                <w14:ligatures w14:val="standardContextual"/>
              </w:rPr>
              <w:t xml:space="preserve"> – HUB  (koordinator Javna ustanova „Regionalni koordinator Istarske županije za europske programe i fondove - </w:t>
            </w:r>
            <w:proofErr w:type="spellStart"/>
            <w:r w:rsidRPr="0026419F">
              <w:rPr>
                <w:rFonts w:ascii="Arial" w:eastAsia="Calibri" w:hAnsi="Arial" w:cs="Arial"/>
                <w:color w:val="000000"/>
                <w:kern w:val="2"/>
                <w:sz w:val="20"/>
                <w:szCs w:val="20"/>
                <w:lang w:eastAsia="en-US"/>
                <w14:ligatures w14:val="standardContextual"/>
              </w:rPr>
              <w:t>Coordinatore</w:t>
            </w:r>
            <w:proofErr w:type="spellEnd"/>
            <w:r w:rsidRPr="0026419F">
              <w:rPr>
                <w:rFonts w:ascii="Arial" w:eastAsia="Calibri" w:hAnsi="Arial" w:cs="Arial"/>
                <w:color w:val="000000"/>
                <w:kern w:val="2"/>
                <w:sz w:val="20"/>
                <w:szCs w:val="20"/>
                <w:lang w:eastAsia="en-US"/>
                <w14:ligatures w14:val="standardContextual"/>
              </w:rPr>
              <w:t xml:space="preserve"> </w:t>
            </w:r>
            <w:proofErr w:type="spellStart"/>
            <w:r w:rsidRPr="0026419F">
              <w:rPr>
                <w:rFonts w:ascii="Arial" w:eastAsia="Calibri" w:hAnsi="Arial" w:cs="Arial"/>
                <w:color w:val="000000"/>
                <w:kern w:val="2"/>
                <w:sz w:val="20"/>
                <w:szCs w:val="20"/>
                <w:lang w:eastAsia="en-US"/>
                <w14:ligatures w14:val="standardContextual"/>
              </w:rPr>
              <w:t>regionale</w:t>
            </w:r>
            <w:proofErr w:type="spellEnd"/>
            <w:r w:rsidRPr="0026419F">
              <w:rPr>
                <w:rFonts w:ascii="Arial" w:eastAsia="Calibri" w:hAnsi="Arial" w:cs="Arial"/>
                <w:color w:val="000000"/>
                <w:kern w:val="2"/>
                <w:sz w:val="20"/>
                <w:szCs w:val="20"/>
                <w:lang w:eastAsia="en-US"/>
                <w14:ligatures w14:val="standardContextual"/>
              </w:rPr>
              <w:t xml:space="preserve"> della </w:t>
            </w:r>
            <w:proofErr w:type="spellStart"/>
            <w:r w:rsidRPr="0026419F">
              <w:rPr>
                <w:rFonts w:ascii="Arial" w:eastAsia="Calibri" w:hAnsi="Arial" w:cs="Arial"/>
                <w:color w:val="000000"/>
                <w:kern w:val="2"/>
                <w:sz w:val="20"/>
                <w:szCs w:val="20"/>
                <w:lang w:eastAsia="en-US"/>
                <w14:ligatures w14:val="standardContextual"/>
              </w:rPr>
              <w:t>Regione</w:t>
            </w:r>
            <w:proofErr w:type="spellEnd"/>
            <w:r w:rsidRPr="0026419F">
              <w:rPr>
                <w:rFonts w:ascii="Arial" w:eastAsia="Calibri" w:hAnsi="Arial" w:cs="Arial"/>
                <w:color w:val="000000"/>
                <w:kern w:val="2"/>
                <w:sz w:val="20"/>
                <w:szCs w:val="20"/>
                <w:lang w:eastAsia="en-US"/>
                <w14:ligatures w14:val="standardContextual"/>
              </w:rPr>
              <w:t xml:space="preserve"> </w:t>
            </w:r>
            <w:proofErr w:type="spellStart"/>
            <w:r w:rsidRPr="0026419F">
              <w:rPr>
                <w:rFonts w:ascii="Arial" w:eastAsia="Calibri" w:hAnsi="Arial" w:cs="Arial"/>
                <w:color w:val="000000"/>
                <w:kern w:val="2"/>
                <w:sz w:val="20"/>
                <w:szCs w:val="20"/>
                <w:lang w:eastAsia="en-US"/>
                <w14:ligatures w14:val="standardContextual"/>
              </w:rPr>
              <w:t>Istriana</w:t>
            </w:r>
            <w:proofErr w:type="spellEnd"/>
            <w:r w:rsidRPr="0026419F">
              <w:rPr>
                <w:rFonts w:ascii="Arial" w:eastAsia="Calibri" w:hAnsi="Arial" w:cs="Arial"/>
                <w:color w:val="000000"/>
                <w:kern w:val="2"/>
                <w:sz w:val="20"/>
                <w:szCs w:val="20"/>
                <w:lang w:eastAsia="en-US"/>
                <w14:ligatures w14:val="standardContextual"/>
              </w:rPr>
              <w:t xml:space="preserve"> per i </w:t>
            </w:r>
            <w:proofErr w:type="spellStart"/>
            <w:r w:rsidRPr="0026419F">
              <w:rPr>
                <w:rFonts w:ascii="Arial" w:eastAsia="Calibri" w:hAnsi="Arial" w:cs="Arial"/>
                <w:color w:val="000000"/>
                <w:kern w:val="2"/>
                <w:sz w:val="20"/>
                <w:szCs w:val="20"/>
                <w:lang w:eastAsia="en-US"/>
                <w14:ligatures w14:val="standardContextual"/>
              </w:rPr>
              <w:t>programmi</w:t>
            </w:r>
            <w:proofErr w:type="spellEnd"/>
            <w:r w:rsidRPr="0026419F">
              <w:rPr>
                <w:rFonts w:ascii="Arial" w:eastAsia="Calibri" w:hAnsi="Arial" w:cs="Arial"/>
                <w:color w:val="000000"/>
                <w:kern w:val="2"/>
                <w:sz w:val="20"/>
                <w:szCs w:val="20"/>
                <w:lang w:eastAsia="en-US"/>
                <w14:ligatures w14:val="standardContextual"/>
              </w:rPr>
              <w:t xml:space="preserve"> e fondi </w:t>
            </w:r>
            <w:proofErr w:type="spellStart"/>
            <w:r w:rsidRPr="0026419F">
              <w:rPr>
                <w:rFonts w:ascii="Arial" w:eastAsia="Calibri" w:hAnsi="Arial" w:cs="Arial"/>
                <w:color w:val="000000"/>
                <w:kern w:val="2"/>
                <w:sz w:val="20"/>
                <w:szCs w:val="20"/>
                <w:lang w:eastAsia="en-US"/>
                <w14:ligatures w14:val="standardContextual"/>
              </w:rPr>
              <w:t>europei</w:t>
            </w:r>
            <w:proofErr w:type="spellEnd"/>
            <w:r w:rsidRPr="0026419F">
              <w:rPr>
                <w:rFonts w:ascii="Arial" w:eastAsia="Calibri" w:hAnsi="Arial" w:cs="Arial"/>
                <w:color w:val="000000"/>
                <w:kern w:val="2"/>
                <w:sz w:val="20"/>
                <w:szCs w:val="20"/>
                <w:lang w:eastAsia="en-US"/>
                <w14:ligatures w14:val="standardContextual"/>
              </w:rPr>
              <w:t>“).</w:t>
            </w:r>
          </w:p>
        </w:tc>
      </w:tr>
      <w:tr w:rsidR="0026419F" w:rsidRPr="0026419F" w14:paraId="05612D81" w14:textId="77777777" w:rsidTr="0026419F">
        <w:trPr>
          <w:trHeight w:val="508"/>
        </w:trPr>
        <w:tc>
          <w:tcPr>
            <w:tcW w:w="561" w:type="dxa"/>
            <w:vMerge w:val="restart"/>
            <w:tcBorders>
              <w:top w:val="single" w:sz="4" w:space="0" w:color="auto"/>
              <w:left w:val="single" w:sz="4" w:space="0" w:color="auto"/>
              <w:bottom w:val="single" w:sz="4" w:space="0" w:color="auto"/>
              <w:right w:val="single" w:sz="4" w:space="0" w:color="auto"/>
            </w:tcBorders>
            <w:hideMark/>
          </w:tcPr>
          <w:p w14:paraId="77C12C7A" w14:textId="77777777" w:rsidR="0026419F" w:rsidRPr="0026419F" w:rsidRDefault="0026419F" w:rsidP="0026419F">
            <w:pPr>
              <w:spacing w:after="160" w:line="256" w:lineRule="auto"/>
              <w:jc w:val="center"/>
              <w:rPr>
                <w:rFonts w:ascii="Arial" w:eastAsia="Aptos" w:hAnsi="Arial" w:cs="Arial"/>
                <w:b/>
                <w:bCs/>
                <w:color w:val="000000"/>
                <w:kern w:val="2"/>
                <w:sz w:val="20"/>
                <w:szCs w:val="20"/>
                <w:lang w:eastAsia="en-US"/>
                <w14:ligatures w14:val="standardContextual"/>
              </w:rPr>
            </w:pPr>
            <w:r w:rsidRPr="0026419F">
              <w:rPr>
                <w:rFonts w:ascii="Arial" w:eastAsia="Aptos" w:hAnsi="Arial" w:cs="Arial"/>
                <w:b/>
                <w:bCs/>
                <w:color w:val="000000"/>
                <w:kern w:val="2"/>
                <w:sz w:val="20"/>
                <w:szCs w:val="20"/>
                <w:lang w:eastAsia="en-US"/>
                <w14:ligatures w14:val="standardContextual"/>
              </w:rPr>
              <w:t>2.</w:t>
            </w:r>
          </w:p>
        </w:tc>
        <w:tc>
          <w:tcPr>
            <w:tcW w:w="1815" w:type="dxa"/>
            <w:tcBorders>
              <w:top w:val="single" w:sz="4" w:space="0" w:color="auto"/>
              <w:left w:val="single" w:sz="4" w:space="0" w:color="auto"/>
              <w:bottom w:val="single" w:sz="4" w:space="0" w:color="auto"/>
              <w:right w:val="single" w:sz="4" w:space="0" w:color="auto"/>
            </w:tcBorders>
            <w:vAlign w:val="center"/>
            <w:hideMark/>
          </w:tcPr>
          <w:p w14:paraId="48D43D8E"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Kapitalni projekt K300015</w:t>
            </w:r>
          </w:p>
        </w:tc>
        <w:tc>
          <w:tcPr>
            <w:tcW w:w="2188" w:type="dxa"/>
            <w:tcBorders>
              <w:top w:val="single" w:sz="4" w:space="0" w:color="auto"/>
              <w:left w:val="single" w:sz="4" w:space="0" w:color="auto"/>
              <w:bottom w:val="single" w:sz="4" w:space="0" w:color="auto"/>
              <w:right w:val="single" w:sz="4" w:space="0" w:color="auto"/>
            </w:tcBorders>
            <w:vAlign w:val="center"/>
            <w:hideMark/>
          </w:tcPr>
          <w:p w14:paraId="114A4688"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 xml:space="preserve">Dječji vrtić </w:t>
            </w:r>
            <w:proofErr w:type="spellStart"/>
            <w:r w:rsidRPr="0026419F">
              <w:rPr>
                <w:rFonts w:ascii="Arial" w:eastAsia="Calibri" w:hAnsi="Arial" w:cs="Arial"/>
                <w:b/>
                <w:bCs/>
                <w:color w:val="000000"/>
                <w:kern w:val="2"/>
                <w:sz w:val="20"/>
                <w:szCs w:val="20"/>
                <w:lang w:eastAsia="en-US"/>
                <w14:ligatures w14:val="standardContextual"/>
              </w:rPr>
              <w:t>Vinež</w:t>
            </w:r>
            <w:proofErr w:type="spellEnd"/>
            <w:r w:rsidRPr="0026419F">
              <w:rPr>
                <w:rFonts w:ascii="Arial" w:eastAsia="Calibri" w:hAnsi="Arial" w:cs="Arial"/>
                <w:b/>
                <w:bCs/>
                <w:color w:val="000000"/>
                <w:kern w:val="2"/>
                <w:sz w:val="20"/>
                <w:szCs w:val="20"/>
                <w:lang w:eastAsia="en-US"/>
                <w14:ligatures w14:val="standardContextual"/>
              </w:rPr>
              <w:t xml:space="preserve"> (novi)</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9808FFE"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1.484.546,00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0420F325"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399.837,00</w:t>
            </w:r>
          </w:p>
        </w:tc>
        <w:tc>
          <w:tcPr>
            <w:tcW w:w="1478" w:type="dxa"/>
            <w:tcBorders>
              <w:top w:val="single" w:sz="4" w:space="0" w:color="auto"/>
              <w:left w:val="single" w:sz="4" w:space="0" w:color="auto"/>
              <w:bottom w:val="single" w:sz="4" w:space="0" w:color="auto"/>
              <w:right w:val="single" w:sz="4" w:space="0" w:color="auto"/>
            </w:tcBorders>
            <w:vAlign w:val="center"/>
            <w:hideMark/>
          </w:tcPr>
          <w:p w14:paraId="7F1C8D2F"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1.884.383,00</w:t>
            </w:r>
          </w:p>
        </w:tc>
      </w:tr>
      <w:tr w:rsidR="0026419F" w:rsidRPr="0026419F" w14:paraId="1F8C8654" w14:textId="77777777" w:rsidTr="0026419F">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1B50DA" w14:textId="77777777" w:rsidR="0026419F" w:rsidRPr="0026419F" w:rsidRDefault="0026419F" w:rsidP="0026419F">
            <w:pPr>
              <w:spacing w:line="256" w:lineRule="auto"/>
              <w:rPr>
                <w:rFonts w:ascii="Arial" w:eastAsia="Aptos" w:hAnsi="Arial" w:cs="Arial"/>
                <w:b/>
                <w:bCs/>
                <w:color w:val="000000"/>
                <w:kern w:val="2"/>
                <w:sz w:val="20"/>
                <w:szCs w:val="20"/>
                <w:lang w:eastAsia="en-US"/>
                <w14:ligatures w14:val="standardContextual"/>
              </w:rPr>
            </w:pPr>
          </w:p>
        </w:tc>
        <w:tc>
          <w:tcPr>
            <w:tcW w:w="8398" w:type="dxa"/>
            <w:gridSpan w:val="5"/>
            <w:tcBorders>
              <w:top w:val="single" w:sz="4" w:space="0" w:color="auto"/>
              <w:left w:val="single" w:sz="4" w:space="0" w:color="auto"/>
              <w:bottom w:val="single" w:sz="4" w:space="0" w:color="auto"/>
              <w:right w:val="single" w:sz="4" w:space="0" w:color="auto"/>
            </w:tcBorders>
            <w:vAlign w:val="center"/>
            <w:hideMark/>
          </w:tcPr>
          <w:p w14:paraId="3EF9B4BB" w14:textId="77777777" w:rsidR="0026419F" w:rsidRPr="0026419F" w:rsidRDefault="0026419F" w:rsidP="0026419F">
            <w:pPr>
              <w:spacing w:line="256" w:lineRule="auto"/>
              <w:jc w:val="both"/>
              <w:rPr>
                <w:rFonts w:ascii="Arial" w:eastAsia="Calibri" w:hAnsi="Arial" w:cs="Arial"/>
                <w:color w:val="000000"/>
                <w:kern w:val="2"/>
                <w:sz w:val="20"/>
                <w:szCs w:val="20"/>
                <w:lang w:eastAsia="en-US"/>
                <w14:ligatures w14:val="standardContextual"/>
              </w:rPr>
            </w:pPr>
            <w:r w:rsidRPr="0026419F">
              <w:rPr>
                <w:rFonts w:ascii="Arial" w:eastAsia="Calibri" w:hAnsi="Arial" w:cs="Arial"/>
                <w:color w:val="000000"/>
                <w:kern w:val="2"/>
                <w:sz w:val="20"/>
                <w:szCs w:val="20"/>
                <w:lang w:eastAsia="en-US"/>
                <w14:ligatures w14:val="standardContextual"/>
              </w:rPr>
              <w:t>U ovom projektu predlažu se slijedeće izmjene:</w:t>
            </w:r>
          </w:p>
          <w:p w14:paraId="0C973564" w14:textId="77777777" w:rsidR="0026419F" w:rsidRPr="0026419F" w:rsidRDefault="0026419F" w:rsidP="0026419F">
            <w:pPr>
              <w:spacing w:line="256" w:lineRule="auto"/>
              <w:jc w:val="both"/>
              <w:rPr>
                <w:rFonts w:ascii="Arial" w:eastAsia="Calibri" w:hAnsi="Arial" w:cs="Arial"/>
                <w:color w:val="000000"/>
                <w:kern w:val="2"/>
                <w:sz w:val="20"/>
                <w:szCs w:val="20"/>
                <w:lang w:eastAsia="en-US"/>
                <w14:ligatures w14:val="standardContextual"/>
              </w:rPr>
            </w:pPr>
            <w:r w:rsidRPr="0026419F">
              <w:rPr>
                <w:rFonts w:ascii="Arial" w:eastAsia="Calibri" w:hAnsi="Arial" w:cs="Arial"/>
                <w:color w:val="000000"/>
                <w:kern w:val="2"/>
                <w:sz w:val="20"/>
                <w:szCs w:val="20"/>
                <w:lang w:eastAsia="en-US"/>
                <w14:ligatures w14:val="standardContextual"/>
              </w:rPr>
              <w:t>-</w:t>
            </w:r>
            <w:r w:rsidRPr="0026419F">
              <w:rPr>
                <w:rFonts w:ascii="Arial" w:eastAsia="Calibri" w:hAnsi="Arial" w:cs="Arial"/>
                <w:color w:val="000000"/>
                <w:kern w:val="2"/>
                <w:sz w:val="20"/>
                <w:szCs w:val="20"/>
                <w:lang w:eastAsia="en-US"/>
                <w14:ligatures w14:val="standardContextual"/>
              </w:rPr>
              <w:tab/>
              <w:t>izvršena je preraspodjela po izvorima prihoda na način da se smanji iznos planiran od prodaje nefinancijske imovine i nadomjesti sa viškom općih prihoda iz 2024. godine i realiziranim prihodima fiskalne održivosti dječjih vrtića i prodaje nefinancijske imovine budući da je gradnja u tijeku i moraju se poštivati odredbe sklopljenog Ugovora o javnoj nabavi radova te pravovremena provedba tehničkog pregleda kako bi se objekt stavio u funkciju za nadolazeću pedagošku godinu, a sa druge strane ostvarenje prihoda od nefinancijske imovine najvećim dijelom će se ostvarivati pri kraju godine zbog postupaka koji se moraju provoditi da bi se određena nekretnina mogla izložiti prodaji,</w:t>
            </w:r>
          </w:p>
          <w:p w14:paraId="1FE7ED6F" w14:textId="77777777" w:rsidR="0026419F" w:rsidRPr="0026419F" w:rsidRDefault="0026419F" w:rsidP="0026419F">
            <w:pPr>
              <w:spacing w:line="256" w:lineRule="auto"/>
              <w:jc w:val="both"/>
              <w:rPr>
                <w:rFonts w:ascii="Arial" w:eastAsia="Calibri" w:hAnsi="Arial" w:cs="Arial"/>
                <w:color w:val="000000"/>
                <w:kern w:val="2"/>
                <w:sz w:val="20"/>
                <w:szCs w:val="20"/>
                <w:lang w:eastAsia="en-US"/>
                <w14:ligatures w14:val="standardContextual"/>
              </w:rPr>
            </w:pPr>
            <w:r w:rsidRPr="0026419F">
              <w:rPr>
                <w:rFonts w:ascii="Arial" w:eastAsia="Calibri" w:hAnsi="Arial" w:cs="Arial"/>
                <w:color w:val="000000"/>
                <w:kern w:val="2"/>
                <w:sz w:val="20"/>
                <w:szCs w:val="20"/>
                <w:lang w:eastAsia="en-US"/>
                <w14:ligatures w14:val="standardContextual"/>
              </w:rPr>
              <w:t>-</w:t>
            </w:r>
            <w:r w:rsidRPr="0026419F">
              <w:rPr>
                <w:rFonts w:ascii="Arial" w:eastAsia="Calibri" w:hAnsi="Arial" w:cs="Arial"/>
                <w:color w:val="000000"/>
                <w:kern w:val="2"/>
                <w:sz w:val="20"/>
                <w:szCs w:val="20"/>
                <w:lang w:eastAsia="en-US"/>
                <w14:ligatures w14:val="standardContextual"/>
              </w:rPr>
              <w:tab/>
              <w:t>povećanje se odnosi na dodatna  sredstva koja treba osigurati sukladno odabranim ponudama u postupku javne nabave unutarnje opreme dječjeg vrtića i vrijednosti do sada nužnih dodatnih radova, unutar Ugovora o javnoj nabavi radova sve kako bi se osigurala puna funkcionalnost i zadovoljavajuće uređenje kako same građevine tako i okoliša kao važnog elementa rada predškolske ustanove.</w:t>
            </w:r>
          </w:p>
        </w:tc>
      </w:tr>
      <w:tr w:rsidR="0026419F" w:rsidRPr="0026419F" w14:paraId="1A045852" w14:textId="77777777" w:rsidTr="0026419F">
        <w:trPr>
          <w:trHeight w:val="508"/>
        </w:trPr>
        <w:tc>
          <w:tcPr>
            <w:tcW w:w="561" w:type="dxa"/>
            <w:vMerge w:val="restart"/>
            <w:tcBorders>
              <w:top w:val="single" w:sz="4" w:space="0" w:color="auto"/>
              <w:left w:val="single" w:sz="4" w:space="0" w:color="auto"/>
              <w:bottom w:val="single" w:sz="4" w:space="0" w:color="auto"/>
              <w:right w:val="single" w:sz="4" w:space="0" w:color="auto"/>
            </w:tcBorders>
            <w:hideMark/>
          </w:tcPr>
          <w:p w14:paraId="6D0A1789" w14:textId="77777777" w:rsidR="0026419F" w:rsidRPr="0026419F" w:rsidRDefault="0026419F" w:rsidP="0026419F">
            <w:pPr>
              <w:spacing w:after="160" w:line="256" w:lineRule="auto"/>
              <w:jc w:val="center"/>
              <w:rPr>
                <w:rFonts w:ascii="Arial" w:eastAsia="Aptos" w:hAnsi="Arial" w:cs="Arial"/>
                <w:b/>
                <w:bCs/>
                <w:color w:val="000000"/>
                <w:kern w:val="2"/>
                <w:sz w:val="20"/>
                <w:szCs w:val="20"/>
                <w:lang w:eastAsia="en-US"/>
                <w14:ligatures w14:val="standardContextual"/>
              </w:rPr>
            </w:pPr>
            <w:r w:rsidRPr="0026419F">
              <w:rPr>
                <w:rFonts w:ascii="Arial" w:eastAsia="Aptos" w:hAnsi="Arial" w:cs="Arial"/>
                <w:b/>
                <w:bCs/>
                <w:color w:val="000000"/>
                <w:kern w:val="2"/>
                <w:sz w:val="20"/>
                <w:szCs w:val="20"/>
                <w:lang w:eastAsia="en-US"/>
                <w14:ligatures w14:val="standardContextual"/>
              </w:rPr>
              <w:t>3.</w:t>
            </w:r>
          </w:p>
        </w:tc>
        <w:tc>
          <w:tcPr>
            <w:tcW w:w="1815" w:type="dxa"/>
            <w:tcBorders>
              <w:top w:val="single" w:sz="4" w:space="0" w:color="auto"/>
              <w:left w:val="single" w:sz="4" w:space="0" w:color="auto"/>
              <w:bottom w:val="single" w:sz="4" w:space="0" w:color="auto"/>
              <w:right w:val="single" w:sz="4" w:space="0" w:color="auto"/>
            </w:tcBorders>
            <w:vAlign w:val="center"/>
            <w:hideMark/>
          </w:tcPr>
          <w:p w14:paraId="3735C680"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Kapitalni projekt K300018</w:t>
            </w:r>
          </w:p>
        </w:tc>
        <w:tc>
          <w:tcPr>
            <w:tcW w:w="2188" w:type="dxa"/>
            <w:tcBorders>
              <w:top w:val="single" w:sz="4" w:space="0" w:color="auto"/>
              <w:left w:val="single" w:sz="4" w:space="0" w:color="auto"/>
              <w:bottom w:val="single" w:sz="4" w:space="0" w:color="auto"/>
              <w:right w:val="single" w:sz="4" w:space="0" w:color="auto"/>
            </w:tcBorders>
            <w:vAlign w:val="center"/>
            <w:hideMark/>
          </w:tcPr>
          <w:p w14:paraId="250CED59"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 xml:space="preserve">Sportski kompleks </w:t>
            </w:r>
            <w:proofErr w:type="spellStart"/>
            <w:r w:rsidRPr="0026419F">
              <w:rPr>
                <w:rFonts w:ascii="Arial" w:eastAsia="Calibri" w:hAnsi="Arial" w:cs="Arial"/>
                <w:b/>
                <w:bCs/>
                <w:color w:val="000000"/>
                <w:kern w:val="2"/>
                <w:sz w:val="20"/>
                <w:szCs w:val="20"/>
                <w:lang w:eastAsia="en-US"/>
                <w14:ligatures w14:val="standardContextual"/>
              </w:rPr>
              <w:t>Vinež</w:t>
            </w:r>
            <w:proofErr w:type="spellEnd"/>
          </w:p>
        </w:tc>
        <w:tc>
          <w:tcPr>
            <w:tcW w:w="1700" w:type="dxa"/>
            <w:tcBorders>
              <w:top w:val="single" w:sz="4" w:space="0" w:color="auto"/>
              <w:left w:val="single" w:sz="4" w:space="0" w:color="auto"/>
              <w:bottom w:val="single" w:sz="4" w:space="0" w:color="auto"/>
              <w:right w:val="single" w:sz="4" w:space="0" w:color="auto"/>
            </w:tcBorders>
            <w:vAlign w:val="center"/>
            <w:hideMark/>
          </w:tcPr>
          <w:p w14:paraId="7BFA48CB"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170.525,00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BC78F4D"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64.542,00</w:t>
            </w:r>
          </w:p>
        </w:tc>
        <w:tc>
          <w:tcPr>
            <w:tcW w:w="1478" w:type="dxa"/>
            <w:tcBorders>
              <w:top w:val="single" w:sz="4" w:space="0" w:color="auto"/>
              <w:left w:val="single" w:sz="4" w:space="0" w:color="auto"/>
              <w:bottom w:val="single" w:sz="4" w:space="0" w:color="auto"/>
              <w:right w:val="single" w:sz="4" w:space="0" w:color="auto"/>
            </w:tcBorders>
            <w:vAlign w:val="center"/>
            <w:hideMark/>
          </w:tcPr>
          <w:p w14:paraId="41D16B0B"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235.067,00</w:t>
            </w:r>
          </w:p>
        </w:tc>
      </w:tr>
      <w:tr w:rsidR="0026419F" w:rsidRPr="0026419F" w14:paraId="55CD0423" w14:textId="77777777" w:rsidTr="0026419F">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CF4AB" w14:textId="77777777" w:rsidR="0026419F" w:rsidRPr="0026419F" w:rsidRDefault="0026419F" w:rsidP="0026419F">
            <w:pPr>
              <w:spacing w:line="256" w:lineRule="auto"/>
              <w:rPr>
                <w:rFonts w:ascii="Arial" w:eastAsia="Aptos" w:hAnsi="Arial" w:cs="Arial"/>
                <w:b/>
                <w:bCs/>
                <w:color w:val="000000"/>
                <w:kern w:val="2"/>
                <w:sz w:val="20"/>
                <w:szCs w:val="20"/>
                <w:lang w:eastAsia="en-US"/>
                <w14:ligatures w14:val="standardContextual"/>
              </w:rPr>
            </w:pPr>
          </w:p>
        </w:tc>
        <w:tc>
          <w:tcPr>
            <w:tcW w:w="8398" w:type="dxa"/>
            <w:gridSpan w:val="5"/>
            <w:tcBorders>
              <w:top w:val="single" w:sz="4" w:space="0" w:color="auto"/>
              <w:left w:val="single" w:sz="4" w:space="0" w:color="auto"/>
              <w:bottom w:val="single" w:sz="4" w:space="0" w:color="auto"/>
              <w:right w:val="single" w:sz="4" w:space="0" w:color="auto"/>
            </w:tcBorders>
            <w:vAlign w:val="center"/>
            <w:hideMark/>
          </w:tcPr>
          <w:p w14:paraId="73030468" w14:textId="77777777" w:rsidR="0026419F" w:rsidRPr="0026419F" w:rsidRDefault="0026419F" w:rsidP="0026419F">
            <w:pPr>
              <w:spacing w:line="256" w:lineRule="auto"/>
              <w:jc w:val="both"/>
              <w:rPr>
                <w:rFonts w:ascii="Arial" w:eastAsia="Calibri" w:hAnsi="Arial" w:cs="Arial"/>
                <w:color w:val="000000"/>
                <w:kern w:val="2"/>
                <w:sz w:val="20"/>
                <w:szCs w:val="20"/>
                <w:lang w:eastAsia="en-US"/>
                <w14:ligatures w14:val="standardContextual"/>
              </w:rPr>
            </w:pPr>
            <w:r w:rsidRPr="0026419F">
              <w:rPr>
                <w:rFonts w:ascii="Arial" w:eastAsia="Calibri" w:hAnsi="Arial" w:cs="Arial"/>
                <w:color w:val="000000"/>
                <w:kern w:val="2"/>
                <w:sz w:val="20"/>
                <w:szCs w:val="20"/>
                <w:lang w:eastAsia="en-US"/>
                <w14:ligatures w14:val="standardContextual"/>
              </w:rPr>
              <w:t>U ovom projektu izvršena je preraspodjela po izvorima prihoda na način da se smanji iznos planiran od prodaje nefinancijske imovine i nadomjesti sa realiziranim komunalnim doprinosom  iz 2024. godine uz povećanje planiranog iznosa budući da su na dinamiku izvođenja radova utjecale vremenske prilike i iskopi u materijalu A kategorije uslijed čega je dio radova planiran u 2024.g. prebačen i realiziran u 2025.g. sukladno tome predlaže se povećanje planiranog iznosa.</w:t>
            </w:r>
          </w:p>
        </w:tc>
      </w:tr>
      <w:tr w:rsidR="0026419F" w:rsidRPr="0026419F" w14:paraId="2024D33B" w14:textId="77777777" w:rsidTr="0026419F">
        <w:trPr>
          <w:trHeight w:val="508"/>
        </w:trPr>
        <w:tc>
          <w:tcPr>
            <w:tcW w:w="561" w:type="dxa"/>
            <w:vMerge w:val="restart"/>
            <w:tcBorders>
              <w:top w:val="single" w:sz="4" w:space="0" w:color="auto"/>
              <w:left w:val="single" w:sz="4" w:space="0" w:color="auto"/>
              <w:bottom w:val="single" w:sz="4" w:space="0" w:color="auto"/>
              <w:right w:val="single" w:sz="4" w:space="0" w:color="auto"/>
            </w:tcBorders>
            <w:hideMark/>
          </w:tcPr>
          <w:p w14:paraId="3524A462" w14:textId="77777777" w:rsidR="0026419F" w:rsidRPr="0026419F" w:rsidRDefault="0026419F" w:rsidP="0026419F">
            <w:pPr>
              <w:spacing w:after="160" w:line="256" w:lineRule="auto"/>
              <w:jc w:val="center"/>
              <w:rPr>
                <w:rFonts w:ascii="Arial" w:eastAsia="Aptos" w:hAnsi="Arial" w:cs="Arial"/>
                <w:b/>
                <w:bCs/>
                <w:color w:val="000000"/>
                <w:kern w:val="2"/>
                <w:sz w:val="20"/>
                <w:szCs w:val="20"/>
                <w:lang w:eastAsia="en-US"/>
                <w14:ligatures w14:val="standardContextual"/>
              </w:rPr>
            </w:pPr>
            <w:r w:rsidRPr="0026419F">
              <w:rPr>
                <w:rFonts w:ascii="Arial" w:eastAsia="Aptos" w:hAnsi="Arial" w:cs="Arial"/>
                <w:b/>
                <w:bCs/>
                <w:color w:val="000000"/>
                <w:kern w:val="2"/>
                <w:sz w:val="20"/>
                <w:szCs w:val="20"/>
                <w:lang w:eastAsia="en-US"/>
                <w14:ligatures w14:val="standardContextual"/>
              </w:rPr>
              <w:t>4.</w:t>
            </w:r>
          </w:p>
        </w:tc>
        <w:tc>
          <w:tcPr>
            <w:tcW w:w="1815" w:type="dxa"/>
            <w:tcBorders>
              <w:top w:val="single" w:sz="4" w:space="0" w:color="auto"/>
              <w:left w:val="single" w:sz="4" w:space="0" w:color="auto"/>
              <w:bottom w:val="single" w:sz="4" w:space="0" w:color="auto"/>
              <w:right w:val="single" w:sz="4" w:space="0" w:color="auto"/>
            </w:tcBorders>
            <w:vAlign w:val="center"/>
            <w:hideMark/>
          </w:tcPr>
          <w:p w14:paraId="59C30C22"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Kapitalni projekt K300042</w:t>
            </w:r>
          </w:p>
        </w:tc>
        <w:tc>
          <w:tcPr>
            <w:tcW w:w="2188" w:type="dxa"/>
            <w:tcBorders>
              <w:top w:val="single" w:sz="4" w:space="0" w:color="auto"/>
              <w:left w:val="single" w:sz="4" w:space="0" w:color="auto"/>
              <w:bottom w:val="single" w:sz="4" w:space="0" w:color="auto"/>
              <w:right w:val="single" w:sz="4" w:space="0" w:color="auto"/>
            </w:tcBorders>
            <w:vAlign w:val="center"/>
            <w:hideMark/>
          </w:tcPr>
          <w:p w14:paraId="2AB54799" w14:textId="77777777" w:rsidR="0026419F" w:rsidRPr="0026419F" w:rsidRDefault="0026419F" w:rsidP="0026419F">
            <w:pPr>
              <w:spacing w:line="256" w:lineRule="auto"/>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Crkva Gospe od Karmela - obnova preslice</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7888ADB"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0,00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C43B7F8"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25.000,00</w:t>
            </w:r>
          </w:p>
        </w:tc>
        <w:tc>
          <w:tcPr>
            <w:tcW w:w="1478" w:type="dxa"/>
            <w:tcBorders>
              <w:top w:val="single" w:sz="4" w:space="0" w:color="auto"/>
              <w:left w:val="single" w:sz="4" w:space="0" w:color="auto"/>
              <w:bottom w:val="single" w:sz="4" w:space="0" w:color="auto"/>
              <w:right w:val="single" w:sz="4" w:space="0" w:color="auto"/>
            </w:tcBorders>
            <w:vAlign w:val="center"/>
            <w:hideMark/>
          </w:tcPr>
          <w:p w14:paraId="6CF578B6" w14:textId="77777777" w:rsidR="0026419F" w:rsidRPr="0026419F" w:rsidRDefault="0026419F" w:rsidP="0026419F">
            <w:pPr>
              <w:spacing w:line="256" w:lineRule="auto"/>
              <w:jc w:val="right"/>
              <w:rPr>
                <w:rFonts w:ascii="Arial" w:eastAsia="Calibri" w:hAnsi="Arial" w:cs="Arial"/>
                <w:b/>
                <w:bCs/>
                <w:color w:val="000000"/>
                <w:kern w:val="2"/>
                <w:sz w:val="20"/>
                <w:szCs w:val="20"/>
                <w:lang w:eastAsia="en-US"/>
                <w14:ligatures w14:val="standardContextual"/>
              </w:rPr>
            </w:pPr>
            <w:r w:rsidRPr="0026419F">
              <w:rPr>
                <w:rFonts w:ascii="Arial" w:eastAsia="Calibri" w:hAnsi="Arial" w:cs="Arial"/>
                <w:b/>
                <w:bCs/>
                <w:color w:val="000000"/>
                <w:kern w:val="2"/>
                <w:sz w:val="20"/>
                <w:szCs w:val="20"/>
                <w:lang w:eastAsia="en-US"/>
                <w14:ligatures w14:val="standardContextual"/>
              </w:rPr>
              <w:t>25.000,00</w:t>
            </w:r>
          </w:p>
        </w:tc>
      </w:tr>
      <w:tr w:rsidR="0026419F" w:rsidRPr="0026419F" w14:paraId="6053AF15" w14:textId="77777777" w:rsidTr="0026419F">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C854AD" w14:textId="77777777" w:rsidR="0026419F" w:rsidRPr="0026419F" w:rsidRDefault="0026419F" w:rsidP="0026419F">
            <w:pPr>
              <w:spacing w:line="256" w:lineRule="auto"/>
              <w:rPr>
                <w:rFonts w:ascii="Arial" w:eastAsia="Aptos" w:hAnsi="Arial" w:cs="Arial"/>
                <w:b/>
                <w:bCs/>
                <w:color w:val="000000"/>
                <w:kern w:val="2"/>
                <w:sz w:val="20"/>
                <w:szCs w:val="20"/>
                <w:lang w:eastAsia="en-US"/>
                <w14:ligatures w14:val="standardContextual"/>
              </w:rPr>
            </w:pPr>
          </w:p>
        </w:tc>
        <w:tc>
          <w:tcPr>
            <w:tcW w:w="8398" w:type="dxa"/>
            <w:gridSpan w:val="5"/>
            <w:tcBorders>
              <w:top w:val="single" w:sz="4" w:space="0" w:color="auto"/>
              <w:left w:val="single" w:sz="4" w:space="0" w:color="auto"/>
              <w:bottom w:val="single" w:sz="4" w:space="0" w:color="auto"/>
              <w:right w:val="single" w:sz="4" w:space="0" w:color="auto"/>
            </w:tcBorders>
            <w:vAlign w:val="center"/>
            <w:hideMark/>
          </w:tcPr>
          <w:p w14:paraId="03654D50" w14:textId="77777777" w:rsidR="0026419F" w:rsidRPr="0026419F" w:rsidRDefault="0026419F" w:rsidP="0026419F">
            <w:pPr>
              <w:spacing w:line="256" w:lineRule="auto"/>
              <w:jc w:val="both"/>
              <w:rPr>
                <w:rFonts w:ascii="Arial" w:eastAsia="Calibri" w:hAnsi="Arial" w:cs="Arial"/>
                <w:color w:val="000000"/>
                <w:kern w:val="2"/>
                <w:sz w:val="20"/>
                <w:szCs w:val="20"/>
                <w:lang w:eastAsia="en-US"/>
                <w14:ligatures w14:val="standardContextual"/>
              </w:rPr>
            </w:pPr>
            <w:r w:rsidRPr="0026419F">
              <w:rPr>
                <w:rFonts w:ascii="Arial" w:eastAsia="Calibri" w:hAnsi="Arial" w:cs="Arial"/>
                <w:color w:val="000000"/>
                <w:kern w:val="2"/>
                <w:sz w:val="20"/>
                <w:szCs w:val="20"/>
                <w:lang w:eastAsia="en-US"/>
                <w14:ligatures w14:val="standardContextual"/>
              </w:rPr>
              <w:t>Na preslici Crkve Gospe od Karmela došlo je do degradacije odnosno puknuća kamenih elementa uslijed uznapredovale korozije željeznih klinova, što značajno utječe na njezinu stabilnost te je  nužna njezina obnova uz restauraciju zvona i zamjenu jarma. U uskoj suradnji sa UO za  gospodarstvo i EU projekte projekt obnove prijavljen je na Poziv Ministarstva kulture i medija za Program javnih potreba u kulturi Republike Hrvatske za 2025. godinu putem kojeg su Gradu Labinu odobrena sredstva u iznosu od 12.000,00 EURA, preostali dio financira se iz sredstava Grda Labina slijedom navedenog predlaže se uključivanje projekta u Program.</w:t>
            </w:r>
          </w:p>
        </w:tc>
      </w:tr>
    </w:tbl>
    <w:p w14:paraId="05709B3D" w14:textId="77777777" w:rsidR="0026419F" w:rsidRPr="0026419F" w:rsidRDefault="0026419F" w:rsidP="0026419F">
      <w:pPr>
        <w:spacing w:after="160" w:line="256" w:lineRule="auto"/>
        <w:jc w:val="both"/>
        <w:rPr>
          <w:rFonts w:ascii="Arial" w:eastAsia="Aptos" w:hAnsi="Arial" w:cs="Arial"/>
          <w:b/>
          <w:color w:val="000000"/>
          <w:sz w:val="22"/>
          <w:szCs w:val="22"/>
          <w:lang w:eastAsia="en-US"/>
        </w:rPr>
      </w:pPr>
    </w:p>
    <w:p w14:paraId="4C002822" w14:textId="77777777" w:rsidR="0026419F" w:rsidRPr="0026419F" w:rsidRDefault="0026419F" w:rsidP="0026419F">
      <w:pPr>
        <w:spacing w:after="160"/>
        <w:jc w:val="both"/>
        <w:rPr>
          <w:rFonts w:ascii="Arial" w:eastAsia="Aptos" w:hAnsi="Arial" w:cs="Arial"/>
          <w:b/>
          <w:color w:val="000000"/>
          <w:sz w:val="22"/>
          <w:szCs w:val="22"/>
          <w:u w:val="single"/>
          <w:lang w:val="en-GB" w:eastAsia="en-US"/>
        </w:rPr>
      </w:pPr>
      <w:proofErr w:type="spellStart"/>
      <w:r w:rsidRPr="0026419F">
        <w:rPr>
          <w:rFonts w:ascii="Arial" w:eastAsia="Aptos" w:hAnsi="Arial" w:cs="Arial"/>
          <w:b/>
          <w:color w:val="000000"/>
          <w:sz w:val="22"/>
          <w:szCs w:val="22"/>
          <w:u w:val="single"/>
          <w:lang w:val="en-GB" w:eastAsia="en-US"/>
        </w:rPr>
        <w:t>Pokazatelj</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uspješnosti</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i</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mogući</w:t>
      </w:r>
      <w:proofErr w:type="spellEnd"/>
      <w:r w:rsidRPr="0026419F">
        <w:rPr>
          <w:rFonts w:ascii="Arial" w:eastAsia="Aptos" w:hAnsi="Arial" w:cs="Arial"/>
          <w:b/>
          <w:color w:val="000000"/>
          <w:sz w:val="22"/>
          <w:szCs w:val="22"/>
          <w:u w:val="single"/>
          <w:lang w:val="en-GB" w:eastAsia="en-US"/>
        </w:rPr>
        <w:t xml:space="preserve"> </w:t>
      </w:r>
      <w:proofErr w:type="spellStart"/>
      <w:r w:rsidRPr="0026419F">
        <w:rPr>
          <w:rFonts w:ascii="Arial" w:eastAsia="Aptos" w:hAnsi="Arial" w:cs="Arial"/>
          <w:b/>
          <w:color w:val="000000"/>
          <w:sz w:val="22"/>
          <w:szCs w:val="22"/>
          <w:u w:val="single"/>
          <w:lang w:val="en-GB" w:eastAsia="en-US"/>
        </w:rPr>
        <w:t>rizici</w:t>
      </w:r>
      <w:proofErr w:type="spellEnd"/>
      <w:r w:rsidRPr="0026419F">
        <w:rPr>
          <w:rFonts w:ascii="Arial" w:eastAsia="Aptos" w:hAnsi="Arial" w:cs="Arial"/>
          <w:b/>
          <w:color w:val="000000"/>
          <w:sz w:val="22"/>
          <w:szCs w:val="22"/>
          <w:u w:val="single"/>
          <w:lang w:val="en-GB" w:eastAsia="en-US"/>
        </w:rPr>
        <w:t xml:space="preserve">: </w:t>
      </w:r>
    </w:p>
    <w:p w14:paraId="3D108A4D" w14:textId="77777777" w:rsidR="0026419F" w:rsidRPr="0026419F" w:rsidRDefault="0026419F" w:rsidP="0026419F">
      <w:pPr>
        <w:spacing w:after="160"/>
        <w:jc w:val="both"/>
        <w:rPr>
          <w:rFonts w:eastAsia="Aptos"/>
          <w:color w:val="000000"/>
          <w:szCs w:val="22"/>
          <w:lang w:eastAsia="en-US"/>
        </w:rPr>
      </w:pPr>
      <w:proofErr w:type="spellStart"/>
      <w:r w:rsidRPr="0026419F">
        <w:rPr>
          <w:rFonts w:ascii="Arial" w:eastAsia="Aptos" w:hAnsi="Arial" w:cs="Arial"/>
          <w:color w:val="000000"/>
          <w:sz w:val="22"/>
          <w:szCs w:val="22"/>
          <w:lang w:val="en-GB" w:eastAsia="en-US"/>
        </w:rPr>
        <w:t>Uspješnost</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predloženih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kapitalnih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projekata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ogledat</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će</w:t>
      </w:r>
      <w:proofErr w:type="spellEnd"/>
      <w:r w:rsidRPr="0026419F">
        <w:rPr>
          <w:rFonts w:ascii="Arial" w:eastAsia="Aptos" w:hAnsi="Arial" w:cs="Arial"/>
          <w:color w:val="000000"/>
          <w:sz w:val="22"/>
          <w:szCs w:val="22"/>
          <w:lang w:val="en-GB" w:eastAsia="en-US"/>
        </w:rPr>
        <w:t xml:space="preserve"> se </w:t>
      </w:r>
      <w:proofErr w:type="spellStart"/>
      <w:r w:rsidRPr="0026419F">
        <w:rPr>
          <w:rFonts w:ascii="Arial" w:eastAsia="Aptos" w:hAnsi="Arial" w:cs="Arial"/>
          <w:color w:val="000000"/>
          <w:sz w:val="22"/>
          <w:szCs w:val="22"/>
          <w:lang w:val="en-GB" w:eastAsia="en-US"/>
        </w:rPr>
        <w:t>kroz</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kvalitetu</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življenja</w:t>
      </w:r>
      <w:proofErr w:type="spellEnd"/>
      <w:r w:rsidRPr="0026419F">
        <w:rPr>
          <w:rFonts w:ascii="Arial" w:eastAsia="Aptos" w:hAnsi="Arial" w:cs="Arial"/>
          <w:color w:val="000000"/>
          <w:sz w:val="22"/>
          <w:szCs w:val="22"/>
          <w:lang w:val="en-GB" w:eastAsia="en-US"/>
        </w:rPr>
        <w:t xml:space="preserve"> u </w:t>
      </w:r>
      <w:proofErr w:type="spellStart"/>
      <w:r w:rsidRPr="0026419F">
        <w:rPr>
          <w:rFonts w:ascii="Arial" w:eastAsia="Aptos" w:hAnsi="Arial" w:cs="Arial"/>
          <w:color w:val="000000"/>
          <w:sz w:val="22"/>
          <w:szCs w:val="22"/>
          <w:lang w:val="en-GB" w:eastAsia="en-US"/>
        </w:rPr>
        <w:t>Gradu</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naglašenom</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skrbi</w:t>
      </w:r>
      <w:proofErr w:type="spellEnd"/>
      <w:r w:rsidRPr="0026419F">
        <w:rPr>
          <w:rFonts w:ascii="Arial" w:eastAsia="Aptos" w:hAnsi="Arial" w:cs="Arial"/>
          <w:color w:val="000000"/>
          <w:sz w:val="22"/>
          <w:szCs w:val="22"/>
          <w:lang w:val="en-GB" w:eastAsia="en-US"/>
        </w:rPr>
        <w:t xml:space="preserve"> o </w:t>
      </w:r>
      <w:proofErr w:type="spellStart"/>
      <w:r w:rsidRPr="0026419F">
        <w:rPr>
          <w:rFonts w:ascii="Arial" w:eastAsia="Aptos" w:hAnsi="Arial" w:cs="Arial"/>
          <w:color w:val="000000"/>
          <w:sz w:val="22"/>
          <w:szCs w:val="22"/>
          <w:lang w:val="en-GB" w:eastAsia="en-US"/>
        </w:rPr>
        <w:t>mladima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osobama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starije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životne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dobi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gdje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će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očuvanje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sanacija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zaštićene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rudarske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graditeljske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baštine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biti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dodatni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impuls</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gospodarskog</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razvoja</w:t>
      </w:r>
      <w:proofErr w:type="spellEnd"/>
      <w:r w:rsidRPr="0026419F">
        <w:rPr>
          <w:rFonts w:ascii="Arial" w:eastAsia="Aptos" w:hAnsi="Arial" w:cs="Arial"/>
          <w:color w:val="000000"/>
          <w:sz w:val="22"/>
          <w:szCs w:val="22"/>
          <w:lang w:val="en-GB" w:eastAsia="en-US"/>
        </w:rPr>
        <w:t xml:space="preserve"> Grada </w:t>
      </w:r>
      <w:proofErr w:type="spellStart"/>
      <w:r w:rsidRPr="0026419F">
        <w:rPr>
          <w:rFonts w:ascii="Arial" w:eastAsia="Aptos" w:hAnsi="Arial" w:cs="Arial"/>
          <w:color w:val="000000"/>
          <w:sz w:val="22"/>
          <w:szCs w:val="22"/>
          <w:lang w:val="en-GB" w:eastAsia="en-US"/>
        </w:rPr>
        <w:t>posebno</w:t>
      </w:r>
      <w:proofErr w:type="spellEnd"/>
      <w:r w:rsidRPr="0026419F">
        <w:rPr>
          <w:rFonts w:ascii="Arial" w:eastAsia="Aptos" w:hAnsi="Arial" w:cs="Arial"/>
          <w:color w:val="000000"/>
          <w:sz w:val="22"/>
          <w:szCs w:val="22"/>
          <w:lang w:val="en-GB" w:eastAsia="en-US"/>
        </w:rPr>
        <w:t xml:space="preserve"> u </w:t>
      </w:r>
      <w:proofErr w:type="spellStart"/>
      <w:r w:rsidRPr="0026419F">
        <w:rPr>
          <w:rFonts w:ascii="Arial" w:eastAsia="Aptos" w:hAnsi="Arial" w:cs="Arial"/>
          <w:color w:val="000000"/>
          <w:sz w:val="22"/>
          <w:szCs w:val="22"/>
          <w:lang w:val="en-GB" w:eastAsia="en-US"/>
        </w:rPr>
        <w:t>području</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razvoja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kulturnog</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turizma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gdje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će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umjetničko</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obrazovanje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proširiti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svoja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lastRenderedPageBreak/>
        <w:t>polja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djelovanja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gdje</w:t>
      </w:r>
      <w:proofErr w:type="spellEnd"/>
      <w:r w:rsidRPr="0026419F">
        <w:rPr>
          <w:rFonts w:ascii="Arial" w:eastAsia="Aptos" w:hAnsi="Arial" w:cs="Arial"/>
          <w:color w:val="000000"/>
          <w:sz w:val="22"/>
          <w:szCs w:val="22"/>
          <w:lang w:val="en-GB" w:eastAsia="en-US"/>
        </w:rPr>
        <w:t xml:space="preserve"> se </w:t>
      </w:r>
      <w:proofErr w:type="spellStart"/>
      <w:r w:rsidRPr="0026419F">
        <w:rPr>
          <w:rFonts w:ascii="Arial" w:eastAsia="Aptos" w:hAnsi="Arial" w:cs="Arial"/>
          <w:color w:val="000000"/>
          <w:sz w:val="22"/>
          <w:szCs w:val="22"/>
          <w:lang w:val="en-GB" w:eastAsia="en-US"/>
        </w:rPr>
        <w:t>kontinuirano</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ulaže</w:t>
      </w:r>
      <w:proofErr w:type="spellEnd"/>
      <w:r w:rsidRPr="0026419F">
        <w:rPr>
          <w:rFonts w:ascii="Arial" w:eastAsia="Aptos" w:hAnsi="Arial" w:cs="Arial"/>
          <w:color w:val="000000"/>
          <w:sz w:val="22"/>
          <w:szCs w:val="22"/>
          <w:lang w:val="en-GB" w:eastAsia="en-US"/>
        </w:rPr>
        <w:t xml:space="preserve"> u </w:t>
      </w:r>
      <w:proofErr w:type="spellStart"/>
      <w:r w:rsidRPr="0026419F">
        <w:rPr>
          <w:rFonts w:ascii="Arial" w:eastAsia="Aptos" w:hAnsi="Arial" w:cs="Arial"/>
          <w:color w:val="000000"/>
          <w:sz w:val="22"/>
          <w:szCs w:val="22"/>
          <w:lang w:val="en-GB" w:eastAsia="en-US"/>
        </w:rPr>
        <w:t>podizanje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kvalitete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društvene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infrastrukture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području</w:t>
      </w:r>
      <w:proofErr w:type="spellEnd"/>
      <w:r w:rsidRPr="0026419F">
        <w:rPr>
          <w:rFonts w:ascii="Arial" w:eastAsia="Aptos" w:hAnsi="Arial" w:cs="Arial"/>
          <w:color w:val="000000"/>
          <w:sz w:val="22"/>
          <w:szCs w:val="22"/>
          <w:lang w:val="en-GB" w:eastAsia="en-US"/>
        </w:rPr>
        <w:t xml:space="preserve"> Grada (</w:t>
      </w:r>
      <w:proofErr w:type="spellStart"/>
      <w:r w:rsidRPr="0026419F">
        <w:rPr>
          <w:rFonts w:ascii="Arial" w:eastAsia="Aptos" w:hAnsi="Arial" w:cs="Arial"/>
          <w:color w:val="000000"/>
          <w:sz w:val="22"/>
          <w:szCs w:val="22"/>
          <w:lang w:val="en-GB" w:eastAsia="en-US"/>
        </w:rPr>
        <w:t>škole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vrtići</w:t>
      </w:r>
      <w:proofErr w:type="spellEnd"/>
      <w:r w:rsidRPr="0026419F">
        <w:rPr>
          <w:rFonts w:ascii="Arial" w:eastAsia="Aptos" w:hAnsi="Arial" w:cs="Arial"/>
          <w:color w:val="000000"/>
          <w:sz w:val="22"/>
          <w:szCs w:val="22"/>
          <w:lang w:val="en-GB" w:eastAsia="en-US"/>
        </w:rPr>
        <w:t xml:space="preserve">, sport, </w:t>
      </w:r>
      <w:proofErr w:type="spellStart"/>
      <w:r w:rsidRPr="0026419F">
        <w:rPr>
          <w:rFonts w:ascii="Arial" w:eastAsia="Aptos" w:hAnsi="Arial" w:cs="Arial"/>
          <w:color w:val="000000"/>
          <w:sz w:val="22"/>
          <w:szCs w:val="22"/>
          <w:lang w:val="en-GB" w:eastAsia="en-US"/>
        </w:rPr>
        <w:t>kultura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Rizici</w:t>
      </w:r>
      <w:proofErr w:type="spellEnd"/>
      <w:r w:rsidRPr="0026419F">
        <w:rPr>
          <w:rFonts w:ascii="Arial" w:eastAsia="Aptos" w:hAnsi="Arial" w:cs="Arial"/>
          <w:color w:val="000000"/>
          <w:sz w:val="22"/>
          <w:szCs w:val="22"/>
          <w:lang w:val="en-GB" w:eastAsia="en-US"/>
        </w:rPr>
        <w:t xml:space="preserve"> u </w:t>
      </w:r>
      <w:proofErr w:type="spellStart"/>
      <w:r w:rsidRPr="0026419F">
        <w:rPr>
          <w:rFonts w:ascii="Arial" w:eastAsia="Aptos" w:hAnsi="Arial" w:cs="Arial"/>
          <w:color w:val="000000"/>
          <w:sz w:val="22"/>
          <w:szCs w:val="22"/>
          <w:lang w:val="en-GB" w:eastAsia="en-US"/>
        </w:rPr>
        <w:t>izvršenju</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ovih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zahtjevnih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projekata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su</w:t>
      </w:r>
      <w:proofErr w:type="spellEnd"/>
      <w:r w:rsidRPr="0026419F">
        <w:rPr>
          <w:rFonts w:ascii="Arial" w:eastAsia="Aptos" w:hAnsi="Arial" w:cs="Arial"/>
          <w:color w:val="000000"/>
          <w:sz w:val="22"/>
          <w:szCs w:val="22"/>
          <w:lang w:val="en-GB" w:eastAsia="en-US"/>
        </w:rPr>
        <w:t xml:space="preserve"> u </w:t>
      </w:r>
      <w:proofErr w:type="spellStart"/>
      <w:r w:rsidRPr="0026419F">
        <w:rPr>
          <w:rFonts w:ascii="Arial" w:eastAsia="Aptos" w:hAnsi="Arial" w:cs="Arial"/>
          <w:color w:val="000000"/>
          <w:sz w:val="22"/>
          <w:szCs w:val="22"/>
          <w:lang w:val="en-GB" w:eastAsia="en-US"/>
        </w:rPr>
        <w:t>proceduralnom</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dijelu</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dijelu</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osiguranja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potrebnih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financijskih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sredstava</w:t>
      </w:r>
      <w:proofErr w:type="spellEnd"/>
      <w:r w:rsidRPr="0026419F">
        <w:rPr>
          <w:rFonts w:ascii="Arial" w:eastAsia="Aptos" w:hAnsi="Arial" w:cs="Arial"/>
          <w:color w:val="000000"/>
          <w:sz w:val="22"/>
          <w:szCs w:val="22"/>
          <w:lang w:val="en-GB" w:eastAsia="en-US"/>
        </w:rPr>
        <w:t xml:space="preserve"> za </w:t>
      </w:r>
      <w:proofErr w:type="spellStart"/>
      <w:r w:rsidRPr="0026419F">
        <w:rPr>
          <w:rFonts w:ascii="Arial" w:eastAsia="Aptos" w:hAnsi="Arial" w:cs="Arial"/>
          <w:color w:val="000000"/>
          <w:sz w:val="22"/>
          <w:szCs w:val="22"/>
          <w:lang w:val="en-GB" w:eastAsia="en-US"/>
        </w:rPr>
        <w:t>izvršenje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investicije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Proceduralni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rizici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su</w:t>
      </w:r>
      <w:proofErr w:type="spellEnd"/>
      <w:r w:rsidRPr="0026419F">
        <w:rPr>
          <w:rFonts w:ascii="Arial" w:eastAsia="Aptos" w:hAnsi="Arial" w:cs="Arial"/>
          <w:color w:val="000000"/>
          <w:sz w:val="22"/>
          <w:szCs w:val="22"/>
          <w:lang w:val="en-GB" w:eastAsia="en-US"/>
        </w:rPr>
        <w:t xml:space="preserve"> u </w:t>
      </w:r>
      <w:proofErr w:type="spellStart"/>
      <w:r w:rsidRPr="0026419F">
        <w:rPr>
          <w:rFonts w:ascii="Arial" w:eastAsia="Aptos" w:hAnsi="Arial" w:cs="Arial"/>
          <w:color w:val="000000"/>
          <w:sz w:val="22"/>
          <w:szCs w:val="22"/>
          <w:lang w:val="en-GB" w:eastAsia="en-US"/>
        </w:rPr>
        <w:t>postupcima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javne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nabave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ishođenja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potrebnih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akata</w:t>
      </w:r>
      <w:proofErr w:type="spellEnd"/>
      <w:r w:rsidRPr="0026419F">
        <w:rPr>
          <w:rFonts w:ascii="Arial" w:eastAsia="Aptos" w:hAnsi="Arial" w:cs="Arial"/>
          <w:color w:val="000000"/>
          <w:sz w:val="22"/>
          <w:szCs w:val="22"/>
          <w:lang w:val="en-GB" w:eastAsia="en-US"/>
        </w:rPr>
        <w:t xml:space="preserve"> o </w:t>
      </w:r>
      <w:proofErr w:type="spellStart"/>
      <w:r w:rsidRPr="0026419F">
        <w:rPr>
          <w:rFonts w:ascii="Arial" w:eastAsia="Aptos" w:hAnsi="Arial" w:cs="Arial"/>
          <w:color w:val="000000"/>
          <w:sz w:val="22"/>
          <w:szCs w:val="22"/>
          <w:lang w:val="en-GB" w:eastAsia="en-US"/>
        </w:rPr>
        <w:t>gradnji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gdje</w:t>
      </w:r>
      <w:proofErr w:type="spellEnd"/>
      <w:r w:rsidRPr="0026419F">
        <w:rPr>
          <w:rFonts w:ascii="Arial" w:eastAsia="Aptos" w:hAnsi="Arial" w:cs="Arial"/>
          <w:color w:val="000000"/>
          <w:sz w:val="22"/>
          <w:szCs w:val="22"/>
          <w:lang w:val="en-GB" w:eastAsia="en-US"/>
        </w:rPr>
        <w:t xml:space="preserve"> je </w:t>
      </w:r>
      <w:proofErr w:type="spellStart"/>
      <w:r w:rsidRPr="0026419F">
        <w:rPr>
          <w:rFonts w:ascii="Arial" w:eastAsia="Aptos" w:hAnsi="Arial" w:cs="Arial"/>
          <w:color w:val="000000"/>
          <w:sz w:val="22"/>
          <w:szCs w:val="22"/>
          <w:lang w:val="en-GB" w:eastAsia="en-US"/>
        </w:rPr>
        <w:t>zbog</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mogućih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žalbenih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postupaka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opasnost</w:t>
      </w:r>
      <w:proofErr w:type="spellEnd"/>
      <w:r w:rsidRPr="0026419F">
        <w:rPr>
          <w:rFonts w:ascii="Arial" w:eastAsia="Aptos" w:hAnsi="Arial" w:cs="Arial"/>
          <w:color w:val="000000"/>
          <w:sz w:val="22"/>
          <w:szCs w:val="22"/>
          <w:lang w:val="en-GB" w:eastAsia="en-US"/>
        </w:rPr>
        <w:t xml:space="preserve"> da se </w:t>
      </w:r>
      <w:proofErr w:type="spellStart"/>
      <w:r w:rsidRPr="0026419F">
        <w:rPr>
          <w:rFonts w:ascii="Arial" w:eastAsia="Aptos" w:hAnsi="Arial" w:cs="Arial"/>
          <w:color w:val="000000"/>
          <w:sz w:val="22"/>
          <w:szCs w:val="22"/>
          <w:lang w:val="en-GB" w:eastAsia="en-US"/>
        </w:rPr>
        <w:t>rokovi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realizacije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znatno</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produže</w:t>
      </w:r>
      <w:proofErr w:type="spellEnd"/>
      <w:r w:rsidRPr="0026419F">
        <w:rPr>
          <w:rFonts w:ascii="Arial" w:eastAsia="Aptos" w:hAnsi="Arial" w:cs="Arial"/>
          <w:color w:val="000000"/>
          <w:sz w:val="22"/>
          <w:szCs w:val="22"/>
          <w:lang w:val="en-GB" w:eastAsia="en-US"/>
        </w:rPr>
        <w:t xml:space="preserve">. Jedan od </w:t>
      </w:r>
      <w:proofErr w:type="spellStart"/>
      <w:r w:rsidRPr="0026419F">
        <w:rPr>
          <w:rFonts w:ascii="Arial" w:eastAsia="Aptos" w:hAnsi="Arial" w:cs="Arial"/>
          <w:color w:val="000000"/>
          <w:sz w:val="22"/>
          <w:szCs w:val="22"/>
          <w:lang w:val="en-GB" w:eastAsia="en-US"/>
        </w:rPr>
        <w:t>rizika</w:t>
      </w:r>
      <w:proofErr w:type="spellEnd"/>
      <w:r w:rsidRPr="0026419F">
        <w:rPr>
          <w:rFonts w:ascii="Arial" w:eastAsia="Aptos" w:hAnsi="Arial" w:cs="Arial"/>
          <w:color w:val="000000"/>
          <w:sz w:val="22"/>
          <w:szCs w:val="22"/>
          <w:lang w:val="en-GB" w:eastAsia="en-US"/>
        </w:rPr>
        <w:t xml:space="preserve"> je </w:t>
      </w:r>
      <w:proofErr w:type="spellStart"/>
      <w:r w:rsidRPr="0026419F">
        <w:rPr>
          <w:rFonts w:ascii="Arial" w:eastAsia="Aptos" w:hAnsi="Arial" w:cs="Arial"/>
          <w:color w:val="000000"/>
          <w:sz w:val="22"/>
          <w:szCs w:val="22"/>
          <w:lang w:val="en-GB" w:eastAsia="en-US"/>
        </w:rPr>
        <w:t>i</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poštivanje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rokova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od</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strane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javno</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pravnih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tijela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koja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sudjeluju</w:t>
      </w:r>
      <w:proofErr w:type="spellEnd"/>
      <w:r w:rsidRPr="0026419F">
        <w:rPr>
          <w:rFonts w:ascii="Arial" w:eastAsia="Aptos" w:hAnsi="Arial" w:cs="Arial"/>
          <w:color w:val="000000"/>
          <w:sz w:val="22"/>
          <w:szCs w:val="22"/>
          <w:lang w:val="en-GB" w:eastAsia="en-US"/>
        </w:rPr>
        <w:t xml:space="preserve"> u </w:t>
      </w:r>
      <w:proofErr w:type="spellStart"/>
      <w:r w:rsidRPr="0026419F">
        <w:rPr>
          <w:rFonts w:ascii="Arial" w:eastAsia="Aptos" w:hAnsi="Arial" w:cs="Arial"/>
          <w:color w:val="000000"/>
          <w:sz w:val="22"/>
          <w:szCs w:val="22"/>
          <w:lang w:val="en-GB" w:eastAsia="en-US"/>
        </w:rPr>
        <w:t>postupcima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pripreme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pojedine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investicije</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što</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također</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dovodi</w:t>
      </w:r>
      <w:proofErr w:type="spellEnd"/>
      <w:r w:rsidRPr="0026419F">
        <w:rPr>
          <w:rFonts w:ascii="Arial" w:eastAsia="Aptos" w:hAnsi="Arial" w:cs="Arial"/>
          <w:color w:val="000000"/>
          <w:sz w:val="22"/>
          <w:szCs w:val="22"/>
          <w:lang w:val="en-GB" w:eastAsia="en-US"/>
        </w:rPr>
        <w:t xml:space="preserve"> do </w:t>
      </w:r>
      <w:proofErr w:type="spellStart"/>
      <w:r w:rsidRPr="0026419F">
        <w:rPr>
          <w:rFonts w:ascii="Arial" w:eastAsia="Aptos" w:hAnsi="Arial" w:cs="Arial"/>
          <w:color w:val="000000"/>
          <w:sz w:val="22"/>
          <w:szCs w:val="22"/>
          <w:lang w:val="en-GB" w:eastAsia="en-US"/>
        </w:rPr>
        <w:t>produženja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rokova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izvršenja</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planiranih</w:t>
      </w:r>
      <w:proofErr w:type="spellEnd"/>
      <w:r w:rsidRPr="0026419F">
        <w:rPr>
          <w:rFonts w:ascii="Arial" w:eastAsia="Aptos" w:hAnsi="Arial" w:cs="Arial"/>
          <w:color w:val="000000"/>
          <w:sz w:val="22"/>
          <w:szCs w:val="22"/>
          <w:lang w:val="en-GB" w:eastAsia="en-US"/>
        </w:rPr>
        <w:t xml:space="preserve"> </w:t>
      </w:r>
      <w:proofErr w:type="spellStart"/>
      <w:r w:rsidRPr="0026419F">
        <w:rPr>
          <w:rFonts w:ascii="Arial" w:eastAsia="Aptos" w:hAnsi="Arial" w:cs="Arial"/>
          <w:color w:val="000000"/>
          <w:sz w:val="22"/>
          <w:szCs w:val="22"/>
          <w:lang w:val="en-GB" w:eastAsia="en-US"/>
        </w:rPr>
        <w:t>projekata</w:t>
      </w:r>
      <w:proofErr w:type="spellEnd"/>
      <w:r w:rsidRPr="0026419F">
        <w:rPr>
          <w:rFonts w:ascii="Arial" w:eastAsia="Aptos" w:hAnsi="Arial" w:cs="Arial"/>
          <w:color w:val="000000"/>
          <w:sz w:val="22"/>
          <w:szCs w:val="22"/>
          <w:lang w:val="en-GB" w:eastAsia="en-US"/>
        </w:rPr>
        <w:t>.</w:t>
      </w:r>
    </w:p>
    <w:p w14:paraId="3E967FAB" w14:textId="77777777" w:rsidR="0026419F" w:rsidRPr="0026419F" w:rsidRDefault="0026419F" w:rsidP="0026419F">
      <w:pPr>
        <w:spacing w:after="160" w:line="256" w:lineRule="auto"/>
        <w:rPr>
          <w:rFonts w:eastAsia="Aptos"/>
          <w:color w:val="000000"/>
          <w:szCs w:val="22"/>
          <w:lang w:eastAsia="en-US"/>
        </w:rPr>
      </w:pPr>
    </w:p>
    <w:p w14:paraId="2EAC98D7" w14:textId="77777777" w:rsidR="0026419F" w:rsidRPr="0026419F" w:rsidRDefault="0026419F" w:rsidP="0026419F">
      <w:pPr>
        <w:spacing w:after="160" w:line="256" w:lineRule="auto"/>
        <w:rPr>
          <w:rFonts w:eastAsia="Aptos"/>
          <w:color w:val="000000"/>
          <w:szCs w:val="22"/>
          <w:lang w:eastAsia="en-US"/>
        </w:rPr>
      </w:pPr>
    </w:p>
    <w:p w14:paraId="2E704227" w14:textId="77777777" w:rsidR="0026419F" w:rsidRDefault="0026419F" w:rsidP="0026419F">
      <w:pPr>
        <w:spacing w:after="160" w:line="256" w:lineRule="auto"/>
        <w:rPr>
          <w:rFonts w:eastAsia="Aptos"/>
          <w:szCs w:val="22"/>
          <w:lang w:eastAsia="en-US"/>
        </w:rPr>
      </w:pPr>
    </w:p>
    <w:p w14:paraId="6056956C" w14:textId="77777777" w:rsidR="00670BA2" w:rsidRDefault="00670BA2" w:rsidP="0026419F">
      <w:pPr>
        <w:spacing w:after="160" w:line="256" w:lineRule="auto"/>
        <w:rPr>
          <w:rFonts w:eastAsia="Aptos"/>
          <w:szCs w:val="22"/>
          <w:lang w:eastAsia="en-US"/>
        </w:rPr>
      </w:pPr>
    </w:p>
    <w:p w14:paraId="01523108" w14:textId="77777777" w:rsidR="00670BA2" w:rsidRDefault="00670BA2" w:rsidP="0026419F">
      <w:pPr>
        <w:spacing w:after="160" w:line="256" w:lineRule="auto"/>
        <w:rPr>
          <w:rFonts w:eastAsia="Aptos"/>
          <w:szCs w:val="22"/>
          <w:lang w:eastAsia="en-US"/>
        </w:rPr>
      </w:pPr>
    </w:p>
    <w:p w14:paraId="46A28108" w14:textId="77777777" w:rsidR="00670BA2" w:rsidRDefault="00670BA2" w:rsidP="0026419F">
      <w:pPr>
        <w:spacing w:after="160" w:line="256" w:lineRule="auto"/>
        <w:rPr>
          <w:rFonts w:eastAsia="Aptos"/>
          <w:szCs w:val="22"/>
          <w:lang w:eastAsia="en-US"/>
        </w:rPr>
      </w:pPr>
    </w:p>
    <w:p w14:paraId="346FA415" w14:textId="77777777" w:rsidR="00670BA2" w:rsidRDefault="00670BA2" w:rsidP="0026419F">
      <w:pPr>
        <w:spacing w:after="160" w:line="256" w:lineRule="auto"/>
        <w:rPr>
          <w:rFonts w:eastAsia="Aptos"/>
          <w:szCs w:val="22"/>
          <w:lang w:eastAsia="en-US"/>
        </w:rPr>
      </w:pPr>
    </w:p>
    <w:p w14:paraId="43D79084" w14:textId="77777777" w:rsidR="00670BA2" w:rsidRDefault="00670BA2" w:rsidP="0026419F">
      <w:pPr>
        <w:spacing w:after="160" w:line="256" w:lineRule="auto"/>
        <w:rPr>
          <w:rFonts w:eastAsia="Aptos"/>
          <w:szCs w:val="22"/>
          <w:lang w:eastAsia="en-US"/>
        </w:rPr>
      </w:pPr>
    </w:p>
    <w:p w14:paraId="26C0F2D3" w14:textId="77777777" w:rsidR="00670BA2" w:rsidRDefault="00670BA2" w:rsidP="0026419F">
      <w:pPr>
        <w:spacing w:after="160" w:line="256" w:lineRule="auto"/>
        <w:rPr>
          <w:rFonts w:eastAsia="Aptos"/>
          <w:szCs w:val="22"/>
          <w:lang w:eastAsia="en-US"/>
        </w:rPr>
      </w:pPr>
    </w:p>
    <w:p w14:paraId="02142F64" w14:textId="77777777" w:rsidR="00670BA2" w:rsidRDefault="00670BA2" w:rsidP="0026419F">
      <w:pPr>
        <w:spacing w:after="160" w:line="256" w:lineRule="auto"/>
        <w:rPr>
          <w:rFonts w:eastAsia="Aptos"/>
          <w:szCs w:val="22"/>
          <w:lang w:eastAsia="en-US"/>
        </w:rPr>
      </w:pPr>
    </w:p>
    <w:p w14:paraId="2772E506" w14:textId="77777777" w:rsidR="00670BA2" w:rsidRDefault="00670BA2" w:rsidP="0026419F">
      <w:pPr>
        <w:spacing w:after="160" w:line="256" w:lineRule="auto"/>
        <w:rPr>
          <w:rFonts w:eastAsia="Aptos"/>
          <w:szCs w:val="22"/>
          <w:lang w:eastAsia="en-US"/>
        </w:rPr>
      </w:pPr>
    </w:p>
    <w:p w14:paraId="1E94385B" w14:textId="77777777" w:rsidR="00670BA2" w:rsidRDefault="00670BA2" w:rsidP="0026419F">
      <w:pPr>
        <w:spacing w:after="160" w:line="256" w:lineRule="auto"/>
        <w:rPr>
          <w:rFonts w:eastAsia="Aptos"/>
          <w:szCs w:val="22"/>
          <w:lang w:eastAsia="en-US"/>
        </w:rPr>
      </w:pPr>
    </w:p>
    <w:p w14:paraId="16EBEFE4" w14:textId="77777777" w:rsidR="00670BA2" w:rsidRDefault="00670BA2" w:rsidP="0026419F">
      <w:pPr>
        <w:spacing w:after="160" w:line="256" w:lineRule="auto"/>
        <w:rPr>
          <w:rFonts w:eastAsia="Aptos"/>
          <w:szCs w:val="22"/>
          <w:lang w:eastAsia="en-US"/>
        </w:rPr>
      </w:pPr>
    </w:p>
    <w:p w14:paraId="6E7D1DC0" w14:textId="77777777" w:rsidR="00670BA2" w:rsidRDefault="00670BA2" w:rsidP="0026419F">
      <w:pPr>
        <w:spacing w:after="160" w:line="256" w:lineRule="auto"/>
        <w:rPr>
          <w:rFonts w:eastAsia="Aptos"/>
          <w:szCs w:val="22"/>
          <w:lang w:eastAsia="en-US"/>
        </w:rPr>
      </w:pPr>
    </w:p>
    <w:p w14:paraId="69D9EB15" w14:textId="77777777" w:rsidR="00670BA2" w:rsidRDefault="00670BA2" w:rsidP="0026419F">
      <w:pPr>
        <w:spacing w:after="160" w:line="256" w:lineRule="auto"/>
        <w:rPr>
          <w:rFonts w:eastAsia="Aptos"/>
          <w:szCs w:val="22"/>
          <w:lang w:eastAsia="en-US"/>
        </w:rPr>
      </w:pPr>
    </w:p>
    <w:p w14:paraId="24FC00C6" w14:textId="77777777" w:rsidR="00670BA2" w:rsidRDefault="00670BA2" w:rsidP="0026419F">
      <w:pPr>
        <w:spacing w:after="160" w:line="256" w:lineRule="auto"/>
        <w:rPr>
          <w:rFonts w:eastAsia="Aptos"/>
          <w:szCs w:val="22"/>
          <w:lang w:eastAsia="en-US"/>
        </w:rPr>
      </w:pPr>
    </w:p>
    <w:p w14:paraId="5D11A0F0" w14:textId="77777777" w:rsidR="00670BA2" w:rsidRDefault="00670BA2" w:rsidP="0026419F">
      <w:pPr>
        <w:spacing w:after="160" w:line="256" w:lineRule="auto"/>
        <w:rPr>
          <w:rFonts w:eastAsia="Aptos"/>
          <w:szCs w:val="22"/>
          <w:lang w:eastAsia="en-US"/>
        </w:rPr>
      </w:pPr>
    </w:p>
    <w:p w14:paraId="33B1C997" w14:textId="77777777" w:rsidR="00670BA2" w:rsidRDefault="00670BA2" w:rsidP="0026419F">
      <w:pPr>
        <w:spacing w:after="160" w:line="256" w:lineRule="auto"/>
        <w:rPr>
          <w:rFonts w:eastAsia="Aptos"/>
          <w:szCs w:val="22"/>
          <w:lang w:eastAsia="en-US"/>
        </w:rPr>
      </w:pPr>
    </w:p>
    <w:p w14:paraId="0A78DD76" w14:textId="77777777" w:rsidR="00670BA2" w:rsidRDefault="00670BA2" w:rsidP="0026419F">
      <w:pPr>
        <w:spacing w:after="160" w:line="256" w:lineRule="auto"/>
        <w:rPr>
          <w:rFonts w:eastAsia="Aptos"/>
          <w:szCs w:val="22"/>
          <w:lang w:eastAsia="en-US"/>
        </w:rPr>
      </w:pPr>
    </w:p>
    <w:p w14:paraId="4D653029" w14:textId="77777777" w:rsidR="00670BA2" w:rsidRDefault="00670BA2" w:rsidP="0026419F">
      <w:pPr>
        <w:spacing w:after="160" w:line="256" w:lineRule="auto"/>
        <w:rPr>
          <w:rFonts w:eastAsia="Aptos"/>
          <w:szCs w:val="22"/>
          <w:lang w:eastAsia="en-US"/>
        </w:rPr>
      </w:pPr>
    </w:p>
    <w:p w14:paraId="0AF3BBFE" w14:textId="77777777" w:rsidR="00670BA2" w:rsidRDefault="00670BA2" w:rsidP="0026419F">
      <w:pPr>
        <w:spacing w:after="160" w:line="256" w:lineRule="auto"/>
        <w:rPr>
          <w:rFonts w:eastAsia="Aptos"/>
          <w:szCs w:val="22"/>
          <w:lang w:eastAsia="en-US"/>
        </w:rPr>
      </w:pPr>
    </w:p>
    <w:p w14:paraId="12F3D8B4" w14:textId="77777777" w:rsidR="00670BA2" w:rsidRDefault="00670BA2" w:rsidP="0026419F">
      <w:pPr>
        <w:spacing w:after="160" w:line="256" w:lineRule="auto"/>
        <w:rPr>
          <w:rFonts w:eastAsia="Aptos"/>
          <w:szCs w:val="22"/>
          <w:lang w:eastAsia="en-US"/>
        </w:rPr>
      </w:pPr>
    </w:p>
    <w:p w14:paraId="12D3EB0A" w14:textId="77777777" w:rsidR="00670BA2" w:rsidRDefault="00670BA2" w:rsidP="0026419F">
      <w:pPr>
        <w:spacing w:after="160" w:line="256" w:lineRule="auto"/>
        <w:rPr>
          <w:rFonts w:eastAsia="Aptos"/>
          <w:szCs w:val="22"/>
          <w:lang w:eastAsia="en-US"/>
        </w:rPr>
      </w:pPr>
    </w:p>
    <w:p w14:paraId="207C8201" w14:textId="77777777" w:rsidR="00670BA2" w:rsidRPr="0026419F" w:rsidRDefault="00670BA2" w:rsidP="0026419F">
      <w:pPr>
        <w:spacing w:after="160" w:line="256" w:lineRule="auto"/>
        <w:rPr>
          <w:rFonts w:eastAsia="Aptos"/>
          <w:szCs w:val="22"/>
          <w:lang w:eastAsia="en-US"/>
        </w:rPr>
      </w:pPr>
    </w:p>
    <w:p w14:paraId="39019626" w14:textId="77777777" w:rsidR="00950446" w:rsidRDefault="00950446" w:rsidP="00A93B4E">
      <w:pPr>
        <w:rPr>
          <w:color w:val="000000" w:themeColor="text1"/>
        </w:rPr>
      </w:pPr>
    </w:p>
    <w:p w14:paraId="30D36E97" w14:textId="77777777" w:rsidR="00950446" w:rsidRDefault="00950446" w:rsidP="00A93B4E">
      <w:pPr>
        <w:rPr>
          <w:color w:val="000000" w:themeColor="text1"/>
        </w:rPr>
      </w:pPr>
    </w:p>
    <w:p w14:paraId="1B5C4263" w14:textId="6646347D" w:rsidR="00CC0725" w:rsidRDefault="00A06700" w:rsidP="00CC0725">
      <w:pPr>
        <w:pStyle w:val="Naslov3"/>
        <w:jc w:val="center"/>
        <w:rPr>
          <w:rFonts w:ascii="Arial" w:hAnsi="Arial" w:cs="Arial"/>
          <w:b/>
          <w:color w:val="000000" w:themeColor="text1"/>
        </w:rPr>
      </w:pPr>
      <w:bookmarkStart w:id="33" w:name="_Toc116629400"/>
      <w:r>
        <w:rPr>
          <w:rFonts w:ascii="Arial" w:hAnsi="Arial" w:cs="Arial"/>
          <w:b/>
          <w:color w:val="000000" w:themeColor="text1"/>
        </w:rPr>
        <w:lastRenderedPageBreak/>
        <w:t>3</w:t>
      </w:r>
      <w:r w:rsidR="00FE2B3D">
        <w:rPr>
          <w:rFonts w:ascii="Arial" w:hAnsi="Arial" w:cs="Arial"/>
          <w:b/>
          <w:color w:val="000000" w:themeColor="text1"/>
        </w:rPr>
        <w:t>.2.</w:t>
      </w:r>
      <w:r w:rsidR="00CC0725">
        <w:rPr>
          <w:rFonts w:ascii="Arial" w:hAnsi="Arial" w:cs="Arial"/>
          <w:b/>
          <w:color w:val="000000" w:themeColor="text1"/>
        </w:rPr>
        <w:t xml:space="preserve">4. </w:t>
      </w:r>
      <w:r w:rsidR="00CC0725" w:rsidRPr="008F7C80">
        <w:rPr>
          <w:rFonts w:ascii="Arial" w:hAnsi="Arial" w:cs="Arial"/>
          <w:b/>
          <w:color w:val="000000" w:themeColor="text1"/>
        </w:rPr>
        <w:t xml:space="preserve">Upravni odjel za </w:t>
      </w:r>
      <w:r w:rsidR="00CC0725">
        <w:rPr>
          <w:rFonts w:ascii="Arial" w:hAnsi="Arial" w:cs="Arial"/>
          <w:b/>
          <w:color w:val="000000" w:themeColor="text1"/>
        </w:rPr>
        <w:t>komunalno gospodarstvo i upravljanje imovinom</w:t>
      </w:r>
      <w:bookmarkEnd w:id="33"/>
    </w:p>
    <w:p w14:paraId="7E3B1A04" w14:textId="77777777" w:rsidR="00DB4AC8" w:rsidRDefault="00DB4AC8" w:rsidP="003421A7">
      <w:pPr>
        <w:spacing w:line="259" w:lineRule="auto"/>
        <w:rPr>
          <w:color w:val="000000" w:themeColor="text1"/>
        </w:rPr>
      </w:pPr>
    </w:p>
    <w:p w14:paraId="386305A7" w14:textId="68639B28" w:rsidR="00643C17" w:rsidRPr="00FB55FF" w:rsidRDefault="00643C17" w:rsidP="003421A7">
      <w:pPr>
        <w:spacing w:line="259" w:lineRule="auto"/>
        <w:ind w:firstLine="708"/>
        <w:jc w:val="both"/>
        <w:rPr>
          <w:rFonts w:ascii="Arial" w:hAnsi="Arial" w:cs="Arial"/>
          <w:sz w:val="22"/>
        </w:rPr>
      </w:pPr>
      <w:r w:rsidRPr="00FB55FF">
        <w:rPr>
          <w:rFonts w:ascii="Arial" w:hAnsi="Arial" w:cs="Arial"/>
          <w:sz w:val="22"/>
        </w:rPr>
        <w:t xml:space="preserve">Prvim izmjenama i dopunama </w:t>
      </w:r>
      <w:r w:rsidRPr="00FB55FF">
        <w:rPr>
          <w:rFonts w:ascii="Arial" w:hAnsi="Arial" w:cs="Arial"/>
          <w:bCs/>
          <w:sz w:val="22"/>
        </w:rPr>
        <w:t>Proračun UO za komunalno gospodarstvo i upravljanje imovinom za 202</w:t>
      </w:r>
      <w:r>
        <w:rPr>
          <w:rFonts w:ascii="Arial" w:hAnsi="Arial" w:cs="Arial"/>
          <w:bCs/>
          <w:sz w:val="22"/>
        </w:rPr>
        <w:t>5</w:t>
      </w:r>
      <w:r w:rsidRPr="00FB55FF">
        <w:rPr>
          <w:rFonts w:ascii="Arial" w:hAnsi="Arial" w:cs="Arial"/>
          <w:bCs/>
          <w:sz w:val="22"/>
        </w:rPr>
        <w:t>. godinu s projekcijom za 202</w:t>
      </w:r>
      <w:r>
        <w:rPr>
          <w:rFonts w:ascii="Arial" w:hAnsi="Arial" w:cs="Arial"/>
          <w:bCs/>
          <w:sz w:val="22"/>
        </w:rPr>
        <w:t>6</w:t>
      </w:r>
      <w:r w:rsidRPr="00FB55FF">
        <w:rPr>
          <w:rFonts w:ascii="Arial" w:hAnsi="Arial" w:cs="Arial"/>
          <w:bCs/>
          <w:sz w:val="22"/>
        </w:rPr>
        <w:t>. i 202</w:t>
      </w:r>
      <w:r>
        <w:rPr>
          <w:rFonts w:ascii="Arial" w:hAnsi="Arial" w:cs="Arial"/>
          <w:bCs/>
          <w:sz w:val="22"/>
        </w:rPr>
        <w:t>7</w:t>
      </w:r>
      <w:r w:rsidRPr="00FB55FF">
        <w:rPr>
          <w:rFonts w:ascii="Arial" w:hAnsi="Arial" w:cs="Arial"/>
          <w:bCs/>
          <w:sz w:val="22"/>
        </w:rPr>
        <w:t>. godinu (u daljnjem tekstu: Proračun)</w:t>
      </w:r>
      <w:r w:rsidRPr="00FB55FF">
        <w:rPr>
          <w:rFonts w:ascii="Arial" w:hAnsi="Arial" w:cs="Arial"/>
          <w:sz w:val="22"/>
        </w:rPr>
        <w:t xml:space="preserve"> povećao se za </w:t>
      </w:r>
      <w:r>
        <w:rPr>
          <w:rFonts w:ascii="Arial" w:hAnsi="Arial" w:cs="Arial"/>
          <w:sz w:val="22"/>
        </w:rPr>
        <w:t>227</w:t>
      </w:r>
      <w:r w:rsidRPr="00FB55FF">
        <w:rPr>
          <w:rFonts w:ascii="Arial" w:hAnsi="Arial" w:cs="Arial"/>
          <w:sz w:val="22"/>
        </w:rPr>
        <w:t>.0</w:t>
      </w:r>
      <w:r>
        <w:rPr>
          <w:rFonts w:ascii="Arial" w:hAnsi="Arial" w:cs="Arial"/>
          <w:sz w:val="22"/>
        </w:rPr>
        <w:t>1</w:t>
      </w:r>
      <w:r w:rsidRPr="00FB55FF">
        <w:rPr>
          <w:rFonts w:ascii="Arial" w:hAnsi="Arial" w:cs="Arial"/>
          <w:sz w:val="22"/>
        </w:rPr>
        <w:t xml:space="preserve">9,00 EUR ili </w:t>
      </w:r>
      <w:r>
        <w:rPr>
          <w:rFonts w:ascii="Arial" w:hAnsi="Arial" w:cs="Arial"/>
          <w:sz w:val="22"/>
        </w:rPr>
        <w:t>8</w:t>
      </w:r>
      <w:r w:rsidRPr="00FB55FF">
        <w:rPr>
          <w:rFonts w:ascii="Arial" w:hAnsi="Arial" w:cs="Arial"/>
          <w:sz w:val="22"/>
        </w:rPr>
        <w:t>,5</w:t>
      </w:r>
      <w:r>
        <w:rPr>
          <w:rFonts w:ascii="Arial" w:hAnsi="Arial" w:cs="Arial"/>
          <w:sz w:val="22"/>
        </w:rPr>
        <w:t>8</w:t>
      </w:r>
      <w:r w:rsidRPr="00FB55FF">
        <w:rPr>
          <w:rFonts w:ascii="Arial" w:hAnsi="Arial" w:cs="Arial"/>
          <w:sz w:val="22"/>
        </w:rPr>
        <w:t xml:space="preserve">% od iznosa prvobitnog plana i sada iznosi </w:t>
      </w:r>
      <w:r>
        <w:rPr>
          <w:rFonts w:ascii="Arial" w:hAnsi="Arial" w:cs="Arial"/>
          <w:sz w:val="22"/>
        </w:rPr>
        <w:t>2</w:t>
      </w:r>
      <w:r w:rsidRPr="00FB55FF">
        <w:rPr>
          <w:rFonts w:ascii="Arial" w:hAnsi="Arial" w:cs="Arial"/>
          <w:sz w:val="22"/>
        </w:rPr>
        <w:t>.</w:t>
      </w:r>
      <w:r>
        <w:rPr>
          <w:rFonts w:ascii="Arial" w:hAnsi="Arial" w:cs="Arial"/>
          <w:sz w:val="22"/>
        </w:rPr>
        <w:t>873</w:t>
      </w:r>
      <w:r w:rsidRPr="00FB55FF">
        <w:rPr>
          <w:rFonts w:ascii="Arial" w:hAnsi="Arial" w:cs="Arial"/>
          <w:sz w:val="22"/>
        </w:rPr>
        <w:t>.0</w:t>
      </w:r>
      <w:r>
        <w:rPr>
          <w:rFonts w:ascii="Arial" w:hAnsi="Arial" w:cs="Arial"/>
          <w:sz w:val="22"/>
        </w:rPr>
        <w:t>44</w:t>
      </w:r>
      <w:r w:rsidRPr="00FB55FF">
        <w:rPr>
          <w:rFonts w:ascii="Arial" w:hAnsi="Arial" w:cs="Arial"/>
          <w:sz w:val="22"/>
        </w:rPr>
        <w:t xml:space="preserve">,00 </w:t>
      </w:r>
      <w:r w:rsidR="0026419F">
        <w:rPr>
          <w:rFonts w:ascii="Arial" w:hAnsi="Arial" w:cs="Arial"/>
          <w:sz w:val="22"/>
        </w:rPr>
        <w:t>EUR</w:t>
      </w:r>
      <w:r w:rsidRPr="00FB55FF">
        <w:rPr>
          <w:rFonts w:ascii="Arial" w:hAnsi="Arial" w:cs="Arial"/>
          <w:sz w:val="22"/>
        </w:rPr>
        <w:t>.</w:t>
      </w:r>
    </w:p>
    <w:p w14:paraId="49DCAB96" w14:textId="77777777" w:rsidR="00643C17" w:rsidRPr="00FB55FF" w:rsidRDefault="00643C17" w:rsidP="003421A7">
      <w:pPr>
        <w:spacing w:line="259" w:lineRule="auto"/>
        <w:ind w:firstLine="708"/>
        <w:jc w:val="both"/>
        <w:rPr>
          <w:rFonts w:ascii="Arial" w:hAnsi="Arial" w:cs="Arial"/>
          <w:sz w:val="22"/>
        </w:rPr>
      </w:pPr>
    </w:p>
    <w:tbl>
      <w:tblPr>
        <w:tblW w:w="9331" w:type="dxa"/>
        <w:tblLook w:val="04A0" w:firstRow="1" w:lastRow="0" w:firstColumn="1" w:lastColumn="0" w:noHBand="0" w:noVBand="1"/>
      </w:tblPr>
      <w:tblGrid>
        <w:gridCol w:w="5192"/>
        <w:gridCol w:w="1405"/>
        <w:gridCol w:w="1350"/>
        <w:gridCol w:w="1384"/>
      </w:tblGrid>
      <w:tr w:rsidR="00643C17" w:rsidRPr="00FB55FF" w14:paraId="07BCB1BE" w14:textId="77777777" w:rsidTr="00DB54DB">
        <w:trPr>
          <w:trHeight w:val="510"/>
        </w:trPr>
        <w:tc>
          <w:tcPr>
            <w:tcW w:w="51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C3895" w14:textId="77777777" w:rsidR="00643C17" w:rsidRPr="00FB55FF" w:rsidRDefault="00643C17" w:rsidP="00DB54DB">
            <w:pPr>
              <w:rPr>
                <w:rFonts w:ascii="Arial" w:hAnsi="Arial" w:cs="Arial"/>
                <w:b/>
                <w:bCs/>
                <w:sz w:val="20"/>
                <w:szCs w:val="20"/>
              </w:rPr>
            </w:pPr>
          </w:p>
        </w:tc>
        <w:tc>
          <w:tcPr>
            <w:tcW w:w="1405" w:type="dxa"/>
            <w:tcBorders>
              <w:top w:val="single" w:sz="4" w:space="0" w:color="auto"/>
              <w:left w:val="nil"/>
              <w:bottom w:val="single" w:sz="4" w:space="0" w:color="auto"/>
              <w:right w:val="single" w:sz="4" w:space="0" w:color="auto"/>
            </w:tcBorders>
            <w:shd w:val="clear" w:color="000000" w:fill="FFFFFF"/>
            <w:noWrap/>
            <w:vAlign w:val="bottom"/>
            <w:hideMark/>
          </w:tcPr>
          <w:p w14:paraId="13C38320" w14:textId="77777777" w:rsidR="00643C17" w:rsidRPr="00FB55FF" w:rsidRDefault="00643C17" w:rsidP="00DB54DB">
            <w:pPr>
              <w:rPr>
                <w:rFonts w:ascii="Arial" w:hAnsi="Arial" w:cs="Arial"/>
                <w:b/>
                <w:bCs/>
                <w:sz w:val="20"/>
                <w:szCs w:val="20"/>
              </w:rPr>
            </w:pPr>
            <w:r w:rsidRPr="00FB55FF">
              <w:rPr>
                <w:rFonts w:ascii="Arial" w:hAnsi="Arial" w:cs="Arial"/>
                <w:b/>
                <w:bCs/>
                <w:sz w:val="20"/>
                <w:szCs w:val="20"/>
              </w:rPr>
              <w:t>PLANIRANO</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4E8A11AE" w14:textId="77777777" w:rsidR="00643C17" w:rsidRPr="00FB55FF" w:rsidRDefault="00643C17" w:rsidP="00DB54DB">
            <w:pPr>
              <w:rPr>
                <w:rFonts w:ascii="Arial" w:hAnsi="Arial" w:cs="Arial"/>
                <w:b/>
                <w:bCs/>
                <w:sz w:val="20"/>
                <w:szCs w:val="20"/>
              </w:rPr>
            </w:pPr>
            <w:r w:rsidRPr="00FB55FF">
              <w:rPr>
                <w:rFonts w:ascii="Arial" w:hAnsi="Arial" w:cs="Arial"/>
                <w:b/>
                <w:bCs/>
                <w:sz w:val="20"/>
                <w:szCs w:val="20"/>
              </w:rPr>
              <w:t>PROMJENA IZNOS</w:t>
            </w:r>
          </w:p>
        </w:tc>
        <w:tc>
          <w:tcPr>
            <w:tcW w:w="1384" w:type="dxa"/>
            <w:tcBorders>
              <w:top w:val="single" w:sz="4" w:space="0" w:color="auto"/>
              <w:left w:val="nil"/>
              <w:bottom w:val="single" w:sz="4" w:space="0" w:color="auto"/>
              <w:right w:val="single" w:sz="4" w:space="0" w:color="auto"/>
            </w:tcBorders>
            <w:shd w:val="clear" w:color="000000" w:fill="FFFFFF"/>
            <w:noWrap/>
            <w:vAlign w:val="bottom"/>
            <w:hideMark/>
          </w:tcPr>
          <w:p w14:paraId="21D51CC0" w14:textId="77777777" w:rsidR="00643C17" w:rsidRPr="00FB55FF" w:rsidRDefault="00643C17" w:rsidP="00DB54DB">
            <w:pPr>
              <w:rPr>
                <w:rFonts w:ascii="Arial" w:hAnsi="Arial" w:cs="Arial"/>
                <w:b/>
                <w:bCs/>
                <w:sz w:val="20"/>
                <w:szCs w:val="20"/>
              </w:rPr>
            </w:pPr>
            <w:r w:rsidRPr="00FB55FF">
              <w:rPr>
                <w:rFonts w:ascii="Arial" w:hAnsi="Arial" w:cs="Arial"/>
                <w:b/>
                <w:bCs/>
                <w:sz w:val="20"/>
                <w:szCs w:val="20"/>
              </w:rPr>
              <w:t>NOVI IZNOS</w:t>
            </w:r>
          </w:p>
        </w:tc>
      </w:tr>
      <w:tr w:rsidR="00643C17" w:rsidRPr="00FB55FF" w14:paraId="52792939"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6CFB7E24" w14:textId="77777777" w:rsidR="00643C17" w:rsidRPr="00FB55FF" w:rsidRDefault="00643C17" w:rsidP="00DB54DB">
            <w:pPr>
              <w:rPr>
                <w:rFonts w:ascii="Arial" w:hAnsi="Arial" w:cs="Arial"/>
                <w:b/>
                <w:bCs/>
                <w:sz w:val="20"/>
                <w:szCs w:val="20"/>
              </w:rPr>
            </w:pPr>
            <w:r w:rsidRPr="00FB55FF">
              <w:rPr>
                <w:rFonts w:ascii="Arial" w:hAnsi="Arial" w:cs="Arial"/>
                <w:b/>
                <w:bCs/>
                <w:sz w:val="20"/>
                <w:szCs w:val="20"/>
              </w:rPr>
              <w:t xml:space="preserve">  SVEUKUPNO RASHODI / IZDACI</w:t>
            </w:r>
          </w:p>
        </w:tc>
        <w:tc>
          <w:tcPr>
            <w:tcW w:w="1405" w:type="dxa"/>
            <w:tcBorders>
              <w:top w:val="nil"/>
              <w:left w:val="nil"/>
              <w:bottom w:val="single" w:sz="4" w:space="0" w:color="auto"/>
              <w:right w:val="single" w:sz="4" w:space="0" w:color="auto"/>
            </w:tcBorders>
            <w:shd w:val="clear" w:color="000000" w:fill="FFFFFF"/>
            <w:noWrap/>
            <w:vAlign w:val="bottom"/>
            <w:hideMark/>
          </w:tcPr>
          <w:p w14:paraId="07232D28" w14:textId="77777777" w:rsidR="00643C17" w:rsidRPr="00FB55FF" w:rsidRDefault="00643C17" w:rsidP="00DB54DB">
            <w:pPr>
              <w:jc w:val="right"/>
              <w:rPr>
                <w:rFonts w:ascii="Arial" w:hAnsi="Arial" w:cs="Arial"/>
                <w:b/>
                <w:bCs/>
                <w:sz w:val="20"/>
                <w:szCs w:val="20"/>
              </w:rPr>
            </w:pPr>
            <w:r w:rsidRPr="00FB55FF">
              <w:rPr>
                <w:rFonts w:ascii="Arial" w:hAnsi="Arial" w:cs="Arial"/>
                <w:b/>
                <w:bCs/>
                <w:sz w:val="20"/>
                <w:szCs w:val="20"/>
              </w:rPr>
              <w:t>2.646.025,00</w:t>
            </w:r>
          </w:p>
        </w:tc>
        <w:tc>
          <w:tcPr>
            <w:tcW w:w="1350" w:type="dxa"/>
            <w:tcBorders>
              <w:top w:val="nil"/>
              <w:left w:val="nil"/>
              <w:bottom w:val="single" w:sz="4" w:space="0" w:color="auto"/>
              <w:right w:val="single" w:sz="4" w:space="0" w:color="auto"/>
            </w:tcBorders>
            <w:shd w:val="clear" w:color="000000" w:fill="FFFFFF"/>
            <w:noWrap/>
            <w:vAlign w:val="bottom"/>
            <w:hideMark/>
          </w:tcPr>
          <w:p w14:paraId="6B881798" w14:textId="77777777" w:rsidR="00643C17" w:rsidRPr="00FB55FF" w:rsidRDefault="00643C17" w:rsidP="00DB54DB">
            <w:pPr>
              <w:jc w:val="right"/>
              <w:rPr>
                <w:rFonts w:ascii="Arial" w:hAnsi="Arial" w:cs="Arial"/>
                <w:b/>
                <w:bCs/>
                <w:sz w:val="20"/>
                <w:szCs w:val="20"/>
              </w:rPr>
            </w:pPr>
            <w:r w:rsidRPr="00FB55FF">
              <w:rPr>
                <w:rFonts w:ascii="Arial" w:hAnsi="Arial" w:cs="Arial"/>
                <w:b/>
                <w:bCs/>
                <w:sz w:val="20"/>
                <w:szCs w:val="20"/>
              </w:rPr>
              <w:t>227.019,00</w:t>
            </w:r>
          </w:p>
        </w:tc>
        <w:tc>
          <w:tcPr>
            <w:tcW w:w="1384" w:type="dxa"/>
            <w:tcBorders>
              <w:top w:val="nil"/>
              <w:left w:val="nil"/>
              <w:bottom w:val="single" w:sz="4" w:space="0" w:color="auto"/>
              <w:right w:val="single" w:sz="4" w:space="0" w:color="auto"/>
            </w:tcBorders>
            <w:shd w:val="clear" w:color="000000" w:fill="FFFFFF"/>
            <w:noWrap/>
            <w:vAlign w:val="bottom"/>
            <w:hideMark/>
          </w:tcPr>
          <w:p w14:paraId="5EFE07AC" w14:textId="77777777" w:rsidR="00643C17" w:rsidRPr="00FB55FF" w:rsidRDefault="00643C17" w:rsidP="00DB54DB">
            <w:pPr>
              <w:jc w:val="right"/>
              <w:rPr>
                <w:rFonts w:ascii="Arial" w:hAnsi="Arial" w:cs="Arial"/>
                <w:b/>
                <w:bCs/>
                <w:sz w:val="20"/>
                <w:szCs w:val="20"/>
              </w:rPr>
            </w:pPr>
            <w:r w:rsidRPr="00FB55FF">
              <w:rPr>
                <w:rFonts w:ascii="Arial" w:hAnsi="Arial" w:cs="Arial"/>
                <w:b/>
                <w:bCs/>
                <w:sz w:val="20"/>
                <w:szCs w:val="20"/>
              </w:rPr>
              <w:t>2.873.044,00</w:t>
            </w:r>
          </w:p>
        </w:tc>
      </w:tr>
      <w:tr w:rsidR="00643C17" w:rsidRPr="00FB55FF" w14:paraId="4D94B377"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0D2F6473" w14:textId="77777777" w:rsidR="00643C17" w:rsidRPr="00FB55FF" w:rsidRDefault="00643C17" w:rsidP="00DB54DB">
            <w:pPr>
              <w:rPr>
                <w:rFonts w:ascii="Arial" w:hAnsi="Arial" w:cs="Arial"/>
                <w:b/>
                <w:bCs/>
                <w:sz w:val="20"/>
                <w:szCs w:val="20"/>
              </w:rPr>
            </w:pPr>
            <w:r w:rsidRPr="00FB55FF">
              <w:rPr>
                <w:rFonts w:ascii="Arial" w:hAnsi="Arial" w:cs="Arial"/>
                <w:b/>
                <w:bCs/>
                <w:sz w:val="20"/>
                <w:szCs w:val="20"/>
              </w:rPr>
              <w:t>Razdjel 400 UPRAVNI ODJEL ZA KOMUNALNO GOSPODARSTVO I UPRAVLJANJE IMOVINOM</w:t>
            </w:r>
          </w:p>
        </w:tc>
        <w:tc>
          <w:tcPr>
            <w:tcW w:w="1405" w:type="dxa"/>
            <w:tcBorders>
              <w:top w:val="nil"/>
              <w:left w:val="nil"/>
              <w:bottom w:val="single" w:sz="4" w:space="0" w:color="auto"/>
              <w:right w:val="single" w:sz="4" w:space="0" w:color="auto"/>
            </w:tcBorders>
            <w:shd w:val="clear" w:color="000000" w:fill="FFFFFF"/>
            <w:noWrap/>
            <w:vAlign w:val="bottom"/>
            <w:hideMark/>
          </w:tcPr>
          <w:p w14:paraId="6E2D431A" w14:textId="77777777" w:rsidR="00643C17" w:rsidRPr="00FB55FF" w:rsidRDefault="00643C17" w:rsidP="00DB54DB">
            <w:pPr>
              <w:jc w:val="right"/>
              <w:rPr>
                <w:rFonts w:ascii="Arial" w:hAnsi="Arial" w:cs="Arial"/>
                <w:b/>
                <w:bCs/>
                <w:sz w:val="20"/>
                <w:szCs w:val="20"/>
              </w:rPr>
            </w:pPr>
            <w:r w:rsidRPr="00FB55FF">
              <w:rPr>
                <w:rFonts w:ascii="Arial" w:hAnsi="Arial" w:cs="Arial"/>
                <w:b/>
                <w:bCs/>
                <w:sz w:val="20"/>
                <w:szCs w:val="20"/>
              </w:rPr>
              <w:t>2.646.025,00</w:t>
            </w:r>
          </w:p>
        </w:tc>
        <w:tc>
          <w:tcPr>
            <w:tcW w:w="1350" w:type="dxa"/>
            <w:tcBorders>
              <w:top w:val="nil"/>
              <w:left w:val="nil"/>
              <w:bottom w:val="single" w:sz="4" w:space="0" w:color="auto"/>
              <w:right w:val="single" w:sz="4" w:space="0" w:color="auto"/>
            </w:tcBorders>
            <w:shd w:val="clear" w:color="000000" w:fill="FFFFFF"/>
            <w:noWrap/>
            <w:vAlign w:val="bottom"/>
            <w:hideMark/>
          </w:tcPr>
          <w:p w14:paraId="5974268B" w14:textId="77777777" w:rsidR="00643C17" w:rsidRPr="00FB55FF" w:rsidRDefault="00643C17" w:rsidP="00DB54DB">
            <w:pPr>
              <w:jc w:val="right"/>
              <w:rPr>
                <w:rFonts w:ascii="Arial" w:hAnsi="Arial" w:cs="Arial"/>
                <w:b/>
                <w:bCs/>
                <w:sz w:val="20"/>
                <w:szCs w:val="20"/>
              </w:rPr>
            </w:pPr>
            <w:r w:rsidRPr="00FB55FF">
              <w:rPr>
                <w:rFonts w:ascii="Arial" w:hAnsi="Arial" w:cs="Arial"/>
                <w:b/>
                <w:bCs/>
                <w:sz w:val="20"/>
                <w:szCs w:val="20"/>
              </w:rPr>
              <w:t>227.019,00</w:t>
            </w:r>
          </w:p>
        </w:tc>
        <w:tc>
          <w:tcPr>
            <w:tcW w:w="1384" w:type="dxa"/>
            <w:tcBorders>
              <w:top w:val="nil"/>
              <w:left w:val="nil"/>
              <w:bottom w:val="single" w:sz="4" w:space="0" w:color="auto"/>
              <w:right w:val="single" w:sz="4" w:space="0" w:color="auto"/>
            </w:tcBorders>
            <w:shd w:val="clear" w:color="000000" w:fill="FFFFFF"/>
            <w:noWrap/>
            <w:vAlign w:val="bottom"/>
            <w:hideMark/>
          </w:tcPr>
          <w:p w14:paraId="57F78420" w14:textId="77777777" w:rsidR="00643C17" w:rsidRPr="00FB55FF" w:rsidRDefault="00643C17" w:rsidP="00DB54DB">
            <w:pPr>
              <w:jc w:val="right"/>
              <w:rPr>
                <w:rFonts w:ascii="Arial" w:hAnsi="Arial" w:cs="Arial"/>
                <w:b/>
                <w:bCs/>
                <w:sz w:val="20"/>
                <w:szCs w:val="20"/>
              </w:rPr>
            </w:pPr>
            <w:r w:rsidRPr="00FB55FF">
              <w:rPr>
                <w:rFonts w:ascii="Arial" w:hAnsi="Arial" w:cs="Arial"/>
                <w:b/>
                <w:bCs/>
                <w:sz w:val="20"/>
                <w:szCs w:val="20"/>
              </w:rPr>
              <w:t>2.873.044,00</w:t>
            </w:r>
          </w:p>
        </w:tc>
      </w:tr>
      <w:tr w:rsidR="00643C17" w:rsidRPr="00FB55FF" w14:paraId="79201CDB"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5CB5AF06" w14:textId="77777777" w:rsidR="00643C17" w:rsidRPr="00FB55FF" w:rsidRDefault="00643C17" w:rsidP="00DB54DB">
            <w:pPr>
              <w:rPr>
                <w:rFonts w:ascii="Arial" w:hAnsi="Arial" w:cs="Arial"/>
                <w:b/>
                <w:bCs/>
                <w:sz w:val="20"/>
                <w:szCs w:val="20"/>
              </w:rPr>
            </w:pPr>
            <w:r w:rsidRPr="00FB55FF">
              <w:rPr>
                <w:rFonts w:ascii="Arial" w:hAnsi="Arial" w:cs="Arial"/>
                <w:b/>
                <w:bCs/>
                <w:sz w:val="20"/>
                <w:szCs w:val="20"/>
              </w:rPr>
              <w:t>Glava 40001 UPRAVNI ODJEL ZA KOMUNALNO GOSPODARSTVO I UPRAVLJANJE IMOVINOM</w:t>
            </w:r>
          </w:p>
        </w:tc>
        <w:tc>
          <w:tcPr>
            <w:tcW w:w="1405" w:type="dxa"/>
            <w:tcBorders>
              <w:top w:val="nil"/>
              <w:left w:val="nil"/>
              <w:bottom w:val="single" w:sz="4" w:space="0" w:color="auto"/>
              <w:right w:val="single" w:sz="4" w:space="0" w:color="auto"/>
            </w:tcBorders>
            <w:shd w:val="clear" w:color="000000" w:fill="FFFFFF"/>
            <w:noWrap/>
            <w:vAlign w:val="bottom"/>
            <w:hideMark/>
          </w:tcPr>
          <w:p w14:paraId="41086E5E" w14:textId="77777777" w:rsidR="00643C17" w:rsidRPr="00FB55FF" w:rsidRDefault="00643C17" w:rsidP="00DB54DB">
            <w:pPr>
              <w:jc w:val="right"/>
              <w:rPr>
                <w:rFonts w:ascii="Arial" w:hAnsi="Arial" w:cs="Arial"/>
                <w:b/>
                <w:bCs/>
                <w:sz w:val="20"/>
                <w:szCs w:val="20"/>
              </w:rPr>
            </w:pPr>
            <w:r w:rsidRPr="00FB55FF">
              <w:rPr>
                <w:rFonts w:ascii="Arial" w:hAnsi="Arial" w:cs="Arial"/>
                <w:b/>
                <w:bCs/>
                <w:sz w:val="20"/>
                <w:szCs w:val="20"/>
              </w:rPr>
              <w:t>2.646.025,00</w:t>
            </w:r>
          </w:p>
        </w:tc>
        <w:tc>
          <w:tcPr>
            <w:tcW w:w="1350" w:type="dxa"/>
            <w:tcBorders>
              <w:top w:val="nil"/>
              <w:left w:val="nil"/>
              <w:bottom w:val="single" w:sz="4" w:space="0" w:color="auto"/>
              <w:right w:val="single" w:sz="4" w:space="0" w:color="auto"/>
            </w:tcBorders>
            <w:shd w:val="clear" w:color="000000" w:fill="FFFFFF"/>
            <w:noWrap/>
            <w:vAlign w:val="bottom"/>
            <w:hideMark/>
          </w:tcPr>
          <w:p w14:paraId="7B7EE948" w14:textId="77777777" w:rsidR="00643C17" w:rsidRPr="00FB55FF" w:rsidRDefault="00643C17" w:rsidP="00DB54DB">
            <w:pPr>
              <w:jc w:val="right"/>
              <w:rPr>
                <w:rFonts w:ascii="Arial" w:hAnsi="Arial" w:cs="Arial"/>
                <w:b/>
                <w:bCs/>
                <w:sz w:val="20"/>
                <w:szCs w:val="20"/>
              </w:rPr>
            </w:pPr>
            <w:r w:rsidRPr="00FB55FF">
              <w:rPr>
                <w:rFonts w:ascii="Arial" w:hAnsi="Arial" w:cs="Arial"/>
                <w:b/>
                <w:bCs/>
                <w:sz w:val="20"/>
                <w:szCs w:val="20"/>
              </w:rPr>
              <w:t>227.019,00</w:t>
            </w:r>
          </w:p>
        </w:tc>
        <w:tc>
          <w:tcPr>
            <w:tcW w:w="1384" w:type="dxa"/>
            <w:tcBorders>
              <w:top w:val="nil"/>
              <w:left w:val="nil"/>
              <w:bottom w:val="single" w:sz="4" w:space="0" w:color="auto"/>
              <w:right w:val="single" w:sz="4" w:space="0" w:color="auto"/>
            </w:tcBorders>
            <w:shd w:val="clear" w:color="000000" w:fill="FFFFFF"/>
            <w:noWrap/>
            <w:vAlign w:val="bottom"/>
            <w:hideMark/>
          </w:tcPr>
          <w:p w14:paraId="4EC866E4" w14:textId="77777777" w:rsidR="00643C17" w:rsidRPr="00FB55FF" w:rsidRDefault="00643C17" w:rsidP="00DB54DB">
            <w:pPr>
              <w:jc w:val="right"/>
              <w:rPr>
                <w:rFonts w:ascii="Arial" w:hAnsi="Arial" w:cs="Arial"/>
                <w:b/>
                <w:bCs/>
                <w:sz w:val="20"/>
                <w:szCs w:val="20"/>
              </w:rPr>
            </w:pPr>
            <w:r w:rsidRPr="00FB55FF">
              <w:rPr>
                <w:rFonts w:ascii="Arial" w:hAnsi="Arial" w:cs="Arial"/>
                <w:b/>
                <w:bCs/>
                <w:sz w:val="20"/>
                <w:szCs w:val="20"/>
              </w:rPr>
              <w:t>2.873.044,00</w:t>
            </w:r>
          </w:p>
        </w:tc>
      </w:tr>
      <w:tr w:rsidR="00643C17" w:rsidRPr="00FB55FF" w14:paraId="25EEBCBD"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5FFFEA34" w14:textId="77777777" w:rsidR="00643C17" w:rsidRPr="00FB55FF" w:rsidRDefault="00643C17" w:rsidP="00DB54DB">
            <w:pPr>
              <w:rPr>
                <w:rFonts w:ascii="Arial" w:hAnsi="Arial" w:cs="Arial"/>
                <w:b/>
                <w:bCs/>
                <w:sz w:val="20"/>
                <w:szCs w:val="20"/>
              </w:rPr>
            </w:pPr>
            <w:r w:rsidRPr="00FB55FF">
              <w:rPr>
                <w:rFonts w:ascii="Arial" w:hAnsi="Arial" w:cs="Arial"/>
                <w:b/>
                <w:bCs/>
                <w:sz w:val="20"/>
                <w:szCs w:val="20"/>
              </w:rPr>
              <w:t>Program 4001 Održavanje komunalne infrastrukture</w:t>
            </w:r>
          </w:p>
        </w:tc>
        <w:tc>
          <w:tcPr>
            <w:tcW w:w="1405" w:type="dxa"/>
            <w:tcBorders>
              <w:top w:val="nil"/>
              <w:left w:val="nil"/>
              <w:bottom w:val="single" w:sz="4" w:space="0" w:color="auto"/>
              <w:right w:val="single" w:sz="4" w:space="0" w:color="auto"/>
            </w:tcBorders>
            <w:shd w:val="clear" w:color="000000" w:fill="FFFFFF"/>
            <w:noWrap/>
            <w:vAlign w:val="bottom"/>
            <w:hideMark/>
          </w:tcPr>
          <w:p w14:paraId="77C8B56A" w14:textId="77777777" w:rsidR="00643C17" w:rsidRPr="00FB55FF" w:rsidRDefault="00643C17" w:rsidP="00DB54DB">
            <w:pPr>
              <w:jc w:val="right"/>
              <w:rPr>
                <w:rFonts w:ascii="Arial" w:hAnsi="Arial" w:cs="Arial"/>
                <w:b/>
                <w:bCs/>
                <w:sz w:val="20"/>
                <w:szCs w:val="20"/>
              </w:rPr>
            </w:pPr>
            <w:r w:rsidRPr="00FB55FF">
              <w:rPr>
                <w:rFonts w:ascii="Arial" w:hAnsi="Arial" w:cs="Arial"/>
                <w:b/>
                <w:bCs/>
                <w:sz w:val="20"/>
                <w:szCs w:val="20"/>
              </w:rPr>
              <w:t>2.049.400,00</w:t>
            </w:r>
          </w:p>
        </w:tc>
        <w:tc>
          <w:tcPr>
            <w:tcW w:w="1350" w:type="dxa"/>
            <w:tcBorders>
              <w:top w:val="nil"/>
              <w:left w:val="nil"/>
              <w:bottom w:val="single" w:sz="4" w:space="0" w:color="auto"/>
              <w:right w:val="single" w:sz="4" w:space="0" w:color="auto"/>
            </w:tcBorders>
            <w:shd w:val="clear" w:color="000000" w:fill="FFFFFF"/>
            <w:noWrap/>
            <w:vAlign w:val="bottom"/>
            <w:hideMark/>
          </w:tcPr>
          <w:p w14:paraId="69E48C41" w14:textId="77777777" w:rsidR="00643C17" w:rsidRPr="00FB55FF" w:rsidRDefault="00643C17" w:rsidP="00DB54DB">
            <w:pPr>
              <w:jc w:val="right"/>
              <w:rPr>
                <w:rFonts w:ascii="Arial" w:hAnsi="Arial" w:cs="Arial"/>
                <w:b/>
                <w:bCs/>
                <w:sz w:val="20"/>
                <w:szCs w:val="20"/>
              </w:rPr>
            </w:pPr>
            <w:r w:rsidRPr="00FB55FF">
              <w:rPr>
                <w:rFonts w:ascii="Arial" w:hAnsi="Arial" w:cs="Arial"/>
                <w:b/>
                <w:bCs/>
                <w:sz w:val="20"/>
                <w:szCs w:val="20"/>
              </w:rPr>
              <w:t>81.862,00</w:t>
            </w:r>
          </w:p>
        </w:tc>
        <w:tc>
          <w:tcPr>
            <w:tcW w:w="1384" w:type="dxa"/>
            <w:tcBorders>
              <w:top w:val="nil"/>
              <w:left w:val="nil"/>
              <w:bottom w:val="single" w:sz="4" w:space="0" w:color="auto"/>
              <w:right w:val="single" w:sz="4" w:space="0" w:color="auto"/>
            </w:tcBorders>
            <w:shd w:val="clear" w:color="000000" w:fill="FFFFFF"/>
            <w:noWrap/>
            <w:vAlign w:val="bottom"/>
            <w:hideMark/>
          </w:tcPr>
          <w:p w14:paraId="7FE5976A" w14:textId="77777777" w:rsidR="00643C17" w:rsidRPr="00FB55FF" w:rsidRDefault="00643C17" w:rsidP="00DB54DB">
            <w:pPr>
              <w:jc w:val="right"/>
              <w:rPr>
                <w:rFonts w:ascii="Arial" w:hAnsi="Arial" w:cs="Arial"/>
                <w:b/>
                <w:bCs/>
                <w:sz w:val="20"/>
                <w:szCs w:val="20"/>
              </w:rPr>
            </w:pPr>
            <w:r w:rsidRPr="00FB55FF">
              <w:rPr>
                <w:rFonts w:ascii="Arial" w:hAnsi="Arial" w:cs="Arial"/>
                <w:b/>
                <w:bCs/>
                <w:sz w:val="20"/>
                <w:szCs w:val="20"/>
              </w:rPr>
              <w:t>2.131.262,00</w:t>
            </w:r>
          </w:p>
        </w:tc>
      </w:tr>
      <w:tr w:rsidR="00643C17" w:rsidRPr="00FB55FF" w14:paraId="56778773"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52CB629F" w14:textId="77777777" w:rsidR="00643C17" w:rsidRPr="00FB55FF" w:rsidRDefault="00643C17" w:rsidP="00DB54DB">
            <w:pPr>
              <w:rPr>
                <w:rFonts w:ascii="Arial" w:hAnsi="Arial" w:cs="Arial"/>
                <w:sz w:val="20"/>
                <w:szCs w:val="20"/>
              </w:rPr>
            </w:pPr>
            <w:r w:rsidRPr="00FB55FF">
              <w:rPr>
                <w:rFonts w:ascii="Arial" w:hAnsi="Arial" w:cs="Arial"/>
                <w:sz w:val="20"/>
                <w:szCs w:val="20"/>
              </w:rPr>
              <w:t>Aktivnost A400012 Održavanje nerazvrstanih cesta</w:t>
            </w:r>
          </w:p>
        </w:tc>
        <w:tc>
          <w:tcPr>
            <w:tcW w:w="1405" w:type="dxa"/>
            <w:tcBorders>
              <w:top w:val="nil"/>
              <w:left w:val="nil"/>
              <w:bottom w:val="single" w:sz="4" w:space="0" w:color="auto"/>
              <w:right w:val="single" w:sz="4" w:space="0" w:color="auto"/>
            </w:tcBorders>
            <w:shd w:val="clear" w:color="000000" w:fill="FFFFFF"/>
            <w:noWrap/>
            <w:vAlign w:val="bottom"/>
            <w:hideMark/>
          </w:tcPr>
          <w:p w14:paraId="5F933DEF"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698.000,00</w:t>
            </w:r>
          </w:p>
        </w:tc>
        <w:tc>
          <w:tcPr>
            <w:tcW w:w="1350" w:type="dxa"/>
            <w:tcBorders>
              <w:top w:val="nil"/>
              <w:left w:val="nil"/>
              <w:bottom w:val="single" w:sz="4" w:space="0" w:color="auto"/>
              <w:right w:val="single" w:sz="4" w:space="0" w:color="auto"/>
            </w:tcBorders>
            <w:shd w:val="clear" w:color="000000" w:fill="FFFFFF"/>
            <w:noWrap/>
            <w:vAlign w:val="bottom"/>
            <w:hideMark/>
          </w:tcPr>
          <w:p w14:paraId="2EBBE14D"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36.092,00</w:t>
            </w:r>
          </w:p>
        </w:tc>
        <w:tc>
          <w:tcPr>
            <w:tcW w:w="1384" w:type="dxa"/>
            <w:tcBorders>
              <w:top w:val="nil"/>
              <w:left w:val="nil"/>
              <w:bottom w:val="single" w:sz="4" w:space="0" w:color="auto"/>
              <w:right w:val="single" w:sz="4" w:space="0" w:color="auto"/>
            </w:tcBorders>
            <w:shd w:val="clear" w:color="000000" w:fill="FFFFFF"/>
            <w:noWrap/>
            <w:vAlign w:val="bottom"/>
            <w:hideMark/>
          </w:tcPr>
          <w:p w14:paraId="78BF1AE4"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734.092,00</w:t>
            </w:r>
          </w:p>
        </w:tc>
      </w:tr>
      <w:tr w:rsidR="00643C17" w:rsidRPr="00FB55FF" w14:paraId="186FC7BA"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429432E6" w14:textId="77777777" w:rsidR="00643C17" w:rsidRPr="00FB55FF" w:rsidRDefault="00643C17" w:rsidP="00DB54DB">
            <w:pPr>
              <w:rPr>
                <w:rFonts w:ascii="Arial" w:hAnsi="Arial" w:cs="Arial"/>
                <w:sz w:val="20"/>
                <w:szCs w:val="20"/>
              </w:rPr>
            </w:pPr>
            <w:r w:rsidRPr="00FB55FF">
              <w:rPr>
                <w:rFonts w:ascii="Arial" w:hAnsi="Arial" w:cs="Arial"/>
                <w:sz w:val="20"/>
                <w:szCs w:val="20"/>
              </w:rPr>
              <w:t>Aktivnost A400013 Održavanje javnih površina na kojima nije dopušten promet motornim vozilima</w:t>
            </w:r>
          </w:p>
        </w:tc>
        <w:tc>
          <w:tcPr>
            <w:tcW w:w="1405" w:type="dxa"/>
            <w:tcBorders>
              <w:top w:val="nil"/>
              <w:left w:val="nil"/>
              <w:bottom w:val="single" w:sz="4" w:space="0" w:color="auto"/>
              <w:right w:val="single" w:sz="4" w:space="0" w:color="auto"/>
            </w:tcBorders>
            <w:shd w:val="clear" w:color="000000" w:fill="FFFFFF"/>
            <w:noWrap/>
            <w:vAlign w:val="bottom"/>
            <w:hideMark/>
          </w:tcPr>
          <w:p w14:paraId="4A717F84"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121.000,00</w:t>
            </w:r>
          </w:p>
        </w:tc>
        <w:tc>
          <w:tcPr>
            <w:tcW w:w="1350" w:type="dxa"/>
            <w:tcBorders>
              <w:top w:val="nil"/>
              <w:left w:val="nil"/>
              <w:bottom w:val="single" w:sz="4" w:space="0" w:color="auto"/>
              <w:right w:val="single" w:sz="4" w:space="0" w:color="auto"/>
            </w:tcBorders>
            <w:shd w:val="clear" w:color="000000" w:fill="FFFFFF"/>
            <w:noWrap/>
            <w:vAlign w:val="bottom"/>
            <w:hideMark/>
          </w:tcPr>
          <w:p w14:paraId="7F35BC3F"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-19.230,00</w:t>
            </w:r>
          </w:p>
        </w:tc>
        <w:tc>
          <w:tcPr>
            <w:tcW w:w="1384" w:type="dxa"/>
            <w:tcBorders>
              <w:top w:val="nil"/>
              <w:left w:val="nil"/>
              <w:bottom w:val="single" w:sz="4" w:space="0" w:color="auto"/>
              <w:right w:val="single" w:sz="4" w:space="0" w:color="auto"/>
            </w:tcBorders>
            <w:shd w:val="clear" w:color="000000" w:fill="FFFFFF"/>
            <w:noWrap/>
            <w:vAlign w:val="bottom"/>
            <w:hideMark/>
          </w:tcPr>
          <w:p w14:paraId="4B83C029"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101.770,00</w:t>
            </w:r>
          </w:p>
        </w:tc>
      </w:tr>
      <w:tr w:rsidR="00643C17" w:rsidRPr="00FB55FF" w14:paraId="5C98F5D3"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134DF474" w14:textId="77777777" w:rsidR="00643C17" w:rsidRPr="00FB55FF" w:rsidRDefault="00643C17" w:rsidP="00DB54DB">
            <w:pPr>
              <w:rPr>
                <w:rFonts w:ascii="Arial" w:hAnsi="Arial" w:cs="Arial"/>
                <w:sz w:val="20"/>
                <w:szCs w:val="20"/>
              </w:rPr>
            </w:pPr>
            <w:r w:rsidRPr="00FB55FF">
              <w:rPr>
                <w:rFonts w:ascii="Arial" w:hAnsi="Arial" w:cs="Arial"/>
                <w:sz w:val="20"/>
                <w:szCs w:val="20"/>
              </w:rPr>
              <w:t>Aktivnost A400014 Održavanje građevina javne odvodnje oborinskih voda</w:t>
            </w:r>
          </w:p>
        </w:tc>
        <w:tc>
          <w:tcPr>
            <w:tcW w:w="1405" w:type="dxa"/>
            <w:tcBorders>
              <w:top w:val="nil"/>
              <w:left w:val="nil"/>
              <w:bottom w:val="single" w:sz="4" w:space="0" w:color="auto"/>
              <w:right w:val="single" w:sz="4" w:space="0" w:color="auto"/>
            </w:tcBorders>
            <w:shd w:val="clear" w:color="000000" w:fill="FFFFFF"/>
            <w:noWrap/>
            <w:vAlign w:val="bottom"/>
            <w:hideMark/>
          </w:tcPr>
          <w:p w14:paraId="30A7BD5D"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40.000,00</w:t>
            </w:r>
          </w:p>
        </w:tc>
        <w:tc>
          <w:tcPr>
            <w:tcW w:w="1350" w:type="dxa"/>
            <w:tcBorders>
              <w:top w:val="nil"/>
              <w:left w:val="nil"/>
              <w:bottom w:val="single" w:sz="4" w:space="0" w:color="auto"/>
              <w:right w:val="single" w:sz="4" w:space="0" w:color="auto"/>
            </w:tcBorders>
            <w:shd w:val="clear" w:color="000000" w:fill="FFFFFF"/>
            <w:noWrap/>
            <w:vAlign w:val="bottom"/>
            <w:hideMark/>
          </w:tcPr>
          <w:p w14:paraId="2E186D9B"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-15.000,00</w:t>
            </w:r>
          </w:p>
        </w:tc>
        <w:tc>
          <w:tcPr>
            <w:tcW w:w="1384" w:type="dxa"/>
            <w:tcBorders>
              <w:top w:val="nil"/>
              <w:left w:val="nil"/>
              <w:bottom w:val="single" w:sz="4" w:space="0" w:color="auto"/>
              <w:right w:val="single" w:sz="4" w:space="0" w:color="auto"/>
            </w:tcBorders>
            <w:shd w:val="clear" w:color="000000" w:fill="FFFFFF"/>
            <w:noWrap/>
            <w:vAlign w:val="bottom"/>
            <w:hideMark/>
          </w:tcPr>
          <w:p w14:paraId="7A319E75"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25.000,00</w:t>
            </w:r>
          </w:p>
        </w:tc>
      </w:tr>
      <w:tr w:rsidR="00643C17" w:rsidRPr="00FB55FF" w14:paraId="62054396"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731B7B49" w14:textId="77777777" w:rsidR="00643C17" w:rsidRPr="00FB55FF" w:rsidRDefault="00643C17" w:rsidP="00DB54DB">
            <w:pPr>
              <w:rPr>
                <w:rFonts w:ascii="Arial" w:hAnsi="Arial" w:cs="Arial"/>
                <w:sz w:val="20"/>
                <w:szCs w:val="20"/>
              </w:rPr>
            </w:pPr>
            <w:r w:rsidRPr="00FB55FF">
              <w:rPr>
                <w:rFonts w:ascii="Arial" w:hAnsi="Arial" w:cs="Arial"/>
                <w:sz w:val="20"/>
                <w:szCs w:val="20"/>
              </w:rPr>
              <w:t>Aktivnost A400015 Održavanje javnih zelenih površina</w:t>
            </w:r>
          </w:p>
        </w:tc>
        <w:tc>
          <w:tcPr>
            <w:tcW w:w="1405" w:type="dxa"/>
            <w:tcBorders>
              <w:top w:val="nil"/>
              <w:left w:val="nil"/>
              <w:bottom w:val="single" w:sz="4" w:space="0" w:color="auto"/>
              <w:right w:val="single" w:sz="4" w:space="0" w:color="auto"/>
            </w:tcBorders>
            <w:shd w:val="clear" w:color="000000" w:fill="FFFFFF"/>
            <w:noWrap/>
            <w:vAlign w:val="bottom"/>
            <w:hideMark/>
          </w:tcPr>
          <w:p w14:paraId="0055A558"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591.000,00</w:t>
            </w:r>
          </w:p>
        </w:tc>
        <w:tc>
          <w:tcPr>
            <w:tcW w:w="1350" w:type="dxa"/>
            <w:tcBorders>
              <w:top w:val="nil"/>
              <w:left w:val="nil"/>
              <w:bottom w:val="single" w:sz="4" w:space="0" w:color="auto"/>
              <w:right w:val="single" w:sz="4" w:space="0" w:color="auto"/>
            </w:tcBorders>
            <w:shd w:val="clear" w:color="000000" w:fill="FFFFFF"/>
            <w:noWrap/>
            <w:vAlign w:val="bottom"/>
            <w:hideMark/>
          </w:tcPr>
          <w:p w14:paraId="70B4E454"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47.000,00</w:t>
            </w:r>
          </w:p>
        </w:tc>
        <w:tc>
          <w:tcPr>
            <w:tcW w:w="1384" w:type="dxa"/>
            <w:tcBorders>
              <w:top w:val="nil"/>
              <w:left w:val="nil"/>
              <w:bottom w:val="single" w:sz="4" w:space="0" w:color="auto"/>
              <w:right w:val="single" w:sz="4" w:space="0" w:color="auto"/>
            </w:tcBorders>
            <w:shd w:val="clear" w:color="000000" w:fill="FFFFFF"/>
            <w:noWrap/>
            <w:vAlign w:val="bottom"/>
            <w:hideMark/>
          </w:tcPr>
          <w:p w14:paraId="66A84FAB"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638.000,00</w:t>
            </w:r>
          </w:p>
        </w:tc>
      </w:tr>
      <w:tr w:rsidR="00643C17" w:rsidRPr="00FB55FF" w14:paraId="45489462"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7EFEC3FB" w14:textId="77777777" w:rsidR="00643C17" w:rsidRPr="00FB55FF" w:rsidRDefault="00643C17" w:rsidP="00DB54DB">
            <w:pPr>
              <w:rPr>
                <w:rFonts w:ascii="Arial" w:hAnsi="Arial" w:cs="Arial"/>
                <w:sz w:val="20"/>
                <w:szCs w:val="20"/>
              </w:rPr>
            </w:pPr>
            <w:r w:rsidRPr="00FB55FF">
              <w:rPr>
                <w:rFonts w:ascii="Arial" w:hAnsi="Arial" w:cs="Arial"/>
                <w:sz w:val="20"/>
                <w:szCs w:val="20"/>
              </w:rPr>
              <w:t>Aktivnost A400016 Održavanje građevina, uređaja i predmeta javne namjene</w:t>
            </w:r>
          </w:p>
        </w:tc>
        <w:tc>
          <w:tcPr>
            <w:tcW w:w="1405" w:type="dxa"/>
            <w:tcBorders>
              <w:top w:val="nil"/>
              <w:left w:val="nil"/>
              <w:bottom w:val="single" w:sz="4" w:space="0" w:color="auto"/>
              <w:right w:val="single" w:sz="4" w:space="0" w:color="auto"/>
            </w:tcBorders>
            <w:shd w:val="clear" w:color="000000" w:fill="FFFFFF"/>
            <w:noWrap/>
            <w:vAlign w:val="bottom"/>
            <w:hideMark/>
          </w:tcPr>
          <w:p w14:paraId="0EB16302"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148.500,00</w:t>
            </w:r>
          </w:p>
        </w:tc>
        <w:tc>
          <w:tcPr>
            <w:tcW w:w="1350" w:type="dxa"/>
            <w:tcBorders>
              <w:top w:val="nil"/>
              <w:left w:val="nil"/>
              <w:bottom w:val="single" w:sz="4" w:space="0" w:color="auto"/>
              <w:right w:val="single" w:sz="4" w:space="0" w:color="auto"/>
            </w:tcBorders>
            <w:shd w:val="clear" w:color="000000" w:fill="FFFFFF"/>
            <w:noWrap/>
            <w:vAlign w:val="bottom"/>
            <w:hideMark/>
          </w:tcPr>
          <w:p w14:paraId="462FE9B7"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0,00</w:t>
            </w:r>
          </w:p>
        </w:tc>
        <w:tc>
          <w:tcPr>
            <w:tcW w:w="1384" w:type="dxa"/>
            <w:tcBorders>
              <w:top w:val="nil"/>
              <w:left w:val="nil"/>
              <w:bottom w:val="single" w:sz="4" w:space="0" w:color="auto"/>
              <w:right w:val="single" w:sz="4" w:space="0" w:color="auto"/>
            </w:tcBorders>
            <w:shd w:val="clear" w:color="000000" w:fill="FFFFFF"/>
            <w:noWrap/>
            <w:vAlign w:val="bottom"/>
            <w:hideMark/>
          </w:tcPr>
          <w:p w14:paraId="3725EED8"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148.500,00</w:t>
            </w:r>
          </w:p>
        </w:tc>
      </w:tr>
      <w:tr w:rsidR="00643C17" w:rsidRPr="00FB55FF" w14:paraId="1028AA42"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0C714B1F" w14:textId="77777777" w:rsidR="00643C17" w:rsidRPr="00FB55FF" w:rsidRDefault="00643C17" w:rsidP="00DB54DB">
            <w:pPr>
              <w:rPr>
                <w:rFonts w:ascii="Arial" w:hAnsi="Arial" w:cs="Arial"/>
                <w:sz w:val="20"/>
                <w:szCs w:val="20"/>
              </w:rPr>
            </w:pPr>
            <w:r w:rsidRPr="00FB55FF">
              <w:rPr>
                <w:rFonts w:ascii="Arial" w:hAnsi="Arial" w:cs="Arial"/>
                <w:sz w:val="20"/>
                <w:szCs w:val="20"/>
              </w:rPr>
              <w:t>Aktivnost A400017 Održavanje groblja i krematorija unutar groblja</w:t>
            </w:r>
          </w:p>
        </w:tc>
        <w:tc>
          <w:tcPr>
            <w:tcW w:w="1405" w:type="dxa"/>
            <w:tcBorders>
              <w:top w:val="nil"/>
              <w:left w:val="nil"/>
              <w:bottom w:val="single" w:sz="4" w:space="0" w:color="auto"/>
              <w:right w:val="single" w:sz="4" w:space="0" w:color="auto"/>
            </w:tcBorders>
            <w:shd w:val="clear" w:color="000000" w:fill="FFFFFF"/>
            <w:noWrap/>
            <w:vAlign w:val="bottom"/>
            <w:hideMark/>
          </w:tcPr>
          <w:p w14:paraId="715B9DBB"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4.000,00</w:t>
            </w:r>
          </w:p>
        </w:tc>
        <w:tc>
          <w:tcPr>
            <w:tcW w:w="1350" w:type="dxa"/>
            <w:tcBorders>
              <w:top w:val="nil"/>
              <w:left w:val="nil"/>
              <w:bottom w:val="single" w:sz="4" w:space="0" w:color="auto"/>
              <w:right w:val="single" w:sz="4" w:space="0" w:color="auto"/>
            </w:tcBorders>
            <w:shd w:val="clear" w:color="000000" w:fill="FFFFFF"/>
            <w:noWrap/>
            <w:vAlign w:val="bottom"/>
            <w:hideMark/>
          </w:tcPr>
          <w:p w14:paraId="62BEF4FC"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0,00</w:t>
            </w:r>
          </w:p>
        </w:tc>
        <w:tc>
          <w:tcPr>
            <w:tcW w:w="1384" w:type="dxa"/>
            <w:tcBorders>
              <w:top w:val="nil"/>
              <w:left w:val="nil"/>
              <w:bottom w:val="single" w:sz="4" w:space="0" w:color="auto"/>
              <w:right w:val="single" w:sz="4" w:space="0" w:color="auto"/>
            </w:tcBorders>
            <w:shd w:val="clear" w:color="000000" w:fill="FFFFFF"/>
            <w:noWrap/>
            <w:vAlign w:val="bottom"/>
            <w:hideMark/>
          </w:tcPr>
          <w:p w14:paraId="52C950AC"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4.000,00</w:t>
            </w:r>
          </w:p>
        </w:tc>
      </w:tr>
      <w:tr w:rsidR="00643C17" w:rsidRPr="00FB55FF" w14:paraId="3B0572B8"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03185C4E" w14:textId="77777777" w:rsidR="00643C17" w:rsidRPr="00FB55FF" w:rsidRDefault="00643C17" w:rsidP="00DB54DB">
            <w:pPr>
              <w:rPr>
                <w:rFonts w:ascii="Arial" w:hAnsi="Arial" w:cs="Arial"/>
                <w:sz w:val="20"/>
                <w:szCs w:val="20"/>
              </w:rPr>
            </w:pPr>
            <w:r w:rsidRPr="00FB55FF">
              <w:rPr>
                <w:rFonts w:ascii="Arial" w:hAnsi="Arial" w:cs="Arial"/>
                <w:sz w:val="20"/>
                <w:szCs w:val="20"/>
              </w:rPr>
              <w:t>Aktivnost A400018 Održavanje čistoće javnih površina</w:t>
            </w:r>
          </w:p>
        </w:tc>
        <w:tc>
          <w:tcPr>
            <w:tcW w:w="1405" w:type="dxa"/>
            <w:tcBorders>
              <w:top w:val="nil"/>
              <w:left w:val="nil"/>
              <w:bottom w:val="single" w:sz="4" w:space="0" w:color="auto"/>
              <w:right w:val="single" w:sz="4" w:space="0" w:color="auto"/>
            </w:tcBorders>
            <w:shd w:val="clear" w:color="000000" w:fill="FFFFFF"/>
            <w:noWrap/>
            <w:vAlign w:val="bottom"/>
            <w:hideMark/>
          </w:tcPr>
          <w:p w14:paraId="5899C3E6"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203.000,00</w:t>
            </w:r>
          </w:p>
        </w:tc>
        <w:tc>
          <w:tcPr>
            <w:tcW w:w="1350" w:type="dxa"/>
            <w:tcBorders>
              <w:top w:val="nil"/>
              <w:left w:val="nil"/>
              <w:bottom w:val="single" w:sz="4" w:space="0" w:color="auto"/>
              <w:right w:val="single" w:sz="4" w:space="0" w:color="auto"/>
            </w:tcBorders>
            <w:shd w:val="clear" w:color="000000" w:fill="FFFFFF"/>
            <w:noWrap/>
            <w:vAlign w:val="bottom"/>
            <w:hideMark/>
          </w:tcPr>
          <w:p w14:paraId="1DFD24CD"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13.000,00</w:t>
            </w:r>
          </w:p>
        </w:tc>
        <w:tc>
          <w:tcPr>
            <w:tcW w:w="1384" w:type="dxa"/>
            <w:tcBorders>
              <w:top w:val="nil"/>
              <w:left w:val="nil"/>
              <w:bottom w:val="single" w:sz="4" w:space="0" w:color="auto"/>
              <w:right w:val="single" w:sz="4" w:space="0" w:color="auto"/>
            </w:tcBorders>
            <w:shd w:val="clear" w:color="000000" w:fill="FFFFFF"/>
            <w:noWrap/>
            <w:vAlign w:val="bottom"/>
            <w:hideMark/>
          </w:tcPr>
          <w:p w14:paraId="13799994"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216.000,00</w:t>
            </w:r>
          </w:p>
        </w:tc>
      </w:tr>
      <w:tr w:rsidR="00643C17" w:rsidRPr="00FB55FF" w14:paraId="559DABCD"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5B0EE046" w14:textId="77777777" w:rsidR="00643C17" w:rsidRPr="00FB55FF" w:rsidRDefault="00643C17" w:rsidP="00DB54DB">
            <w:pPr>
              <w:rPr>
                <w:rFonts w:ascii="Arial" w:hAnsi="Arial" w:cs="Arial"/>
                <w:sz w:val="20"/>
                <w:szCs w:val="20"/>
              </w:rPr>
            </w:pPr>
            <w:r w:rsidRPr="00FB55FF">
              <w:rPr>
                <w:rFonts w:ascii="Arial" w:hAnsi="Arial" w:cs="Arial"/>
                <w:sz w:val="20"/>
                <w:szCs w:val="20"/>
              </w:rPr>
              <w:t>Aktivnost A400019 Održavanje javne rasvjete i potrošnja električne energije</w:t>
            </w:r>
          </w:p>
        </w:tc>
        <w:tc>
          <w:tcPr>
            <w:tcW w:w="1405" w:type="dxa"/>
            <w:tcBorders>
              <w:top w:val="nil"/>
              <w:left w:val="nil"/>
              <w:bottom w:val="single" w:sz="4" w:space="0" w:color="auto"/>
              <w:right w:val="single" w:sz="4" w:space="0" w:color="auto"/>
            </w:tcBorders>
            <w:shd w:val="clear" w:color="000000" w:fill="FFFFFF"/>
            <w:noWrap/>
            <w:vAlign w:val="bottom"/>
            <w:hideMark/>
          </w:tcPr>
          <w:p w14:paraId="64BEB8B1"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144.000,00</w:t>
            </w:r>
          </w:p>
        </w:tc>
        <w:tc>
          <w:tcPr>
            <w:tcW w:w="1350" w:type="dxa"/>
            <w:tcBorders>
              <w:top w:val="nil"/>
              <w:left w:val="nil"/>
              <w:bottom w:val="single" w:sz="4" w:space="0" w:color="auto"/>
              <w:right w:val="single" w:sz="4" w:space="0" w:color="auto"/>
            </w:tcBorders>
            <w:shd w:val="clear" w:color="000000" w:fill="FFFFFF"/>
            <w:noWrap/>
            <w:vAlign w:val="bottom"/>
            <w:hideMark/>
          </w:tcPr>
          <w:p w14:paraId="03C04149"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35.000,00</w:t>
            </w:r>
          </w:p>
        </w:tc>
        <w:tc>
          <w:tcPr>
            <w:tcW w:w="1384" w:type="dxa"/>
            <w:tcBorders>
              <w:top w:val="nil"/>
              <w:left w:val="nil"/>
              <w:bottom w:val="single" w:sz="4" w:space="0" w:color="auto"/>
              <w:right w:val="single" w:sz="4" w:space="0" w:color="auto"/>
            </w:tcBorders>
            <w:shd w:val="clear" w:color="000000" w:fill="FFFFFF"/>
            <w:noWrap/>
            <w:vAlign w:val="bottom"/>
            <w:hideMark/>
          </w:tcPr>
          <w:p w14:paraId="01953EFA"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179.000,00</w:t>
            </w:r>
          </w:p>
        </w:tc>
      </w:tr>
      <w:tr w:rsidR="00643C17" w:rsidRPr="00FB55FF" w14:paraId="0E1C3C01"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1CD4AD0B" w14:textId="77777777" w:rsidR="00643C17" w:rsidRPr="00FB55FF" w:rsidRDefault="00643C17" w:rsidP="00DB54DB">
            <w:pPr>
              <w:rPr>
                <w:rFonts w:ascii="Arial" w:hAnsi="Arial" w:cs="Arial"/>
                <w:sz w:val="20"/>
                <w:szCs w:val="20"/>
              </w:rPr>
            </w:pPr>
            <w:r w:rsidRPr="00FB55FF">
              <w:rPr>
                <w:rFonts w:ascii="Arial" w:hAnsi="Arial" w:cs="Arial"/>
                <w:sz w:val="20"/>
                <w:szCs w:val="20"/>
              </w:rPr>
              <w:t>Aktivnost A400020 Održavanje ostale komunalne infrastrukture</w:t>
            </w:r>
          </w:p>
        </w:tc>
        <w:tc>
          <w:tcPr>
            <w:tcW w:w="1405" w:type="dxa"/>
            <w:tcBorders>
              <w:top w:val="nil"/>
              <w:left w:val="nil"/>
              <w:bottom w:val="single" w:sz="4" w:space="0" w:color="auto"/>
              <w:right w:val="single" w:sz="4" w:space="0" w:color="auto"/>
            </w:tcBorders>
            <w:shd w:val="clear" w:color="000000" w:fill="FFFFFF"/>
            <w:noWrap/>
            <w:vAlign w:val="bottom"/>
            <w:hideMark/>
          </w:tcPr>
          <w:p w14:paraId="25FF4E92"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99.900,00</w:t>
            </w:r>
          </w:p>
        </w:tc>
        <w:tc>
          <w:tcPr>
            <w:tcW w:w="1350" w:type="dxa"/>
            <w:tcBorders>
              <w:top w:val="nil"/>
              <w:left w:val="nil"/>
              <w:bottom w:val="single" w:sz="4" w:space="0" w:color="auto"/>
              <w:right w:val="single" w:sz="4" w:space="0" w:color="auto"/>
            </w:tcBorders>
            <w:shd w:val="clear" w:color="000000" w:fill="FFFFFF"/>
            <w:noWrap/>
            <w:vAlign w:val="bottom"/>
            <w:hideMark/>
          </w:tcPr>
          <w:p w14:paraId="4E760D22"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-15.000,00</w:t>
            </w:r>
          </w:p>
        </w:tc>
        <w:tc>
          <w:tcPr>
            <w:tcW w:w="1384" w:type="dxa"/>
            <w:tcBorders>
              <w:top w:val="nil"/>
              <w:left w:val="nil"/>
              <w:bottom w:val="single" w:sz="4" w:space="0" w:color="auto"/>
              <w:right w:val="single" w:sz="4" w:space="0" w:color="auto"/>
            </w:tcBorders>
            <w:shd w:val="clear" w:color="000000" w:fill="FFFFFF"/>
            <w:noWrap/>
            <w:vAlign w:val="bottom"/>
            <w:hideMark/>
          </w:tcPr>
          <w:p w14:paraId="21E29FE1"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84.900,00</w:t>
            </w:r>
          </w:p>
        </w:tc>
      </w:tr>
      <w:tr w:rsidR="00643C17" w:rsidRPr="00FB55FF" w14:paraId="778BA298"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6C36ADDB" w14:textId="77777777" w:rsidR="00643C17" w:rsidRPr="00FB55FF" w:rsidRDefault="00643C17" w:rsidP="00DB54DB">
            <w:pPr>
              <w:rPr>
                <w:rFonts w:ascii="Arial" w:hAnsi="Arial" w:cs="Arial"/>
                <w:b/>
                <w:bCs/>
                <w:sz w:val="20"/>
                <w:szCs w:val="20"/>
              </w:rPr>
            </w:pPr>
            <w:r w:rsidRPr="00FB55FF">
              <w:rPr>
                <w:rFonts w:ascii="Arial" w:hAnsi="Arial" w:cs="Arial"/>
                <w:b/>
                <w:bCs/>
                <w:sz w:val="20"/>
                <w:szCs w:val="20"/>
              </w:rPr>
              <w:t>Program 4002 Održavanje stambenih i poslovnih prostora i dr.</w:t>
            </w:r>
          </w:p>
        </w:tc>
        <w:tc>
          <w:tcPr>
            <w:tcW w:w="1405" w:type="dxa"/>
            <w:tcBorders>
              <w:top w:val="nil"/>
              <w:left w:val="nil"/>
              <w:bottom w:val="single" w:sz="4" w:space="0" w:color="auto"/>
              <w:right w:val="single" w:sz="4" w:space="0" w:color="auto"/>
            </w:tcBorders>
            <w:shd w:val="clear" w:color="000000" w:fill="FFFFFF"/>
            <w:noWrap/>
            <w:vAlign w:val="bottom"/>
            <w:hideMark/>
          </w:tcPr>
          <w:p w14:paraId="08B88CF1" w14:textId="77777777" w:rsidR="00643C17" w:rsidRPr="00FB55FF" w:rsidRDefault="00643C17" w:rsidP="00DB54DB">
            <w:pPr>
              <w:jc w:val="right"/>
              <w:rPr>
                <w:rFonts w:ascii="Arial" w:hAnsi="Arial" w:cs="Arial"/>
                <w:b/>
                <w:bCs/>
                <w:sz w:val="20"/>
                <w:szCs w:val="20"/>
              </w:rPr>
            </w:pPr>
            <w:r w:rsidRPr="00FB55FF">
              <w:rPr>
                <w:rFonts w:ascii="Arial" w:hAnsi="Arial" w:cs="Arial"/>
                <w:b/>
                <w:bCs/>
                <w:sz w:val="20"/>
                <w:szCs w:val="20"/>
              </w:rPr>
              <w:t>551.000,00</w:t>
            </w:r>
          </w:p>
        </w:tc>
        <w:tc>
          <w:tcPr>
            <w:tcW w:w="1350" w:type="dxa"/>
            <w:tcBorders>
              <w:top w:val="nil"/>
              <w:left w:val="nil"/>
              <w:bottom w:val="single" w:sz="4" w:space="0" w:color="auto"/>
              <w:right w:val="single" w:sz="4" w:space="0" w:color="auto"/>
            </w:tcBorders>
            <w:shd w:val="clear" w:color="000000" w:fill="FFFFFF"/>
            <w:noWrap/>
            <w:vAlign w:val="bottom"/>
            <w:hideMark/>
          </w:tcPr>
          <w:p w14:paraId="2B03C00F" w14:textId="77777777" w:rsidR="00643C17" w:rsidRPr="00FB55FF" w:rsidRDefault="00643C17" w:rsidP="00DB54DB">
            <w:pPr>
              <w:jc w:val="right"/>
              <w:rPr>
                <w:rFonts w:ascii="Arial" w:hAnsi="Arial" w:cs="Arial"/>
                <w:b/>
                <w:bCs/>
                <w:sz w:val="20"/>
                <w:szCs w:val="20"/>
              </w:rPr>
            </w:pPr>
            <w:r w:rsidRPr="00FB55FF">
              <w:rPr>
                <w:rFonts w:ascii="Arial" w:hAnsi="Arial" w:cs="Arial"/>
                <w:b/>
                <w:bCs/>
                <w:sz w:val="20"/>
                <w:szCs w:val="20"/>
              </w:rPr>
              <w:t>82.163,00</w:t>
            </w:r>
          </w:p>
        </w:tc>
        <w:tc>
          <w:tcPr>
            <w:tcW w:w="1384" w:type="dxa"/>
            <w:tcBorders>
              <w:top w:val="nil"/>
              <w:left w:val="nil"/>
              <w:bottom w:val="single" w:sz="4" w:space="0" w:color="auto"/>
              <w:right w:val="single" w:sz="4" w:space="0" w:color="auto"/>
            </w:tcBorders>
            <w:shd w:val="clear" w:color="000000" w:fill="FFFFFF"/>
            <w:noWrap/>
            <w:vAlign w:val="bottom"/>
            <w:hideMark/>
          </w:tcPr>
          <w:p w14:paraId="49EBD65E" w14:textId="77777777" w:rsidR="00643C17" w:rsidRPr="00FB55FF" w:rsidRDefault="00643C17" w:rsidP="00DB54DB">
            <w:pPr>
              <w:jc w:val="right"/>
              <w:rPr>
                <w:rFonts w:ascii="Arial" w:hAnsi="Arial" w:cs="Arial"/>
                <w:b/>
                <w:bCs/>
                <w:sz w:val="20"/>
                <w:szCs w:val="20"/>
              </w:rPr>
            </w:pPr>
            <w:r w:rsidRPr="00FB55FF">
              <w:rPr>
                <w:rFonts w:ascii="Arial" w:hAnsi="Arial" w:cs="Arial"/>
                <w:b/>
                <w:bCs/>
                <w:sz w:val="20"/>
                <w:szCs w:val="20"/>
              </w:rPr>
              <w:t>633.163,00</w:t>
            </w:r>
          </w:p>
        </w:tc>
      </w:tr>
      <w:tr w:rsidR="00643C17" w:rsidRPr="00FB55FF" w14:paraId="2648BADB"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42E9A83D" w14:textId="77777777" w:rsidR="00643C17" w:rsidRPr="00FB55FF" w:rsidRDefault="00643C17" w:rsidP="00DB54DB">
            <w:pPr>
              <w:rPr>
                <w:rFonts w:ascii="Arial" w:hAnsi="Arial" w:cs="Arial"/>
                <w:sz w:val="20"/>
                <w:szCs w:val="20"/>
              </w:rPr>
            </w:pPr>
            <w:r w:rsidRPr="00FB55FF">
              <w:rPr>
                <w:rFonts w:ascii="Arial" w:hAnsi="Arial" w:cs="Arial"/>
                <w:sz w:val="20"/>
                <w:szCs w:val="20"/>
              </w:rPr>
              <w:t>Aktivnost A400001 Održavanje stambenih prostora</w:t>
            </w:r>
          </w:p>
        </w:tc>
        <w:tc>
          <w:tcPr>
            <w:tcW w:w="1405" w:type="dxa"/>
            <w:tcBorders>
              <w:top w:val="nil"/>
              <w:left w:val="nil"/>
              <w:bottom w:val="single" w:sz="4" w:space="0" w:color="auto"/>
              <w:right w:val="single" w:sz="4" w:space="0" w:color="auto"/>
            </w:tcBorders>
            <w:shd w:val="clear" w:color="000000" w:fill="FFFFFF"/>
            <w:noWrap/>
            <w:vAlign w:val="bottom"/>
            <w:hideMark/>
          </w:tcPr>
          <w:p w14:paraId="18E8124A"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73.500,00</w:t>
            </w:r>
          </w:p>
        </w:tc>
        <w:tc>
          <w:tcPr>
            <w:tcW w:w="1350" w:type="dxa"/>
            <w:tcBorders>
              <w:top w:val="nil"/>
              <w:left w:val="nil"/>
              <w:bottom w:val="single" w:sz="4" w:space="0" w:color="auto"/>
              <w:right w:val="single" w:sz="4" w:space="0" w:color="auto"/>
            </w:tcBorders>
            <w:shd w:val="clear" w:color="000000" w:fill="FFFFFF"/>
            <w:noWrap/>
            <w:vAlign w:val="bottom"/>
            <w:hideMark/>
          </w:tcPr>
          <w:p w14:paraId="1A126A77"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11.500,00</w:t>
            </w:r>
          </w:p>
        </w:tc>
        <w:tc>
          <w:tcPr>
            <w:tcW w:w="1384" w:type="dxa"/>
            <w:tcBorders>
              <w:top w:val="nil"/>
              <w:left w:val="nil"/>
              <w:bottom w:val="single" w:sz="4" w:space="0" w:color="auto"/>
              <w:right w:val="single" w:sz="4" w:space="0" w:color="auto"/>
            </w:tcBorders>
            <w:shd w:val="clear" w:color="000000" w:fill="FFFFFF"/>
            <w:noWrap/>
            <w:vAlign w:val="bottom"/>
            <w:hideMark/>
          </w:tcPr>
          <w:p w14:paraId="4F8B18F1"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85.000,00</w:t>
            </w:r>
          </w:p>
        </w:tc>
      </w:tr>
      <w:tr w:rsidR="00643C17" w:rsidRPr="00FB55FF" w14:paraId="0E89C146"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4F352D36" w14:textId="77777777" w:rsidR="00643C17" w:rsidRPr="00FB55FF" w:rsidRDefault="00643C17" w:rsidP="00DB54DB">
            <w:pPr>
              <w:rPr>
                <w:rFonts w:ascii="Arial" w:hAnsi="Arial" w:cs="Arial"/>
                <w:sz w:val="20"/>
                <w:szCs w:val="20"/>
              </w:rPr>
            </w:pPr>
            <w:r w:rsidRPr="00FB55FF">
              <w:rPr>
                <w:rFonts w:ascii="Arial" w:hAnsi="Arial" w:cs="Arial"/>
                <w:sz w:val="20"/>
                <w:szCs w:val="20"/>
              </w:rPr>
              <w:t>Aktivnost A400002 Održavanje poslovnih prostora, štandova i privremenih priključaka</w:t>
            </w:r>
          </w:p>
        </w:tc>
        <w:tc>
          <w:tcPr>
            <w:tcW w:w="1405" w:type="dxa"/>
            <w:tcBorders>
              <w:top w:val="nil"/>
              <w:left w:val="nil"/>
              <w:bottom w:val="single" w:sz="4" w:space="0" w:color="auto"/>
              <w:right w:val="single" w:sz="4" w:space="0" w:color="auto"/>
            </w:tcBorders>
            <w:shd w:val="clear" w:color="000000" w:fill="FFFFFF"/>
            <w:noWrap/>
            <w:vAlign w:val="bottom"/>
            <w:hideMark/>
          </w:tcPr>
          <w:p w14:paraId="46145FA9"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117.000,00</w:t>
            </w:r>
          </w:p>
        </w:tc>
        <w:tc>
          <w:tcPr>
            <w:tcW w:w="1350" w:type="dxa"/>
            <w:tcBorders>
              <w:top w:val="nil"/>
              <w:left w:val="nil"/>
              <w:bottom w:val="single" w:sz="4" w:space="0" w:color="auto"/>
              <w:right w:val="single" w:sz="4" w:space="0" w:color="auto"/>
            </w:tcBorders>
            <w:shd w:val="clear" w:color="000000" w:fill="FFFFFF"/>
            <w:noWrap/>
            <w:vAlign w:val="bottom"/>
            <w:hideMark/>
          </w:tcPr>
          <w:p w14:paraId="16A6B794"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1.500,00</w:t>
            </w:r>
          </w:p>
        </w:tc>
        <w:tc>
          <w:tcPr>
            <w:tcW w:w="1384" w:type="dxa"/>
            <w:tcBorders>
              <w:top w:val="nil"/>
              <w:left w:val="nil"/>
              <w:bottom w:val="single" w:sz="4" w:space="0" w:color="auto"/>
              <w:right w:val="single" w:sz="4" w:space="0" w:color="auto"/>
            </w:tcBorders>
            <w:shd w:val="clear" w:color="000000" w:fill="FFFFFF"/>
            <w:noWrap/>
            <w:vAlign w:val="bottom"/>
            <w:hideMark/>
          </w:tcPr>
          <w:p w14:paraId="14DD72CC"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118.500,00</w:t>
            </w:r>
          </w:p>
        </w:tc>
      </w:tr>
      <w:tr w:rsidR="00643C17" w:rsidRPr="00FB55FF" w14:paraId="1BFF58DF"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55C840A4" w14:textId="77777777" w:rsidR="00643C17" w:rsidRPr="00FB55FF" w:rsidRDefault="00643C17" w:rsidP="00DB54DB">
            <w:pPr>
              <w:rPr>
                <w:rFonts w:ascii="Arial" w:hAnsi="Arial" w:cs="Arial"/>
                <w:sz w:val="20"/>
                <w:szCs w:val="20"/>
              </w:rPr>
            </w:pPr>
            <w:r w:rsidRPr="00FB55FF">
              <w:rPr>
                <w:rFonts w:ascii="Arial" w:hAnsi="Arial" w:cs="Arial"/>
                <w:sz w:val="20"/>
                <w:szCs w:val="20"/>
              </w:rPr>
              <w:t>Aktivnost A400003 Mjere preventivne zaštite i veterinarske usluge</w:t>
            </w:r>
          </w:p>
        </w:tc>
        <w:tc>
          <w:tcPr>
            <w:tcW w:w="1405" w:type="dxa"/>
            <w:tcBorders>
              <w:top w:val="nil"/>
              <w:left w:val="nil"/>
              <w:bottom w:val="single" w:sz="4" w:space="0" w:color="auto"/>
              <w:right w:val="single" w:sz="4" w:space="0" w:color="auto"/>
            </w:tcBorders>
            <w:shd w:val="clear" w:color="000000" w:fill="FFFFFF"/>
            <w:noWrap/>
            <w:vAlign w:val="bottom"/>
            <w:hideMark/>
          </w:tcPr>
          <w:p w14:paraId="7E64C5D7"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44.000,00</w:t>
            </w:r>
          </w:p>
        </w:tc>
        <w:tc>
          <w:tcPr>
            <w:tcW w:w="1350" w:type="dxa"/>
            <w:tcBorders>
              <w:top w:val="nil"/>
              <w:left w:val="nil"/>
              <w:bottom w:val="single" w:sz="4" w:space="0" w:color="auto"/>
              <w:right w:val="single" w:sz="4" w:space="0" w:color="auto"/>
            </w:tcBorders>
            <w:shd w:val="clear" w:color="000000" w:fill="FFFFFF"/>
            <w:noWrap/>
            <w:vAlign w:val="bottom"/>
            <w:hideMark/>
          </w:tcPr>
          <w:p w14:paraId="7B06C961"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7.000,00</w:t>
            </w:r>
          </w:p>
        </w:tc>
        <w:tc>
          <w:tcPr>
            <w:tcW w:w="1384" w:type="dxa"/>
            <w:tcBorders>
              <w:top w:val="nil"/>
              <w:left w:val="nil"/>
              <w:bottom w:val="single" w:sz="4" w:space="0" w:color="auto"/>
              <w:right w:val="single" w:sz="4" w:space="0" w:color="auto"/>
            </w:tcBorders>
            <w:shd w:val="clear" w:color="000000" w:fill="FFFFFF"/>
            <w:noWrap/>
            <w:vAlign w:val="bottom"/>
            <w:hideMark/>
          </w:tcPr>
          <w:p w14:paraId="4E688D3E"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51.000,00</w:t>
            </w:r>
          </w:p>
        </w:tc>
      </w:tr>
      <w:tr w:rsidR="00643C17" w:rsidRPr="00FB55FF" w14:paraId="6B9401CA"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2E011238" w14:textId="77777777" w:rsidR="00643C17" w:rsidRPr="00FB55FF" w:rsidRDefault="00643C17" w:rsidP="00DB54DB">
            <w:pPr>
              <w:rPr>
                <w:rFonts w:ascii="Arial" w:hAnsi="Arial" w:cs="Arial"/>
                <w:sz w:val="20"/>
                <w:szCs w:val="20"/>
              </w:rPr>
            </w:pPr>
            <w:r w:rsidRPr="00FB55FF">
              <w:rPr>
                <w:rFonts w:ascii="Arial" w:hAnsi="Arial" w:cs="Arial"/>
                <w:sz w:val="20"/>
                <w:szCs w:val="20"/>
              </w:rPr>
              <w:t>Aktivnost A400004 Dostava vode</w:t>
            </w:r>
          </w:p>
        </w:tc>
        <w:tc>
          <w:tcPr>
            <w:tcW w:w="1405" w:type="dxa"/>
            <w:tcBorders>
              <w:top w:val="nil"/>
              <w:left w:val="nil"/>
              <w:bottom w:val="single" w:sz="4" w:space="0" w:color="auto"/>
              <w:right w:val="single" w:sz="4" w:space="0" w:color="auto"/>
            </w:tcBorders>
            <w:shd w:val="clear" w:color="000000" w:fill="FFFFFF"/>
            <w:noWrap/>
            <w:vAlign w:val="bottom"/>
            <w:hideMark/>
          </w:tcPr>
          <w:p w14:paraId="7A24B273"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1.500,00</w:t>
            </w:r>
          </w:p>
        </w:tc>
        <w:tc>
          <w:tcPr>
            <w:tcW w:w="1350" w:type="dxa"/>
            <w:tcBorders>
              <w:top w:val="nil"/>
              <w:left w:val="nil"/>
              <w:bottom w:val="single" w:sz="4" w:space="0" w:color="auto"/>
              <w:right w:val="single" w:sz="4" w:space="0" w:color="auto"/>
            </w:tcBorders>
            <w:shd w:val="clear" w:color="000000" w:fill="FFFFFF"/>
            <w:noWrap/>
            <w:vAlign w:val="bottom"/>
            <w:hideMark/>
          </w:tcPr>
          <w:p w14:paraId="6CDEEA40"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0,00</w:t>
            </w:r>
          </w:p>
        </w:tc>
        <w:tc>
          <w:tcPr>
            <w:tcW w:w="1384" w:type="dxa"/>
            <w:tcBorders>
              <w:top w:val="nil"/>
              <w:left w:val="nil"/>
              <w:bottom w:val="single" w:sz="4" w:space="0" w:color="auto"/>
              <w:right w:val="single" w:sz="4" w:space="0" w:color="auto"/>
            </w:tcBorders>
            <w:shd w:val="clear" w:color="000000" w:fill="FFFFFF"/>
            <w:noWrap/>
            <w:vAlign w:val="bottom"/>
            <w:hideMark/>
          </w:tcPr>
          <w:p w14:paraId="3ECD787C"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1.500,00</w:t>
            </w:r>
          </w:p>
        </w:tc>
      </w:tr>
      <w:tr w:rsidR="00643C17" w:rsidRPr="00FB55FF" w14:paraId="472DE3ED"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28158CEF" w14:textId="77777777" w:rsidR="00643C17" w:rsidRPr="00FB55FF" w:rsidRDefault="00643C17" w:rsidP="00DB54DB">
            <w:pPr>
              <w:rPr>
                <w:rFonts w:ascii="Arial" w:hAnsi="Arial" w:cs="Arial"/>
                <w:sz w:val="20"/>
                <w:szCs w:val="20"/>
              </w:rPr>
            </w:pPr>
            <w:r w:rsidRPr="00FB55FF">
              <w:rPr>
                <w:rFonts w:ascii="Arial" w:hAnsi="Arial" w:cs="Arial"/>
                <w:sz w:val="20"/>
                <w:szCs w:val="20"/>
              </w:rPr>
              <w:t xml:space="preserve">Aktivnost A400005 Usluge pomoći izvršenja poslova </w:t>
            </w:r>
            <w:proofErr w:type="spellStart"/>
            <w:r w:rsidRPr="00FB55FF">
              <w:rPr>
                <w:rFonts w:ascii="Arial" w:hAnsi="Arial" w:cs="Arial"/>
                <w:sz w:val="20"/>
                <w:szCs w:val="20"/>
              </w:rPr>
              <w:t>komun</w:t>
            </w:r>
            <w:proofErr w:type="spellEnd"/>
            <w:r w:rsidRPr="00FB55FF">
              <w:rPr>
                <w:rFonts w:ascii="Arial" w:hAnsi="Arial" w:cs="Arial"/>
                <w:sz w:val="20"/>
                <w:szCs w:val="20"/>
              </w:rPr>
              <w:t>. i promet. redarstva</w:t>
            </w:r>
          </w:p>
        </w:tc>
        <w:tc>
          <w:tcPr>
            <w:tcW w:w="1405" w:type="dxa"/>
            <w:tcBorders>
              <w:top w:val="nil"/>
              <w:left w:val="nil"/>
              <w:bottom w:val="single" w:sz="4" w:space="0" w:color="auto"/>
              <w:right w:val="single" w:sz="4" w:space="0" w:color="auto"/>
            </w:tcBorders>
            <w:shd w:val="clear" w:color="000000" w:fill="FFFFFF"/>
            <w:noWrap/>
            <w:vAlign w:val="bottom"/>
            <w:hideMark/>
          </w:tcPr>
          <w:p w14:paraId="5DCC6BB0"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45.500,00</w:t>
            </w:r>
          </w:p>
        </w:tc>
        <w:tc>
          <w:tcPr>
            <w:tcW w:w="1350" w:type="dxa"/>
            <w:tcBorders>
              <w:top w:val="nil"/>
              <w:left w:val="nil"/>
              <w:bottom w:val="single" w:sz="4" w:space="0" w:color="auto"/>
              <w:right w:val="single" w:sz="4" w:space="0" w:color="auto"/>
            </w:tcBorders>
            <w:shd w:val="clear" w:color="000000" w:fill="FFFFFF"/>
            <w:noWrap/>
            <w:vAlign w:val="bottom"/>
            <w:hideMark/>
          </w:tcPr>
          <w:p w14:paraId="064C27FE"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8.800,00</w:t>
            </w:r>
          </w:p>
        </w:tc>
        <w:tc>
          <w:tcPr>
            <w:tcW w:w="1384" w:type="dxa"/>
            <w:tcBorders>
              <w:top w:val="nil"/>
              <w:left w:val="nil"/>
              <w:bottom w:val="single" w:sz="4" w:space="0" w:color="auto"/>
              <w:right w:val="single" w:sz="4" w:space="0" w:color="auto"/>
            </w:tcBorders>
            <w:shd w:val="clear" w:color="000000" w:fill="FFFFFF"/>
            <w:noWrap/>
            <w:vAlign w:val="bottom"/>
            <w:hideMark/>
          </w:tcPr>
          <w:p w14:paraId="32A6E1B6"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54.300,00</w:t>
            </w:r>
          </w:p>
        </w:tc>
      </w:tr>
      <w:tr w:rsidR="00643C17" w:rsidRPr="00FB55FF" w14:paraId="21C1BE1F"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468DC8A6" w14:textId="77777777" w:rsidR="00643C17" w:rsidRPr="00FB55FF" w:rsidRDefault="00643C17" w:rsidP="00DB54DB">
            <w:pPr>
              <w:rPr>
                <w:rFonts w:ascii="Arial" w:hAnsi="Arial" w:cs="Arial"/>
                <w:sz w:val="20"/>
                <w:szCs w:val="20"/>
              </w:rPr>
            </w:pPr>
            <w:r w:rsidRPr="00FB55FF">
              <w:rPr>
                <w:rFonts w:ascii="Arial" w:hAnsi="Arial" w:cs="Arial"/>
                <w:sz w:val="20"/>
                <w:szCs w:val="20"/>
              </w:rPr>
              <w:t>Aktivnost A400008 Održavanje igrališta</w:t>
            </w:r>
          </w:p>
        </w:tc>
        <w:tc>
          <w:tcPr>
            <w:tcW w:w="1405" w:type="dxa"/>
            <w:tcBorders>
              <w:top w:val="nil"/>
              <w:left w:val="nil"/>
              <w:bottom w:val="single" w:sz="4" w:space="0" w:color="auto"/>
              <w:right w:val="single" w:sz="4" w:space="0" w:color="auto"/>
            </w:tcBorders>
            <w:shd w:val="clear" w:color="000000" w:fill="FFFFFF"/>
            <w:noWrap/>
            <w:vAlign w:val="bottom"/>
            <w:hideMark/>
          </w:tcPr>
          <w:p w14:paraId="48576212"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121.000,00</w:t>
            </w:r>
          </w:p>
        </w:tc>
        <w:tc>
          <w:tcPr>
            <w:tcW w:w="1350" w:type="dxa"/>
            <w:tcBorders>
              <w:top w:val="nil"/>
              <w:left w:val="nil"/>
              <w:bottom w:val="single" w:sz="4" w:space="0" w:color="auto"/>
              <w:right w:val="single" w:sz="4" w:space="0" w:color="auto"/>
            </w:tcBorders>
            <w:shd w:val="clear" w:color="000000" w:fill="FFFFFF"/>
            <w:noWrap/>
            <w:vAlign w:val="bottom"/>
            <w:hideMark/>
          </w:tcPr>
          <w:p w14:paraId="5B5A173E"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40.363,00</w:t>
            </w:r>
          </w:p>
        </w:tc>
        <w:tc>
          <w:tcPr>
            <w:tcW w:w="1384" w:type="dxa"/>
            <w:tcBorders>
              <w:top w:val="nil"/>
              <w:left w:val="nil"/>
              <w:bottom w:val="single" w:sz="4" w:space="0" w:color="auto"/>
              <w:right w:val="single" w:sz="4" w:space="0" w:color="auto"/>
            </w:tcBorders>
            <w:shd w:val="clear" w:color="000000" w:fill="FFFFFF"/>
            <w:noWrap/>
            <w:vAlign w:val="bottom"/>
            <w:hideMark/>
          </w:tcPr>
          <w:p w14:paraId="2A3A8309"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161.363,00</w:t>
            </w:r>
          </w:p>
        </w:tc>
      </w:tr>
      <w:tr w:rsidR="00643C17" w:rsidRPr="00FB55FF" w14:paraId="294ECFE6"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20A77A8A" w14:textId="77777777" w:rsidR="00643C17" w:rsidRPr="00FB55FF" w:rsidRDefault="00643C17" w:rsidP="00DB54DB">
            <w:pPr>
              <w:rPr>
                <w:rFonts w:ascii="Arial" w:hAnsi="Arial" w:cs="Arial"/>
                <w:sz w:val="20"/>
                <w:szCs w:val="20"/>
              </w:rPr>
            </w:pPr>
            <w:r w:rsidRPr="00FB55FF">
              <w:rPr>
                <w:rFonts w:ascii="Arial" w:hAnsi="Arial" w:cs="Arial"/>
                <w:sz w:val="20"/>
                <w:szCs w:val="20"/>
              </w:rPr>
              <w:t>Aktivnost A400009 Održavanje sportske dvorane</w:t>
            </w:r>
          </w:p>
        </w:tc>
        <w:tc>
          <w:tcPr>
            <w:tcW w:w="1405" w:type="dxa"/>
            <w:tcBorders>
              <w:top w:val="nil"/>
              <w:left w:val="nil"/>
              <w:bottom w:val="single" w:sz="4" w:space="0" w:color="auto"/>
              <w:right w:val="single" w:sz="4" w:space="0" w:color="auto"/>
            </w:tcBorders>
            <w:shd w:val="clear" w:color="000000" w:fill="FFFFFF"/>
            <w:noWrap/>
            <w:vAlign w:val="bottom"/>
            <w:hideMark/>
          </w:tcPr>
          <w:p w14:paraId="5414BA5A"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145.000,00</w:t>
            </w:r>
          </w:p>
        </w:tc>
        <w:tc>
          <w:tcPr>
            <w:tcW w:w="1350" w:type="dxa"/>
            <w:tcBorders>
              <w:top w:val="nil"/>
              <w:left w:val="nil"/>
              <w:bottom w:val="single" w:sz="4" w:space="0" w:color="auto"/>
              <w:right w:val="single" w:sz="4" w:space="0" w:color="auto"/>
            </w:tcBorders>
            <w:shd w:val="clear" w:color="000000" w:fill="FFFFFF"/>
            <w:noWrap/>
            <w:vAlign w:val="bottom"/>
            <w:hideMark/>
          </w:tcPr>
          <w:p w14:paraId="3A3DEDB4"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13.000,00</w:t>
            </w:r>
          </w:p>
        </w:tc>
        <w:tc>
          <w:tcPr>
            <w:tcW w:w="1384" w:type="dxa"/>
            <w:tcBorders>
              <w:top w:val="nil"/>
              <w:left w:val="nil"/>
              <w:bottom w:val="single" w:sz="4" w:space="0" w:color="auto"/>
              <w:right w:val="single" w:sz="4" w:space="0" w:color="auto"/>
            </w:tcBorders>
            <w:shd w:val="clear" w:color="000000" w:fill="FFFFFF"/>
            <w:noWrap/>
            <w:vAlign w:val="bottom"/>
            <w:hideMark/>
          </w:tcPr>
          <w:p w14:paraId="74D4F884"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158.000,00</w:t>
            </w:r>
          </w:p>
        </w:tc>
      </w:tr>
      <w:tr w:rsidR="00643C17" w:rsidRPr="00FB55FF" w14:paraId="39C1D214"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4F8A6C6B" w14:textId="77777777" w:rsidR="00643C17" w:rsidRPr="00FB55FF" w:rsidRDefault="00643C17" w:rsidP="00DB54DB">
            <w:pPr>
              <w:rPr>
                <w:rFonts w:ascii="Arial" w:hAnsi="Arial" w:cs="Arial"/>
                <w:sz w:val="20"/>
                <w:szCs w:val="20"/>
              </w:rPr>
            </w:pPr>
            <w:r w:rsidRPr="00FB55FF">
              <w:rPr>
                <w:rFonts w:ascii="Arial" w:hAnsi="Arial" w:cs="Arial"/>
                <w:sz w:val="20"/>
                <w:szCs w:val="20"/>
              </w:rPr>
              <w:t>Aktivnost A400010 Održavanje boćarske dvorane</w:t>
            </w:r>
          </w:p>
        </w:tc>
        <w:tc>
          <w:tcPr>
            <w:tcW w:w="1405" w:type="dxa"/>
            <w:tcBorders>
              <w:top w:val="nil"/>
              <w:left w:val="nil"/>
              <w:bottom w:val="single" w:sz="4" w:space="0" w:color="auto"/>
              <w:right w:val="single" w:sz="4" w:space="0" w:color="auto"/>
            </w:tcBorders>
            <w:shd w:val="clear" w:color="000000" w:fill="FFFFFF"/>
            <w:noWrap/>
            <w:vAlign w:val="bottom"/>
            <w:hideMark/>
          </w:tcPr>
          <w:p w14:paraId="0C6E11C0"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3.500,00</w:t>
            </w:r>
          </w:p>
        </w:tc>
        <w:tc>
          <w:tcPr>
            <w:tcW w:w="1350" w:type="dxa"/>
            <w:tcBorders>
              <w:top w:val="nil"/>
              <w:left w:val="nil"/>
              <w:bottom w:val="single" w:sz="4" w:space="0" w:color="auto"/>
              <w:right w:val="single" w:sz="4" w:space="0" w:color="auto"/>
            </w:tcBorders>
            <w:shd w:val="clear" w:color="000000" w:fill="FFFFFF"/>
            <w:noWrap/>
            <w:vAlign w:val="bottom"/>
            <w:hideMark/>
          </w:tcPr>
          <w:p w14:paraId="75ABB429"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0,00</w:t>
            </w:r>
          </w:p>
        </w:tc>
        <w:tc>
          <w:tcPr>
            <w:tcW w:w="1384" w:type="dxa"/>
            <w:tcBorders>
              <w:top w:val="nil"/>
              <w:left w:val="nil"/>
              <w:bottom w:val="single" w:sz="4" w:space="0" w:color="auto"/>
              <w:right w:val="single" w:sz="4" w:space="0" w:color="auto"/>
            </w:tcBorders>
            <w:shd w:val="clear" w:color="000000" w:fill="FFFFFF"/>
            <w:noWrap/>
            <w:vAlign w:val="bottom"/>
            <w:hideMark/>
          </w:tcPr>
          <w:p w14:paraId="572B78B0"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3.500,00</w:t>
            </w:r>
          </w:p>
        </w:tc>
      </w:tr>
      <w:tr w:rsidR="00643C17" w:rsidRPr="00FB55FF" w14:paraId="69B459DC"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5BA51072" w14:textId="77777777" w:rsidR="00643C17" w:rsidRPr="00FB55FF" w:rsidRDefault="00643C17" w:rsidP="00DB54DB">
            <w:pPr>
              <w:rPr>
                <w:rFonts w:ascii="Arial" w:hAnsi="Arial" w:cs="Arial"/>
                <w:b/>
                <w:bCs/>
                <w:sz w:val="20"/>
                <w:szCs w:val="20"/>
              </w:rPr>
            </w:pPr>
            <w:r w:rsidRPr="00FB55FF">
              <w:rPr>
                <w:rFonts w:ascii="Arial" w:hAnsi="Arial" w:cs="Arial"/>
                <w:b/>
                <w:bCs/>
                <w:sz w:val="20"/>
                <w:szCs w:val="20"/>
              </w:rPr>
              <w:t>Program 4003 Oprema komunalne infrastrukture</w:t>
            </w:r>
          </w:p>
        </w:tc>
        <w:tc>
          <w:tcPr>
            <w:tcW w:w="1405" w:type="dxa"/>
            <w:tcBorders>
              <w:top w:val="nil"/>
              <w:left w:val="nil"/>
              <w:bottom w:val="single" w:sz="4" w:space="0" w:color="auto"/>
              <w:right w:val="single" w:sz="4" w:space="0" w:color="auto"/>
            </w:tcBorders>
            <w:shd w:val="clear" w:color="000000" w:fill="FFFFFF"/>
            <w:noWrap/>
            <w:vAlign w:val="bottom"/>
            <w:hideMark/>
          </w:tcPr>
          <w:p w14:paraId="6674D4AE" w14:textId="77777777" w:rsidR="00643C17" w:rsidRPr="00FB55FF" w:rsidRDefault="00643C17" w:rsidP="00DB54DB">
            <w:pPr>
              <w:jc w:val="right"/>
              <w:rPr>
                <w:rFonts w:ascii="Arial" w:hAnsi="Arial" w:cs="Arial"/>
                <w:b/>
                <w:bCs/>
                <w:sz w:val="20"/>
                <w:szCs w:val="20"/>
              </w:rPr>
            </w:pPr>
            <w:r w:rsidRPr="00FB55FF">
              <w:rPr>
                <w:rFonts w:ascii="Arial" w:hAnsi="Arial" w:cs="Arial"/>
                <w:b/>
                <w:bCs/>
                <w:sz w:val="20"/>
                <w:szCs w:val="20"/>
              </w:rPr>
              <w:t>37.625,00</w:t>
            </w:r>
          </w:p>
        </w:tc>
        <w:tc>
          <w:tcPr>
            <w:tcW w:w="1350" w:type="dxa"/>
            <w:tcBorders>
              <w:top w:val="nil"/>
              <w:left w:val="nil"/>
              <w:bottom w:val="single" w:sz="4" w:space="0" w:color="auto"/>
              <w:right w:val="single" w:sz="4" w:space="0" w:color="auto"/>
            </w:tcBorders>
            <w:shd w:val="clear" w:color="000000" w:fill="FFFFFF"/>
            <w:noWrap/>
            <w:vAlign w:val="bottom"/>
            <w:hideMark/>
          </w:tcPr>
          <w:p w14:paraId="2B100D4D" w14:textId="77777777" w:rsidR="00643C17" w:rsidRPr="00FB55FF" w:rsidRDefault="00643C17" w:rsidP="00DB54DB">
            <w:pPr>
              <w:jc w:val="right"/>
              <w:rPr>
                <w:rFonts w:ascii="Arial" w:hAnsi="Arial" w:cs="Arial"/>
                <w:b/>
                <w:bCs/>
                <w:sz w:val="20"/>
                <w:szCs w:val="20"/>
              </w:rPr>
            </w:pPr>
            <w:r w:rsidRPr="00FB55FF">
              <w:rPr>
                <w:rFonts w:ascii="Arial" w:hAnsi="Arial" w:cs="Arial"/>
                <w:b/>
                <w:bCs/>
                <w:sz w:val="20"/>
                <w:szCs w:val="20"/>
              </w:rPr>
              <w:t>70.994,00</w:t>
            </w:r>
          </w:p>
        </w:tc>
        <w:tc>
          <w:tcPr>
            <w:tcW w:w="1384" w:type="dxa"/>
            <w:tcBorders>
              <w:top w:val="nil"/>
              <w:left w:val="nil"/>
              <w:bottom w:val="single" w:sz="4" w:space="0" w:color="auto"/>
              <w:right w:val="single" w:sz="4" w:space="0" w:color="auto"/>
            </w:tcBorders>
            <w:shd w:val="clear" w:color="000000" w:fill="FFFFFF"/>
            <w:noWrap/>
            <w:vAlign w:val="bottom"/>
            <w:hideMark/>
          </w:tcPr>
          <w:p w14:paraId="21DB00A4" w14:textId="77777777" w:rsidR="00643C17" w:rsidRPr="00FB55FF" w:rsidRDefault="00643C17" w:rsidP="00DB54DB">
            <w:pPr>
              <w:jc w:val="right"/>
              <w:rPr>
                <w:rFonts w:ascii="Arial" w:hAnsi="Arial" w:cs="Arial"/>
                <w:b/>
                <w:bCs/>
                <w:sz w:val="20"/>
                <w:szCs w:val="20"/>
              </w:rPr>
            </w:pPr>
            <w:r w:rsidRPr="00FB55FF">
              <w:rPr>
                <w:rFonts w:ascii="Arial" w:hAnsi="Arial" w:cs="Arial"/>
                <w:b/>
                <w:bCs/>
                <w:sz w:val="20"/>
                <w:szCs w:val="20"/>
              </w:rPr>
              <w:t>108.619,00</w:t>
            </w:r>
          </w:p>
        </w:tc>
      </w:tr>
      <w:tr w:rsidR="00643C17" w:rsidRPr="00FB55FF" w14:paraId="73379E7B"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46E8354C" w14:textId="77777777" w:rsidR="00643C17" w:rsidRPr="00FB55FF" w:rsidRDefault="00643C17" w:rsidP="00DB54DB">
            <w:pPr>
              <w:rPr>
                <w:rFonts w:ascii="Arial" w:hAnsi="Arial" w:cs="Arial"/>
                <w:sz w:val="20"/>
                <w:szCs w:val="20"/>
              </w:rPr>
            </w:pPr>
            <w:r w:rsidRPr="00FB55FF">
              <w:rPr>
                <w:rFonts w:ascii="Arial" w:hAnsi="Arial" w:cs="Arial"/>
                <w:sz w:val="20"/>
                <w:szCs w:val="20"/>
              </w:rPr>
              <w:t>Kapitalni projekt K400001 Nabava opreme</w:t>
            </w:r>
          </w:p>
        </w:tc>
        <w:tc>
          <w:tcPr>
            <w:tcW w:w="1405" w:type="dxa"/>
            <w:tcBorders>
              <w:top w:val="nil"/>
              <w:left w:val="nil"/>
              <w:bottom w:val="single" w:sz="4" w:space="0" w:color="auto"/>
              <w:right w:val="single" w:sz="4" w:space="0" w:color="auto"/>
            </w:tcBorders>
            <w:shd w:val="clear" w:color="000000" w:fill="FFFFFF"/>
            <w:noWrap/>
            <w:vAlign w:val="bottom"/>
            <w:hideMark/>
          </w:tcPr>
          <w:p w14:paraId="55517F6C"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13.000,00</w:t>
            </w:r>
          </w:p>
        </w:tc>
        <w:tc>
          <w:tcPr>
            <w:tcW w:w="1350" w:type="dxa"/>
            <w:tcBorders>
              <w:top w:val="nil"/>
              <w:left w:val="nil"/>
              <w:bottom w:val="single" w:sz="4" w:space="0" w:color="auto"/>
              <w:right w:val="single" w:sz="4" w:space="0" w:color="auto"/>
            </w:tcBorders>
            <w:shd w:val="clear" w:color="000000" w:fill="FFFFFF"/>
            <w:noWrap/>
            <w:vAlign w:val="bottom"/>
            <w:hideMark/>
          </w:tcPr>
          <w:p w14:paraId="329231C5"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0,00</w:t>
            </w:r>
          </w:p>
        </w:tc>
        <w:tc>
          <w:tcPr>
            <w:tcW w:w="1384" w:type="dxa"/>
            <w:tcBorders>
              <w:top w:val="nil"/>
              <w:left w:val="nil"/>
              <w:bottom w:val="single" w:sz="4" w:space="0" w:color="auto"/>
              <w:right w:val="single" w:sz="4" w:space="0" w:color="auto"/>
            </w:tcBorders>
            <w:shd w:val="clear" w:color="000000" w:fill="FFFFFF"/>
            <w:noWrap/>
            <w:vAlign w:val="bottom"/>
            <w:hideMark/>
          </w:tcPr>
          <w:p w14:paraId="2D8C1CBF"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13.000,00</w:t>
            </w:r>
          </w:p>
        </w:tc>
      </w:tr>
      <w:tr w:rsidR="00643C17" w:rsidRPr="00FB55FF" w14:paraId="78AEFE1E"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37C7BF62" w14:textId="77777777" w:rsidR="00643C17" w:rsidRPr="00FB55FF" w:rsidRDefault="00643C17" w:rsidP="00DB54DB">
            <w:pPr>
              <w:rPr>
                <w:rFonts w:ascii="Arial" w:hAnsi="Arial" w:cs="Arial"/>
                <w:sz w:val="20"/>
                <w:szCs w:val="20"/>
              </w:rPr>
            </w:pPr>
            <w:r w:rsidRPr="00FB55FF">
              <w:rPr>
                <w:rFonts w:ascii="Arial" w:hAnsi="Arial" w:cs="Arial"/>
                <w:sz w:val="20"/>
                <w:szCs w:val="20"/>
              </w:rPr>
              <w:t>Kapitalni projekt K400002 Izgradnja komunalne infrastrukture</w:t>
            </w:r>
          </w:p>
        </w:tc>
        <w:tc>
          <w:tcPr>
            <w:tcW w:w="1405" w:type="dxa"/>
            <w:tcBorders>
              <w:top w:val="nil"/>
              <w:left w:val="nil"/>
              <w:bottom w:val="single" w:sz="4" w:space="0" w:color="auto"/>
              <w:right w:val="single" w:sz="4" w:space="0" w:color="auto"/>
            </w:tcBorders>
            <w:shd w:val="clear" w:color="000000" w:fill="FFFFFF"/>
            <w:noWrap/>
            <w:vAlign w:val="bottom"/>
            <w:hideMark/>
          </w:tcPr>
          <w:p w14:paraId="0505DF42"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24.625,00</w:t>
            </w:r>
          </w:p>
        </w:tc>
        <w:tc>
          <w:tcPr>
            <w:tcW w:w="1350" w:type="dxa"/>
            <w:tcBorders>
              <w:top w:val="nil"/>
              <w:left w:val="nil"/>
              <w:bottom w:val="single" w:sz="4" w:space="0" w:color="auto"/>
              <w:right w:val="single" w:sz="4" w:space="0" w:color="auto"/>
            </w:tcBorders>
            <w:shd w:val="clear" w:color="000000" w:fill="FFFFFF"/>
            <w:noWrap/>
            <w:vAlign w:val="bottom"/>
            <w:hideMark/>
          </w:tcPr>
          <w:p w14:paraId="4D52937C"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7.344,00</w:t>
            </w:r>
          </w:p>
        </w:tc>
        <w:tc>
          <w:tcPr>
            <w:tcW w:w="1384" w:type="dxa"/>
            <w:tcBorders>
              <w:top w:val="nil"/>
              <w:left w:val="nil"/>
              <w:bottom w:val="single" w:sz="4" w:space="0" w:color="auto"/>
              <w:right w:val="single" w:sz="4" w:space="0" w:color="auto"/>
            </w:tcBorders>
            <w:shd w:val="clear" w:color="000000" w:fill="FFFFFF"/>
            <w:noWrap/>
            <w:vAlign w:val="bottom"/>
            <w:hideMark/>
          </w:tcPr>
          <w:p w14:paraId="73F0D1D6"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31.969,00</w:t>
            </w:r>
          </w:p>
        </w:tc>
      </w:tr>
      <w:tr w:rsidR="00643C17" w:rsidRPr="00FB55FF" w14:paraId="2A446D0A"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6C57BD02" w14:textId="77777777" w:rsidR="00643C17" w:rsidRPr="00FB55FF" w:rsidRDefault="00643C17" w:rsidP="00DB54DB">
            <w:pPr>
              <w:rPr>
                <w:rFonts w:ascii="Arial" w:hAnsi="Arial" w:cs="Arial"/>
                <w:sz w:val="20"/>
                <w:szCs w:val="20"/>
              </w:rPr>
            </w:pPr>
            <w:r w:rsidRPr="00FB55FF">
              <w:rPr>
                <w:rFonts w:ascii="Arial" w:hAnsi="Arial" w:cs="Arial"/>
                <w:sz w:val="20"/>
                <w:szCs w:val="20"/>
              </w:rPr>
              <w:t>Tekući projekt T400002 Projekt " Za naš vrtić mali, malo opreme nam fali"</w:t>
            </w:r>
          </w:p>
        </w:tc>
        <w:tc>
          <w:tcPr>
            <w:tcW w:w="1405" w:type="dxa"/>
            <w:tcBorders>
              <w:top w:val="nil"/>
              <w:left w:val="nil"/>
              <w:bottom w:val="single" w:sz="4" w:space="0" w:color="auto"/>
              <w:right w:val="single" w:sz="4" w:space="0" w:color="auto"/>
            </w:tcBorders>
            <w:shd w:val="clear" w:color="000000" w:fill="FFFFFF"/>
            <w:noWrap/>
            <w:vAlign w:val="bottom"/>
            <w:hideMark/>
          </w:tcPr>
          <w:p w14:paraId="7CFAD628"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0,00</w:t>
            </w:r>
          </w:p>
        </w:tc>
        <w:tc>
          <w:tcPr>
            <w:tcW w:w="1350" w:type="dxa"/>
            <w:tcBorders>
              <w:top w:val="nil"/>
              <w:left w:val="nil"/>
              <w:bottom w:val="single" w:sz="4" w:space="0" w:color="auto"/>
              <w:right w:val="single" w:sz="4" w:space="0" w:color="auto"/>
            </w:tcBorders>
            <w:shd w:val="clear" w:color="000000" w:fill="FFFFFF"/>
            <w:noWrap/>
            <w:vAlign w:val="bottom"/>
            <w:hideMark/>
          </w:tcPr>
          <w:p w14:paraId="3DF6B40B"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63.650,00</w:t>
            </w:r>
          </w:p>
        </w:tc>
        <w:tc>
          <w:tcPr>
            <w:tcW w:w="1384" w:type="dxa"/>
            <w:tcBorders>
              <w:top w:val="nil"/>
              <w:left w:val="nil"/>
              <w:bottom w:val="single" w:sz="4" w:space="0" w:color="auto"/>
              <w:right w:val="single" w:sz="4" w:space="0" w:color="auto"/>
            </w:tcBorders>
            <w:shd w:val="clear" w:color="000000" w:fill="FFFFFF"/>
            <w:noWrap/>
            <w:vAlign w:val="bottom"/>
            <w:hideMark/>
          </w:tcPr>
          <w:p w14:paraId="3C65D90C"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63.650,00</w:t>
            </w:r>
          </w:p>
        </w:tc>
      </w:tr>
      <w:tr w:rsidR="00643C17" w:rsidRPr="00FB55FF" w14:paraId="056611E8"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1E17DDA5" w14:textId="77777777" w:rsidR="00643C17" w:rsidRPr="00FB55FF" w:rsidRDefault="00643C17" w:rsidP="00DB54DB">
            <w:pPr>
              <w:rPr>
                <w:rFonts w:ascii="Arial" w:hAnsi="Arial" w:cs="Arial"/>
                <w:b/>
                <w:bCs/>
                <w:sz w:val="20"/>
                <w:szCs w:val="20"/>
              </w:rPr>
            </w:pPr>
            <w:r w:rsidRPr="00FB55FF">
              <w:rPr>
                <w:rFonts w:ascii="Arial" w:hAnsi="Arial" w:cs="Arial"/>
                <w:b/>
                <w:bCs/>
                <w:sz w:val="20"/>
                <w:szCs w:val="20"/>
              </w:rPr>
              <w:t>Program 4004 Zaštita okoliša</w:t>
            </w:r>
          </w:p>
        </w:tc>
        <w:tc>
          <w:tcPr>
            <w:tcW w:w="1405" w:type="dxa"/>
            <w:tcBorders>
              <w:top w:val="nil"/>
              <w:left w:val="nil"/>
              <w:bottom w:val="single" w:sz="4" w:space="0" w:color="auto"/>
              <w:right w:val="single" w:sz="4" w:space="0" w:color="auto"/>
            </w:tcBorders>
            <w:shd w:val="clear" w:color="000000" w:fill="FFFFFF"/>
            <w:noWrap/>
            <w:vAlign w:val="bottom"/>
            <w:hideMark/>
          </w:tcPr>
          <w:p w14:paraId="149EC196" w14:textId="77777777" w:rsidR="00643C17" w:rsidRPr="00FB55FF" w:rsidRDefault="00643C17" w:rsidP="00DB54DB">
            <w:pPr>
              <w:jc w:val="right"/>
              <w:rPr>
                <w:rFonts w:ascii="Arial" w:hAnsi="Arial" w:cs="Arial"/>
                <w:b/>
                <w:bCs/>
                <w:sz w:val="20"/>
                <w:szCs w:val="20"/>
              </w:rPr>
            </w:pPr>
            <w:r w:rsidRPr="00FB55FF">
              <w:rPr>
                <w:rFonts w:ascii="Arial" w:hAnsi="Arial" w:cs="Arial"/>
                <w:b/>
                <w:bCs/>
                <w:sz w:val="20"/>
                <w:szCs w:val="20"/>
              </w:rPr>
              <w:t>8.000,00</w:t>
            </w:r>
          </w:p>
        </w:tc>
        <w:tc>
          <w:tcPr>
            <w:tcW w:w="1350" w:type="dxa"/>
            <w:tcBorders>
              <w:top w:val="nil"/>
              <w:left w:val="nil"/>
              <w:bottom w:val="single" w:sz="4" w:space="0" w:color="auto"/>
              <w:right w:val="single" w:sz="4" w:space="0" w:color="auto"/>
            </w:tcBorders>
            <w:shd w:val="clear" w:color="000000" w:fill="FFFFFF"/>
            <w:noWrap/>
            <w:vAlign w:val="bottom"/>
            <w:hideMark/>
          </w:tcPr>
          <w:p w14:paraId="29754546" w14:textId="77777777" w:rsidR="00643C17" w:rsidRPr="00FB55FF" w:rsidRDefault="00643C17" w:rsidP="00DB54DB">
            <w:pPr>
              <w:jc w:val="right"/>
              <w:rPr>
                <w:rFonts w:ascii="Arial" w:hAnsi="Arial" w:cs="Arial"/>
                <w:b/>
                <w:bCs/>
                <w:sz w:val="20"/>
                <w:szCs w:val="20"/>
              </w:rPr>
            </w:pPr>
            <w:r w:rsidRPr="00FB55FF">
              <w:rPr>
                <w:rFonts w:ascii="Arial" w:hAnsi="Arial" w:cs="Arial"/>
                <w:b/>
                <w:bCs/>
                <w:sz w:val="20"/>
                <w:szCs w:val="20"/>
              </w:rPr>
              <w:t>-8.000,00</w:t>
            </w:r>
          </w:p>
        </w:tc>
        <w:tc>
          <w:tcPr>
            <w:tcW w:w="1384" w:type="dxa"/>
            <w:tcBorders>
              <w:top w:val="nil"/>
              <w:left w:val="nil"/>
              <w:bottom w:val="single" w:sz="4" w:space="0" w:color="auto"/>
              <w:right w:val="single" w:sz="4" w:space="0" w:color="auto"/>
            </w:tcBorders>
            <w:shd w:val="clear" w:color="000000" w:fill="FFFFFF"/>
            <w:noWrap/>
            <w:vAlign w:val="bottom"/>
            <w:hideMark/>
          </w:tcPr>
          <w:p w14:paraId="12EF6799" w14:textId="77777777" w:rsidR="00643C17" w:rsidRPr="00FB55FF" w:rsidRDefault="00643C17" w:rsidP="00DB54DB">
            <w:pPr>
              <w:jc w:val="right"/>
              <w:rPr>
                <w:rFonts w:ascii="Arial" w:hAnsi="Arial" w:cs="Arial"/>
                <w:b/>
                <w:bCs/>
                <w:sz w:val="20"/>
                <w:szCs w:val="20"/>
              </w:rPr>
            </w:pPr>
            <w:r w:rsidRPr="00FB55FF">
              <w:rPr>
                <w:rFonts w:ascii="Arial" w:hAnsi="Arial" w:cs="Arial"/>
                <w:b/>
                <w:bCs/>
                <w:sz w:val="20"/>
                <w:szCs w:val="20"/>
              </w:rPr>
              <w:t>0,00</w:t>
            </w:r>
          </w:p>
        </w:tc>
      </w:tr>
      <w:tr w:rsidR="00643C17" w:rsidRPr="00FB55FF" w14:paraId="5E0A8598" w14:textId="77777777" w:rsidTr="00DB54DB">
        <w:trPr>
          <w:trHeight w:val="255"/>
        </w:trPr>
        <w:tc>
          <w:tcPr>
            <w:tcW w:w="5192" w:type="dxa"/>
            <w:tcBorders>
              <w:top w:val="nil"/>
              <w:left w:val="single" w:sz="4" w:space="0" w:color="auto"/>
              <w:bottom w:val="single" w:sz="4" w:space="0" w:color="auto"/>
              <w:right w:val="single" w:sz="4" w:space="0" w:color="auto"/>
            </w:tcBorders>
            <w:shd w:val="clear" w:color="000000" w:fill="FFFFFF"/>
            <w:noWrap/>
            <w:vAlign w:val="bottom"/>
            <w:hideMark/>
          </w:tcPr>
          <w:p w14:paraId="37C9A309" w14:textId="77777777" w:rsidR="00643C17" w:rsidRPr="00FB55FF" w:rsidRDefault="00643C17" w:rsidP="00DB54DB">
            <w:pPr>
              <w:rPr>
                <w:rFonts w:ascii="Arial" w:hAnsi="Arial" w:cs="Arial"/>
                <w:sz w:val="20"/>
                <w:szCs w:val="20"/>
              </w:rPr>
            </w:pPr>
            <w:r w:rsidRPr="00FB55FF">
              <w:rPr>
                <w:rFonts w:ascii="Arial" w:hAnsi="Arial" w:cs="Arial"/>
                <w:sz w:val="20"/>
                <w:szCs w:val="20"/>
              </w:rPr>
              <w:t xml:space="preserve">Tekući projekt T400002 Bara </w:t>
            </w:r>
            <w:proofErr w:type="spellStart"/>
            <w:r w:rsidRPr="00FB55FF">
              <w:rPr>
                <w:rFonts w:ascii="Arial" w:hAnsi="Arial" w:cs="Arial"/>
                <w:sz w:val="20"/>
                <w:szCs w:val="20"/>
              </w:rPr>
              <w:t>Marcilnica</w:t>
            </w:r>
            <w:proofErr w:type="spellEnd"/>
          </w:p>
        </w:tc>
        <w:tc>
          <w:tcPr>
            <w:tcW w:w="1405" w:type="dxa"/>
            <w:tcBorders>
              <w:top w:val="nil"/>
              <w:left w:val="nil"/>
              <w:bottom w:val="single" w:sz="4" w:space="0" w:color="auto"/>
              <w:right w:val="single" w:sz="4" w:space="0" w:color="auto"/>
            </w:tcBorders>
            <w:shd w:val="clear" w:color="000000" w:fill="FFFFFF"/>
            <w:noWrap/>
            <w:vAlign w:val="bottom"/>
            <w:hideMark/>
          </w:tcPr>
          <w:p w14:paraId="4D805B1F"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8.000,00</w:t>
            </w:r>
          </w:p>
        </w:tc>
        <w:tc>
          <w:tcPr>
            <w:tcW w:w="1350" w:type="dxa"/>
            <w:tcBorders>
              <w:top w:val="nil"/>
              <w:left w:val="nil"/>
              <w:bottom w:val="single" w:sz="4" w:space="0" w:color="auto"/>
              <w:right w:val="single" w:sz="4" w:space="0" w:color="auto"/>
            </w:tcBorders>
            <w:shd w:val="clear" w:color="000000" w:fill="FFFFFF"/>
            <w:noWrap/>
            <w:vAlign w:val="bottom"/>
            <w:hideMark/>
          </w:tcPr>
          <w:p w14:paraId="50349FB5"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-8.000,00</w:t>
            </w:r>
          </w:p>
        </w:tc>
        <w:tc>
          <w:tcPr>
            <w:tcW w:w="1384" w:type="dxa"/>
            <w:tcBorders>
              <w:top w:val="nil"/>
              <w:left w:val="nil"/>
              <w:bottom w:val="single" w:sz="4" w:space="0" w:color="auto"/>
              <w:right w:val="single" w:sz="4" w:space="0" w:color="auto"/>
            </w:tcBorders>
            <w:shd w:val="clear" w:color="000000" w:fill="FFFFFF"/>
            <w:noWrap/>
            <w:vAlign w:val="bottom"/>
            <w:hideMark/>
          </w:tcPr>
          <w:p w14:paraId="0DDFCEBB" w14:textId="77777777" w:rsidR="00643C17" w:rsidRPr="00FB55FF" w:rsidRDefault="00643C17" w:rsidP="00DB54DB">
            <w:pPr>
              <w:jc w:val="right"/>
              <w:rPr>
                <w:rFonts w:ascii="Arial" w:hAnsi="Arial" w:cs="Arial"/>
                <w:sz w:val="20"/>
                <w:szCs w:val="20"/>
              </w:rPr>
            </w:pPr>
            <w:r w:rsidRPr="00FB55FF">
              <w:rPr>
                <w:rFonts w:ascii="Arial" w:hAnsi="Arial" w:cs="Arial"/>
                <w:sz w:val="20"/>
                <w:szCs w:val="20"/>
              </w:rPr>
              <w:t>0,00</w:t>
            </w:r>
          </w:p>
        </w:tc>
      </w:tr>
    </w:tbl>
    <w:p w14:paraId="54B3F1C2" w14:textId="77777777" w:rsidR="00643C17" w:rsidRPr="00397B75" w:rsidRDefault="00643C17" w:rsidP="00643C17">
      <w:pPr>
        <w:ind w:firstLine="708"/>
        <w:jc w:val="both"/>
        <w:rPr>
          <w:rFonts w:ascii="Arial" w:hAnsi="Arial" w:cs="Arial"/>
          <w:color w:val="EE0000"/>
          <w:sz w:val="22"/>
        </w:rPr>
      </w:pPr>
    </w:p>
    <w:p w14:paraId="164E7BA4" w14:textId="77777777" w:rsidR="00643C17" w:rsidRPr="001C0210" w:rsidRDefault="00643C17" w:rsidP="00643C17">
      <w:pPr>
        <w:pStyle w:val="Odlomakpopisa"/>
        <w:jc w:val="both"/>
        <w:rPr>
          <w:rFonts w:ascii="Arial" w:hAnsi="Arial" w:cs="Arial"/>
          <w:b/>
        </w:rPr>
      </w:pPr>
      <w:bookmarkStart w:id="34" w:name="_Hlk151037140"/>
    </w:p>
    <w:p w14:paraId="5BEA0616" w14:textId="77777777" w:rsidR="00643C17" w:rsidRDefault="00643C17" w:rsidP="003421A7">
      <w:pPr>
        <w:spacing w:line="259" w:lineRule="auto"/>
        <w:ind w:firstLine="708"/>
        <w:jc w:val="both"/>
        <w:rPr>
          <w:rFonts w:ascii="Arial" w:hAnsi="Arial" w:cs="Arial"/>
          <w:sz w:val="22"/>
          <w:szCs w:val="22"/>
        </w:rPr>
      </w:pPr>
      <w:r w:rsidRPr="003421A7">
        <w:rPr>
          <w:rFonts w:ascii="Arial" w:hAnsi="Arial" w:cs="Arial"/>
          <w:b/>
          <w:bCs/>
          <w:sz w:val="22"/>
          <w:szCs w:val="22"/>
        </w:rPr>
        <w:lastRenderedPageBreak/>
        <w:t>Program Održavanje komunalne infrastrukture</w:t>
      </w:r>
      <w:r w:rsidRPr="003421A7">
        <w:rPr>
          <w:rFonts w:ascii="Arial" w:hAnsi="Arial" w:cs="Arial"/>
          <w:sz w:val="22"/>
          <w:szCs w:val="22"/>
        </w:rPr>
        <w:t xml:space="preserve"> povećao se za 81.862,00 EUR ili 3,99% planiranog iznosa.</w:t>
      </w:r>
    </w:p>
    <w:p w14:paraId="6F10F941" w14:textId="77777777" w:rsidR="003421A7" w:rsidRPr="003421A7" w:rsidRDefault="003421A7" w:rsidP="003421A7">
      <w:pPr>
        <w:spacing w:line="259" w:lineRule="auto"/>
        <w:ind w:firstLine="708"/>
        <w:jc w:val="both"/>
        <w:rPr>
          <w:rFonts w:ascii="Arial" w:hAnsi="Arial" w:cs="Arial"/>
          <w:sz w:val="22"/>
          <w:szCs w:val="22"/>
        </w:rPr>
      </w:pPr>
    </w:p>
    <w:p w14:paraId="3BF86D15" w14:textId="77777777" w:rsidR="00643C17" w:rsidRPr="003421A7" w:rsidRDefault="00643C17" w:rsidP="003421A7">
      <w:pPr>
        <w:autoSpaceDE w:val="0"/>
        <w:autoSpaceDN w:val="0"/>
        <w:adjustRightInd w:val="0"/>
        <w:spacing w:line="259" w:lineRule="auto"/>
        <w:ind w:firstLine="708"/>
        <w:jc w:val="both"/>
        <w:rPr>
          <w:rFonts w:ascii="Arial" w:hAnsi="Arial" w:cs="Arial"/>
          <w:sz w:val="22"/>
          <w:szCs w:val="22"/>
        </w:rPr>
      </w:pPr>
      <w:r w:rsidRPr="003421A7">
        <w:rPr>
          <w:rFonts w:ascii="Arial" w:hAnsi="Arial" w:cs="Arial"/>
          <w:sz w:val="22"/>
          <w:szCs w:val="22"/>
        </w:rPr>
        <w:t xml:space="preserve">Program održavanja komunalne infrastrukture za 2025. godinu planiran je na ukupni iznos od </w:t>
      </w:r>
      <w:r w:rsidRPr="003421A7">
        <w:rPr>
          <w:rFonts w:ascii="Arial" w:hAnsi="Arial" w:cs="Arial"/>
          <w:b/>
          <w:sz w:val="22"/>
          <w:szCs w:val="22"/>
        </w:rPr>
        <w:t>2.049.400,00 EUR</w:t>
      </w:r>
      <w:r w:rsidRPr="003421A7">
        <w:rPr>
          <w:rFonts w:ascii="Arial" w:hAnsi="Arial" w:cs="Arial"/>
          <w:sz w:val="22"/>
          <w:szCs w:val="22"/>
        </w:rPr>
        <w:t>.</w:t>
      </w:r>
    </w:p>
    <w:p w14:paraId="447D9878" w14:textId="77777777" w:rsidR="00643C17" w:rsidRPr="003421A7" w:rsidRDefault="00643C17" w:rsidP="003421A7">
      <w:pPr>
        <w:autoSpaceDE w:val="0"/>
        <w:autoSpaceDN w:val="0"/>
        <w:adjustRightInd w:val="0"/>
        <w:spacing w:line="259" w:lineRule="auto"/>
        <w:ind w:firstLine="708"/>
        <w:jc w:val="both"/>
        <w:rPr>
          <w:rFonts w:ascii="Arial" w:hAnsi="Arial" w:cs="Arial"/>
          <w:sz w:val="22"/>
          <w:szCs w:val="22"/>
        </w:rPr>
      </w:pPr>
      <w:r w:rsidRPr="003421A7">
        <w:rPr>
          <w:rFonts w:ascii="Arial" w:hAnsi="Arial" w:cs="Arial"/>
          <w:sz w:val="22"/>
          <w:szCs w:val="22"/>
        </w:rPr>
        <w:t xml:space="preserve">Predloženim prvim izmjenama, Program održavanja komunalne infrastrukture za 2025. godinu iznosi </w:t>
      </w:r>
      <w:r w:rsidRPr="003421A7">
        <w:rPr>
          <w:rFonts w:ascii="Arial" w:hAnsi="Arial" w:cs="Arial"/>
          <w:b/>
          <w:sz w:val="22"/>
          <w:szCs w:val="22"/>
        </w:rPr>
        <w:t>2.131.262,00 EUR</w:t>
      </w:r>
      <w:r w:rsidRPr="003421A7">
        <w:rPr>
          <w:rFonts w:ascii="Arial" w:hAnsi="Arial" w:cs="Arial"/>
          <w:sz w:val="22"/>
          <w:szCs w:val="22"/>
        </w:rPr>
        <w:t xml:space="preserve">. </w:t>
      </w:r>
    </w:p>
    <w:p w14:paraId="214F0545" w14:textId="77777777" w:rsidR="00643C17" w:rsidRPr="003421A7" w:rsidRDefault="00643C17" w:rsidP="003421A7">
      <w:pPr>
        <w:autoSpaceDE w:val="0"/>
        <w:autoSpaceDN w:val="0"/>
        <w:adjustRightInd w:val="0"/>
        <w:spacing w:line="259" w:lineRule="auto"/>
        <w:ind w:firstLine="708"/>
        <w:jc w:val="both"/>
        <w:rPr>
          <w:rFonts w:ascii="Arial" w:hAnsi="Arial" w:cs="Arial"/>
          <w:sz w:val="22"/>
          <w:szCs w:val="22"/>
        </w:rPr>
      </w:pPr>
    </w:p>
    <w:p w14:paraId="6F89DB17" w14:textId="77777777" w:rsidR="00643C17" w:rsidRPr="003421A7" w:rsidRDefault="00643C17" w:rsidP="003421A7">
      <w:pPr>
        <w:spacing w:line="259" w:lineRule="auto"/>
        <w:ind w:firstLine="708"/>
        <w:jc w:val="both"/>
        <w:rPr>
          <w:rFonts w:ascii="Arial" w:hAnsi="Arial" w:cs="Arial"/>
          <w:sz w:val="22"/>
          <w:szCs w:val="22"/>
        </w:rPr>
      </w:pPr>
      <w:r w:rsidRPr="003421A7">
        <w:rPr>
          <w:rFonts w:ascii="Arial" w:hAnsi="Arial" w:cs="Arial"/>
          <w:sz w:val="22"/>
          <w:szCs w:val="22"/>
        </w:rPr>
        <w:t>Obrazloženje promjena u stavkama 1. rebalansa proračuna detaljnije je dano za veće iznose kako slijedi:</w:t>
      </w:r>
    </w:p>
    <w:p w14:paraId="16A6F5F2" w14:textId="77777777" w:rsidR="00643C17" w:rsidRPr="003421A7" w:rsidRDefault="00643C17" w:rsidP="003421A7">
      <w:pPr>
        <w:spacing w:line="259" w:lineRule="auto"/>
        <w:ind w:firstLine="708"/>
        <w:jc w:val="both"/>
        <w:rPr>
          <w:rFonts w:ascii="Arial" w:hAnsi="Arial" w:cs="Arial"/>
          <w:sz w:val="22"/>
          <w:szCs w:val="22"/>
        </w:rPr>
      </w:pPr>
    </w:p>
    <w:p w14:paraId="1E3610AB"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Aktivnost A400012</w:t>
      </w:r>
    </w:p>
    <w:p w14:paraId="1B2A3C1A"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Održavanje nerazvrstanih cesta (uvećanje 36.092,00 EUR)</w:t>
      </w:r>
    </w:p>
    <w:p w14:paraId="3E506BF7" w14:textId="77777777" w:rsidR="00643C17" w:rsidRPr="003421A7" w:rsidRDefault="00643C17" w:rsidP="003421A7">
      <w:pPr>
        <w:spacing w:line="259" w:lineRule="auto"/>
        <w:ind w:firstLine="708"/>
        <w:jc w:val="both"/>
        <w:rPr>
          <w:rFonts w:ascii="Arial" w:hAnsi="Arial" w:cs="Arial"/>
          <w:sz w:val="22"/>
          <w:szCs w:val="22"/>
        </w:rPr>
      </w:pPr>
      <w:r w:rsidRPr="003421A7">
        <w:rPr>
          <w:rFonts w:ascii="Arial" w:hAnsi="Arial" w:cs="Arial"/>
          <w:sz w:val="22"/>
          <w:szCs w:val="22"/>
        </w:rPr>
        <w:t xml:space="preserve">Uvećanja se odnose na stavke: redovno održavanje nerazvrstanih cesta (iznos 46.307,00 EUR sa izvora komunalne naknade -rezultat i kapitalnih donacija – RETAIL PARK). </w:t>
      </w:r>
    </w:p>
    <w:p w14:paraId="2E4AB740" w14:textId="77777777" w:rsidR="00643C17" w:rsidRPr="003421A7" w:rsidRDefault="00643C17" w:rsidP="003421A7">
      <w:pPr>
        <w:spacing w:line="259" w:lineRule="auto"/>
        <w:ind w:firstLine="708"/>
        <w:jc w:val="both"/>
        <w:rPr>
          <w:rFonts w:ascii="Arial" w:hAnsi="Arial" w:cs="Arial"/>
          <w:sz w:val="22"/>
          <w:szCs w:val="22"/>
        </w:rPr>
      </w:pPr>
      <w:r w:rsidRPr="003421A7">
        <w:rPr>
          <w:rFonts w:ascii="Arial" w:hAnsi="Arial" w:cs="Arial"/>
          <w:sz w:val="22"/>
          <w:szCs w:val="22"/>
        </w:rPr>
        <w:t>Umanjenja se odnose na stavku:  vertikalne signalizacije cesta (iznos 10.000,00 EUR sa izvora komunalne naknade).</w:t>
      </w:r>
    </w:p>
    <w:p w14:paraId="0364E7E6" w14:textId="77777777" w:rsidR="00643C17" w:rsidRPr="003421A7" w:rsidRDefault="00643C17" w:rsidP="003421A7">
      <w:pPr>
        <w:spacing w:line="259" w:lineRule="auto"/>
        <w:ind w:firstLine="708"/>
        <w:jc w:val="both"/>
        <w:rPr>
          <w:rFonts w:ascii="Arial" w:hAnsi="Arial" w:cs="Arial"/>
          <w:sz w:val="22"/>
          <w:szCs w:val="22"/>
        </w:rPr>
      </w:pPr>
    </w:p>
    <w:p w14:paraId="51210745"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Aktivnost A400013</w:t>
      </w:r>
    </w:p>
    <w:p w14:paraId="7B20BC0D"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Održavanje javnih površina na kojima nije dopušten promet motornim vozilima (umanjenje 19.230,00 EUR)</w:t>
      </w:r>
    </w:p>
    <w:p w14:paraId="31DB44B2" w14:textId="77777777" w:rsidR="00643C17" w:rsidRPr="003421A7" w:rsidRDefault="00643C17" w:rsidP="003421A7">
      <w:pPr>
        <w:spacing w:line="259" w:lineRule="auto"/>
        <w:ind w:firstLine="708"/>
        <w:jc w:val="both"/>
        <w:rPr>
          <w:rFonts w:ascii="Arial" w:hAnsi="Arial" w:cs="Arial"/>
          <w:sz w:val="22"/>
          <w:szCs w:val="22"/>
        </w:rPr>
      </w:pPr>
      <w:r w:rsidRPr="003421A7">
        <w:rPr>
          <w:rFonts w:ascii="Arial" w:hAnsi="Arial" w:cs="Arial"/>
          <w:sz w:val="22"/>
          <w:szCs w:val="22"/>
        </w:rPr>
        <w:t>Umanjenja se odnose na stavke: usluge tekućeg i investicijskog održavanja (iznos 5.000,00 EUR sa izvora općih prihoda), održavanja plaža (iznos 10.000,00 EUR sa izvora komunalne naknade) i redovno održavanje staza, stepenica i ograda na javnim površinama (iznos 5.000,00 sa izvora komunalne naknade)</w:t>
      </w:r>
    </w:p>
    <w:p w14:paraId="43E731D0" w14:textId="77777777" w:rsidR="00643C17" w:rsidRPr="003421A7" w:rsidRDefault="00643C17" w:rsidP="003421A7">
      <w:pPr>
        <w:spacing w:line="259" w:lineRule="auto"/>
        <w:ind w:firstLine="708"/>
        <w:jc w:val="both"/>
        <w:rPr>
          <w:rFonts w:ascii="Arial" w:hAnsi="Arial" w:cs="Arial"/>
          <w:sz w:val="22"/>
          <w:szCs w:val="22"/>
        </w:rPr>
      </w:pPr>
    </w:p>
    <w:p w14:paraId="176EC78A"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Aktivnost A400014</w:t>
      </w:r>
    </w:p>
    <w:p w14:paraId="0FE9BDD8"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Održavanje građevina javne odvodnje oborinskih voda (umanjenje 31.000,00 EUR)</w:t>
      </w:r>
    </w:p>
    <w:p w14:paraId="1524D09A" w14:textId="77777777" w:rsidR="00643C17" w:rsidRPr="003421A7" w:rsidRDefault="00643C17" w:rsidP="003421A7">
      <w:pPr>
        <w:spacing w:line="259" w:lineRule="auto"/>
        <w:ind w:firstLine="708"/>
        <w:jc w:val="both"/>
        <w:rPr>
          <w:rFonts w:ascii="Arial" w:hAnsi="Arial" w:cs="Arial"/>
          <w:sz w:val="22"/>
          <w:szCs w:val="22"/>
        </w:rPr>
      </w:pPr>
      <w:r w:rsidRPr="003421A7">
        <w:rPr>
          <w:rFonts w:ascii="Arial" w:hAnsi="Arial" w:cs="Arial"/>
          <w:sz w:val="22"/>
          <w:szCs w:val="22"/>
        </w:rPr>
        <w:t>Umanjenja se odnose na stavke: održavanje odvodnje oborinskih voda (iznos 15.000,00 EUR sa izvora komunalne naknade). Planirane aktivnosti prebacuju se u plan i proračun za 2025. godinu.</w:t>
      </w:r>
    </w:p>
    <w:p w14:paraId="40636236" w14:textId="77777777" w:rsidR="00643C17" w:rsidRPr="003421A7" w:rsidRDefault="00643C17" w:rsidP="003421A7">
      <w:pPr>
        <w:spacing w:line="259" w:lineRule="auto"/>
        <w:ind w:firstLine="708"/>
        <w:jc w:val="both"/>
        <w:rPr>
          <w:rFonts w:ascii="Arial" w:hAnsi="Arial" w:cs="Arial"/>
          <w:sz w:val="22"/>
          <w:szCs w:val="22"/>
        </w:rPr>
      </w:pPr>
    </w:p>
    <w:p w14:paraId="3FBB8949"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Aktivnost A400015</w:t>
      </w:r>
    </w:p>
    <w:p w14:paraId="188E7CEE"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Održavanje javnih zelenih površina (uvećanje 47.000,00 EUR)</w:t>
      </w:r>
    </w:p>
    <w:p w14:paraId="2D5B6DE9" w14:textId="77777777" w:rsidR="00643C17" w:rsidRPr="003421A7" w:rsidRDefault="00643C17" w:rsidP="003421A7">
      <w:pPr>
        <w:spacing w:line="259" w:lineRule="auto"/>
        <w:ind w:firstLine="708"/>
        <w:jc w:val="both"/>
        <w:rPr>
          <w:rFonts w:ascii="Arial" w:hAnsi="Arial" w:cs="Arial"/>
          <w:sz w:val="22"/>
          <w:szCs w:val="22"/>
        </w:rPr>
      </w:pPr>
      <w:r w:rsidRPr="003421A7">
        <w:rPr>
          <w:rFonts w:ascii="Arial" w:hAnsi="Arial" w:cs="Arial"/>
          <w:sz w:val="22"/>
          <w:szCs w:val="22"/>
        </w:rPr>
        <w:t>Unutar aktivnosti uvećana su sredstva za održavanje i nabavu urbane opreme (iznos 27.000,00 EUR sa izvora komunalne naknade), i sanaciju divljih i postojećih deponija (iznos 20.000,00 EUR sa izvora komunalne naknade).</w:t>
      </w:r>
    </w:p>
    <w:p w14:paraId="27944702" w14:textId="77777777" w:rsidR="00643C17" w:rsidRPr="003421A7" w:rsidRDefault="00643C17" w:rsidP="003421A7">
      <w:pPr>
        <w:spacing w:line="259" w:lineRule="auto"/>
        <w:ind w:firstLine="708"/>
        <w:jc w:val="both"/>
        <w:rPr>
          <w:rFonts w:ascii="Arial" w:hAnsi="Arial" w:cs="Arial"/>
          <w:sz w:val="22"/>
          <w:szCs w:val="22"/>
        </w:rPr>
      </w:pPr>
    </w:p>
    <w:p w14:paraId="63566808"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Aktivnost A400018</w:t>
      </w:r>
    </w:p>
    <w:p w14:paraId="04E1F245"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Održavanje čistoće javnih površina (uvećanje 13.000,00 EUR)</w:t>
      </w:r>
    </w:p>
    <w:p w14:paraId="6B18021A" w14:textId="77777777" w:rsidR="00643C17" w:rsidRPr="003421A7" w:rsidRDefault="00643C17" w:rsidP="003421A7">
      <w:pPr>
        <w:spacing w:line="259" w:lineRule="auto"/>
        <w:ind w:firstLine="708"/>
        <w:jc w:val="both"/>
        <w:rPr>
          <w:rFonts w:ascii="Arial" w:hAnsi="Arial" w:cs="Arial"/>
          <w:sz w:val="22"/>
          <w:szCs w:val="22"/>
        </w:rPr>
      </w:pPr>
      <w:r w:rsidRPr="003421A7">
        <w:rPr>
          <w:rFonts w:ascii="Arial" w:hAnsi="Arial" w:cs="Arial"/>
          <w:sz w:val="22"/>
          <w:szCs w:val="22"/>
        </w:rPr>
        <w:t>Unutar aktivnosti uvećana su sredstva za održavanje i nabavu urbane opreme (iznos 13.000,00 EUR sa izvora općih prihoda).</w:t>
      </w:r>
    </w:p>
    <w:p w14:paraId="131592C3" w14:textId="77777777" w:rsidR="00643C17" w:rsidRPr="003421A7" w:rsidRDefault="00643C17" w:rsidP="003421A7">
      <w:pPr>
        <w:spacing w:line="259" w:lineRule="auto"/>
        <w:ind w:firstLine="708"/>
        <w:jc w:val="both"/>
        <w:rPr>
          <w:rFonts w:ascii="Arial" w:hAnsi="Arial" w:cs="Arial"/>
          <w:sz w:val="22"/>
          <w:szCs w:val="22"/>
        </w:rPr>
      </w:pPr>
    </w:p>
    <w:p w14:paraId="3DAC0B4C"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Aktivnost A400019</w:t>
      </w:r>
    </w:p>
    <w:p w14:paraId="0C3A2EE4"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Održavanje javne rasvjete i potrošnja električne energije (uvećanje 35.000,00 EUR)</w:t>
      </w:r>
    </w:p>
    <w:p w14:paraId="2F2590DC" w14:textId="77777777" w:rsidR="00643C17" w:rsidRPr="003421A7" w:rsidRDefault="00643C17" w:rsidP="003421A7">
      <w:pPr>
        <w:spacing w:line="259" w:lineRule="auto"/>
        <w:ind w:firstLine="708"/>
        <w:jc w:val="both"/>
        <w:rPr>
          <w:rFonts w:ascii="Arial" w:hAnsi="Arial" w:cs="Arial"/>
          <w:sz w:val="22"/>
          <w:szCs w:val="22"/>
        </w:rPr>
      </w:pPr>
      <w:r w:rsidRPr="003421A7">
        <w:rPr>
          <w:rFonts w:ascii="Arial" w:hAnsi="Arial" w:cs="Arial"/>
          <w:sz w:val="22"/>
          <w:szCs w:val="22"/>
        </w:rPr>
        <w:t>Uvećanja se odnose na stavke: troškovi održavanja javne rasvjete (iznos 5.000,00 EUR sa izvora komunalne naknade) i troškovi javne rasvjete (iznos 30.000,00 EUR sa izvora komunalne naknade).</w:t>
      </w:r>
    </w:p>
    <w:p w14:paraId="4F330BF5" w14:textId="77777777" w:rsidR="00643C17" w:rsidRPr="003421A7" w:rsidRDefault="00643C17" w:rsidP="003421A7">
      <w:pPr>
        <w:spacing w:line="259" w:lineRule="auto"/>
        <w:ind w:firstLine="708"/>
        <w:jc w:val="both"/>
        <w:rPr>
          <w:rFonts w:ascii="Arial" w:hAnsi="Arial" w:cs="Arial"/>
          <w:sz w:val="22"/>
          <w:szCs w:val="22"/>
        </w:rPr>
      </w:pPr>
    </w:p>
    <w:p w14:paraId="745E8D25"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Aktivnost A400020</w:t>
      </w:r>
    </w:p>
    <w:p w14:paraId="6A59A7CB"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Održavanje ostale komunalne infrastrukture (umanjenje 15.000,00 EUR)</w:t>
      </w:r>
    </w:p>
    <w:p w14:paraId="0C87118F" w14:textId="77777777" w:rsidR="00643C17" w:rsidRPr="003421A7" w:rsidRDefault="00643C17" w:rsidP="003421A7">
      <w:pPr>
        <w:spacing w:line="259" w:lineRule="auto"/>
        <w:ind w:firstLine="708"/>
        <w:jc w:val="both"/>
        <w:rPr>
          <w:rFonts w:ascii="Arial" w:hAnsi="Arial" w:cs="Arial"/>
          <w:sz w:val="22"/>
          <w:szCs w:val="22"/>
        </w:rPr>
      </w:pPr>
      <w:r w:rsidRPr="003421A7">
        <w:rPr>
          <w:rFonts w:ascii="Arial" w:hAnsi="Arial" w:cs="Arial"/>
          <w:sz w:val="22"/>
          <w:szCs w:val="22"/>
        </w:rPr>
        <w:lastRenderedPageBreak/>
        <w:t>Unutar aktivnosti preraspoređena su sredstva po stavkama prema stvarnim potrebama. Umanjenje se u najvećem iznosu odnosi na stavku: ostale usluge na javnim površinama  i održavanje ostale komunalne infrastrukture (iznos 20.000,00 EUR sa izvora komunalne naknade) i izrada tehničke dokumentacije i elaborata (iznos 7.000,00 EUR sa izvora komunalne naknade)</w:t>
      </w:r>
    </w:p>
    <w:p w14:paraId="34B94343" w14:textId="77777777" w:rsidR="00643C17" w:rsidRPr="003421A7" w:rsidRDefault="00643C17" w:rsidP="003421A7">
      <w:pPr>
        <w:spacing w:line="259" w:lineRule="auto"/>
        <w:ind w:firstLine="708"/>
        <w:jc w:val="both"/>
        <w:rPr>
          <w:rFonts w:ascii="Arial" w:hAnsi="Arial" w:cs="Arial"/>
          <w:sz w:val="22"/>
          <w:szCs w:val="22"/>
        </w:rPr>
      </w:pPr>
    </w:p>
    <w:p w14:paraId="4256308A" w14:textId="77777777" w:rsidR="00643C17" w:rsidRPr="003421A7" w:rsidRDefault="00643C17" w:rsidP="003421A7">
      <w:pPr>
        <w:spacing w:line="259" w:lineRule="auto"/>
        <w:ind w:firstLine="708"/>
        <w:jc w:val="both"/>
        <w:rPr>
          <w:rFonts w:ascii="Arial" w:hAnsi="Arial" w:cs="Arial"/>
          <w:sz w:val="22"/>
          <w:szCs w:val="22"/>
        </w:rPr>
      </w:pPr>
    </w:p>
    <w:p w14:paraId="7F90F7BE" w14:textId="77777777" w:rsidR="00643C17" w:rsidRPr="003421A7" w:rsidRDefault="00643C17" w:rsidP="003421A7">
      <w:pPr>
        <w:spacing w:line="259" w:lineRule="auto"/>
        <w:ind w:firstLine="708"/>
        <w:jc w:val="both"/>
        <w:rPr>
          <w:rFonts w:ascii="Arial" w:hAnsi="Arial" w:cs="Arial"/>
          <w:sz w:val="22"/>
          <w:szCs w:val="22"/>
        </w:rPr>
      </w:pPr>
      <w:r w:rsidRPr="003421A7">
        <w:rPr>
          <w:rFonts w:ascii="Arial" w:hAnsi="Arial" w:cs="Arial"/>
          <w:b/>
          <w:bCs/>
          <w:sz w:val="22"/>
          <w:szCs w:val="22"/>
        </w:rPr>
        <w:t xml:space="preserve">Program Održavanje stambenih i poslovnih prostora i dr. </w:t>
      </w:r>
      <w:r w:rsidRPr="003421A7">
        <w:rPr>
          <w:rFonts w:ascii="Arial" w:hAnsi="Arial" w:cs="Arial"/>
          <w:sz w:val="22"/>
          <w:szCs w:val="22"/>
        </w:rPr>
        <w:t>uvećao se za 82.163.00 EUR ili 14,91% planiranog iznosa.</w:t>
      </w:r>
    </w:p>
    <w:p w14:paraId="777D3D84" w14:textId="77777777" w:rsidR="00643C17" w:rsidRPr="003421A7" w:rsidRDefault="00643C17" w:rsidP="003421A7">
      <w:pPr>
        <w:spacing w:line="259" w:lineRule="auto"/>
        <w:ind w:firstLine="708"/>
        <w:jc w:val="both"/>
        <w:rPr>
          <w:rFonts w:ascii="Arial" w:hAnsi="Arial" w:cs="Arial"/>
          <w:sz w:val="22"/>
          <w:szCs w:val="22"/>
        </w:rPr>
      </w:pPr>
    </w:p>
    <w:p w14:paraId="1A158ACE"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Aktivnost A400001</w:t>
      </w:r>
    </w:p>
    <w:p w14:paraId="477AB3A3"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Održavanje stambenih prostora (uvećanje 11.500,00 EUR)</w:t>
      </w:r>
    </w:p>
    <w:p w14:paraId="494A53E6" w14:textId="77777777" w:rsidR="00643C17" w:rsidRPr="003421A7" w:rsidRDefault="00643C17" w:rsidP="003421A7">
      <w:pPr>
        <w:spacing w:line="259" w:lineRule="auto"/>
        <w:ind w:firstLine="708"/>
        <w:jc w:val="both"/>
        <w:rPr>
          <w:rFonts w:ascii="Arial" w:hAnsi="Arial" w:cs="Arial"/>
          <w:sz w:val="22"/>
          <w:szCs w:val="22"/>
        </w:rPr>
      </w:pPr>
      <w:r w:rsidRPr="003421A7">
        <w:rPr>
          <w:rFonts w:ascii="Arial" w:hAnsi="Arial" w:cs="Arial"/>
          <w:sz w:val="22"/>
          <w:szCs w:val="22"/>
        </w:rPr>
        <w:t xml:space="preserve">Unutar aktivnosti uvećana su sredstva za troškove pričuve stanova (iznos 11.500,00 EUR sa izvora općih prihoda). </w:t>
      </w:r>
    </w:p>
    <w:p w14:paraId="438176AC" w14:textId="77777777" w:rsidR="00643C17" w:rsidRPr="003421A7" w:rsidRDefault="00643C17" w:rsidP="003421A7">
      <w:pPr>
        <w:spacing w:line="259" w:lineRule="auto"/>
        <w:ind w:firstLine="708"/>
        <w:jc w:val="both"/>
        <w:rPr>
          <w:rFonts w:ascii="Arial" w:hAnsi="Arial" w:cs="Arial"/>
          <w:i/>
          <w:iCs/>
          <w:sz w:val="22"/>
          <w:szCs w:val="22"/>
        </w:rPr>
      </w:pPr>
    </w:p>
    <w:p w14:paraId="58B26F56" w14:textId="77777777" w:rsidR="00643C17" w:rsidRPr="003421A7" w:rsidRDefault="00643C17" w:rsidP="003421A7">
      <w:pPr>
        <w:spacing w:line="259" w:lineRule="auto"/>
        <w:ind w:firstLine="708"/>
        <w:jc w:val="both"/>
        <w:rPr>
          <w:rFonts w:ascii="Arial" w:hAnsi="Arial" w:cs="Arial"/>
          <w:i/>
          <w:iCs/>
          <w:sz w:val="22"/>
          <w:szCs w:val="22"/>
        </w:rPr>
      </w:pPr>
      <w:bookmarkStart w:id="35" w:name="_Hlk151038844"/>
      <w:r w:rsidRPr="003421A7">
        <w:rPr>
          <w:rFonts w:ascii="Arial" w:hAnsi="Arial" w:cs="Arial"/>
          <w:i/>
          <w:iCs/>
          <w:sz w:val="22"/>
          <w:szCs w:val="22"/>
        </w:rPr>
        <w:t>Aktivnost A400002</w:t>
      </w:r>
    </w:p>
    <w:p w14:paraId="506621B0" w14:textId="77777777" w:rsidR="00643C17" w:rsidRPr="003421A7" w:rsidRDefault="00643C17" w:rsidP="003421A7">
      <w:pPr>
        <w:spacing w:line="259" w:lineRule="auto"/>
        <w:ind w:firstLine="708"/>
        <w:jc w:val="both"/>
        <w:rPr>
          <w:rFonts w:ascii="Arial" w:hAnsi="Arial" w:cs="Arial"/>
          <w:sz w:val="22"/>
          <w:szCs w:val="22"/>
        </w:rPr>
      </w:pPr>
      <w:r w:rsidRPr="003421A7">
        <w:rPr>
          <w:rFonts w:ascii="Arial" w:hAnsi="Arial" w:cs="Arial"/>
          <w:i/>
          <w:iCs/>
          <w:sz w:val="22"/>
          <w:szCs w:val="22"/>
        </w:rPr>
        <w:t>Održavanje poslovnih prostora, štandova i privremenih priključaka (uvećanje 1.500,00 EUR)</w:t>
      </w:r>
      <w:r w:rsidRPr="003421A7">
        <w:rPr>
          <w:rFonts w:ascii="Arial" w:hAnsi="Arial" w:cs="Arial"/>
          <w:sz w:val="22"/>
          <w:szCs w:val="22"/>
        </w:rPr>
        <w:t xml:space="preserve"> </w:t>
      </w:r>
    </w:p>
    <w:p w14:paraId="792748E8"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sz w:val="22"/>
          <w:szCs w:val="22"/>
        </w:rPr>
        <w:t xml:space="preserve">Unutar aktivnosti uvećana su sredstva za troškove pričuve (iznos 16.500,00 EUR sa izvora općih prihoda). </w:t>
      </w:r>
    </w:p>
    <w:p w14:paraId="7324E2AA" w14:textId="77777777" w:rsidR="00643C17" w:rsidRPr="003421A7" w:rsidRDefault="00643C17" w:rsidP="003421A7">
      <w:pPr>
        <w:spacing w:line="259" w:lineRule="auto"/>
        <w:ind w:firstLine="708"/>
        <w:jc w:val="both"/>
        <w:rPr>
          <w:rFonts w:ascii="Arial" w:hAnsi="Arial" w:cs="Arial"/>
          <w:sz w:val="22"/>
          <w:szCs w:val="22"/>
        </w:rPr>
      </w:pPr>
      <w:r w:rsidRPr="003421A7">
        <w:rPr>
          <w:rFonts w:ascii="Arial" w:hAnsi="Arial" w:cs="Arial"/>
          <w:sz w:val="22"/>
          <w:szCs w:val="22"/>
        </w:rPr>
        <w:t xml:space="preserve">Unutar aktivnosti umanjena su sredstva za troškove priključaka poslovnih prostora (iznos 10.000,00 EUR sa izvora općih prihoda) i troškove održavanja poslovnih prostora (iznos 5.000,00 EUR sa izvora općih prihoda). U sklopu aktivnosti provest će se postupak </w:t>
      </w:r>
      <w:proofErr w:type="spellStart"/>
      <w:r w:rsidRPr="003421A7">
        <w:rPr>
          <w:rFonts w:ascii="Arial" w:hAnsi="Arial" w:cs="Arial"/>
          <w:sz w:val="22"/>
          <w:szCs w:val="22"/>
        </w:rPr>
        <w:t>etažiranja</w:t>
      </w:r>
      <w:proofErr w:type="spellEnd"/>
      <w:r w:rsidRPr="003421A7">
        <w:rPr>
          <w:rFonts w:ascii="Arial" w:hAnsi="Arial" w:cs="Arial"/>
          <w:sz w:val="22"/>
          <w:szCs w:val="22"/>
        </w:rPr>
        <w:t xml:space="preserve"> zgrade RIŠ-a i zgrade </w:t>
      </w:r>
      <w:proofErr w:type="spellStart"/>
      <w:r w:rsidRPr="003421A7">
        <w:rPr>
          <w:rFonts w:ascii="Arial" w:hAnsi="Arial" w:cs="Arial"/>
          <w:sz w:val="22"/>
          <w:szCs w:val="22"/>
        </w:rPr>
        <w:t>Katuri</w:t>
      </w:r>
      <w:proofErr w:type="spellEnd"/>
      <w:r w:rsidRPr="003421A7">
        <w:rPr>
          <w:rFonts w:ascii="Arial" w:hAnsi="Arial" w:cs="Arial"/>
          <w:sz w:val="22"/>
          <w:szCs w:val="22"/>
        </w:rPr>
        <w:t xml:space="preserve"> 17 („samački“).</w:t>
      </w:r>
    </w:p>
    <w:bookmarkEnd w:id="35"/>
    <w:p w14:paraId="691893A9" w14:textId="77777777" w:rsidR="00643C17" w:rsidRPr="003421A7" w:rsidRDefault="00643C17" w:rsidP="003421A7">
      <w:pPr>
        <w:spacing w:line="259" w:lineRule="auto"/>
        <w:ind w:firstLine="708"/>
        <w:jc w:val="both"/>
        <w:rPr>
          <w:rFonts w:ascii="Arial" w:hAnsi="Arial" w:cs="Arial"/>
          <w:sz w:val="22"/>
          <w:szCs w:val="22"/>
        </w:rPr>
      </w:pPr>
    </w:p>
    <w:p w14:paraId="6EE596A1"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Aktivnost A400003</w:t>
      </w:r>
    </w:p>
    <w:p w14:paraId="78D08F54"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Mjere preventivne zaštite i veterinarske usluge (uvećanje 7.000,00 EUR)</w:t>
      </w:r>
    </w:p>
    <w:p w14:paraId="741778A2" w14:textId="77777777" w:rsidR="00643C17" w:rsidRPr="003421A7" w:rsidRDefault="00643C17" w:rsidP="003421A7">
      <w:pPr>
        <w:spacing w:line="259" w:lineRule="auto"/>
        <w:ind w:firstLine="708"/>
        <w:jc w:val="both"/>
        <w:rPr>
          <w:rFonts w:ascii="Arial" w:hAnsi="Arial" w:cs="Arial"/>
          <w:sz w:val="22"/>
          <w:szCs w:val="22"/>
        </w:rPr>
      </w:pPr>
      <w:r w:rsidRPr="003421A7">
        <w:rPr>
          <w:rFonts w:ascii="Arial" w:hAnsi="Arial" w:cs="Arial"/>
          <w:sz w:val="22"/>
          <w:szCs w:val="22"/>
        </w:rPr>
        <w:t>Unutar aktivnosti uvećana su sredstva za zdravstvene i veterinarske usluge (iznos 10.000,00 EUR sa izvora općih prihoda).</w:t>
      </w:r>
    </w:p>
    <w:p w14:paraId="437BC714" w14:textId="77777777" w:rsidR="00643C17" w:rsidRPr="003421A7" w:rsidRDefault="00643C17" w:rsidP="003421A7">
      <w:pPr>
        <w:spacing w:line="259" w:lineRule="auto"/>
        <w:ind w:firstLine="708"/>
        <w:jc w:val="both"/>
        <w:rPr>
          <w:rFonts w:ascii="Arial" w:hAnsi="Arial" w:cs="Arial"/>
          <w:sz w:val="22"/>
          <w:szCs w:val="22"/>
        </w:rPr>
      </w:pPr>
      <w:r w:rsidRPr="003421A7">
        <w:rPr>
          <w:rFonts w:ascii="Arial" w:hAnsi="Arial" w:cs="Arial"/>
          <w:sz w:val="22"/>
          <w:szCs w:val="22"/>
        </w:rPr>
        <w:t>Unutar aktivnosti umanjena su sredstva za troškove higijenskog servisa (iznos 3.000,00 EUR sa izvora općih prihoda)</w:t>
      </w:r>
    </w:p>
    <w:p w14:paraId="7E911737" w14:textId="77777777" w:rsidR="00643C17" w:rsidRPr="003421A7" w:rsidRDefault="00643C17" w:rsidP="003421A7">
      <w:pPr>
        <w:spacing w:line="259" w:lineRule="auto"/>
        <w:ind w:firstLine="708"/>
        <w:jc w:val="both"/>
        <w:rPr>
          <w:rFonts w:ascii="Arial" w:hAnsi="Arial" w:cs="Arial"/>
          <w:sz w:val="22"/>
          <w:szCs w:val="22"/>
        </w:rPr>
      </w:pPr>
    </w:p>
    <w:p w14:paraId="3D47B008"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Aktivnost A400005</w:t>
      </w:r>
    </w:p>
    <w:p w14:paraId="0238E4FF"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Usluge pomoći izvršenja poslova komunalnog i prometnog redarstva (uvećanje 8.800,00 EUR)</w:t>
      </w:r>
    </w:p>
    <w:p w14:paraId="5BB5C60E" w14:textId="77777777" w:rsidR="00643C17" w:rsidRPr="003421A7" w:rsidRDefault="00643C17" w:rsidP="003421A7">
      <w:pPr>
        <w:spacing w:line="259" w:lineRule="auto"/>
        <w:ind w:firstLine="708"/>
        <w:jc w:val="both"/>
        <w:rPr>
          <w:rFonts w:ascii="Arial" w:hAnsi="Arial" w:cs="Arial"/>
          <w:sz w:val="22"/>
          <w:szCs w:val="22"/>
        </w:rPr>
      </w:pPr>
      <w:r w:rsidRPr="003421A7">
        <w:rPr>
          <w:rFonts w:ascii="Arial" w:hAnsi="Arial" w:cs="Arial"/>
          <w:sz w:val="22"/>
          <w:szCs w:val="22"/>
        </w:rPr>
        <w:t>Unutar aktivnosti uvećana su sredstva za usluge najma cloud sustava zbog povećanja cijene usluge, te zbog potreba za grafičkim i tiskarskim uslugama (izrada znakova upozorenja i zabrana)</w:t>
      </w:r>
    </w:p>
    <w:p w14:paraId="677BE280" w14:textId="77777777" w:rsidR="00643C17" w:rsidRPr="003421A7" w:rsidRDefault="00643C17" w:rsidP="003421A7">
      <w:pPr>
        <w:spacing w:line="259" w:lineRule="auto"/>
        <w:ind w:firstLine="708"/>
        <w:jc w:val="both"/>
        <w:rPr>
          <w:rFonts w:ascii="Arial" w:hAnsi="Arial" w:cs="Arial"/>
          <w:sz w:val="22"/>
          <w:szCs w:val="22"/>
        </w:rPr>
      </w:pPr>
    </w:p>
    <w:p w14:paraId="16AD2A0F"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Aktivnost A400008</w:t>
      </w:r>
    </w:p>
    <w:p w14:paraId="0C3347F6"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Održavanje igrališta (uvećanje 40.363,00 EUR)</w:t>
      </w:r>
    </w:p>
    <w:p w14:paraId="265C58EC" w14:textId="77777777" w:rsidR="00643C17" w:rsidRPr="003421A7" w:rsidRDefault="00643C17" w:rsidP="003421A7">
      <w:pPr>
        <w:spacing w:line="259" w:lineRule="auto"/>
        <w:ind w:firstLine="708"/>
        <w:jc w:val="both"/>
        <w:rPr>
          <w:rFonts w:ascii="Arial" w:hAnsi="Arial" w:cs="Arial"/>
          <w:sz w:val="22"/>
          <w:szCs w:val="22"/>
        </w:rPr>
      </w:pPr>
      <w:r w:rsidRPr="003421A7">
        <w:rPr>
          <w:rFonts w:ascii="Arial" w:hAnsi="Arial" w:cs="Arial"/>
          <w:sz w:val="22"/>
          <w:szCs w:val="22"/>
        </w:rPr>
        <w:t xml:space="preserve">Unutar aktivnosti uvećana su sredstva za potrebe održavanja sportskih igrališta i objekata (vrata na stadionu NK Rudar, zalijevanje nogometnih igrališta, zamjena sjedalica na tribinama, zamjena golova na </w:t>
      </w:r>
      <w:proofErr w:type="spellStart"/>
      <w:r w:rsidRPr="003421A7">
        <w:rPr>
          <w:rFonts w:ascii="Arial" w:hAnsi="Arial" w:cs="Arial"/>
          <w:sz w:val="22"/>
          <w:szCs w:val="22"/>
        </w:rPr>
        <w:t>Đilu</w:t>
      </w:r>
      <w:proofErr w:type="spellEnd"/>
      <w:r w:rsidRPr="003421A7">
        <w:rPr>
          <w:rFonts w:ascii="Arial" w:hAnsi="Arial" w:cs="Arial"/>
          <w:sz w:val="22"/>
          <w:szCs w:val="22"/>
        </w:rPr>
        <w:t>, …)</w:t>
      </w:r>
    </w:p>
    <w:p w14:paraId="3FCC242F" w14:textId="77777777" w:rsidR="00643C17" w:rsidRPr="003421A7" w:rsidRDefault="00643C17" w:rsidP="003421A7">
      <w:pPr>
        <w:spacing w:line="259" w:lineRule="auto"/>
        <w:ind w:firstLine="708"/>
        <w:jc w:val="both"/>
        <w:rPr>
          <w:rFonts w:ascii="Arial" w:hAnsi="Arial" w:cs="Arial"/>
          <w:sz w:val="22"/>
          <w:szCs w:val="22"/>
        </w:rPr>
      </w:pPr>
    </w:p>
    <w:p w14:paraId="1594FFBC"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Aktivnost A400009</w:t>
      </w:r>
    </w:p>
    <w:p w14:paraId="10238EEA"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Održavanje sportske dvorane (uvećanje 13.000,00 EUR)</w:t>
      </w:r>
    </w:p>
    <w:p w14:paraId="3F2E62A7" w14:textId="77777777" w:rsidR="00643C17" w:rsidRPr="003421A7" w:rsidRDefault="00643C17" w:rsidP="003421A7">
      <w:pPr>
        <w:spacing w:line="259" w:lineRule="auto"/>
        <w:ind w:firstLine="708"/>
        <w:jc w:val="both"/>
        <w:rPr>
          <w:rFonts w:ascii="Arial" w:hAnsi="Arial" w:cs="Arial"/>
          <w:sz w:val="22"/>
          <w:szCs w:val="22"/>
        </w:rPr>
      </w:pPr>
      <w:r w:rsidRPr="003421A7">
        <w:rPr>
          <w:rFonts w:ascii="Arial" w:hAnsi="Arial" w:cs="Arial"/>
          <w:sz w:val="22"/>
          <w:szCs w:val="22"/>
        </w:rPr>
        <w:t>Unutar aktivnosti uvećana su sredstva za potrebe održavanja sportske dvorane (zamjena reflektora, zamjena parketa cca 100 m2, ….).</w:t>
      </w:r>
    </w:p>
    <w:p w14:paraId="718B6A9F" w14:textId="77777777" w:rsidR="00643C17" w:rsidRPr="003421A7" w:rsidRDefault="00643C17" w:rsidP="003421A7">
      <w:pPr>
        <w:spacing w:line="259" w:lineRule="auto"/>
        <w:ind w:firstLine="708"/>
        <w:jc w:val="both"/>
        <w:rPr>
          <w:rFonts w:ascii="Arial" w:hAnsi="Arial" w:cs="Arial"/>
          <w:sz w:val="22"/>
          <w:szCs w:val="22"/>
        </w:rPr>
      </w:pPr>
    </w:p>
    <w:p w14:paraId="0C863A52" w14:textId="77777777" w:rsidR="00643C17" w:rsidRPr="003421A7" w:rsidRDefault="00643C17" w:rsidP="003421A7">
      <w:pPr>
        <w:spacing w:line="259" w:lineRule="auto"/>
        <w:ind w:firstLine="708"/>
        <w:jc w:val="both"/>
        <w:rPr>
          <w:rFonts w:ascii="Arial" w:hAnsi="Arial" w:cs="Arial"/>
          <w:sz w:val="22"/>
          <w:szCs w:val="22"/>
        </w:rPr>
      </w:pPr>
    </w:p>
    <w:bookmarkEnd w:id="34"/>
    <w:p w14:paraId="14780647" w14:textId="77777777" w:rsidR="00643C17" w:rsidRPr="003421A7" w:rsidRDefault="00643C17" w:rsidP="003421A7">
      <w:pPr>
        <w:spacing w:line="259" w:lineRule="auto"/>
        <w:ind w:firstLine="708"/>
        <w:jc w:val="both"/>
        <w:rPr>
          <w:rFonts w:ascii="Arial" w:hAnsi="Arial" w:cs="Arial"/>
          <w:sz w:val="22"/>
          <w:szCs w:val="22"/>
        </w:rPr>
      </w:pPr>
      <w:r w:rsidRPr="003421A7">
        <w:rPr>
          <w:rFonts w:ascii="Arial" w:hAnsi="Arial" w:cs="Arial"/>
          <w:b/>
          <w:bCs/>
          <w:sz w:val="22"/>
          <w:szCs w:val="22"/>
        </w:rPr>
        <w:lastRenderedPageBreak/>
        <w:t xml:space="preserve">Program Oprema komunalne infrastrukture </w:t>
      </w:r>
      <w:r w:rsidRPr="003421A7">
        <w:rPr>
          <w:rFonts w:ascii="Arial" w:hAnsi="Arial" w:cs="Arial"/>
          <w:sz w:val="22"/>
          <w:szCs w:val="22"/>
        </w:rPr>
        <w:t>uvećao se za 70.994.00 EUR ili 188,69% planiranog iznosa.</w:t>
      </w:r>
    </w:p>
    <w:p w14:paraId="12181A63" w14:textId="77777777" w:rsidR="00643C17" w:rsidRPr="003421A7" w:rsidRDefault="00643C17" w:rsidP="003421A7">
      <w:pPr>
        <w:spacing w:line="259" w:lineRule="auto"/>
        <w:ind w:firstLine="708"/>
        <w:jc w:val="both"/>
        <w:rPr>
          <w:rFonts w:ascii="Arial" w:hAnsi="Arial" w:cs="Arial"/>
          <w:sz w:val="22"/>
          <w:szCs w:val="22"/>
        </w:rPr>
      </w:pPr>
    </w:p>
    <w:p w14:paraId="41B90F99"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Kapitalni projekt  K400002</w:t>
      </w:r>
    </w:p>
    <w:p w14:paraId="73982CEE"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Izgradnja komunalne infrastrukture (uvećanje 7.344,00 EUR)</w:t>
      </w:r>
    </w:p>
    <w:p w14:paraId="248DB381" w14:textId="77777777" w:rsidR="00643C17" w:rsidRPr="003421A7" w:rsidRDefault="00643C17" w:rsidP="003421A7">
      <w:pPr>
        <w:spacing w:line="259" w:lineRule="auto"/>
        <w:ind w:firstLine="708"/>
        <w:jc w:val="both"/>
        <w:rPr>
          <w:rFonts w:ascii="Arial" w:hAnsi="Arial" w:cs="Arial"/>
          <w:sz w:val="22"/>
          <w:szCs w:val="22"/>
        </w:rPr>
      </w:pPr>
      <w:r w:rsidRPr="003421A7">
        <w:rPr>
          <w:rFonts w:ascii="Arial" w:hAnsi="Arial" w:cs="Arial"/>
          <w:sz w:val="22"/>
          <w:szCs w:val="22"/>
        </w:rPr>
        <w:t xml:space="preserve">Unutar aktivnosti umanjuje se iznos pozicije </w:t>
      </w:r>
      <w:r w:rsidRPr="003421A7">
        <w:rPr>
          <w:rFonts w:ascii="Arial" w:hAnsi="Arial" w:cs="Arial"/>
          <w:i/>
          <w:iCs/>
          <w:sz w:val="22"/>
          <w:szCs w:val="22"/>
        </w:rPr>
        <w:t>Instalacija sunčane elektrane -</w:t>
      </w:r>
      <w:proofErr w:type="spellStart"/>
      <w:r w:rsidRPr="003421A7">
        <w:rPr>
          <w:rFonts w:ascii="Arial" w:hAnsi="Arial" w:cs="Arial"/>
          <w:i/>
          <w:iCs/>
          <w:sz w:val="22"/>
          <w:szCs w:val="22"/>
        </w:rPr>
        <w:t>Katuri</w:t>
      </w:r>
      <w:proofErr w:type="spellEnd"/>
      <w:r w:rsidRPr="003421A7">
        <w:rPr>
          <w:rFonts w:ascii="Arial" w:hAnsi="Arial" w:cs="Arial"/>
          <w:i/>
          <w:iCs/>
          <w:sz w:val="22"/>
          <w:szCs w:val="22"/>
        </w:rPr>
        <w:t xml:space="preserve"> 17 </w:t>
      </w:r>
      <w:r w:rsidRPr="003421A7">
        <w:rPr>
          <w:rFonts w:ascii="Arial" w:hAnsi="Arial" w:cs="Arial"/>
          <w:sz w:val="22"/>
          <w:szCs w:val="22"/>
        </w:rPr>
        <w:t xml:space="preserve">(prema stvarno utrošenim sredstvima), te se uvećava za iznos realiziranog projekta </w:t>
      </w:r>
      <w:r w:rsidRPr="003421A7">
        <w:rPr>
          <w:rFonts w:ascii="Arial" w:hAnsi="Arial" w:cs="Arial"/>
          <w:i/>
          <w:iCs/>
          <w:sz w:val="22"/>
          <w:szCs w:val="22"/>
        </w:rPr>
        <w:t xml:space="preserve">Rampa OSI -Trg </w:t>
      </w:r>
      <w:proofErr w:type="spellStart"/>
      <w:r w:rsidRPr="003421A7">
        <w:rPr>
          <w:rFonts w:ascii="Arial" w:hAnsi="Arial" w:cs="Arial"/>
          <w:i/>
          <w:iCs/>
          <w:sz w:val="22"/>
          <w:szCs w:val="22"/>
        </w:rPr>
        <w:t>Kature</w:t>
      </w:r>
      <w:proofErr w:type="spellEnd"/>
      <w:r w:rsidRPr="003421A7">
        <w:rPr>
          <w:rFonts w:ascii="Arial" w:hAnsi="Arial" w:cs="Arial"/>
          <w:i/>
          <w:iCs/>
          <w:sz w:val="22"/>
          <w:szCs w:val="22"/>
        </w:rPr>
        <w:t xml:space="preserve"> </w:t>
      </w:r>
      <w:r w:rsidRPr="003421A7">
        <w:rPr>
          <w:rFonts w:ascii="Arial" w:hAnsi="Arial" w:cs="Arial"/>
          <w:sz w:val="22"/>
          <w:szCs w:val="22"/>
        </w:rPr>
        <w:t>(iznos 15.644,00 EUR sa pozicija komunalne naknade i kapitalnih pomoći iz državnog proračuna)</w:t>
      </w:r>
    </w:p>
    <w:p w14:paraId="6B2C1AF3" w14:textId="77777777" w:rsidR="00643C17" w:rsidRPr="003421A7" w:rsidRDefault="00643C17" w:rsidP="003421A7">
      <w:pPr>
        <w:spacing w:line="259" w:lineRule="auto"/>
        <w:ind w:firstLine="708"/>
        <w:jc w:val="both"/>
        <w:rPr>
          <w:rFonts w:ascii="Arial" w:hAnsi="Arial" w:cs="Arial"/>
          <w:sz w:val="22"/>
          <w:szCs w:val="22"/>
        </w:rPr>
      </w:pPr>
      <w:bookmarkStart w:id="36" w:name="_Hlk168928763"/>
    </w:p>
    <w:bookmarkEnd w:id="36"/>
    <w:p w14:paraId="1612DA3C"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Tekući projekt  T400002</w:t>
      </w:r>
    </w:p>
    <w:p w14:paraId="6C4AF04F"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Projekt „Za naš vrtić mali, malo opreme nam fali“ (iznos 63.650,00 EUR)</w:t>
      </w:r>
    </w:p>
    <w:p w14:paraId="11F1EF9A" w14:textId="77777777" w:rsidR="00643C17" w:rsidRPr="003421A7" w:rsidRDefault="00643C17" w:rsidP="003421A7">
      <w:pPr>
        <w:spacing w:line="259" w:lineRule="auto"/>
        <w:ind w:firstLine="708"/>
        <w:jc w:val="both"/>
        <w:rPr>
          <w:rFonts w:ascii="Arial" w:hAnsi="Arial" w:cs="Arial"/>
          <w:sz w:val="22"/>
          <w:szCs w:val="22"/>
        </w:rPr>
      </w:pPr>
      <w:r w:rsidRPr="003421A7">
        <w:rPr>
          <w:rFonts w:ascii="Arial" w:hAnsi="Arial" w:cs="Arial"/>
          <w:sz w:val="22"/>
          <w:szCs w:val="22"/>
        </w:rPr>
        <w:t xml:space="preserve">Unutar projekta izvesti će se opremanje vrtića i uređenje vanjskog dvorišta centralnog vrtića </w:t>
      </w:r>
      <w:proofErr w:type="spellStart"/>
      <w:r w:rsidRPr="003421A7">
        <w:rPr>
          <w:rFonts w:ascii="Arial" w:hAnsi="Arial" w:cs="Arial"/>
          <w:sz w:val="22"/>
          <w:szCs w:val="22"/>
        </w:rPr>
        <w:t>Pjerina</w:t>
      </w:r>
      <w:proofErr w:type="spellEnd"/>
      <w:r w:rsidRPr="003421A7">
        <w:rPr>
          <w:rFonts w:ascii="Arial" w:hAnsi="Arial" w:cs="Arial"/>
          <w:sz w:val="22"/>
          <w:szCs w:val="22"/>
        </w:rPr>
        <w:t xml:space="preserve"> </w:t>
      </w:r>
      <w:proofErr w:type="spellStart"/>
      <w:r w:rsidRPr="003421A7">
        <w:rPr>
          <w:rFonts w:ascii="Arial" w:hAnsi="Arial" w:cs="Arial"/>
          <w:sz w:val="22"/>
          <w:szCs w:val="22"/>
        </w:rPr>
        <w:t>Verbanac</w:t>
      </w:r>
      <w:proofErr w:type="spellEnd"/>
      <w:r w:rsidRPr="003421A7">
        <w:rPr>
          <w:rFonts w:ascii="Arial" w:hAnsi="Arial" w:cs="Arial"/>
          <w:sz w:val="22"/>
          <w:szCs w:val="22"/>
        </w:rPr>
        <w:t xml:space="preserve"> (projekt se sufinancira 60% sredstvima tekućih i kapitalnih pomoći državnog proračuna)</w:t>
      </w:r>
    </w:p>
    <w:p w14:paraId="0981A5D0" w14:textId="77777777" w:rsidR="00643C17" w:rsidRDefault="00643C17" w:rsidP="003421A7">
      <w:pPr>
        <w:spacing w:line="259" w:lineRule="auto"/>
        <w:ind w:firstLine="708"/>
        <w:jc w:val="both"/>
        <w:rPr>
          <w:rFonts w:ascii="Arial" w:hAnsi="Arial" w:cs="Arial"/>
          <w:sz w:val="22"/>
          <w:szCs w:val="22"/>
        </w:rPr>
      </w:pPr>
    </w:p>
    <w:p w14:paraId="53A5A4B1" w14:textId="77777777" w:rsidR="003421A7" w:rsidRPr="003421A7" w:rsidRDefault="003421A7" w:rsidP="003421A7">
      <w:pPr>
        <w:spacing w:line="259" w:lineRule="auto"/>
        <w:ind w:firstLine="708"/>
        <w:jc w:val="both"/>
        <w:rPr>
          <w:rFonts w:ascii="Arial" w:hAnsi="Arial" w:cs="Arial"/>
          <w:sz w:val="22"/>
          <w:szCs w:val="22"/>
        </w:rPr>
      </w:pPr>
    </w:p>
    <w:p w14:paraId="4DC2DF40" w14:textId="77777777" w:rsidR="00643C17" w:rsidRPr="003421A7" w:rsidRDefault="00643C17" w:rsidP="003421A7">
      <w:pPr>
        <w:spacing w:line="259" w:lineRule="auto"/>
        <w:ind w:firstLine="708"/>
        <w:jc w:val="both"/>
        <w:rPr>
          <w:rFonts w:ascii="Arial" w:hAnsi="Arial" w:cs="Arial"/>
          <w:b/>
          <w:bCs/>
          <w:sz w:val="22"/>
          <w:szCs w:val="22"/>
        </w:rPr>
      </w:pPr>
      <w:r w:rsidRPr="003421A7">
        <w:rPr>
          <w:rFonts w:ascii="Arial" w:hAnsi="Arial" w:cs="Arial"/>
          <w:b/>
          <w:bCs/>
          <w:sz w:val="22"/>
          <w:szCs w:val="22"/>
        </w:rPr>
        <w:t xml:space="preserve">Program Zaštita okoliša </w:t>
      </w:r>
    </w:p>
    <w:p w14:paraId="47FB670D" w14:textId="77777777" w:rsidR="00643C17" w:rsidRPr="003421A7" w:rsidRDefault="00643C17" w:rsidP="003421A7">
      <w:pPr>
        <w:spacing w:line="259" w:lineRule="auto"/>
        <w:ind w:firstLine="708"/>
        <w:jc w:val="both"/>
        <w:rPr>
          <w:rFonts w:ascii="Arial" w:hAnsi="Arial" w:cs="Arial"/>
          <w:sz w:val="22"/>
          <w:szCs w:val="22"/>
        </w:rPr>
      </w:pPr>
    </w:p>
    <w:p w14:paraId="12AD3E88"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Tekući projekt  T400002</w:t>
      </w:r>
    </w:p>
    <w:p w14:paraId="1B44B4F6" w14:textId="77777777" w:rsidR="00643C17" w:rsidRPr="003421A7" w:rsidRDefault="00643C17" w:rsidP="003421A7">
      <w:pPr>
        <w:spacing w:line="259" w:lineRule="auto"/>
        <w:ind w:firstLine="708"/>
        <w:jc w:val="both"/>
        <w:rPr>
          <w:rFonts w:ascii="Arial" w:hAnsi="Arial" w:cs="Arial"/>
          <w:i/>
          <w:iCs/>
          <w:sz w:val="22"/>
          <w:szCs w:val="22"/>
        </w:rPr>
      </w:pPr>
      <w:r w:rsidRPr="003421A7">
        <w:rPr>
          <w:rFonts w:ascii="Arial" w:hAnsi="Arial" w:cs="Arial"/>
          <w:i/>
          <w:iCs/>
          <w:sz w:val="22"/>
          <w:szCs w:val="22"/>
        </w:rPr>
        <w:t xml:space="preserve">Bara </w:t>
      </w:r>
      <w:proofErr w:type="spellStart"/>
      <w:r w:rsidRPr="003421A7">
        <w:rPr>
          <w:rFonts w:ascii="Arial" w:hAnsi="Arial" w:cs="Arial"/>
          <w:i/>
          <w:iCs/>
          <w:sz w:val="22"/>
          <w:szCs w:val="22"/>
        </w:rPr>
        <w:t>Marcilnica</w:t>
      </w:r>
      <w:proofErr w:type="spellEnd"/>
      <w:r w:rsidRPr="003421A7">
        <w:rPr>
          <w:rFonts w:ascii="Arial" w:hAnsi="Arial" w:cs="Arial"/>
          <w:i/>
          <w:iCs/>
          <w:sz w:val="22"/>
          <w:szCs w:val="22"/>
        </w:rPr>
        <w:t xml:space="preserve"> (iznos 8.000,00 EUR)</w:t>
      </w:r>
    </w:p>
    <w:p w14:paraId="35DEF4C5" w14:textId="77777777" w:rsidR="00643C17" w:rsidRPr="003421A7" w:rsidRDefault="00643C17" w:rsidP="003421A7">
      <w:pPr>
        <w:spacing w:line="259" w:lineRule="auto"/>
        <w:ind w:firstLine="708"/>
        <w:jc w:val="both"/>
        <w:rPr>
          <w:rFonts w:ascii="Arial" w:hAnsi="Arial" w:cs="Arial"/>
          <w:sz w:val="22"/>
          <w:szCs w:val="22"/>
        </w:rPr>
      </w:pPr>
      <w:r w:rsidRPr="003421A7">
        <w:rPr>
          <w:rFonts w:ascii="Arial" w:hAnsi="Arial" w:cs="Arial"/>
          <w:sz w:val="22"/>
          <w:szCs w:val="22"/>
        </w:rPr>
        <w:t>Projekt se odgađa za iduće proračunsko razdoblje. U planu je prijava projekta na javni natječaj kojim bi se osigurala sredstva izvan proračuna.</w:t>
      </w:r>
    </w:p>
    <w:p w14:paraId="4560F445" w14:textId="77777777" w:rsidR="00643C17" w:rsidRPr="003421A7" w:rsidRDefault="00643C17" w:rsidP="003421A7">
      <w:pPr>
        <w:spacing w:line="259" w:lineRule="auto"/>
        <w:ind w:firstLine="708"/>
        <w:jc w:val="both"/>
        <w:rPr>
          <w:rFonts w:ascii="Arial" w:hAnsi="Arial" w:cs="Arial"/>
          <w:sz w:val="22"/>
          <w:szCs w:val="22"/>
        </w:rPr>
      </w:pPr>
    </w:p>
    <w:p w14:paraId="3387D894" w14:textId="77777777" w:rsidR="00643C17" w:rsidRPr="003421A7" w:rsidRDefault="00643C17" w:rsidP="003421A7">
      <w:pPr>
        <w:spacing w:line="259" w:lineRule="auto"/>
        <w:rPr>
          <w:rFonts w:ascii="Arial" w:hAnsi="Arial" w:cs="Arial"/>
          <w:color w:val="000000" w:themeColor="text1"/>
          <w:sz w:val="22"/>
          <w:szCs w:val="22"/>
        </w:rPr>
      </w:pPr>
    </w:p>
    <w:p w14:paraId="18D058EC" w14:textId="77777777" w:rsidR="00DB4AC8" w:rsidRPr="003421A7" w:rsidRDefault="00DB4AC8" w:rsidP="003421A7">
      <w:pPr>
        <w:spacing w:line="259" w:lineRule="auto"/>
        <w:rPr>
          <w:rFonts w:ascii="Arial" w:hAnsi="Arial" w:cs="Arial"/>
          <w:color w:val="000000" w:themeColor="text1"/>
          <w:sz w:val="22"/>
          <w:szCs w:val="22"/>
        </w:rPr>
      </w:pPr>
    </w:p>
    <w:p w14:paraId="12B24D63" w14:textId="77777777" w:rsidR="00DB4AC8" w:rsidRPr="003421A7" w:rsidRDefault="00DB4AC8" w:rsidP="003421A7">
      <w:pPr>
        <w:spacing w:line="259" w:lineRule="auto"/>
        <w:rPr>
          <w:rFonts w:ascii="Arial" w:hAnsi="Arial" w:cs="Arial"/>
          <w:color w:val="000000" w:themeColor="text1"/>
          <w:sz w:val="22"/>
          <w:szCs w:val="22"/>
        </w:rPr>
      </w:pPr>
    </w:p>
    <w:p w14:paraId="4FA7CB13" w14:textId="77777777" w:rsidR="00DB4AC8" w:rsidRPr="003421A7" w:rsidRDefault="00DB4AC8" w:rsidP="003421A7">
      <w:pPr>
        <w:spacing w:line="259" w:lineRule="auto"/>
        <w:rPr>
          <w:rFonts w:ascii="Arial" w:hAnsi="Arial" w:cs="Arial"/>
          <w:color w:val="000000" w:themeColor="text1"/>
          <w:sz w:val="22"/>
          <w:szCs w:val="22"/>
        </w:rPr>
      </w:pPr>
    </w:p>
    <w:p w14:paraId="24D7F858" w14:textId="77777777" w:rsidR="00DB4AC8" w:rsidRDefault="00DB4AC8" w:rsidP="006132A6">
      <w:pPr>
        <w:rPr>
          <w:color w:val="000000" w:themeColor="text1"/>
        </w:rPr>
      </w:pPr>
    </w:p>
    <w:p w14:paraId="5B923738" w14:textId="77777777" w:rsidR="004E07DB" w:rsidRDefault="004E07DB" w:rsidP="006132A6">
      <w:pPr>
        <w:rPr>
          <w:color w:val="000000" w:themeColor="text1"/>
        </w:rPr>
      </w:pPr>
    </w:p>
    <w:p w14:paraId="7D518038" w14:textId="77777777" w:rsidR="004E07DB" w:rsidRDefault="004E07DB" w:rsidP="006132A6">
      <w:pPr>
        <w:rPr>
          <w:color w:val="000000" w:themeColor="text1"/>
        </w:rPr>
      </w:pPr>
    </w:p>
    <w:p w14:paraId="30679328" w14:textId="77777777" w:rsidR="004E07DB" w:rsidRDefault="004E07DB" w:rsidP="006132A6">
      <w:pPr>
        <w:rPr>
          <w:color w:val="000000" w:themeColor="text1"/>
        </w:rPr>
      </w:pPr>
    </w:p>
    <w:p w14:paraId="62DA1150" w14:textId="77777777" w:rsidR="004E07DB" w:rsidRDefault="004E07DB" w:rsidP="006132A6">
      <w:pPr>
        <w:rPr>
          <w:color w:val="000000" w:themeColor="text1"/>
        </w:rPr>
      </w:pPr>
    </w:p>
    <w:p w14:paraId="6E4A6040" w14:textId="77777777" w:rsidR="004E07DB" w:rsidRDefault="004E07DB" w:rsidP="006132A6">
      <w:pPr>
        <w:rPr>
          <w:color w:val="000000" w:themeColor="text1"/>
        </w:rPr>
      </w:pPr>
    </w:p>
    <w:p w14:paraId="6C6D2132" w14:textId="77777777" w:rsidR="004E07DB" w:rsidRDefault="004E07DB" w:rsidP="006132A6">
      <w:pPr>
        <w:rPr>
          <w:color w:val="000000" w:themeColor="text1"/>
        </w:rPr>
      </w:pPr>
    </w:p>
    <w:p w14:paraId="4B69D835" w14:textId="77777777" w:rsidR="004E07DB" w:rsidRDefault="004E07DB" w:rsidP="006132A6">
      <w:pPr>
        <w:rPr>
          <w:color w:val="000000" w:themeColor="text1"/>
        </w:rPr>
      </w:pPr>
    </w:p>
    <w:p w14:paraId="0A16641C" w14:textId="77777777" w:rsidR="004E07DB" w:rsidRDefault="004E07DB" w:rsidP="006132A6">
      <w:pPr>
        <w:rPr>
          <w:color w:val="000000" w:themeColor="text1"/>
        </w:rPr>
      </w:pPr>
    </w:p>
    <w:p w14:paraId="35E9332B" w14:textId="77777777" w:rsidR="00DB4AC8" w:rsidRDefault="00DB4AC8" w:rsidP="006132A6">
      <w:pPr>
        <w:rPr>
          <w:color w:val="000000" w:themeColor="text1"/>
        </w:rPr>
      </w:pPr>
    </w:p>
    <w:p w14:paraId="475FB912" w14:textId="77777777" w:rsidR="002A689D" w:rsidRDefault="002A689D" w:rsidP="006132A6">
      <w:pPr>
        <w:rPr>
          <w:color w:val="000000" w:themeColor="text1"/>
        </w:rPr>
      </w:pPr>
    </w:p>
    <w:p w14:paraId="5257565C" w14:textId="77777777" w:rsidR="00E4431B" w:rsidRDefault="00E4431B" w:rsidP="006132A6">
      <w:pPr>
        <w:rPr>
          <w:color w:val="000000" w:themeColor="text1"/>
        </w:rPr>
      </w:pPr>
    </w:p>
    <w:p w14:paraId="31856A58" w14:textId="77777777" w:rsidR="00E4431B" w:rsidRDefault="00E4431B" w:rsidP="006132A6">
      <w:pPr>
        <w:rPr>
          <w:color w:val="000000" w:themeColor="text1"/>
        </w:rPr>
      </w:pPr>
    </w:p>
    <w:p w14:paraId="446CFEBD" w14:textId="77777777" w:rsidR="00E4431B" w:rsidRDefault="00E4431B" w:rsidP="006132A6">
      <w:pPr>
        <w:rPr>
          <w:color w:val="000000" w:themeColor="text1"/>
        </w:rPr>
      </w:pPr>
    </w:p>
    <w:p w14:paraId="4854AE92" w14:textId="77777777" w:rsidR="00E4431B" w:rsidRDefault="00E4431B" w:rsidP="006132A6">
      <w:pPr>
        <w:rPr>
          <w:color w:val="000000" w:themeColor="text1"/>
        </w:rPr>
      </w:pPr>
    </w:p>
    <w:p w14:paraId="3D49D135" w14:textId="77777777" w:rsidR="00E4431B" w:rsidRDefault="00E4431B" w:rsidP="006132A6">
      <w:pPr>
        <w:rPr>
          <w:color w:val="000000" w:themeColor="text1"/>
        </w:rPr>
      </w:pPr>
    </w:p>
    <w:p w14:paraId="139DD26E" w14:textId="77777777" w:rsidR="00E4431B" w:rsidRDefault="00E4431B" w:rsidP="006132A6">
      <w:pPr>
        <w:rPr>
          <w:color w:val="000000" w:themeColor="text1"/>
        </w:rPr>
      </w:pPr>
    </w:p>
    <w:p w14:paraId="646BBAED" w14:textId="77777777" w:rsidR="00E4431B" w:rsidRDefault="00E4431B" w:rsidP="006132A6">
      <w:pPr>
        <w:rPr>
          <w:color w:val="000000" w:themeColor="text1"/>
        </w:rPr>
      </w:pPr>
    </w:p>
    <w:p w14:paraId="0316B6D1" w14:textId="77777777" w:rsidR="004E07DB" w:rsidRDefault="004E07DB" w:rsidP="006132A6">
      <w:pPr>
        <w:rPr>
          <w:color w:val="000000" w:themeColor="text1"/>
        </w:rPr>
      </w:pPr>
    </w:p>
    <w:p w14:paraId="7B843530" w14:textId="77777777" w:rsidR="004E07DB" w:rsidRDefault="004E07DB" w:rsidP="006132A6">
      <w:pPr>
        <w:rPr>
          <w:color w:val="000000" w:themeColor="text1"/>
        </w:rPr>
      </w:pPr>
    </w:p>
    <w:p w14:paraId="104B5F5D" w14:textId="77777777" w:rsidR="004E07DB" w:rsidRDefault="004E07DB" w:rsidP="006132A6">
      <w:pPr>
        <w:rPr>
          <w:color w:val="000000" w:themeColor="text1"/>
        </w:rPr>
      </w:pPr>
    </w:p>
    <w:p w14:paraId="3C18298D" w14:textId="77777777" w:rsidR="004E07DB" w:rsidRDefault="004E07DB" w:rsidP="006132A6">
      <w:pPr>
        <w:rPr>
          <w:color w:val="000000" w:themeColor="text1"/>
        </w:rPr>
      </w:pPr>
    </w:p>
    <w:p w14:paraId="508E9AD3" w14:textId="77777777" w:rsidR="00E4431B" w:rsidRDefault="00E4431B" w:rsidP="006132A6">
      <w:pPr>
        <w:rPr>
          <w:color w:val="000000" w:themeColor="text1"/>
        </w:rPr>
      </w:pPr>
    </w:p>
    <w:p w14:paraId="1F44F0AF" w14:textId="1857C290" w:rsidR="00CC0725" w:rsidRDefault="00A06700" w:rsidP="00CC0725">
      <w:pPr>
        <w:pStyle w:val="Naslov3"/>
        <w:ind w:left="720"/>
        <w:jc w:val="center"/>
        <w:rPr>
          <w:rFonts w:ascii="Arial" w:hAnsi="Arial" w:cs="Arial"/>
          <w:b/>
          <w:color w:val="auto"/>
        </w:rPr>
      </w:pPr>
      <w:bookmarkStart w:id="37" w:name="_Toc499225970"/>
      <w:bookmarkStart w:id="38" w:name="_Toc116629401"/>
      <w:r>
        <w:rPr>
          <w:rFonts w:ascii="Arial" w:hAnsi="Arial" w:cs="Arial"/>
          <w:b/>
          <w:color w:val="auto"/>
        </w:rPr>
        <w:lastRenderedPageBreak/>
        <w:t>3</w:t>
      </w:r>
      <w:r w:rsidR="00FE2B3D">
        <w:rPr>
          <w:rFonts w:ascii="Arial" w:hAnsi="Arial" w:cs="Arial"/>
          <w:b/>
          <w:color w:val="auto"/>
        </w:rPr>
        <w:t>.2.</w:t>
      </w:r>
      <w:r w:rsidR="00CC0725">
        <w:rPr>
          <w:rFonts w:ascii="Arial" w:hAnsi="Arial" w:cs="Arial"/>
          <w:b/>
          <w:color w:val="auto"/>
        </w:rPr>
        <w:t xml:space="preserve">5. </w:t>
      </w:r>
      <w:r w:rsidR="00CC0725" w:rsidRPr="00FE5814">
        <w:rPr>
          <w:rFonts w:ascii="Arial" w:hAnsi="Arial" w:cs="Arial"/>
          <w:b/>
          <w:color w:val="auto"/>
        </w:rPr>
        <w:t xml:space="preserve">Upravni odjel za </w:t>
      </w:r>
      <w:bookmarkEnd w:id="37"/>
      <w:r w:rsidR="00CC0725" w:rsidRPr="00FE5814">
        <w:rPr>
          <w:rFonts w:ascii="Arial" w:hAnsi="Arial" w:cs="Arial"/>
          <w:b/>
          <w:color w:val="auto"/>
        </w:rPr>
        <w:t>društvene djelatnosti</w:t>
      </w:r>
      <w:bookmarkEnd w:id="38"/>
    </w:p>
    <w:p w14:paraId="4EA76BE3" w14:textId="77777777" w:rsidR="00DB4AC8" w:rsidRDefault="00DB4AC8" w:rsidP="00DB4AC8"/>
    <w:p w14:paraId="3B9AD55D" w14:textId="7630CC37" w:rsidR="001C345D" w:rsidRPr="001C345D" w:rsidRDefault="001C345D" w:rsidP="001C345D">
      <w:pPr>
        <w:spacing w:line="260" w:lineRule="auto"/>
        <w:ind w:firstLine="709"/>
        <w:jc w:val="both"/>
        <w:rPr>
          <w:rFonts w:ascii="Arial" w:hAnsi="Arial" w:cs="Arial"/>
          <w:sz w:val="22"/>
          <w:szCs w:val="22"/>
        </w:rPr>
      </w:pPr>
      <w:r w:rsidRPr="001C345D">
        <w:rPr>
          <w:rFonts w:ascii="Arial" w:hAnsi="Arial" w:cs="Arial"/>
          <w:sz w:val="22"/>
          <w:szCs w:val="22"/>
        </w:rPr>
        <w:t xml:space="preserve">Prvim izmjenama i dopunama </w:t>
      </w:r>
      <w:r w:rsidRPr="001C345D">
        <w:rPr>
          <w:rFonts w:ascii="Arial" w:hAnsi="Arial" w:cs="Arial"/>
          <w:bCs/>
          <w:sz w:val="22"/>
          <w:szCs w:val="22"/>
        </w:rPr>
        <w:t>Proračuna UO za društvene djelatnosti  za 202</w:t>
      </w:r>
      <w:r w:rsidR="00A247F8">
        <w:rPr>
          <w:rFonts w:ascii="Arial" w:hAnsi="Arial" w:cs="Arial"/>
          <w:bCs/>
          <w:sz w:val="22"/>
          <w:szCs w:val="22"/>
        </w:rPr>
        <w:t>5</w:t>
      </w:r>
      <w:r w:rsidRPr="001C345D">
        <w:rPr>
          <w:rFonts w:ascii="Arial" w:hAnsi="Arial" w:cs="Arial"/>
          <w:bCs/>
          <w:sz w:val="22"/>
          <w:szCs w:val="22"/>
        </w:rPr>
        <w:t>. godinu sa projekcijom za 202</w:t>
      </w:r>
      <w:r w:rsidR="00A247F8">
        <w:rPr>
          <w:rFonts w:ascii="Arial" w:hAnsi="Arial" w:cs="Arial"/>
          <w:bCs/>
          <w:sz w:val="22"/>
          <w:szCs w:val="22"/>
        </w:rPr>
        <w:t>6</w:t>
      </w:r>
      <w:r w:rsidRPr="001C345D">
        <w:rPr>
          <w:rFonts w:ascii="Arial" w:hAnsi="Arial" w:cs="Arial"/>
          <w:bCs/>
          <w:sz w:val="22"/>
          <w:szCs w:val="22"/>
        </w:rPr>
        <w:t>. i 202</w:t>
      </w:r>
      <w:r w:rsidR="00A247F8">
        <w:rPr>
          <w:rFonts w:ascii="Arial" w:hAnsi="Arial" w:cs="Arial"/>
          <w:bCs/>
          <w:sz w:val="22"/>
          <w:szCs w:val="22"/>
        </w:rPr>
        <w:t>7</w:t>
      </w:r>
      <w:r w:rsidRPr="001C345D">
        <w:rPr>
          <w:rFonts w:ascii="Arial" w:hAnsi="Arial" w:cs="Arial"/>
          <w:bCs/>
          <w:sz w:val="22"/>
          <w:szCs w:val="22"/>
        </w:rPr>
        <w:t>. godinu ( u daljnjem tekstu: Proračun)</w:t>
      </w:r>
      <w:r w:rsidRPr="001C345D">
        <w:rPr>
          <w:rFonts w:ascii="Arial" w:hAnsi="Arial" w:cs="Arial"/>
          <w:sz w:val="22"/>
          <w:szCs w:val="22"/>
        </w:rPr>
        <w:t xml:space="preserve"> povećao se sveukupno  za </w:t>
      </w:r>
      <w:r w:rsidR="00A247F8">
        <w:rPr>
          <w:rFonts w:ascii="Arial" w:hAnsi="Arial" w:cs="Arial"/>
          <w:sz w:val="22"/>
          <w:szCs w:val="22"/>
        </w:rPr>
        <w:t>994.719</w:t>
      </w:r>
      <w:r w:rsidRPr="001C345D">
        <w:rPr>
          <w:rFonts w:ascii="Arial" w:hAnsi="Arial" w:cs="Arial"/>
          <w:sz w:val="22"/>
          <w:szCs w:val="22"/>
        </w:rPr>
        <w:t xml:space="preserve">,00 EUR  ili </w:t>
      </w:r>
      <w:r w:rsidR="00A247F8">
        <w:rPr>
          <w:rFonts w:ascii="Arial" w:hAnsi="Arial" w:cs="Arial"/>
          <w:sz w:val="22"/>
          <w:szCs w:val="22"/>
        </w:rPr>
        <w:t>6,88</w:t>
      </w:r>
      <w:r w:rsidRPr="001C345D">
        <w:rPr>
          <w:rFonts w:ascii="Arial" w:hAnsi="Arial" w:cs="Arial"/>
          <w:sz w:val="22"/>
          <w:szCs w:val="22"/>
        </w:rPr>
        <w:t xml:space="preserve">% od planiranog iznosa. </w:t>
      </w:r>
    </w:p>
    <w:p w14:paraId="3DF836FD" w14:textId="77777777" w:rsidR="001C345D" w:rsidRDefault="001C345D" w:rsidP="001C345D">
      <w:pPr>
        <w:ind w:firstLine="708"/>
        <w:jc w:val="both"/>
        <w:rPr>
          <w:rFonts w:ascii="Arial" w:hAnsi="Arial" w:cs="Arial"/>
        </w:rPr>
      </w:pPr>
    </w:p>
    <w:tbl>
      <w:tblPr>
        <w:tblW w:w="8784" w:type="dxa"/>
        <w:tblLook w:val="04A0" w:firstRow="1" w:lastRow="0" w:firstColumn="1" w:lastColumn="0" w:noHBand="0" w:noVBand="1"/>
      </w:tblPr>
      <w:tblGrid>
        <w:gridCol w:w="4239"/>
        <w:gridCol w:w="1496"/>
        <w:gridCol w:w="1631"/>
        <w:gridCol w:w="1496"/>
      </w:tblGrid>
      <w:tr w:rsidR="001C345D" w14:paraId="1A9EDE7A" w14:textId="77777777" w:rsidTr="001C345D">
        <w:trPr>
          <w:trHeight w:val="510"/>
        </w:trPr>
        <w:tc>
          <w:tcPr>
            <w:tcW w:w="423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6625874" w14:textId="77777777" w:rsidR="001C345D" w:rsidRDefault="001C345D">
            <w:pPr>
              <w:rPr>
                <w:rFonts w:ascii="Arial" w:hAnsi="Arial" w:cs="Arial"/>
              </w:rPr>
            </w:pPr>
          </w:p>
        </w:tc>
        <w:tc>
          <w:tcPr>
            <w:tcW w:w="1496" w:type="dxa"/>
            <w:tcBorders>
              <w:top w:val="single" w:sz="4" w:space="0" w:color="auto"/>
              <w:left w:val="nil"/>
              <w:bottom w:val="single" w:sz="4" w:space="0" w:color="auto"/>
              <w:right w:val="single" w:sz="4" w:space="0" w:color="auto"/>
            </w:tcBorders>
            <w:shd w:val="clear" w:color="auto" w:fill="FFFFFF"/>
            <w:noWrap/>
            <w:vAlign w:val="bottom"/>
            <w:hideMark/>
          </w:tcPr>
          <w:p w14:paraId="35E86476"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PLANIRANO</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14:paraId="2F62C255"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PROMJENA IZNOS</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14:paraId="7AC60AF2"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NOVI IZNOS</w:t>
            </w:r>
          </w:p>
        </w:tc>
      </w:tr>
      <w:tr w:rsidR="001C345D" w14:paraId="67BB35B0"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5BC9ABD6"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 xml:space="preserve">  SVEUKUPNO RASHODI / IZDACI</w:t>
            </w:r>
          </w:p>
        </w:tc>
        <w:tc>
          <w:tcPr>
            <w:tcW w:w="1496" w:type="dxa"/>
            <w:tcBorders>
              <w:top w:val="nil"/>
              <w:left w:val="nil"/>
              <w:bottom w:val="single" w:sz="4" w:space="0" w:color="auto"/>
              <w:right w:val="single" w:sz="4" w:space="0" w:color="auto"/>
            </w:tcBorders>
            <w:shd w:val="clear" w:color="auto" w:fill="FFFFFF"/>
            <w:noWrap/>
            <w:vAlign w:val="bottom"/>
            <w:hideMark/>
          </w:tcPr>
          <w:p w14:paraId="62D20F73"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14.459.328,00</w:t>
            </w:r>
          </w:p>
        </w:tc>
        <w:tc>
          <w:tcPr>
            <w:tcW w:w="1631" w:type="dxa"/>
            <w:tcBorders>
              <w:top w:val="nil"/>
              <w:left w:val="nil"/>
              <w:bottom w:val="single" w:sz="4" w:space="0" w:color="auto"/>
              <w:right w:val="single" w:sz="4" w:space="0" w:color="auto"/>
            </w:tcBorders>
            <w:shd w:val="clear" w:color="auto" w:fill="FFFFFF"/>
            <w:noWrap/>
            <w:vAlign w:val="bottom"/>
            <w:hideMark/>
          </w:tcPr>
          <w:p w14:paraId="2FA79F65"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994.719,00</w:t>
            </w:r>
          </w:p>
        </w:tc>
        <w:tc>
          <w:tcPr>
            <w:tcW w:w="1418" w:type="dxa"/>
            <w:tcBorders>
              <w:top w:val="nil"/>
              <w:left w:val="nil"/>
              <w:bottom w:val="single" w:sz="4" w:space="0" w:color="auto"/>
              <w:right w:val="single" w:sz="4" w:space="0" w:color="auto"/>
            </w:tcBorders>
            <w:shd w:val="clear" w:color="auto" w:fill="FFFFFF"/>
            <w:noWrap/>
            <w:vAlign w:val="bottom"/>
            <w:hideMark/>
          </w:tcPr>
          <w:p w14:paraId="4C9ABFC1"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15.454.047,00</w:t>
            </w:r>
          </w:p>
        </w:tc>
      </w:tr>
      <w:tr w:rsidR="001C345D" w14:paraId="357493FF"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14079454"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Razdjel 500 UPRAVNI ODJEL ZA DRUŠTVENE DJELATNOSTI</w:t>
            </w:r>
          </w:p>
        </w:tc>
        <w:tc>
          <w:tcPr>
            <w:tcW w:w="1496" w:type="dxa"/>
            <w:tcBorders>
              <w:top w:val="nil"/>
              <w:left w:val="nil"/>
              <w:bottom w:val="single" w:sz="4" w:space="0" w:color="auto"/>
              <w:right w:val="single" w:sz="4" w:space="0" w:color="auto"/>
            </w:tcBorders>
            <w:shd w:val="clear" w:color="auto" w:fill="FFFFFF"/>
            <w:noWrap/>
            <w:vAlign w:val="bottom"/>
            <w:hideMark/>
          </w:tcPr>
          <w:p w14:paraId="01D229DE"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14.459.328,00</w:t>
            </w:r>
          </w:p>
        </w:tc>
        <w:tc>
          <w:tcPr>
            <w:tcW w:w="1631" w:type="dxa"/>
            <w:tcBorders>
              <w:top w:val="nil"/>
              <w:left w:val="nil"/>
              <w:bottom w:val="single" w:sz="4" w:space="0" w:color="auto"/>
              <w:right w:val="single" w:sz="4" w:space="0" w:color="auto"/>
            </w:tcBorders>
            <w:shd w:val="clear" w:color="auto" w:fill="FFFFFF"/>
            <w:noWrap/>
            <w:vAlign w:val="bottom"/>
            <w:hideMark/>
          </w:tcPr>
          <w:p w14:paraId="769CEAD5"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994.719,00</w:t>
            </w:r>
          </w:p>
        </w:tc>
        <w:tc>
          <w:tcPr>
            <w:tcW w:w="1418" w:type="dxa"/>
            <w:tcBorders>
              <w:top w:val="nil"/>
              <w:left w:val="nil"/>
              <w:bottom w:val="single" w:sz="4" w:space="0" w:color="auto"/>
              <w:right w:val="single" w:sz="4" w:space="0" w:color="auto"/>
            </w:tcBorders>
            <w:shd w:val="clear" w:color="auto" w:fill="FFFFFF"/>
            <w:noWrap/>
            <w:vAlign w:val="bottom"/>
            <w:hideMark/>
          </w:tcPr>
          <w:p w14:paraId="7CE9EEA1"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15.454.047,00</w:t>
            </w:r>
          </w:p>
        </w:tc>
      </w:tr>
      <w:tr w:rsidR="001C345D" w14:paraId="2E82E19B"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545E5AB4"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Glava 50001 UPRAVNI ODJEL ZA DRUŠTVENE DJELATNOSTI</w:t>
            </w:r>
          </w:p>
        </w:tc>
        <w:tc>
          <w:tcPr>
            <w:tcW w:w="1496" w:type="dxa"/>
            <w:tcBorders>
              <w:top w:val="nil"/>
              <w:left w:val="nil"/>
              <w:bottom w:val="single" w:sz="4" w:space="0" w:color="auto"/>
              <w:right w:val="single" w:sz="4" w:space="0" w:color="auto"/>
            </w:tcBorders>
            <w:shd w:val="clear" w:color="auto" w:fill="FFFFFF"/>
            <w:noWrap/>
            <w:vAlign w:val="bottom"/>
            <w:hideMark/>
          </w:tcPr>
          <w:p w14:paraId="42CA86A7"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1.567.215,00</w:t>
            </w:r>
          </w:p>
        </w:tc>
        <w:tc>
          <w:tcPr>
            <w:tcW w:w="1631" w:type="dxa"/>
            <w:tcBorders>
              <w:top w:val="nil"/>
              <w:left w:val="nil"/>
              <w:bottom w:val="single" w:sz="4" w:space="0" w:color="auto"/>
              <w:right w:val="single" w:sz="4" w:space="0" w:color="auto"/>
            </w:tcBorders>
            <w:shd w:val="clear" w:color="auto" w:fill="FFFFFF"/>
            <w:noWrap/>
            <w:vAlign w:val="bottom"/>
            <w:hideMark/>
          </w:tcPr>
          <w:p w14:paraId="6E9C97A5"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322.038,00</w:t>
            </w:r>
          </w:p>
        </w:tc>
        <w:tc>
          <w:tcPr>
            <w:tcW w:w="1418" w:type="dxa"/>
            <w:tcBorders>
              <w:top w:val="nil"/>
              <w:left w:val="nil"/>
              <w:bottom w:val="single" w:sz="4" w:space="0" w:color="auto"/>
              <w:right w:val="single" w:sz="4" w:space="0" w:color="auto"/>
            </w:tcBorders>
            <w:shd w:val="clear" w:color="auto" w:fill="FFFFFF"/>
            <w:noWrap/>
            <w:vAlign w:val="bottom"/>
            <w:hideMark/>
          </w:tcPr>
          <w:p w14:paraId="08729320"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1.889.253,00</w:t>
            </w:r>
          </w:p>
        </w:tc>
      </w:tr>
      <w:tr w:rsidR="001C345D" w14:paraId="0380CE95"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6E15CCE0"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Program 5001 Predškolski odgoj</w:t>
            </w:r>
          </w:p>
        </w:tc>
        <w:tc>
          <w:tcPr>
            <w:tcW w:w="1496" w:type="dxa"/>
            <w:tcBorders>
              <w:top w:val="nil"/>
              <w:left w:val="nil"/>
              <w:bottom w:val="single" w:sz="4" w:space="0" w:color="auto"/>
              <w:right w:val="single" w:sz="4" w:space="0" w:color="auto"/>
            </w:tcBorders>
            <w:shd w:val="clear" w:color="auto" w:fill="FFFFFF"/>
            <w:noWrap/>
            <w:vAlign w:val="bottom"/>
            <w:hideMark/>
          </w:tcPr>
          <w:p w14:paraId="556197D9"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38.000,00</w:t>
            </w:r>
          </w:p>
        </w:tc>
        <w:tc>
          <w:tcPr>
            <w:tcW w:w="1631" w:type="dxa"/>
            <w:tcBorders>
              <w:top w:val="nil"/>
              <w:left w:val="nil"/>
              <w:bottom w:val="single" w:sz="4" w:space="0" w:color="auto"/>
              <w:right w:val="single" w:sz="4" w:space="0" w:color="auto"/>
            </w:tcBorders>
            <w:shd w:val="clear" w:color="auto" w:fill="FFFFFF"/>
            <w:noWrap/>
            <w:vAlign w:val="bottom"/>
            <w:hideMark/>
          </w:tcPr>
          <w:p w14:paraId="1C0B3E05"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29.000,00</w:t>
            </w:r>
          </w:p>
        </w:tc>
        <w:tc>
          <w:tcPr>
            <w:tcW w:w="1418" w:type="dxa"/>
            <w:tcBorders>
              <w:top w:val="nil"/>
              <w:left w:val="nil"/>
              <w:bottom w:val="single" w:sz="4" w:space="0" w:color="auto"/>
              <w:right w:val="single" w:sz="4" w:space="0" w:color="auto"/>
            </w:tcBorders>
            <w:shd w:val="clear" w:color="auto" w:fill="FFFFFF"/>
            <w:noWrap/>
            <w:vAlign w:val="bottom"/>
            <w:hideMark/>
          </w:tcPr>
          <w:p w14:paraId="765705A7"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67.000,00</w:t>
            </w:r>
          </w:p>
        </w:tc>
      </w:tr>
      <w:tr w:rsidR="001C345D" w14:paraId="6462D534"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7F81E7CB"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A500001 Sufinanciranje predškolske djelatnosti</w:t>
            </w:r>
          </w:p>
        </w:tc>
        <w:tc>
          <w:tcPr>
            <w:tcW w:w="1496" w:type="dxa"/>
            <w:tcBorders>
              <w:top w:val="nil"/>
              <w:left w:val="nil"/>
              <w:bottom w:val="single" w:sz="4" w:space="0" w:color="auto"/>
              <w:right w:val="single" w:sz="4" w:space="0" w:color="auto"/>
            </w:tcBorders>
            <w:shd w:val="clear" w:color="auto" w:fill="FFFFFF"/>
            <w:noWrap/>
            <w:vAlign w:val="bottom"/>
            <w:hideMark/>
          </w:tcPr>
          <w:p w14:paraId="35A64365"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38.000,00</w:t>
            </w:r>
          </w:p>
        </w:tc>
        <w:tc>
          <w:tcPr>
            <w:tcW w:w="1631" w:type="dxa"/>
            <w:tcBorders>
              <w:top w:val="nil"/>
              <w:left w:val="nil"/>
              <w:bottom w:val="single" w:sz="4" w:space="0" w:color="auto"/>
              <w:right w:val="single" w:sz="4" w:space="0" w:color="auto"/>
            </w:tcBorders>
            <w:shd w:val="clear" w:color="auto" w:fill="FFFFFF"/>
            <w:noWrap/>
            <w:vAlign w:val="bottom"/>
            <w:hideMark/>
          </w:tcPr>
          <w:p w14:paraId="46743BDA"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29.000,00</w:t>
            </w:r>
          </w:p>
        </w:tc>
        <w:tc>
          <w:tcPr>
            <w:tcW w:w="1418" w:type="dxa"/>
            <w:tcBorders>
              <w:top w:val="nil"/>
              <w:left w:val="nil"/>
              <w:bottom w:val="single" w:sz="4" w:space="0" w:color="auto"/>
              <w:right w:val="single" w:sz="4" w:space="0" w:color="auto"/>
            </w:tcBorders>
            <w:shd w:val="clear" w:color="auto" w:fill="FFFFFF"/>
            <w:noWrap/>
            <w:vAlign w:val="bottom"/>
            <w:hideMark/>
          </w:tcPr>
          <w:p w14:paraId="742902F1"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67.000,00</w:t>
            </w:r>
          </w:p>
        </w:tc>
      </w:tr>
      <w:tr w:rsidR="001C345D" w14:paraId="7289633A"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3E9A1D42"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Program 5002 Obrazovanje</w:t>
            </w:r>
          </w:p>
        </w:tc>
        <w:tc>
          <w:tcPr>
            <w:tcW w:w="1496" w:type="dxa"/>
            <w:tcBorders>
              <w:top w:val="nil"/>
              <w:left w:val="nil"/>
              <w:bottom w:val="single" w:sz="4" w:space="0" w:color="auto"/>
              <w:right w:val="single" w:sz="4" w:space="0" w:color="auto"/>
            </w:tcBorders>
            <w:shd w:val="clear" w:color="auto" w:fill="FFFFFF"/>
            <w:noWrap/>
            <w:vAlign w:val="bottom"/>
            <w:hideMark/>
          </w:tcPr>
          <w:p w14:paraId="39613FFF"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346.000,00</w:t>
            </w:r>
          </w:p>
        </w:tc>
        <w:tc>
          <w:tcPr>
            <w:tcW w:w="1631" w:type="dxa"/>
            <w:tcBorders>
              <w:top w:val="nil"/>
              <w:left w:val="nil"/>
              <w:bottom w:val="single" w:sz="4" w:space="0" w:color="auto"/>
              <w:right w:val="single" w:sz="4" w:space="0" w:color="auto"/>
            </w:tcBorders>
            <w:shd w:val="clear" w:color="auto" w:fill="FFFFFF"/>
            <w:noWrap/>
            <w:vAlign w:val="bottom"/>
            <w:hideMark/>
          </w:tcPr>
          <w:p w14:paraId="62E0FD5D"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7.354,00</w:t>
            </w:r>
          </w:p>
        </w:tc>
        <w:tc>
          <w:tcPr>
            <w:tcW w:w="1418" w:type="dxa"/>
            <w:tcBorders>
              <w:top w:val="nil"/>
              <w:left w:val="nil"/>
              <w:bottom w:val="single" w:sz="4" w:space="0" w:color="auto"/>
              <w:right w:val="single" w:sz="4" w:space="0" w:color="auto"/>
            </w:tcBorders>
            <w:shd w:val="clear" w:color="auto" w:fill="FFFFFF"/>
            <w:noWrap/>
            <w:vAlign w:val="bottom"/>
            <w:hideMark/>
          </w:tcPr>
          <w:p w14:paraId="6C64CFEB"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353.354,00</w:t>
            </w:r>
          </w:p>
        </w:tc>
      </w:tr>
      <w:tr w:rsidR="001C345D" w14:paraId="66891DD5"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1BB0A7D3"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A500001 Stipendiranje učenika i studenata</w:t>
            </w:r>
          </w:p>
        </w:tc>
        <w:tc>
          <w:tcPr>
            <w:tcW w:w="1496" w:type="dxa"/>
            <w:tcBorders>
              <w:top w:val="nil"/>
              <w:left w:val="nil"/>
              <w:bottom w:val="single" w:sz="4" w:space="0" w:color="auto"/>
              <w:right w:val="single" w:sz="4" w:space="0" w:color="auto"/>
            </w:tcBorders>
            <w:shd w:val="clear" w:color="auto" w:fill="FFFFFF"/>
            <w:noWrap/>
            <w:vAlign w:val="bottom"/>
            <w:hideMark/>
          </w:tcPr>
          <w:p w14:paraId="632317F3"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160.000,00</w:t>
            </w:r>
          </w:p>
        </w:tc>
        <w:tc>
          <w:tcPr>
            <w:tcW w:w="1631" w:type="dxa"/>
            <w:tcBorders>
              <w:top w:val="nil"/>
              <w:left w:val="nil"/>
              <w:bottom w:val="single" w:sz="4" w:space="0" w:color="auto"/>
              <w:right w:val="single" w:sz="4" w:space="0" w:color="auto"/>
            </w:tcBorders>
            <w:shd w:val="clear" w:color="auto" w:fill="FFFFFF"/>
            <w:noWrap/>
            <w:vAlign w:val="bottom"/>
            <w:hideMark/>
          </w:tcPr>
          <w:p w14:paraId="545ABE5C"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0,00</w:t>
            </w:r>
          </w:p>
        </w:tc>
        <w:tc>
          <w:tcPr>
            <w:tcW w:w="1418" w:type="dxa"/>
            <w:tcBorders>
              <w:top w:val="nil"/>
              <w:left w:val="nil"/>
              <w:bottom w:val="single" w:sz="4" w:space="0" w:color="auto"/>
              <w:right w:val="single" w:sz="4" w:space="0" w:color="auto"/>
            </w:tcBorders>
            <w:shd w:val="clear" w:color="auto" w:fill="FFFFFF"/>
            <w:noWrap/>
            <w:vAlign w:val="bottom"/>
            <w:hideMark/>
          </w:tcPr>
          <w:p w14:paraId="3845BDA4"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160.000,00</w:t>
            </w:r>
          </w:p>
        </w:tc>
      </w:tr>
      <w:tr w:rsidR="001C345D" w14:paraId="5E0240CD"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354A6BBE"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A500002 Pomoći u školovanju</w:t>
            </w:r>
          </w:p>
        </w:tc>
        <w:tc>
          <w:tcPr>
            <w:tcW w:w="1496" w:type="dxa"/>
            <w:tcBorders>
              <w:top w:val="nil"/>
              <w:left w:val="nil"/>
              <w:bottom w:val="single" w:sz="4" w:space="0" w:color="auto"/>
              <w:right w:val="single" w:sz="4" w:space="0" w:color="auto"/>
            </w:tcBorders>
            <w:shd w:val="clear" w:color="auto" w:fill="FFFFFF"/>
            <w:noWrap/>
            <w:vAlign w:val="bottom"/>
            <w:hideMark/>
          </w:tcPr>
          <w:p w14:paraId="03141911"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14.000,00</w:t>
            </w:r>
          </w:p>
        </w:tc>
        <w:tc>
          <w:tcPr>
            <w:tcW w:w="1631" w:type="dxa"/>
            <w:tcBorders>
              <w:top w:val="nil"/>
              <w:left w:val="nil"/>
              <w:bottom w:val="single" w:sz="4" w:space="0" w:color="auto"/>
              <w:right w:val="single" w:sz="4" w:space="0" w:color="auto"/>
            </w:tcBorders>
            <w:shd w:val="clear" w:color="auto" w:fill="FFFFFF"/>
            <w:noWrap/>
            <w:vAlign w:val="bottom"/>
            <w:hideMark/>
          </w:tcPr>
          <w:p w14:paraId="351247C4"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5.000,00</w:t>
            </w:r>
          </w:p>
        </w:tc>
        <w:tc>
          <w:tcPr>
            <w:tcW w:w="1418" w:type="dxa"/>
            <w:tcBorders>
              <w:top w:val="nil"/>
              <w:left w:val="nil"/>
              <w:bottom w:val="single" w:sz="4" w:space="0" w:color="auto"/>
              <w:right w:val="single" w:sz="4" w:space="0" w:color="auto"/>
            </w:tcBorders>
            <w:shd w:val="clear" w:color="auto" w:fill="FFFFFF"/>
            <w:noWrap/>
            <w:vAlign w:val="bottom"/>
            <w:hideMark/>
          </w:tcPr>
          <w:p w14:paraId="1957F297"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19.000,00</w:t>
            </w:r>
          </w:p>
        </w:tc>
      </w:tr>
      <w:tr w:rsidR="001C345D" w14:paraId="532AB59C"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177CF049"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 xml:space="preserve">Tekući projekt T500006 </w:t>
            </w:r>
            <w:proofErr w:type="spellStart"/>
            <w:r>
              <w:rPr>
                <w:rFonts w:ascii="Arial" w:hAnsi="Arial" w:cs="Arial"/>
                <w:kern w:val="2"/>
                <w:sz w:val="20"/>
                <w:szCs w:val="20"/>
                <w14:ligatures w14:val="standardContextual"/>
              </w:rPr>
              <w:t>Ravnomj</w:t>
            </w:r>
            <w:proofErr w:type="spellEnd"/>
            <w:r>
              <w:rPr>
                <w:rFonts w:ascii="Arial" w:hAnsi="Arial" w:cs="Arial"/>
                <w:kern w:val="2"/>
                <w:sz w:val="20"/>
                <w:szCs w:val="20"/>
                <w14:ligatures w14:val="standardContextual"/>
              </w:rPr>
              <w:t>. socijalna i obrazovna inkluzija učen. s teškoćama u razvoju IV -Projekt RAST IV</w:t>
            </w:r>
          </w:p>
        </w:tc>
        <w:tc>
          <w:tcPr>
            <w:tcW w:w="1496" w:type="dxa"/>
            <w:tcBorders>
              <w:top w:val="nil"/>
              <w:left w:val="nil"/>
              <w:bottom w:val="single" w:sz="4" w:space="0" w:color="auto"/>
              <w:right w:val="single" w:sz="4" w:space="0" w:color="auto"/>
            </w:tcBorders>
            <w:shd w:val="clear" w:color="auto" w:fill="FFFFFF"/>
            <w:noWrap/>
            <w:vAlign w:val="bottom"/>
            <w:hideMark/>
          </w:tcPr>
          <w:p w14:paraId="2F1AE501"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172.000,00</w:t>
            </w:r>
          </w:p>
        </w:tc>
        <w:tc>
          <w:tcPr>
            <w:tcW w:w="1631" w:type="dxa"/>
            <w:tcBorders>
              <w:top w:val="nil"/>
              <w:left w:val="nil"/>
              <w:bottom w:val="single" w:sz="4" w:space="0" w:color="auto"/>
              <w:right w:val="single" w:sz="4" w:space="0" w:color="auto"/>
            </w:tcBorders>
            <w:shd w:val="clear" w:color="auto" w:fill="FFFFFF"/>
            <w:noWrap/>
            <w:vAlign w:val="bottom"/>
            <w:hideMark/>
          </w:tcPr>
          <w:p w14:paraId="35D031F4"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2.354,00</w:t>
            </w:r>
          </w:p>
        </w:tc>
        <w:tc>
          <w:tcPr>
            <w:tcW w:w="1418" w:type="dxa"/>
            <w:tcBorders>
              <w:top w:val="nil"/>
              <w:left w:val="nil"/>
              <w:bottom w:val="single" w:sz="4" w:space="0" w:color="auto"/>
              <w:right w:val="single" w:sz="4" w:space="0" w:color="auto"/>
            </w:tcBorders>
            <w:shd w:val="clear" w:color="auto" w:fill="FFFFFF"/>
            <w:noWrap/>
            <w:vAlign w:val="bottom"/>
            <w:hideMark/>
          </w:tcPr>
          <w:p w14:paraId="0F192846"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174.354,00</w:t>
            </w:r>
          </w:p>
        </w:tc>
      </w:tr>
      <w:tr w:rsidR="001C345D" w14:paraId="5FD003E7"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2885F3A5"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Program 5003 Razvoj sporta i rekreacije</w:t>
            </w:r>
          </w:p>
        </w:tc>
        <w:tc>
          <w:tcPr>
            <w:tcW w:w="1496" w:type="dxa"/>
            <w:tcBorders>
              <w:top w:val="nil"/>
              <w:left w:val="nil"/>
              <w:bottom w:val="single" w:sz="4" w:space="0" w:color="auto"/>
              <w:right w:val="single" w:sz="4" w:space="0" w:color="auto"/>
            </w:tcBorders>
            <w:shd w:val="clear" w:color="auto" w:fill="FFFFFF"/>
            <w:noWrap/>
            <w:vAlign w:val="bottom"/>
            <w:hideMark/>
          </w:tcPr>
          <w:p w14:paraId="35E0CFD8"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385.000,00</w:t>
            </w:r>
          </w:p>
        </w:tc>
        <w:tc>
          <w:tcPr>
            <w:tcW w:w="1631" w:type="dxa"/>
            <w:tcBorders>
              <w:top w:val="nil"/>
              <w:left w:val="nil"/>
              <w:bottom w:val="single" w:sz="4" w:space="0" w:color="auto"/>
              <w:right w:val="single" w:sz="4" w:space="0" w:color="auto"/>
            </w:tcBorders>
            <w:shd w:val="clear" w:color="auto" w:fill="FFFFFF"/>
            <w:noWrap/>
            <w:vAlign w:val="bottom"/>
            <w:hideMark/>
          </w:tcPr>
          <w:p w14:paraId="0C924F37"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19.000,00</w:t>
            </w:r>
          </w:p>
        </w:tc>
        <w:tc>
          <w:tcPr>
            <w:tcW w:w="1418" w:type="dxa"/>
            <w:tcBorders>
              <w:top w:val="nil"/>
              <w:left w:val="nil"/>
              <w:bottom w:val="single" w:sz="4" w:space="0" w:color="auto"/>
              <w:right w:val="single" w:sz="4" w:space="0" w:color="auto"/>
            </w:tcBorders>
            <w:shd w:val="clear" w:color="auto" w:fill="FFFFFF"/>
            <w:noWrap/>
            <w:vAlign w:val="bottom"/>
            <w:hideMark/>
          </w:tcPr>
          <w:p w14:paraId="63F597DE"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404.000,00</w:t>
            </w:r>
          </w:p>
        </w:tc>
      </w:tr>
      <w:tr w:rsidR="001C345D" w14:paraId="6B9A0DDF"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4A32901B"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A500001 Sufinanciranje Sportske zajednice Grada Labina</w:t>
            </w:r>
          </w:p>
        </w:tc>
        <w:tc>
          <w:tcPr>
            <w:tcW w:w="1496" w:type="dxa"/>
            <w:tcBorders>
              <w:top w:val="nil"/>
              <w:left w:val="nil"/>
              <w:bottom w:val="single" w:sz="4" w:space="0" w:color="auto"/>
              <w:right w:val="single" w:sz="4" w:space="0" w:color="auto"/>
            </w:tcBorders>
            <w:shd w:val="clear" w:color="auto" w:fill="FFFFFF"/>
            <w:noWrap/>
            <w:vAlign w:val="bottom"/>
            <w:hideMark/>
          </w:tcPr>
          <w:p w14:paraId="10CF37D3"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385.000,00</w:t>
            </w:r>
          </w:p>
        </w:tc>
        <w:tc>
          <w:tcPr>
            <w:tcW w:w="1631" w:type="dxa"/>
            <w:tcBorders>
              <w:top w:val="nil"/>
              <w:left w:val="nil"/>
              <w:bottom w:val="single" w:sz="4" w:space="0" w:color="auto"/>
              <w:right w:val="single" w:sz="4" w:space="0" w:color="auto"/>
            </w:tcBorders>
            <w:shd w:val="clear" w:color="auto" w:fill="FFFFFF"/>
            <w:noWrap/>
            <w:vAlign w:val="bottom"/>
            <w:hideMark/>
          </w:tcPr>
          <w:p w14:paraId="789D4F39"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19.000,00</w:t>
            </w:r>
          </w:p>
        </w:tc>
        <w:tc>
          <w:tcPr>
            <w:tcW w:w="1418" w:type="dxa"/>
            <w:tcBorders>
              <w:top w:val="nil"/>
              <w:left w:val="nil"/>
              <w:bottom w:val="single" w:sz="4" w:space="0" w:color="auto"/>
              <w:right w:val="single" w:sz="4" w:space="0" w:color="auto"/>
            </w:tcBorders>
            <w:shd w:val="clear" w:color="auto" w:fill="FFFFFF"/>
            <w:noWrap/>
            <w:vAlign w:val="bottom"/>
            <w:hideMark/>
          </w:tcPr>
          <w:p w14:paraId="45F5390A"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404.000,00</w:t>
            </w:r>
          </w:p>
        </w:tc>
      </w:tr>
      <w:tr w:rsidR="001C345D" w14:paraId="7040C02D"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10130AAB"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Program 5004 Promicanje kulture</w:t>
            </w:r>
          </w:p>
        </w:tc>
        <w:tc>
          <w:tcPr>
            <w:tcW w:w="1496" w:type="dxa"/>
            <w:tcBorders>
              <w:top w:val="nil"/>
              <w:left w:val="nil"/>
              <w:bottom w:val="single" w:sz="4" w:space="0" w:color="auto"/>
              <w:right w:val="single" w:sz="4" w:space="0" w:color="auto"/>
            </w:tcBorders>
            <w:shd w:val="clear" w:color="auto" w:fill="FFFFFF"/>
            <w:noWrap/>
            <w:vAlign w:val="bottom"/>
            <w:hideMark/>
          </w:tcPr>
          <w:p w14:paraId="458CEFE7"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139.500,00</w:t>
            </w:r>
          </w:p>
        </w:tc>
        <w:tc>
          <w:tcPr>
            <w:tcW w:w="1631" w:type="dxa"/>
            <w:tcBorders>
              <w:top w:val="nil"/>
              <w:left w:val="nil"/>
              <w:bottom w:val="single" w:sz="4" w:space="0" w:color="auto"/>
              <w:right w:val="single" w:sz="4" w:space="0" w:color="auto"/>
            </w:tcBorders>
            <w:shd w:val="clear" w:color="auto" w:fill="FFFFFF"/>
            <w:noWrap/>
            <w:vAlign w:val="bottom"/>
            <w:hideMark/>
          </w:tcPr>
          <w:p w14:paraId="4ADC4A15"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60.566,00</w:t>
            </w:r>
          </w:p>
        </w:tc>
        <w:tc>
          <w:tcPr>
            <w:tcW w:w="1418" w:type="dxa"/>
            <w:tcBorders>
              <w:top w:val="nil"/>
              <w:left w:val="nil"/>
              <w:bottom w:val="single" w:sz="4" w:space="0" w:color="auto"/>
              <w:right w:val="single" w:sz="4" w:space="0" w:color="auto"/>
            </w:tcBorders>
            <w:shd w:val="clear" w:color="auto" w:fill="FFFFFF"/>
            <w:noWrap/>
            <w:vAlign w:val="bottom"/>
            <w:hideMark/>
          </w:tcPr>
          <w:p w14:paraId="0012E751"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200.066,00</w:t>
            </w:r>
          </w:p>
        </w:tc>
      </w:tr>
      <w:tr w:rsidR="001C345D" w14:paraId="125AD803"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7F196F90"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A500001 Kulturne manifestacije Grada Labina</w:t>
            </w:r>
          </w:p>
        </w:tc>
        <w:tc>
          <w:tcPr>
            <w:tcW w:w="1496" w:type="dxa"/>
            <w:tcBorders>
              <w:top w:val="nil"/>
              <w:left w:val="nil"/>
              <w:bottom w:val="single" w:sz="4" w:space="0" w:color="auto"/>
              <w:right w:val="single" w:sz="4" w:space="0" w:color="auto"/>
            </w:tcBorders>
            <w:shd w:val="clear" w:color="auto" w:fill="FFFFFF"/>
            <w:noWrap/>
            <w:vAlign w:val="bottom"/>
            <w:hideMark/>
          </w:tcPr>
          <w:p w14:paraId="0DD9E07A"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58.000,00</w:t>
            </w:r>
          </w:p>
        </w:tc>
        <w:tc>
          <w:tcPr>
            <w:tcW w:w="1631" w:type="dxa"/>
            <w:tcBorders>
              <w:top w:val="nil"/>
              <w:left w:val="nil"/>
              <w:bottom w:val="single" w:sz="4" w:space="0" w:color="auto"/>
              <w:right w:val="single" w:sz="4" w:space="0" w:color="auto"/>
            </w:tcBorders>
            <w:shd w:val="clear" w:color="auto" w:fill="FFFFFF"/>
            <w:noWrap/>
            <w:vAlign w:val="bottom"/>
            <w:hideMark/>
          </w:tcPr>
          <w:p w14:paraId="7A8550DA"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14.566,00</w:t>
            </w:r>
          </w:p>
        </w:tc>
        <w:tc>
          <w:tcPr>
            <w:tcW w:w="1418" w:type="dxa"/>
            <w:tcBorders>
              <w:top w:val="nil"/>
              <w:left w:val="nil"/>
              <w:bottom w:val="single" w:sz="4" w:space="0" w:color="auto"/>
              <w:right w:val="single" w:sz="4" w:space="0" w:color="auto"/>
            </w:tcBorders>
            <w:shd w:val="clear" w:color="auto" w:fill="FFFFFF"/>
            <w:noWrap/>
            <w:vAlign w:val="bottom"/>
            <w:hideMark/>
          </w:tcPr>
          <w:p w14:paraId="677BC5A9"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72.566,00</w:t>
            </w:r>
          </w:p>
        </w:tc>
      </w:tr>
      <w:tr w:rsidR="001C345D" w14:paraId="51440A5E"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421DA8FB"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A500002 Labin Art Republika</w:t>
            </w:r>
          </w:p>
        </w:tc>
        <w:tc>
          <w:tcPr>
            <w:tcW w:w="1496" w:type="dxa"/>
            <w:tcBorders>
              <w:top w:val="nil"/>
              <w:left w:val="nil"/>
              <w:bottom w:val="single" w:sz="4" w:space="0" w:color="auto"/>
              <w:right w:val="single" w:sz="4" w:space="0" w:color="auto"/>
            </w:tcBorders>
            <w:shd w:val="clear" w:color="auto" w:fill="FFFFFF"/>
            <w:noWrap/>
            <w:vAlign w:val="bottom"/>
            <w:hideMark/>
          </w:tcPr>
          <w:p w14:paraId="06E88060"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22.000,00</w:t>
            </w:r>
          </w:p>
        </w:tc>
        <w:tc>
          <w:tcPr>
            <w:tcW w:w="1631" w:type="dxa"/>
            <w:tcBorders>
              <w:top w:val="nil"/>
              <w:left w:val="nil"/>
              <w:bottom w:val="single" w:sz="4" w:space="0" w:color="auto"/>
              <w:right w:val="single" w:sz="4" w:space="0" w:color="auto"/>
            </w:tcBorders>
            <w:shd w:val="clear" w:color="auto" w:fill="FFFFFF"/>
            <w:noWrap/>
            <w:vAlign w:val="bottom"/>
            <w:hideMark/>
          </w:tcPr>
          <w:p w14:paraId="20919887"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5.000,00</w:t>
            </w:r>
          </w:p>
        </w:tc>
        <w:tc>
          <w:tcPr>
            <w:tcW w:w="1418" w:type="dxa"/>
            <w:tcBorders>
              <w:top w:val="nil"/>
              <w:left w:val="nil"/>
              <w:bottom w:val="single" w:sz="4" w:space="0" w:color="auto"/>
              <w:right w:val="single" w:sz="4" w:space="0" w:color="auto"/>
            </w:tcBorders>
            <w:shd w:val="clear" w:color="auto" w:fill="FFFFFF"/>
            <w:noWrap/>
            <w:vAlign w:val="bottom"/>
            <w:hideMark/>
          </w:tcPr>
          <w:p w14:paraId="0C95289F"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27.000,00</w:t>
            </w:r>
          </w:p>
        </w:tc>
      </w:tr>
      <w:tr w:rsidR="001C345D" w14:paraId="0B10BF6F"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3A4E913D"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A500003 Sufinanciranje projekata kulture</w:t>
            </w:r>
          </w:p>
        </w:tc>
        <w:tc>
          <w:tcPr>
            <w:tcW w:w="1496" w:type="dxa"/>
            <w:tcBorders>
              <w:top w:val="nil"/>
              <w:left w:val="nil"/>
              <w:bottom w:val="single" w:sz="4" w:space="0" w:color="auto"/>
              <w:right w:val="single" w:sz="4" w:space="0" w:color="auto"/>
            </w:tcBorders>
            <w:shd w:val="clear" w:color="auto" w:fill="FFFFFF"/>
            <w:noWrap/>
            <w:vAlign w:val="bottom"/>
            <w:hideMark/>
          </w:tcPr>
          <w:p w14:paraId="7326A9DF"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46.000,00</w:t>
            </w:r>
          </w:p>
        </w:tc>
        <w:tc>
          <w:tcPr>
            <w:tcW w:w="1631" w:type="dxa"/>
            <w:tcBorders>
              <w:top w:val="nil"/>
              <w:left w:val="nil"/>
              <w:bottom w:val="single" w:sz="4" w:space="0" w:color="auto"/>
              <w:right w:val="single" w:sz="4" w:space="0" w:color="auto"/>
            </w:tcBorders>
            <w:shd w:val="clear" w:color="auto" w:fill="FFFFFF"/>
            <w:noWrap/>
            <w:vAlign w:val="bottom"/>
            <w:hideMark/>
          </w:tcPr>
          <w:p w14:paraId="2D4FD29D"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1.000,00</w:t>
            </w:r>
          </w:p>
        </w:tc>
        <w:tc>
          <w:tcPr>
            <w:tcW w:w="1418" w:type="dxa"/>
            <w:tcBorders>
              <w:top w:val="nil"/>
              <w:left w:val="nil"/>
              <w:bottom w:val="single" w:sz="4" w:space="0" w:color="auto"/>
              <w:right w:val="single" w:sz="4" w:space="0" w:color="auto"/>
            </w:tcBorders>
            <w:shd w:val="clear" w:color="auto" w:fill="FFFFFF"/>
            <w:noWrap/>
            <w:vAlign w:val="bottom"/>
            <w:hideMark/>
          </w:tcPr>
          <w:p w14:paraId="6A4F9B96"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47.000,00</w:t>
            </w:r>
          </w:p>
        </w:tc>
      </w:tr>
      <w:tr w:rsidR="001C345D" w14:paraId="7A4798C2"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1C8CB50E"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 xml:space="preserve">Aktivnost A500004 </w:t>
            </w:r>
            <w:proofErr w:type="spellStart"/>
            <w:r>
              <w:rPr>
                <w:rFonts w:ascii="Arial" w:hAnsi="Arial" w:cs="Arial"/>
                <w:kern w:val="2"/>
                <w:sz w:val="20"/>
                <w:szCs w:val="20"/>
                <w14:ligatures w14:val="standardContextual"/>
              </w:rPr>
              <w:t>Brendiranje</w:t>
            </w:r>
            <w:proofErr w:type="spellEnd"/>
            <w:r>
              <w:rPr>
                <w:rFonts w:ascii="Arial" w:hAnsi="Arial" w:cs="Arial"/>
                <w:kern w:val="2"/>
                <w:sz w:val="20"/>
                <w:szCs w:val="20"/>
                <w14:ligatures w14:val="standardContextual"/>
              </w:rPr>
              <w:t xml:space="preserve">-Praktična realizacija na </w:t>
            </w:r>
            <w:proofErr w:type="spellStart"/>
            <w:r>
              <w:rPr>
                <w:rFonts w:ascii="Arial" w:hAnsi="Arial" w:cs="Arial"/>
                <w:kern w:val="2"/>
                <w:sz w:val="20"/>
                <w:szCs w:val="20"/>
                <w14:ligatures w14:val="standardContextual"/>
              </w:rPr>
              <w:t>proj</w:t>
            </w:r>
            <w:proofErr w:type="spellEnd"/>
            <w:r>
              <w:rPr>
                <w:rFonts w:ascii="Arial" w:hAnsi="Arial" w:cs="Arial"/>
                <w:kern w:val="2"/>
                <w:sz w:val="20"/>
                <w:szCs w:val="20"/>
                <w14:ligatures w14:val="standardContextual"/>
              </w:rPr>
              <w:t xml:space="preserve">. </w:t>
            </w:r>
            <w:proofErr w:type="spellStart"/>
            <w:r>
              <w:rPr>
                <w:rFonts w:ascii="Arial" w:hAnsi="Arial" w:cs="Arial"/>
                <w:kern w:val="2"/>
                <w:sz w:val="20"/>
                <w:szCs w:val="20"/>
                <w14:ligatures w14:val="standardContextual"/>
              </w:rPr>
              <w:t>cakavice</w:t>
            </w:r>
            <w:proofErr w:type="spellEnd"/>
            <w:r>
              <w:rPr>
                <w:rFonts w:ascii="Arial" w:hAnsi="Arial" w:cs="Arial"/>
                <w:kern w:val="2"/>
                <w:sz w:val="20"/>
                <w:szCs w:val="20"/>
                <w14:ligatures w14:val="standardContextual"/>
              </w:rPr>
              <w:t xml:space="preserve">, </w:t>
            </w:r>
            <w:proofErr w:type="spellStart"/>
            <w:r>
              <w:rPr>
                <w:rFonts w:ascii="Arial" w:hAnsi="Arial" w:cs="Arial"/>
                <w:kern w:val="2"/>
                <w:sz w:val="20"/>
                <w:szCs w:val="20"/>
                <w14:ligatures w14:val="standardContextual"/>
              </w:rPr>
              <w:t>M.Vlačića</w:t>
            </w:r>
            <w:proofErr w:type="spellEnd"/>
            <w:r>
              <w:rPr>
                <w:rFonts w:ascii="Arial" w:hAnsi="Arial" w:cs="Arial"/>
                <w:kern w:val="2"/>
                <w:sz w:val="20"/>
                <w:szCs w:val="20"/>
                <w14:ligatures w14:val="standardContextual"/>
              </w:rPr>
              <w:t xml:space="preserve"> i rudarstva</w:t>
            </w:r>
          </w:p>
        </w:tc>
        <w:tc>
          <w:tcPr>
            <w:tcW w:w="1496" w:type="dxa"/>
            <w:tcBorders>
              <w:top w:val="nil"/>
              <w:left w:val="nil"/>
              <w:bottom w:val="single" w:sz="4" w:space="0" w:color="auto"/>
              <w:right w:val="single" w:sz="4" w:space="0" w:color="auto"/>
            </w:tcBorders>
            <w:shd w:val="clear" w:color="auto" w:fill="FFFFFF"/>
            <w:noWrap/>
            <w:vAlign w:val="bottom"/>
            <w:hideMark/>
          </w:tcPr>
          <w:p w14:paraId="5D0AA89C"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11.500,00</w:t>
            </w:r>
          </w:p>
        </w:tc>
        <w:tc>
          <w:tcPr>
            <w:tcW w:w="1631" w:type="dxa"/>
            <w:tcBorders>
              <w:top w:val="nil"/>
              <w:left w:val="nil"/>
              <w:bottom w:val="single" w:sz="4" w:space="0" w:color="auto"/>
              <w:right w:val="single" w:sz="4" w:space="0" w:color="auto"/>
            </w:tcBorders>
            <w:shd w:val="clear" w:color="auto" w:fill="FFFFFF"/>
            <w:noWrap/>
            <w:vAlign w:val="bottom"/>
            <w:hideMark/>
          </w:tcPr>
          <w:p w14:paraId="7CF3504B"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0,00</w:t>
            </w:r>
          </w:p>
        </w:tc>
        <w:tc>
          <w:tcPr>
            <w:tcW w:w="1418" w:type="dxa"/>
            <w:tcBorders>
              <w:top w:val="nil"/>
              <w:left w:val="nil"/>
              <w:bottom w:val="single" w:sz="4" w:space="0" w:color="auto"/>
              <w:right w:val="single" w:sz="4" w:space="0" w:color="auto"/>
            </w:tcBorders>
            <w:shd w:val="clear" w:color="auto" w:fill="FFFFFF"/>
            <w:noWrap/>
            <w:vAlign w:val="bottom"/>
            <w:hideMark/>
          </w:tcPr>
          <w:p w14:paraId="1D5C5578"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11.500,00</w:t>
            </w:r>
          </w:p>
        </w:tc>
      </w:tr>
      <w:tr w:rsidR="001C345D" w14:paraId="729A3EF6"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27BC4536"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A500016 Kulturno povijesni susreti</w:t>
            </w:r>
          </w:p>
        </w:tc>
        <w:tc>
          <w:tcPr>
            <w:tcW w:w="1496" w:type="dxa"/>
            <w:tcBorders>
              <w:top w:val="nil"/>
              <w:left w:val="nil"/>
              <w:bottom w:val="single" w:sz="4" w:space="0" w:color="auto"/>
              <w:right w:val="single" w:sz="4" w:space="0" w:color="auto"/>
            </w:tcBorders>
            <w:shd w:val="clear" w:color="auto" w:fill="FFFFFF"/>
            <w:noWrap/>
            <w:vAlign w:val="bottom"/>
            <w:hideMark/>
          </w:tcPr>
          <w:p w14:paraId="7CB7F078"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2.000,00</w:t>
            </w:r>
          </w:p>
        </w:tc>
        <w:tc>
          <w:tcPr>
            <w:tcW w:w="1631" w:type="dxa"/>
            <w:tcBorders>
              <w:top w:val="nil"/>
              <w:left w:val="nil"/>
              <w:bottom w:val="single" w:sz="4" w:space="0" w:color="auto"/>
              <w:right w:val="single" w:sz="4" w:space="0" w:color="auto"/>
            </w:tcBorders>
            <w:shd w:val="clear" w:color="auto" w:fill="FFFFFF"/>
            <w:noWrap/>
            <w:vAlign w:val="bottom"/>
            <w:hideMark/>
          </w:tcPr>
          <w:p w14:paraId="37913337"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0,00</w:t>
            </w:r>
          </w:p>
        </w:tc>
        <w:tc>
          <w:tcPr>
            <w:tcW w:w="1418" w:type="dxa"/>
            <w:tcBorders>
              <w:top w:val="nil"/>
              <w:left w:val="nil"/>
              <w:bottom w:val="single" w:sz="4" w:space="0" w:color="auto"/>
              <w:right w:val="single" w:sz="4" w:space="0" w:color="auto"/>
            </w:tcBorders>
            <w:shd w:val="clear" w:color="auto" w:fill="FFFFFF"/>
            <w:noWrap/>
            <w:vAlign w:val="bottom"/>
            <w:hideMark/>
          </w:tcPr>
          <w:p w14:paraId="58669620"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2.000,00</w:t>
            </w:r>
          </w:p>
        </w:tc>
      </w:tr>
      <w:tr w:rsidR="001C345D" w14:paraId="47E2690A"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226E4E71"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A500017 Božić u Labinu</w:t>
            </w:r>
          </w:p>
        </w:tc>
        <w:tc>
          <w:tcPr>
            <w:tcW w:w="1496" w:type="dxa"/>
            <w:tcBorders>
              <w:top w:val="nil"/>
              <w:left w:val="nil"/>
              <w:bottom w:val="single" w:sz="4" w:space="0" w:color="auto"/>
              <w:right w:val="single" w:sz="4" w:space="0" w:color="auto"/>
            </w:tcBorders>
            <w:shd w:val="clear" w:color="auto" w:fill="FFFFFF"/>
            <w:noWrap/>
            <w:vAlign w:val="bottom"/>
            <w:hideMark/>
          </w:tcPr>
          <w:p w14:paraId="7CC40E41"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0,00</w:t>
            </w:r>
          </w:p>
        </w:tc>
        <w:tc>
          <w:tcPr>
            <w:tcW w:w="1631" w:type="dxa"/>
            <w:tcBorders>
              <w:top w:val="nil"/>
              <w:left w:val="nil"/>
              <w:bottom w:val="single" w:sz="4" w:space="0" w:color="auto"/>
              <w:right w:val="single" w:sz="4" w:space="0" w:color="auto"/>
            </w:tcBorders>
            <w:shd w:val="clear" w:color="auto" w:fill="FFFFFF"/>
            <w:noWrap/>
            <w:vAlign w:val="bottom"/>
            <w:hideMark/>
          </w:tcPr>
          <w:p w14:paraId="0863BF37"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40.000,00</w:t>
            </w:r>
          </w:p>
        </w:tc>
        <w:tc>
          <w:tcPr>
            <w:tcW w:w="1418" w:type="dxa"/>
            <w:tcBorders>
              <w:top w:val="nil"/>
              <w:left w:val="nil"/>
              <w:bottom w:val="single" w:sz="4" w:space="0" w:color="auto"/>
              <w:right w:val="single" w:sz="4" w:space="0" w:color="auto"/>
            </w:tcBorders>
            <w:shd w:val="clear" w:color="auto" w:fill="FFFFFF"/>
            <w:noWrap/>
            <w:vAlign w:val="bottom"/>
            <w:hideMark/>
          </w:tcPr>
          <w:p w14:paraId="75AB4E29"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40.000,00</w:t>
            </w:r>
          </w:p>
        </w:tc>
      </w:tr>
      <w:tr w:rsidR="001C345D" w14:paraId="256BD94F"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53E47F12"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Program 5006 Socijalna skrb</w:t>
            </w:r>
          </w:p>
        </w:tc>
        <w:tc>
          <w:tcPr>
            <w:tcW w:w="1496" w:type="dxa"/>
            <w:tcBorders>
              <w:top w:val="nil"/>
              <w:left w:val="nil"/>
              <w:bottom w:val="single" w:sz="4" w:space="0" w:color="auto"/>
              <w:right w:val="single" w:sz="4" w:space="0" w:color="auto"/>
            </w:tcBorders>
            <w:shd w:val="clear" w:color="auto" w:fill="FFFFFF"/>
            <w:noWrap/>
            <w:vAlign w:val="bottom"/>
            <w:hideMark/>
          </w:tcPr>
          <w:p w14:paraId="7FEBB897"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467.915,00</w:t>
            </w:r>
          </w:p>
        </w:tc>
        <w:tc>
          <w:tcPr>
            <w:tcW w:w="1631" w:type="dxa"/>
            <w:tcBorders>
              <w:top w:val="nil"/>
              <w:left w:val="nil"/>
              <w:bottom w:val="single" w:sz="4" w:space="0" w:color="auto"/>
              <w:right w:val="single" w:sz="4" w:space="0" w:color="auto"/>
            </w:tcBorders>
            <w:shd w:val="clear" w:color="auto" w:fill="FFFFFF"/>
            <w:noWrap/>
            <w:vAlign w:val="bottom"/>
            <w:hideMark/>
          </w:tcPr>
          <w:p w14:paraId="11157E02"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150.100,00</w:t>
            </w:r>
          </w:p>
        </w:tc>
        <w:tc>
          <w:tcPr>
            <w:tcW w:w="1418" w:type="dxa"/>
            <w:tcBorders>
              <w:top w:val="nil"/>
              <w:left w:val="nil"/>
              <w:bottom w:val="single" w:sz="4" w:space="0" w:color="auto"/>
              <w:right w:val="single" w:sz="4" w:space="0" w:color="auto"/>
            </w:tcBorders>
            <w:shd w:val="clear" w:color="auto" w:fill="FFFFFF"/>
            <w:noWrap/>
            <w:vAlign w:val="bottom"/>
            <w:hideMark/>
          </w:tcPr>
          <w:p w14:paraId="008FBDAA"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618.015,00</w:t>
            </w:r>
          </w:p>
        </w:tc>
      </w:tr>
      <w:tr w:rsidR="001C345D" w14:paraId="27CCFF5C"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357C682B"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A500001 Socijalna zaštita djece i mladih</w:t>
            </w:r>
          </w:p>
        </w:tc>
        <w:tc>
          <w:tcPr>
            <w:tcW w:w="1496" w:type="dxa"/>
            <w:tcBorders>
              <w:top w:val="nil"/>
              <w:left w:val="nil"/>
              <w:bottom w:val="single" w:sz="4" w:space="0" w:color="auto"/>
              <w:right w:val="single" w:sz="4" w:space="0" w:color="auto"/>
            </w:tcBorders>
            <w:shd w:val="clear" w:color="auto" w:fill="FFFFFF"/>
            <w:noWrap/>
            <w:vAlign w:val="bottom"/>
            <w:hideMark/>
          </w:tcPr>
          <w:p w14:paraId="00B50F02"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86.000,00</w:t>
            </w:r>
          </w:p>
        </w:tc>
        <w:tc>
          <w:tcPr>
            <w:tcW w:w="1631" w:type="dxa"/>
            <w:tcBorders>
              <w:top w:val="nil"/>
              <w:left w:val="nil"/>
              <w:bottom w:val="single" w:sz="4" w:space="0" w:color="auto"/>
              <w:right w:val="single" w:sz="4" w:space="0" w:color="auto"/>
            </w:tcBorders>
            <w:shd w:val="clear" w:color="auto" w:fill="FFFFFF"/>
            <w:noWrap/>
            <w:vAlign w:val="bottom"/>
            <w:hideMark/>
          </w:tcPr>
          <w:p w14:paraId="3D0D5F32"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0,00</w:t>
            </w:r>
          </w:p>
        </w:tc>
        <w:tc>
          <w:tcPr>
            <w:tcW w:w="1418" w:type="dxa"/>
            <w:tcBorders>
              <w:top w:val="nil"/>
              <w:left w:val="nil"/>
              <w:bottom w:val="single" w:sz="4" w:space="0" w:color="auto"/>
              <w:right w:val="single" w:sz="4" w:space="0" w:color="auto"/>
            </w:tcBorders>
            <w:shd w:val="clear" w:color="auto" w:fill="FFFFFF"/>
            <w:noWrap/>
            <w:vAlign w:val="bottom"/>
            <w:hideMark/>
          </w:tcPr>
          <w:p w14:paraId="4509E618"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86.000,00</w:t>
            </w:r>
          </w:p>
        </w:tc>
      </w:tr>
      <w:tr w:rsidR="001C345D" w14:paraId="5AA2B8C7"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7E6D41B0"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A500002 Socijalna zaštita starijih, bolesnih i nemoćnih osoba</w:t>
            </w:r>
          </w:p>
        </w:tc>
        <w:tc>
          <w:tcPr>
            <w:tcW w:w="1496" w:type="dxa"/>
            <w:tcBorders>
              <w:top w:val="nil"/>
              <w:left w:val="nil"/>
              <w:bottom w:val="single" w:sz="4" w:space="0" w:color="auto"/>
              <w:right w:val="single" w:sz="4" w:space="0" w:color="auto"/>
            </w:tcBorders>
            <w:shd w:val="clear" w:color="auto" w:fill="FFFFFF"/>
            <w:noWrap/>
            <w:vAlign w:val="bottom"/>
            <w:hideMark/>
          </w:tcPr>
          <w:p w14:paraId="407DF1E7"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101.000,00</w:t>
            </w:r>
          </w:p>
        </w:tc>
        <w:tc>
          <w:tcPr>
            <w:tcW w:w="1631" w:type="dxa"/>
            <w:tcBorders>
              <w:top w:val="nil"/>
              <w:left w:val="nil"/>
              <w:bottom w:val="single" w:sz="4" w:space="0" w:color="auto"/>
              <w:right w:val="single" w:sz="4" w:space="0" w:color="auto"/>
            </w:tcBorders>
            <w:shd w:val="clear" w:color="auto" w:fill="FFFFFF"/>
            <w:noWrap/>
            <w:vAlign w:val="bottom"/>
            <w:hideMark/>
          </w:tcPr>
          <w:p w14:paraId="3AB5F339"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119.000,00</w:t>
            </w:r>
          </w:p>
        </w:tc>
        <w:tc>
          <w:tcPr>
            <w:tcW w:w="1418" w:type="dxa"/>
            <w:tcBorders>
              <w:top w:val="nil"/>
              <w:left w:val="nil"/>
              <w:bottom w:val="single" w:sz="4" w:space="0" w:color="auto"/>
              <w:right w:val="single" w:sz="4" w:space="0" w:color="auto"/>
            </w:tcBorders>
            <w:shd w:val="clear" w:color="auto" w:fill="FFFFFF"/>
            <w:noWrap/>
            <w:vAlign w:val="bottom"/>
            <w:hideMark/>
          </w:tcPr>
          <w:p w14:paraId="7140B668"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220.000,00</w:t>
            </w:r>
          </w:p>
        </w:tc>
      </w:tr>
      <w:tr w:rsidR="001C345D" w14:paraId="33A336AF"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2F979405"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A500003 Socijalna zaštita obitelji</w:t>
            </w:r>
          </w:p>
        </w:tc>
        <w:tc>
          <w:tcPr>
            <w:tcW w:w="1496" w:type="dxa"/>
            <w:tcBorders>
              <w:top w:val="nil"/>
              <w:left w:val="nil"/>
              <w:bottom w:val="single" w:sz="4" w:space="0" w:color="auto"/>
              <w:right w:val="single" w:sz="4" w:space="0" w:color="auto"/>
            </w:tcBorders>
            <w:shd w:val="clear" w:color="auto" w:fill="FFFFFF"/>
            <w:noWrap/>
            <w:vAlign w:val="bottom"/>
            <w:hideMark/>
          </w:tcPr>
          <w:p w14:paraId="6516429B"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114.000,00</w:t>
            </w:r>
          </w:p>
        </w:tc>
        <w:tc>
          <w:tcPr>
            <w:tcW w:w="1631" w:type="dxa"/>
            <w:tcBorders>
              <w:top w:val="nil"/>
              <w:left w:val="nil"/>
              <w:bottom w:val="single" w:sz="4" w:space="0" w:color="auto"/>
              <w:right w:val="single" w:sz="4" w:space="0" w:color="auto"/>
            </w:tcBorders>
            <w:shd w:val="clear" w:color="auto" w:fill="FFFFFF"/>
            <w:noWrap/>
            <w:vAlign w:val="bottom"/>
            <w:hideMark/>
          </w:tcPr>
          <w:p w14:paraId="22061664"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7.000,00</w:t>
            </w:r>
          </w:p>
        </w:tc>
        <w:tc>
          <w:tcPr>
            <w:tcW w:w="1418" w:type="dxa"/>
            <w:tcBorders>
              <w:top w:val="nil"/>
              <w:left w:val="nil"/>
              <w:bottom w:val="single" w:sz="4" w:space="0" w:color="auto"/>
              <w:right w:val="single" w:sz="4" w:space="0" w:color="auto"/>
            </w:tcBorders>
            <w:shd w:val="clear" w:color="auto" w:fill="FFFFFF"/>
            <w:noWrap/>
            <w:vAlign w:val="bottom"/>
            <w:hideMark/>
          </w:tcPr>
          <w:p w14:paraId="5E95CB40"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121.000,00</w:t>
            </w:r>
          </w:p>
        </w:tc>
      </w:tr>
      <w:tr w:rsidR="001C345D" w14:paraId="6C895E10"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1775A8A6"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A500004 Socijalna zaštita osoba s invaliditetom</w:t>
            </w:r>
          </w:p>
        </w:tc>
        <w:tc>
          <w:tcPr>
            <w:tcW w:w="1496" w:type="dxa"/>
            <w:tcBorders>
              <w:top w:val="nil"/>
              <w:left w:val="nil"/>
              <w:bottom w:val="single" w:sz="4" w:space="0" w:color="auto"/>
              <w:right w:val="single" w:sz="4" w:space="0" w:color="auto"/>
            </w:tcBorders>
            <w:shd w:val="clear" w:color="auto" w:fill="FFFFFF"/>
            <w:noWrap/>
            <w:vAlign w:val="bottom"/>
            <w:hideMark/>
          </w:tcPr>
          <w:p w14:paraId="17D3B050"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14.265,00</w:t>
            </w:r>
          </w:p>
        </w:tc>
        <w:tc>
          <w:tcPr>
            <w:tcW w:w="1631" w:type="dxa"/>
            <w:tcBorders>
              <w:top w:val="nil"/>
              <w:left w:val="nil"/>
              <w:bottom w:val="single" w:sz="4" w:space="0" w:color="auto"/>
              <w:right w:val="single" w:sz="4" w:space="0" w:color="auto"/>
            </w:tcBorders>
            <w:shd w:val="clear" w:color="auto" w:fill="FFFFFF"/>
            <w:noWrap/>
            <w:vAlign w:val="bottom"/>
            <w:hideMark/>
          </w:tcPr>
          <w:p w14:paraId="2F1FB5E5"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0,00</w:t>
            </w:r>
          </w:p>
        </w:tc>
        <w:tc>
          <w:tcPr>
            <w:tcW w:w="1418" w:type="dxa"/>
            <w:tcBorders>
              <w:top w:val="nil"/>
              <w:left w:val="nil"/>
              <w:bottom w:val="single" w:sz="4" w:space="0" w:color="auto"/>
              <w:right w:val="single" w:sz="4" w:space="0" w:color="auto"/>
            </w:tcBorders>
            <w:shd w:val="clear" w:color="auto" w:fill="FFFFFF"/>
            <w:noWrap/>
            <w:vAlign w:val="bottom"/>
            <w:hideMark/>
          </w:tcPr>
          <w:p w14:paraId="6E91DAF2"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14.265,00</w:t>
            </w:r>
          </w:p>
        </w:tc>
      </w:tr>
      <w:tr w:rsidR="001C345D" w14:paraId="685DBA83"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6CEA783B"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A500006 Humanitarne akcije</w:t>
            </w:r>
          </w:p>
        </w:tc>
        <w:tc>
          <w:tcPr>
            <w:tcW w:w="1496" w:type="dxa"/>
            <w:tcBorders>
              <w:top w:val="nil"/>
              <w:left w:val="nil"/>
              <w:bottom w:val="single" w:sz="4" w:space="0" w:color="auto"/>
              <w:right w:val="single" w:sz="4" w:space="0" w:color="auto"/>
            </w:tcBorders>
            <w:shd w:val="clear" w:color="auto" w:fill="FFFFFF"/>
            <w:noWrap/>
            <w:vAlign w:val="bottom"/>
            <w:hideMark/>
          </w:tcPr>
          <w:p w14:paraId="7A136957"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2.000,00</w:t>
            </w:r>
          </w:p>
        </w:tc>
        <w:tc>
          <w:tcPr>
            <w:tcW w:w="1631" w:type="dxa"/>
            <w:tcBorders>
              <w:top w:val="nil"/>
              <w:left w:val="nil"/>
              <w:bottom w:val="single" w:sz="4" w:space="0" w:color="auto"/>
              <w:right w:val="single" w:sz="4" w:space="0" w:color="auto"/>
            </w:tcBorders>
            <w:shd w:val="clear" w:color="auto" w:fill="FFFFFF"/>
            <w:noWrap/>
            <w:vAlign w:val="bottom"/>
            <w:hideMark/>
          </w:tcPr>
          <w:p w14:paraId="55BD1CD3"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0,00</w:t>
            </w:r>
          </w:p>
        </w:tc>
        <w:tc>
          <w:tcPr>
            <w:tcW w:w="1418" w:type="dxa"/>
            <w:tcBorders>
              <w:top w:val="nil"/>
              <w:left w:val="nil"/>
              <w:bottom w:val="single" w:sz="4" w:space="0" w:color="auto"/>
              <w:right w:val="single" w:sz="4" w:space="0" w:color="auto"/>
            </w:tcBorders>
            <w:shd w:val="clear" w:color="auto" w:fill="FFFFFF"/>
            <w:noWrap/>
            <w:vAlign w:val="bottom"/>
            <w:hideMark/>
          </w:tcPr>
          <w:p w14:paraId="5307ABFC"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2.000,00</w:t>
            </w:r>
          </w:p>
        </w:tc>
      </w:tr>
      <w:tr w:rsidR="001C345D" w14:paraId="6EC987FE"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6EC916DE"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A500007 Socijalna zaštita obitelji u nužnom smještaju</w:t>
            </w:r>
          </w:p>
        </w:tc>
        <w:tc>
          <w:tcPr>
            <w:tcW w:w="1496" w:type="dxa"/>
            <w:tcBorders>
              <w:top w:val="nil"/>
              <w:left w:val="nil"/>
              <w:bottom w:val="single" w:sz="4" w:space="0" w:color="auto"/>
              <w:right w:val="single" w:sz="4" w:space="0" w:color="auto"/>
            </w:tcBorders>
            <w:shd w:val="clear" w:color="auto" w:fill="FFFFFF"/>
            <w:noWrap/>
            <w:vAlign w:val="bottom"/>
            <w:hideMark/>
          </w:tcPr>
          <w:p w14:paraId="337F3657"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19.000,00</w:t>
            </w:r>
          </w:p>
        </w:tc>
        <w:tc>
          <w:tcPr>
            <w:tcW w:w="1631" w:type="dxa"/>
            <w:tcBorders>
              <w:top w:val="nil"/>
              <w:left w:val="nil"/>
              <w:bottom w:val="single" w:sz="4" w:space="0" w:color="auto"/>
              <w:right w:val="single" w:sz="4" w:space="0" w:color="auto"/>
            </w:tcBorders>
            <w:shd w:val="clear" w:color="auto" w:fill="FFFFFF"/>
            <w:noWrap/>
            <w:vAlign w:val="bottom"/>
            <w:hideMark/>
          </w:tcPr>
          <w:p w14:paraId="32546C77"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0,00</w:t>
            </w:r>
          </w:p>
        </w:tc>
        <w:tc>
          <w:tcPr>
            <w:tcW w:w="1418" w:type="dxa"/>
            <w:tcBorders>
              <w:top w:val="nil"/>
              <w:left w:val="nil"/>
              <w:bottom w:val="single" w:sz="4" w:space="0" w:color="auto"/>
              <w:right w:val="single" w:sz="4" w:space="0" w:color="auto"/>
            </w:tcBorders>
            <w:shd w:val="clear" w:color="auto" w:fill="FFFFFF"/>
            <w:noWrap/>
            <w:vAlign w:val="bottom"/>
            <w:hideMark/>
          </w:tcPr>
          <w:p w14:paraId="6BD1E84B"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19.000,00</w:t>
            </w:r>
          </w:p>
        </w:tc>
      </w:tr>
      <w:tr w:rsidR="001C345D" w14:paraId="7A98FEDB"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44731A21"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 xml:space="preserve">Aktivnost A500008 Programi udruga i ustanova u području </w:t>
            </w:r>
            <w:proofErr w:type="spellStart"/>
            <w:r>
              <w:rPr>
                <w:rFonts w:ascii="Arial" w:hAnsi="Arial" w:cs="Arial"/>
                <w:kern w:val="2"/>
                <w:sz w:val="20"/>
                <w:szCs w:val="20"/>
                <w14:ligatures w14:val="standardContextual"/>
              </w:rPr>
              <w:t>soc.skrbi</w:t>
            </w:r>
            <w:proofErr w:type="spellEnd"/>
          </w:p>
        </w:tc>
        <w:tc>
          <w:tcPr>
            <w:tcW w:w="1496" w:type="dxa"/>
            <w:tcBorders>
              <w:top w:val="nil"/>
              <w:left w:val="nil"/>
              <w:bottom w:val="single" w:sz="4" w:space="0" w:color="auto"/>
              <w:right w:val="single" w:sz="4" w:space="0" w:color="auto"/>
            </w:tcBorders>
            <w:shd w:val="clear" w:color="auto" w:fill="FFFFFF"/>
            <w:noWrap/>
            <w:vAlign w:val="bottom"/>
            <w:hideMark/>
          </w:tcPr>
          <w:p w14:paraId="0EBE2B66"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131.650,00</w:t>
            </w:r>
          </w:p>
        </w:tc>
        <w:tc>
          <w:tcPr>
            <w:tcW w:w="1631" w:type="dxa"/>
            <w:tcBorders>
              <w:top w:val="nil"/>
              <w:left w:val="nil"/>
              <w:bottom w:val="single" w:sz="4" w:space="0" w:color="auto"/>
              <w:right w:val="single" w:sz="4" w:space="0" w:color="auto"/>
            </w:tcBorders>
            <w:shd w:val="clear" w:color="auto" w:fill="FFFFFF"/>
            <w:noWrap/>
            <w:vAlign w:val="bottom"/>
            <w:hideMark/>
          </w:tcPr>
          <w:p w14:paraId="30939F81"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24.100,00</w:t>
            </w:r>
          </w:p>
        </w:tc>
        <w:tc>
          <w:tcPr>
            <w:tcW w:w="1418" w:type="dxa"/>
            <w:tcBorders>
              <w:top w:val="nil"/>
              <w:left w:val="nil"/>
              <w:bottom w:val="single" w:sz="4" w:space="0" w:color="auto"/>
              <w:right w:val="single" w:sz="4" w:space="0" w:color="auto"/>
            </w:tcBorders>
            <w:shd w:val="clear" w:color="auto" w:fill="FFFFFF"/>
            <w:noWrap/>
            <w:vAlign w:val="bottom"/>
            <w:hideMark/>
          </w:tcPr>
          <w:p w14:paraId="2A5ADB3A"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155.750,00</w:t>
            </w:r>
          </w:p>
        </w:tc>
      </w:tr>
      <w:tr w:rsidR="001C345D" w14:paraId="7C96104D"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5A762000"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Program 5008 Zdravstvo</w:t>
            </w:r>
          </w:p>
        </w:tc>
        <w:tc>
          <w:tcPr>
            <w:tcW w:w="1496" w:type="dxa"/>
            <w:tcBorders>
              <w:top w:val="nil"/>
              <w:left w:val="nil"/>
              <w:bottom w:val="single" w:sz="4" w:space="0" w:color="auto"/>
              <w:right w:val="single" w:sz="4" w:space="0" w:color="auto"/>
            </w:tcBorders>
            <w:shd w:val="clear" w:color="auto" w:fill="FFFFFF"/>
            <w:noWrap/>
            <w:vAlign w:val="bottom"/>
            <w:hideMark/>
          </w:tcPr>
          <w:p w14:paraId="00B6975D"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120.800,00</w:t>
            </w:r>
          </w:p>
        </w:tc>
        <w:tc>
          <w:tcPr>
            <w:tcW w:w="1631" w:type="dxa"/>
            <w:tcBorders>
              <w:top w:val="nil"/>
              <w:left w:val="nil"/>
              <w:bottom w:val="single" w:sz="4" w:space="0" w:color="auto"/>
              <w:right w:val="single" w:sz="4" w:space="0" w:color="auto"/>
            </w:tcBorders>
            <w:shd w:val="clear" w:color="auto" w:fill="FFFFFF"/>
            <w:noWrap/>
            <w:vAlign w:val="bottom"/>
            <w:hideMark/>
          </w:tcPr>
          <w:p w14:paraId="77D98BD2"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43.548,00</w:t>
            </w:r>
          </w:p>
        </w:tc>
        <w:tc>
          <w:tcPr>
            <w:tcW w:w="1418" w:type="dxa"/>
            <w:tcBorders>
              <w:top w:val="nil"/>
              <w:left w:val="nil"/>
              <w:bottom w:val="single" w:sz="4" w:space="0" w:color="auto"/>
              <w:right w:val="single" w:sz="4" w:space="0" w:color="auto"/>
            </w:tcBorders>
            <w:shd w:val="clear" w:color="auto" w:fill="FFFFFF"/>
            <w:noWrap/>
            <w:vAlign w:val="bottom"/>
            <w:hideMark/>
          </w:tcPr>
          <w:p w14:paraId="6FD5EA9A"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164.348,00</w:t>
            </w:r>
          </w:p>
        </w:tc>
      </w:tr>
      <w:tr w:rsidR="001C345D" w14:paraId="1B2B2322"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23FC4BA4"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A500001 Hitna medicinska pomoć</w:t>
            </w:r>
          </w:p>
        </w:tc>
        <w:tc>
          <w:tcPr>
            <w:tcW w:w="1496" w:type="dxa"/>
            <w:tcBorders>
              <w:top w:val="nil"/>
              <w:left w:val="nil"/>
              <w:bottom w:val="single" w:sz="4" w:space="0" w:color="auto"/>
              <w:right w:val="single" w:sz="4" w:space="0" w:color="auto"/>
            </w:tcBorders>
            <w:shd w:val="clear" w:color="auto" w:fill="FFFFFF"/>
            <w:noWrap/>
            <w:vAlign w:val="bottom"/>
            <w:hideMark/>
          </w:tcPr>
          <w:p w14:paraId="20EE9B30"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92.800,00</w:t>
            </w:r>
          </w:p>
        </w:tc>
        <w:tc>
          <w:tcPr>
            <w:tcW w:w="1631" w:type="dxa"/>
            <w:tcBorders>
              <w:top w:val="nil"/>
              <w:left w:val="nil"/>
              <w:bottom w:val="single" w:sz="4" w:space="0" w:color="auto"/>
              <w:right w:val="single" w:sz="4" w:space="0" w:color="auto"/>
            </w:tcBorders>
            <w:shd w:val="clear" w:color="auto" w:fill="FFFFFF"/>
            <w:noWrap/>
            <w:vAlign w:val="bottom"/>
            <w:hideMark/>
          </w:tcPr>
          <w:p w14:paraId="7CC43449"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0,00</w:t>
            </w:r>
          </w:p>
        </w:tc>
        <w:tc>
          <w:tcPr>
            <w:tcW w:w="1418" w:type="dxa"/>
            <w:tcBorders>
              <w:top w:val="nil"/>
              <w:left w:val="nil"/>
              <w:bottom w:val="single" w:sz="4" w:space="0" w:color="auto"/>
              <w:right w:val="single" w:sz="4" w:space="0" w:color="auto"/>
            </w:tcBorders>
            <w:shd w:val="clear" w:color="auto" w:fill="FFFFFF"/>
            <w:noWrap/>
            <w:vAlign w:val="bottom"/>
            <w:hideMark/>
          </w:tcPr>
          <w:p w14:paraId="0E16C909"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92.800,00</w:t>
            </w:r>
          </w:p>
        </w:tc>
      </w:tr>
      <w:tr w:rsidR="001C345D" w14:paraId="50C2491F"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60EF800E"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A500008 Prevencija bolesti i promocija zdravlja</w:t>
            </w:r>
          </w:p>
        </w:tc>
        <w:tc>
          <w:tcPr>
            <w:tcW w:w="1496" w:type="dxa"/>
            <w:tcBorders>
              <w:top w:val="nil"/>
              <w:left w:val="nil"/>
              <w:bottom w:val="single" w:sz="4" w:space="0" w:color="auto"/>
              <w:right w:val="single" w:sz="4" w:space="0" w:color="auto"/>
            </w:tcBorders>
            <w:shd w:val="clear" w:color="auto" w:fill="FFFFFF"/>
            <w:noWrap/>
            <w:vAlign w:val="bottom"/>
            <w:hideMark/>
          </w:tcPr>
          <w:p w14:paraId="5F107579"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28.000,00</w:t>
            </w:r>
          </w:p>
        </w:tc>
        <w:tc>
          <w:tcPr>
            <w:tcW w:w="1631" w:type="dxa"/>
            <w:tcBorders>
              <w:top w:val="nil"/>
              <w:left w:val="nil"/>
              <w:bottom w:val="single" w:sz="4" w:space="0" w:color="auto"/>
              <w:right w:val="single" w:sz="4" w:space="0" w:color="auto"/>
            </w:tcBorders>
            <w:shd w:val="clear" w:color="auto" w:fill="FFFFFF"/>
            <w:noWrap/>
            <w:vAlign w:val="bottom"/>
            <w:hideMark/>
          </w:tcPr>
          <w:p w14:paraId="15777B60"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43.548,00</w:t>
            </w:r>
          </w:p>
        </w:tc>
        <w:tc>
          <w:tcPr>
            <w:tcW w:w="1418" w:type="dxa"/>
            <w:tcBorders>
              <w:top w:val="nil"/>
              <w:left w:val="nil"/>
              <w:bottom w:val="single" w:sz="4" w:space="0" w:color="auto"/>
              <w:right w:val="single" w:sz="4" w:space="0" w:color="auto"/>
            </w:tcBorders>
            <w:shd w:val="clear" w:color="auto" w:fill="FFFFFF"/>
            <w:noWrap/>
            <w:vAlign w:val="bottom"/>
            <w:hideMark/>
          </w:tcPr>
          <w:p w14:paraId="23C4D23E"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71.548,00</w:t>
            </w:r>
          </w:p>
        </w:tc>
      </w:tr>
      <w:tr w:rsidR="001C345D" w14:paraId="7C168899"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487C17BB"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Program 5009 Razvoj civilnog društva</w:t>
            </w:r>
          </w:p>
        </w:tc>
        <w:tc>
          <w:tcPr>
            <w:tcW w:w="1496" w:type="dxa"/>
            <w:tcBorders>
              <w:top w:val="nil"/>
              <w:left w:val="nil"/>
              <w:bottom w:val="single" w:sz="4" w:space="0" w:color="auto"/>
              <w:right w:val="single" w:sz="4" w:space="0" w:color="auto"/>
            </w:tcBorders>
            <w:shd w:val="clear" w:color="auto" w:fill="FFFFFF"/>
            <w:noWrap/>
            <w:vAlign w:val="bottom"/>
            <w:hideMark/>
          </w:tcPr>
          <w:p w14:paraId="5BA7493B"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25.000,00</w:t>
            </w:r>
          </w:p>
        </w:tc>
        <w:tc>
          <w:tcPr>
            <w:tcW w:w="1631" w:type="dxa"/>
            <w:tcBorders>
              <w:top w:val="nil"/>
              <w:left w:val="nil"/>
              <w:bottom w:val="single" w:sz="4" w:space="0" w:color="auto"/>
              <w:right w:val="single" w:sz="4" w:space="0" w:color="auto"/>
            </w:tcBorders>
            <w:shd w:val="clear" w:color="auto" w:fill="FFFFFF"/>
            <w:noWrap/>
            <w:vAlign w:val="bottom"/>
            <w:hideMark/>
          </w:tcPr>
          <w:p w14:paraId="3BB156A4"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0,00</w:t>
            </w:r>
          </w:p>
        </w:tc>
        <w:tc>
          <w:tcPr>
            <w:tcW w:w="1418" w:type="dxa"/>
            <w:tcBorders>
              <w:top w:val="nil"/>
              <w:left w:val="nil"/>
              <w:bottom w:val="single" w:sz="4" w:space="0" w:color="auto"/>
              <w:right w:val="single" w:sz="4" w:space="0" w:color="auto"/>
            </w:tcBorders>
            <w:shd w:val="clear" w:color="auto" w:fill="FFFFFF"/>
            <w:noWrap/>
            <w:vAlign w:val="bottom"/>
            <w:hideMark/>
          </w:tcPr>
          <w:p w14:paraId="1D55B53C"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25.000,00</w:t>
            </w:r>
          </w:p>
        </w:tc>
      </w:tr>
      <w:tr w:rsidR="001C345D" w14:paraId="72AD09ED"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07835291"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lastRenderedPageBreak/>
              <w:t>Aktivnost A500001 Financiranje udruga građana</w:t>
            </w:r>
          </w:p>
        </w:tc>
        <w:tc>
          <w:tcPr>
            <w:tcW w:w="1496" w:type="dxa"/>
            <w:tcBorders>
              <w:top w:val="nil"/>
              <w:left w:val="nil"/>
              <w:bottom w:val="single" w:sz="4" w:space="0" w:color="auto"/>
              <w:right w:val="single" w:sz="4" w:space="0" w:color="auto"/>
            </w:tcBorders>
            <w:shd w:val="clear" w:color="auto" w:fill="FFFFFF"/>
            <w:noWrap/>
            <w:vAlign w:val="bottom"/>
            <w:hideMark/>
          </w:tcPr>
          <w:p w14:paraId="54033740"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25.000,00</w:t>
            </w:r>
          </w:p>
        </w:tc>
        <w:tc>
          <w:tcPr>
            <w:tcW w:w="1631" w:type="dxa"/>
            <w:tcBorders>
              <w:top w:val="nil"/>
              <w:left w:val="nil"/>
              <w:bottom w:val="single" w:sz="4" w:space="0" w:color="auto"/>
              <w:right w:val="single" w:sz="4" w:space="0" w:color="auto"/>
            </w:tcBorders>
            <w:shd w:val="clear" w:color="auto" w:fill="FFFFFF"/>
            <w:noWrap/>
            <w:vAlign w:val="bottom"/>
            <w:hideMark/>
          </w:tcPr>
          <w:p w14:paraId="1A6B8365"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0,00</w:t>
            </w:r>
          </w:p>
        </w:tc>
        <w:tc>
          <w:tcPr>
            <w:tcW w:w="1418" w:type="dxa"/>
            <w:tcBorders>
              <w:top w:val="nil"/>
              <w:left w:val="nil"/>
              <w:bottom w:val="single" w:sz="4" w:space="0" w:color="auto"/>
              <w:right w:val="single" w:sz="4" w:space="0" w:color="auto"/>
            </w:tcBorders>
            <w:shd w:val="clear" w:color="auto" w:fill="FFFFFF"/>
            <w:noWrap/>
            <w:vAlign w:val="bottom"/>
            <w:hideMark/>
          </w:tcPr>
          <w:p w14:paraId="299C77CF"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25.000,00</w:t>
            </w:r>
          </w:p>
        </w:tc>
      </w:tr>
      <w:tr w:rsidR="001C345D" w14:paraId="0738F1A0"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7362BF1B"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Program 5010 Preventivni programi i aktivnosti</w:t>
            </w:r>
          </w:p>
        </w:tc>
        <w:tc>
          <w:tcPr>
            <w:tcW w:w="1496" w:type="dxa"/>
            <w:tcBorders>
              <w:top w:val="nil"/>
              <w:left w:val="nil"/>
              <w:bottom w:val="single" w:sz="4" w:space="0" w:color="auto"/>
              <w:right w:val="single" w:sz="4" w:space="0" w:color="auto"/>
            </w:tcBorders>
            <w:shd w:val="clear" w:color="auto" w:fill="FFFFFF"/>
            <w:noWrap/>
            <w:vAlign w:val="bottom"/>
            <w:hideMark/>
          </w:tcPr>
          <w:p w14:paraId="2E4A724F"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45.000,00</w:t>
            </w:r>
          </w:p>
        </w:tc>
        <w:tc>
          <w:tcPr>
            <w:tcW w:w="1631" w:type="dxa"/>
            <w:tcBorders>
              <w:top w:val="nil"/>
              <w:left w:val="nil"/>
              <w:bottom w:val="single" w:sz="4" w:space="0" w:color="auto"/>
              <w:right w:val="single" w:sz="4" w:space="0" w:color="auto"/>
            </w:tcBorders>
            <w:shd w:val="clear" w:color="auto" w:fill="FFFFFF"/>
            <w:noWrap/>
            <w:vAlign w:val="bottom"/>
            <w:hideMark/>
          </w:tcPr>
          <w:p w14:paraId="79101225"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12.470,00</w:t>
            </w:r>
          </w:p>
        </w:tc>
        <w:tc>
          <w:tcPr>
            <w:tcW w:w="1418" w:type="dxa"/>
            <w:tcBorders>
              <w:top w:val="nil"/>
              <w:left w:val="nil"/>
              <w:bottom w:val="single" w:sz="4" w:space="0" w:color="auto"/>
              <w:right w:val="single" w:sz="4" w:space="0" w:color="auto"/>
            </w:tcBorders>
            <w:shd w:val="clear" w:color="auto" w:fill="FFFFFF"/>
            <w:noWrap/>
            <w:vAlign w:val="bottom"/>
            <w:hideMark/>
          </w:tcPr>
          <w:p w14:paraId="78950049"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57.470,00</w:t>
            </w:r>
          </w:p>
        </w:tc>
      </w:tr>
      <w:tr w:rsidR="001C345D" w14:paraId="60078664"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2E9A3967"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A500001 Grad Prijatelj djece</w:t>
            </w:r>
          </w:p>
        </w:tc>
        <w:tc>
          <w:tcPr>
            <w:tcW w:w="1496" w:type="dxa"/>
            <w:tcBorders>
              <w:top w:val="nil"/>
              <w:left w:val="nil"/>
              <w:bottom w:val="single" w:sz="4" w:space="0" w:color="auto"/>
              <w:right w:val="single" w:sz="4" w:space="0" w:color="auto"/>
            </w:tcBorders>
            <w:shd w:val="clear" w:color="auto" w:fill="FFFFFF"/>
            <w:noWrap/>
            <w:vAlign w:val="bottom"/>
            <w:hideMark/>
          </w:tcPr>
          <w:p w14:paraId="6D98F9AF"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500,00</w:t>
            </w:r>
          </w:p>
        </w:tc>
        <w:tc>
          <w:tcPr>
            <w:tcW w:w="1631" w:type="dxa"/>
            <w:tcBorders>
              <w:top w:val="nil"/>
              <w:left w:val="nil"/>
              <w:bottom w:val="single" w:sz="4" w:space="0" w:color="auto"/>
              <w:right w:val="single" w:sz="4" w:space="0" w:color="auto"/>
            </w:tcBorders>
            <w:shd w:val="clear" w:color="auto" w:fill="FFFFFF"/>
            <w:noWrap/>
            <w:vAlign w:val="bottom"/>
            <w:hideMark/>
          </w:tcPr>
          <w:p w14:paraId="20AFA38A"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1.200,00</w:t>
            </w:r>
          </w:p>
        </w:tc>
        <w:tc>
          <w:tcPr>
            <w:tcW w:w="1418" w:type="dxa"/>
            <w:tcBorders>
              <w:top w:val="nil"/>
              <w:left w:val="nil"/>
              <w:bottom w:val="single" w:sz="4" w:space="0" w:color="auto"/>
              <w:right w:val="single" w:sz="4" w:space="0" w:color="auto"/>
            </w:tcBorders>
            <w:shd w:val="clear" w:color="auto" w:fill="FFFFFF"/>
            <w:noWrap/>
            <w:vAlign w:val="bottom"/>
            <w:hideMark/>
          </w:tcPr>
          <w:p w14:paraId="0D21AD71"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1.700,00</w:t>
            </w:r>
          </w:p>
        </w:tc>
      </w:tr>
      <w:tr w:rsidR="001C345D" w14:paraId="01AE5A6C"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1BBB88F7"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A500002 Dani dječje radosti</w:t>
            </w:r>
          </w:p>
        </w:tc>
        <w:tc>
          <w:tcPr>
            <w:tcW w:w="1496" w:type="dxa"/>
            <w:tcBorders>
              <w:top w:val="nil"/>
              <w:left w:val="nil"/>
              <w:bottom w:val="single" w:sz="4" w:space="0" w:color="auto"/>
              <w:right w:val="single" w:sz="4" w:space="0" w:color="auto"/>
            </w:tcBorders>
            <w:shd w:val="clear" w:color="auto" w:fill="FFFFFF"/>
            <w:noWrap/>
            <w:vAlign w:val="bottom"/>
            <w:hideMark/>
          </w:tcPr>
          <w:p w14:paraId="04822F05"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12.000,00</w:t>
            </w:r>
          </w:p>
        </w:tc>
        <w:tc>
          <w:tcPr>
            <w:tcW w:w="1631" w:type="dxa"/>
            <w:tcBorders>
              <w:top w:val="nil"/>
              <w:left w:val="nil"/>
              <w:bottom w:val="single" w:sz="4" w:space="0" w:color="auto"/>
              <w:right w:val="single" w:sz="4" w:space="0" w:color="auto"/>
            </w:tcBorders>
            <w:shd w:val="clear" w:color="auto" w:fill="FFFFFF"/>
            <w:noWrap/>
            <w:vAlign w:val="bottom"/>
            <w:hideMark/>
          </w:tcPr>
          <w:p w14:paraId="11528AA4"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0,00</w:t>
            </w:r>
          </w:p>
        </w:tc>
        <w:tc>
          <w:tcPr>
            <w:tcW w:w="1418" w:type="dxa"/>
            <w:tcBorders>
              <w:top w:val="nil"/>
              <w:left w:val="nil"/>
              <w:bottom w:val="single" w:sz="4" w:space="0" w:color="auto"/>
              <w:right w:val="single" w:sz="4" w:space="0" w:color="auto"/>
            </w:tcBorders>
            <w:shd w:val="clear" w:color="auto" w:fill="FFFFFF"/>
            <w:noWrap/>
            <w:vAlign w:val="bottom"/>
            <w:hideMark/>
          </w:tcPr>
          <w:p w14:paraId="269D756B"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12.000,00</w:t>
            </w:r>
          </w:p>
        </w:tc>
      </w:tr>
      <w:tr w:rsidR="001C345D" w14:paraId="25A76068"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18CF9ED4"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A500003 Aktivnosti Zdravog grada</w:t>
            </w:r>
          </w:p>
        </w:tc>
        <w:tc>
          <w:tcPr>
            <w:tcW w:w="1496" w:type="dxa"/>
            <w:tcBorders>
              <w:top w:val="nil"/>
              <w:left w:val="nil"/>
              <w:bottom w:val="single" w:sz="4" w:space="0" w:color="auto"/>
              <w:right w:val="single" w:sz="4" w:space="0" w:color="auto"/>
            </w:tcBorders>
            <w:shd w:val="clear" w:color="auto" w:fill="FFFFFF"/>
            <w:noWrap/>
            <w:vAlign w:val="bottom"/>
            <w:hideMark/>
          </w:tcPr>
          <w:p w14:paraId="700CEA54"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32.500,00</w:t>
            </w:r>
          </w:p>
        </w:tc>
        <w:tc>
          <w:tcPr>
            <w:tcW w:w="1631" w:type="dxa"/>
            <w:tcBorders>
              <w:top w:val="nil"/>
              <w:left w:val="nil"/>
              <w:bottom w:val="single" w:sz="4" w:space="0" w:color="auto"/>
              <w:right w:val="single" w:sz="4" w:space="0" w:color="auto"/>
            </w:tcBorders>
            <w:shd w:val="clear" w:color="auto" w:fill="FFFFFF"/>
            <w:noWrap/>
            <w:vAlign w:val="bottom"/>
            <w:hideMark/>
          </w:tcPr>
          <w:p w14:paraId="3A869C04"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11.270,00</w:t>
            </w:r>
          </w:p>
        </w:tc>
        <w:tc>
          <w:tcPr>
            <w:tcW w:w="1418" w:type="dxa"/>
            <w:tcBorders>
              <w:top w:val="nil"/>
              <w:left w:val="nil"/>
              <w:bottom w:val="single" w:sz="4" w:space="0" w:color="auto"/>
              <w:right w:val="single" w:sz="4" w:space="0" w:color="auto"/>
            </w:tcBorders>
            <w:shd w:val="clear" w:color="auto" w:fill="FFFFFF"/>
            <w:noWrap/>
            <w:vAlign w:val="bottom"/>
            <w:hideMark/>
          </w:tcPr>
          <w:p w14:paraId="591C16E6"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43.770,00</w:t>
            </w:r>
          </w:p>
        </w:tc>
      </w:tr>
      <w:tr w:rsidR="001C345D" w14:paraId="65E1F545"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212A2A02"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Glava 50002 PREDŠKOLSKI ODGOJ</w:t>
            </w:r>
          </w:p>
        </w:tc>
        <w:tc>
          <w:tcPr>
            <w:tcW w:w="1496" w:type="dxa"/>
            <w:tcBorders>
              <w:top w:val="nil"/>
              <w:left w:val="nil"/>
              <w:bottom w:val="single" w:sz="4" w:space="0" w:color="auto"/>
              <w:right w:val="single" w:sz="4" w:space="0" w:color="auto"/>
            </w:tcBorders>
            <w:shd w:val="clear" w:color="auto" w:fill="FFFFFF"/>
            <w:noWrap/>
            <w:vAlign w:val="bottom"/>
            <w:hideMark/>
          </w:tcPr>
          <w:p w14:paraId="699A595A"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3.593.217,00</w:t>
            </w:r>
          </w:p>
        </w:tc>
        <w:tc>
          <w:tcPr>
            <w:tcW w:w="1631" w:type="dxa"/>
            <w:tcBorders>
              <w:top w:val="nil"/>
              <w:left w:val="nil"/>
              <w:bottom w:val="single" w:sz="4" w:space="0" w:color="auto"/>
              <w:right w:val="single" w:sz="4" w:space="0" w:color="auto"/>
            </w:tcBorders>
            <w:shd w:val="clear" w:color="auto" w:fill="FFFFFF"/>
            <w:noWrap/>
            <w:vAlign w:val="bottom"/>
            <w:hideMark/>
          </w:tcPr>
          <w:p w14:paraId="6162CE99"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189.435,00</w:t>
            </w:r>
          </w:p>
        </w:tc>
        <w:tc>
          <w:tcPr>
            <w:tcW w:w="1418" w:type="dxa"/>
            <w:tcBorders>
              <w:top w:val="nil"/>
              <w:left w:val="nil"/>
              <w:bottom w:val="single" w:sz="4" w:space="0" w:color="auto"/>
              <w:right w:val="single" w:sz="4" w:space="0" w:color="auto"/>
            </w:tcBorders>
            <w:shd w:val="clear" w:color="auto" w:fill="FFFFFF"/>
            <w:noWrap/>
            <w:vAlign w:val="bottom"/>
            <w:hideMark/>
          </w:tcPr>
          <w:p w14:paraId="269CBBEB"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3.782.652,00</w:t>
            </w:r>
          </w:p>
        </w:tc>
      </w:tr>
      <w:tr w:rsidR="001C345D" w14:paraId="381FB21F"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288B3C2C"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Proračunski korisnik 35812 DJEČJI VRTIĆ PJERINA VERBANAC</w:t>
            </w:r>
          </w:p>
        </w:tc>
        <w:tc>
          <w:tcPr>
            <w:tcW w:w="1496" w:type="dxa"/>
            <w:tcBorders>
              <w:top w:val="nil"/>
              <w:left w:val="nil"/>
              <w:bottom w:val="single" w:sz="4" w:space="0" w:color="auto"/>
              <w:right w:val="single" w:sz="4" w:space="0" w:color="auto"/>
            </w:tcBorders>
            <w:shd w:val="clear" w:color="auto" w:fill="FFFFFF"/>
            <w:noWrap/>
            <w:vAlign w:val="bottom"/>
            <w:hideMark/>
          </w:tcPr>
          <w:p w14:paraId="0090313D"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3.593.217,00</w:t>
            </w:r>
          </w:p>
        </w:tc>
        <w:tc>
          <w:tcPr>
            <w:tcW w:w="1631" w:type="dxa"/>
            <w:tcBorders>
              <w:top w:val="nil"/>
              <w:left w:val="nil"/>
              <w:bottom w:val="single" w:sz="4" w:space="0" w:color="auto"/>
              <w:right w:val="single" w:sz="4" w:space="0" w:color="auto"/>
            </w:tcBorders>
            <w:shd w:val="clear" w:color="auto" w:fill="FFFFFF"/>
            <w:noWrap/>
            <w:vAlign w:val="bottom"/>
            <w:hideMark/>
          </w:tcPr>
          <w:p w14:paraId="36BDAF0D"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189.435,00</w:t>
            </w:r>
          </w:p>
        </w:tc>
        <w:tc>
          <w:tcPr>
            <w:tcW w:w="1418" w:type="dxa"/>
            <w:tcBorders>
              <w:top w:val="nil"/>
              <w:left w:val="nil"/>
              <w:bottom w:val="single" w:sz="4" w:space="0" w:color="auto"/>
              <w:right w:val="single" w:sz="4" w:space="0" w:color="auto"/>
            </w:tcBorders>
            <w:shd w:val="clear" w:color="auto" w:fill="FFFFFF"/>
            <w:noWrap/>
            <w:vAlign w:val="bottom"/>
            <w:hideMark/>
          </w:tcPr>
          <w:p w14:paraId="25F160EA"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3.782.652,00</w:t>
            </w:r>
          </w:p>
        </w:tc>
      </w:tr>
      <w:tr w:rsidR="001C345D" w14:paraId="506DDCC6"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3301232F"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Program 5001 Predškolski odgoj</w:t>
            </w:r>
          </w:p>
        </w:tc>
        <w:tc>
          <w:tcPr>
            <w:tcW w:w="1496" w:type="dxa"/>
            <w:tcBorders>
              <w:top w:val="nil"/>
              <w:left w:val="nil"/>
              <w:bottom w:val="single" w:sz="4" w:space="0" w:color="auto"/>
              <w:right w:val="single" w:sz="4" w:space="0" w:color="auto"/>
            </w:tcBorders>
            <w:shd w:val="clear" w:color="auto" w:fill="FFFFFF"/>
            <w:noWrap/>
            <w:vAlign w:val="bottom"/>
            <w:hideMark/>
          </w:tcPr>
          <w:p w14:paraId="4DAF8655"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3.593.217,00</w:t>
            </w:r>
          </w:p>
        </w:tc>
        <w:tc>
          <w:tcPr>
            <w:tcW w:w="1631" w:type="dxa"/>
            <w:tcBorders>
              <w:top w:val="nil"/>
              <w:left w:val="nil"/>
              <w:bottom w:val="single" w:sz="4" w:space="0" w:color="auto"/>
              <w:right w:val="single" w:sz="4" w:space="0" w:color="auto"/>
            </w:tcBorders>
            <w:shd w:val="clear" w:color="auto" w:fill="FFFFFF"/>
            <w:noWrap/>
            <w:vAlign w:val="bottom"/>
            <w:hideMark/>
          </w:tcPr>
          <w:p w14:paraId="61C156EC"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189.435,00</w:t>
            </w:r>
          </w:p>
        </w:tc>
        <w:tc>
          <w:tcPr>
            <w:tcW w:w="1418" w:type="dxa"/>
            <w:tcBorders>
              <w:top w:val="nil"/>
              <w:left w:val="nil"/>
              <w:bottom w:val="single" w:sz="4" w:space="0" w:color="auto"/>
              <w:right w:val="single" w:sz="4" w:space="0" w:color="auto"/>
            </w:tcBorders>
            <w:shd w:val="clear" w:color="auto" w:fill="FFFFFF"/>
            <w:noWrap/>
            <w:vAlign w:val="bottom"/>
            <w:hideMark/>
          </w:tcPr>
          <w:p w14:paraId="51309917"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3.782.652,00</w:t>
            </w:r>
          </w:p>
        </w:tc>
      </w:tr>
      <w:tr w:rsidR="001C345D" w14:paraId="16E0BCD1"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21BB7478"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A500002 Odgojno, administrativno i tehničko osoblje</w:t>
            </w:r>
          </w:p>
        </w:tc>
        <w:tc>
          <w:tcPr>
            <w:tcW w:w="1496" w:type="dxa"/>
            <w:tcBorders>
              <w:top w:val="nil"/>
              <w:left w:val="nil"/>
              <w:bottom w:val="single" w:sz="4" w:space="0" w:color="auto"/>
              <w:right w:val="single" w:sz="4" w:space="0" w:color="auto"/>
            </w:tcBorders>
            <w:shd w:val="clear" w:color="auto" w:fill="FFFFFF"/>
            <w:noWrap/>
            <w:vAlign w:val="bottom"/>
            <w:hideMark/>
          </w:tcPr>
          <w:p w14:paraId="2F6FDF95"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3.571.217,00</w:t>
            </w:r>
          </w:p>
        </w:tc>
        <w:tc>
          <w:tcPr>
            <w:tcW w:w="1631" w:type="dxa"/>
            <w:tcBorders>
              <w:top w:val="nil"/>
              <w:left w:val="nil"/>
              <w:bottom w:val="single" w:sz="4" w:space="0" w:color="auto"/>
              <w:right w:val="single" w:sz="4" w:space="0" w:color="auto"/>
            </w:tcBorders>
            <w:shd w:val="clear" w:color="auto" w:fill="FFFFFF"/>
            <w:noWrap/>
            <w:vAlign w:val="bottom"/>
            <w:hideMark/>
          </w:tcPr>
          <w:p w14:paraId="71E1359C"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182.403,00</w:t>
            </w:r>
          </w:p>
        </w:tc>
        <w:tc>
          <w:tcPr>
            <w:tcW w:w="1418" w:type="dxa"/>
            <w:tcBorders>
              <w:top w:val="nil"/>
              <w:left w:val="nil"/>
              <w:bottom w:val="single" w:sz="4" w:space="0" w:color="auto"/>
              <w:right w:val="single" w:sz="4" w:space="0" w:color="auto"/>
            </w:tcBorders>
            <w:shd w:val="clear" w:color="auto" w:fill="FFFFFF"/>
            <w:noWrap/>
            <w:vAlign w:val="bottom"/>
            <w:hideMark/>
          </w:tcPr>
          <w:p w14:paraId="67D2A3BF"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3.753.620,00</w:t>
            </w:r>
          </w:p>
        </w:tc>
      </w:tr>
      <w:tr w:rsidR="001C345D" w14:paraId="11519B0F"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46B85D04"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A500003 Opremanje ustanove</w:t>
            </w:r>
          </w:p>
        </w:tc>
        <w:tc>
          <w:tcPr>
            <w:tcW w:w="1496" w:type="dxa"/>
            <w:tcBorders>
              <w:top w:val="nil"/>
              <w:left w:val="nil"/>
              <w:bottom w:val="single" w:sz="4" w:space="0" w:color="auto"/>
              <w:right w:val="single" w:sz="4" w:space="0" w:color="auto"/>
            </w:tcBorders>
            <w:shd w:val="clear" w:color="auto" w:fill="FFFFFF"/>
            <w:noWrap/>
            <w:vAlign w:val="bottom"/>
            <w:hideMark/>
          </w:tcPr>
          <w:p w14:paraId="29D53A0C"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7.000,00</w:t>
            </w:r>
          </w:p>
        </w:tc>
        <w:tc>
          <w:tcPr>
            <w:tcW w:w="1631" w:type="dxa"/>
            <w:tcBorders>
              <w:top w:val="nil"/>
              <w:left w:val="nil"/>
              <w:bottom w:val="single" w:sz="4" w:space="0" w:color="auto"/>
              <w:right w:val="single" w:sz="4" w:space="0" w:color="auto"/>
            </w:tcBorders>
            <w:shd w:val="clear" w:color="auto" w:fill="FFFFFF"/>
            <w:noWrap/>
            <w:vAlign w:val="bottom"/>
            <w:hideMark/>
          </w:tcPr>
          <w:p w14:paraId="74209ECB"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3.530,00</w:t>
            </w:r>
          </w:p>
        </w:tc>
        <w:tc>
          <w:tcPr>
            <w:tcW w:w="1418" w:type="dxa"/>
            <w:tcBorders>
              <w:top w:val="nil"/>
              <w:left w:val="nil"/>
              <w:bottom w:val="single" w:sz="4" w:space="0" w:color="auto"/>
              <w:right w:val="single" w:sz="4" w:space="0" w:color="auto"/>
            </w:tcBorders>
            <w:shd w:val="clear" w:color="auto" w:fill="FFFFFF"/>
            <w:noWrap/>
            <w:vAlign w:val="bottom"/>
            <w:hideMark/>
          </w:tcPr>
          <w:p w14:paraId="2278DA0B"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10.530,00</w:t>
            </w:r>
          </w:p>
        </w:tc>
      </w:tr>
      <w:tr w:rsidR="001C345D" w14:paraId="240DC4DD"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02B657BC"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 xml:space="preserve">Aktivnost A500004 Financiranje programa za djecu s teškoćama u razvoju , pripadnika manjina i </w:t>
            </w:r>
            <w:proofErr w:type="spellStart"/>
            <w:r>
              <w:rPr>
                <w:rFonts w:ascii="Arial" w:hAnsi="Arial" w:cs="Arial"/>
                <w:kern w:val="2"/>
                <w:sz w:val="20"/>
                <w:szCs w:val="20"/>
                <w14:ligatures w14:val="standardContextual"/>
              </w:rPr>
              <w:t>predškole</w:t>
            </w:r>
            <w:proofErr w:type="spellEnd"/>
          </w:p>
        </w:tc>
        <w:tc>
          <w:tcPr>
            <w:tcW w:w="1496" w:type="dxa"/>
            <w:tcBorders>
              <w:top w:val="nil"/>
              <w:left w:val="nil"/>
              <w:bottom w:val="single" w:sz="4" w:space="0" w:color="auto"/>
              <w:right w:val="single" w:sz="4" w:space="0" w:color="auto"/>
            </w:tcBorders>
            <w:shd w:val="clear" w:color="auto" w:fill="FFFFFF"/>
            <w:noWrap/>
            <w:vAlign w:val="bottom"/>
            <w:hideMark/>
          </w:tcPr>
          <w:p w14:paraId="28506D23"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12.500,00</w:t>
            </w:r>
          </w:p>
        </w:tc>
        <w:tc>
          <w:tcPr>
            <w:tcW w:w="1631" w:type="dxa"/>
            <w:tcBorders>
              <w:top w:val="nil"/>
              <w:left w:val="nil"/>
              <w:bottom w:val="single" w:sz="4" w:space="0" w:color="auto"/>
              <w:right w:val="single" w:sz="4" w:space="0" w:color="auto"/>
            </w:tcBorders>
            <w:shd w:val="clear" w:color="auto" w:fill="FFFFFF"/>
            <w:noWrap/>
            <w:vAlign w:val="bottom"/>
            <w:hideMark/>
          </w:tcPr>
          <w:p w14:paraId="3077A724"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50,00</w:t>
            </w:r>
          </w:p>
        </w:tc>
        <w:tc>
          <w:tcPr>
            <w:tcW w:w="1418" w:type="dxa"/>
            <w:tcBorders>
              <w:top w:val="nil"/>
              <w:left w:val="nil"/>
              <w:bottom w:val="single" w:sz="4" w:space="0" w:color="auto"/>
              <w:right w:val="single" w:sz="4" w:space="0" w:color="auto"/>
            </w:tcBorders>
            <w:shd w:val="clear" w:color="auto" w:fill="FFFFFF"/>
            <w:noWrap/>
            <w:vAlign w:val="bottom"/>
            <w:hideMark/>
          </w:tcPr>
          <w:p w14:paraId="7953EF3C"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12.550,00</w:t>
            </w:r>
          </w:p>
        </w:tc>
      </w:tr>
      <w:tr w:rsidR="001C345D" w14:paraId="278FD27A"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3F4613B3"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Tekući projekt T500003 Projekt Erasmus "Vrtić u kojem su sretna i djeca i roditelji"</w:t>
            </w:r>
          </w:p>
        </w:tc>
        <w:tc>
          <w:tcPr>
            <w:tcW w:w="1496" w:type="dxa"/>
            <w:tcBorders>
              <w:top w:val="nil"/>
              <w:left w:val="nil"/>
              <w:bottom w:val="single" w:sz="4" w:space="0" w:color="auto"/>
              <w:right w:val="single" w:sz="4" w:space="0" w:color="auto"/>
            </w:tcBorders>
            <w:shd w:val="clear" w:color="auto" w:fill="FFFFFF"/>
            <w:noWrap/>
            <w:vAlign w:val="bottom"/>
            <w:hideMark/>
          </w:tcPr>
          <w:p w14:paraId="7E6E8374"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2.500,00</w:t>
            </w:r>
          </w:p>
        </w:tc>
        <w:tc>
          <w:tcPr>
            <w:tcW w:w="1631" w:type="dxa"/>
            <w:tcBorders>
              <w:top w:val="nil"/>
              <w:left w:val="nil"/>
              <w:bottom w:val="single" w:sz="4" w:space="0" w:color="auto"/>
              <w:right w:val="single" w:sz="4" w:space="0" w:color="auto"/>
            </w:tcBorders>
            <w:shd w:val="clear" w:color="auto" w:fill="FFFFFF"/>
            <w:noWrap/>
            <w:vAlign w:val="bottom"/>
            <w:hideMark/>
          </w:tcPr>
          <w:p w14:paraId="70B5F9A4"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3.452,00</w:t>
            </w:r>
          </w:p>
        </w:tc>
        <w:tc>
          <w:tcPr>
            <w:tcW w:w="1418" w:type="dxa"/>
            <w:tcBorders>
              <w:top w:val="nil"/>
              <w:left w:val="nil"/>
              <w:bottom w:val="single" w:sz="4" w:space="0" w:color="auto"/>
              <w:right w:val="single" w:sz="4" w:space="0" w:color="auto"/>
            </w:tcBorders>
            <w:shd w:val="clear" w:color="auto" w:fill="FFFFFF"/>
            <w:noWrap/>
            <w:vAlign w:val="bottom"/>
            <w:hideMark/>
          </w:tcPr>
          <w:p w14:paraId="1036F634"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5.952,00</w:t>
            </w:r>
          </w:p>
        </w:tc>
      </w:tr>
      <w:tr w:rsidR="001C345D" w14:paraId="74898060"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538A64E4"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Glava 50003 USTANOVE ŠKOLSTVA</w:t>
            </w:r>
          </w:p>
        </w:tc>
        <w:tc>
          <w:tcPr>
            <w:tcW w:w="1496" w:type="dxa"/>
            <w:tcBorders>
              <w:top w:val="nil"/>
              <w:left w:val="nil"/>
              <w:bottom w:val="single" w:sz="4" w:space="0" w:color="auto"/>
              <w:right w:val="single" w:sz="4" w:space="0" w:color="auto"/>
            </w:tcBorders>
            <w:shd w:val="clear" w:color="auto" w:fill="FFFFFF"/>
            <w:noWrap/>
            <w:vAlign w:val="bottom"/>
            <w:hideMark/>
          </w:tcPr>
          <w:p w14:paraId="7F4D5F1C"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6.789.137,00</w:t>
            </w:r>
          </w:p>
        </w:tc>
        <w:tc>
          <w:tcPr>
            <w:tcW w:w="1631" w:type="dxa"/>
            <w:tcBorders>
              <w:top w:val="nil"/>
              <w:left w:val="nil"/>
              <w:bottom w:val="single" w:sz="4" w:space="0" w:color="auto"/>
              <w:right w:val="single" w:sz="4" w:space="0" w:color="auto"/>
            </w:tcBorders>
            <w:shd w:val="clear" w:color="auto" w:fill="FFFFFF"/>
            <w:noWrap/>
            <w:vAlign w:val="bottom"/>
            <w:hideMark/>
          </w:tcPr>
          <w:p w14:paraId="56469EAB"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330.410,00</w:t>
            </w:r>
          </w:p>
        </w:tc>
        <w:tc>
          <w:tcPr>
            <w:tcW w:w="1418" w:type="dxa"/>
            <w:tcBorders>
              <w:top w:val="nil"/>
              <w:left w:val="nil"/>
              <w:bottom w:val="single" w:sz="4" w:space="0" w:color="auto"/>
              <w:right w:val="single" w:sz="4" w:space="0" w:color="auto"/>
            </w:tcBorders>
            <w:shd w:val="clear" w:color="auto" w:fill="FFFFFF"/>
            <w:noWrap/>
            <w:vAlign w:val="bottom"/>
            <w:hideMark/>
          </w:tcPr>
          <w:p w14:paraId="6E41FCBB"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7.119.547,00</w:t>
            </w:r>
          </w:p>
        </w:tc>
      </w:tr>
      <w:tr w:rsidR="001C345D" w14:paraId="08B6019A"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5A0ED92F"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Proračunski korisnik 10581 OSNOVNA ŠKOLA MATIJE VLAČIĆA LABIN</w:t>
            </w:r>
          </w:p>
        </w:tc>
        <w:tc>
          <w:tcPr>
            <w:tcW w:w="1496" w:type="dxa"/>
            <w:tcBorders>
              <w:top w:val="nil"/>
              <w:left w:val="nil"/>
              <w:bottom w:val="single" w:sz="4" w:space="0" w:color="auto"/>
              <w:right w:val="single" w:sz="4" w:space="0" w:color="auto"/>
            </w:tcBorders>
            <w:shd w:val="clear" w:color="auto" w:fill="FFFFFF"/>
            <w:noWrap/>
            <w:vAlign w:val="bottom"/>
            <w:hideMark/>
          </w:tcPr>
          <w:p w14:paraId="06AED916"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1.964.356,00</w:t>
            </w:r>
          </w:p>
        </w:tc>
        <w:tc>
          <w:tcPr>
            <w:tcW w:w="1631" w:type="dxa"/>
            <w:tcBorders>
              <w:top w:val="nil"/>
              <w:left w:val="nil"/>
              <w:bottom w:val="single" w:sz="4" w:space="0" w:color="auto"/>
              <w:right w:val="single" w:sz="4" w:space="0" w:color="auto"/>
            </w:tcBorders>
            <w:shd w:val="clear" w:color="auto" w:fill="FFFFFF"/>
            <w:noWrap/>
            <w:vAlign w:val="bottom"/>
            <w:hideMark/>
          </w:tcPr>
          <w:p w14:paraId="7CCAE1E0"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72.208,00</w:t>
            </w:r>
          </w:p>
        </w:tc>
        <w:tc>
          <w:tcPr>
            <w:tcW w:w="1418" w:type="dxa"/>
            <w:tcBorders>
              <w:top w:val="nil"/>
              <w:left w:val="nil"/>
              <w:bottom w:val="single" w:sz="4" w:space="0" w:color="auto"/>
              <w:right w:val="single" w:sz="4" w:space="0" w:color="auto"/>
            </w:tcBorders>
            <w:shd w:val="clear" w:color="auto" w:fill="FFFFFF"/>
            <w:noWrap/>
            <w:vAlign w:val="bottom"/>
            <w:hideMark/>
          </w:tcPr>
          <w:p w14:paraId="0E485A1F"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2.036.564,00</w:t>
            </w:r>
          </w:p>
        </w:tc>
      </w:tr>
      <w:tr w:rsidR="001C345D" w14:paraId="6680CF64"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4968161C"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Program 5002 Obrazovanje</w:t>
            </w:r>
          </w:p>
        </w:tc>
        <w:tc>
          <w:tcPr>
            <w:tcW w:w="1496" w:type="dxa"/>
            <w:tcBorders>
              <w:top w:val="nil"/>
              <w:left w:val="nil"/>
              <w:bottom w:val="single" w:sz="4" w:space="0" w:color="auto"/>
              <w:right w:val="single" w:sz="4" w:space="0" w:color="auto"/>
            </w:tcBorders>
            <w:shd w:val="clear" w:color="auto" w:fill="FFFFFF"/>
            <w:noWrap/>
            <w:vAlign w:val="bottom"/>
            <w:hideMark/>
          </w:tcPr>
          <w:p w14:paraId="39250D9C"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1.964.356,00</w:t>
            </w:r>
          </w:p>
        </w:tc>
        <w:tc>
          <w:tcPr>
            <w:tcW w:w="1631" w:type="dxa"/>
            <w:tcBorders>
              <w:top w:val="nil"/>
              <w:left w:val="nil"/>
              <w:bottom w:val="single" w:sz="4" w:space="0" w:color="auto"/>
              <w:right w:val="single" w:sz="4" w:space="0" w:color="auto"/>
            </w:tcBorders>
            <w:shd w:val="clear" w:color="auto" w:fill="FFFFFF"/>
            <w:noWrap/>
            <w:vAlign w:val="bottom"/>
            <w:hideMark/>
          </w:tcPr>
          <w:p w14:paraId="5D87E08D"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72.208,00</w:t>
            </w:r>
          </w:p>
        </w:tc>
        <w:tc>
          <w:tcPr>
            <w:tcW w:w="1418" w:type="dxa"/>
            <w:tcBorders>
              <w:top w:val="nil"/>
              <w:left w:val="nil"/>
              <w:bottom w:val="single" w:sz="4" w:space="0" w:color="auto"/>
              <w:right w:val="single" w:sz="4" w:space="0" w:color="auto"/>
            </w:tcBorders>
            <w:shd w:val="clear" w:color="auto" w:fill="FFFFFF"/>
            <w:noWrap/>
            <w:vAlign w:val="bottom"/>
            <w:hideMark/>
          </w:tcPr>
          <w:p w14:paraId="40BE7AFB"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2.036.564,00</w:t>
            </w:r>
          </w:p>
        </w:tc>
      </w:tr>
      <w:tr w:rsidR="001C345D" w14:paraId="64CB8263"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76A111DB"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A500003 Financiranje djelatnosti osnovnog školstva</w:t>
            </w:r>
          </w:p>
        </w:tc>
        <w:tc>
          <w:tcPr>
            <w:tcW w:w="1496" w:type="dxa"/>
            <w:tcBorders>
              <w:top w:val="nil"/>
              <w:left w:val="nil"/>
              <w:bottom w:val="single" w:sz="4" w:space="0" w:color="auto"/>
              <w:right w:val="single" w:sz="4" w:space="0" w:color="auto"/>
            </w:tcBorders>
            <w:shd w:val="clear" w:color="auto" w:fill="FFFFFF"/>
            <w:noWrap/>
            <w:vAlign w:val="bottom"/>
            <w:hideMark/>
          </w:tcPr>
          <w:p w14:paraId="1C36F94B"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1.624.296,00</w:t>
            </w:r>
          </w:p>
        </w:tc>
        <w:tc>
          <w:tcPr>
            <w:tcW w:w="1631" w:type="dxa"/>
            <w:tcBorders>
              <w:top w:val="nil"/>
              <w:left w:val="nil"/>
              <w:bottom w:val="single" w:sz="4" w:space="0" w:color="auto"/>
              <w:right w:val="single" w:sz="4" w:space="0" w:color="auto"/>
            </w:tcBorders>
            <w:shd w:val="clear" w:color="auto" w:fill="FFFFFF"/>
            <w:noWrap/>
            <w:vAlign w:val="bottom"/>
            <w:hideMark/>
          </w:tcPr>
          <w:p w14:paraId="04067A1B"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33.108,00</w:t>
            </w:r>
          </w:p>
        </w:tc>
        <w:tc>
          <w:tcPr>
            <w:tcW w:w="1418" w:type="dxa"/>
            <w:tcBorders>
              <w:top w:val="nil"/>
              <w:left w:val="nil"/>
              <w:bottom w:val="single" w:sz="4" w:space="0" w:color="auto"/>
              <w:right w:val="single" w:sz="4" w:space="0" w:color="auto"/>
            </w:tcBorders>
            <w:shd w:val="clear" w:color="auto" w:fill="FFFFFF"/>
            <w:noWrap/>
            <w:vAlign w:val="bottom"/>
            <w:hideMark/>
          </w:tcPr>
          <w:p w14:paraId="078718B5"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1.657.404,00</w:t>
            </w:r>
          </w:p>
        </w:tc>
      </w:tr>
      <w:tr w:rsidR="001C345D" w14:paraId="544BA16D"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6E55F75D"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A500004 Produženi boravak</w:t>
            </w:r>
          </w:p>
        </w:tc>
        <w:tc>
          <w:tcPr>
            <w:tcW w:w="1496" w:type="dxa"/>
            <w:tcBorders>
              <w:top w:val="nil"/>
              <w:left w:val="nil"/>
              <w:bottom w:val="single" w:sz="4" w:space="0" w:color="auto"/>
              <w:right w:val="single" w:sz="4" w:space="0" w:color="auto"/>
            </w:tcBorders>
            <w:shd w:val="clear" w:color="auto" w:fill="FFFFFF"/>
            <w:noWrap/>
            <w:vAlign w:val="bottom"/>
            <w:hideMark/>
          </w:tcPr>
          <w:p w14:paraId="72FF9E19"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195.250,00</w:t>
            </w:r>
          </w:p>
        </w:tc>
        <w:tc>
          <w:tcPr>
            <w:tcW w:w="1631" w:type="dxa"/>
            <w:tcBorders>
              <w:top w:val="nil"/>
              <w:left w:val="nil"/>
              <w:bottom w:val="single" w:sz="4" w:space="0" w:color="auto"/>
              <w:right w:val="single" w:sz="4" w:space="0" w:color="auto"/>
            </w:tcBorders>
            <w:shd w:val="clear" w:color="auto" w:fill="FFFFFF"/>
            <w:noWrap/>
            <w:vAlign w:val="bottom"/>
            <w:hideMark/>
          </w:tcPr>
          <w:p w14:paraId="536113E6"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19.990,00</w:t>
            </w:r>
          </w:p>
        </w:tc>
        <w:tc>
          <w:tcPr>
            <w:tcW w:w="1418" w:type="dxa"/>
            <w:tcBorders>
              <w:top w:val="nil"/>
              <w:left w:val="nil"/>
              <w:bottom w:val="single" w:sz="4" w:space="0" w:color="auto"/>
              <w:right w:val="single" w:sz="4" w:space="0" w:color="auto"/>
            </w:tcBorders>
            <w:shd w:val="clear" w:color="auto" w:fill="FFFFFF"/>
            <w:noWrap/>
            <w:vAlign w:val="bottom"/>
            <w:hideMark/>
          </w:tcPr>
          <w:p w14:paraId="4E455145"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215.240,00</w:t>
            </w:r>
          </w:p>
        </w:tc>
      </w:tr>
      <w:tr w:rsidR="001C345D" w14:paraId="75CCAD42"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747CB8DF"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A500005 Dodatne aktivnosti učenika i osoblja u školi</w:t>
            </w:r>
          </w:p>
        </w:tc>
        <w:tc>
          <w:tcPr>
            <w:tcW w:w="1496" w:type="dxa"/>
            <w:tcBorders>
              <w:top w:val="nil"/>
              <w:left w:val="nil"/>
              <w:bottom w:val="single" w:sz="4" w:space="0" w:color="auto"/>
              <w:right w:val="single" w:sz="4" w:space="0" w:color="auto"/>
            </w:tcBorders>
            <w:shd w:val="clear" w:color="auto" w:fill="FFFFFF"/>
            <w:noWrap/>
            <w:vAlign w:val="bottom"/>
            <w:hideMark/>
          </w:tcPr>
          <w:p w14:paraId="6FCD40E3"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22.560,00</w:t>
            </w:r>
          </w:p>
        </w:tc>
        <w:tc>
          <w:tcPr>
            <w:tcW w:w="1631" w:type="dxa"/>
            <w:tcBorders>
              <w:top w:val="nil"/>
              <w:left w:val="nil"/>
              <w:bottom w:val="single" w:sz="4" w:space="0" w:color="auto"/>
              <w:right w:val="single" w:sz="4" w:space="0" w:color="auto"/>
            </w:tcBorders>
            <w:shd w:val="clear" w:color="auto" w:fill="FFFFFF"/>
            <w:noWrap/>
            <w:vAlign w:val="bottom"/>
            <w:hideMark/>
          </w:tcPr>
          <w:p w14:paraId="303F4AAA"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4.860,00</w:t>
            </w:r>
          </w:p>
        </w:tc>
        <w:tc>
          <w:tcPr>
            <w:tcW w:w="1418" w:type="dxa"/>
            <w:tcBorders>
              <w:top w:val="nil"/>
              <w:left w:val="nil"/>
              <w:bottom w:val="single" w:sz="4" w:space="0" w:color="auto"/>
              <w:right w:val="single" w:sz="4" w:space="0" w:color="auto"/>
            </w:tcBorders>
            <w:shd w:val="clear" w:color="auto" w:fill="FFFFFF"/>
            <w:noWrap/>
            <w:vAlign w:val="bottom"/>
            <w:hideMark/>
          </w:tcPr>
          <w:p w14:paraId="07201B87"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27.420,00</w:t>
            </w:r>
          </w:p>
        </w:tc>
      </w:tr>
      <w:tr w:rsidR="001C345D" w14:paraId="0118BA1B"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481FA50D"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A500006 Osiguranje pomoćnika učenicima s teškoćama</w:t>
            </w:r>
          </w:p>
        </w:tc>
        <w:tc>
          <w:tcPr>
            <w:tcW w:w="1496" w:type="dxa"/>
            <w:tcBorders>
              <w:top w:val="nil"/>
              <w:left w:val="nil"/>
              <w:bottom w:val="single" w:sz="4" w:space="0" w:color="auto"/>
              <w:right w:val="single" w:sz="4" w:space="0" w:color="auto"/>
            </w:tcBorders>
            <w:shd w:val="clear" w:color="auto" w:fill="FFFFFF"/>
            <w:noWrap/>
            <w:vAlign w:val="bottom"/>
            <w:hideMark/>
          </w:tcPr>
          <w:p w14:paraId="010BC91B"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117.250,00</w:t>
            </w:r>
          </w:p>
        </w:tc>
        <w:tc>
          <w:tcPr>
            <w:tcW w:w="1631" w:type="dxa"/>
            <w:tcBorders>
              <w:top w:val="nil"/>
              <w:left w:val="nil"/>
              <w:bottom w:val="single" w:sz="4" w:space="0" w:color="auto"/>
              <w:right w:val="single" w:sz="4" w:space="0" w:color="auto"/>
            </w:tcBorders>
            <w:shd w:val="clear" w:color="auto" w:fill="FFFFFF"/>
            <w:noWrap/>
            <w:vAlign w:val="bottom"/>
            <w:hideMark/>
          </w:tcPr>
          <w:p w14:paraId="3C2EBB12"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700,00</w:t>
            </w:r>
          </w:p>
        </w:tc>
        <w:tc>
          <w:tcPr>
            <w:tcW w:w="1418" w:type="dxa"/>
            <w:tcBorders>
              <w:top w:val="nil"/>
              <w:left w:val="nil"/>
              <w:bottom w:val="single" w:sz="4" w:space="0" w:color="auto"/>
              <w:right w:val="single" w:sz="4" w:space="0" w:color="auto"/>
            </w:tcBorders>
            <w:shd w:val="clear" w:color="auto" w:fill="FFFFFF"/>
            <w:noWrap/>
            <w:vAlign w:val="bottom"/>
            <w:hideMark/>
          </w:tcPr>
          <w:p w14:paraId="67CB6619"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117.950,00</w:t>
            </w:r>
          </w:p>
        </w:tc>
      </w:tr>
      <w:tr w:rsidR="001C345D" w14:paraId="61A5C3D1"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2CA85C4D"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A500007 Financiranje izvannastavnih projekata i drugo</w:t>
            </w:r>
          </w:p>
        </w:tc>
        <w:tc>
          <w:tcPr>
            <w:tcW w:w="1496" w:type="dxa"/>
            <w:tcBorders>
              <w:top w:val="nil"/>
              <w:left w:val="nil"/>
              <w:bottom w:val="single" w:sz="4" w:space="0" w:color="auto"/>
              <w:right w:val="single" w:sz="4" w:space="0" w:color="auto"/>
            </w:tcBorders>
            <w:shd w:val="clear" w:color="auto" w:fill="FFFFFF"/>
            <w:noWrap/>
            <w:vAlign w:val="bottom"/>
            <w:hideMark/>
          </w:tcPr>
          <w:p w14:paraId="51E9BC2E"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3.000,00</w:t>
            </w:r>
          </w:p>
        </w:tc>
        <w:tc>
          <w:tcPr>
            <w:tcW w:w="1631" w:type="dxa"/>
            <w:tcBorders>
              <w:top w:val="nil"/>
              <w:left w:val="nil"/>
              <w:bottom w:val="single" w:sz="4" w:space="0" w:color="auto"/>
              <w:right w:val="single" w:sz="4" w:space="0" w:color="auto"/>
            </w:tcBorders>
            <w:shd w:val="clear" w:color="auto" w:fill="FFFFFF"/>
            <w:noWrap/>
            <w:vAlign w:val="bottom"/>
            <w:hideMark/>
          </w:tcPr>
          <w:p w14:paraId="0EE51D9F"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12.250,00</w:t>
            </w:r>
          </w:p>
        </w:tc>
        <w:tc>
          <w:tcPr>
            <w:tcW w:w="1418" w:type="dxa"/>
            <w:tcBorders>
              <w:top w:val="nil"/>
              <w:left w:val="nil"/>
              <w:bottom w:val="single" w:sz="4" w:space="0" w:color="auto"/>
              <w:right w:val="single" w:sz="4" w:space="0" w:color="auto"/>
            </w:tcBorders>
            <w:shd w:val="clear" w:color="auto" w:fill="FFFFFF"/>
            <w:noWrap/>
            <w:vAlign w:val="bottom"/>
            <w:hideMark/>
          </w:tcPr>
          <w:p w14:paraId="06AE23F3"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15.250,00</w:t>
            </w:r>
          </w:p>
        </w:tc>
      </w:tr>
      <w:tr w:rsidR="001C345D" w14:paraId="3E0696D3"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2F561F04"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Kapitalni projekt K500001 Kapitalna ulaganja osnovnog školstva</w:t>
            </w:r>
          </w:p>
        </w:tc>
        <w:tc>
          <w:tcPr>
            <w:tcW w:w="1496" w:type="dxa"/>
            <w:tcBorders>
              <w:top w:val="nil"/>
              <w:left w:val="nil"/>
              <w:bottom w:val="single" w:sz="4" w:space="0" w:color="auto"/>
              <w:right w:val="single" w:sz="4" w:space="0" w:color="auto"/>
            </w:tcBorders>
            <w:shd w:val="clear" w:color="auto" w:fill="FFFFFF"/>
            <w:noWrap/>
            <w:vAlign w:val="bottom"/>
            <w:hideMark/>
          </w:tcPr>
          <w:p w14:paraId="15F09A1F"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2.000,00</w:t>
            </w:r>
          </w:p>
        </w:tc>
        <w:tc>
          <w:tcPr>
            <w:tcW w:w="1631" w:type="dxa"/>
            <w:tcBorders>
              <w:top w:val="nil"/>
              <w:left w:val="nil"/>
              <w:bottom w:val="single" w:sz="4" w:space="0" w:color="auto"/>
              <w:right w:val="single" w:sz="4" w:space="0" w:color="auto"/>
            </w:tcBorders>
            <w:shd w:val="clear" w:color="auto" w:fill="FFFFFF"/>
            <w:noWrap/>
            <w:vAlign w:val="bottom"/>
            <w:hideMark/>
          </w:tcPr>
          <w:p w14:paraId="4A555D8B"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1.300,00</w:t>
            </w:r>
          </w:p>
        </w:tc>
        <w:tc>
          <w:tcPr>
            <w:tcW w:w="1418" w:type="dxa"/>
            <w:tcBorders>
              <w:top w:val="nil"/>
              <w:left w:val="nil"/>
              <w:bottom w:val="single" w:sz="4" w:space="0" w:color="auto"/>
              <w:right w:val="single" w:sz="4" w:space="0" w:color="auto"/>
            </w:tcBorders>
            <w:shd w:val="clear" w:color="auto" w:fill="FFFFFF"/>
            <w:noWrap/>
            <w:vAlign w:val="bottom"/>
            <w:hideMark/>
          </w:tcPr>
          <w:p w14:paraId="47F285DF"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3.300,00</w:t>
            </w:r>
          </w:p>
        </w:tc>
      </w:tr>
      <w:tr w:rsidR="001C345D" w14:paraId="00DE2D9D"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1DD4FC30"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Proračunski korisnik 10590 OSNOVNA ŠKOLA IVO LOLA RIBAR LABIN</w:t>
            </w:r>
          </w:p>
        </w:tc>
        <w:tc>
          <w:tcPr>
            <w:tcW w:w="1496" w:type="dxa"/>
            <w:tcBorders>
              <w:top w:val="nil"/>
              <w:left w:val="nil"/>
              <w:bottom w:val="single" w:sz="4" w:space="0" w:color="auto"/>
              <w:right w:val="single" w:sz="4" w:space="0" w:color="auto"/>
            </w:tcBorders>
            <w:shd w:val="clear" w:color="auto" w:fill="FFFFFF"/>
            <w:noWrap/>
            <w:vAlign w:val="bottom"/>
            <w:hideMark/>
          </w:tcPr>
          <w:p w14:paraId="0EDB879F"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2.808.091,00</w:t>
            </w:r>
          </w:p>
        </w:tc>
        <w:tc>
          <w:tcPr>
            <w:tcW w:w="1631" w:type="dxa"/>
            <w:tcBorders>
              <w:top w:val="nil"/>
              <w:left w:val="nil"/>
              <w:bottom w:val="single" w:sz="4" w:space="0" w:color="auto"/>
              <w:right w:val="single" w:sz="4" w:space="0" w:color="auto"/>
            </w:tcBorders>
            <w:shd w:val="clear" w:color="auto" w:fill="FFFFFF"/>
            <w:noWrap/>
            <w:vAlign w:val="bottom"/>
            <w:hideMark/>
          </w:tcPr>
          <w:p w14:paraId="16EE8B7F"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163.673,00</w:t>
            </w:r>
          </w:p>
        </w:tc>
        <w:tc>
          <w:tcPr>
            <w:tcW w:w="1418" w:type="dxa"/>
            <w:tcBorders>
              <w:top w:val="nil"/>
              <w:left w:val="nil"/>
              <w:bottom w:val="single" w:sz="4" w:space="0" w:color="auto"/>
              <w:right w:val="single" w:sz="4" w:space="0" w:color="auto"/>
            </w:tcBorders>
            <w:shd w:val="clear" w:color="auto" w:fill="FFFFFF"/>
            <w:noWrap/>
            <w:vAlign w:val="bottom"/>
            <w:hideMark/>
          </w:tcPr>
          <w:p w14:paraId="586A4B78"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2.971.764,00</w:t>
            </w:r>
          </w:p>
        </w:tc>
      </w:tr>
      <w:tr w:rsidR="001C345D" w14:paraId="42B57D9A"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66888C8A"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Program 5002 Obrazovanje</w:t>
            </w:r>
          </w:p>
        </w:tc>
        <w:tc>
          <w:tcPr>
            <w:tcW w:w="1496" w:type="dxa"/>
            <w:tcBorders>
              <w:top w:val="nil"/>
              <w:left w:val="nil"/>
              <w:bottom w:val="single" w:sz="4" w:space="0" w:color="auto"/>
              <w:right w:val="single" w:sz="4" w:space="0" w:color="auto"/>
            </w:tcBorders>
            <w:shd w:val="clear" w:color="auto" w:fill="FFFFFF"/>
            <w:noWrap/>
            <w:vAlign w:val="bottom"/>
            <w:hideMark/>
          </w:tcPr>
          <w:p w14:paraId="1F84864B"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2.808.091,00</w:t>
            </w:r>
          </w:p>
        </w:tc>
        <w:tc>
          <w:tcPr>
            <w:tcW w:w="1631" w:type="dxa"/>
            <w:tcBorders>
              <w:top w:val="nil"/>
              <w:left w:val="nil"/>
              <w:bottom w:val="single" w:sz="4" w:space="0" w:color="auto"/>
              <w:right w:val="single" w:sz="4" w:space="0" w:color="auto"/>
            </w:tcBorders>
            <w:shd w:val="clear" w:color="auto" w:fill="FFFFFF"/>
            <w:noWrap/>
            <w:vAlign w:val="bottom"/>
            <w:hideMark/>
          </w:tcPr>
          <w:p w14:paraId="3A20A95D"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163.673,00</w:t>
            </w:r>
          </w:p>
        </w:tc>
        <w:tc>
          <w:tcPr>
            <w:tcW w:w="1418" w:type="dxa"/>
            <w:tcBorders>
              <w:top w:val="nil"/>
              <w:left w:val="nil"/>
              <w:bottom w:val="single" w:sz="4" w:space="0" w:color="auto"/>
              <w:right w:val="single" w:sz="4" w:space="0" w:color="auto"/>
            </w:tcBorders>
            <w:shd w:val="clear" w:color="auto" w:fill="FFFFFF"/>
            <w:noWrap/>
            <w:vAlign w:val="bottom"/>
            <w:hideMark/>
          </w:tcPr>
          <w:p w14:paraId="120E1E85"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2.971.764,00</w:t>
            </w:r>
          </w:p>
        </w:tc>
      </w:tr>
      <w:tr w:rsidR="001C345D" w14:paraId="4FCA34A9"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47A05A02"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A500003 Financiranje djelatnosti osnovnog školstva</w:t>
            </w:r>
          </w:p>
        </w:tc>
        <w:tc>
          <w:tcPr>
            <w:tcW w:w="1496" w:type="dxa"/>
            <w:tcBorders>
              <w:top w:val="nil"/>
              <w:left w:val="nil"/>
              <w:bottom w:val="single" w:sz="4" w:space="0" w:color="auto"/>
              <w:right w:val="single" w:sz="4" w:space="0" w:color="auto"/>
            </w:tcBorders>
            <w:shd w:val="clear" w:color="auto" w:fill="FFFFFF"/>
            <w:noWrap/>
            <w:vAlign w:val="bottom"/>
            <w:hideMark/>
          </w:tcPr>
          <w:p w14:paraId="6DA9C921"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2.277.975,00</w:t>
            </w:r>
          </w:p>
        </w:tc>
        <w:tc>
          <w:tcPr>
            <w:tcW w:w="1631" w:type="dxa"/>
            <w:tcBorders>
              <w:top w:val="nil"/>
              <w:left w:val="nil"/>
              <w:bottom w:val="single" w:sz="4" w:space="0" w:color="auto"/>
              <w:right w:val="single" w:sz="4" w:space="0" w:color="auto"/>
            </w:tcBorders>
            <w:shd w:val="clear" w:color="auto" w:fill="FFFFFF"/>
            <w:noWrap/>
            <w:vAlign w:val="bottom"/>
            <w:hideMark/>
          </w:tcPr>
          <w:p w14:paraId="2595DEFE"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84.529,00</w:t>
            </w:r>
          </w:p>
        </w:tc>
        <w:tc>
          <w:tcPr>
            <w:tcW w:w="1418" w:type="dxa"/>
            <w:tcBorders>
              <w:top w:val="nil"/>
              <w:left w:val="nil"/>
              <w:bottom w:val="single" w:sz="4" w:space="0" w:color="auto"/>
              <w:right w:val="single" w:sz="4" w:space="0" w:color="auto"/>
            </w:tcBorders>
            <w:shd w:val="clear" w:color="auto" w:fill="FFFFFF"/>
            <w:noWrap/>
            <w:vAlign w:val="bottom"/>
            <w:hideMark/>
          </w:tcPr>
          <w:p w14:paraId="01986E40"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2.362.504,00</w:t>
            </w:r>
          </w:p>
        </w:tc>
      </w:tr>
      <w:tr w:rsidR="001C345D" w14:paraId="6BDA5449"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1B532611"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A500004 Produženi boravak</w:t>
            </w:r>
          </w:p>
        </w:tc>
        <w:tc>
          <w:tcPr>
            <w:tcW w:w="1496" w:type="dxa"/>
            <w:tcBorders>
              <w:top w:val="nil"/>
              <w:left w:val="nil"/>
              <w:bottom w:val="single" w:sz="4" w:space="0" w:color="auto"/>
              <w:right w:val="single" w:sz="4" w:space="0" w:color="auto"/>
            </w:tcBorders>
            <w:shd w:val="clear" w:color="auto" w:fill="FFFFFF"/>
            <w:noWrap/>
            <w:vAlign w:val="bottom"/>
            <w:hideMark/>
          </w:tcPr>
          <w:p w14:paraId="5FE823FB"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323.314,00</w:t>
            </w:r>
          </w:p>
        </w:tc>
        <w:tc>
          <w:tcPr>
            <w:tcW w:w="1631" w:type="dxa"/>
            <w:tcBorders>
              <w:top w:val="nil"/>
              <w:left w:val="nil"/>
              <w:bottom w:val="single" w:sz="4" w:space="0" w:color="auto"/>
              <w:right w:val="single" w:sz="4" w:space="0" w:color="auto"/>
            </w:tcBorders>
            <w:shd w:val="clear" w:color="auto" w:fill="FFFFFF"/>
            <w:noWrap/>
            <w:vAlign w:val="bottom"/>
            <w:hideMark/>
          </w:tcPr>
          <w:p w14:paraId="67B92ACC"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78.810,00</w:t>
            </w:r>
          </w:p>
        </w:tc>
        <w:tc>
          <w:tcPr>
            <w:tcW w:w="1418" w:type="dxa"/>
            <w:tcBorders>
              <w:top w:val="nil"/>
              <w:left w:val="nil"/>
              <w:bottom w:val="single" w:sz="4" w:space="0" w:color="auto"/>
              <w:right w:val="single" w:sz="4" w:space="0" w:color="auto"/>
            </w:tcBorders>
            <w:shd w:val="clear" w:color="auto" w:fill="FFFFFF"/>
            <w:noWrap/>
            <w:vAlign w:val="bottom"/>
            <w:hideMark/>
          </w:tcPr>
          <w:p w14:paraId="45ABD36A"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402.124,00</w:t>
            </w:r>
          </w:p>
        </w:tc>
      </w:tr>
      <w:tr w:rsidR="001C345D" w14:paraId="61FF1268"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31E05900"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A500005 Dodatne aktivnosti učenika i osoblja u školi</w:t>
            </w:r>
          </w:p>
        </w:tc>
        <w:tc>
          <w:tcPr>
            <w:tcW w:w="1496" w:type="dxa"/>
            <w:tcBorders>
              <w:top w:val="nil"/>
              <w:left w:val="nil"/>
              <w:bottom w:val="single" w:sz="4" w:space="0" w:color="auto"/>
              <w:right w:val="single" w:sz="4" w:space="0" w:color="auto"/>
            </w:tcBorders>
            <w:shd w:val="clear" w:color="auto" w:fill="FFFFFF"/>
            <w:noWrap/>
            <w:vAlign w:val="bottom"/>
            <w:hideMark/>
          </w:tcPr>
          <w:p w14:paraId="06C31ECF"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51.040,00</w:t>
            </w:r>
          </w:p>
        </w:tc>
        <w:tc>
          <w:tcPr>
            <w:tcW w:w="1631" w:type="dxa"/>
            <w:tcBorders>
              <w:top w:val="nil"/>
              <w:left w:val="nil"/>
              <w:bottom w:val="single" w:sz="4" w:space="0" w:color="auto"/>
              <w:right w:val="single" w:sz="4" w:space="0" w:color="auto"/>
            </w:tcBorders>
            <w:shd w:val="clear" w:color="auto" w:fill="FFFFFF"/>
            <w:noWrap/>
            <w:vAlign w:val="bottom"/>
            <w:hideMark/>
          </w:tcPr>
          <w:p w14:paraId="06819B75"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-3.235,00</w:t>
            </w:r>
          </w:p>
        </w:tc>
        <w:tc>
          <w:tcPr>
            <w:tcW w:w="1418" w:type="dxa"/>
            <w:tcBorders>
              <w:top w:val="nil"/>
              <w:left w:val="nil"/>
              <w:bottom w:val="single" w:sz="4" w:space="0" w:color="auto"/>
              <w:right w:val="single" w:sz="4" w:space="0" w:color="auto"/>
            </w:tcBorders>
            <w:shd w:val="clear" w:color="auto" w:fill="FFFFFF"/>
            <w:noWrap/>
            <w:vAlign w:val="bottom"/>
            <w:hideMark/>
          </w:tcPr>
          <w:p w14:paraId="35358A15"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47.805,00</w:t>
            </w:r>
          </w:p>
        </w:tc>
      </w:tr>
      <w:tr w:rsidR="001C345D" w14:paraId="526788E7"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11720443"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A500006 Osiguranje pomoćnika učenicima s teškoćama</w:t>
            </w:r>
          </w:p>
        </w:tc>
        <w:tc>
          <w:tcPr>
            <w:tcW w:w="1496" w:type="dxa"/>
            <w:tcBorders>
              <w:top w:val="nil"/>
              <w:left w:val="nil"/>
              <w:bottom w:val="single" w:sz="4" w:space="0" w:color="auto"/>
              <w:right w:val="single" w:sz="4" w:space="0" w:color="auto"/>
            </w:tcBorders>
            <w:shd w:val="clear" w:color="auto" w:fill="FFFFFF"/>
            <w:noWrap/>
            <w:vAlign w:val="bottom"/>
            <w:hideMark/>
          </w:tcPr>
          <w:p w14:paraId="5E1A4811"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75.690,00</w:t>
            </w:r>
          </w:p>
        </w:tc>
        <w:tc>
          <w:tcPr>
            <w:tcW w:w="1631" w:type="dxa"/>
            <w:tcBorders>
              <w:top w:val="nil"/>
              <w:left w:val="nil"/>
              <w:bottom w:val="single" w:sz="4" w:space="0" w:color="auto"/>
              <w:right w:val="single" w:sz="4" w:space="0" w:color="auto"/>
            </w:tcBorders>
            <w:shd w:val="clear" w:color="auto" w:fill="FFFFFF"/>
            <w:noWrap/>
            <w:vAlign w:val="bottom"/>
            <w:hideMark/>
          </w:tcPr>
          <w:p w14:paraId="314BAA30"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9.175,00</w:t>
            </w:r>
          </w:p>
        </w:tc>
        <w:tc>
          <w:tcPr>
            <w:tcW w:w="1418" w:type="dxa"/>
            <w:tcBorders>
              <w:top w:val="nil"/>
              <w:left w:val="nil"/>
              <w:bottom w:val="single" w:sz="4" w:space="0" w:color="auto"/>
              <w:right w:val="single" w:sz="4" w:space="0" w:color="auto"/>
            </w:tcBorders>
            <w:shd w:val="clear" w:color="auto" w:fill="FFFFFF"/>
            <w:noWrap/>
            <w:vAlign w:val="bottom"/>
            <w:hideMark/>
          </w:tcPr>
          <w:p w14:paraId="3ECCD080"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84.865,00</w:t>
            </w:r>
          </w:p>
        </w:tc>
      </w:tr>
      <w:tr w:rsidR="001C345D" w14:paraId="1AFC0AD3"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68FBEDEB"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A500007 Financiranje izvannastavnih projekata i drugo</w:t>
            </w:r>
          </w:p>
        </w:tc>
        <w:tc>
          <w:tcPr>
            <w:tcW w:w="1496" w:type="dxa"/>
            <w:tcBorders>
              <w:top w:val="nil"/>
              <w:left w:val="nil"/>
              <w:bottom w:val="single" w:sz="4" w:space="0" w:color="auto"/>
              <w:right w:val="single" w:sz="4" w:space="0" w:color="auto"/>
            </w:tcBorders>
            <w:shd w:val="clear" w:color="auto" w:fill="FFFFFF"/>
            <w:noWrap/>
            <w:vAlign w:val="bottom"/>
            <w:hideMark/>
          </w:tcPr>
          <w:p w14:paraId="23E32EB5"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1.300,00</w:t>
            </w:r>
          </w:p>
        </w:tc>
        <w:tc>
          <w:tcPr>
            <w:tcW w:w="1631" w:type="dxa"/>
            <w:tcBorders>
              <w:top w:val="nil"/>
              <w:left w:val="nil"/>
              <w:bottom w:val="single" w:sz="4" w:space="0" w:color="auto"/>
              <w:right w:val="single" w:sz="4" w:space="0" w:color="auto"/>
            </w:tcBorders>
            <w:shd w:val="clear" w:color="auto" w:fill="FFFFFF"/>
            <w:noWrap/>
            <w:vAlign w:val="bottom"/>
            <w:hideMark/>
          </w:tcPr>
          <w:p w14:paraId="5D83A387"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4.394,00</w:t>
            </w:r>
          </w:p>
        </w:tc>
        <w:tc>
          <w:tcPr>
            <w:tcW w:w="1418" w:type="dxa"/>
            <w:tcBorders>
              <w:top w:val="nil"/>
              <w:left w:val="nil"/>
              <w:bottom w:val="single" w:sz="4" w:space="0" w:color="auto"/>
              <w:right w:val="single" w:sz="4" w:space="0" w:color="auto"/>
            </w:tcBorders>
            <w:shd w:val="clear" w:color="auto" w:fill="FFFFFF"/>
            <w:noWrap/>
            <w:vAlign w:val="bottom"/>
            <w:hideMark/>
          </w:tcPr>
          <w:p w14:paraId="1E2560B7"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5.694,00</w:t>
            </w:r>
          </w:p>
        </w:tc>
      </w:tr>
      <w:tr w:rsidR="001C345D" w14:paraId="1811BC42"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5237F8EC"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Kapitalni projekt K500001 Kapitalna ulaganja osnovnog školstva</w:t>
            </w:r>
          </w:p>
        </w:tc>
        <w:tc>
          <w:tcPr>
            <w:tcW w:w="1496" w:type="dxa"/>
            <w:tcBorders>
              <w:top w:val="nil"/>
              <w:left w:val="nil"/>
              <w:bottom w:val="single" w:sz="4" w:space="0" w:color="auto"/>
              <w:right w:val="single" w:sz="4" w:space="0" w:color="auto"/>
            </w:tcBorders>
            <w:shd w:val="clear" w:color="auto" w:fill="FFFFFF"/>
            <w:noWrap/>
            <w:vAlign w:val="bottom"/>
            <w:hideMark/>
          </w:tcPr>
          <w:p w14:paraId="48555F62"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78.772,00</w:t>
            </w:r>
          </w:p>
        </w:tc>
        <w:tc>
          <w:tcPr>
            <w:tcW w:w="1631" w:type="dxa"/>
            <w:tcBorders>
              <w:top w:val="nil"/>
              <w:left w:val="nil"/>
              <w:bottom w:val="single" w:sz="4" w:space="0" w:color="auto"/>
              <w:right w:val="single" w:sz="4" w:space="0" w:color="auto"/>
            </w:tcBorders>
            <w:shd w:val="clear" w:color="auto" w:fill="FFFFFF"/>
            <w:noWrap/>
            <w:vAlign w:val="bottom"/>
            <w:hideMark/>
          </w:tcPr>
          <w:p w14:paraId="0E3910CA"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-10.000,00</w:t>
            </w:r>
          </w:p>
        </w:tc>
        <w:tc>
          <w:tcPr>
            <w:tcW w:w="1418" w:type="dxa"/>
            <w:tcBorders>
              <w:top w:val="nil"/>
              <w:left w:val="nil"/>
              <w:bottom w:val="single" w:sz="4" w:space="0" w:color="auto"/>
              <w:right w:val="single" w:sz="4" w:space="0" w:color="auto"/>
            </w:tcBorders>
            <w:shd w:val="clear" w:color="auto" w:fill="FFFFFF"/>
            <w:noWrap/>
            <w:vAlign w:val="bottom"/>
            <w:hideMark/>
          </w:tcPr>
          <w:p w14:paraId="3E45D539"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68.772,00</w:t>
            </w:r>
          </w:p>
        </w:tc>
      </w:tr>
      <w:tr w:rsidR="001C345D" w14:paraId="60C8A91B"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7B6FED90"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Proračunski korisnik 10645 CENTAR LIČE FARAGUNA LABIN</w:t>
            </w:r>
          </w:p>
        </w:tc>
        <w:tc>
          <w:tcPr>
            <w:tcW w:w="1496" w:type="dxa"/>
            <w:tcBorders>
              <w:top w:val="nil"/>
              <w:left w:val="nil"/>
              <w:bottom w:val="single" w:sz="4" w:space="0" w:color="auto"/>
              <w:right w:val="single" w:sz="4" w:space="0" w:color="auto"/>
            </w:tcBorders>
            <w:shd w:val="clear" w:color="auto" w:fill="FFFFFF"/>
            <w:noWrap/>
            <w:vAlign w:val="bottom"/>
            <w:hideMark/>
          </w:tcPr>
          <w:p w14:paraId="0FF9B95B"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664.020,00</w:t>
            </w:r>
          </w:p>
        </w:tc>
        <w:tc>
          <w:tcPr>
            <w:tcW w:w="1631" w:type="dxa"/>
            <w:tcBorders>
              <w:top w:val="nil"/>
              <w:left w:val="nil"/>
              <w:bottom w:val="single" w:sz="4" w:space="0" w:color="auto"/>
              <w:right w:val="single" w:sz="4" w:space="0" w:color="auto"/>
            </w:tcBorders>
            <w:shd w:val="clear" w:color="auto" w:fill="FFFFFF"/>
            <w:noWrap/>
            <w:vAlign w:val="bottom"/>
            <w:hideMark/>
          </w:tcPr>
          <w:p w14:paraId="7A489E43"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38.421,00</w:t>
            </w:r>
          </w:p>
        </w:tc>
        <w:tc>
          <w:tcPr>
            <w:tcW w:w="1418" w:type="dxa"/>
            <w:tcBorders>
              <w:top w:val="nil"/>
              <w:left w:val="nil"/>
              <w:bottom w:val="single" w:sz="4" w:space="0" w:color="auto"/>
              <w:right w:val="single" w:sz="4" w:space="0" w:color="auto"/>
            </w:tcBorders>
            <w:shd w:val="clear" w:color="auto" w:fill="FFFFFF"/>
            <w:noWrap/>
            <w:vAlign w:val="bottom"/>
            <w:hideMark/>
          </w:tcPr>
          <w:p w14:paraId="4EEC781C"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702.441,00</w:t>
            </w:r>
          </w:p>
        </w:tc>
      </w:tr>
      <w:tr w:rsidR="001C345D" w14:paraId="47C1C56B"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0D0C4FF9"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Program 5002 Obrazovanje</w:t>
            </w:r>
          </w:p>
        </w:tc>
        <w:tc>
          <w:tcPr>
            <w:tcW w:w="1496" w:type="dxa"/>
            <w:tcBorders>
              <w:top w:val="nil"/>
              <w:left w:val="nil"/>
              <w:bottom w:val="single" w:sz="4" w:space="0" w:color="auto"/>
              <w:right w:val="single" w:sz="4" w:space="0" w:color="auto"/>
            </w:tcBorders>
            <w:shd w:val="clear" w:color="auto" w:fill="FFFFFF"/>
            <w:noWrap/>
            <w:vAlign w:val="bottom"/>
            <w:hideMark/>
          </w:tcPr>
          <w:p w14:paraId="2C64AACC"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664.020,00</w:t>
            </w:r>
          </w:p>
        </w:tc>
        <w:tc>
          <w:tcPr>
            <w:tcW w:w="1631" w:type="dxa"/>
            <w:tcBorders>
              <w:top w:val="nil"/>
              <w:left w:val="nil"/>
              <w:bottom w:val="single" w:sz="4" w:space="0" w:color="auto"/>
              <w:right w:val="single" w:sz="4" w:space="0" w:color="auto"/>
            </w:tcBorders>
            <w:shd w:val="clear" w:color="auto" w:fill="FFFFFF"/>
            <w:noWrap/>
            <w:vAlign w:val="bottom"/>
            <w:hideMark/>
          </w:tcPr>
          <w:p w14:paraId="2CF91573"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38.421,00</w:t>
            </w:r>
          </w:p>
        </w:tc>
        <w:tc>
          <w:tcPr>
            <w:tcW w:w="1418" w:type="dxa"/>
            <w:tcBorders>
              <w:top w:val="nil"/>
              <w:left w:val="nil"/>
              <w:bottom w:val="single" w:sz="4" w:space="0" w:color="auto"/>
              <w:right w:val="single" w:sz="4" w:space="0" w:color="auto"/>
            </w:tcBorders>
            <w:shd w:val="clear" w:color="auto" w:fill="FFFFFF"/>
            <w:noWrap/>
            <w:vAlign w:val="bottom"/>
            <w:hideMark/>
          </w:tcPr>
          <w:p w14:paraId="6AB89F3D"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702.441,00</w:t>
            </w:r>
          </w:p>
        </w:tc>
      </w:tr>
      <w:tr w:rsidR="001C345D" w14:paraId="73090DA2"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6FBF870A"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A500003 Financiranje djelatnosti osnovnog školstva</w:t>
            </w:r>
          </w:p>
        </w:tc>
        <w:tc>
          <w:tcPr>
            <w:tcW w:w="1496" w:type="dxa"/>
            <w:tcBorders>
              <w:top w:val="nil"/>
              <w:left w:val="nil"/>
              <w:bottom w:val="single" w:sz="4" w:space="0" w:color="auto"/>
              <w:right w:val="single" w:sz="4" w:space="0" w:color="auto"/>
            </w:tcBorders>
            <w:shd w:val="clear" w:color="auto" w:fill="FFFFFF"/>
            <w:noWrap/>
            <w:vAlign w:val="bottom"/>
            <w:hideMark/>
          </w:tcPr>
          <w:p w14:paraId="21AC7D6D"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557.340,00</w:t>
            </w:r>
          </w:p>
        </w:tc>
        <w:tc>
          <w:tcPr>
            <w:tcW w:w="1631" w:type="dxa"/>
            <w:tcBorders>
              <w:top w:val="nil"/>
              <w:left w:val="nil"/>
              <w:bottom w:val="single" w:sz="4" w:space="0" w:color="auto"/>
              <w:right w:val="single" w:sz="4" w:space="0" w:color="auto"/>
            </w:tcBorders>
            <w:shd w:val="clear" w:color="auto" w:fill="FFFFFF"/>
            <w:noWrap/>
            <w:vAlign w:val="bottom"/>
            <w:hideMark/>
          </w:tcPr>
          <w:p w14:paraId="71547C90"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27.351,00</w:t>
            </w:r>
          </w:p>
        </w:tc>
        <w:tc>
          <w:tcPr>
            <w:tcW w:w="1418" w:type="dxa"/>
            <w:tcBorders>
              <w:top w:val="nil"/>
              <w:left w:val="nil"/>
              <w:bottom w:val="single" w:sz="4" w:space="0" w:color="auto"/>
              <w:right w:val="single" w:sz="4" w:space="0" w:color="auto"/>
            </w:tcBorders>
            <w:shd w:val="clear" w:color="auto" w:fill="FFFFFF"/>
            <w:noWrap/>
            <w:vAlign w:val="bottom"/>
            <w:hideMark/>
          </w:tcPr>
          <w:p w14:paraId="513B8278"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584.691,00</w:t>
            </w:r>
          </w:p>
        </w:tc>
      </w:tr>
      <w:tr w:rsidR="001C345D" w14:paraId="6D891D6A"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3D5CEA1A"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A500006 Osiguranje pomoćnika učenicima s teškoćama</w:t>
            </w:r>
          </w:p>
        </w:tc>
        <w:tc>
          <w:tcPr>
            <w:tcW w:w="1496" w:type="dxa"/>
            <w:tcBorders>
              <w:top w:val="nil"/>
              <w:left w:val="nil"/>
              <w:bottom w:val="single" w:sz="4" w:space="0" w:color="auto"/>
              <w:right w:val="single" w:sz="4" w:space="0" w:color="auto"/>
            </w:tcBorders>
            <w:shd w:val="clear" w:color="auto" w:fill="FFFFFF"/>
            <w:noWrap/>
            <w:vAlign w:val="bottom"/>
            <w:hideMark/>
          </w:tcPr>
          <w:p w14:paraId="308DB0CD"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74.000,00</w:t>
            </w:r>
          </w:p>
        </w:tc>
        <w:tc>
          <w:tcPr>
            <w:tcW w:w="1631" w:type="dxa"/>
            <w:tcBorders>
              <w:top w:val="nil"/>
              <w:left w:val="nil"/>
              <w:bottom w:val="single" w:sz="4" w:space="0" w:color="auto"/>
              <w:right w:val="single" w:sz="4" w:space="0" w:color="auto"/>
            </w:tcBorders>
            <w:shd w:val="clear" w:color="auto" w:fill="FFFFFF"/>
            <w:noWrap/>
            <w:vAlign w:val="bottom"/>
            <w:hideMark/>
          </w:tcPr>
          <w:p w14:paraId="46C47BA5"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0,00</w:t>
            </w:r>
          </w:p>
        </w:tc>
        <w:tc>
          <w:tcPr>
            <w:tcW w:w="1418" w:type="dxa"/>
            <w:tcBorders>
              <w:top w:val="nil"/>
              <w:left w:val="nil"/>
              <w:bottom w:val="single" w:sz="4" w:space="0" w:color="auto"/>
              <w:right w:val="single" w:sz="4" w:space="0" w:color="auto"/>
            </w:tcBorders>
            <w:shd w:val="clear" w:color="auto" w:fill="FFFFFF"/>
            <w:noWrap/>
            <w:vAlign w:val="bottom"/>
            <w:hideMark/>
          </w:tcPr>
          <w:p w14:paraId="7AC8343E"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74.000,00</w:t>
            </w:r>
          </w:p>
        </w:tc>
      </w:tr>
      <w:tr w:rsidR="001C345D" w14:paraId="2F1EC004"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403A651E"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A500007 Financiranje izvannastavnih projekata i drugo</w:t>
            </w:r>
          </w:p>
        </w:tc>
        <w:tc>
          <w:tcPr>
            <w:tcW w:w="1496" w:type="dxa"/>
            <w:tcBorders>
              <w:top w:val="nil"/>
              <w:left w:val="nil"/>
              <w:bottom w:val="single" w:sz="4" w:space="0" w:color="auto"/>
              <w:right w:val="single" w:sz="4" w:space="0" w:color="auto"/>
            </w:tcBorders>
            <w:shd w:val="clear" w:color="auto" w:fill="FFFFFF"/>
            <w:noWrap/>
            <w:vAlign w:val="bottom"/>
            <w:hideMark/>
          </w:tcPr>
          <w:p w14:paraId="1B46023F"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1.300,00</w:t>
            </w:r>
          </w:p>
        </w:tc>
        <w:tc>
          <w:tcPr>
            <w:tcW w:w="1631" w:type="dxa"/>
            <w:tcBorders>
              <w:top w:val="nil"/>
              <w:left w:val="nil"/>
              <w:bottom w:val="single" w:sz="4" w:space="0" w:color="auto"/>
              <w:right w:val="single" w:sz="4" w:space="0" w:color="auto"/>
            </w:tcBorders>
            <w:shd w:val="clear" w:color="auto" w:fill="FFFFFF"/>
            <w:noWrap/>
            <w:vAlign w:val="bottom"/>
            <w:hideMark/>
          </w:tcPr>
          <w:p w14:paraId="67D0F643"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0,00</w:t>
            </w:r>
          </w:p>
        </w:tc>
        <w:tc>
          <w:tcPr>
            <w:tcW w:w="1418" w:type="dxa"/>
            <w:tcBorders>
              <w:top w:val="nil"/>
              <w:left w:val="nil"/>
              <w:bottom w:val="single" w:sz="4" w:space="0" w:color="auto"/>
              <w:right w:val="single" w:sz="4" w:space="0" w:color="auto"/>
            </w:tcBorders>
            <w:shd w:val="clear" w:color="auto" w:fill="FFFFFF"/>
            <w:noWrap/>
            <w:vAlign w:val="bottom"/>
            <w:hideMark/>
          </w:tcPr>
          <w:p w14:paraId="56845E33"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1.300,00</w:t>
            </w:r>
          </w:p>
        </w:tc>
      </w:tr>
      <w:tr w:rsidR="001C345D" w14:paraId="6EB99881"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49B92C19"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lastRenderedPageBreak/>
              <w:t>Aktivnost A500008 Sufinanciranje boravka djece</w:t>
            </w:r>
          </w:p>
        </w:tc>
        <w:tc>
          <w:tcPr>
            <w:tcW w:w="1496" w:type="dxa"/>
            <w:tcBorders>
              <w:top w:val="nil"/>
              <w:left w:val="nil"/>
              <w:bottom w:val="single" w:sz="4" w:space="0" w:color="auto"/>
              <w:right w:val="single" w:sz="4" w:space="0" w:color="auto"/>
            </w:tcBorders>
            <w:shd w:val="clear" w:color="auto" w:fill="FFFFFF"/>
            <w:noWrap/>
            <w:vAlign w:val="bottom"/>
            <w:hideMark/>
          </w:tcPr>
          <w:p w14:paraId="5FDDA255"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12.500,00</w:t>
            </w:r>
          </w:p>
        </w:tc>
        <w:tc>
          <w:tcPr>
            <w:tcW w:w="1631" w:type="dxa"/>
            <w:tcBorders>
              <w:top w:val="nil"/>
              <w:left w:val="nil"/>
              <w:bottom w:val="single" w:sz="4" w:space="0" w:color="auto"/>
              <w:right w:val="single" w:sz="4" w:space="0" w:color="auto"/>
            </w:tcBorders>
            <w:shd w:val="clear" w:color="auto" w:fill="FFFFFF"/>
            <w:noWrap/>
            <w:vAlign w:val="bottom"/>
            <w:hideMark/>
          </w:tcPr>
          <w:p w14:paraId="54A97C42"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5.070,00</w:t>
            </w:r>
          </w:p>
        </w:tc>
        <w:tc>
          <w:tcPr>
            <w:tcW w:w="1418" w:type="dxa"/>
            <w:tcBorders>
              <w:top w:val="nil"/>
              <w:left w:val="nil"/>
              <w:bottom w:val="single" w:sz="4" w:space="0" w:color="auto"/>
              <w:right w:val="single" w:sz="4" w:space="0" w:color="auto"/>
            </w:tcBorders>
            <w:shd w:val="clear" w:color="auto" w:fill="FFFFFF"/>
            <w:noWrap/>
            <w:vAlign w:val="bottom"/>
            <w:hideMark/>
          </w:tcPr>
          <w:p w14:paraId="0510C09A"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17.570,00</w:t>
            </w:r>
          </w:p>
        </w:tc>
      </w:tr>
      <w:tr w:rsidR="001C345D" w14:paraId="17A5DB11"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611C6E6B"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A500013 Financiranje aktivnosti predškolske djece</w:t>
            </w:r>
          </w:p>
        </w:tc>
        <w:tc>
          <w:tcPr>
            <w:tcW w:w="1496" w:type="dxa"/>
            <w:tcBorders>
              <w:top w:val="nil"/>
              <w:left w:val="nil"/>
              <w:bottom w:val="single" w:sz="4" w:space="0" w:color="auto"/>
              <w:right w:val="single" w:sz="4" w:space="0" w:color="auto"/>
            </w:tcBorders>
            <w:shd w:val="clear" w:color="auto" w:fill="FFFFFF"/>
            <w:noWrap/>
            <w:vAlign w:val="bottom"/>
            <w:hideMark/>
          </w:tcPr>
          <w:p w14:paraId="1AC4EBE5"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17.880,00</w:t>
            </w:r>
          </w:p>
        </w:tc>
        <w:tc>
          <w:tcPr>
            <w:tcW w:w="1631" w:type="dxa"/>
            <w:tcBorders>
              <w:top w:val="nil"/>
              <w:left w:val="nil"/>
              <w:bottom w:val="single" w:sz="4" w:space="0" w:color="auto"/>
              <w:right w:val="single" w:sz="4" w:space="0" w:color="auto"/>
            </w:tcBorders>
            <w:shd w:val="clear" w:color="auto" w:fill="FFFFFF"/>
            <w:noWrap/>
            <w:vAlign w:val="bottom"/>
            <w:hideMark/>
          </w:tcPr>
          <w:p w14:paraId="0F9A6EAF"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0,00</w:t>
            </w:r>
          </w:p>
        </w:tc>
        <w:tc>
          <w:tcPr>
            <w:tcW w:w="1418" w:type="dxa"/>
            <w:tcBorders>
              <w:top w:val="nil"/>
              <w:left w:val="nil"/>
              <w:bottom w:val="single" w:sz="4" w:space="0" w:color="auto"/>
              <w:right w:val="single" w:sz="4" w:space="0" w:color="auto"/>
            </w:tcBorders>
            <w:shd w:val="clear" w:color="auto" w:fill="FFFFFF"/>
            <w:noWrap/>
            <w:vAlign w:val="bottom"/>
            <w:hideMark/>
          </w:tcPr>
          <w:p w14:paraId="3294F5C8"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17.880,00</w:t>
            </w:r>
          </w:p>
        </w:tc>
      </w:tr>
      <w:tr w:rsidR="001C345D" w14:paraId="18DC6B22"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50D1D3BF"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Kapitalni projekt K500001 Kapitalna ulaganja osnovnog školstva</w:t>
            </w:r>
          </w:p>
        </w:tc>
        <w:tc>
          <w:tcPr>
            <w:tcW w:w="1496" w:type="dxa"/>
            <w:tcBorders>
              <w:top w:val="nil"/>
              <w:left w:val="nil"/>
              <w:bottom w:val="single" w:sz="4" w:space="0" w:color="auto"/>
              <w:right w:val="single" w:sz="4" w:space="0" w:color="auto"/>
            </w:tcBorders>
            <w:shd w:val="clear" w:color="auto" w:fill="FFFFFF"/>
            <w:noWrap/>
            <w:vAlign w:val="bottom"/>
            <w:hideMark/>
          </w:tcPr>
          <w:p w14:paraId="1CB5258C"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1.000,00</w:t>
            </w:r>
          </w:p>
        </w:tc>
        <w:tc>
          <w:tcPr>
            <w:tcW w:w="1631" w:type="dxa"/>
            <w:tcBorders>
              <w:top w:val="nil"/>
              <w:left w:val="nil"/>
              <w:bottom w:val="single" w:sz="4" w:space="0" w:color="auto"/>
              <w:right w:val="single" w:sz="4" w:space="0" w:color="auto"/>
            </w:tcBorders>
            <w:shd w:val="clear" w:color="auto" w:fill="FFFFFF"/>
            <w:noWrap/>
            <w:vAlign w:val="bottom"/>
            <w:hideMark/>
          </w:tcPr>
          <w:p w14:paraId="6C6E398F"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6.000,00</w:t>
            </w:r>
          </w:p>
        </w:tc>
        <w:tc>
          <w:tcPr>
            <w:tcW w:w="1418" w:type="dxa"/>
            <w:tcBorders>
              <w:top w:val="nil"/>
              <w:left w:val="nil"/>
              <w:bottom w:val="single" w:sz="4" w:space="0" w:color="auto"/>
              <w:right w:val="single" w:sz="4" w:space="0" w:color="auto"/>
            </w:tcBorders>
            <w:shd w:val="clear" w:color="auto" w:fill="FFFFFF"/>
            <w:noWrap/>
            <w:vAlign w:val="bottom"/>
            <w:hideMark/>
          </w:tcPr>
          <w:p w14:paraId="5BA30AA6"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7.000,00</w:t>
            </w:r>
          </w:p>
        </w:tc>
      </w:tr>
      <w:tr w:rsidR="001C345D" w14:paraId="4B12B48C"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5B06AF3F"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Proračunski korisnik 48478 UMJETNIČKA ŠKOLA MATKA BRAJŠE RAŠANA LABIN</w:t>
            </w:r>
          </w:p>
        </w:tc>
        <w:tc>
          <w:tcPr>
            <w:tcW w:w="1496" w:type="dxa"/>
            <w:tcBorders>
              <w:top w:val="nil"/>
              <w:left w:val="nil"/>
              <w:bottom w:val="single" w:sz="4" w:space="0" w:color="auto"/>
              <w:right w:val="single" w:sz="4" w:space="0" w:color="auto"/>
            </w:tcBorders>
            <w:shd w:val="clear" w:color="auto" w:fill="FFFFFF"/>
            <w:noWrap/>
            <w:vAlign w:val="bottom"/>
            <w:hideMark/>
          </w:tcPr>
          <w:p w14:paraId="2A7DF10F"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1.352.670,00</w:t>
            </w:r>
          </w:p>
        </w:tc>
        <w:tc>
          <w:tcPr>
            <w:tcW w:w="1631" w:type="dxa"/>
            <w:tcBorders>
              <w:top w:val="nil"/>
              <w:left w:val="nil"/>
              <w:bottom w:val="single" w:sz="4" w:space="0" w:color="auto"/>
              <w:right w:val="single" w:sz="4" w:space="0" w:color="auto"/>
            </w:tcBorders>
            <w:shd w:val="clear" w:color="auto" w:fill="FFFFFF"/>
            <w:noWrap/>
            <w:vAlign w:val="bottom"/>
            <w:hideMark/>
          </w:tcPr>
          <w:p w14:paraId="3C9598E0"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56.108,00</w:t>
            </w:r>
          </w:p>
        </w:tc>
        <w:tc>
          <w:tcPr>
            <w:tcW w:w="1418" w:type="dxa"/>
            <w:tcBorders>
              <w:top w:val="nil"/>
              <w:left w:val="nil"/>
              <w:bottom w:val="single" w:sz="4" w:space="0" w:color="auto"/>
              <w:right w:val="single" w:sz="4" w:space="0" w:color="auto"/>
            </w:tcBorders>
            <w:shd w:val="clear" w:color="auto" w:fill="FFFFFF"/>
            <w:noWrap/>
            <w:vAlign w:val="bottom"/>
            <w:hideMark/>
          </w:tcPr>
          <w:p w14:paraId="5216ADB4"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1.408.778,00</w:t>
            </w:r>
          </w:p>
        </w:tc>
      </w:tr>
      <w:tr w:rsidR="001C345D" w14:paraId="0391BE3F"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27A536C1"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Program 5002 Obrazovanje</w:t>
            </w:r>
          </w:p>
        </w:tc>
        <w:tc>
          <w:tcPr>
            <w:tcW w:w="1496" w:type="dxa"/>
            <w:tcBorders>
              <w:top w:val="nil"/>
              <w:left w:val="nil"/>
              <w:bottom w:val="single" w:sz="4" w:space="0" w:color="auto"/>
              <w:right w:val="single" w:sz="4" w:space="0" w:color="auto"/>
            </w:tcBorders>
            <w:shd w:val="clear" w:color="auto" w:fill="FFFFFF"/>
            <w:noWrap/>
            <w:vAlign w:val="bottom"/>
            <w:hideMark/>
          </w:tcPr>
          <w:p w14:paraId="08324011"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1.352.670,00</w:t>
            </w:r>
          </w:p>
        </w:tc>
        <w:tc>
          <w:tcPr>
            <w:tcW w:w="1631" w:type="dxa"/>
            <w:tcBorders>
              <w:top w:val="nil"/>
              <w:left w:val="nil"/>
              <w:bottom w:val="single" w:sz="4" w:space="0" w:color="auto"/>
              <w:right w:val="single" w:sz="4" w:space="0" w:color="auto"/>
            </w:tcBorders>
            <w:shd w:val="clear" w:color="auto" w:fill="FFFFFF"/>
            <w:noWrap/>
            <w:vAlign w:val="bottom"/>
            <w:hideMark/>
          </w:tcPr>
          <w:p w14:paraId="0AD07743"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56.108,00</w:t>
            </w:r>
          </w:p>
        </w:tc>
        <w:tc>
          <w:tcPr>
            <w:tcW w:w="1418" w:type="dxa"/>
            <w:tcBorders>
              <w:top w:val="nil"/>
              <w:left w:val="nil"/>
              <w:bottom w:val="single" w:sz="4" w:space="0" w:color="auto"/>
              <w:right w:val="single" w:sz="4" w:space="0" w:color="auto"/>
            </w:tcBorders>
            <w:shd w:val="clear" w:color="auto" w:fill="FFFFFF"/>
            <w:noWrap/>
            <w:vAlign w:val="bottom"/>
            <w:hideMark/>
          </w:tcPr>
          <w:p w14:paraId="7A7C09D2"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1.408.778,00</w:t>
            </w:r>
          </w:p>
        </w:tc>
      </w:tr>
      <w:tr w:rsidR="001C345D" w14:paraId="56B45F16"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093C1B3B"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A500003 Financiranje djelatnosti osnovnog školstva</w:t>
            </w:r>
          </w:p>
        </w:tc>
        <w:tc>
          <w:tcPr>
            <w:tcW w:w="1496" w:type="dxa"/>
            <w:tcBorders>
              <w:top w:val="nil"/>
              <w:left w:val="nil"/>
              <w:bottom w:val="single" w:sz="4" w:space="0" w:color="auto"/>
              <w:right w:val="single" w:sz="4" w:space="0" w:color="auto"/>
            </w:tcBorders>
            <w:shd w:val="clear" w:color="auto" w:fill="FFFFFF"/>
            <w:noWrap/>
            <w:vAlign w:val="bottom"/>
            <w:hideMark/>
          </w:tcPr>
          <w:p w14:paraId="61ED5D94"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1.324.970,00</w:t>
            </w:r>
          </w:p>
        </w:tc>
        <w:tc>
          <w:tcPr>
            <w:tcW w:w="1631" w:type="dxa"/>
            <w:tcBorders>
              <w:top w:val="nil"/>
              <w:left w:val="nil"/>
              <w:bottom w:val="single" w:sz="4" w:space="0" w:color="auto"/>
              <w:right w:val="single" w:sz="4" w:space="0" w:color="auto"/>
            </w:tcBorders>
            <w:shd w:val="clear" w:color="auto" w:fill="FFFFFF"/>
            <w:noWrap/>
            <w:vAlign w:val="bottom"/>
            <w:hideMark/>
          </w:tcPr>
          <w:p w14:paraId="6A2BEAFA"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53.388,00</w:t>
            </w:r>
          </w:p>
        </w:tc>
        <w:tc>
          <w:tcPr>
            <w:tcW w:w="1418" w:type="dxa"/>
            <w:tcBorders>
              <w:top w:val="nil"/>
              <w:left w:val="nil"/>
              <w:bottom w:val="single" w:sz="4" w:space="0" w:color="auto"/>
              <w:right w:val="single" w:sz="4" w:space="0" w:color="auto"/>
            </w:tcBorders>
            <w:shd w:val="clear" w:color="auto" w:fill="FFFFFF"/>
            <w:noWrap/>
            <w:vAlign w:val="bottom"/>
            <w:hideMark/>
          </w:tcPr>
          <w:p w14:paraId="31E26E75"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1.378.358,00</w:t>
            </w:r>
          </w:p>
        </w:tc>
      </w:tr>
      <w:tr w:rsidR="001C345D" w14:paraId="6AFBA3CB"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60B0AE00"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A500012 Pripremni glazbeni i plesni program</w:t>
            </w:r>
          </w:p>
        </w:tc>
        <w:tc>
          <w:tcPr>
            <w:tcW w:w="1496" w:type="dxa"/>
            <w:tcBorders>
              <w:top w:val="nil"/>
              <w:left w:val="nil"/>
              <w:bottom w:val="single" w:sz="4" w:space="0" w:color="auto"/>
              <w:right w:val="single" w:sz="4" w:space="0" w:color="auto"/>
            </w:tcBorders>
            <w:shd w:val="clear" w:color="auto" w:fill="FFFFFF"/>
            <w:noWrap/>
            <w:vAlign w:val="bottom"/>
            <w:hideMark/>
          </w:tcPr>
          <w:p w14:paraId="75101C20"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22.200,00</w:t>
            </w:r>
          </w:p>
        </w:tc>
        <w:tc>
          <w:tcPr>
            <w:tcW w:w="1631" w:type="dxa"/>
            <w:tcBorders>
              <w:top w:val="nil"/>
              <w:left w:val="nil"/>
              <w:bottom w:val="single" w:sz="4" w:space="0" w:color="auto"/>
              <w:right w:val="single" w:sz="4" w:space="0" w:color="auto"/>
            </w:tcBorders>
            <w:shd w:val="clear" w:color="auto" w:fill="FFFFFF"/>
            <w:noWrap/>
            <w:vAlign w:val="bottom"/>
            <w:hideMark/>
          </w:tcPr>
          <w:p w14:paraId="0613E792"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0,00</w:t>
            </w:r>
          </w:p>
        </w:tc>
        <w:tc>
          <w:tcPr>
            <w:tcW w:w="1418" w:type="dxa"/>
            <w:tcBorders>
              <w:top w:val="nil"/>
              <w:left w:val="nil"/>
              <w:bottom w:val="single" w:sz="4" w:space="0" w:color="auto"/>
              <w:right w:val="single" w:sz="4" w:space="0" w:color="auto"/>
            </w:tcBorders>
            <w:shd w:val="clear" w:color="auto" w:fill="FFFFFF"/>
            <w:noWrap/>
            <w:vAlign w:val="bottom"/>
            <w:hideMark/>
          </w:tcPr>
          <w:p w14:paraId="44A78DE7"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22.200,00</w:t>
            </w:r>
          </w:p>
        </w:tc>
      </w:tr>
      <w:tr w:rsidR="001C345D" w14:paraId="3A3A29FF"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52C78A85"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Kapitalni projekt K500001 Kapitalna ulaganja osnovnog školstva</w:t>
            </w:r>
          </w:p>
        </w:tc>
        <w:tc>
          <w:tcPr>
            <w:tcW w:w="1496" w:type="dxa"/>
            <w:tcBorders>
              <w:top w:val="nil"/>
              <w:left w:val="nil"/>
              <w:bottom w:val="single" w:sz="4" w:space="0" w:color="auto"/>
              <w:right w:val="single" w:sz="4" w:space="0" w:color="auto"/>
            </w:tcBorders>
            <w:shd w:val="clear" w:color="auto" w:fill="FFFFFF"/>
            <w:noWrap/>
            <w:vAlign w:val="bottom"/>
            <w:hideMark/>
          </w:tcPr>
          <w:p w14:paraId="4C1A002F"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5.500,00</w:t>
            </w:r>
          </w:p>
        </w:tc>
        <w:tc>
          <w:tcPr>
            <w:tcW w:w="1631" w:type="dxa"/>
            <w:tcBorders>
              <w:top w:val="nil"/>
              <w:left w:val="nil"/>
              <w:bottom w:val="single" w:sz="4" w:space="0" w:color="auto"/>
              <w:right w:val="single" w:sz="4" w:space="0" w:color="auto"/>
            </w:tcBorders>
            <w:shd w:val="clear" w:color="auto" w:fill="FFFFFF"/>
            <w:noWrap/>
            <w:vAlign w:val="bottom"/>
            <w:hideMark/>
          </w:tcPr>
          <w:p w14:paraId="1C85EC2F"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0,00</w:t>
            </w:r>
          </w:p>
        </w:tc>
        <w:tc>
          <w:tcPr>
            <w:tcW w:w="1418" w:type="dxa"/>
            <w:tcBorders>
              <w:top w:val="nil"/>
              <w:left w:val="nil"/>
              <w:bottom w:val="single" w:sz="4" w:space="0" w:color="auto"/>
              <w:right w:val="single" w:sz="4" w:space="0" w:color="auto"/>
            </w:tcBorders>
            <w:shd w:val="clear" w:color="auto" w:fill="FFFFFF"/>
            <w:noWrap/>
            <w:vAlign w:val="bottom"/>
            <w:hideMark/>
          </w:tcPr>
          <w:p w14:paraId="58C28A22"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5.500,00</w:t>
            </w:r>
          </w:p>
        </w:tc>
      </w:tr>
      <w:tr w:rsidR="001C345D" w14:paraId="6280B024"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6469E7D6"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Tekući projekt T500007 Kulturno blago</w:t>
            </w:r>
          </w:p>
        </w:tc>
        <w:tc>
          <w:tcPr>
            <w:tcW w:w="1496" w:type="dxa"/>
            <w:tcBorders>
              <w:top w:val="nil"/>
              <w:left w:val="nil"/>
              <w:bottom w:val="single" w:sz="4" w:space="0" w:color="auto"/>
              <w:right w:val="single" w:sz="4" w:space="0" w:color="auto"/>
            </w:tcBorders>
            <w:shd w:val="clear" w:color="auto" w:fill="FFFFFF"/>
            <w:noWrap/>
            <w:vAlign w:val="bottom"/>
            <w:hideMark/>
          </w:tcPr>
          <w:p w14:paraId="4DEFF287"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0,00</w:t>
            </w:r>
          </w:p>
        </w:tc>
        <w:tc>
          <w:tcPr>
            <w:tcW w:w="1631" w:type="dxa"/>
            <w:tcBorders>
              <w:top w:val="nil"/>
              <w:left w:val="nil"/>
              <w:bottom w:val="single" w:sz="4" w:space="0" w:color="auto"/>
              <w:right w:val="single" w:sz="4" w:space="0" w:color="auto"/>
            </w:tcBorders>
            <w:shd w:val="clear" w:color="auto" w:fill="FFFFFF"/>
            <w:noWrap/>
            <w:vAlign w:val="bottom"/>
            <w:hideMark/>
          </w:tcPr>
          <w:p w14:paraId="09381391"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2.720,00</w:t>
            </w:r>
          </w:p>
        </w:tc>
        <w:tc>
          <w:tcPr>
            <w:tcW w:w="1418" w:type="dxa"/>
            <w:tcBorders>
              <w:top w:val="nil"/>
              <w:left w:val="nil"/>
              <w:bottom w:val="single" w:sz="4" w:space="0" w:color="auto"/>
              <w:right w:val="single" w:sz="4" w:space="0" w:color="auto"/>
            </w:tcBorders>
            <w:shd w:val="clear" w:color="auto" w:fill="FFFFFF"/>
            <w:noWrap/>
            <w:vAlign w:val="bottom"/>
            <w:hideMark/>
          </w:tcPr>
          <w:p w14:paraId="47535214"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2.720,00</w:t>
            </w:r>
          </w:p>
        </w:tc>
      </w:tr>
      <w:tr w:rsidR="001C345D" w14:paraId="615CAC9C"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7DF23DF9"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Glava 50004 USTANOVE U KULTURI</w:t>
            </w:r>
          </w:p>
        </w:tc>
        <w:tc>
          <w:tcPr>
            <w:tcW w:w="1496" w:type="dxa"/>
            <w:tcBorders>
              <w:top w:val="nil"/>
              <w:left w:val="nil"/>
              <w:bottom w:val="single" w:sz="4" w:space="0" w:color="auto"/>
              <w:right w:val="single" w:sz="4" w:space="0" w:color="auto"/>
            </w:tcBorders>
            <w:shd w:val="clear" w:color="auto" w:fill="FFFFFF"/>
            <w:noWrap/>
            <w:vAlign w:val="bottom"/>
            <w:hideMark/>
          </w:tcPr>
          <w:p w14:paraId="5140850C"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772.629,00</w:t>
            </w:r>
          </w:p>
        </w:tc>
        <w:tc>
          <w:tcPr>
            <w:tcW w:w="1631" w:type="dxa"/>
            <w:tcBorders>
              <w:top w:val="nil"/>
              <w:left w:val="nil"/>
              <w:bottom w:val="single" w:sz="4" w:space="0" w:color="auto"/>
              <w:right w:val="single" w:sz="4" w:space="0" w:color="auto"/>
            </w:tcBorders>
            <w:shd w:val="clear" w:color="auto" w:fill="FFFFFF"/>
            <w:noWrap/>
            <w:vAlign w:val="bottom"/>
            <w:hideMark/>
          </w:tcPr>
          <w:p w14:paraId="333D067C"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117.205,00</w:t>
            </w:r>
          </w:p>
        </w:tc>
        <w:tc>
          <w:tcPr>
            <w:tcW w:w="1418" w:type="dxa"/>
            <w:tcBorders>
              <w:top w:val="nil"/>
              <w:left w:val="nil"/>
              <w:bottom w:val="single" w:sz="4" w:space="0" w:color="auto"/>
              <w:right w:val="single" w:sz="4" w:space="0" w:color="auto"/>
            </w:tcBorders>
            <w:shd w:val="clear" w:color="auto" w:fill="FFFFFF"/>
            <w:noWrap/>
            <w:vAlign w:val="bottom"/>
            <w:hideMark/>
          </w:tcPr>
          <w:p w14:paraId="472E96D1"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889.834,00</w:t>
            </w:r>
          </w:p>
        </w:tc>
      </w:tr>
      <w:tr w:rsidR="001C345D" w14:paraId="7336FDE6"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3B56D0F6"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Proračunski korisnik 15577 PUČKO OTVORENO UČILIŠTE LABIN</w:t>
            </w:r>
          </w:p>
        </w:tc>
        <w:tc>
          <w:tcPr>
            <w:tcW w:w="1496" w:type="dxa"/>
            <w:tcBorders>
              <w:top w:val="nil"/>
              <w:left w:val="nil"/>
              <w:bottom w:val="single" w:sz="4" w:space="0" w:color="auto"/>
              <w:right w:val="single" w:sz="4" w:space="0" w:color="auto"/>
            </w:tcBorders>
            <w:shd w:val="clear" w:color="auto" w:fill="FFFFFF"/>
            <w:noWrap/>
            <w:vAlign w:val="bottom"/>
            <w:hideMark/>
          </w:tcPr>
          <w:p w14:paraId="0C9B439D"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524.394,00</w:t>
            </w:r>
          </w:p>
        </w:tc>
        <w:tc>
          <w:tcPr>
            <w:tcW w:w="1631" w:type="dxa"/>
            <w:tcBorders>
              <w:top w:val="nil"/>
              <w:left w:val="nil"/>
              <w:bottom w:val="single" w:sz="4" w:space="0" w:color="auto"/>
              <w:right w:val="single" w:sz="4" w:space="0" w:color="auto"/>
            </w:tcBorders>
            <w:shd w:val="clear" w:color="auto" w:fill="FFFFFF"/>
            <w:noWrap/>
            <w:vAlign w:val="bottom"/>
            <w:hideMark/>
          </w:tcPr>
          <w:p w14:paraId="3B7D9422"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94.214,00</w:t>
            </w:r>
          </w:p>
        </w:tc>
        <w:tc>
          <w:tcPr>
            <w:tcW w:w="1418" w:type="dxa"/>
            <w:tcBorders>
              <w:top w:val="nil"/>
              <w:left w:val="nil"/>
              <w:bottom w:val="single" w:sz="4" w:space="0" w:color="auto"/>
              <w:right w:val="single" w:sz="4" w:space="0" w:color="auto"/>
            </w:tcBorders>
            <w:shd w:val="clear" w:color="auto" w:fill="FFFFFF"/>
            <w:noWrap/>
            <w:vAlign w:val="bottom"/>
            <w:hideMark/>
          </w:tcPr>
          <w:p w14:paraId="5BA8BBBC"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618.608,00</w:t>
            </w:r>
          </w:p>
        </w:tc>
      </w:tr>
      <w:tr w:rsidR="001C345D" w14:paraId="7E157EA9"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1FB76242"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Program 5004 Promicanje kulture</w:t>
            </w:r>
          </w:p>
        </w:tc>
        <w:tc>
          <w:tcPr>
            <w:tcW w:w="1496" w:type="dxa"/>
            <w:tcBorders>
              <w:top w:val="nil"/>
              <w:left w:val="nil"/>
              <w:bottom w:val="single" w:sz="4" w:space="0" w:color="auto"/>
              <w:right w:val="single" w:sz="4" w:space="0" w:color="auto"/>
            </w:tcBorders>
            <w:shd w:val="clear" w:color="auto" w:fill="FFFFFF"/>
            <w:noWrap/>
            <w:vAlign w:val="bottom"/>
            <w:hideMark/>
          </w:tcPr>
          <w:p w14:paraId="594141A3"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524.394,00</w:t>
            </w:r>
          </w:p>
        </w:tc>
        <w:tc>
          <w:tcPr>
            <w:tcW w:w="1631" w:type="dxa"/>
            <w:tcBorders>
              <w:top w:val="nil"/>
              <w:left w:val="nil"/>
              <w:bottom w:val="single" w:sz="4" w:space="0" w:color="auto"/>
              <w:right w:val="single" w:sz="4" w:space="0" w:color="auto"/>
            </w:tcBorders>
            <w:shd w:val="clear" w:color="auto" w:fill="FFFFFF"/>
            <w:noWrap/>
            <w:vAlign w:val="bottom"/>
            <w:hideMark/>
          </w:tcPr>
          <w:p w14:paraId="377FE4E1"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94.214,00</w:t>
            </w:r>
          </w:p>
        </w:tc>
        <w:tc>
          <w:tcPr>
            <w:tcW w:w="1418" w:type="dxa"/>
            <w:tcBorders>
              <w:top w:val="nil"/>
              <w:left w:val="nil"/>
              <w:bottom w:val="single" w:sz="4" w:space="0" w:color="auto"/>
              <w:right w:val="single" w:sz="4" w:space="0" w:color="auto"/>
            </w:tcBorders>
            <w:shd w:val="clear" w:color="auto" w:fill="FFFFFF"/>
            <w:noWrap/>
            <w:vAlign w:val="bottom"/>
            <w:hideMark/>
          </w:tcPr>
          <w:p w14:paraId="407C5D56"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618.608,00</w:t>
            </w:r>
          </w:p>
        </w:tc>
      </w:tr>
      <w:tr w:rsidR="001C345D" w14:paraId="60C6F2E9"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19A9121B"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A500007 Glazbeno scenska djelatnost</w:t>
            </w:r>
          </w:p>
        </w:tc>
        <w:tc>
          <w:tcPr>
            <w:tcW w:w="1496" w:type="dxa"/>
            <w:tcBorders>
              <w:top w:val="nil"/>
              <w:left w:val="nil"/>
              <w:bottom w:val="single" w:sz="4" w:space="0" w:color="auto"/>
              <w:right w:val="single" w:sz="4" w:space="0" w:color="auto"/>
            </w:tcBorders>
            <w:shd w:val="clear" w:color="auto" w:fill="FFFFFF"/>
            <w:noWrap/>
            <w:vAlign w:val="bottom"/>
            <w:hideMark/>
          </w:tcPr>
          <w:p w14:paraId="06286144"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9.000,00</w:t>
            </w:r>
          </w:p>
        </w:tc>
        <w:tc>
          <w:tcPr>
            <w:tcW w:w="1631" w:type="dxa"/>
            <w:tcBorders>
              <w:top w:val="nil"/>
              <w:left w:val="nil"/>
              <w:bottom w:val="single" w:sz="4" w:space="0" w:color="auto"/>
              <w:right w:val="single" w:sz="4" w:space="0" w:color="auto"/>
            </w:tcBorders>
            <w:shd w:val="clear" w:color="auto" w:fill="FFFFFF"/>
            <w:noWrap/>
            <w:vAlign w:val="bottom"/>
            <w:hideMark/>
          </w:tcPr>
          <w:p w14:paraId="56281DCE"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3.000,00</w:t>
            </w:r>
          </w:p>
        </w:tc>
        <w:tc>
          <w:tcPr>
            <w:tcW w:w="1418" w:type="dxa"/>
            <w:tcBorders>
              <w:top w:val="nil"/>
              <w:left w:val="nil"/>
              <w:bottom w:val="single" w:sz="4" w:space="0" w:color="auto"/>
              <w:right w:val="single" w:sz="4" w:space="0" w:color="auto"/>
            </w:tcBorders>
            <w:shd w:val="clear" w:color="auto" w:fill="FFFFFF"/>
            <w:noWrap/>
            <w:vAlign w:val="bottom"/>
            <w:hideMark/>
          </w:tcPr>
          <w:p w14:paraId="5C0C5933"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12.000,00</w:t>
            </w:r>
          </w:p>
        </w:tc>
      </w:tr>
      <w:tr w:rsidR="001C345D" w14:paraId="10B99283"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4B61B860"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A500009 Gradska galerija</w:t>
            </w:r>
          </w:p>
        </w:tc>
        <w:tc>
          <w:tcPr>
            <w:tcW w:w="1496" w:type="dxa"/>
            <w:tcBorders>
              <w:top w:val="nil"/>
              <w:left w:val="nil"/>
              <w:bottom w:val="single" w:sz="4" w:space="0" w:color="auto"/>
              <w:right w:val="single" w:sz="4" w:space="0" w:color="auto"/>
            </w:tcBorders>
            <w:shd w:val="clear" w:color="auto" w:fill="FFFFFF"/>
            <w:noWrap/>
            <w:vAlign w:val="bottom"/>
            <w:hideMark/>
          </w:tcPr>
          <w:p w14:paraId="7EEB0BA5"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27.600,00</w:t>
            </w:r>
          </w:p>
        </w:tc>
        <w:tc>
          <w:tcPr>
            <w:tcW w:w="1631" w:type="dxa"/>
            <w:tcBorders>
              <w:top w:val="nil"/>
              <w:left w:val="nil"/>
              <w:bottom w:val="single" w:sz="4" w:space="0" w:color="auto"/>
              <w:right w:val="single" w:sz="4" w:space="0" w:color="auto"/>
            </w:tcBorders>
            <w:shd w:val="clear" w:color="auto" w:fill="FFFFFF"/>
            <w:noWrap/>
            <w:vAlign w:val="bottom"/>
            <w:hideMark/>
          </w:tcPr>
          <w:p w14:paraId="1A2AB1CE"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6.905,00</w:t>
            </w:r>
          </w:p>
        </w:tc>
        <w:tc>
          <w:tcPr>
            <w:tcW w:w="1418" w:type="dxa"/>
            <w:tcBorders>
              <w:top w:val="nil"/>
              <w:left w:val="nil"/>
              <w:bottom w:val="single" w:sz="4" w:space="0" w:color="auto"/>
              <w:right w:val="single" w:sz="4" w:space="0" w:color="auto"/>
            </w:tcBorders>
            <w:shd w:val="clear" w:color="auto" w:fill="FFFFFF"/>
            <w:noWrap/>
            <w:vAlign w:val="bottom"/>
            <w:hideMark/>
          </w:tcPr>
          <w:p w14:paraId="72F3DEDC"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34.505,00</w:t>
            </w:r>
          </w:p>
        </w:tc>
      </w:tr>
      <w:tr w:rsidR="001C345D" w14:paraId="6D285622"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3A367758"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A500010 Financiranje redovne djelatnosti kina</w:t>
            </w:r>
          </w:p>
        </w:tc>
        <w:tc>
          <w:tcPr>
            <w:tcW w:w="1496" w:type="dxa"/>
            <w:tcBorders>
              <w:top w:val="nil"/>
              <w:left w:val="nil"/>
              <w:bottom w:val="single" w:sz="4" w:space="0" w:color="auto"/>
              <w:right w:val="single" w:sz="4" w:space="0" w:color="auto"/>
            </w:tcBorders>
            <w:shd w:val="clear" w:color="auto" w:fill="FFFFFF"/>
            <w:noWrap/>
            <w:vAlign w:val="bottom"/>
            <w:hideMark/>
          </w:tcPr>
          <w:p w14:paraId="568D36F2"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50.185,00</w:t>
            </w:r>
          </w:p>
        </w:tc>
        <w:tc>
          <w:tcPr>
            <w:tcW w:w="1631" w:type="dxa"/>
            <w:tcBorders>
              <w:top w:val="nil"/>
              <w:left w:val="nil"/>
              <w:bottom w:val="single" w:sz="4" w:space="0" w:color="auto"/>
              <w:right w:val="single" w:sz="4" w:space="0" w:color="auto"/>
            </w:tcBorders>
            <w:shd w:val="clear" w:color="auto" w:fill="FFFFFF"/>
            <w:noWrap/>
            <w:vAlign w:val="bottom"/>
            <w:hideMark/>
          </w:tcPr>
          <w:p w14:paraId="0281C2CD"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-1.360,00</w:t>
            </w:r>
          </w:p>
        </w:tc>
        <w:tc>
          <w:tcPr>
            <w:tcW w:w="1418" w:type="dxa"/>
            <w:tcBorders>
              <w:top w:val="nil"/>
              <w:left w:val="nil"/>
              <w:bottom w:val="single" w:sz="4" w:space="0" w:color="auto"/>
              <w:right w:val="single" w:sz="4" w:space="0" w:color="auto"/>
            </w:tcBorders>
            <w:shd w:val="clear" w:color="auto" w:fill="FFFFFF"/>
            <w:noWrap/>
            <w:vAlign w:val="bottom"/>
            <w:hideMark/>
          </w:tcPr>
          <w:p w14:paraId="471AE0A1"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48.825,00</w:t>
            </w:r>
          </w:p>
        </w:tc>
      </w:tr>
      <w:tr w:rsidR="001C345D" w14:paraId="66F5387E"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3F7D386F"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A500011 Financiranje redovne djelatnosti obrazovanja odraslih</w:t>
            </w:r>
          </w:p>
        </w:tc>
        <w:tc>
          <w:tcPr>
            <w:tcW w:w="1496" w:type="dxa"/>
            <w:tcBorders>
              <w:top w:val="nil"/>
              <w:left w:val="nil"/>
              <w:bottom w:val="single" w:sz="4" w:space="0" w:color="auto"/>
              <w:right w:val="single" w:sz="4" w:space="0" w:color="auto"/>
            </w:tcBorders>
            <w:shd w:val="clear" w:color="auto" w:fill="FFFFFF"/>
            <w:noWrap/>
            <w:vAlign w:val="bottom"/>
            <w:hideMark/>
          </w:tcPr>
          <w:p w14:paraId="41EACB52"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42.694,00</w:t>
            </w:r>
          </w:p>
        </w:tc>
        <w:tc>
          <w:tcPr>
            <w:tcW w:w="1631" w:type="dxa"/>
            <w:tcBorders>
              <w:top w:val="nil"/>
              <w:left w:val="nil"/>
              <w:bottom w:val="single" w:sz="4" w:space="0" w:color="auto"/>
              <w:right w:val="single" w:sz="4" w:space="0" w:color="auto"/>
            </w:tcBorders>
            <w:shd w:val="clear" w:color="auto" w:fill="FFFFFF"/>
            <w:noWrap/>
            <w:vAlign w:val="bottom"/>
            <w:hideMark/>
          </w:tcPr>
          <w:p w14:paraId="6786F030"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25.627,00</w:t>
            </w:r>
          </w:p>
        </w:tc>
        <w:tc>
          <w:tcPr>
            <w:tcW w:w="1418" w:type="dxa"/>
            <w:tcBorders>
              <w:top w:val="nil"/>
              <w:left w:val="nil"/>
              <w:bottom w:val="single" w:sz="4" w:space="0" w:color="auto"/>
              <w:right w:val="single" w:sz="4" w:space="0" w:color="auto"/>
            </w:tcBorders>
            <w:shd w:val="clear" w:color="auto" w:fill="FFFFFF"/>
            <w:noWrap/>
            <w:vAlign w:val="bottom"/>
            <w:hideMark/>
          </w:tcPr>
          <w:p w14:paraId="3EB954C1"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68.321,00</w:t>
            </w:r>
          </w:p>
        </w:tc>
      </w:tr>
      <w:tr w:rsidR="001C345D" w14:paraId="2385B6B2"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68852571"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A500020 Financiranje zajedničkih službi</w:t>
            </w:r>
          </w:p>
        </w:tc>
        <w:tc>
          <w:tcPr>
            <w:tcW w:w="1496" w:type="dxa"/>
            <w:tcBorders>
              <w:top w:val="nil"/>
              <w:left w:val="nil"/>
              <w:bottom w:val="single" w:sz="4" w:space="0" w:color="auto"/>
              <w:right w:val="single" w:sz="4" w:space="0" w:color="auto"/>
            </w:tcBorders>
            <w:shd w:val="clear" w:color="auto" w:fill="FFFFFF"/>
            <w:noWrap/>
            <w:vAlign w:val="bottom"/>
            <w:hideMark/>
          </w:tcPr>
          <w:p w14:paraId="56FA60ED"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353.061,00</w:t>
            </w:r>
          </w:p>
        </w:tc>
        <w:tc>
          <w:tcPr>
            <w:tcW w:w="1631" w:type="dxa"/>
            <w:tcBorders>
              <w:top w:val="nil"/>
              <w:left w:val="nil"/>
              <w:bottom w:val="single" w:sz="4" w:space="0" w:color="auto"/>
              <w:right w:val="single" w:sz="4" w:space="0" w:color="auto"/>
            </w:tcBorders>
            <w:shd w:val="clear" w:color="auto" w:fill="FFFFFF"/>
            <w:noWrap/>
            <w:vAlign w:val="bottom"/>
            <w:hideMark/>
          </w:tcPr>
          <w:p w14:paraId="5E654E1F"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28.939,00</w:t>
            </w:r>
          </w:p>
        </w:tc>
        <w:tc>
          <w:tcPr>
            <w:tcW w:w="1418" w:type="dxa"/>
            <w:tcBorders>
              <w:top w:val="nil"/>
              <w:left w:val="nil"/>
              <w:bottom w:val="single" w:sz="4" w:space="0" w:color="auto"/>
              <w:right w:val="single" w:sz="4" w:space="0" w:color="auto"/>
            </w:tcBorders>
            <w:shd w:val="clear" w:color="auto" w:fill="FFFFFF"/>
            <w:noWrap/>
            <w:vAlign w:val="bottom"/>
            <w:hideMark/>
          </w:tcPr>
          <w:p w14:paraId="6F72D5EC"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382.000,00</w:t>
            </w:r>
          </w:p>
        </w:tc>
      </w:tr>
      <w:tr w:rsidR="001C345D" w14:paraId="1A3610DB"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5BBE9D29"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A500021 Financiranje muzejske djelatnosti</w:t>
            </w:r>
          </w:p>
        </w:tc>
        <w:tc>
          <w:tcPr>
            <w:tcW w:w="1496" w:type="dxa"/>
            <w:tcBorders>
              <w:top w:val="nil"/>
              <w:left w:val="nil"/>
              <w:bottom w:val="single" w:sz="4" w:space="0" w:color="auto"/>
              <w:right w:val="single" w:sz="4" w:space="0" w:color="auto"/>
            </w:tcBorders>
            <w:shd w:val="clear" w:color="auto" w:fill="FFFFFF"/>
            <w:noWrap/>
            <w:vAlign w:val="bottom"/>
            <w:hideMark/>
          </w:tcPr>
          <w:p w14:paraId="3AA00736"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41.854,00</w:t>
            </w:r>
          </w:p>
        </w:tc>
        <w:tc>
          <w:tcPr>
            <w:tcW w:w="1631" w:type="dxa"/>
            <w:tcBorders>
              <w:top w:val="nil"/>
              <w:left w:val="nil"/>
              <w:bottom w:val="single" w:sz="4" w:space="0" w:color="auto"/>
              <w:right w:val="single" w:sz="4" w:space="0" w:color="auto"/>
            </w:tcBorders>
            <w:shd w:val="clear" w:color="auto" w:fill="FFFFFF"/>
            <w:noWrap/>
            <w:vAlign w:val="bottom"/>
            <w:hideMark/>
          </w:tcPr>
          <w:p w14:paraId="284169E0"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14.400,00</w:t>
            </w:r>
          </w:p>
        </w:tc>
        <w:tc>
          <w:tcPr>
            <w:tcW w:w="1418" w:type="dxa"/>
            <w:tcBorders>
              <w:top w:val="nil"/>
              <w:left w:val="nil"/>
              <w:bottom w:val="single" w:sz="4" w:space="0" w:color="auto"/>
              <w:right w:val="single" w:sz="4" w:space="0" w:color="auto"/>
            </w:tcBorders>
            <w:shd w:val="clear" w:color="auto" w:fill="FFFFFF"/>
            <w:noWrap/>
            <w:vAlign w:val="bottom"/>
            <w:hideMark/>
          </w:tcPr>
          <w:p w14:paraId="7087863F"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56.254,00</w:t>
            </w:r>
          </w:p>
        </w:tc>
      </w:tr>
      <w:tr w:rsidR="001C345D" w14:paraId="23A8D072"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27315FAD"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Tekući projekt T500008 Projekt FLAG- MORE SJEĆANJA</w:t>
            </w:r>
          </w:p>
        </w:tc>
        <w:tc>
          <w:tcPr>
            <w:tcW w:w="1496" w:type="dxa"/>
            <w:tcBorders>
              <w:top w:val="nil"/>
              <w:left w:val="nil"/>
              <w:bottom w:val="single" w:sz="4" w:space="0" w:color="auto"/>
              <w:right w:val="single" w:sz="4" w:space="0" w:color="auto"/>
            </w:tcBorders>
            <w:shd w:val="clear" w:color="auto" w:fill="FFFFFF"/>
            <w:noWrap/>
            <w:vAlign w:val="bottom"/>
            <w:hideMark/>
          </w:tcPr>
          <w:p w14:paraId="2C303994"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0,00</w:t>
            </w:r>
          </w:p>
        </w:tc>
        <w:tc>
          <w:tcPr>
            <w:tcW w:w="1631" w:type="dxa"/>
            <w:tcBorders>
              <w:top w:val="nil"/>
              <w:left w:val="nil"/>
              <w:bottom w:val="single" w:sz="4" w:space="0" w:color="auto"/>
              <w:right w:val="single" w:sz="4" w:space="0" w:color="auto"/>
            </w:tcBorders>
            <w:shd w:val="clear" w:color="auto" w:fill="FFFFFF"/>
            <w:noWrap/>
            <w:vAlign w:val="bottom"/>
            <w:hideMark/>
          </w:tcPr>
          <w:p w14:paraId="511DB26A"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16.703,00</w:t>
            </w:r>
          </w:p>
        </w:tc>
        <w:tc>
          <w:tcPr>
            <w:tcW w:w="1418" w:type="dxa"/>
            <w:tcBorders>
              <w:top w:val="nil"/>
              <w:left w:val="nil"/>
              <w:bottom w:val="single" w:sz="4" w:space="0" w:color="auto"/>
              <w:right w:val="single" w:sz="4" w:space="0" w:color="auto"/>
            </w:tcBorders>
            <w:shd w:val="clear" w:color="auto" w:fill="FFFFFF"/>
            <w:noWrap/>
            <w:vAlign w:val="bottom"/>
            <w:hideMark/>
          </w:tcPr>
          <w:p w14:paraId="7B526991"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16.703,00</w:t>
            </w:r>
          </w:p>
        </w:tc>
      </w:tr>
      <w:tr w:rsidR="001C345D" w14:paraId="756174F2"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1E516721"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Proračunski korisnik 42266 GRADSKA KNJIŽNICA LABIN</w:t>
            </w:r>
          </w:p>
        </w:tc>
        <w:tc>
          <w:tcPr>
            <w:tcW w:w="1496" w:type="dxa"/>
            <w:tcBorders>
              <w:top w:val="nil"/>
              <w:left w:val="nil"/>
              <w:bottom w:val="single" w:sz="4" w:space="0" w:color="auto"/>
              <w:right w:val="single" w:sz="4" w:space="0" w:color="auto"/>
            </w:tcBorders>
            <w:shd w:val="clear" w:color="auto" w:fill="FFFFFF"/>
            <w:noWrap/>
            <w:vAlign w:val="bottom"/>
            <w:hideMark/>
          </w:tcPr>
          <w:p w14:paraId="33EE1BEE"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248.235,00</w:t>
            </w:r>
          </w:p>
        </w:tc>
        <w:tc>
          <w:tcPr>
            <w:tcW w:w="1631" w:type="dxa"/>
            <w:tcBorders>
              <w:top w:val="nil"/>
              <w:left w:val="nil"/>
              <w:bottom w:val="single" w:sz="4" w:space="0" w:color="auto"/>
              <w:right w:val="single" w:sz="4" w:space="0" w:color="auto"/>
            </w:tcBorders>
            <w:shd w:val="clear" w:color="auto" w:fill="FFFFFF"/>
            <w:noWrap/>
            <w:vAlign w:val="bottom"/>
            <w:hideMark/>
          </w:tcPr>
          <w:p w14:paraId="50B2431D"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22.991,00</w:t>
            </w:r>
          </w:p>
        </w:tc>
        <w:tc>
          <w:tcPr>
            <w:tcW w:w="1418" w:type="dxa"/>
            <w:tcBorders>
              <w:top w:val="nil"/>
              <w:left w:val="nil"/>
              <w:bottom w:val="single" w:sz="4" w:space="0" w:color="auto"/>
              <w:right w:val="single" w:sz="4" w:space="0" w:color="auto"/>
            </w:tcBorders>
            <w:shd w:val="clear" w:color="auto" w:fill="FFFFFF"/>
            <w:noWrap/>
            <w:vAlign w:val="bottom"/>
            <w:hideMark/>
          </w:tcPr>
          <w:p w14:paraId="61C59E94"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271.226,00</w:t>
            </w:r>
          </w:p>
        </w:tc>
      </w:tr>
      <w:tr w:rsidR="001C345D" w14:paraId="26919E13"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36D0584F"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Program 5004 Promicanje kulture</w:t>
            </w:r>
          </w:p>
        </w:tc>
        <w:tc>
          <w:tcPr>
            <w:tcW w:w="1496" w:type="dxa"/>
            <w:tcBorders>
              <w:top w:val="nil"/>
              <w:left w:val="nil"/>
              <w:bottom w:val="single" w:sz="4" w:space="0" w:color="auto"/>
              <w:right w:val="single" w:sz="4" w:space="0" w:color="auto"/>
            </w:tcBorders>
            <w:shd w:val="clear" w:color="auto" w:fill="FFFFFF"/>
            <w:noWrap/>
            <w:vAlign w:val="bottom"/>
            <w:hideMark/>
          </w:tcPr>
          <w:p w14:paraId="71D893DB"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248.235,00</w:t>
            </w:r>
          </w:p>
        </w:tc>
        <w:tc>
          <w:tcPr>
            <w:tcW w:w="1631" w:type="dxa"/>
            <w:tcBorders>
              <w:top w:val="nil"/>
              <w:left w:val="nil"/>
              <w:bottom w:val="single" w:sz="4" w:space="0" w:color="auto"/>
              <w:right w:val="single" w:sz="4" w:space="0" w:color="auto"/>
            </w:tcBorders>
            <w:shd w:val="clear" w:color="auto" w:fill="FFFFFF"/>
            <w:noWrap/>
            <w:vAlign w:val="bottom"/>
            <w:hideMark/>
          </w:tcPr>
          <w:p w14:paraId="1CAD2B80"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22.991,00</w:t>
            </w:r>
          </w:p>
        </w:tc>
        <w:tc>
          <w:tcPr>
            <w:tcW w:w="1418" w:type="dxa"/>
            <w:tcBorders>
              <w:top w:val="nil"/>
              <w:left w:val="nil"/>
              <w:bottom w:val="single" w:sz="4" w:space="0" w:color="auto"/>
              <w:right w:val="single" w:sz="4" w:space="0" w:color="auto"/>
            </w:tcBorders>
            <w:shd w:val="clear" w:color="auto" w:fill="FFFFFF"/>
            <w:noWrap/>
            <w:vAlign w:val="bottom"/>
            <w:hideMark/>
          </w:tcPr>
          <w:p w14:paraId="3A6A998E"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271.226,00</w:t>
            </w:r>
          </w:p>
        </w:tc>
      </w:tr>
      <w:tr w:rsidR="001C345D" w14:paraId="557FD331"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3B6A0F4D"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A500013 Financiranje redovne djelatnosti knjižnice</w:t>
            </w:r>
          </w:p>
        </w:tc>
        <w:tc>
          <w:tcPr>
            <w:tcW w:w="1496" w:type="dxa"/>
            <w:tcBorders>
              <w:top w:val="nil"/>
              <w:left w:val="nil"/>
              <w:bottom w:val="single" w:sz="4" w:space="0" w:color="auto"/>
              <w:right w:val="single" w:sz="4" w:space="0" w:color="auto"/>
            </w:tcBorders>
            <w:shd w:val="clear" w:color="auto" w:fill="FFFFFF"/>
            <w:noWrap/>
            <w:vAlign w:val="bottom"/>
            <w:hideMark/>
          </w:tcPr>
          <w:p w14:paraId="6ED9D2FD"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203.635,00</w:t>
            </w:r>
          </w:p>
        </w:tc>
        <w:tc>
          <w:tcPr>
            <w:tcW w:w="1631" w:type="dxa"/>
            <w:tcBorders>
              <w:top w:val="nil"/>
              <w:left w:val="nil"/>
              <w:bottom w:val="single" w:sz="4" w:space="0" w:color="auto"/>
              <w:right w:val="single" w:sz="4" w:space="0" w:color="auto"/>
            </w:tcBorders>
            <w:shd w:val="clear" w:color="auto" w:fill="FFFFFF"/>
            <w:noWrap/>
            <w:vAlign w:val="bottom"/>
            <w:hideMark/>
          </w:tcPr>
          <w:p w14:paraId="358021D5"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18.913,00</w:t>
            </w:r>
          </w:p>
        </w:tc>
        <w:tc>
          <w:tcPr>
            <w:tcW w:w="1418" w:type="dxa"/>
            <w:tcBorders>
              <w:top w:val="nil"/>
              <w:left w:val="nil"/>
              <w:bottom w:val="single" w:sz="4" w:space="0" w:color="auto"/>
              <w:right w:val="single" w:sz="4" w:space="0" w:color="auto"/>
            </w:tcBorders>
            <w:shd w:val="clear" w:color="auto" w:fill="FFFFFF"/>
            <w:noWrap/>
            <w:vAlign w:val="bottom"/>
            <w:hideMark/>
          </w:tcPr>
          <w:p w14:paraId="0F9EADD7"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222.548,00</w:t>
            </w:r>
          </w:p>
        </w:tc>
      </w:tr>
      <w:tr w:rsidR="001C345D" w14:paraId="712D55B3"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23D5E096"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A500014 Književni susreti i radionice</w:t>
            </w:r>
          </w:p>
        </w:tc>
        <w:tc>
          <w:tcPr>
            <w:tcW w:w="1496" w:type="dxa"/>
            <w:tcBorders>
              <w:top w:val="nil"/>
              <w:left w:val="nil"/>
              <w:bottom w:val="single" w:sz="4" w:space="0" w:color="auto"/>
              <w:right w:val="single" w:sz="4" w:space="0" w:color="auto"/>
            </w:tcBorders>
            <w:shd w:val="clear" w:color="auto" w:fill="FFFFFF"/>
            <w:noWrap/>
            <w:vAlign w:val="bottom"/>
            <w:hideMark/>
          </w:tcPr>
          <w:p w14:paraId="5F158F8A"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10.400,00</w:t>
            </w:r>
          </w:p>
        </w:tc>
        <w:tc>
          <w:tcPr>
            <w:tcW w:w="1631" w:type="dxa"/>
            <w:tcBorders>
              <w:top w:val="nil"/>
              <w:left w:val="nil"/>
              <w:bottom w:val="single" w:sz="4" w:space="0" w:color="auto"/>
              <w:right w:val="single" w:sz="4" w:space="0" w:color="auto"/>
            </w:tcBorders>
            <w:shd w:val="clear" w:color="auto" w:fill="FFFFFF"/>
            <w:noWrap/>
            <w:vAlign w:val="bottom"/>
            <w:hideMark/>
          </w:tcPr>
          <w:p w14:paraId="5930920C"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3.740,00</w:t>
            </w:r>
          </w:p>
        </w:tc>
        <w:tc>
          <w:tcPr>
            <w:tcW w:w="1418" w:type="dxa"/>
            <w:tcBorders>
              <w:top w:val="nil"/>
              <w:left w:val="nil"/>
              <w:bottom w:val="single" w:sz="4" w:space="0" w:color="auto"/>
              <w:right w:val="single" w:sz="4" w:space="0" w:color="auto"/>
            </w:tcBorders>
            <w:shd w:val="clear" w:color="auto" w:fill="FFFFFF"/>
            <w:noWrap/>
            <w:vAlign w:val="bottom"/>
            <w:hideMark/>
          </w:tcPr>
          <w:p w14:paraId="375FCC4C"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14.140,00</w:t>
            </w:r>
          </w:p>
        </w:tc>
      </w:tr>
      <w:tr w:rsidR="001C345D" w14:paraId="3B7F9130"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733DA8EA"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Kapitalni projekt K500001 Kapitalna ulaganja</w:t>
            </w:r>
          </w:p>
        </w:tc>
        <w:tc>
          <w:tcPr>
            <w:tcW w:w="1496" w:type="dxa"/>
            <w:tcBorders>
              <w:top w:val="nil"/>
              <w:left w:val="nil"/>
              <w:bottom w:val="single" w:sz="4" w:space="0" w:color="auto"/>
              <w:right w:val="single" w:sz="4" w:space="0" w:color="auto"/>
            </w:tcBorders>
            <w:shd w:val="clear" w:color="auto" w:fill="FFFFFF"/>
            <w:noWrap/>
            <w:vAlign w:val="bottom"/>
            <w:hideMark/>
          </w:tcPr>
          <w:p w14:paraId="1F8600A3"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34.200,00</w:t>
            </w:r>
          </w:p>
        </w:tc>
        <w:tc>
          <w:tcPr>
            <w:tcW w:w="1631" w:type="dxa"/>
            <w:tcBorders>
              <w:top w:val="nil"/>
              <w:left w:val="nil"/>
              <w:bottom w:val="single" w:sz="4" w:space="0" w:color="auto"/>
              <w:right w:val="single" w:sz="4" w:space="0" w:color="auto"/>
            </w:tcBorders>
            <w:shd w:val="clear" w:color="auto" w:fill="FFFFFF"/>
            <w:noWrap/>
            <w:vAlign w:val="bottom"/>
            <w:hideMark/>
          </w:tcPr>
          <w:p w14:paraId="72D328C8"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338,00</w:t>
            </w:r>
          </w:p>
        </w:tc>
        <w:tc>
          <w:tcPr>
            <w:tcW w:w="1418" w:type="dxa"/>
            <w:tcBorders>
              <w:top w:val="nil"/>
              <w:left w:val="nil"/>
              <w:bottom w:val="single" w:sz="4" w:space="0" w:color="auto"/>
              <w:right w:val="single" w:sz="4" w:space="0" w:color="auto"/>
            </w:tcBorders>
            <w:shd w:val="clear" w:color="auto" w:fill="FFFFFF"/>
            <w:noWrap/>
            <w:vAlign w:val="bottom"/>
            <w:hideMark/>
          </w:tcPr>
          <w:p w14:paraId="29D06A02"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34.538,00</w:t>
            </w:r>
          </w:p>
        </w:tc>
      </w:tr>
      <w:tr w:rsidR="001C345D" w14:paraId="5941F482"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27F1BCB3"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Glava 50005 USTANOVE U SOCIJALNOJ SKRBI</w:t>
            </w:r>
          </w:p>
        </w:tc>
        <w:tc>
          <w:tcPr>
            <w:tcW w:w="1496" w:type="dxa"/>
            <w:tcBorders>
              <w:top w:val="nil"/>
              <w:left w:val="nil"/>
              <w:bottom w:val="single" w:sz="4" w:space="0" w:color="auto"/>
              <w:right w:val="single" w:sz="4" w:space="0" w:color="auto"/>
            </w:tcBorders>
            <w:shd w:val="clear" w:color="auto" w:fill="FFFFFF"/>
            <w:noWrap/>
            <w:vAlign w:val="bottom"/>
            <w:hideMark/>
          </w:tcPr>
          <w:p w14:paraId="7FE0E5D5"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1.737.130,00</w:t>
            </w:r>
          </w:p>
        </w:tc>
        <w:tc>
          <w:tcPr>
            <w:tcW w:w="1631" w:type="dxa"/>
            <w:tcBorders>
              <w:top w:val="nil"/>
              <w:left w:val="nil"/>
              <w:bottom w:val="single" w:sz="4" w:space="0" w:color="auto"/>
              <w:right w:val="single" w:sz="4" w:space="0" w:color="auto"/>
            </w:tcBorders>
            <w:shd w:val="clear" w:color="auto" w:fill="FFFFFF"/>
            <w:noWrap/>
            <w:vAlign w:val="bottom"/>
            <w:hideMark/>
          </w:tcPr>
          <w:p w14:paraId="71DE0F2B"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35.631,00</w:t>
            </w:r>
          </w:p>
        </w:tc>
        <w:tc>
          <w:tcPr>
            <w:tcW w:w="1418" w:type="dxa"/>
            <w:tcBorders>
              <w:top w:val="nil"/>
              <w:left w:val="nil"/>
              <w:bottom w:val="single" w:sz="4" w:space="0" w:color="auto"/>
              <w:right w:val="single" w:sz="4" w:space="0" w:color="auto"/>
            </w:tcBorders>
            <w:shd w:val="clear" w:color="auto" w:fill="FFFFFF"/>
            <w:noWrap/>
            <w:vAlign w:val="bottom"/>
            <w:hideMark/>
          </w:tcPr>
          <w:p w14:paraId="6EF8C8F3"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1.772.761,00</w:t>
            </w:r>
          </w:p>
        </w:tc>
      </w:tr>
      <w:tr w:rsidR="001C345D" w14:paraId="368BB1AB"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524DFE29"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Proračunski korisnik 53994 DOM ZA STARIJE OSOBE LABIN</w:t>
            </w:r>
          </w:p>
        </w:tc>
        <w:tc>
          <w:tcPr>
            <w:tcW w:w="1496" w:type="dxa"/>
            <w:tcBorders>
              <w:top w:val="nil"/>
              <w:left w:val="nil"/>
              <w:bottom w:val="single" w:sz="4" w:space="0" w:color="auto"/>
              <w:right w:val="single" w:sz="4" w:space="0" w:color="auto"/>
            </w:tcBorders>
            <w:shd w:val="clear" w:color="auto" w:fill="FFFFFF"/>
            <w:noWrap/>
            <w:vAlign w:val="bottom"/>
            <w:hideMark/>
          </w:tcPr>
          <w:p w14:paraId="151C4A0E"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1.737.130,00</w:t>
            </w:r>
          </w:p>
        </w:tc>
        <w:tc>
          <w:tcPr>
            <w:tcW w:w="1631" w:type="dxa"/>
            <w:tcBorders>
              <w:top w:val="nil"/>
              <w:left w:val="nil"/>
              <w:bottom w:val="single" w:sz="4" w:space="0" w:color="auto"/>
              <w:right w:val="single" w:sz="4" w:space="0" w:color="auto"/>
            </w:tcBorders>
            <w:shd w:val="clear" w:color="auto" w:fill="FFFFFF"/>
            <w:noWrap/>
            <w:vAlign w:val="bottom"/>
            <w:hideMark/>
          </w:tcPr>
          <w:p w14:paraId="7951C8C9"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35.631,00</w:t>
            </w:r>
          </w:p>
        </w:tc>
        <w:tc>
          <w:tcPr>
            <w:tcW w:w="1418" w:type="dxa"/>
            <w:tcBorders>
              <w:top w:val="nil"/>
              <w:left w:val="nil"/>
              <w:bottom w:val="single" w:sz="4" w:space="0" w:color="auto"/>
              <w:right w:val="single" w:sz="4" w:space="0" w:color="auto"/>
            </w:tcBorders>
            <w:shd w:val="clear" w:color="auto" w:fill="FFFFFF"/>
            <w:noWrap/>
            <w:vAlign w:val="bottom"/>
            <w:hideMark/>
          </w:tcPr>
          <w:p w14:paraId="5190AEB8"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1.772.761,00</w:t>
            </w:r>
          </w:p>
        </w:tc>
      </w:tr>
      <w:tr w:rsidR="001C345D" w14:paraId="79F05A4D"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282BCB62" w14:textId="77777777" w:rsidR="001C345D" w:rsidRDefault="001C345D">
            <w:pPr>
              <w:rPr>
                <w:rFonts w:ascii="Arial" w:hAnsi="Arial" w:cs="Arial"/>
                <w:b/>
                <w:bCs/>
                <w:kern w:val="2"/>
                <w:sz w:val="20"/>
                <w:szCs w:val="20"/>
                <w14:ligatures w14:val="standardContextual"/>
              </w:rPr>
            </w:pPr>
            <w:r>
              <w:rPr>
                <w:rFonts w:ascii="Arial" w:hAnsi="Arial" w:cs="Arial"/>
                <w:b/>
                <w:bCs/>
                <w:kern w:val="2"/>
                <w:sz w:val="20"/>
                <w:szCs w:val="20"/>
                <w14:ligatures w14:val="standardContextual"/>
              </w:rPr>
              <w:t>Program 5011 Socijalna skrb sa smještajem</w:t>
            </w:r>
          </w:p>
        </w:tc>
        <w:tc>
          <w:tcPr>
            <w:tcW w:w="1496" w:type="dxa"/>
            <w:tcBorders>
              <w:top w:val="nil"/>
              <w:left w:val="nil"/>
              <w:bottom w:val="single" w:sz="4" w:space="0" w:color="auto"/>
              <w:right w:val="single" w:sz="4" w:space="0" w:color="auto"/>
            </w:tcBorders>
            <w:shd w:val="clear" w:color="auto" w:fill="FFFFFF"/>
            <w:noWrap/>
            <w:vAlign w:val="bottom"/>
            <w:hideMark/>
          </w:tcPr>
          <w:p w14:paraId="33263569"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1.737.130,00</w:t>
            </w:r>
          </w:p>
        </w:tc>
        <w:tc>
          <w:tcPr>
            <w:tcW w:w="1631" w:type="dxa"/>
            <w:tcBorders>
              <w:top w:val="nil"/>
              <w:left w:val="nil"/>
              <w:bottom w:val="single" w:sz="4" w:space="0" w:color="auto"/>
              <w:right w:val="single" w:sz="4" w:space="0" w:color="auto"/>
            </w:tcBorders>
            <w:shd w:val="clear" w:color="auto" w:fill="FFFFFF"/>
            <w:noWrap/>
            <w:vAlign w:val="bottom"/>
            <w:hideMark/>
          </w:tcPr>
          <w:p w14:paraId="5BDBC992"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35.631,00</w:t>
            </w:r>
          </w:p>
        </w:tc>
        <w:tc>
          <w:tcPr>
            <w:tcW w:w="1418" w:type="dxa"/>
            <w:tcBorders>
              <w:top w:val="nil"/>
              <w:left w:val="nil"/>
              <w:bottom w:val="single" w:sz="4" w:space="0" w:color="auto"/>
              <w:right w:val="single" w:sz="4" w:space="0" w:color="auto"/>
            </w:tcBorders>
            <w:shd w:val="clear" w:color="auto" w:fill="FFFFFF"/>
            <w:noWrap/>
            <w:vAlign w:val="bottom"/>
            <w:hideMark/>
          </w:tcPr>
          <w:p w14:paraId="19D0CA5F" w14:textId="77777777" w:rsidR="001C345D" w:rsidRDefault="001C345D">
            <w:pPr>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1.772.761,00</w:t>
            </w:r>
          </w:p>
        </w:tc>
      </w:tr>
      <w:tr w:rsidR="001C345D" w14:paraId="1BA6FB0C"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14C53A3B"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A500001 Socijalna zaštita starijih i nemoćnih osoba</w:t>
            </w:r>
          </w:p>
        </w:tc>
        <w:tc>
          <w:tcPr>
            <w:tcW w:w="1496" w:type="dxa"/>
            <w:tcBorders>
              <w:top w:val="nil"/>
              <w:left w:val="nil"/>
              <w:bottom w:val="single" w:sz="4" w:space="0" w:color="auto"/>
              <w:right w:val="single" w:sz="4" w:space="0" w:color="auto"/>
            </w:tcBorders>
            <w:shd w:val="clear" w:color="auto" w:fill="FFFFFF"/>
            <w:noWrap/>
            <w:vAlign w:val="bottom"/>
            <w:hideMark/>
          </w:tcPr>
          <w:p w14:paraId="6D579F74"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1.688.630,00</w:t>
            </w:r>
          </w:p>
        </w:tc>
        <w:tc>
          <w:tcPr>
            <w:tcW w:w="1631" w:type="dxa"/>
            <w:tcBorders>
              <w:top w:val="nil"/>
              <w:left w:val="nil"/>
              <w:bottom w:val="single" w:sz="4" w:space="0" w:color="auto"/>
              <w:right w:val="single" w:sz="4" w:space="0" w:color="auto"/>
            </w:tcBorders>
            <w:shd w:val="clear" w:color="auto" w:fill="FFFFFF"/>
            <w:noWrap/>
            <w:vAlign w:val="bottom"/>
            <w:hideMark/>
          </w:tcPr>
          <w:p w14:paraId="558D23EB"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36.131,00</w:t>
            </w:r>
          </w:p>
        </w:tc>
        <w:tc>
          <w:tcPr>
            <w:tcW w:w="1418" w:type="dxa"/>
            <w:tcBorders>
              <w:top w:val="nil"/>
              <w:left w:val="nil"/>
              <w:bottom w:val="single" w:sz="4" w:space="0" w:color="auto"/>
              <w:right w:val="single" w:sz="4" w:space="0" w:color="auto"/>
            </w:tcBorders>
            <w:shd w:val="clear" w:color="auto" w:fill="FFFFFF"/>
            <w:noWrap/>
            <w:vAlign w:val="bottom"/>
            <w:hideMark/>
          </w:tcPr>
          <w:p w14:paraId="22A7D51A"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1.724.761,00</w:t>
            </w:r>
          </w:p>
        </w:tc>
      </w:tr>
      <w:tr w:rsidR="001C345D" w14:paraId="1EE09017"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6FF9C277"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A500002 Sufinanciranje programa dnevnog boravka</w:t>
            </w:r>
          </w:p>
        </w:tc>
        <w:tc>
          <w:tcPr>
            <w:tcW w:w="1496" w:type="dxa"/>
            <w:tcBorders>
              <w:top w:val="nil"/>
              <w:left w:val="nil"/>
              <w:bottom w:val="single" w:sz="4" w:space="0" w:color="auto"/>
              <w:right w:val="single" w:sz="4" w:space="0" w:color="auto"/>
            </w:tcBorders>
            <w:shd w:val="clear" w:color="auto" w:fill="FFFFFF"/>
            <w:noWrap/>
            <w:vAlign w:val="bottom"/>
            <w:hideMark/>
          </w:tcPr>
          <w:p w14:paraId="5BA63787"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30.000,00</w:t>
            </w:r>
          </w:p>
        </w:tc>
        <w:tc>
          <w:tcPr>
            <w:tcW w:w="1631" w:type="dxa"/>
            <w:tcBorders>
              <w:top w:val="nil"/>
              <w:left w:val="nil"/>
              <w:bottom w:val="single" w:sz="4" w:space="0" w:color="auto"/>
              <w:right w:val="single" w:sz="4" w:space="0" w:color="auto"/>
            </w:tcBorders>
            <w:shd w:val="clear" w:color="auto" w:fill="FFFFFF"/>
            <w:noWrap/>
            <w:vAlign w:val="bottom"/>
            <w:hideMark/>
          </w:tcPr>
          <w:p w14:paraId="12AD3041"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-15.000,00</w:t>
            </w:r>
          </w:p>
        </w:tc>
        <w:tc>
          <w:tcPr>
            <w:tcW w:w="1418" w:type="dxa"/>
            <w:tcBorders>
              <w:top w:val="nil"/>
              <w:left w:val="nil"/>
              <w:bottom w:val="single" w:sz="4" w:space="0" w:color="auto"/>
              <w:right w:val="single" w:sz="4" w:space="0" w:color="auto"/>
            </w:tcBorders>
            <w:shd w:val="clear" w:color="auto" w:fill="FFFFFF"/>
            <w:noWrap/>
            <w:vAlign w:val="bottom"/>
            <w:hideMark/>
          </w:tcPr>
          <w:p w14:paraId="1920EAE8"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15.000,00</w:t>
            </w:r>
          </w:p>
        </w:tc>
      </w:tr>
      <w:tr w:rsidR="001C345D" w14:paraId="177D07BA" w14:textId="77777777" w:rsidTr="001C345D">
        <w:trPr>
          <w:trHeight w:val="255"/>
        </w:trPr>
        <w:tc>
          <w:tcPr>
            <w:tcW w:w="4239" w:type="dxa"/>
            <w:tcBorders>
              <w:top w:val="nil"/>
              <w:left w:val="single" w:sz="4" w:space="0" w:color="auto"/>
              <w:bottom w:val="single" w:sz="4" w:space="0" w:color="auto"/>
              <w:right w:val="single" w:sz="4" w:space="0" w:color="auto"/>
            </w:tcBorders>
            <w:shd w:val="clear" w:color="auto" w:fill="FFFFFF"/>
            <w:noWrap/>
            <w:vAlign w:val="bottom"/>
            <w:hideMark/>
          </w:tcPr>
          <w:p w14:paraId="2804729C" w14:textId="77777777" w:rsidR="001C345D" w:rsidRDefault="001C345D">
            <w:pPr>
              <w:rPr>
                <w:rFonts w:ascii="Arial" w:hAnsi="Arial" w:cs="Arial"/>
                <w:kern w:val="2"/>
                <w:sz w:val="20"/>
                <w:szCs w:val="20"/>
                <w14:ligatures w14:val="standardContextual"/>
              </w:rPr>
            </w:pPr>
            <w:r>
              <w:rPr>
                <w:rFonts w:ascii="Arial" w:hAnsi="Arial" w:cs="Arial"/>
                <w:kern w:val="2"/>
                <w:sz w:val="20"/>
                <w:szCs w:val="20"/>
                <w14:ligatures w14:val="standardContextual"/>
              </w:rPr>
              <w:t>Aktivnost A500003 Sufinanciranje programa pomoć u kući i organiziranje prijevoza</w:t>
            </w:r>
          </w:p>
        </w:tc>
        <w:tc>
          <w:tcPr>
            <w:tcW w:w="1496" w:type="dxa"/>
            <w:tcBorders>
              <w:top w:val="nil"/>
              <w:left w:val="nil"/>
              <w:bottom w:val="single" w:sz="4" w:space="0" w:color="auto"/>
              <w:right w:val="single" w:sz="4" w:space="0" w:color="auto"/>
            </w:tcBorders>
            <w:shd w:val="clear" w:color="auto" w:fill="FFFFFF"/>
            <w:noWrap/>
            <w:vAlign w:val="bottom"/>
            <w:hideMark/>
          </w:tcPr>
          <w:p w14:paraId="4DADA39C"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18.500,00</w:t>
            </w:r>
          </w:p>
        </w:tc>
        <w:tc>
          <w:tcPr>
            <w:tcW w:w="1631" w:type="dxa"/>
            <w:tcBorders>
              <w:top w:val="nil"/>
              <w:left w:val="nil"/>
              <w:bottom w:val="single" w:sz="4" w:space="0" w:color="auto"/>
              <w:right w:val="single" w:sz="4" w:space="0" w:color="auto"/>
            </w:tcBorders>
            <w:shd w:val="clear" w:color="auto" w:fill="FFFFFF"/>
            <w:noWrap/>
            <w:vAlign w:val="bottom"/>
            <w:hideMark/>
          </w:tcPr>
          <w:p w14:paraId="196A88D1"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14.500,00</w:t>
            </w:r>
          </w:p>
        </w:tc>
        <w:tc>
          <w:tcPr>
            <w:tcW w:w="1418" w:type="dxa"/>
            <w:tcBorders>
              <w:top w:val="nil"/>
              <w:left w:val="nil"/>
              <w:bottom w:val="single" w:sz="4" w:space="0" w:color="auto"/>
              <w:right w:val="single" w:sz="4" w:space="0" w:color="auto"/>
            </w:tcBorders>
            <w:shd w:val="clear" w:color="auto" w:fill="FFFFFF"/>
            <w:noWrap/>
            <w:vAlign w:val="bottom"/>
            <w:hideMark/>
          </w:tcPr>
          <w:p w14:paraId="270F780B" w14:textId="77777777" w:rsidR="001C345D" w:rsidRDefault="001C345D">
            <w:pPr>
              <w:jc w:val="right"/>
              <w:rPr>
                <w:rFonts w:ascii="Arial" w:hAnsi="Arial" w:cs="Arial"/>
                <w:kern w:val="2"/>
                <w:sz w:val="20"/>
                <w:szCs w:val="20"/>
                <w14:ligatures w14:val="standardContextual"/>
              </w:rPr>
            </w:pPr>
            <w:r>
              <w:rPr>
                <w:rFonts w:ascii="Arial" w:hAnsi="Arial" w:cs="Arial"/>
                <w:kern w:val="2"/>
                <w:sz w:val="20"/>
                <w:szCs w:val="20"/>
                <w14:ligatures w14:val="standardContextual"/>
              </w:rPr>
              <w:t>33.000,00</w:t>
            </w:r>
          </w:p>
        </w:tc>
      </w:tr>
    </w:tbl>
    <w:p w14:paraId="329E3A38" w14:textId="77777777" w:rsidR="001C345D" w:rsidRDefault="001C345D" w:rsidP="001C345D">
      <w:pPr>
        <w:ind w:firstLine="708"/>
        <w:jc w:val="both"/>
        <w:rPr>
          <w:rFonts w:ascii="Arial" w:hAnsi="Arial" w:cs="Arial"/>
          <w:szCs w:val="22"/>
          <w:lang w:eastAsia="en-US"/>
        </w:rPr>
      </w:pPr>
    </w:p>
    <w:p w14:paraId="2D443469" w14:textId="77777777" w:rsidR="001C345D" w:rsidRDefault="001C345D" w:rsidP="001C345D">
      <w:pPr>
        <w:spacing w:line="259" w:lineRule="auto"/>
        <w:ind w:firstLine="708"/>
        <w:rPr>
          <w:rFonts w:ascii="Arial" w:hAnsi="Arial" w:cs="Arial"/>
          <w:sz w:val="22"/>
          <w:szCs w:val="22"/>
        </w:rPr>
      </w:pPr>
    </w:p>
    <w:p w14:paraId="06B6FE27" w14:textId="63EE46DB" w:rsidR="001C345D" w:rsidRDefault="001C345D" w:rsidP="001C345D">
      <w:pPr>
        <w:spacing w:line="259" w:lineRule="auto"/>
        <w:ind w:firstLine="708"/>
        <w:jc w:val="both"/>
        <w:rPr>
          <w:rFonts w:ascii="Arial" w:hAnsi="Arial" w:cs="Arial"/>
          <w:sz w:val="22"/>
          <w:szCs w:val="22"/>
        </w:rPr>
      </w:pPr>
      <w:r w:rsidRPr="001C345D">
        <w:rPr>
          <w:rFonts w:ascii="Arial" w:hAnsi="Arial" w:cs="Arial"/>
          <w:sz w:val="22"/>
          <w:szCs w:val="22"/>
        </w:rPr>
        <w:t xml:space="preserve">U Programu predškolskog odgoja sufinancira se boravak djece iz Labina u dječjim vrtićima čiji osnivač nije Grad Labin, a nalaze se na teritorijima susjednih općina. Uz </w:t>
      </w:r>
      <w:r w:rsidRPr="001C345D">
        <w:rPr>
          <w:rFonts w:ascii="Arial" w:hAnsi="Arial" w:cs="Arial"/>
          <w:sz w:val="22"/>
          <w:szCs w:val="22"/>
        </w:rPr>
        <w:lastRenderedPageBreak/>
        <w:t>demografsku mjeru, poticaj „Drugo dijete besplatno u vrtiću“, uvedena je nova demografska mjera „Besplatne jaslice“, čime se ukupni proračun programa povećava za 29.000,00 EUR</w:t>
      </w:r>
      <w:r>
        <w:rPr>
          <w:rFonts w:ascii="Arial" w:hAnsi="Arial" w:cs="Arial"/>
          <w:sz w:val="22"/>
          <w:szCs w:val="22"/>
        </w:rPr>
        <w:t>.</w:t>
      </w:r>
    </w:p>
    <w:p w14:paraId="5CF7A2CB" w14:textId="77777777" w:rsidR="001C345D" w:rsidRPr="001C345D" w:rsidRDefault="001C345D" w:rsidP="001C345D">
      <w:pPr>
        <w:spacing w:line="259" w:lineRule="auto"/>
        <w:ind w:firstLine="708"/>
        <w:jc w:val="both"/>
        <w:rPr>
          <w:rFonts w:ascii="Arial" w:eastAsiaTheme="minorHAnsi" w:hAnsi="Arial" w:cs="Arial"/>
          <w:sz w:val="22"/>
          <w:szCs w:val="22"/>
        </w:rPr>
      </w:pPr>
    </w:p>
    <w:p w14:paraId="3540DD2F" w14:textId="77777777" w:rsidR="001C345D" w:rsidRDefault="001C345D" w:rsidP="001C345D">
      <w:pPr>
        <w:spacing w:line="259" w:lineRule="auto"/>
        <w:ind w:firstLine="708"/>
        <w:jc w:val="both"/>
        <w:rPr>
          <w:rFonts w:ascii="Arial" w:hAnsi="Arial" w:cs="Arial"/>
          <w:sz w:val="22"/>
          <w:szCs w:val="22"/>
        </w:rPr>
      </w:pPr>
      <w:r w:rsidRPr="001C345D">
        <w:rPr>
          <w:rFonts w:ascii="Arial" w:hAnsi="Arial" w:cs="Arial"/>
          <w:sz w:val="22"/>
          <w:szCs w:val="22"/>
        </w:rPr>
        <w:t xml:space="preserve">Kod Programa obrazovanja, po pozicijama se usklađuju iznosi, no ukupni planirani proračun programa se ne mijenja. </w:t>
      </w:r>
    </w:p>
    <w:p w14:paraId="168BBEDF" w14:textId="77777777" w:rsidR="001C345D" w:rsidRPr="001C345D" w:rsidRDefault="001C345D" w:rsidP="001C345D">
      <w:pPr>
        <w:spacing w:line="259" w:lineRule="auto"/>
        <w:ind w:firstLine="708"/>
        <w:jc w:val="both"/>
        <w:rPr>
          <w:rFonts w:ascii="Arial" w:hAnsi="Arial" w:cs="Arial"/>
          <w:sz w:val="22"/>
          <w:szCs w:val="22"/>
        </w:rPr>
      </w:pPr>
    </w:p>
    <w:p w14:paraId="147224B3" w14:textId="77777777" w:rsidR="001C345D" w:rsidRDefault="001C345D" w:rsidP="001C345D">
      <w:pPr>
        <w:spacing w:line="259" w:lineRule="auto"/>
        <w:ind w:firstLine="708"/>
        <w:jc w:val="both"/>
        <w:rPr>
          <w:rFonts w:ascii="Arial" w:hAnsi="Arial" w:cs="Arial"/>
          <w:sz w:val="22"/>
          <w:szCs w:val="22"/>
        </w:rPr>
      </w:pPr>
      <w:r w:rsidRPr="001C345D">
        <w:rPr>
          <w:rFonts w:ascii="Arial" w:hAnsi="Arial" w:cs="Arial"/>
          <w:sz w:val="22"/>
          <w:szCs w:val="22"/>
        </w:rPr>
        <w:t>U Programu razvoja sporta i rekreacije povećava se planirani iznos za materijalne troškove Sportske zajednice, te se usklađuje iznos kroz nekoliko pozicija, a najviše na poziciji prijevoza sportaša, zbog povećanih potreba za dodatnim prijevozima na službena natjecanja. Ukupni se planirani iznos korigira za 19.000,00 EUR.</w:t>
      </w:r>
    </w:p>
    <w:p w14:paraId="76ED8313" w14:textId="77777777" w:rsidR="001C345D" w:rsidRPr="001C345D" w:rsidRDefault="001C345D" w:rsidP="001C345D">
      <w:pPr>
        <w:spacing w:line="259" w:lineRule="auto"/>
        <w:ind w:firstLine="708"/>
        <w:jc w:val="both"/>
        <w:rPr>
          <w:rFonts w:ascii="Arial" w:hAnsi="Arial" w:cs="Arial"/>
          <w:sz w:val="22"/>
          <w:szCs w:val="22"/>
        </w:rPr>
      </w:pPr>
    </w:p>
    <w:p w14:paraId="79F6AB95" w14:textId="77777777" w:rsidR="001C345D" w:rsidRPr="001C345D" w:rsidRDefault="001C345D" w:rsidP="001C345D">
      <w:pPr>
        <w:spacing w:line="259" w:lineRule="auto"/>
        <w:ind w:firstLine="708"/>
        <w:jc w:val="both"/>
        <w:rPr>
          <w:rFonts w:ascii="Arial" w:hAnsi="Arial" w:cs="Arial"/>
          <w:sz w:val="22"/>
          <w:szCs w:val="22"/>
        </w:rPr>
      </w:pPr>
      <w:r w:rsidRPr="001C345D">
        <w:rPr>
          <w:rFonts w:ascii="Arial" w:hAnsi="Arial" w:cs="Arial"/>
          <w:sz w:val="22"/>
          <w:szCs w:val="22"/>
        </w:rPr>
        <w:t xml:space="preserve">U Programu promicanja kulture, povećava se plan za aktivnost kulturnih manifestacija, zbog povećanja troškova kod održanih proljetnih manifestacija. Također se povećava iznos planiran za aktivnost „Labin Art Republika“ kako bi se troškovi uskladili s najavljenim programom manifestacije. </w:t>
      </w:r>
    </w:p>
    <w:p w14:paraId="07217B0D" w14:textId="77777777" w:rsidR="001C345D" w:rsidRPr="001C345D" w:rsidRDefault="001C345D" w:rsidP="001C345D">
      <w:pPr>
        <w:spacing w:line="259" w:lineRule="auto"/>
        <w:ind w:firstLine="708"/>
        <w:jc w:val="both"/>
        <w:rPr>
          <w:rFonts w:ascii="Arial" w:hAnsi="Arial" w:cs="Arial"/>
          <w:sz w:val="22"/>
          <w:szCs w:val="22"/>
        </w:rPr>
      </w:pPr>
      <w:r w:rsidRPr="001C345D">
        <w:rPr>
          <w:rFonts w:ascii="Arial" w:hAnsi="Arial" w:cs="Arial"/>
          <w:sz w:val="22"/>
          <w:szCs w:val="22"/>
        </w:rPr>
        <w:t>Ponovo se uvodi aktivnost „Božić u Labinu“ kao manifestacija sa zasebnim proračunom, s planiranom vrijednošću od 40.000,00 EUR.</w:t>
      </w:r>
    </w:p>
    <w:p w14:paraId="2A7A6862" w14:textId="77777777" w:rsidR="001C345D" w:rsidRDefault="001C345D" w:rsidP="001C345D">
      <w:pPr>
        <w:spacing w:line="259" w:lineRule="auto"/>
        <w:ind w:firstLine="708"/>
        <w:jc w:val="both"/>
        <w:rPr>
          <w:rFonts w:ascii="Arial" w:hAnsi="Arial" w:cs="Arial"/>
          <w:sz w:val="22"/>
          <w:szCs w:val="22"/>
        </w:rPr>
      </w:pPr>
      <w:r w:rsidRPr="001C345D">
        <w:rPr>
          <w:rFonts w:ascii="Arial" w:hAnsi="Arial" w:cs="Arial"/>
          <w:sz w:val="22"/>
          <w:szCs w:val="22"/>
        </w:rPr>
        <w:t>Kroz nekoliko se aktivnosti usklađuju izvori, prethodno planirani kroz donacije ili pomoći iz državnog i županijskog proračuna, sukladno rezultatima javnih poziva i natječaja. Ukupno povećanje u proračunu programa iznosi 60.500,00 EUR.</w:t>
      </w:r>
    </w:p>
    <w:p w14:paraId="419D4929" w14:textId="77777777" w:rsidR="001C345D" w:rsidRPr="001C345D" w:rsidRDefault="001C345D" w:rsidP="001C345D">
      <w:pPr>
        <w:spacing w:line="259" w:lineRule="auto"/>
        <w:ind w:firstLine="708"/>
        <w:jc w:val="both"/>
        <w:rPr>
          <w:rFonts w:ascii="Arial" w:hAnsi="Arial" w:cs="Arial"/>
          <w:sz w:val="22"/>
          <w:szCs w:val="22"/>
        </w:rPr>
      </w:pPr>
    </w:p>
    <w:p w14:paraId="35033618" w14:textId="77777777" w:rsidR="001C345D" w:rsidRDefault="001C345D" w:rsidP="001C345D">
      <w:pPr>
        <w:spacing w:line="259" w:lineRule="auto"/>
        <w:ind w:firstLine="708"/>
        <w:jc w:val="both"/>
        <w:rPr>
          <w:rFonts w:ascii="Arial" w:hAnsi="Arial" w:cs="Arial"/>
          <w:sz w:val="22"/>
          <w:szCs w:val="22"/>
        </w:rPr>
      </w:pPr>
      <w:r w:rsidRPr="001C345D">
        <w:rPr>
          <w:rFonts w:ascii="Arial" w:hAnsi="Arial" w:cs="Arial"/>
          <w:sz w:val="22"/>
          <w:szCs w:val="22"/>
        </w:rPr>
        <w:t>Program socijalne skrbi donosi najveće povećanje proračuna, u iznosu od 150.100,00 EUR. Aktivnost koja zahtjeva najveće povećanje je Socijalna zaštita starijih, bolesnih i nemoćnih osoba, gdje je došlo do znatnog povećanja jednokratnih novčanih naknada i bonova povodom uskršnjih blagdana, a isti se iznosi planiraju i za božićne blagdane, tako da ukupno povećanje iznosi 119.000,00 EUR. Povećan je iznos za Programe udruga i ustanova u socijalnoj skrbi, gdje se osiguravaju dodatna sredstva za direktno financiranje udruga koje zadovoljavaju taj kriterij. Kod ostalih aktivnosti bilo je manjih redovnih korekcija plana sukladno zahtjevima korisnika socijalne skrbi ili nije došlo do izmjena.</w:t>
      </w:r>
    </w:p>
    <w:p w14:paraId="5A6094E9" w14:textId="77777777" w:rsidR="001C345D" w:rsidRPr="001C345D" w:rsidRDefault="001C345D" w:rsidP="001C345D">
      <w:pPr>
        <w:spacing w:line="259" w:lineRule="auto"/>
        <w:ind w:firstLine="708"/>
        <w:jc w:val="both"/>
        <w:rPr>
          <w:rFonts w:ascii="Arial" w:hAnsi="Arial" w:cs="Arial"/>
          <w:sz w:val="22"/>
          <w:szCs w:val="22"/>
        </w:rPr>
      </w:pPr>
    </w:p>
    <w:p w14:paraId="573EFCED" w14:textId="77777777" w:rsidR="001C345D" w:rsidRDefault="001C345D" w:rsidP="001C345D">
      <w:pPr>
        <w:spacing w:line="259" w:lineRule="auto"/>
        <w:ind w:firstLine="708"/>
        <w:jc w:val="both"/>
        <w:rPr>
          <w:rFonts w:ascii="Arial" w:hAnsi="Arial" w:cs="Arial"/>
          <w:sz w:val="22"/>
          <w:szCs w:val="22"/>
        </w:rPr>
      </w:pPr>
      <w:r w:rsidRPr="001C345D">
        <w:rPr>
          <w:rFonts w:ascii="Arial" w:hAnsi="Arial" w:cs="Arial"/>
          <w:sz w:val="22"/>
          <w:szCs w:val="22"/>
        </w:rPr>
        <w:t>U programu zdravstva, korigiran je iznos koji se odnosi na programe koje provodi Nastavni zavod za javno zdravstvo Istarske županije, a najveći dio povećanja od 43.548,00 EUR odnosi se na višak iz prethodne godine, gdje je prenesen ostatak iznosa za nabavku mamografskog uređaja.</w:t>
      </w:r>
    </w:p>
    <w:p w14:paraId="44A94C30" w14:textId="77777777" w:rsidR="001C345D" w:rsidRPr="001C345D" w:rsidRDefault="001C345D" w:rsidP="001C345D">
      <w:pPr>
        <w:spacing w:line="259" w:lineRule="auto"/>
        <w:ind w:firstLine="708"/>
        <w:jc w:val="both"/>
        <w:rPr>
          <w:rFonts w:ascii="Arial" w:hAnsi="Arial" w:cs="Arial"/>
          <w:sz w:val="22"/>
          <w:szCs w:val="22"/>
        </w:rPr>
      </w:pPr>
    </w:p>
    <w:p w14:paraId="2679F182" w14:textId="77777777" w:rsidR="001C345D" w:rsidRDefault="001C345D" w:rsidP="001C345D">
      <w:pPr>
        <w:spacing w:line="259" w:lineRule="auto"/>
        <w:ind w:firstLine="708"/>
        <w:jc w:val="both"/>
        <w:rPr>
          <w:rFonts w:ascii="Arial" w:hAnsi="Arial" w:cs="Arial"/>
          <w:sz w:val="22"/>
          <w:szCs w:val="22"/>
        </w:rPr>
      </w:pPr>
      <w:r w:rsidRPr="001C345D">
        <w:rPr>
          <w:rFonts w:ascii="Arial" w:hAnsi="Arial" w:cs="Arial"/>
          <w:sz w:val="22"/>
          <w:szCs w:val="22"/>
        </w:rPr>
        <w:t>Kod Razvoja civilnog društva, planirani iznos se ne mijenja.</w:t>
      </w:r>
    </w:p>
    <w:p w14:paraId="06CD6C2A" w14:textId="77777777" w:rsidR="001C345D" w:rsidRPr="001C345D" w:rsidRDefault="001C345D" w:rsidP="001C345D">
      <w:pPr>
        <w:spacing w:line="259" w:lineRule="auto"/>
        <w:ind w:firstLine="708"/>
        <w:jc w:val="both"/>
        <w:rPr>
          <w:rFonts w:ascii="Arial" w:hAnsi="Arial" w:cs="Arial"/>
          <w:sz w:val="22"/>
          <w:szCs w:val="22"/>
        </w:rPr>
      </w:pPr>
    </w:p>
    <w:p w14:paraId="2F32C0CC" w14:textId="77777777" w:rsidR="001C345D" w:rsidRPr="001C345D" w:rsidRDefault="001C345D" w:rsidP="001C345D">
      <w:pPr>
        <w:spacing w:line="259" w:lineRule="auto"/>
        <w:ind w:firstLine="708"/>
        <w:jc w:val="both"/>
        <w:rPr>
          <w:rFonts w:ascii="Arial" w:hAnsi="Arial" w:cs="Arial"/>
          <w:sz w:val="22"/>
          <w:szCs w:val="22"/>
        </w:rPr>
      </w:pPr>
      <w:r w:rsidRPr="001C345D">
        <w:rPr>
          <w:rFonts w:ascii="Arial" w:hAnsi="Arial" w:cs="Arial"/>
          <w:sz w:val="22"/>
          <w:szCs w:val="22"/>
        </w:rPr>
        <w:t>Preventivne aktivnosti i programi su također povećani, sukladno rastu cijena materijalnih troškova i iznosa usluga, kao i dodatnom povećanju broja aktivnosti. Ukupno povećanje iznosi 12.470,00 EUR.</w:t>
      </w:r>
    </w:p>
    <w:p w14:paraId="491B3145" w14:textId="77777777" w:rsidR="001C345D" w:rsidRPr="001C345D" w:rsidRDefault="001C345D" w:rsidP="001C345D">
      <w:pPr>
        <w:spacing w:line="259" w:lineRule="auto"/>
        <w:jc w:val="both"/>
        <w:rPr>
          <w:rFonts w:cstheme="minorBidi"/>
          <w:color w:val="000000" w:themeColor="text1"/>
          <w:sz w:val="22"/>
          <w:szCs w:val="22"/>
        </w:rPr>
      </w:pPr>
    </w:p>
    <w:p w14:paraId="333DF1C5" w14:textId="77777777" w:rsidR="001C345D" w:rsidRPr="001C345D" w:rsidRDefault="001C345D" w:rsidP="001C345D">
      <w:pPr>
        <w:spacing w:line="259" w:lineRule="auto"/>
        <w:jc w:val="both"/>
        <w:rPr>
          <w:sz w:val="22"/>
          <w:szCs w:val="22"/>
        </w:rPr>
      </w:pPr>
    </w:p>
    <w:p w14:paraId="7C449597" w14:textId="77777777" w:rsidR="00CC0725" w:rsidRPr="001C345D" w:rsidRDefault="00CC0725" w:rsidP="001C345D">
      <w:pPr>
        <w:spacing w:line="259" w:lineRule="auto"/>
        <w:jc w:val="both"/>
        <w:rPr>
          <w:color w:val="000000" w:themeColor="text1"/>
          <w:sz w:val="22"/>
          <w:szCs w:val="22"/>
        </w:rPr>
      </w:pPr>
    </w:p>
    <w:p w14:paraId="273A900B" w14:textId="77777777" w:rsidR="004E07DB" w:rsidRDefault="004E07DB" w:rsidP="006132A6">
      <w:pPr>
        <w:rPr>
          <w:color w:val="000000" w:themeColor="text1"/>
        </w:rPr>
      </w:pPr>
    </w:p>
    <w:p w14:paraId="0B2F491D" w14:textId="77777777" w:rsidR="004E07DB" w:rsidRDefault="004E07DB" w:rsidP="006132A6">
      <w:pPr>
        <w:rPr>
          <w:color w:val="000000" w:themeColor="text1"/>
        </w:rPr>
      </w:pPr>
    </w:p>
    <w:p w14:paraId="209BAB4C" w14:textId="77777777" w:rsidR="004E07DB" w:rsidRDefault="004E07DB" w:rsidP="006132A6">
      <w:pPr>
        <w:rPr>
          <w:color w:val="000000" w:themeColor="text1"/>
        </w:rPr>
      </w:pPr>
    </w:p>
    <w:p w14:paraId="263F12CD" w14:textId="77777777" w:rsidR="004E07DB" w:rsidRDefault="004E07DB" w:rsidP="006132A6">
      <w:pPr>
        <w:rPr>
          <w:color w:val="000000" w:themeColor="text1"/>
        </w:rPr>
      </w:pPr>
    </w:p>
    <w:p w14:paraId="71E77A1A" w14:textId="77777777" w:rsidR="004E07DB" w:rsidRDefault="004E07DB" w:rsidP="006132A6">
      <w:pPr>
        <w:rPr>
          <w:color w:val="000000" w:themeColor="text1"/>
        </w:rPr>
      </w:pPr>
    </w:p>
    <w:p w14:paraId="49EFC5E2" w14:textId="77777777" w:rsidR="004E07DB" w:rsidRDefault="004E07DB" w:rsidP="006132A6">
      <w:pPr>
        <w:rPr>
          <w:color w:val="000000" w:themeColor="text1"/>
        </w:rPr>
      </w:pPr>
    </w:p>
    <w:p w14:paraId="75D844CD" w14:textId="77777777" w:rsidR="004E07DB" w:rsidRDefault="004E07DB" w:rsidP="006132A6">
      <w:pPr>
        <w:rPr>
          <w:color w:val="000000" w:themeColor="text1"/>
        </w:rPr>
      </w:pPr>
    </w:p>
    <w:p w14:paraId="267CBAE6" w14:textId="77777777" w:rsidR="00911D3B" w:rsidRDefault="00911D3B" w:rsidP="006132A6">
      <w:pPr>
        <w:rPr>
          <w:color w:val="000000" w:themeColor="text1"/>
        </w:rPr>
      </w:pPr>
    </w:p>
    <w:p w14:paraId="52870948" w14:textId="77777777" w:rsidR="00CC0725" w:rsidRDefault="00CC0725" w:rsidP="00CC0725">
      <w:pPr>
        <w:spacing w:line="276" w:lineRule="auto"/>
        <w:jc w:val="center"/>
        <w:rPr>
          <w:rFonts w:ascii="Arial" w:hAnsi="Arial" w:cs="Arial"/>
          <w:b/>
          <w:color w:val="000000"/>
          <w:lang w:val="en-GB"/>
        </w:rPr>
      </w:pPr>
      <w:r w:rsidRPr="00D44EC2">
        <w:rPr>
          <w:rFonts w:ascii="Arial" w:hAnsi="Arial" w:cs="Arial"/>
          <w:b/>
          <w:color w:val="000000"/>
          <w:lang w:val="en-GB"/>
        </w:rPr>
        <w:lastRenderedPageBreak/>
        <w:t>PRORAČUNSKI KORISNIK 35812: DJEČJI VRTIĆ PJERINA VERBANAC</w:t>
      </w:r>
    </w:p>
    <w:p w14:paraId="6D49B930" w14:textId="77777777" w:rsidR="008311D9" w:rsidRDefault="008311D9" w:rsidP="008311D9">
      <w:pPr>
        <w:spacing w:line="259" w:lineRule="auto"/>
        <w:ind w:firstLine="708"/>
        <w:jc w:val="center"/>
        <w:rPr>
          <w:rFonts w:ascii="Arial" w:hAnsi="Arial" w:cs="Arial"/>
          <w:sz w:val="22"/>
          <w:szCs w:val="22"/>
        </w:rPr>
      </w:pPr>
    </w:p>
    <w:p w14:paraId="20B6FB87" w14:textId="40525F99" w:rsidR="008311D9" w:rsidRPr="008311D9" w:rsidRDefault="008311D9" w:rsidP="008311D9">
      <w:pPr>
        <w:spacing w:line="259" w:lineRule="auto"/>
        <w:ind w:firstLine="708"/>
        <w:jc w:val="center"/>
        <w:rPr>
          <w:rFonts w:ascii="Arial" w:hAnsi="Arial" w:cs="Arial"/>
          <w:b/>
          <w:bCs/>
          <w:sz w:val="22"/>
          <w:szCs w:val="22"/>
        </w:rPr>
      </w:pPr>
      <w:r w:rsidRPr="008311D9">
        <w:rPr>
          <w:rFonts w:ascii="Arial" w:hAnsi="Arial" w:cs="Arial"/>
          <w:b/>
          <w:bCs/>
          <w:sz w:val="22"/>
          <w:szCs w:val="22"/>
        </w:rPr>
        <w:t>OBRAZLOŽENJE PRVIH IZMJENA I DOPUNA FINANCIJSKOG PLANA DJEČJEG VRTIĆA PJERINA VERBANAC LABIN ZA 2025 GODINU</w:t>
      </w:r>
    </w:p>
    <w:p w14:paraId="26DC1DE5" w14:textId="77777777" w:rsidR="008311D9" w:rsidRPr="008311D9" w:rsidRDefault="008311D9" w:rsidP="008311D9">
      <w:pPr>
        <w:spacing w:line="259" w:lineRule="auto"/>
        <w:ind w:firstLine="708"/>
        <w:jc w:val="both"/>
        <w:rPr>
          <w:rFonts w:ascii="Arial" w:hAnsi="Arial" w:cs="Arial"/>
          <w:b/>
          <w:bCs/>
          <w:sz w:val="22"/>
          <w:szCs w:val="22"/>
        </w:rPr>
      </w:pPr>
    </w:p>
    <w:p w14:paraId="6573A857" w14:textId="77777777" w:rsidR="008311D9" w:rsidRPr="008311D9" w:rsidRDefault="008311D9" w:rsidP="00670BA2">
      <w:pPr>
        <w:spacing w:line="259" w:lineRule="auto"/>
        <w:rPr>
          <w:rFonts w:ascii="Arial" w:hAnsi="Arial" w:cs="Arial"/>
          <w:b/>
          <w:bCs/>
          <w:sz w:val="22"/>
          <w:szCs w:val="22"/>
        </w:rPr>
      </w:pPr>
      <w:r w:rsidRPr="008311D9">
        <w:rPr>
          <w:rFonts w:ascii="Arial" w:hAnsi="Arial" w:cs="Arial"/>
          <w:b/>
          <w:bCs/>
          <w:sz w:val="22"/>
          <w:szCs w:val="22"/>
        </w:rPr>
        <w:t>OPĆENITO O PLANU PRORAČUNA DJEČJEG VRTIĆA PJERINA VERBANAC</w:t>
      </w:r>
    </w:p>
    <w:p w14:paraId="210DFCC1" w14:textId="77777777" w:rsidR="008311D9" w:rsidRPr="008311D9" w:rsidRDefault="008311D9" w:rsidP="008311D9">
      <w:pPr>
        <w:spacing w:line="259" w:lineRule="auto"/>
        <w:ind w:firstLine="708"/>
        <w:jc w:val="both"/>
        <w:rPr>
          <w:rFonts w:ascii="Arial" w:hAnsi="Arial" w:cs="Arial"/>
          <w:sz w:val="22"/>
          <w:szCs w:val="22"/>
        </w:rPr>
      </w:pPr>
    </w:p>
    <w:p w14:paraId="30A64836" w14:textId="76D235C9" w:rsidR="008311D9" w:rsidRDefault="008311D9" w:rsidP="008311D9">
      <w:pPr>
        <w:spacing w:line="259" w:lineRule="auto"/>
        <w:ind w:firstLine="708"/>
        <w:jc w:val="both"/>
        <w:rPr>
          <w:rFonts w:ascii="Arial" w:hAnsi="Arial" w:cs="Arial"/>
          <w:sz w:val="22"/>
          <w:szCs w:val="22"/>
        </w:rPr>
      </w:pPr>
      <w:r w:rsidRPr="008311D9">
        <w:rPr>
          <w:rFonts w:ascii="Arial" w:hAnsi="Arial" w:cs="Arial"/>
          <w:sz w:val="22"/>
          <w:szCs w:val="22"/>
        </w:rPr>
        <w:t>Financijski plan Dječjeg vrtića „</w:t>
      </w:r>
      <w:proofErr w:type="spellStart"/>
      <w:r w:rsidRPr="008311D9">
        <w:rPr>
          <w:rFonts w:ascii="Arial" w:hAnsi="Arial" w:cs="Arial"/>
          <w:sz w:val="22"/>
          <w:szCs w:val="22"/>
        </w:rPr>
        <w:t>Pjerina</w:t>
      </w:r>
      <w:proofErr w:type="spellEnd"/>
      <w:r w:rsidRPr="008311D9">
        <w:rPr>
          <w:rFonts w:ascii="Arial" w:hAnsi="Arial" w:cs="Arial"/>
          <w:sz w:val="22"/>
          <w:szCs w:val="22"/>
        </w:rPr>
        <w:t xml:space="preserve"> </w:t>
      </w:r>
      <w:proofErr w:type="spellStart"/>
      <w:r w:rsidRPr="008311D9">
        <w:rPr>
          <w:rFonts w:ascii="Arial" w:hAnsi="Arial" w:cs="Arial"/>
          <w:sz w:val="22"/>
          <w:szCs w:val="22"/>
        </w:rPr>
        <w:t>Verbanac</w:t>
      </w:r>
      <w:proofErr w:type="spellEnd"/>
      <w:r w:rsidRPr="008311D9">
        <w:rPr>
          <w:rFonts w:ascii="Arial" w:hAnsi="Arial" w:cs="Arial"/>
          <w:sz w:val="22"/>
          <w:szCs w:val="22"/>
        </w:rPr>
        <w:t xml:space="preserve">“ za 2025. godinu zajedno sa projekcijama usvojen je na sjednici Upravnog vijeća  18.12.2024. Navedenim dokumentom visina proračuna za 2025. godinu utvrđena je u iznosu od 3.593.217,00 </w:t>
      </w:r>
      <w:r>
        <w:rPr>
          <w:rFonts w:ascii="Arial" w:hAnsi="Arial" w:cs="Arial"/>
          <w:sz w:val="22"/>
          <w:szCs w:val="22"/>
        </w:rPr>
        <w:t>EUR</w:t>
      </w:r>
      <w:r w:rsidRPr="008311D9">
        <w:rPr>
          <w:rFonts w:ascii="Arial" w:hAnsi="Arial" w:cs="Arial"/>
          <w:sz w:val="22"/>
          <w:szCs w:val="22"/>
        </w:rPr>
        <w:t>.  Zakonom o proračunu (NN 144/21)  propisana je obveza ponovnog uravnoteženja financijskog plana  ako se tijekom proračunske godine, zbog nastanka novih izvanrednih nepredviđenih okolnosti, ili promjena gospodarskih kretanja, povećaju ili smanje rashodi i izdaci, odnosno prihodi i primici financijskog plana. Financijski plan se mora uravnotežiti (ukupni prihodi pokrivaju ukupne rashode) izmjenama i dopunama financijskog plana  prema postupku za donošenje financijskog plana. Prema Izvještaju o financijskom poslovanju za 2024.</w:t>
      </w:r>
      <w:r>
        <w:rPr>
          <w:rFonts w:ascii="Arial" w:hAnsi="Arial" w:cs="Arial"/>
          <w:sz w:val="22"/>
          <w:szCs w:val="22"/>
        </w:rPr>
        <w:t xml:space="preserve"> </w:t>
      </w:r>
      <w:r w:rsidRPr="008311D9">
        <w:rPr>
          <w:rFonts w:ascii="Arial" w:hAnsi="Arial" w:cs="Arial"/>
          <w:sz w:val="22"/>
          <w:szCs w:val="22"/>
        </w:rPr>
        <w:t>godinu. rezultat poslovanja prema izvorima financiranja mora se uvrstiti u financijski plan za 2025</w:t>
      </w:r>
      <w:r>
        <w:rPr>
          <w:rFonts w:ascii="Arial" w:hAnsi="Arial" w:cs="Arial"/>
          <w:sz w:val="22"/>
          <w:szCs w:val="22"/>
        </w:rPr>
        <w:t>.</w:t>
      </w:r>
      <w:r w:rsidRPr="008311D9">
        <w:rPr>
          <w:rFonts w:ascii="Arial" w:hAnsi="Arial" w:cs="Arial"/>
          <w:sz w:val="22"/>
          <w:szCs w:val="22"/>
        </w:rPr>
        <w:t xml:space="preserve"> godinu.</w:t>
      </w:r>
    </w:p>
    <w:p w14:paraId="65A3522E" w14:textId="77777777" w:rsidR="008311D9" w:rsidRPr="008311D9" w:rsidRDefault="008311D9" w:rsidP="008311D9">
      <w:pPr>
        <w:spacing w:line="259" w:lineRule="auto"/>
        <w:ind w:firstLine="708"/>
        <w:jc w:val="both"/>
        <w:rPr>
          <w:rFonts w:ascii="Arial" w:hAnsi="Arial" w:cs="Arial"/>
          <w:sz w:val="22"/>
          <w:szCs w:val="22"/>
        </w:rPr>
      </w:pPr>
    </w:p>
    <w:p w14:paraId="762D201F" w14:textId="5FA1C3AB" w:rsidR="008311D9" w:rsidRPr="008311D9" w:rsidRDefault="008311D9" w:rsidP="008311D9">
      <w:pPr>
        <w:spacing w:line="259" w:lineRule="auto"/>
        <w:ind w:firstLine="708"/>
        <w:jc w:val="both"/>
        <w:rPr>
          <w:rFonts w:ascii="Arial" w:hAnsi="Arial" w:cs="Arial"/>
          <w:sz w:val="22"/>
          <w:szCs w:val="22"/>
        </w:rPr>
      </w:pPr>
      <w:r w:rsidRPr="008311D9">
        <w:rPr>
          <w:rFonts w:ascii="Arial" w:hAnsi="Arial" w:cs="Arial"/>
          <w:sz w:val="22"/>
          <w:szCs w:val="22"/>
        </w:rPr>
        <w:t>Na osnovi dosadašnje dinamike ostvarenja prihoda i rashoda, te procijene njihova ostvarenja do kraja 2025. godine, predlažu se prve Izmjene i dopune Financijskog plana Dječjeg vrtića „</w:t>
      </w:r>
      <w:proofErr w:type="spellStart"/>
      <w:r w:rsidRPr="008311D9">
        <w:rPr>
          <w:rFonts w:ascii="Arial" w:hAnsi="Arial" w:cs="Arial"/>
          <w:sz w:val="22"/>
          <w:szCs w:val="22"/>
        </w:rPr>
        <w:t>Pjerina</w:t>
      </w:r>
      <w:proofErr w:type="spellEnd"/>
      <w:r w:rsidRPr="008311D9">
        <w:rPr>
          <w:rFonts w:ascii="Arial" w:hAnsi="Arial" w:cs="Arial"/>
          <w:sz w:val="22"/>
          <w:szCs w:val="22"/>
        </w:rPr>
        <w:t xml:space="preserve"> </w:t>
      </w:r>
      <w:proofErr w:type="spellStart"/>
      <w:r w:rsidRPr="008311D9">
        <w:rPr>
          <w:rFonts w:ascii="Arial" w:hAnsi="Arial" w:cs="Arial"/>
          <w:sz w:val="22"/>
          <w:szCs w:val="22"/>
        </w:rPr>
        <w:t>Verbanac</w:t>
      </w:r>
      <w:proofErr w:type="spellEnd"/>
      <w:r w:rsidRPr="008311D9">
        <w:rPr>
          <w:rFonts w:ascii="Arial" w:hAnsi="Arial" w:cs="Arial"/>
          <w:sz w:val="22"/>
          <w:szCs w:val="22"/>
        </w:rPr>
        <w:t xml:space="preserve">“  Labin za 2025. godinu. U ukupnom iznosu izmijenjeni Financijski plan iznosi 3.782.652,00 </w:t>
      </w:r>
      <w:r>
        <w:rPr>
          <w:rFonts w:ascii="Arial" w:hAnsi="Arial" w:cs="Arial"/>
          <w:sz w:val="22"/>
          <w:szCs w:val="22"/>
        </w:rPr>
        <w:t>EUR</w:t>
      </w:r>
      <w:r w:rsidRPr="008311D9">
        <w:rPr>
          <w:rFonts w:ascii="Arial" w:hAnsi="Arial" w:cs="Arial"/>
          <w:sz w:val="22"/>
          <w:szCs w:val="22"/>
        </w:rPr>
        <w:t xml:space="preserve"> tj. 5,27% više od Financijskog plana za 2025. godinu.</w:t>
      </w:r>
    </w:p>
    <w:p w14:paraId="3C3643AB" w14:textId="77777777" w:rsidR="008311D9" w:rsidRPr="008311D9" w:rsidRDefault="008311D9" w:rsidP="008311D9">
      <w:pPr>
        <w:spacing w:line="259" w:lineRule="auto"/>
        <w:jc w:val="both"/>
        <w:rPr>
          <w:rFonts w:ascii="Arial" w:hAnsi="Arial" w:cs="Arial"/>
          <w:sz w:val="22"/>
          <w:szCs w:val="22"/>
        </w:rPr>
      </w:pPr>
      <w:r w:rsidRPr="008311D9">
        <w:rPr>
          <w:rFonts w:ascii="Arial" w:hAnsi="Arial" w:cs="Arial"/>
          <w:sz w:val="22"/>
          <w:szCs w:val="22"/>
        </w:rPr>
        <w:t>Povećani su planirani prihodi:</w:t>
      </w:r>
    </w:p>
    <w:p w14:paraId="08CEBB16" w14:textId="77777777" w:rsidR="008311D9" w:rsidRPr="008311D9" w:rsidRDefault="008311D9">
      <w:pPr>
        <w:numPr>
          <w:ilvl w:val="0"/>
          <w:numId w:val="15"/>
        </w:numPr>
        <w:spacing w:line="259" w:lineRule="auto"/>
        <w:jc w:val="both"/>
        <w:rPr>
          <w:rFonts w:ascii="Arial" w:hAnsi="Arial" w:cs="Arial"/>
          <w:sz w:val="22"/>
          <w:szCs w:val="22"/>
        </w:rPr>
      </w:pPr>
      <w:r w:rsidRPr="008311D9">
        <w:rPr>
          <w:rFonts w:ascii="Arial" w:hAnsi="Arial" w:cs="Arial"/>
          <w:sz w:val="22"/>
          <w:szCs w:val="22"/>
        </w:rPr>
        <w:t>opći prihodi i primici – povećava se broj zaposlenika, povećavaju se izdaci za materijalne rashode radnika prema kolektivnome ugovoru i Zakonu o porezu na dohodak što rezultira povećanjem prihoda u vrijednosti od 98.345,00 EUR sa uvrštenim manjkom iz 2024 godine.</w:t>
      </w:r>
    </w:p>
    <w:p w14:paraId="7DEBE4CC" w14:textId="32FD26C9" w:rsidR="008311D9" w:rsidRPr="008311D9" w:rsidRDefault="008311D9">
      <w:pPr>
        <w:pStyle w:val="Odlomakpopisa"/>
        <w:numPr>
          <w:ilvl w:val="0"/>
          <w:numId w:val="15"/>
        </w:numPr>
        <w:spacing w:after="0" w:line="259" w:lineRule="auto"/>
        <w:jc w:val="both"/>
        <w:rPr>
          <w:rFonts w:ascii="Arial" w:hAnsi="Arial" w:cs="Arial"/>
          <w:szCs w:val="22"/>
        </w:rPr>
      </w:pPr>
      <w:r w:rsidRPr="008311D9">
        <w:rPr>
          <w:rFonts w:ascii="Arial" w:hAnsi="Arial" w:cs="Arial"/>
          <w:szCs w:val="22"/>
        </w:rPr>
        <w:t xml:space="preserve">vlastiti prihodi -  povećava se broj zaposlenika koji koriste usluge prehrane u DV a što rezultira planiranim povećanjem prihoda u vrijednosti od 500,00 </w:t>
      </w:r>
      <w:r>
        <w:rPr>
          <w:rFonts w:ascii="Arial" w:hAnsi="Arial" w:cs="Arial"/>
          <w:szCs w:val="22"/>
        </w:rPr>
        <w:t>EUR</w:t>
      </w:r>
      <w:r w:rsidRPr="008311D9">
        <w:rPr>
          <w:rFonts w:ascii="Arial" w:hAnsi="Arial" w:cs="Arial"/>
          <w:szCs w:val="22"/>
        </w:rPr>
        <w:t>.</w:t>
      </w:r>
    </w:p>
    <w:p w14:paraId="5DB573F2" w14:textId="1E29489C" w:rsidR="008311D9" w:rsidRPr="008311D9" w:rsidRDefault="008311D9">
      <w:pPr>
        <w:pStyle w:val="Odlomakpopisa"/>
        <w:numPr>
          <w:ilvl w:val="0"/>
          <w:numId w:val="15"/>
        </w:numPr>
        <w:spacing w:after="0" w:line="259" w:lineRule="auto"/>
        <w:jc w:val="both"/>
        <w:rPr>
          <w:rFonts w:ascii="Arial" w:hAnsi="Arial" w:cs="Arial"/>
          <w:szCs w:val="22"/>
        </w:rPr>
      </w:pPr>
      <w:r w:rsidRPr="008311D9">
        <w:rPr>
          <w:rFonts w:ascii="Arial" w:hAnsi="Arial" w:cs="Arial"/>
          <w:szCs w:val="22"/>
        </w:rPr>
        <w:t xml:space="preserve">prihodi po posebnim namjenama, jača naplata participacije roditelja, organizirano zimovanje djece, bolja </w:t>
      </w:r>
      <w:proofErr w:type="spellStart"/>
      <w:r w:rsidRPr="008311D9">
        <w:rPr>
          <w:rFonts w:ascii="Arial" w:hAnsi="Arial" w:cs="Arial"/>
          <w:szCs w:val="22"/>
        </w:rPr>
        <w:t>dolaznost</w:t>
      </w:r>
      <w:proofErr w:type="spellEnd"/>
      <w:r w:rsidRPr="008311D9">
        <w:rPr>
          <w:rFonts w:ascii="Arial" w:hAnsi="Arial" w:cs="Arial"/>
          <w:szCs w:val="22"/>
        </w:rPr>
        <w:t xml:space="preserve"> upisane djece, te uvrštenje prenesenog manjka iz 2024 godine u vrijednosti od 35.000,00,00 </w:t>
      </w:r>
      <w:r>
        <w:rPr>
          <w:rFonts w:ascii="Arial" w:hAnsi="Arial" w:cs="Arial"/>
          <w:szCs w:val="22"/>
        </w:rPr>
        <w:t>EUR</w:t>
      </w:r>
    </w:p>
    <w:p w14:paraId="152E0546" w14:textId="77777777" w:rsidR="008311D9" w:rsidRPr="008311D9" w:rsidRDefault="008311D9">
      <w:pPr>
        <w:pStyle w:val="Odlomakpopisa"/>
        <w:numPr>
          <w:ilvl w:val="0"/>
          <w:numId w:val="15"/>
        </w:numPr>
        <w:spacing w:after="0" w:line="259" w:lineRule="auto"/>
        <w:jc w:val="both"/>
        <w:rPr>
          <w:rFonts w:ascii="Arial" w:hAnsi="Arial" w:cs="Arial"/>
          <w:szCs w:val="22"/>
        </w:rPr>
      </w:pPr>
      <w:r w:rsidRPr="008311D9">
        <w:rPr>
          <w:rFonts w:ascii="Arial" w:hAnsi="Arial" w:cs="Arial"/>
          <w:szCs w:val="22"/>
        </w:rPr>
        <w:t xml:space="preserve">tekuće pomoći iz državnog proračuna, Erasmus </w:t>
      </w:r>
      <w:proofErr w:type="spellStart"/>
      <w:r w:rsidRPr="008311D9">
        <w:rPr>
          <w:rFonts w:ascii="Arial" w:hAnsi="Arial" w:cs="Arial"/>
          <w:szCs w:val="22"/>
        </w:rPr>
        <w:t>deseminacija</w:t>
      </w:r>
      <w:proofErr w:type="spellEnd"/>
      <w:r w:rsidRPr="008311D9">
        <w:rPr>
          <w:rFonts w:ascii="Arial" w:hAnsi="Arial" w:cs="Arial"/>
          <w:szCs w:val="22"/>
        </w:rPr>
        <w:t xml:space="preserve"> za dječji vrtić u vrijednosti od 3.502,00 EUR sa uključenim viškovima i manjkovima poslovne 2024 godine.</w:t>
      </w:r>
    </w:p>
    <w:p w14:paraId="218D19A9" w14:textId="77777777" w:rsidR="008311D9" w:rsidRPr="008311D9" w:rsidRDefault="008311D9">
      <w:pPr>
        <w:pStyle w:val="Odlomakpopisa"/>
        <w:numPr>
          <w:ilvl w:val="0"/>
          <w:numId w:val="15"/>
        </w:numPr>
        <w:spacing w:after="0" w:line="259" w:lineRule="auto"/>
        <w:jc w:val="both"/>
        <w:rPr>
          <w:rFonts w:ascii="Arial" w:hAnsi="Arial" w:cs="Arial"/>
          <w:szCs w:val="22"/>
        </w:rPr>
      </w:pPr>
      <w:r w:rsidRPr="008311D9">
        <w:rPr>
          <w:rFonts w:ascii="Arial" w:hAnsi="Arial" w:cs="Arial"/>
          <w:szCs w:val="22"/>
        </w:rPr>
        <w:t>pomoći iz proračuna koji nije nadležan u vrijednosti 49.088,00 EUR</w:t>
      </w:r>
    </w:p>
    <w:p w14:paraId="3D1E29F5" w14:textId="77777777" w:rsidR="008311D9" w:rsidRPr="008311D9" w:rsidRDefault="008311D9">
      <w:pPr>
        <w:pStyle w:val="Odlomakpopisa"/>
        <w:numPr>
          <w:ilvl w:val="0"/>
          <w:numId w:val="15"/>
        </w:numPr>
        <w:spacing w:after="0" w:line="259" w:lineRule="auto"/>
        <w:jc w:val="both"/>
        <w:rPr>
          <w:rFonts w:ascii="Arial" w:hAnsi="Arial" w:cs="Arial"/>
          <w:szCs w:val="22"/>
        </w:rPr>
      </w:pPr>
      <w:r w:rsidRPr="008311D9">
        <w:rPr>
          <w:rFonts w:ascii="Arial" w:hAnsi="Arial" w:cs="Arial"/>
          <w:szCs w:val="22"/>
        </w:rPr>
        <w:t>prihodi od donacija u vrijednosti 3.000,00 EUR sa uključenim prihodima prethodne godine</w:t>
      </w:r>
    </w:p>
    <w:p w14:paraId="493C735F" w14:textId="77777777" w:rsidR="008311D9" w:rsidRPr="008311D9" w:rsidRDefault="008311D9" w:rsidP="008311D9">
      <w:pPr>
        <w:spacing w:line="259" w:lineRule="auto"/>
        <w:jc w:val="both"/>
        <w:rPr>
          <w:rFonts w:ascii="Arial" w:hAnsi="Arial" w:cs="Arial"/>
          <w:sz w:val="22"/>
          <w:szCs w:val="22"/>
        </w:rPr>
      </w:pPr>
    </w:p>
    <w:p w14:paraId="2F22D569" w14:textId="77777777" w:rsidR="008311D9" w:rsidRPr="008311D9" w:rsidRDefault="008311D9" w:rsidP="008311D9">
      <w:pPr>
        <w:spacing w:line="259" w:lineRule="auto"/>
        <w:ind w:firstLine="360"/>
        <w:jc w:val="both"/>
        <w:rPr>
          <w:rFonts w:ascii="Arial" w:hAnsi="Arial" w:cs="Arial"/>
          <w:sz w:val="22"/>
          <w:szCs w:val="22"/>
        </w:rPr>
      </w:pPr>
      <w:r w:rsidRPr="008311D9">
        <w:rPr>
          <w:rFonts w:ascii="Arial" w:hAnsi="Arial" w:cs="Arial"/>
          <w:sz w:val="22"/>
          <w:szCs w:val="22"/>
        </w:rPr>
        <w:t xml:space="preserve">Nakon što je izvršena korekcija prihoda, izvršeno je uravnoteženje sa rashodima i izdacima. </w:t>
      </w:r>
    </w:p>
    <w:p w14:paraId="6661E513" w14:textId="77777777" w:rsidR="008311D9" w:rsidRPr="008311D9" w:rsidRDefault="008311D9" w:rsidP="008311D9">
      <w:pPr>
        <w:spacing w:line="259" w:lineRule="auto"/>
        <w:ind w:firstLine="360"/>
        <w:jc w:val="both"/>
        <w:rPr>
          <w:rFonts w:ascii="Arial" w:hAnsi="Arial" w:cs="Arial"/>
          <w:sz w:val="22"/>
          <w:szCs w:val="22"/>
        </w:rPr>
      </w:pPr>
      <w:r w:rsidRPr="008311D9">
        <w:rPr>
          <w:rFonts w:ascii="Arial" w:hAnsi="Arial" w:cs="Arial"/>
          <w:sz w:val="22"/>
          <w:szCs w:val="22"/>
        </w:rPr>
        <w:t xml:space="preserve">Rashodi i izdaci po općim prihodima i primicima povećani su za 5,08% Izvršena je korekcija povećanja rashoda za zaposlene, materijalnih rashoda te pokrića prenesenog metodološkog manjka iz 2024 godine.  Uvršten je i izdatak za nefinancijsku imovinu u vrijednosti od 2.750,00 EUR za poboljšanje materijalnih uvjeta u Po Rabac. </w:t>
      </w:r>
    </w:p>
    <w:p w14:paraId="549DF220" w14:textId="0051837E" w:rsidR="008311D9" w:rsidRPr="008311D9" w:rsidRDefault="008311D9" w:rsidP="008311D9">
      <w:pPr>
        <w:spacing w:line="259" w:lineRule="auto"/>
        <w:ind w:firstLine="360"/>
        <w:jc w:val="both"/>
        <w:rPr>
          <w:rFonts w:ascii="Arial" w:hAnsi="Arial" w:cs="Arial"/>
          <w:sz w:val="22"/>
          <w:szCs w:val="22"/>
        </w:rPr>
      </w:pPr>
      <w:r w:rsidRPr="008311D9">
        <w:rPr>
          <w:rFonts w:ascii="Arial" w:hAnsi="Arial" w:cs="Arial"/>
          <w:sz w:val="22"/>
          <w:szCs w:val="22"/>
        </w:rPr>
        <w:t xml:space="preserve">Rashodi i izdaci po vlastitim prihodima uvećani su za procijenjeno povećanje prihoda od prehrane radnika zbog većeg broja radnik za 3,23% tj. u vrijednosti od 500,00 </w:t>
      </w:r>
      <w:r>
        <w:rPr>
          <w:rFonts w:ascii="Arial" w:hAnsi="Arial" w:cs="Arial"/>
          <w:sz w:val="22"/>
          <w:szCs w:val="22"/>
        </w:rPr>
        <w:t>EUR</w:t>
      </w:r>
      <w:r w:rsidRPr="008311D9">
        <w:rPr>
          <w:rFonts w:ascii="Arial" w:hAnsi="Arial" w:cs="Arial"/>
          <w:sz w:val="22"/>
          <w:szCs w:val="22"/>
        </w:rPr>
        <w:t>.</w:t>
      </w:r>
    </w:p>
    <w:p w14:paraId="4A5EA8DD" w14:textId="622F5375" w:rsidR="008311D9" w:rsidRPr="008311D9" w:rsidRDefault="008311D9" w:rsidP="008311D9">
      <w:pPr>
        <w:spacing w:line="259" w:lineRule="auto"/>
        <w:ind w:firstLine="360"/>
        <w:jc w:val="both"/>
        <w:rPr>
          <w:rFonts w:ascii="Arial" w:hAnsi="Arial" w:cs="Arial"/>
          <w:sz w:val="22"/>
          <w:szCs w:val="22"/>
        </w:rPr>
      </w:pPr>
      <w:r w:rsidRPr="008311D9">
        <w:rPr>
          <w:rFonts w:ascii="Arial" w:hAnsi="Arial" w:cs="Arial"/>
          <w:sz w:val="22"/>
          <w:szCs w:val="22"/>
        </w:rPr>
        <w:t xml:space="preserve">Rashodi i izdaci iz prihoda za posebne namjene povećani su za 35.000,00,00 EUR, većim djelom za pokriće prenesenog manjka iz 2024 godine.   </w:t>
      </w:r>
    </w:p>
    <w:p w14:paraId="2C810E10" w14:textId="77777777" w:rsidR="008311D9" w:rsidRPr="008311D9" w:rsidRDefault="008311D9" w:rsidP="008311D9">
      <w:pPr>
        <w:spacing w:line="259" w:lineRule="auto"/>
        <w:ind w:firstLine="360"/>
        <w:jc w:val="both"/>
        <w:rPr>
          <w:rFonts w:ascii="Arial" w:hAnsi="Arial" w:cs="Arial"/>
          <w:sz w:val="22"/>
          <w:szCs w:val="22"/>
        </w:rPr>
      </w:pPr>
      <w:r w:rsidRPr="008311D9">
        <w:rPr>
          <w:rFonts w:ascii="Arial" w:hAnsi="Arial" w:cs="Arial"/>
          <w:sz w:val="22"/>
          <w:szCs w:val="22"/>
        </w:rPr>
        <w:t>U materijalnim  rashodima iz prihoda za posebne namjene izvršeno je uravnoteženje unutar vrsta troškova. Povećani su izdaci za nabavu nefinancijske imovine.</w:t>
      </w:r>
    </w:p>
    <w:p w14:paraId="6E05453D" w14:textId="4F369280" w:rsidR="008311D9" w:rsidRPr="008311D9" w:rsidRDefault="008311D9" w:rsidP="008311D9">
      <w:pPr>
        <w:spacing w:line="259" w:lineRule="auto"/>
        <w:ind w:firstLine="360"/>
        <w:jc w:val="both"/>
        <w:rPr>
          <w:rFonts w:ascii="Arial" w:hAnsi="Arial" w:cs="Arial"/>
          <w:sz w:val="22"/>
          <w:szCs w:val="22"/>
        </w:rPr>
      </w:pPr>
      <w:r w:rsidRPr="008311D9">
        <w:rPr>
          <w:rFonts w:ascii="Arial" w:hAnsi="Arial" w:cs="Arial"/>
          <w:sz w:val="22"/>
          <w:szCs w:val="22"/>
        </w:rPr>
        <w:t xml:space="preserve">Uvršten  manjak prihoda iz prihoda za posebne namjene u vrijednosti od 34.436,00 </w:t>
      </w:r>
      <w:r>
        <w:rPr>
          <w:rFonts w:ascii="Arial" w:hAnsi="Arial" w:cs="Arial"/>
          <w:sz w:val="22"/>
          <w:szCs w:val="22"/>
        </w:rPr>
        <w:t>EUR</w:t>
      </w:r>
      <w:r w:rsidRPr="008311D9">
        <w:rPr>
          <w:rFonts w:ascii="Arial" w:hAnsi="Arial" w:cs="Arial"/>
          <w:sz w:val="22"/>
          <w:szCs w:val="22"/>
        </w:rPr>
        <w:t xml:space="preserve"> koji će biti podmiren naplatom roditelja.</w:t>
      </w:r>
    </w:p>
    <w:p w14:paraId="5B3E35A9" w14:textId="24411ABB" w:rsidR="008311D9" w:rsidRPr="008311D9" w:rsidRDefault="008311D9" w:rsidP="008311D9">
      <w:pPr>
        <w:spacing w:line="259" w:lineRule="auto"/>
        <w:ind w:firstLine="360"/>
        <w:jc w:val="both"/>
        <w:rPr>
          <w:rFonts w:ascii="Arial" w:hAnsi="Arial" w:cs="Arial"/>
          <w:sz w:val="22"/>
          <w:szCs w:val="22"/>
        </w:rPr>
      </w:pPr>
      <w:r w:rsidRPr="008311D9">
        <w:rPr>
          <w:rFonts w:ascii="Arial" w:hAnsi="Arial" w:cs="Arial"/>
          <w:sz w:val="22"/>
          <w:szCs w:val="22"/>
        </w:rPr>
        <w:lastRenderedPageBreak/>
        <w:t xml:space="preserve">Rashodi i izdaci iz prihoda nenadležnih proračuna povećani su za 5,07% tj. za  49.088,00 </w:t>
      </w:r>
      <w:r>
        <w:rPr>
          <w:rFonts w:ascii="Arial" w:hAnsi="Arial" w:cs="Arial"/>
          <w:sz w:val="22"/>
          <w:szCs w:val="22"/>
        </w:rPr>
        <w:t>EUR</w:t>
      </w:r>
      <w:r w:rsidRPr="008311D9">
        <w:rPr>
          <w:rFonts w:ascii="Arial" w:hAnsi="Arial" w:cs="Arial"/>
          <w:sz w:val="22"/>
          <w:szCs w:val="22"/>
        </w:rPr>
        <w:t>. Povećani su  i uravnoteženi za naknade plaća i ostalih rashoda za zaposlene. Povećani su i za pokrića dijela manjka prihoda iz 2024 godine u ukupnoj vrijednosti od 171,00 EUR.</w:t>
      </w:r>
    </w:p>
    <w:p w14:paraId="7C9D8203" w14:textId="756781E1" w:rsidR="008311D9" w:rsidRPr="008311D9" w:rsidRDefault="008311D9" w:rsidP="008311D9">
      <w:pPr>
        <w:spacing w:line="259" w:lineRule="auto"/>
        <w:ind w:firstLine="360"/>
        <w:jc w:val="both"/>
        <w:rPr>
          <w:rFonts w:ascii="Arial" w:hAnsi="Arial" w:cs="Arial"/>
          <w:sz w:val="22"/>
          <w:szCs w:val="22"/>
        </w:rPr>
      </w:pPr>
      <w:r w:rsidRPr="008311D9">
        <w:rPr>
          <w:rFonts w:ascii="Arial" w:hAnsi="Arial" w:cs="Arial"/>
          <w:sz w:val="22"/>
          <w:szCs w:val="22"/>
        </w:rPr>
        <w:t xml:space="preserve">Izdaci iz donacija povećani su za 3.000,00 </w:t>
      </w:r>
      <w:r>
        <w:rPr>
          <w:rFonts w:ascii="Arial" w:hAnsi="Arial" w:cs="Arial"/>
          <w:sz w:val="22"/>
          <w:szCs w:val="22"/>
        </w:rPr>
        <w:t>EUR</w:t>
      </w:r>
      <w:r w:rsidRPr="008311D9">
        <w:rPr>
          <w:rFonts w:ascii="Arial" w:hAnsi="Arial" w:cs="Arial"/>
          <w:sz w:val="22"/>
          <w:szCs w:val="22"/>
        </w:rPr>
        <w:t xml:space="preserve">. Izvršilo se </w:t>
      </w:r>
      <w:proofErr w:type="spellStart"/>
      <w:r w:rsidRPr="008311D9">
        <w:rPr>
          <w:rFonts w:ascii="Arial" w:hAnsi="Arial" w:cs="Arial"/>
          <w:sz w:val="22"/>
          <w:szCs w:val="22"/>
        </w:rPr>
        <w:t>preknjiženje</w:t>
      </w:r>
      <w:proofErr w:type="spellEnd"/>
      <w:r w:rsidRPr="008311D9">
        <w:rPr>
          <w:rFonts w:ascii="Arial" w:hAnsi="Arial" w:cs="Arial"/>
          <w:sz w:val="22"/>
          <w:szCs w:val="22"/>
        </w:rPr>
        <w:t xml:space="preserve"> između pozicija materijalnih rashoda i rashoda za nabavu dugotrajne imovine. Dio donacija je već dogovoren. Uvršten je i višak prihoda iz 2024 godine.  Namijenjen je kupnji dječjih stolova za potrebe blagovaonice u Centralnome vrtiću.</w:t>
      </w:r>
    </w:p>
    <w:p w14:paraId="4191A354" w14:textId="3DF7DFC9" w:rsidR="008311D9" w:rsidRPr="008311D9" w:rsidRDefault="008311D9" w:rsidP="008311D9">
      <w:pPr>
        <w:spacing w:line="259" w:lineRule="auto"/>
        <w:ind w:firstLine="360"/>
        <w:jc w:val="both"/>
        <w:rPr>
          <w:rFonts w:ascii="Arial" w:hAnsi="Arial" w:cs="Arial"/>
          <w:sz w:val="22"/>
          <w:szCs w:val="22"/>
        </w:rPr>
      </w:pPr>
      <w:r w:rsidRPr="008311D9">
        <w:rPr>
          <w:rFonts w:ascii="Arial" w:hAnsi="Arial" w:cs="Arial"/>
          <w:sz w:val="22"/>
          <w:szCs w:val="22"/>
        </w:rPr>
        <w:t xml:space="preserve">Tekući Projekt Erasmus-a se povećava pošto je Obavijest o rezultatima evaluacije završnog izvješća i konačnom iznosu bespovratnih sredstava za projekt pristigao u travnju 2025 godine. Vrijednost bespovratnih sredstava po završnom izvješću iznosi 3.111,00 </w:t>
      </w:r>
      <w:r>
        <w:rPr>
          <w:rFonts w:ascii="Arial" w:hAnsi="Arial" w:cs="Arial"/>
          <w:sz w:val="22"/>
          <w:szCs w:val="22"/>
        </w:rPr>
        <w:t>EUR</w:t>
      </w:r>
      <w:r w:rsidRPr="008311D9">
        <w:rPr>
          <w:rFonts w:ascii="Arial" w:hAnsi="Arial" w:cs="Arial"/>
          <w:sz w:val="22"/>
          <w:szCs w:val="22"/>
        </w:rPr>
        <w:t xml:space="preserve">. </w:t>
      </w:r>
    </w:p>
    <w:p w14:paraId="0B339946" w14:textId="77777777" w:rsidR="008311D9" w:rsidRPr="008311D9" w:rsidRDefault="008311D9" w:rsidP="008311D9">
      <w:pPr>
        <w:spacing w:line="259" w:lineRule="auto"/>
        <w:ind w:firstLine="360"/>
        <w:jc w:val="both"/>
        <w:rPr>
          <w:rFonts w:ascii="Arial" w:hAnsi="Arial" w:cs="Arial"/>
          <w:sz w:val="22"/>
          <w:szCs w:val="22"/>
        </w:rPr>
      </w:pPr>
      <w:r w:rsidRPr="008311D9">
        <w:rPr>
          <w:rFonts w:ascii="Arial" w:hAnsi="Arial" w:cs="Arial"/>
          <w:sz w:val="22"/>
          <w:szCs w:val="22"/>
        </w:rPr>
        <w:t xml:space="preserve"> Izvršena su </w:t>
      </w:r>
      <w:proofErr w:type="spellStart"/>
      <w:r w:rsidRPr="008311D9">
        <w:rPr>
          <w:rFonts w:ascii="Arial" w:hAnsi="Arial" w:cs="Arial"/>
          <w:sz w:val="22"/>
          <w:szCs w:val="22"/>
        </w:rPr>
        <w:t>preknjiženja</w:t>
      </w:r>
      <w:proofErr w:type="spellEnd"/>
      <w:r w:rsidRPr="008311D9">
        <w:rPr>
          <w:rFonts w:ascii="Arial" w:hAnsi="Arial" w:cs="Arial"/>
          <w:sz w:val="22"/>
          <w:szCs w:val="22"/>
        </w:rPr>
        <w:t xml:space="preserve"> unutar Projekta, te je uvršten višak prihoda iz 2024 godine.</w:t>
      </w:r>
    </w:p>
    <w:p w14:paraId="558BB80B" w14:textId="77777777" w:rsidR="008311D9" w:rsidRPr="008311D9" w:rsidRDefault="008311D9" w:rsidP="008311D9">
      <w:pPr>
        <w:spacing w:line="259" w:lineRule="auto"/>
        <w:ind w:firstLine="360"/>
        <w:jc w:val="both"/>
        <w:rPr>
          <w:rFonts w:ascii="Arial" w:hAnsi="Arial" w:cs="Arial"/>
          <w:sz w:val="22"/>
          <w:szCs w:val="22"/>
        </w:rPr>
      </w:pPr>
    </w:p>
    <w:p w14:paraId="5AD595D7" w14:textId="77777777" w:rsidR="008311D9" w:rsidRPr="008311D9" w:rsidRDefault="008311D9" w:rsidP="008311D9">
      <w:pPr>
        <w:spacing w:line="259" w:lineRule="auto"/>
        <w:ind w:firstLine="360"/>
        <w:jc w:val="both"/>
        <w:rPr>
          <w:rFonts w:ascii="Arial" w:hAnsi="Arial" w:cs="Arial"/>
          <w:sz w:val="22"/>
          <w:szCs w:val="22"/>
        </w:rPr>
      </w:pPr>
    </w:p>
    <w:p w14:paraId="4EE23318" w14:textId="77777777" w:rsidR="008311D9" w:rsidRDefault="008311D9" w:rsidP="008311D9">
      <w:pPr>
        <w:spacing w:line="259" w:lineRule="auto"/>
        <w:ind w:firstLine="360"/>
        <w:jc w:val="both"/>
        <w:rPr>
          <w:rFonts w:ascii="Arial" w:hAnsi="Arial" w:cs="Arial"/>
          <w:sz w:val="22"/>
          <w:szCs w:val="22"/>
        </w:rPr>
      </w:pPr>
      <w:r w:rsidRPr="008311D9">
        <w:rPr>
          <w:rFonts w:ascii="Arial" w:hAnsi="Arial" w:cs="Arial"/>
          <w:sz w:val="22"/>
          <w:szCs w:val="22"/>
        </w:rPr>
        <w:t>U nastavku obrazloženja slijede tablice sa prikazom prvih izmjena i dopuna financijskog plana proračuna Dječjeg vrtića „</w:t>
      </w:r>
      <w:proofErr w:type="spellStart"/>
      <w:r w:rsidRPr="008311D9">
        <w:rPr>
          <w:rFonts w:ascii="Arial" w:hAnsi="Arial" w:cs="Arial"/>
          <w:sz w:val="22"/>
          <w:szCs w:val="22"/>
        </w:rPr>
        <w:t>Pjerina</w:t>
      </w:r>
      <w:proofErr w:type="spellEnd"/>
      <w:r w:rsidRPr="008311D9">
        <w:rPr>
          <w:rFonts w:ascii="Arial" w:hAnsi="Arial" w:cs="Arial"/>
          <w:sz w:val="22"/>
          <w:szCs w:val="22"/>
        </w:rPr>
        <w:t xml:space="preserve"> </w:t>
      </w:r>
      <w:proofErr w:type="spellStart"/>
      <w:r w:rsidRPr="008311D9">
        <w:rPr>
          <w:rFonts w:ascii="Arial" w:hAnsi="Arial" w:cs="Arial"/>
          <w:sz w:val="22"/>
          <w:szCs w:val="22"/>
        </w:rPr>
        <w:t>Verbanac</w:t>
      </w:r>
      <w:proofErr w:type="spellEnd"/>
      <w:r w:rsidRPr="008311D9">
        <w:rPr>
          <w:rFonts w:ascii="Arial" w:hAnsi="Arial" w:cs="Arial"/>
          <w:sz w:val="22"/>
          <w:szCs w:val="22"/>
        </w:rPr>
        <w:t xml:space="preserve">“ Labin za 2025 godinu. </w:t>
      </w:r>
    </w:p>
    <w:p w14:paraId="2EEF062E" w14:textId="77777777" w:rsidR="008311D9" w:rsidRPr="008311D9" w:rsidRDefault="008311D9" w:rsidP="008311D9">
      <w:pPr>
        <w:spacing w:line="259" w:lineRule="auto"/>
        <w:ind w:firstLine="360"/>
        <w:jc w:val="both"/>
        <w:rPr>
          <w:rFonts w:ascii="Arial" w:hAnsi="Arial" w:cs="Arial"/>
          <w:sz w:val="22"/>
          <w:szCs w:val="22"/>
        </w:rPr>
      </w:pPr>
    </w:p>
    <w:p w14:paraId="5D27C566" w14:textId="77777777" w:rsidR="008311D9" w:rsidRDefault="008311D9" w:rsidP="008311D9">
      <w:pPr>
        <w:rPr>
          <w:rFonts w:ascii="Arial" w:hAnsi="Arial" w:cs="Arial"/>
          <w:sz w:val="22"/>
          <w:szCs w:val="22"/>
        </w:rPr>
      </w:pPr>
      <w:r w:rsidRPr="008311D9">
        <w:rPr>
          <w:rFonts w:ascii="Arial" w:hAnsi="Arial" w:cs="Arial"/>
          <w:sz w:val="22"/>
          <w:szCs w:val="22"/>
        </w:rPr>
        <w:t>TABLICA 1.</w:t>
      </w:r>
    </w:p>
    <w:p w14:paraId="56CEFF54" w14:textId="59CCC726" w:rsidR="008311D9" w:rsidRPr="008311D9" w:rsidRDefault="008311D9" w:rsidP="008311D9">
      <w:pPr>
        <w:rPr>
          <w:rFonts w:ascii="Arial" w:hAnsi="Arial" w:cs="Arial"/>
          <w:sz w:val="22"/>
          <w:szCs w:val="22"/>
        </w:rPr>
      </w:pPr>
      <w:r>
        <w:rPr>
          <w:rFonts w:ascii="Arial" w:hAnsi="Arial" w:cs="Arial"/>
          <w:sz w:val="22"/>
          <w:szCs w:val="22"/>
        </w:rPr>
        <w:t xml:space="preserve"> </w:t>
      </w:r>
      <w:r w:rsidRPr="008311D9">
        <w:rPr>
          <w:rFonts w:ascii="Arial" w:hAnsi="Arial" w:cs="Arial"/>
          <w:sz w:val="22"/>
          <w:szCs w:val="22"/>
        </w:rPr>
        <w:t xml:space="preserve"> </w:t>
      </w:r>
      <w:r w:rsidRPr="008311D9">
        <w:rPr>
          <w:rFonts w:ascii="Arial" w:hAnsi="Arial" w:cs="Arial"/>
          <w:sz w:val="22"/>
          <w:szCs w:val="22"/>
        </w:rPr>
        <w:tab/>
      </w:r>
      <w:r w:rsidRPr="008311D9">
        <w:rPr>
          <w:rFonts w:ascii="Arial" w:hAnsi="Arial" w:cs="Arial"/>
          <w:sz w:val="22"/>
          <w:szCs w:val="22"/>
        </w:rPr>
        <w:tab/>
      </w:r>
      <w:r w:rsidRPr="008311D9">
        <w:rPr>
          <w:rFonts w:ascii="Arial" w:hAnsi="Arial" w:cs="Arial"/>
          <w:sz w:val="22"/>
          <w:szCs w:val="22"/>
        </w:rPr>
        <w:tab/>
      </w:r>
      <w:r w:rsidRPr="008311D9">
        <w:rPr>
          <w:rFonts w:ascii="Arial" w:hAnsi="Arial" w:cs="Arial"/>
          <w:sz w:val="22"/>
          <w:szCs w:val="22"/>
        </w:rPr>
        <w:tab/>
      </w:r>
      <w:r w:rsidRPr="008311D9">
        <w:rPr>
          <w:rFonts w:ascii="Arial" w:hAnsi="Arial" w:cs="Arial"/>
          <w:sz w:val="22"/>
          <w:szCs w:val="22"/>
        </w:rPr>
        <w:tab/>
      </w:r>
      <w:r w:rsidRPr="008311D9">
        <w:rPr>
          <w:rFonts w:ascii="Arial" w:hAnsi="Arial" w:cs="Arial"/>
          <w:sz w:val="22"/>
          <w:szCs w:val="22"/>
        </w:rPr>
        <w:tab/>
      </w:r>
      <w:r w:rsidRPr="008311D9">
        <w:rPr>
          <w:rFonts w:ascii="Arial" w:hAnsi="Arial" w:cs="Arial"/>
          <w:sz w:val="22"/>
          <w:szCs w:val="22"/>
        </w:rPr>
        <w:tab/>
      </w:r>
      <w:r w:rsidRPr="008311D9">
        <w:rPr>
          <w:rFonts w:ascii="Arial" w:hAnsi="Arial" w:cs="Arial"/>
          <w:sz w:val="22"/>
          <w:szCs w:val="22"/>
        </w:rPr>
        <w:tab/>
      </w:r>
      <w:r w:rsidRPr="008311D9">
        <w:rPr>
          <w:rFonts w:ascii="Arial" w:hAnsi="Arial" w:cs="Arial"/>
          <w:sz w:val="22"/>
          <w:szCs w:val="22"/>
        </w:rPr>
        <w:tab/>
      </w:r>
      <w:r w:rsidRPr="008311D9">
        <w:rPr>
          <w:rFonts w:ascii="Arial" w:hAnsi="Arial" w:cs="Arial"/>
          <w:sz w:val="22"/>
          <w:szCs w:val="22"/>
        </w:rPr>
        <w:tab/>
        <w:t xml:space="preserve">       - U EUR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2849"/>
        <w:gridCol w:w="1556"/>
        <w:gridCol w:w="1676"/>
        <w:gridCol w:w="1547"/>
        <w:gridCol w:w="972"/>
      </w:tblGrid>
      <w:tr w:rsidR="008311D9" w14:paraId="308944E8" w14:textId="77777777" w:rsidTr="008311D9">
        <w:trPr>
          <w:trHeight w:val="977"/>
        </w:trPr>
        <w:tc>
          <w:tcPr>
            <w:tcW w:w="1006" w:type="dxa"/>
            <w:tcBorders>
              <w:top w:val="single" w:sz="4" w:space="0" w:color="auto"/>
              <w:left w:val="single" w:sz="4" w:space="0" w:color="auto"/>
              <w:bottom w:val="single" w:sz="4" w:space="0" w:color="auto"/>
              <w:right w:val="single" w:sz="4" w:space="0" w:color="auto"/>
            </w:tcBorders>
            <w:hideMark/>
          </w:tcPr>
          <w:p w14:paraId="5E260AA9" w14:textId="77777777" w:rsidR="008311D9" w:rsidRDefault="008311D9">
            <w:pPr>
              <w:jc w:val="center"/>
              <w:rPr>
                <w:rFonts w:ascii="Arial" w:hAnsi="Arial" w:cs="Arial"/>
                <w:b/>
                <w:sz w:val="20"/>
                <w:szCs w:val="20"/>
              </w:rPr>
            </w:pPr>
            <w:bookmarkStart w:id="39" w:name="OLE_LINK1"/>
            <w:r>
              <w:rPr>
                <w:rFonts w:ascii="Arial" w:hAnsi="Arial" w:cs="Arial"/>
                <w:b/>
                <w:sz w:val="20"/>
                <w:szCs w:val="20"/>
              </w:rPr>
              <w:t>KONTO</w:t>
            </w:r>
          </w:p>
        </w:tc>
        <w:tc>
          <w:tcPr>
            <w:tcW w:w="2849" w:type="dxa"/>
            <w:tcBorders>
              <w:top w:val="single" w:sz="4" w:space="0" w:color="auto"/>
              <w:left w:val="single" w:sz="4" w:space="0" w:color="auto"/>
              <w:bottom w:val="single" w:sz="4" w:space="0" w:color="auto"/>
              <w:right w:val="single" w:sz="4" w:space="0" w:color="auto"/>
            </w:tcBorders>
            <w:hideMark/>
          </w:tcPr>
          <w:p w14:paraId="7473EABB" w14:textId="77777777" w:rsidR="008311D9" w:rsidRDefault="008311D9">
            <w:pPr>
              <w:jc w:val="center"/>
              <w:rPr>
                <w:rFonts w:ascii="Arial" w:hAnsi="Arial" w:cs="Arial"/>
                <w:b/>
                <w:sz w:val="20"/>
                <w:szCs w:val="20"/>
              </w:rPr>
            </w:pPr>
            <w:r>
              <w:rPr>
                <w:rFonts w:ascii="Arial" w:hAnsi="Arial" w:cs="Arial"/>
                <w:b/>
                <w:sz w:val="20"/>
                <w:szCs w:val="20"/>
              </w:rPr>
              <w:t>VRSTA PRIHODA I PRIMITAKA</w:t>
            </w:r>
          </w:p>
        </w:tc>
        <w:tc>
          <w:tcPr>
            <w:tcW w:w="1556" w:type="dxa"/>
            <w:tcBorders>
              <w:top w:val="single" w:sz="4" w:space="0" w:color="auto"/>
              <w:left w:val="single" w:sz="4" w:space="0" w:color="auto"/>
              <w:bottom w:val="single" w:sz="4" w:space="0" w:color="auto"/>
              <w:right w:val="single" w:sz="4" w:space="0" w:color="auto"/>
            </w:tcBorders>
            <w:hideMark/>
          </w:tcPr>
          <w:p w14:paraId="1E00F302" w14:textId="77777777" w:rsidR="008311D9" w:rsidRDefault="008311D9">
            <w:pPr>
              <w:jc w:val="center"/>
              <w:rPr>
                <w:rFonts w:ascii="Arial" w:hAnsi="Arial" w:cs="Arial"/>
                <w:b/>
                <w:sz w:val="20"/>
                <w:szCs w:val="20"/>
              </w:rPr>
            </w:pPr>
            <w:r>
              <w:rPr>
                <w:rFonts w:ascii="Arial" w:hAnsi="Arial" w:cs="Arial"/>
                <w:b/>
                <w:sz w:val="20"/>
                <w:szCs w:val="20"/>
              </w:rPr>
              <w:t>2025. PLAN PRORAČUNA</w:t>
            </w:r>
          </w:p>
        </w:tc>
        <w:tc>
          <w:tcPr>
            <w:tcW w:w="1676" w:type="dxa"/>
            <w:tcBorders>
              <w:top w:val="single" w:sz="4" w:space="0" w:color="auto"/>
              <w:left w:val="single" w:sz="4" w:space="0" w:color="auto"/>
              <w:bottom w:val="single" w:sz="4" w:space="0" w:color="auto"/>
              <w:right w:val="single" w:sz="4" w:space="0" w:color="auto"/>
            </w:tcBorders>
            <w:hideMark/>
          </w:tcPr>
          <w:p w14:paraId="25775CEF" w14:textId="77777777" w:rsidR="008311D9" w:rsidRDefault="008311D9">
            <w:pPr>
              <w:rPr>
                <w:rFonts w:ascii="Arial" w:hAnsi="Arial" w:cs="Arial"/>
                <w:b/>
                <w:sz w:val="20"/>
                <w:szCs w:val="20"/>
              </w:rPr>
            </w:pPr>
            <w:r>
              <w:rPr>
                <w:rFonts w:ascii="Arial" w:hAnsi="Arial" w:cs="Arial"/>
                <w:b/>
                <w:sz w:val="20"/>
                <w:szCs w:val="20"/>
              </w:rPr>
              <w:t>2025-IZMJENE-PROMJENE IZNOSA</w:t>
            </w:r>
          </w:p>
        </w:tc>
        <w:tc>
          <w:tcPr>
            <w:tcW w:w="1547" w:type="dxa"/>
            <w:tcBorders>
              <w:top w:val="single" w:sz="4" w:space="0" w:color="auto"/>
              <w:left w:val="single" w:sz="4" w:space="0" w:color="auto"/>
              <w:bottom w:val="single" w:sz="4" w:space="0" w:color="auto"/>
              <w:right w:val="single" w:sz="4" w:space="0" w:color="auto"/>
            </w:tcBorders>
            <w:hideMark/>
          </w:tcPr>
          <w:p w14:paraId="6F35020E" w14:textId="77777777" w:rsidR="008311D9" w:rsidRDefault="008311D9">
            <w:pPr>
              <w:jc w:val="center"/>
              <w:rPr>
                <w:rFonts w:ascii="Arial" w:hAnsi="Arial" w:cs="Arial"/>
                <w:b/>
                <w:sz w:val="20"/>
                <w:szCs w:val="20"/>
              </w:rPr>
            </w:pPr>
            <w:r>
              <w:rPr>
                <w:rFonts w:ascii="Arial" w:hAnsi="Arial" w:cs="Arial"/>
                <w:b/>
                <w:sz w:val="20"/>
                <w:szCs w:val="20"/>
              </w:rPr>
              <w:t>PRIJEDLOG I IZMJENA FIN. PLANA ZA 2025</w:t>
            </w:r>
          </w:p>
        </w:tc>
        <w:tc>
          <w:tcPr>
            <w:tcW w:w="972" w:type="dxa"/>
            <w:tcBorders>
              <w:top w:val="single" w:sz="4" w:space="0" w:color="auto"/>
              <w:left w:val="single" w:sz="4" w:space="0" w:color="auto"/>
              <w:bottom w:val="single" w:sz="4" w:space="0" w:color="auto"/>
              <w:right w:val="single" w:sz="4" w:space="0" w:color="auto"/>
            </w:tcBorders>
          </w:tcPr>
          <w:p w14:paraId="5F9CCCFE" w14:textId="77777777" w:rsidR="008311D9" w:rsidRDefault="008311D9">
            <w:pPr>
              <w:jc w:val="center"/>
              <w:rPr>
                <w:rFonts w:ascii="Arial" w:hAnsi="Arial" w:cs="Arial"/>
                <w:b/>
                <w:sz w:val="20"/>
                <w:szCs w:val="20"/>
              </w:rPr>
            </w:pPr>
            <w:r>
              <w:rPr>
                <w:rFonts w:ascii="Arial" w:hAnsi="Arial" w:cs="Arial"/>
                <w:b/>
                <w:sz w:val="20"/>
                <w:szCs w:val="20"/>
              </w:rPr>
              <w:t>INDEKS</w:t>
            </w:r>
          </w:p>
          <w:p w14:paraId="1D711A7F" w14:textId="77777777" w:rsidR="008311D9" w:rsidRDefault="008311D9">
            <w:pPr>
              <w:jc w:val="center"/>
              <w:rPr>
                <w:rFonts w:ascii="Arial" w:hAnsi="Arial" w:cs="Arial"/>
                <w:b/>
                <w:sz w:val="20"/>
                <w:szCs w:val="20"/>
              </w:rPr>
            </w:pPr>
          </w:p>
          <w:p w14:paraId="17123508" w14:textId="77777777" w:rsidR="008311D9" w:rsidRDefault="008311D9">
            <w:pPr>
              <w:jc w:val="center"/>
              <w:rPr>
                <w:rFonts w:ascii="Arial" w:hAnsi="Arial" w:cs="Arial"/>
                <w:b/>
                <w:sz w:val="20"/>
                <w:szCs w:val="20"/>
              </w:rPr>
            </w:pPr>
            <w:r>
              <w:rPr>
                <w:rFonts w:ascii="Arial" w:hAnsi="Arial" w:cs="Arial"/>
                <w:b/>
                <w:sz w:val="20"/>
                <w:szCs w:val="20"/>
              </w:rPr>
              <w:t>4/3</w:t>
            </w:r>
          </w:p>
        </w:tc>
      </w:tr>
      <w:tr w:rsidR="008311D9" w14:paraId="1177CA27" w14:textId="77777777" w:rsidTr="008311D9">
        <w:tc>
          <w:tcPr>
            <w:tcW w:w="1006" w:type="dxa"/>
            <w:tcBorders>
              <w:top w:val="single" w:sz="4" w:space="0" w:color="auto"/>
              <w:left w:val="single" w:sz="4" w:space="0" w:color="auto"/>
              <w:bottom w:val="single" w:sz="4" w:space="0" w:color="auto"/>
              <w:right w:val="single" w:sz="4" w:space="0" w:color="auto"/>
            </w:tcBorders>
            <w:hideMark/>
          </w:tcPr>
          <w:p w14:paraId="1D253952" w14:textId="77777777" w:rsidR="008311D9" w:rsidRDefault="008311D9">
            <w:pPr>
              <w:jc w:val="center"/>
              <w:rPr>
                <w:rFonts w:ascii="Arial" w:hAnsi="Arial" w:cs="Arial"/>
                <w:b/>
                <w:sz w:val="20"/>
                <w:szCs w:val="20"/>
              </w:rPr>
            </w:pPr>
            <w:r>
              <w:rPr>
                <w:rFonts w:ascii="Arial" w:hAnsi="Arial" w:cs="Arial"/>
                <w:b/>
                <w:sz w:val="20"/>
                <w:szCs w:val="20"/>
              </w:rPr>
              <w:t>1</w:t>
            </w:r>
          </w:p>
        </w:tc>
        <w:tc>
          <w:tcPr>
            <w:tcW w:w="2849" w:type="dxa"/>
            <w:tcBorders>
              <w:top w:val="single" w:sz="4" w:space="0" w:color="auto"/>
              <w:left w:val="single" w:sz="4" w:space="0" w:color="auto"/>
              <w:bottom w:val="single" w:sz="4" w:space="0" w:color="auto"/>
              <w:right w:val="single" w:sz="4" w:space="0" w:color="auto"/>
            </w:tcBorders>
            <w:hideMark/>
          </w:tcPr>
          <w:p w14:paraId="3814CBBE" w14:textId="77777777" w:rsidR="008311D9" w:rsidRDefault="008311D9">
            <w:pPr>
              <w:jc w:val="center"/>
              <w:rPr>
                <w:rFonts w:ascii="Arial" w:hAnsi="Arial" w:cs="Arial"/>
                <w:b/>
                <w:sz w:val="20"/>
                <w:szCs w:val="20"/>
              </w:rPr>
            </w:pPr>
            <w:r>
              <w:rPr>
                <w:rFonts w:ascii="Arial" w:hAnsi="Arial" w:cs="Arial"/>
                <w:b/>
                <w:sz w:val="20"/>
                <w:szCs w:val="20"/>
              </w:rPr>
              <w:t>2</w:t>
            </w:r>
          </w:p>
        </w:tc>
        <w:tc>
          <w:tcPr>
            <w:tcW w:w="1556" w:type="dxa"/>
            <w:tcBorders>
              <w:top w:val="single" w:sz="4" w:space="0" w:color="auto"/>
              <w:left w:val="single" w:sz="4" w:space="0" w:color="auto"/>
              <w:bottom w:val="single" w:sz="4" w:space="0" w:color="auto"/>
              <w:right w:val="single" w:sz="4" w:space="0" w:color="auto"/>
            </w:tcBorders>
            <w:hideMark/>
          </w:tcPr>
          <w:p w14:paraId="10D90068" w14:textId="77777777" w:rsidR="008311D9" w:rsidRDefault="008311D9">
            <w:pPr>
              <w:jc w:val="center"/>
              <w:rPr>
                <w:rFonts w:ascii="Arial" w:hAnsi="Arial" w:cs="Arial"/>
                <w:b/>
                <w:sz w:val="20"/>
                <w:szCs w:val="20"/>
              </w:rPr>
            </w:pPr>
            <w:r>
              <w:rPr>
                <w:rFonts w:ascii="Arial" w:hAnsi="Arial" w:cs="Arial"/>
                <w:b/>
                <w:sz w:val="20"/>
                <w:szCs w:val="20"/>
              </w:rPr>
              <w:t>3</w:t>
            </w:r>
          </w:p>
        </w:tc>
        <w:tc>
          <w:tcPr>
            <w:tcW w:w="1676" w:type="dxa"/>
            <w:tcBorders>
              <w:top w:val="single" w:sz="4" w:space="0" w:color="auto"/>
              <w:left w:val="single" w:sz="4" w:space="0" w:color="auto"/>
              <w:bottom w:val="single" w:sz="4" w:space="0" w:color="auto"/>
              <w:right w:val="single" w:sz="4" w:space="0" w:color="auto"/>
            </w:tcBorders>
            <w:hideMark/>
          </w:tcPr>
          <w:p w14:paraId="6FF15B16" w14:textId="77777777" w:rsidR="008311D9" w:rsidRDefault="008311D9">
            <w:pPr>
              <w:jc w:val="center"/>
              <w:rPr>
                <w:rFonts w:ascii="Arial" w:hAnsi="Arial" w:cs="Arial"/>
                <w:b/>
                <w:sz w:val="20"/>
                <w:szCs w:val="20"/>
              </w:rPr>
            </w:pPr>
            <w:r>
              <w:rPr>
                <w:rFonts w:ascii="Arial" w:hAnsi="Arial" w:cs="Arial"/>
                <w:b/>
                <w:sz w:val="20"/>
                <w:szCs w:val="20"/>
              </w:rPr>
              <w:t>4</w:t>
            </w:r>
          </w:p>
        </w:tc>
        <w:tc>
          <w:tcPr>
            <w:tcW w:w="1547" w:type="dxa"/>
            <w:tcBorders>
              <w:top w:val="single" w:sz="4" w:space="0" w:color="auto"/>
              <w:left w:val="single" w:sz="4" w:space="0" w:color="auto"/>
              <w:bottom w:val="single" w:sz="4" w:space="0" w:color="auto"/>
              <w:right w:val="single" w:sz="4" w:space="0" w:color="auto"/>
            </w:tcBorders>
            <w:hideMark/>
          </w:tcPr>
          <w:p w14:paraId="19405BDF" w14:textId="77777777" w:rsidR="008311D9" w:rsidRDefault="008311D9">
            <w:pPr>
              <w:jc w:val="center"/>
              <w:rPr>
                <w:rFonts w:ascii="Arial" w:hAnsi="Arial" w:cs="Arial"/>
                <w:b/>
                <w:sz w:val="20"/>
                <w:szCs w:val="20"/>
              </w:rPr>
            </w:pPr>
            <w:r>
              <w:rPr>
                <w:rFonts w:ascii="Arial" w:hAnsi="Arial" w:cs="Arial"/>
                <w:b/>
                <w:sz w:val="20"/>
                <w:szCs w:val="20"/>
              </w:rPr>
              <w:t>5</w:t>
            </w:r>
          </w:p>
        </w:tc>
        <w:tc>
          <w:tcPr>
            <w:tcW w:w="972" w:type="dxa"/>
            <w:tcBorders>
              <w:top w:val="single" w:sz="4" w:space="0" w:color="auto"/>
              <w:left w:val="single" w:sz="4" w:space="0" w:color="auto"/>
              <w:bottom w:val="single" w:sz="4" w:space="0" w:color="auto"/>
              <w:right w:val="single" w:sz="4" w:space="0" w:color="auto"/>
            </w:tcBorders>
            <w:hideMark/>
          </w:tcPr>
          <w:p w14:paraId="55113DAC" w14:textId="77777777" w:rsidR="008311D9" w:rsidRDefault="008311D9">
            <w:pPr>
              <w:jc w:val="center"/>
              <w:rPr>
                <w:rFonts w:ascii="Arial" w:hAnsi="Arial" w:cs="Arial"/>
                <w:b/>
                <w:sz w:val="20"/>
                <w:szCs w:val="20"/>
              </w:rPr>
            </w:pPr>
            <w:r>
              <w:rPr>
                <w:rFonts w:ascii="Arial" w:hAnsi="Arial" w:cs="Arial"/>
                <w:b/>
                <w:sz w:val="20"/>
                <w:szCs w:val="20"/>
              </w:rPr>
              <w:t>6</w:t>
            </w:r>
          </w:p>
        </w:tc>
      </w:tr>
      <w:tr w:rsidR="008311D9" w14:paraId="6E139C3D" w14:textId="77777777" w:rsidTr="008311D9">
        <w:tc>
          <w:tcPr>
            <w:tcW w:w="1006" w:type="dxa"/>
            <w:tcBorders>
              <w:top w:val="single" w:sz="4" w:space="0" w:color="auto"/>
              <w:left w:val="single" w:sz="4" w:space="0" w:color="auto"/>
              <w:bottom w:val="single" w:sz="4" w:space="0" w:color="auto"/>
              <w:right w:val="single" w:sz="4" w:space="0" w:color="auto"/>
            </w:tcBorders>
            <w:hideMark/>
          </w:tcPr>
          <w:p w14:paraId="3B92E567" w14:textId="77777777" w:rsidR="008311D9" w:rsidRDefault="008311D9">
            <w:pPr>
              <w:rPr>
                <w:rFonts w:ascii="Arial" w:hAnsi="Arial" w:cs="Arial"/>
                <w:b/>
                <w:sz w:val="20"/>
                <w:szCs w:val="20"/>
              </w:rPr>
            </w:pPr>
            <w:r>
              <w:rPr>
                <w:rFonts w:ascii="Arial" w:hAnsi="Arial" w:cs="Arial"/>
                <w:b/>
                <w:sz w:val="20"/>
                <w:szCs w:val="20"/>
              </w:rPr>
              <w:t>6</w:t>
            </w:r>
          </w:p>
        </w:tc>
        <w:tc>
          <w:tcPr>
            <w:tcW w:w="2849" w:type="dxa"/>
            <w:tcBorders>
              <w:top w:val="single" w:sz="4" w:space="0" w:color="auto"/>
              <w:left w:val="single" w:sz="4" w:space="0" w:color="auto"/>
              <w:bottom w:val="single" w:sz="4" w:space="0" w:color="auto"/>
              <w:right w:val="single" w:sz="4" w:space="0" w:color="auto"/>
            </w:tcBorders>
            <w:hideMark/>
          </w:tcPr>
          <w:p w14:paraId="0D7772D8" w14:textId="77777777" w:rsidR="008311D9" w:rsidRDefault="008311D9">
            <w:pPr>
              <w:rPr>
                <w:rFonts w:ascii="Arial" w:hAnsi="Arial" w:cs="Arial"/>
                <w:b/>
                <w:sz w:val="20"/>
                <w:szCs w:val="20"/>
              </w:rPr>
            </w:pPr>
            <w:r>
              <w:rPr>
                <w:rFonts w:ascii="Arial" w:hAnsi="Arial" w:cs="Arial"/>
                <w:b/>
                <w:sz w:val="20"/>
                <w:szCs w:val="20"/>
              </w:rPr>
              <w:t>PRIHODI POSLOVANJA</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A7D7474"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3.591.717,00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9E95184"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186.094,00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06E92AD2"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3.777.811,00</w:t>
            </w:r>
          </w:p>
        </w:tc>
        <w:tc>
          <w:tcPr>
            <w:tcW w:w="972" w:type="dxa"/>
            <w:tcBorders>
              <w:top w:val="single" w:sz="4" w:space="0" w:color="auto"/>
              <w:left w:val="single" w:sz="4" w:space="0" w:color="auto"/>
              <w:bottom w:val="single" w:sz="4" w:space="0" w:color="auto"/>
              <w:right w:val="single" w:sz="4" w:space="0" w:color="auto"/>
            </w:tcBorders>
            <w:vAlign w:val="center"/>
            <w:hideMark/>
          </w:tcPr>
          <w:p w14:paraId="3A1C6320"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5,18</w:t>
            </w:r>
          </w:p>
        </w:tc>
      </w:tr>
      <w:tr w:rsidR="008311D9" w14:paraId="538047F1" w14:textId="77777777" w:rsidTr="008311D9">
        <w:tc>
          <w:tcPr>
            <w:tcW w:w="1006" w:type="dxa"/>
            <w:tcBorders>
              <w:top w:val="single" w:sz="4" w:space="0" w:color="auto"/>
              <w:left w:val="single" w:sz="4" w:space="0" w:color="auto"/>
              <w:bottom w:val="single" w:sz="4" w:space="0" w:color="auto"/>
              <w:right w:val="single" w:sz="4" w:space="0" w:color="auto"/>
            </w:tcBorders>
            <w:hideMark/>
          </w:tcPr>
          <w:p w14:paraId="015DB34B" w14:textId="77777777" w:rsidR="008311D9" w:rsidRDefault="008311D9">
            <w:pPr>
              <w:rPr>
                <w:rFonts w:ascii="Arial" w:hAnsi="Arial" w:cs="Arial"/>
                <w:bCs/>
                <w:sz w:val="20"/>
                <w:szCs w:val="20"/>
              </w:rPr>
            </w:pPr>
            <w:r>
              <w:rPr>
                <w:rFonts w:ascii="Arial" w:hAnsi="Arial" w:cs="Arial"/>
                <w:bCs/>
                <w:sz w:val="20"/>
                <w:szCs w:val="20"/>
              </w:rPr>
              <w:t>63</w:t>
            </w:r>
          </w:p>
        </w:tc>
        <w:tc>
          <w:tcPr>
            <w:tcW w:w="2849" w:type="dxa"/>
            <w:tcBorders>
              <w:top w:val="single" w:sz="4" w:space="0" w:color="auto"/>
              <w:left w:val="single" w:sz="4" w:space="0" w:color="auto"/>
              <w:bottom w:val="single" w:sz="4" w:space="0" w:color="auto"/>
              <w:right w:val="single" w:sz="4" w:space="0" w:color="auto"/>
            </w:tcBorders>
            <w:hideMark/>
          </w:tcPr>
          <w:p w14:paraId="02B403B7" w14:textId="77777777" w:rsidR="008311D9" w:rsidRDefault="008311D9">
            <w:pPr>
              <w:rPr>
                <w:rFonts w:ascii="Arial" w:hAnsi="Arial" w:cs="Arial"/>
                <w:bCs/>
                <w:sz w:val="20"/>
                <w:szCs w:val="20"/>
              </w:rPr>
            </w:pPr>
            <w:r>
              <w:rPr>
                <w:rFonts w:ascii="Arial" w:hAnsi="Arial" w:cs="Arial"/>
                <w:bCs/>
                <w:sz w:val="20"/>
                <w:szCs w:val="20"/>
              </w:rPr>
              <w:t>POMOĆI IZ INOZ. I OD SUBJEKATA UNUTAR OPĆEG PRORAČUNA</w:t>
            </w:r>
          </w:p>
        </w:tc>
        <w:tc>
          <w:tcPr>
            <w:tcW w:w="1556" w:type="dxa"/>
            <w:tcBorders>
              <w:top w:val="single" w:sz="4" w:space="0" w:color="auto"/>
              <w:left w:val="single" w:sz="4" w:space="0" w:color="auto"/>
              <w:bottom w:val="single" w:sz="4" w:space="0" w:color="auto"/>
              <w:right w:val="single" w:sz="4" w:space="0" w:color="auto"/>
            </w:tcBorders>
            <w:vAlign w:val="center"/>
            <w:hideMark/>
          </w:tcPr>
          <w:p w14:paraId="4EFF3130" w14:textId="77777777" w:rsidR="008311D9" w:rsidRDefault="008311D9">
            <w:pPr>
              <w:jc w:val="right"/>
              <w:rPr>
                <w:rFonts w:ascii="Arial" w:hAnsi="Arial" w:cs="Arial"/>
                <w:color w:val="000000"/>
                <w:sz w:val="20"/>
                <w:szCs w:val="20"/>
              </w:rPr>
            </w:pPr>
            <w:r>
              <w:rPr>
                <w:rFonts w:ascii="Arial" w:hAnsi="Arial" w:cs="Arial"/>
                <w:color w:val="000000"/>
                <w:sz w:val="20"/>
                <w:szCs w:val="20"/>
              </w:rPr>
              <w:t>1.047.843,00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2F0EDC22" w14:textId="77777777" w:rsidR="008311D9" w:rsidRDefault="008311D9">
            <w:pPr>
              <w:jc w:val="right"/>
              <w:rPr>
                <w:rFonts w:ascii="Arial" w:hAnsi="Arial" w:cs="Arial"/>
                <w:color w:val="000000"/>
                <w:sz w:val="20"/>
                <w:szCs w:val="20"/>
              </w:rPr>
            </w:pPr>
            <w:r>
              <w:rPr>
                <w:rFonts w:ascii="Arial" w:hAnsi="Arial" w:cs="Arial"/>
                <w:color w:val="000000"/>
                <w:sz w:val="20"/>
                <w:szCs w:val="20"/>
              </w:rPr>
              <w:t>-15.113,00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681FDFD6" w14:textId="77777777" w:rsidR="008311D9" w:rsidRDefault="008311D9">
            <w:pPr>
              <w:jc w:val="right"/>
              <w:rPr>
                <w:rFonts w:ascii="Arial" w:hAnsi="Arial" w:cs="Arial"/>
                <w:color w:val="000000"/>
                <w:sz w:val="20"/>
                <w:szCs w:val="20"/>
              </w:rPr>
            </w:pPr>
            <w:r>
              <w:rPr>
                <w:rFonts w:ascii="Arial" w:hAnsi="Arial" w:cs="Arial"/>
                <w:color w:val="000000"/>
                <w:sz w:val="20"/>
                <w:szCs w:val="20"/>
              </w:rPr>
              <w:t>1.032.730,00</w:t>
            </w:r>
          </w:p>
        </w:tc>
        <w:tc>
          <w:tcPr>
            <w:tcW w:w="972" w:type="dxa"/>
            <w:tcBorders>
              <w:top w:val="single" w:sz="4" w:space="0" w:color="auto"/>
              <w:left w:val="single" w:sz="4" w:space="0" w:color="auto"/>
              <w:bottom w:val="single" w:sz="4" w:space="0" w:color="auto"/>
              <w:right w:val="single" w:sz="4" w:space="0" w:color="auto"/>
            </w:tcBorders>
            <w:vAlign w:val="center"/>
            <w:hideMark/>
          </w:tcPr>
          <w:p w14:paraId="29DB0CA1"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-1,44</w:t>
            </w:r>
          </w:p>
        </w:tc>
      </w:tr>
      <w:tr w:rsidR="008311D9" w14:paraId="2A46A4A2" w14:textId="77777777" w:rsidTr="008311D9">
        <w:tc>
          <w:tcPr>
            <w:tcW w:w="1006" w:type="dxa"/>
            <w:tcBorders>
              <w:top w:val="single" w:sz="4" w:space="0" w:color="auto"/>
              <w:left w:val="single" w:sz="4" w:space="0" w:color="auto"/>
              <w:bottom w:val="single" w:sz="4" w:space="0" w:color="auto"/>
              <w:right w:val="single" w:sz="4" w:space="0" w:color="auto"/>
            </w:tcBorders>
            <w:hideMark/>
          </w:tcPr>
          <w:p w14:paraId="7B54BF04" w14:textId="77777777" w:rsidR="008311D9" w:rsidRDefault="008311D9">
            <w:pPr>
              <w:rPr>
                <w:rFonts w:ascii="Arial" w:hAnsi="Arial" w:cs="Arial"/>
                <w:bCs/>
                <w:sz w:val="20"/>
                <w:szCs w:val="20"/>
              </w:rPr>
            </w:pPr>
            <w:r>
              <w:rPr>
                <w:rFonts w:ascii="Arial" w:hAnsi="Arial" w:cs="Arial"/>
                <w:bCs/>
                <w:sz w:val="20"/>
                <w:szCs w:val="20"/>
              </w:rPr>
              <w:t>65</w:t>
            </w:r>
          </w:p>
        </w:tc>
        <w:tc>
          <w:tcPr>
            <w:tcW w:w="2849" w:type="dxa"/>
            <w:tcBorders>
              <w:top w:val="single" w:sz="4" w:space="0" w:color="auto"/>
              <w:left w:val="single" w:sz="4" w:space="0" w:color="auto"/>
              <w:bottom w:val="single" w:sz="4" w:space="0" w:color="auto"/>
              <w:right w:val="single" w:sz="4" w:space="0" w:color="auto"/>
            </w:tcBorders>
            <w:hideMark/>
          </w:tcPr>
          <w:p w14:paraId="7D30EDD1" w14:textId="77777777" w:rsidR="008311D9" w:rsidRDefault="008311D9">
            <w:pPr>
              <w:rPr>
                <w:rFonts w:ascii="Arial" w:hAnsi="Arial" w:cs="Arial"/>
                <w:bCs/>
                <w:sz w:val="20"/>
                <w:szCs w:val="20"/>
              </w:rPr>
            </w:pPr>
            <w:r>
              <w:rPr>
                <w:rFonts w:ascii="Arial" w:hAnsi="Arial" w:cs="Arial"/>
                <w:bCs/>
                <w:sz w:val="20"/>
                <w:szCs w:val="20"/>
              </w:rPr>
              <w:t>PRIHODI OD UPRAVNIH I ADMIN.PRIST. PO POSEBNIM PROPISIMA I NAKNADA</w:t>
            </w:r>
          </w:p>
        </w:tc>
        <w:tc>
          <w:tcPr>
            <w:tcW w:w="1556" w:type="dxa"/>
            <w:tcBorders>
              <w:top w:val="single" w:sz="4" w:space="0" w:color="auto"/>
              <w:left w:val="single" w:sz="4" w:space="0" w:color="auto"/>
              <w:bottom w:val="single" w:sz="4" w:space="0" w:color="auto"/>
              <w:right w:val="single" w:sz="4" w:space="0" w:color="auto"/>
            </w:tcBorders>
            <w:vAlign w:val="center"/>
            <w:hideMark/>
          </w:tcPr>
          <w:p w14:paraId="59206462" w14:textId="77777777" w:rsidR="008311D9" w:rsidRDefault="008311D9">
            <w:pPr>
              <w:jc w:val="right"/>
              <w:rPr>
                <w:rFonts w:ascii="Arial" w:hAnsi="Arial" w:cs="Arial"/>
                <w:color w:val="000000"/>
                <w:sz w:val="20"/>
                <w:szCs w:val="20"/>
              </w:rPr>
            </w:pPr>
            <w:r>
              <w:rPr>
                <w:rFonts w:ascii="Arial" w:hAnsi="Arial" w:cs="Arial"/>
                <w:color w:val="000000"/>
                <w:sz w:val="20"/>
                <w:szCs w:val="20"/>
              </w:rPr>
              <w:t>592.000,00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4AB7EE60" w14:textId="77777777" w:rsidR="008311D9" w:rsidRDefault="008311D9">
            <w:pPr>
              <w:jc w:val="right"/>
              <w:rPr>
                <w:rFonts w:ascii="Arial" w:hAnsi="Arial" w:cs="Arial"/>
                <w:color w:val="000000"/>
                <w:sz w:val="20"/>
                <w:szCs w:val="20"/>
              </w:rPr>
            </w:pPr>
            <w:r>
              <w:rPr>
                <w:rFonts w:ascii="Arial" w:hAnsi="Arial" w:cs="Arial"/>
                <w:color w:val="000000"/>
                <w:sz w:val="20"/>
                <w:szCs w:val="20"/>
              </w:rPr>
              <w:t>35.000,00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0D40AC80" w14:textId="77777777" w:rsidR="008311D9" w:rsidRDefault="008311D9">
            <w:pPr>
              <w:jc w:val="right"/>
              <w:rPr>
                <w:rFonts w:ascii="Arial" w:hAnsi="Arial" w:cs="Arial"/>
                <w:color w:val="000000"/>
                <w:sz w:val="20"/>
                <w:szCs w:val="20"/>
              </w:rPr>
            </w:pPr>
            <w:r>
              <w:rPr>
                <w:rFonts w:ascii="Arial" w:hAnsi="Arial" w:cs="Arial"/>
                <w:color w:val="000000"/>
                <w:sz w:val="20"/>
                <w:szCs w:val="20"/>
              </w:rPr>
              <w:t>627.000,00</w:t>
            </w:r>
          </w:p>
        </w:tc>
        <w:tc>
          <w:tcPr>
            <w:tcW w:w="972" w:type="dxa"/>
            <w:tcBorders>
              <w:top w:val="single" w:sz="4" w:space="0" w:color="auto"/>
              <w:left w:val="single" w:sz="4" w:space="0" w:color="auto"/>
              <w:bottom w:val="single" w:sz="4" w:space="0" w:color="auto"/>
              <w:right w:val="single" w:sz="4" w:space="0" w:color="auto"/>
            </w:tcBorders>
            <w:vAlign w:val="center"/>
            <w:hideMark/>
          </w:tcPr>
          <w:p w14:paraId="052652E4"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5,91</w:t>
            </w:r>
          </w:p>
        </w:tc>
      </w:tr>
      <w:tr w:rsidR="008311D9" w14:paraId="66ABF492" w14:textId="77777777" w:rsidTr="008311D9">
        <w:tc>
          <w:tcPr>
            <w:tcW w:w="1006" w:type="dxa"/>
            <w:tcBorders>
              <w:top w:val="single" w:sz="4" w:space="0" w:color="auto"/>
              <w:left w:val="single" w:sz="4" w:space="0" w:color="auto"/>
              <w:bottom w:val="single" w:sz="4" w:space="0" w:color="auto"/>
              <w:right w:val="single" w:sz="4" w:space="0" w:color="auto"/>
            </w:tcBorders>
            <w:hideMark/>
          </w:tcPr>
          <w:p w14:paraId="7326B058" w14:textId="77777777" w:rsidR="008311D9" w:rsidRDefault="008311D9">
            <w:pPr>
              <w:rPr>
                <w:rFonts w:ascii="Arial" w:hAnsi="Arial" w:cs="Arial"/>
                <w:bCs/>
                <w:sz w:val="20"/>
                <w:szCs w:val="20"/>
              </w:rPr>
            </w:pPr>
            <w:r>
              <w:rPr>
                <w:rFonts w:ascii="Arial" w:hAnsi="Arial" w:cs="Arial"/>
                <w:bCs/>
                <w:sz w:val="20"/>
                <w:szCs w:val="20"/>
              </w:rPr>
              <w:t>66</w:t>
            </w:r>
          </w:p>
        </w:tc>
        <w:tc>
          <w:tcPr>
            <w:tcW w:w="2849" w:type="dxa"/>
            <w:tcBorders>
              <w:top w:val="single" w:sz="4" w:space="0" w:color="auto"/>
              <w:left w:val="single" w:sz="4" w:space="0" w:color="auto"/>
              <w:bottom w:val="single" w:sz="4" w:space="0" w:color="auto"/>
              <w:right w:val="single" w:sz="4" w:space="0" w:color="auto"/>
            </w:tcBorders>
            <w:hideMark/>
          </w:tcPr>
          <w:p w14:paraId="2E48037A" w14:textId="77777777" w:rsidR="008311D9" w:rsidRDefault="008311D9">
            <w:pPr>
              <w:rPr>
                <w:rFonts w:ascii="Arial" w:hAnsi="Arial" w:cs="Arial"/>
                <w:bCs/>
                <w:sz w:val="20"/>
                <w:szCs w:val="20"/>
              </w:rPr>
            </w:pPr>
            <w:r>
              <w:rPr>
                <w:rFonts w:ascii="Arial" w:hAnsi="Arial" w:cs="Arial"/>
                <w:bCs/>
                <w:sz w:val="20"/>
                <w:szCs w:val="20"/>
              </w:rPr>
              <w:t>PRIHODI OD PRODAJE PROIZVODA I ROBE TE PRUŽENIH USLUGA I PRIHODA OD DONACIJA</w:t>
            </w:r>
          </w:p>
        </w:tc>
        <w:tc>
          <w:tcPr>
            <w:tcW w:w="1556" w:type="dxa"/>
            <w:tcBorders>
              <w:top w:val="single" w:sz="4" w:space="0" w:color="auto"/>
              <w:left w:val="single" w:sz="4" w:space="0" w:color="auto"/>
              <w:bottom w:val="single" w:sz="4" w:space="0" w:color="auto"/>
              <w:right w:val="single" w:sz="4" w:space="0" w:color="auto"/>
            </w:tcBorders>
            <w:vAlign w:val="center"/>
            <w:hideMark/>
          </w:tcPr>
          <w:p w14:paraId="1BBA1B31" w14:textId="77777777" w:rsidR="008311D9" w:rsidRDefault="008311D9">
            <w:pPr>
              <w:jc w:val="right"/>
              <w:rPr>
                <w:rFonts w:ascii="Arial" w:hAnsi="Arial" w:cs="Arial"/>
                <w:color w:val="000000"/>
                <w:sz w:val="20"/>
                <w:szCs w:val="20"/>
              </w:rPr>
            </w:pPr>
            <w:r>
              <w:rPr>
                <w:rFonts w:ascii="Arial" w:hAnsi="Arial" w:cs="Arial"/>
                <w:color w:val="000000"/>
                <w:sz w:val="20"/>
                <w:szCs w:val="20"/>
              </w:rPr>
              <w:t>17.500,00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4DB1DF4C" w14:textId="77777777" w:rsidR="008311D9" w:rsidRDefault="008311D9">
            <w:pPr>
              <w:jc w:val="right"/>
              <w:rPr>
                <w:rFonts w:ascii="Arial" w:hAnsi="Arial" w:cs="Arial"/>
                <w:color w:val="000000"/>
                <w:sz w:val="20"/>
                <w:szCs w:val="20"/>
              </w:rPr>
            </w:pPr>
            <w:r>
              <w:rPr>
                <w:rFonts w:ascii="Arial" w:hAnsi="Arial" w:cs="Arial"/>
                <w:color w:val="000000"/>
                <w:sz w:val="20"/>
                <w:szCs w:val="20"/>
              </w:rPr>
              <w:t>1.500,00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3BD03ECD" w14:textId="77777777" w:rsidR="008311D9" w:rsidRDefault="008311D9">
            <w:pPr>
              <w:jc w:val="right"/>
              <w:rPr>
                <w:rFonts w:ascii="Arial" w:hAnsi="Arial" w:cs="Arial"/>
                <w:color w:val="000000"/>
                <w:sz w:val="20"/>
                <w:szCs w:val="20"/>
              </w:rPr>
            </w:pPr>
            <w:r>
              <w:rPr>
                <w:rFonts w:ascii="Arial" w:hAnsi="Arial" w:cs="Arial"/>
                <w:color w:val="000000"/>
                <w:sz w:val="20"/>
                <w:szCs w:val="20"/>
              </w:rPr>
              <w:t>19.000,00</w:t>
            </w:r>
          </w:p>
        </w:tc>
        <w:tc>
          <w:tcPr>
            <w:tcW w:w="972" w:type="dxa"/>
            <w:tcBorders>
              <w:top w:val="single" w:sz="4" w:space="0" w:color="auto"/>
              <w:left w:val="single" w:sz="4" w:space="0" w:color="auto"/>
              <w:bottom w:val="single" w:sz="4" w:space="0" w:color="auto"/>
              <w:right w:val="single" w:sz="4" w:space="0" w:color="auto"/>
            </w:tcBorders>
            <w:vAlign w:val="center"/>
            <w:hideMark/>
          </w:tcPr>
          <w:p w14:paraId="3F06104B"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8,57</w:t>
            </w:r>
          </w:p>
        </w:tc>
      </w:tr>
      <w:tr w:rsidR="008311D9" w14:paraId="310059BD" w14:textId="77777777" w:rsidTr="008311D9">
        <w:tc>
          <w:tcPr>
            <w:tcW w:w="1006" w:type="dxa"/>
            <w:tcBorders>
              <w:top w:val="single" w:sz="4" w:space="0" w:color="auto"/>
              <w:left w:val="single" w:sz="4" w:space="0" w:color="auto"/>
              <w:bottom w:val="single" w:sz="4" w:space="0" w:color="auto"/>
              <w:right w:val="single" w:sz="4" w:space="0" w:color="auto"/>
            </w:tcBorders>
            <w:hideMark/>
          </w:tcPr>
          <w:p w14:paraId="6DD27162" w14:textId="77777777" w:rsidR="008311D9" w:rsidRDefault="008311D9">
            <w:pPr>
              <w:rPr>
                <w:rFonts w:ascii="Arial" w:hAnsi="Arial" w:cs="Arial"/>
                <w:bCs/>
                <w:sz w:val="20"/>
                <w:szCs w:val="20"/>
              </w:rPr>
            </w:pPr>
            <w:r>
              <w:rPr>
                <w:rFonts w:ascii="Arial" w:hAnsi="Arial" w:cs="Arial"/>
                <w:bCs/>
                <w:sz w:val="20"/>
                <w:szCs w:val="20"/>
              </w:rPr>
              <w:t>67</w:t>
            </w:r>
          </w:p>
        </w:tc>
        <w:tc>
          <w:tcPr>
            <w:tcW w:w="2849" w:type="dxa"/>
            <w:tcBorders>
              <w:top w:val="single" w:sz="4" w:space="0" w:color="auto"/>
              <w:left w:val="single" w:sz="4" w:space="0" w:color="auto"/>
              <w:bottom w:val="single" w:sz="4" w:space="0" w:color="auto"/>
              <w:right w:val="single" w:sz="4" w:space="0" w:color="auto"/>
            </w:tcBorders>
            <w:hideMark/>
          </w:tcPr>
          <w:p w14:paraId="3D54AF78" w14:textId="77777777" w:rsidR="008311D9" w:rsidRDefault="008311D9">
            <w:pPr>
              <w:rPr>
                <w:rFonts w:ascii="Arial" w:hAnsi="Arial" w:cs="Arial"/>
                <w:bCs/>
                <w:sz w:val="20"/>
                <w:szCs w:val="20"/>
              </w:rPr>
            </w:pPr>
            <w:r>
              <w:rPr>
                <w:rFonts w:ascii="Arial" w:hAnsi="Arial" w:cs="Arial"/>
                <w:bCs/>
                <w:sz w:val="20"/>
                <w:szCs w:val="20"/>
              </w:rPr>
              <w:t xml:space="preserve">PRIHODI IZ NADLEŽNOG PRORAČUNA </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4DC539A" w14:textId="77777777" w:rsidR="008311D9" w:rsidRDefault="008311D9">
            <w:pPr>
              <w:jc w:val="right"/>
              <w:rPr>
                <w:rFonts w:ascii="Arial" w:hAnsi="Arial" w:cs="Arial"/>
                <w:color w:val="000000"/>
                <w:sz w:val="20"/>
                <w:szCs w:val="20"/>
              </w:rPr>
            </w:pPr>
            <w:r>
              <w:rPr>
                <w:rFonts w:ascii="Arial" w:hAnsi="Arial" w:cs="Arial"/>
                <w:color w:val="000000"/>
                <w:sz w:val="20"/>
                <w:szCs w:val="20"/>
              </w:rPr>
              <w:t>1.934.374,00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43801FF3" w14:textId="77777777" w:rsidR="008311D9" w:rsidRDefault="008311D9">
            <w:pPr>
              <w:jc w:val="right"/>
              <w:rPr>
                <w:rFonts w:ascii="Arial" w:hAnsi="Arial" w:cs="Arial"/>
                <w:color w:val="000000"/>
                <w:sz w:val="20"/>
                <w:szCs w:val="20"/>
              </w:rPr>
            </w:pPr>
            <w:r>
              <w:rPr>
                <w:rFonts w:ascii="Arial" w:hAnsi="Arial" w:cs="Arial"/>
                <w:color w:val="000000"/>
                <w:sz w:val="20"/>
                <w:szCs w:val="20"/>
              </w:rPr>
              <w:t>164.707,00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2556816C" w14:textId="77777777" w:rsidR="008311D9" w:rsidRDefault="008311D9">
            <w:pPr>
              <w:jc w:val="right"/>
              <w:rPr>
                <w:rFonts w:ascii="Arial" w:hAnsi="Arial" w:cs="Arial"/>
                <w:color w:val="000000"/>
                <w:sz w:val="20"/>
                <w:szCs w:val="20"/>
              </w:rPr>
            </w:pPr>
            <w:r>
              <w:rPr>
                <w:rFonts w:ascii="Arial" w:hAnsi="Arial" w:cs="Arial"/>
                <w:color w:val="000000"/>
                <w:sz w:val="20"/>
                <w:szCs w:val="20"/>
              </w:rPr>
              <w:t>2.099.081,00</w:t>
            </w:r>
          </w:p>
        </w:tc>
        <w:tc>
          <w:tcPr>
            <w:tcW w:w="972" w:type="dxa"/>
            <w:tcBorders>
              <w:top w:val="single" w:sz="4" w:space="0" w:color="auto"/>
              <w:left w:val="single" w:sz="4" w:space="0" w:color="auto"/>
              <w:bottom w:val="single" w:sz="4" w:space="0" w:color="auto"/>
              <w:right w:val="single" w:sz="4" w:space="0" w:color="auto"/>
            </w:tcBorders>
            <w:vAlign w:val="center"/>
            <w:hideMark/>
          </w:tcPr>
          <w:p w14:paraId="02AFE567"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8,51</w:t>
            </w:r>
          </w:p>
        </w:tc>
      </w:tr>
      <w:tr w:rsidR="008311D9" w14:paraId="339508DD" w14:textId="77777777" w:rsidTr="008311D9">
        <w:tc>
          <w:tcPr>
            <w:tcW w:w="1006" w:type="dxa"/>
            <w:tcBorders>
              <w:top w:val="single" w:sz="4" w:space="0" w:color="auto"/>
              <w:left w:val="single" w:sz="4" w:space="0" w:color="auto"/>
              <w:bottom w:val="single" w:sz="4" w:space="0" w:color="auto"/>
              <w:right w:val="single" w:sz="4" w:space="0" w:color="auto"/>
            </w:tcBorders>
            <w:hideMark/>
          </w:tcPr>
          <w:p w14:paraId="757F7FC6" w14:textId="77777777" w:rsidR="008311D9" w:rsidRDefault="008311D9">
            <w:pPr>
              <w:rPr>
                <w:rFonts w:ascii="Arial" w:hAnsi="Arial" w:cs="Arial"/>
                <w:b/>
                <w:bCs/>
                <w:sz w:val="20"/>
                <w:szCs w:val="20"/>
              </w:rPr>
            </w:pPr>
            <w:r>
              <w:rPr>
                <w:rFonts w:ascii="Arial" w:hAnsi="Arial" w:cs="Arial"/>
                <w:b/>
                <w:bCs/>
                <w:sz w:val="20"/>
                <w:szCs w:val="20"/>
              </w:rPr>
              <w:t>9</w:t>
            </w:r>
          </w:p>
        </w:tc>
        <w:tc>
          <w:tcPr>
            <w:tcW w:w="2849" w:type="dxa"/>
            <w:tcBorders>
              <w:top w:val="single" w:sz="4" w:space="0" w:color="auto"/>
              <w:left w:val="single" w:sz="4" w:space="0" w:color="auto"/>
              <w:bottom w:val="single" w:sz="4" w:space="0" w:color="auto"/>
              <w:right w:val="single" w:sz="4" w:space="0" w:color="auto"/>
            </w:tcBorders>
            <w:hideMark/>
          </w:tcPr>
          <w:p w14:paraId="3755D726" w14:textId="77777777" w:rsidR="008311D9" w:rsidRDefault="008311D9">
            <w:pPr>
              <w:rPr>
                <w:rFonts w:ascii="Arial" w:hAnsi="Arial" w:cs="Arial"/>
                <w:b/>
                <w:bCs/>
                <w:sz w:val="20"/>
                <w:szCs w:val="20"/>
              </w:rPr>
            </w:pPr>
            <w:r>
              <w:rPr>
                <w:rFonts w:ascii="Arial" w:hAnsi="Arial" w:cs="Arial"/>
                <w:b/>
                <w:bCs/>
                <w:sz w:val="20"/>
                <w:szCs w:val="20"/>
              </w:rPr>
              <w:t>VLASTITI IZVORI</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32BAF55"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1,500,00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6DF24A9C"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3.341,00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032530E5"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4.841,00</w:t>
            </w:r>
          </w:p>
        </w:tc>
        <w:tc>
          <w:tcPr>
            <w:tcW w:w="972" w:type="dxa"/>
            <w:tcBorders>
              <w:top w:val="single" w:sz="4" w:space="0" w:color="auto"/>
              <w:left w:val="single" w:sz="4" w:space="0" w:color="auto"/>
              <w:bottom w:val="single" w:sz="4" w:space="0" w:color="auto"/>
              <w:right w:val="single" w:sz="4" w:space="0" w:color="auto"/>
            </w:tcBorders>
            <w:vAlign w:val="center"/>
            <w:hideMark/>
          </w:tcPr>
          <w:p w14:paraId="44D17C29"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222,73</w:t>
            </w:r>
          </w:p>
        </w:tc>
      </w:tr>
      <w:tr w:rsidR="008311D9" w14:paraId="59757689" w14:textId="77777777" w:rsidTr="008311D9">
        <w:tc>
          <w:tcPr>
            <w:tcW w:w="1006" w:type="dxa"/>
            <w:tcBorders>
              <w:top w:val="single" w:sz="4" w:space="0" w:color="auto"/>
              <w:left w:val="single" w:sz="4" w:space="0" w:color="auto"/>
              <w:bottom w:val="single" w:sz="4" w:space="0" w:color="auto"/>
              <w:right w:val="single" w:sz="4" w:space="0" w:color="auto"/>
            </w:tcBorders>
            <w:hideMark/>
          </w:tcPr>
          <w:p w14:paraId="7781DA34" w14:textId="77777777" w:rsidR="008311D9" w:rsidRDefault="008311D9">
            <w:pPr>
              <w:rPr>
                <w:rFonts w:ascii="Arial" w:hAnsi="Arial" w:cs="Arial"/>
                <w:sz w:val="20"/>
                <w:szCs w:val="20"/>
              </w:rPr>
            </w:pPr>
            <w:r>
              <w:rPr>
                <w:rFonts w:ascii="Arial" w:hAnsi="Arial" w:cs="Arial"/>
                <w:sz w:val="20"/>
                <w:szCs w:val="20"/>
              </w:rPr>
              <w:t>92</w:t>
            </w:r>
          </w:p>
        </w:tc>
        <w:tc>
          <w:tcPr>
            <w:tcW w:w="2849" w:type="dxa"/>
            <w:tcBorders>
              <w:top w:val="single" w:sz="4" w:space="0" w:color="auto"/>
              <w:left w:val="single" w:sz="4" w:space="0" w:color="auto"/>
              <w:bottom w:val="single" w:sz="4" w:space="0" w:color="auto"/>
              <w:right w:val="single" w:sz="4" w:space="0" w:color="auto"/>
            </w:tcBorders>
            <w:hideMark/>
          </w:tcPr>
          <w:p w14:paraId="4B9CE783" w14:textId="77777777" w:rsidR="008311D9" w:rsidRDefault="008311D9">
            <w:pPr>
              <w:rPr>
                <w:rFonts w:ascii="Arial" w:hAnsi="Arial" w:cs="Arial"/>
                <w:sz w:val="20"/>
                <w:szCs w:val="20"/>
              </w:rPr>
            </w:pPr>
            <w:r>
              <w:rPr>
                <w:rFonts w:ascii="Arial" w:hAnsi="Arial" w:cs="Arial"/>
                <w:sz w:val="20"/>
                <w:szCs w:val="20"/>
              </w:rPr>
              <w:t>REZULTAT POSLOVANJA</w:t>
            </w:r>
          </w:p>
        </w:tc>
        <w:tc>
          <w:tcPr>
            <w:tcW w:w="1556" w:type="dxa"/>
            <w:tcBorders>
              <w:top w:val="single" w:sz="4" w:space="0" w:color="auto"/>
              <w:left w:val="single" w:sz="4" w:space="0" w:color="auto"/>
              <w:bottom w:val="single" w:sz="4" w:space="0" w:color="auto"/>
              <w:right w:val="single" w:sz="4" w:space="0" w:color="auto"/>
            </w:tcBorders>
            <w:vAlign w:val="center"/>
            <w:hideMark/>
          </w:tcPr>
          <w:p w14:paraId="5D6A78B6" w14:textId="77777777" w:rsidR="008311D9" w:rsidRDefault="008311D9">
            <w:pPr>
              <w:jc w:val="right"/>
              <w:rPr>
                <w:rFonts w:ascii="Arial" w:hAnsi="Arial" w:cs="Arial"/>
                <w:bCs/>
                <w:color w:val="000000"/>
                <w:sz w:val="20"/>
                <w:szCs w:val="20"/>
              </w:rPr>
            </w:pPr>
            <w:r>
              <w:rPr>
                <w:rFonts w:ascii="Arial" w:hAnsi="Arial" w:cs="Arial"/>
                <w:bCs/>
                <w:color w:val="000000"/>
                <w:sz w:val="20"/>
                <w:szCs w:val="20"/>
              </w:rPr>
              <w:t>1,500,00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58A5BC13" w14:textId="77777777" w:rsidR="008311D9" w:rsidRDefault="008311D9">
            <w:pPr>
              <w:jc w:val="right"/>
              <w:rPr>
                <w:rFonts w:ascii="Arial" w:hAnsi="Arial" w:cs="Arial"/>
                <w:bCs/>
                <w:color w:val="000000"/>
                <w:sz w:val="20"/>
                <w:szCs w:val="20"/>
              </w:rPr>
            </w:pPr>
            <w:r>
              <w:rPr>
                <w:rFonts w:ascii="Arial" w:hAnsi="Arial" w:cs="Arial"/>
                <w:bCs/>
                <w:color w:val="000000"/>
                <w:sz w:val="20"/>
                <w:szCs w:val="20"/>
              </w:rPr>
              <w:t>3.341,00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692D1C90" w14:textId="77777777" w:rsidR="008311D9" w:rsidRDefault="008311D9">
            <w:pPr>
              <w:jc w:val="right"/>
              <w:rPr>
                <w:rFonts w:ascii="Arial" w:hAnsi="Arial" w:cs="Arial"/>
                <w:bCs/>
                <w:color w:val="000000"/>
                <w:sz w:val="20"/>
                <w:szCs w:val="20"/>
              </w:rPr>
            </w:pPr>
            <w:r>
              <w:rPr>
                <w:rFonts w:ascii="Arial" w:hAnsi="Arial" w:cs="Arial"/>
                <w:bCs/>
                <w:color w:val="000000"/>
                <w:sz w:val="20"/>
                <w:szCs w:val="20"/>
              </w:rPr>
              <w:t>4.841,00</w:t>
            </w:r>
          </w:p>
        </w:tc>
        <w:tc>
          <w:tcPr>
            <w:tcW w:w="972" w:type="dxa"/>
            <w:tcBorders>
              <w:top w:val="single" w:sz="4" w:space="0" w:color="auto"/>
              <w:left w:val="single" w:sz="4" w:space="0" w:color="auto"/>
              <w:bottom w:val="single" w:sz="4" w:space="0" w:color="auto"/>
              <w:right w:val="single" w:sz="4" w:space="0" w:color="auto"/>
            </w:tcBorders>
            <w:vAlign w:val="center"/>
            <w:hideMark/>
          </w:tcPr>
          <w:p w14:paraId="02AD9D3A" w14:textId="77777777" w:rsidR="008311D9" w:rsidRDefault="008311D9">
            <w:pPr>
              <w:jc w:val="right"/>
              <w:rPr>
                <w:rFonts w:ascii="Arial" w:hAnsi="Arial" w:cs="Arial"/>
                <w:bCs/>
                <w:color w:val="000000"/>
                <w:sz w:val="20"/>
                <w:szCs w:val="20"/>
              </w:rPr>
            </w:pPr>
            <w:r>
              <w:rPr>
                <w:rFonts w:ascii="Arial" w:hAnsi="Arial" w:cs="Arial"/>
                <w:bCs/>
                <w:color w:val="000000"/>
                <w:sz w:val="20"/>
                <w:szCs w:val="20"/>
              </w:rPr>
              <w:t>222,73</w:t>
            </w:r>
          </w:p>
        </w:tc>
      </w:tr>
      <w:tr w:rsidR="008311D9" w14:paraId="24A7F925" w14:textId="77777777" w:rsidTr="008311D9">
        <w:tc>
          <w:tcPr>
            <w:tcW w:w="1006" w:type="dxa"/>
            <w:tcBorders>
              <w:top w:val="single" w:sz="4" w:space="0" w:color="auto"/>
              <w:left w:val="single" w:sz="4" w:space="0" w:color="auto"/>
              <w:bottom w:val="single" w:sz="4" w:space="0" w:color="auto"/>
              <w:right w:val="single" w:sz="4" w:space="0" w:color="auto"/>
            </w:tcBorders>
          </w:tcPr>
          <w:p w14:paraId="0A515605" w14:textId="77777777" w:rsidR="008311D9" w:rsidRDefault="008311D9">
            <w:pPr>
              <w:rPr>
                <w:rFonts w:ascii="Arial" w:hAnsi="Arial" w:cs="Arial"/>
                <w:sz w:val="20"/>
                <w:szCs w:val="20"/>
              </w:rPr>
            </w:pPr>
          </w:p>
        </w:tc>
        <w:tc>
          <w:tcPr>
            <w:tcW w:w="2849" w:type="dxa"/>
            <w:tcBorders>
              <w:top w:val="single" w:sz="4" w:space="0" w:color="auto"/>
              <w:left w:val="single" w:sz="4" w:space="0" w:color="auto"/>
              <w:bottom w:val="single" w:sz="4" w:space="0" w:color="auto"/>
              <w:right w:val="single" w:sz="4" w:space="0" w:color="auto"/>
            </w:tcBorders>
            <w:hideMark/>
          </w:tcPr>
          <w:p w14:paraId="6D5DA5AD" w14:textId="77777777" w:rsidR="008311D9" w:rsidRDefault="008311D9">
            <w:pPr>
              <w:rPr>
                <w:rFonts w:ascii="Arial" w:hAnsi="Arial" w:cs="Arial"/>
                <w:b/>
                <w:sz w:val="20"/>
                <w:szCs w:val="20"/>
              </w:rPr>
            </w:pPr>
            <w:r>
              <w:rPr>
                <w:rFonts w:ascii="Arial" w:hAnsi="Arial" w:cs="Arial"/>
                <w:b/>
                <w:sz w:val="20"/>
                <w:szCs w:val="20"/>
              </w:rPr>
              <w:t>SVEUKUPNI PRIHODI I REZULTAT POSLOVANJA</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CA9CFF7"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3.593.217,00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599C02C8"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189.435,00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51239A82"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3.782.652,00</w:t>
            </w:r>
          </w:p>
        </w:tc>
        <w:tc>
          <w:tcPr>
            <w:tcW w:w="972" w:type="dxa"/>
            <w:tcBorders>
              <w:top w:val="single" w:sz="4" w:space="0" w:color="auto"/>
              <w:left w:val="single" w:sz="4" w:space="0" w:color="auto"/>
              <w:bottom w:val="single" w:sz="4" w:space="0" w:color="auto"/>
              <w:right w:val="single" w:sz="4" w:space="0" w:color="auto"/>
            </w:tcBorders>
            <w:vAlign w:val="center"/>
            <w:hideMark/>
          </w:tcPr>
          <w:p w14:paraId="5DEB3DA0"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5,27</w:t>
            </w:r>
          </w:p>
        </w:tc>
      </w:tr>
      <w:tr w:rsidR="008311D9" w14:paraId="4928B397" w14:textId="77777777" w:rsidTr="008311D9">
        <w:tc>
          <w:tcPr>
            <w:tcW w:w="1006" w:type="dxa"/>
            <w:tcBorders>
              <w:top w:val="single" w:sz="4" w:space="0" w:color="auto"/>
              <w:left w:val="single" w:sz="4" w:space="0" w:color="auto"/>
              <w:bottom w:val="single" w:sz="4" w:space="0" w:color="auto"/>
              <w:right w:val="single" w:sz="4" w:space="0" w:color="auto"/>
            </w:tcBorders>
            <w:hideMark/>
          </w:tcPr>
          <w:p w14:paraId="5B0DC7FF" w14:textId="77777777" w:rsidR="008311D9" w:rsidRDefault="008311D9">
            <w:pPr>
              <w:rPr>
                <w:rFonts w:ascii="Arial" w:hAnsi="Arial" w:cs="Arial"/>
                <w:b/>
                <w:sz w:val="20"/>
                <w:szCs w:val="20"/>
              </w:rPr>
            </w:pPr>
            <w:r>
              <w:rPr>
                <w:rFonts w:ascii="Arial" w:hAnsi="Arial" w:cs="Arial"/>
                <w:b/>
                <w:sz w:val="20"/>
                <w:szCs w:val="20"/>
              </w:rPr>
              <w:t>3</w:t>
            </w:r>
          </w:p>
        </w:tc>
        <w:tc>
          <w:tcPr>
            <w:tcW w:w="2849" w:type="dxa"/>
            <w:tcBorders>
              <w:top w:val="single" w:sz="4" w:space="0" w:color="auto"/>
              <w:left w:val="single" w:sz="4" w:space="0" w:color="auto"/>
              <w:bottom w:val="single" w:sz="4" w:space="0" w:color="auto"/>
              <w:right w:val="single" w:sz="4" w:space="0" w:color="auto"/>
            </w:tcBorders>
            <w:hideMark/>
          </w:tcPr>
          <w:p w14:paraId="3ABE6D62" w14:textId="77777777" w:rsidR="008311D9" w:rsidRDefault="008311D9">
            <w:pPr>
              <w:rPr>
                <w:rFonts w:ascii="Arial" w:hAnsi="Arial" w:cs="Arial"/>
                <w:b/>
                <w:sz w:val="20"/>
                <w:szCs w:val="20"/>
              </w:rPr>
            </w:pPr>
            <w:r>
              <w:rPr>
                <w:rFonts w:ascii="Arial" w:hAnsi="Arial" w:cs="Arial"/>
                <w:b/>
                <w:sz w:val="20"/>
                <w:szCs w:val="20"/>
              </w:rPr>
              <w:t>RASHODI POSLOVANJA</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6772A16"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3.558.671,00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14964D89"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147.775,00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65293571"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3.706.446,00</w:t>
            </w:r>
          </w:p>
        </w:tc>
        <w:tc>
          <w:tcPr>
            <w:tcW w:w="972" w:type="dxa"/>
            <w:tcBorders>
              <w:top w:val="single" w:sz="4" w:space="0" w:color="auto"/>
              <w:left w:val="single" w:sz="4" w:space="0" w:color="auto"/>
              <w:bottom w:val="single" w:sz="4" w:space="0" w:color="auto"/>
              <w:right w:val="single" w:sz="4" w:space="0" w:color="auto"/>
            </w:tcBorders>
            <w:vAlign w:val="center"/>
            <w:hideMark/>
          </w:tcPr>
          <w:p w14:paraId="78F4247C"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4,15</w:t>
            </w:r>
          </w:p>
        </w:tc>
      </w:tr>
      <w:tr w:rsidR="008311D9" w14:paraId="3808C733" w14:textId="77777777" w:rsidTr="008311D9">
        <w:tc>
          <w:tcPr>
            <w:tcW w:w="1006" w:type="dxa"/>
            <w:tcBorders>
              <w:top w:val="single" w:sz="4" w:space="0" w:color="auto"/>
              <w:left w:val="single" w:sz="4" w:space="0" w:color="auto"/>
              <w:bottom w:val="single" w:sz="4" w:space="0" w:color="auto"/>
              <w:right w:val="single" w:sz="4" w:space="0" w:color="auto"/>
            </w:tcBorders>
            <w:hideMark/>
          </w:tcPr>
          <w:p w14:paraId="397E7C27" w14:textId="77777777" w:rsidR="008311D9" w:rsidRDefault="008311D9">
            <w:pPr>
              <w:rPr>
                <w:rFonts w:ascii="Arial" w:hAnsi="Arial" w:cs="Arial"/>
                <w:bCs/>
                <w:sz w:val="20"/>
                <w:szCs w:val="20"/>
              </w:rPr>
            </w:pPr>
            <w:r>
              <w:rPr>
                <w:rFonts w:ascii="Arial" w:hAnsi="Arial" w:cs="Arial"/>
                <w:bCs/>
                <w:sz w:val="20"/>
                <w:szCs w:val="20"/>
              </w:rPr>
              <w:t>31</w:t>
            </w:r>
          </w:p>
        </w:tc>
        <w:tc>
          <w:tcPr>
            <w:tcW w:w="2849" w:type="dxa"/>
            <w:tcBorders>
              <w:top w:val="single" w:sz="4" w:space="0" w:color="auto"/>
              <w:left w:val="single" w:sz="4" w:space="0" w:color="auto"/>
              <w:bottom w:val="single" w:sz="4" w:space="0" w:color="auto"/>
              <w:right w:val="single" w:sz="4" w:space="0" w:color="auto"/>
            </w:tcBorders>
            <w:hideMark/>
          </w:tcPr>
          <w:p w14:paraId="446DA4E8" w14:textId="77777777" w:rsidR="008311D9" w:rsidRDefault="008311D9">
            <w:pPr>
              <w:rPr>
                <w:rFonts w:ascii="Arial" w:hAnsi="Arial" w:cs="Arial"/>
                <w:bCs/>
                <w:sz w:val="20"/>
                <w:szCs w:val="20"/>
              </w:rPr>
            </w:pPr>
            <w:r>
              <w:rPr>
                <w:rFonts w:ascii="Arial" w:hAnsi="Arial" w:cs="Arial"/>
                <w:bCs/>
                <w:sz w:val="20"/>
                <w:szCs w:val="20"/>
              </w:rPr>
              <w:t>RASHODI ZA ZAPOSLENE</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D5C2FB9" w14:textId="77777777" w:rsidR="008311D9" w:rsidRDefault="008311D9">
            <w:pPr>
              <w:jc w:val="right"/>
              <w:rPr>
                <w:rFonts w:ascii="Arial" w:hAnsi="Arial" w:cs="Arial"/>
                <w:color w:val="000000"/>
                <w:sz w:val="20"/>
                <w:szCs w:val="20"/>
              </w:rPr>
            </w:pPr>
            <w:r>
              <w:rPr>
                <w:rFonts w:ascii="Arial" w:hAnsi="Arial" w:cs="Arial"/>
                <w:color w:val="000000"/>
                <w:sz w:val="20"/>
                <w:szCs w:val="20"/>
              </w:rPr>
              <w:t>2.922.553,00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149FA513" w14:textId="77777777" w:rsidR="008311D9" w:rsidRDefault="008311D9">
            <w:pPr>
              <w:jc w:val="right"/>
              <w:rPr>
                <w:rFonts w:ascii="Arial" w:hAnsi="Arial" w:cs="Arial"/>
                <w:color w:val="000000"/>
                <w:sz w:val="20"/>
                <w:szCs w:val="20"/>
              </w:rPr>
            </w:pPr>
            <w:r>
              <w:rPr>
                <w:rFonts w:ascii="Arial" w:hAnsi="Arial" w:cs="Arial"/>
                <w:color w:val="000000"/>
                <w:sz w:val="20"/>
                <w:szCs w:val="20"/>
              </w:rPr>
              <w:t>135.125,00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4B8C8DB6"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3.057.678,00</w:t>
            </w:r>
          </w:p>
        </w:tc>
        <w:tc>
          <w:tcPr>
            <w:tcW w:w="972" w:type="dxa"/>
            <w:tcBorders>
              <w:top w:val="single" w:sz="4" w:space="0" w:color="auto"/>
              <w:left w:val="single" w:sz="4" w:space="0" w:color="auto"/>
              <w:bottom w:val="single" w:sz="4" w:space="0" w:color="auto"/>
              <w:right w:val="single" w:sz="4" w:space="0" w:color="auto"/>
            </w:tcBorders>
            <w:vAlign w:val="center"/>
            <w:hideMark/>
          </w:tcPr>
          <w:p w14:paraId="6A2567B7"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4,62</w:t>
            </w:r>
          </w:p>
        </w:tc>
      </w:tr>
      <w:tr w:rsidR="008311D9" w14:paraId="78898E70" w14:textId="77777777" w:rsidTr="008311D9">
        <w:tc>
          <w:tcPr>
            <w:tcW w:w="1006" w:type="dxa"/>
            <w:tcBorders>
              <w:top w:val="single" w:sz="4" w:space="0" w:color="auto"/>
              <w:left w:val="single" w:sz="4" w:space="0" w:color="auto"/>
              <w:bottom w:val="single" w:sz="4" w:space="0" w:color="auto"/>
              <w:right w:val="single" w:sz="4" w:space="0" w:color="auto"/>
            </w:tcBorders>
            <w:hideMark/>
          </w:tcPr>
          <w:p w14:paraId="43CEC2B3" w14:textId="77777777" w:rsidR="008311D9" w:rsidRDefault="008311D9">
            <w:pPr>
              <w:rPr>
                <w:rFonts w:ascii="Arial" w:hAnsi="Arial" w:cs="Arial"/>
                <w:bCs/>
                <w:sz w:val="20"/>
                <w:szCs w:val="20"/>
              </w:rPr>
            </w:pPr>
            <w:r>
              <w:rPr>
                <w:rFonts w:ascii="Arial" w:hAnsi="Arial" w:cs="Arial"/>
                <w:bCs/>
                <w:sz w:val="20"/>
                <w:szCs w:val="20"/>
              </w:rPr>
              <w:t>32</w:t>
            </w:r>
          </w:p>
        </w:tc>
        <w:tc>
          <w:tcPr>
            <w:tcW w:w="2849" w:type="dxa"/>
            <w:tcBorders>
              <w:top w:val="single" w:sz="4" w:space="0" w:color="auto"/>
              <w:left w:val="single" w:sz="4" w:space="0" w:color="auto"/>
              <w:bottom w:val="single" w:sz="4" w:space="0" w:color="auto"/>
              <w:right w:val="single" w:sz="4" w:space="0" w:color="auto"/>
            </w:tcBorders>
            <w:hideMark/>
          </w:tcPr>
          <w:p w14:paraId="6E101854" w14:textId="77777777" w:rsidR="008311D9" w:rsidRDefault="008311D9">
            <w:pPr>
              <w:rPr>
                <w:rFonts w:ascii="Arial" w:hAnsi="Arial" w:cs="Arial"/>
                <w:bCs/>
                <w:sz w:val="20"/>
                <w:szCs w:val="20"/>
              </w:rPr>
            </w:pPr>
            <w:r>
              <w:rPr>
                <w:rFonts w:ascii="Arial" w:hAnsi="Arial" w:cs="Arial"/>
                <w:bCs/>
                <w:sz w:val="20"/>
                <w:szCs w:val="20"/>
              </w:rPr>
              <w:t>MATERIJALNI RASHODI</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A823D68" w14:textId="77777777" w:rsidR="008311D9" w:rsidRDefault="008311D9">
            <w:pPr>
              <w:jc w:val="right"/>
              <w:rPr>
                <w:rFonts w:ascii="Arial" w:hAnsi="Arial" w:cs="Arial"/>
                <w:color w:val="000000"/>
                <w:sz w:val="20"/>
                <w:szCs w:val="20"/>
              </w:rPr>
            </w:pPr>
            <w:r>
              <w:rPr>
                <w:rFonts w:ascii="Arial" w:hAnsi="Arial" w:cs="Arial"/>
                <w:color w:val="000000"/>
                <w:sz w:val="20"/>
                <w:szCs w:val="20"/>
              </w:rPr>
              <w:t>633.828,00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17AB863" w14:textId="77777777" w:rsidR="008311D9" w:rsidRDefault="008311D9">
            <w:pPr>
              <w:jc w:val="right"/>
              <w:rPr>
                <w:rFonts w:ascii="Arial" w:hAnsi="Arial" w:cs="Arial"/>
                <w:color w:val="000000"/>
                <w:sz w:val="20"/>
                <w:szCs w:val="20"/>
              </w:rPr>
            </w:pPr>
            <w:r>
              <w:rPr>
                <w:rFonts w:ascii="Arial" w:hAnsi="Arial" w:cs="Arial"/>
                <w:color w:val="000000"/>
                <w:sz w:val="20"/>
                <w:szCs w:val="20"/>
              </w:rPr>
              <w:t>12,650,00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0C00A6AE"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646.478,00</w:t>
            </w:r>
          </w:p>
        </w:tc>
        <w:tc>
          <w:tcPr>
            <w:tcW w:w="972" w:type="dxa"/>
            <w:tcBorders>
              <w:top w:val="single" w:sz="4" w:space="0" w:color="auto"/>
              <w:left w:val="single" w:sz="4" w:space="0" w:color="auto"/>
              <w:bottom w:val="single" w:sz="4" w:space="0" w:color="auto"/>
              <w:right w:val="single" w:sz="4" w:space="0" w:color="auto"/>
            </w:tcBorders>
            <w:vAlign w:val="center"/>
            <w:hideMark/>
          </w:tcPr>
          <w:p w14:paraId="1007064E"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2,00</w:t>
            </w:r>
          </w:p>
        </w:tc>
      </w:tr>
      <w:tr w:rsidR="008311D9" w14:paraId="30844C15" w14:textId="77777777" w:rsidTr="008311D9">
        <w:tc>
          <w:tcPr>
            <w:tcW w:w="1006" w:type="dxa"/>
            <w:tcBorders>
              <w:top w:val="single" w:sz="4" w:space="0" w:color="auto"/>
              <w:left w:val="single" w:sz="4" w:space="0" w:color="auto"/>
              <w:bottom w:val="single" w:sz="4" w:space="0" w:color="auto"/>
              <w:right w:val="single" w:sz="4" w:space="0" w:color="auto"/>
            </w:tcBorders>
            <w:hideMark/>
          </w:tcPr>
          <w:p w14:paraId="502A500E" w14:textId="77777777" w:rsidR="008311D9" w:rsidRDefault="008311D9">
            <w:pPr>
              <w:rPr>
                <w:rFonts w:ascii="Arial" w:hAnsi="Arial" w:cs="Arial"/>
                <w:bCs/>
                <w:sz w:val="20"/>
                <w:szCs w:val="20"/>
              </w:rPr>
            </w:pPr>
            <w:r>
              <w:rPr>
                <w:rFonts w:ascii="Arial" w:hAnsi="Arial" w:cs="Arial"/>
                <w:bCs/>
                <w:sz w:val="20"/>
                <w:szCs w:val="20"/>
              </w:rPr>
              <w:t>34</w:t>
            </w:r>
          </w:p>
        </w:tc>
        <w:tc>
          <w:tcPr>
            <w:tcW w:w="2849" w:type="dxa"/>
            <w:tcBorders>
              <w:top w:val="single" w:sz="4" w:space="0" w:color="auto"/>
              <w:left w:val="single" w:sz="4" w:space="0" w:color="auto"/>
              <w:bottom w:val="single" w:sz="4" w:space="0" w:color="auto"/>
              <w:right w:val="single" w:sz="4" w:space="0" w:color="auto"/>
            </w:tcBorders>
            <w:hideMark/>
          </w:tcPr>
          <w:p w14:paraId="024DFC2F" w14:textId="77777777" w:rsidR="008311D9" w:rsidRDefault="008311D9">
            <w:pPr>
              <w:rPr>
                <w:rFonts w:ascii="Arial" w:hAnsi="Arial" w:cs="Arial"/>
                <w:bCs/>
                <w:sz w:val="20"/>
                <w:szCs w:val="20"/>
              </w:rPr>
            </w:pPr>
            <w:r>
              <w:rPr>
                <w:rFonts w:ascii="Arial" w:hAnsi="Arial" w:cs="Arial"/>
                <w:bCs/>
                <w:sz w:val="20"/>
                <w:szCs w:val="20"/>
              </w:rPr>
              <w:t>FINANCIJSKI RASHODI</w:t>
            </w:r>
          </w:p>
        </w:tc>
        <w:tc>
          <w:tcPr>
            <w:tcW w:w="1556" w:type="dxa"/>
            <w:tcBorders>
              <w:top w:val="single" w:sz="4" w:space="0" w:color="auto"/>
              <w:left w:val="single" w:sz="4" w:space="0" w:color="auto"/>
              <w:bottom w:val="single" w:sz="4" w:space="0" w:color="auto"/>
              <w:right w:val="single" w:sz="4" w:space="0" w:color="auto"/>
            </w:tcBorders>
            <w:vAlign w:val="center"/>
            <w:hideMark/>
          </w:tcPr>
          <w:p w14:paraId="04D05B6A" w14:textId="77777777" w:rsidR="008311D9" w:rsidRDefault="008311D9">
            <w:pPr>
              <w:jc w:val="right"/>
              <w:rPr>
                <w:rFonts w:ascii="Arial" w:hAnsi="Arial" w:cs="Arial"/>
                <w:color w:val="000000"/>
                <w:sz w:val="20"/>
                <w:szCs w:val="20"/>
              </w:rPr>
            </w:pPr>
            <w:r>
              <w:rPr>
                <w:rFonts w:ascii="Arial" w:hAnsi="Arial" w:cs="Arial"/>
                <w:color w:val="000000"/>
                <w:sz w:val="20"/>
                <w:szCs w:val="20"/>
              </w:rPr>
              <w:t>2.290,00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484F97CC" w14:textId="77777777" w:rsidR="008311D9" w:rsidRDefault="008311D9">
            <w:pPr>
              <w:jc w:val="right"/>
              <w:rPr>
                <w:rFonts w:ascii="Arial" w:hAnsi="Arial" w:cs="Arial"/>
                <w:color w:val="000000"/>
                <w:sz w:val="20"/>
                <w:szCs w:val="20"/>
              </w:rPr>
            </w:pPr>
            <w:r>
              <w:rPr>
                <w:rFonts w:ascii="Arial" w:hAnsi="Arial" w:cs="Arial"/>
                <w:color w:val="000000"/>
                <w:sz w:val="20"/>
                <w:szCs w:val="20"/>
              </w:rPr>
              <w:t>0,00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307F56FA"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2.290,00</w:t>
            </w:r>
          </w:p>
        </w:tc>
        <w:tc>
          <w:tcPr>
            <w:tcW w:w="972" w:type="dxa"/>
            <w:tcBorders>
              <w:top w:val="single" w:sz="4" w:space="0" w:color="auto"/>
              <w:left w:val="single" w:sz="4" w:space="0" w:color="auto"/>
              <w:bottom w:val="single" w:sz="4" w:space="0" w:color="auto"/>
              <w:right w:val="single" w:sz="4" w:space="0" w:color="auto"/>
            </w:tcBorders>
            <w:vAlign w:val="center"/>
            <w:hideMark/>
          </w:tcPr>
          <w:p w14:paraId="20387244"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0,00</w:t>
            </w:r>
          </w:p>
        </w:tc>
      </w:tr>
      <w:tr w:rsidR="008311D9" w14:paraId="68399F12" w14:textId="77777777" w:rsidTr="008311D9">
        <w:tc>
          <w:tcPr>
            <w:tcW w:w="1006" w:type="dxa"/>
            <w:tcBorders>
              <w:top w:val="single" w:sz="4" w:space="0" w:color="auto"/>
              <w:left w:val="single" w:sz="4" w:space="0" w:color="auto"/>
              <w:bottom w:val="single" w:sz="4" w:space="0" w:color="auto"/>
              <w:right w:val="single" w:sz="4" w:space="0" w:color="auto"/>
            </w:tcBorders>
            <w:hideMark/>
          </w:tcPr>
          <w:p w14:paraId="5E679001" w14:textId="77777777" w:rsidR="008311D9" w:rsidRDefault="008311D9">
            <w:pPr>
              <w:rPr>
                <w:rFonts w:ascii="Arial" w:hAnsi="Arial" w:cs="Arial"/>
                <w:b/>
                <w:sz w:val="20"/>
                <w:szCs w:val="20"/>
              </w:rPr>
            </w:pPr>
            <w:r>
              <w:rPr>
                <w:rFonts w:ascii="Arial" w:hAnsi="Arial" w:cs="Arial"/>
                <w:b/>
                <w:sz w:val="20"/>
                <w:szCs w:val="20"/>
              </w:rPr>
              <w:t>4</w:t>
            </w:r>
          </w:p>
        </w:tc>
        <w:tc>
          <w:tcPr>
            <w:tcW w:w="2849" w:type="dxa"/>
            <w:tcBorders>
              <w:top w:val="single" w:sz="4" w:space="0" w:color="auto"/>
              <w:left w:val="single" w:sz="4" w:space="0" w:color="auto"/>
              <w:bottom w:val="single" w:sz="4" w:space="0" w:color="auto"/>
              <w:right w:val="single" w:sz="4" w:space="0" w:color="auto"/>
            </w:tcBorders>
            <w:hideMark/>
          </w:tcPr>
          <w:p w14:paraId="460C500D" w14:textId="77777777" w:rsidR="008311D9" w:rsidRDefault="008311D9">
            <w:pPr>
              <w:rPr>
                <w:rFonts w:ascii="Arial" w:hAnsi="Arial" w:cs="Arial"/>
                <w:b/>
                <w:sz w:val="20"/>
                <w:szCs w:val="20"/>
              </w:rPr>
            </w:pPr>
            <w:r>
              <w:rPr>
                <w:rFonts w:ascii="Arial" w:hAnsi="Arial" w:cs="Arial"/>
                <w:b/>
                <w:sz w:val="20"/>
                <w:szCs w:val="20"/>
              </w:rPr>
              <w:t>RASHODI ZA NABAVU NEFINANCIJSKE IMOVINE</w:t>
            </w:r>
          </w:p>
        </w:tc>
        <w:tc>
          <w:tcPr>
            <w:tcW w:w="1556" w:type="dxa"/>
            <w:tcBorders>
              <w:top w:val="single" w:sz="4" w:space="0" w:color="auto"/>
              <w:left w:val="single" w:sz="4" w:space="0" w:color="auto"/>
              <w:bottom w:val="single" w:sz="4" w:space="0" w:color="auto"/>
              <w:right w:val="single" w:sz="4" w:space="0" w:color="auto"/>
            </w:tcBorders>
            <w:vAlign w:val="center"/>
            <w:hideMark/>
          </w:tcPr>
          <w:p w14:paraId="6167ECD2"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8.000,00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6AF515EB"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2.530,00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5756CC36"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10.530,00</w:t>
            </w:r>
          </w:p>
        </w:tc>
        <w:tc>
          <w:tcPr>
            <w:tcW w:w="972" w:type="dxa"/>
            <w:tcBorders>
              <w:top w:val="single" w:sz="4" w:space="0" w:color="auto"/>
              <w:left w:val="single" w:sz="4" w:space="0" w:color="auto"/>
              <w:bottom w:val="single" w:sz="4" w:space="0" w:color="auto"/>
              <w:right w:val="single" w:sz="4" w:space="0" w:color="auto"/>
            </w:tcBorders>
            <w:vAlign w:val="center"/>
            <w:hideMark/>
          </w:tcPr>
          <w:p w14:paraId="37E50690"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31,63</w:t>
            </w:r>
          </w:p>
        </w:tc>
      </w:tr>
      <w:tr w:rsidR="008311D9" w14:paraId="6FBD5D9A" w14:textId="77777777" w:rsidTr="008311D9">
        <w:tc>
          <w:tcPr>
            <w:tcW w:w="1006" w:type="dxa"/>
            <w:tcBorders>
              <w:top w:val="single" w:sz="4" w:space="0" w:color="auto"/>
              <w:left w:val="single" w:sz="4" w:space="0" w:color="auto"/>
              <w:bottom w:val="single" w:sz="4" w:space="0" w:color="auto"/>
              <w:right w:val="single" w:sz="4" w:space="0" w:color="auto"/>
            </w:tcBorders>
            <w:hideMark/>
          </w:tcPr>
          <w:p w14:paraId="059870CD" w14:textId="77777777" w:rsidR="008311D9" w:rsidRDefault="008311D9">
            <w:pPr>
              <w:rPr>
                <w:rFonts w:ascii="Arial" w:hAnsi="Arial" w:cs="Arial"/>
                <w:bCs/>
                <w:sz w:val="20"/>
                <w:szCs w:val="20"/>
              </w:rPr>
            </w:pPr>
            <w:r>
              <w:rPr>
                <w:rFonts w:ascii="Arial" w:hAnsi="Arial" w:cs="Arial"/>
                <w:bCs/>
                <w:sz w:val="20"/>
                <w:szCs w:val="20"/>
              </w:rPr>
              <w:t>42</w:t>
            </w:r>
          </w:p>
        </w:tc>
        <w:tc>
          <w:tcPr>
            <w:tcW w:w="2849" w:type="dxa"/>
            <w:tcBorders>
              <w:top w:val="single" w:sz="4" w:space="0" w:color="auto"/>
              <w:left w:val="single" w:sz="4" w:space="0" w:color="auto"/>
              <w:bottom w:val="single" w:sz="4" w:space="0" w:color="auto"/>
              <w:right w:val="single" w:sz="4" w:space="0" w:color="auto"/>
            </w:tcBorders>
            <w:hideMark/>
          </w:tcPr>
          <w:p w14:paraId="442C143B" w14:textId="77777777" w:rsidR="008311D9" w:rsidRDefault="008311D9">
            <w:pPr>
              <w:rPr>
                <w:rFonts w:ascii="Arial" w:hAnsi="Arial" w:cs="Arial"/>
                <w:bCs/>
                <w:sz w:val="20"/>
                <w:szCs w:val="20"/>
              </w:rPr>
            </w:pPr>
            <w:r>
              <w:rPr>
                <w:rFonts w:ascii="Arial" w:hAnsi="Arial" w:cs="Arial"/>
                <w:bCs/>
                <w:sz w:val="20"/>
                <w:szCs w:val="20"/>
              </w:rPr>
              <w:t>RASHODI ZA NABAVU PROIZVEDENE DUGOTRAJNE IMOVINE</w:t>
            </w:r>
          </w:p>
        </w:tc>
        <w:tc>
          <w:tcPr>
            <w:tcW w:w="1556" w:type="dxa"/>
            <w:tcBorders>
              <w:top w:val="single" w:sz="4" w:space="0" w:color="auto"/>
              <w:left w:val="single" w:sz="4" w:space="0" w:color="auto"/>
              <w:bottom w:val="single" w:sz="4" w:space="0" w:color="auto"/>
              <w:right w:val="single" w:sz="4" w:space="0" w:color="auto"/>
            </w:tcBorders>
            <w:vAlign w:val="center"/>
            <w:hideMark/>
          </w:tcPr>
          <w:p w14:paraId="6A10F844" w14:textId="77777777" w:rsidR="008311D9" w:rsidRDefault="008311D9">
            <w:pPr>
              <w:jc w:val="right"/>
              <w:rPr>
                <w:rFonts w:ascii="Arial" w:hAnsi="Arial" w:cs="Arial"/>
                <w:bCs/>
                <w:color w:val="000000"/>
                <w:sz w:val="20"/>
                <w:szCs w:val="20"/>
              </w:rPr>
            </w:pPr>
            <w:r>
              <w:rPr>
                <w:rFonts w:ascii="Arial" w:hAnsi="Arial" w:cs="Arial"/>
                <w:bCs/>
                <w:color w:val="000000"/>
                <w:sz w:val="20"/>
                <w:szCs w:val="20"/>
              </w:rPr>
              <w:t>8.000,00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28114AEE" w14:textId="77777777" w:rsidR="008311D9" w:rsidRDefault="008311D9">
            <w:pPr>
              <w:jc w:val="right"/>
              <w:rPr>
                <w:rFonts w:ascii="Arial" w:hAnsi="Arial" w:cs="Arial"/>
                <w:bCs/>
                <w:color w:val="000000"/>
                <w:sz w:val="20"/>
                <w:szCs w:val="20"/>
              </w:rPr>
            </w:pPr>
            <w:r>
              <w:rPr>
                <w:rFonts w:ascii="Arial" w:hAnsi="Arial" w:cs="Arial"/>
                <w:bCs/>
                <w:color w:val="000000"/>
                <w:sz w:val="20"/>
                <w:szCs w:val="20"/>
              </w:rPr>
              <w:t>2.530,00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3A745A76" w14:textId="77777777" w:rsidR="008311D9" w:rsidRDefault="008311D9">
            <w:pPr>
              <w:jc w:val="right"/>
              <w:rPr>
                <w:rFonts w:ascii="Arial" w:hAnsi="Arial" w:cs="Arial"/>
                <w:bCs/>
                <w:color w:val="000000"/>
                <w:sz w:val="20"/>
                <w:szCs w:val="20"/>
              </w:rPr>
            </w:pPr>
            <w:r>
              <w:rPr>
                <w:rFonts w:ascii="Arial" w:hAnsi="Arial" w:cs="Arial"/>
                <w:bCs/>
                <w:color w:val="000000"/>
                <w:sz w:val="20"/>
                <w:szCs w:val="20"/>
              </w:rPr>
              <w:t>10.530,00</w:t>
            </w:r>
          </w:p>
        </w:tc>
        <w:tc>
          <w:tcPr>
            <w:tcW w:w="972" w:type="dxa"/>
            <w:tcBorders>
              <w:top w:val="single" w:sz="4" w:space="0" w:color="auto"/>
              <w:left w:val="single" w:sz="4" w:space="0" w:color="auto"/>
              <w:bottom w:val="single" w:sz="4" w:space="0" w:color="auto"/>
              <w:right w:val="single" w:sz="4" w:space="0" w:color="auto"/>
            </w:tcBorders>
            <w:vAlign w:val="center"/>
            <w:hideMark/>
          </w:tcPr>
          <w:p w14:paraId="1CBF3E15" w14:textId="77777777" w:rsidR="008311D9" w:rsidRDefault="008311D9">
            <w:pPr>
              <w:jc w:val="right"/>
              <w:rPr>
                <w:rFonts w:ascii="Arial" w:hAnsi="Arial" w:cs="Arial"/>
                <w:bCs/>
                <w:color w:val="000000"/>
                <w:sz w:val="20"/>
                <w:szCs w:val="20"/>
              </w:rPr>
            </w:pPr>
            <w:r>
              <w:rPr>
                <w:rFonts w:ascii="Arial" w:hAnsi="Arial" w:cs="Arial"/>
                <w:bCs/>
                <w:color w:val="000000"/>
                <w:sz w:val="20"/>
                <w:szCs w:val="20"/>
              </w:rPr>
              <w:t>31,63</w:t>
            </w:r>
          </w:p>
        </w:tc>
      </w:tr>
      <w:tr w:rsidR="008311D9" w14:paraId="08E552FA" w14:textId="77777777" w:rsidTr="008311D9">
        <w:tc>
          <w:tcPr>
            <w:tcW w:w="1006" w:type="dxa"/>
            <w:tcBorders>
              <w:top w:val="single" w:sz="4" w:space="0" w:color="auto"/>
              <w:left w:val="single" w:sz="4" w:space="0" w:color="auto"/>
              <w:bottom w:val="single" w:sz="4" w:space="0" w:color="auto"/>
              <w:right w:val="single" w:sz="4" w:space="0" w:color="auto"/>
            </w:tcBorders>
            <w:hideMark/>
          </w:tcPr>
          <w:p w14:paraId="4EBCE311" w14:textId="77777777" w:rsidR="008311D9" w:rsidRDefault="008311D9">
            <w:pPr>
              <w:rPr>
                <w:rFonts w:ascii="Arial" w:hAnsi="Arial" w:cs="Arial"/>
                <w:b/>
                <w:bCs/>
                <w:sz w:val="20"/>
                <w:szCs w:val="20"/>
              </w:rPr>
            </w:pPr>
            <w:r>
              <w:rPr>
                <w:rFonts w:ascii="Arial" w:hAnsi="Arial" w:cs="Arial"/>
                <w:b/>
                <w:bCs/>
                <w:sz w:val="20"/>
                <w:szCs w:val="20"/>
              </w:rPr>
              <w:t>5</w:t>
            </w:r>
          </w:p>
        </w:tc>
        <w:tc>
          <w:tcPr>
            <w:tcW w:w="2849" w:type="dxa"/>
            <w:tcBorders>
              <w:top w:val="single" w:sz="4" w:space="0" w:color="auto"/>
              <w:left w:val="single" w:sz="4" w:space="0" w:color="auto"/>
              <w:bottom w:val="single" w:sz="4" w:space="0" w:color="auto"/>
              <w:right w:val="single" w:sz="4" w:space="0" w:color="auto"/>
            </w:tcBorders>
            <w:hideMark/>
          </w:tcPr>
          <w:p w14:paraId="3F5FE269" w14:textId="77777777" w:rsidR="008311D9" w:rsidRDefault="008311D9">
            <w:pPr>
              <w:rPr>
                <w:rFonts w:ascii="Arial" w:hAnsi="Arial" w:cs="Arial"/>
                <w:b/>
                <w:sz w:val="20"/>
                <w:szCs w:val="20"/>
              </w:rPr>
            </w:pPr>
            <w:r>
              <w:rPr>
                <w:rFonts w:ascii="Arial" w:hAnsi="Arial" w:cs="Arial"/>
                <w:b/>
                <w:sz w:val="20"/>
                <w:szCs w:val="20"/>
              </w:rPr>
              <w:t>IZDACI ZA FINANCIJSKU IMOVINU I OTPLATU ZAJMOVA</w:t>
            </w:r>
          </w:p>
        </w:tc>
        <w:tc>
          <w:tcPr>
            <w:tcW w:w="1556" w:type="dxa"/>
            <w:tcBorders>
              <w:top w:val="single" w:sz="4" w:space="0" w:color="auto"/>
              <w:left w:val="single" w:sz="4" w:space="0" w:color="auto"/>
              <w:bottom w:val="single" w:sz="4" w:space="0" w:color="auto"/>
              <w:right w:val="single" w:sz="4" w:space="0" w:color="auto"/>
            </w:tcBorders>
            <w:vAlign w:val="center"/>
            <w:hideMark/>
          </w:tcPr>
          <w:p w14:paraId="5C7DAAD0"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26.546,00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5C0ED124"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0,00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3F7A3B47"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26.546,00</w:t>
            </w:r>
          </w:p>
        </w:tc>
        <w:tc>
          <w:tcPr>
            <w:tcW w:w="972" w:type="dxa"/>
            <w:tcBorders>
              <w:top w:val="single" w:sz="4" w:space="0" w:color="auto"/>
              <w:left w:val="single" w:sz="4" w:space="0" w:color="auto"/>
              <w:bottom w:val="single" w:sz="4" w:space="0" w:color="auto"/>
              <w:right w:val="single" w:sz="4" w:space="0" w:color="auto"/>
            </w:tcBorders>
            <w:vAlign w:val="center"/>
            <w:hideMark/>
          </w:tcPr>
          <w:p w14:paraId="4F40ED88"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0,00</w:t>
            </w:r>
          </w:p>
        </w:tc>
      </w:tr>
      <w:tr w:rsidR="008311D9" w14:paraId="14350BE2" w14:textId="77777777" w:rsidTr="008311D9">
        <w:trPr>
          <w:trHeight w:val="825"/>
        </w:trPr>
        <w:tc>
          <w:tcPr>
            <w:tcW w:w="1006" w:type="dxa"/>
            <w:tcBorders>
              <w:top w:val="single" w:sz="4" w:space="0" w:color="auto"/>
              <w:left w:val="single" w:sz="4" w:space="0" w:color="auto"/>
              <w:bottom w:val="single" w:sz="4" w:space="0" w:color="auto"/>
              <w:right w:val="single" w:sz="4" w:space="0" w:color="auto"/>
            </w:tcBorders>
            <w:hideMark/>
          </w:tcPr>
          <w:p w14:paraId="60ACE8C1" w14:textId="77777777" w:rsidR="008311D9" w:rsidRDefault="008311D9">
            <w:pPr>
              <w:rPr>
                <w:rFonts w:ascii="Arial" w:hAnsi="Arial" w:cs="Arial"/>
                <w:sz w:val="20"/>
                <w:szCs w:val="20"/>
              </w:rPr>
            </w:pPr>
            <w:r>
              <w:rPr>
                <w:rFonts w:ascii="Arial" w:hAnsi="Arial" w:cs="Arial"/>
                <w:sz w:val="20"/>
                <w:szCs w:val="20"/>
              </w:rPr>
              <w:t>54</w:t>
            </w:r>
          </w:p>
        </w:tc>
        <w:tc>
          <w:tcPr>
            <w:tcW w:w="2849" w:type="dxa"/>
            <w:tcBorders>
              <w:top w:val="single" w:sz="4" w:space="0" w:color="auto"/>
              <w:left w:val="single" w:sz="4" w:space="0" w:color="auto"/>
              <w:bottom w:val="single" w:sz="4" w:space="0" w:color="auto"/>
              <w:right w:val="single" w:sz="4" w:space="0" w:color="auto"/>
            </w:tcBorders>
            <w:hideMark/>
          </w:tcPr>
          <w:p w14:paraId="646A2D32" w14:textId="77777777" w:rsidR="008311D9" w:rsidRDefault="008311D9">
            <w:pPr>
              <w:rPr>
                <w:rFonts w:ascii="Arial" w:hAnsi="Arial" w:cs="Arial"/>
                <w:sz w:val="20"/>
                <w:szCs w:val="20"/>
              </w:rPr>
            </w:pPr>
            <w:r>
              <w:rPr>
                <w:rFonts w:ascii="Arial" w:hAnsi="Arial" w:cs="Arial"/>
                <w:sz w:val="20"/>
                <w:szCs w:val="20"/>
              </w:rPr>
              <w:t>IZDACI ZA OTPLATU GLAVNICE PRIMLJENIH KREDITA</w:t>
            </w:r>
          </w:p>
        </w:tc>
        <w:tc>
          <w:tcPr>
            <w:tcW w:w="1556" w:type="dxa"/>
            <w:tcBorders>
              <w:top w:val="single" w:sz="4" w:space="0" w:color="auto"/>
              <w:left w:val="single" w:sz="4" w:space="0" w:color="auto"/>
              <w:bottom w:val="single" w:sz="4" w:space="0" w:color="auto"/>
              <w:right w:val="single" w:sz="4" w:space="0" w:color="auto"/>
            </w:tcBorders>
            <w:vAlign w:val="center"/>
            <w:hideMark/>
          </w:tcPr>
          <w:p w14:paraId="5854C562" w14:textId="77777777" w:rsidR="008311D9" w:rsidRDefault="008311D9">
            <w:pPr>
              <w:jc w:val="right"/>
              <w:rPr>
                <w:rFonts w:ascii="Arial" w:hAnsi="Arial" w:cs="Arial"/>
                <w:color w:val="000000"/>
                <w:sz w:val="20"/>
                <w:szCs w:val="20"/>
              </w:rPr>
            </w:pPr>
            <w:r>
              <w:rPr>
                <w:rFonts w:ascii="Arial" w:hAnsi="Arial" w:cs="Arial"/>
                <w:color w:val="000000"/>
                <w:sz w:val="20"/>
                <w:szCs w:val="20"/>
              </w:rPr>
              <w:t>26.546,00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472521DC" w14:textId="77777777" w:rsidR="008311D9" w:rsidRDefault="008311D9">
            <w:pPr>
              <w:jc w:val="right"/>
              <w:rPr>
                <w:rFonts w:ascii="Arial" w:hAnsi="Arial" w:cs="Arial"/>
                <w:color w:val="000000"/>
                <w:sz w:val="20"/>
                <w:szCs w:val="20"/>
              </w:rPr>
            </w:pPr>
            <w:r>
              <w:rPr>
                <w:rFonts w:ascii="Arial" w:hAnsi="Arial" w:cs="Arial"/>
                <w:color w:val="000000"/>
                <w:sz w:val="20"/>
                <w:szCs w:val="20"/>
              </w:rPr>
              <w:t>0,00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7690C5EB"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26.546,00</w:t>
            </w:r>
          </w:p>
        </w:tc>
        <w:tc>
          <w:tcPr>
            <w:tcW w:w="972" w:type="dxa"/>
            <w:tcBorders>
              <w:top w:val="single" w:sz="4" w:space="0" w:color="auto"/>
              <w:left w:val="single" w:sz="4" w:space="0" w:color="auto"/>
              <w:bottom w:val="single" w:sz="4" w:space="0" w:color="auto"/>
              <w:right w:val="single" w:sz="4" w:space="0" w:color="auto"/>
            </w:tcBorders>
            <w:vAlign w:val="center"/>
            <w:hideMark/>
          </w:tcPr>
          <w:p w14:paraId="2B05AFC6"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0,00</w:t>
            </w:r>
          </w:p>
        </w:tc>
      </w:tr>
      <w:tr w:rsidR="008311D9" w14:paraId="65ED9188" w14:textId="77777777" w:rsidTr="008311D9">
        <w:tc>
          <w:tcPr>
            <w:tcW w:w="1006" w:type="dxa"/>
            <w:tcBorders>
              <w:top w:val="single" w:sz="4" w:space="0" w:color="auto"/>
              <w:left w:val="single" w:sz="4" w:space="0" w:color="auto"/>
              <w:bottom w:val="single" w:sz="4" w:space="0" w:color="auto"/>
              <w:right w:val="single" w:sz="4" w:space="0" w:color="auto"/>
            </w:tcBorders>
            <w:hideMark/>
          </w:tcPr>
          <w:p w14:paraId="5215A57B" w14:textId="77777777" w:rsidR="008311D9" w:rsidRDefault="008311D9">
            <w:pPr>
              <w:rPr>
                <w:rFonts w:ascii="Arial" w:hAnsi="Arial" w:cs="Arial"/>
                <w:b/>
                <w:sz w:val="20"/>
                <w:szCs w:val="20"/>
              </w:rPr>
            </w:pPr>
            <w:r>
              <w:rPr>
                <w:rFonts w:ascii="Arial" w:hAnsi="Arial" w:cs="Arial"/>
                <w:b/>
                <w:sz w:val="20"/>
                <w:szCs w:val="20"/>
              </w:rPr>
              <w:lastRenderedPageBreak/>
              <w:t>9</w:t>
            </w:r>
          </w:p>
        </w:tc>
        <w:tc>
          <w:tcPr>
            <w:tcW w:w="2849" w:type="dxa"/>
            <w:tcBorders>
              <w:top w:val="single" w:sz="4" w:space="0" w:color="auto"/>
              <w:left w:val="single" w:sz="4" w:space="0" w:color="auto"/>
              <w:bottom w:val="single" w:sz="4" w:space="0" w:color="auto"/>
              <w:right w:val="single" w:sz="4" w:space="0" w:color="auto"/>
            </w:tcBorders>
            <w:hideMark/>
          </w:tcPr>
          <w:p w14:paraId="237A4B5C" w14:textId="77777777" w:rsidR="008311D9" w:rsidRDefault="008311D9">
            <w:pPr>
              <w:rPr>
                <w:rFonts w:ascii="Arial" w:hAnsi="Arial" w:cs="Arial"/>
                <w:b/>
                <w:sz w:val="20"/>
                <w:szCs w:val="20"/>
              </w:rPr>
            </w:pPr>
            <w:r>
              <w:rPr>
                <w:rFonts w:ascii="Arial" w:hAnsi="Arial" w:cs="Arial"/>
                <w:b/>
                <w:sz w:val="20"/>
                <w:szCs w:val="20"/>
              </w:rPr>
              <w:t>VLASTITI IZVORI</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5A9BC93"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BB4170F"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39.130,00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46E59B7A"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39.130,00</w:t>
            </w:r>
          </w:p>
        </w:tc>
        <w:tc>
          <w:tcPr>
            <w:tcW w:w="972" w:type="dxa"/>
            <w:tcBorders>
              <w:top w:val="single" w:sz="4" w:space="0" w:color="auto"/>
              <w:left w:val="single" w:sz="4" w:space="0" w:color="auto"/>
              <w:bottom w:val="single" w:sz="4" w:space="0" w:color="auto"/>
              <w:right w:val="single" w:sz="4" w:space="0" w:color="auto"/>
            </w:tcBorders>
            <w:vAlign w:val="center"/>
            <w:hideMark/>
          </w:tcPr>
          <w:p w14:paraId="718A6910"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100,00</w:t>
            </w:r>
          </w:p>
        </w:tc>
      </w:tr>
      <w:tr w:rsidR="008311D9" w14:paraId="6146D187" w14:textId="77777777" w:rsidTr="008311D9">
        <w:tc>
          <w:tcPr>
            <w:tcW w:w="1006" w:type="dxa"/>
            <w:tcBorders>
              <w:top w:val="single" w:sz="4" w:space="0" w:color="auto"/>
              <w:left w:val="single" w:sz="4" w:space="0" w:color="auto"/>
              <w:bottom w:val="single" w:sz="4" w:space="0" w:color="auto"/>
              <w:right w:val="single" w:sz="4" w:space="0" w:color="auto"/>
            </w:tcBorders>
            <w:hideMark/>
          </w:tcPr>
          <w:p w14:paraId="65F4FF05" w14:textId="77777777" w:rsidR="008311D9" w:rsidRDefault="008311D9">
            <w:pPr>
              <w:rPr>
                <w:rFonts w:ascii="Arial" w:hAnsi="Arial" w:cs="Arial"/>
                <w:sz w:val="20"/>
                <w:szCs w:val="20"/>
              </w:rPr>
            </w:pPr>
            <w:r>
              <w:rPr>
                <w:rFonts w:ascii="Arial" w:hAnsi="Arial" w:cs="Arial"/>
                <w:sz w:val="20"/>
                <w:szCs w:val="20"/>
              </w:rPr>
              <w:t>92</w:t>
            </w:r>
          </w:p>
        </w:tc>
        <w:tc>
          <w:tcPr>
            <w:tcW w:w="2849" w:type="dxa"/>
            <w:tcBorders>
              <w:top w:val="single" w:sz="4" w:space="0" w:color="auto"/>
              <w:left w:val="single" w:sz="4" w:space="0" w:color="auto"/>
              <w:bottom w:val="single" w:sz="4" w:space="0" w:color="auto"/>
              <w:right w:val="single" w:sz="4" w:space="0" w:color="auto"/>
            </w:tcBorders>
            <w:hideMark/>
          </w:tcPr>
          <w:p w14:paraId="02E8633F" w14:textId="77777777" w:rsidR="008311D9" w:rsidRDefault="008311D9">
            <w:pPr>
              <w:rPr>
                <w:rFonts w:ascii="Arial" w:hAnsi="Arial" w:cs="Arial"/>
                <w:sz w:val="20"/>
                <w:szCs w:val="20"/>
              </w:rPr>
            </w:pPr>
            <w:r>
              <w:rPr>
                <w:rFonts w:ascii="Arial" w:hAnsi="Arial" w:cs="Arial"/>
                <w:sz w:val="20"/>
                <w:szCs w:val="20"/>
              </w:rPr>
              <w:t>REZULTAT POSLOVANJA</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834281A" w14:textId="77777777" w:rsidR="008311D9" w:rsidRDefault="008311D9">
            <w:pPr>
              <w:jc w:val="right"/>
              <w:rPr>
                <w:rFonts w:ascii="Arial" w:hAnsi="Arial" w:cs="Arial"/>
                <w:color w:val="000000"/>
                <w:sz w:val="20"/>
                <w:szCs w:val="20"/>
              </w:rPr>
            </w:pPr>
            <w:r>
              <w:rPr>
                <w:rFonts w:ascii="Arial" w:hAnsi="Arial" w:cs="Arial"/>
                <w:color w:val="000000"/>
                <w:sz w:val="20"/>
                <w:szCs w:val="20"/>
              </w:rPr>
              <w:t>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3F33A79" w14:textId="77777777" w:rsidR="008311D9" w:rsidRDefault="008311D9">
            <w:pPr>
              <w:jc w:val="right"/>
              <w:rPr>
                <w:rFonts w:ascii="Arial" w:hAnsi="Arial" w:cs="Arial"/>
                <w:bCs/>
                <w:color w:val="000000"/>
                <w:sz w:val="20"/>
                <w:szCs w:val="20"/>
              </w:rPr>
            </w:pPr>
            <w:r>
              <w:rPr>
                <w:rFonts w:ascii="Arial" w:hAnsi="Arial" w:cs="Arial"/>
                <w:bCs/>
                <w:color w:val="000000"/>
                <w:sz w:val="20"/>
                <w:szCs w:val="20"/>
              </w:rPr>
              <w:t>39.130,00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55171A4F" w14:textId="77777777" w:rsidR="008311D9" w:rsidRDefault="008311D9">
            <w:pPr>
              <w:jc w:val="right"/>
              <w:rPr>
                <w:rFonts w:ascii="Arial" w:hAnsi="Arial" w:cs="Arial"/>
                <w:bCs/>
                <w:color w:val="000000"/>
                <w:sz w:val="20"/>
                <w:szCs w:val="20"/>
              </w:rPr>
            </w:pPr>
            <w:r>
              <w:rPr>
                <w:rFonts w:ascii="Arial" w:hAnsi="Arial" w:cs="Arial"/>
                <w:bCs/>
                <w:color w:val="000000"/>
                <w:sz w:val="20"/>
                <w:szCs w:val="20"/>
              </w:rPr>
              <w:t>39.130,00</w:t>
            </w:r>
          </w:p>
        </w:tc>
        <w:tc>
          <w:tcPr>
            <w:tcW w:w="972" w:type="dxa"/>
            <w:tcBorders>
              <w:top w:val="single" w:sz="4" w:space="0" w:color="auto"/>
              <w:left w:val="single" w:sz="4" w:space="0" w:color="auto"/>
              <w:bottom w:val="single" w:sz="4" w:space="0" w:color="auto"/>
              <w:right w:val="single" w:sz="4" w:space="0" w:color="auto"/>
            </w:tcBorders>
            <w:vAlign w:val="center"/>
            <w:hideMark/>
          </w:tcPr>
          <w:p w14:paraId="72592755" w14:textId="77777777" w:rsidR="008311D9" w:rsidRDefault="008311D9">
            <w:pPr>
              <w:jc w:val="right"/>
              <w:rPr>
                <w:rFonts w:ascii="Arial" w:hAnsi="Arial" w:cs="Arial"/>
                <w:bCs/>
                <w:color w:val="000000"/>
                <w:sz w:val="20"/>
                <w:szCs w:val="20"/>
              </w:rPr>
            </w:pPr>
            <w:r>
              <w:rPr>
                <w:rFonts w:ascii="Arial" w:hAnsi="Arial" w:cs="Arial"/>
                <w:bCs/>
                <w:color w:val="000000"/>
                <w:sz w:val="20"/>
                <w:szCs w:val="20"/>
              </w:rPr>
              <w:t>100,00</w:t>
            </w:r>
          </w:p>
        </w:tc>
      </w:tr>
      <w:tr w:rsidR="008311D9" w14:paraId="6328DF86" w14:textId="77777777" w:rsidTr="008311D9">
        <w:tc>
          <w:tcPr>
            <w:tcW w:w="1006" w:type="dxa"/>
            <w:tcBorders>
              <w:top w:val="single" w:sz="4" w:space="0" w:color="auto"/>
              <w:left w:val="single" w:sz="4" w:space="0" w:color="auto"/>
              <w:bottom w:val="single" w:sz="4" w:space="0" w:color="auto"/>
              <w:right w:val="single" w:sz="4" w:space="0" w:color="auto"/>
            </w:tcBorders>
          </w:tcPr>
          <w:p w14:paraId="74E10660" w14:textId="77777777" w:rsidR="008311D9" w:rsidRDefault="008311D9">
            <w:pPr>
              <w:rPr>
                <w:rFonts w:ascii="Arial" w:hAnsi="Arial" w:cs="Arial"/>
                <w:sz w:val="20"/>
                <w:szCs w:val="20"/>
              </w:rPr>
            </w:pPr>
          </w:p>
        </w:tc>
        <w:tc>
          <w:tcPr>
            <w:tcW w:w="2849" w:type="dxa"/>
            <w:tcBorders>
              <w:top w:val="single" w:sz="4" w:space="0" w:color="auto"/>
              <w:left w:val="single" w:sz="4" w:space="0" w:color="auto"/>
              <w:bottom w:val="single" w:sz="4" w:space="0" w:color="auto"/>
              <w:right w:val="single" w:sz="4" w:space="0" w:color="auto"/>
            </w:tcBorders>
            <w:hideMark/>
          </w:tcPr>
          <w:p w14:paraId="77BE8503" w14:textId="77777777" w:rsidR="008311D9" w:rsidRDefault="008311D9">
            <w:pPr>
              <w:rPr>
                <w:rFonts w:ascii="Arial" w:hAnsi="Arial" w:cs="Arial"/>
                <w:b/>
                <w:sz w:val="20"/>
                <w:szCs w:val="20"/>
              </w:rPr>
            </w:pPr>
            <w:r>
              <w:rPr>
                <w:rFonts w:ascii="Arial" w:hAnsi="Arial" w:cs="Arial"/>
                <w:b/>
                <w:sz w:val="20"/>
                <w:szCs w:val="20"/>
              </w:rPr>
              <w:t>SVEUKUPNI RASHODI I REZULTAT POSLOVANJA:</w:t>
            </w:r>
          </w:p>
        </w:tc>
        <w:tc>
          <w:tcPr>
            <w:tcW w:w="1556" w:type="dxa"/>
            <w:tcBorders>
              <w:top w:val="single" w:sz="4" w:space="0" w:color="auto"/>
              <w:left w:val="single" w:sz="4" w:space="0" w:color="auto"/>
              <w:bottom w:val="single" w:sz="4" w:space="0" w:color="auto"/>
              <w:right w:val="single" w:sz="4" w:space="0" w:color="auto"/>
            </w:tcBorders>
            <w:vAlign w:val="center"/>
            <w:hideMark/>
          </w:tcPr>
          <w:p w14:paraId="6301B2E8"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3.593.217,00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533960FF"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189.435,00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5B4AF3FF"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3.782.652,00</w:t>
            </w:r>
          </w:p>
        </w:tc>
        <w:tc>
          <w:tcPr>
            <w:tcW w:w="972" w:type="dxa"/>
            <w:tcBorders>
              <w:top w:val="single" w:sz="4" w:space="0" w:color="auto"/>
              <w:left w:val="single" w:sz="4" w:space="0" w:color="auto"/>
              <w:bottom w:val="single" w:sz="4" w:space="0" w:color="auto"/>
              <w:right w:val="single" w:sz="4" w:space="0" w:color="auto"/>
            </w:tcBorders>
            <w:vAlign w:val="center"/>
            <w:hideMark/>
          </w:tcPr>
          <w:p w14:paraId="657F63E9" w14:textId="77777777" w:rsidR="008311D9" w:rsidRDefault="008311D9">
            <w:pPr>
              <w:jc w:val="right"/>
              <w:rPr>
                <w:rFonts w:ascii="Arial" w:hAnsi="Arial" w:cs="Arial"/>
                <w:b/>
                <w:bCs/>
                <w:color w:val="000000"/>
                <w:sz w:val="20"/>
                <w:szCs w:val="20"/>
              </w:rPr>
            </w:pPr>
            <w:r>
              <w:rPr>
                <w:rFonts w:ascii="Arial" w:hAnsi="Arial" w:cs="Arial"/>
                <w:b/>
                <w:bCs/>
                <w:color w:val="000000"/>
                <w:sz w:val="20"/>
                <w:szCs w:val="20"/>
              </w:rPr>
              <w:t>5,27</w:t>
            </w:r>
          </w:p>
        </w:tc>
      </w:tr>
      <w:tr w:rsidR="008311D9" w14:paraId="3096BA97" w14:textId="77777777" w:rsidTr="008311D9">
        <w:tc>
          <w:tcPr>
            <w:tcW w:w="1006" w:type="dxa"/>
            <w:tcBorders>
              <w:top w:val="single" w:sz="4" w:space="0" w:color="auto"/>
              <w:left w:val="single" w:sz="4" w:space="0" w:color="auto"/>
              <w:bottom w:val="single" w:sz="4" w:space="0" w:color="auto"/>
              <w:right w:val="single" w:sz="4" w:space="0" w:color="auto"/>
            </w:tcBorders>
          </w:tcPr>
          <w:p w14:paraId="3213F784" w14:textId="77777777" w:rsidR="008311D9" w:rsidRDefault="008311D9">
            <w:pPr>
              <w:rPr>
                <w:rFonts w:ascii="Arial" w:hAnsi="Arial" w:cs="Arial"/>
                <w:sz w:val="20"/>
                <w:szCs w:val="20"/>
              </w:rPr>
            </w:pPr>
          </w:p>
        </w:tc>
        <w:tc>
          <w:tcPr>
            <w:tcW w:w="2849" w:type="dxa"/>
            <w:tcBorders>
              <w:top w:val="single" w:sz="4" w:space="0" w:color="auto"/>
              <w:left w:val="single" w:sz="4" w:space="0" w:color="auto"/>
              <w:bottom w:val="single" w:sz="4" w:space="0" w:color="auto"/>
              <w:right w:val="single" w:sz="4" w:space="0" w:color="auto"/>
            </w:tcBorders>
            <w:hideMark/>
          </w:tcPr>
          <w:p w14:paraId="430B42A4" w14:textId="77777777" w:rsidR="008311D9" w:rsidRDefault="008311D9">
            <w:pPr>
              <w:rPr>
                <w:rFonts w:ascii="Arial" w:hAnsi="Arial" w:cs="Arial"/>
                <w:b/>
                <w:sz w:val="20"/>
                <w:szCs w:val="20"/>
              </w:rPr>
            </w:pPr>
            <w:r>
              <w:rPr>
                <w:rFonts w:ascii="Arial" w:hAnsi="Arial" w:cs="Arial"/>
                <w:b/>
                <w:sz w:val="20"/>
                <w:szCs w:val="20"/>
              </w:rPr>
              <w:t xml:space="preserve">REZULTAT POSLOVANJA: </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208768E" w14:textId="77777777" w:rsidR="008311D9" w:rsidRDefault="008311D9">
            <w:pPr>
              <w:jc w:val="right"/>
              <w:rPr>
                <w:rFonts w:ascii="Arial" w:hAnsi="Arial" w:cs="Arial"/>
                <w:color w:val="000000"/>
                <w:sz w:val="20"/>
                <w:szCs w:val="20"/>
              </w:rPr>
            </w:pPr>
            <w:r>
              <w:rPr>
                <w:rFonts w:ascii="Arial" w:hAnsi="Arial" w:cs="Arial"/>
                <w:color w:val="000000"/>
                <w:sz w:val="20"/>
                <w:szCs w:val="20"/>
              </w:rPr>
              <w:t>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39B8EB6B" w14:textId="77777777" w:rsidR="008311D9" w:rsidRDefault="008311D9">
            <w:pPr>
              <w:jc w:val="right"/>
              <w:rPr>
                <w:rFonts w:ascii="Arial" w:hAnsi="Arial" w:cs="Arial"/>
                <w:color w:val="000000"/>
                <w:sz w:val="20"/>
                <w:szCs w:val="20"/>
              </w:rPr>
            </w:pPr>
            <w:r>
              <w:rPr>
                <w:rFonts w:ascii="Arial" w:hAnsi="Arial" w:cs="Arial"/>
                <w:color w:val="000000"/>
                <w:sz w:val="20"/>
                <w:szCs w:val="20"/>
              </w:rPr>
              <w:t>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062C4CCE" w14:textId="77777777" w:rsidR="008311D9" w:rsidRDefault="008311D9">
            <w:pPr>
              <w:jc w:val="right"/>
              <w:rPr>
                <w:rFonts w:ascii="Arial" w:hAnsi="Arial" w:cs="Arial"/>
                <w:color w:val="000000"/>
                <w:sz w:val="20"/>
                <w:szCs w:val="20"/>
              </w:rPr>
            </w:pPr>
            <w:r>
              <w:rPr>
                <w:rFonts w:ascii="Arial" w:hAnsi="Arial" w:cs="Arial"/>
                <w:color w:val="000000"/>
                <w:sz w:val="20"/>
                <w:szCs w:val="20"/>
              </w:rPr>
              <w:t>0</w:t>
            </w:r>
          </w:p>
        </w:tc>
        <w:tc>
          <w:tcPr>
            <w:tcW w:w="972" w:type="dxa"/>
            <w:tcBorders>
              <w:top w:val="single" w:sz="4" w:space="0" w:color="auto"/>
              <w:left w:val="single" w:sz="4" w:space="0" w:color="auto"/>
              <w:bottom w:val="single" w:sz="4" w:space="0" w:color="auto"/>
              <w:right w:val="single" w:sz="4" w:space="0" w:color="auto"/>
            </w:tcBorders>
            <w:vAlign w:val="center"/>
          </w:tcPr>
          <w:p w14:paraId="6C8B21A5" w14:textId="77777777" w:rsidR="008311D9" w:rsidRDefault="008311D9">
            <w:pPr>
              <w:jc w:val="right"/>
              <w:rPr>
                <w:rFonts w:ascii="Arial" w:hAnsi="Arial" w:cs="Arial"/>
                <w:b/>
                <w:bCs/>
                <w:color w:val="000000"/>
                <w:sz w:val="20"/>
                <w:szCs w:val="20"/>
              </w:rPr>
            </w:pPr>
          </w:p>
        </w:tc>
      </w:tr>
    </w:tbl>
    <w:p w14:paraId="2181123E" w14:textId="77777777" w:rsidR="008311D9" w:rsidRDefault="008311D9" w:rsidP="008311D9">
      <w:pPr>
        <w:spacing w:line="360" w:lineRule="auto"/>
        <w:ind w:firstLine="357"/>
        <w:jc w:val="both"/>
        <w:rPr>
          <w:sz w:val="20"/>
          <w:szCs w:val="20"/>
          <w:lang w:eastAsia="en-US"/>
        </w:rPr>
      </w:pPr>
    </w:p>
    <w:bookmarkEnd w:id="39"/>
    <w:p w14:paraId="2B9C1E61" w14:textId="77777777" w:rsidR="008311D9" w:rsidRDefault="008311D9" w:rsidP="008311D9">
      <w:pPr>
        <w:keepNext/>
        <w:keepLines/>
        <w:spacing w:before="200"/>
        <w:jc w:val="both"/>
        <w:outlineLvl w:val="1"/>
        <w:rPr>
          <w:rFonts w:ascii="Arial" w:hAnsi="Arial" w:cs="Arial"/>
          <w:sz w:val="22"/>
          <w:szCs w:val="22"/>
        </w:rPr>
      </w:pPr>
      <w:r w:rsidRPr="008311D9">
        <w:rPr>
          <w:rFonts w:ascii="Arial" w:hAnsi="Arial" w:cs="Arial"/>
          <w:sz w:val="22"/>
          <w:szCs w:val="22"/>
        </w:rPr>
        <w:t xml:space="preserve">TABLICA 2. </w:t>
      </w:r>
    </w:p>
    <w:p w14:paraId="6FA590C3" w14:textId="068459E2" w:rsidR="008311D9" w:rsidRPr="008311D9" w:rsidRDefault="008311D9" w:rsidP="008311D9">
      <w:pPr>
        <w:keepNext/>
        <w:keepLines/>
        <w:spacing w:before="200"/>
        <w:jc w:val="both"/>
        <w:outlineLvl w:val="1"/>
        <w:rPr>
          <w:rFonts w:ascii="Arial" w:hAnsi="Arial" w:cs="Arial"/>
          <w:bCs/>
          <w:sz w:val="22"/>
          <w:szCs w:val="22"/>
        </w:rPr>
      </w:pPr>
      <w:r w:rsidRPr="008311D9">
        <w:rPr>
          <w:rFonts w:ascii="Arial" w:hAnsi="Arial" w:cs="Arial"/>
          <w:sz w:val="22"/>
          <w:szCs w:val="22"/>
        </w:rPr>
        <w:t xml:space="preserve">                                                                                                             </w:t>
      </w:r>
      <w:r>
        <w:rPr>
          <w:rFonts w:ascii="Arial" w:hAnsi="Arial" w:cs="Arial"/>
          <w:sz w:val="22"/>
          <w:szCs w:val="22"/>
        </w:rPr>
        <w:t xml:space="preserve">        </w:t>
      </w:r>
      <w:r w:rsidRPr="008311D9">
        <w:rPr>
          <w:rFonts w:ascii="Arial" w:hAnsi="Arial" w:cs="Arial"/>
          <w:sz w:val="22"/>
          <w:szCs w:val="22"/>
        </w:rPr>
        <w:t xml:space="preserve">     – U EUR</w:t>
      </w:r>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0"/>
        <w:gridCol w:w="1509"/>
        <w:gridCol w:w="1809"/>
        <w:gridCol w:w="1809"/>
        <w:gridCol w:w="1809"/>
      </w:tblGrid>
      <w:tr w:rsidR="008311D9" w:rsidRPr="008311D9" w14:paraId="54942572" w14:textId="77777777" w:rsidTr="00EA6BB2">
        <w:trPr>
          <w:trHeight w:val="454"/>
          <w:jc w:val="center"/>
        </w:trPr>
        <w:tc>
          <w:tcPr>
            <w:tcW w:w="1960" w:type="dxa"/>
            <w:tcBorders>
              <w:top w:val="single" w:sz="4" w:space="0" w:color="auto"/>
              <w:left w:val="single" w:sz="4" w:space="0" w:color="auto"/>
              <w:bottom w:val="single" w:sz="4" w:space="0" w:color="auto"/>
              <w:right w:val="single" w:sz="4" w:space="0" w:color="auto"/>
            </w:tcBorders>
            <w:vAlign w:val="center"/>
            <w:hideMark/>
          </w:tcPr>
          <w:p w14:paraId="447EBAE6" w14:textId="77777777" w:rsidR="008311D9" w:rsidRDefault="008311D9" w:rsidP="00EA6BB2">
            <w:pPr>
              <w:jc w:val="center"/>
              <w:rPr>
                <w:rFonts w:ascii="Arial" w:hAnsi="Arial" w:cs="Arial"/>
                <w:b/>
                <w:sz w:val="20"/>
                <w:szCs w:val="20"/>
              </w:rPr>
            </w:pPr>
            <w:r w:rsidRPr="008311D9">
              <w:rPr>
                <w:rFonts w:ascii="Arial" w:hAnsi="Arial" w:cs="Arial"/>
                <w:b/>
                <w:sz w:val="20"/>
                <w:szCs w:val="20"/>
              </w:rPr>
              <w:t>NAZIV IZVORA PRIHODA</w:t>
            </w:r>
          </w:p>
          <w:p w14:paraId="36F4FBD4" w14:textId="77777777" w:rsidR="00EA6BB2" w:rsidRDefault="00EA6BB2" w:rsidP="00EA6BB2">
            <w:pPr>
              <w:jc w:val="center"/>
              <w:rPr>
                <w:rFonts w:ascii="Arial" w:hAnsi="Arial" w:cs="Arial"/>
                <w:b/>
                <w:sz w:val="20"/>
                <w:szCs w:val="20"/>
              </w:rPr>
            </w:pPr>
          </w:p>
          <w:p w14:paraId="3DAF8A8B" w14:textId="77777777" w:rsidR="00EA6BB2" w:rsidRPr="008311D9" w:rsidRDefault="00EA6BB2" w:rsidP="00EA6BB2">
            <w:pPr>
              <w:jc w:val="center"/>
              <w:rPr>
                <w:rFonts w:ascii="Arial" w:hAnsi="Arial" w:cs="Arial"/>
                <w:b/>
                <w:sz w:val="20"/>
                <w:szCs w:val="20"/>
              </w:rPr>
            </w:pPr>
          </w:p>
        </w:tc>
        <w:tc>
          <w:tcPr>
            <w:tcW w:w="1509" w:type="dxa"/>
            <w:tcBorders>
              <w:top w:val="single" w:sz="4" w:space="0" w:color="auto"/>
              <w:left w:val="single" w:sz="4" w:space="0" w:color="auto"/>
              <w:bottom w:val="single" w:sz="4" w:space="0" w:color="auto"/>
              <w:right w:val="single" w:sz="4" w:space="0" w:color="auto"/>
            </w:tcBorders>
            <w:vAlign w:val="center"/>
          </w:tcPr>
          <w:p w14:paraId="1262BA29" w14:textId="77777777" w:rsidR="008311D9" w:rsidRPr="008311D9" w:rsidRDefault="008311D9" w:rsidP="00EA6BB2">
            <w:pPr>
              <w:jc w:val="center"/>
              <w:rPr>
                <w:rFonts w:ascii="Arial" w:hAnsi="Arial" w:cs="Arial"/>
                <w:b/>
                <w:sz w:val="20"/>
                <w:szCs w:val="20"/>
              </w:rPr>
            </w:pPr>
          </w:p>
          <w:p w14:paraId="708C6B31" w14:textId="77777777" w:rsidR="008311D9" w:rsidRPr="008311D9" w:rsidRDefault="008311D9" w:rsidP="00EA6BB2">
            <w:pPr>
              <w:jc w:val="center"/>
              <w:rPr>
                <w:rFonts w:ascii="Arial" w:hAnsi="Arial" w:cs="Arial"/>
                <w:b/>
                <w:sz w:val="20"/>
                <w:szCs w:val="20"/>
              </w:rPr>
            </w:pPr>
            <w:r w:rsidRPr="008311D9">
              <w:rPr>
                <w:rFonts w:ascii="Arial" w:hAnsi="Arial" w:cs="Arial"/>
                <w:b/>
                <w:sz w:val="20"/>
                <w:szCs w:val="20"/>
              </w:rPr>
              <w:t>IZVOR</w:t>
            </w:r>
          </w:p>
        </w:tc>
        <w:tc>
          <w:tcPr>
            <w:tcW w:w="1809" w:type="dxa"/>
            <w:tcBorders>
              <w:top w:val="single" w:sz="4" w:space="0" w:color="auto"/>
              <w:left w:val="single" w:sz="4" w:space="0" w:color="auto"/>
              <w:bottom w:val="single" w:sz="4" w:space="0" w:color="auto"/>
              <w:right w:val="single" w:sz="4" w:space="0" w:color="auto"/>
            </w:tcBorders>
          </w:tcPr>
          <w:p w14:paraId="5383C156" w14:textId="77777777" w:rsidR="008311D9" w:rsidRPr="008311D9" w:rsidRDefault="008311D9" w:rsidP="00EA6BB2">
            <w:pPr>
              <w:jc w:val="center"/>
              <w:rPr>
                <w:rFonts w:ascii="Arial" w:hAnsi="Arial" w:cs="Arial"/>
                <w:b/>
                <w:sz w:val="20"/>
                <w:szCs w:val="20"/>
              </w:rPr>
            </w:pPr>
            <w:r w:rsidRPr="008311D9">
              <w:rPr>
                <w:rFonts w:ascii="Arial" w:hAnsi="Arial" w:cs="Arial"/>
                <w:b/>
                <w:sz w:val="20"/>
                <w:szCs w:val="20"/>
              </w:rPr>
              <w:t>PRENESENI MANJAK 2024/POKRIĆE MANJKA</w:t>
            </w:r>
          </w:p>
        </w:tc>
        <w:tc>
          <w:tcPr>
            <w:tcW w:w="1809" w:type="dxa"/>
            <w:tcBorders>
              <w:top w:val="single" w:sz="4" w:space="0" w:color="auto"/>
              <w:left w:val="single" w:sz="4" w:space="0" w:color="auto"/>
              <w:bottom w:val="single" w:sz="4" w:space="0" w:color="auto"/>
              <w:right w:val="single" w:sz="4" w:space="0" w:color="auto"/>
            </w:tcBorders>
            <w:vAlign w:val="center"/>
          </w:tcPr>
          <w:p w14:paraId="009CD990" w14:textId="77777777" w:rsidR="008311D9" w:rsidRPr="008311D9" w:rsidRDefault="008311D9" w:rsidP="00EA6BB2">
            <w:pPr>
              <w:jc w:val="center"/>
              <w:rPr>
                <w:rFonts w:ascii="Arial" w:hAnsi="Arial" w:cs="Arial"/>
                <w:b/>
                <w:sz w:val="20"/>
                <w:szCs w:val="20"/>
              </w:rPr>
            </w:pPr>
          </w:p>
          <w:p w14:paraId="1C530A35" w14:textId="77777777" w:rsidR="008311D9" w:rsidRPr="008311D9" w:rsidRDefault="008311D9" w:rsidP="00EA6BB2">
            <w:pPr>
              <w:jc w:val="center"/>
              <w:rPr>
                <w:rFonts w:ascii="Arial" w:hAnsi="Arial" w:cs="Arial"/>
                <w:b/>
                <w:sz w:val="20"/>
                <w:szCs w:val="20"/>
              </w:rPr>
            </w:pPr>
            <w:r w:rsidRPr="008311D9">
              <w:rPr>
                <w:rFonts w:ascii="Arial" w:hAnsi="Arial" w:cs="Arial"/>
                <w:b/>
                <w:sz w:val="20"/>
                <w:szCs w:val="20"/>
              </w:rPr>
              <w:t xml:space="preserve">PLANIRANI PRIHODI 2025. </w:t>
            </w:r>
          </w:p>
          <w:p w14:paraId="38BB6321" w14:textId="77777777" w:rsidR="008311D9" w:rsidRPr="008311D9" w:rsidRDefault="008311D9" w:rsidP="00EA6BB2">
            <w:pPr>
              <w:rPr>
                <w:rFonts w:ascii="Arial" w:hAnsi="Arial" w:cs="Arial"/>
                <w:b/>
                <w:sz w:val="20"/>
                <w:szCs w:val="20"/>
              </w:rPr>
            </w:pPr>
          </w:p>
        </w:tc>
        <w:tc>
          <w:tcPr>
            <w:tcW w:w="1809" w:type="dxa"/>
            <w:tcBorders>
              <w:top w:val="single" w:sz="4" w:space="0" w:color="auto"/>
              <w:left w:val="single" w:sz="4" w:space="0" w:color="auto"/>
              <w:bottom w:val="single" w:sz="4" w:space="0" w:color="auto"/>
              <w:right w:val="single" w:sz="4" w:space="0" w:color="auto"/>
            </w:tcBorders>
            <w:vAlign w:val="center"/>
            <w:hideMark/>
          </w:tcPr>
          <w:p w14:paraId="07D6C019" w14:textId="77777777" w:rsidR="008311D9" w:rsidRPr="008311D9" w:rsidRDefault="008311D9" w:rsidP="00EA6BB2">
            <w:pPr>
              <w:rPr>
                <w:rFonts w:ascii="Arial" w:hAnsi="Arial" w:cs="Arial"/>
                <w:b/>
                <w:sz w:val="20"/>
                <w:szCs w:val="20"/>
              </w:rPr>
            </w:pPr>
            <w:r w:rsidRPr="008311D9">
              <w:rPr>
                <w:rFonts w:ascii="Arial" w:hAnsi="Arial" w:cs="Arial"/>
                <w:b/>
                <w:sz w:val="20"/>
                <w:szCs w:val="20"/>
              </w:rPr>
              <w:t>PLANIRANI RASHODI 2025.</w:t>
            </w:r>
          </w:p>
        </w:tc>
      </w:tr>
      <w:tr w:rsidR="008311D9" w:rsidRPr="008311D9" w14:paraId="6C7BCD2E" w14:textId="77777777" w:rsidTr="00AD7F21">
        <w:trPr>
          <w:trHeight w:val="302"/>
          <w:jc w:val="center"/>
        </w:trPr>
        <w:tc>
          <w:tcPr>
            <w:tcW w:w="1960" w:type="dxa"/>
            <w:tcBorders>
              <w:top w:val="single" w:sz="4" w:space="0" w:color="auto"/>
              <w:left w:val="single" w:sz="4" w:space="0" w:color="auto"/>
              <w:bottom w:val="single" w:sz="4" w:space="0" w:color="auto"/>
              <w:right w:val="single" w:sz="4" w:space="0" w:color="auto"/>
            </w:tcBorders>
            <w:vAlign w:val="center"/>
            <w:hideMark/>
          </w:tcPr>
          <w:p w14:paraId="526D6041" w14:textId="77777777" w:rsidR="008311D9" w:rsidRPr="008311D9" w:rsidRDefault="008311D9" w:rsidP="00EA6BB2">
            <w:pPr>
              <w:jc w:val="center"/>
              <w:rPr>
                <w:rFonts w:ascii="Arial" w:hAnsi="Arial" w:cs="Arial"/>
                <w:b/>
                <w:sz w:val="20"/>
                <w:szCs w:val="20"/>
              </w:rPr>
            </w:pPr>
            <w:r w:rsidRPr="008311D9">
              <w:rPr>
                <w:rFonts w:ascii="Arial" w:hAnsi="Arial" w:cs="Arial"/>
                <w:b/>
                <w:sz w:val="20"/>
                <w:szCs w:val="20"/>
              </w:rPr>
              <w:t>1</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9126F49" w14:textId="77777777" w:rsidR="008311D9" w:rsidRPr="008311D9" w:rsidRDefault="008311D9" w:rsidP="00EA6BB2">
            <w:pPr>
              <w:jc w:val="center"/>
              <w:rPr>
                <w:rFonts w:ascii="Arial" w:hAnsi="Arial" w:cs="Arial"/>
                <w:b/>
                <w:sz w:val="20"/>
                <w:szCs w:val="20"/>
              </w:rPr>
            </w:pPr>
            <w:r w:rsidRPr="008311D9">
              <w:rPr>
                <w:rFonts w:ascii="Arial" w:hAnsi="Arial" w:cs="Arial"/>
                <w:b/>
                <w:sz w:val="20"/>
                <w:szCs w:val="20"/>
              </w:rPr>
              <w:t>2</w:t>
            </w:r>
          </w:p>
        </w:tc>
        <w:tc>
          <w:tcPr>
            <w:tcW w:w="1809" w:type="dxa"/>
            <w:tcBorders>
              <w:top w:val="single" w:sz="4" w:space="0" w:color="auto"/>
              <w:left w:val="single" w:sz="4" w:space="0" w:color="auto"/>
              <w:bottom w:val="single" w:sz="4" w:space="0" w:color="auto"/>
              <w:right w:val="single" w:sz="4" w:space="0" w:color="auto"/>
            </w:tcBorders>
            <w:vAlign w:val="center"/>
            <w:hideMark/>
          </w:tcPr>
          <w:p w14:paraId="63441CE8" w14:textId="77777777" w:rsidR="008311D9" w:rsidRPr="008311D9" w:rsidRDefault="008311D9" w:rsidP="00AD7F21">
            <w:pPr>
              <w:jc w:val="center"/>
              <w:rPr>
                <w:rFonts w:ascii="Arial" w:hAnsi="Arial" w:cs="Arial"/>
                <w:b/>
                <w:sz w:val="20"/>
                <w:szCs w:val="20"/>
              </w:rPr>
            </w:pPr>
            <w:r w:rsidRPr="008311D9">
              <w:rPr>
                <w:rFonts w:ascii="Arial" w:hAnsi="Arial" w:cs="Arial"/>
                <w:b/>
                <w:sz w:val="20"/>
                <w:szCs w:val="20"/>
              </w:rPr>
              <w:t>3</w:t>
            </w:r>
          </w:p>
        </w:tc>
        <w:tc>
          <w:tcPr>
            <w:tcW w:w="1809" w:type="dxa"/>
            <w:tcBorders>
              <w:top w:val="single" w:sz="4" w:space="0" w:color="auto"/>
              <w:left w:val="single" w:sz="4" w:space="0" w:color="auto"/>
              <w:bottom w:val="single" w:sz="4" w:space="0" w:color="auto"/>
              <w:right w:val="single" w:sz="4" w:space="0" w:color="auto"/>
            </w:tcBorders>
            <w:vAlign w:val="center"/>
            <w:hideMark/>
          </w:tcPr>
          <w:p w14:paraId="4715E4DF" w14:textId="77777777" w:rsidR="008311D9" w:rsidRPr="008311D9" w:rsidRDefault="008311D9" w:rsidP="00EA6BB2">
            <w:pPr>
              <w:jc w:val="center"/>
              <w:rPr>
                <w:rFonts w:ascii="Arial" w:hAnsi="Arial" w:cs="Arial"/>
                <w:b/>
                <w:sz w:val="20"/>
                <w:szCs w:val="20"/>
              </w:rPr>
            </w:pPr>
            <w:r w:rsidRPr="008311D9">
              <w:rPr>
                <w:rFonts w:ascii="Arial" w:hAnsi="Arial" w:cs="Arial"/>
                <w:b/>
                <w:sz w:val="20"/>
                <w:szCs w:val="20"/>
              </w:rPr>
              <w:t>4</w:t>
            </w:r>
          </w:p>
        </w:tc>
        <w:tc>
          <w:tcPr>
            <w:tcW w:w="1809" w:type="dxa"/>
            <w:tcBorders>
              <w:top w:val="single" w:sz="4" w:space="0" w:color="auto"/>
              <w:left w:val="single" w:sz="4" w:space="0" w:color="auto"/>
              <w:bottom w:val="single" w:sz="4" w:space="0" w:color="auto"/>
              <w:right w:val="single" w:sz="4" w:space="0" w:color="auto"/>
            </w:tcBorders>
            <w:vAlign w:val="center"/>
            <w:hideMark/>
          </w:tcPr>
          <w:p w14:paraId="2DFA0AC4" w14:textId="77777777" w:rsidR="008311D9" w:rsidRPr="008311D9" w:rsidRDefault="008311D9" w:rsidP="00EA6BB2">
            <w:pPr>
              <w:jc w:val="center"/>
              <w:rPr>
                <w:rFonts w:ascii="Arial" w:hAnsi="Arial" w:cs="Arial"/>
                <w:b/>
                <w:sz w:val="20"/>
                <w:szCs w:val="20"/>
              </w:rPr>
            </w:pPr>
            <w:r w:rsidRPr="008311D9">
              <w:rPr>
                <w:rFonts w:ascii="Arial" w:hAnsi="Arial" w:cs="Arial"/>
                <w:b/>
                <w:sz w:val="20"/>
                <w:szCs w:val="20"/>
              </w:rPr>
              <w:t>6</w:t>
            </w:r>
          </w:p>
        </w:tc>
      </w:tr>
      <w:tr w:rsidR="008311D9" w:rsidRPr="008311D9" w14:paraId="0B3D571E" w14:textId="77777777" w:rsidTr="00EA6BB2">
        <w:trPr>
          <w:trHeight w:val="454"/>
          <w:jc w:val="center"/>
        </w:trPr>
        <w:tc>
          <w:tcPr>
            <w:tcW w:w="1960" w:type="dxa"/>
            <w:tcBorders>
              <w:top w:val="single" w:sz="4" w:space="0" w:color="auto"/>
              <w:left w:val="single" w:sz="4" w:space="0" w:color="auto"/>
              <w:bottom w:val="single" w:sz="4" w:space="0" w:color="auto"/>
              <w:right w:val="single" w:sz="4" w:space="0" w:color="auto"/>
            </w:tcBorders>
            <w:vAlign w:val="center"/>
            <w:hideMark/>
          </w:tcPr>
          <w:p w14:paraId="647B3E97" w14:textId="77777777" w:rsidR="008311D9" w:rsidRPr="008311D9" w:rsidRDefault="008311D9" w:rsidP="00EA6BB2">
            <w:pPr>
              <w:rPr>
                <w:rFonts w:ascii="Arial" w:hAnsi="Arial" w:cs="Arial"/>
                <w:bCs/>
                <w:sz w:val="20"/>
                <w:szCs w:val="20"/>
              </w:rPr>
            </w:pPr>
            <w:r w:rsidRPr="008311D9">
              <w:rPr>
                <w:rFonts w:ascii="Arial" w:hAnsi="Arial" w:cs="Arial"/>
                <w:bCs/>
                <w:sz w:val="20"/>
                <w:szCs w:val="20"/>
              </w:rPr>
              <w:t>Opći prihodi i primici</w:t>
            </w:r>
          </w:p>
        </w:tc>
        <w:tc>
          <w:tcPr>
            <w:tcW w:w="1509" w:type="dxa"/>
            <w:tcBorders>
              <w:top w:val="single" w:sz="4" w:space="0" w:color="auto"/>
              <w:left w:val="single" w:sz="4" w:space="0" w:color="auto"/>
              <w:bottom w:val="single" w:sz="4" w:space="0" w:color="auto"/>
              <w:right w:val="single" w:sz="4" w:space="0" w:color="auto"/>
            </w:tcBorders>
            <w:vAlign w:val="center"/>
            <w:hideMark/>
          </w:tcPr>
          <w:p w14:paraId="671D21D0" w14:textId="77777777" w:rsidR="008311D9" w:rsidRPr="008311D9" w:rsidRDefault="008311D9" w:rsidP="00EA6BB2">
            <w:pPr>
              <w:jc w:val="both"/>
              <w:rPr>
                <w:rFonts w:ascii="Arial" w:hAnsi="Arial" w:cs="Arial"/>
                <w:bCs/>
                <w:sz w:val="20"/>
                <w:szCs w:val="20"/>
              </w:rPr>
            </w:pPr>
            <w:r w:rsidRPr="008311D9">
              <w:rPr>
                <w:rFonts w:ascii="Arial" w:hAnsi="Arial" w:cs="Arial"/>
                <w:bCs/>
                <w:sz w:val="20"/>
                <w:szCs w:val="20"/>
              </w:rPr>
              <w:t>1.1.001</w:t>
            </w:r>
          </w:p>
        </w:tc>
        <w:tc>
          <w:tcPr>
            <w:tcW w:w="1809" w:type="dxa"/>
            <w:tcBorders>
              <w:top w:val="single" w:sz="4" w:space="0" w:color="auto"/>
              <w:left w:val="single" w:sz="4" w:space="0" w:color="auto"/>
              <w:bottom w:val="single" w:sz="4" w:space="0" w:color="auto"/>
              <w:right w:val="single" w:sz="4" w:space="0" w:color="auto"/>
            </w:tcBorders>
            <w:vAlign w:val="center"/>
            <w:hideMark/>
          </w:tcPr>
          <w:p w14:paraId="63A7052C"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-4.523,00</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97E564F"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2.032.719,00</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EC1C8B4"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2.028.196,00</w:t>
            </w:r>
          </w:p>
        </w:tc>
      </w:tr>
      <w:tr w:rsidR="008311D9" w:rsidRPr="008311D9" w14:paraId="7BFEE94E" w14:textId="77777777" w:rsidTr="00EA6BB2">
        <w:trPr>
          <w:trHeight w:val="454"/>
          <w:jc w:val="center"/>
        </w:trPr>
        <w:tc>
          <w:tcPr>
            <w:tcW w:w="1960" w:type="dxa"/>
            <w:tcBorders>
              <w:top w:val="single" w:sz="4" w:space="0" w:color="auto"/>
              <w:left w:val="single" w:sz="4" w:space="0" w:color="auto"/>
              <w:bottom w:val="single" w:sz="4" w:space="0" w:color="auto"/>
              <w:right w:val="single" w:sz="4" w:space="0" w:color="auto"/>
            </w:tcBorders>
            <w:vAlign w:val="center"/>
          </w:tcPr>
          <w:p w14:paraId="04867DE7" w14:textId="56DC0063" w:rsidR="008311D9" w:rsidRPr="008311D9" w:rsidRDefault="008311D9" w:rsidP="00EA6BB2">
            <w:pPr>
              <w:rPr>
                <w:rFonts w:ascii="Arial" w:hAnsi="Arial" w:cs="Arial"/>
                <w:bCs/>
                <w:sz w:val="20"/>
                <w:szCs w:val="20"/>
              </w:rPr>
            </w:pPr>
            <w:r w:rsidRPr="008311D9">
              <w:rPr>
                <w:rFonts w:ascii="Arial" w:hAnsi="Arial" w:cs="Arial"/>
                <w:bCs/>
                <w:sz w:val="20"/>
                <w:szCs w:val="20"/>
              </w:rPr>
              <w:t>Vlastiti prihodi</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698BA05" w14:textId="77777777" w:rsidR="008311D9" w:rsidRPr="008311D9" w:rsidRDefault="008311D9" w:rsidP="00EA6BB2">
            <w:pPr>
              <w:jc w:val="both"/>
              <w:rPr>
                <w:rFonts w:ascii="Arial" w:hAnsi="Arial" w:cs="Arial"/>
                <w:bCs/>
                <w:sz w:val="20"/>
                <w:szCs w:val="20"/>
              </w:rPr>
            </w:pPr>
            <w:r w:rsidRPr="008311D9">
              <w:rPr>
                <w:rFonts w:ascii="Arial" w:hAnsi="Arial" w:cs="Arial"/>
                <w:bCs/>
                <w:sz w:val="20"/>
                <w:szCs w:val="20"/>
              </w:rPr>
              <w:t>3.9.000001</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C252703"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0,00</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85665B8"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16.000,00</w:t>
            </w:r>
          </w:p>
        </w:tc>
        <w:tc>
          <w:tcPr>
            <w:tcW w:w="1809" w:type="dxa"/>
            <w:tcBorders>
              <w:top w:val="single" w:sz="4" w:space="0" w:color="auto"/>
              <w:left w:val="single" w:sz="4" w:space="0" w:color="auto"/>
              <w:bottom w:val="single" w:sz="4" w:space="0" w:color="auto"/>
              <w:right w:val="single" w:sz="4" w:space="0" w:color="auto"/>
            </w:tcBorders>
            <w:vAlign w:val="center"/>
            <w:hideMark/>
          </w:tcPr>
          <w:p w14:paraId="05893690"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16.000,00</w:t>
            </w:r>
          </w:p>
        </w:tc>
      </w:tr>
      <w:tr w:rsidR="008311D9" w:rsidRPr="008311D9" w14:paraId="628C8019" w14:textId="77777777" w:rsidTr="00EA6BB2">
        <w:trPr>
          <w:trHeight w:val="454"/>
          <w:jc w:val="center"/>
        </w:trPr>
        <w:tc>
          <w:tcPr>
            <w:tcW w:w="1960" w:type="dxa"/>
            <w:tcBorders>
              <w:top w:val="single" w:sz="4" w:space="0" w:color="auto"/>
              <w:left w:val="single" w:sz="4" w:space="0" w:color="auto"/>
              <w:bottom w:val="single" w:sz="4" w:space="0" w:color="auto"/>
              <w:right w:val="single" w:sz="4" w:space="0" w:color="auto"/>
            </w:tcBorders>
            <w:vAlign w:val="center"/>
            <w:hideMark/>
          </w:tcPr>
          <w:p w14:paraId="7D4961F9" w14:textId="77777777" w:rsidR="008311D9" w:rsidRPr="008311D9" w:rsidRDefault="008311D9" w:rsidP="00EA6BB2">
            <w:pPr>
              <w:rPr>
                <w:rFonts w:ascii="Arial" w:hAnsi="Arial" w:cs="Arial"/>
                <w:bCs/>
                <w:sz w:val="20"/>
                <w:szCs w:val="20"/>
              </w:rPr>
            </w:pPr>
            <w:r w:rsidRPr="008311D9">
              <w:rPr>
                <w:rFonts w:ascii="Arial" w:hAnsi="Arial" w:cs="Arial"/>
                <w:bCs/>
                <w:sz w:val="20"/>
                <w:szCs w:val="20"/>
              </w:rPr>
              <w:t>Prihodi za posebne namjene</w:t>
            </w:r>
          </w:p>
        </w:tc>
        <w:tc>
          <w:tcPr>
            <w:tcW w:w="1509" w:type="dxa"/>
            <w:tcBorders>
              <w:top w:val="single" w:sz="4" w:space="0" w:color="auto"/>
              <w:left w:val="single" w:sz="4" w:space="0" w:color="auto"/>
              <w:bottom w:val="single" w:sz="4" w:space="0" w:color="auto"/>
              <w:right w:val="single" w:sz="4" w:space="0" w:color="auto"/>
            </w:tcBorders>
            <w:vAlign w:val="center"/>
            <w:hideMark/>
          </w:tcPr>
          <w:p w14:paraId="03408B6A" w14:textId="77777777" w:rsidR="008311D9" w:rsidRPr="008311D9" w:rsidRDefault="008311D9" w:rsidP="00EA6BB2">
            <w:pPr>
              <w:jc w:val="both"/>
              <w:rPr>
                <w:rFonts w:ascii="Arial" w:hAnsi="Arial" w:cs="Arial"/>
                <w:bCs/>
                <w:sz w:val="20"/>
                <w:szCs w:val="20"/>
              </w:rPr>
            </w:pPr>
            <w:r w:rsidRPr="008311D9">
              <w:rPr>
                <w:rFonts w:ascii="Arial" w:hAnsi="Arial" w:cs="Arial"/>
                <w:bCs/>
                <w:sz w:val="20"/>
                <w:szCs w:val="20"/>
              </w:rPr>
              <w:t>4.9.000001</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E312205"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-34.436,00</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DF302B9"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625.000,00</w:t>
            </w:r>
          </w:p>
        </w:tc>
        <w:tc>
          <w:tcPr>
            <w:tcW w:w="1809" w:type="dxa"/>
            <w:tcBorders>
              <w:top w:val="single" w:sz="4" w:space="0" w:color="auto"/>
              <w:left w:val="single" w:sz="4" w:space="0" w:color="auto"/>
              <w:bottom w:val="single" w:sz="4" w:space="0" w:color="auto"/>
              <w:right w:val="single" w:sz="4" w:space="0" w:color="auto"/>
            </w:tcBorders>
            <w:vAlign w:val="center"/>
            <w:hideMark/>
          </w:tcPr>
          <w:p w14:paraId="0EBC22B7"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590.564,00</w:t>
            </w:r>
          </w:p>
        </w:tc>
      </w:tr>
      <w:tr w:rsidR="008311D9" w:rsidRPr="008311D9" w14:paraId="73908DD6" w14:textId="77777777" w:rsidTr="00EA6BB2">
        <w:trPr>
          <w:trHeight w:val="454"/>
          <w:jc w:val="center"/>
        </w:trPr>
        <w:tc>
          <w:tcPr>
            <w:tcW w:w="1960" w:type="dxa"/>
            <w:tcBorders>
              <w:top w:val="single" w:sz="4" w:space="0" w:color="auto"/>
              <w:left w:val="single" w:sz="4" w:space="0" w:color="auto"/>
              <w:bottom w:val="single" w:sz="4" w:space="0" w:color="auto"/>
              <w:right w:val="single" w:sz="4" w:space="0" w:color="auto"/>
            </w:tcBorders>
            <w:vAlign w:val="center"/>
            <w:hideMark/>
          </w:tcPr>
          <w:p w14:paraId="431B3312" w14:textId="77777777" w:rsidR="008311D9" w:rsidRPr="008311D9" w:rsidRDefault="008311D9" w:rsidP="00EA6BB2">
            <w:pPr>
              <w:rPr>
                <w:rFonts w:ascii="Arial" w:hAnsi="Arial" w:cs="Arial"/>
                <w:bCs/>
                <w:sz w:val="20"/>
                <w:szCs w:val="20"/>
              </w:rPr>
            </w:pPr>
            <w:r w:rsidRPr="008311D9">
              <w:rPr>
                <w:rFonts w:ascii="Arial" w:hAnsi="Arial" w:cs="Arial"/>
                <w:bCs/>
                <w:sz w:val="20"/>
                <w:szCs w:val="20"/>
              </w:rPr>
              <w:t>Tekuće pomoći za DV</w:t>
            </w:r>
          </w:p>
        </w:tc>
        <w:tc>
          <w:tcPr>
            <w:tcW w:w="1509" w:type="dxa"/>
            <w:tcBorders>
              <w:top w:val="single" w:sz="4" w:space="0" w:color="auto"/>
              <w:left w:val="single" w:sz="4" w:space="0" w:color="auto"/>
              <w:bottom w:val="single" w:sz="4" w:space="0" w:color="auto"/>
              <w:right w:val="single" w:sz="4" w:space="0" w:color="auto"/>
            </w:tcBorders>
            <w:hideMark/>
          </w:tcPr>
          <w:p w14:paraId="05831A46" w14:textId="77777777" w:rsidR="008311D9" w:rsidRPr="008311D9" w:rsidRDefault="008311D9" w:rsidP="00EA6BB2">
            <w:pPr>
              <w:keepNext/>
              <w:keepLines/>
              <w:jc w:val="both"/>
              <w:outlineLvl w:val="1"/>
              <w:rPr>
                <w:rFonts w:ascii="Arial" w:hAnsi="Arial" w:cs="Arial"/>
                <w:bCs/>
                <w:sz w:val="20"/>
                <w:szCs w:val="20"/>
              </w:rPr>
            </w:pPr>
            <w:r w:rsidRPr="008311D9">
              <w:rPr>
                <w:rFonts w:ascii="Arial" w:hAnsi="Arial" w:cs="Arial"/>
                <w:bCs/>
                <w:sz w:val="20"/>
                <w:szCs w:val="20"/>
              </w:rPr>
              <w:t>5.4.</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193B604"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0,00</w:t>
            </w:r>
          </w:p>
        </w:tc>
        <w:tc>
          <w:tcPr>
            <w:tcW w:w="1809" w:type="dxa"/>
            <w:tcBorders>
              <w:top w:val="single" w:sz="4" w:space="0" w:color="auto"/>
              <w:left w:val="single" w:sz="4" w:space="0" w:color="auto"/>
              <w:bottom w:val="single" w:sz="4" w:space="0" w:color="auto"/>
              <w:right w:val="single" w:sz="4" w:space="0" w:color="auto"/>
            </w:tcBorders>
            <w:vAlign w:val="center"/>
            <w:hideMark/>
          </w:tcPr>
          <w:p w14:paraId="6ABA6EF9"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66.362,00</w:t>
            </w:r>
          </w:p>
        </w:tc>
        <w:tc>
          <w:tcPr>
            <w:tcW w:w="1809" w:type="dxa"/>
            <w:tcBorders>
              <w:top w:val="single" w:sz="4" w:space="0" w:color="auto"/>
              <w:left w:val="single" w:sz="4" w:space="0" w:color="auto"/>
              <w:bottom w:val="single" w:sz="4" w:space="0" w:color="auto"/>
              <w:right w:val="single" w:sz="4" w:space="0" w:color="auto"/>
            </w:tcBorders>
            <w:vAlign w:val="center"/>
            <w:hideMark/>
          </w:tcPr>
          <w:p w14:paraId="0D403727"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66.362,00</w:t>
            </w:r>
          </w:p>
        </w:tc>
      </w:tr>
      <w:tr w:rsidR="008311D9" w:rsidRPr="008311D9" w14:paraId="071BDBCD" w14:textId="77777777" w:rsidTr="00EA6BB2">
        <w:trPr>
          <w:trHeight w:val="454"/>
          <w:jc w:val="center"/>
        </w:trPr>
        <w:tc>
          <w:tcPr>
            <w:tcW w:w="1960" w:type="dxa"/>
            <w:tcBorders>
              <w:top w:val="single" w:sz="4" w:space="0" w:color="auto"/>
              <w:left w:val="single" w:sz="4" w:space="0" w:color="auto"/>
              <w:bottom w:val="single" w:sz="4" w:space="0" w:color="auto"/>
              <w:right w:val="single" w:sz="4" w:space="0" w:color="auto"/>
            </w:tcBorders>
            <w:vAlign w:val="center"/>
            <w:hideMark/>
          </w:tcPr>
          <w:p w14:paraId="0B9E2D34" w14:textId="77777777" w:rsidR="008311D9" w:rsidRPr="008311D9" w:rsidRDefault="008311D9" w:rsidP="00EA6BB2">
            <w:pPr>
              <w:rPr>
                <w:rFonts w:ascii="Arial" w:hAnsi="Arial" w:cs="Arial"/>
                <w:bCs/>
                <w:sz w:val="20"/>
                <w:szCs w:val="20"/>
              </w:rPr>
            </w:pPr>
            <w:r w:rsidRPr="008311D9">
              <w:rPr>
                <w:rFonts w:ascii="Arial" w:hAnsi="Arial" w:cs="Arial"/>
                <w:bCs/>
                <w:sz w:val="20"/>
                <w:szCs w:val="20"/>
              </w:rPr>
              <w:t>Pomoći korisnika</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E38CB14" w14:textId="77777777" w:rsidR="008311D9" w:rsidRPr="008311D9" w:rsidRDefault="008311D9" w:rsidP="00EA6BB2">
            <w:pPr>
              <w:keepNext/>
              <w:keepLines/>
              <w:outlineLvl w:val="1"/>
              <w:rPr>
                <w:rFonts w:ascii="Arial" w:hAnsi="Arial" w:cs="Arial"/>
                <w:bCs/>
                <w:sz w:val="20"/>
                <w:szCs w:val="20"/>
              </w:rPr>
            </w:pPr>
            <w:r w:rsidRPr="008311D9">
              <w:rPr>
                <w:rFonts w:ascii="Arial" w:hAnsi="Arial" w:cs="Arial"/>
                <w:bCs/>
                <w:sz w:val="20"/>
                <w:szCs w:val="20"/>
              </w:rPr>
              <w:t>5.9.000001</w:t>
            </w:r>
          </w:p>
        </w:tc>
        <w:tc>
          <w:tcPr>
            <w:tcW w:w="1809" w:type="dxa"/>
            <w:tcBorders>
              <w:top w:val="single" w:sz="4" w:space="0" w:color="auto"/>
              <w:left w:val="single" w:sz="4" w:space="0" w:color="auto"/>
              <w:bottom w:val="single" w:sz="4" w:space="0" w:color="auto"/>
              <w:right w:val="single" w:sz="4" w:space="0" w:color="auto"/>
            </w:tcBorders>
            <w:vAlign w:val="center"/>
            <w:hideMark/>
          </w:tcPr>
          <w:p w14:paraId="73D39807"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2.841,00</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77C359D"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15.661,00</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3217F43"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18.502,00</w:t>
            </w:r>
          </w:p>
        </w:tc>
      </w:tr>
      <w:tr w:rsidR="008311D9" w:rsidRPr="008311D9" w14:paraId="14A5CC12" w14:textId="77777777" w:rsidTr="00EA6BB2">
        <w:trPr>
          <w:trHeight w:val="454"/>
          <w:jc w:val="center"/>
        </w:trPr>
        <w:tc>
          <w:tcPr>
            <w:tcW w:w="1960" w:type="dxa"/>
            <w:tcBorders>
              <w:top w:val="single" w:sz="4" w:space="0" w:color="auto"/>
              <w:left w:val="single" w:sz="4" w:space="0" w:color="auto"/>
              <w:bottom w:val="single" w:sz="4" w:space="0" w:color="auto"/>
              <w:right w:val="single" w:sz="4" w:space="0" w:color="auto"/>
            </w:tcBorders>
            <w:vAlign w:val="center"/>
            <w:hideMark/>
          </w:tcPr>
          <w:p w14:paraId="52CBEC43" w14:textId="77777777" w:rsidR="008311D9" w:rsidRPr="008311D9" w:rsidRDefault="008311D9" w:rsidP="00EA6BB2">
            <w:pPr>
              <w:rPr>
                <w:rFonts w:ascii="Arial" w:hAnsi="Arial" w:cs="Arial"/>
                <w:bCs/>
                <w:sz w:val="20"/>
                <w:szCs w:val="20"/>
              </w:rPr>
            </w:pPr>
            <w:r w:rsidRPr="008311D9">
              <w:rPr>
                <w:rFonts w:ascii="Arial" w:hAnsi="Arial" w:cs="Arial"/>
                <w:bCs/>
                <w:sz w:val="20"/>
                <w:szCs w:val="20"/>
              </w:rPr>
              <w:t>Pomoći iz Općinskih proračuna</w:t>
            </w:r>
          </w:p>
        </w:tc>
        <w:tc>
          <w:tcPr>
            <w:tcW w:w="1509" w:type="dxa"/>
            <w:tcBorders>
              <w:top w:val="single" w:sz="4" w:space="0" w:color="auto"/>
              <w:left w:val="single" w:sz="4" w:space="0" w:color="auto"/>
              <w:bottom w:val="single" w:sz="4" w:space="0" w:color="auto"/>
              <w:right w:val="single" w:sz="4" w:space="0" w:color="auto"/>
            </w:tcBorders>
            <w:hideMark/>
          </w:tcPr>
          <w:p w14:paraId="7433A74B" w14:textId="77777777" w:rsidR="008311D9" w:rsidRPr="008311D9" w:rsidRDefault="008311D9" w:rsidP="00EA6BB2">
            <w:pPr>
              <w:keepNext/>
              <w:keepLines/>
              <w:jc w:val="both"/>
              <w:outlineLvl w:val="1"/>
              <w:rPr>
                <w:rFonts w:ascii="Arial" w:hAnsi="Arial" w:cs="Arial"/>
                <w:bCs/>
                <w:sz w:val="20"/>
                <w:szCs w:val="20"/>
              </w:rPr>
            </w:pPr>
            <w:r w:rsidRPr="008311D9">
              <w:rPr>
                <w:rFonts w:ascii="Arial" w:hAnsi="Arial" w:cs="Arial"/>
                <w:bCs/>
                <w:sz w:val="20"/>
                <w:szCs w:val="20"/>
              </w:rPr>
              <w:t>5.9.000002</w:t>
            </w:r>
          </w:p>
        </w:tc>
        <w:tc>
          <w:tcPr>
            <w:tcW w:w="1809" w:type="dxa"/>
            <w:tcBorders>
              <w:top w:val="single" w:sz="4" w:space="0" w:color="auto"/>
              <w:left w:val="single" w:sz="4" w:space="0" w:color="auto"/>
              <w:bottom w:val="single" w:sz="4" w:space="0" w:color="auto"/>
              <w:right w:val="single" w:sz="4" w:space="0" w:color="auto"/>
            </w:tcBorders>
            <w:vAlign w:val="center"/>
            <w:hideMark/>
          </w:tcPr>
          <w:p w14:paraId="7CA5EA18"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-171,00</w:t>
            </w:r>
          </w:p>
        </w:tc>
        <w:tc>
          <w:tcPr>
            <w:tcW w:w="1809" w:type="dxa"/>
            <w:tcBorders>
              <w:top w:val="single" w:sz="4" w:space="0" w:color="auto"/>
              <w:left w:val="single" w:sz="4" w:space="0" w:color="auto"/>
              <w:bottom w:val="single" w:sz="4" w:space="0" w:color="auto"/>
              <w:right w:val="single" w:sz="4" w:space="0" w:color="auto"/>
            </w:tcBorders>
            <w:vAlign w:val="center"/>
            <w:hideMark/>
          </w:tcPr>
          <w:p w14:paraId="041292AF"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1.017.069,00</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791EFB5"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1.016.898,00</w:t>
            </w:r>
          </w:p>
        </w:tc>
      </w:tr>
      <w:tr w:rsidR="008311D9" w:rsidRPr="008311D9" w14:paraId="73A64201" w14:textId="77777777" w:rsidTr="00EA6BB2">
        <w:trPr>
          <w:trHeight w:val="454"/>
          <w:jc w:val="center"/>
        </w:trPr>
        <w:tc>
          <w:tcPr>
            <w:tcW w:w="1960" w:type="dxa"/>
            <w:tcBorders>
              <w:top w:val="single" w:sz="4" w:space="0" w:color="auto"/>
              <w:left w:val="single" w:sz="4" w:space="0" w:color="auto"/>
              <w:bottom w:val="single" w:sz="4" w:space="0" w:color="auto"/>
              <w:right w:val="single" w:sz="4" w:space="0" w:color="auto"/>
            </w:tcBorders>
            <w:vAlign w:val="center"/>
            <w:hideMark/>
          </w:tcPr>
          <w:p w14:paraId="379295CC" w14:textId="77777777" w:rsidR="008311D9" w:rsidRPr="008311D9" w:rsidRDefault="008311D9" w:rsidP="00EA6BB2">
            <w:pPr>
              <w:rPr>
                <w:rFonts w:ascii="Arial" w:hAnsi="Arial" w:cs="Arial"/>
                <w:bCs/>
                <w:sz w:val="20"/>
                <w:szCs w:val="20"/>
              </w:rPr>
            </w:pPr>
            <w:r w:rsidRPr="008311D9">
              <w:rPr>
                <w:rFonts w:ascii="Arial" w:hAnsi="Arial" w:cs="Arial"/>
                <w:bCs/>
                <w:sz w:val="20"/>
                <w:szCs w:val="20"/>
              </w:rPr>
              <w:t>Donacije</w:t>
            </w:r>
          </w:p>
        </w:tc>
        <w:tc>
          <w:tcPr>
            <w:tcW w:w="1509" w:type="dxa"/>
            <w:tcBorders>
              <w:top w:val="single" w:sz="4" w:space="0" w:color="auto"/>
              <w:left w:val="single" w:sz="4" w:space="0" w:color="auto"/>
              <w:bottom w:val="single" w:sz="4" w:space="0" w:color="auto"/>
              <w:right w:val="single" w:sz="4" w:space="0" w:color="auto"/>
            </w:tcBorders>
            <w:hideMark/>
          </w:tcPr>
          <w:p w14:paraId="0D8982FD" w14:textId="77777777" w:rsidR="008311D9" w:rsidRPr="008311D9" w:rsidRDefault="008311D9" w:rsidP="00EA6BB2">
            <w:pPr>
              <w:keepNext/>
              <w:keepLines/>
              <w:jc w:val="both"/>
              <w:outlineLvl w:val="1"/>
              <w:rPr>
                <w:rFonts w:ascii="Arial" w:hAnsi="Arial" w:cs="Arial"/>
                <w:bCs/>
                <w:sz w:val="20"/>
                <w:szCs w:val="20"/>
              </w:rPr>
            </w:pPr>
            <w:r w:rsidRPr="008311D9">
              <w:rPr>
                <w:rFonts w:ascii="Arial" w:hAnsi="Arial" w:cs="Arial"/>
                <w:bCs/>
                <w:sz w:val="20"/>
                <w:szCs w:val="20"/>
              </w:rPr>
              <w:t>6.9.000001</w:t>
            </w:r>
          </w:p>
        </w:tc>
        <w:tc>
          <w:tcPr>
            <w:tcW w:w="1809" w:type="dxa"/>
            <w:tcBorders>
              <w:top w:val="single" w:sz="4" w:space="0" w:color="auto"/>
              <w:left w:val="single" w:sz="4" w:space="0" w:color="auto"/>
              <w:bottom w:val="single" w:sz="4" w:space="0" w:color="auto"/>
              <w:right w:val="single" w:sz="4" w:space="0" w:color="auto"/>
            </w:tcBorders>
            <w:vAlign w:val="center"/>
            <w:hideMark/>
          </w:tcPr>
          <w:p w14:paraId="6F72C926"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2.000,00</w:t>
            </w:r>
          </w:p>
        </w:tc>
        <w:tc>
          <w:tcPr>
            <w:tcW w:w="1809" w:type="dxa"/>
            <w:tcBorders>
              <w:top w:val="single" w:sz="4" w:space="0" w:color="auto"/>
              <w:left w:val="single" w:sz="4" w:space="0" w:color="auto"/>
              <w:bottom w:val="single" w:sz="4" w:space="0" w:color="auto"/>
              <w:right w:val="single" w:sz="4" w:space="0" w:color="auto"/>
            </w:tcBorders>
            <w:vAlign w:val="center"/>
            <w:hideMark/>
          </w:tcPr>
          <w:p w14:paraId="219B9B36"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3.000,00</w:t>
            </w:r>
          </w:p>
        </w:tc>
        <w:tc>
          <w:tcPr>
            <w:tcW w:w="1809" w:type="dxa"/>
            <w:tcBorders>
              <w:top w:val="single" w:sz="4" w:space="0" w:color="auto"/>
              <w:left w:val="single" w:sz="4" w:space="0" w:color="auto"/>
              <w:bottom w:val="single" w:sz="4" w:space="0" w:color="auto"/>
              <w:right w:val="single" w:sz="4" w:space="0" w:color="auto"/>
            </w:tcBorders>
            <w:vAlign w:val="center"/>
            <w:hideMark/>
          </w:tcPr>
          <w:p w14:paraId="699E2960"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5.000,00</w:t>
            </w:r>
          </w:p>
        </w:tc>
      </w:tr>
      <w:tr w:rsidR="008311D9" w:rsidRPr="008311D9" w14:paraId="09145D0F" w14:textId="77777777" w:rsidTr="00EA6BB2">
        <w:trPr>
          <w:trHeight w:val="454"/>
          <w:jc w:val="center"/>
        </w:trPr>
        <w:tc>
          <w:tcPr>
            <w:tcW w:w="1960" w:type="dxa"/>
            <w:tcBorders>
              <w:top w:val="single" w:sz="4" w:space="0" w:color="auto"/>
              <w:left w:val="single" w:sz="4" w:space="0" w:color="auto"/>
              <w:bottom w:val="single" w:sz="4" w:space="0" w:color="auto"/>
              <w:right w:val="single" w:sz="4" w:space="0" w:color="auto"/>
            </w:tcBorders>
            <w:vAlign w:val="center"/>
            <w:hideMark/>
          </w:tcPr>
          <w:p w14:paraId="4C3F236A" w14:textId="77777777" w:rsidR="008311D9" w:rsidRPr="008311D9" w:rsidRDefault="008311D9" w:rsidP="00EA6BB2">
            <w:pPr>
              <w:rPr>
                <w:rFonts w:ascii="Arial" w:hAnsi="Arial" w:cs="Arial"/>
                <w:bCs/>
                <w:sz w:val="20"/>
                <w:szCs w:val="20"/>
              </w:rPr>
            </w:pPr>
            <w:r w:rsidRPr="008311D9">
              <w:rPr>
                <w:rFonts w:ascii="Arial" w:hAnsi="Arial" w:cs="Arial"/>
                <w:bCs/>
                <w:sz w:val="20"/>
                <w:szCs w:val="20"/>
              </w:rPr>
              <w:t>Prihodi od naknada šteta</w:t>
            </w:r>
          </w:p>
        </w:tc>
        <w:tc>
          <w:tcPr>
            <w:tcW w:w="1509" w:type="dxa"/>
            <w:tcBorders>
              <w:top w:val="single" w:sz="4" w:space="0" w:color="auto"/>
              <w:left w:val="single" w:sz="4" w:space="0" w:color="auto"/>
              <w:bottom w:val="single" w:sz="4" w:space="0" w:color="auto"/>
              <w:right w:val="single" w:sz="4" w:space="0" w:color="auto"/>
            </w:tcBorders>
            <w:hideMark/>
          </w:tcPr>
          <w:p w14:paraId="2D3E6782" w14:textId="77777777" w:rsidR="008311D9" w:rsidRPr="008311D9" w:rsidRDefault="008311D9" w:rsidP="00EA6BB2">
            <w:pPr>
              <w:keepNext/>
              <w:keepLines/>
              <w:jc w:val="both"/>
              <w:outlineLvl w:val="1"/>
              <w:rPr>
                <w:rFonts w:ascii="Arial" w:hAnsi="Arial" w:cs="Arial"/>
                <w:bCs/>
                <w:sz w:val="20"/>
                <w:szCs w:val="20"/>
              </w:rPr>
            </w:pPr>
            <w:r w:rsidRPr="008311D9">
              <w:rPr>
                <w:rFonts w:ascii="Arial" w:hAnsi="Arial" w:cs="Arial"/>
                <w:bCs/>
                <w:sz w:val="20"/>
                <w:szCs w:val="20"/>
              </w:rPr>
              <w:t>7.9.000001</w:t>
            </w:r>
          </w:p>
        </w:tc>
        <w:tc>
          <w:tcPr>
            <w:tcW w:w="1809" w:type="dxa"/>
            <w:tcBorders>
              <w:top w:val="single" w:sz="4" w:space="0" w:color="auto"/>
              <w:left w:val="single" w:sz="4" w:space="0" w:color="auto"/>
              <w:bottom w:val="single" w:sz="4" w:space="0" w:color="auto"/>
              <w:right w:val="single" w:sz="4" w:space="0" w:color="auto"/>
            </w:tcBorders>
            <w:vAlign w:val="center"/>
            <w:hideMark/>
          </w:tcPr>
          <w:p w14:paraId="4E15C370"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0,00</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3F77807"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2.000,00</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7C4844D" w14:textId="77777777" w:rsidR="008311D9" w:rsidRPr="008311D9" w:rsidRDefault="008311D9" w:rsidP="00EA6BB2">
            <w:pPr>
              <w:jc w:val="right"/>
              <w:rPr>
                <w:rFonts w:ascii="Arial" w:hAnsi="Arial" w:cs="Arial"/>
                <w:color w:val="000000"/>
                <w:sz w:val="20"/>
                <w:szCs w:val="20"/>
              </w:rPr>
            </w:pPr>
            <w:r w:rsidRPr="008311D9">
              <w:rPr>
                <w:rFonts w:ascii="Arial" w:hAnsi="Arial" w:cs="Arial"/>
                <w:color w:val="000000"/>
                <w:sz w:val="20"/>
                <w:szCs w:val="20"/>
              </w:rPr>
              <w:t>2.000,00</w:t>
            </w:r>
          </w:p>
        </w:tc>
      </w:tr>
      <w:tr w:rsidR="008311D9" w:rsidRPr="008311D9" w14:paraId="20373664" w14:textId="77777777" w:rsidTr="00EA6BB2">
        <w:trPr>
          <w:trHeight w:val="454"/>
          <w:jc w:val="center"/>
        </w:trPr>
        <w:tc>
          <w:tcPr>
            <w:tcW w:w="1960" w:type="dxa"/>
            <w:tcBorders>
              <w:top w:val="single" w:sz="4" w:space="0" w:color="auto"/>
              <w:left w:val="single" w:sz="4" w:space="0" w:color="auto"/>
              <w:bottom w:val="single" w:sz="4" w:space="0" w:color="auto"/>
              <w:right w:val="single" w:sz="4" w:space="0" w:color="auto"/>
            </w:tcBorders>
            <w:vAlign w:val="center"/>
            <w:hideMark/>
          </w:tcPr>
          <w:p w14:paraId="6D42CF2E" w14:textId="77777777" w:rsidR="008311D9" w:rsidRPr="008311D9" w:rsidRDefault="008311D9" w:rsidP="00EA6BB2">
            <w:pPr>
              <w:rPr>
                <w:rFonts w:ascii="Arial" w:hAnsi="Arial" w:cs="Arial"/>
                <w:b/>
                <w:sz w:val="20"/>
                <w:szCs w:val="20"/>
              </w:rPr>
            </w:pPr>
            <w:r w:rsidRPr="008311D9">
              <w:rPr>
                <w:rFonts w:ascii="Arial" w:hAnsi="Arial" w:cs="Arial"/>
                <w:b/>
                <w:sz w:val="20"/>
                <w:szCs w:val="20"/>
              </w:rPr>
              <w:t xml:space="preserve">                         UKUPNO:</w:t>
            </w:r>
          </w:p>
        </w:tc>
        <w:tc>
          <w:tcPr>
            <w:tcW w:w="1509" w:type="dxa"/>
            <w:tcBorders>
              <w:top w:val="single" w:sz="4" w:space="0" w:color="auto"/>
              <w:left w:val="single" w:sz="4" w:space="0" w:color="auto"/>
              <w:bottom w:val="single" w:sz="4" w:space="0" w:color="auto"/>
              <w:right w:val="single" w:sz="4" w:space="0" w:color="auto"/>
            </w:tcBorders>
          </w:tcPr>
          <w:p w14:paraId="37130389" w14:textId="77777777" w:rsidR="008311D9" w:rsidRPr="008311D9" w:rsidRDefault="008311D9" w:rsidP="00EA6BB2">
            <w:pPr>
              <w:keepNext/>
              <w:keepLines/>
              <w:jc w:val="center"/>
              <w:outlineLvl w:val="1"/>
              <w:rPr>
                <w:rFonts w:ascii="Arial" w:hAnsi="Arial" w:cs="Arial"/>
                <w:b/>
                <w:sz w:val="20"/>
                <w:szCs w:val="20"/>
              </w:rPr>
            </w:pPr>
          </w:p>
        </w:tc>
        <w:tc>
          <w:tcPr>
            <w:tcW w:w="1809" w:type="dxa"/>
            <w:tcBorders>
              <w:top w:val="single" w:sz="4" w:space="0" w:color="auto"/>
              <w:left w:val="single" w:sz="4" w:space="0" w:color="auto"/>
              <w:bottom w:val="single" w:sz="4" w:space="0" w:color="auto"/>
              <w:right w:val="single" w:sz="4" w:space="0" w:color="auto"/>
            </w:tcBorders>
            <w:vAlign w:val="center"/>
            <w:hideMark/>
          </w:tcPr>
          <w:p w14:paraId="6F7B60EE" w14:textId="77777777" w:rsidR="008311D9" w:rsidRPr="008311D9" w:rsidRDefault="008311D9" w:rsidP="00EA6BB2">
            <w:pPr>
              <w:jc w:val="right"/>
              <w:rPr>
                <w:rFonts w:ascii="Arial" w:hAnsi="Arial" w:cs="Arial"/>
                <w:color w:val="000000"/>
                <w:sz w:val="20"/>
                <w:szCs w:val="20"/>
              </w:rPr>
            </w:pPr>
            <w:r w:rsidRPr="008311D9">
              <w:rPr>
                <w:rFonts w:ascii="Arial" w:hAnsi="Arial" w:cs="Arial"/>
                <w:b/>
                <w:bCs/>
                <w:color w:val="000000"/>
                <w:sz w:val="20"/>
                <w:szCs w:val="20"/>
              </w:rPr>
              <w:t>-34.289,00</w:t>
            </w:r>
          </w:p>
        </w:tc>
        <w:tc>
          <w:tcPr>
            <w:tcW w:w="1809" w:type="dxa"/>
            <w:tcBorders>
              <w:top w:val="single" w:sz="4" w:space="0" w:color="auto"/>
              <w:left w:val="single" w:sz="4" w:space="0" w:color="auto"/>
              <w:bottom w:val="single" w:sz="4" w:space="0" w:color="auto"/>
              <w:right w:val="single" w:sz="4" w:space="0" w:color="auto"/>
            </w:tcBorders>
            <w:vAlign w:val="center"/>
            <w:hideMark/>
          </w:tcPr>
          <w:p w14:paraId="6B427335" w14:textId="77777777" w:rsidR="008311D9" w:rsidRPr="008311D9" w:rsidRDefault="008311D9" w:rsidP="00EA6BB2">
            <w:pPr>
              <w:jc w:val="right"/>
              <w:rPr>
                <w:rFonts w:ascii="Arial" w:hAnsi="Arial" w:cs="Arial"/>
                <w:color w:val="000000"/>
                <w:sz w:val="20"/>
                <w:szCs w:val="20"/>
              </w:rPr>
            </w:pPr>
            <w:r w:rsidRPr="008311D9">
              <w:rPr>
                <w:rFonts w:ascii="Arial" w:hAnsi="Arial" w:cs="Arial"/>
                <w:b/>
                <w:bCs/>
                <w:color w:val="000000"/>
                <w:sz w:val="20"/>
                <w:szCs w:val="20"/>
              </w:rPr>
              <w:t>3.777.811,00</w:t>
            </w:r>
          </w:p>
        </w:tc>
        <w:tc>
          <w:tcPr>
            <w:tcW w:w="1809" w:type="dxa"/>
            <w:tcBorders>
              <w:top w:val="single" w:sz="4" w:space="0" w:color="auto"/>
              <w:left w:val="single" w:sz="4" w:space="0" w:color="auto"/>
              <w:bottom w:val="single" w:sz="4" w:space="0" w:color="auto"/>
              <w:right w:val="single" w:sz="4" w:space="0" w:color="auto"/>
            </w:tcBorders>
            <w:vAlign w:val="center"/>
            <w:hideMark/>
          </w:tcPr>
          <w:p w14:paraId="6F4AB60E" w14:textId="77777777" w:rsidR="008311D9" w:rsidRPr="008311D9" w:rsidRDefault="008311D9" w:rsidP="00EA6BB2">
            <w:pPr>
              <w:jc w:val="right"/>
              <w:rPr>
                <w:rFonts w:ascii="Arial" w:hAnsi="Arial" w:cs="Arial"/>
                <w:color w:val="000000"/>
                <w:sz w:val="20"/>
                <w:szCs w:val="20"/>
              </w:rPr>
            </w:pPr>
            <w:r w:rsidRPr="008311D9">
              <w:rPr>
                <w:rFonts w:ascii="Arial" w:hAnsi="Arial" w:cs="Arial"/>
                <w:b/>
                <w:bCs/>
                <w:color w:val="000000"/>
                <w:sz w:val="20"/>
                <w:szCs w:val="20"/>
              </w:rPr>
              <w:t>3.743.522,00</w:t>
            </w:r>
          </w:p>
        </w:tc>
      </w:tr>
    </w:tbl>
    <w:p w14:paraId="012E6530" w14:textId="77777777" w:rsidR="008311D9" w:rsidRDefault="008311D9" w:rsidP="008311D9">
      <w:pPr>
        <w:spacing w:line="360" w:lineRule="auto"/>
        <w:ind w:firstLine="357"/>
        <w:jc w:val="both"/>
        <w:rPr>
          <w:lang w:eastAsia="en-US"/>
        </w:rPr>
      </w:pPr>
    </w:p>
    <w:p w14:paraId="6FD37EFD" w14:textId="77777777" w:rsidR="00AD7F21" w:rsidRDefault="00AD7F21" w:rsidP="008311D9">
      <w:pPr>
        <w:spacing w:line="360" w:lineRule="auto"/>
        <w:ind w:firstLine="357"/>
        <w:jc w:val="both"/>
        <w:rPr>
          <w:lang w:eastAsia="en-US"/>
        </w:rPr>
      </w:pPr>
    </w:p>
    <w:p w14:paraId="6BEC8128" w14:textId="77777777" w:rsidR="008311D9" w:rsidRPr="00670BA2" w:rsidRDefault="008311D9" w:rsidP="00AD7F21">
      <w:pPr>
        <w:spacing w:line="259" w:lineRule="auto"/>
        <w:ind w:firstLine="357"/>
        <w:jc w:val="both"/>
        <w:rPr>
          <w:rFonts w:ascii="Arial" w:hAnsi="Arial" w:cs="Arial"/>
          <w:b/>
          <w:bCs/>
        </w:rPr>
      </w:pPr>
      <w:r w:rsidRPr="00670BA2">
        <w:rPr>
          <w:rFonts w:ascii="Arial" w:hAnsi="Arial" w:cs="Arial"/>
          <w:b/>
          <w:bCs/>
        </w:rPr>
        <w:t>OBRAZLOŽENJE POSEBNOG DIJELA PRORAČUNA</w:t>
      </w:r>
    </w:p>
    <w:p w14:paraId="6B23C780" w14:textId="77777777" w:rsidR="008311D9" w:rsidRPr="00AD7F21" w:rsidRDefault="008311D9" w:rsidP="00AD7F21">
      <w:pPr>
        <w:spacing w:line="259" w:lineRule="auto"/>
        <w:ind w:firstLine="357"/>
        <w:jc w:val="both"/>
        <w:rPr>
          <w:rFonts w:ascii="Arial" w:hAnsi="Arial" w:cs="Arial"/>
          <w:sz w:val="22"/>
          <w:szCs w:val="22"/>
        </w:rPr>
      </w:pPr>
    </w:p>
    <w:p w14:paraId="56A97B80" w14:textId="30761FC6" w:rsidR="008311D9" w:rsidRPr="00AD7F21" w:rsidRDefault="008311D9">
      <w:pPr>
        <w:pStyle w:val="Odlomakpopisa"/>
        <w:numPr>
          <w:ilvl w:val="0"/>
          <w:numId w:val="18"/>
        </w:numPr>
        <w:spacing w:line="259" w:lineRule="auto"/>
        <w:rPr>
          <w:rFonts w:ascii="Arial" w:hAnsi="Arial" w:cs="Arial"/>
        </w:rPr>
      </w:pPr>
      <w:r w:rsidRPr="00AD7F21">
        <w:rPr>
          <w:rFonts w:ascii="Arial" w:hAnsi="Arial" w:cs="Arial"/>
        </w:rPr>
        <w:t xml:space="preserve">Sažetak djelokruga rada proračunskog korisnika </w:t>
      </w:r>
    </w:p>
    <w:p w14:paraId="3EF3BD09" w14:textId="77777777" w:rsidR="008311D9" w:rsidRPr="00AD7F21" w:rsidRDefault="008311D9" w:rsidP="00AD7F21">
      <w:pPr>
        <w:spacing w:line="259" w:lineRule="auto"/>
        <w:ind w:firstLine="708"/>
        <w:jc w:val="both"/>
        <w:rPr>
          <w:rFonts w:ascii="Arial" w:hAnsi="Arial" w:cs="Arial"/>
          <w:sz w:val="22"/>
          <w:szCs w:val="22"/>
        </w:rPr>
      </w:pPr>
      <w:r w:rsidRPr="00AD7F21">
        <w:rPr>
          <w:rFonts w:ascii="Arial" w:hAnsi="Arial" w:cs="Arial"/>
          <w:sz w:val="22"/>
          <w:szCs w:val="22"/>
        </w:rPr>
        <w:t xml:space="preserve"> Dječji vrtić „</w:t>
      </w:r>
      <w:proofErr w:type="spellStart"/>
      <w:r w:rsidRPr="00AD7F21">
        <w:rPr>
          <w:rFonts w:ascii="Arial" w:hAnsi="Arial" w:cs="Arial"/>
          <w:sz w:val="22"/>
          <w:szCs w:val="22"/>
        </w:rPr>
        <w:t>Pjerina</w:t>
      </w:r>
      <w:proofErr w:type="spellEnd"/>
      <w:r w:rsidRPr="00AD7F21">
        <w:rPr>
          <w:rFonts w:ascii="Arial" w:hAnsi="Arial" w:cs="Arial"/>
          <w:sz w:val="22"/>
          <w:szCs w:val="22"/>
        </w:rPr>
        <w:t xml:space="preserve"> </w:t>
      </w:r>
      <w:proofErr w:type="spellStart"/>
      <w:r w:rsidRPr="00AD7F21">
        <w:rPr>
          <w:rFonts w:ascii="Arial" w:hAnsi="Arial" w:cs="Arial"/>
          <w:sz w:val="22"/>
          <w:szCs w:val="22"/>
        </w:rPr>
        <w:t>Verbanac</w:t>
      </w:r>
      <w:proofErr w:type="spellEnd"/>
      <w:r w:rsidRPr="00AD7F21">
        <w:rPr>
          <w:rFonts w:ascii="Arial" w:hAnsi="Arial" w:cs="Arial"/>
          <w:sz w:val="22"/>
          <w:szCs w:val="22"/>
        </w:rPr>
        <w:t>“ Labin obavlja javnu djelatnost sukladno Zakonu o ranom i predškolskom odgoju, Pravilniku o načinu raspolaganja sredstvima državnog, gradskog i općinskih proračuna, mjerilima sufinanciranja programa predškolskog odgoja, Državnog pedagoškog standarda predškolskog odgoja i naobrazbe.</w:t>
      </w:r>
    </w:p>
    <w:p w14:paraId="27A7CC73" w14:textId="77777777" w:rsidR="008311D9" w:rsidRPr="00AD7F21" w:rsidRDefault="008311D9" w:rsidP="00AD7F21">
      <w:pPr>
        <w:spacing w:line="259" w:lineRule="auto"/>
        <w:ind w:firstLine="708"/>
        <w:jc w:val="both"/>
        <w:rPr>
          <w:rFonts w:ascii="Arial" w:hAnsi="Arial" w:cs="Arial"/>
          <w:sz w:val="22"/>
          <w:szCs w:val="22"/>
        </w:rPr>
      </w:pPr>
      <w:r w:rsidRPr="00AD7F21">
        <w:rPr>
          <w:rFonts w:ascii="Arial" w:hAnsi="Arial" w:cs="Arial"/>
          <w:sz w:val="22"/>
          <w:szCs w:val="22"/>
        </w:rPr>
        <w:t>U vrtiću se provodi redovan cjelodnevni i poludnevni program, redovan program na talijanskom i engleskom jeziku sukladno Godišnjem planu i programu rada vrtića,  te Vrtićkom kurikulumu za pedagošku godinu 2024/2025. U redovan program vrtića integrirano je više djece s posebnim potrebama.</w:t>
      </w:r>
    </w:p>
    <w:p w14:paraId="6B5B2ADF" w14:textId="77777777" w:rsidR="008311D9" w:rsidRPr="00AD7F21" w:rsidRDefault="008311D9" w:rsidP="00AD7F21">
      <w:pPr>
        <w:spacing w:line="259" w:lineRule="auto"/>
        <w:jc w:val="both"/>
        <w:rPr>
          <w:rFonts w:ascii="Arial" w:hAnsi="Arial" w:cs="Arial"/>
          <w:sz w:val="22"/>
          <w:szCs w:val="22"/>
        </w:rPr>
      </w:pPr>
      <w:r w:rsidRPr="00AD7F21">
        <w:rPr>
          <w:rFonts w:ascii="Arial" w:hAnsi="Arial" w:cs="Arial"/>
          <w:sz w:val="22"/>
          <w:szCs w:val="22"/>
        </w:rPr>
        <w:tab/>
        <w:t xml:space="preserve">Vrtić pohađa 500 djece raspoređenih u 28 grupa i to 10 jasličkih i 18 mješovitih vrtićkih grupa. Vrtić ima 91 stalno zaposlenih djelatnika i to: 56 odgojitelja, ravnateljicu, pedagoginju, </w:t>
      </w:r>
      <w:proofErr w:type="spellStart"/>
      <w:r w:rsidRPr="00AD7F21">
        <w:rPr>
          <w:rFonts w:ascii="Arial" w:hAnsi="Arial" w:cs="Arial"/>
          <w:sz w:val="22"/>
          <w:szCs w:val="22"/>
        </w:rPr>
        <w:t>logopedinju</w:t>
      </w:r>
      <w:proofErr w:type="spellEnd"/>
      <w:r w:rsidRPr="00AD7F21">
        <w:rPr>
          <w:rFonts w:ascii="Arial" w:hAnsi="Arial" w:cs="Arial"/>
          <w:sz w:val="22"/>
          <w:szCs w:val="22"/>
        </w:rPr>
        <w:t xml:space="preserve"> edukacijskog </w:t>
      </w:r>
      <w:proofErr w:type="spellStart"/>
      <w:r w:rsidRPr="00AD7F21">
        <w:rPr>
          <w:rFonts w:ascii="Arial" w:hAnsi="Arial" w:cs="Arial"/>
          <w:sz w:val="22"/>
          <w:szCs w:val="22"/>
        </w:rPr>
        <w:t>rehabilitatora</w:t>
      </w:r>
      <w:proofErr w:type="spellEnd"/>
      <w:r w:rsidRPr="00AD7F21">
        <w:rPr>
          <w:rFonts w:ascii="Arial" w:hAnsi="Arial" w:cs="Arial"/>
          <w:sz w:val="22"/>
          <w:szCs w:val="22"/>
        </w:rPr>
        <w:t>, zdravstvenog voditelja, 3 administrativna radnika i 27 pomoćna  radnika (domari, kuharice, spremačice, servirke) u razmještenih u 8 objekata. U vrtiću je trenutno zaposleno i 12 asistenata za rad s djecom s teškoćama u razvoju.</w:t>
      </w:r>
    </w:p>
    <w:p w14:paraId="238897B6" w14:textId="77777777" w:rsidR="008311D9" w:rsidRDefault="008311D9" w:rsidP="00AD7F21">
      <w:pPr>
        <w:spacing w:line="259" w:lineRule="auto"/>
        <w:jc w:val="both"/>
        <w:rPr>
          <w:rFonts w:ascii="Arial" w:hAnsi="Arial" w:cs="Arial"/>
          <w:sz w:val="22"/>
          <w:szCs w:val="22"/>
        </w:rPr>
      </w:pPr>
      <w:r w:rsidRPr="00AD7F21">
        <w:rPr>
          <w:rFonts w:ascii="Arial" w:hAnsi="Arial" w:cs="Arial"/>
          <w:sz w:val="22"/>
          <w:szCs w:val="22"/>
        </w:rPr>
        <w:lastRenderedPageBreak/>
        <w:tab/>
        <w:t>Vrtić je  vježbaonica studentima ranog i predškolskog odgoja, kao i odgajateljima na stručnom osposobljavanju nakon završenog studija.</w:t>
      </w:r>
    </w:p>
    <w:p w14:paraId="7C0709D5" w14:textId="77777777" w:rsidR="00AD7F21" w:rsidRDefault="00AD7F21" w:rsidP="00AD7F21">
      <w:pPr>
        <w:spacing w:line="259" w:lineRule="auto"/>
        <w:jc w:val="both"/>
        <w:rPr>
          <w:rFonts w:ascii="Arial" w:hAnsi="Arial" w:cs="Arial"/>
          <w:sz w:val="22"/>
          <w:szCs w:val="22"/>
        </w:rPr>
      </w:pPr>
    </w:p>
    <w:p w14:paraId="033E1E1D" w14:textId="77777777" w:rsidR="00AD7F21" w:rsidRPr="00AD7F21" w:rsidRDefault="00AD7F21" w:rsidP="00AD7F21">
      <w:pPr>
        <w:spacing w:line="259" w:lineRule="auto"/>
        <w:jc w:val="both"/>
        <w:rPr>
          <w:rFonts w:ascii="Arial" w:hAnsi="Arial" w:cs="Arial"/>
          <w:sz w:val="22"/>
          <w:szCs w:val="22"/>
        </w:rPr>
      </w:pPr>
    </w:p>
    <w:p w14:paraId="4A30EDC5" w14:textId="1762F171" w:rsidR="008311D9" w:rsidRPr="00AD7F21" w:rsidRDefault="008311D9">
      <w:pPr>
        <w:pStyle w:val="Odlomakpopisa"/>
        <w:numPr>
          <w:ilvl w:val="0"/>
          <w:numId w:val="18"/>
        </w:numPr>
        <w:spacing w:line="259" w:lineRule="auto"/>
        <w:rPr>
          <w:rFonts w:ascii="Arial" w:hAnsi="Arial" w:cs="Arial"/>
        </w:rPr>
      </w:pPr>
      <w:r w:rsidRPr="00AD7F21">
        <w:rPr>
          <w:rFonts w:ascii="Arial" w:hAnsi="Arial" w:cs="Arial"/>
        </w:rPr>
        <w:t>Obrazloženje programa rada vrtića</w:t>
      </w:r>
    </w:p>
    <w:p w14:paraId="521E7170" w14:textId="77777777" w:rsidR="008311D9" w:rsidRPr="00AD7F21" w:rsidRDefault="008311D9" w:rsidP="00AD7F21">
      <w:pPr>
        <w:spacing w:line="259" w:lineRule="auto"/>
        <w:ind w:firstLine="708"/>
        <w:jc w:val="both"/>
        <w:rPr>
          <w:rFonts w:ascii="Arial" w:hAnsi="Arial" w:cs="Arial"/>
          <w:sz w:val="22"/>
          <w:szCs w:val="22"/>
        </w:rPr>
      </w:pPr>
      <w:r w:rsidRPr="00AD7F21">
        <w:rPr>
          <w:rFonts w:ascii="Arial" w:hAnsi="Arial" w:cs="Arial"/>
          <w:sz w:val="22"/>
          <w:szCs w:val="22"/>
        </w:rPr>
        <w:t xml:space="preserve">Prioritet vrtića je stvoriti kvalitetan sustav predškolskog odgoja i naobrazbe što ostvarujemo: </w:t>
      </w:r>
    </w:p>
    <w:p w14:paraId="74F2AB7A" w14:textId="77777777" w:rsidR="008311D9" w:rsidRPr="00AD7F21" w:rsidRDefault="008311D9">
      <w:pPr>
        <w:numPr>
          <w:ilvl w:val="0"/>
          <w:numId w:val="16"/>
        </w:numPr>
        <w:tabs>
          <w:tab w:val="num" w:pos="720"/>
        </w:tabs>
        <w:spacing w:line="259" w:lineRule="auto"/>
        <w:jc w:val="both"/>
        <w:rPr>
          <w:rFonts w:ascii="Arial" w:hAnsi="Arial" w:cs="Arial"/>
          <w:sz w:val="22"/>
          <w:szCs w:val="22"/>
        </w:rPr>
      </w:pPr>
      <w:r w:rsidRPr="00AD7F21">
        <w:rPr>
          <w:rFonts w:ascii="Arial" w:hAnsi="Arial" w:cs="Arial"/>
          <w:sz w:val="22"/>
          <w:szCs w:val="22"/>
        </w:rPr>
        <w:t>stalnim usavršavanjem odgojitelja i stručnih suradnika (seminari, stručni skupovi, aktivi, ERASMUS projekti) i podizanjem  standarda na višu razinu;</w:t>
      </w:r>
    </w:p>
    <w:p w14:paraId="1CA966B3" w14:textId="77777777" w:rsidR="008311D9" w:rsidRPr="00AD7F21" w:rsidRDefault="008311D9">
      <w:pPr>
        <w:numPr>
          <w:ilvl w:val="0"/>
          <w:numId w:val="16"/>
        </w:numPr>
        <w:tabs>
          <w:tab w:val="num" w:pos="720"/>
        </w:tabs>
        <w:spacing w:line="259" w:lineRule="auto"/>
        <w:jc w:val="both"/>
        <w:rPr>
          <w:rFonts w:ascii="Arial" w:hAnsi="Arial" w:cs="Arial"/>
          <w:sz w:val="22"/>
          <w:szCs w:val="22"/>
        </w:rPr>
      </w:pPr>
      <w:r w:rsidRPr="00AD7F21">
        <w:rPr>
          <w:rFonts w:ascii="Arial" w:hAnsi="Arial" w:cs="Arial"/>
          <w:sz w:val="22"/>
          <w:szCs w:val="22"/>
        </w:rPr>
        <w:t>poticanjem djece na izražavanje kreativnosti, talenata i sposobnosti,  kroz uključivanje u razne aktivnosti,  projekte, priredbe i manifestacije u vrtiću i šire;</w:t>
      </w:r>
    </w:p>
    <w:p w14:paraId="29D5B2C7" w14:textId="77777777" w:rsidR="008311D9" w:rsidRPr="00AD7F21" w:rsidRDefault="008311D9">
      <w:pPr>
        <w:numPr>
          <w:ilvl w:val="0"/>
          <w:numId w:val="16"/>
        </w:numPr>
        <w:tabs>
          <w:tab w:val="num" w:pos="720"/>
        </w:tabs>
        <w:spacing w:line="259" w:lineRule="auto"/>
        <w:jc w:val="both"/>
        <w:rPr>
          <w:rFonts w:ascii="Arial" w:hAnsi="Arial" w:cs="Arial"/>
          <w:sz w:val="22"/>
          <w:szCs w:val="22"/>
        </w:rPr>
      </w:pPr>
      <w:r w:rsidRPr="00AD7F21">
        <w:rPr>
          <w:rFonts w:ascii="Arial" w:hAnsi="Arial" w:cs="Arial"/>
          <w:sz w:val="22"/>
          <w:szCs w:val="22"/>
        </w:rPr>
        <w:t>organiziranjem zajedničkih aktivnosti djece, roditelja i odgojitelja tijekom pedagoške godine;</w:t>
      </w:r>
    </w:p>
    <w:p w14:paraId="0638364B" w14:textId="77777777" w:rsidR="008311D9" w:rsidRPr="00AD7F21" w:rsidRDefault="008311D9">
      <w:pPr>
        <w:numPr>
          <w:ilvl w:val="0"/>
          <w:numId w:val="16"/>
        </w:numPr>
        <w:tabs>
          <w:tab w:val="num" w:pos="720"/>
        </w:tabs>
        <w:spacing w:line="259" w:lineRule="auto"/>
        <w:jc w:val="both"/>
        <w:rPr>
          <w:rFonts w:ascii="Arial" w:hAnsi="Arial" w:cs="Arial"/>
          <w:sz w:val="22"/>
          <w:szCs w:val="22"/>
        </w:rPr>
      </w:pPr>
      <w:r w:rsidRPr="00AD7F21">
        <w:rPr>
          <w:rFonts w:ascii="Arial" w:hAnsi="Arial" w:cs="Arial"/>
          <w:sz w:val="22"/>
          <w:szCs w:val="22"/>
        </w:rPr>
        <w:t>poticanjem razvoja pozitivnih vrijednosti.</w:t>
      </w:r>
    </w:p>
    <w:p w14:paraId="35877EFD" w14:textId="77777777" w:rsidR="008311D9" w:rsidRPr="00AD7F21" w:rsidRDefault="008311D9" w:rsidP="00AD7F21">
      <w:pPr>
        <w:spacing w:line="259" w:lineRule="auto"/>
        <w:rPr>
          <w:rFonts w:ascii="Arial" w:hAnsi="Arial" w:cs="Arial"/>
          <w:b/>
          <w:sz w:val="22"/>
          <w:szCs w:val="22"/>
        </w:rPr>
      </w:pPr>
    </w:p>
    <w:p w14:paraId="14E65417" w14:textId="77777777" w:rsidR="008311D9" w:rsidRPr="00AD7F21" w:rsidRDefault="008311D9" w:rsidP="00AD7F21">
      <w:pPr>
        <w:spacing w:line="259" w:lineRule="auto"/>
        <w:rPr>
          <w:rFonts w:ascii="Arial" w:hAnsi="Arial" w:cs="Arial"/>
          <w:sz w:val="22"/>
          <w:szCs w:val="22"/>
        </w:rPr>
      </w:pPr>
    </w:p>
    <w:p w14:paraId="6334C2A1" w14:textId="16142C66" w:rsidR="008311D9" w:rsidRPr="00AD7F21" w:rsidRDefault="008311D9">
      <w:pPr>
        <w:pStyle w:val="Odlomakpopisa"/>
        <w:numPr>
          <w:ilvl w:val="0"/>
          <w:numId w:val="18"/>
        </w:numPr>
        <w:spacing w:line="259" w:lineRule="auto"/>
        <w:rPr>
          <w:rFonts w:ascii="Arial" w:hAnsi="Arial" w:cs="Arial"/>
        </w:rPr>
      </w:pPr>
      <w:r w:rsidRPr="00AD7F21">
        <w:rPr>
          <w:rFonts w:ascii="Arial" w:hAnsi="Arial" w:cs="Arial"/>
        </w:rPr>
        <w:t>Zakonske i druge podloge na kojima se zasniva program rada škole</w:t>
      </w:r>
    </w:p>
    <w:p w14:paraId="7A1B973E" w14:textId="77777777" w:rsidR="008311D9" w:rsidRPr="00AD7F21" w:rsidRDefault="008311D9">
      <w:pPr>
        <w:numPr>
          <w:ilvl w:val="0"/>
          <w:numId w:val="17"/>
        </w:numPr>
        <w:spacing w:line="259" w:lineRule="auto"/>
        <w:jc w:val="both"/>
        <w:rPr>
          <w:rFonts w:ascii="Arial" w:hAnsi="Arial" w:cs="Arial"/>
          <w:sz w:val="22"/>
          <w:szCs w:val="22"/>
        </w:rPr>
      </w:pPr>
      <w:r w:rsidRPr="00AD7F21">
        <w:rPr>
          <w:rFonts w:ascii="Arial" w:hAnsi="Arial" w:cs="Arial"/>
          <w:sz w:val="22"/>
          <w:szCs w:val="22"/>
        </w:rPr>
        <w:t>Zakon  o predškolskom odgoju i obrazovanju (NN 10/97, 107/07, 94/13, 98/19, 57/22, 101/23)</w:t>
      </w:r>
    </w:p>
    <w:p w14:paraId="0F860FED" w14:textId="77777777" w:rsidR="008311D9" w:rsidRPr="00AD7F21" w:rsidRDefault="008311D9">
      <w:pPr>
        <w:numPr>
          <w:ilvl w:val="0"/>
          <w:numId w:val="17"/>
        </w:numPr>
        <w:spacing w:line="259" w:lineRule="auto"/>
        <w:jc w:val="both"/>
        <w:rPr>
          <w:rFonts w:ascii="Arial" w:hAnsi="Arial" w:cs="Arial"/>
          <w:sz w:val="22"/>
          <w:szCs w:val="22"/>
        </w:rPr>
      </w:pPr>
      <w:r w:rsidRPr="00AD7F21">
        <w:rPr>
          <w:rFonts w:ascii="Arial" w:hAnsi="Arial" w:cs="Arial"/>
          <w:sz w:val="22"/>
          <w:szCs w:val="22"/>
        </w:rPr>
        <w:t>Zakon o ustanovama, (NN  76/93., 29/97., 47/99., 35/08., 127/19, 151/22.)</w:t>
      </w:r>
    </w:p>
    <w:p w14:paraId="251DA7E1" w14:textId="77777777" w:rsidR="008311D9" w:rsidRPr="00AD7F21" w:rsidRDefault="008311D9">
      <w:pPr>
        <w:numPr>
          <w:ilvl w:val="0"/>
          <w:numId w:val="17"/>
        </w:numPr>
        <w:spacing w:line="259" w:lineRule="auto"/>
        <w:jc w:val="both"/>
        <w:rPr>
          <w:rFonts w:ascii="Arial" w:hAnsi="Arial" w:cs="Arial"/>
          <w:sz w:val="22"/>
          <w:szCs w:val="22"/>
        </w:rPr>
      </w:pPr>
      <w:r w:rsidRPr="00AD7F21">
        <w:rPr>
          <w:rFonts w:ascii="Arial" w:hAnsi="Arial" w:cs="Arial"/>
          <w:sz w:val="22"/>
          <w:szCs w:val="22"/>
        </w:rPr>
        <w:t>Zakon o proračunu, (NN 144/21), Pravilnik o proračunskim klasifikacijama (NN 26/10, 120/13, 01/20) i Pravilnik o proračunskom računovodstvu i računskom planu (NN br. 124/14, 115/15, 87/16, 126/19, 108/20.)</w:t>
      </w:r>
    </w:p>
    <w:p w14:paraId="7DBE1FBA" w14:textId="77777777" w:rsidR="008311D9" w:rsidRPr="00AD7F21" w:rsidRDefault="008311D9">
      <w:pPr>
        <w:numPr>
          <w:ilvl w:val="0"/>
          <w:numId w:val="17"/>
        </w:numPr>
        <w:spacing w:line="259" w:lineRule="auto"/>
        <w:jc w:val="both"/>
        <w:rPr>
          <w:rFonts w:ascii="Arial" w:hAnsi="Arial" w:cs="Arial"/>
          <w:sz w:val="22"/>
          <w:szCs w:val="22"/>
        </w:rPr>
      </w:pPr>
      <w:r w:rsidRPr="00AD7F21">
        <w:rPr>
          <w:rFonts w:ascii="Arial" w:hAnsi="Arial" w:cs="Arial"/>
          <w:sz w:val="22"/>
          <w:szCs w:val="22"/>
        </w:rPr>
        <w:t xml:space="preserve">Upute za izradu proračuna Grada Labina za razdoblje 2024.-2026. </w:t>
      </w:r>
    </w:p>
    <w:p w14:paraId="01D41D3B" w14:textId="77777777" w:rsidR="008311D9" w:rsidRPr="00AD7F21" w:rsidRDefault="008311D9">
      <w:pPr>
        <w:numPr>
          <w:ilvl w:val="0"/>
          <w:numId w:val="17"/>
        </w:numPr>
        <w:spacing w:line="259" w:lineRule="auto"/>
        <w:jc w:val="both"/>
        <w:rPr>
          <w:rFonts w:ascii="Arial" w:hAnsi="Arial" w:cs="Arial"/>
          <w:sz w:val="22"/>
          <w:szCs w:val="22"/>
        </w:rPr>
      </w:pPr>
      <w:r w:rsidRPr="00AD7F21">
        <w:rPr>
          <w:rFonts w:ascii="Arial" w:hAnsi="Arial" w:cs="Arial"/>
          <w:sz w:val="22"/>
          <w:szCs w:val="22"/>
        </w:rPr>
        <w:t>Godišnji plan i program rada vrtića, Vrtićki kurikulum Dječjeg vrtića „</w:t>
      </w:r>
      <w:proofErr w:type="spellStart"/>
      <w:r w:rsidRPr="00AD7F21">
        <w:rPr>
          <w:rFonts w:ascii="Arial" w:hAnsi="Arial" w:cs="Arial"/>
          <w:sz w:val="22"/>
          <w:szCs w:val="22"/>
        </w:rPr>
        <w:t>Pjerina</w:t>
      </w:r>
      <w:proofErr w:type="spellEnd"/>
      <w:r w:rsidRPr="00AD7F21">
        <w:rPr>
          <w:rFonts w:ascii="Arial" w:hAnsi="Arial" w:cs="Arial"/>
          <w:sz w:val="22"/>
          <w:szCs w:val="22"/>
        </w:rPr>
        <w:t xml:space="preserve"> </w:t>
      </w:r>
      <w:proofErr w:type="spellStart"/>
      <w:r w:rsidRPr="00AD7F21">
        <w:rPr>
          <w:rFonts w:ascii="Arial" w:hAnsi="Arial" w:cs="Arial"/>
          <w:sz w:val="22"/>
          <w:szCs w:val="22"/>
        </w:rPr>
        <w:t>Verbanac</w:t>
      </w:r>
      <w:proofErr w:type="spellEnd"/>
      <w:r w:rsidRPr="00AD7F21">
        <w:rPr>
          <w:rFonts w:ascii="Arial" w:hAnsi="Arial" w:cs="Arial"/>
          <w:sz w:val="22"/>
          <w:szCs w:val="22"/>
        </w:rPr>
        <w:t>“ Labin.</w:t>
      </w:r>
    </w:p>
    <w:p w14:paraId="4172213F" w14:textId="77777777" w:rsidR="008311D9" w:rsidRPr="00AD7F21" w:rsidRDefault="008311D9">
      <w:pPr>
        <w:numPr>
          <w:ilvl w:val="0"/>
          <w:numId w:val="17"/>
        </w:numPr>
        <w:spacing w:line="259" w:lineRule="auto"/>
        <w:jc w:val="both"/>
        <w:rPr>
          <w:rFonts w:ascii="Arial" w:hAnsi="Arial" w:cs="Arial"/>
          <w:sz w:val="22"/>
          <w:szCs w:val="22"/>
        </w:rPr>
      </w:pPr>
      <w:r w:rsidRPr="00AD7F21">
        <w:rPr>
          <w:rFonts w:ascii="Arial" w:hAnsi="Arial" w:cs="Arial"/>
          <w:sz w:val="22"/>
          <w:szCs w:val="22"/>
        </w:rPr>
        <w:t>Plan razvoja sustava odgoja o obrazovanja 2005-2010 godine, Državni pedagoški standard predškolskog odgoja i naobrazbe (NN 63/08, 90/10),</w:t>
      </w:r>
    </w:p>
    <w:p w14:paraId="52724C4C" w14:textId="77777777" w:rsidR="008311D9" w:rsidRPr="00AD7F21" w:rsidRDefault="008311D9">
      <w:pPr>
        <w:numPr>
          <w:ilvl w:val="0"/>
          <w:numId w:val="17"/>
        </w:numPr>
        <w:spacing w:line="259" w:lineRule="auto"/>
        <w:jc w:val="both"/>
        <w:rPr>
          <w:rFonts w:ascii="Arial" w:hAnsi="Arial" w:cs="Arial"/>
          <w:sz w:val="22"/>
          <w:szCs w:val="22"/>
        </w:rPr>
      </w:pPr>
      <w:r w:rsidRPr="00AD7F21">
        <w:rPr>
          <w:rFonts w:ascii="Arial" w:hAnsi="Arial" w:cs="Arial"/>
          <w:sz w:val="22"/>
          <w:szCs w:val="22"/>
        </w:rPr>
        <w:t>Nacionalni okvirni kurikulum za predškolski odgoj i obrazovanje te opće obvezno i srednjoškolsko obrazovanje (srpanj 2010.)</w:t>
      </w:r>
    </w:p>
    <w:p w14:paraId="05E5EB5C" w14:textId="77777777" w:rsidR="008311D9" w:rsidRPr="00AD7F21" w:rsidRDefault="008311D9" w:rsidP="00AD7F21">
      <w:pPr>
        <w:spacing w:line="259" w:lineRule="auto"/>
        <w:ind w:firstLine="357"/>
        <w:jc w:val="both"/>
        <w:rPr>
          <w:rFonts w:ascii="Arial" w:hAnsi="Arial" w:cs="Arial"/>
          <w:sz w:val="22"/>
          <w:szCs w:val="22"/>
        </w:rPr>
      </w:pPr>
    </w:p>
    <w:p w14:paraId="6082E38A" w14:textId="77777777" w:rsidR="008311D9" w:rsidRPr="00AD7F21" w:rsidRDefault="008311D9" w:rsidP="00AD7F21">
      <w:pPr>
        <w:suppressAutoHyphens/>
        <w:autoSpaceDN w:val="0"/>
        <w:spacing w:line="259" w:lineRule="auto"/>
        <w:ind w:left="720"/>
        <w:jc w:val="both"/>
        <w:textAlignment w:val="baseline"/>
        <w:rPr>
          <w:rFonts w:ascii="Arial" w:hAnsi="Arial" w:cs="Arial"/>
          <w:sz w:val="22"/>
          <w:szCs w:val="22"/>
        </w:rPr>
      </w:pPr>
    </w:p>
    <w:p w14:paraId="291DAA05" w14:textId="77777777" w:rsidR="009C3C46" w:rsidRDefault="009C3C46" w:rsidP="006132A6">
      <w:pPr>
        <w:rPr>
          <w:color w:val="000000" w:themeColor="text1"/>
        </w:rPr>
      </w:pPr>
    </w:p>
    <w:p w14:paraId="6B19864A" w14:textId="77777777" w:rsidR="004E07DB" w:rsidRDefault="004E07DB" w:rsidP="006132A6">
      <w:pPr>
        <w:rPr>
          <w:color w:val="000000" w:themeColor="text1"/>
        </w:rPr>
      </w:pPr>
    </w:p>
    <w:p w14:paraId="6F1E8F91" w14:textId="77777777" w:rsidR="004E07DB" w:rsidRDefault="004E07DB" w:rsidP="006132A6">
      <w:pPr>
        <w:rPr>
          <w:color w:val="000000" w:themeColor="text1"/>
        </w:rPr>
      </w:pPr>
    </w:p>
    <w:p w14:paraId="1C7B13C3" w14:textId="77777777" w:rsidR="004E07DB" w:rsidRDefault="004E07DB" w:rsidP="006132A6">
      <w:pPr>
        <w:rPr>
          <w:color w:val="000000" w:themeColor="text1"/>
        </w:rPr>
      </w:pPr>
    </w:p>
    <w:p w14:paraId="1CB0A8D0" w14:textId="77777777" w:rsidR="004E07DB" w:rsidRDefault="004E07DB" w:rsidP="006132A6">
      <w:pPr>
        <w:rPr>
          <w:color w:val="000000" w:themeColor="text1"/>
        </w:rPr>
      </w:pPr>
    </w:p>
    <w:p w14:paraId="4B6C12EC" w14:textId="77777777" w:rsidR="004E07DB" w:rsidRDefault="004E07DB" w:rsidP="006132A6">
      <w:pPr>
        <w:rPr>
          <w:color w:val="000000" w:themeColor="text1"/>
        </w:rPr>
      </w:pPr>
    </w:p>
    <w:p w14:paraId="10BBCFAF" w14:textId="77777777" w:rsidR="004E07DB" w:rsidRDefault="004E07DB" w:rsidP="006132A6">
      <w:pPr>
        <w:rPr>
          <w:color w:val="000000" w:themeColor="text1"/>
        </w:rPr>
      </w:pPr>
    </w:p>
    <w:p w14:paraId="7D24D352" w14:textId="77777777" w:rsidR="004E07DB" w:rsidRDefault="004E07DB" w:rsidP="006132A6">
      <w:pPr>
        <w:rPr>
          <w:color w:val="000000" w:themeColor="text1"/>
        </w:rPr>
      </w:pPr>
    </w:p>
    <w:p w14:paraId="65C4E708" w14:textId="77777777" w:rsidR="00AD5FEF" w:rsidRDefault="00AD5FEF" w:rsidP="006132A6">
      <w:pPr>
        <w:rPr>
          <w:color w:val="000000" w:themeColor="text1"/>
        </w:rPr>
      </w:pPr>
    </w:p>
    <w:p w14:paraId="11CF5EB3" w14:textId="77777777" w:rsidR="004E07DB" w:rsidRDefault="004E07DB" w:rsidP="006132A6">
      <w:pPr>
        <w:rPr>
          <w:color w:val="000000" w:themeColor="text1"/>
        </w:rPr>
      </w:pPr>
    </w:p>
    <w:p w14:paraId="0AD91696" w14:textId="77777777" w:rsidR="004E07DB" w:rsidRDefault="004E07DB" w:rsidP="006132A6">
      <w:pPr>
        <w:rPr>
          <w:color w:val="000000" w:themeColor="text1"/>
        </w:rPr>
      </w:pPr>
    </w:p>
    <w:p w14:paraId="6143D2B0" w14:textId="77777777" w:rsidR="004E07DB" w:rsidRDefault="004E07DB" w:rsidP="006132A6">
      <w:pPr>
        <w:rPr>
          <w:color w:val="000000" w:themeColor="text1"/>
        </w:rPr>
      </w:pPr>
    </w:p>
    <w:p w14:paraId="6E1DE1EE" w14:textId="77777777" w:rsidR="004E07DB" w:rsidRDefault="004E07DB" w:rsidP="006132A6">
      <w:pPr>
        <w:rPr>
          <w:color w:val="000000" w:themeColor="text1"/>
        </w:rPr>
      </w:pPr>
    </w:p>
    <w:p w14:paraId="166C86FD" w14:textId="77777777" w:rsidR="004E07DB" w:rsidRDefault="004E07DB" w:rsidP="006132A6">
      <w:pPr>
        <w:rPr>
          <w:color w:val="000000" w:themeColor="text1"/>
        </w:rPr>
      </w:pPr>
    </w:p>
    <w:p w14:paraId="347CC04D" w14:textId="77777777" w:rsidR="004E07DB" w:rsidRDefault="004E07DB" w:rsidP="006132A6">
      <w:pPr>
        <w:rPr>
          <w:color w:val="000000" w:themeColor="text1"/>
        </w:rPr>
      </w:pPr>
    </w:p>
    <w:p w14:paraId="1FD76679" w14:textId="77777777" w:rsidR="004E07DB" w:rsidRDefault="004E07DB" w:rsidP="006132A6">
      <w:pPr>
        <w:rPr>
          <w:color w:val="000000" w:themeColor="text1"/>
        </w:rPr>
      </w:pPr>
    </w:p>
    <w:p w14:paraId="2A224213" w14:textId="77777777" w:rsidR="004E07DB" w:rsidRDefault="004E07DB" w:rsidP="006132A6">
      <w:pPr>
        <w:rPr>
          <w:color w:val="000000" w:themeColor="text1"/>
        </w:rPr>
      </w:pPr>
    </w:p>
    <w:p w14:paraId="3CE6EC82" w14:textId="77777777" w:rsidR="00CC0725" w:rsidRDefault="00CC0725" w:rsidP="00CC0725">
      <w:pPr>
        <w:jc w:val="center"/>
        <w:rPr>
          <w:rFonts w:ascii="Arial" w:hAnsi="Arial" w:cs="Arial"/>
          <w:b/>
        </w:rPr>
      </w:pPr>
      <w:r w:rsidRPr="00D32786">
        <w:rPr>
          <w:rFonts w:ascii="Arial" w:hAnsi="Arial" w:cs="Arial"/>
          <w:b/>
        </w:rPr>
        <w:lastRenderedPageBreak/>
        <w:t xml:space="preserve">USTANOVE  </w:t>
      </w:r>
      <w:r>
        <w:rPr>
          <w:rFonts w:ascii="Arial" w:hAnsi="Arial" w:cs="Arial"/>
          <w:b/>
        </w:rPr>
        <w:t>ŠKOLSTVA</w:t>
      </w:r>
    </w:p>
    <w:p w14:paraId="020C1A23" w14:textId="77777777" w:rsidR="00CC0725" w:rsidRPr="00D32786" w:rsidRDefault="00CC0725" w:rsidP="00CC0725">
      <w:pPr>
        <w:jc w:val="center"/>
        <w:rPr>
          <w:rFonts w:ascii="Arial" w:hAnsi="Arial" w:cs="Arial"/>
          <w:b/>
        </w:rPr>
      </w:pPr>
    </w:p>
    <w:p w14:paraId="2E72DFE3" w14:textId="77777777" w:rsidR="00863D50" w:rsidRDefault="00863D50" w:rsidP="00CC0725">
      <w:pPr>
        <w:tabs>
          <w:tab w:val="left" w:pos="851"/>
        </w:tabs>
        <w:spacing w:line="276" w:lineRule="auto"/>
        <w:jc w:val="center"/>
        <w:rPr>
          <w:rFonts w:ascii="Arial" w:hAnsi="Arial" w:cs="Arial"/>
          <w:b/>
          <w:color w:val="000000"/>
          <w:lang w:val="en-GB"/>
        </w:rPr>
      </w:pPr>
    </w:p>
    <w:p w14:paraId="09DE8CFF" w14:textId="7D4A823A" w:rsidR="00CC0725" w:rsidRPr="00D44EC2" w:rsidRDefault="00CC0725" w:rsidP="00CC0725">
      <w:pPr>
        <w:tabs>
          <w:tab w:val="left" w:pos="851"/>
        </w:tabs>
        <w:spacing w:line="276" w:lineRule="auto"/>
        <w:jc w:val="center"/>
        <w:rPr>
          <w:rFonts w:ascii="Arial" w:hAnsi="Arial" w:cs="Arial"/>
          <w:b/>
          <w:color w:val="000000"/>
          <w:lang w:val="en-GB"/>
        </w:rPr>
      </w:pPr>
      <w:r w:rsidRPr="00D44EC2">
        <w:rPr>
          <w:rFonts w:ascii="Arial" w:hAnsi="Arial" w:cs="Arial"/>
          <w:b/>
          <w:color w:val="000000"/>
          <w:lang w:val="en-GB"/>
        </w:rPr>
        <w:t>PRORAČUNSKI KORISNIK 10581: OŠ MATIJE VLAČIĆA, LABIN</w:t>
      </w:r>
    </w:p>
    <w:p w14:paraId="4C076B55" w14:textId="77777777" w:rsidR="00CC0725" w:rsidRDefault="00CC0725" w:rsidP="006132A6">
      <w:pPr>
        <w:rPr>
          <w:color w:val="000000" w:themeColor="text1"/>
        </w:rPr>
      </w:pPr>
    </w:p>
    <w:p w14:paraId="6DA36B81" w14:textId="77777777" w:rsidR="00863D50" w:rsidRPr="00A662C0" w:rsidRDefault="00863D50" w:rsidP="00863D50">
      <w:pPr>
        <w:rPr>
          <w:rFonts w:ascii="Arial" w:eastAsiaTheme="minorHAnsi" w:hAnsi="Arial" w:cs="Arial"/>
          <w:b/>
          <w:sz w:val="22"/>
          <w:szCs w:val="22"/>
        </w:rPr>
      </w:pPr>
      <w:r w:rsidRPr="00A662C0">
        <w:rPr>
          <w:rFonts w:ascii="Arial" w:hAnsi="Arial" w:cs="Arial"/>
          <w:b/>
          <w:sz w:val="22"/>
          <w:szCs w:val="22"/>
        </w:rPr>
        <w:t xml:space="preserve">1. OPĆENITO O PLANU PRORAČUNA PRORAČUNSKOG  KORISNIKA </w:t>
      </w:r>
    </w:p>
    <w:p w14:paraId="31603664" w14:textId="77777777" w:rsidR="00863D50" w:rsidRDefault="00863D50" w:rsidP="00A662C0">
      <w:pPr>
        <w:spacing w:line="259" w:lineRule="auto"/>
        <w:jc w:val="both"/>
        <w:rPr>
          <w:rFonts w:ascii="Arial" w:hAnsi="Arial" w:cs="Arial"/>
          <w:sz w:val="22"/>
          <w:szCs w:val="22"/>
        </w:rPr>
      </w:pPr>
      <w:r>
        <w:rPr>
          <w:rFonts w:ascii="Arial" w:hAnsi="Arial" w:cs="Arial"/>
          <w:sz w:val="22"/>
        </w:rPr>
        <w:t>Financijski plan škole predstavlja temeljni dokument kojim se određuju prihodi i rashodi škole za jednu proračunsku godinu. On je sastavni dio poslovanja svake obrazovne ustanove te omogućava učinkovito upravljanje financijskim resursima s ciljem osiguravanja kvalitetnog obrazovanja i rada škole.</w:t>
      </w:r>
    </w:p>
    <w:p w14:paraId="53135DFD" w14:textId="77777777" w:rsidR="00863D50" w:rsidRDefault="00863D50" w:rsidP="00A662C0">
      <w:pPr>
        <w:spacing w:line="259" w:lineRule="auto"/>
        <w:jc w:val="both"/>
        <w:rPr>
          <w:rFonts w:ascii="Arial" w:hAnsi="Arial" w:cs="Arial"/>
          <w:sz w:val="22"/>
        </w:rPr>
      </w:pPr>
      <w:r>
        <w:rPr>
          <w:rFonts w:ascii="Arial" w:hAnsi="Arial" w:cs="Arial"/>
          <w:sz w:val="22"/>
        </w:rPr>
        <w:t>Izmjene i dopune financijskog plana škole izrađuju se kada tijekom proračunske godine dođe do značajnih promjena koje utječu na prvotno planirane prihode ili rashode. One omogućuju prilagodbu plana stvarnim okolnostima i osiguravaju nastavak stabilnog i zakonitog poslovanja škole.</w:t>
      </w:r>
    </w:p>
    <w:p w14:paraId="76026C24" w14:textId="77777777" w:rsidR="00A662C0" w:rsidRDefault="00A662C0" w:rsidP="00A662C0">
      <w:pPr>
        <w:spacing w:line="259" w:lineRule="auto"/>
        <w:jc w:val="both"/>
        <w:rPr>
          <w:rFonts w:ascii="Arial" w:hAnsi="Arial" w:cs="Arial"/>
          <w:sz w:val="22"/>
        </w:rPr>
      </w:pPr>
    </w:p>
    <w:p w14:paraId="29098D93" w14:textId="77777777" w:rsidR="00863D50" w:rsidRDefault="00863D50" w:rsidP="00A662C0">
      <w:pPr>
        <w:spacing w:line="259" w:lineRule="auto"/>
        <w:jc w:val="both"/>
        <w:rPr>
          <w:rFonts w:ascii="Arial" w:hAnsi="Arial" w:cs="Arial"/>
          <w:sz w:val="22"/>
        </w:rPr>
      </w:pPr>
      <w:r>
        <w:rPr>
          <w:rFonts w:ascii="Arial" w:hAnsi="Arial" w:cs="Arial"/>
          <w:sz w:val="22"/>
        </w:rPr>
        <w:t>Tablica 1. Sažetak prihoda i rashoda – računa financiranja – preneseni rezultat</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4131"/>
        <w:gridCol w:w="1598"/>
        <w:gridCol w:w="1020"/>
        <w:gridCol w:w="979"/>
        <w:gridCol w:w="1796"/>
      </w:tblGrid>
      <w:tr w:rsidR="00863D50" w14:paraId="657522B9" w14:textId="77777777" w:rsidTr="00A662C0">
        <w:trPr>
          <w:trHeight w:val="300"/>
          <w:jc w:val="center"/>
        </w:trPr>
        <w:tc>
          <w:tcPr>
            <w:tcW w:w="396" w:type="dxa"/>
            <w:vAlign w:val="center"/>
            <w:hideMark/>
          </w:tcPr>
          <w:p w14:paraId="6E8911FF" w14:textId="77777777" w:rsidR="00863D50" w:rsidRDefault="00863D50">
            <w:pPr>
              <w:rPr>
                <w:rFonts w:ascii="Arial" w:hAnsi="Arial" w:cs="Arial"/>
                <w:color w:val="000000"/>
                <w:sz w:val="20"/>
                <w:szCs w:val="20"/>
              </w:rPr>
            </w:pPr>
            <w:r>
              <w:rPr>
                <w:rFonts w:ascii="Arial" w:hAnsi="Arial" w:cs="Arial"/>
                <w:color w:val="000000"/>
                <w:sz w:val="20"/>
                <w:szCs w:val="20"/>
              </w:rPr>
              <w:t> </w:t>
            </w:r>
          </w:p>
        </w:tc>
        <w:tc>
          <w:tcPr>
            <w:tcW w:w="4131" w:type="dxa"/>
            <w:vAlign w:val="center"/>
            <w:hideMark/>
          </w:tcPr>
          <w:p w14:paraId="1B845C6C" w14:textId="77777777" w:rsidR="00863D50" w:rsidRDefault="00863D50">
            <w:pPr>
              <w:rPr>
                <w:rFonts w:ascii="Arial" w:hAnsi="Arial" w:cs="Arial"/>
                <w:color w:val="000000"/>
                <w:sz w:val="20"/>
                <w:szCs w:val="20"/>
              </w:rPr>
            </w:pPr>
            <w:r>
              <w:rPr>
                <w:rFonts w:ascii="Arial" w:hAnsi="Arial" w:cs="Arial"/>
                <w:color w:val="000000"/>
                <w:sz w:val="20"/>
                <w:szCs w:val="20"/>
              </w:rPr>
              <w:t> </w:t>
            </w:r>
          </w:p>
        </w:tc>
        <w:tc>
          <w:tcPr>
            <w:tcW w:w="1598" w:type="dxa"/>
            <w:vAlign w:val="center"/>
            <w:hideMark/>
          </w:tcPr>
          <w:p w14:paraId="3FDA6D95" w14:textId="77777777" w:rsidR="00863D50" w:rsidRDefault="00863D50">
            <w:pPr>
              <w:rPr>
                <w:rFonts w:ascii="Arial" w:hAnsi="Arial" w:cs="Arial"/>
                <w:color w:val="000000"/>
                <w:sz w:val="20"/>
                <w:szCs w:val="20"/>
              </w:rPr>
            </w:pPr>
            <w:r>
              <w:rPr>
                <w:rFonts w:ascii="Arial" w:hAnsi="Arial" w:cs="Arial"/>
                <w:color w:val="000000"/>
                <w:sz w:val="20"/>
                <w:szCs w:val="20"/>
              </w:rPr>
              <w:t> </w:t>
            </w:r>
          </w:p>
        </w:tc>
        <w:tc>
          <w:tcPr>
            <w:tcW w:w="3795" w:type="dxa"/>
            <w:gridSpan w:val="3"/>
            <w:vAlign w:val="center"/>
            <w:hideMark/>
          </w:tcPr>
          <w:p w14:paraId="39AAB882" w14:textId="77777777" w:rsidR="00863D50" w:rsidRDefault="00863D50">
            <w:pPr>
              <w:jc w:val="center"/>
              <w:rPr>
                <w:rFonts w:ascii="Arial" w:hAnsi="Arial" w:cs="Arial"/>
                <w:b/>
                <w:bCs/>
                <w:color w:val="000000"/>
                <w:sz w:val="18"/>
                <w:szCs w:val="18"/>
              </w:rPr>
            </w:pPr>
            <w:r>
              <w:rPr>
                <w:rFonts w:ascii="Arial" w:hAnsi="Arial" w:cs="Arial"/>
                <w:b/>
                <w:bCs/>
                <w:color w:val="000000"/>
                <w:sz w:val="18"/>
                <w:szCs w:val="18"/>
              </w:rPr>
              <w:t>PROMJENA</w:t>
            </w:r>
          </w:p>
        </w:tc>
      </w:tr>
      <w:tr w:rsidR="00863D50" w14:paraId="2081E76A" w14:textId="77777777" w:rsidTr="00A662C0">
        <w:trPr>
          <w:trHeight w:val="300"/>
          <w:jc w:val="center"/>
        </w:trPr>
        <w:tc>
          <w:tcPr>
            <w:tcW w:w="396" w:type="dxa"/>
            <w:vAlign w:val="center"/>
            <w:hideMark/>
          </w:tcPr>
          <w:p w14:paraId="59C208B1" w14:textId="77777777" w:rsidR="00863D50" w:rsidRDefault="00863D50">
            <w:pPr>
              <w:rPr>
                <w:rFonts w:ascii="Arial" w:hAnsi="Arial" w:cs="Arial"/>
                <w:b/>
                <w:bCs/>
                <w:color w:val="000000"/>
                <w:sz w:val="20"/>
                <w:szCs w:val="20"/>
              </w:rPr>
            </w:pPr>
            <w:r>
              <w:rPr>
                <w:rFonts w:ascii="Arial" w:hAnsi="Arial" w:cs="Arial"/>
                <w:b/>
                <w:bCs/>
                <w:color w:val="000000"/>
                <w:sz w:val="20"/>
                <w:szCs w:val="20"/>
              </w:rPr>
              <w:t> </w:t>
            </w:r>
          </w:p>
        </w:tc>
        <w:tc>
          <w:tcPr>
            <w:tcW w:w="4131" w:type="dxa"/>
            <w:vAlign w:val="center"/>
            <w:hideMark/>
          </w:tcPr>
          <w:p w14:paraId="03D46750" w14:textId="77777777" w:rsidR="00863D50" w:rsidRDefault="00863D50">
            <w:pPr>
              <w:rPr>
                <w:rFonts w:ascii="Arial" w:hAnsi="Arial" w:cs="Arial"/>
                <w:b/>
                <w:bCs/>
                <w:color w:val="000000"/>
                <w:sz w:val="20"/>
                <w:szCs w:val="20"/>
              </w:rPr>
            </w:pPr>
            <w:r>
              <w:rPr>
                <w:rFonts w:ascii="Arial" w:hAnsi="Arial" w:cs="Arial"/>
                <w:b/>
                <w:bCs/>
                <w:color w:val="000000"/>
                <w:sz w:val="20"/>
                <w:szCs w:val="20"/>
              </w:rPr>
              <w:t> </w:t>
            </w:r>
          </w:p>
        </w:tc>
        <w:tc>
          <w:tcPr>
            <w:tcW w:w="1598" w:type="dxa"/>
            <w:vAlign w:val="center"/>
            <w:hideMark/>
          </w:tcPr>
          <w:p w14:paraId="068C28F4"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PLANIRANO</w:t>
            </w:r>
          </w:p>
        </w:tc>
        <w:tc>
          <w:tcPr>
            <w:tcW w:w="1020" w:type="dxa"/>
            <w:vAlign w:val="center"/>
            <w:hideMark/>
          </w:tcPr>
          <w:p w14:paraId="4A0BD7A8"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IZNOS</w:t>
            </w:r>
          </w:p>
        </w:tc>
        <w:tc>
          <w:tcPr>
            <w:tcW w:w="979" w:type="dxa"/>
            <w:vAlign w:val="center"/>
            <w:hideMark/>
          </w:tcPr>
          <w:p w14:paraId="435D18A7"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w:t>
            </w:r>
          </w:p>
        </w:tc>
        <w:tc>
          <w:tcPr>
            <w:tcW w:w="1796" w:type="dxa"/>
            <w:vAlign w:val="center"/>
            <w:hideMark/>
          </w:tcPr>
          <w:p w14:paraId="6587A997"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NOVI IZNOS</w:t>
            </w:r>
          </w:p>
        </w:tc>
      </w:tr>
      <w:tr w:rsidR="00863D50" w14:paraId="0B0A8E06" w14:textId="77777777" w:rsidTr="00A662C0">
        <w:trPr>
          <w:trHeight w:val="300"/>
          <w:jc w:val="center"/>
        </w:trPr>
        <w:tc>
          <w:tcPr>
            <w:tcW w:w="396" w:type="dxa"/>
            <w:shd w:val="clear" w:color="auto" w:fill="D9D9D9" w:themeFill="background1" w:themeFillShade="D9"/>
            <w:vAlign w:val="center"/>
            <w:hideMark/>
          </w:tcPr>
          <w:p w14:paraId="1EA6401F" w14:textId="77777777" w:rsidR="00863D50" w:rsidRDefault="00863D50">
            <w:pPr>
              <w:rPr>
                <w:rFonts w:ascii="Arial" w:hAnsi="Arial" w:cs="Arial"/>
                <w:b/>
                <w:bCs/>
                <w:color w:val="000000"/>
                <w:sz w:val="18"/>
                <w:szCs w:val="18"/>
              </w:rPr>
            </w:pPr>
            <w:r>
              <w:rPr>
                <w:rFonts w:ascii="Arial" w:hAnsi="Arial" w:cs="Arial"/>
                <w:b/>
                <w:bCs/>
                <w:color w:val="000000"/>
                <w:sz w:val="18"/>
                <w:szCs w:val="18"/>
              </w:rPr>
              <w:t>A.</w:t>
            </w:r>
          </w:p>
        </w:tc>
        <w:tc>
          <w:tcPr>
            <w:tcW w:w="4131" w:type="dxa"/>
            <w:shd w:val="clear" w:color="auto" w:fill="D9D9D9" w:themeFill="background1" w:themeFillShade="D9"/>
            <w:vAlign w:val="center"/>
            <w:hideMark/>
          </w:tcPr>
          <w:p w14:paraId="6AF69DD5" w14:textId="77777777" w:rsidR="00863D50" w:rsidRDefault="00863D50">
            <w:pPr>
              <w:rPr>
                <w:rFonts w:ascii="Arial" w:hAnsi="Arial" w:cs="Arial"/>
                <w:b/>
                <w:bCs/>
                <w:color w:val="000000"/>
                <w:sz w:val="18"/>
                <w:szCs w:val="18"/>
              </w:rPr>
            </w:pPr>
            <w:r>
              <w:rPr>
                <w:rFonts w:ascii="Arial" w:hAnsi="Arial" w:cs="Arial"/>
                <w:b/>
                <w:bCs/>
                <w:color w:val="000000"/>
                <w:sz w:val="18"/>
                <w:szCs w:val="18"/>
              </w:rPr>
              <w:t>RAČUN PRIHODA I RASHODA</w:t>
            </w:r>
          </w:p>
        </w:tc>
        <w:tc>
          <w:tcPr>
            <w:tcW w:w="1598" w:type="dxa"/>
            <w:shd w:val="clear" w:color="auto" w:fill="D9D9D9" w:themeFill="background1" w:themeFillShade="D9"/>
            <w:vAlign w:val="center"/>
            <w:hideMark/>
          </w:tcPr>
          <w:p w14:paraId="1211D38A" w14:textId="77777777" w:rsidR="00863D50" w:rsidRDefault="00863D50">
            <w:pPr>
              <w:rPr>
                <w:rFonts w:ascii="Arial" w:hAnsi="Arial" w:cs="Arial"/>
                <w:b/>
                <w:bCs/>
                <w:color w:val="000000"/>
                <w:sz w:val="18"/>
                <w:szCs w:val="18"/>
              </w:rPr>
            </w:pPr>
          </w:p>
        </w:tc>
        <w:tc>
          <w:tcPr>
            <w:tcW w:w="1020" w:type="dxa"/>
            <w:shd w:val="clear" w:color="auto" w:fill="D9D9D9" w:themeFill="background1" w:themeFillShade="D9"/>
            <w:vAlign w:val="center"/>
            <w:hideMark/>
          </w:tcPr>
          <w:p w14:paraId="50ED22FC" w14:textId="77777777" w:rsidR="00863D50" w:rsidRDefault="00863D50">
            <w:pPr>
              <w:rPr>
                <w:rFonts w:asciiTheme="minorHAnsi" w:hAnsiTheme="minorHAnsi"/>
                <w:sz w:val="20"/>
                <w:szCs w:val="20"/>
              </w:rPr>
            </w:pPr>
          </w:p>
        </w:tc>
        <w:tc>
          <w:tcPr>
            <w:tcW w:w="979" w:type="dxa"/>
            <w:shd w:val="clear" w:color="auto" w:fill="D9D9D9" w:themeFill="background1" w:themeFillShade="D9"/>
            <w:vAlign w:val="center"/>
            <w:hideMark/>
          </w:tcPr>
          <w:p w14:paraId="3463ECD2" w14:textId="77777777" w:rsidR="00863D50" w:rsidRDefault="00863D50">
            <w:pPr>
              <w:rPr>
                <w:rFonts w:asciiTheme="minorHAnsi" w:hAnsiTheme="minorHAnsi"/>
                <w:sz w:val="20"/>
                <w:szCs w:val="20"/>
              </w:rPr>
            </w:pPr>
          </w:p>
        </w:tc>
        <w:tc>
          <w:tcPr>
            <w:tcW w:w="1796" w:type="dxa"/>
            <w:shd w:val="clear" w:color="auto" w:fill="D9D9D9" w:themeFill="background1" w:themeFillShade="D9"/>
            <w:vAlign w:val="center"/>
            <w:hideMark/>
          </w:tcPr>
          <w:p w14:paraId="788114DE" w14:textId="77777777" w:rsidR="00863D50" w:rsidRDefault="00863D50">
            <w:pPr>
              <w:rPr>
                <w:rFonts w:asciiTheme="minorHAnsi" w:hAnsiTheme="minorHAnsi"/>
                <w:sz w:val="20"/>
                <w:szCs w:val="20"/>
              </w:rPr>
            </w:pPr>
          </w:p>
        </w:tc>
      </w:tr>
      <w:tr w:rsidR="00863D50" w14:paraId="144248FC" w14:textId="77777777" w:rsidTr="00A662C0">
        <w:trPr>
          <w:trHeight w:val="300"/>
          <w:jc w:val="center"/>
        </w:trPr>
        <w:tc>
          <w:tcPr>
            <w:tcW w:w="396" w:type="dxa"/>
            <w:vAlign w:val="center"/>
            <w:hideMark/>
          </w:tcPr>
          <w:p w14:paraId="2EF73BF2" w14:textId="77777777" w:rsidR="00863D50" w:rsidRDefault="00863D50">
            <w:pPr>
              <w:rPr>
                <w:rFonts w:ascii="Arial" w:hAnsi="Arial" w:cs="Arial"/>
                <w:b/>
                <w:bCs/>
                <w:color w:val="000000"/>
                <w:sz w:val="20"/>
                <w:szCs w:val="20"/>
              </w:rPr>
            </w:pPr>
            <w:r>
              <w:rPr>
                <w:rFonts w:ascii="Arial" w:hAnsi="Arial" w:cs="Arial"/>
                <w:b/>
                <w:bCs/>
                <w:color w:val="000000"/>
                <w:sz w:val="20"/>
                <w:szCs w:val="20"/>
              </w:rPr>
              <w:t> </w:t>
            </w:r>
          </w:p>
        </w:tc>
        <w:tc>
          <w:tcPr>
            <w:tcW w:w="4131" w:type="dxa"/>
            <w:vAlign w:val="center"/>
            <w:hideMark/>
          </w:tcPr>
          <w:p w14:paraId="5DC37C7E" w14:textId="77777777" w:rsidR="00863D50" w:rsidRDefault="00863D50">
            <w:pPr>
              <w:rPr>
                <w:rFonts w:ascii="Arial" w:hAnsi="Arial" w:cs="Arial"/>
                <w:b/>
                <w:bCs/>
                <w:color w:val="000000"/>
                <w:sz w:val="18"/>
                <w:szCs w:val="18"/>
              </w:rPr>
            </w:pPr>
            <w:r>
              <w:rPr>
                <w:rFonts w:ascii="Arial" w:hAnsi="Arial" w:cs="Arial"/>
                <w:b/>
                <w:bCs/>
                <w:color w:val="000000"/>
                <w:sz w:val="18"/>
                <w:szCs w:val="18"/>
              </w:rPr>
              <w:t>Prihodi poslovanja</w:t>
            </w:r>
          </w:p>
        </w:tc>
        <w:tc>
          <w:tcPr>
            <w:tcW w:w="1598" w:type="dxa"/>
            <w:vAlign w:val="center"/>
            <w:hideMark/>
          </w:tcPr>
          <w:p w14:paraId="2F8BD5DA"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1.961.856,00</w:t>
            </w:r>
          </w:p>
        </w:tc>
        <w:tc>
          <w:tcPr>
            <w:tcW w:w="1020" w:type="dxa"/>
            <w:vAlign w:val="center"/>
            <w:hideMark/>
          </w:tcPr>
          <w:p w14:paraId="2297CB23"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58.591,00</w:t>
            </w:r>
          </w:p>
        </w:tc>
        <w:tc>
          <w:tcPr>
            <w:tcW w:w="979" w:type="dxa"/>
            <w:vAlign w:val="center"/>
            <w:hideMark/>
          </w:tcPr>
          <w:p w14:paraId="3458C75F"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3.0%</w:t>
            </w:r>
          </w:p>
        </w:tc>
        <w:tc>
          <w:tcPr>
            <w:tcW w:w="1796" w:type="dxa"/>
            <w:vAlign w:val="center"/>
            <w:hideMark/>
          </w:tcPr>
          <w:p w14:paraId="4CE55031"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2.020.447,00</w:t>
            </w:r>
          </w:p>
        </w:tc>
      </w:tr>
      <w:tr w:rsidR="00863D50" w14:paraId="47A15E53" w14:textId="77777777" w:rsidTr="00A662C0">
        <w:trPr>
          <w:trHeight w:val="300"/>
          <w:jc w:val="center"/>
        </w:trPr>
        <w:tc>
          <w:tcPr>
            <w:tcW w:w="396" w:type="dxa"/>
            <w:vAlign w:val="center"/>
            <w:hideMark/>
          </w:tcPr>
          <w:p w14:paraId="4DF6B593" w14:textId="77777777" w:rsidR="00863D50" w:rsidRDefault="00863D50">
            <w:pPr>
              <w:rPr>
                <w:rFonts w:ascii="Arial" w:hAnsi="Arial" w:cs="Arial"/>
                <w:b/>
                <w:bCs/>
                <w:color w:val="000000"/>
                <w:sz w:val="20"/>
                <w:szCs w:val="20"/>
              </w:rPr>
            </w:pPr>
            <w:r>
              <w:rPr>
                <w:rFonts w:ascii="Arial" w:hAnsi="Arial" w:cs="Arial"/>
                <w:b/>
                <w:bCs/>
                <w:color w:val="000000"/>
                <w:sz w:val="20"/>
                <w:szCs w:val="20"/>
              </w:rPr>
              <w:t> </w:t>
            </w:r>
          </w:p>
        </w:tc>
        <w:tc>
          <w:tcPr>
            <w:tcW w:w="4131" w:type="dxa"/>
            <w:vAlign w:val="center"/>
            <w:hideMark/>
          </w:tcPr>
          <w:p w14:paraId="0CA0B3EE" w14:textId="77777777" w:rsidR="00863D50" w:rsidRDefault="00863D50">
            <w:pPr>
              <w:rPr>
                <w:rFonts w:ascii="Arial" w:hAnsi="Arial" w:cs="Arial"/>
                <w:b/>
                <w:bCs/>
                <w:color w:val="000000"/>
                <w:sz w:val="18"/>
                <w:szCs w:val="18"/>
              </w:rPr>
            </w:pPr>
            <w:r>
              <w:rPr>
                <w:rFonts w:ascii="Arial" w:hAnsi="Arial" w:cs="Arial"/>
                <w:b/>
                <w:bCs/>
                <w:color w:val="000000"/>
                <w:sz w:val="18"/>
                <w:szCs w:val="18"/>
              </w:rPr>
              <w:t>Prihodi od prodaje nefinancijske imovine</w:t>
            </w:r>
          </w:p>
        </w:tc>
        <w:tc>
          <w:tcPr>
            <w:tcW w:w="1598" w:type="dxa"/>
            <w:vAlign w:val="center"/>
            <w:hideMark/>
          </w:tcPr>
          <w:p w14:paraId="0C2357AE"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0,00</w:t>
            </w:r>
          </w:p>
        </w:tc>
        <w:tc>
          <w:tcPr>
            <w:tcW w:w="1020" w:type="dxa"/>
            <w:vAlign w:val="center"/>
            <w:hideMark/>
          </w:tcPr>
          <w:p w14:paraId="42E753C0"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0,00</w:t>
            </w:r>
          </w:p>
        </w:tc>
        <w:tc>
          <w:tcPr>
            <w:tcW w:w="979" w:type="dxa"/>
            <w:vAlign w:val="center"/>
            <w:hideMark/>
          </w:tcPr>
          <w:p w14:paraId="3F84C6AA"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0,0%</w:t>
            </w:r>
          </w:p>
        </w:tc>
        <w:tc>
          <w:tcPr>
            <w:tcW w:w="1796" w:type="dxa"/>
            <w:vAlign w:val="center"/>
            <w:hideMark/>
          </w:tcPr>
          <w:p w14:paraId="63C64065"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0,00</w:t>
            </w:r>
          </w:p>
        </w:tc>
      </w:tr>
      <w:tr w:rsidR="00863D50" w14:paraId="4475C0E2" w14:textId="77777777" w:rsidTr="00A662C0">
        <w:trPr>
          <w:trHeight w:val="300"/>
          <w:jc w:val="center"/>
        </w:trPr>
        <w:tc>
          <w:tcPr>
            <w:tcW w:w="396" w:type="dxa"/>
            <w:vAlign w:val="center"/>
            <w:hideMark/>
          </w:tcPr>
          <w:p w14:paraId="14AC64C1" w14:textId="77777777" w:rsidR="00863D50" w:rsidRDefault="00863D50">
            <w:pPr>
              <w:rPr>
                <w:rFonts w:ascii="Arial" w:hAnsi="Arial" w:cs="Arial"/>
                <w:b/>
                <w:bCs/>
                <w:color w:val="000000"/>
                <w:sz w:val="20"/>
                <w:szCs w:val="20"/>
              </w:rPr>
            </w:pPr>
            <w:r>
              <w:rPr>
                <w:rFonts w:ascii="Arial" w:hAnsi="Arial" w:cs="Arial"/>
                <w:b/>
                <w:bCs/>
                <w:color w:val="000000"/>
                <w:sz w:val="20"/>
                <w:szCs w:val="20"/>
              </w:rPr>
              <w:t> </w:t>
            </w:r>
          </w:p>
        </w:tc>
        <w:tc>
          <w:tcPr>
            <w:tcW w:w="4131" w:type="dxa"/>
            <w:vAlign w:val="center"/>
            <w:hideMark/>
          </w:tcPr>
          <w:p w14:paraId="34A20858" w14:textId="77777777" w:rsidR="00863D50" w:rsidRDefault="00863D50">
            <w:pPr>
              <w:rPr>
                <w:rFonts w:ascii="Arial" w:hAnsi="Arial" w:cs="Arial"/>
                <w:b/>
                <w:bCs/>
                <w:color w:val="000000"/>
                <w:sz w:val="18"/>
                <w:szCs w:val="18"/>
              </w:rPr>
            </w:pPr>
            <w:r>
              <w:rPr>
                <w:rFonts w:ascii="Arial" w:hAnsi="Arial" w:cs="Arial"/>
                <w:b/>
                <w:bCs/>
                <w:color w:val="000000"/>
                <w:sz w:val="18"/>
                <w:szCs w:val="18"/>
              </w:rPr>
              <w:t>Rashodi poslovanja</w:t>
            </w:r>
          </w:p>
        </w:tc>
        <w:tc>
          <w:tcPr>
            <w:tcW w:w="1598" w:type="dxa"/>
            <w:vAlign w:val="center"/>
            <w:hideMark/>
          </w:tcPr>
          <w:p w14:paraId="4726F5B4"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1.957.756,00</w:t>
            </w:r>
          </w:p>
        </w:tc>
        <w:tc>
          <w:tcPr>
            <w:tcW w:w="1020" w:type="dxa"/>
            <w:vAlign w:val="center"/>
            <w:hideMark/>
          </w:tcPr>
          <w:p w14:paraId="3CACDD26"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52.142,00</w:t>
            </w:r>
          </w:p>
        </w:tc>
        <w:tc>
          <w:tcPr>
            <w:tcW w:w="979" w:type="dxa"/>
            <w:vAlign w:val="center"/>
            <w:hideMark/>
          </w:tcPr>
          <w:p w14:paraId="4EACBDB7"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2.7%</w:t>
            </w:r>
          </w:p>
        </w:tc>
        <w:tc>
          <w:tcPr>
            <w:tcW w:w="1796" w:type="dxa"/>
            <w:vAlign w:val="center"/>
            <w:hideMark/>
          </w:tcPr>
          <w:p w14:paraId="53F6F730"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2.009.898,00</w:t>
            </w:r>
          </w:p>
        </w:tc>
      </w:tr>
      <w:tr w:rsidR="00863D50" w14:paraId="3FF4076F" w14:textId="77777777" w:rsidTr="00A662C0">
        <w:trPr>
          <w:trHeight w:val="300"/>
          <w:jc w:val="center"/>
        </w:trPr>
        <w:tc>
          <w:tcPr>
            <w:tcW w:w="396" w:type="dxa"/>
            <w:vAlign w:val="center"/>
            <w:hideMark/>
          </w:tcPr>
          <w:p w14:paraId="74756CC6" w14:textId="77777777" w:rsidR="00863D50" w:rsidRDefault="00863D50">
            <w:pPr>
              <w:rPr>
                <w:rFonts w:ascii="Arial" w:hAnsi="Arial" w:cs="Arial"/>
                <w:b/>
                <w:bCs/>
                <w:color w:val="000000"/>
                <w:sz w:val="20"/>
                <w:szCs w:val="20"/>
              </w:rPr>
            </w:pPr>
            <w:r>
              <w:rPr>
                <w:rFonts w:ascii="Arial" w:hAnsi="Arial" w:cs="Arial"/>
                <w:b/>
                <w:bCs/>
                <w:color w:val="000000"/>
                <w:sz w:val="20"/>
                <w:szCs w:val="20"/>
              </w:rPr>
              <w:t> </w:t>
            </w:r>
          </w:p>
        </w:tc>
        <w:tc>
          <w:tcPr>
            <w:tcW w:w="4131" w:type="dxa"/>
            <w:vAlign w:val="center"/>
            <w:hideMark/>
          </w:tcPr>
          <w:p w14:paraId="57DADD7E" w14:textId="77777777" w:rsidR="00863D50" w:rsidRDefault="00863D50">
            <w:pPr>
              <w:rPr>
                <w:rFonts w:ascii="Arial" w:hAnsi="Arial" w:cs="Arial"/>
                <w:b/>
                <w:bCs/>
                <w:color w:val="000000"/>
                <w:sz w:val="18"/>
                <w:szCs w:val="18"/>
              </w:rPr>
            </w:pPr>
            <w:r>
              <w:rPr>
                <w:rFonts w:ascii="Arial" w:hAnsi="Arial" w:cs="Arial"/>
                <w:b/>
                <w:bCs/>
                <w:color w:val="000000"/>
                <w:sz w:val="18"/>
                <w:szCs w:val="18"/>
              </w:rPr>
              <w:t>Rashodi za nabavu nefinancijske imovine</w:t>
            </w:r>
          </w:p>
        </w:tc>
        <w:tc>
          <w:tcPr>
            <w:tcW w:w="1598" w:type="dxa"/>
            <w:vAlign w:val="center"/>
            <w:hideMark/>
          </w:tcPr>
          <w:p w14:paraId="02700477"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6.600,00</w:t>
            </w:r>
          </w:p>
        </w:tc>
        <w:tc>
          <w:tcPr>
            <w:tcW w:w="1020" w:type="dxa"/>
            <w:vAlign w:val="center"/>
            <w:hideMark/>
          </w:tcPr>
          <w:p w14:paraId="1E680CF8"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3.615,00</w:t>
            </w:r>
          </w:p>
        </w:tc>
        <w:tc>
          <w:tcPr>
            <w:tcW w:w="979" w:type="dxa"/>
            <w:vAlign w:val="center"/>
            <w:hideMark/>
          </w:tcPr>
          <w:p w14:paraId="18C6415E"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54.8%</w:t>
            </w:r>
          </w:p>
        </w:tc>
        <w:tc>
          <w:tcPr>
            <w:tcW w:w="1796" w:type="dxa"/>
            <w:vAlign w:val="center"/>
            <w:hideMark/>
          </w:tcPr>
          <w:p w14:paraId="08C67145"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10.215,00</w:t>
            </w:r>
          </w:p>
        </w:tc>
      </w:tr>
      <w:tr w:rsidR="00863D50" w14:paraId="5C22806F" w14:textId="77777777" w:rsidTr="00A662C0">
        <w:trPr>
          <w:trHeight w:val="300"/>
          <w:jc w:val="center"/>
        </w:trPr>
        <w:tc>
          <w:tcPr>
            <w:tcW w:w="396" w:type="dxa"/>
            <w:vAlign w:val="center"/>
            <w:hideMark/>
          </w:tcPr>
          <w:p w14:paraId="0FCDFCFA" w14:textId="77777777" w:rsidR="00863D50" w:rsidRDefault="00863D50">
            <w:pPr>
              <w:rPr>
                <w:rFonts w:ascii="Arial" w:hAnsi="Arial" w:cs="Arial"/>
                <w:b/>
                <w:bCs/>
                <w:color w:val="000000"/>
                <w:sz w:val="20"/>
                <w:szCs w:val="20"/>
              </w:rPr>
            </w:pPr>
            <w:r>
              <w:rPr>
                <w:rFonts w:ascii="Arial" w:hAnsi="Arial" w:cs="Arial"/>
                <w:b/>
                <w:bCs/>
                <w:color w:val="000000"/>
                <w:sz w:val="20"/>
                <w:szCs w:val="20"/>
              </w:rPr>
              <w:t> </w:t>
            </w:r>
          </w:p>
        </w:tc>
        <w:tc>
          <w:tcPr>
            <w:tcW w:w="4131" w:type="dxa"/>
            <w:vAlign w:val="center"/>
            <w:hideMark/>
          </w:tcPr>
          <w:p w14:paraId="6C6EB984" w14:textId="77777777" w:rsidR="00863D50" w:rsidRDefault="00863D50">
            <w:pPr>
              <w:rPr>
                <w:rFonts w:ascii="Arial" w:hAnsi="Arial" w:cs="Arial"/>
                <w:b/>
                <w:bCs/>
                <w:color w:val="000000"/>
                <w:sz w:val="18"/>
                <w:szCs w:val="18"/>
              </w:rPr>
            </w:pPr>
            <w:r>
              <w:rPr>
                <w:rFonts w:ascii="Arial" w:hAnsi="Arial" w:cs="Arial"/>
                <w:b/>
                <w:bCs/>
                <w:color w:val="000000"/>
                <w:sz w:val="18"/>
                <w:szCs w:val="18"/>
              </w:rPr>
              <w:t>RAZLIKA</w:t>
            </w:r>
          </w:p>
        </w:tc>
        <w:tc>
          <w:tcPr>
            <w:tcW w:w="1598" w:type="dxa"/>
            <w:vAlign w:val="center"/>
            <w:hideMark/>
          </w:tcPr>
          <w:p w14:paraId="6ECFEDB8"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-2.500,00</w:t>
            </w:r>
          </w:p>
        </w:tc>
        <w:tc>
          <w:tcPr>
            <w:tcW w:w="1020" w:type="dxa"/>
            <w:vAlign w:val="center"/>
            <w:hideMark/>
          </w:tcPr>
          <w:p w14:paraId="39DF93EB"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2.834,00</w:t>
            </w:r>
          </w:p>
        </w:tc>
        <w:tc>
          <w:tcPr>
            <w:tcW w:w="979" w:type="dxa"/>
            <w:vAlign w:val="center"/>
            <w:hideMark/>
          </w:tcPr>
          <w:p w14:paraId="513A83C0"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-113.4%</w:t>
            </w:r>
          </w:p>
        </w:tc>
        <w:tc>
          <w:tcPr>
            <w:tcW w:w="1796" w:type="dxa"/>
            <w:vAlign w:val="center"/>
            <w:hideMark/>
          </w:tcPr>
          <w:p w14:paraId="4CDD2D5F"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334,00</w:t>
            </w:r>
          </w:p>
        </w:tc>
      </w:tr>
      <w:tr w:rsidR="00863D50" w14:paraId="685C824B" w14:textId="77777777" w:rsidTr="00A662C0">
        <w:trPr>
          <w:trHeight w:val="300"/>
          <w:jc w:val="center"/>
        </w:trPr>
        <w:tc>
          <w:tcPr>
            <w:tcW w:w="396" w:type="dxa"/>
            <w:vAlign w:val="center"/>
            <w:hideMark/>
          </w:tcPr>
          <w:p w14:paraId="32A603E2" w14:textId="77777777" w:rsidR="00863D50" w:rsidRDefault="00863D50">
            <w:pPr>
              <w:rPr>
                <w:rFonts w:ascii="Arial" w:hAnsi="Arial" w:cs="Arial"/>
                <w:b/>
                <w:bCs/>
                <w:color w:val="000000"/>
                <w:sz w:val="18"/>
                <w:szCs w:val="18"/>
              </w:rPr>
            </w:pPr>
            <w:r>
              <w:rPr>
                <w:rFonts w:ascii="Arial" w:hAnsi="Arial" w:cs="Arial"/>
                <w:b/>
                <w:bCs/>
                <w:color w:val="000000"/>
                <w:sz w:val="18"/>
                <w:szCs w:val="18"/>
              </w:rPr>
              <w:t> </w:t>
            </w:r>
          </w:p>
        </w:tc>
        <w:tc>
          <w:tcPr>
            <w:tcW w:w="4131" w:type="dxa"/>
            <w:vAlign w:val="center"/>
            <w:hideMark/>
          </w:tcPr>
          <w:p w14:paraId="25EFBB9C" w14:textId="77777777" w:rsidR="00863D50" w:rsidRDefault="00863D50">
            <w:pPr>
              <w:rPr>
                <w:rFonts w:ascii="Arial" w:hAnsi="Arial" w:cs="Arial"/>
                <w:b/>
                <w:bCs/>
                <w:color w:val="000000"/>
                <w:sz w:val="18"/>
                <w:szCs w:val="18"/>
              </w:rPr>
            </w:pPr>
            <w:r>
              <w:rPr>
                <w:rFonts w:ascii="Arial" w:hAnsi="Arial" w:cs="Arial"/>
                <w:b/>
                <w:bCs/>
                <w:color w:val="000000"/>
                <w:sz w:val="18"/>
                <w:szCs w:val="18"/>
              </w:rPr>
              <w:t> </w:t>
            </w:r>
          </w:p>
        </w:tc>
        <w:tc>
          <w:tcPr>
            <w:tcW w:w="1598" w:type="dxa"/>
            <w:vAlign w:val="center"/>
            <w:hideMark/>
          </w:tcPr>
          <w:p w14:paraId="78FD2696" w14:textId="77777777" w:rsidR="00863D50" w:rsidRDefault="00863D50">
            <w:pPr>
              <w:rPr>
                <w:rFonts w:ascii="Arial" w:hAnsi="Arial" w:cs="Arial"/>
                <w:color w:val="000000"/>
                <w:sz w:val="18"/>
                <w:szCs w:val="18"/>
              </w:rPr>
            </w:pPr>
            <w:r>
              <w:rPr>
                <w:rFonts w:ascii="Arial" w:hAnsi="Arial" w:cs="Arial"/>
                <w:color w:val="000000"/>
                <w:sz w:val="18"/>
                <w:szCs w:val="18"/>
              </w:rPr>
              <w:t> </w:t>
            </w:r>
          </w:p>
        </w:tc>
        <w:tc>
          <w:tcPr>
            <w:tcW w:w="1020" w:type="dxa"/>
            <w:vAlign w:val="center"/>
            <w:hideMark/>
          </w:tcPr>
          <w:p w14:paraId="22BE3D4F" w14:textId="77777777" w:rsidR="00863D50" w:rsidRDefault="00863D50">
            <w:pPr>
              <w:rPr>
                <w:rFonts w:ascii="Arial" w:hAnsi="Arial" w:cs="Arial"/>
                <w:color w:val="000000"/>
                <w:sz w:val="18"/>
                <w:szCs w:val="18"/>
              </w:rPr>
            </w:pPr>
            <w:r>
              <w:rPr>
                <w:rFonts w:ascii="Arial" w:hAnsi="Arial" w:cs="Arial"/>
                <w:color w:val="000000"/>
                <w:sz w:val="18"/>
                <w:szCs w:val="18"/>
              </w:rPr>
              <w:t> </w:t>
            </w:r>
          </w:p>
        </w:tc>
        <w:tc>
          <w:tcPr>
            <w:tcW w:w="979" w:type="dxa"/>
            <w:vAlign w:val="center"/>
            <w:hideMark/>
          </w:tcPr>
          <w:p w14:paraId="7742BA11" w14:textId="77777777" w:rsidR="00863D50" w:rsidRDefault="00863D50">
            <w:pPr>
              <w:rPr>
                <w:rFonts w:ascii="Arial" w:hAnsi="Arial" w:cs="Arial"/>
                <w:color w:val="000000"/>
                <w:sz w:val="18"/>
                <w:szCs w:val="18"/>
              </w:rPr>
            </w:pPr>
            <w:r>
              <w:rPr>
                <w:rFonts w:ascii="Arial" w:hAnsi="Arial" w:cs="Arial"/>
                <w:color w:val="000000"/>
                <w:sz w:val="18"/>
                <w:szCs w:val="18"/>
              </w:rPr>
              <w:t> </w:t>
            </w:r>
          </w:p>
        </w:tc>
        <w:tc>
          <w:tcPr>
            <w:tcW w:w="1796" w:type="dxa"/>
            <w:vAlign w:val="center"/>
            <w:hideMark/>
          </w:tcPr>
          <w:p w14:paraId="55E90B1F" w14:textId="77777777" w:rsidR="00863D50" w:rsidRDefault="00863D50">
            <w:pPr>
              <w:rPr>
                <w:rFonts w:ascii="Arial" w:hAnsi="Arial" w:cs="Arial"/>
                <w:color w:val="000000"/>
                <w:sz w:val="18"/>
                <w:szCs w:val="18"/>
              </w:rPr>
            </w:pPr>
            <w:r>
              <w:rPr>
                <w:rFonts w:ascii="Arial" w:hAnsi="Arial" w:cs="Arial"/>
                <w:color w:val="000000"/>
                <w:sz w:val="18"/>
                <w:szCs w:val="18"/>
              </w:rPr>
              <w:t> </w:t>
            </w:r>
          </w:p>
        </w:tc>
      </w:tr>
      <w:tr w:rsidR="00863D50" w14:paraId="1A50D788" w14:textId="77777777" w:rsidTr="00A662C0">
        <w:trPr>
          <w:trHeight w:val="300"/>
          <w:jc w:val="center"/>
        </w:trPr>
        <w:tc>
          <w:tcPr>
            <w:tcW w:w="396" w:type="dxa"/>
            <w:shd w:val="clear" w:color="auto" w:fill="D9D9D9" w:themeFill="background1" w:themeFillShade="D9"/>
            <w:vAlign w:val="center"/>
            <w:hideMark/>
          </w:tcPr>
          <w:p w14:paraId="3FFF75E0" w14:textId="77777777" w:rsidR="00863D50" w:rsidRDefault="00863D50">
            <w:pPr>
              <w:rPr>
                <w:rFonts w:ascii="Arial" w:hAnsi="Arial" w:cs="Arial"/>
                <w:b/>
                <w:bCs/>
                <w:color w:val="000000"/>
                <w:sz w:val="18"/>
                <w:szCs w:val="18"/>
              </w:rPr>
            </w:pPr>
            <w:r>
              <w:rPr>
                <w:rFonts w:ascii="Arial" w:hAnsi="Arial" w:cs="Arial"/>
                <w:b/>
                <w:bCs/>
                <w:color w:val="000000"/>
                <w:sz w:val="18"/>
                <w:szCs w:val="18"/>
              </w:rPr>
              <w:t>B.</w:t>
            </w:r>
          </w:p>
        </w:tc>
        <w:tc>
          <w:tcPr>
            <w:tcW w:w="4131" w:type="dxa"/>
            <w:shd w:val="clear" w:color="auto" w:fill="D9D9D9" w:themeFill="background1" w:themeFillShade="D9"/>
            <w:vAlign w:val="center"/>
            <w:hideMark/>
          </w:tcPr>
          <w:p w14:paraId="4659EB2A" w14:textId="77777777" w:rsidR="00863D50" w:rsidRDefault="00863D50">
            <w:pPr>
              <w:rPr>
                <w:rFonts w:ascii="Arial" w:hAnsi="Arial" w:cs="Arial"/>
                <w:b/>
                <w:bCs/>
                <w:color w:val="000000"/>
                <w:sz w:val="18"/>
                <w:szCs w:val="18"/>
              </w:rPr>
            </w:pPr>
            <w:r>
              <w:rPr>
                <w:rFonts w:ascii="Arial" w:hAnsi="Arial" w:cs="Arial"/>
                <w:b/>
                <w:bCs/>
                <w:color w:val="000000"/>
                <w:sz w:val="18"/>
                <w:szCs w:val="18"/>
              </w:rPr>
              <w:t>RAČUN ZADUŽIVANJA/FINANCIRANJA</w:t>
            </w:r>
          </w:p>
        </w:tc>
        <w:tc>
          <w:tcPr>
            <w:tcW w:w="1598" w:type="dxa"/>
            <w:shd w:val="clear" w:color="auto" w:fill="D9D9D9" w:themeFill="background1" w:themeFillShade="D9"/>
            <w:vAlign w:val="center"/>
            <w:hideMark/>
          </w:tcPr>
          <w:p w14:paraId="029F8D78" w14:textId="77777777" w:rsidR="00863D50" w:rsidRDefault="00863D50">
            <w:pPr>
              <w:rPr>
                <w:rFonts w:ascii="Arial" w:hAnsi="Arial" w:cs="Arial"/>
                <w:b/>
                <w:bCs/>
                <w:color w:val="000000"/>
                <w:sz w:val="18"/>
                <w:szCs w:val="18"/>
              </w:rPr>
            </w:pPr>
          </w:p>
        </w:tc>
        <w:tc>
          <w:tcPr>
            <w:tcW w:w="1020" w:type="dxa"/>
            <w:shd w:val="clear" w:color="auto" w:fill="D9D9D9" w:themeFill="background1" w:themeFillShade="D9"/>
            <w:vAlign w:val="center"/>
            <w:hideMark/>
          </w:tcPr>
          <w:p w14:paraId="3E02D497" w14:textId="77777777" w:rsidR="00863D50" w:rsidRDefault="00863D50">
            <w:pPr>
              <w:rPr>
                <w:rFonts w:asciiTheme="minorHAnsi" w:hAnsiTheme="minorHAnsi"/>
                <w:sz w:val="20"/>
                <w:szCs w:val="20"/>
              </w:rPr>
            </w:pPr>
          </w:p>
        </w:tc>
        <w:tc>
          <w:tcPr>
            <w:tcW w:w="979" w:type="dxa"/>
            <w:shd w:val="clear" w:color="auto" w:fill="D9D9D9" w:themeFill="background1" w:themeFillShade="D9"/>
            <w:vAlign w:val="center"/>
            <w:hideMark/>
          </w:tcPr>
          <w:p w14:paraId="0DA26DD7" w14:textId="77777777" w:rsidR="00863D50" w:rsidRDefault="00863D50">
            <w:pPr>
              <w:rPr>
                <w:rFonts w:asciiTheme="minorHAnsi" w:hAnsiTheme="minorHAnsi"/>
                <w:sz w:val="20"/>
                <w:szCs w:val="20"/>
              </w:rPr>
            </w:pPr>
          </w:p>
        </w:tc>
        <w:tc>
          <w:tcPr>
            <w:tcW w:w="1796" w:type="dxa"/>
            <w:shd w:val="clear" w:color="auto" w:fill="D9D9D9" w:themeFill="background1" w:themeFillShade="D9"/>
            <w:vAlign w:val="center"/>
            <w:hideMark/>
          </w:tcPr>
          <w:p w14:paraId="2B5C9870" w14:textId="77777777" w:rsidR="00863D50" w:rsidRDefault="00863D50">
            <w:pPr>
              <w:rPr>
                <w:rFonts w:asciiTheme="minorHAnsi" w:hAnsiTheme="minorHAnsi"/>
                <w:sz w:val="20"/>
                <w:szCs w:val="20"/>
              </w:rPr>
            </w:pPr>
          </w:p>
        </w:tc>
      </w:tr>
      <w:tr w:rsidR="00863D50" w14:paraId="0C552873" w14:textId="77777777" w:rsidTr="00A662C0">
        <w:trPr>
          <w:trHeight w:val="300"/>
          <w:jc w:val="center"/>
        </w:trPr>
        <w:tc>
          <w:tcPr>
            <w:tcW w:w="396" w:type="dxa"/>
            <w:vAlign w:val="center"/>
            <w:hideMark/>
          </w:tcPr>
          <w:p w14:paraId="2A6943E4" w14:textId="77777777" w:rsidR="00863D50" w:rsidRDefault="00863D50">
            <w:pPr>
              <w:rPr>
                <w:rFonts w:ascii="Arial" w:hAnsi="Arial" w:cs="Arial"/>
                <w:b/>
                <w:bCs/>
                <w:color w:val="000000"/>
                <w:sz w:val="20"/>
                <w:szCs w:val="20"/>
              </w:rPr>
            </w:pPr>
            <w:r>
              <w:rPr>
                <w:rFonts w:ascii="Arial" w:hAnsi="Arial" w:cs="Arial"/>
                <w:b/>
                <w:bCs/>
                <w:color w:val="000000"/>
                <w:sz w:val="20"/>
                <w:szCs w:val="20"/>
              </w:rPr>
              <w:t> </w:t>
            </w:r>
          </w:p>
        </w:tc>
        <w:tc>
          <w:tcPr>
            <w:tcW w:w="4131" w:type="dxa"/>
            <w:vAlign w:val="center"/>
            <w:hideMark/>
          </w:tcPr>
          <w:p w14:paraId="235E403F" w14:textId="77777777" w:rsidR="00863D50" w:rsidRDefault="00863D50">
            <w:pPr>
              <w:rPr>
                <w:rFonts w:ascii="Arial" w:hAnsi="Arial" w:cs="Arial"/>
                <w:b/>
                <w:bCs/>
                <w:color w:val="000000"/>
                <w:sz w:val="18"/>
                <w:szCs w:val="18"/>
              </w:rPr>
            </w:pPr>
            <w:r>
              <w:rPr>
                <w:rFonts w:ascii="Arial" w:hAnsi="Arial" w:cs="Arial"/>
                <w:b/>
                <w:bCs/>
                <w:color w:val="000000"/>
                <w:sz w:val="18"/>
                <w:szCs w:val="18"/>
              </w:rPr>
              <w:t>Primici od financijske imovine i zaduživanja</w:t>
            </w:r>
          </w:p>
        </w:tc>
        <w:tc>
          <w:tcPr>
            <w:tcW w:w="1598" w:type="dxa"/>
            <w:vAlign w:val="center"/>
            <w:hideMark/>
          </w:tcPr>
          <w:p w14:paraId="71D37020"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0,00</w:t>
            </w:r>
          </w:p>
        </w:tc>
        <w:tc>
          <w:tcPr>
            <w:tcW w:w="1020" w:type="dxa"/>
            <w:vAlign w:val="center"/>
            <w:hideMark/>
          </w:tcPr>
          <w:p w14:paraId="57816127"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0,00</w:t>
            </w:r>
          </w:p>
        </w:tc>
        <w:tc>
          <w:tcPr>
            <w:tcW w:w="979" w:type="dxa"/>
            <w:vAlign w:val="center"/>
            <w:hideMark/>
          </w:tcPr>
          <w:p w14:paraId="1978F3CE"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0,0%</w:t>
            </w:r>
          </w:p>
        </w:tc>
        <w:tc>
          <w:tcPr>
            <w:tcW w:w="1796" w:type="dxa"/>
            <w:vAlign w:val="center"/>
            <w:hideMark/>
          </w:tcPr>
          <w:p w14:paraId="502DE91F"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0,00</w:t>
            </w:r>
          </w:p>
        </w:tc>
      </w:tr>
      <w:tr w:rsidR="00863D50" w14:paraId="5B9D5714" w14:textId="77777777" w:rsidTr="00A662C0">
        <w:trPr>
          <w:trHeight w:val="300"/>
          <w:jc w:val="center"/>
        </w:trPr>
        <w:tc>
          <w:tcPr>
            <w:tcW w:w="396" w:type="dxa"/>
            <w:vAlign w:val="center"/>
            <w:hideMark/>
          </w:tcPr>
          <w:p w14:paraId="39FD839E" w14:textId="77777777" w:rsidR="00863D50" w:rsidRDefault="00863D50">
            <w:pPr>
              <w:rPr>
                <w:rFonts w:ascii="Arial" w:hAnsi="Arial" w:cs="Arial"/>
                <w:b/>
                <w:bCs/>
                <w:color w:val="000000"/>
                <w:sz w:val="20"/>
                <w:szCs w:val="20"/>
              </w:rPr>
            </w:pPr>
            <w:r>
              <w:rPr>
                <w:rFonts w:ascii="Arial" w:hAnsi="Arial" w:cs="Arial"/>
                <w:b/>
                <w:bCs/>
                <w:color w:val="000000"/>
                <w:sz w:val="20"/>
                <w:szCs w:val="20"/>
              </w:rPr>
              <w:t> </w:t>
            </w:r>
          </w:p>
        </w:tc>
        <w:tc>
          <w:tcPr>
            <w:tcW w:w="4131" w:type="dxa"/>
            <w:vAlign w:val="center"/>
            <w:hideMark/>
          </w:tcPr>
          <w:p w14:paraId="4DAF14F2" w14:textId="77777777" w:rsidR="00863D50" w:rsidRDefault="00863D50">
            <w:pPr>
              <w:rPr>
                <w:rFonts w:ascii="Arial" w:hAnsi="Arial" w:cs="Arial"/>
                <w:b/>
                <w:bCs/>
                <w:color w:val="000000"/>
                <w:sz w:val="18"/>
                <w:szCs w:val="18"/>
              </w:rPr>
            </w:pPr>
            <w:r>
              <w:rPr>
                <w:rFonts w:ascii="Arial" w:hAnsi="Arial" w:cs="Arial"/>
                <w:b/>
                <w:bCs/>
                <w:color w:val="000000"/>
                <w:sz w:val="18"/>
                <w:szCs w:val="18"/>
              </w:rPr>
              <w:t>Izdaci za financijsku imovinu i otplate zajmova</w:t>
            </w:r>
          </w:p>
        </w:tc>
        <w:tc>
          <w:tcPr>
            <w:tcW w:w="1598" w:type="dxa"/>
            <w:vAlign w:val="center"/>
            <w:hideMark/>
          </w:tcPr>
          <w:p w14:paraId="50C36BDE"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0,00</w:t>
            </w:r>
          </w:p>
        </w:tc>
        <w:tc>
          <w:tcPr>
            <w:tcW w:w="1020" w:type="dxa"/>
            <w:vAlign w:val="center"/>
            <w:hideMark/>
          </w:tcPr>
          <w:p w14:paraId="740E0953"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0,00</w:t>
            </w:r>
          </w:p>
        </w:tc>
        <w:tc>
          <w:tcPr>
            <w:tcW w:w="979" w:type="dxa"/>
            <w:vAlign w:val="center"/>
            <w:hideMark/>
          </w:tcPr>
          <w:p w14:paraId="5988A1A6"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0,0%</w:t>
            </w:r>
          </w:p>
        </w:tc>
        <w:tc>
          <w:tcPr>
            <w:tcW w:w="1796" w:type="dxa"/>
            <w:vAlign w:val="center"/>
            <w:hideMark/>
          </w:tcPr>
          <w:p w14:paraId="69AE37BE"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0,00</w:t>
            </w:r>
          </w:p>
        </w:tc>
      </w:tr>
      <w:tr w:rsidR="00863D50" w14:paraId="4CE6D913" w14:textId="77777777" w:rsidTr="00A662C0">
        <w:trPr>
          <w:trHeight w:val="300"/>
          <w:jc w:val="center"/>
        </w:trPr>
        <w:tc>
          <w:tcPr>
            <w:tcW w:w="396" w:type="dxa"/>
            <w:vAlign w:val="center"/>
            <w:hideMark/>
          </w:tcPr>
          <w:p w14:paraId="3E22790D" w14:textId="77777777" w:rsidR="00863D50" w:rsidRDefault="00863D50">
            <w:pPr>
              <w:rPr>
                <w:rFonts w:ascii="Arial" w:hAnsi="Arial" w:cs="Arial"/>
                <w:b/>
                <w:bCs/>
                <w:color w:val="000000"/>
                <w:sz w:val="18"/>
                <w:szCs w:val="18"/>
              </w:rPr>
            </w:pPr>
            <w:r>
              <w:rPr>
                <w:rFonts w:ascii="Arial" w:hAnsi="Arial" w:cs="Arial"/>
                <w:b/>
                <w:bCs/>
                <w:color w:val="000000"/>
                <w:sz w:val="18"/>
                <w:szCs w:val="18"/>
              </w:rPr>
              <w:t> </w:t>
            </w:r>
          </w:p>
        </w:tc>
        <w:tc>
          <w:tcPr>
            <w:tcW w:w="4131" w:type="dxa"/>
            <w:vAlign w:val="center"/>
            <w:hideMark/>
          </w:tcPr>
          <w:p w14:paraId="4B8AB8F2" w14:textId="77777777" w:rsidR="00863D50" w:rsidRDefault="00863D50">
            <w:pPr>
              <w:rPr>
                <w:rFonts w:ascii="Arial" w:hAnsi="Arial" w:cs="Arial"/>
                <w:b/>
                <w:bCs/>
                <w:color w:val="000000"/>
                <w:sz w:val="18"/>
                <w:szCs w:val="18"/>
              </w:rPr>
            </w:pPr>
            <w:r>
              <w:rPr>
                <w:rFonts w:ascii="Arial" w:hAnsi="Arial" w:cs="Arial"/>
                <w:b/>
                <w:bCs/>
                <w:color w:val="000000"/>
                <w:sz w:val="18"/>
                <w:szCs w:val="18"/>
              </w:rPr>
              <w:t> </w:t>
            </w:r>
          </w:p>
        </w:tc>
        <w:tc>
          <w:tcPr>
            <w:tcW w:w="1598" w:type="dxa"/>
            <w:vAlign w:val="center"/>
            <w:hideMark/>
          </w:tcPr>
          <w:p w14:paraId="23E5F1DC" w14:textId="77777777" w:rsidR="00863D50" w:rsidRDefault="00863D50">
            <w:pPr>
              <w:rPr>
                <w:rFonts w:ascii="Arial" w:hAnsi="Arial" w:cs="Arial"/>
                <w:color w:val="000000"/>
                <w:sz w:val="18"/>
                <w:szCs w:val="18"/>
              </w:rPr>
            </w:pPr>
            <w:r>
              <w:rPr>
                <w:rFonts w:ascii="Arial" w:hAnsi="Arial" w:cs="Arial"/>
                <w:color w:val="000000"/>
                <w:sz w:val="18"/>
                <w:szCs w:val="18"/>
              </w:rPr>
              <w:t> </w:t>
            </w:r>
          </w:p>
        </w:tc>
        <w:tc>
          <w:tcPr>
            <w:tcW w:w="1020" w:type="dxa"/>
            <w:vAlign w:val="center"/>
            <w:hideMark/>
          </w:tcPr>
          <w:p w14:paraId="477C4583" w14:textId="77777777" w:rsidR="00863D50" w:rsidRDefault="00863D50">
            <w:pPr>
              <w:rPr>
                <w:rFonts w:ascii="Arial" w:hAnsi="Arial" w:cs="Arial"/>
                <w:color w:val="000000"/>
                <w:sz w:val="18"/>
                <w:szCs w:val="18"/>
              </w:rPr>
            </w:pPr>
            <w:r>
              <w:rPr>
                <w:rFonts w:ascii="Arial" w:hAnsi="Arial" w:cs="Arial"/>
                <w:color w:val="000000"/>
                <w:sz w:val="18"/>
                <w:szCs w:val="18"/>
              </w:rPr>
              <w:t> </w:t>
            </w:r>
          </w:p>
        </w:tc>
        <w:tc>
          <w:tcPr>
            <w:tcW w:w="979" w:type="dxa"/>
            <w:vAlign w:val="center"/>
            <w:hideMark/>
          </w:tcPr>
          <w:p w14:paraId="05837C19" w14:textId="77777777" w:rsidR="00863D50" w:rsidRDefault="00863D50">
            <w:pPr>
              <w:rPr>
                <w:rFonts w:ascii="Arial" w:hAnsi="Arial" w:cs="Arial"/>
                <w:color w:val="000000"/>
                <w:sz w:val="18"/>
                <w:szCs w:val="18"/>
              </w:rPr>
            </w:pPr>
            <w:r>
              <w:rPr>
                <w:rFonts w:ascii="Arial" w:hAnsi="Arial" w:cs="Arial"/>
                <w:color w:val="000000"/>
                <w:sz w:val="18"/>
                <w:szCs w:val="18"/>
              </w:rPr>
              <w:t> </w:t>
            </w:r>
          </w:p>
        </w:tc>
        <w:tc>
          <w:tcPr>
            <w:tcW w:w="1796" w:type="dxa"/>
            <w:vAlign w:val="center"/>
            <w:hideMark/>
          </w:tcPr>
          <w:p w14:paraId="203C85D4" w14:textId="77777777" w:rsidR="00863D50" w:rsidRDefault="00863D50">
            <w:pPr>
              <w:rPr>
                <w:rFonts w:ascii="Arial" w:hAnsi="Arial" w:cs="Arial"/>
                <w:color w:val="000000"/>
                <w:sz w:val="18"/>
                <w:szCs w:val="18"/>
              </w:rPr>
            </w:pPr>
            <w:r>
              <w:rPr>
                <w:rFonts w:ascii="Arial" w:hAnsi="Arial" w:cs="Arial"/>
                <w:color w:val="000000"/>
                <w:sz w:val="18"/>
                <w:szCs w:val="18"/>
              </w:rPr>
              <w:t> </w:t>
            </w:r>
          </w:p>
        </w:tc>
      </w:tr>
      <w:tr w:rsidR="00863D50" w14:paraId="4AC916BF" w14:textId="77777777" w:rsidTr="00A662C0">
        <w:trPr>
          <w:trHeight w:val="300"/>
          <w:jc w:val="center"/>
        </w:trPr>
        <w:tc>
          <w:tcPr>
            <w:tcW w:w="396" w:type="dxa"/>
            <w:shd w:val="clear" w:color="auto" w:fill="D9D9D9" w:themeFill="background1" w:themeFillShade="D9"/>
            <w:vAlign w:val="center"/>
            <w:hideMark/>
          </w:tcPr>
          <w:p w14:paraId="4F229D8B" w14:textId="77777777" w:rsidR="00863D50" w:rsidRDefault="00863D50">
            <w:pPr>
              <w:rPr>
                <w:rFonts w:ascii="Arial" w:hAnsi="Arial" w:cs="Arial"/>
                <w:b/>
                <w:bCs/>
                <w:color w:val="000000"/>
                <w:sz w:val="18"/>
                <w:szCs w:val="18"/>
              </w:rPr>
            </w:pPr>
            <w:r>
              <w:rPr>
                <w:rFonts w:ascii="Arial" w:hAnsi="Arial" w:cs="Arial"/>
                <w:b/>
                <w:bCs/>
                <w:color w:val="000000"/>
                <w:sz w:val="18"/>
                <w:szCs w:val="18"/>
              </w:rPr>
              <w:t>C.</w:t>
            </w:r>
          </w:p>
        </w:tc>
        <w:tc>
          <w:tcPr>
            <w:tcW w:w="4131" w:type="dxa"/>
            <w:shd w:val="clear" w:color="auto" w:fill="D9D9D9" w:themeFill="background1" w:themeFillShade="D9"/>
            <w:vAlign w:val="center"/>
            <w:hideMark/>
          </w:tcPr>
          <w:p w14:paraId="7E02D00F" w14:textId="77777777" w:rsidR="00863D50" w:rsidRDefault="00863D50">
            <w:pPr>
              <w:rPr>
                <w:rFonts w:ascii="Arial" w:hAnsi="Arial" w:cs="Arial"/>
                <w:b/>
                <w:bCs/>
                <w:color w:val="000000"/>
                <w:sz w:val="18"/>
                <w:szCs w:val="18"/>
              </w:rPr>
            </w:pPr>
            <w:r>
              <w:rPr>
                <w:rFonts w:ascii="Arial" w:hAnsi="Arial" w:cs="Arial"/>
                <w:b/>
                <w:bCs/>
                <w:color w:val="000000"/>
                <w:sz w:val="18"/>
                <w:szCs w:val="18"/>
              </w:rPr>
              <w:t>RASPOLOŽIVA SREDSTVA IZ PRETHODNIH GODINA</w:t>
            </w:r>
          </w:p>
        </w:tc>
        <w:tc>
          <w:tcPr>
            <w:tcW w:w="1598" w:type="dxa"/>
            <w:shd w:val="clear" w:color="auto" w:fill="D9D9D9" w:themeFill="background1" w:themeFillShade="D9"/>
            <w:vAlign w:val="center"/>
            <w:hideMark/>
          </w:tcPr>
          <w:p w14:paraId="4CF4C53C" w14:textId="77777777" w:rsidR="00863D50" w:rsidRDefault="00863D50">
            <w:pPr>
              <w:rPr>
                <w:rFonts w:ascii="Arial" w:hAnsi="Arial" w:cs="Arial"/>
                <w:b/>
                <w:bCs/>
                <w:color w:val="000000"/>
                <w:sz w:val="18"/>
                <w:szCs w:val="18"/>
              </w:rPr>
            </w:pPr>
          </w:p>
        </w:tc>
        <w:tc>
          <w:tcPr>
            <w:tcW w:w="1020" w:type="dxa"/>
            <w:shd w:val="clear" w:color="auto" w:fill="D9D9D9" w:themeFill="background1" w:themeFillShade="D9"/>
            <w:vAlign w:val="center"/>
            <w:hideMark/>
          </w:tcPr>
          <w:p w14:paraId="653F7D50" w14:textId="77777777" w:rsidR="00863D50" w:rsidRDefault="00863D50">
            <w:pPr>
              <w:rPr>
                <w:rFonts w:asciiTheme="minorHAnsi" w:hAnsiTheme="minorHAnsi"/>
                <w:sz w:val="20"/>
                <w:szCs w:val="20"/>
              </w:rPr>
            </w:pPr>
          </w:p>
        </w:tc>
        <w:tc>
          <w:tcPr>
            <w:tcW w:w="979" w:type="dxa"/>
            <w:shd w:val="clear" w:color="auto" w:fill="D9D9D9" w:themeFill="background1" w:themeFillShade="D9"/>
            <w:vAlign w:val="center"/>
            <w:hideMark/>
          </w:tcPr>
          <w:p w14:paraId="4FB76331" w14:textId="77777777" w:rsidR="00863D50" w:rsidRDefault="00863D50">
            <w:pPr>
              <w:rPr>
                <w:rFonts w:asciiTheme="minorHAnsi" w:hAnsiTheme="minorHAnsi"/>
                <w:sz w:val="20"/>
                <w:szCs w:val="20"/>
              </w:rPr>
            </w:pPr>
          </w:p>
        </w:tc>
        <w:tc>
          <w:tcPr>
            <w:tcW w:w="1796" w:type="dxa"/>
            <w:shd w:val="clear" w:color="auto" w:fill="D9D9D9" w:themeFill="background1" w:themeFillShade="D9"/>
            <w:vAlign w:val="center"/>
            <w:hideMark/>
          </w:tcPr>
          <w:p w14:paraId="496535AD" w14:textId="77777777" w:rsidR="00863D50" w:rsidRDefault="00863D50">
            <w:pPr>
              <w:rPr>
                <w:rFonts w:asciiTheme="minorHAnsi" w:hAnsiTheme="minorHAnsi"/>
                <w:sz w:val="20"/>
                <w:szCs w:val="20"/>
              </w:rPr>
            </w:pPr>
          </w:p>
        </w:tc>
      </w:tr>
      <w:tr w:rsidR="00A662C0" w14:paraId="55D26E93" w14:textId="77777777" w:rsidTr="00A662C0">
        <w:trPr>
          <w:trHeight w:val="300"/>
          <w:jc w:val="center"/>
        </w:trPr>
        <w:tc>
          <w:tcPr>
            <w:tcW w:w="396" w:type="dxa"/>
            <w:shd w:val="clear" w:color="auto" w:fill="auto"/>
            <w:vAlign w:val="center"/>
          </w:tcPr>
          <w:p w14:paraId="00D39873" w14:textId="77777777" w:rsidR="00A662C0" w:rsidRDefault="00A662C0">
            <w:pPr>
              <w:rPr>
                <w:rFonts w:ascii="Arial" w:hAnsi="Arial" w:cs="Arial"/>
                <w:b/>
                <w:bCs/>
                <w:color w:val="000000"/>
                <w:sz w:val="20"/>
                <w:szCs w:val="20"/>
              </w:rPr>
            </w:pPr>
          </w:p>
        </w:tc>
        <w:tc>
          <w:tcPr>
            <w:tcW w:w="4131" w:type="dxa"/>
            <w:shd w:val="clear" w:color="auto" w:fill="auto"/>
            <w:vAlign w:val="center"/>
          </w:tcPr>
          <w:p w14:paraId="508C1D23" w14:textId="77777777" w:rsidR="00A662C0" w:rsidRDefault="00A662C0">
            <w:pPr>
              <w:rPr>
                <w:rFonts w:ascii="Arial" w:hAnsi="Arial" w:cs="Arial"/>
                <w:b/>
                <w:bCs/>
                <w:color w:val="000000"/>
                <w:sz w:val="18"/>
                <w:szCs w:val="18"/>
              </w:rPr>
            </w:pPr>
          </w:p>
        </w:tc>
        <w:tc>
          <w:tcPr>
            <w:tcW w:w="1598" w:type="dxa"/>
            <w:shd w:val="clear" w:color="auto" w:fill="auto"/>
            <w:vAlign w:val="center"/>
          </w:tcPr>
          <w:p w14:paraId="2A46ABBF" w14:textId="77777777" w:rsidR="00A662C0" w:rsidRDefault="00A662C0">
            <w:pPr>
              <w:jc w:val="right"/>
              <w:rPr>
                <w:rFonts w:ascii="Arial" w:hAnsi="Arial" w:cs="Arial"/>
                <w:b/>
                <w:bCs/>
                <w:color w:val="000000"/>
                <w:sz w:val="18"/>
                <w:szCs w:val="18"/>
              </w:rPr>
            </w:pPr>
          </w:p>
        </w:tc>
        <w:tc>
          <w:tcPr>
            <w:tcW w:w="1020" w:type="dxa"/>
            <w:shd w:val="clear" w:color="auto" w:fill="auto"/>
            <w:vAlign w:val="center"/>
          </w:tcPr>
          <w:p w14:paraId="74379021" w14:textId="77777777" w:rsidR="00A662C0" w:rsidRDefault="00A662C0">
            <w:pPr>
              <w:jc w:val="right"/>
              <w:rPr>
                <w:rFonts w:ascii="Arial" w:hAnsi="Arial" w:cs="Arial"/>
                <w:b/>
                <w:bCs/>
                <w:color w:val="000000"/>
                <w:sz w:val="18"/>
                <w:szCs w:val="18"/>
              </w:rPr>
            </w:pPr>
          </w:p>
        </w:tc>
        <w:tc>
          <w:tcPr>
            <w:tcW w:w="979" w:type="dxa"/>
            <w:shd w:val="clear" w:color="auto" w:fill="auto"/>
            <w:vAlign w:val="center"/>
          </w:tcPr>
          <w:p w14:paraId="12A148B6" w14:textId="77777777" w:rsidR="00A662C0" w:rsidRDefault="00A662C0">
            <w:pPr>
              <w:jc w:val="right"/>
              <w:rPr>
                <w:rFonts w:ascii="Arial" w:hAnsi="Arial" w:cs="Arial"/>
                <w:b/>
                <w:bCs/>
                <w:color w:val="000000"/>
                <w:sz w:val="18"/>
                <w:szCs w:val="18"/>
              </w:rPr>
            </w:pPr>
          </w:p>
        </w:tc>
        <w:tc>
          <w:tcPr>
            <w:tcW w:w="1796" w:type="dxa"/>
            <w:shd w:val="clear" w:color="auto" w:fill="auto"/>
            <w:vAlign w:val="center"/>
          </w:tcPr>
          <w:p w14:paraId="506F385F" w14:textId="77777777" w:rsidR="00A662C0" w:rsidRDefault="00A662C0">
            <w:pPr>
              <w:jc w:val="right"/>
              <w:rPr>
                <w:rFonts w:ascii="Arial" w:hAnsi="Arial" w:cs="Arial"/>
                <w:b/>
                <w:bCs/>
                <w:color w:val="000000"/>
                <w:sz w:val="18"/>
                <w:szCs w:val="18"/>
              </w:rPr>
            </w:pPr>
          </w:p>
        </w:tc>
      </w:tr>
      <w:tr w:rsidR="00863D50" w14:paraId="7D1BE489" w14:textId="77777777" w:rsidTr="00A662C0">
        <w:trPr>
          <w:trHeight w:val="300"/>
          <w:jc w:val="center"/>
        </w:trPr>
        <w:tc>
          <w:tcPr>
            <w:tcW w:w="396" w:type="dxa"/>
            <w:shd w:val="clear" w:color="auto" w:fill="D9D9D9" w:themeFill="background1" w:themeFillShade="D9"/>
            <w:vAlign w:val="center"/>
            <w:hideMark/>
          </w:tcPr>
          <w:p w14:paraId="1F7A829E" w14:textId="77777777" w:rsidR="00863D50" w:rsidRDefault="00863D50">
            <w:pPr>
              <w:rPr>
                <w:rFonts w:ascii="Arial" w:hAnsi="Arial" w:cs="Arial"/>
                <w:b/>
                <w:bCs/>
                <w:color w:val="000000"/>
                <w:sz w:val="20"/>
                <w:szCs w:val="20"/>
              </w:rPr>
            </w:pPr>
            <w:r>
              <w:rPr>
                <w:rFonts w:ascii="Arial" w:hAnsi="Arial" w:cs="Arial"/>
                <w:b/>
                <w:bCs/>
                <w:color w:val="000000"/>
                <w:sz w:val="20"/>
                <w:szCs w:val="20"/>
              </w:rPr>
              <w:t> </w:t>
            </w:r>
          </w:p>
        </w:tc>
        <w:tc>
          <w:tcPr>
            <w:tcW w:w="4131" w:type="dxa"/>
            <w:shd w:val="clear" w:color="auto" w:fill="D9D9D9" w:themeFill="background1" w:themeFillShade="D9"/>
            <w:vAlign w:val="center"/>
            <w:hideMark/>
          </w:tcPr>
          <w:p w14:paraId="39F1AA16" w14:textId="77777777" w:rsidR="00863D50" w:rsidRDefault="00863D50">
            <w:pPr>
              <w:rPr>
                <w:rFonts w:ascii="Arial" w:hAnsi="Arial" w:cs="Arial"/>
                <w:b/>
                <w:bCs/>
                <w:color w:val="000000"/>
                <w:sz w:val="18"/>
                <w:szCs w:val="18"/>
              </w:rPr>
            </w:pPr>
            <w:r>
              <w:rPr>
                <w:rFonts w:ascii="Arial" w:hAnsi="Arial" w:cs="Arial"/>
                <w:b/>
                <w:bCs/>
                <w:color w:val="000000"/>
                <w:sz w:val="18"/>
                <w:szCs w:val="18"/>
              </w:rPr>
              <w:t>VIŠAK/MANJAK IZ PRETHODNIH GODINA</w:t>
            </w:r>
          </w:p>
        </w:tc>
        <w:tc>
          <w:tcPr>
            <w:tcW w:w="1598" w:type="dxa"/>
            <w:shd w:val="clear" w:color="auto" w:fill="D9D9D9" w:themeFill="background1" w:themeFillShade="D9"/>
            <w:vAlign w:val="center"/>
            <w:hideMark/>
          </w:tcPr>
          <w:p w14:paraId="0716DACC"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2.500,00</w:t>
            </w:r>
          </w:p>
        </w:tc>
        <w:tc>
          <w:tcPr>
            <w:tcW w:w="1020" w:type="dxa"/>
            <w:shd w:val="clear" w:color="auto" w:fill="D9D9D9" w:themeFill="background1" w:themeFillShade="D9"/>
            <w:vAlign w:val="center"/>
            <w:hideMark/>
          </w:tcPr>
          <w:p w14:paraId="12D47E8E"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-2.834,00</w:t>
            </w:r>
          </w:p>
        </w:tc>
        <w:tc>
          <w:tcPr>
            <w:tcW w:w="979" w:type="dxa"/>
            <w:shd w:val="clear" w:color="auto" w:fill="D9D9D9" w:themeFill="background1" w:themeFillShade="D9"/>
            <w:vAlign w:val="center"/>
            <w:hideMark/>
          </w:tcPr>
          <w:p w14:paraId="7D07DB22"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-113.4%</w:t>
            </w:r>
          </w:p>
        </w:tc>
        <w:tc>
          <w:tcPr>
            <w:tcW w:w="1796" w:type="dxa"/>
            <w:shd w:val="clear" w:color="auto" w:fill="D9D9D9" w:themeFill="background1" w:themeFillShade="D9"/>
            <w:vAlign w:val="center"/>
            <w:hideMark/>
          </w:tcPr>
          <w:p w14:paraId="316EA77B"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-334,00</w:t>
            </w:r>
          </w:p>
        </w:tc>
      </w:tr>
      <w:tr w:rsidR="00863D50" w14:paraId="7F37C704" w14:textId="77777777" w:rsidTr="00A662C0">
        <w:trPr>
          <w:trHeight w:val="930"/>
          <w:jc w:val="center"/>
        </w:trPr>
        <w:tc>
          <w:tcPr>
            <w:tcW w:w="396" w:type="dxa"/>
            <w:shd w:val="clear" w:color="auto" w:fill="D9D9D9" w:themeFill="background1" w:themeFillShade="D9"/>
            <w:vAlign w:val="center"/>
            <w:hideMark/>
          </w:tcPr>
          <w:p w14:paraId="0CBBE699" w14:textId="77777777" w:rsidR="00863D50" w:rsidRDefault="00863D50">
            <w:pPr>
              <w:rPr>
                <w:rFonts w:ascii="Arial" w:hAnsi="Arial" w:cs="Arial"/>
                <w:b/>
                <w:bCs/>
                <w:color w:val="000000"/>
                <w:sz w:val="20"/>
                <w:szCs w:val="20"/>
              </w:rPr>
            </w:pPr>
            <w:r>
              <w:rPr>
                <w:rFonts w:ascii="Arial" w:hAnsi="Arial" w:cs="Arial"/>
                <w:b/>
                <w:bCs/>
                <w:color w:val="000000"/>
                <w:sz w:val="20"/>
                <w:szCs w:val="20"/>
              </w:rPr>
              <w:t> </w:t>
            </w:r>
          </w:p>
        </w:tc>
        <w:tc>
          <w:tcPr>
            <w:tcW w:w="4131" w:type="dxa"/>
            <w:shd w:val="clear" w:color="auto" w:fill="D9D9D9" w:themeFill="background1" w:themeFillShade="D9"/>
            <w:vAlign w:val="center"/>
            <w:hideMark/>
          </w:tcPr>
          <w:p w14:paraId="1F8A3248" w14:textId="77777777" w:rsidR="00863D50" w:rsidRDefault="00863D50">
            <w:pPr>
              <w:rPr>
                <w:rFonts w:ascii="Arial" w:hAnsi="Arial" w:cs="Arial"/>
                <w:b/>
                <w:bCs/>
                <w:color w:val="000000"/>
                <w:sz w:val="18"/>
                <w:szCs w:val="18"/>
              </w:rPr>
            </w:pPr>
            <w:r>
              <w:rPr>
                <w:rFonts w:ascii="Arial" w:hAnsi="Arial" w:cs="Arial"/>
                <w:b/>
                <w:bCs/>
                <w:color w:val="000000"/>
                <w:sz w:val="18"/>
                <w:szCs w:val="18"/>
              </w:rPr>
              <w:t>VIŠAK/MANJAK + NETO ZADUŽIVANJA/FINANCIRANJA + RASPOLOŽIVA SREDSTVA IZ PRETHODNIH GODINA</w:t>
            </w:r>
          </w:p>
        </w:tc>
        <w:tc>
          <w:tcPr>
            <w:tcW w:w="1598" w:type="dxa"/>
            <w:shd w:val="clear" w:color="auto" w:fill="D9D9D9" w:themeFill="background1" w:themeFillShade="D9"/>
            <w:vAlign w:val="center"/>
            <w:hideMark/>
          </w:tcPr>
          <w:p w14:paraId="13B7BE90"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0,00</w:t>
            </w:r>
          </w:p>
        </w:tc>
        <w:tc>
          <w:tcPr>
            <w:tcW w:w="1020" w:type="dxa"/>
            <w:shd w:val="clear" w:color="auto" w:fill="D9D9D9" w:themeFill="background1" w:themeFillShade="D9"/>
            <w:vAlign w:val="center"/>
            <w:hideMark/>
          </w:tcPr>
          <w:p w14:paraId="0B165BF4"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0,00</w:t>
            </w:r>
          </w:p>
        </w:tc>
        <w:tc>
          <w:tcPr>
            <w:tcW w:w="979" w:type="dxa"/>
            <w:shd w:val="clear" w:color="auto" w:fill="D9D9D9" w:themeFill="background1" w:themeFillShade="D9"/>
            <w:vAlign w:val="center"/>
            <w:hideMark/>
          </w:tcPr>
          <w:p w14:paraId="73D2579C"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0,0%</w:t>
            </w:r>
          </w:p>
        </w:tc>
        <w:tc>
          <w:tcPr>
            <w:tcW w:w="1796" w:type="dxa"/>
            <w:shd w:val="clear" w:color="auto" w:fill="D9D9D9" w:themeFill="background1" w:themeFillShade="D9"/>
            <w:vAlign w:val="center"/>
            <w:hideMark/>
          </w:tcPr>
          <w:p w14:paraId="6777EFCF" w14:textId="77777777" w:rsidR="00863D50" w:rsidRDefault="00863D50">
            <w:pPr>
              <w:jc w:val="right"/>
              <w:rPr>
                <w:rFonts w:ascii="Arial" w:hAnsi="Arial" w:cs="Arial"/>
                <w:b/>
                <w:bCs/>
                <w:color w:val="000000"/>
                <w:sz w:val="18"/>
                <w:szCs w:val="18"/>
              </w:rPr>
            </w:pPr>
            <w:r>
              <w:rPr>
                <w:rFonts w:ascii="Arial" w:hAnsi="Arial" w:cs="Arial"/>
                <w:b/>
                <w:bCs/>
                <w:color w:val="000000"/>
                <w:sz w:val="18"/>
                <w:szCs w:val="18"/>
              </w:rPr>
              <w:t>0,00</w:t>
            </w:r>
          </w:p>
        </w:tc>
      </w:tr>
    </w:tbl>
    <w:p w14:paraId="19DAD719" w14:textId="77777777" w:rsidR="00863D50" w:rsidRDefault="00863D50" w:rsidP="00A662C0">
      <w:pPr>
        <w:spacing w:line="259" w:lineRule="auto"/>
        <w:jc w:val="both"/>
        <w:rPr>
          <w:rFonts w:ascii="Arial" w:eastAsiaTheme="minorHAnsi" w:hAnsi="Arial" w:cs="Arial"/>
          <w:sz w:val="22"/>
          <w:szCs w:val="22"/>
          <w:lang w:eastAsia="en-US"/>
        </w:rPr>
      </w:pPr>
    </w:p>
    <w:p w14:paraId="7B7A8A42" w14:textId="77777777" w:rsidR="00863D50" w:rsidRDefault="00863D50" w:rsidP="00A662C0">
      <w:pPr>
        <w:spacing w:line="259" w:lineRule="auto"/>
        <w:jc w:val="both"/>
        <w:rPr>
          <w:rFonts w:ascii="Arial" w:eastAsia="Calibri" w:hAnsi="Arial" w:cs="Arial"/>
          <w:sz w:val="22"/>
        </w:rPr>
      </w:pPr>
      <w:r>
        <w:rPr>
          <w:rFonts w:ascii="Arial" w:eastAsia="Calibri" w:hAnsi="Arial" w:cs="Arial"/>
          <w:sz w:val="22"/>
        </w:rPr>
        <w:t>Prihodi i primici Osnovne škole Matije Vlačića Labin za 2025. godinu planirani su  u iznosu od 1.961.856 eura te se Izmjenama i dopunama financijskog plana povećavaju na 2.020.447 eura.</w:t>
      </w:r>
    </w:p>
    <w:p w14:paraId="2716FE50" w14:textId="77777777" w:rsidR="00863D50" w:rsidRDefault="00863D50" w:rsidP="00A662C0">
      <w:pPr>
        <w:spacing w:line="259" w:lineRule="auto"/>
        <w:jc w:val="both"/>
        <w:rPr>
          <w:rFonts w:ascii="Arial" w:eastAsia="Calibri" w:hAnsi="Arial" w:cs="Arial"/>
          <w:sz w:val="22"/>
        </w:rPr>
      </w:pPr>
      <w:r>
        <w:rPr>
          <w:rFonts w:ascii="Arial" w:hAnsi="Arial" w:cs="Arial"/>
          <w:sz w:val="22"/>
        </w:rPr>
        <w:t>Rashodi</w:t>
      </w:r>
      <w:r>
        <w:rPr>
          <w:rFonts w:ascii="Arial" w:hAnsi="Arial" w:cs="Arial"/>
          <w:sz w:val="22"/>
          <w:lang w:val="en-GB"/>
        </w:rPr>
        <w:t xml:space="preserve"> </w:t>
      </w:r>
      <w:proofErr w:type="spellStart"/>
      <w:r>
        <w:rPr>
          <w:rFonts w:ascii="Arial" w:hAnsi="Arial" w:cs="Arial"/>
          <w:sz w:val="22"/>
          <w:lang w:val="en-GB"/>
        </w:rPr>
        <w:t>i</w:t>
      </w:r>
      <w:proofErr w:type="spellEnd"/>
      <w:r>
        <w:rPr>
          <w:rFonts w:ascii="Arial" w:hAnsi="Arial" w:cs="Arial"/>
          <w:sz w:val="22"/>
        </w:rPr>
        <w:t xml:space="preserve"> izdaci Osnovne škole Matije Vlačića</w:t>
      </w:r>
      <w:r>
        <w:rPr>
          <w:rFonts w:ascii="Arial" w:hAnsi="Arial" w:cs="Arial"/>
          <w:sz w:val="22"/>
          <w:lang w:val="en-GB"/>
        </w:rPr>
        <w:t xml:space="preserve"> Labin za 2025.</w:t>
      </w:r>
      <w:r>
        <w:rPr>
          <w:rFonts w:ascii="Arial" w:hAnsi="Arial" w:cs="Arial"/>
          <w:sz w:val="22"/>
        </w:rPr>
        <w:t xml:space="preserve"> godinu planirani su</w:t>
      </w:r>
      <w:r>
        <w:rPr>
          <w:rFonts w:ascii="Arial" w:hAnsi="Arial" w:cs="Arial"/>
          <w:sz w:val="22"/>
          <w:lang w:val="en-GB"/>
        </w:rPr>
        <w:t xml:space="preserve"> u</w:t>
      </w:r>
      <w:r>
        <w:rPr>
          <w:rFonts w:ascii="Arial" w:hAnsi="Arial" w:cs="Arial"/>
          <w:sz w:val="22"/>
        </w:rPr>
        <w:t xml:space="preserve"> iznosu</w:t>
      </w:r>
      <w:r>
        <w:rPr>
          <w:rFonts w:ascii="Arial" w:hAnsi="Arial" w:cs="Arial"/>
          <w:sz w:val="22"/>
          <w:lang w:val="en-GB"/>
        </w:rPr>
        <w:t xml:space="preserve"> od </w:t>
      </w:r>
      <w:r>
        <w:rPr>
          <w:rFonts w:ascii="Arial" w:eastAsia="Calibri" w:hAnsi="Arial" w:cs="Arial"/>
          <w:sz w:val="22"/>
        </w:rPr>
        <w:t>1.964.356 eura</w:t>
      </w:r>
      <w:r>
        <w:rPr>
          <w:rFonts w:ascii="Arial" w:hAnsi="Arial" w:cs="Arial"/>
          <w:sz w:val="22"/>
          <w:lang w:val="en-GB"/>
        </w:rPr>
        <w:t xml:space="preserve">, </w:t>
      </w:r>
      <w:r>
        <w:rPr>
          <w:rFonts w:ascii="Arial" w:eastAsia="Calibri" w:hAnsi="Arial" w:cs="Arial"/>
          <w:sz w:val="22"/>
        </w:rPr>
        <w:t>te se Izmjenama i dopunama povećavaju na 2.020.113,00 eura</w:t>
      </w:r>
    </w:p>
    <w:p w14:paraId="3827121D" w14:textId="77777777" w:rsidR="00863D50" w:rsidRDefault="00863D50" w:rsidP="00A662C0">
      <w:pPr>
        <w:spacing w:line="259" w:lineRule="auto"/>
        <w:jc w:val="both"/>
        <w:rPr>
          <w:rFonts w:ascii="Arial" w:eastAsiaTheme="minorHAnsi" w:hAnsi="Arial" w:cs="Arial"/>
          <w:sz w:val="22"/>
        </w:rPr>
      </w:pPr>
      <w:r>
        <w:rPr>
          <w:rFonts w:ascii="Arial" w:hAnsi="Arial" w:cs="Arial"/>
          <w:sz w:val="22"/>
          <w:lang w:val="en-GB"/>
        </w:rPr>
        <w:t>a</w:t>
      </w:r>
      <w:r>
        <w:rPr>
          <w:rFonts w:ascii="Arial" w:hAnsi="Arial" w:cs="Arial"/>
          <w:sz w:val="22"/>
        </w:rPr>
        <w:t xml:space="preserve"> raspoređeni su na</w:t>
      </w:r>
      <w:r>
        <w:rPr>
          <w:rFonts w:ascii="Arial" w:hAnsi="Arial" w:cs="Arial"/>
          <w:sz w:val="22"/>
          <w:lang w:val="en-GB"/>
        </w:rPr>
        <w:t xml:space="preserve"> </w:t>
      </w:r>
      <w:r>
        <w:rPr>
          <w:rFonts w:ascii="Arial" w:hAnsi="Arial" w:cs="Arial"/>
          <w:sz w:val="22"/>
        </w:rPr>
        <w:t>rashode poslovanja u iznosu 2</w:t>
      </w:r>
      <w:r>
        <w:rPr>
          <w:rFonts w:ascii="Arial" w:eastAsia="Calibri" w:hAnsi="Arial" w:cs="Arial"/>
          <w:sz w:val="22"/>
        </w:rPr>
        <w:t xml:space="preserve">.009.898,00 eura i </w:t>
      </w:r>
      <w:r>
        <w:rPr>
          <w:rFonts w:ascii="Arial" w:hAnsi="Arial" w:cs="Arial"/>
          <w:sz w:val="22"/>
        </w:rPr>
        <w:t xml:space="preserve">rashode za nabavu nefinancijske imovine u iznosu od 10.215,00 </w:t>
      </w:r>
      <w:r>
        <w:rPr>
          <w:rFonts w:ascii="Arial" w:eastAsia="Calibri" w:hAnsi="Arial" w:cs="Arial"/>
          <w:sz w:val="22"/>
        </w:rPr>
        <w:t>eura.</w:t>
      </w:r>
    </w:p>
    <w:p w14:paraId="4DEEAE36" w14:textId="77777777" w:rsidR="00863D50" w:rsidRDefault="00863D50" w:rsidP="00A662C0">
      <w:pPr>
        <w:spacing w:line="259" w:lineRule="auto"/>
        <w:jc w:val="both"/>
        <w:rPr>
          <w:rFonts w:ascii="Garamond" w:hAnsi="Garamond" w:cs="Arial"/>
          <w:sz w:val="22"/>
        </w:rPr>
      </w:pPr>
    </w:p>
    <w:p w14:paraId="589E38FD" w14:textId="77777777" w:rsidR="00863D50" w:rsidRDefault="00863D50" w:rsidP="00A662C0">
      <w:pPr>
        <w:spacing w:line="259" w:lineRule="auto"/>
        <w:jc w:val="both"/>
        <w:rPr>
          <w:rFonts w:ascii="Arial" w:hAnsi="Arial" w:cs="Arial"/>
          <w:sz w:val="22"/>
        </w:rPr>
      </w:pPr>
      <w:r>
        <w:rPr>
          <w:rFonts w:ascii="Arial" w:hAnsi="Arial" w:cs="Arial"/>
          <w:sz w:val="22"/>
        </w:rPr>
        <w:t xml:space="preserve">U nastavku obrazloženja daje se tabelarni prikaz plana i izmjena plana prihoda i primitaka te plana i izmjena plana rashoda i izdataka po skupinama i podskupinama. </w:t>
      </w:r>
    </w:p>
    <w:p w14:paraId="48FD26EA" w14:textId="77777777" w:rsidR="00863D50" w:rsidRDefault="00863D50" w:rsidP="00A662C0">
      <w:pPr>
        <w:spacing w:line="259" w:lineRule="auto"/>
        <w:jc w:val="both"/>
        <w:rPr>
          <w:rFonts w:ascii="Arial" w:hAnsi="Arial" w:cs="Arial"/>
          <w:sz w:val="22"/>
        </w:rPr>
      </w:pPr>
    </w:p>
    <w:p w14:paraId="4AA5CA31" w14:textId="77777777" w:rsidR="00A662C0" w:rsidRDefault="00A662C0" w:rsidP="00A662C0">
      <w:pPr>
        <w:spacing w:line="259" w:lineRule="auto"/>
        <w:jc w:val="both"/>
        <w:rPr>
          <w:rFonts w:ascii="Arial" w:hAnsi="Arial" w:cs="Arial"/>
          <w:sz w:val="22"/>
        </w:rPr>
      </w:pPr>
    </w:p>
    <w:p w14:paraId="32CAB327" w14:textId="77777777" w:rsidR="00863D50" w:rsidRDefault="00863D50" w:rsidP="00A662C0">
      <w:pPr>
        <w:spacing w:line="259" w:lineRule="auto"/>
        <w:jc w:val="both"/>
        <w:rPr>
          <w:rFonts w:ascii="Arial" w:hAnsi="Arial" w:cs="Arial"/>
          <w:sz w:val="22"/>
        </w:rPr>
      </w:pPr>
      <w:r>
        <w:rPr>
          <w:rFonts w:ascii="Arial" w:hAnsi="Arial" w:cs="Arial"/>
          <w:sz w:val="22"/>
        </w:rPr>
        <w:t xml:space="preserve">Tablica 2. Račun prihoda i rashoda </w:t>
      </w:r>
    </w:p>
    <w:p w14:paraId="42EE7FBF" w14:textId="77777777" w:rsidR="00A662C0" w:rsidRDefault="00A662C0" w:rsidP="00A662C0">
      <w:pPr>
        <w:spacing w:line="259" w:lineRule="auto"/>
        <w:jc w:val="both"/>
        <w:rPr>
          <w:rFonts w:ascii="Arial" w:hAnsi="Arial" w:cs="Arial"/>
          <w:color w:val="FF0000"/>
          <w:sz w:val="22"/>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4148"/>
        <w:gridCol w:w="1275"/>
        <w:gridCol w:w="1133"/>
        <w:gridCol w:w="988"/>
        <w:gridCol w:w="1266"/>
      </w:tblGrid>
      <w:tr w:rsidR="00863D50" w:rsidRPr="00A662C0" w14:paraId="7874F80C" w14:textId="77777777" w:rsidTr="00A662C0">
        <w:trPr>
          <w:trHeight w:val="340"/>
        </w:trPr>
        <w:tc>
          <w:tcPr>
            <w:tcW w:w="670" w:type="dxa"/>
            <w:shd w:val="clear" w:color="auto" w:fill="C0C0C0"/>
            <w:vAlign w:val="bottom"/>
            <w:hideMark/>
          </w:tcPr>
          <w:p w14:paraId="0343AD32" w14:textId="77777777" w:rsidR="00863D50" w:rsidRPr="00A662C0" w:rsidRDefault="00863D50">
            <w:pPr>
              <w:jc w:val="center"/>
              <w:rPr>
                <w:rFonts w:ascii="Arial" w:hAnsi="Arial" w:cs="Arial"/>
                <w:b/>
                <w:bCs/>
                <w:sz w:val="16"/>
                <w:szCs w:val="16"/>
              </w:rPr>
            </w:pPr>
            <w:r w:rsidRPr="00A662C0">
              <w:rPr>
                <w:rFonts w:ascii="Arial" w:hAnsi="Arial" w:cs="Arial"/>
                <w:b/>
                <w:bCs/>
                <w:sz w:val="16"/>
                <w:szCs w:val="16"/>
              </w:rPr>
              <w:t>Br.</w:t>
            </w:r>
            <w:r w:rsidRPr="00A662C0">
              <w:rPr>
                <w:rFonts w:ascii="Arial" w:hAnsi="Arial" w:cs="Arial"/>
                <w:b/>
                <w:bCs/>
                <w:sz w:val="16"/>
                <w:szCs w:val="16"/>
              </w:rPr>
              <w:br/>
              <w:t>Konta</w:t>
            </w:r>
          </w:p>
          <w:p w14:paraId="2547B856" w14:textId="77777777" w:rsidR="00A662C0" w:rsidRPr="00A662C0" w:rsidRDefault="00A662C0">
            <w:pPr>
              <w:jc w:val="center"/>
              <w:rPr>
                <w:rFonts w:ascii="Arial" w:hAnsi="Arial" w:cs="Arial"/>
                <w:b/>
                <w:bCs/>
                <w:sz w:val="16"/>
                <w:szCs w:val="16"/>
              </w:rPr>
            </w:pPr>
          </w:p>
        </w:tc>
        <w:tc>
          <w:tcPr>
            <w:tcW w:w="4148" w:type="dxa"/>
            <w:shd w:val="clear" w:color="auto" w:fill="C0C0C0"/>
            <w:vAlign w:val="bottom"/>
            <w:hideMark/>
          </w:tcPr>
          <w:p w14:paraId="4B777490" w14:textId="77777777" w:rsidR="00863D50" w:rsidRPr="00A662C0" w:rsidRDefault="00863D50">
            <w:pPr>
              <w:jc w:val="center"/>
              <w:rPr>
                <w:rFonts w:ascii="Arial" w:hAnsi="Arial" w:cs="Arial"/>
                <w:b/>
                <w:bCs/>
                <w:sz w:val="16"/>
                <w:szCs w:val="16"/>
              </w:rPr>
            </w:pPr>
            <w:r w:rsidRPr="00A662C0">
              <w:rPr>
                <w:rFonts w:ascii="Arial" w:hAnsi="Arial" w:cs="Arial"/>
                <w:b/>
                <w:bCs/>
                <w:sz w:val="16"/>
                <w:szCs w:val="16"/>
              </w:rPr>
              <w:t>VRSTA PRIHODA / RASHODA</w:t>
            </w:r>
          </w:p>
        </w:tc>
        <w:tc>
          <w:tcPr>
            <w:tcW w:w="1275" w:type="dxa"/>
            <w:shd w:val="clear" w:color="auto" w:fill="C0C0C0"/>
            <w:vAlign w:val="bottom"/>
            <w:hideMark/>
          </w:tcPr>
          <w:p w14:paraId="40BF906E" w14:textId="77777777" w:rsidR="00863D50" w:rsidRPr="00A662C0" w:rsidRDefault="00863D50">
            <w:pPr>
              <w:jc w:val="center"/>
              <w:rPr>
                <w:rFonts w:ascii="Arial" w:hAnsi="Arial" w:cs="Arial"/>
                <w:b/>
                <w:bCs/>
                <w:sz w:val="16"/>
                <w:szCs w:val="16"/>
              </w:rPr>
            </w:pPr>
            <w:r w:rsidRPr="00A662C0">
              <w:rPr>
                <w:rFonts w:ascii="Arial" w:hAnsi="Arial" w:cs="Arial"/>
                <w:b/>
                <w:bCs/>
                <w:sz w:val="16"/>
                <w:szCs w:val="16"/>
              </w:rPr>
              <w:t>PLANIRANO</w:t>
            </w:r>
          </w:p>
        </w:tc>
        <w:tc>
          <w:tcPr>
            <w:tcW w:w="1133" w:type="dxa"/>
            <w:shd w:val="clear" w:color="auto" w:fill="C0C0C0"/>
            <w:vAlign w:val="bottom"/>
            <w:hideMark/>
          </w:tcPr>
          <w:p w14:paraId="101496D1" w14:textId="77777777" w:rsidR="00863D50" w:rsidRPr="00A662C0" w:rsidRDefault="00863D50">
            <w:pPr>
              <w:jc w:val="center"/>
              <w:rPr>
                <w:rFonts w:ascii="Arial" w:hAnsi="Arial" w:cs="Arial"/>
                <w:b/>
                <w:bCs/>
                <w:sz w:val="16"/>
                <w:szCs w:val="16"/>
              </w:rPr>
            </w:pPr>
            <w:r w:rsidRPr="00A662C0">
              <w:rPr>
                <w:rFonts w:ascii="Arial" w:hAnsi="Arial" w:cs="Arial"/>
                <w:b/>
                <w:bCs/>
                <w:sz w:val="16"/>
                <w:szCs w:val="16"/>
              </w:rPr>
              <w:t>IZNOS</w:t>
            </w:r>
          </w:p>
        </w:tc>
        <w:tc>
          <w:tcPr>
            <w:tcW w:w="988" w:type="dxa"/>
            <w:shd w:val="clear" w:color="auto" w:fill="C0C0C0"/>
            <w:vAlign w:val="bottom"/>
            <w:hideMark/>
          </w:tcPr>
          <w:p w14:paraId="00EA9504" w14:textId="77777777" w:rsidR="00863D50" w:rsidRPr="00A662C0" w:rsidRDefault="00863D50">
            <w:pPr>
              <w:jc w:val="center"/>
              <w:rPr>
                <w:rFonts w:ascii="Arial" w:hAnsi="Arial" w:cs="Arial"/>
                <w:b/>
                <w:bCs/>
                <w:sz w:val="16"/>
                <w:szCs w:val="16"/>
              </w:rPr>
            </w:pPr>
            <w:r w:rsidRPr="00A662C0">
              <w:rPr>
                <w:rFonts w:ascii="Arial" w:hAnsi="Arial" w:cs="Arial"/>
                <w:b/>
                <w:bCs/>
                <w:sz w:val="16"/>
                <w:szCs w:val="16"/>
              </w:rPr>
              <w:t> </w:t>
            </w:r>
          </w:p>
        </w:tc>
        <w:tc>
          <w:tcPr>
            <w:tcW w:w="1266" w:type="dxa"/>
            <w:shd w:val="clear" w:color="auto" w:fill="C0C0C0"/>
            <w:vAlign w:val="bottom"/>
            <w:hideMark/>
          </w:tcPr>
          <w:p w14:paraId="426359B3" w14:textId="77777777" w:rsidR="00863D50" w:rsidRPr="00A662C0" w:rsidRDefault="00863D50">
            <w:pPr>
              <w:jc w:val="center"/>
              <w:rPr>
                <w:rFonts w:ascii="Arial" w:hAnsi="Arial" w:cs="Arial"/>
                <w:b/>
                <w:bCs/>
                <w:sz w:val="16"/>
                <w:szCs w:val="16"/>
              </w:rPr>
            </w:pPr>
            <w:r w:rsidRPr="00A662C0">
              <w:rPr>
                <w:rFonts w:ascii="Arial" w:hAnsi="Arial" w:cs="Arial"/>
                <w:b/>
                <w:bCs/>
                <w:sz w:val="16"/>
                <w:szCs w:val="16"/>
              </w:rPr>
              <w:t>NOVI IZNOS</w:t>
            </w:r>
          </w:p>
        </w:tc>
      </w:tr>
      <w:tr w:rsidR="00863D50" w:rsidRPr="00A662C0" w14:paraId="1A6586B8" w14:textId="77777777" w:rsidTr="00A662C0">
        <w:trPr>
          <w:trHeight w:val="340"/>
        </w:trPr>
        <w:tc>
          <w:tcPr>
            <w:tcW w:w="9480" w:type="dxa"/>
            <w:gridSpan w:val="6"/>
            <w:shd w:val="clear" w:color="auto" w:fill="808080"/>
            <w:noWrap/>
            <w:vAlign w:val="bottom"/>
            <w:hideMark/>
          </w:tcPr>
          <w:p w14:paraId="3A5CEFBA" w14:textId="77777777" w:rsidR="00863D50" w:rsidRPr="00A662C0" w:rsidRDefault="00863D50">
            <w:pPr>
              <w:rPr>
                <w:rFonts w:ascii="Arial" w:hAnsi="Arial" w:cs="Arial"/>
                <w:b/>
                <w:bCs/>
                <w:sz w:val="18"/>
                <w:szCs w:val="18"/>
              </w:rPr>
            </w:pPr>
            <w:r w:rsidRPr="00A662C0">
              <w:rPr>
                <w:rFonts w:ascii="Arial" w:hAnsi="Arial" w:cs="Arial"/>
                <w:b/>
                <w:bCs/>
                <w:sz w:val="18"/>
                <w:szCs w:val="18"/>
              </w:rPr>
              <w:t>A. RAČUN PRIHODA I RASHODA</w:t>
            </w:r>
          </w:p>
        </w:tc>
      </w:tr>
      <w:tr w:rsidR="00863D50" w:rsidRPr="00A662C0" w14:paraId="1771C2F1" w14:textId="77777777" w:rsidTr="00A662C0">
        <w:trPr>
          <w:trHeight w:val="340"/>
        </w:trPr>
        <w:tc>
          <w:tcPr>
            <w:tcW w:w="670" w:type="dxa"/>
            <w:shd w:val="clear" w:color="auto" w:fill="000080"/>
            <w:noWrap/>
            <w:vAlign w:val="bottom"/>
            <w:hideMark/>
          </w:tcPr>
          <w:p w14:paraId="43EDF3A5" w14:textId="77777777" w:rsidR="00863D50" w:rsidRPr="00A662C0" w:rsidRDefault="00863D50">
            <w:pPr>
              <w:rPr>
                <w:rFonts w:ascii="Arial" w:hAnsi="Arial" w:cs="Arial"/>
                <w:b/>
                <w:bCs/>
                <w:sz w:val="18"/>
                <w:szCs w:val="18"/>
              </w:rPr>
            </w:pPr>
            <w:r w:rsidRPr="00A662C0">
              <w:rPr>
                <w:rFonts w:ascii="Arial" w:hAnsi="Arial" w:cs="Arial"/>
                <w:b/>
                <w:bCs/>
                <w:sz w:val="18"/>
                <w:szCs w:val="18"/>
              </w:rPr>
              <w:t>6</w:t>
            </w:r>
          </w:p>
        </w:tc>
        <w:tc>
          <w:tcPr>
            <w:tcW w:w="4148" w:type="dxa"/>
            <w:shd w:val="clear" w:color="auto" w:fill="000080"/>
            <w:noWrap/>
            <w:vAlign w:val="bottom"/>
            <w:hideMark/>
          </w:tcPr>
          <w:p w14:paraId="1AA8E0A1" w14:textId="77777777" w:rsidR="00863D50" w:rsidRPr="00A662C0" w:rsidRDefault="00863D50">
            <w:pPr>
              <w:rPr>
                <w:rFonts w:ascii="Arial" w:hAnsi="Arial" w:cs="Arial"/>
                <w:b/>
                <w:bCs/>
                <w:sz w:val="18"/>
                <w:szCs w:val="18"/>
              </w:rPr>
            </w:pPr>
            <w:r w:rsidRPr="00A662C0">
              <w:rPr>
                <w:rFonts w:ascii="Arial" w:hAnsi="Arial" w:cs="Arial"/>
                <w:b/>
                <w:bCs/>
                <w:sz w:val="18"/>
                <w:szCs w:val="18"/>
              </w:rPr>
              <w:t>Prihodi poslovanja</w:t>
            </w:r>
          </w:p>
        </w:tc>
        <w:tc>
          <w:tcPr>
            <w:tcW w:w="1275" w:type="dxa"/>
            <w:shd w:val="clear" w:color="auto" w:fill="000080"/>
            <w:noWrap/>
            <w:vAlign w:val="bottom"/>
            <w:hideMark/>
          </w:tcPr>
          <w:p w14:paraId="5BBE323D" w14:textId="77777777" w:rsidR="00863D50" w:rsidRPr="00A662C0" w:rsidRDefault="00863D50">
            <w:pPr>
              <w:jc w:val="right"/>
              <w:rPr>
                <w:rFonts w:ascii="Arial" w:hAnsi="Arial" w:cs="Arial"/>
                <w:b/>
                <w:bCs/>
                <w:sz w:val="18"/>
                <w:szCs w:val="18"/>
              </w:rPr>
            </w:pPr>
            <w:r w:rsidRPr="00A662C0">
              <w:rPr>
                <w:rFonts w:ascii="Arial" w:hAnsi="Arial" w:cs="Arial"/>
                <w:b/>
                <w:bCs/>
                <w:sz w:val="18"/>
                <w:szCs w:val="18"/>
              </w:rPr>
              <w:t>1.961.856,00</w:t>
            </w:r>
          </w:p>
        </w:tc>
        <w:tc>
          <w:tcPr>
            <w:tcW w:w="1133" w:type="dxa"/>
            <w:shd w:val="clear" w:color="auto" w:fill="000080"/>
            <w:noWrap/>
            <w:vAlign w:val="bottom"/>
            <w:hideMark/>
          </w:tcPr>
          <w:p w14:paraId="2A9A3F61" w14:textId="77777777" w:rsidR="00863D50" w:rsidRPr="00A662C0" w:rsidRDefault="00863D50">
            <w:pPr>
              <w:jc w:val="right"/>
              <w:rPr>
                <w:rFonts w:ascii="Arial" w:hAnsi="Arial" w:cs="Arial"/>
                <w:b/>
                <w:bCs/>
                <w:sz w:val="18"/>
                <w:szCs w:val="18"/>
              </w:rPr>
            </w:pPr>
            <w:r w:rsidRPr="00A662C0">
              <w:rPr>
                <w:rFonts w:ascii="Arial" w:hAnsi="Arial" w:cs="Arial"/>
                <w:b/>
                <w:bCs/>
                <w:sz w:val="18"/>
                <w:szCs w:val="18"/>
              </w:rPr>
              <w:t>58.591,00</w:t>
            </w:r>
          </w:p>
        </w:tc>
        <w:tc>
          <w:tcPr>
            <w:tcW w:w="988" w:type="dxa"/>
            <w:shd w:val="clear" w:color="auto" w:fill="000080"/>
            <w:noWrap/>
            <w:vAlign w:val="bottom"/>
            <w:hideMark/>
          </w:tcPr>
          <w:p w14:paraId="7A7E3152" w14:textId="77777777" w:rsidR="00863D50" w:rsidRPr="00A662C0" w:rsidRDefault="00863D50">
            <w:pPr>
              <w:jc w:val="right"/>
              <w:rPr>
                <w:rFonts w:ascii="Arial" w:hAnsi="Arial" w:cs="Arial"/>
                <w:b/>
                <w:bCs/>
                <w:sz w:val="18"/>
                <w:szCs w:val="18"/>
              </w:rPr>
            </w:pPr>
            <w:r w:rsidRPr="00A662C0">
              <w:rPr>
                <w:rFonts w:ascii="Arial" w:hAnsi="Arial" w:cs="Arial"/>
                <w:b/>
                <w:bCs/>
                <w:sz w:val="18"/>
                <w:szCs w:val="18"/>
              </w:rPr>
              <w:t>3,0%</w:t>
            </w:r>
          </w:p>
        </w:tc>
        <w:tc>
          <w:tcPr>
            <w:tcW w:w="1266" w:type="dxa"/>
            <w:shd w:val="clear" w:color="auto" w:fill="000080"/>
            <w:noWrap/>
            <w:vAlign w:val="bottom"/>
            <w:hideMark/>
          </w:tcPr>
          <w:p w14:paraId="563702C2" w14:textId="77777777" w:rsidR="00863D50" w:rsidRPr="00A662C0" w:rsidRDefault="00863D50">
            <w:pPr>
              <w:jc w:val="right"/>
              <w:rPr>
                <w:rFonts w:ascii="Arial" w:hAnsi="Arial" w:cs="Arial"/>
                <w:b/>
                <w:bCs/>
                <w:sz w:val="18"/>
                <w:szCs w:val="18"/>
              </w:rPr>
            </w:pPr>
            <w:r w:rsidRPr="00A662C0">
              <w:rPr>
                <w:rFonts w:ascii="Arial" w:hAnsi="Arial" w:cs="Arial"/>
                <w:b/>
                <w:bCs/>
                <w:sz w:val="18"/>
                <w:szCs w:val="18"/>
              </w:rPr>
              <w:t>2.020.447,00</w:t>
            </w:r>
          </w:p>
        </w:tc>
      </w:tr>
      <w:tr w:rsidR="00863D50" w:rsidRPr="00A662C0" w14:paraId="7000E7CB" w14:textId="77777777" w:rsidTr="00A662C0">
        <w:trPr>
          <w:trHeight w:val="340"/>
        </w:trPr>
        <w:tc>
          <w:tcPr>
            <w:tcW w:w="670" w:type="dxa"/>
            <w:vAlign w:val="bottom"/>
            <w:hideMark/>
          </w:tcPr>
          <w:p w14:paraId="025051B3" w14:textId="77777777" w:rsidR="00863D50" w:rsidRPr="00A662C0" w:rsidRDefault="00863D50">
            <w:pPr>
              <w:rPr>
                <w:rFonts w:ascii="Arial" w:hAnsi="Arial" w:cs="Arial"/>
                <w:sz w:val="18"/>
                <w:szCs w:val="18"/>
              </w:rPr>
            </w:pPr>
            <w:r w:rsidRPr="00A662C0">
              <w:rPr>
                <w:rFonts w:ascii="Arial" w:hAnsi="Arial" w:cs="Arial"/>
                <w:sz w:val="18"/>
                <w:szCs w:val="18"/>
              </w:rPr>
              <w:t>63</w:t>
            </w:r>
          </w:p>
        </w:tc>
        <w:tc>
          <w:tcPr>
            <w:tcW w:w="4148" w:type="dxa"/>
            <w:vAlign w:val="bottom"/>
            <w:hideMark/>
          </w:tcPr>
          <w:p w14:paraId="5E5AF1B4" w14:textId="77777777" w:rsidR="00863D50" w:rsidRPr="00A662C0" w:rsidRDefault="00863D50">
            <w:pPr>
              <w:rPr>
                <w:rFonts w:ascii="Arial" w:hAnsi="Arial" w:cs="Arial"/>
                <w:sz w:val="18"/>
                <w:szCs w:val="18"/>
              </w:rPr>
            </w:pPr>
            <w:r w:rsidRPr="00A662C0">
              <w:rPr>
                <w:rFonts w:ascii="Arial" w:hAnsi="Arial" w:cs="Arial"/>
                <w:sz w:val="18"/>
                <w:szCs w:val="18"/>
              </w:rPr>
              <w:t>Pomoći iz inozemstva i od subjekata unutar općeg proračuna</w:t>
            </w:r>
          </w:p>
        </w:tc>
        <w:tc>
          <w:tcPr>
            <w:tcW w:w="1275" w:type="dxa"/>
            <w:vAlign w:val="bottom"/>
            <w:hideMark/>
          </w:tcPr>
          <w:p w14:paraId="61F770A4" w14:textId="77777777" w:rsidR="00863D50" w:rsidRPr="00A662C0" w:rsidRDefault="00863D50">
            <w:pPr>
              <w:jc w:val="right"/>
              <w:rPr>
                <w:rFonts w:ascii="Arial" w:hAnsi="Arial" w:cs="Arial"/>
                <w:sz w:val="18"/>
                <w:szCs w:val="18"/>
              </w:rPr>
            </w:pPr>
            <w:r w:rsidRPr="00A662C0">
              <w:rPr>
                <w:rFonts w:ascii="Arial" w:hAnsi="Arial" w:cs="Arial"/>
                <w:sz w:val="18"/>
                <w:szCs w:val="18"/>
              </w:rPr>
              <w:t>1.590.510,00</w:t>
            </w:r>
          </w:p>
        </w:tc>
        <w:tc>
          <w:tcPr>
            <w:tcW w:w="1133" w:type="dxa"/>
            <w:vAlign w:val="bottom"/>
            <w:hideMark/>
          </w:tcPr>
          <w:p w14:paraId="6CA923C9" w14:textId="77777777" w:rsidR="00863D50" w:rsidRPr="00A662C0" w:rsidRDefault="00863D50">
            <w:pPr>
              <w:jc w:val="right"/>
              <w:rPr>
                <w:rFonts w:ascii="Arial" w:hAnsi="Arial" w:cs="Arial"/>
                <w:sz w:val="18"/>
                <w:szCs w:val="18"/>
              </w:rPr>
            </w:pPr>
            <w:r w:rsidRPr="00A662C0">
              <w:rPr>
                <w:rFonts w:ascii="Arial" w:hAnsi="Arial" w:cs="Arial"/>
                <w:sz w:val="18"/>
                <w:szCs w:val="18"/>
              </w:rPr>
              <w:t>28.306,00</w:t>
            </w:r>
          </w:p>
        </w:tc>
        <w:tc>
          <w:tcPr>
            <w:tcW w:w="988" w:type="dxa"/>
            <w:vAlign w:val="bottom"/>
            <w:hideMark/>
          </w:tcPr>
          <w:p w14:paraId="2FCEB88D" w14:textId="77777777" w:rsidR="00863D50" w:rsidRPr="00A662C0" w:rsidRDefault="00863D50">
            <w:pPr>
              <w:jc w:val="right"/>
              <w:rPr>
                <w:rFonts w:ascii="Arial" w:hAnsi="Arial" w:cs="Arial"/>
                <w:sz w:val="18"/>
                <w:szCs w:val="18"/>
              </w:rPr>
            </w:pPr>
            <w:r w:rsidRPr="00A662C0">
              <w:rPr>
                <w:rFonts w:ascii="Arial" w:hAnsi="Arial" w:cs="Arial"/>
                <w:sz w:val="18"/>
                <w:szCs w:val="18"/>
              </w:rPr>
              <w:t>1.8%</w:t>
            </w:r>
          </w:p>
        </w:tc>
        <w:tc>
          <w:tcPr>
            <w:tcW w:w="1266" w:type="dxa"/>
            <w:vAlign w:val="bottom"/>
            <w:hideMark/>
          </w:tcPr>
          <w:p w14:paraId="288ACDAB" w14:textId="77777777" w:rsidR="00863D50" w:rsidRPr="00A662C0" w:rsidRDefault="00863D50">
            <w:pPr>
              <w:jc w:val="right"/>
              <w:rPr>
                <w:rFonts w:ascii="Arial" w:hAnsi="Arial" w:cs="Arial"/>
                <w:sz w:val="18"/>
                <w:szCs w:val="18"/>
              </w:rPr>
            </w:pPr>
            <w:r w:rsidRPr="00A662C0">
              <w:rPr>
                <w:rFonts w:ascii="Arial" w:hAnsi="Arial" w:cs="Arial"/>
                <w:sz w:val="18"/>
                <w:szCs w:val="18"/>
              </w:rPr>
              <w:t>1.618.816,00</w:t>
            </w:r>
          </w:p>
        </w:tc>
      </w:tr>
      <w:tr w:rsidR="00863D50" w:rsidRPr="00A662C0" w14:paraId="54E85A30" w14:textId="77777777" w:rsidTr="00A662C0">
        <w:trPr>
          <w:trHeight w:val="340"/>
        </w:trPr>
        <w:tc>
          <w:tcPr>
            <w:tcW w:w="670" w:type="dxa"/>
            <w:vAlign w:val="bottom"/>
            <w:hideMark/>
          </w:tcPr>
          <w:p w14:paraId="6DC94C4E" w14:textId="77777777" w:rsidR="00863D50" w:rsidRPr="00A662C0" w:rsidRDefault="00863D50">
            <w:pPr>
              <w:rPr>
                <w:rFonts w:ascii="Arial" w:hAnsi="Arial" w:cs="Arial"/>
                <w:sz w:val="18"/>
                <w:szCs w:val="18"/>
              </w:rPr>
            </w:pPr>
            <w:r w:rsidRPr="00A662C0">
              <w:rPr>
                <w:rFonts w:ascii="Arial" w:hAnsi="Arial" w:cs="Arial"/>
                <w:sz w:val="18"/>
                <w:szCs w:val="18"/>
              </w:rPr>
              <w:t>65</w:t>
            </w:r>
          </w:p>
        </w:tc>
        <w:tc>
          <w:tcPr>
            <w:tcW w:w="4148" w:type="dxa"/>
            <w:vAlign w:val="bottom"/>
            <w:hideMark/>
          </w:tcPr>
          <w:p w14:paraId="5E814C63" w14:textId="77777777" w:rsidR="00863D50" w:rsidRPr="00A662C0" w:rsidRDefault="00863D50">
            <w:pPr>
              <w:rPr>
                <w:rFonts w:ascii="Arial" w:hAnsi="Arial" w:cs="Arial"/>
                <w:sz w:val="18"/>
                <w:szCs w:val="18"/>
              </w:rPr>
            </w:pPr>
            <w:r w:rsidRPr="00A662C0">
              <w:rPr>
                <w:rFonts w:ascii="Arial" w:hAnsi="Arial" w:cs="Arial"/>
                <w:sz w:val="18"/>
                <w:szCs w:val="18"/>
              </w:rPr>
              <w:t>Prihodi od upravnih i administrativnih pristojbi, pristojbi po posebnim propisima i naknada</w:t>
            </w:r>
          </w:p>
        </w:tc>
        <w:tc>
          <w:tcPr>
            <w:tcW w:w="1275" w:type="dxa"/>
            <w:vAlign w:val="bottom"/>
            <w:hideMark/>
          </w:tcPr>
          <w:p w14:paraId="215C5C24" w14:textId="77777777" w:rsidR="00863D50" w:rsidRPr="00A662C0" w:rsidRDefault="00863D50">
            <w:pPr>
              <w:jc w:val="right"/>
              <w:rPr>
                <w:rFonts w:ascii="Arial" w:hAnsi="Arial" w:cs="Arial"/>
                <w:sz w:val="18"/>
                <w:szCs w:val="18"/>
              </w:rPr>
            </w:pPr>
            <w:r w:rsidRPr="00A662C0">
              <w:rPr>
                <w:rFonts w:ascii="Arial" w:hAnsi="Arial" w:cs="Arial"/>
                <w:sz w:val="18"/>
                <w:szCs w:val="18"/>
              </w:rPr>
              <w:t>77.750,00</w:t>
            </w:r>
          </w:p>
        </w:tc>
        <w:tc>
          <w:tcPr>
            <w:tcW w:w="1133" w:type="dxa"/>
            <w:vAlign w:val="bottom"/>
            <w:hideMark/>
          </w:tcPr>
          <w:p w14:paraId="6F479350" w14:textId="77777777" w:rsidR="00863D50" w:rsidRPr="00A662C0" w:rsidRDefault="00863D50">
            <w:pPr>
              <w:jc w:val="right"/>
              <w:rPr>
                <w:rFonts w:ascii="Arial" w:hAnsi="Arial" w:cs="Arial"/>
                <w:sz w:val="18"/>
                <w:szCs w:val="18"/>
              </w:rPr>
            </w:pPr>
            <w:r w:rsidRPr="00A662C0">
              <w:rPr>
                <w:rFonts w:ascii="Arial" w:hAnsi="Arial" w:cs="Arial"/>
                <w:sz w:val="18"/>
                <w:szCs w:val="18"/>
              </w:rPr>
              <w:t>0,00</w:t>
            </w:r>
          </w:p>
        </w:tc>
        <w:tc>
          <w:tcPr>
            <w:tcW w:w="988" w:type="dxa"/>
            <w:vAlign w:val="bottom"/>
            <w:hideMark/>
          </w:tcPr>
          <w:p w14:paraId="27EB53C8" w14:textId="77777777" w:rsidR="00863D50" w:rsidRPr="00A662C0" w:rsidRDefault="00863D50">
            <w:pPr>
              <w:jc w:val="right"/>
              <w:rPr>
                <w:rFonts w:ascii="Arial" w:hAnsi="Arial" w:cs="Arial"/>
                <w:sz w:val="18"/>
                <w:szCs w:val="18"/>
              </w:rPr>
            </w:pPr>
            <w:r w:rsidRPr="00A662C0">
              <w:rPr>
                <w:rFonts w:ascii="Arial" w:hAnsi="Arial" w:cs="Arial"/>
                <w:sz w:val="18"/>
                <w:szCs w:val="18"/>
              </w:rPr>
              <w:t>0.0%</w:t>
            </w:r>
          </w:p>
        </w:tc>
        <w:tc>
          <w:tcPr>
            <w:tcW w:w="1266" w:type="dxa"/>
            <w:vAlign w:val="bottom"/>
            <w:hideMark/>
          </w:tcPr>
          <w:p w14:paraId="09F9F2E8" w14:textId="77777777" w:rsidR="00863D50" w:rsidRPr="00A662C0" w:rsidRDefault="00863D50">
            <w:pPr>
              <w:jc w:val="right"/>
              <w:rPr>
                <w:rFonts w:ascii="Arial" w:hAnsi="Arial" w:cs="Arial"/>
                <w:sz w:val="18"/>
                <w:szCs w:val="18"/>
              </w:rPr>
            </w:pPr>
            <w:r w:rsidRPr="00A662C0">
              <w:rPr>
                <w:rFonts w:ascii="Arial" w:hAnsi="Arial" w:cs="Arial"/>
                <w:sz w:val="18"/>
                <w:szCs w:val="18"/>
              </w:rPr>
              <w:t>77.750,00</w:t>
            </w:r>
          </w:p>
        </w:tc>
      </w:tr>
      <w:tr w:rsidR="00863D50" w:rsidRPr="00A662C0" w14:paraId="5CFBD716" w14:textId="77777777" w:rsidTr="00A662C0">
        <w:trPr>
          <w:trHeight w:val="340"/>
        </w:trPr>
        <w:tc>
          <w:tcPr>
            <w:tcW w:w="670" w:type="dxa"/>
            <w:vAlign w:val="bottom"/>
            <w:hideMark/>
          </w:tcPr>
          <w:p w14:paraId="70D8CE35" w14:textId="77777777" w:rsidR="00863D50" w:rsidRPr="00A662C0" w:rsidRDefault="00863D50">
            <w:pPr>
              <w:rPr>
                <w:rFonts w:ascii="Arial" w:hAnsi="Arial" w:cs="Arial"/>
                <w:sz w:val="18"/>
                <w:szCs w:val="18"/>
              </w:rPr>
            </w:pPr>
            <w:r w:rsidRPr="00A662C0">
              <w:rPr>
                <w:rFonts w:ascii="Arial" w:hAnsi="Arial" w:cs="Arial"/>
                <w:sz w:val="18"/>
                <w:szCs w:val="18"/>
              </w:rPr>
              <w:t>66</w:t>
            </w:r>
          </w:p>
        </w:tc>
        <w:tc>
          <w:tcPr>
            <w:tcW w:w="4148" w:type="dxa"/>
            <w:vAlign w:val="bottom"/>
            <w:hideMark/>
          </w:tcPr>
          <w:p w14:paraId="486BC13D" w14:textId="77777777" w:rsidR="00863D50" w:rsidRPr="00A662C0" w:rsidRDefault="00863D50">
            <w:pPr>
              <w:rPr>
                <w:rFonts w:ascii="Arial" w:hAnsi="Arial" w:cs="Arial"/>
                <w:sz w:val="18"/>
                <w:szCs w:val="18"/>
              </w:rPr>
            </w:pPr>
            <w:r w:rsidRPr="00A662C0">
              <w:rPr>
                <w:rFonts w:ascii="Arial" w:hAnsi="Arial" w:cs="Arial"/>
                <w:sz w:val="18"/>
                <w:szCs w:val="18"/>
              </w:rPr>
              <w:t>Prihodi od prodaje proizvoda i robe te pruženih usluga i prihodi od donacija</w:t>
            </w:r>
          </w:p>
        </w:tc>
        <w:tc>
          <w:tcPr>
            <w:tcW w:w="1275" w:type="dxa"/>
            <w:vAlign w:val="bottom"/>
            <w:hideMark/>
          </w:tcPr>
          <w:p w14:paraId="68E10FE8" w14:textId="77777777" w:rsidR="00863D50" w:rsidRPr="00A662C0" w:rsidRDefault="00863D50">
            <w:pPr>
              <w:jc w:val="right"/>
              <w:rPr>
                <w:rFonts w:ascii="Arial" w:hAnsi="Arial" w:cs="Arial"/>
                <w:sz w:val="18"/>
                <w:szCs w:val="18"/>
              </w:rPr>
            </w:pPr>
            <w:r w:rsidRPr="00A662C0">
              <w:rPr>
                <w:rFonts w:ascii="Arial" w:hAnsi="Arial" w:cs="Arial"/>
                <w:sz w:val="18"/>
                <w:szCs w:val="18"/>
              </w:rPr>
              <w:t>4.000,00</w:t>
            </w:r>
          </w:p>
        </w:tc>
        <w:tc>
          <w:tcPr>
            <w:tcW w:w="1133" w:type="dxa"/>
            <w:vAlign w:val="bottom"/>
            <w:hideMark/>
          </w:tcPr>
          <w:p w14:paraId="1D2C33D1" w14:textId="77777777" w:rsidR="00863D50" w:rsidRPr="00A662C0" w:rsidRDefault="00863D50">
            <w:pPr>
              <w:jc w:val="right"/>
              <w:rPr>
                <w:rFonts w:ascii="Arial" w:hAnsi="Arial" w:cs="Arial"/>
                <w:sz w:val="18"/>
                <w:szCs w:val="18"/>
              </w:rPr>
            </w:pPr>
            <w:r w:rsidRPr="00A662C0">
              <w:rPr>
                <w:rFonts w:ascii="Arial" w:hAnsi="Arial" w:cs="Arial"/>
                <w:sz w:val="18"/>
                <w:szCs w:val="18"/>
              </w:rPr>
              <w:t>5.800,00</w:t>
            </w:r>
          </w:p>
        </w:tc>
        <w:tc>
          <w:tcPr>
            <w:tcW w:w="988" w:type="dxa"/>
            <w:vAlign w:val="bottom"/>
            <w:hideMark/>
          </w:tcPr>
          <w:p w14:paraId="43CC880E" w14:textId="77777777" w:rsidR="00863D50" w:rsidRPr="00A662C0" w:rsidRDefault="00863D50">
            <w:pPr>
              <w:jc w:val="right"/>
              <w:rPr>
                <w:rFonts w:ascii="Arial" w:hAnsi="Arial" w:cs="Arial"/>
                <w:sz w:val="18"/>
                <w:szCs w:val="18"/>
              </w:rPr>
            </w:pPr>
            <w:r w:rsidRPr="00A662C0">
              <w:rPr>
                <w:rFonts w:ascii="Arial" w:hAnsi="Arial" w:cs="Arial"/>
                <w:sz w:val="18"/>
                <w:szCs w:val="18"/>
              </w:rPr>
              <w:t>145.0%</w:t>
            </w:r>
          </w:p>
        </w:tc>
        <w:tc>
          <w:tcPr>
            <w:tcW w:w="1266" w:type="dxa"/>
            <w:vAlign w:val="bottom"/>
            <w:hideMark/>
          </w:tcPr>
          <w:p w14:paraId="188C6498" w14:textId="77777777" w:rsidR="00863D50" w:rsidRPr="00A662C0" w:rsidRDefault="00863D50">
            <w:pPr>
              <w:jc w:val="right"/>
              <w:rPr>
                <w:rFonts w:ascii="Arial" w:hAnsi="Arial" w:cs="Arial"/>
                <w:sz w:val="18"/>
                <w:szCs w:val="18"/>
              </w:rPr>
            </w:pPr>
            <w:r w:rsidRPr="00A662C0">
              <w:rPr>
                <w:rFonts w:ascii="Arial" w:hAnsi="Arial" w:cs="Arial"/>
                <w:sz w:val="18"/>
                <w:szCs w:val="18"/>
              </w:rPr>
              <w:t>9.800,00</w:t>
            </w:r>
          </w:p>
        </w:tc>
      </w:tr>
      <w:tr w:rsidR="00863D50" w:rsidRPr="00A662C0" w14:paraId="613CB765" w14:textId="77777777" w:rsidTr="00A662C0">
        <w:trPr>
          <w:trHeight w:val="340"/>
        </w:trPr>
        <w:tc>
          <w:tcPr>
            <w:tcW w:w="670" w:type="dxa"/>
            <w:vAlign w:val="bottom"/>
            <w:hideMark/>
          </w:tcPr>
          <w:p w14:paraId="447745DA" w14:textId="77777777" w:rsidR="00863D50" w:rsidRPr="00A662C0" w:rsidRDefault="00863D50">
            <w:pPr>
              <w:rPr>
                <w:rFonts w:ascii="Arial" w:hAnsi="Arial" w:cs="Arial"/>
                <w:sz w:val="18"/>
                <w:szCs w:val="18"/>
              </w:rPr>
            </w:pPr>
            <w:r w:rsidRPr="00A662C0">
              <w:rPr>
                <w:rFonts w:ascii="Arial" w:hAnsi="Arial" w:cs="Arial"/>
                <w:sz w:val="18"/>
                <w:szCs w:val="18"/>
              </w:rPr>
              <w:t>67</w:t>
            </w:r>
          </w:p>
        </w:tc>
        <w:tc>
          <w:tcPr>
            <w:tcW w:w="4148" w:type="dxa"/>
            <w:vAlign w:val="bottom"/>
            <w:hideMark/>
          </w:tcPr>
          <w:p w14:paraId="2EBF9463" w14:textId="77777777" w:rsidR="00863D50" w:rsidRPr="00A662C0" w:rsidRDefault="00863D50">
            <w:pPr>
              <w:rPr>
                <w:rFonts w:ascii="Arial" w:hAnsi="Arial" w:cs="Arial"/>
                <w:sz w:val="18"/>
                <w:szCs w:val="18"/>
              </w:rPr>
            </w:pPr>
            <w:r w:rsidRPr="00A662C0">
              <w:rPr>
                <w:rFonts w:ascii="Arial" w:hAnsi="Arial" w:cs="Arial"/>
                <w:sz w:val="18"/>
                <w:szCs w:val="18"/>
              </w:rPr>
              <w:t>Prihodi iz nadležnog proračuna i od HZZO-a temeljem ugovornih obveza</w:t>
            </w:r>
          </w:p>
        </w:tc>
        <w:tc>
          <w:tcPr>
            <w:tcW w:w="1275" w:type="dxa"/>
            <w:vAlign w:val="bottom"/>
            <w:hideMark/>
          </w:tcPr>
          <w:p w14:paraId="06AC6BCA" w14:textId="77777777" w:rsidR="00863D50" w:rsidRPr="00A662C0" w:rsidRDefault="00863D50">
            <w:pPr>
              <w:jc w:val="right"/>
              <w:rPr>
                <w:rFonts w:ascii="Arial" w:hAnsi="Arial" w:cs="Arial"/>
                <w:sz w:val="18"/>
                <w:szCs w:val="18"/>
              </w:rPr>
            </w:pPr>
            <w:r w:rsidRPr="00A662C0">
              <w:rPr>
                <w:rFonts w:ascii="Arial" w:hAnsi="Arial" w:cs="Arial"/>
                <w:sz w:val="18"/>
                <w:szCs w:val="18"/>
              </w:rPr>
              <w:t>289.596,00</w:t>
            </w:r>
          </w:p>
        </w:tc>
        <w:tc>
          <w:tcPr>
            <w:tcW w:w="1133" w:type="dxa"/>
            <w:vAlign w:val="bottom"/>
            <w:hideMark/>
          </w:tcPr>
          <w:p w14:paraId="1FAFE559" w14:textId="77777777" w:rsidR="00863D50" w:rsidRPr="00A662C0" w:rsidRDefault="00863D50">
            <w:pPr>
              <w:jc w:val="right"/>
              <w:rPr>
                <w:rFonts w:ascii="Arial" w:hAnsi="Arial" w:cs="Arial"/>
                <w:sz w:val="18"/>
                <w:szCs w:val="18"/>
              </w:rPr>
            </w:pPr>
            <w:r w:rsidRPr="00A662C0">
              <w:rPr>
                <w:rFonts w:ascii="Arial" w:hAnsi="Arial" w:cs="Arial"/>
                <w:sz w:val="18"/>
                <w:szCs w:val="18"/>
              </w:rPr>
              <w:t>24.485,00</w:t>
            </w:r>
          </w:p>
        </w:tc>
        <w:tc>
          <w:tcPr>
            <w:tcW w:w="988" w:type="dxa"/>
            <w:vAlign w:val="bottom"/>
            <w:hideMark/>
          </w:tcPr>
          <w:p w14:paraId="39FE4D51" w14:textId="77777777" w:rsidR="00863D50" w:rsidRPr="00A662C0" w:rsidRDefault="00863D50">
            <w:pPr>
              <w:jc w:val="right"/>
              <w:rPr>
                <w:rFonts w:ascii="Arial" w:hAnsi="Arial" w:cs="Arial"/>
                <w:sz w:val="18"/>
                <w:szCs w:val="18"/>
              </w:rPr>
            </w:pPr>
            <w:r w:rsidRPr="00A662C0">
              <w:rPr>
                <w:rFonts w:ascii="Arial" w:hAnsi="Arial" w:cs="Arial"/>
                <w:sz w:val="18"/>
                <w:szCs w:val="18"/>
              </w:rPr>
              <w:t>8,5%</w:t>
            </w:r>
          </w:p>
        </w:tc>
        <w:tc>
          <w:tcPr>
            <w:tcW w:w="1266" w:type="dxa"/>
            <w:vAlign w:val="bottom"/>
            <w:hideMark/>
          </w:tcPr>
          <w:p w14:paraId="6BE8E8ED" w14:textId="77777777" w:rsidR="00863D50" w:rsidRPr="00A662C0" w:rsidRDefault="00863D50">
            <w:pPr>
              <w:jc w:val="right"/>
              <w:rPr>
                <w:rFonts w:ascii="Arial" w:hAnsi="Arial" w:cs="Arial"/>
                <w:sz w:val="18"/>
                <w:szCs w:val="18"/>
              </w:rPr>
            </w:pPr>
            <w:r w:rsidRPr="00A662C0">
              <w:rPr>
                <w:rFonts w:ascii="Arial" w:hAnsi="Arial" w:cs="Arial"/>
                <w:sz w:val="18"/>
                <w:szCs w:val="18"/>
              </w:rPr>
              <w:t>314.081,00</w:t>
            </w:r>
          </w:p>
        </w:tc>
      </w:tr>
      <w:tr w:rsidR="00863D50" w:rsidRPr="00A662C0" w14:paraId="51A4EBEA" w14:textId="77777777" w:rsidTr="00A662C0">
        <w:trPr>
          <w:trHeight w:val="340"/>
        </w:trPr>
        <w:tc>
          <w:tcPr>
            <w:tcW w:w="670" w:type="dxa"/>
            <w:shd w:val="clear" w:color="auto" w:fill="000080"/>
            <w:noWrap/>
            <w:vAlign w:val="bottom"/>
            <w:hideMark/>
          </w:tcPr>
          <w:p w14:paraId="71547BB9" w14:textId="77777777" w:rsidR="00863D50" w:rsidRPr="00A662C0" w:rsidRDefault="00863D50">
            <w:pPr>
              <w:rPr>
                <w:rFonts w:ascii="Arial" w:hAnsi="Arial" w:cs="Arial"/>
                <w:b/>
                <w:bCs/>
                <w:sz w:val="18"/>
                <w:szCs w:val="18"/>
              </w:rPr>
            </w:pPr>
            <w:r w:rsidRPr="00A662C0">
              <w:rPr>
                <w:rFonts w:ascii="Arial" w:hAnsi="Arial" w:cs="Arial"/>
                <w:b/>
                <w:bCs/>
                <w:sz w:val="18"/>
                <w:szCs w:val="18"/>
              </w:rPr>
              <w:t>7</w:t>
            </w:r>
          </w:p>
        </w:tc>
        <w:tc>
          <w:tcPr>
            <w:tcW w:w="4148" w:type="dxa"/>
            <w:shd w:val="clear" w:color="auto" w:fill="000080"/>
            <w:noWrap/>
            <w:vAlign w:val="bottom"/>
            <w:hideMark/>
          </w:tcPr>
          <w:p w14:paraId="511B66D6" w14:textId="77777777" w:rsidR="00863D50" w:rsidRPr="00A662C0" w:rsidRDefault="00863D50">
            <w:pPr>
              <w:rPr>
                <w:rFonts w:ascii="Arial" w:hAnsi="Arial" w:cs="Arial"/>
                <w:b/>
                <w:bCs/>
                <w:sz w:val="18"/>
                <w:szCs w:val="18"/>
              </w:rPr>
            </w:pPr>
            <w:r w:rsidRPr="00A662C0">
              <w:rPr>
                <w:rFonts w:ascii="Arial" w:hAnsi="Arial" w:cs="Arial"/>
                <w:b/>
                <w:bCs/>
                <w:sz w:val="18"/>
                <w:szCs w:val="18"/>
              </w:rPr>
              <w:t>Prihodi od prodaje nefinancijske imovine</w:t>
            </w:r>
          </w:p>
        </w:tc>
        <w:tc>
          <w:tcPr>
            <w:tcW w:w="1275" w:type="dxa"/>
            <w:shd w:val="clear" w:color="auto" w:fill="000080"/>
            <w:noWrap/>
            <w:vAlign w:val="bottom"/>
            <w:hideMark/>
          </w:tcPr>
          <w:p w14:paraId="2344F8AF" w14:textId="77777777" w:rsidR="00863D50" w:rsidRPr="00A662C0" w:rsidRDefault="00863D50">
            <w:pPr>
              <w:jc w:val="right"/>
              <w:rPr>
                <w:rFonts w:ascii="Arial" w:hAnsi="Arial" w:cs="Arial"/>
                <w:b/>
                <w:bCs/>
                <w:sz w:val="18"/>
                <w:szCs w:val="18"/>
              </w:rPr>
            </w:pPr>
            <w:r w:rsidRPr="00A662C0">
              <w:rPr>
                <w:rFonts w:ascii="Arial" w:hAnsi="Arial" w:cs="Arial"/>
                <w:b/>
                <w:bCs/>
                <w:sz w:val="18"/>
                <w:szCs w:val="18"/>
              </w:rPr>
              <w:t>0,00</w:t>
            </w:r>
          </w:p>
        </w:tc>
        <w:tc>
          <w:tcPr>
            <w:tcW w:w="1133" w:type="dxa"/>
            <w:shd w:val="clear" w:color="auto" w:fill="000080"/>
            <w:noWrap/>
            <w:vAlign w:val="bottom"/>
            <w:hideMark/>
          </w:tcPr>
          <w:p w14:paraId="28051C5B" w14:textId="77777777" w:rsidR="00863D50" w:rsidRPr="00A662C0" w:rsidRDefault="00863D50">
            <w:pPr>
              <w:jc w:val="right"/>
              <w:rPr>
                <w:rFonts w:ascii="Arial" w:hAnsi="Arial" w:cs="Arial"/>
                <w:b/>
                <w:bCs/>
                <w:sz w:val="18"/>
                <w:szCs w:val="18"/>
              </w:rPr>
            </w:pPr>
            <w:r w:rsidRPr="00A662C0">
              <w:rPr>
                <w:rFonts w:ascii="Arial" w:hAnsi="Arial" w:cs="Arial"/>
                <w:b/>
                <w:bCs/>
                <w:sz w:val="18"/>
                <w:szCs w:val="18"/>
              </w:rPr>
              <w:t>0,00</w:t>
            </w:r>
          </w:p>
        </w:tc>
        <w:tc>
          <w:tcPr>
            <w:tcW w:w="988" w:type="dxa"/>
            <w:shd w:val="clear" w:color="auto" w:fill="000080"/>
            <w:noWrap/>
            <w:vAlign w:val="bottom"/>
            <w:hideMark/>
          </w:tcPr>
          <w:p w14:paraId="671D8D2C" w14:textId="77777777" w:rsidR="00863D50" w:rsidRPr="00A662C0" w:rsidRDefault="00863D50">
            <w:pPr>
              <w:jc w:val="right"/>
              <w:rPr>
                <w:rFonts w:ascii="Arial" w:hAnsi="Arial" w:cs="Arial"/>
                <w:b/>
                <w:bCs/>
                <w:sz w:val="18"/>
                <w:szCs w:val="18"/>
              </w:rPr>
            </w:pPr>
            <w:r w:rsidRPr="00A662C0">
              <w:rPr>
                <w:rFonts w:ascii="Arial" w:hAnsi="Arial" w:cs="Arial"/>
                <w:b/>
                <w:bCs/>
                <w:sz w:val="18"/>
                <w:szCs w:val="18"/>
              </w:rPr>
              <w:t>0,0%</w:t>
            </w:r>
          </w:p>
        </w:tc>
        <w:tc>
          <w:tcPr>
            <w:tcW w:w="1266" w:type="dxa"/>
            <w:shd w:val="clear" w:color="auto" w:fill="000080"/>
            <w:noWrap/>
            <w:vAlign w:val="bottom"/>
            <w:hideMark/>
          </w:tcPr>
          <w:p w14:paraId="73BDC113" w14:textId="77777777" w:rsidR="00863D50" w:rsidRPr="00A662C0" w:rsidRDefault="00863D50">
            <w:pPr>
              <w:jc w:val="right"/>
              <w:rPr>
                <w:rFonts w:ascii="Arial" w:hAnsi="Arial" w:cs="Arial"/>
                <w:b/>
                <w:bCs/>
                <w:sz w:val="18"/>
                <w:szCs w:val="18"/>
              </w:rPr>
            </w:pPr>
            <w:r w:rsidRPr="00A662C0">
              <w:rPr>
                <w:rFonts w:ascii="Arial" w:hAnsi="Arial" w:cs="Arial"/>
                <w:b/>
                <w:bCs/>
                <w:sz w:val="18"/>
                <w:szCs w:val="18"/>
              </w:rPr>
              <w:t>0,00</w:t>
            </w:r>
          </w:p>
        </w:tc>
      </w:tr>
      <w:tr w:rsidR="00863D50" w:rsidRPr="00A662C0" w14:paraId="6FAE751A" w14:textId="77777777" w:rsidTr="00A662C0">
        <w:trPr>
          <w:trHeight w:val="340"/>
        </w:trPr>
        <w:tc>
          <w:tcPr>
            <w:tcW w:w="670" w:type="dxa"/>
            <w:vAlign w:val="bottom"/>
            <w:hideMark/>
          </w:tcPr>
          <w:p w14:paraId="3EFB4D25" w14:textId="77777777" w:rsidR="00863D50" w:rsidRPr="00A662C0" w:rsidRDefault="00863D50">
            <w:pPr>
              <w:rPr>
                <w:rFonts w:ascii="Arial" w:hAnsi="Arial" w:cs="Arial"/>
                <w:sz w:val="18"/>
                <w:szCs w:val="18"/>
              </w:rPr>
            </w:pPr>
            <w:r w:rsidRPr="00A662C0">
              <w:rPr>
                <w:rFonts w:ascii="Arial" w:hAnsi="Arial" w:cs="Arial"/>
                <w:sz w:val="18"/>
                <w:szCs w:val="18"/>
              </w:rPr>
              <w:t>72</w:t>
            </w:r>
          </w:p>
        </w:tc>
        <w:tc>
          <w:tcPr>
            <w:tcW w:w="4148" w:type="dxa"/>
            <w:vAlign w:val="bottom"/>
            <w:hideMark/>
          </w:tcPr>
          <w:p w14:paraId="49CB55D0" w14:textId="77777777" w:rsidR="00863D50" w:rsidRPr="00A662C0" w:rsidRDefault="00863D50">
            <w:pPr>
              <w:rPr>
                <w:rFonts w:ascii="Arial" w:hAnsi="Arial" w:cs="Arial"/>
                <w:sz w:val="18"/>
                <w:szCs w:val="18"/>
              </w:rPr>
            </w:pPr>
            <w:r w:rsidRPr="00A662C0">
              <w:rPr>
                <w:rFonts w:ascii="Arial" w:hAnsi="Arial" w:cs="Arial"/>
                <w:sz w:val="18"/>
                <w:szCs w:val="18"/>
              </w:rPr>
              <w:t>Prihodi od prodaje proizvedene dugotrajne imovine</w:t>
            </w:r>
          </w:p>
        </w:tc>
        <w:tc>
          <w:tcPr>
            <w:tcW w:w="1275" w:type="dxa"/>
            <w:vAlign w:val="bottom"/>
            <w:hideMark/>
          </w:tcPr>
          <w:p w14:paraId="18A7F072" w14:textId="77777777" w:rsidR="00863D50" w:rsidRPr="00A662C0" w:rsidRDefault="00863D50">
            <w:pPr>
              <w:jc w:val="right"/>
              <w:rPr>
                <w:rFonts w:ascii="Arial" w:hAnsi="Arial" w:cs="Arial"/>
                <w:sz w:val="18"/>
                <w:szCs w:val="18"/>
              </w:rPr>
            </w:pPr>
            <w:r w:rsidRPr="00A662C0">
              <w:rPr>
                <w:rFonts w:ascii="Arial" w:hAnsi="Arial" w:cs="Arial"/>
                <w:sz w:val="18"/>
                <w:szCs w:val="18"/>
              </w:rPr>
              <w:t>0,00</w:t>
            </w:r>
          </w:p>
        </w:tc>
        <w:tc>
          <w:tcPr>
            <w:tcW w:w="1133" w:type="dxa"/>
            <w:vAlign w:val="bottom"/>
            <w:hideMark/>
          </w:tcPr>
          <w:p w14:paraId="7DBFFDC2" w14:textId="77777777" w:rsidR="00863D50" w:rsidRPr="00A662C0" w:rsidRDefault="00863D50">
            <w:pPr>
              <w:jc w:val="right"/>
              <w:rPr>
                <w:rFonts w:ascii="Arial" w:hAnsi="Arial" w:cs="Arial"/>
                <w:sz w:val="18"/>
                <w:szCs w:val="18"/>
              </w:rPr>
            </w:pPr>
            <w:r w:rsidRPr="00A662C0">
              <w:rPr>
                <w:rFonts w:ascii="Arial" w:hAnsi="Arial" w:cs="Arial"/>
                <w:sz w:val="18"/>
                <w:szCs w:val="18"/>
              </w:rPr>
              <w:t>0,00</w:t>
            </w:r>
          </w:p>
        </w:tc>
        <w:tc>
          <w:tcPr>
            <w:tcW w:w="988" w:type="dxa"/>
            <w:vAlign w:val="bottom"/>
            <w:hideMark/>
          </w:tcPr>
          <w:p w14:paraId="4976EC18" w14:textId="77777777" w:rsidR="00863D50" w:rsidRPr="00A662C0" w:rsidRDefault="00863D50">
            <w:pPr>
              <w:jc w:val="right"/>
              <w:rPr>
                <w:rFonts w:ascii="Arial" w:hAnsi="Arial" w:cs="Arial"/>
                <w:sz w:val="18"/>
                <w:szCs w:val="18"/>
              </w:rPr>
            </w:pPr>
            <w:r w:rsidRPr="00A662C0">
              <w:rPr>
                <w:rFonts w:ascii="Arial" w:hAnsi="Arial" w:cs="Arial"/>
                <w:sz w:val="18"/>
                <w:szCs w:val="18"/>
              </w:rPr>
              <w:t>0,0%</w:t>
            </w:r>
          </w:p>
        </w:tc>
        <w:tc>
          <w:tcPr>
            <w:tcW w:w="1266" w:type="dxa"/>
            <w:vAlign w:val="bottom"/>
            <w:hideMark/>
          </w:tcPr>
          <w:p w14:paraId="724C2EDB" w14:textId="77777777" w:rsidR="00863D50" w:rsidRPr="00A662C0" w:rsidRDefault="00863D50">
            <w:pPr>
              <w:jc w:val="right"/>
              <w:rPr>
                <w:rFonts w:ascii="Arial" w:hAnsi="Arial" w:cs="Arial"/>
                <w:sz w:val="18"/>
                <w:szCs w:val="18"/>
              </w:rPr>
            </w:pPr>
            <w:r w:rsidRPr="00A662C0">
              <w:rPr>
                <w:rFonts w:ascii="Arial" w:hAnsi="Arial" w:cs="Arial"/>
                <w:sz w:val="18"/>
                <w:szCs w:val="18"/>
              </w:rPr>
              <w:t>0,00</w:t>
            </w:r>
          </w:p>
        </w:tc>
      </w:tr>
      <w:tr w:rsidR="00863D50" w:rsidRPr="00A662C0" w14:paraId="37F70EC4" w14:textId="77777777" w:rsidTr="00A662C0">
        <w:trPr>
          <w:trHeight w:val="340"/>
        </w:trPr>
        <w:tc>
          <w:tcPr>
            <w:tcW w:w="670" w:type="dxa"/>
            <w:shd w:val="clear" w:color="auto" w:fill="000080"/>
            <w:noWrap/>
            <w:vAlign w:val="bottom"/>
            <w:hideMark/>
          </w:tcPr>
          <w:p w14:paraId="12CF55DE" w14:textId="77777777" w:rsidR="00863D50" w:rsidRPr="00A662C0" w:rsidRDefault="00863D50">
            <w:pPr>
              <w:rPr>
                <w:rFonts w:ascii="Arial" w:hAnsi="Arial" w:cs="Arial"/>
                <w:b/>
                <w:bCs/>
                <w:sz w:val="18"/>
                <w:szCs w:val="18"/>
              </w:rPr>
            </w:pPr>
            <w:r w:rsidRPr="00A662C0">
              <w:rPr>
                <w:rFonts w:ascii="Arial" w:hAnsi="Arial" w:cs="Arial"/>
                <w:b/>
                <w:bCs/>
                <w:sz w:val="18"/>
                <w:szCs w:val="18"/>
              </w:rPr>
              <w:t>3</w:t>
            </w:r>
          </w:p>
        </w:tc>
        <w:tc>
          <w:tcPr>
            <w:tcW w:w="4148" w:type="dxa"/>
            <w:shd w:val="clear" w:color="auto" w:fill="000080"/>
            <w:noWrap/>
            <w:vAlign w:val="bottom"/>
            <w:hideMark/>
          </w:tcPr>
          <w:p w14:paraId="371DDD05" w14:textId="77777777" w:rsidR="00863D50" w:rsidRPr="00A662C0" w:rsidRDefault="00863D50">
            <w:pPr>
              <w:rPr>
                <w:rFonts w:ascii="Arial" w:hAnsi="Arial" w:cs="Arial"/>
                <w:b/>
                <w:bCs/>
                <w:sz w:val="18"/>
                <w:szCs w:val="18"/>
              </w:rPr>
            </w:pPr>
            <w:r w:rsidRPr="00A662C0">
              <w:rPr>
                <w:rFonts w:ascii="Arial" w:hAnsi="Arial" w:cs="Arial"/>
                <w:b/>
                <w:bCs/>
                <w:sz w:val="18"/>
                <w:szCs w:val="18"/>
              </w:rPr>
              <w:t>Rashodi poslovanja</w:t>
            </w:r>
          </w:p>
        </w:tc>
        <w:tc>
          <w:tcPr>
            <w:tcW w:w="1275" w:type="dxa"/>
            <w:shd w:val="clear" w:color="auto" w:fill="000080"/>
            <w:noWrap/>
            <w:vAlign w:val="bottom"/>
            <w:hideMark/>
          </w:tcPr>
          <w:p w14:paraId="0FB4EB93" w14:textId="77777777" w:rsidR="00863D50" w:rsidRPr="00A662C0" w:rsidRDefault="00863D50">
            <w:pPr>
              <w:jc w:val="right"/>
              <w:rPr>
                <w:rFonts w:ascii="Arial" w:hAnsi="Arial" w:cs="Arial"/>
                <w:b/>
                <w:bCs/>
                <w:sz w:val="18"/>
                <w:szCs w:val="18"/>
              </w:rPr>
            </w:pPr>
            <w:r w:rsidRPr="00A662C0">
              <w:rPr>
                <w:rFonts w:ascii="Arial" w:hAnsi="Arial" w:cs="Arial"/>
                <w:b/>
                <w:bCs/>
                <w:sz w:val="18"/>
                <w:szCs w:val="18"/>
              </w:rPr>
              <w:t>1.957.756,00</w:t>
            </w:r>
          </w:p>
        </w:tc>
        <w:tc>
          <w:tcPr>
            <w:tcW w:w="1133" w:type="dxa"/>
            <w:shd w:val="clear" w:color="auto" w:fill="000080"/>
            <w:noWrap/>
            <w:vAlign w:val="bottom"/>
            <w:hideMark/>
          </w:tcPr>
          <w:p w14:paraId="2ABE2951" w14:textId="77777777" w:rsidR="00863D50" w:rsidRPr="00A662C0" w:rsidRDefault="00863D50">
            <w:pPr>
              <w:jc w:val="right"/>
              <w:rPr>
                <w:rFonts w:ascii="Arial" w:hAnsi="Arial" w:cs="Arial"/>
                <w:b/>
                <w:bCs/>
                <w:sz w:val="18"/>
                <w:szCs w:val="18"/>
              </w:rPr>
            </w:pPr>
            <w:r w:rsidRPr="00A662C0">
              <w:rPr>
                <w:rFonts w:ascii="Arial" w:hAnsi="Arial" w:cs="Arial"/>
                <w:b/>
                <w:bCs/>
                <w:sz w:val="18"/>
                <w:szCs w:val="18"/>
              </w:rPr>
              <w:t>52.142,00</w:t>
            </w:r>
          </w:p>
        </w:tc>
        <w:tc>
          <w:tcPr>
            <w:tcW w:w="988" w:type="dxa"/>
            <w:shd w:val="clear" w:color="auto" w:fill="000080"/>
            <w:noWrap/>
            <w:vAlign w:val="bottom"/>
            <w:hideMark/>
          </w:tcPr>
          <w:p w14:paraId="5C43C3C5" w14:textId="77777777" w:rsidR="00863D50" w:rsidRPr="00A662C0" w:rsidRDefault="00863D50">
            <w:pPr>
              <w:jc w:val="right"/>
              <w:rPr>
                <w:rFonts w:ascii="Arial" w:hAnsi="Arial" w:cs="Arial"/>
                <w:b/>
                <w:bCs/>
                <w:sz w:val="18"/>
                <w:szCs w:val="18"/>
              </w:rPr>
            </w:pPr>
            <w:r w:rsidRPr="00A662C0">
              <w:rPr>
                <w:rFonts w:ascii="Arial" w:hAnsi="Arial" w:cs="Arial"/>
                <w:b/>
                <w:bCs/>
                <w:sz w:val="18"/>
                <w:szCs w:val="18"/>
              </w:rPr>
              <w:t>2,7%</w:t>
            </w:r>
          </w:p>
        </w:tc>
        <w:tc>
          <w:tcPr>
            <w:tcW w:w="1266" w:type="dxa"/>
            <w:shd w:val="clear" w:color="auto" w:fill="000080"/>
            <w:noWrap/>
            <w:vAlign w:val="bottom"/>
            <w:hideMark/>
          </w:tcPr>
          <w:p w14:paraId="2EBA3103" w14:textId="77777777" w:rsidR="00863D50" w:rsidRPr="00A662C0" w:rsidRDefault="00863D50">
            <w:pPr>
              <w:jc w:val="right"/>
              <w:rPr>
                <w:rFonts w:ascii="Arial" w:hAnsi="Arial" w:cs="Arial"/>
                <w:b/>
                <w:bCs/>
                <w:sz w:val="18"/>
                <w:szCs w:val="18"/>
              </w:rPr>
            </w:pPr>
            <w:r w:rsidRPr="00A662C0">
              <w:rPr>
                <w:rFonts w:ascii="Arial" w:hAnsi="Arial" w:cs="Arial"/>
                <w:b/>
                <w:bCs/>
                <w:sz w:val="18"/>
                <w:szCs w:val="18"/>
              </w:rPr>
              <w:t>2.009.898,00</w:t>
            </w:r>
          </w:p>
        </w:tc>
      </w:tr>
      <w:tr w:rsidR="00863D50" w:rsidRPr="00A662C0" w14:paraId="17161A64" w14:textId="77777777" w:rsidTr="00A662C0">
        <w:trPr>
          <w:trHeight w:val="340"/>
        </w:trPr>
        <w:tc>
          <w:tcPr>
            <w:tcW w:w="670" w:type="dxa"/>
            <w:vAlign w:val="bottom"/>
            <w:hideMark/>
          </w:tcPr>
          <w:p w14:paraId="1BFE4468" w14:textId="77777777" w:rsidR="00863D50" w:rsidRPr="00A662C0" w:rsidRDefault="00863D50">
            <w:pPr>
              <w:rPr>
                <w:rFonts w:ascii="Arial" w:hAnsi="Arial" w:cs="Arial"/>
                <w:sz w:val="18"/>
                <w:szCs w:val="18"/>
              </w:rPr>
            </w:pPr>
            <w:r w:rsidRPr="00A662C0">
              <w:rPr>
                <w:rFonts w:ascii="Arial" w:hAnsi="Arial" w:cs="Arial"/>
                <w:sz w:val="18"/>
                <w:szCs w:val="18"/>
              </w:rPr>
              <w:t>31</w:t>
            </w:r>
          </w:p>
        </w:tc>
        <w:tc>
          <w:tcPr>
            <w:tcW w:w="4148" w:type="dxa"/>
            <w:vAlign w:val="bottom"/>
            <w:hideMark/>
          </w:tcPr>
          <w:p w14:paraId="0492FD09" w14:textId="77777777" w:rsidR="00863D50" w:rsidRPr="00A662C0" w:rsidRDefault="00863D50">
            <w:pPr>
              <w:rPr>
                <w:rFonts w:ascii="Arial" w:hAnsi="Arial" w:cs="Arial"/>
                <w:sz w:val="18"/>
                <w:szCs w:val="18"/>
              </w:rPr>
            </w:pPr>
            <w:r w:rsidRPr="00A662C0">
              <w:rPr>
                <w:rFonts w:ascii="Arial" w:hAnsi="Arial" w:cs="Arial"/>
                <w:sz w:val="18"/>
                <w:szCs w:val="18"/>
              </w:rPr>
              <w:t>Rashodi za zaposlene</w:t>
            </w:r>
          </w:p>
        </w:tc>
        <w:tc>
          <w:tcPr>
            <w:tcW w:w="1275" w:type="dxa"/>
            <w:vAlign w:val="bottom"/>
            <w:hideMark/>
          </w:tcPr>
          <w:p w14:paraId="1601FF0A" w14:textId="77777777" w:rsidR="00863D50" w:rsidRPr="00A662C0" w:rsidRDefault="00863D50">
            <w:pPr>
              <w:jc w:val="right"/>
              <w:rPr>
                <w:rFonts w:ascii="Arial" w:hAnsi="Arial" w:cs="Arial"/>
                <w:sz w:val="18"/>
                <w:szCs w:val="18"/>
              </w:rPr>
            </w:pPr>
            <w:r w:rsidRPr="00A662C0">
              <w:rPr>
                <w:rFonts w:ascii="Arial" w:hAnsi="Arial" w:cs="Arial"/>
                <w:sz w:val="18"/>
                <w:szCs w:val="18"/>
              </w:rPr>
              <w:t>1.611.210,00</w:t>
            </w:r>
          </w:p>
        </w:tc>
        <w:tc>
          <w:tcPr>
            <w:tcW w:w="1133" w:type="dxa"/>
            <w:vAlign w:val="bottom"/>
            <w:hideMark/>
          </w:tcPr>
          <w:p w14:paraId="65A1E205" w14:textId="77777777" w:rsidR="00863D50" w:rsidRPr="00A662C0" w:rsidRDefault="00863D50">
            <w:pPr>
              <w:jc w:val="right"/>
              <w:rPr>
                <w:rFonts w:ascii="Arial" w:hAnsi="Arial" w:cs="Arial"/>
                <w:sz w:val="18"/>
                <w:szCs w:val="18"/>
              </w:rPr>
            </w:pPr>
            <w:r w:rsidRPr="00A662C0">
              <w:rPr>
                <w:rFonts w:ascii="Arial" w:hAnsi="Arial" w:cs="Arial"/>
                <w:sz w:val="18"/>
                <w:szCs w:val="18"/>
              </w:rPr>
              <w:t>29.950,00</w:t>
            </w:r>
          </w:p>
        </w:tc>
        <w:tc>
          <w:tcPr>
            <w:tcW w:w="988" w:type="dxa"/>
            <w:vAlign w:val="bottom"/>
            <w:hideMark/>
          </w:tcPr>
          <w:p w14:paraId="0E68CD49" w14:textId="77777777" w:rsidR="00863D50" w:rsidRPr="00A662C0" w:rsidRDefault="00863D50">
            <w:pPr>
              <w:jc w:val="right"/>
              <w:rPr>
                <w:rFonts w:ascii="Arial" w:hAnsi="Arial" w:cs="Arial"/>
                <w:sz w:val="18"/>
                <w:szCs w:val="18"/>
              </w:rPr>
            </w:pPr>
            <w:r w:rsidRPr="00A662C0">
              <w:rPr>
                <w:rFonts w:ascii="Arial" w:hAnsi="Arial" w:cs="Arial"/>
                <w:sz w:val="18"/>
                <w:szCs w:val="18"/>
              </w:rPr>
              <w:t>1,9%</w:t>
            </w:r>
          </w:p>
        </w:tc>
        <w:tc>
          <w:tcPr>
            <w:tcW w:w="1266" w:type="dxa"/>
            <w:vAlign w:val="bottom"/>
            <w:hideMark/>
          </w:tcPr>
          <w:p w14:paraId="65981979" w14:textId="77777777" w:rsidR="00863D50" w:rsidRPr="00A662C0" w:rsidRDefault="00863D50">
            <w:pPr>
              <w:jc w:val="right"/>
              <w:rPr>
                <w:rFonts w:ascii="Arial" w:hAnsi="Arial" w:cs="Arial"/>
                <w:sz w:val="18"/>
                <w:szCs w:val="18"/>
              </w:rPr>
            </w:pPr>
            <w:r w:rsidRPr="00A662C0">
              <w:rPr>
                <w:rFonts w:ascii="Arial" w:hAnsi="Arial" w:cs="Arial"/>
                <w:sz w:val="18"/>
                <w:szCs w:val="18"/>
              </w:rPr>
              <w:t>1.641.160,00</w:t>
            </w:r>
          </w:p>
        </w:tc>
      </w:tr>
      <w:tr w:rsidR="00863D50" w:rsidRPr="00A662C0" w14:paraId="27C4F84D" w14:textId="77777777" w:rsidTr="00A662C0">
        <w:trPr>
          <w:trHeight w:val="340"/>
        </w:trPr>
        <w:tc>
          <w:tcPr>
            <w:tcW w:w="670" w:type="dxa"/>
            <w:vAlign w:val="bottom"/>
            <w:hideMark/>
          </w:tcPr>
          <w:p w14:paraId="45FF233A" w14:textId="77777777" w:rsidR="00863D50" w:rsidRPr="00A662C0" w:rsidRDefault="00863D50">
            <w:pPr>
              <w:rPr>
                <w:rFonts w:ascii="Arial" w:hAnsi="Arial" w:cs="Arial"/>
                <w:sz w:val="18"/>
                <w:szCs w:val="18"/>
              </w:rPr>
            </w:pPr>
            <w:r w:rsidRPr="00A662C0">
              <w:rPr>
                <w:rFonts w:ascii="Arial" w:hAnsi="Arial" w:cs="Arial"/>
                <w:sz w:val="18"/>
                <w:szCs w:val="18"/>
              </w:rPr>
              <w:t>32</w:t>
            </w:r>
          </w:p>
        </w:tc>
        <w:tc>
          <w:tcPr>
            <w:tcW w:w="4148" w:type="dxa"/>
            <w:vAlign w:val="bottom"/>
            <w:hideMark/>
          </w:tcPr>
          <w:p w14:paraId="67F74B0C" w14:textId="77777777" w:rsidR="00863D50" w:rsidRPr="00A662C0" w:rsidRDefault="00863D50">
            <w:pPr>
              <w:rPr>
                <w:rFonts w:ascii="Arial" w:hAnsi="Arial" w:cs="Arial"/>
                <w:sz w:val="18"/>
                <w:szCs w:val="18"/>
              </w:rPr>
            </w:pPr>
            <w:r w:rsidRPr="00A662C0">
              <w:rPr>
                <w:rFonts w:ascii="Arial" w:hAnsi="Arial" w:cs="Arial"/>
                <w:sz w:val="18"/>
                <w:szCs w:val="18"/>
              </w:rPr>
              <w:t>Materijalni rashodi</w:t>
            </w:r>
          </w:p>
        </w:tc>
        <w:tc>
          <w:tcPr>
            <w:tcW w:w="1275" w:type="dxa"/>
            <w:vAlign w:val="bottom"/>
            <w:hideMark/>
          </w:tcPr>
          <w:p w14:paraId="1507098B" w14:textId="77777777" w:rsidR="00863D50" w:rsidRPr="00A662C0" w:rsidRDefault="00863D50">
            <w:pPr>
              <w:jc w:val="right"/>
              <w:rPr>
                <w:rFonts w:ascii="Arial" w:hAnsi="Arial" w:cs="Arial"/>
                <w:sz w:val="18"/>
                <w:szCs w:val="18"/>
              </w:rPr>
            </w:pPr>
            <w:r w:rsidRPr="00A662C0">
              <w:rPr>
                <w:rFonts w:ascii="Arial" w:hAnsi="Arial" w:cs="Arial"/>
                <w:sz w:val="18"/>
                <w:szCs w:val="18"/>
              </w:rPr>
              <w:t>332.446,00</w:t>
            </w:r>
          </w:p>
        </w:tc>
        <w:tc>
          <w:tcPr>
            <w:tcW w:w="1133" w:type="dxa"/>
            <w:vAlign w:val="bottom"/>
            <w:hideMark/>
          </w:tcPr>
          <w:p w14:paraId="4A05C87A" w14:textId="77777777" w:rsidR="00863D50" w:rsidRPr="00A662C0" w:rsidRDefault="00863D50">
            <w:pPr>
              <w:jc w:val="right"/>
              <w:rPr>
                <w:rFonts w:ascii="Arial" w:hAnsi="Arial" w:cs="Arial"/>
                <w:sz w:val="18"/>
                <w:szCs w:val="18"/>
              </w:rPr>
            </w:pPr>
            <w:r w:rsidRPr="00A662C0">
              <w:rPr>
                <w:rFonts w:ascii="Arial" w:hAnsi="Arial" w:cs="Arial"/>
                <w:sz w:val="18"/>
                <w:szCs w:val="18"/>
              </w:rPr>
              <w:t>21.472,00</w:t>
            </w:r>
          </w:p>
        </w:tc>
        <w:tc>
          <w:tcPr>
            <w:tcW w:w="988" w:type="dxa"/>
            <w:vAlign w:val="bottom"/>
            <w:hideMark/>
          </w:tcPr>
          <w:p w14:paraId="5AE8C5E3" w14:textId="77777777" w:rsidR="00863D50" w:rsidRPr="00A662C0" w:rsidRDefault="00863D50">
            <w:pPr>
              <w:jc w:val="right"/>
              <w:rPr>
                <w:rFonts w:ascii="Arial" w:hAnsi="Arial" w:cs="Arial"/>
                <w:sz w:val="18"/>
                <w:szCs w:val="18"/>
              </w:rPr>
            </w:pPr>
            <w:r w:rsidRPr="00A662C0">
              <w:rPr>
                <w:rFonts w:ascii="Arial" w:hAnsi="Arial" w:cs="Arial"/>
                <w:sz w:val="18"/>
                <w:szCs w:val="18"/>
              </w:rPr>
              <w:t>6,5%</w:t>
            </w:r>
          </w:p>
        </w:tc>
        <w:tc>
          <w:tcPr>
            <w:tcW w:w="1266" w:type="dxa"/>
            <w:vAlign w:val="bottom"/>
            <w:hideMark/>
          </w:tcPr>
          <w:p w14:paraId="2EFC7FF0" w14:textId="77777777" w:rsidR="00863D50" w:rsidRPr="00A662C0" w:rsidRDefault="00863D50">
            <w:pPr>
              <w:jc w:val="right"/>
              <w:rPr>
                <w:rFonts w:ascii="Arial" w:hAnsi="Arial" w:cs="Arial"/>
                <w:sz w:val="18"/>
                <w:szCs w:val="18"/>
              </w:rPr>
            </w:pPr>
            <w:r w:rsidRPr="00A662C0">
              <w:rPr>
                <w:rFonts w:ascii="Arial" w:hAnsi="Arial" w:cs="Arial"/>
                <w:sz w:val="18"/>
                <w:szCs w:val="18"/>
              </w:rPr>
              <w:t>353.918,00</w:t>
            </w:r>
          </w:p>
        </w:tc>
      </w:tr>
      <w:tr w:rsidR="00863D50" w:rsidRPr="00A662C0" w14:paraId="3D66BB78" w14:textId="77777777" w:rsidTr="00A662C0">
        <w:trPr>
          <w:trHeight w:val="340"/>
        </w:trPr>
        <w:tc>
          <w:tcPr>
            <w:tcW w:w="670" w:type="dxa"/>
            <w:vAlign w:val="bottom"/>
            <w:hideMark/>
          </w:tcPr>
          <w:p w14:paraId="4A765AD8" w14:textId="77777777" w:rsidR="00863D50" w:rsidRPr="00A662C0" w:rsidRDefault="00863D50">
            <w:pPr>
              <w:rPr>
                <w:rFonts w:ascii="Arial" w:hAnsi="Arial" w:cs="Arial"/>
                <w:sz w:val="18"/>
                <w:szCs w:val="18"/>
              </w:rPr>
            </w:pPr>
            <w:r w:rsidRPr="00A662C0">
              <w:rPr>
                <w:rFonts w:ascii="Arial" w:hAnsi="Arial" w:cs="Arial"/>
                <w:sz w:val="18"/>
                <w:szCs w:val="18"/>
              </w:rPr>
              <w:t>34</w:t>
            </w:r>
          </w:p>
        </w:tc>
        <w:tc>
          <w:tcPr>
            <w:tcW w:w="4148" w:type="dxa"/>
            <w:vAlign w:val="bottom"/>
            <w:hideMark/>
          </w:tcPr>
          <w:p w14:paraId="3987E523" w14:textId="77777777" w:rsidR="00863D50" w:rsidRPr="00A662C0" w:rsidRDefault="00863D50">
            <w:pPr>
              <w:rPr>
                <w:rFonts w:ascii="Arial" w:hAnsi="Arial" w:cs="Arial"/>
                <w:sz w:val="18"/>
                <w:szCs w:val="18"/>
              </w:rPr>
            </w:pPr>
            <w:r w:rsidRPr="00A662C0">
              <w:rPr>
                <w:rFonts w:ascii="Arial" w:hAnsi="Arial" w:cs="Arial"/>
                <w:sz w:val="18"/>
                <w:szCs w:val="18"/>
              </w:rPr>
              <w:t>Financijski rashodi</w:t>
            </w:r>
          </w:p>
        </w:tc>
        <w:tc>
          <w:tcPr>
            <w:tcW w:w="1275" w:type="dxa"/>
            <w:vAlign w:val="bottom"/>
            <w:hideMark/>
          </w:tcPr>
          <w:p w14:paraId="2D6E534C" w14:textId="77777777" w:rsidR="00863D50" w:rsidRPr="00A662C0" w:rsidRDefault="00863D50">
            <w:pPr>
              <w:jc w:val="right"/>
              <w:rPr>
                <w:rFonts w:ascii="Arial" w:hAnsi="Arial" w:cs="Arial"/>
                <w:sz w:val="18"/>
                <w:szCs w:val="18"/>
              </w:rPr>
            </w:pPr>
            <w:r w:rsidRPr="00A662C0">
              <w:rPr>
                <w:rFonts w:ascii="Arial" w:hAnsi="Arial" w:cs="Arial"/>
                <w:sz w:val="18"/>
                <w:szCs w:val="18"/>
              </w:rPr>
              <w:t>0,00</w:t>
            </w:r>
          </w:p>
        </w:tc>
        <w:tc>
          <w:tcPr>
            <w:tcW w:w="1133" w:type="dxa"/>
            <w:vAlign w:val="bottom"/>
            <w:hideMark/>
          </w:tcPr>
          <w:p w14:paraId="7C7E4D71" w14:textId="77777777" w:rsidR="00863D50" w:rsidRPr="00A662C0" w:rsidRDefault="00863D50">
            <w:pPr>
              <w:jc w:val="right"/>
              <w:rPr>
                <w:rFonts w:ascii="Arial" w:hAnsi="Arial" w:cs="Arial"/>
                <w:sz w:val="18"/>
                <w:szCs w:val="18"/>
              </w:rPr>
            </w:pPr>
            <w:r w:rsidRPr="00A662C0">
              <w:rPr>
                <w:rFonts w:ascii="Arial" w:hAnsi="Arial" w:cs="Arial"/>
                <w:sz w:val="18"/>
                <w:szCs w:val="18"/>
              </w:rPr>
              <w:t>0,00</w:t>
            </w:r>
          </w:p>
        </w:tc>
        <w:tc>
          <w:tcPr>
            <w:tcW w:w="988" w:type="dxa"/>
            <w:vAlign w:val="bottom"/>
            <w:hideMark/>
          </w:tcPr>
          <w:p w14:paraId="146DE928" w14:textId="77777777" w:rsidR="00863D50" w:rsidRPr="00A662C0" w:rsidRDefault="00863D50">
            <w:pPr>
              <w:jc w:val="right"/>
              <w:rPr>
                <w:rFonts w:ascii="Arial" w:hAnsi="Arial" w:cs="Arial"/>
                <w:sz w:val="18"/>
                <w:szCs w:val="18"/>
              </w:rPr>
            </w:pPr>
            <w:r w:rsidRPr="00A662C0">
              <w:rPr>
                <w:rFonts w:ascii="Arial" w:hAnsi="Arial" w:cs="Arial"/>
                <w:sz w:val="18"/>
                <w:szCs w:val="18"/>
              </w:rPr>
              <w:t>0,0%</w:t>
            </w:r>
          </w:p>
        </w:tc>
        <w:tc>
          <w:tcPr>
            <w:tcW w:w="1266" w:type="dxa"/>
            <w:vAlign w:val="bottom"/>
            <w:hideMark/>
          </w:tcPr>
          <w:p w14:paraId="579655CF" w14:textId="77777777" w:rsidR="00863D50" w:rsidRPr="00A662C0" w:rsidRDefault="00863D50">
            <w:pPr>
              <w:jc w:val="right"/>
              <w:rPr>
                <w:rFonts w:ascii="Arial" w:hAnsi="Arial" w:cs="Arial"/>
                <w:sz w:val="18"/>
                <w:szCs w:val="18"/>
              </w:rPr>
            </w:pPr>
            <w:r w:rsidRPr="00A662C0">
              <w:rPr>
                <w:rFonts w:ascii="Arial" w:hAnsi="Arial" w:cs="Arial"/>
                <w:sz w:val="18"/>
                <w:szCs w:val="18"/>
              </w:rPr>
              <w:t>0,00</w:t>
            </w:r>
          </w:p>
        </w:tc>
      </w:tr>
      <w:tr w:rsidR="00863D50" w:rsidRPr="00A662C0" w14:paraId="54E7AFDD" w14:textId="77777777" w:rsidTr="00A662C0">
        <w:trPr>
          <w:trHeight w:val="340"/>
        </w:trPr>
        <w:tc>
          <w:tcPr>
            <w:tcW w:w="670" w:type="dxa"/>
            <w:vAlign w:val="bottom"/>
            <w:hideMark/>
          </w:tcPr>
          <w:p w14:paraId="2932B932" w14:textId="77777777" w:rsidR="00863D50" w:rsidRPr="00A662C0" w:rsidRDefault="00863D50">
            <w:pPr>
              <w:rPr>
                <w:rFonts w:ascii="Arial" w:hAnsi="Arial" w:cs="Arial"/>
                <w:sz w:val="18"/>
                <w:szCs w:val="18"/>
              </w:rPr>
            </w:pPr>
            <w:r w:rsidRPr="00A662C0">
              <w:rPr>
                <w:rFonts w:ascii="Arial" w:hAnsi="Arial" w:cs="Arial"/>
                <w:sz w:val="18"/>
                <w:szCs w:val="18"/>
              </w:rPr>
              <w:t>37</w:t>
            </w:r>
          </w:p>
        </w:tc>
        <w:tc>
          <w:tcPr>
            <w:tcW w:w="4148" w:type="dxa"/>
            <w:vAlign w:val="bottom"/>
            <w:hideMark/>
          </w:tcPr>
          <w:p w14:paraId="19F77B66" w14:textId="77777777" w:rsidR="00863D50" w:rsidRPr="00A662C0" w:rsidRDefault="00863D50">
            <w:pPr>
              <w:rPr>
                <w:rFonts w:ascii="Arial" w:hAnsi="Arial" w:cs="Arial"/>
                <w:sz w:val="18"/>
                <w:szCs w:val="18"/>
              </w:rPr>
            </w:pPr>
            <w:r w:rsidRPr="00A662C0">
              <w:rPr>
                <w:rFonts w:ascii="Arial" w:hAnsi="Arial" w:cs="Arial"/>
                <w:sz w:val="18"/>
                <w:szCs w:val="18"/>
              </w:rPr>
              <w:t>Naknade građanima i kućanstvima na temelju osiguranja i druge naknade</w:t>
            </w:r>
          </w:p>
        </w:tc>
        <w:tc>
          <w:tcPr>
            <w:tcW w:w="1275" w:type="dxa"/>
            <w:vAlign w:val="bottom"/>
            <w:hideMark/>
          </w:tcPr>
          <w:p w14:paraId="4645AF6D" w14:textId="77777777" w:rsidR="00863D50" w:rsidRPr="00A662C0" w:rsidRDefault="00863D50">
            <w:pPr>
              <w:jc w:val="right"/>
              <w:rPr>
                <w:rFonts w:ascii="Arial" w:hAnsi="Arial" w:cs="Arial"/>
                <w:sz w:val="18"/>
                <w:szCs w:val="18"/>
              </w:rPr>
            </w:pPr>
            <w:r w:rsidRPr="00A662C0">
              <w:rPr>
                <w:rFonts w:ascii="Arial" w:hAnsi="Arial" w:cs="Arial"/>
                <w:sz w:val="18"/>
                <w:szCs w:val="18"/>
              </w:rPr>
              <w:t>14.000,00</w:t>
            </w:r>
          </w:p>
        </w:tc>
        <w:tc>
          <w:tcPr>
            <w:tcW w:w="1133" w:type="dxa"/>
            <w:vAlign w:val="bottom"/>
            <w:hideMark/>
          </w:tcPr>
          <w:p w14:paraId="7A67CB5A" w14:textId="77777777" w:rsidR="00863D50" w:rsidRPr="00A662C0" w:rsidRDefault="00863D50">
            <w:pPr>
              <w:jc w:val="right"/>
              <w:rPr>
                <w:rFonts w:ascii="Arial" w:hAnsi="Arial" w:cs="Arial"/>
                <w:sz w:val="18"/>
                <w:szCs w:val="18"/>
              </w:rPr>
            </w:pPr>
            <w:r w:rsidRPr="00A662C0">
              <w:rPr>
                <w:rFonts w:ascii="Arial" w:hAnsi="Arial" w:cs="Arial"/>
                <w:sz w:val="18"/>
                <w:szCs w:val="18"/>
              </w:rPr>
              <w:t>0,00</w:t>
            </w:r>
          </w:p>
        </w:tc>
        <w:tc>
          <w:tcPr>
            <w:tcW w:w="988" w:type="dxa"/>
            <w:vAlign w:val="bottom"/>
            <w:hideMark/>
          </w:tcPr>
          <w:p w14:paraId="7AF124F7" w14:textId="77777777" w:rsidR="00863D50" w:rsidRPr="00A662C0" w:rsidRDefault="00863D50">
            <w:pPr>
              <w:jc w:val="right"/>
              <w:rPr>
                <w:rFonts w:ascii="Arial" w:hAnsi="Arial" w:cs="Arial"/>
                <w:sz w:val="18"/>
                <w:szCs w:val="18"/>
              </w:rPr>
            </w:pPr>
            <w:r w:rsidRPr="00A662C0">
              <w:rPr>
                <w:rFonts w:ascii="Arial" w:hAnsi="Arial" w:cs="Arial"/>
                <w:sz w:val="18"/>
                <w:szCs w:val="18"/>
              </w:rPr>
              <w:t>0.0%</w:t>
            </w:r>
          </w:p>
        </w:tc>
        <w:tc>
          <w:tcPr>
            <w:tcW w:w="1266" w:type="dxa"/>
            <w:vAlign w:val="bottom"/>
            <w:hideMark/>
          </w:tcPr>
          <w:p w14:paraId="10241FE1" w14:textId="77777777" w:rsidR="00863D50" w:rsidRPr="00A662C0" w:rsidRDefault="00863D50">
            <w:pPr>
              <w:jc w:val="right"/>
              <w:rPr>
                <w:rFonts w:ascii="Arial" w:hAnsi="Arial" w:cs="Arial"/>
                <w:sz w:val="18"/>
                <w:szCs w:val="18"/>
              </w:rPr>
            </w:pPr>
            <w:r w:rsidRPr="00A662C0">
              <w:rPr>
                <w:rFonts w:ascii="Arial" w:hAnsi="Arial" w:cs="Arial"/>
                <w:sz w:val="18"/>
                <w:szCs w:val="18"/>
              </w:rPr>
              <w:t>14.000,00</w:t>
            </w:r>
          </w:p>
        </w:tc>
      </w:tr>
      <w:tr w:rsidR="00863D50" w:rsidRPr="00A662C0" w14:paraId="1BD3B71E" w14:textId="77777777" w:rsidTr="00A662C0">
        <w:trPr>
          <w:trHeight w:val="340"/>
        </w:trPr>
        <w:tc>
          <w:tcPr>
            <w:tcW w:w="670" w:type="dxa"/>
            <w:vAlign w:val="bottom"/>
            <w:hideMark/>
          </w:tcPr>
          <w:p w14:paraId="575282CE" w14:textId="77777777" w:rsidR="00863D50" w:rsidRPr="00A662C0" w:rsidRDefault="00863D50">
            <w:pPr>
              <w:rPr>
                <w:rFonts w:ascii="Arial" w:hAnsi="Arial" w:cs="Arial"/>
                <w:sz w:val="18"/>
                <w:szCs w:val="18"/>
              </w:rPr>
            </w:pPr>
            <w:r w:rsidRPr="00A662C0">
              <w:rPr>
                <w:rFonts w:ascii="Arial" w:hAnsi="Arial" w:cs="Arial"/>
                <w:sz w:val="18"/>
                <w:szCs w:val="18"/>
              </w:rPr>
              <w:t>38</w:t>
            </w:r>
          </w:p>
        </w:tc>
        <w:tc>
          <w:tcPr>
            <w:tcW w:w="4148" w:type="dxa"/>
            <w:vAlign w:val="bottom"/>
            <w:hideMark/>
          </w:tcPr>
          <w:p w14:paraId="13710AA8" w14:textId="77777777" w:rsidR="00863D50" w:rsidRPr="00A662C0" w:rsidRDefault="00863D50">
            <w:pPr>
              <w:rPr>
                <w:rFonts w:ascii="Arial" w:hAnsi="Arial" w:cs="Arial"/>
                <w:sz w:val="18"/>
                <w:szCs w:val="18"/>
              </w:rPr>
            </w:pPr>
            <w:r w:rsidRPr="00A662C0">
              <w:rPr>
                <w:rFonts w:ascii="Arial" w:hAnsi="Arial" w:cs="Arial"/>
                <w:sz w:val="18"/>
                <w:szCs w:val="18"/>
              </w:rPr>
              <w:t>Ostali rashodi</w:t>
            </w:r>
          </w:p>
        </w:tc>
        <w:tc>
          <w:tcPr>
            <w:tcW w:w="1275" w:type="dxa"/>
            <w:vAlign w:val="bottom"/>
            <w:hideMark/>
          </w:tcPr>
          <w:p w14:paraId="72B27F22" w14:textId="77777777" w:rsidR="00863D50" w:rsidRPr="00A662C0" w:rsidRDefault="00863D50">
            <w:pPr>
              <w:jc w:val="right"/>
              <w:rPr>
                <w:rFonts w:ascii="Arial" w:hAnsi="Arial" w:cs="Arial"/>
                <w:sz w:val="18"/>
                <w:szCs w:val="18"/>
              </w:rPr>
            </w:pPr>
            <w:r w:rsidRPr="00A662C0">
              <w:rPr>
                <w:rFonts w:ascii="Arial" w:hAnsi="Arial" w:cs="Arial"/>
                <w:sz w:val="18"/>
                <w:szCs w:val="18"/>
              </w:rPr>
              <w:t>100,00</w:t>
            </w:r>
          </w:p>
        </w:tc>
        <w:tc>
          <w:tcPr>
            <w:tcW w:w="1133" w:type="dxa"/>
            <w:vAlign w:val="bottom"/>
            <w:hideMark/>
          </w:tcPr>
          <w:p w14:paraId="44C42CB8" w14:textId="77777777" w:rsidR="00863D50" w:rsidRPr="00A662C0" w:rsidRDefault="00863D50">
            <w:pPr>
              <w:jc w:val="right"/>
              <w:rPr>
                <w:rFonts w:ascii="Arial" w:hAnsi="Arial" w:cs="Arial"/>
                <w:sz w:val="18"/>
                <w:szCs w:val="18"/>
              </w:rPr>
            </w:pPr>
            <w:r w:rsidRPr="00A662C0">
              <w:rPr>
                <w:rFonts w:ascii="Arial" w:hAnsi="Arial" w:cs="Arial"/>
                <w:sz w:val="18"/>
                <w:szCs w:val="18"/>
              </w:rPr>
              <w:t>720,00</w:t>
            </w:r>
          </w:p>
        </w:tc>
        <w:tc>
          <w:tcPr>
            <w:tcW w:w="988" w:type="dxa"/>
            <w:vAlign w:val="bottom"/>
            <w:hideMark/>
          </w:tcPr>
          <w:p w14:paraId="34F461F1" w14:textId="77777777" w:rsidR="00863D50" w:rsidRPr="00A662C0" w:rsidRDefault="00863D50">
            <w:pPr>
              <w:jc w:val="right"/>
              <w:rPr>
                <w:rFonts w:ascii="Arial" w:hAnsi="Arial" w:cs="Arial"/>
                <w:sz w:val="18"/>
                <w:szCs w:val="18"/>
              </w:rPr>
            </w:pPr>
            <w:r w:rsidRPr="00A662C0">
              <w:rPr>
                <w:rFonts w:ascii="Arial" w:hAnsi="Arial" w:cs="Arial"/>
                <w:sz w:val="18"/>
                <w:szCs w:val="18"/>
              </w:rPr>
              <w:t>720,0%</w:t>
            </w:r>
          </w:p>
        </w:tc>
        <w:tc>
          <w:tcPr>
            <w:tcW w:w="1266" w:type="dxa"/>
            <w:vAlign w:val="bottom"/>
            <w:hideMark/>
          </w:tcPr>
          <w:p w14:paraId="1E5E1EE3" w14:textId="77777777" w:rsidR="00863D50" w:rsidRPr="00A662C0" w:rsidRDefault="00863D50">
            <w:pPr>
              <w:jc w:val="right"/>
              <w:rPr>
                <w:rFonts w:ascii="Arial" w:hAnsi="Arial" w:cs="Arial"/>
                <w:sz w:val="18"/>
                <w:szCs w:val="18"/>
              </w:rPr>
            </w:pPr>
            <w:r w:rsidRPr="00A662C0">
              <w:rPr>
                <w:rFonts w:ascii="Arial" w:hAnsi="Arial" w:cs="Arial"/>
                <w:sz w:val="18"/>
                <w:szCs w:val="18"/>
              </w:rPr>
              <w:t>820,00</w:t>
            </w:r>
          </w:p>
        </w:tc>
      </w:tr>
      <w:tr w:rsidR="00863D50" w:rsidRPr="00A662C0" w14:paraId="0991CF82" w14:textId="77777777" w:rsidTr="00A662C0">
        <w:trPr>
          <w:trHeight w:val="340"/>
        </w:trPr>
        <w:tc>
          <w:tcPr>
            <w:tcW w:w="670" w:type="dxa"/>
            <w:shd w:val="clear" w:color="auto" w:fill="000080"/>
            <w:noWrap/>
            <w:vAlign w:val="bottom"/>
            <w:hideMark/>
          </w:tcPr>
          <w:p w14:paraId="2424CCC5" w14:textId="77777777" w:rsidR="00863D50" w:rsidRPr="00A662C0" w:rsidRDefault="00863D50">
            <w:pPr>
              <w:rPr>
                <w:rFonts w:ascii="Arial" w:hAnsi="Arial" w:cs="Arial"/>
                <w:b/>
                <w:bCs/>
                <w:sz w:val="18"/>
                <w:szCs w:val="18"/>
              </w:rPr>
            </w:pPr>
            <w:r w:rsidRPr="00A662C0">
              <w:rPr>
                <w:rFonts w:ascii="Arial" w:hAnsi="Arial" w:cs="Arial"/>
                <w:b/>
                <w:bCs/>
                <w:sz w:val="18"/>
                <w:szCs w:val="18"/>
              </w:rPr>
              <w:t>4</w:t>
            </w:r>
          </w:p>
        </w:tc>
        <w:tc>
          <w:tcPr>
            <w:tcW w:w="4148" w:type="dxa"/>
            <w:shd w:val="clear" w:color="auto" w:fill="000080"/>
            <w:noWrap/>
            <w:vAlign w:val="bottom"/>
            <w:hideMark/>
          </w:tcPr>
          <w:p w14:paraId="32D0775C" w14:textId="77777777" w:rsidR="00863D50" w:rsidRPr="00A662C0" w:rsidRDefault="00863D50">
            <w:pPr>
              <w:rPr>
                <w:rFonts w:ascii="Arial" w:hAnsi="Arial" w:cs="Arial"/>
                <w:b/>
                <w:bCs/>
                <w:sz w:val="18"/>
                <w:szCs w:val="18"/>
              </w:rPr>
            </w:pPr>
            <w:r w:rsidRPr="00A662C0">
              <w:rPr>
                <w:rFonts w:ascii="Arial" w:hAnsi="Arial" w:cs="Arial"/>
                <w:b/>
                <w:bCs/>
                <w:sz w:val="18"/>
                <w:szCs w:val="18"/>
              </w:rPr>
              <w:t>Rashodi za nabavu nefinancijske imovine</w:t>
            </w:r>
          </w:p>
        </w:tc>
        <w:tc>
          <w:tcPr>
            <w:tcW w:w="1275" w:type="dxa"/>
            <w:shd w:val="clear" w:color="auto" w:fill="000080"/>
            <w:noWrap/>
            <w:vAlign w:val="bottom"/>
            <w:hideMark/>
          </w:tcPr>
          <w:p w14:paraId="027FDD71" w14:textId="77777777" w:rsidR="00863D50" w:rsidRPr="00A662C0" w:rsidRDefault="00863D50">
            <w:pPr>
              <w:jc w:val="right"/>
              <w:rPr>
                <w:rFonts w:ascii="Arial" w:hAnsi="Arial" w:cs="Arial"/>
                <w:b/>
                <w:bCs/>
                <w:sz w:val="18"/>
                <w:szCs w:val="18"/>
              </w:rPr>
            </w:pPr>
            <w:r w:rsidRPr="00A662C0">
              <w:rPr>
                <w:rFonts w:ascii="Arial" w:hAnsi="Arial" w:cs="Arial"/>
                <w:b/>
                <w:bCs/>
                <w:sz w:val="18"/>
                <w:szCs w:val="18"/>
              </w:rPr>
              <w:t>6.600,00</w:t>
            </w:r>
          </w:p>
        </w:tc>
        <w:tc>
          <w:tcPr>
            <w:tcW w:w="1133" w:type="dxa"/>
            <w:shd w:val="clear" w:color="auto" w:fill="000080"/>
            <w:noWrap/>
            <w:vAlign w:val="bottom"/>
            <w:hideMark/>
          </w:tcPr>
          <w:p w14:paraId="7E5EE36E" w14:textId="77777777" w:rsidR="00863D50" w:rsidRPr="00A662C0" w:rsidRDefault="00863D50">
            <w:pPr>
              <w:jc w:val="right"/>
              <w:rPr>
                <w:rFonts w:ascii="Arial" w:hAnsi="Arial" w:cs="Arial"/>
                <w:b/>
                <w:bCs/>
                <w:sz w:val="18"/>
                <w:szCs w:val="18"/>
              </w:rPr>
            </w:pPr>
            <w:r w:rsidRPr="00A662C0">
              <w:rPr>
                <w:rFonts w:ascii="Arial" w:hAnsi="Arial" w:cs="Arial"/>
                <w:b/>
                <w:bCs/>
                <w:sz w:val="18"/>
                <w:szCs w:val="18"/>
              </w:rPr>
              <w:t>3.615,00</w:t>
            </w:r>
          </w:p>
        </w:tc>
        <w:tc>
          <w:tcPr>
            <w:tcW w:w="988" w:type="dxa"/>
            <w:shd w:val="clear" w:color="auto" w:fill="000080"/>
            <w:noWrap/>
            <w:vAlign w:val="bottom"/>
            <w:hideMark/>
          </w:tcPr>
          <w:p w14:paraId="1947F9B0" w14:textId="77777777" w:rsidR="00863D50" w:rsidRPr="00A662C0" w:rsidRDefault="00863D50">
            <w:pPr>
              <w:jc w:val="right"/>
              <w:rPr>
                <w:rFonts w:ascii="Arial" w:hAnsi="Arial" w:cs="Arial"/>
                <w:b/>
                <w:bCs/>
                <w:sz w:val="18"/>
                <w:szCs w:val="18"/>
              </w:rPr>
            </w:pPr>
            <w:r w:rsidRPr="00A662C0">
              <w:rPr>
                <w:rFonts w:ascii="Arial" w:hAnsi="Arial" w:cs="Arial"/>
                <w:b/>
                <w:bCs/>
                <w:sz w:val="18"/>
                <w:szCs w:val="18"/>
              </w:rPr>
              <w:t>54,8%</w:t>
            </w:r>
          </w:p>
        </w:tc>
        <w:tc>
          <w:tcPr>
            <w:tcW w:w="1266" w:type="dxa"/>
            <w:shd w:val="clear" w:color="auto" w:fill="000080"/>
            <w:noWrap/>
            <w:vAlign w:val="bottom"/>
            <w:hideMark/>
          </w:tcPr>
          <w:p w14:paraId="79428FC1" w14:textId="77777777" w:rsidR="00863D50" w:rsidRPr="00A662C0" w:rsidRDefault="00863D50">
            <w:pPr>
              <w:jc w:val="right"/>
              <w:rPr>
                <w:rFonts w:ascii="Arial" w:hAnsi="Arial" w:cs="Arial"/>
                <w:b/>
                <w:bCs/>
                <w:sz w:val="18"/>
                <w:szCs w:val="18"/>
              </w:rPr>
            </w:pPr>
            <w:r w:rsidRPr="00A662C0">
              <w:rPr>
                <w:rFonts w:ascii="Arial" w:hAnsi="Arial" w:cs="Arial"/>
                <w:b/>
                <w:bCs/>
                <w:sz w:val="18"/>
                <w:szCs w:val="18"/>
              </w:rPr>
              <w:t>10.215,00</w:t>
            </w:r>
          </w:p>
        </w:tc>
      </w:tr>
      <w:tr w:rsidR="00863D50" w:rsidRPr="00A662C0" w14:paraId="6A65F746" w14:textId="77777777" w:rsidTr="00A662C0">
        <w:trPr>
          <w:trHeight w:val="340"/>
        </w:trPr>
        <w:tc>
          <w:tcPr>
            <w:tcW w:w="670" w:type="dxa"/>
            <w:vAlign w:val="bottom"/>
            <w:hideMark/>
          </w:tcPr>
          <w:p w14:paraId="39D27363" w14:textId="77777777" w:rsidR="00863D50" w:rsidRPr="00A662C0" w:rsidRDefault="00863D50">
            <w:pPr>
              <w:rPr>
                <w:rFonts w:ascii="Arial" w:hAnsi="Arial" w:cs="Arial"/>
                <w:sz w:val="18"/>
                <w:szCs w:val="18"/>
              </w:rPr>
            </w:pPr>
            <w:r w:rsidRPr="00A662C0">
              <w:rPr>
                <w:rFonts w:ascii="Arial" w:hAnsi="Arial" w:cs="Arial"/>
                <w:sz w:val="18"/>
                <w:szCs w:val="18"/>
              </w:rPr>
              <w:t>42</w:t>
            </w:r>
          </w:p>
        </w:tc>
        <w:tc>
          <w:tcPr>
            <w:tcW w:w="4148" w:type="dxa"/>
            <w:vAlign w:val="bottom"/>
            <w:hideMark/>
          </w:tcPr>
          <w:p w14:paraId="59A1698A" w14:textId="77777777" w:rsidR="00863D50" w:rsidRPr="00A662C0" w:rsidRDefault="00863D50">
            <w:pPr>
              <w:rPr>
                <w:rFonts w:ascii="Arial" w:hAnsi="Arial" w:cs="Arial"/>
                <w:sz w:val="18"/>
                <w:szCs w:val="18"/>
              </w:rPr>
            </w:pPr>
            <w:r w:rsidRPr="00A662C0">
              <w:rPr>
                <w:rFonts w:ascii="Arial" w:hAnsi="Arial" w:cs="Arial"/>
                <w:sz w:val="18"/>
                <w:szCs w:val="18"/>
              </w:rPr>
              <w:t>Rashodi za nabavu proizvedene dugotrajne imovine</w:t>
            </w:r>
          </w:p>
        </w:tc>
        <w:tc>
          <w:tcPr>
            <w:tcW w:w="1275" w:type="dxa"/>
            <w:vAlign w:val="bottom"/>
            <w:hideMark/>
          </w:tcPr>
          <w:p w14:paraId="205AC567" w14:textId="77777777" w:rsidR="00863D50" w:rsidRPr="00A662C0" w:rsidRDefault="00863D50">
            <w:pPr>
              <w:jc w:val="right"/>
              <w:rPr>
                <w:rFonts w:ascii="Arial" w:hAnsi="Arial" w:cs="Arial"/>
                <w:sz w:val="18"/>
                <w:szCs w:val="18"/>
              </w:rPr>
            </w:pPr>
            <w:r w:rsidRPr="00A662C0">
              <w:rPr>
                <w:rFonts w:ascii="Arial" w:hAnsi="Arial" w:cs="Arial"/>
                <w:sz w:val="18"/>
                <w:szCs w:val="18"/>
              </w:rPr>
              <w:t>6.600,00</w:t>
            </w:r>
          </w:p>
        </w:tc>
        <w:tc>
          <w:tcPr>
            <w:tcW w:w="1133" w:type="dxa"/>
            <w:vAlign w:val="bottom"/>
            <w:hideMark/>
          </w:tcPr>
          <w:p w14:paraId="5553B3F8" w14:textId="77777777" w:rsidR="00863D50" w:rsidRPr="00A662C0" w:rsidRDefault="00863D50">
            <w:pPr>
              <w:jc w:val="right"/>
              <w:rPr>
                <w:rFonts w:ascii="Arial" w:hAnsi="Arial" w:cs="Arial"/>
                <w:sz w:val="18"/>
                <w:szCs w:val="18"/>
              </w:rPr>
            </w:pPr>
            <w:r w:rsidRPr="00A662C0">
              <w:rPr>
                <w:rFonts w:ascii="Arial" w:hAnsi="Arial" w:cs="Arial"/>
                <w:sz w:val="18"/>
                <w:szCs w:val="18"/>
              </w:rPr>
              <w:t>3.615,00</w:t>
            </w:r>
          </w:p>
        </w:tc>
        <w:tc>
          <w:tcPr>
            <w:tcW w:w="988" w:type="dxa"/>
            <w:vAlign w:val="bottom"/>
            <w:hideMark/>
          </w:tcPr>
          <w:p w14:paraId="072C09BD" w14:textId="77777777" w:rsidR="00863D50" w:rsidRPr="00A662C0" w:rsidRDefault="00863D50">
            <w:pPr>
              <w:jc w:val="right"/>
              <w:rPr>
                <w:rFonts w:ascii="Arial" w:hAnsi="Arial" w:cs="Arial"/>
                <w:sz w:val="18"/>
                <w:szCs w:val="18"/>
              </w:rPr>
            </w:pPr>
            <w:r w:rsidRPr="00A662C0">
              <w:rPr>
                <w:rFonts w:ascii="Arial" w:hAnsi="Arial" w:cs="Arial"/>
                <w:sz w:val="18"/>
                <w:szCs w:val="18"/>
              </w:rPr>
              <w:t>54,8%</w:t>
            </w:r>
          </w:p>
        </w:tc>
        <w:tc>
          <w:tcPr>
            <w:tcW w:w="1266" w:type="dxa"/>
            <w:vAlign w:val="bottom"/>
            <w:hideMark/>
          </w:tcPr>
          <w:p w14:paraId="3F7E4691" w14:textId="77777777" w:rsidR="00863D50" w:rsidRPr="00A662C0" w:rsidRDefault="00863D50">
            <w:pPr>
              <w:jc w:val="right"/>
              <w:rPr>
                <w:rFonts w:ascii="Arial" w:hAnsi="Arial" w:cs="Arial"/>
                <w:sz w:val="18"/>
                <w:szCs w:val="18"/>
              </w:rPr>
            </w:pPr>
            <w:r w:rsidRPr="00A662C0">
              <w:rPr>
                <w:rFonts w:ascii="Arial" w:hAnsi="Arial" w:cs="Arial"/>
                <w:sz w:val="18"/>
                <w:szCs w:val="18"/>
              </w:rPr>
              <w:t>10.215,00</w:t>
            </w:r>
          </w:p>
        </w:tc>
      </w:tr>
      <w:tr w:rsidR="00863D50" w:rsidRPr="00A662C0" w14:paraId="682C35A8" w14:textId="77777777" w:rsidTr="00A662C0">
        <w:trPr>
          <w:trHeight w:val="340"/>
        </w:trPr>
        <w:tc>
          <w:tcPr>
            <w:tcW w:w="670" w:type="dxa"/>
            <w:vAlign w:val="bottom"/>
            <w:hideMark/>
          </w:tcPr>
          <w:p w14:paraId="64CC2706" w14:textId="77777777" w:rsidR="00863D50" w:rsidRPr="00A662C0" w:rsidRDefault="00863D50">
            <w:pPr>
              <w:rPr>
                <w:rFonts w:ascii="Arial" w:hAnsi="Arial" w:cs="Arial"/>
                <w:sz w:val="18"/>
                <w:szCs w:val="18"/>
              </w:rPr>
            </w:pPr>
            <w:r w:rsidRPr="00A662C0">
              <w:rPr>
                <w:rFonts w:ascii="Arial" w:hAnsi="Arial" w:cs="Arial"/>
                <w:sz w:val="18"/>
                <w:szCs w:val="18"/>
              </w:rPr>
              <w:t>45</w:t>
            </w:r>
          </w:p>
        </w:tc>
        <w:tc>
          <w:tcPr>
            <w:tcW w:w="4148" w:type="dxa"/>
            <w:vAlign w:val="bottom"/>
            <w:hideMark/>
          </w:tcPr>
          <w:p w14:paraId="0701EEEB" w14:textId="77777777" w:rsidR="00863D50" w:rsidRPr="00A662C0" w:rsidRDefault="00863D50">
            <w:pPr>
              <w:rPr>
                <w:rFonts w:ascii="Arial" w:hAnsi="Arial" w:cs="Arial"/>
                <w:sz w:val="18"/>
                <w:szCs w:val="18"/>
              </w:rPr>
            </w:pPr>
            <w:r w:rsidRPr="00A662C0">
              <w:rPr>
                <w:rFonts w:ascii="Arial" w:hAnsi="Arial" w:cs="Arial"/>
                <w:sz w:val="18"/>
                <w:szCs w:val="18"/>
              </w:rPr>
              <w:t>Rashodi za dodatna ulaganja na nefinancijskoj imovini</w:t>
            </w:r>
          </w:p>
        </w:tc>
        <w:tc>
          <w:tcPr>
            <w:tcW w:w="1275" w:type="dxa"/>
            <w:vAlign w:val="bottom"/>
            <w:hideMark/>
          </w:tcPr>
          <w:p w14:paraId="703769C3" w14:textId="77777777" w:rsidR="00863D50" w:rsidRPr="00A662C0" w:rsidRDefault="00863D50">
            <w:pPr>
              <w:jc w:val="right"/>
              <w:rPr>
                <w:rFonts w:ascii="Arial" w:hAnsi="Arial" w:cs="Arial"/>
                <w:sz w:val="18"/>
                <w:szCs w:val="18"/>
              </w:rPr>
            </w:pPr>
            <w:r w:rsidRPr="00A662C0">
              <w:rPr>
                <w:rFonts w:ascii="Arial" w:hAnsi="Arial" w:cs="Arial"/>
                <w:sz w:val="18"/>
                <w:szCs w:val="18"/>
              </w:rPr>
              <w:t>0,00</w:t>
            </w:r>
          </w:p>
        </w:tc>
        <w:tc>
          <w:tcPr>
            <w:tcW w:w="1133" w:type="dxa"/>
            <w:vAlign w:val="bottom"/>
            <w:hideMark/>
          </w:tcPr>
          <w:p w14:paraId="18E1471E" w14:textId="77777777" w:rsidR="00863D50" w:rsidRPr="00A662C0" w:rsidRDefault="00863D50">
            <w:pPr>
              <w:jc w:val="right"/>
              <w:rPr>
                <w:rFonts w:ascii="Arial" w:hAnsi="Arial" w:cs="Arial"/>
                <w:sz w:val="18"/>
                <w:szCs w:val="18"/>
              </w:rPr>
            </w:pPr>
            <w:r w:rsidRPr="00A662C0">
              <w:rPr>
                <w:rFonts w:ascii="Arial" w:hAnsi="Arial" w:cs="Arial"/>
                <w:sz w:val="18"/>
                <w:szCs w:val="18"/>
              </w:rPr>
              <w:t>0,00</w:t>
            </w:r>
          </w:p>
        </w:tc>
        <w:tc>
          <w:tcPr>
            <w:tcW w:w="988" w:type="dxa"/>
            <w:vAlign w:val="bottom"/>
            <w:hideMark/>
          </w:tcPr>
          <w:p w14:paraId="15720552" w14:textId="77777777" w:rsidR="00863D50" w:rsidRPr="00A662C0" w:rsidRDefault="00863D50">
            <w:pPr>
              <w:jc w:val="right"/>
              <w:rPr>
                <w:rFonts w:ascii="Arial" w:hAnsi="Arial" w:cs="Arial"/>
                <w:sz w:val="18"/>
                <w:szCs w:val="18"/>
              </w:rPr>
            </w:pPr>
            <w:r w:rsidRPr="00A662C0">
              <w:rPr>
                <w:rFonts w:ascii="Arial" w:hAnsi="Arial" w:cs="Arial"/>
                <w:sz w:val="18"/>
                <w:szCs w:val="18"/>
              </w:rPr>
              <w:t>0,0%</w:t>
            </w:r>
          </w:p>
        </w:tc>
        <w:tc>
          <w:tcPr>
            <w:tcW w:w="1266" w:type="dxa"/>
            <w:vAlign w:val="bottom"/>
            <w:hideMark/>
          </w:tcPr>
          <w:p w14:paraId="5242CFD6" w14:textId="77777777" w:rsidR="00863D50" w:rsidRPr="00A662C0" w:rsidRDefault="00863D50">
            <w:pPr>
              <w:jc w:val="right"/>
              <w:rPr>
                <w:rFonts w:ascii="Arial" w:hAnsi="Arial" w:cs="Arial"/>
                <w:sz w:val="18"/>
                <w:szCs w:val="18"/>
              </w:rPr>
            </w:pPr>
            <w:r w:rsidRPr="00A662C0">
              <w:rPr>
                <w:rFonts w:ascii="Arial" w:hAnsi="Arial" w:cs="Arial"/>
                <w:sz w:val="18"/>
                <w:szCs w:val="18"/>
              </w:rPr>
              <w:t>0,00</w:t>
            </w:r>
          </w:p>
        </w:tc>
      </w:tr>
    </w:tbl>
    <w:p w14:paraId="0FED6250" w14:textId="77777777" w:rsidR="00863D50" w:rsidRDefault="00863D50" w:rsidP="00863D50">
      <w:pPr>
        <w:jc w:val="both"/>
        <w:rPr>
          <w:rFonts w:ascii="Arial" w:hAnsi="Arial" w:cs="Arial"/>
          <w:color w:val="FF0000"/>
          <w:sz w:val="22"/>
          <w:szCs w:val="22"/>
          <w:lang w:eastAsia="en-US"/>
        </w:rPr>
      </w:pPr>
    </w:p>
    <w:p w14:paraId="1451FD1F" w14:textId="77777777" w:rsidR="00863D50" w:rsidRPr="00A662C0" w:rsidRDefault="00863D50" w:rsidP="00A662C0">
      <w:pPr>
        <w:spacing w:line="259" w:lineRule="auto"/>
        <w:jc w:val="both"/>
        <w:rPr>
          <w:rFonts w:ascii="Arial" w:hAnsi="Arial" w:cs="Arial"/>
          <w:color w:val="FF0000"/>
          <w:sz w:val="22"/>
          <w:szCs w:val="22"/>
        </w:rPr>
      </w:pPr>
    </w:p>
    <w:p w14:paraId="28684E7A" w14:textId="77777777" w:rsidR="00863D50" w:rsidRPr="00A662C0" w:rsidRDefault="00863D50" w:rsidP="00A662C0">
      <w:pPr>
        <w:spacing w:line="259" w:lineRule="auto"/>
        <w:jc w:val="both"/>
        <w:rPr>
          <w:rFonts w:ascii="Arial" w:hAnsi="Arial" w:cs="Arial"/>
          <w:color w:val="FF0000"/>
          <w:sz w:val="22"/>
          <w:szCs w:val="22"/>
        </w:rPr>
      </w:pPr>
      <w:r w:rsidRPr="00A662C0">
        <w:rPr>
          <w:rFonts w:ascii="Arial" w:hAnsi="Arial" w:cs="Arial"/>
          <w:color w:val="FF0000"/>
          <w:sz w:val="22"/>
          <w:szCs w:val="22"/>
        </w:rPr>
        <w:t xml:space="preserve"> </w:t>
      </w:r>
    </w:p>
    <w:p w14:paraId="44976B59" w14:textId="77777777" w:rsidR="00863D50" w:rsidRDefault="00863D50" w:rsidP="00A662C0">
      <w:pPr>
        <w:spacing w:line="259" w:lineRule="auto"/>
        <w:jc w:val="both"/>
        <w:rPr>
          <w:rFonts w:ascii="Arial" w:hAnsi="Arial" w:cs="Arial"/>
          <w:b/>
          <w:sz w:val="22"/>
          <w:szCs w:val="22"/>
          <w:u w:val="single"/>
        </w:rPr>
      </w:pPr>
      <w:r w:rsidRPr="00A662C0">
        <w:rPr>
          <w:rFonts w:ascii="Arial" w:hAnsi="Arial" w:cs="Arial"/>
          <w:b/>
          <w:sz w:val="22"/>
          <w:szCs w:val="22"/>
          <w:u w:val="single"/>
        </w:rPr>
        <w:t>Obrazloženje prihoda i primitaka</w:t>
      </w:r>
    </w:p>
    <w:p w14:paraId="548EF67D" w14:textId="77777777" w:rsidR="00A662C0" w:rsidRPr="00A662C0" w:rsidRDefault="00A662C0" w:rsidP="00A662C0">
      <w:pPr>
        <w:spacing w:line="259" w:lineRule="auto"/>
        <w:jc w:val="both"/>
        <w:rPr>
          <w:rFonts w:ascii="Arial" w:hAnsi="Arial" w:cs="Arial"/>
          <w:b/>
          <w:sz w:val="22"/>
          <w:szCs w:val="22"/>
          <w:u w:val="single"/>
        </w:rPr>
      </w:pPr>
    </w:p>
    <w:p w14:paraId="7FFE04AD" w14:textId="77777777" w:rsidR="00863D50" w:rsidRPr="00A662C0" w:rsidRDefault="00863D50">
      <w:pPr>
        <w:pStyle w:val="Odlomakpopisa"/>
        <w:numPr>
          <w:ilvl w:val="0"/>
          <w:numId w:val="19"/>
        </w:numPr>
        <w:spacing w:after="0" w:line="259" w:lineRule="auto"/>
        <w:jc w:val="both"/>
        <w:rPr>
          <w:rFonts w:ascii="Arial" w:hAnsi="Arial" w:cs="Arial"/>
          <w:b/>
          <w:szCs w:val="22"/>
        </w:rPr>
      </w:pPr>
      <w:r w:rsidRPr="00A662C0">
        <w:rPr>
          <w:rFonts w:ascii="Arial" w:hAnsi="Arial" w:cs="Arial"/>
          <w:b/>
          <w:szCs w:val="22"/>
        </w:rPr>
        <w:t>63 Pomoći iz inozemstva i od subjekata unutar općeg proračuna</w:t>
      </w:r>
    </w:p>
    <w:p w14:paraId="4F066EC3" w14:textId="77777777" w:rsidR="00863D50" w:rsidRPr="00A662C0" w:rsidRDefault="00863D50" w:rsidP="00A662C0">
      <w:pPr>
        <w:spacing w:line="259" w:lineRule="auto"/>
        <w:jc w:val="both"/>
        <w:rPr>
          <w:rFonts w:ascii="Arial" w:hAnsi="Arial" w:cs="Arial"/>
          <w:sz w:val="22"/>
          <w:szCs w:val="22"/>
        </w:rPr>
      </w:pPr>
      <w:r w:rsidRPr="00A662C0">
        <w:rPr>
          <w:rFonts w:ascii="Arial" w:hAnsi="Arial" w:cs="Arial"/>
          <w:sz w:val="22"/>
          <w:szCs w:val="22"/>
        </w:rPr>
        <w:t xml:space="preserve">U ovoj stavci evidentirani su svi prihodi koji se odnose na financijske pomoći koje Škola prima iz državnog proračuna, proračuna jedinica lokalne i regionalne samouprave, iz sredstava Europske unije te od drugih subjekata općeg proračuna. </w:t>
      </w:r>
    </w:p>
    <w:p w14:paraId="44D409E1" w14:textId="77777777" w:rsidR="00863D50" w:rsidRPr="00A662C0" w:rsidRDefault="00863D50" w:rsidP="00A662C0">
      <w:pPr>
        <w:spacing w:line="259" w:lineRule="auto"/>
        <w:jc w:val="both"/>
        <w:rPr>
          <w:rFonts w:ascii="Arial" w:hAnsi="Arial" w:cs="Arial"/>
          <w:sz w:val="22"/>
          <w:szCs w:val="22"/>
        </w:rPr>
      </w:pPr>
      <w:r w:rsidRPr="00A662C0">
        <w:rPr>
          <w:rFonts w:ascii="Arial" w:hAnsi="Arial" w:cs="Arial"/>
          <w:sz w:val="22"/>
          <w:szCs w:val="22"/>
        </w:rPr>
        <w:t>Ukupno planirani iznos je 1.590.510 te se izmjenama i dopunama financijskog plana povećava na 1.618.816 eura. Ukupni se iznos odnosi na sljedeće:</w:t>
      </w:r>
    </w:p>
    <w:p w14:paraId="158BCAD1" w14:textId="77777777" w:rsidR="00863D50" w:rsidRPr="00A662C0" w:rsidRDefault="00863D50">
      <w:pPr>
        <w:pStyle w:val="Odlomakpopisa"/>
        <w:numPr>
          <w:ilvl w:val="1"/>
          <w:numId w:val="19"/>
        </w:numPr>
        <w:spacing w:after="0" w:line="259" w:lineRule="auto"/>
        <w:ind w:left="833"/>
        <w:jc w:val="both"/>
        <w:rPr>
          <w:rFonts w:ascii="Arial" w:hAnsi="Arial" w:cs="Arial"/>
          <w:szCs w:val="22"/>
        </w:rPr>
      </w:pPr>
      <w:r w:rsidRPr="00A662C0">
        <w:rPr>
          <w:rFonts w:ascii="Arial" w:hAnsi="Arial" w:cs="Arial"/>
          <w:szCs w:val="22"/>
        </w:rPr>
        <w:t>Prihod iz državnog proračuna za rashode zaposlenih povećava se za 13.000,00 eura, odnosno s dosadašnjih 1.401.100,00 eura na 1.414.100,00 eura.</w:t>
      </w:r>
      <w:r w:rsidRPr="00A662C0">
        <w:rPr>
          <w:rFonts w:ascii="Arial" w:hAnsi="Arial" w:cs="Arial"/>
          <w:szCs w:val="22"/>
        </w:rPr>
        <w:br/>
        <w:t>Ovo povećanje rezultat je povećanja osnovice za obračun plaće, što je doneseno u sklopu kolektivnih pregovora i primjenjuje se na sve zaposlenike u javnim službama. Uz prethodno povećanje temeljem Uredbe o koeficijentima (NN 22/2024), sada je dodatno povećanje vezano isključivo uz promjenu osnovice, čime se usklađuje ukupan prihod za rashode zaposlenih s novim obračunima plaća.</w:t>
      </w:r>
    </w:p>
    <w:p w14:paraId="2EF071BE" w14:textId="77777777" w:rsidR="00863D50" w:rsidRPr="00A662C0" w:rsidRDefault="00863D50">
      <w:pPr>
        <w:pStyle w:val="Odlomakpopisa"/>
        <w:numPr>
          <w:ilvl w:val="1"/>
          <w:numId w:val="19"/>
        </w:numPr>
        <w:spacing w:after="0" w:line="259" w:lineRule="auto"/>
        <w:ind w:left="833"/>
        <w:jc w:val="both"/>
        <w:rPr>
          <w:rFonts w:ascii="Arial" w:hAnsi="Arial" w:cs="Arial"/>
          <w:szCs w:val="22"/>
        </w:rPr>
      </w:pPr>
      <w:r w:rsidRPr="00A662C0">
        <w:rPr>
          <w:rFonts w:ascii="Arial" w:hAnsi="Arial" w:cs="Arial"/>
          <w:szCs w:val="22"/>
        </w:rPr>
        <w:t>Tekuće pomoći proračunskim korisnicima iz proračuna koji im nije nadležan ukupno iznosi 204.716,00 eura, a sastoji se od:</w:t>
      </w:r>
    </w:p>
    <w:p w14:paraId="59485A3E" w14:textId="77777777" w:rsidR="00863D50" w:rsidRPr="00A662C0" w:rsidRDefault="00863D50">
      <w:pPr>
        <w:pStyle w:val="Odlomakpopisa"/>
        <w:numPr>
          <w:ilvl w:val="0"/>
          <w:numId w:val="20"/>
        </w:numPr>
        <w:spacing w:after="0" w:line="259" w:lineRule="auto"/>
        <w:jc w:val="both"/>
        <w:rPr>
          <w:rFonts w:ascii="Arial" w:hAnsi="Arial" w:cs="Arial"/>
          <w:szCs w:val="22"/>
        </w:rPr>
      </w:pPr>
      <w:r w:rsidRPr="00A662C0">
        <w:rPr>
          <w:rFonts w:ascii="Arial" w:hAnsi="Arial" w:cs="Arial"/>
          <w:szCs w:val="22"/>
        </w:rPr>
        <w:t xml:space="preserve">Prihoda Općine Raša i Općine Sveta </w:t>
      </w:r>
      <w:proofErr w:type="spellStart"/>
      <w:r w:rsidRPr="00A662C0">
        <w:rPr>
          <w:rFonts w:ascii="Arial" w:hAnsi="Arial" w:cs="Arial"/>
          <w:szCs w:val="22"/>
        </w:rPr>
        <w:t>Nedelja</w:t>
      </w:r>
      <w:proofErr w:type="spellEnd"/>
      <w:r w:rsidRPr="00A662C0">
        <w:rPr>
          <w:rFonts w:ascii="Arial" w:hAnsi="Arial" w:cs="Arial"/>
          <w:szCs w:val="22"/>
        </w:rPr>
        <w:t xml:space="preserve"> za plaće u djelatnika u produženom boravku u iznosu 17.500,00 eura. Visina s</w:t>
      </w:r>
      <w:r w:rsidRPr="00A662C0">
        <w:rPr>
          <w:rStyle w:val="Naglaeno"/>
          <w:rFonts w:ascii="Arial" w:hAnsi="Arial" w:cs="Arial"/>
          <w:szCs w:val="22"/>
        </w:rPr>
        <w:t xml:space="preserve">ufinanciranja programa produženog </w:t>
      </w:r>
      <w:r w:rsidRPr="00A662C0">
        <w:rPr>
          <w:rStyle w:val="Naglaeno"/>
          <w:rFonts w:ascii="Arial" w:hAnsi="Arial" w:cs="Arial"/>
          <w:szCs w:val="22"/>
        </w:rPr>
        <w:lastRenderedPageBreak/>
        <w:t>boravka</w:t>
      </w:r>
      <w:r w:rsidRPr="00A662C0">
        <w:rPr>
          <w:rFonts w:ascii="Arial" w:hAnsi="Arial" w:cs="Arial"/>
          <w:b/>
          <w:bCs/>
          <w:szCs w:val="22"/>
        </w:rPr>
        <w:t xml:space="preserve"> </w:t>
      </w:r>
      <w:r w:rsidRPr="00A662C0">
        <w:rPr>
          <w:rFonts w:ascii="Arial" w:hAnsi="Arial" w:cs="Arial"/>
          <w:szCs w:val="22"/>
        </w:rPr>
        <w:t>razmjerna je</w:t>
      </w:r>
      <w:r w:rsidRPr="00A662C0">
        <w:rPr>
          <w:rFonts w:ascii="Arial" w:hAnsi="Arial" w:cs="Arial"/>
          <w:b/>
          <w:bCs/>
          <w:szCs w:val="22"/>
        </w:rPr>
        <w:t xml:space="preserve"> </w:t>
      </w:r>
      <w:r w:rsidRPr="00A662C0">
        <w:rPr>
          <w:rStyle w:val="Naglaeno"/>
          <w:rFonts w:ascii="Arial" w:hAnsi="Arial" w:cs="Arial"/>
          <w:szCs w:val="22"/>
        </w:rPr>
        <w:t>broju djece uključenih u produženi boravak s područja</w:t>
      </w:r>
      <w:r w:rsidRPr="00A662C0">
        <w:rPr>
          <w:rFonts w:ascii="Arial" w:hAnsi="Arial" w:cs="Arial"/>
          <w:szCs w:val="22"/>
        </w:rPr>
        <w:t xml:space="preserve"> navedenih općina.</w:t>
      </w:r>
    </w:p>
    <w:p w14:paraId="47BADCA8" w14:textId="77777777" w:rsidR="00863D50" w:rsidRPr="00A662C0" w:rsidRDefault="00863D50">
      <w:pPr>
        <w:pStyle w:val="Odlomakpopisa"/>
        <w:numPr>
          <w:ilvl w:val="0"/>
          <w:numId w:val="20"/>
        </w:numPr>
        <w:spacing w:after="0" w:line="259" w:lineRule="auto"/>
        <w:jc w:val="both"/>
        <w:rPr>
          <w:rFonts w:ascii="Arial" w:hAnsi="Arial" w:cs="Arial"/>
          <w:szCs w:val="22"/>
        </w:rPr>
      </w:pPr>
      <w:r w:rsidRPr="00A662C0">
        <w:rPr>
          <w:rFonts w:ascii="Arial" w:hAnsi="Arial" w:cs="Arial"/>
          <w:szCs w:val="22"/>
        </w:rPr>
        <w:t>Prihoda iz državnog proračuna,  Ministarstvo znanosti, obrazovanja i mladih (MZOM) za prehranu učenika u iznosu od 80.000,00 eura, 5.966,00 za pokriće manjka koji se odnosi na rashode iz prosinca 2024., a čija refundacija je bila u siječnju 2025. Sredstva su dodijeljena prema Odluci Vlade Republike Hrvatske o financiranju školske prehrane učenika osnovnih škola. Iznos od 820,00 eura odnosi se na dodijeljena sredstva za nabavu osnovnih higijenskih sredstava za učenike i škole, sukladno propisanim standardima zaštite zdravlja i higijene u obrazovnim ustanovama.</w:t>
      </w:r>
    </w:p>
    <w:p w14:paraId="66AFF497" w14:textId="77777777" w:rsidR="00863D50" w:rsidRPr="00A662C0" w:rsidRDefault="00863D50">
      <w:pPr>
        <w:pStyle w:val="Odlomakpopisa"/>
        <w:numPr>
          <w:ilvl w:val="0"/>
          <w:numId w:val="20"/>
        </w:numPr>
        <w:spacing w:after="0" w:line="259" w:lineRule="auto"/>
        <w:jc w:val="both"/>
        <w:rPr>
          <w:rFonts w:ascii="Arial" w:hAnsi="Arial" w:cs="Arial"/>
          <w:szCs w:val="22"/>
        </w:rPr>
      </w:pPr>
      <w:r w:rsidRPr="00A662C0">
        <w:rPr>
          <w:rFonts w:ascii="Arial" w:hAnsi="Arial" w:cs="Arial"/>
          <w:szCs w:val="22"/>
        </w:rPr>
        <w:t>Prihodi iz državnog proračuna za dodatne aktivnosti učenika i osoblja te izvan nastavnih projekata planirani su u iznosu od 21.230,00 za nabavku udžbenika, nastavnih sredstava, mentorstva učitelja.</w:t>
      </w:r>
    </w:p>
    <w:p w14:paraId="074743B6" w14:textId="77777777" w:rsidR="00863D50" w:rsidRPr="00A662C0" w:rsidRDefault="00863D50">
      <w:pPr>
        <w:pStyle w:val="Odlomakpopisa"/>
        <w:numPr>
          <w:ilvl w:val="0"/>
          <w:numId w:val="20"/>
        </w:numPr>
        <w:spacing w:after="0" w:line="259" w:lineRule="auto"/>
        <w:rPr>
          <w:rFonts w:ascii="Arial" w:hAnsi="Arial" w:cs="Arial"/>
          <w:szCs w:val="22"/>
        </w:rPr>
      </w:pPr>
      <w:r w:rsidRPr="00A662C0">
        <w:rPr>
          <w:rFonts w:ascii="Arial" w:hAnsi="Arial" w:cs="Arial"/>
          <w:szCs w:val="22"/>
        </w:rPr>
        <w:t>Prihodi iz županijskog proračuna planirani su u visini 5.150,00 eura.</w:t>
      </w:r>
      <w:r w:rsidRPr="00A662C0">
        <w:rPr>
          <w:rFonts w:ascii="Times New Roman" w:eastAsiaTheme="minorHAnsi" w:hAnsi="Times New Roman" w:cstheme="minorBidi"/>
          <w:szCs w:val="22"/>
        </w:rPr>
        <w:t xml:space="preserve"> </w:t>
      </w:r>
      <w:r w:rsidRPr="00A662C0">
        <w:rPr>
          <w:rFonts w:ascii="Arial" w:hAnsi="Arial" w:cs="Arial"/>
          <w:szCs w:val="22"/>
        </w:rPr>
        <w:t>Sredstva služe za refundaciju rashoda vezanih uz županijska natjecanja i zavičajnu nastavu.</w:t>
      </w:r>
      <w:r w:rsidRPr="00A662C0">
        <w:rPr>
          <w:rFonts w:ascii="Arial" w:hAnsi="Arial" w:cs="Arial"/>
          <w:szCs w:val="22"/>
        </w:rPr>
        <w:br/>
      </w:r>
    </w:p>
    <w:p w14:paraId="53FD6473" w14:textId="77777777" w:rsidR="00863D50" w:rsidRPr="00A662C0" w:rsidRDefault="00863D50">
      <w:pPr>
        <w:pStyle w:val="Odlomakpopisa"/>
        <w:numPr>
          <w:ilvl w:val="1"/>
          <w:numId w:val="19"/>
        </w:numPr>
        <w:spacing w:after="0" w:line="259" w:lineRule="auto"/>
        <w:ind w:left="833"/>
        <w:jc w:val="both"/>
        <w:rPr>
          <w:rFonts w:ascii="Arial" w:hAnsi="Arial" w:cs="Arial"/>
          <w:szCs w:val="22"/>
        </w:rPr>
      </w:pPr>
      <w:r w:rsidRPr="00A662C0">
        <w:rPr>
          <w:rFonts w:ascii="Arial" w:hAnsi="Arial" w:cs="Arial"/>
          <w:szCs w:val="22"/>
        </w:rPr>
        <w:t>Tekuće pomoći iz proračuna fondova EU za pomoćnike u nastavi iznose 74.050,00 eura. Planirani su prihodi za financiranje rashoda zaposlenih pomoćnika u nastavi</w:t>
      </w:r>
      <w:r w:rsidRPr="00A662C0">
        <w:rPr>
          <w:rFonts w:ascii="Arial" w:hAnsi="Arial" w:cs="Arial"/>
          <w:szCs w:val="22"/>
          <w:lang w:val="en-GB"/>
        </w:rPr>
        <w:t xml:space="preserve"> </w:t>
      </w:r>
      <w:r w:rsidRPr="00A662C0">
        <w:rPr>
          <w:rFonts w:ascii="Arial" w:hAnsi="Arial" w:cs="Arial"/>
          <w:szCs w:val="22"/>
        </w:rPr>
        <w:t>namijenjena su za: isplatu plaća pomoćnicima u nastavi, troškove doprinosa i drugih obveza po osnovi rada, eventualne edukacije i stručnu podršku uključenim djelatnicima. Financiranje se provodi sukladno propisima i pravilnicima koji reguliraju zapošljavanje pomoćnika u nastavi, a temelji se na verificiranim potrebama škole i odobrenju nadležnog ministarstva te tijela koja upravljaju EU sredstvima.</w:t>
      </w:r>
    </w:p>
    <w:p w14:paraId="3B03669F" w14:textId="77777777" w:rsidR="00863D50" w:rsidRDefault="00863D50" w:rsidP="00A662C0">
      <w:pPr>
        <w:pStyle w:val="Odlomakpopisa"/>
        <w:spacing w:after="0" w:line="259" w:lineRule="auto"/>
        <w:jc w:val="both"/>
        <w:rPr>
          <w:rFonts w:ascii="Arial" w:hAnsi="Arial" w:cs="Arial"/>
          <w:b/>
          <w:szCs w:val="22"/>
        </w:rPr>
      </w:pPr>
    </w:p>
    <w:p w14:paraId="0C84A93F" w14:textId="77777777" w:rsidR="00863D50" w:rsidRPr="00A662C0" w:rsidRDefault="00863D50">
      <w:pPr>
        <w:pStyle w:val="Odlomakpopisa"/>
        <w:numPr>
          <w:ilvl w:val="0"/>
          <w:numId w:val="19"/>
        </w:numPr>
        <w:spacing w:after="0" w:line="259" w:lineRule="auto"/>
        <w:jc w:val="both"/>
        <w:rPr>
          <w:rFonts w:ascii="Arial" w:hAnsi="Arial" w:cs="Arial"/>
          <w:szCs w:val="22"/>
        </w:rPr>
      </w:pPr>
      <w:r w:rsidRPr="00A662C0">
        <w:rPr>
          <w:rFonts w:ascii="Arial" w:hAnsi="Arial" w:cs="Arial"/>
          <w:b/>
          <w:szCs w:val="22"/>
        </w:rPr>
        <w:t>65 Prihodi od upravnih i administrativnih pristojbi po posebnim propisima i naknada</w:t>
      </w:r>
    </w:p>
    <w:p w14:paraId="585D944D" w14:textId="77777777" w:rsidR="00863D50" w:rsidRPr="00A662C0" w:rsidRDefault="00863D50" w:rsidP="00A662C0">
      <w:pPr>
        <w:pStyle w:val="Odlomakpopisa"/>
        <w:spacing w:after="0" w:line="259" w:lineRule="auto"/>
        <w:jc w:val="both"/>
        <w:rPr>
          <w:rFonts w:ascii="Arial" w:hAnsi="Arial" w:cs="Arial"/>
          <w:szCs w:val="22"/>
        </w:rPr>
      </w:pPr>
      <w:r w:rsidRPr="00A662C0">
        <w:rPr>
          <w:rFonts w:ascii="Arial" w:hAnsi="Arial" w:cs="Arial"/>
          <w:szCs w:val="22"/>
        </w:rPr>
        <w:t>Ova stavka obuhvaća prihode koje škola ostvaruje od roditelja za sufinanciranje programa produženog boravka učenika. Prema važećim pravilnicima i odlukama Školskog odbora, roditelji participiraju u troškovima programa, a visina mjesečne naknade utvrđena je sukladno uvjetima i potrebama škole.</w:t>
      </w:r>
    </w:p>
    <w:p w14:paraId="190F3394" w14:textId="77777777" w:rsidR="00863D50" w:rsidRPr="00A662C0" w:rsidRDefault="00863D50" w:rsidP="00A662C0">
      <w:pPr>
        <w:pStyle w:val="Odlomakpopisa"/>
        <w:spacing w:after="0" w:line="259" w:lineRule="auto"/>
        <w:jc w:val="both"/>
        <w:rPr>
          <w:rFonts w:ascii="Arial" w:hAnsi="Arial" w:cs="Arial"/>
          <w:szCs w:val="22"/>
        </w:rPr>
      </w:pPr>
      <w:r w:rsidRPr="00A662C0">
        <w:rPr>
          <w:rFonts w:ascii="Arial" w:hAnsi="Arial" w:cs="Arial"/>
          <w:szCs w:val="22"/>
        </w:rPr>
        <w:t>Ukupni planirani iznos prihoda za 2025. godinu iznosi 77.750,00 eura.</w:t>
      </w:r>
    </w:p>
    <w:p w14:paraId="773A73ED" w14:textId="77777777" w:rsidR="00863D50" w:rsidRPr="00A662C0" w:rsidRDefault="00863D50" w:rsidP="00A662C0">
      <w:pPr>
        <w:pStyle w:val="Odlomakpopisa"/>
        <w:spacing w:after="0" w:line="259" w:lineRule="auto"/>
        <w:jc w:val="both"/>
        <w:rPr>
          <w:rFonts w:ascii="Arial" w:hAnsi="Arial" w:cs="Arial"/>
          <w:szCs w:val="22"/>
        </w:rPr>
      </w:pPr>
      <w:r w:rsidRPr="00A662C0">
        <w:rPr>
          <w:rFonts w:ascii="Arial" w:hAnsi="Arial" w:cs="Arial"/>
          <w:szCs w:val="22"/>
        </w:rPr>
        <w:t>Ova sredstva koriste se za djelomično pokriće rashoda za plaće djelatnika, nabavu materijala, organizaciju aktivnosti i osiguravanje uvjeta za kvalitetno provođenje programa produženog boravka.</w:t>
      </w:r>
    </w:p>
    <w:p w14:paraId="187E5006" w14:textId="77777777" w:rsidR="00863D50" w:rsidRPr="00A662C0" w:rsidRDefault="00863D50" w:rsidP="00A662C0">
      <w:pPr>
        <w:pStyle w:val="Odlomakpopisa"/>
        <w:spacing w:after="0" w:line="259" w:lineRule="auto"/>
        <w:jc w:val="both"/>
        <w:rPr>
          <w:rFonts w:ascii="Arial" w:hAnsi="Arial" w:cs="Arial"/>
          <w:color w:val="FF0000"/>
          <w:szCs w:val="22"/>
        </w:rPr>
      </w:pPr>
    </w:p>
    <w:p w14:paraId="40D0B2A6" w14:textId="77777777" w:rsidR="00863D50" w:rsidRPr="00A662C0" w:rsidRDefault="00863D50">
      <w:pPr>
        <w:pStyle w:val="Odlomakpopisa"/>
        <w:numPr>
          <w:ilvl w:val="0"/>
          <w:numId w:val="19"/>
        </w:numPr>
        <w:spacing w:after="0" w:line="259" w:lineRule="auto"/>
        <w:jc w:val="both"/>
        <w:rPr>
          <w:rFonts w:ascii="Arial" w:hAnsi="Arial" w:cs="Arial"/>
          <w:b/>
          <w:szCs w:val="22"/>
        </w:rPr>
      </w:pPr>
      <w:r w:rsidRPr="00A662C0">
        <w:rPr>
          <w:rFonts w:ascii="Arial" w:hAnsi="Arial" w:cs="Arial"/>
          <w:b/>
          <w:szCs w:val="22"/>
        </w:rPr>
        <w:t>66 Prihodi od prodaje proizvoda i robe te pruženih usluga i prihoda od donacija</w:t>
      </w:r>
    </w:p>
    <w:p w14:paraId="21625430" w14:textId="77777777" w:rsidR="00863D50" w:rsidRPr="00A662C0" w:rsidRDefault="00863D50" w:rsidP="00A662C0">
      <w:pPr>
        <w:spacing w:line="259" w:lineRule="auto"/>
        <w:jc w:val="both"/>
        <w:rPr>
          <w:rFonts w:ascii="Arial" w:hAnsi="Arial" w:cs="Arial"/>
          <w:b/>
          <w:sz w:val="22"/>
          <w:szCs w:val="22"/>
        </w:rPr>
      </w:pPr>
      <w:r w:rsidRPr="00A662C0">
        <w:rPr>
          <w:rFonts w:ascii="Arial" w:hAnsi="Arial" w:cs="Arial"/>
          <w:sz w:val="22"/>
          <w:szCs w:val="22"/>
        </w:rPr>
        <w:t>Prihodi od prodaje proizvoda i robe te pruženih usluga odnose se na iznajmljivanje školske sportske dvorane i prostorija škole te krovne površine za solarne panele izmjenama plana povećavaju se sa 2.000,00 eura na 3.500,00 eura radi redovite naplate i popunjenosti prostora u popodnevnim satima.</w:t>
      </w:r>
    </w:p>
    <w:p w14:paraId="54446CA9" w14:textId="77777777" w:rsidR="00863D50" w:rsidRDefault="00863D50" w:rsidP="00A662C0">
      <w:pPr>
        <w:spacing w:line="259" w:lineRule="auto"/>
        <w:jc w:val="both"/>
        <w:rPr>
          <w:rFonts w:ascii="Arial" w:hAnsi="Arial" w:cs="Arial"/>
          <w:sz w:val="22"/>
          <w:szCs w:val="22"/>
        </w:rPr>
      </w:pPr>
      <w:r w:rsidRPr="00A662C0">
        <w:rPr>
          <w:rFonts w:ascii="Arial" w:hAnsi="Arial" w:cs="Arial"/>
          <w:sz w:val="22"/>
          <w:szCs w:val="22"/>
        </w:rPr>
        <w:t>Prihodi od donacija fizičkih i pravnih osoba za</w:t>
      </w:r>
      <w:r w:rsidRPr="00A662C0">
        <w:rPr>
          <w:rFonts w:ascii="Arial" w:eastAsia="Calibri" w:hAnsi="Arial" w:cs="Arial"/>
          <w:sz w:val="22"/>
          <w:szCs w:val="22"/>
          <w:lang w:val="en-GB"/>
        </w:rPr>
        <w:t xml:space="preserve"> </w:t>
      </w:r>
      <w:r w:rsidRPr="00A662C0">
        <w:rPr>
          <w:rFonts w:ascii="Arial" w:hAnsi="Arial" w:cs="Arial"/>
          <w:sz w:val="22"/>
          <w:szCs w:val="22"/>
        </w:rPr>
        <w:t>o</w:t>
      </w:r>
      <w:r w:rsidRPr="00A662C0">
        <w:rPr>
          <w:rFonts w:ascii="Arial" w:eastAsia="Calibri" w:hAnsi="Arial" w:cs="Arial"/>
          <w:sz w:val="22"/>
          <w:szCs w:val="22"/>
        </w:rPr>
        <w:t>premanje učionica i kabineta,</w:t>
      </w:r>
      <w:r w:rsidRPr="00A662C0">
        <w:rPr>
          <w:rFonts w:ascii="Arial" w:hAnsi="Arial" w:cs="Arial"/>
          <w:sz w:val="22"/>
          <w:szCs w:val="22"/>
        </w:rPr>
        <w:t xml:space="preserve"> </w:t>
      </w:r>
      <w:r w:rsidRPr="00A662C0">
        <w:rPr>
          <w:rFonts w:ascii="Arial" w:eastAsia="Calibri" w:hAnsi="Arial" w:cs="Arial"/>
          <w:sz w:val="22"/>
          <w:szCs w:val="22"/>
        </w:rPr>
        <w:t xml:space="preserve"> organizaciju školskih manifestacija i </w:t>
      </w:r>
      <w:r w:rsidRPr="00A662C0">
        <w:rPr>
          <w:rFonts w:ascii="Arial" w:hAnsi="Arial" w:cs="Arial"/>
          <w:sz w:val="22"/>
          <w:szCs w:val="22"/>
        </w:rPr>
        <w:t>izvan učioničkih</w:t>
      </w:r>
      <w:r w:rsidRPr="00A662C0">
        <w:rPr>
          <w:rFonts w:ascii="Arial" w:eastAsia="Calibri" w:hAnsi="Arial" w:cs="Arial"/>
          <w:sz w:val="22"/>
          <w:szCs w:val="22"/>
        </w:rPr>
        <w:t xml:space="preserve"> aktivnosti,</w:t>
      </w:r>
      <w:r w:rsidRPr="00A662C0">
        <w:rPr>
          <w:rFonts w:ascii="Arial" w:hAnsi="Arial" w:cs="Arial"/>
          <w:sz w:val="22"/>
          <w:szCs w:val="22"/>
        </w:rPr>
        <w:t xml:space="preserve"> </w:t>
      </w:r>
      <w:r w:rsidRPr="00A662C0">
        <w:rPr>
          <w:rFonts w:ascii="Arial" w:eastAsia="Calibri" w:hAnsi="Arial" w:cs="Arial"/>
          <w:sz w:val="22"/>
          <w:szCs w:val="22"/>
        </w:rPr>
        <w:t>podršku socijalno ugroženim učenicima</w:t>
      </w:r>
      <w:r w:rsidRPr="00A662C0">
        <w:rPr>
          <w:rFonts w:ascii="Arial" w:hAnsi="Arial" w:cs="Arial"/>
          <w:sz w:val="22"/>
          <w:szCs w:val="22"/>
        </w:rPr>
        <w:t xml:space="preserve"> i drugo. Izmjenama plana povećavaju se sa 1.000,00 eura na 5.000,00 eura radi donacije tvrtke Maslinica za radove na sanaciji zidova u područnoj školi Rabac.</w:t>
      </w:r>
    </w:p>
    <w:p w14:paraId="31359BAF" w14:textId="77777777" w:rsidR="00A662C0" w:rsidRPr="00A662C0" w:rsidRDefault="00A662C0" w:rsidP="00A662C0">
      <w:pPr>
        <w:spacing w:line="259" w:lineRule="auto"/>
        <w:jc w:val="both"/>
        <w:rPr>
          <w:rFonts w:ascii="Arial" w:hAnsi="Arial" w:cs="Arial"/>
          <w:b/>
          <w:sz w:val="22"/>
          <w:szCs w:val="22"/>
        </w:rPr>
      </w:pPr>
    </w:p>
    <w:p w14:paraId="60096436" w14:textId="77777777" w:rsidR="00863D50" w:rsidRPr="00A662C0" w:rsidRDefault="00863D50">
      <w:pPr>
        <w:pStyle w:val="Odlomakpopisa"/>
        <w:numPr>
          <w:ilvl w:val="0"/>
          <w:numId w:val="19"/>
        </w:numPr>
        <w:spacing w:after="0" w:line="259" w:lineRule="auto"/>
        <w:jc w:val="both"/>
        <w:rPr>
          <w:rFonts w:ascii="Arial" w:hAnsi="Arial" w:cs="Arial"/>
          <w:b/>
          <w:szCs w:val="22"/>
        </w:rPr>
      </w:pPr>
      <w:r w:rsidRPr="00A662C0">
        <w:rPr>
          <w:rFonts w:ascii="Arial" w:hAnsi="Arial" w:cs="Arial"/>
          <w:b/>
          <w:szCs w:val="22"/>
        </w:rPr>
        <w:t>67 Prihodi iz nadležnog proračuna</w:t>
      </w:r>
    </w:p>
    <w:p w14:paraId="63565D22" w14:textId="77777777" w:rsidR="00863D50" w:rsidRPr="00A662C0" w:rsidRDefault="00863D50" w:rsidP="00A662C0">
      <w:pPr>
        <w:spacing w:line="259" w:lineRule="auto"/>
        <w:jc w:val="both"/>
        <w:rPr>
          <w:rFonts w:ascii="Arial" w:hAnsi="Arial" w:cs="Arial"/>
          <w:bCs/>
          <w:sz w:val="22"/>
          <w:szCs w:val="22"/>
        </w:rPr>
      </w:pPr>
      <w:r w:rsidRPr="00A662C0">
        <w:rPr>
          <w:rFonts w:ascii="Arial" w:hAnsi="Arial" w:cs="Arial"/>
          <w:bCs/>
          <w:sz w:val="22"/>
          <w:szCs w:val="22"/>
        </w:rPr>
        <w:t xml:space="preserve">Prihodi iz nadležnog proračuna obuhvaćaju sredstva Grada Labina te prihode po osnovi decentraliziranih funkcija. Za 2025. godinu planirani su u ukupnom iznosu od 314.086,00 eura. Ova sredstva namijenjena su financiranju rashoda redovne djelatnosti Škole, uključujući plaće djelatnika u produženom boravku, pomoćnika u nastavi, materijalnih rashoda te program </w:t>
      </w:r>
      <w:r w:rsidRPr="00A662C0">
        <w:rPr>
          <w:rFonts w:ascii="Arial" w:hAnsi="Arial" w:cs="Arial"/>
          <w:bCs/>
          <w:sz w:val="22"/>
          <w:szCs w:val="22"/>
        </w:rPr>
        <w:lastRenderedPageBreak/>
        <w:t>Građanskog odgoja. Također služe za pokriće metodološkog manjka općih prihoda u iznosu 9.790,00 i prihoda iz decentraliziranih sredstava u iznosu 695,00 eura.</w:t>
      </w:r>
    </w:p>
    <w:p w14:paraId="033FC250" w14:textId="77777777" w:rsidR="00863D50" w:rsidRDefault="00863D50" w:rsidP="00A662C0">
      <w:pPr>
        <w:spacing w:line="259" w:lineRule="auto"/>
        <w:rPr>
          <w:rFonts w:ascii="Arial" w:hAnsi="Arial" w:cs="Arial"/>
          <w:b/>
          <w:color w:val="FF0000"/>
          <w:sz w:val="22"/>
          <w:szCs w:val="22"/>
          <w:u w:val="single"/>
        </w:rPr>
      </w:pPr>
    </w:p>
    <w:p w14:paraId="7C3D0F72" w14:textId="77777777" w:rsidR="00A662C0" w:rsidRPr="00A662C0" w:rsidRDefault="00A662C0" w:rsidP="00A662C0">
      <w:pPr>
        <w:spacing w:line="259" w:lineRule="auto"/>
        <w:rPr>
          <w:rFonts w:ascii="Arial" w:hAnsi="Arial" w:cs="Arial"/>
          <w:b/>
          <w:color w:val="FF0000"/>
          <w:sz w:val="22"/>
          <w:szCs w:val="22"/>
          <w:u w:val="single"/>
        </w:rPr>
      </w:pPr>
    </w:p>
    <w:p w14:paraId="400E2C30" w14:textId="77777777" w:rsidR="00863D50" w:rsidRDefault="00863D50" w:rsidP="00A662C0">
      <w:pPr>
        <w:spacing w:line="259" w:lineRule="auto"/>
        <w:rPr>
          <w:rFonts w:ascii="Arial" w:hAnsi="Arial" w:cs="Arial"/>
          <w:b/>
          <w:sz w:val="22"/>
          <w:szCs w:val="22"/>
          <w:u w:val="single"/>
        </w:rPr>
      </w:pPr>
      <w:r w:rsidRPr="00A662C0">
        <w:rPr>
          <w:rFonts w:ascii="Arial" w:hAnsi="Arial" w:cs="Arial"/>
          <w:b/>
          <w:sz w:val="22"/>
          <w:szCs w:val="22"/>
          <w:u w:val="single"/>
        </w:rPr>
        <w:t>Obrazloženje rashoda i izdataka</w:t>
      </w:r>
    </w:p>
    <w:p w14:paraId="21166923" w14:textId="77777777" w:rsidR="00A662C0" w:rsidRPr="00A662C0" w:rsidRDefault="00A662C0" w:rsidP="00A662C0">
      <w:pPr>
        <w:spacing w:line="259" w:lineRule="auto"/>
        <w:rPr>
          <w:rFonts w:ascii="Arial" w:hAnsi="Arial" w:cs="Arial"/>
          <w:b/>
          <w:sz w:val="22"/>
          <w:szCs w:val="22"/>
          <w:u w:val="single"/>
        </w:rPr>
      </w:pPr>
    </w:p>
    <w:p w14:paraId="7AC1FEF5" w14:textId="77777777" w:rsidR="00863D50" w:rsidRDefault="00863D50" w:rsidP="00A662C0">
      <w:pPr>
        <w:spacing w:line="259" w:lineRule="auto"/>
        <w:jc w:val="both"/>
        <w:rPr>
          <w:rFonts w:ascii="Arial" w:hAnsi="Arial" w:cs="Arial"/>
          <w:sz w:val="22"/>
          <w:szCs w:val="22"/>
        </w:rPr>
      </w:pPr>
      <w:r w:rsidRPr="00A662C0">
        <w:rPr>
          <w:rFonts w:ascii="Arial" w:hAnsi="Arial" w:cs="Arial"/>
          <w:sz w:val="22"/>
          <w:szCs w:val="22"/>
        </w:rPr>
        <w:t xml:space="preserve">Rashodi i izdaci poslovanja planirani su visini 1.957.756,00 eura te se izmjenama plana povećavaju na 2.013.898 eura. </w:t>
      </w:r>
    </w:p>
    <w:p w14:paraId="5DF565C4" w14:textId="77777777" w:rsidR="000A0BF4" w:rsidRPr="00A662C0" w:rsidRDefault="000A0BF4" w:rsidP="00A662C0">
      <w:pPr>
        <w:spacing w:line="259" w:lineRule="auto"/>
        <w:jc w:val="both"/>
        <w:rPr>
          <w:rFonts w:ascii="Arial" w:hAnsi="Arial" w:cs="Arial"/>
          <w:sz w:val="22"/>
          <w:szCs w:val="22"/>
        </w:rPr>
      </w:pPr>
    </w:p>
    <w:p w14:paraId="7F5F05D2" w14:textId="77777777" w:rsidR="00863D50" w:rsidRDefault="00863D50" w:rsidP="00A662C0">
      <w:pPr>
        <w:spacing w:line="259" w:lineRule="auto"/>
        <w:jc w:val="both"/>
        <w:rPr>
          <w:rFonts w:ascii="Arial" w:hAnsi="Arial" w:cs="Arial"/>
          <w:bCs/>
          <w:sz w:val="22"/>
          <w:szCs w:val="22"/>
        </w:rPr>
      </w:pPr>
      <w:r w:rsidRPr="00A662C0">
        <w:rPr>
          <w:rFonts w:ascii="Arial" w:hAnsi="Arial" w:cs="Arial"/>
          <w:b/>
          <w:sz w:val="22"/>
          <w:szCs w:val="22"/>
        </w:rPr>
        <w:t>31 Rashodi za zaposlene</w:t>
      </w:r>
      <w:r w:rsidRPr="00A662C0">
        <w:rPr>
          <w:rFonts w:ascii="Arial" w:hAnsi="Arial" w:cs="Arial"/>
          <w:bCs/>
          <w:sz w:val="22"/>
          <w:szCs w:val="22"/>
        </w:rPr>
        <w:t xml:space="preserve"> planirani su visini 1.611.210,00 eura te se izmjenama plana povećavaju na 1.641.160 eura. Do povećanja dolazi povećanjem osnovice za obračun plaće, temeljem važećih kolektivnih ugovora i odluka Vlade RH, povećanjem materijalnih prava zaposlenih, što uključuje troškove prijevoza, dodataka, božićnica, regresa i drugih, troškova zamjena za odsutne djelatnike, prvenstveno zbog porodiljnih i roditeljskih dopusta, gdje je potrebno angažirati zamjene kako bi se osigurao nesmetan odgojno-obrazovni proces.</w:t>
      </w:r>
    </w:p>
    <w:p w14:paraId="0F17A01F" w14:textId="77777777" w:rsidR="000A0BF4" w:rsidRPr="00A662C0" w:rsidRDefault="000A0BF4" w:rsidP="00A662C0">
      <w:pPr>
        <w:spacing w:line="259" w:lineRule="auto"/>
        <w:jc w:val="both"/>
        <w:rPr>
          <w:rFonts w:ascii="Arial" w:hAnsi="Arial" w:cs="Arial"/>
          <w:sz w:val="22"/>
          <w:szCs w:val="22"/>
        </w:rPr>
      </w:pPr>
    </w:p>
    <w:p w14:paraId="7B6F3D33" w14:textId="77777777" w:rsidR="00863D50" w:rsidRPr="00A662C0" w:rsidRDefault="00863D50" w:rsidP="00A662C0">
      <w:pPr>
        <w:spacing w:line="259" w:lineRule="auto"/>
        <w:jc w:val="both"/>
        <w:rPr>
          <w:rFonts w:ascii="Arial" w:hAnsi="Arial" w:cs="Arial"/>
          <w:sz w:val="22"/>
          <w:szCs w:val="22"/>
        </w:rPr>
      </w:pPr>
      <w:r w:rsidRPr="00A662C0">
        <w:rPr>
          <w:rFonts w:ascii="Arial" w:hAnsi="Arial" w:cs="Arial"/>
          <w:b/>
          <w:sz w:val="22"/>
          <w:szCs w:val="22"/>
        </w:rPr>
        <w:t>32 Materijalni rashodi</w:t>
      </w:r>
      <w:r w:rsidRPr="00A662C0">
        <w:rPr>
          <w:rFonts w:ascii="Arial" w:hAnsi="Arial" w:cs="Arial"/>
          <w:bCs/>
          <w:sz w:val="22"/>
          <w:szCs w:val="22"/>
        </w:rPr>
        <w:t xml:space="preserve"> planirani su u iznosu od 332.446,00 eura te se izmjenama plana povećavaju na 353.918,00 eura</w:t>
      </w:r>
      <w:r w:rsidRPr="00A662C0">
        <w:rPr>
          <w:rFonts w:ascii="Arial" w:hAnsi="Arial" w:cs="Arial"/>
          <w:sz w:val="22"/>
          <w:szCs w:val="22"/>
        </w:rPr>
        <w:t>, a čine ih:</w:t>
      </w:r>
    </w:p>
    <w:p w14:paraId="758BCDBA" w14:textId="77777777" w:rsidR="00863D50" w:rsidRPr="00A662C0" w:rsidRDefault="00863D50">
      <w:pPr>
        <w:pStyle w:val="Odlomakpopisa"/>
        <w:numPr>
          <w:ilvl w:val="0"/>
          <w:numId w:val="21"/>
        </w:numPr>
        <w:spacing w:after="0" w:line="259" w:lineRule="auto"/>
        <w:jc w:val="both"/>
        <w:rPr>
          <w:rFonts w:ascii="Arial" w:hAnsi="Arial" w:cs="Arial"/>
          <w:szCs w:val="22"/>
        </w:rPr>
      </w:pPr>
      <w:r w:rsidRPr="00A662C0">
        <w:rPr>
          <w:rFonts w:ascii="Arial" w:hAnsi="Arial" w:cs="Arial"/>
          <w:szCs w:val="22"/>
        </w:rPr>
        <w:t>321 Naknade troškova zaposlenima koje se odnose se na prijevoz zaposlenika, stručno usavršavanje zaposlenika te naknada za službeni put. Povećavaju se sa 50.250,00 eura na 53.550,00 radi intenzivnijeg sudjelovanja na stručnim usavršavanjima, projektima, terenskoj nastavi i natjecanjima učenika.</w:t>
      </w:r>
    </w:p>
    <w:p w14:paraId="0F6050AF" w14:textId="77777777" w:rsidR="00863D50" w:rsidRPr="00A662C0" w:rsidRDefault="00863D50">
      <w:pPr>
        <w:pStyle w:val="Odlomakpopisa"/>
        <w:numPr>
          <w:ilvl w:val="0"/>
          <w:numId w:val="21"/>
        </w:numPr>
        <w:spacing w:after="0" w:line="259" w:lineRule="auto"/>
        <w:jc w:val="both"/>
        <w:rPr>
          <w:rFonts w:ascii="Arial" w:hAnsi="Arial" w:cs="Arial"/>
          <w:szCs w:val="22"/>
        </w:rPr>
      </w:pPr>
      <w:r w:rsidRPr="00A662C0">
        <w:rPr>
          <w:rFonts w:ascii="Arial" w:hAnsi="Arial" w:cs="Arial"/>
          <w:szCs w:val="22"/>
        </w:rPr>
        <w:t>322 Rashodi za materijal i energiju izmjenama plana iznose 175.028,00 eura. Planirani će se iznos utrošiti u rashode grijanja, materijal za tekuće održavanje, uredski materijal, nastavna pomagala i drugo.</w:t>
      </w:r>
    </w:p>
    <w:p w14:paraId="7D0403A4" w14:textId="77777777" w:rsidR="00863D50" w:rsidRPr="00A662C0" w:rsidRDefault="00863D50">
      <w:pPr>
        <w:pStyle w:val="Odlomakpopisa"/>
        <w:numPr>
          <w:ilvl w:val="0"/>
          <w:numId w:val="21"/>
        </w:numPr>
        <w:spacing w:after="0" w:line="259" w:lineRule="auto"/>
        <w:jc w:val="both"/>
        <w:rPr>
          <w:rFonts w:ascii="Arial" w:hAnsi="Arial" w:cs="Arial"/>
          <w:szCs w:val="22"/>
        </w:rPr>
      </w:pPr>
      <w:r w:rsidRPr="00A662C0">
        <w:rPr>
          <w:rFonts w:ascii="Arial" w:hAnsi="Arial" w:cs="Arial"/>
          <w:szCs w:val="22"/>
        </w:rPr>
        <w:t>323 Rashodi za usluge u planiranom iznosu od 84.000,00 eura izmjenama se povećavaju na 107.000,00 eura. Rashode za usluge dijelom čine usluge prijevoza učenika školskim autobusom, usluge popravaka i tekućeg održavanja, usluge telefona i pošte, komunalne i računalne usluge. Rashodi za usluge povećavaju se uslijed većeg obujma tekućeg održavanja školskih prostora i opreme budući da se tijekom godine ukazala se potreba za dodatnim radovima koji premašuju inicijalno planirani opseg., uključujući: popravke i zamjene instalacija (vodovodnih, električnih), servisiranje i popravke školskog namještaja i opreme, dodatna čišćenja, dezinfekcija i manji građevinski zahvati. Povećanje rashoda opravdano je radi očuvanja funkcionalnosti i sigurnosti školskog prostora te osiguravanja uvjeta za nesmetano odvijanje nastave.</w:t>
      </w:r>
    </w:p>
    <w:p w14:paraId="1E0CA204" w14:textId="77777777" w:rsidR="00863D50" w:rsidRDefault="00863D50">
      <w:pPr>
        <w:pStyle w:val="Odlomakpopisa"/>
        <w:numPr>
          <w:ilvl w:val="0"/>
          <w:numId w:val="21"/>
        </w:numPr>
        <w:spacing w:after="0" w:line="259" w:lineRule="auto"/>
        <w:jc w:val="both"/>
        <w:rPr>
          <w:rFonts w:ascii="Arial" w:hAnsi="Arial" w:cs="Arial"/>
          <w:szCs w:val="22"/>
        </w:rPr>
      </w:pPr>
      <w:r w:rsidRPr="00A662C0">
        <w:rPr>
          <w:rFonts w:ascii="Arial" w:hAnsi="Arial" w:cs="Arial"/>
          <w:szCs w:val="22"/>
        </w:rPr>
        <w:t>329 Ostali nespomenuti rashodi u planiranom iznosu od 13.060 eura jesu premije osiguranja zaposlenika i imovine, članarine, naknade za nezapošljavanje invalida, te rashodi za natjecanja učenika. Izmjenama plana povećavaju se na 18.340,00 eura. Svi troškovi vezani uz izvannastavne aktivnosti učenika evidentiraju na istoj poziciji, a to uključuje rashode za sudjelovanje učenika u manifestacijama, smotrama i priredbama, izlete, kulturne i sportske aktivnosti koje nisu dio redovnog nastavnog programa, naknade vanjskim suradnicima uključenima u pojedine aktivnosti. Povećanje je rezultat većeg broja planiranih aktivnosti te proširenja ponude izvannastavnih programa, u skladu s interesima učenika i ciljevima Školskog kurikuluma.</w:t>
      </w:r>
    </w:p>
    <w:p w14:paraId="2F43D00C" w14:textId="77777777" w:rsidR="000A0BF4" w:rsidRPr="00A662C0" w:rsidRDefault="000A0BF4" w:rsidP="000A0BF4">
      <w:pPr>
        <w:pStyle w:val="Odlomakpopisa"/>
        <w:spacing w:after="0" w:line="259" w:lineRule="auto"/>
        <w:jc w:val="both"/>
        <w:rPr>
          <w:rFonts w:ascii="Arial" w:hAnsi="Arial" w:cs="Arial"/>
          <w:szCs w:val="22"/>
        </w:rPr>
      </w:pPr>
    </w:p>
    <w:p w14:paraId="65B03B9B" w14:textId="77777777" w:rsidR="00863D50" w:rsidRDefault="00863D50" w:rsidP="00A662C0">
      <w:pPr>
        <w:spacing w:line="259" w:lineRule="auto"/>
        <w:jc w:val="both"/>
        <w:rPr>
          <w:rFonts w:ascii="Arial" w:hAnsi="Arial" w:cs="Arial"/>
          <w:sz w:val="22"/>
          <w:szCs w:val="22"/>
        </w:rPr>
      </w:pPr>
      <w:r w:rsidRPr="00A662C0">
        <w:rPr>
          <w:rFonts w:ascii="Arial" w:hAnsi="Arial" w:cs="Arial"/>
          <w:b/>
          <w:bCs/>
          <w:sz w:val="22"/>
          <w:szCs w:val="22"/>
        </w:rPr>
        <w:t>37 Naknade građanima</w:t>
      </w:r>
      <w:r w:rsidRPr="00A662C0">
        <w:rPr>
          <w:rFonts w:ascii="Arial" w:hAnsi="Arial" w:cs="Arial"/>
          <w:sz w:val="22"/>
          <w:szCs w:val="22"/>
        </w:rPr>
        <w:t xml:space="preserve"> iznose 14.000 eura njima se financira kupnja obveznih udžbenika koji spadaju u radne i ne prenose se na slijedeće generacije već se rashoduju.</w:t>
      </w:r>
    </w:p>
    <w:p w14:paraId="779A028D" w14:textId="77777777" w:rsidR="000A0BF4" w:rsidRPr="00A662C0" w:rsidRDefault="000A0BF4" w:rsidP="00A662C0">
      <w:pPr>
        <w:spacing w:line="259" w:lineRule="auto"/>
        <w:jc w:val="both"/>
        <w:rPr>
          <w:rFonts w:ascii="Arial" w:hAnsi="Arial" w:cs="Arial"/>
          <w:sz w:val="22"/>
          <w:szCs w:val="22"/>
        </w:rPr>
      </w:pPr>
    </w:p>
    <w:p w14:paraId="34EBA671" w14:textId="77777777" w:rsidR="00863D50" w:rsidRPr="00A662C0" w:rsidRDefault="00863D50" w:rsidP="00A662C0">
      <w:pPr>
        <w:spacing w:line="259" w:lineRule="auto"/>
        <w:jc w:val="both"/>
        <w:rPr>
          <w:rFonts w:ascii="Arial" w:hAnsi="Arial" w:cs="Arial"/>
          <w:sz w:val="22"/>
          <w:szCs w:val="22"/>
        </w:rPr>
      </w:pPr>
      <w:r w:rsidRPr="00A662C0">
        <w:rPr>
          <w:rFonts w:ascii="Arial" w:hAnsi="Arial" w:cs="Arial"/>
          <w:b/>
          <w:sz w:val="22"/>
          <w:szCs w:val="22"/>
        </w:rPr>
        <w:t xml:space="preserve">38 Tekuće donacije </w:t>
      </w:r>
      <w:r w:rsidRPr="00A662C0">
        <w:rPr>
          <w:rFonts w:ascii="Arial" w:hAnsi="Arial" w:cs="Arial"/>
          <w:bCs/>
          <w:sz w:val="22"/>
          <w:szCs w:val="22"/>
        </w:rPr>
        <w:t>jesu sredstva dobivena Odlukom MZOM za kupnju</w:t>
      </w:r>
      <w:r w:rsidRPr="00A662C0">
        <w:rPr>
          <w:rFonts w:ascii="Arial" w:hAnsi="Arial" w:cs="Arial"/>
          <w:b/>
          <w:sz w:val="22"/>
          <w:szCs w:val="22"/>
        </w:rPr>
        <w:t xml:space="preserve"> </w:t>
      </w:r>
      <w:r w:rsidRPr="00A662C0">
        <w:rPr>
          <w:rFonts w:ascii="Arial" w:hAnsi="Arial" w:cs="Arial"/>
          <w:sz w:val="22"/>
          <w:szCs w:val="22"/>
        </w:rPr>
        <w:t>za higijenskih potrepština učenica u školi. Prema Odluci za 2025/2026 iznose 820,00 eura.</w:t>
      </w:r>
    </w:p>
    <w:p w14:paraId="204D5C3E" w14:textId="77777777" w:rsidR="000A0BF4" w:rsidRDefault="000A0BF4" w:rsidP="00A662C0">
      <w:pPr>
        <w:spacing w:line="259" w:lineRule="auto"/>
        <w:jc w:val="both"/>
        <w:rPr>
          <w:rFonts w:ascii="Arial" w:hAnsi="Arial" w:cs="Arial"/>
          <w:b/>
          <w:sz w:val="22"/>
          <w:szCs w:val="22"/>
        </w:rPr>
      </w:pPr>
    </w:p>
    <w:p w14:paraId="4F5CFD90" w14:textId="6A60D80D" w:rsidR="00863D50" w:rsidRPr="00A662C0" w:rsidRDefault="00863D50" w:rsidP="00A662C0">
      <w:pPr>
        <w:spacing w:line="259" w:lineRule="auto"/>
        <w:jc w:val="both"/>
        <w:rPr>
          <w:rFonts w:ascii="Arial" w:hAnsi="Arial" w:cs="Arial"/>
          <w:bCs/>
          <w:sz w:val="22"/>
          <w:szCs w:val="22"/>
        </w:rPr>
      </w:pPr>
      <w:r w:rsidRPr="00A662C0">
        <w:rPr>
          <w:rFonts w:ascii="Arial" w:hAnsi="Arial" w:cs="Arial"/>
          <w:b/>
          <w:sz w:val="22"/>
          <w:szCs w:val="22"/>
        </w:rPr>
        <w:lastRenderedPageBreak/>
        <w:t xml:space="preserve">4 Rashodi za nabavu nefinancijske imovine </w:t>
      </w:r>
      <w:r w:rsidRPr="00A662C0">
        <w:rPr>
          <w:rFonts w:ascii="Arial" w:hAnsi="Arial" w:cs="Arial"/>
          <w:bCs/>
          <w:sz w:val="22"/>
          <w:szCs w:val="22"/>
        </w:rPr>
        <w:t>planirani su u iznosu 6.600,00 eura te se izmjenama financijskog plana povećavaju na 10.215,00 eura. Utrošiti će se u nabavku nefinancijske imovine planirane prema sredstvima dobivenim iz projekata financiranih MZOM.</w:t>
      </w:r>
    </w:p>
    <w:p w14:paraId="23785AF6" w14:textId="77777777" w:rsidR="00863D50" w:rsidRDefault="00863D50" w:rsidP="00863D50">
      <w:pPr>
        <w:jc w:val="both"/>
        <w:rPr>
          <w:rFonts w:ascii="Arial" w:hAnsi="Arial" w:cs="Arial"/>
          <w:b/>
          <w:color w:val="FF0000"/>
          <w:sz w:val="22"/>
        </w:rPr>
      </w:pPr>
    </w:p>
    <w:p w14:paraId="5B4649F6" w14:textId="77777777" w:rsidR="00863D50" w:rsidRDefault="00863D50" w:rsidP="00863D50">
      <w:pPr>
        <w:jc w:val="both"/>
        <w:rPr>
          <w:rFonts w:ascii="Arial" w:hAnsi="Arial" w:cs="Arial"/>
          <w:b/>
          <w:sz w:val="22"/>
        </w:rPr>
      </w:pPr>
      <w:r>
        <w:rPr>
          <w:rFonts w:ascii="Arial" w:hAnsi="Arial" w:cs="Arial"/>
          <w:b/>
          <w:sz w:val="22"/>
        </w:rPr>
        <w:t xml:space="preserve">Tablica 3. Pregled prihoda i primitaka, rashoda i izdataka prema izvorima financiranja </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2940"/>
        <w:gridCol w:w="1700"/>
        <w:gridCol w:w="1280"/>
        <w:gridCol w:w="280"/>
        <w:gridCol w:w="825"/>
        <w:gridCol w:w="1360"/>
      </w:tblGrid>
      <w:tr w:rsidR="00863D50" w:rsidRPr="000A0BF4" w14:paraId="40B2509A" w14:textId="77777777" w:rsidTr="000A0BF4">
        <w:trPr>
          <w:trHeight w:val="570"/>
        </w:trPr>
        <w:tc>
          <w:tcPr>
            <w:tcW w:w="940" w:type="dxa"/>
            <w:vAlign w:val="center"/>
            <w:hideMark/>
          </w:tcPr>
          <w:p w14:paraId="32903DDB" w14:textId="77777777" w:rsidR="00863D50" w:rsidRPr="000A0BF4" w:rsidRDefault="00863D50">
            <w:pPr>
              <w:jc w:val="center"/>
              <w:rPr>
                <w:rFonts w:ascii="Arial" w:hAnsi="Arial" w:cs="Arial"/>
                <w:color w:val="000000"/>
                <w:sz w:val="16"/>
                <w:szCs w:val="16"/>
              </w:rPr>
            </w:pPr>
            <w:r w:rsidRPr="000A0BF4">
              <w:rPr>
                <w:rFonts w:ascii="Arial" w:hAnsi="Arial" w:cs="Arial"/>
                <w:color w:val="000000"/>
                <w:sz w:val="16"/>
                <w:szCs w:val="16"/>
              </w:rPr>
              <w:t>BROJ KONTA</w:t>
            </w:r>
          </w:p>
        </w:tc>
        <w:tc>
          <w:tcPr>
            <w:tcW w:w="2940" w:type="dxa"/>
            <w:vAlign w:val="center"/>
            <w:hideMark/>
          </w:tcPr>
          <w:p w14:paraId="62A1CC14" w14:textId="77777777" w:rsidR="00863D50" w:rsidRPr="000A0BF4" w:rsidRDefault="00863D50">
            <w:pPr>
              <w:jc w:val="center"/>
              <w:rPr>
                <w:rFonts w:ascii="Arial" w:hAnsi="Arial" w:cs="Arial"/>
                <w:color w:val="000000"/>
                <w:sz w:val="16"/>
                <w:szCs w:val="16"/>
              </w:rPr>
            </w:pPr>
            <w:r w:rsidRPr="000A0BF4">
              <w:rPr>
                <w:rFonts w:ascii="Arial" w:hAnsi="Arial" w:cs="Arial"/>
                <w:color w:val="000000"/>
                <w:sz w:val="16"/>
                <w:szCs w:val="16"/>
              </w:rPr>
              <w:t>VRSTA PRIHODA / PRIMITAKA</w:t>
            </w:r>
          </w:p>
        </w:tc>
        <w:tc>
          <w:tcPr>
            <w:tcW w:w="1700" w:type="dxa"/>
            <w:vAlign w:val="center"/>
            <w:hideMark/>
          </w:tcPr>
          <w:p w14:paraId="741F0D14" w14:textId="77777777" w:rsidR="00863D50" w:rsidRPr="000A0BF4" w:rsidRDefault="00863D50">
            <w:pPr>
              <w:jc w:val="center"/>
              <w:rPr>
                <w:rFonts w:ascii="Arial" w:hAnsi="Arial" w:cs="Arial"/>
                <w:color w:val="000000"/>
                <w:sz w:val="16"/>
                <w:szCs w:val="16"/>
              </w:rPr>
            </w:pPr>
            <w:r w:rsidRPr="000A0BF4">
              <w:rPr>
                <w:rFonts w:ascii="Arial" w:hAnsi="Arial" w:cs="Arial"/>
                <w:color w:val="000000"/>
                <w:sz w:val="16"/>
                <w:szCs w:val="16"/>
              </w:rPr>
              <w:t>PLANIRANO</w:t>
            </w:r>
          </w:p>
        </w:tc>
        <w:tc>
          <w:tcPr>
            <w:tcW w:w="1280" w:type="dxa"/>
            <w:vAlign w:val="center"/>
            <w:hideMark/>
          </w:tcPr>
          <w:p w14:paraId="6645B518" w14:textId="77777777" w:rsidR="00863D50" w:rsidRPr="000A0BF4" w:rsidRDefault="00863D50">
            <w:pPr>
              <w:jc w:val="center"/>
              <w:rPr>
                <w:rFonts w:ascii="Arial" w:hAnsi="Arial" w:cs="Arial"/>
                <w:color w:val="000000"/>
                <w:sz w:val="16"/>
                <w:szCs w:val="16"/>
              </w:rPr>
            </w:pPr>
            <w:r w:rsidRPr="000A0BF4">
              <w:rPr>
                <w:rFonts w:ascii="Arial" w:hAnsi="Arial" w:cs="Arial"/>
                <w:color w:val="000000"/>
                <w:sz w:val="16"/>
                <w:szCs w:val="16"/>
              </w:rPr>
              <w:t>PROMJENA IZNOS</w:t>
            </w:r>
          </w:p>
        </w:tc>
        <w:tc>
          <w:tcPr>
            <w:tcW w:w="980" w:type="dxa"/>
            <w:gridSpan w:val="2"/>
            <w:vAlign w:val="center"/>
            <w:hideMark/>
          </w:tcPr>
          <w:p w14:paraId="1B414B3D" w14:textId="77777777" w:rsidR="00863D50" w:rsidRPr="000A0BF4" w:rsidRDefault="00863D50">
            <w:pPr>
              <w:jc w:val="center"/>
              <w:rPr>
                <w:rFonts w:ascii="Arial" w:hAnsi="Arial" w:cs="Arial"/>
                <w:color w:val="000000"/>
                <w:sz w:val="16"/>
                <w:szCs w:val="16"/>
              </w:rPr>
            </w:pPr>
            <w:r w:rsidRPr="000A0BF4">
              <w:rPr>
                <w:rFonts w:ascii="Arial" w:hAnsi="Arial" w:cs="Arial"/>
                <w:color w:val="000000"/>
                <w:sz w:val="16"/>
                <w:szCs w:val="16"/>
              </w:rPr>
              <w:t>PROMJENA (%)</w:t>
            </w:r>
          </w:p>
        </w:tc>
        <w:tc>
          <w:tcPr>
            <w:tcW w:w="1360" w:type="dxa"/>
            <w:vAlign w:val="center"/>
            <w:hideMark/>
          </w:tcPr>
          <w:p w14:paraId="32F01DC1" w14:textId="77777777" w:rsidR="00863D50" w:rsidRPr="000A0BF4" w:rsidRDefault="00863D50">
            <w:pPr>
              <w:jc w:val="center"/>
              <w:rPr>
                <w:rFonts w:ascii="Arial" w:hAnsi="Arial" w:cs="Arial"/>
                <w:color w:val="000000"/>
                <w:sz w:val="16"/>
                <w:szCs w:val="16"/>
              </w:rPr>
            </w:pPr>
            <w:r w:rsidRPr="000A0BF4">
              <w:rPr>
                <w:rFonts w:ascii="Arial" w:hAnsi="Arial" w:cs="Arial"/>
                <w:color w:val="000000"/>
                <w:sz w:val="16"/>
                <w:szCs w:val="16"/>
              </w:rPr>
              <w:t>NOVI IZNOS</w:t>
            </w:r>
          </w:p>
        </w:tc>
      </w:tr>
      <w:tr w:rsidR="00863D50" w:rsidRPr="000A0BF4" w14:paraId="36E52FE1" w14:textId="77777777" w:rsidTr="000A0BF4">
        <w:trPr>
          <w:trHeight w:val="300"/>
        </w:trPr>
        <w:tc>
          <w:tcPr>
            <w:tcW w:w="940" w:type="dxa"/>
            <w:shd w:val="clear" w:color="auto" w:fill="696969"/>
            <w:vAlign w:val="center"/>
            <w:hideMark/>
          </w:tcPr>
          <w:p w14:paraId="13CAF578" w14:textId="77777777" w:rsidR="00863D50" w:rsidRPr="000A0BF4" w:rsidRDefault="00863D50">
            <w:pPr>
              <w:rPr>
                <w:rFonts w:ascii="Arial" w:hAnsi="Arial" w:cs="Arial"/>
                <w:b/>
                <w:bCs/>
                <w:color w:val="FFFFFF"/>
                <w:sz w:val="16"/>
                <w:szCs w:val="16"/>
              </w:rPr>
            </w:pPr>
            <w:r w:rsidRPr="000A0BF4">
              <w:rPr>
                <w:rFonts w:ascii="Arial" w:hAnsi="Arial" w:cs="Arial"/>
                <w:b/>
                <w:bCs/>
                <w:color w:val="FFFFFF"/>
                <w:sz w:val="16"/>
                <w:szCs w:val="16"/>
              </w:rPr>
              <w:t> </w:t>
            </w:r>
          </w:p>
        </w:tc>
        <w:tc>
          <w:tcPr>
            <w:tcW w:w="2940" w:type="dxa"/>
            <w:shd w:val="clear" w:color="auto" w:fill="696969"/>
            <w:vAlign w:val="center"/>
            <w:hideMark/>
          </w:tcPr>
          <w:p w14:paraId="6C37C80B" w14:textId="77777777" w:rsidR="00863D50" w:rsidRPr="000A0BF4" w:rsidRDefault="00863D50">
            <w:pPr>
              <w:rPr>
                <w:rFonts w:ascii="Arial" w:hAnsi="Arial" w:cs="Arial"/>
                <w:b/>
                <w:bCs/>
                <w:color w:val="FFFFFF"/>
                <w:sz w:val="16"/>
                <w:szCs w:val="16"/>
              </w:rPr>
            </w:pPr>
            <w:r w:rsidRPr="000A0BF4">
              <w:rPr>
                <w:rFonts w:ascii="Arial" w:hAnsi="Arial" w:cs="Arial"/>
                <w:b/>
                <w:bCs/>
                <w:color w:val="FFFFFF"/>
                <w:sz w:val="16"/>
                <w:szCs w:val="16"/>
              </w:rPr>
              <w:t>SVEUKUPNO PRIHODI</w:t>
            </w:r>
          </w:p>
        </w:tc>
        <w:tc>
          <w:tcPr>
            <w:tcW w:w="1700" w:type="dxa"/>
            <w:shd w:val="clear" w:color="auto" w:fill="696969"/>
            <w:vAlign w:val="center"/>
            <w:hideMark/>
          </w:tcPr>
          <w:p w14:paraId="33024AD4" w14:textId="77777777" w:rsidR="00863D50" w:rsidRPr="000A0BF4" w:rsidRDefault="00863D50">
            <w:pPr>
              <w:jc w:val="right"/>
              <w:rPr>
                <w:rFonts w:ascii="Arial" w:hAnsi="Arial" w:cs="Arial"/>
                <w:b/>
                <w:bCs/>
                <w:color w:val="FFFFFF"/>
                <w:sz w:val="16"/>
                <w:szCs w:val="16"/>
              </w:rPr>
            </w:pPr>
            <w:r w:rsidRPr="000A0BF4">
              <w:rPr>
                <w:rFonts w:ascii="Arial" w:hAnsi="Arial" w:cs="Arial"/>
                <w:b/>
                <w:bCs/>
                <w:color w:val="FFFFFF"/>
                <w:sz w:val="16"/>
                <w:szCs w:val="16"/>
              </w:rPr>
              <w:t>1.961.856,00</w:t>
            </w:r>
          </w:p>
        </w:tc>
        <w:tc>
          <w:tcPr>
            <w:tcW w:w="1280" w:type="dxa"/>
            <w:shd w:val="clear" w:color="auto" w:fill="696969"/>
            <w:vAlign w:val="center"/>
            <w:hideMark/>
          </w:tcPr>
          <w:p w14:paraId="79FD722A" w14:textId="77777777" w:rsidR="00863D50" w:rsidRPr="000A0BF4" w:rsidRDefault="00863D50">
            <w:pPr>
              <w:jc w:val="right"/>
              <w:rPr>
                <w:rFonts w:ascii="Arial" w:hAnsi="Arial" w:cs="Arial"/>
                <w:b/>
                <w:bCs/>
                <w:color w:val="FFFFFF"/>
                <w:sz w:val="16"/>
                <w:szCs w:val="16"/>
              </w:rPr>
            </w:pPr>
            <w:r w:rsidRPr="000A0BF4">
              <w:rPr>
                <w:rFonts w:ascii="Arial" w:hAnsi="Arial" w:cs="Arial"/>
                <w:b/>
                <w:bCs/>
                <w:color w:val="FFFFFF"/>
                <w:sz w:val="16"/>
                <w:szCs w:val="16"/>
              </w:rPr>
              <w:t>58.591,00</w:t>
            </w:r>
          </w:p>
        </w:tc>
        <w:tc>
          <w:tcPr>
            <w:tcW w:w="980" w:type="dxa"/>
            <w:gridSpan w:val="2"/>
            <w:shd w:val="clear" w:color="auto" w:fill="696969"/>
            <w:vAlign w:val="center"/>
            <w:hideMark/>
          </w:tcPr>
          <w:p w14:paraId="0B11BC95" w14:textId="77777777" w:rsidR="00863D50" w:rsidRPr="000A0BF4" w:rsidRDefault="00863D50">
            <w:pPr>
              <w:jc w:val="right"/>
              <w:rPr>
                <w:rFonts w:ascii="Arial" w:hAnsi="Arial" w:cs="Arial"/>
                <w:b/>
                <w:bCs/>
                <w:color w:val="FFFFFF"/>
                <w:sz w:val="16"/>
                <w:szCs w:val="16"/>
              </w:rPr>
            </w:pPr>
            <w:r w:rsidRPr="000A0BF4">
              <w:rPr>
                <w:rFonts w:ascii="Arial" w:hAnsi="Arial" w:cs="Arial"/>
                <w:b/>
                <w:bCs/>
                <w:color w:val="FFFFFF"/>
                <w:sz w:val="16"/>
                <w:szCs w:val="16"/>
              </w:rPr>
              <w:t>2,99</w:t>
            </w:r>
          </w:p>
        </w:tc>
        <w:tc>
          <w:tcPr>
            <w:tcW w:w="1360" w:type="dxa"/>
            <w:shd w:val="clear" w:color="auto" w:fill="696969"/>
            <w:vAlign w:val="center"/>
            <w:hideMark/>
          </w:tcPr>
          <w:p w14:paraId="427C5567" w14:textId="77777777" w:rsidR="00863D50" w:rsidRPr="000A0BF4" w:rsidRDefault="00863D50">
            <w:pPr>
              <w:jc w:val="right"/>
              <w:rPr>
                <w:rFonts w:ascii="Arial" w:hAnsi="Arial" w:cs="Arial"/>
                <w:b/>
                <w:bCs/>
                <w:color w:val="FFFFFF"/>
                <w:sz w:val="16"/>
                <w:szCs w:val="16"/>
              </w:rPr>
            </w:pPr>
            <w:r w:rsidRPr="000A0BF4">
              <w:rPr>
                <w:rFonts w:ascii="Arial" w:hAnsi="Arial" w:cs="Arial"/>
                <w:b/>
                <w:bCs/>
                <w:color w:val="FFFFFF"/>
                <w:sz w:val="16"/>
                <w:szCs w:val="16"/>
              </w:rPr>
              <w:t>2.020.447,00</w:t>
            </w:r>
          </w:p>
        </w:tc>
      </w:tr>
      <w:tr w:rsidR="00863D50" w:rsidRPr="000A0BF4" w14:paraId="435EAC0E" w14:textId="77777777" w:rsidTr="000A0BF4">
        <w:trPr>
          <w:trHeight w:val="300"/>
        </w:trPr>
        <w:tc>
          <w:tcPr>
            <w:tcW w:w="940" w:type="dxa"/>
            <w:shd w:val="clear" w:color="auto" w:fill="FFFFFF"/>
            <w:vAlign w:val="center"/>
            <w:hideMark/>
          </w:tcPr>
          <w:p w14:paraId="116A8DF4"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1.</w:t>
            </w:r>
          </w:p>
        </w:tc>
        <w:tc>
          <w:tcPr>
            <w:tcW w:w="2940" w:type="dxa"/>
            <w:shd w:val="clear" w:color="auto" w:fill="FFFFFF"/>
            <w:vAlign w:val="center"/>
            <w:hideMark/>
          </w:tcPr>
          <w:p w14:paraId="3FD47A7F"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OPĆI PRIHODI I PRIMICI</w:t>
            </w:r>
          </w:p>
        </w:tc>
        <w:tc>
          <w:tcPr>
            <w:tcW w:w="1700" w:type="dxa"/>
            <w:shd w:val="clear" w:color="auto" w:fill="FFFFFF"/>
            <w:vAlign w:val="center"/>
            <w:hideMark/>
          </w:tcPr>
          <w:p w14:paraId="556C1E18"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168.600,00</w:t>
            </w:r>
          </w:p>
        </w:tc>
        <w:tc>
          <w:tcPr>
            <w:tcW w:w="1280" w:type="dxa"/>
            <w:shd w:val="clear" w:color="auto" w:fill="FFFFFF"/>
            <w:vAlign w:val="center"/>
            <w:hideMark/>
          </w:tcPr>
          <w:p w14:paraId="2FCB7542"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21.790,00</w:t>
            </w:r>
          </w:p>
        </w:tc>
        <w:tc>
          <w:tcPr>
            <w:tcW w:w="980" w:type="dxa"/>
            <w:gridSpan w:val="2"/>
            <w:shd w:val="clear" w:color="auto" w:fill="FFFFFF"/>
            <w:vAlign w:val="center"/>
            <w:hideMark/>
          </w:tcPr>
          <w:p w14:paraId="2B5E2617"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12,92</w:t>
            </w:r>
          </w:p>
        </w:tc>
        <w:tc>
          <w:tcPr>
            <w:tcW w:w="1360" w:type="dxa"/>
            <w:shd w:val="clear" w:color="auto" w:fill="FFFFFF"/>
            <w:vAlign w:val="center"/>
            <w:hideMark/>
          </w:tcPr>
          <w:p w14:paraId="55E81446"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190.390,00</w:t>
            </w:r>
          </w:p>
        </w:tc>
      </w:tr>
      <w:tr w:rsidR="00863D50" w:rsidRPr="000A0BF4" w14:paraId="6FD48F57" w14:textId="77777777" w:rsidTr="000A0BF4">
        <w:trPr>
          <w:trHeight w:val="390"/>
        </w:trPr>
        <w:tc>
          <w:tcPr>
            <w:tcW w:w="940" w:type="dxa"/>
            <w:shd w:val="clear" w:color="auto" w:fill="FFFFFF"/>
            <w:vAlign w:val="center"/>
            <w:hideMark/>
          </w:tcPr>
          <w:p w14:paraId="21FB5AC5"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1.1.</w:t>
            </w:r>
          </w:p>
        </w:tc>
        <w:tc>
          <w:tcPr>
            <w:tcW w:w="2940" w:type="dxa"/>
            <w:shd w:val="clear" w:color="auto" w:fill="FFFFFF"/>
            <w:vAlign w:val="center"/>
            <w:hideMark/>
          </w:tcPr>
          <w:p w14:paraId="42D60E8F"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PRIHODI IZ NADLEŽNOG PRORAČUNA</w:t>
            </w:r>
          </w:p>
        </w:tc>
        <w:tc>
          <w:tcPr>
            <w:tcW w:w="1700" w:type="dxa"/>
            <w:shd w:val="clear" w:color="auto" w:fill="FFFFFF"/>
            <w:vAlign w:val="center"/>
            <w:hideMark/>
          </w:tcPr>
          <w:p w14:paraId="28F9595F"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168.600,00</w:t>
            </w:r>
          </w:p>
        </w:tc>
        <w:tc>
          <w:tcPr>
            <w:tcW w:w="1280" w:type="dxa"/>
            <w:shd w:val="clear" w:color="auto" w:fill="FFFFFF"/>
            <w:vAlign w:val="center"/>
            <w:hideMark/>
          </w:tcPr>
          <w:p w14:paraId="00E647B0"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21.790,00</w:t>
            </w:r>
          </w:p>
        </w:tc>
        <w:tc>
          <w:tcPr>
            <w:tcW w:w="980" w:type="dxa"/>
            <w:gridSpan w:val="2"/>
            <w:shd w:val="clear" w:color="auto" w:fill="FFFFFF"/>
            <w:vAlign w:val="center"/>
            <w:hideMark/>
          </w:tcPr>
          <w:p w14:paraId="1D58EAEE"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12,92</w:t>
            </w:r>
          </w:p>
        </w:tc>
        <w:tc>
          <w:tcPr>
            <w:tcW w:w="1360" w:type="dxa"/>
            <w:shd w:val="clear" w:color="auto" w:fill="FFFFFF"/>
            <w:vAlign w:val="center"/>
            <w:hideMark/>
          </w:tcPr>
          <w:p w14:paraId="77396495"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190.390,00</w:t>
            </w:r>
          </w:p>
        </w:tc>
      </w:tr>
      <w:tr w:rsidR="00863D50" w:rsidRPr="000A0BF4" w14:paraId="6AD91481" w14:textId="77777777" w:rsidTr="000A0BF4">
        <w:trPr>
          <w:trHeight w:val="300"/>
        </w:trPr>
        <w:tc>
          <w:tcPr>
            <w:tcW w:w="940" w:type="dxa"/>
            <w:shd w:val="clear" w:color="auto" w:fill="FFFFFF"/>
            <w:vAlign w:val="center"/>
            <w:hideMark/>
          </w:tcPr>
          <w:p w14:paraId="488BF1B8"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3.</w:t>
            </w:r>
          </w:p>
        </w:tc>
        <w:tc>
          <w:tcPr>
            <w:tcW w:w="2940" w:type="dxa"/>
            <w:shd w:val="clear" w:color="auto" w:fill="FFFFFF"/>
            <w:vAlign w:val="center"/>
            <w:hideMark/>
          </w:tcPr>
          <w:p w14:paraId="3BC4F616"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VLASTITI PRIHODI</w:t>
            </w:r>
          </w:p>
        </w:tc>
        <w:tc>
          <w:tcPr>
            <w:tcW w:w="1700" w:type="dxa"/>
            <w:shd w:val="clear" w:color="auto" w:fill="FFFFFF"/>
            <w:vAlign w:val="center"/>
            <w:hideMark/>
          </w:tcPr>
          <w:p w14:paraId="0E218675"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2.000,00</w:t>
            </w:r>
          </w:p>
        </w:tc>
        <w:tc>
          <w:tcPr>
            <w:tcW w:w="1280" w:type="dxa"/>
            <w:shd w:val="clear" w:color="auto" w:fill="FFFFFF"/>
            <w:vAlign w:val="center"/>
            <w:hideMark/>
          </w:tcPr>
          <w:p w14:paraId="372FEF86"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1.500,00</w:t>
            </w:r>
          </w:p>
        </w:tc>
        <w:tc>
          <w:tcPr>
            <w:tcW w:w="980" w:type="dxa"/>
            <w:gridSpan w:val="2"/>
            <w:shd w:val="clear" w:color="auto" w:fill="FFFFFF"/>
            <w:vAlign w:val="center"/>
            <w:hideMark/>
          </w:tcPr>
          <w:p w14:paraId="4504CA49"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75,00</w:t>
            </w:r>
          </w:p>
        </w:tc>
        <w:tc>
          <w:tcPr>
            <w:tcW w:w="1360" w:type="dxa"/>
            <w:shd w:val="clear" w:color="auto" w:fill="FFFFFF"/>
            <w:vAlign w:val="center"/>
            <w:hideMark/>
          </w:tcPr>
          <w:p w14:paraId="63D12DDB"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3.500,00</w:t>
            </w:r>
          </w:p>
        </w:tc>
      </w:tr>
      <w:tr w:rsidR="00863D50" w:rsidRPr="000A0BF4" w14:paraId="71AF40E3" w14:textId="77777777" w:rsidTr="000A0BF4">
        <w:trPr>
          <w:trHeight w:val="300"/>
        </w:trPr>
        <w:tc>
          <w:tcPr>
            <w:tcW w:w="940" w:type="dxa"/>
            <w:shd w:val="clear" w:color="auto" w:fill="FFFFFF"/>
            <w:vAlign w:val="center"/>
            <w:hideMark/>
          </w:tcPr>
          <w:p w14:paraId="24F492EC"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3.9.</w:t>
            </w:r>
          </w:p>
        </w:tc>
        <w:tc>
          <w:tcPr>
            <w:tcW w:w="2940" w:type="dxa"/>
            <w:shd w:val="clear" w:color="auto" w:fill="FFFFFF"/>
            <w:vAlign w:val="center"/>
            <w:hideMark/>
          </w:tcPr>
          <w:p w14:paraId="55B53D87"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VLASTITI PRIHODI</w:t>
            </w:r>
          </w:p>
        </w:tc>
        <w:tc>
          <w:tcPr>
            <w:tcW w:w="1700" w:type="dxa"/>
            <w:shd w:val="clear" w:color="auto" w:fill="FFFFFF"/>
            <w:vAlign w:val="center"/>
            <w:hideMark/>
          </w:tcPr>
          <w:p w14:paraId="25063D0F"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2.000,00</w:t>
            </w:r>
          </w:p>
        </w:tc>
        <w:tc>
          <w:tcPr>
            <w:tcW w:w="1280" w:type="dxa"/>
            <w:shd w:val="clear" w:color="auto" w:fill="FFFFFF"/>
            <w:vAlign w:val="center"/>
            <w:hideMark/>
          </w:tcPr>
          <w:p w14:paraId="7B613A31"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1.500,00</w:t>
            </w:r>
          </w:p>
        </w:tc>
        <w:tc>
          <w:tcPr>
            <w:tcW w:w="980" w:type="dxa"/>
            <w:gridSpan w:val="2"/>
            <w:shd w:val="clear" w:color="auto" w:fill="FFFFFF"/>
            <w:vAlign w:val="center"/>
            <w:hideMark/>
          </w:tcPr>
          <w:p w14:paraId="5C027085"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75,00</w:t>
            </w:r>
          </w:p>
        </w:tc>
        <w:tc>
          <w:tcPr>
            <w:tcW w:w="1360" w:type="dxa"/>
            <w:shd w:val="clear" w:color="auto" w:fill="FFFFFF"/>
            <w:vAlign w:val="center"/>
            <w:hideMark/>
          </w:tcPr>
          <w:p w14:paraId="64A38EEF"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3.500,00</w:t>
            </w:r>
          </w:p>
        </w:tc>
      </w:tr>
      <w:tr w:rsidR="00863D50" w:rsidRPr="000A0BF4" w14:paraId="017B1266" w14:textId="77777777" w:rsidTr="000A0BF4">
        <w:trPr>
          <w:trHeight w:val="300"/>
        </w:trPr>
        <w:tc>
          <w:tcPr>
            <w:tcW w:w="940" w:type="dxa"/>
            <w:shd w:val="clear" w:color="auto" w:fill="FFFFFF"/>
            <w:vAlign w:val="center"/>
            <w:hideMark/>
          </w:tcPr>
          <w:p w14:paraId="6B592B0A"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4.</w:t>
            </w:r>
          </w:p>
        </w:tc>
        <w:tc>
          <w:tcPr>
            <w:tcW w:w="2940" w:type="dxa"/>
            <w:shd w:val="clear" w:color="auto" w:fill="FFFFFF"/>
            <w:vAlign w:val="center"/>
            <w:hideMark/>
          </w:tcPr>
          <w:p w14:paraId="56D51219"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PRIHODI ZA POSEBNE NAMJENE</w:t>
            </w:r>
          </w:p>
        </w:tc>
        <w:tc>
          <w:tcPr>
            <w:tcW w:w="1700" w:type="dxa"/>
            <w:shd w:val="clear" w:color="auto" w:fill="FFFFFF"/>
            <w:vAlign w:val="center"/>
            <w:hideMark/>
          </w:tcPr>
          <w:p w14:paraId="47241F79"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77.750,00</w:t>
            </w:r>
          </w:p>
        </w:tc>
        <w:tc>
          <w:tcPr>
            <w:tcW w:w="1280" w:type="dxa"/>
            <w:shd w:val="clear" w:color="auto" w:fill="FFFFFF"/>
            <w:vAlign w:val="center"/>
            <w:hideMark/>
          </w:tcPr>
          <w:p w14:paraId="4FD84F5B"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0,00</w:t>
            </w:r>
          </w:p>
        </w:tc>
        <w:tc>
          <w:tcPr>
            <w:tcW w:w="980" w:type="dxa"/>
            <w:gridSpan w:val="2"/>
            <w:shd w:val="clear" w:color="auto" w:fill="FFFFFF"/>
            <w:vAlign w:val="center"/>
            <w:hideMark/>
          </w:tcPr>
          <w:p w14:paraId="38692D33"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0,00</w:t>
            </w:r>
          </w:p>
        </w:tc>
        <w:tc>
          <w:tcPr>
            <w:tcW w:w="1360" w:type="dxa"/>
            <w:shd w:val="clear" w:color="auto" w:fill="FFFFFF"/>
            <w:vAlign w:val="center"/>
            <w:hideMark/>
          </w:tcPr>
          <w:p w14:paraId="35F7E0E2"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77.750,00</w:t>
            </w:r>
          </w:p>
        </w:tc>
      </w:tr>
      <w:tr w:rsidR="00863D50" w:rsidRPr="000A0BF4" w14:paraId="4A855553" w14:textId="77777777" w:rsidTr="000A0BF4">
        <w:trPr>
          <w:trHeight w:val="300"/>
        </w:trPr>
        <w:tc>
          <w:tcPr>
            <w:tcW w:w="940" w:type="dxa"/>
            <w:shd w:val="clear" w:color="auto" w:fill="FFFFFF"/>
            <w:vAlign w:val="center"/>
            <w:hideMark/>
          </w:tcPr>
          <w:p w14:paraId="697D93CA"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4.9.</w:t>
            </w:r>
          </w:p>
        </w:tc>
        <w:tc>
          <w:tcPr>
            <w:tcW w:w="2940" w:type="dxa"/>
            <w:shd w:val="clear" w:color="auto" w:fill="FFFFFF"/>
            <w:vAlign w:val="center"/>
            <w:hideMark/>
          </w:tcPr>
          <w:p w14:paraId="119BAA31"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PRIHODI ZA POSEBNE NAMJENE</w:t>
            </w:r>
          </w:p>
        </w:tc>
        <w:tc>
          <w:tcPr>
            <w:tcW w:w="1700" w:type="dxa"/>
            <w:shd w:val="clear" w:color="auto" w:fill="FFFFFF"/>
            <w:vAlign w:val="center"/>
            <w:hideMark/>
          </w:tcPr>
          <w:p w14:paraId="1BDCD7C5"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77.750,00</w:t>
            </w:r>
          </w:p>
        </w:tc>
        <w:tc>
          <w:tcPr>
            <w:tcW w:w="1280" w:type="dxa"/>
            <w:shd w:val="clear" w:color="auto" w:fill="FFFFFF"/>
            <w:vAlign w:val="center"/>
            <w:hideMark/>
          </w:tcPr>
          <w:p w14:paraId="024E5C5D"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0,00</w:t>
            </w:r>
          </w:p>
        </w:tc>
        <w:tc>
          <w:tcPr>
            <w:tcW w:w="980" w:type="dxa"/>
            <w:gridSpan w:val="2"/>
            <w:shd w:val="clear" w:color="auto" w:fill="FFFFFF"/>
            <w:vAlign w:val="center"/>
            <w:hideMark/>
          </w:tcPr>
          <w:p w14:paraId="133A0D51"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0,00</w:t>
            </w:r>
          </w:p>
        </w:tc>
        <w:tc>
          <w:tcPr>
            <w:tcW w:w="1360" w:type="dxa"/>
            <w:shd w:val="clear" w:color="auto" w:fill="FFFFFF"/>
            <w:vAlign w:val="center"/>
            <w:hideMark/>
          </w:tcPr>
          <w:p w14:paraId="351D9261"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77.750,00</w:t>
            </w:r>
          </w:p>
        </w:tc>
      </w:tr>
      <w:tr w:rsidR="00863D50" w:rsidRPr="000A0BF4" w14:paraId="6F250B4A" w14:textId="77777777" w:rsidTr="000A0BF4">
        <w:trPr>
          <w:trHeight w:val="300"/>
        </w:trPr>
        <w:tc>
          <w:tcPr>
            <w:tcW w:w="940" w:type="dxa"/>
            <w:shd w:val="clear" w:color="auto" w:fill="FFFFFF"/>
            <w:vAlign w:val="center"/>
            <w:hideMark/>
          </w:tcPr>
          <w:p w14:paraId="782732EE"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5.</w:t>
            </w:r>
          </w:p>
        </w:tc>
        <w:tc>
          <w:tcPr>
            <w:tcW w:w="2940" w:type="dxa"/>
            <w:shd w:val="clear" w:color="auto" w:fill="FFFFFF"/>
            <w:vAlign w:val="center"/>
            <w:hideMark/>
          </w:tcPr>
          <w:p w14:paraId="12D9D63D"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POMOĆI</w:t>
            </w:r>
          </w:p>
        </w:tc>
        <w:tc>
          <w:tcPr>
            <w:tcW w:w="1700" w:type="dxa"/>
            <w:shd w:val="clear" w:color="auto" w:fill="FFFFFF"/>
            <w:vAlign w:val="center"/>
            <w:hideMark/>
          </w:tcPr>
          <w:p w14:paraId="49FCACB7"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1.711.506,00</w:t>
            </w:r>
          </w:p>
        </w:tc>
        <w:tc>
          <w:tcPr>
            <w:tcW w:w="1280" w:type="dxa"/>
            <w:shd w:val="clear" w:color="auto" w:fill="FFFFFF"/>
            <w:vAlign w:val="center"/>
            <w:hideMark/>
          </w:tcPr>
          <w:p w14:paraId="7D7AB80D"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31.001,00</w:t>
            </w:r>
          </w:p>
        </w:tc>
        <w:tc>
          <w:tcPr>
            <w:tcW w:w="980" w:type="dxa"/>
            <w:gridSpan w:val="2"/>
            <w:shd w:val="clear" w:color="auto" w:fill="FFFFFF"/>
            <w:vAlign w:val="center"/>
            <w:hideMark/>
          </w:tcPr>
          <w:p w14:paraId="67F3C72D"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1,81</w:t>
            </w:r>
          </w:p>
        </w:tc>
        <w:tc>
          <w:tcPr>
            <w:tcW w:w="1360" w:type="dxa"/>
            <w:shd w:val="clear" w:color="auto" w:fill="FFFFFF"/>
            <w:vAlign w:val="center"/>
            <w:hideMark/>
          </w:tcPr>
          <w:p w14:paraId="0E2CFE50"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1.742.507,00</w:t>
            </w:r>
          </w:p>
        </w:tc>
      </w:tr>
      <w:tr w:rsidR="00863D50" w:rsidRPr="000A0BF4" w14:paraId="460A32B3" w14:textId="77777777" w:rsidTr="000A0BF4">
        <w:trPr>
          <w:trHeight w:val="300"/>
        </w:trPr>
        <w:tc>
          <w:tcPr>
            <w:tcW w:w="940" w:type="dxa"/>
            <w:shd w:val="clear" w:color="auto" w:fill="FFFFFF"/>
            <w:vAlign w:val="center"/>
            <w:hideMark/>
          </w:tcPr>
          <w:p w14:paraId="7B2F19FA"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5.1.</w:t>
            </w:r>
          </w:p>
        </w:tc>
        <w:tc>
          <w:tcPr>
            <w:tcW w:w="2940" w:type="dxa"/>
            <w:shd w:val="clear" w:color="auto" w:fill="FFFFFF"/>
            <w:vAlign w:val="center"/>
            <w:hideMark/>
          </w:tcPr>
          <w:p w14:paraId="59049503"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POMOĆI</w:t>
            </w:r>
          </w:p>
        </w:tc>
        <w:tc>
          <w:tcPr>
            <w:tcW w:w="1700" w:type="dxa"/>
            <w:shd w:val="clear" w:color="auto" w:fill="FFFFFF"/>
            <w:vAlign w:val="center"/>
            <w:hideMark/>
          </w:tcPr>
          <w:p w14:paraId="1FD58469"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120.996,00</w:t>
            </w:r>
          </w:p>
        </w:tc>
        <w:tc>
          <w:tcPr>
            <w:tcW w:w="1280" w:type="dxa"/>
            <w:shd w:val="clear" w:color="auto" w:fill="FFFFFF"/>
            <w:vAlign w:val="center"/>
            <w:hideMark/>
          </w:tcPr>
          <w:p w14:paraId="5D456E55"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2.695,00</w:t>
            </w:r>
          </w:p>
        </w:tc>
        <w:tc>
          <w:tcPr>
            <w:tcW w:w="980" w:type="dxa"/>
            <w:gridSpan w:val="2"/>
            <w:shd w:val="clear" w:color="auto" w:fill="FFFFFF"/>
            <w:vAlign w:val="center"/>
            <w:hideMark/>
          </w:tcPr>
          <w:p w14:paraId="4BA6A9F1"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2,23</w:t>
            </w:r>
          </w:p>
        </w:tc>
        <w:tc>
          <w:tcPr>
            <w:tcW w:w="1360" w:type="dxa"/>
            <w:shd w:val="clear" w:color="auto" w:fill="FFFFFF"/>
            <w:vAlign w:val="center"/>
            <w:hideMark/>
          </w:tcPr>
          <w:p w14:paraId="53D24E14"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123.691,00</w:t>
            </w:r>
          </w:p>
        </w:tc>
      </w:tr>
      <w:tr w:rsidR="00863D50" w:rsidRPr="000A0BF4" w14:paraId="30BFCBEE" w14:textId="77777777" w:rsidTr="000A0BF4">
        <w:trPr>
          <w:trHeight w:val="300"/>
        </w:trPr>
        <w:tc>
          <w:tcPr>
            <w:tcW w:w="940" w:type="dxa"/>
            <w:shd w:val="clear" w:color="auto" w:fill="FFFFFF"/>
            <w:vAlign w:val="center"/>
            <w:hideMark/>
          </w:tcPr>
          <w:p w14:paraId="1047EA47"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5.9.</w:t>
            </w:r>
          </w:p>
        </w:tc>
        <w:tc>
          <w:tcPr>
            <w:tcW w:w="2940" w:type="dxa"/>
            <w:shd w:val="clear" w:color="auto" w:fill="FFFFFF"/>
            <w:vAlign w:val="center"/>
            <w:hideMark/>
          </w:tcPr>
          <w:p w14:paraId="31F352D3"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POMOĆI-PRIHODI KORISNIKA-GL 02</w:t>
            </w:r>
          </w:p>
        </w:tc>
        <w:tc>
          <w:tcPr>
            <w:tcW w:w="1700" w:type="dxa"/>
            <w:shd w:val="clear" w:color="auto" w:fill="FFFFFF"/>
            <w:vAlign w:val="center"/>
            <w:hideMark/>
          </w:tcPr>
          <w:p w14:paraId="5EBD48DC"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1.590.510,00</w:t>
            </w:r>
          </w:p>
        </w:tc>
        <w:tc>
          <w:tcPr>
            <w:tcW w:w="1280" w:type="dxa"/>
            <w:shd w:val="clear" w:color="auto" w:fill="FFFFFF"/>
            <w:vAlign w:val="center"/>
            <w:hideMark/>
          </w:tcPr>
          <w:p w14:paraId="1EA10274"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28.306,00</w:t>
            </w:r>
          </w:p>
        </w:tc>
        <w:tc>
          <w:tcPr>
            <w:tcW w:w="980" w:type="dxa"/>
            <w:gridSpan w:val="2"/>
            <w:shd w:val="clear" w:color="auto" w:fill="FFFFFF"/>
            <w:vAlign w:val="center"/>
            <w:hideMark/>
          </w:tcPr>
          <w:p w14:paraId="21E7F083"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1,78</w:t>
            </w:r>
          </w:p>
        </w:tc>
        <w:tc>
          <w:tcPr>
            <w:tcW w:w="1360" w:type="dxa"/>
            <w:shd w:val="clear" w:color="auto" w:fill="FFFFFF"/>
            <w:vAlign w:val="center"/>
            <w:hideMark/>
          </w:tcPr>
          <w:p w14:paraId="5A02994C"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1.618.816,00</w:t>
            </w:r>
          </w:p>
        </w:tc>
      </w:tr>
      <w:tr w:rsidR="00863D50" w:rsidRPr="000A0BF4" w14:paraId="3FADCE27" w14:textId="77777777" w:rsidTr="000A0BF4">
        <w:trPr>
          <w:trHeight w:val="450"/>
        </w:trPr>
        <w:tc>
          <w:tcPr>
            <w:tcW w:w="940" w:type="dxa"/>
            <w:shd w:val="clear" w:color="auto" w:fill="FFFFFF"/>
            <w:vAlign w:val="center"/>
            <w:hideMark/>
          </w:tcPr>
          <w:p w14:paraId="48FF42B3" w14:textId="77777777" w:rsidR="00863D50" w:rsidRPr="000A0BF4" w:rsidRDefault="00863D50">
            <w:pPr>
              <w:rPr>
                <w:rFonts w:ascii="Arial" w:hAnsi="Arial" w:cs="Arial"/>
                <w:i/>
                <w:iCs/>
                <w:color w:val="000000"/>
                <w:sz w:val="16"/>
                <w:szCs w:val="16"/>
              </w:rPr>
            </w:pPr>
            <w:r w:rsidRPr="000A0BF4">
              <w:rPr>
                <w:rFonts w:ascii="Arial" w:hAnsi="Arial" w:cs="Arial"/>
                <w:i/>
                <w:iCs/>
                <w:color w:val="000000"/>
                <w:sz w:val="16"/>
                <w:szCs w:val="16"/>
              </w:rPr>
              <w:t>Izvor  5.9.00001</w:t>
            </w:r>
          </w:p>
        </w:tc>
        <w:tc>
          <w:tcPr>
            <w:tcW w:w="2940" w:type="dxa"/>
            <w:shd w:val="clear" w:color="auto" w:fill="FFFFFF"/>
            <w:vAlign w:val="center"/>
            <w:hideMark/>
          </w:tcPr>
          <w:p w14:paraId="03AEB3AF" w14:textId="77777777" w:rsidR="00863D50" w:rsidRPr="000A0BF4" w:rsidRDefault="00863D50">
            <w:pPr>
              <w:rPr>
                <w:rFonts w:ascii="Arial" w:hAnsi="Arial" w:cs="Arial"/>
                <w:i/>
                <w:iCs/>
                <w:color w:val="000000"/>
                <w:sz w:val="16"/>
                <w:szCs w:val="16"/>
              </w:rPr>
            </w:pPr>
            <w:r w:rsidRPr="000A0BF4">
              <w:rPr>
                <w:rFonts w:ascii="Arial" w:hAnsi="Arial" w:cs="Arial"/>
                <w:i/>
                <w:iCs/>
                <w:color w:val="000000"/>
                <w:sz w:val="16"/>
                <w:szCs w:val="16"/>
              </w:rPr>
              <w:t>POMOĆI-PRIHODI KORISNIKA-GL 02</w:t>
            </w:r>
          </w:p>
        </w:tc>
        <w:tc>
          <w:tcPr>
            <w:tcW w:w="1700" w:type="dxa"/>
            <w:shd w:val="clear" w:color="auto" w:fill="FFFFFF"/>
            <w:vAlign w:val="center"/>
            <w:hideMark/>
          </w:tcPr>
          <w:p w14:paraId="602FEE34" w14:textId="77777777" w:rsidR="00863D50" w:rsidRPr="000A0BF4" w:rsidRDefault="00863D50">
            <w:pPr>
              <w:jc w:val="right"/>
              <w:rPr>
                <w:rFonts w:ascii="Arial" w:hAnsi="Arial" w:cs="Arial"/>
                <w:i/>
                <w:iCs/>
                <w:color w:val="000000"/>
                <w:sz w:val="16"/>
                <w:szCs w:val="16"/>
              </w:rPr>
            </w:pPr>
            <w:r w:rsidRPr="000A0BF4">
              <w:rPr>
                <w:rFonts w:ascii="Arial" w:hAnsi="Arial" w:cs="Arial"/>
                <w:i/>
                <w:iCs/>
                <w:color w:val="000000"/>
                <w:sz w:val="16"/>
                <w:szCs w:val="16"/>
              </w:rPr>
              <w:t>189.410,00</w:t>
            </w:r>
          </w:p>
        </w:tc>
        <w:tc>
          <w:tcPr>
            <w:tcW w:w="1280" w:type="dxa"/>
            <w:shd w:val="clear" w:color="auto" w:fill="FFFFFF"/>
            <w:vAlign w:val="center"/>
            <w:hideMark/>
          </w:tcPr>
          <w:p w14:paraId="29D2327C" w14:textId="77777777" w:rsidR="00863D50" w:rsidRPr="000A0BF4" w:rsidRDefault="00863D50">
            <w:pPr>
              <w:jc w:val="right"/>
              <w:rPr>
                <w:rFonts w:ascii="Arial" w:hAnsi="Arial" w:cs="Arial"/>
                <w:i/>
                <w:iCs/>
                <w:color w:val="000000"/>
                <w:sz w:val="16"/>
                <w:szCs w:val="16"/>
              </w:rPr>
            </w:pPr>
            <w:r w:rsidRPr="000A0BF4">
              <w:rPr>
                <w:rFonts w:ascii="Arial" w:hAnsi="Arial" w:cs="Arial"/>
                <w:i/>
                <w:iCs/>
                <w:color w:val="000000"/>
                <w:sz w:val="16"/>
                <w:szCs w:val="16"/>
              </w:rPr>
              <w:t>15.306,00</w:t>
            </w:r>
          </w:p>
        </w:tc>
        <w:tc>
          <w:tcPr>
            <w:tcW w:w="160" w:type="dxa"/>
            <w:shd w:val="clear" w:color="auto" w:fill="FFFFFF"/>
            <w:vAlign w:val="center"/>
            <w:hideMark/>
          </w:tcPr>
          <w:p w14:paraId="7FE7809B" w14:textId="77777777" w:rsidR="00863D50" w:rsidRPr="000A0BF4" w:rsidRDefault="00863D50">
            <w:pPr>
              <w:jc w:val="right"/>
              <w:rPr>
                <w:rFonts w:ascii="Arial" w:hAnsi="Arial" w:cs="Arial"/>
                <w:i/>
                <w:iCs/>
                <w:color w:val="000000"/>
                <w:sz w:val="16"/>
                <w:szCs w:val="16"/>
              </w:rPr>
            </w:pPr>
            <w:r w:rsidRPr="000A0BF4">
              <w:rPr>
                <w:rFonts w:ascii="Arial" w:hAnsi="Arial" w:cs="Arial"/>
                <w:i/>
                <w:iCs/>
                <w:color w:val="000000"/>
                <w:sz w:val="16"/>
                <w:szCs w:val="16"/>
              </w:rPr>
              <w:t> </w:t>
            </w:r>
          </w:p>
        </w:tc>
        <w:tc>
          <w:tcPr>
            <w:tcW w:w="820" w:type="dxa"/>
            <w:noWrap/>
            <w:vAlign w:val="bottom"/>
            <w:hideMark/>
          </w:tcPr>
          <w:p w14:paraId="6F3DB809" w14:textId="77777777" w:rsidR="00863D50" w:rsidRPr="000A0BF4" w:rsidRDefault="00863D50">
            <w:pPr>
              <w:rPr>
                <w:rFonts w:ascii="Arial" w:hAnsi="Arial" w:cs="Arial"/>
                <w:i/>
                <w:iCs/>
                <w:color w:val="000000"/>
                <w:sz w:val="16"/>
                <w:szCs w:val="16"/>
              </w:rPr>
            </w:pPr>
          </w:p>
        </w:tc>
        <w:tc>
          <w:tcPr>
            <w:tcW w:w="1360" w:type="dxa"/>
            <w:shd w:val="clear" w:color="auto" w:fill="FFFFFF"/>
            <w:vAlign w:val="center"/>
            <w:hideMark/>
          </w:tcPr>
          <w:p w14:paraId="2DCA29AE" w14:textId="77777777" w:rsidR="00863D50" w:rsidRPr="000A0BF4" w:rsidRDefault="00863D50">
            <w:pPr>
              <w:jc w:val="right"/>
              <w:rPr>
                <w:rFonts w:ascii="Arial" w:hAnsi="Arial" w:cs="Arial"/>
                <w:i/>
                <w:iCs/>
                <w:color w:val="000000"/>
                <w:sz w:val="16"/>
                <w:szCs w:val="16"/>
              </w:rPr>
            </w:pPr>
            <w:r w:rsidRPr="000A0BF4">
              <w:rPr>
                <w:rFonts w:ascii="Arial" w:hAnsi="Arial" w:cs="Arial"/>
                <w:i/>
                <w:iCs/>
                <w:color w:val="000000"/>
                <w:sz w:val="16"/>
                <w:szCs w:val="16"/>
              </w:rPr>
              <w:t>204.716,00</w:t>
            </w:r>
          </w:p>
        </w:tc>
      </w:tr>
      <w:tr w:rsidR="00863D50" w:rsidRPr="000A0BF4" w14:paraId="4D897951" w14:textId="77777777" w:rsidTr="000A0BF4">
        <w:trPr>
          <w:trHeight w:val="450"/>
        </w:trPr>
        <w:tc>
          <w:tcPr>
            <w:tcW w:w="940" w:type="dxa"/>
            <w:shd w:val="clear" w:color="auto" w:fill="FFFFFF"/>
            <w:vAlign w:val="center"/>
            <w:hideMark/>
          </w:tcPr>
          <w:p w14:paraId="09CA9520" w14:textId="77777777" w:rsidR="00863D50" w:rsidRPr="000A0BF4" w:rsidRDefault="00863D50">
            <w:pPr>
              <w:rPr>
                <w:rFonts w:ascii="Arial" w:hAnsi="Arial" w:cs="Arial"/>
                <w:i/>
                <w:iCs/>
                <w:color w:val="000000"/>
                <w:sz w:val="16"/>
                <w:szCs w:val="16"/>
              </w:rPr>
            </w:pPr>
            <w:r w:rsidRPr="000A0BF4">
              <w:rPr>
                <w:rFonts w:ascii="Arial" w:hAnsi="Arial" w:cs="Arial"/>
                <w:i/>
                <w:iCs/>
                <w:color w:val="000000"/>
                <w:sz w:val="16"/>
                <w:szCs w:val="16"/>
              </w:rPr>
              <w:t>Izvor  5.9.00003</w:t>
            </w:r>
          </w:p>
        </w:tc>
        <w:tc>
          <w:tcPr>
            <w:tcW w:w="2940" w:type="dxa"/>
            <w:shd w:val="clear" w:color="auto" w:fill="FFFFFF"/>
            <w:vAlign w:val="center"/>
            <w:hideMark/>
          </w:tcPr>
          <w:p w14:paraId="3BC78FC4" w14:textId="77777777" w:rsidR="00863D50" w:rsidRPr="000A0BF4" w:rsidRDefault="00863D50">
            <w:pPr>
              <w:rPr>
                <w:rFonts w:ascii="Arial" w:hAnsi="Arial" w:cs="Arial"/>
                <w:i/>
                <w:iCs/>
                <w:color w:val="000000"/>
                <w:sz w:val="16"/>
                <w:szCs w:val="16"/>
              </w:rPr>
            </w:pPr>
            <w:r w:rsidRPr="000A0BF4">
              <w:rPr>
                <w:rFonts w:ascii="Arial" w:hAnsi="Arial" w:cs="Arial"/>
                <w:i/>
                <w:iCs/>
                <w:color w:val="000000"/>
                <w:sz w:val="16"/>
                <w:szCs w:val="16"/>
              </w:rPr>
              <w:t>POMOĆI-PRIHODI KORISNIKA-RIZNICA</w:t>
            </w:r>
          </w:p>
        </w:tc>
        <w:tc>
          <w:tcPr>
            <w:tcW w:w="1700" w:type="dxa"/>
            <w:shd w:val="clear" w:color="auto" w:fill="FFFFFF"/>
            <w:vAlign w:val="center"/>
            <w:hideMark/>
          </w:tcPr>
          <w:p w14:paraId="71E3334F" w14:textId="77777777" w:rsidR="00863D50" w:rsidRPr="000A0BF4" w:rsidRDefault="00863D50">
            <w:pPr>
              <w:jc w:val="right"/>
              <w:rPr>
                <w:rFonts w:ascii="Arial" w:hAnsi="Arial" w:cs="Arial"/>
                <w:i/>
                <w:iCs/>
                <w:color w:val="000000"/>
                <w:sz w:val="16"/>
                <w:szCs w:val="16"/>
              </w:rPr>
            </w:pPr>
            <w:r w:rsidRPr="000A0BF4">
              <w:rPr>
                <w:rFonts w:ascii="Arial" w:hAnsi="Arial" w:cs="Arial"/>
                <w:i/>
                <w:iCs/>
                <w:color w:val="000000"/>
                <w:sz w:val="16"/>
                <w:szCs w:val="16"/>
              </w:rPr>
              <w:t>1.401.100,00</w:t>
            </w:r>
          </w:p>
        </w:tc>
        <w:tc>
          <w:tcPr>
            <w:tcW w:w="1280" w:type="dxa"/>
            <w:shd w:val="clear" w:color="auto" w:fill="FFFFFF"/>
            <w:vAlign w:val="center"/>
            <w:hideMark/>
          </w:tcPr>
          <w:p w14:paraId="34344720" w14:textId="77777777" w:rsidR="00863D50" w:rsidRPr="000A0BF4" w:rsidRDefault="00863D50">
            <w:pPr>
              <w:jc w:val="right"/>
              <w:rPr>
                <w:rFonts w:ascii="Arial" w:hAnsi="Arial" w:cs="Arial"/>
                <w:i/>
                <w:iCs/>
                <w:color w:val="000000"/>
                <w:sz w:val="16"/>
                <w:szCs w:val="16"/>
              </w:rPr>
            </w:pPr>
            <w:r w:rsidRPr="000A0BF4">
              <w:rPr>
                <w:rFonts w:ascii="Arial" w:hAnsi="Arial" w:cs="Arial"/>
                <w:i/>
                <w:iCs/>
                <w:color w:val="000000"/>
                <w:sz w:val="16"/>
                <w:szCs w:val="16"/>
              </w:rPr>
              <w:t>13.000,00</w:t>
            </w:r>
          </w:p>
        </w:tc>
        <w:tc>
          <w:tcPr>
            <w:tcW w:w="160" w:type="dxa"/>
            <w:shd w:val="clear" w:color="auto" w:fill="FFFFFF"/>
            <w:vAlign w:val="center"/>
            <w:hideMark/>
          </w:tcPr>
          <w:p w14:paraId="54995FFB" w14:textId="77777777" w:rsidR="00863D50" w:rsidRPr="000A0BF4" w:rsidRDefault="00863D50">
            <w:pPr>
              <w:jc w:val="right"/>
              <w:rPr>
                <w:rFonts w:ascii="Arial" w:hAnsi="Arial" w:cs="Arial"/>
                <w:i/>
                <w:iCs/>
                <w:color w:val="000000"/>
                <w:sz w:val="16"/>
                <w:szCs w:val="16"/>
              </w:rPr>
            </w:pPr>
            <w:r w:rsidRPr="000A0BF4">
              <w:rPr>
                <w:rFonts w:ascii="Arial" w:hAnsi="Arial" w:cs="Arial"/>
                <w:i/>
                <w:iCs/>
                <w:color w:val="000000"/>
                <w:sz w:val="16"/>
                <w:szCs w:val="16"/>
              </w:rPr>
              <w:t> </w:t>
            </w:r>
          </w:p>
        </w:tc>
        <w:tc>
          <w:tcPr>
            <w:tcW w:w="820" w:type="dxa"/>
            <w:noWrap/>
            <w:vAlign w:val="bottom"/>
            <w:hideMark/>
          </w:tcPr>
          <w:p w14:paraId="1B03F35B" w14:textId="77777777" w:rsidR="00863D50" w:rsidRPr="000A0BF4" w:rsidRDefault="00863D50">
            <w:pPr>
              <w:rPr>
                <w:rFonts w:ascii="Arial" w:hAnsi="Arial" w:cs="Arial"/>
                <w:i/>
                <w:iCs/>
                <w:color w:val="000000"/>
                <w:sz w:val="16"/>
                <w:szCs w:val="16"/>
              </w:rPr>
            </w:pPr>
          </w:p>
        </w:tc>
        <w:tc>
          <w:tcPr>
            <w:tcW w:w="1360" w:type="dxa"/>
            <w:shd w:val="clear" w:color="auto" w:fill="FFFFFF"/>
            <w:vAlign w:val="center"/>
            <w:hideMark/>
          </w:tcPr>
          <w:p w14:paraId="019BB55E" w14:textId="77777777" w:rsidR="00863D50" w:rsidRPr="000A0BF4" w:rsidRDefault="00863D50">
            <w:pPr>
              <w:jc w:val="right"/>
              <w:rPr>
                <w:rFonts w:ascii="Arial" w:hAnsi="Arial" w:cs="Arial"/>
                <w:i/>
                <w:iCs/>
                <w:color w:val="000000"/>
                <w:sz w:val="16"/>
                <w:szCs w:val="16"/>
              </w:rPr>
            </w:pPr>
            <w:r w:rsidRPr="000A0BF4">
              <w:rPr>
                <w:rFonts w:ascii="Arial" w:hAnsi="Arial" w:cs="Arial"/>
                <w:i/>
                <w:iCs/>
                <w:color w:val="000000"/>
                <w:sz w:val="16"/>
                <w:szCs w:val="16"/>
              </w:rPr>
              <w:t>1.414.100,00</w:t>
            </w:r>
          </w:p>
        </w:tc>
      </w:tr>
      <w:tr w:rsidR="00863D50" w:rsidRPr="000A0BF4" w14:paraId="21F8DFFB" w14:textId="77777777" w:rsidTr="000A0BF4">
        <w:trPr>
          <w:trHeight w:val="300"/>
        </w:trPr>
        <w:tc>
          <w:tcPr>
            <w:tcW w:w="940" w:type="dxa"/>
            <w:shd w:val="clear" w:color="auto" w:fill="FFFFFF"/>
            <w:vAlign w:val="center"/>
            <w:hideMark/>
          </w:tcPr>
          <w:p w14:paraId="2DFFEBAC"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6.</w:t>
            </w:r>
          </w:p>
        </w:tc>
        <w:tc>
          <w:tcPr>
            <w:tcW w:w="2940" w:type="dxa"/>
            <w:shd w:val="clear" w:color="auto" w:fill="FFFFFF"/>
            <w:vAlign w:val="center"/>
            <w:hideMark/>
          </w:tcPr>
          <w:p w14:paraId="4E010338"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DONACIJE</w:t>
            </w:r>
          </w:p>
        </w:tc>
        <w:tc>
          <w:tcPr>
            <w:tcW w:w="1700" w:type="dxa"/>
            <w:shd w:val="clear" w:color="auto" w:fill="FFFFFF"/>
            <w:vAlign w:val="center"/>
            <w:hideMark/>
          </w:tcPr>
          <w:p w14:paraId="17E55E1A"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2.000,00</w:t>
            </w:r>
          </w:p>
        </w:tc>
        <w:tc>
          <w:tcPr>
            <w:tcW w:w="1280" w:type="dxa"/>
            <w:shd w:val="clear" w:color="auto" w:fill="FFFFFF"/>
            <w:vAlign w:val="center"/>
            <w:hideMark/>
          </w:tcPr>
          <w:p w14:paraId="5557CE5B"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4.300,00</w:t>
            </w:r>
          </w:p>
        </w:tc>
        <w:tc>
          <w:tcPr>
            <w:tcW w:w="980" w:type="dxa"/>
            <w:gridSpan w:val="2"/>
            <w:shd w:val="clear" w:color="auto" w:fill="FFFFFF"/>
            <w:vAlign w:val="center"/>
            <w:hideMark/>
          </w:tcPr>
          <w:p w14:paraId="24945AC4"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215,00</w:t>
            </w:r>
          </w:p>
        </w:tc>
        <w:tc>
          <w:tcPr>
            <w:tcW w:w="1360" w:type="dxa"/>
            <w:shd w:val="clear" w:color="auto" w:fill="FFFFFF"/>
            <w:vAlign w:val="center"/>
            <w:hideMark/>
          </w:tcPr>
          <w:p w14:paraId="6A6AE5A5"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6.300,00</w:t>
            </w:r>
          </w:p>
        </w:tc>
      </w:tr>
      <w:tr w:rsidR="00863D50" w:rsidRPr="000A0BF4" w14:paraId="434C3CE6" w14:textId="77777777" w:rsidTr="000A0BF4">
        <w:trPr>
          <w:trHeight w:val="300"/>
        </w:trPr>
        <w:tc>
          <w:tcPr>
            <w:tcW w:w="940" w:type="dxa"/>
            <w:shd w:val="clear" w:color="auto" w:fill="FFFFFF"/>
            <w:vAlign w:val="center"/>
            <w:hideMark/>
          </w:tcPr>
          <w:p w14:paraId="63B56F62"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6.9.</w:t>
            </w:r>
          </w:p>
        </w:tc>
        <w:tc>
          <w:tcPr>
            <w:tcW w:w="2940" w:type="dxa"/>
            <w:shd w:val="clear" w:color="auto" w:fill="FFFFFF"/>
            <w:vAlign w:val="center"/>
            <w:hideMark/>
          </w:tcPr>
          <w:p w14:paraId="427EDC37"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DONACIJE - prihodi korisnika</w:t>
            </w:r>
          </w:p>
        </w:tc>
        <w:tc>
          <w:tcPr>
            <w:tcW w:w="1700" w:type="dxa"/>
            <w:shd w:val="clear" w:color="auto" w:fill="FFFFFF"/>
            <w:vAlign w:val="center"/>
            <w:hideMark/>
          </w:tcPr>
          <w:p w14:paraId="17D30D1D"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2.000,00</w:t>
            </w:r>
          </w:p>
        </w:tc>
        <w:tc>
          <w:tcPr>
            <w:tcW w:w="1280" w:type="dxa"/>
            <w:shd w:val="clear" w:color="auto" w:fill="FFFFFF"/>
            <w:vAlign w:val="center"/>
            <w:hideMark/>
          </w:tcPr>
          <w:p w14:paraId="16AAD0ED"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4.300,00</w:t>
            </w:r>
          </w:p>
        </w:tc>
        <w:tc>
          <w:tcPr>
            <w:tcW w:w="980" w:type="dxa"/>
            <w:gridSpan w:val="2"/>
            <w:shd w:val="clear" w:color="auto" w:fill="FFFFFF"/>
            <w:vAlign w:val="center"/>
            <w:hideMark/>
          </w:tcPr>
          <w:p w14:paraId="321DE133"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215,00</w:t>
            </w:r>
          </w:p>
        </w:tc>
        <w:tc>
          <w:tcPr>
            <w:tcW w:w="1360" w:type="dxa"/>
            <w:shd w:val="clear" w:color="auto" w:fill="FFFFFF"/>
            <w:vAlign w:val="center"/>
            <w:hideMark/>
          </w:tcPr>
          <w:p w14:paraId="3F5537D8"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6.300,00</w:t>
            </w:r>
          </w:p>
        </w:tc>
      </w:tr>
      <w:tr w:rsidR="00863D50" w:rsidRPr="000A0BF4" w14:paraId="395C3A0B" w14:textId="77777777" w:rsidTr="000A0BF4">
        <w:trPr>
          <w:trHeight w:val="390"/>
        </w:trPr>
        <w:tc>
          <w:tcPr>
            <w:tcW w:w="940" w:type="dxa"/>
            <w:shd w:val="clear" w:color="auto" w:fill="FFFFFF"/>
            <w:vAlign w:val="center"/>
            <w:hideMark/>
          </w:tcPr>
          <w:p w14:paraId="5EC91ED1"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7.</w:t>
            </w:r>
          </w:p>
        </w:tc>
        <w:tc>
          <w:tcPr>
            <w:tcW w:w="2940" w:type="dxa"/>
            <w:shd w:val="clear" w:color="auto" w:fill="FFFFFF"/>
            <w:vAlign w:val="center"/>
            <w:hideMark/>
          </w:tcPr>
          <w:p w14:paraId="64B01AE7"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PRIHODI OD NEFINANCIJSKE IMOVINE</w:t>
            </w:r>
          </w:p>
        </w:tc>
        <w:tc>
          <w:tcPr>
            <w:tcW w:w="1700" w:type="dxa"/>
            <w:shd w:val="clear" w:color="auto" w:fill="FFFFFF"/>
            <w:vAlign w:val="center"/>
            <w:hideMark/>
          </w:tcPr>
          <w:p w14:paraId="53050E19"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0,00</w:t>
            </w:r>
          </w:p>
        </w:tc>
        <w:tc>
          <w:tcPr>
            <w:tcW w:w="1280" w:type="dxa"/>
            <w:shd w:val="clear" w:color="auto" w:fill="FFFFFF"/>
            <w:vAlign w:val="center"/>
            <w:hideMark/>
          </w:tcPr>
          <w:p w14:paraId="03FAAA6E"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0,00</w:t>
            </w:r>
          </w:p>
        </w:tc>
        <w:tc>
          <w:tcPr>
            <w:tcW w:w="980" w:type="dxa"/>
            <w:gridSpan w:val="2"/>
            <w:shd w:val="clear" w:color="auto" w:fill="FFFFFF"/>
            <w:vAlign w:val="center"/>
            <w:hideMark/>
          </w:tcPr>
          <w:p w14:paraId="4268ED2A"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0,00</w:t>
            </w:r>
          </w:p>
        </w:tc>
        <w:tc>
          <w:tcPr>
            <w:tcW w:w="1360" w:type="dxa"/>
            <w:shd w:val="clear" w:color="auto" w:fill="FFFFFF"/>
            <w:vAlign w:val="center"/>
            <w:hideMark/>
          </w:tcPr>
          <w:p w14:paraId="4E5F4EBB"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0,00</w:t>
            </w:r>
          </w:p>
        </w:tc>
      </w:tr>
      <w:tr w:rsidR="00863D50" w:rsidRPr="000A0BF4" w14:paraId="55E28177" w14:textId="77777777" w:rsidTr="000A0BF4">
        <w:trPr>
          <w:trHeight w:val="390"/>
        </w:trPr>
        <w:tc>
          <w:tcPr>
            <w:tcW w:w="940" w:type="dxa"/>
            <w:shd w:val="clear" w:color="auto" w:fill="FFFFFF"/>
            <w:vAlign w:val="center"/>
            <w:hideMark/>
          </w:tcPr>
          <w:p w14:paraId="222B973B"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7.9.</w:t>
            </w:r>
          </w:p>
        </w:tc>
        <w:tc>
          <w:tcPr>
            <w:tcW w:w="2940" w:type="dxa"/>
            <w:shd w:val="clear" w:color="auto" w:fill="FFFFFF"/>
            <w:vAlign w:val="center"/>
            <w:hideMark/>
          </w:tcPr>
          <w:p w14:paraId="7D558719"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7.PRIHODI OD NEFINANCIJSKE IMOVINE</w:t>
            </w:r>
          </w:p>
        </w:tc>
        <w:tc>
          <w:tcPr>
            <w:tcW w:w="1700" w:type="dxa"/>
            <w:shd w:val="clear" w:color="auto" w:fill="FFFFFF"/>
            <w:vAlign w:val="center"/>
            <w:hideMark/>
          </w:tcPr>
          <w:p w14:paraId="552CD406"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0,00</w:t>
            </w:r>
          </w:p>
        </w:tc>
        <w:tc>
          <w:tcPr>
            <w:tcW w:w="1280" w:type="dxa"/>
            <w:shd w:val="clear" w:color="auto" w:fill="FFFFFF"/>
            <w:vAlign w:val="center"/>
            <w:hideMark/>
          </w:tcPr>
          <w:p w14:paraId="33CED374"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0,00</w:t>
            </w:r>
          </w:p>
        </w:tc>
        <w:tc>
          <w:tcPr>
            <w:tcW w:w="980" w:type="dxa"/>
            <w:gridSpan w:val="2"/>
            <w:shd w:val="clear" w:color="auto" w:fill="FFFFFF"/>
            <w:vAlign w:val="center"/>
            <w:hideMark/>
          </w:tcPr>
          <w:p w14:paraId="2092EAD9"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0,00</w:t>
            </w:r>
          </w:p>
        </w:tc>
        <w:tc>
          <w:tcPr>
            <w:tcW w:w="1360" w:type="dxa"/>
            <w:shd w:val="clear" w:color="auto" w:fill="FFFFFF"/>
            <w:vAlign w:val="center"/>
            <w:hideMark/>
          </w:tcPr>
          <w:p w14:paraId="3F485B47"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0,00</w:t>
            </w:r>
          </w:p>
        </w:tc>
      </w:tr>
      <w:tr w:rsidR="00863D50" w:rsidRPr="000A0BF4" w14:paraId="730EFDCC" w14:textId="77777777" w:rsidTr="000A0BF4">
        <w:trPr>
          <w:trHeight w:val="199"/>
        </w:trPr>
        <w:tc>
          <w:tcPr>
            <w:tcW w:w="940" w:type="dxa"/>
            <w:noWrap/>
            <w:vAlign w:val="bottom"/>
            <w:hideMark/>
          </w:tcPr>
          <w:p w14:paraId="6D8DA7CA" w14:textId="77777777" w:rsidR="00863D50" w:rsidRPr="000A0BF4" w:rsidRDefault="00863D50">
            <w:pPr>
              <w:rPr>
                <w:rFonts w:ascii="Arial" w:hAnsi="Arial" w:cs="Arial"/>
                <w:b/>
                <w:bCs/>
                <w:color w:val="000000"/>
                <w:sz w:val="16"/>
                <w:szCs w:val="16"/>
              </w:rPr>
            </w:pPr>
          </w:p>
        </w:tc>
        <w:tc>
          <w:tcPr>
            <w:tcW w:w="2940" w:type="dxa"/>
            <w:noWrap/>
            <w:vAlign w:val="bottom"/>
            <w:hideMark/>
          </w:tcPr>
          <w:p w14:paraId="6E6AF05C" w14:textId="77777777" w:rsidR="00863D50" w:rsidRPr="000A0BF4" w:rsidRDefault="00863D50">
            <w:pPr>
              <w:rPr>
                <w:rFonts w:ascii="Arial" w:hAnsi="Arial" w:cs="Arial"/>
                <w:sz w:val="20"/>
                <w:szCs w:val="20"/>
              </w:rPr>
            </w:pPr>
          </w:p>
        </w:tc>
        <w:tc>
          <w:tcPr>
            <w:tcW w:w="1700" w:type="dxa"/>
            <w:noWrap/>
            <w:vAlign w:val="bottom"/>
            <w:hideMark/>
          </w:tcPr>
          <w:p w14:paraId="1793DC8E" w14:textId="77777777" w:rsidR="00863D50" w:rsidRPr="000A0BF4" w:rsidRDefault="00863D50">
            <w:pPr>
              <w:rPr>
                <w:rFonts w:ascii="Arial" w:hAnsi="Arial" w:cs="Arial"/>
                <w:sz w:val="20"/>
                <w:szCs w:val="20"/>
              </w:rPr>
            </w:pPr>
          </w:p>
        </w:tc>
        <w:tc>
          <w:tcPr>
            <w:tcW w:w="1280" w:type="dxa"/>
            <w:noWrap/>
            <w:vAlign w:val="bottom"/>
            <w:hideMark/>
          </w:tcPr>
          <w:p w14:paraId="1E80F30D" w14:textId="77777777" w:rsidR="00863D50" w:rsidRPr="000A0BF4" w:rsidRDefault="00863D50">
            <w:pPr>
              <w:rPr>
                <w:rFonts w:ascii="Arial" w:hAnsi="Arial" w:cs="Arial"/>
                <w:sz w:val="20"/>
                <w:szCs w:val="20"/>
              </w:rPr>
            </w:pPr>
          </w:p>
        </w:tc>
        <w:tc>
          <w:tcPr>
            <w:tcW w:w="160" w:type="dxa"/>
            <w:noWrap/>
            <w:vAlign w:val="bottom"/>
            <w:hideMark/>
          </w:tcPr>
          <w:p w14:paraId="53F90DCB" w14:textId="77777777" w:rsidR="00863D50" w:rsidRPr="000A0BF4" w:rsidRDefault="00863D50">
            <w:pPr>
              <w:rPr>
                <w:rFonts w:ascii="Arial" w:hAnsi="Arial" w:cs="Arial"/>
                <w:sz w:val="22"/>
                <w:szCs w:val="22"/>
              </w:rPr>
            </w:pPr>
            <w:r w:rsidRPr="000A0BF4">
              <w:rPr>
                <w:rFonts w:ascii="Arial" w:hAnsi="Arial" w:cs="Arial"/>
                <w:sz w:val="22"/>
              </w:rPr>
              <w:t> </w:t>
            </w:r>
          </w:p>
        </w:tc>
        <w:tc>
          <w:tcPr>
            <w:tcW w:w="820" w:type="dxa"/>
            <w:noWrap/>
            <w:vAlign w:val="bottom"/>
            <w:hideMark/>
          </w:tcPr>
          <w:p w14:paraId="1492F6F2" w14:textId="77777777" w:rsidR="00863D50" w:rsidRPr="000A0BF4" w:rsidRDefault="00863D50">
            <w:pPr>
              <w:rPr>
                <w:rFonts w:ascii="Arial" w:hAnsi="Arial" w:cs="Arial"/>
                <w:sz w:val="22"/>
              </w:rPr>
            </w:pPr>
            <w:r w:rsidRPr="000A0BF4">
              <w:rPr>
                <w:rFonts w:ascii="Arial" w:hAnsi="Arial" w:cs="Arial"/>
                <w:sz w:val="22"/>
              </w:rPr>
              <w:t> </w:t>
            </w:r>
          </w:p>
        </w:tc>
        <w:tc>
          <w:tcPr>
            <w:tcW w:w="1360" w:type="dxa"/>
            <w:noWrap/>
            <w:vAlign w:val="bottom"/>
            <w:hideMark/>
          </w:tcPr>
          <w:p w14:paraId="65185F5A" w14:textId="77777777" w:rsidR="00863D50" w:rsidRPr="000A0BF4" w:rsidRDefault="00863D50">
            <w:pPr>
              <w:rPr>
                <w:rFonts w:ascii="Arial" w:hAnsi="Arial" w:cs="Arial"/>
                <w:sz w:val="22"/>
              </w:rPr>
            </w:pPr>
          </w:p>
        </w:tc>
      </w:tr>
      <w:tr w:rsidR="00863D50" w:rsidRPr="000A0BF4" w14:paraId="0F38C13E" w14:textId="77777777" w:rsidTr="000A0BF4">
        <w:trPr>
          <w:trHeight w:val="450"/>
        </w:trPr>
        <w:tc>
          <w:tcPr>
            <w:tcW w:w="940" w:type="dxa"/>
            <w:vAlign w:val="center"/>
            <w:hideMark/>
          </w:tcPr>
          <w:p w14:paraId="212B6FDA" w14:textId="77777777" w:rsidR="00863D50" w:rsidRPr="000A0BF4" w:rsidRDefault="00863D50">
            <w:pPr>
              <w:jc w:val="center"/>
              <w:rPr>
                <w:rFonts w:ascii="Arial" w:hAnsi="Arial" w:cs="Arial"/>
                <w:color w:val="000000"/>
                <w:sz w:val="16"/>
                <w:szCs w:val="16"/>
              </w:rPr>
            </w:pPr>
            <w:r w:rsidRPr="000A0BF4">
              <w:rPr>
                <w:rFonts w:ascii="Arial" w:hAnsi="Arial" w:cs="Arial"/>
                <w:color w:val="000000"/>
                <w:sz w:val="16"/>
                <w:szCs w:val="16"/>
              </w:rPr>
              <w:t>BROJ KONTA</w:t>
            </w:r>
          </w:p>
        </w:tc>
        <w:tc>
          <w:tcPr>
            <w:tcW w:w="2940" w:type="dxa"/>
            <w:vAlign w:val="center"/>
            <w:hideMark/>
          </w:tcPr>
          <w:p w14:paraId="1A6EB1AC" w14:textId="77777777" w:rsidR="00863D50" w:rsidRPr="000A0BF4" w:rsidRDefault="00863D50">
            <w:pPr>
              <w:jc w:val="center"/>
              <w:rPr>
                <w:rFonts w:ascii="Arial" w:hAnsi="Arial" w:cs="Arial"/>
                <w:color w:val="000000"/>
                <w:sz w:val="16"/>
                <w:szCs w:val="16"/>
              </w:rPr>
            </w:pPr>
            <w:r w:rsidRPr="000A0BF4">
              <w:rPr>
                <w:rFonts w:ascii="Arial" w:hAnsi="Arial" w:cs="Arial"/>
                <w:color w:val="000000"/>
                <w:sz w:val="16"/>
                <w:szCs w:val="16"/>
              </w:rPr>
              <w:t>VRSTA RASHODA / IZDATAKA</w:t>
            </w:r>
          </w:p>
        </w:tc>
        <w:tc>
          <w:tcPr>
            <w:tcW w:w="1700" w:type="dxa"/>
            <w:vAlign w:val="center"/>
            <w:hideMark/>
          </w:tcPr>
          <w:p w14:paraId="23A2E529" w14:textId="77777777" w:rsidR="00863D50" w:rsidRPr="000A0BF4" w:rsidRDefault="00863D50">
            <w:pPr>
              <w:jc w:val="center"/>
              <w:rPr>
                <w:rFonts w:ascii="Arial" w:hAnsi="Arial" w:cs="Arial"/>
                <w:color w:val="000000"/>
                <w:sz w:val="16"/>
                <w:szCs w:val="16"/>
              </w:rPr>
            </w:pPr>
            <w:r w:rsidRPr="000A0BF4">
              <w:rPr>
                <w:rFonts w:ascii="Arial" w:hAnsi="Arial" w:cs="Arial"/>
                <w:color w:val="000000"/>
                <w:sz w:val="16"/>
                <w:szCs w:val="16"/>
              </w:rPr>
              <w:t>PLANIRANO</w:t>
            </w:r>
          </w:p>
        </w:tc>
        <w:tc>
          <w:tcPr>
            <w:tcW w:w="1280" w:type="dxa"/>
            <w:vAlign w:val="center"/>
            <w:hideMark/>
          </w:tcPr>
          <w:p w14:paraId="3B3E08EC" w14:textId="77777777" w:rsidR="00863D50" w:rsidRPr="000A0BF4" w:rsidRDefault="00863D50">
            <w:pPr>
              <w:jc w:val="center"/>
              <w:rPr>
                <w:rFonts w:ascii="Arial" w:hAnsi="Arial" w:cs="Arial"/>
                <w:color w:val="000000"/>
                <w:sz w:val="16"/>
                <w:szCs w:val="16"/>
              </w:rPr>
            </w:pPr>
            <w:r w:rsidRPr="000A0BF4">
              <w:rPr>
                <w:rFonts w:ascii="Arial" w:hAnsi="Arial" w:cs="Arial"/>
                <w:color w:val="000000"/>
                <w:sz w:val="16"/>
                <w:szCs w:val="16"/>
              </w:rPr>
              <w:t>PROMJENA IZNOS</w:t>
            </w:r>
          </w:p>
        </w:tc>
        <w:tc>
          <w:tcPr>
            <w:tcW w:w="980" w:type="dxa"/>
            <w:gridSpan w:val="2"/>
            <w:vAlign w:val="center"/>
            <w:hideMark/>
          </w:tcPr>
          <w:p w14:paraId="55E913F5" w14:textId="77777777" w:rsidR="00863D50" w:rsidRPr="000A0BF4" w:rsidRDefault="00863D50">
            <w:pPr>
              <w:jc w:val="center"/>
              <w:rPr>
                <w:rFonts w:ascii="Arial" w:hAnsi="Arial" w:cs="Arial"/>
                <w:color w:val="000000"/>
                <w:sz w:val="16"/>
                <w:szCs w:val="16"/>
              </w:rPr>
            </w:pPr>
            <w:r w:rsidRPr="000A0BF4">
              <w:rPr>
                <w:rFonts w:ascii="Arial" w:hAnsi="Arial" w:cs="Arial"/>
                <w:color w:val="000000"/>
                <w:sz w:val="16"/>
                <w:szCs w:val="16"/>
              </w:rPr>
              <w:t>PROMJENA (%)</w:t>
            </w:r>
          </w:p>
        </w:tc>
        <w:tc>
          <w:tcPr>
            <w:tcW w:w="1360" w:type="dxa"/>
            <w:vAlign w:val="center"/>
            <w:hideMark/>
          </w:tcPr>
          <w:p w14:paraId="69AF901E" w14:textId="77777777" w:rsidR="00863D50" w:rsidRPr="000A0BF4" w:rsidRDefault="00863D50">
            <w:pPr>
              <w:jc w:val="center"/>
              <w:rPr>
                <w:rFonts w:ascii="Arial" w:hAnsi="Arial" w:cs="Arial"/>
                <w:color w:val="000000"/>
                <w:sz w:val="16"/>
                <w:szCs w:val="16"/>
              </w:rPr>
            </w:pPr>
            <w:r w:rsidRPr="000A0BF4">
              <w:rPr>
                <w:rFonts w:ascii="Arial" w:hAnsi="Arial" w:cs="Arial"/>
                <w:color w:val="000000"/>
                <w:sz w:val="16"/>
                <w:szCs w:val="16"/>
              </w:rPr>
              <w:t>NOVI IZNOS</w:t>
            </w:r>
          </w:p>
        </w:tc>
      </w:tr>
      <w:tr w:rsidR="00863D50" w:rsidRPr="000A0BF4" w14:paraId="1A3119A3" w14:textId="77777777" w:rsidTr="000A0BF4">
        <w:trPr>
          <w:trHeight w:val="300"/>
        </w:trPr>
        <w:tc>
          <w:tcPr>
            <w:tcW w:w="940" w:type="dxa"/>
            <w:shd w:val="clear" w:color="auto" w:fill="696969"/>
            <w:vAlign w:val="center"/>
            <w:hideMark/>
          </w:tcPr>
          <w:p w14:paraId="0F5A220C" w14:textId="77777777" w:rsidR="00863D50" w:rsidRPr="000A0BF4" w:rsidRDefault="00863D50">
            <w:pPr>
              <w:rPr>
                <w:rFonts w:ascii="Arial" w:hAnsi="Arial" w:cs="Arial"/>
                <w:b/>
                <w:bCs/>
                <w:color w:val="FFFFFF"/>
                <w:sz w:val="16"/>
                <w:szCs w:val="16"/>
              </w:rPr>
            </w:pPr>
            <w:r w:rsidRPr="000A0BF4">
              <w:rPr>
                <w:rFonts w:ascii="Arial" w:hAnsi="Arial" w:cs="Arial"/>
                <w:b/>
                <w:bCs/>
                <w:color w:val="FFFFFF"/>
                <w:sz w:val="16"/>
                <w:szCs w:val="16"/>
              </w:rPr>
              <w:t> </w:t>
            </w:r>
          </w:p>
        </w:tc>
        <w:tc>
          <w:tcPr>
            <w:tcW w:w="2940" w:type="dxa"/>
            <w:shd w:val="clear" w:color="auto" w:fill="696969"/>
            <w:vAlign w:val="center"/>
            <w:hideMark/>
          </w:tcPr>
          <w:p w14:paraId="0FD8D485" w14:textId="77777777" w:rsidR="00863D50" w:rsidRPr="000A0BF4" w:rsidRDefault="00863D50">
            <w:pPr>
              <w:rPr>
                <w:rFonts w:ascii="Arial" w:hAnsi="Arial" w:cs="Arial"/>
                <w:b/>
                <w:bCs/>
                <w:color w:val="FFFFFF"/>
                <w:sz w:val="16"/>
                <w:szCs w:val="16"/>
              </w:rPr>
            </w:pPr>
            <w:r w:rsidRPr="000A0BF4">
              <w:rPr>
                <w:rFonts w:ascii="Arial" w:hAnsi="Arial" w:cs="Arial"/>
                <w:b/>
                <w:bCs/>
                <w:color w:val="FFFFFF"/>
                <w:sz w:val="16"/>
                <w:szCs w:val="16"/>
              </w:rPr>
              <w:t>SVEUKUPNO RASHODI / IZDACI</w:t>
            </w:r>
          </w:p>
        </w:tc>
        <w:tc>
          <w:tcPr>
            <w:tcW w:w="1700" w:type="dxa"/>
            <w:shd w:val="clear" w:color="auto" w:fill="696969"/>
            <w:vAlign w:val="center"/>
            <w:hideMark/>
          </w:tcPr>
          <w:p w14:paraId="0C5DA19A" w14:textId="77777777" w:rsidR="00863D50" w:rsidRPr="000A0BF4" w:rsidRDefault="00863D50">
            <w:pPr>
              <w:jc w:val="right"/>
              <w:rPr>
                <w:rFonts w:ascii="Arial" w:hAnsi="Arial" w:cs="Arial"/>
                <w:b/>
                <w:bCs/>
                <w:color w:val="FFFFFF"/>
                <w:sz w:val="16"/>
                <w:szCs w:val="16"/>
              </w:rPr>
            </w:pPr>
            <w:r w:rsidRPr="000A0BF4">
              <w:rPr>
                <w:rFonts w:ascii="Arial" w:hAnsi="Arial" w:cs="Arial"/>
                <w:b/>
                <w:bCs/>
                <w:color w:val="FFFFFF"/>
                <w:sz w:val="16"/>
                <w:szCs w:val="16"/>
              </w:rPr>
              <w:t>1.964.356,00</w:t>
            </w:r>
          </w:p>
        </w:tc>
        <w:tc>
          <w:tcPr>
            <w:tcW w:w="1280" w:type="dxa"/>
            <w:shd w:val="clear" w:color="auto" w:fill="696969"/>
            <w:vAlign w:val="center"/>
            <w:hideMark/>
          </w:tcPr>
          <w:p w14:paraId="7F0D35A8" w14:textId="77777777" w:rsidR="00863D50" w:rsidRPr="000A0BF4" w:rsidRDefault="00863D50">
            <w:pPr>
              <w:jc w:val="right"/>
              <w:rPr>
                <w:rFonts w:ascii="Arial" w:hAnsi="Arial" w:cs="Arial"/>
                <w:b/>
                <w:bCs/>
                <w:color w:val="FFFFFF"/>
                <w:sz w:val="16"/>
                <w:szCs w:val="16"/>
              </w:rPr>
            </w:pPr>
            <w:r w:rsidRPr="000A0BF4">
              <w:rPr>
                <w:rFonts w:ascii="Arial" w:hAnsi="Arial" w:cs="Arial"/>
                <w:b/>
                <w:bCs/>
                <w:color w:val="FFFFFF"/>
                <w:sz w:val="16"/>
                <w:szCs w:val="16"/>
              </w:rPr>
              <w:t>55.757,00</w:t>
            </w:r>
          </w:p>
        </w:tc>
        <w:tc>
          <w:tcPr>
            <w:tcW w:w="980" w:type="dxa"/>
            <w:gridSpan w:val="2"/>
            <w:shd w:val="clear" w:color="auto" w:fill="696969"/>
            <w:vAlign w:val="center"/>
            <w:hideMark/>
          </w:tcPr>
          <w:p w14:paraId="38D06E62" w14:textId="77777777" w:rsidR="00863D50" w:rsidRPr="000A0BF4" w:rsidRDefault="00863D50">
            <w:pPr>
              <w:jc w:val="right"/>
              <w:rPr>
                <w:rFonts w:ascii="Arial" w:hAnsi="Arial" w:cs="Arial"/>
                <w:b/>
                <w:bCs/>
                <w:color w:val="FFFFFF"/>
                <w:sz w:val="16"/>
                <w:szCs w:val="16"/>
              </w:rPr>
            </w:pPr>
            <w:r w:rsidRPr="000A0BF4">
              <w:rPr>
                <w:rFonts w:ascii="Arial" w:hAnsi="Arial" w:cs="Arial"/>
                <w:b/>
                <w:bCs/>
                <w:color w:val="FFFFFF"/>
                <w:sz w:val="16"/>
                <w:szCs w:val="16"/>
              </w:rPr>
              <w:t>2,84</w:t>
            </w:r>
          </w:p>
        </w:tc>
        <w:tc>
          <w:tcPr>
            <w:tcW w:w="1360" w:type="dxa"/>
            <w:shd w:val="clear" w:color="auto" w:fill="696969"/>
            <w:vAlign w:val="center"/>
            <w:hideMark/>
          </w:tcPr>
          <w:p w14:paraId="2F278549" w14:textId="77777777" w:rsidR="00863D50" w:rsidRPr="000A0BF4" w:rsidRDefault="00863D50">
            <w:pPr>
              <w:jc w:val="right"/>
              <w:rPr>
                <w:rFonts w:ascii="Arial" w:hAnsi="Arial" w:cs="Arial"/>
                <w:b/>
                <w:bCs/>
                <w:color w:val="FFFFFF"/>
                <w:sz w:val="16"/>
                <w:szCs w:val="16"/>
              </w:rPr>
            </w:pPr>
            <w:r w:rsidRPr="000A0BF4">
              <w:rPr>
                <w:rFonts w:ascii="Arial" w:hAnsi="Arial" w:cs="Arial"/>
                <w:b/>
                <w:bCs/>
                <w:color w:val="FFFFFF"/>
                <w:sz w:val="16"/>
                <w:szCs w:val="16"/>
              </w:rPr>
              <w:t>2.020.113,00</w:t>
            </w:r>
          </w:p>
        </w:tc>
      </w:tr>
      <w:tr w:rsidR="00863D50" w:rsidRPr="000A0BF4" w14:paraId="564C96EC" w14:textId="77777777" w:rsidTr="000A0BF4">
        <w:trPr>
          <w:trHeight w:val="300"/>
        </w:trPr>
        <w:tc>
          <w:tcPr>
            <w:tcW w:w="940" w:type="dxa"/>
            <w:shd w:val="clear" w:color="auto" w:fill="FFFFFF"/>
            <w:vAlign w:val="center"/>
            <w:hideMark/>
          </w:tcPr>
          <w:p w14:paraId="68B14D11"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1.</w:t>
            </w:r>
          </w:p>
        </w:tc>
        <w:tc>
          <w:tcPr>
            <w:tcW w:w="2940" w:type="dxa"/>
            <w:shd w:val="clear" w:color="auto" w:fill="FFFFFF"/>
            <w:vAlign w:val="center"/>
            <w:hideMark/>
          </w:tcPr>
          <w:p w14:paraId="74E6709F"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OPĆI PRIHODI I PRIMICI</w:t>
            </w:r>
          </w:p>
        </w:tc>
        <w:tc>
          <w:tcPr>
            <w:tcW w:w="1700" w:type="dxa"/>
            <w:shd w:val="clear" w:color="auto" w:fill="FFFFFF"/>
            <w:vAlign w:val="center"/>
            <w:hideMark/>
          </w:tcPr>
          <w:p w14:paraId="477B6FBC"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168.600,00</w:t>
            </w:r>
          </w:p>
        </w:tc>
        <w:tc>
          <w:tcPr>
            <w:tcW w:w="1280" w:type="dxa"/>
            <w:shd w:val="clear" w:color="auto" w:fill="FFFFFF"/>
            <w:vAlign w:val="center"/>
            <w:hideMark/>
          </w:tcPr>
          <w:p w14:paraId="657A4F65"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12.000,00</w:t>
            </w:r>
          </w:p>
        </w:tc>
        <w:tc>
          <w:tcPr>
            <w:tcW w:w="980" w:type="dxa"/>
            <w:gridSpan w:val="2"/>
            <w:shd w:val="clear" w:color="auto" w:fill="FFFFFF"/>
            <w:vAlign w:val="center"/>
            <w:hideMark/>
          </w:tcPr>
          <w:p w14:paraId="2044B634"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7,12</w:t>
            </w:r>
          </w:p>
        </w:tc>
        <w:tc>
          <w:tcPr>
            <w:tcW w:w="1360" w:type="dxa"/>
            <w:shd w:val="clear" w:color="auto" w:fill="FFFFFF"/>
            <w:vAlign w:val="center"/>
            <w:hideMark/>
          </w:tcPr>
          <w:p w14:paraId="070E9A92"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180.600,00</w:t>
            </w:r>
          </w:p>
        </w:tc>
      </w:tr>
      <w:tr w:rsidR="00863D50" w:rsidRPr="000A0BF4" w14:paraId="2825C044" w14:textId="77777777" w:rsidTr="000A0BF4">
        <w:trPr>
          <w:trHeight w:val="390"/>
        </w:trPr>
        <w:tc>
          <w:tcPr>
            <w:tcW w:w="940" w:type="dxa"/>
            <w:shd w:val="clear" w:color="auto" w:fill="FFFFFF"/>
            <w:vAlign w:val="center"/>
            <w:hideMark/>
          </w:tcPr>
          <w:p w14:paraId="5346CB4D"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1.1.</w:t>
            </w:r>
          </w:p>
        </w:tc>
        <w:tc>
          <w:tcPr>
            <w:tcW w:w="2940" w:type="dxa"/>
            <w:shd w:val="clear" w:color="auto" w:fill="FFFFFF"/>
            <w:vAlign w:val="center"/>
            <w:hideMark/>
          </w:tcPr>
          <w:p w14:paraId="5DF23491"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PRIHODI IZ NADLEŽNOG PRORAČUNA</w:t>
            </w:r>
          </w:p>
        </w:tc>
        <w:tc>
          <w:tcPr>
            <w:tcW w:w="1700" w:type="dxa"/>
            <w:shd w:val="clear" w:color="auto" w:fill="FFFFFF"/>
            <w:vAlign w:val="center"/>
            <w:hideMark/>
          </w:tcPr>
          <w:p w14:paraId="2FD79896"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168.600,00</w:t>
            </w:r>
          </w:p>
        </w:tc>
        <w:tc>
          <w:tcPr>
            <w:tcW w:w="1280" w:type="dxa"/>
            <w:shd w:val="clear" w:color="auto" w:fill="FFFFFF"/>
            <w:vAlign w:val="center"/>
            <w:hideMark/>
          </w:tcPr>
          <w:p w14:paraId="7D057A45"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12.000,00</w:t>
            </w:r>
          </w:p>
        </w:tc>
        <w:tc>
          <w:tcPr>
            <w:tcW w:w="980" w:type="dxa"/>
            <w:gridSpan w:val="2"/>
            <w:shd w:val="clear" w:color="auto" w:fill="FFFFFF"/>
            <w:vAlign w:val="center"/>
            <w:hideMark/>
          </w:tcPr>
          <w:p w14:paraId="5630A9B8"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7,12</w:t>
            </w:r>
          </w:p>
        </w:tc>
        <w:tc>
          <w:tcPr>
            <w:tcW w:w="1360" w:type="dxa"/>
            <w:shd w:val="clear" w:color="auto" w:fill="FFFFFF"/>
            <w:vAlign w:val="center"/>
            <w:hideMark/>
          </w:tcPr>
          <w:p w14:paraId="23EBCD0A"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180.600,00</w:t>
            </w:r>
          </w:p>
        </w:tc>
      </w:tr>
      <w:tr w:rsidR="00863D50" w:rsidRPr="000A0BF4" w14:paraId="636C0F06" w14:textId="77777777" w:rsidTr="000A0BF4">
        <w:trPr>
          <w:trHeight w:val="300"/>
        </w:trPr>
        <w:tc>
          <w:tcPr>
            <w:tcW w:w="940" w:type="dxa"/>
            <w:shd w:val="clear" w:color="auto" w:fill="FFFFFF"/>
            <w:vAlign w:val="center"/>
            <w:hideMark/>
          </w:tcPr>
          <w:p w14:paraId="4B4DBD0E"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3.</w:t>
            </w:r>
          </w:p>
        </w:tc>
        <w:tc>
          <w:tcPr>
            <w:tcW w:w="2940" w:type="dxa"/>
            <w:shd w:val="clear" w:color="auto" w:fill="FFFFFF"/>
            <w:vAlign w:val="center"/>
            <w:hideMark/>
          </w:tcPr>
          <w:p w14:paraId="005A9F73"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VLASTITI PRIHODI</w:t>
            </w:r>
          </w:p>
        </w:tc>
        <w:tc>
          <w:tcPr>
            <w:tcW w:w="1700" w:type="dxa"/>
            <w:shd w:val="clear" w:color="auto" w:fill="FFFFFF"/>
            <w:vAlign w:val="center"/>
            <w:hideMark/>
          </w:tcPr>
          <w:p w14:paraId="2FA3BEB1"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2.500,00</w:t>
            </w:r>
          </w:p>
        </w:tc>
        <w:tc>
          <w:tcPr>
            <w:tcW w:w="1280" w:type="dxa"/>
            <w:shd w:val="clear" w:color="auto" w:fill="FFFFFF"/>
            <w:vAlign w:val="center"/>
            <w:hideMark/>
          </w:tcPr>
          <w:p w14:paraId="37D763D2"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2.735,00</w:t>
            </w:r>
          </w:p>
        </w:tc>
        <w:tc>
          <w:tcPr>
            <w:tcW w:w="980" w:type="dxa"/>
            <w:gridSpan w:val="2"/>
            <w:shd w:val="clear" w:color="auto" w:fill="FFFFFF"/>
            <w:vAlign w:val="center"/>
            <w:hideMark/>
          </w:tcPr>
          <w:p w14:paraId="5D1D3725"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109,40</w:t>
            </w:r>
          </w:p>
        </w:tc>
        <w:tc>
          <w:tcPr>
            <w:tcW w:w="1360" w:type="dxa"/>
            <w:shd w:val="clear" w:color="auto" w:fill="FFFFFF"/>
            <w:vAlign w:val="center"/>
            <w:hideMark/>
          </w:tcPr>
          <w:p w14:paraId="44D967B3"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5.235,00</w:t>
            </w:r>
          </w:p>
        </w:tc>
      </w:tr>
      <w:tr w:rsidR="00863D50" w:rsidRPr="000A0BF4" w14:paraId="40F1EFB1" w14:textId="77777777" w:rsidTr="000A0BF4">
        <w:trPr>
          <w:trHeight w:val="300"/>
        </w:trPr>
        <w:tc>
          <w:tcPr>
            <w:tcW w:w="940" w:type="dxa"/>
            <w:shd w:val="clear" w:color="auto" w:fill="FFFFFF"/>
            <w:vAlign w:val="center"/>
            <w:hideMark/>
          </w:tcPr>
          <w:p w14:paraId="43894095"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3.9.</w:t>
            </w:r>
          </w:p>
        </w:tc>
        <w:tc>
          <w:tcPr>
            <w:tcW w:w="2940" w:type="dxa"/>
            <w:shd w:val="clear" w:color="auto" w:fill="FFFFFF"/>
            <w:vAlign w:val="center"/>
            <w:hideMark/>
          </w:tcPr>
          <w:p w14:paraId="037F6116"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VLASTITI PRIHODI</w:t>
            </w:r>
          </w:p>
        </w:tc>
        <w:tc>
          <w:tcPr>
            <w:tcW w:w="1700" w:type="dxa"/>
            <w:shd w:val="clear" w:color="auto" w:fill="FFFFFF"/>
            <w:vAlign w:val="center"/>
            <w:hideMark/>
          </w:tcPr>
          <w:p w14:paraId="48BC2B02"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2.500,00</w:t>
            </w:r>
          </w:p>
        </w:tc>
        <w:tc>
          <w:tcPr>
            <w:tcW w:w="1280" w:type="dxa"/>
            <w:shd w:val="clear" w:color="auto" w:fill="FFFFFF"/>
            <w:vAlign w:val="center"/>
            <w:hideMark/>
          </w:tcPr>
          <w:p w14:paraId="75CAD765"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2.735,00</w:t>
            </w:r>
          </w:p>
        </w:tc>
        <w:tc>
          <w:tcPr>
            <w:tcW w:w="980" w:type="dxa"/>
            <w:gridSpan w:val="2"/>
            <w:shd w:val="clear" w:color="auto" w:fill="FFFFFF"/>
            <w:vAlign w:val="center"/>
            <w:hideMark/>
          </w:tcPr>
          <w:p w14:paraId="01B63E92"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109,40</w:t>
            </w:r>
          </w:p>
        </w:tc>
        <w:tc>
          <w:tcPr>
            <w:tcW w:w="1360" w:type="dxa"/>
            <w:shd w:val="clear" w:color="auto" w:fill="FFFFFF"/>
            <w:vAlign w:val="center"/>
            <w:hideMark/>
          </w:tcPr>
          <w:p w14:paraId="478B2AB3"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5.235,00</w:t>
            </w:r>
          </w:p>
        </w:tc>
      </w:tr>
      <w:tr w:rsidR="00863D50" w:rsidRPr="000A0BF4" w14:paraId="270E2544" w14:textId="77777777" w:rsidTr="000A0BF4">
        <w:trPr>
          <w:trHeight w:val="300"/>
        </w:trPr>
        <w:tc>
          <w:tcPr>
            <w:tcW w:w="940" w:type="dxa"/>
            <w:shd w:val="clear" w:color="auto" w:fill="FFFFFF"/>
            <w:vAlign w:val="center"/>
            <w:hideMark/>
          </w:tcPr>
          <w:p w14:paraId="1C8541E7"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4.</w:t>
            </w:r>
          </w:p>
        </w:tc>
        <w:tc>
          <w:tcPr>
            <w:tcW w:w="2940" w:type="dxa"/>
            <w:shd w:val="clear" w:color="auto" w:fill="FFFFFF"/>
            <w:vAlign w:val="center"/>
            <w:hideMark/>
          </w:tcPr>
          <w:p w14:paraId="3F3E0446"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PRIHODI ZA POSEBNE NAMJENE</w:t>
            </w:r>
          </w:p>
        </w:tc>
        <w:tc>
          <w:tcPr>
            <w:tcW w:w="1700" w:type="dxa"/>
            <w:shd w:val="clear" w:color="auto" w:fill="FFFFFF"/>
            <w:vAlign w:val="center"/>
            <w:hideMark/>
          </w:tcPr>
          <w:p w14:paraId="4936C49A"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79.750,00</w:t>
            </w:r>
          </w:p>
        </w:tc>
        <w:tc>
          <w:tcPr>
            <w:tcW w:w="1280" w:type="dxa"/>
            <w:shd w:val="clear" w:color="auto" w:fill="FFFFFF"/>
            <w:vAlign w:val="center"/>
            <w:hideMark/>
          </w:tcPr>
          <w:p w14:paraId="5521133F"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2.292,00</w:t>
            </w:r>
          </w:p>
        </w:tc>
        <w:tc>
          <w:tcPr>
            <w:tcW w:w="980" w:type="dxa"/>
            <w:gridSpan w:val="2"/>
            <w:shd w:val="clear" w:color="auto" w:fill="FFFFFF"/>
            <w:vAlign w:val="center"/>
            <w:hideMark/>
          </w:tcPr>
          <w:p w14:paraId="70EC46C7"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2,87</w:t>
            </w:r>
          </w:p>
        </w:tc>
        <w:tc>
          <w:tcPr>
            <w:tcW w:w="1360" w:type="dxa"/>
            <w:shd w:val="clear" w:color="auto" w:fill="FFFFFF"/>
            <w:vAlign w:val="center"/>
            <w:hideMark/>
          </w:tcPr>
          <w:p w14:paraId="336439E7"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82.042,00</w:t>
            </w:r>
          </w:p>
        </w:tc>
      </w:tr>
      <w:tr w:rsidR="00863D50" w:rsidRPr="000A0BF4" w14:paraId="0ECA2B03" w14:textId="77777777" w:rsidTr="000A0BF4">
        <w:trPr>
          <w:trHeight w:val="300"/>
        </w:trPr>
        <w:tc>
          <w:tcPr>
            <w:tcW w:w="940" w:type="dxa"/>
            <w:shd w:val="clear" w:color="auto" w:fill="FFFFFF"/>
            <w:vAlign w:val="center"/>
            <w:hideMark/>
          </w:tcPr>
          <w:p w14:paraId="64B86D14"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4.9.</w:t>
            </w:r>
          </w:p>
        </w:tc>
        <w:tc>
          <w:tcPr>
            <w:tcW w:w="2940" w:type="dxa"/>
            <w:shd w:val="clear" w:color="auto" w:fill="FFFFFF"/>
            <w:vAlign w:val="center"/>
            <w:hideMark/>
          </w:tcPr>
          <w:p w14:paraId="123D8E22"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PRIHODI ZA POSEBNE NAMJENE</w:t>
            </w:r>
          </w:p>
        </w:tc>
        <w:tc>
          <w:tcPr>
            <w:tcW w:w="1700" w:type="dxa"/>
            <w:shd w:val="clear" w:color="auto" w:fill="FFFFFF"/>
            <w:vAlign w:val="center"/>
            <w:hideMark/>
          </w:tcPr>
          <w:p w14:paraId="5E82571C"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79.750,00</w:t>
            </w:r>
          </w:p>
        </w:tc>
        <w:tc>
          <w:tcPr>
            <w:tcW w:w="1280" w:type="dxa"/>
            <w:shd w:val="clear" w:color="auto" w:fill="FFFFFF"/>
            <w:vAlign w:val="center"/>
            <w:hideMark/>
          </w:tcPr>
          <w:p w14:paraId="4954C62E"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2.292,00</w:t>
            </w:r>
          </w:p>
        </w:tc>
        <w:tc>
          <w:tcPr>
            <w:tcW w:w="980" w:type="dxa"/>
            <w:gridSpan w:val="2"/>
            <w:shd w:val="clear" w:color="auto" w:fill="FFFFFF"/>
            <w:vAlign w:val="center"/>
            <w:hideMark/>
          </w:tcPr>
          <w:p w14:paraId="5443B9F6"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2,87</w:t>
            </w:r>
          </w:p>
        </w:tc>
        <w:tc>
          <w:tcPr>
            <w:tcW w:w="1360" w:type="dxa"/>
            <w:shd w:val="clear" w:color="auto" w:fill="FFFFFF"/>
            <w:vAlign w:val="center"/>
            <w:hideMark/>
          </w:tcPr>
          <w:p w14:paraId="4541F7BF"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82.042,00</w:t>
            </w:r>
          </w:p>
        </w:tc>
      </w:tr>
      <w:tr w:rsidR="00863D50" w:rsidRPr="000A0BF4" w14:paraId="5A60D53B" w14:textId="77777777" w:rsidTr="000A0BF4">
        <w:trPr>
          <w:trHeight w:val="300"/>
        </w:trPr>
        <w:tc>
          <w:tcPr>
            <w:tcW w:w="940" w:type="dxa"/>
            <w:shd w:val="clear" w:color="auto" w:fill="FFFFFF"/>
            <w:vAlign w:val="center"/>
            <w:hideMark/>
          </w:tcPr>
          <w:p w14:paraId="7CE0D6A5"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5.</w:t>
            </w:r>
          </w:p>
        </w:tc>
        <w:tc>
          <w:tcPr>
            <w:tcW w:w="2940" w:type="dxa"/>
            <w:shd w:val="clear" w:color="auto" w:fill="FFFFFF"/>
            <w:vAlign w:val="center"/>
            <w:hideMark/>
          </w:tcPr>
          <w:p w14:paraId="58977FDC"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POMOĆI</w:t>
            </w:r>
          </w:p>
        </w:tc>
        <w:tc>
          <w:tcPr>
            <w:tcW w:w="1700" w:type="dxa"/>
            <w:shd w:val="clear" w:color="auto" w:fill="FFFFFF"/>
            <w:vAlign w:val="center"/>
            <w:hideMark/>
          </w:tcPr>
          <w:p w14:paraId="471107F1"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1.711.506,00</w:t>
            </w:r>
          </w:p>
        </w:tc>
        <w:tc>
          <w:tcPr>
            <w:tcW w:w="1280" w:type="dxa"/>
            <w:shd w:val="clear" w:color="auto" w:fill="FFFFFF"/>
            <w:vAlign w:val="center"/>
            <w:hideMark/>
          </w:tcPr>
          <w:p w14:paraId="736A8D67"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34.430,00</w:t>
            </w:r>
          </w:p>
        </w:tc>
        <w:tc>
          <w:tcPr>
            <w:tcW w:w="980" w:type="dxa"/>
            <w:gridSpan w:val="2"/>
            <w:shd w:val="clear" w:color="auto" w:fill="FFFFFF"/>
            <w:vAlign w:val="center"/>
            <w:hideMark/>
          </w:tcPr>
          <w:p w14:paraId="59BF94FD"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2,01</w:t>
            </w:r>
          </w:p>
        </w:tc>
        <w:tc>
          <w:tcPr>
            <w:tcW w:w="1360" w:type="dxa"/>
            <w:shd w:val="clear" w:color="auto" w:fill="FFFFFF"/>
            <w:vAlign w:val="center"/>
            <w:hideMark/>
          </w:tcPr>
          <w:p w14:paraId="25C38F65"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1.745.936,00</w:t>
            </w:r>
          </w:p>
        </w:tc>
      </w:tr>
      <w:tr w:rsidR="00863D50" w:rsidRPr="000A0BF4" w14:paraId="4F50B38D" w14:textId="77777777" w:rsidTr="000A0BF4">
        <w:trPr>
          <w:trHeight w:val="300"/>
        </w:trPr>
        <w:tc>
          <w:tcPr>
            <w:tcW w:w="940" w:type="dxa"/>
            <w:shd w:val="clear" w:color="auto" w:fill="FFFFFF"/>
            <w:vAlign w:val="center"/>
            <w:hideMark/>
          </w:tcPr>
          <w:p w14:paraId="4FE11379"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5.1.</w:t>
            </w:r>
          </w:p>
        </w:tc>
        <w:tc>
          <w:tcPr>
            <w:tcW w:w="2940" w:type="dxa"/>
            <w:shd w:val="clear" w:color="auto" w:fill="FFFFFF"/>
            <w:vAlign w:val="center"/>
            <w:hideMark/>
          </w:tcPr>
          <w:p w14:paraId="08B4D709"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POMOĆI</w:t>
            </w:r>
          </w:p>
        </w:tc>
        <w:tc>
          <w:tcPr>
            <w:tcW w:w="1700" w:type="dxa"/>
            <w:shd w:val="clear" w:color="auto" w:fill="FFFFFF"/>
            <w:vAlign w:val="center"/>
            <w:hideMark/>
          </w:tcPr>
          <w:p w14:paraId="1CAA3216"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120.996,00</w:t>
            </w:r>
          </w:p>
        </w:tc>
        <w:tc>
          <w:tcPr>
            <w:tcW w:w="1280" w:type="dxa"/>
            <w:shd w:val="clear" w:color="auto" w:fill="FFFFFF"/>
            <w:vAlign w:val="center"/>
            <w:hideMark/>
          </w:tcPr>
          <w:p w14:paraId="48504A36"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2.000,00</w:t>
            </w:r>
          </w:p>
        </w:tc>
        <w:tc>
          <w:tcPr>
            <w:tcW w:w="980" w:type="dxa"/>
            <w:gridSpan w:val="2"/>
            <w:shd w:val="clear" w:color="auto" w:fill="FFFFFF"/>
            <w:vAlign w:val="center"/>
            <w:hideMark/>
          </w:tcPr>
          <w:p w14:paraId="4B3BD9C0"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1,65</w:t>
            </w:r>
          </w:p>
        </w:tc>
        <w:tc>
          <w:tcPr>
            <w:tcW w:w="1360" w:type="dxa"/>
            <w:shd w:val="clear" w:color="auto" w:fill="FFFFFF"/>
            <w:vAlign w:val="center"/>
            <w:hideMark/>
          </w:tcPr>
          <w:p w14:paraId="521D7650"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122.996,00</w:t>
            </w:r>
          </w:p>
        </w:tc>
      </w:tr>
      <w:tr w:rsidR="00863D50" w:rsidRPr="000A0BF4" w14:paraId="7560C524" w14:textId="77777777" w:rsidTr="000A0BF4">
        <w:trPr>
          <w:trHeight w:val="300"/>
        </w:trPr>
        <w:tc>
          <w:tcPr>
            <w:tcW w:w="940" w:type="dxa"/>
            <w:shd w:val="clear" w:color="auto" w:fill="FFFFFF"/>
            <w:vAlign w:val="center"/>
            <w:hideMark/>
          </w:tcPr>
          <w:p w14:paraId="660515EA"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5.9.</w:t>
            </w:r>
          </w:p>
        </w:tc>
        <w:tc>
          <w:tcPr>
            <w:tcW w:w="2940" w:type="dxa"/>
            <w:shd w:val="clear" w:color="auto" w:fill="FFFFFF"/>
            <w:vAlign w:val="center"/>
            <w:hideMark/>
          </w:tcPr>
          <w:p w14:paraId="6C26AF36"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POMOĆI-PRIHODI KORISNIKA-GL 02</w:t>
            </w:r>
          </w:p>
        </w:tc>
        <w:tc>
          <w:tcPr>
            <w:tcW w:w="1700" w:type="dxa"/>
            <w:shd w:val="clear" w:color="auto" w:fill="FFFFFF"/>
            <w:vAlign w:val="center"/>
            <w:hideMark/>
          </w:tcPr>
          <w:p w14:paraId="231C9877"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1.590.510,00</w:t>
            </w:r>
          </w:p>
        </w:tc>
        <w:tc>
          <w:tcPr>
            <w:tcW w:w="1280" w:type="dxa"/>
            <w:shd w:val="clear" w:color="auto" w:fill="FFFFFF"/>
            <w:vAlign w:val="center"/>
            <w:hideMark/>
          </w:tcPr>
          <w:p w14:paraId="1B11CBCC"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32.430,00</w:t>
            </w:r>
          </w:p>
        </w:tc>
        <w:tc>
          <w:tcPr>
            <w:tcW w:w="980" w:type="dxa"/>
            <w:gridSpan w:val="2"/>
            <w:shd w:val="clear" w:color="auto" w:fill="FFFFFF"/>
            <w:vAlign w:val="center"/>
            <w:hideMark/>
          </w:tcPr>
          <w:p w14:paraId="14C41E4A"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2,04</w:t>
            </w:r>
          </w:p>
        </w:tc>
        <w:tc>
          <w:tcPr>
            <w:tcW w:w="1360" w:type="dxa"/>
            <w:shd w:val="clear" w:color="auto" w:fill="FFFFFF"/>
            <w:vAlign w:val="center"/>
            <w:hideMark/>
          </w:tcPr>
          <w:p w14:paraId="42CAB3CE"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1.622.940,00</w:t>
            </w:r>
          </w:p>
        </w:tc>
      </w:tr>
      <w:tr w:rsidR="00863D50" w:rsidRPr="000A0BF4" w14:paraId="1164DBF8" w14:textId="77777777" w:rsidTr="000A0BF4">
        <w:trPr>
          <w:trHeight w:val="300"/>
        </w:trPr>
        <w:tc>
          <w:tcPr>
            <w:tcW w:w="940" w:type="dxa"/>
            <w:shd w:val="clear" w:color="auto" w:fill="FFFFFF"/>
            <w:vAlign w:val="center"/>
            <w:hideMark/>
          </w:tcPr>
          <w:p w14:paraId="1C77F815"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6.</w:t>
            </w:r>
          </w:p>
        </w:tc>
        <w:tc>
          <w:tcPr>
            <w:tcW w:w="2940" w:type="dxa"/>
            <w:shd w:val="clear" w:color="auto" w:fill="FFFFFF"/>
            <w:vAlign w:val="center"/>
            <w:hideMark/>
          </w:tcPr>
          <w:p w14:paraId="4174F6CD"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DONACIJE</w:t>
            </w:r>
          </w:p>
        </w:tc>
        <w:tc>
          <w:tcPr>
            <w:tcW w:w="1700" w:type="dxa"/>
            <w:shd w:val="clear" w:color="auto" w:fill="FFFFFF"/>
            <w:vAlign w:val="center"/>
            <w:hideMark/>
          </w:tcPr>
          <w:p w14:paraId="3F2CE0A7"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2.000,00</w:t>
            </w:r>
          </w:p>
        </w:tc>
        <w:tc>
          <w:tcPr>
            <w:tcW w:w="1280" w:type="dxa"/>
            <w:shd w:val="clear" w:color="auto" w:fill="FFFFFF"/>
            <w:vAlign w:val="center"/>
            <w:hideMark/>
          </w:tcPr>
          <w:p w14:paraId="37B339C4"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4.300,00</w:t>
            </w:r>
          </w:p>
        </w:tc>
        <w:tc>
          <w:tcPr>
            <w:tcW w:w="980" w:type="dxa"/>
            <w:gridSpan w:val="2"/>
            <w:shd w:val="clear" w:color="auto" w:fill="FFFFFF"/>
            <w:vAlign w:val="center"/>
            <w:hideMark/>
          </w:tcPr>
          <w:p w14:paraId="71BBD889"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215,00</w:t>
            </w:r>
          </w:p>
        </w:tc>
        <w:tc>
          <w:tcPr>
            <w:tcW w:w="1360" w:type="dxa"/>
            <w:shd w:val="clear" w:color="auto" w:fill="FFFFFF"/>
            <w:vAlign w:val="center"/>
            <w:hideMark/>
          </w:tcPr>
          <w:p w14:paraId="4E6EF2C9"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6.300,00</w:t>
            </w:r>
          </w:p>
        </w:tc>
      </w:tr>
      <w:tr w:rsidR="00863D50" w:rsidRPr="000A0BF4" w14:paraId="199C4845" w14:textId="77777777" w:rsidTr="000A0BF4">
        <w:trPr>
          <w:trHeight w:val="300"/>
        </w:trPr>
        <w:tc>
          <w:tcPr>
            <w:tcW w:w="940" w:type="dxa"/>
            <w:shd w:val="clear" w:color="auto" w:fill="FFFFFF"/>
            <w:vAlign w:val="center"/>
            <w:hideMark/>
          </w:tcPr>
          <w:p w14:paraId="65576F7D"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6.9.</w:t>
            </w:r>
          </w:p>
        </w:tc>
        <w:tc>
          <w:tcPr>
            <w:tcW w:w="2940" w:type="dxa"/>
            <w:shd w:val="clear" w:color="auto" w:fill="FFFFFF"/>
            <w:vAlign w:val="center"/>
            <w:hideMark/>
          </w:tcPr>
          <w:p w14:paraId="665D09AA"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DONACIJE - prihodi korisnika</w:t>
            </w:r>
          </w:p>
        </w:tc>
        <w:tc>
          <w:tcPr>
            <w:tcW w:w="1700" w:type="dxa"/>
            <w:shd w:val="clear" w:color="auto" w:fill="FFFFFF"/>
            <w:vAlign w:val="center"/>
            <w:hideMark/>
          </w:tcPr>
          <w:p w14:paraId="1A48B73F"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2.000,00</w:t>
            </w:r>
          </w:p>
        </w:tc>
        <w:tc>
          <w:tcPr>
            <w:tcW w:w="1280" w:type="dxa"/>
            <w:shd w:val="clear" w:color="auto" w:fill="FFFFFF"/>
            <w:vAlign w:val="center"/>
            <w:hideMark/>
          </w:tcPr>
          <w:p w14:paraId="72AAA25B"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4.300,00</w:t>
            </w:r>
          </w:p>
        </w:tc>
        <w:tc>
          <w:tcPr>
            <w:tcW w:w="980" w:type="dxa"/>
            <w:gridSpan w:val="2"/>
            <w:shd w:val="clear" w:color="auto" w:fill="FFFFFF"/>
            <w:vAlign w:val="center"/>
            <w:hideMark/>
          </w:tcPr>
          <w:p w14:paraId="17237F49"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215,00</w:t>
            </w:r>
          </w:p>
        </w:tc>
        <w:tc>
          <w:tcPr>
            <w:tcW w:w="1360" w:type="dxa"/>
            <w:shd w:val="clear" w:color="auto" w:fill="FFFFFF"/>
            <w:vAlign w:val="center"/>
            <w:hideMark/>
          </w:tcPr>
          <w:p w14:paraId="47D6E1AB"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6.300,00</w:t>
            </w:r>
          </w:p>
        </w:tc>
      </w:tr>
      <w:tr w:rsidR="00863D50" w:rsidRPr="000A0BF4" w14:paraId="44DBA2D3" w14:textId="77777777" w:rsidTr="000A0BF4">
        <w:trPr>
          <w:trHeight w:val="390"/>
        </w:trPr>
        <w:tc>
          <w:tcPr>
            <w:tcW w:w="940" w:type="dxa"/>
            <w:shd w:val="clear" w:color="auto" w:fill="FFFFFF"/>
            <w:vAlign w:val="center"/>
            <w:hideMark/>
          </w:tcPr>
          <w:p w14:paraId="1B8D4F2B"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7.</w:t>
            </w:r>
          </w:p>
        </w:tc>
        <w:tc>
          <w:tcPr>
            <w:tcW w:w="2940" w:type="dxa"/>
            <w:shd w:val="clear" w:color="auto" w:fill="FFFFFF"/>
            <w:vAlign w:val="center"/>
            <w:hideMark/>
          </w:tcPr>
          <w:p w14:paraId="1722DEC5"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PRIHODI OD NEFINANCIJSKE IMOVINE</w:t>
            </w:r>
          </w:p>
        </w:tc>
        <w:tc>
          <w:tcPr>
            <w:tcW w:w="1700" w:type="dxa"/>
            <w:shd w:val="clear" w:color="auto" w:fill="FFFFFF"/>
            <w:vAlign w:val="center"/>
            <w:hideMark/>
          </w:tcPr>
          <w:p w14:paraId="2FC8DD3F"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0,00</w:t>
            </w:r>
          </w:p>
        </w:tc>
        <w:tc>
          <w:tcPr>
            <w:tcW w:w="1280" w:type="dxa"/>
            <w:shd w:val="clear" w:color="auto" w:fill="FFFFFF"/>
            <w:vAlign w:val="center"/>
            <w:hideMark/>
          </w:tcPr>
          <w:p w14:paraId="47DC7DC6"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0,00</w:t>
            </w:r>
          </w:p>
        </w:tc>
        <w:tc>
          <w:tcPr>
            <w:tcW w:w="980" w:type="dxa"/>
            <w:gridSpan w:val="2"/>
            <w:shd w:val="clear" w:color="auto" w:fill="FFFFFF"/>
            <w:vAlign w:val="center"/>
            <w:hideMark/>
          </w:tcPr>
          <w:p w14:paraId="70D1DE22"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0,00</w:t>
            </w:r>
          </w:p>
        </w:tc>
        <w:tc>
          <w:tcPr>
            <w:tcW w:w="1360" w:type="dxa"/>
            <w:shd w:val="clear" w:color="auto" w:fill="FFFFFF"/>
            <w:vAlign w:val="center"/>
            <w:hideMark/>
          </w:tcPr>
          <w:p w14:paraId="3E43A9F3"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0,00</w:t>
            </w:r>
          </w:p>
        </w:tc>
      </w:tr>
      <w:tr w:rsidR="00863D50" w:rsidRPr="000A0BF4" w14:paraId="06B9CD84" w14:textId="77777777" w:rsidTr="000A0BF4">
        <w:trPr>
          <w:trHeight w:val="390"/>
        </w:trPr>
        <w:tc>
          <w:tcPr>
            <w:tcW w:w="940" w:type="dxa"/>
            <w:shd w:val="clear" w:color="auto" w:fill="FFFFFF"/>
            <w:vAlign w:val="center"/>
            <w:hideMark/>
          </w:tcPr>
          <w:p w14:paraId="3902406F"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Izvor  7.9.</w:t>
            </w:r>
          </w:p>
        </w:tc>
        <w:tc>
          <w:tcPr>
            <w:tcW w:w="2940" w:type="dxa"/>
            <w:shd w:val="clear" w:color="auto" w:fill="FFFFFF"/>
            <w:vAlign w:val="center"/>
            <w:hideMark/>
          </w:tcPr>
          <w:p w14:paraId="266EBC9D" w14:textId="77777777" w:rsidR="00863D50" w:rsidRPr="000A0BF4" w:rsidRDefault="00863D50">
            <w:pPr>
              <w:rPr>
                <w:rFonts w:ascii="Arial" w:hAnsi="Arial" w:cs="Arial"/>
                <w:b/>
                <w:bCs/>
                <w:color w:val="000000"/>
                <w:sz w:val="16"/>
                <w:szCs w:val="16"/>
              </w:rPr>
            </w:pPr>
            <w:r w:rsidRPr="000A0BF4">
              <w:rPr>
                <w:rFonts w:ascii="Arial" w:hAnsi="Arial" w:cs="Arial"/>
                <w:b/>
                <w:bCs/>
                <w:color w:val="000000"/>
                <w:sz w:val="16"/>
                <w:szCs w:val="16"/>
              </w:rPr>
              <w:t>7.PRIHODI OD NEFINANCIJSKE IMOVINE</w:t>
            </w:r>
          </w:p>
        </w:tc>
        <w:tc>
          <w:tcPr>
            <w:tcW w:w="1700" w:type="dxa"/>
            <w:shd w:val="clear" w:color="auto" w:fill="FFFFFF"/>
            <w:vAlign w:val="center"/>
            <w:hideMark/>
          </w:tcPr>
          <w:p w14:paraId="0146A828"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0,00</w:t>
            </w:r>
          </w:p>
        </w:tc>
        <w:tc>
          <w:tcPr>
            <w:tcW w:w="1280" w:type="dxa"/>
            <w:shd w:val="clear" w:color="auto" w:fill="FFFFFF"/>
            <w:vAlign w:val="center"/>
            <w:hideMark/>
          </w:tcPr>
          <w:p w14:paraId="0EADC733"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0,00</w:t>
            </w:r>
          </w:p>
        </w:tc>
        <w:tc>
          <w:tcPr>
            <w:tcW w:w="980" w:type="dxa"/>
            <w:gridSpan w:val="2"/>
            <w:shd w:val="clear" w:color="auto" w:fill="FFFFFF"/>
            <w:vAlign w:val="center"/>
            <w:hideMark/>
          </w:tcPr>
          <w:p w14:paraId="3BBF99A4"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0,00</w:t>
            </w:r>
          </w:p>
        </w:tc>
        <w:tc>
          <w:tcPr>
            <w:tcW w:w="1360" w:type="dxa"/>
            <w:shd w:val="clear" w:color="auto" w:fill="FFFFFF"/>
            <w:vAlign w:val="center"/>
            <w:hideMark/>
          </w:tcPr>
          <w:p w14:paraId="4075EAB4" w14:textId="77777777" w:rsidR="00863D50" w:rsidRPr="000A0BF4" w:rsidRDefault="00863D50">
            <w:pPr>
              <w:jc w:val="right"/>
              <w:rPr>
                <w:rFonts w:ascii="Arial" w:hAnsi="Arial" w:cs="Arial"/>
                <w:b/>
                <w:bCs/>
                <w:color w:val="000000"/>
                <w:sz w:val="16"/>
                <w:szCs w:val="16"/>
              </w:rPr>
            </w:pPr>
            <w:r w:rsidRPr="000A0BF4">
              <w:rPr>
                <w:rFonts w:ascii="Arial" w:hAnsi="Arial" w:cs="Arial"/>
                <w:b/>
                <w:bCs/>
                <w:color w:val="000000"/>
                <w:sz w:val="16"/>
                <w:szCs w:val="16"/>
              </w:rPr>
              <w:t>0,00</w:t>
            </w:r>
          </w:p>
        </w:tc>
      </w:tr>
    </w:tbl>
    <w:p w14:paraId="210DF76E" w14:textId="77777777" w:rsidR="00863D50" w:rsidRDefault="00863D50" w:rsidP="00863D50">
      <w:pPr>
        <w:jc w:val="both"/>
        <w:rPr>
          <w:rFonts w:ascii="Arial" w:eastAsiaTheme="minorHAnsi" w:hAnsi="Arial" w:cs="Arial"/>
          <w:b/>
          <w:color w:val="FF0000"/>
          <w:sz w:val="22"/>
          <w:szCs w:val="22"/>
          <w:lang w:eastAsia="en-US"/>
        </w:rPr>
      </w:pPr>
    </w:p>
    <w:p w14:paraId="04FF79DD" w14:textId="77777777" w:rsidR="00863D50" w:rsidRPr="000A0BF4" w:rsidRDefault="00863D50" w:rsidP="000A0BF4">
      <w:pPr>
        <w:autoSpaceDE w:val="0"/>
        <w:autoSpaceDN w:val="0"/>
        <w:adjustRightInd w:val="0"/>
        <w:spacing w:line="259" w:lineRule="auto"/>
        <w:jc w:val="both"/>
        <w:rPr>
          <w:rFonts w:ascii="Arial" w:hAnsi="Arial" w:cs="Arial"/>
          <w:color w:val="FF0000"/>
          <w:sz w:val="22"/>
          <w:szCs w:val="22"/>
          <w:u w:val="single"/>
        </w:rPr>
      </w:pPr>
    </w:p>
    <w:p w14:paraId="57F2C543" w14:textId="77777777" w:rsidR="00863D50" w:rsidRPr="000A0BF4" w:rsidRDefault="00863D50" w:rsidP="000A0BF4">
      <w:pPr>
        <w:autoSpaceDE w:val="0"/>
        <w:autoSpaceDN w:val="0"/>
        <w:adjustRightInd w:val="0"/>
        <w:spacing w:line="259" w:lineRule="auto"/>
        <w:jc w:val="both"/>
        <w:rPr>
          <w:rFonts w:ascii="Arial" w:hAnsi="Arial" w:cs="Arial"/>
          <w:b/>
          <w:bCs/>
          <w:sz w:val="22"/>
          <w:szCs w:val="22"/>
          <w:u w:val="single"/>
        </w:rPr>
      </w:pPr>
      <w:r w:rsidRPr="000A0BF4">
        <w:rPr>
          <w:rFonts w:ascii="Arial" w:hAnsi="Arial" w:cs="Arial"/>
          <w:b/>
          <w:bCs/>
          <w:sz w:val="22"/>
          <w:szCs w:val="22"/>
          <w:u w:val="single"/>
        </w:rPr>
        <w:lastRenderedPageBreak/>
        <w:t>Izvor 1.1. Opći prihodi i primici</w:t>
      </w:r>
    </w:p>
    <w:p w14:paraId="17867B1A" w14:textId="77777777" w:rsidR="00863D50" w:rsidRPr="000A0BF4" w:rsidRDefault="00863D50" w:rsidP="000A0BF4">
      <w:pPr>
        <w:spacing w:line="259" w:lineRule="auto"/>
        <w:jc w:val="both"/>
        <w:rPr>
          <w:rFonts w:ascii="Arial" w:eastAsiaTheme="minorHAnsi" w:hAnsi="Arial" w:cs="Arial"/>
          <w:sz w:val="22"/>
          <w:szCs w:val="22"/>
          <w:lang w:eastAsia="en-US"/>
        </w:rPr>
      </w:pPr>
      <w:r w:rsidRPr="000A0BF4">
        <w:rPr>
          <w:rFonts w:ascii="Arial" w:hAnsi="Arial" w:cs="Arial"/>
          <w:sz w:val="22"/>
          <w:szCs w:val="22"/>
        </w:rPr>
        <w:t>Prihodi od nadležnog proračuna izmjenama plana iznose 190.390,00 eura, a pokrivaju rashode za 5 učiteljica zaposlenih u produženom boravku, dio plaća za 8 PUN, naknade učiteljima koji provode izvannastavni program Građanskog odgoja te rashode za računalne usluge, energiju i namirnice kroz shemu školskog voća. Do povećanja dolazi</w:t>
      </w:r>
      <w:r w:rsidRPr="000A0BF4">
        <w:rPr>
          <w:rFonts w:ascii="Arial" w:hAnsi="Arial" w:cs="Arial"/>
          <w:bCs/>
          <w:sz w:val="22"/>
          <w:szCs w:val="22"/>
        </w:rPr>
        <w:t xml:space="preserve"> povećanjem osnovice za obračun plaće, temeljem važećih kolektivnih ugovora i odluka Vlade RH, povećanjem materijalnih prava zaposlenih, što uključuje troškove prijevoza, dodataka, božićnica, regresa i drugih, troškova zamjena za odsutne djelatnike, prvenstveno zbog porodiljnih i roditeljskih dopusta, gdje je potrebno angažirati zamjene kako bi se osigurao nesmetan odgojno-obrazovni proces.</w:t>
      </w:r>
    </w:p>
    <w:p w14:paraId="1D2D4D2B" w14:textId="77777777" w:rsidR="00863D50" w:rsidRPr="000A0BF4" w:rsidRDefault="00863D50" w:rsidP="000A0BF4">
      <w:pPr>
        <w:spacing w:line="259" w:lineRule="auto"/>
        <w:jc w:val="both"/>
        <w:rPr>
          <w:rFonts w:ascii="Arial" w:hAnsi="Arial" w:cs="Arial"/>
          <w:sz w:val="22"/>
          <w:szCs w:val="22"/>
        </w:rPr>
      </w:pPr>
      <w:r w:rsidRPr="000A0BF4">
        <w:rPr>
          <w:rFonts w:ascii="Arial" w:hAnsi="Arial" w:cs="Arial"/>
          <w:sz w:val="22"/>
          <w:szCs w:val="22"/>
        </w:rPr>
        <w:t>Manjak na izvoru 1.1. tzv. metodološki manjak nastaje radi knjiženja nastalih rashoda prema načelu nastanka događaja neovisno o plaćanju i knjiženju prihoda po novčanom tijeku, odnosno priznanju istih u trenutku naplate. Manjak se odnosi na rashode za zaposlene za prosinac čije dospijeće plaćanja je u siječnju 2025.</w:t>
      </w:r>
    </w:p>
    <w:p w14:paraId="6DF6315A" w14:textId="77777777" w:rsidR="00863D50" w:rsidRPr="000A0BF4" w:rsidRDefault="00863D50" w:rsidP="000A0BF4">
      <w:pPr>
        <w:autoSpaceDE w:val="0"/>
        <w:autoSpaceDN w:val="0"/>
        <w:adjustRightInd w:val="0"/>
        <w:spacing w:line="259" w:lineRule="auto"/>
        <w:jc w:val="both"/>
        <w:rPr>
          <w:rFonts w:ascii="Arial" w:hAnsi="Arial" w:cs="Arial"/>
          <w:sz w:val="22"/>
          <w:szCs w:val="22"/>
          <w:u w:val="single"/>
        </w:rPr>
      </w:pPr>
    </w:p>
    <w:p w14:paraId="18D03585" w14:textId="77777777" w:rsidR="00863D50" w:rsidRPr="000A0BF4" w:rsidRDefault="00863D50" w:rsidP="000A0BF4">
      <w:pPr>
        <w:autoSpaceDE w:val="0"/>
        <w:autoSpaceDN w:val="0"/>
        <w:adjustRightInd w:val="0"/>
        <w:spacing w:line="259" w:lineRule="auto"/>
        <w:jc w:val="both"/>
        <w:rPr>
          <w:rFonts w:ascii="Arial" w:hAnsi="Arial" w:cs="Arial"/>
          <w:b/>
          <w:bCs/>
          <w:sz w:val="22"/>
          <w:szCs w:val="22"/>
          <w:u w:val="single"/>
        </w:rPr>
      </w:pPr>
      <w:r w:rsidRPr="000A0BF4">
        <w:rPr>
          <w:rFonts w:ascii="Arial" w:hAnsi="Arial" w:cs="Arial"/>
          <w:b/>
          <w:bCs/>
          <w:sz w:val="22"/>
          <w:szCs w:val="22"/>
          <w:u w:val="single"/>
        </w:rPr>
        <w:t>Izvor 5.1. Prihode za decentralizirane funkcije osnovnog obrazovanja</w:t>
      </w:r>
    </w:p>
    <w:p w14:paraId="06A1F17B" w14:textId="77777777" w:rsidR="00863D50" w:rsidRPr="000A0BF4" w:rsidRDefault="00863D50" w:rsidP="000A0BF4">
      <w:pPr>
        <w:autoSpaceDE w:val="0"/>
        <w:autoSpaceDN w:val="0"/>
        <w:adjustRightInd w:val="0"/>
        <w:spacing w:line="259" w:lineRule="auto"/>
        <w:jc w:val="both"/>
        <w:rPr>
          <w:rFonts w:ascii="Arial" w:hAnsi="Arial" w:cs="Arial"/>
          <w:sz w:val="22"/>
          <w:szCs w:val="22"/>
        </w:rPr>
      </w:pPr>
      <w:r w:rsidRPr="000A0BF4">
        <w:rPr>
          <w:rFonts w:ascii="Arial" w:hAnsi="Arial" w:cs="Arial"/>
          <w:sz w:val="22"/>
          <w:szCs w:val="22"/>
        </w:rPr>
        <w:t>Prihodi sa izvora 5.1.001 izmjenama plana iznose 123.691,00 eura, a podrazumijeva planiranje sredstava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Od kapitalnih ulaganja ove godine planira se obnova računala i projektora u učionicama.</w:t>
      </w:r>
    </w:p>
    <w:p w14:paraId="0DB9BE13" w14:textId="77777777" w:rsidR="00863D50" w:rsidRPr="000A0BF4" w:rsidRDefault="00863D50" w:rsidP="000A0BF4">
      <w:pPr>
        <w:spacing w:line="259" w:lineRule="auto"/>
        <w:jc w:val="both"/>
        <w:rPr>
          <w:rFonts w:ascii="Arial" w:eastAsiaTheme="minorHAnsi" w:hAnsi="Arial" w:cs="Arial"/>
          <w:sz w:val="22"/>
          <w:szCs w:val="22"/>
          <w:lang w:eastAsia="en-US"/>
        </w:rPr>
      </w:pPr>
      <w:r w:rsidRPr="000A0BF4">
        <w:rPr>
          <w:rFonts w:ascii="Arial" w:hAnsi="Arial" w:cs="Arial"/>
          <w:sz w:val="22"/>
          <w:szCs w:val="22"/>
        </w:rPr>
        <w:t>Manjak po izvoru 5.1 nastaje radi knjiženja nastalih rashoda prema načelu nastanka događaja neovisno o plaćanju i knjiženju prihoda po novčanom tijeku, odnosno priznanju istih u trenutku naplate. Manjak se odnosi na rashode poslovanja iz prosinca 2024. čije dospijeće plaćanja je u siječnju 2025.</w:t>
      </w:r>
    </w:p>
    <w:p w14:paraId="29BD8FD5" w14:textId="77777777" w:rsidR="00863D50" w:rsidRPr="000A0BF4" w:rsidRDefault="00863D50" w:rsidP="000A0BF4">
      <w:pPr>
        <w:autoSpaceDE w:val="0"/>
        <w:autoSpaceDN w:val="0"/>
        <w:adjustRightInd w:val="0"/>
        <w:spacing w:line="259" w:lineRule="auto"/>
        <w:jc w:val="both"/>
        <w:rPr>
          <w:rFonts w:ascii="Arial" w:hAnsi="Arial" w:cs="Arial"/>
          <w:sz w:val="22"/>
          <w:szCs w:val="22"/>
          <w:highlight w:val="yellow"/>
        </w:rPr>
      </w:pPr>
    </w:p>
    <w:p w14:paraId="6843A94E" w14:textId="77777777" w:rsidR="00863D50" w:rsidRPr="000A0BF4" w:rsidRDefault="00863D50" w:rsidP="000A0BF4">
      <w:pPr>
        <w:autoSpaceDE w:val="0"/>
        <w:autoSpaceDN w:val="0"/>
        <w:adjustRightInd w:val="0"/>
        <w:spacing w:line="259" w:lineRule="auto"/>
        <w:jc w:val="both"/>
        <w:rPr>
          <w:rFonts w:ascii="Arial" w:hAnsi="Arial" w:cs="Arial"/>
          <w:b/>
          <w:bCs/>
          <w:sz w:val="22"/>
          <w:szCs w:val="22"/>
          <w:u w:val="single"/>
        </w:rPr>
      </w:pPr>
      <w:r w:rsidRPr="000A0BF4">
        <w:rPr>
          <w:rFonts w:ascii="Arial" w:hAnsi="Arial" w:cs="Arial"/>
          <w:b/>
          <w:bCs/>
          <w:sz w:val="22"/>
          <w:szCs w:val="22"/>
          <w:u w:val="single"/>
        </w:rPr>
        <w:t>Izvor 3.9. Vlastiti prihodi</w:t>
      </w:r>
    </w:p>
    <w:p w14:paraId="06C307C1" w14:textId="77777777" w:rsidR="00863D50" w:rsidRPr="000A0BF4" w:rsidRDefault="00863D50" w:rsidP="000A0BF4">
      <w:pPr>
        <w:autoSpaceDE w:val="0"/>
        <w:autoSpaceDN w:val="0"/>
        <w:adjustRightInd w:val="0"/>
        <w:spacing w:line="259" w:lineRule="auto"/>
        <w:jc w:val="both"/>
        <w:rPr>
          <w:rFonts w:ascii="Arial" w:hAnsi="Arial" w:cs="Arial"/>
          <w:sz w:val="22"/>
          <w:szCs w:val="22"/>
        </w:rPr>
      </w:pPr>
      <w:r w:rsidRPr="000A0BF4">
        <w:rPr>
          <w:rFonts w:ascii="Arial" w:hAnsi="Arial" w:cs="Arial"/>
          <w:sz w:val="22"/>
          <w:szCs w:val="22"/>
        </w:rPr>
        <w:t xml:space="preserve">Vlastiti prihodi ostvaruju se iznajmljivanjem školske sportske dvorane i krovne površine za solarne panele. Izmjenama plana iznose 3.500,00 eura za 2025. godinu. Sredstva ostvarena po tom izvoru financiranja podmiriti će troškove materijala u usluga tekućeg održavanja i nabavke opreme i namještaja. </w:t>
      </w:r>
    </w:p>
    <w:p w14:paraId="030D389B" w14:textId="77777777" w:rsidR="00863D50" w:rsidRPr="000A0BF4" w:rsidRDefault="00863D50" w:rsidP="000A0BF4">
      <w:pPr>
        <w:pStyle w:val="StandardWeb"/>
        <w:shd w:val="clear" w:color="auto" w:fill="FFFFFF"/>
        <w:spacing w:before="0" w:beforeAutospacing="0" w:after="0" w:afterAutospacing="0" w:line="259" w:lineRule="auto"/>
        <w:ind w:right="122"/>
        <w:jc w:val="both"/>
        <w:rPr>
          <w:rFonts w:ascii="Arial" w:hAnsi="Arial" w:cs="Arial"/>
          <w:sz w:val="22"/>
          <w:szCs w:val="22"/>
          <w:lang w:eastAsia="en-US"/>
        </w:rPr>
      </w:pPr>
      <w:r w:rsidRPr="000A0BF4">
        <w:rPr>
          <w:rFonts w:ascii="Arial" w:hAnsi="Arial" w:cs="Arial"/>
          <w:sz w:val="22"/>
          <w:szCs w:val="22"/>
        </w:rPr>
        <w:t>Iskazani  višak prihoda poslovanja po izvoru financiranja 3.9. Vlastiti prihodi - rezultat koristiti će se prema Odluci o raspodjeli rezultata djelom za pokriće manjka nefinancijske imovine u iznosu od 1.000,00 dok se preostali iznos viška prihoda poslovanja  u iznosu od 1.734,79 prenijeti u financijski plan za financiranje rashoda materijala, usluga tekućeg održavanja, sitnog inventara nabavke opreme i namještaja te ostalih rashoda za potrebe Škole.</w:t>
      </w:r>
    </w:p>
    <w:p w14:paraId="2D413C58" w14:textId="77777777" w:rsidR="00863D50" w:rsidRPr="000A0BF4" w:rsidRDefault="00863D50" w:rsidP="000A0BF4">
      <w:pPr>
        <w:autoSpaceDE w:val="0"/>
        <w:autoSpaceDN w:val="0"/>
        <w:adjustRightInd w:val="0"/>
        <w:spacing w:line="259" w:lineRule="auto"/>
        <w:jc w:val="both"/>
        <w:rPr>
          <w:rFonts w:ascii="Arial" w:hAnsi="Arial" w:cs="Arial"/>
          <w:sz w:val="22"/>
          <w:szCs w:val="22"/>
          <w:highlight w:val="yellow"/>
        </w:rPr>
      </w:pPr>
    </w:p>
    <w:p w14:paraId="45E8B578" w14:textId="77777777" w:rsidR="00863D50" w:rsidRPr="000A0BF4" w:rsidRDefault="00863D50" w:rsidP="000A0BF4">
      <w:pPr>
        <w:autoSpaceDE w:val="0"/>
        <w:autoSpaceDN w:val="0"/>
        <w:adjustRightInd w:val="0"/>
        <w:spacing w:line="259" w:lineRule="auto"/>
        <w:jc w:val="both"/>
        <w:rPr>
          <w:rFonts w:ascii="Arial" w:hAnsi="Arial" w:cs="Arial"/>
          <w:b/>
          <w:bCs/>
          <w:sz w:val="22"/>
          <w:szCs w:val="22"/>
          <w:u w:val="single"/>
        </w:rPr>
      </w:pPr>
      <w:r w:rsidRPr="000A0BF4">
        <w:rPr>
          <w:rFonts w:ascii="Arial" w:hAnsi="Arial" w:cs="Arial"/>
          <w:b/>
          <w:bCs/>
          <w:sz w:val="22"/>
          <w:szCs w:val="22"/>
          <w:u w:val="single"/>
        </w:rPr>
        <w:t>Izvor 4.9. Prihodi po posebnim namjenama</w:t>
      </w:r>
    </w:p>
    <w:p w14:paraId="0B869F47" w14:textId="77777777" w:rsidR="00863D50" w:rsidRPr="000A0BF4" w:rsidRDefault="00863D50" w:rsidP="000A0BF4">
      <w:pPr>
        <w:autoSpaceDE w:val="0"/>
        <w:autoSpaceDN w:val="0"/>
        <w:adjustRightInd w:val="0"/>
        <w:spacing w:line="259" w:lineRule="auto"/>
        <w:jc w:val="both"/>
        <w:rPr>
          <w:rFonts w:ascii="Arial" w:hAnsi="Arial" w:cs="Arial"/>
          <w:sz w:val="22"/>
          <w:szCs w:val="22"/>
          <w:highlight w:val="yellow"/>
        </w:rPr>
      </w:pPr>
      <w:r w:rsidRPr="000A0BF4">
        <w:rPr>
          <w:rFonts w:ascii="Arial" w:hAnsi="Arial" w:cs="Arial"/>
          <w:sz w:val="22"/>
          <w:szCs w:val="22"/>
        </w:rPr>
        <w:t>Prihodi po posebnim namjena jesu prihodi ostvareni od uplata roditelja za produženi boravak te su planirani u iznosu od 77.750,00 eura, a financirati će se rashodi za zaposlenu u produženom boravku te rashode energije, komunalne usluge i namirnica za obroke.</w:t>
      </w:r>
    </w:p>
    <w:p w14:paraId="469922BC" w14:textId="77777777" w:rsidR="00863D50" w:rsidRPr="000A0BF4" w:rsidRDefault="00863D50" w:rsidP="000A0BF4">
      <w:pPr>
        <w:pStyle w:val="StandardWeb"/>
        <w:shd w:val="clear" w:color="auto" w:fill="FFFFFF"/>
        <w:spacing w:before="0" w:beforeAutospacing="0" w:after="0" w:afterAutospacing="0" w:line="259" w:lineRule="auto"/>
        <w:ind w:right="122"/>
        <w:jc w:val="both"/>
        <w:rPr>
          <w:rFonts w:ascii="Arial" w:hAnsi="Arial" w:cs="Arial"/>
          <w:sz w:val="22"/>
          <w:szCs w:val="22"/>
          <w:lang w:eastAsia="en-US"/>
        </w:rPr>
      </w:pPr>
      <w:r w:rsidRPr="000A0BF4">
        <w:rPr>
          <w:rFonts w:ascii="Arial" w:hAnsi="Arial" w:cs="Arial"/>
          <w:sz w:val="22"/>
          <w:szCs w:val="22"/>
        </w:rPr>
        <w:t>Iskazani  višak prihoda poslovanja 4.291,85 po izvoru financiranja 4.9. Prihodi za posebne-rezultat koristiti će se financiranje rashoda materijala i usluga, usluga tekućeg održavanja za potrebe Škole te sitnog inventara i uređaja i opreme u školskoj kuhinji.</w:t>
      </w:r>
    </w:p>
    <w:p w14:paraId="7BD66C1F" w14:textId="77777777" w:rsidR="00863D50" w:rsidRPr="000A0BF4" w:rsidRDefault="00863D50" w:rsidP="000A0BF4">
      <w:pPr>
        <w:autoSpaceDE w:val="0"/>
        <w:autoSpaceDN w:val="0"/>
        <w:adjustRightInd w:val="0"/>
        <w:spacing w:line="259" w:lineRule="auto"/>
        <w:jc w:val="both"/>
        <w:rPr>
          <w:rFonts w:ascii="Arial" w:hAnsi="Arial" w:cs="Arial"/>
          <w:sz w:val="22"/>
          <w:szCs w:val="22"/>
          <w:highlight w:val="yellow"/>
        </w:rPr>
      </w:pPr>
    </w:p>
    <w:p w14:paraId="6BFEDBB1" w14:textId="77777777" w:rsidR="00863D50" w:rsidRPr="000A0BF4" w:rsidRDefault="00863D50" w:rsidP="000A0BF4">
      <w:pPr>
        <w:autoSpaceDE w:val="0"/>
        <w:autoSpaceDN w:val="0"/>
        <w:adjustRightInd w:val="0"/>
        <w:spacing w:line="259" w:lineRule="auto"/>
        <w:jc w:val="both"/>
        <w:rPr>
          <w:rFonts w:ascii="Arial" w:hAnsi="Arial" w:cs="Arial"/>
          <w:b/>
          <w:bCs/>
          <w:sz w:val="22"/>
          <w:szCs w:val="22"/>
          <w:u w:val="single"/>
        </w:rPr>
      </w:pPr>
      <w:r w:rsidRPr="000A0BF4">
        <w:rPr>
          <w:rFonts w:ascii="Arial" w:hAnsi="Arial" w:cs="Arial"/>
          <w:b/>
          <w:bCs/>
          <w:sz w:val="22"/>
          <w:szCs w:val="22"/>
          <w:u w:val="single"/>
        </w:rPr>
        <w:t>Izvor 5.9.000003 Pomoći korisnika – Državna riznica</w:t>
      </w:r>
    </w:p>
    <w:p w14:paraId="2B3F0E03" w14:textId="77777777" w:rsidR="00863D50" w:rsidRPr="000A0BF4" w:rsidRDefault="00863D50" w:rsidP="000A0BF4">
      <w:pPr>
        <w:spacing w:line="259" w:lineRule="auto"/>
        <w:jc w:val="both"/>
        <w:rPr>
          <w:rFonts w:ascii="Arial" w:hAnsi="Arial" w:cs="Arial"/>
          <w:sz w:val="22"/>
          <w:szCs w:val="22"/>
        </w:rPr>
      </w:pPr>
      <w:r w:rsidRPr="000A0BF4">
        <w:rPr>
          <w:rFonts w:ascii="Arial" w:hAnsi="Arial" w:cs="Arial"/>
          <w:sz w:val="22"/>
          <w:szCs w:val="22"/>
        </w:rPr>
        <w:t>Prihod iz državnog proračuna za financiranje rashoda zaposlenih izmjena planirani su u visini od 1.414.100,00 eura. Rashodi za zaposlene</w:t>
      </w:r>
      <w:r w:rsidRPr="000A0BF4">
        <w:rPr>
          <w:rFonts w:ascii="Arial" w:hAnsi="Arial" w:cs="Arial"/>
          <w:b/>
          <w:sz w:val="22"/>
          <w:szCs w:val="22"/>
        </w:rPr>
        <w:t xml:space="preserve"> </w:t>
      </w:r>
      <w:r w:rsidRPr="000A0BF4">
        <w:rPr>
          <w:rFonts w:ascii="Arial" w:hAnsi="Arial" w:cs="Arial"/>
          <w:sz w:val="22"/>
          <w:szCs w:val="22"/>
        </w:rPr>
        <w:t xml:space="preserve">čine rashodi za plaće (bruto), ostali rashodi za zaposlene kao što su naknade za pomoć, božićnica, regres, i drugo te doprinosi na plaće. Do </w:t>
      </w:r>
      <w:r w:rsidRPr="000A0BF4">
        <w:rPr>
          <w:rFonts w:ascii="Arial" w:hAnsi="Arial" w:cs="Arial"/>
          <w:sz w:val="22"/>
          <w:szCs w:val="22"/>
        </w:rPr>
        <w:lastRenderedPageBreak/>
        <w:t xml:space="preserve">povećanja dolazi </w:t>
      </w:r>
      <w:r w:rsidRPr="000A0BF4">
        <w:rPr>
          <w:rFonts w:ascii="Arial" w:hAnsi="Arial" w:cs="Arial"/>
          <w:bCs/>
          <w:sz w:val="22"/>
          <w:szCs w:val="22"/>
        </w:rPr>
        <w:t>povećanjem osnovice za obračun plaće, temeljem važećih kolektivnih ugovora i odluka Vlade RH, povećanjem materijalnih prava zaposlenih, što uključuje troškove prijevoza, dodataka, božićnica, regresa i drugih, troškova zamjena za odsutne djelatnike, prvenstveno zbog porodiljnih i roditeljskih dopusta, gdje je potrebno angažirati zamjene kako bi se osigurao nesmetan odgojno-obrazovni proces.</w:t>
      </w:r>
    </w:p>
    <w:p w14:paraId="2D09548B" w14:textId="77777777" w:rsidR="00863D50" w:rsidRPr="000A0BF4" w:rsidRDefault="00863D50" w:rsidP="000A0BF4">
      <w:pPr>
        <w:autoSpaceDE w:val="0"/>
        <w:autoSpaceDN w:val="0"/>
        <w:adjustRightInd w:val="0"/>
        <w:spacing w:line="259" w:lineRule="auto"/>
        <w:jc w:val="both"/>
        <w:rPr>
          <w:rFonts w:ascii="Arial" w:hAnsi="Arial" w:cs="Arial"/>
          <w:sz w:val="22"/>
          <w:szCs w:val="22"/>
          <w:highlight w:val="yellow"/>
        </w:rPr>
      </w:pPr>
    </w:p>
    <w:p w14:paraId="59FD2EF6" w14:textId="77777777" w:rsidR="00863D50" w:rsidRPr="000A0BF4" w:rsidRDefault="00863D50" w:rsidP="000A0BF4">
      <w:pPr>
        <w:autoSpaceDE w:val="0"/>
        <w:autoSpaceDN w:val="0"/>
        <w:adjustRightInd w:val="0"/>
        <w:spacing w:line="259" w:lineRule="auto"/>
        <w:jc w:val="both"/>
        <w:rPr>
          <w:rFonts w:ascii="Arial" w:hAnsi="Arial" w:cs="Arial"/>
          <w:sz w:val="22"/>
          <w:szCs w:val="22"/>
          <w:u w:val="single"/>
        </w:rPr>
      </w:pPr>
      <w:r w:rsidRPr="000A0BF4">
        <w:rPr>
          <w:rFonts w:ascii="Arial" w:hAnsi="Arial" w:cs="Arial"/>
          <w:sz w:val="22"/>
          <w:szCs w:val="22"/>
          <w:u w:val="single"/>
        </w:rPr>
        <w:t>Izvor 5.9.000001</w:t>
      </w:r>
    </w:p>
    <w:p w14:paraId="60FF84BB" w14:textId="77777777" w:rsidR="00863D50" w:rsidRPr="000A0BF4" w:rsidRDefault="00863D50" w:rsidP="000A0BF4">
      <w:pPr>
        <w:spacing w:line="259" w:lineRule="auto"/>
        <w:jc w:val="both"/>
        <w:rPr>
          <w:rFonts w:ascii="Arial" w:eastAsiaTheme="minorHAnsi" w:hAnsi="Arial" w:cs="Arial"/>
          <w:sz w:val="22"/>
          <w:szCs w:val="22"/>
          <w:lang w:eastAsia="en-US"/>
        </w:rPr>
      </w:pPr>
      <w:r w:rsidRPr="000A0BF4">
        <w:rPr>
          <w:rFonts w:ascii="Arial" w:hAnsi="Arial" w:cs="Arial"/>
          <w:sz w:val="22"/>
          <w:szCs w:val="22"/>
        </w:rPr>
        <w:t xml:space="preserve">Prihodi planirani po ovom izvoru izmjenama plana iznose 204.716,00 od čega: </w:t>
      </w:r>
    </w:p>
    <w:p w14:paraId="4593F351" w14:textId="77777777" w:rsidR="00863D50" w:rsidRPr="000A0BF4" w:rsidRDefault="00863D50">
      <w:pPr>
        <w:pStyle w:val="Odlomakpopisa"/>
        <w:numPr>
          <w:ilvl w:val="0"/>
          <w:numId w:val="21"/>
        </w:numPr>
        <w:spacing w:after="0" w:line="259" w:lineRule="auto"/>
        <w:jc w:val="both"/>
        <w:rPr>
          <w:rFonts w:ascii="Arial" w:hAnsi="Arial" w:cs="Arial"/>
          <w:szCs w:val="22"/>
        </w:rPr>
      </w:pPr>
      <w:r w:rsidRPr="000A0BF4">
        <w:rPr>
          <w:rFonts w:ascii="Arial" w:hAnsi="Arial" w:cs="Arial"/>
          <w:szCs w:val="22"/>
        </w:rPr>
        <w:t>Osiguranje pomoćnika u nastavi:</w:t>
      </w:r>
      <w:r w:rsidRPr="000A0BF4">
        <w:rPr>
          <w:rFonts w:ascii="Arial" w:hAnsi="Arial" w:cs="Arial"/>
          <w:szCs w:val="22"/>
          <w:shd w:val="clear" w:color="auto" w:fill="FFFFFF"/>
        </w:rPr>
        <w:t xml:space="preserve"> planirani iznos za 2025. godinu iznosi 74.050,00 za 8 PUN.</w:t>
      </w:r>
    </w:p>
    <w:p w14:paraId="57EA4E27" w14:textId="77777777" w:rsidR="00863D50" w:rsidRPr="000A0BF4" w:rsidRDefault="00863D50">
      <w:pPr>
        <w:pStyle w:val="Odlomakpopisa"/>
        <w:numPr>
          <w:ilvl w:val="0"/>
          <w:numId w:val="21"/>
        </w:numPr>
        <w:spacing w:after="0" w:line="259" w:lineRule="auto"/>
        <w:jc w:val="both"/>
        <w:rPr>
          <w:rFonts w:ascii="Arial" w:hAnsi="Arial" w:cs="Arial"/>
          <w:szCs w:val="22"/>
        </w:rPr>
      </w:pPr>
      <w:r w:rsidRPr="000A0BF4">
        <w:rPr>
          <w:rFonts w:ascii="Arial" w:hAnsi="Arial" w:cs="Arial"/>
          <w:szCs w:val="22"/>
        </w:rPr>
        <w:t>Prihodi za financiranje rashoda zaposlenih u produženom boravku od strane Općine Raša iznose i Općine Sv. Nedjelja 17.500,00 eura.</w:t>
      </w:r>
    </w:p>
    <w:p w14:paraId="52C5254E" w14:textId="77777777" w:rsidR="00863D50" w:rsidRPr="000A0BF4" w:rsidRDefault="00863D50">
      <w:pPr>
        <w:pStyle w:val="Odlomakpopisa"/>
        <w:numPr>
          <w:ilvl w:val="0"/>
          <w:numId w:val="21"/>
        </w:numPr>
        <w:spacing w:after="0" w:line="259" w:lineRule="auto"/>
        <w:jc w:val="both"/>
        <w:rPr>
          <w:rFonts w:ascii="Arial" w:hAnsi="Arial" w:cs="Arial"/>
          <w:szCs w:val="22"/>
        </w:rPr>
      </w:pPr>
      <w:r w:rsidRPr="000A0BF4">
        <w:rPr>
          <w:rFonts w:ascii="Arial" w:hAnsi="Arial" w:cs="Arial"/>
          <w:szCs w:val="22"/>
        </w:rPr>
        <w:t>Planirani iznos prihoda od strane MZOM i AZOO iznosi 108.016,00 eura od čega će se financirati rashodi nabavke obveznih udžbenika i radnih materijala za školsku godinu 2024/2025., edukacije i nastavni materijal za voditelja županijskog stručnog vijeća, 1.1.2023. Odlukom Vlade RH MZOM financira učeničke marende.</w:t>
      </w:r>
    </w:p>
    <w:p w14:paraId="7034F3D4" w14:textId="77777777" w:rsidR="00863D50" w:rsidRPr="000A0BF4" w:rsidRDefault="00863D50">
      <w:pPr>
        <w:pStyle w:val="Odlomakpopisa"/>
        <w:numPr>
          <w:ilvl w:val="0"/>
          <w:numId w:val="21"/>
        </w:numPr>
        <w:tabs>
          <w:tab w:val="left" w:pos="851"/>
        </w:tabs>
        <w:spacing w:after="0" w:line="259" w:lineRule="auto"/>
        <w:jc w:val="both"/>
        <w:rPr>
          <w:rFonts w:ascii="Arial" w:hAnsi="Arial" w:cs="Arial"/>
          <w:szCs w:val="22"/>
          <w:shd w:val="clear" w:color="auto" w:fill="FFFFFF"/>
        </w:rPr>
      </w:pPr>
      <w:r w:rsidRPr="000A0BF4">
        <w:rPr>
          <w:rFonts w:ascii="Arial" w:hAnsi="Arial" w:cs="Arial"/>
          <w:szCs w:val="22"/>
        </w:rPr>
        <w:t>Prihodi od pomoći županijskog proračuna planirani su u visini od 5.150 eura, a financirati će rashode odlaska učenika i mentora na županijska natjecanja te projekta zavičajna nastava.</w:t>
      </w:r>
      <w:r w:rsidRPr="000A0BF4">
        <w:rPr>
          <w:rFonts w:ascii="Arial" w:hAnsi="Arial" w:cs="Arial"/>
          <w:szCs w:val="22"/>
        </w:rPr>
        <w:tab/>
      </w:r>
    </w:p>
    <w:p w14:paraId="3A7B0BB2" w14:textId="77777777" w:rsidR="00863D50" w:rsidRPr="000A0BF4" w:rsidRDefault="00863D50" w:rsidP="000A0BF4">
      <w:pPr>
        <w:pStyle w:val="StandardWeb"/>
        <w:shd w:val="clear" w:color="auto" w:fill="FFFFFF"/>
        <w:spacing w:before="0" w:beforeAutospacing="0" w:after="0" w:afterAutospacing="0" w:line="259" w:lineRule="auto"/>
        <w:ind w:right="122"/>
        <w:jc w:val="both"/>
        <w:rPr>
          <w:rFonts w:ascii="Arial" w:hAnsi="Arial" w:cs="Arial"/>
          <w:sz w:val="22"/>
          <w:szCs w:val="22"/>
        </w:rPr>
      </w:pPr>
      <w:r w:rsidRPr="000A0BF4">
        <w:rPr>
          <w:rFonts w:ascii="Arial" w:hAnsi="Arial" w:cs="Arial"/>
          <w:sz w:val="22"/>
          <w:szCs w:val="22"/>
        </w:rPr>
        <w:t>Na izvoru 5.9. dio rezultata je i preneseni višak koji će se raspodijeliti će se na izvor financiranja 5.9.00004 Pomoći prihodi korisnika – rezultat. Višak ostvaren je na doznačenim sredstvima u prosincu 2024. za realizacije projekata od strane MZOM te će se utrošiti namjenski kako su i projektom predviđeni rashodi u tijeku 2025. godine.</w:t>
      </w:r>
    </w:p>
    <w:p w14:paraId="1D7C72EC" w14:textId="77777777" w:rsidR="00863D50" w:rsidRPr="000A0BF4" w:rsidRDefault="00863D50" w:rsidP="000A0BF4">
      <w:pPr>
        <w:autoSpaceDE w:val="0"/>
        <w:autoSpaceDN w:val="0"/>
        <w:adjustRightInd w:val="0"/>
        <w:spacing w:line="259" w:lineRule="auto"/>
        <w:jc w:val="both"/>
        <w:rPr>
          <w:rFonts w:ascii="Arial" w:hAnsi="Arial" w:cs="Arial"/>
          <w:color w:val="FF0000"/>
          <w:sz w:val="22"/>
          <w:szCs w:val="22"/>
          <w:highlight w:val="yellow"/>
          <w:u w:val="single"/>
        </w:rPr>
      </w:pPr>
    </w:p>
    <w:p w14:paraId="4A51979C" w14:textId="77777777" w:rsidR="00863D50" w:rsidRPr="000A0BF4" w:rsidRDefault="00863D50" w:rsidP="000A0BF4">
      <w:pPr>
        <w:autoSpaceDE w:val="0"/>
        <w:autoSpaceDN w:val="0"/>
        <w:adjustRightInd w:val="0"/>
        <w:spacing w:line="259" w:lineRule="auto"/>
        <w:jc w:val="both"/>
        <w:rPr>
          <w:rFonts w:ascii="Arial" w:hAnsi="Arial" w:cs="Arial"/>
          <w:b/>
          <w:bCs/>
          <w:sz w:val="22"/>
          <w:szCs w:val="22"/>
          <w:u w:val="single"/>
        </w:rPr>
      </w:pPr>
      <w:r w:rsidRPr="000A0BF4">
        <w:rPr>
          <w:rFonts w:ascii="Arial" w:hAnsi="Arial" w:cs="Arial"/>
          <w:b/>
          <w:bCs/>
          <w:sz w:val="22"/>
          <w:szCs w:val="22"/>
          <w:u w:val="single"/>
        </w:rPr>
        <w:t>Izvor 6.9.000001 Prihodi od donacija</w:t>
      </w:r>
    </w:p>
    <w:p w14:paraId="37320746" w14:textId="77777777" w:rsidR="00863D50" w:rsidRPr="000A0BF4" w:rsidRDefault="00863D50" w:rsidP="000A0BF4">
      <w:pPr>
        <w:autoSpaceDE w:val="0"/>
        <w:autoSpaceDN w:val="0"/>
        <w:adjustRightInd w:val="0"/>
        <w:spacing w:line="259" w:lineRule="auto"/>
        <w:jc w:val="both"/>
        <w:rPr>
          <w:rFonts w:ascii="Arial" w:hAnsi="Arial" w:cs="Arial"/>
          <w:sz w:val="22"/>
          <w:szCs w:val="22"/>
        </w:rPr>
      </w:pPr>
      <w:r w:rsidRPr="000A0BF4">
        <w:rPr>
          <w:rFonts w:ascii="Arial" w:hAnsi="Arial" w:cs="Arial"/>
          <w:sz w:val="22"/>
          <w:szCs w:val="22"/>
        </w:rPr>
        <w:t xml:space="preserve">Prihodi od donacija pravnih i fizičkih osoba za 2025. godinu izmjenama plana iznose 6.300 eura, a financirati će se popravak zidova u područnoj školi Rabac i postavljanje Porta fona na ulaznim vratima matične škole. </w:t>
      </w:r>
    </w:p>
    <w:p w14:paraId="154DECD6" w14:textId="77777777" w:rsidR="00863D50" w:rsidRPr="000A0BF4" w:rsidRDefault="00863D50" w:rsidP="000A0BF4">
      <w:pPr>
        <w:pStyle w:val="StandardWeb"/>
        <w:shd w:val="clear" w:color="auto" w:fill="FFFFFF"/>
        <w:spacing w:before="0" w:beforeAutospacing="0" w:after="0" w:afterAutospacing="0" w:line="259" w:lineRule="auto"/>
        <w:ind w:right="122"/>
        <w:jc w:val="both"/>
        <w:rPr>
          <w:rFonts w:ascii="Arial" w:hAnsi="Arial" w:cs="Arial"/>
          <w:sz w:val="22"/>
          <w:szCs w:val="22"/>
          <w:lang w:eastAsia="en-US"/>
        </w:rPr>
      </w:pPr>
      <w:r w:rsidRPr="000A0BF4">
        <w:rPr>
          <w:rFonts w:ascii="Arial" w:hAnsi="Arial" w:cs="Arial"/>
          <w:sz w:val="22"/>
          <w:szCs w:val="22"/>
        </w:rPr>
        <w:t>Iskazani  višak prihoda poslovanja po izvoru financiranja 6.9.000001 Donacije u visini 1.000,00 utrošiti će se za pokriće manjka nefinancijske imovine u visini 1.000,00 eura.</w:t>
      </w:r>
    </w:p>
    <w:p w14:paraId="69839080" w14:textId="77777777" w:rsidR="00863D50" w:rsidRPr="000A0BF4" w:rsidRDefault="00863D50" w:rsidP="000A0BF4">
      <w:pPr>
        <w:pStyle w:val="StandardWeb"/>
        <w:shd w:val="clear" w:color="auto" w:fill="FFFFFF"/>
        <w:spacing w:before="0" w:beforeAutospacing="0" w:after="0" w:afterAutospacing="0" w:line="259" w:lineRule="auto"/>
        <w:ind w:right="122"/>
        <w:jc w:val="both"/>
        <w:rPr>
          <w:rFonts w:ascii="Arial" w:hAnsi="Arial" w:cs="Arial"/>
          <w:sz w:val="22"/>
          <w:szCs w:val="22"/>
        </w:rPr>
      </w:pPr>
    </w:p>
    <w:p w14:paraId="6C4ECDBB" w14:textId="77777777" w:rsidR="00863D50" w:rsidRPr="000A0BF4" w:rsidRDefault="00863D50" w:rsidP="000A0BF4">
      <w:pPr>
        <w:pStyle w:val="StandardWeb"/>
        <w:shd w:val="clear" w:color="auto" w:fill="FFFFFF"/>
        <w:spacing w:before="0" w:beforeAutospacing="0" w:after="0" w:afterAutospacing="0" w:line="259" w:lineRule="auto"/>
        <w:ind w:right="122"/>
        <w:jc w:val="both"/>
        <w:rPr>
          <w:rFonts w:ascii="Arial" w:hAnsi="Arial" w:cs="Arial"/>
          <w:b/>
          <w:sz w:val="22"/>
          <w:szCs w:val="22"/>
        </w:rPr>
      </w:pPr>
    </w:p>
    <w:p w14:paraId="26375E2B" w14:textId="77777777" w:rsidR="00863D50" w:rsidRPr="000A0BF4" w:rsidRDefault="00863D50" w:rsidP="000A0BF4">
      <w:pPr>
        <w:pStyle w:val="StandardWeb"/>
        <w:shd w:val="clear" w:color="auto" w:fill="FFFFFF"/>
        <w:spacing w:before="0" w:beforeAutospacing="0" w:after="0" w:afterAutospacing="0" w:line="259" w:lineRule="auto"/>
        <w:ind w:right="122"/>
        <w:jc w:val="both"/>
        <w:rPr>
          <w:rFonts w:ascii="Arial" w:hAnsi="Arial" w:cs="Arial"/>
          <w:b/>
          <w:sz w:val="22"/>
          <w:szCs w:val="22"/>
        </w:rPr>
      </w:pPr>
      <w:r w:rsidRPr="000A0BF4">
        <w:rPr>
          <w:rFonts w:ascii="Arial" w:hAnsi="Arial" w:cs="Arial"/>
          <w:b/>
          <w:sz w:val="22"/>
          <w:szCs w:val="22"/>
        </w:rPr>
        <w:t>Rashodi prema funkcijskoj klasifikaciji</w:t>
      </w:r>
    </w:p>
    <w:p w14:paraId="35246C5E" w14:textId="77777777" w:rsidR="00863D50" w:rsidRPr="000A0BF4" w:rsidRDefault="00863D50" w:rsidP="000A0BF4">
      <w:pPr>
        <w:pStyle w:val="StandardWeb"/>
        <w:shd w:val="clear" w:color="auto" w:fill="FFFFFF"/>
        <w:spacing w:before="0" w:beforeAutospacing="0" w:after="0" w:afterAutospacing="0" w:line="259" w:lineRule="auto"/>
        <w:ind w:right="122"/>
        <w:jc w:val="both"/>
        <w:rPr>
          <w:rFonts w:ascii="Arial" w:hAnsi="Arial" w:cs="Arial"/>
          <w:sz w:val="22"/>
          <w:szCs w:val="22"/>
        </w:rPr>
      </w:pPr>
      <w:r w:rsidRPr="000A0BF4">
        <w:rPr>
          <w:rFonts w:ascii="Arial" w:hAnsi="Arial" w:cs="Arial"/>
          <w:sz w:val="22"/>
          <w:szCs w:val="22"/>
        </w:rPr>
        <w:t>Funkcijska klasifikacija kategorizira rashode prema funkcijama ili djelatnostima javne uprave, kao što su obrazovanje, zdravstvo, socijalna skrb, kultura, sport itd.</w:t>
      </w:r>
    </w:p>
    <w:p w14:paraId="515E1655" w14:textId="77777777" w:rsidR="00863D50" w:rsidRPr="000A0BF4" w:rsidRDefault="00863D50" w:rsidP="000A0BF4">
      <w:pPr>
        <w:pStyle w:val="StandardWeb"/>
        <w:shd w:val="clear" w:color="auto" w:fill="FFFFFF"/>
        <w:spacing w:before="0" w:beforeAutospacing="0" w:after="0" w:afterAutospacing="0" w:line="259" w:lineRule="auto"/>
        <w:ind w:right="122"/>
        <w:jc w:val="both"/>
        <w:rPr>
          <w:rFonts w:ascii="Arial" w:hAnsi="Arial" w:cs="Arial"/>
          <w:sz w:val="22"/>
          <w:szCs w:val="22"/>
        </w:rPr>
      </w:pPr>
    </w:p>
    <w:p w14:paraId="218B9FF6" w14:textId="77777777" w:rsidR="00863D50" w:rsidRPr="000A0BF4" w:rsidRDefault="00863D50" w:rsidP="000A0BF4">
      <w:pPr>
        <w:pStyle w:val="StandardWeb"/>
        <w:shd w:val="clear" w:color="auto" w:fill="FFFFFF"/>
        <w:spacing w:before="0" w:beforeAutospacing="0" w:after="0" w:afterAutospacing="0" w:line="259" w:lineRule="auto"/>
        <w:ind w:right="122"/>
        <w:jc w:val="both"/>
        <w:rPr>
          <w:rFonts w:ascii="Arial" w:hAnsi="Arial" w:cs="Arial"/>
          <w:sz w:val="22"/>
          <w:szCs w:val="22"/>
        </w:rPr>
      </w:pPr>
      <w:r w:rsidRPr="000A0BF4">
        <w:rPr>
          <w:rFonts w:ascii="Arial" w:hAnsi="Arial" w:cs="Arial"/>
          <w:sz w:val="22"/>
          <w:szCs w:val="22"/>
        </w:rPr>
        <w:t>Tablica 4. rashodi prema funkcijskoj klasifikaciji</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940"/>
        <w:gridCol w:w="1267"/>
        <w:gridCol w:w="1860"/>
        <w:gridCol w:w="1240"/>
        <w:gridCol w:w="1267"/>
      </w:tblGrid>
      <w:tr w:rsidR="00863D50" w14:paraId="7C777AF6" w14:textId="77777777" w:rsidTr="007B38F9">
        <w:trPr>
          <w:trHeight w:val="480"/>
        </w:trPr>
        <w:tc>
          <w:tcPr>
            <w:tcW w:w="880" w:type="dxa"/>
            <w:vAlign w:val="center"/>
            <w:hideMark/>
          </w:tcPr>
          <w:p w14:paraId="0484551F" w14:textId="77777777" w:rsidR="00863D50" w:rsidRDefault="00863D50">
            <w:pPr>
              <w:jc w:val="center"/>
              <w:rPr>
                <w:rFonts w:ascii="Arial" w:hAnsi="Arial" w:cs="Arial"/>
                <w:sz w:val="18"/>
                <w:szCs w:val="18"/>
              </w:rPr>
            </w:pPr>
            <w:r>
              <w:rPr>
                <w:rFonts w:ascii="Arial" w:hAnsi="Arial" w:cs="Arial"/>
                <w:sz w:val="18"/>
                <w:szCs w:val="18"/>
              </w:rPr>
              <w:t xml:space="preserve">BROJ </w:t>
            </w:r>
            <w:r>
              <w:rPr>
                <w:rFonts w:ascii="Arial" w:hAnsi="Arial" w:cs="Arial"/>
                <w:sz w:val="18"/>
                <w:szCs w:val="18"/>
              </w:rPr>
              <w:br/>
              <w:t>KONTA</w:t>
            </w:r>
          </w:p>
        </w:tc>
        <w:tc>
          <w:tcPr>
            <w:tcW w:w="2940" w:type="dxa"/>
            <w:noWrap/>
            <w:vAlign w:val="center"/>
            <w:hideMark/>
          </w:tcPr>
          <w:p w14:paraId="63C234F1" w14:textId="77777777" w:rsidR="00863D50" w:rsidRDefault="00863D50">
            <w:pPr>
              <w:jc w:val="center"/>
              <w:rPr>
                <w:rFonts w:ascii="Arial" w:hAnsi="Arial" w:cs="Arial"/>
                <w:sz w:val="18"/>
                <w:szCs w:val="18"/>
              </w:rPr>
            </w:pPr>
            <w:r>
              <w:rPr>
                <w:rFonts w:ascii="Arial" w:hAnsi="Arial" w:cs="Arial"/>
                <w:sz w:val="18"/>
                <w:szCs w:val="18"/>
              </w:rPr>
              <w:t>VRSTA RASHODA / IZDATAKA</w:t>
            </w:r>
          </w:p>
        </w:tc>
        <w:tc>
          <w:tcPr>
            <w:tcW w:w="1220" w:type="dxa"/>
            <w:noWrap/>
            <w:vAlign w:val="center"/>
            <w:hideMark/>
          </w:tcPr>
          <w:p w14:paraId="2C75E19C" w14:textId="77777777" w:rsidR="00863D50" w:rsidRDefault="00863D50">
            <w:pPr>
              <w:jc w:val="center"/>
              <w:rPr>
                <w:rFonts w:ascii="Arial" w:hAnsi="Arial" w:cs="Arial"/>
                <w:sz w:val="18"/>
                <w:szCs w:val="18"/>
              </w:rPr>
            </w:pPr>
            <w:r>
              <w:rPr>
                <w:rFonts w:ascii="Arial" w:hAnsi="Arial" w:cs="Arial"/>
                <w:sz w:val="18"/>
                <w:szCs w:val="18"/>
              </w:rPr>
              <w:t>PLANIRANO</w:t>
            </w:r>
          </w:p>
        </w:tc>
        <w:tc>
          <w:tcPr>
            <w:tcW w:w="1860" w:type="dxa"/>
            <w:noWrap/>
            <w:vAlign w:val="center"/>
            <w:hideMark/>
          </w:tcPr>
          <w:p w14:paraId="415CF244" w14:textId="77777777" w:rsidR="00863D50" w:rsidRDefault="00863D50">
            <w:pPr>
              <w:jc w:val="center"/>
              <w:rPr>
                <w:rFonts w:ascii="Arial" w:hAnsi="Arial" w:cs="Arial"/>
                <w:sz w:val="18"/>
                <w:szCs w:val="18"/>
              </w:rPr>
            </w:pPr>
            <w:r>
              <w:rPr>
                <w:rFonts w:ascii="Arial" w:hAnsi="Arial" w:cs="Arial"/>
                <w:sz w:val="18"/>
                <w:szCs w:val="18"/>
              </w:rPr>
              <w:t>PROMJENA IZNOS</w:t>
            </w:r>
          </w:p>
        </w:tc>
        <w:tc>
          <w:tcPr>
            <w:tcW w:w="1240" w:type="dxa"/>
            <w:vAlign w:val="center"/>
            <w:hideMark/>
          </w:tcPr>
          <w:p w14:paraId="25C6F751" w14:textId="77777777" w:rsidR="00863D50" w:rsidRDefault="00863D50">
            <w:pPr>
              <w:jc w:val="center"/>
              <w:rPr>
                <w:rFonts w:ascii="Arial" w:hAnsi="Arial" w:cs="Arial"/>
                <w:sz w:val="18"/>
                <w:szCs w:val="18"/>
              </w:rPr>
            </w:pPr>
            <w:r>
              <w:rPr>
                <w:rFonts w:ascii="Arial" w:hAnsi="Arial" w:cs="Arial"/>
                <w:sz w:val="18"/>
                <w:szCs w:val="18"/>
              </w:rPr>
              <w:t xml:space="preserve">PROMJENA </w:t>
            </w:r>
            <w:r>
              <w:rPr>
                <w:rFonts w:ascii="Arial" w:hAnsi="Arial" w:cs="Arial"/>
                <w:sz w:val="18"/>
                <w:szCs w:val="18"/>
              </w:rPr>
              <w:br/>
              <w:t>POSTOTAK</w:t>
            </w:r>
          </w:p>
        </w:tc>
        <w:tc>
          <w:tcPr>
            <w:tcW w:w="1200" w:type="dxa"/>
            <w:noWrap/>
            <w:vAlign w:val="center"/>
            <w:hideMark/>
          </w:tcPr>
          <w:p w14:paraId="5D0AA562" w14:textId="77777777" w:rsidR="00863D50" w:rsidRDefault="00863D50">
            <w:pPr>
              <w:jc w:val="center"/>
              <w:rPr>
                <w:rFonts w:ascii="Arial" w:hAnsi="Arial" w:cs="Arial"/>
                <w:sz w:val="18"/>
                <w:szCs w:val="18"/>
              </w:rPr>
            </w:pPr>
            <w:r>
              <w:rPr>
                <w:rFonts w:ascii="Arial" w:hAnsi="Arial" w:cs="Arial"/>
                <w:sz w:val="18"/>
                <w:szCs w:val="18"/>
              </w:rPr>
              <w:t>NOVI IZNOS</w:t>
            </w:r>
          </w:p>
        </w:tc>
      </w:tr>
      <w:tr w:rsidR="00863D50" w14:paraId="73E0E5BA" w14:textId="77777777" w:rsidTr="007B38F9">
        <w:trPr>
          <w:trHeight w:val="450"/>
        </w:trPr>
        <w:tc>
          <w:tcPr>
            <w:tcW w:w="3820" w:type="dxa"/>
            <w:gridSpan w:val="2"/>
            <w:noWrap/>
            <w:vAlign w:val="center"/>
            <w:hideMark/>
          </w:tcPr>
          <w:p w14:paraId="0EB531D2" w14:textId="77777777" w:rsidR="00863D50" w:rsidRDefault="00863D50">
            <w:pPr>
              <w:rPr>
                <w:rFonts w:ascii="Arial" w:hAnsi="Arial" w:cs="Arial"/>
                <w:sz w:val="18"/>
                <w:szCs w:val="18"/>
              </w:rPr>
            </w:pPr>
            <w:r>
              <w:rPr>
                <w:rFonts w:ascii="Arial" w:hAnsi="Arial" w:cs="Arial"/>
                <w:sz w:val="18"/>
                <w:szCs w:val="18"/>
              </w:rPr>
              <w:t xml:space="preserve">  SVEUKUPNO RASHODI / IZDACI</w:t>
            </w:r>
          </w:p>
        </w:tc>
        <w:tc>
          <w:tcPr>
            <w:tcW w:w="1220" w:type="dxa"/>
            <w:noWrap/>
            <w:vAlign w:val="center"/>
            <w:hideMark/>
          </w:tcPr>
          <w:p w14:paraId="584501E8" w14:textId="77777777" w:rsidR="00863D50" w:rsidRDefault="00863D50">
            <w:pPr>
              <w:jc w:val="center"/>
              <w:rPr>
                <w:rFonts w:ascii="Arial" w:hAnsi="Arial" w:cs="Arial"/>
                <w:sz w:val="18"/>
                <w:szCs w:val="18"/>
              </w:rPr>
            </w:pPr>
            <w:r>
              <w:rPr>
                <w:rFonts w:ascii="Arial" w:hAnsi="Arial" w:cs="Arial"/>
                <w:sz w:val="18"/>
                <w:szCs w:val="18"/>
              </w:rPr>
              <w:t>1.964.356,00</w:t>
            </w:r>
          </w:p>
        </w:tc>
        <w:tc>
          <w:tcPr>
            <w:tcW w:w="1860" w:type="dxa"/>
            <w:noWrap/>
            <w:vAlign w:val="center"/>
            <w:hideMark/>
          </w:tcPr>
          <w:p w14:paraId="6A66F918" w14:textId="77777777" w:rsidR="00863D50" w:rsidRDefault="00863D50">
            <w:pPr>
              <w:jc w:val="center"/>
              <w:rPr>
                <w:rFonts w:ascii="Arial" w:hAnsi="Arial" w:cs="Arial"/>
                <w:sz w:val="18"/>
                <w:szCs w:val="18"/>
              </w:rPr>
            </w:pPr>
            <w:r>
              <w:rPr>
                <w:rFonts w:ascii="Arial" w:hAnsi="Arial" w:cs="Arial"/>
                <w:sz w:val="18"/>
                <w:szCs w:val="18"/>
              </w:rPr>
              <w:t>55.757,00</w:t>
            </w:r>
          </w:p>
        </w:tc>
        <w:tc>
          <w:tcPr>
            <w:tcW w:w="1240" w:type="dxa"/>
            <w:noWrap/>
            <w:vAlign w:val="center"/>
            <w:hideMark/>
          </w:tcPr>
          <w:p w14:paraId="0B6F096E" w14:textId="77777777" w:rsidR="00863D50" w:rsidRDefault="00863D50">
            <w:pPr>
              <w:jc w:val="center"/>
              <w:rPr>
                <w:rFonts w:ascii="Arial" w:hAnsi="Arial" w:cs="Arial"/>
                <w:sz w:val="18"/>
                <w:szCs w:val="18"/>
              </w:rPr>
            </w:pPr>
            <w:r>
              <w:rPr>
                <w:rFonts w:ascii="Arial" w:hAnsi="Arial" w:cs="Arial"/>
                <w:sz w:val="18"/>
                <w:szCs w:val="18"/>
              </w:rPr>
              <w:t>2,84</w:t>
            </w:r>
          </w:p>
        </w:tc>
        <w:tc>
          <w:tcPr>
            <w:tcW w:w="1200" w:type="dxa"/>
            <w:noWrap/>
            <w:vAlign w:val="center"/>
            <w:hideMark/>
          </w:tcPr>
          <w:p w14:paraId="3DC9702B" w14:textId="77777777" w:rsidR="00863D50" w:rsidRDefault="00863D50">
            <w:pPr>
              <w:jc w:val="center"/>
              <w:rPr>
                <w:rFonts w:ascii="Arial" w:hAnsi="Arial" w:cs="Arial"/>
                <w:sz w:val="18"/>
                <w:szCs w:val="18"/>
              </w:rPr>
            </w:pPr>
            <w:r>
              <w:rPr>
                <w:rFonts w:ascii="Arial" w:hAnsi="Arial" w:cs="Arial"/>
                <w:sz w:val="18"/>
                <w:szCs w:val="18"/>
              </w:rPr>
              <w:t>2.020.113,00</w:t>
            </w:r>
          </w:p>
        </w:tc>
      </w:tr>
      <w:tr w:rsidR="00863D50" w14:paraId="07EAA9ED" w14:textId="77777777" w:rsidTr="007B38F9">
        <w:trPr>
          <w:trHeight w:val="555"/>
        </w:trPr>
        <w:tc>
          <w:tcPr>
            <w:tcW w:w="3820" w:type="dxa"/>
            <w:gridSpan w:val="2"/>
            <w:noWrap/>
            <w:vAlign w:val="center"/>
            <w:hideMark/>
          </w:tcPr>
          <w:p w14:paraId="15DA150C" w14:textId="77777777" w:rsidR="00863D50" w:rsidRDefault="00863D50">
            <w:pPr>
              <w:rPr>
                <w:rFonts w:ascii="Arial" w:hAnsi="Arial" w:cs="Arial"/>
                <w:color w:val="000000"/>
                <w:sz w:val="18"/>
                <w:szCs w:val="18"/>
              </w:rPr>
            </w:pPr>
            <w:r>
              <w:rPr>
                <w:rFonts w:ascii="Arial" w:hAnsi="Arial" w:cs="Arial"/>
                <w:color w:val="000000"/>
                <w:sz w:val="18"/>
                <w:szCs w:val="18"/>
              </w:rPr>
              <w:t>Funkcijska klasifikacija  09 Obrazovanje</w:t>
            </w:r>
          </w:p>
        </w:tc>
        <w:tc>
          <w:tcPr>
            <w:tcW w:w="1220" w:type="dxa"/>
            <w:noWrap/>
            <w:vAlign w:val="center"/>
            <w:hideMark/>
          </w:tcPr>
          <w:p w14:paraId="6A66263A" w14:textId="77777777" w:rsidR="00863D50" w:rsidRDefault="00863D50">
            <w:pPr>
              <w:jc w:val="center"/>
              <w:rPr>
                <w:rFonts w:ascii="Arial" w:hAnsi="Arial" w:cs="Arial"/>
                <w:color w:val="000000"/>
                <w:sz w:val="18"/>
                <w:szCs w:val="18"/>
              </w:rPr>
            </w:pPr>
            <w:r>
              <w:rPr>
                <w:rFonts w:ascii="Arial" w:hAnsi="Arial" w:cs="Arial"/>
                <w:color w:val="000000"/>
                <w:sz w:val="18"/>
                <w:szCs w:val="18"/>
              </w:rPr>
              <w:t>1.964.356,00</w:t>
            </w:r>
          </w:p>
        </w:tc>
        <w:tc>
          <w:tcPr>
            <w:tcW w:w="1860" w:type="dxa"/>
            <w:noWrap/>
            <w:vAlign w:val="center"/>
            <w:hideMark/>
          </w:tcPr>
          <w:p w14:paraId="6BD57A1A" w14:textId="77777777" w:rsidR="00863D50" w:rsidRDefault="00863D50">
            <w:pPr>
              <w:jc w:val="center"/>
              <w:rPr>
                <w:rFonts w:ascii="Arial" w:hAnsi="Arial" w:cs="Arial"/>
                <w:color w:val="000000"/>
                <w:sz w:val="18"/>
                <w:szCs w:val="18"/>
              </w:rPr>
            </w:pPr>
            <w:r>
              <w:rPr>
                <w:rFonts w:ascii="Arial" w:hAnsi="Arial" w:cs="Arial"/>
                <w:color w:val="000000"/>
                <w:sz w:val="18"/>
                <w:szCs w:val="18"/>
              </w:rPr>
              <w:t>55.757,00</w:t>
            </w:r>
          </w:p>
        </w:tc>
        <w:tc>
          <w:tcPr>
            <w:tcW w:w="1240" w:type="dxa"/>
            <w:noWrap/>
            <w:vAlign w:val="center"/>
            <w:hideMark/>
          </w:tcPr>
          <w:p w14:paraId="77BA1B06" w14:textId="77777777" w:rsidR="00863D50" w:rsidRDefault="00863D50">
            <w:pPr>
              <w:jc w:val="center"/>
              <w:rPr>
                <w:rFonts w:ascii="Arial" w:hAnsi="Arial" w:cs="Arial"/>
                <w:color w:val="000000"/>
                <w:sz w:val="18"/>
                <w:szCs w:val="18"/>
              </w:rPr>
            </w:pPr>
            <w:r>
              <w:rPr>
                <w:rFonts w:ascii="Arial" w:hAnsi="Arial" w:cs="Arial"/>
                <w:color w:val="000000"/>
                <w:sz w:val="18"/>
                <w:szCs w:val="18"/>
              </w:rPr>
              <w:t>2,84</w:t>
            </w:r>
          </w:p>
        </w:tc>
        <w:tc>
          <w:tcPr>
            <w:tcW w:w="1200" w:type="dxa"/>
            <w:noWrap/>
            <w:vAlign w:val="center"/>
            <w:hideMark/>
          </w:tcPr>
          <w:p w14:paraId="39AB9E74" w14:textId="77777777" w:rsidR="00863D50" w:rsidRDefault="00863D50">
            <w:pPr>
              <w:jc w:val="center"/>
              <w:rPr>
                <w:rFonts w:ascii="Arial" w:hAnsi="Arial" w:cs="Arial"/>
                <w:color w:val="000000"/>
                <w:sz w:val="18"/>
                <w:szCs w:val="18"/>
              </w:rPr>
            </w:pPr>
            <w:r>
              <w:rPr>
                <w:rFonts w:ascii="Arial" w:hAnsi="Arial" w:cs="Arial"/>
                <w:color w:val="000000"/>
                <w:sz w:val="18"/>
                <w:szCs w:val="18"/>
              </w:rPr>
              <w:t>2.020.113,00</w:t>
            </w:r>
          </w:p>
        </w:tc>
      </w:tr>
      <w:tr w:rsidR="00863D50" w14:paraId="375A3A01" w14:textId="77777777" w:rsidTr="007B38F9">
        <w:trPr>
          <w:trHeight w:val="570"/>
        </w:trPr>
        <w:tc>
          <w:tcPr>
            <w:tcW w:w="3820" w:type="dxa"/>
            <w:gridSpan w:val="2"/>
            <w:vAlign w:val="center"/>
            <w:hideMark/>
          </w:tcPr>
          <w:p w14:paraId="50859E25" w14:textId="77777777" w:rsidR="00863D50" w:rsidRDefault="00863D50">
            <w:pPr>
              <w:rPr>
                <w:rFonts w:ascii="Arial" w:hAnsi="Arial" w:cs="Arial"/>
                <w:color w:val="000000"/>
                <w:sz w:val="18"/>
                <w:szCs w:val="18"/>
              </w:rPr>
            </w:pPr>
            <w:r>
              <w:rPr>
                <w:rFonts w:ascii="Arial" w:hAnsi="Arial" w:cs="Arial"/>
                <w:color w:val="000000"/>
                <w:sz w:val="18"/>
                <w:szCs w:val="18"/>
              </w:rPr>
              <w:t>Funkcijska klasifikacija  091 Predškolsko i osnovno obrazovanje</w:t>
            </w:r>
          </w:p>
        </w:tc>
        <w:tc>
          <w:tcPr>
            <w:tcW w:w="1220" w:type="dxa"/>
            <w:noWrap/>
            <w:vAlign w:val="center"/>
            <w:hideMark/>
          </w:tcPr>
          <w:p w14:paraId="3110E25C" w14:textId="77777777" w:rsidR="00863D50" w:rsidRDefault="00863D50">
            <w:pPr>
              <w:jc w:val="center"/>
              <w:rPr>
                <w:rFonts w:ascii="Arial" w:hAnsi="Arial" w:cs="Arial"/>
                <w:color w:val="000000"/>
                <w:sz w:val="18"/>
                <w:szCs w:val="18"/>
              </w:rPr>
            </w:pPr>
            <w:r>
              <w:rPr>
                <w:rFonts w:ascii="Arial" w:hAnsi="Arial" w:cs="Arial"/>
                <w:color w:val="000000"/>
                <w:sz w:val="18"/>
                <w:szCs w:val="18"/>
              </w:rPr>
              <w:t>1.964.356,00</w:t>
            </w:r>
          </w:p>
        </w:tc>
        <w:tc>
          <w:tcPr>
            <w:tcW w:w="1860" w:type="dxa"/>
            <w:noWrap/>
            <w:vAlign w:val="center"/>
            <w:hideMark/>
          </w:tcPr>
          <w:p w14:paraId="6FC8B2FE" w14:textId="77777777" w:rsidR="00863D50" w:rsidRDefault="00863D50">
            <w:pPr>
              <w:jc w:val="center"/>
              <w:rPr>
                <w:rFonts w:ascii="Arial" w:hAnsi="Arial" w:cs="Arial"/>
                <w:color w:val="000000"/>
                <w:sz w:val="18"/>
                <w:szCs w:val="18"/>
              </w:rPr>
            </w:pPr>
            <w:r>
              <w:rPr>
                <w:rFonts w:ascii="Arial" w:hAnsi="Arial" w:cs="Arial"/>
                <w:color w:val="000000"/>
                <w:sz w:val="18"/>
                <w:szCs w:val="18"/>
              </w:rPr>
              <w:t>55.757,00</w:t>
            </w:r>
          </w:p>
        </w:tc>
        <w:tc>
          <w:tcPr>
            <w:tcW w:w="1240" w:type="dxa"/>
            <w:noWrap/>
            <w:vAlign w:val="center"/>
            <w:hideMark/>
          </w:tcPr>
          <w:p w14:paraId="0187B6BC" w14:textId="77777777" w:rsidR="00863D50" w:rsidRDefault="00863D50">
            <w:pPr>
              <w:jc w:val="center"/>
              <w:rPr>
                <w:rFonts w:ascii="Arial" w:hAnsi="Arial" w:cs="Arial"/>
                <w:color w:val="000000"/>
                <w:sz w:val="18"/>
                <w:szCs w:val="18"/>
              </w:rPr>
            </w:pPr>
            <w:r>
              <w:rPr>
                <w:rFonts w:ascii="Arial" w:hAnsi="Arial" w:cs="Arial"/>
                <w:color w:val="000000"/>
                <w:sz w:val="18"/>
                <w:szCs w:val="18"/>
              </w:rPr>
              <w:t>2,84</w:t>
            </w:r>
          </w:p>
        </w:tc>
        <w:tc>
          <w:tcPr>
            <w:tcW w:w="1200" w:type="dxa"/>
            <w:noWrap/>
            <w:vAlign w:val="center"/>
            <w:hideMark/>
          </w:tcPr>
          <w:p w14:paraId="4E79F288" w14:textId="77777777" w:rsidR="00863D50" w:rsidRDefault="00863D50">
            <w:pPr>
              <w:jc w:val="center"/>
              <w:rPr>
                <w:rFonts w:ascii="Arial" w:hAnsi="Arial" w:cs="Arial"/>
                <w:color w:val="000000"/>
                <w:sz w:val="18"/>
                <w:szCs w:val="18"/>
              </w:rPr>
            </w:pPr>
            <w:r>
              <w:rPr>
                <w:rFonts w:ascii="Arial" w:hAnsi="Arial" w:cs="Arial"/>
                <w:color w:val="000000"/>
                <w:sz w:val="18"/>
                <w:szCs w:val="18"/>
              </w:rPr>
              <w:t>2.020.113,00</w:t>
            </w:r>
          </w:p>
        </w:tc>
      </w:tr>
    </w:tbl>
    <w:p w14:paraId="1B6FFB34" w14:textId="77777777" w:rsidR="00863D50" w:rsidRDefault="00863D50" w:rsidP="00863D50">
      <w:pPr>
        <w:pStyle w:val="StandardWeb"/>
        <w:shd w:val="clear" w:color="auto" w:fill="FFFFFF"/>
        <w:spacing w:before="0" w:beforeAutospacing="0" w:after="0" w:afterAutospacing="0" w:line="276" w:lineRule="auto"/>
        <w:ind w:right="122"/>
        <w:jc w:val="both"/>
        <w:rPr>
          <w:rFonts w:ascii="Arial" w:hAnsi="Arial" w:cs="Arial"/>
          <w:color w:val="auto"/>
          <w:sz w:val="22"/>
          <w:szCs w:val="22"/>
          <w:lang w:eastAsia="en-US"/>
        </w:rPr>
      </w:pPr>
    </w:p>
    <w:p w14:paraId="3A881F70" w14:textId="730D0059" w:rsidR="00863D50" w:rsidRDefault="00863D50" w:rsidP="007B38F9">
      <w:pPr>
        <w:pStyle w:val="StandardWeb"/>
        <w:shd w:val="clear" w:color="auto" w:fill="FFFFFF"/>
        <w:spacing w:before="0" w:beforeAutospacing="0" w:after="0" w:afterAutospacing="0" w:line="259" w:lineRule="auto"/>
        <w:ind w:right="122"/>
        <w:jc w:val="both"/>
        <w:rPr>
          <w:rFonts w:ascii="Arial" w:hAnsi="Arial" w:cs="Arial"/>
          <w:b/>
          <w:sz w:val="22"/>
        </w:rPr>
      </w:pPr>
      <w:r>
        <w:rPr>
          <w:rFonts w:ascii="Arial" w:hAnsi="Arial" w:cs="Arial"/>
          <w:sz w:val="22"/>
          <w:szCs w:val="22"/>
        </w:rPr>
        <w:t xml:space="preserve">Rashodi prema funkcijskoj klasifikaciji 091 – </w:t>
      </w:r>
      <w:r>
        <w:rPr>
          <w:rFonts w:ascii="Arial" w:hAnsi="Arial" w:cs="Arial"/>
          <w:i/>
          <w:iCs/>
          <w:sz w:val="22"/>
          <w:szCs w:val="22"/>
        </w:rPr>
        <w:t>Predškolsko i osnovno obrazovanje</w:t>
      </w:r>
      <w:r>
        <w:rPr>
          <w:rFonts w:ascii="Arial" w:hAnsi="Arial" w:cs="Arial"/>
          <w:sz w:val="22"/>
          <w:szCs w:val="22"/>
        </w:rPr>
        <w:t xml:space="preserve"> planirani su u iznosu od 1.964.356,00 eura. Ova </w:t>
      </w:r>
      <w:r>
        <w:rPr>
          <w:rFonts w:ascii="Arial" w:hAnsi="Arial" w:cs="Arial"/>
          <w:sz w:val="22"/>
        </w:rPr>
        <w:t>klasifikacija obuhvaća ukupno poslovanje škole, uključujući financiranje redovne djelatnosti, plaća djelatnika, troškove produženog boravka, pomoćnike u nastavi, programe građanskog odgoja, kao i troškove prehrane učenika. U</w:t>
      </w:r>
      <w:r>
        <w:rPr>
          <w:rFonts w:ascii="Arial" w:hAnsi="Arial" w:cs="Arial"/>
          <w:sz w:val="22"/>
          <w:szCs w:val="22"/>
        </w:rPr>
        <w:t>kupna projekcija do kraja godine iznosi 2.020.113,00 eura.</w:t>
      </w:r>
    </w:p>
    <w:p w14:paraId="132AE920" w14:textId="77777777" w:rsidR="00863D50" w:rsidRDefault="00863D50" w:rsidP="007B38F9">
      <w:pPr>
        <w:spacing w:line="259" w:lineRule="auto"/>
        <w:rPr>
          <w:rFonts w:ascii="Arial" w:hAnsi="Arial" w:cs="Arial"/>
          <w:b/>
          <w:sz w:val="22"/>
        </w:rPr>
      </w:pPr>
      <w:r>
        <w:rPr>
          <w:rFonts w:ascii="Arial" w:hAnsi="Arial" w:cs="Arial"/>
          <w:b/>
          <w:sz w:val="22"/>
        </w:rPr>
        <w:lastRenderedPageBreak/>
        <w:t>2. OBRAZLOŽENJE POSEBNOG DIJELA PRORAČUNA</w:t>
      </w:r>
    </w:p>
    <w:p w14:paraId="4BC82ACA" w14:textId="77777777" w:rsidR="007B38F9" w:rsidRDefault="007B38F9" w:rsidP="007B38F9">
      <w:pPr>
        <w:pStyle w:val="Bezproreda"/>
        <w:spacing w:line="259" w:lineRule="auto"/>
        <w:jc w:val="both"/>
        <w:rPr>
          <w:rFonts w:ascii="Arial" w:eastAsia="Arial" w:hAnsi="Arial" w:cs="Arial"/>
          <w:b/>
        </w:rPr>
      </w:pPr>
    </w:p>
    <w:p w14:paraId="703E3781" w14:textId="54D35DF4" w:rsidR="00863D50" w:rsidRDefault="00863D50" w:rsidP="007B38F9">
      <w:pPr>
        <w:pStyle w:val="Bezproreda"/>
        <w:spacing w:line="259" w:lineRule="auto"/>
        <w:jc w:val="both"/>
        <w:rPr>
          <w:rFonts w:ascii="Arial" w:eastAsia="Arial" w:hAnsi="Arial" w:cs="Arial"/>
          <w:b/>
        </w:rPr>
      </w:pPr>
      <w:r>
        <w:rPr>
          <w:rFonts w:ascii="Arial" w:eastAsia="Arial" w:hAnsi="Arial" w:cs="Arial"/>
          <w:b/>
        </w:rPr>
        <w:t>Zakonska osnova:</w:t>
      </w:r>
    </w:p>
    <w:p w14:paraId="59E9390B" w14:textId="77777777" w:rsidR="00863D50" w:rsidRDefault="00863D50" w:rsidP="007B38F9">
      <w:pPr>
        <w:tabs>
          <w:tab w:val="left" w:pos="851"/>
        </w:tabs>
        <w:autoSpaceDE w:val="0"/>
        <w:autoSpaceDN w:val="0"/>
        <w:adjustRightInd w:val="0"/>
        <w:spacing w:line="259" w:lineRule="auto"/>
        <w:jc w:val="both"/>
        <w:rPr>
          <w:rFonts w:ascii="Arial" w:eastAsia="Calibri" w:hAnsi="Arial" w:cs="Arial"/>
          <w:sz w:val="22"/>
        </w:rPr>
      </w:pPr>
      <w:r>
        <w:rPr>
          <w:rFonts w:ascii="Arial" w:eastAsia="Calibri" w:hAnsi="Arial" w:cs="Arial"/>
          <w:sz w:val="22"/>
        </w:rPr>
        <w:t xml:space="preserve">Zakon o odgoju i obrazovanju u osnovnoj i srednjoj školi („Narodne novine“ broj:  87/08, 86/09, 92/10,  105/10, 90/11, 5/12, 16/12, 86/12, 94/13, 136/14, 152/14, 7/17, 68/18, 98/19, 64/20, 151/22, 155/23, 156/23), Zakon o proračunu („Narodne novine“ broj: 87/08, 136/12., 15/15.,144/21), Pravilnik o proračunskim klasifikacijama („Narodne novine“ broj: 26/10., 120/13, 144/21) i Pravilnik o proračunskom računovodstvu i računskom planu („Narodne novine“ broj: 124/14, 115/15, 87/16,144/21), Upute za izradu proračuna lokalne samouprave Grada, Odluku o kriterijima, mjerilima i načinu financiranja decentraliziranih funkcija osnovnog, Godišnji plan i program rada za školsku godinu 2024/2025. donesen u listopadu 2024.god. </w:t>
      </w:r>
    </w:p>
    <w:p w14:paraId="633E447E" w14:textId="77777777" w:rsidR="00863D50" w:rsidRDefault="00863D50" w:rsidP="007B38F9">
      <w:pPr>
        <w:tabs>
          <w:tab w:val="left" w:pos="851"/>
        </w:tabs>
        <w:autoSpaceDE w:val="0"/>
        <w:autoSpaceDN w:val="0"/>
        <w:adjustRightInd w:val="0"/>
        <w:spacing w:line="259" w:lineRule="auto"/>
        <w:jc w:val="both"/>
        <w:rPr>
          <w:rFonts w:ascii="Arial" w:eastAsia="Calibri" w:hAnsi="Arial" w:cs="Arial"/>
          <w:sz w:val="22"/>
        </w:rPr>
      </w:pPr>
      <w:r>
        <w:rPr>
          <w:rFonts w:ascii="Arial" w:eastAsia="Calibri" w:hAnsi="Arial" w:cs="Arial"/>
          <w:sz w:val="22"/>
        </w:rPr>
        <w:t xml:space="preserve">Školski kurikulum OŠ Matije Vlačića Labin za školsku godinu  202./2025, donesen u listopadu 2024.god. </w:t>
      </w:r>
    </w:p>
    <w:p w14:paraId="66D68C62" w14:textId="77777777" w:rsidR="00863D50" w:rsidRDefault="00863D50" w:rsidP="007B38F9">
      <w:pPr>
        <w:tabs>
          <w:tab w:val="left" w:pos="851"/>
        </w:tabs>
        <w:spacing w:line="259" w:lineRule="auto"/>
        <w:jc w:val="both"/>
        <w:rPr>
          <w:rFonts w:ascii="Arial" w:eastAsia="Calibri" w:hAnsi="Arial" w:cs="Arial"/>
          <w:sz w:val="22"/>
        </w:rPr>
      </w:pPr>
      <w:r>
        <w:rPr>
          <w:rFonts w:ascii="Arial" w:eastAsia="Calibri" w:hAnsi="Arial" w:cs="Arial"/>
          <w:sz w:val="22"/>
        </w:rPr>
        <w:t>Državni pedagoški standard osnovnoškolskog sustava odgoja i obrazovanja („Narodne novine“ broj: 63/08 i 90/10).</w:t>
      </w:r>
    </w:p>
    <w:p w14:paraId="4FD47A0C" w14:textId="77777777" w:rsidR="00863D50" w:rsidRDefault="00863D50" w:rsidP="007B38F9">
      <w:pPr>
        <w:pStyle w:val="Bezproreda"/>
        <w:spacing w:line="259" w:lineRule="auto"/>
        <w:jc w:val="both"/>
        <w:rPr>
          <w:rFonts w:ascii="Arial" w:eastAsia="Arial" w:hAnsi="Arial" w:cs="Arial"/>
          <w:b/>
          <w:color w:val="FF0000"/>
          <w:highlight w:val="yellow"/>
        </w:rPr>
      </w:pPr>
    </w:p>
    <w:p w14:paraId="255AEE29" w14:textId="77777777" w:rsidR="00863D50" w:rsidRDefault="00863D50" w:rsidP="007B38F9">
      <w:pPr>
        <w:pStyle w:val="Bezproreda"/>
        <w:spacing w:line="259" w:lineRule="auto"/>
        <w:jc w:val="both"/>
        <w:rPr>
          <w:rFonts w:ascii="Arial" w:eastAsia="Arial" w:hAnsi="Arial" w:cs="Arial"/>
          <w:b/>
        </w:rPr>
      </w:pPr>
      <w:r>
        <w:rPr>
          <w:rFonts w:ascii="Arial" w:eastAsia="Arial" w:hAnsi="Arial" w:cs="Arial"/>
          <w:b/>
          <w:u w:val="single"/>
        </w:rPr>
        <w:t>Opis i cilj programa</w:t>
      </w:r>
      <w:r>
        <w:rPr>
          <w:rFonts w:ascii="Arial" w:eastAsia="Arial" w:hAnsi="Arial" w:cs="Arial"/>
          <w:b/>
        </w:rPr>
        <w:t>:</w:t>
      </w:r>
    </w:p>
    <w:p w14:paraId="47B0A691" w14:textId="77777777" w:rsidR="00863D50" w:rsidRDefault="00863D50" w:rsidP="007B38F9">
      <w:pPr>
        <w:pStyle w:val="Bezproreda"/>
        <w:spacing w:line="259" w:lineRule="auto"/>
        <w:jc w:val="both"/>
        <w:rPr>
          <w:rFonts w:ascii="Arial" w:eastAsia="Arial" w:hAnsi="Arial" w:cs="Arial"/>
          <w:bCs/>
        </w:rPr>
      </w:pPr>
      <w:r>
        <w:rPr>
          <w:rFonts w:ascii="Arial" w:eastAsia="Arial" w:hAnsi="Arial" w:cs="Arial"/>
          <w:bCs/>
        </w:rPr>
        <w:t>Škola obavlja djelatnost osnovnog odgoja i obrazovanja sukladno Zakonu o odgoju i obrazovanju u osnovnoj i srednjoj školi te Državnom pedagoškom standardu osnovnoškolskog sustava odgoja i obrazovanja. Osnovnoškolsko obrazovanje ostvaruje se temeljem Godišnjeg plana i programa rada i Školskog kurikuluma, koji se donose na početku svake školske godine.</w:t>
      </w:r>
    </w:p>
    <w:p w14:paraId="5EF2F16D" w14:textId="77777777" w:rsidR="00863D50" w:rsidRDefault="00863D50" w:rsidP="007B38F9">
      <w:pPr>
        <w:pStyle w:val="Bezproreda"/>
        <w:spacing w:line="259" w:lineRule="auto"/>
        <w:jc w:val="both"/>
        <w:rPr>
          <w:rFonts w:ascii="Arial" w:eastAsia="Arial" w:hAnsi="Arial" w:cs="Arial"/>
          <w:bCs/>
        </w:rPr>
      </w:pPr>
      <w:r>
        <w:rPr>
          <w:rFonts w:ascii="Arial" w:eastAsia="Arial" w:hAnsi="Arial" w:cs="Arial"/>
          <w:bCs/>
        </w:rPr>
        <w:t>Nastava je organizirana u petodnevnom radnom tjednu, u jednoj – jutarnjoj smjeni.</w:t>
      </w:r>
    </w:p>
    <w:p w14:paraId="2924B9E4" w14:textId="77777777" w:rsidR="00863D50" w:rsidRDefault="00863D50" w:rsidP="007B38F9">
      <w:pPr>
        <w:pStyle w:val="Bezproreda"/>
        <w:spacing w:line="259" w:lineRule="auto"/>
        <w:jc w:val="both"/>
        <w:rPr>
          <w:rFonts w:ascii="Arial" w:eastAsia="Arial" w:hAnsi="Arial" w:cs="Arial"/>
          <w:bCs/>
        </w:rPr>
      </w:pPr>
      <w:r>
        <w:rPr>
          <w:rFonts w:ascii="Arial" w:eastAsia="Arial" w:hAnsi="Arial" w:cs="Arial"/>
          <w:bCs/>
        </w:rPr>
        <w:t>Organizacijski oblici nastave uključuju: redovnu nastavu, izbornu nastavu, dopunsku nastavu, dodatnu nastavu, sate razrednika, izvannastavne i izvanškolske aktivnosti.</w:t>
      </w:r>
    </w:p>
    <w:p w14:paraId="00FC2AC3" w14:textId="77777777" w:rsidR="00863D50" w:rsidRDefault="00863D50" w:rsidP="007B38F9">
      <w:pPr>
        <w:pStyle w:val="Bezproreda"/>
        <w:spacing w:line="259" w:lineRule="auto"/>
        <w:jc w:val="both"/>
        <w:rPr>
          <w:rFonts w:ascii="Arial" w:eastAsia="Arial" w:hAnsi="Arial" w:cs="Arial"/>
          <w:bCs/>
        </w:rPr>
      </w:pPr>
      <w:r>
        <w:rPr>
          <w:rFonts w:ascii="Arial" w:eastAsia="Arial" w:hAnsi="Arial" w:cs="Arial"/>
          <w:bCs/>
        </w:rPr>
        <w:t>U školi se također provode programi koji omogućuju i poboljšavaju kvalitetniji boravak učenika, kao što su: produženi boravak, projekti i tematske radionice koje škola samostalno osmišljava i provodi.</w:t>
      </w:r>
    </w:p>
    <w:p w14:paraId="7BE3CC21" w14:textId="77777777" w:rsidR="007B38F9" w:rsidRDefault="007B38F9" w:rsidP="007B38F9">
      <w:pPr>
        <w:pStyle w:val="Bezproreda"/>
        <w:spacing w:line="259" w:lineRule="auto"/>
        <w:jc w:val="both"/>
        <w:rPr>
          <w:rFonts w:ascii="Arial" w:eastAsia="Arial" w:hAnsi="Arial" w:cs="Arial"/>
          <w:bCs/>
        </w:rPr>
      </w:pPr>
    </w:p>
    <w:p w14:paraId="65012087" w14:textId="77777777" w:rsidR="00863D50" w:rsidRDefault="00863D50" w:rsidP="007B38F9">
      <w:pPr>
        <w:pStyle w:val="Bezproreda"/>
        <w:spacing w:line="259" w:lineRule="auto"/>
        <w:jc w:val="both"/>
        <w:rPr>
          <w:rFonts w:ascii="Arial" w:eastAsia="Arial" w:hAnsi="Arial" w:cs="Arial"/>
        </w:rPr>
      </w:pPr>
      <w:r>
        <w:rPr>
          <w:rFonts w:ascii="Arial" w:eastAsia="Arial" w:hAnsi="Arial" w:cs="Arial"/>
        </w:rPr>
        <w:t>Podaci o učenicima i organizaciji nastave:</w:t>
      </w:r>
    </w:p>
    <w:p w14:paraId="7749C2E4" w14:textId="77777777" w:rsidR="00863D50" w:rsidRDefault="00863D50">
      <w:pPr>
        <w:pStyle w:val="Bezproreda"/>
        <w:numPr>
          <w:ilvl w:val="0"/>
          <w:numId w:val="22"/>
        </w:numPr>
        <w:spacing w:line="259" w:lineRule="auto"/>
        <w:jc w:val="both"/>
        <w:rPr>
          <w:rFonts w:ascii="Arial" w:eastAsia="Arial" w:hAnsi="Arial" w:cs="Arial"/>
        </w:rPr>
      </w:pPr>
      <w:r>
        <w:rPr>
          <w:rFonts w:ascii="Arial" w:eastAsia="Arial" w:hAnsi="Arial" w:cs="Arial"/>
        </w:rPr>
        <w:t>Ukupno učenika: 347</w:t>
      </w:r>
    </w:p>
    <w:p w14:paraId="63C6A70D" w14:textId="77777777" w:rsidR="00863D50" w:rsidRDefault="00863D50">
      <w:pPr>
        <w:pStyle w:val="Bezproreda"/>
        <w:numPr>
          <w:ilvl w:val="0"/>
          <w:numId w:val="22"/>
        </w:numPr>
        <w:spacing w:line="259" w:lineRule="auto"/>
        <w:jc w:val="both"/>
        <w:rPr>
          <w:rFonts w:ascii="Arial" w:eastAsia="Arial" w:hAnsi="Arial" w:cs="Arial"/>
        </w:rPr>
      </w:pPr>
      <w:r>
        <w:rPr>
          <w:rFonts w:ascii="Arial" w:eastAsia="Arial" w:hAnsi="Arial" w:cs="Arial"/>
        </w:rPr>
        <w:t>Ukupno razrednih odjela: 18</w:t>
      </w:r>
    </w:p>
    <w:p w14:paraId="5703923C" w14:textId="77777777" w:rsidR="00863D50" w:rsidRDefault="00863D50">
      <w:pPr>
        <w:pStyle w:val="Bezproreda"/>
        <w:numPr>
          <w:ilvl w:val="0"/>
          <w:numId w:val="22"/>
        </w:numPr>
        <w:spacing w:line="259" w:lineRule="auto"/>
        <w:jc w:val="both"/>
        <w:rPr>
          <w:rFonts w:ascii="Arial" w:eastAsia="Arial" w:hAnsi="Arial" w:cs="Arial"/>
        </w:rPr>
      </w:pPr>
      <w:r>
        <w:rPr>
          <w:rFonts w:ascii="Arial" w:eastAsia="Arial" w:hAnsi="Arial" w:cs="Arial"/>
        </w:rPr>
        <w:t>Nastava se odvija u dvije školske zgrade:</w:t>
      </w:r>
    </w:p>
    <w:p w14:paraId="3F0DF2F2" w14:textId="77777777" w:rsidR="00863D50" w:rsidRDefault="00863D50">
      <w:pPr>
        <w:pStyle w:val="Bezproreda"/>
        <w:numPr>
          <w:ilvl w:val="1"/>
          <w:numId w:val="22"/>
        </w:numPr>
        <w:spacing w:line="259" w:lineRule="auto"/>
        <w:jc w:val="both"/>
        <w:rPr>
          <w:rFonts w:ascii="Arial" w:eastAsia="Arial" w:hAnsi="Arial" w:cs="Arial"/>
        </w:rPr>
      </w:pPr>
      <w:r>
        <w:rPr>
          <w:rFonts w:ascii="Arial" w:eastAsia="Arial" w:hAnsi="Arial" w:cs="Arial"/>
        </w:rPr>
        <w:t>Matična škola: 322 učenika (1.–8. razred)</w:t>
      </w:r>
    </w:p>
    <w:p w14:paraId="152DFE04" w14:textId="77777777" w:rsidR="00863D50" w:rsidRDefault="00863D50">
      <w:pPr>
        <w:pStyle w:val="Bezproreda"/>
        <w:numPr>
          <w:ilvl w:val="1"/>
          <w:numId w:val="22"/>
        </w:numPr>
        <w:spacing w:line="259" w:lineRule="auto"/>
        <w:jc w:val="both"/>
        <w:rPr>
          <w:rFonts w:ascii="Arial" w:eastAsia="Arial" w:hAnsi="Arial" w:cs="Arial"/>
        </w:rPr>
      </w:pPr>
      <w:r>
        <w:rPr>
          <w:rFonts w:ascii="Arial" w:eastAsia="Arial" w:hAnsi="Arial" w:cs="Arial"/>
        </w:rPr>
        <w:t>Područna škola Rabac: 25 učenika (1.–4. razred, u dvije kombinirane skupine)</w:t>
      </w:r>
    </w:p>
    <w:p w14:paraId="2076999A" w14:textId="77777777" w:rsidR="00863D50" w:rsidRDefault="00863D50" w:rsidP="007B38F9">
      <w:pPr>
        <w:pStyle w:val="Bezproreda"/>
        <w:spacing w:line="259" w:lineRule="auto"/>
        <w:jc w:val="both"/>
        <w:rPr>
          <w:rFonts w:ascii="Arial" w:eastAsia="Arial" w:hAnsi="Arial" w:cs="Arial"/>
        </w:rPr>
      </w:pPr>
      <w:r>
        <w:rPr>
          <w:rFonts w:ascii="Arial" w:eastAsia="Arial" w:hAnsi="Arial" w:cs="Arial"/>
        </w:rPr>
        <w:t>Produženi boravak:</w:t>
      </w:r>
    </w:p>
    <w:p w14:paraId="00EF5AA0" w14:textId="77777777" w:rsidR="00863D50" w:rsidRDefault="00863D50">
      <w:pPr>
        <w:pStyle w:val="Bezproreda"/>
        <w:numPr>
          <w:ilvl w:val="0"/>
          <w:numId w:val="23"/>
        </w:numPr>
        <w:spacing w:line="259" w:lineRule="auto"/>
        <w:jc w:val="both"/>
        <w:rPr>
          <w:rFonts w:ascii="Arial" w:eastAsia="Arial" w:hAnsi="Arial" w:cs="Arial"/>
        </w:rPr>
      </w:pPr>
      <w:r>
        <w:rPr>
          <w:rFonts w:ascii="Arial" w:eastAsia="Arial" w:hAnsi="Arial" w:cs="Arial"/>
        </w:rPr>
        <w:t>Održava se u matičnoj školi, a od 2020. godine i u PŠ Rabac.</w:t>
      </w:r>
    </w:p>
    <w:p w14:paraId="79747002" w14:textId="77777777" w:rsidR="00863D50" w:rsidRDefault="00863D50">
      <w:pPr>
        <w:pStyle w:val="Bezproreda"/>
        <w:numPr>
          <w:ilvl w:val="0"/>
          <w:numId w:val="23"/>
        </w:numPr>
        <w:spacing w:line="259" w:lineRule="auto"/>
        <w:jc w:val="both"/>
        <w:rPr>
          <w:rFonts w:ascii="Arial" w:eastAsia="Arial" w:hAnsi="Arial" w:cs="Arial"/>
        </w:rPr>
      </w:pPr>
      <w:r>
        <w:rPr>
          <w:rFonts w:ascii="Arial" w:eastAsia="Arial" w:hAnsi="Arial" w:cs="Arial"/>
        </w:rPr>
        <w:t>Pohađa ga 128 učenika (podatak iz rujna 2024.), organiziran u pet grupa.</w:t>
      </w:r>
    </w:p>
    <w:p w14:paraId="02F9EC4D" w14:textId="77777777" w:rsidR="00863D50" w:rsidRDefault="00863D50" w:rsidP="007B38F9">
      <w:pPr>
        <w:pStyle w:val="Bezproreda"/>
        <w:spacing w:line="259" w:lineRule="auto"/>
        <w:jc w:val="both"/>
        <w:rPr>
          <w:rFonts w:ascii="Arial" w:eastAsia="Arial" w:hAnsi="Arial" w:cs="Arial"/>
          <w:b/>
          <w:color w:val="FF0000"/>
        </w:rPr>
      </w:pPr>
    </w:p>
    <w:p w14:paraId="48EAF075" w14:textId="77777777" w:rsidR="00863D50" w:rsidRDefault="00863D50" w:rsidP="007B38F9">
      <w:pPr>
        <w:pStyle w:val="Bezproreda"/>
        <w:spacing w:line="259" w:lineRule="auto"/>
        <w:jc w:val="both"/>
        <w:rPr>
          <w:rFonts w:ascii="Arial" w:hAnsi="Arial" w:cs="Arial"/>
          <w:b/>
          <w:u w:val="single"/>
        </w:rPr>
      </w:pPr>
      <w:bookmarkStart w:id="40" w:name="_Hlk46152963"/>
      <w:r>
        <w:rPr>
          <w:rFonts w:ascii="Arial" w:hAnsi="Arial" w:cs="Arial"/>
          <w:b/>
          <w:u w:val="single"/>
        </w:rPr>
        <w:t xml:space="preserve">Pokazatelji uspješnosti : </w:t>
      </w:r>
    </w:p>
    <w:p w14:paraId="781791F8" w14:textId="77777777" w:rsidR="00863D50" w:rsidRDefault="00863D50" w:rsidP="007B38F9">
      <w:pPr>
        <w:pStyle w:val="Bezproreda"/>
        <w:spacing w:line="259" w:lineRule="auto"/>
        <w:jc w:val="both"/>
        <w:rPr>
          <w:rFonts w:ascii="Arial" w:eastAsia="Arial" w:hAnsi="Arial" w:cs="Arial"/>
          <w:bCs/>
        </w:rPr>
      </w:pPr>
      <w:r>
        <w:rPr>
          <w:rFonts w:ascii="Arial" w:eastAsia="Arial" w:hAnsi="Arial" w:cs="Arial"/>
          <w:bCs/>
        </w:rPr>
        <w:t>Pokazatelji uspješnosti u osnovnoj školi važan su element praćenja kvalitete rada škole, učenika i nastavnog procesa. Oni se koriste u svrhu samo vrednovanja škole, izrade godišnjih izvješća, planiranja unaprjeđenja i osiguravanja kvalitete obrazovanja.</w:t>
      </w:r>
    </w:p>
    <w:p w14:paraId="3B47C34A" w14:textId="77777777" w:rsidR="00863D50" w:rsidRDefault="00863D50" w:rsidP="007B38F9">
      <w:pPr>
        <w:pStyle w:val="Bezproreda"/>
        <w:spacing w:line="259" w:lineRule="auto"/>
        <w:jc w:val="both"/>
        <w:rPr>
          <w:rFonts w:ascii="Arial" w:eastAsia="Arial" w:hAnsi="Arial" w:cs="Arial"/>
          <w:bCs/>
        </w:rPr>
      </w:pPr>
      <w:r>
        <w:rPr>
          <w:rFonts w:ascii="Arial" w:eastAsia="Times New Roman" w:hAnsi="Arial" w:cs="Arial"/>
        </w:rPr>
        <w:t>Uspješnost se vidi kroz u</w:t>
      </w:r>
      <w:r>
        <w:rPr>
          <w:rFonts w:ascii="Arial" w:eastAsia="Arial" w:hAnsi="Arial" w:cs="Arial"/>
        </w:rPr>
        <w:t>čenička postignuća kao što su prosječan uspjeh učenika po razredima i ukupno, broj učenika s odličnim uspjehom, broj učenika s nedovoljnim ocjenama</w:t>
      </w:r>
      <w:r>
        <w:rPr>
          <w:rFonts w:ascii="Arial" w:eastAsia="Arial" w:hAnsi="Arial" w:cs="Arial"/>
          <w:bCs/>
        </w:rPr>
        <w:t xml:space="preserve"> / ponavljača, rezultati vanjskog vrednovanja (npr. nacionalni ispiti – 4. i 8. razred, sudjelovanje i uspjesi na natjecanjima), zatim redovitost i ponašanje učenika kroz boj izostanaka i izrečenih pedagoških mjera, te kvaliteta nastavnog procesa.</w:t>
      </w:r>
    </w:p>
    <w:p w14:paraId="4B1BD2D0" w14:textId="77777777" w:rsidR="00863D50" w:rsidRDefault="00863D50" w:rsidP="007B38F9">
      <w:pPr>
        <w:tabs>
          <w:tab w:val="left" w:pos="851"/>
        </w:tabs>
        <w:spacing w:line="259" w:lineRule="auto"/>
        <w:jc w:val="both"/>
        <w:rPr>
          <w:rFonts w:ascii="Arial" w:hAnsi="Arial" w:cs="Arial"/>
          <w:sz w:val="22"/>
        </w:rPr>
      </w:pPr>
      <w:r>
        <w:rPr>
          <w:rFonts w:ascii="Arial" w:hAnsi="Arial" w:cs="Arial"/>
          <w:sz w:val="22"/>
        </w:rPr>
        <w:t xml:space="preserve">Rizici su eventualni nedostatak sredstava za realizaciju planiranih programa i otežani uvjeti za izvođenje nastavnog procesa. Neprovođenjem ili djelomičnim provođenjem ovakvih programa i aktivnosti dovodi se u pitanje primjena standarda ili zakonskog minimalnog standarda u školi, </w:t>
      </w:r>
      <w:r>
        <w:rPr>
          <w:rFonts w:ascii="Arial" w:hAnsi="Arial" w:cs="Arial"/>
          <w:sz w:val="22"/>
        </w:rPr>
        <w:lastRenderedPageBreak/>
        <w:t>te zadovoljavanje  potreba djece i njihovih roditelja na području Grada Labina za odgojem, naobrazbom, prehranom, rehabilitacijom i socijalnom skrbi.</w:t>
      </w:r>
    </w:p>
    <w:p w14:paraId="3288DE58" w14:textId="77777777" w:rsidR="007B38F9" w:rsidRDefault="007B38F9" w:rsidP="007B38F9">
      <w:pPr>
        <w:tabs>
          <w:tab w:val="left" w:pos="851"/>
        </w:tabs>
        <w:spacing w:line="259" w:lineRule="auto"/>
        <w:jc w:val="both"/>
        <w:rPr>
          <w:rFonts w:ascii="Arial" w:hAnsi="Arial" w:cs="Arial"/>
          <w:sz w:val="22"/>
        </w:rPr>
      </w:pPr>
    </w:p>
    <w:p w14:paraId="31D429F2" w14:textId="77777777" w:rsidR="00863D50" w:rsidRPr="007B38F9" w:rsidRDefault="00863D50" w:rsidP="00863D50">
      <w:pPr>
        <w:tabs>
          <w:tab w:val="left" w:pos="851"/>
        </w:tabs>
        <w:jc w:val="both"/>
        <w:rPr>
          <w:rFonts w:ascii="Arial" w:eastAsia="Arial" w:hAnsi="Arial" w:cs="Arial"/>
          <w:bCs/>
          <w:sz w:val="22"/>
          <w:szCs w:val="22"/>
        </w:rPr>
      </w:pPr>
      <w:r w:rsidRPr="007B38F9">
        <w:rPr>
          <w:rFonts w:ascii="Arial" w:eastAsia="Arial" w:hAnsi="Arial" w:cs="Arial"/>
          <w:bCs/>
          <w:sz w:val="22"/>
          <w:szCs w:val="22"/>
        </w:rPr>
        <w:t>Tablica  5. Posebni dio financijskog plana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3853"/>
        <w:gridCol w:w="1286"/>
        <w:gridCol w:w="1237"/>
        <w:gridCol w:w="1237"/>
        <w:gridCol w:w="1517"/>
      </w:tblGrid>
      <w:tr w:rsidR="007B38F9" w:rsidRPr="007B38F9" w14:paraId="2509E872" w14:textId="77777777" w:rsidTr="007B38F9">
        <w:trPr>
          <w:trHeight w:val="510"/>
        </w:trPr>
        <w:tc>
          <w:tcPr>
            <w:tcW w:w="0" w:type="auto"/>
            <w:vAlign w:val="bottom"/>
            <w:hideMark/>
          </w:tcPr>
          <w:p w14:paraId="335A0839" w14:textId="77777777" w:rsidR="00863D50" w:rsidRPr="007B38F9" w:rsidRDefault="00863D50">
            <w:pPr>
              <w:rPr>
                <w:rFonts w:ascii="Arial" w:hAnsi="Arial" w:cs="Arial"/>
                <w:b/>
                <w:bCs/>
                <w:sz w:val="18"/>
                <w:szCs w:val="18"/>
              </w:rPr>
            </w:pPr>
            <w:r w:rsidRPr="007B38F9">
              <w:rPr>
                <w:rFonts w:ascii="Arial" w:hAnsi="Arial" w:cs="Arial"/>
                <w:b/>
                <w:bCs/>
                <w:sz w:val="18"/>
                <w:szCs w:val="18"/>
              </w:rPr>
              <w:t xml:space="preserve">BROJ </w:t>
            </w:r>
            <w:r w:rsidRPr="007B38F9">
              <w:rPr>
                <w:rFonts w:ascii="Arial" w:hAnsi="Arial" w:cs="Arial"/>
                <w:b/>
                <w:bCs/>
                <w:sz w:val="18"/>
                <w:szCs w:val="18"/>
              </w:rPr>
              <w:br/>
              <w:t>KONTA</w:t>
            </w:r>
          </w:p>
        </w:tc>
        <w:tc>
          <w:tcPr>
            <w:tcW w:w="3853" w:type="dxa"/>
            <w:noWrap/>
            <w:vAlign w:val="bottom"/>
            <w:hideMark/>
          </w:tcPr>
          <w:p w14:paraId="1FFA4E59" w14:textId="77777777" w:rsidR="00863D50" w:rsidRPr="007B38F9" w:rsidRDefault="00863D50">
            <w:pPr>
              <w:rPr>
                <w:rFonts w:ascii="Arial" w:hAnsi="Arial" w:cs="Arial"/>
                <w:b/>
                <w:bCs/>
                <w:sz w:val="18"/>
                <w:szCs w:val="18"/>
              </w:rPr>
            </w:pPr>
            <w:r w:rsidRPr="007B38F9">
              <w:rPr>
                <w:rFonts w:ascii="Arial" w:hAnsi="Arial" w:cs="Arial"/>
                <w:b/>
                <w:bCs/>
                <w:sz w:val="18"/>
                <w:szCs w:val="18"/>
              </w:rPr>
              <w:t>VRSTA RASHODA / IZDATAKA</w:t>
            </w:r>
          </w:p>
        </w:tc>
        <w:tc>
          <w:tcPr>
            <w:tcW w:w="1264" w:type="dxa"/>
            <w:noWrap/>
            <w:vAlign w:val="bottom"/>
            <w:hideMark/>
          </w:tcPr>
          <w:p w14:paraId="609C656D" w14:textId="77777777" w:rsidR="00863D50" w:rsidRPr="007B38F9" w:rsidRDefault="00863D50">
            <w:pPr>
              <w:rPr>
                <w:rFonts w:ascii="Arial" w:hAnsi="Arial" w:cs="Arial"/>
                <w:b/>
                <w:bCs/>
                <w:sz w:val="18"/>
                <w:szCs w:val="18"/>
              </w:rPr>
            </w:pPr>
            <w:r w:rsidRPr="007B38F9">
              <w:rPr>
                <w:rFonts w:ascii="Arial" w:hAnsi="Arial" w:cs="Arial"/>
                <w:b/>
                <w:bCs/>
                <w:sz w:val="18"/>
                <w:szCs w:val="18"/>
              </w:rPr>
              <w:t>PLANIRANO</w:t>
            </w:r>
          </w:p>
        </w:tc>
        <w:tc>
          <w:tcPr>
            <w:tcW w:w="0" w:type="auto"/>
            <w:vAlign w:val="bottom"/>
            <w:hideMark/>
          </w:tcPr>
          <w:p w14:paraId="6AEBF02B" w14:textId="77777777" w:rsidR="00863D50" w:rsidRPr="007B38F9" w:rsidRDefault="00863D50">
            <w:pPr>
              <w:jc w:val="center"/>
              <w:rPr>
                <w:rFonts w:ascii="Arial" w:hAnsi="Arial" w:cs="Arial"/>
                <w:b/>
                <w:bCs/>
                <w:sz w:val="18"/>
                <w:szCs w:val="18"/>
              </w:rPr>
            </w:pPr>
            <w:r w:rsidRPr="007B38F9">
              <w:rPr>
                <w:rFonts w:ascii="Arial" w:hAnsi="Arial" w:cs="Arial"/>
                <w:b/>
                <w:bCs/>
                <w:sz w:val="18"/>
                <w:szCs w:val="18"/>
              </w:rPr>
              <w:t>PROMJENA IZNOS</w:t>
            </w:r>
          </w:p>
        </w:tc>
        <w:tc>
          <w:tcPr>
            <w:tcW w:w="0" w:type="auto"/>
            <w:vAlign w:val="bottom"/>
            <w:hideMark/>
          </w:tcPr>
          <w:p w14:paraId="78699F33" w14:textId="77777777" w:rsidR="00863D50" w:rsidRPr="007B38F9" w:rsidRDefault="00863D50">
            <w:pPr>
              <w:rPr>
                <w:rFonts w:ascii="Arial" w:hAnsi="Arial" w:cs="Arial"/>
                <w:b/>
                <w:bCs/>
                <w:sz w:val="18"/>
                <w:szCs w:val="18"/>
              </w:rPr>
            </w:pPr>
            <w:r w:rsidRPr="007B38F9">
              <w:rPr>
                <w:rFonts w:ascii="Arial" w:hAnsi="Arial" w:cs="Arial"/>
                <w:b/>
                <w:bCs/>
                <w:sz w:val="18"/>
                <w:szCs w:val="18"/>
              </w:rPr>
              <w:t xml:space="preserve">PROMJENA </w:t>
            </w:r>
            <w:r w:rsidRPr="007B38F9">
              <w:rPr>
                <w:rFonts w:ascii="Arial" w:hAnsi="Arial" w:cs="Arial"/>
                <w:b/>
                <w:bCs/>
                <w:sz w:val="18"/>
                <w:szCs w:val="18"/>
              </w:rPr>
              <w:br/>
              <w:t>POSTOTAK</w:t>
            </w:r>
          </w:p>
        </w:tc>
        <w:tc>
          <w:tcPr>
            <w:tcW w:w="1517" w:type="dxa"/>
            <w:noWrap/>
            <w:vAlign w:val="bottom"/>
            <w:hideMark/>
          </w:tcPr>
          <w:p w14:paraId="070D51DB" w14:textId="77777777" w:rsidR="00863D50" w:rsidRPr="007B38F9" w:rsidRDefault="00863D50">
            <w:pPr>
              <w:rPr>
                <w:rFonts w:ascii="Arial" w:hAnsi="Arial" w:cs="Arial"/>
                <w:b/>
                <w:bCs/>
                <w:sz w:val="18"/>
                <w:szCs w:val="18"/>
              </w:rPr>
            </w:pPr>
            <w:r w:rsidRPr="007B38F9">
              <w:rPr>
                <w:rFonts w:ascii="Arial" w:hAnsi="Arial" w:cs="Arial"/>
                <w:b/>
                <w:bCs/>
                <w:sz w:val="18"/>
                <w:szCs w:val="18"/>
              </w:rPr>
              <w:t>NOVI IZNOS</w:t>
            </w:r>
          </w:p>
        </w:tc>
      </w:tr>
      <w:tr w:rsidR="007B38F9" w:rsidRPr="007B38F9" w14:paraId="3EBFE75B" w14:textId="77777777" w:rsidTr="007B38F9">
        <w:trPr>
          <w:trHeight w:val="255"/>
        </w:trPr>
        <w:tc>
          <w:tcPr>
            <w:tcW w:w="4596" w:type="dxa"/>
            <w:gridSpan w:val="2"/>
            <w:noWrap/>
            <w:vAlign w:val="bottom"/>
            <w:hideMark/>
          </w:tcPr>
          <w:p w14:paraId="08272580" w14:textId="77777777" w:rsidR="00863D50" w:rsidRPr="007B38F9" w:rsidRDefault="00863D50">
            <w:pPr>
              <w:rPr>
                <w:rFonts w:ascii="Arial" w:hAnsi="Arial" w:cs="Arial"/>
                <w:b/>
                <w:bCs/>
                <w:sz w:val="18"/>
                <w:szCs w:val="18"/>
              </w:rPr>
            </w:pPr>
            <w:r w:rsidRPr="007B38F9">
              <w:rPr>
                <w:rFonts w:ascii="Arial" w:hAnsi="Arial" w:cs="Arial"/>
                <w:b/>
                <w:bCs/>
                <w:sz w:val="18"/>
                <w:szCs w:val="18"/>
              </w:rPr>
              <w:t xml:space="preserve">  SVEUKUPNO RASHODI / IZDACI</w:t>
            </w:r>
          </w:p>
        </w:tc>
        <w:tc>
          <w:tcPr>
            <w:tcW w:w="1264" w:type="dxa"/>
            <w:noWrap/>
            <w:vAlign w:val="bottom"/>
            <w:hideMark/>
          </w:tcPr>
          <w:p w14:paraId="60D648EF"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1.964.356,00</w:t>
            </w:r>
          </w:p>
        </w:tc>
        <w:tc>
          <w:tcPr>
            <w:tcW w:w="0" w:type="auto"/>
            <w:noWrap/>
            <w:vAlign w:val="bottom"/>
            <w:hideMark/>
          </w:tcPr>
          <w:p w14:paraId="17B8E3D3"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55.757,00</w:t>
            </w:r>
          </w:p>
        </w:tc>
        <w:tc>
          <w:tcPr>
            <w:tcW w:w="0" w:type="auto"/>
            <w:noWrap/>
            <w:vAlign w:val="bottom"/>
            <w:hideMark/>
          </w:tcPr>
          <w:p w14:paraId="2B08D7D1"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2,84</w:t>
            </w:r>
          </w:p>
        </w:tc>
        <w:tc>
          <w:tcPr>
            <w:tcW w:w="1517" w:type="dxa"/>
            <w:noWrap/>
            <w:vAlign w:val="bottom"/>
            <w:hideMark/>
          </w:tcPr>
          <w:p w14:paraId="0D4C2F51"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2.020.113,00</w:t>
            </w:r>
          </w:p>
        </w:tc>
      </w:tr>
      <w:tr w:rsidR="007B38F9" w:rsidRPr="007B38F9" w14:paraId="7ADE0A8D" w14:textId="77777777" w:rsidTr="007B38F9">
        <w:trPr>
          <w:trHeight w:val="255"/>
        </w:trPr>
        <w:tc>
          <w:tcPr>
            <w:tcW w:w="4596" w:type="dxa"/>
            <w:gridSpan w:val="2"/>
            <w:shd w:val="clear" w:color="auto" w:fill="808080" w:themeFill="background1" w:themeFillShade="80"/>
            <w:noWrap/>
            <w:vAlign w:val="bottom"/>
            <w:hideMark/>
          </w:tcPr>
          <w:p w14:paraId="631B58FC" w14:textId="77777777" w:rsidR="00863D50" w:rsidRPr="007B38F9" w:rsidRDefault="00863D50">
            <w:pPr>
              <w:rPr>
                <w:rFonts w:ascii="Arial" w:hAnsi="Arial" w:cs="Arial"/>
                <w:b/>
                <w:bCs/>
                <w:color w:val="FFFFFF"/>
                <w:sz w:val="18"/>
                <w:szCs w:val="18"/>
              </w:rPr>
            </w:pPr>
            <w:r w:rsidRPr="007B38F9">
              <w:rPr>
                <w:rFonts w:ascii="Arial" w:hAnsi="Arial" w:cs="Arial"/>
                <w:b/>
                <w:bCs/>
                <w:color w:val="FFFFFF"/>
                <w:sz w:val="18"/>
                <w:szCs w:val="18"/>
              </w:rPr>
              <w:t>Razdjel 500 UPRAVNI ODJEL ZA DRUŠTVENE DJELATNOSTI</w:t>
            </w:r>
          </w:p>
        </w:tc>
        <w:tc>
          <w:tcPr>
            <w:tcW w:w="1264" w:type="dxa"/>
            <w:shd w:val="clear" w:color="auto" w:fill="808080" w:themeFill="background1" w:themeFillShade="80"/>
            <w:noWrap/>
            <w:vAlign w:val="bottom"/>
            <w:hideMark/>
          </w:tcPr>
          <w:p w14:paraId="2B31ADF7" w14:textId="77777777" w:rsidR="00863D50" w:rsidRPr="007B38F9" w:rsidRDefault="00863D50">
            <w:pPr>
              <w:jc w:val="right"/>
              <w:rPr>
                <w:rFonts w:ascii="Arial" w:hAnsi="Arial" w:cs="Arial"/>
                <w:b/>
                <w:bCs/>
                <w:color w:val="FFFFFF"/>
                <w:sz w:val="18"/>
                <w:szCs w:val="18"/>
              </w:rPr>
            </w:pPr>
            <w:r w:rsidRPr="007B38F9">
              <w:rPr>
                <w:rFonts w:ascii="Arial" w:hAnsi="Arial" w:cs="Arial"/>
                <w:b/>
                <w:bCs/>
                <w:color w:val="FFFFFF"/>
                <w:sz w:val="18"/>
                <w:szCs w:val="18"/>
              </w:rPr>
              <w:t>1.964.356,00</w:t>
            </w:r>
          </w:p>
        </w:tc>
        <w:tc>
          <w:tcPr>
            <w:tcW w:w="0" w:type="auto"/>
            <w:shd w:val="clear" w:color="auto" w:fill="808080" w:themeFill="background1" w:themeFillShade="80"/>
            <w:noWrap/>
            <w:vAlign w:val="bottom"/>
            <w:hideMark/>
          </w:tcPr>
          <w:p w14:paraId="2BEB9E38" w14:textId="77777777" w:rsidR="00863D50" w:rsidRPr="007B38F9" w:rsidRDefault="00863D50">
            <w:pPr>
              <w:jc w:val="right"/>
              <w:rPr>
                <w:rFonts w:ascii="Arial" w:hAnsi="Arial" w:cs="Arial"/>
                <w:b/>
                <w:bCs/>
                <w:color w:val="FFFFFF"/>
                <w:sz w:val="18"/>
                <w:szCs w:val="18"/>
              </w:rPr>
            </w:pPr>
            <w:r w:rsidRPr="007B38F9">
              <w:rPr>
                <w:rFonts w:ascii="Arial" w:hAnsi="Arial" w:cs="Arial"/>
                <w:b/>
                <w:bCs/>
                <w:color w:val="FFFFFF"/>
                <w:sz w:val="18"/>
                <w:szCs w:val="18"/>
              </w:rPr>
              <w:t>55.757,00</w:t>
            </w:r>
          </w:p>
        </w:tc>
        <w:tc>
          <w:tcPr>
            <w:tcW w:w="0" w:type="auto"/>
            <w:shd w:val="clear" w:color="auto" w:fill="808080" w:themeFill="background1" w:themeFillShade="80"/>
            <w:noWrap/>
            <w:vAlign w:val="bottom"/>
            <w:hideMark/>
          </w:tcPr>
          <w:p w14:paraId="09219ABF" w14:textId="77777777" w:rsidR="00863D50" w:rsidRPr="007B38F9" w:rsidRDefault="00863D50">
            <w:pPr>
              <w:jc w:val="right"/>
              <w:rPr>
                <w:rFonts w:ascii="Arial" w:hAnsi="Arial" w:cs="Arial"/>
                <w:b/>
                <w:bCs/>
                <w:color w:val="FFFFFF"/>
                <w:sz w:val="18"/>
                <w:szCs w:val="18"/>
              </w:rPr>
            </w:pPr>
            <w:r w:rsidRPr="007B38F9">
              <w:rPr>
                <w:rFonts w:ascii="Arial" w:hAnsi="Arial" w:cs="Arial"/>
                <w:b/>
                <w:bCs/>
                <w:color w:val="FFFFFF"/>
                <w:sz w:val="18"/>
                <w:szCs w:val="18"/>
              </w:rPr>
              <w:t>2,84</w:t>
            </w:r>
          </w:p>
        </w:tc>
        <w:tc>
          <w:tcPr>
            <w:tcW w:w="1517" w:type="dxa"/>
            <w:shd w:val="clear" w:color="auto" w:fill="808080" w:themeFill="background1" w:themeFillShade="80"/>
            <w:noWrap/>
            <w:vAlign w:val="bottom"/>
            <w:hideMark/>
          </w:tcPr>
          <w:p w14:paraId="693A410A" w14:textId="77777777" w:rsidR="00863D50" w:rsidRPr="007B38F9" w:rsidRDefault="00863D50">
            <w:pPr>
              <w:jc w:val="right"/>
              <w:rPr>
                <w:rFonts w:ascii="Arial" w:hAnsi="Arial" w:cs="Arial"/>
                <w:b/>
                <w:bCs/>
                <w:color w:val="FFFFFF"/>
                <w:sz w:val="18"/>
                <w:szCs w:val="18"/>
              </w:rPr>
            </w:pPr>
            <w:r w:rsidRPr="007B38F9">
              <w:rPr>
                <w:rFonts w:ascii="Arial" w:hAnsi="Arial" w:cs="Arial"/>
                <w:b/>
                <w:bCs/>
                <w:color w:val="FFFFFF"/>
                <w:sz w:val="18"/>
                <w:szCs w:val="18"/>
              </w:rPr>
              <w:t>2.020.113,00</w:t>
            </w:r>
          </w:p>
        </w:tc>
      </w:tr>
      <w:tr w:rsidR="007B38F9" w:rsidRPr="007B38F9" w14:paraId="639A4231" w14:textId="77777777" w:rsidTr="007B38F9">
        <w:trPr>
          <w:trHeight w:val="255"/>
        </w:trPr>
        <w:tc>
          <w:tcPr>
            <w:tcW w:w="4596" w:type="dxa"/>
            <w:gridSpan w:val="2"/>
            <w:shd w:val="clear" w:color="auto" w:fill="808080" w:themeFill="background1" w:themeFillShade="80"/>
            <w:noWrap/>
            <w:vAlign w:val="bottom"/>
            <w:hideMark/>
          </w:tcPr>
          <w:p w14:paraId="3347AEF8" w14:textId="77777777" w:rsidR="00863D50" w:rsidRPr="007B38F9" w:rsidRDefault="00863D50">
            <w:pPr>
              <w:rPr>
                <w:rFonts w:ascii="Arial" w:hAnsi="Arial" w:cs="Arial"/>
                <w:b/>
                <w:bCs/>
                <w:color w:val="FFFFFF" w:themeColor="background1"/>
                <w:sz w:val="18"/>
                <w:szCs w:val="18"/>
              </w:rPr>
            </w:pPr>
            <w:r w:rsidRPr="007B38F9">
              <w:rPr>
                <w:rFonts w:ascii="Arial" w:hAnsi="Arial" w:cs="Arial"/>
                <w:b/>
                <w:bCs/>
                <w:color w:val="FFFFFF" w:themeColor="background1"/>
                <w:sz w:val="18"/>
                <w:szCs w:val="18"/>
              </w:rPr>
              <w:t>Glava 50003 USTANOVE ŠKOLSTVA</w:t>
            </w:r>
          </w:p>
        </w:tc>
        <w:tc>
          <w:tcPr>
            <w:tcW w:w="1264" w:type="dxa"/>
            <w:shd w:val="clear" w:color="auto" w:fill="808080" w:themeFill="background1" w:themeFillShade="80"/>
            <w:noWrap/>
            <w:vAlign w:val="bottom"/>
            <w:hideMark/>
          </w:tcPr>
          <w:p w14:paraId="601041B9" w14:textId="77777777" w:rsidR="00863D50" w:rsidRPr="007B38F9" w:rsidRDefault="00863D50">
            <w:pPr>
              <w:jc w:val="right"/>
              <w:rPr>
                <w:rFonts w:ascii="Arial" w:hAnsi="Arial" w:cs="Arial"/>
                <w:b/>
                <w:bCs/>
                <w:color w:val="FFFFFF" w:themeColor="background1"/>
                <w:sz w:val="18"/>
                <w:szCs w:val="18"/>
              </w:rPr>
            </w:pPr>
            <w:r w:rsidRPr="007B38F9">
              <w:rPr>
                <w:rFonts w:ascii="Arial" w:hAnsi="Arial" w:cs="Arial"/>
                <w:b/>
                <w:bCs/>
                <w:color w:val="FFFFFF" w:themeColor="background1"/>
                <w:sz w:val="18"/>
                <w:szCs w:val="18"/>
              </w:rPr>
              <w:t>1.964.356,00</w:t>
            </w:r>
          </w:p>
        </w:tc>
        <w:tc>
          <w:tcPr>
            <w:tcW w:w="0" w:type="auto"/>
            <w:shd w:val="clear" w:color="auto" w:fill="808080" w:themeFill="background1" w:themeFillShade="80"/>
            <w:noWrap/>
            <w:vAlign w:val="bottom"/>
            <w:hideMark/>
          </w:tcPr>
          <w:p w14:paraId="6AB64A0B" w14:textId="77777777" w:rsidR="00863D50" w:rsidRPr="007B38F9" w:rsidRDefault="00863D50">
            <w:pPr>
              <w:jc w:val="right"/>
              <w:rPr>
                <w:rFonts w:ascii="Arial" w:hAnsi="Arial" w:cs="Arial"/>
                <w:b/>
                <w:bCs/>
                <w:color w:val="FFFFFF" w:themeColor="background1"/>
                <w:sz w:val="18"/>
                <w:szCs w:val="18"/>
              </w:rPr>
            </w:pPr>
            <w:r w:rsidRPr="007B38F9">
              <w:rPr>
                <w:rFonts w:ascii="Arial" w:hAnsi="Arial" w:cs="Arial"/>
                <w:b/>
                <w:bCs/>
                <w:color w:val="FFFFFF" w:themeColor="background1"/>
                <w:sz w:val="18"/>
                <w:szCs w:val="18"/>
              </w:rPr>
              <w:t>55.757,00</w:t>
            </w:r>
          </w:p>
        </w:tc>
        <w:tc>
          <w:tcPr>
            <w:tcW w:w="0" w:type="auto"/>
            <w:shd w:val="clear" w:color="auto" w:fill="808080" w:themeFill="background1" w:themeFillShade="80"/>
            <w:noWrap/>
            <w:vAlign w:val="bottom"/>
            <w:hideMark/>
          </w:tcPr>
          <w:p w14:paraId="6E438127" w14:textId="77777777" w:rsidR="00863D50" w:rsidRPr="007B38F9" w:rsidRDefault="00863D50">
            <w:pPr>
              <w:jc w:val="right"/>
              <w:rPr>
                <w:rFonts w:ascii="Arial" w:hAnsi="Arial" w:cs="Arial"/>
                <w:b/>
                <w:bCs/>
                <w:color w:val="FFFFFF" w:themeColor="background1"/>
                <w:sz w:val="18"/>
                <w:szCs w:val="18"/>
              </w:rPr>
            </w:pPr>
            <w:r w:rsidRPr="007B38F9">
              <w:rPr>
                <w:rFonts w:ascii="Arial" w:hAnsi="Arial" w:cs="Arial"/>
                <w:b/>
                <w:bCs/>
                <w:color w:val="FFFFFF" w:themeColor="background1"/>
                <w:sz w:val="18"/>
                <w:szCs w:val="18"/>
              </w:rPr>
              <w:t>2,84</w:t>
            </w:r>
          </w:p>
        </w:tc>
        <w:tc>
          <w:tcPr>
            <w:tcW w:w="1517" w:type="dxa"/>
            <w:shd w:val="clear" w:color="auto" w:fill="808080" w:themeFill="background1" w:themeFillShade="80"/>
            <w:noWrap/>
            <w:vAlign w:val="bottom"/>
            <w:hideMark/>
          </w:tcPr>
          <w:p w14:paraId="2EBEAA5B" w14:textId="77777777" w:rsidR="00863D50" w:rsidRPr="007B38F9" w:rsidRDefault="00863D50">
            <w:pPr>
              <w:jc w:val="right"/>
              <w:rPr>
                <w:rFonts w:ascii="Arial" w:hAnsi="Arial" w:cs="Arial"/>
                <w:b/>
                <w:bCs/>
                <w:color w:val="FFFFFF" w:themeColor="background1"/>
                <w:sz w:val="18"/>
                <w:szCs w:val="18"/>
              </w:rPr>
            </w:pPr>
            <w:r w:rsidRPr="007B38F9">
              <w:rPr>
                <w:rFonts w:ascii="Arial" w:hAnsi="Arial" w:cs="Arial"/>
                <w:b/>
                <w:bCs/>
                <w:color w:val="FFFFFF" w:themeColor="background1"/>
                <w:sz w:val="18"/>
                <w:szCs w:val="18"/>
              </w:rPr>
              <w:t>2.020.113,00</w:t>
            </w:r>
          </w:p>
        </w:tc>
      </w:tr>
      <w:tr w:rsidR="007B38F9" w:rsidRPr="007B38F9" w14:paraId="560FF35F" w14:textId="77777777" w:rsidTr="007B38F9">
        <w:trPr>
          <w:trHeight w:val="255"/>
        </w:trPr>
        <w:tc>
          <w:tcPr>
            <w:tcW w:w="4596" w:type="dxa"/>
            <w:gridSpan w:val="2"/>
            <w:shd w:val="clear" w:color="auto" w:fill="808080" w:themeFill="background1" w:themeFillShade="80"/>
            <w:noWrap/>
            <w:vAlign w:val="bottom"/>
            <w:hideMark/>
          </w:tcPr>
          <w:p w14:paraId="2FEA498A" w14:textId="77777777" w:rsidR="00863D50" w:rsidRPr="007B38F9" w:rsidRDefault="00863D50">
            <w:pPr>
              <w:rPr>
                <w:rFonts w:ascii="Arial" w:hAnsi="Arial" w:cs="Arial"/>
                <w:b/>
                <w:bCs/>
                <w:color w:val="FFFFFF" w:themeColor="background1"/>
                <w:sz w:val="18"/>
                <w:szCs w:val="18"/>
              </w:rPr>
            </w:pPr>
            <w:r w:rsidRPr="007B38F9">
              <w:rPr>
                <w:rFonts w:ascii="Arial" w:hAnsi="Arial" w:cs="Arial"/>
                <w:b/>
                <w:bCs/>
                <w:color w:val="FFFFFF" w:themeColor="background1"/>
                <w:sz w:val="18"/>
                <w:szCs w:val="18"/>
              </w:rPr>
              <w:t>Proračunski korisnik 10581 OSNOVNA ŠKOLA MATIJE VLAČIĆA LABIN</w:t>
            </w:r>
          </w:p>
        </w:tc>
        <w:tc>
          <w:tcPr>
            <w:tcW w:w="1264" w:type="dxa"/>
            <w:shd w:val="clear" w:color="auto" w:fill="808080" w:themeFill="background1" w:themeFillShade="80"/>
            <w:noWrap/>
            <w:vAlign w:val="bottom"/>
            <w:hideMark/>
          </w:tcPr>
          <w:p w14:paraId="4A13F0A6" w14:textId="77777777" w:rsidR="00863D50" w:rsidRPr="007B38F9" w:rsidRDefault="00863D50">
            <w:pPr>
              <w:jc w:val="right"/>
              <w:rPr>
                <w:rFonts w:ascii="Arial" w:hAnsi="Arial" w:cs="Arial"/>
                <w:b/>
                <w:bCs/>
                <w:color w:val="FFFFFF" w:themeColor="background1"/>
                <w:sz w:val="18"/>
                <w:szCs w:val="18"/>
              </w:rPr>
            </w:pPr>
            <w:r w:rsidRPr="007B38F9">
              <w:rPr>
                <w:rFonts w:ascii="Arial" w:hAnsi="Arial" w:cs="Arial"/>
                <w:b/>
                <w:bCs/>
                <w:color w:val="FFFFFF" w:themeColor="background1"/>
                <w:sz w:val="18"/>
                <w:szCs w:val="18"/>
              </w:rPr>
              <w:t>1.964.356,00</w:t>
            </w:r>
          </w:p>
        </w:tc>
        <w:tc>
          <w:tcPr>
            <w:tcW w:w="0" w:type="auto"/>
            <w:shd w:val="clear" w:color="auto" w:fill="808080" w:themeFill="background1" w:themeFillShade="80"/>
            <w:noWrap/>
            <w:vAlign w:val="bottom"/>
            <w:hideMark/>
          </w:tcPr>
          <w:p w14:paraId="7A03EF03" w14:textId="77777777" w:rsidR="00863D50" w:rsidRPr="007B38F9" w:rsidRDefault="00863D50">
            <w:pPr>
              <w:jc w:val="right"/>
              <w:rPr>
                <w:rFonts w:ascii="Arial" w:hAnsi="Arial" w:cs="Arial"/>
                <w:b/>
                <w:bCs/>
                <w:color w:val="FFFFFF" w:themeColor="background1"/>
                <w:sz w:val="18"/>
                <w:szCs w:val="18"/>
              </w:rPr>
            </w:pPr>
            <w:r w:rsidRPr="007B38F9">
              <w:rPr>
                <w:rFonts w:ascii="Arial" w:hAnsi="Arial" w:cs="Arial"/>
                <w:b/>
                <w:bCs/>
                <w:color w:val="FFFFFF" w:themeColor="background1"/>
                <w:sz w:val="18"/>
                <w:szCs w:val="18"/>
              </w:rPr>
              <w:t>55.757,00</w:t>
            </w:r>
          </w:p>
        </w:tc>
        <w:tc>
          <w:tcPr>
            <w:tcW w:w="0" w:type="auto"/>
            <w:shd w:val="clear" w:color="auto" w:fill="808080" w:themeFill="background1" w:themeFillShade="80"/>
            <w:noWrap/>
            <w:vAlign w:val="bottom"/>
            <w:hideMark/>
          </w:tcPr>
          <w:p w14:paraId="03F536B6" w14:textId="77777777" w:rsidR="00863D50" w:rsidRPr="007B38F9" w:rsidRDefault="00863D50">
            <w:pPr>
              <w:jc w:val="right"/>
              <w:rPr>
                <w:rFonts w:ascii="Arial" w:hAnsi="Arial" w:cs="Arial"/>
                <w:b/>
                <w:bCs/>
                <w:color w:val="FFFFFF" w:themeColor="background1"/>
                <w:sz w:val="18"/>
                <w:szCs w:val="18"/>
              </w:rPr>
            </w:pPr>
            <w:r w:rsidRPr="007B38F9">
              <w:rPr>
                <w:rFonts w:ascii="Arial" w:hAnsi="Arial" w:cs="Arial"/>
                <w:b/>
                <w:bCs/>
                <w:color w:val="FFFFFF" w:themeColor="background1"/>
                <w:sz w:val="18"/>
                <w:szCs w:val="18"/>
              </w:rPr>
              <w:t>2,84</w:t>
            </w:r>
          </w:p>
        </w:tc>
        <w:tc>
          <w:tcPr>
            <w:tcW w:w="1517" w:type="dxa"/>
            <w:shd w:val="clear" w:color="auto" w:fill="808080" w:themeFill="background1" w:themeFillShade="80"/>
            <w:noWrap/>
            <w:vAlign w:val="bottom"/>
            <w:hideMark/>
          </w:tcPr>
          <w:p w14:paraId="714097E4" w14:textId="77777777" w:rsidR="00863D50" w:rsidRPr="007B38F9" w:rsidRDefault="00863D50">
            <w:pPr>
              <w:jc w:val="right"/>
              <w:rPr>
                <w:rFonts w:ascii="Arial" w:hAnsi="Arial" w:cs="Arial"/>
                <w:b/>
                <w:bCs/>
                <w:color w:val="FFFFFF" w:themeColor="background1"/>
                <w:sz w:val="18"/>
                <w:szCs w:val="18"/>
              </w:rPr>
            </w:pPr>
            <w:r w:rsidRPr="007B38F9">
              <w:rPr>
                <w:rFonts w:ascii="Arial" w:hAnsi="Arial" w:cs="Arial"/>
                <w:b/>
                <w:bCs/>
                <w:color w:val="FFFFFF" w:themeColor="background1"/>
                <w:sz w:val="18"/>
                <w:szCs w:val="18"/>
              </w:rPr>
              <w:t>2.020.113,00</w:t>
            </w:r>
          </w:p>
        </w:tc>
      </w:tr>
      <w:tr w:rsidR="007B38F9" w:rsidRPr="007B38F9" w14:paraId="740FBE74" w14:textId="77777777" w:rsidTr="007B38F9">
        <w:trPr>
          <w:trHeight w:val="255"/>
        </w:trPr>
        <w:tc>
          <w:tcPr>
            <w:tcW w:w="4596" w:type="dxa"/>
            <w:gridSpan w:val="2"/>
            <w:shd w:val="clear" w:color="auto" w:fill="808080" w:themeFill="background1" w:themeFillShade="80"/>
            <w:noWrap/>
            <w:vAlign w:val="bottom"/>
            <w:hideMark/>
          </w:tcPr>
          <w:p w14:paraId="3CF872EE" w14:textId="77777777" w:rsidR="00863D50" w:rsidRPr="007B38F9" w:rsidRDefault="00863D50">
            <w:pPr>
              <w:rPr>
                <w:rFonts w:ascii="Arial" w:hAnsi="Arial" w:cs="Arial"/>
                <w:b/>
                <w:bCs/>
                <w:color w:val="FFFFFF"/>
                <w:sz w:val="18"/>
                <w:szCs w:val="18"/>
              </w:rPr>
            </w:pPr>
            <w:r w:rsidRPr="007B38F9">
              <w:rPr>
                <w:rFonts w:ascii="Arial" w:hAnsi="Arial" w:cs="Arial"/>
                <w:b/>
                <w:bCs/>
                <w:color w:val="FFFFFF"/>
                <w:sz w:val="18"/>
                <w:szCs w:val="18"/>
              </w:rPr>
              <w:t>Glavni program L01 JEDINSTVENI GLAVNI PROGRAM</w:t>
            </w:r>
          </w:p>
        </w:tc>
        <w:tc>
          <w:tcPr>
            <w:tcW w:w="1264" w:type="dxa"/>
            <w:shd w:val="clear" w:color="auto" w:fill="808080" w:themeFill="background1" w:themeFillShade="80"/>
            <w:noWrap/>
            <w:vAlign w:val="bottom"/>
            <w:hideMark/>
          </w:tcPr>
          <w:p w14:paraId="225DF220" w14:textId="77777777" w:rsidR="00863D50" w:rsidRPr="007B38F9" w:rsidRDefault="00863D50">
            <w:pPr>
              <w:jc w:val="right"/>
              <w:rPr>
                <w:rFonts w:ascii="Arial" w:hAnsi="Arial" w:cs="Arial"/>
                <w:b/>
                <w:bCs/>
                <w:color w:val="FFFFFF"/>
                <w:sz w:val="18"/>
                <w:szCs w:val="18"/>
              </w:rPr>
            </w:pPr>
            <w:r w:rsidRPr="007B38F9">
              <w:rPr>
                <w:rFonts w:ascii="Arial" w:hAnsi="Arial" w:cs="Arial"/>
                <w:b/>
                <w:bCs/>
                <w:color w:val="FFFFFF"/>
                <w:sz w:val="18"/>
                <w:szCs w:val="18"/>
              </w:rPr>
              <w:t>1.964.356,00</w:t>
            </w:r>
          </w:p>
        </w:tc>
        <w:tc>
          <w:tcPr>
            <w:tcW w:w="0" w:type="auto"/>
            <w:shd w:val="clear" w:color="auto" w:fill="808080" w:themeFill="background1" w:themeFillShade="80"/>
            <w:noWrap/>
            <w:vAlign w:val="bottom"/>
            <w:hideMark/>
          </w:tcPr>
          <w:p w14:paraId="091E6B0D" w14:textId="77777777" w:rsidR="00863D50" w:rsidRPr="007B38F9" w:rsidRDefault="00863D50">
            <w:pPr>
              <w:jc w:val="right"/>
              <w:rPr>
                <w:rFonts w:ascii="Arial" w:hAnsi="Arial" w:cs="Arial"/>
                <w:b/>
                <w:bCs/>
                <w:color w:val="FFFFFF"/>
                <w:sz w:val="18"/>
                <w:szCs w:val="18"/>
              </w:rPr>
            </w:pPr>
            <w:r w:rsidRPr="007B38F9">
              <w:rPr>
                <w:rFonts w:ascii="Arial" w:hAnsi="Arial" w:cs="Arial"/>
                <w:b/>
                <w:bCs/>
                <w:color w:val="FFFFFF"/>
                <w:sz w:val="18"/>
                <w:szCs w:val="18"/>
              </w:rPr>
              <w:t>55.757,00</w:t>
            </w:r>
          </w:p>
        </w:tc>
        <w:tc>
          <w:tcPr>
            <w:tcW w:w="0" w:type="auto"/>
            <w:shd w:val="clear" w:color="auto" w:fill="808080" w:themeFill="background1" w:themeFillShade="80"/>
            <w:noWrap/>
            <w:vAlign w:val="bottom"/>
            <w:hideMark/>
          </w:tcPr>
          <w:p w14:paraId="6EFD98C1" w14:textId="77777777" w:rsidR="00863D50" w:rsidRPr="007B38F9" w:rsidRDefault="00863D50">
            <w:pPr>
              <w:jc w:val="right"/>
              <w:rPr>
                <w:rFonts w:ascii="Arial" w:hAnsi="Arial" w:cs="Arial"/>
                <w:b/>
                <w:bCs/>
                <w:color w:val="FFFFFF"/>
                <w:sz w:val="18"/>
                <w:szCs w:val="18"/>
              </w:rPr>
            </w:pPr>
            <w:r w:rsidRPr="007B38F9">
              <w:rPr>
                <w:rFonts w:ascii="Arial" w:hAnsi="Arial" w:cs="Arial"/>
                <w:b/>
                <w:bCs/>
                <w:color w:val="FFFFFF"/>
                <w:sz w:val="18"/>
                <w:szCs w:val="18"/>
              </w:rPr>
              <w:t>2,84</w:t>
            </w:r>
          </w:p>
        </w:tc>
        <w:tc>
          <w:tcPr>
            <w:tcW w:w="1517" w:type="dxa"/>
            <w:shd w:val="clear" w:color="auto" w:fill="808080" w:themeFill="background1" w:themeFillShade="80"/>
            <w:noWrap/>
            <w:vAlign w:val="bottom"/>
            <w:hideMark/>
          </w:tcPr>
          <w:p w14:paraId="11DA0573" w14:textId="77777777" w:rsidR="00863D50" w:rsidRPr="007B38F9" w:rsidRDefault="00863D50">
            <w:pPr>
              <w:jc w:val="right"/>
              <w:rPr>
                <w:rFonts w:ascii="Arial" w:hAnsi="Arial" w:cs="Arial"/>
                <w:b/>
                <w:bCs/>
                <w:color w:val="FFFFFF"/>
                <w:sz w:val="18"/>
                <w:szCs w:val="18"/>
              </w:rPr>
            </w:pPr>
            <w:r w:rsidRPr="007B38F9">
              <w:rPr>
                <w:rFonts w:ascii="Arial" w:hAnsi="Arial" w:cs="Arial"/>
                <w:b/>
                <w:bCs/>
                <w:color w:val="FFFFFF"/>
                <w:sz w:val="18"/>
                <w:szCs w:val="18"/>
              </w:rPr>
              <w:t>2.020.113,00</w:t>
            </w:r>
          </w:p>
        </w:tc>
      </w:tr>
      <w:tr w:rsidR="007B38F9" w:rsidRPr="007B38F9" w14:paraId="5B331D67" w14:textId="77777777" w:rsidTr="007B38F9">
        <w:trPr>
          <w:trHeight w:val="255"/>
        </w:trPr>
        <w:tc>
          <w:tcPr>
            <w:tcW w:w="4596" w:type="dxa"/>
            <w:gridSpan w:val="2"/>
            <w:shd w:val="clear" w:color="auto" w:fill="A6A6A6" w:themeFill="background1" w:themeFillShade="A6"/>
            <w:noWrap/>
            <w:vAlign w:val="bottom"/>
            <w:hideMark/>
          </w:tcPr>
          <w:p w14:paraId="1B0A5264"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Program 5002 Obrazovanje</w:t>
            </w:r>
          </w:p>
        </w:tc>
        <w:tc>
          <w:tcPr>
            <w:tcW w:w="1264" w:type="dxa"/>
            <w:shd w:val="clear" w:color="auto" w:fill="A6A6A6" w:themeFill="background1" w:themeFillShade="A6"/>
            <w:noWrap/>
            <w:vAlign w:val="bottom"/>
            <w:hideMark/>
          </w:tcPr>
          <w:p w14:paraId="76078FAE"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1.964.356,00</w:t>
            </w:r>
          </w:p>
        </w:tc>
        <w:tc>
          <w:tcPr>
            <w:tcW w:w="0" w:type="auto"/>
            <w:shd w:val="clear" w:color="auto" w:fill="A6A6A6" w:themeFill="background1" w:themeFillShade="A6"/>
            <w:noWrap/>
            <w:vAlign w:val="bottom"/>
            <w:hideMark/>
          </w:tcPr>
          <w:p w14:paraId="1B1FFFBF"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55.757,00</w:t>
            </w:r>
          </w:p>
        </w:tc>
        <w:tc>
          <w:tcPr>
            <w:tcW w:w="0" w:type="auto"/>
            <w:shd w:val="clear" w:color="auto" w:fill="A6A6A6" w:themeFill="background1" w:themeFillShade="A6"/>
            <w:noWrap/>
            <w:vAlign w:val="bottom"/>
            <w:hideMark/>
          </w:tcPr>
          <w:p w14:paraId="35A30DD7"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2,84</w:t>
            </w:r>
          </w:p>
        </w:tc>
        <w:tc>
          <w:tcPr>
            <w:tcW w:w="1517" w:type="dxa"/>
            <w:shd w:val="clear" w:color="auto" w:fill="A6A6A6" w:themeFill="background1" w:themeFillShade="A6"/>
            <w:noWrap/>
            <w:vAlign w:val="bottom"/>
            <w:hideMark/>
          </w:tcPr>
          <w:p w14:paraId="4B56C793"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2.020.113,00</w:t>
            </w:r>
          </w:p>
        </w:tc>
      </w:tr>
      <w:tr w:rsidR="007B38F9" w:rsidRPr="007B38F9" w14:paraId="59F0FB97" w14:textId="77777777" w:rsidTr="007B38F9">
        <w:trPr>
          <w:trHeight w:val="255"/>
        </w:trPr>
        <w:tc>
          <w:tcPr>
            <w:tcW w:w="4596" w:type="dxa"/>
            <w:gridSpan w:val="2"/>
            <w:shd w:val="clear" w:color="auto" w:fill="D9D9D9" w:themeFill="background1" w:themeFillShade="D9"/>
            <w:noWrap/>
            <w:vAlign w:val="bottom"/>
            <w:hideMark/>
          </w:tcPr>
          <w:p w14:paraId="52FBF1CD"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Aktivnost A500003 Financiranje djelatnosti osnovnog školstva</w:t>
            </w:r>
          </w:p>
        </w:tc>
        <w:tc>
          <w:tcPr>
            <w:tcW w:w="1264" w:type="dxa"/>
            <w:shd w:val="clear" w:color="auto" w:fill="D9D9D9" w:themeFill="background1" w:themeFillShade="D9"/>
            <w:noWrap/>
            <w:vAlign w:val="bottom"/>
            <w:hideMark/>
          </w:tcPr>
          <w:p w14:paraId="26782934"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1.624.296,00</w:t>
            </w:r>
          </w:p>
        </w:tc>
        <w:tc>
          <w:tcPr>
            <w:tcW w:w="0" w:type="auto"/>
            <w:shd w:val="clear" w:color="auto" w:fill="D9D9D9" w:themeFill="background1" w:themeFillShade="D9"/>
            <w:noWrap/>
            <w:vAlign w:val="bottom"/>
            <w:hideMark/>
          </w:tcPr>
          <w:p w14:paraId="6AD180A9"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26.447,00</w:t>
            </w:r>
          </w:p>
        </w:tc>
        <w:tc>
          <w:tcPr>
            <w:tcW w:w="0" w:type="auto"/>
            <w:shd w:val="clear" w:color="auto" w:fill="D9D9D9" w:themeFill="background1" w:themeFillShade="D9"/>
            <w:noWrap/>
            <w:vAlign w:val="bottom"/>
            <w:hideMark/>
          </w:tcPr>
          <w:p w14:paraId="0241CC42"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1,63</w:t>
            </w:r>
          </w:p>
        </w:tc>
        <w:tc>
          <w:tcPr>
            <w:tcW w:w="1517" w:type="dxa"/>
            <w:shd w:val="clear" w:color="auto" w:fill="D9D9D9" w:themeFill="background1" w:themeFillShade="D9"/>
            <w:noWrap/>
            <w:vAlign w:val="bottom"/>
            <w:hideMark/>
          </w:tcPr>
          <w:p w14:paraId="3145B301"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1.650.743,00</w:t>
            </w:r>
          </w:p>
        </w:tc>
      </w:tr>
      <w:tr w:rsidR="007B38F9" w:rsidRPr="007B38F9" w14:paraId="454CE0A9" w14:textId="77777777" w:rsidTr="007B38F9">
        <w:trPr>
          <w:trHeight w:val="255"/>
        </w:trPr>
        <w:tc>
          <w:tcPr>
            <w:tcW w:w="4596" w:type="dxa"/>
            <w:gridSpan w:val="2"/>
            <w:shd w:val="clear" w:color="auto" w:fill="FFFFFF" w:themeFill="background1"/>
            <w:noWrap/>
            <w:vAlign w:val="bottom"/>
            <w:hideMark/>
          </w:tcPr>
          <w:p w14:paraId="0CF0B29D"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1. OPĆI PRIHODI I PRIMICI</w:t>
            </w:r>
          </w:p>
        </w:tc>
        <w:tc>
          <w:tcPr>
            <w:tcW w:w="1264" w:type="dxa"/>
            <w:shd w:val="clear" w:color="auto" w:fill="FFFFFF" w:themeFill="background1"/>
            <w:noWrap/>
            <w:vAlign w:val="bottom"/>
            <w:hideMark/>
          </w:tcPr>
          <w:p w14:paraId="0900F3F3"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23.800,00</w:t>
            </w:r>
          </w:p>
        </w:tc>
        <w:tc>
          <w:tcPr>
            <w:tcW w:w="0" w:type="auto"/>
            <w:shd w:val="clear" w:color="auto" w:fill="FFFFFF" w:themeFill="background1"/>
            <w:noWrap/>
            <w:vAlign w:val="bottom"/>
            <w:hideMark/>
          </w:tcPr>
          <w:p w14:paraId="049B6CA0"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3.500,00</w:t>
            </w:r>
          </w:p>
        </w:tc>
        <w:tc>
          <w:tcPr>
            <w:tcW w:w="0" w:type="auto"/>
            <w:shd w:val="clear" w:color="auto" w:fill="FFFFFF" w:themeFill="background1"/>
            <w:noWrap/>
            <w:vAlign w:val="bottom"/>
            <w:hideMark/>
          </w:tcPr>
          <w:p w14:paraId="59A2E434"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6,30</w:t>
            </w:r>
          </w:p>
        </w:tc>
        <w:tc>
          <w:tcPr>
            <w:tcW w:w="1517" w:type="dxa"/>
            <w:shd w:val="clear" w:color="auto" w:fill="FFFFFF" w:themeFill="background1"/>
            <w:noWrap/>
            <w:vAlign w:val="bottom"/>
            <w:hideMark/>
          </w:tcPr>
          <w:p w14:paraId="591993ED"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25.300,00</w:t>
            </w:r>
          </w:p>
        </w:tc>
      </w:tr>
      <w:tr w:rsidR="007B38F9" w:rsidRPr="007B38F9" w14:paraId="218FDC14" w14:textId="77777777" w:rsidTr="007B38F9">
        <w:trPr>
          <w:trHeight w:val="255"/>
        </w:trPr>
        <w:tc>
          <w:tcPr>
            <w:tcW w:w="4596" w:type="dxa"/>
            <w:gridSpan w:val="2"/>
            <w:shd w:val="clear" w:color="auto" w:fill="FFFFFF" w:themeFill="background1"/>
            <w:noWrap/>
            <w:vAlign w:val="bottom"/>
            <w:hideMark/>
          </w:tcPr>
          <w:p w14:paraId="31538D03"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1.1. PRIHODI IZ NADLEŽNOG PRORAČUNA</w:t>
            </w:r>
          </w:p>
        </w:tc>
        <w:tc>
          <w:tcPr>
            <w:tcW w:w="1264" w:type="dxa"/>
            <w:shd w:val="clear" w:color="auto" w:fill="FFFFFF" w:themeFill="background1"/>
            <w:noWrap/>
            <w:vAlign w:val="bottom"/>
            <w:hideMark/>
          </w:tcPr>
          <w:p w14:paraId="6D5568DB"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23.800,00</w:t>
            </w:r>
          </w:p>
        </w:tc>
        <w:tc>
          <w:tcPr>
            <w:tcW w:w="0" w:type="auto"/>
            <w:shd w:val="clear" w:color="auto" w:fill="FFFFFF" w:themeFill="background1"/>
            <w:noWrap/>
            <w:vAlign w:val="bottom"/>
            <w:hideMark/>
          </w:tcPr>
          <w:p w14:paraId="00A47F51"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3.500,00</w:t>
            </w:r>
          </w:p>
        </w:tc>
        <w:tc>
          <w:tcPr>
            <w:tcW w:w="0" w:type="auto"/>
            <w:shd w:val="clear" w:color="auto" w:fill="FFFFFF" w:themeFill="background1"/>
            <w:noWrap/>
            <w:vAlign w:val="bottom"/>
            <w:hideMark/>
          </w:tcPr>
          <w:p w14:paraId="41B4ED50"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6,30</w:t>
            </w:r>
          </w:p>
        </w:tc>
        <w:tc>
          <w:tcPr>
            <w:tcW w:w="1517" w:type="dxa"/>
            <w:shd w:val="clear" w:color="auto" w:fill="FFFFFF" w:themeFill="background1"/>
            <w:noWrap/>
            <w:vAlign w:val="bottom"/>
            <w:hideMark/>
          </w:tcPr>
          <w:p w14:paraId="5500FA51"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25.300,00</w:t>
            </w:r>
          </w:p>
        </w:tc>
      </w:tr>
      <w:tr w:rsidR="007B38F9" w:rsidRPr="007B38F9" w14:paraId="2876FC0A" w14:textId="77777777" w:rsidTr="007B38F9">
        <w:trPr>
          <w:trHeight w:val="255"/>
        </w:trPr>
        <w:tc>
          <w:tcPr>
            <w:tcW w:w="0" w:type="auto"/>
            <w:shd w:val="clear" w:color="auto" w:fill="FFFFFF" w:themeFill="background1"/>
            <w:noWrap/>
            <w:vAlign w:val="bottom"/>
            <w:hideMark/>
          </w:tcPr>
          <w:p w14:paraId="26FABF43" w14:textId="77777777" w:rsidR="00863D50" w:rsidRPr="007B38F9" w:rsidRDefault="00863D50">
            <w:pPr>
              <w:rPr>
                <w:rFonts w:ascii="Arial" w:hAnsi="Arial" w:cs="Arial"/>
                <w:b/>
                <w:bCs/>
                <w:sz w:val="18"/>
                <w:szCs w:val="18"/>
              </w:rPr>
            </w:pPr>
            <w:r w:rsidRPr="007B38F9">
              <w:rPr>
                <w:rFonts w:ascii="Arial" w:hAnsi="Arial" w:cs="Arial"/>
                <w:b/>
                <w:bCs/>
                <w:sz w:val="18"/>
                <w:szCs w:val="18"/>
              </w:rPr>
              <w:t>3</w:t>
            </w:r>
          </w:p>
        </w:tc>
        <w:tc>
          <w:tcPr>
            <w:tcW w:w="3853" w:type="dxa"/>
            <w:shd w:val="clear" w:color="auto" w:fill="FFFFFF" w:themeFill="background1"/>
            <w:noWrap/>
            <w:vAlign w:val="bottom"/>
            <w:hideMark/>
          </w:tcPr>
          <w:p w14:paraId="7C883891" w14:textId="77777777" w:rsidR="00863D50" w:rsidRPr="007B38F9" w:rsidRDefault="00863D50">
            <w:pPr>
              <w:rPr>
                <w:rFonts w:ascii="Arial" w:hAnsi="Arial" w:cs="Arial"/>
                <w:b/>
                <w:bCs/>
                <w:sz w:val="18"/>
                <w:szCs w:val="18"/>
              </w:rPr>
            </w:pPr>
            <w:r w:rsidRPr="007B38F9">
              <w:rPr>
                <w:rFonts w:ascii="Arial" w:hAnsi="Arial" w:cs="Arial"/>
                <w:b/>
                <w:bCs/>
                <w:sz w:val="18"/>
                <w:szCs w:val="18"/>
              </w:rPr>
              <w:t>Rashodi poslovanja</w:t>
            </w:r>
          </w:p>
        </w:tc>
        <w:tc>
          <w:tcPr>
            <w:tcW w:w="1264" w:type="dxa"/>
            <w:shd w:val="clear" w:color="auto" w:fill="FFFFFF" w:themeFill="background1"/>
            <w:noWrap/>
            <w:vAlign w:val="bottom"/>
            <w:hideMark/>
          </w:tcPr>
          <w:p w14:paraId="10EEFA9B"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23.800,00</w:t>
            </w:r>
          </w:p>
        </w:tc>
        <w:tc>
          <w:tcPr>
            <w:tcW w:w="0" w:type="auto"/>
            <w:shd w:val="clear" w:color="auto" w:fill="FFFFFF" w:themeFill="background1"/>
            <w:noWrap/>
            <w:vAlign w:val="bottom"/>
            <w:hideMark/>
          </w:tcPr>
          <w:p w14:paraId="3B10BD63"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3.500,00</w:t>
            </w:r>
          </w:p>
        </w:tc>
        <w:tc>
          <w:tcPr>
            <w:tcW w:w="0" w:type="auto"/>
            <w:shd w:val="clear" w:color="auto" w:fill="FFFFFF" w:themeFill="background1"/>
            <w:noWrap/>
            <w:vAlign w:val="bottom"/>
            <w:hideMark/>
          </w:tcPr>
          <w:p w14:paraId="0C3E57D5"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6,30</w:t>
            </w:r>
          </w:p>
        </w:tc>
        <w:tc>
          <w:tcPr>
            <w:tcW w:w="1517" w:type="dxa"/>
            <w:shd w:val="clear" w:color="auto" w:fill="FFFFFF" w:themeFill="background1"/>
            <w:noWrap/>
            <w:vAlign w:val="bottom"/>
            <w:hideMark/>
          </w:tcPr>
          <w:p w14:paraId="4EBC4A30"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25.300,00</w:t>
            </w:r>
          </w:p>
        </w:tc>
      </w:tr>
      <w:tr w:rsidR="007B38F9" w:rsidRPr="007B38F9" w14:paraId="0E49219B" w14:textId="77777777" w:rsidTr="007B38F9">
        <w:trPr>
          <w:trHeight w:val="255"/>
        </w:trPr>
        <w:tc>
          <w:tcPr>
            <w:tcW w:w="0" w:type="auto"/>
            <w:shd w:val="clear" w:color="auto" w:fill="FFFFFF" w:themeFill="background1"/>
            <w:noWrap/>
            <w:vAlign w:val="bottom"/>
            <w:hideMark/>
          </w:tcPr>
          <w:p w14:paraId="77AFD4FC" w14:textId="77777777" w:rsidR="00863D50" w:rsidRPr="007B38F9" w:rsidRDefault="00863D50">
            <w:pPr>
              <w:rPr>
                <w:rFonts w:ascii="Arial" w:hAnsi="Arial" w:cs="Arial"/>
                <w:sz w:val="18"/>
                <w:szCs w:val="18"/>
              </w:rPr>
            </w:pPr>
            <w:r w:rsidRPr="007B38F9">
              <w:rPr>
                <w:rFonts w:ascii="Arial" w:hAnsi="Arial" w:cs="Arial"/>
                <w:sz w:val="18"/>
                <w:szCs w:val="18"/>
              </w:rPr>
              <w:t>32</w:t>
            </w:r>
          </w:p>
        </w:tc>
        <w:tc>
          <w:tcPr>
            <w:tcW w:w="3853" w:type="dxa"/>
            <w:shd w:val="clear" w:color="auto" w:fill="FFFFFF" w:themeFill="background1"/>
            <w:noWrap/>
            <w:vAlign w:val="bottom"/>
            <w:hideMark/>
          </w:tcPr>
          <w:p w14:paraId="2F8AC115" w14:textId="77777777" w:rsidR="00863D50" w:rsidRPr="007B38F9" w:rsidRDefault="00863D50">
            <w:pPr>
              <w:rPr>
                <w:rFonts w:ascii="Arial" w:hAnsi="Arial" w:cs="Arial"/>
                <w:sz w:val="18"/>
                <w:szCs w:val="18"/>
              </w:rPr>
            </w:pPr>
            <w:r w:rsidRPr="007B38F9">
              <w:rPr>
                <w:rFonts w:ascii="Arial" w:hAnsi="Arial" w:cs="Arial"/>
                <w:sz w:val="18"/>
                <w:szCs w:val="18"/>
              </w:rPr>
              <w:t>Materijalni rashodi</w:t>
            </w:r>
          </w:p>
        </w:tc>
        <w:tc>
          <w:tcPr>
            <w:tcW w:w="1264" w:type="dxa"/>
            <w:shd w:val="clear" w:color="auto" w:fill="FFFFFF" w:themeFill="background1"/>
            <w:noWrap/>
            <w:vAlign w:val="bottom"/>
            <w:hideMark/>
          </w:tcPr>
          <w:p w14:paraId="791E0E14" w14:textId="77777777" w:rsidR="00863D50" w:rsidRPr="007B38F9" w:rsidRDefault="00863D50">
            <w:pPr>
              <w:jc w:val="right"/>
              <w:rPr>
                <w:rFonts w:ascii="Arial" w:hAnsi="Arial" w:cs="Arial"/>
                <w:sz w:val="18"/>
                <w:szCs w:val="18"/>
              </w:rPr>
            </w:pPr>
            <w:r w:rsidRPr="007B38F9">
              <w:rPr>
                <w:rFonts w:ascii="Arial" w:hAnsi="Arial" w:cs="Arial"/>
                <w:sz w:val="18"/>
                <w:szCs w:val="18"/>
              </w:rPr>
              <w:t>23.800,00</w:t>
            </w:r>
          </w:p>
        </w:tc>
        <w:tc>
          <w:tcPr>
            <w:tcW w:w="0" w:type="auto"/>
            <w:shd w:val="clear" w:color="auto" w:fill="FFFFFF" w:themeFill="background1"/>
            <w:noWrap/>
            <w:vAlign w:val="bottom"/>
            <w:hideMark/>
          </w:tcPr>
          <w:p w14:paraId="110F1219" w14:textId="77777777" w:rsidR="00863D50" w:rsidRPr="007B38F9" w:rsidRDefault="00863D50">
            <w:pPr>
              <w:jc w:val="right"/>
              <w:rPr>
                <w:rFonts w:ascii="Arial" w:hAnsi="Arial" w:cs="Arial"/>
                <w:sz w:val="18"/>
                <w:szCs w:val="18"/>
              </w:rPr>
            </w:pPr>
            <w:r w:rsidRPr="007B38F9">
              <w:rPr>
                <w:rFonts w:ascii="Arial" w:hAnsi="Arial" w:cs="Arial"/>
                <w:sz w:val="18"/>
                <w:szCs w:val="18"/>
              </w:rPr>
              <w:t>1.500,00</w:t>
            </w:r>
          </w:p>
        </w:tc>
        <w:tc>
          <w:tcPr>
            <w:tcW w:w="0" w:type="auto"/>
            <w:shd w:val="clear" w:color="auto" w:fill="FFFFFF" w:themeFill="background1"/>
            <w:noWrap/>
            <w:vAlign w:val="bottom"/>
            <w:hideMark/>
          </w:tcPr>
          <w:p w14:paraId="0A36143D" w14:textId="77777777" w:rsidR="00863D50" w:rsidRPr="007B38F9" w:rsidRDefault="00863D50">
            <w:pPr>
              <w:jc w:val="right"/>
              <w:rPr>
                <w:rFonts w:ascii="Arial" w:hAnsi="Arial" w:cs="Arial"/>
                <w:sz w:val="18"/>
                <w:szCs w:val="18"/>
              </w:rPr>
            </w:pPr>
            <w:r w:rsidRPr="007B38F9">
              <w:rPr>
                <w:rFonts w:ascii="Arial" w:hAnsi="Arial" w:cs="Arial"/>
                <w:sz w:val="18"/>
                <w:szCs w:val="18"/>
              </w:rPr>
              <w:t>6,30</w:t>
            </w:r>
          </w:p>
        </w:tc>
        <w:tc>
          <w:tcPr>
            <w:tcW w:w="1517" w:type="dxa"/>
            <w:shd w:val="clear" w:color="auto" w:fill="FFFFFF" w:themeFill="background1"/>
            <w:noWrap/>
            <w:vAlign w:val="bottom"/>
            <w:hideMark/>
          </w:tcPr>
          <w:p w14:paraId="57B322C1" w14:textId="77777777" w:rsidR="00863D50" w:rsidRPr="007B38F9" w:rsidRDefault="00863D50">
            <w:pPr>
              <w:jc w:val="right"/>
              <w:rPr>
                <w:rFonts w:ascii="Arial" w:hAnsi="Arial" w:cs="Arial"/>
                <w:sz w:val="18"/>
                <w:szCs w:val="18"/>
              </w:rPr>
            </w:pPr>
            <w:r w:rsidRPr="007B38F9">
              <w:rPr>
                <w:rFonts w:ascii="Arial" w:hAnsi="Arial" w:cs="Arial"/>
                <w:sz w:val="18"/>
                <w:szCs w:val="18"/>
              </w:rPr>
              <w:t>25.300,00</w:t>
            </w:r>
          </w:p>
        </w:tc>
      </w:tr>
      <w:tr w:rsidR="007B38F9" w:rsidRPr="007B38F9" w14:paraId="1879EA79" w14:textId="77777777" w:rsidTr="007B38F9">
        <w:trPr>
          <w:trHeight w:val="255"/>
        </w:trPr>
        <w:tc>
          <w:tcPr>
            <w:tcW w:w="4596" w:type="dxa"/>
            <w:gridSpan w:val="2"/>
            <w:shd w:val="clear" w:color="auto" w:fill="FFFFFF" w:themeFill="background1"/>
            <w:noWrap/>
            <w:vAlign w:val="bottom"/>
            <w:hideMark/>
          </w:tcPr>
          <w:p w14:paraId="269AE278"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3. VLASTITI PRIHODI</w:t>
            </w:r>
          </w:p>
        </w:tc>
        <w:tc>
          <w:tcPr>
            <w:tcW w:w="1264" w:type="dxa"/>
            <w:shd w:val="clear" w:color="auto" w:fill="FFFFFF" w:themeFill="background1"/>
            <w:noWrap/>
            <w:vAlign w:val="bottom"/>
            <w:hideMark/>
          </w:tcPr>
          <w:p w14:paraId="1EEEE10D"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2.500,00</w:t>
            </w:r>
          </w:p>
        </w:tc>
        <w:tc>
          <w:tcPr>
            <w:tcW w:w="0" w:type="auto"/>
            <w:shd w:val="clear" w:color="auto" w:fill="FFFFFF" w:themeFill="background1"/>
            <w:noWrap/>
            <w:vAlign w:val="bottom"/>
            <w:hideMark/>
          </w:tcPr>
          <w:p w14:paraId="4D3C5FD3"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2.735,00</w:t>
            </w:r>
          </w:p>
        </w:tc>
        <w:tc>
          <w:tcPr>
            <w:tcW w:w="0" w:type="auto"/>
            <w:shd w:val="clear" w:color="auto" w:fill="FFFFFF" w:themeFill="background1"/>
            <w:noWrap/>
            <w:vAlign w:val="bottom"/>
            <w:hideMark/>
          </w:tcPr>
          <w:p w14:paraId="20351305"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109,40</w:t>
            </w:r>
          </w:p>
        </w:tc>
        <w:tc>
          <w:tcPr>
            <w:tcW w:w="1517" w:type="dxa"/>
            <w:shd w:val="clear" w:color="auto" w:fill="FFFFFF" w:themeFill="background1"/>
            <w:noWrap/>
            <w:vAlign w:val="bottom"/>
            <w:hideMark/>
          </w:tcPr>
          <w:p w14:paraId="2F2779D7"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5.235,00</w:t>
            </w:r>
          </w:p>
        </w:tc>
      </w:tr>
      <w:tr w:rsidR="007B38F9" w:rsidRPr="007B38F9" w14:paraId="764F1B2F" w14:textId="77777777" w:rsidTr="007B38F9">
        <w:trPr>
          <w:trHeight w:val="255"/>
        </w:trPr>
        <w:tc>
          <w:tcPr>
            <w:tcW w:w="4596" w:type="dxa"/>
            <w:gridSpan w:val="2"/>
            <w:shd w:val="clear" w:color="auto" w:fill="FFFFFF" w:themeFill="background1"/>
            <w:noWrap/>
            <w:vAlign w:val="bottom"/>
            <w:hideMark/>
          </w:tcPr>
          <w:p w14:paraId="1824F4BC"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3.9. VLASTITI PRIHODI</w:t>
            </w:r>
          </w:p>
        </w:tc>
        <w:tc>
          <w:tcPr>
            <w:tcW w:w="1264" w:type="dxa"/>
            <w:shd w:val="clear" w:color="auto" w:fill="FFFFFF" w:themeFill="background1"/>
            <w:noWrap/>
            <w:vAlign w:val="bottom"/>
            <w:hideMark/>
          </w:tcPr>
          <w:p w14:paraId="5CCD7C6E"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2.500,00</w:t>
            </w:r>
          </w:p>
        </w:tc>
        <w:tc>
          <w:tcPr>
            <w:tcW w:w="0" w:type="auto"/>
            <w:shd w:val="clear" w:color="auto" w:fill="FFFFFF" w:themeFill="background1"/>
            <w:noWrap/>
            <w:vAlign w:val="bottom"/>
            <w:hideMark/>
          </w:tcPr>
          <w:p w14:paraId="522B6146"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2.735,00</w:t>
            </w:r>
          </w:p>
        </w:tc>
        <w:tc>
          <w:tcPr>
            <w:tcW w:w="0" w:type="auto"/>
            <w:shd w:val="clear" w:color="auto" w:fill="FFFFFF" w:themeFill="background1"/>
            <w:noWrap/>
            <w:vAlign w:val="bottom"/>
            <w:hideMark/>
          </w:tcPr>
          <w:p w14:paraId="653FA80C"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109,40</w:t>
            </w:r>
          </w:p>
        </w:tc>
        <w:tc>
          <w:tcPr>
            <w:tcW w:w="1517" w:type="dxa"/>
            <w:shd w:val="clear" w:color="auto" w:fill="FFFFFF" w:themeFill="background1"/>
            <w:noWrap/>
            <w:vAlign w:val="bottom"/>
            <w:hideMark/>
          </w:tcPr>
          <w:p w14:paraId="561ECA98"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5.235,00</w:t>
            </w:r>
          </w:p>
        </w:tc>
      </w:tr>
      <w:tr w:rsidR="007B38F9" w:rsidRPr="007B38F9" w14:paraId="48948FE0" w14:textId="77777777" w:rsidTr="007B38F9">
        <w:trPr>
          <w:trHeight w:val="255"/>
        </w:trPr>
        <w:tc>
          <w:tcPr>
            <w:tcW w:w="0" w:type="auto"/>
            <w:shd w:val="clear" w:color="auto" w:fill="FFFFFF" w:themeFill="background1"/>
            <w:noWrap/>
            <w:vAlign w:val="bottom"/>
            <w:hideMark/>
          </w:tcPr>
          <w:p w14:paraId="53D2BE7A" w14:textId="77777777" w:rsidR="00863D50" w:rsidRPr="007B38F9" w:rsidRDefault="00863D50">
            <w:pPr>
              <w:rPr>
                <w:rFonts w:ascii="Arial" w:hAnsi="Arial" w:cs="Arial"/>
                <w:b/>
                <w:bCs/>
                <w:sz w:val="18"/>
                <w:szCs w:val="18"/>
              </w:rPr>
            </w:pPr>
            <w:r w:rsidRPr="007B38F9">
              <w:rPr>
                <w:rFonts w:ascii="Arial" w:hAnsi="Arial" w:cs="Arial"/>
                <w:b/>
                <w:bCs/>
                <w:sz w:val="18"/>
                <w:szCs w:val="18"/>
              </w:rPr>
              <w:t>3</w:t>
            </w:r>
          </w:p>
        </w:tc>
        <w:tc>
          <w:tcPr>
            <w:tcW w:w="3853" w:type="dxa"/>
            <w:shd w:val="clear" w:color="auto" w:fill="FFFFFF" w:themeFill="background1"/>
            <w:noWrap/>
            <w:vAlign w:val="bottom"/>
            <w:hideMark/>
          </w:tcPr>
          <w:p w14:paraId="56E23772" w14:textId="77777777" w:rsidR="00863D50" w:rsidRPr="007B38F9" w:rsidRDefault="00863D50">
            <w:pPr>
              <w:rPr>
                <w:rFonts w:ascii="Arial" w:hAnsi="Arial" w:cs="Arial"/>
                <w:b/>
                <w:bCs/>
                <w:sz w:val="18"/>
                <w:szCs w:val="18"/>
              </w:rPr>
            </w:pPr>
            <w:r w:rsidRPr="007B38F9">
              <w:rPr>
                <w:rFonts w:ascii="Arial" w:hAnsi="Arial" w:cs="Arial"/>
                <w:b/>
                <w:bCs/>
                <w:sz w:val="18"/>
                <w:szCs w:val="18"/>
              </w:rPr>
              <w:t>Rashodi poslovanja</w:t>
            </w:r>
          </w:p>
        </w:tc>
        <w:tc>
          <w:tcPr>
            <w:tcW w:w="1264" w:type="dxa"/>
            <w:shd w:val="clear" w:color="auto" w:fill="FFFFFF" w:themeFill="background1"/>
            <w:noWrap/>
            <w:vAlign w:val="bottom"/>
            <w:hideMark/>
          </w:tcPr>
          <w:p w14:paraId="3F75E42F"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1.300,00</w:t>
            </w:r>
          </w:p>
        </w:tc>
        <w:tc>
          <w:tcPr>
            <w:tcW w:w="0" w:type="auto"/>
            <w:shd w:val="clear" w:color="auto" w:fill="FFFFFF" w:themeFill="background1"/>
            <w:noWrap/>
            <w:vAlign w:val="bottom"/>
            <w:hideMark/>
          </w:tcPr>
          <w:p w14:paraId="28BFBBC3"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1.585,00</w:t>
            </w:r>
          </w:p>
        </w:tc>
        <w:tc>
          <w:tcPr>
            <w:tcW w:w="0" w:type="auto"/>
            <w:shd w:val="clear" w:color="auto" w:fill="FFFFFF" w:themeFill="background1"/>
            <w:noWrap/>
            <w:vAlign w:val="bottom"/>
            <w:hideMark/>
          </w:tcPr>
          <w:p w14:paraId="5E92F5C4"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121,92</w:t>
            </w:r>
          </w:p>
        </w:tc>
        <w:tc>
          <w:tcPr>
            <w:tcW w:w="1517" w:type="dxa"/>
            <w:shd w:val="clear" w:color="auto" w:fill="FFFFFF" w:themeFill="background1"/>
            <w:noWrap/>
            <w:vAlign w:val="bottom"/>
            <w:hideMark/>
          </w:tcPr>
          <w:p w14:paraId="46EB3672"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2.885,00</w:t>
            </w:r>
          </w:p>
        </w:tc>
      </w:tr>
      <w:tr w:rsidR="007B38F9" w:rsidRPr="007B38F9" w14:paraId="725E56EA" w14:textId="77777777" w:rsidTr="007B38F9">
        <w:trPr>
          <w:trHeight w:val="255"/>
        </w:trPr>
        <w:tc>
          <w:tcPr>
            <w:tcW w:w="0" w:type="auto"/>
            <w:noWrap/>
            <w:vAlign w:val="bottom"/>
            <w:hideMark/>
          </w:tcPr>
          <w:p w14:paraId="066063C3" w14:textId="77777777" w:rsidR="00863D50" w:rsidRPr="007B38F9" w:rsidRDefault="00863D50">
            <w:pPr>
              <w:rPr>
                <w:rFonts w:ascii="Arial" w:hAnsi="Arial" w:cs="Arial"/>
                <w:sz w:val="18"/>
                <w:szCs w:val="18"/>
              </w:rPr>
            </w:pPr>
            <w:r w:rsidRPr="007B38F9">
              <w:rPr>
                <w:rFonts w:ascii="Arial" w:hAnsi="Arial" w:cs="Arial"/>
                <w:sz w:val="18"/>
                <w:szCs w:val="18"/>
              </w:rPr>
              <w:t>32</w:t>
            </w:r>
          </w:p>
        </w:tc>
        <w:tc>
          <w:tcPr>
            <w:tcW w:w="3853" w:type="dxa"/>
            <w:noWrap/>
            <w:vAlign w:val="bottom"/>
            <w:hideMark/>
          </w:tcPr>
          <w:p w14:paraId="3ADFEC15" w14:textId="77777777" w:rsidR="00863D50" w:rsidRPr="007B38F9" w:rsidRDefault="00863D50">
            <w:pPr>
              <w:rPr>
                <w:rFonts w:ascii="Arial" w:hAnsi="Arial" w:cs="Arial"/>
                <w:sz w:val="18"/>
                <w:szCs w:val="18"/>
              </w:rPr>
            </w:pPr>
            <w:r w:rsidRPr="007B38F9">
              <w:rPr>
                <w:rFonts w:ascii="Arial" w:hAnsi="Arial" w:cs="Arial"/>
                <w:sz w:val="18"/>
                <w:szCs w:val="18"/>
              </w:rPr>
              <w:t>Materijalni rashodi</w:t>
            </w:r>
          </w:p>
        </w:tc>
        <w:tc>
          <w:tcPr>
            <w:tcW w:w="1264" w:type="dxa"/>
            <w:noWrap/>
            <w:vAlign w:val="bottom"/>
            <w:hideMark/>
          </w:tcPr>
          <w:p w14:paraId="3B70BCF8" w14:textId="77777777" w:rsidR="00863D50" w:rsidRPr="007B38F9" w:rsidRDefault="00863D50">
            <w:pPr>
              <w:jc w:val="right"/>
              <w:rPr>
                <w:rFonts w:ascii="Arial" w:hAnsi="Arial" w:cs="Arial"/>
                <w:sz w:val="18"/>
                <w:szCs w:val="18"/>
              </w:rPr>
            </w:pPr>
            <w:r w:rsidRPr="007B38F9">
              <w:rPr>
                <w:rFonts w:ascii="Arial" w:hAnsi="Arial" w:cs="Arial"/>
                <w:sz w:val="18"/>
                <w:szCs w:val="18"/>
              </w:rPr>
              <w:t>1.300,00</w:t>
            </w:r>
          </w:p>
        </w:tc>
        <w:tc>
          <w:tcPr>
            <w:tcW w:w="0" w:type="auto"/>
            <w:noWrap/>
            <w:vAlign w:val="bottom"/>
            <w:hideMark/>
          </w:tcPr>
          <w:p w14:paraId="6F0E39AD" w14:textId="77777777" w:rsidR="00863D50" w:rsidRPr="007B38F9" w:rsidRDefault="00863D50">
            <w:pPr>
              <w:jc w:val="right"/>
              <w:rPr>
                <w:rFonts w:ascii="Arial" w:hAnsi="Arial" w:cs="Arial"/>
                <w:sz w:val="18"/>
                <w:szCs w:val="18"/>
              </w:rPr>
            </w:pPr>
            <w:r w:rsidRPr="007B38F9">
              <w:rPr>
                <w:rFonts w:ascii="Arial" w:hAnsi="Arial" w:cs="Arial"/>
                <w:sz w:val="18"/>
                <w:szCs w:val="18"/>
              </w:rPr>
              <w:t>1.585,00</w:t>
            </w:r>
          </w:p>
        </w:tc>
        <w:tc>
          <w:tcPr>
            <w:tcW w:w="0" w:type="auto"/>
            <w:noWrap/>
            <w:vAlign w:val="bottom"/>
            <w:hideMark/>
          </w:tcPr>
          <w:p w14:paraId="0FC79BE9" w14:textId="77777777" w:rsidR="00863D50" w:rsidRPr="007B38F9" w:rsidRDefault="00863D50">
            <w:pPr>
              <w:jc w:val="right"/>
              <w:rPr>
                <w:rFonts w:ascii="Arial" w:hAnsi="Arial" w:cs="Arial"/>
                <w:sz w:val="18"/>
                <w:szCs w:val="18"/>
              </w:rPr>
            </w:pPr>
            <w:r w:rsidRPr="007B38F9">
              <w:rPr>
                <w:rFonts w:ascii="Arial" w:hAnsi="Arial" w:cs="Arial"/>
                <w:sz w:val="18"/>
                <w:szCs w:val="18"/>
              </w:rPr>
              <w:t>121,92</w:t>
            </w:r>
          </w:p>
        </w:tc>
        <w:tc>
          <w:tcPr>
            <w:tcW w:w="1517" w:type="dxa"/>
            <w:noWrap/>
            <w:vAlign w:val="bottom"/>
            <w:hideMark/>
          </w:tcPr>
          <w:p w14:paraId="77B4E912" w14:textId="77777777" w:rsidR="00863D50" w:rsidRPr="007B38F9" w:rsidRDefault="00863D50">
            <w:pPr>
              <w:jc w:val="right"/>
              <w:rPr>
                <w:rFonts w:ascii="Arial" w:hAnsi="Arial" w:cs="Arial"/>
                <w:sz w:val="18"/>
                <w:szCs w:val="18"/>
              </w:rPr>
            </w:pPr>
            <w:r w:rsidRPr="007B38F9">
              <w:rPr>
                <w:rFonts w:ascii="Arial" w:hAnsi="Arial" w:cs="Arial"/>
                <w:sz w:val="18"/>
                <w:szCs w:val="18"/>
              </w:rPr>
              <w:t>2.885,00</w:t>
            </w:r>
          </w:p>
        </w:tc>
      </w:tr>
      <w:tr w:rsidR="007B38F9" w:rsidRPr="007B38F9" w14:paraId="347AD6BF" w14:textId="77777777" w:rsidTr="007B38F9">
        <w:trPr>
          <w:trHeight w:val="255"/>
        </w:trPr>
        <w:tc>
          <w:tcPr>
            <w:tcW w:w="0" w:type="auto"/>
            <w:noWrap/>
            <w:vAlign w:val="bottom"/>
            <w:hideMark/>
          </w:tcPr>
          <w:p w14:paraId="2839471F" w14:textId="77777777" w:rsidR="00863D50" w:rsidRPr="007B38F9" w:rsidRDefault="00863D50">
            <w:pPr>
              <w:rPr>
                <w:rFonts w:ascii="Arial" w:hAnsi="Arial" w:cs="Arial"/>
                <w:b/>
                <w:bCs/>
                <w:sz w:val="18"/>
                <w:szCs w:val="18"/>
              </w:rPr>
            </w:pPr>
            <w:r w:rsidRPr="007B38F9">
              <w:rPr>
                <w:rFonts w:ascii="Arial" w:hAnsi="Arial" w:cs="Arial"/>
                <w:b/>
                <w:bCs/>
                <w:sz w:val="18"/>
                <w:szCs w:val="18"/>
              </w:rPr>
              <w:t>4</w:t>
            </w:r>
          </w:p>
        </w:tc>
        <w:tc>
          <w:tcPr>
            <w:tcW w:w="3853" w:type="dxa"/>
            <w:noWrap/>
            <w:vAlign w:val="bottom"/>
            <w:hideMark/>
          </w:tcPr>
          <w:p w14:paraId="386A2A55" w14:textId="77777777" w:rsidR="00863D50" w:rsidRPr="007B38F9" w:rsidRDefault="00863D50">
            <w:pPr>
              <w:rPr>
                <w:rFonts w:ascii="Arial" w:hAnsi="Arial" w:cs="Arial"/>
                <w:b/>
                <w:bCs/>
                <w:sz w:val="18"/>
                <w:szCs w:val="18"/>
              </w:rPr>
            </w:pPr>
            <w:r w:rsidRPr="007B38F9">
              <w:rPr>
                <w:rFonts w:ascii="Arial" w:hAnsi="Arial" w:cs="Arial"/>
                <w:b/>
                <w:bCs/>
                <w:sz w:val="18"/>
                <w:szCs w:val="18"/>
              </w:rPr>
              <w:t>Rashodi za nabavu nefinancijske imovine</w:t>
            </w:r>
          </w:p>
        </w:tc>
        <w:tc>
          <w:tcPr>
            <w:tcW w:w="1264" w:type="dxa"/>
            <w:noWrap/>
            <w:vAlign w:val="bottom"/>
            <w:hideMark/>
          </w:tcPr>
          <w:p w14:paraId="5BE6CFF3"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1.200,00</w:t>
            </w:r>
          </w:p>
        </w:tc>
        <w:tc>
          <w:tcPr>
            <w:tcW w:w="0" w:type="auto"/>
            <w:noWrap/>
            <w:vAlign w:val="bottom"/>
            <w:hideMark/>
          </w:tcPr>
          <w:p w14:paraId="40C48BA6"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1.150,00</w:t>
            </w:r>
          </w:p>
        </w:tc>
        <w:tc>
          <w:tcPr>
            <w:tcW w:w="0" w:type="auto"/>
            <w:noWrap/>
            <w:vAlign w:val="bottom"/>
            <w:hideMark/>
          </w:tcPr>
          <w:p w14:paraId="4F2E2822"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95,83</w:t>
            </w:r>
          </w:p>
        </w:tc>
        <w:tc>
          <w:tcPr>
            <w:tcW w:w="1517" w:type="dxa"/>
            <w:noWrap/>
            <w:vAlign w:val="bottom"/>
            <w:hideMark/>
          </w:tcPr>
          <w:p w14:paraId="38C68F79"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2.350,00</w:t>
            </w:r>
          </w:p>
        </w:tc>
      </w:tr>
      <w:tr w:rsidR="007B38F9" w:rsidRPr="007B38F9" w14:paraId="0B11C3B3" w14:textId="77777777" w:rsidTr="007B38F9">
        <w:trPr>
          <w:trHeight w:val="255"/>
        </w:trPr>
        <w:tc>
          <w:tcPr>
            <w:tcW w:w="0" w:type="auto"/>
            <w:noWrap/>
            <w:vAlign w:val="bottom"/>
            <w:hideMark/>
          </w:tcPr>
          <w:p w14:paraId="678D234B" w14:textId="77777777" w:rsidR="00863D50" w:rsidRPr="007B38F9" w:rsidRDefault="00863D50">
            <w:pPr>
              <w:rPr>
                <w:rFonts w:ascii="Arial" w:hAnsi="Arial" w:cs="Arial"/>
                <w:sz w:val="18"/>
                <w:szCs w:val="18"/>
              </w:rPr>
            </w:pPr>
            <w:r w:rsidRPr="007B38F9">
              <w:rPr>
                <w:rFonts w:ascii="Arial" w:hAnsi="Arial" w:cs="Arial"/>
                <w:sz w:val="18"/>
                <w:szCs w:val="18"/>
              </w:rPr>
              <w:t>42</w:t>
            </w:r>
          </w:p>
        </w:tc>
        <w:tc>
          <w:tcPr>
            <w:tcW w:w="3853" w:type="dxa"/>
            <w:noWrap/>
            <w:vAlign w:val="bottom"/>
            <w:hideMark/>
          </w:tcPr>
          <w:p w14:paraId="2C8FE025" w14:textId="77777777" w:rsidR="00863D50" w:rsidRPr="007B38F9" w:rsidRDefault="00863D50">
            <w:pPr>
              <w:rPr>
                <w:rFonts w:ascii="Arial" w:hAnsi="Arial" w:cs="Arial"/>
                <w:sz w:val="18"/>
                <w:szCs w:val="18"/>
              </w:rPr>
            </w:pPr>
            <w:r w:rsidRPr="007B38F9">
              <w:rPr>
                <w:rFonts w:ascii="Arial" w:hAnsi="Arial" w:cs="Arial"/>
                <w:sz w:val="18"/>
                <w:szCs w:val="18"/>
              </w:rPr>
              <w:t>Rashodi za nabavu proizvedene dugotrajne imovine</w:t>
            </w:r>
          </w:p>
        </w:tc>
        <w:tc>
          <w:tcPr>
            <w:tcW w:w="1264" w:type="dxa"/>
            <w:noWrap/>
            <w:vAlign w:val="bottom"/>
            <w:hideMark/>
          </w:tcPr>
          <w:p w14:paraId="2696B480" w14:textId="77777777" w:rsidR="00863D50" w:rsidRPr="007B38F9" w:rsidRDefault="00863D50">
            <w:pPr>
              <w:jc w:val="right"/>
              <w:rPr>
                <w:rFonts w:ascii="Arial" w:hAnsi="Arial" w:cs="Arial"/>
                <w:sz w:val="18"/>
                <w:szCs w:val="18"/>
              </w:rPr>
            </w:pPr>
            <w:r w:rsidRPr="007B38F9">
              <w:rPr>
                <w:rFonts w:ascii="Arial" w:hAnsi="Arial" w:cs="Arial"/>
                <w:sz w:val="18"/>
                <w:szCs w:val="18"/>
              </w:rPr>
              <w:t>1.200,00</w:t>
            </w:r>
          </w:p>
        </w:tc>
        <w:tc>
          <w:tcPr>
            <w:tcW w:w="0" w:type="auto"/>
            <w:noWrap/>
            <w:vAlign w:val="bottom"/>
            <w:hideMark/>
          </w:tcPr>
          <w:p w14:paraId="7E9749CB" w14:textId="77777777" w:rsidR="00863D50" w:rsidRPr="007B38F9" w:rsidRDefault="00863D50">
            <w:pPr>
              <w:jc w:val="right"/>
              <w:rPr>
                <w:rFonts w:ascii="Arial" w:hAnsi="Arial" w:cs="Arial"/>
                <w:sz w:val="18"/>
                <w:szCs w:val="18"/>
              </w:rPr>
            </w:pPr>
            <w:r w:rsidRPr="007B38F9">
              <w:rPr>
                <w:rFonts w:ascii="Arial" w:hAnsi="Arial" w:cs="Arial"/>
                <w:sz w:val="18"/>
                <w:szCs w:val="18"/>
              </w:rPr>
              <w:t>1.150,00</w:t>
            </w:r>
          </w:p>
        </w:tc>
        <w:tc>
          <w:tcPr>
            <w:tcW w:w="0" w:type="auto"/>
            <w:noWrap/>
            <w:vAlign w:val="bottom"/>
            <w:hideMark/>
          </w:tcPr>
          <w:p w14:paraId="0CF6F2E6" w14:textId="77777777" w:rsidR="00863D50" w:rsidRPr="007B38F9" w:rsidRDefault="00863D50">
            <w:pPr>
              <w:jc w:val="right"/>
              <w:rPr>
                <w:rFonts w:ascii="Arial" w:hAnsi="Arial" w:cs="Arial"/>
                <w:sz w:val="18"/>
                <w:szCs w:val="18"/>
              </w:rPr>
            </w:pPr>
            <w:r w:rsidRPr="007B38F9">
              <w:rPr>
                <w:rFonts w:ascii="Arial" w:hAnsi="Arial" w:cs="Arial"/>
                <w:sz w:val="18"/>
                <w:szCs w:val="18"/>
              </w:rPr>
              <w:t>95,83</w:t>
            </w:r>
          </w:p>
        </w:tc>
        <w:tc>
          <w:tcPr>
            <w:tcW w:w="1517" w:type="dxa"/>
            <w:noWrap/>
            <w:vAlign w:val="bottom"/>
            <w:hideMark/>
          </w:tcPr>
          <w:p w14:paraId="78D128A9" w14:textId="77777777" w:rsidR="00863D50" w:rsidRPr="007B38F9" w:rsidRDefault="00863D50">
            <w:pPr>
              <w:jc w:val="right"/>
              <w:rPr>
                <w:rFonts w:ascii="Arial" w:hAnsi="Arial" w:cs="Arial"/>
                <w:sz w:val="18"/>
                <w:szCs w:val="18"/>
              </w:rPr>
            </w:pPr>
            <w:r w:rsidRPr="007B38F9">
              <w:rPr>
                <w:rFonts w:ascii="Arial" w:hAnsi="Arial" w:cs="Arial"/>
                <w:sz w:val="18"/>
                <w:szCs w:val="18"/>
              </w:rPr>
              <w:t>2.350,00</w:t>
            </w:r>
          </w:p>
        </w:tc>
      </w:tr>
      <w:tr w:rsidR="007B38F9" w:rsidRPr="007B38F9" w14:paraId="669F58EA" w14:textId="77777777" w:rsidTr="007B38F9">
        <w:trPr>
          <w:trHeight w:val="255"/>
        </w:trPr>
        <w:tc>
          <w:tcPr>
            <w:tcW w:w="4596" w:type="dxa"/>
            <w:gridSpan w:val="2"/>
            <w:shd w:val="clear" w:color="auto" w:fill="FFFFFF" w:themeFill="background1"/>
            <w:noWrap/>
            <w:vAlign w:val="bottom"/>
            <w:hideMark/>
          </w:tcPr>
          <w:p w14:paraId="438D5782"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4. PRIHODI ZA POSEBNE NAMJENE</w:t>
            </w:r>
          </w:p>
        </w:tc>
        <w:tc>
          <w:tcPr>
            <w:tcW w:w="1264" w:type="dxa"/>
            <w:shd w:val="clear" w:color="auto" w:fill="FFFFFF" w:themeFill="background1"/>
            <w:noWrap/>
            <w:vAlign w:val="bottom"/>
            <w:hideMark/>
          </w:tcPr>
          <w:p w14:paraId="2062F9E2"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2.000,00</w:t>
            </w:r>
          </w:p>
        </w:tc>
        <w:tc>
          <w:tcPr>
            <w:tcW w:w="0" w:type="auto"/>
            <w:shd w:val="clear" w:color="auto" w:fill="FFFFFF" w:themeFill="background1"/>
            <w:noWrap/>
            <w:vAlign w:val="bottom"/>
            <w:hideMark/>
          </w:tcPr>
          <w:p w14:paraId="10191CE9"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2.292,00</w:t>
            </w:r>
          </w:p>
        </w:tc>
        <w:tc>
          <w:tcPr>
            <w:tcW w:w="0" w:type="auto"/>
            <w:shd w:val="clear" w:color="auto" w:fill="FFFFFF" w:themeFill="background1"/>
            <w:noWrap/>
            <w:vAlign w:val="bottom"/>
            <w:hideMark/>
          </w:tcPr>
          <w:p w14:paraId="2E76C6E6"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114,60</w:t>
            </w:r>
          </w:p>
        </w:tc>
        <w:tc>
          <w:tcPr>
            <w:tcW w:w="1517" w:type="dxa"/>
            <w:shd w:val="clear" w:color="auto" w:fill="FFFFFF" w:themeFill="background1"/>
            <w:noWrap/>
            <w:vAlign w:val="bottom"/>
            <w:hideMark/>
          </w:tcPr>
          <w:p w14:paraId="1DB93E7F"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4.292,00</w:t>
            </w:r>
          </w:p>
        </w:tc>
      </w:tr>
      <w:tr w:rsidR="007B38F9" w:rsidRPr="007B38F9" w14:paraId="3DBCDA81" w14:textId="77777777" w:rsidTr="007B38F9">
        <w:trPr>
          <w:trHeight w:val="255"/>
        </w:trPr>
        <w:tc>
          <w:tcPr>
            <w:tcW w:w="4596" w:type="dxa"/>
            <w:gridSpan w:val="2"/>
            <w:shd w:val="clear" w:color="auto" w:fill="FFFFFF" w:themeFill="background1"/>
            <w:noWrap/>
            <w:vAlign w:val="bottom"/>
            <w:hideMark/>
          </w:tcPr>
          <w:p w14:paraId="0A22ED7E"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4.9. PRIHODI ZA POSEBNE NAMJENE</w:t>
            </w:r>
          </w:p>
        </w:tc>
        <w:tc>
          <w:tcPr>
            <w:tcW w:w="1264" w:type="dxa"/>
            <w:shd w:val="clear" w:color="auto" w:fill="FFFFFF" w:themeFill="background1"/>
            <w:noWrap/>
            <w:vAlign w:val="bottom"/>
            <w:hideMark/>
          </w:tcPr>
          <w:p w14:paraId="78FD9E23"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2.000,00</w:t>
            </w:r>
          </w:p>
        </w:tc>
        <w:tc>
          <w:tcPr>
            <w:tcW w:w="0" w:type="auto"/>
            <w:shd w:val="clear" w:color="auto" w:fill="FFFFFF" w:themeFill="background1"/>
            <w:noWrap/>
            <w:vAlign w:val="bottom"/>
            <w:hideMark/>
          </w:tcPr>
          <w:p w14:paraId="34A89ABA"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2.292,00</w:t>
            </w:r>
          </w:p>
        </w:tc>
        <w:tc>
          <w:tcPr>
            <w:tcW w:w="0" w:type="auto"/>
            <w:shd w:val="clear" w:color="auto" w:fill="FFFFFF" w:themeFill="background1"/>
            <w:noWrap/>
            <w:vAlign w:val="bottom"/>
            <w:hideMark/>
          </w:tcPr>
          <w:p w14:paraId="4344AEB5"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114,60</w:t>
            </w:r>
          </w:p>
        </w:tc>
        <w:tc>
          <w:tcPr>
            <w:tcW w:w="1517" w:type="dxa"/>
            <w:shd w:val="clear" w:color="auto" w:fill="FFFFFF" w:themeFill="background1"/>
            <w:noWrap/>
            <w:vAlign w:val="bottom"/>
            <w:hideMark/>
          </w:tcPr>
          <w:p w14:paraId="3CEF2720"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4.292,00</w:t>
            </w:r>
          </w:p>
        </w:tc>
      </w:tr>
      <w:tr w:rsidR="007B38F9" w:rsidRPr="007B38F9" w14:paraId="437683F0" w14:textId="77777777" w:rsidTr="007B38F9">
        <w:trPr>
          <w:trHeight w:val="255"/>
        </w:trPr>
        <w:tc>
          <w:tcPr>
            <w:tcW w:w="0" w:type="auto"/>
            <w:shd w:val="clear" w:color="auto" w:fill="FFFFFF" w:themeFill="background1"/>
            <w:noWrap/>
            <w:vAlign w:val="bottom"/>
            <w:hideMark/>
          </w:tcPr>
          <w:p w14:paraId="11176593" w14:textId="77777777" w:rsidR="00863D50" w:rsidRPr="007B38F9" w:rsidRDefault="00863D50">
            <w:pPr>
              <w:rPr>
                <w:rFonts w:ascii="Arial" w:hAnsi="Arial" w:cs="Arial"/>
                <w:b/>
                <w:bCs/>
                <w:sz w:val="18"/>
                <w:szCs w:val="18"/>
              </w:rPr>
            </w:pPr>
            <w:r w:rsidRPr="007B38F9">
              <w:rPr>
                <w:rFonts w:ascii="Arial" w:hAnsi="Arial" w:cs="Arial"/>
                <w:b/>
                <w:bCs/>
                <w:sz w:val="18"/>
                <w:szCs w:val="18"/>
              </w:rPr>
              <w:t>3</w:t>
            </w:r>
          </w:p>
        </w:tc>
        <w:tc>
          <w:tcPr>
            <w:tcW w:w="3853" w:type="dxa"/>
            <w:shd w:val="clear" w:color="auto" w:fill="FFFFFF" w:themeFill="background1"/>
            <w:noWrap/>
            <w:vAlign w:val="bottom"/>
            <w:hideMark/>
          </w:tcPr>
          <w:p w14:paraId="49A082A8" w14:textId="77777777" w:rsidR="00863D50" w:rsidRPr="007B38F9" w:rsidRDefault="00863D50">
            <w:pPr>
              <w:rPr>
                <w:rFonts w:ascii="Arial" w:hAnsi="Arial" w:cs="Arial"/>
                <w:b/>
                <w:bCs/>
                <w:sz w:val="18"/>
                <w:szCs w:val="18"/>
              </w:rPr>
            </w:pPr>
            <w:r w:rsidRPr="007B38F9">
              <w:rPr>
                <w:rFonts w:ascii="Arial" w:hAnsi="Arial" w:cs="Arial"/>
                <w:b/>
                <w:bCs/>
                <w:sz w:val="18"/>
                <w:szCs w:val="18"/>
              </w:rPr>
              <w:t>Rashodi poslovanja</w:t>
            </w:r>
          </w:p>
        </w:tc>
        <w:tc>
          <w:tcPr>
            <w:tcW w:w="1264" w:type="dxa"/>
            <w:shd w:val="clear" w:color="auto" w:fill="FFFFFF" w:themeFill="background1"/>
            <w:noWrap/>
            <w:vAlign w:val="bottom"/>
            <w:hideMark/>
          </w:tcPr>
          <w:p w14:paraId="2DC14119"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2.000,00</w:t>
            </w:r>
          </w:p>
        </w:tc>
        <w:tc>
          <w:tcPr>
            <w:tcW w:w="0" w:type="auto"/>
            <w:shd w:val="clear" w:color="auto" w:fill="FFFFFF" w:themeFill="background1"/>
            <w:noWrap/>
            <w:vAlign w:val="bottom"/>
            <w:hideMark/>
          </w:tcPr>
          <w:p w14:paraId="69EB1C4B"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2.292,00</w:t>
            </w:r>
          </w:p>
        </w:tc>
        <w:tc>
          <w:tcPr>
            <w:tcW w:w="0" w:type="auto"/>
            <w:shd w:val="clear" w:color="auto" w:fill="FFFFFF" w:themeFill="background1"/>
            <w:noWrap/>
            <w:vAlign w:val="bottom"/>
            <w:hideMark/>
          </w:tcPr>
          <w:p w14:paraId="7BA95CA2"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114,60</w:t>
            </w:r>
          </w:p>
        </w:tc>
        <w:tc>
          <w:tcPr>
            <w:tcW w:w="1517" w:type="dxa"/>
            <w:shd w:val="clear" w:color="auto" w:fill="FFFFFF" w:themeFill="background1"/>
            <w:noWrap/>
            <w:vAlign w:val="bottom"/>
            <w:hideMark/>
          </w:tcPr>
          <w:p w14:paraId="2B53A891"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4.292,00</w:t>
            </w:r>
          </w:p>
        </w:tc>
      </w:tr>
      <w:tr w:rsidR="007B38F9" w:rsidRPr="007B38F9" w14:paraId="36E23175" w14:textId="77777777" w:rsidTr="007B38F9">
        <w:trPr>
          <w:trHeight w:val="255"/>
        </w:trPr>
        <w:tc>
          <w:tcPr>
            <w:tcW w:w="0" w:type="auto"/>
            <w:shd w:val="clear" w:color="auto" w:fill="FFFFFF" w:themeFill="background1"/>
            <w:noWrap/>
            <w:vAlign w:val="bottom"/>
            <w:hideMark/>
          </w:tcPr>
          <w:p w14:paraId="34B0700B" w14:textId="77777777" w:rsidR="00863D50" w:rsidRPr="007B38F9" w:rsidRDefault="00863D50">
            <w:pPr>
              <w:rPr>
                <w:rFonts w:ascii="Arial" w:hAnsi="Arial" w:cs="Arial"/>
                <w:sz w:val="18"/>
                <w:szCs w:val="18"/>
              </w:rPr>
            </w:pPr>
            <w:r w:rsidRPr="007B38F9">
              <w:rPr>
                <w:rFonts w:ascii="Arial" w:hAnsi="Arial" w:cs="Arial"/>
                <w:sz w:val="18"/>
                <w:szCs w:val="18"/>
              </w:rPr>
              <w:t>32</w:t>
            </w:r>
          </w:p>
        </w:tc>
        <w:tc>
          <w:tcPr>
            <w:tcW w:w="3853" w:type="dxa"/>
            <w:shd w:val="clear" w:color="auto" w:fill="FFFFFF" w:themeFill="background1"/>
            <w:noWrap/>
            <w:vAlign w:val="bottom"/>
            <w:hideMark/>
          </w:tcPr>
          <w:p w14:paraId="6FC73860" w14:textId="77777777" w:rsidR="00863D50" w:rsidRPr="007B38F9" w:rsidRDefault="00863D50">
            <w:pPr>
              <w:rPr>
                <w:rFonts w:ascii="Arial" w:hAnsi="Arial" w:cs="Arial"/>
                <w:sz w:val="18"/>
                <w:szCs w:val="18"/>
              </w:rPr>
            </w:pPr>
            <w:r w:rsidRPr="007B38F9">
              <w:rPr>
                <w:rFonts w:ascii="Arial" w:hAnsi="Arial" w:cs="Arial"/>
                <w:sz w:val="18"/>
                <w:szCs w:val="18"/>
              </w:rPr>
              <w:t>Materijalni rashodi</w:t>
            </w:r>
          </w:p>
        </w:tc>
        <w:tc>
          <w:tcPr>
            <w:tcW w:w="1264" w:type="dxa"/>
            <w:shd w:val="clear" w:color="auto" w:fill="FFFFFF" w:themeFill="background1"/>
            <w:noWrap/>
            <w:vAlign w:val="bottom"/>
            <w:hideMark/>
          </w:tcPr>
          <w:p w14:paraId="48CAA7AC" w14:textId="77777777" w:rsidR="00863D50" w:rsidRPr="007B38F9" w:rsidRDefault="00863D50">
            <w:pPr>
              <w:jc w:val="right"/>
              <w:rPr>
                <w:rFonts w:ascii="Arial" w:hAnsi="Arial" w:cs="Arial"/>
                <w:sz w:val="18"/>
                <w:szCs w:val="18"/>
              </w:rPr>
            </w:pPr>
            <w:r w:rsidRPr="007B38F9">
              <w:rPr>
                <w:rFonts w:ascii="Arial" w:hAnsi="Arial" w:cs="Arial"/>
                <w:sz w:val="18"/>
                <w:szCs w:val="18"/>
              </w:rPr>
              <w:t>2.000,00</w:t>
            </w:r>
          </w:p>
        </w:tc>
        <w:tc>
          <w:tcPr>
            <w:tcW w:w="0" w:type="auto"/>
            <w:shd w:val="clear" w:color="auto" w:fill="FFFFFF" w:themeFill="background1"/>
            <w:noWrap/>
            <w:vAlign w:val="bottom"/>
            <w:hideMark/>
          </w:tcPr>
          <w:p w14:paraId="218F416F" w14:textId="77777777" w:rsidR="00863D50" w:rsidRPr="007B38F9" w:rsidRDefault="00863D50">
            <w:pPr>
              <w:jc w:val="right"/>
              <w:rPr>
                <w:rFonts w:ascii="Arial" w:hAnsi="Arial" w:cs="Arial"/>
                <w:sz w:val="18"/>
                <w:szCs w:val="18"/>
              </w:rPr>
            </w:pPr>
            <w:r w:rsidRPr="007B38F9">
              <w:rPr>
                <w:rFonts w:ascii="Arial" w:hAnsi="Arial" w:cs="Arial"/>
                <w:sz w:val="18"/>
                <w:szCs w:val="18"/>
              </w:rPr>
              <w:t>2.292,00</w:t>
            </w:r>
          </w:p>
        </w:tc>
        <w:tc>
          <w:tcPr>
            <w:tcW w:w="0" w:type="auto"/>
            <w:shd w:val="clear" w:color="auto" w:fill="FFFFFF" w:themeFill="background1"/>
            <w:noWrap/>
            <w:vAlign w:val="bottom"/>
            <w:hideMark/>
          </w:tcPr>
          <w:p w14:paraId="0FCE11E6" w14:textId="77777777" w:rsidR="00863D50" w:rsidRPr="007B38F9" w:rsidRDefault="00863D50">
            <w:pPr>
              <w:jc w:val="right"/>
              <w:rPr>
                <w:rFonts w:ascii="Arial" w:hAnsi="Arial" w:cs="Arial"/>
                <w:sz w:val="18"/>
                <w:szCs w:val="18"/>
              </w:rPr>
            </w:pPr>
            <w:r w:rsidRPr="007B38F9">
              <w:rPr>
                <w:rFonts w:ascii="Arial" w:hAnsi="Arial" w:cs="Arial"/>
                <w:sz w:val="18"/>
                <w:szCs w:val="18"/>
              </w:rPr>
              <w:t>114,60</w:t>
            </w:r>
          </w:p>
        </w:tc>
        <w:tc>
          <w:tcPr>
            <w:tcW w:w="1517" w:type="dxa"/>
            <w:shd w:val="clear" w:color="auto" w:fill="FFFFFF" w:themeFill="background1"/>
            <w:noWrap/>
            <w:vAlign w:val="bottom"/>
            <w:hideMark/>
          </w:tcPr>
          <w:p w14:paraId="6F915E79" w14:textId="77777777" w:rsidR="00863D50" w:rsidRPr="007B38F9" w:rsidRDefault="00863D50">
            <w:pPr>
              <w:jc w:val="right"/>
              <w:rPr>
                <w:rFonts w:ascii="Arial" w:hAnsi="Arial" w:cs="Arial"/>
                <w:sz w:val="18"/>
                <w:szCs w:val="18"/>
              </w:rPr>
            </w:pPr>
            <w:r w:rsidRPr="007B38F9">
              <w:rPr>
                <w:rFonts w:ascii="Arial" w:hAnsi="Arial" w:cs="Arial"/>
                <w:sz w:val="18"/>
                <w:szCs w:val="18"/>
              </w:rPr>
              <w:t>4.292,00</w:t>
            </w:r>
          </w:p>
        </w:tc>
      </w:tr>
      <w:tr w:rsidR="007B38F9" w:rsidRPr="007B38F9" w14:paraId="5E4AF573" w14:textId="77777777" w:rsidTr="007B38F9">
        <w:trPr>
          <w:trHeight w:val="255"/>
        </w:trPr>
        <w:tc>
          <w:tcPr>
            <w:tcW w:w="4596" w:type="dxa"/>
            <w:gridSpan w:val="2"/>
            <w:shd w:val="clear" w:color="auto" w:fill="FFFFFF" w:themeFill="background1"/>
            <w:noWrap/>
            <w:vAlign w:val="bottom"/>
            <w:hideMark/>
          </w:tcPr>
          <w:p w14:paraId="1E9025C1"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5. POMOĆI</w:t>
            </w:r>
          </w:p>
        </w:tc>
        <w:tc>
          <w:tcPr>
            <w:tcW w:w="1264" w:type="dxa"/>
            <w:shd w:val="clear" w:color="auto" w:fill="FFFFFF" w:themeFill="background1"/>
            <w:noWrap/>
            <w:vAlign w:val="bottom"/>
            <w:hideMark/>
          </w:tcPr>
          <w:p w14:paraId="1B052532"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1.595.996,00</w:t>
            </w:r>
          </w:p>
        </w:tc>
        <w:tc>
          <w:tcPr>
            <w:tcW w:w="0" w:type="auto"/>
            <w:shd w:val="clear" w:color="auto" w:fill="FFFFFF" w:themeFill="background1"/>
            <w:noWrap/>
            <w:vAlign w:val="bottom"/>
            <w:hideMark/>
          </w:tcPr>
          <w:p w14:paraId="2F70BEF7"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19.920,00</w:t>
            </w:r>
          </w:p>
        </w:tc>
        <w:tc>
          <w:tcPr>
            <w:tcW w:w="0" w:type="auto"/>
            <w:shd w:val="clear" w:color="auto" w:fill="FFFFFF" w:themeFill="background1"/>
            <w:noWrap/>
            <w:vAlign w:val="bottom"/>
            <w:hideMark/>
          </w:tcPr>
          <w:p w14:paraId="135ACE5E"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1,25</w:t>
            </w:r>
          </w:p>
        </w:tc>
        <w:tc>
          <w:tcPr>
            <w:tcW w:w="1517" w:type="dxa"/>
            <w:shd w:val="clear" w:color="auto" w:fill="FFFFFF" w:themeFill="background1"/>
            <w:noWrap/>
            <w:vAlign w:val="bottom"/>
            <w:hideMark/>
          </w:tcPr>
          <w:p w14:paraId="1DABAE50"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1.615.916,00</w:t>
            </w:r>
          </w:p>
        </w:tc>
      </w:tr>
      <w:tr w:rsidR="007B38F9" w:rsidRPr="007B38F9" w14:paraId="27470A89" w14:textId="77777777" w:rsidTr="007B38F9">
        <w:trPr>
          <w:trHeight w:val="255"/>
        </w:trPr>
        <w:tc>
          <w:tcPr>
            <w:tcW w:w="4596" w:type="dxa"/>
            <w:gridSpan w:val="2"/>
            <w:shd w:val="clear" w:color="auto" w:fill="FFFFFF" w:themeFill="background1"/>
            <w:noWrap/>
            <w:vAlign w:val="bottom"/>
            <w:hideMark/>
          </w:tcPr>
          <w:p w14:paraId="7CB71411"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5.1. POMOĆI</w:t>
            </w:r>
          </w:p>
        </w:tc>
        <w:tc>
          <w:tcPr>
            <w:tcW w:w="1264" w:type="dxa"/>
            <w:shd w:val="clear" w:color="auto" w:fill="FFFFFF" w:themeFill="background1"/>
            <w:noWrap/>
            <w:vAlign w:val="bottom"/>
            <w:hideMark/>
          </w:tcPr>
          <w:p w14:paraId="1689C178"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118.996,00</w:t>
            </w:r>
          </w:p>
        </w:tc>
        <w:tc>
          <w:tcPr>
            <w:tcW w:w="0" w:type="auto"/>
            <w:shd w:val="clear" w:color="auto" w:fill="FFFFFF" w:themeFill="background1"/>
            <w:noWrap/>
            <w:vAlign w:val="bottom"/>
            <w:hideMark/>
          </w:tcPr>
          <w:p w14:paraId="3DCFE4A5"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2.000,00</w:t>
            </w:r>
          </w:p>
        </w:tc>
        <w:tc>
          <w:tcPr>
            <w:tcW w:w="0" w:type="auto"/>
            <w:shd w:val="clear" w:color="auto" w:fill="FFFFFF" w:themeFill="background1"/>
            <w:noWrap/>
            <w:vAlign w:val="bottom"/>
            <w:hideMark/>
          </w:tcPr>
          <w:p w14:paraId="6B8375CA"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1,68</w:t>
            </w:r>
          </w:p>
        </w:tc>
        <w:tc>
          <w:tcPr>
            <w:tcW w:w="1517" w:type="dxa"/>
            <w:shd w:val="clear" w:color="auto" w:fill="FFFFFF" w:themeFill="background1"/>
            <w:noWrap/>
            <w:vAlign w:val="bottom"/>
            <w:hideMark/>
          </w:tcPr>
          <w:p w14:paraId="2D4ABD25"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120.996,00</w:t>
            </w:r>
          </w:p>
        </w:tc>
      </w:tr>
      <w:tr w:rsidR="007B38F9" w:rsidRPr="007B38F9" w14:paraId="09BDA288" w14:textId="77777777" w:rsidTr="007B38F9">
        <w:trPr>
          <w:trHeight w:val="255"/>
        </w:trPr>
        <w:tc>
          <w:tcPr>
            <w:tcW w:w="0" w:type="auto"/>
            <w:shd w:val="clear" w:color="auto" w:fill="FFFFFF" w:themeFill="background1"/>
            <w:noWrap/>
            <w:vAlign w:val="bottom"/>
            <w:hideMark/>
          </w:tcPr>
          <w:p w14:paraId="6B6BF84B" w14:textId="77777777" w:rsidR="00863D50" w:rsidRPr="007B38F9" w:rsidRDefault="00863D50">
            <w:pPr>
              <w:rPr>
                <w:rFonts w:ascii="Arial" w:hAnsi="Arial" w:cs="Arial"/>
                <w:b/>
                <w:bCs/>
                <w:sz w:val="18"/>
                <w:szCs w:val="18"/>
              </w:rPr>
            </w:pPr>
            <w:r w:rsidRPr="007B38F9">
              <w:rPr>
                <w:rFonts w:ascii="Arial" w:hAnsi="Arial" w:cs="Arial"/>
                <w:b/>
                <w:bCs/>
                <w:sz w:val="18"/>
                <w:szCs w:val="18"/>
              </w:rPr>
              <w:t>3</w:t>
            </w:r>
          </w:p>
        </w:tc>
        <w:tc>
          <w:tcPr>
            <w:tcW w:w="3853" w:type="dxa"/>
            <w:shd w:val="clear" w:color="auto" w:fill="FFFFFF" w:themeFill="background1"/>
            <w:noWrap/>
            <w:vAlign w:val="bottom"/>
            <w:hideMark/>
          </w:tcPr>
          <w:p w14:paraId="28213CE0" w14:textId="77777777" w:rsidR="00863D50" w:rsidRPr="007B38F9" w:rsidRDefault="00863D50">
            <w:pPr>
              <w:rPr>
                <w:rFonts w:ascii="Arial" w:hAnsi="Arial" w:cs="Arial"/>
                <w:b/>
                <w:bCs/>
                <w:sz w:val="18"/>
                <w:szCs w:val="18"/>
              </w:rPr>
            </w:pPr>
            <w:r w:rsidRPr="007B38F9">
              <w:rPr>
                <w:rFonts w:ascii="Arial" w:hAnsi="Arial" w:cs="Arial"/>
                <w:b/>
                <w:bCs/>
                <w:sz w:val="18"/>
                <w:szCs w:val="18"/>
              </w:rPr>
              <w:t>Rashodi poslovanja</w:t>
            </w:r>
          </w:p>
        </w:tc>
        <w:tc>
          <w:tcPr>
            <w:tcW w:w="1264" w:type="dxa"/>
            <w:shd w:val="clear" w:color="auto" w:fill="FFFFFF" w:themeFill="background1"/>
            <w:noWrap/>
            <w:vAlign w:val="bottom"/>
            <w:hideMark/>
          </w:tcPr>
          <w:p w14:paraId="1E2918F2"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118.996,00</w:t>
            </w:r>
          </w:p>
        </w:tc>
        <w:tc>
          <w:tcPr>
            <w:tcW w:w="0" w:type="auto"/>
            <w:shd w:val="clear" w:color="auto" w:fill="FFFFFF" w:themeFill="background1"/>
            <w:noWrap/>
            <w:vAlign w:val="bottom"/>
            <w:hideMark/>
          </w:tcPr>
          <w:p w14:paraId="29AEBEE7"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2.000,00</w:t>
            </w:r>
          </w:p>
        </w:tc>
        <w:tc>
          <w:tcPr>
            <w:tcW w:w="0" w:type="auto"/>
            <w:shd w:val="clear" w:color="auto" w:fill="FFFFFF" w:themeFill="background1"/>
            <w:noWrap/>
            <w:vAlign w:val="bottom"/>
            <w:hideMark/>
          </w:tcPr>
          <w:p w14:paraId="2FDE663B"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1,68</w:t>
            </w:r>
          </w:p>
        </w:tc>
        <w:tc>
          <w:tcPr>
            <w:tcW w:w="1517" w:type="dxa"/>
            <w:shd w:val="clear" w:color="auto" w:fill="FFFFFF" w:themeFill="background1"/>
            <w:noWrap/>
            <w:vAlign w:val="bottom"/>
            <w:hideMark/>
          </w:tcPr>
          <w:p w14:paraId="0204B5C3"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120.996,00</w:t>
            </w:r>
          </w:p>
        </w:tc>
      </w:tr>
      <w:tr w:rsidR="007B38F9" w:rsidRPr="007B38F9" w14:paraId="1EC34247" w14:textId="77777777" w:rsidTr="007B38F9">
        <w:trPr>
          <w:trHeight w:val="255"/>
        </w:trPr>
        <w:tc>
          <w:tcPr>
            <w:tcW w:w="0" w:type="auto"/>
            <w:shd w:val="clear" w:color="auto" w:fill="FFFFFF" w:themeFill="background1"/>
            <w:noWrap/>
            <w:vAlign w:val="bottom"/>
            <w:hideMark/>
          </w:tcPr>
          <w:p w14:paraId="4B10E0B9" w14:textId="77777777" w:rsidR="00863D50" w:rsidRPr="007B38F9" w:rsidRDefault="00863D50">
            <w:pPr>
              <w:rPr>
                <w:rFonts w:ascii="Arial" w:hAnsi="Arial" w:cs="Arial"/>
                <w:sz w:val="18"/>
                <w:szCs w:val="18"/>
              </w:rPr>
            </w:pPr>
            <w:r w:rsidRPr="007B38F9">
              <w:rPr>
                <w:rFonts w:ascii="Arial" w:hAnsi="Arial" w:cs="Arial"/>
                <w:sz w:val="18"/>
                <w:szCs w:val="18"/>
              </w:rPr>
              <w:t>32</w:t>
            </w:r>
          </w:p>
        </w:tc>
        <w:tc>
          <w:tcPr>
            <w:tcW w:w="3853" w:type="dxa"/>
            <w:shd w:val="clear" w:color="auto" w:fill="FFFFFF" w:themeFill="background1"/>
            <w:noWrap/>
            <w:vAlign w:val="bottom"/>
            <w:hideMark/>
          </w:tcPr>
          <w:p w14:paraId="6189F535" w14:textId="77777777" w:rsidR="00863D50" w:rsidRPr="007B38F9" w:rsidRDefault="00863D50">
            <w:pPr>
              <w:rPr>
                <w:rFonts w:ascii="Arial" w:hAnsi="Arial" w:cs="Arial"/>
                <w:sz w:val="18"/>
                <w:szCs w:val="18"/>
              </w:rPr>
            </w:pPr>
            <w:r w:rsidRPr="007B38F9">
              <w:rPr>
                <w:rFonts w:ascii="Arial" w:hAnsi="Arial" w:cs="Arial"/>
                <w:sz w:val="18"/>
                <w:szCs w:val="18"/>
              </w:rPr>
              <w:t>Materijalni rashodi</w:t>
            </w:r>
          </w:p>
        </w:tc>
        <w:tc>
          <w:tcPr>
            <w:tcW w:w="1264" w:type="dxa"/>
            <w:shd w:val="clear" w:color="auto" w:fill="FFFFFF" w:themeFill="background1"/>
            <w:noWrap/>
            <w:vAlign w:val="bottom"/>
            <w:hideMark/>
          </w:tcPr>
          <w:p w14:paraId="0490E546" w14:textId="77777777" w:rsidR="00863D50" w:rsidRPr="007B38F9" w:rsidRDefault="00863D50">
            <w:pPr>
              <w:jc w:val="right"/>
              <w:rPr>
                <w:rFonts w:ascii="Arial" w:hAnsi="Arial" w:cs="Arial"/>
                <w:sz w:val="18"/>
                <w:szCs w:val="18"/>
              </w:rPr>
            </w:pPr>
            <w:r w:rsidRPr="007B38F9">
              <w:rPr>
                <w:rFonts w:ascii="Arial" w:hAnsi="Arial" w:cs="Arial"/>
                <w:sz w:val="18"/>
                <w:szCs w:val="18"/>
              </w:rPr>
              <w:t>118.996,00</w:t>
            </w:r>
          </w:p>
        </w:tc>
        <w:tc>
          <w:tcPr>
            <w:tcW w:w="0" w:type="auto"/>
            <w:shd w:val="clear" w:color="auto" w:fill="FFFFFF" w:themeFill="background1"/>
            <w:noWrap/>
            <w:vAlign w:val="bottom"/>
            <w:hideMark/>
          </w:tcPr>
          <w:p w14:paraId="45B85AF0" w14:textId="77777777" w:rsidR="00863D50" w:rsidRPr="007B38F9" w:rsidRDefault="00863D50">
            <w:pPr>
              <w:jc w:val="right"/>
              <w:rPr>
                <w:rFonts w:ascii="Arial" w:hAnsi="Arial" w:cs="Arial"/>
                <w:sz w:val="18"/>
                <w:szCs w:val="18"/>
              </w:rPr>
            </w:pPr>
            <w:r w:rsidRPr="007B38F9">
              <w:rPr>
                <w:rFonts w:ascii="Arial" w:hAnsi="Arial" w:cs="Arial"/>
                <w:sz w:val="18"/>
                <w:szCs w:val="18"/>
              </w:rPr>
              <w:t>2.000,00</w:t>
            </w:r>
          </w:p>
        </w:tc>
        <w:tc>
          <w:tcPr>
            <w:tcW w:w="0" w:type="auto"/>
            <w:shd w:val="clear" w:color="auto" w:fill="FFFFFF" w:themeFill="background1"/>
            <w:noWrap/>
            <w:vAlign w:val="bottom"/>
            <w:hideMark/>
          </w:tcPr>
          <w:p w14:paraId="4C857EFB" w14:textId="77777777" w:rsidR="00863D50" w:rsidRPr="007B38F9" w:rsidRDefault="00863D50">
            <w:pPr>
              <w:jc w:val="right"/>
              <w:rPr>
                <w:rFonts w:ascii="Arial" w:hAnsi="Arial" w:cs="Arial"/>
                <w:sz w:val="18"/>
                <w:szCs w:val="18"/>
              </w:rPr>
            </w:pPr>
            <w:r w:rsidRPr="007B38F9">
              <w:rPr>
                <w:rFonts w:ascii="Arial" w:hAnsi="Arial" w:cs="Arial"/>
                <w:sz w:val="18"/>
                <w:szCs w:val="18"/>
              </w:rPr>
              <w:t>1,68</w:t>
            </w:r>
          </w:p>
        </w:tc>
        <w:tc>
          <w:tcPr>
            <w:tcW w:w="1517" w:type="dxa"/>
            <w:shd w:val="clear" w:color="auto" w:fill="FFFFFF" w:themeFill="background1"/>
            <w:noWrap/>
            <w:vAlign w:val="bottom"/>
            <w:hideMark/>
          </w:tcPr>
          <w:p w14:paraId="38653C33" w14:textId="77777777" w:rsidR="00863D50" w:rsidRPr="007B38F9" w:rsidRDefault="00863D50">
            <w:pPr>
              <w:jc w:val="right"/>
              <w:rPr>
                <w:rFonts w:ascii="Arial" w:hAnsi="Arial" w:cs="Arial"/>
                <w:sz w:val="18"/>
                <w:szCs w:val="18"/>
              </w:rPr>
            </w:pPr>
            <w:r w:rsidRPr="007B38F9">
              <w:rPr>
                <w:rFonts w:ascii="Arial" w:hAnsi="Arial" w:cs="Arial"/>
                <w:sz w:val="18"/>
                <w:szCs w:val="18"/>
              </w:rPr>
              <w:t>120.996,00</w:t>
            </w:r>
          </w:p>
        </w:tc>
      </w:tr>
      <w:tr w:rsidR="007B38F9" w:rsidRPr="007B38F9" w14:paraId="77669ABE" w14:textId="77777777" w:rsidTr="007B38F9">
        <w:trPr>
          <w:trHeight w:val="255"/>
        </w:trPr>
        <w:tc>
          <w:tcPr>
            <w:tcW w:w="4596" w:type="dxa"/>
            <w:gridSpan w:val="2"/>
            <w:shd w:val="clear" w:color="auto" w:fill="FFFFFF" w:themeFill="background1"/>
            <w:noWrap/>
            <w:vAlign w:val="bottom"/>
            <w:hideMark/>
          </w:tcPr>
          <w:p w14:paraId="43D257CA"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5.9. POMOĆI-PRIHODI KORISNIKA-GL 02</w:t>
            </w:r>
          </w:p>
        </w:tc>
        <w:tc>
          <w:tcPr>
            <w:tcW w:w="1264" w:type="dxa"/>
            <w:shd w:val="clear" w:color="auto" w:fill="FFFFFF" w:themeFill="background1"/>
            <w:noWrap/>
            <w:vAlign w:val="bottom"/>
            <w:hideMark/>
          </w:tcPr>
          <w:p w14:paraId="777EAA7C"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1.477.000,00</w:t>
            </w:r>
          </w:p>
        </w:tc>
        <w:tc>
          <w:tcPr>
            <w:tcW w:w="0" w:type="auto"/>
            <w:shd w:val="clear" w:color="auto" w:fill="FFFFFF" w:themeFill="background1"/>
            <w:noWrap/>
            <w:vAlign w:val="bottom"/>
            <w:hideMark/>
          </w:tcPr>
          <w:p w14:paraId="515F4989"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17.920,00</w:t>
            </w:r>
          </w:p>
        </w:tc>
        <w:tc>
          <w:tcPr>
            <w:tcW w:w="0" w:type="auto"/>
            <w:shd w:val="clear" w:color="auto" w:fill="FFFFFF" w:themeFill="background1"/>
            <w:noWrap/>
            <w:vAlign w:val="bottom"/>
            <w:hideMark/>
          </w:tcPr>
          <w:p w14:paraId="4F94FB96"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1,21</w:t>
            </w:r>
          </w:p>
        </w:tc>
        <w:tc>
          <w:tcPr>
            <w:tcW w:w="1517" w:type="dxa"/>
            <w:shd w:val="clear" w:color="auto" w:fill="FFFFFF" w:themeFill="background1"/>
            <w:noWrap/>
            <w:vAlign w:val="bottom"/>
            <w:hideMark/>
          </w:tcPr>
          <w:p w14:paraId="21849C22"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1.494.920,00</w:t>
            </w:r>
          </w:p>
        </w:tc>
      </w:tr>
      <w:tr w:rsidR="007B38F9" w:rsidRPr="007B38F9" w14:paraId="034C3066" w14:textId="77777777" w:rsidTr="007B38F9">
        <w:trPr>
          <w:trHeight w:val="255"/>
        </w:trPr>
        <w:tc>
          <w:tcPr>
            <w:tcW w:w="0" w:type="auto"/>
            <w:shd w:val="clear" w:color="auto" w:fill="FFFFFF" w:themeFill="background1"/>
            <w:noWrap/>
            <w:vAlign w:val="bottom"/>
            <w:hideMark/>
          </w:tcPr>
          <w:p w14:paraId="364B556C" w14:textId="77777777" w:rsidR="00863D50" w:rsidRPr="007B38F9" w:rsidRDefault="00863D50">
            <w:pPr>
              <w:rPr>
                <w:rFonts w:ascii="Arial" w:hAnsi="Arial" w:cs="Arial"/>
                <w:b/>
                <w:bCs/>
                <w:sz w:val="18"/>
                <w:szCs w:val="18"/>
              </w:rPr>
            </w:pPr>
            <w:r w:rsidRPr="007B38F9">
              <w:rPr>
                <w:rFonts w:ascii="Arial" w:hAnsi="Arial" w:cs="Arial"/>
                <w:b/>
                <w:bCs/>
                <w:sz w:val="18"/>
                <w:szCs w:val="18"/>
              </w:rPr>
              <w:t>3</w:t>
            </w:r>
          </w:p>
        </w:tc>
        <w:tc>
          <w:tcPr>
            <w:tcW w:w="3853" w:type="dxa"/>
            <w:shd w:val="clear" w:color="auto" w:fill="FFFFFF" w:themeFill="background1"/>
            <w:noWrap/>
            <w:vAlign w:val="bottom"/>
            <w:hideMark/>
          </w:tcPr>
          <w:p w14:paraId="0318E761" w14:textId="77777777" w:rsidR="00863D50" w:rsidRPr="007B38F9" w:rsidRDefault="00863D50">
            <w:pPr>
              <w:rPr>
                <w:rFonts w:ascii="Arial" w:hAnsi="Arial" w:cs="Arial"/>
                <w:b/>
                <w:bCs/>
                <w:sz w:val="18"/>
                <w:szCs w:val="18"/>
              </w:rPr>
            </w:pPr>
            <w:r w:rsidRPr="007B38F9">
              <w:rPr>
                <w:rFonts w:ascii="Arial" w:hAnsi="Arial" w:cs="Arial"/>
                <w:b/>
                <w:bCs/>
                <w:sz w:val="18"/>
                <w:szCs w:val="18"/>
              </w:rPr>
              <w:t>Rashodi poslovanja</w:t>
            </w:r>
          </w:p>
        </w:tc>
        <w:tc>
          <w:tcPr>
            <w:tcW w:w="1264" w:type="dxa"/>
            <w:shd w:val="clear" w:color="auto" w:fill="FFFFFF" w:themeFill="background1"/>
            <w:noWrap/>
            <w:vAlign w:val="bottom"/>
            <w:hideMark/>
          </w:tcPr>
          <w:p w14:paraId="6D71313A"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1.477.000,00</w:t>
            </w:r>
          </w:p>
        </w:tc>
        <w:tc>
          <w:tcPr>
            <w:tcW w:w="0" w:type="auto"/>
            <w:shd w:val="clear" w:color="auto" w:fill="FFFFFF" w:themeFill="background1"/>
            <w:noWrap/>
            <w:vAlign w:val="bottom"/>
            <w:hideMark/>
          </w:tcPr>
          <w:p w14:paraId="2A7A78BB"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17.920,00</w:t>
            </w:r>
          </w:p>
        </w:tc>
        <w:tc>
          <w:tcPr>
            <w:tcW w:w="0" w:type="auto"/>
            <w:shd w:val="clear" w:color="auto" w:fill="FFFFFF" w:themeFill="background1"/>
            <w:noWrap/>
            <w:vAlign w:val="bottom"/>
            <w:hideMark/>
          </w:tcPr>
          <w:p w14:paraId="377675AD"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1,21</w:t>
            </w:r>
          </w:p>
        </w:tc>
        <w:tc>
          <w:tcPr>
            <w:tcW w:w="1517" w:type="dxa"/>
            <w:shd w:val="clear" w:color="auto" w:fill="FFFFFF" w:themeFill="background1"/>
            <w:noWrap/>
            <w:vAlign w:val="bottom"/>
            <w:hideMark/>
          </w:tcPr>
          <w:p w14:paraId="568D3C39"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1.494.920,00</w:t>
            </w:r>
          </w:p>
        </w:tc>
      </w:tr>
      <w:tr w:rsidR="007B38F9" w:rsidRPr="007B38F9" w14:paraId="30EE4954" w14:textId="77777777" w:rsidTr="007B38F9">
        <w:trPr>
          <w:trHeight w:val="255"/>
        </w:trPr>
        <w:tc>
          <w:tcPr>
            <w:tcW w:w="0" w:type="auto"/>
            <w:noWrap/>
            <w:vAlign w:val="bottom"/>
            <w:hideMark/>
          </w:tcPr>
          <w:p w14:paraId="1CE97CCB" w14:textId="77777777" w:rsidR="00863D50" w:rsidRPr="007B38F9" w:rsidRDefault="00863D50">
            <w:pPr>
              <w:rPr>
                <w:rFonts w:ascii="Arial" w:hAnsi="Arial" w:cs="Arial"/>
                <w:sz w:val="18"/>
                <w:szCs w:val="18"/>
              </w:rPr>
            </w:pPr>
            <w:r w:rsidRPr="007B38F9">
              <w:rPr>
                <w:rFonts w:ascii="Arial" w:hAnsi="Arial" w:cs="Arial"/>
                <w:sz w:val="18"/>
                <w:szCs w:val="18"/>
              </w:rPr>
              <w:t>31</w:t>
            </w:r>
          </w:p>
        </w:tc>
        <w:tc>
          <w:tcPr>
            <w:tcW w:w="3853" w:type="dxa"/>
            <w:noWrap/>
            <w:vAlign w:val="bottom"/>
            <w:hideMark/>
          </w:tcPr>
          <w:p w14:paraId="44653304" w14:textId="77777777" w:rsidR="00863D50" w:rsidRPr="007B38F9" w:rsidRDefault="00863D50">
            <w:pPr>
              <w:rPr>
                <w:rFonts w:ascii="Arial" w:hAnsi="Arial" w:cs="Arial"/>
                <w:sz w:val="18"/>
                <w:szCs w:val="18"/>
              </w:rPr>
            </w:pPr>
            <w:r w:rsidRPr="007B38F9">
              <w:rPr>
                <w:rFonts w:ascii="Arial" w:hAnsi="Arial" w:cs="Arial"/>
                <w:sz w:val="18"/>
                <w:szCs w:val="18"/>
              </w:rPr>
              <w:t>Rashodi za zaposlene</w:t>
            </w:r>
          </w:p>
        </w:tc>
        <w:tc>
          <w:tcPr>
            <w:tcW w:w="1264" w:type="dxa"/>
            <w:noWrap/>
            <w:vAlign w:val="bottom"/>
            <w:hideMark/>
          </w:tcPr>
          <w:p w14:paraId="796304EE" w14:textId="77777777" w:rsidR="00863D50" w:rsidRPr="007B38F9" w:rsidRDefault="00863D50">
            <w:pPr>
              <w:jc w:val="right"/>
              <w:rPr>
                <w:rFonts w:ascii="Arial" w:hAnsi="Arial" w:cs="Arial"/>
                <w:sz w:val="18"/>
                <w:szCs w:val="18"/>
              </w:rPr>
            </w:pPr>
            <w:r w:rsidRPr="007B38F9">
              <w:rPr>
                <w:rFonts w:ascii="Arial" w:hAnsi="Arial" w:cs="Arial"/>
                <w:sz w:val="18"/>
                <w:szCs w:val="18"/>
              </w:rPr>
              <w:t>1.360.000,00</w:t>
            </w:r>
          </w:p>
        </w:tc>
        <w:tc>
          <w:tcPr>
            <w:tcW w:w="0" w:type="auto"/>
            <w:noWrap/>
            <w:vAlign w:val="bottom"/>
            <w:hideMark/>
          </w:tcPr>
          <w:p w14:paraId="66C10E8D" w14:textId="77777777" w:rsidR="00863D50" w:rsidRPr="007B38F9" w:rsidRDefault="00863D50">
            <w:pPr>
              <w:jc w:val="right"/>
              <w:rPr>
                <w:rFonts w:ascii="Arial" w:hAnsi="Arial" w:cs="Arial"/>
                <w:sz w:val="18"/>
                <w:szCs w:val="18"/>
              </w:rPr>
            </w:pPr>
            <w:r w:rsidRPr="007B38F9">
              <w:rPr>
                <w:rFonts w:ascii="Arial" w:hAnsi="Arial" w:cs="Arial"/>
                <w:sz w:val="18"/>
                <w:szCs w:val="18"/>
              </w:rPr>
              <w:t>12.000,00</w:t>
            </w:r>
          </w:p>
        </w:tc>
        <w:tc>
          <w:tcPr>
            <w:tcW w:w="0" w:type="auto"/>
            <w:noWrap/>
            <w:vAlign w:val="bottom"/>
            <w:hideMark/>
          </w:tcPr>
          <w:p w14:paraId="17582D3D" w14:textId="77777777" w:rsidR="00863D50" w:rsidRPr="007B38F9" w:rsidRDefault="00863D50">
            <w:pPr>
              <w:jc w:val="right"/>
              <w:rPr>
                <w:rFonts w:ascii="Arial" w:hAnsi="Arial" w:cs="Arial"/>
                <w:sz w:val="18"/>
                <w:szCs w:val="18"/>
              </w:rPr>
            </w:pPr>
            <w:r w:rsidRPr="007B38F9">
              <w:rPr>
                <w:rFonts w:ascii="Arial" w:hAnsi="Arial" w:cs="Arial"/>
                <w:sz w:val="18"/>
                <w:szCs w:val="18"/>
              </w:rPr>
              <w:t>0,88</w:t>
            </w:r>
          </w:p>
        </w:tc>
        <w:tc>
          <w:tcPr>
            <w:tcW w:w="1517" w:type="dxa"/>
            <w:noWrap/>
            <w:vAlign w:val="bottom"/>
            <w:hideMark/>
          </w:tcPr>
          <w:p w14:paraId="2CCC33DC" w14:textId="77777777" w:rsidR="00863D50" w:rsidRPr="007B38F9" w:rsidRDefault="00863D50">
            <w:pPr>
              <w:jc w:val="right"/>
              <w:rPr>
                <w:rFonts w:ascii="Arial" w:hAnsi="Arial" w:cs="Arial"/>
                <w:sz w:val="18"/>
                <w:szCs w:val="18"/>
              </w:rPr>
            </w:pPr>
            <w:r w:rsidRPr="007B38F9">
              <w:rPr>
                <w:rFonts w:ascii="Arial" w:hAnsi="Arial" w:cs="Arial"/>
                <w:sz w:val="18"/>
                <w:szCs w:val="18"/>
              </w:rPr>
              <w:t>1.372.000,00</w:t>
            </w:r>
          </w:p>
        </w:tc>
      </w:tr>
      <w:tr w:rsidR="007B38F9" w:rsidRPr="007B38F9" w14:paraId="20C47C3F" w14:textId="77777777" w:rsidTr="007B38F9">
        <w:trPr>
          <w:trHeight w:val="255"/>
        </w:trPr>
        <w:tc>
          <w:tcPr>
            <w:tcW w:w="0" w:type="auto"/>
            <w:noWrap/>
            <w:vAlign w:val="bottom"/>
            <w:hideMark/>
          </w:tcPr>
          <w:p w14:paraId="407FDD27" w14:textId="77777777" w:rsidR="00863D50" w:rsidRPr="007B38F9" w:rsidRDefault="00863D50">
            <w:pPr>
              <w:rPr>
                <w:rFonts w:ascii="Arial" w:hAnsi="Arial" w:cs="Arial"/>
                <w:sz w:val="18"/>
                <w:szCs w:val="18"/>
              </w:rPr>
            </w:pPr>
            <w:r w:rsidRPr="007B38F9">
              <w:rPr>
                <w:rFonts w:ascii="Arial" w:hAnsi="Arial" w:cs="Arial"/>
                <w:sz w:val="18"/>
                <w:szCs w:val="18"/>
              </w:rPr>
              <w:t>32</w:t>
            </w:r>
          </w:p>
        </w:tc>
        <w:tc>
          <w:tcPr>
            <w:tcW w:w="3853" w:type="dxa"/>
            <w:noWrap/>
            <w:vAlign w:val="bottom"/>
            <w:hideMark/>
          </w:tcPr>
          <w:p w14:paraId="0453FF82" w14:textId="77777777" w:rsidR="00863D50" w:rsidRPr="007B38F9" w:rsidRDefault="00863D50">
            <w:pPr>
              <w:rPr>
                <w:rFonts w:ascii="Arial" w:hAnsi="Arial" w:cs="Arial"/>
                <w:sz w:val="18"/>
                <w:szCs w:val="18"/>
              </w:rPr>
            </w:pPr>
            <w:r w:rsidRPr="007B38F9">
              <w:rPr>
                <w:rFonts w:ascii="Arial" w:hAnsi="Arial" w:cs="Arial"/>
                <w:sz w:val="18"/>
                <w:szCs w:val="18"/>
              </w:rPr>
              <w:t>Materijalni rashodi</w:t>
            </w:r>
          </w:p>
        </w:tc>
        <w:tc>
          <w:tcPr>
            <w:tcW w:w="1264" w:type="dxa"/>
            <w:noWrap/>
            <w:vAlign w:val="bottom"/>
            <w:hideMark/>
          </w:tcPr>
          <w:p w14:paraId="257DC5A4" w14:textId="77777777" w:rsidR="00863D50" w:rsidRPr="007B38F9" w:rsidRDefault="00863D50">
            <w:pPr>
              <w:jc w:val="right"/>
              <w:rPr>
                <w:rFonts w:ascii="Arial" w:hAnsi="Arial" w:cs="Arial"/>
                <w:sz w:val="18"/>
                <w:szCs w:val="18"/>
              </w:rPr>
            </w:pPr>
            <w:r w:rsidRPr="007B38F9">
              <w:rPr>
                <w:rFonts w:ascii="Arial" w:hAnsi="Arial" w:cs="Arial"/>
                <w:sz w:val="18"/>
                <w:szCs w:val="18"/>
              </w:rPr>
              <w:t>116.900,00</w:t>
            </w:r>
          </w:p>
        </w:tc>
        <w:tc>
          <w:tcPr>
            <w:tcW w:w="0" w:type="auto"/>
            <w:noWrap/>
            <w:vAlign w:val="bottom"/>
            <w:hideMark/>
          </w:tcPr>
          <w:p w14:paraId="6513ECE2" w14:textId="77777777" w:rsidR="00863D50" w:rsidRPr="007B38F9" w:rsidRDefault="00863D50">
            <w:pPr>
              <w:jc w:val="right"/>
              <w:rPr>
                <w:rFonts w:ascii="Arial" w:hAnsi="Arial" w:cs="Arial"/>
                <w:sz w:val="18"/>
                <w:szCs w:val="18"/>
              </w:rPr>
            </w:pPr>
            <w:r w:rsidRPr="007B38F9">
              <w:rPr>
                <w:rFonts w:ascii="Arial" w:hAnsi="Arial" w:cs="Arial"/>
                <w:sz w:val="18"/>
                <w:szCs w:val="18"/>
              </w:rPr>
              <w:t>5.200,00</w:t>
            </w:r>
          </w:p>
        </w:tc>
        <w:tc>
          <w:tcPr>
            <w:tcW w:w="0" w:type="auto"/>
            <w:noWrap/>
            <w:vAlign w:val="bottom"/>
            <w:hideMark/>
          </w:tcPr>
          <w:p w14:paraId="48737ECE" w14:textId="77777777" w:rsidR="00863D50" w:rsidRPr="007B38F9" w:rsidRDefault="00863D50">
            <w:pPr>
              <w:jc w:val="right"/>
              <w:rPr>
                <w:rFonts w:ascii="Arial" w:hAnsi="Arial" w:cs="Arial"/>
                <w:sz w:val="18"/>
                <w:szCs w:val="18"/>
              </w:rPr>
            </w:pPr>
            <w:r w:rsidRPr="007B38F9">
              <w:rPr>
                <w:rFonts w:ascii="Arial" w:hAnsi="Arial" w:cs="Arial"/>
                <w:sz w:val="18"/>
                <w:szCs w:val="18"/>
              </w:rPr>
              <w:t>4,45</w:t>
            </w:r>
          </w:p>
        </w:tc>
        <w:tc>
          <w:tcPr>
            <w:tcW w:w="1517" w:type="dxa"/>
            <w:noWrap/>
            <w:vAlign w:val="bottom"/>
            <w:hideMark/>
          </w:tcPr>
          <w:p w14:paraId="11D48379" w14:textId="77777777" w:rsidR="00863D50" w:rsidRPr="007B38F9" w:rsidRDefault="00863D50">
            <w:pPr>
              <w:jc w:val="right"/>
              <w:rPr>
                <w:rFonts w:ascii="Arial" w:hAnsi="Arial" w:cs="Arial"/>
                <w:sz w:val="18"/>
                <w:szCs w:val="18"/>
              </w:rPr>
            </w:pPr>
            <w:r w:rsidRPr="007B38F9">
              <w:rPr>
                <w:rFonts w:ascii="Arial" w:hAnsi="Arial" w:cs="Arial"/>
                <w:sz w:val="18"/>
                <w:szCs w:val="18"/>
              </w:rPr>
              <w:t>122.100,00</w:t>
            </w:r>
          </w:p>
        </w:tc>
      </w:tr>
      <w:tr w:rsidR="007B38F9" w:rsidRPr="007B38F9" w14:paraId="03EEDA4B" w14:textId="77777777" w:rsidTr="007B38F9">
        <w:trPr>
          <w:trHeight w:val="255"/>
        </w:trPr>
        <w:tc>
          <w:tcPr>
            <w:tcW w:w="0" w:type="auto"/>
            <w:noWrap/>
            <w:vAlign w:val="bottom"/>
            <w:hideMark/>
          </w:tcPr>
          <w:p w14:paraId="2CDF34B6" w14:textId="77777777" w:rsidR="00863D50" w:rsidRPr="007B38F9" w:rsidRDefault="00863D50">
            <w:pPr>
              <w:rPr>
                <w:rFonts w:ascii="Arial" w:hAnsi="Arial" w:cs="Arial"/>
                <w:sz w:val="18"/>
                <w:szCs w:val="18"/>
              </w:rPr>
            </w:pPr>
            <w:r w:rsidRPr="007B38F9">
              <w:rPr>
                <w:rFonts w:ascii="Arial" w:hAnsi="Arial" w:cs="Arial"/>
                <w:sz w:val="18"/>
                <w:szCs w:val="18"/>
              </w:rPr>
              <w:t>38</w:t>
            </w:r>
          </w:p>
        </w:tc>
        <w:tc>
          <w:tcPr>
            <w:tcW w:w="3853" w:type="dxa"/>
            <w:noWrap/>
            <w:vAlign w:val="bottom"/>
            <w:hideMark/>
          </w:tcPr>
          <w:p w14:paraId="09F5E9F6" w14:textId="77777777" w:rsidR="00863D50" w:rsidRPr="007B38F9" w:rsidRDefault="00863D50">
            <w:pPr>
              <w:rPr>
                <w:rFonts w:ascii="Arial" w:hAnsi="Arial" w:cs="Arial"/>
                <w:sz w:val="18"/>
                <w:szCs w:val="18"/>
              </w:rPr>
            </w:pPr>
            <w:r w:rsidRPr="007B38F9">
              <w:rPr>
                <w:rFonts w:ascii="Arial" w:hAnsi="Arial" w:cs="Arial"/>
                <w:sz w:val="18"/>
                <w:szCs w:val="18"/>
              </w:rPr>
              <w:t>Rashodi za donacije, kazne, naknade šteta i kapitalne pomoći</w:t>
            </w:r>
          </w:p>
        </w:tc>
        <w:tc>
          <w:tcPr>
            <w:tcW w:w="1264" w:type="dxa"/>
            <w:noWrap/>
            <w:vAlign w:val="bottom"/>
            <w:hideMark/>
          </w:tcPr>
          <w:p w14:paraId="3A1D2C8D" w14:textId="77777777" w:rsidR="00863D50" w:rsidRPr="007B38F9" w:rsidRDefault="00863D50">
            <w:pPr>
              <w:jc w:val="right"/>
              <w:rPr>
                <w:rFonts w:ascii="Arial" w:hAnsi="Arial" w:cs="Arial"/>
                <w:sz w:val="18"/>
                <w:szCs w:val="18"/>
              </w:rPr>
            </w:pPr>
            <w:r w:rsidRPr="007B38F9">
              <w:rPr>
                <w:rFonts w:ascii="Arial" w:hAnsi="Arial" w:cs="Arial"/>
                <w:sz w:val="18"/>
                <w:szCs w:val="18"/>
              </w:rPr>
              <w:t>100,00</w:t>
            </w:r>
          </w:p>
        </w:tc>
        <w:tc>
          <w:tcPr>
            <w:tcW w:w="0" w:type="auto"/>
            <w:noWrap/>
            <w:vAlign w:val="bottom"/>
            <w:hideMark/>
          </w:tcPr>
          <w:p w14:paraId="0C43012E" w14:textId="77777777" w:rsidR="00863D50" w:rsidRPr="007B38F9" w:rsidRDefault="00863D50">
            <w:pPr>
              <w:jc w:val="right"/>
              <w:rPr>
                <w:rFonts w:ascii="Arial" w:hAnsi="Arial" w:cs="Arial"/>
                <w:sz w:val="18"/>
                <w:szCs w:val="18"/>
              </w:rPr>
            </w:pPr>
            <w:r w:rsidRPr="007B38F9">
              <w:rPr>
                <w:rFonts w:ascii="Arial" w:hAnsi="Arial" w:cs="Arial"/>
                <w:sz w:val="18"/>
                <w:szCs w:val="18"/>
              </w:rPr>
              <w:t>720,00</w:t>
            </w:r>
          </w:p>
        </w:tc>
        <w:tc>
          <w:tcPr>
            <w:tcW w:w="0" w:type="auto"/>
            <w:noWrap/>
            <w:vAlign w:val="bottom"/>
            <w:hideMark/>
          </w:tcPr>
          <w:p w14:paraId="01910108" w14:textId="77777777" w:rsidR="00863D50" w:rsidRPr="007B38F9" w:rsidRDefault="00863D50">
            <w:pPr>
              <w:jc w:val="right"/>
              <w:rPr>
                <w:rFonts w:ascii="Arial" w:hAnsi="Arial" w:cs="Arial"/>
                <w:sz w:val="18"/>
                <w:szCs w:val="18"/>
              </w:rPr>
            </w:pPr>
            <w:r w:rsidRPr="007B38F9">
              <w:rPr>
                <w:rFonts w:ascii="Arial" w:hAnsi="Arial" w:cs="Arial"/>
                <w:sz w:val="18"/>
                <w:szCs w:val="18"/>
              </w:rPr>
              <w:t>720,00</w:t>
            </w:r>
          </w:p>
        </w:tc>
        <w:tc>
          <w:tcPr>
            <w:tcW w:w="1517" w:type="dxa"/>
            <w:noWrap/>
            <w:vAlign w:val="bottom"/>
            <w:hideMark/>
          </w:tcPr>
          <w:p w14:paraId="32E12FAD" w14:textId="77777777" w:rsidR="00863D50" w:rsidRPr="007B38F9" w:rsidRDefault="00863D50">
            <w:pPr>
              <w:jc w:val="right"/>
              <w:rPr>
                <w:rFonts w:ascii="Arial" w:hAnsi="Arial" w:cs="Arial"/>
                <w:sz w:val="18"/>
                <w:szCs w:val="18"/>
              </w:rPr>
            </w:pPr>
            <w:r w:rsidRPr="007B38F9">
              <w:rPr>
                <w:rFonts w:ascii="Arial" w:hAnsi="Arial" w:cs="Arial"/>
                <w:sz w:val="18"/>
                <w:szCs w:val="18"/>
              </w:rPr>
              <w:t>820,00</w:t>
            </w:r>
          </w:p>
        </w:tc>
      </w:tr>
      <w:tr w:rsidR="007B38F9" w:rsidRPr="007B38F9" w14:paraId="7E5EE22F" w14:textId="77777777" w:rsidTr="007B38F9">
        <w:trPr>
          <w:trHeight w:val="255"/>
        </w:trPr>
        <w:tc>
          <w:tcPr>
            <w:tcW w:w="4596" w:type="dxa"/>
            <w:gridSpan w:val="2"/>
            <w:shd w:val="clear" w:color="auto" w:fill="D9D9D9" w:themeFill="background1" w:themeFillShade="D9"/>
            <w:noWrap/>
            <w:vAlign w:val="bottom"/>
            <w:hideMark/>
          </w:tcPr>
          <w:p w14:paraId="7D391113"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Aktivnost A500004 Produženi boravak</w:t>
            </w:r>
          </w:p>
        </w:tc>
        <w:tc>
          <w:tcPr>
            <w:tcW w:w="1264" w:type="dxa"/>
            <w:shd w:val="clear" w:color="auto" w:fill="D9D9D9" w:themeFill="background1" w:themeFillShade="D9"/>
            <w:noWrap/>
            <w:vAlign w:val="bottom"/>
            <w:hideMark/>
          </w:tcPr>
          <w:p w14:paraId="1150F357"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195.250,00</w:t>
            </w:r>
          </w:p>
        </w:tc>
        <w:tc>
          <w:tcPr>
            <w:tcW w:w="0" w:type="auto"/>
            <w:shd w:val="clear" w:color="auto" w:fill="D9D9D9" w:themeFill="background1" w:themeFillShade="D9"/>
            <w:noWrap/>
            <w:vAlign w:val="bottom"/>
            <w:hideMark/>
          </w:tcPr>
          <w:p w14:paraId="6993FBFD"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10.200,00</w:t>
            </w:r>
          </w:p>
        </w:tc>
        <w:tc>
          <w:tcPr>
            <w:tcW w:w="0" w:type="auto"/>
            <w:shd w:val="clear" w:color="auto" w:fill="D9D9D9" w:themeFill="background1" w:themeFillShade="D9"/>
            <w:noWrap/>
            <w:vAlign w:val="bottom"/>
            <w:hideMark/>
          </w:tcPr>
          <w:p w14:paraId="6D36F944"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5,22</w:t>
            </w:r>
          </w:p>
        </w:tc>
        <w:tc>
          <w:tcPr>
            <w:tcW w:w="1517" w:type="dxa"/>
            <w:shd w:val="clear" w:color="auto" w:fill="D9D9D9" w:themeFill="background1" w:themeFillShade="D9"/>
            <w:noWrap/>
            <w:vAlign w:val="bottom"/>
            <w:hideMark/>
          </w:tcPr>
          <w:p w14:paraId="7105962B"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205.450,00</w:t>
            </w:r>
          </w:p>
        </w:tc>
      </w:tr>
      <w:tr w:rsidR="007B38F9" w:rsidRPr="007B38F9" w14:paraId="30D96204" w14:textId="77777777" w:rsidTr="007B38F9">
        <w:trPr>
          <w:trHeight w:val="255"/>
        </w:trPr>
        <w:tc>
          <w:tcPr>
            <w:tcW w:w="4596" w:type="dxa"/>
            <w:gridSpan w:val="2"/>
            <w:shd w:val="clear" w:color="auto" w:fill="FFFFFF" w:themeFill="background1"/>
            <w:noWrap/>
            <w:vAlign w:val="bottom"/>
            <w:hideMark/>
          </w:tcPr>
          <w:p w14:paraId="19181AF0"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1. OPĆI PRIHODI I PRIMICI</w:t>
            </w:r>
          </w:p>
        </w:tc>
        <w:tc>
          <w:tcPr>
            <w:tcW w:w="1264" w:type="dxa"/>
            <w:shd w:val="clear" w:color="auto" w:fill="FFFFFF" w:themeFill="background1"/>
            <w:noWrap/>
            <w:vAlign w:val="bottom"/>
            <w:hideMark/>
          </w:tcPr>
          <w:p w14:paraId="4CCE3863"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100.000,00</w:t>
            </w:r>
          </w:p>
        </w:tc>
        <w:tc>
          <w:tcPr>
            <w:tcW w:w="0" w:type="auto"/>
            <w:shd w:val="clear" w:color="auto" w:fill="FFFFFF" w:themeFill="background1"/>
            <w:noWrap/>
            <w:vAlign w:val="bottom"/>
            <w:hideMark/>
          </w:tcPr>
          <w:p w14:paraId="1E560795"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10.200,00</w:t>
            </w:r>
          </w:p>
        </w:tc>
        <w:tc>
          <w:tcPr>
            <w:tcW w:w="0" w:type="auto"/>
            <w:shd w:val="clear" w:color="auto" w:fill="FFFFFF" w:themeFill="background1"/>
            <w:noWrap/>
            <w:vAlign w:val="bottom"/>
            <w:hideMark/>
          </w:tcPr>
          <w:p w14:paraId="656D9BE5"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10,20</w:t>
            </w:r>
          </w:p>
        </w:tc>
        <w:tc>
          <w:tcPr>
            <w:tcW w:w="1517" w:type="dxa"/>
            <w:shd w:val="clear" w:color="auto" w:fill="FFFFFF" w:themeFill="background1"/>
            <w:noWrap/>
            <w:vAlign w:val="bottom"/>
            <w:hideMark/>
          </w:tcPr>
          <w:p w14:paraId="390285F2"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110.200,00</w:t>
            </w:r>
          </w:p>
        </w:tc>
      </w:tr>
      <w:tr w:rsidR="007B38F9" w:rsidRPr="007B38F9" w14:paraId="35890ED6" w14:textId="77777777" w:rsidTr="007B38F9">
        <w:trPr>
          <w:trHeight w:val="255"/>
        </w:trPr>
        <w:tc>
          <w:tcPr>
            <w:tcW w:w="4596" w:type="dxa"/>
            <w:gridSpan w:val="2"/>
            <w:shd w:val="clear" w:color="auto" w:fill="FFFFFF" w:themeFill="background1"/>
            <w:noWrap/>
            <w:vAlign w:val="bottom"/>
            <w:hideMark/>
          </w:tcPr>
          <w:p w14:paraId="1E9209C6"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1.1. PRIHODI IZ NADLEŽNOG PRORAČUNA</w:t>
            </w:r>
          </w:p>
        </w:tc>
        <w:tc>
          <w:tcPr>
            <w:tcW w:w="1264" w:type="dxa"/>
            <w:shd w:val="clear" w:color="auto" w:fill="FFFFFF" w:themeFill="background1"/>
            <w:noWrap/>
            <w:vAlign w:val="bottom"/>
            <w:hideMark/>
          </w:tcPr>
          <w:p w14:paraId="638DADFF"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100.000,00</w:t>
            </w:r>
          </w:p>
        </w:tc>
        <w:tc>
          <w:tcPr>
            <w:tcW w:w="0" w:type="auto"/>
            <w:shd w:val="clear" w:color="auto" w:fill="FFFFFF" w:themeFill="background1"/>
            <w:noWrap/>
            <w:vAlign w:val="bottom"/>
            <w:hideMark/>
          </w:tcPr>
          <w:p w14:paraId="4D58EAE6"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10.200,00</w:t>
            </w:r>
          </w:p>
        </w:tc>
        <w:tc>
          <w:tcPr>
            <w:tcW w:w="0" w:type="auto"/>
            <w:shd w:val="clear" w:color="auto" w:fill="FFFFFF" w:themeFill="background1"/>
            <w:noWrap/>
            <w:vAlign w:val="bottom"/>
            <w:hideMark/>
          </w:tcPr>
          <w:p w14:paraId="67385C88"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10,20</w:t>
            </w:r>
          </w:p>
        </w:tc>
        <w:tc>
          <w:tcPr>
            <w:tcW w:w="1517" w:type="dxa"/>
            <w:shd w:val="clear" w:color="auto" w:fill="FFFFFF" w:themeFill="background1"/>
            <w:noWrap/>
            <w:vAlign w:val="bottom"/>
            <w:hideMark/>
          </w:tcPr>
          <w:p w14:paraId="7842CB95"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110.200,00</w:t>
            </w:r>
          </w:p>
        </w:tc>
      </w:tr>
      <w:tr w:rsidR="007B38F9" w:rsidRPr="007B38F9" w14:paraId="36111705" w14:textId="77777777" w:rsidTr="007B38F9">
        <w:trPr>
          <w:trHeight w:val="255"/>
        </w:trPr>
        <w:tc>
          <w:tcPr>
            <w:tcW w:w="0" w:type="auto"/>
            <w:shd w:val="clear" w:color="auto" w:fill="FFFFFF" w:themeFill="background1"/>
            <w:noWrap/>
            <w:vAlign w:val="bottom"/>
            <w:hideMark/>
          </w:tcPr>
          <w:p w14:paraId="660AFD62" w14:textId="77777777" w:rsidR="00863D50" w:rsidRPr="007B38F9" w:rsidRDefault="00863D50">
            <w:pPr>
              <w:rPr>
                <w:rFonts w:ascii="Arial" w:hAnsi="Arial" w:cs="Arial"/>
                <w:b/>
                <w:bCs/>
                <w:sz w:val="18"/>
                <w:szCs w:val="18"/>
              </w:rPr>
            </w:pPr>
            <w:r w:rsidRPr="007B38F9">
              <w:rPr>
                <w:rFonts w:ascii="Arial" w:hAnsi="Arial" w:cs="Arial"/>
                <w:b/>
                <w:bCs/>
                <w:sz w:val="18"/>
                <w:szCs w:val="18"/>
              </w:rPr>
              <w:t>3</w:t>
            </w:r>
          </w:p>
        </w:tc>
        <w:tc>
          <w:tcPr>
            <w:tcW w:w="3853" w:type="dxa"/>
            <w:shd w:val="clear" w:color="auto" w:fill="FFFFFF" w:themeFill="background1"/>
            <w:noWrap/>
            <w:vAlign w:val="bottom"/>
            <w:hideMark/>
          </w:tcPr>
          <w:p w14:paraId="4EA78A0B" w14:textId="77777777" w:rsidR="00863D50" w:rsidRPr="007B38F9" w:rsidRDefault="00863D50">
            <w:pPr>
              <w:rPr>
                <w:rFonts w:ascii="Arial" w:hAnsi="Arial" w:cs="Arial"/>
                <w:b/>
                <w:bCs/>
                <w:sz w:val="18"/>
                <w:szCs w:val="18"/>
              </w:rPr>
            </w:pPr>
            <w:r w:rsidRPr="007B38F9">
              <w:rPr>
                <w:rFonts w:ascii="Arial" w:hAnsi="Arial" w:cs="Arial"/>
                <w:b/>
                <w:bCs/>
                <w:sz w:val="18"/>
                <w:szCs w:val="18"/>
              </w:rPr>
              <w:t>Rashodi poslovanja</w:t>
            </w:r>
          </w:p>
        </w:tc>
        <w:tc>
          <w:tcPr>
            <w:tcW w:w="1264" w:type="dxa"/>
            <w:shd w:val="clear" w:color="auto" w:fill="FFFFFF" w:themeFill="background1"/>
            <w:noWrap/>
            <w:vAlign w:val="bottom"/>
            <w:hideMark/>
          </w:tcPr>
          <w:p w14:paraId="0C67A1FD"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100.000,00</w:t>
            </w:r>
          </w:p>
        </w:tc>
        <w:tc>
          <w:tcPr>
            <w:tcW w:w="0" w:type="auto"/>
            <w:shd w:val="clear" w:color="auto" w:fill="FFFFFF" w:themeFill="background1"/>
            <w:noWrap/>
            <w:vAlign w:val="bottom"/>
            <w:hideMark/>
          </w:tcPr>
          <w:p w14:paraId="7EBE2027"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10.200,00</w:t>
            </w:r>
          </w:p>
        </w:tc>
        <w:tc>
          <w:tcPr>
            <w:tcW w:w="0" w:type="auto"/>
            <w:shd w:val="clear" w:color="auto" w:fill="FFFFFF" w:themeFill="background1"/>
            <w:noWrap/>
            <w:vAlign w:val="bottom"/>
            <w:hideMark/>
          </w:tcPr>
          <w:p w14:paraId="5EE46FAD"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10,20</w:t>
            </w:r>
          </w:p>
        </w:tc>
        <w:tc>
          <w:tcPr>
            <w:tcW w:w="1517" w:type="dxa"/>
            <w:shd w:val="clear" w:color="auto" w:fill="FFFFFF" w:themeFill="background1"/>
            <w:noWrap/>
            <w:vAlign w:val="bottom"/>
            <w:hideMark/>
          </w:tcPr>
          <w:p w14:paraId="7C9D3542"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110.200,00</w:t>
            </w:r>
          </w:p>
        </w:tc>
      </w:tr>
      <w:tr w:rsidR="007B38F9" w:rsidRPr="007B38F9" w14:paraId="14684206" w14:textId="77777777" w:rsidTr="007B38F9">
        <w:trPr>
          <w:trHeight w:val="255"/>
        </w:trPr>
        <w:tc>
          <w:tcPr>
            <w:tcW w:w="0" w:type="auto"/>
            <w:shd w:val="clear" w:color="auto" w:fill="FFFFFF" w:themeFill="background1"/>
            <w:noWrap/>
            <w:vAlign w:val="bottom"/>
            <w:hideMark/>
          </w:tcPr>
          <w:p w14:paraId="48ACDFFA" w14:textId="77777777" w:rsidR="00863D50" w:rsidRPr="007B38F9" w:rsidRDefault="00863D50">
            <w:pPr>
              <w:rPr>
                <w:rFonts w:ascii="Arial" w:hAnsi="Arial" w:cs="Arial"/>
                <w:sz w:val="18"/>
                <w:szCs w:val="18"/>
              </w:rPr>
            </w:pPr>
            <w:r w:rsidRPr="007B38F9">
              <w:rPr>
                <w:rFonts w:ascii="Arial" w:hAnsi="Arial" w:cs="Arial"/>
                <w:sz w:val="18"/>
                <w:szCs w:val="18"/>
              </w:rPr>
              <w:t>31</w:t>
            </w:r>
          </w:p>
        </w:tc>
        <w:tc>
          <w:tcPr>
            <w:tcW w:w="3853" w:type="dxa"/>
            <w:shd w:val="clear" w:color="auto" w:fill="FFFFFF" w:themeFill="background1"/>
            <w:noWrap/>
            <w:vAlign w:val="bottom"/>
            <w:hideMark/>
          </w:tcPr>
          <w:p w14:paraId="2B194666" w14:textId="77777777" w:rsidR="00863D50" w:rsidRPr="007B38F9" w:rsidRDefault="00863D50">
            <w:pPr>
              <w:rPr>
                <w:rFonts w:ascii="Arial" w:hAnsi="Arial" w:cs="Arial"/>
                <w:sz w:val="18"/>
                <w:szCs w:val="18"/>
              </w:rPr>
            </w:pPr>
            <w:r w:rsidRPr="007B38F9">
              <w:rPr>
                <w:rFonts w:ascii="Arial" w:hAnsi="Arial" w:cs="Arial"/>
                <w:sz w:val="18"/>
                <w:szCs w:val="18"/>
              </w:rPr>
              <w:t>Rashodi za zaposlene</w:t>
            </w:r>
          </w:p>
        </w:tc>
        <w:tc>
          <w:tcPr>
            <w:tcW w:w="1264" w:type="dxa"/>
            <w:shd w:val="clear" w:color="auto" w:fill="FFFFFF" w:themeFill="background1"/>
            <w:noWrap/>
            <w:vAlign w:val="bottom"/>
            <w:hideMark/>
          </w:tcPr>
          <w:p w14:paraId="03AE82F6" w14:textId="77777777" w:rsidR="00863D50" w:rsidRPr="007B38F9" w:rsidRDefault="00863D50">
            <w:pPr>
              <w:jc w:val="right"/>
              <w:rPr>
                <w:rFonts w:ascii="Arial" w:hAnsi="Arial" w:cs="Arial"/>
                <w:sz w:val="18"/>
                <w:szCs w:val="18"/>
              </w:rPr>
            </w:pPr>
            <w:r w:rsidRPr="007B38F9">
              <w:rPr>
                <w:rFonts w:ascii="Arial" w:hAnsi="Arial" w:cs="Arial"/>
                <w:sz w:val="18"/>
                <w:szCs w:val="18"/>
              </w:rPr>
              <w:t>100.000,00</w:t>
            </w:r>
          </w:p>
        </w:tc>
        <w:tc>
          <w:tcPr>
            <w:tcW w:w="0" w:type="auto"/>
            <w:shd w:val="clear" w:color="auto" w:fill="FFFFFF" w:themeFill="background1"/>
            <w:noWrap/>
            <w:vAlign w:val="bottom"/>
            <w:hideMark/>
          </w:tcPr>
          <w:p w14:paraId="58E2CAEB" w14:textId="77777777" w:rsidR="00863D50" w:rsidRPr="007B38F9" w:rsidRDefault="00863D50">
            <w:pPr>
              <w:jc w:val="right"/>
              <w:rPr>
                <w:rFonts w:ascii="Arial" w:hAnsi="Arial" w:cs="Arial"/>
                <w:sz w:val="18"/>
                <w:szCs w:val="18"/>
              </w:rPr>
            </w:pPr>
            <w:r w:rsidRPr="007B38F9">
              <w:rPr>
                <w:rFonts w:ascii="Arial" w:hAnsi="Arial" w:cs="Arial"/>
                <w:sz w:val="18"/>
                <w:szCs w:val="18"/>
              </w:rPr>
              <w:t>10.200,00</w:t>
            </w:r>
          </w:p>
        </w:tc>
        <w:tc>
          <w:tcPr>
            <w:tcW w:w="0" w:type="auto"/>
            <w:shd w:val="clear" w:color="auto" w:fill="FFFFFF" w:themeFill="background1"/>
            <w:noWrap/>
            <w:vAlign w:val="bottom"/>
            <w:hideMark/>
          </w:tcPr>
          <w:p w14:paraId="0F8F7204" w14:textId="77777777" w:rsidR="00863D50" w:rsidRPr="007B38F9" w:rsidRDefault="00863D50">
            <w:pPr>
              <w:jc w:val="right"/>
              <w:rPr>
                <w:rFonts w:ascii="Arial" w:hAnsi="Arial" w:cs="Arial"/>
                <w:sz w:val="18"/>
                <w:szCs w:val="18"/>
              </w:rPr>
            </w:pPr>
            <w:r w:rsidRPr="007B38F9">
              <w:rPr>
                <w:rFonts w:ascii="Arial" w:hAnsi="Arial" w:cs="Arial"/>
                <w:sz w:val="18"/>
                <w:szCs w:val="18"/>
              </w:rPr>
              <w:t>10,20</w:t>
            </w:r>
          </w:p>
        </w:tc>
        <w:tc>
          <w:tcPr>
            <w:tcW w:w="1517" w:type="dxa"/>
            <w:shd w:val="clear" w:color="auto" w:fill="FFFFFF" w:themeFill="background1"/>
            <w:noWrap/>
            <w:vAlign w:val="bottom"/>
            <w:hideMark/>
          </w:tcPr>
          <w:p w14:paraId="0D15B25D" w14:textId="77777777" w:rsidR="00863D50" w:rsidRPr="007B38F9" w:rsidRDefault="00863D50">
            <w:pPr>
              <w:jc w:val="right"/>
              <w:rPr>
                <w:rFonts w:ascii="Arial" w:hAnsi="Arial" w:cs="Arial"/>
                <w:sz w:val="18"/>
                <w:szCs w:val="18"/>
              </w:rPr>
            </w:pPr>
            <w:r w:rsidRPr="007B38F9">
              <w:rPr>
                <w:rFonts w:ascii="Arial" w:hAnsi="Arial" w:cs="Arial"/>
                <w:sz w:val="18"/>
                <w:szCs w:val="18"/>
              </w:rPr>
              <w:t>110.200,00</w:t>
            </w:r>
          </w:p>
        </w:tc>
      </w:tr>
      <w:tr w:rsidR="007B38F9" w:rsidRPr="007B38F9" w14:paraId="55BBBCE6" w14:textId="77777777" w:rsidTr="007B38F9">
        <w:trPr>
          <w:trHeight w:val="255"/>
        </w:trPr>
        <w:tc>
          <w:tcPr>
            <w:tcW w:w="4596" w:type="dxa"/>
            <w:gridSpan w:val="2"/>
            <w:shd w:val="clear" w:color="auto" w:fill="FFFFFF" w:themeFill="background1"/>
            <w:noWrap/>
            <w:vAlign w:val="bottom"/>
            <w:hideMark/>
          </w:tcPr>
          <w:p w14:paraId="7EB9A868"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4. PRIHODI ZA POSEBNE NAMJENE</w:t>
            </w:r>
          </w:p>
        </w:tc>
        <w:tc>
          <w:tcPr>
            <w:tcW w:w="1264" w:type="dxa"/>
            <w:shd w:val="clear" w:color="auto" w:fill="FFFFFF" w:themeFill="background1"/>
            <w:noWrap/>
            <w:vAlign w:val="bottom"/>
            <w:hideMark/>
          </w:tcPr>
          <w:p w14:paraId="337EA1E2"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77.750,00</w:t>
            </w:r>
          </w:p>
        </w:tc>
        <w:tc>
          <w:tcPr>
            <w:tcW w:w="0" w:type="auto"/>
            <w:shd w:val="clear" w:color="auto" w:fill="FFFFFF" w:themeFill="background1"/>
            <w:noWrap/>
            <w:vAlign w:val="bottom"/>
            <w:hideMark/>
          </w:tcPr>
          <w:p w14:paraId="1C151792"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0,00</w:t>
            </w:r>
          </w:p>
        </w:tc>
        <w:tc>
          <w:tcPr>
            <w:tcW w:w="0" w:type="auto"/>
            <w:shd w:val="clear" w:color="auto" w:fill="FFFFFF" w:themeFill="background1"/>
            <w:noWrap/>
            <w:vAlign w:val="bottom"/>
            <w:hideMark/>
          </w:tcPr>
          <w:p w14:paraId="703605EA"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0,00</w:t>
            </w:r>
          </w:p>
        </w:tc>
        <w:tc>
          <w:tcPr>
            <w:tcW w:w="1517" w:type="dxa"/>
            <w:shd w:val="clear" w:color="auto" w:fill="FFFFFF" w:themeFill="background1"/>
            <w:noWrap/>
            <w:vAlign w:val="bottom"/>
            <w:hideMark/>
          </w:tcPr>
          <w:p w14:paraId="638DE5F4"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77.750,00</w:t>
            </w:r>
          </w:p>
        </w:tc>
      </w:tr>
      <w:tr w:rsidR="007B38F9" w:rsidRPr="007B38F9" w14:paraId="3286EC25" w14:textId="77777777" w:rsidTr="007B38F9">
        <w:trPr>
          <w:trHeight w:val="255"/>
        </w:trPr>
        <w:tc>
          <w:tcPr>
            <w:tcW w:w="4596" w:type="dxa"/>
            <w:gridSpan w:val="2"/>
            <w:shd w:val="clear" w:color="auto" w:fill="FFFFFF" w:themeFill="background1"/>
            <w:noWrap/>
            <w:vAlign w:val="bottom"/>
            <w:hideMark/>
          </w:tcPr>
          <w:p w14:paraId="1E4A95AE"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4.9. PRIHODI ZA POSEBNE NAMJENE</w:t>
            </w:r>
          </w:p>
        </w:tc>
        <w:tc>
          <w:tcPr>
            <w:tcW w:w="1264" w:type="dxa"/>
            <w:shd w:val="clear" w:color="auto" w:fill="FFFFFF" w:themeFill="background1"/>
            <w:noWrap/>
            <w:vAlign w:val="bottom"/>
            <w:hideMark/>
          </w:tcPr>
          <w:p w14:paraId="2E5CEAAF"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77.750,00</w:t>
            </w:r>
          </w:p>
        </w:tc>
        <w:tc>
          <w:tcPr>
            <w:tcW w:w="0" w:type="auto"/>
            <w:shd w:val="clear" w:color="auto" w:fill="FFFFFF" w:themeFill="background1"/>
            <w:noWrap/>
            <w:vAlign w:val="bottom"/>
            <w:hideMark/>
          </w:tcPr>
          <w:p w14:paraId="3DA41770"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0,00</w:t>
            </w:r>
          </w:p>
        </w:tc>
        <w:tc>
          <w:tcPr>
            <w:tcW w:w="0" w:type="auto"/>
            <w:shd w:val="clear" w:color="auto" w:fill="FFFFFF" w:themeFill="background1"/>
            <w:noWrap/>
            <w:vAlign w:val="bottom"/>
            <w:hideMark/>
          </w:tcPr>
          <w:p w14:paraId="5B23F1B0"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0,00</w:t>
            </w:r>
          </w:p>
        </w:tc>
        <w:tc>
          <w:tcPr>
            <w:tcW w:w="1517" w:type="dxa"/>
            <w:shd w:val="clear" w:color="auto" w:fill="FFFFFF" w:themeFill="background1"/>
            <w:noWrap/>
            <w:vAlign w:val="bottom"/>
            <w:hideMark/>
          </w:tcPr>
          <w:p w14:paraId="0CFBCA27"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77.750,00</w:t>
            </w:r>
          </w:p>
        </w:tc>
      </w:tr>
      <w:tr w:rsidR="007B38F9" w:rsidRPr="007B38F9" w14:paraId="0B3EEC00" w14:textId="77777777" w:rsidTr="007B38F9">
        <w:trPr>
          <w:trHeight w:val="255"/>
        </w:trPr>
        <w:tc>
          <w:tcPr>
            <w:tcW w:w="0" w:type="auto"/>
            <w:shd w:val="clear" w:color="auto" w:fill="FFFFFF" w:themeFill="background1"/>
            <w:noWrap/>
            <w:vAlign w:val="bottom"/>
            <w:hideMark/>
          </w:tcPr>
          <w:p w14:paraId="7D1E2732" w14:textId="77777777" w:rsidR="00863D50" w:rsidRPr="007B38F9" w:rsidRDefault="00863D50">
            <w:pPr>
              <w:rPr>
                <w:rFonts w:ascii="Arial" w:hAnsi="Arial" w:cs="Arial"/>
                <w:b/>
                <w:bCs/>
                <w:sz w:val="18"/>
                <w:szCs w:val="18"/>
              </w:rPr>
            </w:pPr>
            <w:r w:rsidRPr="007B38F9">
              <w:rPr>
                <w:rFonts w:ascii="Arial" w:hAnsi="Arial" w:cs="Arial"/>
                <w:b/>
                <w:bCs/>
                <w:sz w:val="18"/>
                <w:szCs w:val="18"/>
              </w:rPr>
              <w:t>3</w:t>
            </w:r>
          </w:p>
        </w:tc>
        <w:tc>
          <w:tcPr>
            <w:tcW w:w="3853" w:type="dxa"/>
            <w:shd w:val="clear" w:color="auto" w:fill="FFFFFF" w:themeFill="background1"/>
            <w:noWrap/>
            <w:vAlign w:val="bottom"/>
            <w:hideMark/>
          </w:tcPr>
          <w:p w14:paraId="08D2AE9D" w14:textId="77777777" w:rsidR="00863D50" w:rsidRPr="007B38F9" w:rsidRDefault="00863D50">
            <w:pPr>
              <w:rPr>
                <w:rFonts w:ascii="Arial" w:hAnsi="Arial" w:cs="Arial"/>
                <w:b/>
                <w:bCs/>
                <w:sz w:val="18"/>
                <w:szCs w:val="18"/>
              </w:rPr>
            </w:pPr>
            <w:r w:rsidRPr="007B38F9">
              <w:rPr>
                <w:rFonts w:ascii="Arial" w:hAnsi="Arial" w:cs="Arial"/>
                <w:b/>
                <w:bCs/>
                <w:sz w:val="18"/>
                <w:szCs w:val="18"/>
              </w:rPr>
              <w:t>Rashodi poslovanja</w:t>
            </w:r>
          </w:p>
        </w:tc>
        <w:tc>
          <w:tcPr>
            <w:tcW w:w="1264" w:type="dxa"/>
            <w:shd w:val="clear" w:color="auto" w:fill="FFFFFF" w:themeFill="background1"/>
            <w:noWrap/>
            <w:vAlign w:val="bottom"/>
            <w:hideMark/>
          </w:tcPr>
          <w:p w14:paraId="158183D8"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77.250,00</w:t>
            </w:r>
          </w:p>
        </w:tc>
        <w:tc>
          <w:tcPr>
            <w:tcW w:w="0" w:type="auto"/>
            <w:shd w:val="clear" w:color="auto" w:fill="FFFFFF" w:themeFill="background1"/>
            <w:noWrap/>
            <w:vAlign w:val="bottom"/>
            <w:hideMark/>
          </w:tcPr>
          <w:p w14:paraId="24ABC1E6"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0,00</w:t>
            </w:r>
          </w:p>
        </w:tc>
        <w:tc>
          <w:tcPr>
            <w:tcW w:w="0" w:type="auto"/>
            <w:shd w:val="clear" w:color="auto" w:fill="FFFFFF" w:themeFill="background1"/>
            <w:noWrap/>
            <w:vAlign w:val="bottom"/>
            <w:hideMark/>
          </w:tcPr>
          <w:p w14:paraId="6C3A5285"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0,00</w:t>
            </w:r>
          </w:p>
        </w:tc>
        <w:tc>
          <w:tcPr>
            <w:tcW w:w="1517" w:type="dxa"/>
            <w:shd w:val="clear" w:color="auto" w:fill="FFFFFF" w:themeFill="background1"/>
            <w:noWrap/>
            <w:vAlign w:val="bottom"/>
            <w:hideMark/>
          </w:tcPr>
          <w:p w14:paraId="147C9A7A"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77.250,00</w:t>
            </w:r>
          </w:p>
        </w:tc>
      </w:tr>
      <w:tr w:rsidR="007B38F9" w:rsidRPr="007B38F9" w14:paraId="2849D6E1" w14:textId="77777777" w:rsidTr="007B38F9">
        <w:trPr>
          <w:trHeight w:val="255"/>
        </w:trPr>
        <w:tc>
          <w:tcPr>
            <w:tcW w:w="0" w:type="auto"/>
            <w:shd w:val="clear" w:color="auto" w:fill="FFFFFF" w:themeFill="background1"/>
            <w:noWrap/>
            <w:vAlign w:val="bottom"/>
            <w:hideMark/>
          </w:tcPr>
          <w:p w14:paraId="07F07FE4" w14:textId="77777777" w:rsidR="00863D50" w:rsidRPr="007B38F9" w:rsidRDefault="00863D50">
            <w:pPr>
              <w:rPr>
                <w:rFonts w:ascii="Arial" w:hAnsi="Arial" w:cs="Arial"/>
                <w:sz w:val="18"/>
                <w:szCs w:val="18"/>
              </w:rPr>
            </w:pPr>
            <w:r w:rsidRPr="007B38F9">
              <w:rPr>
                <w:rFonts w:ascii="Arial" w:hAnsi="Arial" w:cs="Arial"/>
                <w:sz w:val="18"/>
                <w:szCs w:val="18"/>
              </w:rPr>
              <w:t>31</w:t>
            </w:r>
          </w:p>
        </w:tc>
        <w:tc>
          <w:tcPr>
            <w:tcW w:w="3853" w:type="dxa"/>
            <w:shd w:val="clear" w:color="auto" w:fill="FFFFFF" w:themeFill="background1"/>
            <w:noWrap/>
            <w:vAlign w:val="bottom"/>
            <w:hideMark/>
          </w:tcPr>
          <w:p w14:paraId="3066F0AC" w14:textId="77777777" w:rsidR="00863D50" w:rsidRPr="007B38F9" w:rsidRDefault="00863D50">
            <w:pPr>
              <w:rPr>
                <w:rFonts w:ascii="Arial" w:hAnsi="Arial" w:cs="Arial"/>
                <w:sz w:val="18"/>
                <w:szCs w:val="18"/>
              </w:rPr>
            </w:pPr>
            <w:r w:rsidRPr="007B38F9">
              <w:rPr>
                <w:rFonts w:ascii="Arial" w:hAnsi="Arial" w:cs="Arial"/>
                <w:sz w:val="18"/>
                <w:szCs w:val="18"/>
              </w:rPr>
              <w:t>Rashodi za zaposlene</w:t>
            </w:r>
          </w:p>
        </w:tc>
        <w:tc>
          <w:tcPr>
            <w:tcW w:w="1264" w:type="dxa"/>
            <w:shd w:val="clear" w:color="auto" w:fill="FFFFFF" w:themeFill="background1"/>
            <w:noWrap/>
            <w:vAlign w:val="bottom"/>
            <w:hideMark/>
          </w:tcPr>
          <w:p w14:paraId="782BBBB7" w14:textId="77777777" w:rsidR="00863D50" w:rsidRPr="007B38F9" w:rsidRDefault="00863D50">
            <w:pPr>
              <w:jc w:val="right"/>
              <w:rPr>
                <w:rFonts w:ascii="Arial" w:hAnsi="Arial" w:cs="Arial"/>
                <w:sz w:val="18"/>
                <w:szCs w:val="18"/>
              </w:rPr>
            </w:pPr>
            <w:r w:rsidRPr="007B38F9">
              <w:rPr>
                <w:rFonts w:ascii="Arial" w:hAnsi="Arial" w:cs="Arial"/>
                <w:sz w:val="18"/>
                <w:szCs w:val="18"/>
              </w:rPr>
              <w:t>19.250,00</w:t>
            </w:r>
          </w:p>
        </w:tc>
        <w:tc>
          <w:tcPr>
            <w:tcW w:w="0" w:type="auto"/>
            <w:shd w:val="clear" w:color="auto" w:fill="FFFFFF" w:themeFill="background1"/>
            <w:noWrap/>
            <w:vAlign w:val="bottom"/>
            <w:hideMark/>
          </w:tcPr>
          <w:p w14:paraId="40CD5564" w14:textId="77777777" w:rsidR="00863D50" w:rsidRPr="007B38F9" w:rsidRDefault="00863D50">
            <w:pPr>
              <w:jc w:val="right"/>
              <w:rPr>
                <w:rFonts w:ascii="Arial" w:hAnsi="Arial" w:cs="Arial"/>
                <w:sz w:val="18"/>
                <w:szCs w:val="18"/>
              </w:rPr>
            </w:pPr>
            <w:r w:rsidRPr="007B38F9">
              <w:rPr>
                <w:rFonts w:ascii="Arial" w:hAnsi="Arial" w:cs="Arial"/>
                <w:sz w:val="18"/>
                <w:szCs w:val="18"/>
              </w:rPr>
              <w:t>7.250,00</w:t>
            </w:r>
          </w:p>
        </w:tc>
        <w:tc>
          <w:tcPr>
            <w:tcW w:w="0" w:type="auto"/>
            <w:shd w:val="clear" w:color="auto" w:fill="FFFFFF" w:themeFill="background1"/>
            <w:noWrap/>
            <w:vAlign w:val="bottom"/>
            <w:hideMark/>
          </w:tcPr>
          <w:p w14:paraId="2051A530" w14:textId="77777777" w:rsidR="00863D50" w:rsidRPr="007B38F9" w:rsidRDefault="00863D50">
            <w:pPr>
              <w:jc w:val="right"/>
              <w:rPr>
                <w:rFonts w:ascii="Arial" w:hAnsi="Arial" w:cs="Arial"/>
                <w:sz w:val="18"/>
                <w:szCs w:val="18"/>
              </w:rPr>
            </w:pPr>
            <w:r w:rsidRPr="007B38F9">
              <w:rPr>
                <w:rFonts w:ascii="Arial" w:hAnsi="Arial" w:cs="Arial"/>
                <w:sz w:val="18"/>
                <w:szCs w:val="18"/>
              </w:rPr>
              <w:t>37,66</w:t>
            </w:r>
          </w:p>
        </w:tc>
        <w:tc>
          <w:tcPr>
            <w:tcW w:w="1517" w:type="dxa"/>
            <w:shd w:val="clear" w:color="auto" w:fill="FFFFFF" w:themeFill="background1"/>
            <w:noWrap/>
            <w:vAlign w:val="bottom"/>
            <w:hideMark/>
          </w:tcPr>
          <w:p w14:paraId="773ADD54" w14:textId="77777777" w:rsidR="00863D50" w:rsidRPr="007B38F9" w:rsidRDefault="00863D50">
            <w:pPr>
              <w:jc w:val="right"/>
              <w:rPr>
                <w:rFonts w:ascii="Arial" w:hAnsi="Arial" w:cs="Arial"/>
                <w:sz w:val="18"/>
                <w:szCs w:val="18"/>
              </w:rPr>
            </w:pPr>
            <w:r w:rsidRPr="007B38F9">
              <w:rPr>
                <w:rFonts w:ascii="Arial" w:hAnsi="Arial" w:cs="Arial"/>
                <w:sz w:val="18"/>
                <w:szCs w:val="18"/>
              </w:rPr>
              <w:t>26.500,00</w:t>
            </w:r>
          </w:p>
        </w:tc>
      </w:tr>
      <w:tr w:rsidR="007B38F9" w:rsidRPr="007B38F9" w14:paraId="29E45ABB" w14:textId="77777777" w:rsidTr="007B38F9">
        <w:trPr>
          <w:trHeight w:val="255"/>
        </w:trPr>
        <w:tc>
          <w:tcPr>
            <w:tcW w:w="0" w:type="auto"/>
            <w:shd w:val="clear" w:color="auto" w:fill="FFFFFF" w:themeFill="background1"/>
            <w:noWrap/>
            <w:vAlign w:val="bottom"/>
            <w:hideMark/>
          </w:tcPr>
          <w:p w14:paraId="33C536DA" w14:textId="77777777" w:rsidR="00863D50" w:rsidRPr="007B38F9" w:rsidRDefault="00863D50">
            <w:pPr>
              <w:rPr>
                <w:rFonts w:ascii="Arial" w:hAnsi="Arial" w:cs="Arial"/>
                <w:sz w:val="18"/>
                <w:szCs w:val="18"/>
              </w:rPr>
            </w:pPr>
            <w:r w:rsidRPr="007B38F9">
              <w:rPr>
                <w:rFonts w:ascii="Arial" w:hAnsi="Arial" w:cs="Arial"/>
                <w:sz w:val="18"/>
                <w:szCs w:val="18"/>
              </w:rPr>
              <w:t>32</w:t>
            </w:r>
          </w:p>
        </w:tc>
        <w:tc>
          <w:tcPr>
            <w:tcW w:w="3853" w:type="dxa"/>
            <w:shd w:val="clear" w:color="auto" w:fill="FFFFFF" w:themeFill="background1"/>
            <w:noWrap/>
            <w:vAlign w:val="bottom"/>
            <w:hideMark/>
          </w:tcPr>
          <w:p w14:paraId="2FD61D1E" w14:textId="77777777" w:rsidR="00863D50" w:rsidRPr="007B38F9" w:rsidRDefault="00863D50">
            <w:pPr>
              <w:rPr>
                <w:rFonts w:ascii="Arial" w:hAnsi="Arial" w:cs="Arial"/>
                <w:sz w:val="18"/>
                <w:szCs w:val="18"/>
              </w:rPr>
            </w:pPr>
            <w:r w:rsidRPr="007B38F9">
              <w:rPr>
                <w:rFonts w:ascii="Arial" w:hAnsi="Arial" w:cs="Arial"/>
                <w:sz w:val="18"/>
                <w:szCs w:val="18"/>
              </w:rPr>
              <w:t>Materijalni rashodi</w:t>
            </w:r>
          </w:p>
        </w:tc>
        <w:tc>
          <w:tcPr>
            <w:tcW w:w="1264" w:type="dxa"/>
            <w:shd w:val="clear" w:color="auto" w:fill="FFFFFF" w:themeFill="background1"/>
            <w:noWrap/>
            <w:vAlign w:val="bottom"/>
            <w:hideMark/>
          </w:tcPr>
          <w:p w14:paraId="4427CC28" w14:textId="77777777" w:rsidR="00863D50" w:rsidRPr="007B38F9" w:rsidRDefault="00863D50">
            <w:pPr>
              <w:jc w:val="right"/>
              <w:rPr>
                <w:rFonts w:ascii="Arial" w:hAnsi="Arial" w:cs="Arial"/>
                <w:sz w:val="18"/>
                <w:szCs w:val="18"/>
              </w:rPr>
            </w:pPr>
            <w:r w:rsidRPr="007B38F9">
              <w:rPr>
                <w:rFonts w:ascii="Arial" w:hAnsi="Arial" w:cs="Arial"/>
                <w:sz w:val="18"/>
                <w:szCs w:val="18"/>
              </w:rPr>
              <w:t>58.000,00</w:t>
            </w:r>
          </w:p>
        </w:tc>
        <w:tc>
          <w:tcPr>
            <w:tcW w:w="0" w:type="auto"/>
            <w:shd w:val="clear" w:color="auto" w:fill="FFFFFF" w:themeFill="background1"/>
            <w:noWrap/>
            <w:vAlign w:val="bottom"/>
            <w:hideMark/>
          </w:tcPr>
          <w:p w14:paraId="45D00694" w14:textId="77777777" w:rsidR="00863D50" w:rsidRPr="007B38F9" w:rsidRDefault="00863D50">
            <w:pPr>
              <w:jc w:val="right"/>
              <w:rPr>
                <w:rFonts w:ascii="Arial" w:hAnsi="Arial" w:cs="Arial"/>
                <w:sz w:val="18"/>
                <w:szCs w:val="18"/>
              </w:rPr>
            </w:pPr>
            <w:r w:rsidRPr="007B38F9">
              <w:rPr>
                <w:rFonts w:ascii="Arial" w:hAnsi="Arial" w:cs="Arial"/>
                <w:sz w:val="18"/>
                <w:szCs w:val="18"/>
              </w:rPr>
              <w:t>-7.250,00</w:t>
            </w:r>
          </w:p>
        </w:tc>
        <w:tc>
          <w:tcPr>
            <w:tcW w:w="0" w:type="auto"/>
            <w:shd w:val="clear" w:color="auto" w:fill="FFFFFF" w:themeFill="background1"/>
            <w:noWrap/>
            <w:vAlign w:val="bottom"/>
            <w:hideMark/>
          </w:tcPr>
          <w:p w14:paraId="589932C2" w14:textId="77777777" w:rsidR="00863D50" w:rsidRPr="007B38F9" w:rsidRDefault="00863D50">
            <w:pPr>
              <w:jc w:val="right"/>
              <w:rPr>
                <w:rFonts w:ascii="Arial" w:hAnsi="Arial" w:cs="Arial"/>
                <w:sz w:val="18"/>
                <w:szCs w:val="18"/>
              </w:rPr>
            </w:pPr>
            <w:r w:rsidRPr="007B38F9">
              <w:rPr>
                <w:rFonts w:ascii="Arial" w:hAnsi="Arial" w:cs="Arial"/>
                <w:sz w:val="18"/>
                <w:szCs w:val="18"/>
              </w:rPr>
              <w:t>-12,50</w:t>
            </w:r>
          </w:p>
        </w:tc>
        <w:tc>
          <w:tcPr>
            <w:tcW w:w="1517" w:type="dxa"/>
            <w:shd w:val="clear" w:color="auto" w:fill="FFFFFF" w:themeFill="background1"/>
            <w:noWrap/>
            <w:vAlign w:val="bottom"/>
            <w:hideMark/>
          </w:tcPr>
          <w:p w14:paraId="083D11E6" w14:textId="77777777" w:rsidR="00863D50" w:rsidRPr="007B38F9" w:rsidRDefault="00863D50">
            <w:pPr>
              <w:jc w:val="right"/>
              <w:rPr>
                <w:rFonts w:ascii="Arial" w:hAnsi="Arial" w:cs="Arial"/>
                <w:sz w:val="18"/>
                <w:szCs w:val="18"/>
              </w:rPr>
            </w:pPr>
            <w:r w:rsidRPr="007B38F9">
              <w:rPr>
                <w:rFonts w:ascii="Arial" w:hAnsi="Arial" w:cs="Arial"/>
                <w:sz w:val="18"/>
                <w:szCs w:val="18"/>
              </w:rPr>
              <w:t>50.750,00</w:t>
            </w:r>
          </w:p>
        </w:tc>
      </w:tr>
      <w:tr w:rsidR="007B38F9" w:rsidRPr="007B38F9" w14:paraId="09509930" w14:textId="77777777" w:rsidTr="007B38F9">
        <w:trPr>
          <w:trHeight w:val="255"/>
        </w:trPr>
        <w:tc>
          <w:tcPr>
            <w:tcW w:w="0" w:type="auto"/>
            <w:shd w:val="clear" w:color="auto" w:fill="FFFFFF" w:themeFill="background1"/>
            <w:noWrap/>
            <w:vAlign w:val="bottom"/>
            <w:hideMark/>
          </w:tcPr>
          <w:p w14:paraId="387977EC" w14:textId="77777777" w:rsidR="00863D50" w:rsidRPr="007B38F9" w:rsidRDefault="00863D50">
            <w:pPr>
              <w:rPr>
                <w:rFonts w:ascii="Arial" w:hAnsi="Arial" w:cs="Arial"/>
                <w:b/>
                <w:bCs/>
                <w:sz w:val="18"/>
                <w:szCs w:val="18"/>
              </w:rPr>
            </w:pPr>
            <w:r w:rsidRPr="007B38F9">
              <w:rPr>
                <w:rFonts w:ascii="Arial" w:hAnsi="Arial" w:cs="Arial"/>
                <w:b/>
                <w:bCs/>
                <w:sz w:val="18"/>
                <w:szCs w:val="18"/>
              </w:rPr>
              <w:t>4</w:t>
            </w:r>
          </w:p>
        </w:tc>
        <w:tc>
          <w:tcPr>
            <w:tcW w:w="3853" w:type="dxa"/>
            <w:shd w:val="clear" w:color="auto" w:fill="FFFFFF" w:themeFill="background1"/>
            <w:noWrap/>
            <w:vAlign w:val="bottom"/>
            <w:hideMark/>
          </w:tcPr>
          <w:p w14:paraId="26FA7739" w14:textId="77777777" w:rsidR="00863D50" w:rsidRPr="007B38F9" w:rsidRDefault="00863D50">
            <w:pPr>
              <w:rPr>
                <w:rFonts w:ascii="Arial" w:hAnsi="Arial" w:cs="Arial"/>
                <w:b/>
                <w:bCs/>
                <w:sz w:val="18"/>
                <w:szCs w:val="18"/>
              </w:rPr>
            </w:pPr>
            <w:r w:rsidRPr="007B38F9">
              <w:rPr>
                <w:rFonts w:ascii="Arial" w:hAnsi="Arial" w:cs="Arial"/>
                <w:b/>
                <w:bCs/>
                <w:sz w:val="18"/>
                <w:szCs w:val="18"/>
              </w:rPr>
              <w:t>Rashodi za nabavu nefinancijske imovine</w:t>
            </w:r>
          </w:p>
        </w:tc>
        <w:tc>
          <w:tcPr>
            <w:tcW w:w="1264" w:type="dxa"/>
            <w:shd w:val="clear" w:color="auto" w:fill="FFFFFF" w:themeFill="background1"/>
            <w:noWrap/>
            <w:vAlign w:val="bottom"/>
            <w:hideMark/>
          </w:tcPr>
          <w:p w14:paraId="71BC7B0E"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500,00</w:t>
            </w:r>
          </w:p>
        </w:tc>
        <w:tc>
          <w:tcPr>
            <w:tcW w:w="0" w:type="auto"/>
            <w:shd w:val="clear" w:color="auto" w:fill="FFFFFF" w:themeFill="background1"/>
            <w:noWrap/>
            <w:vAlign w:val="bottom"/>
            <w:hideMark/>
          </w:tcPr>
          <w:p w14:paraId="66C9AE83"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0,00</w:t>
            </w:r>
          </w:p>
        </w:tc>
        <w:tc>
          <w:tcPr>
            <w:tcW w:w="0" w:type="auto"/>
            <w:shd w:val="clear" w:color="auto" w:fill="FFFFFF" w:themeFill="background1"/>
            <w:noWrap/>
            <w:vAlign w:val="bottom"/>
            <w:hideMark/>
          </w:tcPr>
          <w:p w14:paraId="6238BD1E"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0,00</w:t>
            </w:r>
          </w:p>
        </w:tc>
        <w:tc>
          <w:tcPr>
            <w:tcW w:w="1517" w:type="dxa"/>
            <w:shd w:val="clear" w:color="auto" w:fill="FFFFFF" w:themeFill="background1"/>
            <w:noWrap/>
            <w:vAlign w:val="bottom"/>
            <w:hideMark/>
          </w:tcPr>
          <w:p w14:paraId="35BC0675"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500,00</w:t>
            </w:r>
          </w:p>
        </w:tc>
      </w:tr>
      <w:tr w:rsidR="007B38F9" w:rsidRPr="007B38F9" w14:paraId="5DF1B8EB" w14:textId="77777777" w:rsidTr="007B38F9">
        <w:trPr>
          <w:trHeight w:val="255"/>
        </w:trPr>
        <w:tc>
          <w:tcPr>
            <w:tcW w:w="0" w:type="auto"/>
            <w:shd w:val="clear" w:color="auto" w:fill="FFFFFF" w:themeFill="background1"/>
            <w:noWrap/>
            <w:vAlign w:val="bottom"/>
            <w:hideMark/>
          </w:tcPr>
          <w:p w14:paraId="74118261" w14:textId="77777777" w:rsidR="00863D50" w:rsidRPr="007B38F9" w:rsidRDefault="00863D50">
            <w:pPr>
              <w:rPr>
                <w:rFonts w:ascii="Arial" w:hAnsi="Arial" w:cs="Arial"/>
                <w:sz w:val="18"/>
                <w:szCs w:val="18"/>
              </w:rPr>
            </w:pPr>
            <w:r w:rsidRPr="007B38F9">
              <w:rPr>
                <w:rFonts w:ascii="Arial" w:hAnsi="Arial" w:cs="Arial"/>
                <w:sz w:val="18"/>
                <w:szCs w:val="18"/>
              </w:rPr>
              <w:t>42</w:t>
            </w:r>
          </w:p>
        </w:tc>
        <w:tc>
          <w:tcPr>
            <w:tcW w:w="3853" w:type="dxa"/>
            <w:shd w:val="clear" w:color="auto" w:fill="FFFFFF" w:themeFill="background1"/>
            <w:noWrap/>
            <w:vAlign w:val="bottom"/>
            <w:hideMark/>
          </w:tcPr>
          <w:p w14:paraId="5EC3A910" w14:textId="77777777" w:rsidR="00863D50" w:rsidRPr="007B38F9" w:rsidRDefault="00863D50">
            <w:pPr>
              <w:rPr>
                <w:rFonts w:ascii="Arial" w:hAnsi="Arial" w:cs="Arial"/>
                <w:sz w:val="18"/>
                <w:szCs w:val="18"/>
              </w:rPr>
            </w:pPr>
            <w:r w:rsidRPr="007B38F9">
              <w:rPr>
                <w:rFonts w:ascii="Arial" w:hAnsi="Arial" w:cs="Arial"/>
                <w:sz w:val="18"/>
                <w:szCs w:val="18"/>
              </w:rPr>
              <w:t>Rashodi za nabavu proizvedene dugotrajne imovine</w:t>
            </w:r>
          </w:p>
        </w:tc>
        <w:tc>
          <w:tcPr>
            <w:tcW w:w="1264" w:type="dxa"/>
            <w:shd w:val="clear" w:color="auto" w:fill="FFFFFF" w:themeFill="background1"/>
            <w:noWrap/>
            <w:vAlign w:val="bottom"/>
            <w:hideMark/>
          </w:tcPr>
          <w:p w14:paraId="1339C553" w14:textId="77777777" w:rsidR="00863D50" w:rsidRPr="007B38F9" w:rsidRDefault="00863D50">
            <w:pPr>
              <w:jc w:val="right"/>
              <w:rPr>
                <w:rFonts w:ascii="Arial" w:hAnsi="Arial" w:cs="Arial"/>
                <w:sz w:val="18"/>
                <w:szCs w:val="18"/>
              </w:rPr>
            </w:pPr>
            <w:r w:rsidRPr="007B38F9">
              <w:rPr>
                <w:rFonts w:ascii="Arial" w:hAnsi="Arial" w:cs="Arial"/>
                <w:sz w:val="18"/>
                <w:szCs w:val="18"/>
              </w:rPr>
              <w:t>500,00</w:t>
            </w:r>
          </w:p>
        </w:tc>
        <w:tc>
          <w:tcPr>
            <w:tcW w:w="0" w:type="auto"/>
            <w:shd w:val="clear" w:color="auto" w:fill="FFFFFF" w:themeFill="background1"/>
            <w:noWrap/>
            <w:vAlign w:val="bottom"/>
            <w:hideMark/>
          </w:tcPr>
          <w:p w14:paraId="2A53B3F5" w14:textId="77777777" w:rsidR="00863D50" w:rsidRPr="007B38F9" w:rsidRDefault="00863D50">
            <w:pPr>
              <w:jc w:val="right"/>
              <w:rPr>
                <w:rFonts w:ascii="Arial" w:hAnsi="Arial" w:cs="Arial"/>
                <w:sz w:val="18"/>
                <w:szCs w:val="18"/>
              </w:rPr>
            </w:pPr>
            <w:r w:rsidRPr="007B38F9">
              <w:rPr>
                <w:rFonts w:ascii="Arial" w:hAnsi="Arial" w:cs="Arial"/>
                <w:sz w:val="18"/>
                <w:szCs w:val="18"/>
              </w:rPr>
              <w:t>0,00</w:t>
            </w:r>
          </w:p>
        </w:tc>
        <w:tc>
          <w:tcPr>
            <w:tcW w:w="0" w:type="auto"/>
            <w:shd w:val="clear" w:color="auto" w:fill="FFFFFF" w:themeFill="background1"/>
            <w:noWrap/>
            <w:vAlign w:val="bottom"/>
            <w:hideMark/>
          </w:tcPr>
          <w:p w14:paraId="682B7752" w14:textId="77777777" w:rsidR="00863D50" w:rsidRPr="007B38F9" w:rsidRDefault="00863D50">
            <w:pPr>
              <w:jc w:val="right"/>
              <w:rPr>
                <w:rFonts w:ascii="Arial" w:hAnsi="Arial" w:cs="Arial"/>
                <w:sz w:val="18"/>
                <w:szCs w:val="18"/>
              </w:rPr>
            </w:pPr>
            <w:r w:rsidRPr="007B38F9">
              <w:rPr>
                <w:rFonts w:ascii="Arial" w:hAnsi="Arial" w:cs="Arial"/>
                <w:sz w:val="18"/>
                <w:szCs w:val="18"/>
              </w:rPr>
              <w:t>0,00</w:t>
            </w:r>
          </w:p>
        </w:tc>
        <w:tc>
          <w:tcPr>
            <w:tcW w:w="1517" w:type="dxa"/>
            <w:shd w:val="clear" w:color="auto" w:fill="FFFFFF" w:themeFill="background1"/>
            <w:noWrap/>
            <w:vAlign w:val="bottom"/>
            <w:hideMark/>
          </w:tcPr>
          <w:p w14:paraId="668D8344" w14:textId="77777777" w:rsidR="00863D50" w:rsidRPr="007B38F9" w:rsidRDefault="00863D50">
            <w:pPr>
              <w:jc w:val="right"/>
              <w:rPr>
                <w:rFonts w:ascii="Arial" w:hAnsi="Arial" w:cs="Arial"/>
                <w:sz w:val="18"/>
                <w:szCs w:val="18"/>
              </w:rPr>
            </w:pPr>
            <w:r w:rsidRPr="007B38F9">
              <w:rPr>
                <w:rFonts w:ascii="Arial" w:hAnsi="Arial" w:cs="Arial"/>
                <w:sz w:val="18"/>
                <w:szCs w:val="18"/>
              </w:rPr>
              <w:t>500,00</w:t>
            </w:r>
          </w:p>
        </w:tc>
      </w:tr>
      <w:tr w:rsidR="007B38F9" w:rsidRPr="007B38F9" w14:paraId="5E2DEF02" w14:textId="77777777" w:rsidTr="007B38F9">
        <w:trPr>
          <w:trHeight w:val="255"/>
        </w:trPr>
        <w:tc>
          <w:tcPr>
            <w:tcW w:w="4596" w:type="dxa"/>
            <w:gridSpan w:val="2"/>
            <w:shd w:val="clear" w:color="auto" w:fill="FFFFFF" w:themeFill="background1"/>
            <w:noWrap/>
            <w:vAlign w:val="bottom"/>
            <w:hideMark/>
          </w:tcPr>
          <w:p w14:paraId="1D4FFAD2"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lastRenderedPageBreak/>
              <w:t>Izvor  5. POMOĆI</w:t>
            </w:r>
          </w:p>
        </w:tc>
        <w:tc>
          <w:tcPr>
            <w:tcW w:w="1264" w:type="dxa"/>
            <w:shd w:val="clear" w:color="auto" w:fill="FFFFFF" w:themeFill="background1"/>
            <w:noWrap/>
            <w:vAlign w:val="bottom"/>
            <w:hideMark/>
          </w:tcPr>
          <w:p w14:paraId="20560FE6"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17.500,00</w:t>
            </w:r>
          </w:p>
        </w:tc>
        <w:tc>
          <w:tcPr>
            <w:tcW w:w="0" w:type="auto"/>
            <w:shd w:val="clear" w:color="auto" w:fill="FFFFFF" w:themeFill="background1"/>
            <w:noWrap/>
            <w:vAlign w:val="bottom"/>
            <w:hideMark/>
          </w:tcPr>
          <w:p w14:paraId="20ACBA95"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0,00</w:t>
            </w:r>
          </w:p>
        </w:tc>
        <w:tc>
          <w:tcPr>
            <w:tcW w:w="0" w:type="auto"/>
            <w:shd w:val="clear" w:color="auto" w:fill="FFFFFF" w:themeFill="background1"/>
            <w:noWrap/>
            <w:vAlign w:val="bottom"/>
            <w:hideMark/>
          </w:tcPr>
          <w:p w14:paraId="1D7E994F"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0,00</w:t>
            </w:r>
          </w:p>
        </w:tc>
        <w:tc>
          <w:tcPr>
            <w:tcW w:w="1517" w:type="dxa"/>
            <w:shd w:val="clear" w:color="auto" w:fill="FFFFFF" w:themeFill="background1"/>
            <w:noWrap/>
            <w:vAlign w:val="bottom"/>
            <w:hideMark/>
          </w:tcPr>
          <w:p w14:paraId="1CCC2180"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17.500,00</w:t>
            </w:r>
          </w:p>
        </w:tc>
      </w:tr>
      <w:tr w:rsidR="007B38F9" w:rsidRPr="007B38F9" w14:paraId="16B38FB7" w14:textId="77777777" w:rsidTr="007B38F9">
        <w:trPr>
          <w:trHeight w:val="255"/>
        </w:trPr>
        <w:tc>
          <w:tcPr>
            <w:tcW w:w="4596" w:type="dxa"/>
            <w:gridSpan w:val="2"/>
            <w:shd w:val="clear" w:color="auto" w:fill="FFFFFF" w:themeFill="background1"/>
            <w:noWrap/>
            <w:vAlign w:val="bottom"/>
            <w:hideMark/>
          </w:tcPr>
          <w:p w14:paraId="233712D2"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5.9. POMOĆI-PRIHODI KORISNIKA-GL 02</w:t>
            </w:r>
          </w:p>
        </w:tc>
        <w:tc>
          <w:tcPr>
            <w:tcW w:w="1264" w:type="dxa"/>
            <w:shd w:val="clear" w:color="auto" w:fill="FFFFFF" w:themeFill="background1"/>
            <w:noWrap/>
            <w:vAlign w:val="bottom"/>
            <w:hideMark/>
          </w:tcPr>
          <w:p w14:paraId="12D9B5C5"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17.500,00</w:t>
            </w:r>
          </w:p>
        </w:tc>
        <w:tc>
          <w:tcPr>
            <w:tcW w:w="0" w:type="auto"/>
            <w:shd w:val="clear" w:color="auto" w:fill="FFFFFF" w:themeFill="background1"/>
            <w:noWrap/>
            <w:vAlign w:val="bottom"/>
            <w:hideMark/>
          </w:tcPr>
          <w:p w14:paraId="451EF1E0"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0,00</w:t>
            </w:r>
          </w:p>
        </w:tc>
        <w:tc>
          <w:tcPr>
            <w:tcW w:w="0" w:type="auto"/>
            <w:shd w:val="clear" w:color="auto" w:fill="FFFFFF" w:themeFill="background1"/>
            <w:noWrap/>
            <w:vAlign w:val="bottom"/>
            <w:hideMark/>
          </w:tcPr>
          <w:p w14:paraId="4F31F7C4"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0,00</w:t>
            </w:r>
          </w:p>
        </w:tc>
        <w:tc>
          <w:tcPr>
            <w:tcW w:w="1517" w:type="dxa"/>
            <w:shd w:val="clear" w:color="auto" w:fill="FFFFFF" w:themeFill="background1"/>
            <w:noWrap/>
            <w:vAlign w:val="bottom"/>
            <w:hideMark/>
          </w:tcPr>
          <w:p w14:paraId="4AFAE86E"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17.500,00</w:t>
            </w:r>
          </w:p>
        </w:tc>
      </w:tr>
      <w:tr w:rsidR="007B38F9" w:rsidRPr="007B38F9" w14:paraId="34DEB7F5" w14:textId="77777777" w:rsidTr="007B38F9">
        <w:trPr>
          <w:trHeight w:val="255"/>
        </w:trPr>
        <w:tc>
          <w:tcPr>
            <w:tcW w:w="0" w:type="auto"/>
            <w:shd w:val="clear" w:color="auto" w:fill="FFFFFF" w:themeFill="background1"/>
            <w:noWrap/>
            <w:vAlign w:val="bottom"/>
            <w:hideMark/>
          </w:tcPr>
          <w:p w14:paraId="019D2B76" w14:textId="77777777" w:rsidR="00863D50" w:rsidRPr="007B38F9" w:rsidRDefault="00863D50">
            <w:pPr>
              <w:rPr>
                <w:rFonts w:ascii="Arial" w:hAnsi="Arial" w:cs="Arial"/>
                <w:b/>
                <w:bCs/>
                <w:sz w:val="18"/>
                <w:szCs w:val="18"/>
              </w:rPr>
            </w:pPr>
            <w:r w:rsidRPr="007B38F9">
              <w:rPr>
                <w:rFonts w:ascii="Arial" w:hAnsi="Arial" w:cs="Arial"/>
                <w:b/>
                <w:bCs/>
                <w:sz w:val="18"/>
                <w:szCs w:val="18"/>
              </w:rPr>
              <w:t>3</w:t>
            </w:r>
          </w:p>
        </w:tc>
        <w:tc>
          <w:tcPr>
            <w:tcW w:w="3853" w:type="dxa"/>
            <w:shd w:val="clear" w:color="auto" w:fill="FFFFFF" w:themeFill="background1"/>
            <w:noWrap/>
            <w:vAlign w:val="bottom"/>
            <w:hideMark/>
          </w:tcPr>
          <w:p w14:paraId="05990864" w14:textId="77777777" w:rsidR="00863D50" w:rsidRPr="007B38F9" w:rsidRDefault="00863D50">
            <w:pPr>
              <w:rPr>
                <w:rFonts w:ascii="Arial" w:hAnsi="Arial" w:cs="Arial"/>
                <w:b/>
                <w:bCs/>
                <w:sz w:val="18"/>
                <w:szCs w:val="18"/>
              </w:rPr>
            </w:pPr>
            <w:r w:rsidRPr="007B38F9">
              <w:rPr>
                <w:rFonts w:ascii="Arial" w:hAnsi="Arial" w:cs="Arial"/>
                <w:b/>
                <w:bCs/>
                <w:sz w:val="18"/>
                <w:szCs w:val="18"/>
              </w:rPr>
              <w:t>Rashodi poslovanja</w:t>
            </w:r>
          </w:p>
        </w:tc>
        <w:tc>
          <w:tcPr>
            <w:tcW w:w="1264" w:type="dxa"/>
            <w:shd w:val="clear" w:color="auto" w:fill="FFFFFF" w:themeFill="background1"/>
            <w:noWrap/>
            <w:vAlign w:val="bottom"/>
            <w:hideMark/>
          </w:tcPr>
          <w:p w14:paraId="5AE3927C"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17.500,00</w:t>
            </w:r>
          </w:p>
        </w:tc>
        <w:tc>
          <w:tcPr>
            <w:tcW w:w="0" w:type="auto"/>
            <w:shd w:val="clear" w:color="auto" w:fill="FFFFFF" w:themeFill="background1"/>
            <w:noWrap/>
            <w:vAlign w:val="bottom"/>
            <w:hideMark/>
          </w:tcPr>
          <w:p w14:paraId="6777802F"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0,00</w:t>
            </w:r>
          </w:p>
        </w:tc>
        <w:tc>
          <w:tcPr>
            <w:tcW w:w="0" w:type="auto"/>
            <w:shd w:val="clear" w:color="auto" w:fill="FFFFFF" w:themeFill="background1"/>
            <w:noWrap/>
            <w:vAlign w:val="bottom"/>
            <w:hideMark/>
          </w:tcPr>
          <w:p w14:paraId="6E7D838E"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0,00</w:t>
            </w:r>
          </w:p>
        </w:tc>
        <w:tc>
          <w:tcPr>
            <w:tcW w:w="1517" w:type="dxa"/>
            <w:shd w:val="clear" w:color="auto" w:fill="FFFFFF" w:themeFill="background1"/>
            <w:noWrap/>
            <w:vAlign w:val="bottom"/>
            <w:hideMark/>
          </w:tcPr>
          <w:p w14:paraId="602CE1C9"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17.500,00</w:t>
            </w:r>
          </w:p>
        </w:tc>
      </w:tr>
      <w:tr w:rsidR="007B38F9" w:rsidRPr="007B38F9" w14:paraId="38515031" w14:textId="77777777" w:rsidTr="007B38F9">
        <w:trPr>
          <w:trHeight w:val="255"/>
        </w:trPr>
        <w:tc>
          <w:tcPr>
            <w:tcW w:w="0" w:type="auto"/>
            <w:noWrap/>
            <w:vAlign w:val="bottom"/>
            <w:hideMark/>
          </w:tcPr>
          <w:p w14:paraId="5F4406F9" w14:textId="77777777" w:rsidR="00863D50" w:rsidRPr="007B38F9" w:rsidRDefault="00863D50">
            <w:pPr>
              <w:rPr>
                <w:rFonts w:ascii="Arial" w:hAnsi="Arial" w:cs="Arial"/>
                <w:sz w:val="18"/>
                <w:szCs w:val="18"/>
              </w:rPr>
            </w:pPr>
            <w:r w:rsidRPr="007B38F9">
              <w:rPr>
                <w:rFonts w:ascii="Arial" w:hAnsi="Arial" w:cs="Arial"/>
                <w:sz w:val="18"/>
                <w:szCs w:val="18"/>
              </w:rPr>
              <w:t>31</w:t>
            </w:r>
          </w:p>
        </w:tc>
        <w:tc>
          <w:tcPr>
            <w:tcW w:w="3853" w:type="dxa"/>
            <w:noWrap/>
            <w:vAlign w:val="bottom"/>
            <w:hideMark/>
          </w:tcPr>
          <w:p w14:paraId="4FCC578C" w14:textId="77777777" w:rsidR="00863D50" w:rsidRPr="007B38F9" w:rsidRDefault="00863D50">
            <w:pPr>
              <w:rPr>
                <w:rFonts w:ascii="Arial" w:hAnsi="Arial" w:cs="Arial"/>
                <w:sz w:val="18"/>
                <w:szCs w:val="18"/>
              </w:rPr>
            </w:pPr>
            <w:r w:rsidRPr="007B38F9">
              <w:rPr>
                <w:rFonts w:ascii="Arial" w:hAnsi="Arial" w:cs="Arial"/>
                <w:sz w:val="18"/>
                <w:szCs w:val="18"/>
              </w:rPr>
              <w:t>Rashodi za zaposlene</w:t>
            </w:r>
          </w:p>
        </w:tc>
        <w:tc>
          <w:tcPr>
            <w:tcW w:w="1264" w:type="dxa"/>
            <w:noWrap/>
            <w:vAlign w:val="bottom"/>
            <w:hideMark/>
          </w:tcPr>
          <w:p w14:paraId="6D476E92" w14:textId="77777777" w:rsidR="00863D50" w:rsidRPr="007B38F9" w:rsidRDefault="00863D50">
            <w:pPr>
              <w:jc w:val="right"/>
              <w:rPr>
                <w:rFonts w:ascii="Arial" w:hAnsi="Arial" w:cs="Arial"/>
                <w:sz w:val="18"/>
                <w:szCs w:val="18"/>
              </w:rPr>
            </w:pPr>
            <w:r w:rsidRPr="007B38F9">
              <w:rPr>
                <w:rFonts w:ascii="Arial" w:hAnsi="Arial" w:cs="Arial"/>
                <w:sz w:val="18"/>
                <w:szCs w:val="18"/>
              </w:rPr>
              <w:t>17.500,00</w:t>
            </w:r>
          </w:p>
        </w:tc>
        <w:tc>
          <w:tcPr>
            <w:tcW w:w="0" w:type="auto"/>
            <w:noWrap/>
            <w:vAlign w:val="bottom"/>
            <w:hideMark/>
          </w:tcPr>
          <w:p w14:paraId="6869D9A3" w14:textId="77777777" w:rsidR="00863D50" w:rsidRPr="007B38F9" w:rsidRDefault="00863D50">
            <w:pPr>
              <w:jc w:val="right"/>
              <w:rPr>
                <w:rFonts w:ascii="Arial" w:hAnsi="Arial" w:cs="Arial"/>
                <w:sz w:val="18"/>
                <w:szCs w:val="18"/>
              </w:rPr>
            </w:pPr>
            <w:r w:rsidRPr="007B38F9">
              <w:rPr>
                <w:rFonts w:ascii="Arial" w:hAnsi="Arial" w:cs="Arial"/>
                <w:sz w:val="18"/>
                <w:szCs w:val="18"/>
              </w:rPr>
              <w:t>0,00</w:t>
            </w:r>
          </w:p>
        </w:tc>
        <w:tc>
          <w:tcPr>
            <w:tcW w:w="0" w:type="auto"/>
            <w:noWrap/>
            <w:vAlign w:val="bottom"/>
            <w:hideMark/>
          </w:tcPr>
          <w:p w14:paraId="3FCF3322" w14:textId="77777777" w:rsidR="00863D50" w:rsidRPr="007B38F9" w:rsidRDefault="00863D50">
            <w:pPr>
              <w:jc w:val="right"/>
              <w:rPr>
                <w:rFonts w:ascii="Arial" w:hAnsi="Arial" w:cs="Arial"/>
                <w:sz w:val="18"/>
                <w:szCs w:val="18"/>
              </w:rPr>
            </w:pPr>
            <w:r w:rsidRPr="007B38F9">
              <w:rPr>
                <w:rFonts w:ascii="Arial" w:hAnsi="Arial" w:cs="Arial"/>
                <w:sz w:val="18"/>
                <w:szCs w:val="18"/>
              </w:rPr>
              <w:t>0,00</w:t>
            </w:r>
          </w:p>
        </w:tc>
        <w:tc>
          <w:tcPr>
            <w:tcW w:w="1517" w:type="dxa"/>
            <w:noWrap/>
            <w:vAlign w:val="bottom"/>
            <w:hideMark/>
          </w:tcPr>
          <w:p w14:paraId="0AE96EEE" w14:textId="77777777" w:rsidR="00863D50" w:rsidRPr="007B38F9" w:rsidRDefault="00863D50">
            <w:pPr>
              <w:jc w:val="right"/>
              <w:rPr>
                <w:rFonts w:ascii="Arial" w:hAnsi="Arial" w:cs="Arial"/>
                <w:sz w:val="18"/>
                <w:szCs w:val="18"/>
              </w:rPr>
            </w:pPr>
            <w:r w:rsidRPr="007B38F9">
              <w:rPr>
                <w:rFonts w:ascii="Arial" w:hAnsi="Arial" w:cs="Arial"/>
                <w:sz w:val="18"/>
                <w:szCs w:val="18"/>
              </w:rPr>
              <w:t>17.500,00</w:t>
            </w:r>
          </w:p>
        </w:tc>
      </w:tr>
      <w:tr w:rsidR="007B38F9" w:rsidRPr="007B38F9" w14:paraId="1199B2F7" w14:textId="77777777" w:rsidTr="007B38F9">
        <w:trPr>
          <w:trHeight w:val="255"/>
        </w:trPr>
        <w:tc>
          <w:tcPr>
            <w:tcW w:w="4596" w:type="dxa"/>
            <w:gridSpan w:val="2"/>
            <w:shd w:val="clear" w:color="auto" w:fill="D9D9D9" w:themeFill="background1" w:themeFillShade="D9"/>
            <w:noWrap/>
            <w:vAlign w:val="bottom"/>
            <w:hideMark/>
          </w:tcPr>
          <w:p w14:paraId="227E3654"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Aktivnost A500005 Dodatne aktivnosti učenika i osoblja u školi</w:t>
            </w:r>
          </w:p>
        </w:tc>
        <w:tc>
          <w:tcPr>
            <w:tcW w:w="1264" w:type="dxa"/>
            <w:shd w:val="clear" w:color="auto" w:fill="D9D9D9" w:themeFill="background1" w:themeFillShade="D9"/>
            <w:noWrap/>
            <w:vAlign w:val="bottom"/>
            <w:hideMark/>
          </w:tcPr>
          <w:p w14:paraId="5EF6F5C7"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22.560,00</w:t>
            </w:r>
          </w:p>
        </w:tc>
        <w:tc>
          <w:tcPr>
            <w:tcW w:w="0" w:type="auto"/>
            <w:shd w:val="clear" w:color="auto" w:fill="D9D9D9" w:themeFill="background1" w:themeFillShade="D9"/>
            <w:noWrap/>
            <w:vAlign w:val="bottom"/>
            <w:hideMark/>
          </w:tcPr>
          <w:p w14:paraId="433FB526"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4.860,00</w:t>
            </w:r>
          </w:p>
        </w:tc>
        <w:tc>
          <w:tcPr>
            <w:tcW w:w="0" w:type="auto"/>
            <w:shd w:val="clear" w:color="auto" w:fill="D9D9D9" w:themeFill="background1" w:themeFillShade="D9"/>
            <w:noWrap/>
            <w:vAlign w:val="bottom"/>
            <w:hideMark/>
          </w:tcPr>
          <w:p w14:paraId="7E15552F"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21,54</w:t>
            </w:r>
          </w:p>
        </w:tc>
        <w:tc>
          <w:tcPr>
            <w:tcW w:w="1517" w:type="dxa"/>
            <w:shd w:val="clear" w:color="auto" w:fill="D9D9D9" w:themeFill="background1" w:themeFillShade="D9"/>
            <w:noWrap/>
            <w:vAlign w:val="bottom"/>
            <w:hideMark/>
          </w:tcPr>
          <w:p w14:paraId="1371D8E0"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27.420,00</w:t>
            </w:r>
          </w:p>
        </w:tc>
      </w:tr>
      <w:tr w:rsidR="007B38F9" w:rsidRPr="007B38F9" w14:paraId="2BD96505" w14:textId="77777777" w:rsidTr="007B38F9">
        <w:trPr>
          <w:trHeight w:val="255"/>
        </w:trPr>
        <w:tc>
          <w:tcPr>
            <w:tcW w:w="4596" w:type="dxa"/>
            <w:gridSpan w:val="2"/>
            <w:shd w:val="clear" w:color="auto" w:fill="FFFFFF" w:themeFill="background1"/>
            <w:noWrap/>
            <w:vAlign w:val="bottom"/>
            <w:hideMark/>
          </w:tcPr>
          <w:p w14:paraId="507359F0"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5. POMOĆI</w:t>
            </w:r>
          </w:p>
        </w:tc>
        <w:tc>
          <w:tcPr>
            <w:tcW w:w="1264" w:type="dxa"/>
            <w:shd w:val="clear" w:color="auto" w:fill="FFFFFF" w:themeFill="background1"/>
            <w:noWrap/>
            <w:vAlign w:val="bottom"/>
            <w:hideMark/>
          </w:tcPr>
          <w:p w14:paraId="744E2C78"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21.060,00</w:t>
            </w:r>
          </w:p>
        </w:tc>
        <w:tc>
          <w:tcPr>
            <w:tcW w:w="0" w:type="auto"/>
            <w:shd w:val="clear" w:color="auto" w:fill="FFFFFF" w:themeFill="background1"/>
            <w:noWrap/>
            <w:vAlign w:val="bottom"/>
            <w:hideMark/>
          </w:tcPr>
          <w:p w14:paraId="760CE117"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1.860,00</w:t>
            </w:r>
          </w:p>
        </w:tc>
        <w:tc>
          <w:tcPr>
            <w:tcW w:w="0" w:type="auto"/>
            <w:shd w:val="clear" w:color="auto" w:fill="FFFFFF" w:themeFill="background1"/>
            <w:noWrap/>
            <w:vAlign w:val="bottom"/>
            <w:hideMark/>
          </w:tcPr>
          <w:p w14:paraId="672425F7"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8,83</w:t>
            </w:r>
          </w:p>
        </w:tc>
        <w:tc>
          <w:tcPr>
            <w:tcW w:w="1517" w:type="dxa"/>
            <w:shd w:val="clear" w:color="auto" w:fill="FFFFFF" w:themeFill="background1"/>
            <w:noWrap/>
            <w:vAlign w:val="bottom"/>
            <w:hideMark/>
          </w:tcPr>
          <w:p w14:paraId="70D1633F"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22.920,00</w:t>
            </w:r>
          </w:p>
        </w:tc>
      </w:tr>
      <w:tr w:rsidR="007B38F9" w:rsidRPr="007B38F9" w14:paraId="5B0DA1F8" w14:textId="77777777" w:rsidTr="007B38F9">
        <w:trPr>
          <w:trHeight w:val="255"/>
        </w:trPr>
        <w:tc>
          <w:tcPr>
            <w:tcW w:w="4596" w:type="dxa"/>
            <w:gridSpan w:val="2"/>
            <w:shd w:val="clear" w:color="auto" w:fill="FFFFFF" w:themeFill="background1"/>
            <w:noWrap/>
            <w:vAlign w:val="bottom"/>
            <w:hideMark/>
          </w:tcPr>
          <w:p w14:paraId="4E05317B"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5.9. POMOĆI-PRIHODI KORISNIKA-GL 02</w:t>
            </w:r>
          </w:p>
        </w:tc>
        <w:tc>
          <w:tcPr>
            <w:tcW w:w="1264" w:type="dxa"/>
            <w:shd w:val="clear" w:color="auto" w:fill="FFFFFF" w:themeFill="background1"/>
            <w:noWrap/>
            <w:vAlign w:val="bottom"/>
            <w:hideMark/>
          </w:tcPr>
          <w:p w14:paraId="38480C28"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21.060,00</w:t>
            </w:r>
          </w:p>
        </w:tc>
        <w:tc>
          <w:tcPr>
            <w:tcW w:w="0" w:type="auto"/>
            <w:shd w:val="clear" w:color="auto" w:fill="FFFFFF" w:themeFill="background1"/>
            <w:noWrap/>
            <w:vAlign w:val="bottom"/>
            <w:hideMark/>
          </w:tcPr>
          <w:p w14:paraId="3F073785"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1.860,00</w:t>
            </w:r>
          </w:p>
        </w:tc>
        <w:tc>
          <w:tcPr>
            <w:tcW w:w="0" w:type="auto"/>
            <w:shd w:val="clear" w:color="auto" w:fill="FFFFFF" w:themeFill="background1"/>
            <w:noWrap/>
            <w:vAlign w:val="bottom"/>
            <w:hideMark/>
          </w:tcPr>
          <w:p w14:paraId="12E9ACC1"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8,83</w:t>
            </w:r>
          </w:p>
        </w:tc>
        <w:tc>
          <w:tcPr>
            <w:tcW w:w="1517" w:type="dxa"/>
            <w:shd w:val="clear" w:color="auto" w:fill="FFFFFF" w:themeFill="background1"/>
            <w:noWrap/>
            <w:vAlign w:val="bottom"/>
            <w:hideMark/>
          </w:tcPr>
          <w:p w14:paraId="29952DE0"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22.920,00</w:t>
            </w:r>
          </w:p>
        </w:tc>
      </w:tr>
      <w:tr w:rsidR="007B38F9" w:rsidRPr="007B38F9" w14:paraId="7D256CED" w14:textId="77777777" w:rsidTr="007B38F9">
        <w:trPr>
          <w:trHeight w:val="255"/>
        </w:trPr>
        <w:tc>
          <w:tcPr>
            <w:tcW w:w="0" w:type="auto"/>
            <w:shd w:val="clear" w:color="auto" w:fill="FFFFFF" w:themeFill="background1"/>
            <w:noWrap/>
            <w:vAlign w:val="bottom"/>
            <w:hideMark/>
          </w:tcPr>
          <w:p w14:paraId="350B9EC1" w14:textId="77777777" w:rsidR="00863D50" w:rsidRPr="007B38F9" w:rsidRDefault="00863D50">
            <w:pPr>
              <w:rPr>
                <w:rFonts w:ascii="Arial" w:hAnsi="Arial" w:cs="Arial"/>
                <w:b/>
                <w:bCs/>
                <w:sz w:val="18"/>
                <w:szCs w:val="18"/>
              </w:rPr>
            </w:pPr>
            <w:r w:rsidRPr="007B38F9">
              <w:rPr>
                <w:rFonts w:ascii="Arial" w:hAnsi="Arial" w:cs="Arial"/>
                <w:b/>
                <w:bCs/>
                <w:sz w:val="18"/>
                <w:szCs w:val="18"/>
              </w:rPr>
              <w:t>3</w:t>
            </w:r>
          </w:p>
        </w:tc>
        <w:tc>
          <w:tcPr>
            <w:tcW w:w="3853" w:type="dxa"/>
            <w:shd w:val="clear" w:color="auto" w:fill="FFFFFF" w:themeFill="background1"/>
            <w:noWrap/>
            <w:vAlign w:val="bottom"/>
            <w:hideMark/>
          </w:tcPr>
          <w:p w14:paraId="19D62F07" w14:textId="77777777" w:rsidR="00863D50" w:rsidRPr="007B38F9" w:rsidRDefault="00863D50">
            <w:pPr>
              <w:rPr>
                <w:rFonts w:ascii="Arial" w:hAnsi="Arial" w:cs="Arial"/>
                <w:b/>
                <w:bCs/>
                <w:sz w:val="18"/>
                <w:szCs w:val="18"/>
              </w:rPr>
            </w:pPr>
            <w:r w:rsidRPr="007B38F9">
              <w:rPr>
                <w:rFonts w:ascii="Arial" w:hAnsi="Arial" w:cs="Arial"/>
                <w:b/>
                <w:bCs/>
                <w:sz w:val="18"/>
                <w:szCs w:val="18"/>
              </w:rPr>
              <w:t>Rashodi poslovanja</w:t>
            </w:r>
          </w:p>
        </w:tc>
        <w:tc>
          <w:tcPr>
            <w:tcW w:w="1264" w:type="dxa"/>
            <w:shd w:val="clear" w:color="auto" w:fill="FFFFFF" w:themeFill="background1"/>
            <w:noWrap/>
            <w:vAlign w:val="bottom"/>
            <w:hideMark/>
          </w:tcPr>
          <w:p w14:paraId="48D6DC03"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18.660,00</w:t>
            </w:r>
          </w:p>
        </w:tc>
        <w:tc>
          <w:tcPr>
            <w:tcW w:w="0" w:type="auto"/>
            <w:shd w:val="clear" w:color="auto" w:fill="FFFFFF" w:themeFill="background1"/>
            <w:noWrap/>
            <w:vAlign w:val="bottom"/>
            <w:hideMark/>
          </w:tcPr>
          <w:p w14:paraId="75C328F7"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1.860,00</w:t>
            </w:r>
          </w:p>
        </w:tc>
        <w:tc>
          <w:tcPr>
            <w:tcW w:w="0" w:type="auto"/>
            <w:shd w:val="clear" w:color="auto" w:fill="FFFFFF" w:themeFill="background1"/>
            <w:noWrap/>
            <w:vAlign w:val="bottom"/>
            <w:hideMark/>
          </w:tcPr>
          <w:p w14:paraId="5B078FAE"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9,97</w:t>
            </w:r>
          </w:p>
        </w:tc>
        <w:tc>
          <w:tcPr>
            <w:tcW w:w="1517" w:type="dxa"/>
            <w:shd w:val="clear" w:color="auto" w:fill="FFFFFF" w:themeFill="background1"/>
            <w:noWrap/>
            <w:vAlign w:val="bottom"/>
            <w:hideMark/>
          </w:tcPr>
          <w:p w14:paraId="4C1FDB1B"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20.520,00</w:t>
            </w:r>
          </w:p>
        </w:tc>
      </w:tr>
      <w:tr w:rsidR="007B38F9" w:rsidRPr="007B38F9" w14:paraId="2B19A8DA" w14:textId="77777777" w:rsidTr="007B38F9">
        <w:trPr>
          <w:trHeight w:val="255"/>
        </w:trPr>
        <w:tc>
          <w:tcPr>
            <w:tcW w:w="0" w:type="auto"/>
            <w:shd w:val="clear" w:color="auto" w:fill="FFFFFF" w:themeFill="background1"/>
            <w:noWrap/>
            <w:vAlign w:val="bottom"/>
            <w:hideMark/>
          </w:tcPr>
          <w:p w14:paraId="1FD0C34D" w14:textId="77777777" w:rsidR="00863D50" w:rsidRPr="007B38F9" w:rsidRDefault="00863D50">
            <w:pPr>
              <w:rPr>
                <w:rFonts w:ascii="Arial" w:hAnsi="Arial" w:cs="Arial"/>
                <w:sz w:val="18"/>
                <w:szCs w:val="18"/>
              </w:rPr>
            </w:pPr>
            <w:r w:rsidRPr="007B38F9">
              <w:rPr>
                <w:rFonts w:ascii="Arial" w:hAnsi="Arial" w:cs="Arial"/>
                <w:sz w:val="18"/>
                <w:szCs w:val="18"/>
              </w:rPr>
              <w:t>31</w:t>
            </w:r>
          </w:p>
        </w:tc>
        <w:tc>
          <w:tcPr>
            <w:tcW w:w="3853" w:type="dxa"/>
            <w:shd w:val="clear" w:color="auto" w:fill="FFFFFF" w:themeFill="background1"/>
            <w:noWrap/>
            <w:vAlign w:val="bottom"/>
            <w:hideMark/>
          </w:tcPr>
          <w:p w14:paraId="26E1168C" w14:textId="77777777" w:rsidR="00863D50" w:rsidRPr="007B38F9" w:rsidRDefault="00863D50">
            <w:pPr>
              <w:rPr>
                <w:rFonts w:ascii="Arial" w:hAnsi="Arial" w:cs="Arial"/>
                <w:sz w:val="18"/>
                <w:szCs w:val="18"/>
              </w:rPr>
            </w:pPr>
            <w:r w:rsidRPr="007B38F9">
              <w:rPr>
                <w:rFonts w:ascii="Arial" w:hAnsi="Arial" w:cs="Arial"/>
                <w:sz w:val="18"/>
                <w:szCs w:val="18"/>
              </w:rPr>
              <w:t>Rashodi za zaposlene</w:t>
            </w:r>
          </w:p>
        </w:tc>
        <w:tc>
          <w:tcPr>
            <w:tcW w:w="1264" w:type="dxa"/>
            <w:shd w:val="clear" w:color="auto" w:fill="FFFFFF" w:themeFill="background1"/>
            <w:noWrap/>
            <w:vAlign w:val="bottom"/>
            <w:hideMark/>
          </w:tcPr>
          <w:p w14:paraId="242ACDD5" w14:textId="77777777" w:rsidR="00863D50" w:rsidRPr="007B38F9" w:rsidRDefault="00863D50">
            <w:pPr>
              <w:jc w:val="right"/>
              <w:rPr>
                <w:rFonts w:ascii="Arial" w:hAnsi="Arial" w:cs="Arial"/>
                <w:sz w:val="18"/>
                <w:szCs w:val="18"/>
              </w:rPr>
            </w:pPr>
            <w:r w:rsidRPr="007B38F9">
              <w:rPr>
                <w:rFonts w:ascii="Arial" w:hAnsi="Arial" w:cs="Arial"/>
                <w:sz w:val="18"/>
                <w:szCs w:val="18"/>
              </w:rPr>
              <w:t>160,00</w:t>
            </w:r>
          </w:p>
        </w:tc>
        <w:tc>
          <w:tcPr>
            <w:tcW w:w="0" w:type="auto"/>
            <w:shd w:val="clear" w:color="auto" w:fill="FFFFFF" w:themeFill="background1"/>
            <w:noWrap/>
            <w:vAlign w:val="bottom"/>
            <w:hideMark/>
          </w:tcPr>
          <w:p w14:paraId="1927171C" w14:textId="77777777" w:rsidR="00863D50" w:rsidRPr="007B38F9" w:rsidRDefault="00863D50">
            <w:pPr>
              <w:jc w:val="right"/>
              <w:rPr>
                <w:rFonts w:ascii="Arial" w:hAnsi="Arial" w:cs="Arial"/>
                <w:sz w:val="18"/>
                <w:szCs w:val="18"/>
              </w:rPr>
            </w:pPr>
            <w:r w:rsidRPr="007B38F9">
              <w:rPr>
                <w:rFonts w:ascii="Arial" w:hAnsi="Arial" w:cs="Arial"/>
                <w:sz w:val="18"/>
                <w:szCs w:val="18"/>
              </w:rPr>
              <w:t>0,00</w:t>
            </w:r>
          </w:p>
        </w:tc>
        <w:tc>
          <w:tcPr>
            <w:tcW w:w="0" w:type="auto"/>
            <w:shd w:val="clear" w:color="auto" w:fill="FFFFFF" w:themeFill="background1"/>
            <w:noWrap/>
            <w:vAlign w:val="bottom"/>
            <w:hideMark/>
          </w:tcPr>
          <w:p w14:paraId="0BAE3F87" w14:textId="77777777" w:rsidR="00863D50" w:rsidRPr="007B38F9" w:rsidRDefault="00863D50">
            <w:pPr>
              <w:jc w:val="right"/>
              <w:rPr>
                <w:rFonts w:ascii="Arial" w:hAnsi="Arial" w:cs="Arial"/>
                <w:sz w:val="18"/>
                <w:szCs w:val="18"/>
              </w:rPr>
            </w:pPr>
            <w:r w:rsidRPr="007B38F9">
              <w:rPr>
                <w:rFonts w:ascii="Arial" w:hAnsi="Arial" w:cs="Arial"/>
                <w:sz w:val="18"/>
                <w:szCs w:val="18"/>
              </w:rPr>
              <w:t>0,00</w:t>
            </w:r>
          </w:p>
        </w:tc>
        <w:tc>
          <w:tcPr>
            <w:tcW w:w="1517" w:type="dxa"/>
            <w:shd w:val="clear" w:color="auto" w:fill="FFFFFF" w:themeFill="background1"/>
            <w:noWrap/>
            <w:vAlign w:val="bottom"/>
            <w:hideMark/>
          </w:tcPr>
          <w:p w14:paraId="36C7D3EB" w14:textId="77777777" w:rsidR="00863D50" w:rsidRPr="007B38F9" w:rsidRDefault="00863D50">
            <w:pPr>
              <w:jc w:val="right"/>
              <w:rPr>
                <w:rFonts w:ascii="Arial" w:hAnsi="Arial" w:cs="Arial"/>
                <w:sz w:val="18"/>
                <w:szCs w:val="18"/>
              </w:rPr>
            </w:pPr>
            <w:r w:rsidRPr="007B38F9">
              <w:rPr>
                <w:rFonts w:ascii="Arial" w:hAnsi="Arial" w:cs="Arial"/>
                <w:sz w:val="18"/>
                <w:szCs w:val="18"/>
              </w:rPr>
              <w:t>160,00</w:t>
            </w:r>
          </w:p>
        </w:tc>
      </w:tr>
      <w:tr w:rsidR="007B38F9" w:rsidRPr="007B38F9" w14:paraId="54E44E61" w14:textId="77777777" w:rsidTr="007B38F9">
        <w:trPr>
          <w:trHeight w:val="255"/>
        </w:trPr>
        <w:tc>
          <w:tcPr>
            <w:tcW w:w="0" w:type="auto"/>
            <w:shd w:val="clear" w:color="auto" w:fill="FFFFFF" w:themeFill="background1"/>
            <w:noWrap/>
            <w:vAlign w:val="bottom"/>
            <w:hideMark/>
          </w:tcPr>
          <w:p w14:paraId="126F7BCE" w14:textId="77777777" w:rsidR="00863D50" w:rsidRPr="007B38F9" w:rsidRDefault="00863D50">
            <w:pPr>
              <w:rPr>
                <w:rFonts w:ascii="Arial" w:hAnsi="Arial" w:cs="Arial"/>
                <w:sz w:val="18"/>
                <w:szCs w:val="18"/>
              </w:rPr>
            </w:pPr>
            <w:r w:rsidRPr="007B38F9">
              <w:rPr>
                <w:rFonts w:ascii="Arial" w:hAnsi="Arial" w:cs="Arial"/>
                <w:sz w:val="18"/>
                <w:szCs w:val="18"/>
              </w:rPr>
              <w:t>32</w:t>
            </w:r>
          </w:p>
        </w:tc>
        <w:tc>
          <w:tcPr>
            <w:tcW w:w="3853" w:type="dxa"/>
            <w:shd w:val="clear" w:color="auto" w:fill="FFFFFF" w:themeFill="background1"/>
            <w:noWrap/>
            <w:vAlign w:val="bottom"/>
            <w:hideMark/>
          </w:tcPr>
          <w:p w14:paraId="59ED41AF" w14:textId="77777777" w:rsidR="00863D50" w:rsidRPr="007B38F9" w:rsidRDefault="00863D50">
            <w:pPr>
              <w:rPr>
                <w:rFonts w:ascii="Arial" w:hAnsi="Arial" w:cs="Arial"/>
                <w:sz w:val="18"/>
                <w:szCs w:val="18"/>
              </w:rPr>
            </w:pPr>
            <w:r w:rsidRPr="007B38F9">
              <w:rPr>
                <w:rFonts w:ascii="Arial" w:hAnsi="Arial" w:cs="Arial"/>
                <w:sz w:val="18"/>
                <w:szCs w:val="18"/>
              </w:rPr>
              <w:t>Materijalni rashodi</w:t>
            </w:r>
          </w:p>
        </w:tc>
        <w:tc>
          <w:tcPr>
            <w:tcW w:w="1264" w:type="dxa"/>
            <w:shd w:val="clear" w:color="auto" w:fill="FFFFFF" w:themeFill="background1"/>
            <w:noWrap/>
            <w:vAlign w:val="bottom"/>
            <w:hideMark/>
          </w:tcPr>
          <w:p w14:paraId="7DFDCB16" w14:textId="77777777" w:rsidR="00863D50" w:rsidRPr="007B38F9" w:rsidRDefault="00863D50">
            <w:pPr>
              <w:jc w:val="right"/>
              <w:rPr>
                <w:rFonts w:ascii="Arial" w:hAnsi="Arial" w:cs="Arial"/>
                <w:sz w:val="18"/>
                <w:szCs w:val="18"/>
              </w:rPr>
            </w:pPr>
            <w:r w:rsidRPr="007B38F9">
              <w:rPr>
                <w:rFonts w:ascii="Arial" w:hAnsi="Arial" w:cs="Arial"/>
                <w:sz w:val="18"/>
                <w:szCs w:val="18"/>
              </w:rPr>
              <w:t>4.500,00</w:t>
            </w:r>
          </w:p>
        </w:tc>
        <w:tc>
          <w:tcPr>
            <w:tcW w:w="0" w:type="auto"/>
            <w:shd w:val="clear" w:color="auto" w:fill="FFFFFF" w:themeFill="background1"/>
            <w:noWrap/>
            <w:vAlign w:val="bottom"/>
            <w:hideMark/>
          </w:tcPr>
          <w:p w14:paraId="0C64F625" w14:textId="77777777" w:rsidR="00863D50" w:rsidRPr="007B38F9" w:rsidRDefault="00863D50">
            <w:pPr>
              <w:jc w:val="right"/>
              <w:rPr>
                <w:rFonts w:ascii="Arial" w:hAnsi="Arial" w:cs="Arial"/>
                <w:sz w:val="18"/>
                <w:szCs w:val="18"/>
              </w:rPr>
            </w:pPr>
            <w:r w:rsidRPr="007B38F9">
              <w:rPr>
                <w:rFonts w:ascii="Arial" w:hAnsi="Arial" w:cs="Arial"/>
                <w:sz w:val="18"/>
                <w:szCs w:val="18"/>
              </w:rPr>
              <w:t>1.860,00</w:t>
            </w:r>
          </w:p>
        </w:tc>
        <w:tc>
          <w:tcPr>
            <w:tcW w:w="0" w:type="auto"/>
            <w:shd w:val="clear" w:color="auto" w:fill="FFFFFF" w:themeFill="background1"/>
            <w:noWrap/>
            <w:vAlign w:val="bottom"/>
            <w:hideMark/>
          </w:tcPr>
          <w:p w14:paraId="18439354" w14:textId="77777777" w:rsidR="00863D50" w:rsidRPr="007B38F9" w:rsidRDefault="00863D50">
            <w:pPr>
              <w:jc w:val="right"/>
              <w:rPr>
                <w:rFonts w:ascii="Arial" w:hAnsi="Arial" w:cs="Arial"/>
                <w:sz w:val="18"/>
                <w:szCs w:val="18"/>
              </w:rPr>
            </w:pPr>
            <w:r w:rsidRPr="007B38F9">
              <w:rPr>
                <w:rFonts w:ascii="Arial" w:hAnsi="Arial" w:cs="Arial"/>
                <w:sz w:val="18"/>
                <w:szCs w:val="18"/>
              </w:rPr>
              <w:t>41,33</w:t>
            </w:r>
          </w:p>
        </w:tc>
        <w:tc>
          <w:tcPr>
            <w:tcW w:w="1517" w:type="dxa"/>
            <w:shd w:val="clear" w:color="auto" w:fill="FFFFFF" w:themeFill="background1"/>
            <w:noWrap/>
            <w:vAlign w:val="bottom"/>
            <w:hideMark/>
          </w:tcPr>
          <w:p w14:paraId="7377C598" w14:textId="77777777" w:rsidR="00863D50" w:rsidRPr="007B38F9" w:rsidRDefault="00863D50">
            <w:pPr>
              <w:jc w:val="right"/>
              <w:rPr>
                <w:rFonts w:ascii="Arial" w:hAnsi="Arial" w:cs="Arial"/>
                <w:sz w:val="18"/>
                <w:szCs w:val="18"/>
              </w:rPr>
            </w:pPr>
            <w:r w:rsidRPr="007B38F9">
              <w:rPr>
                <w:rFonts w:ascii="Arial" w:hAnsi="Arial" w:cs="Arial"/>
                <w:sz w:val="18"/>
                <w:szCs w:val="18"/>
              </w:rPr>
              <w:t>6.360,00</w:t>
            </w:r>
          </w:p>
        </w:tc>
      </w:tr>
      <w:tr w:rsidR="007B38F9" w:rsidRPr="007B38F9" w14:paraId="7E214EEC" w14:textId="77777777" w:rsidTr="007B38F9">
        <w:trPr>
          <w:trHeight w:val="255"/>
        </w:trPr>
        <w:tc>
          <w:tcPr>
            <w:tcW w:w="0" w:type="auto"/>
            <w:shd w:val="clear" w:color="auto" w:fill="FFFFFF" w:themeFill="background1"/>
            <w:noWrap/>
            <w:vAlign w:val="bottom"/>
            <w:hideMark/>
          </w:tcPr>
          <w:p w14:paraId="559FCA4F" w14:textId="77777777" w:rsidR="00863D50" w:rsidRPr="007B38F9" w:rsidRDefault="00863D50">
            <w:pPr>
              <w:rPr>
                <w:rFonts w:ascii="Arial" w:hAnsi="Arial" w:cs="Arial"/>
                <w:sz w:val="18"/>
                <w:szCs w:val="18"/>
              </w:rPr>
            </w:pPr>
            <w:r w:rsidRPr="007B38F9">
              <w:rPr>
                <w:rFonts w:ascii="Arial" w:hAnsi="Arial" w:cs="Arial"/>
                <w:sz w:val="18"/>
                <w:szCs w:val="18"/>
              </w:rPr>
              <w:t>37</w:t>
            </w:r>
          </w:p>
        </w:tc>
        <w:tc>
          <w:tcPr>
            <w:tcW w:w="3853" w:type="dxa"/>
            <w:shd w:val="clear" w:color="auto" w:fill="FFFFFF" w:themeFill="background1"/>
            <w:noWrap/>
            <w:vAlign w:val="bottom"/>
            <w:hideMark/>
          </w:tcPr>
          <w:p w14:paraId="6E212831" w14:textId="77777777" w:rsidR="00863D50" w:rsidRPr="007B38F9" w:rsidRDefault="00863D50">
            <w:pPr>
              <w:rPr>
                <w:rFonts w:ascii="Arial" w:hAnsi="Arial" w:cs="Arial"/>
                <w:sz w:val="18"/>
                <w:szCs w:val="18"/>
              </w:rPr>
            </w:pPr>
            <w:r w:rsidRPr="007B38F9">
              <w:rPr>
                <w:rFonts w:ascii="Arial" w:hAnsi="Arial" w:cs="Arial"/>
                <w:sz w:val="18"/>
                <w:szCs w:val="18"/>
              </w:rPr>
              <w:t>Naknade građanima i kućanstvima na temelju osiguranja i druge naknade</w:t>
            </w:r>
          </w:p>
        </w:tc>
        <w:tc>
          <w:tcPr>
            <w:tcW w:w="1264" w:type="dxa"/>
            <w:shd w:val="clear" w:color="auto" w:fill="FFFFFF" w:themeFill="background1"/>
            <w:noWrap/>
            <w:vAlign w:val="bottom"/>
            <w:hideMark/>
          </w:tcPr>
          <w:p w14:paraId="090FC46F" w14:textId="77777777" w:rsidR="00863D50" w:rsidRPr="007B38F9" w:rsidRDefault="00863D50">
            <w:pPr>
              <w:jc w:val="right"/>
              <w:rPr>
                <w:rFonts w:ascii="Arial" w:hAnsi="Arial" w:cs="Arial"/>
                <w:sz w:val="18"/>
                <w:szCs w:val="18"/>
              </w:rPr>
            </w:pPr>
            <w:r w:rsidRPr="007B38F9">
              <w:rPr>
                <w:rFonts w:ascii="Arial" w:hAnsi="Arial" w:cs="Arial"/>
                <w:sz w:val="18"/>
                <w:szCs w:val="18"/>
              </w:rPr>
              <w:t>14.000,00</w:t>
            </w:r>
          </w:p>
        </w:tc>
        <w:tc>
          <w:tcPr>
            <w:tcW w:w="0" w:type="auto"/>
            <w:shd w:val="clear" w:color="auto" w:fill="FFFFFF" w:themeFill="background1"/>
            <w:noWrap/>
            <w:vAlign w:val="bottom"/>
            <w:hideMark/>
          </w:tcPr>
          <w:p w14:paraId="3CEF87B4" w14:textId="77777777" w:rsidR="00863D50" w:rsidRPr="007B38F9" w:rsidRDefault="00863D50">
            <w:pPr>
              <w:jc w:val="right"/>
              <w:rPr>
                <w:rFonts w:ascii="Arial" w:hAnsi="Arial" w:cs="Arial"/>
                <w:sz w:val="18"/>
                <w:szCs w:val="18"/>
              </w:rPr>
            </w:pPr>
            <w:r w:rsidRPr="007B38F9">
              <w:rPr>
                <w:rFonts w:ascii="Arial" w:hAnsi="Arial" w:cs="Arial"/>
                <w:sz w:val="18"/>
                <w:szCs w:val="18"/>
              </w:rPr>
              <w:t>0,00</w:t>
            </w:r>
          </w:p>
        </w:tc>
        <w:tc>
          <w:tcPr>
            <w:tcW w:w="0" w:type="auto"/>
            <w:shd w:val="clear" w:color="auto" w:fill="FFFFFF" w:themeFill="background1"/>
            <w:noWrap/>
            <w:vAlign w:val="bottom"/>
            <w:hideMark/>
          </w:tcPr>
          <w:p w14:paraId="4C35D2C4" w14:textId="77777777" w:rsidR="00863D50" w:rsidRPr="007B38F9" w:rsidRDefault="00863D50">
            <w:pPr>
              <w:jc w:val="right"/>
              <w:rPr>
                <w:rFonts w:ascii="Arial" w:hAnsi="Arial" w:cs="Arial"/>
                <w:sz w:val="18"/>
                <w:szCs w:val="18"/>
              </w:rPr>
            </w:pPr>
            <w:r w:rsidRPr="007B38F9">
              <w:rPr>
                <w:rFonts w:ascii="Arial" w:hAnsi="Arial" w:cs="Arial"/>
                <w:sz w:val="18"/>
                <w:szCs w:val="18"/>
              </w:rPr>
              <w:t>0,00</w:t>
            </w:r>
          </w:p>
        </w:tc>
        <w:tc>
          <w:tcPr>
            <w:tcW w:w="1517" w:type="dxa"/>
            <w:shd w:val="clear" w:color="auto" w:fill="FFFFFF" w:themeFill="background1"/>
            <w:noWrap/>
            <w:vAlign w:val="bottom"/>
            <w:hideMark/>
          </w:tcPr>
          <w:p w14:paraId="47E382E4" w14:textId="77777777" w:rsidR="00863D50" w:rsidRPr="007B38F9" w:rsidRDefault="00863D50">
            <w:pPr>
              <w:jc w:val="right"/>
              <w:rPr>
                <w:rFonts w:ascii="Arial" w:hAnsi="Arial" w:cs="Arial"/>
                <w:sz w:val="18"/>
                <w:szCs w:val="18"/>
              </w:rPr>
            </w:pPr>
            <w:r w:rsidRPr="007B38F9">
              <w:rPr>
                <w:rFonts w:ascii="Arial" w:hAnsi="Arial" w:cs="Arial"/>
                <w:sz w:val="18"/>
                <w:szCs w:val="18"/>
              </w:rPr>
              <w:t>14.000,00</w:t>
            </w:r>
          </w:p>
        </w:tc>
      </w:tr>
      <w:tr w:rsidR="007B38F9" w:rsidRPr="007B38F9" w14:paraId="1CC98E23" w14:textId="77777777" w:rsidTr="007B38F9">
        <w:trPr>
          <w:trHeight w:val="255"/>
        </w:trPr>
        <w:tc>
          <w:tcPr>
            <w:tcW w:w="0" w:type="auto"/>
            <w:shd w:val="clear" w:color="auto" w:fill="FFFFFF" w:themeFill="background1"/>
            <w:noWrap/>
            <w:vAlign w:val="bottom"/>
            <w:hideMark/>
          </w:tcPr>
          <w:p w14:paraId="5EDDBBBA" w14:textId="77777777" w:rsidR="00863D50" w:rsidRPr="007B38F9" w:rsidRDefault="00863D50">
            <w:pPr>
              <w:rPr>
                <w:rFonts w:ascii="Arial" w:hAnsi="Arial" w:cs="Arial"/>
                <w:b/>
                <w:bCs/>
                <w:sz w:val="18"/>
                <w:szCs w:val="18"/>
              </w:rPr>
            </w:pPr>
            <w:r w:rsidRPr="007B38F9">
              <w:rPr>
                <w:rFonts w:ascii="Arial" w:hAnsi="Arial" w:cs="Arial"/>
                <w:b/>
                <w:bCs/>
                <w:sz w:val="18"/>
                <w:szCs w:val="18"/>
              </w:rPr>
              <w:t>4</w:t>
            </w:r>
          </w:p>
        </w:tc>
        <w:tc>
          <w:tcPr>
            <w:tcW w:w="3853" w:type="dxa"/>
            <w:shd w:val="clear" w:color="auto" w:fill="FFFFFF" w:themeFill="background1"/>
            <w:noWrap/>
            <w:vAlign w:val="bottom"/>
            <w:hideMark/>
          </w:tcPr>
          <w:p w14:paraId="7B77C27B" w14:textId="77777777" w:rsidR="00863D50" w:rsidRPr="007B38F9" w:rsidRDefault="00863D50">
            <w:pPr>
              <w:rPr>
                <w:rFonts w:ascii="Arial" w:hAnsi="Arial" w:cs="Arial"/>
                <w:b/>
                <w:bCs/>
                <w:sz w:val="18"/>
                <w:szCs w:val="18"/>
              </w:rPr>
            </w:pPr>
            <w:r w:rsidRPr="007B38F9">
              <w:rPr>
                <w:rFonts w:ascii="Arial" w:hAnsi="Arial" w:cs="Arial"/>
                <w:b/>
                <w:bCs/>
                <w:sz w:val="18"/>
                <w:szCs w:val="18"/>
              </w:rPr>
              <w:t>Rashodi za nabavu nefinancijske imovine</w:t>
            </w:r>
          </w:p>
        </w:tc>
        <w:tc>
          <w:tcPr>
            <w:tcW w:w="1264" w:type="dxa"/>
            <w:shd w:val="clear" w:color="auto" w:fill="FFFFFF" w:themeFill="background1"/>
            <w:noWrap/>
            <w:vAlign w:val="bottom"/>
            <w:hideMark/>
          </w:tcPr>
          <w:p w14:paraId="3C6CE8D0"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2.400,00</w:t>
            </w:r>
          </w:p>
        </w:tc>
        <w:tc>
          <w:tcPr>
            <w:tcW w:w="0" w:type="auto"/>
            <w:shd w:val="clear" w:color="auto" w:fill="FFFFFF" w:themeFill="background1"/>
            <w:noWrap/>
            <w:vAlign w:val="bottom"/>
            <w:hideMark/>
          </w:tcPr>
          <w:p w14:paraId="392C3E6B"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0,00</w:t>
            </w:r>
          </w:p>
        </w:tc>
        <w:tc>
          <w:tcPr>
            <w:tcW w:w="0" w:type="auto"/>
            <w:shd w:val="clear" w:color="auto" w:fill="FFFFFF" w:themeFill="background1"/>
            <w:noWrap/>
            <w:vAlign w:val="bottom"/>
            <w:hideMark/>
          </w:tcPr>
          <w:p w14:paraId="716353F4"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0,00</w:t>
            </w:r>
          </w:p>
        </w:tc>
        <w:tc>
          <w:tcPr>
            <w:tcW w:w="1517" w:type="dxa"/>
            <w:shd w:val="clear" w:color="auto" w:fill="FFFFFF" w:themeFill="background1"/>
            <w:noWrap/>
            <w:vAlign w:val="bottom"/>
            <w:hideMark/>
          </w:tcPr>
          <w:p w14:paraId="0A98A39E"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2.400,00</w:t>
            </w:r>
          </w:p>
        </w:tc>
      </w:tr>
      <w:tr w:rsidR="007B38F9" w:rsidRPr="007B38F9" w14:paraId="284F1A5A" w14:textId="77777777" w:rsidTr="007B38F9">
        <w:trPr>
          <w:trHeight w:val="255"/>
        </w:trPr>
        <w:tc>
          <w:tcPr>
            <w:tcW w:w="0" w:type="auto"/>
            <w:shd w:val="clear" w:color="auto" w:fill="FFFFFF" w:themeFill="background1"/>
            <w:noWrap/>
            <w:vAlign w:val="bottom"/>
            <w:hideMark/>
          </w:tcPr>
          <w:p w14:paraId="7B5E8EDB" w14:textId="77777777" w:rsidR="00863D50" w:rsidRPr="007B38F9" w:rsidRDefault="00863D50">
            <w:pPr>
              <w:rPr>
                <w:rFonts w:ascii="Arial" w:hAnsi="Arial" w:cs="Arial"/>
                <w:sz w:val="18"/>
                <w:szCs w:val="18"/>
              </w:rPr>
            </w:pPr>
            <w:r w:rsidRPr="007B38F9">
              <w:rPr>
                <w:rFonts w:ascii="Arial" w:hAnsi="Arial" w:cs="Arial"/>
                <w:sz w:val="18"/>
                <w:szCs w:val="18"/>
              </w:rPr>
              <w:t>42</w:t>
            </w:r>
          </w:p>
        </w:tc>
        <w:tc>
          <w:tcPr>
            <w:tcW w:w="3853" w:type="dxa"/>
            <w:shd w:val="clear" w:color="auto" w:fill="FFFFFF" w:themeFill="background1"/>
            <w:noWrap/>
            <w:vAlign w:val="bottom"/>
            <w:hideMark/>
          </w:tcPr>
          <w:p w14:paraId="759B65F6" w14:textId="77777777" w:rsidR="00863D50" w:rsidRPr="007B38F9" w:rsidRDefault="00863D50">
            <w:pPr>
              <w:rPr>
                <w:rFonts w:ascii="Arial" w:hAnsi="Arial" w:cs="Arial"/>
                <w:sz w:val="18"/>
                <w:szCs w:val="18"/>
              </w:rPr>
            </w:pPr>
            <w:r w:rsidRPr="007B38F9">
              <w:rPr>
                <w:rFonts w:ascii="Arial" w:hAnsi="Arial" w:cs="Arial"/>
                <w:sz w:val="18"/>
                <w:szCs w:val="18"/>
              </w:rPr>
              <w:t>Rashodi za nabavu proizvedene dugotrajne imovine</w:t>
            </w:r>
          </w:p>
        </w:tc>
        <w:tc>
          <w:tcPr>
            <w:tcW w:w="1264" w:type="dxa"/>
            <w:shd w:val="clear" w:color="auto" w:fill="FFFFFF" w:themeFill="background1"/>
            <w:noWrap/>
            <w:vAlign w:val="bottom"/>
            <w:hideMark/>
          </w:tcPr>
          <w:p w14:paraId="65A378B0" w14:textId="77777777" w:rsidR="00863D50" w:rsidRPr="007B38F9" w:rsidRDefault="00863D50">
            <w:pPr>
              <w:jc w:val="right"/>
              <w:rPr>
                <w:rFonts w:ascii="Arial" w:hAnsi="Arial" w:cs="Arial"/>
                <w:sz w:val="18"/>
                <w:szCs w:val="18"/>
              </w:rPr>
            </w:pPr>
            <w:r w:rsidRPr="007B38F9">
              <w:rPr>
                <w:rFonts w:ascii="Arial" w:hAnsi="Arial" w:cs="Arial"/>
                <w:sz w:val="18"/>
                <w:szCs w:val="18"/>
              </w:rPr>
              <w:t>2.400,00</w:t>
            </w:r>
          </w:p>
        </w:tc>
        <w:tc>
          <w:tcPr>
            <w:tcW w:w="0" w:type="auto"/>
            <w:shd w:val="clear" w:color="auto" w:fill="FFFFFF" w:themeFill="background1"/>
            <w:noWrap/>
            <w:vAlign w:val="bottom"/>
            <w:hideMark/>
          </w:tcPr>
          <w:p w14:paraId="4B59EE8C" w14:textId="77777777" w:rsidR="00863D50" w:rsidRPr="007B38F9" w:rsidRDefault="00863D50">
            <w:pPr>
              <w:jc w:val="right"/>
              <w:rPr>
                <w:rFonts w:ascii="Arial" w:hAnsi="Arial" w:cs="Arial"/>
                <w:sz w:val="18"/>
                <w:szCs w:val="18"/>
              </w:rPr>
            </w:pPr>
            <w:r w:rsidRPr="007B38F9">
              <w:rPr>
                <w:rFonts w:ascii="Arial" w:hAnsi="Arial" w:cs="Arial"/>
                <w:sz w:val="18"/>
                <w:szCs w:val="18"/>
              </w:rPr>
              <w:t>0,00</w:t>
            </w:r>
          </w:p>
        </w:tc>
        <w:tc>
          <w:tcPr>
            <w:tcW w:w="0" w:type="auto"/>
            <w:shd w:val="clear" w:color="auto" w:fill="FFFFFF" w:themeFill="background1"/>
            <w:noWrap/>
            <w:vAlign w:val="bottom"/>
            <w:hideMark/>
          </w:tcPr>
          <w:p w14:paraId="54215F4E" w14:textId="77777777" w:rsidR="00863D50" w:rsidRPr="007B38F9" w:rsidRDefault="00863D50">
            <w:pPr>
              <w:jc w:val="right"/>
              <w:rPr>
                <w:rFonts w:ascii="Arial" w:hAnsi="Arial" w:cs="Arial"/>
                <w:sz w:val="18"/>
                <w:szCs w:val="18"/>
              </w:rPr>
            </w:pPr>
            <w:r w:rsidRPr="007B38F9">
              <w:rPr>
                <w:rFonts w:ascii="Arial" w:hAnsi="Arial" w:cs="Arial"/>
                <w:sz w:val="18"/>
                <w:szCs w:val="18"/>
              </w:rPr>
              <w:t>0,00</w:t>
            </w:r>
          </w:p>
        </w:tc>
        <w:tc>
          <w:tcPr>
            <w:tcW w:w="1517" w:type="dxa"/>
            <w:shd w:val="clear" w:color="auto" w:fill="FFFFFF" w:themeFill="background1"/>
            <w:noWrap/>
            <w:vAlign w:val="bottom"/>
            <w:hideMark/>
          </w:tcPr>
          <w:p w14:paraId="1F520323" w14:textId="77777777" w:rsidR="00863D50" w:rsidRPr="007B38F9" w:rsidRDefault="00863D50">
            <w:pPr>
              <w:jc w:val="right"/>
              <w:rPr>
                <w:rFonts w:ascii="Arial" w:hAnsi="Arial" w:cs="Arial"/>
                <w:sz w:val="18"/>
                <w:szCs w:val="18"/>
              </w:rPr>
            </w:pPr>
            <w:r w:rsidRPr="007B38F9">
              <w:rPr>
                <w:rFonts w:ascii="Arial" w:hAnsi="Arial" w:cs="Arial"/>
                <w:sz w:val="18"/>
                <w:szCs w:val="18"/>
              </w:rPr>
              <w:t>2.400,00</w:t>
            </w:r>
          </w:p>
        </w:tc>
      </w:tr>
      <w:tr w:rsidR="007B38F9" w:rsidRPr="007B38F9" w14:paraId="45A041CF" w14:textId="77777777" w:rsidTr="007B38F9">
        <w:trPr>
          <w:trHeight w:val="255"/>
        </w:trPr>
        <w:tc>
          <w:tcPr>
            <w:tcW w:w="4596" w:type="dxa"/>
            <w:gridSpan w:val="2"/>
            <w:shd w:val="clear" w:color="auto" w:fill="FFFFFF" w:themeFill="background1"/>
            <w:noWrap/>
            <w:vAlign w:val="bottom"/>
            <w:hideMark/>
          </w:tcPr>
          <w:p w14:paraId="7DB2B0DB"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6. DONACIJE</w:t>
            </w:r>
          </w:p>
        </w:tc>
        <w:tc>
          <w:tcPr>
            <w:tcW w:w="1264" w:type="dxa"/>
            <w:shd w:val="clear" w:color="auto" w:fill="FFFFFF" w:themeFill="background1"/>
            <w:noWrap/>
            <w:vAlign w:val="bottom"/>
            <w:hideMark/>
          </w:tcPr>
          <w:p w14:paraId="4B37AA4F"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1.500,00</w:t>
            </w:r>
          </w:p>
        </w:tc>
        <w:tc>
          <w:tcPr>
            <w:tcW w:w="0" w:type="auto"/>
            <w:shd w:val="clear" w:color="auto" w:fill="FFFFFF" w:themeFill="background1"/>
            <w:noWrap/>
            <w:vAlign w:val="bottom"/>
            <w:hideMark/>
          </w:tcPr>
          <w:p w14:paraId="318D7024"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3.000,00</w:t>
            </w:r>
          </w:p>
        </w:tc>
        <w:tc>
          <w:tcPr>
            <w:tcW w:w="0" w:type="auto"/>
            <w:shd w:val="clear" w:color="auto" w:fill="FFFFFF" w:themeFill="background1"/>
            <w:noWrap/>
            <w:vAlign w:val="bottom"/>
            <w:hideMark/>
          </w:tcPr>
          <w:p w14:paraId="1A13EDF2"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200,00</w:t>
            </w:r>
          </w:p>
        </w:tc>
        <w:tc>
          <w:tcPr>
            <w:tcW w:w="1517" w:type="dxa"/>
            <w:shd w:val="clear" w:color="auto" w:fill="FFFFFF" w:themeFill="background1"/>
            <w:noWrap/>
            <w:vAlign w:val="bottom"/>
            <w:hideMark/>
          </w:tcPr>
          <w:p w14:paraId="099C20BA"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4.500,00</w:t>
            </w:r>
          </w:p>
        </w:tc>
      </w:tr>
      <w:tr w:rsidR="007B38F9" w:rsidRPr="007B38F9" w14:paraId="5C6C0CBC" w14:textId="77777777" w:rsidTr="007B38F9">
        <w:trPr>
          <w:trHeight w:val="255"/>
        </w:trPr>
        <w:tc>
          <w:tcPr>
            <w:tcW w:w="4596" w:type="dxa"/>
            <w:gridSpan w:val="2"/>
            <w:shd w:val="clear" w:color="auto" w:fill="FFFFFF" w:themeFill="background1"/>
            <w:noWrap/>
            <w:vAlign w:val="bottom"/>
            <w:hideMark/>
          </w:tcPr>
          <w:p w14:paraId="30096B8E"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6.9. DONACIJE - prihodi korisnika</w:t>
            </w:r>
          </w:p>
        </w:tc>
        <w:tc>
          <w:tcPr>
            <w:tcW w:w="1264" w:type="dxa"/>
            <w:shd w:val="clear" w:color="auto" w:fill="FFFFFF" w:themeFill="background1"/>
            <w:noWrap/>
            <w:vAlign w:val="bottom"/>
            <w:hideMark/>
          </w:tcPr>
          <w:p w14:paraId="746FF9C1"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1.500,00</w:t>
            </w:r>
          </w:p>
        </w:tc>
        <w:tc>
          <w:tcPr>
            <w:tcW w:w="0" w:type="auto"/>
            <w:shd w:val="clear" w:color="auto" w:fill="FFFFFF" w:themeFill="background1"/>
            <w:noWrap/>
            <w:vAlign w:val="bottom"/>
            <w:hideMark/>
          </w:tcPr>
          <w:p w14:paraId="06CD52C9"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3.000,00</w:t>
            </w:r>
          </w:p>
        </w:tc>
        <w:tc>
          <w:tcPr>
            <w:tcW w:w="0" w:type="auto"/>
            <w:shd w:val="clear" w:color="auto" w:fill="FFFFFF" w:themeFill="background1"/>
            <w:noWrap/>
            <w:vAlign w:val="bottom"/>
            <w:hideMark/>
          </w:tcPr>
          <w:p w14:paraId="0DED8B44"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200,00</w:t>
            </w:r>
          </w:p>
        </w:tc>
        <w:tc>
          <w:tcPr>
            <w:tcW w:w="1517" w:type="dxa"/>
            <w:shd w:val="clear" w:color="auto" w:fill="FFFFFF" w:themeFill="background1"/>
            <w:noWrap/>
            <w:vAlign w:val="bottom"/>
            <w:hideMark/>
          </w:tcPr>
          <w:p w14:paraId="6D04638D"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4.500,00</w:t>
            </w:r>
          </w:p>
        </w:tc>
      </w:tr>
      <w:tr w:rsidR="007B38F9" w:rsidRPr="007B38F9" w14:paraId="335F31A6" w14:textId="77777777" w:rsidTr="007B38F9">
        <w:trPr>
          <w:trHeight w:val="255"/>
        </w:trPr>
        <w:tc>
          <w:tcPr>
            <w:tcW w:w="0" w:type="auto"/>
            <w:noWrap/>
            <w:vAlign w:val="bottom"/>
            <w:hideMark/>
          </w:tcPr>
          <w:p w14:paraId="38317385" w14:textId="77777777" w:rsidR="00863D50" w:rsidRPr="007B38F9" w:rsidRDefault="00863D50">
            <w:pPr>
              <w:rPr>
                <w:rFonts w:ascii="Arial" w:hAnsi="Arial" w:cs="Arial"/>
                <w:b/>
                <w:bCs/>
                <w:sz w:val="18"/>
                <w:szCs w:val="18"/>
              </w:rPr>
            </w:pPr>
            <w:r w:rsidRPr="007B38F9">
              <w:rPr>
                <w:rFonts w:ascii="Arial" w:hAnsi="Arial" w:cs="Arial"/>
                <w:b/>
                <w:bCs/>
                <w:sz w:val="18"/>
                <w:szCs w:val="18"/>
              </w:rPr>
              <w:t>3</w:t>
            </w:r>
          </w:p>
        </w:tc>
        <w:tc>
          <w:tcPr>
            <w:tcW w:w="3853" w:type="dxa"/>
            <w:noWrap/>
            <w:vAlign w:val="bottom"/>
            <w:hideMark/>
          </w:tcPr>
          <w:p w14:paraId="5C298C62" w14:textId="77777777" w:rsidR="00863D50" w:rsidRPr="007B38F9" w:rsidRDefault="00863D50">
            <w:pPr>
              <w:rPr>
                <w:rFonts w:ascii="Arial" w:hAnsi="Arial" w:cs="Arial"/>
                <w:b/>
                <w:bCs/>
                <w:sz w:val="18"/>
                <w:szCs w:val="18"/>
              </w:rPr>
            </w:pPr>
            <w:r w:rsidRPr="007B38F9">
              <w:rPr>
                <w:rFonts w:ascii="Arial" w:hAnsi="Arial" w:cs="Arial"/>
                <w:b/>
                <w:bCs/>
                <w:sz w:val="18"/>
                <w:szCs w:val="18"/>
              </w:rPr>
              <w:t>Rashodi poslovanja</w:t>
            </w:r>
          </w:p>
        </w:tc>
        <w:tc>
          <w:tcPr>
            <w:tcW w:w="1264" w:type="dxa"/>
            <w:noWrap/>
            <w:vAlign w:val="bottom"/>
            <w:hideMark/>
          </w:tcPr>
          <w:p w14:paraId="40FB67FD"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1.000,00</w:t>
            </w:r>
          </w:p>
        </w:tc>
        <w:tc>
          <w:tcPr>
            <w:tcW w:w="0" w:type="auto"/>
            <w:noWrap/>
            <w:vAlign w:val="bottom"/>
            <w:hideMark/>
          </w:tcPr>
          <w:p w14:paraId="07D12D54"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3.000,00</w:t>
            </w:r>
          </w:p>
        </w:tc>
        <w:tc>
          <w:tcPr>
            <w:tcW w:w="0" w:type="auto"/>
            <w:noWrap/>
            <w:vAlign w:val="bottom"/>
            <w:hideMark/>
          </w:tcPr>
          <w:p w14:paraId="7EC4AFE0"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300,00</w:t>
            </w:r>
          </w:p>
        </w:tc>
        <w:tc>
          <w:tcPr>
            <w:tcW w:w="1517" w:type="dxa"/>
            <w:noWrap/>
            <w:vAlign w:val="bottom"/>
            <w:hideMark/>
          </w:tcPr>
          <w:p w14:paraId="5A9C25B3"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4.000,00</w:t>
            </w:r>
          </w:p>
        </w:tc>
      </w:tr>
      <w:tr w:rsidR="007B38F9" w:rsidRPr="007B38F9" w14:paraId="501F7651" w14:textId="77777777" w:rsidTr="007B38F9">
        <w:trPr>
          <w:trHeight w:val="255"/>
        </w:trPr>
        <w:tc>
          <w:tcPr>
            <w:tcW w:w="0" w:type="auto"/>
            <w:noWrap/>
            <w:vAlign w:val="bottom"/>
            <w:hideMark/>
          </w:tcPr>
          <w:p w14:paraId="66007D2D" w14:textId="77777777" w:rsidR="00863D50" w:rsidRPr="007B38F9" w:rsidRDefault="00863D50">
            <w:pPr>
              <w:rPr>
                <w:rFonts w:ascii="Arial" w:hAnsi="Arial" w:cs="Arial"/>
                <w:sz w:val="18"/>
                <w:szCs w:val="18"/>
              </w:rPr>
            </w:pPr>
            <w:r w:rsidRPr="007B38F9">
              <w:rPr>
                <w:rFonts w:ascii="Arial" w:hAnsi="Arial" w:cs="Arial"/>
                <w:sz w:val="18"/>
                <w:szCs w:val="18"/>
              </w:rPr>
              <w:t>32</w:t>
            </w:r>
          </w:p>
        </w:tc>
        <w:tc>
          <w:tcPr>
            <w:tcW w:w="3853" w:type="dxa"/>
            <w:noWrap/>
            <w:vAlign w:val="bottom"/>
            <w:hideMark/>
          </w:tcPr>
          <w:p w14:paraId="3BCF1950" w14:textId="77777777" w:rsidR="00863D50" w:rsidRPr="007B38F9" w:rsidRDefault="00863D50">
            <w:pPr>
              <w:rPr>
                <w:rFonts w:ascii="Arial" w:hAnsi="Arial" w:cs="Arial"/>
                <w:sz w:val="18"/>
                <w:szCs w:val="18"/>
              </w:rPr>
            </w:pPr>
            <w:r w:rsidRPr="007B38F9">
              <w:rPr>
                <w:rFonts w:ascii="Arial" w:hAnsi="Arial" w:cs="Arial"/>
                <w:sz w:val="18"/>
                <w:szCs w:val="18"/>
              </w:rPr>
              <w:t>Materijalni rashodi</w:t>
            </w:r>
          </w:p>
        </w:tc>
        <w:tc>
          <w:tcPr>
            <w:tcW w:w="1264" w:type="dxa"/>
            <w:noWrap/>
            <w:vAlign w:val="bottom"/>
            <w:hideMark/>
          </w:tcPr>
          <w:p w14:paraId="130AF678" w14:textId="77777777" w:rsidR="00863D50" w:rsidRPr="007B38F9" w:rsidRDefault="00863D50">
            <w:pPr>
              <w:jc w:val="right"/>
              <w:rPr>
                <w:rFonts w:ascii="Arial" w:hAnsi="Arial" w:cs="Arial"/>
                <w:sz w:val="18"/>
                <w:szCs w:val="18"/>
              </w:rPr>
            </w:pPr>
            <w:r w:rsidRPr="007B38F9">
              <w:rPr>
                <w:rFonts w:ascii="Arial" w:hAnsi="Arial" w:cs="Arial"/>
                <w:sz w:val="18"/>
                <w:szCs w:val="18"/>
              </w:rPr>
              <w:t>1.000,00</w:t>
            </w:r>
          </w:p>
        </w:tc>
        <w:tc>
          <w:tcPr>
            <w:tcW w:w="0" w:type="auto"/>
            <w:noWrap/>
            <w:vAlign w:val="bottom"/>
            <w:hideMark/>
          </w:tcPr>
          <w:p w14:paraId="269E1C5B" w14:textId="77777777" w:rsidR="00863D50" w:rsidRPr="007B38F9" w:rsidRDefault="00863D50">
            <w:pPr>
              <w:jc w:val="right"/>
              <w:rPr>
                <w:rFonts w:ascii="Arial" w:hAnsi="Arial" w:cs="Arial"/>
                <w:sz w:val="18"/>
                <w:szCs w:val="18"/>
              </w:rPr>
            </w:pPr>
            <w:r w:rsidRPr="007B38F9">
              <w:rPr>
                <w:rFonts w:ascii="Arial" w:hAnsi="Arial" w:cs="Arial"/>
                <w:sz w:val="18"/>
                <w:szCs w:val="18"/>
              </w:rPr>
              <w:t>3.000,00</w:t>
            </w:r>
          </w:p>
        </w:tc>
        <w:tc>
          <w:tcPr>
            <w:tcW w:w="0" w:type="auto"/>
            <w:noWrap/>
            <w:vAlign w:val="bottom"/>
            <w:hideMark/>
          </w:tcPr>
          <w:p w14:paraId="1AB2A2D5" w14:textId="77777777" w:rsidR="00863D50" w:rsidRPr="007B38F9" w:rsidRDefault="00863D50">
            <w:pPr>
              <w:jc w:val="right"/>
              <w:rPr>
                <w:rFonts w:ascii="Arial" w:hAnsi="Arial" w:cs="Arial"/>
                <w:sz w:val="18"/>
                <w:szCs w:val="18"/>
              </w:rPr>
            </w:pPr>
            <w:r w:rsidRPr="007B38F9">
              <w:rPr>
                <w:rFonts w:ascii="Arial" w:hAnsi="Arial" w:cs="Arial"/>
                <w:sz w:val="18"/>
                <w:szCs w:val="18"/>
              </w:rPr>
              <w:t>300,00</w:t>
            </w:r>
          </w:p>
        </w:tc>
        <w:tc>
          <w:tcPr>
            <w:tcW w:w="1517" w:type="dxa"/>
            <w:noWrap/>
            <w:vAlign w:val="bottom"/>
            <w:hideMark/>
          </w:tcPr>
          <w:p w14:paraId="521D7BB3" w14:textId="77777777" w:rsidR="00863D50" w:rsidRPr="007B38F9" w:rsidRDefault="00863D50">
            <w:pPr>
              <w:jc w:val="right"/>
              <w:rPr>
                <w:rFonts w:ascii="Arial" w:hAnsi="Arial" w:cs="Arial"/>
                <w:sz w:val="18"/>
                <w:szCs w:val="18"/>
              </w:rPr>
            </w:pPr>
            <w:r w:rsidRPr="007B38F9">
              <w:rPr>
                <w:rFonts w:ascii="Arial" w:hAnsi="Arial" w:cs="Arial"/>
                <w:sz w:val="18"/>
                <w:szCs w:val="18"/>
              </w:rPr>
              <w:t>4.000,00</w:t>
            </w:r>
          </w:p>
        </w:tc>
      </w:tr>
      <w:tr w:rsidR="007B38F9" w:rsidRPr="007B38F9" w14:paraId="1779AA7A" w14:textId="77777777" w:rsidTr="007B38F9">
        <w:trPr>
          <w:trHeight w:val="255"/>
        </w:trPr>
        <w:tc>
          <w:tcPr>
            <w:tcW w:w="0" w:type="auto"/>
            <w:noWrap/>
            <w:vAlign w:val="bottom"/>
            <w:hideMark/>
          </w:tcPr>
          <w:p w14:paraId="620AD7AB" w14:textId="77777777" w:rsidR="00863D50" w:rsidRPr="007B38F9" w:rsidRDefault="00863D50">
            <w:pPr>
              <w:rPr>
                <w:rFonts w:ascii="Arial" w:hAnsi="Arial" w:cs="Arial"/>
                <w:b/>
                <w:bCs/>
                <w:sz w:val="18"/>
                <w:szCs w:val="18"/>
              </w:rPr>
            </w:pPr>
            <w:r w:rsidRPr="007B38F9">
              <w:rPr>
                <w:rFonts w:ascii="Arial" w:hAnsi="Arial" w:cs="Arial"/>
                <w:b/>
                <w:bCs/>
                <w:sz w:val="18"/>
                <w:szCs w:val="18"/>
              </w:rPr>
              <w:t>4</w:t>
            </w:r>
          </w:p>
        </w:tc>
        <w:tc>
          <w:tcPr>
            <w:tcW w:w="3853" w:type="dxa"/>
            <w:noWrap/>
            <w:vAlign w:val="bottom"/>
            <w:hideMark/>
          </w:tcPr>
          <w:p w14:paraId="55009795" w14:textId="77777777" w:rsidR="00863D50" w:rsidRPr="007B38F9" w:rsidRDefault="00863D50">
            <w:pPr>
              <w:rPr>
                <w:rFonts w:ascii="Arial" w:hAnsi="Arial" w:cs="Arial"/>
                <w:b/>
                <w:bCs/>
                <w:sz w:val="18"/>
                <w:szCs w:val="18"/>
              </w:rPr>
            </w:pPr>
            <w:r w:rsidRPr="007B38F9">
              <w:rPr>
                <w:rFonts w:ascii="Arial" w:hAnsi="Arial" w:cs="Arial"/>
                <w:b/>
                <w:bCs/>
                <w:sz w:val="18"/>
                <w:szCs w:val="18"/>
              </w:rPr>
              <w:t>Rashodi za nabavu nefinancijske imovine</w:t>
            </w:r>
          </w:p>
        </w:tc>
        <w:tc>
          <w:tcPr>
            <w:tcW w:w="1264" w:type="dxa"/>
            <w:noWrap/>
            <w:vAlign w:val="bottom"/>
            <w:hideMark/>
          </w:tcPr>
          <w:p w14:paraId="12C40E84"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500,00</w:t>
            </w:r>
          </w:p>
        </w:tc>
        <w:tc>
          <w:tcPr>
            <w:tcW w:w="0" w:type="auto"/>
            <w:noWrap/>
            <w:vAlign w:val="bottom"/>
            <w:hideMark/>
          </w:tcPr>
          <w:p w14:paraId="066D9A33"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0,00</w:t>
            </w:r>
          </w:p>
        </w:tc>
        <w:tc>
          <w:tcPr>
            <w:tcW w:w="0" w:type="auto"/>
            <w:noWrap/>
            <w:vAlign w:val="bottom"/>
            <w:hideMark/>
          </w:tcPr>
          <w:p w14:paraId="35C14B81"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0,00</w:t>
            </w:r>
          </w:p>
        </w:tc>
        <w:tc>
          <w:tcPr>
            <w:tcW w:w="1517" w:type="dxa"/>
            <w:noWrap/>
            <w:vAlign w:val="bottom"/>
            <w:hideMark/>
          </w:tcPr>
          <w:p w14:paraId="537A5773"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500,00</w:t>
            </w:r>
          </w:p>
        </w:tc>
      </w:tr>
      <w:tr w:rsidR="007B38F9" w:rsidRPr="007B38F9" w14:paraId="666708BF" w14:textId="77777777" w:rsidTr="007B38F9">
        <w:trPr>
          <w:trHeight w:val="255"/>
        </w:trPr>
        <w:tc>
          <w:tcPr>
            <w:tcW w:w="0" w:type="auto"/>
            <w:noWrap/>
            <w:vAlign w:val="bottom"/>
            <w:hideMark/>
          </w:tcPr>
          <w:p w14:paraId="318DB9AD" w14:textId="77777777" w:rsidR="00863D50" w:rsidRPr="007B38F9" w:rsidRDefault="00863D50">
            <w:pPr>
              <w:rPr>
                <w:rFonts w:ascii="Arial" w:hAnsi="Arial" w:cs="Arial"/>
                <w:sz w:val="18"/>
                <w:szCs w:val="18"/>
              </w:rPr>
            </w:pPr>
            <w:r w:rsidRPr="007B38F9">
              <w:rPr>
                <w:rFonts w:ascii="Arial" w:hAnsi="Arial" w:cs="Arial"/>
                <w:sz w:val="18"/>
                <w:szCs w:val="18"/>
              </w:rPr>
              <w:t>42</w:t>
            </w:r>
          </w:p>
        </w:tc>
        <w:tc>
          <w:tcPr>
            <w:tcW w:w="3853" w:type="dxa"/>
            <w:noWrap/>
            <w:vAlign w:val="bottom"/>
            <w:hideMark/>
          </w:tcPr>
          <w:p w14:paraId="2518F3E5" w14:textId="77777777" w:rsidR="00863D50" w:rsidRPr="007B38F9" w:rsidRDefault="00863D50">
            <w:pPr>
              <w:rPr>
                <w:rFonts w:ascii="Arial" w:hAnsi="Arial" w:cs="Arial"/>
                <w:sz w:val="18"/>
                <w:szCs w:val="18"/>
              </w:rPr>
            </w:pPr>
            <w:r w:rsidRPr="007B38F9">
              <w:rPr>
                <w:rFonts w:ascii="Arial" w:hAnsi="Arial" w:cs="Arial"/>
                <w:sz w:val="18"/>
                <w:szCs w:val="18"/>
              </w:rPr>
              <w:t>Rashodi za nabavu proizvedene dugotrajne imovine</w:t>
            </w:r>
          </w:p>
        </w:tc>
        <w:tc>
          <w:tcPr>
            <w:tcW w:w="1264" w:type="dxa"/>
            <w:noWrap/>
            <w:vAlign w:val="bottom"/>
            <w:hideMark/>
          </w:tcPr>
          <w:p w14:paraId="49516E0F" w14:textId="77777777" w:rsidR="00863D50" w:rsidRPr="007B38F9" w:rsidRDefault="00863D50">
            <w:pPr>
              <w:jc w:val="right"/>
              <w:rPr>
                <w:rFonts w:ascii="Arial" w:hAnsi="Arial" w:cs="Arial"/>
                <w:sz w:val="18"/>
                <w:szCs w:val="18"/>
              </w:rPr>
            </w:pPr>
            <w:r w:rsidRPr="007B38F9">
              <w:rPr>
                <w:rFonts w:ascii="Arial" w:hAnsi="Arial" w:cs="Arial"/>
                <w:sz w:val="18"/>
                <w:szCs w:val="18"/>
              </w:rPr>
              <w:t>500,00</w:t>
            </w:r>
          </w:p>
        </w:tc>
        <w:tc>
          <w:tcPr>
            <w:tcW w:w="0" w:type="auto"/>
            <w:noWrap/>
            <w:vAlign w:val="bottom"/>
            <w:hideMark/>
          </w:tcPr>
          <w:p w14:paraId="53F8156E" w14:textId="77777777" w:rsidR="00863D50" w:rsidRPr="007B38F9" w:rsidRDefault="00863D50">
            <w:pPr>
              <w:jc w:val="right"/>
              <w:rPr>
                <w:rFonts w:ascii="Arial" w:hAnsi="Arial" w:cs="Arial"/>
                <w:sz w:val="18"/>
                <w:szCs w:val="18"/>
              </w:rPr>
            </w:pPr>
            <w:r w:rsidRPr="007B38F9">
              <w:rPr>
                <w:rFonts w:ascii="Arial" w:hAnsi="Arial" w:cs="Arial"/>
                <w:sz w:val="18"/>
                <w:szCs w:val="18"/>
              </w:rPr>
              <w:t>0,00</w:t>
            </w:r>
          </w:p>
        </w:tc>
        <w:tc>
          <w:tcPr>
            <w:tcW w:w="0" w:type="auto"/>
            <w:noWrap/>
            <w:vAlign w:val="bottom"/>
            <w:hideMark/>
          </w:tcPr>
          <w:p w14:paraId="6F5B10F3" w14:textId="77777777" w:rsidR="00863D50" w:rsidRPr="007B38F9" w:rsidRDefault="00863D50">
            <w:pPr>
              <w:jc w:val="right"/>
              <w:rPr>
                <w:rFonts w:ascii="Arial" w:hAnsi="Arial" w:cs="Arial"/>
                <w:sz w:val="18"/>
                <w:szCs w:val="18"/>
              </w:rPr>
            </w:pPr>
            <w:r w:rsidRPr="007B38F9">
              <w:rPr>
                <w:rFonts w:ascii="Arial" w:hAnsi="Arial" w:cs="Arial"/>
                <w:sz w:val="18"/>
                <w:szCs w:val="18"/>
              </w:rPr>
              <w:t>0,00</w:t>
            </w:r>
          </w:p>
        </w:tc>
        <w:tc>
          <w:tcPr>
            <w:tcW w:w="1517" w:type="dxa"/>
            <w:noWrap/>
            <w:vAlign w:val="bottom"/>
            <w:hideMark/>
          </w:tcPr>
          <w:p w14:paraId="13A61B03" w14:textId="77777777" w:rsidR="00863D50" w:rsidRPr="007B38F9" w:rsidRDefault="00863D50">
            <w:pPr>
              <w:jc w:val="right"/>
              <w:rPr>
                <w:rFonts w:ascii="Arial" w:hAnsi="Arial" w:cs="Arial"/>
                <w:sz w:val="18"/>
                <w:szCs w:val="18"/>
              </w:rPr>
            </w:pPr>
            <w:r w:rsidRPr="007B38F9">
              <w:rPr>
                <w:rFonts w:ascii="Arial" w:hAnsi="Arial" w:cs="Arial"/>
                <w:sz w:val="18"/>
                <w:szCs w:val="18"/>
              </w:rPr>
              <w:t>500,00</w:t>
            </w:r>
          </w:p>
        </w:tc>
      </w:tr>
      <w:tr w:rsidR="007B38F9" w:rsidRPr="007B38F9" w14:paraId="087BFAF3" w14:textId="77777777" w:rsidTr="007B38F9">
        <w:trPr>
          <w:trHeight w:val="255"/>
        </w:trPr>
        <w:tc>
          <w:tcPr>
            <w:tcW w:w="4596" w:type="dxa"/>
            <w:gridSpan w:val="2"/>
            <w:shd w:val="clear" w:color="auto" w:fill="D9D9D9" w:themeFill="background1" w:themeFillShade="D9"/>
            <w:noWrap/>
            <w:vAlign w:val="bottom"/>
            <w:hideMark/>
          </w:tcPr>
          <w:p w14:paraId="19C76C3E"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Aktivnost A500006 Osiguranje pomoćnika učenicima s teškoćama</w:t>
            </w:r>
          </w:p>
        </w:tc>
        <w:tc>
          <w:tcPr>
            <w:tcW w:w="1264" w:type="dxa"/>
            <w:shd w:val="clear" w:color="auto" w:fill="D9D9D9" w:themeFill="background1" w:themeFillShade="D9"/>
            <w:noWrap/>
            <w:vAlign w:val="bottom"/>
            <w:hideMark/>
          </w:tcPr>
          <w:p w14:paraId="12904CBC"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117.250,00</w:t>
            </w:r>
          </w:p>
        </w:tc>
        <w:tc>
          <w:tcPr>
            <w:tcW w:w="0" w:type="auto"/>
            <w:shd w:val="clear" w:color="auto" w:fill="D9D9D9" w:themeFill="background1" w:themeFillShade="D9"/>
            <w:noWrap/>
            <w:vAlign w:val="bottom"/>
            <w:hideMark/>
          </w:tcPr>
          <w:p w14:paraId="44DC8357"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700,00</w:t>
            </w:r>
          </w:p>
        </w:tc>
        <w:tc>
          <w:tcPr>
            <w:tcW w:w="0" w:type="auto"/>
            <w:shd w:val="clear" w:color="auto" w:fill="D9D9D9" w:themeFill="background1" w:themeFillShade="D9"/>
            <w:noWrap/>
            <w:vAlign w:val="bottom"/>
            <w:hideMark/>
          </w:tcPr>
          <w:p w14:paraId="5AA77F8A"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0,60</w:t>
            </w:r>
          </w:p>
        </w:tc>
        <w:tc>
          <w:tcPr>
            <w:tcW w:w="1517" w:type="dxa"/>
            <w:shd w:val="clear" w:color="auto" w:fill="D9D9D9" w:themeFill="background1" w:themeFillShade="D9"/>
            <w:noWrap/>
            <w:vAlign w:val="bottom"/>
            <w:hideMark/>
          </w:tcPr>
          <w:p w14:paraId="66D4B04A"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117.950,00</w:t>
            </w:r>
          </w:p>
        </w:tc>
      </w:tr>
      <w:tr w:rsidR="007B38F9" w:rsidRPr="007B38F9" w14:paraId="758AD426" w14:textId="77777777" w:rsidTr="007B38F9">
        <w:trPr>
          <w:trHeight w:val="255"/>
        </w:trPr>
        <w:tc>
          <w:tcPr>
            <w:tcW w:w="4596" w:type="dxa"/>
            <w:gridSpan w:val="2"/>
            <w:shd w:val="clear" w:color="auto" w:fill="FFFFFF" w:themeFill="background1"/>
            <w:noWrap/>
            <w:vAlign w:val="bottom"/>
            <w:hideMark/>
          </w:tcPr>
          <w:p w14:paraId="1756FD9E"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1. OPĆI PRIHODI I PRIMICI</w:t>
            </w:r>
          </w:p>
        </w:tc>
        <w:tc>
          <w:tcPr>
            <w:tcW w:w="1264" w:type="dxa"/>
            <w:shd w:val="clear" w:color="auto" w:fill="FFFFFF" w:themeFill="background1"/>
            <w:noWrap/>
            <w:vAlign w:val="bottom"/>
            <w:hideMark/>
          </w:tcPr>
          <w:p w14:paraId="7F4C58DB"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43.600,00</w:t>
            </w:r>
          </w:p>
        </w:tc>
        <w:tc>
          <w:tcPr>
            <w:tcW w:w="0" w:type="auto"/>
            <w:shd w:val="clear" w:color="auto" w:fill="FFFFFF" w:themeFill="background1"/>
            <w:noWrap/>
            <w:vAlign w:val="bottom"/>
            <w:hideMark/>
          </w:tcPr>
          <w:p w14:paraId="2EF9CE2F"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300,00</w:t>
            </w:r>
          </w:p>
        </w:tc>
        <w:tc>
          <w:tcPr>
            <w:tcW w:w="0" w:type="auto"/>
            <w:shd w:val="clear" w:color="auto" w:fill="FFFFFF" w:themeFill="background1"/>
            <w:noWrap/>
            <w:vAlign w:val="bottom"/>
            <w:hideMark/>
          </w:tcPr>
          <w:p w14:paraId="4067A808"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0,69</w:t>
            </w:r>
          </w:p>
        </w:tc>
        <w:tc>
          <w:tcPr>
            <w:tcW w:w="1517" w:type="dxa"/>
            <w:shd w:val="clear" w:color="auto" w:fill="FFFFFF" w:themeFill="background1"/>
            <w:noWrap/>
            <w:vAlign w:val="bottom"/>
            <w:hideMark/>
          </w:tcPr>
          <w:p w14:paraId="63A61545"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43.900,00</w:t>
            </w:r>
          </w:p>
        </w:tc>
      </w:tr>
      <w:tr w:rsidR="007B38F9" w:rsidRPr="007B38F9" w14:paraId="4AE48C89" w14:textId="77777777" w:rsidTr="007B38F9">
        <w:trPr>
          <w:trHeight w:val="255"/>
        </w:trPr>
        <w:tc>
          <w:tcPr>
            <w:tcW w:w="4596" w:type="dxa"/>
            <w:gridSpan w:val="2"/>
            <w:shd w:val="clear" w:color="auto" w:fill="FFFFFF" w:themeFill="background1"/>
            <w:noWrap/>
            <w:vAlign w:val="bottom"/>
            <w:hideMark/>
          </w:tcPr>
          <w:p w14:paraId="69F9BF12"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1.1. PRIHODI IZ NADLEŽNOG PRORAČUNA</w:t>
            </w:r>
          </w:p>
        </w:tc>
        <w:tc>
          <w:tcPr>
            <w:tcW w:w="1264" w:type="dxa"/>
            <w:shd w:val="clear" w:color="auto" w:fill="FFFFFF" w:themeFill="background1"/>
            <w:noWrap/>
            <w:vAlign w:val="bottom"/>
            <w:hideMark/>
          </w:tcPr>
          <w:p w14:paraId="2D240CC0"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43.600,00</w:t>
            </w:r>
          </w:p>
        </w:tc>
        <w:tc>
          <w:tcPr>
            <w:tcW w:w="0" w:type="auto"/>
            <w:shd w:val="clear" w:color="auto" w:fill="FFFFFF" w:themeFill="background1"/>
            <w:noWrap/>
            <w:vAlign w:val="bottom"/>
            <w:hideMark/>
          </w:tcPr>
          <w:p w14:paraId="5B09FB37"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300,00</w:t>
            </w:r>
          </w:p>
        </w:tc>
        <w:tc>
          <w:tcPr>
            <w:tcW w:w="0" w:type="auto"/>
            <w:shd w:val="clear" w:color="auto" w:fill="FFFFFF" w:themeFill="background1"/>
            <w:noWrap/>
            <w:vAlign w:val="bottom"/>
            <w:hideMark/>
          </w:tcPr>
          <w:p w14:paraId="28F7422D"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0,69</w:t>
            </w:r>
          </w:p>
        </w:tc>
        <w:tc>
          <w:tcPr>
            <w:tcW w:w="1517" w:type="dxa"/>
            <w:shd w:val="clear" w:color="auto" w:fill="FFFFFF" w:themeFill="background1"/>
            <w:noWrap/>
            <w:vAlign w:val="bottom"/>
            <w:hideMark/>
          </w:tcPr>
          <w:p w14:paraId="30B27FFB"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43.900,00</w:t>
            </w:r>
          </w:p>
        </w:tc>
      </w:tr>
      <w:tr w:rsidR="007B38F9" w:rsidRPr="007B38F9" w14:paraId="3C3313BD" w14:textId="77777777" w:rsidTr="007B38F9">
        <w:trPr>
          <w:trHeight w:val="255"/>
        </w:trPr>
        <w:tc>
          <w:tcPr>
            <w:tcW w:w="0" w:type="auto"/>
            <w:shd w:val="clear" w:color="auto" w:fill="FFFFFF" w:themeFill="background1"/>
            <w:noWrap/>
            <w:vAlign w:val="bottom"/>
            <w:hideMark/>
          </w:tcPr>
          <w:p w14:paraId="3CF04121" w14:textId="77777777" w:rsidR="00863D50" w:rsidRPr="007B38F9" w:rsidRDefault="00863D50">
            <w:pPr>
              <w:rPr>
                <w:rFonts w:ascii="Arial" w:hAnsi="Arial" w:cs="Arial"/>
                <w:b/>
                <w:bCs/>
                <w:sz w:val="18"/>
                <w:szCs w:val="18"/>
              </w:rPr>
            </w:pPr>
            <w:r w:rsidRPr="007B38F9">
              <w:rPr>
                <w:rFonts w:ascii="Arial" w:hAnsi="Arial" w:cs="Arial"/>
                <w:b/>
                <w:bCs/>
                <w:sz w:val="18"/>
                <w:szCs w:val="18"/>
              </w:rPr>
              <w:t>3</w:t>
            </w:r>
          </w:p>
        </w:tc>
        <w:tc>
          <w:tcPr>
            <w:tcW w:w="3853" w:type="dxa"/>
            <w:shd w:val="clear" w:color="auto" w:fill="FFFFFF" w:themeFill="background1"/>
            <w:noWrap/>
            <w:vAlign w:val="bottom"/>
            <w:hideMark/>
          </w:tcPr>
          <w:p w14:paraId="67FF7543" w14:textId="77777777" w:rsidR="00863D50" w:rsidRPr="007B38F9" w:rsidRDefault="00863D50">
            <w:pPr>
              <w:rPr>
                <w:rFonts w:ascii="Arial" w:hAnsi="Arial" w:cs="Arial"/>
                <w:b/>
                <w:bCs/>
                <w:sz w:val="18"/>
                <w:szCs w:val="18"/>
              </w:rPr>
            </w:pPr>
            <w:r w:rsidRPr="007B38F9">
              <w:rPr>
                <w:rFonts w:ascii="Arial" w:hAnsi="Arial" w:cs="Arial"/>
                <w:b/>
                <w:bCs/>
                <w:sz w:val="18"/>
                <w:szCs w:val="18"/>
              </w:rPr>
              <w:t>Rashodi poslovanja</w:t>
            </w:r>
          </w:p>
        </w:tc>
        <w:tc>
          <w:tcPr>
            <w:tcW w:w="1264" w:type="dxa"/>
            <w:shd w:val="clear" w:color="auto" w:fill="FFFFFF" w:themeFill="background1"/>
            <w:noWrap/>
            <w:vAlign w:val="bottom"/>
            <w:hideMark/>
          </w:tcPr>
          <w:p w14:paraId="4E428938"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43.600,00</w:t>
            </w:r>
          </w:p>
        </w:tc>
        <w:tc>
          <w:tcPr>
            <w:tcW w:w="0" w:type="auto"/>
            <w:shd w:val="clear" w:color="auto" w:fill="FFFFFF" w:themeFill="background1"/>
            <w:noWrap/>
            <w:vAlign w:val="bottom"/>
            <w:hideMark/>
          </w:tcPr>
          <w:p w14:paraId="6997092D"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300,00</w:t>
            </w:r>
          </w:p>
        </w:tc>
        <w:tc>
          <w:tcPr>
            <w:tcW w:w="0" w:type="auto"/>
            <w:shd w:val="clear" w:color="auto" w:fill="FFFFFF" w:themeFill="background1"/>
            <w:noWrap/>
            <w:vAlign w:val="bottom"/>
            <w:hideMark/>
          </w:tcPr>
          <w:p w14:paraId="6247E966"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0,69</w:t>
            </w:r>
          </w:p>
        </w:tc>
        <w:tc>
          <w:tcPr>
            <w:tcW w:w="1517" w:type="dxa"/>
            <w:shd w:val="clear" w:color="auto" w:fill="FFFFFF" w:themeFill="background1"/>
            <w:noWrap/>
            <w:vAlign w:val="bottom"/>
            <w:hideMark/>
          </w:tcPr>
          <w:p w14:paraId="7BD1D707"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43.900,00</w:t>
            </w:r>
          </w:p>
        </w:tc>
      </w:tr>
      <w:tr w:rsidR="007B38F9" w:rsidRPr="007B38F9" w14:paraId="408D069B" w14:textId="77777777" w:rsidTr="007B38F9">
        <w:trPr>
          <w:trHeight w:val="255"/>
        </w:trPr>
        <w:tc>
          <w:tcPr>
            <w:tcW w:w="0" w:type="auto"/>
            <w:shd w:val="clear" w:color="auto" w:fill="FFFFFF" w:themeFill="background1"/>
            <w:noWrap/>
            <w:vAlign w:val="bottom"/>
            <w:hideMark/>
          </w:tcPr>
          <w:p w14:paraId="0E891E98" w14:textId="77777777" w:rsidR="00863D50" w:rsidRPr="007B38F9" w:rsidRDefault="00863D50">
            <w:pPr>
              <w:rPr>
                <w:rFonts w:ascii="Arial" w:hAnsi="Arial" w:cs="Arial"/>
                <w:sz w:val="18"/>
                <w:szCs w:val="18"/>
              </w:rPr>
            </w:pPr>
            <w:r w:rsidRPr="007B38F9">
              <w:rPr>
                <w:rFonts w:ascii="Arial" w:hAnsi="Arial" w:cs="Arial"/>
                <w:sz w:val="18"/>
                <w:szCs w:val="18"/>
              </w:rPr>
              <w:t>31</w:t>
            </w:r>
          </w:p>
        </w:tc>
        <w:tc>
          <w:tcPr>
            <w:tcW w:w="3853" w:type="dxa"/>
            <w:shd w:val="clear" w:color="auto" w:fill="FFFFFF" w:themeFill="background1"/>
            <w:noWrap/>
            <w:vAlign w:val="bottom"/>
            <w:hideMark/>
          </w:tcPr>
          <w:p w14:paraId="3D675408" w14:textId="77777777" w:rsidR="00863D50" w:rsidRPr="007B38F9" w:rsidRDefault="00863D50">
            <w:pPr>
              <w:rPr>
                <w:rFonts w:ascii="Arial" w:hAnsi="Arial" w:cs="Arial"/>
                <w:sz w:val="18"/>
                <w:szCs w:val="18"/>
              </w:rPr>
            </w:pPr>
            <w:r w:rsidRPr="007B38F9">
              <w:rPr>
                <w:rFonts w:ascii="Arial" w:hAnsi="Arial" w:cs="Arial"/>
                <w:sz w:val="18"/>
                <w:szCs w:val="18"/>
              </w:rPr>
              <w:t>Rashodi za zaposlene</w:t>
            </w:r>
          </w:p>
        </w:tc>
        <w:tc>
          <w:tcPr>
            <w:tcW w:w="1264" w:type="dxa"/>
            <w:shd w:val="clear" w:color="auto" w:fill="FFFFFF" w:themeFill="background1"/>
            <w:noWrap/>
            <w:vAlign w:val="bottom"/>
            <w:hideMark/>
          </w:tcPr>
          <w:p w14:paraId="400F9431" w14:textId="77777777" w:rsidR="00863D50" w:rsidRPr="007B38F9" w:rsidRDefault="00863D50">
            <w:pPr>
              <w:jc w:val="right"/>
              <w:rPr>
                <w:rFonts w:ascii="Arial" w:hAnsi="Arial" w:cs="Arial"/>
                <w:sz w:val="18"/>
                <w:szCs w:val="18"/>
              </w:rPr>
            </w:pPr>
            <w:r w:rsidRPr="007B38F9">
              <w:rPr>
                <w:rFonts w:ascii="Arial" w:hAnsi="Arial" w:cs="Arial"/>
                <w:sz w:val="18"/>
                <w:szCs w:val="18"/>
              </w:rPr>
              <w:t>43.600,00</w:t>
            </w:r>
          </w:p>
        </w:tc>
        <w:tc>
          <w:tcPr>
            <w:tcW w:w="0" w:type="auto"/>
            <w:shd w:val="clear" w:color="auto" w:fill="FFFFFF" w:themeFill="background1"/>
            <w:noWrap/>
            <w:vAlign w:val="bottom"/>
            <w:hideMark/>
          </w:tcPr>
          <w:p w14:paraId="30B4FB1C" w14:textId="77777777" w:rsidR="00863D50" w:rsidRPr="007B38F9" w:rsidRDefault="00863D50">
            <w:pPr>
              <w:jc w:val="right"/>
              <w:rPr>
                <w:rFonts w:ascii="Arial" w:hAnsi="Arial" w:cs="Arial"/>
                <w:sz w:val="18"/>
                <w:szCs w:val="18"/>
              </w:rPr>
            </w:pPr>
            <w:r w:rsidRPr="007B38F9">
              <w:rPr>
                <w:rFonts w:ascii="Arial" w:hAnsi="Arial" w:cs="Arial"/>
                <w:sz w:val="18"/>
                <w:szCs w:val="18"/>
              </w:rPr>
              <w:t>300,00</w:t>
            </w:r>
          </w:p>
        </w:tc>
        <w:tc>
          <w:tcPr>
            <w:tcW w:w="0" w:type="auto"/>
            <w:shd w:val="clear" w:color="auto" w:fill="FFFFFF" w:themeFill="background1"/>
            <w:noWrap/>
            <w:vAlign w:val="bottom"/>
            <w:hideMark/>
          </w:tcPr>
          <w:p w14:paraId="2A123CD0" w14:textId="77777777" w:rsidR="00863D50" w:rsidRPr="007B38F9" w:rsidRDefault="00863D50">
            <w:pPr>
              <w:jc w:val="right"/>
              <w:rPr>
                <w:rFonts w:ascii="Arial" w:hAnsi="Arial" w:cs="Arial"/>
                <w:sz w:val="18"/>
                <w:szCs w:val="18"/>
              </w:rPr>
            </w:pPr>
            <w:r w:rsidRPr="007B38F9">
              <w:rPr>
                <w:rFonts w:ascii="Arial" w:hAnsi="Arial" w:cs="Arial"/>
                <w:sz w:val="18"/>
                <w:szCs w:val="18"/>
              </w:rPr>
              <w:t>0,69</w:t>
            </w:r>
          </w:p>
        </w:tc>
        <w:tc>
          <w:tcPr>
            <w:tcW w:w="1517" w:type="dxa"/>
            <w:shd w:val="clear" w:color="auto" w:fill="FFFFFF" w:themeFill="background1"/>
            <w:noWrap/>
            <w:vAlign w:val="bottom"/>
            <w:hideMark/>
          </w:tcPr>
          <w:p w14:paraId="18B3B0A9" w14:textId="77777777" w:rsidR="00863D50" w:rsidRPr="007B38F9" w:rsidRDefault="00863D50">
            <w:pPr>
              <w:jc w:val="right"/>
              <w:rPr>
                <w:rFonts w:ascii="Arial" w:hAnsi="Arial" w:cs="Arial"/>
                <w:sz w:val="18"/>
                <w:szCs w:val="18"/>
              </w:rPr>
            </w:pPr>
            <w:r w:rsidRPr="007B38F9">
              <w:rPr>
                <w:rFonts w:ascii="Arial" w:hAnsi="Arial" w:cs="Arial"/>
                <w:sz w:val="18"/>
                <w:szCs w:val="18"/>
              </w:rPr>
              <w:t>43.900,00</w:t>
            </w:r>
          </w:p>
        </w:tc>
      </w:tr>
      <w:tr w:rsidR="007B38F9" w:rsidRPr="007B38F9" w14:paraId="725944A9" w14:textId="77777777" w:rsidTr="007B38F9">
        <w:trPr>
          <w:trHeight w:val="255"/>
        </w:trPr>
        <w:tc>
          <w:tcPr>
            <w:tcW w:w="4596" w:type="dxa"/>
            <w:gridSpan w:val="2"/>
            <w:shd w:val="clear" w:color="auto" w:fill="FFFFFF" w:themeFill="background1"/>
            <w:noWrap/>
            <w:vAlign w:val="bottom"/>
            <w:hideMark/>
          </w:tcPr>
          <w:p w14:paraId="7D433F86"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5. POMOĆI</w:t>
            </w:r>
          </w:p>
        </w:tc>
        <w:tc>
          <w:tcPr>
            <w:tcW w:w="1264" w:type="dxa"/>
            <w:shd w:val="clear" w:color="auto" w:fill="FFFFFF" w:themeFill="background1"/>
            <w:noWrap/>
            <w:vAlign w:val="bottom"/>
            <w:hideMark/>
          </w:tcPr>
          <w:p w14:paraId="17E8E201"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73.650,00</w:t>
            </w:r>
          </w:p>
        </w:tc>
        <w:tc>
          <w:tcPr>
            <w:tcW w:w="0" w:type="auto"/>
            <w:shd w:val="clear" w:color="auto" w:fill="FFFFFF" w:themeFill="background1"/>
            <w:noWrap/>
            <w:vAlign w:val="bottom"/>
            <w:hideMark/>
          </w:tcPr>
          <w:p w14:paraId="5C33109C"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400,00</w:t>
            </w:r>
          </w:p>
        </w:tc>
        <w:tc>
          <w:tcPr>
            <w:tcW w:w="0" w:type="auto"/>
            <w:shd w:val="clear" w:color="auto" w:fill="FFFFFF" w:themeFill="background1"/>
            <w:noWrap/>
            <w:vAlign w:val="bottom"/>
            <w:hideMark/>
          </w:tcPr>
          <w:p w14:paraId="2E111F1E"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0,54</w:t>
            </w:r>
          </w:p>
        </w:tc>
        <w:tc>
          <w:tcPr>
            <w:tcW w:w="1517" w:type="dxa"/>
            <w:shd w:val="clear" w:color="auto" w:fill="FFFFFF" w:themeFill="background1"/>
            <w:noWrap/>
            <w:vAlign w:val="bottom"/>
            <w:hideMark/>
          </w:tcPr>
          <w:p w14:paraId="61E391B2"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74.050,00</w:t>
            </w:r>
          </w:p>
        </w:tc>
      </w:tr>
      <w:tr w:rsidR="007B38F9" w:rsidRPr="007B38F9" w14:paraId="7E979A94" w14:textId="77777777" w:rsidTr="007B38F9">
        <w:trPr>
          <w:trHeight w:val="255"/>
        </w:trPr>
        <w:tc>
          <w:tcPr>
            <w:tcW w:w="4596" w:type="dxa"/>
            <w:gridSpan w:val="2"/>
            <w:shd w:val="clear" w:color="auto" w:fill="FFFFFF" w:themeFill="background1"/>
            <w:noWrap/>
            <w:vAlign w:val="bottom"/>
            <w:hideMark/>
          </w:tcPr>
          <w:p w14:paraId="65ABEFEB"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5.9. POMOĆI-PRIHODI KORISNIKA-GL 02</w:t>
            </w:r>
          </w:p>
        </w:tc>
        <w:tc>
          <w:tcPr>
            <w:tcW w:w="1264" w:type="dxa"/>
            <w:shd w:val="clear" w:color="auto" w:fill="FFFFFF" w:themeFill="background1"/>
            <w:noWrap/>
            <w:vAlign w:val="bottom"/>
            <w:hideMark/>
          </w:tcPr>
          <w:p w14:paraId="101FF333"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73.650,00</w:t>
            </w:r>
          </w:p>
        </w:tc>
        <w:tc>
          <w:tcPr>
            <w:tcW w:w="0" w:type="auto"/>
            <w:shd w:val="clear" w:color="auto" w:fill="FFFFFF" w:themeFill="background1"/>
            <w:noWrap/>
            <w:vAlign w:val="bottom"/>
            <w:hideMark/>
          </w:tcPr>
          <w:p w14:paraId="34C1A36D"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400,00</w:t>
            </w:r>
          </w:p>
        </w:tc>
        <w:tc>
          <w:tcPr>
            <w:tcW w:w="0" w:type="auto"/>
            <w:shd w:val="clear" w:color="auto" w:fill="FFFFFF" w:themeFill="background1"/>
            <w:noWrap/>
            <w:vAlign w:val="bottom"/>
            <w:hideMark/>
          </w:tcPr>
          <w:p w14:paraId="03A75369"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0,54</w:t>
            </w:r>
          </w:p>
        </w:tc>
        <w:tc>
          <w:tcPr>
            <w:tcW w:w="1517" w:type="dxa"/>
            <w:shd w:val="clear" w:color="auto" w:fill="FFFFFF" w:themeFill="background1"/>
            <w:noWrap/>
            <w:vAlign w:val="bottom"/>
            <w:hideMark/>
          </w:tcPr>
          <w:p w14:paraId="45378935"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74.050,00</w:t>
            </w:r>
          </w:p>
        </w:tc>
      </w:tr>
      <w:tr w:rsidR="007B38F9" w:rsidRPr="007B38F9" w14:paraId="03357E6D" w14:textId="77777777" w:rsidTr="007B38F9">
        <w:trPr>
          <w:trHeight w:val="255"/>
        </w:trPr>
        <w:tc>
          <w:tcPr>
            <w:tcW w:w="0" w:type="auto"/>
            <w:shd w:val="clear" w:color="auto" w:fill="FFFFFF" w:themeFill="background1"/>
            <w:noWrap/>
            <w:vAlign w:val="bottom"/>
            <w:hideMark/>
          </w:tcPr>
          <w:p w14:paraId="1912284A" w14:textId="77777777" w:rsidR="00863D50" w:rsidRPr="007B38F9" w:rsidRDefault="00863D50">
            <w:pPr>
              <w:rPr>
                <w:rFonts w:ascii="Arial" w:hAnsi="Arial" w:cs="Arial"/>
                <w:b/>
                <w:bCs/>
                <w:sz w:val="18"/>
                <w:szCs w:val="18"/>
              </w:rPr>
            </w:pPr>
            <w:r w:rsidRPr="007B38F9">
              <w:rPr>
                <w:rFonts w:ascii="Arial" w:hAnsi="Arial" w:cs="Arial"/>
                <w:b/>
                <w:bCs/>
                <w:sz w:val="18"/>
                <w:szCs w:val="18"/>
              </w:rPr>
              <w:t>3</w:t>
            </w:r>
          </w:p>
        </w:tc>
        <w:tc>
          <w:tcPr>
            <w:tcW w:w="3853" w:type="dxa"/>
            <w:shd w:val="clear" w:color="auto" w:fill="FFFFFF" w:themeFill="background1"/>
            <w:noWrap/>
            <w:vAlign w:val="bottom"/>
            <w:hideMark/>
          </w:tcPr>
          <w:p w14:paraId="68A0508F" w14:textId="77777777" w:rsidR="00863D50" w:rsidRPr="007B38F9" w:rsidRDefault="00863D50">
            <w:pPr>
              <w:rPr>
                <w:rFonts w:ascii="Arial" w:hAnsi="Arial" w:cs="Arial"/>
                <w:b/>
                <w:bCs/>
                <w:sz w:val="18"/>
                <w:szCs w:val="18"/>
              </w:rPr>
            </w:pPr>
            <w:r w:rsidRPr="007B38F9">
              <w:rPr>
                <w:rFonts w:ascii="Arial" w:hAnsi="Arial" w:cs="Arial"/>
                <w:b/>
                <w:bCs/>
                <w:sz w:val="18"/>
                <w:szCs w:val="18"/>
              </w:rPr>
              <w:t>Rashodi poslovanja</w:t>
            </w:r>
          </w:p>
        </w:tc>
        <w:tc>
          <w:tcPr>
            <w:tcW w:w="1264" w:type="dxa"/>
            <w:shd w:val="clear" w:color="auto" w:fill="FFFFFF" w:themeFill="background1"/>
            <w:noWrap/>
            <w:vAlign w:val="bottom"/>
            <w:hideMark/>
          </w:tcPr>
          <w:p w14:paraId="693F6832"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73.650,00</w:t>
            </w:r>
          </w:p>
        </w:tc>
        <w:tc>
          <w:tcPr>
            <w:tcW w:w="0" w:type="auto"/>
            <w:shd w:val="clear" w:color="auto" w:fill="FFFFFF" w:themeFill="background1"/>
            <w:noWrap/>
            <w:vAlign w:val="bottom"/>
            <w:hideMark/>
          </w:tcPr>
          <w:p w14:paraId="408D35BC"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400,00</w:t>
            </w:r>
          </w:p>
        </w:tc>
        <w:tc>
          <w:tcPr>
            <w:tcW w:w="0" w:type="auto"/>
            <w:shd w:val="clear" w:color="auto" w:fill="FFFFFF" w:themeFill="background1"/>
            <w:noWrap/>
            <w:vAlign w:val="bottom"/>
            <w:hideMark/>
          </w:tcPr>
          <w:p w14:paraId="04533289"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0,54</w:t>
            </w:r>
          </w:p>
        </w:tc>
        <w:tc>
          <w:tcPr>
            <w:tcW w:w="1517" w:type="dxa"/>
            <w:shd w:val="clear" w:color="auto" w:fill="FFFFFF" w:themeFill="background1"/>
            <w:noWrap/>
            <w:vAlign w:val="bottom"/>
            <w:hideMark/>
          </w:tcPr>
          <w:p w14:paraId="06C65EF5"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74.050,00</w:t>
            </w:r>
          </w:p>
        </w:tc>
      </w:tr>
      <w:tr w:rsidR="007B38F9" w:rsidRPr="007B38F9" w14:paraId="4CD1E233" w14:textId="77777777" w:rsidTr="007B38F9">
        <w:trPr>
          <w:trHeight w:val="255"/>
        </w:trPr>
        <w:tc>
          <w:tcPr>
            <w:tcW w:w="0" w:type="auto"/>
            <w:noWrap/>
            <w:vAlign w:val="bottom"/>
            <w:hideMark/>
          </w:tcPr>
          <w:p w14:paraId="363FCF86" w14:textId="77777777" w:rsidR="00863D50" w:rsidRPr="007B38F9" w:rsidRDefault="00863D50">
            <w:pPr>
              <w:rPr>
                <w:rFonts w:ascii="Arial" w:hAnsi="Arial" w:cs="Arial"/>
                <w:sz w:val="18"/>
                <w:szCs w:val="18"/>
              </w:rPr>
            </w:pPr>
            <w:r w:rsidRPr="007B38F9">
              <w:rPr>
                <w:rFonts w:ascii="Arial" w:hAnsi="Arial" w:cs="Arial"/>
                <w:sz w:val="18"/>
                <w:szCs w:val="18"/>
              </w:rPr>
              <w:t>31</w:t>
            </w:r>
          </w:p>
        </w:tc>
        <w:tc>
          <w:tcPr>
            <w:tcW w:w="3853" w:type="dxa"/>
            <w:noWrap/>
            <w:vAlign w:val="bottom"/>
            <w:hideMark/>
          </w:tcPr>
          <w:p w14:paraId="49091CCD" w14:textId="77777777" w:rsidR="00863D50" w:rsidRPr="007B38F9" w:rsidRDefault="00863D50">
            <w:pPr>
              <w:rPr>
                <w:rFonts w:ascii="Arial" w:hAnsi="Arial" w:cs="Arial"/>
                <w:sz w:val="18"/>
                <w:szCs w:val="18"/>
              </w:rPr>
            </w:pPr>
            <w:r w:rsidRPr="007B38F9">
              <w:rPr>
                <w:rFonts w:ascii="Arial" w:hAnsi="Arial" w:cs="Arial"/>
                <w:sz w:val="18"/>
                <w:szCs w:val="18"/>
              </w:rPr>
              <w:t>Rashodi za zaposlene</w:t>
            </w:r>
          </w:p>
        </w:tc>
        <w:tc>
          <w:tcPr>
            <w:tcW w:w="1264" w:type="dxa"/>
            <w:noWrap/>
            <w:vAlign w:val="bottom"/>
            <w:hideMark/>
          </w:tcPr>
          <w:p w14:paraId="7DA2BC23" w14:textId="77777777" w:rsidR="00863D50" w:rsidRPr="007B38F9" w:rsidRDefault="00863D50">
            <w:pPr>
              <w:jc w:val="right"/>
              <w:rPr>
                <w:rFonts w:ascii="Arial" w:hAnsi="Arial" w:cs="Arial"/>
                <w:sz w:val="18"/>
                <w:szCs w:val="18"/>
              </w:rPr>
            </w:pPr>
            <w:r w:rsidRPr="007B38F9">
              <w:rPr>
                <w:rFonts w:ascii="Arial" w:hAnsi="Arial" w:cs="Arial"/>
                <w:sz w:val="18"/>
                <w:szCs w:val="18"/>
              </w:rPr>
              <w:t>69.500,00</w:t>
            </w:r>
          </w:p>
        </w:tc>
        <w:tc>
          <w:tcPr>
            <w:tcW w:w="0" w:type="auto"/>
            <w:noWrap/>
            <w:vAlign w:val="bottom"/>
            <w:hideMark/>
          </w:tcPr>
          <w:p w14:paraId="6718787C" w14:textId="77777777" w:rsidR="00863D50" w:rsidRPr="007B38F9" w:rsidRDefault="00863D50">
            <w:pPr>
              <w:jc w:val="right"/>
              <w:rPr>
                <w:rFonts w:ascii="Arial" w:hAnsi="Arial" w:cs="Arial"/>
                <w:sz w:val="18"/>
                <w:szCs w:val="18"/>
              </w:rPr>
            </w:pPr>
            <w:r w:rsidRPr="007B38F9">
              <w:rPr>
                <w:rFonts w:ascii="Arial" w:hAnsi="Arial" w:cs="Arial"/>
                <w:sz w:val="18"/>
                <w:szCs w:val="18"/>
              </w:rPr>
              <w:t>200,00</w:t>
            </w:r>
          </w:p>
        </w:tc>
        <w:tc>
          <w:tcPr>
            <w:tcW w:w="0" w:type="auto"/>
            <w:noWrap/>
            <w:vAlign w:val="bottom"/>
            <w:hideMark/>
          </w:tcPr>
          <w:p w14:paraId="30D30AEF" w14:textId="77777777" w:rsidR="00863D50" w:rsidRPr="007B38F9" w:rsidRDefault="00863D50">
            <w:pPr>
              <w:jc w:val="right"/>
              <w:rPr>
                <w:rFonts w:ascii="Arial" w:hAnsi="Arial" w:cs="Arial"/>
                <w:sz w:val="18"/>
                <w:szCs w:val="18"/>
              </w:rPr>
            </w:pPr>
            <w:r w:rsidRPr="007B38F9">
              <w:rPr>
                <w:rFonts w:ascii="Arial" w:hAnsi="Arial" w:cs="Arial"/>
                <w:sz w:val="18"/>
                <w:szCs w:val="18"/>
              </w:rPr>
              <w:t>0,29</w:t>
            </w:r>
          </w:p>
        </w:tc>
        <w:tc>
          <w:tcPr>
            <w:tcW w:w="1517" w:type="dxa"/>
            <w:noWrap/>
            <w:vAlign w:val="bottom"/>
            <w:hideMark/>
          </w:tcPr>
          <w:p w14:paraId="2B573D28" w14:textId="77777777" w:rsidR="00863D50" w:rsidRPr="007B38F9" w:rsidRDefault="00863D50">
            <w:pPr>
              <w:jc w:val="right"/>
              <w:rPr>
                <w:rFonts w:ascii="Arial" w:hAnsi="Arial" w:cs="Arial"/>
                <w:sz w:val="18"/>
                <w:szCs w:val="18"/>
              </w:rPr>
            </w:pPr>
            <w:r w:rsidRPr="007B38F9">
              <w:rPr>
                <w:rFonts w:ascii="Arial" w:hAnsi="Arial" w:cs="Arial"/>
                <w:sz w:val="18"/>
                <w:szCs w:val="18"/>
              </w:rPr>
              <w:t>69.700,00</w:t>
            </w:r>
          </w:p>
        </w:tc>
      </w:tr>
      <w:tr w:rsidR="007B38F9" w:rsidRPr="007B38F9" w14:paraId="629D9B30" w14:textId="77777777" w:rsidTr="007B38F9">
        <w:trPr>
          <w:trHeight w:val="255"/>
        </w:trPr>
        <w:tc>
          <w:tcPr>
            <w:tcW w:w="0" w:type="auto"/>
            <w:noWrap/>
            <w:vAlign w:val="bottom"/>
            <w:hideMark/>
          </w:tcPr>
          <w:p w14:paraId="2ADFA0FC" w14:textId="77777777" w:rsidR="00863D50" w:rsidRPr="007B38F9" w:rsidRDefault="00863D50">
            <w:pPr>
              <w:rPr>
                <w:rFonts w:ascii="Arial" w:hAnsi="Arial" w:cs="Arial"/>
                <w:sz w:val="18"/>
                <w:szCs w:val="18"/>
              </w:rPr>
            </w:pPr>
            <w:r w:rsidRPr="007B38F9">
              <w:rPr>
                <w:rFonts w:ascii="Arial" w:hAnsi="Arial" w:cs="Arial"/>
                <w:sz w:val="18"/>
                <w:szCs w:val="18"/>
              </w:rPr>
              <w:t>32</w:t>
            </w:r>
          </w:p>
        </w:tc>
        <w:tc>
          <w:tcPr>
            <w:tcW w:w="3853" w:type="dxa"/>
            <w:noWrap/>
            <w:vAlign w:val="bottom"/>
            <w:hideMark/>
          </w:tcPr>
          <w:p w14:paraId="602FB0F2" w14:textId="77777777" w:rsidR="00863D50" w:rsidRPr="007B38F9" w:rsidRDefault="00863D50">
            <w:pPr>
              <w:rPr>
                <w:rFonts w:ascii="Arial" w:hAnsi="Arial" w:cs="Arial"/>
                <w:sz w:val="18"/>
                <w:szCs w:val="18"/>
              </w:rPr>
            </w:pPr>
            <w:r w:rsidRPr="007B38F9">
              <w:rPr>
                <w:rFonts w:ascii="Arial" w:hAnsi="Arial" w:cs="Arial"/>
                <w:sz w:val="18"/>
                <w:szCs w:val="18"/>
              </w:rPr>
              <w:t>Materijalni rashodi</w:t>
            </w:r>
          </w:p>
        </w:tc>
        <w:tc>
          <w:tcPr>
            <w:tcW w:w="1264" w:type="dxa"/>
            <w:noWrap/>
            <w:vAlign w:val="bottom"/>
            <w:hideMark/>
          </w:tcPr>
          <w:p w14:paraId="20A4261B" w14:textId="77777777" w:rsidR="00863D50" w:rsidRPr="007B38F9" w:rsidRDefault="00863D50">
            <w:pPr>
              <w:jc w:val="right"/>
              <w:rPr>
                <w:rFonts w:ascii="Arial" w:hAnsi="Arial" w:cs="Arial"/>
                <w:sz w:val="18"/>
                <w:szCs w:val="18"/>
              </w:rPr>
            </w:pPr>
            <w:r w:rsidRPr="007B38F9">
              <w:rPr>
                <w:rFonts w:ascii="Arial" w:hAnsi="Arial" w:cs="Arial"/>
                <w:sz w:val="18"/>
                <w:szCs w:val="18"/>
              </w:rPr>
              <w:t>4.150,00</w:t>
            </w:r>
          </w:p>
        </w:tc>
        <w:tc>
          <w:tcPr>
            <w:tcW w:w="0" w:type="auto"/>
            <w:noWrap/>
            <w:vAlign w:val="bottom"/>
            <w:hideMark/>
          </w:tcPr>
          <w:p w14:paraId="5456ACC1" w14:textId="77777777" w:rsidR="00863D50" w:rsidRPr="007B38F9" w:rsidRDefault="00863D50">
            <w:pPr>
              <w:jc w:val="right"/>
              <w:rPr>
                <w:rFonts w:ascii="Arial" w:hAnsi="Arial" w:cs="Arial"/>
                <w:sz w:val="18"/>
                <w:szCs w:val="18"/>
              </w:rPr>
            </w:pPr>
            <w:r w:rsidRPr="007B38F9">
              <w:rPr>
                <w:rFonts w:ascii="Arial" w:hAnsi="Arial" w:cs="Arial"/>
                <w:sz w:val="18"/>
                <w:szCs w:val="18"/>
              </w:rPr>
              <w:t>200,00</w:t>
            </w:r>
          </w:p>
        </w:tc>
        <w:tc>
          <w:tcPr>
            <w:tcW w:w="0" w:type="auto"/>
            <w:noWrap/>
            <w:vAlign w:val="bottom"/>
            <w:hideMark/>
          </w:tcPr>
          <w:p w14:paraId="1C2E44E1" w14:textId="77777777" w:rsidR="00863D50" w:rsidRPr="007B38F9" w:rsidRDefault="00863D50">
            <w:pPr>
              <w:jc w:val="right"/>
              <w:rPr>
                <w:rFonts w:ascii="Arial" w:hAnsi="Arial" w:cs="Arial"/>
                <w:sz w:val="18"/>
                <w:szCs w:val="18"/>
              </w:rPr>
            </w:pPr>
            <w:r w:rsidRPr="007B38F9">
              <w:rPr>
                <w:rFonts w:ascii="Arial" w:hAnsi="Arial" w:cs="Arial"/>
                <w:sz w:val="18"/>
                <w:szCs w:val="18"/>
              </w:rPr>
              <w:t>4,82</w:t>
            </w:r>
          </w:p>
        </w:tc>
        <w:tc>
          <w:tcPr>
            <w:tcW w:w="1517" w:type="dxa"/>
            <w:noWrap/>
            <w:vAlign w:val="bottom"/>
            <w:hideMark/>
          </w:tcPr>
          <w:p w14:paraId="36151A45" w14:textId="77777777" w:rsidR="00863D50" w:rsidRPr="007B38F9" w:rsidRDefault="00863D50">
            <w:pPr>
              <w:jc w:val="right"/>
              <w:rPr>
                <w:rFonts w:ascii="Arial" w:hAnsi="Arial" w:cs="Arial"/>
                <w:sz w:val="18"/>
                <w:szCs w:val="18"/>
              </w:rPr>
            </w:pPr>
            <w:r w:rsidRPr="007B38F9">
              <w:rPr>
                <w:rFonts w:ascii="Arial" w:hAnsi="Arial" w:cs="Arial"/>
                <w:sz w:val="18"/>
                <w:szCs w:val="18"/>
              </w:rPr>
              <w:t>4.350,00</w:t>
            </w:r>
          </w:p>
        </w:tc>
      </w:tr>
      <w:tr w:rsidR="007B38F9" w:rsidRPr="007B38F9" w14:paraId="5EC32111" w14:textId="77777777" w:rsidTr="007B38F9">
        <w:trPr>
          <w:trHeight w:val="255"/>
        </w:trPr>
        <w:tc>
          <w:tcPr>
            <w:tcW w:w="4596" w:type="dxa"/>
            <w:gridSpan w:val="2"/>
            <w:shd w:val="clear" w:color="auto" w:fill="D9D9D9" w:themeFill="background1" w:themeFillShade="D9"/>
            <w:noWrap/>
            <w:vAlign w:val="bottom"/>
            <w:hideMark/>
          </w:tcPr>
          <w:p w14:paraId="53575D46"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Aktivnost A500007 Financiranje izvannastavnih projekata i drugo</w:t>
            </w:r>
          </w:p>
        </w:tc>
        <w:tc>
          <w:tcPr>
            <w:tcW w:w="1264" w:type="dxa"/>
            <w:shd w:val="clear" w:color="auto" w:fill="D9D9D9" w:themeFill="background1" w:themeFillShade="D9"/>
            <w:noWrap/>
            <w:vAlign w:val="bottom"/>
            <w:hideMark/>
          </w:tcPr>
          <w:p w14:paraId="59A2224A"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3.000,00</w:t>
            </w:r>
          </w:p>
        </w:tc>
        <w:tc>
          <w:tcPr>
            <w:tcW w:w="0" w:type="auto"/>
            <w:shd w:val="clear" w:color="auto" w:fill="D9D9D9" w:themeFill="background1" w:themeFillShade="D9"/>
            <w:noWrap/>
            <w:vAlign w:val="bottom"/>
            <w:hideMark/>
          </w:tcPr>
          <w:p w14:paraId="3C0A653F"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12.250,00</w:t>
            </w:r>
          </w:p>
        </w:tc>
        <w:tc>
          <w:tcPr>
            <w:tcW w:w="0" w:type="auto"/>
            <w:shd w:val="clear" w:color="auto" w:fill="D9D9D9" w:themeFill="background1" w:themeFillShade="D9"/>
            <w:noWrap/>
            <w:vAlign w:val="bottom"/>
            <w:hideMark/>
          </w:tcPr>
          <w:p w14:paraId="75DAFF18"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408,33</w:t>
            </w:r>
          </w:p>
        </w:tc>
        <w:tc>
          <w:tcPr>
            <w:tcW w:w="1517" w:type="dxa"/>
            <w:shd w:val="clear" w:color="auto" w:fill="D9D9D9" w:themeFill="background1" w:themeFillShade="D9"/>
            <w:noWrap/>
            <w:vAlign w:val="bottom"/>
            <w:hideMark/>
          </w:tcPr>
          <w:p w14:paraId="6D793A6C"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15.250,00</w:t>
            </w:r>
          </w:p>
        </w:tc>
      </w:tr>
      <w:tr w:rsidR="007B38F9" w:rsidRPr="007B38F9" w14:paraId="6D3A0CC4" w14:textId="77777777" w:rsidTr="007B38F9">
        <w:trPr>
          <w:trHeight w:val="255"/>
        </w:trPr>
        <w:tc>
          <w:tcPr>
            <w:tcW w:w="4596" w:type="dxa"/>
            <w:gridSpan w:val="2"/>
            <w:shd w:val="clear" w:color="auto" w:fill="FFFFFF" w:themeFill="background1"/>
            <w:noWrap/>
            <w:vAlign w:val="bottom"/>
            <w:hideMark/>
          </w:tcPr>
          <w:p w14:paraId="7ED86F4D"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1. OPĆI PRIHODI I PRIMICI</w:t>
            </w:r>
          </w:p>
        </w:tc>
        <w:tc>
          <w:tcPr>
            <w:tcW w:w="1264" w:type="dxa"/>
            <w:shd w:val="clear" w:color="auto" w:fill="FFFFFF" w:themeFill="background1"/>
            <w:noWrap/>
            <w:vAlign w:val="bottom"/>
            <w:hideMark/>
          </w:tcPr>
          <w:p w14:paraId="5032CCEA"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1.200,00</w:t>
            </w:r>
          </w:p>
        </w:tc>
        <w:tc>
          <w:tcPr>
            <w:tcW w:w="0" w:type="auto"/>
            <w:shd w:val="clear" w:color="auto" w:fill="FFFFFF" w:themeFill="background1"/>
            <w:noWrap/>
            <w:vAlign w:val="bottom"/>
            <w:hideMark/>
          </w:tcPr>
          <w:p w14:paraId="47EC153C"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0,00</w:t>
            </w:r>
          </w:p>
        </w:tc>
        <w:tc>
          <w:tcPr>
            <w:tcW w:w="0" w:type="auto"/>
            <w:shd w:val="clear" w:color="auto" w:fill="FFFFFF" w:themeFill="background1"/>
            <w:noWrap/>
            <w:vAlign w:val="bottom"/>
            <w:hideMark/>
          </w:tcPr>
          <w:p w14:paraId="46F76BAC"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0,00</w:t>
            </w:r>
          </w:p>
        </w:tc>
        <w:tc>
          <w:tcPr>
            <w:tcW w:w="1517" w:type="dxa"/>
            <w:shd w:val="clear" w:color="auto" w:fill="FFFFFF" w:themeFill="background1"/>
            <w:noWrap/>
            <w:vAlign w:val="bottom"/>
            <w:hideMark/>
          </w:tcPr>
          <w:p w14:paraId="1CEA8D43"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1.200,00</w:t>
            </w:r>
          </w:p>
        </w:tc>
      </w:tr>
      <w:tr w:rsidR="007B38F9" w:rsidRPr="007B38F9" w14:paraId="1AFBB749" w14:textId="77777777" w:rsidTr="007B38F9">
        <w:trPr>
          <w:trHeight w:val="255"/>
        </w:trPr>
        <w:tc>
          <w:tcPr>
            <w:tcW w:w="4596" w:type="dxa"/>
            <w:gridSpan w:val="2"/>
            <w:shd w:val="clear" w:color="auto" w:fill="FFFFFF" w:themeFill="background1"/>
            <w:noWrap/>
            <w:vAlign w:val="bottom"/>
            <w:hideMark/>
          </w:tcPr>
          <w:p w14:paraId="6708BBB4"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1.1. PRIHODI IZ NADLEŽNOG PRORAČUNA</w:t>
            </w:r>
          </w:p>
        </w:tc>
        <w:tc>
          <w:tcPr>
            <w:tcW w:w="1264" w:type="dxa"/>
            <w:shd w:val="clear" w:color="auto" w:fill="FFFFFF" w:themeFill="background1"/>
            <w:noWrap/>
            <w:vAlign w:val="bottom"/>
            <w:hideMark/>
          </w:tcPr>
          <w:p w14:paraId="5515D602"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1.200,00</w:t>
            </w:r>
          </w:p>
        </w:tc>
        <w:tc>
          <w:tcPr>
            <w:tcW w:w="0" w:type="auto"/>
            <w:shd w:val="clear" w:color="auto" w:fill="FFFFFF" w:themeFill="background1"/>
            <w:noWrap/>
            <w:vAlign w:val="bottom"/>
            <w:hideMark/>
          </w:tcPr>
          <w:p w14:paraId="41C000F7"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0,00</w:t>
            </w:r>
          </w:p>
        </w:tc>
        <w:tc>
          <w:tcPr>
            <w:tcW w:w="0" w:type="auto"/>
            <w:shd w:val="clear" w:color="auto" w:fill="FFFFFF" w:themeFill="background1"/>
            <w:noWrap/>
            <w:vAlign w:val="bottom"/>
            <w:hideMark/>
          </w:tcPr>
          <w:p w14:paraId="7DF1CF54"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0,00</w:t>
            </w:r>
          </w:p>
        </w:tc>
        <w:tc>
          <w:tcPr>
            <w:tcW w:w="1517" w:type="dxa"/>
            <w:shd w:val="clear" w:color="auto" w:fill="FFFFFF" w:themeFill="background1"/>
            <w:noWrap/>
            <w:vAlign w:val="bottom"/>
            <w:hideMark/>
          </w:tcPr>
          <w:p w14:paraId="40ABD448"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1.200,00</w:t>
            </w:r>
          </w:p>
        </w:tc>
      </w:tr>
      <w:tr w:rsidR="007B38F9" w:rsidRPr="007B38F9" w14:paraId="1112FDDC" w14:textId="77777777" w:rsidTr="007B38F9">
        <w:trPr>
          <w:trHeight w:val="255"/>
        </w:trPr>
        <w:tc>
          <w:tcPr>
            <w:tcW w:w="0" w:type="auto"/>
            <w:shd w:val="clear" w:color="auto" w:fill="FFFFFF" w:themeFill="background1"/>
            <w:noWrap/>
            <w:vAlign w:val="bottom"/>
            <w:hideMark/>
          </w:tcPr>
          <w:p w14:paraId="45B318ED" w14:textId="77777777" w:rsidR="00863D50" w:rsidRPr="007B38F9" w:rsidRDefault="00863D50">
            <w:pPr>
              <w:rPr>
                <w:rFonts w:ascii="Arial" w:hAnsi="Arial" w:cs="Arial"/>
                <w:b/>
                <w:bCs/>
                <w:sz w:val="18"/>
                <w:szCs w:val="18"/>
              </w:rPr>
            </w:pPr>
            <w:r w:rsidRPr="007B38F9">
              <w:rPr>
                <w:rFonts w:ascii="Arial" w:hAnsi="Arial" w:cs="Arial"/>
                <w:b/>
                <w:bCs/>
                <w:sz w:val="18"/>
                <w:szCs w:val="18"/>
              </w:rPr>
              <w:t>3</w:t>
            </w:r>
          </w:p>
        </w:tc>
        <w:tc>
          <w:tcPr>
            <w:tcW w:w="3853" w:type="dxa"/>
            <w:shd w:val="clear" w:color="auto" w:fill="FFFFFF" w:themeFill="background1"/>
            <w:noWrap/>
            <w:vAlign w:val="bottom"/>
            <w:hideMark/>
          </w:tcPr>
          <w:p w14:paraId="02D018CA" w14:textId="77777777" w:rsidR="00863D50" w:rsidRPr="007B38F9" w:rsidRDefault="00863D50">
            <w:pPr>
              <w:rPr>
                <w:rFonts w:ascii="Arial" w:hAnsi="Arial" w:cs="Arial"/>
                <w:b/>
                <w:bCs/>
                <w:sz w:val="18"/>
                <w:szCs w:val="18"/>
              </w:rPr>
            </w:pPr>
            <w:r w:rsidRPr="007B38F9">
              <w:rPr>
                <w:rFonts w:ascii="Arial" w:hAnsi="Arial" w:cs="Arial"/>
                <w:b/>
                <w:bCs/>
                <w:sz w:val="18"/>
                <w:szCs w:val="18"/>
              </w:rPr>
              <w:t>Rashodi poslovanja</w:t>
            </w:r>
          </w:p>
        </w:tc>
        <w:tc>
          <w:tcPr>
            <w:tcW w:w="1264" w:type="dxa"/>
            <w:shd w:val="clear" w:color="auto" w:fill="FFFFFF" w:themeFill="background1"/>
            <w:noWrap/>
            <w:vAlign w:val="bottom"/>
            <w:hideMark/>
          </w:tcPr>
          <w:p w14:paraId="0453A4F3"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1.200,00</w:t>
            </w:r>
          </w:p>
        </w:tc>
        <w:tc>
          <w:tcPr>
            <w:tcW w:w="0" w:type="auto"/>
            <w:shd w:val="clear" w:color="auto" w:fill="FFFFFF" w:themeFill="background1"/>
            <w:noWrap/>
            <w:vAlign w:val="bottom"/>
            <w:hideMark/>
          </w:tcPr>
          <w:p w14:paraId="17EBAE29"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0,00</w:t>
            </w:r>
          </w:p>
        </w:tc>
        <w:tc>
          <w:tcPr>
            <w:tcW w:w="0" w:type="auto"/>
            <w:shd w:val="clear" w:color="auto" w:fill="FFFFFF" w:themeFill="background1"/>
            <w:noWrap/>
            <w:vAlign w:val="bottom"/>
            <w:hideMark/>
          </w:tcPr>
          <w:p w14:paraId="478527FC"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0,00</w:t>
            </w:r>
          </w:p>
        </w:tc>
        <w:tc>
          <w:tcPr>
            <w:tcW w:w="1517" w:type="dxa"/>
            <w:shd w:val="clear" w:color="auto" w:fill="FFFFFF" w:themeFill="background1"/>
            <w:noWrap/>
            <w:vAlign w:val="bottom"/>
            <w:hideMark/>
          </w:tcPr>
          <w:p w14:paraId="5A5BDBFA"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1.200,00</w:t>
            </w:r>
          </w:p>
        </w:tc>
      </w:tr>
      <w:tr w:rsidR="007B38F9" w:rsidRPr="007B38F9" w14:paraId="25FB358F" w14:textId="77777777" w:rsidTr="007B38F9">
        <w:trPr>
          <w:trHeight w:val="255"/>
        </w:trPr>
        <w:tc>
          <w:tcPr>
            <w:tcW w:w="0" w:type="auto"/>
            <w:shd w:val="clear" w:color="auto" w:fill="FFFFFF" w:themeFill="background1"/>
            <w:noWrap/>
            <w:vAlign w:val="bottom"/>
            <w:hideMark/>
          </w:tcPr>
          <w:p w14:paraId="20A193F3" w14:textId="77777777" w:rsidR="00863D50" w:rsidRPr="007B38F9" w:rsidRDefault="00863D50">
            <w:pPr>
              <w:rPr>
                <w:rFonts w:ascii="Arial" w:hAnsi="Arial" w:cs="Arial"/>
                <w:sz w:val="18"/>
                <w:szCs w:val="18"/>
              </w:rPr>
            </w:pPr>
            <w:r w:rsidRPr="007B38F9">
              <w:rPr>
                <w:rFonts w:ascii="Arial" w:hAnsi="Arial" w:cs="Arial"/>
                <w:sz w:val="18"/>
                <w:szCs w:val="18"/>
              </w:rPr>
              <w:t>31</w:t>
            </w:r>
          </w:p>
        </w:tc>
        <w:tc>
          <w:tcPr>
            <w:tcW w:w="3853" w:type="dxa"/>
            <w:shd w:val="clear" w:color="auto" w:fill="FFFFFF" w:themeFill="background1"/>
            <w:noWrap/>
            <w:vAlign w:val="bottom"/>
            <w:hideMark/>
          </w:tcPr>
          <w:p w14:paraId="71B59F80" w14:textId="77777777" w:rsidR="00863D50" w:rsidRPr="007B38F9" w:rsidRDefault="00863D50">
            <w:pPr>
              <w:rPr>
                <w:rFonts w:ascii="Arial" w:hAnsi="Arial" w:cs="Arial"/>
                <w:sz w:val="18"/>
                <w:szCs w:val="18"/>
              </w:rPr>
            </w:pPr>
            <w:r w:rsidRPr="007B38F9">
              <w:rPr>
                <w:rFonts w:ascii="Arial" w:hAnsi="Arial" w:cs="Arial"/>
                <w:sz w:val="18"/>
                <w:szCs w:val="18"/>
              </w:rPr>
              <w:t>Rashodi za zaposlene</w:t>
            </w:r>
          </w:p>
        </w:tc>
        <w:tc>
          <w:tcPr>
            <w:tcW w:w="1264" w:type="dxa"/>
            <w:shd w:val="clear" w:color="auto" w:fill="FFFFFF" w:themeFill="background1"/>
            <w:noWrap/>
            <w:vAlign w:val="bottom"/>
            <w:hideMark/>
          </w:tcPr>
          <w:p w14:paraId="5FB4E39D" w14:textId="77777777" w:rsidR="00863D50" w:rsidRPr="007B38F9" w:rsidRDefault="00863D50">
            <w:pPr>
              <w:jc w:val="right"/>
              <w:rPr>
                <w:rFonts w:ascii="Arial" w:hAnsi="Arial" w:cs="Arial"/>
                <w:sz w:val="18"/>
                <w:szCs w:val="18"/>
              </w:rPr>
            </w:pPr>
            <w:r w:rsidRPr="007B38F9">
              <w:rPr>
                <w:rFonts w:ascii="Arial" w:hAnsi="Arial" w:cs="Arial"/>
                <w:sz w:val="18"/>
                <w:szCs w:val="18"/>
              </w:rPr>
              <w:t>1.200,00</w:t>
            </w:r>
          </w:p>
        </w:tc>
        <w:tc>
          <w:tcPr>
            <w:tcW w:w="0" w:type="auto"/>
            <w:shd w:val="clear" w:color="auto" w:fill="FFFFFF" w:themeFill="background1"/>
            <w:noWrap/>
            <w:vAlign w:val="bottom"/>
            <w:hideMark/>
          </w:tcPr>
          <w:p w14:paraId="398CF074" w14:textId="77777777" w:rsidR="00863D50" w:rsidRPr="007B38F9" w:rsidRDefault="00863D50">
            <w:pPr>
              <w:jc w:val="right"/>
              <w:rPr>
                <w:rFonts w:ascii="Arial" w:hAnsi="Arial" w:cs="Arial"/>
                <w:sz w:val="18"/>
                <w:szCs w:val="18"/>
              </w:rPr>
            </w:pPr>
            <w:r w:rsidRPr="007B38F9">
              <w:rPr>
                <w:rFonts w:ascii="Arial" w:hAnsi="Arial" w:cs="Arial"/>
                <w:sz w:val="18"/>
                <w:szCs w:val="18"/>
              </w:rPr>
              <w:t>0,00</w:t>
            </w:r>
          </w:p>
        </w:tc>
        <w:tc>
          <w:tcPr>
            <w:tcW w:w="0" w:type="auto"/>
            <w:shd w:val="clear" w:color="auto" w:fill="FFFFFF" w:themeFill="background1"/>
            <w:noWrap/>
            <w:vAlign w:val="bottom"/>
            <w:hideMark/>
          </w:tcPr>
          <w:p w14:paraId="6EF153A0" w14:textId="77777777" w:rsidR="00863D50" w:rsidRPr="007B38F9" w:rsidRDefault="00863D50">
            <w:pPr>
              <w:jc w:val="right"/>
              <w:rPr>
                <w:rFonts w:ascii="Arial" w:hAnsi="Arial" w:cs="Arial"/>
                <w:sz w:val="18"/>
                <w:szCs w:val="18"/>
              </w:rPr>
            </w:pPr>
            <w:r w:rsidRPr="007B38F9">
              <w:rPr>
                <w:rFonts w:ascii="Arial" w:hAnsi="Arial" w:cs="Arial"/>
                <w:sz w:val="18"/>
                <w:szCs w:val="18"/>
              </w:rPr>
              <w:t>0,00</w:t>
            </w:r>
          </w:p>
        </w:tc>
        <w:tc>
          <w:tcPr>
            <w:tcW w:w="1517" w:type="dxa"/>
            <w:shd w:val="clear" w:color="auto" w:fill="FFFFFF" w:themeFill="background1"/>
            <w:noWrap/>
            <w:vAlign w:val="bottom"/>
            <w:hideMark/>
          </w:tcPr>
          <w:p w14:paraId="3B2217E3" w14:textId="77777777" w:rsidR="00863D50" w:rsidRPr="007B38F9" w:rsidRDefault="00863D50">
            <w:pPr>
              <w:jc w:val="right"/>
              <w:rPr>
                <w:rFonts w:ascii="Arial" w:hAnsi="Arial" w:cs="Arial"/>
                <w:sz w:val="18"/>
                <w:szCs w:val="18"/>
              </w:rPr>
            </w:pPr>
            <w:r w:rsidRPr="007B38F9">
              <w:rPr>
                <w:rFonts w:ascii="Arial" w:hAnsi="Arial" w:cs="Arial"/>
                <w:sz w:val="18"/>
                <w:szCs w:val="18"/>
              </w:rPr>
              <w:t>1.200,00</w:t>
            </w:r>
          </w:p>
        </w:tc>
      </w:tr>
      <w:tr w:rsidR="007B38F9" w:rsidRPr="007B38F9" w14:paraId="63637923" w14:textId="77777777" w:rsidTr="007B38F9">
        <w:trPr>
          <w:trHeight w:val="255"/>
        </w:trPr>
        <w:tc>
          <w:tcPr>
            <w:tcW w:w="4596" w:type="dxa"/>
            <w:gridSpan w:val="2"/>
            <w:shd w:val="clear" w:color="auto" w:fill="FFFFFF" w:themeFill="background1"/>
            <w:noWrap/>
            <w:vAlign w:val="bottom"/>
            <w:hideMark/>
          </w:tcPr>
          <w:p w14:paraId="31427D7A"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5. POMOĆI</w:t>
            </w:r>
          </w:p>
        </w:tc>
        <w:tc>
          <w:tcPr>
            <w:tcW w:w="1264" w:type="dxa"/>
            <w:shd w:val="clear" w:color="auto" w:fill="FFFFFF" w:themeFill="background1"/>
            <w:noWrap/>
            <w:vAlign w:val="bottom"/>
            <w:hideMark/>
          </w:tcPr>
          <w:p w14:paraId="5ED47295"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1.300,00</w:t>
            </w:r>
          </w:p>
        </w:tc>
        <w:tc>
          <w:tcPr>
            <w:tcW w:w="0" w:type="auto"/>
            <w:shd w:val="clear" w:color="auto" w:fill="FFFFFF" w:themeFill="background1"/>
            <w:noWrap/>
            <w:vAlign w:val="bottom"/>
            <w:hideMark/>
          </w:tcPr>
          <w:p w14:paraId="173C9FFD"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12.250,00</w:t>
            </w:r>
          </w:p>
        </w:tc>
        <w:tc>
          <w:tcPr>
            <w:tcW w:w="0" w:type="auto"/>
            <w:shd w:val="clear" w:color="auto" w:fill="FFFFFF" w:themeFill="background1"/>
            <w:noWrap/>
            <w:vAlign w:val="bottom"/>
            <w:hideMark/>
          </w:tcPr>
          <w:p w14:paraId="0BD268EE"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942,31</w:t>
            </w:r>
          </w:p>
        </w:tc>
        <w:tc>
          <w:tcPr>
            <w:tcW w:w="1517" w:type="dxa"/>
            <w:shd w:val="clear" w:color="auto" w:fill="FFFFFF" w:themeFill="background1"/>
            <w:noWrap/>
            <w:vAlign w:val="bottom"/>
            <w:hideMark/>
          </w:tcPr>
          <w:p w14:paraId="221038E5"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13.550,00</w:t>
            </w:r>
          </w:p>
        </w:tc>
      </w:tr>
      <w:tr w:rsidR="007B38F9" w:rsidRPr="007B38F9" w14:paraId="3AC28FD8" w14:textId="77777777" w:rsidTr="007B38F9">
        <w:trPr>
          <w:trHeight w:val="255"/>
        </w:trPr>
        <w:tc>
          <w:tcPr>
            <w:tcW w:w="4596" w:type="dxa"/>
            <w:gridSpan w:val="2"/>
            <w:shd w:val="clear" w:color="auto" w:fill="FFFFFF" w:themeFill="background1"/>
            <w:noWrap/>
            <w:vAlign w:val="bottom"/>
            <w:hideMark/>
          </w:tcPr>
          <w:p w14:paraId="7A2B2CA5"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5.9. POMOĆI-PRIHODI KORISNIKA-GL 02</w:t>
            </w:r>
          </w:p>
        </w:tc>
        <w:tc>
          <w:tcPr>
            <w:tcW w:w="1264" w:type="dxa"/>
            <w:shd w:val="clear" w:color="auto" w:fill="FFFFFF" w:themeFill="background1"/>
            <w:noWrap/>
            <w:vAlign w:val="bottom"/>
            <w:hideMark/>
          </w:tcPr>
          <w:p w14:paraId="655CBC96"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1.300,00</w:t>
            </w:r>
          </w:p>
        </w:tc>
        <w:tc>
          <w:tcPr>
            <w:tcW w:w="0" w:type="auto"/>
            <w:shd w:val="clear" w:color="auto" w:fill="FFFFFF" w:themeFill="background1"/>
            <w:noWrap/>
            <w:vAlign w:val="bottom"/>
            <w:hideMark/>
          </w:tcPr>
          <w:p w14:paraId="31BBB011"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12.250,00</w:t>
            </w:r>
          </w:p>
        </w:tc>
        <w:tc>
          <w:tcPr>
            <w:tcW w:w="0" w:type="auto"/>
            <w:shd w:val="clear" w:color="auto" w:fill="FFFFFF" w:themeFill="background1"/>
            <w:noWrap/>
            <w:vAlign w:val="bottom"/>
            <w:hideMark/>
          </w:tcPr>
          <w:p w14:paraId="085E5365"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942,31</w:t>
            </w:r>
          </w:p>
        </w:tc>
        <w:tc>
          <w:tcPr>
            <w:tcW w:w="1517" w:type="dxa"/>
            <w:shd w:val="clear" w:color="auto" w:fill="FFFFFF" w:themeFill="background1"/>
            <w:noWrap/>
            <w:vAlign w:val="bottom"/>
            <w:hideMark/>
          </w:tcPr>
          <w:p w14:paraId="25B20DA7"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13.550,00</w:t>
            </w:r>
          </w:p>
        </w:tc>
      </w:tr>
      <w:tr w:rsidR="007B38F9" w:rsidRPr="007B38F9" w14:paraId="55EC93C5" w14:textId="77777777" w:rsidTr="007B38F9">
        <w:trPr>
          <w:trHeight w:val="255"/>
        </w:trPr>
        <w:tc>
          <w:tcPr>
            <w:tcW w:w="0" w:type="auto"/>
            <w:shd w:val="clear" w:color="auto" w:fill="FFFFFF" w:themeFill="background1"/>
            <w:noWrap/>
            <w:vAlign w:val="bottom"/>
            <w:hideMark/>
          </w:tcPr>
          <w:p w14:paraId="55151295" w14:textId="77777777" w:rsidR="00863D50" w:rsidRPr="007B38F9" w:rsidRDefault="00863D50">
            <w:pPr>
              <w:rPr>
                <w:rFonts w:ascii="Arial" w:hAnsi="Arial" w:cs="Arial"/>
                <w:b/>
                <w:bCs/>
                <w:sz w:val="18"/>
                <w:szCs w:val="18"/>
              </w:rPr>
            </w:pPr>
            <w:r w:rsidRPr="007B38F9">
              <w:rPr>
                <w:rFonts w:ascii="Arial" w:hAnsi="Arial" w:cs="Arial"/>
                <w:b/>
                <w:bCs/>
                <w:sz w:val="18"/>
                <w:szCs w:val="18"/>
              </w:rPr>
              <w:t>3</w:t>
            </w:r>
          </w:p>
        </w:tc>
        <w:tc>
          <w:tcPr>
            <w:tcW w:w="3853" w:type="dxa"/>
            <w:shd w:val="clear" w:color="auto" w:fill="FFFFFF" w:themeFill="background1"/>
            <w:noWrap/>
            <w:vAlign w:val="bottom"/>
            <w:hideMark/>
          </w:tcPr>
          <w:p w14:paraId="2476B20D" w14:textId="77777777" w:rsidR="00863D50" w:rsidRPr="007B38F9" w:rsidRDefault="00863D50">
            <w:pPr>
              <w:rPr>
                <w:rFonts w:ascii="Arial" w:hAnsi="Arial" w:cs="Arial"/>
                <w:b/>
                <w:bCs/>
                <w:sz w:val="18"/>
                <w:szCs w:val="18"/>
              </w:rPr>
            </w:pPr>
            <w:r w:rsidRPr="007B38F9">
              <w:rPr>
                <w:rFonts w:ascii="Arial" w:hAnsi="Arial" w:cs="Arial"/>
                <w:b/>
                <w:bCs/>
                <w:sz w:val="18"/>
                <w:szCs w:val="18"/>
              </w:rPr>
              <w:t>Rashodi poslovanja</w:t>
            </w:r>
          </w:p>
        </w:tc>
        <w:tc>
          <w:tcPr>
            <w:tcW w:w="1264" w:type="dxa"/>
            <w:shd w:val="clear" w:color="auto" w:fill="FFFFFF" w:themeFill="background1"/>
            <w:noWrap/>
            <w:vAlign w:val="bottom"/>
            <w:hideMark/>
          </w:tcPr>
          <w:p w14:paraId="789960FB"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1.300,00</w:t>
            </w:r>
          </w:p>
        </w:tc>
        <w:tc>
          <w:tcPr>
            <w:tcW w:w="0" w:type="auto"/>
            <w:shd w:val="clear" w:color="auto" w:fill="FFFFFF" w:themeFill="background1"/>
            <w:noWrap/>
            <w:vAlign w:val="bottom"/>
            <w:hideMark/>
          </w:tcPr>
          <w:p w14:paraId="2F2A693B"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11.085,00</w:t>
            </w:r>
          </w:p>
        </w:tc>
        <w:tc>
          <w:tcPr>
            <w:tcW w:w="0" w:type="auto"/>
            <w:shd w:val="clear" w:color="auto" w:fill="FFFFFF" w:themeFill="background1"/>
            <w:noWrap/>
            <w:vAlign w:val="bottom"/>
            <w:hideMark/>
          </w:tcPr>
          <w:p w14:paraId="0913D394"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852,69</w:t>
            </w:r>
          </w:p>
        </w:tc>
        <w:tc>
          <w:tcPr>
            <w:tcW w:w="1517" w:type="dxa"/>
            <w:shd w:val="clear" w:color="auto" w:fill="FFFFFF" w:themeFill="background1"/>
            <w:noWrap/>
            <w:vAlign w:val="bottom"/>
            <w:hideMark/>
          </w:tcPr>
          <w:p w14:paraId="58A891C2"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12.385,00</w:t>
            </w:r>
          </w:p>
        </w:tc>
      </w:tr>
      <w:tr w:rsidR="007B38F9" w:rsidRPr="007B38F9" w14:paraId="5F447B0E" w14:textId="77777777" w:rsidTr="007B38F9">
        <w:trPr>
          <w:trHeight w:val="255"/>
        </w:trPr>
        <w:tc>
          <w:tcPr>
            <w:tcW w:w="0" w:type="auto"/>
            <w:shd w:val="clear" w:color="auto" w:fill="FFFFFF" w:themeFill="background1"/>
            <w:noWrap/>
            <w:vAlign w:val="bottom"/>
            <w:hideMark/>
          </w:tcPr>
          <w:p w14:paraId="6FEDD3AA" w14:textId="77777777" w:rsidR="00863D50" w:rsidRPr="007B38F9" w:rsidRDefault="00863D50">
            <w:pPr>
              <w:rPr>
                <w:rFonts w:ascii="Arial" w:hAnsi="Arial" w:cs="Arial"/>
                <w:sz w:val="18"/>
                <w:szCs w:val="18"/>
              </w:rPr>
            </w:pPr>
            <w:r w:rsidRPr="007B38F9">
              <w:rPr>
                <w:rFonts w:ascii="Arial" w:hAnsi="Arial" w:cs="Arial"/>
                <w:sz w:val="18"/>
                <w:szCs w:val="18"/>
              </w:rPr>
              <w:t>32</w:t>
            </w:r>
          </w:p>
        </w:tc>
        <w:tc>
          <w:tcPr>
            <w:tcW w:w="3853" w:type="dxa"/>
            <w:shd w:val="clear" w:color="auto" w:fill="FFFFFF" w:themeFill="background1"/>
            <w:noWrap/>
            <w:vAlign w:val="bottom"/>
            <w:hideMark/>
          </w:tcPr>
          <w:p w14:paraId="11DE1E91" w14:textId="77777777" w:rsidR="00863D50" w:rsidRPr="007B38F9" w:rsidRDefault="00863D50">
            <w:pPr>
              <w:rPr>
                <w:rFonts w:ascii="Arial" w:hAnsi="Arial" w:cs="Arial"/>
                <w:sz w:val="18"/>
                <w:szCs w:val="18"/>
              </w:rPr>
            </w:pPr>
            <w:r w:rsidRPr="007B38F9">
              <w:rPr>
                <w:rFonts w:ascii="Arial" w:hAnsi="Arial" w:cs="Arial"/>
                <w:sz w:val="18"/>
                <w:szCs w:val="18"/>
              </w:rPr>
              <w:t>Materijalni rashodi</w:t>
            </w:r>
          </w:p>
        </w:tc>
        <w:tc>
          <w:tcPr>
            <w:tcW w:w="1264" w:type="dxa"/>
            <w:shd w:val="clear" w:color="auto" w:fill="FFFFFF" w:themeFill="background1"/>
            <w:noWrap/>
            <w:vAlign w:val="bottom"/>
            <w:hideMark/>
          </w:tcPr>
          <w:p w14:paraId="11475341" w14:textId="77777777" w:rsidR="00863D50" w:rsidRPr="007B38F9" w:rsidRDefault="00863D50">
            <w:pPr>
              <w:jc w:val="right"/>
              <w:rPr>
                <w:rFonts w:ascii="Arial" w:hAnsi="Arial" w:cs="Arial"/>
                <w:sz w:val="18"/>
                <w:szCs w:val="18"/>
              </w:rPr>
            </w:pPr>
            <w:r w:rsidRPr="007B38F9">
              <w:rPr>
                <w:rFonts w:ascii="Arial" w:hAnsi="Arial" w:cs="Arial"/>
                <w:sz w:val="18"/>
                <w:szCs w:val="18"/>
              </w:rPr>
              <w:t>1.300,00</w:t>
            </w:r>
          </w:p>
        </w:tc>
        <w:tc>
          <w:tcPr>
            <w:tcW w:w="0" w:type="auto"/>
            <w:shd w:val="clear" w:color="auto" w:fill="FFFFFF" w:themeFill="background1"/>
            <w:noWrap/>
            <w:vAlign w:val="bottom"/>
            <w:hideMark/>
          </w:tcPr>
          <w:p w14:paraId="7851AF63" w14:textId="77777777" w:rsidR="00863D50" w:rsidRPr="007B38F9" w:rsidRDefault="00863D50">
            <w:pPr>
              <w:jc w:val="right"/>
              <w:rPr>
                <w:rFonts w:ascii="Arial" w:hAnsi="Arial" w:cs="Arial"/>
                <w:sz w:val="18"/>
                <w:szCs w:val="18"/>
              </w:rPr>
            </w:pPr>
            <w:r w:rsidRPr="007B38F9">
              <w:rPr>
                <w:rFonts w:ascii="Arial" w:hAnsi="Arial" w:cs="Arial"/>
                <w:sz w:val="18"/>
                <w:szCs w:val="18"/>
              </w:rPr>
              <w:t>11.085,00</w:t>
            </w:r>
          </w:p>
        </w:tc>
        <w:tc>
          <w:tcPr>
            <w:tcW w:w="0" w:type="auto"/>
            <w:shd w:val="clear" w:color="auto" w:fill="FFFFFF" w:themeFill="background1"/>
            <w:noWrap/>
            <w:vAlign w:val="bottom"/>
            <w:hideMark/>
          </w:tcPr>
          <w:p w14:paraId="70C273CE" w14:textId="77777777" w:rsidR="00863D50" w:rsidRPr="007B38F9" w:rsidRDefault="00863D50">
            <w:pPr>
              <w:jc w:val="right"/>
              <w:rPr>
                <w:rFonts w:ascii="Arial" w:hAnsi="Arial" w:cs="Arial"/>
                <w:sz w:val="18"/>
                <w:szCs w:val="18"/>
              </w:rPr>
            </w:pPr>
            <w:r w:rsidRPr="007B38F9">
              <w:rPr>
                <w:rFonts w:ascii="Arial" w:hAnsi="Arial" w:cs="Arial"/>
                <w:sz w:val="18"/>
                <w:szCs w:val="18"/>
              </w:rPr>
              <w:t>852,69</w:t>
            </w:r>
          </w:p>
        </w:tc>
        <w:tc>
          <w:tcPr>
            <w:tcW w:w="1517" w:type="dxa"/>
            <w:shd w:val="clear" w:color="auto" w:fill="FFFFFF" w:themeFill="background1"/>
            <w:noWrap/>
            <w:vAlign w:val="bottom"/>
            <w:hideMark/>
          </w:tcPr>
          <w:p w14:paraId="6EE19600" w14:textId="77777777" w:rsidR="00863D50" w:rsidRPr="007B38F9" w:rsidRDefault="00863D50">
            <w:pPr>
              <w:jc w:val="right"/>
              <w:rPr>
                <w:rFonts w:ascii="Arial" w:hAnsi="Arial" w:cs="Arial"/>
                <w:sz w:val="18"/>
                <w:szCs w:val="18"/>
              </w:rPr>
            </w:pPr>
            <w:r w:rsidRPr="007B38F9">
              <w:rPr>
                <w:rFonts w:ascii="Arial" w:hAnsi="Arial" w:cs="Arial"/>
                <w:sz w:val="18"/>
                <w:szCs w:val="18"/>
              </w:rPr>
              <w:t>12.385,00</w:t>
            </w:r>
          </w:p>
        </w:tc>
      </w:tr>
      <w:tr w:rsidR="007B38F9" w:rsidRPr="007B38F9" w14:paraId="6602F50E" w14:textId="77777777" w:rsidTr="007B38F9">
        <w:trPr>
          <w:trHeight w:val="255"/>
        </w:trPr>
        <w:tc>
          <w:tcPr>
            <w:tcW w:w="0" w:type="auto"/>
            <w:shd w:val="clear" w:color="auto" w:fill="FFFFFF" w:themeFill="background1"/>
            <w:noWrap/>
            <w:vAlign w:val="bottom"/>
            <w:hideMark/>
          </w:tcPr>
          <w:p w14:paraId="6131A811" w14:textId="77777777" w:rsidR="00863D50" w:rsidRPr="007B38F9" w:rsidRDefault="00863D50">
            <w:pPr>
              <w:rPr>
                <w:rFonts w:ascii="Arial" w:hAnsi="Arial" w:cs="Arial"/>
                <w:b/>
                <w:bCs/>
                <w:sz w:val="18"/>
                <w:szCs w:val="18"/>
              </w:rPr>
            </w:pPr>
            <w:r w:rsidRPr="007B38F9">
              <w:rPr>
                <w:rFonts w:ascii="Arial" w:hAnsi="Arial" w:cs="Arial"/>
                <w:b/>
                <w:bCs/>
                <w:sz w:val="18"/>
                <w:szCs w:val="18"/>
              </w:rPr>
              <w:t>4</w:t>
            </w:r>
          </w:p>
        </w:tc>
        <w:tc>
          <w:tcPr>
            <w:tcW w:w="3853" w:type="dxa"/>
            <w:shd w:val="clear" w:color="auto" w:fill="FFFFFF" w:themeFill="background1"/>
            <w:noWrap/>
            <w:vAlign w:val="bottom"/>
            <w:hideMark/>
          </w:tcPr>
          <w:p w14:paraId="4909882A" w14:textId="77777777" w:rsidR="00863D50" w:rsidRPr="007B38F9" w:rsidRDefault="00863D50">
            <w:pPr>
              <w:rPr>
                <w:rFonts w:ascii="Arial" w:hAnsi="Arial" w:cs="Arial"/>
                <w:b/>
                <w:bCs/>
                <w:sz w:val="18"/>
                <w:szCs w:val="18"/>
              </w:rPr>
            </w:pPr>
            <w:r w:rsidRPr="007B38F9">
              <w:rPr>
                <w:rFonts w:ascii="Arial" w:hAnsi="Arial" w:cs="Arial"/>
                <w:b/>
                <w:bCs/>
                <w:sz w:val="18"/>
                <w:szCs w:val="18"/>
              </w:rPr>
              <w:t>Rashodi za nabavu nefinancijske imovine</w:t>
            </w:r>
          </w:p>
        </w:tc>
        <w:tc>
          <w:tcPr>
            <w:tcW w:w="1264" w:type="dxa"/>
            <w:shd w:val="clear" w:color="auto" w:fill="FFFFFF" w:themeFill="background1"/>
            <w:noWrap/>
            <w:vAlign w:val="bottom"/>
            <w:hideMark/>
          </w:tcPr>
          <w:p w14:paraId="0DB993FE"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0,00</w:t>
            </w:r>
          </w:p>
        </w:tc>
        <w:tc>
          <w:tcPr>
            <w:tcW w:w="0" w:type="auto"/>
            <w:shd w:val="clear" w:color="auto" w:fill="FFFFFF" w:themeFill="background1"/>
            <w:noWrap/>
            <w:vAlign w:val="bottom"/>
            <w:hideMark/>
          </w:tcPr>
          <w:p w14:paraId="236F3DDC"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1.165,00</w:t>
            </w:r>
          </w:p>
        </w:tc>
        <w:tc>
          <w:tcPr>
            <w:tcW w:w="0" w:type="auto"/>
            <w:shd w:val="clear" w:color="auto" w:fill="FFFFFF" w:themeFill="background1"/>
            <w:noWrap/>
            <w:vAlign w:val="bottom"/>
            <w:hideMark/>
          </w:tcPr>
          <w:p w14:paraId="7DA4D871"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100,00</w:t>
            </w:r>
          </w:p>
        </w:tc>
        <w:tc>
          <w:tcPr>
            <w:tcW w:w="1517" w:type="dxa"/>
            <w:shd w:val="clear" w:color="auto" w:fill="FFFFFF" w:themeFill="background1"/>
            <w:noWrap/>
            <w:vAlign w:val="bottom"/>
            <w:hideMark/>
          </w:tcPr>
          <w:p w14:paraId="381057BE"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1.165,00</w:t>
            </w:r>
          </w:p>
        </w:tc>
      </w:tr>
      <w:tr w:rsidR="007B38F9" w:rsidRPr="007B38F9" w14:paraId="18FB7BE6" w14:textId="77777777" w:rsidTr="007B38F9">
        <w:trPr>
          <w:trHeight w:val="255"/>
        </w:trPr>
        <w:tc>
          <w:tcPr>
            <w:tcW w:w="0" w:type="auto"/>
            <w:shd w:val="clear" w:color="auto" w:fill="FFFFFF" w:themeFill="background1"/>
            <w:noWrap/>
            <w:vAlign w:val="bottom"/>
            <w:hideMark/>
          </w:tcPr>
          <w:p w14:paraId="1A7FFC8B" w14:textId="77777777" w:rsidR="00863D50" w:rsidRPr="007B38F9" w:rsidRDefault="00863D50">
            <w:pPr>
              <w:rPr>
                <w:rFonts w:ascii="Arial" w:hAnsi="Arial" w:cs="Arial"/>
                <w:sz w:val="18"/>
                <w:szCs w:val="18"/>
              </w:rPr>
            </w:pPr>
            <w:r w:rsidRPr="007B38F9">
              <w:rPr>
                <w:rFonts w:ascii="Arial" w:hAnsi="Arial" w:cs="Arial"/>
                <w:sz w:val="18"/>
                <w:szCs w:val="18"/>
              </w:rPr>
              <w:t>42</w:t>
            </w:r>
          </w:p>
        </w:tc>
        <w:tc>
          <w:tcPr>
            <w:tcW w:w="3853" w:type="dxa"/>
            <w:shd w:val="clear" w:color="auto" w:fill="FFFFFF" w:themeFill="background1"/>
            <w:noWrap/>
            <w:vAlign w:val="bottom"/>
            <w:hideMark/>
          </w:tcPr>
          <w:p w14:paraId="3B082DE6" w14:textId="77777777" w:rsidR="00863D50" w:rsidRPr="007B38F9" w:rsidRDefault="00863D50">
            <w:pPr>
              <w:rPr>
                <w:rFonts w:ascii="Arial" w:hAnsi="Arial" w:cs="Arial"/>
                <w:sz w:val="18"/>
                <w:szCs w:val="18"/>
              </w:rPr>
            </w:pPr>
            <w:r w:rsidRPr="007B38F9">
              <w:rPr>
                <w:rFonts w:ascii="Arial" w:hAnsi="Arial" w:cs="Arial"/>
                <w:sz w:val="18"/>
                <w:szCs w:val="18"/>
              </w:rPr>
              <w:t>Rashodi za nabavu proizvedene dugotrajne imovine</w:t>
            </w:r>
          </w:p>
        </w:tc>
        <w:tc>
          <w:tcPr>
            <w:tcW w:w="1264" w:type="dxa"/>
            <w:shd w:val="clear" w:color="auto" w:fill="FFFFFF" w:themeFill="background1"/>
            <w:noWrap/>
            <w:vAlign w:val="bottom"/>
            <w:hideMark/>
          </w:tcPr>
          <w:p w14:paraId="43D59C62" w14:textId="77777777" w:rsidR="00863D50" w:rsidRPr="007B38F9" w:rsidRDefault="00863D50">
            <w:pPr>
              <w:jc w:val="right"/>
              <w:rPr>
                <w:rFonts w:ascii="Arial" w:hAnsi="Arial" w:cs="Arial"/>
                <w:sz w:val="18"/>
                <w:szCs w:val="18"/>
              </w:rPr>
            </w:pPr>
            <w:r w:rsidRPr="007B38F9">
              <w:rPr>
                <w:rFonts w:ascii="Arial" w:hAnsi="Arial" w:cs="Arial"/>
                <w:sz w:val="18"/>
                <w:szCs w:val="18"/>
              </w:rPr>
              <w:t>0,00</w:t>
            </w:r>
          </w:p>
        </w:tc>
        <w:tc>
          <w:tcPr>
            <w:tcW w:w="0" w:type="auto"/>
            <w:shd w:val="clear" w:color="auto" w:fill="FFFFFF" w:themeFill="background1"/>
            <w:noWrap/>
            <w:vAlign w:val="bottom"/>
            <w:hideMark/>
          </w:tcPr>
          <w:p w14:paraId="74DD2E8B" w14:textId="77777777" w:rsidR="00863D50" w:rsidRPr="007B38F9" w:rsidRDefault="00863D50">
            <w:pPr>
              <w:jc w:val="right"/>
              <w:rPr>
                <w:rFonts w:ascii="Arial" w:hAnsi="Arial" w:cs="Arial"/>
                <w:sz w:val="18"/>
                <w:szCs w:val="18"/>
              </w:rPr>
            </w:pPr>
            <w:r w:rsidRPr="007B38F9">
              <w:rPr>
                <w:rFonts w:ascii="Arial" w:hAnsi="Arial" w:cs="Arial"/>
                <w:sz w:val="18"/>
                <w:szCs w:val="18"/>
              </w:rPr>
              <w:t>1.165,00</w:t>
            </w:r>
          </w:p>
        </w:tc>
        <w:tc>
          <w:tcPr>
            <w:tcW w:w="0" w:type="auto"/>
            <w:shd w:val="clear" w:color="auto" w:fill="FFFFFF" w:themeFill="background1"/>
            <w:noWrap/>
            <w:vAlign w:val="bottom"/>
            <w:hideMark/>
          </w:tcPr>
          <w:p w14:paraId="644F8D9E" w14:textId="77777777" w:rsidR="00863D50" w:rsidRPr="007B38F9" w:rsidRDefault="00863D50">
            <w:pPr>
              <w:jc w:val="right"/>
              <w:rPr>
                <w:rFonts w:ascii="Arial" w:hAnsi="Arial" w:cs="Arial"/>
                <w:sz w:val="18"/>
                <w:szCs w:val="18"/>
              </w:rPr>
            </w:pPr>
            <w:r w:rsidRPr="007B38F9">
              <w:rPr>
                <w:rFonts w:ascii="Arial" w:hAnsi="Arial" w:cs="Arial"/>
                <w:sz w:val="18"/>
                <w:szCs w:val="18"/>
              </w:rPr>
              <w:t>100,00</w:t>
            </w:r>
          </w:p>
        </w:tc>
        <w:tc>
          <w:tcPr>
            <w:tcW w:w="1517" w:type="dxa"/>
            <w:shd w:val="clear" w:color="auto" w:fill="FFFFFF" w:themeFill="background1"/>
            <w:noWrap/>
            <w:vAlign w:val="bottom"/>
            <w:hideMark/>
          </w:tcPr>
          <w:p w14:paraId="5AF8E1CE" w14:textId="77777777" w:rsidR="00863D50" w:rsidRPr="007B38F9" w:rsidRDefault="00863D50">
            <w:pPr>
              <w:jc w:val="right"/>
              <w:rPr>
                <w:rFonts w:ascii="Arial" w:hAnsi="Arial" w:cs="Arial"/>
                <w:sz w:val="18"/>
                <w:szCs w:val="18"/>
              </w:rPr>
            </w:pPr>
            <w:r w:rsidRPr="007B38F9">
              <w:rPr>
                <w:rFonts w:ascii="Arial" w:hAnsi="Arial" w:cs="Arial"/>
                <w:sz w:val="18"/>
                <w:szCs w:val="18"/>
              </w:rPr>
              <w:t>1.165,00</w:t>
            </w:r>
          </w:p>
        </w:tc>
      </w:tr>
      <w:tr w:rsidR="007B38F9" w:rsidRPr="007B38F9" w14:paraId="03435E15" w14:textId="77777777" w:rsidTr="007B38F9">
        <w:trPr>
          <w:trHeight w:val="255"/>
        </w:trPr>
        <w:tc>
          <w:tcPr>
            <w:tcW w:w="4596" w:type="dxa"/>
            <w:gridSpan w:val="2"/>
            <w:shd w:val="clear" w:color="auto" w:fill="FFFFFF" w:themeFill="background1"/>
            <w:noWrap/>
            <w:vAlign w:val="bottom"/>
            <w:hideMark/>
          </w:tcPr>
          <w:p w14:paraId="02CCD4CA"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6. DONACIJE</w:t>
            </w:r>
          </w:p>
        </w:tc>
        <w:tc>
          <w:tcPr>
            <w:tcW w:w="1264" w:type="dxa"/>
            <w:shd w:val="clear" w:color="auto" w:fill="FFFFFF" w:themeFill="background1"/>
            <w:noWrap/>
            <w:vAlign w:val="bottom"/>
            <w:hideMark/>
          </w:tcPr>
          <w:p w14:paraId="070BFFA2"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500,00</w:t>
            </w:r>
          </w:p>
        </w:tc>
        <w:tc>
          <w:tcPr>
            <w:tcW w:w="0" w:type="auto"/>
            <w:shd w:val="clear" w:color="auto" w:fill="FFFFFF" w:themeFill="background1"/>
            <w:noWrap/>
            <w:vAlign w:val="bottom"/>
            <w:hideMark/>
          </w:tcPr>
          <w:p w14:paraId="725AB0CF"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0,00</w:t>
            </w:r>
          </w:p>
        </w:tc>
        <w:tc>
          <w:tcPr>
            <w:tcW w:w="0" w:type="auto"/>
            <w:shd w:val="clear" w:color="auto" w:fill="FFFFFF" w:themeFill="background1"/>
            <w:noWrap/>
            <w:vAlign w:val="bottom"/>
            <w:hideMark/>
          </w:tcPr>
          <w:p w14:paraId="1C3DE68F"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0,00</w:t>
            </w:r>
          </w:p>
        </w:tc>
        <w:tc>
          <w:tcPr>
            <w:tcW w:w="1517" w:type="dxa"/>
            <w:shd w:val="clear" w:color="auto" w:fill="FFFFFF" w:themeFill="background1"/>
            <w:noWrap/>
            <w:vAlign w:val="bottom"/>
            <w:hideMark/>
          </w:tcPr>
          <w:p w14:paraId="0DC2BFC3"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500,00</w:t>
            </w:r>
          </w:p>
        </w:tc>
      </w:tr>
      <w:tr w:rsidR="007B38F9" w:rsidRPr="007B38F9" w14:paraId="1A68A3D6" w14:textId="77777777" w:rsidTr="007B38F9">
        <w:trPr>
          <w:trHeight w:val="255"/>
        </w:trPr>
        <w:tc>
          <w:tcPr>
            <w:tcW w:w="4596" w:type="dxa"/>
            <w:gridSpan w:val="2"/>
            <w:shd w:val="clear" w:color="auto" w:fill="FFFFFF" w:themeFill="background1"/>
            <w:noWrap/>
            <w:vAlign w:val="bottom"/>
            <w:hideMark/>
          </w:tcPr>
          <w:p w14:paraId="4A7CEE9F"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6.9. DONACIJE - prihodi korisnika</w:t>
            </w:r>
          </w:p>
        </w:tc>
        <w:tc>
          <w:tcPr>
            <w:tcW w:w="1264" w:type="dxa"/>
            <w:shd w:val="clear" w:color="auto" w:fill="FFFFFF" w:themeFill="background1"/>
            <w:noWrap/>
            <w:vAlign w:val="bottom"/>
            <w:hideMark/>
          </w:tcPr>
          <w:p w14:paraId="35DB1CEF"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500,00</w:t>
            </w:r>
          </w:p>
        </w:tc>
        <w:tc>
          <w:tcPr>
            <w:tcW w:w="0" w:type="auto"/>
            <w:shd w:val="clear" w:color="auto" w:fill="FFFFFF" w:themeFill="background1"/>
            <w:noWrap/>
            <w:vAlign w:val="bottom"/>
            <w:hideMark/>
          </w:tcPr>
          <w:p w14:paraId="31F1DF22"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0,00</w:t>
            </w:r>
          </w:p>
        </w:tc>
        <w:tc>
          <w:tcPr>
            <w:tcW w:w="0" w:type="auto"/>
            <w:shd w:val="clear" w:color="auto" w:fill="FFFFFF" w:themeFill="background1"/>
            <w:noWrap/>
            <w:vAlign w:val="bottom"/>
            <w:hideMark/>
          </w:tcPr>
          <w:p w14:paraId="2709DAD1"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0,00</w:t>
            </w:r>
          </w:p>
        </w:tc>
        <w:tc>
          <w:tcPr>
            <w:tcW w:w="1517" w:type="dxa"/>
            <w:shd w:val="clear" w:color="auto" w:fill="FFFFFF" w:themeFill="background1"/>
            <w:noWrap/>
            <w:vAlign w:val="bottom"/>
            <w:hideMark/>
          </w:tcPr>
          <w:p w14:paraId="401C57FF"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500,00</w:t>
            </w:r>
          </w:p>
        </w:tc>
      </w:tr>
      <w:tr w:rsidR="007B38F9" w:rsidRPr="007B38F9" w14:paraId="3031FE42" w14:textId="77777777" w:rsidTr="007B38F9">
        <w:trPr>
          <w:trHeight w:val="255"/>
        </w:trPr>
        <w:tc>
          <w:tcPr>
            <w:tcW w:w="0" w:type="auto"/>
            <w:shd w:val="clear" w:color="auto" w:fill="FFFFFF" w:themeFill="background1"/>
            <w:noWrap/>
            <w:vAlign w:val="bottom"/>
            <w:hideMark/>
          </w:tcPr>
          <w:p w14:paraId="3B62062F" w14:textId="77777777" w:rsidR="00863D50" w:rsidRPr="007B38F9" w:rsidRDefault="00863D50">
            <w:pPr>
              <w:rPr>
                <w:rFonts w:ascii="Arial" w:hAnsi="Arial" w:cs="Arial"/>
                <w:b/>
                <w:bCs/>
                <w:sz w:val="18"/>
                <w:szCs w:val="18"/>
              </w:rPr>
            </w:pPr>
            <w:r w:rsidRPr="007B38F9">
              <w:rPr>
                <w:rFonts w:ascii="Arial" w:hAnsi="Arial" w:cs="Arial"/>
                <w:b/>
                <w:bCs/>
                <w:sz w:val="18"/>
                <w:szCs w:val="18"/>
              </w:rPr>
              <w:t>3</w:t>
            </w:r>
          </w:p>
        </w:tc>
        <w:tc>
          <w:tcPr>
            <w:tcW w:w="3853" w:type="dxa"/>
            <w:shd w:val="clear" w:color="auto" w:fill="FFFFFF" w:themeFill="background1"/>
            <w:noWrap/>
            <w:vAlign w:val="bottom"/>
            <w:hideMark/>
          </w:tcPr>
          <w:p w14:paraId="3A9410D1" w14:textId="77777777" w:rsidR="00863D50" w:rsidRPr="007B38F9" w:rsidRDefault="00863D50">
            <w:pPr>
              <w:rPr>
                <w:rFonts w:ascii="Arial" w:hAnsi="Arial" w:cs="Arial"/>
                <w:b/>
                <w:bCs/>
                <w:sz w:val="18"/>
                <w:szCs w:val="18"/>
              </w:rPr>
            </w:pPr>
            <w:r w:rsidRPr="007B38F9">
              <w:rPr>
                <w:rFonts w:ascii="Arial" w:hAnsi="Arial" w:cs="Arial"/>
                <w:b/>
                <w:bCs/>
                <w:sz w:val="18"/>
                <w:szCs w:val="18"/>
              </w:rPr>
              <w:t>Rashodi poslovanja</w:t>
            </w:r>
          </w:p>
        </w:tc>
        <w:tc>
          <w:tcPr>
            <w:tcW w:w="1264" w:type="dxa"/>
            <w:shd w:val="clear" w:color="auto" w:fill="FFFFFF" w:themeFill="background1"/>
            <w:noWrap/>
            <w:vAlign w:val="bottom"/>
            <w:hideMark/>
          </w:tcPr>
          <w:p w14:paraId="5D55F04D"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500,00</w:t>
            </w:r>
          </w:p>
        </w:tc>
        <w:tc>
          <w:tcPr>
            <w:tcW w:w="0" w:type="auto"/>
            <w:shd w:val="clear" w:color="auto" w:fill="FFFFFF" w:themeFill="background1"/>
            <w:noWrap/>
            <w:vAlign w:val="bottom"/>
            <w:hideMark/>
          </w:tcPr>
          <w:p w14:paraId="44F093A9"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0,00</w:t>
            </w:r>
          </w:p>
        </w:tc>
        <w:tc>
          <w:tcPr>
            <w:tcW w:w="0" w:type="auto"/>
            <w:shd w:val="clear" w:color="auto" w:fill="FFFFFF" w:themeFill="background1"/>
            <w:noWrap/>
            <w:vAlign w:val="bottom"/>
            <w:hideMark/>
          </w:tcPr>
          <w:p w14:paraId="5C5DA47E"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0,00</w:t>
            </w:r>
          </w:p>
        </w:tc>
        <w:tc>
          <w:tcPr>
            <w:tcW w:w="1517" w:type="dxa"/>
            <w:shd w:val="clear" w:color="auto" w:fill="FFFFFF" w:themeFill="background1"/>
            <w:noWrap/>
            <w:vAlign w:val="bottom"/>
            <w:hideMark/>
          </w:tcPr>
          <w:p w14:paraId="0F7C5769"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500,00</w:t>
            </w:r>
          </w:p>
        </w:tc>
      </w:tr>
      <w:tr w:rsidR="007B38F9" w:rsidRPr="007B38F9" w14:paraId="01447CEC" w14:textId="77777777" w:rsidTr="007B38F9">
        <w:trPr>
          <w:trHeight w:val="255"/>
        </w:trPr>
        <w:tc>
          <w:tcPr>
            <w:tcW w:w="0" w:type="auto"/>
            <w:noWrap/>
            <w:vAlign w:val="bottom"/>
            <w:hideMark/>
          </w:tcPr>
          <w:p w14:paraId="08F3FCC7" w14:textId="77777777" w:rsidR="00863D50" w:rsidRPr="007B38F9" w:rsidRDefault="00863D50">
            <w:pPr>
              <w:rPr>
                <w:rFonts w:ascii="Arial" w:hAnsi="Arial" w:cs="Arial"/>
                <w:sz w:val="18"/>
                <w:szCs w:val="18"/>
              </w:rPr>
            </w:pPr>
            <w:r w:rsidRPr="007B38F9">
              <w:rPr>
                <w:rFonts w:ascii="Arial" w:hAnsi="Arial" w:cs="Arial"/>
                <w:sz w:val="18"/>
                <w:szCs w:val="18"/>
              </w:rPr>
              <w:t>32</w:t>
            </w:r>
          </w:p>
        </w:tc>
        <w:tc>
          <w:tcPr>
            <w:tcW w:w="3853" w:type="dxa"/>
            <w:noWrap/>
            <w:vAlign w:val="bottom"/>
            <w:hideMark/>
          </w:tcPr>
          <w:p w14:paraId="133506C2" w14:textId="77777777" w:rsidR="00863D50" w:rsidRPr="007B38F9" w:rsidRDefault="00863D50">
            <w:pPr>
              <w:rPr>
                <w:rFonts w:ascii="Arial" w:hAnsi="Arial" w:cs="Arial"/>
                <w:sz w:val="18"/>
                <w:szCs w:val="18"/>
              </w:rPr>
            </w:pPr>
            <w:r w:rsidRPr="007B38F9">
              <w:rPr>
                <w:rFonts w:ascii="Arial" w:hAnsi="Arial" w:cs="Arial"/>
                <w:sz w:val="18"/>
                <w:szCs w:val="18"/>
              </w:rPr>
              <w:t>Materijalni rashodi</w:t>
            </w:r>
          </w:p>
        </w:tc>
        <w:tc>
          <w:tcPr>
            <w:tcW w:w="1264" w:type="dxa"/>
            <w:noWrap/>
            <w:vAlign w:val="bottom"/>
            <w:hideMark/>
          </w:tcPr>
          <w:p w14:paraId="7450F73F" w14:textId="77777777" w:rsidR="00863D50" w:rsidRPr="007B38F9" w:rsidRDefault="00863D50">
            <w:pPr>
              <w:jc w:val="right"/>
              <w:rPr>
                <w:rFonts w:ascii="Arial" w:hAnsi="Arial" w:cs="Arial"/>
                <w:sz w:val="18"/>
                <w:szCs w:val="18"/>
              </w:rPr>
            </w:pPr>
            <w:r w:rsidRPr="007B38F9">
              <w:rPr>
                <w:rFonts w:ascii="Arial" w:hAnsi="Arial" w:cs="Arial"/>
                <w:sz w:val="18"/>
                <w:szCs w:val="18"/>
              </w:rPr>
              <w:t>500,00</w:t>
            </w:r>
          </w:p>
        </w:tc>
        <w:tc>
          <w:tcPr>
            <w:tcW w:w="0" w:type="auto"/>
            <w:noWrap/>
            <w:vAlign w:val="bottom"/>
            <w:hideMark/>
          </w:tcPr>
          <w:p w14:paraId="612A239F" w14:textId="77777777" w:rsidR="00863D50" w:rsidRPr="007B38F9" w:rsidRDefault="00863D50">
            <w:pPr>
              <w:jc w:val="right"/>
              <w:rPr>
                <w:rFonts w:ascii="Arial" w:hAnsi="Arial" w:cs="Arial"/>
                <w:sz w:val="18"/>
                <w:szCs w:val="18"/>
              </w:rPr>
            </w:pPr>
            <w:r w:rsidRPr="007B38F9">
              <w:rPr>
                <w:rFonts w:ascii="Arial" w:hAnsi="Arial" w:cs="Arial"/>
                <w:sz w:val="18"/>
                <w:szCs w:val="18"/>
              </w:rPr>
              <w:t>0,00</w:t>
            </w:r>
          </w:p>
        </w:tc>
        <w:tc>
          <w:tcPr>
            <w:tcW w:w="0" w:type="auto"/>
            <w:noWrap/>
            <w:vAlign w:val="bottom"/>
            <w:hideMark/>
          </w:tcPr>
          <w:p w14:paraId="28A56ECB" w14:textId="77777777" w:rsidR="00863D50" w:rsidRPr="007B38F9" w:rsidRDefault="00863D50">
            <w:pPr>
              <w:jc w:val="right"/>
              <w:rPr>
                <w:rFonts w:ascii="Arial" w:hAnsi="Arial" w:cs="Arial"/>
                <w:sz w:val="18"/>
                <w:szCs w:val="18"/>
              </w:rPr>
            </w:pPr>
            <w:r w:rsidRPr="007B38F9">
              <w:rPr>
                <w:rFonts w:ascii="Arial" w:hAnsi="Arial" w:cs="Arial"/>
                <w:sz w:val="18"/>
                <w:szCs w:val="18"/>
              </w:rPr>
              <w:t>0,00</w:t>
            </w:r>
          </w:p>
        </w:tc>
        <w:tc>
          <w:tcPr>
            <w:tcW w:w="1517" w:type="dxa"/>
            <w:noWrap/>
            <w:vAlign w:val="bottom"/>
            <w:hideMark/>
          </w:tcPr>
          <w:p w14:paraId="6D982807" w14:textId="77777777" w:rsidR="00863D50" w:rsidRPr="007B38F9" w:rsidRDefault="00863D50">
            <w:pPr>
              <w:jc w:val="right"/>
              <w:rPr>
                <w:rFonts w:ascii="Arial" w:hAnsi="Arial" w:cs="Arial"/>
                <w:sz w:val="18"/>
                <w:szCs w:val="18"/>
              </w:rPr>
            </w:pPr>
            <w:r w:rsidRPr="007B38F9">
              <w:rPr>
                <w:rFonts w:ascii="Arial" w:hAnsi="Arial" w:cs="Arial"/>
                <w:sz w:val="18"/>
                <w:szCs w:val="18"/>
              </w:rPr>
              <w:t>500,00</w:t>
            </w:r>
          </w:p>
        </w:tc>
      </w:tr>
      <w:tr w:rsidR="007B38F9" w:rsidRPr="007B38F9" w14:paraId="5CD73FB5" w14:textId="77777777" w:rsidTr="007B38F9">
        <w:trPr>
          <w:trHeight w:val="255"/>
        </w:trPr>
        <w:tc>
          <w:tcPr>
            <w:tcW w:w="4596" w:type="dxa"/>
            <w:gridSpan w:val="2"/>
            <w:shd w:val="clear" w:color="auto" w:fill="D9D9D9" w:themeFill="background1" w:themeFillShade="D9"/>
            <w:noWrap/>
            <w:vAlign w:val="bottom"/>
            <w:hideMark/>
          </w:tcPr>
          <w:p w14:paraId="3B791E42"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Kapitalni projekt K500001 Kapitalna ulaganja osnovnog školstva</w:t>
            </w:r>
          </w:p>
        </w:tc>
        <w:tc>
          <w:tcPr>
            <w:tcW w:w="1264" w:type="dxa"/>
            <w:shd w:val="clear" w:color="auto" w:fill="D9D9D9" w:themeFill="background1" w:themeFillShade="D9"/>
            <w:noWrap/>
            <w:vAlign w:val="bottom"/>
            <w:hideMark/>
          </w:tcPr>
          <w:p w14:paraId="308AB07B"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2.000,00</w:t>
            </w:r>
          </w:p>
        </w:tc>
        <w:tc>
          <w:tcPr>
            <w:tcW w:w="0" w:type="auto"/>
            <w:shd w:val="clear" w:color="auto" w:fill="D9D9D9" w:themeFill="background1" w:themeFillShade="D9"/>
            <w:noWrap/>
            <w:vAlign w:val="bottom"/>
            <w:hideMark/>
          </w:tcPr>
          <w:p w14:paraId="53A13034"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1.300,00</w:t>
            </w:r>
          </w:p>
        </w:tc>
        <w:tc>
          <w:tcPr>
            <w:tcW w:w="0" w:type="auto"/>
            <w:shd w:val="clear" w:color="auto" w:fill="D9D9D9" w:themeFill="background1" w:themeFillShade="D9"/>
            <w:noWrap/>
            <w:vAlign w:val="bottom"/>
            <w:hideMark/>
          </w:tcPr>
          <w:p w14:paraId="69C32CB4"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65,00</w:t>
            </w:r>
          </w:p>
        </w:tc>
        <w:tc>
          <w:tcPr>
            <w:tcW w:w="1517" w:type="dxa"/>
            <w:shd w:val="clear" w:color="auto" w:fill="D9D9D9" w:themeFill="background1" w:themeFillShade="D9"/>
            <w:noWrap/>
            <w:vAlign w:val="bottom"/>
            <w:hideMark/>
          </w:tcPr>
          <w:p w14:paraId="7F96F238"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3.300,00</w:t>
            </w:r>
          </w:p>
        </w:tc>
      </w:tr>
      <w:tr w:rsidR="007B38F9" w:rsidRPr="007B38F9" w14:paraId="21C1183E" w14:textId="77777777" w:rsidTr="007B38F9">
        <w:trPr>
          <w:trHeight w:val="255"/>
        </w:trPr>
        <w:tc>
          <w:tcPr>
            <w:tcW w:w="4596" w:type="dxa"/>
            <w:gridSpan w:val="2"/>
            <w:shd w:val="clear" w:color="auto" w:fill="FFFFFF" w:themeFill="background1"/>
            <w:noWrap/>
            <w:vAlign w:val="bottom"/>
            <w:hideMark/>
          </w:tcPr>
          <w:p w14:paraId="48B3FC36"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5. POMOĆI</w:t>
            </w:r>
          </w:p>
        </w:tc>
        <w:tc>
          <w:tcPr>
            <w:tcW w:w="1264" w:type="dxa"/>
            <w:shd w:val="clear" w:color="auto" w:fill="FFFFFF" w:themeFill="background1"/>
            <w:noWrap/>
            <w:vAlign w:val="bottom"/>
            <w:hideMark/>
          </w:tcPr>
          <w:p w14:paraId="3BDF8E51"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2.000,00</w:t>
            </w:r>
          </w:p>
        </w:tc>
        <w:tc>
          <w:tcPr>
            <w:tcW w:w="0" w:type="auto"/>
            <w:shd w:val="clear" w:color="auto" w:fill="FFFFFF" w:themeFill="background1"/>
            <w:noWrap/>
            <w:vAlign w:val="bottom"/>
            <w:hideMark/>
          </w:tcPr>
          <w:p w14:paraId="0A638615"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0,00</w:t>
            </w:r>
          </w:p>
        </w:tc>
        <w:tc>
          <w:tcPr>
            <w:tcW w:w="0" w:type="auto"/>
            <w:shd w:val="clear" w:color="auto" w:fill="FFFFFF" w:themeFill="background1"/>
            <w:noWrap/>
            <w:vAlign w:val="bottom"/>
            <w:hideMark/>
          </w:tcPr>
          <w:p w14:paraId="271B8023"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0,00</w:t>
            </w:r>
          </w:p>
        </w:tc>
        <w:tc>
          <w:tcPr>
            <w:tcW w:w="1517" w:type="dxa"/>
            <w:shd w:val="clear" w:color="auto" w:fill="FFFFFF" w:themeFill="background1"/>
            <w:noWrap/>
            <w:vAlign w:val="bottom"/>
            <w:hideMark/>
          </w:tcPr>
          <w:p w14:paraId="650F9481"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2.000,00</w:t>
            </w:r>
          </w:p>
        </w:tc>
      </w:tr>
      <w:tr w:rsidR="007B38F9" w:rsidRPr="007B38F9" w14:paraId="23FD0935" w14:textId="77777777" w:rsidTr="007B38F9">
        <w:trPr>
          <w:trHeight w:val="255"/>
        </w:trPr>
        <w:tc>
          <w:tcPr>
            <w:tcW w:w="4596" w:type="dxa"/>
            <w:gridSpan w:val="2"/>
            <w:shd w:val="clear" w:color="auto" w:fill="FFFFFF" w:themeFill="background1"/>
            <w:noWrap/>
            <w:vAlign w:val="bottom"/>
            <w:hideMark/>
          </w:tcPr>
          <w:p w14:paraId="07CBD446"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5.1. POMOĆI</w:t>
            </w:r>
          </w:p>
        </w:tc>
        <w:tc>
          <w:tcPr>
            <w:tcW w:w="1264" w:type="dxa"/>
            <w:shd w:val="clear" w:color="auto" w:fill="FFFFFF" w:themeFill="background1"/>
            <w:noWrap/>
            <w:vAlign w:val="bottom"/>
            <w:hideMark/>
          </w:tcPr>
          <w:p w14:paraId="319B3B6D"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2.000,00</w:t>
            </w:r>
          </w:p>
        </w:tc>
        <w:tc>
          <w:tcPr>
            <w:tcW w:w="0" w:type="auto"/>
            <w:shd w:val="clear" w:color="auto" w:fill="FFFFFF" w:themeFill="background1"/>
            <w:noWrap/>
            <w:vAlign w:val="bottom"/>
            <w:hideMark/>
          </w:tcPr>
          <w:p w14:paraId="2B438EB4"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0,00</w:t>
            </w:r>
          </w:p>
        </w:tc>
        <w:tc>
          <w:tcPr>
            <w:tcW w:w="0" w:type="auto"/>
            <w:shd w:val="clear" w:color="auto" w:fill="FFFFFF" w:themeFill="background1"/>
            <w:noWrap/>
            <w:vAlign w:val="bottom"/>
            <w:hideMark/>
          </w:tcPr>
          <w:p w14:paraId="59C65B84"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0,00</w:t>
            </w:r>
          </w:p>
        </w:tc>
        <w:tc>
          <w:tcPr>
            <w:tcW w:w="1517" w:type="dxa"/>
            <w:shd w:val="clear" w:color="auto" w:fill="FFFFFF" w:themeFill="background1"/>
            <w:noWrap/>
            <w:vAlign w:val="bottom"/>
            <w:hideMark/>
          </w:tcPr>
          <w:p w14:paraId="29B1C5C6"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2.000,00</w:t>
            </w:r>
          </w:p>
        </w:tc>
      </w:tr>
      <w:tr w:rsidR="007B38F9" w:rsidRPr="007B38F9" w14:paraId="21B16745" w14:textId="77777777" w:rsidTr="007B38F9">
        <w:trPr>
          <w:trHeight w:val="255"/>
        </w:trPr>
        <w:tc>
          <w:tcPr>
            <w:tcW w:w="0" w:type="auto"/>
            <w:shd w:val="clear" w:color="auto" w:fill="FFFFFF" w:themeFill="background1"/>
            <w:noWrap/>
            <w:vAlign w:val="bottom"/>
            <w:hideMark/>
          </w:tcPr>
          <w:p w14:paraId="3D570CA6" w14:textId="77777777" w:rsidR="00863D50" w:rsidRPr="007B38F9" w:rsidRDefault="00863D50">
            <w:pPr>
              <w:rPr>
                <w:rFonts w:ascii="Arial" w:hAnsi="Arial" w:cs="Arial"/>
                <w:b/>
                <w:bCs/>
                <w:sz w:val="18"/>
                <w:szCs w:val="18"/>
              </w:rPr>
            </w:pPr>
            <w:r w:rsidRPr="007B38F9">
              <w:rPr>
                <w:rFonts w:ascii="Arial" w:hAnsi="Arial" w:cs="Arial"/>
                <w:b/>
                <w:bCs/>
                <w:sz w:val="18"/>
                <w:szCs w:val="18"/>
              </w:rPr>
              <w:t>4</w:t>
            </w:r>
          </w:p>
        </w:tc>
        <w:tc>
          <w:tcPr>
            <w:tcW w:w="3853" w:type="dxa"/>
            <w:shd w:val="clear" w:color="auto" w:fill="FFFFFF" w:themeFill="background1"/>
            <w:noWrap/>
            <w:vAlign w:val="bottom"/>
            <w:hideMark/>
          </w:tcPr>
          <w:p w14:paraId="4F8D0057" w14:textId="77777777" w:rsidR="00863D50" w:rsidRPr="007B38F9" w:rsidRDefault="00863D50">
            <w:pPr>
              <w:rPr>
                <w:rFonts w:ascii="Arial" w:hAnsi="Arial" w:cs="Arial"/>
                <w:b/>
                <w:bCs/>
                <w:sz w:val="18"/>
                <w:szCs w:val="18"/>
              </w:rPr>
            </w:pPr>
            <w:r w:rsidRPr="007B38F9">
              <w:rPr>
                <w:rFonts w:ascii="Arial" w:hAnsi="Arial" w:cs="Arial"/>
                <w:b/>
                <w:bCs/>
                <w:sz w:val="18"/>
                <w:szCs w:val="18"/>
              </w:rPr>
              <w:t>Rashodi za nabavu nefinancijske imovine</w:t>
            </w:r>
          </w:p>
        </w:tc>
        <w:tc>
          <w:tcPr>
            <w:tcW w:w="1264" w:type="dxa"/>
            <w:shd w:val="clear" w:color="auto" w:fill="FFFFFF" w:themeFill="background1"/>
            <w:noWrap/>
            <w:vAlign w:val="bottom"/>
            <w:hideMark/>
          </w:tcPr>
          <w:p w14:paraId="6F52E0BF"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2.000,00</w:t>
            </w:r>
          </w:p>
        </w:tc>
        <w:tc>
          <w:tcPr>
            <w:tcW w:w="0" w:type="auto"/>
            <w:shd w:val="clear" w:color="auto" w:fill="FFFFFF" w:themeFill="background1"/>
            <w:noWrap/>
            <w:vAlign w:val="bottom"/>
            <w:hideMark/>
          </w:tcPr>
          <w:p w14:paraId="5984E2BE"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0,00</w:t>
            </w:r>
          </w:p>
        </w:tc>
        <w:tc>
          <w:tcPr>
            <w:tcW w:w="0" w:type="auto"/>
            <w:shd w:val="clear" w:color="auto" w:fill="FFFFFF" w:themeFill="background1"/>
            <w:noWrap/>
            <w:vAlign w:val="bottom"/>
            <w:hideMark/>
          </w:tcPr>
          <w:p w14:paraId="59FB6777"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0,00</w:t>
            </w:r>
          </w:p>
        </w:tc>
        <w:tc>
          <w:tcPr>
            <w:tcW w:w="1517" w:type="dxa"/>
            <w:shd w:val="clear" w:color="auto" w:fill="FFFFFF" w:themeFill="background1"/>
            <w:noWrap/>
            <w:vAlign w:val="bottom"/>
            <w:hideMark/>
          </w:tcPr>
          <w:p w14:paraId="1CBD3545"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2.000,00</w:t>
            </w:r>
          </w:p>
        </w:tc>
      </w:tr>
      <w:tr w:rsidR="007B38F9" w:rsidRPr="007B38F9" w14:paraId="58F3325B" w14:textId="77777777" w:rsidTr="007B38F9">
        <w:trPr>
          <w:trHeight w:val="255"/>
        </w:trPr>
        <w:tc>
          <w:tcPr>
            <w:tcW w:w="0" w:type="auto"/>
            <w:shd w:val="clear" w:color="auto" w:fill="FFFFFF" w:themeFill="background1"/>
            <w:noWrap/>
            <w:vAlign w:val="bottom"/>
            <w:hideMark/>
          </w:tcPr>
          <w:p w14:paraId="2DD37552" w14:textId="77777777" w:rsidR="00863D50" w:rsidRPr="007B38F9" w:rsidRDefault="00863D50">
            <w:pPr>
              <w:rPr>
                <w:rFonts w:ascii="Arial" w:hAnsi="Arial" w:cs="Arial"/>
                <w:sz w:val="18"/>
                <w:szCs w:val="18"/>
              </w:rPr>
            </w:pPr>
            <w:r w:rsidRPr="007B38F9">
              <w:rPr>
                <w:rFonts w:ascii="Arial" w:hAnsi="Arial" w:cs="Arial"/>
                <w:sz w:val="18"/>
                <w:szCs w:val="18"/>
              </w:rPr>
              <w:lastRenderedPageBreak/>
              <w:t>42</w:t>
            </w:r>
          </w:p>
        </w:tc>
        <w:tc>
          <w:tcPr>
            <w:tcW w:w="3853" w:type="dxa"/>
            <w:shd w:val="clear" w:color="auto" w:fill="FFFFFF" w:themeFill="background1"/>
            <w:noWrap/>
            <w:vAlign w:val="bottom"/>
            <w:hideMark/>
          </w:tcPr>
          <w:p w14:paraId="2448878F" w14:textId="77777777" w:rsidR="00863D50" w:rsidRPr="007B38F9" w:rsidRDefault="00863D50">
            <w:pPr>
              <w:rPr>
                <w:rFonts w:ascii="Arial" w:hAnsi="Arial" w:cs="Arial"/>
                <w:sz w:val="18"/>
                <w:szCs w:val="18"/>
              </w:rPr>
            </w:pPr>
            <w:r w:rsidRPr="007B38F9">
              <w:rPr>
                <w:rFonts w:ascii="Arial" w:hAnsi="Arial" w:cs="Arial"/>
                <w:sz w:val="18"/>
                <w:szCs w:val="18"/>
              </w:rPr>
              <w:t>Rashodi za nabavu proizvedene dugotrajne imovine</w:t>
            </w:r>
          </w:p>
        </w:tc>
        <w:tc>
          <w:tcPr>
            <w:tcW w:w="1264" w:type="dxa"/>
            <w:shd w:val="clear" w:color="auto" w:fill="FFFFFF" w:themeFill="background1"/>
            <w:noWrap/>
            <w:vAlign w:val="bottom"/>
            <w:hideMark/>
          </w:tcPr>
          <w:p w14:paraId="0D853858" w14:textId="77777777" w:rsidR="00863D50" w:rsidRPr="007B38F9" w:rsidRDefault="00863D50">
            <w:pPr>
              <w:jc w:val="right"/>
              <w:rPr>
                <w:rFonts w:ascii="Arial" w:hAnsi="Arial" w:cs="Arial"/>
                <w:sz w:val="18"/>
                <w:szCs w:val="18"/>
              </w:rPr>
            </w:pPr>
            <w:r w:rsidRPr="007B38F9">
              <w:rPr>
                <w:rFonts w:ascii="Arial" w:hAnsi="Arial" w:cs="Arial"/>
                <w:sz w:val="18"/>
                <w:szCs w:val="18"/>
              </w:rPr>
              <w:t>2.000,00</w:t>
            </w:r>
          </w:p>
        </w:tc>
        <w:tc>
          <w:tcPr>
            <w:tcW w:w="0" w:type="auto"/>
            <w:shd w:val="clear" w:color="auto" w:fill="FFFFFF" w:themeFill="background1"/>
            <w:noWrap/>
            <w:vAlign w:val="bottom"/>
            <w:hideMark/>
          </w:tcPr>
          <w:p w14:paraId="4ACF2EB5" w14:textId="77777777" w:rsidR="00863D50" w:rsidRPr="007B38F9" w:rsidRDefault="00863D50">
            <w:pPr>
              <w:jc w:val="right"/>
              <w:rPr>
                <w:rFonts w:ascii="Arial" w:hAnsi="Arial" w:cs="Arial"/>
                <w:sz w:val="18"/>
                <w:szCs w:val="18"/>
              </w:rPr>
            </w:pPr>
            <w:r w:rsidRPr="007B38F9">
              <w:rPr>
                <w:rFonts w:ascii="Arial" w:hAnsi="Arial" w:cs="Arial"/>
                <w:sz w:val="18"/>
                <w:szCs w:val="18"/>
              </w:rPr>
              <w:t>0,00</w:t>
            </w:r>
          </w:p>
        </w:tc>
        <w:tc>
          <w:tcPr>
            <w:tcW w:w="0" w:type="auto"/>
            <w:shd w:val="clear" w:color="auto" w:fill="FFFFFF" w:themeFill="background1"/>
            <w:noWrap/>
            <w:vAlign w:val="bottom"/>
            <w:hideMark/>
          </w:tcPr>
          <w:p w14:paraId="093FAC13" w14:textId="77777777" w:rsidR="00863D50" w:rsidRPr="007B38F9" w:rsidRDefault="00863D50">
            <w:pPr>
              <w:jc w:val="right"/>
              <w:rPr>
                <w:rFonts w:ascii="Arial" w:hAnsi="Arial" w:cs="Arial"/>
                <w:sz w:val="18"/>
                <w:szCs w:val="18"/>
              </w:rPr>
            </w:pPr>
            <w:r w:rsidRPr="007B38F9">
              <w:rPr>
                <w:rFonts w:ascii="Arial" w:hAnsi="Arial" w:cs="Arial"/>
                <w:sz w:val="18"/>
                <w:szCs w:val="18"/>
              </w:rPr>
              <w:t>0,00</w:t>
            </w:r>
          </w:p>
        </w:tc>
        <w:tc>
          <w:tcPr>
            <w:tcW w:w="1517" w:type="dxa"/>
            <w:shd w:val="clear" w:color="auto" w:fill="FFFFFF" w:themeFill="background1"/>
            <w:noWrap/>
            <w:vAlign w:val="bottom"/>
            <w:hideMark/>
          </w:tcPr>
          <w:p w14:paraId="6AB911F7" w14:textId="77777777" w:rsidR="00863D50" w:rsidRPr="007B38F9" w:rsidRDefault="00863D50">
            <w:pPr>
              <w:jc w:val="right"/>
              <w:rPr>
                <w:rFonts w:ascii="Arial" w:hAnsi="Arial" w:cs="Arial"/>
                <w:sz w:val="18"/>
                <w:szCs w:val="18"/>
              </w:rPr>
            </w:pPr>
            <w:r w:rsidRPr="007B38F9">
              <w:rPr>
                <w:rFonts w:ascii="Arial" w:hAnsi="Arial" w:cs="Arial"/>
                <w:sz w:val="18"/>
                <w:szCs w:val="18"/>
              </w:rPr>
              <w:t>2.000,00</w:t>
            </w:r>
          </w:p>
        </w:tc>
      </w:tr>
      <w:tr w:rsidR="007B38F9" w:rsidRPr="007B38F9" w14:paraId="760A4284" w14:textId="77777777" w:rsidTr="007B38F9">
        <w:trPr>
          <w:trHeight w:val="255"/>
        </w:trPr>
        <w:tc>
          <w:tcPr>
            <w:tcW w:w="4596" w:type="dxa"/>
            <w:gridSpan w:val="2"/>
            <w:shd w:val="clear" w:color="auto" w:fill="FFFFFF" w:themeFill="background1"/>
            <w:noWrap/>
            <w:vAlign w:val="bottom"/>
            <w:hideMark/>
          </w:tcPr>
          <w:p w14:paraId="04DFB00B"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6. DONACIJE</w:t>
            </w:r>
          </w:p>
        </w:tc>
        <w:tc>
          <w:tcPr>
            <w:tcW w:w="1264" w:type="dxa"/>
            <w:shd w:val="clear" w:color="auto" w:fill="FFFFFF" w:themeFill="background1"/>
            <w:noWrap/>
            <w:vAlign w:val="bottom"/>
            <w:hideMark/>
          </w:tcPr>
          <w:p w14:paraId="14714774"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0,00</w:t>
            </w:r>
          </w:p>
        </w:tc>
        <w:tc>
          <w:tcPr>
            <w:tcW w:w="0" w:type="auto"/>
            <w:shd w:val="clear" w:color="auto" w:fill="FFFFFF" w:themeFill="background1"/>
            <w:noWrap/>
            <w:vAlign w:val="bottom"/>
            <w:hideMark/>
          </w:tcPr>
          <w:p w14:paraId="58CEDC1F"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1.300,00</w:t>
            </w:r>
          </w:p>
        </w:tc>
        <w:tc>
          <w:tcPr>
            <w:tcW w:w="0" w:type="auto"/>
            <w:shd w:val="clear" w:color="auto" w:fill="FFFFFF" w:themeFill="background1"/>
            <w:noWrap/>
            <w:vAlign w:val="bottom"/>
            <w:hideMark/>
          </w:tcPr>
          <w:p w14:paraId="12DF66D5"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100,00</w:t>
            </w:r>
          </w:p>
        </w:tc>
        <w:tc>
          <w:tcPr>
            <w:tcW w:w="1517" w:type="dxa"/>
            <w:shd w:val="clear" w:color="auto" w:fill="FFFFFF" w:themeFill="background1"/>
            <w:noWrap/>
            <w:vAlign w:val="bottom"/>
            <w:hideMark/>
          </w:tcPr>
          <w:p w14:paraId="1F78BD7E"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1.300,00</w:t>
            </w:r>
          </w:p>
        </w:tc>
      </w:tr>
      <w:tr w:rsidR="007B38F9" w:rsidRPr="007B38F9" w14:paraId="0957B92E" w14:textId="77777777" w:rsidTr="007B38F9">
        <w:trPr>
          <w:trHeight w:val="255"/>
        </w:trPr>
        <w:tc>
          <w:tcPr>
            <w:tcW w:w="4596" w:type="dxa"/>
            <w:gridSpan w:val="2"/>
            <w:shd w:val="clear" w:color="auto" w:fill="FFFFFF" w:themeFill="background1"/>
            <w:noWrap/>
            <w:vAlign w:val="bottom"/>
            <w:hideMark/>
          </w:tcPr>
          <w:p w14:paraId="02A6C78E" w14:textId="77777777" w:rsidR="00863D50" w:rsidRPr="007B38F9" w:rsidRDefault="00863D50">
            <w:pPr>
              <w:rPr>
                <w:rFonts w:ascii="Arial" w:hAnsi="Arial" w:cs="Arial"/>
                <w:b/>
                <w:bCs/>
                <w:color w:val="000000"/>
                <w:sz w:val="18"/>
                <w:szCs w:val="18"/>
              </w:rPr>
            </w:pPr>
            <w:r w:rsidRPr="007B38F9">
              <w:rPr>
                <w:rFonts w:ascii="Arial" w:hAnsi="Arial" w:cs="Arial"/>
                <w:b/>
                <w:bCs/>
                <w:color w:val="000000"/>
                <w:sz w:val="18"/>
                <w:szCs w:val="18"/>
              </w:rPr>
              <w:t>Izvor  6.9. DONACIJE - prihodi korisnika</w:t>
            </w:r>
          </w:p>
        </w:tc>
        <w:tc>
          <w:tcPr>
            <w:tcW w:w="1264" w:type="dxa"/>
            <w:shd w:val="clear" w:color="auto" w:fill="FFFFFF" w:themeFill="background1"/>
            <w:noWrap/>
            <w:vAlign w:val="bottom"/>
            <w:hideMark/>
          </w:tcPr>
          <w:p w14:paraId="534240F7"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0,00</w:t>
            </w:r>
          </w:p>
        </w:tc>
        <w:tc>
          <w:tcPr>
            <w:tcW w:w="0" w:type="auto"/>
            <w:shd w:val="clear" w:color="auto" w:fill="FFFFFF" w:themeFill="background1"/>
            <w:noWrap/>
            <w:vAlign w:val="bottom"/>
            <w:hideMark/>
          </w:tcPr>
          <w:p w14:paraId="2FC32E48"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1.300,00</w:t>
            </w:r>
          </w:p>
        </w:tc>
        <w:tc>
          <w:tcPr>
            <w:tcW w:w="0" w:type="auto"/>
            <w:shd w:val="clear" w:color="auto" w:fill="FFFFFF" w:themeFill="background1"/>
            <w:noWrap/>
            <w:vAlign w:val="bottom"/>
            <w:hideMark/>
          </w:tcPr>
          <w:p w14:paraId="6DD355DF"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100,00</w:t>
            </w:r>
          </w:p>
        </w:tc>
        <w:tc>
          <w:tcPr>
            <w:tcW w:w="1517" w:type="dxa"/>
            <w:shd w:val="clear" w:color="auto" w:fill="FFFFFF" w:themeFill="background1"/>
            <w:noWrap/>
            <w:vAlign w:val="bottom"/>
            <w:hideMark/>
          </w:tcPr>
          <w:p w14:paraId="5F92446B" w14:textId="77777777" w:rsidR="00863D50" w:rsidRPr="007B38F9" w:rsidRDefault="00863D50">
            <w:pPr>
              <w:jc w:val="right"/>
              <w:rPr>
                <w:rFonts w:ascii="Arial" w:hAnsi="Arial" w:cs="Arial"/>
                <w:b/>
                <w:bCs/>
                <w:color w:val="000000"/>
                <w:sz w:val="18"/>
                <w:szCs w:val="18"/>
              </w:rPr>
            </w:pPr>
            <w:r w:rsidRPr="007B38F9">
              <w:rPr>
                <w:rFonts w:ascii="Arial" w:hAnsi="Arial" w:cs="Arial"/>
                <w:b/>
                <w:bCs/>
                <w:color w:val="000000"/>
                <w:sz w:val="18"/>
                <w:szCs w:val="18"/>
              </w:rPr>
              <w:t>1.300,00</w:t>
            </w:r>
          </w:p>
        </w:tc>
      </w:tr>
      <w:tr w:rsidR="007B38F9" w:rsidRPr="007B38F9" w14:paraId="06CC6CF8" w14:textId="77777777" w:rsidTr="007B38F9">
        <w:trPr>
          <w:trHeight w:val="255"/>
        </w:trPr>
        <w:tc>
          <w:tcPr>
            <w:tcW w:w="0" w:type="auto"/>
            <w:noWrap/>
            <w:vAlign w:val="bottom"/>
            <w:hideMark/>
          </w:tcPr>
          <w:p w14:paraId="0567DA4E" w14:textId="77777777" w:rsidR="00863D50" w:rsidRPr="007B38F9" w:rsidRDefault="00863D50">
            <w:pPr>
              <w:rPr>
                <w:rFonts w:ascii="Arial" w:hAnsi="Arial" w:cs="Arial"/>
                <w:b/>
                <w:bCs/>
                <w:sz w:val="18"/>
                <w:szCs w:val="18"/>
              </w:rPr>
            </w:pPr>
            <w:r w:rsidRPr="007B38F9">
              <w:rPr>
                <w:rFonts w:ascii="Arial" w:hAnsi="Arial" w:cs="Arial"/>
                <w:b/>
                <w:bCs/>
                <w:sz w:val="18"/>
                <w:szCs w:val="18"/>
              </w:rPr>
              <w:t>4</w:t>
            </w:r>
          </w:p>
        </w:tc>
        <w:tc>
          <w:tcPr>
            <w:tcW w:w="3853" w:type="dxa"/>
            <w:noWrap/>
            <w:vAlign w:val="bottom"/>
            <w:hideMark/>
          </w:tcPr>
          <w:p w14:paraId="7C2E8579" w14:textId="77777777" w:rsidR="00863D50" w:rsidRPr="007B38F9" w:rsidRDefault="00863D50">
            <w:pPr>
              <w:rPr>
                <w:rFonts w:ascii="Arial" w:hAnsi="Arial" w:cs="Arial"/>
                <w:b/>
                <w:bCs/>
                <w:sz w:val="18"/>
                <w:szCs w:val="18"/>
              </w:rPr>
            </w:pPr>
            <w:r w:rsidRPr="007B38F9">
              <w:rPr>
                <w:rFonts w:ascii="Arial" w:hAnsi="Arial" w:cs="Arial"/>
                <w:b/>
                <w:bCs/>
                <w:sz w:val="18"/>
                <w:szCs w:val="18"/>
              </w:rPr>
              <w:t>Rashodi za nabavu nefinancijske imovine</w:t>
            </w:r>
          </w:p>
        </w:tc>
        <w:tc>
          <w:tcPr>
            <w:tcW w:w="1264" w:type="dxa"/>
            <w:noWrap/>
            <w:vAlign w:val="bottom"/>
            <w:hideMark/>
          </w:tcPr>
          <w:p w14:paraId="1FC37A6E"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0,00</w:t>
            </w:r>
          </w:p>
        </w:tc>
        <w:tc>
          <w:tcPr>
            <w:tcW w:w="0" w:type="auto"/>
            <w:noWrap/>
            <w:vAlign w:val="bottom"/>
            <w:hideMark/>
          </w:tcPr>
          <w:p w14:paraId="293C9106"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1.300,00</w:t>
            </w:r>
          </w:p>
        </w:tc>
        <w:tc>
          <w:tcPr>
            <w:tcW w:w="0" w:type="auto"/>
            <w:noWrap/>
            <w:vAlign w:val="bottom"/>
            <w:hideMark/>
          </w:tcPr>
          <w:p w14:paraId="13945C76"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100,00</w:t>
            </w:r>
          </w:p>
        </w:tc>
        <w:tc>
          <w:tcPr>
            <w:tcW w:w="1517" w:type="dxa"/>
            <w:noWrap/>
            <w:vAlign w:val="bottom"/>
            <w:hideMark/>
          </w:tcPr>
          <w:p w14:paraId="3DABE712" w14:textId="77777777" w:rsidR="00863D50" w:rsidRPr="007B38F9" w:rsidRDefault="00863D50">
            <w:pPr>
              <w:jc w:val="right"/>
              <w:rPr>
                <w:rFonts w:ascii="Arial" w:hAnsi="Arial" w:cs="Arial"/>
                <w:b/>
                <w:bCs/>
                <w:sz w:val="18"/>
                <w:szCs w:val="18"/>
              </w:rPr>
            </w:pPr>
            <w:r w:rsidRPr="007B38F9">
              <w:rPr>
                <w:rFonts w:ascii="Arial" w:hAnsi="Arial" w:cs="Arial"/>
                <w:b/>
                <w:bCs/>
                <w:sz w:val="18"/>
                <w:szCs w:val="18"/>
              </w:rPr>
              <w:t>1.300,00</w:t>
            </w:r>
          </w:p>
        </w:tc>
      </w:tr>
      <w:tr w:rsidR="007B38F9" w:rsidRPr="007B38F9" w14:paraId="06CBB1CB" w14:textId="77777777" w:rsidTr="007B38F9">
        <w:trPr>
          <w:trHeight w:val="255"/>
        </w:trPr>
        <w:tc>
          <w:tcPr>
            <w:tcW w:w="0" w:type="auto"/>
            <w:noWrap/>
            <w:vAlign w:val="bottom"/>
            <w:hideMark/>
          </w:tcPr>
          <w:p w14:paraId="6B7D07E2" w14:textId="77777777" w:rsidR="00863D50" w:rsidRPr="007B38F9" w:rsidRDefault="00863D50">
            <w:pPr>
              <w:rPr>
                <w:rFonts w:ascii="Arial" w:hAnsi="Arial" w:cs="Arial"/>
                <w:sz w:val="18"/>
                <w:szCs w:val="18"/>
              </w:rPr>
            </w:pPr>
            <w:r w:rsidRPr="007B38F9">
              <w:rPr>
                <w:rFonts w:ascii="Arial" w:hAnsi="Arial" w:cs="Arial"/>
                <w:sz w:val="18"/>
                <w:szCs w:val="18"/>
              </w:rPr>
              <w:t>42</w:t>
            </w:r>
          </w:p>
        </w:tc>
        <w:tc>
          <w:tcPr>
            <w:tcW w:w="3853" w:type="dxa"/>
            <w:noWrap/>
            <w:vAlign w:val="bottom"/>
            <w:hideMark/>
          </w:tcPr>
          <w:p w14:paraId="36A4663C" w14:textId="77777777" w:rsidR="00863D50" w:rsidRPr="007B38F9" w:rsidRDefault="00863D50">
            <w:pPr>
              <w:rPr>
                <w:rFonts w:ascii="Arial" w:hAnsi="Arial" w:cs="Arial"/>
                <w:sz w:val="18"/>
                <w:szCs w:val="18"/>
              </w:rPr>
            </w:pPr>
            <w:r w:rsidRPr="007B38F9">
              <w:rPr>
                <w:rFonts w:ascii="Arial" w:hAnsi="Arial" w:cs="Arial"/>
                <w:sz w:val="18"/>
                <w:szCs w:val="18"/>
              </w:rPr>
              <w:t>Rashodi za nabavu proizvedene dugotrajne imovine</w:t>
            </w:r>
          </w:p>
        </w:tc>
        <w:tc>
          <w:tcPr>
            <w:tcW w:w="1264" w:type="dxa"/>
            <w:noWrap/>
            <w:vAlign w:val="bottom"/>
            <w:hideMark/>
          </w:tcPr>
          <w:p w14:paraId="5BF2CC75" w14:textId="77777777" w:rsidR="00863D50" w:rsidRPr="007B38F9" w:rsidRDefault="00863D50">
            <w:pPr>
              <w:jc w:val="right"/>
              <w:rPr>
                <w:rFonts w:ascii="Arial" w:hAnsi="Arial" w:cs="Arial"/>
                <w:sz w:val="18"/>
                <w:szCs w:val="18"/>
              </w:rPr>
            </w:pPr>
            <w:r w:rsidRPr="007B38F9">
              <w:rPr>
                <w:rFonts w:ascii="Arial" w:hAnsi="Arial" w:cs="Arial"/>
                <w:sz w:val="18"/>
                <w:szCs w:val="18"/>
              </w:rPr>
              <w:t>0,00</w:t>
            </w:r>
          </w:p>
        </w:tc>
        <w:tc>
          <w:tcPr>
            <w:tcW w:w="0" w:type="auto"/>
            <w:noWrap/>
            <w:vAlign w:val="bottom"/>
            <w:hideMark/>
          </w:tcPr>
          <w:p w14:paraId="0C9A9B58" w14:textId="77777777" w:rsidR="00863D50" w:rsidRPr="007B38F9" w:rsidRDefault="00863D50">
            <w:pPr>
              <w:jc w:val="right"/>
              <w:rPr>
                <w:rFonts w:ascii="Arial" w:hAnsi="Arial" w:cs="Arial"/>
                <w:sz w:val="18"/>
                <w:szCs w:val="18"/>
              </w:rPr>
            </w:pPr>
            <w:r w:rsidRPr="007B38F9">
              <w:rPr>
                <w:rFonts w:ascii="Arial" w:hAnsi="Arial" w:cs="Arial"/>
                <w:sz w:val="18"/>
                <w:szCs w:val="18"/>
              </w:rPr>
              <w:t>1.300,00</w:t>
            </w:r>
          </w:p>
        </w:tc>
        <w:tc>
          <w:tcPr>
            <w:tcW w:w="0" w:type="auto"/>
            <w:noWrap/>
            <w:vAlign w:val="bottom"/>
            <w:hideMark/>
          </w:tcPr>
          <w:p w14:paraId="22463598" w14:textId="77777777" w:rsidR="00863D50" w:rsidRPr="007B38F9" w:rsidRDefault="00863D50">
            <w:pPr>
              <w:jc w:val="right"/>
              <w:rPr>
                <w:rFonts w:ascii="Arial" w:hAnsi="Arial" w:cs="Arial"/>
                <w:sz w:val="18"/>
                <w:szCs w:val="18"/>
              </w:rPr>
            </w:pPr>
            <w:r w:rsidRPr="007B38F9">
              <w:rPr>
                <w:rFonts w:ascii="Arial" w:hAnsi="Arial" w:cs="Arial"/>
                <w:sz w:val="18"/>
                <w:szCs w:val="18"/>
              </w:rPr>
              <w:t>100,00</w:t>
            </w:r>
          </w:p>
        </w:tc>
        <w:tc>
          <w:tcPr>
            <w:tcW w:w="1517" w:type="dxa"/>
            <w:noWrap/>
            <w:vAlign w:val="bottom"/>
            <w:hideMark/>
          </w:tcPr>
          <w:p w14:paraId="7A82CBA7" w14:textId="77777777" w:rsidR="00863D50" w:rsidRPr="007B38F9" w:rsidRDefault="00863D50">
            <w:pPr>
              <w:jc w:val="right"/>
              <w:rPr>
                <w:rFonts w:ascii="Arial" w:hAnsi="Arial" w:cs="Arial"/>
                <w:sz w:val="18"/>
                <w:szCs w:val="18"/>
              </w:rPr>
            </w:pPr>
            <w:r w:rsidRPr="007B38F9">
              <w:rPr>
                <w:rFonts w:ascii="Arial" w:hAnsi="Arial" w:cs="Arial"/>
                <w:sz w:val="18"/>
                <w:szCs w:val="18"/>
              </w:rPr>
              <w:t>1.300,00</w:t>
            </w:r>
          </w:p>
        </w:tc>
      </w:tr>
    </w:tbl>
    <w:p w14:paraId="4F70706B" w14:textId="77777777" w:rsidR="00863D50" w:rsidRDefault="00863D50" w:rsidP="00863D50">
      <w:pPr>
        <w:tabs>
          <w:tab w:val="left" w:pos="851"/>
        </w:tabs>
        <w:jc w:val="both"/>
        <w:rPr>
          <w:rFonts w:ascii="Arial" w:eastAsia="Arial" w:hAnsi="Arial" w:cs="Arial"/>
          <w:bCs/>
          <w:szCs w:val="22"/>
          <w:lang w:eastAsia="en-US"/>
        </w:rPr>
      </w:pPr>
    </w:p>
    <w:p w14:paraId="27959123" w14:textId="77777777" w:rsidR="00863D50" w:rsidRDefault="00863D50" w:rsidP="00863D50">
      <w:pPr>
        <w:tabs>
          <w:tab w:val="left" w:pos="851"/>
        </w:tabs>
        <w:jc w:val="both"/>
        <w:rPr>
          <w:rFonts w:ascii="Arial" w:hAnsi="Arial" w:cs="Arial"/>
          <w:sz w:val="22"/>
        </w:rPr>
      </w:pPr>
    </w:p>
    <w:p w14:paraId="5606A489" w14:textId="77777777" w:rsidR="00863D50" w:rsidRPr="007B38F9" w:rsidRDefault="00863D50" w:rsidP="007B38F9">
      <w:pPr>
        <w:pStyle w:val="Bezproreda"/>
        <w:spacing w:line="259" w:lineRule="auto"/>
        <w:jc w:val="both"/>
        <w:rPr>
          <w:rFonts w:ascii="Arial" w:hAnsi="Arial" w:cs="Arial"/>
        </w:rPr>
      </w:pPr>
      <w:r w:rsidRPr="007B38F9">
        <w:rPr>
          <w:rFonts w:ascii="Arial" w:eastAsia="Arial" w:hAnsi="Arial" w:cs="Arial"/>
          <w:bCs/>
        </w:rPr>
        <w:t>Planirana  sredstva za provedbu ovog programa planirana</w:t>
      </w:r>
      <w:r w:rsidRPr="007B38F9">
        <w:rPr>
          <w:rFonts w:ascii="Arial" w:eastAsia="Arial" w:hAnsi="Arial" w:cs="Arial"/>
        </w:rPr>
        <w:t xml:space="preserve"> sredstva iznose </w:t>
      </w:r>
      <w:r w:rsidRPr="007B38F9">
        <w:rPr>
          <w:rFonts w:ascii="Arial" w:eastAsia="Times New Roman" w:hAnsi="Arial" w:cs="Arial"/>
          <w:lang w:eastAsia="hr-HR"/>
        </w:rPr>
        <w:t xml:space="preserve">2.020.113,00 </w:t>
      </w:r>
      <w:r w:rsidRPr="007B38F9">
        <w:rPr>
          <w:rFonts w:ascii="Arial" w:hAnsi="Arial" w:cs="Arial"/>
        </w:rPr>
        <w:t>eura</w:t>
      </w:r>
    </w:p>
    <w:bookmarkEnd w:id="40"/>
    <w:p w14:paraId="57E2F276" w14:textId="77777777" w:rsidR="00863D50" w:rsidRPr="007B38F9" w:rsidRDefault="00863D50" w:rsidP="007B38F9">
      <w:pPr>
        <w:spacing w:line="259" w:lineRule="auto"/>
        <w:rPr>
          <w:rFonts w:ascii="Arial" w:eastAsia="Calibri" w:hAnsi="Arial" w:cs="Arial"/>
          <w:b/>
          <w:color w:val="FF0000"/>
          <w:sz w:val="22"/>
          <w:szCs w:val="22"/>
        </w:rPr>
      </w:pPr>
    </w:p>
    <w:p w14:paraId="387C78C7" w14:textId="77777777" w:rsidR="00863D50" w:rsidRPr="007B38F9" w:rsidRDefault="00863D50" w:rsidP="007B38F9">
      <w:pPr>
        <w:tabs>
          <w:tab w:val="left" w:pos="851"/>
        </w:tabs>
        <w:spacing w:line="259" w:lineRule="auto"/>
        <w:jc w:val="both"/>
        <w:rPr>
          <w:rFonts w:ascii="Arial" w:eastAsia="Calibri" w:hAnsi="Arial" w:cs="Arial"/>
          <w:b/>
          <w:sz w:val="22"/>
          <w:szCs w:val="22"/>
        </w:rPr>
      </w:pPr>
      <w:r w:rsidRPr="007B38F9">
        <w:rPr>
          <w:rFonts w:ascii="Arial" w:eastAsia="Calibri" w:hAnsi="Arial" w:cs="Arial"/>
          <w:b/>
          <w:bCs/>
          <w:sz w:val="22"/>
          <w:szCs w:val="22"/>
        </w:rPr>
        <w:t>Aktivnost</w:t>
      </w:r>
      <w:r w:rsidRPr="007B38F9">
        <w:rPr>
          <w:rFonts w:ascii="Arial" w:eastAsia="Calibri" w:hAnsi="Arial" w:cs="Arial"/>
          <w:b/>
          <w:sz w:val="22"/>
          <w:szCs w:val="22"/>
        </w:rPr>
        <w:t xml:space="preserve"> A500003: Financiranje djelatnosti osnovnog obrazovanja</w:t>
      </w:r>
    </w:p>
    <w:p w14:paraId="1A3230F4" w14:textId="77777777" w:rsidR="00863D50" w:rsidRPr="007B38F9" w:rsidRDefault="00863D50" w:rsidP="007B38F9">
      <w:pPr>
        <w:tabs>
          <w:tab w:val="num" w:pos="720"/>
          <w:tab w:val="left" w:pos="851"/>
        </w:tabs>
        <w:spacing w:line="259" w:lineRule="auto"/>
        <w:jc w:val="both"/>
        <w:rPr>
          <w:rFonts w:ascii="Arial" w:eastAsia="Calibri" w:hAnsi="Arial" w:cs="Arial"/>
          <w:bCs/>
          <w:sz w:val="22"/>
          <w:szCs w:val="22"/>
        </w:rPr>
      </w:pPr>
      <w:r w:rsidRPr="007B38F9">
        <w:rPr>
          <w:rFonts w:ascii="Arial" w:eastAsia="Calibri" w:hAnsi="Arial" w:cs="Arial"/>
          <w:bCs/>
          <w:sz w:val="22"/>
          <w:szCs w:val="22"/>
        </w:rPr>
        <w:t xml:space="preserve">Ova se aktivnost odnosi na redovno poslovanje Škole, a financira se iz decentralizirane funkcije financiranja, sredstva gradskog proračuna, vlastiti prihodi i prihodi iz državnog proračuna. </w:t>
      </w:r>
    </w:p>
    <w:p w14:paraId="128CBF22" w14:textId="77777777" w:rsidR="00863D50" w:rsidRPr="007B38F9" w:rsidRDefault="00863D50" w:rsidP="007B38F9">
      <w:pPr>
        <w:tabs>
          <w:tab w:val="num" w:pos="720"/>
          <w:tab w:val="left" w:pos="851"/>
        </w:tabs>
        <w:spacing w:line="259" w:lineRule="auto"/>
        <w:jc w:val="both"/>
        <w:rPr>
          <w:rFonts w:ascii="Arial" w:eastAsia="Calibri" w:hAnsi="Arial" w:cs="Arial"/>
          <w:sz w:val="22"/>
          <w:szCs w:val="22"/>
        </w:rPr>
      </w:pPr>
      <w:r w:rsidRPr="007B38F9">
        <w:rPr>
          <w:rFonts w:ascii="Arial" w:eastAsia="Calibri" w:hAnsi="Arial" w:cs="Arial"/>
          <w:bCs/>
          <w:sz w:val="22"/>
          <w:szCs w:val="22"/>
        </w:rPr>
        <w:t>Decentralizirana sredstva su sredstva koje država prenosi županijama i gradovima radi pokrivanja osnovnih troškova obrazovanja, posebice za redovno funkcioniranje škola. U sklopu njih financiraju se sljedeće vrste rashoda: službena putovanja – dnevnice, putni troškovi, kotizacije za službena putovanja zaposlenika, rashodi za materijal i energiju (uredski materijal i ostali materijalni rashodi, električna energija, grijanje (plin, loživo ulje, drva), materijal i dijelovi za tekuće i investicijsko održavanje, sitni inventar, službena, radna i zaštitna odjeća i obuća – za domare, čistačice, kuhare i druge tehničke djelatnike, rashodi za usluge prijevoza učenika, telefona, tekućeg i investicijskog održavanja, komunalne usluge – odvoz otpada, čišćenje dimnjaka, vodne usluge, zakupnine i najamnine – najam prostora, opreme, zdravstvene i veterinarske usluge – sistematski pregledi, intelektualne i osobne usluge, ostale usluge – razne pomoćne usluge koje nisu svrstane u prethodne kategorije te ostali</w:t>
      </w:r>
      <w:r w:rsidRPr="007B38F9">
        <w:rPr>
          <w:rFonts w:ascii="Arial" w:eastAsia="Calibri" w:hAnsi="Arial" w:cs="Arial"/>
          <w:b/>
          <w:bCs/>
          <w:sz w:val="22"/>
          <w:szCs w:val="22"/>
        </w:rPr>
        <w:t xml:space="preserve"> </w:t>
      </w:r>
      <w:r w:rsidRPr="007B38F9">
        <w:rPr>
          <w:rFonts w:ascii="Arial" w:eastAsia="Calibri" w:hAnsi="Arial" w:cs="Arial"/>
          <w:sz w:val="22"/>
          <w:szCs w:val="22"/>
        </w:rPr>
        <w:t>nespomenuti rashodi poslovanja poput premije osiguranja, članarine za članstva u stručnim udrugama, ostali nespomenuti rashodi poslovanja – troškovi koji se povremeno pojavljuju i nisu redovna stavka</w:t>
      </w:r>
    </w:p>
    <w:p w14:paraId="3C8D418F" w14:textId="77777777" w:rsidR="00863D50" w:rsidRPr="007B38F9" w:rsidRDefault="00863D50" w:rsidP="007B38F9">
      <w:pPr>
        <w:spacing w:line="259" w:lineRule="auto"/>
        <w:jc w:val="both"/>
        <w:rPr>
          <w:rFonts w:ascii="Arial" w:eastAsia="Calibri" w:hAnsi="Arial" w:cs="Arial"/>
          <w:sz w:val="22"/>
          <w:szCs w:val="22"/>
        </w:rPr>
      </w:pPr>
      <w:r w:rsidRPr="007B38F9">
        <w:rPr>
          <w:rFonts w:ascii="Arial" w:eastAsia="Calibri" w:hAnsi="Arial" w:cs="Arial"/>
          <w:sz w:val="22"/>
          <w:szCs w:val="22"/>
        </w:rPr>
        <w:t xml:space="preserve">Iz gradskog se proračuna financiraju rashodi za električnu energiju, grijanje (plin, loživo ulje, drva) i računalne usluge – održavanje računala, softvera te </w:t>
      </w:r>
      <w:r w:rsidRPr="007B38F9">
        <w:rPr>
          <w:rFonts w:ascii="Arial" w:hAnsi="Arial" w:cs="Arial"/>
          <w:sz w:val="22"/>
          <w:szCs w:val="22"/>
        </w:rPr>
        <w:t>Škola je uključena u projekt Školska shema – besplatnih obroka voća, povrća i mlijeka za školsku djecu. Tim se projektom želi povećati unos svježeg voća i povrća te mlijeka i mliječnih proizvoda, kao i podizanja svijesti o značaju zdrave prehrane kod školske djece.</w:t>
      </w:r>
    </w:p>
    <w:p w14:paraId="1218EC5C" w14:textId="77777777" w:rsidR="00863D50" w:rsidRPr="007B38F9" w:rsidRDefault="00863D50" w:rsidP="007B38F9">
      <w:pPr>
        <w:tabs>
          <w:tab w:val="num" w:pos="720"/>
          <w:tab w:val="left" w:pos="851"/>
        </w:tabs>
        <w:spacing w:line="259" w:lineRule="auto"/>
        <w:jc w:val="both"/>
        <w:rPr>
          <w:rFonts w:ascii="Arial" w:eastAsia="Calibri" w:hAnsi="Arial" w:cs="Arial"/>
          <w:bCs/>
          <w:sz w:val="22"/>
          <w:szCs w:val="22"/>
        </w:rPr>
      </w:pPr>
      <w:r w:rsidRPr="007B38F9">
        <w:rPr>
          <w:rFonts w:ascii="Arial" w:eastAsia="Calibri" w:hAnsi="Arial" w:cs="Arial"/>
          <w:bCs/>
          <w:sz w:val="22"/>
          <w:szCs w:val="22"/>
        </w:rPr>
        <w:t>Vlastitim prihodima financiraju se materijalni rashodi i nabavka nefinancijske imovine prema potrebi Škole.</w:t>
      </w:r>
    </w:p>
    <w:p w14:paraId="61303DFE" w14:textId="77777777" w:rsidR="00863D50" w:rsidRDefault="00863D50" w:rsidP="007B38F9">
      <w:pPr>
        <w:spacing w:line="259" w:lineRule="auto"/>
        <w:jc w:val="both"/>
        <w:rPr>
          <w:rFonts w:ascii="Arial" w:eastAsia="Calibri" w:hAnsi="Arial" w:cs="Arial"/>
          <w:sz w:val="22"/>
          <w:szCs w:val="22"/>
        </w:rPr>
      </w:pPr>
      <w:r w:rsidRPr="007B38F9">
        <w:rPr>
          <w:rFonts w:ascii="Arial" w:eastAsia="Calibri" w:hAnsi="Arial" w:cs="Arial"/>
          <w:sz w:val="22"/>
          <w:szCs w:val="22"/>
        </w:rPr>
        <w:t>Sredstvima iz državnog proračuna financiraju se rashodi za zaposlene</w:t>
      </w:r>
      <w:r w:rsidRPr="007B38F9">
        <w:rPr>
          <w:rFonts w:ascii="Arial" w:hAnsi="Arial" w:cs="Arial"/>
          <w:color w:val="FF0000"/>
          <w:sz w:val="22"/>
          <w:szCs w:val="22"/>
        </w:rPr>
        <w:t xml:space="preserve"> </w:t>
      </w:r>
      <w:r w:rsidRPr="007B38F9">
        <w:rPr>
          <w:rFonts w:ascii="Arial" w:hAnsi="Arial" w:cs="Arial"/>
          <w:sz w:val="22"/>
          <w:szCs w:val="22"/>
        </w:rPr>
        <w:t>učitelje i tehničko administrativno osoblje koji se u cijelosti financiraju iz državnog proračuna te rashodi za</w:t>
      </w:r>
      <w:r w:rsidRPr="007B38F9">
        <w:rPr>
          <w:rFonts w:ascii="Arial" w:eastAsia="Calibri" w:hAnsi="Arial" w:cs="Arial"/>
          <w:sz w:val="22"/>
          <w:szCs w:val="22"/>
        </w:rPr>
        <w:t xml:space="preserve"> prehranu učenika tijekom boravka u školi financiraju se sredstvima iz državnog proračuna, u skladu s važećim propisima i normativima koje donosi Ministarstvo zdravstva. Program školske prehrane provodi se uz poštivanje načela uravnotežene, zdrave i nutritivno primjerene prehrane, a s ciljem očuvanja i promicanja zdravlja učenika. Tjedni jelovnik izrađuje se u skladu s propisanim standardima te se redovito objavljuje na školskoj oglasnoj ploči, čime se osigurava transparentnost i informiranost roditelja i učenika. U skladu s preporukama o zdravoj prehrani, u školi se ne nudi brza hrana ni gazirana pića. Obroci se pripremaju i poslužuju u školskom restoranu, pod nadzorom stručnog osoblja, uz osiguravanje higijenskih i zdravstvenih uvjeta. Temeljem Odluke Vlade Republike Hrvatske od 1. siječnja 2023., osigurana su sredstva za marende učenika u iznosu od 1,33 eura po učeniku dnevno. Ova odluka omogućila je uključivanje svih učenika u osnovnoškolski sustav prehrane, neovisno o njihovom socioekonomskom statusu.</w:t>
      </w:r>
    </w:p>
    <w:p w14:paraId="33D122B6" w14:textId="77777777" w:rsidR="007B7808" w:rsidRDefault="007B7808" w:rsidP="007B38F9">
      <w:pPr>
        <w:spacing w:line="259" w:lineRule="auto"/>
        <w:jc w:val="both"/>
        <w:rPr>
          <w:rFonts w:ascii="Arial" w:eastAsia="Calibri" w:hAnsi="Arial" w:cs="Arial"/>
          <w:sz w:val="22"/>
          <w:szCs w:val="22"/>
        </w:rPr>
      </w:pPr>
    </w:p>
    <w:p w14:paraId="5CCCCA4B" w14:textId="77777777" w:rsidR="007B7808" w:rsidRDefault="007B7808" w:rsidP="007B38F9">
      <w:pPr>
        <w:spacing w:line="259" w:lineRule="auto"/>
        <w:jc w:val="both"/>
        <w:rPr>
          <w:rFonts w:ascii="Arial" w:eastAsia="Calibri" w:hAnsi="Arial" w:cs="Arial"/>
          <w:sz w:val="22"/>
          <w:szCs w:val="22"/>
        </w:rPr>
      </w:pPr>
    </w:p>
    <w:p w14:paraId="4A71CF4D" w14:textId="77777777" w:rsidR="007B7808" w:rsidRPr="007B38F9" w:rsidRDefault="007B7808" w:rsidP="007B38F9">
      <w:pPr>
        <w:spacing w:line="259" w:lineRule="auto"/>
        <w:jc w:val="both"/>
        <w:rPr>
          <w:rFonts w:ascii="Arial" w:eastAsia="Calibri" w:hAnsi="Arial" w:cs="Arial"/>
          <w:sz w:val="22"/>
          <w:szCs w:val="22"/>
        </w:rPr>
      </w:pPr>
    </w:p>
    <w:p w14:paraId="12C7186F" w14:textId="77777777" w:rsidR="00863D50" w:rsidRPr="007B38F9" w:rsidRDefault="00863D50" w:rsidP="007B38F9">
      <w:pPr>
        <w:tabs>
          <w:tab w:val="left" w:pos="851"/>
        </w:tabs>
        <w:autoSpaceDE w:val="0"/>
        <w:autoSpaceDN w:val="0"/>
        <w:adjustRightInd w:val="0"/>
        <w:spacing w:line="259" w:lineRule="auto"/>
        <w:jc w:val="both"/>
        <w:rPr>
          <w:rFonts w:ascii="Arial" w:eastAsia="Calibri" w:hAnsi="Arial" w:cs="Arial"/>
          <w:b/>
          <w:bCs/>
          <w:sz w:val="22"/>
          <w:szCs w:val="22"/>
        </w:rPr>
      </w:pPr>
      <w:r w:rsidRPr="007B38F9">
        <w:rPr>
          <w:rFonts w:ascii="Arial" w:eastAsia="Calibri" w:hAnsi="Arial" w:cs="Arial"/>
          <w:b/>
          <w:bCs/>
          <w:sz w:val="22"/>
          <w:szCs w:val="22"/>
        </w:rPr>
        <w:lastRenderedPageBreak/>
        <w:t>Aktivnost A500004: Produženi boravak:</w:t>
      </w:r>
    </w:p>
    <w:p w14:paraId="7B012806" w14:textId="77777777" w:rsidR="00863D50" w:rsidRPr="007B38F9" w:rsidRDefault="00863D50" w:rsidP="007B38F9">
      <w:pPr>
        <w:tabs>
          <w:tab w:val="left" w:pos="851"/>
        </w:tabs>
        <w:autoSpaceDE w:val="0"/>
        <w:autoSpaceDN w:val="0"/>
        <w:adjustRightInd w:val="0"/>
        <w:spacing w:line="259" w:lineRule="auto"/>
        <w:jc w:val="both"/>
        <w:rPr>
          <w:rFonts w:ascii="Arial" w:eastAsia="Calibri" w:hAnsi="Arial" w:cs="Arial"/>
          <w:sz w:val="22"/>
          <w:szCs w:val="22"/>
        </w:rPr>
      </w:pPr>
      <w:r w:rsidRPr="007B38F9">
        <w:rPr>
          <w:rFonts w:ascii="Arial" w:eastAsia="Calibri" w:hAnsi="Arial" w:cs="Arial"/>
          <w:sz w:val="22"/>
          <w:szCs w:val="22"/>
        </w:rPr>
        <w:t>Produženi boravak organiziran je kao oblik cjelodnevnog odgojno-obrazovnog rada namijenjen učenicima razredne nastave, prvenstveno nižih razreda. Cilj mu je omogućiti učenicima kvalitetno provođenje vremena nakon redovne nastave, uz dodatnu pedagošku i socijalnu podršku te pomoć u učenju.</w:t>
      </w:r>
    </w:p>
    <w:p w14:paraId="766955E1" w14:textId="77777777" w:rsidR="00863D50" w:rsidRPr="007B38F9" w:rsidRDefault="00863D50" w:rsidP="007B38F9">
      <w:pPr>
        <w:tabs>
          <w:tab w:val="num" w:pos="720"/>
          <w:tab w:val="left" w:pos="851"/>
        </w:tabs>
        <w:autoSpaceDE w:val="0"/>
        <w:autoSpaceDN w:val="0"/>
        <w:adjustRightInd w:val="0"/>
        <w:spacing w:line="259" w:lineRule="auto"/>
        <w:jc w:val="both"/>
        <w:rPr>
          <w:rFonts w:ascii="Arial" w:eastAsia="Calibri" w:hAnsi="Arial" w:cs="Arial"/>
          <w:sz w:val="22"/>
          <w:szCs w:val="22"/>
        </w:rPr>
      </w:pPr>
      <w:r w:rsidRPr="007B38F9">
        <w:rPr>
          <w:rFonts w:ascii="Arial" w:eastAsia="Calibri" w:hAnsi="Arial" w:cs="Arial"/>
          <w:sz w:val="22"/>
          <w:szCs w:val="22"/>
        </w:rPr>
        <w:t>Program produženog boravka obuhvaća: pisanje domaćih zadaća i ponavljanje nastavnog gradiva uz stručnu pomoć učitelja, odgojno-obrazovne i kreativne aktivnosti (likovne, glazbene, sportske, informatičke i druge radionice), organizirano slobodno vrijeme, dnevni odmor i prehranu učenika, u skladu s propisanim standardima.</w:t>
      </w:r>
    </w:p>
    <w:p w14:paraId="42108190" w14:textId="77777777" w:rsidR="00863D50" w:rsidRPr="007B38F9" w:rsidRDefault="00863D50" w:rsidP="007B38F9">
      <w:pPr>
        <w:tabs>
          <w:tab w:val="num" w:pos="720"/>
          <w:tab w:val="left" w:pos="851"/>
        </w:tabs>
        <w:autoSpaceDE w:val="0"/>
        <w:autoSpaceDN w:val="0"/>
        <w:adjustRightInd w:val="0"/>
        <w:spacing w:line="259" w:lineRule="auto"/>
        <w:jc w:val="both"/>
        <w:rPr>
          <w:rFonts w:ascii="Arial" w:eastAsia="Calibri" w:hAnsi="Arial" w:cs="Arial"/>
          <w:sz w:val="22"/>
          <w:szCs w:val="22"/>
        </w:rPr>
      </w:pPr>
      <w:r w:rsidRPr="007B38F9">
        <w:rPr>
          <w:rFonts w:ascii="Arial" w:eastAsia="Calibri" w:hAnsi="Arial" w:cs="Arial"/>
          <w:sz w:val="22"/>
          <w:szCs w:val="22"/>
        </w:rPr>
        <w:t>Financiranje produženog boravka osigurano je kroz: Proračun osnivača, doprinos roditelja, u skladu s odlukom lokalne samouprave i školskog odbora, po potrebi i drugim izvorima (projekti, donacije i sl.).</w:t>
      </w:r>
    </w:p>
    <w:p w14:paraId="0E474FA7" w14:textId="77777777" w:rsidR="00863D50" w:rsidRPr="007B38F9" w:rsidRDefault="00863D50" w:rsidP="007B38F9">
      <w:pPr>
        <w:tabs>
          <w:tab w:val="left" w:pos="851"/>
        </w:tabs>
        <w:autoSpaceDE w:val="0"/>
        <w:autoSpaceDN w:val="0"/>
        <w:adjustRightInd w:val="0"/>
        <w:spacing w:line="259" w:lineRule="auto"/>
        <w:jc w:val="both"/>
        <w:rPr>
          <w:rFonts w:ascii="Arial" w:eastAsia="Calibri" w:hAnsi="Arial" w:cs="Arial"/>
          <w:sz w:val="22"/>
          <w:szCs w:val="22"/>
        </w:rPr>
      </w:pPr>
      <w:r w:rsidRPr="007B38F9">
        <w:rPr>
          <w:rFonts w:ascii="Arial" w:eastAsia="Calibri" w:hAnsi="Arial" w:cs="Arial"/>
          <w:sz w:val="22"/>
          <w:szCs w:val="22"/>
        </w:rPr>
        <w:t>Program produženog boravka provodi se u skladu s kadrovskim i prostornim mogućnostima škole, a uz poštivanje pedagoških standarda i potreba učenika i roditelja.</w:t>
      </w:r>
    </w:p>
    <w:p w14:paraId="60C76114" w14:textId="77777777" w:rsidR="00863D50" w:rsidRPr="007B38F9" w:rsidRDefault="00863D50" w:rsidP="007B38F9">
      <w:pPr>
        <w:spacing w:line="259" w:lineRule="auto"/>
        <w:jc w:val="both"/>
        <w:rPr>
          <w:rFonts w:ascii="Arial" w:eastAsiaTheme="minorHAnsi" w:hAnsi="Arial" w:cs="Arial"/>
          <w:sz w:val="22"/>
          <w:szCs w:val="22"/>
        </w:rPr>
      </w:pPr>
      <w:r w:rsidRPr="007B38F9">
        <w:rPr>
          <w:rFonts w:ascii="Arial" w:hAnsi="Arial" w:cs="Arial"/>
          <w:sz w:val="22"/>
          <w:szCs w:val="22"/>
        </w:rPr>
        <w:t xml:space="preserve">Škola provodi program produženog boravka po cijeni od 3,50 eura dnevno koju plaćaju roditelji. Uključeno je ukupno 128 učenika (stanje rujan/2024.). U produženom boravku zaposleno je 5 učiteljica čija sredstva za rashode plaće osigurava Grad Labin te u omjeru na broj djece iz područja Općine Raša i Općina </w:t>
      </w:r>
      <w:proofErr w:type="spellStart"/>
      <w:r w:rsidRPr="007B38F9">
        <w:rPr>
          <w:rFonts w:ascii="Arial" w:hAnsi="Arial" w:cs="Arial"/>
          <w:sz w:val="22"/>
          <w:szCs w:val="22"/>
        </w:rPr>
        <w:t>Sv.Nedelja</w:t>
      </w:r>
      <w:proofErr w:type="spellEnd"/>
      <w:r w:rsidRPr="007B38F9">
        <w:rPr>
          <w:rFonts w:ascii="Arial" w:hAnsi="Arial" w:cs="Arial"/>
          <w:sz w:val="22"/>
          <w:szCs w:val="22"/>
        </w:rPr>
        <w:t xml:space="preserve"> dio financiraju te općine. Roditelji u rashodima za zaposlene sudjeluju sa 1,00 eura po danu od dana upisa do zahtjeva za ispisom. Rashodi prehrane financiraju se od strane roditelja sa 2,50 eura po danu korištenja usluge. Provođenjem programa socijalne zaštite (osiguravanje učeničkih marendi), koji je sastavni dio programa Grada osigurava se bolji standard učenika slabijeg socijalnog statusa, i to za 5 učenika čije troškove produženog boravka podmiruje Grad Labin.</w:t>
      </w:r>
    </w:p>
    <w:p w14:paraId="5BE42AEF" w14:textId="77777777" w:rsidR="00863D50" w:rsidRPr="007B38F9" w:rsidRDefault="00863D50" w:rsidP="007B38F9">
      <w:pPr>
        <w:tabs>
          <w:tab w:val="left" w:pos="851"/>
        </w:tabs>
        <w:spacing w:line="259" w:lineRule="auto"/>
        <w:jc w:val="both"/>
        <w:rPr>
          <w:rFonts w:ascii="Arial" w:eastAsia="Calibri" w:hAnsi="Arial" w:cs="Arial"/>
          <w:b/>
          <w:color w:val="FF0000"/>
          <w:sz w:val="22"/>
          <w:szCs w:val="22"/>
        </w:rPr>
      </w:pPr>
    </w:p>
    <w:p w14:paraId="5B4FF787" w14:textId="77777777" w:rsidR="00863D50" w:rsidRPr="007B38F9" w:rsidRDefault="00863D50" w:rsidP="007B38F9">
      <w:pPr>
        <w:tabs>
          <w:tab w:val="left" w:pos="851"/>
        </w:tabs>
        <w:spacing w:line="259" w:lineRule="auto"/>
        <w:jc w:val="both"/>
        <w:rPr>
          <w:rFonts w:ascii="Arial" w:eastAsia="Calibri" w:hAnsi="Arial" w:cs="Arial"/>
          <w:b/>
          <w:sz w:val="22"/>
          <w:szCs w:val="22"/>
        </w:rPr>
      </w:pPr>
      <w:r w:rsidRPr="007B38F9">
        <w:rPr>
          <w:rFonts w:ascii="Arial" w:eastAsia="Calibri" w:hAnsi="Arial" w:cs="Arial"/>
          <w:b/>
          <w:sz w:val="22"/>
          <w:szCs w:val="22"/>
        </w:rPr>
        <w:t>Aktivnost A500005: Dodatne aktivnosti učenika i osoblja u školi</w:t>
      </w:r>
    </w:p>
    <w:p w14:paraId="25D7D4AE" w14:textId="77777777" w:rsidR="00863D50" w:rsidRPr="007B38F9" w:rsidRDefault="00863D50" w:rsidP="007B38F9">
      <w:pPr>
        <w:tabs>
          <w:tab w:val="left" w:pos="851"/>
        </w:tabs>
        <w:spacing w:line="259" w:lineRule="auto"/>
        <w:jc w:val="both"/>
        <w:rPr>
          <w:rFonts w:ascii="Arial" w:eastAsia="Calibri" w:hAnsi="Arial" w:cs="Arial"/>
          <w:bCs/>
          <w:sz w:val="22"/>
          <w:szCs w:val="22"/>
        </w:rPr>
      </w:pPr>
      <w:r w:rsidRPr="007B38F9">
        <w:rPr>
          <w:rFonts w:ascii="Arial" w:eastAsia="Calibri" w:hAnsi="Arial" w:cs="Arial"/>
          <w:bCs/>
          <w:sz w:val="22"/>
          <w:szCs w:val="22"/>
        </w:rPr>
        <w:t>U okviru ove aktivnosti, škola tijekom školske godine sustavno provodi uočavanje, praćenje i poticanje darovitih učenika. Na temelju njihovih sposobnosti, sklonosti i interesa, organizira se dodatni rad koji uključuje individualizirane i skupne oblike podrške, s ciljem razvoja potencijala učenika.</w:t>
      </w:r>
    </w:p>
    <w:p w14:paraId="6406DA7F" w14:textId="77777777" w:rsidR="00863D50" w:rsidRPr="007B38F9" w:rsidRDefault="00863D50" w:rsidP="007B38F9">
      <w:pPr>
        <w:tabs>
          <w:tab w:val="num" w:pos="720"/>
          <w:tab w:val="left" w:pos="851"/>
        </w:tabs>
        <w:spacing w:line="259" w:lineRule="auto"/>
        <w:jc w:val="both"/>
        <w:rPr>
          <w:rFonts w:ascii="Arial" w:eastAsia="Calibri" w:hAnsi="Arial" w:cs="Arial"/>
          <w:bCs/>
          <w:sz w:val="22"/>
          <w:szCs w:val="22"/>
        </w:rPr>
      </w:pPr>
      <w:r w:rsidRPr="007B38F9">
        <w:rPr>
          <w:rFonts w:ascii="Arial" w:eastAsia="Calibri" w:hAnsi="Arial" w:cs="Arial"/>
          <w:bCs/>
          <w:sz w:val="22"/>
          <w:szCs w:val="22"/>
        </w:rPr>
        <w:t>Učenici redovito sudjeluju na natjecanjima i smotrama na školskoj, županijskoj, državnoj i međunarodnoj razini. Ta događanja organiziraju Ministarstvo znanosti, obrazovanja i mladih, Agencija za odgoj i obrazovanje, te drugi ovlašteni organizatori uz prethodnu suglasnost Ministarstva. Ujedno, učenici se uključuju i u programe za nadarene, koji omogućuju dodatni razvoj njihovih kompetencija i interesa. Ova aktivnost uključuje i financiranje mentorskih naknada učiteljima koji provode stručno mentorstvo pripravnicima tijekom njihova osposobljavanja za samostalan rad u nastavi, nabavka obveznih udžbenika za učenike sukladno važećim propisima i osiguranim sredstvima, čime se svim učenicima omogućuje jednak pristup obrazovanju.</w:t>
      </w:r>
    </w:p>
    <w:p w14:paraId="75F91852" w14:textId="77777777" w:rsidR="00863D50" w:rsidRPr="007B38F9" w:rsidRDefault="00863D50" w:rsidP="007B38F9">
      <w:pPr>
        <w:tabs>
          <w:tab w:val="left" w:pos="851"/>
        </w:tabs>
        <w:spacing w:line="259" w:lineRule="auto"/>
        <w:jc w:val="both"/>
        <w:rPr>
          <w:rFonts w:ascii="Arial" w:eastAsia="Calibri" w:hAnsi="Arial" w:cs="Arial"/>
          <w:b/>
          <w:color w:val="FF0000"/>
          <w:sz w:val="22"/>
          <w:szCs w:val="22"/>
        </w:rPr>
      </w:pPr>
    </w:p>
    <w:p w14:paraId="7026E7FD" w14:textId="77777777" w:rsidR="00863D50" w:rsidRPr="007B38F9" w:rsidRDefault="00863D50" w:rsidP="007B38F9">
      <w:pPr>
        <w:tabs>
          <w:tab w:val="left" w:pos="851"/>
        </w:tabs>
        <w:spacing w:line="259" w:lineRule="auto"/>
        <w:jc w:val="both"/>
        <w:rPr>
          <w:rFonts w:ascii="Arial" w:eastAsiaTheme="minorHAnsi" w:hAnsi="Arial" w:cs="Arial"/>
          <w:b/>
          <w:sz w:val="22"/>
          <w:szCs w:val="22"/>
          <w:lang w:eastAsia="en-US"/>
        </w:rPr>
      </w:pPr>
      <w:r w:rsidRPr="007B38F9">
        <w:rPr>
          <w:rFonts w:ascii="Arial" w:eastAsia="Calibri" w:hAnsi="Arial" w:cs="Arial"/>
          <w:b/>
          <w:sz w:val="22"/>
          <w:szCs w:val="22"/>
        </w:rPr>
        <w:t>Aktivnost A500006: Osiguranje pomoćnika učenicima s teškoćama</w:t>
      </w:r>
    </w:p>
    <w:p w14:paraId="1F9ECBD3" w14:textId="77777777" w:rsidR="00863D50" w:rsidRPr="007B38F9" w:rsidRDefault="00863D50" w:rsidP="007B38F9">
      <w:pPr>
        <w:tabs>
          <w:tab w:val="left" w:pos="851"/>
        </w:tabs>
        <w:spacing w:line="259" w:lineRule="auto"/>
        <w:jc w:val="both"/>
        <w:rPr>
          <w:rFonts w:ascii="Arial" w:eastAsia="Calibri" w:hAnsi="Arial" w:cs="Arial"/>
          <w:sz w:val="22"/>
          <w:szCs w:val="22"/>
          <w:shd w:val="clear" w:color="auto" w:fill="FFFFFF"/>
        </w:rPr>
      </w:pPr>
      <w:r w:rsidRPr="007B38F9">
        <w:rPr>
          <w:rFonts w:ascii="Arial" w:eastAsia="Calibri" w:hAnsi="Arial" w:cs="Arial"/>
          <w:sz w:val="22"/>
          <w:szCs w:val="22"/>
        </w:rPr>
        <w:tab/>
        <w:t>Osiguranje pomoćnika u nastavi aktivnost je kojim se nastoji izjednačiti mogućnosti svih učenika, unaprjeđenje položaja djece s teškoćama i njihovih obitelji te stvaranje uvjeta za njihovo aktivno sudjelovanje u građanskim, društvenim i kulturnim aktivnostima njihovih zajednica. Za školsku godinu 2024./2025. Škola ima 8 pomoćnika u nastavi, a sredstva su osigurana kroz program RAST IV</w:t>
      </w:r>
      <w:r w:rsidRPr="007B38F9">
        <w:rPr>
          <w:rFonts w:ascii="Arial" w:eastAsia="Calibri" w:hAnsi="Arial" w:cs="Arial"/>
          <w:sz w:val="22"/>
          <w:szCs w:val="22"/>
          <w:shd w:val="clear" w:color="auto" w:fill="FFFFFF"/>
        </w:rPr>
        <w:t xml:space="preserve"> </w:t>
      </w:r>
      <w:r w:rsidRPr="007B38F9">
        <w:rPr>
          <w:rFonts w:ascii="Arial" w:hAnsi="Arial" w:cs="Arial"/>
          <w:sz w:val="22"/>
          <w:szCs w:val="22"/>
        </w:rPr>
        <w:t>koji se financira iz Europskog socijalnog fonda i provodi u suradnji s nadležnim tijelima.</w:t>
      </w:r>
    </w:p>
    <w:p w14:paraId="29FE1B52" w14:textId="77777777" w:rsidR="00863D50" w:rsidRPr="007B38F9" w:rsidRDefault="00863D50" w:rsidP="007B38F9">
      <w:pPr>
        <w:tabs>
          <w:tab w:val="left" w:pos="851"/>
        </w:tabs>
        <w:autoSpaceDE w:val="0"/>
        <w:autoSpaceDN w:val="0"/>
        <w:adjustRightInd w:val="0"/>
        <w:spacing w:line="259" w:lineRule="auto"/>
        <w:jc w:val="both"/>
        <w:rPr>
          <w:rFonts w:ascii="Arial" w:eastAsia="Calibri" w:hAnsi="Arial" w:cs="Arial"/>
          <w:b/>
          <w:bCs/>
          <w:color w:val="FF0000"/>
          <w:sz w:val="22"/>
          <w:szCs w:val="22"/>
        </w:rPr>
      </w:pPr>
    </w:p>
    <w:p w14:paraId="146ADF13" w14:textId="77777777" w:rsidR="00863D50" w:rsidRPr="007B38F9" w:rsidRDefault="00863D50" w:rsidP="007B38F9">
      <w:pPr>
        <w:tabs>
          <w:tab w:val="left" w:pos="851"/>
        </w:tabs>
        <w:autoSpaceDE w:val="0"/>
        <w:autoSpaceDN w:val="0"/>
        <w:adjustRightInd w:val="0"/>
        <w:spacing w:line="259" w:lineRule="auto"/>
        <w:jc w:val="both"/>
        <w:rPr>
          <w:rFonts w:ascii="Arial" w:eastAsia="Calibri" w:hAnsi="Arial" w:cs="Arial"/>
          <w:b/>
          <w:bCs/>
          <w:sz w:val="22"/>
          <w:szCs w:val="22"/>
        </w:rPr>
      </w:pPr>
      <w:r w:rsidRPr="007B38F9">
        <w:rPr>
          <w:rFonts w:ascii="Arial" w:eastAsia="Calibri" w:hAnsi="Arial" w:cs="Arial"/>
          <w:b/>
          <w:bCs/>
          <w:sz w:val="22"/>
          <w:szCs w:val="22"/>
        </w:rPr>
        <w:t>Aktivnost A50007: Financiranje izvannastavnih projekata i drugo</w:t>
      </w:r>
    </w:p>
    <w:p w14:paraId="62FC9DEA" w14:textId="77777777" w:rsidR="00863D50" w:rsidRPr="007B38F9" w:rsidRDefault="00863D50" w:rsidP="007B38F9">
      <w:pPr>
        <w:tabs>
          <w:tab w:val="left" w:pos="851"/>
        </w:tabs>
        <w:autoSpaceDE w:val="0"/>
        <w:autoSpaceDN w:val="0"/>
        <w:adjustRightInd w:val="0"/>
        <w:spacing w:line="259" w:lineRule="auto"/>
        <w:jc w:val="both"/>
        <w:rPr>
          <w:rFonts w:ascii="Arial" w:eastAsia="Calibri" w:hAnsi="Arial" w:cs="Arial"/>
          <w:sz w:val="22"/>
          <w:szCs w:val="22"/>
        </w:rPr>
      </w:pPr>
      <w:r w:rsidRPr="007B38F9">
        <w:rPr>
          <w:rFonts w:ascii="Arial" w:eastAsia="Calibri" w:hAnsi="Arial" w:cs="Arial"/>
          <w:sz w:val="22"/>
          <w:szCs w:val="22"/>
        </w:rPr>
        <w:t xml:space="preserve">Sredstva planirana unutar ove aktivnosti namijenjena su provedbi školskih projekata kojima se potiče i unapređuje kvaliteta obrazovanja učenika. Poseban naglasak stavlja se na aktivnosti </w:t>
      </w:r>
      <w:r w:rsidRPr="007B38F9">
        <w:rPr>
          <w:rFonts w:ascii="Arial" w:eastAsia="Calibri" w:hAnsi="Arial" w:cs="Arial"/>
          <w:sz w:val="22"/>
          <w:szCs w:val="22"/>
        </w:rPr>
        <w:lastRenderedPageBreak/>
        <w:t>koje nadopunjuju redovni odgojno-obrazovni program te doprinose razvoju kompetencija, emocionalnoj stabilnosti i povezanosti učenika sa svojom zajednicom.</w:t>
      </w:r>
    </w:p>
    <w:p w14:paraId="1042F4D3" w14:textId="77777777" w:rsidR="00863D50" w:rsidRPr="007B38F9" w:rsidRDefault="00863D50" w:rsidP="007B38F9">
      <w:pPr>
        <w:tabs>
          <w:tab w:val="left" w:pos="851"/>
        </w:tabs>
        <w:autoSpaceDE w:val="0"/>
        <w:autoSpaceDN w:val="0"/>
        <w:adjustRightInd w:val="0"/>
        <w:spacing w:line="259" w:lineRule="auto"/>
        <w:jc w:val="both"/>
        <w:rPr>
          <w:rFonts w:ascii="Arial" w:eastAsia="Calibri" w:hAnsi="Arial" w:cs="Arial"/>
          <w:sz w:val="22"/>
          <w:szCs w:val="22"/>
        </w:rPr>
      </w:pPr>
    </w:p>
    <w:p w14:paraId="73B6FBD2" w14:textId="77777777" w:rsidR="00863D50" w:rsidRPr="007B38F9" w:rsidRDefault="00863D50" w:rsidP="007B38F9">
      <w:pPr>
        <w:tabs>
          <w:tab w:val="left" w:pos="851"/>
        </w:tabs>
        <w:autoSpaceDE w:val="0"/>
        <w:autoSpaceDN w:val="0"/>
        <w:adjustRightInd w:val="0"/>
        <w:spacing w:line="259" w:lineRule="auto"/>
        <w:jc w:val="both"/>
        <w:rPr>
          <w:rFonts w:ascii="Arial" w:eastAsia="Calibri" w:hAnsi="Arial" w:cs="Arial"/>
          <w:sz w:val="22"/>
          <w:szCs w:val="22"/>
        </w:rPr>
      </w:pPr>
      <w:r w:rsidRPr="007B38F9">
        <w:rPr>
          <w:rFonts w:ascii="Arial" w:eastAsia="Calibri" w:hAnsi="Arial" w:cs="Arial"/>
          <w:sz w:val="22"/>
          <w:szCs w:val="22"/>
        </w:rPr>
        <w:t>Posebno ističemo sljedeće projekte:</w:t>
      </w:r>
    </w:p>
    <w:p w14:paraId="4DE797D5" w14:textId="77777777" w:rsidR="00863D50" w:rsidRPr="007B38F9" w:rsidRDefault="00863D50">
      <w:pPr>
        <w:numPr>
          <w:ilvl w:val="0"/>
          <w:numId w:val="24"/>
        </w:numPr>
        <w:tabs>
          <w:tab w:val="left" w:pos="851"/>
        </w:tabs>
        <w:autoSpaceDE w:val="0"/>
        <w:autoSpaceDN w:val="0"/>
        <w:adjustRightInd w:val="0"/>
        <w:spacing w:line="259" w:lineRule="auto"/>
        <w:jc w:val="both"/>
        <w:rPr>
          <w:rFonts w:ascii="Arial" w:eastAsia="Calibri" w:hAnsi="Arial" w:cs="Arial"/>
          <w:sz w:val="22"/>
          <w:szCs w:val="22"/>
        </w:rPr>
      </w:pPr>
      <w:r w:rsidRPr="007B38F9">
        <w:rPr>
          <w:rFonts w:ascii="Arial" w:eastAsia="Calibri" w:hAnsi="Arial" w:cs="Arial"/>
          <w:sz w:val="22"/>
          <w:szCs w:val="22"/>
        </w:rPr>
        <w:t>Zavičajna nastava – kontinuirano se provodi s ciljem upoznavanja učenika s kulturnom, povijesnom i prirodnom baštinom zavičaja. Aktivnosti uključuju nastavne i izvannastavne sadržaje, kao i terensku nastavu. Program se djelomično financira iz sredstava Istarske županije, a dodatno iz donacija.</w:t>
      </w:r>
    </w:p>
    <w:p w14:paraId="48B899A0" w14:textId="77777777" w:rsidR="00863D50" w:rsidRPr="007B38F9" w:rsidRDefault="00863D50">
      <w:pPr>
        <w:numPr>
          <w:ilvl w:val="0"/>
          <w:numId w:val="24"/>
        </w:numPr>
        <w:tabs>
          <w:tab w:val="left" w:pos="851"/>
        </w:tabs>
        <w:autoSpaceDE w:val="0"/>
        <w:autoSpaceDN w:val="0"/>
        <w:adjustRightInd w:val="0"/>
        <w:spacing w:line="259" w:lineRule="auto"/>
        <w:jc w:val="both"/>
        <w:rPr>
          <w:rFonts w:ascii="Arial" w:eastAsia="Calibri" w:hAnsi="Arial" w:cs="Arial"/>
          <w:sz w:val="22"/>
          <w:szCs w:val="22"/>
        </w:rPr>
      </w:pPr>
      <w:r w:rsidRPr="007B38F9">
        <w:rPr>
          <w:rFonts w:ascii="Arial" w:eastAsia="Calibri" w:hAnsi="Arial" w:cs="Arial"/>
          <w:sz w:val="22"/>
          <w:szCs w:val="22"/>
        </w:rPr>
        <w:t>Preventivni program psihološke pomoći učenicima – usmjeren na očuvanje i jačanje mentalnog zdravlja djece i mladih. Program provodi stručni tim škole, a financiran je sredstvima MZOM-a.</w:t>
      </w:r>
    </w:p>
    <w:p w14:paraId="6CEA6165" w14:textId="77777777" w:rsidR="00863D50" w:rsidRPr="007B38F9" w:rsidRDefault="00863D50">
      <w:pPr>
        <w:numPr>
          <w:ilvl w:val="0"/>
          <w:numId w:val="24"/>
        </w:numPr>
        <w:tabs>
          <w:tab w:val="left" w:pos="851"/>
        </w:tabs>
        <w:autoSpaceDE w:val="0"/>
        <w:autoSpaceDN w:val="0"/>
        <w:adjustRightInd w:val="0"/>
        <w:spacing w:line="259" w:lineRule="auto"/>
        <w:jc w:val="both"/>
        <w:rPr>
          <w:rFonts w:ascii="Arial" w:eastAsia="Calibri" w:hAnsi="Arial" w:cs="Arial"/>
          <w:sz w:val="22"/>
          <w:szCs w:val="22"/>
        </w:rPr>
      </w:pPr>
      <w:r w:rsidRPr="007B38F9">
        <w:rPr>
          <w:rFonts w:ascii="Arial" w:eastAsia="Calibri" w:hAnsi="Arial" w:cs="Arial"/>
          <w:sz w:val="22"/>
          <w:szCs w:val="22"/>
        </w:rPr>
        <w:t>Projekt rada s darovitim učenicima – omogućava identifikaciju i sustavnu podršku darovitim učenicima kroz izazovne zadatke, individualni rad i dodatne sadržaje, a financiran je sredstvima MZOM-a.</w:t>
      </w:r>
    </w:p>
    <w:p w14:paraId="76A74A76" w14:textId="77777777" w:rsidR="00863D50" w:rsidRPr="007B38F9" w:rsidRDefault="00863D50">
      <w:pPr>
        <w:numPr>
          <w:ilvl w:val="0"/>
          <w:numId w:val="24"/>
        </w:numPr>
        <w:tabs>
          <w:tab w:val="left" w:pos="851"/>
        </w:tabs>
        <w:autoSpaceDE w:val="0"/>
        <w:autoSpaceDN w:val="0"/>
        <w:adjustRightInd w:val="0"/>
        <w:spacing w:line="259" w:lineRule="auto"/>
        <w:jc w:val="both"/>
        <w:rPr>
          <w:rFonts w:ascii="Arial" w:eastAsia="Calibri" w:hAnsi="Arial" w:cs="Arial"/>
          <w:sz w:val="22"/>
          <w:szCs w:val="22"/>
        </w:rPr>
      </w:pPr>
      <w:r w:rsidRPr="007B38F9">
        <w:rPr>
          <w:rFonts w:ascii="Arial" w:eastAsia="Calibri" w:hAnsi="Arial" w:cs="Arial"/>
          <w:sz w:val="22"/>
          <w:szCs w:val="22"/>
        </w:rPr>
        <w:t>Projekt preventivnog rada na psihološkom zdravlju – provodi se kroz radionice, predavanja i rad u manjim grupama, s ciljem razvoja emocionalne pismenosti i socijalnih vještina, a financiran je sredstvima MZOM-a.</w:t>
      </w:r>
    </w:p>
    <w:p w14:paraId="0AE08AEE" w14:textId="77777777" w:rsidR="00863D50" w:rsidRPr="007B38F9" w:rsidRDefault="00863D50">
      <w:pPr>
        <w:numPr>
          <w:ilvl w:val="0"/>
          <w:numId w:val="24"/>
        </w:numPr>
        <w:tabs>
          <w:tab w:val="left" w:pos="851"/>
        </w:tabs>
        <w:autoSpaceDE w:val="0"/>
        <w:autoSpaceDN w:val="0"/>
        <w:adjustRightInd w:val="0"/>
        <w:spacing w:line="259" w:lineRule="auto"/>
        <w:jc w:val="both"/>
        <w:rPr>
          <w:rFonts w:ascii="Arial" w:eastAsia="Calibri" w:hAnsi="Arial" w:cs="Arial"/>
          <w:sz w:val="22"/>
          <w:szCs w:val="22"/>
        </w:rPr>
      </w:pPr>
      <w:r w:rsidRPr="007B38F9">
        <w:rPr>
          <w:rFonts w:ascii="Arial" w:eastAsia="Calibri" w:hAnsi="Arial" w:cs="Arial"/>
          <w:sz w:val="22"/>
          <w:szCs w:val="22"/>
        </w:rPr>
        <w:t>Projekt "Vještine za život" – usmjeren na razvoj svakodnevnih životnih vještina, otpornosti, odgovornosti i suradničkog učenja kod djece, a financiran je sredstvima MZOM-a.</w:t>
      </w:r>
    </w:p>
    <w:p w14:paraId="633E7BE4" w14:textId="77777777" w:rsidR="00863D50" w:rsidRPr="007B38F9" w:rsidRDefault="00863D50" w:rsidP="007B38F9">
      <w:pPr>
        <w:spacing w:line="259" w:lineRule="auto"/>
        <w:rPr>
          <w:rFonts w:ascii="Arial" w:hAnsi="Arial" w:cs="Arial"/>
          <w:b/>
          <w:sz w:val="22"/>
          <w:szCs w:val="22"/>
          <w:lang w:val="en-GB"/>
        </w:rPr>
      </w:pPr>
    </w:p>
    <w:p w14:paraId="6F23B2D7" w14:textId="77777777" w:rsidR="00863D50" w:rsidRPr="007B38F9" w:rsidRDefault="00863D50" w:rsidP="007B38F9">
      <w:pPr>
        <w:tabs>
          <w:tab w:val="left" w:pos="851"/>
        </w:tabs>
        <w:spacing w:line="259" w:lineRule="auto"/>
        <w:jc w:val="both"/>
        <w:rPr>
          <w:rFonts w:ascii="Arial" w:eastAsia="Calibri" w:hAnsi="Arial" w:cs="Arial"/>
          <w:b/>
          <w:bCs/>
          <w:sz w:val="22"/>
          <w:szCs w:val="22"/>
        </w:rPr>
      </w:pPr>
      <w:r w:rsidRPr="007B38F9">
        <w:rPr>
          <w:rFonts w:ascii="Arial" w:eastAsia="Calibri" w:hAnsi="Arial" w:cs="Arial"/>
          <w:b/>
          <w:bCs/>
          <w:sz w:val="22"/>
          <w:szCs w:val="22"/>
        </w:rPr>
        <w:t>Aktivnost</w:t>
      </w:r>
      <w:r w:rsidRPr="007B38F9">
        <w:rPr>
          <w:rFonts w:ascii="Arial" w:eastAsia="Calibri" w:hAnsi="Arial" w:cs="Arial"/>
          <w:b/>
          <w:sz w:val="22"/>
          <w:szCs w:val="22"/>
        </w:rPr>
        <w:t xml:space="preserve"> K500001: </w:t>
      </w:r>
      <w:r w:rsidRPr="007B38F9">
        <w:rPr>
          <w:rFonts w:ascii="Arial" w:eastAsia="Calibri" w:hAnsi="Arial" w:cs="Arial"/>
          <w:b/>
          <w:bCs/>
          <w:sz w:val="22"/>
          <w:szCs w:val="22"/>
        </w:rPr>
        <w:t>Kapitalna ulaganja osnovnog školstva</w:t>
      </w:r>
    </w:p>
    <w:p w14:paraId="4790DA37" w14:textId="77777777" w:rsidR="00863D50" w:rsidRPr="007B38F9" w:rsidRDefault="00863D50" w:rsidP="007B38F9">
      <w:pPr>
        <w:spacing w:line="259" w:lineRule="auto"/>
        <w:rPr>
          <w:rFonts w:ascii="Arial" w:hAnsi="Arial" w:cs="Arial"/>
          <w:bCs/>
          <w:sz w:val="22"/>
          <w:szCs w:val="22"/>
          <w:lang w:val="en-GB"/>
        </w:rPr>
      </w:pPr>
      <w:r w:rsidRPr="007B38F9">
        <w:rPr>
          <w:rFonts w:ascii="Arial" w:hAnsi="Arial" w:cs="Arial"/>
          <w:bCs/>
          <w:sz w:val="22"/>
          <w:szCs w:val="22"/>
        </w:rPr>
        <w:t>Kapitalna ulaganja u financijskom planu OŠ Matije Vlačića obuhvaćaju ulaganja opremanje školskih prostora, s ciljem stvaranja kvalitetnih, sigurnih i suvremenih uvjeta za odgojno-obrazovni rad, a financiraju se iz decentraliziranih sredstava i donacija.</w:t>
      </w:r>
    </w:p>
    <w:p w14:paraId="1B10506A" w14:textId="77777777" w:rsidR="00863D50" w:rsidRPr="007B38F9" w:rsidRDefault="00863D50" w:rsidP="007B38F9">
      <w:pPr>
        <w:spacing w:line="259" w:lineRule="auto"/>
        <w:jc w:val="center"/>
        <w:rPr>
          <w:rFonts w:ascii="Arial" w:hAnsi="Arial" w:cs="Arial"/>
          <w:b/>
          <w:color w:val="FF0000"/>
          <w:sz w:val="22"/>
          <w:szCs w:val="22"/>
          <w:lang w:val="en-GB"/>
        </w:rPr>
      </w:pPr>
    </w:p>
    <w:p w14:paraId="5BE9C394" w14:textId="77777777" w:rsidR="00863D50" w:rsidRPr="007B38F9" w:rsidRDefault="00863D50" w:rsidP="007B38F9">
      <w:pPr>
        <w:spacing w:line="259" w:lineRule="auto"/>
        <w:rPr>
          <w:rFonts w:ascii="Arial" w:eastAsiaTheme="minorHAnsi" w:hAnsi="Arial" w:cs="Arial"/>
          <w:color w:val="FF0000"/>
          <w:sz w:val="22"/>
          <w:szCs w:val="22"/>
        </w:rPr>
      </w:pPr>
    </w:p>
    <w:p w14:paraId="440982E4" w14:textId="77777777" w:rsidR="009769E2" w:rsidRPr="007B38F9" w:rsidRDefault="009769E2" w:rsidP="007B38F9">
      <w:pPr>
        <w:spacing w:line="259" w:lineRule="auto"/>
        <w:rPr>
          <w:rFonts w:ascii="Arial" w:hAnsi="Arial" w:cs="Arial"/>
          <w:color w:val="000000" w:themeColor="text1"/>
          <w:sz w:val="22"/>
          <w:szCs w:val="22"/>
        </w:rPr>
      </w:pPr>
    </w:p>
    <w:p w14:paraId="61D433DB" w14:textId="77777777" w:rsidR="009769E2" w:rsidRPr="007B38F9" w:rsidRDefault="009769E2" w:rsidP="007B38F9">
      <w:pPr>
        <w:spacing w:line="259" w:lineRule="auto"/>
        <w:rPr>
          <w:rFonts w:ascii="Arial" w:hAnsi="Arial" w:cs="Arial"/>
          <w:color w:val="000000" w:themeColor="text1"/>
          <w:sz w:val="22"/>
          <w:szCs w:val="22"/>
        </w:rPr>
      </w:pPr>
    </w:p>
    <w:p w14:paraId="4A1010F0" w14:textId="77777777" w:rsidR="009769E2" w:rsidRPr="007B38F9" w:rsidRDefault="009769E2" w:rsidP="007B38F9">
      <w:pPr>
        <w:spacing w:line="259" w:lineRule="auto"/>
        <w:rPr>
          <w:rFonts w:ascii="Arial" w:hAnsi="Arial" w:cs="Arial"/>
          <w:color w:val="000000" w:themeColor="text1"/>
          <w:sz w:val="22"/>
          <w:szCs w:val="22"/>
        </w:rPr>
      </w:pPr>
    </w:p>
    <w:p w14:paraId="3069D69E" w14:textId="77777777" w:rsidR="009769E2" w:rsidRPr="007B38F9" w:rsidRDefault="009769E2" w:rsidP="007B38F9">
      <w:pPr>
        <w:spacing w:line="259" w:lineRule="auto"/>
        <w:rPr>
          <w:rFonts w:ascii="Arial" w:hAnsi="Arial" w:cs="Arial"/>
          <w:color w:val="000000" w:themeColor="text1"/>
          <w:sz w:val="22"/>
          <w:szCs w:val="22"/>
        </w:rPr>
      </w:pPr>
    </w:p>
    <w:p w14:paraId="382A07D8" w14:textId="77777777" w:rsidR="004E07DB" w:rsidRPr="007B38F9" w:rsidRDefault="004E07DB" w:rsidP="007B38F9">
      <w:pPr>
        <w:spacing w:line="259" w:lineRule="auto"/>
        <w:rPr>
          <w:rFonts w:ascii="Arial" w:hAnsi="Arial" w:cs="Arial"/>
          <w:color w:val="000000" w:themeColor="text1"/>
          <w:sz w:val="22"/>
          <w:szCs w:val="22"/>
        </w:rPr>
      </w:pPr>
    </w:p>
    <w:p w14:paraId="0B4DF05F" w14:textId="77777777" w:rsidR="004E07DB" w:rsidRPr="007B38F9" w:rsidRDefault="004E07DB" w:rsidP="007B38F9">
      <w:pPr>
        <w:spacing w:line="259" w:lineRule="auto"/>
        <w:rPr>
          <w:rFonts w:ascii="Arial" w:hAnsi="Arial" w:cs="Arial"/>
          <w:color w:val="000000" w:themeColor="text1"/>
          <w:sz w:val="22"/>
          <w:szCs w:val="22"/>
        </w:rPr>
      </w:pPr>
    </w:p>
    <w:p w14:paraId="70DF1BA9" w14:textId="77777777" w:rsidR="004E07DB" w:rsidRPr="007B38F9" w:rsidRDefault="004E07DB" w:rsidP="007B38F9">
      <w:pPr>
        <w:spacing w:line="259" w:lineRule="auto"/>
        <w:rPr>
          <w:rFonts w:ascii="Arial" w:hAnsi="Arial" w:cs="Arial"/>
          <w:color w:val="000000" w:themeColor="text1"/>
          <w:sz w:val="22"/>
          <w:szCs w:val="22"/>
        </w:rPr>
      </w:pPr>
    </w:p>
    <w:p w14:paraId="23661A5E" w14:textId="77777777" w:rsidR="004E07DB" w:rsidRPr="007B38F9" w:rsidRDefault="004E07DB" w:rsidP="007B38F9">
      <w:pPr>
        <w:spacing w:line="259" w:lineRule="auto"/>
        <w:rPr>
          <w:rFonts w:ascii="Arial" w:hAnsi="Arial" w:cs="Arial"/>
          <w:color w:val="000000" w:themeColor="text1"/>
          <w:sz w:val="22"/>
          <w:szCs w:val="22"/>
        </w:rPr>
      </w:pPr>
    </w:p>
    <w:p w14:paraId="003D58DC" w14:textId="77777777" w:rsidR="004E07DB" w:rsidRPr="007B38F9" w:rsidRDefault="004E07DB" w:rsidP="007B38F9">
      <w:pPr>
        <w:spacing w:line="259" w:lineRule="auto"/>
        <w:rPr>
          <w:rFonts w:ascii="Arial" w:hAnsi="Arial" w:cs="Arial"/>
          <w:color w:val="000000" w:themeColor="text1"/>
          <w:sz w:val="22"/>
          <w:szCs w:val="22"/>
        </w:rPr>
      </w:pPr>
    </w:p>
    <w:p w14:paraId="666218C4" w14:textId="77777777" w:rsidR="004E07DB" w:rsidRPr="007B38F9" w:rsidRDefault="004E07DB" w:rsidP="007B38F9">
      <w:pPr>
        <w:spacing w:line="259" w:lineRule="auto"/>
        <w:rPr>
          <w:rFonts w:ascii="Arial" w:hAnsi="Arial" w:cs="Arial"/>
          <w:color w:val="000000" w:themeColor="text1"/>
          <w:sz w:val="22"/>
          <w:szCs w:val="22"/>
        </w:rPr>
      </w:pPr>
    </w:p>
    <w:p w14:paraId="78387AE4" w14:textId="77777777" w:rsidR="004E07DB" w:rsidRPr="007B38F9" w:rsidRDefault="004E07DB" w:rsidP="007B38F9">
      <w:pPr>
        <w:spacing w:line="259" w:lineRule="auto"/>
        <w:rPr>
          <w:rFonts w:ascii="Arial" w:hAnsi="Arial" w:cs="Arial"/>
          <w:color w:val="000000" w:themeColor="text1"/>
          <w:sz w:val="22"/>
          <w:szCs w:val="22"/>
        </w:rPr>
      </w:pPr>
    </w:p>
    <w:p w14:paraId="19A8BA50" w14:textId="77777777" w:rsidR="004E07DB" w:rsidRPr="007B38F9" w:rsidRDefault="004E07DB" w:rsidP="007B38F9">
      <w:pPr>
        <w:spacing w:line="259" w:lineRule="auto"/>
        <w:rPr>
          <w:rFonts w:ascii="Arial" w:hAnsi="Arial" w:cs="Arial"/>
          <w:color w:val="000000" w:themeColor="text1"/>
          <w:sz w:val="22"/>
          <w:szCs w:val="22"/>
        </w:rPr>
      </w:pPr>
    </w:p>
    <w:p w14:paraId="19EB9AF9" w14:textId="77777777" w:rsidR="004E07DB" w:rsidRPr="007B38F9" w:rsidRDefault="004E07DB" w:rsidP="007B38F9">
      <w:pPr>
        <w:spacing w:line="259" w:lineRule="auto"/>
        <w:rPr>
          <w:rFonts w:ascii="Arial" w:hAnsi="Arial" w:cs="Arial"/>
          <w:color w:val="000000" w:themeColor="text1"/>
          <w:sz w:val="22"/>
          <w:szCs w:val="22"/>
        </w:rPr>
      </w:pPr>
    </w:p>
    <w:p w14:paraId="193C6658" w14:textId="77777777" w:rsidR="004E07DB" w:rsidRDefault="004E07DB" w:rsidP="006132A6">
      <w:pPr>
        <w:rPr>
          <w:color w:val="000000" w:themeColor="text1"/>
        </w:rPr>
      </w:pPr>
    </w:p>
    <w:p w14:paraId="4EF6DCCF" w14:textId="77777777" w:rsidR="004E07DB" w:rsidRDefault="004E07DB" w:rsidP="006132A6">
      <w:pPr>
        <w:rPr>
          <w:color w:val="000000" w:themeColor="text1"/>
        </w:rPr>
      </w:pPr>
    </w:p>
    <w:p w14:paraId="5F576753" w14:textId="77777777" w:rsidR="004E07DB" w:rsidRDefault="004E07DB" w:rsidP="006132A6">
      <w:pPr>
        <w:rPr>
          <w:color w:val="000000" w:themeColor="text1"/>
        </w:rPr>
      </w:pPr>
    </w:p>
    <w:p w14:paraId="70843EB3" w14:textId="77777777" w:rsidR="004E07DB" w:rsidRDefault="004E07DB" w:rsidP="006132A6">
      <w:pPr>
        <w:rPr>
          <w:color w:val="000000" w:themeColor="text1"/>
        </w:rPr>
      </w:pPr>
    </w:p>
    <w:p w14:paraId="1D51BFFE" w14:textId="77777777" w:rsidR="004E07DB" w:rsidRDefault="004E07DB" w:rsidP="006132A6">
      <w:pPr>
        <w:rPr>
          <w:color w:val="000000" w:themeColor="text1"/>
        </w:rPr>
      </w:pPr>
    </w:p>
    <w:p w14:paraId="699E18CD" w14:textId="77777777" w:rsidR="004E07DB" w:rsidRDefault="004E07DB" w:rsidP="006132A6">
      <w:pPr>
        <w:rPr>
          <w:color w:val="000000" w:themeColor="text1"/>
        </w:rPr>
      </w:pPr>
    </w:p>
    <w:p w14:paraId="03C7134F" w14:textId="77777777" w:rsidR="004E07DB" w:rsidRDefault="004E07DB" w:rsidP="006132A6">
      <w:pPr>
        <w:rPr>
          <w:color w:val="000000" w:themeColor="text1"/>
        </w:rPr>
      </w:pPr>
    </w:p>
    <w:p w14:paraId="349ADF59" w14:textId="77777777" w:rsidR="004E07DB" w:rsidRDefault="004E07DB" w:rsidP="006132A6">
      <w:pPr>
        <w:rPr>
          <w:color w:val="000000" w:themeColor="text1"/>
        </w:rPr>
      </w:pPr>
    </w:p>
    <w:p w14:paraId="5B7FF5D4" w14:textId="77777777" w:rsidR="004E07DB" w:rsidRDefault="004E07DB" w:rsidP="006132A6">
      <w:pPr>
        <w:rPr>
          <w:color w:val="000000" w:themeColor="text1"/>
        </w:rPr>
      </w:pPr>
    </w:p>
    <w:p w14:paraId="35D3135A" w14:textId="77777777" w:rsidR="004E07DB" w:rsidRDefault="004E07DB" w:rsidP="006132A6">
      <w:pPr>
        <w:rPr>
          <w:color w:val="000000" w:themeColor="text1"/>
        </w:rPr>
      </w:pPr>
    </w:p>
    <w:p w14:paraId="1D38307C" w14:textId="77777777" w:rsidR="004E07DB" w:rsidRDefault="004E07DB" w:rsidP="006132A6">
      <w:pPr>
        <w:rPr>
          <w:color w:val="000000" w:themeColor="text1"/>
        </w:rPr>
      </w:pPr>
    </w:p>
    <w:p w14:paraId="380EC60D" w14:textId="77777777" w:rsidR="00CC0725" w:rsidRDefault="00CC0725" w:rsidP="00CC0725">
      <w:pPr>
        <w:jc w:val="center"/>
        <w:rPr>
          <w:rFonts w:ascii="Arial" w:eastAsia="Calibri" w:hAnsi="Arial" w:cs="Arial"/>
          <w:b/>
        </w:rPr>
      </w:pPr>
      <w:r w:rsidRPr="00D44EC2">
        <w:rPr>
          <w:rFonts w:ascii="Arial" w:eastAsia="Calibri" w:hAnsi="Arial" w:cs="Arial"/>
          <w:b/>
        </w:rPr>
        <w:lastRenderedPageBreak/>
        <w:t>PRORAČUNSKI KORISNIK 10590: OŠ IVO LOLA RIBAR, LABIN</w:t>
      </w:r>
    </w:p>
    <w:p w14:paraId="1E17D478" w14:textId="77777777" w:rsidR="00CC0725" w:rsidRDefault="00CC0725" w:rsidP="006132A6">
      <w:pPr>
        <w:rPr>
          <w:color w:val="000000" w:themeColor="text1"/>
        </w:rPr>
      </w:pPr>
    </w:p>
    <w:p w14:paraId="71E57503" w14:textId="77777777" w:rsidR="007B7808" w:rsidRDefault="007B7808" w:rsidP="007B7808">
      <w:pPr>
        <w:tabs>
          <w:tab w:val="left" w:pos="2700"/>
          <w:tab w:val="center" w:pos="4703"/>
          <w:tab w:val="right" w:pos="9406"/>
        </w:tabs>
        <w:jc w:val="center"/>
        <w:rPr>
          <w:rFonts w:ascii="Arial" w:eastAsia="Calibri" w:hAnsi="Arial" w:cs="Arial"/>
          <w:b/>
        </w:rPr>
      </w:pPr>
      <w:r>
        <w:rPr>
          <w:rFonts w:ascii="Arial" w:eastAsia="Calibri" w:hAnsi="Arial" w:cs="Arial"/>
          <w:b/>
        </w:rPr>
        <w:t xml:space="preserve">OBRAZLOŽENJE I. IZMJENA I DOPUNA FINANCIJSKOG PLANA PRORAČUNSKOG KORISNIKA OŠ „IVO LOLA RIBAR“ LABIN ZA 2025. GODINU </w:t>
      </w:r>
    </w:p>
    <w:p w14:paraId="0AC6F725" w14:textId="77777777" w:rsidR="007B7808" w:rsidRDefault="007B7808" w:rsidP="007B7808">
      <w:pPr>
        <w:tabs>
          <w:tab w:val="left" w:pos="2700"/>
          <w:tab w:val="center" w:pos="4703"/>
          <w:tab w:val="right" w:pos="9406"/>
        </w:tabs>
        <w:jc w:val="center"/>
        <w:rPr>
          <w:rFonts w:ascii="Arial" w:eastAsia="Calibri" w:hAnsi="Arial" w:cs="Arial"/>
          <w:b/>
        </w:rPr>
      </w:pPr>
    </w:p>
    <w:p w14:paraId="47D1527A" w14:textId="77777777" w:rsidR="007B7808" w:rsidRPr="008B370D" w:rsidRDefault="007B7808" w:rsidP="007B7808">
      <w:pPr>
        <w:spacing w:line="259" w:lineRule="auto"/>
        <w:jc w:val="both"/>
        <w:rPr>
          <w:rFonts w:ascii="Arial" w:eastAsia="Calibri" w:hAnsi="Arial" w:cs="Arial"/>
          <w:b/>
          <w:sz w:val="22"/>
        </w:rPr>
      </w:pPr>
      <w:r w:rsidRPr="008B370D">
        <w:rPr>
          <w:rFonts w:ascii="Arial" w:eastAsia="Calibri" w:hAnsi="Arial" w:cs="Arial"/>
          <w:b/>
          <w:sz w:val="22"/>
        </w:rPr>
        <w:t>1.</w:t>
      </w:r>
      <w:r>
        <w:rPr>
          <w:rFonts w:ascii="Arial" w:eastAsia="Calibri" w:hAnsi="Arial" w:cs="Arial"/>
          <w:b/>
          <w:sz w:val="22"/>
        </w:rPr>
        <w:t>Općenito o planu proračuna proračunskog korisnika</w:t>
      </w:r>
    </w:p>
    <w:p w14:paraId="4455EAA9" w14:textId="77777777" w:rsidR="007B7808" w:rsidRPr="008B370D" w:rsidRDefault="007B7808" w:rsidP="007B7808">
      <w:pPr>
        <w:spacing w:line="259" w:lineRule="auto"/>
        <w:jc w:val="both"/>
        <w:rPr>
          <w:rFonts w:ascii="Arial" w:eastAsia="Calibri" w:hAnsi="Arial" w:cs="Arial"/>
          <w:b/>
          <w:sz w:val="22"/>
        </w:rPr>
      </w:pPr>
      <w:r w:rsidRPr="008B370D">
        <w:rPr>
          <w:rFonts w:ascii="Arial" w:eastAsia="Calibri" w:hAnsi="Arial" w:cs="Arial"/>
          <w:sz w:val="22"/>
        </w:rPr>
        <w:t xml:space="preserve">Nacrt </w:t>
      </w:r>
      <w:r>
        <w:rPr>
          <w:rFonts w:ascii="Arial" w:eastAsia="Calibri" w:hAnsi="Arial" w:cs="Arial"/>
          <w:sz w:val="22"/>
        </w:rPr>
        <w:t xml:space="preserve">I. Izmjena i dopuna </w:t>
      </w:r>
      <w:r w:rsidRPr="008B370D">
        <w:rPr>
          <w:rFonts w:ascii="Arial" w:eastAsia="Calibri" w:hAnsi="Arial" w:cs="Arial"/>
          <w:sz w:val="22"/>
        </w:rPr>
        <w:t>Plana proračuna za OŠ „Ivo lola Ribar“</w:t>
      </w:r>
      <w:r>
        <w:rPr>
          <w:rFonts w:ascii="Arial" w:eastAsia="Calibri" w:hAnsi="Arial" w:cs="Arial"/>
          <w:sz w:val="22"/>
        </w:rPr>
        <w:t xml:space="preserve"> </w:t>
      </w:r>
      <w:r w:rsidRPr="008B370D">
        <w:rPr>
          <w:rFonts w:ascii="Arial" w:eastAsia="Calibri" w:hAnsi="Arial" w:cs="Arial"/>
          <w:sz w:val="22"/>
        </w:rPr>
        <w:t>Labin  (školske ustanove) za 202</w:t>
      </w:r>
      <w:r>
        <w:rPr>
          <w:rFonts w:ascii="Arial" w:eastAsia="Calibri" w:hAnsi="Arial" w:cs="Arial"/>
          <w:sz w:val="22"/>
        </w:rPr>
        <w:t>5</w:t>
      </w:r>
      <w:r w:rsidRPr="008B370D">
        <w:rPr>
          <w:rFonts w:ascii="Arial" w:eastAsia="Calibri" w:hAnsi="Arial" w:cs="Arial"/>
          <w:sz w:val="22"/>
        </w:rPr>
        <w:t>.godinu temelji se na:</w:t>
      </w:r>
    </w:p>
    <w:p w14:paraId="683A57FD" w14:textId="77777777" w:rsidR="007B7808" w:rsidRDefault="007B7808" w:rsidP="007B7808">
      <w:pPr>
        <w:spacing w:line="259" w:lineRule="auto"/>
        <w:jc w:val="both"/>
        <w:rPr>
          <w:rFonts w:ascii="Arial" w:hAnsi="Arial" w:cs="Arial"/>
          <w:b/>
          <w:sz w:val="22"/>
        </w:rPr>
      </w:pPr>
    </w:p>
    <w:p w14:paraId="2F183527" w14:textId="799F1D77" w:rsidR="007B7808" w:rsidRPr="008B370D" w:rsidRDefault="007B7808" w:rsidP="007B7808">
      <w:pPr>
        <w:spacing w:line="259" w:lineRule="auto"/>
        <w:jc w:val="both"/>
        <w:rPr>
          <w:rFonts w:ascii="Arial" w:hAnsi="Arial" w:cs="Arial"/>
          <w:b/>
          <w:sz w:val="22"/>
        </w:rPr>
      </w:pPr>
      <w:r w:rsidRPr="008B370D">
        <w:rPr>
          <w:rFonts w:ascii="Arial" w:hAnsi="Arial" w:cs="Arial"/>
          <w:b/>
          <w:sz w:val="22"/>
        </w:rPr>
        <w:t>Analiza ostvarenja prihoda i izdataka proračuna za 202</w:t>
      </w:r>
      <w:r>
        <w:rPr>
          <w:rFonts w:ascii="Arial" w:hAnsi="Arial" w:cs="Arial"/>
          <w:b/>
          <w:sz w:val="22"/>
        </w:rPr>
        <w:t>4</w:t>
      </w:r>
      <w:r w:rsidRPr="008B370D">
        <w:rPr>
          <w:rFonts w:ascii="Arial" w:hAnsi="Arial" w:cs="Arial"/>
          <w:b/>
          <w:sz w:val="22"/>
        </w:rPr>
        <w:t xml:space="preserve"> god. procjena  vlastitih prihoda za 202</w:t>
      </w:r>
      <w:r>
        <w:rPr>
          <w:rFonts w:ascii="Arial" w:hAnsi="Arial" w:cs="Arial"/>
          <w:b/>
          <w:sz w:val="22"/>
        </w:rPr>
        <w:t>5</w:t>
      </w:r>
      <w:r w:rsidRPr="008B370D">
        <w:rPr>
          <w:rFonts w:ascii="Arial" w:hAnsi="Arial" w:cs="Arial"/>
          <w:b/>
          <w:sz w:val="22"/>
        </w:rPr>
        <w:t>.god. i prioritet u izvršavanju  rashoda.</w:t>
      </w:r>
    </w:p>
    <w:p w14:paraId="4EBBF840" w14:textId="77777777" w:rsidR="007B7808" w:rsidRPr="008B370D" w:rsidRDefault="007B7808" w:rsidP="007B7808">
      <w:pPr>
        <w:spacing w:line="259" w:lineRule="auto"/>
        <w:jc w:val="both"/>
        <w:rPr>
          <w:rFonts w:ascii="Arial" w:hAnsi="Arial" w:cs="Arial"/>
          <w:sz w:val="22"/>
        </w:rPr>
      </w:pPr>
      <w:r w:rsidRPr="008B370D">
        <w:rPr>
          <w:rFonts w:ascii="Arial" w:hAnsi="Arial" w:cs="Arial"/>
          <w:sz w:val="22"/>
        </w:rPr>
        <w:t>Pri planiranju rashoda polazilo se od  ostvarenja prihoda i zadovoljavanja zakonskih obaveza i drugih javnih izdataka čije  financiranje čini osnovu za funkcioniranje školske ustanove.</w:t>
      </w:r>
    </w:p>
    <w:p w14:paraId="1C2F9C59" w14:textId="77777777" w:rsidR="007B7808" w:rsidRPr="00CC68D1" w:rsidRDefault="007B7808" w:rsidP="007B7808">
      <w:pPr>
        <w:spacing w:line="259" w:lineRule="auto"/>
        <w:jc w:val="both"/>
        <w:rPr>
          <w:rFonts w:ascii="Arial" w:hAnsi="Arial" w:cs="Arial"/>
          <w:sz w:val="22"/>
        </w:rPr>
      </w:pPr>
      <w:r w:rsidRPr="00CC68D1">
        <w:rPr>
          <w:rFonts w:ascii="Arial" w:hAnsi="Arial" w:cs="Arial"/>
          <w:sz w:val="22"/>
        </w:rPr>
        <w:t>Prihodi i rashodi proračuna za 2025., 2026. i 2027 . godinu planirani su  umjerenim rastom u odnosu na 2024godinu ili  u visini 2024. godine.</w:t>
      </w:r>
    </w:p>
    <w:p w14:paraId="578CF24C" w14:textId="77777777" w:rsidR="007B7808" w:rsidRDefault="007B7808" w:rsidP="007B7808">
      <w:pPr>
        <w:spacing w:line="259" w:lineRule="auto"/>
        <w:jc w:val="both"/>
        <w:rPr>
          <w:rFonts w:ascii="Arial" w:eastAsia="Calibri" w:hAnsi="Arial" w:cs="Arial"/>
          <w:b/>
          <w:sz w:val="22"/>
        </w:rPr>
      </w:pPr>
    </w:p>
    <w:p w14:paraId="698DC7CA" w14:textId="214E6532" w:rsidR="007B7808" w:rsidRPr="00143A0B" w:rsidRDefault="007B7808" w:rsidP="007B7808">
      <w:pPr>
        <w:spacing w:line="259" w:lineRule="auto"/>
        <w:jc w:val="both"/>
        <w:rPr>
          <w:rFonts w:ascii="Arial" w:eastAsia="Calibri" w:hAnsi="Arial" w:cs="Arial"/>
          <w:b/>
          <w:sz w:val="22"/>
        </w:rPr>
      </w:pPr>
      <w:r w:rsidRPr="00143A0B">
        <w:rPr>
          <w:rFonts w:ascii="Arial" w:eastAsia="Calibri" w:hAnsi="Arial" w:cs="Arial"/>
          <w:b/>
          <w:sz w:val="22"/>
        </w:rPr>
        <w:t>Sadržaj proračuna</w:t>
      </w:r>
    </w:p>
    <w:p w14:paraId="7F3678D4" w14:textId="77777777" w:rsidR="007B7808" w:rsidRPr="00143A0B" w:rsidRDefault="007B7808" w:rsidP="007B7808">
      <w:pPr>
        <w:spacing w:line="259" w:lineRule="auto"/>
        <w:jc w:val="both"/>
        <w:rPr>
          <w:rFonts w:ascii="Arial" w:eastAsia="Calibri" w:hAnsi="Arial" w:cs="Arial"/>
          <w:bCs/>
          <w:sz w:val="22"/>
        </w:rPr>
      </w:pPr>
      <w:r w:rsidRPr="00143A0B">
        <w:rPr>
          <w:rFonts w:ascii="Arial" w:eastAsia="Calibri" w:hAnsi="Arial" w:cs="Arial"/>
          <w:bCs/>
          <w:sz w:val="22"/>
        </w:rPr>
        <w:t xml:space="preserve">Proračun se sastoji iz općeg i posebnog dijela te plana razvojnih programa kako je propisano člankom 16. Zakona o proračunu. Opći dio Proračuna čini Račun prihoda i rashoda i Račun financiranja. U Računu prihoda i rashoda planirani prihodi iskazani su po prirodnim vrstama i izvorima financiranja, a rashodi po ekonomskoj namjeni za koju služe u skladu sa Računskim planom proračuna i Pravilnikom o proračunskom računovodstvu.  U računu financiranja iskazani su primici od prihoda poslovanja   ostali primici  za financiranje nefinancijske imovine. Posebni dio Proračuna sastoji se od plana rashoda i izdataka proračunskih korisnika iskazanim po vrstama, raspoređenih u programe koji se sastoje od aktivnosti i projekata. U okviru aktivnosti i projekata rashodi i izdaci su iskazani prema ekonomskoj  i funkcijskoj klasifikaciji i izvorima financiranja sukladno Pravilniku o proračunskim klasifikacijama.          </w:t>
      </w:r>
    </w:p>
    <w:p w14:paraId="67C66529" w14:textId="77777777" w:rsidR="007B7808" w:rsidRPr="008B370D" w:rsidRDefault="007B7808" w:rsidP="007B7808">
      <w:pPr>
        <w:spacing w:line="259" w:lineRule="auto"/>
        <w:jc w:val="both"/>
        <w:rPr>
          <w:rFonts w:ascii="Arial" w:eastAsia="Calibri" w:hAnsi="Arial" w:cs="Arial"/>
          <w:color w:val="FF0000"/>
          <w:sz w:val="22"/>
        </w:rPr>
      </w:pPr>
    </w:p>
    <w:p w14:paraId="4123B162" w14:textId="77777777" w:rsidR="007B7808" w:rsidRPr="00143A0B" w:rsidRDefault="007B7808" w:rsidP="007B7808">
      <w:pPr>
        <w:spacing w:line="259" w:lineRule="auto"/>
        <w:jc w:val="both"/>
        <w:rPr>
          <w:rFonts w:ascii="Arial" w:eastAsia="Calibri" w:hAnsi="Arial" w:cs="Arial"/>
          <w:b/>
          <w:sz w:val="22"/>
        </w:rPr>
      </w:pPr>
      <w:r>
        <w:rPr>
          <w:rFonts w:ascii="Arial" w:eastAsia="Calibri" w:hAnsi="Arial" w:cs="Arial"/>
          <w:b/>
          <w:sz w:val="22"/>
        </w:rPr>
        <w:t>P</w:t>
      </w:r>
      <w:r w:rsidRPr="00143A0B">
        <w:rPr>
          <w:rFonts w:ascii="Arial" w:eastAsia="Calibri" w:hAnsi="Arial" w:cs="Arial"/>
          <w:b/>
          <w:sz w:val="22"/>
        </w:rPr>
        <w:t xml:space="preserve">rihodi i primici </w:t>
      </w:r>
    </w:p>
    <w:p w14:paraId="16E86D15" w14:textId="55384438" w:rsidR="007B7808" w:rsidRPr="00143A0B" w:rsidRDefault="007B7808" w:rsidP="007B7808">
      <w:pPr>
        <w:spacing w:line="259" w:lineRule="auto"/>
        <w:jc w:val="both"/>
        <w:rPr>
          <w:rFonts w:ascii="Arial" w:eastAsia="Calibri" w:hAnsi="Arial" w:cs="Arial"/>
          <w:sz w:val="22"/>
        </w:rPr>
      </w:pPr>
      <w:r w:rsidRPr="00143A0B">
        <w:rPr>
          <w:rFonts w:ascii="Arial" w:eastAsia="Calibri" w:hAnsi="Arial" w:cs="Arial"/>
          <w:b/>
          <w:sz w:val="22"/>
        </w:rPr>
        <w:t>Prihodi i  primici</w:t>
      </w:r>
      <w:r w:rsidRPr="00143A0B">
        <w:rPr>
          <w:rFonts w:ascii="Arial" w:eastAsia="Calibri" w:hAnsi="Arial" w:cs="Arial"/>
          <w:sz w:val="22"/>
        </w:rPr>
        <w:t xml:space="preserve">  </w:t>
      </w:r>
      <w:r>
        <w:rPr>
          <w:rFonts w:ascii="Arial" w:eastAsia="Calibri" w:hAnsi="Arial" w:cs="Arial"/>
          <w:sz w:val="22"/>
        </w:rPr>
        <w:t>Osnovne škole „Ivo Lola Ribar“ Labin u I. Izmjenama i dopunama za 2025. godinu planirani su u iznosu od 2.971.764,00 eura te se su u cijelosti prihodi od poslovanja.</w:t>
      </w:r>
      <w:r w:rsidRPr="00143A0B">
        <w:rPr>
          <w:rFonts w:ascii="Arial" w:eastAsia="Calibri" w:hAnsi="Arial" w:cs="Arial"/>
          <w:sz w:val="22"/>
        </w:rPr>
        <w:t xml:space="preserve">   </w:t>
      </w:r>
      <w:r w:rsidRPr="00143A0B">
        <w:rPr>
          <w:rFonts w:ascii="Arial" w:eastAsia="Calibri" w:hAnsi="Arial" w:cs="Arial"/>
          <w:sz w:val="22"/>
        </w:rPr>
        <w:tab/>
        <w:t xml:space="preserve">                                                                                </w:t>
      </w:r>
    </w:p>
    <w:p w14:paraId="6DAD6EBB" w14:textId="395926B6" w:rsidR="007B7808" w:rsidRDefault="007B7808" w:rsidP="007B7808">
      <w:pPr>
        <w:spacing w:line="259" w:lineRule="auto"/>
        <w:jc w:val="both"/>
        <w:rPr>
          <w:rFonts w:ascii="Arial" w:hAnsi="Arial" w:cs="Arial"/>
          <w:sz w:val="22"/>
        </w:rPr>
      </w:pPr>
      <w:r w:rsidRPr="0082295A">
        <w:rPr>
          <w:rFonts w:ascii="Arial" w:hAnsi="Arial" w:cs="Arial"/>
          <w:b/>
          <w:sz w:val="22"/>
        </w:rPr>
        <w:t>Rashodi i izdaci</w:t>
      </w:r>
      <w:r w:rsidRPr="0082295A">
        <w:rPr>
          <w:rFonts w:ascii="Arial" w:hAnsi="Arial" w:cs="Arial"/>
          <w:sz w:val="22"/>
        </w:rPr>
        <w:t xml:space="preserve">  </w:t>
      </w:r>
      <w:r w:rsidRPr="0082295A">
        <w:rPr>
          <w:rFonts w:ascii="Arial" w:eastAsia="Calibri" w:hAnsi="Arial" w:cs="Arial"/>
          <w:sz w:val="22"/>
        </w:rPr>
        <w:t>u I. izmjenama i dopunama za</w:t>
      </w:r>
      <w:r w:rsidRPr="0082295A">
        <w:rPr>
          <w:rFonts w:ascii="Arial" w:hAnsi="Arial" w:cs="Arial"/>
          <w:sz w:val="22"/>
        </w:rPr>
        <w:t xml:space="preserve"> 2025. godinu planirani su u iznosu od </w:t>
      </w:r>
      <w:r w:rsidRPr="0082295A">
        <w:rPr>
          <w:rFonts w:ascii="Arial" w:eastAsia="Calibri" w:hAnsi="Arial" w:cs="Arial"/>
          <w:sz w:val="22"/>
        </w:rPr>
        <w:t>2.9</w:t>
      </w:r>
      <w:r>
        <w:rPr>
          <w:rFonts w:ascii="Arial" w:eastAsia="Calibri" w:hAnsi="Arial" w:cs="Arial"/>
          <w:sz w:val="22"/>
        </w:rPr>
        <w:t>7</w:t>
      </w:r>
      <w:r w:rsidRPr="0082295A">
        <w:rPr>
          <w:rFonts w:ascii="Arial" w:eastAsia="Calibri" w:hAnsi="Arial" w:cs="Arial"/>
          <w:sz w:val="22"/>
        </w:rPr>
        <w:t>1.</w:t>
      </w:r>
      <w:r>
        <w:rPr>
          <w:rFonts w:ascii="Arial" w:eastAsia="Calibri" w:hAnsi="Arial" w:cs="Arial"/>
          <w:sz w:val="22"/>
        </w:rPr>
        <w:t>764</w:t>
      </w:r>
      <w:r w:rsidRPr="0082295A">
        <w:rPr>
          <w:rFonts w:ascii="Arial" w:eastAsia="Calibri" w:hAnsi="Arial" w:cs="Arial"/>
          <w:sz w:val="22"/>
        </w:rPr>
        <w:t xml:space="preserve">,00 </w:t>
      </w:r>
      <w:r>
        <w:rPr>
          <w:rFonts w:ascii="Arial" w:eastAsia="Calibri" w:hAnsi="Arial" w:cs="Arial"/>
          <w:sz w:val="22"/>
        </w:rPr>
        <w:t>EUR</w:t>
      </w:r>
      <w:r w:rsidRPr="0082295A">
        <w:rPr>
          <w:rFonts w:ascii="Arial" w:hAnsi="Arial" w:cs="Arial"/>
          <w:sz w:val="22"/>
        </w:rPr>
        <w:t>, a raspoređeni su na:</w:t>
      </w:r>
    </w:p>
    <w:p w14:paraId="47057611" w14:textId="61489008" w:rsidR="007B7808" w:rsidRPr="0082295A" w:rsidRDefault="007B7808" w:rsidP="007B7808">
      <w:pPr>
        <w:spacing w:line="259" w:lineRule="auto"/>
        <w:jc w:val="both"/>
        <w:rPr>
          <w:rFonts w:ascii="Arial" w:eastAsia="Calibri" w:hAnsi="Arial" w:cs="Arial"/>
          <w:sz w:val="22"/>
        </w:rPr>
      </w:pPr>
      <w:r w:rsidRPr="00FF2442">
        <w:rPr>
          <w:rFonts w:ascii="Arial" w:eastAsia="Calibri" w:hAnsi="Arial" w:cs="Arial"/>
          <w:sz w:val="22"/>
        </w:rPr>
        <w:t xml:space="preserve">- rashode </w:t>
      </w:r>
      <w:r w:rsidRPr="0082295A">
        <w:rPr>
          <w:rFonts w:ascii="Arial" w:eastAsia="Calibri" w:hAnsi="Arial" w:cs="Arial"/>
          <w:sz w:val="22"/>
        </w:rPr>
        <w:t>poslovanja                                                                                        2.86</w:t>
      </w:r>
      <w:r>
        <w:rPr>
          <w:rFonts w:ascii="Arial" w:eastAsia="Calibri" w:hAnsi="Arial" w:cs="Arial"/>
          <w:sz w:val="22"/>
        </w:rPr>
        <w:t>7</w:t>
      </w:r>
      <w:r w:rsidRPr="0082295A">
        <w:rPr>
          <w:rFonts w:ascii="Arial" w:eastAsia="Calibri" w:hAnsi="Arial" w:cs="Arial"/>
          <w:sz w:val="22"/>
        </w:rPr>
        <w:t>.</w:t>
      </w:r>
      <w:r>
        <w:rPr>
          <w:rFonts w:ascii="Arial" w:eastAsia="Calibri" w:hAnsi="Arial" w:cs="Arial"/>
          <w:sz w:val="22"/>
        </w:rPr>
        <w:t>492</w:t>
      </w:r>
      <w:r w:rsidRPr="0082295A">
        <w:rPr>
          <w:rFonts w:ascii="Arial" w:eastAsia="Calibri" w:hAnsi="Arial" w:cs="Arial"/>
          <w:sz w:val="22"/>
        </w:rPr>
        <w:t xml:space="preserve">,00 </w:t>
      </w:r>
      <w:r>
        <w:rPr>
          <w:rFonts w:ascii="Arial" w:eastAsia="Calibri" w:hAnsi="Arial" w:cs="Arial"/>
          <w:sz w:val="22"/>
        </w:rPr>
        <w:t>EUR</w:t>
      </w:r>
    </w:p>
    <w:p w14:paraId="378F54E0" w14:textId="6B5765E8" w:rsidR="007B7808" w:rsidRPr="0082295A" w:rsidRDefault="007B7808" w:rsidP="007B7808">
      <w:pPr>
        <w:spacing w:line="259" w:lineRule="auto"/>
        <w:jc w:val="both"/>
        <w:rPr>
          <w:rFonts w:ascii="Arial" w:eastAsia="Calibri" w:hAnsi="Arial" w:cs="Arial"/>
          <w:sz w:val="22"/>
        </w:rPr>
      </w:pPr>
      <w:r w:rsidRPr="0082295A">
        <w:rPr>
          <w:rFonts w:ascii="Arial" w:eastAsia="Calibri" w:hAnsi="Arial" w:cs="Arial"/>
          <w:sz w:val="22"/>
        </w:rPr>
        <w:t>- rashode za nabavu nefinancijske imovine                                                        1</w:t>
      </w:r>
      <w:r>
        <w:rPr>
          <w:rFonts w:ascii="Arial" w:eastAsia="Calibri" w:hAnsi="Arial" w:cs="Arial"/>
          <w:sz w:val="22"/>
        </w:rPr>
        <w:t>0</w:t>
      </w:r>
      <w:r w:rsidRPr="0082295A">
        <w:rPr>
          <w:rFonts w:ascii="Arial" w:eastAsia="Calibri" w:hAnsi="Arial" w:cs="Arial"/>
          <w:sz w:val="22"/>
        </w:rPr>
        <w:t xml:space="preserve">4.272,00 </w:t>
      </w:r>
      <w:r>
        <w:rPr>
          <w:rFonts w:ascii="Arial" w:eastAsia="Calibri" w:hAnsi="Arial" w:cs="Arial"/>
          <w:sz w:val="22"/>
        </w:rPr>
        <w:t>EUR</w:t>
      </w:r>
    </w:p>
    <w:p w14:paraId="10B7E208" w14:textId="77777777" w:rsidR="007B7808" w:rsidRDefault="007B7808" w:rsidP="007B7808">
      <w:pPr>
        <w:spacing w:line="259" w:lineRule="auto"/>
        <w:jc w:val="both"/>
        <w:rPr>
          <w:rFonts w:ascii="Arial" w:eastAsia="Calibri" w:hAnsi="Arial" w:cs="Arial"/>
          <w:sz w:val="22"/>
        </w:rPr>
      </w:pPr>
      <w:r w:rsidRPr="00143A0B">
        <w:rPr>
          <w:rFonts w:ascii="Arial" w:eastAsia="Calibri" w:hAnsi="Arial" w:cs="Arial"/>
          <w:sz w:val="22"/>
        </w:rPr>
        <w:t>U nastavku obrazloženja daje se tabelarni prikaz plana prihoda i primitaka te rashoda i izdataka po skupinama i podskupinama za 202</w:t>
      </w:r>
      <w:r>
        <w:rPr>
          <w:rFonts w:ascii="Arial" w:eastAsia="Calibri" w:hAnsi="Arial" w:cs="Arial"/>
          <w:sz w:val="22"/>
        </w:rPr>
        <w:t>5</w:t>
      </w:r>
      <w:r w:rsidRPr="00143A0B">
        <w:rPr>
          <w:rFonts w:ascii="Arial" w:eastAsia="Calibri" w:hAnsi="Arial" w:cs="Arial"/>
          <w:sz w:val="22"/>
        </w:rPr>
        <w:t>. godinu sa planom za 202</w:t>
      </w:r>
      <w:r>
        <w:rPr>
          <w:rFonts w:ascii="Arial" w:eastAsia="Calibri" w:hAnsi="Arial" w:cs="Arial"/>
          <w:sz w:val="22"/>
        </w:rPr>
        <w:t>5</w:t>
      </w:r>
      <w:r w:rsidRPr="00143A0B">
        <w:rPr>
          <w:rFonts w:ascii="Arial" w:eastAsia="Calibri" w:hAnsi="Arial" w:cs="Arial"/>
          <w:sz w:val="22"/>
        </w:rPr>
        <w:t>.godinu te indeksom  202</w:t>
      </w:r>
      <w:r>
        <w:rPr>
          <w:rFonts w:ascii="Arial" w:eastAsia="Calibri" w:hAnsi="Arial" w:cs="Arial"/>
          <w:sz w:val="22"/>
        </w:rPr>
        <w:t>4</w:t>
      </w:r>
      <w:r w:rsidRPr="00143A0B">
        <w:rPr>
          <w:rFonts w:ascii="Arial" w:eastAsia="Calibri" w:hAnsi="Arial" w:cs="Arial"/>
          <w:sz w:val="22"/>
        </w:rPr>
        <w:t>./202</w:t>
      </w:r>
      <w:r>
        <w:rPr>
          <w:rFonts w:ascii="Arial" w:eastAsia="Calibri" w:hAnsi="Arial" w:cs="Arial"/>
          <w:sz w:val="22"/>
        </w:rPr>
        <w:t>5</w:t>
      </w:r>
      <w:r w:rsidRPr="00143A0B">
        <w:rPr>
          <w:rFonts w:ascii="Arial" w:eastAsia="Calibri" w:hAnsi="Arial" w:cs="Arial"/>
          <w:sz w:val="22"/>
        </w:rPr>
        <w:t xml:space="preserve">. godine.  </w:t>
      </w:r>
    </w:p>
    <w:p w14:paraId="7966F969" w14:textId="77777777" w:rsidR="007B7808" w:rsidRDefault="007B7808" w:rsidP="007B7808">
      <w:pPr>
        <w:spacing w:line="259" w:lineRule="auto"/>
        <w:jc w:val="both"/>
        <w:rPr>
          <w:rFonts w:ascii="Arial" w:eastAsia="Calibri" w:hAnsi="Arial" w:cs="Arial"/>
          <w:sz w:val="22"/>
        </w:rPr>
      </w:pPr>
    </w:p>
    <w:p w14:paraId="638C8A9A" w14:textId="77777777" w:rsidR="007B7808" w:rsidRDefault="007B7808" w:rsidP="007B7808">
      <w:pPr>
        <w:jc w:val="both"/>
        <w:rPr>
          <w:rFonts w:ascii="Arial" w:eastAsia="Calibri" w:hAnsi="Arial" w:cs="Arial"/>
          <w:sz w:val="22"/>
        </w:rPr>
      </w:pPr>
    </w:p>
    <w:p w14:paraId="21AE1927" w14:textId="77777777" w:rsidR="007B7808" w:rsidRDefault="007B7808" w:rsidP="007B7808">
      <w:pPr>
        <w:jc w:val="both"/>
        <w:rPr>
          <w:rFonts w:ascii="Arial" w:eastAsia="Calibri" w:hAnsi="Arial" w:cs="Arial"/>
          <w:sz w:val="22"/>
        </w:rPr>
      </w:pPr>
      <w:r>
        <w:rPr>
          <w:rFonts w:ascii="Arial" w:eastAsia="Calibri" w:hAnsi="Arial" w:cs="Arial"/>
          <w:sz w:val="22"/>
        </w:rPr>
        <w:t>Tablica 1. Opći dio sintetika</w:t>
      </w:r>
    </w:p>
    <w:tbl>
      <w:tblPr>
        <w:tblStyle w:val="Reetkatablice"/>
        <w:tblW w:w="10104" w:type="dxa"/>
        <w:tblInd w:w="-601" w:type="dxa"/>
        <w:tblLook w:val="04A0" w:firstRow="1" w:lastRow="0" w:firstColumn="1" w:lastColumn="0" w:noHBand="0" w:noVBand="1"/>
      </w:tblPr>
      <w:tblGrid>
        <w:gridCol w:w="567"/>
        <w:gridCol w:w="3403"/>
        <w:gridCol w:w="2268"/>
        <w:gridCol w:w="1226"/>
        <w:gridCol w:w="1237"/>
        <w:gridCol w:w="1403"/>
      </w:tblGrid>
      <w:tr w:rsidR="007B7808" w:rsidRPr="00E7035D" w14:paraId="1F06A574" w14:textId="77777777" w:rsidTr="007B7808">
        <w:trPr>
          <w:trHeight w:val="570"/>
        </w:trPr>
        <w:tc>
          <w:tcPr>
            <w:tcW w:w="567" w:type="dxa"/>
            <w:shd w:val="clear" w:color="auto" w:fill="A6A6A6" w:themeFill="background1" w:themeFillShade="A6"/>
            <w:noWrap/>
            <w:hideMark/>
          </w:tcPr>
          <w:p w14:paraId="2F07B387"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 </w:t>
            </w:r>
          </w:p>
        </w:tc>
        <w:tc>
          <w:tcPr>
            <w:tcW w:w="3403" w:type="dxa"/>
            <w:shd w:val="clear" w:color="auto" w:fill="A6A6A6" w:themeFill="background1" w:themeFillShade="A6"/>
            <w:noWrap/>
            <w:hideMark/>
          </w:tcPr>
          <w:p w14:paraId="557F0B06"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 </w:t>
            </w:r>
          </w:p>
        </w:tc>
        <w:tc>
          <w:tcPr>
            <w:tcW w:w="2268" w:type="dxa"/>
            <w:shd w:val="clear" w:color="auto" w:fill="A6A6A6" w:themeFill="background1" w:themeFillShade="A6"/>
            <w:noWrap/>
            <w:hideMark/>
          </w:tcPr>
          <w:p w14:paraId="05D6BBE0" w14:textId="77777777" w:rsidR="007B7808" w:rsidRPr="00E7035D" w:rsidRDefault="007B7808" w:rsidP="002815DB">
            <w:pPr>
              <w:jc w:val="center"/>
              <w:rPr>
                <w:rFonts w:ascii="Arial" w:eastAsia="Calibri" w:hAnsi="Arial" w:cs="Arial"/>
                <w:b/>
                <w:bCs/>
                <w:sz w:val="18"/>
                <w:szCs w:val="18"/>
              </w:rPr>
            </w:pPr>
          </w:p>
          <w:p w14:paraId="19F239EC" w14:textId="77777777" w:rsidR="007B7808" w:rsidRPr="00E7035D" w:rsidRDefault="007B7808" w:rsidP="002815DB">
            <w:pPr>
              <w:jc w:val="center"/>
              <w:rPr>
                <w:rFonts w:ascii="Arial" w:eastAsia="Calibri" w:hAnsi="Arial" w:cs="Arial"/>
                <w:b/>
                <w:bCs/>
                <w:sz w:val="18"/>
                <w:szCs w:val="18"/>
              </w:rPr>
            </w:pPr>
            <w:r w:rsidRPr="00E7035D">
              <w:rPr>
                <w:rFonts w:ascii="Arial" w:eastAsia="Calibri" w:hAnsi="Arial" w:cs="Arial"/>
                <w:b/>
                <w:bCs/>
                <w:sz w:val="18"/>
                <w:szCs w:val="18"/>
              </w:rPr>
              <w:t>PLANIRANO</w:t>
            </w:r>
          </w:p>
        </w:tc>
        <w:tc>
          <w:tcPr>
            <w:tcW w:w="1226" w:type="dxa"/>
            <w:shd w:val="clear" w:color="auto" w:fill="A6A6A6" w:themeFill="background1" w:themeFillShade="A6"/>
            <w:noWrap/>
            <w:hideMark/>
          </w:tcPr>
          <w:p w14:paraId="7CA4D963" w14:textId="77777777" w:rsidR="007B7808" w:rsidRPr="00E7035D" w:rsidRDefault="007B7808" w:rsidP="002815DB">
            <w:pPr>
              <w:jc w:val="center"/>
              <w:rPr>
                <w:rFonts w:ascii="Arial" w:eastAsia="Calibri" w:hAnsi="Arial" w:cs="Arial"/>
                <w:b/>
                <w:bCs/>
                <w:sz w:val="18"/>
                <w:szCs w:val="18"/>
              </w:rPr>
            </w:pPr>
          </w:p>
          <w:p w14:paraId="5B34B62E" w14:textId="77777777" w:rsidR="007B7808" w:rsidRPr="00E7035D" w:rsidRDefault="007B7808" w:rsidP="002815DB">
            <w:pPr>
              <w:jc w:val="center"/>
              <w:rPr>
                <w:rFonts w:ascii="Arial" w:eastAsia="Calibri" w:hAnsi="Arial" w:cs="Arial"/>
                <w:b/>
                <w:bCs/>
                <w:sz w:val="18"/>
                <w:szCs w:val="18"/>
              </w:rPr>
            </w:pPr>
            <w:r w:rsidRPr="00E7035D">
              <w:rPr>
                <w:rFonts w:ascii="Arial" w:eastAsia="Calibri" w:hAnsi="Arial" w:cs="Arial"/>
                <w:b/>
                <w:bCs/>
                <w:sz w:val="18"/>
                <w:szCs w:val="18"/>
              </w:rPr>
              <w:t>IZNOS</w:t>
            </w:r>
          </w:p>
        </w:tc>
        <w:tc>
          <w:tcPr>
            <w:tcW w:w="1237" w:type="dxa"/>
            <w:shd w:val="clear" w:color="auto" w:fill="A6A6A6" w:themeFill="background1" w:themeFillShade="A6"/>
            <w:hideMark/>
          </w:tcPr>
          <w:p w14:paraId="103DEF6F" w14:textId="77777777" w:rsidR="007B7808" w:rsidRPr="00E7035D" w:rsidRDefault="007B7808" w:rsidP="002815DB">
            <w:pPr>
              <w:jc w:val="center"/>
              <w:rPr>
                <w:rFonts w:ascii="Arial" w:eastAsia="Calibri" w:hAnsi="Arial" w:cs="Arial"/>
                <w:b/>
                <w:bCs/>
                <w:sz w:val="18"/>
                <w:szCs w:val="18"/>
              </w:rPr>
            </w:pPr>
            <w:r w:rsidRPr="00E7035D">
              <w:rPr>
                <w:rFonts w:ascii="Arial" w:eastAsia="Calibri" w:hAnsi="Arial" w:cs="Arial"/>
                <w:b/>
                <w:bCs/>
                <w:sz w:val="18"/>
                <w:szCs w:val="18"/>
              </w:rPr>
              <w:t xml:space="preserve">PROMJENA </w:t>
            </w:r>
            <w:r w:rsidRPr="00E7035D">
              <w:rPr>
                <w:rFonts w:ascii="Arial" w:eastAsia="Calibri" w:hAnsi="Arial" w:cs="Arial"/>
                <w:b/>
                <w:bCs/>
                <w:sz w:val="18"/>
                <w:szCs w:val="18"/>
              </w:rPr>
              <w:br/>
              <w:t>POSTOTAK</w:t>
            </w:r>
          </w:p>
        </w:tc>
        <w:tc>
          <w:tcPr>
            <w:tcW w:w="1403" w:type="dxa"/>
            <w:shd w:val="clear" w:color="auto" w:fill="A6A6A6" w:themeFill="background1" w:themeFillShade="A6"/>
            <w:noWrap/>
            <w:hideMark/>
          </w:tcPr>
          <w:p w14:paraId="33173E4E" w14:textId="77777777" w:rsidR="007B7808" w:rsidRPr="00E7035D" w:rsidRDefault="007B7808" w:rsidP="002815DB">
            <w:pPr>
              <w:jc w:val="center"/>
              <w:rPr>
                <w:rFonts w:ascii="Arial" w:eastAsia="Calibri" w:hAnsi="Arial" w:cs="Arial"/>
                <w:b/>
                <w:bCs/>
                <w:sz w:val="18"/>
                <w:szCs w:val="18"/>
              </w:rPr>
            </w:pPr>
          </w:p>
          <w:p w14:paraId="1DBE0D08" w14:textId="77777777" w:rsidR="007B7808" w:rsidRPr="00E7035D" w:rsidRDefault="007B7808" w:rsidP="002815DB">
            <w:pPr>
              <w:jc w:val="center"/>
              <w:rPr>
                <w:rFonts w:ascii="Arial" w:eastAsia="Calibri" w:hAnsi="Arial" w:cs="Arial"/>
                <w:b/>
                <w:bCs/>
                <w:sz w:val="18"/>
                <w:szCs w:val="18"/>
              </w:rPr>
            </w:pPr>
            <w:r w:rsidRPr="00E7035D">
              <w:rPr>
                <w:rFonts w:ascii="Arial" w:eastAsia="Calibri" w:hAnsi="Arial" w:cs="Arial"/>
                <w:b/>
                <w:bCs/>
                <w:sz w:val="18"/>
                <w:szCs w:val="18"/>
              </w:rPr>
              <w:t>NOVI IZNOS</w:t>
            </w:r>
          </w:p>
        </w:tc>
      </w:tr>
      <w:tr w:rsidR="007B7808" w:rsidRPr="00E7035D" w14:paraId="13A03538" w14:textId="77777777" w:rsidTr="007B7808">
        <w:trPr>
          <w:trHeight w:val="270"/>
        </w:trPr>
        <w:tc>
          <w:tcPr>
            <w:tcW w:w="567" w:type="dxa"/>
            <w:shd w:val="clear" w:color="auto" w:fill="D9D9D9" w:themeFill="background1" w:themeFillShade="D9"/>
            <w:noWrap/>
            <w:hideMark/>
          </w:tcPr>
          <w:p w14:paraId="5D0619CC"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A.</w:t>
            </w:r>
          </w:p>
        </w:tc>
        <w:tc>
          <w:tcPr>
            <w:tcW w:w="3403" w:type="dxa"/>
            <w:shd w:val="clear" w:color="auto" w:fill="D9D9D9" w:themeFill="background1" w:themeFillShade="D9"/>
            <w:noWrap/>
            <w:hideMark/>
          </w:tcPr>
          <w:p w14:paraId="4E188BF6"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RAČUN PRIHODA I RASHODA</w:t>
            </w:r>
          </w:p>
        </w:tc>
        <w:tc>
          <w:tcPr>
            <w:tcW w:w="2268" w:type="dxa"/>
            <w:shd w:val="clear" w:color="auto" w:fill="D9D9D9" w:themeFill="background1" w:themeFillShade="D9"/>
            <w:noWrap/>
            <w:hideMark/>
          </w:tcPr>
          <w:p w14:paraId="1EBE48F1"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 </w:t>
            </w:r>
          </w:p>
        </w:tc>
        <w:tc>
          <w:tcPr>
            <w:tcW w:w="1226" w:type="dxa"/>
            <w:shd w:val="clear" w:color="auto" w:fill="D9D9D9" w:themeFill="background1" w:themeFillShade="D9"/>
            <w:noWrap/>
            <w:hideMark/>
          </w:tcPr>
          <w:p w14:paraId="05010099"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 </w:t>
            </w:r>
          </w:p>
        </w:tc>
        <w:tc>
          <w:tcPr>
            <w:tcW w:w="1237" w:type="dxa"/>
            <w:shd w:val="clear" w:color="auto" w:fill="D9D9D9" w:themeFill="background1" w:themeFillShade="D9"/>
            <w:noWrap/>
            <w:hideMark/>
          </w:tcPr>
          <w:p w14:paraId="1280A628"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 </w:t>
            </w:r>
          </w:p>
        </w:tc>
        <w:tc>
          <w:tcPr>
            <w:tcW w:w="1403" w:type="dxa"/>
            <w:shd w:val="clear" w:color="auto" w:fill="D9D9D9" w:themeFill="background1" w:themeFillShade="D9"/>
            <w:noWrap/>
            <w:hideMark/>
          </w:tcPr>
          <w:p w14:paraId="6C730553"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 </w:t>
            </w:r>
          </w:p>
        </w:tc>
      </w:tr>
      <w:tr w:rsidR="007B7808" w:rsidRPr="00E7035D" w14:paraId="25E9F17C" w14:textId="77777777" w:rsidTr="007B7808">
        <w:trPr>
          <w:trHeight w:val="255"/>
        </w:trPr>
        <w:tc>
          <w:tcPr>
            <w:tcW w:w="567" w:type="dxa"/>
            <w:noWrap/>
            <w:hideMark/>
          </w:tcPr>
          <w:p w14:paraId="042666C3"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 </w:t>
            </w:r>
          </w:p>
        </w:tc>
        <w:tc>
          <w:tcPr>
            <w:tcW w:w="3403" w:type="dxa"/>
            <w:noWrap/>
            <w:hideMark/>
          </w:tcPr>
          <w:p w14:paraId="5040E9E8"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Prihodi poslovanja</w:t>
            </w:r>
          </w:p>
        </w:tc>
        <w:tc>
          <w:tcPr>
            <w:tcW w:w="2268" w:type="dxa"/>
            <w:noWrap/>
            <w:hideMark/>
          </w:tcPr>
          <w:p w14:paraId="655A436B"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2.803.091,00</w:t>
            </w:r>
          </w:p>
        </w:tc>
        <w:tc>
          <w:tcPr>
            <w:tcW w:w="1226" w:type="dxa"/>
            <w:noWrap/>
            <w:hideMark/>
          </w:tcPr>
          <w:p w14:paraId="52D94D6A"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157.</w:t>
            </w:r>
            <w:r>
              <w:rPr>
                <w:rFonts w:ascii="Arial" w:eastAsia="Calibri" w:hAnsi="Arial" w:cs="Arial"/>
                <w:b/>
                <w:bCs/>
                <w:sz w:val="18"/>
                <w:szCs w:val="18"/>
              </w:rPr>
              <w:t>934</w:t>
            </w:r>
            <w:r w:rsidRPr="00E7035D">
              <w:rPr>
                <w:rFonts w:ascii="Arial" w:eastAsia="Calibri" w:hAnsi="Arial" w:cs="Arial"/>
                <w:b/>
                <w:bCs/>
                <w:sz w:val="18"/>
                <w:szCs w:val="18"/>
              </w:rPr>
              <w:t>,00</w:t>
            </w:r>
          </w:p>
        </w:tc>
        <w:tc>
          <w:tcPr>
            <w:tcW w:w="1237" w:type="dxa"/>
            <w:noWrap/>
            <w:hideMark/>
          </w:tcPr>
          <w:p w14:paraId="757BCAC6"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5.6%</w:t>
            </w:r>
          </w:p>
        </w:tc>
        <w:tc>
          <w:tcPr>
            <w:tcW w:w="1403" w:type="dxa"/>
            <w:noWrap/>
            <w:hideMark/>
          </w:tcPr>
          <w:p w14:paraId="291F0405" w14:textId="77777777" w:rsidR="007B7808" w:rsidRPr="00E7035D" w:rsidRDefault="007B7808" w:rsidP="002815DB">
            <w:pPr>
              <w:jc w:val="right"/>
              <w:rPr>
                <w:rFonts w:ascii="Arial" w:eastAsia="Calibri" w:hAnsi="Arial" w:cs="Arial"/>
                <w:b/>
                <w:bCs/>
                <w:sz w:val="18"/>
                <w:szCs w:val="18"/>
              </w:rPr>
            </w:pPr>
            <w:r>
              <w:rPr>
                <w:rFonts w:ascii="Arial" w:eastAsia="Calibri" w:hAnsi="Arial" w:cs="Arial"/>
                <w:b/>
                <w:bCs/>
                <w:sz w:val="18"/>
                <w:szCs w:val="18"/>
              </w:rPr>
              <w:t>2.961.025,00</w:t>
            </w:r>
          </w:p>
        </w:tc>
      </w:tr>
      <w:tr w:rsidR="007B7808" w:rsidRPr="00E7035D" w14:paraId="2D54292D" w14:textId="77777777" w:rsidTr="007B7808">
        <w:trPr>
          <w:trHeight w:val="255"/>
        </w:trPr>
        <w:tc>
          <w:tcPr>
            <w:tcW w:w="567" w:type="dxa"/>
            <w:noWrap/>
            <w:hideMark/>
          </w:tcPr>
          <w:p w14:paraId="1AE1E855"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 </w:t>
            </w:r>
          </w:p>
        </w:tc>
        <w:tc>
          <w:tcPr>
            <w:tcW w:w="3403" w:type="dxa"/>
            <w:noWrap/>
            <w:hideMark/>
          </w:tcPr>
          <w:p w14:paraId="679AC6E3"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Prihodi od prodaje nefinancijske imovine</w:t>
            </w:r>
          </w:p>
        </w:tc>
        <w:tc>
          <w:tcPr>
            <w:tcW w:w="2268" w:type="dxa"/>
            <w:noWrap/>
            <w:hideMark/>
          </w:tcPr>
          <w:p w14:paraId="37CCF3A4"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0,00</w:t>
            </w:r>
          </w:p>
        </w:tc>
        <w:tc>
          <w:tcPr>
            <w:tcW w:w="1226" w:type="dxa"/>
            <w:noWrap/>
            <w:hideMark/>
          </w:tcPr>
          <w:p w14:paraId="4CABBA1C"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0,00</w:t>
            </w:r>
          </w:p>
        </w:tc>
        <w:tc>
          <w:tcPr>
            <w:tcW w:w="1237" w:type="dxa"/>
            <w:noWrap/>
            <w:hideMark/>
          </w:tcPr>
          <w:p w14:paraId="730FB4B6"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0,0%</w:t>
            </w:r>
          </w:p>
        </w:tc>
        <w:tc>
          <w:tcPr>
            <w:tcW w:w="1403" w:type="dxa"/>
            <w:noWrap/>
            <w:hideMark/>
          </w:tcPr>
          <w:p w14:paraId="3C94A394"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0,00</w:t>
            </w:r>
          </w:p>
        </w:tc>
      </w:tr>
      <w:tr w:rsidR="007B7808" w:rsidRPr="00E7035D" w14:paraId="5627F51D" w14:textId="77777777" w:rsidTr="007B7808">
        <w:trPr>
          <w:trHeight w:val="255"/>
        </w:trPr>
        <w:tc>
          <w:tcPr>
            <w:tcW w:w="567" w:type="dxa"/>
            <w:noWrap/>
            <w:hideMark/>
          </w:tcPr>
          <w:p w14:paraId="10BC76F9"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 </w:t>
            </w:r>
          </w:p>
        </w:tc>
        <w:tc>
          <w:tcPr>
            <w:tcW w:w="3403" w:type="dxa"/>
            <w:noWrap/>
            <w:hideMark/>
          </w:tcPr>
          <w:p w14:paraId="292CD6D8"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Rashodi poslovanja</w:t>
            </w:r>
          </w:p>
        </w:tc>
        <w:tc>
          <w:tcPr>
            <w:tcW w:w="2268" w:type="dxa"/>
            <w:noWrap/>
            <w:hideMark/>
          </w:tcPr>
          <w:p w14:paraId="383AF2A3"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2.695.149,00</w:t>
            </w:r>
          </w:p>
        </w:tc>
        <w:tc>
          <w:tcPr>
            <w:tcW w:w="1226" w:type="dxa"/>
            <w:noWrap/>
            <w:hideMark/>
          </w:tcPr>
          <w:p w14:paraId="487B2CB5" w14:textId="77777777" w:rsidR="007B7808" w:rsidRPr="00E7035D" w:rsidRDefault="007B7808" w:rsidP="002815DB">
            <w:pPr>
              <w:jc w:val="right"/>
              <w:rPr>
                <w:rFonts w:ascii="Arial" w:eastAsia="Calibri" w:hAnsi="Arial" w:cs="Arial"/>
                <w:b/>
                <w:bCs/>
                <w:sz w:val="18"/>
                <w:szCs w:val="18"/>
              </w:rPr>
            </w:pPr>
            <w:r>
              <w:rPr>
                <w:rFonts w:ascii="Arial" w:eastAsia="Calibri" w:hAnsi="Arial" w:cs="Arial"/>
                <w:b/>
                <w:bCs/>
                <w:sz w:val="18"/>
                <w:szCs w:val="18"/>
              </w:rPr>
              <w:t>152.592,00</w:t>
            </w:r>
          </w:p>
        </w:tc>
        <w:tc>
          <w:tcPr>
            <w:tcW w:w="1237" w:type="dxa"/>
            <w:noWrap/>
            <w:hideMark/>
          </w:tcPr>
          <w:p w14:paraId="386EFF42"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5.6%</w:t>
            </w:r>
          </w:p>
        </w:tc>
        <w:tc>
          <w:tcPr>
            <w:tcW w:w="1403" w:type="dxa"/>
            <w:noWrap/>
            <w:hideMark/>
          </w:tcPr>
          <w:p w14:paraId="15436936" w14:textId="77777777" w:rsidR="007B7808" w:rsidRPr="00E7035D" w:rsidRDefault="007B7808" w:rsidP="002815DB">
            <w:pPr>
              <w:jc w:val="right"/>
              <w:rPr>
                <w:rFonts w:ascii="Arial" w:eastAsia="Calibri" w:hAnsi="Arial" w:cs="Arial"/>
                <w:b/>
                <w:bCs/>
                <w:sz w:val="18"/>
                <w:szCs w:val="18"/>
              </w:rPr>
            </w:pPr>
            <w:r>
              <w:rPr>
                <w:rFonts w:ascii="Arial" w:eastAsia="Calibri" w:hAnsi="Arial" w:cs="Arial"/>
                <w:b/>
                <w:bCs/>
                <w:sz w:val="18"/>
                <w:szCs w:val="18"/>
              </w:rPr>
              <w:t>2.847.741,00</w:t>
            </w:r>
          </w:p>
        </w:tc>
      </w:tr>
      <w:tr w:rsidR="007B7808" w:rsidRPr="00E7035D" w14:paraId="4AB4D96D" w14:textId="77777777" w:rsidTr="007B7808">
        <w:trPr>
          <w:trHeight w:val="255"/>
        </w:trPr>
        <w:tc>
          <w:tcPr>
            <w:tcW w:w="567" w:type="dxa"/>
            <w:noWrap/>
            <w:hideMark/>
          </w:tcPr>
          <w:p w14:paraId="55F331BA"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 </w:t>
            </w:r>
          </w:p>
        </w:tc>
        <w:tc>
          <w:tcPr>
            <w:tcW w:w="3403" w:type="dxa"/>
            <w:noWrap/>
            <w:hideMark/>
          </w:tcPr>
          <w:p w14:paraId="6DC77E64"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Rashodi za nabavu nefinancijske imovine</w:t>
            </w:r>
          </w:p>
        </w:tc>
        <w:tc>
          <w:tcPr>
            <w:tcW w:w="2268" w:type="dxa"/>
            <w:noWrap/>
            <w:hideMark/>
          </w:tcPr>
          <w:p w14:paraId="1948A9A8"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112.942,00</w:t>
            </w:r>
          </w:p>
        </w:tc>
        <w:tc>
          <w:tcPr>
            <w:tcW w:w="1226" w:type="dxa"/>
            <w:noWrap/>
            <w:hideMark/>
          </w:tcPr>
          <w:p w14:paraId="13A15818" w14:textId="77777777" w:rsidR="007B7808" w:rsidRPr="00E7035D" w:rsidRDefault="007B7808" w:rsidP="002815DB">
            <w:pPr>
              <w:jc w:val="right"/>
              <w:rPr>
                <w:rFonts w:ascii="Arial" w:eastAsia="Calibri" w:hAnsi="Arial" w:cs="Arial"/>
                <w:b/>
                <w:bCs/>
                <w:sz w:val="18"/>
                <w:szCs w:val="18"/>
              </w:rPr>
            </w:pPr>
            <w:r>
              <w:rPr>
                <w:rFonts w:ascii="Arial" w:eastAsia="Calibri" w:hAnsi="Arial" w:cs="Arial"/>
                <w:b/>
                <w:bCs/>
                <w:sz w:val="18"/>
                <w:szCs w:val="18"/>
              </w:rPr>
              <w:t>8.040,00</w:t>
            </w:r>
          </w:p>
        </w:tc>
        <w:tc>
          <w:tcPr>
            <w:tcW w:w="1237" w:type="dxa"/>
            <w:noWrap/>
            <w:hideMark/>
          </w:tcPr>
          <w:p w14:paraId="2FBD3DD4"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-7,</w:t>
            </w:r>
            <w:r>
              <w:rPr>
                <w:rFonts w:ascii="Arial" w:eastAsia="Calibri" w:hAnsi="Arial" w:cs="Arial"/>
                <w:b/>
                <w:bCs/>
                <w:sz w:val="18"/>
                <w:szCs w:val="18"/>
              </w:rPr>
              <w:t>12</w:t>
            </w:r>
          </w:p>
        </w:tc>
        <w:tc>
          <w:tcPr>
            <w:tcW w:w="1403" w:type="dxa"/>
            <w:noWrap/>
            <w:hideMark/>
          </w:tcPr>
          <w:p w14:paraId="09F9AED5"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104.</w:t>
            </w:r>
            <w:r>
              <w:rPr>
                <w:rFonts w:ascii="Arial" w:eastAsia="Calibri" w:hAnsi="Arial" w:cs="Arial"/>
                <w:b/>
                <w:bCs/>
                <w:sz w:val="18"/>
                <w:szCs w:val="18"/>
              </w:rPr>
              <w:t>902</w:t>
            </w:r>
            <w:r w:rsidRPr="00E7035D">
              <w:rPr>
                <w:rFonts w:ascii="Arial" w:eastAsia="Calibri" w:hAnsi="Arial" w:cs="Arial"/>
                <w:b/>
                <w:bCs/>
                <w:sz w:val="18"/>
                <w:szCs w:val="18"/>
              </w:rPr>
              <w:t>,00</w:t>
            </w:r>
          </w:p>
        </w:tc>
      </w:tr>
      <w:tr w:rsidR="007B7808" w:rsidRPr="00E7035D" w14:paraId="2BB16CAE" w14:textId="77777777" w:rsidTr="007B7808">
        <w:trPr>
          <w:trHeight w:val="255"/>
        </w:trPr>
        <w:tc>
          <w:tcPr>
            <w:tcW w:w="567" w:type="dxa"/>
            <w:noWrap/>
            <w:hideMark/>
          </w:tcPr>
          <w:p w14:paraId="1705FF58"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 </w:t>
            </w:r>
          </w:p>
        </w:tc>
        <w:tc>
          <w:tcPr>
            <w:tcW w:w="3403" w:type="dxa"/>
            <w:noWrap/>
            <w:hideMark/>
          </w:tcPr>
          <w:p w14:paraId="5C219727"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RAZLIKA</w:t>
            </w:r>
          </w:p>
        </w:tc>
        <w:tc>
          <w:tcPr>
            <w:tcW w:w="2268" w:type="dxa"/>
            <w:noWrap/>
            <w:hideMark/>
          </w:tcPr>
          <w:p w14:paraId="0FB09840"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-5.000,00</w:t>
            </w:r>
          </w:p>
        </w:tc>
        <w:tc>
          <w:tcPr>
            <w:tcW w:w="1226" w:type="dxa"/>
            <w:noWrap/>
            <w:hideMark/>
          </w:tcPr>
          <w:p w14:paraId="04CD8401"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4.012,00</w:t>
            </w:r>
          </w:p>
        </w:tc>
        <w:tc>
          <w:tcPr>
            <w:tcW w:w="1237" w:type="dxa"/>
            <w:noWrap/>
            <w:hideMark/>
          </w:tcPr>
          <w:p w14:paraId="5B4DC90B"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-80.2%</w:t>
            </w:r>
          </w:p>
        </w:tc>
        <w:tc>
          <w:tcPr>
            <w:tcW w:w="1403" w:type="dxa"/>
            <w:noWrap/>
            <w:hideMark/>
          </w:tcPr>
          <w:p w14:paraId="52268B0E"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-988,00</w:t>
            </w:r>
          </w:p>
        </w:tc>
      </w:tr>
      <w:tr w:rsidR="007B7808" w:rsidRPr="00E7035D" w14:paraId="0523CA20" w14:textId="77777777" w:rsidTr="007B7808">
        <w:trPr>
          <w:trHeight w:val="270"/>
        </w:trPr>
        <w:tc>
          <w:tcPr>
            <w:tcW w:w="567" w:type="dxa"/>
            <w:noWrap/>
            <w:hideMark/>
          </w:tcPr>
          <w:p w14:paraId="50A32BD2"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lastRenderedPageBreak/>
              <w:t> </w:t>
            </w:r>
          </w:p>
        </w:tc>
        <w:tc>
          <w:tcPr>
            <w:tcW w:w="3403" w:type="dxa"/>
            <w:noWrap/>
            <w:hideMark/>
          </w:tcPr>
          <w:p w14:paraId="1ED5049D" w14:textId="77777777" w:rsidR="007B7808" w:rsidRPr="00E7035D" w:rsidRDefault="007B7808" w:rsidP="002815DB">
            <w:pPr>
              <w:jc w:val="both"/>
              <w:rPr>
                <w:rFonts w:ascii="Arial" w:eastAsia="Calibri" w:hAnsi="Arial" w:cs="Arial"/>
                <w:sz w:val="18"/>
                <w:szCs w:val="18"/>
              </w:rPr>
            </w:pPr>
          </w:p>
        </w:tc>
        <w:tc>
          <w:tcPr>
            <w:tcW w:w="2268" w:type="dxa"/>
            <w:noWrap/>
            <w:hideMark/>
          </w:tcPr>
          <w:p w14:paraId="6D1EAF08"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 </w:t>
            </w:r>
          </w:p>
        </w:tc>
        <w:tc>
          <w:tcPr>
            <w:tcW w:w="1226" w:type="dxa"/>
            <w:noWrap/>
            <w:hideMark/>
          </w:tcPr>
          <w:p w14:paraId="4D2DC85B" w14:textId="77777777" w:rsidR="007B7808" w:rsidRPr="00E7035D" w:rsidRDefault="007B7808" w:rsidP="002815DB">
            <w:pPr>
              <w:jc w:val="right"/>
              <w:rPr>
                <w:rFonts w:ascii="Arial" w:eastAsia="Calibri" w:hAnsi="Arial" w:cs="Arial"/>
                <w:sz w:val="18"/>
                <w:szCs w:val="18"/>
              </w:rPr>
            </w:pPr>
          </w:p>
        </w:tc>
        <w:tc>
          <w:tcPr>
            <w:tcW w:w="1237" w:type="dxa"/>
            <w:noWrap/>
            <w:hideMark/>
          </w:tcPr>
          <w:p w14:paraId="706C2E09"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 </w:t>
            </w:r>
          </w:p>
        </w:tc>
        <w:tc>
          <w:tcPr>
            <w:tcW w:w="1403" w:type="dxa"/>
            <w:noWrap/>
            <w:hideMark/>
          </w:tcPr>
          <w:p w14:paraId="012F0D74"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 </w:t>
            </w:r>
          </w:p>
        </w:tc>
      </w:tr>
      <w:tr w:rsidR="007B7808" w:rsidRPr="00E7035D" w14:paraId="5ED35850" w14:textId="77777777" w:rsidTr="007B7808">
        <w:trPr>
          <w:trHeight w:val="270"/>
        </w:trPr>
        <w:tc>
          <w:tcPr>
            <w:tcW w:w="567" w:type="dxa"/>
            <w:shd w:val="clear" w:color="auto" w:fill="D9D9D9" w:themeFill="background1" w:themeFillShade="D9"/>
            <w:noWrap/>
            <w:hideMark/>
          </w:tcPr>
          <w:p w14:paraId="490DDCD5"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B.</w:t>
            </w:r>
          </w:p>
        </w:tc>
        <w:tc>
          <w:tcPr>
            <w:tcW w:w="3403" w:type="dxa"/>
            <w:shd w:val="clear" w:color="auto" w:fill="D9D9D9" w:themeFill="background1" w:themeFillShade="D9"/>
            <w:noWrap/>
            <w:hideMark/>
          </w:tcPr>
          <w:p w14:paraId="33DDA6FD"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RAČUN ZADUŽIVANJA/FINANCIRANJA</w:t>
            </w:r>
          </w:p>
        </w:tc>
        <w:tc>
          <w:tcPr>
            <w:tcW w:w="2268" w:type="dxa"/>
            <w:shd w:val="clear" w:color="auto" w:fill="D9D9D9" w:themeFill="background1" w:themeFillShade="D9"/>
            <w:noWrap/>
            <w:hideMark/>
          </w:tcPr>
          <w:p w14:paraId="595BF6B3"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 </w:t>
            </w:r>
          </w:p>
        </w:tc>
        <w:tc>
          <w:tcPr>
            <w:tcW w:w="1226" w:type="dxa"/>
            <w:shd w:val="clear" w:color="auto" w:fill="D9D9D9" w:themeFill="background1" w:themeFillShade="D9"/>
            <w:noWrap/>
            <w:hideMark/>
          </w:tcPr>
          <w:p w14:paraId="3814131C"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 </w:t>
            </w:r>
          </w:p>
        </w:tc>
        <w:tc>
          <w:tcPr>
            <w:tcW w:w="1237" w:type="dxa"/>
            <w:shd w:val="clear" w:color="auto" w:fill="D9D9D9" w:themeFill="background1" w:themeFillShade="D9"/>
            <w:noWrap/>
            <w:hideMark/>
          </w:tcPr>
          <w:p w14:paraId="752DEA17"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 </w:t>
            </w:r>
          </w:p>
        </w:tc>
        <w:tc>
          <w:tcPr>
            <w:tcW w:w="1403" w:type="dxa"/>
            <w:shd w:val="clear" w:color="auto" w:fill="D9D9D9" w:themeFill="background1" w:themeFillShade="D9"/>
            <w:noWrap/>
            <w:hideMark/>
          </w:tcPr>
          <w:p w14:paraId="7D7A7B26"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 </w:t>
            </w:r>
          </w:p>
        </w:tc>
      </w:tr>
      <w:tr w:rsidR="007B7808" w:rsidRPr="00E7035D" w14:paraId="3472D462" w14:textId="77777777" w:rsidTr="007B7808">
        <w:trPr>
          <w:trHeight w:val="255"/>
        </w:trPr>
        <w:tc>
          <w:tcPr>
            <w:tcW w:w="567" w:type="dxa"/>
            <w:noWrap/>
            <w:hideMark/>
          </w:tcPr>
          <w:p w14:paraId="6CEFEA79"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 </w:t>
            </w:r>
          </w:p>
        </w:tc>
        <w:tc>
          <w:tcPr>
            <w:tcW w:w="3403" w:type="dxa"/>
            <w:noWrap/>
            <w:hideMark/>
          </w:tcPr>
          <w:p w14:paraId="4B0315FF"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Primici od financijske imovine i zaduživanja</w:t>
            </w:r>
          </w:p>
        </w:tc>
        <w:tc>
          <w:tcPr>
            <w:tcW w:w="2268" w:type="dxa"/>
            <w:noWrap/>
            <w:hideMark/>
          </w:tcPr>
          <w:p w14:paraId="506FC328"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0,00</w:t>
            </w:r>
          </w:p>
        </w:tc>
        <w:tc>
          <w:tcPr>
            <w:tcW w:w="1226" w:type="dxa"/>
            <w:noWrap/>
            <w:hideMark/>
          </w:tcPr>
          <w:p w14:paraId="6A9EC878"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0,00</w:t>
            </w:r>
          </w:p>
        </w:tc>
        <w:tc>
          <w:tcPr>
            <w:tcW w:w="1237" w:type="dxa"/>
            <w:noWrap/>
            <w:hideMark/>
          </w:tcPr>
          <w:p w14:paraId="687D95DB"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0,0%</w:t>
            </w:r>
          </w:p>
        </w:tc>
        <w:tc>
          <w:tcPr>
            <w:tcW w:w="1403" w:type="dxa"/>
            <w:noWrap/>
            <w:hideMark/>
          </w:tcPr>
          <w:p w14:paraId="34EAF2D6"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0,00</w:t>
            </w:r>
          </w:p>
        </w:tc>
      </w:tr>
      <w:tr w:rsidR="007B7808" w:rsidRPr="00E7035D" w14:paraId="0DC9DEDD" w14:textId="77777777" w:rsidTr="007B7808">
        <w:trPr>
          <w:trHeight w:val="255"/>
        </w:trPr>
        <w:tc>
          <w:tcPr>
            <w:tcW w:w="567" w:type="dxa"/>
            <w:noWrap/>
            <w:hideMark/>
          </w:tcPr>
          <w:p w14:paraId="344A88DF"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 </w:t>
            </w:r>
          </w:p>
        </w:tc>
        <w:tc>
          <w:tcPr>
            <w:tcW w:w="3403" w:type="dxa"/>
            <w:noWrap/>
            <w:hideMark/>
          </w:tcPr>
          <w:p w14:paraId="2A71A19D"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Izdaci za financijsku imovinu i otplate zajmova</w:t>
            </w:r>
          </w:p>
        </w:tc>
        <w:tc>
          <w:tcPr>
            <w:tcW w:w="2268" w:type="dxa"/>
            <w:noWrap/>
            <w:hideMark/>
          </w:tcPr>
          <w:p w14:paraId="6451CC44"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0,00</w:t>
            </w:r>
          </w:p>
        </w:tc>
        <w:tc>
          <w:tcPr>
            <w:tcW w:w="1226" w:type="dxa"/>
            <w:noWrap/>
            <w:hideMark/>
          </w:tcPr>
          <w:p w14:paraId="31162A71"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0,00</w:t>
            </w:r>
          </w:p>
        </w:tc>
        <w:tc>
          <w:tcPr>
            <w:tcW w:w="1237" w:type="dxa"/>
            <w:noWrap/>
            <w:hideMark/>
          </w:tcPr>
          <w:p w14:paraId="3A66ED72"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0,0%</w:t>
            </w:r>
          </w:p>
        </w:tc>
        <w:tc>
          <w:tcPr>
            <w:tcW w:w="1403" w:type="dxa"/>
            <w:noWrap/>
            <w:hideMark/>
          </w:tcPr>
          <w:p w14:paraId="19AFF154"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0,00</w:t>
            </w:r>
          </w:p>
        </w:tc>
      </w:tr>
      <w:tr w:rsidR="007B7808" w:rsidRPr="00E7035D" w14:paraId="3B47FF0A" w14:textId="77777777" w:rsidTr="007B7808">
        <w:trPr>
          <w:trHeight w:val="270"/>
        </w:trPr>
        <w:tc>
          <w:tcPr>
            <w:tcW w:w="567" w:type="dxa"/>
            <w:noWrap/>
            <w:hideMark/>
          </w:tcPr>
          <w:p w14:paraId="1477725E"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 </w:t>
            </w:r>
          </w:p>
        </w:tc>
        <w:tc>
          <w:tcPr>
            <w:tcW w:w="3403" w:type="dxa"/>
            <w:noWrap/>
            <w:hideMark/>
          </w:tcPr>
          <w:p w14:paraId="456B4ED3" w14:textId="77777777" w:rsidR="007B7808" w:rsidRPr="00E7035D" w:rsidRDefault="007B7808" w:rsidP="002815DB">
            <w:pPr>
              <w:jc w:val="both"/>
              <w:rPr>
                <w:rFonts w:ascii="Arial" w:eastAsia="Calibri" w:hAnsi="Arial" w:cs="Arial"/>
                <w:sz w:val="18"/>
                <w:szCs w:val="18"/>
              </w:rPr>
            </w:pPr>
          </w:p>
        </w:tc>
        <w:tc>
          <w:tcPr>
            <w:tcW w:w="2268" w:type="dxa"/>
            <w:noWrap/>
            <w:hideMark/>
          </w:tcPr>
          <w:p w14:paraId="40BBC3DA"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 </w:t>
            </w:r>
          </w:p>
        </w:tc>
        <w:tc>
          <w:tcPr>
            <w:tcW w:w="1226" w:type="dxa"/>
            <w:noWrap/>
            <w:hideMark/>
          </w:tcPr>
          <w:p w14:paraId="7E555BCE" w14:textId="77777777" w:rsidR="007B7808" w:rsidRPr="00E7035D" w:rsidRDefault="007B7808" w:rsidP="002815DB">
            <w:pPr>
              <w:jc w:val="right"/>
              <w:rPr>
                <w:rFonts w:ascii="Arial" w:eastAsia="Calibri" w:hAnsi="Arial" w:cs="Arial"/>
                <w:sz w:val="18"/>
                <w:szCs w:val="18"/>
              </w:rPr>
            </w:pPr>
          </w:p>
        </w:tc>
        <w:tc>
          <w:tcPr>
            <w:tcW w:w="1237" w:type="dxa"/>
            <w:noWrap/>
            <w:hideMark/>
          </w:tcPr>
          <w:p w14:paraId="2BAFF755"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 </w:t>
            </w:r>
          </w:p>
        </w:tc>
        <w:tc>
          <w:tcPr>
            <w:tcW w:w="1403" w:type="dxa"/>
            <w:noWrap/>
            <w:hideMark/>
          </w:tcPr>
          <w:p w14:paraId="18B03759"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 </w:t>
            </w:r>
          </w:p>
        </w:tc>
      </w:tr>
      <w:tr w:rsidR="007B7808" w:rsidRPr="00E7035D" w14:paraId="17D7B681" w14:textId="77777777" w:rsidTr="007B7808">
        <w:trPr>
          <w:trHeight w:val="270"/>
        </w:trPr>
        <w:tc>
          <w:tcPr>
            <w:tcW w:w="567" w:type="dxa"/>
            <w:shd w:val="clear" w:color="auto" w:fill="D9D9D9" w:themeFill="background1" w:themeFillShade="D9"/>
            <w:noWrap/>
            <w:hideMark/>
          </w:tcPr>
          <w:p w14:paraId="540FF4D4"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C.</w:t>
            </w:r>
          </w:p>
        </w:tc>
        <w:tc>
          <w:tcPr>
            <w:tcW w:w="3403" w:type="dxa"/>
            <w:shd w:val="clear" w:color="auto" w:fill="D9D9D9" w:themeFill="background1" w:themeFillShade="D9"/>
            <w:noWrap/>
            <w:hideMark/>
          </w:tcPr>
          <w:p w14:paraId="03304CD3"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RASPOLOŽIVA SREDSTVA IZ PRETHODNIH GODINA</w:t>
            </w:r>
          </w:p>
        </w:tc>
        <w:tc>
          <w:tcPr>
            <w:tcW w:w="2268" w:type="dxa"/>
            <w:shd w:val="clear" w:color="auto" w:fill="D9D9D9" w:themeFill="background1" w:themeFillShade="D9"/>
            <w:noWrap/>
            <w:hideMark/>
          </w:tcPr>
          <w:p w14:paraId="6EFFEC07"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 </w:t>
            </w:r>
          </w:p>
        </w:tc>
        <w:tc>
          <w:tcPr>
            <w:tcW w:w="1226" w:type="dxa"/>
            <w:shd w:val="clear" w:color="auto" w:fill="D9D9D9" w:themeFill="background1" w:themeFillShade="D9"/>
            <w:noWrap/>
            <w:hideMark/>
          </w:tcPr>
          <w:p w14:paraId="6B0EBD48"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 </w:t>
            </w:r>
          </w:p>
        </w:tc>
        <w:tc>
          <w:tcPr>
            <w:tcW w:w="1237" w:type="dxa"/>
            <w:shd w:val="clear" w:color="auto" w:fill="D9D9D9" w:themeFill="background1" w:themeFillShade="D9"/>
            <w:noWrap/>
            <w:hideMark/>
          </w:tcPr>
          <w:p w14:paraId="2F8063ED"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 </w:t>
            </w:r>
          </w:p>
        </w:tc>
        <w:tc>
          <w:tcPr>
            <w:tcW w:w="1403" w:type="dxa"/>
            <w:shd w:val="clear" w:color="auto" w:fill="D9D9D9" w:themeFill="background1" w:themeFillShade="D9"/>
            <w:noWrap/>
            <w:hideMark/>
          </w:tcPr>
          <w:p w14:paraId="6B863CCF"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 </w:t>
            </w:r>
          </w:p>
        </w:tc>
      </w:tr>
      <w:tr w:rsidR="007B7808" w:rsidRPr="00E7035D" w14:paraId="5B13F4AA" w14:textId="77777777" w:rsidTr="007B7808">
        <w:trPr>
          <w:trHeight w:val="255"/>
        </w:trPr>
        <w:tc>
          <w:tcPr>
            <w:tcW w:w="567" w:type="dxa"/>
            <w:noWrap/>
            <w:hideMark/>
          </w:tcPr>
          <w:p w14:paraId="49813C84"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 </w:t>
            </w:r>
          </w:p>
        </w:tc>
        <w:tc>
          <w:tcPr>
            <w:tcW w:w="3403" w:type="dxa"/>
            <w:noWrap/>
            <w:hideMark/>
          </w:tcPr>
          <w:p w14:paraId="7DFB82FE"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VIŠAK/MANJAK IZ PRETHODNIH GODINA</w:t>
            </w:r>
          </w:p>
        </w:tc>
        <w:tc>
          <w:tcPr>
            <w:tcW w:w="2268" w:type="dxa"/>
            <w:noWrap/>
            <w:hideMark/>
          </w:tcPr>
          <w:p w14:paraId="34DD51D2"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5.000,00</w:t>
            </w:r>
          </w:p>
        </w:tc>
        <w:tc>
          <w:tcPr>
            <w:tcW w:w="1226" w:type="dxa"/>
            <w:noWrap/>
            <w:hideMark/>
          </w:tcPr>
          <w:p w14:paraId="2998AF65"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-4.012,00</w:t>
            </w:r>
          </w:p>
        </w:tc>
        <w:tc>
          <w:tcPr>
            <w:tcW w:w="1237" w:type="dxa"/>
            <w:noWrap/>
            <w:hideMark/>
          </w:tcPr>
          <w:p w14:paraId="618D81D1"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-80.2%</w:t>
            </w:r>
          </w:p>
        </w:tc>
        <w:tc>
          <w:tcPr>
            <w:tcW w:w="1403" w:type="dxa"/>
            <w:noWrap/>
            <w:hideMark/>
          </w:tcPr>
          <w:p w14:paraId="0CBA1DC0"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988,00</w:t>
            </w:r>
          </w:p>
        </w:tc>
      </w:tr>
      <w:tr w:rsidR="007B7808" w:rsidRPr="00E7035D" w14:paraId="45C1B953" w14:textId="77777777" w:rsidTr="007B7808">
        <w:trPr>
          <w:trHeight w:val="255"/>
        </w:trPr>
        <w:tc>
          <w:tcPr>
            <w:tcW w:w="567" w:type="dxa"/>
            <w:noWrap/>
            <w:hideMark/>
          </w:tcPr>
          <w:p w14:paraId="279DF427"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 </w:t>
            </w:r>
          </w:p>
        </w:tc>
        <w:tc>
          <w:tcPr>
            <w:tcW w:w="3403" w:type="dxa"/>
            <w:noWrap/>
            <w:hideMark/>
          </w:tcPr>
          <w:p w14:paraId="71AC4033" w14:textId="77777777" w:rsidR="007B7808" w:rsidRPr="00E7035D" w:rsidRDefault="007B7808" w:rsidP="002815DB">
            <w:pPr>
              <w:jc w:val="both"/>
              <w:rPr>
                <w:rFonts w:ascii="Arial" w:eastAsia="Calibri" w:hAnsi="Arial" w:cs="Arial"/>
                <w:sz w:val="18"/>
                <w:szCs w:val="18"/>
              </w:rPr>
            </w:pPr>
          </w:p>
        </w:tc>
        <w:tc>
          <w:tcPr>
            <w:tcW w:w="2268" w:type="dxa"/>
            <w:noWrap/>
            <w:hideMark/>
          </w:tcPr>
          <w:p w14:paraId="7827E207"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 </w:t>
            </w:r>
          </w:p>
        </w:tc>
        <w:tc>
          <w:tcPr>
            <w:tcW w:w="1226" w:type="dxa"/>
            <w:noWrap/>
            <w:hideMark/>
          </w:tcPr>
          <w:p w14:paraId="2D173056" w14:textId="77777777" w:rsidR="007B7808" w:rsidRPr="00E7035D" w:rsidRDefault="007B7808" w:rsidP="002815DB">
            <w:pPr>
              <w:jc w:val="right"/>
              <w:rPr>
                <w:rFonts w:ascii="Arial" w:eastAsia="Calibri" w:hAnsi="Arial" w:cs="Arial"/>
                <w:sz w:val="18"/>
                <w:szCs w:val="18"/>
              </w:rPr>
            </w:pPr>
          </w:p>
        </w:tc>
        <w:tc>
          <w:tcPr>
            <w:tcW w:w="1237" w:type="dxa"/>
            <w:noWrap/>
            <w:hideMark/>
          </w:tcPr>
          <w:p w14:paraId="6DA62E94"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 </w:t>
            </w:r>
          </w:p>
        </w:tc>
        <w:tc>
          <w:tcPr>
            <w:tcW w:w="1403" w:type="dxa"/>
            <w:noWrap/>
            <w:hideMark/>
          </w:tcPr>
          <w:p w14:paraId="1B55CDB8"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 </w:t>
            </w:r>
          </w:p>
        </w:tc>
      </w:tr>
      <w:tr w:rsidR="007B7808" w:rsidRPr="00E7035D" w14:paraId="163BA28E" w14:textId="77777777" w:rsidTr="007B7808">
        <w:trPr>
          <w:trHeight w:val="525"/>
        </w:trPr>
        <w:tc>
          <w:tcPr>
            <w:tcW w:w="567" w:type="dxa"/>
            <w:shd w:val="clear" w:color="auto" w:fill="D9D9D9" w:themeFill="background1" w:themeFillShade="D9"/>
            <w:noWrap/>
            <w:hideMark/>
          </w:tcPr>
          <w:p w14:paraId="1ACE570B"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 </w:t>
            </w:r>
          </w:p>
        </w:tc>
        <w:tc>
          <w:tcPr>
            <w:tcW w:w="3403" w:type="dxa"/>
            <w:shd w:val="clear" w:color="auto" w:fill="D9D9D9" w:themeFill="background1" w:themeFillShade="D9"/>
            <w:hideMark/>
          </w:tcPr>
          <w:p w14:paraId="78EDF392"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VIŠAK/MANJAK + NETO ZADUŽIVANJA/FINANCIRANJA + RASPOLOŽIVA SREDSTVA IZ PRETHODNIH GODINA</w:t>
            </w:r>
          </w:p>
        </w:tc>
        <w:tc>
          <w:tcPr>
            <w:tcW w:w="2268" w:type="dxa"/>
            <w:shd w:val="clear" w:color="auto" w:fill="D9D9D9" w:themeFill="background1" w:themeFillShade="D9"/>
            <w:noWrap/>
            <w:hideMark/>
          </w:tcPr>
          <w:p w14:paraId="5BA6192E"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5.000,00</w:t>
            </w:r>
          </w:p>
        </w:tc>
        <w:tc>
          <w:tcPr>
            <w:tcW w:w="1226" w:type="dxa"/>
            <w:shd w:val="clear" w:color="auto" w:fill="D9D9D9" w:themeFill="background1" w:themeFillShade="D9"/>
            <w:noWrap/>
            <w:hideMark/>
          </w:tcPr>
          <w:p w14:paraId="0E20DE58"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-4.012,00</w:t>
            </w:r>
          </w:p>
        </w:tc>
        <w:tc>
          <w:tcPr>
            <w:tcW w:w="1237" w:type="dxa"/>
            <w:shd w:val="clear" w:color="auto" w:fill="D9D9D9" w:themeFill="background1" w:themeFillShade="D9"/>
            <w:noWrap/>
            <w:hideMark/>
          </w:tcPr>
          <w:p w14:paraId="1DFE8746"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-80.2%</w:t>
            </w:r>
          </w:p>
        </w:tc>
        <w:tc>
          <w:tcPr>
            <w:tcW w:w="1403" w:type="dxa"/>
            <w:shd w:val="clear" w:color="auto" w:fill="D9D9D9" w:themeFill="background1" w:themeFillShade="D9"/>
            <w:noWrap/>
            <w:hideMark/>
          </w:tcPr>
          <w:p w14:paraId="48984FD6"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988,00</w:t>
            </w:r>
          </w:p>
        </w:tc>
      </w:tr>
    </w:tbl>
    <w:p w14:paraId="08D7E4F3" w14:textId="77777777" w:rsidR="007B7808" w:rsidRPr="00E7035D" w:rsidRDefault="007B7808" w:rsidP="007B7808">
      <w:pPr>
        <w:jc w:val="both"/>
        <w:rPr>
          <w:rFonts w:ascii="Arial" w:eastAsia="Calibri" w:hAnsi="Arial" w:cs="Arial"/>
          <w:sz w:val="18"/>
          <w:szCs w:val="18"/>
        </w:rPr>
      </w:pPr>
    </w:p>
    <w:p w14:paraId="5D76FD11" w14:textId="77777777" w:rsidR="007B7808" w:rsidRPr="000A40FE" w:rsidRDefault="007B7808" w:rsidP="007B7808">
      <w:pPr>
        <w:jc w:val="both"/>
        <w:rPr>
          <w:rFonts w:ascii="Arial" w:eastAsia="Calibri" w:hAnsi="Arial" w:cs="Arial"/>
          <w:sz w:val="16"/>
          <w:szCs w:val="16"/>
        </w:rPr>
      </w:pPr>
    </w:p>
    <w:p w14:paraId="38D75742" w14:textId="77777777" w:rsidR="007B7808" w:rsidRDefault="007B7808" w:rsidP="007B7808">
      <w:pPr>
        <w:jc w:val="both"/>
        <w:rPr>
          <w:rFonts w:ascii="Arial" w:eastAsia="Calibri" w:hAnsi="Arial" w:cs="Arial"/>
          <w:sz w:val="22"/>
        </w:rPr>
      </w:pPr>
      <w:r>
        <w:rPr>
          <w:rFonts w:ascii="Arial" w:eastAsia="Calibri" w:hAnsi="Arial" w:cs="Arial"/>
          <w:sz w:val="22"/>
        </w:rPr>
        <w:t>Tablica 2. Opći dio analitika</w:t>
      </w:r>
    </w:p>
    <w:tbl>
      <w:tblPr>
        <w:tblStyle w:val="Reetkatablice"/>
        <w:tblW w:w="10318" w:type="dxa"/>
        <w:tblInd w:w="-601" w:type="dxa"/>
        <w:tblLook w:val="04A0" w:firstRow="1" w:lastRow="0" w:firstColumn="1" w:lastColumn="0" w:noHBand="0" w:noVBand="1"/>
      </w:tblPr>
      <w:tblGrid>
        <w:gridCol w:w="1386"/>
        <w:gridCol w:w="3672"/>
        <w:gridCol w:w="1286"/>
        <w:gridCol w:w="1185"/>
        <w:gridCol w:w="1237"/>
        <w:gridCol w:w="1552"/>
      </w:tblGrid>
      <w:tr w:rsidR="007B7808" w:rsidRPr="000A40FE" w14:paraId="76D2D2B5" w14:textId="77777777" w:rsidTr="007B7808">
        <w:trPr>
          <w:trHeight w:val="690"/>
        </w:trPr>
        <w:tc>
          <w:tcPr>
            <w:tcW w:w="1386" w:type="dxa"/>
            <w:shd w:val="clear" w:color="auto" w:fill="BFBFBF" w:themeFill="background1" w:themeFillShade="BF"/>
            <w:hideMark/>
          </w:tcPr>
          <w:p w14:paraId="56750AFD" w14:textId="77777777" w:rsidR="007B7808" w:rsidRPr="00E7035D" w:rsidRDefault="007B7808" w:rsidP="002815DB">
            <w:pPr>
              <w:jc w:val="center"/>
              <w:rPr>
                <w:rFonts w:ascii="Arial" w:eastAsia="Calibri" w:hAnsi="Arial" w:cs="Arial"/>
                <w:b/>
                <w:bCs/>
                <w:sz w:val="18"/>
                <w:szCs w:val="18"/>
              </w:rPr>
            </w:pPr>
            <w:r w:rsidRPr="00E7035D">
              <w:rPr>
                <w:rFonts w:ascii="Arial" w:eastAsia="Calibri" w:hAnsi="Arial" w:cs="Arial"/>
                <w:b/>
                <w:bCs/>
                <w:sz w:val="18"/>
                <w:szCs w:val="18"/>
              </w:rPr>
              <w:t xml:space="preserve">BROJ </w:t>
            </w:r>
            <w:r w:rsidRPr="00E7035D">
              <w:rPr>
                <w:rFonts w:ascii="Arial" w:eastAsia="Calibri" w:hAnsi="Arial" w:cs="Arial"/>
                <w:b/>
                <w:bCs/>
                <w:sz w:val="18"/>
                <w:szCs w:val="18"/>
              </w:rPr>
              <w:br/>
              <w:t>KONTA</w:t>
            </w:r>
          </w:p>
        </w:tc>
        <w:tc>
          <w:tcPr>
            <w:tcW w:w="3672" w:type="dxa"/>
            <w:shd w:val="clear" w:color="auto" w:fill="BFBFBF" w:themeFill="background1" w:themeFillShade="BF"/>
            <w:hideMark/>
          </w:tcPr>
          <w:p w14:paraId="63335CFB" w14:textId="77777777" w:rsidR="007B7808" w:rsidRPr="00E7035D" w:rsidRDefault="007B7808" w:rsidP="002815DB">
            <w:pPr>
              <w:jc w:val="center"/>
              <w:rPr>
                <w:rFonts w:ascii="Arial" w:eastAsia="Calibri" w:hAnsi="Arial" w:cs="Arial"/>
                <w:b/>
                <w:bCs/>
                <w:sz w:val="18"/>
                <w:szCs w:val="18"/>
              </w:rPr>
            </w:pPr>
          </w:p>
          <w:p w14:paraId="4482F78E" w14:textId="77777777" w:rsidR="007B7808" w:rsidRPr="00E7035D" w:rsidRDefault="007B7808" w:rsidP="002815DB">
            <w:pPr>
              <w:jc w:val="center"/>
              <w:rPr>
                <w:rFonts w:ascii="Arial" w:eastAsia="Calibri" w:hAnsi="Arial" w:cs="Arial"/>
                <w:b/>
                <w:bCs/>
                <w:sz w:val="18"/>
                <w:szCs w:val="18"/>
              </w:rPr>
            </w:pPr>
            <w:r w:rsidRPr="00E7035D">
              <w:rPr>
                <w:rFonts w:ascii="Arial" w:eastAsia="Calibri" w:hAnsi="Arial" w:cs="Arial"/>
                <w:b/>
                <w:bCs/>
                <w:sz w:val="18"/>
                <w:szCs w:val="18"/>
              </w:rPr>
              <w:t>VRSTA PRIHODA / RASHODA</w:t>
            </w:r>
          </w:p>
        </w:tc>
        <w:tc>
          <w:tcPr>
            <w:tcW w:w="1286" w:type="dxa"/>
            <w:shd w:val="clear" w:color="auto" w:fill="BFBFBF" w:themeFill="background1" w:themeFillShade="BF"/>
            <w:hideMark/>
          </w:tcPr>
          <w:p w14:paraId="6F5FCB6A" w14:textId="77777777" w:rsidR="007B7808" w:rsidRPr="00E7035D" w:rsidRDefault="007B7808" w:rsidP="002815DB">
            <w:pPr>
              <w:jc w:val="center"/>
              <w:rPr>
                <w:rFonts w:ascii="Arial" w:eastAsia="Calibri" w:hAnsi="Arial" w:cs="Arial"/>
                <w:b/>
                <w:bCs/>
                <w:sz w:val="18"/>
                <w:szCs w:val="18"/>
              </w:rPr>
            </w:pPr>
          </w:p>
          <w:p w14:paraId="490B90A0" w14:textId="77777777" w:rsidR="007B7808" w:rsidRPr="00E7035D" w:rsidRDefault="007B7808" w:rsidP="002815DB">
            <w:pPr>
              <w:jc w:val="center"/>
              <w:rPr>
                <w:rFonts w:ascii="Arial" w:eastAsia="Calibri" w:hAnsi="Arial" w:cs="Arial"/>
                <w:b/>
                <w:bCs/>
                <w:sz w:val="18"/>
                <w:szCs w:val="18"/>
              </w:rPr>
            </w:pPr>
            <w:r w:rsidRPr="00E7035D">
              <w:rPr>
                <w:rFonts w:ascii="Arial" w:eastAsia="Calibri" w:hAnsi="Arial" w:cs="Arial"/>
                <w:b/>
                <w:bCs/>
                <w:sz w:val="18"/>
                <w:szCs w:val="18"/>
              </w:rPr>
              <w:t>PLANIRANO</w:t>
            </w:r>
          </w:p>
        </w:tc>
        <w:tc>
          <w:tcPr>
            <w:tcW w:w="1185" w:type="dxa"/>
            <w:shd w:val="clear" w:color="auto" w:fill="BFBFBF" w:themeFill="background1" w:themeFillShade="BF"/>
            <w:hideMark/>
          </w:tcPr>
          <w:p w14:paraId="5BB83259" w14:textId="77777777" w:rsidR="007B7808" w:rsidRPr="00E7035D" w:rsidRDefault="007B7808" w:rsidP="002815DB">
            <w:pPr>
              <w:jc w:val="center"/>
              <w:rPr>
                <w:rFonts w:ascii="Arial" w:eastAsia="Calibri" w:hAnsi="Arial" w:cs="Arial"/>
                <w:b/>
                <w:bCs/>
                <w:sz w:val="18"/>
                <w:szCs w:val="18"/>
              </w:rPr>
            </w:pPr>
          </w:p>
          <w:p w14:paraId="44707392" w14:textId="77777777" w:rsidR="007B7808" w:rsidRPr="00E7035D" w:rsidRDefault="007B7808" w:rsidP="002815DB">
            <w:pPr>
              <w:jc w:val="center"/>
              <w:rPr>
                <w:rFonts w:ascii="Arial" w:eastAsia="Calibri" w:hAnsi="Arial" w:cs="Arial"/>
                <w:b/>
                <w:bCs/>
                <w:sz w:val="18"/>
                <w:szCs w:val="18"/>
              </w:rPr>
            </w:pPr>
            <w:r w:rsidRPr="00E7035D">
              <w:rPr>
                <w:rFonts w:ascii="Arial" w:eastAsia="Calibri" w:hAnsi="Arial" w:cs="Arial"/>
                <w:b/>
                <w:bCs/>
                <w:sz w:val="18"/>
                <w:szCs w:val="18"/>
              </w:rPr>
              <w:t>IZNOS</w:t>
            </w:r>
          </w:p>
        </w:tc>
        <w:tc>
          <w:tcPr>
            <w:tcW w:w="1237" w:type="dxa"/>
            <w:shd w:val="clear" w:color="auto" w:fill="BFBFBF" w:themeFill="background1" w:themeFillShade="BF"/>
            <w:hideMark/>
          </w:tcPr>
          <w:p w14:paraId="290E8FD1" w14:textId="77777777" w:rsidR="007B7808" w:rsidRPr="00E7035D" w:rsidRDefault="007B7808" w:rsidP="002815DB">
            <w:pPr>
              <w:jc w:val="center"/>
              <w:rPr>
                <w:rFonts w:ascii="Arial" w:eastAsia="Calibri" w:hAnsi="Arial" w:cs="Arial"/>
                <w:b/>
                <w:bCs/>
                <w:sz w:val="18"/>
                <w:szCs w:val="18"/>
              </w:rPr>
            </w:pPr>
            <w:r w:rsidRPr="00E7035D">
              <w:rPr>
                <w:rFonts w:ascii="Arial" w:eastAsia="Calibri" w:hAnsi="Arial" w:cs="Arial"/>
                <w:b/>
                <w:bCs/>
                <w:sz w:val="18"/>
                <w:szCs w:val="18"/>
              </w:rPr>
              <w:t xml:space="preserve">PROMJENA </w:t>
            </w:r>
            <w:r w:rsidRPr="00E7035D">
              <w:rPr>
                <w:rFonts w:ascii="Arial" w:eastAsia="Calibri" w:hAnsi="Arial" w:cs="Arial"/>
                <w:b/>
                <w:bCs/>
                <w:sz w:val="18"/>
                <w:szCs w:val="18"/>
              </w:rPr>
              <w:br/>
              <w:t>POSTOTAK</w:t>
            </w:r>
          </w:p>
        </w:tc>
        <w:tc>
          <w:tcPr>
            <w:tcW w:w="1552" w:type="dxa"/>
            <w:shd w:val="clear" w:color="auto" w:fill="BFBFBF" w:themeFill="background1" w:themeFillShade="BF"/>
            <w:hideMark/>
          </w:tcPr>
          <w:p w14:paraId="2EB00E5B" w14:textId="77777777" w:rsidR="007B7808" w:rsidRPr="00E7035D" w:rsidRDefault="007B7808" w:rsidP="002815DB">
            <w:pPr>
              <w:jc w:val="center"/>
              <w:rPr>
                <w:rFonts w:ascii="Arial" w:eastAsia="Calibri" w:hAnsi="Arial" w:cs="Arial"/>
                <w:b/>
                <w:bCs/>
                <w:sz w:val="18"/>
                <w:szCs w:val="18"/>
              </w:rPr>
            </w:pPr>
          </w:p>
          <w:p w14:paraId="33239333" w14:textId="77777777" w:rsidR="007B7808" w:rsidRPr="00E7035D" w:rsidRDefault="007B7808" w:rsidP="002815DB">
            <w:pPr>
              <w:jc w:val="center"/>
              <w:rPr>
                <w:rFonts w:ascii="Arial" w:eastAsia="Calibri" w:hAnsi="Arial" w:cs="Arial"/>
                <w:b/>
                <w:bCs/>
                <w:sz w:val="18"/>
                <w:szCs w:val="18"/>
              </w:rPr>
            </w:pPr>
            <w:r w:rsidRPr="00E7035D">
              <w:rPr>
                <w:rFonts w:ascii="Arial" w:eastAsia="Calibri" w:hAnsi="Arial" w:cs="Arial"/>
                <w:b/>
                <w:bCs/>
                <w:sz w:val="18"/>
                <w:szCs w:val="18"/>
              </w:rPr>
              <w:t>NOVI IZNOS</w:t>
            </w:r>
          </w:p>
        </w:tc>
      </w:tr>
      <w:tr w:rsidR="007B7808" w:rsidRPr="000A40FE" w14:paraId="09660AFB" w14:textId="77777777" w:rsidTr="007B7808">
        <w:trPr>
          <w:trHeight w:val="270"/>
        </w:trPr>
        <w:tc>
          <w:tcPr>
            <w:tcW w:w="10318" w:type="dxa"/>
            <w:gridSpan w:val="6"/>
            <w:shd w:val="clear" w:color="auto" w:fill="D9D9D9" w:themeFill="background1" w:themeFillShade="D9"/>
            <w:noWrap/>
            <w:hideMark/>
          </w:tcPr>
          <w:p w14:paraId="10EA5907" w14:textId="77777777" w:rsidR="007B7808" w:rsidRPr="00E7035D" w:rsidRDefault="007B7808" w:rsidP="002815DB">
            <w:pPr>
              <w:jc w:val="both"/>
              <w:rPr>
                <w:rFonts w:ascii="Arial" w:eastAsia="Calibri" w:hAnsi="Arial" w:cs="Arial"/>
                <w:b/>
                <w:bCs/>
                <w:sz w:val="18"/>
                <w:szCs w:val="18"/>
              </w:rPr>
            </w:pPr>
            <w:bookmarkStart w:id="41" w:name="_Hlk202335025"/>
            <w:r w:rsidRPr="00E7035D">
              <w:rPr>
                <w:rFonts w:ascii="Arial" w:eastAsia="Calibri" w:hAnsi="Arial" w:cs="Arial"/>
                <w:b/>
                <w:bCs/>
                <w:sz w:val="18"/>
                <w:szCs w:val="18"/>
              </w:rPr>
              <w:t xml:space="preserve">A. RAČUN PRIHODA </w:t>
            </w:r>
          </w:p>
        </w:tc>
      </w:tr>
      <w:bookmarkEnd w:id="41"/>
      <w:tr w:rsidR="007B7808" w:rsidRPr="000A40FE" w14:paraId="25180520" w14:textId="77777777" w:rsidTr="007B7808">
        <w:trPr>
          <w:trHeight w:val="255"/>
        </w:trPr>
        <w:tc>
          <w:tcPr>
            <w:tcW w:w="1386" w:type="dxa"/>
            <w:shd w:val="clear" w:color="auto" w:fill="F2F2F2" w:themeFill="background1" w:themeFillShade="F2"/>
            <w:noWrap/>
            <w:hideMark/>
          </w:tcPr>
          <w:p w14:paraId="2AC003D2"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6</w:t>
            </w:r>
          </w:p>
        </w:tc>
        <w:tc>
          <w:tcPr>
            <w:tcW w:w="3672" w:type="dxa"/>
            <w:shd w:val="clear" w:color="auto" w:fill="F2F2F2" w:themeFill="background1" w:themeFillShade="F2"/>
            <w:noWrap/>
            <w:hideMark/>
          </w:tcPr>
          <w:p w14:paraId="235F5174"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Prihodi poslovanja</w:t>
            </w:r>
          </w:p>
        </w:tc>
        <w:tc>
          <w:tcPr>
            <w:tcW w:w="1286" w:type="dxa"/>
            <w:shd w:val="clear" w:color="auto" w:fill="F2F2F2" w:themeFill="background1" w:themeFillShade="F2"/>
            <w:noWrap/>
            <w:hideMark/>
          </w:tcPr>
          <w:p w14:paraId="1AC49188"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2.803.091,00</w:t>
            </w:r>
          </w:p>
        </w:tc>
        <w:tc>
          <w:tcPr>
            <w:tcW w:w="1185" w:type="dxa"/>
            <w:shd w:val="clear" w:color="auto" w:fill="F2F2F2" w:themeFill="background1" w:themeFillShade="F2"/>
            <w:noWrap/>
            <w:hideMark/>
          </w:tcPr>
          <w:p w14:paraId="020FBF57"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147.</w:t>
            </w:r>
            <w:r>
              <w:rPr>
                <w:rFonts w:ascii="Arial" w:eastAsia="Calibri" w:hAnsi="Arial" w:cs="Arial"/>
                <w:b/>
                <w:bCs/>
                <w:sz w:val="18"/>
                <w:szCs w:val="18"/>
              </w:rPr>
              <w:t>934</w:t>
            </w:r>
            <w:r w:rsidRPr="00E7035D">
              <w:rPr>
                <w:rFonts w:ascii="Arial" w:eastAsia="Calibri" w:hAnsi="Arial" w:cs="Arial"/>
                <w:b/>
                <w:bCs/>
                <w:sz w:val="18"/>
                <w:szCs w:val="18"/>
              </w:rPr>
              <w:t>,00</w:t>
            </w:r>
          </w:p>
        </w:tc>
        <w:tc>
          <w:tcPr>
            <w:tcW w:w="1237" w:type="dxa"/>
            <w:shd w:val="clear" w:color="auto" w:fill="F2F2F2" w:themeFill="background1" w:themeFillShade="F2"/>
            <w:noWrap/>
            <w:hideMark/>
          </w:tcPr>
          <w:p w14:paraId="312C112C"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5.</w:t>
            </w:r>
            <w:r>
              <w:rPr>
                <w:rFonts w:ascii="Arial" w:eastAsia="Calibri" w:hAnsi="Arial" w:cs="Arial"/>
                <w:b/>
                <w:bCs/>
                <w:sz w:val="18"/>
                <w:szCs w:val="18"/>
              </w:rPr>
              <w:t>6</w:t>
            </w:r>
            <w:r w:rsidRPr="00E7035D">
              <w:rPr>
                <w:rFonts w:ascii="Arial" w:eastAsia="Calibri" w:hAnsi="Arial" w:cs="Arial"/>
                <w:b/>
                <w:bCs/>
                <w:sz w:val="18"/>
                <w:szCs w:val="18"/>
              </w:rPr>
              <w:t>0%</w:t>
            </w:r>
          </w:p>
        </w:tc>
        <w:tc>
          <w:tcPr>
            <w:tcW w:w="1552" w:type="dxa"/>
            <w:shd w:val="clear" w:color="auto" w:fill="F2F2F2" w:themeFill="background1" w:themeFillShade="F2"/>
            <w:noWrap/>
            <w:hideMark/>
          </w:tcPr>
          <w:p w14:paraId="029B910B" w14:textId="77777777" w:rsidR="007B7808" w:rsidRPr="00E7035D" w:rsidRDefault="007B7808" w:rsidP="002815DB">
            <w:pPr>
              <w:jc w:val="right"/>
              <w:rPr>
                <w:rFonts w:ascii="Arial" w:eastAsia="Calibri" w:hAnsi="Arial" w:cs="Arial"/>
                <w:b/>
                <w:bCs/>
                <w:sz w:val="18"/>
                <w:szCs w:val="18"/>
              </w:rPr>
            </w:pPr>
            <w:r>
              <w:rPr>
                <w:rFonts w:ascii="Arial" w:eastAsia="Calibri" w:hAnsi="Arial" w:cs="Arial"/>
                <w:b/>
                <w:bCs/>
                <w:sz w:val="18"/>
                <w:szCs w:val="18"/>
              </w:rPr>
              <w:t>2.951.025,00</w:t>
            </w:r>
          </w:p>
        </w:tc>
      </w:tr>
      <w:tr w:rsidR="007B7808" w:rsidRPr="000A40FE" w14:paraId="77F01FFD" w14:textId="77777777" w:rsidTr="007B7808">
        <w:trPr>
          <w:trHeight w:val="255"/>
        </w:trPr>
        <w:tc>
          <w:tcPr>
            <w:tcW w:w="1386" w:type="dxa"/>
            <w:noWrap/>
            <w:hideMark/>
          </w:tcPr>
          <w:p w14:paraId="258963F6"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63</w:t>
            </w:r>
          </w:p>
        </w:tc>
        <w:tc>
          <w:tcPr>
            <w:tcW w:w="3672" w:type="dxa"/>
            <w:noWrap/>
            <w:hideMark/>
          </w:tcPr>
          <w:p w14:paraId="22CC9BDA"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Pomoći iz inozemstva i od subjekata unutar općeg proračuna</w:t>
            </w:r>
          </w:p>
        </w:tc>
        <w:tc>
          <w:tcPr>
            <w:tcW w:w="1286" w:type="dxa"/>
            <w:noWrap/>
            <w:hideMark/>
          </w:tcPr>
          <w:p w14:paraId="1E83B89D"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2.212.317,00</w:t>
            </w:r>
          </w:p>
        </w:tc>
        <w:tc>
          <w:tcPr>
            <w:tcW w:w="1185" w:type="dxa"/>
            <w:noWrap/>
            <w:hideMark/>
          </w:tcPr>
          <w:p w14:paraId="3E4E1E46"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86.764,00</w:t>
            </w:r>
          </w:p>
        </w:tc>
        <w:tc>
          <w:tcPr>
            <w:tcW w:w="1237" w:type="dxa"/>
            <w:noWrap/>
            <w:hideMark/>
          </w:tcPr>
          <w:p w14:paraId="55EC48F5"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3.9%</w:t>
            </w:r>
          </w:p>
        </w:tc>
        <w:tc>
          <w:tcPr>
            <w:tcW w:w="1552" w:type="dxa"/>
            <w:noWrap/>
            <w:hideMark/>
          </w:tcPr>
          <w:p w14:paraId="64B7BD90"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2.299.081,00</w:t>
            </w:r>
          </w:p>
        </w:tc>
      </w:tr>
      <w:tr w:rsidR="007B7808" w:rsidRPr="000A40FE" w14:paraId="3380D188" w14:textId="77777777" w:rsidTr="007B7808">
        <w:trPr>
          <w:trHeight w:val="255"/>
        </w:trPr>
        <w:tc>
          <w:tcPr>
            <w:tcW w:w="1386" w:type="dxa"/>
            <w:noWrap/>
            <w:hideMark/>
          </w:tcPr>
          <w:p w14:paraId="52083594"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65</w:t>
            </w:r>
          </w:p>
        </w:tc>
        <w:tc>
          <w:tcPr>
            <w:tcW w:w="3672" w:type="dxa"/>
            <w:noWrap/>
            <w:hideMark/>
          </w:tcPr>
          <w:p w14:paraId="1FFC5498"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Prihodi od upravnih i administrativnih pristojbi, pristojbi po posebnim propisima i naknada</w:t>
            </w:r>
          </w:p>
        </w:tc>
        <w:tc>
          <w:tcPr>
            <w:tcW w:w="1286" w:type="dxa"/>
            <w:noWrap/>
            <w:hideMark/>
          </w:tcPr>
          <w:p w14:paraId="2E461F4A"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129.080,00</w:t>
            </w:r>
          </w:p>
        </w:tc>
        <w:tc>
          <w:tcPr>
            <w:tcW w:w="1185" w:type="dxa"/>
            <w:noWrap/>
            <w:hideMark/>
          </w:tcPr>
          <w:p w14:paraId="532B2C14"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2.160,00</w:t>
            </w:r>
          </w:p>
        </w:tc>
        <w:tc>
          <w:tcPr>
            <w:tcW w:w="1237" w:type="dxa"/>
            <w:noWrap/>
            <w:hideMark/>
          </w:tcPr>
          <w:p w14:paraId="3A46DF12"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1.7%</w:t>
            </w:r>
          </w:p>
        </w:tc>
        <w:tc>
          <w:tcPr>
            <w:tcW w:w="1552" w:type="dxa"/>
            <w:noWrap/>
            <w:hideMark/>
          </w:tcPr>
          <w:p w14:paraId="4BE88D48"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131.240,00</w:t>
            </w:r>
          </w:p>
        </w:tc>
      </w:tr>
      <w:tr w:rsidR="007B7808" w:rsidRPr="000A40FE" w14:paraId="51D6A617" w14:textId="77777777" w:rsidTr="007B7808">
        <w:trPr>
          <w:trHeight w:val="255"/>
        </w:trPr>
        <w:tc>
          <w:tcPr>
            <w:tcW w:w="1386" w:type="dxa"/>
            <w:noWrap/>
            <w:hideMark/>
          </w:tcPr>
          <w:p w14:paraId="6FF32818"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66</w:t>
            </w:r>
          </w:p>
        </w:tc>
        <w:tc>
          <w:tcPr>
            <w:tcW w:w="3672" w:type="dxa"/>
            <w:noWrap/>
            <w:hideMark/>
          </w:tcPr>
          <w:p w14:paraId="5E560AD1"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Prihodi od prodaje proizvoda i robe te pruženih usluga, prihodi od donacija te povrati po protestira</w:t>
            </w:r>
          </w:p>
        </w:tc>
        <w:tc>
          <w:tcPr>
            <w:tcW w:w="1286" w:type="dxa"/>
            <w:noWrap/>
            <w:hideMark/>
          </w:tcPr>
          <w:p w14:paraId="25E9D58F"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4.500,00</w:t>
            </w:r>
          </w:p>
        </w:tc>
        <w:tc>
          <w:tcPr>
            <w:tcW w:w="1185" w:type="dxa"/>
            <w:noWrap/>
            <w:hideMark/>
          </w:tcPr>
          <w:p w14:paraId="16B29C6E"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2.000,00</w:t>
            </w:r>
          </w:p>
        </w:tc>
        <w:tc>
          <w:tcPr>
            <w:tcW w:w="1237" w:type="dxa"/>
            <w:noWrap/>
            <w:hideMark/>
          </w:tcPr>
          <w:p w14:paraId="5D27D464"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44.4%</w:t>
            </w:r>
          </w:p>
        </w:tc>
        <w:tc>
          <w:tcPr>
            <w:tcW w:w="1552" w:type="dxa"/>
            <w:noWrap/>
            <w:hideMark/>
          </w:tcPr>
          <w:p w14:paraId="5C0BF584"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6.500,00</w:t>
            </w:r>
          </w:p>
        </w:tc>
      </w:tr>
      <w:tr w:rsidR="007B7808" w:rsidRPr="000A40FE" w14:paraId="1BF9E5AD" w14:textId="77777777" w:rsidTr="007B7808">
        <w:trPr>
          <w:trHeight w:val="255"/>
        </w:trPr>
        <w:tc>
          <w:tcPr>
            <w:tcW w:w="1386" w:type="dxa"/>
            <w:tcBorders>
              <w:bottom w:val="nil"/>
            </w:tcBorders>
            <w:noWrap/>
            <w:hideMark/>
          </w:tcPr>
          <w:p w14:paraId="32AE91BB"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67</w:t>
            </w:r>
          </w:p>
        </w:tc>
        <w:tc>
          <w:tcPr>
            <w:tcW w:w="3672" w:type="dxa"/>
            <w:tcBorders>
              <w:bottom w:val="nil"/>
            </w:tcBorders>
            <w:noWrap/>
            <w:hideMark/>
          </w:tcPr>
          <w:p w14:paraId="6E197072"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Prihodi iz nadležnog proračuna i od HZZO-a temeljem ugovornih obveza</w:t>
            </w:r>
          </w:p>
        </w:tc>
        <w:tc>
          <w:tcPr>
            <w:tcW w:w="1286" w:type="dxa"/>
            <w:tcBorders>
              <w:bottom w:val="nil"/>
            </w:tcBorders>
            <w:noWrap/>
            <w:hideMark/>
          </w:tcPr>
          <w:p w14:paraId="60FBCA7C"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457.194,00</w:t>
            </w:r>
          </w:p>
        </w:tc>
        <w:tc>
          <w:tcPr>
            <w:tcW w:w="1185" w:type="dxa"/>
            <w:tcBorders>
              <w:bottom w:val="nil"/>
            </w:tcBorders>
            <w:noWrap/>
            <w:hideMark/>
          </w:tcPr>
          <w:p w14:paraId="3693E7AA" w14:textId="77777777" w:rsidR="007B7808" w:rsidRPr="00E7035D" w:rsidRDefault="007B7808" w:rsidP="002815DB">
            <w:pPr>
              <w:jc w:val="right"/>
              <w:rPr>
                <w:rFonts w:ascii="Arial" w:eastAsia="Calibri" w:hAnsi="Arial" w:cs="Arial"/>
                <w:sz w:val="18"/>
                <w:szCs w:val="18"/>
              </w:rPr>
            </w:pPr>
            <w:r>
              <w:rPr>
                <w:rFonts w:ascii="Arial" w:eastAsia="Calibri" w:hAnsi="Arial" w:cs="Arial"/>
                <w:sz w:val="18"/>
                <w:szCs w:val="18"/>
              </w:rPr>
              <w:t>57.010,00</w:t>
            </w:r>
          </w:p>
        </w:tc>
        <w:tc>
          <w:tcPr>
            <w:tcW w:w="1237" w:type="dxa"/>
            <w:tcBorders>
              <w:bottom w:val="nil"/>
            </w:tcBorders>
            <w:noWrap/>
            <w:hideMark/>
          </w:tcPr>
          <w:p w14:paraId="632B3ED2"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12,</w:t>
            </w:r>
            <w:r>
              <w:rPr>
                <w:rFonts w:ascii="Arial" w:eastAsia="Calibri" w:hAnsi="Arial" w:cs="Arial"/>
                <w:sz w:val="18"/>
                <w:szCs w:val="18"/>
              </w:rPr>
              <w:t>46</w:t>
            </w:r>
            <w:r w:rsidRPr="00E7035D">
              <w:rPr>
                <w:rFonts w:ascii="Arial" w:eastAsia="Calibri" w:hAnsi="Arial" w:cs="Arial"/>
                <w:sz w:val="18"/>
                <w:szCs w:val="18"/>
              </w:rPr>
              <w:t>%</w:t>
            </w:r>
          </w:p>
        </w:tc>
        <w:tc>
          <w:tcPr>
            <w:tcW w:w="1552" w:type="dxa"/>
            <w:tcBorders>
              <w:bottom w:val="nil"/>
            </w:tcBorders>
            <w:noWrap/>
            <w:hideMark/>
          </w:tcPr>
          <w:p w14:paraId="0D15E4DF" w14:textId="77777777" w:rsidR="007B7808" w:rsidRPr="00E7035D" w:rsidRDefault="007B7808" w:rsidP="002815DB">
            <w:pPr>
              <w:jc w:val="right"/>
              <w:rPr>
                <w:rFonts w:ascii="Arial" w:eastAsia="Calibri" w:hAnsi="Arial" w:cs="Arial"/>
                <w:sz w:val="18"/>
                <w:szCs w:val="18"/>
              </w:rPr>
            </w:pPr>
            <w:r>
              <w:rPr>
                <w:rFonts w:ascii="Arial" w:eastAsia="Calibri" w:hAnsi="Arial" w:cs="Arial"/>
                <w:sz w:val="18"/>
                <w:szCs w:val="18"/>
              </w:rPr>
              <w:t>514.204,</w:t>
            </w:r>
            <w:r w:rsidRPr="00E7035D">
              <w:rPr>
                <w:rFonts w:ascii="Arial" w:eastAsia="Calibri" w:hAnsi="Arial" w:cs="Arial"/>
                <w:sz w:val="18"/>
                <w:szCs w:val="18"/>
              </w:rPr>
              <w:t>00</w:t>
            </w:r>
          </w:p>
        </w:tc>
      </w:tr>
      <w:tr w:rsidR="007B7808" w:rsidRPr="000A40FE" w14:paraId="08547EB8" w14:textId="77777777" w:rsidTr="007B7808">
        <w:trPr>
          <w:trHeight w:val="270"/>
        </w:trPr>
        <w:tc>
          <w:tcPr>
            <w:tcW w:w="10318" w:type="dxa"/>
            <w:gridSpan w:val="6"/>
            <w:shd w:val="clear" w:color="auto" w:fill="D9D9D9" w:themeFill="background1" w:themeFillShade="D9"/>
            <w:noWrap/>
            <w:hideMark/>
          </w:tcPr>
          <w:p w14:paraId="5CECED32"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B.  RAČUN RASHODA</w:t>
            </w:r>
          </w:p>
        </w:tc>
      </w:tr>
      <w:tr w:rsidR="007B7808" w:rsidRPr="000A40FE" w14:paraId="4A48D575" w14:textId="77777777" w:rsidTr="007B7808">
        <w:trPr>
          <w:trHeight w:val="255"/>
        </w:trPr>
        <w:tc>
          <w:tcPr>
            <w:tcW w:w="1386" w:type="dxa"/>
            <w:tcBorders>
              <w:top w:val="nil"/>
            </w:tcBorders>
            <w:shd w:val="clear" w:color="auto" w:fill="F2F2F2" w:themeFill="background1" w:themeFillShade="F2"/>
            <w:noWrap/>
            <w:hideMark/>
          </w:tcPr>
          <w:p w14:paraId="3D3FF30E"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3</w:t>
            </w:r>
          </w:p>
        </w:tc>
        <w:tc>
          <w:tcPr>
            <w:tcW w:w="3672" w:type="dxa"/>
            <w:tcBorders>
              <w:top w:val="nil"/>
            </w:tcBorders>
            <w:shd w:val="clear" w:color="auto" w:fill="F2F2F2" w:themeFill="background1" w:themeFillShade="F2"/>
            <w:noWrap/>
            <w:hideMark/>
          </w:tcPr>
          <w:p w14:paraId="595C452A"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Rashodi poslovanja</w:t>
            </w:r>
          </w:p>
        </w:tc>
        <w:tc>
          <w:tcPr>
            <w:tcW w:w="1286" w:type="dxa"/>
            <w:tcBorders>
              <w:top w:val="nil"/>
            </w:tcBorders>
            <w:shd w:val="clear" w:color="auto" w:fill="F2F2F2" w:themeFill="background1" w:themeFillShade="F2"/>
            <w:noWrap/>
            <w:hideMark/>
          </w:tcPr>
          <w:p w14:paraId="43D6375F"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2.695.149,00</w:t>
            </w:r>
          </w:p>
        </w:tc>
        <w:tc>
          <w:tcPr>
            <w:tcW w:w="1185" w:type="dxa"/>
            <w:tcBorders>
              <w:top w:val="nil"/>
            </w:tcBorders>
            <w:shd w:val="clear" w:color="auto" w:fill="F2F2F2" w:themeFill="background1" w:themeFillShade="F2"/>
            <w:noWrap/>
            <w:hideMark/>
          </w:tcPr>
          <w:p w14:paraId="0C170C8F"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151.962,00</w:t>
            </w:r>
          </w:p>
        </w:tc>
        <w:tc>
          <w:tcPr>
            <w:tcW w:w="1237" w:type="dxa"/>
            <w:tcBorders>
              <w:top w:val="nil"/>
            </w:tcBorders>
            <w:shd w:val="clear" w:color="auto" w:fill="F2F2F2" w:themeFill="background1" w:themeFillShade="F2"/>
            <w:noWrap/>
            <w:hideMark/>
          </w:tcPr>
          <w:p w14:paraId="6B4983A4"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5.</w:t>
            </w:r>
            <w:r>
              <w:rPr>
                <w:rFonts w:ascii="Arial" w:eastAsia="Calibri" w:hAnsi="Arial" w:cs="Arial"/>
                <w:b/>
                <w:bCs/>
                <w:sz w:val="18"/>
                <w:szCs w:val="18"/>
              </w:rPr>
              <w:t>0</w:t>
            </w:r>
            <w:r w:rsidRPr="00E7035D">
              <w:rPr>
                <w:rFonts w:ascii="Arial" w:eastAsia="Calibri" w:hAnsi="Arial" w:cs="Arial"/>
                <w:b/>
                <w:bCs/>
                <w:sz w:val="18"/>
                <w:szCs w:val="18"/>
              </w:rPr>
              <w:t>%</w:t>
            </w:r>
          </w:p>
        </w:tc>
        <w:tc>
          <w:tcPr>
            <w:tcW w:w="1552" w:type="dxa"/>
            <w:tcBorders>
              <w:top w:val="nil"/>
            </w:tcBorders>
            <w:shd w:val="clear" w:color="auto" w:fill="F2F2F2" w:themeFill="background1" w:themeFillShade="F2"/>
            <w:noWrap/>
            <w:hideMark/>
          </w:tcPr>
          <w:p w14:paraId="7E4C2588"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2.847.</w:t>
            </w:r>
            <w:r>
              <w:rPr>
                <w:rFonts w:ascii="Arial" w:eastAsia="Calibri" w:hAnsi="Arial" w:cs="Arial"/>
                <w:b/>
                <w:bCs/>
                <w:sz w:val="18"/>
                <w:szCs w:val="18"/>
              </w:rPr>
              <w:t>74</w:t>
            </w:r>
            <w:r w:rsidRPr="00E7035D">
              <w:rPr>
                <w:rFonts w:ascii="Arial" w:eastAsia="Calibri" w:hAnsi="Arial" w:cs="Arial"/>
                <w:b/>
                <w:bCs/>
                <w:sz w:val="18"/>
                <w:szCs w:val="18"/>
              </w:rPr>
              <w:t>1,00</w:t>
            </w:r>
          </w:p>
        </w:tc>
      </w:tr>
      <w:tr w:rsidR="007B7808" w:rsidRPr="000A40FE" w14:paraId="59C43ACE" w14:textId="77777777" w:rsidTr="007B7808">
        <w:trPr>
          <w:trHeight w:val="255"/>
        </w:trPr>
        <w:tc>
          <w:tcPr>
            <w:tcW w:w="1386" w:type="dxa"/>
            <w:noWrap/>
            <w:hideMark/>
          </w:tcPr>
          <w:p w14:paraId="6731B781"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31</w:t>
            </w:r>
          </w:p>
        </w:tc>
        <w:tc>
          <w:tcPr>
            <w:tcW w:w="3672" w:type="dxa"/>
            <w:noWrap/>
            <w:hideMark/>
          </w:tcPr>
          <w:p w14:paraId="7959AD12"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Rashodi za zaposlene</w:t>
            </w:r>
          </w:p>
        </w:tc>
        <w:tc>
          <w:tcPr>
            <w:tcW w:w="1286" w:type="dxa"/>
            <w:noWrap/>
            <w:hideMark/>
          </w:tcPr>
          <w:p w14:paraId="00518A3F"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2.209.867,00</w:t>
            </w:r>
          </w:p>
        </w:tc>
        <w:tc>
          <w:tcPr>
            <w:tcW w:w="1185" w:type="dxa"/>
            <w:noWrap/>
            <w:hideMark/>
          </w:tcPr>
          <w:p w14:paraId="53314C5B"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112.993,00</w:t>
            </w:r>
          </w:p>
        </w:tc>
        <w:tc>
          <w:tcPr>
            <w:tcW w:w="1237" w:type="dxa"/>
            <w:noWrap/>
            <w:hideMark/>
          </w:tcPr>
          <w:p w14:paraId="254B251D"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5.1%</w:t>
            </w:r>
          </w:p>
        </w:tc>
        <w:tc>
          <w:tcPr>
            <w:tcW w:w="1552" w:type="dxa"/>
            <w:noWrap/>
            <w:hideMark/>
          </w:tcPr>
          <w:p w14:paraId="4EDB9A88"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2.322.860,00</w:t>
            </w:r>
          </w:p>
        </w:tc>
      </w:tr>
      <w:tr w:rsidR="007B7808" w:rsidRPr="000A40FE" w14:paraId="099397CF" w14:textId="77777777" w:rsidTr="007B7808">
        <w:trPr>
          <w:trHeight w:val="255"/>
        </w:trPr>
        <w:tc>
          <w:tcPr>
            <w:tcW w:w="1386" w:type="dxa"/>
            <w:noWrap/>
            <w:hideMark/>
          </w:tcPr>
          <w:p w14:paraId="5810E426"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32</w:t>
            </w:r>
          </w:p>
        </w:tc>
        <w:tc>
          <w:tcPr>
            <w:tcW w:w="3672" w:type="dxa"/>
            <w:noWrap/>
            <w:hideMark/>
          </w:tcPr>
          <w:p w14:paraId="1B0D748D"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Materijalni rashodi</w:t>
            </w:r>
          </w:p>
        </w:tc>
        <w:tc>
          <w:tcPr>
            <w:tcW w:w="1286" w:type="dxa"/>
            <w:noWrap/>
            <w:hideMark/>
          </w:tcPr>
          <w:p w14:paraId="6E3D0A87"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473.942,00</w:t>
            </w:r>
          </w:p>
        </w:tc>
        <w:tc>
          <w:tcPr>
            <w:tcW w:w="1185" w:type="dxa"/>
            <w:noWrap/>
            <w:hideMark/>
          </w:tcPr>
          <w:p w14:paraId="36C9DDEC" w14:textId="77777777" w:rsidR="007B7808" w:rsidRPr="00E7035D" w:rsidRDefault="007B7808" w:rsidP="002815DB">
            <w:pPr>
              <w:jc w:val="right"/>
              <w:rPr>
                <w:rFonts w:ascii="Arial" w:eastAsia="Calibri" w:hAnsi="Arial" w:cs="Arial"/>
                <w:sz w:val="18"/>
                <w:szCs w:val="18"/>
              </w:rPr>
            </w:pPr>
            <w:r>
              <w:rPr>
                <w:rFonts w:ascii="Arial" w:eastAsia="Calibri" w:hAnsi="Arial" w:cs="Arial"/>
                <w:sz w:val="18"/>
                <w:szCs w:val="18"/>
              </w:rPr>
              <w:t>39.863,00</w:t>
            </w:r>
          </w:p>
        </w:tc>
        <w:tc>
          <w:tcPr>
            <w:tcW w:w="1237" w:type="dxa"/>
            <w:noWrap/>
            <w:hideMark/>
          </w:tcPr>
          <w:p w14:paraId="79536A64"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8.</w:t>
            </w:r>
            <w:r>
              <w:rPr>
                <w:rFonts w:ascii="Arial" w:eastAsia="Calibri" w:hAnsi="Arial" w:cs="Arial"/>
                <w:sz w:val="18"/>
                <w:szCs w:val="18"/>
              </w:rPr>
              <w:t>0</w:t>
            </w:r>
            <w:r w:rsidRPr="00E7035D">
              <w:rPr>
                <w:rFonts w:ascii="Arial" w:eastAsia="Calibri" w:hAnsi="Arial" w:cs="Arial"/>
                <w:sz w:val="18"/>
                <w:szCs w:val="18"/>
              </w:rPr>
              <w:t>%</w:t>
            </w:r>
          </w:p>
        </w:tc>
        <w:tc>
          <w:tcPr>
            <w:tcW w:w="1552" w:type="dxa"/>
            <w:noWrap/>
            <w:hideMark/>
          </w:tcPr>
          <w:p w14:paraId="10257F5C" w14:textId="77777777" w:rsidR="007B7808" w:rsidRPr="00E7035D" w:rsidRDefault="007B7808" w:rsidP="002815DB">
            <w:pPr>
              <w:jc w:val="right"/>
              <w:rPr>
                <w:rFonts w:ascii="Arial" w:eastAsia="Calibri" w:hAnsi="Arial" w:cs="Arial"/>
                <w:sz w:val="18"/>
                <w:szCs w:val="18"/>
              </w:rPr>
            </w:pPr>
            <w:r>
              <w:rPr>
                <w:rFonts w:ascii="Arial" w:eastAsia="Calibri" w:hAnsi="Arial" w:cs="Arial"/>
                <w:sz w:val="18"/>
                <w:szCs w:val="18"/>
              </w:rPr>
              <w:t>513.805</w:t>
            </w:r>
            <w:r w:rsidRPr="00E7035D">
              <w:rPr>
                <w:rFonts w:ascii="Arial" w:eastAsia="Calibri" w:hAnsi="Arial" w:cs="Arial"/>
                <w:sz w:val="18"/>
                <w:szCs w:val="18"/>
              </w:rPr>
              <w:t>,00</w:t>
            </w:r>
          </w:p>
        </w:tc>
      </w:tr>
      <w:tr w:rsidR="007B7808" w:rsidRPr="000A40FE" w14:paraId="566828F2" w14:textId="77777777" w:rsidTr="007B7808">
        <w:trPr>
          <w:trHeight w:val="255"/>
        </w:trPr>
        <w:tc>
          <w:tcPr>
            <w:tcW w:w="1386" w:type="dxa"/>
            <w:noWrap/>
            <w:hideMark/>
          </w:tcPr>
          <w:p w14:paraId="7E339A31"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34</w:t>
            </w:r>
          </w:p>
        </w:tc>
        <w:tc>
          <w:tcPr>
            <w:tcW w:w="3672" w:type="dxa"/>
            <w:noWrap/>
            <w:hideMark/>
          </w:tcPr>
          <w:p w14:paraId="1CAF3A45"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Financijski rashodi</w:t>
            </w:r>
          </w:p>
        </w:tc>
        <w:tc>
          <w:tcPr>
            <w:tcW w:w="1286" w:type="dxa"/>
            <w:noWrap/>
            <w:hideMark/>
          </w:tcPr>
          <w:p w14:paraId="095B3546"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0,00</w:t>
            </w:r>
          </w:p>
        </w:tc>
        <w:tc>
          <w:tcPr>
            <w:tcW w:w="1185" w:type="dxa"/>
            <w:noWrap/>
            <w:hideMark/>
          </w:tcPr>
          <w:p w14:paraId="0B17677E"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0,00</w:t>
            </w:r>
          </w:p>
        </w:tc>
        <w:tc>
          <w:tcPr>
            <w:tcW w:w="1237" w:type="dxa"/>
            <w:noWrap/>
            <w:hideMark/>
          </w:tcPr>
          <w:p w14:paraId="1BEA14EF"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0,0%</w:t>
            </w:r>
          </w:p>
        </w:tc>
        <w:tc>
          <w:tcPr>
            <w:tcW w:w="1552" w:type="dxa"/>
            <w:noWrap/>
            <w:hideMark/>
          </w:tcPr>
          <w:p w14:paraId="7E31C539"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0,00</w:t>
            </w:r>
          </w:p>
        </w:tc>
      </w:tr>
      <w:tr w:rsidR="007B7808" w:rsidRPr="000A40FE" w14:paraId="32E07B13" w14:textId="77777777" w:rsidTr="007B7808">
        <w:trPr>
          <w:trHeight w:val="255"/>
        </w:trPr>
        <w:tc>
          <w:tcPr>
            <w:tcW w:w="1386" w:type="dxa"/>
            <w:noWrap/>
            <w:hideMark/>
          </w:tcPr>
          <w:p w14:paraId="74F7B4E3"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37</w:t>
            </w:r>
          </w:p>
        </w:tc>
        <w:tc>
          <w:tcPr>
            <w:tcW w:w="3672" w:type="dxa"/>
            <w:noWrap/>
            <w:hideMark/>
          </w:tcPr>
          <w:p w14:paraId="5DE354A9"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Naknade građanima i kućanstvima na temelju osiguranja i druge naknade</w:t>
            </w:r>
          </w:p>
        </w:tc>
        <w:tc>
          <w:tcPr>
            <w:tcW w:w="1286" w:type="dxa"/>
            <w:noWrap/>
            <w:hideMark/>
          </w:tcPr>
          <w:p w14:paraId="7533BC52"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10.000,00</w:t>
            </w:r>
          </w:p>
        </w:tc>
        <w:tc>
          <w:tcPr>
            <w:tcW w:w="1185" w:type="dxa"/>
            <w:noWrap/>
            <w:hideMark/>
          </w:tcPr>
          <w:p w14:paraId="5CCC8954"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0,00</w:t>
            </w:r>
          </w:p>
        </w:tc>
        <w:tc>
          <w:tcPr>
            <w:tcW w:w="1237" w:type="dxa"/>
            <w:noWrap/>
            <w:hideMark/>
          </w:tcPr>
          <w:p w14:paraId="2DBD38F4"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0.0%</w:t>
            </w:r>
          </w:p>
        </w:tc>
        <w:tc>
          <w:tcPr>
            <w:tcW w:w="1552" w:type="dxa"/>
            <w:noWrap/>
            <w:hideMark/>
          </w:tcPr>
          <w:p w14:paraId="4F3EAF86"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10.000,00</w:t>
            </w:r>
          </w:p>
        </w:tc>
      </w:tr>
      <w:tr w:rsidR="007B7808" w:rsidRPr="000A40FE" w14:paraId="268EC0EE" w14:textId="77777777" w:rsidTr="007B7808">
        <w:trPr>
          <w:trHeight w:val="255"/>
        </w:trPr>
        <w:tc>
          <w:tcPr>
            <w:tcW w:w="1386" w:type="dxa"/>
            <w:noWrap/>
            <w:hideMark/>
          </w:tcPr>
          <w:p w14:paraId="68DE681C"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38</w:t>
            </w:r>
          </w:p>
        </w:tc>
        <w:tc>
          <w:tcPr>
            <w:tcW w:w="3672" w:type="dxa"/>
            <w:noWrap/>
            <w:hideMark/>
          </w:tcPr>
          <w:p w14:paraId="374CDCB4"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Rashodi za donacije, kazne, naknade šteta i kapitalne pomoći</w:t>
            </w:r>
          </w:p>
        </w:tc>
        <w:tc>
          <w:tcPr>
            <w:tcW w:w="1286" w:type="dxa"/>
            <w:noWrap/>
            <w:hideMark/>
          </w:tcPr>
          <w:p w14:paraId="1ABBB9C3"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1.340,00</w:t>
            </w:r>
          </w:p>
        </w:tc>
        <w:tc>
          <w:tcPr>
            <w:tcW w:w="1185" w:type="dxa"/>
            <w:noWrap/>
            <w:hideMark/>
          </w:tcPr>
          <w:p w14:paraId="2ED2358C"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-264,00</w:t>
            </w:r>
          </w:p>
        </w:tc>
        <w:tc>
          <w:tcPr>
            <w:tcW w:w="1237" w:type="dxa"/>
            <w:noWrap/>
            <w:hideMark/>
          </w:tcPr>
          <w:p w14:paraId="515D0F2E"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-19.7%</w:t>
            </w:r>
          </w:p>
        </w:tc>
        <w:tc>
          <w:tcPr>
            <w:tcW w:w="1552" w:type="dxa"/>
            <w:noWrap/>
            <w:hideMark/>
          </w:tcPr>
          <w:p w14:paraId="7A1C30F3"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1.076,00</w:t>
            </w:r>
          </w:p>
        </w:tc>
      </w:tr>
      <w:tr w:rsidR="007B7808" w:rsidRPr="000A40FE" w14:paraId="0594043E" w14:textId="77777777" w:rsidTr="007B7808">
        <w:trPr>
          <w:trHeight w:val="255"/>
        </w:trPr>
        <w:tc>
          <w:tcPr>
            <w:tcW w:w="1386" w:type="dxa"/>
            <w:shd w:val="clear" w:color="auto" w:fill="F2F2F2" w:themeFill="background1" w:themeFillShade="F2"/>
            <w:noWrap/>
            <w:hideMark/>
          </w:tcPr>
          <w:p w14:paraId="4D8C3E9B"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4</w:t>
            </w:r>
          </w:p>
        </w:tc>
        <w:tc>
          <w:tcPr>
            <w:tcW w:w="3672" w:type="dxa"/>
            <w:shd w:val="clear" w:color="auto" w:fill="F2F2F2" w:themeFill="background1" w:themeFillShade="F2"/>
            <w:noWrap/>
            <w:hideMark/>
          </w:tcPr>
          <w:p w14:paraId="184A997A"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Rashodi za nabavu nefinancijske imovine</w:t>
            </w:r>
          </w:p>
        </w:tc>
        <w:tc>
          <w:tcPr>
            <w:tcW w:w="1286" w:type="dxa"/>
            <w:shd w:val="clear" w:color="auto" w:fill="F2F2F2" w:themeFill="background1" w:themeFillShade="F2"/>
            <w:noWrap/>
            <w:hideMark/>
          </w:tcPr>
          <w:p w14:paraId="00EE96A5"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112.942,00</w:t>
            </w:r>
          </w:p>
        </w:tc>
        <w:tc>
          <w:tcPr>
            <w:tcW w:w="1185" w:type="dxa"/>
            <w:shd w:val="clear" w:color="auto" w:fill="F2F2F2" w:themeFill="background1" w:themeFillShade="F2"/>
            <w:noWrap/>
            <w:hideMark/>
          </w:tcPr>
          <w:p w14:paraId="5C15E9B1"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11.330,00</w:t>
            </w:r>
          </w:p>
        </w:tc>
        <w:tc>
          <w:tcPr>
            <w:tcW w:w="1237" w:type="dxa"/>
            <w:shd w:val="clear" w:color="auto" w:fill="F2F2F2" w:themeFill="background1" w:themeFillShade="F2"/>
            <w:noWrap/>
            <w:hideMark/>
          </w:tcPr>
          <w:p w14:paraId="4FB31C85"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-7,7</w:t>
            </w:r>
          </w:p>
        </w:tc>
        <w:tc>
          <w:tcPr>
            <w:tcW w:w="1552" w:type="dxa"/>
            <w:shd w:val="clear" w:color="auto" w:fill="F2F2F2" w:themeFill="background1" w:themeFillShade="F2"/>
            <w:noWrap/>
            <w:hideMark/>
          </w:tcPr>
          <w:p w14:paraId="2559EADE"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104.272,00</w:t>
            </w:r>
          </w:p>
        </w:tc>
      </w:tr>
      <w:tr w:rsidR="007B7808" w:rsidRPr="000A40FE" w14:paraId="1B149670" w14:textId="77777777" w:rsidTr="007B7808">
        <w:trPr>
          <w:trHeight w:val="255"/>
        </w:trPr>
        <w:tc>
          <w:tcPr>
            <w:tcW w:w="1386" w:type="dxa"/>
            <w:noWrap/>
            <w:hideMark/>
          </w:tcPr>
          <w:p w14:paraId="1A737DD7"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42</w:t>
            </w:r>
          </w:p>
        </w:tc>
        <w:tc>
          <w:tcPr>
            <w:tcW w:w="3672" w:type="dxa"/>
            <w:noWrap/>
            <w:hideMark/>
          </w:tcPr>
          <w:p w14:paraId="5BAF673D"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Rashodi za nabavu proizvedene dugotrajne imovine</w:t>
            </w:r>
          </w:p>
        </w:tc>
        <w:tc>
          <w:tcPr>
            <w:tcW w:w="1286" w:type="dxa"/>
            <w:noWrap/>
            <w:hideMark/>
          </w:tcPr>
          <w:p w14:paraId="73186999"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62.942,00</w:t>
            </w:r>
          </w:p>
        </w:tc>
        <w:tc>
          <w:tcPr>
            <w:tcW w:w="1185" w:type="dxa"/>
            <w:noWrap/>
            <w:hideMark/>
          </w:tcPr>
          <w:p w14:paraId="0A97F5A4"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1.330,00</w:t>
            </w:r>
          </w:p>
        </w:tc>
        <w:tc>
          <w:tcPr>
            <w:tcW w:w="1237" w:type="dxa"/>
            <w:noWrap/>
            <w:hideMark/>
          </w:tcPr>
          <w:p w14:paraId="02B74D27"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2.1%</w:t>
            </w:r>
          </w:p>
        </w:tc>
        <w:tc>
          <w:tcPr>
            <w:tcW w:w="1552" w:type="dxa"/>
            <w:noWrap/>
            <w:hideMark/>
          </w:tcPr>
          <w:p w14:paraId="4D1789F7"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64.272,00</w:t>
            </w:r>
          </w:p>
        </w:tc>
      </w:tr>
      <w:tr w:rsidR="007B7808" w:rsidRPr="000A40FE" w14:paraId="1F9215C8" w14:textId="77777777" w:rsidTr="007B7808">
        <w:trPr>
          <w:trHeight w:val="270"/>
        </w:trPr>
        <w:tc>
          <w:tcPr>
            <w:tcW w:w="1386" w:type="dxa"/>
            <w:noWrap/>
            <w:hideMark/>
          </w:tcPr>
          <w:p w14:paraId="7FDBF8A9"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45</w:t>
            </w:r>
          </w:p>
        </w:tc>
        <w:tc>
          <w:tcPr>
            <w:tcW w:w="3672" w:type="dxa"/>
            <w:noWrap/>
            <w:hideMark/>
          </w:tcPr>
          <w:p w14:paraId="34DF7184"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Rashodi za dodatna ulaganja na nefinancijskoj imovini</w:t>
            </w:r>
          </w:p>
        </w:tc>
        <w:tc>
          <w:tcPr>
            <w:tcW w:w="1286" w:type="dxa"/>
            <w:noWrap/>
            <w:hideMark/>
          </w:tcPr>
          <w:p w14:paraId="7B12B42F"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50.000,00</w:t>
            </w:r>
          </w:p>
        </w:tc>
        <w:tc>
          <w:tcPr>
            <w:tcW w:w="1185" w:type="dxa"/>
            <w:noWrap/>
            <w:hideMark/>
          </w:tcPr>
          <w:p w14:paraId="17976A1C"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10.000,00</w:t>
            </w:r>
          </w:p>
        </w:tc>
        <w:tc>
          <w:tcPr>
            <w:tcW w:w="1237" w:type="dxa"/>
            <w:noWrap/>
            <w:hideMark/>
          </w:tcPr>
          <w:p w14:paraId="26CE718A"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-20,00%</w:t>
            </w:r>
          </w:p>
        </w:tc>
        <w:tc>
          <w:tcPr>
            <w:tcW w:w="1552" w:type="dxa"/>
            <w:noWrap/>
            <w:hideMark/>
          </w:tcPr>
          <w:p w14:paraId="58E68BE8"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40.000,00</w:t>
            </w:r>
          </w:p>
        </w:tc>
      </w:tr>
      <w:tr w:rsidR="007B7808" w:rsidRPr="000A40FE" w14:paraId="1D39C3EE" w14:textId="77777777" w:rsidTr="007B7808">
        <w:trPr>
          <w:trHeight w:val="255"/>
        </w:trPr>
        <w:tc>
          <w:tcPr>
            <w:tcW w:w="10318" w:type="dxa"/>
            <w:gridSpan w:val="6"/>
            <w:shd w:val="clear" w:color="auto" w:fill="D9D9D9" w:themeFill="background1" w:themeFillShade="D9"/>
            <w:noWrap/>
            <w:hideMark/>
          </w:tcPr>
          <w:p w14:paraId="425A4C9C"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C. RASPOLOŽIVA SREDSTVA IZ PRETHODNIH GODINA</w:t>
            </w:r>
          </w:p>
        </w:tc>
      </w:tr>
      <w:tr w:rsidR="007B7808" w:rsidRPr="000A40FE" w14:paraId="1E31AE3A" w14:textId="77777777" w:rsidTr="007B7808">
        <w:trPr>
          <w:trHeight w:val="255"/>
        </w:trPr>
        <w:tc>
          <w:tcPr>
            <w:tcW w:w="1386" w:type="dxa"/>
            <w:shd w:val="clear" w:color="auto" w:fill="F2F2F2" w:themeFill="background1" w:themeFillShade="F2"/>
            <w:noWrap/>
            <w:hideMark/>
          </w:tcPr>
          <w:p w14:paraId="4C1E5156"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9</w:t>
            </w:r>
          </w:p>
        </w:tc>
        <w:tc>
          <w:tcPr>
            <w:tcW w:w="3672" w:type="dxa"/>
            <w:shd w:val="clear" w:color="auto" w:fill="F2F2F2" w:themeFill="background1" w:themeFillShade="F2"/>
            <w:noWrap/>
            <w:hideMark/>
          </w:tcPr>
          <w:p w14:paraId="42231BD8" w14:textId="77777777" w:rsidR="007B7808" w:rsidRPr="00E7035D" w:rsidRDefault="007B7808" w:rsidP="002815DB">
            <w:pPr>
              <w:jc w:val="both"/>
              <w:rPr>
                <w:rFonts w:ascii="Arial" w:eastAsia="Calibri" w:hAnsi="Arial" w:cs="Arial"/>
                <w:b/>
                <w:bCs/>
                <w:sz w:val="18"/>
                <w:szCs w:val="18"/>
              </w:rPr>
            </w:pPr>
            <w:r w:rsidRPr="00E7035D">
              <w:rPr>
                <w:rFonts w:ascii="Arial" w:eastAsia="Calibri" w:hAnsi="Arial" w:cs="Arial"/>
                <w:b/>
                <w:bCs/>
                <w:sz w:val="18"/>
                <w:szCs w:val="18"/>
              </w:rPr>
              <w:t>Vlastiti izvori</w:t>
            </w:r>
          </w:p>
        </w:tc>
        <w:tc>
          <w:tcPr>
            <w:tcW w:w="1286" w:type="dxa"/>
            <w:shd w:val="clear" w:color="auto" w:fill="F2F2F2" w:themeFill="background1" w:themeFillShade="F2"/>
            <w:noWrap/>
            <w:hideMark/>
          </w:tcPr>
          <w:p w14:paraId="57F011DF"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5.000,00</w:t>
            </w:r>
          </w:p>
        </w:tc>
        <w:tc>
          <w:tcPr>
            <w:tcW w:w="1185" w:type="dxa"/>
            <w:shd w:val="clear" w:color="auto" w:fill="F2F2F2" w:themeFill="background1" w:themeFillShade="F2"/>
            <w:noWrap/>
            <w:hideMark/>
          </w:tcPr>
          <w:p w14:paraId="2FEA8123"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-4.012,00</w:t>
            </w:r>
          </w:p>
        </w:tc>
        <w:tc>
          <w:tcPr>
            <w:tcW w:w="1237" w:type="dxa"/>
            <w:shd w:val="clear" w:color="auto" w:fill="F2F2F2" w:themeFill="background1" w:themeFillShade="F2"/>
            <w:noWrap/>
            <w:hideMark/>
          </w:tcPr>
          <w:p w14:paraId="5268EF7C"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-80.2%</w:t>
            </w:r>
          </w:p>
        </w:tc>
        <w:tc>
          <w:tcPr>
            <w:tcW w:w="1552" w:type="dxa"/>
            <w:shd w:val="clear" w:color="auto" w:fill="F2F2F2" w:themeFill="background1" w:themeFillShade="F2"/>
            <w:noWrap/>
            <w:hideMark/>
          </w:tcPr>
          <w:p w14:paraId="1EB844BC" w14:textId="77777777" w:rsidR="007B7808" w:rsidRPr="00E7035D" w:rsidRDefault="007B7808" w:rsidP="002815DB">
            <w:pPr>
              <w:jc w:val="right"/>
              <w:rPr>
                <w:rFonts w:ascii="Arial" w:eastAsia="Calibri" w:hAnsi="Arial" w:cs="Arial"/>
                <w:b/>
                <w:bCs/>
                <w:sz w:val="18"/>
                <w:szCs w:val="18"/>
              </w:rPr>
            </w:pPr>
            <w:r w:rsidRPr="00E7035D">
              <w:rPr>
                <w:rFonts w:ascii="Arial" w:eastAsia="Calibri" w:hAnsi="Arial" w:cs="Arial"/>
                <w:b/>
                <w:bCs/>
                <w:sz w:val="18"/>
                <w:szCs w:val="18"/>
              </w:rPr>
              <w:t>988,00</w:t>
            </w:r>
          </w:p>
        </w:tc>
      </w:tr>
      <w:tr w:rsidR="007B7808" w:rsidRPr="000A40FE" w14:paraId="477A873E" w14:textId="77777777" w:rsidTr="007B7808">
        <w:trPr>
          <w:trHeight w:val="270"/>
        </w:trPr>
        <w:tc>
          <w:tcPr>
            <w:tcW w:w="1386" w:type="dxa"/>
            <w:noWrap/>
            <w:hideMark/>
          </w:tcPr>
          <w:p w14:paraId="72F596F2"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92</w:t>
            </w:r>
          </w:p>
        </w:tc>
        <w:tc>
          <w:tcPr>
            <w:tcW w:w="3672" w:type="dxa"/>
            <w:noWrap/>
            <w:hideMark/>
          </w:tcPr>
          <w:p w14:paraId="52ACC4BD" w14:textId="77777777" w:rsidR="007B7808" w:rsidRPr="00E7035D" w:rsidRDefault="007B7808" w:rsidP="002815DB">
            <w:pPr>
              <w:jc w:val="both"/>
              <w:rPr>
                <w:rFonts w:ascii="Arial" w:eastAsia="Calibri" w:hAnsi="Arial" w:cs="Arial"/>
                <w:sz w:val="18"/>
                <w:szCs w:val="18"/>
              </w:rPr>
            </w:pPr>
            <w:r w:rsidRPr="00E7035D">
              <w:rPr>
                <w:rFonts w:ascii="Arial" w:eastAsia="Calibri" w:hAnsi="Arial" w:cs="Arial"/>
                <w:sz w:val="18"/>
                <w:szCs w:val="18"/>
              </w:rPr>
              <w:t>Rezultat poslovanja</w:t>
            </w:r>
          </w:p>
        </w:tc>
        <w:tc>
          <w:tcPr>
            <w:tcW w:w="1286" w:type="dxa"/>
            <w:noWrap/>
            <w:hideMark/>
          </w:tcPr>
          <w:p w14:paraId="49046632"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5.000,00</w:t>
            </w:r>
          </w:p>
        </w:tc>
        <w:tc>
          <w:tcPr>
            <w:tcW w:w="1185" w:type="dxa"/>
            <w:noWrap/>
            <w:hideMark/>
          </w:tcPr>
          <w:p w14:paraId="48D15658"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-4.012,00</w:t>
            </w:r>
          </w:p>
        </w:tc>
        <w:tc>
          <w:tcPr>
            <w:tcW w:w="1237" w:type="dxa"/>
            <w:noWrap/>
            <w:hideMark/>
          </w:tcPr>
          <w:p w14:paraId="21EA4111"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-80.2%</w:t>
            </w:r>
          </w:p>
        </w:tc>
        <w:tc>
          <w:tcPr>
            <w:tcW w:w="1552" w:type="dxa"/>
            <w:noWrap/>
            <w:hideMark/>
          </w:tcPr>
          <w:p w14:paraId="32CEED83" w14:textId="77777777" w:rsidR="007B7808" w:rsidRPr="00E7035D" w:rsidRDefault="007B7808" w:rsidP="002815DB">
            <w:pPr>
              <w:jc w:val="right"/>
              <w:rPr>
                <w:rFonts w:ascii="Arial" w:eastAsia="Calibri" w:hAnsi="Arial" w:cs="Arial"/>
                <w:sz w:val="18"/>
                <w:szCs w:val="18"/>
              </w:rPr>
            </w:pPr>
            <w:r w:rsidRPr="00E7035D">
              <w:rPr>
                <w:rFonts w:ascii="Arial" w:eastAsia="Calibri" w:hAnsi="Arial" w:cs="Arial"/>
                <w:sz w:val="18"/>
                <w:szCs w:val="18"/>
              </w:rPr>
              <w:t>988,00</w:t>
            </w:r>
          </w:p>
        </w:tc>
      </w:tr>
    </w:tbl>
    <w:p w14:paraId="42A32865" w14:textId="77777777" w:rsidR="007B7808" w:rsidRPr="00143A0B" w:rsidRDefault="007B7808" w:rsidP="007B7808">
      <w:pPr>
        <w:jc w:val="both"/>
        <w:rPr>
          <w:rFonts w:ascii="Arial" w:eastAsia="Calibri" w:hAnsi="Arial" w:cs="Arial"/>
          <w:sz w:val="22"/>
        </w:rPr>
      </w:pPr>
    </w:p>
    <w:p w14:paraId="0851807D" w14:textId="77777777" w:rsidR="007B7808" w:rsidRDefault="007B7808" w:rsidP="007B7808">
      <w:pPr>
        <w:ind w:firstLine="708"/>
        <w:jc w:val="both"/>
        <w:rPr>
          <w:rFonts w:ascii="Arial" w:eastAsia="Calibri" w:hAnsi="Arial" w:cs="Arial"/>
          <w:color w:val="FF0000"/>
          <w:sz w:val="22"/>
        </w:rPr>
      </w:pPr>
    </w:p>
    <w:p w14:paraId="585BDC76" w14:textId="77777777" w:rsidR="00670BA2" w:rsidRDefault="00670BA2" w:rsidP="007B7808">
      <w:pPr>
        <w:ind w:firstLine="708"/>
        <w:jc w:val="both"/>
        <w:rPr>
          <w:rFonts w:ascii="Arial" w:eastAsia="Calibri" w:hAnsi="Arial" w:cs="Arial"/>
          <w:color w:val="FF0000"/>
          <w:sz w:val="22"/>
        </w:rPr>
      </w:pPr>
    </w:p>
    <w:p w14:paraId="54AA4207" w14:textId="77777777" w:rsidR="00670BA2" w:rsidRDefault="00670BA2" w:rsidP="007B7808">
      <w:pPr>
        <w:ind w:firstLine="708"/>
        <w:jc w:val="both"/>
        <w:rPr>
          <w:rFonts w:ascii="Arial" w:eastAsia="Calibri" w:hAnsi="Arial" w:cs="Arial"/>
          <w:color w:val="FF0000"/>
          <w:sz w:val="22"/>
        </w:rPr>
      </w:pPr>
    </w:p>
    <w:p w14:paraId="68FBE98C" w14:textId="77777777" w:rsidR="00670BA2" w:rsidRDefault="00670BA2" w:rsidP="007B7808">
      <w:pPr>
        <w:ind w:firstLine="708"/>
        <w:jc w:val="both"/>
        <w:rPr>
          <w:rFonts w:ascii="Arial" w:eastAsia="Calibri" w:hAnsi="Arial" w:cs="Arial"/>
          <w:color w:val="FF0000"/>
          <w:sz w:val="22"/>
        </w:rPr>
      </w:pPr>
    </w:p>
    <w:p w14:paraId="40AF208A" w14:textId="77777777" w:rsidR="00670BA2" w:rsidRPr="008B370D" w:rsidRDefault="00670BA2" w:rsidP="007B7808">
      <w:pPr>
        <w:ind w:firstLine="708"/>
        <w:jc w:val="both"/>
        <w:rPr>
          <w:rFonts w:ascii="Arial" w:eastAsia="Calibri" w:hAnsi="Arial" w:cs="Arial"/>
          <w:color w:val="FF0000"/>
          <w:sz w:val="22"/>
        </w:rPr>
      </w:pPr>
    </w:p>
    <w:p w14:paraId="6409391E" w14:textId="77777777" w:rsidR="007B7808" w:rsidRDefault="007B7808" w:rsidP="007B7808">
      <w:pPr>
        <w:jc w:val="both"/>
        <w:rPr>
          <w:rFonts w:ascii="Arial" w:hAnsi="Arial" w:cs="Arial"/>
          <w:b/>
          <w:bCs/>
          <w:sz w:val="22"/>
          <w:lang w:val="en-GB"/>
        </w:rPr>
      </w:pPr>
      <w:r w:rsidRPr="00143A0B">
        <w:rPr>
          <w:rFonts w:ascii="Arial" w:hAnsi="Arial" w:cs="Arial"/>
          <w:b/>
          <w:bCs/>
          <w:sz w:val="22"/>
          <w:lang w:val="en-GB"/>
        </w:rPr>
        <w:lastRenderedPageBreak/>
        <w:t>PREGLED</w:t>
      </w:r>
      <w:r>
        <w:rPr>
          <w:rFonts w:ascii="Arial" w:hAnsi="Arial" w:cs="Arial"/>
          <w:b/>
          <w:bCs/>
          <w:sz w:val="22"/>
          <w:lang w:val="en-GB"/>
        </w:rPr>
        <w:t xml:space="preserve"> </w:t>
      </w:r>
      <w:r w:rsidRPr="00143A0B">
        <w:rPr>
          <w:rFonts w:ascii="Arial" w:hAnsi="Arial" w:cs="Arial"/>
          <w:b/>
          <w:bCs/>
          <w:sz w:val="22"/>
          <w:lang w:val="en-GB"/>
        </w:rPr>
        <w:t>PRIHODA</w:t>
      </w:r>
      <w:r>
        <w:rPr>
          <w:rFonts w:ascii="Arial" w:hAnsi="Arial" w:cs="Arial"/>
          <w:b/>
          <w:bCs/>
          <w:sz w:val="22"/>
          <w:lang w:val="en-GB"/>
        </w:rPr>
        <w:t>,</w:t>
      </w:r>
      <w:r w:rsidRPr="00143A0B">
        <w:rPr>
          <w:rFonts w:ascii="Arial" w:hAnsi="Arial" w:cs="Arial"/>
          <w:b/>
          <w:bCs/>
          <w:sz w:val="22"/>
          <w:lang w:val="en-GB"/>
        </w:rPr>
        <w:t xml:space="preserve"> PRIMITAKA I RASHODA PO SKUPINAMA </w:t>
      </w:r>
      <w:r>
        <w:rPr>
          <w:rFonts w:ascii="Arial" w:hAnsi="Arial" w:cs="Arial"/>
          <w:b/>
          <w:bCs/>
          <w:sz w:val="22"/>
          <w:lang w:val="en-GB"/>
        </w:rPr>
        <w:t xml:space="preserve">U PRIJEDLOGU I. IZMJENA I DOPUNA ZA </w:t>
      </w:r>
      <w:r w:rsidRPr="00143A0B">
        <w:rPr>
          <w:rFonts w:ascii="Arial" w:hAnsi="Arial" w:cs="Arial"/>
          <w:b/>
          <w:bCs/>
          <w:sz w:val="22"/>
          <w:lang w:val="en-GB"/>
        </w:rPr>
        <w:t xml:space="preserve"> 202</w:t>
      </w:r>
      <w:r>
        <w:rPr>
          <w:rFonts w:ascii="Arial" w:hAnsi="Arial" w:cs="Arial"/>
          <w:b/>
          <w:bCs/>
          <w:sz w:val="22"/>
          <w:lang w:val="en-GB"/>
        </w:rPr>
        <w:t>5</w:t>
      </w:r>
      <w:r w:rsidRPr="00143A0B">
        <w:rPr>
          <w:rFonts w:ascii="Arial" w:hAnsi="Arial" w:cs="Arial"/>
          <w:b/>
          <w:bCs/>
          <w:sz w:val="22"/>
          <w:lang w:val="en-GB"/>
        </w:rPr>
        <w:t>. GODINU</w:t>
      </w:r>
      <w:r>
        <w:rPr>
          <w:rFonts w:ascii="Arial" w:hAnsi="Arial" w:cs="Arial"/>
          <w:b/>
          <w:bCs/>
          <w:sz w:val="22"/>
          <w:lang w:val="en-GB"/>
        </w:rPr>
        <w:t xml:space="preserve">         </w:t>
      </w:r>
    </w:p>
    <w:p w14:paraId="39BAEE10" w14:textId="6491D96A" w:rsidR="007B7808" w:rsidRDefault="007B7808" w:rsidP="007B7808">
      <w:pPr>
        <w:jc w:val="both"/>
        <w:rPr>
          <w:rFonts w:ascii="Arial" w:hAnsi="Arial" w:cs="Arial"/>
          <w:b/>
          <w:bCs/>
          <w:sz w:val="22"/>
          <w:lang w:val="en-GB"/>
        </w:rPr>
      </w:pPr>
      <w:r>
        <w:rPr>
          <w:rFonts w:ascii="Arial" w:hAnsi="Arial" w:cs="Arial"/>
          <w:b/>
          <w:bCs/>
          <w:sz w:val="22"/>
          <w:lang w:val="en-GB"/>
        </w:rPr>
        <w:t xml:space="preserve">                                                                                                      </w:t>
      </w:r>
    </w:p>
    <w:p w14:paraId="194E274F" w14:textId="62E8C619" w:rsidR="007B7808" w:rsidRPr="007B7808" w:rsidRDefault="007B7808" w:rsidP="007B7808">
      <w:pPr>
        <w:rPr>
          <w:rFonts w:ascii="Arial" w:hAnsi="Arial" w:cs="Arial"/>
          <w:b/>
          <w:bCs/>
          <w:sz w:val="22"/>
        </w:rPr>
      </w:pPr>
      <w:r w:rsidRPr="00A42437">
        <w:rPr>
          <w:rFonts w:ascii="Arial" w:hAnsi="Arial" w:cs="Arial"/>
          <w:sz w:val="22"/>
        </w:rPr>
        <w:t>Tablica 3</w:t>
      </w:r>
      <w:r w:rsidRPr="001B42F9">
        <w:rPr>
          <w:rFonts w:ascii="Arial" w:hAnsi="Arial" w:cs="Arial"/>
          <w:b/>
          <w:bCs/>
          <w:sz w:val="22"/>
        </w:rPr>
        <w:t>.</w:t>
      </w:r>
      <w:r w:rsidRPr="008B370D">
        <w:rPr>
          <w:rFonts w:ascii="Arial" w:eastAsia="Calibri" w:hAnsi="Arial" w:cs="Arial"/>
          <w:color w:val="FF0000"/>
          <w:sz w:val="22"/>
        </w:rPr>
        <w:tab/>
      </w:r>
      <w:r w:rsidRPr="008B370D">
        <w:rPr>
          <w:rFonts w:ascii="Arial" w:eastAsia="Calibri" w:hAnsi="Arial" w:cs="Arial"/>
          <w:color w:val="FF0000"/>
          <w:sz w:val="22"/>
        </w:rPr>
        <w:tab/>
      </w:r>
      <w:r w:rsidRPr="008B370D">
        <w:rPr>
          <w:rFonts w:ascii="Arial" w:eastAsia="Calibri" w:hAnsi="Arial" w:cs="Arial"/>
          <w:color w:val="FF0000"/>
          <w:sz w:val="22"/>
        </w:rPr>
        <w:tab/>
      </w:r>
      <w:r w:rsidRPr="008B370D">
        <w:rPr>
          <w:rFonts w:ascii="Arial" w:eastAsia="Calibri" w:hAnsi="Arial" w:cs="Arial"/>
          <w:color w:val="FF0000"/>
          <w:sz w:val="22"/>
        </w:rPr>
        <w:tab/>
      </w:r>
      <w:r w:rsidRPr="008B370D">
        <w:rPr>
          <w:rFonts w:ascii="Arial" w:eastAsia="Calibri" w:hAnsi="Arial" w:cs="Arial"/>
          <w:color w:val="FF0000"/>
          <w:sz w:val="22"/>
        </w:rPr>
        <w:tab/>
      </w:r>
      <w:r w:rsidRPr="008B370D">
        <w:rPr>
          <w:rFonts w:ascii="Arial" w:eastAsia="Calibri" w:hAnsi="Arial" w:cs="Arial"/>
          <w:color w:val="FF0000"/>
          <w:sz w:val="22"/>
        </w:rPr>
        <w:tab/>
        <w:t xml:space="preserve">                                          </w:t>
      </w:r>
    </w:p>
    <w:tbl>
      <w:tblPr>
        <w:tblStyle w:val="Reetkatablice"/>
        <w:tblW w:w="9755" w:type="dxa"/>
        <w:tblLook w:val="04A0" w:firstRow="1" w:lastRow="0" w:firstColumn="1" w:lastColumn="0" w:noHBand="0" w:noVBand="1"/>
      </w:tblPr>
      <w:tblGrid>
        <w:gridCol w:w="1500"/>
        <w:gridCol w:w="3224"/>
        <w:gridCol w:w="1905"/>
        <w:gridCol w:w="1905"/>
        <w:gridCol w:w="1221"/>
      </w:tblGrid>
      <w:tr w:rsidR="007B7808" w:rsidRPr="008B370D" w14:paraId="44B353CC" w14:textId="77777777" w:rsidTr="007B7808">
        <w:trPr>
          <w:trHeight w:val="726"/>
        </w:trPr>
        <w:tc>
          <w:tcPr>
            <w:tcW w:w="1500" w:type="dxa"/>
            <w:shd w:val="clear" w:color="auto" w:fill="A6A6A6" w:themeFill="background1" w:themeFillShade="A6"/>
          </w:tcPr>
          <w:p w14:paraId="6646CBCD" w14:textId="77777777" w:rsidR="007B7808" w:rsidRPr="00E7035D" w:rsidRDefault="007B7808" w:rsidP="002815DB">
            <w:pPr>
              <w:jc w:val="both"/>
              <w:rPr>
                <w:rFonts w:ascii="Arial" w:eastAsia="Calibri" w:hAnsi="Arial" w:cs="Arial"/>
                <w:b/>
                <w:sz w:val="18"/>
                <w:szCs w:val="18"/>
              </w:rPr>
            </w:pPr>
          </w:p>
          <w:p w14:paraId="450569F7" w14:textId="77777777" w:rsidR="007B7808" w:rsidRPr="00E7035D" w:rsidRDefault="007B7808" w:rsidP="002815DB">
            <w:pPr>
              <w:jc w:val="center"/>
              <w:rPr>
                <w:rFonts w:ascii="Arial" w:eastAsia="Calibri" w:hAnsi="Arial" w:cs="Arial"/>
                <w:b/>
                <w:sz w:val="18"/>
                <w:szCs w:val="18"/>
              </w:rPr>
            </w:pPr>
            <w:r w:rsidRPr="00E7035D">
              <w:rPr>
                <w:rFonts w:ascii="Arial" w:eastAsia="Calibri" w:hAnsi="Arial" w:cs="Arial"/>
                <w:b/>
                <w:sz w:val="18"/>
                <w:szCs w:val="18"/>
              </w:rPr>
              <w:t>KONTO</w:t>
            </w:r>
          </w:p>
        </w:tc>
        <w:tc>
          <w:tcPr>
            <w:tcW w:w="3224" w:type="dxa"/>
            <w:shd w:val="clear" w:color="auto" w:fill="A6A6A6" w:themeFill="background1" w:themeFillShade="A6"/>
          </w:tcPr>
          <w:p w14:paraId="7BBEF12F" w14:textId="77777777" w:rsidR="007B7808" w:rsidRPr="00E7035D" w:rsidRDefault="007B7808" w:rsidP="002815DB">
            <w:pPr>
              <w:jc w:val="both"/>
              <w:rPr>
                <w:rFonts w:ascii="Arial" w:eastAsia="Calibri" w:hAnsi="Arial" w:cs="Arial"/>
                <w:b/>
                <w:sz w:val="18"/>
                <w:szCs w:val="18"/>
              </w:rPr>
            </w:pPr>
          </w:p>
          <w:p w14:paraId="67378AB6" w14:textId="77777777" w:rsidR="007B7808" w:rsidRPr="00E7035D" w:rsidRDefault="007B7808" w:rsidP="002815DB">
            <w:pPr>
              <w:jc w:val="center"/>
              <w:rPr>
                <w:rFonts w:ascii="Arial" w:eastAsia="Calibri" w:hAnsi="Arial" w:cs="Arial"/>
                <w:b/>
                <w:sz w:val="18"/>
                <w:szCs w:val="18"/>
              </w:rPr>
            </w:pPr>
            <w:r w:rsidRPr="00E7035D">
              <w:rPr>
                <w:rFonts w:ascii="Arial" w:eastAsia="Calibri" w:hAnsi="Arial" w:cs="Arial"/>
                <w:b/>
                <w:sz w:val="18"/>
                <w:szCs w:val="18"/>
              </w:rPr>
              <w:t>VRSTA PRIHODA I PRIMITAKA</w:t>
            </w:r>
          </w:p>
        </w:tc>
        <w:tc>
          <w:tcPr>
            <w:tcW w:w="1905" w:type="dxa"/>
            <w:shd w:val="clear" w:color="auto" w:fill="A6A6A6" w:themeFill="background1" w:themeFillShade="A6"/>
          </w:tcPr>
          <w:p w14:paraId="58D16505" w14:textId="77777777" w:rsidR="007B7808" w:rsidRPr="00E7035D" w:rsidRDefault="007B7808" w:rsidP="002815DB">
            <w:pPr>
              <w:jc w:val="both"/>
              <w:rPr>
                <w:rFonts w:ascii="Arial" w:eastAsia="Calibri" w:hAnsi="Arial" w:cs="Arial"/>
                <w:b/>
                <w:sz w:val="18"/>
                <w:szCs w:val="18"/>
              </w:rPr>
            </w:pPr>
          </w:p>
          <w:p w14:paraId="741D6926" w14:textId="77777777" w:rsidR="007B7808" w:rsidRPr="00E7035D" w:rsidRDefault="007B7808" w:rsidP="002815DB">
            <w:pPr>
              <w:jc w:val="center"/>
              <w:rPr>
                <w:rFonts w:ascii="Arial" w:eastAsia="Calibri" w:hAnsi="Arial" w:cs="Arial"/>
                <w:b/>
                <w:sz w:val="18"/>
                <w:szCs w:val="18"/>
              </w:rPr>
            </w:pPr>
            <w:r w:rsidRPr="00E7035D">
              <w:rPr>
                <w:rFonts w:ascii="Arial" w:eastAsia="Calibri" w:hAnsi="Arial" w:cs="Arial"/>
                <w:b/>
                <w:sz w:val="18"/>
                <w:szCs w:val="18"/>
              </w:rPr>
              <w:t>PLAN 2025.</w:t>
            </w:r>
          </w:p>
          <w:p w14:paraId="2757CC12" w14:textId="77777777" w:rsidR="007B7808" w:rsidRPr="00E7035D" w:rsidRDefault="007B7808" w:rsidP="002815DB">
            <w:pPr>
              <w:jc w:val="both"/>
              <w:rPr>
                <w:rFonts w:ascii="Arial" w:eastAsia="Calibri" w:hAnsi="Arial" w:cs="Arial"/>
                <w:b/>
                <w:sz w:val="18"/>
                <w:szCs w:val="18"/>
              </w:rPr>
            </w:pPr>
          </w:p>
        </w:tc>
        <w:tc>
          <w:tcPr>
            <w:tcW w:w="1905" w:type="dxa"/>
            <w:shd w:val="clear" w:color="auto" w:fill="A6A6A6" w:themeFill="background1" w:themeFillShade="A6"/>
          </w:tcPr>
          <w:p w14:paraId="6E3C8C5A" w14:textId="77777777" w:rsidR="007B7808" w:rsidRPr="00E7035D" w:rsidRDefault="007B7808" w:rsidP="002815DB">
            <w:pPr>
              <w:jc w:val="both"/>
              <w:rPr>
                <w:rFonts w:ascii="Arial" w:eastAsia="Calibri" w:hAnsi="Arial" w:cs="Arial"/>
                <w:b/>
                <w:sz w:val="18"/>
                <w:szCs w:val="18"/>
              </w:rPr>
            </w:pPr>
          </w:p>
          <w:p w14:paraId="23E15348" w14:textId="77777777" w:rsidR="007B7808" w:rsidRPr="00E7035D" w:rsidRDefault="007B7808" w:rsidP="002815DB">
            <w:pPr>
              <w:jc w:val="center"/>
              <w:rPr>
                <w:rFonts w:ascii="Arial" w:eastAsia="Calibri" w:hAnsi="Arial" w:cs="Arial"/>
                <w:b/>
                <w:sz w:val="18"/>
                <w:szCs w:val="18"/>
              </w:rPr>
            </w:pPr>
            <w:r w:rsidRPr="00E7035D">
              <w:rPr>
                <w:rFonts w:ascii="Arial" w:eastAsia="Calibri" w:hAnsi="Arial" w:cs="Arial"/>
                <w:b/>
                <w:sz w:val="18"/>
                <w:szCs w:val="18"/>
              </w:rPr>
              <w:t>I. IZMJENE I DOPUNE 2025.</w:t>
            </w:r>
          </w:p>
        </w:tc>
        <w:tc>
          <w:tcPr>
            <w:tcW w:w="1221" w:type="dxa"/>
            <w:shd w:val="clear" w:color="auto" w:fill="A6A6A6" w:themeFill="background1" w:themeFillShade="A6"/>
          </w:tcPr>
          <w:p w14:paraId="1644AAEE" w14:textId="77777777" w:rsidR="007B7808" w:rsidRPr="00E7035D" w:rsidRDefault="007B7808" w:rsidP="002815DB">
            <w:pPr>
              <w:jc w:val="center"/>
              <w:rPr>
                <w:rFonts w:ascii="Arial" w:eastAsia="Calibri" w:hAnsi="Arial" w:cs="Arial"/>
                <w:b/>
                <w:sz w:val="18"/>
                <w:szCs w:val="18"/>
              </w:rPr>
            </w:pPr>
          </w:p>
          <w:p w14:paraId="635E21A8" w14:textId="77777777" w:rsidR="007B7808" w:rsidRPr="00E7035D" w:rsidRDefault="007B7808" w:rsidP="002815DB">
            <w:pPr>
              <w:jc w:val="center"/>
              <w:rPr>
                <w:rFonts w:ascii="Arial" w:eastAsia="Calibri" w:hAnsi="Arial" w:cs="Arial"/>
                <w:b/>
                <w:sz w:val="18"/>
                <w:szCs w:val="18"/>
              </w:rPr>
            </w:pPr>
            <w:r w:rsidRPr="00E7035D">
              <w:rPr>
                <w:rFonts w:ascii="Arial" w:eastAsia="Calibri" w:hAnsi="Arial" w:cs="Arial"/>
                <w:b/>
                <w:sz w:val="18"/>
                <w:szCs w:val="18"/>
              </w:rPr>
              <w:t>INDEKS</w:t>
            </w:r>
          </w:p>
          <w:p w14:paraId="2D3E28E3" w14:textId="77777777" w:rsidR="007B7808" w:rsidRPr="00E7035D" w:rsidRDefault="007B7808" w:rsidP="002815DB">
            <w:pPr>
              <w:jc w:val="center"/>
              <w:rPr>
                <w:rFonts w:ascii="Arial" w:eastAsia="Calibri" w:hAnsi="Arial" w:cs="Arial"/>
                <w:b/>
                <w:sz w:val="18"/>
                <w:szCs w:val="18"/>
              </w:rPr>
            </w:pPr>
            <w:r w:rsidRPr="00E7035D">
              <w:rPr>
                <w:rFonts w:ascii="Arial" w:eastAsia="Calibri" w:hAnsi="Arial" w:cs="Arial"/>
                <w:b/>
                <w:sz w:val="18"/>
                <w:szCs w:val="18"/>
              </w:rPr>
              <w:t>4/3*100</w:t>
            </w:r>
          </w:p>
        </w:tc>
      </w:tr>
      <w:tr w:rsidR="007B7808" w:rsidRPr="008B370D" w14:paraId="31F7FFB7" w14:textId="77777777" w:rsidTr="002815DB">
        <w:trPr>
          <w:trHeight w:val="232"/>
        </w:trPr>
        <w:tc>
          <w:tcPr>
            <w:tcW w:w="1500" w:type="dxa"/>
          </w:tcPr>
          <w:p w14:paraId="2EA28FF4"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1</w:t>
            </w:r>
          </w:p>
        </w:tc>
        <w:tc>
          <w:tcPr>
            <w:tcW w:w="3224" w:type="dxa"/>
          </w:tcPr>
          <w:p w14:paraId="2D794B20"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2</w:t>
            </w:r>
          </w:p>
        </w:tc>
        <w:tc>
          <w:tcPr>
            <w:tcW w:w="1905" w:type="dxa"/>
          </w:tcPr>
          <w:p w14:paraId="2143C90B"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3</w:t>
            </w:r>
          </w:p>
        </w:tc>
        <w:tc>
          <w:tcPr>
            <w:tcW w:w="1905" w:type="dxa"/>
          </w:tcPr>
          <w:p w14:paraId="40846A3C"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4</w:t>
            </w:r>
          </w:p>
        </w:tc>
        <w:tc>
          <w:tcPr>
            <w:tcW w:w="1221" w:type="dxa"/>
          </w:tcPr>
          <w:p w14:paraId="32EC6553"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5</w:t>
            </w:r>
          </w:p>
        </w:tc>
      </w:tr>
      <w:tr w:rsidR="007B7808" w:rsidRPr="008B370D" w14:paraId="402A8CE6" w14:textId="77777777" w:rsidTr="007B7808">
        <w:trPr>
          <w:trHeight w:val="652"/>
        </w:trPr>
        <w:tc>
          <w:tcPr>
            <w:tcW w:w="1500" w:type="dxa"/>
            <w:shd w:val="clear" w:color="auto" w:fill="BFBFBF" w:themeFill="background1" w:themeFillShade="BF"/>
          </w:tcPr>
          <w:p w14:paraId="1219CBCD" w14:textId="77777777" w:rsidR="007B7808" w:rsidRPr="00E7035D" w:rsidRDefault="007B7808" w:rsidP="002815DB">
            <w:pPr>
              <w:jc w:val="both"/>
              <w:rPr>
                <w:rFonts w:ascii="Arial" w:eastAsia="Calibri" w:hAnsi="Arial" w:cs="Arial"/>
                <w:b/>
                <w:sz w:val="18"/>
                <w:szCs w:val="18"/>
              </w:rPr>
            </w:pPr>
          </w:p>
          <w:p w14:paraId="02AC336B"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6</w:t>
            </w:r>
          </w:p>
        </w:tc>
        <w:tc>
          <w:tcPr>
            <w:tcW w:w="3224" w:type="dxa"/>
            <w:shd w:val="clear" w:color="auto" w:fill="BFBFBF" w:themeFill="background1" w:themeFillShade="BF"/>
          </w:tcPr>
          <w:p w14:paraId="233D4F56" w14:textId="77777777" w:rsidR="007B7808" w:rsidRPr="00E7035D" w:rsidRDefault="007B7808" w:rsidP="002815DB">
            <w:pPr>
              <w:jc w:val="both"/>
              <w:rPr>
                <w:rFonts w:ascii="Arial" w:eastAsia="Calibri" w:hAnsi="Arial" w:cs="Arial"/>
                <w:b/>
                <w:sz w:val="18"/>
                <w:szCs w:val="18"/>
              </w:rPr>
            </w:pPr>
          </w:p>
          <w:p w14:paraId="02196A51"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PRIHODI POSLOVANJA</w:t>
            </w:r>
          </w:p>
        </w:tc>
        <w:tc>
          <w:tcPr>
            <w:tcW w:w="1905" w:type="dxa"/>
            <w:shd w:val="clear" w:color="auto" w:fill="BFBFBF" w:themeFill="background1" w:themeFillShade="BF"/>
          </w:tcPr>
          <w:p w14:paraId="24106844" w14:textId="77777777" w:rsidR="007B7808" w:rsidRPr="00E7035D" w:rsidRDefault="007B7808" w:rsidP="002815DB">
            <w:pPr>
              <w:jc w:val="both"/>
              <w:rPr>
                <w:rFonts w:ascii="Arial" w:eastAsia="Calibri" w:hAnsi="Arial" w:cs="Arial"/>
                <w:b/>
                <w:sz w:val="18"/>
                <w:szCs w:val="18"/>
              </w:rPr>
            </w:pPr>
          </w:p>
          <w:p w14:paraId="247CAD15" w14:textId="77777777" w:rsidR="007B7808" w:rsidRPr="00E7035D" w:rsidRDefault="007B7808" w:rsidP="002815DB">
            <w:pPr>
              <w:jc w:val="center"/>
              <w:rPr>
                <w:rFonts w:ascii="Arial" w:eastAsia="Calibri" w:hAnsi="Arial" w:cs="Arial"/>
                <w:b/>
                <w:sz w:val="18"/>
                <w:szCs w:val="18"/>
              </w:rPr>
            </w:pPr>
            <w:r w:rsidRPr="00E7035D">
              <w:rPr>
                <w:rFonts w:ascii="Arial" w:eastAsia="Calibri" w:hAnsi="Arial" w:cs="Arial"/>
                <w:b/>
                <w:sz w:val="18"/>
                <w:szCs w:val="18"/>
              </w:rPr>
              <w:t>2.803.091,00</w:t>
            </w:r>
          </w:p>
        </w:tc>
        <w:tc>
          <w:tcPr>
            <w:tcW w:w="1905" w:type="dxa"/>
            <w:shd w:val="clear" w:color="auto" w:fill="BFBFBF" w:themeFill="background1" w:themeFillShade="BF"/>
          </w:tcPr>
          <w:p w14:paraId="5E08C7D5" w14:textId="77777777" w:rsidR="007B7808" w:rsidRPr="00E7035D" w:rsidRDefault="007B7808" w:rsidP="002815DB">
            <w:pPr>
              <w:jc w:val="right"/>
              <w:rPr>
                <w:rFonts w:ascii="Arial" w:eastAsia="Calibri" w:hAnsi="Arial" w:cs="Arial"/>
                <w:b/>
                <w:sz w:val="18"/>
                <w:szCs w:val="18"/>
              </w:rPr>
            </w:pPr>
          </w:p>
          <w:p w14:paraId="11E721FB" w14:textId="77777777" w:rsidR="007B7808" w:rsidRPr="00E7035D" w:rsidRDefault="007B7808" w:rsidP="002815DB">
            <w:pPr>
              <w:jc w:val="right"/>
              <w:rPr>
                <w:rFonts w:ascii="Arial" w:eastAsia="Calibri" w:hAnsi="Arial" w:cs="Arial"/>
                <w:b/>
                <w:sz w:val="18"/>
                <w:szCs w:val="18"/>
              </w:rPr>
            </w:pPr>
            <w:r>
              <w:rPr>
                <w:rFonts w:ascii="Arial" w:eastAsia="Calibri" w:hAnsi="Arial" w:cs="Arial"/>
                <w:b/>
                <w:sz w:val="18"/>
                <w:szCs w:val="18"/>
              </w:rPr>
              <w:t>2.951.025</w:t>
            </w:r>
            <w:r w:rsidRPr="00E7035D">
              <w:rPr>
                <w:rFonts w:ascii="Arial" w:eastAsia="Calibri" w:hAnsi="Arial" w:cs="Arial"/>
                <w:b/>
                <w:sz w:val="18"/>
                <w:szCs w:val="18"/>
              </w:rPr>
              <w:t>,00</w:t>
            </w:r>
          </w:p>
        </w:tc>
        <w:tc>
          <w:tcPr>
            <w:tcW w:w="1221" w:type="dxa"/>
            <w:shd w:val="clear" w:color="auto" w:fill="BFBFBF" w:themeFill="background1" w:themeFillShade="BF"/>
          </w:tcPr>
          <w:p w14:paraId="6B0F475D" w14:textId="77777777" w:rsidR="007B7808" w:rsidRPr="00E7035D" w:rsidRDefault="007B7808" w:rsidP="002815DB">
            <w:pPr>
              <w:jc w:val="right"/>
              <w:rPr>
                <w:rFonts w:ascii="Arial" w:eastAsia="Calibri" w:hAnsi="Arial" w:cs="Arial"/>
                <w:b/>
                <w:sz w:val="18"/>
                <w:szCs w:val="18"/>
              </w:rPr>
            </w:pPr>
          </w:p>
          <w:p w14:paraId="4431A8EE"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105,2</w:t>
            </w:r>
          </w:p>
        </w:tc>
      </w:tr>
      <w:tr w:rsidR="007B7808" w:rsidRPr="008B370D" w14:paraId="4B1FF214" w14:textId="77777777" w:rsidTr="002815DB">
        <w:tc>
          <w:tcPr>
            <w:tcW w:w="1500" w:type="dxa"/>
          </w:tcPr>
          <w:p w14:paraId="3B6C369C"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63</w:t>
            </w:r>
          </w:p>
        </w:tc>
        <w:tc>
          <w:tcPr>
            <w:tcW w:w="3224" w:type="dxa"/>
          </w:tcPr>
          <w:p w14:paraId="4177DD75"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POMOĆI IZ INOZ. I OD SUBJEKATA UNUTAR OPĆEG PRORAČUNA</w:t>
            </w:r>
          </w:p>
        </w:tc>
        <w:tc>
          <w:tcPr>
            <w:tcW w:w="1905" w:type="dxa"/>
          </w:tcPr>
          <w:p w14:paraId="2E77A2BA" w14:textId="77777777" w:rsidR="007B7808" w:rsidRPr="00E7035D" w:rsidRDefault="007B7808" w:rsidP="002815DB">
            <w:pPr>
              <w:jc w:val="right"/>
              <w:rPr>
                <w:rFonts w:ascii="Arial" w:eastAsia="Calibri" w:hAnsi="Arial" w:cs="Arial"/>
                <w:b/>
                <w:sz w:val="18"/>
                <w:szCs w:val="18"/>
              </w:rPr>
            </w:pPr>
          </w:p>
          <w:p w14:paraId="3EAA8F83"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2.212.317,00</w:t>
            </w:r>
          </w:p>
        </w:tc>
        <w:tc>
          <w:tcPr>
            <w:tcW w:w="1905" w:type="dxa"/>
          </w:tcPr>
          <w:p w14:paraId="30507B8B" w14:textId="77777777" w:rsidR="007B7808" w:rsidRPr="00E7035D" w:rsidRDefault="007B7808" w:rsidP="002815DB">
            <w:pPr>
              <w:jc w:val="right"/>
              <w:rPr>
                <w:rFonts w:ascii="Arial" w:eastAsia="Calibri" w:hAnsi="Arial" w:cs="Arial"/>
                <w:b/>
                <w:sz w:val="18"/>
                <w:szCs w:val="18"/>
              </w:rPr>
            </w:pPr>
          </w:p>
          <w:p w14:paraId="1AA04D01"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2.299.081,00</w:t>
            </w:r>
          </w:p>
        </w:tc>
        <w:tc>
          <w:tcPr>
            <w:tcW w:w="1221" w:type="dxa"/>
          </w:tcPr>
          <w:p w14:paraId="12B6DA1C" w14:textId="77777777" w:rsidR="007B7808" w:rsidRPr="00E7035D" w:rsidRDefault="007B7808" w:rsidP="002815DB">
            <w:pPr>
              <w:jc w:val="right"/>
              <w:rPr>
                <w:rFonts w:ascii="Arial" w:eastAsia="Calibri" w:hAnsi="Arial" w:cs="Arial"/>
                <w:b/>
                <w:sz w:val="18"/>
                <w:szCs w:val="18"/>
              </w:rPr>
            </w:pPr>
          </w:p>
          <w:p w14:paraId="0BDA273C"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103,87</w:t>
            </w:r>
          </w:p>
        </w:tc>
      </w:tr>
      <w:tr w:rsidR="007B7808" w:rsidRPr="008B370D" w14:paraId="4BD1E133" w14:textId="77777777" w:rsidTr="002815DB">
        <w:tc>
          <w:tcPr>
            <w:tcW w:w="1500" w:type="dxa"/>
            <w:shd w:val="clear" w:color="auto" w:fill="FFFFFF" w:themeFill="background1"/>
          </w:tcPr>
          <w:p w14:paraId="2396B578"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65</w:t>
            </w:r>
          </w:p>
        </w:tc>
        <w:tc>
          <w:tcPr>
            <w:tcW w:w="3224" w:type="dxa"/>
            <w:shd w:val="clear" w:color="auto" w:fill="FFFFFF" w:themeFill="background1"/>
          </w:tcPr>
          <w:p w14:paraId="67BC8C04"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PRIHODI OD UPRAVNIH I ADMIN.PRIST. PO POSEBNIM PROPISIMA I NAKNADA</w:t>
            </w:r>
          </w:p>
        </w:tc>
        <w:tc>
          <w:tcPr>
            <w:tcW w:w="1905" w:type="dxa"/>
            <w:shd w:val="clear" w:color="auto" w:fill="FFFFFF" w:themeFill="background1"/>
          </w:tcPr>
          <w:p w14:paraId="475463F9" w14:textId="77777777" w:rsidR="007B7808" w:rsidRPr="00E7035D" w:rsidRDefault="007B7808" w:rsidP="002815DB">
            <w:pPr>
              <w:jc w:val="right"/>
              <w:rPr>
                <w:rFonts w:ascii="Arial" w:eastAsia="Calibri" w:hAnsi="Arial" w:cs="Arial"/>
                <w:b/>
                <w:sz w:val="18"/>
                <w:szCs w:val="18"/>
              </w:rPr>
            </w:pPr>
          </w:p>
          <w:p w14:paraId="0B8C1E3A"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shd w:val="clear" w:color="auto" w:fill="FFFFFF" w:themeFill="background1"/>
              </w:rPr>
              <w:t>129.080</w:t>
            </w:r>
            <w:r w:rsidRPr="00E7035D">
              <w:rPr>
                <w:rFonts w:ascii="Arial" w:eastAsia="Calibri" w:hAnsi="Arial" w:cs="Arial"/>
                <w:b/>
                <w:sz w:val="18"/>
                <w:szCs w:val="18"/>
              </w:rPr>
              <w:t>,00</w:t>
            </w:r>
          </w:p>
        </w:tc>
        <w:tc>
          <w:tcPr>
            <w:tcW w:w="1905" w:type="dxa"/>
            <w:shd w:val="clear" w:color="auto" w:fill="FFFFFF" w:themeFill="background1"/>
          </w:tcPr>
          <w:p w14:paraId="19705796" w14:textId="77777777" w:rsidR="007B7808" w:rsidRPr="00E7035D" w:rsidRDefault="007B7808" w:rsidP="002815DB">
            <w:pPr>
              <w:jc w:val="right"/>
              <w:rPr>
                <w:rFonts w:ascii="Arial" w:eastAsia="Calibri" w:hAnsi="Arial" w:cs="Arial"/>
                <w:b/>
                <w:sz w:val="18"/>
                <w:szCs w:val="18"/>
              </w:rPr>
            </w:pPr>
          </w:p>
          <w:p w14:paraId="05DCD808"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131.240,00</w:t>
            </w:r>
          </w:p>
        </w:tc>
        <w:tc>
          <w:tcPr>
            <w:tcW w:w="1221" w:type="dxa"/>
            <w:shd w:val="clear" w:color="auto" w:fill="FFFFFF" w:themeFill="background1"/>
          </w:tcPr>
          <w:p w14:paraId="045869C6" w14:textId="77777777" w:rsidR="007B7808" w:rsidRPr="00E7035D" w:rsidRDefault="007B7808" w:rsidP="002815DB">
            <w:pPr>
              <w:jc w:val="right"/>
              <w:rPr>
                <w:rFonts w:ascii="Arial" w:eastAsia="Calibri" w:hAnsi="Arial" w:cs="Arial"/>
                <w:b/>
                <w:sz w:val="18"/>
                <w:szCs w:val="18"/>
              </w:rPr>
            </w:pPr>
          </w:p>
          <w:p w14:paraId="4EDE939E"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101,67</w:t>
            </w:r>
          </w:p>
        </w:tc>
      </w:tr>
      <w:tr w:rsidR="007B7808" w:rsidRPr="008B370D" w14:paraId="67544FA1" w14:textId="77777777" w:rsidTr="002815DB">
        <w:tc>
          <w:tcPr>
            <w:tcW w:w="1500" w:type="dxa"/>
          </w:tcPr>
          <w:p w14:paraId="4DB94256"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66</w:t>
            </w:r>
          </w:p>
        </w:tc>
        <w:tc>
          <w:tcPr>
            <w:tcW w:w="3224" w:type="dxa"/>
          </w:tcPr>
          <w:p w14:paraId="5732AACB"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PRIHODI OD PRODAJE PROIZVODA I ROBE TE PRUŽENIH USLUGA I PRIHODA OD DONACIJA</w:t>
            </w:r>
          </w:p>
        </w:tc>
        <w:tc>
          <w:tcPr>
            <w:tcW w:w="1905" w:type="dxa"/>
          </w:tcPr>
          <w:p w14:paraId="4DCF0782" w14:textId="77777777" w:rsidR="007B7808" w:rsidRPr="00E7035D" w:rsidRDefault="007B7808" w:rsidP="002815DB">
            <w:pPr>
              <w:jc w:val="right"/>
              <w:rPr>
                <w:rFonts w:ascii="Arial" w:eastAsia="Calibri" w:hAnsi="Arial" w:cs="Arial"/>
                <w:b/>
                <w:sz w:val="18"/>
                <w:szCs w:val="18"/>
              </w:rPr>
            </w:pPr>
          </w:p>
          <w:p w14:paraId="1A5FF74C"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4.500,00</w:t>
            </w:r>
          </w:p>
        </w:tc>
        <w:tc>
          <w:tcPr>
            <w:tcW w:w="1905" w:type="dxa"/>
          </w:tcPr>
          <w:p w14:paraId="6E9ED5C1" w14:textId="77777777" w:rsidR="007B7808" w:rsidRPr="00E7035D" w:rsidRDefault="007B7808" w:rsidP="002815DB">
            <w:pPr>
              <w:jc w:val="right"/>
              <w:rPr>
                <w:rFonts w:ascii="Arial" w:eastAsia="Calibri" w:hAnsi="Arial" w:cs="Arial"/>
                <w:b/>
                <w:sz w:val="18"/>
                <w:szCs w:val="18"/>
              </w:rPr>
            </w:pPr>
          </w:p>
          <w:p w14:paraId="5E7B4153"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6.500,00</w:t>
            </w:r>
          </w:p>
        </w:tc>
        <w:tc>
          <w:tcPr>
            <w:tcW w:w="1221" w:type="dxa"/>
          </w:tcPr>
          <w:p w14:paraId="398602DE" w14:textId="77777777" w:rsidR="007B7808" w:rsidRPr="00E7035D" w:rsidRDefault="007B7808" w:rsidP="002815DB">
            <w:pPr>
              <w:jc w:val="right"/>
              <w:rPr>
                <w:rFonts w:ascii="Arial" w:eastAsia="Calibri" w:hAnsi="Arial" w:cs="Arial"/>
                <w:b/>
                <w:sz w:val="18"/>
                <w:szCs w:val="18"/>
              </w:rPr>
            </w:pPr>
          </w:p>
          <w:p w14:paraId="6528BFD6"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144,44</w:t>
            </w:r>
          </w:p>
        </w:tc>
      </w:tr>
      <w:tr w:rsidR="007B7808" w:rsidRPr="008B370D" w14:paraId="0D7346F6" w14:textId="77777777" w:rsidTr="002815DB">
        <w:tc>
          <w:tcPr>
            <w:tcW w:w="1500" w:type="dxa"/>
          </w:tcPr>
          <w:p w14:paraId="287FB9FE"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67</w:t>
            </w:r>
          </w:p>
        </w:tc>
        <w:tc>
          <w:tcPr>
            <w:tcW w:w="3224" w:type="dxa"/>
          </w:tcPr>
          <w:p w14:paraId="470F0B55"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 xml:space="preserve">PRIHODI IZ NADLEŽNOG PRORAČUNA </w:t>
            </w:r>
          </w:p>
        </w:tc>
        <w:tc>
          <w:tcPr>
            <w:tcW w:w="1905" w:type="dxa"/>
          </w:tcPr>
          <w:p w14:paraId="27328F5A"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457.194,00</w:t>
            </w:r>
          </w:p>
        </w:tc>
        <w:tc>
          <w:tcPr>
            <w:tcW w:w="1905" w:type="dxa"/>
          </w:tcPr>
          <w:p w14:paraId="59B23082" w14:textId="77777777" w:rsidR="007B7808" w:rsidRPr="00E7035D" w:rsidRDefault="007B7808" w:rsidP="002815DB">
            <w:pPr>
              <w:jc w:val="right"/>
              <w:rPr>
                <w:rFonts w:ascii="Arial" w:eastAsia="Calibri" w:hAnsi="Arial" w:cs="Arial"/>
                <w:b/>
                <w:sz w:val="18"/>
                <w:szCs w:val="18"/>
              </w:rPr>
            </w:pPr>
            <w:r>
              <w:rPr>
                <w:rFonts w:ascii="Arial" w:eastAsia="Calibri" w:hAnsi="Arial" w:cs="Arial"/>
                <w:b/>
                <w:sz w:val="18"/>
                <w:szCs w:val="18"/>
              </w:rPr>
              <w:t>514.204,00</w:t>
            </w:r>
          </w:p>
        </w:tc>
        <w:tc>
          <w:tcPr>
            <w:tcW w:w="1221" w:type="dxa"/>
          </w:tcPr>
          <w:p w14:paraId="23FBC9A3"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112,33</w:t>
            </w:r>
          </w:p>
        </w:tc>
      </w:tr>
      <w:tr w:rsidR="007B7808" w:rsidRPr="008B370D" w14:paraId="32051050" w14:textId="77777777" w:rsidTr="007B7808">
        <w:trPr>
          <w:trHeight w:val="482"/>
        </w:trPr>
        <w:tc>
          <w:tcPr>
            <w:tcW w:w="1500" w:type="dxa"/>
            <w:shd w:val="clear" w:color="auto" w:fill="BFBFBF" w:themeFill="background1" w:themeFillShade="BF"/>
          </w:tcPr>
          <w:p w14:paraId="1A760F8E"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bCs/>
                <w:sz w:val="18"/>
                <w:szCs w:val="18"/>
              </w:rPr>
              <w:t>9</w:t>
            </w:r>
          </w:p>
        </w:tc>
        <w:tc>
          <w:tcPr>
            <w:tcW w:w="3224" w:type="dxa"/>
            <w:shd w:val="clear" w:color="auto" w:fill="BFBFBF" w:themeFill="background1" w:themeFillShade="BF"/>
          </w:tcPr>
          <w:p w14:paraId="3E3F794D" w14:textId="77777777" w:rsidR="007B7808" w:rsidRPr="00E7035D" w:rsidRDefault="007B7808" w:rsidP="002815DB">
            <w:pPr>
              <w:jc w:val="both"/>
              <w:rPr>
                <w:rFonts w:ascii="Arial" w:eastAsia="Calibri" w:hAnsi="Arial" w:cs="Arial"/>
                <w:b/>
                <w:sz w:val="18"/>
                <w:szCs w:val="18"/>
              </w:rPr>
            </w:pPr>
          </w:p>
          <w:p w14:paraId="241D5A16"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VLASTITI IZVORI</w:t>
            </w:r>
          </w:p>
        </w:tc>
        <w:tc>
          <w:tcPr>
            <w:tcW w:w="1905" w:type="dxa"/>
            <w:shd w:val="clear" w:color="auto" w:fill="BFBFBF" w:themeFill="background1" w:themeFillShade="BF"/>
          </w:tcPr>
          <w:p w14:paraId="1515D30A" w14:textId="77777777" w:rsidR="007B7808" w:rsidRPr="00E7035D" w:rsidRDefault="007B7808" w:rsidP="002815DB">
            <w:pPr>
              <w:jc w:val="right"/>
              <w:rPr>
                <w:rFonts w:ascii="Arial" w:eastAsia="Calibri" w:hAnsi="Arial" w:cs="Arial"/>
                <w:b/>
                <w:color w:val="FFE599" w:themeColor="accent4" w:themeTint="66"/>
                <w:sz w:val="18"/>
                <w:szCs w:val="18"/>
              </w:rPr>
            </w:pPr>
          </w:p>
          <w:p w14:paraId="014DE055" w14:textId="77777777" w:rsidR="007B7808" w:rsidRPr="00E7035D" w:rsidRDefault="007B7808" w:rsidP="002815DB">
            <w:pPr>
              <w:jc w:val="right"/>
              <w:rPr>
                <w:rFonts w:ascii="Arial" w:eastAsia="Calibri" w:hAnsi="Arial" w:cs="Arial"/>
                <w:b/>
                <w:color w:val="FFE599" w:themeColor="accent4" w:themeTint="66"/>
                <w:sz w:val="18"/>
                <w:szCs w:val="18"/>
              </w:rPr>
            </w:pPr>
            <w:r w:rsidRPr="00E7035D">
              <w:rPr>
                <w:rFonts w:ascii="Arial" w:eastAsia="Calibri" w:hAnsi="Arial" w:cs="Arial"/>
                <w:b/>
                <w:sz w:val="18"/>
                <w:szCs w:val="18"/>
              </w:rPr>
              <w:t>5.000,00</w:t>
            </w:r>
          </w:p>
        </w:tc>
        <w:tc>
          <w:tcPr>
            <w:tcW w:w="1905" w:type="dxa"/>
            <w:shd w:val="clear" w:color="auto" w:fill="BFBFBF" w:themeFill="background1" w:themeFillShade="BF"/>
          </w:tcPr>
          <w:p w14:paraId="23A3CB1D" w14:textId="77777777" w:rsidR="007B7808" w:rsidRPr="00E7035D" w:rsidRDefault="007B7808" w:rsidP="002815DB">
            <w:pPr>
              <w:jc w:val="right"/>
              <w:rPr>
                <w:rFonts w:ascii="Arial" w:eastAsia="Calibri" w:hAnsi="Arial" w:cs="Arial"/>
                <w:b/>
                <w:sz w:val="18"/>
                <w:szCs w:val="18"/>
              </w:rPr>
            </w:pPr>
          </w:p>
          <w:p w14:paraId="5DB3CDC8"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20.739,00</w:t>
            </w:r>
          </w:p>
        </w:tc>
        <w:tc>
          <w:tcPr>
            <w:tcW w:w="1221" w:type="dxa"/>
            <w:shd w:val="clear" w:color="auto" w:fill="BFBFBF" w:themeFill="background1" w:themeFillShade="BF"/>
          </w:tcPr>
          <w:p w14:paraId="55EA6A7A" w14:textId="77777777" w:rsidR="007B7808" w:rsidRPr="00E7035D" w:rsidRDefault="007B7808" w:rsidP="002815DB">
            <w:pPr>
              <w:jc w:val="right"/>
              <w:rPr>
                <w:rFonts w:ascii="Arial" w:eastAsia="Calibri" w:hAnsi="Arial" w:cs="Arial"/>
                <w:b/>
                <w:sz w:val="18"/>
                <w:szCs w:val="18"/>
              </w:rPr>
            </w:pPr>
          </w:p>
          <w:p w14:paraId="1D03B35F"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414,78</w:t>
            </w:r>
          </w:p>
        </w:tc>
      </w:tr>
      <w:tr w:rsidR="007B7808" w:rsidRPr="008B370D" w14:paraId="05D64B09" w14:textId="77777777" w:rsidTr="002815DB">
        <w:trPr>
          <w:trHeight w:val="404"/>
        </w:trPr>
        <w:tc>
          <w:tcPr>
            <w:tcW w:w="1500" w:type="dxa"/>
            <w:shd w:val="clear" w:color="auto" w:fill="FFFFFF" w:themeFill="background1"/>
          </w:tcPr>
          <w:p w14:paraId="074FADE0"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92</w:t>
            </w:r>
          </w:p>
        </w:tc>
        <w:tc>
          <w:tcPr>
            <w:tcW w:w="3224" w:type="dxa"/>
            <w:shd w:val="clear" w:color="auto" w:fill="FFFFFF" w:themeFill="background1"/>
          </w:tcPr>
          <w:p w14:paraId="16CE1191"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REZULTAT POSLOVANJA</w:t>
            </w:r>
          </w:p>
        </w:tc>
        <w:tc>
          <w:tcPr>
            <w:tcW w:w="1905" w:type="dxa"/>
          </w:tcPr>
          <w:p w14:paraId="7A849B13"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5.000,00</w:t>
            </w:r>
          </w:p>
        </w:tc>
        <w:tc>
          <w:tcPr>
            <w:tcW w:w="1905" w:type="dxa"/>
            <w:shd w:val="clear" w:color="auto" w:fill="FFFFFF" w:themeFill="background1"/>
          </w:tcPr>
          <w:p w14:paraId="4C3E18F8"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20.739,00</w:t>
            </w:r>
          </w:p>
        </w:tc>
        <w:tc>
          <w:tcPr>
            <w:tcW w:w="1221" w:type="dxa"/>
            <w:shd w:val="clear" w:color="auto" w:fill="FFFFFF" w:themeFill="background1"/>
          </w:tcPr>
          <w:p w14:paraId="0550BFAF"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414,78</w:t>
            </w:r>
          </w:p>
        </w:tc>
      </w:tr>
      <w:tr w:rsidR="007B7808" w:rsidRPr="008B370D" w14:paraId="3FCE2BD5" w14:textId="77777777" w:rsidTr="007B7808">
        <w:trPr>
          <w:trHeight w:val="643"/>
        </w:trPr>
        <w:tc>
          <w:tcPr>
            <w:tcW w:w="1500" w:type="dxa"/>
            <w:shd w:val="clear" w:color="auto" w:fill="A6A6A6" w:themeFill="background1" w:themeFillShade="A6"/>
          </w:tcPr>
          <w:p w14:paraId="09093D10" w14:textId="77777777" w:rsidR="007B7808" w:rsidRPr="00E7035D" w:rsidRDefault="007B7808" w:rsidP="002815DB">
            <w:pPr>
              <w:jc w:val="both"/>
              <w:rPr>
                <w:rFonts w:ascii="Arial" w:eastAsia="Calibri" w:hAnsi="Arial" w:cs="Arial"/>
                <w:b/>
                <w:sz w:val="18"/>
                <w:szCs w:val="18"/>
              </w:rPr>
            </w:pPr>
          </w:p>
        </w:tc>
        <w:tc>
          <w:tcPr>
            <w:tcW w:w="3224" w:type="dxa"/>
            <w:shd w:val="clear" w:color="auto" w:fill="A6A6A6" w:themeFill="background1" w:themeFillShade="A6"/>
          </w:tcPr>
          <w:p w14:paraId="42784968" w14:textId="77777777" w:rsidR="007B7808" w:rsidRPr="00E7035D" w:rsidRDefault="007B7808" w:rsidP="002815DB">
            <w:pPr>
              <w:jc w:val="both"/>
              <w:rPr>
                <w:rFonts w:ascii="Arial" w:eastAsia="Calibri" w:hAnsi="Arial" w:cs="Arial"/>
                <w:b/>
                <w:sz w:val="18"/>
                <w:szCs w:val="18"/>
              </w:rPr>
            </w:pPr>
          </w:p>
          <w:p w14:paraId="1BA4F645"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SVEUKUPNI PRIHODI 6+9</w:t>
            </w:r>
          </w:p>
        </w:tc>
        <w:tc>
          <w:tcPr>
            <w:tcW w:w="1905" w:type="dxa"/>
            <w:shd w:val="clear" w:color="auto" w:fill="A6A6A6" w:themeFill="background1" w:themeFillShade="A6"/>
          </w:tcPr>
          <w:p w14:paraId="22888697" w14:textId="77777777" w:rsidR="007B7808" w:rsidRPr="00E7035D" w:rsidRDefault="007B7808" w:rsidP="002815DB">
            <w:pPr>
              <w:jc w:val="right"/>
              <w:rPr>
                <w:rFonts w:ascii="Arial" w:eastAsia="Calibri" w:hAnsi="Arial" w:cs="Arial"/>
                <w:b/>
                <w:sz w:val="18"/>
                <w:szCs w:val="18"/>
              </w:rPr>
            </w:pPr>
          </w:p>
          <w:p w14:paraId="6AA01A4E"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2.808.091,00</w:t>
            </w:r>
          </w:p>
        </w:tc>
        <w:tc>
          <w:tcPr>
            <w:tcW w:w="1905" w:type="dxa"/>
            <w:shd w:val="clear" w:color="auto" w:fill="A6A6A6" w:themeFill="background1" w:themeFillShade="A6"/>
          </w:tcPr>
          <w:p w14:paraId="1B1E1F2B" w14:textId="77777777" w:rsidR="007B7808" w:rsidRPr="00E7035D" w:rsidRDefault="007B7808" w:rsidP="002815DB">
            <w:pPr>
              <w:jc w:val="right"/>
              <w:rPr>
                <w:rFonts w:ascii="Arial" w:eastAsia="Calibri" w:hAnsi="Arial" w:cs="Arial"/>
                <w:b/>
                <w:sz w:val="18"/>
                <w:szCs w:val="18"/>
              </w:rPr>
            </w:pPr>
          </w:p>
          <w:p w14:paraId="6D9E7F9F"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2.9</w:t>
            </w:r>
            <w:r>
              <w:rPr>
                <w:rFonts w:ascii="Arial" w:eastAsia="Calibri" w:hAnsi="Arial" w:cs="Arial"/>
                <w:b/>
                <w:sz w:val="18"/>
                <w:szCs w:val="18"/>
              </w:rPr>
              <w:t>7</w:t>
            </w:r>
            <w:r w:rsidRPr="00E7035D">
              <w:rPr>
                <w:rFonts w:ascii="Arial" w:eastAsia="Calibri" w:hAnsi="Arial" w:cs="Arial"/>
                <w:b/>
                <w:sz w:val="18"/>
                <w:szCs w:val="18"/>
              </w:rPr>
              <w:t>1.</w:t>
            </w:r>
            <w:r>
              <w:rPr>
                <w:rFonts w:ascii="Arial" w:eastAsia="Calibri" w:hAnsi="Arial" w:cs="Arial"/>
                <w:b/>
                <w:sz w:val="18"/>
                <w:szCs w:val="18"/>
              </w:rPr>
              <w:t>764</w:t>
            </w:r>
            <w:r w:rsidRPr="00E7035D">
              <w:rPr>
                <w:rFonts w:ascii="Arial" w:eastAsia="Calibri" w:hAnsi="Arial" w:cs="Arial"/>
                <w:b/>
                <w:sz w:val="18"/>
                <w:szCs w:val="18"/>
              </w:rPr>
              <w:t>,00</w:t>
            </w:r>
          </w:p>
        </w:tc>
        <w:tc>
          <w:tcPr>
            <w:tcW w:w="1221" w:type="dxa"/>
            <w:shd w:val="clear" w:color="auto" w:fill="A6A6A6" w:themeFill="background1" w:themeFillShade="A6"/>
          </w:tcPr>
          <w:p w14:paraId="7492F025" w14:textId="77777777" w:rsidR="007B7808" w:rsidRPr="00E7035D" w:rsidRDefault="007B7808" w:rsidP="002815DB">
            <w:pPr>
              <w:jc w:val="right"/>
              <w:rPr>
                <w:rFonts w:ascii="Arial" w:eastAsia="Calibri" w:hAnsi="Arial" w:cs="Arial"/>
                <w:b/>
                <w:sz w:val="18"/>
                <w:szCs w:val="18"/>
              </w:rPr>
            </w:pPr>
          </w:p>
          <w:p w14:paraId="44139F2C"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106,16</w:t>
            </w:r>
          </w:p>
        </w:tc>
      </w:tr>
      <w:tr w:rsidR="007B7808" w:rsidRPr="008B370D" w14:paraId="693981BC" w14:textId="77777777" w:rsidTr="007B7808">
        <w:trPr>
          <w:trHeight w:val="412"/>
        </w:trPr>
        <w:tc>
          <w:tcPr>
            <w:tcW w:w="1500" w:type="dxa"/>
            <w:shd w:val="clear" w:color="auto" w:fill="BFBFBF" w:themeFill="background1" w:themeFillShade="BF"/>
          </w:tcPr>
          <w:p w14:paraId="637463D7"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3</w:t>
            </w:r>
          </w:p>
        </w:tc>
        <w:tc>
          <w:tcPr>
            <w:tcW w:w="3224" w:type="dxa"/>
            <w:shd w:val="clear" w:color="auto" w:fill="BFBFBF" w:themeFill="background1" w:themeFillShade="BF"/>
          </w:tcPr>
          <w:p w14:paraId="03272AAB" w14:textId="77777777" w:rsidR="007B7808" w:rsidRPr="00E7035D" w:rsidRDefault="007B7808" w:rsidP="002815DB">
            <w:pPr>
              <w:jc w:val="both"/>
              <w:rPr>
                <w:rFonts w:ascii="Arial" w:eastAsia="Calibri" w:hAnsi="Arial" w:cs="Arial"/>
                <w:b/>
                <w:sz w:val="18"/>
                <w:szCs w:val="18"/>
              </w:rPr>
            </w:pPr>
          </w:p>
          <w:p w14:paraId="109C8364"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RASHODI POSLOVANJA</w:t>
            </w:r>
          </w:p>
        </w:tc>
        <w:tc>
          <w:tcPr>
            <w:tcW w:w="1905" w:type="dxa"/>
            <w:shd w:val="clear" w:color="auto" w:fill="BFBFBF" w:themeFill="background1" w:themeFillShade="BF"/>
          </w:tcPr>
          <w:p w14:paraId="5F695FAE" w14:textId="77777777" w:rsidR="007B7808" w:rsidRPr="00E7035D" w:rsidRDefault="007B7808" w:rsidP="002815DB">
            <w:pPr>
              <w:jc w:val="right"/>
              <w:rPr>
                <w:rFonts w:ascii="Arial" w:eastAsia="Calibri" w:hAnsi="Arial" w:cs="Arial"/>
                <w:b/>
                <w:sz w:val="18"/>
                <w:szCs w:val="18"/>
              </w:rPr>
            </w:pPr>
          </w:p>
          <w:p w14:paraId="68888A93"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2.695.149,00</w:t>
            </w:r>
          </w:p>
        </w:tc>
        <w:tc>
          <w:tcPr>
            <w:tcW w:w="1905" w:type="dxa"/>
            <w:shd w:val="clear" w:color="auto" w:fill="BFBFBF" w:themeFill="background1" w:themeFillShade="BF"/>
          </w:tcPr>
          <w:p w14:paraId="5939069D" w14:textId="77777777" w:rsidR="007B7808" w:rsidRPr="00E7035D" w:rsidRDefault="007B7808" w:rsidP="002815DB">
            <w:pPr>
              <w:jc w:val="right"/>
              <w:rPr>
                <w:rFonts w:ascii="Arial" w:eastAsia="Calibri" w:hAnsi="Arial" w:cs="Arial"/>
                <w:b/>
                <w:sz w:val="18"/>
                <w:szCs w:val="18"/>
              </w:rPr>
            </w:pPr>
          </w:p>
          <w:p w14:paraId="7BBF8D5F"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2.847.</w:t>
            </w:r>
            <w:r>
              <w:rPr>
                <w:rFonts w:ascii="Arial" w:eastAsia="Calibri" w:hAnsi="Arial" w:cs="Arial"/>
                <w:b/>
                <w:sz w:val="18"/>
                <w:szCs w:val="18"/>
              </w:rPr>
              <w:t>74</w:t>
            </w:r>
            <w:r w:rsidRPr="00E7035D">
              <w:rPr>
                <w:rFonts w:ascii="Arial" w:eastAsia="Calibri" w:hAnsi="Arial" w:cs="Arial"/>
                <w:b/>
                <w:sz w:val="18"/>
                <w:szCs w:val="18"/>
              </w:rPr>
              <w:t>1,00</w:t>
            </w:r>
          </w:p>
        </w:tc>
        <w:tc>
          <w:tcPr>
            <w:tcW w:w="1221" w:type="dxa"/>
            <w:shd w:val="clear" w:color="auto" w:fill="BFBFBF" w:themeFill="background1" w:themeFillShade="BF"/>
          </w:tcPr>
          <w:p w14:paraId="7E9F7BA1" w14:textId="77777777" w:rsidR="007B7808" w:rsidRPr="00E7035D" w:rsidRDefault="007B7808" w:rsidP="002815DB">
            <w:pPr>
              <w:jc w:val="right"/>
              <w:rPr>
                <w:rFonts w:ascii="Arial" w:eastAsia="Calibri" w:hAnsi="Arial" w:cs="Arial"/>
                <w:b/>
                <w:sz w:val="18"/>
                <w:szCs w:val="18"/>
              </w:rPr>
            </w:pPr>
          </w:p>
          <w:p w14:paraId="4756D516"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105,064</w:t>
            </w:r>
          </w:p>
        </w:tc>
      </w:tr>
      <w:tr w:rsidR="007B7808" w:rsidRPr="008B370D" w14:paraId="4724388B" w14:textId="77777777" w:rsidTr="002815DB">
        <w:trPr>
          <w:trHeight w:val="536"/>
        </w:trPr>
        <w:tc>
          <w:tcPr>
            <w:tcW w:w="1500" w:type="dxa"/>
          </w:tcPr>
          <w:p w14:paraId="5E32F3D8"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31</w:t>
            </w:r>
          </w:p>
        </w:tc>
        <w:tc>
          <w:tcPr>
            <w:tcW w:w="3224" w:type="dxa"/>
          </w:tcPr>
          <w:p w14:paraId="63C18A8C"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RASHODI ZA ZAPOSLENE</w:t>
            </w:r>
          </w:p>
        </w:tc>
        <w:tc>
          <w:tcPr>
            <w:tcW w:w="1905" w:type="dxa"/>
            <w:shd w:val="clear" w:color="auto" w:fill="FFFFFF" w:themeFill="background1"/>
          </w:tcPr>
          <w:p w14:paraId="12ECF7FA"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2.209.867,00</w:t>
            </w:r>
          </w:p>
        </w:tc>
        <w:tc>
          <w:tcPr>
            <w:tcW w:w="1905" w:type="dxa"/>
          </w:tcPr>
          <w:p w14:paraId="27F1E081"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2.322.860,00</w:t>
            </w:r>
          </w:p>
        </w:tc>
        <w:tc>
          <w:tcPr>
            <w:tcW w:w="1221" w:type="dxa"/>
          </w:tcPr>
          <w:p w14:paraId="053E6E90"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105,11</w:t>
            </w:r>
          </w:p>
        </w:tc>
      </w:tr>
      <w:tr w:rsidR="007B7808" w:rsidRPr="008B370D" w14:paraId="17B14C5D" w14:textId="77777777" w:rsidTr="002815DB">
        <w:tc>
          <w:tcPr>
            <w:tcW w:w="1500" w:type="dxa"/>
          </w:tcPr>
          <w:p w14:paraId="539A091B"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32</w:t>
            </w:r>
          </w:p>
        </w:tc>
        <w:tc>
          <w:tcPr>
            <w:tcW w:w="3224" w:type="dxa"/>
          </w:tcPr>
          <w:p w14:paraId="575C3E21"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MATERIJALNI RASHODI</w:t>
            </w:r>
          </w:p>
        </w:tc>
        <w:tc>
          <w:tcPr>
            <w:tcW w:w="1905" w:type="dxa"/>
            <w:shd w:val="clear" w:color="auto" w:fill="FFFFFF" w:themeFill="background1"/>
          </w:tcPr>
          <w:p w14:paraId="08C8525B"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473.942,00</w:t>
            </w:r>
          </w:p>
        </w:tc>
        <w:tc>
          <w:tcPr>
            <w:tcW w:w="1905" w:type="dxa"/>
          </w:tcPr>
          <w:p w14:paraId="080C22C9" w14:textId="77777777" w:rsidR="007B7808" w:rsidRPr="00E7035D" w:rsidRDefault="007B7808" w:rsidP="002815DB">
            <w:pPr>
              <w:jc w:val="right"/>
              <w:rPr>
                <w:rFonts w:ascii="Arial" w:eastAsia="Calibri" w:hAnsi="Arial" w:cs="Arial"/>
                <w:b/>
                <w:sz w:val="18"/>
                <w:szCs w:val="18"/>
              </w:rPr>
            </w:pPr>
            <w:r>
              <w:rPr>
                <w:rFonts w:ascii="Arial" w:eastAsia="Calibri" w:hAnsi="Arial" w:cs="Arial"/>
                <w:b/>
                <w:sz w:val="18"/>
                <w:szCs w:val="18"/>
              </w:rPr>
              <w:t>513.805</w:t>
            </w:r>
            <w:r w:rsidRPr="00E7035D">
              <w:rPr>
                <w:rFonts w:ascii="Arial" w:eastAsia="Calibri" w:hAnsi="Arial" w:cs="Arial"/>
                <w:b/>
                <w:sz w:val="18"/>
                <w:szCs w:val="18"/>
              </w:rPr>
              <w:t>,00</w:t>
            </w:r>
          </w:p>
          <w:p w14:paraId="549F3590" w14:textId="77777777" w:rsidR="007B7808" w:rsidRPr="00E7035D" w:rsidRDefault="007B7808" w:rsidP="002815DB">
            <w:pPr>
              <w:jc w:val="center"/>
              <w:rPr>
                <w:rFonts w:ascii="Arial" w:eastAsia="Calibri" w:hAnsi="Arial" w:cs="Arial"/>
                <w:b/>
                <w:sz w:val="18"/>
                <w:szCs w:val="18"/>
              </w:rPr>
            </w:pPr>
          </w:p>
        </w:tc>
        <w:tc>
          <w:tcPr>
            <w:tcW w:w="1221" w:type="dxa"/>
          </w:tcPr>
          <w:p w14:paraId="7AD6A628"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108,28</w:t>
            </w:r>
          </w:p>
        </w:tc>
      </w:tr>
      <w:tr w:rsidR="007B7808" w:rsidRPr="00D35793" w14:paraId="618D0BA5" w14:textId="77777777" w:rsidTr="002815DB">
        <w:tc>
          <w:tcPr>
            <w:tcW w:w="1500" w:type="dxa"/>
          </w:tcPr>
          <w:p w14:paraId="07CB3AC5"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34</w:t>
            </w:r>
          </w:p>
        </w:tc>
        <w:tc>
          <w:tcPr>
            <w:tcW w:w="3224" w:type="dxa"/>
          </w:tcPr>
          <w:p w14:paraId="1A9A46C6"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FINANCIJSKI RASHODI</w:t>
            </w:r>
          </w:p>
        </w:tc>
        <w:tc>
          <w:tcPr>
            <w:tcW w:w="1905" w:type="dxa"/>
          </w:tcPr>
          <w:p w14:paraId="2B99DE0B"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0,00</w:t>
            </w:r>
          </w:p>
        </w:tc>
        <w:tc>
          <w:tcPr>
            <w:tcW w:w="1905" w:type="dxa"/>
          </w:tcPr>
          <w:p w14:paraId="48E803BE"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0,00</w:t>
            </w:r>
          </w:p>
        </w:tc>
        <w:tc>
          <w:tcPr>
            <w:tcW w:w="1221" w:type="dxa"/>
          </w:tcPr>
          <w:p w14:paraId="07E46F43"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0,00</w:t>
            </w:r>
          </w:p>
        </w:tc>
      </w:tr>
      <w:tr w:rsidR="007B7808" w:rsidRPr="00D35793" w14:paraId="3159E715" w14:textId="77777777" w:rsidTr="002815DB">
        <w:tc>
          <w:tcPr>
            <w:tcW w:w="1500" w:type="dxa"/>
          </w:tcPr>
          <w:p w14:paraId="7B049C85"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37</w:t>
            </w:r>
          </w:p>
        </w:tc>
        <w:tc>
          <w:tcPr>
            <w:tcW w:w="3224" w:type="dxa"/>
          </w:tcPr>
          <w:p w14:paraId="7AF58383"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NAKNADA GRAĐANIMA I KUĆANSTVIMA NA TEMELJU OSIGURANJA I DRUGE NAKNADE (radni udžbenici)</w:t>
            </w:r>
          </w:p>
        </w:tc>
        <w:tc>
          <w:tcPr>
            <w:tcW w:w="1905" w:type="dxa"/>
          </w:tcPr>
          <w:p w14:paraId="37C339B1" w14:textId="77777777" w:rsidR="007B7808" w:rsidRPr="00E7035D" w:rsidRDefault="007B7808" w:rsidP="002815DB">
            <w:pPr>
              <w:jc w:val="right"/>
              <w:rPr>
                <w:rFonts w:ascii="Arial" w:eastAsia="Calibri" w:hAnsi="Arial" w:cs="Arial"/>
                <w:b/>
                <w:sz w:val="18"/>
                <w:szCs w:val="18"/>
              </w:rPr>
            </w:pPr>
          </w:p>
          <w:p w14:paraId="578913F1" w14:textId="77777777" w:rsidR="007B7808" w:rsidRPr="00E7035D" w:rsidRDefault="007B7808" w:rsidP="002815DB">
            <w:pPr>
              <w:jc w:val="right"/>
              <w:rPr>
                <w:rFonts w:ascii="Arial" w:eastAsia="Calibri" w:hAnsi="Arial" w:cs="Arial"/>
                <w:b/>
                <w:sz w:val="18"/>
                <w:szCs w:val="18"/>
              </w:rPr>
            </w:pPr>
          </w:p>
          <w:p w14:paraId="40CED9D2"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10.000,00</w:t>
            </w:r>
          </w:p>
        </w:tc>
        <w:tc>
          <w:tcPr>
            <w:tcW w:w="1905" w:type="dxa"/>
          </w:tcPr>
          <w:p w14:paraId="5A871BE3" w14:textId="77777777" w:rsidR="007B7808" w:rsidRPr="00E7035D" w:rsidRDefault="007B7808" w:rsidP="002815DB">
            <w:pPr>
              <w:jc w:val="right"/>
              <w:rPr>
                <w:rFonts w:ascii="Arial" w:eastAsia="Calibri" w:hAnsi="Arial" w:cs="Arial"/>
                <w:b/>
                <w:sz w:val="18"/>
                <w:szCs w:val="18"/>
              </w:rPr>
            </w:pPr>
          </w:p>
          <w:p w14:paraId="0C45C210" w14:textId="77777777" w:rsidR="007B7808" w:rsidRPr="00E7035D" w:rsidRDefault="007B7808" w:rsidP="002815DB">
            <w:pPr>
              <w:jc w:val="right"/>
              <w:rPr>
                <w:rFonts w:ascii="Arial" w:eastAsia="Calibri" w:hAnsi="Arial" w:cs="Arial"/>
                <w:b/>
                <w:sz w:val="18"/>
                <w:szCs w:val="18"/>
              </w:rPr>
            </w:pPr>
          </w:p>
          <w:p w14:paraId="6B32972F"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10.000,00</w:t>
            </w:r>
          </w:p>
        </w:tc>
        <w:tc>
          <w:tcPr>
            <w:tcW w:w="1221" w:type="dxa"/>
          </w:tcPr>
          <w:p w14:paraId="0EDEC8D5" w14:textId="77777777" w:rsidR="007B7808" w:rsidRPr="00E7035D" w:rsidRDefault="007B7808" w:rsidP="002815DB">
            <w:pPr>
              <w:jc w:val="right"/>
              <w:rPr>
                <w:rFonts w:ascii="Arial" w:eastAsia="Calibri" w:hAnsi="Arial" w:cs="Arial"/>
                <w:b/>
                <w:sz w:val="18"/>
                <w:szCs w:val="18"/>
              </w:rPr>
            </w:pPr>
          </w:p>
          <w:p w14:paraId="13CB5671" w14:textId="77777777" w:rsidR="007B7808" w:rsidRPr="00E7035D" w:rsidRDefault="007B7808" w:rsidP="002815DB">
            <w:pPr>
              <w:jc w:val="right"/>
              <w:rPr>
                <w:rFonts w:ascii="Arial" w:eastAsia="Calibri" w:hAnsi="Arial" w:cs="Arial"/>
                <w:b/>
                <w:sz w:val="18"/>
                <w:szCs w:val="18"/>
              </w:rPr>
            </w:pPr>
          </w:p>
          <w:p w14:paraId="7ABFF654"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100,00</w:t>
            </w:r>
          </w:p>
        </w:tc>
      </w:tr>
      <w:tr w:rsidR="007B7808" w:rsidRPr="008B370D" w14:paraId="5D9B4887" w14:textId="77777777" w:rsidTr="00477569">
        <w:trPr>
          <w:trHeight w:val="354"/>
        </w:trPr>
        <w:tc>
          <w:tcPr>
            <w:tcW w:w="1500" w:type="dxa"/>
          </w:tcPr>
          <w:p w14:paraId="6102E020"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38</w:t>
            </w:r>
          </w:p>
        </w:tc>
        <w:tc>
          <w:tcPr>
            <w:tcW w:w="3224" w:type="dxa"/>
          </w:tcPr>
          <w:p w14:paraId="465D211D"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OSTALI RASHODI</w:t>
            </w:r>
          </w:p>
        </w:tc>
        <w:tc>
          <w:tcPr>
            <w:tcW w:w="1905" w:type="dxa"/>
          </w:tcPr>
          <w:p w14:paraId="1C2E53F7"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1.340,00</w:t>
            </w:r>
          </w:p>
        </w:tc>
        <w:tc>
          <w:tcPr>
            <w:tcW w:w="1905" w:type="dxa"/>
          </w:tcPr>
          <w:p w14:paraId="1FB4D4C1"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1.076,00</w:t>
            </w:r>
          </w:p>
        </w:tc>
        <w:tc>
          <w:tcPr>
            <w:tcW w:w="1221" w:type="dxa"/>
          </w:tcPr>
          <w:p w14:paraId="39ADDA44"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80,30</w:t>
            </w:r>
          </w:p>
        </w:tc>
      </w:tr>
      <w:tr w:rsidR="007B7808" w:rsidRPr="008B370D" w14:paraId="165EDA68" w14:textId="77777777" w:rsidTr="007B7808">
        <w:trPr>
          <w:trHeight w:val="378"/>
        </w:trPr>
        <w:tc>
          <w:tcPr>
            <w:tcW w:w="1500" w:type="dxa"/>
            <w:shd w:val="clear" w:color="auto" w:fill="BFBFBF" w:themeFill="background1" w:themeFillShade="BF"/>
          </w:tcPr>
          <w:p w14:paraId="293A5D7A"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bCs/>
                <w:sz w:val="18"/>
                <w:szCs w:val="18"/>
              </w:rPr>
              <w:t>9</w:t>
            </w:r>
          </w:p>
        </w:tc>
        <w:tc>
          <w:tcPr>
            <w:tcW w:w="3224" w:type="dxa"/>
            <w:shd w:val="clear" w:color="auto" w:fill="BFBFBF" w:themeFill="background1" w:themeFillShade="BF"/>
          </w:tcPr>
          <w:p w14:paraId="3F20E384"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VLASTITI IZVORI</w:t>
            </w:r>
          </w:p>
        </w:tc>
        <w:tc>
          <w:tcPr>
            <w:tcW w:w="1905" w:type="dxa"/>
            <w:shd w:val="clear" w:color="auto" w:fill="BFBFBF" w:themeFill="background1" w:themeFillShade="BF"/>
          </w:tcPr>
          <w:p w14:paraId="6BC522C1"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0,00</w:t>
            </w:r>
          </w:p>
        </w:tc>
        <w:tc>
          <w:tcPr>
            <w:tcW w:w="1905" w:type="dxa"/>
            <w:shd w:val="clear" w:color="auto" w:fill="BFBFBF" w:themeFill="background1" w:themeFillShade="BF"/>
          </w:tcPr>
          <w:p w14:paraId="04D34439"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19.751,00</w:t>
            </w:r>
          </w:p>
        </w:tc>
        <w:tc>
          <w:tcPr>
            <w:tcW w:w="1221" w:type="dxa"/>
            <w:shd w:val="clear" w:color="auto" w:fill="BFBFBF" w:themeFill="background1" w:themeFillShade="BF"/>
          </w:tcPr>
          <w:p w14:paraId="37ECE6CB"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0,00</w:t>
            </w:r>
          </w:p>
        </w:tc>
      </w:tr>
      <w:tr w:rsidR="007B7808" w:rsidRPr="008B370D" w14:paraId="1C539FB2" w14:textId="77777777" w:rsidTr="002815DB">
        <w:tc>
          <w:tcPr>
            <w:tcW w:w="1500" w:type="dxa"/>
          </w:tcPr>
          <w:p w14:paraId="4FED8765"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92</w:t>
            </w:r>
          </w:p>
        </w:tc>
        <w:tc>
          <w:tcPr>
            <w:tcW w:w="3224" w:type="dxa"/>
          </w:tcPr>
          <w:p w14:paraId="66700FB2"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REZULTAT POSLOVANJA</w:t>
            </w:r>
          </w:p>
        </w:tc>
        <w:tc>
          <w:tcPr>
            <w:tcW w:w="1905" w:type="dxa"/>
          </w:tcPr>
          <w:p w14:paraId="74170FFB"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0,00</w:t>
            </w:r>
          </w:p>
        </w:tc>
        <w:tc>
          <w:tcPr>
            <w:tcW w:w="1905" w:type="dxa"/>
          </w:tcPr>
          <w:p w14:paraId="33CCF4BD"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19.751,00</w:t>
            </w:r>
          </w:p>
        </w:tc>
        <w:tc>
          <w:tcPr>
            <w:tcW w:w="1221" w:type="dxa"/>
          </w:tcPr>
          <w:p w14:paraId="58D5C782"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0,00</w:t>
            </w:r>
          </w:p>
        </w:tc>
      </w:tr>
      <w:tr w:rsidR="007B7808" w:rsidRPr="008B370D" w14:paraId="7593D981" w14:textId="77777777" w:rsidTr="007B7808">
        <w:tc>
          <w:tcPr>
            <w:tcW w:w="1500" w:type="dxa"/>
            <w:shd w:val="clear" w:color="auto" w:fill="BFBFBF" w:themeFill="background1" w:themeFillShade="BF"/>
          </w:tcPr>
          <w:p w14:paraId="4F221E7E"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4</w:t>
            </w:r>
          </w:p>
        </w:tc>
        <w:tc>
          <w:tcPr>
            <w:tcW w:w="3224" w:type="dxa"/>
            <w:shd w:val="clear" w:color="auto" w:fill="BFBFBF" w:themeFill="background1" w:themeFillShade="BF"/>
          </w:tcPr>
          <w:p w14:paraId="6AF8B5C4"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RASHODI ZA NABAVU NEFINANCIJSKE IMOVINE</w:t>
            </w:r>
          </w:p>
        </w:tc>
        <w:tc>
          <w:tcPr>
            <w:tcW w:w="1905" w:type="dxa"/>
            <w:shd w:val="clear" w:color="auto" w:fill="BFBFBF" w:themeFill="background1" w:themeFillShade="BF"/>
          </w:tcPr>
          <w:p w14:paraId="626212EB" w14:textId="77777777" w:rsidR="007B7808" w:rsidRPr="00E7035D" w:rsidRDefault="007B7808" w:rsidP="002815DB">
            <w:pPr>
              <w:jc w:val="right"/>
              <w:rPr>
                <w:rFonts w:ascii="Arial" w:eastAsia="Calibri" w:hAnsi="Arial" w:cs="Arial"/>
                <w:b/>
                <w:sz w:val="18"/>
                <w:szCs w:val="18"/>
              </w:rPr>
            </w:pPr>
          </w:p>
          <w:p w14:paraId="677C9ECE"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112.942,00</w:t>
            </w:r>
          </w:p>
        </w:tc>
        <w:tc>
          <w:tcPr>
            <w:tcW w:w="1905" w:type="dxa"/>
            <w:shd w:val="clear" w:color="auto" w:fill="BFBFBF" w:themeFill="background1" w:themeFillShade="BF"/>
          </w:tcPr>
          <w:p w14:paraId="32E53215" w14:textId="77777777" w:rsidR="007B7808" w:rsidRPr="00E7035D" w:rsidRDefault="007B7808" w:rsidP="002815DB">
            <w:pPr>
              <w:jc w:val="right"/>
              <w:rPr>
                <w:rFonts w:ascii="Arial" w:eastAsia="Calibri" w:hAnsi="Arial" w:cs="Arial"/>
                <w:b/>
                <w:sz w:val="18"/>
                <w:szCs w:val="18"/>
              </w:rPr>
            </w:pPr>
          </w:p>
          <w:p w14:paraId="1DBF2307"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114.272,00</w:t>
            </w:r>
          </w:p>
        </w:tc>
        <w:tc>
          <w:tcPr>
            <w:tcW w:w="1221" w:type="dxa"/>
            <w:shd w:val="clear" w:color="auto" w:fill="BFBFBF" w:themeFill="background1" w:themeFillShade="BF"/>
          </w:tcPr>
          <w:p w14:paraId="48AF7D63" w14:textId="77777777" w:rsidR="007B7808" w:rsidRPr="00E7035D" w:rsidRDefault="007B7808" w:rsidP="002815DB">
            <w:pPr>
              <w:jc w:val="right"/>
              <w:rPr>
                <w:rFonts w:ascii="Arial" w:eastAsia="Calibri" w:hAnsi="Arial" w:cs="Arial"/>
                <w:b/>
                <w:sz w:val="18"/>
                <w:szCs w:val="18"/>
              </w:rPr>
            </w:pPr>
          </w:p>
          <w:p w14:paraId="0F6A2180"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101,18</w:t>
            </w:r>
          </w:p>
        </w:tc>
      </w:tr>
      <w:tr w:rsidR="007B7808" w:rsidRPr="008B370D" w14:paraId="75EFA35E" w14:textId="77777777" w:rsidTr="002815DB">
        <w:tc>
          <w:tcPr>
            <w:tcW w:w="1500" w:type="dxa"/>
          </w:tcPr>
          <w:p w14:paraId="440C17EF"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42</w:t>
            </w:r>
          </w:p>
        </w:tc>
        <w:tc>
          <w:tcPr>
            <w:tcW w:w="3224" w:type="dxa"/>
          </w:tcPr>
          <w:p w14:paraId="1EFEFF39"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RASHODI ZA NABAVU PROIZVEDENE DUGOTRAJNE IMOVINE</w:t>
            </w:r>
          </w:p>
        </w:tc>
        <w:tc>
          <w:tcPr>
            <w:tcW w:w="1905" w:type="dxa"/>
          </w:tcPr>
          <w:p w14:paraId="3791E78D" w14:textId="77777777" w:rsidR="007B7808" w:rsidRPr="00E7035D" w:rsidRDefault="007B7808" w:rsidP="002815DB">
            <w:pPr>
              <w:jc w:val="right"/>
              <w:rPr>
                <w:rFonts w:ascii="Arial" w:eastAsia="Calibri" w:hAnsi="Arial" w:cs="Arial"/>
                <w:b/>
                <w:sz w:val="18"/>
                <w:szCs w:val="18"/>
              </w:rPr>
            </w:pPr>
          </w:p>
          <w:p w14:paraId="736CEEC0"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112.942,00</w:t>
            </w:r>
          </w:p>
        </w:tc>
        <w:tc>
          <w:tcPr>
            <w:tcW w:w="1905" w:type="dxa"/>
          </w:tcPr>
          <w:p w14:paraId="3510367C" w14:textId="77777777" w:rsidR="007B7808" w:rsidRPr="00E7035D" w:rsidRDefault="007B7808" w:rsidP="002815DB">
            <w:pPr>
              <w:jc w:val="right"/>
              <w:rPr>
                <w:rFonts w:ascii="Arial" w:eastAsia="Calibri" w:hAnsi="Arial" w:cs="Arial"/>
                <w:b/>
                <w:sz w:val="18"/>
                <w:szCs w:val="18"/>
              </w:rPr>
            </w:pPr>
          </w:p>
          <w:p w14:paraId="4A06FAE7"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64.272,00</w:t>
            </w:r>
          </w:p>
        </w:tc>
        <w:tc>
          <w:tcPr>
            <w:tcW w:w="1221" w:type="dxa"/>
          </w:tcPr>
          <w:p w14:paraId="08D4512E" w14:textId="77777777" w:rsidR="007B7808" w:rsidRPr="00E7035D" w:rsidRDefault="007B7808" w:rsidP="002815DB">
            <w:pPr>
              <w:jc w:val="right"/>
              <w:rPr>
                <w:rFonts w:ascii="Arial" w:eastAsia="Calibri" w:hAnsi="Arial" w:cs="Arial"/>
                <w:b/>
                <w:sz w:val="18"/>
                <w:szCs w:val="18"/>
              </w:rPr>
            </w:pPr>
          </w:p>
          <w:p w14:paraId="543AFC58"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56,91</w:t>
            </w:r>
          </w:p>
        </w:tc>
      </w:tr>
      <w:tr w:rsidR="007B7808" w:rsidRPr="008B370D" w14:paraId="0CA9A1BA" w14:textId="77777777" w:rsidTr="002815DB">
        <w:tc>
          <w:tcPr>
            <w:tcW w:w="1500" w:type="dxa"/>
          </w:tcPr>
          <w:p w14:paraId="055B4078"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45</w:t>
            </w:r>
          </w:p>
        </w:tc>
        <w:tc>
          <w:tcPr>
            <w:tcW w:w="3224" w:type="dxa"/>
          </w:tcPr>
          <w:p w14:paraId="18C4DDB0" w14:textId="77777777" w:rsidR="007B7808" w:rsidRPr="00E7035D" w:rsidRDefault="007B7808" w:rsidP="002815DB">
            <w:pPr>
              <w:jc w:val="both"/>
              <w:rPr>
                <w:rFonts w:ascii="Arial" w:eastAsia="Calibri" w:hAnsi="Arial" w:cs="Arial"/>
                <w:b/>
                <w:sz w:val="18"/>
                <w:szCs w:val="18"/>
              </w:rPr>
            </w:pPr>
            <w:r w:rsidRPr="00E7035D">
              <w:rPr>
                <w:rFonts w:ascii="Arial" w:eastAsia="Calibri" w:hAnsi="Arial" w:cs="Arial"/>
                <w:b/>
                <w:sz w:val="18"/>
                <w:szCs w:val="18"/>
              </w:rPr>
              <w:t>RASHODI ZA DODATNA ULAGANJA NA NEFINAN. IMOVINI</w:t>
            </w:r>
          </w:p>
        </w:tc>
        <w:tc>
          <w:tcPr>
            <w:tcW w:w="1905" w:type="dxa"/>
          </w:tcPr>
          <w:p w14:paraId="53797537" w14:textId="77777777" w:rsidR="007B7808" w:rsidRPr="00E7035D" w:rsidRDefault="007B7808" w:rsidP="002815DB">
            <w:pPr>
              <w:jc w:val="right"/>
              <w:rPr>
                <w:rFonts w:ascii="Arial" w:eastAsia="Calibri" w:hAnsi="Arial" w:cs="Arial"/>
                <w:b/>
                <w:sz w:val="18"/>
                <w:szCs w:val="18"/>
              </w:rPr>
            </w:pPr>
          </w:p>
          <w:p w14:paraId="7592955F"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0,00</w:t>
            </w:r>
          </w:p>
        </w:tc>
        <w:tc>
          <w:tcPr>
            <w:tcW w:w="1905" w:type="dxa"/>
          </w:tcPr>
          <w:p w14:paraId="137947EA" w14:textId="77777777" w:rsidR="007B7808" w:rsidRPr="00E7035D" w:rsidRDefault="007B7808" w:rsidP="002815DB">
            <w:pPr>
              <w:jc w:val="right"/>
              <w:rPr>
                <w:rFonts w:ascii="Arial" w:eastAsia="Calibri" w:hAnsi="Arial" w:cs="Arial"/>
                <w:b/>
                <w:sz w:val="18"/>
                <w:szCs w:val="18"/>
              </w:rPr>
            </w:pPr>
          </w:p>
          <w:p w14:paraId="2EC88CCA"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50.000,00</w:t>
            </w:r>
          </w:p>
        </w:tc>
        <w:tc>
          <w:tcPr>
            <w:tcW w:w="1221" w:type="dxa"/>
          </w:tcPr>
          <w:p w14:paraId="5ECDDE5F" w14:textId="77777777" w:rsidR="007B7808" w:rsidRPr="00E7035D" w:rsidRDefault="007B7808" w:rsidP="002815DB">
            <w:pPr>
              <w:jc w:val="right"/>
              <w:rPr>
                <w:rFonts w:ascii="Arial" w:eastAsia="Calibri" w:hAnsi="Arial" w:cs="Arial"/>
                <w:b/>
                <w:sz w:val="18"/>
                <w:szCs w:val="18"/>
              </w:rPr>
            </w:pPr>
          </w:p>
          <w:p w14:paraId="1AD8DD2C" w14:textId="77777777" w:rsidR="007B7808" w:rsidRPr="00E7035D" w:rsidRDefault="007B7808" w:rsidP="002815DB">
            <w:pPr>
              <w:jc w:val="right"/>
              <w:rPr>
                <w:rFonts w:ascii="Arial" w:eastAsia="Calibri" w:hAnsi="Arial" w:cs="Arial"/>
                <w:b/>
                <w:sz w:val="18"/>
                <w:szCs w:val="18"/>
              </w:rPr>
            </w:pPr>
            <w:r w:rsidRPr="00E7035D">
              <w:rPr>
                <w:rFonts w:ascii="Arial" w:eastAsia="Calibri" w:hAnsi="Arial" w:cs="Arial"/>
                <w:b/>
                <w:sz w:val="18"/>
                <w:szCs w:val="18"/>
              </w:rPr>
              <w:t>0,00</w:t>
            </w:r>
          </w:p>
        </w:tc>
      </w:tr>
      <w:tr w:rsidR="007B7808" w:rsidRPr="008B370D" w14:paraId="6C6D802E" w14:textId="77777777" w:rsidTr="007B7808">
        <w:trPr>
          <w:trHeight w:val="649"/>
        </w:trPr>
        <w:tc>
          <w:tcPr>
            <w:tcW w:w="1500" w:type="dxa"/>
            <w:shd w:val="clear" w:color="auto" w:fill="A6A6A6" w:themeFill="background1" w:themeFillShade="A6"/>
          </w:tcPr>
          <w:p w14:paraId="542BB880" w14:textId="77777777" w:rsidR="007B7808" w:rsidRPr="00E7035D" w:rsidRDefault="007B7808" w:rsidP="007B7808">
            <w:pPr>
              <w:jc w:val="both"/>
              <w:rPr>
                <w:rFonts w:ascii="Arial" w:eastAsia="Calibri" w:hAnsi="Arial" w:cs="Arial"/>
                <w:b/>
                <w:sz w:val="18"/>
                <w:szCs w:val="18"/>
              </w:rPr>
            </w:pPr>
          </w:p>
        </w:tc>
        <w:tc>
          <w:tcPr>
            <w:tcW w:w="3224" w:type="dxa"/>
            <w:shd w:val="clear" w:color="auto" w:fill="A6A6A6" w:themeFill="background1" w:themeFillShade="A6"/>
            <w:vAlign w:val="center"/>
          </w:tcPr>
          <w:p w14:paraId="2C51F9D1" w14:textId="420D8C21" w:rsidR="007B7808" w:rsidRPr="00E7035D" w:rsidRDefault="007B7808" w:rsidP="007B7808">
            <w:pPr>
              <w:rPr>
                <w:rFonts w:ascii="Arial" w:eastAsia="Calibri" w:hAnsi="Arial" w:cs="Arial"/>
                <w:b/>
                <w:sz w:val="18"/>
                <w:szCs w:val="18"/>
              </w:rPr>
            </w:pPr>
            <w:r w:rsidRPr="00E7035D">
              <w:rPr>
                <w:rFonts w:ascii="Arial" w:eastAsia="Calibri" w:hAnsi="Arial" w:cs="Arial"/>
                <w:b/>
                <w:sz w:val="18"/>
                <w:szCs w:val="18"/>
              </w:rPr>
              <w:t>SVEUKUPNI RASHODI:</w:t>
            </w:r>
          </w:p>
        </w:tc>
        <w:tc>
          <w:tcPr>
            <w:tcW w:w="1905" w:type="dxa"/>
            <w:shd w:val="clear" w:color="auto" w:fill="A6A6A6" w:themeFill="background1" w:themeFillShade="A6"/>
            <w:vAlign w:val="center"/>
          </w:tcPr>
          <w:p w14:paraId="5FE98F4E" w14:textId="49090028" w:rsidR="007B7808" w:rsidRPr="00E7035D" w:rsidRDefault="007B7808" w:rsidP="007B7808">
            <w:pPr>
              <w:jc w:val="right"/>
              <w:rPr>
                <w:rFonts w:ascii="Arial" w:eastAsia="Calibri" w:hAnsi="Arial" w:cs="Arial"/>
                <w:b/>
                <w:sz w:val="18"/>
                <w:szCs w:val="18"/>
              </w:rPr>
            </w:pPr>
            <w:r w:rsidRPr="00E7035D">
              <w:rPr>
                <w:rFonts w:ascii="Arial" w:eastAsia="Calibri" w:hAnsi="Arial" w:cs="Arial"/>
                <w:b/>
                <w:sz w:val="18"/>
                <w:szCs w:val="18"/>
              </w:rPr>
              <w:t>2.808.091,00</w:t>
            </w:r>
          </w:p>
        </w:tc>
        <w:tc>
          <w:tcPr>
            <w:tcW w:w="1905" w:type="dxa"/>
            <w:shd w:val="clear" w:color="auto" w:fill="A6A6A6" w:themeFill="background1" w:themeFillShade="A6"/>
            <w:vAlign w:val="center"/>
          </w:tcPr>
          <w:p w14:paraId="1E2B8F03" w14:textId="62C0A3C1" w:rsidR="007B7808" w:rsidRPr="00E7035D" w:rsidRDefault="007B7808" w:rsidP="007B7808">
            <w:pPr>
              <w:jc w:val="right"/>
              <w:rPr>
                <w:rFonts w:ascii="Arial" w:eastAsia="Calibri" w:hAnsi="Arial" w:cs="Arial"/>
                <w:b/>
                <w:sz w:val="18"/>
                <w:szCs w:val="18"/>
              </w:rPr>
            </w:pPr>
            <w:r w:rsidRPr="00E7035D">
              <w:rPr>
                <w:rFonts w:ascii="Arial" w:eastAsia="Calibri" w:hAnsi="Arial" w:cs="Arial"/>
                <w:b/>
                <w:bCs/>
                <w:sz w:val="18"/>
                <w:szCs w:val="18"/>
              </w:rPr>
              <w:t>2.971.</w:t>
            </w:r>
            <w:r>
              <w:rPr>
                <w:rFonts w:ascii="Arial" w:eastAsia="Calibri" w:hAnsi="Arial" w:cs="Arial"/>
                <w:b/>
                <w:bCs/>
                <w:sz w:val="18"/>
                <w:szCs w:val="18"/>
              </w:rPr>
              <w:t>764</w:t>
            </w:r>
            <w:r w:rsidRPr="00E7035D">
              <w:rPr>
                <w:rFonts w:ascii="Arial" w:eastAsia="Calibri" w:hAnsi="Arial" w:cs="Arial"/>
                <w:b/>
                <w:bCs/>
                <w:sz w:val="18"/>
                <w:szCs w:val="18"/>
              </w:rPr>
              <w:t>,00</w:t>
            </w:r>
          </w:p>
        </w:tc>
        <w:tc>
          <w:tcPr>
            <w:tcW w:w="1221" w:type="dxa"/>
            <w:shd w:val="clear" w:color="auto" w:fill="A6A6A6" w:themeFill="background1" w:themeFillShade="A6"/>
            <w:vAlign w:val="center"/>
          </w:tcPr>
          <w:p w14:paraId="081A1A3E" w14:textId="155B5BBF" w:rsidR="007B7808" w:rsidRPr="00E7035D" w:rsidRDefault="007B7808" w:rsidP="007B7808">
            <w:pPr>
              <w:jc w:val="right"/>
              <w:rPr>
                <w:rFonts w:ascii="Arial" w:eastAsia="Calibri" w:hAnsi="Arial" w:cs="Arial"/>
                <w:b/>
                <w:sz w:val="18"/>
                <w:szCs w:val="18"/>
              </w:rPr>
            </w:pPr>
            <w:r w:rsidRPr="00E7035D">
              <w:rPr>
                <w:rFonts w:ascii="Arial" w:eastAsia="Calibri" w:hAnsi="Arial" w:cs="Arial"/>
                <w:b/>
                <w:sz w:val="18"/>
                <w:szCs w:val="18"/>
              </w:rPr>
              <w:t>105,81</w:t>
            </w:r>
          </w:p>
        </w:tc>
      </w:tr>
    </w:tbl>
    <w:p w14:paraId="474473C4" w14:textId="77777777" w:rsidR="007B7808" w:rsidRPr="00CF03BD" w:rsidRDefault="007B7808" w:rsidP="007B7808">
      <w:pPr>
        <w:jc w:val="both"/>
        <w:rPr>
          <w:rFonts w:ascii="Arial" w:eastAsia="Calibri" w:hAnsi="Arial" w:cs="Arial"/>
          <w:b/>
          <w:sz w:val="22"/>
        </w:rPr>
      </w:pPr>
    </w:p>
    <w:p w14:paraId="2819F64E" w14:textId="77777777" w:rsidR="007B7808" w:rsidRDefault="007B7808" w:rsidP="007B7808">
      <w:pPr>
        <w:jc w:val="both"/>
        <w:rPr>
          <w:rFonts w:ascii="Arial" w:eastAsia="Calibri" w:hAnsi="Arial" w:cs="Arial"/>
          <w:b/>
          <w:sz w:val="22"/>
        </w:rPr>
      </w:pPr>
    </w:p>
    <w:p w14:paraId="43B9EEB9" w14:textId="77777777" w:rsidR="007B7808" w:rsidRDefault="007B7808" w:rsidP="007B7808">
      <w:pPr>
        <w:jc w:val="both"/>
        <w:rPr>
          <w:rFonts w:ascii="Arial" w:eastAsia="Calibri" w:hAnsi="Arial" w:cs="Arial"/>
          <w:b/>
          <w:sz w:val="22"/>
        </w:rPr>
      </w:pPr>
    </w:p>
    <w:p w14:paraId="4F081974" w14:textId="77777777" w:rsidR="007B7808" w:rsidRPr="007B7808" w:rsidRDefault="007B7808" w:rsidP="007B7808">
      <w:pPr>
        <w:spacing w:line="259" w:lineRule="auto"/>
        <w:jc w:val="both"/>
        <w:rPr>
          <w:rFonts w:ascii="Arial" w:hAnsi="Arial" w:cs="Arial"/>
          <w:b/>
          <w:bCs/>
          <w:sz w:val="22"/>
          <w:szCs w:val="22"/>
          <w:lang w:val="en-GB"/>
        </w:rPr>
      </w:pPr>
      <w:r w:rsidRPr="007B7808">
        <w:rPr>
          <w:rFonts w:ascii="Arial" w:eastAsia="Calibri" w:hAnsi="Arial" w:cs="Arial"/>
          <w:b/>
          <w:sz w:val="22"/>
          <w:szCs w:val="22"/>
        </w:rPr>
        <w:t>OBRAZLOŽENJE PRIHODA I PRIMITAKA</w:t>
      </w:r>
    </w:p>
    <w:p w14:paraId="04C566B6" w14:textId="77777777" w:rsidR="007B7808" w:rsidRPr="007B7808" w:rsidRDefault="007B7808" w:rsidP="007B7808">
      <w:pPr>
        <w:spacing w:line="259" w:lineRule="auto"/>
        <w:jc w:val="both"/>
        <w:rPr>
          <w:rFonts w:ascii="Arial" w:eastAsia="Calibri" w:hAnsi="Arial" w:cs="Arial"/>
          <w:b/>
          <w:sz w:val="22"/>
          <w:szCs w:val="22"/>
        </w:rPr>
      </w:pPr>
    </w:p>
    <w:p w14:paraId="2402195A" w14:textId="19801518"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b/>
          <w:sz w:val="22"/>
          <w:szCs w:val="22"/>
        </w:rPr>
        <w:t>Prihodi poslovanja</w:t>
      </w:r>
      <w:r w:rsidRPr="007B7808">
        <w:rPr>
          <w:rFonts w:ascii="Arial" w:eastAsia="Calibri" w:hAnsi="Arial" w:cs="Arial"/>
          <w:sz w:val="22"/>
          <w:szCs w:val="22"/>
        </w:rPr>
        <w:t xml:space="preserve">  </w:t>
      </w:r>
      <w:r w:rsidRPr="007B7808">
        <w:rPr>
          <w:rFonts w:ascii="Arial" w:eastAsia="Calibri" w:hAnsi="Arial" w:cs="Arial"/>
          <w:b/>
          <w:sz w:val="22"/>
          <w:szCs w:val="22"/>
        </w:rPr>
        <w:t xml:space="preserve">planirani su u visini </w:t>
      </w:r>
      <w:r w:rsidRPr="007B7808">
        <w:rPr>
          <w:rFonts w:ascii="Arial" w:eastAsia="Calibri" w:hAnsi="Arial" w:cs="Arial"/>
          <w:sz w:val="22"/>
          <w:szCs w:val="22"/>
        </w:rPr>
        <w:t>2.951.025,00 EUR odnosno 105,0 %  u odnosu na Plan za 2025.godinu, a dijele se na:</w:t>
      </w:r>
    </w:p>
    <w:p w14:paraId="7F93653D" w14:textId="055ED9CF"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b/>
          <w:sz w:val="22"/>
          <w:szCs w:val="22"/>
        </w:rPr>
        <w:lastRenderedPageBreak/>
        <w:t xml:space="preserve">1. Pomoći iz inozemstva i od subjekata unutar općeg proračuna </w:t>
      </w:r>
      <w:r w:rsidRPr="007B7808">
        <w:rPr>
          <w:rFonts w:ascii="Arial" w:eastAsia="Calibri" w:hAnsi="Arial" w:cs="Arial"/>
          <w:sz w:val="22"/>
          <w:szCs w:val="22"/>
        </w:rPr>
        <w:t>planirani su</w:t>
      </w:r>
      <w:r w:rsidRPr="007B7808">
        <w:rPr>
          <w:rFonts w:ascii="Arial" w:eastAsia="Calibri" w:hAnsi="Arial" w:cs="Arial"/>
          <w:b/>
          <w:sz w:val="22"/>
          <w:szCs w:val="22"/>
        </w:rPr>
        <w:t xml:space="preserve"> </w:t>
      </w:r>
      <w:r w:rsidRPr="007B7808">
        <w:rPr>
          <w:rFonts w:ascii="Arial" w:eastAsia="Calibri" w:hAnsi="Arial" w:cs="Arial"/>
          <w:sz w:val="22"/>
          <w:szCs w:val="22"/>
        </w:rPr>
        <w:t xml:space="preserve">u visini od 2.299.081,00 EUR, odnosno 103,87% u odnosu </w:t>
      </w:r>
      <w:bookmarkStart w:id="42" w:name="_Hlk148426672"/>
      <w:r w:rsidRPr="007B7808">
        <w:rPr>
          <w:rFonts w:ascii="Arial" w:eastAsia="Calibri" w:hAnsi="Arial" w:cs="Arial"/>
          <w:sz w:val="22"/>
          <w:szCs w:val="22"/>
        </w:rPr>
        <w:t>na Plan za  2025. godinu</w:t>
      </w:r>
      <w:bookmarkEnd w:id="42"/>
      <w:r w:rsidRPr="007B7808">
        <w:rPr>
          <w:rFonts w:ascii="Arial" w:eastAsia="Calibri" w:hAnsi="Arial" w:cs="Arial"/>
          <w:sz w:val="22"/>
          <w:szCs w:val="22"/>
        </w:rPr>
        <w:t xml:space="preserve">. U sklopu navedene skupine planirana su sredstva za:    </w:t>
      </w:r>
    </w:p>
    <w:p w14:paraId="549FC34E" w14:textId="48B83D9F"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pomoć Državnog proračuna za rashode za zaposlene školske ustanove     2.004.050,00 EUR</w:t>
      </w:r>
    </w:p>
    <w:p w14:paraId="101461C7" w14:textId="5F20EA3B"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pomoć Državnog proračuna  za nabavu školskih udžbenika                              30.000,00 EUR</w:t>
      </w:r>
    </w:p>
    <w:p w14:paraId="78F7CBFB" w14:textId="0CC6C1BD"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pomoć iz Državnog proračuna  za  mentorstvo, didaktički materijal i dr.              4.285,00 EUR</w:t>
      </w:r>
    </w:p>
    <w:p w14:paraId="55596155" w14:textId="40031D24"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pomoć iz Državnog proračuna za marendu za učenike                                   122.213,00  EUR</w:t>
      </w:r>
    </w:p>
    <w:p w14:paraId="60F7CB2D" w14:textId="5957E31A"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pomoć iz proračuna Grada Labina za pomoćnike u nastavi – sredstva EU       46.050,00 EUR</w:t>
      </w:r>
    </w:p>
    <w:p w14:paraId="1D3A5A43" w14:textId="51A3C5C0"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xml:space="preserve">- pomoć iz proračuna općine Raša za financiranje produženog boravka             27.505,00 EUR  </w:t>
      </w:r>
    </w:p>
    <w:p w14:paraId="62A578CE" w14:textId="2760DA4F"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pomoć iz proračuna općine Kršan za financiranje produženog boravka            32.160,00 EUR</w:t>
      </w:r>
    </w:p>
    <w:p w14:paraId="01186715" w14:textId="2CCC959C"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xml:space="preserve">- pomoć iz proračuna općine Sveta Nedjelja za financiranje </w:t>
      </w:r>
      <w:proofErr w:type="spellStart"/>
      <w:r w:rsidRPr="007B7808">
        <w:rPr>
          <w:rFonts w:ascii="Arial" w:eastAsia="Calibri" w:hAnsi="Arial" w:cs="Arial"/>
          <w:sz w:val="22"/>
          <w:szCs w:val="22"/>
        </w:rPr>
        <w:t>prod</w:t>
      </w:r>
      <w:proofErr w:type="spellEnd"/>
      <w:r w:rsidRPr="007B7808">
        <w:rPr>
          <w:rFonts w:ascii="Arial" w:eastAsia="Calibri" w:hAnsi="Arial" w:cs="Arial"/>
          <w:sz w:val="22"/>
          <w:szCs w:val="22"/>
        </w:rPr>
        <w:t>. boravka         16.742,00 EUR</w:t>
      </w:r>
    </w:p>
    <w:p w14:paraId="203747DA" w14:textId="3F945EBC"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pomoć iz županijskog proračuna za županijska natjecanja i zavičajnu nastavu   4.000,00 EUR</w:t>
      </w:r>
    </w:p>
    <w:p w14:paraId="03CC4B05" w14:textId="77777777" w:rsidR="007B7808" w:rsidRPr="007B7808" w:rsidRDefault="007B7808" w:rsidP="007B7808">
      <w:pPr>
        <w:spacing w:line="259" w:lineRule="auto"/>
        <w:jc w:val="both"/>
        <w:rPr>
          <w:rFonts w:ascii="Arial" w:eastAsia="Calibri" w:hAnsi="Arial" w:cs="Arial"/>
          <w:sz w:val="22"/>
          <w:szCs w:val="22"/>
        </w:rPr>
      </w:pPr>
    </w:p>
    <w:p w14:paraId="4F66AF1B" w14:textId="77777777"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xml:space="preserve">Prihodima iz Državnog proračuna  isplaćuju se plaće preko COP-a za 68 djelatnika školske ustanove. Planiran je višak od 3,14 % u odnosu na Plan za 2025.god, </w:t>
      </w:r>
      <w:bookmarkStart w:id="43" w:name="_Hlk167261229"/>
      <w:r w:rsidRPr="007B7808">
        <w:rPr>
          <w:rFonts w:ascii="Arial" w:eastAsia="Calibri" w:hAnsi="Arial" w:cs="Arial"/>
          <w:sz w:val="22"/>
          <w:szCs w:val="22"/>
        </w:rPr>
        <w:t>razlog tomu je povećanje koeficijenata prema Uredbi o nazivima radnih mjesta, uvjetima za raspored i koeficijentima za obračun plaće u javnim službama (NN 22-2024) koji je stupio na snagu 01.03.2025. godine,  Zakonu o plaćama u državnoj službi i javnim službama.(NN 29/2024). Odluka o visini osnovice za obračun plaće u javnim službama u 2025. godini donesena je 31. prosinca 2024. godine kojom se određuje osnovica za obračun plaće za zaposlenike u javnim službama kako slijedi:</w:t>
      </w:r>
    </w:p>
    <w:p w14:paraId="31588E6A" w14:textId="77777777" w:rsidR="007B7808" w:rsidRPr="007B7808" w:rsidRDefault="007B7808">
      <w:pPr>
        <w:pStyle w:val="Odlomakpopisa"/>
        <w:numPr>
          <w:ilvl w:val="0"/>
          <w:numId w:val="25"/>
        </w:numPr>
        <w:spacing w:after="0" w:line="259" w:lineRule="auto"/>
        <w:jc w:val="both"/>
        <w:rPr>
          <w:rFonts w:ascii="Arial" w:hAnsi="Arial" w:cs="Arial"/>
          <w:szCs w:val="22"/>
        </w:rPr>
      </w:pPr>
      <w:r w:rsidRPr="007B7808">
        <w:rPr>
          <w:rFonts w:ascii="Arial" w:hAnsi="Arial" w:cs="Arial"/>
          <w:szCs w:val="22"/>
        </w:rPr>
        <w:t>Od 1.siječnja do 31. siječnja 2025. godine – osnovica iznosi 947,18 eura bruto</w:t>
      </w:r>
    </w:p>
    <w:p w14:paraId="2D5C545F" w14:textId="77777777" w:rsidR="007B7808" w:rsidRPr="007B7808" w:rsidRDefault="007B7808">
      <w:pPr>
        <w:pStyle w:val="Odlomakpopisa"/>
        <w:numPr>
          <w:ilvl w:val="0"/>
          <w:numId w:val="25"/>
        </w:numPr>
        <w:spacing w:after="0" w:line="259" w:lineRule="auto"/>
        <w:jc w:val="both"/>
        <w:rPr>
          <w:rFonts w:ascii="Arial" w:hAnsi="Arial" w:cs="Arial"/>
          <w:szCs w:val="22"/>
        </w:rPr>
      </w:pPr>
      <w:r w:rsidRPr="007B7808">
        <w:rPr>
          <w:rFonts w:ascii="Arial" w:hAnsi="Arial" w:cs="Arial"/>
          <w:szCs w:val="22"/>
        </w:rPr>
        <w:t>Od 1. veljače do 31. kolovoza 2025. godine – osnovica iznosi 975,60 eura bruto</w:t>
      </w:r>
    </w:p>
    <w:p w14:paraId="4A1D8E83" w14:textId="77777777" w:rsidR="007B7808" w:rsidRPr="007B7808" w:rsidRDefault="007B7808">
      <w:pPr>
        <w:pStyle w:val="Odlomakpopisa"/>
        <w:numPr>
          <w:ilvl w:val="0"/>
          <w:numId w:val="25"/>
        </w:numPr>
        <w:spacing w:after="0" w:line="259" w:lineRule="auto"/>
        <w:jc w:val="both"/>
        <w:rPr>
          <w:rFonts w:ascii="Arial" w:hAnsi="Arial" w:cs="Arial"/>
          <w:szCs w:val="22"/>
        </w:rPr>
      </w:pPr>
      <w:r w:rsidRPr="007B7808">
        <w:rPr>
          <w:rFonts w:ascii="Arial" w:hAnsi="Arial" w:cs="Arial"/>
          <w:szCs w:val="22"/>
        </w:rPr>
        <w:t>Od 1. rujna pa na dalje – osnovica iznosi 1.004,87 eura bruto</w:t>
      </w:r>
    </w:p>
    <w:p w14:paraId="6AF114CC" w14:textId="77777777" w:rsidR="007B7808" w:rsidRPr="007B7808" w:rsidRDefault="007B7808" w:rsidP="007B7808">
      <w:pPr>
        <w:spacing w:line="259" w:lineRule="auto"/>
        <w:ind w:left="360"/>
        <w:jc w:val="both"/>
        <w:rPr>
          <w:rFonts w:ascii="Arial" w:eastAsia="Calibri" w:hAnsi="Arial" w:cs="Arial"/>
          <w:sz w:val="22"/>
          <w:szCs w:val="22"/>
        </w:rPr>
      </w:pPr>
      <w:r w:rsidRPr="007B7808">
        <w:rPr>
          <w:rFonts w:ascii="Arial" w:eastAsia="Calibri" w:hAnsi="Arial" w:cs="Arial"/>
          <w:sz w:val="22"/>
          <w:szCs w:val="22"/>
        </w:rPr>
        <w:t xml:space="preserve"> </w:t>
      </w:r>
    </w:p>
    <w:bookmarkEnd w:id="43"/>
    <w:p w14:paraId="3DB7D4D0" w14:textId="2F53354E"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Ostali prihodi   planirani su za nabavku udžbenika učenika  koje financira MZOM, isplate mentorstva i pokrivanje troškova ukoliko se naši učenici plasiraju na županijska ili državna natjecanja. Planirana su sredstva za pet pomoćnika u nastavi koja su osigurana kroz program „Ravnomjerna socijalna i obrazovna inkluzija učenika s teškoćama u razvoju (RAST VI)“ – dio koji financira EU  iznosi od 46.050,00 EUR. Preostali iznos od 38.815,00 EUR financira Grad Labin preko općih prihoda i primitaka.</w:t>
      </w:r>
    </w:p>
    <w:p w14:paraId="506C0F65" w14:textId="77777777"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Općina Raša, općina Kršan i općina Sveta Nedjelja učestvuju u pokriću rashoda za plaće učiteljica zaposlene u produženom boravku za učenike s njihovog područja.</w:t>
      </w:r>
    </w:p>
    <w:p w14:paraId="5C977BBE" w14:textId="77777777" w:rsidR="007B7808" w:rsidRPr="007B7808" w:rsidRDefault="007B7808" w:rsidP="007B7808">
      <w:pPr>
        <w:spacing w:line="259" w:lineRule="auto"/>
        <w:jc w:val="both"/>
        <w:rPr>
          <w:rFonts w:ascii="Arial" w:eastAsia="Calibri" w:hAnsi="Arial" w:cs="Arial"/>
          <w:color w:val="FF0000"/>
          <w:sz w:val="22"/>
          <w:szCs w:val="22"/>
        </w:rPr>
      </w:pPr>
    </w:p>
    <w:p w14:paraId="3A731100" w14:textId="09D302E2" w:rsidR="007B7808" w:rsidRPr="007B7808" w:rsidRDefault="007B7808" w:rsidP="007B7808">
      <w:pPr>
        <w:spacing w:line="259" w:lineRule="auto"/>
        <w:jc w:val="both"/>
        <w:rPr>
          <w:rFonts w:ascii="Arial" w:hAnsi="Arial" w:cs="Arial"/>
          <w:sz w:val="22"/>
          <w:szCs w:val="22"/>
        </w:rPr>
      </w:pPr>
      <w:r w:rsidRPr="007B7808">
        <w:rPr>
          <w:rFonts w:ascii="Arial" w:hAnsi="Arial" w:cs="Arial"/>
          <w:b/>
          <w:sz w:val="22"/>
          <w:szCs w:val="22"/>
        </w:rPr>
        <w:t xml:space="preserve">2. Prihodi od upravnih i administrativnih pristojbi po posebnim propisima i naknada </w:t>
      </w:r>
      <w:r w:rsidRPr="007B7808">
        <w:rPr>
          <w:rFonts w:ascii="Arial" w:hAnsi="Arial" w:cs="Arial"/>
          <w:sz w:val="22"/>
          <w:szCs w:val="22"/>
        </w:rPr>
        <w:t>planirana su</w:t>
      </w:r>
      <w:r w:rsidRPr="007B7808">
        <w:rPr>
          <w:rFonts w:ascii="Arial" w:hAnsi="Arial" w:cs="Arial"/>
          <w:b/>
          <w:sz w:val="22"/>
          <w:szCs w:val="22"/>
        </w:rPr>
        <w:t xml:space="preserve"> </w:t>
      </w:r>
      <w:r w:rsidRPr="007B7808">
        <w:rPr>
          <w:rFonts w:ascii="Arial" w:hAnsi="Arial" w:cs="Arial"/>
          <w:sz w:val="22"/>
          <w:szCs w:val="22"/>
        </w:rPr>
        <w:t xml:space="preserve">u iznosu od 127.240,00 EUR. U školskoj godini 2024./2025. u produženi boravak uključeni su učenici  1., 2, 3. i 4.. razreda. Ukupan broj učenika koji koristi usluge produženog boravka iznosi 180 učenika po cijeno od  produženom boravku u iznosu od 2,50 EUR po danu i ostalih materijalnih i drugih troškova te udjela u plaći nastavnika produženog boravka, u iznosu 1,00 EUR po danu. </w:t>
      </w:r>
    </w:p>
    <w:p w14:paraId="6B5FF2D5" w14:textId="62DF713F"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b/>
          <w:sz w:val="22"/>
          <w:szCs w:val="22"/>
        </w:rPr>
        <w:t xml:space="preserve">- </w:t>
      </w:r>
      <w:r w:rsidRPr="007B7808">
        <w:rPr>
          <w:rFonts w:ascii="Arial" w:eastAsia="Calibri" w:hAnsi="Arial" w:cs="Arial"/>
          <w:sz w:val="22"/>
          <w:szCs w:val="22"/>
          <w:u w:val="single"/>
        </w:rPr>
        <w:t>Prihodi po posebnim propisima  planirana su u iznosu</w:t>
      </w:r>
      <w:r w:rsidRPr="007B7808">
        <w:rPr>
          <w:rFonts w:ascii="Arial" w:eastAsia="Calibri" w:hAnsi="Arial" w:cs="Arial"/>
          <w:sz w:val="22"/>
          <w:szCs w:val="22"/>
        </w:rPr>
        <w:t xml:space="preserve">  od 131.240,00,00 EUR i odnose se na:</w:t>
      </w:r>
    </w:p>
    <w:p w14:paraId="5AF3BA4E" w14:textId="2470E708"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xml:space="preserve">   - financiranje produženog boravka učenika                                                     127.240,00 EUR</w:t>
      </w:r>
    </w:p>
    <w:p w14:paraId="533F35F3" w14:textId="5028E683"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xml:space="preserve">   - prihodi od refundacija štete- osiguranja                                                             4.000,00 EUR</w:t>
      </w:r>
    </w:p>
    <w:p w14:paraId="3B058F88" w14:textId="77777777"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xml:space="preserve">Grad Labin financira ručak za 13 učenika u produženom boravku po izdanim i pravovaljanim Rješenjima. </w:t>
      </w:r>
    </w:p>
    <w:p w14:paraId="5F602F98" w14:textId="77777777" w:rsidR="007B7808" w:rsidRPr="007B7808" w:rsidRDefault="007B7808" w:rsidP="007B7808">
      <w:pPr>
        <w:spacing w:line="259" w:lineRule="auto"/>
        <w:jc w:val="both"/>
        <w:rPr>
          <w:rFonts w:ascii="Arial" w:eastAsia="Calibri" w:hAnsi="Arial" w:cs="Arial"/>
          <w:color w:val="FF0000"/>
          <w:sz w:val="22"/>
          <w:szCs w:val="22"/>
        </w:rPr>
      </w:pPr>
    </w:p>
    <w:p w14:paraId="080EB63C" w14:textId="4351F2B4" w:rsidR="007B7808" w:rsidRPr="007B7808" w:rsidRDefault="007B7808" w:rsidP="007B7808">
      <w:pPr>
        <w:spacing w:line="259" w:lineRule="auto"/>
        <w:jc w:val="both"/>
        <w:rPr>
          <w:rFonts w:ascii="Arial" w:eastAsia="Calibri" w:hAnsi="Arial" w:cs="Arial"/>
          <w:sz w:val="22"/>
          <w:szCs w:val="22"/>
        </w:rPr>
      </w:pPr>
      <w:r w:rsidRPr="007B7808">
        <w:rPr>
          <w:rFonts w:ascii="Arial" w:hAnsi="Arial" w:cs="Arial"/>
          <w:b/>
          <w:sz w:val="22"/>
          <w:szCs w:val="22"/>
        </w:rPr>
        <w:t xml:space="preserve">3. Prihodi od prodaje proizvoda i robe te pruženih usluga </w:t>
      </w:r>
      <w:r w:rsidRPr="007B7808">
        <w:rPr>
          <w:rFonts w:ascii="Arial" w:eastAsia="Calibri" w:hAnsi="Arial" w:cs="Arial"/>
          <w:sz w:val="22"/>
          <w:szCs w:val="22"/>
        </w:rPr>
        <w:t xml:space="preserve">planirani su u iznosu od 3.000,00 EUR </w:t>
      </w:r>
    </w:p>
    <w:p w14:paraId="3771D15F" w14:textId="4AAC946F" w:rsid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xml:space="preserve">Prihode od prodaje proizvoda i robe te pruženih usluga planirani su u visini od 3.000,00 EUR - isto kao i  2025.godine.  Školska ustanova ostvaruje prihode iznajmljivanjem školske dvorane vanjskim korisnicima.  </w:t>
      </w:r>
    </w:p>
    <w:p w14:paraId="2479FE7B" w14:textId="77777777" w:rsidR="007B7808" w:rsidRPr="007B7808" w:rsidRDefault="007B7808" w:rsidP="007B7808">
      <w:pPr>
        <w:spacing w:line="259" w:lineRule="auto"/>
        <w:jc w:val="both"/>
        <w:rPr>
          <w:rFonts w:ascii="Arial" w:hAnsi="Arial" w:cs="Arial"/>
          <w:sz w:val="22"/>
          <w:szCs w:val="22"/>
        </w:rPr>
      </w:pPr>
      <w:r w:rsidRPr="007B7808">
        <w:rPr>
          <w:rFonts w:ascii="Arial" w:hAnsi="Arial" w:cs="Arial"/>
          <w:b/>
          <w:sz w:val="22"/>
          <w:szCs w:val="22"/>
        </w:rPr>
        <w:lastRenderedPageBreak/>
        <w:t>4.Prihodi od donacija</w:t>
      </w:r>
      <w:r w:rsidRPr="007B7808">
        <w:rPr>
          <w:rFonts w:ascii="Arial" w:hAnsi="Arial" w:cs="Arial"/>
          <w:sz w:val="22"/>
          <w:szCs w:val="22"/>
        </w:rPr>
        <w:t xml:space="preserve"> </w:t>
      </w:r>
    </w:p>
    <w:p w14:paraId="77248DC5" w14:textId="4B82621A" w:rsid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xml:space="preserve">Donacije od pravnih i fizičkih osoba planirali  smo u iznosu od 3.500,00 EUR -  što je za 133,33% više od Plana za   2025. godinu. U mjesecu veljači donirane su nam učeničke stolice za blagovaonu,  PŠ </w:t>
      </w:r>
      <w:proofErr w:type="spellStart"/>
      <w:r w:rsidRPr="007B7808">
        <w:rPr>
          <w:rFonts w:ascii="Arial" w:eastAsia="Calibri" w:hAnsi="Arial" w:cs="Arial"/>
          <w:sz w:val="22"/>
          <w:szCs w:val="22"/>
        </w:rPr>
        <w:t>Vinež</w:t>
      </w:r>
      <w:proofErr w:type="spellEnd"/>
      <w:r w:rsidRPr="007B7808">
        <w:rPr>
          <w:rFonts w:ascii="Arial" w:eastAsia="Calibri" w:hAnsi="Arial" w:cs="Arial"/>
          <w:sz w:val="22"/>
          <w:szCs w:val="22"/>
        </w:rPr>
        <w:t xml:space="preserve"> u iznosu od 2.562,50 eura od strane Maslinice  d.o.o. Rabac.</w:t>
      </w:r>
    </w:p>
    <w:p w14:paraId="03B241F6" w14:textId="77777777" w:rsidR="0056141B" w:rsidRPr="007B7808" w:rsidRDefault="0056141B" w:rsidP="007B7808">
      <w:pPr>
        <w:spacing w:line="259" w:lineRule="auto"/>
        <w:jc w:val="both"/>
        <w:rPr>
          <w:rFonts w:ascii="Arial" w:eastAsia="Calibri" w:hAnsi="Arial" w:cs="Arial"/>
          <w:sz w:val="22"/>
          <w:szCs w:val="22"/>
        </w:rPr>
      </w:pPr>
    </w:p>
    <w:p w14:paraId="505FBDA5" w14:textId="17E3C450"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b/>
          <w:sz w:val="22"/>
          <w:szCs w:val="22"/>
        </w:rPr>
        <w:t xml:space="preserve">3. Prihodi iz nadležnog proračuna za financiranje redovne djelatnosti  </w:t>
      </w:r>
      <w:r w:rsidRPr="007B7808">
        <w:rPr>
          <w:rFonts w:ascii="Arial" w:eastAsia="Calibri" w:hAnsi="Arial" w:cs="Arial"/>
          <w:sz w:val="22"/>
          <w:szCs w:val="22"/>
        </w:rPr>
        <w:t>planirani su u visini od 514.204,00 EUR ili 12,00% više u odnosu na Plan  za 2025. godinu, a  odnose se na:</w:t>
      </w:r>
    </w:p>
    <w:p w14:paraId="03FB3F2F" w14:textId="77777777" w:rsidR="007B7808" w:rsidRPr="007B7808" w:rsidRDefault="007B7808" w:rsidP="007B7808">
      <w:pPr>
        <w:spacing w:line="259" w:lineRule="auto"/>
        <w:jc w:val="both"/>
        <w:rPr>
          <w:rFonts w:ascii="Arial" w:eastAsia="Calibri" w:hAnsi="Arial" w:cs="Arial"/>
          <w:sz w:val="22"/>
          <w:szCs w:val="22"/>
        </w:rPr>
      </w:pPr>
    </w:p>
    <w:p w14:paraId="58B39230" w14:textId="4482BFA1"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u w:val="single"/>
        </w:rPr>
        <w:t>1</w:t>
      </w:r>
      <w:r w:rsidRPr="007B7808">
        <w:rPr>
          <w:rFonts w:ascii="Arial" w:eastAsia="Calibri" w:hAnsi="Arial" w:cs="Arial"/>
          <w:b/>
          <w:sz w:val="22"/>
          <w:szCs w:val="22"/>
          <w:u w:val="single"/>
        </w:rPr>
        <w:t xml:space="preserve">. </w:t>
      </w:r>
      <w:r w:rsidRPr="007B7808">
        <w:rPr>
          <w:rFonts w:ascii="Arial" w:eastAsia="Calibri" w:hAnsi="Arial" w:cs="Arial"/>
          <w:sz w:val="22"/>
          <w:szCs w:val="22"/>
          <w:u w:val="single"/>
        </w:rPr>
        <w:t>Prihodi iz nadležnog proračuna za financiranje redovne djelatnosti</w:t>
      </w:r>
      <w:r w:rsidRPr="007B7808">
        <w:rPr>
          <w:rFonts w:ascii="Arial" w:eastAsia="Calibri" w:hAnsi="Arial" w:cs="Arial"/>
          <w:b/>
          <w:sz w:val="22"/>
          <w:szCs w:val="22"/>
          <w:u w:val="single"/>
        </w:rPr>
        <w:t xml:space="preserve">  </w:t>
      </w:r>
      <w:r w:rsidRPr="007B7808">
        <w:rPr>
          <w:rFonts w:ascii="Arial" w:eastAsia="Calibri" w:hAnsi="Arial" w:cs="Arial"/>
          <w:sz w:val="22"/>
          <w:szCs w:val="22"/>
          <w:u w:val="single"/>
        </w:rPr>
        <w:t xml:space="preserve">iznad standarda u iznosu od  306.050,00 EUR - Opći prihodi i primici – </w:t>
      </w:r>
      <w:r w:rsidRPr="007B7808">
        <w:rPr>
          <w:rFonts w:ascii="Arial" w:eastAsia="Calibri" w:hAnsi="Arial" w:cs="Arial"/>
          <w:sz w:val="22"/>
          <w:szCs w:val="22"/>
        </w:rPr>
        <w:t>u odnosu na Plan za 2025. godinu uvećani su za 24,22% a odnose se na:</w:t>
      </w:r>
    </w:p>
    <w:p w14:paraId="7BFC2A67" w14:textId="48A261ED"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za pokriće plaća djelatnika u produženom boravku  (10 djelatnika) – 169.813,00 EUR</w:t>
      </w:r>
    </w:p>
    <w:p w14:paraId="13F3B1FF" w14:textId="77777777"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metodološki manjak od plaća za PB od 12-2024 – 13.982,00 eura</w:t>
      </w:r>
    </w:p>
    <w:p w14:paraId="070051CA" w14:textId="7377A62A"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za  pokriće rashoda za shemu voća i mlijeka i ostalih rashoda – 42.440,00 EUR</w:t>
      </w:r>
    </w:p>
    <w:p w14:paraId="324E772B" w14:textId="259CE2CF"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za  školska natjecanja – 1.000,00 EUR</w:t>
      </w:r>
    </w:p>
    <w:p w14:paraId="073E7CB9" w14:textId="711AE01C"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za financiranje pomoćnika učenicima s teškoćama u razvoju u iznosu od 38.815,00 EUR</w:t>
      </w:r>
    </w:p>
    <w:p w14:paraId="03437F5B" w14:textId="77777777"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xml:space="preserve"> - za dodatna ulaganja na građevinskim objektima – dvorana – 40.000,00 eura</w:t>
      </w:r>
    </w:p>
    <w:p w14:paraId="4F7977BC" w14:textId="77777777" w:rsidR="007B7808" w:rsidRPr="007B7808" w:rsidRDefault="007B7808" w:rsidP="007B7808">
      <w:pPr>
        <w:spacing w:line="259" w:lineRule="auto"/>
        <w:jc w:val="both"/>
        <w:rPr>
          <w:rFonts w:ascii="Arial" w:hAnsi="Arial" w:cs="Arial"/>
          <w:sz w:val="22"/>
          <w:szCs w:val="22"/>
        </w:rPr>
      </w:pPr>
      <w:r w:rsidRPr="007B7808">
        <w:rPr>
          <w:rFonts w:ascii="Arial" w:hAnsi="Arial" w:cs="Arial"/>
          <w:sz w:val="22"/>
          <w:szCs w:val="22"/>
        </w:rPr>
        <w:t>Imamo ukupno deset (10)  zaposlenica  u produženom boravku, pet na neodređeno vrijeme i pet na određeno vrijeme.  Tri djelatnice koriste porođajni/roditeljski dopust.  Izradom plana za bruto plaće za 2025. godinu koristili smo osnovicu od 947,18 eura. Od 1. veljače 2025. godine prema Odluci o visini osnovice za obračun plaće u javnim službama za 2025. godinu iznos osnovice povećava se za 3%  i iznosi 975,60 eura. Uredbom o radnim mjestima i koeficijentima za obračun plaće u javnim službama propisano je da, u skladu s načelom jednakosti plaća i vrednovanja radnih mjesta, koeficijenti budu izjednačeni za isti rad i isto radno mjesto. Obzirom da smo imali četiri  zaposlenice  koje su radile nestručno, a time su imale i manji koeficijent, novo Uredbom se izjednačio koeficijent sa učiteljicama koje su bile stručne za rad u produženom boravku. Sukladno novoj Uredbi školska ustanova je morala mijenjati Ugovore o radu za sve zaposlenice u produženom boravku. Materijalna prava učiteljica u produženom boravku također se povećavaju sukladno Temeljnom kolektivnom ugovoru za zaposlenike u javnim službama. Planiran je određeni iznos za prekovremeni rad zaposlenica zbog korištenja učestalog bolovanja.</w:t>
      </w:r>
    </w:p>
    <w:p w14:paraId="01F3518D" w14:textId="77777777" w:rsidR="007B7808" w:rsidRPr="007B7808" w:rsidRDefault="007B7808" w:rsidP="007B7808">
      <w:pPr>
        <w:spacing w:line="259" w:lineRule="auto"/>
        <w:jc w:val="both"/>
        <w:rPr>
          <w:rFonts w:ascii="Arial" w:hAnsi="Arial" w:cs="Arial"/>
          <w:sz w:val="22"/>
          <w:szCs w:val="22"/>
        </w:rPr>
      </w:pPr>
      <w:r w:rsidRPr="007B7808">
        <w:rPr>
          <w:rFonts w:ascii="Arial" w:hAnsi="Arial" w:cs="Arial"/>
          <w:sz w:val="22"/>
          <w:szCs w:val="22"/>
        </w:rPr>
        <w:t>Temeljem Odluke o visini osnovice za obračun plaće od 1. rujna 2025. godine osnovica će iznositi 1.004,87 eura što se odnosi na plaću za rujan koja će se isplatiti u listopadu.</w:t>
      </w:r>
    </w:p>
    <w:p w14:paraId="6E8C4811" w14:textId="77777777" w:rsidR="007B7808" w:rsidRPr="007B7808" w:rsidRDefault="007B7808" w:rsidP="007B7808">
      <w:pPr>
        <w:spacing w:line="259" w:lineRule="auto"/>
        <w:jc w:val="both"/>
        <w:rPr>
          <w:rFonts w:ascii="Arial" w:hAnsi="Arial" w:cs="Arial"/>
          <w:sz w:val="22"/>
          <w:szCs w:val="22"/>
        </w:rPr>
      </w:pPr>
      <w:r w:rsidRPr="007B7808">
        <w:rPr>
          <w:rFonts w:ascii="Arial" w:hAnsi="Arial" w:cs="Arial"/>
          <w:sz w:val="22"/>
          <w:szCs w:val="22"/>
        </w:rPr>
        <w:t>Zbog mnogobrojnog sudjelovanja naših učenika na  županijskim, državnim i međunarodnim natjecanjima imamo potrebu za povećanjem rashoda za tu svrhu ( prijevoz, dnevnice, hrana, nagrade za postignuti uspjeh) od dosadašnjih 670,00 na 1.000,00 eura.</w:t>
      </w:r>
    </w:p>
    <w:p w14:paraId="16B596B6" w14:textId="77777777" w:rsidR="007B7808" w:rsidRPr="007B7808" w:rsidRDefault="007B7808" w:rsidP="007B7808">
      <w:pPr>
        <w:spacing w:line="259" w:lineRule="auto"/>
        <w:jc w:val="both"/>
        <w:rPr>
          <w:rFonts w:ascii="Arial" w:hAnsi="Arial" w:cs="Arial"/>
          <w:sz w:val="22"/>
          <w:szCs w:val="22"/>
        </w:rPr>
      </w:pPr>
      <w:r w:rsidRPr="007B7808">
        <w:rPr>
          <w:rFonts w:ascii="Arial" w:hAnsi="Arial" w:cs="Arial"/>
          <w:sz w:val="22"/>
          <w:szCs w:val="22"/>
        </w:rPr>
        <w:t>Sukladno odredbama Protokola o kontroli ulaska i izlaska u školskim ustanovama donesenim od strane MZOM-a dana 2.01.2025. godine i Odjela za odgoj i  obrazovanje  grada Labina dogovoreno je da će se doznačiti sredstva za dobavu i ugradnju ulazne kapije u vanjskom školskom dvorištu (igralište) –– u iznosu od 4.093,75 eura. Uz navedeno dogovoreno je da će račun dostavljen od ELKRON d.o.o. Pula na iznos od 2.337,75 eura za ispitivanje elektro, gromobranskih i vodo-instalacija matične i područnih škola biti doznačen od strane osnivača grada Labina.</w:t>
      </w:r>
    </w:p>
    <w:p w14:paraId="4F638920" w14:textId="77777777" w:rsidR="007B7808" w:rsidRPr="007B7808" w:rsidRDefault="007B7808" w:rsidP="007B7808">
      <w:pPr>
        <w:spacing w:line="259" w:lineRule="auto"/>
        <w:jc w:val="both"/>
        <w:rPr>
          <w:rFonts w:ascii="Arial" w:hAnsi="Arial" w:cs="Arial"/>
          <w:sz w:val="22"/>
          <w:szCs w:val="22"/>
        </w:rPr>
      </w:pPr>
      <w:r w:rsidRPr="007B7808">
        <w:rPr>
          <w:rFonts w:ascii="Arial" w:hAnsi="Arial" w:cs="Arial"/>
          <w:sz w:val="22"/>
          <w:szCs w:val="22"/>
        </w:rPr>
        <w:t>Što se tiče komunalnih usluga</w:t>
      </w:r>
      <w:r w:rsidRPr="007B7808">
        <w:rPr>
          <w:rFonts w:ascii="Arial" w:hAnsi="Arial" w:cs="Arial"/>
          <w:b/>
          <w:bCs/>
          <w:sz w:val="22"/>
          <w:szCs w:val="22"/>
        </w:rPr>
        <w:t xml:space="preserve"> </w:t>
      </w:r>
      <w:r w:rsidRPr="007B7808">
        <w:rPr>
          <w:rFonts w:ascii="Arial" w:hAnsi="Arial" w:cs="Arial"/>
          <w:sz w:val="22"/>
          <w:szCs w:val="22"/>
        </w:rPr>
        <w:t>planirani iznos u</w:t>
      </w:r>
      <w:r w:rsidRPr="007B7808">
        <w:rPr>
          <w:rFonts w:ascii="Arial" w:hAnsi="Arial" w:cs="Arial"/>
          <w:b/>
          <w:bCs/>
          <w:sz w:val="22"/>
          <w:szCs w:val="22"/>
        </w:rPr>
        <w:t xml:space="preserve"> </w:t>
      </w:r>
      <w:r w:rsidRPr="007B7808">
        <w:rPr>
          <w:rFonts w:ascii="Arial" w:hAnsi="Arial" w:cs="Arial"/>
          <w:sz w:val="22"/>
          <w:szCs w:val="22"/>
        </w:rPr>
        <w:t>DEC-u</w:t>
      </w:r>
      <w:r w:rsidRPr="007B7808">
        <w:rPr>
          <w:rFonts w:ascii="Arial" w:hAnsi="Arial" w:cs="Arial"/>
          <w:b/>
          <w:bCs/>
          <w:sz w:val="22"/>
          <w:szCs w:val="22"/>
        </w:rPr>
        <w:t xml:space="preserve"> </w:t>
      </w:r>
      <w:r w:rsidRPr="007B7808">
        <w:rPr>
          <w:rFonts w:ascii="Arial" w:hAnsi="Arial" w:cs="Arial"/>
          <w:sz w:val="22"/>
          <w:szCs w:val="22"/>
        </w:rPr>
        <w:t>i u općim prihodima nije nam dovoljan za podmirivanje troškova– razlog – povećanje cijena navedenih (voda, odvoz smeća, dimnjačarske usluge, deratizacija i dezinsekcija).</w:t>
      </w:r>
    </w:p>
    <w:p w14:paraId="389075A1" w14:textId="77777777" w:rsidR="007B7808" w:rsidRPr="007B7808" w:rsidRDefault="007B7808" w:rsidP="007B7808">
      <w:pPr>
        <w:spacing w:line="259" w:lineRule="auto"/>
        <w:jc w:val="both"/>
        <w:rPr>
          <w:rFonts w:ascii="Arial" w:hAnsi="Arial" w:cs="Arial"/>
          <w:sz w:val="22"/>
          <w:szCs w:val="22"/>
        </w:rPr>
      </w:pPr>
      <w:r w:rsidRPr="007B7808">
        <w:rPr>
          <w:rFonts w:ascii="Arial" w:hAnsi="Arial" w:cs="Arial"/>
          <w:sz w:val="22"/>
          <w:szCs w:val="22"/>
        </w:rPr>
        <w:t xml:space="preserve">Računalne usluge – 1.000,00 eura nam je neophodno zbog povećanja mjesečnog iznosa za održavanje računalnog sustava . </w:t>
      </w:r>
    </w:p>
    <w:p w14:paraId="18FD75A3" w14:textId="77777777" w:rsidR="007B7808" w:rsidRPr="007B7808" w:rsidRDefault="007B7808" w:rsidP="007B7808">
      <w:pPr>
        <w:spacing w:line="259" w:lineRule="auto"/>
        <w:jc w:val="both"/>
        <w:rPr>
          <w:rFonts w:ascii="Arial" w:hAnsi="Arial" w:cs="Arial"/>
          <w:sz w:val="22"/>
          <w:szCs w:val="22"/>
        </w:rPr>
      </w:pPr>
      <w:r w:rsidRPr="007B7808">
        <w:rPr>
          <w:rFonts w:ascii="Arial" w:hAnsi="Arial" w:cs="Arial"/>
          <w:sz w:val="22"/>
          <w:szCs w:val="22"/>
        </w:rPr>
        <w:t xml:space="preserve">U planu za 2025. godinu od strane osnivača dodijeljen nam je iznos od 50.000,00 eura za dodatna ulaganja na građevinskim objektima – školska dvorana. Do sada je utrošeno cca 40.000,00 eura za cjelovito struganje, </w:t>
      </w:r>
      <w:proofErr w:type="spellStart"/>
      <w:r w:rsidRPr="007B7808">
        <w:rPr>
          <w:rFonts w:ascii="Arial" w:hAnsi="Arial" w:cs="Arial"/>
          <w:sz w:val="22"/>
          <w:szCs w:val="22"/>
        </w:rPr>
        <w:t>gletanje</w:t>
      </w:r>
      <w:proofErr w:type="spellEnd"/>
      <w:r w:rsidRPr="007B7808">
        <w:rPr>
          <w:rFonts w:ascii="Arial" w:hAnsi="Arial" w:cs="Arial"/>
          <w:sz w:val="22"/>
          <w:szCs w:val="22"/>
        </w:rPr>
        <w:t xml:space="preserve"> i farbanje stropa ( cca 450 m2 ), te struganje,  </w:t>
      </w:r>
      <w:proofErr w:type="spellStart"/>
      <w:r w:rsidRPr="007B7808">
        <w:rPr>
          <w:rFonts w:ascii="Arial" w:hAnsi="Arial" w:cs="Arial"/>
          <w:sz w:val="22"/>
          <w:szCs w:val="22"/>
        </w:rPr>
        <w:lastRenderedPageBreak/>
        <w:t>gletanje</w:t>
      </w:r>
      <w:proofErr w:type="spellEnd"/>
      <w:r w:rsidRPr="007B7808">
        <w:rPr>
          <w:rFonts w:ascii="Arial" w:hAnsi="Arial" w:cs="Arial"/>
          <w:sz w:val="22"/>
          <w:szCs w:val="22"/>
        </w:rPr>
        <w:t xml:space="preserve"> i žbukanje bočnih zidova ( cca 250 m kvadratnih)  dobavu i ugradnju </w:t>
      </w:r>
      <w:proofErr w:type="spellStart"/>
      <w:r w:rsidRPr="007B7808">
        <w:rPr>
          <w:rFonts w:ascii="Arial" w:hAnsi="Arial" w:cs="Arial"/>
          <w:sz w:val="22"/>
          <w:szCs w:val="22"/>
        </w:rPr>
        <w:t>ventilo</w:t>
      </w:r>
      <w:proofErr w:type="spellEnd"/>
      <w:r w:rsidRPr="007B7808">
        <w:rPr>
          <w:rFonts w:ascii="Arial" w:hAnsi="Arial" w:cs="Arial"/>
          <w:sz w:val="22"/>
          <w:szCs w:val="22"/>
        </w:rPr>
        <w:t xml:space="preserve">-konvektora  (grijanje) te nabavu i ugradnju novih Led reflektora. Ostatak od 20.000,00 eura utrošit će se za cjelovita sanaciju  južnog zida sa postavljanjem nove hidroizolacije, žbukanjem, </w:t>
      </w:r>
      <w:proofErr w:type="spellStart"/>
      <w:r w:rsidRPr="007B7808">
        <w:rPr>
          <w:rFonts w:ascii="Arial" w:hAnsi="Arial" w:cs="Arial"/>
          <w:sz w:val="22"/>
          <w:szCs w:val="22"/>
        </w:rPr>
        <w:t>gletanjem</w:t>
      </w:r>
      <w:proofErr w:type="spellEnd"/>
      <w:r w:rsidRPr="007B7808">
        <w:rPr>
          <w:rFonts w:ascii="Arial" w:hAnsi="Arial" w:cs="Arial"/>
          <w:sz w:val="22"/>
          <w:szCs w:val="22"/>
        </w:rPr>
        <w:t xml:space="preserve"> i farbanjem površine cca 80 kvadrata        (osobito teško oštećen zbog prodora vlage iz kanala oborinskih voda) te  sanacija ovjesa cijevi grijanja te montaža i stabilizacija postojećih radijatora te ulaganje u radove na otvorima</w:t>
      </w:r>
    </w:p>
    <w:p w14:paraId="4E96A104" w14:textId="77777777" w:rsidR="007B7808" w:rsidRPr="007B7808" w:rsidRDefault="007B7808" w:rsidP="007B7808">
      <w:pPr>
        <w:spacing w:line="259" w:lineRule="auto"/>
        <w:jc w:val="both"/>
        <w:rPr>
          <w:rFonts w:ascii="Arial" w:hAnsi="Arial" w:cs="Arial"/>
          <w:sz w:val="22"/>
          <w:szCs w:val="22"/>
        </w:rPr>
      </w:pPr>
      <w:r w:rsidRPr="007B7808">
        <w:rPr>
          <w:rFonts w:ascii="Arial" w:hAnsi="Arial" w:cs="Arial"/>
          <w:sz w:val="22"/>
          <w:szCs w:val="22"/>
        </w:rPr>
        <w:t>U I. izmjenama i dopunama iznos kapitalnih sredstava za obnovu školske dvorane, koje financira osnivač - grad Labin,  morali smo umanjiti za 10.000,00 eura. Zbog  navedenog, planirana sanacija ovjesa cijevi grijanja te montaža i stabilizacija postojećih radijatora te ulaganje u radove na otvorima, odlaže se za naredni period kad nam navedena sredstva budu odobrena.</w:t>
      </w:r>
    </w:p>
    <w:p w14:paraId="03ABF624" w14:textId="77777777" w:rsidR="007B7808" w:rsidRDefault="007B7808" w:rsidP="007B7808">
      <w:pPr>
        <w:spacing w:line="259" w:lineRule="auto"/>
        <w:jc w:val="both"/>
        <w:rPr>
          <w:rFonts w:ascii="Arial" w:hAnsi="Arial" w:cs="Arial"/>
          <w:sz w:val="22"/>
          <w:szCs w:val="22"/>
        </w:rPr>
      </w:pPr>
      <w:r w:rsidRPr="007B7808">
        <w:rPr>
          <w:rFonts w:ascii="Arial" w:hAnsi="Arial" w:cs="Arial"/>
          <w:sz w:val="22"/>
          <w:szCs w:val="22"/>
        </w:rPr>
        <w:t xml:space="preserve">Najvažniji dio radova odnosi se na cjelovitu sanaciju podova ( cca 400 m2) koja uključuje rušilačke radove postojeće podloge , hidroizolaciju , betoniranje i </w:t>
      </w:r>
      <w:proofErr w:type="spellStart"/>
      <w:r w:rsidRPr="007B7808">
        <w:rPr>
          <w:rFonts w:ascii="Arial" w:hAnsi="Arial" w:cs="Arial"/>
          <w:sz w:val="22"/>
          <w:szCs w:val="22"/>
        </w:rPr>
        <w:t>estriht</w:t>
      </w:r>
      <w:proofErr w:type="spellEnd"/>
      <w:r w:rsidRPr="007B7808">
        <w:rPr>
          <w:rFonts w:ascii="Arial" w:hAnsi="Arial" w:cs="Arial"/>
          <w:sz w:val="22"/>
          <w:szCs w:val="22"/>
        </w:rPr>
        <w:t xml:space="preserve"> ta na kraju postavljanje sportskog poda sa crtovljem . Škola „Ivo Lola Ribar“ Labin  u godini kada se obilježava 80 obljetnica početka rada  (2.10.2025.) zaslužuje da se radovi završe čim je prije moguće. Naime navedeno stanje parketa, zbog pucanja, učestalih provala vode i rupa u istom dovodi u pitanje sigurnost održavanja nastave TZK ali i ostalih aktivnosti vanjskih korisnika. Procijenjeni iznos druge faze na temelju troškovnika OŠ M. Vlačića iznosio od cca 80.000,00 eura sa PDV-om  To su radovi na podlozi  - od izolacije do postavljanje parketa. Nadamo se da će nam,  u slijedećoj proračunskoj godini, biti dodijeljena ta sredstva za završne radove obnove školske dvorane. </w:t>
      </w:r>
    </w:p>
    <w:p w14:paraId="579A67FA" w14:textId="77777777" w:rsidR="0056141B" w:rsidRPr="007B7808" w:rsidRDefault="0056141B" w:rsidP="007B7808">
      <w:pPr>
        <w:spacing w:line="259" w:lineRule="auto"/>
        <w:jc w:val="both"/>
        <w:rPr>
          <w:rFonts w:ascii="Arial" w:hAnsi="Arial" w:cs="Arial"/>
          <w:sz w:val="22"/>
          <w:szCs w:val="22"/>
        </w:rPr>
      </w:pPr>
    </w:p>
    <w:p w14:paraId="770E74D4" w14:textId="77777777"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u w:val="single"/>
        </w:rPr>
        <w:t>2</w:t>
      </w:r>
      <w:r w:rsidRPr="007B7808">
        <w:rPr>
          <w:rFonts w:ascii="Arial" w:eastAsia="Calibri" w:hAnsi="Arial" w:cs="Arial"/>
          <w:b/>
          <w:sz w:val="22"/>
          <w:szCs w:val="22"/>
          <w:u w:val="single"/>
        </w:rPr>
        <w:t xml:space="preserve">. </w:t>
      </w:r>
      <w:r w:rsidRPr="007B7808">
        <w:rPr>
          <w:rFonts w:ascii="Arial" w:eastAsia="Calibri" w:hAnsi="Arial" w:cs="Arial"/>
          <w:sz w:val="22"/>
          <w:szCs w:val="22"/>
          <w:u w:val="single"/>
        </w:rPr>
        <w:t xml:space="preserve"> Prihodi iz nadležnog proračuna za financiranje redovne djelatnosti</w:t>
      </w:r>
      <w:r w:rsidRPr="007B7808">
        <w:rPr>
          <w:rFonts w:ascii="Arial" w:eastAsia="Calibri" w:hAnsi="Arial" w:cs="Arial"/>
          <w:b/>
          <w:sz w:val="22"/>
          <w:szCs w:val="22"/>
          <w:u w:val="single"/>
        </w:rPr>
        <w:t xml:space="preserve">   </w:t>
      </w:r>
      <w:r w:rsidRPr="007B7808">
        <w:rPr>
          <w:rFonts w:ascii="Arial" w:eastAsia="Calibri" w:hAnsi="Arial" w:cs="Arial"/>
          <w:sz w:val="22"/>
          <w:szCs w:val="22"/>
          <w:u w:val="single"/>
        </w:rPr>
        <w:t xml:space="preserve">DEC-a </w:t>
      </w:r>
      <w:r w:rsidRPr="007B7808">
        <w:rPr>
          <w:rFonts w:ascii="Arial" w:eastAsia="Calibri" w:hAnsi="Arial" w:cs="Arial"/>
          <w:sz w:val="22"/>
          <w:szCs w:val="22"/>
        </w:rPr>
        <w:t xml:space="preserve"> u iznosu od </w:t>
      </w:r>
    </w:p>
    <w:p w14:paraId="00A4DA3D" w14:textId="4348DE4F"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xml:space="preserve">179.382,00  EUR ili za 3,0 %  više u odnosu na Plana za  2025. godinu te </w:t>
      </w:r>
    </w:p>
    <w:p w14:paraId="4F54F4F5" w14:textId="5F80DBDD"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kapitalna ulaganja – DEC osnovnog obrazovanja u iznosu od 28.772,00 EUR za nabavku postrojenja i opreme te knjiga – kao i u Planu za 2025. godinu, iznos je ostao isti.</w:t>
      </w:r>
    </w:p>
    <w:p w14:paraId="09462796" w14:textId="77777777" w:rsidR="007B7808" w:rsidRPr="007B7808" w:rsidRDefault="007B7808" w:rsidP="007B7808">
      <w:pPr>
        <w:spacing w:line="259" w:lineRule="auto"/>
        <w:jc w:val="both"/>
        <w:rPr>
          <w:rFonts w:ascii="Arial" w:eastAsia="Calibri" w:hAnsi="Arial" w:cs="Arial"/>
          <w:color w:val="FF0000"/>
          <w:sz w:val="22"/>
          <w:szCs w:val="22"/>
        </w:rPr>
      </w:pPr>
    </w:p>
    <w:p w14:paraId="6369567E" w14:textId="77777777" w:rsidR="007B7808" w:rsidRPr="007B7808" w:rsidRDefault="007B7808" w:rsidP="007B7808">
      <w:pPr>
        <w:spacing w:line="259" w:lineRule="auto"/>
        <w:jc w:val="both"/>
        <w:rPr>
          <w:rFonts w:ascii="Arial" w:eastAsia="Calibri" w:hAnsi="Arial" w:cs="Arial"/>
          <w:color w:val="FF0000"/>
          <w:sz w:val="22"/>
          <w:szCs w:val="22"/>
        </w:rPr>
      </w:pPr>
    </w:p>
    <w:p w14:paraId="5B281808" w14:textId="77777777" w:rsidR="007B7808" w:rsidRDefault="007B7808" w:rsidP="007B7808">
      <w:pPr>
        <w:spacing w:line="259" w:lineRule="auto"/>
        <w:jc w:val="both"/>
        <w:rPr>
          <w:rFonts w:ascii="Arial" w:eastAsia="Calibri" w:hAnsi="Arial" w:cs="Arial"/>
          <w:b/>
          <w:sz w:val="22"/>
          <w:szCs w:val="22"/>
        </w:rPr>
      </w:pPr>
      <w:r w:rsidRPr="007B7808">
        <w:rPr>
          <w:rFonts w:ascii="Arial" w:eastAsia="Calibri" w:hAnsi="Arial" w:cs="Arial"/>
          <w:b/>
          <w:sz w:val="22"/>
          <w:szCs w:val="22"/>
        </w:rPr>
        <w:t>OBRAZLOŽENJE RASHODA  I IZDATAKA</w:t>
      </w:r>
    </w:p>
    <w:p w14:paraId="13B2B2A6" w14:textId="77777777" w:rsidR="0056141B" w:rsidRPr="007B7808" w:rsidRDefault="0056141B" w:rsidP="007B7808">
      <w:pPr>
        <w:spacing w:line="259" w:lineRule="auto"/>
        <w:jc w:val="both"/>
        <w:rPr>
          <w:rFonts w:ascii="Arial" w:eastAsia="Calibri" w:hAnsi="Arial" w:cs="Arial"/>
          <w:b/>
          <w:sz w:val="22"/>
          <w:szCs w:val="22"/>
        </w:rPr>
      </w:pPr>
    </w:p>
    <w:p w14:paraId="2C2ED934" w14:textId="529A6F56"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b/>
          <w:sz w:val="22"/>
          <w:szCs w:val="22"/>
        </w:rPr>
        <w:t xml:space="preserve">Rashodi i izdaci poslovanja </w:t>
      </w:r>
      <w:r w:rsidRPr="007B7808">
        <w:rPr>
          <w:rFonts w:ascii="Arial" w:eastAsia="Calibri" w:hAnsi="Arial" w:cs="Arial"/>
          <w:sz w:val="22"/>
          <w:szCs w:val="22"/>
        </w:rPr>
        <w:t xml:space="preserve">planirani su u iznosu </w:t>
      </w:r>
      <w:r w:rsidRPr="007B7808">
        <w:rPr>
          <w:rFonts w:ascii="Arial" w:eastAsia="Calibri" w:hAnsi="Arial" w:cs="Arial"/>
          <w:b/>
          <w:sz w:val="22"/>
          <w:szCs w:val="22"/>
        </w:rPr>
        <w:t xml:space="preserve">2.847.741,00 </w:t>
      </w:r>
      <w:r w:rsidRPr="007B7808">
        <w:rPr>
          <w:rFonts w:ascii="Arial" w:eastAsia="Calibri" w:hAnsi="Arial" w:cs="Arial"/>
          <w:sz w:val="22"/>
          <w:szCs w:val="22"/>
        </w:rPr>
        <w:t>EUR ,</w:t>
      </w:r>
      <w:r w:rsidRPr="007B7808">
        <w:rPr>
          <w:rFonts w:ascii="Arial" w:eastAsia="Calibri" w:hAnsi="Arial" w:cs="Arial"/>
          <w:b/>
          <w:sz w:val="22"/>
          <w:szCs w:val="22"/>
        </w:rPr>
        <w:t xml:space="preserve"> </w:t>
      </w:r>
      <w:r w:rsidRPr="007B7808">
        <w:rPr>
          <w:rFonts w:ascii="Arial" w:eastAsia="Calibri" w:hAnsi="Arial" w:cs="Arial"/>
          <w:sz w:val="22"/>
          <w:szCs w:val="22"/>
        </w:rPr>
        <w:t xml:space="preserve"> odnosno 5,0% više od Plana proračuna za 2025.  godinu, a  odnose se na:</w:t>
      </w:r>
    </w:p>
    <w:p w14:paraId="1C4F61C1" w14:textId="77777777" w:rsidR="007B7808" w:rsidRPr="007B7808" w:rsidRDefault="007B7808" w:rsidP="007B7808">
      <w:pPr>
        <w:spacing w:line="259" w:lineRule="auto"/>
        <w:jc w:val="both"/>
        <w:rPr>
          <w:rFonts w:ascii="Arial" w:eastAsia="Calibri" w:hAnsi="Arial" w:cs="Arial"/>
          <w:sz w:val="22"/>
          <w:szCs w:val="22"/>
        </w:rPr>
      </w:pPr>
    </w:p>
    <w:p w14:paraId="2C65F5FE" w14:textId="7727363A"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color w:val="FF0000"/>
          <w:sz w:val="22"/>
          <w:szCs w:val="22"/>
        </w:rPr>
        <w:t xml:space="preserve"> </w:t>
      </w:r>
      <w:r w:rsidRPr="007B7808">
        <w:rPr>
          <w:rFonts w:ascii="Arial" w:eastAsia="Calibri" w:hAnsi="Arial" w:cs="Arial"/>
          <w:b/>
          <w:color w:val="FF0000"/>
          <w:sz w:val="22"/>
          <w:szCs w:val="22"/>
        </w:rPr>
        <w:t xml:space="preserve"> </w:t>
      </w:r>
      <w:r w:rsidRPr="007B7808">
        <w:rPr>
          <w:rFonts w:ascii="Arial" w:eastAsia="Calibri" w:hAnsi="Arial" w:cs="Arial"/>
          <w:color w:val="FF0000"/>
          <w:sz w:val="22"/>
          <w:szCs w:val="22"/>
        </w:rPr>
        <w:t xml:space="preserve"> </w:t>
      </w:r>
      <w:r w:rsidRPr="007B7808">
        <w:rPr>
          <w:rFonts w:ascii="Arial" w:eastAsia="Calibri" w:hAnsi="Arial" w:cs="Arial"/>
          <w:b/>
          <w:sz w:val="22"/>
          <w:szCs w:val="22"/>
        </w:rPr>
        <w:t>1. Rashode za zaposlene</w:t>
      </w:r>
      <w:r w:rsidRPr="007B7808">
        <w:rPr>
          <w:rFonts w:ascii="Arial" w:eastAsia="Calibri" w:hAnsi="Arial" w:cs="Arial"/>
          <w:sz w:val="22"/>
          <w:szCs w:val="22"/>
        </w:rPr>
        <w:t xml:space="preserve"> -  planirani su u iznosu od 2.322.860,00 EUR, odnosno 5,11% više od Plana za 2025. godinu:</w:t>
      </w:r>
    </w:p>
    <w:p w14:paraId="5E9AD2AF" w14:textId="73CC4ED9"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a)  plaće (bruto) su planirane u iznosu od 1.899.977,00  EUR</w:t>
      </w:r>
    </w:p>
    <w:p w14:paraId="7491735D" w14:textId="77777777"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xml:space="preserve">b)  ostali rashodi za zaposlene (regres za godišnji odmor, božićnica, dar djetetu, pomoći, </w:t>
      </w:r>
    </w:p>
    <w:p w14:paraId="0B03B74A" w14:textId="2D972DFD"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xml:space="preserve">      otpremnine) planirani su u iznosu od 80.002,00  EUR                                                               </w:t>
      </w:r>
    </w:p>
    <w:p w14:paraId="289B5924" w14:textId="7E66DB37"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c)  doprinosi na plaće su planirani u iznosu od 317.881,00 EUR</w:t>
      </w:r>
    </w:p>
    <w:p w14:paraId="6AB789F3" w14:textId="77777777" w:rsidR="007B7808" w:rsidRPr="007B7808" w:rsidRDefault="007B7808" w:rsidP="007B7808">
      <w:pPr>
        <w:spacing w:line="259" w:lineRule="auto"/>
        <w:jc w:val="both"/>
        <w:rPr>
          <w:rFonts w:ascii="Arial" w:eastAsia="Calibri" w:hAnsi="Arial" w:cs="Arial"/>
          <w:b/>
          <w:sz w:val="22"/>
          <w:szCs w:val="22"/>
        </w:rPr>
      </w:pPr>
      <w:r w:rsidRPr="007B7808">
        <w:rPr>
          <w:rFonts w:ascii="Arial" w:eastAsia="Calibri" w:hAnsi="Arial" w:cs="Arial"/>
          <w:b/>
          <w:sz w:val="22"/>
          <w:szCs w:val="22"/>
        </w:rPr>
        <w:t xml:space="preserve">     </w:t>
      </w:r>
    </w:p>
    <w:p w14:paraId="1E34213F" w14:textId="2B06261E"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b/>
          <w:sz w:val="22"/>
          <w:szCs w:val="22"/>
        </w:rPr>
        <w:t xml:space="preserve">  2. Materijalne rashode –</w:t>
      </w:r>
      <w:r w:rsidRPr="007B7808">
        <w:rPr>
          <w:rFonts w:ascii="Arial" w:eastAsia="Calibri" w:hAnsi="Arial" w:cs="Arial"/>
          <w:sz w:val="22"/>
          <w:szCs w:val="22"/>
        </w:rPr>
        <w:t xml:space="preserve"> planirali smo u iznosu od 513.805,00 EUR, odnosno  8,28 % više od Plana proračuna za 2025. godinu. </w:t>
      </w:r>
    </w:p>
    <w:p w14:paraId="50EC2BED" w14:textId="2DB5E5DD"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xml:space="preserve">- Naknade troškova zaposlenima planirani su u iznosu 47.110,00 EUR  ili 3,83% više od Plana proračuna za 2025 godinu. Odnose se na prijevoz na posao i s posla, stručno usavršavanje zaposlenika te naknade za službeni put zaposlenika škole. </w:t>
      </w:r>
    </w:p>
    <w:p w14:paraId="0F5E0C3A" w14:textId="51EA56AC"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xml:space="preserve">- Rashodi za materijal i energiju su planirani u iznosu 315.457,00 EUR, odnosno 6,46% više  u  odnosu na Plan proračuna  za 2025. godinu. Rashodi su planirani za uredski materijal, trošak električne energije, materijal za tekuće i investicijsko održavanje te lož ulje, namirnice za školsku kuhinju, sitan inventar, nabavku  službene i zaštitne odjeće i obuće. Rashodi su uvećani zbog energenata  (el. energija, lož ulje, peleti), a sve to prema Odluci o kriterijima, </w:t>
      </w:r>
      <w:r w:rsidRPr="007B7808">
        <w:rPr>
          <w:rFonts w:ascii="Arial" w:eastAsia="Calibri" w:hAnsi="Arial" w:cs="Arial"/>
          <w:sz w:val="22"/>
          <w:szCs w:val="22"/>
        </w:rPr>
        <w:lastRenderedPageBreak/>
        <w:t xml:space="preserve">mjerilima i načinu financiranja decentraliziranih funkcija osnovnog školstva za 2025. godinu donesenu od Grada  Labina 18.02.2025. godine </w:t>
      </w:r>
    </w:p>
    <w:p w14:paraId="2607BA7B" w14:textId="3334271B"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xml:space="preserve"> - Rashodi za usluge su planirani u iznosu 132.116,00 EUR ili 12,60 %  više od Plana proračuna za 2025. godinu. Rashodi za usluge se planiraju za usluge telefona, poštanske usluge, prijevoz učenika ,usluge tekućeg i investicijskog održavanja, komunalne usluge, računalne usluge. zdravstvene usluge, intelektualne usluge. </w:t>
      </w:r>
    </w:p>
    <w:p w14:paraId="1189B703" w14:textId="77777777"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Prema gore navedenoj Odluci o kriterijima odnosno o prikazu bilančnih prava za financiranje financijskog standarda za 2025. godinu, prijevoz učenika i energenti ostaju kao u Planu za 2025. godinu, a stavka koja nam se povećava su usluge tekućeg i investicijskog održavanja. Postotak povećanja iznosi  13,73%, od 16.000,00 eura na 18.196,00 eura godišnje.</w:t>
      </w:r>
    </w:p>
    <w:p w14:paraId="6B3E95A6" w14:textId="3EEDAE86"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 xml:space="preserve">- Ostali nespomenuti rashodi poslovanja su planirani u iznosu 18.492,00 EUR ili 24,01% više  od Plana proračuna za 2025. godinu. Rashodi su planirani za troškove premije osiguranja, pristojbe i naknade te prijevoz djece na natjecanja i razne manifestacije. </w:t>
      </w:r>
    </w:p>
    <w:p w14:paraId="5AFFFDE9" w14:textId="0A1ABB0C" w:rsidR="007B7808" w:rsidRDefault="007B7808" w:rsidP="007B7808">
      <w:pPr>
        <w:spacing w:line="259" w:lineRule="auto"/>
        <w:jc w:val="both"/>
        <w:rPr>
          <w:rFonts w:ascii="Arial" w:eastAsia="Calibri" w:hAnsi="Arial" w:cs="Arial"/>
          <w:sz w:val="22"/>
          <w:szCs w:val="22"/>
        </w:rPr>
      </w:pPr>
      <w:r w:rsidRPr="007B7808">
        <w:rPr>
          <w:rFonts w:ascii="Arial" w:eastAsia="Calibri" w:hAnsi="Arial" w:cs="Arial"/>
          <w:b/>
          <w:sz w:val="22"/>
          <w:szCs w:val="22"/>
        </w:rPr>
        <w:t xml:space="preserve">- </w:t>
      </w:r>
      <w:r w:rsidRPr="007B7808">
        <w:rPr>
          <w:rFonts w:ascii="Arial" w:eastAsia="Calibri" w:hAnsi="Arial" w:cs="Arial"/>
          <w:sz w:val="22"/>
          <w:szCs w:val="22"/>
        </w:rPr>
        <w:t>Ostale naknade građanima i kućanstvima iz proračuna planirane su u iznosu od 10.000,00 EUR odnose se na nabavku  radnih udžbenika za učenike  koji se mijenjaju svake godine i financirani su od Državnog proračuna (MZOM).</w:t>
      </w:r>
    </w:p>
    <w:p w14:paraId="3D3E6022" w14:textId="77777777" w:rsidR="0056141B" w:rsidRPr="007B7808" w:rsidRDefault="0056141B" w:rsidP="007B7808">
      <w:pPr>
        <w:spacing w:line="259" w:lineRule="auto"/>
        <w:jc w:val="both"/>
        <w:rPr>
          <w:rFonts w:ascii="Arial" w:eastAsia="Calibri" w:hAnsi="Arial" w:cs="Arial"/>
          <w:sz w:val="22"/>
          <w:szCs w:val="22"/>
        </w:rPr>
      </w:pPr>
    </w:p>
    <w:p w14:paraId="29BCB02F" w14:textId="29A3EA0C"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b/>
          <w:sz w:val="22"/>
          <w:szCs w:val="22"/>
        </w:rPr>
        <w:t xml:space="preserve">3. Rashodi za nabavu nefinancijske imovine </w:t>
      </w:r>
      <w:r w:rsidRPr="007B7808">
        <w:rPr>
          <w:rFonts w:ascii="Arial" w:eastAsia="Calibri" w:hAnsi="Arial" w:cs="Arial"/>
          <w:sz w:val="22"/>
          <w:szCs w:val="22"/>
        </w:rPr>
        <w:t>su planirani u iznosu 114.272,00 EUR. Za nabavu  opreme , uređaja i strojeva (za potrebe  nastave sukladno potrebama) planira se utrošiti   28.111,00 EUR (DEC). Za obnovu knjižne građe u školskoj knjižnici planirano je 1.661,00 EUR (DEC), za  nabavu udžbenika za učenike  30.000,00 EUR (financira MZOM), te 50.000,00 eura za dodatna ulaganja na građevinskim objektima – školska dvorana (financirano od Općih prihoda). Ostatak od 4.500,00 eura sastoji se od rashoda donacija – 3.500,00 eura te 1.000,00 eura od vlastitih prihoda – rezultat.</w:t>
      </w:r>
    </w:p>
    <w:p w14:paraId="46BFBB10" w14:textId="77777777" w:rsidR="007B7808" w:rsidRPr="007B7808" w:rsidRDefault="007B7808" w:rsidP="007B7808">
      <w:pPr>
        <w:spacing w:line="259" w:lineRule="auto"/>
        <w:jc w:val="both"/>
        <w:rPr>
          <w:rStyle w:val="uv3um"/>
          <w:rFonts w:ascii="Arial" w:eastAsiaTheme="majorEastAsia" w:hAnsi="Arial" w:cs="Arial"/>
          <w:sz w:val="22"/>
          <w:szCs w:val="22"/>
          <w:shd w:val="clear" w:color="auto" w:fill="FFFFFF"/>
        </w:rPr>
      </w:pPr>
      <w:r w:rsidRPr="007B7808">
        <w:rPr>
          <w:rFonts w:ascii="Arial" w:eastAsia="Calibri" w:hAnsi="Arial" w:cs="Arial"/>
          <w:sz w:val="22"/>
          <w:szCs w:val="22"/>
        </w:rPr>
        <w:t xml:space="preserve">Rashodi i izdaci poslovanja u I. izmjenama i dopunama financijskog plana za 2025. godinu rasli su sukladno povećanju </w:t>
      </w:r>
      <w:r w:rsidRPr="007B7808">
        <w:rPr>
          <w:rFonts w:ascii="Arial" w:hAnsi="Arial" w:cs="Arial"/>
          <w:sz w:val="22"/>
          <w:szCs w:val="22"/>
          <w:shd w:val="clear" w:color="auto" w:fill="FFFFFF"/>
        </w:rPr>
        <w:t>opće razine cijena u gospodarstvu RH u navedenom  vremenskom razdoblju. Za isti iznos novca nabavljamo manje robe ili usluga nego prije, što smanjuje kupovnu moć novca.</w:t>
      </w:r>
      <w:r w:rsidRPr="007B7808">
        <w:rPr>
          <w:rStyle w:val="uv3um"/>
          <w:rFonts w:ascii="Arial" w:eastAsiaTheme="majorEastAsia" w:hAnsi="Arial" w:cs="Arial"/>
          <w:sz w:val="22"/>
          <w:szCs w:val="22"/>
          <w:shd w:val="clear" w:color="auto" w:fill="FFFFFF"/>
        </w:rPr>
        <w:t> </w:t>
      </w:r>
    </w:p>
    <w:p w14:paraId="4478334C" w14:textId="77777777" w:rsidR="007B7808" w:rsidRPr="007B7808" w:rsidRDefault="007B7808" w:rsidP="007B7808">
      <w:pPr>
        <w:spacing w:line="259" w:lineRule="auto"/>
        <w:jc w:val="both"/>
        <w:rPr>
          <w:rStyle w:val="uv3um"/>
          <w:rFonts w:ascii="Arial" w:eastAsiaTheme="majorEastAsia" w:hAnsi="Arial" w:cs="Arial"/>
          <w:sz w:val="22"/>
          <w:szCs w:val="22"/>
          <w:shd w:val="clear" w:color="auto" w:fill="FFFFFF"/>
        </w:rPr>
      </w:pPr>
    </w:p>
    <w:p w14:paraId="19491E38" w14:textId="77777777" w:rsidR="007B7808" w:rsidRPr="007B7808" w:rsidRDefault="007B7808" w:rsidP="007B7808">
      <w:pPr>
        <w:spacing w:line="259" w:lineRule="auto"/>
        <w:jc w:val="both"/>
        <w:rPr>
          <w:rFonts w:ascii="Arial" w:eastAsia="Calibri" w:hAnsi="Arial" w:cs="Arial"/>
          <w:sz w:val="22"/>
          <w:szCs w:val="22"/>
        </w:rPr>
      </w:pPr>
      <w:r w:rsidRPr="007B7808">
        <w:rPr>
          <w:rFonts w:ascii="Arial" w:eastAsia="Calibri" w:hAnsi="Arial" w:cs="Arial"/>
          <w:sz w:val="22"/>
          <w:szCs w:val="22"/>
        </w:rPr>
        <w:t>Tablica br.4 -   Račun prihoda i rashoda po izvorima financiranja</w:t>
      </w:r>
    </w:p>
    <w:tbl>
      <w:tblPr>
        <w:tblStyle w:val="Reetkatablice"/>
        <w:tblW w:w="10490" w:type="dxa"/>
        <w:tblInd w:w="-601" w:type="dxa"/>
        <w:tblLook w:val="04A0" w:firstRow="1" w:lastRow="0" w:firstColumn="1" w:lastColumn="0" w:noHBand="0" w:noVBand="1"/>
      </w:tblPr>
      <w:tblGrid>
        <w:gridCol w:w="1386"/>
        <w:gridCol w:w="3592"/>
        <w:gridCol w:w="1509"/>
        <w:gridCol w:w="1237"/>
        <w:gridCol w:w="1237"/>
        <w:gridCol w:w="1723"/>
      </w:tblGrid>
      <w:tr w:rsidR="007B7808" w:rsidRPr="00F137BD" w14:paraId="5B989FEC" w14:textId="77777777" w:rsidTr="0056141B">
        <w:trPr>
          <w:trHeight w:val="693"/>
        </w:trPr>
        <w:tc>
          <w:tcPr>
            <w:tcW w:w="1386" w:type="dxa"/>
            <w:shd w:val="clear" w:color="auto" w:fill="A6A6A6" w:themeFill="background1" w:themeFillShade="A6"/>
            <w:hideMark/>
          </w:tcPr>
          <w:p w14:paraId="2519096F" w14:textId="77777777" w:rsidR="007B7808" w:rsidRPr="00F137BD" w:rsidRDefault="007B7808" w:rsidP="002815DB">
            <w:pPr>
              <w:autoSpaceDE w:val="0"/>
              <w:autoSpaceDN w:val="0"/>
              <w:adjustRightInd w:val="0"/>
              <w:jc w:val="center"/>
              <w:rPr>
                <w:rFonts w:ascii="Arial" w:hAnsi="Arial" w:cs="Arial"/>
                <w:b/>
                <w:bCs/>
                <w:sz w:val="18"/>
                <w:szCs w:val="18"/>
              </w:rPr>
            </w:pPr>
            <w:r w:rsidRPr="00F137BD">
              <w:rPr>
                <w:rFonts w:ascii="Arial" w:hAnsi="Arial" w:cs="Arial"/>
                <w:b/>
                <w:bCs/>
                <w:sz w:val="18"/>
                <w:szCs w:val="18"/>
              </w:rPr>
              <w:t xml:space="preserve">BROJ </w:t>
            </w:r>
            <w:r w:rsidRPr="00F137BD">
              <w:rPr>
                <w:rFonts w:ascii="Arial" w:hAnsi="Arial" w:cs="Arial"/>
                <w:b/>
                <w:bCs/>
                <w:sz w:val="18"/>
                <w:szCs w:val="18"/>
              </w:rPr>
              <w:br/>
              <w:t>KONTA</w:t>
            </w:r>
          </w:p>
        </w:tc>
        <w:tc>
          <w:tcPr>
            <w:tcW w:w="3592" w:type="dxa"/>
            <w:shd w:val="clear" w:color="auto" w:fill="A6A6A6" w:themeFill="background1" w:themeFillShade="A6"/>
            <w:noWrap/>
            <w:hideMark/>
          </w:tcPr>
          <w:p w14:paraId="4C8BBEEA" w14:textId="77777777" w:rsidR="007B7808" w:rsidRPr="00F137BD" w:rsidRDefault="007B7808" w:rsidP="002815DB">
            <w:pPr>
              <w:autoSpaceDE w:val="0"/>
              <w:autoSpaceDN w:val="0"/>
              <w:adjustRightInd w:val="0"/>
              <w:jc w:val="center"/>
              <w:rPr>
                <w:rFonts w:ascii="Arial" w:hAnsi="Arial" w:cs="Arial"/>
                <w:b/>
                <w:bCs/>
                <w:sz w:val="18"/>
                <w:szCs w:val="18"/>
              </w:rPr>
            </w:pPr>
          </w:p>
          <w:p w14:paraId="2827FDD0" w14:textId="77777777" w:rsidR="007B7808" w:rsidRPr="00F137BD" w:rsidRDefault="007B7808" w:rsidP="002815DB">
            <w:pPr>
              <w:autoSpaceDE w:val="0"/>
              <w:autoSpaceDN w:val="0"/>
              <w:adjustRightInd w:val="0"/>
              <w:jc w:val="center"/>
              <w:rPr>
                <w:rFonts w:ascii="Arial" w:hAnsi="Arial" w:cs="Arial"/>
                <w:b/>
                <w:bCs/>
                <w:sz w:val="18"/>
                <w:szCs w:val="18"/>
              </w:rPr>
            </w:pPr>
            <w:r w:rsidRPr="00F137BD">
              <w:rPr>
                <w:rFonts w:ascii="Arial" w:hAnsi="Arial" w:cs="Arial"/>
                <w:b/>
                <w:bCs/>
                <w:sz w:val="18"/>
                <w:szCs w:val="18"/>
              </w:rPr>
              <w:t>VRSTA PRIHODA / PRIMITAKA</w:t>
            </w:r>
          </w:p>
        </w:tc>
        <w:tc>
          <w:tcPr>
            <w:tcW w:w="1509" w:type="dxa"/>
            <w:shd w:val="clear" w:color="auto" w:fill="A6A6A6" w:themeFill="background1" w:themeFillShade="A6"/>
            <w:noWrap/>
            <w:hideMark/>
          </w:tcPr>
          <w:p w14:paraId="2140D022" w14:textId="77777777" w:rsidR="007B7808" w:rsidRPr="00F137BD" w:rsidRDefault="007B7808" w:rsidP="002815DB">
            <w:pPr>
              <w:autoSpaceDE w:val="0"/>
              <w:autoSpaceDN w:val="0"/>
              <w:adjustRightInd w:val="0"/>
              <w:jc w:val="center"/>
              <w:rPr>
                <w:rFonts w:ascii="Arial" w:hAnsi="Arial" w:cs="Arial"/>
                <w:b/>
                <w:bCs/>
                <w:sz w:val="18"/>
                <w:szCs w:val="18"/>
              </w:rPr>
            </w:pPr>
          </w:p>
          <w:p w14:paraId="4E7D6B56" w14:textId="77777777" w:rsidR="007B7808" w:rsidRPr="00F137BD" w:rsidRDefault="007B7808" w:rsidP="002815DB">
            <w:pPr>
              <w:autoSpaceDE w:val="0"/>
              <w:autoSpaceDN w:val="0"/>
              <w:adjustRightInd w:val="0"/>
              <w:jc w:val="center"/>
              <w:rPr>
                <w:rFonts w:ascii="Arial" w:hAnsi="Arial" w:cs="Arial"/>
                <w:b/>
                <w:bCs/>
                <w:sz w:val="18"/>
                <w:szCs w:val="18"/>
              </w:rPr>
            </w:pPr>
            <w:r w:rsidRPr="00F137BD">
              <w:rPr>
                <w:rFonts w:ascii="Arial" w:hAnsi="Arial" w:cs="Arial"/>
                <w:b/>
                <w:bCs/>
                <w:sz w:val="18"/>
                <w:szCs w:val="18"/>
              </w:rPr>
              <w:t>PLANIRANO 2025.</w:t>
            </w:r>
          </w:p>
        </w:tc>
        <w:tc>
          <w:tcPr>
            <w:tcW w:w="1157" w:type="dxa"/>
            <w:shd w:val="clear" w:color="auto" w:fill="A6A6A6" w:themeFill="background1" w:themeFillShade="A6"/>
            <w:noWrap/>
            <w:hideMark/>
          </w:tcPr>
          <w:p w14:paraId="3C8BAAEB" w14:textId="77777777" w:rsidR="007B7808" w:rsidRPr="00F137BD" w:rsidRDefault="007B7808" w:rsidP="002815DB">
            <w:pPr>
              <w:autoSpaceDE w:val="0"/>
              <w:autoSpaceDN w:val="0"/>
              <w:adjustRightInd w:val="0"/>
              <w:jc w:val="center"/>
              <w:rPr>
                <w:rFonts w:ascii="Arial" w:hAnsi="Arial" w:cs="Arial"/>
                <w:b/>
                <w:bCs/>
                <w:sz w:val="18"/>
                <w:szCs w:val="18"/>
              </w:rPr>
            </w:pPr>
          </w:p>
          <w:p w14:paraId="5528C9B1" w14:textId="77777777" w:rsidR="007B7808" w:rsidRPr="00F137BD" w:rsidRDefault="007B7808" w:rsidP="002815DB">
            <w:pPr>
              <w:autoSpaceDE w:val="0"/>
              <w:autoSpaceDN w:val="0"/>
              <w:adjustRightInd w:val="0"/>
              <w:jc w:val="center"/>
              <w:rPr>
                <w:rFonts w:ascii="Arial" w:hAnsi="Arial" w:cs="Arial"/>
                <w:b/>
                <w:bCs/>
                <w:sz w:val="18"/>
                <w:szCs w:val="18"/>
              </w:rPr>
            </w:pPr>
            <w:r w:rsidRPr="00F137BD">
              <w:rPr>
                <w:rFonts w:ascii="Arial" w:hAnsi="Arial" w:cs="Arial"/>
                <w:b/>
                <w:bCs/>
                <w:sz w:val="18"/>
                <w:szCs w:val="18"/>
              </w:rPr>
              <w:t>PROMJENA IZNOS</w:t>
            </w:r>
          </w:p>
        </w:tc>
        <w:tc>
          <w:tcPr>
            <w:tcW w:w="1123" w:type="dxa"/>
            <w:shd w:val="clear" w:color="auto" w:fill="A6A6A6" w:themeFill="background1" w:themeFillShade="A6"/>
            <w:hideMark/>
          </w:tcPr>
          <w:p w14:paraId="18CE80B7" w14:textId="77777777" w:rsidR="007B7808" w:rsidRPr="00F137BD" w:rsidRDefault="007B7808" w:rsidP="002815DB">
            <w:pPr>
              <w:autoSpaceDE w:val="0"/>
              <w:autoSpaceDN w:val="0"/>
              <w:adjustRightInd w:val="0"/>
              <w:jc w:val="center"/>
              <w:rPr>
                <w:rFonts w:ascii="Arial" w:hAnsi="Arial" w:cs="Arial"/>
                <w:b/>
                <w:bCs/>
                <w:sz w:val="18"/>
                <w:szCs w:val="18"/>
              </w:rPr>
            </w:pPr>
            <w:r w:rsidRPr="00F137BD">
              <w:rPr>
                <w:rFonts w:ascii="Arial" w:hAnsi="Arial" w:cs="Arial"/>
                <w:b/>
                <w:bCs/>
                <w:sz w:val="18"/>
                <w:szCs w:val="18"/>
              </w:rPr>
              <w:t xml:space="preserve">PROMJENA </w:t>
            </w:r>
            <w:r w:rsidRPr="00F137BD">
              <w:rPr>
                <w:rFonts w:ascii="Arial" w:hAnsi="Arial" w:cs="Arial"/>
                <w:b/>
                <w:bCs/>
                <w:sz w:val="18"/>
                <w:szCs w:val="18"/>
              </w:rPr>
              <w:br/>
              <w:t>POSTOTAK</w:t>
            </w:r>
          </w:p>
        </w:tc>
        <w:tc>
          <w:tcPr>
            <w:tcW w:w="1723" w:type="dxa"/>
            <w:shd w:val="clear" w:color="auto" w:fill="A6A6A6" w:themeFill="background1" w:themeFillShade="A6"/>
            <w:noWrap/>
            <w:hideMark/>
          </w:tcPr>
          <w:p w14:paraId="452CB828" w14:textId="77777777" w:rsidR="007B7808" w:rsidRPr="00F137BD" w:rsidRDefault="007B7808" w:rsidP="002815DB">
            <w:pPr>
              <w:autoSpaceDE w:val="0"/>
              <w:autoSpaceDN w:val="0"/>
              <w:adjustRightInd w:val="0"/>
              <w:jc w:val="center"/>
              <w:rPr>
                <w:rFonts w:ascii="Arial" w:hAnsi="Arial" w:cs="Arial"/>
                <w:b/>
                <w:bCs/>
                <w:sz w:val="18"/>
                <w:szCs w:val="18"/>
              </w:rPr>
            </w:pPr>
          </w:p>
          <w:p w14:paraId="5FA1C1E7" w14:textId="77777777" w:rsidR="007B7808" w:rsidRPr="00F137BD" w:rsidRDefault="007B7808" w:rsidP="002815DB">
            <w:pPr>
              <w:autoSpaceDE w:val="0"/>
              <w:autoSpaceDN w:val="0"/>
              <w:adjustRightInd w:val="0"/>
              <w:jc w:val="center"/>
              <w:rPr>
                <w:rFonts w:ascii="Arial" w:hAnsi="Arial" w:cs="Arial"/>
                <w:b/>
                <w:bCs/>
                <w:sz w:val="18"/>
                <w:szCs w:val="18"/>
              </w:rPr>
            </w:pPr>
            <w:r w:rsidRPr="00F137BD">
              <w:rPr>
                <w:rFonts w:ascii="Arial" w:hAnsi="Arial" w:cs="Arial"/>
                <w:b/>
                <w:bCs/>
                <w:sz w:val="18"/>
                <w:szCs w:val="18"/>
              </w:rPr>
              <w:t>NOVI IZNOS</w:t>
            </w:r>
          </w:p>
        </w:tc>
      </w:tr>
      <w:tr w:rsidR="007B7808" w:rsidRPr="00F137BD" w14:paraId="1A750635" w14:textId="77777777" w:rsidTr="0056141B">
        <w:trPr>
          <w:trHeight w:val="255"/>
        </w:trPr>
        <w:tc>
          <w:tcPr>
            <w:tcW w:w="4978" w:type="dxa"/>
            <w:gridSpan w:val="2"/>
            <w:shd w:val="clear" w:color="auto" w:fill="D9D9D9" w:themeFill="background1" w:themeFillShade="D9"/>
            <w:noWrap/>
            <w:hideMark/>
          </w:tcPr>
          <w:p w14:paraId="093BF4E2" w14:textId="77777777" w:rsidR="007B7808" w:rsidRPr="00F137BD" w:rsidRDefault="007B7808" w:rsidP="002815DB">
            <w:pPr>
              <w:autoSpaceDE w:val="0"/>
              <w:autoSpaceDN w:val="0"/>
              <w:adjustRightInd w:val="0"/>
              <w:jc w:val="both"/>
              <w:rPr>
                <w:rFonts w:ascii="Arial" w:hAnsi="Arial" w:cs="Arial"/>
                <w:b/>
                <w:bCs/>
                <w:sz w:val="18"/>
                <w:szCs w:val="18"/>
              </w:rPr>
            </w:pPr>
            <w:r w:rsidRPr="00F137BD">
              <w:rPr>
                <w:rFonts w:ascii="Arial" w:hAnsi="Arial" w:cs="Arial"/>
                <w:b/>
                <w:bCs/>
                <w:sz w:val="18"/>
                <w:szCs w:val="18"/>
              </w:rPr>
              <w:t xml:space="preserve">  SVEUKUPNO PRIHODI</w:t>
            </w:r>
          </w:p>
        </w:tc>
        <w:tc>
          <w:tcPr>
            <w:tcW w:w="1509" w:type="dxa"/>
            <w:shd w:val="clear" w:color="auto" w:fill="D9D9D9" w:themeFill="background1" w:themeFillShade="D9"/>
            <w:noWrap/>
            <w:hideMark/>
          </w:tcPr>
          <w:p w14:paraId="5C2E34E7"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2.803.091,00</w:t>
            </w:r>
          </w:p>
        </w:tc>
        <w:tc>
          <w:tcPr>
            <w:tcW w:w="1157" w:type="dxa"/>
            <w:shd w:val="clear" w:color="auto" w:fill="D9D9D9" w:themeFill="background1" w:themeFillShade="D9"/>
            <w:noWrap/>
            <w:hideMark/>
          </w:tcPr>
          <w:p w14:paraId="73B06199"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157.304,00</w:t>
            </w:r>
          </w:p>
        </w:tc>
        <w:tc>
          <w:tcPr>
            <w:tcW w:w="1123" w:type="dxa"/>
            <w:shd w:val="clear" w:color="auto" w:fill="D9D9D9" w:themeFill="background1" w:themeFillShade="D9"/>
            <w:noWrap/>
            <w:hideMark/>
          </w:tcPr>
          <w:p w14:paraId="509D290F"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5,26</w:t>
            </w:r>
          </w:p>
        </w:tc>
        <w:tc>
          <w:tcPr>
            <w:tcW w:w="1723" w:type="dxa"/>
            <w:shd w:val="clear" w:color="auto" w:fill="D9D9D9" w:themeFill="background1" w:themeFillShade="D9"/>
            <w:noWrap/>
            <w:hideMark/>
          </w:tcPr>
          <w:p w14:paraId="383D15AB"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2.950.395,00</w:t>
            </w:r>
          </w:p>
        </w:tc>
      </w:tr>
      <w:tr w:rsidR="007B7808" w:rsidRPr="00F137BD" w14:paraId="43849F7C" w14:textId="77777777" w:rsidTr="002815DB">
        <w:trPr>
          <w:trHeight w:val="255"/>
        </w:trPr>
        <w:tc>
          <w:tcPr>
            <w:tcW w:w="4978" w:type="dxa"/>
            <w:gridSpan w:val="2"/>
            <w:noWrap/>
            <w:hideMark/>
          </w:tcPr>
          <w:p w14:paraId="167BE4DD" w14:textId="77777777" w:rsidR="007B7808" w:rsidRPr="00F137BD" w:rsidRDefault="007B7808" w:rsidP="002815DB">
            <w:pPr>
              <w:autoSpaceDE w:val="0"/>
              <w:autoSpaceDN w:val="0"/>
              <w:adjustRightInd w:val="0"/>
              <w:jc w:val="both"/>
              <w:rPr>
                <w:rFonts w:ascii="Arial" w:hAnsi="Arial" w:cs="Arial"/>
                <w:b/>
                <w:bCs/>
                <w:sz w:val="18"/>
                <w:szCs w:val="18"/>
              </w:rPr>
            </w:pPr>
            <w:r w:rsidRPr="00F137BD">
              <w:rPr>
                <w:rFonts w:ascii="Arial" w:hAnsi="Arial" w:cs="Arial"/>
                <w:b/>
                <w:bCs/>
                <w:sz w:val="18"/>
                <w:szCs w:val="18"/>
              </w:rPr>
              <w:t>Izvor  1. OPĆI PRIHODI I PRIMICI</w:t>
            </w:r>
          </w:p>
        </w:tc>
        <w:tc>
          <w:tcPr>
            <w:tcW w:w="1509" w:type="dxa"/>
            <w:noWrap/>
            <w:hideMark/>
          </w:tcPr>
          <w:p w14:paraId="2A07C24F"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254.422,00</w:t>
            </w:r>
          </w:p>
        </w:tc>
        <w:tc>
          <w:tcPr>
            <w:tcW w:w="1157" w:type="dxa"/>
            <w:noWrap/>
            <w:hideMark/>
          </w:tcPr>
          <w:p w14:paraId="06B62A3E"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61.628,00</w:t>
            </w:r>
          </w:p>
        </w:tc>
        <w:tc>
          <w:tcPr>
            <w:tcW w:w="1123" w:type="dxa"/>
            <w:noWrap/>
            <w:hideMark/>
          </w:tcPr>
          <w:p w14:paraId="157F4253"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20,29</w:t>
            </w:r>
          </w:p>
        </w:tc>
        <w:tc>
          <w:tcPr>
            <w:tcW w:w="1723" w:type="dxa"/>
            <w:noWrap/>
            <w:hideMark/>
          </w:tcPr>
          <w:p w14:paraId="4E202DAA"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306.050,00</w:t>
            </w:r>
          </w:p>
        </w:tc>
      </w:tr>
      <w:tr w:rsidR="007B7808" w:rsidRPr="00F137BD" w14:paraId="0451D829" w14:textId="77777777" w:rsidTr="002815DB">
        <w:trPr>
          <w:trHeight w:val="255"/>
        </w:trPr>
        <w:tc>
          <w:tcPr>
            <w:tcW w:w="4978" w:type="dxa"/>
            <w:gridSpan w:val="2"/>
            <w:noWrap/>
            <w:hideMark/>
          </w:tcPr>
          <w:p w14:paraId="51E731E3" w14:textId="77777777" w:rsidR="007B7808" w:rsidRPr="00F137BD" w:rsidRDefault="007B7808" w:rsidP="002815DB">
            <w:pPr>
              <w:autoSpaceDE w:val="0"/>
              <w:autoSpaceDN w:val="0"/>
              <w:adjustRightInd w:val="0"/>
              <w:jc w:val="both"/>
              <w:rPr>
                <w:rFonts w:ascii="Arial" w:hAnsi="Arial" w:cs="Arial"/>
                <w:b/>
                <w:bCs/>
                <w:sz w:val="18"/>
                <w:szCs w:val="18"/>
              </w:rPr>
            </w:pPr>
            <w:r w:rsidRPr="00F137BD">
              <w:rPr>
                <w:rFonts w:ascii="Arial" w:hAnsi="Arial" w:cs="Arial"/>
                <w:b/>
                <w:bCs/>
                <w:sz w:val="18"/>
                <w:szCs w:val="18"/>
              </w:rPr>
              <w:t>Izvor  1.1. OPĆI PRIHODI I PRIMICI-IZNAD STAND.</w:t>
            </w:r>
          </w:p>
        </w:tc>
        <w:tc>
          <w:tcPr>
            <w:tcW w:w="1509" w:type="dxa"/>
            <w:noWrap/>
            <w:hideMark/>
          </w:tcPr>
          <w:p w14:paraId="2D71A323"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254.422,00</w:t>
            </w:r>
          </w:p>
        </w:tc>
        <w:tc>
          <w:tcPr>
            <w:tcW w:w="1157" w:type="dxa"/>
            <w:noWrap/>
            <w:hideMark/>
          </w:tcPr>
          <w:p w14:paraId="7B8C4F1A"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61.628,00</w:t>
            </w:r>
          </w:p>
        </w:tc>
        <w:tc>
          <w:tcPr>
            <w:tcW w:w="1123" w:type="dxa"/>
            <w:noWrap/>
            <w:hideMark/>
          </w:tcPr>
          <w:p w14:paraId="50C38D08"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20,29</w:t>
            </w:r>
          </w:p>
        </w:tc>
        <w:tc>
          <w:tcPr>
            <w:tcW w:w="1723" w:type="dxa"/>
            <w:noWrap/>
            <w:hideMark/>
          </w:tcPr>
          <w:p w14:paraId="79065E05"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306.050,00</w:t>
            </w:r>
          </w:p>
        </w:tc>
      </w:tr>
      <w:tr w:rsidR="007B7808" w:rsidRPr="00F137BD" w14:paraId="3E1D37F9" w14:textId="77777777" w:rsidTr="002815DB">
        <w:trPr>
          <w:trHeight w:val="255"/>
        </w:trPr>
        <w:tc>
          <w:tcPr>
            <w:tcW w:w="4978" w:type="dxa"/>
            <w:gridSpan w:val="2"/>
            <w:noWrap/>
            <w:hideMark/>
          </w:tcPr>
          <w:p w14:paraId="52DE5790" w14:textId="77777777" w:rsidR="007B7808" w:rsidRPr="00F137BD" w:rsidRDefault="007B7808" w:rsidP="002815DB">
            <w:pPr>
              <w:autoSpaceDE w:val="0"/>
              <w:autoSpaceDN w:val="0"/>
              <w:adjustRightInd w:val="0"/>
              <w:jc w:val="both"/>
              <w:rPr>
                <w:rFonts w:ascii="Arial" w:hAnsi="Arial" w:cs="Arial"/>
                <w:b/>
                <w:bCs/>
                <w:sz w:val="18"/>
                <w:szCs w:val="18"/>
              </w:rPr>
            </w:pPr>
            <w:r w:rsidRPr="00F137BD">
              <w:rPr>
                <w:rFonts w:ascii="Arial" w:hAnsi="Arial" w:cs="Arial"/>
                <w:b/>
                <w:bCs/>
                <w:sz w:val="18"/>
                <w:szCs w:val="18"/>
              </w:rPr>
              <w:t>Izvor  3. VLASTITI PRIHODI</w:t>
            </w:r>
          </w:p>
        </w:tc>
        <w:tc>
          <w:tcPr>
            <w:tcW w:w="1509" w:type="dxa"/>
            <w:noWrap/>
            <w:hideMark/>
          </w:tcPr>
          <w:p w14:paraId="36D211C5"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3.000,00</w:t>
            </w:r>
          </w:p>
        </w:tc>
        <w:tc>
          <w:tcPr>
            <w:tcW w:w="1157" w:type="dxa"/>
            <w:noWrap/>
            <w:hideMark/>
          </w:tcPr>
          <w:p w14:paraId="34007FF8"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0,00</w:t>
            </w:r>
          </w:p>
        </w:tc>
        <w:tc>
          <w:tcPr>
            <w:tcW w:w="1123" w:type="dxa"/>
            <w:noWrap/>
            <w:hideMark/>
          </w:tcPr>
          <w:p w14:paraId="123A18ED"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0,00</w:t>
            </w:r>
          </w:p>
        </w:tc>
        <w:tc>
          <w:tcPr>
            <w:tcW w:w="1723" w:type="dxa"/>
            <w:noWrap/>
            <w:hideMark/>
          </w:tcPr>
          <w:p w14:paraId="59DAE8AE"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3.000,00</w:t>
            </w:r>
          </w:p>
        </w:tc>
      </w:tr>
      <w:tr w:rsidR="007B7808" w:rsidRPr="00F137BD" w14:paraId="622308F9" w14:textId="77777777" w:rsidTr="002815DB">
        <w:trPr>
          <w:trHeight w:val="255"/>
        </w:trPr>
        <w:tc>
          <w:tcPr>
            <w:tcW w:w="4978" w:type="dxa"/>
            <w:gridSpan w:val="2"/>
            <w:noWrap/>
            <w:hideMark/>
          </w:tcPr>
          <w:p w14:paraId="01F9205B" w14:textId="77777777" w:rsidR="007B7808" w:rsidRPr="00F137BD" w:rsidRDefault="007B7808" w:rsidP="002815DB">
            <w:pPr>
              <w:autoSpaceDE w:val="0"/>
              <w:autoSpaceDN w:val="0"/>
              <w:adjustRightInd w:val="0"/>
              <w:jc w:val="both"/>
              <w:rPr>
                <w:rFonts w:ascii="Arial" w:hAnsi="Arial" w:cs="Arial"/>
                <w:b/>
                <w:bCs/>
                <w:sz w:val="18"/>
                <w:szCs w:val="18"/>
              </w:rPr>
            </w:pPr>
            <w:r w:rsidRPr="00F137BD">
              <w:rPr>
                <w:rFonts w:ascii="Arial" w:hAnsi="Arial" w:cs="Arial"/>
                <w:b/>
                <w:bCs/>
                <w:sz w:val="18"/>
                <w:szCs w:val="18"/>
              </w:rPr>
              <w:t>Izvor  3.9. VLASTITI PRIHODI</w:t>
            </w:r>
          </w:p>
        </w:tc>
        <w:tc>
          <w:tcPr>
            <w:tcW w:w="1509" w:type="dxa"/>
            <w:noWrap/>
            <w:hideMark/>
          </w:tcPr>
          <w:p w14:paraId="4D5AEED1"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3.000,00</w:t>
            </w:r>
          </w:p>
        </w:tc>
        <w:tc>
          <w:tcPr>
            <w:tcW w:w="1157" w:type="dxa"/>
            <w:noWrap/>
            <w:hideMark/>
          </w:tcPr>
          <w:p w14:paraId="3488A4C4"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0,00</w:t>
            </w:r>
          </w:p>
        </w:tc>
        <w:tc>
          <w:tcPr>
            <w:tcW w:w="1123" w:type="dxa"/>
            <w:noWrap/>
            <w:hideMark/>
          </w:tcPr>
          <w:p w14:paraId="7925BFB4"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0,00</w:t>
            </w:r>
          </w:p>
        </w:tc>
        <w:tc>
          <w:tcPr>
            <w:tcW w:w="1723" w:type="dxa"/>
            <w:noWrap/>
            <w:hideMark/>
          </w:tcPr>
          <w:p w14:paraId="383847B0"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3.000,00</w:t>
            </w:r>
          </w:p>
        </w:tc>
      </w:tr>
      <w:tr w:rsidR="007B7808" w:rsidRPr="00F137BD" w14:paraId="3459889C" w14:textId="77777777" w:rsidTr="002815DB">
        <w:trPr>
          <w:trHeight w:val="255"/>
        </w:trPr>
        <w:tc>
          <w:tcPr>
            <w:tcW w:w="4978" w:type="dxa"/>
            <w:gridSpan w:val="2"/>
            <w:noWrap/>
            <w:hideMark/>
          </w:tcPr>
          <w:p w14:paraId="751C10B8" w14:textId="77777777" w:rsidR="007B7808" w:rsidRPr="00F137BD" w:rsidRDefault="007B7808" w:rsidP="002815DB">
            <w:pPr>
              <w:autoSpaceDE w:val="0"/>
              <w:autoSpaceDN w:val="0"/>
              <w:adjustRightInd w:val="0"/>
              <w:jc w:val="both"/>
              <w:rPr>
                <w:rFonts w:ascii="Arial" w:hAnsi="Arial" w:cs="Arial"/>
                <w:b/>
                <w:bCs/>
                <w:sz w:val="18"/>
                <w:szCs w:val="18"/>
              </w:rPr>
            </w:pPr>
            <w:r w:rsidRPr="00F137BD">
              <w:rPr>
                <w:rFonts w:ascii="Arial" w:hAnsi="Arial" w:cs="Arial"/>
                <w:b/>
                <w:bCs/>
                <w:sz w:val="18"/>
                <w:szCs w:val="18"/>
              </w:rPr>
              <w:t>Izvor  4. PRIHODI ZA POSEBNE NAMJENE</w:t>
            </w:r>
          </w:p>
        </w:tc>
        <w:tc>
          <w:tcPr>
            <w:tcW w:w="1509" w:type="dxa"/>
            <w:noWrap/>
            <w:hideMark/>
          </w:tcPr>
          <w:p w14:paraId="50BA61FF"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125.080,00</w:t>
            </w:r>
          </w:p>
        </w:tc>
        <w:tc>
          <w:tcPr>
            <w:tcW w:w="1157" w:type="dxa"/>
            <w:noWrap/>
            <w:hideMark/>
          </w:tcPr>
          <w:p w14:paraId="194E56EB"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2.160,00</w:t>
            </w:r>
          </w:p>
        </w:tc>
        <w:tc>
          <w:tcPr>
            <w:tcW w:w="1123" w:type="dxa"/>
            <w:noWrap/>
            <w:hideMark/>
          </w:tcPr>
          <w:p w14:paraId="6D6942B2"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1,73</w:t>
            </w:r>
          </w:p>
        </w:tc>
        <w:tc>
          <w:tcPr>
            <w:tcW w:w="1723" w:type="dxa"/>
            <w:noWrap/>
            <w:hideMark/>
          </w:tcPr>
          <w:p w14:paraId="7A3091E2"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127.240,00</w:t>
            </w:r>
          </w:p>
        </w:tc>
      </w:tr>
      <w:tr w:rsidR="007B7808" w:rsidRPr="00F137BD" w14:paraId="7908AA19" w14:textId="77777777" w:rsidTr="002815DB">
        <w:trPr>
          <w:trHeight w:val="255"/>
        </w:trPr>
        <w:tc>
          <w:tcPr>
            <w:tcW w:w="4978" w:type="dxa"/>
            <w:gridSpan w:val="2"/>
            <w:noWrap/>
            <w:hideMark/>
          </w:tcPr>
          <w:p w14:paraId="69DA85BC" w14:textId="77777777" w:rsidR="007B7808" w:rsidRPr="00F137BD" w:rsidRDefault="007B7808" w:rsidP="002815DB">
            <w:pPr>
              <w:autoSpaceDE w:val="0"/>
              <w:autoSpaceDN w:val="0"/>
              <w:adjustRightInd w:val="0"/>
              <w:jc w:val="both"/>
              <w:rPr>
                <w:rFonts w:ascii="Arial" w:hAnsi="Arial" w:cs="Arial"/>
                <w:b/>
                <w:bCs/>
                <w:sz w:val="18"/>
                <w:szCs w:val="18"/>
              </w:rPr>
            </w:pPr>
            <w:r w:rsidRPr="00F137BD">
              <w:rPr>
                <w:rFonts w:ascii="Arial" w:hAnsi="Arial" w:cs="Arial"/>
                <w:b/>
                <w:bCs/>
                <w:sz w:val="18"/>
                <w:szCs w:val="18"/>
              </w:rPr>
              <w:t>Izvor  4.9. PRIHODI ZA POSEBNE NAMJENE</w:t>
            </w:r>
          </w:p>
        </w:tc>
        <w:tc>
          <w:tcPr>
            <w:tcW w:w="1509" w:type="dxa"/>
            <w:noWrap/>
            <w:hideMark/>
          </w:tcPr>
          <w:p w14:paraId="7F497EEB"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125.080,00</w:t>
            </w:r>
          </w:p>
        </w:tc>
        <w:tc>
          <w:tcPr>
            <w:tcW w:w="1157" w:type="dxa"/>
            <w:noWrap/>
            <w:hideMark/>
          </w:tcPr>
          <w:p w14:paraId="419706B7"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2.160,00</w:t>
            </w:r>
          </w:p>
        </w:tc>
        <w:tc>
          <w:tcPr>
            <w:tcW w:w="1123" w:type="dxa"/>
            <w:noWrap/>
            <w:hideMark/>
          </w:tcPr>
          <w:p w14:paraId="59E9725F"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1,73</w:t>
            </w:r>
          </w:p>
        </w:tc>
        <w:tc>
          <w:tcPr>
            <w:tcW w:w="1723" w:type="dxa"/>
            <w:noWrap/>
            <w:hideMark/>
          </w:tcPr>
          <w:p w14:paraId="6BD582D2"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127.240,00</w:t>
            </w:r>
          </w:p>
        </w:tc>
      </w:tr>
      <w:tr w:rsidR="007B7808" w:rsidRPr="00F137BD" w14:paraId="281BEAFE" w14:textId="77777777" w:rsidTr="002815DB">
        <w:trPr>
          <w:trHeight w:val="255"/>
        </w:trPr>
        <w:tc>
          <w:tcPr>
            <w:tcW w:w="4978" w:type="dxa"/>
            <w:gridSpan w:val="2"/>
            <w:noWrap/>
            <w:hideMark/>
          </w:tcPr>
          <w:p w14:paraId="5C726C01" w14:textId="77777777" w:rsidR="007B7808" w:rsidRPr="00F137BD" w:rsidRDefault="007B7808" w:rsidP="002815DB">
            <w:pPr>
              <w:autoSpaceDE w:val="0"/>
              <w:autoSpaceDN w:val="0"/>
              <w:adjustRightInd w:val="0"/>
              <w:jc w:val="both"/>
              <w:rPr>
                <w:rFonts w:ascii="Arial" w:hAnsi="Arial" w:cs="Arial"/>
                <w:b/>
                <w:bCs/>
                <w:sz w:val="18"/>
                <w:szCs w:val="18"/>
              </w:rPr>
            </w:pPr>
            <w:r w:rsidRPr="00F137BD">
              <w:rPr>
                <w:rFonts w:ascii="Arial" w:hAnsi="Arial" w:cs="Arial"/>
                <w:b/>
                <w:bCs/>
                <w:sz w:val="18"/>
                <w:szCs w:val="18"/>
              </w:rPr>
              <w:t>Izvor  5. POMOĆI</w:t>
            </w:r>
          </w:p>
        </w:tc>
        <w:tc>
          <w:tcPr>
            <w:tcW w:w="1509" w:type="dxa"/>
            <w:noWrap/>
            <w:hideMark/>
          </w:tcPr>
          <w:p w14:paraId="2CA643FF"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2.415.089,00</w:t>
            </w:r>
          </w:p>
        </w:tc>
        <w:tc>
          <w:tcPr>
            <w:tcW w:w="1157" w:type="dxa"/>
            <w:noWrap/>
            <w:hideMark/>
          </w:tcPr>
          <w:p w14:paraId="018B5B1E"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91.516,00</w:t>
            </w:r>
          </w:p>
        </w:tc>
        <w:tc>
          <w:tcPr>
            <w:tcW w:w="1123" w:type="dxa"/>
            <w:noWrap/>
            <w:hideMark/>
          </w:tcPr>
          <w:p w14:paraId="5A333A54"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3,79</w:t>
            </w:r>
          </w:p>
        </w:tc>
        <w:tc>
          <w:tcPr>
            <w:tcW w:w="1723" w:type="dxa"/>
            <w:noWrap/>
            <w:hideMark/>
          </w:tcPr>
          <w:p w14:paraId="7A519DB4"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2.506.605,00</w:t>
            </w:r>
          </w:p>
        </w:tc>
      </w:tr>
      <w:tr w:rsidR="007B7808" w:rsidRPr="00F137BD" w14:paraId="5F1A586F" w14:textId="77777777" w:rsidTr="002815DB">
        <w:trPr>
          <w:trHeight w:val="255"/>
        </w:trPr>
        <w:tc>
          <w:tcPr>
            <w:tcW w:w="4978" w:type="dxa"/>
            <w:gridSpan w:val="2"/>
            <w:noWrap/>
            <w:hideMark/>
          </w:tcPr>
          <w:p w14:paraId="5212DBA1" w14:textId="77777777" w:rsidR="007B7808" w:rsidRPr="00F137BD" w:rsidRDefault="007B7808" w:rsidP="002815DB">
            <w:pPr>
              <w:autoSpaceDE w:val="0"/>
              <w:autoSpaceDN w:val="0"/>
              <w:adjustRightInd w:val="0"/>
              <w:jc w:val="both"/>
              <w:rPr>
                <w:rFonts w:ascii="Arial" w:hAnsi="Arial" w:cs="Arial"/>
                <w:b/>
                <w:bCs/>
                <w:sz w:val="18"/>
                <w:szCs w:val="18"/>
              </w:rPr>
            </w:pPr>
            <w:r w:rsidRPr="00F137BD">
              <w:rPr>
                <w:rFonts w:ascii="Arial" w:hAnsi="Arial" w:cs="Arial"/>
                <w:b/>
                <w:bCs/>
                <w:sz w:val="18"/>
                <w:szCs w:val="18"/>
              </w:rPr>
              <w:t>Izvor  5.1. POMOĆI</w:t>
            </w:r>
          </w:p>
        </w:tc>
        <w:tc>
          <w:tcPr>
            <w:tcW w:w="1509" w:type="dxa"/>
            <w:noWrap/>
            <w:hideMark/>
          </w:tcPr>
          <w:p w14:paraId="388082A9"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202.772,00</w:t>
            </w:r>
          </w:p>
        </w:tc>
        <w:tc>
          <w:tcPr>
            <w:tcW w:w="1157" w:type="dxa"/>
            <w:noWrap/>
            <w:hideMark/>
          </w:tcPr>
          <w:p w14:paraId="352158B3"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5.382,00</w:t>
            </w:r>
          </w:p>
        </w:tc>
        <w:tc>
          <w:tcPr>
            <w:tcW w:w="1123" w:type="dxa"/>
            <w:noWrap/>
            <w:hideMark/>
          </w:tcPr>
          <w:p w14:paraId="5B54938E"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2,00</w:t>
            </w:r>
          </w:p>
        </w:tc>
        <w:tc>
          <w:tcPr>
            <w:tcW w:w="1723" w:type="dxa"/>
            <w:noWrap/>
            <w:hideMark/>
          </w:tcPr>
          <w:p w14:paraId="56ADA832"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208.154,00</w:t>
            </w:r>
          </w:p>
        </w:tc>
      </w:tr>
      <w:tr w:rsidR="007B7808" w:rsidRPr="00F137BD" w14:paraId="00BC68BF" w14:textId="77777777" w:rsidTr="002815DB">
        <w:trPr>
          <w:trHeight w:val="255"/>
        </w:trPr>
        <w:tc>
          <w:tcPr>
            <w:tcW w:w="4978" w:type="dxa"/>
            <w:gridSpan w:val="2"/>
            <w:noWrap/>
            <w:hideMark/>
          </w:tcPr>
          <w:p w14:paraId="10BF851A" w14:textId="77777777" w:rsidR="007B7808" w:rsidRPr="00F137BD" w:rsidRDefault="007B7808" w:rsidP="002815DB">
            <w:pPr>
              <w:autoSpaceDE w:val="0"/>
              <w:autoSpaceDN w:val="0"/>
              <w:adjustRightInd w:val="0"/>
              <w:jc w:val="both"/>
              <w:rPr>
                <w:rFonts w:ascii="Arial" w:hAnsi="Arial" w:cs="Arial"/>
                <w:b/>
                <w:bCs/>
                <w:sz w:val="18"/>
                <w:szCs w:val="18"/>
              </w:rPr>
            </w:pPr>
            <w:r w:rsidRPr="00F137BD">
              <w:rPr>
                <w:rFonts w:ascii="Arial" w:hAnsi="Arial" w:cs="Arial"/>
                <w:b/>
                <w:bCs/>
                <w:sz w:val="18"/>
                <w:szCs w:val="18"/>
              </w:rPr>
              <w:t>Izvor  5.9. POMOĆI</w:t>
            </w:r>
          </w:p>
        </w:tc>
        <w:tc>
          <w:tcPr>
            <w:tcW w:w="1509" w:type="dxa"/>
            <w:noWrap/>
            <w:hideMark/>
          </w:tcPr>
          <w:p w14:paraId="1E61E3B4"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2.212.317,00</w:t>
            </w:r>
          </w:p>
        </w:tc>
        <w:tc>
          <w:tcPr>
            <w:tcW w:w="1157" w:type="dxa"/>
            <w:noWrap/>
            <w:hideMark/>
          </w:tcPr>
          <w:p w14:paraId="2C693F24"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86.764,00</w:t>
            </w:r>
          </w:p>
        </w:tc>
        <w:tc>
          <w:tcPr>
            <w:tcW w:w="1123" w:type="dxa"/>
            <w:noWrap/>
            <w:hideMark/>
          </w:tcPr>
          <w:p w14:paraId="5CA81E3F"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3,92</w:t>
            </w:r>
          </w:p>
        </w:tc>
        <w:tc>
          <w:tcPr>
            <w:tcW w:w="1723" w:type="dxa"/>
            <w:noWrap/>
            <w:hideMark/>
          </w:tcPr>
          <w:p w14:paraId="389D2C61"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2.299.081,00</w:t>
            </w:r>
          </w:p>
        </w:tc>
      </w:tr>
      <w:tr w:rsidR="007B7808" w:rsidRPr="00F137BD" w14:paraId="1EF03405" w14:textId="77777777" w:rsidTr="002815DB">
        <w:trPr>
          <w:trHeight w:val="255"/>
        </w:trPr>
        <w:tc>
          <w:tcPr>
            <w:tcW w:w="4978" w:type="dxa"/>
            <w:gridSpan w:val="2"/>
            <w:noWrap/>
            <w:hideMark/>
          </w:tcPr>
          <w:p w14:paraId="570B2341" w14:textId="77777777" w:rsidR="007B7808" w:rsidRPr="00F137BD" w:rsidRDefault="007B7808" w:rsidP="002815DB">
            <w:pPr>
              <w:autoSpaceDE w:val="0"/>
              <w:autoSpaceDN w:val="0"/>
              <w:adjustRightInd w:val="0"/>
              <w:jc w:val="both"/>
              <w:rPr>
                <w:rFonts w:ascii="Arial" w:hAnsi="Arial" w:cs="Arial"/>
                <w:b/>
                <w:bCs/>
                <w:sz w:val="18"/>
                <w:szCs w:val="18"/>
              </w:rPr>
            </w:pPr>
            <w:r w:rsidRPr="00F137BD">
              <w:rPr>
                <w:rFonts w:ascii="Arial" w:hAnsi="Arial" w:cs="Arial"/>
                <w:b/>
                <w:bCs/>
                <w:sz w:val="18"/>
                <w:szCs w:val="18"/>
              </w:rPr>
              <w:t>Izvor  6. DONACIJE</w:t>
            </w:r>
          </w:p>
        </w:tc>
        <w:tc>
          <w:tcPr>
            <w:tcW w:w="1509" w:type="dxa"/>
            <w:noWrap/>
            <w:hideMark/>
          </w:tcPr>
          <w:p w14:paraId="61545379"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1.500,00</w:t>
            </w:r>
          </w:p>
        </w:tc>
        <w:tc>
          <w:tcPr>
            <w:tcW w:w="1157" w:type="dxa"/>
            <w:noWrap/>
            <w:hideMark/>
          </w:tcPr>
          <w:p w14:paraId="7B132C9C"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2.000,00</w:t>
            </w:r>
          </w:p>
        </w:tc>
        <w:tc>
          <w:tcPr>
            <w:tcW w:w="1123" w:type="dxa"/>
            <w:noWrap/>
            <w:hideMark/>
          </w:tcPr>
          <w:p w14:paraId="29A34CD7"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133,33</w:t>
            </w:r>
          </w:p>
        </w:tc>
        <w:tc>
          <w:tcPr>
            <w:tcW w:w="1723" w:type="dxa"/>
            <w:noWrap/>
            <w:hideMark/>
          </w:tcPr>
          <w:p w14:paraId="78C7AACB"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3.500,00</w:t>
            </w:r>
          </w:p>
        </w:tc>
      </w:tr>
      <w:tr w:rsidR="007B7808" w:rsidRPr="00F137BD" w14:paraId="317C0997" w14:textId="77777777" w:rsidTr="002815DB">
        <w:trPr>
          <w:trHeight w:val="255"/>
        </w:trPr>
        <w:tc>
          <w:tcPr>
            <w:tcW w:w="4978" w:type="dxa"/>
            <w:gridSpan w:val="2"/>
            <w:noWrap/>
            <w:hideMark/>
          </w:tcPr>
          <w:p w14:paraId="00086A7A" w14:textId="77777777" w:rsidR="007B7808" w:rsidRPr="00F137BD" w:rsidRDefault="007B7808" w:rsidP="002815DB">
            <w:pPr>
              <w:autoSpaceDE w:val="0"/>
              <w:autoSpaceDN w:val="0"/>
              <w:adjustRightInd w:val="0"/>
              <w:jc w:val="both"/>
              <w:rPr>
                <w:rFonts w:ascii="Arial" w:hAnsi="Arial" w:cs="Arial"/>
                <w:b/>
                <w:bCs/>
                <w:sz w:val="18"/>
                <w:szCs w:val="18"/>
              </w:rPr>
            </w:pPr>
            <w:r w:rsidRPr="00F137BD">
              <w:rPr>
                <w:rFonts w:ascii="Arial" w:hAnsi="Arial" w:cs="Arial"/>
                <w:b/>
                <w:bCs/>
                <w:sz w:val="18"/>
                <w:szCs w:val="18"/>
              </w:rPr>
              <w:t>Izvor  6.9. DONACIJE</w:t>
            </w:r>
          </w:p>
        </w:tc>
        <w:tc>
          <w:tcPr>
            <w:tcW w:w="1509" w:type="dxa"/>
            <w:noWrap/>
            <w:hideMark/>
          </w:tcPr>
          <w:p w14:paraId="5DE988CF"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1.500,00</w:t>
            </w:r>
          </w:p>
        </w:tc>
        <w:tc>
          <w:tcPr>
            <w:tcW w:w="1157" w:type="dxa"/>
            <w:noWrap/>
            <w:hideMark/>
          </w:tcPr>
          <w:p w14:paraId="633259C5"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2.000,00</w:t>
            </w:r>
          </w:p>
        </w:tc>
        <w:tc>
          <w:tcPr>
            <w:tcW w:w="1123" w:type="dxa"/>
            <w:noWrap/>
            <w:hideMark/>
          </w:tcPr>
          <w:p w14:paraId="1DAAC99D"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133,33</w:t>
            </w:r>
          </w:p>
        </w:tc>
        <w:tc>
          <w:tcPr>
            <w:tcW w:w="1723" w:type="dxa"/>
            <w:noWrap/>
            <w:hideMark/>
          </w:tcPr>
          <w:p w14:paraId="3C0546DB"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3.500,00</w:t>
            </w:r>
          </w:p>
        </w:tc>
      </w:tr>
      <w:tr w:rsidR="007B7808" w:rsidRPr="00F137BD" w14:paraId="6410A318" w14:textId="77777777" w:rsidTr="002815DB">
        <w:trPr>
          <w:trHeight w:val="255"/>
        </w:trPr>
        <w:tc>
          <w:tcPr>
            <w:tcW w:w="4978" w:type="dxa"/>
            <w:gridSpan w:val="2"/>
            <w:noWrap/>
            <w:hideMark/>
          </w:tcPr>
          <w:p w14:paraId="7E88AB03" w14:textId="77777777" w:rsidR="007B7808" w:rsidRPr="00F137BD" w:rsidRDefault="007B7808" w:rsidP="002815DB">
            <w:pPr>
              <w:autoSpaceDE w:val="0"/>
              <w:autoSpaceDN w:val="0"/>
              <w:adjustRightInd w:val="0"/>
              <w:jc w:val="both"/>
              <w:rPr>
                <w:rFonts w:ascii="Arial" w:hAnsi="Arial" w:cs="Arial"/>
                <w:b/>
                <w:bCs/>
                <w:sz w:val="18"/>
                <w:szCs w:val="18"/>
              </w:rPr>
            </w:pPr>
            <w:r w:rsidRPr="00F137BD">
              <w:rPr>
                <w:rFonts w:ascii="Arial" w:hAnsi="Arial" w:cs="Arial"/>
                <w:b/>
                <w:bCs/>
                <w:sz w:val="18"/>
                <w:szCs w:val="18"/>
              </w:rPr>
              <w:t>Izvor  7. PRIHODI OD NEFINANCIJSKE IMOVINE</w:t>
            </w:r>
          </w:p>
        </w:tc>
        <w:tc>
          <w:tcPr>
            <w:tcW w:w="1509" w:type="dxa"/>
            <w:noWrap/>
            <w:hideMark/>
          </w:tcPr>
          <w:p w14:paraId="5C158507"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4.000,00</w:t>
            </w:r>
          </w:p>
        </w:tc>
        <w:tc>
          <w:tcPr>
            <w:tcW w:w="1157" w:type="dxa"/>
            <w:noWrap/>
            <w:hideMark/>
          </w:tcPr>
          <w:p w14:paraId="409D4FF5"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0,00</w:t>
            </w:r>
          </w:p>
        </w:tc>
        <w:tc>
          <w:tcPr>
            <w:tcW w:w="1123" w:type="dxa"/>
            <w:noWrap/>
            <w:hideMark/>
          </w:tcPr>
          <w:p w14:paraId="6E1151DA"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0,00</w:t>
            </w:r>
          </w:p>
        </w:tc>
        <w:tc>
          <w:tcPr>
            <w:tcW w:w="1723" w:type="dxa"/>
            <w:noWrap/>
            <w:hideMark/>
          </w:tcPr>
          <w:p w14:paraId="297E0EF5"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4.000,00</w:t>
            </w:r>
          </w:p>
        </w:tc>
      </w:tr>
      <w:tr w:rsidR="007B7808" w:rsidRPr="00F137BD" w14:paraId="40799BD2" w14:textId="77777777" w:rsidTr="002815DB">
        <w:trPr>
          <w:trHeight w:val="537"/>
        </w:trPr>
        <w:tc>
          <w:tcPr>
            <w:tcW w:w="4978" w:type="dxa"/>
            <w:gridSpan w:val="2"/>
            <w:noWrap/>
            <w:hideMark/>
          </w:tcPr>
          <w:p w14:paraId="6D4DC49B" w14:textId="77777777" w:rsidR="007B7808" w:rsidRPr="00F137BD" w:rsidRDefault="007B7808" w:rsidP="002815DB">
            <w:pPr>
              <w:autoSpaceDE w:val="0"/>
              <w:autoSpaceDN w:val="0"/>
              <w:adjustRightInd w:val="0"/>
              <w:jc w:val="both"/>
              <w:rPr>
                <w:rFonts w:ascii="Arial" w:hAnsi="Arial" w:cs="Arial"/>
                <w:b/>
                <w:bCs/>
                <w:sz w:val="18"/>
                <w:szCs w:val="18"/>
              </w:rPr>
            </w:pPr>
            <w:r w:rsidRPr="00F137BD">
              <w:rPr>
                <w:rFonts w:ascii="Arial" w:hAnsi="Arial" w:cs="Arial"/>
                <w:b/>
                <w:bCs/>
                <w:sz w:val="18"/>
                <w:szCs w:val="18"/>
              </w:rPr>
              <w:t xml:space="preserve">Izvor  7.9. 7.prihodi od naknada šteta s </w:t>
            </w:r>
            <w:proofErr w:type="spellStart"/>
            <w:r w:rsidRPr="00F137BD">
              <w:rPr>
                <w:rFonts w:ascii="Arial" w:hAnsi="Arial" w:cs="Arial"/>
                <w:b/>
                <w:bCs/>
                <w:sz w:val="18"/>
                <w:szCs w:val="18"/>
              </w:rPr>
              <w:t>osnov.osig.osigur.pri</w:t>
            </w:r>
            <w:proofErr w:type="spellEnd"/>
            <w:r w:rsidRPr="00F137BD">
              <w:rPr>
                <w:rFonts w:ascii="Arial" w:hAnsi="Arial" w:cs="Arial"/>
                <w:b/>
                <w:bCs/>
                <w:sz w:val="18"/>
                <w:szCs w:val="18"/>
              </w:rPr>
              <w:t>. korisnik</w:t>
            </w:r>
          </w:p>
        </w:tc>
        <w:tc>
          <w:tcPr>
            <w:tcW w:w="1509" w:type="dxa"/>
            <w:noWrap/>
            <w:hideMark/>
          </w:tcPr>
          <w:p w14:paraId="5B7C55EF"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4.000,00</w:t>
            </w:r>
          </w:p>
        </w:tc>
        <w:tc>
          <w:tcPr>
            <w:tcW w:w="1157" w:type="dxa"/>
            <w:noWrap/>
            <w:hideMark/>
          </w:tcPr>
          <w:p w14:paraId="4BF993C1"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0,00</w:t>
            </w:r>
          </w:p>
        </w:tc>
        <w:tc>
          <w:tcPr>
            <w:tcW w:w="1123" w:type="dxa"/>
            <w:noWrap/>
            <w:hideMark/>
          </w:tcPr>
          <w:p w14:paraId="40A63C76"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0,00</w:t>
            </w:r>
          </w:p>
        </w:tc>
        <w:tc>
          <w:tcPr>
            <w:tcW w:w="1723" w:type="dxa"/>
            <w:noWrap/>
            <w:hideMark/>
          </w:tcPr>
          <w:p w14:paraId="446A638B" w14:textId="77777777" w:rsidR="007B7808" w:rsidRPr="00F137BD" w:rsidRDefault="007B7808" w:rsidP="002815DB">
            <w:pPr>
              <w:autoSpaceDE w:val="0"/>
              <w:autoSpaceDN w:val="0"/>
              <w:adjustRightInd w:val="0"/>
              <w:jc w:val="right"/>
              <w:rPr>
                <w:rFonts w:ascii="Arial" w:hAnsi="Arial" w:cs="Arial"/>
                <w:b/>
                <w:bCs/>
                <w:sz w:val="18"/>
                <w:szCs w:val="18"/>
              </w:rPr>
            </w:pPr>
            <w:r w:rsidRPr="00F137BD">
              <w:rPr>
                <w:rFonts w:ascii="Arial" w:hAnsi="Arial" w:cs="Arial"/>
                <w:b/>
                <w:bCs/>
                <w:sz w:val="18"/>
                <w:szCs w:val="18"/>
              </w:rPr>
              <w:t>4.000,00</w:t>
            </w:r>
          </w:p>
        </w:tc>
      </w:tr>
      <w:tr w:rsidR="007B7808" w:rsidRPr="005A64B1" w14:paraId="2C6CBA08" w14:textId="77777777" w:rsidTr="0056141B">
        <w:trPr>
          <w:trHeight w:val="255"/>
        </w:trPr>
        <w:tc>
          <w:tcPr>
            <w:tcW w:w="4978" w:type="dxa"/>
            <w:gridSpan w:val="2"/>
            <w:shd w:val="clear" w:color="auto" w:fill="D9D9D9" w:themeFill="background1" w:themeFillShade="D9"/>
            <w:noWrap/>
            <w:hideMark/>
          </w:tcPr>
          <w:p w14:paraId="145B9657" w14:textId="77777777" w:rsidR="007B7808" w:rsidRPr="00F766F7" w:rsidRDefault="007B7808" w:rsidP="002815DB">
            <w:pPr>
              <w:autoSpaceDE w:val="0"/>
              <w:autoSpaceDN w:val="0"/>
              <w:adjustRightInd w:val="0"/>
              <w:jc w:val="both"/>
              <w:rPr>
                <w:rFonts w:ascii="Arial" w:hAnsi="Arial" w:cs="Arial"/>
                <w:b/>
                <w:bCs/>
                <w:sz w:val="18"/>
                <w:szCs w:val="18"/>
              </w:rPr>
            </w:pPr>
            <w:r w:rsidRPr="00F766F7">
              <w:rPr>
                <w:rFonts w:ascii="Arial" w:hAnsi="Arial" w:cs="Arial"/>
                <w:b/>
                <w:bCs/>
                <w:sz w:val="18"/>
                <w:szCs w:val="18"/>
              </w:rPr>
              <w:t xml:space="preserve">  SVEUKUPNO RASHODI / IZDACI</w:t>
            </w:r>
          </w:p>
        </w:tc>
        <w:tc>
          <w:tcPr>
            <w:tcW w:w="1509" w:type="dxa"/>
            <w:shd w:val="clear" w:color="auto" w:fill="D9D9D9" w:themeFill="background1" w:themeFillShade="D9"/>
            <w:noWrap/>
            <w:hideMark/>
          </w:tcPr>
          <w:p w14:paraId="18A35349"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2.808.091,00</w:t>
            </w:r>
          </w:p>
        </w:tc>
        <w:tc>
          <w:tcPr>
            <w:tcW w:w="1157" w:type="dxa"/>
            <w:shd w:val="clear" w:color="auto" w:fill="D9D9D9" w:themeFill="background1" w:themeFillShade="D9"/>
            <w:noWrap/>
            <w:hideMark/>
          </w:tcPr>
          <w:p w14:paraId="4CBEDC87"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153.292,00</w:t>
            </w:r>
          </w:p>
        </w:tc>
        <w:tc>
          <w:tcPr>
            <w:tcW w:w="1123" w:type="dxa"/>
            <w:shd w:val="clear" w:color="auto" w:fill="D9D9D9" w:themeFill="background1" w:themeFillShade="D9"/>
            <w:noWrap/>
            <w:hideMark/>
          </w:tcPr>
          <w:p w14:paraId="511F0C0C"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5,46</w:t>
            </w:r>
          </w:p>
        </w:tc>
        <w:tc>
          <w:tcPr>
            <w:tcW w:w="1723" w:type="dxa"/>
            <w:shd w:val="clear" w:color="auto" w:fill="D9D9D9" w:themeFill="background1" w:themeFillShade="D9"/>
            <w:noWrap/>
            <w:hideMark/>
          </w:tcPr>
          <w:p w14:paraId="2F1DFC81"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2.951.383,00</w:t>
            </w:r>
          </w:p>
        </w:tc>
      </w:tr>
      <w:tr w:rsidR="007B7808" w:rsidRPr="005A64B1" w14:paraId="64332C79" w14:textId="77777777" w:rsidTr="002815DB">
        <w:trPr>
          <w:trHeight w:val="255"/>
        </w:trPr>
        <w:tc>
          <w:tcPr>
            <w:tcW w:w="4978" w:type="dxa"/>
            <w:gridSpan w:val="2"/>
            <w:noWrap/>
            <w:hideMark/>
          </w:tcPr>
          <w:p w14:paraId="62297E3A" w14:textId="77777777" w:rsidR="007B7808" w:rsidRPr="00F766F7" w:rsidRDefault="007B7808" w:rsidP="002815DB">
            <w:pPr>
              <w:autoSpaceDE w:val="0"/>
              <w:autoSpaceDN w:val="0"/>
              <w:adjustRightInd w:val="0"/>
              <w:jc w:val="both"/>
              <w:rPr>
                <w:rFonts w:ascii="Arial" w:hAnsi="Arial" w:cs="Arial"/>
                <w:b/>
                <w:bCs/>
                <w:sz w:val="18"/>
                <w:szCs w:val="18"/>
              </w:rPr>
            </w:pPr>
            <w:r w:rsidRPr="00F766F7">
              <w:rPr>
                <w:rFonts w:ascii="Arial" w:hAnsi="Arial" w:cs="Arial"/>
                <w:b/>
                <w:bCs/>
                <w:sz w:val="18"/>
                <w:szCs w:val="18"/>
              </w:rPr>
              <w:t>Izvor  1. OPĆI PRIHODI I PRIMICI</w:t>
            </w:r>
          </w:p>
        </w:tc>
        <w:tc>
          <w:tcPr>
            <w:tcW w:w="1509" w:type="dxa"/>
            <w:noWrap/>
            <w:hideMark/>
          </w:tcPr>
          <w:p w14:paraId="6CDC4F2F"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254.422,00</w:t>
            </w:r>
          </w:p>
        </w:tc>
        <w:tc>
          <w:tcPr>
            <w:tcW w:w="1157" w:type="dxa"/>
            <w:noWrap/>
            <w:hideMark/>
          </w:tcPr>
          <w:p w14:paraId="5AD6AF4A"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47.646,00</w:t>
            </w:r>
          </w:p>
        </w:tc>
        <w:tc>
          <w:tcPr>
            <w:tcW w:w="1123" w:type="dxa"/>
            <w:noWrap/>
            <w:hideMark/>
          </w:tcPr>
          <w:p w14:paraId="790F9567"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14,80</w:t>
            </w:r>
          </w:p>
        </w:tc>
        <w:tc>
          <w:tcPr>
            <w:tcW w:w="1723" w:type="dxa"/>
            <w:noWrap/>
            <w:hideMark/>
          </w:tcPr>
          <w:p w14:paraId="65E3835B"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292.068,00</w:t>
            </w:r>
          </w:p>
        </w:tc>
      </w:tr>
      <w:tr w:rsidR="007B7808" w:rsidRPr="005A64B1" w14:paraId="460F0C85" w14:textId="77777777" w:rsidTr="002815DB">
        <w:trPr>
          <w:trHeight w:val="255"/>
        </w:trPr>
        <w:tc>
          <w:tcPr>
            <w:tcW w:w="4978" w:type="dxa"/>
            <w:gridSpan w:val="2"/>
            <w:noWrap/>
            <w:hideMark/>
          </w:tcPr>
          <w:p w14:paraId="1A3E05CF" w14:textId="77777777" w:rsidR="007B7808" w:rsidRPr="00F766F7" w:rsidRDefault="007B7808" w:rsidP="002815DB">
            <w:pPr>
              <w:autoSpaceDE w:val="0"/>
              <w:autoSpaceDN w:val="0"/>
              <w:adjustRightInd w:val="0"/>
              <w:jc w:val="both"/>
              <w:rPr>
                <w:rFonts w:ascii="Arial" w:hAnsi="Arial" w:cs="Arial"/>
                <w:b/>
                <w:bCs/>
                <w:sz w:val="18"/>
                <w:szCs w:val="18"/>
              </w:rPr>
            </w:pPr>
            <w:r w:rsidRPr="00F766F7">
              <w:rPr>
                <w:rFonts w:ascii="Arial" w:hAnsi="Arial" w:cs="Arial"/>
                <w:b/>
                <w:bCs/>
                <w:sz w:val="18"/>
                <w:szCs w:val="18"/>
              </w:rPr>
              <w:t>Izvor  1.1. OPĆI PRIHODI I PRIMICI-IZNAD STAND.</w:t>
            </w:r>
          </w:p>
        </w:tc>
        <w:tc>
          <w:tcPr>
            <w:tcW w:w="1509" w:type="dxa"/>
            <w:noWrap/>
            <w:hideMark/>
          </w:tcPr>
          <w:p w14:paraId="5871A699"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254.422,00</w:t>
            </w:r>
          </w:p>
        </w:tc>
        <w:tc>
          <w:tcPr>
            <w:tcW w:w="1157" w:type="dxa"/>
            <w:noWrap/>
            <w:hideMark/>
          </w:tcPr>
          <w:p w14:paraId="1B11119A"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47.646,00</w:t>
            </w:r>
          </w:p>
        </w:tc>
        <w:tc>
          <w:tcPr>
            <w:tcW w:w="1123" w:type="dxa"/>
            <w:noWrap/>
            <w:hideMark/>
          </w:tcPr>
          <w:p w14:paraId="78DD0880"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14,80</w:t>
            </w:r>
          </w:p>
        </w:tc>
        <w:tc>
          <w:tcPr>
            <w:tcW w:w="1723" w:type="dxa"/>
            <w:noWrap/>
            <w:hideMark/>
          </w:tcPr>
          <w:p w14:paraId="529C023F"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292.068,00</w:t>
            </w:r>
          </w:p>
        </w:tc>
      </w:tr>
      <w:tr w:rsidR="007B7808" w:rsidRPr="005A64B1" w14:paraId="6431AE9F" w14:textId="77777777" w:rsidTr="002815DB">
        <w:trPr>
          <w:trHeight w:val="255"/>
        </w:trPr>
        <w:tc>
          <w:tcPr>
            <w:tcW w:w="4978" w:type="dxa"/>
            <w:gridSpan w:val="2"/>
            <w:noWrap/>
            <w:hideMark/>
          </w:tcPr>
          <w:p w14:paraId="4A6017CB" w14:textId="77777777" w:rsidR="007B7808" w:rsidRPr="00F766F7" w:rsidRDefault="007B7808" w:rsidP="002815DB">
            <w:pPr>
              <w:autoSpaceDE w:val="0"/>
              <w:autoSpaceDN w:val="0"/>
              <w:adjustRightInd w:val="0"/>
              <w:jc w:val="both"/>
              <w:rPr>
                <w:rFonts w:ascii="Arial" w:hAnsi="Arial" w:cs="Arial"/>
                <w:b/>
                <w:bCs/>
                <w:sz w:val="18"/>
                <w:szCs w:val="18"/>
              </w:rPr>
            </w:pPr>
            <w:r w:rsidRPr="00F766F7">
              <w:rPr>
                <w:rFonts w:ascii="Arial" w:hAnsi="Arial" w:cs="Arial"/>
                <w:b/>
                <w:bCs/>
                <w:sz w:val="18"/>
                <w:szCs w:val="18"/>
              </w:rPr>
              <w:t>Izvor  3. VLASTITI PRIHODI</w:t>
            </w:r>
          </w:p>
        </w:tc>
        <w:tc>
          <w:tcPr>
            <w:tcW w:w="1509" w:type="dxa"/>
            <w:noWrap/>
            <w:hideMark/>
          </w:tcPr>
          <w:p w14:paraId="637D998A"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6.000,00</w:t>
            </w:r>
          </w:p>
        </w:tc>
        <w:tc>
          <w:tcPr>
            <w:tcW w:w="1157" w:type="dxa"/>
            <w:noWrap/>
            <w:hideMark/>
          </w:tcPr>
          <w:p w14:paraId="64783852"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-1.159,00</w:t>
            </w:r>
          </w:p>
        </w:tc>
        <w:tc>
          <w:tcPr>
            <w:tcW w:w="1123" w:type="dxa"/>
            <w:noWrap/>
            <w:hideMark/>
          </w:tcPr>
          <w:p w14:paraId="73157EEC"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-19,32</w:t>
            </w:r>
          </w:p>
        </w:tc>
        <w:tc>
          <w:tcPr>
            <w:tcW w:w="1723" w:type="dxa"/>
            <w:noWrap/>
            <w:hideMark/>
          </w:tcPr>
          <w:p w14:paraId="1AB31B79"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4.841,00</w:t>
            </w:r>
          </w:p>
        </w:tc>
      </w:tr>
      <w:tr w:rsidR="007B7808" w:rsidRPr="005A64B1" w14:paraId="0EF75C18" w14:textId="77777777" w:rsidTr="002815DB">
        <w:trPr>
          <w:trHeight w:val="255"/>
        </w:trPr>
        <w:tc>
          <w:tcPr>
            <w:tcW w:w="4978" w:type="dxa"/>
            <w:gridSpan w:val="2"/>
            <w:noWrap/>
            <w:hideMark/>
          </w:tcPr>
          <w:p w14:paraId="6104F668" w14:textId="77777777" w:rsidR="007B7808" w:rsidRPr="00F766F7" w:rsidRDefault="007B7808" w:rsidP="002815DB">
            <w:pPr>
              <w:autoSpaceDE w:val="0"/>
              <w:autoSpaceDN w:val="0"/>
              <w:adjustRightInd w:val="0"/>
              <w:jc w:val="both"/>
              <w:rPr>
                <w:rFonts w:ascii="Arial" w:hAnsi="Arial" w:cs="Arial"/>
                <w:b/>
                <w:bCs/>
                <w:sz w:val="18"/>
                <w:szCs w:val="18"/>
              </w:rPr>
            </w:pPr>
            <w:r w:rsidRPr="00F766F7">
              <w:rPr>
                <w:rFonts w:ascii="Arial" w:hAnsi="Arial" w:cs="Arial"/>
                <w:b/>
                <w:bCs/>
                <w:sz w:val="18"/>
                <w:szCs w:val="18"/>
              </w:rPr>
              <w:lastRenderedPageBreak/>
              <w:t>Izvor  3.9. VLASTITI PRIHODI</w:t>
            </w:r>
          </w:p>
        </w:tc>
        <w:tc>
          <w:tcPr>
            <w:tcW w:w="1509" w:type="dxa"/>
            <w:noWrap/>
            <w:hideMark/>
          </w:tcPr>
          <w:p w14:paraId="166DDC29"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6.000,00</w:t>
            </w:r>
          </w:p>
        </w:tc>
        <w:tc>
          <w:tcPr>
            <w:tcW w:w="1157" w:type="dxa"/>
            <w:noWrap/>
            <w:hideMark/>
          </w:tcPr>
          <w:p w14:paraId="0FA3C559"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-1.159,00</w:t>
            </w:r>
          </w:p>
        </w:tc>
        <w:tc>
          <w:tcPr>
            <w:tcW w:w="1123" w:type="dxa"/>
            <w:noWrap/>
            <w:hideMark/>
          </w:tcPr>
          <w:p w14:paraId="18D6A081"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-19,32</w:t>
            </w:r>
          </w:p>
        </w:tc>
        <w:tc>
          <w:tcPr>
            <w:tcW w:w="1723" w:type="dxa"/>
            <w:noWrap/>
            <w:hideMark/>
          </w:tcPr>
          <w:p w14:paraId="7CD83F0A"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4.841,00</w:t>
            </w:r>
          </w:p>
        </w:tc>
      </w:tr>
      <w:tr w:rsidR="007B7808" w:rsidRPr="005A64B1" w14:paraId="06924427" w14:textId="77777777" w:rsidTr="002815DB">
        <w:trPr>
          <w:trHeight w:val="255"/>
        </w:trPr>
        <w:tc>
          <w:tcPr>
            <w:tcW w:w="4978" w:type="dxa"/>
            <w:gridSpan w:val="2"/>
            <w:noWrap/>
            <w:hideMark/>
          </w:tcPr>
          <w:p w14:paraId="4294C921" w14:textId="77777777" w:rsidR="007B7808" w:rsidRPr="00F766F7" w:rsidRDefault="007B7808" w:rsidP="002815DB">
            <w:pPr>
              <w:autoSpaceDE w:val="0"/>
              <w:autoSpaceDN w:val="0"/>
              <w:adjustRightInd w:val="0"/>
              <w:jc w:val="both"/>
              <w:rPr>
                <w:rFonts w:ascii="Arial" w:hAnsi="Arial" w:cs="Arial"/>
                <w:b/>
                <w:bCs/>
                <w:sz w:val="18"/>
                <w:szCs w:val="18"/>
              </w:rPr>
            </w:pPr>
            <w:r w:rsidRPr="00F766F7">
              <w:rPr>
                <w:rFonts w:ascii="Arial" w:hAnsi="Arial" w:cs="Arial"/>
                <w:b/>
                <w:bCs/>
                <w:sz w:val="18"/>
                <w:szCs w:val="18"/>
              </w:rPr>
              <w:t>Izvor  4. PRIHODI ZA POSEBNE NAMJENE</w:t>
            </w:r>
          </w:p>
        </w:tc>
        <w:tc>
          <w:tcPr>
            <w:tcW w:w="1509" w:type="dxa"/>
            <w:noWrap/>
            <w:hideMark/>
          </w:tcPr>
          <w:p w14:paraId="60F4CA9B"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125.080,00</w:t>
            </w:r>
          </w:p>
        </w:tc>
        <w:tc>
          <w:tcPr>
            <w:tcW w:w="1157" w:type="dxa"/>
            <w:noWrap/>
            <w:hideMark/>
          </w:tcPr>
          <w:p w14:paraId="2A0D916C"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16.842,00</w:t>
            </w:r>
          </w:p>
        </w:tc>
        <w:tc>
          <w:tcPr>
            <w:tcW w:w="1123" w:type="dxa"/>
            <w:noWrap/>
            <w:hideMark/>
          </w:tcPr>
          <w:p w14:paraId="6590B266"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13,46</w:t>
            </w:r>
          </w:p>
        </w:tc>
        <w:tc>
          <w:tcPr>
            <w:tcW w:w="1723" w:type="dxa"/>
            <w:noWrap/>
            <w:hideMark/>
          </w:tcPr>
          <w:p w14:paraId="7B18EEE8"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141.922,00</w:t>
            </w:r>
          </w:p>
        </w:tc>
      </w:tr>
      <w:tr w:rsidR="007B7808" w:rsidRPr="005A64B1" w14:paraId="57805247" w14:textId="77777777" w:rsidTr="002815DB">
        <w:trPr>
          <w:trHeight w:val="255"/>
        </w:trPr>
        <w:tc>
          <w:tcPr>
            <w:tcW w:w="4978" w:type="dxa"/>
            <w:gridSpan w:val="2"/>
            <w:noWrap/>
            <w:hideMark/>
          </w:tcPr>
          <w:p w14:paraId="344D4809" w14:textId="77777777" w:rsidR="007B7808" w:rsidRPr="00F766F7" w:rsidRDefault="007B7808" w:rsidP="002815DB">
            <w:pPr>
              <w:autoSpaceDE w:val="0"/>
              <w:autoSpaceDN w:val="0"/>
              <w:adjustRightInd w:val="0"/>
              <w:jc w:val="both"/>
              <w:rPr>
                <w:rFonts w:ascii="Arial" w:hAnsi="Arial" w:cs="Arial"/>
                <w:b/>
                <w:bCs/>
                <w:sz w:val="18"/>
                <w:szCs w:val="18"/>
              </w:rPr>
            </w:pPr>
            <w:r w:rsidRPr="00F766F7">
              <w:rPr>
                <w:rFonts w:ascii="Arial" w:hAnsi="Arial" w:cs="Arial"/>
                <w:b/>
                <w:bCs/>
                <w:sz w:val="18"/>
                <w:szCs w:val="18"/>
              </w:rPr>
              <w:t>Izvor  4.9. PRIHODI ZA POSEBNE NAMJENE</w:t>
            </w:r>
          </w:p>
        </w:tc>
        <w:tc>
          <w:tcPr>
            <w:tcW w:w="1509" w:type="dxa"/>
            <w:noWrap/>
            <w:hideMark/>
          </w:tcPr>
          <w:p w14:paraId="13D16022"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125.080,00</w:t>
            </w:r>
          </w:p>
        </w:tc>
        <w:tc>
          <w:tcPr>
            <w:tcW w:w="1157" w:type="dxa"/>
            <w:noWrap/>
            <w:hideMark/>
          </w:tcPr>
          <w:p w14:paraId="6261AA2D"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16.842,00</w:t>
            </w:r>
          </w:p>
        </w:tc>
        <w:tc>
          <w:tcPr>
            <w:tcW w:w="1123" w:type="dxa"/>
            <w:noWrap/>
            <w:hideMark/>
          </w:tcPr>
          <w:p w14:paraId="57CA7888"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13,46</w:t>
            </w:r>
          </w:p>
        </w:tc>
        <w:tc>
          <w:tcPr>
            <w:tcW w:w="1723" w:type="dxa"/>
            <w:noWrap/>
            <w:hideMark/>
          </w:tcPr>
          <w:p w14:paraId="0D7EE0BC"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141.922,00</w:t>
            </w:r>
          </w:p>
        </w:tc>
      </w:tr>
      <w:tr w:rsidR="007B7808" w:rsidRPr="005A64B1" w14:paraId="160D88CF" w14:textId="77777777" w:rsidTr="002815DB">
        <w:trPr>
          <w:trHeight w:val="255"/>
        </w:trPr>
        <w:tc>
          <w:tcPr>
            <w:tcW w:w="4978" w:type="dxa"/>
            <w:gridSpan w:val="2"/>
            <w:noWrap/>
            <w:hideMark/>
          </w:tcPr>
          <w:p w14:paraId="70E160A8" w14:textId="77777777" w:rsidR="007B7808" w:rsidRPr="00F766F7" w:rsidRDefault="007B7808" w:rsidP="002815DB">
            <w:pPr>
              <w:autoSpaceDE w:val="0"/>
              <w:autoSpaceDN w:val="0"/>
              <w:adjustRightInd w:val="0"/>
              <w:jc w:val="both"/>
              <w:rPr>
                <w:rFonts w:ascii="Arial" w:hAnsi="Arial" w:cs="Arial"/>
                <w:b/>
                <w:bCs/>
                <w:sz w:val="18"/>
                <w:szCs w:val="18"/>
              </w:rPr>
            </w:pPr>
            <w:r w:rsidRPr="00F766F7">
              <w:rPr>
                <w:rFonts w:ascii="Arial" w:hAnsi="Arial" w:cs="Arial"/>
                <w:b/>
                <w:bCs/>
                <w:sz w:val="18"/>
                <w:szCs w:val="18"/>
              </w:rPr>
              <w:t>Izvor  5. POMOĆI</w:t>
            </w:r>
          </w:p>
        </w:tc>
        <w:tc>
          <w:tcPr>
            <w:tcW w:w="1509" w:type="dxa"/>
            <w:noWrap/>
            <w:hideMark/>
          </w:tcPr>
          <w:p w14:paraId="1145F855"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2.415.089,00</w:t>
            </w:r>
          </w:p>
        </w:tc>
        <w:tc>
          <w:tcPr>
            <w:tcW w:w="1157" w:type="dxa"/>
            <w:noWrap/>
            <w:hideMark/>
          </w:tcPr>
          <w:p w14:paraId="44548C8D"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88.961,00</w:t>
            </w:r>
          </w:p>
        </w:tc>
        <w:tc>
          <w:tcPr>
            <w:tcW w:w="1123" w:type="dxa"/>
            <w:noWrap/>
            <w:hideMark/>
          </w:tcPr>
          <w:p w14:paraId="7AA0D57C"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3,68</w:t>
            </w:r>
          </w:p>
        </w:tc>
        <w:tc>
          <w:tcPr>
            <w:tcW w:w="1723" w:type="dxa"/>
            <w:noWrap/>
            <w:hideMark/>
          </w:tcPr>
          <w:p w14:paraId="072AF534"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2.504.050,00</w:t>
            </w:r>
          </w:p>
        </w:tc>
      </w:tr>
      <w:tr w:rsidR="007B7808" w:rsidRPr="005A64B1" w14:paraId="72AD6BE2" w14:textId="77777777" w:rsidTr="002815DB">
        <w:trPr>
          <w:trHeight w:val="255"/>
        </w:trPr>
        <w:tc>
          <w:tcPr>
            <w:tcW w:w="4978" w:type="dxa"/>
            <w:gridSpan w:val="2"/>
            <w:noWrap/>
            <w:hideMark/>
          </w:tcPr>
          <w:p w14:paraId="20463A87" w14:textId="77777777" w:rsidR="007B7808" w:rsidRPr="00F766F7" w:rsidRDefault="007B7808" w:rsidP="002815DB">
            <w:pPr>
              <w:autoSpaceDE w:val="0"/>
              <w:autoSpaceDN w:val="0"/>
              <w:adjustRightInd w:val="0"/>
              <w:jc w:val="both"/>
              <w:rPr>
                <w:rFonts w:ascii="Arial" w:hAnsi="Arial" w:cs="Arial"/>
                <w:b/>
                <w:bCs/>
                <w:sz w:val="18"/>
                <w:szCs w:val="18"/>
              </w:rPr>
            </w:pPr>
            <w:r w:rsidRPr="00F766F7">
              <w:rPr>
                <w:rFonts w:ascii="Arial" w:hAnsi="Arial" w:cs="Arial"/>
                <w:b/>
                <w:bCs/>
                <w:sz w:val="18"/>
                <w:szCs w:val="18"/>
              </w:rPr>
              <w:t>Izvor  5.1. POMOĆI</w:t>
            </w:r>
          </w:p>
        </w:tc>
        <w:tc>
          <w:tcPr>
            <w:tcW w:w="1509" w:type="dxa"/>
            <w:noWrap/>
            <w:hideMark/>
          </w:tcPr>
          <w:p w14:paraId="414011E7"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202.772,00</w:t>
            </w:r>
          </w:p>
        </w:tc>
        <w:tc>
          <w:tcPr>
            <w:tcW w:w="1157" w:type="dxa"/>
            <w:noWrap/>
            <w:hideMark/>
          </w:tcPr>
          <w:p w14:paraId="51FBA1FC"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2.196,00</w:t>
            </w:r>
          </w:p>
        </w:tc>
        <w:tc>
          <w:tcPr>
            <w:tcW w:w="1123" w:type="dxa"/>
            <w:noWrap/>
            <w:hideMark/>
          </w:tcPr>
          <w:p w14:paraId="3D821CEF"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1,08</w:t>
            </w:r>
          </w:p>
        </w:tc>
        <w:tc>
          <w:tcPr>
            <w:tcW w:w="1723" w:type="dxa"/>
            <w:noWrap/>
            <w:hideMark/>
          </w:tcPr>
          <w:p w14:paraId="439CD53D"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204.968,00</w:t>
            </w:r>
          </w:p>
        </w:tc>
      </w:tr>
      <w:tr w:rsidR="007B7808" w:rsidRPr="005A64B1" w14:paraId="149514FD" w14:textId="77777777" w:rsidTr="002815DB">
        <w:trPr>
          <w:trHeight w:val="255"/>
        </w:trPr>
        <w:tc>
          <w:tcPr>
            <w:tcW w:w="4978" w:type="dxa"/>
            <w:gridSpan w:val="2"/>
            <w:noWrap/>
            <w:hideMark/>
          </w:tcPr>
          <w:p w14:paraId="0210BE6F" w14:textId="77777777" w:rsidR="007B7808" w:rsidRPr="00F766F7" w:rsidRDefault="007B7808" w:rsidP="002815DB">
            <w:pPr>
              <w:autoSpaceDE w:val="0"/>
              <w:autoSpaceDN w:val="0"/>
              <w:adjustRightInd w:val="0"/>
              <w:jc w:val="both"/>
              <w:rPr>
                <w:rFonts w:ascii="Arial" w:hAnsi="Arial" w:cs="Arial"/>
                <w:b/>
                <w:bCs/>
                <w:sz w:val="18"/>
                <w:szCs w:val="18"/>
              </w:rPr>
            </w:pPr>
            <w:r w:rsidRPr="00F766F7">
              <w:rPr>
                <w:rFonts w:ascii="Arial" w:hAnsi="Arial" w:cs="Arial"/>
                <w:b/>
                <w:bCs/>
                <w:sz w:val="18"/>
                <w:szCs w:val="18"/>
              </w:rPr>
              <w:t>Izvor  5.9. POMOĆI</w:t>
            </w:r>
          </w:p>
        </w:tc>
        <w:tc>
          <w:tcPr>
            <w:tcW w:w="1509" w:type="dxa"/>
            <w:noWrap/>
            <w:hideMark/>
          </w:tcPr>
          <w:p w14:paraId="57664937"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2.212.317,00</w:t>
            </w:r>
          </w:p>
        </w:tc>
        <w:tc>
          <w:tcPr>
            <w:tcW w:w="1157" w:type="dxa"/>
            <w:noWrap/>
            <w:hideMark/>
          </w:tcPr>
          <w:p w14:paraId="0A13B939"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86.765,00</w:t>
            </w:r>
          </w:p>
        </w:tc>
        <w:tc>
          <w:tcPr>
            <w:tcW w:w="1123" w:type="dxa"/>
            <w:noWrap/>
            <w:hideMark/>
          </w:tcPr>
          <w:p w14:paraId="31B57BF3"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3,92</w:t>
            </w:r>
          </w:p>
        </w:tc>
        <w:tc>
          <w:tcPr>
            <w:tcW w:w="1723" w:type="dxa"/>
            <w:noWrap/>
            <w:hideMark/>
          </w:tcPr>
          <w:p w14:paraId="1A60F49E"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2.299.082,00</w:t>
            </w:r>
          </w:p>
        </w:tc>
      </w:tr>
      <w:tr w:rsidR="007B7808" w:rsidRPr="005A64B1" w14:paraId="2929A313" w14:textId="77777777" w:rsidTr="002815DB">
        <w:trPr>
          <w:trHeight w:val="255"/>
        </w:trPr>
        <w:tc>
          <w:tcPr>
            <w:tcW w:w="4978" w:type="dxa"/>
            <w:gridSpan w:val="2"/>
            <w:noWrap/>
            <w:hideMark/>
          </w:tcPr>
          <w:p w14:paraId="3652DB3E" w14:textId="77777777" w:rsidR="007B7808" w:rsidRPr="00F766F7" w:rsidRDefault="007B7808" w:rsidP="002815DB">
            <w:pPr>
              <w:autoSpaceDE w:val="0"/>
              <w:autoSpaceDN w:val="0"/>
              <w:adjustRightInd w:val="0"/>
              <w:jc w:val="both"/>
              <w:rPr>
                <w:rFonts w:ascii="Arial" w:hAnsi="Arial" w:cs="Arial"/>
                <w:b/>
                <w:bCs/>
                <w:sz w:val="18"/>
                <w:szCs w:val="18"/>
              </w:rPr>
            </w:pPr>
            <w:r w:rsidRPr="00F766F7">
              <w:rPr>
                <w:rFonts w:ascii="Arial" w:hAnsi="Arial" w:cs="Arial"/>
                <w:b/>
                <w:bCs/>
                <w:sz w:val="18"/>
                <w:szCs w:val="18"/>
              </w:rPr>
              <w:t>Izvor  6. DONACIJE</w:t>
            </w:r>
          </w:p>
        </w:tc>
        <w:tc>
          <w:tcPr>
            <w:tcW w:w="1509" w:type="dxa"/>
            <w:noWrap/>
            <w:hideMark/>
          </w:tcPr>
          <w:p w14:paraId="23B1AF3E"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1.500,00</w:t>
            </w:r>
          </w:p>
        </w:tc>
        <w:tc>
          <w:tcPr>
            <w:tcW w:w="1157" w:type="dxa"/>
            <w:noWrap/>
            <w:hideMark/>
          </w:tcPr>
          <w:p w14:paraId="729CAF91"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2.002,00</w:t>
            </w:r>
          </w:p>
        </w:tc>
        <w:tc>
          <w:tcPr>
            <w:tcW w:w="1123" w:type="dxa"/>
            <w:noWrap/>
            <w:hideMark/>
          </w:tcPr>
          <w:p w14:paraId="000849E9"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133,47</w:t>
            </w:r>
          </w:p>
        </w:tc>
        <w:tc>
          <w:tcPr>
            <w:tcW w:w="1723" w:type="dxa"/>
            <w:noWrap/>
            <w:hideMark/>
          </w:tcPr>
          <w:p w14:paraId="5908296A"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3.502,00</w:t>
            </w:r>
          </w:p>
        </w:tc>
      </w:tr>
      <w:tr w:rsidR="007B7808" w:rsidRPr="005A64B1" w14:paraId="3910585A" w14:textId="77777777" w:rsidTr="002815DB">
        <w:trPr>
          <w:trHeight w:val="255"/>
        </w:trPr>
        <w:tc>
          <w:tcPr>
            <w:tcW w:w="4978" w:type="dxa"/>
            <w:gridSpan w:val="2"/>
            <w:noWrap/>
            <w:hideMark/>
          </w:tcPr>
          <w:p w14:paraId="3D61CFAB" w14:textId="77777777" w:rsidR="007B7808" w:rsidRPr="00F766F7" w:rsidRDefault="007B7808" w:rsidP="002815DB">
            <w:pPr>
              <w:autoSpaceDE w:val="0"/>
              <w:autoSpaceDN w:val="0"/>
              <w:adjustRightInd w:val="0"/>
              <w:jc w:val="both"/>
              <w:rPr>
                <w:rFonts w:ascii="Arial" w:hAnsi="Arial" w:cs="Arial"/>
                <w:b/>
                <w:bCs/>
                <w:sz w:val="18"/>
                <w:szCs w:val="18"/>
              </w:rPr>
            </w:pPr>
            <w:r w:rsidRPr="00F766F7">
              <w:rPr>
                <w:rFonts w:ascii="Arial" w:hAnsi="Arial" w:cs="Arial"/>
                <w:b/>
                <w:bCs/>
                <w:sz w:val="18"/>
                <w:szCs w:val="18"/>
              </w:rPr>
              <w:t>Izvor  6.9. DONACIJE</w:t>
            </w:r>
          </w:p>
        </w:tc>
        <w:tc>
          <w:tcPr>
            <w:tcW w:w="1509" w:type="dxa"/>
            <w:noWrap/>
            <w:hideMark/>
          </w:tcPr>
          <w:p w14:paraId="6C689CB3"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1.500,00</w:t>
            </w:r>
          </w:p>
        </w:tc>
        <w:tc>
          <w:tcPr>
            <w:tcW w:w="1157" w:type="dxa"/>
            <w:noWrap/>
            <w:hideMark/>
          </w:tcPr>
          <w:p w14:paraId="0450671B"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2.002,00</w:t>
            </w:r>
          </w:p>
        </w:tc>
        <w:tc>
          <w:tcPr>
            <w:tcW w:w="1123" w:type="dxa"/>
            <w:noWrap/>
            <w:hideMark/>
          </w:tcPr>
          <w:p w14:paraId="1B9035D3"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133,47</w:t>
            </w:r>
          </w:p>
        </w:tc>
        <w:tc>
          <w:tcPr>
            <w:tcW w:w="1723" w:type="dxa"/>
            <w:noWrap/>
            <w:hideMark/>
          </w:tcPr>
          <w:p w14:paraId="066DB047"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3.502,00</w:t>
            </w:r>
          </w:p>
        </w:tc>
      </w:tr>
      <w:tr w:rsidR="007B7808" w:rsidRPr="005A64B1" w14:paraId="19A63134" w14:textId="77777777" w:rsidTr="002815DB">
        <w:trPr>
          <w:trHeight w:val="255"/>
        </w:trPr>
        <w:tc>
          <w:tcPr>
            <w:tcW w:w="4978" w:type="dxa"/>
            <w:gridSpan w:val="2"/>
            <w:noWrap/>
            <w:hideMark/>
          </w:tcPr>
          <w:p w14:paraId="431A5641" w14:textId="77777777" w:rsidR="007B7808" w:rsidRPr="00F766F7" w:rsidRDefault="007B7808" w:rsidP="002815DB">
            <w:pPr>
              <w:autoSpaceDE w:val="0"/>
              <w:autoSpaceDN w:val="0"/>
              <w:adjustRightInd w:val="0"/>
              <w:jc w:val="both"/>
              <w:rPr>
                <w:rFonts w:ascii="Arial" w:hAnsi="Arial" w:cs="Arial"/>
                <w:b/>
                <w:bCs/>
                <w:sz w:val="18"/>
                <w:szCs w:val="18"/>
              </w:rPr>
            </w:pPr>
            <w:r w:rsidRPr="00F766F7">
              <w:rPr>
                <w:rFonts w:ascii="Arial" w:hAnsi="Arial" w:cs="Arial"/>
                <w:b/>
                <w:bCs/>
                <w:sz w:val="18"/>
                <w:szCs w:val="18"/>
              </w:rPr>
              <w:t>Izvor  7. PRIHODI OD NEFINANCIJSKE IMOVINE</w:t>
            </w:r>
          </w:p>
        </w:tc>
        <w:tc>
          <w:tcPr>
            <w:tcW w:w="1509" w:type="dxa"/>
            <w:noWrap/>
            <w:hideMark/>
          </w:tcPr>
          <w:p w14:paraId="646BC21E"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6.000,00</w:t>
            </w:r>
          </w:p>
        </w:tc>
        <w:tc>
          <w:tcPr>
            <w:tcW w:w="1157" w:type="dxa"/>
            <w:noWrap/>
            <w:hideMark/>
          </w:tcPr>
          <w:p w14:paraId="1502F62E"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-1.000,00</w:t>
            </w:r>
          </w:p>
        </w:tc>
        <w:tc>
          <w:tcPr>
            <w:tcW w:w="1123" w:type="dxa"/>
            <w:noWrap/>
            <w:hideMark/>
          </w:tcPr>
          <w:p w14:paraId="2DAB112A"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-16,67</w:t>
            </w:r>
          </w:p>
        </w:tc>
        <w:tc>
          <w:tcPr>
            <w:tcW w:w="1723" w:type="dxa"/>
            <w:noWrap/>
            <w:hideMark/>
          </w:tcPr>
          <w:p w14:paraId="16BE328E"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5.000,00</w:t>
            </w:r>
          </w:p>
        </w:tc>
      </w:tr>
      <w:tr w:rsidR="007B7808" w:rsidRPr="005A64B1" w14:paraId="0F9B3FD5" w14:textId="77777777" w:rsidTr="002815DB">
        <w:trPr>
          <w:trHeight w:val="255"/>
        </w:trPr>
        <w:tc>
          <w:tcPr>
            <w:tcW w:w="4978" w:type="dxa"/>
            <w:gridSpan w:val="2"/>
            <w:noWrap/>
            <w:hideMark/>
          </w:tcPr>
          <w:p w14:paraId="17BA5389" w14:textId="77777777" w:rsidR="007B7808" w:rsidRPr="00F766F7" w:rsidRDefault="007B7808" w:rsidP="002815DB">
            <w:pPr>
              <w:autoSpaceDE w:val="0"/>
              <w:autoSpaceDN w:val="0"/>
              <w:adjustRightInd w:val="0"/>
              <w:jc w:val="both"/>
              <w:rPr>
                <w:rFonts w:ascii="Arial" w:hAnsi="Arial" w:cs="Arial"/>
                <w:b/>
                <w:bCs/>
                <w:sz w:val="18"/>
                <w:szCs w:val="18"/>
              </w:rPr>
            </w:pPr>
            <w:r w:rsidRPr="00F766F7">
              <w:rPr>
                <w:rFonts w:ascii="Arial" w:hAnsi="Arial" w:cs="Arial"/>
                <w:b/>
                <w:bCs/>
                <w:sz w:val="18"/>
                <w:szCs w:val="18"/>
              </w:rPr>
              <w:t xml:space="preserve">Izvor  7.9. 7.prihodi od naknada šteta s </w:t>
            </w:r>
            <w:proofErr w:type="spellStart"/>
            <w:r w:rsidRPr="00F766F7">
              <w:rPr>
                <w:rFonts w:ascii="Arial" w:hAnsi="Arial" w:cs="Arial"/>
                <w:b/>
                <w:bCs/>
                <w:sz w:val="18"/>
                <w:szCs w:val="18"/>
              </w:rPr>
              <w:t>osnov.osig.osigur.pri</w:t>
            </w:r>
            <w:proofErr w:type="spellEnd"/>
            <w:r w:rsidRPr="00F766F7">
              <w:rPr>
                <w:rFonts w:ascii="Arial" w:hAnsi="Arial" w:cs="Arial"/>
                <w:b/>
                <w:bCs/>
                <w:sz w:val="18"/>
                <w:szCs w:val="18"/>
              </w:rPr>
              <w:t>. korisnik</w:t>
            </w:r>
          </w:p>
        </w:tc>
        <w:tc>
          <w:tcPr>
            <w:tcW w:w="1509" w:type="dxa"/>
            <w:noWrap/>
            <w:hideMark/>
          </w:tcPr>
          <w:p w14:paraId="622378B9"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6.000,00</w:t>
            </w:r>
          </w:p>
        </w:tc>
        <w:tc>
          <w:tcPr>
            <w:tcW w:w="1157" w:type="dxa"/>
            <w:noWrap/>
            <w:hideMark/>
          </w:tcPr>
          <w:p w14:paraId="05DB35C4"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-1.000,00</w:t>
            </w:r>
          </w:p>
        </w:tc>
        <w:tc>
          <w:tcPr>
            <w:tcW w:w="1123" w:type="dxa"/>
            <w:noWrap/>
            <w:hideMark/>
          </w:tcPr>
          <w:p w14:paraId="45AA4A8A"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-16,67</w:t>
            </w:r>
          </w:p>
        </w:tc>
        <w:tc>
          <w:tcPr>
            <w:tcW w:w="1723" w:type="dxa"/>
            <w:noWrap/>
            <w:hideMark/>
          </w:tcPr>
          <w:p w14:paraId="30FA5BA9" w14:textId="77777777" w:rsidR="007B7808" w:rsidRPr="00F766F7" w:rsidRDefault="007B7808" w:rsidP="002815DB">
            <w:pPr>
              <w:autoSpaceDE w:val="0"/>
              <w:autoSpaceDN w:val="0"/>
              <w:adjustRightInd w:val="0"/>
              <w:jc w:val="right"/>
              <w:rPr>
                <w:rFonts w:ascii="Arial" w:hAnsi="Arial" w:cs="Arial"/>
                <w:b/>
                <w:bCs/>
                <w:sz w:val="18"/>
                <w:szCs w:val="18"/>
              </w:rPr>
            </w:pPr>
            <w:r w:rsidRPr="00F766F7">
              <w:rPr>
                <w:rFonts w:ascii="Arial" w:hAnsi="Arial" w:cs="Arial"/>
                <w:b/>
                <w:bCs/>
                <w:sz w:val="18"/>
                <w:szCs w:val="18"/>
              </w:rPr>
              <w:t>5.000,00</w:t>
            </w:r>
          </w:p>
        </w:tc>
      </w:tr>
    </w:tbl>
    <w:p w14:paraId="51EC9543" w14:textId="77777777" w:rsidR="007B7808" w:rsidRPr="005A64B1" w:rsidRDefault="007B7808" w:rsidP="007B7808">
      <w:pPr>
        <w:autoSpaceDE w:val="0"/>
        <w:autoSpaceDN w:val="0"/>
        <w:adjustRightInd w:val="0"/>
        <w:jc w:val="both"/>
        <w:rPr>
          <w:rFonts w:ascii="Arial" w:hAnsi="Arial" w:cs="Arial"/>
          <w:b/>
          <w:color w:val="FF0000"/>
          <w:sz w:val="22"/>
        </w:rPr>
      </w:pPr>
    </w:p>
    <w:p w14:paraId="7F075280" w14:textId="77777777" w:rsidR="007B7808" w:rsidRPr="0056141B" w:rsidRDefault="007B7808" w:rsidP="0056141B">
      <w:pPr>
        <w:autoSpaceDE w:val="0"/>
        <w:autoSpaceDN w:val="0"/>
        <w:adjustRightInd w:val="0"/>
        <w:spacing w:line="259" w:lineRule="auto"/>
        <w:jc w:val="both"/>
        <w:rPr>
          <w:rFonts w:ascii="Arial" w:hAnsi="Arial" w:cs="Arial"/>
          <w:b/>
          <w:color w:val="FF0000"/>
          <w:sz w:val="22"/>
          <w:szCs w:val="22"/>
        </w:rPr>
      </w:pPr>
    </w:p>
    <w:p w14:paraId="56F50165" w14:textId="77777777" w:rsidR="007B7808" w:rsidRPr="0056141B" w:rsidRDefault="007B7808" w:rsidP="0056141B">
      <w:pPr>
        <w:autoSpaceDE w:val="0"/>
        <w:autoSpaceDN w:val="0"/>
        <w:adjustRightInd w:val="0"/>
        <w:spacing w:line="259" w:lineRule="auto"/>
        <w:jc w:val="both"/>
        <w:rPr>
          <w:rFonts w:ascii="Arial" w:hAnsi="Arial" w:cs="Arial"/>
          <w:b/>
          <w:sz w:val="22"/>
          <w:szCs w:val="22"/>
        </w:rPr>
      </w:pPr>
      <w:r w:rsidRPr="0056141B">
        <w:rPr>
          <w:rFonts w:ascii="Arial" w:hAnsi="Arial" w:cs="Arial"/>
          <w:b/>
          <w:sz w:val="22"/>
          <w:szCs w:val="22"/>
        </w:rPr>
        <w:t>Izvor 1.1.001 Opći prihodi i primici</w:t>
      </w:r>
    </w:p>
    <w:p w14:paraId="10435424" w14:textId="62273BC2" w:rsidR="007B7808" w:rsidRPr="0056141B" w:rsidRDefault="007B7808" w:rsidP="0056141B">
      <w:pPr>
        <w:autoSpaceDE w:val="0"/>
        <w:autoSpaceDN w:val="0"/>
        <w:adjustRightInd w:val="0"/>
        <w:spacing w:line="259" w:lineRule="auto"/>
        <w:jc w:val="both"/>
        <w:rPr>
          <w:rFonts w:ascii="Arial" w:hAnsi="Arial" w:cs="Arial"/>
          <w:sz w:val="22"/>
          <w:szCs w:val="22"/>
        </w:rPr>
      </w:pPr>
      <w:r w:rsidRPr="0056141B">
        <w:rPr>
          <w:rFonts w:ascii="Arial" w:hAnsi="Arial" w:cs="Arial"/>
          <w:sz w:val="22"/>
          <w:szCs w:val="22"/>
        </w:rPr>
        <w:t xml:space="preserve">Prihodi od nadležnog proračuna planirani su u iznosu od 316.050,00 </w:t>
      </w:r>
      <w:r w:rsidRPr="0056141B">
        <w:rPr>
          <w:rFonts w:ascii="Arial" w:eastAsia="Calibri" w:hAnsi="Arial" w:cs="Arial"/>
          <w:sz w:val="22"/>
          <w:szCs w:val="22"/>
        </w:rPr>
        <w:t>EUR</w:t>
      </w:r>
      <w:r w:rsidRPr="0056141B">
        <w:rPr>
          <w:rFonts w:ascii="Arial" w:hAnsi="Arial" w:cs="Arial"/>
          <w:sz w:val="22"/>
          <w:szCs w:val="22"/>
        </w:rPr>
        <w:t xml:space="preserve">, a pokrivaju rashode za 10 učiteljica zaposlenih u produženom boravku, rashode za dio plaća za  pomoćnike  u nastavi s učenicima s teškoćama, rashode za namirnice kroz shemu školskog voća te pokrivaju dio troškova školskih natjecanja učenika. Prihod od 40.000,00 eura namijenjen je za </w:t>
      </w:r>
      <w:r w:rsidRPr="0056141B">
        <w:rPr>
          <w:rFonts w:ascii="Arial" w:eastAsia="Calibri" w:hAnsi="Arial" w:cs="Arial"/>
          <w:sz w:val="22"/>
          <w:szCs w:val="22"/>
        </w:rPr>
        <w:t>dodatna ulaganja na građevinskim objektima – školska dvorana.</w:t>
      </w:r>
    </w:p>
    <w:p w14:paraId="01FF9165" w14:textId="77777777" w:rsidR="007B7808" w:rsidRPr="0056141B" w:rsidRDefault="007B7808" w:rsidP="0056141B">
      <w:pPr>
        <w:autoSpaceDE w:val="0"/>
        <w:autoSpaceDN w:val="0"/>
        <w:adjustRightInd w:val="0"/>
        <w:spacing w:line="259" w:lineRule="auto"/>
        <w:jc w:val="both"/>
        <w:rPr>
          <w:rFonts w:ascii="Arial" w:hAnsi="Arial" w:cs="Arial"/>
          <w:sz w:val="22"/>
          <w:szCs w:val="22"/>
        </w:rPr>
      </w:pPr>
    </w:p>
    <w:p w14:paraId="44797887" w14:textId="77777777" w:rsidR="007B7808" w:rsidRPr="0056141B" w:rsidRDefault="007B7808" w:rsidP="0056141B">
      <w:pPr>
        <w:autoSpaceDE w:val="0"/>
        <w:autoSpaceDN w:val="0"/>
        <w:adjustRightInd w:val="0"/>
        <w:spacing w:line="259" w:lineRule="auto"/>
        <w:jc w:val="both"/>
        <w:rPr>
          <w:rFonts w:ascii="Arial" w:hAnsi="Arial" w:cs="Arial"/>
          <w:b/>
          <w:sz w:val="22"/>
          <w:szCs w:val="22"/>
        </w:rPr>
      </w:pPr>
      <w:r w:rsidRPr="0056141B">
        <w:rPr>
          <w:rFonts w:ascii="Arial" w:hAnsi="Arial" w:cs="Arial"/>
          <w:b/>
          <w:sz w:val="22"/>
          <w:szCs w:val="22"/>
        </w:rPr>
        <w:t>Izvor 3.9.000001 Vlastiti prihodi</w:t>
      </w:r>
    </w:p>
    <w:p w14:paraId="0311ACAA" w14:textId="3F6A3C14" w:rsidR="007B7808" w:rsidRPr="0056141B" w:rsidRDefault="007B7808" w:rsidP="0056141B">
      <w:pPr>
        <w:autoSpaceDE w:val="0"/>
        <w:autoSpaceDN w:val="0"/>
        <w:adjustRightInd w:val="0"/>
        <w:spacing w:line="259" w:lineRule="auto"/>
        <w:jc w:val="both"/>
        <w:rPr>
          <w:rFonts w:ascii="Arial" w:hAnsi="Arial" w:cs="Arial"/>
          <w:sz w:val="22"/>
          <w:szCs w:val="22"/>
        </w:rPr>
      </w:pPr>
      <w:r w:rsidRPr="0056141B">
        <w:rPr>
          <w:rFonts w:ascii="Arial" w:hAnsi="Arial" w:cs="Arial"/>
          <w:sz w:val="22"/>
          <w:szCs w:val="22"/>
        </w:rPr>
        <w:t xml:space="preserve">Vlastiti prihodi ostvaruju se iznajmljivanjem školske sportske dvorane. Planirani iznos u I. izmjenama i dopuna nije se mijenjao u odnosu na Plan za 2025. godinu te iznosi  3.000,00 </w:t>
      </w:r>
      <w:r w:rsidRPr="0056141B">
        <w:rPr>
          <w:rFonts w:ascii="Arial" w:eastAsia="Calibri" w:hAnsi="Arial" w:cs="Arial"/>
          <w:sz w:val="22"/>
          <w:szCs w:val="22"/>
        </w:rPr>
        <w:t>EUR</w:t>
      </w:r>
      <w:r w:rsidRPr="0056141B">
        <w:rPr>
          <w:rFonts w:ascii="Arial" w:hAnsi="Arial" w:cs="Arial"/>
          <w:sz w:val="22"/>
          <w:szCs w:val="22"/>
        </w:rPr>
        <w:t>. Sredstva ostvarena po tom izvoru financiranja podmiriti će troškove materijala za čišćenje i održavanje dvorane te ostale nespomenute usluge.</w:t>
      </w:r>
    </w:p>
    <w:p w14:paraId="5819A32A" w14:textId="77777777" w:rsidR="007B7808" w:rsidRPr="0056141B" w:rsidRDefault="007B7808" w:rsidP="0056141B">
      <w:pPr>
        <w:autoSpaceDE w:val="0"/>
        <w:autoSpaceDN w:val="0"/>
        <w:adjustRightInd w:val="0"/>
        <w:spacing w:line="259" w:lineRule="auto"/>
        <w:jc w:val="both"/>
        <w:rPr>
          <w:rFonts w:ascii="Arial" w:hAnsi="Arial" w:cs="Arial"/>
          <w:sz w:val="22"/>
          <w:szCs w:val="22"/>
          <w:highlight w:val="yellow"/>
        </w:rPr>
      </w:pPr>
    </w:p>
    <w:p w14:paraId="6A955EF2" w14:textId="77777777" w:rsidR="007B7808" w:rsidRPr="0056141B" w:rsidRDefault="007B7808" w:rsidP="0056141B">
      <w:pPr>
        <w:autoSpaceDE w:val="0"/>
        <w:autoSpaceDN w:val="0"/>
        <w:adjustRightInd w:val="0"/>
        <w:spacing w:line="259" w:lineRule="auto"/>
        <w:jc w:val="both"/>
        <w:rPr>
          <w:rFonts w:ascii="Arial" w:hAnsi="Arial" w:cs="Arial"/>
          <w:b/>
          <w:sz w:val="22"/>
          <w:szCs w:val="22"/>
        </w:rPr>
      </w:pPr>
      <w:r w:rsidRPr="0056141B">
        <w:rPr>
          <w:rFonts w:ascii="Arial" w:hAnsi="Arial" w:cs="Arial"/>
          <w:b/>
          <w:sz w:val="22"/>
          <w:szCs w:val="22"/>
        </w:rPr>
        <w:t>Izvor 4.9.000001 Prihodi po posebnim namjenama</w:t>
      </w:r>
    </w:p>
    <w:p w14:paraId="7F684ED7" w14:textId="2B0D8B49" w:rsidR="007B7808" w:rsidRPr="0056141B" w:rsidRDefault="007B7808" w:rsidP="0056141B">
      <w:pPr>
        <w:autoSpaceDE w:val="0"/>
        <w:autoSpaceDN w:val="0"/>
        <w:adjustRightInd w:val="0"/>
        <w:spacing w:line="259" w:lineRule="auto"/>
        <w:jc w:val="both"/>
        <w:rPr>
          <w:rFonts w:ascii="Arial" w:eastAsia="Calibri" w:hAnsi="Arial" w:cs="Arial"/>
          <w:sz w:val="22"/>
          <w:szCs w:val="22"/>
        </w:rPr>
      </w:pPr>
      <w:r w:rsidRPr="0056141B">
        <w:rPr>
          <w:rFonts w:ascii="Arial" w:hAnsi="Arial" w:cs="Arial"/>
          <w:sz w:val="22"/>
          <w:szCs w:val="22"/>
        </w:rPr>
        <w:t xml:space="preserve">Pod te prihode podrazumijevamo prihode koji se ostvaruju  uplatom za  produženi boravak. </w:t>
      </w:r>
      <w:r w:rsidRPr="0056141B">
        <w:rPr>
          <w:rFonts w:ascii="Arial" w:eastAsia="Calibri" w:hAnsi="Arial" w:cs="Arial"/>
          <w:sz w:val="22"/>
          <w:szCs w:val="22"/>
        </w:rPr>
        <w:t xml:space="preserve">U matičnoj školi organiziran je program produženog boravka u dvije skupine – 63 učenika, u područnoj školi </w:t>
      </w:r>
      <w:proofErr w:type="spellStart"/>
      <w:r w:rsidRPr="0056141B">
        <w:rPr>
          <w:rFonts w:ascii="Arial" w:eastAsia="Calibri" w:hAnsi="Arial" w:cs="Arial"/>
          <w:sz w:val="22"/>
          <w:szCs w:val="22"/>
        </w:rPr>
        <w:t>Kature</w:t>
      </w:r>
      <w:proofErr w:type="spellEnd"/>
      <w:r w:rsidRPr="0056141B">
        <w:rPr>
          <w:rFonts w:ascii="Arial" w:eastAsia="Calibri" w:hAnsi="Arial" w:cs="Arial"/>
          <w:sz w:val="22"/>
          <w:szCs w:val="22"/>
        </w:rPr>
        <w:t xml:space="preserve"> brojimo tri grupe produženog boravka  - 70 učenika i u područnoj školi </w:t>
      </w:r>
      <w:proofErr w:type="spellStart"/>
      <w:r w:rsidRPr="0056141B">
        <w:rPr>
          <w:rFonts w:ascii="Arial" w:eastAsia="Calibri" w:hAnsi="Arial" w:cs="Arial"/>
          <w:sz w:val="22"/>
          <w:szCs w:val="22"/>
        </w:rPr>
        <w:t>Vinež</w:t>
      </w:r>
      <w:proofErr w:type="spellEnd"/>
      <w:r w:rsidRPr="0056141B">
        <w:rPr>
          <w:rFonts w:ascii="Arial" w:eastAsia="Calibri" w:hAnsi="Arial" w:cs="Arial"/>
          <w:sz w:val="22"/>
          <w:szCs w:val="22"/>
        </w:rPr>
        <w:t xml:space="preserve"> imamo  48 učenika. Cijena pružanja usluge  iznosi 3,50  EUR dnevno, 2,50 EUR za troškove pripreme ručka i 1,00 EUR za troškove plaće i ostalih materijalnih prava učiteljica.</w:t>
      </w:r>
    </w:p>
    <w:p w14:paraId="5FA581A5" w14:textId="77777777" w:rsidR="007B7808" w:rsidRPr="0056141B" w:rsidRDefault="007B7808" w:rsidP="0056141B">
      <w:pPr>
        <w:autoSpaceDE w:val="0"/>
        <w:autoSpaceDN w:val="0"/>
        <w:adjustRightInd w:val="0"/>
        <w:spacing w:line="259" w:lineRule="auto"/>
        <w:jc w:val="both"/>
        <w:rPr>
          <w:rFonts w:ascii="Arial" w:eastAsia="Calibri" w:hAnsi="Arial" w:cs="Arial"/>
          <w:sz w:val="22"/>
          <w:szCs w:val="22"/>
        </w:rPr>
      </w:pPr>
      <w:r w:rsidRPr="0056141B">
        <w:rPr>
          <w:rFonts w:ascii="Arial" w:hAnsi="Arial" w:cs="Arial"/>
          <w:sz w:val="22"/>
          <w:szCs w:val="22"/>
        </w:rPr>
        <w:t xml:space="preserve">Produženi boravak organiziran je i za učenike PŠ </w:t>
      </w:r>
      <w:proofErr w:type="spellStart"/>
      <w:r w:rsidRPr="0056141B">
        <w:rPr>
          <w:rFonts w:ascii="Arial" w:hAnsi="Arial" w:cs="Arial"/>
          <w:sz w:val="22"/>
          <w:szCs w:val="22"/>
        </w:rPr>
        <w:t>Vozilići</w:t>
      </w:r>
      <w:proofErr w:type="spellEnd"/>
      <w:r w:rsidRPr="0056141B">
        <w:rPr>
          <w:rFonts w:ascii="Arial" w:hAnsi="Arial" w:cs="Arial"/>
          <w:sz w:val="22"/>
          <w:szCs w:val="22"/>
        </w:rPr>
        <w:t>, plaćanje izdataka za djelatnika  preuzela je Općina Kršan. Program je organiziran u jednoj odgojnoj skupini i broji 26 učenika.</w:t>
      </w:r>
    </w:p>
    <w:p w14:paraId="6B6B7460" w14:textId="77777777" w:rsidR="007B7808" w:rsidRPr="0056141B" w:rsidRDefault="007B7808" w:rsidP="0056141B">
      <w:pPr>
        <w:autoSpaceDE w:val="0"/>
        <w:autoSpaceDN w:val="0"/>
        <w:adjustRightInd w:val="0"/>
        <w:spacing w:line="259" w:lineRule="auto"/>
        <w:jc w:val="both"/>
        <w:rPr>
          <w:rFonts w:ascii="Arial" w:eastAsia="Calibri" w:hAnsi="Arial" w:cs="Arial"/>
          <w:sz w:val="22"/>
          <w:szCs w:val="22"/>
        </w:rPr>
      </w:pPr>
    </w:p>
    <w:p w14:paraId="39DF9CCF" w14:textId="77777777" w:rsidR="007B7808" w:rsidRPr="0056141B" w:rsidRDefault="007B7808" w:rsidP="0056141B">
      <w:pPr>
        <w:autoSpaceDE w:val="0"/>
        <w:autoSpaceDN w:val="0"/>
        <w:adjustRightInd w:val="0"/>
        <w:spacing w:line="259" w:lineRule="auto"/>
        <w:jc w:val="both"/>
        <w:rPr>
          <w:rFonts w:ascii="Arial" w:hAnsi="Arial" w:cs="Arial"/>
          <w:b/>
          <w:sz w:val="22"/>
          <w:szCs w:val="22"/>
        </w:rPr>
      </w:pPr>
      <w:r w:rsidRPr="0056141B">
        <w:rPr>
          <w:rFonts w:ascii="Arial" w:hAnsi="Arial" w:cs="Arial"/>
          <w:b/>
          <w:sz w:val="22"/>
          <w:szCs w:val="22"/>
        </w:rPr>
        <w:t>Izvor 5.1.001 Prihode za decentralizirane funkcije osnovnog obrazovanja</w:t>
      </w:r>
    </w:p>
    <w:p w14:paraId="528F78FB" w14:textId="77777777" w:rsidR="007B7808" w:rsidRPr="0056141B" w:rsidRDefault="007B7808" w:rsidP="0056141B">
      <w:pPr>
        <w:autoSpaceDE w:val="0"/>
        <w:autoSpaceDN w:val="0"/>
        <w:adjustRightInd w:val="0"/>
        <w:spacing w:line="259" w:lineRule="auto"/>
        <w:jc w:val="both"/>
        <w:rPr>
          <w:rFonts w:ascii="Arial" w:hAnsi="Arial" w:cs="Arial"/>
          <w:sz w:val="22"/>
          <w:szCs w:val="22"/>
        </w:rPr>
      </w:pPr>
      <w:r w:rsidRPr="0056141B">
        <w:rPr>
          <w:rFonts w:ascii="Arial" w:hAnsi="Arial" w:cs="Arial"/>
          <w:sz w:val="22"/>
          <w:szCs w:val="22"/>
        </w:rPr>
        <w:t>U proračunu Grada Labina za 2025. godinu, a na temelju Odluke o kriterijima, mjerilima i načinu financiranja decentraliziranih funkcija osnovnog školstva za 2025 godinu, od 18. veljače  2025. godine osigurana su sredstva za provođenje  redovne djelatnosti osnovnoškolskog obrazovanja u iznosu od  176.196,00 eura</w:t>
      </w:r>
    </w:p>
    <w:p w14:paraId="65210F78" w14:textId="77777777" w:rsidR="007B7808" w:rsidRPr="0056141B" w:rsidRDefault="007B7808" w:rsidP="0056141B">
      <w:pPr>
        <w:autoSpaceDE w:val="0"/>
        <w:autoSpaceDN w:val="0"/>
        <w:adjustRightInd w:val="0"/>
        <w:spacing w:line="259" w:lineRule="auto"/>
        <w:jc w:val="both"/>
        <w:rPr>
          <w:rFonts w:ascii="Arial" w:hAnsi="Arial" w:cs="Arial"/>
          <w:sz w:val="22"/>
          <w:szCs w:val="22"/>
        </w:rPr>
      </w:pPr>
      <w:r w:rsidRPr="0056141B">
        <w:rPr>
          <w:rFonts w:ascii="Arial" w:hAnsi="Arial" w:cs="Arial"/>
          <w:sz w:val="22"/>
          <w:szCs w:val="22"/>
        </w:rPr>
        <w:t>Ta su sredstva planirana za pokriće tekućih  izdataka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u zgradu Škole.</w:t>
      </w:r>
    </w:p>
    <w:p w14:paraId="405B6A13" w14:textId="77777777" w:rsidR="007B7808" w:rsidRPr="0056141B" w:rsidRDefault="007B7808" w:rsidP="0056141B">
      <w:pPr>
        <w:spacing w:line="259" w:lineRule="auto"/>
        <w:jc w:val="both"/>
        <w:rPr>
          <w:rFonts w:ascii="Arial" w:eastAsia="Calibri" w:hAnsi="Arial" w:cs="Arial"/>
          <w:sz w:val="22"/>
          <w:szCs w:val="22"/>
        </w:rPr>
      </w:pPr>
      <w:r w:rsidRPr="0056141B">
        <w:rPr>
          <w:rFonts w:ascii="Arial" w:hAnsi="Arial" w:cs="Arial"/>
          <w:sz w:val="22"/>
          <w:szCs w:val="22"/>
        </w:rPr>
        <w:t xml:space="preserve">Napominjemo da su  sredstva u odnosu na Plan za 2025. ostala ista jedino se povećao iznos za </w:t>
      </w:r>
      <w:r w:rsidRPr="0056141B">
        <w:rPr>
          <w:rFonts w:ascii="Arial" w:eastAsia="Calibri" w:hAnsi="Arial" w:cs="Arial"/>
          <w:sz w:val="22"/>
          <w:szCs w:val="22"/>
        </w:rPr>
        <w:t>usluge tekućeg i investicijskog održavanja. Postotak povećanja iznosi  13,73%, od 16.000,00 eura na 18.196,00 eura godišnje.</w:t>
      </w:r>
    </w:p>
    <w:p w14:paraId="0E0141EF" w14:textId="77777777" w:rsidR="007B7808" w:rsidRPr="0056141B" w:rsidRDefault="007B7808" w:rsidP="0056141B">
      <w:pPr>
        <w:autoSpaceDE w:val="0"/>
        <w:autoSpaceDN w:val="0"/>
        <w:adjustRightInd w:val="0"/>
        <w:spacing w:line="259" w:lineRule="auto"/>
        <w:jc w:val="both"/>
        <w:rPr>
          <w:rFonts w:ascii="Arial" w:hAnsi="Arial" w:cs="Arial"/>
          <w:sz w:val="22"/>
          <w:szCs w:val="22"/>
        </w:rPr>
      </w:pPr>
      <w:r w:rsidRPr="0056141B">
        <w:rPr>
          <w:rFonts w:ascii="Arial" w:hAnsi="Arial" w:cs="Arial"/>
          <w:sz w:val="22"/>
          <w:szCs w:val="22"/>
        </w:rPr>
        <w:t>Smatramo da ukupan  iznos nije dovoljan za pokriće svih tekućih izdataka Škole.</w:t>
      </w:r>
    </w:p>
    <w:p w14:paraId="614B17EF" w14:textId="77777777" w:rsidR="007B7808" w:rsidRDefault="007B7808" w:rsidP="0056141B">
      <w:pPr>
        <w:autoSpaceDE w:val="0"/>
        <w:autoSpaceDN w:val="0"/>
        <w:adjustRightInd w:val="0"/>
        <w:spacing w:line="259" w:lineRule="auto"/>
        <w:jc w:val="both"/>
        <w:rPr>
          <w:rFonts w:ascii="Arial" w:hAnsi="Arial" w:cs="Arial"/>
          <w:sz w:val="22"/>
          <w:szCs w:val="22"/>
          <w:highlight w:val="yellow"/>
        </w:rPr>
      </w:pPr>
    </w:p>
    <w:p w14:paraId="18E208D0" w14:textId="77777777" w:rsidR="007B7808" w:rsidRPr="0056141B" w:rsidRDefault="007B7808" w:rsidP="0056141B">
      <w:pPr>
        <w:autoSpaceDE w:val="0"/>
        <w:autoSpaceDN w:val="0"/>
        <w:adjustRightInd w:val="0"/>
        <w:spacing w:line="259" w:lineRule="auto"/>
        <w:jc w:val="both"/>
        <w:rPr>
          <w:rFonts w:ascii="Arial" w:eastAsia="Calibri" w:hAnsi="Arial" w:cs="Arial"/>
          <w:b/>
          <w:sz w:val="22"/>
          <w:szCs w:val="22"/>
        </w:rPr>
      </w:pPr>
      <w:r w:rsidRPr="0056141B">
        <w:rPr>
          <w:rFonts w:ascii="Arial" w:eastAsia="Calibri" w:hAnsi="Arial" w:cs="Arial"/>
          <w:b/>
          <w:sz w:val="22"/>
          <w:szCs w:val="22"/>
        </w:rPr>
        <w:t>Izvor 5.9.000003 Pomoći korisnika – Državna riznica</w:t>
      </w:r>
    </w:p>
    <w:p w14:paraId="3278D700" w14:textId="797588B3" w:rsidR="007B7808" w:rsidRPr="0056141B" w:rsidRDefault="007B7808" w:rsidP="0056141B">
      <w:pPr>
        <w:spacing w:line="259" w:lineRule="auto"/>
        <w:jc w:val="both"/>
        <w:rPr>
          <w:rFonts w:ascii="Arial" w:eastAsia="Calibri" w:hAnsi="Arial" w:cs="Arial"/>
          <w:sz w:val="22"/>
          <w:szCs w:val="22"/>
        </w:rPr>
      </w:pPr>
      <w:r w:rsidRPr="0056141B">
        <w:rPr>
          <w:rFonts w:ascii="Arial" w:eastAsia="Calibri" w:hAnsi="Arial" w:cs="Arial"/>
          <w:sz w:val="22"/>
          <w:szCs w:val="22"/>
        </w:rPr>
        <w:lastRenderedPageBreak/>
        <w:t>Prihod iz državnog proračuna za financiranje rashoda zaposlenih u I. izmjenama i dopunama planiran je u visini od 2.004.050,00 EUR. Planiran je višak od 3,14 % u odnosu na Plan za 2025.godinu. Razlog povećanja plaća je povećanje koeficijenata prema Uredbi o nazivima radnih mjesta, uvjetima za raspored i koeficijentima za obračun plaće u javnim službama (NN 22-2024), Zakon o plaćama u državnoj službi i javnim službama.(NN 29/2024) te Odluka o visini osnovice za obračun plaće u javnim službama u 2025. godini kojom se utvrđuje osnovica za izračun plaća.</w:t>
      </w:r>
    </w:p>
    <w:p w14:paraId="60DCE0C2" w14:textId="77777777" w:rsidR="007B7808" w:rsidRPr="0056141B" w:rsidRDefault="007B7808" w:rsidP="0056141B">
      <w:pPr>
        <w:spacing w:line="259" w:lineRule="auto"/>
        <w:jc w:val="both"/>
        <w:rPr>
          <w:rFonts w:ascii="Arial" w:eastAsia="Calibri" w:hAnsi="Arial" w:cs="Arial"/>
          <w:sz w:val="22"/>
          <w:szCs w:val="22"/>
        </w:rPr>
      </w:pPr>
      <w:r w:rsidRPr="0056141B">
        <w:rPr>
          <w:rFonts w:ascii="Arial" w:eastAsia="Calibri" w:hAnsi="Arial" w:cs="Arial"/>
          <w:sz w:val="22"/>
          <w:szCs w:val="22"/>
        </w:rPr>
        <w:t>Rashodi za zaposlene</w:t>
      </w:r>
      <w:r w:rsidRPr="0056141B">
        <w:rPr>
          <w:rFonts w:ascii="Arial" w:eastAsia="Calibri" w:hAnsi="Arial" w:cs="Arial"/>
          <w:b/>
          <w:sz w:val="22"/>
          <w:szCs w:val="22"/>
        </w:rPr>
        <w:t xml:space="preserve"> </w:t>
      </w:r>
      <w:r w:rsidRPr="0056141B">
        <w:rPr>
          <w:rFonts w:ascii="Arial" w:eastAsia="Calibri" w:hAnsi="Arial" w:cs="Arial"/>
          <w:sz w:val="22"/>
          <w:szCs w:val="22"/>
        </w:rPr>
        <w:t xml:space="preserve">čine rashodi za plaće (bruto), ostali rashodi za zaposlene kao što su naknade za pomoć, jubilarne nagrade,  božićnica, regres i drugo te doprinosi na plaće. </w:t>
      </w:r>
    </w:p>
    <w:p w14:paraId="14A75071" w14:textId="77777777" w:rsidR="007B7808" w:rsidRPr="0056141B" w:rsidRDefault="007B7808" w:rsidP="0056141B">
      <w:pPr>
        <w:spacing w:line="259" w:lineRule="auto"/>
        <w:jc w:val="both"/>
        <w:rPr>
          <w:rFonts w:ascii="Arial" w:eastAsia="Calibri" w:hAnsi="Arial" w:cs="Arial"/>
          <w:sz w:val="22"/>
          <w:szCs w:val="22"/>
        </w:rPr>
      </w:pPr>
    </w:p>
    <w:p w14:paraId="71C5A9FB" w14:textId="77777777" w:rsidR="007B7808" w:rsidRPr="0056141B" w:rsidRDefault="007B7808" w:rsidP="0056141B">
      <w:pPr>
        <w:autoSpaceDE w:val="0"/>
        <w:autoSpaceDN w:val="0"/>
        <w:adjustRightInd w:val="0"/>
        <w:spacing w:line="259" w:lineRule="auto"/>
        <w:jc w:val="both"/>
        <w:rPr>
          <w:rFonts w:ascii="Arial" w:hAnsi="Arial" w:cs="Arial"/>
          <w:b/>
          <w:sz w:val="22"/>
          <w:szCs w:val="22"/>
        </w:rPr>
      </w:pPr>
      <w:r w:rsidRPr="0056141B">
        <w:rPr>
          <w:rFonts w:ascii="Arial" w:hAnsi="Arial" w:cs="Arial"/>
          <w:b/>
          <w:sz w:val="22"/>
          <w:szCs w:val="22"/>
        </w:rPr>
        <w:t>Izvor 5.9.000001 – Pomoći korisnika</w:t>
      </w:r>
    </w:p>
    <w:p w14:paraId="47170575" w14:textId="7AF12ACD" w:rsidR="007B7808" w:rsidRPr="0056141B" w:rsidRDefault="007B7808" w:rsidP="0056141B">
      <w:pPr>
        <w:spacing w:line="259" w:lineRule="auto"/>
        <w:jc w:val="both"/>
        <w:rPr>
          <w:rFonts w:ascii="Arial" w:eastAsia="Calibri" w:hAnsi="Arial" w:cs="Arial"/>
          <w:sz w:val="22"/>
          <w:szCs w:val="22"/>
        </w:rPr>
      </w:pPr>
      <w:r w:rsidRPr="0056141B">
        <w:rPr>
          <w:rFonts w:ascii="Arial" w:hAnsi="Arial" w:cs="Arial"/>
          <w:sz w:val="22"/>
          <w:szCs w:val="22"/>
        </w:rPr>
        <w:t>Prihodi planirani po ovom izvoru iznose</w:t>
      </w:r>
      <w:r w:rsidRPr="0056141B">
        <w:rPr>
          <w:rFonts w:ascii="Arial" w:eastAsia="Calibri" w:hAnsi="Arial" w:cs="Arial"/>
          <w:sz w:val="22"/>
          <w:szCs w:val="22"/>
        </w:rPr>
        <w:t xml:space="preserve"> 295.031,00 EUR od čega: </w:t>
      </w:r>
    </w:p>
    <w:p w14:paraId="59393C55" w14:textId="5EA0C898" w:rsidR="007B7808" w:rsidRPr="0056141B" w:rsidRDefault="007B7808">
      <w:pPr>
        <w:numPr>
          <w:ilvl w:val="0"/>
          <w:numId w:val="6"/>
        </w:numPr>
        <w:spacing w:line="259" w:lineRule="auto"/>
        <w:contextualSpacing/>
        <w:jc w:val="both"/>
        <w:rPr>
          <w:rFonts w:ascii="Arial" w:eastAsia="Calibri" w:hAnsi="Arial" w:cs="Arial"/>
          <w:sz w:val="22"/>
          <w:szCs w:val="22"/>
        </w:rPr>
      </w:pPr>
      <w:r w:rsidRPr="0056141B">
        <w:rPr>
          <w:rFonts w:ascii="Arial" w:eastAsia="Calibri" w:hAnsi="Arial" w:cs="Arial"/>
          <w:sz w:val="22"/>
          <w:szCs w:val="22"/>
        </w:rPr>
        <w:t xml:space="preserve">Osiguranje pomoćnika u nastavi – tekuće pomoći iz proračuna – fondovi a EU - </w:t>
      </w:r>
      <w:r w:rsidRPr="0056141B">
        <w:rPr>
          <w:rFonts w:ascii="Arial" w:eastAsia="Calibri" w:hAnsi="Arial" w:cs="Arial"/>
          <w:sz w:val="22"/>
          <w:szCs w:val="22"/>
          <w:shd w:val="clear" w:color="auto" w:fill="FFFFFF"/>
        </w:rPr>
        <w:t xml:space="preserve"> planirani iznos u I. izmjenama i dopunama za 2025.godinu iznosi 46.050,00 </w:t>
      </w:r>
      <w:r w:rsidRPr="0056141B">
        <w:rPr>
          <w:rFonts w:ascii="Arial" w:eastAsia="Calibri" w:hAnsi="Arial" w:cs="Arial"/>
          <w:sz w:val="22"/>
          <w:szCs w:val="22"/>
        </w:rPr>
        <w:t>EUR</w:t>
      </w:r>
      <w:r w:rsidRPr="0056141B">
        <w:rPr>
          <w:rFonts w:ascii="Arial" w:eastAsia="Calibri" w:hAnsi="Arial" w:cs="Arial"/>
          <w:sz w:val="22"/>
          <w:szCs w:val="22"/>
          <w:shd w:val="clear" w:color="auto" w:fill="FFFFFF"/>
        </w:rPr>
        <w:t xml:space="preserve"> za pet pomoćnika u nastavi.</w:t>
      </w:r>
    </w:p>
    <w:p w14:paraId="03CC7920" w14:textId="7A16273F" w:rsidR="007B7808" w:rsidRPr="0056141B" w:rsidRDefault="007B7808">
      <w:pPr>
        <w:numPr>
          <w:ilvl w:val="0"/>
          <w:numId w:val="6"/>
        </w:numPr>
        <w:spacing w:line="259" w:lineRule="auto"/>
        <w:contextualSpacing/>
        <w:jc w:val="both"/>
        <w:rPr>
          <w:rFonts w:ascii="Arial" w:eastAsia="Calibri" w:hAnsi="Arial" w:cs="Arial"/>
          <w:sz w:val="22"/>
          <w:szCs w:val="22"/>
        </w:rPr>
      </w:pPr>
      <w:r w:rsidRPr="0056141B">
        <w:rPr>
          <w:rFonts w:ascii="Arial" w:eastAsia="Calibri" w:hAnsi="Arial" w:cs="Arial"/>
          <w:sz w:val="22"/>
          <w:szCs w:val="22"/>
        </w:rPr>
        <w:t>Prihodi iz državnog proračuna  - marende za učenike u iznosu od 122.213,00 EUR</w:t>
      </w:r>
    </w:p>
    <w:p w14:paraId="564F77D9" w14:textId="14136837" w:rsidR="007B7808" w:rsidRPr="0056141B" w:rsidRDefault="007B7808">
      <w:pPr>
        <w:numPr>
          <w:ilvl w:val="0"/>
          <w:numId w:val="6"/>
        </w:numPr>
        <w:spacing w:line="259" w:lineRule="auto"/>
        <w:contextualSpacing/>
        <w:jc w:val="both"/>
        <w:rPr>
          <w:rFonts w:ascii="Arial" w:eastAsia="Calibri" w:hAnsi="Arial" w:cs="Arial"/>
          <w:sz w:val="22"/>
          <w:szCs w:val="22"/>
        </w:rPr>
      </w:pPr>
      <w:r w:rsidRPr="0056141B">
        <w:rPr>
          <w:rFonts w:ascii="Arial" w:eastAsia="Calibri" w:hAnsi="Arial" w:cs="Arial"/>
          <w:sz w:val="22"/>
          <w:szCs w:val="22"/>
        </w:rPr>
        <w:t>Prihodi iz državnog proračuna za nabavu menstrualno-higijenskih potrepština za učenice u iznosu od 1.076,00 EUR</w:t>
      </w:r>
    </w:p>
    <w:p w14:paraId="41B594A7" w14:textId="3CF4AA22" w:rsidR="007B7808" w:rsidRPr="0056141B" w:rsidRDefault="007B7808">
      <w:pPr>
        <w:numPr>
          <w:ilvl w:val="0"/>
          <w:numId w:val="6"/>
        </w:numPr>
        <w:spacing w:line="259" w:lineRule="auto"/>
        <w:contextualSpacing/>
        <w:jc w:val="both"/>
        <w:rPr>
          <w:rFonts w:ascii="Arial" w:eastAsia="Calibri" w:hAnsi="Arial" w:cs="Arial"/>
          <w:sz w:val="22"/>
          <w:szCs w:val="22"/>
        </w:rPr>
      </w:pPr>
      <w:r w:rsidRPr="0056141B">
        <w:rPr>
          <w:rFonts w:ascii="Arial" w:eastAsia="Calibri" w:hAnsi="Arial" w:cs="Arial"/>
          <w:sz w:val="22"/>
          <w:szCs w:val="22"/>
        </w:rPr>
        <w:t>Prihodi za financiranje rashoda zaposlenih u produženom boravku od strane Općine Raša iznose 27.505,00 EUR</w:t>
      </w:r>
    </w:p>
    <w:p w14:paraId="6E1495D2" w14:textId="77777777" w:rsidR="007B7808" w:rsidRPr="0056141B" w:rsidRDefault="007B7808">
      <w:pPr>
        <w:numPr>
          <w:ilvl w:val="0"/>
          <w:numId w:val="6"/>
        </w:numPr>
        <w:spacing w:line="259" w:lineRule="auto"/>
        <w:contextualSpacing/>
        <w:jc w:val="both"/>
        <w:rPr>
          <w:rFonts w:ascii="Arial" w:eastAsia="Calibri" w:hAnsi="Arial" w:cs="Arial"/>
          <w:sz w:val="22"/>
          <w:szCs w:val="22"/>
        </w:rPr>
      </w:pPr>
      <w:r w:rsidRPr="0056141B">
        <w:rPr>
          <w:rFonts w:ascii="Arial" w:eastAsia="Calibri" w:hAnsi="Arial" w:cs="Arial"/>
          <w:sz w:val="22"/>
          <w:szCs w:val="22"/>
        </w:rPr>
        <w:t>Prihodi za financiranje rashoda zaposlenih u produženom boravku od strane Općine</w:t>
      </w:r>
    </w:p>
    <w:p w14:paraId="26C47A40" w14:textId="77777777" w:rsidR="007B7808" w:rsidRPr="0056141B" w:rsidRDefault="007B7808">
      <w:pPr>
        <w:numPr>
          <w:ilvl w:val="0"/>
          <w:numId w:val="6"/>
        </w:numPr>
        <w:spacing w:line="259" w:lineRule="auto"/>
        <w:contextualSpacing/>
        <w:jc w:val="both"/>
        <w:rPr>
          <w:rFonts w:ascii="Arial" w:eastAsia="Calibri" w:hAnsi="Arial" w:cs="Arial"/>
          <w:sz w:val="22"/>
          <w:szCs w:val="22"/>
        </w:rPr>
      </w:pPr>
      <w:r w:rsidRPr="0056141B">
        <w:rPr>
          <w:rFonts w:ascii="Arial" w:eastAsia="Calibri" w:hAnsi="Arial" w:cs="Arial"/>
          <w:sz w:val="22"/>
          <w:szCs w:val="22"/>
        </w:rPr>
        <w:t>Sveta Nedjelja iznose 16.742,00 eura – od 01.01.2024. godine</w:t>
      </w:r>
    </w:p>
    <w:p w14:paraId="5A929E86" w14:textId="6CF87ACA" w:rsidR="007B7808" w:rsidRPr="0056141B" w:rsidRDefault="007B7808">
      <w:pPr>
        <w:numPr>
          <w:ilvl w:val="0"/>
          <w:numId w:val="6"/>
        </w:numPr>
        <w:spacing w:line="259" w:lineRule="auto"/>
        <w:contextualSpacing/>
        <w:jc w:val="both"/>
        <w:rPr>
          <w:rFonts w:ascii="Arial" w:eastAsia="Calibri" w:hAnsi="Arial" w:cs="Arial"/>
          <w:sz w:val="22"/>
          <w:szCs w:val="22"/>
        </w:rPr>
      </w:pPr>
      <w:r w:rsidRPr="0056141B">
        <w:rPr>
          <w:rFonts w:ascii="Arial" w:eastAsia="Calibri" w:hAnsi="Arial" w:cs="Arial"/>
          <w:sz w:val="22"/>
          <w:szCs w:val="22"/>
        </w:rPr>
        <w:t xml:space="preserve">Prihodi za financiranje plaće učiteljice produženog boravka u PŠ </w:t>
      </w:r>
      <w:proofErr w:type="spellStart"/>
      <w:r w:rsidRPr="0056141B">
        <w:rPr>
          <w:rFonts w:ascii="Arial" w:eastAsia="Calibri" w:hAnsi="Arial" w:cs="Arial"/>
          <w:sz w:val="22"/>
          <w:szCs w:val="22"/>
        </w:rPr>
        <w:t>Vozilići</w:t>
      </w:r>
      <w:proofErr w:type="spellEnd"/>
      <w:r w:rsidRPr="0056141B">
        <w:rPr>
          <w:rFonts w:ascii="Arial" w:eastAsia="Calibri" w:hAnsi="Arial" w:cs="Arial"/>
          <w:sz w:val="22"/>
          <w:szCs w:val="22"/>
        </w:rPr>
        <w:t xml:space="preserve"> od općine Kršan u iznosu od 32.160,00  EUR</w:t>
      </w:r>
    </w:p>
    <w:p w14:paraId="45D85A23" w14:textId="6D90C3D2" w:rsidR="007B7808" w:rsidRPr="0056141B" w:rsidRDefault="007B7808">
      <w:pPr>
        <w:numPr>
          <w:ilvl w:val="0"/>
          <w:numId w:val="6"/>
        </w:numPr>
        <w:spacing w:line="259" w:lineRule="auto"/>
        <w:contextualSpacing/>
        <w:jc w:val="both"/>
        <w:rPr>
          <w:rFonts w:ascii="Arial" w:eastAsia="Calibri" w:hAnsi="Arial" w:cs="Arial"/>
          <w:sz w:val="22"/>
          <w:szCs w:val="22"/>
        </w:rPr>
      </w:pPr>
      <w:r w:rsidRPr="0056141B">
        <w:rPr>
          <w:rFonts w:ascii="Arial" w:eastAsia="Calibri" w:hAnsi="Arial" w:cs="Arial"/>
          <w:sz w:val="22"/>
          <w:szCs w:val="22"/>
        </w:rPr>
        <w:t xml:space="preserve">Planirani iznos prihoda od strane MZOM-a i AZOO iznosi 45.285,00 EUR od čega će se financirati rashodi nabavke obveznih udžbenika i radnih materijala za školsku godinu 2025/2026.,nabavku </w:t>
      </w:r>
      <w:proofErr w:type="spellStart"/>
      <w:r w:rsidRPr="0056141B">
        <w:rPr>
          <w:rFonts w:ascii="Arial" w:eastAsia="Calibri" w:hAnsi="Arial" w:cs="Arial"/>
          <w:sz w:val="22"/>
          <w:szCs w:val="22"/>
        </w:rPr>
        <w:t>lektirnih</w:t>
      </w:r>
      <w:proofErr w:type="spellEnd"/>
      <w:r w:rsidRPr="0056141B">
        <w:rPr>
          <w:rFonts w:ascii="Arial" w:eastAsia="Calibri" w:hAnsi="Arial" w:cs="Arial"/>
          <w:sz w:val="22"/>
          <w:szCs w:val="22"/>
        </w:rPr>
        <w:t xml:space="preserve"> naslova, financiranje troškova za realizaciju terenske nastave u Spomen-području  Jasenovac.</w:t>
      </w:r>
    </w:p>
    <w:p w14:paraId="1806DA4B" w14:textId="23750404" w:rsidR="007B7808" w:rsidRPr="0056141B" w:rsidRDefault="007B7808">
      <w:pPr>
        <w:numPr>
          <w:ilvl w:val="0"/>
          <w:numId w:val="6"/>
        </w:numPr>
        <w:tabs>
          <w:tab w:val="left" w:pos="851"/>
        </w:tabs>
        <w:spacing w:line="259" w:lineRule="auto"/>
        <w:contextualSpacing/>
        <w:jc w:val="both"/>
        <w:rPr>
          <w:rFonts w:ascii="Arial" w:eastAsia="Calibri" w:hAnsi="Arial" w:cs="Arial"/>
          <w:sz w:val="22"/>
          <w:szCs w:val="22"/>
          <w:shd w:val="clear" w:color="auto" w:fill="FFFFFF"/>
        </w:rPr>
      </w:pPr>
      <w:r w:rsidRPr="0056141B">
        <w:rPr>
          <w:rFonts w:ascii="Arial" w:eastAsia="Calibri" w:hAnsi="Arial" w:cs="Arial"/>
          <w:sz w:val="22"/>
          <w:szCs w:val="22"/>
        </w:rPr>
        <w:t>Prihodi od pomoći županijskog proračuna planirani su u visini od 2.700,00 EUR za financiranje rashoda odlaska učenika i mentora na županijska natjecanja te 1.300,00 EUR za projekt  ''zavičajna nastava''.</w:t>
      </w:r>
      <w:r w:rsidRPr="0056141B">
        <w:rPr>
          <w:rFonts w:ascii="Arial" w:eastAsia="Calibri" w:hAnsi="Arial" w:cs="Arial"/>
          <w:sz w:val="22"/>
          <w:szCs w:val="22"/>
        </w:rPr>
        <w:tab/>
      </w:r>
    </w:p>
    <w:p w14:paraId="59F12019" w14:textId="77777777" w:rsidR="007B7808" w:rsidRPr="0056141B" w:rsidRDefault="007B7808" w:rsidP="0056141B">
      <w:pPr>
        <w:tabs>
          <w:tab w:val="left" w:pos="851"/>
        </w:tabs>
        <w:spacing w:line="259" w:lineRule="auto"/>
        <w:ind w:left="360"/>
        <w:contextualSpacing/>
        <w:jc w:val="both"/>
        <w:rPr>
          <w:rFonts w:ascii="Arial" w:eastAsia="Calibri" w:hAnsi="Arial" w:cs="Arial"/>
          <w:sz w:val="22"/>
          <w:szCs w:val="22"/>
          <w:shd w:val="clear" w:color="auto" w:fill="FFFFFF"/>
        </w:rPr>
      </w:pPr>
    </w:p>
    <w:p w14:paraId="6C31EAF4" w14:textId="77777777" w:rsidR="007B7808" w:rsidRPr="0056141B" w:rsidRDefault="007B7808" w:rsidP="0056141B">
      <w:pPr>
        <w:autoSpaceDE w:val="0"/>
        <w:autoSpaceDN w:val="0"/>
        <w:adjustRightInd w:val="0"/>
        <w:spacing w:line="259" w:lineRule="auto"/>
        <w:jc w:val="both"/>
        <w:rPr>
          <w:rFonts w:ascii="Arial" w:hAnsi="Arial" w:cs="Arial"/>
          <w:b/>
          <w:sz w:val="22"/>
          <w:szCs w:val="22"/>
        </w:rPr>
      </w:pPr>
      <w:r w:rsidRPr="0056141B">
        <w:rPr>
          <w:rFonts w:ascii="Arial" w:hAnsi="Arial" w:cs="Arial"/>
          <w:b/>
          <w:sz w:val="22"/>
          <w:szCs w:val="22"/>
        </w:rPr>
        <w:t>Izvor 6.9.000001 Prihodi od donacija</w:t>
      </w:r>
    </w:p>
    <w:p w14:paraId="520F7A1E" w14:textId="23CA2677" w:rsidR="007B7808" w:rsidRPr="0056141B" w:rsidRDefault="007B7808" w:rsidP="0056141B">
      <w:pPr>
        <w:spacing w:line="259" w:lineRule="auto"/>
        <w:jc w:val="both"/>
        <w:rPr>
          <w:rFonts w:ascii="Arial" w:eastAsia="Calibri" w:hAnsi="Arial" w:cs="Arial"/>
          <w:sz w:val="22"/>
          <w:szCs w:val="22"/>
        </w:rPr>
      </w:pPr>
      <w:r w:rsidRPr="0056141B">
        <w:rPr>
          <w:rFonts w:ascii="Arial" w:hAnsi="Arial" w:cs="Arial"/>
          <w:sz w:val="22"/>
          <w:szCs w:val="22"/>
        </w:rPr>
        <w:t xml:space="preserve">Prihodi od donacija pravnih i fizičkih osoba u I. izmjenama i dopunama za  2025.godinu </w:t>
      </w:r>
      <w:r w:rsidRPr="0056141B">
        <w:rPr>
          <w:rFonts w:ascii="Arial" w:eastAsia="Calibri" w:hAnsi="Arial" w:cs="Arial"/>
          <w:sz w:val="22"/>
          <w:szCs w:val="22"/>
        </w:rPr>
        <w:t xml:space="preserve">iznose 3.500,00 EUR -  što je za 133,33% više od Plana za   2025. godinu. U mjesecu veljači donirane su nam učeničke stolice za blagovaonu,  PŠ </w:t>
      </w:r>
      <w:proofErr w:type="spellStart"/>
      <w:r w:rsidRPr="0056141B">
        <w:rPr>
          <w:rFonts w:ascii="Arial" w:eastAsia="Calibri" w:hAnsi="Arial" w:cs="Arial"/>
          <w:sz w:val="22"/>
          <w:szCs w:val="22"/>
        </w:rPr>
        <w:t>Vinež</w:t>
      </w:r>
      <w:proofErr w:type="spellEnd"/>
      <w:r w:rsidRPr="0056141B">
        <w:rPr>
          <w:rFonts w:ascii="Arial" w:eastAsia="Calibri" w:hAnsi="Arial" w:cs="Arial"/>
          <w:sz w:val="22"/>
          <w:szCs w:val="22"/>
        </w:rPr>
        <w:t xml:space="preserve"> u iznosu od 2.562,50 eura od strane Maslinice  d.o.o. Rabac.</w:t>
      </w:r>
    </w:p>
    <w:p w14:paraId="36CCA4E5" w14:textId="77777777" w:rsidR="007B7808" w:rsidRPr="0056141B" w:rsidRDefault="007B7808" w:rsidP="0056141B">
      <w:pPr>
        <w:spacing w:line="259" w:lineRule="auto"/>
        <w:jc w:val="both"/>
        <w:rPr>
          <w:rFonts w:ascii="Arial" w:eastAsia="Calibri" w:hAnsi="Arial" w:cs="Arial"/>
          <w:sz w:val="22"/>
          <w:szCs w:val="22"/>
        </w:rPr>
      </w:pPr>
      <w:r w:rsidRPr="0056141B">
        <w:rPr>
          <w:rFonts w:ascii="Arial" w:hAnsi="Arial" w:cs="Arial"/>
          <w:sz w:val="22"/>
          <w:szCs w:val="22"/>
        </w:rPr>
        <w:t>Sredstva će se utrošiti sukladno potrebama nesmetanog odvijanja nastavnog procesa.</w:t>
      </w:r>
    </w:p>
    <w:p w14:paraId="63DEB06B" w14:textId="77777777" w:rsidR="007B7808" w:rsidRPr="0056141B" w:rsidRDefault="007B7808" w:rsidP="0056141B">
      <w:pPr>
        <w:spacing w:line="259" w:lineRule="auto"/>
        <w:jc w:val="both"/>
        <w:rPr>
          <w:rFonts w:ascii="Arial" w:eastAsia="Calibri" w:hAnsi="Arial" w:cs="Arial"/>
          <w:b/>
          <w:sz w:val="22"/>
          <w:szCs w:val="22"/>
        </w:rPr>
      </w:pPr>
      <w:r w:rsidRPr="0056141B">
        <w:rPr>
          <w:rFonts w:ascii="Arial" w:eastAsia="Calibri" w:hAnsi="Arial" w:cs="Arial"/>
          <w:b/>
          <w:sz w:val="22"/>
          <w:szCs w:val="22"/>
        </w:rPr>
        <w:t>Izvor 7.9000001 Prihodi od naknada štete</w:t>
      </w:r>
    </w:p>
    <w:p w14:paraId="7122E0CB" w14:textId="318DF466" w:rsidR="007B7808" w:rsidRPr="0056141B" w:rsidRDefault="007B7808" w:rsidP="0056141B">
      <w:pPr>
        <w:spacing w:line="259" w:lineRule="auto"/>
        <w:jc w:val="both"/>
        <w:rPr>
          <w:rFonts w:ascii="Arial" w:eastAsia="Calibri" w:hAnsi="Arial" w:cs="Arial"/>
          <w:sz w:val="22"/>
          <w:szCs w:val="22"/>
        </w:rPr>
      </w:pPr>
      <w:r w:rsidRPr="0056141B">
        <w:rPr>
          <w:rFonts w:ascii="Arial" w:eastAsia="Calibri" w:hAnsi="Arial" w:cs="Arial"/>
          <w:sz w:val="22"/>
          <w:szCs w:val="22"/>
        </w:rPr>
        <w:t xml:space="preserve">Prihodi od naknada šteta </w:t>
      </w:r>
      <w:r w:rsidRPr="0056141B">
        <w:rPr>
          <w:rFonts w:ascii="Arial" w:hAnsi="Arial" w:cs="Arial"/>
          <w:sz w:val="22"/>
          <w:szCs w:val="22"/>
        </w:rPr>
        <w:t xml:space="preserve">u I. izmjenama i dopunama za  2025. godinu </w:t>
      </w:r>
      <w:r w:rsidRPr="0056141B">
        <w:rPr>
          <w:rFonts w:ascii="Arial" w:eastAsia="Calibri" w:hAnsi="Arial" w:cs="Arial"/>
          <w:sz w:val="22"/>
          <w:szCs w:val="22"/>
        </w:rPr>
        <w:t>planirali smo u iznosu od 4.000,00 EUR koji bi se utrošili na hitne intervencije odnosno na usluge tekućeg i investicijskog održavanja. Iznos se nije mijenjao u odnosu na Plan za 2025. godinu.</w:t>
      </w:r>
    </w:p>
    <w:p w14:paraId="6216C979" w14:textId="77777777" w:rsidR="007B7808" w:rsidRDefault="007B7808" w:rsidP="0056141B">
      <w:pPr>
        <w:spacing w:line="259" w:lineRule="auto"/>
        <w:jc w:val="both"/>
        <w:rPr>
          <w:rFonts w:ascii="Arial" w:eastAsia="Calibri" w:hAnsi="Arial" w:cs="Arial"/>
          <w:sz w:val="22"/>
          <w:szCs w:val="22"/>
        </w:rPr>
      </w:pPr>
    </w:p>
    <w:p w14:paraId="12C99117" w14:textId="77777777" w:rsidR="0056141B" w:rsidRDefault="0056141B" w:rsidP="0056141B">
      <w:pPr>
        <w:spacing w:line="259" w:lineRule="auto"/>
        <w:jc w:val="both"/>
        <w:rPr>
          <w:rFonts w:ascii="Arial" w:eastAsia="Calibri" w:hAnsi="Arial" w:cs="Arial"/>
          <w:sz w:val="22"/>
          <w:szCs w:val="22"/>
        </w:rPr>
      </w:pPr>
    </w:p>
    <w:p w14:paraId="1F3C1F5E" w14:textId="77777777" w:rsidR="007B7808" w:rsidRPr="0056141B" w:rsidRDefault="007B7808" w:rsidP="0056141B">
      <w:pPr>
        <w:spacing w:line="259" w:lineRule="auto"/>
        <w:jc w:val="both"/>
        <w:rPr>
          <w:rFonts w:ascii="Arial" w:eastAsia="Calibri" w:hAnsi="Arial" w:cs="Arial"/>
          <w:b/>
          <w:sz w:val="22"/>
          <w:szCs w:val="22"/>
        </w:rPr>
      </w:pPr>
      <w:r w:rsidRPr="0056141B">
        <w:rPr>
          <w:rFonts w:ascii="Arial" w:eastAsia="Calibri" w:hAnsi="Arial" w:cs="Arial"/>
          <w:b/>
          <w:sz w:val="22"/>
          <w:szCs w:val="22"/>
        </w:rPr>
        <w:t>2. OBRAZLOŽENJE POSEBNOG DIJELA PRORAČUNA</w:t>
      </w:r>
    </w:p>
    <w:p w14:paraId="608C2F04" w14:textId="77777777" w:rsidR="007B7808" w:rsidRPr="0056141B" w:rsidRDefault="007B7808" w:rsidP="0056141B">
      <w:pPr>
        <w:spacing w:line="259" w:lineRule="auto"/>
        <w:jc w:val="both"/>
        <w:rPr>
          <w:rFonts w:ascii="Arial" w:eastAsia="Calibri" w:hAnsi="Arial" w:cs="Arial"/>
          <w:b/>
          <w:sz w:val="22"/>
          <w:szCs w:val="22"/>
        </w:rPr>
      </w:pPr>
    </w:p>
    <w:p w14:paraId="7CF48C6F" w14:textId="77777777" w:rsidR="007B7808" w:rsidRPr="0056141B" w:rsidRDefault="007B7808" w:rsidP="0056141B">
      <w:pPr>
        <w:spacing w:line="259" w:lineRule="auto"/>
        <w:jc w:val="both"/>
        <w:rPr>
          <w:rFonts w:ascii="Arial" w:eastAsia="Calibri" w:hAnsi="Arial" w:cs="Arial"/>
          <w:b/>
          <w:sz w:val="22"/>
          <w:szCs w:val="22"/>
        </w:rPr>
      </w:pPr>
      <w:r w:rsidRPr="0056141B">
        <w:rPr>
          <w:rFonts w:ascii="Arial" w:eastAsia="Calibri" w:hAnsi="Arial" w:cs="Arial"/>
          <w:b/>
          <w:sz w:val="22"/>
          <w:szCs w:val="22"/>
        </w:rPr>
        <w:t xml:space="preserve">SAŽETAK DJELOKRUGA RADA PRORAČUNSKOG KORISNIKA </w:t>
      </w:r>
    </w:p>
    <w:p w14:paraId="4CBC7250" w14:textId="77777777" w:rsidR="007B7808" w:rsidRDefault="007B7808" w:rsidP="0056141B">
      <w:pPr>
        <w:spacing w:line="259" w:lineRule="auto"/>
        <w:jc w:val="both"/>
        <w:rPr>
          <w:rFonts w:ascii="Arial" w:eastAsia="Arial" w:hAnsi="Arial" w:cs="Arial"/>
          <w:b/>
          <w:sz w:val="22"/>
          <w:szCs w:val="22"/>
        </w:rPr>
      </w:pPr>
      <w:r w:rsidRPr="0056141B">
        <w:rPr>
          <w:rFonts w:ascii="Arial" w:eastAsia="Arial" w:hAnsi="Arial" w:cs="Arial"/>
          <w:b/>
          <w:sz w:val="22"/>
          <w:szCs w:val="22"/>
        </w:rPr>
        <w:t>Obrazloženje</w:t>
      </w:r>
    </w:p>
    <w:p w14:paraId="5672ECBC" w14:textId="77777777" w:rsidR="0056141B" w:rsidRPr="0056141B" w:rsidRDefault="0056141B" w:rsidP="0056141B">
      <w:pPr>
        <w:spacing w:line="259" w:lineRule="auto"/>
        <w:jc w:val="both"/>
        <w:rPr>
          <w:rFonts w:ascii="Arial" w:eastAsia="Arial" w:hAnsi="Arial" w:cs="Arial"/>
          <w:b/>
          <w:sz w:val="22"/>
          <w:szCs w:val="22"/>
        </w:rPr>
      </w:pPr>
    </w:p>
    <w:p w14:paraId="747A47CB" w14:textId="11F0CF2D" w:rsidR="007B7808" w:rsidRPr="0056141B" w:rsidRDefault="007B7808" w:rsidP="0056141B">
      <w:pPr>
        <w:spacing w:line="259" w:lineRule="auto"/>
        <w:jc w:val="both"/>
        <w:rPr>
          <w:rFonts w:ascii="Arial" w:hAnsi="Arial" w:cs="Arial"/>
          <w:sz w:val="22"/>
          <w:szCs w:val="22"/>
          <w:u w:val="single"/>
          <w:lang w:val="en-GB"/>
        </w:rPr>
      </w:pPr>
      <w:r w:rsidRPr="0056141B">
        <w:rPr>
          <w:rFonts w:ascii="Arial" w:eastAsia="Arial" w:hAnsi="Arial" w:cs="Arial"/>
          <w:b/>
          <w:sz w:val="22"/>
          <w:szCs w:val="22"/>
        </w:rPr>
        <w:t>Zakonska osnova:</w:t>
      </w:r>
      <w:r w:rsidRPr="0056141B">
        <w:rPr>
          <w:rFonts w:ascii="Arial" w:eastAsia="Calibri" w:hAnsi="Arial" w:cs="Arial"/>
          <w:sz w:val="22"/>
          <w:szCs w:val="22"/>
        </w:rPr>
        <w:t xml:space="preserve"> </w:t>
      </w:r>
      <w:r w:rsidRPr="0056141B">
        <w:rPr>
          <w:rFonts w:ascii="Arial" w:eastAsia="Calibri" w:hAnsi="Arial" w:cs="Arial"/>
          <w:b/>
          <w:sz w:val="22"/>
          <w:szCs w:val="22"/>
        </w:rPr>
        <w:t>Zakonske odredbe</w:t>
      </w:r>
      <w:r w:rsidRPr="0056141B">
        <w:rPr>
          <w:rFonts w:ascii="Arial" w:hAnsi="Arial" w:cs="Arial"/>
          <w:sz w:val="22"/>
          <w:szCs w:val="22"/>
          <w:u w:val="single"/>
          <w:lang w:val="en-GB"/>
        </w:rPr>
        <w:t xml:space="preserve"> </w:t>
      </w:r>
    </w:p>
    <w:p w14:paraId="122123B2" w14:textId="77777777" w:rsidR="007B7808" w:rsidRPr="0056141B" w:rsidRDefault="007B7808" w:rsidP="0056141B">
      <w:pPr>
        <w:spacing w:line="259" w:lineRule="auto"/>
        <w:jc w:val="both"/>
        <w:rPr>
          <w:rFonts w:ascii="Arial" w:eastAsia="Calibri" w:hAnsi="Arial" w:cs="Arial"/>
          <w:sz w:val="22"/>
          <w:szCs w:val="22"/>
        </w:rPr>
      </w:pPr>
      <w:r w:rsidRPr="0056141B">
        <w:rPr>
          <w:rFonts w:ascii="Arial" w:eastAsia="Calibri" w:hAnsi="Arial" w:cs="Arial"/>
          <w:sz w:val="22"/>
          <w:szCs w:val="22"/>
        </w:rPr>
        <w:lastRenderedPageBreak/>
        <w:t>Zakon  o odgoju i obrazovanju  u osnovnoj i srednjoj školi („Narodne novine“, br. 87/08, 86/09,  92/10, 105/10, 90/11, 5/12, 16/12, 86/12, 94/13, 136/14,   152/14, 7/17.68/18,98/19,64/20.), Zakon o ustanovama, („Narodne novine“, br. 76/93, 29/97, 47/99, 35/08,127/19),  Zakon o proračunu („Narodne novine“, br. 87/08, 136/12, 15/15, 144/21), Pravilnik o proračunskim klasifikacijama („Narodne novine“, br. 26/10, 120/13,01/20.) i Pravilnik o proračunskom  računovodstvu i računskom planu („Narodne novine“, br. 124/14, 115/15, 87/16 3/18 i 126/19, 108/2020, 158/23), Pravilnik o utvrđivanju proračunskih i izvanproračunskih korisnika državnog proračuna i proračunskih i izvanproračunskih korisnika proračuna jedinica lokalne i  područne (regionalni) samouprave te o načinu vođenja  registra (NN 128/09,142/14,23/19), Zakon o fiskalnoj odgovornosti (NN 139/10,19/14,111/18),Uredba o sastavljanju i predaji Izjave o fiskalnoj odgovornosti i  izvještaja o  primjeni fiskalnih pravila  (NN, 78/11,106/12,130/13,19/15,119/15,95/19),</w:t>
      </w:r>
    </w:p>
    <w:p w14:paraId="1C631B57" w14:textId="77777777" w:rsidR="007B7808" w:rsidRPr="0056141B" w:rsidRDefault="007B7808" w:rsidP="0056141B">
      <w:pPr>
        <w:spacing w:line="259" w:lineRule="auto"/>
        <w:jc w:val="both"/>
        <w:rPr>
          <w:rFonts w:ascii="Arial" w:eastAsia="Calibri" w:hAnsi="Arial" w:cs="Arial"/>
          <w:sz w:val="22"/>
          <w:szCs w:val="22"/>
        </w:rPr>
      </w:pPr>
      <w:r w:rsidRPr="0056141B">
        <w:rPr>
          <w:rFonts w:ascii="Arial" w:eastAsia="Calibri" w:hAnsi="Arial" w:cs="Arial"/>
          <w:sz w:val="22"/>
          <w:szCs w:val="22"/>
        </w:rPr>
        <w:t>Godišnji izvedbeni odgojno-obrazovni plan i program rada za školsku godinu 2024/2025.(GPP) donesen je  04.10.2024.godine.</w:t>
      </w:r>
    </w:p>
    <w:p w14:paraId="211C8A83" w14:textId="77777777" w:rsidR="007B7808" w:rsidRPr="0056141B" w:rsidRDefault="007B7808" w:rsidP="0056141B">
      <w:pPr>
        <w:spacing w:line="259" w:lineRule="auto"/>
        <w:jc w:val="both"/>
        <w:rPr>
          <w:rFonts w:ascii="Arial" w:eastAsia="Calibri" w:hAnsi="Arial" w:cs="Arial"/>
          <w:sz w:val="22"/>
          <w:szCs w:val="22"/>
        </w:rPr>
      </w:pPr>
      <w:r w:rsidRPr="0056141B">
        <w:rPr>
          <w:rFonts w:ascii="Arial" w:eastAsia="Calibri" w:hAnsi="Arial" w:cs="Arial"/>
          <w:sz w:val="22"/>
          <w:szCs w:val="22"/>
        </w:rPr>
        <w:t>Školski  kurikulum OŠ «Ivo Lola Ribar» Labin, nastavne i izvannastavne aktivnosti za šk.god.2024/2025.</w:t>
      </w:r>
    </w:p>
    <w:p w14:paraId="5EFA7604" w14:textId="77777777" w:rsidR="007B7808" w:rsidRPr="0056141B" w:rsidRDefault="007B7808" w:rsidP="0056141B">
      <w:pPr>
        <w:spacing w:line="259" w:lineRule="auto"/>
        <w:jc w:val="both"/>
        <w:rPr>
          <w:rFonts w:ascii="Arial" w:eastAsia="Calibri" w:hAnsi="Arial" w:cs="Arial"/>
          <w:sz w:val="22"/>
          <w:szCs w:val="22"/>
        </w:rPr>
      </w:pPr>
      <w:r w:rsidRPr="0056141B">
        <w:rPr>
          <w:rFonts w:ascii="Arial" w:eastAsia="Calibri" w:hAnsi="Arial" w:cs="Arial"/>
          <w:sz w:val="22"/>
          <w:szCs w:val="22"/>
        </w:rPr>
        <w:t>Državni pedagoški standard osnovnoškolskog sustava odgoja i obrazovanja („Narodne novine“, br.63/08 i 90/10) - Nacionalni okvirni kurikulum za predškolski odgoj i obrazovanje te opće obvezno i srednjoškolsko obrazovanje 2011.</w:t>
      </w:r>
    </w:p>
    <w:p w14:paraId="498E5AA8" w14:textId="77777777" w:rsidR="007B7808" w:rsidRPr="0056141B" w:rsidRDefault="007B7808" w:rsidP="0056141B">
      <w:pPr>
        <w:spacing w:line="259" w:lineRule="auto"/>
        <w:jc w:val="both"/>
        <w:rPr>
          <w:rFonts w:ascii="Arial" w:eastAsia="Arial" w:hAnsi="Arial" w:cs="Arial"/>
          <w:sz w:val="22"/>
          <w:szCs w:val="22"/>
        </w:rPr>
      </w:pPr>
      <w:r w:rsidRPr="0056141B">
        <w:rPr>
          <w:rFonts w:ascii="Arial" w:eastAsia="Arial" w:hAnsi="Arial" w:cs="Arial"/>
          <w:sz w:val="22"/>
          <w:szCs w:val="22"/>
        </w:rPr>
        <w:t>Temeljni kolektivni ugovor za zaposlenike u javnim službama od 01.03.2024. godine – N.N.br. 29/2024.</w:t>
      </w:r>
    </w:p>
    <w:p w14:paraId="7538CBC0" w14:textId="77777777" w:rsidR="007B7808" w:rsidRPr="0056141B" w:rsidRDefault="007B7808" w:rsidP="0056141B">
      <w:pPr>
        <w:spacing w:line="259" w:lineRule="auto"/>
        <w:jc w:val="both"/>
        <w:rPr>
          <w:rFonts w:ascii="Arial" w:eastAsia="Arial" w:hAnsi="Arial" w:cs="Arial"/>
          <w:sz w:val="22"/>
          <w:szCs w:val="22"/>
        </w:rPr>
      </w:pPr>
    </w:p>
    <w:p w14:paraId="168B9390" w14:textId="541CDD20" w:rsidR="007B7808" w:rsidRPr="0056141B" w:rsidRDefault="007B7808" w:rsidP="0056141B">
      <w:pPr>
        <w:spacing w:line="259" w:lineRule="auto"/>
        <w:jc w:val="both"/>
        <w:rPr>
          <w:rFonts w:ascii="Arial" w:eastAsia="Arial" w:hAnsi="Arial" w:cs="Arial"/>
          <w:b/>
          <w:sz w:val="22"/>
          <w:szCs w:val="22"/>
        </w:rPr>
      </w:pPr>
      <w:r w:rsidRPr="0056141B">
        <w:rPr>
          <w:rFonts w:ascii="Arial" w:eastAsia="Arial" w:hAnsi="Arial" w:cs="Arial"/>
          <w:b/>
          <w:sz w:val="22"/>
          <w:szCs w:val="22"/>
        </w:rPr>
        <w:t>Program: OBRAZOVANJE</w:t>
      </w:r>
    </w:p>
    <w:p w14:paraId="7C45CA85" w14:textId="77777777" w:rsidR="007B7808" w:rsidRPr="0056141B" w:rsidRDefault="007B7808" w:rsidP="0056141B">
      <w:pPr>
        <w:spacing w:line="259" w:lineRule="auto"/>
        <w:jc w:val="both"/>
        <w:rPr>
          <w:rFonts w:ascii="Arial" w:eastAsia="Arial" w:hAnsi="Arial" w:cs="Arial"/>
          <w:sz w:val="22"/>
          <w:szCs w:val="22"/>
        </w:rPr>
      </w:pPr>
      <w:r w:rsidRPr="0056141B">
        <w:rPr>
          <w:rFonts w:ascii="Arial" w:eastAsia="Arial" w:hAnsi="Arial" w:cs="Arial"/>
          <w:sz w:val="22"/>
          <w:szCs w:val="22"/>
        </w:rPr>
        <w:t>Djelatnost školske ustanove je osnovno školovanje djece. Osnovno školovanje ostvaruje se na temelju nastavnog plana i programa, te kurikuluma školske ustanove. Programom se utvrđuje obvezatni i izborni predmeti. Osim tih predmeta djelatnost školske ustanove obuhvaća i posebne oblike odgojno-obrazovnog rada (dodatna i dopunska nastava) te izvannastavne i izvanškolske aktivnosti. U školi se također provode i ostali programi koji omogućavaju  poboljšavaju kvalitetniji boravak učenika kao što je produženi boravak i razne druge tematske radionice za učenika .</w:t>
      </w:r>
    </w:p>
    <w:p w14:paraId="1C775C49" w14:textId="77777777" w:rsidR="007B7808" w:rsidRPr="0056141B" w:rsidRDefault="007B7808" w:rsidP="0056141B">
      <w:pPr>
        <w:spacing w:line="259" w:lineRule="auto"/>
        <w:jc w:val="both"/>
        <w:rPr>
          <w:rFonts w:ascii="Arial" w:eastAsia="Arial" w:hAnsi="Arial" w:cs="Arial"/>
          <w:sz w:val="22"/>
          <w:szCs w:val="22"/>
        </w:rPr>
      </w:pPr>
      <w:r w:rsidRPr="0056141B">
        <w:rPr>
          <w:rFonts w:ascii="Arial" w:eastAsia="Arial" w:hAnsi="Arial" w:cs="Arial"/>
          <w:sz w:val="22"/>
          <w:szCs w:val="22"/>
        </w:rPr>
        <w:t>Nastava se odvija u  petodnevnom radnom tjednu u jednoj smjeni- jutarnjoj.</w:t>
      </w:r>
    </w:p>
    <w:p w14:paraId="2A1C1BB0" w14:textId="77777777" w:rsidR="007B7808" w:rsidRPr="0056141B" w:rsidRDefault="007B7808" w:rsidP="0056141B">
      <w:pPr>
        <w:spacing w:line="259" w:lineRule="auto"/>
        <w:jc w:val="both"/>
        <w:rPr>
          <w:rFonts w:ascii="Arial" w:eastAsia="Calibri" w:hAnsi="Arial" w:cs="Arial"/>
          <w:sz w:val="22"/>
          <w:szCs w:val="22"/>
        </w:rPr>
      </w:pPr>
      <w:r w:rsidRPr="0056141B">
        <w:rPr>
          <w:rFonts w:ascii="Arial" w:eastAsia="Calibri" w:hAnsi="Arial" w:cs="Arial"/>
          <w:sz w:val="22"/>
          <w:szCs w:val="22"/>
        </w:rPr>
        <w:t xml:space="preserve">Ove školske godine  u školsku ustanovu   upisano  je 503 učenika u 26 razrednih odjela  u  tri područne škole i matičnu zgradu (matična zgrada 1.-8.razreda 334 učenika, PŠ </w:t>
      </w:r>
      <w:proofErr w:type="spellStart"/>
      <w:r w:rsidRPr="0056141B">
        <w:rPr>
          <w:rFonts w:ascii="Arial" w:eastAsia="Calibri" w:hAnsi="Arial" w:cs="Arial"/>
          <w:sz w:val="22"/>
          <w:szCs w:val="22"/>
        </w:rPr>
        <w:t>Kature</w:t>
      </w:r>
      <w:proofErr w:type="spellEnd"/>
      <w:r w:rsidRPr="0056141B">
        <w:rPr>
          <w:rFonts w:ascii="Arial" w:eastAsia="Calibri" w:hAnsi="Arial" w:cs="Arial"/>
          <w:sz w:val="22"/>
          <w:szCs w:val="22"/>
        </w:rPr>
        <w:t xml:space="preserve"> 1.-4. razreda  81 učenika, PŠ </w:t>
      </w:r>
      <w:proofErr w:type="spellStart"/>
      <w:r w:rsidRPr="0056141B">
        <w:rPr>
          <w:rFonts w:ascii="Arial" w:eastAsia="Calibri" w:hAnsi="Arial" w:cs="Arial"/>
          <w:sz w:val="22"/>
          <w:szCs w:val="22"/>
        </w:rPr>
        <w:t>Vinež</w:t>
      </w:r>
      <w:proofErr w:type="spellEnd"/>
      <w:r w:rsidRPr="0056141B">
        <w:rPr>
          <w:rFonts w:ascii="Arial" w:eastAsia="Calibri" w:hAnsi="Arial" w:cs="Arial"/>
          <w:sz w:val="22"/>
          <w:szCs w:val="22"/>
        </w:rPr>
        <w:t xml:space="preserve"> 1.-4. razreda 59 učenika i PŠ </w:t>
      </w:r>
      <w:proofErr w:type="spellStart"/>
      <w:r w:rsidRPr="0056141B">
        <w:rPr>
          <w:rFonts w:ascii="Arial" w:eastAsia="Calibri" w:hAnsi="Arial" w:cs="Arial"/>
          <w:sz w:val="22"/>
          <w:szCs w:val="22"/>
        </w:rPr>
        <w:t>Vozilići</w:t>
      </w:r>
      <w:proofErr w:type="spellEnd"/>
      <w:r w:rsidRPr="0056141B">
        <w:rPr>
          <w:rFonts w:ascii="Arial" w:eastAsia="Calibri" w:hAnsi="Arial" w:cs="Arial"/>
          <w:sz w:val="22"/>
          <w:szCs w:val="22"/>
        </w:rPr>
        <w:t xml:space="preserve"> u </w:t>
      </w:r>
      <w:proofErr w:type="spellStart"/>
      <w:r w:rsidRPr="0056141B">
        <w:rPr>
          <w:rFonts w:ascii="Arial" w:eastAsia="Calibri" w:hAnsi="Arial" w:cs="Arial"/>
          <w:sz w:val="22"/>
          <w:szCs w:val="22"/>
        </w:rPr>
        <w:t>kombinacij</w:t>
      </w:r>
      <w:proofErr w:type="spellEnd"/>
      <w:r w:rsidRPr="0056141B">
        <w:rPr>
          <w:rFonts w:ascii="Arial" w:eastAsia="Calibri" w:hAnsi="Arial" w:cs="Arial"/>
          <w:sz w:val="22"/>
          <w:szCs w:val="22"/>
        </w:rPr>
        <w:t xml:space="preserve"> - 29 učenika - u odnosu na školsku godinu 2023/24. upisano je 32 učenika manje. </w:t>
      </w:r>
    </w:p>
    <w:p w14:paraId="135EE723" w14:textId="77777777" w:rsidR="007B7808" w:rsidRPr="0056141B" w:rsidRDefault="007B7808" w:rsidP="0056141B">
      <w:pPr>
        <w:spacing w:line="259" w:lineRule="auto"/>
        <w:jc w:val="both"/>
        <w:rPr>
          <w:rFonts w:ascii="Arial" w:eastAsia="Calibri" w:hAnsi="Arial" w:cs="Arial"/>
          <w:sz w:val="22"/>
          <w:szCs w:val="22"/>
        </w:rPr>
      </w:pPr>
      <w:r w:rsidRPr="0056141B">
        <w:rPr>
          <w:rFonts w:ascii="Arial" w:eastAsia="Calibri" w:hAnsi="Arial" w:cs="Arial"/>
          <w:sz w:val="22"/>
          <w:szCs w:val="22"/>
        </w:rPr>
        <w:t>Ukupan broj zaposlenih u školskoj ustanovi je cca 84-85 djelatnika.  Plaće za 68 djelatnika  isplaćuju se iz Državnog proračuna, za 10 djelatnika  isplaćuju se iz sredstava Grada Labina, Općine Raša, Općine Kršan i uplata roditelja za produženi boravak te za  pet pomoćnika iz  proračuna Grada Labina. Kod obračuna plaće uzimaju se u obzir različiti koeficijenti među djelatnicima, a također dio djelatnika nije zaposlen u punom radnom vremenu.</w:t>
      </w:r>
    </w:p>
    <w:p w14:paraId="3AD5E608" w14:textId="77777777" w:rsidR="007B7808" w:rsidRDefault="007B7808" w:rsidP="0056141B">
      <w:pPr>
        <w:spacing w:line="259" w:lineRule="auto"/>
        <w:jc w:val="both"/>
        <w:rPr>
          <w:rFonts w:ascii="Arial" w:eastAsia="Calibri" w:hAnsi="Arial" w:cs="Arial"/>
          <w:sz w:val="22"/>
          <w:szCs w:val="22"/>
        </w:rPr>
      </w:pPr>
    </w:p>
    <w:p w14:paraId="3AE6A336" w14:textId="77777777" w:rsidR="007B7808" w:rsidRPr="0056141B" w:rsidRDefault="007B7808" w:rsidP="0056141B">
      <w:pPr>
        <w:spacing w:line="259" w:lineRule="auto"/>
        <w:jc w:val="both"/>
        <w:rPr>
          <w:rFonts w:ascii="Arial" w:eastAsia="Arial" w:hAnsi="Arial" w:cs="Arial"/>
          <w:b/>
          <w:sz w:val="22"/>
          <w:szCs w:val="22"/>
        </w:rPr>
      </w:pPr>
      <w:r w:rsidRPr="0056141B">
        <w:rPr>
          <w:rFonts w:ascii="Arial" w:eastAsia="Arial" w:hAnsi="Arial" w:cs="Arial"/>
          <w:b/>
          <w:sz w:val="22"/>
          <w:szCs w:val="22"/>
        </w:rPr>
        <w:t>Opis i cilj programa:</w:t>
      </w:r>
    </w:p>
    <w:p w14:paraId="31B8CD7C" w14:textId="0FE57C85" w:rsidR="007B7808" w:rsidRPr="0056141B" w:rsidRDefault="007B7808" w:rsidP="0056141B">
      <w:pPr>
        <w:spacing w:line="259" w:lineRule="auto"/>
        <w:jc w:val="both"/>
        <w:rPr>
          <w:rFonts w:ascii="Arial" w:eastAsia="Calibri" w:hAnsi="Arial" w:cs="Arial"/>
          <w:sz w:val="22"/>
          <w:szCs w:val="22"/>
        </w:rPr>
      </w:pPr>
      <w:r w:rsidRPr="0056141B">
        <w:rPr>
          <w:rFonts w:ascii="Arial" w:eastAsia="Arial" w:hAnsi="Arial" w:cs="Arial"/>
          <w:b/>
          <w:sz w:val="22"/>
          <w:szCs w:val="22"/>
        </w:rPr>
        <w:t xml:space="preserve"> </w:t>
      </w:r>
      <w:r w:rsidRPr="0056141B">
        <w:rPr>
          <w:rFonts w:ascii="Arial" w:eastAsia="Calibri" w:hAnsi="Arial" w:cs="Arial"/>
          <w:sz w:val="22"/>
          <w:szCs w:val="22"/>
        </w:rPr>
        <w:t>Cilj programa je osposobiti učenike za postizanje što boljih i kvalitetnijih rezultata tijekom školske godine, usmjeriti ih da streme ka znanju, uspjehu i konkurentnosti, pružiti im mogućnost daljnjeg nastavka školovanja, odnosno usaditi im ljubav prema učenju i usvajanju novih znanja a što će ostati u njima kao trajna vrijednost. Cilj je i omogućiti učenicima i polaznicima sudjelovanje na regionalnim, državnim i međunarodnim natjecanjima, projektima Grada Labina i susjednih   općina .</w:t>
      </w:r>
    </w:p>
    <w:p w14:paraId="19AFE03F" w14:textId="77777777" w:rsidR="007B7808" w:rsidRPr="0056141B" w:rsidRDefault="007B7808" w:rsidP="0056141B">
      <w:pPr>
        <w:spacing w:line="259" w:lineRule="auto"/>
        <w:jc w:val="both"/>
        <w:rPr>
          <w:rFonts w:ascii="Arial" w:eastAsia="Arial" w:hAnsi="Arial" w:cs="Arial"/>
          <w:sz w:val="22"/>
          <w:szCs w:val="22"/>
        </w:rPr>
      </w:pPr>
    </w:p>
    <w:p w14:paraId="7FD04922" w14:textId="77777777" w:rsidR="00393A56" w:rsidRDefault="00393A56" w:rsidP="0056141B">
      <w:pPr>
        <w:spacing w:line="259" w:lineRule="auto"/>
        <w:jc w:val="both"/>
        <w:rPr>
          <w:rFonts w:ascii="Arial" w:eastAsia="Arial" w:hAnsi="Arial" w:cs="Arial"/>
          <w:b/>
          <w:sz w:val="22"/>
          <w:szCs w:val="22"/>
        </w:rPr>
      </w:pPr>
    </w:p>
    <w:p w14:paraId="38BB966F" w14:textId="77777777" w:rsidR="00393A56" w:rsidRDefault="00393A56" w:rsidP="0056141B">
      <w:pPr>
        <w:spacing w:line="259" w:lineRule="auto"/>
        <w:jc w:val="both"/>
        <w:rPr>
          <w:rFonts w:ascii="Arial" w:eastAsia="Arial" w:hAnsi="Arial" w:cs="Arial"/>
          <w:b/>
          <w:sz w:val="22"/>
          <w:szCs w:val="22"/>
        </w:rPr>
      </w:pPr>
    </w:p>
    <w:p w14:paraId="25653CC0" w14:textId="7492A472" w:rsidR="00393A56" w:rsidRDefault="007B7808" w:rsidP="0056141B">
      <w:pPr>
        <w:spacing w:line="259" w:lineRule="auto"/>
        <w:jc w:val="both"/>
        <w:rPr>
          <w:rFonts w:ascii="Arial" w:eastAsia="Arial" w:hAnsi="Arial" w:cs="Arial"/>
          <w:sz w:val="22"/>
          <w:szCs w:val="22"/>
        </w:rPr>
      </w:pPr>
      <w:r w:rsidRPr="0056141B">
        <w:rPr>
          <w:rFonts w:ascii="Arial" w:eastAsia="Arial" w:hAnsi="Arial" w:cs="Arial"/>
          <w:b/>
          <w:sz w:val="22"/>
          <w:szCs w:val="22"/>
        </w:rPr>
        <w:lastRenderedPageBreak/>
        <w:t>Planirana  sredstva:</w:t>
      </w:r>
      <w:r w:rsidRPr="0056141B">
        <w:rPr>
          <w:rFonts w:ascii="Arial" w:eastAsia="Arial" w:hAnsi="Arial" w:cs="Arial"/>
          <w:sz w:val="22"/>
          <w:szCs w:val="22"/>
        </w:rPr>
        <w:t xml:space="preserve"> </w:t>
      </w:r>
    </w:p>
    <w:p w14:paraId="3777265A" w14:textId="7301C165" w:rsidR="007B7808" w:rsidRPr="0056141B" w:rsidRDefault="007B7808" w:rsidP="0056141B">
      <w:pPr>
        <w:spacing w:line="259" w:lineRule="auto"/>
        <w:jc w:val="both"/>
        <w:rPr>
          <w:rFonts w:ascii="Arial" w:eastAsia="Calibri" w:hAnsi="Arial" w:cs="Arial"/>
          <w:sz w:val="22"/>
          <w:szCs w:val="22"/>
        </w:rPr>
      </w:pPr>
      <w:r w:rsidRPr="0056141B">
        <w:rPr>
          <w:rFonts w:ascii="Arial" w:eastAsia="Calibri" w:hAnsi="Arial" w:cs="Arial"/>
          <w:sz w:val="22"/>
          <w:szCs w:val="22"/>
        </w:rPr>
        <w:t>Za potrebe izvršenja aktivnosti ovog programa u I. izmjenama i dopunama za 2025. godinu planirano je ukupno</w:t>
      </w:r>
      <w:r w:rsidRPr="0056141B">
        <w:rPr>
          <w:rFonts w:ascii="Arial" w:eastAsia="Calibri" w:hAnsi="Arial" w:cs="Arial"/>
          <w:b/>
          <w:sz w:val="22"/>
          <w:szCs w:val="22"/>
        </w:rPr>
        <w:t xml:space="preserve"> </w:t>
      </w:r>
      <w:r w:rsidRPr="0056141B">
        <w:rPr>
          <w:rFonts w:ascii="Arial" w:eastAsia="Calibri" w:hAnsi="Arial" w:cs="Arial"/>
          <w:sz w:val="22"/>
          <w:szCs w:val="22"/>
        </w:rPr>
        <w:t>2.971.134,00 EUR.</w:t>
      </w:r>
    </w:p>
    <w:p w14:paraId="71072462" w14:textId="77777777" w:rsidR="007B7808" w:rsidRPr="0056141B" w:rsidRDefault="007B7808" w:rsidP="0056141B">
      <w:pPr>
        <w:spacing w:line="259" w:lineRule="auto"/>
        <w:jc w:val="both"/>
        <w:rPr>
          <w:rFonts w:ascii="Arial" w:eastAsia="Calibri" w:hAnsi="Arial" w:cs="Arial"/>
          <w:b/>
          <w:sz w:val="22"/>
          <w:szCs w:val="22"/>
          <w:u w:val="single"/>
        </w:rPr>
      </w:pPr>
    </w:p>
    <w:p w14:paraId="3A0BADB3" w14:textId="77777777" w:rsidR="007B7808" w:rsidRPr="0056141B" w:rsidRDefault="007B7808" w:rsidP="0056141B">
      <w:pPr>
        <w:spacing w:line="259" w:lineRule="auto"/>
        <w:jc w:val="both"/>
        <w:rPr>
          <w:rFonts w:ascii="Arial" w:eastAsia="Calibri" w:hAnsi="Arial" w:cs="Arial"/>
          <w:sz w:val="22"/>
          <w:szCs w:val="22"/>
        </w:rPr>
      </w:pPr>
      <w:r w:rsidRPr="0056141B">
        <w:rPr>
          <w:rFonts w:ascii="Arial" w:eastAsia="Calibri" w:hAnsi="Arial" w:cs="Arial"/>
          <w:b/>
          <w:sz w:val="22"/>
          <w:szCs w:val="22"/>
        </w:rPr>
        <w:t xml:space="preserve">Pokazatelji uspješnosti </w:t>
      </w:r>
      <w:r w:rsidRPr="0056141B">
        <w:rPr>
          <w:rFonts w:ascii="Arial" w:eastAsia="Calibri" w:hAnsi="Arial" w:cs="Arial"/>
          <w:sz w:val="22"/>
          <w:szCs w:val="22"/>
        </w:rPr>
        <w:t>:  su uspjeh učenika na kraju nastavne godine i sudjelovanje, kao i postignuti rezultati učenika na brojnim županijskim i državnim natjecanjima iz područja: kulture, sporta i obrazovanja, tehničke kulture itd. - isti se dostavljaju gradskoj upravi na uvid svake godine na kraju školske godine.</w:t>
      </w:r>
    </w:p>
    <w:p w14:paraId="6D138DA8" w14:textId="77777777" w:rsidR="007B7808" w:rsidRPr="0056141B" w:rsidRDefault="007B7808" w:rsidP="0056141B">
      <w:pPr>
        <w:spacing w:line="259" w:lineRule="auto"/>
        <w:jc w:val="both"/>
        <w:rPr>
          <w:rFonts w:ascii="Arial" w:eastAsia="Calibri" w:hAnsi="Arial" w:cs="Arial"/>
          <w:sz w:val="22"/>
          <w:szCs w:val="22"/>
        </w:rPr>
      </w:pPr>
      <w:r w:rsidRPr="0056141B">
        <w:rPr>
          <w:rFonts w:ascii="Arial" w:eastAsia="Calibri" w:hAnsi="Arial" w:cs="Arial"/>
          <w:sz w:val="22"/>
          <w:szCs w:val="22"/>
        </w:rPr>
        <w:t xml:space="preserve">Rizici su eventualni nedostatak sredstava za realizaciju planiranih programa i aktivnosti i otežani uvjeti za izvođenje nastavnog procesa. </w:t>
      </w:r>
    </w:p>
    <w:p w14:paraId="222E59DF" w14:textId="77777777" w:rsidR="007B7808" w:rsidRPr="0056141B" w:rsidRDefault="007B7808" w:rsidP="0056141B">
      <w:pPr>
        <w:spacing w:line="259" w:lineRule="auto"/>
        <w:jc w:val="both"/>
        <w:rPr>
          <w:rFonts w:ascii="Arial" w:eastAsia="Calibri" w:hAnsi="Arial" w:cs="Arial"/>
          <w:sz w:val="22"/>
          <w:szCs w:val="22"/>
        </w:rPr>
      </w:pPr>
      <w:r w:rsidRPr="0056141B">
        <w:rPr>
          <w:rFonts w:ascii="Arial" w:eastAsia="Calibri" w:hAnsi="Arial" w:cs="Arial"/>
          <w:sz w:val="22"/>
          <w:szCs w:val="22"/>
        </w:rPr>
        <w:t>Neprovođenjem ili djelomičnim provođenjem ovakvih programa i aktivnosti dovodi se u pitanje primjena standarda ili zakonskog minimalnog standarda u školi, te zadovoljavanje  potreba djece i njihovih roditelja na području Grada Labina za odgojem, naobrazbom, prehranom, rehabilitacijom i socijalnom skrbi.</w:t>
      </w:r>
    </w:p>
    <w:p w14:paraId="673A92F5" w14:textId="77777777" w:rsidR="007B7808" w:rsidRPr="0056141B" w:rsidRDefault="007B7808" w:rsidP="0056141B">
      <w:pPr>
        <w:spacing w:line="259" w:lineRule="auto"/>
        <w:jc w:val="both"/>
        <w:rPr>
          <w:rFonts w:ascii="Arial" w:eastAsia="Calibri" w:hAnsi="Arial" w:cs="Arial"/>
          <w:sz w:val="22"/>
          <w:szCs w:val="22"/>
        </w:rPr>
      </w:pPr>
    </w:p>
    <w:p w14:paraId="10C53D1A" w14:textId="77777777" w:rsidR="007B7808" w:rsidRPr="0056141B" w:rsidRDefault="007B7808" w:rsidP="0056141B">
      <w:pPr>
        <w:spacing w:line="259" w:lineRule="auto"/>
        <w:jc w:val="both"/>
        <w:rPr>
          <w:rFonts w:ascii="Arial" w:eastAsia="Calibri" w:hAnsi="Arial" w:cs="Arial"/>
          <w:b/>
          <w:sz w:val="22"/>
          <w:szCs w:val="22"/>
        </w:rPr>
      </w:pPr>
      <w:r w:rsidRPr="0056141B">
        <w:rPr>
          <w:rFonts w:ascii="Arial" w:eastAsia="Calibri" w:hAnsi="Arial" w:cs="Arial"/>
          <w:b/>
          <w:sz w:val="22"/>
          <w:szCs w:val="22"/>
        </w:rPr>
        <w:t>Aktivnosti u školskoj ustanovi su:</w:t>
      </w:r>
    </w:p>
    <w:p w14:paraId="79C5BA33" w14:textId="77777777" w:rsidR="007B7808" w:rsidRPr="0056141B" w:rsidRDefault="007B7808" w:rsidP="0056141B">
      <w:pPr>
        <w:spacing w:line="259" w:lineRule="auto"/>
        <w:jc w:val="both"/>
        <w:rPr>
          <w:rFonts w:ascii="Arial" w:eastAsia="Calibri" w:hAnsi="Arial" w:cs="Arial"/>
          <w:b/>
          <w:sz w:val="22"/>
          <w:szCs w:val="22"/>
          <w:u w:val="single"/>
        </w:rPr>
      </w:pPr>
      <w:r w:rsidRPr="0056141B">
        <w:rPr>
          <w:rFonts w:ascii="Arial" w:eastAsia="Arial" w:hAnsi="Arial" w:cs="Arial"/>
          <w:b/>
          <w:sz w:val="22"/>
          <w:szCs w:val="22"/>
        </w:rPr>
        <w:t xml:space="preserve">Aktivnost: </w:t>
      </w:r>
      <w:r w:rsidRPr="0056141B">
        <w:rPr>
          <w:rFonts w:ascii="Arial" w:eastAsia="Calibri" w:hAnsi="Arial" w:cs="Arial"/>
          <w:b/>
          <w:sz w:val="22"/>
          <w:szCs w:val="22"/>
        </w:rPr>
        <w:t>Financiranje djelatnosti osnovnog školstva</w:t>
      </w:r>
    </w:p>
    <w:p w14:paraId="318539BA" w14:textId="77777777" w:rsidR="007B7808" w:rsidRPr="0056141B" w:rsidRDefault="007B7808" w:rsidP="0056141B">
      <w:pPr>
        <w:spacing w:line="259" w:lineRule="auto"/>
        <w:jc w:val="both"/>
        <w:rPr>
          <w:rFonts w:ascii="Arial" w:eastAsia="Calibri" w:hAnsi="Arial" w:cs="Arial"/>
          <w:sz w:val="22"/>
          <w:szCs w:val="22"/>
        </w:rPr>
      </w:pPr>
      <w:r w:rsidRPr="0056141B">
        <w:rPr>
          <w:rFonts w:ascii="Arial" w:eastAsia="Calibri" w:hAnsi="Arial" w:cs="Arial"/>
          <w:sz w:val="22"/>
          <w:szCs w:val="22"/>
        </w:rPr>
        <w:t>Ova se aktivnost ostvaruje iz decentraliziranih funkcija financiranja, općih prihoda i primitaka iznad standarda, vlastitih prihoda, prihoda za posebne namjene  , pomoćima Državnog proračuna , donacijama poslovnih subjekata te prihoda od naknada šteta.</w:t>
      </w:r>
    </w:p>
    <w:p w14:paraId="5F047081" w14:textId="77777777" w:rsidR="007B7808" w:rsidRPr="0056141B" w:rsidRDefault="007B7808" w:rsidP="0056141B">
      <w:pPr>
        <w:spacing w:line="259" w:lineRule="auto"/>
        <w:jc w:val="both"/>
        <w:rPr>
          <w:rFonts w:ascii="Arial" w:eastAsia="Calibri" w:hAnsi="Arial" w:cs="Arial"/>
          <w:sz w:val="22"/>
          <w:szCs w:val="22"/>
        </w:rPr>
      </w:pPr>
      <w:r w:rsidRPr="0056141B">
        <w:rPr>
          <w:rFonts w:ascii="Arial" w:eastAsia="Calibri" w:hAnsi="Arial" w:cs="Arial"/>
          <w:sz w:val="22"/>
          <w:szCs w:val="22"/>
        </w:rPr>
        <w:t>Financiranje nabavke  namirnica  shema školskog  voća i mlijeka.</w:t>
      </w:r>
    </w:p>
    <w:p w14:paraId="485D0032" w14:textId="77777777" w:rsidR="007B7808" w:rsidRPr="0056141B" w:rsidRDefault="007B7808" w:rsidP="0056141B">
      <w:pPr>
        <w:spacing w:line="259" w:lineRule="auto"/>
        <w:jc w:val="both"/>
        <w:rPr>
          <w:rFonts w:ascii="Arial" w:eastAsia="Calibri" w:hAnsi="Arial" w:cs="Arial"/>
          <w:sz w:val="22"/>
          <w:szCs w:val="22"/>
        </w:rPr>
      </w:pPr>
      <w:r w:rsidRPr="0056141B">
        <w:rPr>
          <w:rFonts w:ascii="Arial" w:eastAsia="Calibri" w:hAnsi="Arial" w:cs="Arial"/>
          <w:sz w:val="22"/>
          <w:szCs w:val="22"/>
        </w:rPr>
        <w:t>Financiranje materijalnih rashoda odnosi se na troškove vezane za, odlazak učitelja na stručna usavršavanja, troškove kotizacija za natjecanja učenika i seminare, nabavku uredskog materijala, materijala za čišćenje i održavanje, poštanske i telefonske troškove, prijevoza,  nabavku sitnog inventara, troškove energije i lož ulja, komunalne, računalne i ostale usluge, premije osiguranja i usluge promidžbe i informiranja, intelektualne usluge, nabavku   opreme, troškove najma opreme te troškove tekućeg i investicijskog održavanja.</w:t>
      </w:r>
    </w:p>
    <w:p w14:paraId="32DD5741" w14:textId="5C25C604" w:rsidR="007B7808" w:rsidRPr="0056141B" w:rsidRDefault="007B7808" w:rsidP="0056141B">
      <w:pPr>
        <w:spacing w:line="259" w:lineRule="auto"/>
        <w:jc w:val="both"/>
        <w:rPr>
          <w:rFonts w:ascii="Arial" w:eastAsia="Calibri" w:hAnsi="Arial" w:cs="Arial"/>
          <w:sz w:val="22"/>
          <w:szCs w:val="22"/>
        </w:rPr>
      </w:pPr>
      <w:r w:rsidRPr="0056141B">
        <w:rPr>
          <w:rFonts w:ascii="Arial" w:eastAsia="Calibri" w:hAnsi="Arial" w:cs="Arial"/>
          <w:sz w:val="22"/>
          <w:szCs w:val="22"/>
        </w:rPr>
        <w:t>U školi je organizirana školska marenda po cijeni od 1,33 EUR koju u potpunosti financira MZOM. Ove godine uključeno  je ukupno  cca 490 učenika.</w:t>
      </w:r>
    </w:p>
    <w:p w14:paraId="70693153" w14:textId="671F522E" w:rsidR="007B7808" w:rsidRPr="0056141B" w:rsidRDefault="007B7808" w:rsidP="0056141B">
      <w:pPr>
        <w:spacing w:line="259" w:lineRule="auto"/>
        <w:jc w:val="both"/>
        <w:rPr>
          <w:rFonts w:ascii="Arial" w:eastAsia="Arial" w:hAnsi="Arial" w:cs="Arial"/>
          <w:sz w:val="22"/>
          <w:szCs w:val="22"/>
        </w:rPr>
      </w:pPr>
      <w:r w:rsidRPr="0056141B">
        <w:rPr>
          <w:rFonts w:ascii="Arial" w:eastAsia="Arial" w:hAnsi="Arial" w:cs="Arial"/>
          <w:sz w:val="22"/>
          <w:szCs w:val="22"/>
        </w:rPr>
        <w:t>Za tu aktivnost planirana su sredstva u iznosu od 2.361.874,00 EUR.</w:t>
      </w:r>
    </w:p>
    <w:p w14:paraId="0E963FC1" w14:textId="77777777" w:rsidR="007B7808" w:rsidRPr="0056141B" w:rsidRDefault="007B7808" w:rsidP="0056141B">
      <w:pPr>
        <w:spacing w:line="259" w:lineRule="auto"/>
        <w:jc w:val="both"/>
        <w:rPr>
          <w:rFonts w:ascii="Arial" w:eastAsia="Arial" w:hAnsi="Arial" w:cs="Arial"/>
          <w:sz w:val="22"/>
          <w:szCs w:val="22"/>
        </w:rPr>
      </w:pPr>
    </w:p>
    <w:p w14:paraId="351899AB" w14:textId="77777777" w:rsidR="007B7808" w:rsidRPr="0056141B" w:rsidRDefault="007B7808" w:rsidP="0056141B">
      <w:pPr>
        <w:spacing w:line="259" w:lineRule="auto"/>
        <w:jc w:val="both"/>
        <w:rPr>
          <w:rFonts w:ascii="Arial" w:eastAsia="Arial" w:hAnsi="Arial" w:cs="Arial"/>
          <w:b/>
          <w:sz w:val="22"/>
          <w:szCs w:val="22"/>
        </w:rPr>
      </w:pPr>
      <w:r w:rsidRPr="0056141B">
        <w:rPr>
          <w:rFonts w:ascii="Arial" w:eastAsia="Arial" w:hAnsi="Arial" w:cs="Arial"/>
          <w:b/>
          <w:sz w:val="22"/>
          <w:szCs w:val="22"/>
        </w:rPr>
        <w:t>Aktivnost: Produženi boravak</w:t>
      </w:r>
    </w:p>
    <w:p w14:paraId="0BCC04B3" w14:textId="77777777" w:rsidR="007B7808" w:rsidRPr="0056141B" w:rsidRDefault="007B7808" w:rsidP="0056141B">
      <w:pPr>
        <w:spacing w:line="259" w:lineRule="auto"/>
        <w:jc w:val="both"/>
        <w:rPr>
          <w:rFonts w:ascii="Arial" w:eastAsia="Arial" w:hAnsi="Arial" w:cs="Arial"/>
          <w:sz w:val="22"/>
          <w:szCs w:val="22"/>
        </w:rPr>
      </w:pPr>
      <w:r w:rsidRPr="0056141B">
        <w:rPr>
          <w:rFonts w:ascii="Arial" w:eastAsia="Arial" w:hAnsi="Arial" w:cs="Arial"/>
          <w:sz w:val="22"/>
          <w:szCs w:val="22"/>
        </w:rPr>
        <w:t xml:space="preserve">Ova se aktivnost ostvaruje iz  uplata roditelja za produženi boravak, Grada Labina, Općine Raša, općine Sveta Nedjelja od 01.01.2024. godine, općine Kršan te vlastitih prihoda. Iz tih sredstava  financiraju se rashodi za zaposlene deset djelatnika, materijalni rashodi za službena putovanja, troškovi dolaska i odlaska na </w:t>
      </w:r>
      <w:proofErr w:type="spellStart"/>
      <w:r w:rsidRPr="0056141B">
        <w:rPr>
          <w:rFonts w:ascii="Arial" w:eastAsia="Arial" w:hAnsi="Arial" w:cs="Arial"/>
          <w:sz w:val="22"/>
          <w:szCs w:val="22"/>
        </w:rPr>
        <w:t>posao,i</w:t>
      </w:r>
      <w:proofErr w:type="spellEnd"/>
      <w:r w:rsidRPr="0056141B">
        <w:rPr>
          <w:rFonts w:ascii="Arial" w:eastAsia="Arial" w:hAnsi="Arial" w:cs="Arial"/>
          <w:sz w:val="22"/>
          <w:szCs w:val="22"/>
        </w:rPr>
        <w:t xml:space="preserve"> nabavku namirnica. Ove godine u produženi boravak uključeni su učenici od 1. do 4. razreda. U odnosu na prošlu školsku godinu broj učenika je povećan te sada iznosi 198 učenika.</w:t>
      </w:r>
    </w:p>
    <w:p w14:paraId="2CDCF6C2" w14:textId="77777777" w:rsidR="007B7808" w:rsidRPr="0056141B" w:rsidRDefault="007B7808" w:rsidP="0056141B">
      <w:pPr>
        <w:spacing w:line="259" w:lineRule="auto"/>
        <w:jc w:val="both"/>
        <w:rPr>
          <w:rFonts w:ascii="Arial" w:eastAsia="Arial" w:hAnsi="Arial" w:cs="Arial"/>
          <w:sz w:val="22"/>
          <w:szCs w:val="22"/>
        </w:rPr>
      </w:pPr>
      <w:r w:rsidRPr="0056141B">
        <w:rPr>
          <w:rFonts w:ascii="Arial" w:eastAsia="Arial" w:hAnsi="Arial" w:cs="Arial"/>
          <w:sz w:val="22"/>
          <w:szCs w:val="22"/>
        </w:rPr>
        <w:t xml:space="preserve">U matičnoj i područnim odjelima na </w:t>
      </w:r>
      <w:proofErr w:type="spellStart"/>
      <w:r w:rsidRPr="0056141B">
        <w:rPr>
          <w:rFonts w:ascii="Arial" w:eastAsia="Arial" w:hAnsi="Arial" w:cs="Arial"/>
          <w:sz w:val="22"/>
          <w:szCs w:val="22"/>
        </w:rPr>
        <w:t>Katurama</w:t>
      </w:r>
      <w:proofErr w:type="spellEnd"/>
      <w:r w:rsidRPr="0056141B">
        <w:rPr>
          <w:rFonts w:ascii="Arial" w:eastAsia="Arial" w:hAnsi="Arial" w:cs="Arial"/>
          <w:sz w:val="22"/>
          <w:szCs w:val="22"/>
        </w:rPr>
        <w:t xml:space="preserve"> i </w:t>
      </w:r>
      <w:proofErr w:type="spellStart"/>
      <w:r w:rsidRPr="0056141B">
        <w:rPr>
          <w:rFonts w:ascii="Arial" w:eastAsia="Arial" w:hAnsi="Arial" w:cs="Arial"/>
          <w:sz w:val="22"/>
          <w:szCs w:val="22"/>
        </w:rPr>
        <w:t>Vinežu</w:t>
      </w:r>
      <w:proofErr w:type="spellEnd"/>
      <w:r w:rsidRPr="0056141B">
        <w:rPr>
          <w:rFonts w:ascii="Arial" w:eastAsia="Arial" w:hAnsi="Arial" w:cs="Arial"/>
          <w:sz w:val="22"/>
          <w:szCs w:val="22"/>
        </w:rPr>
        <w:t xml:space="preserve"> organizirano je sedam odjeljenja  produženog boravka, jedna u </w:t>
      </w:r>
      <w:proofErr w:type="spellStart"/>
      <w:r w:rsidRPr="0056141B">
        <w:rPr>
          <w:rFonts w:ascii="Arial" w:eastAsia="Arial" w:hAnsi="Arial" w:cs="Arial"/>
          <w:sz w:val="22"/>
          <w:szCs w:val="22"/>
        </w:rPr>
        <w:t>Vozilićima</w:t>
      </w:r>
      <w:proofErr w:type="spellEnd"/>
      <w:r w:rsidRPr="0056141B">
        <w:rPr>
          <w:rFonts w:ascii="Arial" w:eastAsia="Arial" w:hAnsi="Arial" w:cs="Arial"/>
          <w:sz w:val="22"/>
          <w:szCs w:val="22"/>
        </w:rPr>
        <w:t xml:space="preserve">, odnosno ukupno osam odjeljenja. </w:t>
      </w:r>
    </w:p>
    <w:p w14:paraId="33F33F01" w14:textId="2827126B" w:rsidR="007B7808" w:rsidRPr="0056141B" w:rsidRDefault="007B7808" w:rsidP="0056141B">
      <w:pPr>
        <w:spacing w:line="259" w:lineRule="auto"/>
        <w:jc w:val="both"/>
        <w:rPr>
          <w:rFonts w:ascii="Arial" w:eastAsia="Arial" w:hAnsi="Arial" w:cs="Arial"/>
          <w:sz w:val="22"/>
          <w:szCs w:val="22"/>
        </w:rPr>
      </w:pPr>
      <w:r w:rsidRPr="0056141B">
        <w:rPr>
          <w:rFonts w:ascii="Arial" w:eastAsia="Arial" w:hAnsi="Arial" w:cs="Arial"/>
          <w:sz w:val="22"/>
          <w:szCs w:val="22"/>
        </w:rPr>
        <w:t>U I. izmjenama i dopunama, za tu aktivnost, planirana su sredstva u iznosu od 402.124,00 EUR.</w:t>
      </w:r>
    </w:p>
    <w:p w14:paraId="15C4CAA1" w14:textId="77777777" w:rsidR="007B7808" w:rsidRPr="0056141B" w:rsidRDefault="007B7808" w:rsidP="0056141B">
      <w:pPr>
        <w:widowControl w:val="0"/>
        <w:suppressAutoHyphens/>
        <w:autoSpaceDN w:val="0"/>
        <w:spacing w:line="259" w:lineRule="auto"/>
        <w:jc w:val="both"/>
        <w:textAlignment w:val="baseline"/>
        <w:rPr>
          <w:rFonts w:ascii="Arial" w:eastAsia="Arial" w:hAnsi="Arial" w:cs="Arial"/>
          <w:sz w:val="22"/>
          <w:szCs w:val="22"/>
        </w:rPr>
      </w:pPr>
    </w:p>
    <w:p w14:paraId="399E3DFB" w14:textId="77777777" w:rsidR="007B7808" w:rsidRPr="0056141B" w:rsidRDefault="007B7808" w:rsidP="0056141B">
      <w:pPr>
        <w:widowControl w:val="0"/>
        <w:suppressAutoHyphens/>
        <w:autoSpaceDN w:val="0"/>
        <w:spacing w:line="259" w:lineRule="auto"/>
        <w:jc w:val="both"/>
        <w:textAlignment w:val="baseline"/>
        <w:rPr>
          <w:rFonts w:ascii="Arial" w:eastAsia="Arial" w:hAnsi="Arial" w:cs="Arial"/>
          <w:b/>
          <w:kern w:val="3"/>
          <w:sz w:val="22"/>
          <w:szCs w:val="22"/>
          <w:lang w:eastAsia="zh-CN" w:bidi="hi-IN"/>
        </w:rPr>
      </w:pPr>
      <w:r w:rsidRPr="0056141B">
        <w:rPr>
          <w:rFonts w:ascii="Arial" w:eastAsia="Arial" w:hAnsi="Arial" w:cs="Arial"/>
          <w:b/>
          <w:kern w:val="3"/>
          <w:sz w:val="22"/>
          <w:szCs w:val="22"/>
          <w:lang w:eastAsia="zh-CN" w:bidi="hi-IN"/>
        </w:rPr>
        <w:t>Aktivnost: Dodatne aktivnosti učenika i osoblja u školskoj ustanovi</w:t>
      </w:r>
    </w:p>
    <w:p w14:paraId="06BCA891" w14:textId="77777777" w:rsidR="007B7808" w:rsidRPr="0056141B" w:rsidRDefault="007B7808" w:rsidP="0056141B">
      <w:pPr>
        <w:widowControl w:val="0"/>
        <w:suppressAutoHyphens/>
        <w:autoSpaceDN w:val="0"/>
        <w:spacing w:line="259" w:lineRule="auto"/>
        <w:jc w:val="both"/>
        <w:textAlignment w:val="baseline"/>
        <w:rPr>
          <w:rFonts w:ascii="Arial" w:eastAsia="Arial" w:hAnsi="Arial" w:cs="Arial"/>
          <w:kern w:val="3"/>
          <w:sz w:val="22"/>
          <w:szCs w:val="22"/>
          <w:lang w:eastAsia="zh-CN" w:bidi="hi-IN"/>
        </w:rPr>
      </w:pPr>
      <w:r w:rsidRPr="0056141B">
        <w:rPr>
          <w:rFonts w:ascii="Arial" w:eastAsia="Arial" w:hAnsi="Arial" w:cs="Arial"/>
          <w:kern w:val="3"/>
          <w:sz w:val="22"/>
          <w:szCs w:val="22"/>
          <w:lang w:eastAsia="zh-CN" w:bidi="hi-IN"/>
        </w:rPr>
        <w:t xml:space="preserve">Ova se aktivnost ostvaruje iz financiranja  Grada Labina , Županija i Državnog proračuna   </w:t>
      </w:r>
    </w:p>
    <w:p w14:paraId="0E9B891D" w14:textId="77777777" w:rsidR="007B7808" w:rsidRPr="0056141B" w:rsidRDefault="007B7808" w:rsidP="0056141B">
      <w:pPr>
        <w:widowControl w:val="0"/>
        <w:suppressAutoHyphens/>
        <w:autoSpaceDN w:val="0"/>
        <w:spacing w:line="259" w:lineRule="auto"/>
        <w:jc w:val="both"/>
        <w:textAlignment w:val="baseline"/>
        <w:rPr>
          <w:rFonts w:ascii="Arial" w:eastAsia="Calibri" w:hAnsi="Arial" w:cs="Arial"/>
          <w:kern w:val="3"/>
          <w:sz w:val="22"/>
          <w:szCs w:val="22"/>
          <w:lang w:eastAsia="zh-CN" w:bidi="hi-IN"/>
        </w:rPr>
      </w:pPr>
      <w:r w:rsidRPr="0056141B">
        <w:rPr>
          <w:rFonts w:ascii="Arial" w:eastAsia="Arial" w:hAnsi="Arial" w:cs="Arial"/>
          <w:kern w:val="3"/>
          <w:sz w:val="22"/>
          <w:szCs w:val="22"/>
          <w:lang w:eastAsia="zh-CN" w:bidi="hi-IN"/>
        </w:rPr>
        <w:t xml:space="preserve">za pokriće rashoda   službenih putovanja, prijevoza za natjecanje učenika </w:t>
      </w:r>
      <w:r w:rsidRPr="0056141B">
        <w:rPr>
          <w:rFonts w:ascii="Arial" w:eastAsia="Calibri" w:hAnsi="Arial" w:cs="Arial"/>
          <w:kern w:val="3"/>
          <w:sz w:val="22"/>
          <w:szCs w:val="22"/>
          <w:lang w:eastAsia="zh-CN" w:bidi="hi-IN"/>
        </w:rPr>
        <w:t>te pokriće rashoda za mentorstvo, nabavku udžbenika  za učenike školske ustanove.</w:t>
      </w:r>
    </w:p>
    <w:p w14:paraId="7FE7C71E" w14:textId="07831DD3" w:rsidR="007B7808" w:rsidRPr="0056141B" w:rsidRDefault="007B7808" w:rsidP="0056141B">
      <w:pPr>
        <w:widowControl w:val="0"/>
        <w:suppressAutoHyphens/>
        <w:autoSpaceDN w:val="0"/>
        <w:spacing w:line="259" w:lineRule="auto"/>
        <w:jc w:val="both"/>
        <w:textAlignment w:val="baseline"/>
        <w:rPr>
          <w:rFonts w:ascii="Arial" w:eastAsia="Calibri" w:hAnsi="Arial" w:cs="Arial"/>
          <w:kern w:val="3"/>
          <w:sz w:val="22"/>
          <w:szCs w:val="22"/>
          <w:lang w:eastAsia="zh-CN" w:bidi="hi-IN"/>
        </w:rPr>
      </w:pPr>
      <w:r w:rsidRPr="0056141B">
        <w:rPr>
          <w:rFonts w:ascii="Arial" w:eastAsia="Calibri" w:hAnsi="Arial" w:cs="Arial"/>
          <w:kern w:val="3"/>
          <w:sz w:val="22"/>
          <w:szCs w:val="22"/>
          <w:lang w:eastAsia="zh-CN" w:bidi="hi-IN"/>
        </w:rPr>
        <w:t>Za tu aktivnost planirana su sredstva u iznosu od 47.805,00 EUR.</w:t>
      </w:r>
    </w:p>
    <w:p w14:paraId="79CEC2D4" w14:textId="77777777" w:rsidR="007B7808" w:rsidRPr="0056141B" w:rsidRDefault="007B7808" w:rsidP="0056141B">
      <w:pPr>
        <w:widowControl w:val="0"/>
        <w:suppressAutoHyphens/>
        <w:autoSpaceDN w:val="0"/>
        <w:spacing w:line="259" w:lineRule="auto"/>
        <w:jc w:val="both"/>
        <w:textAlignment w:val="baseline"/>
        <w:rPr>
          <w:rFonts w:ascii="Arial" w:eastAsia="Calibri" w:hAnsi="Arial" w:cs="Arial"/>
          <w:kern w:val="3"/>
          <w:sz w:val="22"/>
          <w:szCs w:val="22"/>
          <w:lang w:eastAsia="zh-CN" w:bidi="hi-IN"/>
        </w:rPr>
      </w:pPr>
    </w:p>
    <w:p w14:paraId="49E15BCA" w14:textId="77777777" w:rsidR="00393A56" w:rsidRDefault="00393A56" w:rsidP="0056141B">
      <w:pPr>
        <w:widowControl w:val="0"/>
        <w:suppressAutoHyphens/>
        <w:autoSpaceDN w:val="0"/>
        <w:spacing w:line="259" w:lineRule="auto"/>
        <w:jc w:val="both"/>
        <w:textAlignment w:val="baseline"/>
        <w:rPr>
          <w:rFonts w:ascii="Arial" w:eastAsia="Calibri" w:hAnsi="Arial" w:cs="Arial"/>
          <w:b/>
          <w:kern w:val="3"/>
          <w:sz w:val="22"/>
          <w:szCs w:val="22"/>
          <w:lang w:eastAsia="zh-CN" w:bidi="hi-IN"/>
        </w:rPr>
      </w:pPr>
    </w:p>
    <w:p w14:paraId="27FD4C6F" w14:textId="77777777" w:rsidR="00393A56" w:rsidRDefault="00393A56" w:rsidP="0056141B">
      <w:pPr>
        <w:widowControl w:val="0"/>
        <w:suppressAutoHyphens/>
        <w:autoSpaceDN w:val="0"/>
        <w:spacing w:line="259" w:lineRule="auto"/>
        <w:jc w:val="both"/>
        <w:textAlignment w:val="baseline"/>
        <w:rPr>
          <w:rFonts w:ascii="Arial" w:eastAsia="Calibri" w:hAnsi="Arial" w:cs="Arial"/>
          <w:b/>
          <w:kern w:val="3"/>
          <w:sz w:val="22"/>
          <w:szCs w:val="22"/>
          <w:lang w:eastAsia="zh-CN" w:bidi="hi-IN"/>
        </w:rPr>
      </w:pPr>
    </w:p>
    <w:p w14:paraId="0C1545D1" w14:textId="658B31AB" w:rsidR="007B7808" w:rsidRPr="0056141B" w:rsidRDefault="007B7808" w:rsidP="0056141B">
      <w:pPr>
        <w:widowControl w:val="0"/>
        <w:suppressAutoHyphens/>
        <w:autoSpaceDN w:val="0"/>
        <w:spacing w:line="259" w:lineRule="auto"/>
        <w:jc w:val="both"/>
        <w:textAlignment w:val="baseline"/>
        <w:rPr>
          <w:rFonts w:ascii="Arial" w:eastAsia="Calibri" w:hAnsi="Arial" w:cs="Arial"/>
          <w:b/>
          <w:kern w:val="3"/>
          <w:sz w:val="22"/>
          <w:szCs w:val="22"/>
          <w:lang w:eastAsia="zh-CN" w:bidi="hi-IN"/>
        </w:rPr>
      </w:pPr>
      <w:r w:rsidRPr="0056141B">
        <w:rPr>
          <w:rFonts w:ascii="Arial" w:eastAsia="Calibri" w:hAnsi="Arial" w:cs="Arial"/>
          <w:b/>
          <w:kern w:val="3"/>
          <w:sz w:val="22"/>
          <w:szCs w:val="22"/>
          <w:lang w:eastAsia="zh-CN" w:bidi="hi-IN"/>
        </w:rPr>
        <w:lastRenderedPageBreak/>
        <w:t>Aktivnost: Osiguranje pomoćnika  učenicima s teškoćama</w:t>
      </w:r>
    </w:p>
    <w:p w14:paraId="27240DB6" w14:textId="1935A11C" w:rsidR="007B7808" w:rsidRPr="0056141B" w:rsidRDefault="007B7808" w:rsidP="0056141B">
      <w:pPr>
        <w:spacing w:line="259" w:lineRule="auto"/>
        <w:jc w:val="both"/>
        <w:rPr>
          <w:rFonts w:ascii="Arial" w:eastAsia="Calibri" w:hAnsi="Arial" w:cs="Arial"/>
          <w:sz w:val="22"/>
          <w:szCs w:val="22"/>
        </w:rPr>
      </w:pPr>
      <w:r w:rsidRPr="0056141B">
        <w:rPr>
          <w:rFonts w:ascii="Arial" w:eastAsia="Calibri" w:hAnsi="Arial" w:cs="Arial"/>
          <w:sz w:val="22"/>
          <w:szCs w:val="22"/>
        </w:rPr>
        <w:t xml:space="preserve">Osiguranje pomoćnika u nastavi aktivnost je kojim se nastoji izjednačiti mogućnosti svih učenika, unapređenje položaja djece s teškoćama i njihovih obitelji  te stvaranje uvjeta za njihovo aktivno sudjelovanje u građanskim, društvenim i  kulturnim aktivnostima njihovih zajednica. U ovoj školskoj godini  imamo pet pomoćnika u nastavi. Sredstva su osigurana kroz program  „Ravnomjerna socijalna i obrazovna inkluzija učenika s teškoćama u razvoju (RAST IV)“ u iznosu od 46.050,00 </w:t>
      </w:r>
      <w:r w:rsidRPr="0056141B">
        <w:rPr>
          <w:rFonts w:ascii="Arial" w:eastAsia="Calibri" w:hAnsi="Arial" w:cs="Arial"/>
          <w:kern w:val="3"/>
          <w:sz w:val="22"/>
          <w:szCs w:val="22"/>
          <w:lang w:eastAsia="zh-CN" w:bidi="hi-IN"/>
        </w:rPr>
        <w:t>EUR</w:t>
      </w:r>
      <w:r w:rsidRPr="0056141B">
        <w:rPr>
          <w:rFonts w:ascii="Arial" w:eastAsia="Calibri" w:hAnsi="Arial" w:cs="Arial"/>
          <w:sz w:val="22"/>
          <w:szCs w:val="22"/>
        </w:rPr>
        <w:t xml:space="preserve">  koje financira EU. U razdoblju 2024./2025. nositelj projekta je Grad Labin koji tu aktivnost financira u iznosu od 38.815,00 EUR.</w:t>
      </w:r>
    </w:p>
    <w:p w14:paraId="2D2ECE18" w14:textId="77777777" w:rsidR="007B7808" w:rsidRPr="0056141B" w:rsidRDefault="007B7808" w:rsidP="0056141B">
      <w:pPr>
        <w:spacing w:line="259" w:lineRule="auto"/>
        <w:jc w:val="both"/>
        <w:rPr>
          <w:rFonts w:ascii="Arial" w:eastAsia="Calibri" w:hAnsi="Arial" w:cs="Arial"/>
          <w:sz w:val="22"/>
          <w:szCs w:val="22"/>
        </w:rPr>
      </w:pPr>
      <w:r w:rsidRPr="0056141B">
        <w:rPr>
          <w:rFonts w:ascii="Arial" w:eastAsia="Calibri" w:hAnsi="Arial" w:cs="Arial"/>
          <w:sz w:val="22"/>
          <w:szCs w:val="22"/>
        </w:rPr>
        <w:t>Ukupno za tu aktivnost u I. izmjenama i dopunama planirana su sredstva u iznosu od 84.865,00 eura.</w:t>
      </w:r>
    </w:p>
    <w:p w14:paraId="77A5336D" w14:textId="77777777" w:rsidR="007B7808" w:rsidRPr="0056141B" w:rsidRDefault="007B7808" w:rsidP="0056141B">
      <w:pPr>
        <w:spacing w:line="259" w:lineRule="auto"/>
        <w:jc w:val="both"/>
        <w:rPr>
          <w:rFonts w:ascii="Arial" w:eastAsia="Calibri" w:hAnsi="Arial" w:cs="Arial"/>
          <w:sz w:val="22"/>
          <w:szCs w:val="22"/>
        </w:rPr>
      </w:pPr>
    </w:p>
    <w:p w14:paraId="17B2CC18" w14:textId="77777777" w:rsidR="007B7808" w:rsidRPr="0056141B" w:rsidRDefault="007B7808" w:rsidP="0056141B">
      <w:pPr>
        <w:widowControl w:val="0"/>
        <w:suppressAutoHyphens/>
        <w:autoSpaceDN w:val="0"/>
        <w:spacing w:line="259" w:lineRule="auto"/>
        <w:jc w:val="both"/>
        <w:textAlignment w:val="baseline"/>
        <w:rPr>
          <w:rFonts w:ascii="Arial" w:eastAsia="Calibri" w:hAnsi="Arial" w:cs="Arial"/>
          <w:b/>
          <w:kern w:val="3"/>
          <w:sz w:val="22"/>
          <w:szCs w:val="22"/>
          <w:lang w:eastAsia="zh-CN" w:bidi="hi-IN"/>
        </w:rPr>
      </w:pPr>
      <w:r w:rsidRPr="0056141B">
        <w:rPr>
          <w:rFonts w:ascii="Arial" w:eastAsia="Calibri" w:hAnsi="Arial" w:cs="Arial"/>
          <w:b/>
          <w:kern w:val="3"/>
          <w:sz w:val="22"/>
          <w:szCs w:val="22"/>
          <w:lang w:eastAsia="zh-CN" w:bidi="hi-IN"/>
        </w:rPr>
        <w:t>Aktivnost: Financiranje izvannastavnih projekata i drugo</w:t>
      </w:r>
    </w:p>
    <w:p w14:paraId="414C72FC" w14:textId="77777777" w:rsidR="007B7808" w:rsidRPr="0056141B" w:rsidRDefault="007B7808" w:rsidP="0056141B">
      <w:pPr>
        <w:widowControl w:val="0"/>
        <w:suppressAutoHyphens/>
        <w:autoSpaceDN w:val="0"/>
        <w:spacing w:line="259" w:lineRule="auto"/>
        <w:jc w:val="both"/>
        <w:textAlignment w:val="baseline"/>
        <w:rPr>
          <w:rFonts w:ascii="Arial" w:eastAsia="Calibri" w:hAnsi="Arial" w:cs="Arial"/>
          <w:kern w:val="3"/>
          <w:sz w:val="22"/>
          <w:szCs w:val="22"/>
          <w:lang w:eastAsia="zh-CN" w:bidi="hi-IN"/>
        </w:rPr>
      </w:pPr>
      <w:r w:rsidRPr="0056141B">
        <w:rPr>
          <w:rFonts w:ascii="Arial" w:eastAsia="Calibri" w:hAnsi="Arial" w:cs="Arial"/>
          <w:kern w:val="3"/>
          <w:sz w:val="22"/>
          <w:szCs w:val="22"/>
          <w:lang w:eastAsia="zh-CN" w:bidi="hi-IN"/>
        </w:rPr>
        <w:t>Sredstva po ovoj aktivnosti planirana su za provođenje školskih projekata kojima se potiče i poboljšava obrazovanje naših učenika,  vlastitih prihoda od najma školskog stana.</w:t>
      </w:r>
    </w:p>
    <w:p w14:paraId="2CE40537" w14:textId="77777777" w:rsidR="007B7808" w:rsidRPr="0056141B" w:rsidRDefault="007B7808" w:rsidP="0056141B">
      <w:pPr>
        <w:widowControl w:val="0"/>
        <w:suppressAutoHyphens/>
        <w:autoSpaceDN w:val="0"/>
        <w:spacing w:line="259" w:lineRule="auto"/>
        <w:jc w:val="both"/>
        <w:textAlignment w:val="baseline"/>
        <w:rPr>
          <w:rFonts w:ascii="Arial" w:eastAsia="Calibri" w:hAnsi="Arial" w:cs="Arial"/>
          <w:kern w:val="3"/>
          <w:sz w:val="22"/>
          <w:szCs w:val="22"/>
          <w:lang w:eastAsia="zh-CN" w:bidi="hi-IN"/>
        </w:rPr>
      </w:pPr>
      <w:r w:rsidRPr="0056141B">
        <w:rPr>
          <w:rFonts w:ascii="Arial" w:eastAsia="Calibri" w:hAnsi="Arial" w:cs="Arial"/>
          <w:kern w:val="3"/>
          <w:sz w:val="22"/>
          <w:szCs w:val="22"/>
          <w:lang w:eastAsia="zh-CN" w:bidi="hi-IN"/>
        </w:rPr>
        <w:t xml:space="preserve">Područna škola  </w:t>
      </w:r>
      <w:proofErr w:type="spellStart"/>
      <w:r w:rsidRPr="0056141B">
        <w:rPr>
          <w:rFonts w:ascii="Arial" w:eastAsia="Calibri" w:hAnsi="Arial" w:cs="Arial"/>
          <w:kern w:val="3"/>
          <w:sz w:val="22"/>
          <w:szCs w:val="22"/>
          <w:lang w:eastAsia="zh-CN" w:bidi="hi-IN"/>
        </w:rPr>
        <w:t>Vozilići</w:t>
      </w:r>
      <w:proofErr w:type="spellEnd"/>
      <w:r w:rsidRPr="0056141B">
        <w:rPr>
          <w:rFonts w:ascii="Arial" w:eastAsia="Calibri" w:hAnsi="Arial" w:cs="Arial"/>
          <w:kern w:val="3"/>
          <w:sz w:val="22"/>
          <w:szCs w:val="22"/>
          <w:lang w:eastAsia="zh-CN" w:bidi="hi-IN"/>
        </w:rPr>
        <w:t xml:space="preserve"> uključena je u projekt zavičajne nastave te se kroz brojne nastavne i izvannastavne aktivnosti i terensku nastavu učenicima približava  njihov zavičaj i njihovi ljudi i </w:t>
      </w:r>
    </w:p>
    <w:p w14:paraId="42A8D663" w14:textId="77777777" w:rsidR="007B7808" w:rsidRPr="0056141B" w:rsidRDefault="007B7808" w:rsidP="0056141B">
      <w:pPr>
        <w:widowControl w:val="0"/>
        <w:suppressAutoHyphens/>
        <w:autoSpaceDN w:val="0"/>
        <w:spacing w:line="259" w:lineRule="auto"/>
        <w:jc w:val="both"/>
        <w:textAlignment w:val="baseline"/>
        <w:rPr>
          <w:rFonts w:ascii="Arial" w:eastAsia="Calibri" w:hAnsi="Arial" w:cs="Arial"/>
          <w:kern w:val="3"/>
          <w:sz w:val="22"/>
          <w:szCs w:val="22"/>
          <w:lang w:eastAsia="zh-CN" w:bidi="hi-IN"/>
        </w:rPr>
      </w:pPr>
      <w:r w:rsidRPr="0056141B">
        <w:rPr>
          <w:rFonts w:ascii="Arial" w:eastAsia="Calibri" w:hAnsi="Arial" w:cs="Arial"/>
          <w:kern w:val="3"/>
          <w:sz w:val="22"/>
          <w:szCs w:val="22"/>
          <w:lang w:eastAsia="zh-CN" w:bidi="hi-IN"/>
        </w:rPr>
        <w:t>običaji.</w:t>
      </w:r>
    </w:p>
    <w:p w14:paraId="623571C6" w14:textId="77777777" w:rsidR="007B7808" w:rsidRPr="0056141B" w:rsidRDefault="007B7808" w:rsidP="0056141B">
      <w:pPr>
        <w:widowControl w:val="0"/>
        <w:suppressAutoHyphens/>
        <w:autoSpaceDN w:val="0"/>
        <w:spacing w:line="259" w:lineRule="auto"/>
        <w:jc w:val="both"/>
        <w:textAlignment w:val="baseline"/>
        <w:rPr>
          <w:rFonts w:ascii="Arial" w:eastAsia="Calibri" w:hAnsi="Arial" w:cs="Arial"/>
          <w:kern w:val="3"/>
          <w:sz w:val="22"/>
          <w:szCs w:val="22"/>
          <w:lang w:eastAsia="zh-CN" w:bidi="hi-IN"/>
        </w:rPr>
      </w:pPr>
      <w:r w:rsidRPr="0056141B">
        <w:rPr>
          <w:rFonts w:ascii="Arial" w:eastAsia="Calibri" w:hAnsi="Arial" w:cs="Arial"/>
          <w:kern w:val="3"/>
          <w:sz w:val="22"/>
          <w:szCs w:val="22"/>
          <w:lang w:eastAsia="zh-CN" w:bidi="hi-IN"/>
        </w:rPr>
        <w:t>Dio rashoda pokriva se iz sredstava Istarske županije kroz program Zavičajne nastave.</w:t>
      </w:r>
    </w:p>
    <w:p w14:paraId="375AA2A8" w14:textId="7586FD3B" w:rsidR="007B7808" w:rsidRDefault="007B7808" w:rsidP="0056141B">
      <w:pPr>
        <w:widowControl w:val="0"/>
        <w:suppressAutoHyphens/>
        <w:autoSpaceDN w:val="0"/>
        <w:spacing w:line="259" w:lineRule="auto"/>
        <w:jc w:val="both"/>
        <w:textAlignment w:val="baseline"/>
        <w:rPr>
          <w:rFonts w:ascii="Arial" w:eastAsia="Calibri" w:hAnsi="Arial" w:cs="Arial"/>
          <w:kern w:val="3"/>
          <w:sz w:val="22"/>
          <w:szCs w:val="22"/>
          <w:lang w:eastAsia="zh-CN" w:bidi="hi-IN"/>
        </w:rPr>
      </w:pPr>
      <w:r w:rsidRPr="0056141B">
        <w:rPr>
          <w:rFonts w:ascii="Arial" w:eastAsia="Calibri" w:hAnsi="Arial" w:cs="Arial"/>
          <w:kern w:val="3"/>
          <w:sz w:val="22"/>
          <w:szCs w:val="22"/>
          <w:lang w:eastAsia="zh-CN" w:bidi="hi-IN"/>
        </w:rPr>
        <w:t>Za tu aktivnost planirana su sredstva u visini od  1.300,00 EUR. Ostatak od 4.394,00 eura čine sredstva za realizaciju projekata izvannastavnih aktivnosti – iznos od 600,00 eura te 3.794,00 eura za nabavku psiho-dijagnostičkih sredstava.</w:t>
      </w:r>
    </w:p>
    <w:p w14:paraId="4FC06FE5" w14:textId="77777777" w:rsidR="0056141B" w:rsidRPr="0056141B" w:rsidRDefault="0056141B" w:rsidP="0056141B">
      <w:pPr>
        <w:widowControl w:val="0"/>
        <w:suppressAutoHyphens/>
        <w:autoSpaceDN w:val="0"/>
        <w:spacing w:line="259" w:lineRule="auto"/>
        <w:jc w:val="both"/>
        <w:textAlignment w:val="baseline"/>
        <w:rPr>
          <w:rFonts w:ascii="Arial" w:eastAsia="Calibri" w:hAnsi="Arial" w:cs="Arial"/>
          <w:kern w:val="3"/>
          <w:sz w:val="22"/>
          <w:szCs w:val="22"/>
          <w:lang w:eastAsia="zh-CN" w:bidi="hi-IN"/>
        </w:rPr>
      </w:pPr>
    </w:p>
    <w:p w14:paraId="2B1EC5D3" w14:textId="77777777" w:rsidR="007B7808" w:rsidRPr="0056141B" w:rsidRDefault="007B7808" w:rsidP="0056141B">
      <w:pPr>
        <w:widowControl w:val="0"/>
        <w:suppressAutoHyphens/>
        <w:autoSpaceDN w:val="0"/>
        <w:spacing w:line="259" w:lineRule="auto"/>
        <w:jc w:val="both"/>
        <w:textAlignment w:val="baseline"/>
        <w:rPr>
          <w:rFonts w:ascii="Arial" w:eastAsia="Calibri" w:hAnsi="Arial" w:cs="Arial"/>
          <w:kern w:val="3"/>
          <w:sz w:val="22"/>
          <w:szCs w:val="22"/>
          <w:lang w:eastAsia="zh-CN" w:bidi="hi-IN"/>
        </w:rPr>
      </w:pPr>
      <w:r w:rsidRPr="0056141B">
        <w:rPr>
          <w:rFonts w:ascii="Arial" w:eastAsia="Arial" w:hAnsi="Arial" w:cs="Arial"/>
          <w:b/>
          <w:kern w:val="3"/>
          <w:sz w:val="22"/>
          <w:szCs w:val="22"/>
          <w:lang w:eastAsia="zh-CN" w:bidi="hi-IN"/>
        </w:rPr>
        <w:t xml:space="preserve">Kapitalni projekt:  </w:t>
      </w:r>
    </w:p>
    <w:p w14:paraId="5697EB5F" w14:textId="77777777" w:rsidR="007B7808" w:rsidRPr="0056141B" w:rsidRDefault="007B7808" w:rsidP="0056141B">
      <w:pPr>
        <w:widowControl w:val="0"/>
        <w:suppressAutoHyphens/>
        <w:autoSpaceDN w:val="0"/>
        <w:spacing w:line="259" w:lineRule="auto"/>
        <w:jc w:val="both"/>
        <w:textAlignment w:val="baseline"/>
        <w:rPr>
          <w:rFonts w:ascii="Arial" w:eastAsia="Arial" w:hAnsi="Arial" w:cs="Arial"/>
          <w:kern w:val="3"/>
          <w:sz w:val="22"/>
          <w:szCs w:val="22"/>
          <w:lang w:eastAsia="zh-CN" w:bidi="hi-IN"/>
        </w:rPr>
      </w:pPr>
      <w:r w:rsidRPr="0056141B">
        <w:rPr>
          <w:rFonts w:ascii="Arial" w:eastAsia="Arial" w:hAnsi="Arial" w:cs="Arial"/>
          <w:kern w:val="3"/>
          <w:sz w:val="22"/>
          <w:szCs w:val="22"/>
          <w:lang w:eastAsia="zh-CN" w:bidi="hi-IN"/>
        </w:rPr>
        <w:t>U I. izmjenama i dopunama za  2025. godinu predvidjeli smo sredstva za nabavku potrebne opreme po kabinetima sukladno potrebama, nabavke  opreme i uređaja za školsku kuhinju, knjiga za školsku knjižnicu. Sredstva su osigurana iz sredstava DEC- u iznosu od 28.772,00 eura. Od općih prihoda i primitaka planirani iznos od  50.000,00 eura umanjen je za 25% te iznosi 40.000,00 - dodatna ulaganja na građevinskim objektima – školska dvorana.</w:t>
      </w:r>
    </w:p>
    <w:p w14:paraId="1D2D6C70" w14:textId="77777777" w:rsidR="007B7808" w:rsidRPr="0056141B" w:rsidRDefault="007B7808" w:rsidP="0056141B">
      <w:pPr>
        <w:widowControl w:val="0"/>
        <w:suppressAutoHyphens/>
        <w:autoSpaceDN w:val="0"/>
        <w:spacing w:line="259" w:lineRule="auto"/>
        <w:jc w:val="both"/>
        <w:textAlignment w:val="baseline"/>
        <w:rPr>
          <w:rFonts w:ascii="Arial" w:eastAsia="Arial" w:hAnsi="Arial" w:cs="Arial"/>
          <w:kern w:val="3"/>
          <w:sz w:val="22"/>
          <w:szCs w:val="22"/>
          <w:lang w:eastAsia="zh-CN" w:bidi="hi-IN"/>
        </w:rPr>
      </w:pPr>
      <w:r w:rsidRPr="0056141B">
        <w:rPr>
          <w:rFonts w:ascii="Arial" w:eastAsia="Arial" w:hAnsi="Arial" w:cs="Arial"/>
          <w:kern w:val="3"/>
          <w:sz w:val="22"/>
          <w:szCs w:val="22"/>
          <w:lang w:eastAsia="zh-CN" w:bidi="hi-IN"/>
        </w:rPr>
        <w:t>Za tu aktivnost ukupno planirana  sredstva iznose 68.772,00 eura.</w:t>
      </w:r>
    </w:p>
    <w:p w14:paraId="72A5BEC1" w14:textId="77777777" w:rsidR="007B7808" w:rsidRPr="0056141B" w:rsidRDefault="007B7808" w:rsidP="0056141B">
      <w:pPr>
        <w:widowControl w:val="0"/>
        <w:suppressAutoHyphens/>
        <w:autoSpaceDN w:val="0"/>
        <w:spacing w:line="259" w:lineRule="auto"/>
        <w:jc w:val="both"/>
        <w:textAlignment w:val="baseline"/>
        <w:rPr>
          <w:rFonts w:ascii="Arial" w:eastAsia="Arial" w:hAnsi="Arial" w:cs="Arial"/>
          <w:kern w:val="3"/>
          <w:sz w:val="22"/>
          <w:szCs w:val="22"/>
          <w:lang w:eastAsia="zh-CN" w:bidi="hi-IN"/>
        </w:rPr>
      </w:pPr>
    </w:p>
    <w:p w14:paraId="5B93E98C" w14:textId="77777777" w:rsidR="007B7808" w:rsidRPr="00B11671" w:rsidRDefault="007B7808" w:rsidP="007B7808">
      <w:pPr>
        <w:widowControl w:val="0"/>
        <w:suppressAutoHyphens/>
        <w:autoSpaceDN w:val="0"/>
        <w:spacing w:line="288" w:lineRule="auto"/>
        <w:jc w:val="both"/>
        <w:textAlignment w:val="baseline"/>
        <w:rPr>
          <w:rFonts w:ascii="Arial" w:eastAsia="Arial" w:hAnsi="Arial" w:cs="Arial"/>
          <w:kern w:val="3"/>
          <w:sz w:val="22"/>
          <w:lang w:eastAsia="zh-CN" w:bidi="hi-IN"/>
        </w:rPr>
      </w:pPr>
      <w:r w:rsidRPr="00B11671">
        <w:rPr>
          <w:rFonts w:ascii="Arial" w:eastAsia="Arial" w:hAnsi="Arial" w:cs="Arial"/>
          <w:kern w:val="3"/>
          <w:sz w:val="22"/>
          <w:lang w:eastAsia="zh-CN" w:bidi="hi-IN"/>
        </w:rPr>
        <w:t xml:space="preserve">Tablica br. </w:t>
      </w:r>
      <w:r>
        <w:rPr>
          <w:rFonts w:ascii="Arial" w:eastAsia="Arial" w:hAnsi="Arial" w:cs="Arial"/>
          <w:kern w:val="3"/>
          <w:sz w:val="22"/>
          <w:lang w:eastAsia="zh-CN" w:bidi="hi-IN"/>
        </w:rPr>
        <w:t>5</w:t>
      </w:r>
      <w:r w:rsidRPr="00B11671">
        <w:rPr>
          <w:rFonts w:ascii="Arial" w:eastAsia="Arial" w:hAnsi="Arial" w:cs="Arial"/>
          <w:kern w:val="3"/>
          <w:sz w:val="22"/>
          <w:lang w:eastAsia="zh-CN" w:bidi="hi-IN"/>
        </w:rPr>
        <w:t xml:space="preserve"> – Rashodi prema funkcijskoj klasifikaciji</w:t>
      </w:r>
    </w:p>
    <w:tbl>
      <w:tblPr>
        <w:tblStyle w:val="Reetkatablice"/>
        <w:tblW w:w="10559" w:type="dxa"/>
        <w:tblInd w:w="-459" w:type="dxa"/>
        <w:tblLook w:val="04A0" w:firstRow="1" w:lastRow="0" w:firstColumn="1" w:lastColumn="0" w:noHBand="0" w:noVBand="1"/>
      </w:tblPr>
      <w:tblGrid>
        <w:gridCol w:w="1232"/>
        <w:gridCol w:w="3872"/>
        <w:gridCol w:w="1353"/>
        <w:gridCol w:w="1230"/>
        <w:gridCol w:w="1230"/>
        <w:gridCol w:w="1642"/>
      </w:tblGrid>
      <w:tr w:rsidR="007B7808" w:rsidRPr="00273285" w14:paraId="4A4E0A25" w14:textId="77777777" w:rsidTr="0056141B">
        <w:trPr>
          <w:trHeight w:val="510"/>
        </w:trPr>
        <w:tc>
          <w:tcPr>
            <w:tcW w:w="1232" w:type="dxa"/>
            <w:shd w:val="clear" w:color="auto" w:fill="A6A6A6" w:themeFill="background1" w:themeFillShade="A6"/>
            <w:hideMark/>
          </w:tcPr>
          <w:p w14:paraId="7029F601" w14:textId="77777777" w:rsidR="007B7808" w:rsidRPr="00273285" w:rsidRDefault="007B7808" w:rsidP="002815DB">
            <w:pPr>
              <w:widowControl w:val="0"/>
              <w:suppressAutoHyphens/>
              <w:autoSpaceDN w:val="0"/>
              <w:spacing w:line="288" w:lineRule="auto"/>
              <w:jc w:val="both"/>
              <w:textAlignment w:val="baseline"/>
              <w:rPr>
                <w:rFonts w:ascii="Arial" w:eastAsia="Arial" w:hAnsi="Arial" w:cs="Arial"/>
                <w:b/>
                <w:bCs/>
                <w:kern w:val="3"/>
                <w:sz w:val="18"/>
                <w:szCs w:val="18"/>
                <w:lang w:eastAsia="zh-CN" w:bidi="hi-IN"/>
              </w:rPr>
            </w:pPr>
            <w:r w:rsidRPr="00273285">
              <w:rPr>
                <w:rFonts w:ascii="Arial" w:eastAsia="Arial" w:hAnsi="Arial" w:cs="Arial"/>
                <w:b/>
                <w:bCs/>
                <w:kern w:val="3"/>
                <w:sz w:val="18"/>
                <w:szCs w:val="18"/>
                <w:lang w:eastAsia="zh-CN" w:bidi="hi-IN"/>
              </w:rPr>
              <w:t xml:space="preserve">BROJ </w:t>
            </w:r>
            <w:r w:rsidRPr="00273285">
              <w:rPr>
                <w:rFonts w:ascii="Arial" w:eastAsia="Arial" w:hAnsi="Arial" w:cs="Arial"/>
                <w:b/>
                <w:bCs/>
                <w:kern w:val="3"/>
                <w:sz w:val="18"/>
                <w:szCs w:val="18"/>
                <w:lang w:eastAsia="zh-CN" w:bidi="hi-IN"/>
              </w:rPr>
              <w:br/>
              <w:t>KONTA</w:t>
            </w:r>
          </w:p>
        </w:tc>
        <w:tc>
          <w:tcPr>
            <w:tcW w:w="3872" w:type="dxa"/>
            <w:shd w:val="clear" w:color="auto" w:fill="A6A6A6" w:themeFill="background1" w:themeFillShade="A6"/>
            <w:noWrap/>
            <w:hideMark/>
          </w:tcPr>
          <w:p w14:paraId="14CF6B3E" w14:textId="77777777" w:rsidR="007B7808" w:rsidRPr="00273285" w:rsidRDefault="007B7808" w:rsidP="002815DB">
            <w:pPr>
              <w:widowControl w:val="0"/>
              <w:suppressAutoHyphens/>
              <w:autoSpaceDN w:val="0"/>
              <w:spacing w:line="288" w:lineRule="auto"/>
              <w:jc w:val="both"/>
              <w:textAlignment w:val="baseline"/>
              <w:rPr>
                <w:rFonts w:ascii="Arial" w:eastAsia="Arial" w:hAnsi="Arial" w:cs="Arial"/>
                <w:b/>
                <w:bCs/>
                <w:kern w:val="3"/>
                <w:sz w:val="18"/>
                <w:szCs w:val="18"/>
                <w:lang w:eastAsia="zh-CN" w:bidi="hi-IN"/>
              </w:rPr>
            </w:pPr>
          </w:p>
          <w:p w14:paraId="7451EC22" w14:textId="77777777" w:rsidR="007B7808" w:rsidRPr="00273285" w:rsidRDefault="007B7808" w:rsidP="002815DB">
            <w:pPr>
              <w:widowControl w:val="0"/>
              <w:suppressAutoHyphens/>
              <w:autoSpaceDN w:val="0"/>
              <w:spacing w:line="288" w:lineRule="auto"/>
              <w:jc w:val="both"/>
              <w:textAlignment w:val="baseline"/>
              <w:rPr>
                <w:rFonts w:ascii="Arial" w:eastAsia="Arial" w:hAnsi="Arial" w:cs="Arial"/>
                <w:b/>
                <w:bCs/>
                <w:kern w:val="3"/>
                <w:sz w:val="18"/>
                <w:szCs w:val="18"/>
                <w:lang w:eastAsia="zh-CN" w:bidi="hi-IN"/>
              </w:rPr>
            </w:pPr>
            <w:r w:rsidRPr="00273285">
              <w:rPr>
                <w:rFonts w:ascii="Arial" w:eastAsia="Arial" w:hAnsi="Arial" w:cs="Arial"/>
                <w:b/>
                <w:bCs/>
                <w:kern w:val="3"/>
                <w:sz w:val="18"/>
                <w:szCs w:val="18"/>
                <w:lang w:eastAsia="zh-CN" w:bidi="hi-IN"/>
              </w:rPr>
              <w:t>VRSTA RASHODA / IZDATAKA</w:t>
            </w:r>
          </w:p>
        </w:tc>
        <w:tc>
          <w:tcPr>
            <w:tcW w:w="1353" w:type="dxa"/>
            <w:shd w:val="clear" w:color="auto" w:fill="A6A6A6" w:themeFill="background1" w:themeFillShade="A6"/>
            <w:noWrap/>
            <w:hideMark/>
          </w:tcPr>
          <w:p w14:paraId="05DCC08D" w14:textId="77777777" w:rsidR="007B7808" w:rsidRPr="00273285" w:rsidRDefault="007B7808" w:rsidP="002815DB">
            <w:pPr>
              <w:widowControl w:val="0"/>
              <w:suppressAutoHyphens/>
              <w:autoSpaceDN w:val="0"/>
              <w:spacing w:line="288" w:lineRule="auto"/>
              <w:jc w:val="center"/>
              <w:textAlignment w:val="baseline"/>
              <w:rPr>
                <w:rFonts w:ascii="Arial" w:eastAsia="Arial" w:hAnsi="Arial" w:cs="Arial"/>
                <w:b/>
                <w:bCs/>
                <w:kern w:val="3"/>
                <w:sz w:val="18"/>
                <w:szCs w:val="18"/>
                <w:lang w:eastAsia="zh-CN" w:bidi="hi-IN"/>
              </w:rPr>
            </w:pPr>
            <w:r w:rsidRPr="00273285">
              <w:rPr>
                <w:rFonts w:ascii="Arial" w:eastAsia="Arial" w:hAnsi="Arial" w:cs="Arial"/>
                <w:b/>
                <w:bCs/>
                <w:kern w:val="3"/>
                <w:sz w:val="18"/>
                <w:szCs w:val="18"/>
                <w:lang w:eastAsia="zh-CN" w:bidi="hi-IN"/>
              </w:rPr>
              <w:t>PLANIRANO</w:t>
            </w:r>
          </w:p>
          <w:p w14:paraId="00D39FCB" w14:textId="77777777" w:rsidR="007B7808" w:rsidRPr="00273285" w:rsidRDefault="007B7808" w:rsidP="002815DB">
            <w:pPr>
              <w:widowControl w:val="0"/>
              <w:suppressAutoHyphens/>
              <w:autoSpaceDN w:val="0"/>
              <w:spacing w:line="288" w:lineRule="auto"/>
              <w:jc w:val="center"/>
              <w:textAlignment w:val="baseline"/>
              <w:rPr>
                <w:rFonts w:ascii="Arial" w:eastAsia="Arial" w:hAnsi="Arial" w:cs="Arial"/>
                <w:b/>
                <w:bCs/>
                <w:kern w:val="3"/>
                <w:sz w:val="18"/>
                <w:szCs w:val="18"/>
                <w:lang w:eastAsia="zh-CN" w:bidi="hi-IN"/>
              </w:rPr>
            </w:pPr>
            <w:r w:rsidRPr="00273285">
              <w:rPr>
                <w:rFonts w:ascii="Arial" w:eastAsia="Arial" w:hAnsi="Arial" w:cs="Arial"/>
                <w:b/>
                <w:bCs/>
                <w:kern w:val="3"/>
                <w:sz w:val="18"/>
                <w:szCs w:val="18"/>
                <w:lang w:eastAsia="zh-CN" w:bidi="hi-IN"/>
              </w:rPr>
              <w:t>2025.</w:t>
            </w:r>
          </w:p>
        </w:tc>
        <w:tc>
          <w:tcPr>
            <w:tcW w:w="1230" w:type="dxa"/>
            <w:shd w:val="clear" w:color="auto" w:fill="A6A6A6" w:themeFill="background1" w:themeFillShade="A6"/>
            <w:noWrap/>
            <w:hideMark/>
          </w:tcPr>
          <w:p w14:paraId="51A5D58F" w14:textId="77777777" w:rsidR="007B7808" w:rsidRPr="00273285" w:rsidRDefault="007B7808" w:rsidP="002815DB">
            <w:pPr>
              <w:widowControl w:val="0"/>
              <w:suppressAutoHyphens/>
              <w:autoSpaceDN w:val="0"/>
              <w:spacing w:line="288" w:lineRule="auto"/>
              <w:jc w:val="center"/>
              <w:textAlignment w:val="baseline"/>
              <w:rPr>
                <w:rFonts w:ascii="Arial" w:eastAsia="Arial" w:hAnsi="Arial" w:cs="Arial"/>
                <w:b/>
                <w:bCs/>
                <w:kern w:val="3"/>
                <w:sz w:val="18"/>
                <w:szCs w:val="18"/>
                <w:lang w:eastAsia="zh-CN" w:bidi="hi-IN"/>
              </w:rPr>
            </w:pPr>
            <w:r w:rsidRPr="00273285">
              <w:rPr>
                <w:rFonts w:ascii="Arial" w:eastAsia="Arial" w:hAnsi="Arial" w:cs="Arial"/>
                <w:b/>
                <w:bCs/>
                <w:kern w:val="3"/>
                <w:sz w:val="18"/>
                <w:szCs w:val="18"/>
                <w:lang w:eastAsia="zh-CN" w:bidi="hi-IN"/>
              </w:rPr>
              <w:t>PROMJENA IZNOS</w:t>
            </w:r>
          </w:p>
        </w:tc>
        <w:tc>
          <w:tcPr>
            <w:tcW w:w="1230" w:type="dxa"/>
            <w:shd w:val="clear" w:color="auto" w:fill="A6A6A6" w:themeFill="background1" w:themeFillShade="A6"/>
            <w:hideMark/>
          </w:tcPr>
          <w:p w14:paraId="61FEAC3C" w14:textId="77777777" w:rsidR="007B7808" w:rsidRPr="00273285" w:rsidRDefault="007B7808" w:rsidP="002815DB">
            <w:pPr>
              <w:widowControl w:val="0"/>
              <w:suppressAutoHyphens/>
              <w:autoSpaceDN w:val="0"/>
              <w:spacing w:line="288" w:lineRule="auto"/>
              <w:jc w:val="center"/>
              <w:textAlignment w:val="baseline"/>
              <w:rPr>
                <w:rFonts w:ascii="Arial" w:eastAsia="Arial" w:hAnsi="Arial" w:cs="Arial"/>
                <w:b/>
                <w:bCs/>
                <w:kern w:val="3"/>
                <w:sz w:val="18"/>
                <w:szCs w:val="18"/>
                <w:lang w:eastAsia="zh-CN" w:bidi="hi-IN"/>
              </w:rPr>
            </w:pPr>
            <w:r w:rsidRPr="00273285">
              <w:rPr>
                <w:rFonts w:ascii="Arial" w:eastAsia="Arial" w:hAnsi="Arial" w:cs="Arial"/>
                <w:b/>
                <w:bCs/>
                <w:kern w:val="3"/>
                <w:sz w:val="18"/>
                <w:szCs w:val="18"/>
                <w:lang w:eastAsia="zh-CN" w:bidi="hi-IN"/>
              </w:rPr>
              <w:t xml:space="preserve">PROMJENA </w:t>
            </w:r>
            <w:r w:rsidRPr="00273285">
              <w:rPr>
                <w:rFonts w:ascii="Arial" w:eastAsia="Arial" w:hAnsi="Arial" w:cs="Arial"/>
                <w:b/>
                <w:bCs/>
                <w:kern w:val="3"/>
                <w:sz w:val="18"/>
                <w:szCs w:val="18"/>
                <w:lang w:eastAsia="zh-CN" w:bidi="hi-IN"/>
              </w:rPr>
              <w:br/>
              <w:t>POSTOTAK</w:t>
            </w:r>
          </w:p>
        </w:tc>
        <w:tc>
          <w:tcPr>
            <w:tcW w:w="1642" w:type="dxa"/>
            <w:shd w:val="clear" w:color="auto" w:fill="A6A6A6" w:themeFill="background1" w:themeFillShade="A6"/>
            <w:noWrap/>
            <w:hideMark/>
          </w:tcPr>
          <w:p w14:paraId="02226493" w14:textId="77777777" w:rsidR="007B7808" w:rsidRPr="00273285" w:rsidRDefault="007B7808" w:rsidP="002815DB">
            <w:pPr>
              <w:widowControl w:val="0"/>
              <w:suppressAutoHyphens/>
              <w:autoSpaceDN w:val="0"/>
              <w:spacing w:line="288" w:lineRule="auto"/>
              <w:jc w:val="center"/>
              <w:textAlignment w:val="baseline"/>
              <w:rPr>
                <w:rFonts w:ascii="Arial" w:eastAsia="Arial" w:hAnsi="Arial" w:cs="Arial"/>
                <w:b/>
                <w:bCs/>
                <w:kern w:val="3"/>
                <w:sz w:val="18"/>
                <w:szCs w:val="18"/>
                <w:lang w:eastAsia="zh-CN" w:bidi="hi-IN"/>
              </w:rPr>
            </w:pPr>
          </w:p>
          <w:p w14:paraId="7C7908A8" w14:textId="77777777" w:rsidR="007B7808" w:rsidRPr="00273285" w:rsidRDefault="007B7808" w:rsidP="002815DB">
            <w:pPr>
              <w:widowControl w:val="0"/>
              <w:suppressAutoHyphens/>
              <w:autoSpaceDN w:val="0"/>
              <w:spacing w:line="288" w:lineRule="auto"/>
              <w:jc w:val="center"/>
              <w:textAlignment w:val="baseline"/>
              <w:rPr>
                <w:rFonts w:ascii="Arial" w:eastAsia="Arial" w:hAnsi="Arial" w:cs="Arial"/>
                <w:b/>
                <w:bCs/>
                <w:kern w:val="3"/>
                <w:sz w:val="18"/>
                <w:szCs w:val="18"/>
                <w:lang w:eastAsia="zh-CN" w:bidi="hi-IN"/>
              </w:rPr>
            </w:pPr>
            <w:r w:rsidRPr="00273285">
              <w:rPr>
                <w:rFonts w:ascii="Arial" w:eastAsia="Arial" w:hAnsi="Arial" w:cs="Arial"/>
                <w:b/>
                <w:bCs/>
                <w:kern w:val="3"/>
                <w:sz w:val="18"/>
                <w:szCs w:val="18"/>
                <w:lang w:eastAsia="zh-CN" w:bidi="hi-IN"/>
              </w:rPr>
              <w:t>NOVI IZNOS</w:t>
            </w:r>
          </w:p>
        </w:tc>
      </w:tr>
      <w:tr w:rsidR="007B7808" w:rsidRPr="00273285" w14:paraId="6188C043" w14:textId="77777777" w:rsidTr="0056141B">
        <w:trPr>
          <w:trHeight w:val="255"/>
        </w:trPr>
        <w:tc>
          <w:tcPr>
            <w:tcW w:w="5104" w:type="dxa"/>
            <w:gridSpan w:val="2"/>
            <w:shd w:val="clear" w:color="auto" w:fill="D9D9D9" w:themeFill="background1" w:themeFillShade="D9"/>
            <w:noWrap/>
            <w:hideMark/>
          </w:tcPr>
          <w:p w14:paraId="2EE81A9D" w14:textId="77777777" w:rsidR="007B7808" w:rsidRPr="00273285" w:rsidRDefault="007B7808" w:rsidP="002815DB">
            <w:pPr>
              <w:widowControl w:val="0"/>
              <w:suppressAutoHyphens/>
              <w:autoSpaceDN w:val="0"/>
              <w:spacing w:line="288" w:lineRule="auto"/>
              <w:jc w:val="both"/>
              <w:textAlignment w:val="baseline"/>
              <w:rPr>
                <w:rFonts w:ascii="Arial" w:eastAsia="Arial" w:hAnsi="Arial" w:cs="Arial"/>
                <w:b/>
                <w:bCs/>
                <w:kern w:val="3"/>
                <w:sz w:val="18"/>
                <w:szCs w:val="18"/>
                <w:lang w:eastAsia="zh-CN" w:bidi="hi-IN"/>
              </w:rPr>
            </w:pPr>
            <w:r w:rsidRPr="00273285">
              <w:rPr>
                <w:rFonts w:ascii="Arial" w:eastAsia="Arial" w:hAnsi="Arial" w:cs="Arial"/>
                <w:b/>
                <w:bCs/>
                <w:kern w:val="3"/>
                <w:sz w:val="18"/>
                <w:szCs w:val="18"/>
                <w:lang w:eastAsia="zh-CN" w:bidi="hi-IN"/>
              </w:rPr>
              <w:t xml:space="preserve">  SVEUKUPNO RASHODI / IZDACI</w:t>
            </w:r>
          </w:p>
        </w:tc>
        <w:tc>
          <w:tcPr>
            <w:tcW w:w="1353" w:type="dxa"/>
            <w:shd w:val="clear" w:color="auto" w:fill="D9D9D9" w:themeFill="background1" w:themeFillShade="D9"/>
            <w:noWrap/>
            <w:hideMark/>
          </w:tcPr>
          <w:p w14:paraId="1951C577" w14:textId="77777777" w:rsidR="007B7808" w:rsidRPr="00273285" w:rsidRDefault="007B7808" w:rsidP="002815DB">
            <w:pPr>
              <w:widowControl w:val="0"/>
              <w:suppressAutoHyphens/>
              <w:autoSpaceDN w:val="0"/>
              <w:spacing w:line="288" w:lineRule="auto"/>
              <w:jc w:val="right"/>
              <w:textAlignment w:val="baseline"/>
              <w:rPr>
                <w:rFonts w:ascii="Arial" w:eastAsia="Arial" w:hAnsi="Arial" w:cs="Arial"/>
                <w:b/>
                <w:bCs/>
                <w:kern w:val="3"/>
                <w:sz w:val="18"/>
                <w:szCs w:val="18"/>
                <w:lang w:eastAsia="zh-CN" w:bidi="hi-IN"/>
              </w:rPr>
            </w:pPr>
            <w:r w:rsidRPr="00273285">
              <w:rPr>
                <w:rFonts w:ascii="Arial" w:eastAsia="Arial" w:hAnsi="Arial" w:cs="Arial"/>
                <w:b/>
                <w:bCs/>
                <w:kern w:val="3"/>
                <w:sz w:val="18"/>
                <w:szCs w:val="18"/>
                <w:lang w:eastAsia="zh-CN" w:bidi="hi-IN"/>
              </w:rPr>
              <w:t>2.808.091,00</w:t>
            </w:r>
          </w:p>
        </w:tc>
        <w:tc>
          <w:tcPr>
            <w:tcW w:w="1230" w:type="dxa"/>
            <w:shd w:val="clear" w:color="auto" w:fill="D9D9D9" w:themeFill="background1" w:themeFillShade="D9"/>
            <w:noWrap/>
            <w:hideMark/>
          </w:tcPr>
          <w:p w14:paraId="71112432" w14:textId="77777777" w:rsidR="007B7808" w:rsidRPr="00273285" w:rsidRDefault="007B7808" w:rsidP="002815DB">
            <w:pPr>
              <w:widowControl w:val="0"/>
              <w:suppressAutoHyphens/>
              <w:autoSpaceDN w:val="0"/>
              <w:spacing w:line="288" w:lineRule="auto"/>
              <w:jc w:val="right"/>
              <w:textAlignment w:val="baseline"/>
              <w:rPr>
                <w:rFonts w:ascii="Arial" w:eastAsia="Arial" w:hAnsi="Arial" w:cs="Arial"/>
                <w:b/>
                <w:bCs/>
                <w:kern w:val="3"/>
                <w:sz w:val="18"/>
                <w:szCs w:val="18"/>
                <w:lang w:eastAsia="zh-CN" w:bidi="hi-IN"/>
              </w:rPr>
            </w:pPr>
            <w:r w:rsidRPr="00273285">
              <w:rPr>
                <w:rFonts w:ascii="Arial" w:eastAsia="Arial" w:hAnsi="Arial" w:cs="Arial"/>
                <w:b/>
                <w:bCs/>
                <w:kern w:val="3"/>
                <w:sz w:val="18"/>
                <w:szCs w:val="18"/>
                <w:lang w:eastAsia="zh-CN" w:bidi="hi-IN"/>
              </w:rPr>
              <w:t>153.292,00</w:t>
            </w:r>
          </w:p>
        </w:tc>
        <w:tc>
          <w:tcPr>
            <w:tcW w:w="1230" w:type="dxa"/>
            <w:shd w:val="clear" w:color="auto" w:fill="D9D9D9" w:themeFill="background1" w:themeFillShade="D9"/>
            <w:noWrap/>
            <w:hideMark/>
          </w:tcPr>
          <w:p w14:paraId="39A67452" w14:textId="77777777" w:rsidR="007B7808" w:rsidRPr="00273285" w:rsidRDefault="007B7808" w:rsidP="002815DB">
            <w:pPr>
              <w:widowControl w:val="0"/>
              <w:suppressAutoHyphens/>
              <w:autoSpaceDN w:val="0"/>
              <w:spacing w:line="288" w:lineRule="auto"/>
              <w:jc w:val="right"/>
              <w:textAlignment w:val="baseline"/>
              <w:rPr>
                <w:rFonts w:ascii="Arial" w:eastAsia="Arial" w:hAnsi="Arial" w:cs="Arial"/>
                <w:b/>
                <w:bCs/>
                <w:kern w:val="3"/>
                <w:sz w:val="18"/>
                <w:szCs w:val="18"/>
                <w:lang w:eastAsia="zh-CN" w:bidi="hi-IN"/>
              </w:rPr>
            </w:pPr>
            <w:r w:rsidRPr="00273285">
              <w:rPr>
                <w:rFonts w:ascii="Arial" w:eastAsia="Arial" w:hAnsi="Arial" w:cs="Arial"/>
                <w:b/>
                <w:bCs/>
                <w:kern w:val="3"/>
                <w:sz w:val="18"/>
                <w:szCs w:val="18"/>
                <w:lang w:eastAsia="zh-CN" w:bidi="hi-IN"/>
              </w:rPr>
              <w:t>5,46</w:t>
            </w:r>
          </w:p>
        </w:tc>
        <w:tc>
          <w:tcPr>
            <w:tcW w:w="1642" w:type="dxa"/>
            <w:shd w:val="clear" w:color="auto" w:fill="D9D9D9" w:themeFill="background1" w:themeFillShade="D9"/>
            <w:noWrap/>
            <w:hideMark/>
          </w:tcPr>
          <w:p w14:paraId="41C945D4" w14:textId="77777777" w:rsidR="007B7808" w:rsidRPr="00273285" w:rsidRDefault="007B7808" w:rsidP="002815DB">
            <w:pPr>
              <w:widowControl w:val="0"/>
              <w:suppressAutoHyphens/>
              <w:autoSpaceDN w:val="0"/>
              <w:spacing w:line="288" w:lineRule="auto"/>
              <w:jc w:val="right"/>
              <w:textAlignment w:val="baseline"/>
              <w:rPr>
                <w:rFonts w:ascii="Arial" w:eastAsia="Arial" w:hAnsi="Arial" w:cs="Arial"/>
                <w:b/>
                <w:bCs/>
                <w:kern w:val="3"/>
                <w:sz w:val="18"/>
                <w:szCs w:val="18"/>
                <w:lang w:eastAsia="zh-CN" w:bidi="hi-IN"/>
              </w:rPr>
            </w:pPr>
            <w:r w:rsidRPr="00273285">
              <w:rPr>
                <w:rFonts w:ascii="Arial" w:eastAsia="Arial" w:hAnsi="Arial" w:cs="Arial"/>
                <w:b/>
                <w:bCs/>
                <w:kern w:val="3"/>
                <w:sz w:val="18"/>
                <w:szCs w:val="18"/>
                <w:lang w:eastAsia="zh-CN" w:bidi="hi-IN"/>
              </w:rPr>
              <w:t>2.961.383,00</w:t>
            </w:r>
          </w:p>
        </w:tc>
      </w:tr>
      <w:tr w:rsidR="007B7808" w:rsidRPr="00273285" w14:paraId="6C958675" w14:textId="77777777" w:rsidTr="0056141B">
        <w:trPr>
          <w:trHeight w:val="255"/>
        </w:trPr>
        <w:tc>
          <w:tcPr>
            <w:tcW w:w="5104" w:type="dxa"/>
            <w:gridSpan w:val="2"/>
            <w:noWrap/>
            <w:hideMark/>
          </w:tcPr>
          <w:p w14:paraId="5644B9E8" w14:textId="77777777" w:rsidR="007B7808" w:rsidRPr="00273285" w:rsidRDefault="007B7808" w:rsidP="002815DB">
            <w:pPr>
              <w:widowControl w:val="0"/>
              <w:suppressAutoHyphens/>
              <w:autoSpaceDN w:val="0"/>
              <w:spacing w:line="288" w:lineRule="auto"/>
              <w:jc w:val="both"/>
              <w:textAlignment w:val="baseline"/>
              <w:rPr>
                <w:rFonts w:ascii="Arial" w:eastAsia="Arial" w:hAnsi="Arial" w:cs="Arial"/>
                <w:b/>
                <w:bCs/>
                <w:kern w:val="3"/>
                <w:sz w:val="18"/>
                <w:szCs w:val="18"/>
                <w:lang w:eastAsia="zh-CN" w:bidi="hi-IN"/>
              </w:rPr>
            </w:pPr>
            <w:r w:rsidRPr="00273285">
              <w:rPr>
                <w:rFonts w:ascii="Arial" w:eastAsia="Arial" w:hAnsi="Arial" w:cs="Arial"/>
                <w:b/>
                <w:bCs/>
                <w:kern w:val="3"/>
                <w:sz w:val="18"/>
                <w:szCs w:val="18"/>
                <w:lang w:eastAsia="zh-CN" w:bidi="hi-IN"/>
              </w:rPr>
              <w:t>Funkcijska klasifikacija  09 Obrazovanje</w:t>
            </w:r>
          </w:p>
        </w:tc>
        <w:tc>
          <w:tcPr>
            <w:tcW w:w="1353" w:type="dxa"/>
            <w:noWrap/>
            <w:hideMark/>
          </w:tcPr>
          <w:p w14:paraId="259CE4E1" w14:textId="77777777" w:rsidR="007B7808" w:rsidRPr="00273285" w:rsidRDefault="007B7808" w:rsidP="002815DB">
            <w:pPr>
              <w:widowControl w:val="0"/>
              <w:suppressAutoHyphens/>
              <w:autoSpaceDN w:val="0"/>
              <w:spacing w:line="288" w:lineRule="auto"/>
              <w:jc w:val="right"/>
              <w:textAlignment w:val="baseline"/>
              <w:rPr>
                <w:rFonts w:ascii="Arial" w:eastAsia="Arial" w:hAnsi="Arial" w:cs="Arial"/>
                <w:b/>
                <w:bCs/>
                <w:kern w:val="3"/>
                <w:sz w:val="18"/>
                <w:szCs w:val="18"/>
                <w:lang w:eastAsia="zh-CN" w:bidi="hi-IN"/>
              </w:rPr>
            </w:pPr>
            <w:r w:rsidRPr="00273285">
              <w:rPr>
                <w:rFonts w:ascii="Arial" w:eastAsia="Arial" w:hAnsi="Arial" w:cs="Arial"/>
                <w:b/>
                <w:bCs/>
                <w:kern w:val="3"/>
                <w:sz w:val="18"/>
                <w:szCs w:val="18"/>
                <w:lang w:eastAsia="zh-CN" w:bidi="hi-IN"/>
              </w:rPr>
              <w:t>2.808.091,00</w:t>
            </w:r>
          </w:p>
        </w:tc>
        <w:tc>
          <w:tcPr>
            <w:tcW w:w="1230" w:type="dxa"/>
            <w:noWrap/>
            <w:hideMark/>
          </w:tcPr>
          <w:p w14:paraId="0F055F49" w14:textId="77777777" w:rsidR="007B7808" w:rsidRPr="00273285" w:rsidRDefault="007B7808" w:rsidP="002815DB">
            <w:pPr>
              <w:widowControl w:val="0"/>
              <w:suppressAutoHyphens/>
              <w:autoSpaceDN w:val="0"/>
              <w:spacing w:line="288" w:lineRule="auto"/>
              <w:jc w:val="right"/>
              <w:textAlignment w:val="baseline"/>
              <w:rPr>
                <w:rFonts w:ascii="Arial" w:eastAsia="Arial" w:hAnsi="Arial" w:cs="Arial"/>
                <w:b/>
                <w:bCs/>
                <w:kern w:val="3"/>
                <w:sz w:val="18"/>
                <w:szCs w:val="18"/>
                <w:lang w:eastAsia="zh-CN" w:bidi="hi-IN"/>
              </w:rPr>
            </w:pPr>
            <w:r w:rsidRPr="00273285">
              <w:rPr>
                <w:rFonts w:ascii="Arial" w:eastAsia="Arial" w:hAnsi="Arial" w:cs="Arial"/>
                <w:b/>
                <w:bCs/>
                <w:kern w:val="3"/>
                <w:sz w:val="18"/>
                <w:szCs w:val="18"/>
                <w:lang w:eastAsia="zh-CN" w:bidi="hi-IN"/>
              </w:rPr>
              <w:t>153.292,00</w:t>
            </w:r>
          </w:p>
        </w:tc>
        <w:tc>
          <w:tcPr>
            <w:tcW w:w="1230" w:type="dxa"/>
            <w:noWrap/>
            <w:hideMark/>
          </w:tcPr>
          <w:p w14:paraId="5C253B4D" w14:textId="77777777" w:rsidR="007B7808" w:rsidRPr="00273285" w:rsidRDefault="007B7808" w:rsidP="002815DB">
            <w:pPr>
              <w:widowControl w:val="0"/>
              <w:suppressAutoHyphens/>
              <w:autoSpaceDN w:val="0"/>
              <w:spacing w:line="288" w:lineRule="auto"/>
              <w:jc w:val="right"/>
              <w:textAlignment w:val="baseline"/>
              <w:rPr>
                <w:rFonts w:ascii="Arial" w:eastAsia="Arial" w:hAnsi="Arial" w:cs="Arial"/>
                <w:b/>
                <w:bCs/>
                <w:kern w:val="3"/>
                <w:sz w:val="18"/>
                <w:szCs w:val="18"/>
                <w:lang w:eastAsia="zh-CN" w:bidi="hi-IN"/>
              </w:rPr>
            </w:pPr>
            <w:r w:rsidRPr="00273285">
              <w:rPr>
                <w:rFonts w:ascii="Arial" w:eastAsia="Arial" w:hAnsi="Arial" w:cs="Arial"/>
                <w:b/>
                <w:bCs/>
                <w:kern w:val="3"/>
                <w:sz w:val="18"/>
                <w:szCs w:val="18"/>
                <w:lang w:eastAsia="zh-CN" w:bidi="hi-IN"/>
              </w:rPr>
              <w:t>5,46</w:t>
            </w:r>
          </w:p>
        </w:tc>
        <w:tc>
          <w:tcPr>
            <w:tcW w:w="1642" w:type="dxa"/>
            <w:noWrap/>
            <w:hideMark/>
          </w:tcPr>
          <w:p w14:paraId="1B60D344" w14:textId="77777777" w:rsidR="007B7808" w:rsidRPr="00273285" w:rsidRDefault="007B7808" w:rsidP="002815DB">
            <w:pPr>
              <w:widowControl w:val="0"/>
              <w:suppressAutoHyphens/>
              <w:autoSpaceDN w:val="0"/>
              <w:spacing w:line="288" w:lineRule="auto"/>
              <w:jc w:val="right"/>
              <w:textAlignment w:val="baseline"/>
              <w:rPr>
                <w:rFonts w:ascii="Arial" w:eastAsia="Arial" w:hAnsi="Arial" w:cs="Arial"/>
                <w:b/>
                <w:bCs/>
                <w:kern w:val="3"/>
                <w:sz w:val="18"/>
                <w:szCs w:val="18"/>
                <w:lang w:eastAsia="zh-CN" w:bidi="hi-IN"/>
              </w:rPr>
            </w:pPr>
            <w:r w:rsidRPr="00273285">
              <w:rPr>
                <w:rFonts w:ascii="Arial" w:eastAsia="Arial" w:hAnsi="Arial" w:cs="Arial"/>
                <w:b/>
                <w:bCs/>
                <w:kern w:val="3"/>
                <w:sz w:val="18"/>
                <w:szCs w:val="18"/>
                <w:lang w:eastAsia="zh-CN" w:bidi="hi-IN"/>
              </w:rPr>
              <w:t>2.961.383,00</w:t>
            </w:r>
          </w:p>
        </w:tc>
      </w:tr>
      <w:tr w:rsidR="007B7808" w:rsidRPr="00273285" w14:paraId="7AEE8D5F" w14:textId="77777777" w:rsidTr="0056141B">
        <w:trPr>
          <w:trHeight w:val="255"/>
        </w:trPr>
        <w:tc>
          <w:tcPr>
            <w:tcW w:w="5104" w:type="dxa"/>
            <w:gridSpan w:val="2"/>
            <w:noWrap/>
            <w:hideMark/>
          </w:tcPr>
          <w:p w14:paraId="3F541D88" w14:textId="77777777" w:rsidR="007B7808" w:rsidRPr="00273285" w:rsidRDefault="007B7808" w:rsidP="002815DB">
            <w:pPr>
              <w:widowControl w:val="0"/>
              <w:suppressAutoHyphens/>
              <w:autoSpaceDN w:val="0"/>
              <w:spacing w:line="288" w:lineRule="auto"/>
              <w:jc w:val="both"/>
              <w:textAlignment w:val="baseline"/>
              <w:rPr>
                <w:rFonts w:ascii="Arial" w:eastAsia="Arial" w:hAnsi="Arial" w:cs="Arial"/>
                <w:b/>
                <w:bCs/>
                <w:kern w:val="3"/>
                <w:sz w:val="18"/>
                <w:szCs w:val="18"/>
                <w:lang w:eastAsia="zh-CN" w:bidi="hi-IN"/>
              </w:rPr>
            </w:pPr>
            <w:r w:rsidRPr="00273285">
              <w:rPr>
                <w:rFonts w:ascii="Arial" w:eastAsia="Arial" w:hAnsi="Arial" w:cs="Arial"/>
                <w:b/>
                <w:bCs/>
                <w:kern w:val="3"/>
                <w:sz w:val="18"/>
                <w:szCs w:val="18"/>
                <w:lang w:eastAsia="zh-CN" w:bidi="hi-IN"/>
              </w:rPr>
              <w:t>Funkcijska klasifikacija  091 Predškolsko i osnovno obrazovanje</w:t>
            </w:r>
          </w:p>
        </w:tc>
        <w:tc>
          <w:tcPr>
            <w:tcW w:w="1353" w:type="dxa"/>
            <w:noWrap/>
            <w:hideMark/>
          </w:tcPr>
          <w:p w14:paraId="18FDBAF5" w14:textId="77777777" w:rsidR="007B7808" w:rsidRPr="00273285" w:rsidRDefault="007B7808" w:rsidP="002815DB">
            <w:pPr>
              <w:widowControl w:val="0"/>
              <w:suppressAutoHyphens/>
              <w:autoSpaceDN w:val="0"/>
              <w:spacing w:line="288" w:lineRule="auto"/>
              <w:jc w:val="right"/>
              <w:textAlignment w:val="baseline"/>
              <w:rPr>
                <w:rFonts w:ascii="Arial" w:eastAsia="Arial" w:hAnsi="Arial" w:cs="Arial"/>
                <w:b/>
                <w:bCs/>
                <w:kern w:val="3"/>
                <w:sz w:val="18"/>
                <w:szCs w:val="18"/>
                <w:lang w:eastAsia="zh-CN" w:bidi="hi-IN"/>
              </w:rPr>
            </w:pPr>
            <w:r w:rsidRPr="00273285">
              <w:rPr>
                <w:rFonts w:ascii="Arial" w:eastAsia="Arial" w:hAnsi="Arial" w:cs="Arial"/>
                <w:b/>
                <w:bCs/>
                <w:kern w:val="3"/>
                <w:sz w:val="18"/>
                <w:szCs w:val="18"/>
                <w:lang w:eastAsia="zh-CN" w:bidi="hi-IN"/>
              </w:rPr>
              <w:t>2.808.091,00</w:t>
            </w:r>
          </w:p>
        </w:tc>
        <w:tc>
          <w:tcPr>
            <w:tcW w:w="1230" w:type="dxa"/>
            <w:noWrap/>
            <w:hideMark/>
          </w:tcPr>
          <w:p w14:paraId="58FA0698" w14:textId="77777777" w:rsidR="007B7808" w:rsidRPr="00273285" w:rsidRDefault="007B7808" w:rsidP="002815DB">
            <w:pPr>
              <w:widowControl w:val="0"/>
              <w:suppressAutoHyphens/>
              <w:autoSpaceDN w:val="0"/>
              <w:spacing w:line="288" w:lineRule="auto"/>
              <w:jc w:val="right"/>
              <w:textAlignment w:val="baseline"/>
              <w:rPr>
                <w:rFonts w:ascii="Arial" w:eastAsia="Arial" w:hAnsi="Arial" w:cs="Arial"/>
                <w:b/>
                <w:bCs/>
                <w:kern w:val="3"/>
                <w:sz w:val="18"/>
                <w:szCs w:val="18"/>
                <w:lang w:eastAsia="zh-CN" w:bidi="hi-IN"/>
              </w:rPr>
            </w:pPr>
            <w:r w:rsidRPr="00273285">
              <w:rPr>
                <w:rFonts w:ascii="Arial" w:eastAsia="Arial" w:hAnsi="Arial" w:cs="Arial"/>
                <w:b/>
                <w:bCs/>
                <w:kern w:val="3"/>
                <w:sz w:val="18"/>
                <w:szCs w:val="18"/>
                <w:lang w:eastAsia="zh-CN" w:bidi="hi-IN"/>
              </w:rPr>
              <w:t>153.292,00</w:t>
            </w:r>
          </w:p>
        </w:tc>
        <w:tc>
          <w:tcPr>
            <w:tcW w:w="1230" w:type="dxa"/>
            <w:noWrap/>
            <w:hideMark/>
          </w:tcPr>
          <w:p w14:paraId="0ADBDAE6" w14:textId="77777777" w:rsidR="007B7808" w:rsidRPr="00273285" w:rsidRDefault="007B7808" w:rsidP="002815DB">
            <w:pPr>
              <w:widowControl w:val="0"/>
              <w:suppressAutoHyphens/>
              <w:autoSpaceDN w:val="0"/>
              <w:spacing w:line="288" w:lineRule="auto"/>
              <w:jc w:val="right"/>
              <w:textAlignment w:val="baseline"/>
              <w:rPr>
                <w:rFonts w:ascii="Arial" w:eastAsia="Arial" w:hAnsi="Arial" w:cs="Arial"/>
                <w:b/>
                <w:bCs/>
                <w:kern w:val="3"/>
                <w:sz w:val="18"/>
                <w:szCs w:val="18"/>
                <w:lang w:eastAsia="zh-CN" w:bidi="hi-IN"/>
              </w:rPr>
            </w:pPr>
            <w:r w:rsidRPr="00273285">
              <w:rPr>
                <w:rFonts w:ascii="Arial" w:eastAsia="Arial" w:hAnsi="Arial" w:cs="Arial"/>
                <w:b/>
                <w:bCs/>
                <w:kern w:val="3"/>
                <w:sz w:val="18"/>
                <w:szCs w:val="18"/>
                <w:lang w:eastAsia="zh-CN" w:bidi="hi-IN"/>
              </w:rPr>
              <w:t>5,46</w:t>
            </w:r>
          </w:p>
        </w:tc>
        <w:tc>
          <w:tcPr>
            <w:tcW w:w="1642" w:type="dxa"/>
            <w:noWrap/>
            <w:hideMark/>
          </w:tcPr>
          <w:p w14:paraId="2F696FB0" w14:textId="77777777" w:rsidR="007B7808" w:rsidRPr="00273285" w:rsidRDefault="007B7808" w:rsidP="002815DB">
            <w:pPr>
              <w:widowControl w:val="0"/>
              <w:suppressAutoHyphens/>
              <w:autoSpaceDN w:val="0"/>
              <w:spacing w:line="288" w:lineRule="auto"/>
              <w:jc w:val="right"/>
              <w:textAlignment w:val="baseline"/>
              <w:rPr>
                <w:rFonts w:ascii="Arial" w:eastAsia="Arial" w:hAnsi="Arial" w:cs="Arial"/>
                <w:b/>
                <w:bCs/>
                <w:kern w:val="3"/>
                <w:sz w:val="18"/>
                <w:szCs w:val="18"/>
                <w:lang w:eastAsia="zh-CN" w:bidi="hi-IN"/>
              </w:rPr>
            </w:pPr>
            <w:r w:rsidRPr="00273285">
              <w:rPr>
                <w:rFonts w:ascii="Arial" w:eastAsia="Arial" w:hAnsi="Arial" w:cs="Arial"/>
                <w:b/>
                <w:bCs/>
                <w:kern w:val="3"/>
                <w:sz w:val="18"/>
                <w:szCs w:val="18"/>
                <w:lang w:eastAsia="zh-CN" w:bidi="hi-IN"/>
              </w:rPr>
              <w:t>2.961.383,00</w:t>
            </w:r>
          </w:p>
        </w:tc>
      </w:tr>
    </w:tbl>
    <w:p w14:paraId="2CB27EEF" w14:textId="77777777" w:rsidR="007B7808" w:rsidRPr="005A64B1" w:rsidRDefault="007B7808" w:rsidP="007B7808">
      <w:pPr>
        <w:widowControl w:val="0"/>
        <w:suppressAutoHyphens/>
        <w:autoSpaceDN w:val="0"/>
        <w:spacing w:line="288" w:lineRule="auto"/>
        <w:jc w:val="both"/>
        <w:textAlignment w:val="baseline"/>
        <w:rPr>
          <w:rFonts w:ascii="Arial" w:eastAsia="Arial" w:hAnsi="Arial" w:cs="Arial"/>
          <w:color w:val="FF0000"/>
          <w:kern w:val="3"/>
          <w:sz w:val="22"/>
          <w:lang w:eastAsia="zh-CN" w:bidi="hi-IN"/>
        </w:rPr>
      </w:pPr>
    </w:p>
    <w:p w14:paraId="56BC4F65" w14:textId="77777777" w:rsidR="007B7808" w:rsidRPr="005A64B1" w:rsidRDefault="007B7808" w:rsidP="0056141B">
      <w:pPr>
        <w:widowControl w:val="0"/>
        <w:suppressAutoHyphens/>
        <w:autoSpaceDN w:val="0"/>
        <w:spacing w:line="259" w:lineRule="auto"/>
        <w:jc w:val="both"/>
        <w:textAlignment w:val="baseline"/>
        <w:rPr>
          <w:rFonts w:ascii="Arial" w:eastAsia="Arial" w:hAnsi="Arial" w:cs="Arial"/>
          <w:color w:val="FF0000"/>
          <w:kern w:val="3"/>
          <w:sz w:val="22"/>
          <w:lang w:eastAsia="zh-CN" w:bidi="hi-IN"/>
        </w:rPr>
      </w:pPr>
    </w:p>
    <w:p w14:paraId="113EB4DB" w14:textId="77777777" w:rsidR="007B7808" w:rsidRPr="00657E49" w:rsidRDefault="007B7808" w:rsidP="0056141B">
      <w:pPr>
        <w:widowControl w:val="0"/>
        <w:suppressAutoHyphens/>
        <w:autoSpaceDN w:val="0"/>
        <w:spacing w:line="259" w:lineRule="auto"/>
        <w:jc w:val="both"/>
        <w:textAlignment w:val="baseline"/>
        <w:rPr>
          <w:rFonts w:ascii="Arial" w:eastAsia="Arial" w:hAnsi="Arial" w:cs="Arial"/>
          <w:kern w:val="3"/>
          <w:sz w:val="22"/>
          <w:lang w:eastAsia="zh-CN" w:bidi="hi-IN"/>
        </w:rPr>
      </w:pPr>
      <w:r w:rsidRPr="00657E49">
        <w:rPr>
          <w:rFonts w:ascii="Arial" w:eastAsia="Arial" w:hAnsi="Arial" w:cs="Arial"/>
          <w:kern w:val="3"/>
          <w:sz w:val="22"/>
          <w:lang w:eastAsia="zh-CN" w:bidi="hi-IN"/>
        </w:rPr>
        <w:t xml:space="preserve">Tablica br. </w:t>
      </w:r>
      <w:r>
        <w:rPr>
          <w:rFonts w:ascii="Arial" w:eastAsia="Arial" w:hAnsi="Arial" w:cs="Arial"/>
          <w:kern w:val="3"/>
          <w:sz w:val="22"/>
          <w:lang w:eastAsia="zh-CN" w:bidi="hi-IN"/>
        </w:rPr>
        <w:t>6</w:t>
      </w:r>
      <w:r w:rsidRPr="00657E49">
        <w:rPr>
          <w:rFonts w:ascii="Arial" w:eastAsia="Arial" w:hAnsi="Arial" w:cs="Arial"/>
          <w:kern w:val="3"/>
          <w:sz w:val="22"/>
          <w:lang w:eastAsia="zh-CN" w:bidi="hi-IN"/>
        </w:rPr>
        <w:t xml:space="preserve"> - Prijedlog I. izmjena i dopuna financijskog plana OŠ „ivo Lola Ribar“ Labin – Posebni dio</w:t>
      </w:r>
    </w:p>
    <w:p w14:paraId="2DACDCE6" w14:textId="77777777" w:rsidR="007B7808" w:rsidRPr="00657E49" w:rsidRDefault="007B7808" w:rsidP="0056141B">
      <w:pPr>
        <w:widowControl w:val="0"/>
        <w:suppressAutoHyphens/>
        <w:autoSpaceDN w:val="0"/>
        <w:spacing w:line="259" w:lineRule="auto"/>
        <w:jc w:val="both"/>
        <w:textAlignment w:val="baseline"/>
        <w:rPr>
          <w:rFonts w:ascii="Arial" w:eastAsia="Arial" w:hAnsi="Arial" w:cs="Arial"/>
          <w:kern w:val="3"/>
          <w:sz w:val="22"/>
          <w:lang w:eastAsia="zh-CN" w:bidi="hi-IN"/>
        </w:rPr>
      </w:pPr>
    </w:p>
    <w:tbl>
      <w:tblPr>
        <w:tblStyle w:val="Reetkatablice"/>
        <w:tblW w:w="10632" w:type="dxa"/>
        <w:tblInd w:w="-459" w:type="dxa"/>
        <w:tblLook w:val="04A0" w:firstRow="1" w:lastRow="0" w:firstColumn="1" w:lastColumn="0" w:noHBand="0" w:noVBand="1"/>
      </w:tblPr>
      <w:tblGrid>
        <w:gridCol w:w="1232"/>
        <w:gridCol w:w="3895"/>
        <w:gridCol w:w="1394"/>
        <w:gridCol w:w="1117"/>
        <w:gridCol w:w="1117"/>
        <w:gridCol w:w="1877"/>
      </w:tblGrid>
      <w:tr w:rsidR="007B7808" w:rsidRPr="00657E49" w14:paraId="042CCED4" w14:textId="77777777" w:rsidTr="0056141B">
        <w:trPr>
          <w:trHeight w:val="741"/>
        </w:trPr>
        <w:tc>
          <w:tcPr>
            <w:tcW w:w="1232" w:type="dxa"/>
            <w:shd w:val="clear" w:color="auto" w:fill="A6A6A6" w:themeFill="background1" w:themeFillShade="A6"/>
            <w:hideMark/>
          </w:tcPr>
          <w:p w14:paraId="5BA324E4" w14:textId="77777777" w:rsidR="007B7808" w:rsidRPr="00657E49" w:rsidRDefault="007B7808" w:rsidP="002815DB">
            <w:pPr>
              <w:widowControl w:val="0"/>
              <w:suppressAutoHyphens/>
              <w:autoSpaceDN w:val="0"/>
              <w:spacing w:line="288" w:lineRule="auto"/>
              <w:jc w:val="center"/>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 xml:space="preserve">BROJ </w:t>
            </w:r>
            <w:r w:rsidRPr="00657E49">
              <w:rPr>
                <w:rFonts w:ascii="Arial" w:eastAsia="Arial" w:hAnsi="Arial" w:cs="Arial"/>
                <w:b/>
                <w:bCs/>
                <w:kern w:val="3"/>
                <w:sz w:val="16"/>
                <w:szCs w:val="16"/>
                <w:lang w:eastAsia="zh-CN" w:bidi="hi-IN"/>
              </w:rPr>
              <w:br/>
              <w:t>KONTA</w:t>
            </w:r>
          </w:p>
        </w:tc>
        <w:tc>
          <w:tcPr>
            <w:tcW w:w="3895" w:type="dxa"/>
            <w:shd w:val="clear" w:color="auto" w:fill="A6A6A6" w:themeFill="background1" w:themeFillShade="A6"/>
            <w:noWrap/>
            <w:hideMark/>
          </w:tcPr>
          <w:p w14:paraId="1CCB27A8" w14:textId="77777777" w:rsidR="007B7808" w:rsidRPr="00657E49" w:rsidRDefault="007B7808" w:rsidP="002815DB">
            <w:pPr>
              <w:widowControl w:val="0"/>
              <w:suppressAutoHyphens/>
              <w:autoSpaceDN w:val="0"/>
              <w:spacing w:line="288" w:lineRule="auto"/>
              <w:jc w:val="center"/>
              <w:textAlignment w:val="baseline"/>
              <w:rPr>
                <w:rFonts w:ascii="Arial" w:eastAsia="Arial" w:hAnsi="Arial" w:cs="Arial"/>
                <w:b/>
                <w:bCs/>
                <w:kern w:val="3"/>
                <w:sz w:val="16"/>
                <w:szCs w:val="16"/>
                <w:lang w:eastAsia="zh-CN" w:bidi="hi-IN"/>
              </w:rPr>
            </w:pPr>
          </w:p>
          <w:p w14:paraId="38BD0FEE" w14:textId="77777777" w:rsidR="007B7808" w:rsidRPr="00657E49" w:rsidRDefault="007B7808" w:rsidP="002815DB">
            <w:pPr>
              <w:widowControl w:val="0"/>
              <w:suppressAutoHyphens/>
              <w:autoSpaceDN w:val="0"/>
              <w:spacing w:line="288" w:lineRule="auto"/>
              <w:jc w:val="center"/>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VRSTA PRIHODA / PRIMITAKA</w:t>
            </w:r>
          </w:p>
        </w:tc>
        <w:tc>
          <w:tcPr>
            <w:tcW w:w="1394" w:type="dxa"/>
            <w:shd w:val="clear" w:color="auto" w:fill="A6A6A6" w:themeFill="background1" w:themeFillShade="A6"/>
            <w:noWrap/>
            <w:hideMark/>
          </w:tcPr>
          <w:p w14:paraId="4818E445" w14:textId="77777777" w:rsidR="007B7808" w:rsidRPr="00657E49" w:rsidRDefault="007B7808" w:rsidP="002815DB">
            <w:pPr>
              <w:widowControl w:val="0"/>
              <w:suppressAutoHyphens/>
              <w:autoSpaceDN w:val="0"/>
              <w:spacing w:line="288" w:lineRule="auto"/>
              <w:jc w:val="center"/>
              <w:textAlignment w:val="baseline"/>
              <w:rPr>
                <w:rFonts w:ascii="Arial" w:eastAsia="Arial" w:hAnsi="Arial" w:cs="Arial"/>
                <w:b/>
                <w:bCs/>
                <w:kern w:val="3"/>
                <w:sz w:val="16"/>
                <w:szCs w:val="16"/>
                <w:lang w:eastAsia="zh-CN" w:bidi="hi-IN"/>
              </w:rPr>
            </w:pPr>
          </w:p>
          <w:p w14:paraId="7DF9F77D" w14:textId="77777777" w:rsidR="007B7808" w:rsidRPr="00657E49" w:rsidRDefault="007B7808" w:rsidP="002815DB">
            <w:pPr>
              <w:widowControl w:val="0"/>
              <w:suppressAutoHyphens/>
              <w:autoSpaceDN w:val="0"/>
              <w:spacing w:line="288" w:lineRule="auto"/>
              <w:jc w:val="center"/>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PLANIRANO</w:t>
            </w:r>
          </w:p>
        </w:tc>
        <w:tc>
          <w:tcPr>
            <w:tcW w:w="1117" w:type="dxa"/>
            <w:shd w:val="clear" w:color="auto" w:fill="A6A6A6" w:themeFill="background1" w:themeFillShade="A6"/>
            <w:noWrap/>
            <w:hideMark/>
          </w:tcPr>
          <w:p w14:paraId="79988119" w14:textId="77777777" w:rsidR="007B7808" w:rsidRPr="00657E49" w:rsidRDefault="007B7808" w:rsidP="002815DB">
            <w:pPr>
              <w:widowControl w:val="0"/>
              <w:suppressAutoHyphens/>
              <w:autoSpaceDN w:val="0"/>
              <w:spacing w:line="288" w:lineRule="auto"/>
              <w:jc w:val="center"/>
              <w:textAlignment w:val="baseline"/>
              <w:rPr>
                <w:rFonts w:ascii="Arial" w:eastAsia="Arial" w:hAnsi="Arial" w:cs="Arial"/>
                <w:b/>
                <w:bCs/>
                <w:kern w:val="3"/>
                <w:sz w:val="16"/>
                <w:szCs w:val="16"/>
                <w:lang w:eastAsia="zh-CN" w:bidi="hi-IN"/>
              </w:rPr>
            </w:pPr>
          </w:p>
          <w:p w14:paraId="6A9DA4AD" w14:textId="77777777" w:rsidR="007B7808" w:rsidRPr="00657E49" w:rsidRDefault="007B7808" w:rsidP="002815DB">
            <w:pPr>
              <w:widowControl w:val="0"/>
              <w:suppressAutoHyphens/>
              <w:autoSpaceDN w:val="0"/>
              <w:spacing w:line="288" w:lineRule="auto"/>
              <w:jc w:val="center"/>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PROMJENA IZNOS</w:t>
            </w:r>
          </w:p>
        </w:tc>
        <w:tc>
          <w:tcPr>
            <w:tcW w:w="1117" w:type="dxa"/>
            <w:shd w:val="clear" w:color="auto" w:fill="A6A6A6" w:themeFill="background1" w:themeFillShade="A6"/>
            <w:hideMark/>
          </w:tcPr>
          <w:p w14:paraId="3CC35FC8" w14:textId="77777777" w:rsidR="007B7808" w:rsidRPr="00657E49" w:rsidRDefault="007B7808" w:rsidP="002815DB">
            <w:pPr>
              <w:widowControl w:val="0"/>
              <w:suppressAutoHyphens/>
              <w:autoSpaceDN w:val="0"/>
              <w:spacing w:line="288" w:lineRule="auto"/>
              <w:jc w:val="center"/>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 xml:space="preserve">PROMJENA </w:t>
            </w:r>
            <w:r w:rsidRPr="00657E49">
              <w:rPr>
                <w:rFonts w:ascii="Arial" w:eastAsia="Arial" w:hAnsi="Arial" w:cs="Arial"/>
                <w:b/>
                <w:bCs/>
                <w:kern w:val="3"/>
                <w:sz w:val="16"/>
                <w:szCs w:val="16"/>
                <w:lang w:eastAsia="zh-CN" w:bidi="hi-IN"/>
              </w:rPr>
              <w:br/>
              <w:t>POSTOTAK</w:t>
            </w:r>
          </w:p>
        </w:tc>
        <w:tc>
          <w:tcPr>
            <w:tcW w:w="1877" w:type="dxa"/>
            <w:shd w:val="clear" w:color="auto" w:fill="A6A6A6" w:themeFill="background1" w:themeFillShade="A6"/>
            <w:noWrap/>
            <w:hideMark/>
          </w:tcPr>
          <w:p w14:paraId="2E3E5AD1" w14:textId="77777777" w:rsidR="007B7808" w:rsidRPr="00657E49" w:rsidRDefault="007B7808" w:rsidP="002815DB">
            <w:pPr>
              <w:widowControl w:val="0"/>
              <w:suppressAutoHyphens/>
              <w:autoSpaceDN w:val="0"/>
              <w:spacing w:line="288" w:lineRule="auto"/>
              <w:jc w:val="center"/>
              <w:textAlignment w:val="baseline"/>
              <w:rPr>
                <w:rFonts w:ascii="Arial" w:eastAsia="Arial" w:hAnsi="Arial" w:cs="Arial"/>
                <w:b/>
                <w:bCs/>
                <w:kern w:val="3"/>
                <w:sz w:val="16"/>
                <w:szCs w:val="16"/>
                <w:lang w:eastAsia="zh-CN" w:bidi="hi-IN"/>
              </w:rPr>
            </w:pPr>
          </w:p>
          <w:p w14:paraId="292ED1A1" w14:textId="77777777" w:rsidR="007B7808" w:rsidRPr="00657E49" w:rsidRDefault="007B7808" w:rsidP="002815DB">
            <w:pPr>
              <w:widowControl w:val="0"/>
              <w:suppressAutoHyphens/>
              <w:autoSpaceDN w:val="0"/>
              <w:spacing w:line="288" w:lineRule="auto"/>
              <w:jc w:val="center"/>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NOVI IZNOS</w:t>
            </w:r>
          </w:p>
        </w:tc>
      </w:tr>
      <w:tr w:rsidR="007B7808" w:rsidRPr="00657E49" w14:paraId="774C6CF0" w14:textId="77777777" w:rsidTr="0056141B">
        <w:trPr>
          <w:trHeight w:val="255"/>
        </w:trPr>
        <w:tc>
          <w:tcPr>
            <w:tcW w:w="5127" w:type="dxa"/>
            <w:gridSpan w:val="2"/>
            <w:shd w:val="clear" w:color="auto" w:fill="FFFFFF" w:themeFill="background1"/>
            <w:noWrap/>
            <w:hideMark/>
          </w:tcPr>
          <w:p w14:paraId="46075D7A"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 xml:space="preserve">  SVEUKUPNO PRIHODI</w:t>
            </w:r>
          </w:p>
        </w:tc>
        <w:tc>
          <w:tcPr>
            <w:tcW w:w="1394" w:type="dxa"/>
            <w:shd w:val="clear" w:color="auto" w:fill="FFFFFF" w:themeFill="background1"/>
            <w:noWrap/>
            <w:hideMark/>
          </w:tcPr>
          <w:p w14:paraId="2399EF9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2.808.091,00</w:t>
            </w:r>
          </w:p>
        </w:tc>
        <w:tc>
          <w:tcPr>
            <w:tcW w:w="1117" w:type="dxa"/>
            <w:shd w:val="clear" w:color="auto" w:fill="FFFFFF" w:themeFill="background1"/>
            <w:noWrap/>
            <w:hideMark/>
          </w:tcPr>
          <w:p w14:paraId="6388EDE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173.043,00</w:t>
            </w:r>
          </w:p>
        </w:tc>
        <w:tc>
          <w:tcPr>
            <w:tcW w:w="1117" w:type="dxa"/>
            <w:shd w:val="clear" w:color="auto" w:fill="FFFFFF" w:themeFill="background1"/>
            <w:noWrap/>
            <w:hideMark/>
          </w:tcPr>
          <w:p w14:paraId="171CDC9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5,81</w:t>
            </w:r>
          </w:p>
        </w:tc>
        <w:tc>
          <w:tcPr>
            <w:tcW w:w="1877" w:type="dxa"/>
            <w:shd w:val="clear" w:color="auto" w:fill="FFFFFF" w:themeFill="background1"/>
            <w:noWrap/>
            <w:hideMark/>
          </w:tcPr>
          <w:p w14:paraId="4948575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2.971.764,00</w:t>
            </w:r>
          </w:p>
        </w:tc>
      </w:tr>
      <w:tr w:rsidR="007B7808" w:rsidRPr="00657E49" w14:paraId="0FCB048A" w14:textId="77777777" w:rsidTr="0056141B">
        <w:trPr>
          <w:trHeight w:val="255"/>
        </w:trPr>
        <w:tc>
          <w:tcPr>
            <w:tcW w:w="5127" w:type="dxa"/>
            <w:gridSpan w:val="2"/>
            <w:shd w:val="clear" w:color="auto" w:fill="FFFFFF" w:themeFill="background1"/>
            <w:noWrap/>
            <w:hideMark/>
          </w:tcPr>
          <w:p w14:paraId="49FC317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Razdjel 000 PRIHODI I PRIMICI</w:t>
            </w:r>
          </w:p>
        </w:tc>
        <w:tc>
          <w:tcPr>
            <w:tcW w:w="1394" w:type="dxa"/>
            <w:shd w:val="clear" w:color="auto" w:fill="FFFFFF" w:themeFill="background1"/>
            <w:noWrap/>
            <w:hideMark/>
          </w:tcPr>
          <w:p w14:paraId="6B01986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2.350.897,00</w:t>
            </w:r>
          </w:p>
        </w:tc>
        <w:tc>
          <w:tcPr>
            <w:tcW w:w="1117" w:type="dxa"/>
            <w:shd w:val="clear" w:color="auto" w:fill="FFFFFF" w:themeFill="background1"/>
            <w:noWrap/>
            <w:hideMark/>
          </w:tcPr>
          <w:p w14:paraId="3741D91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106.661,00</w:t>
            </w:r>
          </w:p>
        </w:tc>
        <w:tc>
          <w:tcPr>
            <w:tcW w:w="1117" w:type="dxa"/>
            <w:shd w:val="clear" w:color="auto" w:fill="FFFFFF" w:themeFill="background1"/>
            <w:noWrap/>
            <w:hideMark/>
          </w:tcPr>
          <w:p w14:paraId="7432A12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4,54</w:t>
            </w:r>
          </w:p>
        </w:tc>
        <w:tc>
          <w:tcPr>
            <w:tcW w:w="1877" w:type="dxa"/>
            <w:shd w:val="clear" w:color="auto" w:fill="FFFFFF" w:themeFill="background1"/>
            <w:noWrap/>
            <w:hideMark/>
          </w:tcPr>
          <w:p w14:paraId="555DEFF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2.457.558,00</w:t>
            </w:r>
          </w:p>
        </w:tc>
      </w:tr>
      <w:tr w:rsidR="007B7808" w:rsidRPr="00657E49" w14:paraId="6B38D412" w14:textId="77777777" w:rsidTr="0056141B">
        <w:trPr>
          <w:trHeight w:val="255"/>
        </w:trPr>
        <w:tc>
          <w:tcPr>
            <w:tcW w:w="5127" w:type="dxa"/>
            <w:gridSpan w:val="2"/>
            <w:shd w:val="clear" w:color="auto" w:fill="FFFFFF" w:themeFill="background1"/>
            <w:noWrap/>
            <w:hideMark/>
          </w:tcPr>
          <w:p w14:paraId="7A79CBA4"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Glava 00005 VLASTITI I OSTALI PRIHODI PRORAČUNSKIH KORISNIKA</w:t>
            </w:r>
          </w:p>
        </w:tc>
        <w:tc>
          <w:tcPr>
            <w:tcW w:w="1394" w:type="dxa"/>
            <w:shd w:val="clear" w:color="auto" w:fill="FFFFFF" w:themeFill="background1"/>
            <w:noWrap/>
            <w:hideMark/>
          </w:tcPr>
          <w:p w14:paraId="2D86448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2.350.897,00</w:t>
            </w:r>
          </w:p>
        </w:tc>
        <w:tc>
          <w:tcPr>
            <w:tcW w:w="1117" w:type="dxa"/>
            <w:shd w:val="clear" w:color="auto" w:fill="FFFFFF" w:themeFill="background1"/>
            <w:noWrap/>
            <w:hideMark/>
          </w:tcPr>
          <w:p w14:paraId="13006CF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106.661,00</w:t>
            </w:r>
          </w:p>
        </w:tc>
        <w:tc>
          <w:tcPr>
            <w:tcW w:w="1117" w:type="dxa"/>
            <w:shd w:val="clear" w:color="auto" w:fill="FFFFFF" w:themeFill="background1"/>
            <w:noWrap/>
            <w:hideMark/>
          </w:tcPr>
          <w:p w14:paraId="12617C8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4,54</w:t>
            </w:r>
          </w:p>
        </w:tc>
        <w:tc>
          <w:tcPr>
            <w:tcW w:w="1877" w:type="dxa"/>
            <w:shd w:val="clear" w:color="auto" w:fill="FFFFFF" w:themeFill="background1"/>
            <w:noWrap/>
            <w:hideMark/>
          </w:tcPr>
          <w:p w14:paraId="40F3FCD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2.457.558,00</w:t>
            </w:r>
          </w:p>
        </w:tc>
      </w:tr>
      <w:tr w:rsidR="007B7808" w:rsidRPr="00657E49" w14:paraId="3DBBFBC0" w14:textId="77777777" w:rsidTr="0056141B">
        <w:trPr>
          <w:trHeight w:val="255"/>
        </w:trPr>
        <w:tc>
          <w:tcPr>
            <w:tcW w:w="5127" w:type="dxa"/>
            <w:gridSpan w:val="2"/>
            <w:shd w:val="clear" w:color="auto" w:fill="D9D9D9" w:themeFill="background1" w:themeFillShade="D9"/>
            <w:noWrap/>
            <w:hideMark/>
          </w:tcPr>
          <w:p w14:paraId="7E2CA74D"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Izvor  3.9. VLASTITI PRIHODI</w:t>
            </w:r>
          </w:p>
        </w:tc>
        <w:tc>
          <w:tcPr>
            <w:tcW w:w="1394" w:type="dxa"/>
            <w:shd w:val="clear" w:color="auto" w:fill="D9D9D9" w:themeFill="background1" w:themeFillShade="D9"/>
            <w:noWrap/>
            <w:hideMark/>
          </w:tcPr>
          <w:p w14:paraId="121B436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6.000,00</w:t>
            </w:r>
          </w:p>
        </w:tc>
        <w:tc>
          <w:tcPr>
            <w:tcW w:w="1117" w:type="dxa"/>
            <w:shd w:val="clear" w:color="auto" w:fill="D9D9D9" w:themeFill="background1" w:themeFillShade="D9"/>
            <w:noWrap/>
            <w:hideMark/>
          </w:tcPr>
          <w:p w14:paraId="3AF5F88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-1.159,00</w:t>
            </w:r>
          </w:p>
        </w:tc>
        <w:tc>
          <w:tcPr>
            <w:tcW w:w="1117" w:type="dxa"/>
            <w:shd w:val="clear" w:color="auto" w:fill="D9D9D9" w:themeFill="background1" w:themeFillShade="D9"/>
            <w:noWrap/>
            <w:hideMark/>
          </w:tcPr>
          <w:p w14:paraId="094BFD4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-19,32</w:t>
            </w:r>
          </w:p>
        </w:tc>
        <w:tc>
          <w:tcPr>
            <w:tcW w:w="1877" w:type="dxa"/>
            <w:shd w:val="clear" w:color="auto" w:fill="D9D9D9" w:themeFill="background1" w:themeFillShade="D9"/>
            <w:noWrap/>
            <w:hideMark/>
          </w:tcPr>
          <w:p w14:paraId="43415DE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4.841,00</w:t>
            </w:r>
          </w:p>
        </w:tc>
      </w:tr>
      <w:tr w:rsidR="007B7808" w:rsidRPr="00657E49" w14:paraId="69F83D24" w14:textId="77777777" w:rsidTr="002815DB">
        <w:trPr>
          <w:trHeight w:val="255"/>
        </w:trPr>
        <w:tc>
          <w:tcPr>
            <w:tcW w:w="1232" w:type="dxa"/>
            <w:noWrap/>
            <w:hideMark/>
          </w:tcPr>
          <w:p w14:paraId="6FB5BB4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w:t>
            </w:r>
          </w:p>
        </w:tc>
        <w:tc>
          <w:tcPr>
            <w:tcW w:w="3895" w:type="dxa"/>
            <w:noWrap/>
            <w:hideMark/>
          </w:tcPr>
          <w:p w14:paraId="29DDA9E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Prihodi poslovanja</w:t>
            </w:r>
          </w:p>
        </w:tc>
        <w:tc>
          <w:tcPr>
            <w:tcW w:w="1394" w:type="dxa"/>
            <w:noWrap/>
            <w:hideMark/>
          </w:tcPr>
          <w:p w14:paraId="37CB84A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3.000,00</w:t>
            </w:r>
          </w:p>
        </w:tc>
        <w:tc>
          <w:tcPr>
            <w:tcW w:w="1117" w:type="dxa"/>
            <w:noWrap/>
            <w:hideMark/>
          </w:tcPr>
          <w:p w14:paraId="15AC683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0,00</w:t>
            </w:r>
          </w:p>
        </w:tc>
        <w:tc>
          <w:tcPr>
            <w:tcW w:w="1117" w:type="dxa"/>
            <w:noWrap/>
            <w:hideMark/>
          </w:tcPr>
          <w:p w14:paraId="1227ABC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0,00</w:t>
            </w:r>
          </w:p>
        </w:tc>
        <w:tc>
          <w:tcPr>
            <w:tcW w:w="1877" w:type="dxa"/>
            <w:noWrap/>
            <w:hideMark/>
          </w:tcPr>
          <w:p w14:paraId="16F5ACF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3.000,00</w:t>
            </w:r>
          </w:p>
        </w:tc>
      </w:tr>
      <w:tr w:rsidR="007B7808" w:rsidRPr="00657E49" w14:paraId="2B394BCD" w14:textId="77777777" w:rsidTr="002815DB">
        <w:trPr>
          <w:trHeight w:val="255"/>
        </w:trPr>
        <w:tc>
          <w:tcPr>
            <w:tcW w:w="1232" w:type="dxa"/>
            <w:noWrap/>
            <w:hideMark/>
          </w:tcPr>
          <w:p w14:paraId="734E72A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66</w:t>
            </w:r>
          </w:p>
        </w:tc>
        <w:tc>
          <w:tcPr>
            <w:tcW w:w="3895" w:type="dxa"/>
            <w:noWrap/>
            <w:hideMark/>
          </w:tcPr>
          <w:p w14:paraId="2390818D"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 xml:space="preserve">Prihodi od prodaje proizvoda i robe te pruženih </w:t>
            </w:r>
            <w:r w:rsidRPr="00657E49">
              <w:rPr>
                <w:rFonts w:ascii="Arial" w:eastAsia="Arial" w:hAnsi="Arial" w:cs="Arial"/>
                <w:kern w:val="3"/>
                <w:sz w:val="16"/>
                <w:szCs w:val="16"/>
                <w:lang w:eastAsia="zh-CN" w:bidi="hi-IN"/>
              </w:rPr>
              <w:lastRenderedPageBreak/>
              <w:t>usluga, prihodi od donacija te povrati po protestira</w:t>
            </w:r>
          </w:p>
        </w:tc>
        <w:tc>
          <w:tcPr>
            <w:tcW w:w="1394" w:type="dxa"/>
            <w:noWrap/>
            <w:hideMark/>
          </w:tcPr>
          <w:p w14:paraId="79C6C9D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lastRenderedPageBreak/>
              <w:t>3.000,00</w:t>
            </w:r>
          </w:p>
        </w:tc>
        <w:tc>
          <w:tcPr>
            <w:tcW w:w="1117" w:type="dxa"/>
            <w:noWrap/>
            <w:hideMark/>
          </w:tcPr>
          <w:p w14:paraId="5A39880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6C256A3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877" w:type="dxa"/>
            <w:noWrap/>
            <w:hideMark/>
          </w:tcPr>
          <w:p w14:paraId="72686D6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3.000,00</w:t>
            </w:r>
          </w:p>
        </w:tc>
      </w:tr>
      <w:tr w:rsidR="007B7808" w:rsidRPr="00657E49" w14:paraId="2DA27D62" w14:textId="77777777" w:rsidTr="002815DB">
        <w:trPr>
          <w:trHeight w:val="255"/>
        </w:trPr>
        <w:tc>
          <w:tcPr>
            <w:tcW w:w="1232" w:type="dxa"/>
            <w:noWrap/>
            <w:hideMark/>
          </w:tcPr>
          <w:p w14:paraId="501DD369"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66</w:t>
            </w:r>
          </w:p>
        </w:tc>
        <w:tc>
          <w:tcPr>
            <w:tcW w:w="3895" w:type="dxa"/>
            <w:noWrap/>
            <w:hideMark/>
          </w:tcPr>
          <w:p w14:paraId="2344381E"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Prihodi od prodaje proizvoda i robe te pruženih usluga, prihodi od donacija te povrati po protestira</w:t>
            </w:r>
          </w:p>
        </w:tc>
        <w:tc>
          <w:tcPr>
            <w:tcW w:w="1394" w:type="dxa"/>
            <w:noWrap/>
            <w:hideMark/>
          </w:tcPr>
          <w:p w14:paraId="0B2989A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3.000,00</w:t>
            </w:r>
          </w:p>
        </w:tc>
        <w:tc>
          <w:tcPr>
            <w:tcW w:w="1117" w:type="dxa"/>
            <w:noWrap/>
            <w:hideMark/>
          </w:tcPr>
          <w:p w14:paraId="539197D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137AEF5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877" w:type="dxa"/>
            <w:noWrap/>
            <w:hideMark/>
          </w:tcPr>
          <w:p w14:paraId="6E3CCD7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3.000,00</w:t>
            </w:r>
          </w:p>
        </w:tc>
      </w:tr>
      <w:tr w:rsidR="007B7808" w:rsidRPr="00657E49" w14:paraId="6A480635" w14:textId="77777777" w:rsidTr="002815DB">
        <w:trPr>
          <w:trHeight w:val="255"/>
        </w:trPr>
        <w:tc>
          <w:tcPr>
            <w:tcW w:w="1232" w:type="dxa"/>
            <w:noWrap/>
            <w:hideMark/>
          </w:tcPr>
          <w:p w14:paraId="4DB0F2E4"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9</w:t>
            </w:r>
          </w:p>
        </w:tc>
        <w:tc>
          <w:tcPr>
            <w:tcW w:w="3895" w:type="dxa"/>
            <w:noWrap/>
            <w:hideMark/>
          </w:tcPr>
          <w:p w14:paraId="1862E9F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Vlastiti izvori</w:t>
            </w:r>
          </w:p>
        </w:tc>
        <w:tc>
          <w:tcPr>
            <w:tcW w:w="1394" w:type="dxa"/>
            <w:noWrap/>
            <w:hideMark/>
          </w:tcPr>
          <w:p w14:paraId="25B5CFF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3.000,00</w:t>
            </w:r>
          </w:p>
        </w:tc>
        <w:tc>
          <w:tcPr>
            <w:tcW w:w="1117" w:type="dxa"/>
            <w:noWrap/>
            <w:hideMark/>
          </w:tcPr>
          <w:p w14:paraId="4AF7210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-1.159,00</w:t>
            </w:r>
          </w:p>
        </w:tc>
        <w:tc>
          <w:tcPr>
            <w:tcW w:w="1117" w:type="dxa"/>
            <w:noWrap/>
            <w:hideMark/>
          </w:tcPr>
          <w:p w14:paraId="05BAC02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-38,63</w:t>
            </w:r>
          </w:p>
        </w:tc>
        <w:tc>
          <w:tcPr>
            <w:tcW w:w="1877" w:type="dxa"/>
            <w:noWrap/>
            <w:hideMark/>
          </w:tcPr>
          <w:p w14:paraId="686AF50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1.841,00</w:t>
            </w:r>
          </w:p>
        </w:tc>
      </w:tr>
      <w:tr w:rsidR="007B7808" w:rsidRPr="00657E49" w14:paraId="2AD48DFA" w14:textId="77777777" w:rsidTr="002815DB">
        <w:trPr>
          <w:trHeight w:val="255"/>
        </w:trPr>
        <w:tc>
          <w:tcPr>
            <w:tcW w:w="1232" w:type="dxa"/>
            <w:noWrap/>
            <w:hideMark/>
          </w:tcPr>
          <w:p w14:paraId="6822FD36"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92</w:t>
            </w:r>
          </w:p>
        </w:tc>
        <w:tc>
          <w:tcPr>
            <w:tcW w:w="3895" w:type="dxa"/>
            <w:noWrap/>
            <w:hideMark/>
          </w:tcPr>
          <w:p w14:paraId="2158F848"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Rezultat poslovanja</w:t>
            </w:r>
          </w:p>
        </w:tc>
        <w:tc>
          <w:tcPr>
            <w:tcW w:w="1394" w:type="dxa"/>
            <w:noWrap/>
            <w:hideMark/>
          </w:tcPr>
          <w:p w14:paraId="6D3998B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3.000,00</w:t>
            </w:r>
          </w:p>
        </w:tc>
        <w:tc>
          <w:tcPr>
            <w:tcW w:w="1117" w:type="dxa"/>
            <w:noWrap/>
            <w:hideMark/>
          </w:tcPr>
          <w:p w14:paraId="55A4143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-1.159,00</w:t>
            </w:r>
          </w:p>
        </w:tc>
        <w:tc>
          <w:tcPr>
            <w:tcW w:w="1117" w:type="dxa"/>
            <w:noWrap/>
            <w:hideMark/>
          </w:tcPr>
          <w:p w14:paraId="12A898A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-38,63</w:t>
            </w:r>
          </w:p>
        </w:tc>
        <w:tc>
          <w:tcPr>
            <w:tcW w:w="1877" w:type="dxa"/>
            <w:noWrap/>
            <w:hideMark/>
          </w:tcPr>
          <w:p w14:paraId="68F56FF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1.841,00</w:t>
            </w:r>
          </w:p>
        </w:tc>
      </w:tr>
      <w:tr w:rsidR="007B7808" w:rsidRPr="00657E49" w14:paraId="0F8A6C54" w14:textId="77777777" w:rsidTr="002815DB">
        <w:trPr>
          <w:trHeight w:val="255"/>
        </w:trPr>
        <w:tc>
          <w:tcPr>
            <w:tcW w:w="1232" w:type="dxa"/>
            <w:noWrap/>
            <w:hideMark/>
          </w:tcPr>
          <w:p w14:paraId="37577B59"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92</w:t>
            </w:r>
          </w:p>
        </w:tc>
        <w:tc>
          <w:tcPr>
            <w:tcW w:w="3895" w:type="dxa"/>
            <w:noWrap/>
            <w:hideMark/>
          </w:tcPr>
          <w:p w14:paraId="3223E2C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Rezultat poslovanja</w:t>
            </w:r>
          </w:p>
        </w:tc>
        <w:tc>
          <w:tcPr>
            <w:tcW w:w="1394" w:type="dxa"/>
            <w:noWrap/>
            <w:hideMark/>
          </w:tcPr>
          <w:p w14:paraId="25BF667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3.000,00</w:t>
            </w:r>
          </w:p>
        </w:tc>
        <w:tc>
          <w:tcPr>
            <w:tcW w:w="1117" w:type="dxa"/>
            <w:noWrap/>
            <w:hideMark/>
          </w:tcPr>
          <w:p w14:paraId="3ACA1D2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-1.159,00</w:t>
            </w:r>
          </w:p>
        </w:tc>
        <w:tc>
          <w:tcPr>
            <w:tcW w:w="1117" w:type="dxa"/>
            <w:noWrap/>
            <w:hideMark/>
          </w:tcPr>
          <w:p w14:paraId="76CE013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-38,63</w:t>
            </w:r>
          </w:p>
        </w:tc>
        <w:tc>
          <w:tcPr>
            <w:tcW w:w="1877" w:type="dxa"/>
            <w:noWrap/>
            <w:hideMark/>
          </w:tcPr>
          <w:p w14:paraId="5810975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1.841,00</w:t>
            </w:r>
          </w:p>
        </w:tc>
      </w:tr>
      <w:tr w:rsidR="007B7808" w:rsidRPr="00657E49" w14:paraId="437F983E" w14:textId="77777777" w:rsidTr="0056141B">
        <w:trPr>
          <w:trHeight w:val="255"/>
        </w:trPr>
        <w:tc>
          <w:tcPr>
            <w:tcW w:w="5127" w:type="dxa"/>
            <w:gridSpan w:val="2"/>
            <w:shd w:val="clear" w:color="auto" w:fill="D9D9D9" w:themeFill="background1" w:themeFillShade="D9"/>
            <w:noWrap/>
            <w:hideMark/>
          </w:tcPr>
          <w:p w14:paraId="4C6A7AD4"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Izvor  4.9. PRIHODI ZA POSEBNE NAMJENE</w:t>
            </w:r>
          </w:p>
        </w:tc>
        <w:tc>
          <w:tcPr>
            <w:tcW w:w="1394" w:type="dxa"/>
            <w:shd w:val="clear" w:color="auto" w:fill="D9D9D9" w:themeFill="background1" w:themeFillShade="D9"/>
            <w:noWrap/>
            <w:hideMark/>
          </w:tcPr>
          <w:p w14:paraId="2BF6E63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125.080,00</w:t>
            </w:r>
          </w:p>
        </w:tc>
        <w:tc>
          <w:tcPr>
            <w:tcW w:w="1117" w:type="dxa"/>
            <w:shd w:val="clear" w:color="auto" w:fill="D9D9D9" w:themeFill="background1" w:themeFillShade="D9"/>
            <w:noWrap/>
            <w:hideMark/>
          </w:tcPr>
          <w:p w14:paraId="39EAA59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16.842,00</w:t>
            </w:r>
          </w:p>
        </w:tc>
        <w:tc>
          <w:tcPr>
            <w:tcW w:w="1117" w:type="dxa"/>
            <w:shd w:val="clear" w:color="auto" w:fill="D9D9D9" w:themeFill="background1" w:themeFillShade="D9"/>
            <w:noWrap/>
            <w:hideMark/>
          </w:tcPr>
          <w:p w14:paraId="79DF9B5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13,46</w:t>
            </w:r>
          </w:p>
        </w:tc>
        <w:tc>
          <w:tcPr>
            <w:tcW w:w="1877" w:type="dxa"/>
            <w:shd w:val="clear" w:color="auto" w:fill="D9D9D9" w:themeFill="background1" w:themeFillShade="D9"/>
            <w:noWrap/>
            <w:hideMark/>
          </w:tcPr>
          <w:p w14:paraId="12578B1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141.922,00</w:t>
            </w:r>
          </w:p>
        </w:tc>
      </w:tr>
      <w:tr w:rsidR="007B7808" w:rsidRPr="00657E49" w14:paraId="0C7CF2CD" w14:textId="77777777" w:rsidTr="002815DB">
        <w:trPr>
          <w:trHeight w:val="255"/>
        </w:trPr>
        <w:tc>
          <w:tcPr>
            <w:tcW w:w="1232" w:type="dxa"/>
            <w:noWrap/>
            <w:hideMark/>
          </w:tcPr>
          <w:p w14:paraId="110066C8"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w:t>
            </w:r>
          </w:p>
        </w:tc>
        <w:tc>
          <w:tcPr>
            <w:tcW w:w="3895" w:type="dxa"/>
            <w:noWrap/>
            <w:hideMark/>
          </w:tcPr>
          <w:p w14:paraId="5773BB7B"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Prihodi poslovanja</w:t>
            </w:r>
          </w:p>
        </w:tc>
        <w:tc>
          <w:tcPr>
            <w:tcW w:w="1394" w:type="dxa"/>
            <w:noWrap/>
            <w:hideMark/>
          </w:tcPr>
          <w:p w14:paraId="0DEC39B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125.080,00</w:t>
            </w:r>
          </w:p>
        </w:tc>
        <w:tc>
          <w:tcPr>
            <w:tcW w:w="1117" w:type="dxa"/>
            <w:noWrap/>
            <w:hideMark/>
          </w:tcPr>
          <w:p w14:paraId="3A6E3D9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2.160,00</w:t>
            </w:r>
          </w:p>
        </w:tc>
        <w:tc>
          <w:tcPr>
            <w:tcW w:w="1117" w:type="dxa"/>
            <w:noWrap/>
            <w:hideMark/>
          </w:tcPr>
          <w:p w14:paraId="323E11E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1,73</w:t>
            </w:r>
          </w:p>
        </w:tc>
        <w:tc>
          <w:tcPr>
            <w:tcW w:w="1877" w:type="dxa"/>
            <w:noWrap/>
            <w:hideMark/>
          </w:tcPr>
          <w:p w14:paraId="1242171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127.240,00</w:t>
            </w:r>
          </w:p>
        </w:tc>
      </w:tr>
      <w:tr w:rsidR="007B7808" w:rsidRPr="00657E49" w14:paraId="4B8AE1EB" w14:textId="77777777" w:rsidTr="002815DB">
        <w:trPr>
          <w:trHeight w:val="255"/>
        </w:trPr>
        <w:tc>
          <w:tcPr>
            <w:tcW w:w="1232" w:type="dxa"/>
            <w:noWrap/>
            <w:hideMark/>
          </w:tcPr>
          <w:p w14:paraId="307B5859"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65</w:t>
            </w:r>
          </w:p>
        </w:tc>
        <w:tc>
          <w:tcPr>
            <w:tcW w:w="3895" w:type="dxa"/>
            <w:noWrap/>
            <w:hideMark/>
          </w:tcPr>
          <w:p w14:paraId="06F918D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Prihodi od upravnih i administrativnih pristojbi, pristojbi po posebnim propisima i naknada</w:t>
            </w:r>
          </w:p>
        </w:tc>
        <w:tc>
          <w:tcPr>
            <w:tcW w:w="1394" w:type="dxa"/>
            <w:noWrap/>
            <w:hideMark/>
          </w:tcPr>
          <w:p w14:paraId="1D39AC2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125.080,00</w:t>
            </w:r>
          </w:p>
        </w:tc>
        <w:tc>
          <w:tcPr>
            <w:tcW w:w="1117" w:type="dxa"/>
            <w:noWrap/>
            <w:hideMark/>
          </w:tcPr>
          <w:p w14:paraId="488EC7D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2.160,00</w:t>
            </w:r>
          </w:p>
        </w:tc>
        <w:tc>
          <w:tcPr>
            <w:tcW w:w="1117" w:type="dxa"/>
            <w:noWrap/>
            <w:hideMark/>
          </w:tcPr>
          <w:p w14:paraId="28952AE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1,73</w:t>
            </w:r>
          </w:p>
        </w:tc>
        <w:tc>
          <w:tcPr>
            <w:tcW w:w="1877" w:type="dxa"/>
            <w:noWrap/>
            <w:hideMark/>
          </w:tcPr>
          <w:p w14:paraId="7D9B57F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127.240,00</w:t>
            </w:r>
          </w:p>
        </w:tc>
      </w:tr>
      <w:tr w:rsidR="007B7808" w:rsidRPr="00657E49" w14:paraId="2DB0794B" w14:textId="77777777" w:rsidTr="002815DB">
        <w:trPr>
          <w:trHeight w:val="255"/>
        </w:trPr>
        <w:tc>
          <w:tcPr>
            <w:tcW w:w="1232" w:type="dxa"/>
            <w:noWrap/>
            <w:hideMark/>
          </w:tcPr>
          <w:p w14:paraId="2A09D4F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65</w:t>
            </w:r>
          </w:p>
        </w:tc>
        <w:tc>
          <w:tcPr>
            <w:tcW w:w="3895" w:type="dxa"/>
            <w:noWrap/>
            <w:hideMark/>
          </w:tcPr>
          <w:p w14:paraId="563B73A6"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Prihodi od upravnih i administrativnih pristojbi, pristojbi po posebnim propisima i naknada</w:t>
            </w:r>
          </w:p>
        </w:tc>
        <w:tc>
          <w:tcPr>
            <w:tcW w:w="1394" w:type="dxa"/>
            <w:noWrap/>
            <w:hideMark/>
          </w:tcPr>
          <w:p w14:paraId="41D08D6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125.080,00</w:t>
            </w:r>
          </w:p>
        </w:tc>
        <w:tc>
          <w:tcPr>
            <w:tcW w:w="1117" w:type="dxa"/>
            <w:noWrap/>
            <w:hideMark/>
          </w:tcPr>
          <w:p w14:paraId="78CEA4E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2.160,00</w:t>
            </w:r>
          </w:p>
        </w:tc>
        <w:tc>
          <w:tcPr>
            <w:tcW w:w="1117" w:type="dxa"/>
            <w:noWrap/>
            <w:hideMark/>
          </w:tcPr>
          <w:p w14:paraId="2A9919F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1,73</w:t>
            </w:r>
          </w:p>
        </w:tc>
        <w:tc>
          <w:tcPr>
            <w:tcW w:w="1877" w:type="dxa"/>
            <w:noWrap/>
            <w:hideMark/>
          </w:tcPr>
          <w:p w14:paraId="4E870AA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127.240,00</w:t>
            </w:r>
          </w:p>
        </w:tc>
      </w:tr>
      <w:tr w:rsidR="007B7808" w:rsidRPr="00657E49" w14:paraId="17753ABC" w14:textId="77777777" w:rsidTr="002815DB">
        <w:trPr>
          <w:trHeight w:val="255"/>
        </w:trPr>
        <w:tc>
          <w:tcPr>
            <w:tcW w:w="1232" w:type="dxa"/>
            <w:noWrap/>
            <w:hideMark/>
          </w:tcPr>
          <w:p w14:paraId="6629F6CE"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9</w:t>
            </w:r>
          </w:p>
        </w:tc>
        <w:tc>
          <w:tcPr>
            <w:tcW w:w="3895" w:type="dxa"/>
            <w:noWrap/>
            <w:hideMark/>
          </w:tcPr>
          <w:p w14:paraId="72EE1E64"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Vlastiti izvori</w:t>
            </w:r>
          </w:p>
        </w:tc>
        <w:tc>
          <w:tcPr>
            <w:tcW w:w="1394" w:type="dxa"/>
            <w:noWrap/>
            <w:hideMark/>
          </w:tcPr>
          <w:p w14:paraId="3410CF3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0,00</w:t>
            </w:r>
          </w:p>
        </w:tc>
        <w:tc>
          <w:tcPr>
            <w:tcW w:w="1117" w:type="dxa"/>
            <w:noWrap/>
            <w:hideMark/>
          </w:tcPr>
          <w:p w14:paraId="03E9AE8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14.682,00</w:t>
            </w:r>
          </w:p>
        </w:tc>
        <w:tc>
          <w:tcPr>
            <w:tcW w:w="1117" w:type="dxa"/>
            <w:noWrap/>
            <w:hideMark/>
          </w:tcPr>
          <w:p w14:paraId="36D8F9B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100,00</w:t>
            </w:r>
          </w:p>
        </w:tc>
        <w:tc>
          <w:tcPr>
            <w:tcW w:w="1877" w:type="dxa"/>
            <w:noWrap/>
            <w:hideMark/>
          </w:tcPr>
          <w:p w14:paraId="3CF17DD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14.682,00</w:t>
            </w:r>
          </w:p>
        </w:tc>
      </w:tr>
      <w:tr w:rsidR="007B7808" w:rsidRPr="00657E49" w14:paraId="7B0A0E28" w14:textId="77777777" w:rsidTr="002815DB">
        <w:trPr>
          <w:trHeight w:val="255"/>
        </w:trPr>
        <w:tc>
          <w:tcPr>
            <w:tcW w:w="1232" w:type="dxa"/>
            <w:noWrap/>
            <w:hideMark/>
          </w:tcPr>
          <w:p w14:paraId="075AF66C"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92</w:t>
            </w:r>
          </w:p>
        </w:tc>
        <w:tc>
          <w:tcPr>
            <w:tcW w:w="3895" w:type="dxa"/>
            <w:noWrap/>
            <w:hideMark/>
          </w:tcPr>
          <w:p w14:paraId="47AC429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Rezultat poslovanja</w:t>
            </w:r>
          </w:p>
        </w:tc>
        <w:tc>
          <w:tcPr>
            <w:tcW w:w="1394" w:type="dxa"/>
            <w:noWrap/>
            <w:hideMark/>
          </w:tcPr>
          <w:p w14:paraId="3683348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6284110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14.682,00</w:t>
            </w:r>
          </w:p>
        </w:tc>
        <w:tc>
          <w:tcPr>
            <w:tcW w:w="1117" w:type="dxa"/>
            <w:noWrap/>
            <w:hideMark/>
          </w:tcPr>
          <w:p w14:paraId="7F8E843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w:t>
            </w:r>
          </w:p>
        </w:tc>
        <w:tc>
          <w:tcPr>
            <w:tcW w:w="1877" w:type="dxa"/>
            <w:noWrap/>
            <w:hideMark/>
          </w:tcPr>
          <w:p w14:paraId="1973658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14.682,00</w:t>
            </w:r>
          </w:p>
        </w:tc>
      </w:tr>
      <w:tr w:rsidR="007B7808" w:rsidRPr="00657E49" w14:paraId="068B6550" w14:textId="77777777" w:rsidTr="002815DB">
        <w:trPr>
          <w:trHeight w:val="255"/>
        </w:trPr>
        <w:tc>
          <w:tcPr>
            <w:tcW w:w="1232" w:type="dxa"/>
            <w:noWrap/>
            <w:hideMark/>
          </w:tcPr>
          <w:p w14:paraId="4BCDFDE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92</w:t>
            </w:r>
          </w:p>
        </w:tc>
        <w:tc>
          <w:tcPr>
            <w:tcW w:w="3895" w:type="dxa"/>
            <w:noWrap/>
            <w:hideMark/>
          </w:tcPr>
          <w:p w14:paraId="38918990"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Rezultat poslovanja</w:t>
            </w:r>
          </w:p>
        </w:tc>
        <w:tc>
          <w:tcPr>
            <w:tcW w:w="1394" w:type="dxa"/>
            <w:noWrap/>
            <w:hideMark/>
          </w:tcPr>
          <w:p w14:paraId="4257379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26FBC93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14.682,00</w:t>
            </w:r>
          </w:p>
        </w:tc>
        <w:tc>
          <w:tcPr>
            <w:tcW w:w="1117" w:type="dxa"/>
            <w:noWrap/>
            <w:hideMark/>
          </w:tcPr>
          <w:p w14:paraId="2462E90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w:t>
            </w:r>
          </w:p>
        </w:tc>
        <w:tc>
          <w:tcPr>
            <w:tcW w:w="1877" w:type="dxa"/>
            <w:noWrap/>
            <w:hideMark/>
          </w:tcPr>
          <w:p w14:paraId="01932F5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14.682,00</w:t>
            </w:r>
          </w:p>
        </w:tc>
      </w:tr>
      <w:tr w:rsidR="007B7808" w:rsidRPr="00657E49" w14:paraId="315A250E" w14:textId="77777777" w:rsidTr="0056141B">
        <w:trPr>
          <w:trHeight w:val="255"/>
        </w:trPr>
        <w:tc>
          <w:tcPr>
            <w:tcW w:w="5127" w:type="dxa"/>
            <w:gridSpan w:val="2"/>
            <w:shd w:val="clear" w:color="auto" w:fill="D9D9D9" w:themeFill="background1" w:themeFillShade="D9"/>
            <w:noWrap/>
            <w:hideMark/>
          </w:tcPr>
          <w:p w14:paraId="2CBA5F98"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Izvor  5.9. POMOĆI</w:t>
            </w:r>
          </w:p>
        </w:tc>
        <w:tc>
          <w:tcPr>
            <w:tcW w:w="1394" w:type="dxa"/>
            <w:shd w:val="clear" w:color="auto" w:fill="D9D9D9" w:themeFill="background1" w:themeFillShade="D9"/>
            <w:noWrap/>
            <w:hideMark/>
          </w:tcPr>
          <w:p w14:paraId="04F20BA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2.212.317,00</w:t>
            </w:r>
          </w:p>
        </w:tc>
        <w:tc>
          <w:tcPr>
            <w:tcW w:w="1117" w:type="dxa"/>
            <w:shd w:val="clear" w:color="auto" w:fill="D9D9D9" w:themeFill="background1" w:themeFillShade="D9"/>
            <w:noWrap/>
            <w:hideMark/>
          </w:tcPr>
          <w:p w14:paraId="54B6513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89.978,00</w:t>
            </w:r>
          </w:p>
        </w:tc>
        <w:tc>
          <w:tcPr>
            <w:tcW w:w="1117" w:type="dxa"/>
            <w:shd w:val="clear" w:color="auto" w:fill="D9D9D9" w:themeFill="background1" w:themeFillShade="D9"/>
            <w:noWrap/>
            <w:hideMark/>
          </w:tcPr>
          <w:p w14:paraId="71565BA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4,07</w:t>
            </w:r>
          </w:p>
        </w:tc>
        <w:tc>
          <w:tcPr>
            <w:tcW w:w="1877" w:type="dxa"/>
            <w:shd w:val="clear" w:color="auto" w:fill="D9D9D9" w:themeFill="background1" w:themeFillShade="D9"/>
            <w:noWrap/>
            <w:hideMark/>
          </w:tcPr>
          <w:p w14:paraId="1906B4F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2.302.295,00</w:t>
            </w:r>
          </w:p>
        </w:tc>
      </w:tr>
      <w:tr w:rsidR="007B7808" w:rsidRPr="00657E49" w14:paraId="4A655EEC" w14:textId="77777777" w:rsidTr="002815DB">
        <w:trPr>
          <w:trHeight w:val="255"/>
        </w:trPr>
        <w:tc>
          <w:tcPr>
            <w:tcW w:w="1232" w:type="dxa"/>
            <w:noWrap/>
            <w:hideMark/>
          </w:tcPr>
          <w:p w14:paraId="6A4C471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w:t>
            </w:r>
          </w:p>
        </w:tc>
        <w:tc>
          <w:tcPr>
            <w:tcW w:w="3895" w:type="dxa"/>
            <w:noWrap/>
            <w:hideMark/>
          </w:tcPr>
          <w:p w14:paraId="0B4F9E90"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Prihodi poslovanja</w:t>
            </w:r>
          </w:p>
        </w:tc>
        <w:tc>
          <w:tcPr>
            <w:tcW w:w="1394" w:type="dxa"/>
            <w:noWrap/>
            <w:hideMark/>
          </w:tcPr>
          <w:p w14:paraId="0882BB0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2.212.317,00</w:t>
            </w:r>
          </w:p>
        </w:tc>
        <w:tc>
          <w:tcPr>
            <w:tcW w:w="1117" w:type="dxa"/>
            <w:noWrap/>
            <w:hideMark/>
          </w:tcPr>
          <w:p w14:paraId="1A4EB92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86.764,00</w:t>
            </w:r>
          </w:p>
        </w:tc>
        <w:tc>
          <w:tcPr>
            <w:tcW w:w="1117" w:type="dxa"/>
            <w:noWrap/>
            <w:hideMark/>
          </w:tcPr>
          <w:p w14:paraId="5922591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3,92</w:t>
            </w:r>
          </w:p>
        </w:tc>
        <w:tc>
          <w:tcPr>
            <w:tcW w:w="1877" w:type="dxa"/>
            <w:noWrap/>
            <w:hideMark/>
          </w:tcPr>
          <w:p w14:paraId="15C1E47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2.299.081,00</w:t>
            </w:r>
          </w:p>
        </w:tc>
      </w:tr>
      <w:tr w:rsidR="007B7808" w:rsidRPr="00657E49" w14:paraId="4A0CC8B4" w14:textId="77777777" w:rsidTr="002815DB">
        <w:trPr>
          <w:trHeight w:val="255"/>
        </w:trPr>
        <w:tc>
          <w:tcPr>
            <w:tcW w:w="1232" w:type="dxa"/>
            <w:noWrap/>
            <w:hideMark/>
          </w:tcPr>
          <w:p w14:paraId="2DF77374"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63</w:t>
            </w:r>
          </w:p>
        </w:tc>
        <w:tc>
          <w:tcPr>
            <w:tcW w:w="3895" w:type="dxa"/>
            <w:noWrap/>
            <w:hideMark/>
          </w:tcPr>
          <w:p w14:paraId="0914FC5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Pomoći iz inozemstva i od subjekata unutar općeg proračuna</w:t>
            </w:r>
          </w:p>
        </w:tc>
        <w:tc>
          <w:tcPr>
            <w:tcW w:w="1394" w:type="dxa"/>
            <w:noWrap/>
            <w:hideMark/>
          </w:tcPr>
          <w:p w14:paraId="0520545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2.212.317,00</w:t>
            </w:r>
          </w:p>
        </w:tc>
        <w:tc>
          <w:tcPr>
            <w:tcW w:w="1117" w:type="dxa"/>
            <w:noWrap/>
            <w:hideMark/>
          </w:tcPr>
          <w:p w14:paraId="445162A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86.764,00</w:t>
            </w:r>
          </w:p>
        </w:tc>
        <w:tc>
          <w:tcPr>
            <w:tcW w:w="1117" w:type="dxa"/>
            <w:noWrap/>
            <w:hideMark/>
          </w:tcPr>
          <w:p w14:paraId="0143807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3,92</w:t>
            </w:r>
          </w:p>
        </w:tc>
        <w:tc>
          <w:tcPr>
            <w:tcW w:w="1877" w:type="dxa"/>
            <w:noWrap/>
            <w:hideMark/>
          </w:tcPr>
          <w:p w14:paraId="15A3DAC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2.299.081,00</w:t>
            </w:r>
          </w:p>
        </w:tc>
      </w:tr>
      <w:tr w:rsidR="007B7808" w:rsidRPr="00657E49" w14:paraId="35C5CA72" w14:textId="77777777" w:rsidTr="002815DB">
        <w:trPr>
          <w:trHeight w:val="255"/>
        </w:trPr>
        <w:tc>
          <w:tcPr>
            <w:tcW w:w="1232" w:type="dxa"/>
            <w:noWrap/>
            <w:hideMark/>
          </w:tcPr>
          <w:p w14:paraId="677C808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63</w:t>
            </w:r>
          </w:p>
        </w:tc>
        <w:tc>
          <w:tcPr>
            <w:tcW w:w="3895" w:type="dxa"/>
            <w:noWrap/>
            <w:hideMark/>
          </w:tcPr>
          <w:p w14:paraId="2E5AFEF4"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Pomoći iz inozemstva i od subjekata unutar općeg proračuna</w:t>
            </w:r>
          </w:p>
        </w:tc>
        <w:tc>
          <w:tcPr>
            <w:tcW w:w="1394" w:type="dxa"/>
            <w:noWrap/>
            <w:hideMark/>
          </w:tcPr>
          <w:p w14:paraId="73F3968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2.212.317,00</w:t>
            </w:r>
          </w:p>
        </w:tc>
        <w:tc>
          <w:tcPr>
            <w:tcW w:w="1117" w:type="dxa"/>
            <w:noWrap/>
            <w:hideMark/>
          </w:tcPr>
          <w:p w14:paraId="62E39D1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86.764,00</w:t>
            </w:r>
          </w:p>
        </w:tc>
        <w:tc>
          <w:tcPr>
            <w:tcW w:w="1117" w:type="dxa"/>
            <w:noWrap/>
            <w:hideMark/>
          </w:tcPr>
          <w:p w14:paraId="510ECE4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3,92</w:t>
            </w:r>
          </w:p>
        </w:tc>
        <w:tc>
          <w:tcPr>
            <w:tcW w:w="1877" w:type="dxa"/>
            <w:noWrap/>
            <w:hideMark/>
          </w:tcPr>
          <w:p w14:paraId="400C5FD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2.299.081,00</w:t>
            </w:r>
          </w:p>
        </w:tc>
      </w:tr>
      <w:tr w:rsidR="007B7808" w:rsidRPr="00657E49" w14:paraId="577535B9" w14:textId="77777777" w:rsidTr="002815DB">
        <w:trPr>
          <w:trHeight w:val="255"/>
        </w:trPr>
        <w:tc>
          <w:tcPr>
            <w:tcW w:w="1232" w:type="dxa"/>
            <w:noWrap/>
            <w:hideMark/>
          </w:tcPr>
          <w:p w14:paraId="7FF43D3E"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9</w:t>
            </w:r>
          </w:p>
        </w:tc>
        <w:tc>
          <w:tcPr>
            <w:tcW w:w="3895" w:type="dxa"/>
            <w:noWrap/>
            <w:hideMark/>
          </w:tcPr>
          <w:p w14:paraId="57DE7ED0"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Vlastiti izvori</w:t>
            </w:r>
          </w:p>
        </w:tc>
        <w:tc>
          <w:tcPr>
            <w:tcW w:w="1394" w:type="dxa"/>
            <w:noWrap/>
            <w:hideMark/>
          </w:tcPr>
          <w:p w14:paraId="0DB3E52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0,00</w:t>
            </w:r>
          </w:p>
        </w:tc>
        <w:tc>
          <w:tcPr>
            <w:tcW w:w="1117" w:type="dxa"/>
            <w:noWrap/>
            <w:hideMark/>
          </w:tcPr>
          <w:p w14:paraId="496BD39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3.214,00</w:t>
            </w:r>
          </w:p>
        </w:tc>
        <w:tc>
          <w:tcPr>
            <w:tcW w:w="1117" w:type="dxa"/>
            <w:noWrap/>
            <w:hideMark/>
          </w:tcPr>
          <w:p w14:paraId="48A1962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100,00</w:t>
            </w:r>
          </w:p>
        </w:tc>
        <w:tc>
          <w:tcPr>
            <w:tcW w:w="1877" w:type="dxa"/>
            <w:noWrap/>
            <w:hideMark/>
          </w:tcPr>
          <w:p w14:paraId="7A09725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3.214,00</w:t>
            </w:r>
          </w:p>
        </w:tc>
      </w:tr>
      <w:tr w:rsidR="007B7808" w:rsidRPr="00657E49" w14:paraId="52477388" w14:textId="77777777" w:rsidTr="002815DB">
        <w:trPr>
          <w:trHeight w:val="255"/>
        </w:trPr>
        <w:tc>
          <w:tcPr>
            <w:tcW w:w="1232" w:type="dxa"/>
            <w:noWrap/>
            <w:hideMark/>
          </w:tcPr>
          <w:p w14:paraId="469ACF40"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92</w:t>
            </w:r>
          </w:p>
        </w:tc>
        <w:tc>
          <w:tcPr>
            <w:tcW w:w="3895" w:type="dxa"/>
            <w:noWrap/>
            <w:hideMark/>
          </w:tcPr>
          <w:p w14:paraId="3C0DAA4F"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Rezultat poslovanja</w:t>
            </w:r>
          </w:p>
        </w:tc>
        <w:tc>
          <w:tcPr>
            <w:tcW w:w="1394" w:type="dxa"/>
            <w:noWrap/>
            <w:hideMark/>
          </w:tcPr>
          <w:p w14:paraId="734B6D4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2FACB2D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3.214,00</w:t>
            </w:r>
          </w:p>
        </w:tc>
        <w:tc>
          <w:tcPr>
            <w:tcW w:w="1117" w:type="dxa"/>
            <w:noWrap/>
            <w:hideMark/>
          </w:tcPr>
          <w:p w14:paraId="0F5668E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w:t>
            </w:r>
          </w:p>
        </w:tc>
        <w:tc>
          <w:tcPr>
            <w:tcW w:w="1877" w:type="dxa"/>
            <w:noWrap/>
            <w:hideMark/>
          </w:tcPr>
          <w:p w14:paraId="01025A1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3.214,00</w:t>
            </w:r>
          </w:p>
        </w:tc>
      </w:tr>
      <w:tr w:rsidR="007B7808" w:rsidRPr="00657E49" w14:paraId="68C313B4" w14:textId="77777777" w:rsidTr="002815DB">
        <w:trPr>
          <w:trHeight w:val="255"/>
        </w:trPr>
        <w:tc>
          <w:tcPr>
            <w:tcW w:w="1232" w:type="dxa"/>
            <w:noWrap/>
            <w:hideMark/>
          </w:tcPr>
          <w:p w14:paraId="1A280B5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92</w:t>
            </w:r>
          </w:p>
        </w:tc>
        <w:tc>
          <w:tcPr>
            <w:tcW w:w="3895" w:type="dxa"/>
            <w:noWrap/>
            <w:hideMark/>
          </w:tcPr>
          <w:p w14:paraId="0D46D86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Rezultat poslovanja</w:t>
            </w:r>
          </w:p>
        </w:tc>
        <w:tc>
          <w:tcPr>
            <w:tcW w:w="1394" w:type="dxa"/>
            <w:noWrap/>
            <w:hideMark/>
          </w:tcPr>
          <w:p w14:paraId="71E7AC5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5FCAB0A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3.214,00</w:t>
            </w:r>
          </w:p>
        </w:tc>
        <w:tc>
          <w:tcPr>
            <w:tcW w:w="1117" w:type="dxa"/>
            <w:noWrap/>
            <w:hideMark/>
          </w:tcPr>
          <w:p w14:paraId="7DE737F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w:t>
            </w:r>
          </w:p>
        </w:tc>
        <w:tc>
          <w:tcPr>
            <w:tcW w:w="1877" w:type="dxa"/>
            <w:noWrap/>
            <w:hideMark/>
          </w:tcPr>
          <w:p w14:paraId="2A5A643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3.214,00</w:t>
            </w:r>
          </w:p>
        </w:tc>
      </w:tr>
      <w:tr w:rsidR="007B7808" w:rsidRPr="00657E49" w14:paraId="234A7A1D" w14:textId="77777777" w:rsidTr="0056141B">
        <w:trPr>
          <w:trHeight w:val="255"/>
        </w:trPr>
        <w:tc>
          <w:tcPr>
            <w:tcW w:w="5127" w:type="dxa"/>
            <w:gridSpan w:val="2"/>
            <w:shd w:val="clear" w:color="auto" w:fill="D9D9D9" w:themeFill="background1" w:themeFillShade="D9"/>
            <w:noWrap/>
            <w:hideMark/>
          </w:tcPr>
          <w:p w14:paraId="1ED7C10D"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Izvor  6.9. DONACIJE</w:t>
            </w:r>
          </w:p>
        </w:tc>
        <w:tc>
          <w:tcPr>
            <w:tcW w:w="1394" w:type="dxa"/>
            <w:shd w:val="clear" w:color="auto" w:fill="D9D9D9" w:themeFill="background1" w:themeFillShade="D9"/>
            <w:noWrap/>
            <w:hideMark/>
          </w:tcPr>
          <w:p w14:paraId="5615CF5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1.500,00</w:t>
            </w:r>
          </w:p>
        </w:tc>
        <w:tc>
          <w:tcPr>
            <w:tcW w:w="1117" w:type="dxa"/>
            <w:shd w:val="clear" w:color="auto" w:fill="D9D9D9" w:themeFill="background1" w:themeFillShade="D9"/>
            <w:noWrap/>
            <w:hideMark/>
          </w:tcPr>
          <w:p w14:paraId="1DBFF84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2.000,00</w:t>
            </w:r>
          </w:p>
        </w:tc>
        <w:tc>
          <w:tcPr>
            <w:tcW w:w="1117" w:type="dxa"/>
            <w:shd w:val="clear" w:color="auto" w:fill="D9D9D9" w:themeFill="background1" w:themeFillShade="D9"/>
            <w:noWrap/>
            <w:hideMark/>
          </w:tcPr>
          <w:p w14:paraId="68A3793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133,33</w:t>
            </w:r>
          </w:p>
        </w:tc>
        <w:tc>
          <w:tcPr>
            <w:tcW w:w="1877" w:type="dxa"/>
            <w:shd w:val="clear" w:color="auto" w:fill="D9D9D9" w:themeFill="background1" w:themeFillShade="D9"/>
            <w:noWrap/>
            <w:hideMark/>
          </w:tcPr>
          <w:p w14:paraId="626DA47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3.500,00</w:t>
            </w:r>
          </w:p>
        </w:tc>
      </w:tr>
      <w:tr w:rsidR="007B7808" w:rsidRPr="00657E49" w14:paraId="08366F7E" w14:textId="77777777" w:rsidTr="002815DB">
        <w:trPr>
          <w:trHeight w:val="255"/>
        </w:trPr>
        <w:tc>
          <w:tcPr>
            <w:tcW w:w="1232" w:type="dxa"/>
            <w:noWrap/>
            <w:hideMark/>
          </w:tcPr>
          <w:p w14:paraId="7B3B760F"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w:t>
            </w:r>
          </w:p>
        </w:tc>
        <w:tc>
          <w:tcPr>
            <w:tcW w:w="3895" w:type="dxa"/>
            <w:noWrap/>
            <w:hideMark/>
          </w:tcPr>
          <w:p w14:paraId="332D2140"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Prihodi poslovanja</w:t>
            </w:r>
          </w:p>
        </w:tc>
        <w:tc>
          <w:tcPr>
            <w:tcW w:w="1394" w:type="dxa"/>
            <w:noWrap/>
            <w:hideMark/>
          </w:tcPr>
          <w:p w14:paraId="65615B3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1.500,00</w:t>
            </w:r>
          </w:p>
        </w:tc>
        <w:tc>
          <w:tcPr>
            <w:tcW w:w="1117" w:type="dxa"/>
            <w:noWrap/>
            <w:hideMark/>
          </w:tcPr>
          <w:p w14:paraId="62F4DA9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2.000,00</w:t>
            </w:r>
          </w:p>
        </w:tc>
        <w:tc>
          <w:tcPr>
            <w:tcW w:w="1117" w:type="dxa"/>
            <w:noWrap/>
            <w:hideMark/>
          </w:tcPr>
          <w:p w14:paraId="6673BB7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133,33</w:t>
            </w:r>
          </w:p>
        </w:tc>
        <w:tc>
          <w:tcPr>
            <w:tcW w:w="1877" w:type="dxa"/>
            <w:noWrap/>
            <w:hideMark/>
          </w:tcPr>
          <w:p w14:paraId="00EC66F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3.500,00</w:t>
            </w:r>
          </w:p>
        </w:tc>
      </w:tr>
      <w:tr w:rsidR="007B7808" w:rsidRPr="00657E49" w14:paraId="000E13E7" w14:textId="77777777" w:rsidTr="002815DB">
        <w:trPr>
          <w:trHeight w:val="255"/>
        </w:trPr>
        <w:tc>
          <w:tcPr>
            <w:tcW w:w="1232" w:type="dxa"/>
            <w:noWrap/>
            <w:hideMark/>
          </w:tcPr>
          <w:p w14:paraId="2B5FE7E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66</w:t>
            </w:r>
          </w:p>
        </w:tc>
        <w:tc>
          <w:tcPr>
            <w:tcW w:w="3895" w:type="dxa"/>
            <w:noWrap/>
            <w:hideMark/>
          </w:tcPr>
          <w:p w14:paraId="194F5D1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Prihodi od prodaje proizvoda i robe te pruženih usluga, prihodi od donacija te povrati po protestira</w:t>
            </w:r>
          </w:p>
        </w:tc>
        <w:tc>
          <w:tcPr>
            <w:tcW w:w="1394" w:type="dxa"/>
            <w:noWrap/>
            <w:hideMark/>
          </w:tcPr>
          <w:p w14:paraId="14B251D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1.500,00</w:t>
            </w:r>
          </w:p>
        </w:tc>
        <w:tc>
          <w:tcPr>
            <w:tcW w:w="1117" w:type="dxa"/>
            <w:noWrap/>
            <w:hideMark/>
          </w:tcPr>
          <w:p w14:paraId="17F9B20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2.000,00</w:t>
            </w:r>
          </w:p>
        </w:tc>
        <w:tc>
          <w:tcPr>
            <w:tcW w:w="1117" w:type="dxa"/>
            <w:noWrap/>
            <w:hideMark/>
          </w:tcPr>
          <w:p w14:paraId="61308D3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133,33</w:t>
            </w:r>
          </w:p>
        </w:tc>
        <w:tc>
          <w:tcPr>
            <w:tcW w:w="1877" w:type="dxa"/>
            <w:noWrap/>
            <w:hideMark/>
          </w:tcPr>
          <w:p w14:paraId="1EA6CCD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3.500,00</w:t>
            </w:r>
          </w:p>
        </w:tc>
      </w:tr>
      <w:tr w:rsidR="007B7808" w:rsidRPr="00657E49" w14:paraId="3877CA6B" w14:textId="77777777" w:rsidTr="002815DB">
        <w:trPr>
          <w:trHeight w:val="255"/>
        </w:trPr>
        <w:tc>
          <w:tcPr>
            <w:tcW w:w="1232" w:type="dxa"/>
            <w:noWrap/>
            <w:hideMark/>
          </w:tcPr>
          <w:p w14:paraId="371E41B0"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66</w:t>
            </w:r>
          </w:p>
        </w:tc>
        <w:tc>
          <w:tcPr>
            <w:tcW w:w="3895" w:type="dxa"/>
            <w:noWrap/>
            <w:hideMark/>
          </w:tcPr>
          <w:p w14:paraId="1ECABC5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Prihodi od prodaje proizvoda i robe te pruženih usluga, prihodi od donacija te povrati po protestira</w:t>
            </w:r>
          </w:p>
        </w:tc>
        <w:tc>
          <w:tcPr>
            <w:tcW w:w="1394" w:type="dxa"/>
            <w:noWrap/>
            <w:hideMark/>
          </w:tcPr>
          <w:p w14:paraId="62A7BD4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1.500,00</w:t>
            </w:r>
          </w:p>
        </w:tc>
        <w:tc>
          <w:tcPr>
            <w:tcW w:w="1117" w:type="dxa"/>
            <w:noWrap/>
            <w:hideMark/>
          </w:tcPr>
          <w:p w14:paraId="58143F2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2.000,00</w:t>
            </w:r>
          </w:p>
        </w:tc>
        <w:tc>
          <w:tcPr>
            <w:tcW w:w="1117" w:type="dxa"/>
            <w:noWrap/>
            <w:hideMark/>
          </w:tcPr>
          <w:p w14:paraId="1BC8960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133,33</w:t>
            </w:r>
          </w:p>
        </w:tc>
        <w:tc>
          <w:tcPr>
            <w:tcW w:w="1877" w:type="dxa"/>
            <w:noWrap/>
            <w:hideMark/>
          </w:tcPr>
          <w:p w14:paraId="792FC3C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3.500,00</w:t>
            </w:r>
          </w:p>
        </w:tc>
      </w:tr>
      <w:tr w:rsidR="007B7808" w:rsidRPr="00657E49" w14:paraId="0D105C25" w14:textId="77777777" w:rsidTr="0056141B">
        <w:trPr>
          <w:trHeight w:val="255"/>
        </w:trPr>
        <w:tc>
          <w:tcPr>
            <w:tcW w:w="5127" w:type="dxa"/>
            <w:gridSpan w:val="2"/>
            <w:shd w:val="clear" w:color="auto" w:fill="D9D9D9" w:themeFill="background1" w:themeFillShade="D9"/>
            <w:noWrap/>
            <w:hideMark/>
          </w:tcPr>
          <w:p w14:paraId="669D4C3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 xml:space="preserve">Izvor  7.9. 7.prihodi od naknada šteta s </w:t>
            </w:r>
            <w:proofErr w:type="spellStart"/>
            <w:r w:rsidRPr="00657E49">
              <w:rPr>
                <w:rFonts w:ascii="Arial" w:eastAsia="Arial" w:hAnsi="Arial" w:cs="Arial"/>
                <w:b/>
                <w:bCs/>
                <w:kern w:val="3"/>
                <w:sz w:val="16"/>
                <w:szCs w:val="16"/>
                <w:lang w:eastAsia="zh-CN" w:bidi="hi-IN"/>
              </w:rPr>
              <w:t>osnov.osig.osigur.pri</w:t>
            </w:r>
            <w:proofErr w:type="spellEnd"/>
            <w:r w:rsidRPr="00657E49">
              <w:rPr>
                <w:rFonts w:ascii="Arial" w:eastAsia="Arial" w:hAnsi="Arial" w:cs="Arial"/>
                <w:b/>
                <w:bCs/>
                <w:kern w:val="3"/>
                <w:sz w:val="16"/>
                <w:szCs w:val="16"/>
                <w:lang w:eastAsia="zh-CN" w:bidi="hi-IN"/>
              </w:rPr>
              <w:t>. korisnik</w:t>
            </w:r>
          </w:p>
        </w:tc>
        <w:tc>
          <w:tcPr>
            <w:tcW w:w="1394" w:type="dxa"/>
            <w:shd w:val="clear" w:color="auto" w:fill="D9D9D9" w:themeFill="background1" w:themeFillShade="D9"/>
            <w:noWrap/>
            <w:hideMark/>
          </w:tcPr>
          <w:p w14:paraId="3B813ED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6.000,00</w:t>
            </w:r>
          </w:p>
        </w:tc>
        <w:tc>
          <w:tcPr>
            <w:tcW w:w="1117" w:type="dxa"/>
            <w:shd w:val="clear" w:color="auto" w:fill="D9D9D9" w:themeFill="background1" w:themeFillShade="D9"/>
            <w:noWrap/>
            <w:hideMark/>
          </w:tcPr>
          <w:p w14:paraId="68553AD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-1.000,00</w:t>
            </w:r>
          </w:p>
        </w:tc>
        <w:tc>
          <w:tcPr>
            <w:tcW w:w="1117" w:type="dxa"/>
            <w:shd w:val="clear" w:color="auto" w:fill="D9D9D9" w:themeFill="background1" w:themeFillShade="D9"/>
            <w:noWrap/>
            <w:hideMark/>
          </w:tcPr>
          <w:p w14:paraId="28BF176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-16,67</w:t>
            </w:r>
          </w:p>
        </w:tc>
        <w:tc>
          <w:tcPr>
            <w:tcW w:w="1877" w:type="dxa"/>
            <w:shd w:val="clear" w:color="auto" w:fill="D9D9D9" w:themeFill="background1" w:themeFillShade="D9"/>
            <w:noWrap/>
            <w:hideMark/>
          </w:tcPr>
          <w:p w14:paraId="45F2C22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5.000,00</w:t>
            </w:r>
          </w:p>
        </w:tc>
      </w:tr>
      <w:tr w:rsidR="007B7808" w:rsidRPr="00657E49" w14:paraId="0F4E2E73" w14:textId="77777777" w:rsidTr="002815DB">
        <w:trPr>
          <w:trHeight w:val="255"/>
        </w:trPr>
        <w:tc>
          <w:tcPr>
            <w:tcW w:w="1232" w:type="dxa"/>
            <w:noWrap/>
            <w:hideMark/>
          </w:tcPr>
          <w:p w14:paraId="47ABAD77"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w:t>
            </w:r>
          </w:p>
        </w:tc>
        <w:tc>
          <w:tcPr>
            <w:tcW w:w="3895" w:type="dxa"/>
            <w:noWrap/>
            <w:hideMark/>
          </w:tcPr>
          <w:p w14:paraId="202A86A6"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Prihodi poslovanja</w:t>
            </w:r>
          </w:p>
        </w:tc>
        <w:tc>
          <w:tcPr>
            <w:tcW w:w="1394" w:type="dxa"/>
            <w:noWrap/>
            <w:hideMark/>
          </w:tcPr>
          <w:p w14:paraId="1A7C4EA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4.000,00</w:t>
            </w:r>
          </w:p>
        </w:tc>
        <w:tc>
          <w:tcPr>
            <w:tcW w:w="1117" w:type="dxa"/>
            <w:noWrap/>
            <w:hideMark/>
          </w:tcPr>
          <w:p w14:paraId="2DE2D11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0,00</w:t>
            </w:r>
          </w:p>
        </w:tc>
        <w:tc>
          <w:tcPr>
            <w:tcW w:w="1117" w:type="dxa"/>
            <w:noWrap/>
            <w:hideMark/>
          </w:tcPr>
          <w:p w14:paraId="717C001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0,00</w:t>
            </w:r>
          </w:p>
        </w:tc>
        <w:tc>
          <w:tcPr>
            <w:tcW w:w="1877" w:type="dxa"/>
            <w:noWrap/>
            <w:hideMark/>
          </w:tcPr>
          <w:p w14:paraId="3D1CA76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4.000,00</w:t>
            </w:r>
          </w:p>
        </w:tc>
      </w:tr>
      <w:tr w:rsidR="007B7808" w:rsidRPr="00657E49" w14:paraId="1A234FD4" w14:textId="77777777" w:rsidTr="002815DB">
        <w:trPr>
          <w:trHeight w:val="255"/>
        </w:trPr>
        <w:tc>
          <w:tcPr>
            <w:tcW w:w="1232" w:type="dxa"/>
            <w:noWrap/>
            <w:hideMark/>
          </w:tcPr>
          <w:p w14:paraId="4558AF12"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65</w:t>
            </w:r>
          </w:p>
        </w:tc>
        <w:tc>
          <w:tcPr>
            <w:tcW w:w="3895" w:type="dxa"/>
            <w:noWrap/>
            <w:hideMark/>
          </w:tcPr>
          <w:p w14:paraId="76410F57"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Prihodi od upravnih i administrativnih pristojbi, pristojbi po posebnim propisima i naknada</w:t>
            </w:r>
          </w:p>
        </w:tc>
        <w:tc>
          <w:tcPr>
            <w:tcW w:w="1394" w:type="dxa"/>
            <w:noWrap/>
            <w:hideMark/>
          </w:tcPr>
          <w:p w14:paraId="38F6799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4.000,00</w:t>
            </w:r>
          </w:p>
        </w:tc>
        <w:tc>
          <w:tcPr>
            <w:tcW w:w="1117" w:type="dxa"/>
            <w:noWrap/>
            <w:hideMark/>
          </w:tcPr>
          <w:p w14:paraId="62A3486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2D1E951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877" w:type="dxa"/>
            <w:noWrap/>
            <w:hideMark/>
          </w:tcPr>
          <w:p w14:paraId="094AEAE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4.000,00</w:t>
            </w:r>
          </w:p>
        </w:tc>
      </w:tr>
      <w:tr w:rsidR="007B7808" w:rsidRPr="00657E49" w14:paraId="4747E1A0" w14:textId="77777777" w:rsidTr="002815DB">
        <w:trPr>
          <w:trHeight w:val="255"/>
        </w:trPr>
        <w:tc>
          <w:tcPr>
            <w:tcW w:w="1232" w:type="dxa"/>
            <w:noWrap/>
            <w:hideMark/>
          </w:tcPr>
          <w:p w14:paraId="57BA47AA"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65</w:t>
            </w:r>
          </w:p>
        </w:tc>
        <w:tc>
          <w:tcPr>
            <w:tcW w:w="3895" w:type="dxa"/>
            <w:noWrap/>
            <w:hideMark/>
          </w:tcPr>
          <w:p w14:paraId="205C21D2"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Prihodi od upravnih i administrativnih pristojbi, pristojbi po posebnim propisima i naknada</w:t>
            </w:r>
          </w:p>
        </w:tc>
        <w:tc>
          <w:tcPr>
            <w:tcW w:w="1394" w:type="dxa"/>
            <w:noWrap/>
            <w:hideMark/>
          </w:tcPr>
          <w:p w14:paraId="098A3FB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4.000,00</w:t>
            </w:r>
          </w:p>
        </w:tc>
        <w:tc>
          <w:tcPr>
            <w:tcW w:w="1117" w:type="dxa"/>
            <w:noWrap/>
            <w:hideMark/>
          </w:tcPr>
          <w:p w14:paraId="17BA514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61CDD54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877" w:type="dxa"/>
            <w:noWrap/>
            <w:hideMark/>
          </w:tcPr>
          <w:p w14:paraId="307D057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4.000,00</w:t>
            </w:r>
          </w:p>
        </w:tc>
      </w:tr>
      <w:tr w:rsidR="007B7808" w:rsidRPr="00657E49" w14:paraId="700CB6C3" w14:textId="77777777" w:rsidTr="002815DB">
        <w:trPr>
          <w:trHeight w:val="255"/>
        </w:trPr>
        <w:tc>
          <w:tcPr>
            <w:tcW w:w="1232" w:type="dxa"/>
            <w:noWrap/>
            <w:hideMark/>
          </w:tcPr>
          <w:p w14:paraId="2BA79BD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9</w:t>
            </w:r>
          </w:p>
        </w:tc>
        <w:tc>
          <w:tcPr>
            <w:tcW w:w="3895" w:type="dxa"/>
            <w:noWrap/>
            <w:hideMark/>
          </w:tcPr>
          <w:p w14:paraId="5811F2A6"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Vlastiti izvori</w:t>
            </w:r>
          </w:p>
        </w:tc>
        <w:tc>
          <w:tcPr>
            <w:tcW w:w="1394" w:type="dxa"/>
            <w:noWrap/>
            <w:hideMark/>
          </w:tcPr>
          <w:p w14:paraId="4396B3F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2.000,00</w:t>
            </w:r>
          </w:p>
        </w:tc>
        <w:tc>
          <w:tcPr>
            <w:tcW w:w="1117" w:type="dxa"/>
            <w:noWrap/>
            <w:hideMark/>
          </w:tcPr>
          <w:p w14:paraId="078275D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-1.000,00</w:t>
            </w:r>
          </w:p>
        </w:tc>
        <w:tc>
          <w:tcPr>
            <w:tcW w:w="1117" w:type="dxa"/>
            <w:noWrap/>
            <w:hideMark/>
          </w:tcPr>
          <w:p w14:paraId="32EF05D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-50,00</w:t>
            </w:r>
          </w:p>
        </w:tc>
        <w:tc>
          <w:tcPr>
            <w:tcW w:w="1877" w:type="dxa"/>
            <w:noWrap/>
            <w:hideMark/>
          </w:tcPr>
          <w:p w14:paraId="16C0731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1.000,00</w:t>
            </w:r>
          </w:p>
        </w:tc>
      </w:tr>
      <w:tr w:rsidR="007B7808" w:rsidRPr="00657E49" w14:paraId="3AEC048D" w14:textId="77777777" w:rsidTr="002815DB">
        <w:trPr>
          <w:trHeight w:val="255"/>
        </w:trPr>
        <w:tc>
          <w:tcPr>
            <w:tcW w:w="1232" w:type="dxa"/>
            <w:noWrap/>
            <w:hideMark/>
          </w:tcPr>
          <w:p w14:paraId="32CC3C8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92</w:t>
            </w:r>
          </w:p>
        </w:tc>
        <w:tc>
          <w:tcPr>
            <w:tcW w:w="3895" w:type="dxa"/>
            <w:noWrap/>
            <w:hideMark/>
          </w:tcPr>
          <w:p w14:paraId="603A8086"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Rezultat poslovanja</w:t>
            </w:r>
          </w:p>
        </w:tc>
        <w:tc>
          <w:tcPr>
            <w:tcW w:w="1394" w:type="dxa"/>
            <w:noWrap/>
            <w:hideMark/>
          </w:tcPr>
          <w:p w14:paraId="3F61761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2.000,00</w:t>
            </w:r>
          </w:p>
        </w:tc>
        <w:tc>
          <w:tcPr>
            <w:tcW w:w="1117" w:type="dxa"/>
            <w:noWrap/>
            <w:hideMark/>
          </w:tcPr>
          <w:p w14:paraId="18FC08E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-1.000,00</w:t>
            </w:r>
          </w:p>
        </w:tc>
        <w:tc>
          <w:tcPr>
            <w:tcW w:w="1117" w:type="dxa"/>
            <w:noWrap/>
            <w:hideMark/>
          </w:tcPr>
          <w:p w14:paraId="17EF4B4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-50,00</w:t>
            </w:r>
          </w:p>
        </w:tc>
        <w:tc>
          <w:tcPr>
            <w:tcW w:w="1877" w:type="dxa"/>
            <w:noWrap/>
            <w:hideMark/>
          </w:tcPr>
          <w:p w14:paraId="5226F0A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1.000,00</w:t>
            </w:r>
          </w:p>
        </w:tc>
      </w:tr>
      <w:tr w:rsidR="007B7808" w:rsidRPr="00657E49" w14:paraId="4A0C00D2" w14:textId="77777777" w:rsidTr="002815DB">
        <w:trPr>
          <w:trHeight w:val="255"/>
        </w:trPr>
        <w:tc>
          <w:tcPr>
            <w:tcW w:w="1232" w:type="dxa"/>
            <w:noWrap/>
            <w:hideMark/>
          </w:tcPr>
          <w:p w14:paraId="0B7757B0"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92</w:t>
            </w:r>
          </w:p>
        </w:tc>
        <w:tc>
          <w:tcPr>
            <w:tcW w:w="3895" w:type="dxa"/>
            <w:noWrap/>
            <w:hideMark/>
          </w:tcPr>
          <w:p w14:paraId="7C6BB2D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Rezultat poslovanja</w:t>
            </w:r>
          </w:p>
        </w:tc>
        <w:tc>
          <w:tcPr>
            <w:tcW w:w="1394" w:type="dxa"/>
            <w:noWrap/>
            <w:hideMark/>
          </w:tcPr>
          <w:p w14:paraId="4AB8828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2.000,00</w:t>
            </w:r>
          </w:p>
        </w:tc>
        <w:tc>
          <w:tcPr>
            <w:tcW w:w="1117" w:type="dxa"/>
            <w:noWrap/>
            <w:hideMark/>
          </w:tcPr>
          <w:p w14:paraId="237527B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-1.000,00</w:t>
            </w:r>
          </w:p>
        </w:tc>
        <w:tc>
          <w:tcPr>
            <w:tcW w:w="1117" w:type="dxa"/>
            <w:noWrap/>
            <w:hideMark/>
          </w:tcPr>
          <w:p w14:paraId="6081CF8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-50,00</w:t>
            </w:r>
          </w:p>
        </w:tc>
        <w:tc>
          <w:tcPr>
            <w:tcW w:w="1877" w:type="dxa"/>
            <w:noWrap/>
            <w:hideMark/>
          </w:tcPr>
          <w:p w14:paraId="6F0265E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1.000,00</w:t>
            </w:r>
          </w:p>
        </w:tc>
      </w:tr>
      <w:tr w:rsidR="007B7808" w:rsidRPr="00657E49" w14:paraId="5B8316AD" w14:textId="77777777" w:rsidTr="0056141B">
        <w:trPr>
          <w:trHeight w:val="255"/>
        </w:trPr>
        <w:tc>
          <w:tcPr>
            <w:tcW w:w="5127" w:type="dxa"/>
            <w:gridSpan w:val="2"/>
            <w:shd w:val="clear" w:color="auto" w:fill="FFFFFF" w:themeFill="background1"/>
            <w:noWrap/>
            <w:hideMark/>
          </w:tcPr>
          <w:p w14:paraId="4988513B"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Razdjel 500 UPRAVNI ODJEL ZA DRUŠTVENE DJELATNOSTI</w:t>
            </w:r>
          </w:p>
        </w:tc>
        <w:tc>
          <w:tcPr>
            <w:tcW w:w="1394" w:type="dxa"/>
            <w:shd w:val="clear" w:color="auto" w:fill="FFFFFF" w:themeFill="background1"/>
            <w:noWrap/>
            <w:hideMark/>
          </w:tcPr>
          <w:p w14:paraId="0DA10F3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457.194,00</w:t>
            </w:r>
          </w:p>
        </w:tc>
        <w:tc>
          <w:tcPr>
            <w:tcW w:w="1117" w:type="dxa"/>
            <w:shd w:val="clear" w:color="auto" w:fill="FFFFFF" w:themeFill="background1"/>
            <w:noWrap/>
            <w:hideMark/>
          </w:tcPr>
          <w:p w14:paraId="76D16F1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66.382,00</w:t>
            </w:r>
          </w:p>
        </w:tc>
        <w:tc>
          <w:tcPr>
            <w:tcW w:w="1117" w:type="dxa"/>
            <w:shd w:val="clear" w:color="auto" w:fill="FFFFFF" w:themeFill="background1"/>
            <w:noWrap/>
            <w:hideMark/>
          </w:tcPr>
          <w:p w14:paraId="5B9FDBC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14,52</w:t>
            </w:r>
          </w:p>
        </w:tc>
        <w:tc>
          <w:tcPr>
            <w:tcW w:w="1877" w:type="dxa"/>
            <w:shd w:val="clear" w:color="auto" w:fill="FFFFFF" w:themeFill="background1"/>
            <w:noWrap/>
            <w:hideMark/>
          </w:tcPr>
          <w:p w14:paraId="1EC08A3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523.576,00</w:t>
            </w:r>
          </w:p>
        </w:tc>
      </w:tr>
      <w:tr w:rsidR="007B7808" w:rsidRPr="00657E49" w14:paraId="1FB44551" w14:textId="77777777" w:rsidTr="0056141B">
        <w:trPr>
          <w:trHeight w:val="255"/>
        </w:trPr>
        <w:tc>
          <w:tcPr>
            <w:tcW w:w="5127" w:type="dxa"/>
            <w:gridSpan w:val="2"/>
            <w:shd w:val="clear" w:color="auto" w:fill="FFFFFF" w:themeFill="background1"/>
            <w:noWrap/>
            <w:hideMark/>
          </w:tcPr>
          <w:p w14:paraId="4F09DB9D"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Glava 50003 USTANOVE ŠKOLSTVA</w:t>
            </w:r>
          </w:p>
        </w:tc>
        <w:tc>
          <w:tcPr>
            <w:tcW w:w="1394" w:type="dxa"/>
            <w:shd w:val="clear" w:color="auto" w:fill="FFFFFF" w:themeFill="background1"/>
            <w:noWrap/>
            <w:hideMark/>
          </w:tcPr>
          <w:p w14:paraId="483AFE0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457.194,00</w:t>
            </w:r>
          </w:p>
        </w:tc>
        <w:tc>
          <w:tcPr>
            <w:tcW w:w="1117" w:type="dxa"/>
            <w:shd w:val="clear" w:color="auto" w:fill="FFFFFF" w:themeFill="background1"/>
            <w:noWrap/>
            <w:hideMark/>
          </w:tcPr>
          <w:p w14:paraId="1A307D9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66.382,00</w:t>
            </w:r>
          </w:p>
        </w:tc>
        <w:tc>
          <w:tcPr>
            <w:tcW w:w="1117" w:type="dxa"/>
            <w:shd w:val="clear" w:color="auto" w:fill="FFFFFF" w:themeFill="background1"/>
            <w:noWrap/>
            <w:hideMark/>
          </w:tcPr>
          <w:p w14:paraId="514F711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14,52</w:t>
            </w:r>
          </w:p>
        </w:tc>
        <w:tc>
          <w:tcPr>
            <w:tcW w:w="1877" w:type="dxa"/>
            <w:shd w:val="clear" w:color="auto" w:fill="FFFFFF" w:themeFill="background1"/>
            <w:noWrap/>
            <w:hideMark/>
          </w:tcPr>
          <w:p w14:paraId="6FB2214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523.576,00</w:t>
            </w:r>
          </w:p>
        </w:tc>
      </w:tr>
      <w:tr w:rsidR="007B7808" w:rsidRPr="00657E49" w14:paraId="6C6A03DF" w14:textId="77777777" w:rsidTr="0056141B">
        <w:trPr>
          <w:trHeight w:val="255"/>
        </w:trPr>
        <w:tc>
          <w:tcPr>
            <w:tcW w:w="5127" w:type="dxa"/>
            <w:gridSpan w:val="2"/>
            <w:shd w:val="clear" w:color="auto" w:fill="FFFFFF" w:themeFill="background1"/>
            <w:noWrap/>
            <w:hideMark/>
          </w:tcPr>
          <w:p w14:paraId="61D3ECB2"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Proračunski korisnik 10590 OSNOVNA ŠKOLA IVO LOLA RIBAR LABIN</w:t>
            </w:r>
          </w:p>
        </w:tc>
        <w:tc>
          <w:tcPr>
            <w:tcW w:w="1394" w:type="dxa"/>
            <w:shd w:val="clear" w:color="auto" w:fill="FFFFFF" w:themeFill="background1"/>
            <w:noWrap/>
            <w:hideMark/>
          </w:tcPr>
          <w:p w14:paraId="1A2C525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457.194,00</w:t>
            </w:r>
          </w:p>
        </w:tc>
        <w:tc>
          <w:tcPr>
            <w:tcW w:w="1117" w:type="dxa"/>
            <w:shd w:val="clear" w:color="auto" w:fill="FFFFFF" w:themeFill="background1"/>
            <w:noWrap/>
            <w:hideMark/>
          </w:tcPr>
          <w:p w14:paraId="315EA54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66.382,00</w:t>
            </w:r>
          </w:p>
        </w:tc>
        <w:tc>
          <w:tcPr>
            <w:tcW w:w="1117" w:type="dxa"/>
            <w:shd w:val="clear" w:color="auto" w:fill="FFFFFF" w:themeFill="background1"/>
            <w:noWrap/>
            <w:hideMark/>
          </w:tcPr>
          <w:p w14:paraId="16F6481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14,52</w:t>
            </w:r>
          </w:p>
        </w:tc>
        <w:tc>
          <w:tcPr>
            <w:tcW w:w="1877" w:type="dxa"/>
            <w:shd w:val="clear" w:color="auto" w:fill="FFFFFF" w:themeFill="background1"/>
            <w:noWrap/>
            <w:hideMark/>
          </w:tcPr>
          <w:p w14:paraId="01386AE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523.576,00</w:t>
            </w:r>
          </w:p>
        </w:tc>
      </w:tr>
      <w:tr w:rsidR="007B7808" w:rsidRPr="00657E49" w14:paraId="7EC77AE3" w14:textId="77777777" w:rsidTr="0056141B">
        <w:trPr>
          <w:trHeight w:val="255"/>
        </w:trPr>
        <w:tc>
          <w:tcPr>
            <w:tcW w:w="5127" w:type="dxa"/>
            <w:gridSpan w:val="2"/>
            <w:shd w:val="clear" w:color="auto" w:fill="D9D9D9" w:themeFill="background1" w:themeFillShade="D9"/>
            <w:noWrap/>
            <w:hideMark/>
          </w:tcPr>
          <w:p w14:paraId="3A2367B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Izvor  6.9. DONACIJE</w:t>
            </w:r>
          </w:p>
        </w:tc>
        <w:tc>
          <w:tcPr>
            <w:tcW w:w="1394" w:type="dxa"/>
            <w:shd w:val="clear" w:color="auto" w:fill="D9D9D9" w:themeFill="background1" w:themeFillShade="D9"/>
            <w:noWrap/>
            <w:hideMark/>
          </w:tcPr>
          <w:p w14:paraId="7B4DC30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0,00</w:t>
            </w:r>
          </w:p>
        </w:tc>
        <w:tc>
          <w:tcPr>
            <w:tcW w:w="1117" w:type="dxa"/>
            <w:shd w:val="clear" w:color="auto" w:fill="D9D9D9" w:themeFill="background1" w:themeFillShade="D9"/>
            <w:noWrap/>
            <w:hideMark/>
          </w:tcPr>
          <w:p w14:paraId="714083B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2,00</w:t>
            </w:r>
          </w:p>
        </w:tc>
        <w:tc>
          <w:tcPr>
            <w:tcW w:w="1117" w:type="dxa"/>
            <w:shd w:val="clear" w:color="auto" w:fill="D9D9D9" w:themeFill="background1" w:themeFillShade="D9"/>
            <w:noWrap/>
            <w:hideMark/>
          </w:tcPr>
          <w:p w14:paraId="5309F41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100,00</w:t>
            </w:r>
          </w:p>
        </w:tc>
        <w:tc>
          <w:tcPr>
            <w:tcW w:w="1877" w:type="dxa"/>
            <w:shd w:val="clear" w:color="auto" w:fill="D9D9D9" w:themeFill="background1" w:themeFillShade="D9"/>
            <w:noWrap/>
            <w:hideMark/>
          </w:tcPr>
          <w:p w14:paraId="3FE63D3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2,00</w:t>
            </w:r>
          </w:p>
        </w:tc>
      </w:tr>
      <w:tr w:rsidR="007B7808" w:rsidRPr="00657E49" w14:paraId="4D29CEAF" w14:textId="77777777" w:rsidTr="002815DB">
        <w:trPr>
          <w:trHeight w:val="255"/>
        </w:trPr>
        <w:tc>
          <w:tcPr>
            <w:tcW w:w="1232" w:type="dxa"/>
            <w:noWrap/>
            <w:hideMark/>
          </w:tcPr>
          <w:p w14:paraId="45C245BC"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9</w:t>
            </w:r>
          </w:p>
        </w:tc>
        <w:tc>
          <w:tcPr>
            <w:tcW w:w="3895" w:type="dxa"/>
            <w:noWrap/>
            <w:hideMark/>
          </w:tcPr>
          <w:p w14:paraId="48FA0D18"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Vlastiti izvori</w:t>
            </w:r>
          </w:p>
        </w:tc>
        <w:tc>
          <w:tcPr>
            <w:tcW w:w="1394" w:type="dxa"/>
            <w:noWrap/>
            <w:hideMark/>
          </w:tcPr>
          <w:p w14:paraId="3BD53CB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0,00</w:t>
            </w:r>
          </w:p>
        </w:tc>
        <w:tc>
          <w:tcPr>
            <w:tcW w:w="1117" w:type="dxa"/>
            <w:noWrap/>
            <w:hideMark/>
          </w:tcPr>
          <w:p w14:paraId="7E87210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2,00</w:t>
            </w:r>
          </w:p>
        </w:tc>
        <w:tc>
          <w:tcPr>
            <w:tcW w:w="1117" w:type="dxa"/>
            <w:noWrap/>
            <w:hideMark/>
          </w:tcPr>
          <w:p w14:paraId="210A0C1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100,00</w:t>
            </w:r>
          </w:p>
        </w:tc>
        <w:tc>
          <w:tcPr>
            <w:tcW w:w="1877" w:type="dxa"/>
            <w:noWrap/>
            <w:hideMark/>
          </w:tcPr>
          <w:p w14:paraId="197F8BF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2,00</w:t>
            </w:r>
          </w:p>
        </w:tc>
      </w:tr>
      <w:tr w:rsidR="007B7808" w:rsidRPr="00657E49" w14:paraId="1CBA4F5D" w14:textId="77777777" w:rsidTr="002815DB">
        <w:trPr>
          <w:trHeight w:val="255"/>
        </w:trPr>
        <w:tc>
          <w:tcPr>
            <w:tcW w:w="1232" w:type="dxa"/>
            <w:noWrap/>
            <w:hideMark/>
          </w:tcPr>
          <w:p w14:paraId="57EAF9BF"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92</w:t>
            </w:r>
          </w:p>
        </w:tc>
        <w:tc>
          <w:tcPr>
            <w:tcW w:w="3895" w:type="dxa"/>
            <w:noWrap/>
            <w:hideMark/>
          </w:tcPr>
          <w:p w14:paraId="6C7BFCFC"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Rezultat poslovanja</w:t>
            </w:r>
          </w:p>
        </w:tc>
        <w:tc>
          <w:tcPr>
            <w:tcW w:w="1394" w:type="dxa"/>
            <w:noWrap/>
            <w:hideMark/>
          </w:tcPr>
          <w:p w14:paraId="6BA53F4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3D78E6F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2,00</w:t>
            </w:r>
          </w:p>
        </w:tc>
        <w:tc>
          <w:tcPr>
            <w:tcW w:w="1117" w:type="dxa"/>
            <w:noWrap/>
            <w:hideMark/>
          </w:tcPr>
          <w:p w14:paraId="6240CA9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w:t>
            </w:r>
          </w:p>
        </w:tc>
        <w:tc>
          <w:tcPr>
            <w:tcW w:w="1877" w:type="dxa"/>
            <w:noWrap/>
            <w:hideMark/>
          </w:tcPr>
          <w:p w14:paraId="6AAA278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2,00</w:t>
            </w:r>
          </w:p>
        </w:tc>
      </w:tr>
      <w:tr w:rsidR="007B7808" w:rsidRPr="00657E49" w14:paraId="75133E01" w14:textId="77777777" w:rsidTr="002815DB">
        <w:trPr>
          <w:trHeight w:val="255"/>
        </w:trPr>
        <w:tc>
          <w:tcPr>
            <w:tcW w:w="1232" w:type="dxa"/>
            <w:noWrap/>
            <w:hideMark/>
          </w:tcPr>
          <w:p w14:paraId="328371E9"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92</w:t>
            </w:r>
          </w:p>
        </w:tc>
        <w:tc>
          <w:tcPr>
            <w:tcW w:w="3895" w:type="dxa"/>
            <w:noWrap/>
            <w:hideMark/>
          </w:tcPr>
          <w:p w14:paraId="77B5CA4A"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Rezultat poslovanja</w:t>
            </w:r>
          </w:p>
        </w:tc>
        <w:tc>
          <w:tcPr>
            <w:tcW w:w="1394" w:type="dxa"/>
            <w:noWrap/>
            <w:hideMark/>
          </w:tcPr>
          <w:p w14:paraId="141E602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6C5ADDE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2,00</w:t>
            </w:r>
          </w:p>
        </w:tc>
        <w:tc>
          <w:tcPr>
            <w:tcW w:w="1117" w:type="dxa"/>
            <w:noWrap/>
            <w:hideMark/>
          </w:tcPr>
          <w:p w14:paraId="74FEDF4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w:t>
            </w:r>
          </w:p>
        </w:tc>
        <w:tc>
          <w:tcPr>
            <w:tcW w:w="1877" w:type="dxa"/>
            <w:noWrap/>
            <w:hideMark/>
          </w:tcPr>
          <w:p w14:paraId="70C9497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2,00</w:t>
            </w:r>
          </w:p>
        </w:tc>
      </w:tr>
      <w:tr w:rsidR="007B7808" w:rsidRPr="00657E49" w14:paraId="56972D52" w14:textId="77777777" w:rsidTr="0056141B">
        <w:trPr>
          <w:trHeight w:val="255"/>
        </w:trPr>
        <w:tc>
          <w:tcPr>
            <w:tcW w:w="5127" w:type="dxa"/>
            <w:gridSpan w:val="2"/>
            <w:shd w:val="clear" w:color="auto" w:fill="A6A6A6" w:themeFill="background1" w:themeFillShade="A6"/>
            <w:noWrap/>
            <w:hideMark/>
          </w:tcPr>
          <w:p w14:paraId="7E3E90FD"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Program 5002 Obrazovanje</w:t>
            </w:r>
          </w:p>
        </w:tc>
        <w:tc>
          <w:tcPr>
            <w:tcW w:w="1394" w:type="dxa"/>
            <w:shd w:val="clear" w:color="auto" w:fill="A6A6A6" w:themeFill="background1" w:themeFillShade="A6"/>
            <w:noWrap/>
            <w:hideMark/>
          </w:tcPr>
          <w:p w14:paraId="414D380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457.194,00</w:t>
            </w:r>
          </w:p>
        </w:tc>
        <w:tc>
          <w:tcPr>
            <w:tcW w:w="1117" w:type="dxa"/>
            <w:shd w:val="clear" w:color="auto" w:fill="A6A6A6" w:themeFill="background1" w:themeFillShade="A6"/>
            <w:noWrap/>
            <w:hideMark/>
          </w:tcPr>
          <w:p w14:paraId="4A6ABFE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66.380,00</w:t>
            </w:r>
          </w:p>
        </w:tc>
        <w:tc>
          <w:tcPr>
            <w:tcW w:w="1117" w:type="dxa"/>
            <w:shd w:val="clear" w:color="auto" w:fill="A6A6A6" w:themeFill="background1" w:themeFillShade="A6"/>
            <w:noWrap/>
            <w:hideMark/>
          </w:tcPr>
          <w:p w14:paraId="7C50E19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14,52</w:t>
            </w:r>
          </w:p>
        </w:tc>
        <w:tc>
          <w:tcPr>
            <w:tcW w:w="1877" w:type="dxa"/>
            <w:shd w:val="clear" w:color="auto" w:fill="A6A6A6" w:themeFill="background1" w:themeFillShade="A6"/>
            <w:noWrap/>
            <w:hideMark/>
          </w:tcPr>
          <w:p w14:paraId="45EAAA6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514.728,00</w:t>
            </w:r>
          </w:p>
        </w:tc>
      </w:tr>
      <w:tr w:rsidR="007B7808" w:rsidRPr="00657E49" w14:paraId="6D19C175" w14:textId="77777777" w:rsidTr="0056141B">
        <w:trPr>
          <w:trHeight w:val="255"/>
        </w:trPr>
        <w:tc>
          <w:tcPr>
            <w:tcW w:w="5127" w:type="dxa"/>
            <w:gridSpan w:val="2"/>
            <w:shd w:val="clear" w:color="auto" w:fill="A6A6A6" w:themeFill="background1" w:themeFillShade="A6"/>
            <w:noWrap/>
            <w:hideMark/>
          </w:tcPr>
          <w:p w14:paraId="00B273B7"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Aktivnost A500003 Financiranje djelatnosti osnovnog školstva</w:t>
            </w:r>
          </w:p>
        </w:tc>
        <w:tc>
          <w:tcPr>
            <w:tcW w:w="1394" w:type="dxa"/>
            <w:shd w:val="clear" w:color="auto" w:fill="A6A6A6" w:themeFill="background1" w:themeFillShade="A6"/>
            <w:noWrap/>
            <w:hideMark/>
          </w:tcPr>
          <w:p w14:paraId="590DED8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457.194,00</w:t>
            </w:r>
          </w:p>
        </w:tc>
        <w:tc>
          <w:tcPr>
            <w:tcW w:w="1117" w:type="dxa"/>
            <w:shd w:val="clear" w:color="auto" w:fill="A6A6A6" w:themeFill="background1" w:themeFillShade="A6"/>
            <w:noWrap/>
            <w:hideMark/>
          </w:tcPr>
          <w:p w14:paraId="065F0B4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66.380,00</w:t>
            </w:r>
          </w:p>
        </w:tc>
        <w:tc>
          <w:tcPr>
            <w:tcW w:w="1117" w:type="dxa"/>
            <w:shd w:val="clear" w:color="auto" w:fill="A6A6A6" w:themeFill="background1" w:themeFillShade="A6"/>
            <w:noWrap/>
            <w:hideMark/>
          </w:tcPr>
          <w:p w14:paraId="0741361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14,52</w:t>
            </w:r>
          </w:p>
        </w:tc>
        <w:tc>
          <w:tcPr>
            <w:tcW w:w="1877" w:type="dxa"/>
            <w:shd w:val="clear" w:color="auto" w:fill="A6A6A6" w:themeFill="background1" w:themeFillShade="A6"/>
            <w:noWrap/>
            <w:hideMark/>
          </w:tcPr>
          <w:p w14:paraId="6BC4847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514.728,00</w:t>
            </w:r>
          </w:p>
        </w:tc>
      </w:tr>
      <w:tr w:rsidR="007B7808" w:rsidRPr="00657E49" w14:paraId="69D65B4D" w14:textId="77777777" w:rsidTr="0056141B">
        <w:trPr>
          <w:trHeight w:val="255"/>
        </w:trPr>
        <w:tc>
          <w:tcPr>
            <w:tcW w:w="5127" w:type="dxa"/>
            <w:gridSpan w:val="2"/>
            <w:shd w:val="clear" w:color="auto" w:fill="A6A6A6" w:themeFill="background1" w:themeFillShade="A6"/>
            <w:noWrap/>
            <w:hideMark/>
          </w:tcPr>
          <w:p w14:paraId="101FA09D"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Funkcijska klasifikacija  09 Obrazovanje</w:t>
            </w:r>
          </w:p>
        </w:tc>
        <w:tc>
          <w:tcPr>
            <w:tcW w:w="1394" w:type="dxa"/>
            <w:shd w:val="clear" w:color="auto" w:fill="A6A6A6" w:themeFill="background1" w:themeFillShade="A6"/>
            <w:noWrap/>
            <w:hideMark/>
          </w:tcPr>
          <w:p w14:paraId="28616B4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457.194,00</w:t>
            </w:r>
          </w:p>
        </w:tc>
        <w:tc>
          <w:tcPr>
            <w:tcW w:w="1117" w:type="dxa"/>
            <w:shd w:val="clear" w:color="auto" w:fill="A6A6A6" w:themeFill="background1" w:themeFillShade="A6"/>
            <w:noWrap/>
            <w:hideMark/>
          </w:tcPr>
          <w:p w14:paraId="3C5E084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66.380,00</w:t>
            </w:r>
          </w:p>
        </w:tc>
        <w:tc>
          <w:tcPr>
            <w:tcW w:w="1117" w:type="dxa"/>
            <w:shd w:val="clear" w:color="auto" w:fill="A6A6A6" w:themeFill="background1" w:themeFillShade="A6"/>
            <w:noWrap/>
            <w:hideMark/>
          </w:tcPr>
          <w:p w14:paraId="7E70FC3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14,52</w:t>
            </w:r>
          </w:p>
        </w:tc>
        <w:tc>
          <w:tcPr>
            <w:tcW w:w="1877" w:type="dxa"/>
            <w:shd w:val="clear" w:color="auto" w:fill="A6A6A6" w:themeFill="background1" w:themeFillShade="A6"/>
            <w:noWrap/>
            <w:hideMark/>
          </w:tcPr>
          <w:p w14:paraId="4F89859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514.728,00</w:t>
            </w:r>
          </w:p>
        </w:tc>
      </w:tr>
      <w:tr w:rsidR="007B7808" w:rsidRPr="00657E49" w14:paraId="0531A4F2" w14:textId="77777777" w:rsidTr="0056141B">
        <w:trPr>
          <w:trHeight w:val="255"/>
        </w:trPr>
        <w:tc>
          <w:tcPr>
            <w:tcW w:w="5127" w:type="dxa"/>
            <w:gridSpan w:val="2"/>
            <w:shd w:val="clear" w:color="auto" w:fill="A6A6A6" w:themeFill="background1" w:themeFillShade="A6"/>
            <w:noWrap/>
            <w:hideMark/>
          </w:tcPr>
          <w:p w14:paraId="5F797F5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Funkcijska klasifikacija  091 Predškolsko i osnovno obrazovanje</w:t>
            </w:r>
          </w:p>
        </w:tc>
        <w:tc>
          <w:tcPr>
            <w:tcW w:w="1394" w:type="dxa"/>
            <w:shd w:val="clear" w:color="auto" w:fill="A6A6A6" w:themeFill="background1" w:themeFillShade="A6"/>
            <w:noWrap/>
            <w:hideMark/>
          </w:tcPr>
          <w:p w14:paraId="531671A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457.194,00</w:t>
            </w:r>
          </w:p>
        </w:tc>
        <w:tc>
          <w:tcPr>
            <w:tcW w:w="1117" w:type="dxa"/>
            <w:shd w:val="clear" w:color="auto" w:fill="A6A6A6" w:themeFill="background1" w:themeFillShade="A6"/>
            <w:noWrap/>
            <w:hideMark/>
          </w:tcPr>
          <w:p w14:paraId="1F1255E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66.380,00</w:t>
            </w:r>
          </w:p>
        </w:tc>
        <w:tc>
          <w:tcPr>
            <w:tcW w:w="1117" w:type="dxa"/>
            <w:shd w:val="clear" w:color="auto" w:fill="A6A6A6" w:themeFill="background1" w:themeFillShade="A6"/>
            <w:noWrap/>
            <w:hideMark/>
          </w:tcPr>
          <w:p w14:paraId="1D774B8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14,52</w:t>
            </w:r>
          </w:p>
        </w:tc>
        <w:tc>
          <w:tcPr>
            <w:tcW w:w="1877" w:type="dxa"/>
            <w:shd w:val="clear" w:color="auto" w:fill="A6A6A6" w:themeFill="background1" w:themeFillShade="A6"/>
            <w:noWrap/>
            <w:hideMark/>
          </w:tcPr>
          <w:p w14:paraId="0499392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514.728,00</w:t>
            </w:r>
          </w:p>
        </w:tc>
      </w:tr>
      <w:tr w:rsidR="007B7808" w:rsidRPr="00657E49" w14:paraId="018D8746" w14:textId="77777777" w:rsidTr="0056141B">
        <w:trPr>
          <w:trHeight w:val="255"/>
        </w:trPr>
        <w:tc>
          <w:tcPr>
            <w:tcW w:w="5127" w:type="dxa"/>
            <w:gridSpan w:val="2"/>
            <w:shd w:val="clear" w:color="auto" w:fill="D9D9D9" w:themeFill="background1" w:themeFillShade="D9"/>
            <w:noWrap/>
            <w:hideMark/>
          </w:tcPr>
          <w:p w14:paraId="5C91985A"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Izvor  1.1. OPĆI PRIHODI I PRIMICI-IZNAD STAND.</w:t>
            </w:r>
          </w:p>
        </w:tc>
        <w:tc>
          <w:tcPr>
            <w:tcW w:w="1394" w:type="dxa"/>
            <w:shd w:val="clear" w:color="auto" w:fill="D9D9D9" w:themeFill="background1" w:themeFillShade="D9"/>
            <w:noWrap/>
            <w:hideMark/>
          </w:tcPr>
          <w:p w14:paraId="588E96A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254.422,00</w:t>
            </w:r>
          </w:p>
        </w:tc>
        <w:tc>
          <w:tcPr>
            <w:tcW w:w="1117" w:type="dxa"/>
            <w:shd w:val="clear" w:color="auto" w:fill="D9D9D9" w:themeFill="background1" w:themeFillShade="D9"/>
            <w:noWrap/>
            <w:hideMark/>
          </w:tcPr>
          <w:p w14:paraId="7135617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61.628,00</w:t>
            </w:r>
          </w:p>
        </w:tc>
        <w:tc>
          <w:tcPr>
            <w:tcW w:w="1117" w:type="dxa"/>
            <w:shd w:val="clear" w:color="auto" w:fill="D9D9D9" w:themeFill="background1" w:themeFillShade="D9"/>
            <w:noWrap/>
            <w:hideMark/>
          </w:tcPr>
          <w:p w14:paraId="27E947A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20,00</w:t>
            </w:r>
          </w:p>
        </w:tc>
        <w:tc>
          <w:tcPr>
            <w:tcW w:w="1877" w:type="dxa"/>
            <w:shd w:val="clear" w:color="auto" w:fill="D9D9D9" w:themeFill="background1" w:themeFillShade="D9"/>
            <w:noWrap/>
            <w:hideMark/>
          </w:tcPr>
          <w:p w14:paraId="3B6DE24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306.050,00</w:t>
            </w:r>
          </w:p>
        </w:tc>
      </w:tr>
      <w:tr w:rsidR="007B7808" w:rsidRPr="00657E49" w14:paraId="2D62FFC1" w14:textId="77777777" w:rsidTr="002815DB">
        <w:trPr>
          <w:trHeight w:val="255"/>
        </w:trPr>
        <w:tc>
          <w:tcPr>
            <w:tcW w:w="1232" w:type="dxa"/>
            <w:noWrap/>
            <w:hideMark/>
          </w:tcPr>
          <w:p w14:paraId="2D8B29A0"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w:t>
            </w:r>
          </w:p>
        </w:tc>
        <w:tc>
          <w:tcPr>
            <w:tcW w:w="3895" w:type="dxa"/>
            <w:noWrap/>
            <w:hideMark/>
          </w:tcPr>
          <w:p w14:paraId="4EC8A482"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Prihodi poslovanja</w:t>
            </w:r>
          </w:p>
        </w:tc>
        <w:tc>
          <w:tcPr>
            <w:tcW w:w="1394" w:type="dxa"/>
            <w:noWrap/>
            <w:hideMark/>
          </w:tcPr>
          <w:p w14:paraId="025BFC3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254.422,00</w:t>
            </w:r>
          </w:p>
        </w:tc>
        <w:tc>
          <w:tcPr>
            <w:tcW w:w="1117" w:type="dxa"/>
            <w:noWrap/>
            <w:hideMark/>
          </w:tcPr>
          <w:p w14:paraId="1DE771D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61.628,00</w:t>
            </w:r>
          </w:p>
        </w:tc>
        <w:tc>
          <w:tcPr>
            <w:tcW w:w="1117" w:type="dxa"/>
            <w:noWrap/>
            <w:hideMark/>
          </w:tcPr>
          <w:p w14:paraId="5307373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20,00</w:t>
            </w:r>
          </w:p>
        </w:tc>
        <w:tc>
          <w:tcPr>
            <w:tcW w:w="1877" w:type="dxa"/>
            <w:noWrap/>
            <w:hideMark/>
          </w:tcPr>
          <w:p w14:paraId="56DE68B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306.050,00</w:t>
            </w:r>
          </w:p>
        </w:tc>
      </w:tr>
      <w:tr w:rsidR="007B7808" w:rsidRPr="00657E49" w14:paraId="78747ECE" w14:textId="77777777" w:rsidTr="002815DB">
        <w:trPr>
          <w:trHeight w:val="255"/>
        </w:trPr>
        <w:tc>
          <w:tcPr>
            <w:tcW w:w="1232" w:type="dxa"/>
            <w:noWrap/>
            <w:hideMark/>
          </w:tcPr>
          <w:p w14:paraId="49FA647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67</w:t>
            </w:r>
          </w:p>
        </w:tc>
        <w:tc>
          <w:tcPr>
            <w:tcW w:w="3895" w:type="dxa"/>
            <w:noWrap/>
            <w:hideMark/>
          </w:tcPr>
          <w:p w14:paraId="25ECB21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Prihodi iz nadležnog proračuna i od HZZO-a temeljem ugovornih obveza</w:t>
            </w:r>
          </w:p>
        </w:tc>
        <w:tc>
          <w:tcPr>
            <w:tcW w:w="1394" w:type="dxa"/>
            <w:noWrap/>
            <w:hideMark/>
          </w:tcPr>
          <w:p w14:paraId="0478470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254.422,00</w:t>
            </w:r>
          </w:p>
        </w:tc>
        <w:tc>
          <w:tcPr>
            <w:tcW w:w="1117" w:type="dxa"/>
            <w:noWrap/>
            <w:hideMark/>
          </w:tcPr>
          <w:p w14:paraId="15491C3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61.628,00</w:t>
            </w:r>
          </w:p>
        </w:tc>
        <w:tc>
          <w:tcPr>
            <w:tcW w:w="1117" w:type="dxa"/>
            <w:noWrap/>
            <w:hideMark/>
          </w:tcPr>
          <w:p w14:paraId="30CBAFC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20,00</w:t>
            </w:r>
          </w:p>
        </w:tc>
        <w:tc>
          <w:tcPr>
            <w:tcW w:w="1877" w:type="dxa"/>
            <w:noWrap/>
            <w:hideMark/>
          </w:tcPr>
          <w:p w14:paraId="1122A08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306.050,00</w:t>
            </w:r>
          </w:p>
        </w:tc>
      </w:tr>
      <w:tr w:rsidR="007B7808" w:rsidRPr="00657E49" w14:paraId="0B13D6CF" w14:textId="77777777" w:rsidTr="002815DB">
        <w:trPr>
          <w:trHeight w:val="255"/>
        </w:trPr>
        <w:tc>
          <w:tcPr>
            <w:tcW w:w="1232" w:type="dxa"/>
            <w:noWrap/>
            <w:hideMark/>
          </w:tcPr>
          <w:p w14:paraId="28318E09"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lastRenderedPageBreak/>
              <w:t>67</w:t>
            </w:r>
          </w:p>
        </w:tc>
        <w:tc>
          <w:tcPr>
            <w:tcW w:w="3895" w:type="dxa"/>
            <w:noWrap/>
            <w:hideMark/>
          </w:tcPr>
          <w:p w14:paraId="1022CA0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Prihodi iz nadležnog proračuna i od HZZO-a temeljem ugovornih obveza</w:t>
            </w:r>
          </w:p>
        </w:tc>
        <w:tc>
          <w:tcPr>
            <w:tcW w:w="1394" w:type="dxa"/>
            <w:noWrap/>
            <w:hideMark/>
          </w:tcPr>
          <w:p w14:paraId="21AC874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254.422,00</w:t>
            </w:r>
          </w:p>
        </w:tc>
        <w:tc>
          <w:tcPr>
            <w:tcW w:w="1117" w:type="dxa"/>
            <w:noWrap/>
            <w:hideMark/>
          </w:tcPr>
          <w:p w14:paraId="72CF168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61.628,00</w:t>
            </w:r>
          </w:p>
        </w:tc>
        <w:tc>
          <w:tcPr>
            <w:tcW w:w="1117" w:type="dxa"/>
            <w:noWrap/>
            <w:hideMark/>
          </w:tcPr>
          <w:p w14:paraId="0DA0CB9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20,00</w:t>
            </w:r>
          </w:p>
        </w:tc>
        <w:tc>
          <w:tcPr>
            <w:tcW w:w="1877" w:type="dxa"/>
            <w:noWrap/>
            <w:hideMark/>
          </w:tcPr>
          <w:p w14:paraId="6CAEDAF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306.050,00</w:t>
            </w:r>
          </w:p>
        </w:tc>
      </w:tr>
      <w:tr w:rsidR="007B7808" w:rsidRPr="00657E49" w14:paraId="13CAF7E9" w14:textId="77777777" w:rsidTr="0056141B">
        <w:trPr>
          <w:trHeight w:val="255"/>
        </w:trPr>
        <w:tc>
          <w:tcPr>
            <w:tcW w:w="5127" w:type="dxa"/>
            <w:gridSpan w:val="2"/>
            <w:shd w:val="clear" w:color="auto" w:fill="D9D9D9" w:themeFill="background1" w:themeFillShade="D9"/>
            <w:noWrap/>
            <w:hideMark/>
          </w:tcPr>
          <w:p w14:paraId="13246DFD"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Izvor  5.1. POMOĆI</w:t>
            </w:r>
          </w:p>
        </w:tc>
        <w:tc>
          <w:tcPr>
            <w:tcW w:w="1394" w:type="dxa"/>
            <w:shd w:val="clear" w:color="auto" w:fill="D9D9D9" w:themeFill="background1" w:themeFillShade="D9"/>
            <w:noWrap/>
            <w:hideMark/>
          </w:tcPr>
          <w:p w14:paraId="779C2B8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202.772,00</w:t>
            </w:r>
          </w:p>
        </w:tc>
        <w:tc>
          <w:tcPr>
            <w:tcW w:w="1117" w:type="dxa"/>
            <w:shd w:val="clear" w:color="auto" w:fill="D9D9D9" w:themeFill="background1" w:themeFillShade="D9"/>
            <w:noWrap/>
            <w:hideMark/>
          </w:tcPr>
          <w:p w14:paraId="3D3E786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4.752,00</w:t>
            </w:r>
          </w:p>
        </w:tc>
        <w:tc>
          <w:tcPr>
            <w:tcW w:w="1117" w:type="dxa"/>
            <w:shd w:val="clear" w:color="auto" w:fill="D9D9D9" w:themeFill="background1" w:themeFillShade="D9"/>
            <w:noWrap/>
            <w:hideMark/>
          </w:tcPr>
          <w:p w14:paraId="209D5D8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2,00</w:t>
            </w:r>
          </w:p>
        </w:tc>
        <w:tc>
          <w:tcPr>
            <w:tcW w:w="1877" w:type="dxa"/>
            <w:shd w:val="clear" w:color="auto" w:fill="D9D9D9" w:themeFill="background1" w:themeFillShade="D9"/>
            <w:noWrap/>
            <w:hideMark/>
          </w:tcPr>
          <w:p w14:paraId="501A160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208.154,00</w:t>
            </w:r>
          </w:p>
        </w:tc>
      </w:tr>
      <w:tr w:rsidR="007B7808" w:rsidRPr="00657E49" w14:paraId="71852DA6" w14:textId="77777777" w:rsidTr="002815DB">
        <w:trPr>
          <w:trHeight w:val="255"/>
        </w:trPr>
        <w:tc>
          <w:tcPr>
            <w:tcW w:w="1232" w:type="dxa"/>
            <w:noWrap/>
            <w:hideMark/>
          </w:tcPr>
          <w:p w14:paraId="6C956D6C"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w:t>
            </w:r>
          </w:p>
        </w:tc>
        <w:tc>
          <w:tcPr>
            <w:tcW w:w="3895" w:type="dxa"/>
            <w:noWrap/>
            <w:hideMark/>
          </w:tcPr>
          <w:p w14:paraId="3B93C8E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Prihodi poslovanja</w:t>
            </w:r>
          </w:p>
        </w:tc>
        <w:tc>
          <w:tcPr>
            <w:tcW w:w="1394" w:type="dxa"/>
            <w:noWrap/>
            <w:hideMark/>
          </w:tcPr>
          <w:p w14:paraId="2F8E81A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202.772,00</w:t>
            </w:r>
          </w:p>
        </w:tc>
        <w:tc>
          <w:tcPr>
            <w:tcW w:w="1117" w:type="dxa"/>
            <w:noWrap/>
            <w:hideMark/>
          </w:tcPr>
          <w:p w14:paraId="0910F80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4.752,00</w:t>
            </w:r>
          </w:p>
        </w:tc>
        <w:tc>
          <w:tcPr>
            <w:tcW w:w="1117" w:type="dxa"/>
            <w:noWrap/>
            <w:hideMark/>
          </w:tcPr>
          <w:p w14:paraId="6B07F0E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2,00</w:t>
            </w:r>
          </w:p>
        </w:tc>
        <w:tc>
          <w:tcPr>
            <w:tcW w:w="1877" w:type="dxa"/>
            <w:noWrap/>
            <w:hideMark/>
          </w:tcPr>
          <w:p w14:paraId="2AB15E8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208.154,00</w:t>
            </w:r>
          </w:p>
        </w:tc>
      </w:tr>
      <w:tr w:rsidR="007B7808" w:rsidRPr="00657E49" w14:paraId="2A25D49D" w14:textId="77777777" w:rsidTr="002815DB">
        <w:trPr>
          <w:trHeight w:val="255"/>
        </w:trPr>
        <w:tc>
          <w:tcPr>
            <w:tcW w:w="1232" w:type="dxa"/>
            <w:noWrap/>
            <w:hideMark/>
          </w:tcPr>
          <w:p w14:paraId="1D351EC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67</w:t>
            </w:r>
          </w:p>
        </w:tc>
        <w:tc>
          <w:tcPr>
            <w:tcW w:w="3895" w:type="dxa"/>
            <w:noWrap/>
            <w:hideMark/>
          </w:tcPr>
          <w:p w14:paraId="19E9D038"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Prihodi iz nadležnog proračuna i od HZZO-a temeljem ugovornih obveza</w:t>
            </w:r>
          </w:p>
        </w:tc>
        <w:tc>
          <w:tcPr>
            <w:tcW w:w="1394" w:type="dxa"/>
            <w:noWrap/>
            <w:hideMark/>
          </w:tcPr>
          <w:p w14:paraId="39E5C2B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202.772,00</w:t>
            </w:r>
          </w:p>
        </w:tc>
        <w:tc>
          <w:tcPr>
            <w:tcW w:w="1117" w:type="dxa"/>
            <w:noWrap/>
            <w:hideMark/>
          </w:tcPr>
          <w:p w14:paraId="3E6BE68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4.752,00</w:t>
            </w:r>
          </w:p>
        </w:tc>
        <w:tc>
          <w:tcPr>
            <w:tcW w:w="1117" w:type="dxa"/>
            <w:noWrap/>
            <w:hideMark/>
          </w:tcPr>
          <w:p w14:paraId="4C77D98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2,00</w:t>
            </w:r>
          </w:p>
        </w:tc>
        <w:tc>
          <w:tcPr>
            <w:tcW w:w="1877" w:type="dxa"/>
            <w:noWrap/>
            <w:hideMark/>
          </w:tcPr>
          <w:p w14:paraId="2CE00B7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208.154,00</w:t>
            </w:r>
          </w:p>
        </w:tc>
      </w:tr>
      <w:tr w:rsidR="007B7808" w:rsidRPr="00657E49" w14:paraId="255E539B" w14:textId="77777777" w:rsidTr="002815DB">
        <w:trPr>
          <w:trHeight w:val="255"/>
        </w:trPr>
        <w:tc>
          <w:tcPr>
            <w:tcW w:w="1232" w:type="dxa"/>
            <w:noWrap/>
            <w:hideMark/>
          </w:tcPr>
          <w:p w14:paraId="085A5DD6"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67</w:t>
            </w:r>
          </w:p>
        </w:tc>
        <w:tc>
          <w:tcPr>
            <w:tcW w:w="3895" w:type="dxa"/>
            <w:noWrap/>
            <w:hideMark/>
          </w:tcPr>
          <w:p w14:paraId="0DCE833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Prihodi iz nadležnog proračuna i od HZZO-a temeljem ugovornih obveza</w:t>
            </w:r>
          </w:p>
        </w:tc>
        <w:tc>
          <w:tcPr>
            <w:tcW w:w="1394" w:type="dxa"/>
            <w:noWrap/>
            <w:hideMark/>
          </w:tcPr>
          <w:p w14:paraId="468C3F0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202.772,00</w:t>
            </w:r>
          </w:p>
        </w:tc>
        <w:tc>
          <w:tcPr>
            <w:tcW w:w="1117" w:type="dxa"/>
            <w:noWrap/>
            <w:hideMark/>
          </w:tcPr>
          <w:p w14:paraId="0D5AC0E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4.752,00</w:t>
            </w:r>
          </w:p>
        </w:tc>
        <w:tc>
          <w:tcPr>
            <w:tcW w:w="1117" w:type="dxa"/>
            <w:noWrap/>
            <w:hideMark/>
          </w:tcPr>
          <w:p w14:paraId="6DA7B4E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2,00</w:t>
            </w:r>
          </w:p>
        </w:tc>
        <w:tc>
          <w:tcPr>
            <w:tcW w:w="1877" w:type="dxa"/>
            <w:noWrap/>
            <w:hideMark/>
          </w:tcPr>
          <w:p w14:paraId="55D3472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208.154,00</w:t>
            </w:r>
          </w:p>
        </w:tc>
      </w:tr>
      <w:tr w:rsidR="007B7808" w:rsidRPr="00657E49" w14:paraId="49B597CE" w14:textId="77777777" w:rsidTr="0056141B">
        <w:trPr>
          <w:trHeight w:val="255"/>
        </w:trPr>
        <w:tc>
          <w:tcPr>
            <w:tcW w:w="5127" w:type="dxa"/>
            <w:gridSpan w:val="2"/>
            <w:shd w:val="clear" w:color="auto" w:fill="A6A6A6" w:themeFill="background1" w:themeFillShade="A6"/>
            <w:noWrap/>
            <w:hideMark/>
          </w:tcPr>
          <w:p w14:paraId="2EBA150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 xml:space="preserve">  SVEUKUPNO RASHODI / IZDACI</w:t>
            </w:r>
          </w:p>
        </w:tc>
        <w:tc>
          <w:tcPr>
            <w:tcW w:w="1394" w:type="dxa"/>
            <w:shd w:val="clear" w:color="auto" w:fill="A6A6A6" w:themeFill="background1" w:themeFillShade="A6"/>
            <w:noWrap/>
            <w:hideMark/>
          </w:tcPr>
          <w:p w14:paraId="33C4D44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2.808.091,00</w:t>
            </w:r>
          </w:p>
        </w:tc>
        <w:tc>
          <w:tcPr>
            <w:tcW w:w="1117" w:type="dxa"/>
            <w:shd w:val="clear" w:color="auto" w:fill="A6A6A6" w:themeFill="background1" w:themeFillShade="A6"/>
            <w:noWrap/>
            <w:hideMark/>
          </w:tcPr>
          <w:p w14:paraId="2111815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173.043,00</w:t>
            </w:r>
          </w:p>
        </w:tc>
        <w:tc>
          <w:tcPr>
            <w:tcW w:w="1117" w:type="dxa"/>
            <w:shd w:val="clear" w:color="auto" w:fill="A6A6A6" w:themeFill="background1" w:themeFillShade="A6"/>
            <w:noWrap/>
            <w:hideMark/>
          </w:tcPr>
          <w:p w14:paraId="379C9C2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6,16</w:t>
            </w:r>
          </w:p>
        </w:tc>
        <w:tc>
          <w:tcPr>
            <w:tcW w:w="1877" w:type="dxa"/>
            <w:shd w:val="clear" w:color="auto" w:fill="A6A6A6" w:themeFill="background1" w:themeFillShade="A6"/>
            <w:noWrap/>
            <w:hideMark/>
          </w:tcPr>
          <w:p w14:paraId="0E1EABE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2.971.134,00</w:t>
            </w:r>
          </w:p>
        </w:tc>
      </w:tr>
      <w:tr w:rsidR="007B7808" w:rsidRPr="00657E49" w14:paraId="0EF8E35B" w14:textId="77777777" w:rsidTr="0056141B">
        <w:trPr>
          <w:trHeight w:val="255"/>
        </w:trPr>
        <w:tc>
          <w:tcPr>
            <w:tcW w:w="5127" w:type="dxa"/>
            <w:gridSpan w:val="2"/>
            <w:shd w:val="clear" w:color="auto" w:fill="FFFFFF" w:themeFill="background1"/>
            <w:noWrap/>
            <w:hideMark/>
          </w:tcPr>
          <w:p w14:paraId="568DA056"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Razdjel 500 UPRAVNI ODJEL ZA DRUŠTVENE DJELATNOSTI</w:t>
            </w:r>
          </w:p>
        </w:tc>
        <w:tc>
          <w:tcPr>
            <w:tcW w:w="1394" w:type="dxa"/>
            <w:shd w:val="clear" w:color="auto" w:fill="FFFFFF" w:themeFill="background1"/>
            <w:noWrap/>
            <w:hideMark/>
          </w:tcPr>
          <w:p w14:paraId="124CEFA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2.808.091,00</w:t>
            </w:r>
          </w:p>
        </w:tc>
        <w:tc>
          <w:tcPr>
            <w:tcW w:w="1117" w:type="dxa"/>
            <w:shd w:val="clear" w:color="auto" w:fill="FFFFFF" w:themeFill="background1"/>
            <w:noWrap/>
            <w:hideMark/>
          </w:tcPr>
          <w:p w14:paraId="2C93203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173.043,00</w:t>
            </w:r>
          </w:p>
        </w:tc>
        <w:tc>
          <w:tcPr>
            <w:tcW w:w="1117" w:type="dxa"/>
            <w:shd w:val="clear" w:color="auto" w:fill="FFFFFF" w:themeFill="background1"/>
            <w:noWrap/>
            <w:hideMark/>
          </w:tcPr>
          <w:p w14:paraId="2348384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6,16</w:t>
            </w:r>
          </w:p>
        </w:tc>
        <w:tc>
          <w:tcPr>
            <w:tcW w:w="1877" w:type="dxa"/>
            <w:shd w:val="clear" w:color="auto" w:fill="FFFFFF" w:themeFill="background1"/>
            <w:noWrap/>
            <w:hideMark/>
          </w:tcPr>
          <w:p w14:paraId="24A2A74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2.91.134,00</w:t>
            </w:r>
          </w:p>
        </w:tc>
      </w:tr>
      <w:tr w:rsidR="007B7808" w:rsidRPr="00657E49" w14:paraId="1887712E" w14:textId="77777777" w:rsidTr="0056141B">
        <w:trPr>
          <w:trHeight w:val="255"/>
        </w:trPr>
        <w:tc>
          <w:tcPr>
            <w:tcW w:w="5127" w:type="dxa"/>
            <w:gridSpan w:val="2"/>
            <w:shd w:val="clear" w:color="auto" w:fill="FFFFFF" w:themeFill="background1"/>
            <w:noWrap/>
            <w:hideMark/>
          </w:tcPr>
          <w:p w14:paraId="7D36DE3D"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Glava 50003 USTANOVE ŠKOLSTVA</w:t>
            </w:r>
          </w:p>
        </w:tc>
        <w:tc>
          <w:tcPr>
            <w:tcW w:w="1394" w:type="dxa"/>
            <w:shd w:val="clear" w:color="auto" w:fill="FFFFFF" w:themeFill="background1"/>
            <w:noWrap/>
            <w:hideMark/>
          </w:tcPr>
          <w:p w14:paraId="3CF8D59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2.808.091,00</w:t>
            </w:r>
          </w:p>
        </w:tc>
        <w:tc>
          <w:tcPr>
            <w:tcW w:w="1117" w:type="dxa"/>
            <w:shd w:val="clear" w:color="auto" w:fill="FFFFFF" w:themeFill="background1"/>
            <w:noWrap/>
            <w:hideMark/>
          </w:tcPr>
          <w:p w14:paraId="3127502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173.043,00</w:t>
            </w:r>
          </w:p>
        </w:tc>
        <w:tc>
          <w:tcPr>
            <w:tcW w:w="1117" w:type="dxa"/>
            <w:shd w:val="clear" w:color="auto" w:fill="FFFFFF" w:themeFill="background1"/>
            <w:noWrap/>
            <w:hideMark/>
          </w:tcPr>
          <w:p w14:paraId="4C3A045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6,16</w:t>
            </w:r>
          </w:p>
        </w:tc>
        <w:tc>
          <w:tcPr>
            <w:tcW w:w="1877" w:type="dxa"/>
            <w:shd w:val="clear" w:color="auto" w:fill="FFFFFF" w:themeFill="background1"/>
            <w:noWrap/>
            <w:hideMark/>
          </w:tcPr>
          <w:p w14:paraId="68C63FB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2.971.134,00</w:t>
            </w:r>
          </w:p>
        </w:tc>
      </w:tr>
      <w:tr w:rsidR="007B7808" w:rsidRPr="00657E49" w14:paraId="44EE8561" w14:textId="77777777" w:rsidTr="0056141B">
        <w:trPr>
          <w:trHeight w:val="255"/>
        </w:trPr>
        <w:tc>
          <w:tcPr>
            <w:tcW w:w="5127" w:type="dxa"/>
            <w:gridSpan w:val="2"/>
            <w:shd w:val="clear" w:color="auto" w:fill="FFFFFF" w:themeFill="background1"/>
            <w:noWrap/>
            <w:hideMark/>
          </w:tcPr>
          <w:p w14:paraId="1F0DA47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Proračunski korisnik 10590 OSNOVNA ŠKOLA IVO LOLA RIBAR LABIN</w:t>
            </w:r>
          </w:p>
        </w:tc>
        <w:tc>
          <w:tcPr>
            <w:tcW w:w="1394" w:type="dxa"/>
            <w:shd w:val="clear" w:color="auto" w:fill="FFFFFF" w:themeFill="background1"/>
            <w:noWrap/>
            <w:hideMark/>
          </w:tcPr>
          <w:p w14:paraId="696A356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2.808.091,00</w:t>
            </w:r>
          </w:p>
        </w:tc>
        <w:tc>
          <w:tcPr>
            <w:tcW w:w="1117" w:type="dxa"/>
            <w:shd w:val="clear" w:color="auto" w:fill="FFFFFF" w:themeFill="background1"/>
            <w:noWrap/>
            <w:hideMark/>
          </w:tcPr>
          <w:p w14:paraId="2A8F8CA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173.043,00</w:t>
            </w:r>
          </w:p>
        </w:tc>
        <w:tc>
          <w:tcPr>
            <w:tcW w:w="1117" w:type="dxa"/>
            <w:shd w:val="clear" w:color="auto" w:fill="FFFFFF" w:themeFill="background1"/>
            <w:noWrap/>
            <w:hideMark/>
          </w:tcPr>
          <w:p w14:paraId="6013D38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6,16</w:t>
            </w:r>
          </w:p>
        </w:tc>
        <w:tc>
          <w:tcPr>
            <w:tcW w:w="1877" w:type="dxa"/>
            <w:shd w:val="clear" w:color="auto" w:fill="FFFFFF" w:themeFill="background1"/>
            <w:noWrap/>
            <w:hideMark/>
          </w:tcPr>
          <w:p w14:paraId="73A6113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2.971.134,00</w:t>
            </w:r>
          </w:p>
        </w:tc>
      </w:tr>
      <w:tr w:rsidR="007B7808" w:rsidRPr="00657E49" w14:paraId="6E620001" w14:textId="77777777" w:rsidTr="0056141B">
        <w:trPr>
          <w:trHeight w:val="255"/>
        </w:trPr>
        <w:tc>
          <w:tcPr>
            <w:tcW w:w="5127" w:type="dxa"/>
            <w:gridSpan w:val="2"/>
            <w:shd w:val="clear" w:color="auto" w:fill="A6A6A6" w:themeFill="background1" w:themeFillShade="A6"/>
            <w:noWrap/>
            <w:hideMark/>
          </w:tcPr>
          <w:p w14:paraId="0D7FA864"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Program 5002 Obrazovanje</w:t>
            </w:r>
          </w:p>
        </w:tc>
        <w:tc>
          <w:tcPr>
            <w:tcW w:w="1394" w:type="dxa"/>
            <w:shd w:val="clear" w:color="auto" w:fill="A6A6A6" w:themeFill="background1" w:themeFillShade="A6"/>
            <w:noWrap/>
            <w:hideMark/>
          </w:tcPr>
          <w:p w14:paraId="756BC91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2.808.091,00</w:t>
            </w:r>
          </w:p>
        </w:tc>
        <w:tc>
          <w:tcPr>
            <w:tcW w:w="1117" w:type="dxa"/>
            <w:shd w:val="clear" w:color="auto" w:fill="A6A6A6" w:themeFill="background1" w:themeFillShade="A6"/>
            <w:noWrap/>
            <w:hideMark/>
          </w:tcPr>
          <w:p w14:paraId="430F2DA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173.043,00</w:t>
            </w:r>
          </w:p>
        </w:tc>
        <w:tc>
          <w:tcPr>
            <w:tcW w:w="1117" w:type="dxa"/>
            <w:shd w:val="clear" w:color="auto" w:fill="A6A6A6" w:themeFill="background1" w:themeFillShade="A6"/>
            <w:noWrap/>
            <w:hideMark/>
          </w:tcPr>
          <w:p w14:paraId="3856806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6,16</w:t>
            </w:r>
          </w:p>
        </w:tc>
        <w:tc>
          <w:tcPr>
            <w:tcW w:w="1877" w:type="dxa"/>
            <w:shd w:val="clear" w:color="auto" w:fill="A6A6A6" w:themeFill="background1" w:themeFillShade="A6"/>
            <w:noWrap/>
            <w:hideMark/>
          </w:tcPr>
          <w:p w14:paraId="698A015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2.971.134,00</w:t>
            </w:r>
          </w:p>
        </w:tc>
      </w:tr>
      <w:tr w:rsidR="007B7808" w:rsidRPr="00657E49" w14:paraId="2E8E1D49" w14:textId="77777777" w:rsidTr="0056141B">
        <w:trPr>
          <w:trHeight w:val="255"/>
        </w:trPr>
        <w:tc>
          <w:tcPr>
            <w:tcW w:w="5127" w:type="dxa"/>
            <w:gridSpan w:val="2"/>
            <w:shd w:val="clear" w:color="auto" w:fill="A6A6A6" w:themeFill="background1" w:themeFillShade="A6"/>
            <w:noWrap/>
            <w:hideMark/>
          </w:tcPr>
          <w:p w14:paraId="40A7164E"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Aktivnost A500003 Financiranje djelatnosti osnovnog školstva</w:t>
            </w:r>
          </w:p>
        </w:tc>
        <w:tc>
          <w:tcPr>
            <w:tcW w:w="1394" w:type="dxa"/>
            <w:shd w:val="clear" w:color="auto" w:fill="A6A6A6" w:themeFill="background1" w:themeFillShade="A6"/>
            <w:noWrap/>
            <w:hideMark/>
          </w:tcPr>
          <w:p w14:paraId="650F968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2.277.975,00</w:t>
            </w:r>
          </w:p>
        </w:tc>
        <w:tc>
          <w:tcPr>
            <w:tcW w:w="1117" w:type="dxa"/>
            <w:shd w:val="clear" w:color="auto" w:fill="A6A6A6" w:themeFill="background1" w:themeFillShade="A6"/>
            <w:noWrap/>
            <w:hideMark/>
          </w:tcPr>
          <w:p w14:paraId="220FDF3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83.899,00</w:t>
            </w:r>
          </w:p>
        </w:tc>
        <w:tc>
          <w:tcPr>
            <w:tcW w:w="1117" w:type="dxa"/>
            <w:shd w:val="clear" w:color="auto" w:fill="A6A6A6" w:themeFill="background1" w:themeFillShade="A6"/>
            <w:noWrap/>
            <w:hideMark/>
          </w:tcPr>
          <w:p w14:paraId="55F21C3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3,68</w:t>
            </w:r>
          </w:p>
        </w:tc>
        <w:tc>
          <w:tcPr>
            <w:tcW w:w="1877" w:type="dxa"/>
            <w:shd w:val="clear" w:color="auto" w:fill="A6A6A6" w:themeFill="background1" w:themeFillShade="A6"/>
            <w:noWrap/>
            <w:hideMark/>
          </w:tcPr>
          <w:p w14:paraId="4431336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2.361.874,00</w:t>
            </w:r>
          </w:p>
        </w:tc>
      </w:tr>
      <w:tr w:rsidR="007B7808" w:rsidRPr="00657E49" w14:paraId="7A7F9D78" w14:textId="77777777" w:rsidTr="0056141B">
        <w:trPr>
          <w:trHeight w:val="255"/>
        </w:trPr>
        <w:tc>
          <w:tcPr>
            <w:tcW w:w="5127" w:type="dxa"/>
            <w:gridSpan w:val="2"/>
            <w:shd w:val="clear" w:color="auto" w:fill="A6A6A6" w:themeFill="background1" w:themeFillShade="A6"/>
            <w:noWrap/>
            <w:hideMark/>
          </w:tcPr>
          <w:p w14:paraId="1D0640B4"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Funkcijska klasifikacija  09 Obrazovanje</w:t>
            </w:r>
          </w:p>
        </w:tc>
        <w:tc>
          <w:tcPr>
            <w:tcW w:w="1394" w:type="dxa"/>
            <w:shd w:val="clear" w:color="auto" w:fill="A6A6A6" w:themeFill="background1" w:themeFillShade="A6"/>
            <w:noWrap/>
            <w:hideMark/>
          </w:tcPr>
          <w:p w14:paraId="13ED024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2.277.975,00</w:t>
            </w:r>
          </w:p>
        </w:tc>
        <w:tc>
          <w:tcPr>
            <w:tcW w:w="1117" w:type="dxa"/>
            <w:shd w:val="clear" w:color="auto" w:fill="A6A6A6" w:themeFill="background1" w:themeFillShade="A6"/>
            <w:noWrap/>
            <w:hideMark/>
          </w:tcPr>
          <w:p w14:paraId="067DED5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83.899,00</w:t>
            </w:r>
          </w:p>
        </w:tc>
        <w:tc>
          <w:tcPr>
            <w:tcW w:w="1117" w:type="dxa"/>
            <w:shd w:val="clear" w:color="auto" w:fill="A6A6A6" w:themeFill="background1" w:themeFillShade="A6"/>
            <w:noWrap/>
            <w:hideMark/>
          </w:tcPr>
          <w:p w14:paraId="2806B9E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3,68</w:t>
            </w:r>
          </w:p>
        </w:tc>
        <w:tc>
          <w:tcPr>
            <w:tcW w:w="1877" w:type="dxa"/>
            <w:shd w:val="clear" w:color="auto" w:fill="A6A6A6" w:themeFill="background1" w:themeFillShade="A6"/>
            <w:noWrap/>
            <w:hideMark/>
          </w:tcPr>
          <w:p w14:paraId="2516E5E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2.361.874,00</w:t>
            </w:r>
          </w:p>
        </w:tc>
      </w:tr>
      <w:tr w:rsidR="007B7808" w:rsidRPr="00657E49" w14:paraId="0ED77B86" w14:textId="77777777" w:rsidTr="0056141B">
        <w:trPr>
          <w:trHeight w:val="255"/>
        </w:trPr>
        <w:tc>
          <w:tcPr>
            <w:tcW w:w="5127" w:type="dxa"/>
            <w:gridSpan w:val="2"/>
            <w:shd w:val="clear" w:color="auto" w:fill="A6A6A6" w:themeFill="background1" w:themeFillShade="A6"/>
            <w:noWrap/>
            <w:hideMark/>
          </w:tcPr>
          <w:p w14:paraId="0CC905C6"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Funkcijska klasifikacija  091 Predškolsko i osnovno obrazovanje</w:t>
            </w:r>
          </w:p>
        </w:tc>
        <w:tc>
          <w:tcPr>
            <w:tcW w:w="1394" w:type="dxa"/>
            <w:shd w:val="clear" w:color="auto" w:fill="A6A6A6" w:themeFill="background1" w:themeFillShade="A6"/>
            <w:noWrap/>
            <w:hideMark/>
          </w:tcPr>
          <w:p w14:paraId="16EF361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2.277.975,00</w:t>
            </w:r>
          </w:p>
        </w:tc>
        <w:tc>
          <w:tcPr>
            <w:tcW w:w="1117" w:type="dxa"/>
            <w:shd w:val="clear" w:color="auto" w:fill="A6A6A6" w:themeFill="background1" w:themeFillShade="A6"/>
            <w:noWrap/>
            <w:hideMark/>
          </w:tcPr>
          <w:p w14:paraId="71FB4D9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83.899,00</w:t>
            </w:r>
          </w:p>
        </w:tc>
        <w:tc>
          <w:tcPr>
            <w:tcW w:w="1117" w:type="dxa"/>
            <w:shd w:val="clear" w:color="auto" w:fill="A6A6A6" w:themeFill="background1" w:themeFillShade="A6"/>
            <w:noWrap/>
            <w:hideMark/>
          </w:tcPr>
          <w:p w14:paraId="50DDC63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3,68</w:t>
            </w:r>
          </w:p>
        </w:tc>
        <w:tc>
          <w:tcPr>
            <w:tcW w:w="1877" w:type="dxa"/>
            <w:shd w:val="clear" w:color="auto" w:fill="A6A6A6" w:themeFill="background1" w:themeFillShade="A6"/>
            <w:noWrap/>
            <w:hideMark/>
          </w:tcPr>
          <w:p w14:paraId="670A3D1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2.361.874,00</w:t>
            </w:r>
          </w:p>
        </w:tc>
      </w:tr>
      <w:tr w:rsidR="007B7808" w:rsidRPr="00657E49" w14:paraId="5A579749" w14:textId="77777777" w:rsidTr="0056141B">
        <w:trPr>
          <w:trHeight w:val="255"/>
        </w:trPr>
        <w:tc>
          <w:tcPr>
            <w:tcW w:w="5127" w:type="dxa"/>
            <w:gridSpan w:val="2"/>
            <w:shd w:val="clear" w:color="auto" w:fill="D9D9D9" w:themeFill="background1" w:themeFillShade="D9"/>
            <w:noWrap/>
            <w:hideMark/>
          </w:tcPr>
          <w:p w14:paraId="7BAA6C10"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Izvor  1.1. OPĆI PRIHODI I PRIMICI-IZNAD STAND.</w:t>
            </w:r>
          </w:p>
        </w:tc>
        <w:tc>
          <w:tcPr>
            <w:tcW w:w="1394" w:type="dxa"/>
            <w:shd w:val="clear" w:color="auto" w:fill="D9D9D9" w:themeFill="background1" w:themeFillShade="D9"/>
            <w:noWrap/>
            <w:hideMark/>
          </w:tcPr>
          <w:p w14:paraId="54009E5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31.000,00</w:t>
            </w:r>
          </w:p>
        </w:tc>
        <w:tc>
          <w:tcPr>
            <w:tcW w:w="1117" w:type="dxa"/>
            <w:shd w:val="clear" w:color="auto" w:fill="D9D9D9" w:themeFill="background1" w:themeFillShade="D9"/>
            <w:noWrap/>
            <w:hideMark/>
          </w:tcPr>
          <w:p w14:paraId="36C76B9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11.440,00</w:t>
            </w:r>
          </w:p>
        </w:tc>
        <w:tc>
          <w:tcPr>
            <w:tcW w:w="1117" w:type="dxa"/>
            <w:shd w:val="clear" w:color="auto" w:fill="D9D9D9" w:themeFill="background1" w:themeFillShade="D9"/>
            <w:noWrap/>
            <w:hideMark/>
          </w:tcPr>
          <w:p w14:paraId="1B78311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36,90</w:t>
            </w:r>
          </w:p>
        </w:tc>
        <w:tc>
          <w:tcPr>
            <w:tcW w:w="1877" w:type="dxa"/>
            <w:shd w:val="clear" w:color="auto" w:fill="D9D9D9" w:themeFill="background1" w:themeFillShade="D9"/>
            <w:noWrap/>
            <w:hideMark/>
          </w:tcPr>
          <w:p w14:paraId="6D00FF8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42.440,00</w:t>
            </w:r>
          </w:p>
        </w:tc>
      </w:tr>
      <w:tr w:rsidR="007B7808" w:rsidRPr="00657E49" w14:paraId="797FDA21" w14:textId="77777777" w:rsidTr="002815DB">
        <w:trPr>
          <w:trHeight w:val="255"/>
        </w:trPr>
        <w:tc>
          <w:tcPr>
            <w:tcW w:w="1232" w:type="dxa"/>
            <w:noWrap/>
            <w:hideMark/>
          </w:tcPr>
          <w:p w14:paraId="6D53C307"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w:t>
            </w:r>
          </w:p>
        </w:tc>
        <w:tc>
          <w:tcPr>
            <w:tcW w:w="3895" w:type="dxa"/>
            <w:noWrap/>
            <w:hideMark/>
          </w:tcPr>
          <w:p w14:paraId="416DD8E2"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Rashodi poslovanja</w:t>
            </w:r>
          </w:p>
        </w:tc>
        <w:tc>
          <w:tcPr>
            <w:tcW w:w="1394" w:type="dxa"/>
            <w:noWrap/>
            <w:hideMark/>
          </w:tcPr>
          <w:p w14:paraId="2E261AF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31.000,00</w:t>
            </w:r>
          </w:p>
        </w:tc>
        <w:tc>
          <w:tcPr>
            <w:tcW w:w="1117" w:type="dxa"/>
            <w:noWrap/>
            <w:hideMark/>
          </w:tcPr>
          <w:p w14:paraId="06E5267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11.440,00</w:t>
            </w:r>
          </w:p>
        </w:tc>
        <w:tc>
          <w:tcPr>
            <w:tcW w:w="1117" w:type="dxa"/>
            <w:noWrap/>
            <w:hideMark/>
          </w:tcPr>
          <w:p w14:paraId="20004CB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36,90</w:t>
            </w:r>
          </w:p>
        </w:tc>
        <w:tc>
          <w:tcPr>
            <w:tcW w:w="1877" w:type="dxa"/>
            <w:noWrap/>
            <w:hideMark/>
          </w:tcPr>
          <w:p w14:paraId="468BBA8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42.440,00</w:t>
            </w:r>
          </w:p>
        </w:tc>
      </w:tr>
      <w:tr w:rsidR="007B7808" w:rsidRPr="00657E49" w14:paraId="77972928" w14:textId="77777777" w:rsidTr="002815DB">
        <w:trPr>
          <w:trHeight w:val="255"/>
        </w:trPr>
        <w:tc>
          <w:tcPr>
            <w:tcW w:w="1232" w:type="dxa"/>
            <w:noWrap/>
            <w:hideMark/>
          </w:tcPr>
          <w:p w14:paraId="38E0255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0A045BB0"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643E187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31.000,00</w:t>
            </w:r>
          </w:p>
        </w:tc>
        <w:tc>
          <w:tcPr>
            <w:tcW w:w="1117" w:type="dxa"/>
            <w:noWrap/>
            <w:hideMark/>
          </w:tcPr>
          <w:p w14:paraId="3D3CBF6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11.440,00</w:t>
            </w:r>
          </w:p>
        </w:tc>
        <w:tc>
          <w:tcPr>
            <w:tcW w:w="1117" w:type="dxa"/>
            <w:noWrap/>
            <w:hideMark/>
          </w:tcPr>
          <w:p w14:paraId="5E86D0A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36,90</w:t>
            </w:r>
          </w:p>
        </w:tc>
        <w:tc>
          <w:tcPr>
            <w:tcW w:w="1877" w:type="dxa"/>
            <w:noWrap/>
            <w:hideMark/>
          </w:tcPr>
          <w:p w14:paraId="74FF0CB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42.440,00</w:t>
            </w:r>
          </w:p>
        </w:tc>
      </w:tr>
      <w:tr w:rsidR="007B7808" w:rsidRPr="00657E49" w14:paraId="66A805ED" w14:textId="77777777" w:rsidTr="002815DB">
        <w:trPr>
          <w:trHeight w:val="255"/>
        </w:trPr>
        <w:tc>
          <w:tcPr>
            <w:tcW w:w="1232" w:type="dxa"/>
            <w:noWrap/>
            <w:hideMark/>
          </w:tcPr>
          <w:p w14:paraId="7D12E6BA"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592A6FDF"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4C12930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31.000,00</w:t>
            </w:r>
          </w:p>
        </w:tc>
        <w:tc>
          <w:tcPr>
            <w:tcW w:w="1117" w:type="dxa"/>
            <w:noWrap/>
            <w:hideMark/>
          </w:tcPr>
          <w:p w14:paraId="7FA0602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11.440,00</w:t>
            </w:r>
          </w:p>
        </w:tc>
        <w:tc>
          <w:tcPr>
            <w:tcW w:w="1117" w:type="dxa"/>
            <w:noWrap/>
            <w:hideMark/>
          </w:tcPr>
          <w:p w14:paraId="4695400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36,90</w:t>
            </w:r>
          </w:p>
        </w:tc>
        <w:tc>
          <w:tcPr>
            <w:tcW w:w="1877" w:type="dxa"/>
            <w:noWrap/>
            <w:hideMark/>
          </w:tcPr>
          <w:p w14:paraId="66C675F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42.440,00</w:t>
            </w:r>
          </w:p>
        </w:tc>
      </w:tr>
      <w:tr w:rsidR="007B7808" w:rsidRPr="00657E49" w14:paraId="3410EDC8" w14:textId="77777777" w:rsidTr="0056141B">
        <w:trPr>
          <w:trHeight w:val="255"/>
        </w:trPr>
        <w:tc>
          <w:tcPr>
            <w:tcW w:w="5127" w:type="dxa"/>
            <w:gridSpan w:val="2"/>
            <w:shd w:val="clear" w:color="auto" w:fill="D9D9D9" w:themeFill="background1" w:themeFillShade="D9"/>
            <w:noWrap/>
            <w:hideMark/>
          </w:tcPr>
          <w:p w14:paraId="56F851B4"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Izvor  3.9. VLASTITI PRIHODI</w:t>
            </w:r>
          </w:p>
        </w:tc>
        <w:tc>
          <w:tcPr>
            <w:tcW w:w="1394" w:type="dxa"/>
            <w:shd w:val="clear" w:color="auto" w:fill="D9D9D9" w:themeFill="background1" w:themeFillShade="D9"/>
            <w:noWrap/>
            <w:hideMark/>
          </w:tcPr>
          <w:p w14:paraId="0F6342D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6.000,00</w:t>
            </w:r>
          </w:p>
        </w:tc>
        <w:tc>
          <w:tcPr>
            <w:tcW w:w="1117" w:type="dxa"/>
            <w:shd w:val="clear" w:color="auto" w:fill="D9D9D9" w:themeFill="background1" w:themeFillShade="D9"/>
            <w:noWrap/>
            <w:hideMark/>
          </w:tcPr>
          <w:p w14:paraId="6E08849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-1.159,00</w:t>
            </w:r>
          </w:p>
        </w:tc>
        <w:tc>
          <w:tcPr>
            <w:tcW w:w="1117" w:type="dxa"/>
            <w:shd w:val="clear" w:color="auto" w:fill="D9D9D9" w:themeFill="background1" w:themeFillShade="D9"/>
            <w:noWrap/>
            <w:hideMark/>
          </w:tcPr>
          <w:p w14:paraId="57D3045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-19,32</w:t>
            </w:r>
          </w:p>
        </w:tc>
        <w:tc>
          <w:tcPr>
            <w:tcW w:w="1877" w:type="dxa"/>
            <w:shd w:val="clear" w:color="auto" w:fill="D9D9D9" w:themeFill="background1" w:themeFillShade="D9"/>
            <w:noWrap/>
            <w:hideMark/>
          </w:tcPr>
          <w:p w14:paraId="555B8BD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4.841,00</w:t>
            </w:r>
          </w:p>
        </w:tc>
      </w:tr>
      <w:tr w:rsidR="007B7808" w:rsidRPr="00657E49" w14:paraId="3FE4AAFC" w14:textId="77777777" w:rsidTr="002815DB">
        <w:trPr>
          <w:trHeight w:val="255"/>
        </w:trPr>
        <w:tc>
          <w:tcPr>
            <w:tcW w:w="1232" w:type="dxa"/>
            <w:noWrap/>
            <w:hideMark/>
          </w:tcPr>
          <w:p w14:paraId="087EE55B"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w:t>
            </w:r>
          </w:p>
        </w:tc>
        <w:tc>
          <w:tcPr>
            <w:tcW w:w="3895" w:type="dxa"/>
            <w:noWrap/>
            <w:hideMark/>
          </w:tcPr>
          <w:p w14:paraId="0731836B"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Rashodi poslovanja</w:t>
            </w:r>
          </w:p>
        </w:tc>
        <w:tc>
          <w:tcPr>
            <w:tcW w:w="1394" w:type="dxa"/>
            <w:noWrap/>
            <w:hideMark/>
          </w:tcPr>
          <w:p w14:paraId="118B4B8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4.000,00</w:t>
            </w:r>
          </w:p>
        </w:tc>
        <w:tc>
          <w:tcPr>
            <w:tcW w:w="1117" w:type="dxa"/>
            <w:noWrap/>
            <w:hideMark/>
          </w:tcPr>
          <w:p w14:paraId="27DE5C7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-159,00</w:t>
            </w:r>
          </w:p>
        </w:tc>
        <w:tc>
          <w:tcPr>
            <w:tcW w:w="1117" w:type="dxa"/>
            <w:noWrap/>
            <w:hideMark/>
          </w:tcPr>
          <w:p w14:paraId="188DAE2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-3,98</w:t>
            </w:r>
          </w:p>
        </w:tc>
        <w:tc>
          <w:tcPr>
            <w:tcW w:w="1877" w:type="dxa"/>
            <w:noWrap/>
            <w:hideMark/>
          </w:tcPr>
          <w:p w14:paraId="0E5DCF4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3.841,00</w:t>
            </w:r>
          </w:p>
        </w:tc>
      </w:tr>
      <w:tr w:rsidR="007B7808" w:rsidRPr="00657E49" w14:paraId="5A76E137" w14:textId="77777777" w:rsidTr="002815DB">
        <w:trPr>
          <w:trHeight w:val="255"/>
        </w:trPr>
        <w:tc>
          <w:tcPr>
            <w:tcW w:w="1232" w:type="dxa"/>
            <w:noWrap/>
            <w:hideMark/>
          </w:tcPr>
          <w:p w14:paraId="42804C2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4EF56BDF"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38383AB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4.000,00</w:t>
            </w:r>
          </w:p>
        </w:tc>
        <w:tc>
          <w:tcPr>
            <w:tcW w:w="1117" w:type="dxa"/>
            <w:noWrap/>
            <w:hideMark/>
          </w:tcPr>
          <w:p w14:paraId="6030EC6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-159,00</w:t>
            </w:r>
          </w:p>
        </w:tc>
        <w:tc>
          <w:tcPr>
            <w:tcW w:w="1117" w:type="dxa"/>
            <w:noWrap/>
            <w:hideMark/>
          </w:tcPr>
          <w:p w14:paraId="4FEACDB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-3,98</w:t>
            </w:r>
          </w:p>
        </w:tc>
        <w:tc>
          <w:tcPr>
            <w:tcW w:w="1877" w:type="dxa"/>
            <w:noWrap/>
            <w:hideMark/>
          </w:tcPr>
          <w:p w14:paraId="7DE1CCB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3.841,00</w:t>
            </w:r>
          </w:p>
        </w:tc>
      </w:tr>
      <w:tr w:rsidR="007B7808" w:rsidRPr="00657E49" w14:paraId="3591B1A0" w14:textId="77777777" w:rsidTr="002815DB">
        <w:trPr>
          <w:trHeight w:val="255"/>
        </w:trPr>
        <w:tc>
          <w:tcPr>
            <w:tcW w:w="1232" w:type="dxa"/>
            <w:noWrap/>
            <w:hideMark/>
          </w:tcPr>
          <w:p w14:paraId="1DAAF44B"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426A97A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0E4869D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4.000,00</w:t>
            </w:r>
          </w:p>
        </w:tc>
        <w:tc>
          <w:tcPr>
            <w:tcW w:w="1117" w:type="dxa"/>
            <w:noWrap/>
            <w:hideMark/>
          </w:tcPr>
          <w:p w14:paraId="0B1108D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-159,00</w:t>
            </w:r>
          </w:p>
        </w:tc>
        <w:tc>
          <w:tcPr>
            <w:tcW w:w="1117" w:type="dxa"/>
            <w:noWrap/>
            <w:hideMark/>
          </w:tcPr>
          <w:p w14:paraId="278DE32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-3,98</w:t>
            </w:r>
          </w:p>
        </w:tc>
        <w:tc>
          <w:tcPr>
            <w:tcW w:w="1877" w:type="dxa"/>
            <w:noWrap/>
            <w:hideMark/>
          </w:tcPr>
          <w:p w14:paraId="094EF82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3.841,00</w:t>
            </w:r>
          </w:p>
        </w:tc>
      </w:tr>
      <w:tr w:rsidR="007B7808" w:rsidRPr="00657E49" w14:paraId="1D790115" w14:textId="77777777" w:rsidTr="002815DB">
        <w:trPr>
          <w:trHeight w:val="255"/>
        </w:trPr>
        <w:tc>
          <w:tcPr>
            <w:tcW w:w="1232" w:type="dxa"/>
            <w:noWrap/>
            <w:hideMark/>
          </w:tcPr>
          <w:p w14:paraId="31582456"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w:t>
            </w:r>
          </w:p>
        </w:tc>
        <w:tc>
          <w:tcPr>
            <w:tcW w:w="3895" w:type="dxa"/>
            <w:noWrap/>
            <w:hideMark/>
          </w:tcPr>
          <w:p w14:paraId="1D76CF96"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Rashodi za nabavu nefinancijske imovine</w:t>
            </w:r>
          </w:p>
        </w:tc>
        <w:tc>
          <w:tcPr>
            <w:tcW w:w="1394" w:type="dxa"/>
            <w:noWrap/>
            <w:hideMark/>
          </w:tcPr>
          <w:p w14:paraId="720666E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2.000,00</w:t>
            </w:r>
          </w:p>
        </w:tc>
        <w:tc>
          <w:tcPr>
            <w:tcW w:w="1117" w:type="dxa"/>
            <w:noWrap/>
            <w:hideMark/>
          </w:tcPr>
          <w:p w14:paraId="7AA5F18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-1.000,00</w:t>
            </w:r>
          </w:p>
        </w:tc>
        <w:tc>
          <w:tcPr>
            <w:tcW w:w="1117" w:type="dxa"/>
            <w:noWrap/>
            <w:hideMark/>
          </w:tcPr>
          <w:p w14:paraId="4B30750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-50,00</w:t>
            </w:r>
          </w:p>
        </w:tc>
        <w:tc>
          <w:tcPr>
            <w:tcW w:w="1877" w:type="dxa"/>
            <w:noWrap/>
            <w:hideMark/>
          </w:tcPr>
          <w:p w14:paraId="1D06806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1.000,00</w:t>
            </w:r>
          </w:p>
        </w:tc>
      </w:tr>
      <w:tr w:rsidR="007B7808" w:rsidRPr="00657E49" w14:paraId="2E924989" w14:textId="77777777" w:rsidTr="002815DB">
        <w:trPr>
          <w:trHeight w:val="255"/>
        </w:trPr>
        <w:tc>
          <w:tcPr>
            <w:tcW w:w="1232" w:type="dxa"/>
            <w:noWrap/>
            <w:hideMark/>
          </w:tcPr>
          <w:p w14:paraId="462B3A4D"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42</w:t>
            </w:r>
          </w:p>
        </w:tc>
        <w:tc>
          <w:tcPr>
            <w:tcW w:w="3895" w:type="dxa"/>
            <w:noWrap/>
            <w:hideMark/>
          </w:tcPr>
          <w:p w14:paraId="0368743E"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nabavu proizvedene dugotrajne imovine</w:t>
            </w:r>
          </w:p>
        </w:tc>
        <w:tc>
          <w:tcPr>
            <w:tcW w:w="1394" w:type="dxa"/>
            <w:noWrap/>
            <w:hideMark/>
          </w:tcPr>
          <w:p w14:paraId="594020F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2.000,00</w:t>
            </w:r>
          </w:p>
        </w:tc>
        <w:tc>
          <w:tcPr>
            <w:tcW w:w="1117" w:type="dxa"/>
            <w:noWrap/>
            <w:hideMark/>
          </w:tcPr>
          <w:p w14:paraId="0C3CED7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-1.000,00</w:t>
            </w:r>
          </w:p>
        </w:tc>
        <w:tc>
          <w:tcPr>
            <w:tcW w:w="1117" w:type="dxa"/>
            <w:noWrap/>
            <w:hideMark/>
          </w:tcPr>
          <w:p w14:paraId="186F746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-50,00</w:t>
            </w:r>
          </w:p>
        </w:tc>
        <w:tc>
          <w:tcPr>
            <w:tcW w:w="1877" w:type="dxa"/>
            <w:noWrap/>
            <w:hideMark/>
          </w:tcPr>
          <w:p w14:paraId="06D182C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1.000,00</w:t>
            </w:r>
          </w:p>
        </w:tc>
      </w:tr>
      <w:tr w:rsidR="007B7808" w:rsidRPr="00657E49" w14:paraId="3CA06B51" w14:textId="77777777" w:rsidTr="002815DB">
        <w:trPr>
          <w:trHeight w:val="255"/>
        </w:trPr>
        <w:tc>
          <w:tcPr>
            <w:tcW w:w="1232" w:type="dxa"/>
            <w:noWrap/>
            <w:hideMark/>
          </w:tcPr>
          <w:p w14:paraId="3D1BC65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42</w:t>
            </w:r>
          </w:p>
        </w:tc>
        <w:tc>
          <w:tcPr>
            <w:tcW w:w="3895" w:type="dxa"/>
            <w:noWrap/>
            <w:hideMark/>
          </w:tcPr>
          <w:p w14:paraId="6D93D81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nabavu proizvedene dugotrajne imovine</w:t>
            </w:r>
          </w:p>
        </w:tc>
        <w:tc>
          <w:tcPr>
            <w:tcW w:w="1394" w:type="dxa"/>
            <w:noWrap/>
            <w:hideMark/>
          </w:tcPr>
          <w:p w14:paraId="5BD5827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2.000,00</w:t>
            </w:r>
          </w:p>
        </w:tc>
        <w:tc>
          <w:tcPr>
            <w:tcW w:w="1117" w:type="dxa"/>
            <w:noWrap/>
            <w:hideMark/>
          </w:tcPr>
          <w:p w14:paraId="28FB956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-1.000,00</w:t>
            </w:r>
          </w:p>
        </w:tc>
        <w:tc>
          <w:tcPr>
            <w:tcW w:w="1117" w:type="dxa"/>
            <w:noWrap/>
            <w:hideMark/>
          </w:tcPr>
          <w:p w14:paraId="569F7FC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-50,00</w:t>
            </w:r>
          </w:p>
        </w:tc>
        <w:tc>
          <w:tcPr>
            <w:tcW w:w="1877" w:type="dxa"/>
            <w:noWrap/>
            <w:hideMark/>
          </w:tcPr>
          <w:p w14:paraId="3FF5328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1.000,00</w:t>
            </w:r>
          </w:p>
        </w:tc>
      </w:tr>
      <w:tr w:rsidR="007B7808" w:rsidRPr="00657E49" w14:paraId="2FA48864" w14:textId="77777777" w:rsidTr="0056141B">
        <w:trPr>
          <w:trHeight w:val="255"/>
        </w:trPr>
        <w:tc>
          <w:tcPr>
            <w:tcW w:w="5127" w:type="dxa"/>
            <w:gridSpan w:val="2"/>
            <w:shd w:val="clear" w:color="auto" w:fill="D9D9D9" w:themeFill="background1" w:themeFillShade="D9"/>
            <w:noWrap/>
            <w:hideMark/>
          </w:tcPr>
          <w:p w14:paraId="7141C91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Izvor  5.1. POMOĆI</w:t>
            </w:r>
          </w:p>
        </w:tc>
        <w:tc>
          <w:tcPr>
            <w:tcW w:w="1394" w:type="dxa"/>
            <w:shd w:val="clear" w:color="auto" w:fill="D9D9D9" w:themeFill="background1" w:themeFillShade="D9"/>
            <w:noWrap/>
            <w:hideMark/>
          </w:tcPr>
          <w:p w14:paraId="03CC0F7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174.000,00</w:t>
            </w:r>
          </w:p>
        </w:tc>
        <w:tc>
          <w:tcPr>
            <w:tcW w:w="1117" w:type="dxa"/>
            <w:shd w:val="clear" w:color="auto" w:fill="D9D9D9" w:themeFill="background1" w:themeFillShade="D9"/>
            <w:noWrap/>
            <w:hideMark/>
          </w:tcPr>
          <w:p w14:paraId="467ACE6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4.752,00</w:t>
            </w:r>
          </w:p>
        </w:tc>
        <w:tc>
          <w:tcPr>
            <w:tcW w:w="1117" w:type="dxa"/>
            <w:shd w:val="clear" w:color="auto" w:fill="D9D9D9" w:themeFill="background1" w:themeFillShade="D9"/>
            <w:noWrap/>
            <w:hideMark/>
          </w:tcPr>
          <w:p w14:paraId="704D34C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2,73</w:t>
            </w:r>
          </w:p>
        </w:tc>
        <w:tc>
          <w:tcPr>
            <w:tcW w:w="1877" w:type="dxa"/>
            <w:shd w:val="clear" w:color="auto" w:fill="D9D9D9" w:themeFill="background1" w:themeFillShade="D9"/>
            <w:noWrap/>
            <w:hideMark/>
          </w:tcPr>
          <w:p w14:paraId="5CEDF38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178.752,00</w:t>
            </w:r>
          </w:p>
        </w:tc>
      </w:tr>
      <w:tr w:rsidR="007B7808" w:rsidRPr="00657E49" w14:paraId="4EBE51C0" w14:textId="77777777" w:rsidTr="002815DB">
        <w:trPr>
          <w:trHeight w:val="255"/>
        </w:trPr>
        <w:tc>
          <w:tcPr>
            <w:tcW w:w="1232" w:type="dxa"/>
            <w:noWrap/>
            <w:hideMark/>
          </w:tcPr>
          <w:p w14:paraId="561131F4"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w:t>
            </w:r>
          </w:p>
        </w:tc>
        <w:tc>
          <w:tcPr>
            <w:tcW w:w="3895" w:type="dxa"/>
            <w:noWrap/>
            <w:hideMark/>
          </w:tcPr>
          <w:p w14:paraId="6CB63E5F"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Rashodi poslovanja</w:t>
            </w:r>
          </w:p>
        </w:tc>
        <w:tc>
          <w:tcPr>
            <w:tcW w:w="1394" w:type="dxa"/>
            <w:noWrap/>
            <w:hideMark/>
          </w:tcPr>
          <w:p w14:paraId="2683AF7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174.000,00</w:t>
            </w:r>
          </w:p>
        </w:tc>
        <w:tc>
          <w:tcPr>
            <w:tcW w:w="1117" w:type="dxa"/>
            <w:noWrap/>
            <w:hideMark/>
          </w:tcPr>
          <w:p w14:paraId="24EEF98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2.196,00</w:t>
            </w:r>
          </w:p>
        </w:tc>
        <w:tc>
          <w:tcPr>
            <w:tcW w:w="1117" w:type="dxa"/>
            <w:noWrap/>
            <w:hideMark/>
          </w:tcPr>
          <w:p w14:paraId="7EE7FB6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1,26</w:t>
            </w:r>
          </w:p>
        </w:tc>
        <w:tc>
          <w:tcPr>
            <w:tcW w:w="1877" w:type="dxa"/>
            <w:noWrap/>
            <w:hideMark/>
          </w:tcPr>
          <w:p w14:paraId="24A450D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176.196,00</w:t>
            </w:r>
          </w:p>
        </w:tc>
      </w:tr>
      <w:tr w:rsidR="007B7808" w:rsidRPr="00657E49" w14:paraId="2B414459" w14:textId="77777777" w:rsidTr="002815DB">
        <w:trPr>
          <w:trHeight w:val="255"/>
        </w:trPr>
        <w:tc>
          <w:tcPr>
            <w:tcW w:w="1232" w:type="dxa"/>
            <w:noWrap/>
            <w:hideMark/>
          </w:tcPr>
          <w:p w14:paraId="7653001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6936C41F"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750ED6C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174.000,00</w:t>
            </w:r>
          </w:p>
        </w:tc>
        <w:tc>
          <w:tcPr>
            <w:tcW w:w="1117" w:type="dxa"/>
            <w:noWrap/>
            <w:hideMark/>
          </w:tcPr>
          <w:p w14:paraId="5552008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2.196,00</w:t>
            </w:r>
          </w:p>
        </w:tc>
        <w:tc>
          <w:tcPr>
            <w:tcW w:w="1117" w:type="dxa"/>
            <w:noWrap/>
            <w:hideMark/>
          </w:tcPr>
          <w:p w14:paraId="45EC426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1,26</w:t>
            </w:r>
          </w:p>
        </w:tc>
        <w:tc>
          <w:tcPr>
            <w:tcW w:w="1877" w:type="dxa"/>
            <w:noWrap/>
            <w:hideMark/>
          </w:tcPr>
          <w:p w14:paraId="13BBEB5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176.196,00</w:t>
            </w:r>
          </w:p>
        </w:tc>
      </w:tr>
      <w:tr w:rsidR="007B7808" w:rsidRPr="00657E49" w14:paraId="62FDFE54" w14:textId="77777777" w:rsidTr="002815DB">
        <w:trPr>
          <w:trHeight w:val="255"/>
        </w:trPr>
        <w:tc>
          <w:tcPr>
            <w:tcW w:w="1232" w:type="dxa"/>
            <w:noWrap/>
            <w:hideMark/>
          </w:tcPr>
          <w:p w14:paraId="01E7E3F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38209E0C"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565BF1C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174.000,00</w:t>
            </w:r>
          </w:p>
        </w:tc>
        <w:tc>
          <w:tcPr>
            <w:tcW w:w="1117" w:type="dxa"/>
            <w:noWrap/>
            <w:hideMark/>
          </w:tcPr>
          <w:p w14:paraId="205636D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2.196,00</w:t>
            </w:r>
          </w:p>
        </w:tc>
        <w:tc>
          <w:tcPr>
            <w:tcW w:w="1117" w:type="dxa"/>
            <w:noWrap/>
            <w:hideMark/>
          </w:tcPr>
          <w:p w14:paraId="26833CD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1,26</w:t>
            </w:r>
          </w:p>
        </w:tc>
        <w:tc>
          <w:tcPr>
            <w:tcW w:w="1877" w:type="dxa"/>
            <w:noWrap/>
            <w:hideMark/>
          </w:tcPr>
          <w:p w14:paraId="13C0B57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176.196,00</w:t>
            </w:r>
          </w:p>
        </w:tc>
      </w:tr>
      <w:tr w:rsidR="007B7808" w:rsidRPr="00657E49" w14:paraId="580A2C04" w14:textId="77777777" w:rsidTr="002815DB">
        <w:trPr>
          <w:trHeight w:val="255"/>
        </w:trPr>
        <w:tc>
          <w:tcPr>
            <w:tcW w:w="1232" w:type="dxa"/>
            <w:noWrap/>
            <w:hideMark/>
          </w:tcPr>
          <w:p w14:paraId="4512B887"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9</w:t>
            </w:r>
          </w:p>
        </w:tc>
        <w:tc>
          <w:tcPr>
            <w:tcW w:w="3895" w:type="dxa"/>
            <w:noWrap/>
            <w:hideMark/>
          </w:tcPr>
          <w:p w14:paraId="7A3DEEFA"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Vlastiti izvori</w:t>
            </w:r>
          </w:p>
        </w:tc>
        <w:tc>
          <w:tcPr>
            <w:tcW w:w="1394" w:type="dxa"/>
            <w:noWrap/>
            <w:hideMark/>
          </w:tcPr>
          <w:p w14:paraId="3505E82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0,00</w:t>
            </w:r>
          </w:p>
        </w:tc>
        <w:tc>
          <w:tcPr>
            <w:tcW w:w="1117" w:type="dxa"/>
            <w:noWrap/>
            <w:hideMark/>
          </w:tcPr>
          <w:p w14:paraId="3EA7F96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2.556,00</w:t>
            </w:r>
          </w:p>
        </w:tc>
        <w:tc>
          <w:tcPr>
            <w:tcW w:w="1117" w:type="dxa"/>
            <w:noWrap/>
            <w:hideMark/>
          </w:tcPr>
          <w:p w14:paraId="4D17F16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100,00</w:t>
            </w:r>
          </w:p>
        </w:tc>
        <w:tc>
          <w:tcPr>
            <w:tcW w:w="1877" w:type="dxa"/>
            <w:noWrap/>
            <w:hideMark/>
          </w:tcPr>
          <w:p w14:paraId="2A96035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2.556,00</w:t>
            </w:r>
          </w:p>
        </w:tc>
      </w:tr>
      <w:tr w:rsidR="007B7808" w:rsidRPr="00657E49" w14:paraId="276DF3C2" w14:textId="77777777" w:rsidTr="002815DB">
        <w:trPr>
          <w:trHeight w:val="255"/>
        </w:trPr>
        <w:tc>
          <w:tcPr>
            <w:tcW w:w="1232" w:type="dxa"/>
            <w:noWrap/>
            <w:hideMark/>
          </w:tcPr>
          <w:p w14:paraId="19477D62"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92</w:t>
            </w:r>
          </w:p>
        </w:tc>
        <w:tc>
          <w:tcPr>
            <w:tcW w:w="3895" w:type="dxa"/>
            <w:noWrap/>
            <w:hideMark/>
          </w:tcPr>
          <w:p w14:paraId="66A1C99A"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Rezultat poslovanja</w:t>
            </w:r>
          </w:p>
        </w:tc>
        <w:tc>
          <w:tcPr>
            <w:tcW w:w="1394" w:type="dxa"/>
            <w:noWrap/>
            <w:hideMark/>
          </w:tcPr>
          <w:p w14:paraId="67C0113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4E60E62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2.556,00</w:t>
            </w:r>
          </w:p>
        </w:tc>
        <w:tc>
          <w:tcPr>
            <w:tcW w:w="1117" w:type="dxa"/>
            <w:noWrap/>
            <w:hideMark/>
          </w:tcPr>
          <w:p w14:paraId="766B814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w:t>
            </w:r>
          </w:p>
        </w:tc>
        <w:tc>
          <w:tcPr>
            <w:tcW w:w="1877" w:type="dxa"/>
            <w:noWrap/>
            <w:hideMark/>
          </w:tcPr>
          <w:p w14:paraId="154C33D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2.556,00</w:t>
            </w:r>
          </w:p>
        </w:tc>
      </w:tr>
      <w:tr w:rsidR="007B7808" w:rsidRPr="00657E49" w14:paraId="01571610" w14:textId="77777777" w:rsidTr="002815DB">
        <w:trPr>
          <w:trHeight w:val="255"/>
        </w:trPr>
        <w:tc>
          <w:tcPr>
            <w:tcW w:w="1232" w:type="dxa"/>
            <w:noWrap/>
            <w:hideMark/>
          </w:tcPr>
          <w:p w14:paraId="402D30D8"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92</w:t>
            </w:r>
          </w:p>
        </w:tc>
        <w:tc>
          <w:tcPr>
            <w:tcW w:w="3895" w:type="dxa"/>
            <w:noWrap/>
            <w:hideMark/>
          </w:tcPr>
          <w:p w14:paraId="20B7A05E"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Rezultat poslovanja</w:t>
            </w:r>
          </w:p>
        </w:tc>
        <w:tc>
          <w:tcPr>
            <w:tcW w:w="1394" w:type="dxa"/>
            <w:noWrap/>
            <w:hideMark/>
          </w:tcPr>
          <w:p w14:paraId="3F8FFE1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12132D7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2.556,00</w:t>
            </w:r>
          </w:p>
        </w:tc>
        <w:tc>
          <w:tcPr>
            <w:tcW w:w="1117" w:type="dxa"/>
            <w:noWrap/>
            <w:hideMark/>
          </w:tcPr>
          <w:p w14:paraId="04C507A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w:t>
            </w:r>
          </w:p>
        </w:tc>
        <w:tc>
          <w:tcPr>
            <w:tcW w:w="1877" w:type="dxa"/>
            <w:noWrap/>
            <w:hideMark/>
          </w:tcPr>
          <w:p w14:paraId="15C3531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2.556,00</w:t>
            </w:r>
          </w:p>
        </w:tc>
      </w:tr>
      <w:tr w:rsidR="007B7808" w:rsidRPr="00657E49" w14:paraId="50FB851A" w14:textId="77777777" w:rsidTr="0056141B">
        <w:trPr>
          <w:trHeight w:val="255"/>
        </w:trPr>
        <w:tc>
          <w:tcPr>
            <w:tcW w:w="5127" w:type="dxa"/>
            <w:gridSpan w:val="2"/>
            <w:shd w:val="clear" w:color="auto" w:fill="D9D9D9" w:themeFill="background1" w:themeFillShade="D9"/>
            <w:noWrap/>
            <w:hideMark/>
          </w:tcPr>
          <w:p w14:paraId="04F61798"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Izvor  5.9. POMOĆI</w:t>
            </w:r>
          </w:p>
        </w:tc>
        <w:tc>
          <w:tcPr>
            <w:tcW w:w="1394" w:type="dxa"/>
            <w:shd w:val="clear" w:color="auto" w:fill="D9D9D9" w:themeFill="background1" w:themeFillShade="D9"/>
            <w:noWrap/>
            <w:hideMark/>
          </w:tcPr>
          <w:p w14:paraId="6FF3C30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2.059.475,00</w:t>
            </w:r>
          </w:p>
        </w:tc>
        <w:tc>
          <w:tcPr>
            <w:tcW w:w="1117" w:type="dxa"/>
            <w:shd w:val="clear" w:color="auto" w:fill="D9D9D9" w:themeFill="background1" w:themeFillShade="D9"/>
            <w:noWrap/>
            <w:hideMark/>
          </w:tcPr>
          <w:p w14:paraId="758E2B0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67.864,00</w:t>
            </w:r>
          </w:p>
        </w:tc>
        <w:tc>
          <w:tcPr>
            <w:tcW w:w="1117" w:type="dxa"/>
            <w:shd w:val="clear" w:color="auto" w:fill="D9D9D9" w:themeFill="background1" w:themeFillShade="D9"/>
            <w:noWrap/>
            <w:hideMark/>
          </w:tcPr>
          <w:p w14:paraId="6A15CF1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3,30</w:t>
            </w:r>
          </w:p>
        </w:tc>
        <w:tc>
          <w:tcPr>
            <w:tcW w:w="1877" w:type="dxa"/>
            <w:shd w:val="clear" w:color="auto" w:fill="D9D9D9" w:themeFill="background1" w:themeFillShade="D9"/>
            <w:noWrap/>
            <w:hideMark/>
          </w:tcPr>
          <w:p w14:paraId="61B7531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2.127.339,00</w:t>
            </w:r>
          </w:p>
        </w:tc>
      </w:tr>
      <w:tr w:rsidR="007B7808" w:rsidRPr="00657E49" w14:paraId="490BCF55" w14:textId="77777777" w:rsidTr="002815DB">
        <w:trPr>
          <w:trHeight w:val="255"/>
        </w:trPr>
        <w:tc>
          <w:tcPr>
            <w:tcW w:w="1232" w:type="dxa"/>
            <w:noWrap/>
            <w:hideMark/>
          </w:tcPr>
          <w:p w14:paraId="5C2E17ED"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w:t>
            </w:r>
          </w:p>
        </w:tc>
        <w:tc>
          <w:tcPr>
            <w:tcW w:w="3895" w:type="dxa"/>
            <w:noWrap/>
            <w:hideMark/>
          </w:tcPr>
          <w:p w14:paraId="6F58C4FF"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Rashodi poslovanja</w:t>
            </w:r>
          </w:p>
        </w:tc>
        <w:tc>
          <w:tcPr>
            <w:tcW w:w="1394" w:type="dxa"/>
            <w:noWrap/>
            <w:hideMark/>
          </w:tcPr>
          <w:p w14:paraId="3B8A6C0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2.059.475,00</w:t>
            </w:r>
          </w:p>
        </w:tc>
        <w:tc>
          <w:tcPr>
            <w:tcW w:w="1117" w:type="dxa"/>
            <w:noWrap/>
            <w:hideMark/>
          </w:tcPr>
          <w:p w14:paraId="485F89C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64.651,00</w:t>
            </w:r>
          </w:p>
        </w:tc>
        <w:tc>
          <w:tcPr>
            <w:tcW w:w="1117" w:type="dxa"/>
            <w:noWrap/>
            <w:hideMark/>
          </w:tcPr>
          <w:p w14:paraId="1435A8C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3,14</w:t>
            </w:r>
          </w:p>
        </w:tc>
        <w:tc>
          <w:tcPr>
            <w:tcW w:w="1877" w:type="dxa"/>
            <w:noWrap/>
            <w:hideMark/>
          </w:tcPr>
          <w:p w14:paraId="6999B6E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2.124.126,00</w:t>
            </w:r>
          </w:p>
        </w:tc>
      </w:tr>
      <w:tr w:rsidR="007B7808" w:rsidRPr="00657E49" w14:paraId="22473782" w14:textId="77777777" w:rsidTr="002815DB">
        <w:trPr>
          <w:trHeight w:val="255"/>
        </w:trPr>
        <w:tc>
          <w:tcPr>
            <w:tcW w:w="1232" w:type="dxa"/>
            <w:noWrap/>
            <w:hideMark/>
          </w:tcPr>
          <w:p w14:paraId="651DC7EB"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31</w:t>
            </w:r>
          </w:p>
        </w:tc>
        <w:tc>
          <w:tcPr>
            <w:tcW w:w="3895" w:type="dxa"/>
            <w:noWrap/>
            <w:hideMark/>
          </w:tcPr>
          <w:p w14:paraId="428B6C9F"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zaposlene</w:t>
            </w:r>
          </w:p>
        </w:tc>
        <w:tc>
          <w:tcPr>
            <w:tcW w:w="1394" w:type="dxa"/>
            <w:noWrap/>
            <w:hideMark/>
          </w:tcPr>
          <w:p w14:paraId="79D2D8F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1.909.735,00</w:t>
            </w:r>
          </w:p>
        </w:tc>
        <w:tc>
          <w:tcPr>
            <w:tcW w:w="1117" w:type="dxa"/>
            <w:noWrap/>
            <w:hideMark/>
          </w:tcPr>
          <w:p w14:paraId="28DA675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55.995,00</w:t>
            </w:r>
          </w:p>
        </w:tc>
        <w:tc>
          <w:tcPr>
            <w:tcW w:w="1117" w:type="dxa"/>
            <w:noWrap/>
            <w:hideMark/>
          </w:tcPr>
          <w:p w14:paraId="5DBAD50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2,93</w:t>
            </w:r>
          </w:p>
        </w:tc>
        <w:tc>
          <w:tcPr>
            <w:tcW w:w="1877" w:type="dxa"/>
            <w:noWrap/>
            <w:hideMark/>
          </w:tcPr>
          <w:p w14:paraId="638C8E9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1.965.730,00</w:t>
            </w:r>
          </w:p>
        </w:tc>
      </w:tr>
      <w:tr w:rsidR="007B7808" w:rsidRPr="00657E49" w14:paraId="54A3602D" w14:textId="77777777" w:rsidTr="002815DB">
        <w:trPr>
          <w:trHeight w:val="255"/>
        </w:trPr>
        <w:tc>
          <w:tcPr>
            <w:tcW w:w="1232" w:type="dxa"/>
            <w:noWrap/>
            <w:hideMark/>
          </w:tcPr>
          <w:p w14:paraId="21294B59"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31</w:t>
            </w:r>
          </w:p>
        </w:tc>
        <w:tc>
          <w:tcPr>
            <w:tcW w:w="3895" w:type="dxa"/>
            <w:noWrap/>
            <w:hideMark/>
          </w:tcPr>
          <w:p w14:paraId="483C55FF"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zaposlene</w:t>
            </w:r>
          </w:p>
        </w:tc>
        <w:tc>
          <w:tcPr>
            <w:tcW w:w="1394" w:type="dxa"/>
            <w:noWrap/>
            <w:hideMark/>
          </w:tcPr>
          <w:p w14:paraId="4DBBE81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1.909.735,00</w:t>
            </w:r>
          </w:p>
        </w:tc>
        <w:tc>
          <w:tcPr>
            <w:tcW w:w="1117" w:type="dxa"/>
            <w:noWrap/>
            <w:hideMark/>
          </w:tcPr>
          <w:p w14:paraId="3CC4572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55.995,00</w:t>
            </w:r>
          </w:p>
        </w:tc>
        <w:tc>
          <w:tcPr>
            <w:tcW w:w="1117" w:type="dxa"/>
            <w:noWrap/>
            <w:hideMark/>
          </w:tcPr>
          <w:p w14:paraId="5350835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2,93</w:t>
            </w:r>
          </w:p>
        </w:tc>
        <w:tc>
          <w:tcPr>
            <w:tcW w:w="1877" w:type="dxa"/>
            <w:noWrap/>
            <w:hideMark/>
          </w:tcPr>
          <w:p w14:paraId="52CB19A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1.965.730,00</w:t>
            </w:r>
          </w:p>
        </w:tc>
      </w:tr>
      <w:tr w:rsidR="007B7808" w:rsidRPr="00657E49" w14:paraId="1A1D3354" w14:textId="77777777" w:rsidTr="002815DB">
        <w:trPr>
          <w:trHeight w:val="255"/>
        </w:trPr>
        <w:tc>
          <w:tcPr>
            <w:tcW w:w="1232" w:type="dxa"/>
            <w:noWrap/>
            <w:hideMark/>
          </w:tcPr>
          <w:p w14:paraId="1AAD6FA6"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0AA0E9DB"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5A38330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148.400,00</w:t>
            </w:r>
          </w:p>
        </w:tc>
        <w:tc>
          <w:tcPr>
            <w:tcW w:w="1117" w:type="dxa"/>
            <w:noWrap/>
            <w:hideMark/>
          </w:tcPr>
          <w:p w14:paraId="390A5D6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8.920,00</w:t>
            </w:r>
          </w:p>
        </w:tc>
        <w:tc>
          <w:tcPr>
            <w:tcW w:w="1117" w:type="dxa"/>
            <w:noWrap/>
            <w:hideMark/>
          </w:tcPr>
          <w:p w14:paraId="5DAED5D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6,01</w:t>
            </w:r>
          </w:p>
        </w:tc>
        <w:tc>
          <w:tcPr>
            <w:tcW w:w="1877" w:type="dxa"/>
            <w:noWrap/>
            <w:hideMark/>
          </w:tcPr>
          <w:p w14:paraId="174DAE1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157.320,00</w:t>
            </w:r>
          </w:p>
        </w:tc>
      </w:tr>
      <w:tr w:rsidR="007B7808" w:rsidRPr="00657E49" w14:paraId="10D5F719" w14:textId="77777777" w:rsidTr="002815DB">
        <w:trPr>
          <w:trHeight w:val="255"/>
        </w:trPr>
        <w:tc>
          <w:tcPr>
            <w:tcW w:w="1232" w:type="dxa"/>
            <w:noWrap/>
            <w:hideMark/>
          </w:tcPr>
          <w:p w14:paraId="6D46D81B"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51DD85A9"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3A5D75F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148.400,00</w:t>
            </w:r>
          </w:p>
        </w:tc>
        <w:tc>
          <w:tcPr>
            <w:tcW w:w="1117" w:type="dxa"/>
            <w:noWrap/>
            <w:hideMark/>
          </w:tcPr>
          <w:p w14:paraId="2E8463B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8.920,00</w:t>
            </w:r>
          </w:p>
        </w:tc>
        <w:tc>
          <w:tcPr>
            <w:tcW w:w="1117" w:type="dxa"/>
            <w:noWrap/>
            <w:hideMark/>
          </w:tcPr>
          <w:p w14:paraId="27F1760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6,01</w:t>
            </w:r>
          </w:p>
        </w:tc>
        <w:tc>
          <w:tcPr>
            <w:tcW w:w="1877" w:type="dxa"/>
            <w:noWrap/>
            <w:hideMark/>
          </w:tcPr>
          <w:p w14:paraId="75491C7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157.320,00</w:t>
            </w:r>
          </w:p>
        </w:tc>
      </w:tr>
      <w:tr w:rsidR="007B7808" w:rsidRPr="00657E49" w14:paraId="49111547" w14:textId="77777777" w:rsidTr="002815DB">
        <w:trPr>
          <w:trHeight w:val="255"/>
        </w:trPr>
        <w:tc>
          <w:tcPr>
            <w:tcW w:w="1232" w:type="dxa"/>
            <w:noWrap/>
            <w:hideMark/>
          </w:tcPr>
          <w:p w14:paraId="7B7522EA"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38</w:t>
            </w:r>
          </w:p>
        </w:tc>
        <w:tc>
          <w:tcPr>
            <w:tcW w:w="3895" w:type="dxa"/>
            <w:noWrap/>
            <w:hideMark/>
          </w:tcPr>
          <w:p w14:paraId="57C96AFC"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donacije, kazne, naknade šteta i kapitalne pomoći</w:t>
            </w:r>
          </w:p>
        </w:tc>
        <w:tc>
          <w:tcPr>
            <w:tcW w:w="1394" w:type="dxa"/>
            <w:noWrap/>
            <w:hideMark/>
          </w:tcPr>
          <w:p w14:paraId="651A28A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1.340,00</w:t>
            </w:r>
          </w:p>
        </w:tc>
        <w:tc>
          <w:tcPr>
            <w:tcW w:w="1117" w:type="dxa"/>
            <w:noWrap/>
            <w:hideMark/>
          </w:tcPr>
          <w:p w14:paraId="37975A9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-264,00</w:t>
            </w:r>
          </w:p>
        </w:tc>
        <w:tc>
          <w:tcPr>
            <w:tcW w:w="1117" w:type="dxa"/>
            <w:noWrap/>
            <w:hideMark/>
          </w:tcPr>
          <w:p w14:paraId="447B930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-19,70</w:t>
            </w:r>
          </w:p>
        </w:tc>
        <w:tc>
          <w:tcPr>
            <w:tcW w:w="1877" w:type="dxa"/>
            <w:noWrap/>
            <w:hideMark/>
          </w:tcPr>
          <w:p w14:paraId="53C509A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1.076,00</w:t>
            </w:r>
          </w:p>
        </w:tc>
      </w:tr>
      <w:tr w:rsidR="007B7808" w:rsidRPr="00657E49" w14:paraId="2AC7E901" w14:textId="77777777" w:rsidTr="002815DB">
        <w:trPr>
          <w:trHeight w:val="255"/>
        </w:trPr>
        <w:tc>
          <w:tcPr>
            <w:tcW w:w="1232" w:type="dxa"/>
            <w:noWrap/>
            <w:hideMark/>
          </w:tcPr>
          <w:p w14:paraId="2F6A200F"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38</w:t>
            </w:r>
          </w:p>
        </w:tc>
        <w:tc>
          <w:tcPr>
            <w:tcW w:w="3895" w:type="dxa"/>
            <w:noWrap/>
            <w:hideMark/>
          </w:tcPr>
          <w:p w14:paraId="155C9C12"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donacije, kazne, naknade šteta i kapitalne pomoći</w:t>
            </w:r>
          </w:p>
        </w:tc>
        <w:tc>
          <w:tcPr>
            <w:tcW w:w="1394" w:type="dxa"/>
            <w:noWrap/>
            <w:hideMark/>
          </w:tcPr>
          <w:p w14:paraId="1CDC0FF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1.340,00</w:t>
            </w:r>
          </w:p>
        </w:tc>
        <w:tc>
          <w:tcPr>
            <w:tcW w:w="1117" w:type="dxa"/>
            <w:noWrap/>
            <w:hideMark/>
          </w:tcPr>
          <w:p w14:paraId="415E589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-264,00</w:t>
            </w:r>
          </w:p>
        </w:tc>
        <w:tc>
          <w:tcPr>
            <w:tcW w:w="1117" w:type="dxa"/>
            <w:noWrap/>
            <w:hideMark/>
          </w:tcPr>
          <w:p w14:paraId="5B7A7AF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-19,70</w:t>
            </w:r>
          </w:p>
        </w:tc>
        <w:tc>
          <w:tcPr>
            <w:tcW w:w="1877" w:type="dxa"/>
            <w:noWrap/>
            <w:hideMark/>
          </w:tcPr>
          <w:p w14:paraId="04CC403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1.076,00</w:t>
            </w:r>
          </w:p>
        </w:tc>
      </w:tr>
      <w:tr w:rsidR="007B7808" w:rsidRPr="00657E49" w14:paraId="12EC063C" w14:textId="77777777" w:rsidTr="002815DB">
        <w:trPr>
          <w:trHeight w:val="255"/>
        </w:trPr>
        <w:tc>
          <w:tcPr>
            <w:tcW w:w="1232" w:type="dxa"/>
            <w:noWrap/>
            <w:hideMark/>
          </w:tcPr>
          <w:p w14:paraId="5242843C"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9</w:t>
            </w:r>
          </w:p>
        </w:tc>
        <w:tc>
          <w:tcPr>
            <w:tcW w:w="3895" w:type="dxa"/>
            <w:noWrap/>
            <w:hideMark/>
          </w:tcPr>
          <w:p w14:paraId="5CD7C677"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Vlastiti izvori</w:t>
            </w:r>
          </w:p>
        </w:tc>
        <w:tc>
          <w:tcPr>
            <w:tcW w:w="1394" w:type="dxa"/>
            <w:noWrap/>
            <w:hideMark/>
          </w:tcPr>
          <w:p w14:paraId="5CE5A6C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0,00</w:t>
            </w:r>
          </w:p>
        </w:tc>
        <w:tc>
          <w:tcPr>
            <w:tcW w:w="1117" w:type="dxa"/>
            <w:noWrap/>
            <w:hideMark/>
          </w:tcPr>
          <w:p w14:paraId="713D3C6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3.213,00</w:t>
            </w:r>
          </w:p>
        </w:tc>
        <w:tc>
          <w:tcPr>
            <w:tcW w:w="1117" w:type="dxa"/>
            <w:noWrap/>
            <w:hideMark/>
          </w:tcPr>
          <w:p w14:paraId="5542EFC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100,00</w:t>
            </w:r>
          </w:p>
        </w:tc>
        <w:tc>
          <w:tcPr>
            <w:tcW w:w="1877" w:type="dxa"/>
            <w:noWrap/>
            <w:hideMark/>
          </w:tcPr>
          <w:p w14:paraId="03F6176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3.213,00</w:t>
            </w:r>
          </w:p>
        </w:tc>
      </w:tr>
      <w:tr w:rsidR="007B7808" w:rsidRPr="00657E49" w14:paraId="40E66DFF" w14:textId="77777777" w:rsidTr="002815DB">
        <w:trPr>
          <w:trHeight w:val="255"/>
        </w:trPr>
        <w:tc>
          <w:tcPr>
            <w:tcW w:w="1232" w:type="dxa"/>
            <w:noWrap/>
            <w:hideMark/>
          </w:tcPr>
          <w:p w14:paraId="03B7FA67"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92</w:t>
            </w:r>
          </w:p>
        </w:tc>
        <w:tc>
          <w:tcPr>
            <w:tcW w:w="3895" w:type="dxa"/>
            <w:noWrap/>
            <w:hideMark/>
          </w:tcPr>
          <w:p w14:paraId="440DE349"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Rezultat poslovanja</w:t>
            </w:r>
          </w:p>
        </w:tc>
        <w:tc>
          <w:tcPr>
            <w:tcW w:w="1394" w:type="dxa"/>
            <w:noWrap/>
            <w:hideMark/>
          </w:tcPr>
          <w:p w14:paraId="63D5454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07CEB15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3.213,00</w:t>
            </w:r>
          </w:p>
        </w:tc>
        <w:tc>
          <w:tcPr>
            <w:tcW w:w="1117" w:type="dxa"/>
            <w:noWrap/>
            <w:hideMark/>
          </w:tcPr>
          <w:p w14:paraId="1F774C6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w:t>
            </w:r>
          </w:p>
        </w:tc>
        <w:tc>
          <w:tcPr>
            <w:tcW w:w="1877" w:type="dxa"/>
            <w:noWrap/>
            <w:hideMark/>
          </w:tcPr>
          <w:p w14:paraId="3EBBACF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3.213,00</w:t>
            </w:r>
          </w:p>
        </w:tc>
      </w:tr>
      <w:tr w:rsidR="007B7808" w:rsidRPr="00657E49" w14:paraId="67803650" w14:textId="77777777" w:rsidTr="002815DB">
        <w:trPr>
          <w:trHeight w:val="255"/>
        </w:trPr>
        <w:tc>
          <w:tcPr>
            <w:tcW w:w="1232" w:type="dxa"/>
            <w:noWrap/>
            <w:hideMark/>
          </w:tcPr>
          <w:p w14:paraId="63169E4F"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92</w:t>
            </w:r>
          </w:p>
        </w:tc>
        <w:tc>
          <w:tcPr>
            <w:tcW w:w="3895" w:type="dxa"/>
            <w:noWrap/>
            <w:hideMark/>
          </w:tcPr>
          <w:p w14:paraId="75C43242"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Rezultat poslovanja</w:t>
            </w:r>
          </w:p>
        </w:tc>
        <w:tc>
          <w:tcPr>
            <w:tcW w:w="1394" w:type="dxa"/>
            <w:noWrap/>
            <w:hideMark/>
          </w:tcPr>
          <w:p w14:paraId="02C90DF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76292CC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3.213,00</w:t>
            </w:r>
          </w:p>
        </w:tc>
        <w:tc>
          <w:tcPr>
            <w:tcW w:w="1117" w:type="dxa"/>
            <w:noWrap/>
            <w:hideMark/>
          </w:tcPr>
          <w:p w14:paraId="24A7675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w:t>
            </w:r>
          </w:p>
        </w:tc>
        <w:tc>
          <w:tcPr>
            <w:tcW w:w="1877" w:type="dxa"/>
            <w:noWrap/>
            <w:hideMark/>
          </w:tcPr>
          <w:p w14:paraId="453398F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3.213,00</w:t>
            </w:r>
          </w:p>
        </w:tc>
      </w:tr>
      <w:tr w:rsidR="007B7808" w:rsidRPr="00657E49" w14:paraId="0021C701" w14:textId="77777777" w:rsidTr="0056141B">
        <w:trPr>
          <w:trHeight w:val="255"/>
        </w:trPr>
        <w:tc>
          <w:tcPr>
            <w:tcW w:w="5127" w:type="dxa"/>
            <w:gridSpan w:val="2"/>
            <w:shd w:val="clear" w:color="auto" w:fill="D9D9D9" w:themeFill="background1" w:themeFillShade="D9"/>
            <w:noWrap/>
            <w:hideMark/>
          </w:tcPr>
          <w:p w14:paraId="3CB07B32"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Izvor  6.9. DONACIJE</w:t>
            </w:r>
          </w:p>
        </w:tc>
        <w:tc>
          <w:tcPr>
            <w:tcW w:w="1394" w:type="dxa"/>
            <w:shd w:val="clear" w:color="auto" w:fill="D9D9D9" w:themeFill="background1" w:themeFillShade="D9"/>
            <w:noWrap/>
            <w:hideMark/>
          </w:tcPr>
          <w:p w14:paraId="597308B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1.500,00</w:t>
            </w:r>
          </w:p>
        </w:tc>
        <w:tc>
          <w:tcPr>
            <w:tcW w:w="1117" w:type="dxa"/>
            <w:shd w:val="clear" w:color="auto" w:fill="D9D9D9" w:themeFill="background1" w:themeFillShade="D9"/>
            <w:noWrap/>
            <w:hideMark/>
          </w:tcPr>
          <w:p w14:paraId="2D22A01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2.002,00</w:t>
            </w:r>
          </w:p>
        </w:tc>
        <w:tc>
          <w:tcPr>
            <w:tcW w:w="1117" w:type="dxa"/>
            <w:shd w:val="clear" w:color="auto" w:fill="D9D9D9" w:themeFill="background1" w:themeFillShade="D9"/>
            <w:noWrap/>
            <w:hideMark/>
          </w:tcPr>
          <w:p w14:paraId="24634D2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133,47</w:t>
            </w:r>
          </w:p>
        </w:tc>
        <w:tc>
          <w:tcPr>
            <w:tcW w:w="1877" w:type="dxa"/>
            <w:shd w:val="clear" w:color="auto" w:fill="D9D9D9" w:themeFill="background1" w:themeFillShade="D9"/>
            <w:noWrap/>
            <w:hideMark/>
          </w:tcPr>
          <w:p w14:paraId="10935B4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3.502,00</w:t>
            </w:r>
          </w:p>
        </w:tc>
      </w:tr>
      <w:tr w:rsidR="007B7808" w:rsidRPr="00657E49" w14:paraId="5B6E4E82" w14:textId="77777777" w:rsidTr="002815DB">
        <w:trPr>
          <w:trHeight w:val="255"/>
        </w:trPr>
        <w:tc>
          <w:tcPr>
            <w:tcW w:w="1232" w:type="dxa"/>
            <w:noWrap/>
            <w:hideMark/>
          </w:tcPr>
          <w:p w14:paraId="2ADC2FC8"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w:t>
            </w:r>
          </w:p>
        </w:tc>
        <w:tc>
          <w:tcPr>
            <w:tcW w:w="3895" w:type="dxa"/>
            <w:noWrap/>
            <w:hideMark/>
          </w:tcPr>
          <w:p w14:paraId="5C21CAE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Rashodi poslovanja</w:t>
            </w:r>
          </w:p>
        </w:tc>
        <w:tc>
          <w:tcPr>
            <w:tcW w:w="1394" w:type="dxa"/>
            <w:noWrap/>
            <w:hideMark/>
          </w:tcPr>
          <w:p w14:paraId="1771A71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0,00</w:t>
            </w:r>
          </w:p>
        </w:tc>
        <w:tc>
          <w:tcPr>
            <w:tcW w:w="1117" w:type="dxa"/>
            <w:noWrap/>
            <w:hideMark/>
          </w:tcPr>
          <w:p w14:paraId="7E24909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2,00</w:t>
            </w:r>
          </w:p>
        </w:tc>
        <w:tc>
          <w:tcPr>
            <w:tcW w:w="1117" w:type="dxa"/>
            <w:noWrap/>
            <w:hideMark/>
          </w:tcPr>
          <w:p w14:paraId="5BCB221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100,00</w:t>
            </w:r>
          </w:p>
        </w:tc>
        <w:tc>
          <w:tcPr>
            <w:tcW w:w="1877" w:type="dxa"/>
            <w:noWrap/>
            <w:hideMark/>
          </w:tcPr>
          <w:p w14:paraId="1AE8436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2,00</w:t>
            </w:r>
          </w:p>
        </w:tc>
      </w:tr>
      <w:tr w:rsidR="007B7808" w:rsidRPr="00657E49" w14:paraId="4CA9BDB7" w14:textId="77777777" w:rsidTr="002815DB">
        <w:trPr>
          <w:trHeight w:val="255"/>
        </w:trPr>
        <w:tc>
          <w:tcPr>
            <w:tcW w:w="1232" w:type="dxa"/>
            <w:noWrap/>
            <w:hideMark/>
          </w:tcPr>
          <w:p w14:paraId="31C6C2BE"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3129D3FB"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2CB61FA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61E9DB0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2,00</w:t>
            </w:r>
          </w:p>
        </w:tc>
        <w:tc>
          <w:tcPr>
            <w:tcW w:w="1117" w:type="dxa"/>
            <w:noWrap/>
            <w:hideMark/>
          </w:tcPr>
          <w:p w14:paraId="6383A72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w:t>
            </w:r>
          </w:p>
        </w:tc>
        <w:tc>
          <w:tcPr>
            <w:tcW w:w="1877" w:type="dxa"/>
            <w:noWrap/>
            <w:hideMark/>
          </w:tcPr>
          <w:p w14:paraId="4CB1662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2,00</w:t>
            </w:r>
          </w:p>
        </w:tc>
      </w:tr>
      <w:tr w:rsidR="007B7808" w:rsidRPr="00657E49" w14:paraId="5DFC1958" w14:textId="77777777" w:rsidTr="002815DB">
        <w:trPr>
          <w:trHeight w:val="255"/>
        </w:trPr>
        <w:tc>
          <w:tcPr>
            <w:tcW w:w="1232" w:type="dxa"/>
            <w:noWrap/>
            <w:hideMark/>
          </w:tcPr>
          <w:p w14:paraId="26DFE88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76E75A3A"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247D5A3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77FA75E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2,00</w:t>
            </w:r>
          </w:p>
        </w:tc>
        <w:tc>
          <w:tcPr>
            <w:tcW w:w="1117" w:type="dxa"/>
            <w:noWrap/>
            <w:hideMark/>
          </w:tcPr>
          <w:p w14:paraId="5E89DFC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w:t>
            </w:r>
          </w:p>
        </w:tc>
        <w:tc>
          <w:tcPr>
            <w:tcW w:w="1877" w:type="dxa"/>
            <w:noWrap/>
            <w:hideMark/>
          </w:tcPr>
          <w:p w14:paraId="6A5BC75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2,00</w:t>
            </w:r>
          </w:p>
        </w:tc>
      </w:tr>
      <w:tr w:rsidR="007B7808" w:rsidRPr="00657E49" w14:paraId="1F63A09F" w14:textId="77777777" w:rsidTr="002815DB">
        <w:trPr>
          <w:trHeight w:val="255"/>
        </w:trPr>
        <w:tc>
          <w:tcPr>
            <w:tcW w:w="1232" w:type="dxa"/>
            <w:noWrap/>
            <w:hideMark/>
          </w:tcPr>
          <w:p w14:paraId="2B6527A7"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w:t>
            </w:r>
          </w:p>
        </w:tc>
        <w:tc>
          <w:tcPr>
            <w:tcW w:w="3895" w:type="dxa"/>
            <w:noWrap/>
            <w:hideMark/>
          </w:tcPr>
          <w:p w14:paraId="62AEED9C"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Rashodi za nabavu nefinancijske imovine</w:t>
            </w:r>
          </w:p>
        </w:tc>
        <w:tc>
          <w:tcPr>
            <w:tcW w:w="1394" w:type="dxa"/>
            <w:noWrap/>
            <w:hideMark/>
          </w:tcPr>
          <w:p w14:paraId="6BDE5F7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1.500,00</w:t>
            </w:r>
          </w:p>
        </w:tc>
        <w:tc>
          <w:tcPr>
            <w:tcW w:w="1117" w:type="dxa"/>
            <w:noWrap/>
            <w:hideMark/>
          </w:tcPr>
          <w:p w14:paraId="4D02859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2.000,00</w:t>
            </w:r>
          </w:p>
        </w:tc>
        <w:tc>
          <w:tcPr>
            <w:tcW w:w="1117" w:type="dxa"/>
            <w:noWrap/>
            <w:hideMark/>
          </w:tcPr>
          <w:p w14:paraId="74CB046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133,33</w:t>
            </w:r>
          </w:p>
        </w:tc>
        <w:tc>
          <w:tcPr>
            <w:tcW w:w="1877" w:type="dxa"/>
            <w:noWrap/>
            <w:hideMark/>
          </w:tcPr>
          <w:p w14:paraId="2B74155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3.500,00</w:t>
            </w:r>
          </w:p>
        </w:tc>
      </w:tr>
      <w:tr w:rsidR="007B7808" w:rsidRPr="00657E49" w14:paraId="5D04F396" w14:textId="77777777" w:rsidTr="002815DB">
        <w:trPr>
          <w:trHeight w:val="255"/>
        </w:trPr>
        <w:tc>
          <w:tcPr>
            <w:tcW w:w="1232" w:type="dxa"/>
            <w:noWrap/>
            <w:hideMark/>
          </w:tcPr>
          <w:p w14:paraId="4C15AA7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42</w:t>
            </w:r>
          </w:p>
        </w:tc>
        <w:tc>
          <w:tcPr>
            <w:tcW w:w="3895" w:type="dxa"/>
            <w:noWrap/>
            <w:hideMark/>
          </w:tcPr>
          <w:p w14:paraId="76393B4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nabavu proizvedene dugotrajne imovine</w:t>
            </w:r>
          </w:p>
        </w:tc>
        <w:tc>
          <w:tcPr>
            <w:tcW w:w="1394" w:type="dxa"/>
            <w:noWrap/>
            <w:hideMark/>
          </w:tcPr>
          <w:p w14:paraId="0CA3AE1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1.500,00</w:t>
            </w:r>
          </w:p>
        </w:tc>
        <w:tc>
          <w:tcPr>
            <w:tcW w:w="1117" w:type="dxa"/>
            <w:noWrap/>
            <w:hideMark/>
          </w:tcPr>
          <w:p w14:paraId="7E59A08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2.000,00</w:t>
            </w:r>
          </w:p>
        </w:tc>
        <w:tc>
          <w:tcPr>
            <w:tcW w:w="1117" w:type="dxa"/>
            <w:noWrap/>
            <w:hideMark/>
          </w:tcPr>
          <w:p w14:paraId="4F6F8F5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133,33</w:t>
            </w:r>
          </w:p>
        </w:tc>
        <w:tc>
          <w:tcPr>
            <w:tcW w:w="1877" w:type="dxa"/>
            <w:noWrap/>
            <w:hideMark/>
          </w:tcPr>
          <w:p w14:paraId="05DBD19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3.500,00</w:t>
            </w:r>
          </w:p>
        </w:tc>
      </w:tr>
      <w:tr w:rsidR="007B7808" w:rsidRPr="00657E49" w14:paraId="7A2B9038" w14:textId="77777777" w:rsidTr="002815DB">
        <w:trPr>
          <w:trHeight w:val="255"/>
        </w:trPr>
        <w:tc>
          <w:tcPr>
            <w:tcW w:w="1232" w:type="dxa"/>
            <w:noWrap/>
            <w:hideMark/>
          </w:tcPr>
          <w:p w14:paraId="220197E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lastRenderedPageBreak/>
              <w:t>42</w:t>
            </w:r>
          </w:p>
        </w:tc>
        <w:tc>
          <w:tcPr>
            <w:tcW w:w="3895" w:type="dxa"/>
            <w:noWrap/>
            <w:hideMark/>
          </w:tcPr>
          <w:p w14:paraId="322CA380"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nabavu proizvedene dugotrajne imovine</w:t>
            </w:r>
          </w:p>
        </w:tc>
        <w:tc>
          <w:tcPr>
            <w:tcW w:w="1394" w:type="dxa"/>
            <w:noWrap/>
            <w:hideMark/>
          </w:tcPr>
          <w:p w14:paraId="75893CA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1.500,00</w:t>
            </w:r>
          </w:p>
        </w:tc>
        <w:tc>
          <w:tcPr>
            <w:tcW w:w="1117" w:type="dxa"/>
            <w:noWrap/>
            <w:hideMark/>
          </w:tcPr>
          <w:p w14:paraId="2CE842E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2.000,00</w:t>
            </w:r>
          </w:p>
        </w:tc>
        <w:tc>
          <w:tcPr>
            <w:tcW w:w="1117" w:type="dxa"/>
            <w:noWrap/>
            <w:hideMark/>
          </w:tcPr>
          <w:p w14:paraId="655C9F4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133,33</w:t>
            </w:r>
          </w:p>
        </w:tc>
        <w:tc>
          <w:tcPr>
            <w:tcW w:w="1877" w:type="dxa"/>
            <w:noWrap/>
            <w:hideMark/>
          </w:tcPr>
          <w:p w14:paraId="2D56E8B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3.500,00</w:t>
            </w:r>
          </w:p>
        </w:tc>
      </w:tr>
      <w:tr w:rsidR="007B7808" w:rsidRPr="00657E49" w14:paraId="568931D6" w14:textId="77777777" w:rsidTr="0056141B">
        <w:trPr>
          <w:trHeight w:val="255"/>
        </w:trPr>
        <w:tc>
          <w:tcPr>
            <w:tcW w:w="5127" w:type="dxa"/>
            <w:gridSpan w:val="2"/>
            <w:shd w:val="clear" w:color="auto" w:fill="D9D9D9" w:themeFill="background1" w:themeFillShade="D9"/>
            <w:noWrap/>
            <w:hideMark/>
          </w:tcPr>
          <w:p w14:paraId="7448B452"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 xml:space="preserve">Izvor  7.9. 7.prihodi od naknada šteta s </w:t>
            </w:r>
            <w:proofErr w:type="spellStart"/>
            <w:r w:rsidRPr="00657E49">
              <w:rPr>
                <w:rFonts w:ascii="Arial" w:eastAsia="Arial" w:hAnsi="Arial" w:cs="Arial"/>
                <w:b/>
                <w:bCs/>
                <w:kern w:val="3"/>
                <w:sz w:val="16"/>
                <w:szCs w:val="16"/>
                <w:lang w:eastAsia="zh-CN" w:bidi="hi-IN"/>
              </w:rPr>
              <w:t>osnov.osig.osigur.pri</w:t>
            </w:r>
            <w:proofErr w:type="spellEnd"/>
            <w:r w:rsidRPr="00657E49">
              <w:rPr>
                <w:rFonts w:ascii="Arial" w:eastAsia="Arial" w:hAnsi="Arial" w:cs="Arial"/>
                <w:b/>
                <w:bCs/>
                <w:kern w:val="3"/>
                <w:sz w:val="16"/>
                <w:szCs w:val="16"/>
                <w:lang w:eastAsia="zh-CN" w:bidi="hi-IN"/>
              </w:rPr>
              <w:t>. korisnik</w:t>
            </w:r>
          </w:p>
        </w:tc>
        <w:tc>
          <w:tcPr>
            <w:tcW w:w="1394" w:type="dxa"/>
            <w:shd w:val="clear" w:color="auto" w:fill="D9D9D9" w:themeFill="background1" w:themeFillShade="D9"/>
            <w:noWrap/>
            <w:hideMark/>
          </w:tcPr>
          <w:p w14:paraId="243A90E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6.000,00</w:t>
            </w:r>
          </w:p>
        </w:tc>
        <w:tc>
          <w:tcPr>
            <w:tcW w:w="1117" w:type="dxa"/>
            <w:shd w:val="clear" w:color="auto" w:fill="D9D9D9" w:themeFill="background1" w:themeFillShade="D9"/>
            <w:noWrap/>
            <w:hideMark/>
          </w:tcPr>
          <w:p w14:paraId="75D66D3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-1.000,00</w:t>
            </w:r>
          </w:p>
        </w:tc>
        <w:tc>
          <w:tcPr>
            <w:tcW w:w="1117" w:type="dxa"/>
            <w:shd w:val="clear" w:color="auto" w:fill="D9D9D9" w:themeFill="background1" w:themeFillShade="D9"/>
            <w:noWrap/>
            <w:hideMark/>
          </w:tcPr>
          <w:p w14:paraId="3E28119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-16,67</w:t>
            </w:r>
          </w:p>
        </w:tc>
        <w:tc>
          <w:tcPr>
            <w:tcW w:w="1877" w:type="dxa"/>
            <w:shd w:val="clear" w:color="auto" w:fill="D9D9D9" w:themeFill="background1" w:themeFillShade="D9"/>
            <w:noWrap/>
            <w:hideMark/>
          </w:tcPr>
          <w:p w14:paraId="2237ECE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5.000,00</w:t>
            </w:r>
          </w:p>
        </w:tc>
      </w:tr>
      <w:tr w:rsidR="007B7808" w:rsidRPr="00657E49" w14:paraId="360528D8" w14:textId="77777777" w:rsidTr="002815DB">
        <w:trPr>
          <w:trHeight w:val="255"/>
        </w:trPr>
        <w:tc>
          <w:tcPr>
            <w:tcW w:w="1232" w:type="dxa"/>
            <w:noWrap/>
            <w:hideMark/>
          </w:tcPr>
          <w:p w14:paraId="6849D49A"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w:t>
            </w:r>
          </w:p>
        </w:tc>
        <w:tc>
          <w:tcPr>
            <w:tcW w:w="3895" w:type="dxa"/>
            <w:noWrap/>
            <w:hideMark/>
          </w:tcPr>
          <w:p w14:paraId="736E0D6E"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Rashodi poslovanja</w:t>
            </w:r>
          </w:p>
        </w:tc>
        <w:tc>
          <w:tcPr>
            <w:tcW w:w="1394" w:type="dxa"/>
            <w:noWrap/>
            <w:hideMark/>
          </w:tcPr>
          <w:p w14:paraId="60062DF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6.000,00</w:t>
            </w:r>
          </w:p>
        </w:tc>
        <w:tc>
          <w:tcPr>
            <w:tcW w:w="1117" w:type="dxa"/>
            <w:noWrap/>
            <w:hideMark/>
          </w:tcPr>
          <w:p w14:paraId="681E6A6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-1.000,00</w:t>
            </w:r>
          </w:p>
        </w:tc>
        <w:tc>
          <w:tcPr>
            <w:tcW w:w="1117" w:type="dxa"/>
            <w:noWrap/>
            <w:hideMark/>
          </w:tcPr>
          <w:p w14:paraId="71E5773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-16,67</w:t>
            </w:r>
          </w:p>
        </w:tc>
        <w:tc>
          <w:tcPr>
            <w:tcW w:w="1877" w:type="dxa"/>
            <w:noWrap/>
            <w:hideMark/>
          </w:tcPr>
          <w:p w14:paraId="0B1B6BD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5.000,00</w:t>
            </w:r>
          </w:p>
        </w:tc>
      </w:tr>
      <w:tr w:rsidR="007B7808" w:rsidRPr="00657E49" w14:paraId="4C015F43" w14:textId="77777777" w:rsidTr="002815DB">
        <w:trPr>
          <w:trHeight w:val="255"/>
        </w:trPr>
        <w:tc>
          <w:tcPr>
            <w:tcW w:w="1232" w:type="dxa"/>
            <w:noWrap/>
            <w:hideMark/>
          </w:tcPr>
          <w:p w14:paraId="7EFCA51B"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3D56F75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4C5AB7A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6.000,00</w:t>
            </w:r>
          </w:p>
        </w:tc>
        <w:tc>
          <w:tcPr>
            <w:tcW w:w="1117" w:type="dxa"/>
            <w:noWrap/>
            <w:hideMark/>
          </w:tcPr>
          <w:p w14:paraId="4F44DB6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-1.000,00</w:t>
            </w:r>
          </w:p>
        </w:tc>
        <w:tc>
          <w:tcPr>
            <w:tcW w:w="1117" w:type="dxa"/>
            <w:noWrap/>
            <w:hideMark/>
          </w:tcPr>
          <w:p w14:paraId="1FA21F2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-16,67</w:t>
            </w:r>
          </w:p>
        </w:tc>
        <w:tc>
          <w:tcPr>
            <w:tcW w:w="1877" w:type="dxa"/>
            <w:noWrap/>
            <w:hideMark/>
          </w:tcPr>
          <w:p w14:paraId="2991734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5.000,00</w:t>
            </w:r>
          </w:p>
        </w:tc>
      </w:tr>
      <w:tr w:rsidR="007B7808" w:rsidRPr="00657E49" w14:paraId="6FBC8E02" w14:textId="77777777" w:rsidTr="002815DB">
        <w:trPr>
          <w:trHeight w:val="255"/>
        </w:trPr>
        <w:tc>
          <w:tcPr>
            <w:tcW w:w="1232" w:type="dxa"/>
            <w:noWrap/>
            <w:hideMark/>
          </w:tcPr>
          <w:p w14:paraId="6BB064B4"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691445A6"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49C0DFA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6.000,00</w:t>
            </w:r>
          </w:p>
        </w:tc>
        <w:tc>
          <w:tcPr>
            <w:tcW w:w="1117" w:type="dxa"/>
            <w:noWrap/>
            <w:hideMark/>
          </w:tcPr>
          <w:p w14:paraId="0751B8A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-1.000,00</w:t>
            </w:r>
          </w:p>
        </w:tc>
        <w:tc>
          <w:tcPr>
            <w:tcW w:w="1117" w:type="dxa"/>
            <w:noWrap/>
            <w:hideMark/>
          </w:tcPr>
          <w:p w14:paraId="6526B3F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-16,67</w:t>
            </w:r>
          </w:p>
        </w:tc>
        <w:tc>
          <w:tcPr>
            <w:tcW w:w="1877" w:type="dxa"/>
            <w:noWrap/>
            <w:hideMark/>
          </w:tcPr>
          <w:p w14:paraId="18D2F2E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5.000,00</w:t>
            </w:r>
          </w:p>
        </w:tc>
      </w:tr>
      <w:tr w:rsidR="007B7808" w:rsidRPr="00657E49" w14:paraId="2377FFB2" w14:textId="77777777" w:rsidTr="0056141B">
        <w:trPr>
          <w:trHeight w:val="255"/>
        </w:trPr>
        <w:tc>
          <w:tcPr>
            <w:tcW w:w="5127" w:type="dxa"/>
            <w:gridSpan w:val="2"/>
            <w:shd w:val="clear" w:color="auto" w:fill="A6A6A6" w:themeFill="background1" w:themeFillShade="A6"/>
            <w:noWrap/>
            <w:hideMark/>
          </w:tcPr>
          <w:p w14:paraId="2FA0CEA0"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Aktivnost A500004 Produženi boravak</w:t>
            </w:r>
          </w:p>
        </w:tc>
        <w:tc>
          <w:tcPr>
            <w:tcW w:w="1394" w:type="dxa"/>
            <w:shd w:val="clear" w:color="auto" w:fill="A6A6A6" w:themeFill="background1" w:themeFillShade="A6"/>
            <w:noWrap/>
            <w:hideMark/>
          </w:tcPr>
          <w:p w14:paraId="4723992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323.314,00</w:t>
            </w:r>
          </w:p>
        </w:tc>
        <w:tc>
          <w:tcPr>
            <w:tcW w:w="1117" w:type="dxa"/>
            <w:shd w:val="clear" w:color="auto" w:fill="A6A6A6" w:themeFill="background1" w:themeFillShade="A6"/>
            <w:noWrap/>
            <w:hideMark/>
          </w:tcPr>
          <w:p w14:paraId="3BB8575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78.810,00</w:t>
            </w:r>
          </w:p>
        </w:tc>
        <w:tc>
          <w:tcPr>
            <w:tcW w:w="1117" w:type="dxa"/>
            <w:shd w:val="clear" w:color="auto" w:fill="A6A6A6" w:themeFill="background1" w:themeFillShade="A6"/>
            <w:noWrap/>
            <w:hideMark/>
          </w:tcPr>
          <w:p w14:paraId="29FCB34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24,38</w:t>
            </w:r>
          </w:p>
        </w:tc>
        <w:tc>
          <w:tcPr>
            <w:tcW w:w="1877" w:type="dxa"/>
            <w:shd w:val="clear" w:color="auto" w:fill="A6A6A6" w:themeFill="background1" w:themeFillShade="A6"/>
            <w:noWrap/>
            <w:hideMark/>
          </w:tcPr>
          <w:p w14:paraId="5E77580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402.124,00</w:t>
            </w:r>
          </w:p>
        </w:tc>
      </w:tr>
      <w:tr w:rsidR="007B7808" w:rsidRPr="00657E49" w14:paraId="135394EC" w14:textId="77777777" w:rsidTr="0056141B">
        <w:trPr>
          <w:trHeight w:val="255"/>
        </w:trPr>
        <w:tc>
          <w:tcPr>
            <w:tcW w:w="5127" w:type="dxa"/>
            <w:gridSpan w:val="2"/>
            <w:shd w:val="clear" w:color="auto" w:fill="A6A6A6" w:themeFill="background1" w:themeFillShade="A6"/>
            <w:noWrap/>
            <w:hideMark/>
          </w:tcPr>
          <w:p w14:paraId="4D9927A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Funkcijska klasifikacija  09 Obrazovanje</w:t>
            </w:r>
          </w:p>
        </w:tc>
        <w:tc>
          <w:tcPr>
            <w:tcW w:w="1394" w:type="dxa"/>
            <w:shd w:val="clear" w:color="auto" w:fill="A6A6A6" w:themeFill="background1" w:themeFillShade="A6"/>
            <w:noWrap/>
            <w:hideMark/>
          </w:tcPr>
          <w:p w14:paraId="07922EC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323.314,00</w:t>
            </w:r>
          </w:p>
        </w:tc>
        <w:tc>
          <w:tcPr>
            <w:tcW w:w="1117" w:type="dxa"/>
            <w:shd w:val="clear" w:color="auto" w:fill="A6A6A6" w:themeFill="background1" w:themeFillShade="A6"/>
            <w:noWrap/>
            <w:hideMark/>
          </w:tcPr>
          <w:p w14:paraId="0E1908E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78.810,00</w:t>
            </w:r>
          </w:p>
        </w:tc>
        <w:tc>
          <w:tcPr>
            <w:tcW w:w="1117" w:type="dxa"/>
            <w:shd w:val="clear" w:color="auto" w:fill="A6A6A6" w:themeFill="background1" w:themeFillShade="A6"/>
            <w:noWrap/>
            <w:hideMark/>
          </w:tcPr>
          <w:p w14:paraId="7176FE0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24,38</w:t>
            </w:r>
          </w:p>
        </w:tc>
        <w:tc>
          <w:tcPr>
            <w:tcW w:w="1877" w:type="dxa"/>
            <w:shd w:val="clear" w:color="auto" w:fill="A6A6A6" w:themeFill="background1" w:themeFillShade="A6"/>
            <w:noWrap/>
            <w:hideMark/>
          </w:tcPr>
          <w:p w14:paraId="7CFD0FC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402.124,00</w:t>
            </w:r>
          </w:p>
        </w:tc>
      </w:tr>
      <w:tr w:rsidR="007B7808" w:rsidRPr="00657E49" w14:paraId="5EFF522B" w14:textId="77777777" w:rsidTr="0056141B">
        <w:trPr>
          <w:trHeight w:val="255"/>
        </w:trPr>
        <w:tc>
          <w:tcPr>
            <w:tcW w:w="5127" w:type="dxa"/>
            <w:gridSpan w:val="2"/>
            <w:shd w:val="clear" w:color="auto" w:fill="A6A6A6" w:themeFill="background1" w:themeFillShade="A6"/>
            <w:noWrap/>
            <w:hideMark/>
          </w:tcPr>
          <w:p w14:paraId="0884E1CD"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Funkcijska klasifikacija  091 Predškolsko i osnovno obrazovanje</w:t>
            </w:r>
          </w:p>
        </w:tc>
        <w:tc>
          <w:tcPr>
            <w:tcW w:w="1394" w:type="dxa"/>
            <w:shd w:val="clear" w:color="auto" w:fill="A6A6A6" w:themeFill="background1" w:themeFillShade="A6"/>
            <w:noWrap/>
            <w:hideMark/>
          </w:tcPr>
          <w:p w14:paraId="6CD7348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323.314,00</w:t>
            </w:r>
          </w:p>
        </w:tc>
        <w:tc>
          <w:tcPr>
            <w:tcW w:w="1117" w:type="dxa"/>
            <w:shd w:val="clear" w:color="auto" w:fill="A6A6A6" w:themeFill="background1" w:themeFillShade="A6"/>
            <w:noWrap/>
            <w:hideMark/>
          </w:tcPr>
          <w:p w14:paraId="17084FE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78.810,00</w:t>
            </w:r>
          </w:p>
        </w:tc>
        <w:tc>
          <w:tcPr>
            <w:tcW w:w="1117" w:type="dxa"/>
            <w:shd w:val="clear" w:color="auto" w:fill="A6A6A6" w:themeFill="background1" w:themeFillShade="A6"/>
            <w:noWrap/>
            <w:hideMark/>
          </w:tcPr>
          <w:p w14:paraId="34EE37C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24,38</w:t>
            </w:r>
          </w:p>
        </w:tc>
        <w:tc>
          <w:tcPr>
            <w:tcW w:w="1877" w:type="dxa"/>
            <w:shd w:val="clear" w:color="auto" w:fill="A6A6A6" w:themeFill="background1" w:themeFillShade="A6"/>
            <w:noWrap/>
            <w:hideMark/>
          </w:tcPr>
          <w:p w14:paraId="31DF4FA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402.124,00</w:t>
            </w:r>
          </w:p>
        </w:tc>
      </w:tr>
      <w:tr w:rsidR="007B7808" w:rsidRPr="00657E49" w14:paraId="167D8942" w14:textId="77777777" w:rsidTr="0056141B">
        <w:trPr>
          <w:trHeight w:val="255"/>
        </w:trPr>
        <w:tc>
          <w:tcPr>
            <w:tcW w:w="5127" w:type="dxa"/>
            <w:gridSpan w:val="2"/>
            <w:shd w:val="clear" w:color="auto" w:fill="D9D9D9" w:themeFill="background1" w:themeFillShade="D9"/>
            <w:noWrap/>
            <w:hideMark/>
          </w:tcPr>
          <w:p w14:paraId="040024AD"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Izvor  1.1. OPĆI PRIHODI I PRIMICI-IZNAD STAND.</w:t>
            </w:r>
          </w:p>
        </w:tc>
        <w:tc>
          <w:tcPr>
            <w:tcW w:w="1394" w:type="dxa"/>
            <w:shd w:val="clear" w:color="auto" w:fill="D9D9D9" w:themeFill="background1" w:themeFillShade="D9"/>
            <w:noWrap/>
            <w:hideMark/>
          </w:tcPr>
          <w:p w14:paraId="148BA74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139.632,00</w:t>
            </w:r>
          </w:p>
        </w:tc>
        <w:tc>
          <w:tcPr>
            <w:tcW w:w="1117" w:type="dxa"/>
            <w:shd w:val="clear" w:color="auto" w:fill="D9D9D9" w:themeFill="background1" w:themeFillShade="D9"/>
            <w:noWrap/>
            <w:hideMark/>
          </w:tcPr>
          <w:p w14:paraId="4C9D7C5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44.163,00</w:t>
            </w:r>
          </w:p>
        </w:tc>
        <w:tc>
          <w:tcPr>
            <w:tcW w:w="1117" w:type="dxa"/>
            <w:shd w:val="clear" w:color="auto" w:fill="D9D9D9" w:themeFill="background1" w:themeFillShade="D9"/>
            <w:noWrap/>
            <w:hideMark/>
          </w:tcPr>
          <w:p w14:paraId="50B7701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31,63</w:t>
            </w:r>
          </w:p>
        </w:tc>
        <w:tc>
          <w:tcPr>
            <w:tcW w:w="1877" w:type="dxa"/>
            <w:shd w:val="clear" w:color="auto" w:fill="D9D9D9" w:themeFill="background1" w:themeFillShade="D9"/>
            <w:noWrap/>
            <w:hideMark/>
          </w:tcPr>
          <w:p w14:paraId="285315F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183.795,00</w:t>
            </w:r>
          </w:p>
        </w:tc>
      </w:tr>
      <w:tr w:rsidR="007B7808" w:rsidRPr="00657E49" w14:paraId="6FE61724" w14:textId="77777777" w:rsidTr="002815DB">
        <w:trPr>
          <w:trHeight w:val="255"/>
        </w:trPr>
        <w:tc>
          <w:tcPr>
            <w:tcW w:w="1232" w:type="dxa"/>
            <w:noWrap/>
            <w:hideMark/>
          </w:tcPr>
          <w:p w14:paraId="6907601F"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w:t>
            </w:r>
          </w:p>
        </w:tc>
        <w:tc>
          <w:tcPr>
            <w:tcW w:w="3895" w:type="dxa"/>
            <w:noWrap/>
            <w:hideMark/>
          </w:tcPr>
          <w:p w14:paraId="5AFF7979"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Rashodi poslovanja</w:t>
            </w:r>
          </w:p>
        </w:tc>
        <w:tc>
          <w:tcPr>
            <w:tcW w:w="1394" w:type="dxa"/>
            <w:noWrap/>
            <w:hideMark/>
          </w:tcPr>
          <w:p w14:paraId="15E40C9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139.632,00</w:t>
            </w:r>
          </w:p>
        </w:tc>
        <w:tc>
          <w:tcPr>
            <w:tcW w:w="1117" w:type="dxa"/>
            <w:noWrap/>
            <w:hideMark/>
          </w:tcPr>
          <w:p w14:paraId="68C403C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30.181,00</w:t>
            </w:r>
          </w:p>
        </w:tc>
        <w:tc>
          <w:tcPr>
            <w:tcW w:w="1117" w:type="dxa"/>
            <w:noWrap/>
            <w:hideMark/>
          </w:tcPr>
          <w:p w14:paraId="42D2AE7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21,61</w:t>
            </w:r>
          </w:p>
        </w:tc>
        <w:tc>
          <w:tcPr>
            <w:tcW w:w="1877" w:type="dxa"/>
            <w:noWrap/>
            <w:hideMark/>
          </w:tcPr>
          <w:p w14:paraId="277C8AD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169.813,00</w:t>
            </w:r>
          </w:p>
        </w:tc>
      </w:tr>
      <w:tr w:rsidR="007B7808" w:rsidRPr="00657E49" w14:paraId="6896E072" w14:textId="77777777" w:rsidTr="002815DB">
        <w:trPr>
          <w:trHeight w:val="255"/>
        </w:trPr>
        <w:tc>
          <w:tcPr>
            <w:tcW w:w="1232" w:type="dxa"/>
            <w:noWrap/>
            <w:hideMark/>
          </w:tcPr>
          <w:p w14:paraId="6912A827"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31</w:t>
            </w:r>
          </w:p>
        </w:tc>
        <w:tc>
          <w:tcPr>
            <w:tcW w:w="3895" w:type="dxa"/>
            <w:noWrap/>
            <w:hideMark/>
          </w:tcPr>
          <w:p w14:paraId="0BC9C58D"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zaposlene</w:t>
            </w:r>
          </w:p>
        </w:tc>
        <w:tc>
          <w:tcPr>
            <w:tcW w:w="1394" w:type="dxa"/>
            <w:noWrap/>
            <w:hideMark/>
          </w:tcPr>
          <w:p w14:paraId="56AC5C7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139.632,00</w:t>
            </w:r>
          </w:p>
        </w:tc>
        <w:tc>
          <w:tcPr>
            <w:tcW w:w="1117" w:type="dxa"/>
            <w:noWrap/>
            <w:hideMark/>
          </w:tcPr>
          <w:p w14:paraId="2D64C59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30.181,00</w:t>
            </w:r>
          </w:p>
        </w:tc>
        <w:tc>
          <w:tcPr>
            <w:tcW w:w="1117" w:type="dxa"/>
            <w:noWrap/>
            <w:hideMark/>
          </w:tcPr>
          <w:p w14:paraId="0DFDACD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21,61</w:t>
            </w:r>
          </w:p>
        </w:tc>
        <w:tc>
          <w:tcPr>
            <w:tcW w:w="1877" w:type="dxa"/>
            <w:noWrap/>
            <w:hideMark/>
          </w:tcPr>
          <w:p w14:paraId="57DD872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169.813,00</w:t>
            </w:r>
          </w:p>
        </w:tc>
      </w:tr>
      <w:tr w:rsidR="007B7808" w:rsidRPr="00657E49" w14:paraId="02D97BF1" w14:textId="77777777" w:rsidTr="002815DB">
        <w:trPr>
          <w:trHeight w:val="255"/>
        </w:trPr>
        <w:tc>
          <w:tcPr>
            <w:tcW w:w="1232" w:type="dxa"/>
            <w:noWrap/>
            <w:hideMark/>
          </w:tcPr>
          <w:p w14:paraId="7F2D6A39"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31</w:t>
            </w:r>
          </w:p>
        </w:tc>
        <w:tc>
          <w:tcPr>
            <w:tcW w:w="3895" w:type="dxa"/>
            <w:noWrap/>
            <w:hideMark/>
          </w:tcPr>
          <w:p w14:paraId="0C5113BB"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zaposlene</w:t>
            </w:r>
          </w:p>
        </w:tc>
        <w:tc>
          <w:tcPr>
            <w:tcW w:w="1394" w:type="dxa"/>
            <w:noWrap/>
            <w:hideMark/>
          </w:tcPr>
          <w:p w14:paraId="1D6EACB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139.632,00</w:t>
            </w:r>
          </w:p>
        </w:tc>
        <w:tc>
          <w:tcPr>
            <w:tcW w:w="1117" w:type="dxa"/>
            <w:noWrap/>
            <w:hideMark/>
          </w:tcPr>
          <w:p w14:paraId="39E4189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30.181,00</w:t>
            </w:r>
          </w:p>
        </w:tc>
        <w:tc>
          <w:tcPr>
            <w:tcW w:w="1117" w:type="dxa"/>
            <w:noWrap/>
            <w:hideMark/>
          </w:tcPr>
          <w:p w14:paraId="7E90DA6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21,61</w:t>
            </w:r>
          </w:p>
        </w:tc>
        <w:tc>
          <w:tcPr>
            <w:tcW w:w="1877" w:type="dxa"/>
            <w:noWrap/>
            <w:hideMark/>
          </w:tcPr>
          <w:p w14:paraId="1616C6E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169.813,00</w:t>
            </w:r>
          </w:p>
        </w:tc>
      </w:tr>
      <w:tr w:rsidR="007B7808" w:rsidRPr="00657E49" w14:paraId="5FA11423" w14:textId="77777777" w:rsidTr="002815DB">
        <w:trPr>
          <w:trHeight w:val="255"/>
        </w:trPr>
        <w:tc>
          <w:tcPr>
            <w:tcW w:w="1232" w:type="dxa"/>
            <w:noWrap/>
            <w:hideMark/>
          </w:tcPr>
          <w:p w14:paraId="6C746EDE"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9</w:t>
            </w:r>
          </w:p>
        </w:tc>
        <w:tc>
          <w:tcPr>
            <w:tcW w:w="3895" w:type="dxa"/>
            <w:noWrap/>
            <w:hideMark/>
          </w:tcPr>
          <w:p w14:paraId="49CE1BD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Vlastiti izvori</w:t>
            </w:r>
          </w:p>
        </w:tc>
        <w:tc>
          <w:tcPr>
            <w:tcW w:w="1394" w:type="dxa"/>
            <w:noWrap/>
            <w:hideMark/>
          </w:tcPr>
          <w:p w14:paraId="030E9B6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0,00</w:t>
            </w:r>
          </w:p>
        </w:tc>
        <w:tc>
          <w:tcPr>
            <w:tcW w:w="1117" w:type="dxa"/>
            <w:noWrap/>
            <w:hideMark/>
          </w:tcPr>
          <w:p w14:paraId="626CED9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13.982,00</w:t>
            </w:r>
          </w:p>
        </w:tc>
        <w:tc>
          <w:tcPr>
            <w:tcW w:w="1117" w:type="dxa"/>
            <w:noWrap/>
            <w:hideMark/>
          </w:tcPr>
          <w:p w14:paraId="07E3FA5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100,00</w:t>
            </w:r>
          </w:p>
        </w:tc>
        <w:tc>
          <w:tcPr>
            <w:tcW w:w="1877" w:type="dxa"/>
            <w:noWrap/>
            <w:hideMark/>
          </w:tcPr>
          <w:p w14:paraId="50080B2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13.982,00</w:t>
            </w:r>
          </w:p>
        </w:tc>
      </w:tr>
      <w:tr w:rsidR="007B7808" w:rsidRPr="00657E49" w14:paraId="05C3D9B6" w14:textId="77777777" w:rsidTr="002815DB">
        <w:trPr>
          <w:trHeight w:val="255"/>
        </w:trPr>
        <w:tc>
          <w:tcPr>
            <w:tcW w:w="1232" w:type="dxa"/>
            <w:noWrap/>
            <w:hideMark/>
          </w:tcPr>
          <w:p w14:paraId="418E604D"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92</w:t>
            </w:r>
          </w:p>
        </w:tc>
        <w:tc>
          <w:tcPr>
            <w:tcW w:w="3895" w:type="dxa"/>
            <w:noWrap/>
            <w:hideMark/>
          </w:tcPr>
          <w:p w14:paraId="0E113ECB"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Rezultat poslovanja</w:t>
            </w:r>
          </w:p>
        </w:tc>
        <w:tc>
          <w:tcPr>
            <w:tcW w:w="1394" w:type="dxa"/>
            <w:noWrap/>
            <w:hideMark/>
          </w:tcPr>
          <w:p w14:paraId="46A2BCE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6C35A48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13.982,00</w:t>
            </w:r>
          </w:p>
        </w:tc>
        <w:tc>
          <w:tcPr>
            <w:tcW w:w="1117" w:type="dxa"/>
            <w:noWrap/>
            <w:hideMark/>
          </w:tcPr>
          <w:p w14:paraId="60F5111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w:t>
            </w:r>
          </w:p>
        </w:tc>
        <w:tc>
          <w:tcPr>
            <w:tcW w:w="1877" w:type="dxa"/>
            <w:noWrap/>
            <w:hideMark/>
          </w:tcPr>
          <w:p w14:paraId="349CFDD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13.982,00</w:t>
            </w:r>
          </w:p>
        </w:tc>
      </w:tr>
      <w:tr w:rsidR="007B7808" w:rsidRPr="00657E49" w14:paraId="71B6F5D8" w14:textId="77777777" w:rsidTr="002815DB">
        <w:trPr>
          <w:trHeight w:val="255"/>
        </w:trPr>
        <w:tc>
          <w:tcPr>
            <w:tcW w:w="1232" w:type="dxa"/>
            <w:noWrap/>
            <w:hideMark/>
          </w:tcPr>
          <w:p w14:paraId="4583C71A"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92</w:t>
            </w:r>
          </w:p>
        </w:tc>
        <w:tc>
          <w:tcPr>
            <w:tcW w:w="3895" w:type="dxa"/>
            <w:noWrap/>
            <w:hideMark/>
          </w:tcPr>
          <w:p w14:paraId="6B79FBD2"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Rezultat poslovanja</w:t>
            </w:r>
          </w:p>
        </w:tc>
        <w:tc>
          <w:tcPr>
            <w:tcW w:w="1394" w:type="dxa"/>
            <w:noWrap/>
            <w:hideMark/>
          </w:tcPr>
          <w:p w14:paraId="41BE9D2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489FB05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13.982,00</w:t>
            </w:r>
          </w:p>
        </w:tc>
        <w:tc>
          <w:tcPr>
            <w:tcW w:w="1117" w:type="dxa"/>
            <w:noWrap/>
            <w:hideMark/>
          </w:tcPr>
          <w:p w14:paraId="313DDFC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w:t>
            </w:r>
          </w:p>
        </w:tc>
        <w:tc>
          <w:tcPr>
            <w:tcW w:w="1877" w:type="dxa"/>
            <w:noWrap/>
            <w:hideMark/>
          </w:tcPr>
          <w:p w14:paraId="2DBE1EF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13.982,00</w:t>
            </w:r>
          </w:p>
        </w:tc>
      </w:tr>
      <w:tr w:rsidR="007B7808" w:rsidRPr="00657E49" w14:paraId="5A714083" w14:textId="77777777" w:rsidTr="0056141B">
        <w:trPr>
          <w:trHeight w:val="255"/>
        </w:trPr>
        <w:tc>
          <w:tcPr>
            <w:tcW w:w="5127" w:type="dxa"/>
            <w:gridSpan w:val="2"/>
            <w:shd w:val="clear" w:color="auto" w:fill="D9D9D9" w:themeFill="background1" w:themeFillShade="D9"/>
            <w:noWrap/>
            <w:hideMark/>
          </w:tcPr>
          <w:p w14:paraId="130252F0"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Izvor  4.9. PRIHODI ZA POSEBNE NAMJENE</w:t>
            </w:r>
          </w:p>
        </w:tc>
        <w:tc>
          <w:tcPr>
            <w:tcW w:w="1394" w:type="dxa"/>
            <w:shd w:val="clear" w:color="auto" w:fill="D9D9D9" w:themeFill="background1" w:themeFillShade="D9"/>
            <w:noWrap/>
            <w:hideMark/>
          </w:tcPr>
          <w:p w14:paraId="5B34713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125.080,00</w:t>
            </w:r>
          </w:p>
        </w:tc>
        <w:tc>
          <w:tcPr>
            <w:tcW w:w="1117" w:type="dxa"/>
            <w:shd w:val="clear" w:color="auto" w:fill="D9D9D9" w:themeFill="background1" w:themeFillShade="D9"/>
            <w:noWrap/>
            <w:hideMark/>
          </w:tcPr>
          <w:p w14:paraId="05E8356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16.842,00</w:t>
            </w:r>
          </w:p>
        </w:tc>
        <w:tc>
          <w:tcPr>
            <w:tcW w:w="1117" w:type="dxa"/>
            <w:shd w:val="clear" w:color="auto" w:fill="D9D9D9" w:themeFill="background1" w:themeFillShade="D9"/>
            <w:noWrap/>
            <w:hideMark/>
          </w:tcPr>
          <w:p w14:paraId="3854A16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13,46</w:t>
            </w:r>
          </w:p>
        </w:tc>
        <w:tc>
          <w:tcPr>
            <w:tcW w:w="1877" w:type="dxa"/>
            <w:shd w:val="clear" w:color="auto" w:fill="D9D9D9" w:themeFill="background1" w:themeFillShade="D9"/>
            <w:noWrap/>
            <w:hideMark/>
          </w:tcPr>
          <w:p w14:paraId="21BFE99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141.922,00</w:t>
            </w:r>
          </w:p>
        </w:tc>
      </w:tr>
      <w:tr w:rsidR="007B7808" w:rsidRPr="00657E49" w14:paraId="75D19153" w14:textId="77777777" w:rsidTr="002815DB">
        <w:trPr>
          <w:trHeight w:val="255"/>
        </w:trPr>
        <w:tc>
          <w:tcPr>
            <w:tcW w:w="1232" w:type="dxa"/>
            <w:noWrap/>
            <w:hideMark/>
          </w:tcPr>
          <w:p w14:paraId="45C4C8B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w:t>
            </w:r>
          </w:p>
        </w:tc>
        <w:tc>
          <w:tcPr>
            <w:tcW w:w="3895" w:type="dxa"/>
            <w:noWrap/>
            <w:hideMark/>
          </w:tcPr>
          <w:p w14:paraId="295405BE"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Rashodi poslovanja</w:t>
            </w:r>
          </w:p>
        </w:tc>
        <w:tc>
          <w:tcPr>
            <w:tcW w:w="1394" w:type="dxa"/>
            <w:noWrap/>
            <w:hideMark/>
          </w:tcPr>
          <w:p w14:paraId="176D22E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125.080,00</w:t>
            </w:r>
          </w:p>
        </w:tc>
        <w:tc>
          <w:tcPr>
            <w:tcW w:w="1117" w:type="dxa"/>
            <w:noWrap/>
            <w:hideMark/>
          </w:tcPr>
          <w:p w14:paraId="50E048A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16.842,00</w:t>
            </w:r>
          </w:p>
        </w:tc>
        <w:tc>
          <w:tcPr>
            <w:tcW w:w="1117" w:type="dxa"/>
            <w:noWrap/>
            <w:hideMark/>
          </w:tcPr>
          <w:p w14:paraId="474F7DD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13,46</w:t>
            </w:r>
          </w:p>
        </w:tc>
        <w:tc>
          <w:tcPr>
            <w:tcW w:w="1877" w:type="dxa"/>
            <w:noWrap/>
            <w:hideMark/>
          </w:tcPr>
          <w:p w14:paraId="4F9A844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141.922,00</w:t>
            </w:r>
          </w:p>
        </w:tc>
      </w:tr>
      <w:tr w:rsidR="007B7808" w:rsidRPr="00657E49" w14:paraId="26C2E4F7" w14:textId="77777777" w:rsidTr="002815DB">
        <w:trPr>
          <w:trHeight w:val="255"/>
        </w:trPr>
        <w:tc>
          <w:tcPr>
            <w:tcW w:w="1232" w:type="dxa"/>
            <w:noWrap/>
            <w:hideMark/>
          </w:tcPr>
          <w:p w14:paraId="03C10ED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31</w:t>
            </w:r>
          </w:p>
        </w:tc>
        <w:tc>
          <w:tcPr>
            <w:tcW w:w="3895" w:type="dxa"/>
            <w:noWrap/>
            <w:hideMark/>
          </w:tcPr>
          <w:p w14:paraId="206256E6"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zaposlene</w:t>
            </w:r>
          </w:p>
        </w:tc>
        <w:tc>
          <w:tcPr>
            <w:tcW w:w="1394" w:type="dxa"/>
            <w:noWrap/>
            <w:hideMark/>
          </w:tcPr>
          <w:p w14:paraId="77AC696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30.420,00</w:t>
            </w:r>
          </w:p>
        </w:tc>
        <w:tc>
          <w:tcPr>
            <w:tcW w:w="1117" w:type="dxa"/>
            <w:noWrap/>
            <w:hideMark/>
          </w:tcPr>
          <w:p w14:paraId="2C5488E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-520,00</w:t>
            </w:r>
          </w:p>
        </w:tc>
        <w:tc>
          <w:tcPr>
            <w:tcW w:w="1117" w:type="dxa"/>
            <w:noWrap/>
            <w:hideMark/>
          </w:tcPr>
          <w:p w14:paraId="4215FDA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-1,71</w:t>
            </w:r>
          </w:p>
        </w:tc>
        <w:tc>
          <w:tcPr>
            <w:tcW w:w="1877" w:type="dxa"/>
            <w:noWrap/>
            <w:hideMark/>
          </w:tcPr>
          <w:p w14:paraId="60B1F9A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29.900,00</w:t>
            </w:r>
          </w:p>
        </w:tc>
      </w:tr>
      <w:tr w:rsidR="007B7808" w:rsidRPr="00657E49" w14:paraId="6AA72675" w14:textId="77777777" w:rsidTr="002815DB">
        <w:trPr>
          <w:trHeight w:val="255"/>
        </w:trPr>
        <w:tc>
          <w:tcPr>
            <w:tcW w:w="1232" w:type="dxa"/>
            <w:noWrap/>
            <w:hideMark/>
          </w:tcPr>
          <w:p w14:paraId="1DD6B026"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31</w:t>
            </w:r>
          </w:p>
        </w:tc>
        <w:tc>
          <w:tcPr>
            <w:tcW w:w="3895" w:type="dxa"/>
            <w:noWrap/>
            <w:hideMark/>
          </w:tcPr>
          <w:p w14:paraId="5030622B"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zaposlene</w:t>
            </w:r>
          </w:p>
        </w:tc>
        <w:tc>
          <w:tcPr>
            <w:tcW w:w="1394" w:type="dxa"/>
            <w:noWrap/>
            <w:hideMark/>
          </w:tcPr>
          <w:p w14:paraId="6B32E69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30.420,00</w:t>
            </w:r>
          </w:p>
        </w:tc>
        <w:tc>
          <w:tcPr>
            <w:tcW w:w="1117" w:type="dxa"/>
            <w:noWrap/>
            <w:hideMark/>
          </w:tcPr>
          <w:p w14:paraId="1AC4CF9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-520,00</w:t>
            </w:r>
          </w:p>
        </w:tc>
        <w:tc>
          <w:tcPr>
            <w:tcW w:w="1117" w:type="dxa"/>
            <w:noWrap/>
            <w:hideMark/>
          </w:tcPr>
          <w:p w14:paraId="0B5D08F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-1,71</w:t>
            </w:r>
          </w:p>
        </w:tc>
        <w:tc>
          <w:tcPr>
            <w:tcW w:w="1877" w:type="dxa"/>
            <w:noWrap/>
            <w:hideMark/>
          </w:tcPr>
          <w:p w14:paraId="0B2D79D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29.900,00</w:t>
            </w:r>
          </w:p>
        </w:tc>
      </w:tr>
      <w:tr w:rsidR="007B7808" w:rsidRPr="00657E49" w14:paraId="3B69AFA4" w14:textId="77777777" w:rsidTr="002815DB">
        <w:trPr>
          <w:trHeight w:val="255"/>
        </w:trPr>
        <w:tc>
          <w:tcPr>
            <w:tcW w:w="1232" w:type="dxa"/>
            <w:noWrap/>
            <w:hideMark/>
          </w:tcPr>
          <w:p w14:paraId="297B470C"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79616A74"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293DCED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94.660,00</w:t>
            </w:r>
          </w:p>
        </w:tc>
        <w:tc>
          <w:tcPr>
            <w:tcW w:w="1117" w:type="dxa"/>
            <w:noWrap/>
            <w:hideMark/>
          </w:tcPr>
          <w:p w14:paraId="4334DAC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17.362,00</w:t>
            </w:r>
          </w:p>
        </w:tc>
        <w:tc>
          <w:tcPr>
            <w:tcW w:w="1117" w:type="dxa"/>
            <w:noWrap/>
            <w:hideMark/>
          </w:tcPr>
          <w:p w14:paraId="5DB9175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18,34</w:t>
            </w:r>
          </w:p>
        </w:tc>
        <w:tc>
          <w:tcPr>
            <w:tcW w:w="1877" w:type="dxa"/>
            <w:noWrap/>
            <w:hideMark/>
          </w:tcPr>
          <w:p w14:paraId="20C1872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112.022,00</w:t>
            </w:r>
          </w:p>
        </w:tc>
      </w:tr>
      <w:tr w:rsidR="007B7808" w:rsidRPr="00657E49" w14:paraId="67E3F203" w14:textId="77777777" w:rsidTr="002815DB">
        <w:trPr>
          <w:trHeight w:val="255"/>
        </w:trPr>
        <w:tc>
          <w:tcPr>
            <w:tcW w:w="1232" w:type="dxa"/>
            <w:noWrap/>
            <w:hideMark/>
          </w:tcPr>
          <w:p w14:paraId="6083F85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41DA688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72E833B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94.660,00</w:t>
            </w:r>
          </w:p>
        </w:tc>
        <w:tc>
          <w:tcPr>
            <w:tcW w:w="1117" w:type="dxa"/>
            <w:noWrap/>
            <w:hideMark/>
          </w:tcPr>
          <w:p w14:paraId="5113FFC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17.362,00</w:t>
            </w:r>
          </w:p>
        </w:tc>
        <w:tc>
          <w:tcPr>
            <w:tcW w:w="1117" w:type="dxa"/>
            <w:noWrap/>
            <w:hideMark/>
          </w:tcPr>
          <w:p w14:paraId="0748D73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18,34</w:t>
            </w:r>
          </w:p>
        </w:tc>
        <w:tc>
          <w:tcPr>
            <w:tcW w:w="1877" w:type="dxa"/>
            <w:noWrap/>
            <w:hideMark/>
          </w:tcPr>
          <w:p w14:paraId="1074B22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112.022,00</w:t>
            </w:r>
          </w:p>
        </w:tc>
      </w:tr>
      <w:tr w:rsidR="007B7808" w:rsidRPr="00657E49" w14:paraId="791959A9" w14:textId="77777777" w:rsidTr="0056141B">
        <w:trPr>
          <w:trHeight w:val="255"/>
        </w:trPr>
        <w:tc>
          <w:tcPr>
            <w:tcW w:w="5127" w:type="dxa"/>
            <w:gridSpan w:val="2"/>
            <w:shd w:val="clear" w:color="auto" w:fill="D9D9D9" w:themeFill="background1" w:themeFillShade="D9"/>
            <w:noWrap/>
            <w:hideMark/>
          </w:tcPr>
          <w:p w14:paraId="2EC8477D"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Izvor  5.9. POMOĆI</w:t>
            </w:r>
          </w:p>
        </w:tc>
        <w:tc>
          <w:tcPr>
            <w:tcW w:w="1394" w:type="dxa"/>
            <w:shd w:val="clear" w:color="auto" w:fill="D9D9D9" w:themeFill="background1" w:themeFillShade="D9"/>
            <w:noWrap/>
            <w:hideMark/>
          </w:tcPr>
          <w:p w14:paraId="546B5D8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58.602,00</w:t>
            </w:r>
          </w:p>
        </w:tc>
        <w:tc>
          <w:tcPr>
            <w:tcW w:w="1117" w:type="dxa"/>
            <w:shd w:val="clear" w:color="auto" w:fill="D9D9D9" w:themeFill="background1" w:themeFillShade="D9"/>
            <w:noWrap/>
            <w:hideMark/>
          </w:tcPr>
          <w:p w14:paraId="35F0CD9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17.805,00</w:t>
            </w:r>
          </w:p>
        </w:tc>
        <w:tc>
          <w:tcPr>
            <w:tcW w:w="1117" w:type="dxa"/>
            <w:shd w:val="clear" w:color="auto" w:fill="D9D9D9" w:themeFill="background1" w:themeFillShade="D9"/>
            <w:noWrap/>
            <w:hideMark/>
          </w:tcPr>
          <w:p w14:paraId="720B7B0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30,38</w:t>
            </w:r>
          </w:p>
        </w:tc>
        <w:tc>
          <w:tcPr>
            <w:tcW w:w="1877" w:type="dxa"/>
            <w:shd w:val="clear" w:color="auto" w:fill="D9D9D9" w:themeFill="background1" w:themeFillShade="D9"/>
            <w:noWrap/>
            <w:hideMark/>
          </w:tcPr>
          <w:p w14:paraId="3D7CD58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76.407,00</w:t>
            </w:r>
          </w:p>
        </w:tc>
      </w:tr>
      <w:tr w:rsidR="007B7808" w:rsidRPr="00657E49" w14:paraId="634492FD" w14:textId="77777777" w:rsidTr="002815DB">
        <w:trPr>
          <w:trHeight w:val="255"/>
        </w:trPr>
        <w:tc>
          <w:tcPr>
            <w:tcW w:w="1232" w:type="dxa"/>
            <w:noWrap/>
            <w:hideMark/>
          </w:tcPr>
          <w:p w14:paraId="5C91A79F"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w:t>
            </w:r>
          </w:p>
        </w:tc>
        <w:tc>
          <w:tcPr>
            <w:tcW w:w="3895" w:type="dxa"/>
            <w:noWrap/>
            <w:hideMark/>
          </w:tcPr>
          <w:p w14:paraId="5AD8691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Rashodi poslovanja</w:t>
            </w:r>
          </w:p>
        </w:tc>
        <w:tc>
          <w:tcPr>
            <w:tcW w:w="1394" w:type="dxa"/>
            <w:noWrap/>
            <w:hideMark/>
          </w:tcPr>
          <w:p w14:paraId="3B44412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58.602,00</w:t>
            </w:r>
          </w:p>
        </w:tc>
        <w:tc>
          <w:tcPr>
            <w:tcW w:w="1117" w:type="dxa"/>
            <w:noWrap/>
            <w:hideMark/>
          </w:tcPr>
          <w:p w14:paraId="4484CFB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17.805,00</w:t>
            </w:r>
          </w:p>
        </w:tc>
        <w:tc>
          <w:tcPr>
            <w:tcW w:w="1117" w:type="dxa"/>
            <w:noWrap/>
            <w:hideMark/>
          </w:tcPr>
          <w:p w14:paraId="3622333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30,38</w:t>
            </w:r>
          </w:p>
        </w:tc>
        <w:tc>
          <w:tcPr>
            <w:tcW w:w="1877" w:type="dxa"/>
            <w:noWrap/>
            <w:hideMark/>
          </w:tcPr>
          <w:p w14:paraId="5913AF9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76.407,00</w:t>
            </w:r>
          </w:p>
        </w:tc>
      </w:tr>
      <w:tr w:rsidR="007B7808" w:rsidRPr="00657E49" w14:paraId="543ABCFD" w14:textId="77777777" w:rsidTr="002815DB">
        <w:trPr>
          <w:trHeight w:val="255"/>
        </w:trPr>
        <w:tc>
          <w:tcPr>
            <w:tcW w:w="1232" w:type="dxa"/>
            <w:noWrap/>
            <w:hideMark/>
          </w:tcPr>
          <w:p w14:paraId="58C7F144"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31</w:t>
            </w:r>
          </w:p>
        </w:tc>
        <w:tc>
          <w:tcPr>
            <w:tcW w:w="3895" w:type="dxa"/>
            <w:noWrap/>
            <w:hideMark/>
          </w:tcPr>
          <w:p w14:paraId="097F9320"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zaposlene</w:t>
            </w:r>
          </w:p>
        </w:tc>
        <w:tc>
          <w:tcPr>
            <w:tcW w:w="1394" w:type="dxa"/>
            <w:noWrap/>
            <w:hideMark/>
          </w:tcPr>
          <w:p w14:paraId="7E3BE8C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57.990,00</w:t>
            </w:r>
          </w:p>
        </w:tc>
        <w:tc>
          <w:tcPr>
            <w:tcW w:w="1117" w:type="dxa"/>
            <w:noWrap/>
            <w:hideMark/>
          </w:tcPr>
          <w:p w14:paraId="5B5EC07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17.567,00</w:t>
            </w:r>
          </w:p>
        </w:tc>
        <w:tc>
          <w:tcPr>
            <w:tcW w:w="1117" w:type="dxa"/>
            <w:noWrap/>
            <w:hideMark/>
          </w:tcPr>
          <w:p w14:paraId="5D0A4D8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30,29</w:t>
            </w:r>
          </w:p>
        </w:tc>
        <w:tc>
          <w:tcPr>
            <w:tcW w:w="1877" w:type="dxa"/>
            <w:noWrap/>
            <w:hideMark/>
          </w:tcPr>
          <w:p w14:paraId="6F4C112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75.557,00</w:t>
            </w:r>
          </w:p>
        </w:tc>
      </w:tr>
      <w:tr w:rsidR="007B7808" w:rsidRPr="00657E49" w14:paraId="7A6AFF6A" w14:textId="77777777" w:rsidTr="002815DB">
        <w:trPr>
          <w:trHeight w:val="255"/>
        </w:trPr>
        <w:tc>
          <w:tcPr>
            <w:tcW w:w="1232" w:type="dxa"/>
            <w:noWrap/>
            <w:hideMark/>
          </w:tcPr>
          <w:p w14:paraId="6C711C2F"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31</w:t>
            </w:r>
          </w:p>
        </w:tc>
        <w:tc>
          <w:tcPr>
            <w:tcW w:w="3895" w:type="dxa"/>
            <w:noWrap/>
            <w:hideMark/>
          </w:tcPr>
          <w:p w14:paraId="4A5334F4"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zaposlene</w:t>
            </w:r>
          </w:p>
        </w:tc>
        <w:tc>
          <w:tcPr>
            <w:tcW w:w="1394" w:type="dxa"/>
            <w:noWrap/>
            <w:hideMark/>
          </w:tcPr>
          <w:p w14:paraId="7523547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57.990,00</w:t>
            </w:r>
          </w:p>
        </w:tc>
        <w:tc>
          <w:tcPr>
            <w:tcW w:w="1117" w:type="dxa"/>
            <w:noWrap/>
            <w:hideMark/>
          </w:tcPr>
          <w:p w14:paraId="676C8C0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17.567,00</w:t>
            </w:r>
          </w:p>
        </w:tc>
        <w:tc>
          <w:tcPr>
            <w:tcW w:w="1117" w:type="dxa"/>
            <w:noWrap/>
            <w:hideMark/>
          </w:tcPr>
          <w:p w14:paraId="4A4411D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30,29</w:t>
            </w:r>
          </w:p>
        </w:tc>
        <w:tc>
          <w:tcPr>
            <w:tcW w:w="1877" w:type="dxa"/>
            <w:noWrap/>
            <w:hideMark/>
          </w:tcPr>
          <w:p w14:paraId="306DABF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75.557,00</w:t>
            </w:r>
          </w:p>
        </w:tc>
      </w:tr>
      <w:tr w:rsidR="007B7808" w:rsidRPr="00657E49" w14:paraId="3E9C75D4" w14:textId="77777777" w:rsidTr="002815DB">
        <w:trPr>
          <w:trHeight w:val="255"/>
        </w:trPr>
        <w:tc>
          <w:tcPr>
            <w:tcW w:w="1232" w:type="dxa"/>
            <w:noWrap/>
            <w:hideMark/>
          </w:tcPr>
          <w:p w14:paraId="75D579CB"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19AE5D5B"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5140223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612,00</w:t>
            </w:r>
          </w:p>
        </w:tc>
        <w:tc>
          <w:tcPr>
            <w:tcW w:w="1117" w:type="dxa"/>
            <w:noWrap/>
            <w:hideMark/>
          </w:tcPr>
          <w:p w14:paraId="246E17C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238,00</w:t>
            </w:r>
          </w:p>
        </w:tc>
        <w:tc>
          <w:tcPr>
            <w:tcW w:w="1117" w:type="dxa"/>
            <w:noWrap/>
            <w:hideMark/>
          </w:tcPr>
          <w:p w14:paraId="2E93588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38,89</w:t>
            </w:r>
          </w:p>
        </w:tc>
        <w:tc>
          <w:tcPr>
            <w:tcW w:w="1877" w:type="dxa"/>
            <w:noWrap/>
            <w:hideMark/>
          </w:tcPr>
          <w:p w14:paraId="65B7289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850,00</w:t>
            </w:r>
          </w:p>
        </w:tc>
      </w:tr>
      <w:tr w:rsidR="007B7808" w:rsidRPr="00657E49" w14:paraId="10886CA7" w14:textId="77777777" w:rsidTr="002815DB">
        <w:trPr>
          <w:trHeight w:val="255"/>
        </w:trPr>
        <w:tc>
          <w:tcPr>
            <w:tcW w:w="1232" w:type="dxa"/>
            <w:noWrap/>
            <w:hideMark/>
          </w:tcPr>
          <w:p w14:paraId="13612B79"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11CD7230"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11A25BE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612,00</w:t>
            </w:r>
          </w:p>
        </w:tc>
        <w:tc>
          <w:tcPr>
            <w:tcW w:w="1117" w:type="dxa"/>
            <w:noWrap/>
            <w:hideMark/>
          </w:tcPr>
          <w:p w14:paraId="1CAB824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238,00</w:t>
            </w:r>
          </w:p>
        </w:tc>
        <w:tc>
          <w:tcPr>
            <w:tcW w:w="1117" w:type="dxa"/>
            <w:noWrap/>
            <w:hideMark/>
          </w:tcPr>
          <w:p w14:paraId="7AB2D3A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38,89</w:t>
            </w:r>
          </w:p>
        </w:tc>
        <w:tc>
          <w:tcPr>
            <w:tcW w:w="1877" w:type="dxa"/>
            <w:noWrap/>
            <w:hideMark/>
          </w:tcPr>
          <w:p w14:paraId="396FC94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850,00</w:t>
            </w:r>
          </w:p>
        </w:tc>
      </w:tr>
      <w:tr w:rsidR="007B7808" w:rsidRPr="00657E49" w14:paraId="42D5AD08" w14:textId="77777777" w:rsidTr="0056141B">
        <w:trPr>
          <w:trHeight w:val="255"/>
        </w:trPr>
        <w:tc>
          <w:tcPr>
            <w:tcW w:w="5127" w:type="dxa"/>
            <w:gridSpan w:val="2"/>
            <w:shd w:val="clear" w:color="auto" w:fill="A6A6A6" w:themeFill="background1" w:themeFillShade="A6"/>
            <w:noWrap/>
            <w:hideMark/>
          </w:tcPr>
          <w:p w14:paraId="5CBCF252"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Aktivnost A500005 Dodatne aktivnosti učenika i osoblja u školi</w:t>
            </w:r>
          </w:p>
        </w:tc>
        <w:tc>
          <w:tcPr>
            <w:tcW w:w="1394" w:type="dxa"/>
            <w:shd w:val="clear" w:color="auto" w:fill="A6A6A6" w:themeFill="background1" w:themeFillShade="A6"/>
            <w:noWrap/>
            <w:hideMark/>
          </w:tcPr>
          <w:p w14:paraId="57A921B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51.040,00</w:t>
            </w:r>
          </w:p>
        </w:tc>
        <w:tc>
          <w:tcPr>
            <w:tcW w:w="1117" w:type="dxa"/>
            <w:shd w:val="clear" w:color="auto" w:fill="A6A6A6" w:themeFill="background1" w:themeFillShade="A6"/>
            <w:noWrap/>
            <w:hideMark/>
          </w:tcPr>
          <w:p w14:paraId="0E7F088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-3.235,00</w:t>
            </w:r>
          </w:p>
        </w:tc>
        <w:tc>
          <w:tcPr>
            <w:tcW w:w="1117" w:type="dxa"/>
            <w:shd w:val="clear" w:color="auto" w:fill="A6A6A6" w:themeFill="background1" w:themeFillShade="A6"/>
            <w:noWrap/>
            <w:hideMark/>
          </w:tcPr>
          <w:p w14:paraId="3A75F7F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-6,34</w:t>
            </w:r>
          </w:p>
        </w:tc>
        <w:tc>
          <w:tcPr>
            <w:tcW w:w="1877" w:type="dxa"/>
            <w:shd w:val="clear" w:color="auto" w:fill="A6A6A6" w:themeFill="background1" w:themeFillShade="A6"/>
            <w:noWrap/>
            <w:hideMark/>
          </w:tcPr>
          <w:p w14:paraId="5AB73E1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47.805,00</w:t>
            </w:r>
          </w:p>
        </w:tc>
      </w:tr>
      <w:tr w:rsidR="007B7808" w:rsidRPr="00657E49" w14:paraId="0142E2AC" w14:textId="77777777" w:rsidTr="0056141B">
        <w:trPr>
          <w:trHeight w:val="255"/>
        </w:trPr>
        <w:tc>
          <w:tcPr>
            <w:tcW w:w="5127" w:type="dxa"/>
            <w:gridSpan w:val="2"/>
            <w:shd w:val="clear" w:color="auto" w:fill="A6A6A6" w:themeFill="background1" w:themeFillShade="A6"/>
            <w:noWrap/>
            <w:hideMark/>
          </w:tcPr>
          <w:p w14:paraId="1A5BD9FC"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Funkcijska klasifikacija  09 Obrazovanje</w:t>
            </w:r>
          </w:p>
        </w:tc>
        <w:tc>
          <w:tcPr>
            <w:tcW w:w="1394" w:type="dxa"/>
            <w:shd w:val="clear" w:color="auto" w:fill="A6A6A6" w:themeFill="background1" w:themeFillShade="A6"/>
            <w:noWrap/>
            <w:hideMark/>
          </w:tcPr>
          <w:p w14:paraId="50C6565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51.040,00</w:t>
            </w:r>
          </w:p>
        </w:tc>
        <w:tc>
          <w:tcPr>
            <w:tcW w:w="1117" w:type="dxa"/>
            <w:shd w:val="clear" w:color="auto" w:fill="A6A6A6" w:themeFill="background1" w:themeFillShade="A6"/>
            <w:noWrap/>
            <w:hideMark/>
          </w:tcPr>
          <w:p w14:paraId="63EC020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-3.235,00</w:t>
            </w:r>
          </w:p>
        </w:tc>
        <w:tc>
          <w:tcPr>
            <w:tcW w:w="1117" w:type="dxa"/>
            <w:shd w:val="clear" w:color="auto" w:fill="A6A6A6" w:themeFill="background1" w:themeFillShade="A6"/>
            <w:noWrap/>
            <w:hideMark/>
          </w:tcPr>
          <w:p w14:paraId="7015C07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-6,34</w:t>
            </w:r>
          </w:p>
        </w:tc>
        <w:tc>
          <w:tcPr>
            <w:tcW w:w="1877" w:type="dxa"/>
            <w:shd w:val="clear" w:color="auto" w:fill="A6A6A6" w:themeFill="background1" w:themeFillShade="A6"/>
            <w:noWrap/>
            <w:hideMark/>
          </w:tcPr>
          <w:p w14:paraId="0D86A3B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47.805,00</w:t>
            </w:r>
          </w:p>
        </w:tc>
      </w:tr>
      <w:tr w:rsidR="007B7808" w:rsidRPr="00657E49" w14:paraId="3CBE35E2" w14:textId="77777777" w:rsidTr="0056141B">
        <w:trPr>
          <w:trHeight w:val="255"/>
        </w:trPr>
        <w:tc>
          <w:tcPr>
            <w:tcW w:w="5127" w:type="dxa"/>
            <w:gridSpan w:val="2"/>
            <w:shd w:val="clear" w:color="auto" w:fill="A6A6A6" w:themeFill="background1" w:themeFillShade="A6"/>
            <w:noWrap/>
            <w:hideMark/>
          </w:tcPr>
          <w:p w14:paraId="7DFE8F6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Funkcijska klasifikacija  091 Predškolsko i osnovno obrazovanje</w:t>
            </w:r>
          </w:p>
        </w:tc>
        <w:tc>
          <w:tcPr>
            <w:tcW w:w="1394" w:type="dxa"/>
            <w:shd w:val="clear" w:color="auto" w:fill="A6A6A6" w:themeFill="background1" w:themeFillShade="A6"/>
            <w:noWrap/>
            <w:hideMark/>
          </w:tcPr>
          <w:p w14:paraId="29CFBDE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51.040,00</w:t>
            </w:r>
          </w:p>
        </w:tc>
        <w:tc>
          <w:tcPr>
            <w:tcW w:w="1117" w:type="dxa"/>
            <w:shd w:val="clear" w:color="auto" w:fill="A6A6A6" w:themeFill="background1" w:themeFillShade="A6"/>
            <w:noWrap/>
            <w:hideMark/>
          </w:tcPr>
          <w:p w14:paraId="21B6274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-3.235,00</w:t>
            </w:r>
          </w:p>
        </w:tc>
        <w:tc>
          <w:tcPr>
            <w:tcW w:w="1117" w:type="dxa"/>
            <w:shd w:val="clear" w:color="auto" w:fill="A6A6A6" w:themeFill="background1" w:themeFillShade="A6"/>
            <w:noWrap/>
            <w:hideMark/>
          </w:tcPr>
          <w:p w14:paraId="640EBEF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-6,34</w:t>
            </w:r>
          </w:p>
        </w:tc>
        <w:tc>
          <w:tcPr>
            <w:tcW w:w="1877" w:type="dxa"/>
            <w:shd w:val="clear" w:color="auto" w:fill="A6A6A6" w:themeFill="background1" w:themeFillShade="A6"/>
            <w:noWrap/>
            <w:hideMark/>
          </w:tcPr>
          <w:p w14:paraId="24C1E01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47.805,00</w:t>
            </w:r>
          </w:p>
        </w:tc>
      </w:tr>
      <w:tr w:rsidR="007B7808" w:rsidRPr="00657E49" w14:paraId="2B57453E" w14:textId="77777777" w:rsidTr="0056141B">
        <w:trPr>
          <w:trHeight w:val="255"/>
        </w:trPr>
        <w:tc>
          <w:tcPr>
            <w:tcW w:w="5127" w:type="dxa"/>
            <w:gridSpan w:val="2"/>
            <w:shd w:val="clear" w:color="auto" w:fill="D9D9D9" w:themeFill="background1" w:themeFillShade="D9"/>
            <w:noWrap/>
            <w:hideMark/>
          </w:tcPr>
          <w:p w14:paraId="6825F80A"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Izvor  1.1. OPĆI PRIHODI I PRIMICI-IZNAD STAND.</w:t>
            </w:r>
          </w:p>
        </w:tc>
        <w:tc>
          <w:tcPr>
            <w:tcW w:w="1394" w:type="dxa"/>
            <w:shd w:val="clear" w:color="auto" w:fill="D9D9D9" w:themeFill="background1" w:themeFillShade="D9"/>
            <w:noWrap/>
            <w:hideMark/>
          </w:tcPr>
          <w:p w14:paraId="13A988C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670,00</w:t>
            </w:r>
          </w:p>
        </w:tc>
        <w:tc>
          <w:tcPr>
            <w:tcW w:w="1117" w:type="dxa"/>
            <w:shd w:val="clear" w:color="auto" w:fill="D9D9D9" w:themeFill="background1" w:themeFillShade="D9"/>
            <w:noWrap/>
            <w:hideMark/>
          </w:tcPr>
          <w:p w14:paraId="69F0F86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330,00</w:t>
            </w:r>
          </w:p>
        </w:tc>
        <w:tc>
          <w:tcPr>
            <w:tcW w:w="1117" w:type="dxa"/>
            <w:shd w:val="clear" w:color="auto" w:fill="D9D9D9" w:themeFill="background1" w:themeFillShade="D9"/>
            <w:noWrap/>
            <w:hideMark/>
          </w:tcPr>
          <w:p w14:paraId="5C769DD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49,25</w:t>
            </w:r>
          </w:p>
        </w:tc>
        <w:tc>
          <w:tcPr>
            <w:tcW w:w="1877" w:type="dxa"/>
            <w:shd w:val="clear" w:color="auto" w:fill="D9D9D9" w:themeFill="background1" w:themeFillShade="D9"/>
            <w:noWrap/>
            <w:hideMark/>
          </w:tcPr>
          <w:p w14:paraId="4D936A0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1.000,00</w:t>
            </w:r>
          </w:p>
        </w:tc>
      </w:tr>
      <w:tr w:rsidR="007B7808" w:rsidRPr="00657E49" w14:paraId="409D0E61" w14:textId="77777777" w:rsidTr="002815DB">
        <w:trPr>
          <w:trHeight w:val="255"/>
        </w:trPr>
        <w:tc>
          <w:tcPr>
            <w:tcW w:w="1232" w:type="dxa"/>
            <w:noWrap/>
            <w:hideMark/>
          </w:tcPr>
          <w:p w14:paraId="4E0825ED"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w:t>
            </w:r>
          </w:p>
        </w:tc>
        <w:tc>
          <w:tcPr>
            <w:tcW w:w="3895" w:type="dxa"/>
            <w:noWrap/>
            <w:hideMark/>
          </w:tcPr>
          <w:p w14:paraId="29A3DD1A"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Rashodi poslovanja</w:t>
            </w:r>
          </w:p>
        </w:tc>
        <w:tc>
          <w:tcPr>
            <w:tcW w:w="1394" w:type="dxa"/>
            <w:noWrap/>
            <w:hideMark/>
          </w:tcPr>
          <w:p w14:paraId="0E65E66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670,00</w:t>
            </w:r>
          </w:p>
        </w:tc>
        <w:tc>
          <w:tcPr>
            <w:tcW w:w="1117" w:type="dxa"/>
            <w:noWrap/>
            <w:hideMark/>
          </w:tcPr>
          <w:p w14:paraId="764564A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330,00</w:t>
            </w:r>
          </w:p>
        </w:tc>
        <w:tc>
          <w:tcPr>
            <w:tcW w:w="1117" w:type="dxa"/>
            <w:noWrap/>
            <w:hideMark/>
          </w:tcPr>
          <w:p w14:paraId="5F32FC9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49,25</w:t>
            </w:r>
          </w:p>
        </w:tc>
        <w:tc>
          <w:tcPr>
            <w:tcW w:w="1877" w:type="dxa"/>
            <w:noWrap/>
            <w:hideMark/>
          </w:tcPr>
          <w:p w14:paraId="4211D17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1.000,00</w:t>
            </w:r>
          </w:p>
        </w:tc>
      </w:tr>
      <w:tr w:rsidR="007B7808" w:rsidRPr="00657E49" w14:paraId="403D334B" w14:textId="77777777" w:rsidTr="002815DB">
        <w:trPr>
          <w:trHeight w:val="255"/>
        </w:trPr>
        <w:tc>
          <w:tcPr>
            <w:tcW w:w="1232" w:type="dxa"/>
            <w:noWrap/>
            <w:hideMark/>
          </w:tcPr>
          <w:p w14:paraId="643D84C4"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271B31C4"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5950E88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670,00</w:t>
            </w:r>
          </w:p>
        </w:tc>
        <w:tc>
          <w:tcPr>
            <w:tcW w:w="1117" w:type="dxa"/>
            <w:noWrap/>
            <w:hideMark/>
          </w:tcPr>
          <w:p w14:paraId="0FF518A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330,00</w:t>
            </w:r>
          </w:p>
        </w:tc>
        <w:tc>
          <w:tcPr>
            <w:tcW w:w="1117" w:type="dxa"/>
            <w:noWrap/>
            <w:hideMark/>
          </w:tcPr>
          <w:p w14:paraId="48BE719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49,25</w:t>
            </w:r>
          </w:p>
        </w:tc>
        <w:tc>
          <w:tcPr>
            <w:tcW w:w="1877" w:type="dxa"/>
            <w:noWrap/>
            <w:hideMark/>
          </w:tcPr>
          <w:p w14:paraId="4D1881E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1.000,00</w:t>
            </w:r>
          </w:p>
        </w:tc>
      </w:tr>
      <w:tr w:rsidR="007B7808" w:rsidRPr="00657E49" w14:paraId="722D96D3" w14:textId="77777777" w:rsidTr="002815DB">
        <w:trPr>
          <w:trHeight w:val="255"/>
        </w:trPr>
        <w:tc>
          <w:tcPr>
            <w:tcW w:w="1232" w:type="dxa"/>
            <w:noWrap/>
            <w:hideMark/>
          </w:tcPr>
          <w:p w14:paraId="06E5A80E"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336CD277"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70D2ED9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670,00</w:t>
            </w:r>
          </w:p>
        </w:tc>
        <w:tc>
          <w:tcPr>
            <w:tcW w:w="1117" w:type="dxa"/>
            <w:noWrap/>
            <w:hideMark/>
          </w:tcPr>
          <w:p w14:paraId="66F22CF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330,00</w:t>
            </w:r>
          </w:p>
        </w:tc>
        <w:tc>
          <w:tcPr>
            <w:tcW w:w="1117" w:type="dxa"/>
            <w:noWrap/>
            <w:hideMark/>
          </w:tcPr>
          <w:p w14:paraId="73B51CC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49,25</w:t>
            </w:r>
          </w:p>
        </w:tc>
        <w:tc>
          <w:tcPr>
            <w:tcW w:w="1877" w:type="dxa"/>
            <w:noWrap/>
            <w:hideMark/>
          </w:tcPr>
          <w:p w14:paraId="061F19C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1.000,00</w:t>
            </w:r>
          </w:p>
        </w:tc>
      </w:tr>
      <w:tr w:rsidR="007B7808" w:rsidRPr="00657E49" w14:paraId="5E35EBD0" w14:textId="77777777" w:rsidTr="0056141B">
        <w:trPr>
          <w:trHeight w:val="255"/>
        </w:trPr>
        <w:tc>
          <w:tcPr>
            <w:tcW w:w="5127" w:type="dxa"/>
            <w:gridSpan w:val="2"/>
            <w:shd w:val="clear" w:color="auto" w:fill="D9D9D9" w:themeFill="background1" w:themeFillShade="D9"/>
            <w:noWrap/>
            <w:hideMark/>
          </w:tcPr>
          <w:p w14:paraId="5A00162F"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Izvor  5.9. POMOĆI</w:t>
            </w:r>
          </w:p>
        </w:tc>
        <w:tc>
          <w:tcPr>
            <w:tcW w:w="1394" w:type="dxa"/>
            <w:shd w:val="clear" w:color="auto" w:fill="D9D9D9" w:themeFill="background1" w:themeFillShade="D9"/>
            <w:noWrap/>
            <w:hideMark/>
          </w:tcPr>
          <w:p w14:paraId="505FFAE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50.370,00</w:t>
            </w:r>
          </w:p>
        </w:tc>
        <w:tc>
          <w:tcPr>
            <w:tcW w:w="1117" w:type="dxa"/>
            <w:shd w:val="clear" w:color="auto" w:fill="D9D9D9" w:themeFill="background1" w:themeFillShade="D9"/>
            <w:noWrap/>
            <w:hideMark/>
          </w:tcPr>
          <w:p w14:paraId="0D28D34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-3.565,00</w:t>
            </w:r>
          </w:p>
        </w:tc>
        <w:tc>
          <w:tcPr>
            <w:tcW w:w="1117" w:type="dxa"/>
            <w:shd w:val="clear" w:color="auto" w:fill="D9D9D9" w:themeFill="background1" w:themeFillShade="D9"/>
            <w:noWrap/>
            <w:hideMark/>
          </w:tcPr>
          <w:p w14:paraId="723ED59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-7,08</w:t>
            </w:r>
          </w:p>
        </w:tc>
        <w:tc>
          <w:tcPr>
            <w:tcW w:w="1877" w:type="dxa"/>
            <w:shd w:val="clear" w:color="auto" w:fill="D9D9D9" w:themeFill="background1" w:themeFillShade="D9"/>
            <w:noWrap/>
            <w:hideMark/>
          </w:tcPr>
          <w:p w14:paraId="6F95BB0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46.805,00</w:t>
            </w:r>
          </w:p>
        </w:tc>
      </w:tr>
      <w:tr w:rsidR="007B7808" w:rsidRPr="00657E49" w14:paraId="4FBDC2DA" w14:textId="77777777" w:rsidTr="002815DB">
        <w:trPr>
          <w:trHeight w:val="255"/>
        </w:trPr>
        <w:tc>
          <w:tcPr>
            <w:tcW w:w="1232" w:type="dxa"/>
            <w:noWrap/>
            <w:hideMark/>
          </w:tcPr>
          <w:p w14:paraId="55A481C6"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w:t>
            </w:r>
          </w:p>
        </w:tc>
        <w:tc>
          <w:tcPr>
            <w:tcW w:w="3895" w:type="dxa"/>
            <w:noWrap/>
            <w:hideMark/>
          </w:tcPr>
          <w:p w14:paraId="2313626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Rashodi poslovanja</w:t>
            </w:r>
          </w:p>
        </w:tc>
        <w:tc>
          <w:tcPr>
            <w:tcW w:w="1394" w:type="dxa"/>
            <w:noWrap/>
            <w:hideMark/>
          </w:tcPr>
          <w:p w14:paraId="39B291E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19.700,00</w:t>
            </w:r>
          </w:p>
        </w:tc>
        <w:tc>
          <w:tcPr>
            <w:tcW w:w="1117" w:type="dxa"/>
            <w:noWrap/>
            <w:hideMark/>
          </w:tcPr>
          <w:p w14:paraId="1293791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-3.895,00</w:t>
            </w:r>
          </w:p>
        </w:tc>
        <w:tc>
          <w:tcPr>
            <w:tcW w:w="1117" w:type="dxa"/>
            <w:noWrap/>
            <w:hideMark/>
          </w:tcPr>
          <w:p w14:paraId="3E99806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-19,77</w:t>
            </w:r>
          </w:p>
        </w:tc>
        <w:tc>
          <w:tcPr>
            <w:tcW w:w="1877" w:type="dxa"/>
            <w:noWrap/>
            <w:hideMark/>
          </w:tcPr>
          <w:p w14:paraId="21E0FFB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15.805,00</w:t>
            </w:r>
          </w:p>
        </w:tc>
      </w:tr>
      <w:tr w:rsidR="007B7808" w:rsidRPr="00657E49" w14:paraId="4AF4FB56" w14:textId="77777777" w:rsidTr="002815DB">
        <w:trPr>
          <w:trHeight w:val="255"/>
        </w:trPr>
        <w:tc>
          <w:tcPr>
            <w:tcW w:w="1232" w:type="dxa"/>
            <w:noWrap/>
            <w:hideMark/>
          </w:tcPr>
          <w:p w14:paraId="3DE8FCB6"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31</w:t>
            </w:r>
          </w:p>
        </w:tc>
        <w:tc>
          <w:tcPr>
            <w:tcW w:w="3895" w:type="dxa"/>
            <w:noWrap/>
            <w:hideMark/>
          </w:tcPr>
          <w:p w14:paraId="2E33B1F4"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zaposlene</w:t>
            </w:r>
          </w:p>
        </w:tc>
        <w:tc>
          <w:tcPr>
            <w:tcW w:w="1394" w:type="dxa"/>
            <w:noWrap/>
            <w:hideMark/>
          </w:tcPr>
          <w:p w14:paraId="103E9D5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4D26887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1.035,00</w:t>
            </w:r>
          </w:p>
        </w:tc>
        <w:tc>
          <w:tcPr>
            <w:tcW w:w="1117" w:type="dxa"/>
            <w:noWrap/>
            <w:hideMark/>
          </w:tcPr>
          <w:p w14:paraId="5A4F0F9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w:t>
            </w:r>
          </w:p>
        </w:tc>
        <w:tc>
          <w:tcPr>
            <w:tcW w:w="1877" w:type="dxa"/>
            <w:noWrap/>
            <w:hideMark/>
          </w:tcPr>
          <w:p w14:paraId="2616923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1.035,00</w:t>
            </w:r>
          </w:p>
        </w:tc>
      </w:tr>
      <w:tr w:rsidR="007B7808" w:rsidRPr="00657E49" w14:paraId="1028AD68" w14:textId="77777777" w:rsidTr="002815DB">
        <w:trPr>
          <w:trHeight w:val="255"/>
        </w:trPr>
        <w:tc>
          <w:tcPr>
            <w:tcW w:w="1232" w:type="dxa"/>
            <w:noWrap/>
            <w:hideMark/>
          </w:tcPr>
          <w:p w14:paraId="335AEF87"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31</w:t>
            </w:r>
          </w:p>
        </w:tc>
        <w:tc>
          <w:tcPr>
            <w:tcW w:w="3895" w:type="dxa"/>
            <w:noWrap/>
            <w:hideMark/>
          </w:tcPr>
          <w:p w14:paraId="42A3ED5A"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zaposlene</w:t>
            </w:r>
          </w:p>
        </w:tc>
        <w:tc>
          <w:tcPr>
            <w:tcW w:w="1394" w:type="dxa"/>
            <w:noWrap/>
            <w:hideMark/>
          </w:tcPr>
          <w:p w14:paraId="25D5715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0869A95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1.035,00</w:t>
            </w:r>
          </w:p>
        </w:tc>
        <w:tc>
          <w:tcPr>
            <w:tcW w:w="1117" w:type="dxa"/>
            <w:noWrap/>
            <w:hideMark/>
          </w:tcPr>
          <w:p w14:paraId="589231D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w:t>
            </w:r>
          </w:p>
        </w:tc>
        <w:tc>
          <w:tcPr>
            <w:tcW w:w="1877" w:type="dxa"/>
            <w:noWrap/>
            <w:hideMark/>
          </w:tcPr>
          <w:p w14:paraId="7B8DF62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1.035,00</w:t>
            </w:r>
          </w:p>
        </w:tc>
      </w:tr>
      <w:tr w:rsidR="007B7808" w:rsidRPr="00657E49" w14:paraId="3C5486E3" w14:textId="77777777" w:rsidTr="002815DB">
        <w:trPr>
          <w:trHeight w:val="255"/>
        </w:trPr>
        <w:tc>
          <w:tcPr>
            <w:tcW w:w="1232" w:type="dxa"/>
            <w:noWrap/>
            <w:hideMark/>
          </w:tcPr>
          <w:p w14:paraId="039118AC"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706C203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7F1C3AB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9.700,00</w:t>
            </w:r>
          </w:p>
        </w:tc>
        <w:tc>
          <w:tcPr>
            <w:tcW w:w="1117" w:type="dxa"/>
            <w:noWrap/>
            <w:hideMark/>
          </w:tcPr>
          <w:p w14:paraId="79045D0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-4.930,00</w:t>
            </w:r>
          </w:p>
        </w:tc>
        <w:tc>
          <w:tcPr>
            <w:tcW w:w="1117" w:type="dxa"/>
            <w:noWrap/>
            <w:hideMark/>
          </w:tcPr>
          <w:p w14:paraId="3771054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-50,82</w:t>
            </w:r>
          </w:p>
        </w:tc>
        <w:tc>
          <w:tcPr>
            <w:tcW w:w="1877" w:type="dxa"/>
            <w:noWrap/>
            <w:hideMark/>
          </w:tcPr>
          <w:p w14:paraId="05E4F9E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4.770,00</w:t>
            </w:r>
          </w:p>
        </w:tc>
      </w:tr>
      <w:tr w:rsidR="007B7808" w:rsidRPr="00657E49" w14:paraId="46D6EE25" w14:textId="77777777" w:rsidTr="002815DB">
        <w:trPr>
          <w:trHeight w:val="255"/>
        </w:trPr>
        <w:tc>
          <w:tcPr>
            <w:tcW w:w="1232" w:type="dxa"/>
            <w:noWrap/>
            <w:hideMark/>
          </w:tcPr>
          <w:p w14:paraId="11C7762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2C0B844A"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50DEDC7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9.700,00</w:t>
            </w:r>
          </w:p>
        </w:tc>
        <w:tc>
          <w:tcPr>
            <w:tcW w:w="1117" w:type="dxa"/>
            <w:noWrap/>
            <w:hideMark/>
          </w:tcPr>
          <w:p w14:paraId="10BD2D1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-4.930,00</w:t>
            </w:r>
          </w:p>
        </w:tc>
        <w:tc>
          <w:tcPr>
            <w:tcW w:w="1117" w:type="dxa"/>
            <w:noWrap/>
            <w:hideMark/>
          </w:tcPr>
          <w:p w14:paraId="4478372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-50,82</w:t>
            </w:r>
          </w:p>
        </w:tc>
        <w:tc>
          <w:tcPr>
            <w:tcW w:w="1877" w:type="dxa"/>
            <w:noWrap/>
            <w:hideMark/>
          </w:tcPr>
          <w:p w14:paraId="52E8C4E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4.770,00</w:t>
            </w:r>
          </w:p>
        </w:tc>
      </w:tr>
      <w:tr w:rsidR="007B7808" w:rsidRPr="00657E49" w14:paraId="25856868" w14:textId="77777777" w:rsidTr="002815DB">
        <w:trPr>
          <w:trHeight w:val="255"/>
        </w:trPr>
        <w:tc>
          <w:tcPr>
            <w:tcW w:w="1232" w:type="dxa"/>
            <w:noWrap/>
            <w:hideMark/>
          </w:tcPr>
          <w:p w14:paraId="3E7AD09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37</w:t>
            </w:r>
          </w:p>
        </w:tc>
        <w:tc>
          <w:tcPr>
            <w:tcW w:w="3895" w:type="dxa"/>
            <w:noWrap/>
            <w:hideMark/>
          </w:tcPr>
          <w:p w14:paraId="08A01D5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Naknade građanima i kućanstvima na temelju osiguranja i druge naknade</w:t>
            </w:r>
          </w:p>
        </w:tc>
        <w:tc>
          <w:tcPr>
            <w:tcW w:w="1394" w:type="dxa"/>
            <w:noWrap/>
            <w:hideMark/>
          </w:tcPr>
          <w:p w14:paraId="0191BA0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10.000,00</w:t>
            </w:r>
          </w:p>
        </w:tc>
        <w:tc>
          <w:tcPr>
            <w:tcW w:w="1117" w:type="dxa"/>
            <w:noWrap/>
            <w:hideMark/>
          </w:tcPr>
          <w:p w14:paraId="4E9AF70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2A02FEB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877" w:type="dxa"/>
            <w:noWrap/>
            <w:hideMark/>
          </w:tcPr>
          <w:p w14:paraId="4FF2828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10.000,00</w:t>
            </w:r>
          </w:p>
        </w:tc>
      </w:tr>
      <w:tr w:rsidR="007B7808" w:rsidRPr="00657E49" w14:paraId="09390660" w14:textId="77777777" w:rsidTr="002815DB">
        <w:trPr>
          <w:trHeight w:val="255"/>
        </w:trPr>
        <w:tc>
          <w:tcPr>
            <w:tcW w:w="1232" w:type="dxa"/>
            <w:noWrap/>
            <w:hideMark/>
          </w:tcPr>
          <w:p w14:paraId="0A03139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37</w:t>
            </w:r>
          </w:p>
        </w:tc>
        <w:tc>
          <w:tcPr>
            <w:tcW w:w="3895" w:type="dxa"/>
            <w:noWrap/>
            <w:hideMark/>
          </w:tcPr>
          <w:p w14:paraId="3312FEA4"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Naknade građanima i kućanstvima na temelju osiguranja i druge naknade</w:t>
            </w:r>
          </w:p>
        </w:tc>
        <w:tc>
          <w:tcPr>
            <w:tcW w:w="1394" w:type="dxa"/>
            <w:noWrap/>
            <w:hideMark/>
          </w:tcPr>
          <w:p w14:paraId="7ABFA64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10.000,00</w:t>
            </w:r>
          </w:p>
        </w:tc>
        <w:tc>
          <w:tcPr>
            <w:tcW w:w="1117" w:type="dxa"/>
            <w:noWrap/>
            <w:hideMark/>
          </w:tcPr>
          <w:p w14:paraId="255BD82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4F81081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877" w:type="dxa"/>
            <w:noWrap/>
            <w:hideMark/>
          </w:tcPr>
          <w:p w14:paraId="2420611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10.000,00</w:t>
            </w:r>
          </w:p>
        </w:tc>
      </w:tr>
      <w:tr w:rsidR="007B7808" w:rsidRPr="00657E49" w14:paraId="0DB65024" w14:textId="77777777" w:rsidTr="002815DB">
        <w:trPr>
          <w:trHeight w:val="255"/>
        </w:trPr>
        <w:tc>
          <w:tcPr>
            <w:tcW w:w="1232" w:type="dxa"/>
            <w:noWrap/>
            <w:hideMark/>
          </w:tcPr>
          <w:p w14:paraId="6BB636A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w:t>
            </w:r>
          </w:p>
        </w:tc>
        <w:tc>
          <w:tcPr>
            <w:tcW w:w="3895" w:type="dxa"/>
            <w:noWrap/>
            <w:hideMark/>
          </w:tcPr>
          <w:p w14:paraId="485AFA09"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Rashodi za nabavu nefinancijske imovine</w:t>
            </w:r>
          </w:p>
        </w:tc>
        <w:tc>
          <w:tcPr>
            <w:tcW w:w="1394" w:type="dxa"/>
            <w:noWrap/>
            <w:hideMark/>
          </w:tcPr>
          <w:p w14:paraId="6536F79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30.670,00</w:t>
            </w:r>
          </w:p>
        </w:tc>
        <w:tc>
          <w:tcPr>
            <w:tcW w:w="1117" w:type="dxa"/>
            <w:noWrap/>
            <w:hideMark/>
          </w:tcPr>
          <w:p w14:paraId="08C66C2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330,00</w:t>
            </w:r>
          </w:p>
        </w:tc>
        <w:tc>
          <w:tcPr>
            <w:tcW w:w="1117" w:type="dxa"/>
            <w:noWrap/>
            <w:hideMark/>
          </w:tcPr>
          <w:p w14:paraId="3F2EC78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1,08</w:t>
            </w:r>
          </w:p>
        </w:tc>
        <w:tc>
          <w:tcPr>
            <w:tcW w:w="1877" w:type="dxa"/>
            <w:noWrap/>
            <w:hideMark/>
          </w:tcPr>
          <w:p w14:paraId="00A9D0A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31.000,00</w:t>
            </w:r>
          </w:p>
        </w:tc>
      </w:tr>
      <w:tr w:rsidR="007B7808" w:rsidRPr="00657E49" w14:paraId="4FA00A5F" w14:textId="77777777" w:rsidTr="002815DB">
        <w:trPr>
          <w:trHeight w:val="255"/>
        </w:trPr>
        <w:tc>
          <w:tcPr>
            <w:tcW w:w="1232" w:type="dxa"/>
            <w:noWrap/>
            <w:hideMark/>
          </w:tcPr>
          <w:p w14:paraId="262D34C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42</w:t>
            </w:r>
          </w:p>
        </w:tc>
        <w:tc>
          <w:tcPr>
            <w:tcW w:w="3895" w:type="dxa"/>
            <w:noWrap/>
            <w:hideMark/>
          </w:tcPr>
          <w:p w14:paraId="2F4E37AE"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nabavu proizvedene dugotrajne imovine</w:t>
            </w:r>
          </w:p>
        </w:tc>
        <w:tc>
          <w:tcPr>
            <w:tcW w:w="1394" w:type="dxa"/>
            <w:noWrap/>
            <w:hideMark/>
          </w:tcPr>
          <w:p w14:paraId="66BAE2B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30.670,00</w:t>
            </w:r>
          </w:p>
        </w:tc>
        <w:tc>
          <w:tcPr>
            <w:tcW w:w="1117" w:type="dxa"/>
            <w:noWrap/>
            <w:hideMark/>
          </w:tcPr>
          <w:p w14:paraId="2A9785A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330,00</w:t>
            </w:r>
          </w:p>
        </w:tc>
        <w:tc>
          <w:tcPr>
            <w:tcW w:w="1117" w:type="dxa"/>
            <w:noWrap/>
            <w:hideMark/>
          </w:tcPr>
          <w:p w14:paraId="11EEC4F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1,08</w:t>
            </w:r>
          </w:p>
        </w:tc>
        <w:tc>
          <w:tcPr>
            <w:tcW w:w="1877" w:type="dxa"/>
            <w:noWrap/>
            <w:hideMark/>
          </w:tcPr>
          <w:p w14:paraId="1005F54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31.000,00</w:t>
            </w:r>
          </w:p>
        </w:tc>
      </w:tr>
      <w:tr w:rsidR="007B7808" w:rsidRPr="00657E49" w14:paraId="324F3428" w14:textId="77777777" w:rsidTr="002815DB">
        <w:trPr>
          <w:trHeight w:val="255"/>
        </w:trPr>
        <w:tc>
          <w:tcPr>
            <w:tcW w:w="1232" w:type="dxa"/>
            <w:noWrap/>
            <w:hideMark/>
          </w:tcPr>
          <w:p w14:paraId="49BACD5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42</w:t>
            </w:r>
          </w:p>
        </w:tc>
        <w:tc>
          <w:tcPr>
            <w:tcW w:w="3895" w:type="dxa"/>
            <w:noWrap/>
            <w:hideMark/>
          </w:tcPr>
          <w:p w14:paraId="1E640229"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nabavu proizvedene dugotrajne imovine</w:t>
            </w:r>
          </w:p>
        </w:tc>
        <w:tc>
          <w:tcPr>
            <w:tcW w:w="1394" w:type="dxa"/>
            <w:noWrap/>
            <w:hideMark/>
          </w:tcPr>
          <w:p w14:paraId="7DB38EE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30.670,00</w:t>
            </w:r>
          </w:p>
        </w:tc>
        <w:tc>
          <w:tcPr>
            <w:tcW w:w="1117" w:type="dxa"/>
            <w:noWrap/>
            <w:hideMark/>
          </w:tcPr>
          <w:p w14:paraId="6C7EDE2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330,00</w:t>
            </w:r>
          </w:p>
        </w:tc>
        <w:tc>
          <w:tcPr>
            <w:tcW w:w="1117" w:type="dxa"/>
            <w:noWrap/>
            <w:hideMark/>
          </w:tcPr>
          <w:p w14:paraId="5A1C957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1,08</w:t>
            </w:r>
          </w:p>
        </w:tc>
        <w:tc>
          <w:tcPr>
            <w:tcW w:w="1877" w:type="dxa"/>
            <w:noWrap/>
            <w:hideMark/>
          </w:tcPr>
          <w:p w14:paraId="159FE63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31.000,00</w:t>
            </w:r>
          </w:p>
        </w:tc>
      </w:tr>
      <w:tr w:rsidR="007B7808" w:rsidRPr="00657E49" w14:paraId="5EBE9955" w14:textId="77777777" w:rsidTr="0056141B">
        <w:trPr>
          <w:trHeight w:val="255"/>
        </w:trPr>
        <w:tc>
          <w:tcPr>
            <w:tcW w:w="5127" w:type="dxa"/>
            <w:gridSpan w:val="2"/>
            <w:shd w:val="clear" w:color="auto" w:fill="A6A6A6" w:themeFill="background1" w:themeFillShade="A6"/>
            <w:noWrap/>
            <w:hideMark/>
          </w:tcPr>
          <w:p w14:paraId="23909F26"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Aktivnost A500006 Osiguranje pomoćnika učenicima s teškoćama</w:t>
            </w:r>
          </w:p>
        </w:tc>
        <w:tc>
          <w:tcPr>
            <w:tcW w:w="1394" w:type="dxa"/>
            <w:shd w:val="clear" w:color="auto" w:fill="A6A6A6" w:themeFill="background1" w:themeFillShade="A6"/>
            <w:noWrap/>
            <w:hideMark/>
          </w:tcPr>
          <w:p w14:paraId="7E364C9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75.690,00</w:t>
            </w:r>
          </w:p>
        </w:tc>
        <w:tc>
          <w:tcPr>
            <w:tcW w:w="1117" w:type="dxa"/>
            <w:shd w:val="clear" w:color="auto" w:fill="A6A6A6" w:themeFill="background1" w:themeFillShade="A6"/>
            <w:noWrap/>
            <w:hideMark/>
          </w:tcPr>
          <w:p w14:paraId="0426451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9.175,00</w:t>
            </w:r>
          </w:p>
        </w:tc>
        <w:tc>
          <w:tcPr>
            <w:tcW w:w="1117" w:type="dxa"/>
            <w:shd w:val="clear" w:color="auto" w:fill="A6A6A6" w:themeFill="background1" w:themeFillShade="A6"/>
            <w:noWrap/>
            <w:hideMark/>
          </w:tcPr>
          <w:p w14:paraId="4B35F27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12,12</w:t>
            </w:r>
          </w:p>
        </w:tc>
        <w:tc>
          <w:tcPr>
            <w:tcW w:w="1877" w:type="dxa"/>
            <w:shd w:val="clear" w:color="auto" w:fill="A6A6A6" w:themeFill="background1" w:themeFillShade="A6"/>
            <w:noWrap/>
            <w:hideMark/>
          </w:tcPr>
          <w:p w14:paraId="6FA3173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84.865,00</w:t>
            </w:r>
          </w:p>
        </w:tc>
      </w:tr>
      <w:tr w:rsidR="007B7808" w:rsidRPr="00657E49" w14:paraId="14533B58" w14:textId="77777777" w:rsidTr="0056141B">
        <w:trPr>
          <w:trHeight w:val="255"/>
        </w:trPr>
        <w:tc>
          <w:tcPr>
            <w:tcW w:w="5127" w:type="dxa"/>
            <w:gridSpan w:val="2"/>
            <w:shd w:val="clear" w:color="auto" w:fill="A6A6A6" w:themeFill="background1" w:themeFillShade="A6"/>
            <w:noWrap/>
            <w:hideMark/>
          </w:tcPr>
          <w:p w14:paraId="510D3190"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Funkcijska klasifikacija  09 Obrazovanje</w:t>
            </w:r>
          </w:p>
        </w:tc>
        <w:tc>
          <w:tcPr>
            <w:tcW w:w="1394" w:type="dxa"/>
            <w:shd w:val="clear" w:color="auto" w:fill="A6A6A6" w:themeFill="background1" w:themeFillShade="A6"/>
            <w:noWrap/>
            <w:hideMark/>
          </w:tcPr>
          <w:p w14:paraId="0233396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75.690,00</w:t>
            </w:r>
          </w:p>
        </w:tc>
        <w:tc>
          <w:tcPr>
            <w:tcW w:w="1117" w:type="dxa"/>
            <w:shd w:val="clear" w:color="auto" w:fill="A6A6A6" w:themeFill="background1" w:themeFillShade="A6"/>
            <w:noWrap/>
            <w:hideMark/>
          </w:tcPr>
          <w:p w14:paraId="022EFBD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9.175,00</w:t>
            </w:r>
          </w:p>
        </w:tc>
        <w:tc>
          <w:tcPr>
            <w:tcW w:w="1117" w:type="dxa"/>
            <w:shd w:val="clear" w:color="auto" w:fill="A6A6A6" w:themeFill="background1" w:themeFillShade="A6"/>
            <w:noWrap/>
            <w:hideMark/>
          </w:tcPr>
          <w:p w14:paraId="5F7F460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12,12</w:t>
            </w:r>
          </w:p>
        </w:tc>
        <w:tc>
          <w:tcPr>
            <w:tcW w:w="1877" w:type="dxa"/>
            <w:shd w:val="clear" w:color="auto" w:fill="A6A6A6" w:themeFill="background1" w:themeFillShade="A6"/>
            <w:noWrap/>
            <w:hideMark/>
          </w:tcPr>
          <w:p w14:paraId="30ADBDB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84.865,00</w:t>
            </w:r>
          </w:p>
        </w:tc>
      </w:tr>
      <w:tr w:rsidR="007B7808" w:rsidRPr="00657E49" w14:paraId="2F61F41F" w14:textId="77777777" w:rsidTr="0056141B">
        <w:trPr>
          <w:trHeight w:val="255"/>
        </w:trPr>
        <w:tc>
          <w:tcPr>
            <w:tcW w:w="5127" w:type="dxa"/>
            <w:gridSpan w:val="2"/>
            <w:shd w:val="clear" w:color="auto" w:fill="A6A6A6" w:themeFill="background1" w:themeFillShade="A6"/>
            <w:noWrap/>
            <w:hideMark/>
          </w:tcPr>
          <w:p w14:paraId="5818651A"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Funkcijska klasifikacija  091 Predškolsko i osnovno obrazovanje</w:t>
            </w:r>
          </w:p>
        </w:tc>
        <w:tc>
          <w:tcPr>
            <w:tcW w:w="1394" w:type="dxa"/>
            <w:shd w:val="clear" w:color="auto" w:fill="A6A6A6" w:themeFill="background1" w:themeFillShade="A6"/>
            <w:noWrap/>
            <w:hideMark/>
          </w:tcPr>
          <w:p w14:paraId="3AEB70E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75.690,00</w:t>
            </w:r>
          </w:p>
        </w:tc>
        <w:tc>
          <w:tcPr>
            <w:tcW w:w="1117" w:type="dxa"/>
            <w:shd w:val="clear" w:color="auto" w:fill="A6A6A6" w:themeFill="background1" w:themeFillShade="A6"/>
            <w:noWrap/>
            <w:hideMark/>
          </w:tcPr>
          <w:p w14:paraId="7556712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9.175,00</w:t>
            </w:r>
          </w:p>
        </w:tc>
        <w:tc>
          <w:tcPr>
            <w:tcW w:w="1117" w:type="dxa"/>
            <w:shd w:val="clear" w:color="auto" w:fill="A6A6A6" w:themeFill="background1" w:themeFillShade="A6"/>
            <w:noWrap/>
            <w:hideMark/>
          </w:tcPr>
          <w:p w14:paraId="103FEA5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12,12</w:t>
            </w:r>
          </w:p>
        </w:tc>
        <w:tc>
          <w:tcPr>
            <w:tcW w:w="1877" w:type="dxa"/>
            <w:shd w:val="clear" w:color="auto" w:fill="A6A6A6" w:themeFill="background1" w:themeFillShade="A6"/>
            <w:noWrap/>
            <w:hideMark/>
          </w:tcPr>
          <w:p w14:paraId="7F0CF6B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84.865,00</w:t>
            </w:r>
          </w:p>
        </w:tc>
      </w:tr>
      <w:tr w:rsidR="007B7808" w:rsidRPr="00657E49" w14:paraId="61CC18C0" w14:textId="77777777" w:rsidTr="0056141B">
        <w:trPr>
          <w:trHeight w:val="255"/>
        </w:trPr>
        <w:tc>
          <w:tcPr>
            <w:tcW w:w="5127" w:type="dxa"/>
            <w:gridSpan w:val="2"/>
            <w:shd w:val="clear" w:color="auto" w:fill="D9D9D9" w:themeFill="background1" w:themeFillShade="D9"/>
            <w:noWrap/>
            <w:hideMark/>
          </w:tcPr>
          <w:p w14:paraId="5BDF05BA"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Izvor  1.1. OPĆI PRIHODI I PRIMICI-IZNAD STAND.</w:t>
            </w:r>
          </w:p>
        </w:tc>
        <w:tc>
          <w:tcPr>
            <w:tcW w:w="1394" w:type="dxa"/>
            <w:shd w:val="clear" w:color="auto" w:fill="D9D9D9" w:themeFill="background1" w:themeFillShade="D9"/>
            <w:noWrap/>
            <w:hideMark/>
          </w:tcPr>
          <w:p w14:paraId="15EBA0D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33.120,00</w:t>
            </w:r>
          </w:p>
        </w:tc>
        <w:tc>
          <w:tcPr>
            <w:tcW w:w="1117" w:type="dxa"/>
            <w:shd w:val="clear" w:color="auto" w:fill="D9D9D9" w:themeFill="background1" w:themeFillShade="D9"/>
            <w:noWrap/>
            <w:hideMark/>
          </w:tcPr>
          <w:p w14:paraId="0B85292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5.695,00</w:t>
            </w:r>
          </w:p>
        </w:tc>
        <w:tc>
          <w:tcPr>
            <w:tcW w:w="1117" w:type="dxa"/>
            <w:shd w:val="clear" w:color="auto" w:fill="D9D9D9" w:themeFill="background1" w:themeFillShade="D9"/>
            <w:noWrap/>
            <w:hideMark/>
          </w:tcPr>
          <w:p w14:paraId="0E886BA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17,20</w:t>
            </w:r>
          </w:p>
        </w:tc>
        <w:tc>
          <w:tcPr>
            <w:tcW w:w="1877" w:type="dxa"/>
            <w:shd w:val="clear" w:color="auto" w:fill="D9D9D9" w:themeFill="background1" w:themeFillShade="D9"/>
            <w:noWrap/>
            <w:hideMark/>
          </w:tcPr>
          <w:p w14:paraId="2295A44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38.815,00</w:t>
            </w:r>
          </w:p>
        </w:tc>
      </w:tr>
      <w:tr w:rsidR="007B7808" w:rsidRPr="00657E49" w14:paraId="76EFC963" w14:textId="77777777" w:rsidTr="002815DB">
        <w:trPr>
          <w:trHeight w:val="255"/>
        </w:trPr>
        <w:tc>
          <w:tcPr>
            <w:tcW w:w="1232" w:type="dxa"/>
            <w:noWrap/>
            <w:hideMark/>
          </w:tcPr>
          <w:p w14:paraId="6DDE593C"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lastRenderedPageBreak/>
              <w:t>3</w:t>
            </w:r>
          </w:p>
        </w:tc>
        <w:tc>
          <w:tcPr>
            <w:tcW w:w="3895" w:type="dxa"/>
            <w:noWrap/>
            <w:hideMark/>
          </w:tcPr>
          <w:p w14:paraId="06124AB0"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Rashodi poslovanja</w:t>
            </w:r>
          </w:p>
        </w:tc>
        <w:tc>
          <w:tcPr>
            <w:tcW w:w="1394" w:type="dxa"/>
            <w:noWrap/>
            <w:hideMark/>
          </w:tcPr>
          <w:p w14:paraId="06C7E70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33.120,00</w:t>
            </w:r>
          </w:p>
        </w:tc>
        <w:tc>
          <w:tcPr>
            <w:tcW w:w="1117" w:type="dxa"/>
            <w:noWrap/>
            <w:hideMark/>
          </w:tcPr>
          <w:p w14:paraId="3DF6CE0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5.695,00</w:t>
            </w:r>
          </w:p>
        </w:tc>
        <w:tc>
          <w:tcPr>
            <w:tcW w:w="1117" w:type="dxa"/>
            <w:noWrap/>
            <w:hideMark/>
          </w:tcPr>
          <w:p w14:paraId="404A141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17,20</w:t>
            </w:r>
          </w:p>
        </w:tc>
        <w:tc>
          <w:tcPr>
            <w:tcW w:w="1877" w:type="dxa"/>
            <w:noWrap/>
            <w:hideMark/>
          </w:tcPr>
          <w:p w14:paraId="74F1AFB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38.815,00</w:t>
            </w:r>
          </w:p>
        </w:tc>
      </w:tr>
      <w:tr w:rsidR="007B7808" w:rsidRPr="00657E49" w14:paraId="44229A1D" w14:textId="77777777" w:rsidTr="002815DB">
        <w:trPr>
          <w:trHeight w:val="255"/>
        </w:trPr>
        <w:tc>
          <w:tcPr>
            <w:tcW w:w="1232" w:type="dxa"/>
            <w:noWrap/>
            <w:hideMark/>
          </w:tcPr>
          <w:p w14:paraId="680DD22C"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31</w:t>
            </w:r>
          </w:p>
        </w:tc>
        <w:tc>
          <w:tcPr>
            <w:tcW w:w="3895" w:type="dxa"/>
            <w:noWrap/>
            <w:hideMark/>
          </w:tcPr>
          <w:p w14:paraId="7544E1E2"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zaposlene</w:t>
            </w:r>
          </w:p>
        </w:tc>
        <w:tc>
          <w:tcPr>
            <w:tcW w:w="1394" w:type="dxa"/>
            <w:noWrap/>
            <w:hideMark/>
          </w:tcPr>
          <w:p w14:paraId="6E9A9DA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29.520,00</w:t>
            </w:r>
          </w:p>
        </w:tc>
        <w:tc>
          <w:tcPr>
            <w:tcW w:w="1117" w:type="dxa"/>
            <w:noWrap/>
            <w:hideMark/>
          </w:tcPr>
          <w:p w14:paraId="3C9DED2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5.255,00</w:t>
            </w:r>
          </w:p>
        </w:tc>
        <w:tc>
          <w:tcPr>
            <w:tcW w:w="1117" w:type="dxa"/>
            <w:noWrap/>
            <w:hideMark/>
          </w:tcPr>
          <w:p w14:paraId="119FA58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17,80</w:t>
            </w:r>
          </w:p>
        </w:tc>
        <w:tc>
          <w:tcPr>
            <w:tcW w:w="1877" w:type="dxa"/>
            <w:noWrap/>
            <w:hideMark/>
          </w:tcPr>
          <w:p w14:paraId="349E9E1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34.775,00</w:t>
            </w:r>
          </w:p>
        </w:tc>
      </w:tr>
      <w:tr w:rsidR="007B7808" w:rsidRPr="00657E49" w14:paraId="16E56E86" w14:textId="77777777" w:rsidTr="002815DB">
        <w:trPr>
          <w:trHeight w:val="255"/>
        </w:trPr>
        <w:tc>
          <w:tcPr>
            <w:tcW w:w="1232" w:type="dxa"/>
            <w:noWrap/>
            <w:hideMark/>
          </w:tcPr>
          <w:p w14:paraId="7E7F1D4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31</w:t>
            </w:r>
          </w:p>
        </w:tc>
        <w:tc>
          <w:tcPr>
            <w:tcW w:w="3895" w:type="dxa"/>
            <w:noWrap/>
            <w:hideMark/>
          </w:tcPr>
          <w:p w14:paraId="6D9234D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zaposlene</w:t>
            </w:r>
          </w:p>
        </w:tc>
        <w:tc>
          <w:tcPr>
            <w:tcW w:w="1394" w:type="dxa"/>
            <w:noWrap/>
            <w:hideMark/>
          </w:tcPr>
          <w:p w14:paraId="1D01B0B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29.520,00</w:t>
            </w:r>
          </w:p>
        </w:tc>
        <w:tc>
          <w:tcPr>
            <w:tcW w:w="1117" w:type="dxa"/>
            <w:noWrap/>
            <w:hideMark/>
          </w:tcPr>
          <w:p w14:paraId="64E50E2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5.255,00</w:t>
            </w:r>
          </w:p>
        </w:tc>
        <w:tc>
          <w:tcPr>
            <w:tcW w:w="1117" w:type="dxa"/>
            <w:noWrap/>
            <w:hideMark/>
          </w:tcPr>
          <w:p w14:paraId="425CFEC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17,80</w:t>
            </w:r>
          </w:p>
        </w:tc>
        <w:tc>
          <w:tcPr>
            <w:tcW w:w="1877" w:type="dxa"/>
            <w:noWrap/>
            <w:hideMark/>
          </w:tcPr>
          <w:p w14:paraId="04A707D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34.775,00</w:t>
            </w:r>
          </w:p>
        </w:tc>
      </w:tr>
      <w:tr w:rsidR="007B7808" w:rsidRPr="00657E49" w14:paraId="29A89BDD" w14:textId="77777777" w:rsidTr="002815DB">
        <w:trPr>
          <w:trHeight w:val="255"/>
        </w:trPr>
        <w:tc>
          <w:tcPr>
            <w:tcW w:w="1232" w:type="dxa"/>
            <w:noWrap/>
            <w:hideMark/>
          </w:tcPr>
          <w:p w14:paraId="7ACDB7DC"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4113611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1F7FA39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3.600,00</w:t>
            </w:r>
          </w:p>
        </w:tc>
        <w:tc>
          <w:tcPr>
            <w:tcW w:w="1117" w:type="dxa"/>
            <w:noWrap/>
            <w:hideMark/>
          </w:tcPr>
          <w:p w14:paraId="7EB4A11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440,00</w:t>
            </w:r>
          </w:p>
        </w:tc>
        <w:tc>
          <w:tcPr>
            <w:tcW w:w="1117" w:type="dxa"/>
            <w:noWrap/>
            <w:hideMark/>
          </w:tcPr>
          <w:p w14:paraId="7294CE2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12,22</w:t>
            </w:r>
          </w:p>
        </w:tc>
        <w:tc>
          <w:tcPr>
            <w:tcW w:w="1877" w:type="dxa"/>
            <w:noWrap/>
            <w:hideMark/>
          </w:tcPr>
          <w:p w14:paraId="51B50C6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4.040,00</w:t>
            </w:r>
          </w:p>
        </w:tc>
      </w:tr>
      <w:tr w:rsidR="007B7808" w:rsidRPr="00657E49" w14:paraId="46F78C30" w14:textId="77777777" w:rsidTr="002815DB">
        <w:trPr>
          <w:trHeight w:val="255"/>
        </w:trPr>
        <w:tc>
          <w:tcPr>
            <w:tcW w:w="1232" w:type="dxa"/>
            <w:noWrap/>
            <w:hideMark/>
          </w:tcPr>
          <w:p w14:paraId="447030B8"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1F09EEF8"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5B2157B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3.600,00</w:t>
            </w:r>
          </w:p>
        </w:tc>
        <w:tc>
          <w:tcPr>
            <w:tcW w:w="1117" w:type="dxa"/>
            <w:noWrap/>
            <w:hideMark/>
          </w:tcPr>
          <w:p w14:paraId="292DF29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440,00</w:t>
            </w:r>
          </w:p>
        </w:tc>
        <w:tc>
          <w:tcPr>
            <w:tcW w:w="1117" w:type="dxa"/>
            <w:noWrap/>
            <w:hideMark/>
          </w:tcPr>
          <w:p w14:paraId="62C0B47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12,22</w:t>
            </w:r>
          </w:p>
        </w:tc>
        <w:tc>
          <w:tcPr>
            <w:tcW w:w="1877" w:type="dxa"/>
            <w:noWrap/>
            <w:hideMark/>
          </w:tcPr>
          <w:p w14:paraId="15D9289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4.040,00</w:t>
            </w:r>
          </w:p>
        </w:tc>
      </w:tr>
      <w:tr w:rsidR="007B7808" w:rsidRPr="00657E49" w14:paraId="485A470F" w14:textId="77777777" w:rsidTr="0056141B">
        <w:trPr>
          <w:trHeight w:val="255"/>
        </w:trPr>
        <w:tc>
          <w:tcPr>
            <w:tcW w:w="5127" w:type="dxa"/>
            <w:gridSpan w:val="2"/>
            <w:shd w:val="clear" w:color="auto" w:fill="D9D9D9" w:themeFill="background1" w:themeFillShade="D9"/>
            <w:noWrap/>
            <w:hideMark/>
          </w:tcPr>
          <w:p w14:paraId="21C9EB06"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Izvor  5.9. POMOĆI</w:t>
            </w:r>
          </w:p>
        </w:tc>
        <w:tc>
          <w:tcPr>
            <w:tcW w:w="1394" w:type="dxa"/>
            <w:shd w:val="clear" w:color="auto" w:fill="D9D9D9" w:themeFill="background1" w:themeFillShade="D9"/>
            <w:noWrap/>
            <w:hideMark/>
          </w:tcPr>
          <w:p w14:paraId="5A4A19F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42.570,00</w:t>
            </w:r>
          </w:p>
        </w:tc>
        <w:tc>
          <w:tcPr>
            <w:tcW w:w="1117" w:type="dxa"/>
            <w:shd w:val="clear" w:color="auto" w:fill="D9D9D9" w:themeFill="background1" w:themeFillShade="D9"/>
            <w:noWrap/>
            <w:hideMark/>
          </w:tcPr>
          <w:p w14:paraId="67D43D2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3.480,00</w:t>
            </w:r>
          </w:p>
        </w:tc>
        <w:tc>
          <w:tcPr>
            <w:tcW w:w="1117" w:type="dxa"/>
            <w:shd w:val="clear" w:color="auto" w:fill="D9D9D9" w:themeFill="background1" w:themeFillShade="D9"/>
            <w:noWrap/>
            <w:hideMark/>
          </w:tcPr>
          <w:p w14:paraId="543AE22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8,17</w:t>
            </w:r>
          </w:p>
        </w:tc>
        <w:tc>
          <w:tcPr>
            <w:tcW w:w="1877" w:type="dxa"/>
            <w:shd w:val="clear" w:color="auto" w:fill="D9D9D9" w:themeFill="background1" w:themeFillShade="D9"/>
            <w:noWrap/>
            <w:hideMark/>
          </w:tcPr>
          <w:p w14:paraId="7201C11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46.050,00</w:t>
            </w:r>
          </w:p>
        </w:tc>
      </w:tr>
      <w:tr w:rsidR="007B7808" w:rsidRPr="00657E49" w14:paraId="2C0B55D1" w14:textId="77777777" w:rsidTr="002815DB">
        <w:trPr>
          <w:trHeight w:val="255"/>
        </w:trPr>
        <w:tc>
          <w:tcPr>
            <w:tcW w:w="1232" w:type="dxa"/>
            <w:noWrap/>
            <w:hideMark/>
          </w:tcPr>
          <w:p w14:paraId="4A64D5E7"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w:t>
            </w:r>
          </w:p>
        </w:tc>
        <w:tc>
          <w:tcPr>
            <w:tcW w:w="3895" w:type="dxa"/>
            <w:noWrap/>
            <w:hideMark/>
          </w:tcPr>
          <w:p w14:paraId="196ED56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Rashodi poslovanja</w:t>
            </w:r>
          </w:p>
        </w:tc>
        <w:tc>
          <w:tcPr>
            <w:tcW w:w="1394" w:type="dxa"/>
            <w:noWrap/>
            <w:hideMark/>
          </w:tcPr>
          <w:p w14:paraId="4BFD01F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42.570,00</w:t>
            </w:r>
          </w:p>
        </w:tc>
        <w:tc>
          <w:tcPr>
            <w:tcW w:w="1117" w:type="dxa"/>
            <w:noWrap/>
            <w:hideMark/>
          </w:tcPr>
          <w:p w14:paraId="44415A1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3.480,00</w:t>
            </w:r>
          </w:p>
        </w:tc>
        <w:tc>
          <w:tcPr>
            <w:tcW w:w="1117" w:type="dxa"/>
            <w:noWrap/>
            <w:hideMark/>
          </w:tcPr>
          <w:p w14:paraId="1A2AEE4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8,17</w:t>
            </w:r>
          </w:p>
        </w:tc>
        <w:tc>
          <w:tcPr>
            <w:tcW w:w="1877" w:type="dxa"/>
            <w:noWrap/>
            <w:hideMark/>
          </w:tcPr>
          <w:p w14:paraId="7C03777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46.050,00</w:t>
            </w:r>
          </w:p>
        </w:tc>
      </w:tr>
      <w:tr w:rsidR="007B7808" w:rsidRPr="00657E49" w14:paraId="39BFDA3E" w14:textId="77777777" w:rsidTr="002815DB">
        <w:trPr>
          <w:trHeight w:val="255"/>
        </w:trPr>
        <w:tc>
          <w:tcPr>
            <w:tcW w:w="1232" w:type="dxa"/>
            <w:noWrap/>
            <w:hideMark/>
          </w:tcPr>
          <w:p w14:paraId="49E80C5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31</w:t>
            </w:r>
          </w:p>
        </w:tc>
        <w:tc>
          <w:tcPr>
            <w:tcW w:w="3895" w:type="dxa"/>
            <w:noWrap/>
            <w:hideMark/>
          </w:tcPr>
          <w:p w14:paraId="662D4DA6"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zaposlene</w:t>
            </w:r>
          </w:p>
        </w:tc>
        <w:tc>
          <w:tcPr>
            <w:tcW w:w="1394" w:type="dxa"/>
            <w:noWrap/>
            <w:hideMark/>
          </w:tcPr>
          <w:p w14:paraId="7308CB6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42.570,00</w:t>
            </w:r>
          </w:p>
        </w:tc>
        <w:tc>
          <w:tcPr>
            <w:tcW w:w="1117" w:type="dxa"/>
            <w:noWrap/>
            <w:hideMark/>
          </w:tcPr>
          <w:p w14:paraId="3370BA3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3.480,00</w:t>
            </w:r>
          </w:p>
        </w:tc>
        <w:tc>
          <w:tcPr>
            <w:tcW w:w="1117" w:type="dxa"/>
            <w:noWrap/>
            <w:hideMark/>
          </w:tcPr>
          <w:p w14:paraId="06A48AA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8,17</w:t>
            </w:r>
          </w:p>
        </w:tc>
        <w:tc>
          <w:tcPr>
            <w:tcW w:w="1877" w:type="dxa"/>
            <w:noWrap/>
            <w:hideMark/>
          </w:tcPr>
          <w:p w14:paraId="7167E4C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46.050,00</w:t>
            </w:r>
          </w:p>
        </w:tc>
      </w:tr>
      <w:tr w:rsidR="007B7808" w:rsidRPr="00657E49" w14:paraId="2F553E62" w14:textId="77777777" w:rsidTr="002815DB">
        <w:trPr>
          <w:trHeight w:val="255"/>
        </w:trPr>
        <w:tc>
          <w:tcPr>
            <w:tcW w:w="1232" w:type="dxa"/>
            <w:noWrap/>
            <w:hideMark/>
          </w:tcPr>
          <w:p w14:paraId="1024486E"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31</w:t>
            </w:r>
          </w:p>
        </w:tc>
        <w:tc>
          <w:tcPr>
            <w:tcW w:w="3895" w:type="dxa"/>
            <w:noWrap/>
            <w:hideMark/>
          </w:tcPr>
          <w:p w14:paraId="5AFB578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zaposlene</w:t>
            </w:r>
          </w:p>
        </w:tc>
        <w:tc>
          <w:tcPr>
            <w:tcW w:w="1394" w:type="dxa"/>
            <w:noWrap/>
            <w:hideMark/>
          </w:tcPr>
          <w:p w14:paraId="7759153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42.570,00</w:t>
            </w:r>
          </w:p>
        </w:tc>
        <w:tc>
          <w:tcPr>
            <w:tcW w:w="1117" w:type="dxa"/>
            <w:noWrap/>
            <w:hideMark/>
          </w:tcPr>
          <w:p w14:paraId="2F904DB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3.480,00</w:t>
            </w:r>
          </w:p>
        </w:tc>
        <w:tc>
          <w:tcPr>
            <w:tcW w:w="1117" w:type="dxa"/>
            <w:noWrap/>
            <w:hideMark/>
          </w:tcPr>
          <w:p w14:paraId="4E01C12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8,17</w:t>
            </w:r>
          </w:p>
        </w:tc>
        <w:tc>
          <w:tcPr>
            <w:tcW w:w="1877" w:type="dxa"/>
            <w:noWrap/>
            <w:hideMark/>
          </w:tcPr>
          <w:p w14:paraId="345B583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46.050,00</w:t>
            </w:r>
          </w:p>
        </w:tc>
      </w:tr>
      <w:tr w:rsidR="007B7808" w:rsidRPr="00657E49" w14:paraId="149873A8" w14:textId="77777777" w:rsidTr="0056141B">
        <w:trPr>
          <w:trHeight w:val="255"/>
        </w:trPr>
        <w:tc>
          <w:tcPr>
            <w:tcW w:w="5127" w:type="dxa"/>
            <w:gridSpan w:val="2"/>
            <w:shd w:val="clear" w:color="auto" w:fill="A6A6A6" w:themeFill="background1" w:themeFillShade="A6"/>
            <w:noWrap/>
            <w:hideMark/>
          </w:tcPr>
          <w:p w14:paraId="7446F2BD"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Aktivnost A500007 Financiranje izvannastavnih projekata i drugo</w:t>
            </w:r>
          </w:p>
        </w:tc>
        <w:tc>
          <w:tcPr>
            <w:tcW w:w="1394" w:type="dxa"/>
            <w:shd w:val="clear" w:color="auto" w:fill="A6A6A6" w:themeFill="background1" w:themeFillShade="A6"/>
            <w:noWrap/>
            <w:hideMark/>
          </w:tcPr>
          <w:p w14:paraId="60DB454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1.300,00</w:t>
            </w:r>
          </w:p>
        </w:tc>
        <w:tc>
          <w:tcPr>
            <w:tcW w:w="1117" w:type="dxa"/>
            <w:shd w:val="clear" w:color="auto" w:fill="A6A6A6" w:themeFill="background1" w:themeFillShade="A6"/>
            <w:noWrap/>
            <w:hideMark/>
          </w:tcPr>
          <w:p w14:paraId="56FCAD8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4.394,00</w:t>
            </w:r>
          </w:p>
        </w:tc>
        <w:tc>
          <w:tcPr>
            <w:tcW w:w="1117" w:type="dxa"/>
            <w:shd w:val="clear" w:color="auto" w:fill="A6A6A6" w:themeFill="background1" w:themeFillShade="A6"/>
            <w:noWrap/>
            <w:hideMark/>
          </w:tcPr>
          <w:p w14:paraId="369AB30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338,00</w:t>
            </w:r>
          </w:p>
        </w:tc>
        <w:tc>
          <w:tcPr>
            <w:tcW w:w="1877" w:type="dxa"/>
            <w:shd w:val="clear" w:color="auto" w:fill="A6A6A6" w:themeFill="background1" w:themeFillShade="A6"/>
            <w:noWrap/>
            <w:hideMark/>
          </w:tcPr>
          <w:p w14:paraId="67D2948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5.694,00</w:t>
            </w:r>
          </w:p>
        </w:tc>
      </w:tr>
      <w:tr w:rsidR="007B7808" w:rsidRPr="00657E49" w14:paraId="19DFC5A6" w14:textId="77777777" w:rsidTr="0056141B">
        <w:trPr>
          <w:trHeight w:val="255"/>
        </w:trPr>
        <w:tc>
          <w:tcPr>
            <w:tcW w:w="5127" w:type="dxa"/>
            <w:gridSpan w:val="2"/>
            <w:shd w:val="clear" w:color="auto" w:fill="A6A6A6" w:themeFill="background1" w:themeFillShade="A6"/>
            <w:noWrap/>
            <w:hideMark/>
          </w:tcPr>
          <w:p w14:paraId="3799B67E"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Funkcijska klasifikacija  09 Obrazovanje</w:t>
            </w:r>
          </w:p>
        </w:tc>
        <w:tc>
          <w:tcPr>
            <w:tcW w:w="1394" w:type="dxa"/>
            <w:shd w:val="clear" w:color="auto" w:fill="A6A6A6" w:themeFill="background1" w:themeFillShade="A6"/>
            <w:noWrap/>
            <w:hideMark/>
          </w:tcPr>
          <w:p w14:paraId="1EFADE0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1.300,00</w:t>
            </w:r>
          </w:p>
        </w:tc>
        <w:tc>
          <w:tcPr>
            <w:tcW w:w="1117" w:type="dxa"/>
            <w:shd w:val="clear" w:color="auto" w:fill="A6A6A6" w:themeFill="background1" w:themeFillShade="A6"/>
            <w:noWrap/>
            <w:hideMark/>
          </w:tcPr>
          <w:p w14:paraId="1924C61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4.394,00</w:t>
            </w:r>
          </w:p>
        </w:tc>
        <w:tc>
          <w:tcPr>
            <w:tcW w:w="1117" w:type="dxa"/>
            <w:shd w:val="clear" w:color="auto" w:fill="A6A6A6" w:themeFill="background1" w:themeFillShade="A6"/>
            <w:noWrap/>
            <w:hideMark/>
          </w:tcPr>
          <w:p w14:paraId="32CFB9B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338,00</w:t>
            </w:r>
          </w:p>
        </w:tc>
        <w:tc>
          <w:tcPr>
            <w:tcW w:w="1877" w:type="dxa"/>
            <w:shd w:val="clear" w:color="auto" w:fill="A6A6A6" w:themeFill="background1" w:themeFillShade="A6"/>
            <w:noWrap/>
            <w:hideMark/>
          </w:tcPr>
          <w:p w14:paraId="66139FA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5.694,00</w:t>
            </w:r>
          </w:p>
        </w:tc>
      </w:tr>
      <w:tr w:rsidR="007B7808" w:rsidRPr="00657E49" w14:paraId="27241698" w14:textId="77777777" w:rsidTr="0056141B">
        <w:trPr>
          <w:trHeight w:val="255"/>
        </w:trPr>
        <w:tc>
          <w:tcPr>
            <w:tcW w:w="5127" w:type="dxa"/>
            <w:gridSpan w:val="2"/>
            <w:shd w:val="clear" w:color="auto" w:fill="A6A6A6" w:themeFill="background1" w:themeFillShade="A6"/>
            <w:noWrap/>
            <w:hideMark/>
          </w:tcPr>
          <w:p w14:paraId="38AE22D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Funkcijska klasifikacija  091 Predškolsko i osnovno obrazovanje</w:t>
            </w:r>
          </w:p>
        </w:tc>
        <w:tc>
          <w:tcPr>
            <w:tcW w:w="1394" w:type="dxa"/>
            <w:shd w:val="clear" w:color="auto" w:fill="A6A6A6" w:themeFill="background1" w:themeFillShade="A6"/>
            <w:noWrap/>
            <w:hideMark/>
          </w:tcPr>
          <w:p w14:paraId="0B7B21B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1.300,00</w:t>
            </w:r>
          </w:p>
        </w:tc>
        <w:tc>
          <w:tcPr>
            <w:tcW w:w="1117" w:type="dxa"/>
            <w:shd w:val="clear" w:color="auto" w:fill="A6A6A6" w:themeFill="background1" w:themeFillShade="A6"/>
            <w:noWrap/>
            <w:hideMark/>
          </w:tcPr>
          <w:p w14:paraId="0DC854C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4.394,00</w:t>
            </w:r>
          </w:p>
        </w:tc>
        <w:tc>
          <w:tcPr>
            <w:tcW w:w="1117" w:type="dxa"/>
            <w:shd w:val="clear" w:color="auto" w:fill="A6A6A6" w:themeFill="background1" w:themeFillShade="A6"/>
            <w:noWrap/>
            <w:hideMark/>
          </w:tcPr>
          <w:p w14:paraId="59680E3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338,00</w:t>
            </w:r>
          </w:p>
        </w:tc>
        <w:tc>
          <w:tcPr>
            <w:tcW w:w="1877" w:type="dxa"/>
            <w:shd w:val="clear" w:color="auto" w:fill="A6A6A6" w:themeFill="background1" w:themeFillShade="A6"/>
            <w:noWrap/>
            <w:hideMark/>
          </w:tcPr>
          <w:p w14:paraId="07F6EE6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5.694,00</w:t>
            </w:r>
          </w:p>
        </w:tc>
      </w:tr>
      <w:tr w:rsidR="007B7808" w:rsidRPr="00657E49" w14:paraId="0FA3BA03" w14:textId="77777777" w:rsidTr="0056141B">
        <w:trPr>
          <w:trHeight w:val="255"/>
        </w:trPr>
        <w:tc>
          <w:tcPr>
            <w:tcW w:w="5127" w:type="dxa"/>
            <w:gridSpan w:val="2"/>
            <w:shd w:val="clear" w:color="auto" w:fill="D9D9D9" w:themeFill="background1" w:themeFillShade="D9"/>
            <w:noWrap/>
            <w:hideMark/>
          </w:tcPr>
          <w:p w14:paraId="2E839BC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Izvor  5.9. POMOĆI</w:t>
            </w:r>
          </w:p>
        </w:tc>
        <w:tc>
          <w:tcPr>
            <w:tcW w:w="1394" w:type="dxa"/>
            <w:shd w:val="clear" w:color="auto" w:fill="D9D9D9" w:themeFill="background1" w:themeFillShade="D9"/>
            <w:noWrap/>
            <w:hideMark/>
          </w:tcPr>
          <w:p w14:paraId="09FB59D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1.300,00</w:t>
            </w:r>
          </w:p>
        </w:tc>
        <w:tc>
          <w:tcPr>
            <w:tcW w:w="1117" w:type="dxa"/>
            <w:shd w:val="clear" w:color="auto" w:fill="D9D9D9" w:themeFill="background1" w:themeFillShade="D9"/>
            <w:noWrap/>
            <w:hideMark/>
          </w:tcPr>
          <w:p w14:paraId="0AB14F7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4.394,00</w:t>
            </w:r>
          </w:p>
        </w:tc>
        <w:tc>
          <w:tcPr>
            <w:tcW w:w="1117" w:type="dxa"/>
            <w:shd w:val="clear" w:color="auto" w:fill="D9D9D9" w:themeFill="background1" w:themeFillShade="D9"/>
            <w:noWrap/>
            <w:hideMark/>
          </w:tcPr>
          <w:p w14:paraId="4F4245F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338,00</w:t>
            </w:r>
          </w:p>
        </w:tc>
        <w:tc>
          <w:tcPr>
            <w:tcW w:w="1877" w:type="dxa"/>
            <w:shd w:val="clear" w:color="auto" w:fill="D9D9D9" w:themeFill="background1" w:themeFillShade="D9"/>
            <w:noWrap/>
            <w:hideMark/>
          </w:tcPr>
          <w:p w14:paraId="3C832EB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5.694,00</w:t>
            </w:r>
          </w:p>
        </w:tc>
      </w:tr>
      <w:tr w:rsidR="007B7808" w:rsidRPr="00657E49" w14:paraId="0B106131" w14:textId="77777777" w:rsidTr="002815DB">
        <w:trPr>
          <w:trHeight w:val="255"/>
        </w:trPr>
        <w:tc>
          <w:tcPr>
            <w:tcW w:w="1232" w:type="dxa"/>
            <w:noWrap/>
            <w:hideMark/>
          </w:tcPr>
          <w:p w14:paraId="1723B9EB"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w:t>
            </w:r>
          </w:p>
        </w:tc>
        <w:tc>
          <w:tcPr>
            <w:tcW w:w="3895" w:type="dxa"/>
            <w:noWrap/>
            <w:hideMark/>
          </w:tcPr>
          <w:p w14:paraId="50A0220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Rashodi poslovanja</w:t>
            </w:r>
          </w:p>
        </w:tc>
        <w:tc>
          <w:tcPr>
            <w:tcW w:w="1394" w:type="dxa"/>
            <w:noWrap/>
            <w:hideMark/>
          </w:tcPr>
          <w:p w14:paraId="2A45F5C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1.300,00</w:t>
            </w:r>
          </w:p>
        </w:tc>
        <w:tc>
          <w:tcPr>
            <w:tcW w:w="1117" w:type="dxa"/>
            <w:noWrap/>
            <w:hideMark/>
          </w:tcPr>
          <w:p w14:paraId="58F1C21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4.394,00</w:t>
            </w:r>
          </w:p>
        </w:tc>
        <w:tc>
          <w:tcPr>
            <w:tcW w:w="1117" w:type="dxa"/>
            <w:noWrap/>
            <w:hideMark/>
          </w:tcPr>
          <w:p w14:paraId="4DAF78B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338,00</w:t>
            </w:r>
          </w:p>
        </w:tc>
        <w:tc>
          <w:tcPr>
            <w:tcW w:w="1877" w:type="dxa"/>
            <w:noWrap/>
            <w:hideMark/>
          </w:tcPr>
          <w:p w14:paraId="5FB7038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5.694,00</w:t>
            </w:r>
          </w:p>
        </w:tc>
      </w:tr>
      <w:tr w:rsidR="007B7808" w:rsidRPr="00657E49" w14:paraId="707DE783" w14:textId="77777777" w:rsidTr="002815DB">
        <w:trPr>
          <w:trHeight w:val="255"/>
        </w:trPr>
        <w:tc>
          <w:tcPr>
            <w:tcW w:w="1232" w:type="dxa"/>
            <w:noWrap/>
            <w:hideMark/>
          </w:tcPr>
          <w:p w14:paraId="0E6D38EB"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0F2D57FB"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5994EC0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1.300,00</w:t>
            </w:r>
          </w:p>
        </w:tc>
        <w:tc>
          <w:tcPr>
            <w:tcW w:w="1117" w:type="dxa"/>
            <w:noWrap/>
            <w:hideMark/>
          </w:tcPr>
          <w:p w14:paraId="412FE36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4.394,00</w:t>
            </w:r>
          </w:p>
        </w:tc>
        <w:tc>
          <w:tcPr>
            <w:tcW w:w="1117" w:type="dxa"/>
            <w:noWrap/>
            <w:hideMark/>
          </w:tcPr>
          <w:p w14:paraId="65346B0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338,00</w:t>
            </w:r>
          </w:p>
        </w:tc>
        <w:tc>
          <w:tcPr>
            <w:tcW w:w="1877" w:type="dxa"/>
            <w:noWrap/>
            <w:hideMark/>
          </w:tcPr>
          <w:p w14:paraId="26FA6EE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5.694,00</w:t>
            </w:r>
          </w:p>
        </w:tc>
      </w:tr>
      <w:tr w:rsidR="007B7808" w:rsidRPr="00657E49" w14:paraId="019897AE" w14:textId="77777777" w:rsidTr="002815DB">
        <w:trPr>
          <w:trHeight w:val="255"/>
        </w:trPr>
        <w:tc>
          <w:tcPr>
            <w:tcW w:w="1232" w:type="dxa"/>
            <w:noWrap/>
            <w:hideMark/>
          </w:tcPr>
          <w:p w14:paraId="29278AFF"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32</w:t>
            </w:r>
          </w:p>
        </w:tc>
        <w:tc>
          <w:tcPr>
            <w:tcW w:w="3895" w:type="dxa"/>
            <w:noWrap/>
            <w:hideMark/>
          </w:tcPr>
          <w:p w14:paraId="6D0C1C98"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Materijalni rashodi</w:t>
            </w:r>
          </w:p>
        </w:tc>
        <w:tc>
          <w:tcPr>
            <w:tcW w:w="1394" w:type="dxa"/>
            <w:noWrap/>
            <w:hideMark/>
          </w:tcPr>
          <w:p w14:paraId="04B1E9C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1.300,00</w:t>
            </w:r>
          </w:p>
        </w:tc>
        <w:tc>
          <w:tcPr>
            <w:tcW w:w="1117" w:type="dxa"/>
            <w:noWrap/>
            <w:hideMark/>
          </w:tcPr>
          <w:p w14:paraId="386178B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4.394,00</w:t>
            </w:r>
          </w:p>
        </w:tc>
        <w:tc>
          <w:tcPr>
            <w:tcW w:w="1117" w:type="dxa"/>
            <w:noWrap/>
            <w:hideMark/>
          </w:tcPr>
          <w:p w14:paraId="0E61CC8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338,00</w:t>
            </w:r>
          </w:p>
        </w:tc>
        <w:tc>
          <w:tcPr>
            <w:tcW w:w="1877" w:type="dxa"/>
            <w:noWrap/>
            <w:hideMark/>
          </w:tcPr>
          <w:p w14:paraId="58EFC65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5.694,00</w:t>
            </w:r>
          </w:p>
        </w:tc>
      </w:tr>
      <w:tr w:rsidR="007B7808" w:rsidRPr="00657E49" w14:paraId="6F435450" w14:textId="77777777" w:rsidTr="0056141B">
        <w:trPr>
          <w:trHeight w:val="255"/>
        </w:trPr>
        <w:tc>
          <w:tcPr>
            <w:tcW w:w="5127" w:type="dxa"/>
            <w:gridSpan w:val="2"/>
            <w:shd w:val="clear" w:color="auto" w:fill="A6A6A6" w:themeFill="background1" w:themeFillShade="A6"/>
            <w:noWrap/>
            <w:hideMark/>
          </w:tcPr>
          <w:p w14:paraId="55FF97CC"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Kapitalni projekt K500001 Kapitalna ulaganja osnovnog školstva</w:t>
            </w:r>
          </w:p>
        </w:tc>
        <w:tc>
          <w:tcPr>
            <w:tcW w:w="1394" w:type="dxa"/>
            <w:shd w:val="clear" w:color="auto" w:fill="A6A6A6" w:themeFill="background1" w:themeFillShade="A6"/>
            <w:noWrap/>
            <w:hideMark/>
          </w:tcPr>
          <w:p w14:paraId="496F3FA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78.772,00</w:t>
            </w:r>
          </w:p>
        </w:tc>
        <w:tc>
          <w:tcPr>
            <w:tcW w:w="1117" w:type="dxa"/>
            <w:shd w:val="clear" w:color="auto" w:fill="A6A6A6" w:themeFill="background1" w:themeFillShade="A6"/>
            <w:noWrap/>
            <w:hideMark/>
          </w:tcPr>
          <w:p w14:paraId="4BEAE1F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-10.000,00</w:t>
            </w:r>
          </w:p>
        </w:tc>
        <w:tc>
          <w:tcPr>
            <w:tcW w:w="1117" w:type="dxa"/>
            <w:shd w:val="clear" w:color="auto" w:fill="A6A6A6" w:themeFill="background1" w:themeFillShade="A6"/>
            <w:noWrap/>
            <w:hideMark/>
          </w:tcPr>
          <w:p w14:paraId="0CEB557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-12,70</w:t>
            </w:r>
          </w:p>
        </w:tc>
        <w:tc>
          <w:tcPr>
            <w:tcW w:w="1877" w:type="dxa"/>
            <w:shd w:val="clear" w:color="auto" w:fill="A6A6A6" w:themeFill="background1" w:themeFillShade="A6"/>
            <w:noWrap/>
            <w:hideMark/>
          </w:tcPr>
          <w:p w14:paraId="3B3B5BF3"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68.772,00</w:t>
            </w:r>
          </w:p>
        </w:tc>
      </w:tr>
      <w:tr w:rsidR="007B7808" w:rsidRPr="00657E49" w14:paraId="12123763" w14:textId="77777777" w:rsidTr="0056141B">
        <w:trPr>
          <w:trHeight w:val="255"/>
        </w:trPr>
        <w:tc>
          <w:tcPr>
            <w:tcW w:w="5127" w:type="dxa"/>
            <w:gridSpan w:val="2"/>
            <w:shd w:val="clear" w:color="auto" w:fill="A6A6A6" w:themeFill="background1" w:themeFillShade="A6"/>
            <w:noWrap/>
            <w:hideMark/>
          </w:tcPr>
          <w:p w14:paraId="0506758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Funkcijska klasifikacija  09 Obrazovanje</w:t>
            </w:r>
          </w:p>
        </w:tc>
        <w:tc>
          <w:tcPr>
            <w:tcW w:w="1394" w:type="dxa"/>
            <w:shd w:val="clear" w:color="auto" w:fill="A6A6A6" w:themeFill="background1" w:themeFillShade="A6"/>
            <w:noWrap/>
            <w:hideMark/>
          </w:tcPr>
          <w:p w14:paraId="63D693D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78.772,00</w:t>
            </w:r>
          </w:p>
        </w:tc>
        <w:tc>
          <w:tcPr>
            <w:tcW w:w="1117" w:type="dxa"/>
            <w:shd w:val="clear" w:color="auto" w:fill="A6A6A6" w:themeFill="background1" w:themeFillShade="A6"/>
            <w:noWrap/>
            <w:hideMark/>
          </w:tcPr>
          <w:p w14:paraId="39F20E2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-10.000,00</w:t>
            </w:r>
          </w:p>
        </w:tc>
        <w:tc>
          <w:tcPr>
            <w:tcW w:w="1117" w:type="dxa"/>
            <w:shd w:val="clear" w:color="auto" w:fill="A6A6A6" w:themeFill="background1" w:themeFillShade="A6"/>
            <w:noWrap/>
            <w:hideMark/>
          </w:tcPr>
          <w:p w14:paraId="161685E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-12,70</w:t>
            </w:r>
          </w:p>
        </w:tc>
        <w:tc>
          <w:tcPr>
            <w:tcW w:w="1877" w:type="dxa"/>
            <w:shd w:val="clear" w:color="auto" w:fill="A6A6A6" w:themeFill="background1" w:themeFillShade="A6"/>
            <w:noWrap/>
            <w:hideMark/>
          </w:tcPr>
          <w:p w14:paraId="791ABEA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68.772,00</w:t>
            </w:r>
          </w:p>
        </w:tc>
      </w:tr>
      <w:tr w:rsidR="007B7808" w:rsidRPr="00657E49" w14:paraId="69222449" w14:textId="77777777" w:rsidTr="0056141B">
        <w:trPr>
          <w:trHeight w:val="255"/>
        </w:trPr>
        <w:tc>
          <w:tcPr>
            <w:tcW w:w="5127" w:type="dxa"/>
            <w:gridSpan w:val="2"/>
            <w:shd w:val="clear" w:color="auto" w:fill="A6A6A6" w:themeFill="background1" w:themeFillShade="A6"/>
            <w:noWrap/>
            <w:hideMark/>
          </w:tcPr>
          <w:p w14:paraId="5FE39586"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Funkcijska klasifikacija  091 Predškolsko i osnovno obrazovanje</w:t>
            </w:r>
          </w:p>
        </w:tc>
        <w:tc>
          <w:tcPr>
            <w:tcW w:w="1394" w:type="dxa"/>
            <w:shd w:val="clear" w:color="auto" w:fill="A6A6A6" w:themeFill="background1" w:themeFillShade="A6"/>
            <w:noWrap/>
            <w:hideMark/>
          </w:tcPr>
          <w:p w14:paraId="38EC173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78.772,00</w:t>
            </w:r>
          </w:p>
        </w:tc>
        <w:tc>
          <w:tcPr>
            <w:tcW w:w="1117" w:type="dxa"/>
            <w:shd w:val="clear" w:color="auto" w:fill="A6A6A6" w:themeFill="background1" w:themeFillShade="A6"/>
            <w:noWrap/>
            <w:hideMark/>
          </w:tcPr>
          <w:p w14:paraId="544445A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-10.000,00</w:t>
            </w:r>
          </w:p>
        </w:tc>
        <w:tc>
          <w:tcPr>
            <w:tcW w:w="1117" w:type="dxa"/>
            <w:shd w:val="clear" w:color="auto" w:fill="A6A6A6" w:themeFill="background1" w:themeFillShade="A6"/>
            <w:noWrap/>
            <w:hideMark/>
          </w:tcPr>
          <w:p w14:paraId="5A31880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-12,70</w:t>
            </w:r>
          </w:p>
        </w:tc>
        <w:tc>
          <w:tcPr>
            <w:tcW w:w="1877" w:type="dxa"/>
            <w:shd w:val="clear" w:color="auto" w:fill="A6A6A6" w:themeFill="background1" w:themeFillShade="A6"/>
            <w:noWrap/>
            <w:hideMark/>
          </w:tcPr>
          <w:p w14:paraId="393CB61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68.772,00</w:t>
            </w:r>
          </w:p>
        </w:tc>
      </w:tr>
      <w:tr w:rsidR="007B7808" w:rsidRPr="00657E49" w14:paraId="57D1B705" w14:textId="77777777" w:rsidTr="0056141B">
        <w:trPr>
          <w:trHeight w:val="255"/>
        </w:trPr>
        <w:tc>
          <w:tcPr>
            <w:tcW w:w="5127" w:type="dxa"/>
            <w:gridSpan w:val="2"/>
            <w:shd w:val="clear" w:color="auto" w:fill="D9D9D9" w:themeFill="background1" w:themeFillShade="D9"/>
            <w:noWrap/>
            <w:hideMark/>
          </w:tcPr>
          <w:p w14:paraId="5DD6EA7F"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Izvor  1.1. OPĆI PRIHODI I PRIMICI-IZNAD STAND.</w:t>
            </w:r>
          </w:p>
        </w:tc>
        <w:tc>
          <w:tcPr>
            <w:tcW w:w="1394" w:type="dxa"/>
            <w:shd w:val="clear" w:color="auto" w:fill="D9D9D9" w:themeFill="background1" w:themeFillShade="D9"/>
            <w:noWrap/>
            <w:hideMark/>
          </w:tcPr>
          <w:p w14:paraId="18EEEC2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50.000,00</w:t>
            </w:r>
          </w:p>
        </w:tc>
        <w:tc>
          <w:tcPr>
            <w:tcW w:w="1117" w:type="dxa"/>
            <w:shd w:val="clear" w:color="auto" w:fill="D9D9D9" w:themeFill="background1" w:themeFillShade="D9"/>
            <w:noWrap/>
            <w:hideMark/>
          </w:tcPr>
          <w:p w14:paraId="20E6116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-10.000,00</w:t>
            </w:r>
          </w:p>
        </w:tc>
        <w:tc>
          <w:tcPr>
            <w:tcW w:w="1117" w:type="dxa"/>
            <w:shd w:val="clear" w:color="auto" w:fill="D9D9D9" w:themeFill="background1" w:themeFillShade="D9"/>
            <w:noWrap/>
            <w:hideMark/>
          </w:tcPr>
          <w:p w14:paraId="3536343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-20,00</w:t>
            </w:r>
          </w:p>
        </w:tc>
        <w:tc>
          <w:tcPr>
            <w:tcW w:w="1877" w:type="dxa"/>
            <w:shd w:val="clear" w:color="auto" w:fill="D9D9D9" w:themeFill="background1" w:themeFillShade="D9"/>
            <w:noWrap/>
            <w:hideMark/>
          </w:tcPr>
          <w:p w14:paraId="7B7F259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40.000,00</w:t>
            </w:r>
          </w:p>
        </w:tc>
      </w:tr>
      <w:tr w:rsidR="007B7808" w:rsidRPr="00657E49" w14:paraId="10D89412" w14:textId="77777777" w:rsidTr="002815DB">
        <w:trPr>
          <w:trHeight w:val="255"/>
        </w:trPr>
        <w:tc>
          <w:tcPr>
            <w:tcW w:w="1232" w:type="dxa"/>
            <w:noWrap/>
            <w:hideMark/>
          </w:tcPr>
          <w:p w14:paraId="23671841"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w:t>
            </w:r>
          </w:p>
        </w:tc>
        <w:tc>
          <w:tcPr>
            <w:tcW w:w="3895" w:type="dxa"/>
            <w:noWrap/>
            <w:hideMark/>
          </w:tcPr>
          <w:p w14:paraId="451A3C7F"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Rashodi za nabavu nefinancijske imovine</w:t>
            </w:r>
          </w:p>
        </w:tc>
        <w:tc>
          <w:tcPr>
            <w:tcW w:w="1394" w:type="dxa"/>
            <w:noWrap/>
            <w:hideMark/>
          </w:tcPr>
          <w:p w14:paraId="1A8FA78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50.000,00</w:t>
            </w:r>
          </w:p>
        </w:tc>
        <w:tc>
          <w:tcPr>
            <w:tcW w:w="1117" w:type="dxa"/>
            <w:noWrap/>
            <w:hideMark/>
          </w:tcPr>
          <w:p w14:paraId="141AEC9E"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-10.000,00</w:t>
            </w:r>
          </w:p>
        </w:tc>
        <w:tc>
          <w:tcPr>
            <w:tcW w:w="1117" w:type="dxa"/>
            <w:noWrap/>
            <w:hideMark/>
          </w:tcPr>
          <w:p w14:paraId="67F4259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-20,00</w:t>
            </w:r>
          </w:p>
        </w:tc>
        <w:tc>
          <w:tcPr>
            <w:tcW w:w="1877" w:type="dxa"/>
            <w:noWrap/>
            <w:hideMark/>
          </w:tcPr>
          <w:p w14:paraId="1C52000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40.000,00</w:t>
            </w:r>
          </w:p>
        </w:tc>
      </w:tr>
      <w:tr w:rsidR="007B7808" w:rsidRPr="00657E49" w14:paraId="66AE1532" w14:textId="77777777" w:rsidTr="002815DB">
        <w:trPr>
          <w:trHeight w:val="255"/>
        </w:trPr>
        <w:tc>
          <w:tcPr>
            <w:tcW w:w="1232" w:type="dxa"/>
            <w:noWrap/>
            <w:hideMark/>
          </w:tcPr>
          <w:p w14:paraId="5FB5237F"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45</w:t>
            </w:r>
          </w:p>
        </w:tc>
        <w:tc>
          <w:tcPr>
            <w:tcW w:w="3895" w:type="dxa"/>
            <w:noWrap/>
            <w:hideMark/>
          </w:tcPr>
          <w:p w14:paraId="431F9860"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dodatna ulaganja na nefinancijskoj imovini</w:t>
            </w:r>
          </w:p>
        </w:tc>
        <w:tc>
          <w:tcPr>
            <w:tcW w:w="1394" w:type="dxa"/>
            <w:noWrap/>
            <w:hideMark/>
          </w:tcPr>
          <w:p w14:paraId="2E258187"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50.000,00</w:t>
            </w:r>
          </w:p>
        </w:tc>
        <w:tc>
          <w:tcPr>
            <w:tcW w:w="1117" w:type="dxa"/>
            <w:noWrap/>
            <w:hideMark/>
          </w:tcPr>
          <w:p w14:paraId="6FE6EC0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-10.000,00</w:t>
            </w:r>
          </w:p>
        </w:tc>
        <w:tc>
          <w:tcPr>
            <w:tcW w:w="1117" w:type="dxa"/>
            <w:noWrap/>
            <w:hideMark/>
          </w:tcPr>
          <w:p w14:paraId="08FA06D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-20,00</w:t>
            </w:r>
          </w:p>
        </w:tc>
        <w:tc>
          <w:tcPr>
            <w:tcW w:w="1877" w:type="dxa"/>
            <w:noWrap/>
            <w:hideMark/>
          </w:tcPr>
          <w:p w14:paraId="7AE60DD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40.000,00</w:t>
            </w:r>
          </w:p>
        </w:tc>
      </w:tr>
      <w:tr w:rsidR="007B7808" w:rsidRPr="00657E49" w14:paraId="2AAA685D" w14:textId="77777777" w:rsidTr="002815DB">
        <w:trPr>
          <w:trHeight w:val="255"/>
        </w:trPr>
        <w:tc>
          <w:tcPr>
            <w:tcW w:w="1232" w:type="dxa"/>
            <w:noWrap/>
            <w:hideMark/>
          </w:tcPr>
          <w:p w14:paraId="3F70179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45</w:t>
            </w:r>
          </w:p>
        </w:tc>
        <w:tc>
          <w:tcPr>
            <w:tcW w:w="3895" w:type="dxa"/>
            <w:noWrap/>
            <w:hideMark/>
          </w:tcPr>
          <w:p w14:paraId="4A45384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dodatna ulaganja na nefinancijskoj imovini</w:t>
            </w:r>
          </w:p>
        </w:tc>
        <w:tc>
          <w:tcPr>
            <w:tcW w:w="1394" w:type="dxa"/>
            <w:noWrap/>
            <w:hideMark/>
          </w:tcPr>
          <w:p w14:paraId="5C8C8F0C"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50.000,00</w:t>
            </w:r>
          </w:p>
        </w:tc>
        <w:tc>
          <w:tcPr>
            <w:tcW w:w="1117" w:type="dxa"/>
            <w:noWrap/>
            <w:hideMark/>
          </w:tcPr>
          <w:p w14:paraId="1758B35A"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-10.000,00</w:t>
            </w:r>
          </w:p>
        </w:tc>
        <w:tc>
          <w:tcPr>
            <w:tcW w:w="1117" w:type="dxa"/>
            <w:noWrap/>
            <w:hideMark/>
          </w:tcPr>
          <w:p w14:paraId="40E53E1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-20,00</w:t>
            </w:r>
          </w:p>
        </w:tc>
        <w:tc>
          <w:tcPr>
            <w:tcW w:w="1877" w:type="dxa"/>
            <w:noWrap/>
            <w:hideMark/>
          </w:tcPr>
          <w:p w14:paraId="358AD8C2"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40.000,00</w:t>
            </w:r>
          </w:p>
        </w:tc>
      </w:tr>
      <w:tr w:rsidR="007B7808" w:rsidRPr="00657E49" w14:paraId="68710C5D" w14:textId="77777777" w:rsidTr="0056141B">
        <w:trPr>
          <w:trHeight w:val="255"/>
        </w:trPr>
        <w:tc>
          <w:tcPr>
            <w:tcW w:w="5127" w:type="dxa"/>
            <w:gridSpan w:val="2"/>
            <w:shd w:val="clear" w:color="auto" w:fill="D9D9D9" w:themeFill="background1" w:themeFillShade="D9"/>
            <w:noWrap/>
            <w:hideMark/>
          </w:tcPr>
          <w:p w14:paraId="6672821D"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Izvor  5.1. POMOĆI</w:t>
            </w:r>
          </w:p>
        </w:tc>
        <w:tc>
          <w:tcPr>
            <w:tcW w:w="1394" w:type="dxa"/>
            <w:shd w:val="clear" w:color="auto" w:fill="D9D9D9" w:themeFill="background1" w:themeFillShade="D9"/>
            <w:noWrap/>
            <w:hideMark/>
          </w:tcPr>
          <w:p w14:paraId="51F6739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28.772,00</w:t>
            </w:r>
          </w:p>
        </w:tc>
        <w:tc>
          <w:tcPr>
            <w:tcW w:w="1117" w:type="dxa"/>
            <w:shd w:val="clear" w:color="auto" w:fill="D9D9D9" w:themeFill="background1" w:themeFillShade="D9"/>
            <w:noWrap/>
            <w:hideMark/>
          </w:tcPr>
          <w:p w14:paraId="76BC642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0,00</w:t>
            </w:r>
          </w:p>
        </w:tc>
        <w:tc>
          <w:tcPr>
            <w:tcW w:w="1117" w:type="dxa"/>
            <w:shd w:val="clear" w:color="auto" w:fill="D9D9D9" w:themeFill="background1" w:themeFillShade="D9"/>
            <w:noWrap/>
            <w:hideMark/>
          </w:tcPr>
          <w:p w14:paraId="345A39C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0,00</w:t>
            </w:r>
          </w:p>
        </w:tc>
        <w:tc>
          <w:tcPr>
            <w:tcW w:w="1877" w:type="dxa"/>
            <w:shd w:val="clear" w:color="auto" w:fill="D9D9D9" w:themeFill="background1" w:themeFillShade="D9"/>
            <w:noWrap/>
            <w:hideMark/>
          </w:tcPr>
          <w:p w14:paraId="04666D0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28.772,00</w:t>
            </w:r>
          </w:p>
        </w:tc>
      </w:tr>
      <w:tr w:rsidR="007B7808" w:rsidRPr="00657E49" w14:paraId="4191017B" w14:textId="77777777" w:rsidTr="002815DB">
        <w:trPr>
          <w:trHeight w:val="255"/>
        </w:trPr>
        <w:tc>
          <w:tcPr>
            <w:tcW w:w="1232" w:type="dxa"/>
            <w:noWrap/>
            <w:hideMark/>
          </w:tcPr>
          <w:p w14:paraId="53F44ACA"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4</w:t>
            </w:r>
          </w:p>
        </w:tc>
        <w:tc>
          <w:tcPr>
            <w:tcW w:w="3895" w:type="dxa"/>
            <w:noWrap/>
            <w:hideMark/>
          </w:tcPr>
          <w:p w14:paraId="5DE5FCA6"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Rashodi za nabavu nefinancijske imovine</w:t>
            </w:r>
          </w:p>
        </w:tc>
        <w:tc>
          <w:tcPr>
            <w:tcW w:w="1394" w:type="dxa"/>
            <w:noWrap/>
            <w:hideMark/>
          </w:tcPr>
          <w:p w14:paraId="5B1A6144"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28.772,00</w:t>
            </w:r>
          </w:p>
        </w:tc>
        <w:tc>
          <w:tcPr>
            <w:tcW w:w="1117" w:type="dxa"/>
            <w:noWrap/>
            <w:hideMark/>
          </w:tcPr>
          <w:p w14:paraId="1E125C4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0,00</w:t>
            </w:r>
          </w:p>
        </w:tc>
        <w:tc>
          <w:tcPr>
            <w:tcW w:w="1117" w:type="dxa"/>
            <w:noWrap/>
            <w:hideMark/>
          </w:tcPr>
          <w:p w14:paraId="416BAD58"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0,00</w:t>
            </w:r>
          </w:p>
        </w:tc>
        <w:tc>
          <w:tcPr>
            <w:tcW w:w="1877" w:type="dxa"/>
            <w:noWrap/>
            <w:hideMark/>
          </w:tcPr>
          <w:p w14:paraId="5AE5EBB9"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b/>
                <w:bCs/>
                <w:kern w:val="3"/>
                <w:sz w:val="16"/>
                <w:szCs w:val="16"/>
                <w:lang w:eastAsia="zh-CN" w:bidi="hi-IN"/>
              </w:rPr>
            </w:pPr>
            <w:r w:rsidRPr="00657E49">
              <w:rPr>
                <w:rFonts w:ascii="Arial" w:eastAsia="Arial" w:hAnsi="Arial" w:cs="Arial"/>
                <w:b/>
                <w:bCs/>
                <w:kern w:val="3"/>
                <w:sz w:val="16"/>
                <w:szCs w:val="16"/>
                <w:lang w:eastAsia="zh-CN" w:bidi="hi-IN"/>
              </w:rPr>
              <w:t>28.772,00</w:t>
            </w:r>
          </w:p>
        </w:tc>
      </w:tr>
      <w:tr w:rsidR="007B7808" w:rsidRPr="00657E49" w14:paraId="54C3B9EB" w14:textId="77777777" w:rsidTr="002815DB">
        <w:trPr>
          <w:trHeight w:val="255"/>
        </w:trPr>
        <w:tc>
          <w:tcPr>
            <w:tcW w:w="1232" w:type="dxa"/>
            <w:noWrap/>
            <w:hideMark/>
          </w:tcPr>
          <w:p w14:paraId="72F2AD63"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42</w:t>
            </w:r>
          </w:p>
        </w:tc>
        <w:tc>
          <w:tcPr>
            <w:tcW w:w="3895" w:type="dxa"/>
            <w:noWrap/>
            <w:hideMark/>
          </w:tcPr>
          <w:p w14:paraId="62F2A9C5"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nabavu proizvedene dugotrajne imovine</w:t>
            </w:r>
          </w:p>
        </w:tc>
        <w:tc>
          <w:tcPr>
            <w:tcW w:w="1394" w:type="dxa"/>
            <w:noWrap/>
            <w:hideMark/>
          </w:tcPr>
          <w:p w14:paraId="1267DFA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28.772,00</w:t>
            </w:r>
          </w:p>
        </w:tc>
        <w:tc>
          <w:tcPr>
            <w:tcW w:w="1117" w:type="dxa"/>
            <w:noWrap/>
            <w:hideMark/>
          </w:tcPr>
          <w:p w14:paraId="35FCEC61"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43051ABB"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877" w:type="dxa"/>
            <w:noWrap/>
            <w:hideMark/>
          </w:tcPr>
          <w:p w14:paraId="35DF5B70"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28.772,00</w:t>
            </w:r>
          </w:p>
        </w:tc>
      </w:tr>
      <w:tr w:rsidR="007B7808" w:rsidRPr="00657E49" w14:paraId="71C2E53C" w14:textId="77777777" w:rsidTr="002815DB">
        <w:trPr>
          <w:trHeight w:val="270"/>
        </w:trPr>
        <w:tc>
          <w:tcPr>
            <w:tcW w:w="1232" w:type="dxa"/>
            <w:noWrap/>
            <w:hideMark/>
          </w:tcPr>
          <w:p w14:paraId="73C04B3A"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42</w:t>
            </w:r>
          </w:p>
        </w:tc>
        <w:tc>
          <w:tcPr>
            <w:tcW w:w="3895" w:type="dxa"/>
            <w:noWrap/>
            <w:hideMark/>
          </w:tcPr>
          <w:p w14:paraId="3312EEA0" w14:textId="77777777" w:rsidR="007B7808" w:rsidRPr="00657E49" w:rsidRDefault="007B7808" w:rsidP="002815DB">
            <w:pPr>
              <w:widowControl w:val="0"/>
              <w:suppressAutoHyphens/>
              <w:autoSpaceDN w:val="0"/>
              <w:spacing w:line="288" w:lineRule="auto"/>
              <w:jc w:val="both"/>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Rashodi za nabavu proizvedene dugotrajne imovine</w:t>
            </w:r>
          </w:p>
        </w:tc>
        <w:tc>
          <w:tcPr>
            <w:tcW w:w="1394" w:type="dxa"/>
            <w:noWrap/>
            <w:hideMark/>
          </w:tcPr>
          <w:p w14:paraId="78594205"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28.772,00</w:t>
            </w:r>
          </w:p>
        </w:tc>
        <w:tc>
          <w:tcPr>
            <w:tcW w:w="1117" w:type="dxa"/>
            <w:noWrap/>
            <w:hideMark/>
          </w:tcPr>
          <w:p w14:paraId="1346A81D"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117" w:type="dxa"/>
            <w:noWrap/>
            <w:hideMark/>
          </w:tcPr>
          <w:p w14:paraId="18AC2266"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0,00</w:t>
            </w:r>
          </w:p>
        </w:tc>
        <w:tc>
          <w:tcPr>
            <w:tcW w:w="1877" w:type="dxa"/>
            <w:noWrap/>
            <w:hideMark/>
          </w:tcPr>
          <w:p w14:paraId="1EB06FEF" w14:textId="77777777" w:rsidR="007B7808" w:rsidRPr="00657E49" w:rsidRDefault="007B7808" w:rsidP="002815DB">
            <w:pPr>
              <w:widowControl w:val="0"/>
              <w:suppressAutoHyphens/>
              <w:autoSpaceDN w:val="0"/>
              <w:spacing w:line="288" w:lineRule="auto"/>
              <w:jc w:val="right"/>
              <w:textAlignment w:val="baseline"/>
              <w:rPr>
                <w:rFonts w:ascii="Arial" w:eastAsia="Arial" w:hAnsi="Arial" w:cs="Arial"/>
                <w:kern w:val="3"/>
                <w:sz w:val="16"/>
                <w:szCs w:val="16"/>
                <w:lang w:eastAsia="zh-CN" w:bidi="hi-IN"/>
              </w:rPr>
            </w:pPr>
            <w:r w:rsidRPr="00657E49">
              <w:rPr>
                <w:rFonts w:ascii="Arial" w:eastAsia="Arial" w:hAnsi="Arial" w:cs="Arial"/>
                <w:kern w:val="3"/>
                <w:sz w:val="16"/>
                <w:szCs w:val="16"/>
                <w:lang w:eastAsia="zh-CN" w:bidi="hi-IN"/>
              </w:rPr>
              <w:t>28.772,00</w:t>
            </w:r>
          </w:p>
        </w:tc>
      </w:tr>
    </w:tbl>
    <w:p w14:paraId="5CE11E97" w14:textId="77777777" w:rsidR="007B7808" w:rsidRDefault="007B7808" w:rsidP="007B7808">
      <w:pPr>
        <w:rPr>
          <w:rFonts w:ascii="Arial" w:eastAsia="Calibri" w:hAnsi="Arial" w:cs="Arial"/>
          <w:b/>
        </w:rPr>
      </w:pPr>
    </w:p>
    <w:p w14:paraId="11585D6F" w14:textId="77777777" w:rsidR="004E07DB" w:rsidRDefault="004E07DB" w:rsidP="006132A6">
      <w:pPr>
        <w:rPr>
          <w:color w:val="000000" w:themeColor="text1"/>
        </w:rPr>
      </w:pPr>
    </w:p>
    <w:p w14:paraId="1102078A" w14:textId="77777777" w:rsidR="004E07DB" w:rsidRDefault="004E07DB" w:rsidP="006132A6">
      <w:pPr>
        <w:rPr>
          <w:color w:val="000000" w:themeColor="text1"/>
        </w:rPr>
      </w:pPr>
    </w:p>
    <w:p w14:paraId="799F8212" w14:textId="77777777" w:rsidR="002A689D" w:rsidRDefault="002A689D" w:rsidP="006132A6">
      <w:pPr>
        <w:rPr>
          <w:color w:val="000000" w:themeColor="text1"/>
        </w:rPr>
      </w:pPr>
    </w:p>
    <w:p w14:paraId="7CA32BEC" w14:textId="77777777" w:rsidR="00FF767D" w:rsidRDefault="00FF767D" w:rsidP="006132A6">
      <w:pPr>
        <w:rPr>
          <w:color w:val="000000" w:themeColor="text1"/>
        </w:rPr>
      </w:pPr>
    </w:p>
    <w:p w14:paraId="1035E2E8" w14:textId="77777777" w:rsidR="00FF767D" w:rsidRDefault="00FF767D" w:rsidP="006132A6">
      <w:pPr>
        <w:rPr>
          <w:color w:val="000000" w:themeColor="text1"/>
        </w:rPr>
      </w:pPr>
    </w:p>
    <w:p w14:paraId="25EA4048" w14:textId="77777777" w:rsidR="00FF767D" w:rsidRDefault="00FF767D" w:rsidP="006132A6">
      <w:pPr>
        <w:rPr>
          <w:color w:val="000000" w:themeColor="text1"/>
        </w:rPr>
      </w:pPr>
    </w:p>
    <w:p w14:paraId="689DDC89" w14:textId="77777777" w:rsidR="00FF767D" w:rsidRDefault="00FF767D" w:rsidP="006132A6">
      <w:pPr>
        <w:rPr>
          <w:color w:val="000000" w:themeColor="text1"/>
        </w:rPr>
      </w:pPr>
    </w:p>
    <w:p w14:paraId="3F8F19C1" w14:textId="77777777" w:rsidR="00FF767D" w:rsidRDefault="00FF767D" w:rsidP="006132A6">
      <w:pPr>
        <w:rPr>
          <w:color w:val="000000" w:themeColor="text1"/>
        </w:rPr>
      </w:pPr>
    </w:p>
    <w:p w14:paraId="62993B39" w14:textId="77777777" w:rsidR="00FF767D" w:rsidRDefault="00FF767D" w:rsidP="006132A6">
      <w:pPr>
        <w:rPr>
          <w:color w:val="000000" w:themeColor="text1"/>
        </w:rPr>
      </w:pPr>
    </w:p>
    <w:p w14:paraId="2F77E9B4" w14:textId="77777777" w:rsidR="00FF767D" w:rsidRDefault="00FF767D" w:rsidP="006132A6">
      <w:pPr>
        <w:rPr>
          <w:color w:val="000000" w:themeColor="text1"/>
        </w:rPr>
      </w:pPr>
    </w:p>
    <w:p w14:paraId="04078CC0" w14:textId="77777777" w:rsidR="00FF767D" w:rsidRDefault="00FF767D" w:rsidP="006132A6">
      <w:pPr>
        <w:rPr>
          <w:color w:val="000000" w:themeColor="text1"/>
        </w:rPr>
      </w:pPr>
    </w:p>
    <w:p w14:paraId="4F6B7A81" w14:textId="77777777" w:rsidR="00FF767D" w:rsidRDefault="00FF767D" w:rsidP="006132A6">
      <w:pPr>
        <w:rPr>
          <w:color w:val="000000" w:themeColor="text1"/>
        </w:rPr>
      </w:pPr>
    </w:p>
    <w:p w14:paraId="7686120B" w14:textId="77777777" w:rsidR="00FF767D" w:rsidRDefault="00FF767D" w:rsidP="006132A6">
      <w:pPr>
        <w:rPr>
          <w:color w:val="000000" w:themeColor="text1"/>
        </w:rPr>
      </w:pPr>
    </w:p>
    <w:p w14:paraId="1362743F" w14:textId="77777777" w:rsidR="00FF767D" w:rsidRDefault="00FF767D" w:rsidP="006132A6">
      <w:pPr>
        <w:rPr>
          <w:color w:val="000000" w:themeColor="text1"/>
        </w:rPr>
      </w:pPr>
    </w:p>
    <w:p w14:paraId="6AB3140A" w14:textId="77777777" w:rsidR="00393A56" w:rsidRDefault="00393A56" w:rsidP="006132A6">
      <w:pPr>
        <w:rPr>
          <w:color w:val="000000" w:themeColor="text1"/>
        </w:rPr>
      </w:pPr>
    </w:p>
    <w:p w14:paraId="7B45A178" w14:textId="77777777" w:rsidR="00393A56" w:rsidRDefault="00393A56" w:rsidP="006132A6">
      <w:pPr>
        <w:rPr>
          <w:color w:val="000000" w:themeColor="text1"/>
        </w:rPr>
      </w:pPr>
    </w:p>
    <w:p w14:paraId="5BEFA19E" w14:textId="77777777" w:rsidR="00393A56" w:rsidRDefault="00393A56" w:rsidP="006132A6">
      <w:pPr>
        <w:rPr>
          <w:color w:val="000000" w:themeColor="text1"/>
        </w:rPr>
      </w:pPr>
    </w:p>
    <w:p w14:paraId="2E1E9897" w14:textId="77777777" w:rsidR="00FF767D" w:rsidRDefault="00FF767D" w:rsidP="006132A6">
      <w:pPr>
        <w:rPr>
          <w:color w:val="000000" w:themeColor="text1"/>
        </w:rPr>
      </w:pPr>
    </w:p>
    <w:p w14:paraId="6CD7A5B1" w14:textId="77777777" w:rsidR="00FF767D" w:rsidRDefault="00FF767D" w:rsidP="006132A6">
      <w:pPr>
        <w:rPr>
          <w:color w:val="000000" w:themeColor="text1"/>
        </w:rPr>
      </w:pPr>
    </w:p>
    <w:p w14:paraId="17E6AB34" w14:textId="77777777" w:rsidR="00FF767D" w:rsidRDefault="00FF767D" w:rsidP="006132A6">
      <w:pPr>
        <w:rPr>
          <w:color w:val="000000" w:themeColor="text1"/>
        </w:rPr>
      </w:pPr>
    </w:p>
    <w:p w14:paraId="20A79BD1" w14:textId="77777777" w:rsidR="00FF767D" w:rsidRDefault="00FF767D" w:rsidP="006132A6">
      <w:pPr>
        <w:rPr>
          <w:color w:val="000000" w:themeColor="text1"/>
        </w:rPr>
      </w:pPr>
    </w:p>
    <w:p w14:paraId="098F1D34" w14:textId="77777777" w:rsidR="00FF767D" w:rsidRDefault="00FF767D" w:rsidP="006132A6">
      <w:pPr>
        <w:rPr>
          <w:color w:val="000000" w:themeColor="text1"/>
        </w:rPr>
      </w:pPr>
    </w:p>
    <w:p w14:paraId="7E2ED564" w14:textId="77777777" w:rsidR="00CC0725" w:rsidRDefault="00CC0725" w:rsidP="00BE5AFD">
      <w:pPr>
        <w:spacing w:line="259" w:lineRule="auto"/>
        <w:jc w:val="center"/>
        <w:rPr>
          <w:rFonts w:ascii="Arial" w:eastAsia="Calibri" w:hAnsi="Arial" w:cs="Arial"/>
          <w:b/>
        </w:rPr>
      </w:pPr>
      <w:r w:rsidRPr="0009650F">
        <w:rPr>
          <w:rFonts w:ascii="Arial" w:eastAsia="Calibri" w:hAnsi="Arial" w:cs="Arial"/>
          <w:b/>
        </w:rPr>
        <w:lastRenderedPageBreak/>
        <w:t>PRORAČUNSKI KORISNIK 10645: CENTAR LIČE FARAGUNA, LABIN</w:t>
      </w:r>
    </w:p>
    <w:p w14:paraId="14249664" w14:textId="77777777" w:rsidR="002A689D" w:rsidRDefault="002A689D" w:rsidP="00BE5AFD">
      <w:pPr>
        <w:spacing w:line="259" w:lineRule="auto"/>
        <w:rPr>
          <w:color w:val="000000" w:themeColor="text1"/>
        </w:rPr>
      </w:pPr>
    </w:p>
    <w:p w14:paraId="26BAA51B" w14:textId="77777777" w:rsidR="00FF767D" w:rsidRDefault="00FF767D" w:rsidP="00BE5AFD">
      <w:pPr>
        <w:spacing w:line="259" w:lineRule="auto"/>
        <w:jc w:val="center"/>
        <w:rPr>
          <w:rFonts w:ascii="Arial" w:hAnsi="Arial" w:cs="Arial"/>
          <w:b/>
        </w:rPr>
      </w:pPr>
      <w:r>
        <w:rPr>
          <w:rFonts w:ascii="Arial" w:hAnsi="Arial" w:cs="Arial"/>
          <w:b/>
        </w:rPr>
        <w:t>OBRAZLOŽENJE  PRVIH IZMJENA I DOPUNA FINANCIJSKOG PLANA</w:t>
      </w:r>
    </w:p>
    <w:p w14:paraId="615CBFB8" w14:textId="77777777" w:rsidR="00FF767D" w:rsidRDefault="00FF767D" w:rsidP="00BE5AFD">
      <w:pPr>
        <w:spacing w:line="259" w:lineRule="auto"/>
        <w:jc w:val="center"/>
        <w:rPr>
          <w:rFonts w:ascii="Arial" w:hAnsi="Arial" w:cs="Arial"/>
          <w:b/>
        </w:rPr>
      </w:pPr>
      <w:r>
        <w:rPr>
          <w:rFonts w:ascii="Arial" w:hAnsi="Arial" w:cs="Arial"/>
          <w:b/>
        </w:rPr>
        <w:t xml:space="preserve">„CENTRA LIČE FARAGUNA“ LABIN ZA 2025. GODINU </w:t>
      </w:r>
    </w:p>
    <w:p w14:paraId="3E33D78D" w14:textId="77777777" w:rsidR="00FF767D" w:rsidRDefault="00FF767D" w:rsidP="00BE5AFD">
      <w:pPr>
        <w:spacing w:line="259" w:lineRule="auto"/>
        <w:rPr>
          <w:rFonts w:asciiTheme="minorHAnsi" w:hAnsiTheme="minorHAnsi" w:cstheme="minorBidi"/>
          <w:color w:val="FF0000"/>
          <w:sz w:val="22"/>
          <w:szCs w:val="22"/>
        </w:rPr>
      </w:pPr>
    </w:p>
    <w:p w14:paraId="65E110AA" w14:textId="77777777" w:rsidR="00FF767D" w:rsidRDefault="00FF767D" w:rsidP="00BE5AFD">
      <w:pPr>
        <w:spacing w:line="259" w:lineRule="auto"/>
        <w:rPr>
          <w:rFonts w:ascii="Arial" w:hAnsi="Arial" w:cs="Arial"/>
          <w:b/>
        </w:rPr>
      </w:pPr>
      <w:r>
        <w:rPr>
          <w:rFonts w:ascii="Arial" w:hAnsi="Arial" w:cs="Arial"/>
          <w:b/>
          <w:color w:val="FF0000"/>
        </w:rPr>
        <w:t xml:space="preserve"> </w:t>
      </w:r>
      <w:r>
        <w:rPr>
          <w:rFonts w:ascii="Arial" w:hAnsi="Arial" w:cs="Arial"/>
          <w:b/>
        </w:rPr>
        <w:t>OBRAZLOŽENJE OPĆEG DIJELA PLANA PRORAČUNA</w:t>
      </w:r>
    </w:p>
    <w:p w14:paraId="66886F8B" w14:textId="77777777" w:rsidR="00BE5AFD" w:rsidRDefault="00BE5AFD" w:rsidP="00BE5AFD">
      <w:pPr>
        <w:spacing w:line="259" w:lineRule="auto"/>
        <w:rPr>
          <w:rFonts w:ascii="Arial" w:hAnsi="Arial" w:cs="Arial"/>
          <w:b/>
        </w:rPr>
      </w:pPr>
    </w:p>
    <w:p w14:paraId="06493ECD" w14:textId="77777777" w:rsidR="00FF767D" w:rsidRPr="00BE5AFD" w:rsidRDefault="00FF767D">
      <w:pPr>
        <w:pStyle w:val="Odlomakpopisa"/>
        <w:numPr>
          <w:ilvl w:val="0"/>
          <w:numId w:val="26"/>
        </w:numPr>
        <w:spacing w:after="0" w:line="259" w:lineRule="auto"/>
        <w:rPr>
          <w:rFonts w:ascii="Arial" w:hAnsi="Arial" w:cs="Arial"/>
          <w:b/>
          <w:sz w:val="20"/>
          <w:szCs w:val="20"/>
        </w:rPr>
      </w:pPr>
      <w:r w:rsidRPr="00BE5AFD">
        <w:rPr>
          <w:rFonts w:ascii="Arial" w:hAnsi="Arial" w:cs="Arial"/>
          <w:b/>
          <w:sz w:val="20"/>
          <w:szCs w:val="20"/>
        </w:rPr>
        <w:t xml:space="preserve">OPĆENITO O PLANU PRORAČUNA PRORAČUNSKOG  KORISNIKA </w:t>
      </w:r>
    </w:p>
    <w:p w14:paraId="42FAE74F" w14:textId="77777777" w:rsidR="00FF767D" w:rsidRPr="00BE5AFD" w:rsidRDefault="00FF767D" w:rsidP="00BE5AFD">
      <w:pPr>
        <w:spacing w:line="259" w:lineRule="auto"/>
        <w:ind w:firstLine="708"/>
        <w:jc w:val="both"/>
        <w:rPr>
          <w:rFonts w:ascii="Arial" w:eastAsia="Calibri" w:hAnsi="Arial" w:cs="Arial"/>
          <w:sz w:val="22"/>
          <w:szCs w:val="22"/>
        </w:rPr>
      </w:pPr>
      <w:r w:rsidRPr="00BE5AFD">
        <w:rPr>
          <w:rFonts w:ascii="Arial" w:eastAsia="Calibri" w:hAnsi="Arial" w:cs="Arial"/>
          <w:sz w:val="22"/>
          <w:szCs w:val="22"/>
        </w:rPr>
        <w:t xml:space="preserve">Prvim izmjenama i dopunama financijskog plana za 2025. godinu prihodi i primici Centra „Liče </w:t>
      </w:r>
      <w:proofErr w:type="spellStart"/>
      <w:r w:rsidRPr="00BE5AFD">
        <w:rPr>
          <w:rFonts w:ascii="Arial" w:eastAsia="Calibri" w:hAnsi="Arial" w:cs="Arial"/>
          <w:sz w:val="22"/>
          <w:szCs w:val="22"/>
        </w:rPr>
        <w:t>Faraguna</w:t>
      </w:r>
      <w:proofErr w:type="spellEnd"/>
      <w:r w:rsidRPr="00BE5AFD">
        <w:rPr>
          <w:rFonts w:ascii="Arial" w:eastAsia="Calibri" w:hAnsi="Arial" w:cs="Arial"/>
          <w:sz w:val="22"/>
          <w:szCs w:val="22"/>
        </w:rPr>
        <w:t>“ Labin iznose :</w:t>
      </w:r>
    </w:p>
    <w:p w14:paraId="2E889B51" w14:textId="77777777" w:rsidR="00FF767D" w:rsidRPr="00BE5AFD" w:rsidRDefault="00FF767D" w:rsidP="00BE5AFD">
      <w:pPr>
        <w:spacing w:line="259" w:lineRule="auto"/>
        <w:ind w:firstLine="708"/>
        <w:jc w:val="both"/>
        <w:rPr>
          <w:rFonts w:ascii="Arial" w:eastAsia="Calibri" w:hAnsi="Arial" w:cs="Arial"/>
          <w:color w:val="FF0000"/>
          <w:sz w:val="22"/>
          <w:szCs w:val="22"/>
        </w:rPr>
      </w:pPr>
    </w:p>
    <w:p w14:paraId="49BB2F31" w14:textId="1EEC8F23" w:rsidR="00FF767D" w:rsidRPr="00BE5AFD" w:rsidRDefault="00FF767D" w:rsidP="00BE5AFD">
      <w:pPr>
        <w:spacing w:line="259" w:lineRule="auto"/>
        <w:rPr>
          <w:rFonts w:ascii="Arial" w:eastAsia="Calibri" w:hAnsi="Arial" w:cs="Arial"/>
          <w:sz w:val="22"/>
          <w:szCs w:val="22"/>
        </w:rPr>
      </w:pPr>
      <w:r w:rsidRPr="00BE5AFD">
        <w:rPr>
          <w:rFonts w:ascii="Arial" w:eastAsia="Calibri" w:hAnsi="Arial" w:cs="Arial"/>
          <w:sz w:val="22"/>
          <w:szCs w:val="22"/>
        </w:rPr>
        <w:t xml:space="preserve">-  prihoda poslovanja  </w:t>
      </w:r>
      <w:r w:rsidRPr="00BE5AFD">
        <w:rPr>
          <w:rFonts w:ascii="Arial" w:eastAsia="Calibri" w:hAnsi="Arial" w:cs="Arial"/>
          <w:sz w:val="22"/>
          <w:szCs w:val="22"/>
        </w:rPr>
        <w:tab/>
      </w:r>
      <w:r w:rsidRPr="00BE5AFD">
        <w:rPr>
          <w:rFonts w:ascii="Arial" w:eastAsia="Calibri" w:hAnsi="Arial" w:cs="Arial"/>
          <w:sz w:val="22"/>
          <w:szCs w:val="22"/>
        </w:rPr>
        <w:tab/>
      </w:r>
      <w:r w:rsidRPr="00BE5AFD">
        <w:rPr>
          <w:rFonts w:ascii="Arial" w:eastAsia="Calibri" w:hAnsi="Arial" w:cs="Arial"/>
          <w:sz w:val="22"/>
          <w:szCs w:val="22"/>
        </w:rPr>
        <w:tab/>
        <w:t xml:space="preserve">           </w:t>
      </w:r>
      <w:r w:rsidRPr="00BE5AFD">
        <w:rPr>
          <w:rFonts w:ascii="Arial" w:eastAsia="Calibri" w:hAnsi="Arial" w:cs="Arial"/>
          <w:sz w:val="22"/>
          <w:szCs w:val="22"/>
        </w:rPr>
        <w:tab/>
      </w:r>
      <w:r w:rsidRPr="00BE5AFD">
        <w:rPr>
          <w:rFonts w:ascii="Arial" w:eastAsia="Calibri" w:hAnsi="Arial" w:cs="Arial"/>
          <w:sz w:val="22"/>
          <w:szCs w:val="22"/>
        </w:rPr>
        <w:tab/>
      </w:r>
      <w:r w:rsidRPr="00BE5AFD">
        <w:rPr>
          <w:rFonts w:ascii="Arial" w:eastAsia="Calibri" w:hAnsi="Arial" w:cs="Arial"/>
          <w:sz w:val="22"/>
          <w:szCs w:val="22"/>
        </w:rPr>
        <w:tab/>
        <w:t xml:space="preserve">     </w:t>
      </w:r>
      <w:r w:rsidR="00F131FC">
        <w:rPr>
          <w:rFonts w:ascii="Arial" w:eastAsia="Calibri" w:hAnsi="Arial" w:cs="Arial"/>
          <w:sz w:val="22"/>
          <w:szCs w:val="22"/>
        </w:rPr>
        <w:t xml:space="preserve"> </w:t>
      </w:r>
      <w:r w:rsidRPr="00BE5AFD">
        <w:rPr>
          <w:rFonts w:ascii="Arial" w:eastAsia="Calibri" w:hAnsi="Arial" w:cs="Arial"/>
          <w:sz w:val="22"/>
          <w:szCs w:val="22"/>
        </w:rPr>
        <w:t xml:space="preserve">     694.084,00 </w:t>
      </w:r>
      <w:r w:rsidR="00BE5AFD" w:rsidRPr="00BE5AFD">
        <w:rPr>
          <w:rFonts w:ascii="Arial" w:eastAsia="Calibri" w:hAnsi="Arial" w:cs="Arial"/>
          <w:sz w:val="22"/>
          <w:szCs w:val="22"/>
        </w:rPr>
        <w:t>EUR</w:t>
      </w:r>
    </w:p>
    <w:p w14:paraId="193524B1" w14:textId="72961E49" w:rsidR="00FF767D" w:rsidRPr="00BE5AFD" w:rsidRDefault="00FF767D" w:rsidP="00BE5AFD">
      <w:pPr>
        <w:spacing w:line="259" w:lineRule="auto"/>
        <w:jc w:val="both"/>
        <w:rPr>
          <w:rFonts w:ascii="Arial" w:eastAsia="Calibri" w:hAnsi="Arial" w:cs="Arial"/>
          <w:sz w:val="22"/>
          <w:szCs w:val="22"/>
        </w:rPr>
      </w:pPr>
      <w:r w:rsidRPr="00BE5AFD">
        <w:rPr>
          <w:rFonts w:ascii="Arial" w:eastAsia="Calibri" w:hAnsi="Arial" w:cs="Arial"/>
          <w:sz w:val="22"/>
          <w:szCs w:val="22"/>
        </w:rPr>
        <w:t xml:space="preserve">-  prihoda od prodaje nefinancijske imovine                        </w:t>
      </w:r>
      <w:r w:rsidRPr="00BE5AFD">
        <w:rPr>
          <w:rFonts w:ascii="Arial" w:eastAsia="Calibri" w:hAnsi="Arial" w:cs="Arial"/>
          <w:sz w:val="22"/>
          <w:szCs w:val="22"/>
        </w:rPr>
        <w:tab/>
      </w:r>
      <w:r w:rsidRPr="00BE5AFD">
        <w:rPr>
          <w:rFonts w:ascii="Arial" w:eastAsia="Calibri" w:hAnsi="Arial" w:cs="Arial"/>
          <w:sz w:val="22"/>
          <w:szCs w:val="22"/>
        </w:rPr>
        <w:tab/>
      </w:r>
      <w:r w:rsidR="00BE5AFD">
        <w:rPr>
          <w:rFonts w:ascii="Arial" w:eastAsia="Calibri" w:hAnsi="Arial" w:cs="Arial"/>
          <w:sz w:val="22"/>
          <w:szCs w:val="22"/>
        </w:rPr>
        <w:t xml:space="preserve">   </w:t>
      </w:r>
      <w:r w:rsidRPr="00BE5AFD">
        <w:rPr>
          <w:rFonts w:ascii="Arial" w:eastAsia="Calibri" w:hAnsi="Arial" w:cs="Arial"/>
          <w:sz w:val="22"/>
          <w:szCs w:val="22"/>
        </w:rPr>
        <w:tab/>
        <w:t xml:space="preserve">       </w:t>
      </w:r>
      <w:r w:rsidR="00BE5AFD">
        <w:rPr>
          <w:rFonts w:ascii="Arial" w:eastAsia="Calibri" w:hAnsi="Arial" w:cs="Arial"/>
          <w:sz w:val="22"/>
          <w:szCs w:val="22"/>
        </w:rPr>
        <w:t xml:space="preserve">  </w:t>
      </w:r>
      <w:r w:rsidRPr="00BE5AFD">
        <w:rPr>
          <w:rFonts w:ascii="Arial" w:eastAsia="Calibri" w:hAnsi="Arial" w:cs="Arial"/>
          <w:sz w:val="22"/>
          <w:szCs w:val="22"/>
        </w:rPr>
        <w:t xml:space="preserve"> 0,00 </w:t>
      </w:r>
      <w:r w:rsidR="00BE5AFD" w:rsidRPr="00BE5AFD">
        <w:rPr>
          <w:rFonts w:ascii="Arial" w:eastAsia="Calibri" w:hAnsi="Arial" w:cs="Arial"/>
          <w:sz w:val="22"/>
          <w:szCs w:val="22"/>
        </w:rPr>
        <w:t>EUR</w:t>
      </w:r>
    </w:p>
    <w:p w14:paraId="1B6DC34F" w14:textId="743BEBB5" w:rsidR="00BE5AFD" w:rsidRDefault="00FF767D" w:rsidP="00BE5AFD">
      <w:pPr>
        <w:spacing w:line="259" w:lineRule="auto"/>
        <w:jc w:val="both"/>
        <w:rPr>
          <w:rFonts w:ascii="Arial" w:eastAsia="Calibri" w:hAnsi="Arial" w:cs="Arial"/>
          <w:sz w:val="22"/>
          <w:szCs w:val="22"/>
        </w:rPr>
      </w:pPr>
      <w:r w:rsidRPr="00BE5AFD">
        <w:rPr>
          <w:rFonts w:ascii="Arial" w:eastAsia="Calibri" w:hAnsi="Arial" w:cs="Arial"/>
          <w:sz w:val="22"/>
          <w:szCs w:val="22"/>
        </w:rPr>
        <w:t>- višak prihoda poslovanja 2024.godine</w:t>
      </w:r>
      <w:r w:rsidRPr="00BE5AFD">
        <w:rPr>
          <w:rFonts w:ascii="Arial" w:eastAsia="Calibri" w:hAnsi="Arial" w:cs="Arial"/>
          <w:sz w:val="22"/>
          <w:szCs w:val="22"/>
        </w:rPr>
        <w:tab/>
        <w:t xml:space="preserve">                                   </w:t>
      </w:r>
      <w:r w:rsidR="00BE5AFD">
        <w:rPr>
          <w:rFonts w:ascii="Arial" w:eastAsia="Calibri" w:hAnsi="Arial" w:cs="Arial"/>
          <w:sz w:val="22"/>
          <w:szCs w:val="22"/>
        </w:rPr>
        <w:t xml:space="preserve">  </w:t>
      </w:r>
      <w:r w:rsidR="00BE5AFD" w:rsidRPr="00BE5AFD">
        <w:rPr>
          <w:rFonts w:ascii="Arial" w:eastAsia="Calibri" w:hAnsi="Arial" w:cs="Arial"/>
          <w:sz w:val="22"/>
          <w:szCs w:val="22"/>
        </w:rPr>
        <w:t xml:space="preserve">   </w:t>
      </w:r>
      <w:r w:rsidRPr="00BE5AFD">
        <w:rPr>
          <w:rFonts w:ascii="Arial" w:eastAsia="Calibri" w:hAnsi="Arial" w:cs="Arial"/>
          <w:sz w:val="22"/>
          <w:szCs w:val="22"/>
        </w:rPr>
        <w:t xml:space="preserve">    </w:t>
      </w:r>
      <w:r w:rsidR="00F131FC">
        <w:rPr>
          <w:rFonts w:ascii="Arial" w:eastAsia="Calibri" w:hAnsi="Arial" w:cs="Arial"/>
          <w:sz w:val="22"/>
          <w:szCs w:val="22"/>
        </w:rPr>
        <w:t xml:space="preserve"> </w:t>
      </w:r>
      <w:r w:rsidRPr="00BE5AFD">
        <w:rPr>
          <w:rFonts w:ascii="Arial" w:eastAsia="Calibri" w:hAnsi="Arial" w:cs="Arial"/>
          <w:sz w:val="22"/>
          <w:szCs w:val="22"/>
        </w:rPr>
        <w:t xml:space="preserve">     8.357,00</w:t>
      </w:r>
      <w:r w:rsidR="00BE5AFD">
        <w:rPr>
          <w:rFonts w:ascii="Arial" w:eastAsia="Calibri" w:hAnsi="Arial" w:cs="Arial"/>
          <w:sz w:val="22"/>
          <w:szCs w:val="22"/>
        </w:rPr>
        <w:t xml:space="preserve"> </w:t>
      </w:r>
      <w:r w:rsidR="00BE5AFD" w:rsidRPr="00BE5AFD">
        <w:rPr>
          <w:rFonts w:ascii="Arial" w:eastAsia="Calibri" w:hAnsi="Arial" w:cs="Arial"/>
          <w:sz w:val="22"/>
          <w:szCs w:val="22"/>
        </w:rPr>
        <w:t>EUR</w:t>
      </w:r>
    </w:p>
    <w:p w14:paraId="26CD4A42" w14:textId="76EA73EA" w:rsidR="00FF767D" w:rsidRPr="00BE5AFD" w:rsidRDefault="00FF767D" w:rsidP="00BE5AFD">
      <w:pPr>
        <w:spacing w:line="259" w:lineRule="auto"/>
        <w:jc w:val="both"/>
        <w:rPr>
          <w:rFonts w:ascii="Arial" w:eastAsia="Calibri" w:hAnsi="Arial" w:cs="Arial"/>
          <w:sz w:val="22"/>
          <w:szCs w:val="22"/>
        </w:rPr>
      </w:pPr>
      <w:r w:rsidRPr="00BE5AFD">
        <w:rPr>
          <w:rFonts w:ascii="Arial" w:eastAsia="Calibri" w:hAnsi="Arial" w:cs="Arial"/>
          <w:sz w:val="22"/>
          <w:szCs w:val="22"/>
        </w:rPr>
        <w:tab/>
      </w:r>
      <w:r w:rsidRPr="00BE5AFD">
        <w:rPr>
          <w:rFonts w:ascii="Arial" w:eastAsia="Calibri" w:hAnsi="Arial" w:cs="Arial"/>
          <w:sz w:val="22"/>
          <w:szCs w:val="22"/>
        </w:rPr>
        <w:tab/>
      </w:r>
      <w:r w:rsidRPr="00BE5AFD">
        <w:rPr>
          <w:rFonts w:ascii="Arial" w:eastAsia="Calibri" w:hAnsi="Arial" w:cs="Arial"/>
          <w:sz w:val="22"/>
          <w:szCs w:val="22"/>
        </w:rPr>
        <w:tab/>
      </w:r>
      <w:r w:rsidRPr="00BE5AFD">
        <w:rPr>
          <w:rFonts w:ascii="Arial" w:eastAsia="Calibri" w:hAnsi="Arial" w:cs="Arial"/>
          <w:sz w:val="22"/>
          <w:szCs w:val="22"/>
        </w:rPr>
        <w:tab/>
      </w:r>
      <w:r w:rsidRPr="00BE5AFD">
        <w:rPr>
          <w:rFonts w:ascii="Arial" w:eastAsia="Calibri" w:hAnsi="Arial" w:cs="Arial"/>
          <w:sz w:val="22"/>
          <w:szCs w:val="22"/>
        </w:rPr>
        <w:tab/>
      </w:r>
      <w:r w:rsidRPr="00BE5AFD">
        <w:rPr>
          <w:rFonts w:ascii="Arial" w:eastAsia="Calibri" w:hAnsi="Arial" w:cs="Arial"/>
          <w:sz w:val="22"/>
          <w:szCs w:val="22"/>
        </w:rPr>
        <w:tab/>
      </w:r>
      <w:r w:rsidRPr="00BE5AFD">
        <w:rPr>
          <w:rFonts w:ascii="Arial" w:eastAsia="Calibri" w:hAnsi="Arial" w:cs="Arial"/>
          <w:sz w:val="22"/>
          <w:szCs w:val="22"/>
        </w:rPr>
        <w:tab/>
      </w:r>
      <w:r w:rsidRPr="00BE5AFD">
        <w:rPr>
          <w:rFonts w:ascii="Arial" w:eastAsia="Calibri" w:hAnsi="Arial" w:cs="Arial"/>
          <w:sz w:val="22"/>
          <w:szCs w:val="22"/>
        </w:rPr>
        <w:tab/>
      </w:r>
      <w:r w:rsidRPr="00BE5AFD">
        <w:rPr>
          <w:rFonts w:ascii="Arial" w:eastAsia="Calibri" w:hAnsi="Arial" w:cs="Arial"/>
          <w:sz w:val="22"/>
          <w:szCs w:val="22"/>
        </w:rPr>
        <w:tab/>
      </w:r>
      <w:r w:rsidRPr="00BE5AFD">
        <w:rPr>
          <w:rFonts w:ascii="Arial" w:eastAsia="Calibri" w:hAnsi="Arial" w:cs="Arial"/>
          <w:sz w:val="22"/>
          <w:szCs w:val="22"/>
        </w:rPr>
        <w:tab/>
      </w:r>
      <w:r w:rsidR="00BE5AFD" w:rsidRPr="00BE5AFD">
        <w:rPr>
          <w:rFonts w:ascii="Arial" w:eastAsia="Calibri" w:hAnsi="Arial" w:cs="Arial"/>
          <w:sz w:val="22"/>
          <w:szCs w:val="22"/>
        </w:rPr>
        <w:t xml:space="preserve">  </w:t>
      </w:r>
      <w:r w:rsidRPr="00BE5AFD">
        <w:rPr>
          <w:rFonts w:ascii="Arial" w:eastAsia="Calibri" w:hAnsi="Arial" w:cs="Arial"/>
          <w:sz w:val="22"/>
          <w:szCs w:val="22"/>
        </w:rPr>
        <w:tab/>
      </w:r>
    </w:p>
    <w:p w14:paraId="2CA6830B" w14:textId="77777777" w:rsidR="00FF767D" w:rsidRPr="00BE5AFD" w:rsidRDefault="00FF767D" w:rsidP="00BE5AFD">
      <w:pPr>
        <w:spacing w:line="259" w:lineRule="auto"/>
        <w:jc w:val="both"/>
        <w:rPr>
          <w:rFonts w:ascii="Arial" w:eastAsia="Calibri" w:hAnsi="Arial" w:cs="Arial"/>
          <w:sz w:val="22"/>
          <w:szCs w:val="22"/>
        </w:rPr>
      </w:pPr>
    </w:p>
    <w:p w14:paraId="0AFE1843" w14:textId="77777777" w:rsidR="00FF767D" w:rsidRPr="00BE5AFD" w:rsidRDefault="00FF767D" w:rsidP="00BE5AFD">
      <w:pPr>
        <w:spacing w:line="259" w:lineRule="auto"/>
        <w:jc w:val="both"/>
        <w:rPr>
          <w:rFonts w:ascii="Arial" w:eastAsia="Calibri" w:hAnsi="Arial" w:cs="Arial"/>
          <w:sz w:val="22"/>
          <w:szCs w:val="22"/>
        </w:rPr>
      </w:pPr>
      <w:r w:rsidRPr="00BE5AFD">
        <w:rPr>
          <w:rFonts w:ascii="Arial" w:eastAsia="Calibri" w:hAnsi="Arial" w:cs="Arial"/>
          <w:sz w:val="22"/>
          <w:szCs w:val="22"/>
        </w:rPr>
        <w:t xml:space="preserve">Prvim izmjenama i dopunama financijskog plana za 2025.godinu </w:t>
      </w:r>
      <w:proofErr w:type="spellStart"/>
      <w:r w:rsidRPr="00BE5AFD">
        <w:rPr>
          <w:rFonts w:ascii="Arial" w:hAnsi="Arial" w:cs="Arial"/>
          <w:sz w:val="22"/>
          <w:szCs w:val="22"/>
          <w:lang w:val="en-GB"/>
        </w:rPr>
        <w:t>rashodi</w:t>
      </w:r>
      <w:proofErr w:type="spellEnd"/>
      <w:r w:rsidRPr="00BE5AFD">
        <w:rPr>
          <w:rFonts w:ascii="Arial" w:hAnsi="Arial" w:cs="Arial"/>
          <w:sz w:val="22"/>
          <w:szCs w:val="22"/>
          <w:lang w:val="en-GB"/>
        </w:rPr>
        <w:t xml:space="preserve"> </w:t>
      </w:r>
      <w:proofErr w:type="spellStart"/>
      <w:r w:rsidRPr="00BE5AFD">
        <w:rPr>
          <w:rFonts w:ascii="Arial" w:hAnsi="Arial" w:cs="Arial"/>
          <w:sz w:val="22"/>
          <w:szCs w:val="22"/>
          <w:lang w:val="en-GB"/>
        </w:rPr>
        <w:t>i</w:t>
      </w:r>
      <w:proofErr w:type="spellEnd"/>
      <w:r w:rsidRPr="00BE5AFD">
        <w:rPr>
          <w:rFonts w:ascii="Arial" w:hAnsi="Arial" w:cs="Arial"/>
          <w:sz w:val="22"/>
          <w:szCs w:val="22"/>
          <w:lang w:val="en-GB"/>
        </w:rPr>
        <w:t xml:space="preserve"> </w:t>
      </w:r>
      <w:proofErr w:type="spellStart"/>
      <w:r w:rsidRPr="00BE5AFD">
        <w:rPr>
          <w:rFonts w:ascii="Arial" w:hAnsi="Arial" w:cs="Arial"/>
          <w:sz w:val="22"/>
          <w:szCs w:val="22"/>
          <w:lang w:val="en-GB"/>
        </w:rPr>
        <w:t>izdaci</w:t>
      </w:r>
      <w:proofErr w:type="spellEnd"/>
      <w:r w:rsidRPr="00BE5AFD">
        <w:rPr>
          <w:rFonts w:ascii="Arial" w:hAnsi="Arial" w:cs="Arial"/>
          <w:sz w:val="22"/>
          <w:szCs w:val="22"/>
          <w:lang w:val="en-GB"/>
        </w:rPr>
        <w:t xml:space="preserve"> Centra “</w:t>
      </w:r>
      <w:proofErr w:type="spellStart"/>
      <w:r w:rsidRPr="00BE5AFD">
        <w:rPr>
          <w:rFonts w:ascii="Arial" w:hAnsi="Arial" w:cs="Arial"/>
          <w:sz w:val="22"/>
          <w:szCs w:val="22"/>
          <w:lang w:val="en-GB"/>
        </w:rPr>
        <w:t>Liče</w:t>
      </w:r>
      <w:proofErr w:type="spellEnd"/>
      <w:r w:rsidRPr="00BE5AFD">
        <w:rPr>
          <w:rFonts w:ascii="Arial" w:hAnsi="Arial" w:cs="Arial"/>
          <w:sz w:val="22"/>
          <w:szCs w:val="22"/>
          <w:lang w:val="en-GB"/>
        </w:rPr>
        <w:t xml:space="preserve"> Faraguna” za 2025.godinu </w:t>
      </w:r>
      <w:proofErr w:type="spellStart"/>
      <w:r w:rsidRPr="00BE5AFD">
        <w:rPr>
          <w:rFonts w:ascii="Arial" w:hAnsi="Arial" w:cs="Arial"/>
          <w:sz w:val="22"/>
          <w:szCs w:val="22"/>
          <w:lang w:val="en-GB"/>
        </w:rPr>
        <w:t>iznose</w:t>
      </w:r>
      <w:proofErr w:type="spellEnd"/>
      <w:r w:rsidRPr="00BE5AFD">
        <w:rPr>
          <w:rFonts w:ascii="Arial" w:hAnsi="Arial" w:cs="Arial"/>
          <w:sz w:val="22"/>
          <w:szCs w:val="22"/>
          <w:lang w:val="en-GB"/>
        </w:rPr>
        <w:t>:</w:t>
      </w:r>
    </w:p>
    <w:p w14:paraId="751454D1" w14:textId="68A1B6BE" w:rsidR="00FF767D" w:rsidRPr="00BE5AFD" w:rsidRDefault="00FF767D" w:rsidP="00BE5AFD">
      <w:pPr>
        <w:spacing w:line="259" w:lineRule="auto"/>
        <w:jc w:val="both"/>
        <w:rPr>
          <w:rFonts w:ascii="Arial" w:eastAsiaTheme="minorHAnsi" w:hAnsi="Arial" w:cs="Arial"/>
          <w:sz w:val="22"/>
          <w:szCs w:val="22"/>
        </w:rPr>
      </w:pPr>
      <w:r w:rsidRPr="00BE5AFD">
        <w:rPr>
          <w:rFonts w:ascii="Arial" w:hAnsi="Arial" w:cs="Arial"/>
          <w:sz w:val="22"/>
          <w:szCs w:val="22"/>
        </w:rPr>
        <w:t xml:space="preserve">- rashodi poslovanja                                                         </w:t>
      </w:r>
      <w:r w:rsidRPr="00BE5AFD">
        <w:rPr>
          <w:rFonts w:ascii="Arial" w:hAnsi="Arial" w:cs="Arial"/>
          <w:sz w:val="22"/>
          <w:szCs w:val="22"/>
        </w:rPr>
        <w:tab/>
      </w:r>
      <w:r w:rsidR="00BE5AFD" w:rsidRPr="00BE5AFD">
        <w:rPr>
          <w:rFonts w:ascii="Arial" w:hAnsi="Arial" w:cs="Arial"/>
          <w:sz w:val="22"/>
          <w:szCs w:val="22"/>
        </w:rPr>
        <w:t xml:space="preserve">      </w:t>
      </w:r>
      <w:r w:rsidRPr="00BE5AFD">
        <w:rPr>
          <w:rFonts w:ascii="Arial" w:hAnsi="Arial" w:cs="Arial"/>
          <w:sz w:val="22"/>
          <w:szCs w:val="22"/>
        </w:rPr>
        <w:t xml:space="preserve">      </w:t>
      </w:r>
      <w:r w:rsidR="00BE5AFD" w:rsidRPr="00BE5AFD">
        <w:rPr>
          <w:rFonts w:ascii="Arial" w:hAnsi="Arial" w:cs="Arial"/>
          <w:sz w:val="22"/>
          <w:szCs w:val="22"/>
        </w:rPr>
        <w:t xml:space="preserve">       </w:t>
      </w:r>
      <w:r w:rsidR="00F131FC">
        <w:rPr>
          <w:rFonts w:ascii="Arial" w:hAnsi="Arial" w:cs="Arial"/>
          <w:sz w:val="22"/>
          <w:szCs w:val="22"/>
        </w:rPr>
        <w:t xml:space="preserve">  </w:t>
      </w:r>
      <w:r w:rsidRPr="00BE5AFD">
        <w:rPr>
          <w:rFonts w:ascii="Arial" w:hAnsi="Arial" w:cs="Arial"/>
          <w:sz w:val="22"/>
          <w:szCs w:val="22"/>
        </w:rPr>
        <w:t xml:space="preserve">    692.874,00</w:t>
      </w:r>
      <w:r w:rsidR="00BE5AFD" w:rsidRPr="00BE5AFD">
        <w:rPr>
          <w:rFonts w:ascii="Arial" w:hAnsi="Arial" w:cs="Arial"/>
          <w:sz w:val="22"/>
          <w:szCs w:val="22"/>
        </w:rPr>
        <w:t xml:space="preserve"> EUR</w:t>
      </w:r>
    </w:p>
    <w:p w14:paraId="2806D1A2" w14:textId="68B83C2F" w:rsidR="00FF767D" w:rsidRPr="00BE5AFD" w:rsidRDefault="00FF767D" w:rsidP="00BE5AFD">
      <w:pPr>
        <w:spacing w:line="259" w:lineRule="auto"/>
        <w:jc w:val="both"/>
        <w:rPr>
          <w:rFonts w:ascii="Arial" w:hAnsi="Arial" w:cs="Arial"/>
          <w:sz w:val="22"/>
          <w:szCs w:val="22"/>
        </w:rPr>
      </w:pPr>
      <w:r w:rsidRPr="00BE5AFD">
        <w:rPr>
          <w:rFonts w:ascii="Arial" w:hAnsi="Arial" w:cs="Arial"/>
          <w:sz w:val="22"/>
          <w:szCs w:val="22"/>
        </w:rPr>
        <w:t xml:space="preserve">- rashode za nabavu nefinancijske imovine                          </w:t>
      </w:r>
      <w:r w:rsidR="00BE5AFD">
        <w:rPr>
          <w:rFonts w:ascii="Arial" w:hAnsi="Arial" w:cs="Arial"/>
          <w:sz w:val="22"/>
          <w:szCs w:val="22"/>
        </w:rPr>
        <w:t xml:space="preserve">  </w:t>
      </w:r>
      <w:r w:rsidR="00F131FC">
        <w:rPr>
          <w:rFonts w:ascii="Arial" w:hAnsi="Arial" w:cs="Arial"/>
          <w:sz w:val="22"/>
          <w:szCs w:val="22"/>
        </w:rPr>
        <w:t xml:space="preserve">  </w:t>
      </w:r>
      <w:r w:rsidRPr="00BE5AFD">
        <w:rPr>
          <w:rFonts w:ascii="Arial" w:hAnsi="Arial" w:cs="Arial"/>
          <w:sz w:val="22"/>
          <w:szCs w:val="22"/>
        </w:rPr>
        <w:tab/>
        <w:t xml:space="preserve">             </w:t>
      </w:r>
      <w:r w:rsidR="00BE5AFD">
        <w:rPr>
          <w:rFonts w:ascii="Arial" w:hAnsi="Arial" w:cs="Arial"/>
          <w:sz w:val="22"/>
          <w:szCs w:val="22"/>
        </w:rPr>
        <w:t xml:space="preserve">  </w:t>
      </w:r>
      <w:r w:rsidRPr="00BE5AFD">
        <w:rPr>
          <w:rFonts w:ascii="Arial" w:hAnsi="Arial" w:cs="Arial"/>
          <w:sz w:val="22"/>
          <w:szCs w:val="22"/>
        </w:rPr>
        <w:t xml:space="preserve"> </w:t>
      </w:r>
      <w:r w:rsidR="00F131FC">
        <w:rPr>
          <w:rFonts w:ascii="Arial" w:hAnsi="Arial" w:cs="Arial"/>
          <w:sz w:val="22"/>
          <w:szCs w:val="22"/>
        </w:rPr>
        <w:t xml:space="preserve"> </w:t>
      </w:r>
      <w:r w:rsidRPr="00BE5AFD">
        <w:rPr>
          <w:rFonts w:ascii="Arial" w:hAnsi="Arial" w:cs="Arial"/>
          <w:sz w:val="22"/>
          <w:szCs w:val="22"/>
        </w:rPr>
        <w:t xml:space="preserve">8.000,00 </w:t>
      </w:r>
      <w:r w:rsidR="00BE5AFD" w:rsidRPr="00BE5AFD">
        <w:rPr>
          <w:rFonts w:ascii="Arial" w:hAnsi="Arial" w:cs="Arial"/>
          <w:sz w:val="22"/>
          <w:szCs w:val="22"/>
        </w:rPr>
        <w:t>EUR</w:t>
      </w:r>
    </w:p>
    <w:p w14:paraId="28A5097F" w14:textId="08BDE51A" w:rsidR="00FF767D" w:rsidRPr="00BE5AFD" w:rsidRDefault="00FF767D" w:rsidP="00BE5AFD">
      <w:pPr>
        <w:spacing w:line="259" w:lineRule="auto"/>
        <w:jc w:val="both"/>
        <w:rPr>
          <w:rFonts w:ascii="Arial" w:hAnsi="Arial" w:cs="Arial"/>
          <w:sz w:val="22"/>
          <w:szCs w:val="22"/>
        </w:rPr>
      </w:pPr>
      <w:r w:rsidRPr="00BE5AFD">
        <w:rPr>
          <w:rFonts w:ascii="Arial" w:hAnsi="Arial" w:cs="Arial"/>
          <w:sz w:val="22"/>
          <w:szCs w:val="22"/>
        </w:rPr>
        <w:t>- manjak prihoda poslovanja 2024.god.</w:t>
      </w:r>
      <w:r w:rsidRPr="00BE5AFD">
        <w:rPr>
          <w:rFonts w:ascii="Arial" w:hAnsi="Arial" w:cs="Arial"/>
          <w:sz w:val="22"/>
          <w:szCs w:val="22"/>
        </w:rPr>
        <w:tab/>
      </w:r>
      <w:r w:rsidRPr="00BE5AFD">
        <w:rPr>
          <w:rFonts w:ascii="Arial" w:hAnsi="Arial" w:cs="Arial"/>
          <w:sz w:val="22"/>
          <w:szCs w:val="22"/>
        </w:rPr>
        <w:tab/>
      </w:r>
      <w:r w:rsidRPr="00BE5AFD">
        <w:rPr>
          <w:rFonts w:ascii="Arial" w:hAnsi="Arial" w:cs="Arial"/>
          <w:sz w:val="22"/>
          <w:szCs w:val="22"/>
        </w:rPr>
        <w:tab/>
      </w:r>
      <w:r w:rsidRPr="00BE5AFD">
        <w:rPr>
          <w:rFonts w:ascii="Arial" w:hAnsi="Arial" w:cs="Arial"/>
          <w:sz w:val="22"/>
          <w:szCs w:val="22"/>
        </w:rPr>
        <w:tab/>
      </w:r>
      <w:r w:rsidRPr="00BE5AFD">
        <w:rPr>
          <w:rFonts w:ascii="Arial" w:hAnsi="Arial" w:cs="Arial"/>
          <w:sz w:val="22"/>
          <w:szCs w:val="22"/>
        </w:rPr>
        <w:tab/>
      </w:r>
      <w:r w:rsidR="00BE5AFD">
        <w:rPr>
          <w:rFonts w:ascii="Arial" w:hAnsi="Arial" w:cs="Arial"/>
          <w:sz w:val="22"/>
          <w:szCs w:val="22"/>
        </w:rPr>
        <w:t xml:space="preserve">    </w:t>
      </w:r>
      <w:r w:rsidRPr="00BE5AFD">
        <w:rPr>
          <w:rFonts w:ascii="Arial" w:hAnsi="Arial" w:cs="Arial"/>
          <w:sz w:val="22"/>
          <w:szCs w:val="22"/>
        </w:rPr>
        <w:t xml:space="preserve"> 1.567,00 </w:t>
      </w:r>
      <w:r w:rsidR="00BE5AFD" w:rsidRPr="00BE5AFD">
        <w:rPr>
          <w:rFonts w:ascii="Arial" w:hAnsi="Arial" w:cs="Arial"/>
          <w:sz w:val="22"/>
          <w:szCs w:val="22"/>
        </w:rPr>
        <w:t>EUR</w:t>
      </w:r>
    </w:p>
    <w:p w14:paraId="5E6A1837" w14:textId="77777777" w:rsidR="00FF767D" w:rsidRPr="00BE5AFD" w:rsidRDefault="00FF767D" w:rsidP="00BE5AFD">
      <w:pPr>
        <w:spacing w:line="259" w:lineRule="auto"/>
        <w:jc w:val="both"/>
        <w:rPr>
          <w:rFonts w:ascii="Arial" w:hAnsi="Arial" w:cs="Arial"/>
          <w:sz w:val="22"/>
          <w:szCs w:val="22"/>
        </w:rPr>
      </w:pPr>
    </w:p>
    <w:p w14:paraId="272FCFF9" w14:textId="77777777" w:rsidR="00FF767D" w:rsidRPr="00BE5AFD" w:rsidRDefault="00FF767D" w:rsidP="00BE5AFD">
      <w:pPr>
        <w:spacing w:line="259" w:lineRule="auto"/>
        <w:ind w:firstLine="708"/>
        <w:jc w:val="both"/>
        <w:rPr>
          <w:rFonts w:ascii="Arial" w:hAnsi="Arial" w:cs="Arial"/>
          <w:sz w:val="22"/>
          <w:szCs w:val="22"/>
        </w:rPr>
      </w:pPr>
      <w:r w:rsidRPr="00BE5AFD">
        <w:rPr>
          <w:rFonts w:ascii="Arial" w:hAnsi="Arial" w:cs="Arial"/>
          <w:sz w:val="22"/>
          <w:szCs w:val="22"/>
        </w:rPr>
        <w:t>U nastavku obrazloženja daje se tabelarni prikaz plana prihoda i primitaka te rashoda i izdataka po skupinama i podskupinama za 2025.godinu sa planom za 2025.godinu i prvim izmjenama i dopunama financijskog plana za 2025.godinu te indeks.</w:t>
      </w:r>
    </w:p>
    <w:p w14:paraId="704A3CB3" w14:textId="77777777" w:rsidR="00FF767D" w:rsidRPr="00BE5AFD" w:rsidRDefault="00FF767D" w:rsidP="00BE5AFD">
      <w:pPr>
        <w:spacing w:line="259" w:lineRule="auto"/>
        <w:ind w:firstLine="708"/>
        <w:rPr>
          <w:rFonts w:ascii="Arial" w:hAnsi="Arial" w:cs="Arial"/>
          <w:sz w:val="22"/>
          <w:szCs w:val="22"/>
        </w:rPr>
      </w:pPr>
    </w:p>
    <w:p w14:paraId="6B079689" w14:textId="77777777" w:rsidR="00FF767D" w:rsidRDefault="00FF767D" w:rsidP="00FF767D">
      <w:pPr>
        <w:rPr>
          <w:rFonts w:ascii="Arial" w:hAnsi="Arial" w:cs="Arial"/>
          <w:sz w:val="20"/>
          <w:szCs w:val="20"/>
        </w:rPr>
      </w:pPr>
      <w:r>
        <w:rPr>
          <w:rFonts w:ascii="Arial" w:hAnsi="Arial" w:cs="Arial"/>
          <w:sz w:val="20"/>
          <w:szCs w:val="20"/>
        </w:rPr>
        <w:t xml:space="preserve">TABLICA 1.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sz w:val="20"/>
          <w:szCs w:val="20"/>
        </w:rPr>
        <w:t xml:space="preserve">            - EUR</w:t>
      </w:r>
    </w:p>
    <w:tbl>
      <w:tblPr>
        <w:tblStyle w:val="Reetkatablice"/>
        <w:tblW w:w="9464" w:type="dxa"/>
        <w:tblLook w:val="04A0" w:firstRow="1" w:lastRow="0" w:firstColumn="1" w:lastColumn="0" w:noHBand="0" w:noVBand="1"/>
      </w:tblPr>
      <w:tblGrid>
        <w:gridCol w:w="1004"/>
        <w:gridCol w:w="2801"/>
        <w:gridCol w:w="1546"/>
        <w:gridCol w:w="1350"/>
        <w:gridCol w:w="1546"/>
        <w:gridCol w:w="1217"/>
      </w:tblGrid>
      <w:tr w:rsidR="00FF767D" w:rsidRPr="00BE5AFD" w14:paraId="72A52807" w14:textId="77777777" w:rsidTr="00FF767D">
        <w:tc>
          <w:tcPr>
            <w:tcW w:w="1004" w:type="dxa"/>
            <w:tcBorders>
              <w:top w:val="single" w:sz="4" w:space="0" w:color="auto"/>
              <w:left w:val="single" w:sz="4" w:space="0" w:color="auto"/>
              <w:bottom w:val="single" w:sz="4" w:space="0" w:color="auto"/>
              <w:right w:val="single" w:sz="4" w:space="0" w:color="auto"/>
            </w:tcBorders>
            <w:hideMark/>
          </w:tcPr>
          <w:p w14:paraId="1D26FB2F" w14:textId="77777777" w:rsidR="00FF767D" w:rsidRPr="00BE5AFD" w:rsidRDefault="00FF767D">
            <w:pPr>
              <w:jc w:val="center"/>
              <w:rPr>
                <w:rFonts w:ascii="Arial" w:hAnsi="Arial" w:cs="Arial"/>
                <w:b/>
                <w:sz w:val="20"/>
                <w:szCs w:val="20"/>
              </w:rPr>
            </w:pPr>
            <w:r w:rsidRPr="00BE5AFD">
              <w:rPr>
                <w:rFonts w:ascii="Arial" w:hAnsi="Arial" w:cs="Arial"/>
                <w:b/>
                <w:sz w:val="20"/>
                <w:szCs w:val="20"/>
              </w:rPr>
              <w:t>KONTO</w:t>
            </w:r>
          </w:p>
        </w:tc>
        <w:tc>
          <w:tcPr>
            <w:tcW w:w="2801" w:type="dxa"/>
            <w:tcBorders>
              <w:top w:val="single" w:sz="4" w:space="0" w:color="auto"/>
              <w:left w:val="single" w:sz="4" w:space="0" w:color="auto"/>
              <w:bottom w:val="single" w:sz="4" w:space="0" w:color="auto"/>
              <w:right w:val="single" w:sz="4" w:space="0" w:color="auto"/>
            </w:tcBorders>
            <w:hideMark/>
          </w:tcPr>
          <w:p w14:paraId="7B7F05D3" w14:textId="77777777" w:rsidR="00FF767D" w:rsidRPr="00BE5AFD" w:rsidRDefault="00FF767D">
            <w:pPr>
              <w:jc w:val="center"/>
              <w:rPr>
                <w:rFonts w:ascii="Arial" w:hAnsi="Arial" w:cs="Arial"/>
                <w:b/>
                <w:sz w:val="20"/>
                <w:szCs w:val="20"/>
              </w:rPr>
            </w:pPr>
            <w:r w:rsidRPr="00BE5AFD">
              <w:rPr>
                <w:rFonts w:ascii="Arial" w:hAnsi="Arial" w:cs="Arial"/>
                <w:b/>
                <w:sz w:val="20"/>
                <w:szCs w:val="20"/>
              </w:rPr>
              <w:t>VRSTA PRIHODA I PRIMITAKA</w:t>
            </w:r>
          </w:p>
        </w:tc>
        <w:tc>
          <w:tcPr>
            <w:tcW w:w="1546" w:type="dxa"/>
            <w:tcBorders>
              <w:top w:val="single" w:sz="4" w:space="0" w:color="auto"/>
              <w:left w:val="single" w:sz="4" w:space="0" w:color="auto"/>
              <w:bottom w:val="single" w:sz="4" w:space="0" w:color="auto"/>
              <w:right w:val="single" w:sz="4" w:space="0" w:color="auto"/>
            </w:tcBorders>
            <w:hideMark/>
          </w:tcPr>
          <w:p w14:paraId="530F61FE" w14:textId="77777777" w:rsidR="00FF767D" w:rsidRPr="00BE5AFD" w:rsidRDefault="00FF767D">
            <w:pPr>
              <w:jc w:val="center"/>
              <w:rPr>
                <w:rFonts w:ascii="Arial" w:hAnsi="Arial" w:cs="Arial"/>
                <w:b/>
                <w:sz w:val="20"/>
                <w:szCs w:val="20"/>
              </w:rPr>
            </w:pPr>
            <w:r w:rsidRPr="00BE5AFD">
              <w:rPr>
                <w:rFonts w:ascii="Arial" w:hAnsi="Arial" w:cs="Arial"/>
                <w:b/>
                <w:sz w:val="20"/>
                <w:szCs w:val="20"/>
              </w:rPr>
              <w:t>2025.-</w:t>
            </w:r>
          </w:p>
          <w:p w14:paraId="102F2E4F" w14:textId="77777777" w:rsidR="00FF767D" w:rsidRPr="00BE5AFD" w:rsidRDefault="00FF767D">
            <w:pPr>
              <w:jc w:val="center"/>
              <w:rPr>
                <w:rFonts w:ascii="Arial" w:hAnsi="Arial" w:cs="Arial"/>
                <w:b/>
                <w:sz w:val="20"/>
                <w:szCs w:val="20"/>
              </w:rPr>
            </w:pPr>
            <w:r w:rsidRPr="00BE5AFD">
              <w:rPr>
                <w:rFonts w:ascii="Arial" w:hAnsi="Arial" w:cs="Arial"/>
                <w:b/>
                <w:sz w:val="20"/>
                <w:szCs w:val="20"/>
              </w:rPr>
              <w:t>PLAN</w:t>
            </w:r>
          </w:p>
        </w:tc>
        <w:tc>
          <w:tcPr>
            <w:tcW w:w="1350" w:type="dxa"/>
            <w:tcBorders>
              <w:top w:val="single" w:sz="4" w:space="0" w:color="auto"/>
              <w:left w:val="single" w:sz="4" w:space="0" w:color="auto"/>
              <w:bottom w:val="single" w:sz="4" w:space="0" w:color="auto"/>
              <w:right w:val="single" w:sz="4" w:space="0" w:color="auto"/>
            </w:tcBorders>
          </w:tcPr>
          <w:p w14:paraId="7D1048CA" w14:textId="77777777" w:rsidR="00FF767D" w:rsidRPr="00BE5AFD" w:rsidRDefault="00FF767D">
            <w:pPr>
              <w:jc w:val="center"/>
              <w:rPr>
                <w:rFonts w:ascii="Arial" w:hAnsi="Arial" w:cs="Arial"/>
                <w:b/>
                <w:sz w:val="20"/>
                <w:szCs w:val="20"/>
              </w:rPr>
            </w:pPr>
          </w:p>
          <w:p w14:paraId="74C56125" w14:textId="77777777" w:rsidR="00FF767D" w:rsidRPr="00BE5AFD" w:rsidRDefault="00FF767D">
            <w:pPr>
              <w:jc w:val="center"/>
              <w:rPr>
                <w:rFonts w:ascii="Arial" w:hAnsi="Arial" w:cs="Arial"/>
                <w:b/>
                <w:sz w:val="20"/>
                <w:szCs w:val="20"/>
              </w:rPr>
            </w:pPr>
            <w:r w:rsidRPr="00BE5AFD">
              <w:rPr>
                <w:rFonts w:ascii="Arial" w:hAnsi="Arial" w:cs="Arial"/>
                <w:b/>
                <w:sz w:val="20"/>
                <w:szCs w:val="20"/>
              </w:rPr>
              <w:t>PROMJENA</w:t>
            </w:r>
          </w:p>
          <w:p w14:paraId="532CBAB5" w14:textId="77777777" w:rsidR="00FF767D" w:rsidRPr="00BE5AFD" w:rsidRDefault="00FF767D">
            <w:pPr>
              <w:jc w:val="center"/>
              <w:rPr>
                <w:rFonts w:ascii="Arial" w:hAnsi="Arial" w:cs="Arial"/>
                <w:b/>
                <w:sz w:val="20"/>
                <w:szCs w:val="20"/>
              </w:rPr>
            </w:pPr>
            <w:r w:rsidRPr="00BE5AFD">
              <w:rPr>
                <w:rFonts w:ascii="Arial" w:hAnsi="Arial" w:cs="Arial"/>
                <w:b/>
                <w:sz w:val="20"/>
                <w:szCs w:val="20"/>
              </w:rPr>
              <w:t>PLANA</w:t>
            </w:r>
          </w:p>
        </w:tc>
        <w:tc>
          <w:tcPr>
            <w:tcW w:w="1546" w:type="dxa"/>
            <w:tcBorders>
              <w:top w:val="single" w:sz="4" w:space="0" w:color="auto"/>
              <w:left w:val="single" w:sz="4" w:space="0" w:color="auto"/>
              <w:bottom w:val="single" w:sz="4" w:space="0" w:color="auto"/>
              <w:right w:val="single" w:sz="4" w:space="0" w:color="auto"/>
            </w:tcBorders>
            <w:hideMark/>
          </w:tcPr>
          <w:p w14:paraId="76038BBD" w14:textId="77777777" w:rsidR="00FF767D" w:rsidRPr="00BE5AFD" w:rsidRDefault="00FF767D">
            <w:pPr>
              <w:jc w:val="center"/>
              <w:rPr>
                <w:rFonts w:ascii="Arial" w:hAnsi="Arial" w:cs="Arial"/>
                <w:b/>
                <w:sz w:val="20"/>
                <w:szCs w:val="20"/>
              </w:rPr>
            </w:pPr>
            <w:r w:rsidRPr="00BE5AFD">
              <w:rPr>
                <w:rFonts w:ascii="Arial" w:hAnsi="Arial" w:cs="Arial"/>
                <w:b/>
                <w:sz w:val="20"/>
                <w:szCs w:val="20"/>
              </w:rPr>
              <w:t>PRVE IZMJENE I DOPUNE FIN.</w:t>
            </w:r>
          </w:p>
          <w:p w14:paraId="0114D7A3" w14:textId="77777777" w:rsidR="00FF767D" w:rsidRPr="00BE5AFD" w:rsidRDefault="00FF767D">
            <w:pPr>
              <w:jc w:val="center"/>
              <w:rPr>
                <w:rFonts w:ascii="Arial" w:hAnsi="Arial" w:cs="Arial"/>
                <w:b/>
                <w:sz w:val="20"/>
                <w:szCs w:val="20"/>
              </w:rPr>
            </w:pPr>
            <w:r w:rsidRPr="00BE5AFD">
              <w:rPr>
                <w:rFonts w:ascii="Arial" w:hAnsi="Arial" w:cs="Arial"/>
                <w:b/>
                <w:sz w:val="20"/>
                <w:szCs w:val="20"/>
              </w:rPr>
              <w:t>PLANA 2025.</w:t>
            </w:r>
          </w:p>
        </w:tc>
        <w:tc>
          <w:tcPr>
            <w:tcW w:w="1217" w:type="dxa"/>
            <w:tcBorders>
              <w:top w:val="single" w:sz="4" w:space="0" w:color="auto"/>
              <w:left w:val="single" w:sz="4" w:space="0" w:color="auto"/>
              <w:bottom w:val="single" w:sz="4" w:space="0" w:color="auto"/>
              <w:right w:val="single" w:sz="4" w:space="0" w:color="auto"/>
            </w:tcBorders>
            <w:hideMark/>
          </w:tcPr>
          <w:p w14:paraId="17A13300" w14:textId="77777777" w:rsidR="00FF767D" w:rsidRPr="00BE5AFD" w:rsidRDefault="00FF767D">
            <w:pPr>
              <w:jc w:val="center"/>
              <w:rPr>
                <w:rFonts w:ascii="Arial" w:hAnsi="Arial" w:cs="Arial"/>
                <w:b/>
                <w:sz w:val="20"/>
                <w:szCs w:val="20"/>
              </w:rPr>
            </w:pPr>
            <w:r w:rsidRPr="00BE5AFD">
              <w:rPr>
                <w:rFonts w:ascii="Arial" w:hAnsi="Arial" w:cs="Arial"/>
                <w:b/>
                <w:sz w:val="20"/>
                <w:szCs w:val="20"/>
              </w:rPr>
              <w:t>INDEKS</w:t>
            </w:r>
          </w:p>
          <w:p w14:paraId="1E2E55FA" w14:textId="77777777" w:rsidR="00FF767D" w:rsidRPr="00BE5AFD" w:rsidRDefault="00FF767D">
            <w:pPr>
              <w:jc w:val="center"/>
              <w:rPr>
                <w:rFonts w:ascii="Arial" w:hAnsi="Arial" w:cs="Arial"/>
                <w:b/>
                <w:sz w:val="20"/>
                <w:szCs w:val="20"/>
              </w:rPr>
            </w:pPr>
            <w:r w:rsidRPr="00BE5AFD">
              <w:rPr>
                <w:rFonts w:ascii="Arial" w:hAnsi="Arial" w:cs="Arial"/>
                <w:b/>
                <w:sz w:val="20"/>
                <w:szCs w:val="20"/>
              </w:rPr>
              <w:t>5/3</w:t>
            </w:r>
          </w:p>
        </w:tc>
      </w:tr>
      <w:tr w:rsidR="00FF767D" w:rsidRPr="00BE5AFD" w14:paraId="582AFBD8" w14:textId="77777777" w:rsidTr="00FF767D">
        <w:tc>
          <w:tcPr>
            <w:tcW w:w="1004" w:type="dxa"/>
            <w:tcBorders>
              <w:top w:val="single" w:sz="4" w:space="0" w:color="auto"/>
              <w:left w:val="single" w:sz="4" w:space="0" w:color="auto"/>
              <w:bottom w:val="single" w:sz="4" w:space="0" w:color="auto"/>
              <w:right w:val="single" w:sz="4" w:space="0" w:color="auto"/>
            </w:tcBorders>
            <w:hideMark/>
          </w:tcPr>
          <w:p w14:paraId="44FD92AF" w14:textId="77777777" w:rsidR="00FF767D" w:rsidRPr="00BE5AFD" w:rsidRDefault="00FF767D">
            <w:pPr>
              <w:jc w:val="center"/>
              <w:rPr>
                <w:rFonts w:ascii="Arial" w:hAnsi="Arial" w:cs="Arial"/>
                <w:b/>
                <w:sz w:val="20"/>
                <w:szCs w:val="20"/>
              </w:rPr>
            </w:pPr>
            <w:r w:rsidRPr="00BE5AFD">
              <w:rPr>
                <w:rFonts w:ascii="Arial" w:hAnsi="Arial" w:cs="Arial"/>
                <w:b/>
                <w:sz w:val="20"/>
                <w:szCs w:val="20"/>
              </w:rPr>
              <w:t>1</w:t>
            </w:r>
          </w:p>
        </w:tc>
        <w:tc>
          <w:tcPr>
            <w:tcW w:w="2801" w:type="dxa"/>
            <w:tcBorders>
              <w:top w:val="single" w:sz="4" w:space="0" w:color="auto"/>
              <w:left w:val="single" w:sz="4" w:space="0" w:color="auto"/>
              <w:bottom w:val="single" w:sz="4" w:space="0" w:color="auto"/>
              <w:right w:val="single" w:sz="4" w:space="0" w:color="auto"/>
            </w:tcBorders>
            <w:hideMark/>
          </w:tcPr>
          <w:p w14:paraId="4EF128A7" w14:textId="77777777" w:rsidR="00FF767D" w:rsidRPr="00BE5AFD" w:rsidRDefault="00FF767D">
            <w:pPr>
              <w:jc w:val="center"/>
              <w:rPr>
                <w:rFonts w:ascii="Arial" w:hAnsi="Arial" w:cs="Arial"/>
                <w:b/>
                <w:sz w:val="20"/>
                <w:szCs w:val="20"/>
              </w:rPr>
            </w:pPr>
            <w:r w:rsidRPr="00BE5AFD">
              <w:rPr>
                <w:rFonts w:ascii="Arial" w:hAnsi="Arial" w:cs="Arial"/>
                <w:b/>
                <w:sz w:val="20"/>
                <w:szCs w:val="20"/>
              </w:rPr>
              <w:t>2</w:t>
            </w:r>
          </w:p>
        </w:tc>
        <w:tc>
          <w:tcPr>
            <w:tcW w:w="1546" w:type="dxa"/>
            <w:tcBorders>
              <w:top w:val="single" w:sz="4" w:space="0" w:color="auto"/>
              <w:left w:val="single" w:sz="4" w:space="0" w:color="auto"/>
              <w:bottom w:val="single" w:sz="4" w:space="0" w:color="auto"/>
              <w:right w:val="single" w:sz="4" w:space="0" w:color="auto"/>
            </w:tcBorders>
            <w:hideMark/>
          </w:tcPr>
          <w:p w14:paraId="14B169C9" w14:textId="77777777" w:rsidR="00FF767D" w:rsidRPr="00BE5AFD" w:rsidRDefault="00FF767D">
            <w:pPr>
              <w:jc w:val="center"/>
              <w:rPr>
                <w:rFonts w:ascii="Arial" w:hAnsi="Arial" w:cs="Arial"/>
                <w:b/>
                <w:sz w:val="20"/>
                <w:szCs w:val="20"/>
              </w:rPr>
            </w:pPr>
            <w:r w:rsidRPr="00BE5AFD">
              <w:rPr>
                <w:rFonts w:ascii="Arial" w:hAnsi="Arial" w:cs="Arial"/>
                <w:b/>
                <w:sz w:val="20"/>
                <w:szCs w:val="20"/>
              </w:rPr>
              <w:t>3</w:t>
            </w:r>
          </w:p>
        </w:tc>
        <w:tc>
          <w:tcPr>
            <w:tcW w:w="1350" w:type="dxa"/>
            <w:tcBorders>
              <w:top w:val="single" w:sz="4" w:space="0" w:color="auto"/>
              <w:left w:val="single" w:sz="4" w:space="0" w:color="auto"/>
              <w:bottom w:val="single" w:sz="4" w:space="0" w:color="auto"/>
              <w:right w:val="single" w:sz="4" w:space="0" w:color="auto"/>
            </w:tcBorders>
            <w:hideMark/>
          </w:tcPr>
          <w:p w14:paraId="7533F2B2" w14:textId="77777777" w:rsidR="00FF767D" w:rsidRPr="00BE5AFD" w:rsidRDefault="00FF767D">
            <w:pPr>
              <w:jc w:val="center"/>
              <w:rPr>
                <w:rFonts w:ascii="Arial" w:hAnsi="Arial" w:cs="Arial"/>
                <w:b/>
                <w:sz w:val="20"/>
                <w:szCs w:val="20"/>
              </w:rPr>
            </w:pPr>
            <w:r w:rsidRPr="00BE5AFD">
              <w:rPr>
                <w:rFonts w:ascii="Arial" w:hAnsi="Arial" w:cs="Arial"/>
                <w:b/>
                <w:sz w:val="20"/>
                <w:szCs w:val="20"/>
              </w:rPr>
              <w:t>4</w:t>
            </w:r>
          </w:p>
        </w:tc>
        <w:tc>
          <w:tcPr>
            <w:tcW w:w="1546" w:type="dxa"/>
            <w:tcBorders>
              <w:top w:val="single" w:sz="4" w:space="0" w:color="auto"/>
              <w:left w:val="single" w:sz="4" w:space="0" w:color="auto"/>
              <w:bottom w:val="single" w:sz="4" w:space="0" w:color="auto"/>
              <w:right w:val="single" w:sz="4" w:space="0" w:color="auto"/>
            </w:tcBorders>
            <w:hideMark/>
          </w:tcPr>
          <w:p w14:paraId="64F29D15" w14:textId="77777777" w:rsidR="00FF767D" w:rsidRPr="00BE5AFD" w:rsidRDefault="00FF767D">
            <w:pPr>
              <w:jc w:val="center"/>
              <w:rPr>
                <w:rFonts w:ascii="Arial" w:hAnsi="Arial" w:cs="Arial"/>
                <w:b/>
                <w:sz w:val="20"/>
                <w:szCs w:val="20"/>
              </w:rPr>
            </w:pPr>
            <w:r w:rsidRPr="00BE5AFD">
              <w:rPr>
                <w:rFonts w:ascii="Arial" w:hAnsi="Arial" w:cs="Arial"/>
                <w:b/>
                <w:sz w:val="20"/>
                <w:szCs w:val="20"/>
              </w:rPr>
              <w:t>5</w:t>
            </w:r>
          </w:p>
        </w:tc>
        <w:tc>
          <w:tcPr>
            <w:tcW w:w="1217" w:type="dxa"/>
            <w:tcBorders>
              <w:top w:val="single" w:sz="4" w:space="0" w:color="auto"/>
              <w:left w:val="single" w:sz="4" w:space="0" w:color="auto"/>
              <w:bottom w:val="single" w:sz="4" w:space="0" w:color="auto"/>
              <w:right w:val="single" w:sz="4" w:space="0" w:color="auto"/>
            </w:tcBorders>
            <w:hideMark/>
          </w:tcPr>
          <w:p w14:paraId="4A8129BC" w14:textId="77777777" w:rsidR="00FF767D" w:rsidRPr="00BE5AFD" w:rsidRDefault="00FF767D">
            <w:pPr>
              <w:jc w:val="center"/>
              <w:rPr>
                <w:rFonts w:ascii="Arial" w:hAnsi="Arial" w:cs="Arial"/>
                <w:b/>
                <w:sz w:val="20"/>
                <w:szCs w:val="20"/>
              </w:rPr>
            </w:pPr>
            <w:r w:rsidRPr="00BE5AFD">
              <w:rPr>
                <w:rFonts w:ascii="Arial" w:hAnsi="Arial" w:cs="Arial"/>
                <w:b/>
                <w:sz w:val="20"/>
                <w:szCs w:val="20"/>
              </w:rPr>
              <w:t>5</w:t>
            </w:r>
          </w:p>
        </w:tc>
      </w:tr>
      <w:tr w:rsidR="00FF767D" w:rsidRPr="00BE5AFD" w14:paraId="66793654" w14:textId="77777777" w:rsidTr="00FF767D">
        <w:tc>
          <w:tcPr>
            <w:tcW w:w="1004" w:type="dxa"/>
            <w:tcBorders>
              <w:top w:val="single" w:sz="4" w:space="0" w:color="auto"/>
              <w:left w:val="single" w:sz="4" w:space="0" w:color="auto"/>
              <w:bottom w:val="single" w:sz="4" w:space="0" w:color="auto"/>
              <w:right w:val="single" w:sz="4" w:space="0" w:color="auto"/>
            </w:tcBorders>
            <w:hideMark/>
          </w:tcPr>
          <w:p w14:paraId="040C728D" w14:textId="77777777" w:rsidR="00FF767D" w:rsidRPr="00BE5AFD" w:rsidRDefault="00FF767D">
            <w:pPr>
              <w:rPr>
                <w:rFonts w:ascii="Arial" w:hAnsi="Arial" w:cs="Arial"/>
                <w:b/>
                <w:sz w:val="20"/>
                <w:szCs w:val="20"/>
              </w:rPr>
            </w:pPr>
            <w:r w:rsidRPr="00BE5AFD">
              <w:rPr>
                <w:rFonts w:ascii="Arial" w:hAnsi="Arial" w:cs="Arial"/>
                <w:b/>
                <w:sz w:val="20"/>
                <w:szCs w:val="20"/>
              </w:rPr>
              <w:t>6</w:t>
            </w:r>
          </w:p>
        </w:tc>
        <w:tc>
          <w:tcPr>
            <w:tcW w:w="2801" w:type="dxa"/>
            <w:tcBorders>
              <w:top w:val="single" w:sz="4" w:space="0" w:color="auto"/>
              <w:left w:val="single" w:sz="4" w:space="0" w:color="auto"/>
              <w:bottom w:val="single" w:sz="4" w:space="0" w:color="auto"/>
              <w:right w:val="single" w:sz="4" w:space="0" w:color="auto"/>
            </w:tcBorders>
            <w:hideMark/>
          </w:tcPr>
          <w:p w14:paraId="6C933FF8" w14:textId="77777777" w:rsidR="00FF767D" w:rsidRPr="00BE5AFD" w:rsidRDefault="00FF767D">
            <w:pPr>
              <w:rPr>
                <w:rFonts w:ascii="Arial" w:hAnsi="Arial" w:cs="Arial"/>
                <w:b/>
                <w:sz w:val="20"/>
                <w:szCs w:val="20"/>
              </w:rPr>
            </w:pPr>
            <w:r w:rsidRPr="00BE5AFD">
              <w:rPr>
                <w:rFonts w:ascii="Arial" w:hAnsi="Arial" w:cs="Arial"/>
                <w:b/>
                <w:sz w:val="20"/>
                <w:szCs w:val="20"/>
              </w:rPr>
              <w:t>PRIHODI POSLOVANJA</w:t>
            </w:r>
          </w:p>
        </w:tc>
        <w:tc>
          <w:tcPr>
            <w:tcW w:w="1546" w:type="dxa"/>
            <w:tcBorders>
              <w:top w:val="single" w:sz="4" w:space="0" w:color="auto"/>
              <w:left w:val="single" w:sz="4" w:space="0" w:color="auto"/>
              <w:bottom w:val="single" w:sz="4" w:space="0" w:color="auto"/>
              <w:right w:val="single" w:sz="4" w:space="0" w:color="auto"/>
            </w:tcBorders>
            <w:hideMark/>
          </w:tcPr>
          <w:p w14:paraId="680A0880" w14:textId="77777777" w:rsidR="00FF767D" w:rsidRPr="00BE5AFD" w:rsidRDefault="00FF767D">
            <w:pPr>
              <w:jc w:val="right"/>
              <w:rPr>
                <w:rFonts w:ascii="Arial" w:hAnsi="Arial" w:cs="Arial"/>
                <w:b/>
                <w:sz w:val="20"/>
                <w:szCs w:val="20"/>
              </w:rPr>
            </w:pPr>
            <w:r w:rsidRPr="00BE5AFD">
              <w:rPr>
                <w:rFonts w:ascii="Arial" w:hAnsi="Arial" w:cs="Arial"/>
                <w:b/>
                <w:sz w:val="20"/>
                <w:szCs w:val="20"/>
              </w:rPr>
              <w:t>662.520,00</w:t>
            </w:r>
          </w:p>
        </w:tc>
        <w:tc>
          <w:tcPr>
            <w:tcW w:w="1350" w:type="dxa"/>
            <w:tcBorders>
              <w:top w:val="single" w:sz="4" w:space="0" w:color="auto"/>
              <w:left w:val="single" w:sz="4" w:space="0" w:color="auto"/>
              <w:bottom w:val="single" w:sz="4" w:space="0" w:color="auto"/>
              <w:right w:val="single" w:sz="4" w:space="0" w:color="auto"/>
            </w:tcBorders>
            <w:hideMark/>
          </w:tcPr>
          <w:p w14:paraId="63F4F6A2" w14:textId="77777777" w:rsidR="00FF767D" w:rsidRPr="00BE5AFD" w:rsidRDefault="00FF767D">
            <w:pPr>
              <w:jc w:val="right"/>
              <w:rPr>
                <w:rFonts w:ascii="Arial" w:hAnsi="Arial" w:cs="Arial"/>
                <w:b/>
                <w:sz w:val="20"/>
                <w:szCs w:val="20"/>
              </w:rPr>
            </w:pPr>
            <w:r w:rsidRPr="00BE5AFD">
              <w:rPr>
                <w:rFonts w:ascii="Arial" w:hAnsi="Arial" w:cs="Arial"/>
                <w:b/>
                <w:sz w:val="20"/>
                <w:szCs w:val="20"/>
              </w:rPr>
              <w:t>31.564,00</w:t>
            </w:r>
          </w:p>
        </w:tc>
        <w:tc>
          <w:tcPr>
            <w:tcW w:w="1546" w:type="dxa"/>
            <w:tcBorders>
              <w:top w:val="single" w:sz="4" w:space="0" w:color="auto"/>
              <w:left w:val="single" w:sz="4" w:space="0" w:color="auto"/>
              <w:bottom w:val="single" w:sz="4" w:space="0" w:color="auto"/>
              <w:right w:val="single" w:sz="4" w:space="0" w:color="auto"/>
            </w:tcBorders>
            <w:hideMark/>
          </w:tcPr>
          <w:p w14:paraId="47A6806A" w14:textId="77777777" w:rsidR="00FF767D" w:rsidRPr="00BE5AFD" w:rsidRDefault="00FF767D">
            <w:pPr>
              <w:jc w:val="right"/>
              <w:rPr>
                <w:rFonts w:ascii="Arial" w:hAnsi="Arial" w:cs="Arial"/>
                <w:b/>
                <w:sz w:val="20"/>
                <w:szCs w:val="20"/>
              </w:rPr>
            </w:pPr>
            <w:r w:rsidRPr="00BE5AFD">
              <w:rPr>
                <w:rFonts w:ascii="Arial" w:hAnsi="Arial" w:cs="Arial"/>
                <w:b/>
                <w:sz w:val="20"/>
                <w:szCs w:val="20"/>
              </w:rPr>
              <w:t>694.084,00</w:t>
            </w:r>
          </w:p>
        </w:tc>
        <w:tc>
          <w:tcPr>
            <w:tcW w:w="1217" w:type="dxa"/>
            <w:tcBorders>
              <w:top w:val="single" w:sz="4" w:space="0" w:color="auto"/>
              <w:left w:val="single" w:sz="4" w:space="0" w:color="auto"/>
              <w:bottom w:val="single" w:sz="4" w:space="0" w:color="auto"/>
              <w:right w:val="single" w:sz="4" w:space="0" w:color="auto"/>
            </w:tcBorders>
            <w:hideMark/>
          </w:tcPr>
          <w:p w14:paraId="59993AFF" w14:textId="77777777" w:rsidR="00FF767D" w:rsidRPr="00BE5AFD" w:rsidRDefault="00FF767D">
            <w:pPr>
              <w:jc w:val="right"/>
              <w:rPr>
                <w:rFonts w:ascii="Arial" w:hAnsi="Arial" w:cs="Arial"/>
                <w:b/>
                <w:sz w:val="20"/>
                <w:szCs w:val="20"/>
              </w:rPr>
            </w:pPr>
            <w:r w:rsidRPr="00BE5AFD">
              <w:rPr>
                <w:rFonts w:ascii="Arial" w:hAnsi="Arial" w:cs="Arial"/>
                <w:b/>
                <w:sz w:val="20"/>
                <w:szCs w:val="20"/>
              </w:rPr>
              <w:t>104,76</w:t>
            </w:r>
          </w:p>
        </w:tc>
      </w:tr>
      <w:tr w:rsidR="00FF767D" w:rsidRPr="00BE5AFD" w14:paraId="3BA356FC" w14:textId="77777777" w:rsidTr="00FF767D">
        <w:tc>
          <w:tcPr>
            <w:tcW w:w="1004" w:type="dxa"/>
            <w:tcBorders>
              <w:top w:val="single" w:sz="4" w:space="0" w:color="auto"/>
              <w:left w:val="single" w:sz="4" w:space="0" w:color="auto"/>
              <w:bottom w:val="single" w:sz="4" w:space="0" w:color="auto"/>
              <w:right w:val="single" w:sz="4" w:space="0" w:color="auto"/>
            </w:tcBorders>
            <w:hideMark/>
          </w:tcPr>
          <w:p w14:paraId="532631B8" w14:textId="77777777" w:rsidR="00FF767D" w:rsidRPr="00BE5AFD" w:rsidRDefault="00FF767D">
            <w:pPr>
              <w:rPr>
                <w:rFonts w:ascii="Arial" w:hAnsi="Arial" w:cs="Arial"/>
                <w:sz w:val="20"/>
                <w:szCs w:val="20"/>
              </w:rPr>
            </w:pPr>
            <w:r w:rsidRPr="00BE5AFD">
              <w:rPr>
                <w:rFonts w:ascii="Arial" w:hAnsi="Arial" w:cs="Arial"/>
                <w:sz w:val="20"/>
                <w:szCs w:val="20"/>
              </w:rPr>
              <w:t>63</w:t>
            </w:r>
          </w:p>
        </w:tc>
        <w:tc>
          <w:tcPr>
            <w:tcW w:w="2801" w:type="dxa"/>
            <w:tcBorders>
              <w:top w:val="single" w:sz="4" w:space="0" w:color="auto"/>
              <w:left w:val="single" w:sz="4" w:space="0" w:color="auto"/>
              <w:bottom w:val="single" w:sz="4" w:space="0" w:color="auto"/>
              <w:right w:val="single" w:sz="4" w:space="0" w:color="auto"/>
            </w:tcBorders>
            <w:hideMark/>
          </w:tcPr>
          <w:p w14:paraId="7B4E4DAF" w14:textId="77777777" w:rsidR="00FF767D" w:rsidRPr="00BE5AFD" w:rsidRDefault="00FF767D">
            <w:pPr>
              <w:rPr>
                <w:rFonts w:ascii="Arial" w:hAnsi="Arial" w:cs="Arial"/>
                <w:sz w:val="20"/>
                <w:szCs w:val="20"/>
              </w:rPr>
            </w:pPr>
            <w:r w:rsidRPr="00BE5AFD">
              <w:rPr>
                <w:rFonts w:ascii="Arial" w:hAnsi="Arial" w:cs="Arial"/>
                <w:sz w:val="20"/>
                <w:szCs w:val="20"/>
              </w:rPr>
              <w:t>POMOĆI IZ INOZ. I OD SUBJEKATA UNUTAR OPĆEG PRORAČUNA</w:t>
            </w:r>
          </w:p>
        </w:tc>
        <w:tc>
          <w:tcPr>
            <w:tcW w:w="1546" w:type="dxa"/>
            <w:tcBorders>
              <w:top w:val="single" w:sz="4" w:space="0" w:color="auto"/>
              <w:left w:val="single" w:sz="4" w:space="0" w:color="auto"/>
              <w:bottom w:val="single" w:sz="4" w:space="0" w:color="auto"/>
              <w:right w:val="single" w:sz="4" w:space="0" w:color="auto"/>
            </w:tcBorders>
          </w:tcPr>
          <w:p w14:paraId="06073DB8" w14:textId="77777777" w:rsidR="00FF767D" w:rsidRPr="00BE5AFD" w:rsidRDefault="00FF767D">
            <w:pPr>
              <w:jc w:val="right"/>
              <w:rPr>
                <w:rFonts w:ascii="Arial" w:hAnsi="Arial" w:cs="Arial"/>
                <w:sz w:val="20"/>
                <w:szCs w:val="20"/>
              </w:rPr>
            </w:pPr>
          </w:p>
          <w:p w14:paraId="5ED77B28" w14:textId="77777777" w:rsidR="00FF767D" w:rsidRPr="00BE5AFD" w:rsidRDefault="00FF767D">
            <w:pPr>
              <w:jc w:val="right"/>
              <w:rPr>
                <w:rFonts w:ascii="Arial" w:hAnsi="Arial" w:cs="Arial"/>
                <w:sz w:val="20"/>
                <w:szCs w:val="20"/>
              </w:rPr>
            </w:pPr>
            <w:r w:rsidRPr="00BE5AFD">
              <w:rPr>
                <w:rFonts w:ascii="Arial" w:hAnsi="Arial" w:cs="Arial"/>
                <w:sz w:val="20"/>
                <w:szCs w:val="20"/>
              </w:rPr>
              <w:t>571.640,00</w:t>
            </w:r>
          </w:p>
        </w:tc>
        <w:tc>
          <w:tcPr>
            <w:tcW w:w="1350" w:type="dxa"/>
            <w:tcBorders>
              <w:top w:val="single" w:sz="4" w:space="0" w:color="auto"/>
              <w:left w:val="single" w:sz="4" w:space="0" w:color="auto"/>
              <w:bottom w:val="single" w:sz="4" w:space="0" w:color="auto"/>
              <w:right w:val="single" w:sz="4" w:space="0" w:color="auto"/>
            </w:tcBorders>
          </w:tcPr>
          <w:p w14:paraId="0B9C9A08" w14:textId="77777777" w:rsidR="00FF767D" w:rsidRPr="00BE5AFD" w:rsidRDefault="00FF767D">
            <w:pPr>
              <w:jc w:val="right"/>
              <w:rPr>
                <w:rFonts w:ascii="Arial" w:hAnsi="Arial" w:cs="Arial"/>
                <w:sz w:val="20"/>
                <w:szCs w:val="20"/>
              </w:rPr>
            </w:pPr>
          </w:p>
          <w:p w14:paraId="11CDD8FC" w14:textId="77777777" w:rsidR="00FF767D" w:rsidRPr="00BE5AFD" w:rsidRDefault="00FF767D">
            <w:pPr>
              <w:jc w:val="right"/>
              <w:rPr>
                <w:rFonts w:ascii="Arial" w:hAnsi="Arial" w:cs="Arial"/>
                <w:sz w:val="20"/>
                <w:szCs w:val="20"/>
              </w:rPr>
            </w:pPr>
            <w:r w:rsidRPr="00BE5AFD">
              <w:rPr>
                <w:rFonts w:ascii="Arial" w:hAnsi="Arial" w:cs="Arial"/>
                <w:sz w:val="20"/>
                <w:szCs w:val="20"/>
              </w:rPr>
              <w:t>18.497,00</w:t>
            </w:r>
          </w:p>
        </w:tc>
        <w:tc>
          <w:tcPr>
            <w:tcW w:w="1546" w:type="dxa"/>
            <w:tcBorders>
              <w:top w:val="single" w:sz="4" w:space="0" w:color="auto"/>
              <w:left w:val="single" w:sz="4" w:space="0" w:color="auto"/>
              <w:bottom w:val="single" w:sz="4" w:space="0" w:color="auto"/>
              <w:right w:val="single" w:sz="4" w:space="0" w:color="auto"/>
            </w:tcBorders>
          </w:tcPr>
          <w:p w14:paraId="2109F83E" w14:textId="77777777" w:rsidR="00FF767D" w:rsidRPr="00BE5AFD" w:rsidRDefault="00FF767D">
            <w:pPr>
              <w:jc w:val="right"/>
              <w:rPr>
                <w:rFonts w:ascii="Arial" w:hAnsi="Arial" w:cs="Arial"/>
                <w:sz w:val="20"/>
                <w:szCs w:val="20"/>
              </w:rPr>
            </w:pPr>
          </w:p>
          <w:p w14:paraId="16851AF3" w14:textId="77777777" w:rsidR="00FF767D" w:rsidRPr="00BE5AFD" w:rsidRDefault="00FF767D">
            <w:pPr>
              <w:jc w:val="right"/>
              <w:rPr>
                <w:rFonts w:ascii="Arial" w:hAnsi="Arial" w:cs="Arial"/>
                <w:sz w:val="20"/>
                <w:szCs w:val="20"/>
              </w:rPr>
            </w:pPr>
            <w:r w:rsidRPr="00BE5AFD">
              <w:rPr>
                <w:rFonts w:ascii="Arial" w:hAnsi="Arial" w:cs="Arial"/>
                <w:sz w:val="20"/>
                <w:szCs w:val="20"/>
              </w:rPr>
              <w:t>590.137,00</w:t>
            </w:r>
          </w:p>
        </w:tc>
        <w:tc>
          <w:tcPr>
            <w:tcW w:w="1217" w:type="dxa"/>
            <w:tcBorders>
              <w:top w:val="single" w:sz="4" w:space="0" w:color="auto"/>
              <w:left w:val="single" w:sz="4" w:space="0" w:color="auto"/>
              <w:bottom w:val="single" w:sz="4" w:space="0" w:color="auto"/>
              <w:right w:val="single" w:sz="4" w:space="0" w:color="auto"/>
            </w:tcBorders>
          </w:tcPr>
          <w:p w14:paraId="0B678724" w14:textId="77777777" w:rsidR="00FF767D" w:rsidRPr="00BE5AFD" w:rsidRDefault="00FF767D">
            <w:pPr>
              <w:jc w:val="right"/>
              <w:rPr>
                <w:rFonts w:ascii="Arial" w:hAnsi="Arial" w:cs="Arial"/>
                <w:color w:val="FF0000"/>
                <w:sz w:val="20"/>
                <w:szCs w:val="20"/>
              </w:rPr>
            </w:pPr>
          </w:p>
          <w:p w14:paraId="1DB81FA9" w14:textId="77777777" w:rsidR="00FF767D" w:rsidRPr="00BE5AFD" w:rsidRDefault="00FF767D">
            <w:pPr>
              <w:jc w:val="right"/>
              <w:rPr>
                <w:rFonts w:ascii="Arial" w:hAnsi="Arial" w:cs="Arial"/>
                <w:color w:val="FF0000"/>
                <w:sz w:val="20"/>
                <w:szCs w:val="20"/>
              </w:rPr>
            </w:pPr>
            <w:r w:rsidRPr="00BE5AFD">
              <w:rPr>
                <w:rFonts w:ascii="Arial" w:hAnsi="Arial" w:cs="Arial"/>
                <w:sz w:val="20"/>
                <w:szCs w:val="20"/>
              </w:rPr>
              <w:t>103,24</w:t>
            </w:r>
          </w:p>
        </w:tc>
      </w:tr>
      <w:tr w:rsidR="00FF767D" w:rsidRPr="00BE5AFD" w14:paraId="692959CB" w14:textId="77777777" w:rsidTr="00FF767D">
        <w:tc>
          <w:tcPr>
            <w:tcW w:w="1004" w:type="dxa"/>
            <w:tcBorders>
              <w:top w:val="single" w:sz="4" w:space="0" w:color="auto"/>
              <w:left w:val="single" w:sz="4" w:space="0" w:color="auto"/>
              <w:bottom w:val="single" w:sz="4" w:space="0" w:color="auto"/>
              <w:right w:val="single" w:sz="4" w:space="0" w:color="auto"/>
            </w:tcBorders>
            <w:hideMark/>
          </w:tcPr>
          <w:p w14:paraId="044CCB0E" w14:textId="77777777" w:rsidR="00FF767D" w:rsidRPr="00BE5AFD" w:rsidRDefault="00FF767D">
            <w:pPr>
              <w:rPr>
                <w:rFonts w:ascii="Arial" w:hAnsi="Arial" w:cs="Arial"/>
                <w:sz w:val="20"/>
                <w:szCs w:val="20"/>
              </w:rPr>
            </w:pPr>
            <w:r w:rsidRPr="00BE5AFD">
              <w:rPr>
                <w:rFonts w:ascii="Arial" w:hAnsi="Arial" w:cs="Arial"/>
                <w:sz w:val="20"/>
                <w:szCs w:val="20"/>
              </w:rPr>
              <w:t>65</w:t>
            </w:r>
          </w:p>
        </w:tc>
        <w:tc>
          <w:tcPr>
            <w:tcW w:w="2801" w:type="dxa"/>
            <w:tcBorders>
              <w:top w:val="single" w:sz="4" w:space="0" w:color="auto"/>
              <w:left w:val="single" w:sz="4" w:space="0" w:color="auto"/>
              <w:bottom w:val="single" w:sz="4" w:space="0" w:color="auto"/>
              <w:right w:val="single" w:sz="4" w:space="0" w:color="auto"/>
            </w:tcBorders>
            <w:hideMark/>
          </w:tcPr>
          <w:p w14:paraId="111692D5" w14:textId="77777777" w:rsidR="00FF767D" w:rsidRPr="00BE5AFD" w:rsidRDefault="00FF767D">
            <w:pPr>
              <w:rPr>
                <w:rFonts w:ascii="Arial" w:hAnsi="Arial" w:cs="Arial"/>
                <w:sz w:val="20"/>
                <w:szCs w:val="20"/>
              </w:rPr>
            </w:pPr>
            <w:r w:rsidRPr="00BE5AFD">
              <w:rPr>
                <w:rFonts w:ascii="Arial" w:hAnsi="Arial" w:cs="Arial"/>
                <w:sz w:val="20"/>
                <w:szCs w:val="20"/>
              </w:rPr>
              <w:t>PRIHODI OD UPRAVNIH I ADMIN.PRIST. PO POSEBNIM PROPISIMA I NAKNADA</w:t>
            </w:r>
          </w:p>
        </w:tc>
        <w:tc>
          <w:tcPr>
            <w:tcW w:w="1546" w:type="dxa"/>
            <w:tcBorders>
              <w:top w:val="single" w:sz="4" w:space="0" w:color="auto"/>
              <w:left w:val="single" w:sz="4" w:space="0" w:color="auto"/>
              <w:bottom w:val="single" w:sz="4" w:space="0" w:color="auto"/>
              <w:right w:val="single" w:sz="4" w:space="0" w:color="auto"/>
            </w:tcBorders>
          </w:tcPr>
          <w:p w14:paraId="2A0BB871" w14:textId="77777777" w:rsidR="00FF767D" w:rsidRPr="00BE5AFD" w:rsidRDefault="00FF767D">
            <w:pPr>
              <w:jc w:val="right"/>
              <w:rPr>
                <w:rFonts w:ascii="Arial" w:hAnsi="Arial" w:cs="Arial"/>
                <w:sz w:val="20"/>
                <w:szCs w:val="20"/>
              </w:rPr>
            </w:pPr>
          </w:p>
          <w:p w14:paraId="1EAF9055" w14:textId="77777777" w:rsidR="00FF767D" w:rsidRPr="00BE5AFD" w:rsidRDefault="00FF767D">
            <w:pPr>
              <w:jc w:val="right"/>
              <w:rPr>
                <w:rFonts w:ascii="Arial" w:hAnsi="Arial" w:cs="Arial"/>
                <w:sz w:val="20"/>
                <w:szCs w:val="20"/>
              </w:rPr>
            </w:pPr>
          </w:p>
          <w:p w14:paraId="5040D915" w14:textId="77777777" w:rsidR="00FF767D" w:rsidRPr="00BE5AFD" w:rsidRDefault="00FF767D">
            <w:pPr>
              <w:jc w:val="right"/>
              <w:rPr>
                <w:rFonts w:ascii="Arial" w:hAnsi="Arial" w:cs="Arial"/>
                <w:sz w:val="20"/>
                <w:szCs w:val="20"/>
              </w:rPr>
            </w:pPr>
            <w:r w:rsidRPr="00BE5AFD">
              <w:rPr>
                <w:rFonts w:ascii="Arial" w:hAnsi="Arial" w:cs="Arial"/>
                <w:sz w:val="20"/>
                <w:szCs w:val="20"/>
              </w:rPr>
              <w:t>2.540,00</w:t>
            </w:r>
          </w:p>
          <w:p w14:paraId="62D4CA0D" w14:textId="77777777" w:rsidR="00FF767D" w:rsidRPr="00BE5AFD" w:rsidRDefault="00FF767D">
            <w:pPr>
              <w:jc w:val="right"/>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14:paraId="1858433F" w14:textId="77777777" w:rsidR="00FF767D" w:rsidRPr="00BE5AFD" w:rsidRDefault="00FF767D">
            <w:pPr>
              <w:jc w:val="right"/>
              <w:rPr>
                <w:rFonts w:ascii="Arial" w:hAnsi="Arial" w:cs="Arial"/>
                <w:sz w:val="20"/>
                <w:szCs w:val="20"/>
              </w:rPr>
            </w:pPr>
          </w:p>
          <w:p w14:paraId="0D18784B" w14:textId="77777777" w:rsidR="00FF767D" w:rsidRPr="00BE5AFD" w:rsidRDefault="00FF767D">
            <w:pPr>
              <w:jc w:val="right"/>
              <w:rPr>
                <w:rFonts w:ascii="Arial" w:hAnsi="Arial" w:cs="Arial"/>
                <w:sz w:val="20"/>
                <w:szCs w:val="20"/>
              </w:rPr>
            </w:pPr>
          </w:p>
          <w:p w14:paraId="7ECB95C1" w14:textId="77777777" w:rsidR="00FF767D" w:rsidRPr="00BE5AFD" w:rsidRDefault="00FF767D">
            <w:pPr>
              <w:jc w:val="right"/>
              <w:rPr>
                <w:rFonts w:ascii="Arial" w:hAnsi="Arial" w:cs="Arial"/>
                <w:sz w:val="20"/>
                <w:szCs w:val="20"/>
              </w:rPr>
            </w:pPr>
            <w:r w:rsidRPr="00BE5AFD">
              <w:rPr>
                <w:rFonts w:ascii="Arial" w:hAnsi="Arial" w:cs="Arial"/>
                <w:sz w:val="20"/>
                <w:szCs w:val="20"/>
              </w:rPr>
              <w:t>0,00</w:t>
            </w:r>
          </w:p>
          <w:p w14:paraId="633D1C60" w14:textId="77777777" w:rsidR="00FF767D" w:rsidRPr="00BE5AFD" w:rsidRDefault="00FF767D">
            <w:pPr>
              <w:jc w:val="right"/>
              <w:rPr>
                <w:rFonts w:ascii="Arial" w:hAnsi="Arial" w:cs="Arial"/>
                <w:sz w:val="20"/>
                <w:szCs w:val="20"/>
              </w:rPr>
            </w:pPr>
          </w:p>
        </w:tc>
        <w:tc>
          <w:tcPr>
            <w:tcW w:w="1546" w:type="dxa"/>
            <w:tcBorders>
              <w:top w:val="single" w:sz="4" w:space="0" w:color="auto"/>
              <w:left w:val="single" w:sz="4" w:space="0" w:color="auto"/>
              <w:bottom w:val="single" w:sz="4" w:space="0" w:color="auto"/>
              <w:right w:val="single" w:sz="4" w:space="0" w:color="auto"/>
            </w:tcBorders>
          </w:tcPr>
          <w:p w14:paraId="3A76741B" w14:textId="77777777" w:rsidR="00FF767D" w:rsidRPr="00BE5AFD" w:rsidRDefault="00FF767D">
            <w:pPr>
              <w:jc w:val="right"/>
              <w:rPr>
                <w:rFonts w:ascii="Arial" w:hAnsi="Arial" w:cs="Arial"/>
                <w:sz w:val="20"/>
                <w:szCs w:val="20"/>
              </w:rPr>
            </w:pPr>
          </w:p>
          <w:p w14:paraId="6D50F27E" w14:textId="77777777" w:rsidR="00FF767D" w:rsidRPr="00BE5AFD" w:rsidRDefault="00FF767D">
            <w:pPr>
              <w:jc w:val="right"/>
              <w:rPr>
                <w:rFonts w:ascii="Arial" w:hAnsi="Arial" w:cs="Arial"/>
                <w:sz w:val="20"/>
                <w:szCs w:val="20"/>
              </w:rPr>
            </w:pPr>
          </w:p>
          <w:p w14:paraId="5573BEF0" w14:textId="77777777" w:rsidR="00FF767D" w:rsidRPr="00BE5AFD" w:rsidRDefault="00FF767D">
            <w:pPr>
              <w:jc w:val="right"/>
              <w:rPr>
                <w:rFonts w:ascii="Arial" w:hAnsi="Arial" w:cs="Arial"/>
                <w:sz w:val="20"/>
                <w:szCs w:val="20"/>
              </w:rPr>
            </w:pPr>
            <w:r w:rsidRPr="00BE5AFD">
              <w:rPr>
                <w:rFonts w:ascii="Arial" w:hAnsi="Arial" w:cs="Arial"/>
                <w:sz w:val="20"/>
                <w:szCs w:val="20"/>
              </w:rPr>
              <w:t>2.540,00</w:t>
            </w:r>
          </w:p>
        </w:tc>
        <w:tc>
          <w:tcPr>
            <w:tcW w:w="1217" w:type="dxa"/>
            <w:tcBorders>
              <w:top w:val="single" w:sz="4" w:space="0" w:color="auto"/>
              <w:left w:val="single" w:sz="4" w:space="0" w:color="auto"/>
              <w:bottom w:val="single" w:sz="4" w:space="0" w:color="auto"/>
              <w:right w:val="single" w:sz="4" w:space="0" w:color="auto"/>
            </w:tcBorders>
          </w:tcPr>
          <w:p w14:paraId="5470DE12" w14:textId="77777777" w:rsidR="00FF767D" w:rsidRPr="00BE5AFD" w:rsidRDefault="00FF767D">
            <w:pPr>
              <w:jc w:val="right"/>
              <w:rPr>
                <w:rFonts w:ascii="Arial" w:hAnsi="Arial" w:cs="Arial"/>
                <w:color w:val="FF0000"/>
                <w:sz w:val="20"/>
                <w:szCs w:val="20"/>
              </w:rPr>
            </w:pPr>
          </w:p>
          <w:p w14:paraId="09042D10" w14:textId="77777777" w:rsidR="00FF767D" w:rsidRPr="00BE5AFD" w:rsidRDefault="00FF767D">
            <w:pPr>
              <w:jc w:val="right"/>
              <w:rPr>
                <w:rFonts w:ascii="Arial" w:hAnsi="Arial" w:cs="Arial"/>
                <w:color w:val="FF0000"/>
                <w:sz w:val="20"/>
                <w:szCs w:val="20"/>
              </w:rPr>
            </w:pPr>
          </w:p>
          <w:p w14:paraId="00416E19" w14:textId="77777777" w:rsidR="00FF767D" w:rsidRPr="00BE5AFD" w:rsidRDefault="00FF767D">
            <w:pPr>
              <w:jc w:val="right"/>
              <w:rPr>
                <w:rFonts w:ascii="Arial" w:hAnsi="Arial" w:cs="Arial"/>
                <w:color w:val="FF0000"/>
                <w:sz w:val="20"/>
                <w:szCs w:val="20"/>
              </w:rPr>
            </w:pPr>
            <w:r w:rsidRPr="00BE5AFD">
              <w:rPr>
                <w:rFonts w:ascii="Arial" w:hAnsi="Arial" w:cs="Arial"/>
                <w:sz w:val="20"/>
                <w:szCs w:val="20"/>
              </w:rPr>
              <w:t>100,00</w:t>
            </w:r>
          </w:p>
        </w:tc>
      </w:tr>
      <w:tr w:rsidR="00FF767D" w:rsidRPr="00BE5AFD" w14:paraId="0BA7892E" w14:textId="77777777" w:rsidTr="00FF767D">
        <w:tc>
          <w:tcPr>
            <w:tcW w:w="1004" w:type="dxa"/>
            <w:tcBorders>
              <w:top w:val="single" w:sz="4" w:space="0" w:color="auto"/>
              <w:left w:val="single" w:sz="4" w:space="0" w:color="auto"/>
              <w:bottom w:val="single" w:sz="4" w:space="0" w:color="auto"/>
              <w:right w:val="single" w:sz="4" w:space="0" w:color="auto"/>
            </w:tcBorders>
            <w:hideMark/>
          </w:tcPr>
          <w:p w14:paraId="7266C119" w14:textId="77777777" w:rsidR="00FF767D" w:rsidRPr="00BE5AFD" w:rsidRDefault="00FF767D">
            <w:pPr>
              <w:rPr>
                <w:rFonts w:ascii="Arial" w:hAnsi="Arial" w:cs="Arial"/>
                <w:sz w:val="20"/>
                <w:szCs w:val="20"/>
              </w:rPr>
            </w:pPr>
            <w:r w:rsidRPr="00BE5AFD">
              <w:rPr>
                <w:rFonts w:ascii="Arial" w:hAnsi="Arial" w:cs="Arial"/>
                <w:sz w:val="20"/>
                <w:szCs w:val="20"/>
              </w:rPr>
              <w:t>66</w:t>
            </w:r>
          </w:p>
        </w:tc>
        <w:tc>
          <w:tcPr>
            <w:tcW w:w="2801" w:type="dxa"/>
            <w:tcBorders>
              <w:top w:val="single" w:sz="4" w:space="0" w:color="auto"/>
              <w:left w:val="single" w:sz="4" w:space="0" w:color="auto"/>
              <w:bottom w:val="single" w:sz="4" w:space="0" w:color="auto"/>
              <w:right w:val="single" w:sz="4" w:space="0" w:color="auto"/>
            </w:tcBorders>
            <w:hideMark/>
          </w:tcPr>
          <w:p w14:paraId="6B0ACA13" w14:textId="77777777" w:rsidR="00FF767D" w:rsidRPr="00BE5AFD" w:rsidRDefault="00FF767D">
            <w:pPr>
              <w:rPr>
                <w:rFonts w:ascii="Arial" w:hAnsi="Arial" w:cs="Arial"/>
                <w:sz w:val="20"/>
                <w:szCs w:val="20"/>
              </w:rPr>
            </w:pPr>
            <w:r w:rsidRPr="00BE5AFD">
              <w:rPr>
                <w:rFonts w:ascii="Arial" w:hAnsi="Arial" w:cs="Arial"/>
                <w:sz w:val="20"/>
                <w:szCs w:val="20"/>
              </w:rPr>
              <w:t>PRIHODI OD PRODAJE PROIZVODA I ROBE TE PRUŽENIH USLUGA I PRIHODA OD DONACIJA</w:t>
            </w:r>
          </w:p>
        </w:tc>
        <w:tc>
          <w:tcPr>
            <w:tcW w:w="1546" w:type="dxa"/>
            <w:tcBorders>
              <w:top w:val="single" w:sz="4" w:space="0" w:color="auto"/>
              <w:left w:val="single" w:sz="4" w:space="0" w:color="auto"/>
              <w:bottom w:val="single" w:sz="4" w:space="0" w:color="auto"/>
              <w:right w:val="single" w:sz="4" w:space="0" w:color="auto"/>
            </w:tcBorders>
          </w:tcPr>
          <w:p w14:paraId="17F72D9F" w14:textId="77777777" w:rsidR="00FF767D" w:rsidRPr="00BE5AFD" w:rsidRDefault="00FF767D">
            <w:pPr>
              <w:jc w:val="right"/>
              <w:rPr>
                <w:rFonts w:ascii="Arial" w:hAnsi="Arial" w:cs="Arial"/>
                <w:sz w:val="20"/>
                <w:szCs w:val="20"/>
              </w:rPr>
            </w:pPr>
          </w:p>
          <w:p w14:paraId="009DE3D7" w14:textId="77777777" w:rsidR="00FF767D" w:rsidRPr="00BE5AFD" w:rsidRDefault="00FF767D">
            <w:pPr>
              <w:jc w:val="right"/>
              <w:rPr>
                <w:rFonts w:ascii="Arial" w:hAnsi="Arial" w:cs="Arial"/>
                <w:sz w:val="20"/>
                <w:szCs w:val="20"/>
              </w:rPr>
            </w:pPr>
            <w:r w:rsidRPr="00BE5AFD">
              <w:rPr>
                <w:rFonts w:ascii="Arial" w:hAnsi="Arial" w:cs="Arial"/>
                <w:sz w:val="20"/>
                <w:szCs w:val="20"/>
              </w:rPr>
              <w:t>6.300,00</w:t>
            </w:r>
          </w:p>
        </w:tc>
        <w:tc>
          <w:tcPr>
            <w:tcW w:w="1350" w:type="dxa"/>
            <w:tcBorders>
              <w:top w:val="single" w:sz="4" w:space="0" w:color="auto"/>
              <w:left w:val="single" w:sz="4" w:space="0" w:color="auto"/>
              <w:bottom w:val="single" w:sz="4" w:space="0" w:color="auto"/>
              <w:right w:val="single" w:sz="4" w:space="0" w:color="auto"/>
            </w:tcBorders>
          </w:tcPr>
          <w:p w14:paraId="443A4FA0" w14:textId="77777777" w:rsidR="00FF767D" w:rsidRPr="00BE5AFD" w:rsidRDefault="00FF767D">
            <w:pPr>
              <w:jc w:val="right"/>
              <w:rPr>
                <w:rFonts w:ascii="Arial" w:hAnsi="Arial" w:cs="Arial"/>
                <w:sz w:val="20"/>
                <w:szCs w:val="20"/>
              </w:rPr>
            </w:pPr>
          </w:p>
          <w:p w14:paraId="0C0D8086" w14:textId="77777777" w:rsidR="00FF767D" w:rsidRPr="00BE5AFD" w:rsidRDefault="00FF767D">
            <w:pPr>
              <w:jc w:val="right"/>
              <w:rPr>
                <w:rFonts w:ascii="Arial" w:hAnsi="Arial" w:cs="Arial"/>
                <w:sz w:val="20"/>
                <w:szCs w:val="20"/>
              </w:rPr>
            </w:pPr>
            <w:r w:rsidRPr="00BE5AFD">
              <w:rPr>
                <w:rFonts w:ascii="Arial" w:hAnsi="Arial" w:cs="Arial"/>
                <w:sz w:val="20"/>
                <w:szCs w:val="20"/>
              </w:rPr>
              <w:t>00</w:t>
            </w:r>
          </w:p>
        </w:tc>
        <w:tc>
          <w:tcPr>
            <w:tcW w:w="1546" w:type="dxa"/>
            <w:tcBorders>
              <w:top w:val="single" w:sz="4" w:space="0" w:color="auto"/>
              <w:left w:val="single" w:sz="4" w:space="0" w:color="auto"/>
              <w:bottom w:val="single" w:sz="4" w:space="0" w:color="auto"/>
              <w:right w:val="single" w:sz="4" w:space="0" w:color="auto"/>
            </w:tcBorders>
          </w:tcPr>
          <w:p w14:paraId="7D0859FC" w14:textId="77777777" w:rsidR="00FF767D" w:rsidRPr="00BE5AFD" w:rsidRDefault="00FF767D">
            <w:pPr>
              <w:jc w:val="right"/>
              <w:rPr>
                <w:rFonts w:ascii="Arial" w:hAnsi="Arial" w:cs="Arial"/>
                <w:sz w:val="20"/>
                <w:szCs w:val="20"/>
              </w:rPr>
            </w:pPr>
          </w:p>
          <w:p w14:paraId="4471196C" w14:textId="77777777" w:rsidR="00FF767D" w:rsidRPr="00BE5AFD" w:rsidRDefault="00FF767D">
            <w:pPr>
              <w:jc w:val="right"/>
              <w:rPr>
                <w:rFonts w:ascii="Arial" w:hAnsi="Arial" w:cs="Arial"/>
                <w:sz w:val="20"/>
                <w:szCs w:val="20"/>
              </w:rPr>
            </w:pPr>
            <w:r w:rsidRPr="00BE5AFD">
              <w:rPr>
                <w:rFonts w:ascii="Arial" w:hAnsi="Arial" w:cs="Arial"/>
                <w:sz w:val="20"/>
                <w:szCs w:val="20"/>
              </w:rPr>
              <w:t>6.300,00</w:t>
            </w:r>
          </w:p>
        </w:tc>
        <w:tc>
          <w:tcPr>
            <w:tcW w:w="1217" w:type="dxa"/>
            <w:tcBorders>
              <w:top w:val="single" w:sz="4" w:space="0" w:color="auto"/>
              <w:left w:val="single" w:sz="4" w:space="0" w:color="auto"/>
              <w:bottom w:val="single" w:sz="4" w:space="0" w:color="auto"/>
              <w:right w:val="single" w:sz="4" w:space="0" w:color="auto"/>
            </w:tcBorders>
          </w:tcPr>
          <w:p w14:paraId="41E92E42" w14:textId="77777777" w:rsidR="00FF767D" w:rsidRPr="00BE5AFD" w:rsidRDefault="00FF767D">
            <w:pPr>
              <w:jc w:val="right"/>
              <w:rPr>
                <w:rFonts w:ascii="Arial" w:hAnsi="Arial" w:cs="Arial"/>
                <w:sz w:val="20"/>
                <w:szCs w:val="20"/>
              </w:rPr>
            </w:pPr>
          </w:p>
          <w:p w14:paraId="29A074A4" w14:textId="77777777" w:rsidR="00FF767D" w:rsidRPr="00BE5AFD" w:rsidRDefault="00FF767D">
            <w:pPr>
              <w:jc w:val="right"/>
              <w:rPr>
                <w:rFonts w:ascii="Arial" w:hAnsi="Arial" w:cs="Arial"/>
                <w:sz w:val="20"/>
                <w:szCs w:val="20"/>
              </w:rPr>
            </w:pPr>
            <w:r w:rsidRPr="00BE5AFD">
              <w:rPr>
                <w:rFonts w:ascii="Arial" w:hAnsi="Arial" w:cs="Arial"/>
                <w:sz w:val="20"/>
                <w:szCs w:val="20"/>
              </w:rPr>
              <w:t>100,00</w:t>
            </w:r>
          </w:p>
        </w:tc>
      </w:tr>
      <w:tr w:rsidR="00FF767D" w:rsidRPr="00BE5AFD" w14:paraId="77AD6811" w14:textId="77777777" w:rsidTr="00FF767D">
        <w:tc>
          <w:tcPr>
            <w:tcW w:w="1004" w:type="dxa"/>
            <w:tcBorders>
              <w:top w:val="single" w:sz="4" w:space="0" w:color="auto"/>
              <w:left w:val="single" w:sz="4" w:space="0" w:color="auto"/>
              <w:bottom w:val="single" w:sz="4" w:space="0" w:color="auto"/>
              <w:right w:val="single" w:sz="4" w:space="0" w:color="auto"/>
            </w:tcBorders>
            <w:hideMark/>
          </w:tcPr>
          <w:p w14:paraId="354655C5" w14:textId="77777777" w:rsidR="00FF767D" w:rsidRPr="00BE5AFD" w:rsidRDefault="00FF767D">
            <w:pPr>
              <w:rPr>
                <w:rFonts w:ascii="Arial" w:hAnsi="Arial" w:cs="Arial"/>
                <w:sz w:val="20"/>
                <w:szCs w:val="20"/>
              </w:rPr>
            </w:pPr>
            <w:r w:rsidRPr="00BE5AFD">
              <w:rPr>
                <w:rFonts w:ascii="Arial" w:hAnsi="Arial" w:cs="Arial"/>
                <w:sz w:val="20"/>
                <w:szCs w:val="20"/>
              </w:rPr>
              <w:t>67</w:t>
            </w:r>
          </w:p>
        </w:tc>
        <w:tc>
          <w:tcPr>
            <w:tcW w:w="2801" w:type="dxa"/>
            <w:tcBorders>
              <w:top w:val="single" w:sz="4" w:space="0" w:color="auto"/>
              <w:left w:val="single" w:sz="4" w:space="0" w:color="auto"/>
              <w:bottom w:val="single" w:sz="4" w:space="0" w:color="auto"/>
              <w:right w:val="single" w:sz="4" w:space="0" w:color="auto"/>
            </w:tcBorders>
            <w:hideMark/>
          </w:tcPr>
          <w:p w14:paraId="665538E9" w14:textId="77777777" w:rsidR="00FF767D" w:rsidRPr="00BE5AFD" w:rsidRDefault="00FF767D">
            <w:pPr>
              <w:rPr>
                <w:rFonts w:ascii="Arial" w:hAnsi="Arial" w:cs="Arial"/>
                <w:sz w:val="20"/>
                <w:szCs w:val="20"/>
              </w:rPr>
            </w:pPr>
            <w:r w:rsidRPr="00BE5AFD">
              <w:rPr>
                <w:rFonts w:ascii="Arial" w:hAnsi="Arial" w:cs="Arial"/>
                <w:sz w:val="20"/>
                <w:szCs w:val="20"/>
              </w:rPr>
              <w:t xml:space="preserve">PRIHODI IZ NADLEŽNOG PRORAČUNA </w:t>
            </w:r>
          </w:p>
        </w:tc>
        <w:tc>
          <w:tcPr>
            <w:tcW w:w="1546" w:type="dxa"/>
            <w:tcBorders>
              <w:top w:val="single" w:sz="4" w:space="0" w:color="auto"/>
              <w:left w:val="single" w:sz="4" w:space="0" w:color="auto"/>
              <w:bottom w:val="single" w:sz="4" w:space="0" w:color="auto"/>
              <w:right w:val="single" w:sz="4" w:space="0" w:color="auto"/>
            </w:tcBorders>
          </w:tcPr>
          <w:p w14:paraId="6E753462" w14:textId="77777777" w:rsidR="00FF767D" w:rsidRPr="00BE5AFD" w:rsidRDefault="00FF767D">
            <w:pPr>
              <w:jc w:val="right"/>
              <w:rPr>
                <w:rFonts w:ascii="Arial" w:hAnsi="Arial" w:cs="Arial"/>
                <w:sz w:val="20"/>
                <w:szCs w:val="20"/>
              </w:rPr>
            </w:pPr>
          </w:p>
          <w:p w14:paraId="21678977" w14:textId="77777777" w:rsidR="00FF767D" w:rsidRPr="00BE5AFD" w:rsidRDefault="00FF767D">
            <w:pPr>
              <w:jc w:val="right"/>
              <w:rPr>
                <w:rFonts w:ascii="Arial" w:hAnsi="Arial" w:cs="Arial"/>
                <w:sz w:val="20"/>
                <w:szCs w:val="20"/>
              </w:rPr>
            </w:pPr>
            <w:r w:rsidRPr="00BE5AFD">
              <w:rPr>
                <w:rFonts w:ascii="Arial" w:hAnsi="Arial" w:cs="Arial"/>
                <w:sz w:val="20"/>
                <w:szCs w:val="20"/>
              </w:rPr>
              <w:t>82.040,00</w:t>
            </w:r>
          </w:p>
        </w:tc>
        <w:tc>
          <w:tcPr>
            <w:tcW w:w="1350" w:type="dxa"/>
            <w:tcBorders>
              <w:top w:val="single" w:sz="4" w:space="0" w:color="auto"/>
              <w:left w:val="single" w:sz="4" w:space="0" w:color="auto"/>
              <w:bottom w:val="single" w:sz="4" w:space="0" w:color="auto"/>
              <w:right w:val="single" w:sz="4" w:space="0" w:color="auto"/>
            </w:tcBorders>
          </w:tcPr>
          <w:p w14:paraId="1C11696F" w14:textId="77777777" w:rsidR="00FF767D" w:rsidRPr="00BE5AFD" w:rsidRDefault="00FF767D">
            <w:pPr>
              <w:jc w:val="right"/>
              <w:rPr>
                <w:rFonts w:ascii="Arial" w:hAnsi="Arial" w:cs="Arial"/>
                <w:sz w:val="20"/>
                <w:szCs w:val="20"/>
              </w:rPr>
            </w:pPr>
          </w:p>
          <w:p w14:paraId="63067A93" w14:textId="77777777" w:rsidR="00FF767D" w:rsidRPr="00BE5AFD" w:rsidRDefault="00FF767D">
            <w:pPr>
              <w:jc w:val="right"/>
              <w:rPr>
                <w:rFonts w:ascii="Arial" w:hAnsi="Arial" w:cs="Arial"/>
                <w:sz w:val="20"/>
                <w:szCs w:val="20"/>
              </w:rPr>
            </w:pPr>
            <w:r w:rsidRPr="00BE5AFD">
              <w:rPr>
                <w:rFonts w:ascii="Arial" w:hAnsi="Arial" w:cs="Arial"/>
                <w:sz w:val="20"/>
                <w:szCs w:val="20"/>
              </w:rPr>
              <w:t>13.067,00</w:t>
            </w:r>
          </w:p>
        </w:tc>
        <w:tc>
          <w:tcPr>
            <w:tcW w:w="1546" w:type="dxa"/>
            <w:tcBorders>
              <w:top w:val="single" w:sz="4" w:space="0" w:color="auto"/>
              <w:left w:val="single" w:sz="4" w:space="0" w:color="auto"/>
              <w:bottom w:val="single" w:sz="4" w:space="0" w:color="auto"/>
              <w:right w:val="single" w:sz="4" w:space="0" w:color="auto"/>
            </w:tcBorders>
          </w:tcPr>
          <w:p w14:paraId="0A993C89" w14:textId="77777777" w:rsidR="00FF767D" w:rsidRPr="00BE5AFD" w:rsidRDefault="00FF767D">
            <w:pPr>
              <w:jc w:val="right"/>
              <w:rPr>
                <w:rFonts w:ascii="Arial" w:hAnsi="Arial" w:cs="Arial"/>
                <w:sz w:val="20"/>
                <w:szCs w:val="20"/>
              </w:rPr>
            </w:pPr>
          </w:p>
          <w:p w14:paraId="33B41329" w14:textId="77777777" w:rsidR="00FF767D" w:rsidRPr="00BE5AFD" w:rsidRDefault="00FF767D">
            <w:pPr>
              <w:jc w:val="right"/>
              <w:rPr>
                <w:rFonts w:ascii="Arial" w:hAnsi="Arial" w:cs="Arial"/>
                <w:sz w:val="20"/>
                <w:szCs w:val="20"/>
              </w:rPr>
            </w:pPr>
            <w:r w:rsidRPr="00BE5AFD">
              <w:rPr>
                <w:rFonts w:ascii="Arial" w:hAnsi="Arial" w:cs="Arial"/>
                <w:sz w:val="20"/>
                <w:szCs w:val="20"/>
              </w:rPr>
              <w:t>95.107,00</w:t>
            </w:r>
          </w:p>
        </w:tc>
        <w:tc>
          <w:tcPr>
            <w:tcW w:w="1217" w:type="dxa"/>
            <w:tcBorders>
              <w:top w:val="single" w:sz="4" w:space="0" w:color="auto"/>
              <w:left w:val="single" w:sz="4" w:space="0" w:color="auto"/>
              <w:bottom w:val="single" w:sz="4" w:space="0" w:color="auto"/>
              <w:right w:val="single" w:sz="4" w:space="0" w:color="auto"/>
            </w:tcBorders>
          </w:tcPr>
          <w:p w14:paraId="1E4FD900" w14:textId="77777777" w:rsidR="00FF767D" w:rsidRPr="00BE5AFD" w:rsidRDefault="00FF767D">
            <w:pPr>
              <w:jc w:val="right"/>
              <w:rPr>
                <w:rFonts w:ascii="Arial" w:hAnsi="Arial" w:cs="Arial"/>
                <w:color w:val="FF0000"/>
                <w:sz w:val="20"/>
                <w:szCs w:val="20"/>
              </w:rPr>
            </w:pPr>
          </w:p>
          <w:p w14:paraId="784484F3" w14:textId="77777777" w:rsidR="00FF767D" w:rsidRPr="00BE5AFD" w:rsidRDefault="00FF767D">
            <w:pPr>
              <w:jc w:val="right"/>
              <w:rPr>
                <w:rFonts w:ascii="Arial" w:hAnsi="Arial" w:cs="Arial"/>
                <w:color w:val="FF0000"/>
                <w:sz w:val="20"/>
                <w:szCs w:val="20"/>
              </w:rPr>
            </w:pPr>
            <w:r w:rsidRPr="00BE5AFD">
              <w:rPr>
                <w:rFonts w:ascii="Arial" w:hAnsi="Arial" w:cs="Arial"/>
                <w:sz w:val="20"/>
                <w:szCs w:val="20"/>
              </w:rPr>
              <w:t>115,93</w:t>
            </w:r>
          </w:p>
        </w:tc>
      </w:tr>
      <w:tr w:rsidR="00FF767D" w:rsidRPr="00BE5AFD" w14:paraId="67225BB6" w14:textId="77777777" w:rsidTr="00FF767D">
        <w:tc>
          <w:tcPr>
            <w:tcW w:w="1004" w:type="dxa"/>
            <w:tcBorders>
              <w:top w:val="single" w:sz="4" w:space="0" w:color="auto"/>
              <w:left w:val="single" w:sz="4" w:space="0" w:color="auto"/>
              <w:bottom w:val="single" w:sz="4" w:space="0" w:color="auto"/>
              <w:right w:val="single" w:sz="4" w:space="0" w:color="auto"/>
            </w:tcBorders>
            <w:hideMark/>
          </w:tcPr>
          <w:p w14:paraId="527E55E0" w14:textId="77777777" w:rsidR="00FF767D" w:rsidRPr="00BE5AFD" w:rsidRDefault="00FF767D">
            <w:pPr>
              <w:rPr>
                <w:rFonts w:ascii="Arial" w:hAnsi="Arial" w:cs="Arial"/>
                <w:b/>
                <w:sz w:val="20"/>
                <w:szCs w:val="20"/>
              </w:rPr>
            </w:pPr>
            <w:r w:rsidRPr="00BE5AFD">
              <w:rPr>
                <w:rFonts w:ascii="Arial" w:hAnsi="Arial" w:cs="Arial"/>
                <w:b/>
                <w:sz w:val="20"/>
                <w:szCs w:val="20"/>
              </w:rPr>
              <w:t>9</w:t>
            </w:r>
          </w:p>
        </w:tc>
        <w:tc>
          <w:tcPr>
            <w:tcW w:w="2801" w:type="dxa"/>
            <w:tcBorders>
              <w:top w:val="single" w:sz="4" w:space="0" w:color="auto"/>
              <w:left w:val="single" w:sz="4" w:space="0" w:color="auto"/>
              <w:bottom w:val="single" w:sz="4" w:space="0" w:color="auto"/>
              <w:right w:val="single" w:sz="4" w:space="0" w:color="auto"/>
            </w:tcBorders>
            <w:hideMark/>
          </w:tcPr>
          <w:p w14:paraId="53B15C66" w14:textId="77777777" w:rsidR="00FF767D" w:rsidRPr="00BE5AFD" w:rsidRDefault="00FF767D">
            <w:pPr>
              <w:rPr>
                <w:rFonts w:ascii="Arial" w:hAnsi="Arial" w:cs="Arial"/>
                <w:b/>
                <w:sz w:val="20"/>
                <w:szCs w:val="20"/>
              </w:rPr>
            </w:pPr>
            <w:r w:rsidRPr="00BE5AFD">
              <w:rPr>
                <w:rFonts w:ascii="Arial" w:hAnsi="Arial" w:cs="Arial"/>
                <w:b/>
                <w:sz w:val="20"/>
                <w:szCs w:val="20"/>
              </w:rPr>
              <w:t>VLASTITI IZVORI</w:t>
            </w:r>
          </w:p>
        </w:tc>
        <w:tc>
          <w:tcPr>
            <w:tcW w:w="1546" w:type="dxa"/>
            <w:tcBorders>
              <w:top w:val="single" w:sz="4" w:space="0" w:color="auto"/>
              <w:left w:val="single" w:sz="4" w:space="0" w:color="auto"/>
              <w:bottom w:val="single" w:sz="4" w:space="0" w:color="auto"/>
              <w:right w:val="single" w:sz="4" w:space="0" w:color="auto"/>
            </w:tcBorders>
            <w:hideMark/>
          </w:tcPr>
          <w:p w14:paraId="56328FB8" w14:textId="77777777" w:rsidR="00FF767D" w:rsidRPr="00BE5AFD" w:rsidRDefault="00FF767D">
            <w:pPr>
              <w:jc w:val="center"/>
              <w:rPr>
                <w:rFonts w:ascii="Arial" w:hAnsi="Arial" w:cs="Arial"/>
                <w:b/>
                <w:sz w:val="20"/>
                <w:szCs w:val="20"/>
              </w:rPr>
            </w:pPr>
            <w:r w:rsidRPr="00BE5AFD">
              <w:rPr>
                <w:rFonts w:ascii="Arial" w:hAnsi="Arial" w:cs="Arial"/>
                <w:b/>
                <w:sz w:val="20"/>
                <w:szCs w:val="20"/>
              </w:rPr>
              <w:t xml:space="preserve">       1.500,00</w:t>
            </w:r>
          </w:p>
        </w:tc>
        <w:tc>
          <w:tcPr>
            <w:tcW w:w="1350" w:type="dxa"/>
            <w:tcBorders>
              <w:top w:val="single" w:sz="4" w:space="0" w:color="auto"/>
              <w:left w:val="single" w:sz="4" w:space="0" w:color="auto"/>
              <w:bottom w:val="single" w:sz="4" w:space="0" w:color="auto"/>
              <w:right w:val="single" w:sz="4" w:space="0" w:color="auto"/>
            </w:tcBorders>
            <w:hideMark/>
          </w:tcPr>
          <w:p w14:paraId="6CC05770" w14:textId="77777777" w:rsidR="00FF767D" w:rsidRPr="00BE5AFD" w:rsidRDefault="00FF767D">
            <w:pPr>
              <w:jc w:val="right"/>
              <w:rPr>
                <w:rFonts w:ascii="Arial" w:hAnsi="Arial" w:cs="Arial"/>
                <w:b/>
                <w:sz w:val="20"/>
                <w:szCs w:val="20"/>
              </w:rPr>
            </w:pPr>
            <w:r w:rsidRPr="00BE5AFD">
              <w:rPr>
                <w:rFonts w:ascii="Arial" w:hAnsi="Arial" w:cs="Arial"/>
                <w:b/>
                <w:sz w:val="20"/>
                <w:szCs w:val="20"/>
              </w:rPr>
              <w:t>6.857,00</w:t>
            </w:r>
          </w:p>
        </w:tc>
        <w:tc>
          <w:tcPr>
            <w:tcW w:w="1546" w:type="dxa"/>
            <w:tcBorders>
              <w:top w:val="single" w:sz="4" w:space="0" w:color="auto"/>
              <w:left w:val="single" w:sz="4" w:space="0" w:color="auto"/>
              <w:bottom w:val="single" w:sz="4" w:space="0" w:color="auto"/>
              <w:right w:val="single" w:sz="4" w:space="0" w:color="auto"/>
            </w:tcBorders>
            <w:hideMark/>
          </w:tcPr>
          <w:p w14:paraId="29E75C79" w14:textId="77777777" w:rsidR="00FF767D" w:rsidRPr="00BE5AFD" w:rsidRDefault="00FF767D">
            <w:pPr>
              <w:jc w:val="right"/>
              <w:rPr>
                <w:rFonts w:ascii="Arial" w:hAnsi="Arial" w:cs="Arial"/>
                <w:b/>
                <w:sz w:val="20"/>
                <w:szCs w:val="20"/>
              </w:rPr>
            </w:pPr>
            <w:r w:rsidRPr="00BE5AFD">
              <w:rPr>
                <w:rFonts w:ascii="Arial" w:hAnsi="Arial" w:cs="Arial"/>
                <w:b/>
                <w:sz w:val="20"/>
                <w:szCs w:val="20"/>
              </w:rPr>
              <w:t>8.357,00</w:t>
            </w:r>
          </w:p>
        </w:tc>
        <w:tc>
          <w:tcPr>
            <w:tcW w:w="1217" w:type="dxa"/>
            <w:tcBorders>
              <w:top w:val="single" w:sz="4" w:space="0" w:color="auto"/>
              <w:left w:val="single" w:sz="4" w:space="0" w:color="auto"/>
              <w:bottom w:val="single" w:sz="4" w:space="0" w:color="auto"/>
              <w:right w:val="single" w:sz="4" w:space="0" w:color="auto"/>
            </w:tcBorders>
            <w:hideMark/>
          </w:tcPr>
          <w:p w14:paraId="2BD3604E" w14:textId="77777777" w:rsidR="00FF767D" w:rsidRPr="00BE5AFD" w:rsidRDefault="00FF767D">
            <w:pPr>
              <w:rPr>
                <w:rFonts w:ascii="Arial" w:hAnsi="Arial" w:cs="Arial"/>
                <w:b/>
                <w:sz w:val="20"/>
                <w:szCs w:val="20"/>
              </w:rPr>
            </w:pPr>
            <w:r w:rsidRPr="00BE5AFD">
              <w:rPr>
                <w:rFonts w:ascii="Arial" w:hAnsi="Arial" w:cs="Arial"/>
                <w:b/>
                <w:sz w:val="20"/>
                <w:szCs w:val="20"/>
              </w:rPr>
              <w:t xml:space="preserve">      557,13</w:t>
            </w:r>
          </w:p>
        </w:tc>
      </w:tr>
      <w:tr w:rsidR="00FF767D" w:rsidRPr="00BE5AFD" w14:paraId="233567F1" w14:textId="77777777" w:rsidTr="00FF767D">
        <w:tc>
          <w:tcPr>
            <w:tcW w:w="1004" w:type="dxa"/>
            <w:tcBorders>
              <w:top w:val="single" w:sz="4" w:space="0" w:color="auto"/>
              <w:left w:val="single" w:sz="4" w:space="0" w:color="auto"/>
              <w:bottom w:val="single" w:sz="4" w:space="0" w:color="auto"/>
              <w:right w:val="single" w:sz="4" w:space="0" w:color="auto"/>
            </w:tcBorders>
            <w:hideMark/>
          </w:tcPr>
          <w:p w14:paraId="2C254AFB" w14:textId="77777777" w:rsidR="00FF767D" w:rsidRPr="00BE5AFD" w:rsidRDefault="00FF767D">
            <w:pPr>
              <w:rPr>
                <w:rFonts w:ascii="Arial" w:hAnsi="Arial" w:cs="Arial"/>
                <w:sz w:val="20"/>
                <w:szCs w:val="20"/>
              </w:rPr>
            </w:pPr>
            <w:r w:rsidRPr="00BE5AFD">
              <w:rPr>
                <w:rFonts w:ascii="Arial" w:hAnsi="Arial" w:cs="Arial"/>
                <w:sz w:val="20"/>
                <w:szCs w:val="20"/>
              </w:rPr>
              <w:t>92</w:t>
            </w:r>
          </w:p>
        </w:tc>
        <w:tc>
          <w:tcPr>
            <w:tcW w:w="2801" w:type="dxa"/>
            <w:tcBorders>
              <w:top w:val="single" w:sz="4" w:space="0" w:color="auto"/>
              <w:left w:val="single" w:sz="4" w:space="0" w:color="auto"/>
              <w:bottom w:val="single" w:sz="4" w:space="0" w:color="auto"/>
              <w:right w:val="single" w:sz="4" w:space="0" w:color="auto"/>
            </w:tcBorders>
            <w:hideMark/>
          </w:tcPr>
          <w:p w14:paraId="2DBA4E4F" w14:textId="77777777" w:rsidR="00FF767D" w:rsidRPr="00BE5AFD" w:rsidRDefault="00FF767D">
            <w:pPr>
              <w:rPr>
                <w:rFonts w:ascii="Arial" w:hAnsi="Arial" w:cs="Arial"/>
                <w:sz w:val="20"/>
                <w:szCs w:val="20"/>
              </w:rPr>
            </w:pPr>
            <w:r w:rsidRPr="00BE5AFD">
              <w:rPr>
                <w:rFonts w:ascii="Arial" w:hAnsi="Arial" w:cs="Arial"/>
                <w:sz w:val="20"/>
                <w:szCs w:val="20"/>
              </w:rPr>
              <w:t>REZULTAT POSLOVANJA-VIŠAK</w:t>
            </w:r>
          </w:p>
        </w:tc>
        <w:tc>
          <w:tcPr>
            <w:tcW w:w="1546" w:type="dxa"/>
            <w:tcBorders>
              <w:top w:val="single" w:sz="4" w:space="0" w:color="auto"/>
              <w:left w:val="single" w:sz="4" w:space="0" w:color="auto"/>
              <w:bottom w:val="single" w:sz="4" w:space="0" w:color="auto"/>
              <w:right w:val="single" w:sz="4" w:space="0" w:color="auto"/>
            </w:tcBorders>
            <w:hideMark/>
          </w:tcPr>
          <w:p w14:paraId="5F5AFF58" w14:textId="77777777" w:rsidR="00FF767D" w:rsidRPr="00BE5AFD" w:rsidRDefault="00FF767D">
            <w:pPr>
              <w:jc w:val="center"/>
              <w:rPr>
                <w:rFonts w:ascii="Arial" w:hAnsi="Arial" w:cs="Arial"/>
                <w:sz w:val="20"/>
                <w:szCs w:val="20"/>
              </w:rPr>
            </w:pPr>
            <w:r w:rsidRPr="00BE5AFD">
              <w:rPr>
                <w:rFonts w:ascii="Arial" w:hAnsi="Arial" w:cs="Arial"/>
                <w:sz w:val="20"/>
                <w:szCs w:val="20"/>
              </w:rPr>
              <w:t xml:space="preserve">       1.500,00</w:t>
            </w:r>
          </w:p>
        </w:tc>
        <w:tc>
          <w:tcPr>
            <w:tcW w:w="1350" w:type="dxa"/>
            <w:tcBorders>
              <w:top w:val="single" w:sz="4" w:space="0" w:color="auto"/>
              <w:left w:val="single" w:sz="4" w:space="0" w:color="auto"/>
              <w:bottom w:val="single" w:sz="4" w:space="0" w:color="auto"/>
              <w:right w:val="single" w:sz="4" w:space="0" w:color="auto"/>
            </w:tcBorders>
            <w:hideMark/>
          </w:tcPr>
          <w:p w14:paraId="4102BA38" w14:textId="77777777" w:rsidR="00FF767D" w:rsidRPr="00BE5AFD" w:rsidRDefault="00FF767D">
            <w:pPr>
              <w:jc w:val="right"/>
              <w:rPr>
                <w:rFonts w:ascii="Arial" w:hAnsi="Arial" w:cs="Arial"/>
                <w:sz w:val="20"/>
                <w:szCs w:val="20"/>
              </w:rPr>
            </w:pPr>
            <w:r w:rsidRPr="00BE5AFD">
              <w:rPr>
                <w:rFonts w:ascii="Arial" w:hAnsi="Arial" w:cs="Arial"/>
                <w:sz w:val="20"/>
                <w:szCs w:val="20"/>
              </w:rPr>
              <w:t>6.857,00</w:t>
            </w:r>
          </w:p>
        </w:tc>
        <w:tc>
          <w:tcPr>
            <w:tcW w:w="1546" w:type="dxa"/>
            <w:tcBorders>
              <w:top w:val="single" w:sz="4" w:space="0" w:color="auto"/>
              <w:left w:val="single" w:sz="4" w:space="0" w:color="auto"/>
              <w:bottom w:val="single" w:sz="4" w:space="0" w:color="auto"/>
              <w:right w:val="single" w:sz="4" w:space="0" w:color="auto"/>
            </w:tcBorders>
            <w:hideMark/>
          </w:tcPr>
          <w:p w14:paraId="20AEDBB9" w14:textId="77777777" w:rsidR="00FF767D" w:rsidRPr="00BE5AFD" w:rsidRDefault="00FF767D">
            <w:pPr>
              <w:jc w:val="right"/>
              <w:rPr>
                <w:rFonts w:ascii="Arial" w:hAnsi="Arial" w:cs="Arial"/>
                <w:sz w:val="20"/>
                <w:szCs w:val="20"/>
              </w:rPr>
            </w:pPr>
            <w:r w:rsidRPr="00BE5AFD">
              <w:rPr>
                <w:rFonts w:ascii="Arial" w:hAnsi="Arial" w:cs="Arial"/>
                <w:sz w:val="20"/>
                <w:szCs w:val="20"/>
              </w:rPr>
              <w:t>8.357,00</w:t>
            </w:r>
          </w:p>
        </w:tc>
        <w:tc>
          <w:tcPr>
            <w:tcW w:w="1217" w:type="dxa"/>
            <w:tcBorders>
              <w:top w:val="single" w:sz="4" w:space="0" w:color="auto"/>
              <w:left w:val="single" w:sz="4" w:space="0" w:color="auto"/>
              <w:bottom w:val="single" w:sz="4" w:space="0" w:color="auto"/>
              <w:right w:val="single" w:sz="4" w:space="0" w:color="auto"/>
            </w:tcBorders>
            <w:hideMark/>
          </w:tcPr>
          <w:p w14:paraId="6F3018D4" w14:textId="77777777" w:rsidR="00FF767D" w:rsidRPr="00BE5AFD" w:rsidRDefault="00FF767D">
            <w:pPr>
              <w:jc w:val="right"/>
              <w:rPr>
                <w:rFonts w:ascii="Arial" w:hAnsi="Arial" w:cs="Arial"/>
                <w:sz w:val="20"/>
                <w:szCs w:val="20"/>
              </w:rPr>
            </w:pPr>
            <w:r w:rsidRPr="00BE5AFD">
              <w:rPr>
                <w:rFonts w:ascii="Arial" w:hAnsi="Arial" w:cs="Arial"/>
                <w:sz w:val="20"/>
                <w:szCs w:val="20"/>
              </w:rPr>
              <w:t>557,13</w:t>
            </w:r>
          </w:p>
        </w:tc>
      </w:tr>
      <w:tr w:rsidR="00FF767D" w:rsidRPr="00BE5AFD" w14:paraId="08A8A4FF" w14:textId="77777777" w:rsidTr="00FF767D">
        <w:tc>
          <w:tcPr>
            <w:tcW w:w="1004" w:type="dxa"/>
            <w:tcBorders>
              <w:top w:val="single" w:sz="4" w:space="0" w:color="auto"/>
              <w:left w:val="single" w:sz="4" w:space="0" w:color="auto"/>
              <w:bottom w:val="single" w:sz="4" w:space="0" w:color="auto"/>
              <w:right w:val="single" w:sz="4" w:space="0" w:color="auto"/>
            </w:tcBorders>
          </w:tcPr>
          <w:p w14:paraId="52E143D1" w14:textId="77777777" w:rsidR="00FF767D" w:rsidRPr="00BE5AFD" w:rsidRDefault="00FF767D">
            <w:pPr>
              <w:rPr>
                <w:rFonts w:ascii="Arial" w:hAnsi="Arial" w:cs="Arial"/>
                <w:color w:val="FF0000"/>
                <w:sz w:val="20"/>
                <w:szCs w:val="20"/>
              </w:rPr>
            </w:pPr>
          </w:p>
        </w:tc>
        <w:tc>
          <w:tcPr>
            <w:tcW w:w="2801" w:type="dxa"/>
            <w:tcBorders>
              <w:top w:val="single" w:sz="4" w:space="0" w:color="auto"/>
              <w:left w:val="single" w:sz="4" w:space="0" w:color="auto"/>
              <w:bottom w:val="single" w:sz="4" w:space="0" w:color="auto"/>
              <w:right w:val="single" w:sz="4" w:space="0" w:color="auto"/>
            </w:tcBorders>
            <w:hideMark/>
          </w:tcPr>
          <w:p w14:paraId="26F39CC4" w14:textId="77777777" w:rsidR="00FF767D" w:rsidRPr="00BE5AFD" w:rsidRDefault="00FF767D">
            <w:pPr>
              <w:rPr>
                <w:rFonts w:ascii="Arial" w:hAnsi="Arial" w:cs="Arial"/>
                <w:b/>
                <w:sz w:val="20"/>
                <w:szCs w:val="20"/>
              </w:rPr>
            </w:pPr>
            <w:r w:rsidRPr="00BE5AFD">
              <w:rPr>
                <w:rFonts w:ascii="Arial" w:hAnsi="Arial" w:cs="Arial"/>
                <w:b/>
                <w:sz w:val="20"/>
                <w:szCs w:val="20"/>
              </w:rPr>
              <w:t>SVEUKUPNI PRIHODI I REZULTAT POSLOVANJA</w:t>
            </w:r>
          </w:p>
        </w:tc>
        <w:tc>
          <w:tcPr>
            <w:tcW w:w="1546" w:type="dxa"/>
            <w:tcBorders>
              <w:top w:val="single" w:sz="4" w:space="0" w:color="auto"/>
              <w:left w:val="single" w:sz="4" w:space="0" w:color="auto"/>
              <w:bottom w:val="single" w:sz="4" w:space="0" w:color="auto"/>
              <w:right w:val="single" w:sz="4" w:space="0" w:color="auto"/>
            </w:tcBorders>
            <w:hideMark/>
          </w:tcPr>
          <w:p w14:paraId="6AD1DDFF" w14:textId="77777777" w:rsidR="00FF767D" w:rsidRPr="00BE5AFD" w:rsidRDefault="00FF767D">
            <w:pPr>
              <w:jc w:val="right"/>
              <w:rPr>
                <w:rFonts w:ascii="Arial" w:hAnsi="Arial" w:cs="Arial"/>
                <w:b/>
                <w:sz w:val="20"/>
                <w:szCs w:val="20"/>
              </w:rPr>
            </w:pPr>
            <w:r w:rsidRPr="00BE5AFD">
              <w:rPr>
                <w:rFonts w:ascii="Arial" w:hAnsi="Arial" w:cs="Arial"/>
                <w:b/>
                <w:sz w:val="20"/>
                <w:szCs w:val="20"/>
              </w:rPr>
              <w:t>664.020,00</w:t>
            </w:r>
          </w:p>
        </w:tc>
        <w:tc>
          <w:tcPr>
            <w:tcW w:w="1350" w:type="dxa"/>
            <w:tcBorders>
              <w:top w:val="single" w:sz="4" w:space="0" w:color="auto"/>
              <w:left w:val="single" w:sz="4" w:space="0" w:color="auto"/>
              <w:bottom w:val="single" w:sz="4" w:space="0" w:color="auto"/>
              <w:right w:val="single" w:sz="4" w:space="0" w:color="auto"/>
            </w:tcBorders>
            <w:hideMark/>
          </w:tcPr>
          <w:p w14:paraId="103E74D4" w14:textId="77777777" w:rsidR="00FF767D" w:rsidRPr="00BE5AFD" w:rsidRDefault="00FF767D">
            <w:pPr>
              <w:jc w:val="right"/>
              <w:rPr>
                <w:rFonts w:ascii="Arial" w:hAnsi="Arial" w:cs="Arial"/>
                <w:b/>
                <w:sz w:val="20"/>
                <w:szCs w:val="20"/>
              </w:rPr>
            </w:pPr>
            <w:r w:rsidRPr="00BE5AFD">
              <w:rPr>
                <w:rFonts w:ascii="Arial" w:hAnsi="Arial" w:cs="Arial"/>
                <w:b/>
                <w:sz w:val="20"/>
                <w:szCs w:val="20"/>
              </w:rPr>
              <w:t>38.421,00</w:t>
            </w:r>
          </w:p>
        </w:tc>
        <w:tc>
          <w:tcPr>
            <w:tcW w:w="1546" w:type="dxa"/>
            <w:tcBorders>
              <w:top w:val="single" w:sz="4" w:space="0" w:color="auto"/>
              <w:left w:val="single" w:sz="4" w:space="0" w:color="auto"/>
              <w:bottom w:val="single" w:sz="4" w:space="0" w:color="auto"/>
              <w:right w:val="single" w:sz="4" w:space="0" w:color="auto"/>
            </w:tcBorders>
            <w:hideMark/>
          </w:tcPr>
          <w:p w14:paraId="47149FCA" w14:textId="77777777" w:rsidR="00FF767D" w:rsidRPr="00BE5AFD" w:rsidRDefault="00FF767D">
            <w:pPr>
              <w:jc w:val="right"/>
              <w:rPr>
                <w:rFonts w:ascii="Arial" w:hAnsi="Arial" w:cs="Arial"/>
                <w:b/>
                <w:sz w:val="20"/>
                <w:szCs w:val="20"/>
              </w:rPr>
            </w:pPr>
            <w:r w:rsidRPr="00BE5AFD">
              <w:rPr>
                <w:rFonts w:ascii="Arial" w:hAnsi="Arial" w:cs="Arial"/>
                <w:b/>
                <w:sz w:val="20"/>
                <w:szCs w:val="20"/>
              </w:rPr>
              <w:t>702.441,00</w:t>
            </w:r>
          </w:p>
        </w:tc>
        <w:tc>
          <w:tcPr>
            <w:tcW w:w="1217" w:type="dxa"/>
            <w:tcBorders>
              <w:top w:val="single" w:sz="4" w:space="0" w:color="auto"/>
              <w:left w:val="single" w:sz="4" w:space="0" w:color="auto"/>
              <w:bottom w:val="single" w:sz="4" w:space="0" w:color="auto"/>
              <w:right w:val="single" w:sz="4" w:space="0" w:color="auto"/>
            </w:tcBorders>
            <w:hideMark/>
          </w:tcPr>
          <w:p w14:paraId="7D42D9C0" w14:textId="77777777" w:rsidR="00FF767D" w:rsidRPr="00BE5AFD" w:rsidRDefault="00FF767D">
            <w:pPr>
              <w:jc w:val="right"/>
              <w:rPr>
                <w:rFonts w:ascii="Arial" w:hAnsi="Arial" w:cs="Arial"/>
                <w:b/>
                <w:color w:val="FF0000"/>
                <w:sz w:val="20"/>
                <w:szCs w:val="20"/>
              </w:rPr>
            </w:pPr>
            <w:r w:rsidRPr="00BE5AFD">
              <w:rPr>
                <w:rFonts w:ascii="Arial" w:hAnsi="Arial" w:cs="Arial"/>
                <w:b/>
                <w:sz w:val="20"/>
                <w:szCs w:val="20"/>
              </w:rPr>
              <w:t>105,79</w:t>
            </w:r>
          </w:p>
        </w:tc>
      </w:tr>
      <w:tr w:rsidR="00FF767D" w:rsidRPr="00BE5AFD" w14:paraId="6ADF7345" w14:textId="77777777" w:rsidTr="00FF767D">
        <w:tc>
          <w:tcPr>
            <w:tcW w:w="1004" w:type="dxa"/>
            <w:tcBorders>
              <w:top w:val="single" w:sz="4" w:space="0" w:color="auto"/>
              <w:left w:val="single" w:sz="4" w:space="0" w:color="auto"/>
              <w:bottom w:val="single" w:sz="4" w:space="0" w:color="auto"/>
              <w:right w:val="single" w:sz="4" w:space="0" w:color="auto"/>
            </w:tcBorders>
            <w:hideMark/>
          </w:tcPr>
          <w:p w14:paraId="48CE830F" w14:textId="77777777" w:rsidR="00FF767D" w:rsidRPr="00BE5AFD" w:rsidRDefault="00FF767D">
            <w:pPr>
              <w:rPr>
                <w:rFonts w:ascii="Arial" w:hAnsi="Arial" w:cs="Arial"/>
                <w:b/>
                <w:sz w:val="20"/>
                <w:szCs w:val="20"/>
              </w:rPr>
            </w:pPr>
            <w:r w:rsidRPr="00BE5AFD">
              <w:rPr>
                <w:rFonts w:ascii="Arial" w:hAnsi="Arial" w:cs="Arial"/>
                <w:b/>
                <w:sz w:val="20"/>
                <w:szCs w:val="20"/>
              </w:rPr>
              <w:t>3</w:t>
            </w:r>
          </w:p>
        </w:tc>
        <w:tc>
          <w:tcPr>
            <w:tcW w:w="2801" w:type="dxa"/>
            <w:tcBorders>
              <w:top w:val="single" w:sz="4" w:space="0" w:color="auto"/>
              <w:left w:val="single" w:sz="4" w:space="0" w:color="auto"/>
              <w:bottom w:val="single" w:sz="4" w:space="0" w:color="auto"/>
              <w:right w:val="single" w:sz="4" w:space="0" w:color="auto"/>
            </w:tcBorders>
            <w:hideMark/>
          </w:tcPr>
          <w:p w14:paraId="3586A7AC" w14:textId="77777777" w:rsidR="00FF767D" w:rsidRPr="00BE5AFD" w:rsidRDefault="00FF767D">
            <w:pPr>
              <w:rPr>
                <w:rFonts w:ascii="Arial" w:hAnsi="Arial" w:cs="Arial"/>
                <w:b/>
                <w:sz w:val="20"/>
                <w:szCs w:val="20"/>
              </w:rPr>
            </w:pPr>
            <w:r w:rsidRPr="00BE5AFD">
              <w:rPr>
                <w:rFonts w:ascii="Arial" w:hAnsi="Arial" w:cs="Arial"/>
                <w:b/>
                <w:sz w:val="20"/>
                <w:szCs w:val="20"/>
              </w:rPr>
              <w:t>RASHODI POSLOVANJA</w:t>
            </w:r>
          </w:p>
        </w:tc>
        <w:tc>
          <w:tcPr>
            <w:tcW w:w="1546" w:type="dxa"/>
            <w:tcBorders>
              <w:top w:val="single" w:sz="4" w:space="0" w:color="auto"/>
              <w:left w:val="single" w:sz="4" w:space="0" w:color="auto"/>
              <w:bottom w:val="single" w:sz="4" w:space="0" w:color="auto"/>
              <w:right w:val="single" w:sz="4" w:space="0" w:color="auto"/>
            </w:tcBorders>
            <w:hideMark/>
          </w:tcPr>
          <w:p w14:paraId="09DB476E" w14:textId="77777777" w:rsidR="00FF767D" w:rsidRPr="00BE5AFD" w:rsidRDefault="00FF767D">
            <w:pPr>
              <w:jc w:val="right"/>
              <w:rPr>
                <w:rFonts w:ascii="Arial" w:hAnsi="Arial" w:cs="Arial"/>
                <w:b/>
                <w:sz w:val="20"/>
                <w:szCs w:val="20"/>
              </w:rPr>
            </w:pPr>
            <w:r w:rsidRPr="00BE5AFD">
              <w:rPr>
                <w:rFonts w:ascii="Arial" w:hAnsi="Arial" w:cs="Arial"/>
                <w:b/>
                <w:sz w:val="20"/>
                <w:szCs w:val="20"/>
              </w:rPr>
              <w:t>662.020,00</w:t>
            </w:r>
          </w:p>
        </w:tc>
        <w:tc>
          <w:tcPr>
            <w:tcW w:w="1350" w:type="dxa"/>
            <w:tcBorders>
              <w:top w:val="single" w:sz="4" w:space="0" w:color="auto"/>
              <w:left w:val="single" w:sz="4" w:space="0" w:color="auto"/>
              <w:bottom w:val="single" w:sz="4" w:space="0" w:color="auto"/>
              <w:right w:val="single" w:sz="4" w:space="0" w:color="auto"/>
            </w:tcBorders>
            <w:hideMark/>
          </w:tcPr>
          <w:p w14:paraId="3C50078D" w14:textId="77777777" w:rsidR="00FF767D" w:rsidRPr="00BE5AFD" w:rsidRDefault="00FF767D">
            <w:pPr>
              <w:jc w:val="right"/>
              <w:rPr>
                <w:rFonts w:ascii="Arial" w:hAnsi="Arial" w:cs="Arial"/>
                <w:b/>
                <w:sz w:val="20"/>
                <w:szCs w:val="20"/>
              </w:rPr>
            </w:pPr>
            <w:r w:rsidRPr="00BE5AFD">
              <w:rPr>
                <w:rFonts w:ascii="Arial" w:hAnsi="Arial" w:cs="Arial"/>
                <w:b/>
                <w:sz w:val="20"/>
                <w:szCs w:val="20"/>
              </w:rPr>
              <w:t>30.854,00</w:t>
            </w:r>
          </w:p>
        </w:tc>
        <w:tc>
          <w:tcPr>
            <w:tcW w:w="1546" w:type="dxa"/>
            <w:tcBorders>
              <w:top w:val="single" w:sz="4" w:space="0" w:color="auto"/>
              <w:left w:val="single" w:sz="4" w:space="0" w:color="auto"/>
              <w:bottom w:val="single" w:sz="4" w:space="0" w:color="auto"/>
              <w:right w:val="single" w:sz="4" w:space="0" w:color="auto"/>
            </w:tcBorders>
            <w:hideMark/>
          </w:tcPr>
          <w:p w14:paraId="653E75BA" w14:textId="77777777" w:rsidR="00FF767D" w:rsidRPr="00BE5AFD" w:rsidRDefault="00FF767D">
            <w:pPr>
              <w:jc w:val="right"/>
              <w:rPr>
                <w:rFonts w:ascii="Arial" w:hAnsi="Arial" w:cs="Arial"/>
                <w:b/>
                <w:sz w:val="20"/>
                <w:szCs w:val="20"/>
              </w:rPr>
            </w:pPr>
            <w:r w:rsidRPr="00BE5AFD">
              <w:rPr>
                <w:rFonts w:ascii="Arial" w:hAnsi="Arial" w:cs="Arial"/>
                <w:b/>
                <w:sz w:val="20"/>
                <w:szCs w:val="20"/>
              </w:rPr>
              <w:t>692.874,00</w:t>
            </w:r>
          </w:p>
        </w:tc>
        <w:tc>
          <w:tcPr>
            <w:tcW w:w="1217" w:type="dxa"/>
            <w:tcBorders>
              <w:top w:val="single" w:sz="4" w:space="0" w:color="auto"/>
              <w:left w:val="single" w:sz="4" w:space="0" w:color="auto"/>
              <w:bottom w:val="single" w:sz="4" w:space="0" w:color="auto"/>
              <w:right w:val="single" w:sz="4" w:space="0" w:color="auto"/>
            </w:tcBorders>
            <w:hideMark/>
          </w:tcPr>
          <w:p w14:paraId="283741AE" w14:textId="77777777" w:rsidR="00FF767D" w:rsidRPr="00BE5AFD" w:rsidRDefault="00FF767D">
            <w:pPr>
              <w:jc w:val="right"/>
              <w:rPr>
                <w:rFonts w:ascii="Arial" w:hAnsi="Arial" w:cs="Arial"/>
                <w:b/>
                <w:color w:val="FF0000"/>
                <w:sz w:val="20"/>
                <w:szCs w:val="20"/>
              </w:rPr>
            </w:pPr>
            <w:r w:rsidRPr="00BE5AFD">
              <w:rPr>
                <w:rFonts w:ascii="Arial" w:hAnsi="Arial" w:cs="Arial"/>
                <w:b/>
                <w:sz w:val="20"/>
                <w:szCs w:val="20"/>
              </w:rPr>
              <w:t>104,66</w:t>
            </w:r>
          </w:p>
        </w:tc>
      </w:tr>
      <w:tr w:rsidR="00FF767D" w:rsidRPr="00BE5AFD" w14:paraId="238FB0AA" w14:textId="77777777" w:rsidTr="00FF767D">
        <w:tc>
          <w:tcPr>
            <w:tcW w:w="1004" w:type="dxa"/>
            <w:tcBorders>
              <w:top w:val="single" w:sz="4" w:space="0" w:color="auto"/>
              <w:left w:val="single" w:sz="4" w:space="0" w:color="auto"/>
              <w:bottom w:val="single" w:sz="4" w:space="0" w:color="auto"/>
              <w:right w:val="single" w:sz="4" w:space="0" w:color="auto"/>
            </w:tcBorders>
            <w:hideMark/>
          </w:tcPr>
          <w:p w14:paraId="19560DB6" w14:textId="77777777" w:rsidR="00FF767D" w:rsidRPr="00BE5AFD" w:rsidRDefault="00FF767D">
            <w:pPr>
              <w:rPr>
                <w:rFonts w:ascii="Arial" w:hAnsi="Arial" w:cs="Arial"/>
                <w:sz w:val="20"/>
                <w:szCs w:val="20"/>
              </w:rPr>
            </w:pPr>
            <w:r w:rsidRPr="00BE5AFD">
              <w:rPr>
                <w:rFonts w:ascii="Arial" w:hAnsi="Arial" w:cs="Arial"/>
                <w:sz w:val="20"/>
                <w:szCs w:val="20"/>
              </w:rPr>
              <w:t>31</w:t>
            </w:r>
          </w:p>
        </w:tc>
        <w:tc>
          <w:tcPr>
            <w:tcW w:w="2801" w:type="dxa"/>
            <w:tcBorders>
              <w:top w:val="single" w:sz="4" w:space="0" w:color="auto"/>
              <w:left w:val="single" w:sz="4" w:space="0" w:color="auto"/>
              <w:bottom w:val="single" w:sz="4" w:space="0" w:color="auto"/>
              <w:right w:val="single" w:sz="4" w:space="0" w:color="auto"/>
            </w:tcBorders>
            <w:hideMark/>
          </w:tcPr>
          <w:p w14:paraId="1558CB79" w14:textId="77777777" w:rsidR="00FF767D" w:rsidRPr="00BE5AFD" w:rsidRDefault="00FF767D">
            <w:pPr>
              <w:rPr>
                <w:rFonts w:ascii="Arial" w:hAnsi="Arial" w:cs="Arial"/>
                <w:sz w:val="20"/>
                <w:szCs w:val="20"/>
              </w:rPr>
            </w:pPr>
            <w:r w:rsidRPr="00BE5AFD">
              <w:rPr>
                <w:rFonts w:ascii="Arial" w:hAnsi="Arial" w:cs="Arial"/>
                <w:sz w:val="20"/>
                <w:szCs w:val="20"/>
              </w:rPr>
              <w:t>RASHODI ZA ZAPOSLENE</w:t>
            </w:r>
          </w:p>
        </w:tc>
        <w:tc>
          <w:tcPr>
            <w:tcW w:w="1546" w:type="dxa"/>
            <w:tcBorders>
              <w:top w:val="single" w:sz="4" w:space="0" w:color="auto"/>
              <w:left w:val="single" w:sz="4" w:space="0" w:color="auto"/>
              <w:bottom w:val="single" w:sz="4" w:space="0" w:color="auto"/>
              <w:right w:val="single" w:sz="4" w:space="0" w:color="auto"/>
            </w:tcBorders>
            <w:hideMark/>
          </w:tcPr>
          <w:p w14:paraId="0A8297F5" w14:textId="77777777" w:rsidR="00FF767D" w:rsidRPr="00BE5AFD" w:rsidRDefault="00FF767D">
            <w:pPr>
              <w:jc w:val="right"/>
              <w:rPr>
                <w:rFonts w:ascii="Arial" w:hAnsi="Arial" w:cs="Arial"/>
                <w:sz w:val="20"/>
                <w:szCs w:val="20"/>
              </w:rPr>
            </w:pPr>
            <w:r w:rsidRPr="00BE5AFD">
              <w:rPr>
                <w:rFonts w:ascii="Arial" w:hAnsi="Arial" w:cs="Arial"/>
                <w:sz w:val="20"/>
                <w:szCs w:val="20"/>
              </w:rPr>
              <w:t>588.600,00</w:t>
            </w:r>
          </w:p>
        </w:tc>
        <w:tc>
          <w:tcPr>
            <w:tcW w:w="1350" w:type="dxa"/>
            <w:tcBorders>
              <w:top w:val="single" w:sz="4" w:space="0" w:color="auto"/>
              <w:left w:val="single" w:sz="4" w:space="0" w:color="auto"/>
              <w:bottom w:val="single" w:sz="4" w:space="0" w:color="auto"/>
              <w:right w:val="single" w:sz="4" w:space="0" w:color="auto"/>
            </w:tcBorders>
            <w:hideMark/>
          </w:tcPr>
          <w:p w14:paraId="4F0C51EB" w14:textId="77777777" w:rsidR="00FF767D" w:rsidRPr="00BE5AFD" w:rsidRDefault="00FF767D">
            <w:pPr>
              <w:jc w:val="right"/>
              <w:rPr>
                <w:rFonts w:ascii="Arial" w:hAnsi="Arial" w:cs="Arial"/>
                <w:sz w:val="20"/>
                <w:szCs w:val="20"/>
              </w:rPr>
            </w:pPr>
            <w:r w:rsidRPr="00BE5AFD">
              <w:rPr>
                <w:rFonts w:ascii="Arial" w:hAnsi="Arial" w:cs="Arial"/>
                <w:sz w:val="20"/>
                <w:szCs w:val="20"/>
              </w:rPr>
              <w:t>15.980,00</w:t>
            </w:r>
          </w:p>
        </w:tc>
        <w:tc>
          <w:tcPr>
            <w:tcW w:w="1546" w:type="dxa"/>
            <w:tcBorders>
              <w:top w:val="single" w:sz="4" w:space="0" w:color="auto"/>
              <w:left w:val="single" w:sz="4" w:space="0" w:color="auto"/>
              <w:bottom w:val="single" w:sz="4" w:space="0" w:color="auto"/>
              <w:right w:val="single" w:sz="4" w:space="0" w:color="auto"/>
            </w:tcBorders>
            <w:hideMark/>
          </w:tcPr>
          <w:p w14:paraId="26AF7BE4" w14:textId="77777777" w:rsidR="00FF767D" w:rsidRPr="00BE5AFD" w:rsidRDefault="00FF767D">
            <w:pPr>
              <w:jc w:val="right"/>
              <w:rPr>
                <w:rFonts w:ascii="Arial" w:hAnsi="Arial" w:cs="Arial"/>
                <w:sz w:val="20"/>
                <w:szCs w:val="20"/>
              </w:rPr>
            </w:pPr>
            <w:r w:rsidRPr="00BE5AFD">
              <w:rPr>
                <w:rFonts w:ascii="Arial" w:hAnsi="Arial" w:cs="Arial"/>
                <w:sz w:val="20"/>
                <w:szCs w:val="20"/>
              </w:rPr>
              <w:t>604.580,00</w:t>
            </w:r>
          </w:p>
        </w:tc>
        <w:tc>
          <w:tcPr>
            <w:tcW w:w="1217" w:type="dxa"/>
            <w:tcBorders>
              <w:top w:val="single" w:sz="4" w:space="0" w:color="auto"/>
              <w:left w:val="single" w:sz="4" w:space="0" w:color="auto"/>
              <w:bottom w:val="single" w:sz="4" w:space="0" w:color="auto"/>
              <w:right w:val="single" w:sz="4" w:space="0" w:color="auto"/>
            </w:tcBorders>
            <w:hideMark/>
          </w:tcPr>
          <w:p w14:paraId="3530934D" w14:textId="77777777" w:rsidR="00FF767D" w:rsidRPr="00BE5AFD" w:rsidRDefault="00FF767D">
            <w:pPr>
              <w:jc w:val="right"/>
              <w:rPr>
                <w:rFonts w:ascii="Arial" w:hAnsi="Arial" w:cs="Arial"/>
                <w:color w:val="FF0000"/>
                <w:sz w:val="20"/>
                <w:szCs w:val="20"/>
              </w:rPr>
            </w:pPr>
            <w:r w:rsidRPr="00BE5AFD">
              <w:rPr>
                <w:rFonts w:ascii="Arial" w:hAnsi="Arial" w:cs="Arial"/>
                <w:sz w:val="20"/>
                <w:szCs w:val="20"/>
              </w:rPr>
              <w:t>102,71</w:t>
            </w:r>
          </w:p>
        </w:tc>
      </w:tr>
      <w:tr w:rsidR="00FF767D" w:rsidRPr="00BE5AFD" w14:paraId="0B3F9283" w14:textId="77777777" w:rsidTr="00FF767D">
        <w:tc>
          <w:tcPr>
            <w:tcW w:w="1004" w:type="dxa"/>
            <w:tcBorders>
              <w:top w:val="single" w:sz="4" w:space="0" w:color="auto"/>
              <w:left w:val="single" w:sz="4" w:space="0" w:color="auto"/>
              <w:bottom w:val="single" w:sz="4" w:space="0" w:color="auto"/>
              <w:right w:val="single" w:sz="4" w:space="0" w:color="auto"/>
            </w:tcBorders>
            <w:hideMark/>
          </w:tcPr>
          <w:p w14:paraId="5A792C5E" w14:textId="77777777" w:rsidR="00FF767D" w:rsidRPr="00BE5AFD" w:rsidRDefault="00FF767D">
            <w:pPr>
              <w:rPr>
                <w:rFonts w:ascii="Arial" w:hAnsi="Arial" w:cs="Arial"/>
                <w:sz w:val="20"/>
                <w:szCs w:val="20"/>
              </w:rPr>
            </w:pPr>
            <w:r w:rsidRPr="00BE5AFD">
              <w:rPr>
                <w:rFonts w:ascii="Arial" w:hAnsi="Arial" w:cs="Arial"/>
                <w:sz w:val="20"/>
                <w:szCs w:val="20"/>
              </w:rPr>
              <w:t>32</w:t>
            </w:r>
          </w:p>
        </w:tc>
        <w:tc>
          <w:tcPr>
            <w:tcW w:w="2801" w:type="dxa"/>
            <w:tcBorders>
              <w:top w:val="single" w:sz="4" w:space="0" w:color="auto"/>
              <w:left w:val="single" w:sz="4" w:space="0" w:color="auto"/>
              <w:bottom w:val="single" w:sz="4" w:space="0" w:color="auto"/>
              <w:right w:val="single" w:sz="4" w:space="0" w:color="auto"/>
            </w:tcBorders>
            <w:hideMark/>
          </w:tcPr>
          <w:p w14:paraId="75A7FE58" w14:textId="77777777" w:rsidR="00FF767D" w:rsidRPr="00BE5AFD" w:rsidRDefault="00FF767D">
            <w:pPr>
              <w:rPr>
                <w:rFonts w:ascii="Arial" w:hAnsi="Arial" w:cs="Arial"/>
                <w:sz w:val="20"/>
                <w:szCs w:val="20"/>
              </w:rPr>
            </w:pPr>
            <w:r w:rsidRPr="00BE5AFD">
              <w:rPr>
                <w:rFonts w:ascii="Arial" w:hAnsi="Arial" w:cs="Arial"/>
                <w:sz w:val="20"/>
                <w:szCs w:val="20"/>
              </w:rPr>
              <w:t>MATERIJALNI RASHODI</w:t>
            </w:r>
          </w:p>
        </w:tc>
        <w:tc>
          <w:tcPr>
            <w:tcW w:w="1546" w:type="dxa"/>
            <w:tcBorders>
              <w:top w:val="single" w:sz="4" w:space="0" w:color="auto"/>
              <w:left w:val="single" w:sz="4" w:space="0" w:color="auto"/>
              <w:bottom w:val="single" w:sz="4" w:space="0" w:color="auto"/>
              <w:right w:val="single" w:sz="4" w:space="0" w:color="auto"/>
            </w:tcBorders>
            <w:hideMark/>
          </w:tcPr>
          <w:p w14:paraId="48D55AE6" w14:textId="77777777" w:rsidR="00FF767D" w:rsidRPr="00BE5AFD" w:rsidRDefault="00FF767D">
            <w:pPr>
              <w:jc w:val="right"/>
              <w:rPr>
                <w:rFonts w:ascii="Arial" w:hAnsi="Arial" w:cs="Arial"/>
                <w:sz w:val="20"/>
                <w:szCs w:val="20"/>
              </w:rPr>
            </w:pPr>
            <w:r w:rsidRPr="00BE5AFD">
              <w:rPr>
                <w:rFonts w:ascii="Arial" w:hAnsi="Arial" w:cs="Arial"/>
                <w:sz w:val="20"/>
                <w:szCs w:val="20"/>
              </w:rPr>
              <w:t>73.380,00</w:t>
            </w:r>
          </w:p>
        </w:tc>
        <w:tc>
          <w:tcPr>
            <w:tcW w:w="1350" w:type="dxa"/>
            <w:tcBorders>
              <w:top w:val="single" w:sz="4" w:space="0" w:color="auto"/>
              <w:left w:val="single" w:sz="4" w:space="0" w:color="auto"/>
              <w:bottom w:val="single" w:sz="4" w:space="0" w:color="auto"/>
              <w:right w:val="single" w:sz="4" w:space="0" w:color="auto"/>
            </w:tcBorders>
            <w:hideMark/>
          </w:tcPr>
          <w:p w14:paraId="3C0CF6CE" w14:textId="77777777" w:rsidR="00FF767D" w:rsidRPr="00BE5AFD" w:rsidRDefault="00FF767D">
            <w:pPr>
              <w:jc w:val="right"/>
              <w:rPr>
                <w:rFonts w:ascii="Arial" w:hAnsi="Arial" w:cs="Arial"/>
                <w:sz w:val="20"/>
                <w:szCs w:val="20"/>
              </w:rPr>
            </w:pPr>
            <w:r w:rsidRPr="00BE5AFD">
              <w:rPr>
                <w:rFonts w:ascii="Arial" w:hAnsi="Arial" w:cs="Arial"/>
                <w:sz w:val="20"/>
                <w:szCs w:val="20"/>
              </w:rPr>
              <w:t>14.874,00</w:t>
            </w:r>
          </w:p>
        </w:tc>
        <w:tc>
          <w:tcPr>
            <w:tcW w:w="1546" w:type="dxa"/>
            <w:tcBorders>
              <w:top w:val="single" w:sz="4" w:space="0" w:color="auto"/>
              <w:left w:val="single" w:sz="4" w:space="0" w:color="auto"/>
              <w:bottom w:val="single" w:sz="4" w:space="0" w:color="auto"/>
              <w:right w:val="single" w:sz="4" w:space="0" w:color="auto"/>
            </w:tcBorders>
            <w:hideMark/>
          </w:tcPr>
          <w:p w14:paraId="58652117" w14:textId="77777777" w:rsidR="00FF767D" w:rsidRPr="00BE5AFD" w:rsidRDefault="00FF767D">
            <w:pPr>
              <w:jc w:val="right"/>
              <w:rPr>
                <w:rFonts w:ascii="Arial" w:hAnsi="Arial" w:cs="Arial"/>
                <w:sz w:val="20"/>
                <w:szCs w:val="20"/>
              </w:rPr>
            </w:pPr>
            <w:r w:rsidRPr="00BE5AFD">
              <w:rPr>
                <w:rFonts w:ascii="Arial" w:hAnsi="Arial" w:cs="Arial"/>
                <w:sz w:val="20"/>
                <w:szCs w:val="20"/>
              </w:rPr>
              <w:t>88.254,00</w:t>
            </w:r>
          </w:p>
        </w:tc>
        <w:tc>
          <w:tcPr>
            <w:tcW w:w="1217" w:type="dxa"/>
            <w:tcBorders>
              <w:top w:val="single" w:sz="4" w:space="0" w:color="auto"/>
              <w:left w:val="single" w:sz="4" w:space="0" w:color="auto"/>
              <w:bottom w:val="single" w:sz="4" w:space="0" w:color="auto"/>
              <w:right w:val="single" w:sz="4" w:space="0" w:color="auto"/>
            </w:tcBorders>
            <w:hideMark/>
          </w:tcPr>
          <w:p w14:paraId="3AB34A8B" w14:textId="77777777" w:rsidR="00FF767D" w:rsidRPr="00BE5AFD" w:rsidRDefault="00FF767D">
            <w:pPr>
              <w:jc w:val="right"/>
              <w:rPr>
                <w:rFonts w:ascii="Arial" w:hAnsi="Arial" w:cs="Arial"/>
                <w:color w:val="FF0000"/>
                <w:sz w:val="20"/>
                <w:szCs w:val="20"/>
              </w:rPr>
            </w:pPr>
            <w:r w:rsidRPr="00BE5AFD">
              <w:rPr>
                <w:rFonts w:ascii="Arial" w:hAnsi="Arial" w:cs="Arial"/>
                <w:sz w:val="20"/>
                <w:szCs w:val="20"/>
              </w:rPr>
              <w:t>120,27</w:t>
            </w:r>
          </w:p>
        </w:tc>
      </w:tr>
      <w:tr w:rsidR="00FF767D" w:rsidRPr="00BE5AFD" w14:paraId="58C4756F" w14:textId="77777777" w:rsidTr="00FF767D">
        <w:tc>
          <w:tcPr>
            <w:tcW w:w="1004" w:type="dxa"/>
            <w:tcBorders>
              <w:top w:val="single" w:sz="4" w:space="0" w:color="auto"/>
              <w:left w:val="single" w:sz="4" w:space="0" w:color="auto"/>
              <w:bottom w:val="single" w:sz="4" w:space="0" w:color="auto"/>
              <w:right w:val="single" w:sz="4" w:space="0" w:color="auto"/>
            </w:tcBorders>
            <w:hideMark/>
          </w:tcPr>
          <w:p w14:paraId="20E4612A" w14:textId="77777777" w:rsidR="00FF767D" w:rsidRPr="00BE5AFD" w:rsidRDefault="00FF767D">
            <w:pPr>
              <w:rPr>
                <w:rFonts w:ascii="Arial" w:hAnsi="Arial" w:cs="Arial"/>
                <w:sz w:val="20"/>
                <w:szCs w:val="20"/>
              </w:rPr>
            </w:pPr>
            <w:r w:rsidRPr="00BE5AFD">
              <w:rPr>
                <w:rFonts w:ascii="Arial" w:hAnsi="Arial" w:cs="Arial"/>
                <w:sz w:val="20"/>
                <w:szCs w:val="20"/>
              </w:rPr>
              <w:lastRenderedPageBreak/>
              <w:t>34</w:t>
            </w:r>
          </w:p>
        </w:tc>
        <w:tc>
          <w:tcPr>
            <w:tcW w:w="2801" w:type="dxa"/>
            <w:tcBorders>
              <w:top w:val="single" w:sz="4" w:space="0" w:color="auto"/>
              <w:left w:val="single" w:sz="4" w:space="0" w:color="auto"/>
              <w:bottom w:val="single" w:sz="4" w:space="0" w:color="auto"/>
              <w:right w:val="single" w:sz="4" w:space="0" w:color="auto"/>
            </w:tcBorders>
            <w:hideMark/>
          </w:tcPr>
          <w:p w14:paraId="74705D39" w14:textId="77777777" w:rsidR="00FF767D" w:rsidRPr="00BE5AFD" w:rsidRDefault="00FF767D">
            <w:pPr>
              <w:rPr>
                <w:rFonts w:ascii="Arial" w:hAnsi="Arial" w:cs="Arial"/>
                <w:sz w:val="20"/>
                <w:szCs w:val="20"/>
              </w:rPr>
            </w:pPr>
            <w:r w:rsidRPr="00BE5AFD">
              <w:rPr>
                <w:rFonts w:ascii="Arial" w:hAnsi="Arial" w:cs="Arial"/>
                <w:sz w:val="20"/>
                <w:szCs w:val="20"/>
              </w:rPr>
              <w:t>FINANCIJSKI RASHODI</w:t>
            </w:r>
          </w:p>
        </w:tc>
        <w:tc>
          <w:tcPr>
            <w:tcW w:w="1546" w:type="dxa"/>
            <w:tcBorders>
              <w:top w:val="single" w:sz="4" w:space="0" w:color="auto"/>
              <w:left w:val="single" w:sz="4" w:space="0" w:color="auto"/>
              <w:bottom w:val="single" w:sz="4" w:space="0" w:color="auto"/>
              <w:right w:val="single" w:sz="4" w:space="0" w:color="auto"/>
            </w:tcBorders>
            <w:hideMark/>
          </w:tcPr>
          <w:p w14:paraId="15B5532A" w14:textId="77777777" w:rsidR="00FF767D" w:rsidRPr="00BE5AFD" w:rsidRDefault="00FF767D">
            <w:pPr>
              <w:jc w:val="center"/>
              <w:rPr>
                <w:rFonts w:ascii="Arial" w:hAnsi="Arial" w:cs="Arial"/>
                <w:sz w:val="20"/>
                <w:szCs w:val="20"/>
              </w:rPr>
            </w:pPr>
            <w:r w:rsidRPr="00BE5AFD">
              <w:rPr>
                <w:rFonts w:ascii="Arial" w:hAnsi="Arial" w:cs="Arial"/>
                <w:sz w:val="20"/>
                <w:szCs w:val="20"/>
              </w:rPr>
              <w:t xml:space="preserve">          0,00</w:t>
            </w:r>
          </w:p>
        </w:tc>
        <w:tc>
          <w:tcPr>
            <w:tcW w:w="1350" w:type="dxa"/>
            <w:tcBorders>
              <w:top w:val="single" w:sz="4" w:space="0" w:color="auto"/>
              <w:left w:val="single" w:sz="4" w:space="0" w:color="auto"/>
              <w:bottom w:val="single" w:sz="4" w:space="0" w:color="auto"/>
              <w:right w:val="single" w:sz="4" w:space="0" w:color="auto"/>
            </w:tcBorders>
            <w:hideMark/>
          </w:tcPr>
          <w:p w14:paraId="684424AF" w14:textId="77777777" w:rsidR="00FF767D" w:rsidRPr="00BE5AFD" w:rsidRDefault="00FF767D">
            <w:pPr>
              <w:jc w:val="right"/>
              <w:rPr>
                <w:rFonts w:ascii="Arial" w:hAnsi="Arial" w:cs="Arial"/>
                <w:sz w:val="20"/>
                <w:szCs w:val="20"/>
              </w:rPr>
            </w:pPr>
            <w:r w:rsidRPr="00BE5AFD">
              <w:rPr>
                <w:rFonts w:ascii="Arial" w:hAnsi="Arial" w:cs="Arial"/>
                <w:sz w:val="20"/>
                <w:szCs w:val="20"/>
              </w:rPr>
              <w:t>0,00</w:t>
            </w:r>
          </w:p>
        </w:tc>
        <w:tc>
          <w:tcPr>
            <w:tcW w:w="1546" w:type="dxa"/>
            <w:tcBorders>
              <w:top w:val="single" w:sz="4" w:space="0" w:color="auto"/>
              <w:left w:val="single" w:sz="4" w:space="0" w:color="auto"/>
              <w:bottom w:val="single" w:sz="4" w:space="0" w:color="auto"/>
              <w:right w:val="single" w:sz="4" w:space="0" w:color="auto"/>
            </w:tcBorders>
            <w:hideMark/>
          </w:tcPr>
          <w:p w14:paraId="194030C8" w14:textId="77777777" w:rsidR="00FF767D" w:rsidRPr="00BE5AFD" w:rsidRDefault="00FF767D">
            <w:pPr>
              <w:jc w:val="right"/>
              <w:rPr>
                <w:rFonts w:ascii="Arial" w:hAnsi="Arial" w:cs="Arial"/>
                <w:sz w:val="20"/>
                <w:szCs w:val="20"/>
              </w:rPr>
            </w:pPr>
            <w:r w:rsidRPr="00BE5AFD">
              <w:rPr>
                <w:rFonts w:ascii="Arial" w:hAnsi="Arial" w:cs="Arial"/>
                <w:sz w:val="20"/>
                <w:szCs w:val="20"/>
              </w:rPr>
              <w:t>0,00</w:t>
            </w:r>
          </w:p>
        </w:tc>
        <w:tc>
          <w:tcPr>
            <w:tcW w:w="1217" w:type="dxa"/>
            <w:tcBorders>
              <w:top w:val="single" w:sz="4" w:space="0" w:color="auto"/>
              <w:left w:val="single" w:sz="4" w:space="0" w:color="auto"/>
              <w:bottom w:val="single" w:sz="4" w:space="0" w:color="auto"/>
              <w:right w:val="single" w:sz="4" w:space="0" w:color="auto"/>
            </w:tcBorders>
          </w:tcPr>
          <w:p w14:paraId="4E9C2F03" w14:textId="77777777" w:rsidR="00FF767D" w:rsidRPr="00BE5AFD" w:rsidRDefault="00FF767D">
            <w:pPr>
              <w:jc w:val="center"/>
              <w:rPr>
                <w:rFonts w:ascii="Arial" w:hAnsi="Arial" w:cs="Arial"/>
                <w:color w:val="FF0000"/>
                <w:sz w:val="20"/>
                <w:szCs w:val="20"/>
              </w:rPr>
            </w:pPr>
          </w:p>
        </w:tc>
      </w:tr>
      <w:tr w:rsidR="00FF767D" w:rsidRPr="00BE5AFD" w14:paraId="77395ADB" w14:textId="77777777" w:rsidTr="00FF767D">
        <w:tc>
          <w:tcPr>
            <w:tcW w:w="1004" w:type="dxa"/>
            <w:tcBorders>
              <w:top w:val="single" w:sz="4" w:space="0" w:color="auto"/>
              <w:left w:val="single" w:sz="4" w:space="0" w:color="auto"/>
              <w:bottom w:val="single" w:sz="4" w:space="0" w:color="auto"/>
              <w:right w:val="single" w:sz="4" w:space="0" w:color="auto"/>
            </w:tcBorders>
            <w:hideMark/>
          </w:tcPr>
          <w:p w14:paraId="03D9FA05" w14:textId="77777777" w:rsidR="00FF767D" w:rsidRPr="00BE5AFD" w:rsidRDefault="00FF767D">
            <w:pPr>
              <w:rPr>
                <w:rFonts w:ascii="Arial" w:hAnsi="Arial" w:cs="Arial"/>
                <w:sz w:val="20"/>
                <w:szCs w:val="20"/>
              </w:rPr>
            </w:pPr>
            <w:r w:rsidRPr="00BE5AFD">
              <w:rPr>
                <w:rFonts w:ascii="Arial" w:hAnsi="Arial" w:cs="Arial"/>
                <w:sz w:val="20"/>
                <w:szCs w:val="20"/>
              </w:rPr>
              <w:t>38</w:t>
            </w:r>
          </w:p>
        </w:tc>
        <w:tc>
          <w:tcPr>
            <w:tcW w:w="2801" w:type="dxa"/>
            <w:tcBorders>
              <w:top w:val="single" w:sz="4" w:space="0" w:color="auto"/>
              <w:left w:val="single" w:sz="4" w:space="0" w:color="auto"/>
              <w:bottom w:val="single" w:sz="4" w:space="0" w:color="auto"/>
              <w:right w:val="single" w:sz="4" w:space="0" w:color="auto"/>
            </w:tcBorders>
            <w:hideMark/>
          </w:tcPr>
          <w:p w14:paraId="5C594B5C" w14:textId="77777777" w:rsidR="00FF767D" w:rsidRPr="00BE5AFD" w:rsidRDefault="00FF767D">
            <w:pPr>
              <w:rPr>
                <w:rFonts w:ascii="Arial" w:hAnsi="Arial" w:cs="Arial"/>
                <w:sz w:val="20"/>
                <w:szCs w:val="20"/>
              </w:rPr>
            </w:pPr>
            <w:r w:rsidRPr="00BE5AFD">
              <w:rPr>
                <w:rFonts w:ascii="Arial" w:hAnsi="Arial" w:cs="Arial"/>
                <w:sz w:val="20"/>
                <w:szCs w:val="20"/>
              </w:rPr>
              <w:t>OSTALI RASHODI</w:t>
            </w:r>
          </w:p>
        </w:tc>
        <w:tc>
          <w:tcPr>
            <w:tcW w:w="1546" w:type="dxa"/>
            <w:tcBorders>
              <w:top w:val="single" w:sz="4" w:space="0" w:color="auto"/>
              <w:left w:val="single" w:sz="4" w:space="0" w:color="auto"/>
              <w:bottom w:val="single" w:sz="4" w:space="0" w:color="auto"/>
              <w:right w:val="single" w:sz="4" w:space="0" w:color="auto"/>
            </w:tcBorders>
            <w:hideMark/>
          </w:tcPr>
          <w:p w14:paraId="68ACF571" w14:textId="77777777" w:rsidR="00FF767D" w:rsidRPr="00BE5AFD" w:rsidRDefault="00FF767D">
            <w:pPr>
              <w:jc w:val="center"/>
              <w:rPr>
                <w:rFonts w:ascii="Arial" w:hAnsi="Arial" w:cs="Arial"/>
                <w:sz w:val="20"/>
                <w:szCs w:val="20"/>
              </w:rPr>
            </w:pPr>
            <w:r w:rsidRPr="00BE5AFD">
              <w:rPr>
                <w:rFonts w:ascii="Arial" w:hAnsi="Arial" w:cs="Arial"/>
                <w:sz w:val="20"/>
                <w:szCs w:val="20"/>
              </w:rPr>
              <w:t xml:space="preserve">     40,00</w:t>
            </w:r>
          </w:p>
        </w:tc>
        <w:tc>
          <w:tcPr>
            <w:tcW w:w="1350" w:type="dxa"/>
            <w:tcBorders>
              <w:top w:val="single" w:sz="4" w:space="0" w:color="auto"/>
              <w:left w:val="single" w:sz="4" w:space="0" w:color="auto"/>
              <w:bottom w:val="single" w:sz="4" w:space="0" w:color="auto"/>
              <w:right w:val="single" w:sz="4" w:space="0" w:color="auto"/>
            </w:tcBorders>
            <w:hideMark/>
          </w:tcPr>
          <w:p w14:paraId="4E50D4E7" w14:textId="77777777" w:rsidR="00FF767D" w:rsidRPr="00BE5AFD" w:rsidRDefault="00FF767D">
            <w:pPr>
              <w:jc w:val="right"/>
              <w:rPr>
                <w:rFonts w:ascii="Arial" w:hAnsi="Arial" w:cs="Arial"/>
                <w:sz w:val="20"/>
                <w:szCs w:val="20"/>
              </w:rPr>
            </w:pPr>
            <w:r w:rsidRPr="00BE5AFD">
              <w:rPr>
                <w:rFonts w:ascii="Arial" w:hAnsi="Arial" w:cs="Arial"/>
                <w:sz w:val="20"/>
                <w:szCs w:val="20"/>
              </w:rPr>
              <w:t>0,00</w:t>
            </w:r>
          </w:p>
        </w:tc>
        <w:tc>
          <w:tcPr>
            <w:tcW w:w="1546" w:type="dxa"/>
            <w:tcBorders>
              <w:top w:val="single" w:sz="4" w:space="0" w:color="auto"/>
              <w:left w:val="single" w:sz="4" w:space="0" w:color="auto"/>
              <w:bottom w:val="single" w:sz="4" w:space="0" w:color="auto"/>
              <w:right w:val="single" w:sz="4" w:space="0" w:color="auto"/>
            </w:tcBorders>
            <w:hideMark/>
          </w:tcPr>
          <w:p w14:paraId="0E048E7E" w14:textId="77777777" w:rsidR="00FF767D" w:rsidRPr="00BE5AFD" w:rsidRDefault="00FF767D">
            <w:pPr>
              <w:jc w:val="right"/>
              <w:rPr>
                <w:rFonts w:ascii="Arial" w:hAnsi="Arial" w:cs="Arial"/>
                <w:sz w:val="20"/>
                <w:szCs w:val="20"/>
              </w:rPr>
            </w:pPr>
            <w:r w:rsidRPr="00BE5AFD">
              <w:rPr>
                <w:rFonts w:ascii="Arial" w:hAnsi="Arial" w:cs="Arial"/>
                <w:sz w:val="20"/>
                <w:szCs w:val="20"/>
              </w:rPr>
              <w:t>40,00</w:t>
            </w:r>
          </w:p>
        </w:tc>
        <w:tc>
          <w:tcPr>
            <w:tcW w:w="1217" w:type="dxa"/>
            <w:tcBorders>
              <w:top w:val="single" w:sz="4" w:space="0" w:color="auto"/>
              <w:left w:val="single" w:sz="4" w:space="0" w:color="auto"/>
              <w:bottom w:val="single" w:sz="4" w:space="0" w:color="auto"/>
              <w:right w:val="single" w:sz="4" w:space="0" w:color="auto"/>
            </w:tcBorders>
            <w:hideMark/>
          </w:tcPr>
          <w:p w14:paraId="5FDB32D1" w14:textId="77777777" w:rsidR="00FF767D" w:rsidRPr="00BE5AFD" w:rsidRDefault="00FF767D">
            <w:pPr>
              <w:jc w:val="right"/>
              <w:rPr>
                <w:rFonts w:ascii="Arial" w:hAnsi="Arial" w:cs="Arial"/>
                <w:sz w:val="20"/>
                <w:szCs w:val="20"/>
              </w:rPr>
            </w:pPr>
            <w:r w:rsidRPr="00BE5AFD">
              <w:rPr>
                <w:rFonts w:ascii="Arial" w:hAnsi="Arial" w:cs="Arial"/>
                <w:sz w:val="20"/>
                <w:szCs w:val="20"/>
              </w:rPr>
              <w:t>100,00</w:t>
            </w:r>
          </w:p>
        </w:tc>
      </w:tr>
      <w:tr w:rsidR="00FF767D" w:rsidRPr="00BE5AFD" w14:paraId="2BFC9D01" w14:textId="77777777" w:rsidTr="00FF767D">
        <w:tc>
          <w:tcPr>
            <w:tcW w:w="1004" w:type="dxa"/>
            <w:tcBorders>
              <w:top w:val="single" w:sz="4" w:space="0" w:color="auto"/>
              <w:left w:val="single" w:sz="4" w:space="0" w:color="auto"/>
              <w:bottom w:val="single" w:sz="4" w:space="0" w:color="auto"/>
              <w:right w:val="single" w:sz="4" w:space="0" w:color="auto"/>
            </w:tcBorders>
            <w:hideMark/>
          </w:tcPr>
          <w:p w14:paraId="6E5F8914" w14:textId="77777777" w:rsidR="00FF767D" w:rsidRPr="00BE5AFD" w:rsidRDefault="00FF767D">
            <w:pPr>
              <w:rPr>
                <w:rFonts w:ascii="Arial" w:hAnsi="Arial" w:cs="Arial"/>
                <w:b/>
                <w:sz w:val="20"/>
                <w:szCs w:val="20"/>
              </w:rPr>
            </w:pPr>
            <w:r w:rsidRPr="00BE5AFD">
              <w:rPr>
                <w:rFonts w:ascii="Arial" w:hAnsi="Arial" w:cs="Arial"/>
                <w:b/>
                <w:sz w:val="20"/>
                <w:szCs w:val="20"/>
              </w:rPr>
              <w:t>4</w:t>
            </w:r>
          </w:p>
        </w:tc>
        <w:tc>
          <w:tcPr>
            <w:tcW w:w="2801" w:type="dxa"/>
            <w:tcBorders>
              <w:top w:val="single" w:sz="4" w:space="0" w:color="auto"/>
              <w:left w:val="single" w:sz="4" w:space="0" w:color="auto"/>
              <w:bottom w:val="single" w:sz="4" w:space="0" w:color="auto"/>
              <w:right w:val="single" w:sz="4" w:space="0" w:color="auto"/>
            </w:tcBorders>
            <w:hideMark/>
          </w:tcPr>
          <w:p w14:paraId="621AB87A" w14:textId="77777777" w:rsidR="00FF767D" w:rsidRPr="00BE5AFD" w:rsidRDefault="00FF767D">
            <w:pPr>
              <w:rPr>
                <w:rFonts w:ascii="Arial" w:hAnsi="Arial" w:cs="Arial"/>
                <w:b/>
                <w:sz w:val="20"/>
                <w:szCs w:val="20"/>
              </w:rPr>
            </w:pPr>
            <w:r w:rsidRPr="00BE5AFD">
              <w:rPr>
                <w:rFonts w:ascii="Arial" w:hAnsi="Arial" w:cs="Arial"/>
                <w:b/>
                <w:sz w:val="20"/>
                <w:szCs w:val="20"/>
              </w:rPr>
              <w:t>RASHODI ZA NABAVU NEFINANCIJSKE IMOVINE</w:t>
            </w:r>
          </w:p>
        </w:tc>
        <w:tc>
          <w:tcPr>
            <w:tcW w:w="1546" w:type="dxa"/>
            <w:tcBorders>
              <w:top w:val="single" w:sz="4" w:space="0" w:color="auto"/>
              <w:left w:val="single" w:sz="4" w:space="0" w:color="auto"/>
              <w:bottom w:val="single" w:sz="4" w:space="0" w:color="auto"/>
              <w:right w:val="single" w:sz="4" w:space="0" w:color="auto"/>
            </w:tcBorders>
          </w:tcPr>
          <w:p w14:paraId="36241609" w14:textId="77777777" w:rsidR="00FF767D" w:rsidRPr="00BE5AFD" w:rsidRDefault="00FF767D">
            <w:pPr>
              <w:jc w:val="right"/>
              <w:rPr>
                <w:rFonts w:ascii="Arial" w:hAnsi="Arial" w:cs="Arial"/>
                <w:b/>
                <w:sz w:val="20"/>
                <w:szCs w:val="20"/>
              </w:rPr>
            </w:pPr>
          </w:p>
          <w:p w14:paraId="216E1876" w14:textId="77777777" w:rsidR="00FF767D" w:rsidRPr="00BE5AFD" w:rsidRDefault="00FF767D">
            <w:pPr>
              <w:jc w:val="right"/>
              <w:rPr>
                <w:rFonts w:ascii="Arial" w:hAnsi="Arial" w:cs="Arial"/>
                <w:b/>
                <w:sz w:val="20"/>
                <w:szCs w:val="20"/>
              </w:rPr>
            </w:pPr>
            <w:r w:rsidRPr="00BE5AFD">
              <w:rPr>
                <w:rFonts w:ascii="Arial" w:hAnsi="Arial" w:cs="Arial"/>
                <w:b/>
                <w:sz w:val="20"/>
                <w:szCs w:val="20"/>
              </w:rPr>
              <w:t>2.000,00</w:t>
            </w:r>
          </w:p>
        </w:tc>
        <w:tc>
          <w:tcPr>
            <w:tcW w:w="1350" w:type="dxa"/>
            <w:tcBorders>
              <w:top w:val="single" w:sz="4" w:space="0" w:color="auto"/>
              <w:left w:val="single" w:sz="4" w:space="0" w:color="auto"/>
              <w:bottom w:val="single" w:sz="4" w:space="0" w:color="auto"/>
              <w:right w:val="single" w:sz="4" w:space="0" w:color="auto"/>
            </w:tcBorders>
          </w:tcPr>
          <w:p w14:paraId="17AD1B65" w14:textId="77777777" w:rsidR="00FF767D" w:rsidRPr="00BE5AFD" w:rsidRDefault="00FF767D">
            <w:pPr>
              <w:jc w:val="right"/>
              <w:rPr>
                <w:rFonts w:ascii="Arial" w:hAnsi="Arial" w:cs="Arial"/>
                <w:b/>
                <w:sz w:val="20"/>
                <w:szCs w:val="20"/>
              </w:rPr>
            </w:pPr>
          </w:p>
          <w:p w14:paraId="6700B1D4" w14:textId="77777777" w:rsidR="00FF767D" w:rsidRPr="00BE5AFD" w:rsidRDefault="00FF767D">
            <w:pPr>
              <w:jc w:val="right"/>
              <w:rPr>
                <w:rFonts w:ascii="Arial" w:hAnsi="Arial" w:cs="Arial"/>
                <w:b/>
                <w:sz w:val="20"/>
                <w:szCs w:val="20"/>
              </w:rPr>
            </w:pPr>
            <w:r w:rsidRPr="00BE5AFD">
              <w:rPr>
                <w:rFonts w:ascii="Arial" w:hAnsi="Arial" w:cs="Arial"/>
                <w:b/>
                <w:sz w:val="20"/>
                <w:szCs w:val="20"/>
              </w:rPr>
              <w:t>6.000,00</w:t>
            </w:r>
          </w:p>
        </w:tc>
        <w:tc>
          <w:tcPr>
            <w:tcW w:w="1546" w:type="dxa"/>
            <w:tcBorders>
              <w:top w:val="single" w:sz="4" w:space="0" w:color="auto"/>
              <w:left w:val="single" w:sz="4" w:space="0" w:color="auto"/>
              <w:bottom w:val="single" w:sz="4" w:space="0" w:color="auto"/>
              <w:right w:val="single" w:sz="4" w:space="0" w:color="auto"/>
            </w:tcBorders>
          </w:tcPr>
          <w:p w14:paraId="20B2FE70" w14:textId="77777777" w:rsidR="00FF767D" w:rsidRPr="00BE5AFD" w:rsidRDefault="00FF767D">
            <w:pPr>
              <w:jc w:val="right"/>
              <w:rPr>
                <w:rFonts w:ascii="Arial" w:hAnsi="Arial" w:cs="Arial"/>
                <w:b/>
                <w:sz w:val="20"/>
                <w:szCs w:val="20"/>
              </w:rPr>
            </w:pPr>
          </w:p>
          <w:p w14:paraId="0DD7E229" w14:textId="77777777" w:rsidR="00FF767D" w:rsidRPr="00BE5AFD" w:rsidRDefault="00FF767D">
            <w:pPr>
              <w:jc w:val="right"/>
              <w:rPr>
                <w:rFonts w:ascii="Arial" w:hAnsi="Arial" w:cs="Arial"/>
                <w:b/>
                <w:sz w:val="20"/>
                <w:szCs w:val="20"/>
              </w:rPr>
            </w:pPr>
            <w:r w:rsidRPr="00BE5AFD">
              <w:rPr>
                <w:rFonts w:ascii="Arial" w:hAnsi="Arial" w:cs="Arial"/>
                <w:b/>
                <w:sz w:val="20"/>
                <w:szCs w:val="20"/>
              </w:rPr>
              <w:t>8.000,00</w:t>
            </w:r>
          </w:p>
        </w:tc>
        <w:tc>
          <w:tcPr>
            <w:tcW w:w="1217" w:type="dxa"/>
            <w:tcBorders>
              <w:top w:val="single" w:sz="4" w:space="0" w:color="auto"/>
              <w:left w:val="single" w:sz="4" w:space="0" w:color="auto"/>
              <w:bottom w:val="single" w:sz="4" w:space="0" w:color="auto"/>
              <w:right w:val="single" w:sz="4" w:space="0" w:color="auto"/>
            </w:tcBorders>
          </w:tcPr>
          <w:p w14:paraId="2E0BFFB5" w14:textId="77777777" w:rsidR="00FF767D" w:rsidRPr="00BE5AFD" w:rsidRDefault="00FF767D">
            <w:pPr>
              <w:jc w:val="right"/>
              <w:rPr>
                <w:rFonts w:ascii="Arial" w:hAnsi="Arial" w:cs="Arial"/>
                <w:b/>
                <w:sz w:val="20"/>
                <w:szCs w:val="20"/>
              </w:rPr>
            </w:pPr>
          </w:p>
          <w:p w14:paraId="1D5DA12A" w14:textId="77777777" w:rsidR="00FF767D" w:rsidRPr="00BE5AFD" w:rsidRDefault="00FF767D">
            <w:pPr>
              <w:jc w:val="right"/>
              <w:rPr>
                <w:rFonts w:ascii="Arial" w:hAnsi="Arial" w:cs="Arial"/>
                <w:b/>
                <w:sz w:val="20"/>
                <w:szCs w:val="20"/>
              </w:rPr>
            </w:pPr>
            <w:r w:rsidRPr="00BE5AFD">
              <w:rPr>
                <w:rFonts w:ascii="Arial" w:hAnsi="Arial" w:cs="Arial"/>
                <w:b/>
                <w:sz w:val="20"/>
                <w:szCs w:val="20"/>
              </w:rPr>
              <w:t>400,00</w:t>
            </w:r>
          </w:p>
        </w:tc>
      </w:tr>
      <w:tr w:rsidR="00FF767D" w:rsidRPr="00BE5AFD" w14:paraId="4C80B28B" w14:textId="77777777" w:rsidTr="00FF767D">
        <w:tc>
          <w:tcPr>
            <w:tcW w:w="1004" w:type="dxa"/>
            <w:tcBorders>
              <w:top w:val="single" w:sz="4" w:space="0" w:color="auto"/>
              <w:left w:val="single" w:sz="4" w:space="0" w:color="auto"/>
              <w:bottom w:val="single" w:sz="4" w:space="0" w:color="auto"/>
              <w:right w:val="single" w:sz="4" w:space="0" w:color="auto"/>
            </w:tcBorders>
            <w:hideMark/>
          </w:tcPr>
          <w:p w14:paraId="151FF38D" w14:textId="77777777" w:rsidR="00FF767D" w:rsidRPr="00BE5AFD" w:rsidRDefault="00FF767D">
            <w:pPr>
              <w:rPr>
                <w:rFonts w:ascii="Arial" w:hAnsi="Arial" w:cs="Arial"/>
                <w:sz w:val="20"/>
                <w:szCs w:val="20"/>
              </w:rPr>
            </w:pPr>
            <w:r w:rsidRPr="00BE5AFD">
              <w:rPr>
                <w:rFonts w:ascii="Arial" w:hAnsi="Arial" w:cs="Arial"/>
                <w:sz w:val="20"/>
                <w:szCs w:val="20"/>
              </w:rPr>
              <w:t>42</w:t>
            </w:r>
          </w:p>
        </w:tc>
        <w:tc>
          <w:tcPr>
            <w:tcW w:w="2801" w:type="dxa"/>
            <w:tcBorders>
              <w:top w:val="single" w:sz="4" w:space="0" w:color="auto"/>
              <w:left w:val="single" w:sz="4" w:space="0" w:color="auto"/>
              <w:bottom w:val="single" w:sz="4" w:space="0" w:color="auto"/>
              <w:right w:val="single" w:sz="4" w:space="0" w:color="auto"/>
            </w:tcBorders>
            <w:hideMark/>
          </w:tcPr>
          <w:p w14:paraId="05CF26F1" w14:textId="77777777" w:rsidR="00FF767D" w:rsidRPr="00BE5AFD" w:rsidRDefault="00FF767D">
            <w:pPr>
              <w:rPr>
                <w:rFonts w:ascii="Arial" w:hAnsi="Arial" w:cs="Arial"/>
                <w:sz w:val="20"/>
                <w:szCs w:val="20"/>
              </w:rPr>
            </w:pPr>
            <w:r w:rsidRPr="00BE5AFD">
              <w:rPr>
                <w:rFonts w:ascii="Arial" w:hAnsi="Arial" w:cs="Arial"/>
                <w:sz w:val="20"/>
                <w:szCs w:val="20"/>
              </w:rPr>
              <w:t>RASHODI ZA NABAVU PROIZVEDENE DUGOTRAJNE IMOVINE</w:t>
            </w:r>
          </w:p>
        </w:tc>
        <w:tc>
          <w:tcPr>
            <w:tcW w:w="1546" w:type="dxa"/>
            <w:tcBorders>
              <w:top w:val="single" w:sz="4" w:space="0" w:color="auto"/>
              <w:left w:val="single" w:sz="4" w:space="0" w:color="auto"/>
              <w:bottom w:val="single" w:sz="4" w:space="0" w:color="auto"/>
              <w:right w:val="single" w:sz="4" w:space="0" w:color="auto"/>
            </w:tcBorders>
          </w:tcPr>
          <w:p w14:paraId="7715A04C" w14:textId="77777777" w:rsidR="00FF767D" w:rsidRPr="00BE5AFD" w:rsidRDefault="00FF767D">
            <w:pPr>
              <w:jc w:val="right"/>
              <w:rPr>
                <w:rFonts w:ascii="Arial" w:hAnsi="Arial" w:cs="Arial"/>
                <w:sz w:val="20"/>
                <w:szCs w:val="20"/>
              </w:rPr>
            </w:pPr>
          </w:p>
          <w:p w14:paraId="13B37F05" w14:textId="77777777" w:rsidR="00FF767D" w:rsidRPr="00BE5AFD" w:rsidRDefault="00FF767D">
            <w:pPr>
              <w:jc w:val="right"/>
              <w:rPr>
                <w:rFonts w:ascii="Arial" w:hAnsi="Arial" w:cs="Arial"/>
                <w:sz w:val="20"/>
                <w:szCs w:val="20"/>
              </w:rPr>
            </w:pPr>
            <w:r w:rsidRPr="00BE5AFD">
              <w:rPr>
                <w:rFonts w:ascii="Arial" w:hAnsi="Arial" w:cs="Arial"/>
                <w:sz w:val="20"/>
                <w:szCs w:val="20"/>
              </w:rPr>
              <w:t>2.000,00</w:t>
            </w:r>
          </w:p>
        </w:tc>
        <w:tc>
          <w:tcPr>
            <w:tcW w:w="1350" w:type="dxa"/>
            <w:tcBorders>
              <w:top w:val="single" w:sz="4" w:space="0" w:color="auto"/>
              <w:left w:val="single" w:sz="4" w:space="0" w:color="auto"/>
              <w:bottom w:val="single" w:sz="4" w:space="0" w:color="auto"/>
              <w:right w:val="single" w:sz="4" w:space="0" w:color="auto"/>
            </w:tcBorders>
          </w:tcPr>
          <w:p w14:paraId="681C9C96" w14:textId="77777777" w:rsidR="00FF767D" w:rsidRPr="00BE5AFD" w:rsidRDefault="00FF767D">
            <w:pPr>
              <w:jc w:val="right"/>
              <w:rPr>
                <w:rFonts w:ascii="Arial" w:hAnsi="Arial" w:cs="Arial"/>
                <w:sz w:val="20"/>
                <w:szCs w:val="20"/>
              </w:rPr>
            </w:pPr>
          </w:p>
          <w:p w14:paraId="2CB0020E" w14:textId="77777777" w:rsidR="00FF767D" w:rsidRPr="00BE5AFD" w:rsidRDefault="00FF767D">
            <w:pPr>
              <w:jc w:val="right"/>
              <w:rPr>
                <w:rFonts w:ascii="Arial" w:hAnsi="Arial" w:cs="Arial"/>
                <w:sz w:val="20"/>
                <w:szCs w:val="20"/>
              </w:rPr>
            </w:pPr>
            <w:r w:rsidRPr="00BE5AFD">
              <w:rPr>
                <w:rFonts w:ascii="Arial" w:hAnsi="Arial" w:cs="Arial"/>
                <w:sz w:val="20"/>
                <w:szCs w:val="20"/>
              </w:rPr>
              <w:t>6.000,00</w:t>
            </w:r>
          </w:p>
        </w:tc>
        <w:tc>
          <w:tcPr>
            <w:tcW w:w="1546" w:type="dxa"/>
            <w:tcBorders>
              <w:top w:val="single" w:sz="4" w:space="0" w:color="auto"/>
              <w:left w:val="single" w:sz="4" w:space="0" w:color="auto"/>
              <w:bottom w:val="single" w:sz="4" w:space="0" w:color="auto"/>
              <w:right w:val="single" w:sz="4" w:space="0" w:color="auto"/>
            </w:tcBorders>
          </w:tcPr>
          <w:p w14:paraId="774BAB93" w14:textId="77777777" w:rsidR="00FF767D" w:rsidRPr="00BE5AFD" w:rsidRDefault="00FF767D">
            <w:pPr>
              <w:jc w:val="right"/>
              <w:rPr>
                <w:rFonts w:ascii="Arial" w:hAnsi="Arial" w:cs="Arial"/>
                <w:sz w:val="20"/>
                <w:szCs w:val="20"/>
              </w:rPr>
            </w:pPr>
          </w:p>
          <w:p w14:paraId="2D021419" w14:textId="77777777" w:rsidR="00FF767D" w:rsidRPr="00BE5AFD" w:rsidRDefault="00FF767D">
            <w:pPr>
              <w:jc w:val="right"/>
              <w:rPr>
                <w:rFonts w:ascii="Arial" w:hAnsi="Arial" w:cs="Arial"/>
                <w:sz w:val="20"/>
                <w:szCs w:val="20"/>
              </w:rPr>
            </w:pPr>
            <w:r w:rsidRPr="00BE5AFD">
              <w:rPr>
                <w:rFonts w:ascii="Arial" w:hAnsi="Arial" w:cs="Arial"/>
                <w:sz w:val="20"/>
                <w:szCs w:val="20"/>
              </w:rPr>
              <w:t>8.000,00</w:t>
            </w:r>
          </w:p>
        </w:tc>
        <w:tc>
          <w:tcPr>
            <w:tcW w:w="1217" w:type="dxa"/>
            <w:tcBorders>
              <w:top w:val="single" w:sz="4" w:space="0" w:color="auto"/>
              <w:left w:val="single" w:sz="4" w:space="0" w:color="auto"/>
              <w:bottom w:val="single" w:sz="4" w:space="0" w:color="auto"/>
              <w:right w:val="single" w:sz="4" w:space="0" w:color="auto"/>
            </w:tcBorders>
          </w:tcPr>
          <w:p w14:paraId="43C9D9ED" w14:textId="77777777" w:rsidR="00FF767D" w:rsidRPr="00BE5AFD" w:rsidRDefault="00FF767D">
            <w:pPr>
              <w:jc w:val="right"/>
              <w:rPr>
                <w:rFonts w:ascii="Arial" w:hAnsi="Arial" w:cs="Arial"/>
                <w:sz w:val="20"/>
                <w:szCs w:val="20"/>
              </w:rPr>
            </w:pPr>
          </w:p>
          <w:p w14:paraId="31BA2095" w14:textId="77777777" w:rsidR="00FF767D" w:rsidRPr="00BE5AFD" w:rsidRDefault="00FF767D">
            <w:pPr>
              <w:jc w:val="right"/>
              <w:rPr>
                <w:rFonts w:ascii="Arial" w:hAnsi="Arial" w:cs="Arial"/>
                <w:sz w:val="20"/>
                <w:szCs w:val="20"/>
              </w:rPr>
            </w:pPr>
            <w:r w:rsidRPr="00BE5AFD">
              <w:rPr>
                <w:rFonts w:ascii="Arial" w:hAnsi="Arial" w:cs="Arial"/>
                <w:sz w:val="20"/>
                <w:szCs w:val="20"/>
              </w:rPr>
              <w:t>400,00</w:t>
            </w:r>
          </w:p>
        </w:tc>
      </w:tr>
      <w:tr w:rsidR="00FF767D" w:rsidRPr="00BE5AFD" w14:paraId="3CE387D3" w14:textId="77777777" w:rsidTr="00FF767D">
        <w:tc>
          <w:tcPr>
            <w:tcW w:w="1004" w:type="dxa"/>
            <w:tcBorders>
              <w:top w:val="single" w:sz="4" w:space="0" w:color="auto"/>
              <w:left w:val="single" w:sz="4" w:space="0" w:color="auto"/>
              <w:bottom w:val="single" w:sz="4" w:space="0" w:color="auto"/>
              <w:right w:val="single" w:sz="4" w:space="0" w:color="auto"/>
            </w:tcBorders>
          </w:tcPr>
          <w:p w14:paraId="004E641A" w14:textId="77777777" w:rsidR="00FF767D" w:rsidRPr="00BE5AFD" w:rsidRDefault="00FF767D">
            <w:pPr>
              <w:rPr>
                <w:rFonts w:ascii="Arial" w:hAnsi="Arial" w:cs="Arial"/>
                <w:color w:val="FF0000"/>
                <w:sz w:val="20"/>
                <w:szCs w:val="20"/>
              </w:rPr>
            </w:pPr>
          </w:p>
        </w:tc>
        <w:tc>
          <w:tcPr>
            <w:tcW w:w="2801" w:type="dxa"/>
            <w:tcBorders>
              <w:top w:val="single" w:sz="4" w:space="0" w:color="auto"/>
              <w:left w:val="single" w:sz="4" w:space="0" w:color="auto"/>
              <w:bottom w:val="single" w:sz="4" w:space="0" w:color="auto"/>
              <w:right w:val="single" w:sz="4" w:space="0" w:color="auto"/>
            </w:tcBorders>
            <w:hideMark/>
          </w:tcPr>
          <w:p w14:paraId="5A62F89C" w14:textId="77777777" w:rsidR="00FF767D" w:rsidRPr="00BE5AFD" w:rsidRDefault="00FF767D">
            <w:pPr>
              <w:rPr>
                <w:rFonts w:ascii="Arial" w:hAnsi="Arial" w:cs="Arial"/>
                <w:b/>
                <w:sz w:val="20"/>
                <w:szCs w:val="20"/>
              </w:rPr>
            </w:pPr>
            <w:r w:rsidRPr="00BE5AFD">
              <w:rPr>
                <w:rFonts w:ascii="Arial" w:hAnsi="Arial" w:cs="Arial"/>
                <w:b/>
                <w:sz w:val="20"/>
                <w:szCs w:val="20"/>
              </w:rPr>
              <w:t>SVEUKUPNI RASHODI 3+4</w:t>
            </w:r>
          </w:p>
        </w:tc>
        <w:tc>
          <w:tcPr>
            <w:tcW w:w="1546" w:type="dxa"/>
            <w:tcBorders>
              <w:top w:val="single" w:sz="4" w:space="0" w:color="auto"/>
              <w:left w:val="single" w:sz="4" w:space="0" w:color="auto"/>
              <w:bottom w:val="single" w:sz="4" w:space="0" w:color="auto"/>
              <w:right w:val="single" w:sz="4" w:space="0" w:color="auto"/>
            </w:tcBorders>
            <w:hideMark/>
          </w:tcPr>
          <w:p w14:paraId="21E8573C" w14:textId="77777777" w:rsidR="00FF767D" w:rsidRPr="00BE5AFD" w:rsidRDefault="00FF767D">
            <w:pPr>
              <w:jc w:val="right"/>
              <w:rPr>
                <w:rFonts w:ascii="Arial" w:hAnsi="Arial" w:cs="Arial"/>
                <w:b/>
                <w:sz w:val="20"/>
                <w:szCs w:val="20"/>
              </w:rPr>
            </w:pPr>
            <w:r w:rsidRPr="00BE5AFD">
              <w:rPr>
                <w:rFonts w:ascii="Arial" w:hAnsi="Arial" w:cs="Arial"/>
                <w:b/>
                <w:sz w:val="20"/>
                <w:szCs w:val="20"/>
              </w:rPr>
              <w:t>664.020,00</w:t>
            </w:r>
          </w:p>
        </w:tc>
        <w:tc>
          <w:tcPr>
            <w:tcW w:w="1350" w:type="dxa"/>
            <w:tcBorders>
              <w:top w:val="single" w:sz="4" w:space="0" w:color="auto"/>
              <w:left w:val="single" w:sz="4" w:space="0" w:color="auto"/>
              <w:bottom w:val="single" w:sz="4" w:space="0" w:color="auto"/>
              <w:right w:val="single" w:sz="4" w:space="0" w:color="auto"/>
            </w:tcBorders>
            <w:hideMark/>
          </w:tcPr>
          <w:p w14:paraId="69676380" w14:textId="77777777" w:rsidR="00FF767D" w:rsidRPr="00BE5AFD" w:rsidRDefault="00FF767D">
            <w:pPr>
              <w:jc w:val="right"/>
              <w:rPr>
                <w:rFonts w:ascii="Arial" w:hAnsi="Arial" w:cs="Arial"/>
                <w:b/>
                <w:sz w:val="20"/>
                <w:szCs w:val="20"/>
              </w:rPr>
            </w:pPr>
            <w:r w:rsidRPr="00BE5AFD">
              <w:rPr>
                <w:rFonts w:ascii="Arial" w:hAnsi="Arial" w:cs="Arial"/>
                <w:b/>
                <w:sz w:val="20"/>
                <w:szCs w:val="20"/>
              </w:rPr>
              <w:t>36.854,00</w:t>
            </w:r>
          </w:p>
        </w:tc>
        <w:tc>
          <w:tcPr>
            <w:tcW w:w="1546" w:type="dxa"/>
            <w:tcBorders>
              <w:top w:val="single" w:sz="4" w:space="0" w:color="auto"/>
              <w:left w:val="single" w:sz="4" w:space="0" w:color="auto"/>
              <w:bottom w:val="single" w:sz="4" w:space="0" w:color="auto"/>
              <w:right w:val="single" w:sz="4" w:space="0" w:color="auto"/>
            </w:tcBorders>
            <w:hideMark/>
          </w:tcPr>
          <w:p w14:paraId="3E610303" w14:textId="77777777" w:rsidR="00FF767D" w:rsidRPr="00BE5AFD" w:rsidRDefault="00FF767D">
            <w:pPr>
              <w:jc w:val="right"/>
              <w:rPr>
                <w:rFonts w:ascii="Arial" w:hAnsi="Arial" w:cs="Arial"/>
                <w:b/>
                <w:sz w:val="20"/>
                <w:szCs w:val="20"/>
              </w:rPr>
            </w:pPr>
            <w:r w:rsidRPr="00BE5AFD">
              <w:rPr>
                <w:rFonts w:ascii="Arial" w:hAnsi="Arial" w:cs="Arial"/>
                <w:b/>
                <w:sz w:val="20"/>
                <w:szCs w:val="20"/>
              </w:rPr>
              <w:t>700.874,00</w:t>
            </w:r>
          </w:p>
        </w:tc>
        <w:tc>
          <w:tcPr>
            <w:tcW w:w="1217" w:type="dxa"/>
            <w:tcBorders>
              <w:top w:val="single" w:sz="4" w:space="0" w:color="auto"/>
              <w:left w:val="single" w:sz="4" w:space="0" w:color="auto"/>
              <w:bottom w:val="single" w:sz="4" w:space="0" w:color="auto"/>
              <w:right w:val="single" w:sz="4" w:space="0" w:color="auto"/>
            </w:tcBorders>
            <w:hideMark/>
          </w:tcPr>
          <w:p w14:paraId="2ABD57F1" w14:textId="77777777" w:rsidR="00FF767D" w:rsidRPr="00BE5AFD" w:rsidRDefault="00FF767D">
            <w:pPr>
              <w:jc w:val="right"/>
              <w:rPr>
                <w:rFonts w:ascii="Arial" w:hAnsi="Arial" w:cs="Arial"/>
                <w:b/>
                <w:sz w:val="20"/>
                <w:szCs w:val="20"/>
              </w:rPr>
            </w:pPr>
            <w:r w:rsidRPr="00BE5AFD">
              <w:rPr>
                <w:rFonts w:ascii="Arial" w:hAnsi="Arial" w:cs="Arial"/>
                <w:b/>
                <w:sz w:val="20"/>
                <w:szCs w:val="20"/>
              </w:rPr>
              <w:t>105,55</w:t>
            </w:r>
          </w:p>
        </w:tc>
      </w:tr>
      <w:tr w:rsidR="00FF767D" w:rsidRPr="00BE5AFD" w14:paraId="185085C0" w14:textId="77777777" w:rsidTr="00FF767D">
        <w:tc>
          <w:tcPr>
            <w:tcW w:w="1004" w:type="dxa"/>
            <w:tcBorders>
              <w:top w:val="single" w:sz="4" w:space="0" w:color="auto"/>
              <w:left w:val="single" w:sz="4" w:space="0" w:color="auto"/>
              <w:bottom w:val="single" w:sz="4" w:space="0" w:color="auto"/>
              <w:right w:val="single" w:sz="4" w:space="0" w:color="auto"/>
            </w:tcBorders>
            <w:hideMark/>
          </w:tcPr>
          <w:p w14:paraId="7FDE8A3B" w14:textId="77777777" w:rsidR="00FF767D" w:rsidRPr="00BE5AFD" w:rsidRDefault="00FF767D">
            <w:pPr>
              <w:rPr>
                <w:rFonts w:ascii="Arial" w:hAnsi="Arial" w:cs="Arial"/>
                <w:sz w:val="20"/>
                <w:szCs w:val="20"/>
              </w:rPr>
            </w:pPr>
            <w:r w:rsidRPr="00BE5AFD">
              <w:rPr>
                <w:rFonts w:ascii="Arial" w:hAnsi="Arial" w:cs="Arial"/>
                <w:sz w:val="20"/>
                <w:szCs w:val="20"/>
              </w:rPr>
              <w:t>92</w:t>
            </w:r>
          </w:p>
        </w:tc>
        <w:tc>
          <w:tcPr>
            <w:tcW w:w="2801" w:type="dxa"/>
            <w:tcBorders>
              <w:top w:val="single" w:sz="4" w:space="0" w:color="auto"/>
              <w:left w:val="single" w:sz="4" w:space="0" w:color="auto"/>
              <w:bottom w:val="single" w:sz="4" w:space="0" w:color="auto"/>
              <w:right w:val="single" w:sz="4" w:space="0" w:color="auto"/>
            </w:tcBorders>
            <w:hideMark/>
          </w:tcPr>
          <w:p w14:paraId="1769FECF" w14:textId="77777777" w:rsidR="00FF767D" w:rsidRPr="00BE5AFD" w:rsidRDefault="00FF767D">
            <w:pPr>
              <w:rPr>
                <w:rFonts w:ascii="Arial" w:hAnsi="Arial" w:cs="Arial"/>
                <w:sz w:val="20"/>
                <w:szCs w:val="20"/>
              </w:rPr>
            </w:pPr>
            <w:r w:rsidRPr="00BE5AFD">
              <w:rPr>
                <w:rFonts w:ascii="Arial" w:hAnsi="Arial" w:cs="Arial"/>
                <w:sz w:val="20"/>
                <w:szCs w:val="20"/>
              </w:rPr>
              <w:t>REZULTAT POSLOVANJA-MANJAK</w:t>
            </w:r>
          </w:p>
        </w:tc>
        <w:tc>
          <w:tcPr>
            <w:tcW w:w="1546" w:type="dxa"/>
            <w:tcBorders>
              <w:top w:val="single" w:sz="4" w:space="0" w:color="auto"/>
              <w:left w:val="single" w:sz="4" w:space="0" w:color="auto"/>
              <w:bottom w:val="single" w:sz="4" w:space="0" w:color="auto"/>
              <w:right w:val="single" w:sz="4" w:space="0" w:color="auto"/>
            </w:tcBorders>
          </w:tcPr>
          <w:p w14:paraId="58610AF6" w14:textId="77777777" w:rsidR="00FF767D" w:rsidRPr="00BE5AFD" w:rsidRDefault="00FF767D">
            <w:pPr>
              <w:jc w:val="right"/>
              <w:rPr>
                <w:rFonts w:ascii="Arial" w:hAnsi="Arial" w:cs="Arial"/>
                <w:sz w:val="20"/>
                <w:szCs w:val="20"/>
              </w:rPr>
            </w:pPr>
          </w:p>
          <w:p w14:paraId="1DEE6F50" w14:textId="77777777" w:rsidR="00FF767D" w:rsidRPr="00BE5AFD" w:rsidRDefault="00FF767D">
            <w:pPr>
              <w:jc w:val="right"/>
              <w:rPr>
                <w:rFonts w:ascii="Arial" w:hAnsi="Arial" w:cs="Arial"/>
                <w:sz w:val="20"/>
                <w:szCs w:val="20"/>
              </w:rPr>
            </w:pPr>
            <w:r w:rsidRPr="00BE5AFD">
              <w:rPr>
                <w:rFonts w:ascii="Arial" w:hAnsi="Arial" w:cs="Arial"/>
                <w:sz w:val="20"/>
                <w:szCs w:val="20"/>
              </w:rPr>
              <w:t>0,00</w:t>
            </w:r>
          </w:p>
        </w:tc>
        <w:tc>
          <w:tcPr>
            <w:tcW w:w="1350" w:type="dxa"/>
            <w:tcBorders>
              <w:top w:val="single" w:sz="4" w:space="0" w:color="auto"/>
              <w:left w:val="single" w:sz="4" w:space="0" w:color="auto"/>
              <w:bottom w:val="single" w:sz="4" w:space="0" w:color="auto"/>
              <w:right w:val="single" w:sz="4" w:space="0" w:color="auto"/>
            </w:tcBorders>
          </w:tcPr>
          <w:p w14:paraId="5F3111C6" w14:textId="77777777" w:rsidR="00FF767D" w:rsidRPr="00BE5AFD" w:rsidRDefault="00FF767D">
            <w:pPr>
              <w:jc w:val="right"/>
              <w:rPr>
                <w:rFonts w:ascii="Arial" w:hAnsi="Arial" w:cs="Arial"/>
                <w:sz w:val="20"/>
                <w:szCs w:val="20"/>
              </w:rPr>
            </w:pPr>
          </w:p>
          <w:p w14:paraId="7883BE3B" w14:textId="77777777" w:rsidR="00FF767D" w:rsidRPr="00BE5AFD" w:rsidRDefault="00FF767D">
            <w:pPr>
              <w:jc w:val="right"/>
              <w:rPr>
                <w:rFonts w:ascii="Arial" w:hAnsi="Arial" w:cs="Arial"/>
                <w:sz w:val="20"/>
                <w:szCs w:val="20"/>
              </w:rPr>
            </w:pPr>
            <w:r w:rsidRPr="00BE5AFD">
              <w:rPr>
                <w:rFonts w:ascii="Arial" w:hAnsi="Arial" w:cs="Arial"/>
                <w:sz w:val="20"/>
                <w:szCs w:val="20"/>
              </w:rPr>
              <w:t>1.567,00</w:t>
            </w:r>
          </w:p>
        </w:tc>
        <w:tc>
          <w:tcPr>
            <w:tcW w:w="1546" w:type="dxa"/>
            <w:tcBorders>
              <w:top w:val="single" w:sz="4" w:space="0" w:color="auto"/>
              <w:left w:val="single" w:sz="4" w:space="0" w:color="auto"/>
              <w:bottom w:val="single" w:sz="4" w:space="0" w:color="auto"/>
              <w:right w:val="single" w:sz="4" w:space="0" w:color="auto"/>
            </w:tcBorders>
          </w:tcPr>
          <w:p w14:paraId="7125CD73" w14:textId="77777777" w:rsidR="00FF767D" w:rsidRPr="00BE5AFD" w:rsidRDefault="00FF767D">
            <w:pPr>
              <w:jc w:val="right"/>
              <w:rPr>
                <w:rFonts w:ascii="Arial" w:hAnsi="Arial" w:cs="Arial"/>
                <w:sz w:val="20"/>
                <w:szCs w:val="20"/>
              </w:rPr>
            </w:pPr>
          </w:p>
          <w:p w14:paraId="5247A3E5" w14:textId="77777777" w:rsidR="00FF767D" w:rsidRPr="00BE5AFD" w:rsidRDefault="00FF767D">
            <w:pPr>
              <w:jc w:val="right"/>
              <w:rPr>
                <w:rFonts w:ascii="Arial" w:hAnsi="Arial" w:cs="Arial"/>
                <w:sz w:val="20"/>
                <w:szCs w:val="20"/>
              </w:rPr>
            </w:pPr>
            <w:r w:rsidRPr="00BE5AFD">
              <w:rPr>
                <w:rFonts w:ascii="Arial" w:hAnsi="Arial" w:cs="Arial"/>
                <w:sz w:val="20"/>
                <w:szCs w:val="20"/>
              </w:rPr>
              <w:t>1.567,00</w:t>
            </w:r>
          </w:p>
        </w:tc>
        <w:tc>
          <w:tcPr>
            <w:tcW w:w="1217" w:type="dxa"/>
            <w:tcBorders>
              <w:top w:val="single" w:sz="4" w:space="0" w:color="auto"/>
              <w:left w:val="single" w:sz="4" w:space="0" w:color="auto"/>
              <w:bottom w:val="single" w:sz="4" w:space="0" w:color="auto"/>
              <w:right w:val="single" w:sz="4" w:space="0" w:color="auto"/>
            </w:tcBorders>
          </w:tcPr>
          <w:p w14:paraId="2167706B" w14:textId="77777777" w:rsidR="00FF767D" w:rsidRPr="00BE5AFD" w:rsidRDefault="00FF767D">
            <w:pPr>
              <w:jc w:val="right"/>
              <w:rPr>
                <w:rFonts w:ascii="Arial" w:hAnsi="Arial" w:cs="Arial"/>
                <w:color w:val="FF0000"/>
                <w:sz w:val="20"/>
                <w:szCs w:val="20"/>
              </w:rPr>
            </w:pPr>
          </w:p>
        </w:tc>
      </w:tr>
      <w:tr w:rsidR="00FF767D" w:rsidRPr="00BE5AFD" w14:paraId="2FD27614" w14:textId="77777777" w:rsidTr="00FF767D">
        <w:tc>
          <w:tcPr>
            <w:tcW w:w="1004" w:type="dxa"/>
            <w:tcBorders>
              <w:top w:val="single" w:sz="4" w:space="0" w:color="auto"/>
              <w:left w:val="single" w:sz="4" w:space="0" w:color="auto"/>
              <w:bottom w:val="single" w:sz="4" w:space="0" w:color="auto"/>
              <w:right w:val="single" w:sz="4" w:space="0" w:color="auto"/>
            </w:tcBorders>
          </w:tcPr>
          <w:p w14:paraId="6427D829" w14:textId="77777777" w:rsidR="00FF767D" w:rsidRPr="00BE5AFD" w:rsidRDefault="00FF767D">
            <w:pPr>
              <w:rPr>
                <w:rFonts w:ascii="Arial" w:hAnsi="Arial" w:cs="Arial"/>
                <w:sz w:val="20"/>
                <w:szCs w:val="20"/>
              </w:rPr>
            </w:pPr>
          </w:p>
        </w:tc>
        <w:tc>
          <w:tcPr>
            <w:tcW w:w="2801" w:type="dxa"/>
            <w:tcBorders>
              <w:top w:val="single" w:sz="4" w:space="0" w:color="auto"/>
              <w:left w:val="single" w:sz="4" w:space="0" w:color="auto"/>
              <w:bottom w:val="single" w:sz="4" w:space="0" w:color="auto"/>
              <w:right w:val="single" w:sz="4" w:space="0" w:color="auto"/>
            </w:tcBorders>
            <w:hideMark/>
          </w:tcPr>
          <w:p w14:paraId="679C8CAF" w14:textId="77777777" w:rsidR="00FF767D" w:rsidRPr="00BE5AFD" w:rsidRDefault="00FF767D">
            <w:pPr>
              <w:rPr>
                <w:rFonts w:ascii="Arial" w:hAnsi="Arial" w:cs="Arial"/>
                <w:b/>
                <w:sz w:val="20"/>
                <w:szCs w:val="20"/>
              </w:rPr>
            </w:pPr>
            <w:r w:rsidRPr="00BE5AFD">
              <w:rPr>
                <w:rFonts w:ascii="Arial" w:hAnsi="Arial" w:cs="Arial"/>
                <w:b/>
                <w:sz w:val="20"/>
                <w:szCs w:val="20"/>
              </w:rPr>
              <w:t>SVEUKUPNI RASHODI S REZULTATOM</w:t>
            </w:r>
          </w:p>
        </w:tc>
        <w:tc>
          <w:tcPr>
            <w:tcW w:w="1546" w:type="dxa"/>
            <w:tcBorders>
              <w:top w:val="single" w:sz="4" w:space="0" w:color="auto"/>
              <w:left w:val="single" w:sz="4" w:space="0" w:color="auto"/>
              <w:bottom w:val="single" w:sz="4" w:space="0" w:color="auto"/>
              <w:right w:val="single" w:sz="4" w:space="0" w:color="auto"/>
            </w:tcBorders>
          </w:tcPr>
          <w:p w14:paraId="7BCE1613" w14:textId="77777777" w:rsidR="00FF767D" w:rsidRPr="00BE5AFD" w:rsidRDefault="00FF767D">
            <w:pPr>
              <w:jc w:val="right"/>
              <w:rPr>
                <w:rFonts w:ascii="Arial" w:hAnsi="Arial" w:cs="Arial"/>
                <w:b/>
                <w:sz w:val="20"/>
                <w:szCs w:val="20"/>
              </w:rPr>
            </w:pPr>
          </w:p>
          <w:p w14:paraId="2C31C473" w14:textId="77777777" w:rsidR="00FF767D" w:rsidRPr="00BE5AFD" w:rsidRDefault="00FF767D">
            <w:pPr>
              <w:jc w:val="right"/>
              <w:rPr>
                <w:rFonts w:ascii="Arial" w:hAnsi="Arial" w:cs="Arial"/>
                <w:b/>
                <w:sz w:val="20"/>
                <w:szCs w:val="20"/>
              </w:rPr>
            </w:pPr>
            <w:r w:rsidRPr="00BE5AFD">
              <w:rPr>
                <w:rFonts w:ascii="Arial" w:hAnsi="Arial" w:cs="Arial"/>
                <w:b/>
                <w:sz w:val="20"/>
                <w:szCs w:val="20"/>
              </w:rPr>
              <w:t>664.020,00</w:t>
            </w:r>
          </w:p>
        </w:tc>
        <w:tc>
          <w:tcPr>
            <w:tcW w:w="1350" w:type="dxa"/>
            <w:tcBorders>
              <w:top w:val="single" w:sz="4" w:space="0" w:color="auto"/>
              <w:left w:val="single" w:sz="4" w:space="0" w:color="auto"/>
              <w:bottom w:val="single" w:sz="4" w:space="0" w:color="auto"/>
              <w:right w:val="single" w:sz="4" w:space="0" w:color="auto"/>
            </w:tcBorders>
          </w:tcPr>
          <w:p w14:paraId="0C4A38D6" w14:textId="77777777" w:rsidR="00FF767D" w:rsidRPr="00BE5AFD" w:rsidRDefault="00FF767D">
            <w:pPr>
              <w:jc w:val="right"/>
              <w:rPr>
                <w:rFonts w:ascii="Arial" w:hAnsi="Arial" w:cs="Arial"/>
                <w:b/>
                <w:sz w:val="20"/>
                <w:szCs w:val="20"/>
              </w:rPr>
            </w:pPr>
          </w:p>
          <w:p w14:paraId="1673210B" w14:textId="77777777" w:rsidR="00FF767D" w:rsidRPr="00BE5AFD" w:rsidRDefault="00FF767D">
            <w:pPr>
              <w:jc w:val="center"/>
              <w:rPr>
                <w:rFonts w:ascii="Arial" w:hAnsi="Arial" w:cs="Arial"/>
                <w:b/>
                <w:sz w:val="20"/>
                <w:szCs w:val="20"/>
              </w:rPr>
            </w:pPr>
            <w:r w:rsidRPr="00BE5AFD">
              <w:rPr>
                <w:rFonts w:ascii="Arial" w:hAnsi="Arial" w:cs="Arial"/>
                <w:b/>
                <w:sz w:val="20"/>
                <w:szCs w:val="20"/>
              </w:rPr>
              <w:t xml:space="preserve">  38.421,00</w:t>
            </w:r>
          </w:p>
        </w:tc>
        <w:tc>
          <w:tcPr>
            <w:tcW w:w="1546" w:type="dxa"/>
            <w:tcBorders>
              <w:top w:val="single" w:sz="4" w:space="0" w:color="auto"/>
              <w:left w:val="single" w:sz="4" w:space="0" w:color="auto"/>
              <w:bottom w:val="single" w:sz="4" w:space="0" w:color="auto"/>
              <w:right w:val="single" w:sz="4" w:space="0" w:color="auto"/>
            </w:tcBorders>
          </w:tcPr>
          <w:p w14:paraId="59C7586B" w14:textId="77777777" w:rsidR="00FF767D" w:rsidRPr="00BE5AFD" w:rsidRDefault="00FF767D">
            <w:pPr>
              <w:jc w:val="right"/>
              <w:rPr>
                <w:rFonts w:ascii="Arial" w:hAnsi="Arial" w:cs="Arial"/>
                <w:b/>
                <w:sz w:val="20"/>
                <w:szCs w:val="20"/>
              </w:rPr>
            </w:pPr>
          </w:p>
          <w:p w14:paraId="4F97EE44" w14:textId="77777777" w:rsidR="00FF767D" w:rsidRPr="00BE5AFD" w:rsidRDefault="00FF767D">
            <w:pPr>
              <w:jc w:val="right"/>
              <w:rPr>
                <w:rFonts w:ascii="Arial" w:hAnsi="Arial" w:cs="Arial"/>
                <w:b/>
                <w:sz w:val="20"/>
                <w:szCs w:val="20"/>
              </w:rPr>
            </w:pPr>
            <w:r w:rsidRPr="00BE5AFD">
              <w:rPr>
                <w:rFonts w:ascii="Arial" w:hAnsi="Arial" w:cs="Arial"/>
                <w:b/>
                <w:sz w:val="20"/>
                <w:szCs w:val="20"/>
              </w:rPr>
              <w:t>702.441,00</w:t>
            </w:r>
          </w:p>
        </w:tc>
        <w:tc>
          <w:tcPr>
            <w:tcW w:w="1217" w:type="dxa"/>
            <w:tcBorders>
              <w:top w:val="single" w:sz="4" w:space="0" w:color="auto"/>
              <w:left w:val="single" w:sz="4" w:space="0" w:color="auto"/>
              <w:bottom w:val="single" w:sz="4" w:space="0" w:color="auto"/>
              <w:right w:val="single" w:sz="4" w:space="0" w:color="auto"/>
            </w:tcBorders>
          </w:tcPr>
          <w:p w14:paraId="129C880A" w14:textId="77777777" w:rsidR="00FF767D" w:rsidRPr="00BE5AFD" w:rsidRDefault="00FF767D">
            <w:pPr>
              <w:jc w:val="right"/>
              <w:rPr>
                <w:rFonts w:ascii="Arial" w:hAnsi="Arial" w:cs="Arial"/>
                <w:b/>
                <w:color w:val="FF0000"/>
                <w:sz w:val="20"/>
                <w:szCs w:val="20"/>
              </w:rPr>
            </w:pPr>
          </w:p>
          <w:p w14:paraId="1A1B993D" w14:textId="77777777" w:rsidR="00FF767D" w:rsidRPr="00BE5AFD" w:rsidRDefault="00FF767D">
            <w:pPr>
              <w:jc w:val="right"/>
              <w:rPr>
                <w:rFonts w:ascii="Arial" w:hAnsi="Arial" w:cs="Arial"/>
                <w:b/>
                <w:color w:val="FF0000"/>
                <w:sz w:val="20"/>
                <w:szCs w:val="20"/>
              </w:rPr>
            </w:pPr>
            <w:r w:rsidRPr="00BE5AFD">
              <w:rPr>
                <w:rFonts w:ascii="Arial" w:hAnsi="Arial" w:cs="Arial"/>
                <w:b/>
                <w:sz w:val="20"/>
                <w:szCs w:val="20"/>
              </w:rPr>
              <w:t>105,79</w:t>
            </w:r>
          </w:p>
        </w:tc>
      </w:tr>
    </w:tbl>
    <w:p w14:paraId="3808AA98" w14:textId="77777777" w:rsidR="00FF767D" w:rsidRDefault="00FF767D" w:rsidP="00FF767D">
      <w:pPr>
        <w:rPr>
          <w:rFonts w:ascii="Arial" w:hAnsi="Arial" w:cs="Arial"/>
          <w:b/>
          <w:color w:val="FF0000"/>
          <w:sz w:val="22"/>
          <w:szCs w:val="22"/>
          <w:lang w:eastAsia="en-US"/>
        </w:rPr>
      </w:pPr>
    </w:p>
    <w:p w14:paraId="3F854E14" w14:textId="77777777" w:rsidR="00FF767D" w:rsidRDefault="00FF767D" w:rsidP="00FF767D">
      <w:pPr>
        <w:rPr>
          <w:rFonts w:ascii="Arial" w:hAnsi="Arial" w:cs="Arial"/>
          <w:b/>
          <w:color w:val="FF0000"/>
        </w:rPr>
      </w:pPr>
    </w:p>
    <w:p w14:paraId="78112C54" w14:textId="77777777" w:rsidR="00FF767D" w:rsidRDefault="00FF767D" w:rsidP="00F131FC">
      <w:pPr>
        <w:spacing w:line="259" w:lineRule="auto"/>
        <w:jc w:val="both"/>
        <w:rPr>
          <w:rFonts w:ascii="Arial" w:hAnsi="Arial" w:cs="Arial"/>
          <w:b/>
          <w:sz w:val="22"/>
          <w:szCs w:val="22"/>
        </w:rPr>
      </w:pPr>
      <w:r w:rsidRPr="00BE5AFD">
        <w:rPr>
          <w:rFonts w:ascii="Arial" w:hAnsi="Arial" w:cs="Arial"/>
          <w:b/>
          <w:sz w:val="22"/>
          <w:szCs w:val="22"/>
        </w:rPr>
        <w:t>OBRAZLOŽENJE PRIHODA I PRIMITAKA</w:t>
      </w:r>
    </w:p>
    <w:p w14:paraId="58691856" w14:textId="77777777" w:rsidR="00C526AC" w:rsidRPr="00BE5AFD" w:rsidRDefault="00C526AC" w:rsidP="00F131FC">
      <w:pPr>
        <w:spacing w:line="259" w:lineRule="auto"/>
        <w:jc w:val="both"/>
        <w:rPr>
          <w:rFonts w:ascii="Arial" w:hAnsi="Arial" w:cs="Arial"/>
          <w:b/>
          <w:sz w:val="22"/>
          <w:szCs w:val="22"/>
        </w:rPr>
      </w:pPr>
    </w:p>
    <w:p w14:paraId="45DE9544" w14:textId="535C99BC" w:rsidR="00FF767D" w:rsidRPr="00BE5AFD" w:rsidRDefault="00FF767D" w:rsidP="00F131FC">
      <w:pPr>
        <w:spacing w:line="259" w:lineRule="auto"/>
        <w:jc w:val="both"/>
        <w:rPr>
          <w:rFonts w:ascii="Arial" w:hAnsi="Arial" w:cs="Arial"/>
          <w:b/>
          <w:sz w:val="22"/>
          <w:szCs w:val="22"/>
        </w:rPr>
      </w:pPr>
      <w:r w:rsidRPr="00BE5AFD">
        <w:rPr>
          <w:rFonts w:ascii="Arial" w:hAnsi="Arial" w:cs="Arial"/>
          <w:b/>
          <w:sz w:val="22"/>
          <w:szCs w:val="22"/>
        </w:rPr>
        <w:t>Prihodi i primitci poslovanja</w:t>
      </w:r>
      <w:r w:rsidRPr="00BE5AFD">
        <w:rPr>
          <w:rFonts w:ascii="Arial" w:hAnsi="Arial" w:cs="Arial"/>
          <w:sz w:val="22"/>
          <w:szCs w:val="22"/>
        </w:rPr>
        <w:t xml:space="preserve"> </w:t>
      </w:r>
      <w:r w:rsidRPr="00BE5AFD">
        <w:rPr>
          <w:rFonts w:ascii="Arial" w:hAnsi="Arial" w:cs="Arial"/>
          <w:b/>
          <w:sz w:val="22"/>
          <w:szCs w:val="22"/>
        </w:rPr>
        <w:t>sa ostvarenim viškom za 2024.god</w:t>
      </w:r>
      <w:r w:rsidRPr="00BE5AFD">
        <w:rPr>
          <w:rFonts w:ascii="Arial" w:hAnsi="Arial" w:cs="Arial"/>
          <w:sz w:val="22"/>
          <w:szCs w:val="22"/>
        </w:rPr>
        <w:t xml:space="preserve">. </w:t>
      </w:r>
      <w:r w:rsidRPr="00BE5AFD">
        <w:rPr>
          <w:rFonts w:ascii="Arial" w:hAnsi="Arial" w:cs="Arial"/>
          <w:b/>
          <w:sz w:val="22"/>
          <w:szCs w:val="22"/>
        </w:rPr>
        <w:t>uvećani su u prvim</w:t>
      </w:r>
      <w:r w:rsidRPr="00BE5AFD">
        <w:rPr>
          <w:rFonts w:ascii="Arial" w:hAnsi="Arial" w:cs="Arial"/>
          <w:sz w:val="22"/>
          <w:szCs w:val="22"/>
        </w:rPr>
        <w:t xml:space="preserve"> </w:t>
      </w:r>
      <w:r w:rsidRPr="00BE5AFD">
        <w:rPr>
          <w:rFonts w:ascii="Arial" w:hAnsi="Arial" w:cs="Arial"/>
          <w:b/>
          <w:sz w:val="22"/>
          <w:szCs w:val="22"/>
        </w:rPr>
        <w:t>izmjenama plana za 38.421,00</w:t>
      </w:r>
      <w:r w:rsidR="00F131FC">
        <w:rPr>
          <w:rFonts w:ascii="Arial" w:hAnsi="Arial" w:cs="Arial"/>
          <w:b/>
          <w:sz w:val="22"/>
          <w:szCs w:val="22"/>
        </w:rPr>
        <w:t xml:space="preserve"> </w:t>
      </w:r>
      <w:r w:rsidR="00BE5AFD" w:rsidRPr="00BE5AFD">
        <w:rPr>
          <w:rFonts w:ascii="Arial" w:hAnsi="Arial" w:cs="Arial"/>
          <w:b/>
          <w:sz w:val="22"/>
          <w:szCs w:val="22"/>
        </w:rPr>
        <w:t>EUR</w:t>
      </w:r>
      <w:r w:rsidRPr="00BE5AFD">
        <w:rPr>
          <w:rFonts w:ascii="Arial" w:hAnsi="Arial" w:cs="Arial"/>
          <w:sz w:val="22"/>
          <w:szCs w:val="22"/>
        </w:rPr>
        <w:t xml:space="preserve"> </w:t>
      </w:r>
      <w:r w:rsidRPr="00BE5AFD">
        <w:rPr>
          <w:rFonts w:ascii="Arial" w:hAnsi="Arial" w:cs="Arial"/>
          <w:b/>
          <w:sz w:val="22"/>
          <w:szCs w:val="22"/>
        </w:rPr>
        <w:t xml:space="preserve"> te sada iznose  702.441,00  </w:t>
      </w:r>
      <w:r w:rsidR="00BE5AFD" w:rsidRPr="00BE5AFD">
        <w:rPr>
          <w:rFonts w:ascii="Arial" w:hAnsi="Arial" w:cs="Arial"/>
          <w:b/>
          <w:sz w:val="22"/>
          <w:szCs w:val="22"/>
        </w:rPr>
        <w:t>EUR</w:t>
      </w:r>
      <w:r w:rsidRPr="00BE5AFD">
        <w:rPr>
          <w:rFonts w:ascii="Arial" w:hAnsi="Arial" w:cs="Arial"/>
          <w:b/>
          <w:sz w:val="22"/>
          <w:szCs w:val="22"/>
        </w:rPr>
        <w:t>, u postotku za 5,79% u odnosu na plan i dijele se na</w:t>
      </w:r>
    </w:p>
    <w:p w14:paraId="07112A32" w14:textId="77777777" w:rsidR="00FF767D" w:rsidRPr="00BE5AFD" w:rsidRDefault="00FF767D">
      <w:pPr>
        <w:pStyle w:val="Odlomakpopisa"/>
        <w:numPr>
          <w:ilvl w:val="0"/>
          <w:numId w:val="27"/>
        </w:numPr>
        <w:spacing w:after="0" w:line="259" w:lineRule="auto"/>
        <w:jc w:val="both"/>
        <w:rPr>
          <w:rFonts w:ascii="Arial" w:hAnsi="Arial" w:cs="Arial"/>
          <w:b/>
          <w:color w:val="000000" w:themeColor="text1"/>
          <w:szCs w:val="22"/>
        </w:rPr>
      </w:pPr>
      <w:r w:rsidRPr="00BE5AFD">
        <w:rPr>
          <w:rFonts w:ascii="Arial" w:hAnsi="Arial" w:cs="Arial"/>
          <w:b/>
          <w:color w:val="000000" w:themeColor="text1"/>
          <w:szCs w:val="22"/>
        </w:rPr>
        <w:t xml:space="preserve">Pomoći iz inozemstva i od subjekata unutar općeg proračuna,  </w:t>
      </w:r>
    </w:p>
    <w:p w14:paraId="388C877F" w14:textId="5FD0D951" w:rsidR="00FF767D" w:rsidRPr="00BE5AFD" w:rsidRDefault="00FF767D">
      <w:pPr>
        <w:pStyle w:val="Odlomakpopisa"/>
        <w:numPr>
          <w:ilvl w:val="0"/>
          <w:numId w:val="28"/>
        </w:numPr>
        <w:spacing w:after="0" w:line="259" w:lineRule="auto"/>
        <w:jc w:val="both"/>
        <w:rPr>
          <w:rFonts w:ascii="Arial" w:hAnsi="Arial" w:cs="Arial"/>
          <w:szCs w:val="22"/>
        </w:rPr>
      </w:pPr>
      <w:r w:rsidRPr="00BE5AFD">
        <w:rPr>
          <w:rFonts w:ascii="Arial" w:hAnsi="Arial" w:cs="Arial"/>
          <w:color w:val="000000" w:themeColor="text1"/>
          <w:szCs w:val="22"/>
        </w:rPr>
        <w:t xml:space="preserve">tekuće pomoći iz Državnog proračuna su uvećane za 1.217,00 </w:t>
      </w:r>
      <w:r w:rsidR="00BE5AFD" w:rsidRPr="00BE5AFD">
        <w:rPr>
          <w:rFonts w:ascii="Arial" w:hAnsi="Arial" w:cs="Arial"/>
          <w:color w:val="000000" w:themeColor="text1"/>
          <w:szCs w:val="22"/>
        </w:rPr>
        <w:t>EUR</w:t>
      </w:r>
      <w:r w:rsidRPr="00BE5AFD">
        <w:rPr>
          <w:rFonts w:ascii="Arial" w:hAnsi="Arial" w:cs="Arial"/>
          <w:color w:val="FF0000"/>
          <w:szCs w:val="22"/>
        </w:rPr>
        <w:t xml:space="preserve"> </w:t>
      </w:r>
      <w:r w:rsidRPr="00BE5AFD">
        <w:rPr>
          <w:rFonts w:ascii="Arial" w:hAnsi="Arial" w:cs="Arial"/>
          <w:color w:val="000000" w:themeColor="text1"/>
          <w:szCs w:val="22"/>
        </w:rPr>
        <w:t>te sad iznose 13.917,00</w:t>
      </w:r>
      <w:r w:rsidR="00BE5AFD" w:rsidRPr="00BE5AFD">
        <w:rPr>
          <w:rFonts w:ascii="Arial" w:hAnsi="Arial" w:cs="Arial"/>
          <w:szCs w:val="22"/>
        </w:rPr>
        <w:t>EUR</w:t>
      </w:r>
      <w:r w:rsidRPr="00BE5AFD">
        <w:rPr>
          <w:rFonts w:ascii="Arial" w:hAnsi="Arial" w:cs="Arial"/>
          <w:szCs w:val="22"/>
        </w:rPr>
        <w:t xml:space="preserve"> ili 9,58 % u odnosu na plan.</w:t>
      </w:r>
    </w:p>
    <w:p w14:paraId="0236E9FC" w14:textId="77777777" w:rsidR="00FF767D" w:rsidRPr="00BE5AFD" w:rsidRDefault="00FF767D">
      <w:pPr>
        <w:pStyle w:val="Odlomakpopisa"/>
        <w:numPr>
          <w:ilvl w:val="0"/>
          <w:numId w:val="28"/>
        </w:numPr>
        <w:spacing w:after="0" w:line="259" w:lineRule="auto"/>
        <w:jc w:val="both"/>
        <w:rPr>
          <w:rFonts w:ascii="Arial" w:hAnsi="Arial" w:cs="Arial"/>
          <w:color w:val="000000" w:themeColor="text1"/>
          <w:szCs w:val="22"/>
        </w:rPr>
      </w:pPr>
      <w:r w:rsidRPr="00BE5AFD">
        <w:rPr>
          <w:rFonts w:ascii="Arial" w:hAnsi="Arial" w:cs="Arial"/>
          <w:color w:val="000000" w:themeColor="text1"/>
          <w:szCs w:val="22"/>
        </w:rPr>
        <w:t>Pomoći temeljem prijenosa  iz EU sredstava  ostale su nepromijenjene</w:t>
      </w:r>
    </w:p>
    <w:p w14:paraId="0FBB09AB" w14:textId="33383E57" w:rsidR="00FF767D" w:rsidRPr="00BE5AFD" w:rsidRDefault="00FF767D">
      <w:pPr>
        <w:pStyle w:val="Odlomakpopisa"/>
        <w:numPr>
          <w:ilvl w:val="0"/>
          <w:numId w:val="28"/>
        </w:numPr>
        <w:spacing w:after="0" w:line="259" w:lineRule="auto"/>
        <w:jc w:val="both"/>
        <w:rPr>
          <w:rFonts w:ascii="Arial" w:hAnsi="Arial" w:cs="Arial"/>
          <w:color w:val="FF0000"/>
          <w:szCs w:val="22"/>
        </w:rPr>
      </w:pPr>
      <w:r w:rsidRPr="00BE5AFD">
        <w:rPr>
          <w:rFonts w:ascii="Arial" w:hAnsi="Arial" w:cs="Arial"/>
          <w:color w:val="000000" w:themeColor="text1"/>
          <w:szCs w:val="22"/>
        </w:rPr>
        <w:t xml:space="preserve">Pomoći iz Državne riznice za plaće  zaposlenika  uvećane  su za 3,38%  plana ili za 17.280,00 </w:t>
      </w:r>
      <w:r w:rsidR="00BE5AFD" w:rsidRPr="00BE5AFD">
        <w:rPr>
          <w:rFonts w:ascii="Arial" w:hAnsi="Arial" w:cs="Arial"/>
          <w:color w:val="000000" w:themeColor="text1"/>
          <w:szCs w:val="22"/>
        </w:rPr>
        <w:t>EUR</w:t>
      </w:r>
      <w:r w:rsidRPr="00BE5AFD">
        <w:rPr>
          <w:rFonts w:ascii="Arial" w:hAnsi="Arial" w:cs="Arial"/>
          <w:color w:val="000000" w:themeColor="text1"/>
          <w:szCs w:val="22"/>
        </w:rPr>
        <w:t xml:space="preserve"> te novi plan iznosi 529.080,00 </w:t>
      </w:r>
      <w:bookmarkStart w:id="44" w:name="_Hlk202812464"/>
      <w:r w:rsidR="00BE5AFD" w:rsidRPr="00BE5AFD">
        <w:rPr>
          <w:rFonts w:ascii="Arial" w:hAnsi="Arial" w:cs="Arial"/>
          <w:color w:val="000000" w:themeColor="text1"/>
          <w:szCs w:val="22"/>
        </w:rPr>
        <w:t>EUR</w:t>
      </w:r>
      <w:r w:rsidRPr="00BE5AFD">
        <w:rPr>
          <w:rFonts w:ascii="Arial" w:hAnsi="Arial" w:cs="Arial"/>
          <w:color w:val="000000" w:themeColor="text1"/>
          <w:szCs w:val="22"/>
        </w:rPr>
        <w:t>. Povećanje se odnosi na veći broj bolovanja i neplaniranih zamjena te naknada za prijevoz i ostali rashodi.</w:t>
      </w:r>
    </w:p>
    <w:bookmarkEnd w:id="44"/>
    <w:p w14:paraId="3F8DA9E9" w14:textId="77777777" w:rsidR="00F131FC" w:rsidRDefault="00F131FC" w:rsidP="00F131FC">
      <w:pPr>
        <w:spacing w:line="259" w:lineRule="auto"/>
        <w:jc w:val="both"/>
        <w:rPr>
          <w:rFonts w:ascii="Arial" w:hAnsi="Arial" w:cs="Arial"/>
          <w:b/>
          <w:color w:val="000000" w:themeColor="text1"/>
          <w:sz w:val="22"/>
          <w:szCs w:val="22"/>
        </w:rPr>
      </w:pPr>
    </w:p>
    <w:p w14:paraId="156EA38B" w14:textId="39CE6F39" w:rsidR="00FF767D" w:rsidRPr="00BE5AFD" w:rsidRDefault="00FF767D" w:rsidP="00F131FC">
      <w:pPr>
        <w:spacing w:line="259" w:lineRule="auto"/>
        <w:jc w:val="both"/>
        <w:rPr>
          <w:rFonts w:ascii="Arial" w:hAnsi="Arial" w:cs="Arial"/>
          <w:b/>
          <w:color w:val="000000" w:themeColor="text1"/>
          <w:sz w:val="22"/>
          <w:szCs w:val="22"/>
        </w:rPr>
      </w:pPr>
      <w:r w:rsidRPr="00BE5AFD">
        <w:rPr>
          <w:rFonts w:ascii="Arial" w:hAnsi="Arial" w:cs="Arial"/>
          <w:b/>
          <w:color w:val="000000" w:themeColor="text1"/>
          <w:sz w:val="22"/>
          <w:szCs w:val="22"/>
        </w:rPr>
        <w:t xml:space="preserve">2. Prihodi od prodaje proizvoda i robe te pruženih usluga </w:t>
      </w:r>
    </w:p>
    <w:p w14:paraId="5084BB60" w14:textId="72B5C8F3" w:rsidR="00FF767D" w:rsidRPr="00BE5AFD" w:rsidRDefault="00FF767D" w:rsidP="00F131FC">
      <w:pPr>
        <w:spacing w:line="259" w:lineRule="auto"/>
        <w:jc w:val="both"/>
        <w:rPr>
          <w:rFonts w:ascii="Arial" w:hAnsi="Arial" w:cs="Arial"/>
          <w:color w:val="000000" w:themeColor="text1"/>
          <w:sz w:val="22"/>
          <w:szCs w:val="22"/>
        </w:rPr>
      </w:pPr>
      <w:r w:rsidRPr="00BE5AFD">
        <w:rPr>
          <w:rFonts w:ascii="Arial" w:hAnsi="Arial" w:cs="Arial"/>
          <w:color w:val="000000" w:themeColor="text1"/>
          <w:sz w:val="22"/>
          <w:szCs w:val="22"/>
        </w:rPr>
        <w:t xml:space="preserve">-Prihodi od prodaje proizvoda i robe te pruženih usluga planirani su u iznosu 4.100,00 </w:t>
      </w:r>
      <w:r w:rsidR="00BE5AFD" w:rsidRPr="00BE5AFD">
        <w:rPr>
          <w:rFonts w:ascii="Arial" w:hAnsi="Arial" w:cs="Arial"/>
          <w:color w:val="000000" w:themeColor="text1"/>
          <w:sz w:val="22"/>
          <w:szCs w:val="22"/>
        </w:rPr>
        <w:t>EUR</w:t>
      </w:r>
      <w:r w:rsidRPr="00BE5AFD">
        <w:rPr>
          <w:rFonts w:ascii="Arial" w:hAnsi="Arial" w:cs="Arial"/>
          <w:color w:val="000000" w:themeColor="text1"/>
          <w:sz w:val="22"/>
          <w:szCs w:val="22"/>
        </w:rPr>
        <w:t xml:space="preserve"> i ostaju nepromijenjeni Prvim izmjenama i dopunama financijskog plana 2025.godine.</w:t>
      </w:r>
    </w:p>
    <w:p w14:paraId="0F152E57" w14:textId="77777777" w:rsidR="00FF767D" w:rsidRPr="00BE5AFD" w:rsidRDefault="00FF767D" w:rsidP="00F131FC">
      <w:pPr>
        <w:spacing w:line="259" w:lineRule="auto"/>
        <w:jc w:val="both"/>
        <w:rPr>
          <w:rFonts w:ascii="Arial" w:hAnsi="Arial" w:cs="Arial"/>
          <w:color w:val="FF0000"/>
          <w:sz w:val="22"/>
          <w:szCs w:val="22"/>
        </w:rPr>
      </w:pPr>
      <w:r w:rsidRPr="00BE5AFD">
        <w:rPr>
          <w:rFonts w:ascii="Arial" w:hAnsi="Arial" w:cs="Arial"/>
          <w:color w:val="000000" w:themeColor="text1"/>
          <w:sz w:val="22"/>
          <w:szCs w:val="22"/>
        </w:rPr>
        <w:t xml:space="preserve">Planirana  sredstva se odnose na vlastiti prihod ostvaren uslugom prijevoza učenika kombijem Centra „Liče </w:t>
      </w:r>
      <w:proofErr w:type="spellStart"/>
      <w:r w:rsidRPr="00BE5AFD">
        <w:rPr>
          <w:rFonts w:ascii="Arial" w:hAnsi="Arial" w:cs="Arial"/>
          <w:color w:val="000000" w:themeColor="text1"/>
          <w:sz w:val="22"/>
          <w:szCs w:val="22"/>
        </w:rPr>
        <w:t>Faraguna</w:t>
      </w:r>
      <w:proofErr w:type="spellEnd"/>
      <w:r w:rsidRPr="00BE5AFD">
        <w:rPr>
          <w:rFonts w:ascii="Arial" w:hAnsi="Arial" w:cs="Arial"/>
          <w:color w:val="000000" w:themeColor="text1"/>
          <w:sz w:val="22"/>
          <w:szCs w:val="22"/>
        </w:rPr>
        <w:t xml:space="preserve">“ koje plaćaju nadležne Općine prema prebivalištu učenika te </w:t>
      </w:r>
      <w:r w:rsidRPr="00BE5AFD">
        <w:rPr>
          <w:rFonts w:ascii="Arial" w:eastAsia="Calibri" w:hAnsi="Arial" w:cs="Arial"/>
          <w:color w:val="000000" w:themeColor="text1"/>
          <w:sz w:val="22"/>
          <w:szCs w:val="22"/>
        </w:rPr>
        <w:t>iznajmljivanje kombija</w:t>
      </w:r>
      <w:r w:rsidRPr="00BE5AFD">
        <w:rPr>
          <w:rFonts w:ascii="Arial" w:hAnsi="Arial" w:cs="Arial"/>
          <w:color w:val="FF0000"/>
          <w:sz w:val="22"/>
          <w:szCs w:val="22"/>
        </w:rPr>
        <w:t xml:space="preserve">. </w:t>
      </w:r>
    </w:p>
    <w:p w14:paraId="2400BDB2" w14:textId="77777777" w:rsidR="00F131FC" w:rsidRDefault="00F131FC" w:rsidP="00F131FC">
      <w:pPr>
        <w:spacing w:line="259" w:lineRule="auto"/>
        <w:jc w:val="both"/>
        <w:rPr>
          <w:rFonts w:ascii="Arial" w:hAnsi="Arial" w:cs="Arial"/>
          <w:b/>
          <w:color w:val="000000" w:themeColor="text1"/>
          <w:sz w:val="22"/>
          <w:szCs w:val="22"/>
        </w:rPr>
      </w:pPr>
    </w:p>
    <w:p w14:paraId="3A9F78A0" w14:textId="38BC1F12" w:rsidR="00FF767D" w:rsidRPr="00BE5AFD" w:rsidRDefault="00F131FC" w:rsidP="00F131FC">
      <w:pPr>
        <w:spacing w:line="259" w:lineRule="auto"/>
        <w:jc w:val="both"/>
        <w:rPr>
          <w:rFonts w:ascii="Arial" w:hAnsi="Arial" w:cs="Arial"/>
          <w:b/>
          <w:color w:val="000000" w:themeColor="text1"/>
          <w:sz w:val="22"/>
          <w:szCs w:val="22"/>
        </w:rPr>
      </w:pPr>
      <w:r>
        <w:rPr>
          <w:rFonts w:ascii="Arial" w:hAnsi="Arial" w:cs="Arial"/>
          <w:b/>
          <w:color w:val="000000" w:themeColor="text1"/>
          <w:sz w:val="22"/>
          <w:szCs w:val="22"/>
        </w:rPr>
        <w:t>3.</w:t>
      </w:r>
      <w:r w:rsidR="00FF767D" w:rsidRPr="00BE5AFD">
        <w:rPr>
          <w:rFonts w:ascii="Arial" w:hAnsi="Arial" w:cs="Arial"/>
          <w:b/>
          <w:color w:val="000000" w:themeColor="text1"/>
          <w:sz w:val="22"/>
          <w:szCs w:val="22"/>
        </w:rPr>
        <w:t xml:space="preserve"> Prihodi od donacija </w:t>
      </w:r>
    </w:p>
    <w:p w14:paraId="12E374BC" w14:textId="4AA49EE2" w:rsidR="00FF767D" w:rsidRPr="00BE5AFD" w:rsidRDefault="00FF767D" w:rsidP="00F131FC">
      <w:pPr>
        <w:spacing w:line="259" w:lineRule="auto"/>
        <w:jc w:val="both"/>
        <w:rPr>
          <w:rFonts w:ascii="Arial" w:hAnsi="Arial" w:cs="Arial"/>
          <w:color w:val="000000" w:themeColor="text1"/>
          <w:sz w:val="22"/>
          <w:szCs w:val="22"/>
        </w:rPr>
      </w:pPr>
      <w:r w:rsidRPr="00BE5AFD">
        <w:rPr>
          <w:rFonts w:ascii="Arial" w:hAnsi="Arial" w:cs="Arial"/>
          <w:color w:val="000000" w:themeColor="text1"/>
          <w:sz w:val="22"/>
          <w:szCs w:val="22"/>
        </w:rPr>
        <w:t xml:space="preserve">-Donacije od pravnih i fizičkih osoba izvan općeg proračuna  planirane su u iznosu od 2.200,00 </w:t>
      </w:r>
      <w:r w:rsidR="00BE5AFD" w:rsidRPr="00BE5AFD">
        <w:rPr>
          <w:rFonts w:ascii="Arial" w:hAnsi="Arial" w:cs="Arial"/>
          <w:color w:val="000000" w:themeColor="text1"/>
          <w:sz w:val="22"/>
          <w:szCs w:val="22"/>
        </w:rPr>
        <w:t>EUR</w:t>
      </w:r>
      <w:r w:rsidRPr="00BE5AFD">
        <w:rPr>
          <w:rFonts w:ascii="Arial" w:hAnsi="Arial" w:cs="Arial"/>
          <w:color w:val="000000" w:themeColor="text1"/>
          <w:sz w:val="22"/>
          <w:szCs w:val="22"/>
        </w:rPr>
        <w:t xml:space="preserve"> i ostaju nepromijenjeni Prvim izmjenama i dopunama financijskog plana. Sadrže prihode od pravnih i fizičkih osoba izvan općeg proračuna. </w:t>
      </w:r>
    </w:p>
    <w:p w14:paraId="29075ED7" w14:textId="77777777" w:rsidR="00F131FC" w:rsidRDefault="00F131FC" w:rsidP="00F131FC">
      <w:pPr>
        <w:spacing w:line="259" w:lineRule="auto"/>
        <w:jc w:val="both"/>
        <w:rPr>
          <w:rFonts w:ascii="Arial" w:hAnsi="Arial" w:cs="Arial"/>
          <w:b/>
          <w:color w:val="000000" w:themeColor="text1"/>
          <w:sz w:val="22"/>
          <w:szCs w:val="22"/>
        </w:rPr>
      </w:pPr>
    </w:p>
    <w:p w14:paraId="3B020546" w14:textId="4B7A2C6E" w:rsidR="00FF767D" w:rsidRPr="00BE5AFD" w:rsidRDefault="00F131FC" w:rsidP="00F131FC">
      <w:pPr>
        <w:spacing w:line="259" w:lineRule="auto"/>
        <w:jc w:val="both"/>
        <w:rPr>
          <w:rFonts w:ascii="Arial" w:hAnsi="Arial" w:cs="Arial"/>
          <w:b/>
          <w:color w:val="000000" w:themeColor="text1"/>
          <w:sz w:val="22"/>
          <w:szCs w:val="22"/>
        </w:rPr>
      </w:pPr>
      <w:r>
        <w:rPr>
          <w:rFonts w:ascii="Arial" w:hAnsi="Arial" w:cs="Arial"/>
          <w:b/>
          <w:color w:val="000000" w:themeColor="text1"/>
          <w:sz w:val="22"/>
          <w:szCs w:val="22"/>
        </w:rPr>
        <w:t>4</w:t>
      </w:r>
      <w:r w:rsidR="00FF767D" w:rsidRPr="00BE5AFD">
        <w:rPr>
          <w:rFonts w:ascii="Arial" w:hAnsi="Arial" w:cs="Arial"/>
          <w:b/>
          <w:color w:val="000000" w:themeColor="text1"/>
          <w:sz w:val="22"/>
          <w:szCs w:val="22"/>
        </w:rPr>
        <w:t xml:space="preserve">. Prihodi iz nadležnog proračuna za financiranje redovne djelatnosti- </w:t>
      </w:r>
    </w:p>
    <w:p w14:paraId="57911204" w14:textId="08CC74D2" w:rsidR="00FF767D" w:rsidRPr="00BE5AFD" w:rsidRDefault="00FF767D" w:rsidP="00F131FC">
      <w:pPr>
        <w:spacing w:line="259" w:lineRule="auto"/>
        <w:jc w:val="both"/>
        <w:rPr>
          <w:rFonts w:ascii="Arial" w:hAnsi="Arial" w:cs="Arial"/>
          <w:color w:val="000000" w:themeColor="text1"/>
          <w:sz w:val="22"/>
          <w:szCs w:val="22"/>
        </w:rPr>
      </w:pPr>
      <w:r w:rsidRPr="00BE5AFD">
        <w:rPr>
          <w:rFonts w:ascii="Arial" w:hAnsi="Arial" w:cs="Arial"/>
          <w:b/>
          <w:color w:val="000000" w:themeColor="text1"/>
          <w:sz w:val="22"/>
          <w:szCs w:val="22"/>
        </w:rPr>
        <w:t>-</w:t>
      </w:r>
      <w:r w:rsidRPr="00BE5AFD">
        <w:rPr>
          <w:rFonts w:ascii="Arial" w:hAnsi="Arial" w:cs="Arial"/>
          <w:color w:val="000000" w:themeColor="text1"/>
          <w:sz w:val="22"/>
          <w:szCs w:val="22"/>
        </w:rPr>
        <w:t xml:space="preserve">Opći prihodi i primici  planirani su u visini 51.040,00 </w:t>
      </w:r>
      <w:r w:rsidR="00BE5AFD" w:rsidRPr="00BE5AFD">
        <w:rPr>
          <w:rFonts w:ascii="Arial" w:hAnsi="Arial" w:cs="Arial"/>
          <w:color w:val="000000" w:themeColor="text1"/>
          <w:sz w:val="22"/>
          <w:szCs w:val="22"/>
        </w:rPr>
        <w:t>EUR</w:t>
      </w:r>
      <w:r w:rsidRPr="00BE5AFD">
        <w:rPr>
          <w:rFonts w:ascii="Arial" w:hAnsi="Arial" w:cs="Arial"/>
          <w:color w:val="000000" w:themeColor="text1"/>
          <w:sz w:val="22"/>
          <w:szCs w:val="22"/>
        </w:rPr>
        <w:t xml:space="preserve">. Prvim izmjenama i dopunama financijskog plana 2025.godine povećani su za 2.626,00 </w:t>
      </w:r>
      <w:r w:rsidR="00BE5AFD" w:rsidRPr="00BE5AFD">
        <w:rPr>
          <w:rFonts w:ascii="Arial" w:hAnsi="Arial" w:cs="Arial"/>
          <w:color w:val="000000" w:themeColor="text1"/>
          <w:sz w:val="22"/>
          <w:szCs w:val="22"/>
        </w:rPr>
        <w:t>EUR</w:t>
      </w:r>
      <w:r w:rsidRPr="00BE5AFD">
        <w:rPr>
          <w:rFonts w:ascii="Arial" w:hAnsi="Arial" w:cs="Arial"/>
          <w:color w:val="000000" w:themeColor="text1"/>
          <w:sz w:val="22"/>
          <w:szCs w:val="22"/>
        </w:rPr>
        <w:t xml:space="preserve"> radi poskupljenja računalnih usluga i povećani su za pokriće manjka iz 2024.godine  te sad iznose 53.666,00 </w:t>
      </w:r>
      <w:r w:rsidR="00BE5AFD" w:rsidRPr="00BE5AFD">
        <w:rPr>
          <w:rFonts w:ascii="Arial" w:hAnsi="Arial" w:cs="Arial"/>
          <w:color w:val="000000" w:themeColor="text1"/>
          <w:sz w:val="22"/>
          <w:szCs w:val="22"/>
        </w:rPr>
        <w:t>EUR</w:t>
      </w:r>
      <w:r w:rsidRPr="00BE5AFD">
        <w:rPr>
          <w:rFonts w:ascii="Arial" w:hAnsi="Arial" w:cs="Arial"/>
          <w:color w:val="000000" w:themeColor="text1"/>
          <w:sz w:val="22"/>
          <w:szCs w:val="22"/>
        </w:rPr>
        <w:t>.</w:t>
      </w:r>
    </w:p>
    <w:p w14:paraId="70C718CE" w14:textId="77777777" w:rsidR="00F131FC" w:rsidRDefault="00F131FC" w:rsidP="00F131FC">
      <w:pPr>
        <w:spacing w:line="259" w:lineRule="auto"/>
        <w:jc w:val="both"/>
        <w:rPr>
          <w:rFonts w:ascii="Arial" w:hAnsi="Arial" w:cs="Arial"/>
          <w:b/>
          <w:color w:val="000000" w:themeColor="text1"/>
          <w:sz w:val="22"/>
          <w:szCs w:val="22"/>
        </w:rPr>
      </w:pPr>
    </w:p>
    <w:p w14:paraId="736CF725" w14:textId="1ACE20A5" w:rsidR="00FF767D" w:rsidRPr="00BE5AFD" w:rsidRDefault="00F131FC" w:rsidP="00F131FC">
      <w:pPr>
        <w:spacing w:line="259" w:lineRule="auto"/>
        <w:jc w:val="both"/>
        <w:rPr>
          <w:rFonts w:ascii="Arial" w:hAnsi="Arial" w:cs="Arial"/>
          <w:b/>
          <w:color w:val="000000" w:themeColor="text1"/>
          <w:sz w:val="22"/>
          <w:szCs w:val="22"/>
        </w:rPr>
      </w:pPr>
      <w:r>
        <w:rPr>
          <w:rFonts w:ascii="Arial" w:hAnsi="Arial" w:cs="Arial"/>
          <w:b/>
          <w:color w:val="000000" w:themeColor="text1"/>
          <w:sz w:val="22"/>
          <w:szCs w:val="22"/>
        </w:rPr>
        <w:t>5</w:t>
      </w:r>
      <w:r w:rsidR="00FF767D" w:rsidRPr="00BE5AFD">
        <w:rPr>
          <w:rFonts w:ascii="Arial" w:hAnsi="Arial" w:cs="Arial"/>
          <w:b/>
          <w:color w:val="000000" w:themeColor="text1"/>
          <w:sz w:val="22"/>
          <w:szCs w:val="22"/>
        </w:rPr>
        <w:t>. Potpore za decentralizirane funkcije osnovnog obrazovanja</w:t>
      </w:r>
    </w:p>
    <w:p w14:paraId="36524286" w14:textId="0FBED97E" w:rsidR="00FF767D" w:rsidRPr="00BE5AFD" w:rsidRDefault="00FF767D" w:rsidP="00F131FC">
      <w:pPr>
        <w:spacing w:line="259" w:lineRule="auto"/>
        <w:jc w:val="both"/>
        <w:rPr>
          <w:rFonts w:ascii="Arial" w:hAnsi="Arial" w:cs="Arial"/>
          <w:color w:val="000000" w:themeColor="text1"/>
          <w:sz w:val="22"/>
          <w:szCs w:val="22"/>
        </w:rPr>
      </w:pPr>
      <w:r w:rsidRPr="00BE5AFD">
        <w:rPr>
          <w:rFonts w:ascii="Arial" w:hAnsi="Arial" w:cs="Arial"/>
          <w:color w:val="000000" w:themeColor="text1"/>
          <w:sz w:val="22"/>
          <w:szCs w:val="22"/>
        </w:rPr>
        <w:t xml:space="preserve">-Prihodi za financiranje tekućih rashoda poslovanja   povećani su za 10.441,00 </w:t>
      </w:r>
      <w:r w:rsidR="00BE5AFD" w:rsidRPr="00BE5AFD">
        <w:rPr>
          <w:rFonts w:ascii="Arial" w:hAnsi="Arial" w:cs="Arial"/>
          <w:color w:val="000000" w:themeColor="text1"/>
          <w:sz w:val="22"/>
          <w:szCs w:val="22"/>
        </w:rPr>
        <w:t>EUR</w:t>
      </w:r>
      <w:r w:rsidRPr="00BE5AFD">
        <w:rPr>
          <w:rFonts w:ascii="Arial" w:hAnsi="Arial" w:cs="Arial"/>
          <w:color w:val="000000" w:themeColor="text1"/>
          <w:sz w:val="22"/>
          <w:szCs w:val="22"/>
        </w:rPr>
        <w:t xml:space="preserve">.  Povećani su za pokriće manjka iz 2024. god. (1.441,00 </w:t>
      </w:r>
      <w:r w:rsidR="00BE5AFD" w:rsidRPr="00BE5AFD">
        <w:rPr>
          <w:rFonts w:ascii="Arial" w:hAnsi="Arial" w:cs="Arial"/>
          <w:color w:val="000000" w:themeColor="text1"/>
          <w:sz w:val="22"/>
          <w:szCs w:val="22"/>
        </w:rPr>
        <w:t>EUR</w:t>
      </w:r>
      <w:r w:rsidRPr="00BE5AFD">
        <w:rPr>
          <w:rFonts w:ascii="Arial" w:hAnsi="Arial" w:cs="Arial"/>
          <w:color w:val="000000" w:themeColor="text1"/>
          <w:sz w:val="22"/>
          <w:szCs w:val="22"/>
        </w:rPr>
        <w:t xml:space="preserve">) i za usluge tekućeg i investicijskog održavanja te za nabavu nefinancijske imovine u iznosu od 10.000,00 </w:t>
      </w:r>
      <w:r w:rsidR="00BE5AFD" w:rsidRPr="00BE5AFD">
        <w:rPr>
          <w:rFonts w:ascii="Arial" w:hAnsi="Arial" w:cs="Arial"/>
          <w:color w:val="000000" w:themeColor="text1"/>
          <w:sz w:val="22"/>
          <w:szCs w:val="22"/>
        </w:rPr>
        <w:t>EUR</w:t>
      </w:r>
      <w:r w:rsidRPr="00BE5AFD">
        <w:rPr>
          <w:rFonts w:ascii="Arial" w:hAnsi="Arial" w:cs="Arial"/>
          <w:color w:val="000000" w:themeColor="text1"/>
          <w:sz w:val="22"/>
          <w:szCs w:val="22"/>
        </w:rPr>
        <w:t xml:space="preserve">.. Novi plan povećan je za 33,7% i iznosi 41.441,00 </w:t>
      </w:r>
      <w:r w:rsidR="00BE5AFD" w:rsidRPr="00BE5AFD">
        <w:rPr>
          <w:rFonts w:ascii="Arial" w:hAnsi="Arial" w:cs="Arial"/>
          <w:color w:val="000000" w:themeColor="text1"/>
          <w:sz w:val="22"/>
          <w:szCs w:val="22"/>
        </w:rPr>
        <w:t>EUR</w:t>
      </w:r>
      <w:r w:rsidRPr="00BE5AFD">
        <w:rPr>
          <w:rFonts w:ascii="Arial" w:hAnsi="Arial" w:cs="Arial"/>
          <w:color w:val="000000" w:themeColor="text1"/>
          <w:sz w:val="22"/>
          <w:szCs w:val="22"/>
        </w:rPr>
        <w:t xml:space="preserve"> .</w:t>
      </w:r>
    </w:p>
    <w:p w14:paraId="6AA9F46A" w14:textId="77777777" w:rsidR="00F131FC" w:rsidRDefault="00F131FC" w:rsidP="00F131FC">
      <w:pPr>
        <w:spacing w:line="259" w:lineRule="auto"/>
        <w:jc w:val="both"/>
        <w:rPr>
          <w:rFonts w:ascii="Arial" w:hAnsi="Arial" w:cs="Arial"/>
          <w:b/>
          <w:bCs/>
          <w:sz w:val="22"/>
          <w:szCs w:val="22"/>
        </w:rPr>
      </w:pPr>
    </w:p>
    <w:p w14:paraId="0CCEE0BB" w14:textId="210F7FE3" w:rsidR="00FF767D" w:rsidRPr="00BE5AFD" w:rsidRDefault="00F131FC" w:rsidP="00F131FC">
      <w:pPr>
        <w:spacing w:line="259" w:lineRule="auto"/>
        <w:jc w:val="both"/>
        <w:rPr>
          <w:rFonts w:ascii="Arial" w:hAnsi="Arial" w:cs="Arial"/>
          <w:color w:val="FF0000"/>
          <w:sz w:val="22"/>
          <w:szCs w:val="22"/>
        </w:rPr>
      </w:pPr>
      <w:r w:rsidRPr="00F131FC">
        <w:rPr>
          <w:rFonts w:ascii="Arial" w:hAnsi="Arial" w:cs="Arial"/>
          <w:b/>
          <w:bCs/>
          <w:sz w:val="22"/>
          <w:szCs w:val="22"/>
        </w:rPr>
        <w:t>6.</w:t>
      </w:r>
      <w:r>
        <w:rPr>
          <w:rFonts w:ascii="Arial" w:hAnsi="Arial" w:cs="Arial"/>
          <w:color w:val="FF0000"/>
          <w:sz w:val="22"/>
          <w:szCs w:val="22"/>
        </w:rPr>
        <w:t xml:space="preserve"> </w:t>
      </w:r>
      <w:r w:rsidR="00FF767D" w:rsidRPr="00BE5AFD">
        <w:rPr>
          <w:rFonts w:ascii="Arial" w:hAnsi="Arial" w:cs="Arial"/>
          <w:b/>
          <w:sz w:val="22"/>
          <w:szCs w:val="22"/>
        </w:rPr>
        <w:t xml:space="preserve">Višak prihoda iz prethodne godine </w:t>
      </w:r>
      <w:r w:rsidR="00FF767D" w:rsidRPr="00BE5AFD">
        <w:rPr>
          <w:rFonts w:ascii="Arial" w:hAnsi="Arial" w:cs="Arial"/>
          <w:sz w:val="22"/>
          <w:szCs w:val="22"/>
        </w:rPr>
        <w:t xml:space="preserve">planiran je u iznosu od  1.500,00 </w:t>
      </w:r>
      <w:r w:rsidR="00BE5AFD" w:rsidRPr="00BE5AFD">
        <w:rPr>
          <w:rFonts w:ascii="Arial" w:hAnsi="Arial" w:cs="Arial"/>
          <w:sz w:val="22"/>
          <w:szCs w:val="22"/>
        </w:rPr>
        <w:t>EUR</w:t>
      </w:r>
      <w:r w:rsidR="00FF767D" w:rsidRPr="00BE5AFD">
        <w:rPr>
          <w:rFonts w:ascii="Arial" w:hAnsi="Arial" w:cs="Arial"/>
          <w:sz w:val="22"/>
          <w:szCs w:val="22"/>
        </w:rPr>
        <w:t xml:space="preserve">, a odnosi se na planirani višak prihoda 2024.godine. Radi se o sredstvima koja se procjenjuju da će ostati neutrošena na kraju proračunske godine i to iz vlastitih sredstava i primljenih donacija </w:t>
      </w:r>
      <w:r w:rsidR="00FF767D" w:rsidRPr="00BE5AFD">
        <w:rPr>
          <w:rFonts w:ascii="Arial" w:hAnsi="Arial" w:cs="Arial"/>
          <w:color w:val="FF0000"/>
          <w:sz w:val="22"/>
          <w:szCs w:val="22"/>
        </w:rPr>
        <w:t>.</w:t>
      </w:r>
    </w:p>
    <w:p w14:paraId="7790156F" w14:textId="3FE5161D" w:rsidR="00FF767D" w:rsidRPr="00BE5AFD" w:rsidRDefault="00FF767D" w:rsidP="00F131FC">
      <w:pPr>
        <w:spacing w:line="259" w:lineRule="auto"/>
        <w:jc w:val="both"/>
        <w:rPr>
          <w:rFonts w:ascii="Arial" w:hAnsi="Arial" w:cs="Arial"/>
          <w:sz w:val="22"/>
          <w:szCs w:val="22"/>
        </w:rPr>
      </w:pPr>
      <w:r w:rsidRPr="00BE5AFD">
        <w:rPr>
          <w:rFonts w:ascii="Arial" w:hAnsi="Arial" w:cs="Arial"/>
          <w:sz w:val="22"/>
          <w:szCs w:val="22"/>
        </w:rPr>
        <w:lastRenderedPageBreak/>
        <w:t xml:space="preserve">Ostvareni višak prihoda poslovanja za 2024.godini iznosi 6.789,00 </w:t>
      </w:r>
      <w:r w:rsidR="00BE5AFD" w:rsidRPr="00BE5AFD">
        <w:rPr>
          <w:rFonts w:ascii="Arial" w:hAnsi="Arial" w:cs="Arial"/>
          <w:sz w:val="22"/>
          <w:szCs w:val="22"/>
        </w:rPr>
        <w:t>EUR</w:t>
      </w:r>
      <w:r w:rsidRPr="00BE5AFD">
        <w:rPr>
          <w:rFonts w:ascii="Arial" w:hAnsi="Arial" w:cs="Arial"/>
          <w:sz w:val="22"/>
          <w:szCs w:val="22"/>
        </w:rPr>
        <w:t xml:space="preserve"> biti će Odlukom o raspodjeli rezultata usmjeren na rashode poslovanja.</w:t>
      </w:r>
    </w:p>
    <w:p w14:paraId="6D9349AB" w14:textId="4C3C3C09" w:rsidR="00FF767D" w:rsidRPr="00BE5AFD" w:rsidRDefault="00FF767D" w:rsidP="00F131FC">
      <w:pPr>
        <w:spacing w:line="259" w:lineRule="auto"/>
        <w:jc w:val="both"/>
        <w:rPr>
          <w:rFonts w:ascii="Arial" w:hAnsi="Arial" w:cs="Arial"/>
          <w:sz w:val="22"/>
          <w:szCs w:val="22"/>
        </w:rPr>
      </w:pPr>
      <w:r w:rsidRPr="00BE5AFD">
        <w:rPr>
          <w:rFonts w:ascii="Arial" w:hAnsi="Arial" w:cs="Arial"/>
          <w:sz w:val="22"/>
          <w:szCs w:val="22"/>
        </w:rPr>
        <w:t xml:space="preserve">Vlastiti prihodi - planirani rezultat iznosi 1.000,00 </w:t>
      </w:r>
      <w:r w:rsidR="00BE5AFD" w:rsidRPr="00BE5AFD">
        <w:rPr>
          <w:rFonts w:ascii="Arial" w:hAnsi="Arial" w:cs="Arial"/>
          <w:sz w:val="22"/>
          <w:szCs w:val="22"/>
        </w:rPr>
        <w:t>EUR</w:t>
      </w:r>
      <w:r w:rsidRPr="00BE5AFD">
        <w:rPr>
          <w:rFonts w:ascii="Arial" w:hAnsi="Arial" w:cs="Arial"/>
          <w:sz w:val="22"/>
          <w:szCs w:val="22"/>
        </w:rPr>
        <w:t xml:space="preserve"> , a ostvareni rezultat iznosi 2.765,00 </w:t>
      </w:r>
      <w:r w:rsidR="00BE5AFD" w:rsidRPr="00BE5AFD">
        <w:rPr>
          <w:rFonts w:ascii="Arial" w:hAnsi="Arial" w:cs="Arial"/>
          <w:sz w:val="22"/>
          <w:szCs w:val="22"/>
        </w:rPr>
        <w:t>EUR</w:t>
      </w:r>
      <w:r w:rsidRPr="00BE5AFD">
        <w:rPr>
          <w:rFonts w:ascii="Arial" w:hAnsi="Arial" w:cs="Arial"/>
          <w:sz w:val="22"/>
          <w:szCs w:val="22"/>
        </w:rPr>
        <w:t>.</w:t>
      </w:r>
    </w:p>
    <w:p w14:paraId="467E192F" w14:textId="5943ADE5" w:rsidR="00FF767D" w:rsidRPr="00BE5AFD" w:rsidRDefault="00FF767D" w:rsidP="00F131FC">
      <w:pPr>
        <w:spacing w:line="259" w:lineRule="auto"/>
        <w:jc w:val="both"/>
        <w:rPr>
          <w:rFonts w:ascii="Arial" w:hAnsi="Arial" w:cs="Arial"/>
          <w:sz w:val="22"/>
          <w:szCs w:val="22"/>
        </w:rPr>
      </w:pPr>
      <w:r w:rsidRPr="00BE5AFD">
        <w:rPr>
          <w:rFonts w:ascii="Arial" w:hAnsi="Arial" w:cs="Arial"/>
          <w:sz w:val="22"/>
          <w:szCs w:val="22"/>
        </w:rPr>
        <w:t xml:space="preserve">Donacije - planirani rezultat iznosi 500,00 </w:t>
      </w:r>
      <w:r w:rsidR="00BE5AFD" w:rsidRPr="00BE5AFD">
        <w:rPr>
          <w:rFonts w:ascii="Arial" w:hAnsi="Arial" w:cs="Arial"/>
          <w:sz w:val="22"/>
          <w:szCs w:val="22"/>
        </w:rPr>
        <w:t>EUR</w:t>
      </w:r>
      <w:r w:rsidRPr="00BE5AFD">
        <w:rPr>
          <w:rFonts w:ascii="Arial" w:hAnsi="Arial" w:cs="Arial"/>
          <w:sz w:val="22"/>
          <w:szCs w:val="22"/>
        </w:rPr>
        <w:t xml:space="preserve">, a ostvareni rezultat iznosi 522,00 </w:t>
      </w:r>
      <w:r w:rsidR="00BE5AFD" w:rsidRPr="00BE5AFD">
        <w:rPr>
          <w:rFonts w:ascii="Arial" w:hAnsi="Arial" w:cs="Arial"/>
          <w:sz w:val="22"/>
          <w:szCs w:val="22"/>
        </w:rPr>
        <w:t>EUR</w:t>
      </w:r>
      <w:r w:rsidRPr="00BE5AFD">
        <w:rPr>
          <w:rFonts w:ascii="Arial" w:hAnsi="Arial" w:cs="Arial"/>
          <w:sz w:val="22"/>
          <w:szCs w:val="22"/>
        </w:rPr>
        <w:t>.</w:t>
      </w:r>
    </w:p>
    <w:p w14:paraId="6E9907D9" w14:textId="1A8E42AB" w:rsidR="00FF767D" w:rsidRPr="00BE5AFD" w:rsidRDefault="00FF767D" w:rsidP="00F131FC">
      <w:pPr>
        <w:spacing w:line="259" w:lineRule="auto"/>
        <w:jc w:val="both"/>
        <w:rPr>
          <w:rFonts w:ascii="Arial" w:hAnsi="Arial" w:cs="Arial"/>
          <w:sz w:val="22"/>
          <w:szCs w:val="22"/>
        </w:rPr>
      </w:pPr>
      <w:r w:rsidRPr="00BE5AFD">
        <w:rPr>
          <w:rFonts w:ascii="Arial" w:hAnsi="Arial" w:cs="Arial"/>
          <w:sz w:val="22"/>
          <w:szCs w:val="22"/>
        </w:rPr>
        <w:t xml:space="preserve">Pomoći – ostvareni rezultat iznosi 5.070,00 </w:t>
      </w:r>
      <w:r w:rsidR="00BE5AFD" w:rsidRPr="00BE5AFD">
        <w:rPr>
          <w:rFonts w:ascii="Arial" w:hAnsi="Arial" w:cs="Arial"/>
          <w:sz w:val="22"/>
          <w:szCs w:val="22"/>
        </w:rPr>
        <w:t>EUR</w:t>
      </w:r>
      <w:r w:rsidRPr="00BE5AFD">
        <w:rPr>
          <w:rFonts w:ascii="Arial" w:hAnsi="Arial" w:cs="Arial"/>
          <w:sz w:val="22"/>
          <w:szCs w:val="22"/>
        </w:rPr>
        <w:t xml:space="preserve"> , neutrošena su sredstva za TUR , stacionar  i  kuhinju, odnosno  sredstva su doznačena krajem prosinca  a isplata je bila u siječnju 2025.god.</w:t>
      </w:r>
    </w:p>
    <w:p w14:paraId="7FCEFF9F" w14:textId="48EA1FF1" w:rsidR="00FF767D" w:rsidRPr="00BE5AFD" w:rsidRDefault="00FF767D" w:rsidP="00F131FC">
      <w:pPr>
        <w:spacing w:line="259" w:lineRule="auto"/>
        <w:jc w:val="both"/>
        <w:rPr>
          <w:rFonts w:ascii="Arial" w:hAnsi="Arial" w:cs="Arial"/>
          <w:sz w:val="22"/>
          <w:szCs w:val="22"/>
        </w:rPr>
      </w:pPr>
      <w:r w:rsidRPr="00BE5AFD">
        <w:rPr>
          <w:rFonts w:ascii="Arial" w:hAnsi="Arial" w:cs="Arial"/>
          <w:sz w:val="22"/>
          <w:szCs w:val="22"/>
        </w:rPr>
        <w:t xml:space="preserve">Višak prihoda poslovanja u potporama za decentralizirane funkcije osnovnog obrazovanja iznosi 10.441,00 </w:t>
      </w:r>
      <w:r w:rsidR="00BE5AFD" w:rsidRPr="00BE5AFD">
        <w:rPr>
          <w:rFonts w:ascii="Arial" w:hAnsi="Arial" w:cs="Arial"/>
          <w:sz w:val="22"/>
          <w:szCs w:val="22"/>
        </w:rPr>
        <w:t>EUR</w:t>
      </w:r>
      <w:r w:rsidRPr="00BE5AFD">
        <w:rPr>
          <w:rFonts w:ascii="Arial" w:hAnsi="Arial" w:cs="Arial"/>
          <w:sz w:val="22"/>
          <w:szCs w:val="22"/>
        </w:rPr>
        <w:t>. Isti je nastao radi plaćanja računa za rashode poslovanja u siječnju 2025.godine za prosinac prethodne godine.</w:t>
      </w:r>
    </w:p>
    <w:p w14:paraId="43317744" w14:textId="77777777" w:rsidR="00FF767D" w:rsidRPr="00BE5AFD" w:rsidRDefault="00FF767D" w:rsidP="00F131FC">
      <w:pPr>
        <w:spacing w:line="259" w:lineRule="auto"/>
        <w:jc w:val="both"/>
        <w:rPr>
          <w:rFonts w:ascii="Arial" w:hAnsi="Arial" w:cs="Arial"/>
          <w:b/>
          <w:color w:val="FF0000"/>
          <w:sz w:val="22"/>
          <w:szCs w:val="22"/>
        </w:rPr>
      </w:pPr>
    </w:p>
    <w:p w14:paraId="5BB932F5" w14:textId="77777777" w:rsidR="00FF767D" w:rsidRDefault="00FF767D" w:rsidP="00F131FC">
      <w:pPr>
        <w:spacing w:line="259" w:lineRule="auto"/>
        <w:jc w:val="both"/>
        <w:rPr>
          <w:rFonts w:ascii="Arial" w:hAnsi="Arial" w:cs="Arial"/>
          <w:b/>
          <w:sz w:val="22"/>
          <w:szCs w:val="22"/>
        </w:rPr>
      </w:pPr>
      <w:r w:rsidRPr="00BE5AFD">
        <w:rPr>
          <w:rFonts w:ascii="Arial" w:hAnsi="Arial" w:cs="Arial"/>
          <w:b/>
          <w:sz w:val="22"/>
          <w:szCs w:val="22"/>
        </w:rPr>
        <w:t>OBRAZLOŽENJE RASHODA  I IZDATAKA</w:t>
      </w:r>
    </w:p>
    <w:p w14:paraId="002903ED" w14:textId="77777777" w:rsidR="00F131FC" w:rsidRPr="00BE5AFD" w:rsidRDefault="00F131FC" w:rsidP="00F131FC">
      <w:pPr>
        <w:spacing w:line="259" w:lineRule="auto"/>
        <w:jc w:val="both"/>
        <w:rPr>
          <w:rFonts w:ascii="Arial" w:hAnsi="Arial" w:cs="Arial"/>
          <w:b/>
          <w:sz w:val="22"/>
          <w:szCs w:val="22"/>
        </w:rPr>
      </w:pPr>
    </w:p>
    <w:p w14:paraId="6AE4D73D" w14:textId="7052298A" w:rsidR="00FF767D" w:rsidRPr="00BE5AFD" w:rsidRDefault="00FF767D" w:rsidP="00F131FC">
      <w:pPr>
        <w:spacing w:line="259" w:lineRule="auto"/>
        <w:jc w:val="both"/>
        <w:rPr>
          <w:rFonts w:ascii="Arial" w:hAnsi="Arial" w:cs="Arial"/>
          <w:b/>
          <w:sz w:val="22"/>
          <w:szCs w:val="22"/>
        </w:rPr>
      </w:pPr>
      <w:r w:rsidRPr="00BE5AFD">
        <w:rPr>
          <w:rFonts w:ascii="Arial" w:hAnsi="Arial" w:cs="Arial"/>
          <w:b/>
          <w:sz w:val="22"/>
          <w:szCs w:val="22"/>
        </w:rPr>
        <w:t xml:space="preserve">Rashodi i izdaci poslovanja planirani su visini 662.020,00 </w:t>
      </w:r>
      <w:r w:rsidR="00BE5AFD" w:rsidRPr="00BE5AFD">
        <w:rPr>
          <w:rFonts w:ascii="Arial" w:hAnsi="Arial" w:cs="Arial"/>
          <w:b/>
          <w:sz w:val="22"/>
          <w:szCs w:val="22"/>
        </w:rPr>
        <w:t>EUR</w:t>
      </w:r>
      <w:r w:rsidRPr="00BE5AFD">
        <w:rPr>
          <w:rFonts w:ascii="Arial" w:hAnsi="Arial" w:cs="Arial"/>
          <w:b/>
          <w:sz w:val="22"/>
          <w:szCs w:val="22"/>
        </w:rPr>
        <w:t xml:space="preserve">,  prvim izmjenama uvećani su za 30.854,00 </w:t>
      </w:r>
      <w:r w:rsidR="00BE5AFD" w:rsidRPr="00BE5AFD">
        <w:rPr>
          <w:rFonts w:ascii="Arial" w:hAnsi="Arial" w:cs="Arial"/>
          <w:b/>
          <w:sz w:val="22"/>
          <w:szCs w:val="22"/>
        </w:rPr>
        <w:t>EUR</w:t>
      </w:r>
      <w:r w:rsidRPr="00BE5AFD">
        <w:rPr>
          <w:rFonts w:ascii="Arial" w:hAnsi="Arial" w:cs="Arial"/>
          <w:b/>
          <w:sz w:val="22"/>
          <w:szCs w:val="22"/>
        </w:rPr>
        <w:t xml:space="preserve"> i novi plan iznosi 692.874,00 </w:t>
      </w:r>
      <w:r w:rsidR="00BE5AFD" w:rsidRPr="00BE5AFD">
        <w:rPr>
          <w:rFonts w:ascii="Arial" w:hAnsi="Arial" w:cs="Arial"/>
          <w:b/>
          <w:sz w:val="22"/>
          <w:szCs w:val="22"/>
        </w:rPr>
        <w:t>EUR</w:t>
      </w:r>
      <w:r w:rsidRPr="00BE5AFD">
        <w:rPr>
          <w:rFonts w:ascii="Arial" w:hAnsi="Arial" w:cs="Arial"/>
          <w:b/>
          <w:sz w:val="22"/>
          <w:szCs w:val="22"/>
        </w:rPr>
        <w:t xml:space="preserve"> odnosi se na</w:t>
      </w:r>
    </w:p>
    <w:p w14:paraId="68223120" w14:textId="78FC5904" w:rsidR="00FF767D" w:rsidRPr="00BE5AFD" w:rsidRDefault="00FF767D" w:rsidP="00F131FC">
      <w:pPr>
        <w:spacing w:line="259" w:lineRule="auto"/>
        <w:jc w:val="both"/>
        <w:rPr>
          <w:rFonts w:ascii="Arial" w:hAnsi="Arial" w:cs="Arial"/>
          <w:sz w:val="22"/>
          <w:szCs w:val="22"/>
        </w:rPr>
      </w:pPr>
      <w:r w:rsidRPr="00BE5AFD">
        <w:rPr>
          <w:rFonts w:ascii="Arial" w:hAnsi="Arial" w:cs="Arial"/>
          <w:b/>
          <w:sz w:val="22"/>
          <w:szCs w:val="22"/>
        </w:rPr>
        <w:t xml:space="preserve">1. Rashodi za zaposlene </w:t>
      </w:r>
      <w:r w:rsidRPr="00BE5AFD">
        <w:rPr>
          <w:rFonts w:ascii="Arial" w:hAnsi="Arial" w:cs="Arial"/>
          <w:sz w:val="22"/>
          <w:szCs w:val="22"/>
        </w:rPr>
        <w:t xml:space="preserve">planirani su u visini od 588.600,00 </w:t>
      </w:r>
      <w:r w:rsidR="00BE5AFD" w:rsidRPr="00BE5AFD">
        <w:rPr>
          <w:rFonts w:ascii="Arial" w:hAnsi="Arial" w:cs="Arial"/>
          <w:sz w:val="22"/>
          <w:szCs w:val="22"/>
        </w:rPr>
        <w:t>EUR</w:t>
      </w:r>
      <w:r w:rsidRPr="00BE5AFD">
        <w:rPr>
          <w:rFonts w:ascii="Arial" w:hAnsi="Arial" w:cs="Arial"/>
          <w:sz w:val="22"/>
          <w:szCs w:val="22"/>
        </w:rPr>
        <w:t>. Prvim izmjenama i dopunama za 2025.godine isti su povećani za 15.980,00</w:t>
      </w:r>
      <w:r w:rsidR="00BE5AFD" w:rsidRPr="00BE5AFD">
        <w:rPr>
          <w:rFonts w:ascii="Arial" w:hAnsi="Arial" w:cs="Arial"/>
          <w:sz w:val="22"/>
          <w:szCs w:val="22"/>
        </w:rPr>
        <w:t>EUR</w:t>
      </w:r>
      <w:r w:rsidRPr="00BE5AFD">
        <w:rPr>
          <w:rFonts w:ascii="Arial" w:hAnsi="Arial" w:cs="Arial"/>
          <w:sz w:val="22"/>
          <w:szCs w:val="22"/>
        </w:rPr>
        <w:t xml:space="preserve"> odnosno 2,71 % te sada iznose 604.580,00 </w:t>
      </w:r>
      <w:r w:rsidR="00BE5AFD" w:rsidRPr="00BE5AFD">
        <w:rPr>
          <w:rFonts w:ascii="Arial" w:hAnsi="Arial" w:cs="Arial"/>
          <w:sz w:val="22"/>
          <w:szCs w:val="22"/>
        </w:rPr>
        <w:t>EUR</w:t>
      </w:r>
      <w:r w:rsidRPr="00BE5AFD">
        <w:rPr>
          <w:rFonts w:ascii="Arial" w:hAnsi="Arial" w:cs="Arial"/>
          <w:sz w:val="22"/>
          <w:szCs w:val="22"/>
        </w:rPr>
        <w:t>. Povećanje se odnosi na veći broj bolovanja i neplaniranih zamjena te naknada za prijevoz i ostalih rashoda.</w:t>
      </w:r>
    </w:p>
    <w:p w14:paraId="48550DE9" w14:textId="77777777" w:rsidR="00F131FC" w:rsidRDefault="00F131FC" w:rsidP="00F131FC">
      <w:pPr>
        <w:spacing w:line="259" w:lineRule="auto"/>
        <w:jc w:val="both"/>
        <w:rPr>
          <w:rFonts w:ascii="Arial" w:hAnsi="Arial" w:cs="Arial"/>
          <w:b/>
          <w:sz w:val="22"/>
          <w:szCs w:val="22"/>
        </w:rPr>
      </w:pPr>
    </w:p>
    <w:p w14:paraId="02C37D1C" w14:textId="40884F3F" w:rsidR="00FF767D" w:rsidRPr="00BE5AFD" w:rsidRDefault="00FF767D" w:rsidP="00F131FC">
      <w:pPr>
        <w:spacing w:line="259" w:lineRule="auto"/>
        <w:jc w:val="both"/>
        <w:rPr>
          <w:rFonts w:ascii="Arial" w:hAnsi="Arial" w:cs="Arial"/>
          <w:color w:val="FF0000"/>
          <w:sz w:val="22"/>
          <w:szCs w:val="22"/>
        </w:rPr>
      </w:pPr>
      <w:r w:rsidRPr="00BE5AFD">
        <w:rPr>
          <w:rFonts w:ascii="Arial" w:hAnsi="Arial" w:cs="Arial"/>
          <w:b/>
          <w:sz w:val="22"/>
          <w:szCs w:val="22"/>
        </w:rPr>
        <w:t xml:space="preserve">2. Materijalni rashodi poslovanja </w:t>
      </w:r>
      <w:r w:rsidRPr="00BE5AFD">
        <w:rPr>
          <w:rFonts w:ascii="Arial" w:hAnsi="Arial" w:cs="Arial"/>
          <w:sz w:val="22"/>
          <w:szCs w:val="22"/>
        </w:rPr>
        <w:t xml:space="preserve">planirani su u visini od  73.380,00 </w:t>
      </w:r>
      <w:r w:rsidR="00BE5AFD" w:rsidRPr="00BE5AFD">
        <w:rPr>
          <w:rFonts w:ascii="Arial" w:hAnsi="Arial" w:cs="Arial"/>
          <w:sz w:val="22"/>
          <w:szCs w:val="22"/>
        </w:rPr>
        <w:t>EUR</w:t>
      </w:r>
      <w:r w:rsidRPr="00BE5AFD">
        <w:rPr>
          <w:rFonts w:ascii="Arial" w:hAnsi="Arial" w:cs="Arial"/>
          <w:sz w:val="22"/>
          <w:szCs w:val="22"/>
        </w:rPr>
        <w:t xml:space="preserve"> , Prvim izmjenama i dopunama financijskog plana 2025.godine isti su povećani za 20,27% (14.874,00) i sada iznose 88.254,00 </w:t>
      </w:r>
      <w:r w:rsidR="00BE5AFD" w:rsidRPr="00BE5AFD">
        <w:rPr>
          <w:rFonts w:ascii="Arial" w:hAnsi="Arial" w:cs="Arial"/>
          <w:sz w:val="22"/>
          <w:szCs w:val="22"/>
        </w:rPr>
        <w:t>EUR</w:t>
      </w:r>
      <w:r w:rsidRPr="00BE5AFD">
        <w:rPr>
          <w:rFonts w:ascii="Arial" w:hAnsi="Arial" w:cs="Arial"/>
          <w:sz w:val="22"/>
          <w:szCs w:val="22"/>
        </w:rPr>
        <w:t xml:space="preserve">. </w:t>
      </w:r>
    </w:p>
    <w:p w14:paraId="5D395577" w14:textId="77777777" w:rsidR="00F131FC" w:rsidRDefault="00F131FC" w:rsidP="00F131FC">
      <w:pPr>
        <w:spacing w:line="259" w:lineRule="auto"/>
        <w:jc w:val="both"/>
        <w:rPr>
          <w:rFonts w:ascii="Arial" w:hAnsi="Arial" w:cs="Arial"/>
          <w:b/>
          <w:sz w:val="22"/>
          <w:szCs w:val="22"/>
        </w:rPr>
      </w:pPr>
    </w:p>
    <w:p w14:paraId="20A33E8A" w14:textId="02038CB3" w:rsidR="00FF767D" w:rsidRPr="00BE5AFD" w:rsidRDefault="00FF767D" w:rsidP="00F131FC">
      <w:pPr>
        <w:spacing w:line="259" w:lineRule="auto"/>
        <w:jc w:val="both"/>
        <w:rPr>
          <w:rFonts w:ascii="Arial" w:hAnsi="Arial" w:cs="Arial"/>
          <w:sz w:val="22"/>
          <w:szCs w:val="22"/>
        </w:rPr>
      </w:pPr>
      <w:r w:rsidRPr="00BE5AFD">
        <w:rPr>
          <w:rFonts w:ascii="Arial" w:hAnsi="Arial" w:cs="Arial"/>
          <w:b/>
          <w:sz w:val="22"/>
          <w:szCs w:val="22"/>
        </w:rPr>
        <w:t>3.</w:t>
      </w:r>
      <w:r w:rsidR="00BE5AFD">
        <w:rPr>
          <w:rFonts w:ascii="Arial" w:hAnsi="Arial" w:cs="Arial"/>
          <w:b/>
          <w:sz w:val="22"/>
          <w:szCs w:val="22"/>
        </w:rPr>
        <w:t xml:space="preserve"> </w:t>
      </w:r>
      <w:r w:rsidRPr="00BE5AFD">
        <w:rPr>
          <w:rFonts w:ascii="Arial" w:hAnsi="Arial" w:cs="Arial"/>
          <w:b/>
          <w:sz w:val="22"/>
          <w:szCs w:val="22"/>
        </w:rPr>
        <w:t xml:space="preserve">Financijski rashodi – </w:t>
      </w:r>
      <w:r w:rsidRPr="00BE5AFD">
        <w:rPr>
          <w:rFonts w:ascii="Arial" w:hAnsi="Arial" w:cs="Arial"/>
          <w:bCs/>
          <w:sz w:val="22"/>
          <w:szCs w:val="22"/>
        </w:rPr>
        <w:t>nisu planirani</w:t>
      </w:r>
      <w:r w:rsidRPr="00BE5AFD">
        <w:rPr>
          <w:rFonts w:ascii="Arial" w:hAnsi="Arial" w:cs="Arial"/>
          <w:b/>
          <w:sz w:val="22"/>
          <w:szCs w:val="22"/>
        </w:rPr>
        <w:t>.</w:t>
      </w:r>
    </w:p>
    <w:p w14:paraId="74FF3F2F" w14:textId="77777777" w:rsidR="00F131FC" w:rsidRDefault="00F131FC" w:rsidP="00F131FC">
      <w:pPr>
        <w:spacing w:line="259" w:lineRule="auto"/>
        <w:jc w:val="both"/>
        <w:rPr>
          <w:rFonts w:ascii="Arial" w:hAnsi="Arial" w:cs="Arial"/>
          <w:b/>
          <w:bCs/>
          <w:sz w:val="22"/>
          <w:szCs w:val="22"/>
        </w:rPr>
      </w:pPr>
    </w:p>
    <w:p w14:paraId="31A303C9" w14:textId="7B909709" w:rsidR="00FF767D" w:rsidRPr="00BE5AFD" w:rsidRDefault="00FF767D" w:rsidP="00F131FC">
      <w:pPr>
        <w:spacing w:line="259" w:lineRule="auto"/>
        <w:jc w:val="both"/>
        <w:rPr>
          <w:rFonts w:ascii="Arial" w:hAnsi="Arial" w:cs="Arial"/>
          <w:sz w:val="22"/>
          <w:szCs w:val="22"/>
        </w:rPr>
      </w:pPr>
      <w:r w:rsidRPr="00BE5AFD">
        <w:rPr>
          <w:rFonts w:ascii="Arial" w:hAnsi="Arial" w:cs="Arial"/>
          <w:b/>
          <w:bCs/>
          <w:sz w:val="22"/>
          <w:szCs w:val="22"/>
        </w:rPr>
        <w:t xml:space="preserve">4. Ostali rashodi- </w:t>
      </w:r>
      <w:r w:rsidRPr="00BE5AFD">
        <w:rPr>
          <w:rFonts w:ascii="Arial" w:hAnsi="Arial" w:cs="Arial"/>
          <w:sz w:val="22"/>
          <w:szCs w:val="22"/>
        </w:rPr>
        <w:t xml:space="preserve">planirani su u iznosu od 40,00 </w:t>
      </w:r>
      <w:proofErr w:type="spellStart"/>
      <w:r w:rsidRPr="00BE5AFD">
        <w:rPr>
          <w:rFonts w:ascii="Arial" w:hAnsi="Arial" w:cs="Arial"/>
          <w:sz w:val="22"/>
          <w:szCs w:val="22"/>
        </w:rPr>
        <w:t>eur</w:t>
      </w:r>
      <w:proofErr w:type="spellEnd"/>
      <w:r w:rsidRPr="00BE5AFD">
        <w:rPr>
          <w:rFonts w:ascii="Arial" w:hAnsi="Arial" w:cs="Arial"/>
          <w:sz w:val="22"/>
          <w:szCs w:val="22"/>
        </w:rPr>
        <w:t>. Prvim izmjenama i dopunama ostaju nepromijenjeni.</w:t>
      </w:r>
    </w:p>
    <w:p w14:paraId="3893FB0F" w14:textId="77777777" w:rsidR="00F131FC" w:rsidRDefault="00F131FC" w:rsidP="00F131FC">
      <w:pPr>
        <w:spacing w:line="259" w:lineRule="auto"/>
        <w:jc w:val="both"/>
        <w:rPr>
          <w:rFonts w:ascii="Arial" w:hAnsi="Arial" w:cs="Arial"/>
          <w:b/>
          <w:sz w:val="22"/>
          <w:szCs w:val="22"/>
        </w:rPr>
      </w:pPr>
    </w:p>
    <w:p w14:paraId="55D503B8" w14:textId="7F27E548" w:rsidR="00FF767D" w:rsidRPr="00BE5AFD" w:rsidRDefault="00FF767D" w:rsidP="00F131FC">
      <w:pPr>
        <w:spacing w:line="259" w:lineRule="auto"/>
        <w:jc w:val="both"/>
        <w:rPr>
          <w:rFonts w:ascii="Arial" w:hAnsi="Arial" w:cs="Arial"/>
          <w:b/>
          <w:sz w:val="22"/>
          <w:szCs w:val="22"/>
        </w:rPr>
      </w:pPr>
      <w:r w:rsidRPr="00BE5AFD">
        <w:rPr>
          <w:rFonts w:ascii="Arial" w:hAnsi="Arial" w:cs="Arial"/>
          <w:b/>
          <w:sz w:val="22"/>
          <w:szCs w:val="22"/>
        </w:rPr>
        <w:t xml:space="preserve">5. Rashodi za nabavu proizvedene dugotrajne imovine </w:t>
      </w:r>
      <w:r w:rsidRPr="00BE5AFD">
        <w:rPr>
          <w:rFonts w:ascii="Arial" w:hAnsi="Arial" w:cs="Arial"/>
          <w:sz w:val="22"/>
          <w:szCs w:val="22"/>
        </w:rPr>
        <w:t xml:space="preserve">planirani su u visini od 2.000,00 </w:t>
      </w:r>
      <w:r w:rsidR="00BE5AFD" w:rsidRPr="00BE5AFD">
        <w:rPr>
          <w:rFonts w:ascii="Arial" w:hAnsi="Arial" w:cs="Arial"/>
          <w:sz w:val="22"/>
          <w:szCs w:val="22"/>
        </w:rPr>
        <w:t>EUR</w:t>
      </w:r>
      <w:r w:rsidRPr="00BE5AFD">
        <w:rPr>
          <w:rFonts w:ascii="Arial" w:hAnsi="Arial" w:cs="Arial"/>
          <w:sz w:val="22"/>
          <w:szCs w:val="22"/>
        </w:rPr>
        <w:t xml:space="preserve">. Prvim izmjenama i dopunama financijskog plana 2025.godine iznose 8.000,00 </w:t>
      </w:r>
      <w:r w:rsidR="00BE5AFD" w:rsidRPr="00BE5AFD">
        <w:rPr>
          <w:rFonts w:ascii="Arial" w:hAnsi="Arial" w:cs="Arial"/>
          <w:sz w:val="22"/>
          <w:szCs w:val="22"/>
        </w:rPr>
        <w:t>EUR</w:t>
      </w:r>
      <w:r w:rsidRPr="00BE5AFD">
        <w:rPr>
          <w:rFonts w:ascii="Arial" w:hAnsi="Arial" w:cs="Arial"/>
          <w:sz w:val="22"/>
          <w:szCs w:val="22"/>
        </w:rPr>
        <w:t>.</w:t>
      </w:r>
    </w:p>
    <w:p w14:paraId="67FC918B" w14:textId="77777777" w:rsidR="00FF767D" w:rsidRPr="00BE5AFD" w:rsidRDefault="00FF767D" w:rsidP="00BE5AFD">
      <w:pPr>
        <w:spacing w:line="259" w:lineRule="auto"/>
        <w:rPr>
          <w:rFonts w:ascii="Arial" w:hAnsi="Arial" w:cs="Arial"/>
          <w:sz w:val="22"/>
          <w:szCs w:val="22"/>
        </w:rPr>
      </w:pPr>
    </w:p>
    <w:p w14:paraId="5F686A52" w14:textId="77777777" w:rsidR="00FF767D" w:rsidRDefault="00FF767D" w:rsidP="00BE5AFD">
      <w:pPr>
        <w:spacing w:line="259" w:lineRule="auto"/>
        <w:rPr>
          <w:rFonts w:ascii="Arial" w:hAnsi="Arial" w:cs="Arial"/>
          <w:b/>
          <w:sz w:val="22"/>
          <w:szCs w:val="22"/>
        </w:rPr>
      </w:pPr>
      <w:r w:rsidRPr="00BE5AFD">
        <w:rPr>
          <w:rFonts w:ascii="Arial" w:hAnsi="Arial" w:cs="Arial"/>
          <w:b/>
          <w:sz w:val="22"/>
          <w:szCs w:val="22"/>
        </w:rPr>
        <w:t>OBRAZLOŽENJE PRIHODA I RASHODA I IZDATAKA PREMA IZVORU FINANCIRANJA</w:t>
      </w:r>
    </w:p>
    <w:p w14:paraId="307B62C7" w14:textId="77777777" w:rsidR="00C526AC" w:rsidRPr="00BE5AFD" w:rsidRDefault="00C526AC" w:rsidP="00BE5AFD">
      <w:pPr>
        <w:spacing w:line="259" w:lineRule="auto"/>
        <w:rPr>
          <w:rFonts w:ascii="Arial" w:hAnsi="Arial" w:cs="Arial"/>
          <w:b/>
          <w:sz w:val="22"/>
          <w:szCs w:val="22"/>
        </w:rPr>
      </w:pPr>
    </w:p>
    <w:tbl>
      <w:tblPr>
        <w:tblStyle w:val="Reetkatablice"/>
        <w:tblW w:w="0" w:type="auto"/>
        <w:tblLook w:val="04A0" w:firstRow="1" w:lastRow="0" w:firstColumn="1" w:lastColumn="0" w:noHBand="0" w:noVBand="1"/>
      </w:tblPr>
      <w:tblGrid>
        <w:gridCol w:w="892"/>
        <w:gridCol w:w="2537"/>
        <w:gridCol w:w="1335"/>
        <w:gridCol w:w="1505"/>
        <w:gridCol w:w="1382"/>
        <w:gridCol w:w="1326"/>
      </w:tblGrid>
      <w:tr w:rsidR="00670BA2" w14:paraId="5876E875" w14:textId="77777777" w:rsidTr="00670BA2">
        <w:trPr>
          <w:trHeight w:val="511"/>
        </w:trPr>
        <w:tc>
          <w:tcPr>
            <w:tcW w:w="892" w:type="dxa"/>
            <w:tcBorders>
              <w:top w:val="single" w:sz="4" w:space="0" w:color="auto"/>
              <w:left w:val="single" w:sz="4" w:space="0" w:color="auto"/>
              <w:bottom w:val="single" w:sz="4" w:space="0" w:color="auto"/>
              <w:right w:val="single" w:sz="4" w:space="0" w:color="auto"/>
            </w:tcBorders>
            <w:hideMark/>
          </w:tcPr>
          <w:p w14:paraId="5137BCD3" w14:textId="77777777" w:rsidR="00670BA2" w:rsidRDefault="00670BA2">
            <w:pPr>
              <w:rPr>
                <w:rFonts w:ascii="Arial" w:hAnsi="Arial" w:cs="Arial"/>
                <w:b/>
                <w:bCs/>
                <w:sz w:val="16"/>
                <w:szCs w:val="16"/>
                <w:lang w:eastAsia="en-US"/>
              </w:rPr>
            </w:pPr>
            <w:r>
              <w:rPr>
                <w:rFonts w:ascii="Arial" w:hAnsi="Arial" w:cs="Arial"/>
                <w:b/>
                <w:bCs/>
                <w:sz w:val="16"/>
                <w:szCs w:val="16"/>
              </w:rPr>
              <w:t xml:space="preserve">BROJ </w:t>
            </w:r>
            <w:r>
              <w:rPr>
                <w:rFonts w:ascii="Arial" w:hAnsi="Arial" w:cs="Arial"/>
                <w:b/>
                <w:bCs/>
                <w:sz w:val="16"/>
                <w:szCs w:val="16"/>
              </w:rPr>
              <w:br/>
              <w:t>KONTA</w:t>
            </w:r>
          </w:p>
        </w:tc>
        <w:tc>
          <w:tcPr>
            <w:tcW w:w="2536" w:type="dxa"/>
            <w:tcBorders>
              <w:top w:val="single" w:sz="4" w:space="0" w:color="auto"/>
              <w:left w:val="single" w:sz="4" w:space="0" w:color="auto"/>
              <w:bottom w:val="single" w:sz="4" w:space="0" w:color="auto"/>
              <w:right w:val="single" w:sz="4" w:space="0" w:color="auto"/>
            </w:tcBorders>
            <w:noWrap/>
            <w:hideMark/>
          </w:tcPr>
          <w:p w14:paraId="6253CC35" w14:textId="77777777" w:rsidR="00670BA2" w:rsidRDefault="00670BA2">
            <w:pPr>
              <w:rPr>
                <w:rFonts w:ascii="Arial" w:hAnsi="Arial" w:cs="Arial"/>
                <w:b/>
                <w:bCs/>
                <w:sz w:val="18"/>
                <w:szCs w:val="18"/>
              </w:rPr>
            </w:pPr>
            <w:r>
              <w:rPr>
                <w:rFonts w:ascii="Arial" w:hAnsi="Arial" w:cs="Arial"/>
                <w:b/>
                <w:bCs/>
                <w:sz w:val="18"/>
                <w:szCs w:val="18"/>
              </w:rPr>
              <w:t>VRSTA PRIHODA / PRIMITAKA</w:t>
            </w:r>
          </w:p>
        </w:tc>
        <w:tc>
          <w:tcPr>
            <w:tcW w:w="1335" w:type="dxa"/>
            <w:tcBorders>
              <w:top w:val="single" w:sz="4" w:space="0" w:color="auto"/>
              <w:left w:val="single" w:sz="4" w:space="0" w:color="auto"/>
              <w:bottom w:val="single" w:sz="4" w:space="0" w:color="auto"/>
              <w:right w:val="single" w:sz="4" w:space="0" w:color="auto"/>
            </w:tcBorders>
            <w:noWrap/>
            <w:hideMark/>
          </w:tcPr>
          <w:p w14:paraId="43CDFA20" w14:textId="77777777" w:rsidR="00670BA2" w:rsidRDefault="00670BA2">
            <w:pPr>
              <w:rPr>
                <w:rFonts w:ascii="Arial" w:hAnsi="Arial" w:cs="Arial"/>
                <w:b/>
                <w:bCs/>
                <w:sz w:val="18"/>
                <w:szCs w:val="18"/>
              </w:rPr>
            </w:pPr>
            <w:r>
              <w:rPr>
                <w:rFonts w:ascii="Arial" w:hAnsi="Arial" w:cs="Arial"/>
                <w:b/>
                <w:bCs/>
                <w:sz w:val="18"/>
                <w:szCs w:val="18"/>
              </w:rPr>
              <w:t>PLANIRANO</w:t>
            </w:r>
          </w:p>
        </w:tc>
        <w:tc>
          <w:tcPr>
            <w:tcW w:w="1505" w:type="dxa"/>
            <w:tcBorders>
              <w:top w:val="single" w:sz="4" w:space="0" w:color="auto"/>
              <w:left w:val="single" w:sz="4" w:space="0" w:color="auto"/>
              <w:bottom w:val="single" w:sz="4" w:space="0" w:color="auto"/>
              <w:right w:val="single" w:sz="4" w:space="0" w:color="auto"/>
            </w:tcBorders>
            <w:noWrap/>
            <w:hideMark/>
          </w:tcPr>
          <w:p w14:paraId="5001748B" w14:textId="77777777" w:rsidR="00670BA2" w:rsidRDefault="00670BA2">
            <w:pPr>
              <w:rPr>
                <w:rFonts w:ascii="Arial" w:hAnsi="Arial" w:cs="Arial"/>
                <w:b/>
                <w:bCs/>
                <w:sz w:val="18"/>
                <w:szCs w:val="18"/>
              </w:rPr>
            </w:pPr>
            <w:r>
              <w:rPr>
                <w:rFonts w:ascii="Arial" w:hAnsi="Arial" w:cs="Arial"/>
                <w:b/>
                <w:bCs/>
                <w:sz w:val="18"/>
                <w:szCs w:val="18"/>
              </w:rPr>
              <w:t>PROMJENA IZNOS</w:t>
            </w:r>
          </w:p>
        </w:tc>
        <w:tc>
          <w:tcPr>
            <w:tcW w:w="1382" w:type="dxa"/>
            <w:tcBorders>
              <w:top w:val="single" w:sz="4" w:space="0" w:color="auto"/>
              <w:left w:val="single" w:sz="4" w:space="0" w:color="auto"/>
              <w:bottom w:val="single" w:sz="4" w:space="0" w:color="auto"/>
              <w:right w:val="single" w:sz="4" w:space="0" w:color="auto"/>
            </w:tcBorders>
            <w:hideMark/>
          </w:tcPr>
          <w:p w14:paraId="62E0C6F2" w14:textId="77777777" w:rsidR="00670BA2" w:rsidRDefault="00670BA2">
            <w:pPr>
              <w:rPr>
                <w:rFonts w:ascii="Arial" w:hAnsi="Arial" w:cs="Arial"/>
                <w:b/>
                <w:bCs/>
                <w:sz w:val="18"/>
                <w:szCs w:val="18"/>
              </w:rPr>
            </w:pPr>
            <w:r>
              <w:rPr>
                <w:rFonts w:ascii="Arial" w:hAnsi="Arial" w:cs="Arial"/>
                <w:b/>
                <w:bCs/>
                <w:sz w:val="18"/>
                <w:szCs w:val="18"/>
              </w:rPr>
              <w:t xml:space="preserve">PROMJENA </w:t>
            </w:r>
            <w:r>
              <w:rPr>
                <w:rFonts w:ascii="Arial" w:hAnsi="Arial" w:cs="Arial"/>
                <w:b/>
                <w:bCs/>
                <w:sz w:val="18"/>
                <w:szCs w:val="18"/>
              </w:rPr>
              <w:br/>
              <w:t>POSTOTAK</w:t>
            </w:r>
          </w:p>
        </w:tc>
        <w:tc>
          <w:tcPr>
            <w:tcW w:w="1326" w:type="dxa"/>
            <w:tcBorders>
              <w:top w:val="single" w:sz="4" w:space="0" w:color="auto"/>
              <w:left w:val="single" w:sz="4" w:space="0" w:color="auto"/>
              <w:bottom w:val="single" w:sz="4" w:space="0" w:color="auto"/>
              <w:right w:val="single" w:sz="4" w:space="0" w:color="auto"/>
            </w:tcBorders>
            <w:noWrap/>
            <w:hideMark/>
          </w:tcPr>
          <w:p w14:paraId="643D1292" w14:textId="77777777" w:rsidR="00670BA2" w:rsidRDefault="00670BA2">
            <w:pPr>
              <w:rPr>
                <w:rFonts w:ascii="Arial" w:hAnsi="Arial" w:cs="Arial"/>
                <w:b/>
                <w:bCs/>
                <w:sz w:val="18"/>
                <w:szCs w:val="18"/>
              </w:rPr>
            </w:pPr>
            <w:r>
              <w:rPr>
                <w:rFonts w:ascii="Arial" w:hAnsi="Arial" w:cs="Arial"/>
                <w:b/>
                <w:bCs/>
                <w:sz w:val="18"/>
                <w:szCs w:val="18"/>
              </w:rPr>
              <w:t>NOVI IZNOS</w:t>
            </w:r>
          </w:p>
        </w:tc>
      </w:tr>
      <w:tr w:rsidR="00670BA2" w:rsidRPr="00F131FC" w14:paraId="6914592D"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64C0C0D2" w14:textId="77777777" w:rsidR="00670BA2" w:rsidRPr="00F131FC" w:rsidRDefault="00670BA2">
            <w:pPr>
              <w:rPr>
                <w:rFonts w:ascii="Arial" w:hAnsi="Arial" w:cs="Arial"/>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1FC">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SVEUKUPNO PRIHODI</w:t>
            </w:r>
          </w:p>
        </w:tc>
        <w:tc>
          <w:tcPr>
            <w:tcW w:w="1335" w:type="dxa"/>
            <w:tcBorders>
              <w:top w:val="single" w:sz="4" w:space="0" w:color="auto"/>
              <w:left w:val="single" w:sz="4" w:space="0" w:color="auto"/>
              <w:bottom w:val="single" w:sz="4" w:space="0" w:color="auto"/>
              <w:right w:val="single" w:sz="4" w:space="0" w:color="auto"/>
            </w:tcBorders>
            <w:noWrap/>
            <w:hideMark/>
          </w:tcPr>
          <w:p w14:paraId="51B21CD8" w14:textId="77777777" w:rsidR="00670BA2" w:rsidRPr="00F131FC" w:rsidRDefault="00670BA2">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1FC">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662.520,00</w:t>
            </w:r>
          </w:p>
        </w:tc>
        <w:tc>
          <w:tcPr>
            <w:tcW w:w="1505" w:type="dxa"/>
            <w:tcBorders>
              <w:top w:val="single" w:sz="4" w:space="0" w:color="auto"/>
              <w:left w:val="single" w:sz="4" w:space="0" w:color="auto"/>
              <w:bottom w:val="single" w:sz="4" w:space="0" w:color="auto"/>
              <w:right w:val="single" w:sz="4" w:space="0" w:color="auto"/>
            </w:tcBorders>
            <w:noWrap/>
            <w:hideMark/>
          </w:tcPr>
          <w:p w14:paraId="39095B2B" w14:textId="77777777" w:rsidR="00670BA2" w:rsidRPr="00F131FC" w:rsidRDefault="00670BA2">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1FC">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31.564,00</w:t>
            </w:r>
          </w:p>
        </w:tc>
        <w:tc>
          <w:tcPr>
            <w:tcW w:w="1382" w:type="dxa"/>
            <w:tcBorders>
              <w:top w:val="single" w:sz="4" w:space="0" w:color="auto"/>
              <w:left w:val="single" w:sz="4" w:space="0" w:color="auto"/>
              <w:bottom w:val="single" w:sz="4" w:space="0" w:color="auto"/>
              <w:right w:val="single" w:sz="4" w:space="0" w:color="auto"/>
            </w:tcBorders>
            <w:noWrap/>
            <w:hideMark/>
          </w:tcPr>
          <w:p w14:paraId="36FB4C26" w14:textId="77777777" w:rsidR="00670BA2" w:rsidRPr="00F131FC" w:rsidRDefault="00670BA2">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1FC">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4,76</w:t>
            </w:r>
          </w:p>
        </w:tc>
        <w:tc>
          <w:tcPr>
            <w:tcW w:w="1326" w:type="dxa"/>
            <w:tcBorders>
              <w:top w:val="single" w:sz="4" w:space="0" w:color="auto"/>
              <w:left w:val="single" w:sz="4" w:space="0" w:color="auto"/>
              <w:bottom w:val="single" w:sz="4" w:space="0" w:color="auto"/>
              <w:right w:val="single" w:sz="4" w:space="0" w:color="auto"/>
            </w:tcBorders>
            <w:noWrap/>
            <w:hideMark/>
          </w:tcPr>
          <w:p w14:paraId="61A52B3D" w14:textId="77777777" w:rsidR="00670BA2" w:rsidRPr="00F131FC" w:rsidRDefault="00670BA2">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1FC">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694.084,00</w:t>
            </w:r>
          </w:p>
        </w:tc>
      </w:tr>
      <w:tr w:rsidR="00670BA2" w14:paraId="3FA068F4"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4CADF38E" w14:textId="77777777" w:rsidR="00670BA2" w:rsidRDefault="00670BA2">
            <w:pPr>
              <w:rPr>
                <w:rFonts w:ascii="Arial" w:hAnsi="Arial" w:cs="Arial"/>
                <w:b/>
                <w:bCs/>
                <w:sz w:val="18"/>
                <w:szCs w:val="18"/>
                <w:lang w:eastAsia="en-US"/>
              </w:rPr>
            </w:pPr>
            <w:r>
              <w:rPr>
                <w:rFonts w:ascii="Arial" w:hAnsi="Arial" w:cs="Arial"/>
                <w:b/>
                <w:bCs/>
                <w:sz w:val="18"/>
                <w:szCs w:val="18"/>
              </w:rPr>
              <w:t>Izvor  1. OPĆI PRIHODI I PRIMICI</w:t>
            </w:r>
          </w:p>
        </w:tc>
        <w:tc>
          <w:tcPr>
            <w:tcW w:w="1335" w:type="dxa"/>
            <w:tcBorders>
              <w:top w:val="single" w:sz="4" w:space="0" w:color="auto"/>
              <w:left w:val="single" w:sz="4" w:space="0" w:color="auto"/>
              <w:bottom w:val="single" w:sz="4" w:space="0" w:color="auto"/>
              <w:right w:val="single" w:sz="4" w:space="0" w:color="auto"/>
            </w:tcBorders>
            <w:noWrap/>
            <w:hideMark/>
          </w:tcPr>
          <w:p w14:paraId="4865711E" w14:textId="77777777" w:rsidR="00670BA2" w:rsidRDefault="00670BA2">
            <w:pPr>
              <w:rPr>
                <w:rFonts w:ascii="Arial" w:hAnsi="Arial" w:cs="Arial"/>
                <w:b/>
                <w:bCs/>
                <w:sz w:val="18"/>
                <w:szCs w:val="18"/>
              </w:rPr>
            </w:pPr>
            <w:r>
              <w:rPr>
                <w:rFonts w:ascii="Arial" w:hAnsi="Arial" w:cs="Arial"/>
                <w:b/>
                <w:bCs/>
                <w:sz w:val="18"/>
                <w:szCs w:val="18"/>
              </w:rPr>
              <w:t>51.040,00</w:t>
            </w:r>
          </w:p>
        </w:tc>
        <w:tc>
          <w:tcPr>
            <w:tcW w:w="1505" w:type="dxa"/>
            <w:tcBorders>
              <w:top w:val="single" w:sz="4" w:space="0" w:color="auto"/>
              <w:left w:val="single" w:sz="4" w:space="0" w:color="auto"/>
              <w:bottom w:val="single" w:sz="4" w:space="0" w:color="auto"/>
              <w:right w:val="single" w:sz="4" w:space="0" w:color="auto"/>
            </w:tcBorders>
            <w:noWrap/>
            <w:hideMark/>
          </w:tcPr>
          <w:p w14:paraId="76B16044" w14:textId="77777777" w:rsidR="00670BA2" w:rsidRDefault="00670BA2">
            <w:pPr>
              <w:rPr>
                <w:rFonts w:ascii="Arial" w:hAnsi="Arial" w:cs="Arial"/>
                <w:b/>
                <w:bCs/>
                <w:sz w:val="18"/>
                <w:szCs w:val="18"/>
              </w:rPr>
            </w:pPr>
            <w:r>
              <w:rPr>
                <w:rFonts w:ascii="Arial" w:hAnsi="Arial" w:cs="Arial"/>
                <w:b/>
                <w:bCs/>
                <w:sz w:val="18"/>
                <w:szCs w:val="18"/>
              </w:rPr>
              <w:t>2.626,00</w:t>
            </w:r>
          </w:p>
        </w:tc>
        <w:tc>
          <w:tcPr>
            <w:tcW w:w="1382" w:type="dxa"/>
            <w:tcBorders>
              <w:top w:val="single" w:sz="4" w:space="0" w:color="auto"/>
              <w:left w:val="single" w:sz="4" w:space="0" w:color="auto"/>
              <w:bottom w:val="single" w:sz="4" w:space="0" w:color="auto"/>
              <w:right w:val="single" w:sz="4" w:space="0" w:color="auto"/>
            </w:tcBorders>
            <w:noWrap/>
            <w:hideMark/>
          </w:tcPr>
          <w:p w14:paraId="0DC6FEC7" w14:textId="77777777" w:rsidR="00670BA2" w:rsidRDefault="00670BA2">
            <w:pPr>
              <w:rPr>
                <w:rFonts w:ascii="Arial" w:hAnsi="Arial" w:cs="Arial"/>
                <w:b/>
                <w:bCs/>
                <w:sz w:val="18"/>
                <w:szCs w:val="18"/>
              </w:rPr>
            </w:pPr>
            <w:r>
              <w:rPr>
                <w:rFonts w:ascii="Arial" w:hAnsi="Arial" w:cs="Arial"/>
                <w:b/>
                <w:bCs/>
                <w:sz w:val="18"/>
                <w:szCs w:val="18"/>
              </w:rPr>
              <w:t>5,14</w:t>
            </w:r>
          </w:p>
        </w:tc>
        <w:tc>
          <w:tcPr>
            <w:tcW w:w="1326" w:type="dxa"/>
            <w:tcBorders>
              <w:top w:val="single" w:sz="4" w:space="0" w:color="auto"/>
              <w:left w:val="single" w:sz="4" w:space="0" w:color="auto"/>
              <w:bottom w:val="single" w:sz="4" w:space="0" w:color="auto"/>
              <w:right w:val="single" w:sz="4" w:space="0" w:color="auto"/>
            </w:tcBorders>
            <w:noWrap/>
            <w:hideMark/>
          </w:tcPr>
          <w:p w14:paraId="2628C554" w14:textId="77777777" w:rsidR="00670BA2" w:rsidRDefault="00670BA2">
            <w:pPr>
              <w:rPr>
                <w:rFonts w:ascii="Arial" w:hAnsi="Arial" w:cs="Arial"/>
                <w:b/>
                <w:bCs/>
                <w:sz w:val="18"/>
                <w:szCs w:val="18"/>
              </w:rPr>
            </w:pPr>
            <w:r>
              <w:rPr>
                <w:rFonts w:ascii="Arial" w:hAnsi="Arial" w:cs="Arial"/>
                <w:b/>
                <w:bCs/>
                <w:sz w:val="18"/>
                <w:szCs w:val="18"/>
              </w:rPr>
              <w:t>53.666,00</w:t>
            </w:r>
          </w:p>
        </w:tc>
      </w:tr>
      <w:tr w:rsidR="00670BA2" w14:paraId="6F671AFB"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07E72D03" w14:textId="77777777" w:rsidR="00670BA2" w:rsidRDefault="00670BA2">
            <w:pPr>
              <w:rPr>
                <w:rFonts w:ascii="Arial" w:hAnsi="Arial" w:cs="Arial"/>
                <w:b/>
                <w:bCs/>
                <w:sz w:val="18"/>
                <w:szCs w:val="18"/>
                <w:lang w:eastAsia="en-US"/>
              </w:rPr>
            </w:pPr>
            <w:r>
              <w:rPr>
                <w:rFonts w:ascii="Arial" w:hAnsi="Arial" w:cs="Arial"/>
                <w:b/>
                <w:bCs/>
                <w:sz w:val="18"/>
                <w:szCs w:val="18"/>
              </w:rPr>
              <w:t>Izvor  1.1. PRIHODI IZ NADLEŽNOG PRORAČUNA</w:t>
            </w:r>
          </w:p>
        </w:tc>
        <w:tc>
          <w:tcPr>
            <w:tcW w:w="1335" w:type="dxa"/>
            <w:tcBorders>
              <w:top w:val="single" w:sz="4" w:space="0" w:color="auto"/>
              <w:left w:val="single" w:sz="4" w:space="0" w:color="auto"/>
              <w:bottom w:val="single" w:sz="4" w:space="0" w:color="auto"/>
              <w:right w:val="single" w:sz="4" w:space="0" w:color="auto"/>
            </w:tcBorders>
            <w:noWrap/>
            <w:hideMark/>
          </w:tcPr>
          <w:p w14:paraId="4AB693CC" w14:textId="77777777" w:rsidR="00670BA2" w:rsidRDefault="00670BA2">
            <w:pPr>
              <w:rPr>
                <w:rFonts w:ascii="Arial" w:hAnsi="Arial" w:cs="Arial"/>
                <w:b/>
                <w:bCs/>
                <w:sz w:val="18"/>
                <w:szCs w:val="18"/>
              </w:rPr>
            </w:pPr>
            <w:r>
              <w:rPr>
                <w:rFonts w:ascii="Arial" w:hAnsi="Arial" w:cs="Arial"/>
                <w:b/>
                <w:bCs/>
                <w:sz w:val="18"/>
                <w:szCs w:val="18"/>
              </w:rPr>
              <w:t>51.040,00</w:t>
            </w:r>
          </w:p>
        </w:tc>
        <w:tc>
          <w:tcPr>
            <w:tcW w:w="1505" w:type="dxa"/>
            <w:tcBorders>
              <w:top w:val="single" w:sz="4" w:space="0" w:color="auto"/>
              <w:left w:val="single" w:sz="4" w:space="0" w:color="auto"/>
              <w:bottom w:val="single" w:sz="4" w:space="0" w:color="auto"/>
              <w:right w:val="single" w:sz="4" w:space="0" w:color="auto"/>
            </w:tcBorders>
            <w:noWrap/>
            <w:hideMark/>
          </w:tcPr>
          <w:p w14:paraId="5950CC6E" w14:textId="77777777" w:rsidR="00670BA2" w:rsidRDefault="00670BA2">
            <w:pPr>
              <w:rPr>
                <w:rFonts w:ascii="Arial" w:hAnsi="Arial" w:cs="Arial"/>
                <w:b/>
                <w:bCs/>
                <w:sz w:val="18"/>
                <w:szCs w:val="18"/>
              </w:rPr>
            </w:pPr>
            <w:r>
              <w:rPr>
                <w:rFonts w:ascii="Arial" w:hAnsi="Arial" w:cs="Arial"/>
                <w:b/>
                <w:bCs/>
                <w:sz w:val="18"/>
                <w:szCs w:val="18"/>
              </w:rPr>
              <w:t>2.626,00</w:t>
            </w:r>
          </w:p>
        </w:tc>
        <w:tc>
          <w:tcPr>
            <w:tcW w:w="1382" w:type="dxa"/>
            <w:tcBorders>
              <w:top w:val="single" w:sz="4" w:space="0" w:color="auto"/>
              <w:left w:val="single" w:sz="4" w:space="0" w:color="auto"/>
              <w:bottom w:val="single" w:sz="4" w:space="0" w:color="auto"/>
              <w:right w:val="single" w:sz="4" w:space="0" w:color="auto"/>
            </w:tcBorders>
            <w:noWrap/>
            <w:hideMark/>
          </w:tcPr>
          <w:p w14:paraId="0BBF7134" w14:textId="77777777" w:rsidR="00670BA2" w:rsidRDefault="00670BA2">
            <w:pPr>
              <w:rPr>
                <w:rFonts w:ascii="Arial" w:hAnsi="Arial" w:cs="Arial"/>
                <w:b/>
                <w:bCs/>
                <w:sz w:val="18"/>
                <w:szCs w:val="18"/>
              </w:rPr>
            </w:pPr>
            <w:r>
              <w:rPr>
                <w:rFonts w:ascii="Arial" w:hAnsi="Arial" w:cs="Arial"/>
                <w:b/>
                <w:bCs/>
                <w:sz w:val="18"/>
                <w:szCs w:val="18"/>
              </w:rPr>
              <w:t>5,14</w:t>
            </w:r>
          </w:p>
        </w:tc>
        <w:tc>
          <w:tcPr>
            <w:tcW w:w="1326" w:type="dxa"/>
            <w:tcBorders>
              <w:top w:val="single" w:sz="4" w:space="0" w:color="auto"/>
              <w:left w:val="single" w:sz="4" w:space="0" w:color="auto"/>
              <w:bottom w:val="single" w:sz="4" w:space="0" w:color="auto"/>
              <w:right w:val="single" w:sz="4" w:space="0" w:color="auto"/>
            </w:tcBorders>
            <w:noWrap/>
            <w:hideMark/>
          </w:tcPr>
          <w:p w14:paraId="4A66982E" w14:textId="77777777" w:rsidR="00670BA2" w:rsidRDefault="00670BA2">
            <w:pPr>
              <w:rPr>
                <w:rFonts w:ascii="Arial" w:hAnsi="Arial" w:cs="Arial"/>
                <w:b/>
                <w:bCs/>
                <w:sz w:val="18"/>
                <w:szCs w:val="18"/>
              </w:rPr>
            </w:pPr>
            <w:r>
              <w:rPr>
                <w:rFonts w:ascii="Arial" w:hAnsi="Arial" w:cs="Arial"/>
                <w:b/>
                <w:bCs/>
                <w:sz w:val="18"/>
                <w:szCs w:val="18"/>
              </w:rPr>
              <w:t>53.666,00</w:t>
            </w:r>
          </w:p>
        </w:tc>
      </w:tr>
      <w:tr w:rsidR="00670BA2" w14:paraId="1B02768C"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6182F71B" w14:textId="77777777" w:rsidR="00670BA2" w:rsidRDefault="00670BA2">
            <w:pPr>
              <w:rPr>
                <w:rFonts w:ascii="Arial" w:hAnsi="Arial" w:cs="Arial"/>
                <w:b/>
                <w:bCs/>
                <w:sz w:val="18"/>
                <w:szCs w:val="18"/>
                <w:lang w:eastAsia="en-US"/>
              </w:rPr>
            </w:pPr>
            <w:r>
              <w:rPr>
                <w:rFonts w:ascii="Arial" w:hAnsi="Arial" w:cs="Arial"/>
                <w:b/>
                <w:bCs/>
                <w:sz w:val="18"/>
                <w:szCs w:val="18"/>
              </w:rPr>
              <w:t>Izvor  3. VLASTITI PRIHODI</w:t>
            </w:r>
          </w:p>
        </w:tc>
        <w:tc>
          <w:tcPr>
            <w:tcW w:w="1335" w:type="dxa"/>
            <w:tcBorders>
              <w:top w:val="single" w:sz="4" w:space="0" w:color="auto"/>
              <w:left w:val="single" w:sz="4" w:space="0" w:color="auto"/>
              <w:bottom w:val="single" w:sz="4" w:space="0" w:color="auto"/>
              <w:right w:val="single" w:sz="4" w:space="0" w:color="auto"/>
            </w:tcBorders>
            <w:noWrap/>
            <w:hideMark/>
          </w:tcPr>
          <w:p w14:paraId="784EC49C" w14:textId="77777777" w:rsidR="00670BA2" w:rsidRDefault="00670BA2">
            <w:pPr>
              <w:rPr>
                <w:rFonts w:ascii="Arial" w:hAnsi="Arial" w:cs="Arial"/>
                <w:b/>
                <w:bCs/>
                <w:sz w:val="18"/>
                <w:szCs w:val="18"/>
              </w:rPr>
            </w:pPr>
            <w:r>
              <w:rPr>
                <w:rFonts w:ascii="Arial" w:hAnsi="Arial" w:cs="Arial"/>
                <w:b/>
                <w:bCs/>
                <w:sz w:val="18"/>
                <w:szCs w:val="18"/>
              </w:rPr>
              <w:t>4.100,00</w:t>
            </w:r>
          </w:p>
        </w:tc>
        <w:tc>
          <w:tcPr>
            <w:tcW w:w="1505" w:type="dxa"/>
            <w:tcBorders>
              <w:top w:val="single" w:sz="4" w:space="0" w:color="auto"/>
              <w:left w:val="single" w:sz="4" w:space="0" w:color="auto"/>
              <w:bottom w:val="single" w:sz="4" w:space="0" w:color="auto"/>
              <w:right w:val="single" w:sz="4" w:space="0" w:color="auto"/>
            </w:tcBorders>
            <w:noWrap/>
            <w:hideMark/>
          </w:tcPr>
          <w:p w14:paraId="00D993E8" w14:textId="77777777" w:rsidR="00670BA2" w:rsidRDefault="00670BA2">
            <w:pPr>
              <w:rPr>
                <w:rFonts w:ascii="Arial" w:hAnsi="Arial" w:cs="Arial"/>
                <w:b/>
                <w:bCs/>
                <w:sz w:val="18"/>
                <w:szCs w:val="18"/>
              </w:rPr>
            </w:pPr>
            <w:r>
              <w:rPr>
                <w:rFonts w:ascii="Arial" w:hAnsi="Arial" w:cs="Arial"/>
                <w:b/>
                <w:bCs/>
                <w:sz w:val="18"/>
                <w:szCs w:val="18"/>
              </w:rPr>
              <w:t>0,00</w:t>
            </w:r>
          </w:p>
        </w:tc>
        <w:tc>
          <w:tcPr>
            <w:tcW w:w="1382" w:type="dxa"/>
            <w:tcBorders>
              <w:top w:val="single" w:sz="4" w:space="0" w:color="auto"/>
              <w:left w:val="single" w:sz="4" w:space="0" w:color="auto"/>
              <w:bottom w:val="single" w:sz="4" w:space="0" w:color="auto"/>
              <w:right w:val="single" w:sz="4" w:space="0" w:color="auto"/>
            </w:tcBorders>
            <w:noWrap/>
            <w:hideMark/>
          </w:tcPr>
          <w:p w14:paraId="360BC8E1" w14:textId="77777777" w:rsidR="00670BA2" w:rsidRDefault="00670BA2">
            <w:pPr>
              <w:rPr>
                <w:rFonts w:ascii="Arial" w:hAnsi="Arial" w:cs="Arial"/>
                <w:b/>
                <w:bCs/>
                <w:sz w:val="18"/>
                <w:szCs w:val="18"/>
              </w:rPr>
            </w:pPr>
            <w:r>
              <w:rPr>
                <w:rFonts w:ascii="Arial" w:hAnsi="Arial" w:cs="Arial"/>
                <w:b/>
                <w:bCs/>
                <w:sz w:val="18"/>
                <w:szCs w:val="18"/>
              </w:rPr>
              <w:t>0,00</w:t>
            </w:r>
          </w:p>
        </w:tc>
        <w:tc>
          <w:tcPr>
            <w:tcW w:w="1326" w:type="dxa"/>
            <w:tcBorders>
              <w:top w:val="single" w:sz="4" w:space="0" w:color="auto"/>
              <w:left w:val="single" w:sz="4" w:space="0" w:color="auto"/>
              <w:bottom w:val="single" w:sz="4" w:space="0" w:color="auto"/>
              <w:right w:val="single" w:sz="4" w:space="0" w:color="auto"/>
            </w:tcBorders>
            <w:noWrap/>
            <w:hideMark/>
          </w:tcPr>
          <w:p w14:paraId="7D262FE9" w14:textId="77777777" w:rsidR="00670BA2" w:rsidRDefault="00670BA2">
            <w:pPr>
              <w:rPr>
                <w:rFonts w:ascii="Arial" w:hAnsi="Arial" w:cs="Arial"/>
                <w:b/>
                <w:bCs/>
                <w:sz w:val="18"/>
                <w:szCs w:val="18"/>
              </w:rPr>
            </w:pPr>
            <w:r>
              <w:rPr>
                <w:rFonts w:ascii="Arial" w:hAnsi="Arial" w:cs="Arial"/>
                <w:b/>
                <w:bCs/>
                <w:sz w:val="18"/>
                <w:szCs w:val="18"/>
              </w:rPr>
              <w:t>4.100,00</w:t>
            </w:r>
          </w:p>
        </w:tc>
      </w:tr>
      <w:tr w:rsidR="00670BA2" w14:paraId="2C36F987"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488A9A59" w14:textId="77777777" w:rsidR="00670BA2" w:rsidRDefault="00670BA2">
            <w:pPr>
              <w:rPr>
                <w:rFonts w:ascii="Arial" w:hAnsi="Arial" w:cs="Arial"/>
                <w:b/>
                <w:bCs/>
                <w:sz w:val="18"/>
                <w:szCs w:val="18"/>
                <w:lang w:eastAsia="en-US"/>
              </w:rPr>
            </w:pPr>
            <w:r>
              <w:rPr>
                <w:rFonts w:ascii="Arial" w:hAnsi="Arial" w:cs="Arial"/>
                <w:b/>
                <w:bCs/>
                <w:sz w:val="18"/>
                <w:szCs w:val="18"/>
              </w:rPr>
              <w:t>Izvor  3.9. VLASTITI PRIHODI</w:t>
            </w:r>
          </w:p>
        </w:tc>
        <w:tc>
          <w:tcPr>
            <w:tcW w:w="1335" w:type="dxa"/>
            <w:tcBorders>
              <w:top w:val="single" w:sz="4" w:space="0" w:color="auto"/>
              <w:left w:val="single" w:sz="4" w:space="0" w:color="auto"/>
              <w:bottom w:val="single" w:sz="4" w:space="0" w:color="auto"/>
              <w:right w:val="single" w:sz="4" w:space="0" w:color="auto"/>
            </w:tcBorders>
            <w:noWrap/>
            <w:hideMark/>
          </w:tcPr>
          <w:p w14:paraId="085018BC" w14:textId="77777777" w:rsidR="00670BA2" w:rsidRDefault="00670BA2">
            <w:pPr>
              <w:rPr>
                <w:rFonts w:ascii="Arial" w:hAnsi="Arial" w:cs="Arial"/>
                <w:b/>
                <w:bCs/>
                <w:sz w:val="18"/>
                <w:szCs w:val="18"/>
              </w:rPr>
            </w:pPr>
            <w:r>
              <w:rPr>
                <w:rFonts w:ascii="Arial" w:hAnsi="Arial" w:cs="Arial"/>
                <w:b/>
                <w:bCs/>
                <w:sz w:val="18"/>
                <w:szCs w:val="18"/>
              </w:rPr>
              <w:t>4.100,00</w:t>
            </w:r>
          </w:p>
        </w:tc>
        <w:tc>
          <w:tcPr>
            <w:tcW w:w="1505" w:type="dxa"/>
            <w:tcBorders>
              <w:top w:val="single" w:sz="4" w:space="0" w:color="auto"/>
              <w:left w:val="single" w:sz="4" w:space="0" w:color="auto"/>
              <w:bottom w:val="single" w:sz="4" w:space="0" w:color="auto"/>
              <w:right w:val="single" w:sz="4" w:space="0" w:color="auto"/>
            </w:tcBorders>
            <w:noWrap/>
            <w:hideMark/>
          </w:tcPr>
          <w:p w14:paraId="03D193F5" w14:textId="77777777" w:rsidR="00670BA2" w:rsidRDefault="00670BA2">
            <w:pPr>
              <w:rPr>
                <w:rFonts w:ascii="Arial" w:hAnsi="Arial" w:cs="Arial"/>
                <w:b/>
                <w:bCs/>
                <w:sz w:val="18"/>
                <w:szCs w:val="18"/>
              </w:rPr>
            </w:pPr>
            <w:r>
              <w:rPr>
                <w:rFonts w:ascii="Arial" w:hAnsi="Arial" w:cs="Arial"/>
                <w:b/>
                <w:bCs/>
                <w:sz w:val="18"/>
                <w:szCs w:val="18"/>
              </w:rPr>
              <w:t>0,00</w:t>
            </w:r>
          </w:p>
        </w:tc>
        <w:tc>
          <w:tcPr>
            <w:tcW w:w="1382" w:type="dxa"/>
            <w:tcBorders>
              <w:top w:val="single" w:sz="4" w:space="0" w:color="auto"/>
              <w:left w:val="single" w:sz="4" w:space="0" w:color="auto"/>
              <w:bottom w:val="single" w:sz="4" w:space="0" w:color="auto"/>
              <w:right w:val="single" w:sz="4" w:space="0" w:color="auto"/>
            </w:tcBorders>
            <w:noWrap/>
            <w:hideMark/>
          </w:tcPr>
          <w:p w14:paraId="1A25BF33" w14:textId="77777777" w:rsidR="00670BA2" w:rsidRDefault="00670BA2">
            <w:pPr>
              <w:rPr>
                <w:rFonts w:ascii="Arial" w:hAnsi="Arial" w:cs="Arial"/>
                <w:b/>
                <w:bCs/>
                <w:sz w:val="18"/>
                <w:szCs w:val="18"/>
              </w:rPr>
            </w:pPr>
            <w:r>
              <w:rPr>
                <w:rFonts w:ascii="Arial" w:hAnsi="Arial" w:cs="Arial"/>
                <w:b/>
                <w:bCs/>
                <w:sz w:val="18"/>
                <w:szCs w:val="18"/>
              </w:rPr>
              <w:t>0,00</w:t>
            </w:r>
          </w:p>
        </w:tc>
        <w:tc>
          <w:tcPr>
            <w:tcW w:w="1326" w:type="dxa"/>
            <w:tcBorders>
              <w:top w:val="single" w:sz="4" w:space="0" w:color="auto"/>
              <w:left w:val="single" w:sz="4" w:space="0" w:color="auto"/>
              <w:bottom w:val="single" w:sz="4" w:space="0" w:color="auto"/>
              <w:right w:val="single" w:sz="4" w:space="0" w:color="auto"/>
            </w:tcBorders>
            <w:noWrap/>
            <w:hideMark/>
          </w:tcPr>
          <w:p w14:paraId="3524CCE9" w14:textId="77777777" w:rsidR="00670BA2" w:rsidRDefault="00670BA2">
            <w:pPr>
              <w:rPr>
                <w:rFonts w:ascii="Arial" w:hAnsi="Arial" w:cs="Arial"/>
                <w:b/>
                <w:bCs/>
                <w:sz w:val="18"/>
                <w:szCs w:val="18"/>
              </w:rPr>
            </w:pPr>
            <w:r>
              <w:rPr>
                <w:rFonts w:ascii="Arial" w:hAnsi="Arial" w:cs="Arial"/>
                <w:b/>
                <w:bCs/>
                <w:sz w:val="18"/>
                <w:szCs w:val="18"/>
              </w:rPr>
              <w:t>4.100,00</w:t>
            </w:r>
          </w:p>
        </w:tc>
      </w:tr>
      <w:tr w:rsidR="00670BA2" w14:paraId="5EA7DBE1"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540F8B14" w14:textId="77777777" w:rsidR="00670BA2" w:rsidRDefault="00670BA2">
            <w:pPr>
              <w:rPr>
                <w:rFonts w:ascii="Arial" w:hAnsi="Arial" w:cs="Arial"/>
                <w:b/>
                <w:bCs/>
                <w:sz w:val="18"/>
                <w:szCs w:val="18"/>
                <w:lang w:eastAsia="en-US"/>
              </w:rPr>
            </w:pPr>
            <w:r>
              <w:rPr>
                <w:rFonts w:ascii="Arial" w:hAnsi="Arial" w:cs="Arial"/>
                <w:b/>
                <w:bCs/>
                <w:sz w:val="18"/>
                <w:szCs w:val="18"/>
              </w:rPr>
              <w:t>Izvor  4. PRIHODI ZA POSEBNE NAMJENE</w:t>
            </w:r>
          </w:p>
        </w:tc>
        <w:tc>
          <w:tcPr>
            <w:tcW w:w="1335" w:type="dxa"/>
            <w:tcBorders>
              <w:top w:val="single" w:sz="4" w:space="0" w:color="auto"/>
              <w:left w:val="single" w:sz="4" w:space="0" w:color="auto"/>
              <w:bottom w:val="single" w:sz="4" w:space="0" w:color="auto"/>
              <w:right w:val="single" w:sz="4" w:space="0" w:color="auto"/>
            </w:tcBorders>
            <w:noWrap/>
            <w:hideMark/>
          </w:tcPr>
          <w:p w14:paraId="735772B4" w14:textId="77777777" w:rsidR="00670BA2" w:rsidRDefault="00670BA2">
            <w:pPr>
              <w:rPr>
                <w:rFonts w:ascii="Arial" w:hAnsi="Arial" w:cs="Arial"/>
                <w:b/>
                <w:bCs/>
                <w:sz w:val="18"/>
                <w:szCs w:val="18"/>
              </w:rPr>
            </w:pPr>
            <w:r>
              <w:rPr>
                <w:rFonts w:ascii="Arial" w:hAnsi="Arial" w:cs="Arial"/>
                <w:b/>
                <w:bCs/>
                <w:sz w:val="18"/>
                <w:szCs w:val="18"/>
              </w:rPr>
              <w:t>2.540,00</w:t>
            </w:r>
          </w:p>
        </w:tc>
        <w:tc>
          <w:tcPr>
            <w:tcW w:w="1505" w:type="dxa"/>
            <w:tcBorders>
              <w:top w:val="single" w:sz="4" w:space="0" w:color="auto"/>
              <w:left w:val="single" w:sz="4" w:space="0" w:color="auto"/>
              <w:bottom w:val="single" w:sz="4" w:space="0" w:color="auto"/>
              <w:right w:val="single" w:sz="4" w:space="0" w:color="auto"/>
            </w:tcBorders>
            <w:noWrap/>
            <w:hideMark/>
          </w:tcPr>
          <w:p w14:paraId="7CD84791" w14:textId="77777777" w:rsidR="00670BA2" w:rsidRDefault="00670BA2">
            <w:pPr>
              <w:rPr>
                <w:rFonts w:ascii="Arial" w:hAnsi="Arial" w:cs="Arial"/>
                <w:b/>
                <w:bCs/>
                <w:sz w:val="18"/>
                <w:szCs w:val="18"/>
              </w:rPr>
            </w:pPr>
            <w:r>
              <w:rPr>
                <w:rFonts w:ascii="Arial" w:hAnsi="Arial" w:cs="Arial"/>
                <w:b/>
                <w:bCs/>
                <w:sz w:val="18"/>
                <w:szCs w:val="18"/>
              </w:rPr>
              <w:t>0,00</w:t>
            </w:r>
          </w:p>
        </w:tc>
        <w:tc>
          <w:tcPr>
            <w:tcW w:w="1382" w:type="dxa"/>
            <w:tcBorders>
              <w:top w:val="single" w:sz="4" w:space="0" w:color="auto"/>
              <w:left w:val="single" w:sz="4" w:space="0" w:color="auto"/>
              <w:bottom w:val="single" w:sz="4" w:space="0" w:color="auto"/>
              <w:right w:val="single" w:sz="4" w:space="0" w:color="auto"/>
            </w:tcBorders>
            <w:noWrap/>
            <w:hideMark/>
          </w:tcPr>
          <w:p w14:paraId="103E8056" w14:textId="77777777" w:rsidR="00670BA2" w:rsidRDefault="00670BA2">
            <w:pPr>
              <w:rPr>
                <w:rFonts w:ascii="Arial" w:hAnsi="Arial" w:cs="Arial"/>
                <w:b/>
                <w:bCs/>
                <w:sz w:val="18"/>
                <w:szCs w:val="18"/>
              </w:rPr>
            </w:pPr>
            <w:r>
              <w:rPr>
                <w:rFonts w:ascii="Arial" w:hAnsi="Arial" w:cs="Arial"/>
                <w:b/>
                <w:bCs/>
                <w:sz w:val="18"/>
                <w:szCs w:val="18"/>
              </w:rPr>
              <w:t>0,00</w:t>
            </w:r>
          </w:p>
        </w:tc>
        <w:tc>
          <w:tcPr>
            <w:tcW w:w="1326" w:type="dxa"/>
            <w:tcBorders>
              <w:top w:val="single" w:sz="4" w:space="0" w:color="auto"/>
              <w:left w:val="single" w:sz="4" w:space="0" w:color="auto"/>
              <w:bottom w:val="single" w:sz="4" w:space="0" w:color="auto"/>
              <w:right w:val="single" w:sz="4" w:space="0" w:color="auto"/>
            </w:tcBorders>
            <w:noWrap/>
            <w:hideMark/>
          </w:tcPr>
          <w:p w14:paraId="48CE240E" w14:textId="77777777" w:rsidR="00670BA2" w:rsidRDefault="00670BA2">
            <w:pPr>
              <w:rPr>
                <w:rFonts w:ascii="Arial" w:hAnsi="Arial" w:cs="Arial"/>
                <w:b/>
                <w:bCs/>
                <w:sz w:val="18"/>
                <w:szCs w:val="18"/>
              </w:rPr>
            </w:pPr>
            <w:r>
              <w:rPr>
                <w:rFonts w:ascii="Arial" w:hAnsi="Arial" w:cs="Arial"/>
                <w:b/>
                <w:bCs/>
                <w:sz w:val="18"/>
                <w:szCs w:val="18"/>
              </w:rPr>
              <w:t>2.540,00</w:t>
            </w:r>
          </w:p>
        </w:tc>
      </w:tr>
      <w:tr w:rsidR="00670BA2" w14:paraId="02F8D939"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68AB3149" w14:textId="77777777" w:rsidR="00670BA2" w:rsidRDefault="00670BA2">
            <w:pPr>
              <w:rPr>
                <w:rFonts w:ascii="Arial" w:hAnsi="Arial" w:cs="Arial"/>
                <w:b/>
                <w:bCs/>
                <w:sz w:val="18"/>
                <w:szCs w:val="18"/>
                <w:lang w:eastAsia="en-US"/>
              </w:rPr>
            </w:pPr>
            <w:r>
              <w:rPr>
                <w:rFonts w:ascii="Arial" w:hAnsi="Arial" w:cs="Arial"/>
                <w:b/>
                <w:bCs/>
                <w:sz w:val="18"/>
                <w:szCs w:val="18"/>
              </w:rPr>
              <w:t>Izvor  4.9. PRIHODI ZA POSEBNE NAMJENE</w:t>
            </w:r>
          </w:p>
        </w:tc>
        <w:tc>
          <w:tcPr>
            <w:tcW w:w="1335" w:type="dxa"/>
            <w:tcBorders>
              <w:top w:val="single" w:sz="4" w:space="0" w:color="auto"/>
              <w:left w:val="single" w:sz="4" w:space="0" w:color="auto"/>
              <w:bottom w:val="single" w:sz="4" w:space="0" w:color="auto"/>
              <w:right w:val="single" w:sz="4" w:space="0" w:color="auto"/>
            </w:tcBorders>
            <w:noWrap/>
            <w:hideMark/>
          </w:tcPr>
          <w:p w14:paraId="0A8EA29A" w14:textId="77777777" w:rsidR="00670BA2" w:rsidRDefault="00670BA2">
            <w:pPr>
              <w:rPr>
                <w:rFonts w:ascii="Arial" w:hAnsi="Arial" w:cs="Arial"/>
                <w:b/>
                <w:bCs/>
                <w:sz w:val="18"/>
                <w:szCs w:val="18"/>
              </w:rPr>
            </w:pPr>
            <w:r>
              <w:rPr>
                <w:rFonts w:ascii="Arial" w:hAnsi="Arial" w:cs="Arial"/>
                <w:b/>
                <w:bCs/>
                <w:sz w:val="18"/>
                <w:szCs w:val="18"/>
              </w:rPr>
              <w:t>2.540,00</w:t>
            </w:r>
          </w:p>
        </w:tc>
        <w:tc>
          <w:tcPr>
            <w:tcW w:w="1505" w:type="dxa"/>
            <w:tcBorders>
              <w:top w:val="single" w:sz="4" w:space="0" w:color="auto"/>
              <w:left w:val="single" w:sz="4" w:space="0" w:color="auto"/>
              <w:bottom w:val="single" w:sz="4" w:space="0" w:color="auto"/>
              <w:right w:val="single" w:sz="4" w:space="0" w:color="auto"/>
            </w:tcBorders>
            <w:noWrap/>
            <w:hideMark/>
          </w:tcPr>
          <w:p w14:paraId="1D00A2B3" w14:textId="77777777" w:rsidR="00670BA2" w:rsidRDefault="00670BA2">
            <w:pPr>
              <w:rPr>
                <w:rFonts w:ascii="Arial" w:hAnsi="Arial" w:cs="Arial"/>
                <w:b/>
                <w:bCs/>
                <w:sz w:val="18"/>
                <w:szCs w:val="18"/>
              </w:rPr>
            </w:pPr>
            <w:r>
              <w:rPr>
                <w:rFonts w:ascii="Arial" w:hAnsi="Arial" w:cs="Arial"/>
                <w:b/>
                <w:bCs/>
                <w:sz w:val="18"/>
                <w:szCs w:val="18"/>
              </w:rPr>
              <w:t>0,00</w:t>
            </w:r>
          </w:p>
        </w:tc>
        <w:tc>
          <w:tcPr>
            <w:tcW w:w="1382" w:type="dxa"/>
            <w:tcBorders>
              <w:top w:val="single" w:sz="4" w:space="0" w:color="auto"/>
              <w:left w:val="single" w:sz="4" w:space="0" w:color="auto"/>
              <w:bottom w:val="single" w:sz="4" w:space="0" w:color="auto"/>
              <w:right w:val="single" w:sz="4" w:space="0" w:color="auto"/>
            </w:tcBorders>
            <w:noWrap/>
            <w:hideMark/>
          </w:tcPr>
          <w:p w14:paraId="3C6E5BB5" w14:textId="77777777" w:rsidR="00670BA2" w:rsidRDefault="00670BA2">
            <w:pPr>
              <w:rPr>
                <w:rFonts w:ascii="Arial" w:hAnsi="Arial" w:cs="Arial"/>
                <w:b/>
                <w:bCs/>
                <w:sz w:val="18"/>
                <w:szCs w:val="18"/>
              </w:rPr>
            </w:pPr>
            <w:r>
              <w:rPr>
                <w:rFonts w:ascii="Arial" w:hAnsi="Arial" w:cs="Arial"/>
                <w:b/>
                <w:bCs/>
                <w:sz w:val="18"/>
                <w:szCs w:val="18"/>
              </w:rPr>
              <w:t>0,00</w:t>
            </w:r>
          </w:p>
        </w:tc>
        <w:tc>
          <w:tcPr>
            <w:tcW w:w="1326" w:type="dxa"/>
            <w:tcBorders>
              <w:top w:val="single" w:sz="4" w:space="0" w:color="auto"/>
              <w:left w:val="single" w:sz="4" w:space="0" w:color="auto"/>
              <w:bottom w:val="single" w:sz="4" w:space="0" w:color="auto"/>
              <w:right w:val="single" w:sz="4" w:space="0" w:color="auto"/>
            </w:tcBorders>
            <w:noWrap/>
            <w:hideMark/>
          </w:tcPr>
          <w:p w14:paraId="70C10ECF" w14:textId="77777777" w:rsidR="00670BA2" w:rsidRDefault="00670BA2">
            <w:pPr>
              <w:rPr>
                <w:rFonts w:ascii="Arial" w:hAnsi="Arial" w:cs="Arial"/>
                <w:b/>
                <w:bCs/>
                <w:sz w:val="18"/>
                <w:szCs w:val="18"/>
              </w:rPr>
            </w:pPr>
            <w:r>
              <w:rPr>
                <w:rFonts w:ascii="Arial" w:hAnsi="Arial" w:cs="Arial"/>
                <w:b/>
                <w:bCs/>
                <w:sz w:val="18"/>
                <w:szCs w:val="18"/>
              </w:rPr>
              <w:t>2.540,00</w:t>
            </w:r>
          </w:p>
        </w:tc>
      </w:tr>
      <w:tr w:rsidR="00670BA2" w14:paraId="6037058F"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1FB20745" w14:textId="77777777" w:rsidR="00670BA2" w:rsidRDefault="00670BA2">
            <w:pPr>
              <w:rPr>
                <w:rFonts w:ascii="Arial" w:hAnsi="Arial" w:cs="Arial"/>
                <w:b/>
                <w:bCs/>
                <w:sz w:val="18"/>
                <w:szCs w:val="18"/>
                <w:lang w:eastAsia="en-US"/>
              </w:rPr>
            </w:pPr>
            <w:r>
              <w:rPr>
                <w:rFonts w:ascii="Arial" w:hAnsi="Arial" w:cs="Arial"/>
                <w:b/>
                <w:bCs/>
                <w:sz w:val="18"/>
                <w:szCs w:val="18"/>
              </w:rPr>
              <w:t>Izvor  5. POMOĆI</w:t>
            </w:r>
          </w:p>
        </w:tc>
        <w:tc>
          <w:tcPr>
            <w:tcW w:w="1335" w:type="dxa"/>
            <w:tcBorders>
              <w:top w:val="single" w:sz="4" w:space="0" w:color="auto"/>
              <w:left w:val="single" w:sz="4" w:space="0" w:color="auto"/>
              <w:bottom w:val="single" w:sz="4" w:space="0" w:color="auto"/>
              <w:right w:val="single" w:sz="4" w:space="0" w:color="auto"/>
            </w:tcBorders>
            <w:noWrap/>
            <w:hideMark/>
          </w:tcPr>
          <w:p w14:paraId="0BCDB851" w14:textId="77777777" w:rsidR="00670BA2" w:rsidRDefault="00670BA2">
            <w:pPr>
              <w:rPr>
                <w:rFonts w:ascii="Arial" w:hAnsi="Arial" w:cs="Arial"/>
                <w:b/>
                <w:bCs/>
                <w:sz w:val="18"/>
                <w:szCs w:val="18"/>
              </w:rPr>
            </w:pPr>
            <w:r>
              <w:rPr>
                <w:rFonts w:ascii="Arial" w:hAnsi="Arial" w:cs="Arial"/>
                <w:b/>
                <w:bCs/>
                <w:sz w:val="18"/>
                <w:szCs w:val="18"/>
              </w:rPr>
              <w:t>602.640,00</w:t>
            </w:r>
          </w:p>
        </w:tc>
        <w:tc>
          <w:tcPr>
            <w:tcW w:w="1505" w:type="dxa"/>
            <w:tcBorders>
              <w:top w:val="single" w:sz="4" w:space="0" w:color="auto"/>
              <w:left w:val="single" w:sz="4" w:space="0" w:color="auto"/>
              <w:bottom w:val="single" w:sz="4" w:space="0" w:color="auto"/>
              <w:right w:val="single" w:sz="4" w:space="0" w:color="auto"/>
            </w:tcBorders>
            <w:noWrap/>
            <w:hideMark/>
          </w:tcPr>
          <w:p w14:paraId="6E24A229" w14:textId="77777777" w:rsidR="00670BA2" w:rsidRDefault="00670BA2">
            <w:pPr>
              <w:rPr>
                <w:rFonts w:ascii="Arial" w:hAnsi="Arial" w:cs="Arial"/>
                <w:b/>
                <w:bCs/>
                <w:sz w:val="18"/>
                <w:szCs w:val="18"/>
              </w:rPr>
            </w:pPr>
            <w:r>
              <w:rPr>
                <w:rFonts w:ascii="Arial" w:hAnsi="Arial" w:cs="Arial"/>
                <w:b/>
                <w:bCs/>
                <w:sz w:val="18"/>
                <w:szCs w:val="18"/>
              </w:rPr>
              <w:t>28.938,00</w:t>
            </w:r>
          </w:p>
        </w:tc>
        <w:tc>
          <w:tcPr>
            <w:tcW w:w="1382" w:type="dxa"/>
            <w:tcBorders>
              <w:top w:val="single" w:sz="4" w:space="0" w:color="auto"/>
              <w:left w:val="single" w:sz="4" w:space="0" w:color="auto"/>
              <w:bottom w:val="single" w:sz="4" w:space="0" w:color="auto"/>
              <w:right w:val="single" w:sz="4" w:space="0" w:color="auto"/>
            </w:tcBorders>
            <w:noWrap/>
            <w:hideMark/>
          </w:tcPr>
          <w:p w14:paraId="0E6DFB94" w14:textId="77777777" w:rsidR="00670BA2" w:rsidRDefault="00670BA2">
            <w:pPr>
              <w:rPr>
                <w:rFonts w:ascii="Arial" w:hAnsi="Arial" w:cs="Arial"/>
                <w:b/>
                <w:bCs/>
                <w:sz w:val="18"/>
                <w:szCs w:val="18"/>
              </w:rPr>
            </w:pPr>
            <w:r>
              <w:rPr>
                <w:rFonts w:ascii="Arial" w:hAnsi="Arial" w:cs="Arial"/>
                <w:b/>
                <w:bCs/>
                <w:sz w:val="18"/>
                <w:szCs w:val="18"/>
              </w:rPr>
              <w:t>4,80</w:t>
            </w:r>
          </w:p>
        </w:tc>
        <w:tc>
          <w:tcPr>
            <w:tcW w:w="1326" w:type="dxa"/>
            <w:tcBorders>
              <w:top w:val="single" w:sz="4" w:space="0" w:color="auto"/>
              <w:left w:val="single" w:sz="4" w:space="0" w:color="auto"/>
              <w:bottom w:val="single" w:sz="4" w:space="0" w:color="auto"/>
              <w:right w:val="single" w:sz="4" w:space="0" w:color="auto"/>
            </w:tcBorders>
            <w:noWrap/>
            <w:hideMark/>
          </w:tcPr>
          <w:p w14:paraId="2C5919D5" w14:textId="77777777" w:rsidR="00670BA2" w:rsidRDefault="00670BA2">
            <w:pPr>
              <w:rPr>
                <w:rFonts w:ascii="Arial" w:hAnsi="Arial" w:cs="Arial"/>
                <w:b/>
                <w:bCs/>
                <w:sz w:val="18"/>
                <w:szCs w:val="18"/>
              </w:rPr>
            </w:pPr>
            <w:r>
              <w:rPr>
                <w:rFonts w:ascii="Arial" w:hAnsi="Arial" w:cs="Arial"/>
                <w:b/>
                <w:bCs/>
                <w:sz w:val="18"/>
                <w:szCs w:val="18"/>
              </w:rPr>
              <w:t>631.578,00</w:t>
            </w:r>
          </w:p>
        </w:tc>
      </w:tr>
      <w:tr w:rsidR="00670BA2" w14:paraId="52B16028"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39DD16D7" w14:textId="77777777" w:rsidR="00670BA2" w:rsidRDefault="00670BA2">
            <w:pPr>
              <w:rPr>
                <w:rFonts w:ascii="Arial" w:hAnsi="Arial" w:cs="Arial"/>
                <w:b/>
                <w:bCs/>
                <w:sz w:val="18"/>
                <w:szCs w:val="18"/>
                <w:lang w:eastAsia="en-US"/>
              </w:rPr>
            </w:pPr>
            <w:r>
              <w:rPr>
                <w:rFonts w:ascii="Arial" w:hAnsi="Arial" w:cs="Arial"/>
                <w:b/>
                <w:bCs/>
                <w:sz w:val="18"/>
                <w:szCs w:val="18"/>
              </w:rPr>
              <w:t>Izvor  5.1. POMOĆI</w:t>
            </w:r>
          </w:p>
        </w:tc>
        <w:tc>
          <w:tcPr>
            <w:tcW w:w="1335" w:type="dxa"/>
            <w:tcBorders>
              <w:top w:val="single" w:sz="4" w:space="0" w:color="auto"/>
              <w:left w:val="single" w:sz="4" w:space="0" w:color="auto"/>
              <w:bottom w:val="single" w:sz="4" w:space="0" w:color="auto"/>
              <w:right w:val="single" w:sz="4" w:space="0" w:color="auto"/>
            </w:tcBorders>
            <w:noWrap/>
            <w:hideMark/>
          </w:tcPr>
          <w:p w14:paraId="71C2126A" w14:textId="77777777" w:rsidR="00670BA2" w:rsidRDefault="00670BA2">
            <w:pPr>
              <w:rPr>
                <w:rFonts w:ascii="Arial" w:hAnsi="Arial" w:cs="Arial"/>
                <w:b/>
                <w:bCs/>
                <w:sz w:val="18"/>
                <w:szCs w:val="18"/>
              </w:rPr>
            </w:pPr>
            <w:r>
              <w:rPr>
                <w:rFonts w:ascii="Arial" w:hAnsi="Arial" w:cs="Arial"/>
                <w:b/>
                <w:bCs/>
                <w:sz w:val="18"/>
                <w:szCs w:val="18"/>
              </w:rPr>
              <w:t>31.000,00</w:t>
            </w:r>
          </w:p>
        </w:tc>
        <w:tc>
          <w:tcPr>
            <w:tcW w:w="1505" w:type="dxa"/>
            <w:tcBorders>
              <w:top w:val="single" w:sz="4" w:space="0" w:color="auto"/>
              <w:left w:val="single" w:sz="4" w:space="0" w:color="auto"/>
              <w:bottom w:val="single" w:sz="4" w:space="0" w:color="auto"/>
              <w:right w:val="single" w:sz="4" w:space="0" w:color="auto"/>
            </w:tcBorders>
            <w:noWrap/>
            <w:hideMark/>
          </w:tcPr>
          <w:p w14:paraId="3D496452" w14:textId="77777777" w:rsidR="00670BA2" w:rsidRDefault="00670BA2">
            <w:pPr>
              <w:rPr>
                <w:rFonts w:ascii="Arial" w:hAnsi="Arial" w:cs="Arial"/>
                <w:b/>
                <w:bCs/>
                <w:sz w:val="18"/>
                <w:szCs w:val="18"/>
              </w:rPr>
            </w:pPr>
            <w:r>
              <w:rPr>
                <w:rFonts w:ascii="Arial" w:hAnsi="Arial" w:cs="Arial"/>
                <w:b/>
                <w:bCs/>
                <w:sz w:val="18"/>
                <w:szCs w:val="18"/>
              </w:rPr>
              <w:t>10.441,00</w:t>
            </w:r>
          </w:p>
        </w:tc>
        <w:tc>
          <w:tcPr>
            <w:tcW w:w="1382" w:type="dxa"/>
            <w:tcBorders>
              <w:top w:val="single" w:sz="4" w:space="0" w:color="auto"/>
              <w:left w:val="single" w:sz="4" w:space="0" w:color="auto"/>
              <w:bottom w:val="single" w:sz="4" w:space="0" w:color="auto"/>
              <w:right w:val="single" w:sz="4" w:space="0" w:color="auto"/>
            </w:tcBorders>
            <w:noWrap/>
            <w:hideMark/>
          </w:tcPr>
          <w:p w14:paraId="439A6259" w14:textId="77777777" w:rsidR="00670BA2" w:rsidRDefault="00670BA2">
            <w:pPr>
              <w:rPr>
                <w:rFonts w:ascii="Arial" w:hAnsi="Arial" w:cs="Arial"/>
                <w:b/>
                <w:bCs/>
                <w:sz w:val="18"/>
                <w:szCs w:val="18"/>
              </w:rPr>
            </w:pPr>
            <w:r>
              <w:rPr>
                <w:rFonts w:ascii="Arial" w:hAnsi="Arial" w:cs="Arial"/>
                <w:b/>
                <w:bCs/>
                <w:sz w:val="18"/>
                <w:szCs w:val="18"/>
              </w:rPr>
              <w:t>33,68</w:t>
            </w:r>
          </w:p>
        </w:tc>
        <w:tc>
          <w:tcPr>
            <w:tcW w:w="1326" w:type="dxa"/>
            <w:tcBorders>
              <w:top w:val="single" w:sz="4" w:space="0" w:color="auto"/>
              <w:left w:val="single" w:sz="4" w:space="0" w:color="auto"/>
              <w:bottom w:val="single" w:sz="4" w:space="0" w:color="auto"/>
              <w:right w:val="single" w:sz="4" w:space="0" w:color="auto"/>
            </w:tcBorders>
            <w:noWrap/>
            <w:hideMark/>
          </w:tcPr>
          <w:p w14:paraId="14BBD1E4" w14:textId="77777777" w:rsidR="00670BA2" w:rsidRDefault="00670BA2">
            <w:pPr>
              <w:rPr>
                <w:rFonts w:ascii="Arial" w:hAnsi="Arial" w:cs="Arial"/>
                <w:b/>
                <w:bCs/>
                <w:sz w:val="18"/>
                <w:szCs w:val="18"/>
              </w:rPr>
            </w:pPr>
            <w:r>
              <w:rPr>
                <w:rFonts w:ascii="Arial" w:hAnsi="Arial" w:cs="Arial"/>
                <w:b/>
                <w:bCs/>
                <w:sz w:val="18"/>
                <w:szCs w:val="18"/>
              </w:rPr>
              <w:t>41.441,00</w:t>
            </w:r>
          </w:p>
        </w:tc>
      </w:tr>
      <w:tr w:rsidR="00670BA2" w14:paraId="656F1FDD"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79C2D357" w14:textId="77777777" w:rsidR="00670BA2" w:rsidRDefault="00670BA2">
            <w:pPr>
              <w:rPr>
                <w:rFonts w:ascii="Arial" w:hAnsi="Arial" w:cs="Arial"/>
                <w:b/>
                <w:bCs/>
                <w:sz w:val="18"/>
                <w:szCs w:val="18"/>
                <w:lang w:eastAsia="en-US"/>
              </w:rPr>
            </w:pPr>
            <w:r>
              <w:rPr>
                <w:rFonts w:ascii="Arial" w:hAnsi="Arial" w:cs="Arial"/>
                <w:b/>
                <w:bCs/>
                <w:sz w:val="18"/>
                <w:szCs w:val="18"/>
              </w:rPr>
              <w:t>Izvor  5.9. POMOĆI</w:t>
            </w:r>
          </w:p>
        </w:tc>
        <w:tc>
          <w:tcPr>
            <w:tcW w:w="1335" w:type="dxa"/>
            <w:tcBorders>
              <w:top w:val="single" w:sz="4" w:space="0" w:color="auto"/>
              <w:left w:val="single" w:sz="4" w:space="0" w:color="auto"/>
              <w:bottom w:val="single" w:sz="4" w:space="0" w:color="auto"/>
              <w:right w:val="single" w:sz="4" w:space="0" w:color="auto"/>
            </w:tcBorders>
            <w:noWrap/>
            <w:hideMark/>
          </w:tcPr>
          <w:p w14:paraId="4232B7A0" w14:textId="77777777" w:rsidR="00670BA2" w:rsidRDefault="00670BA2">
            <w:pPr>
              <w:rPr>
                <w:rFonts w:ascii="Arial" w:hAnsi="Arial" w:cs="Arial"/>
                <w:b/>
                <w:bCs/>
                <w:sz w:val="18"/>
                <w:szCs w:val="18"/>
              </w:rPr>
            </w:pPr>
            <w:r>
              <w:rPr>
                <w:rFonts w:ascii="Arial" w:hAnsi="Arial" w:cs="Arial"/>
                <w:b/>
                <w:bCs/>
                <w:sz w:val="18"/>
                <w:szCs w:val="18"/>
              </w:rPr>
              <w:t>571.640,00</w:t>
            </w:r>
          </w:p>
        </w:tc>
        <w:tc>
          <w:tcPr>
            <w:tcW w:w="1505" w:type="dxa"/>
            <w:tcBorders>
              <w:top w:val="single" w:sz="4" w:space="0" w:color="auto"/>
              <w:left w:val="single" w:sz="4" w:space="0" w:color="auto"/>
              <w:bottom w:val="single" w:sz="4" w:space="0" w:color="auto"/>
              <w:right w:val="single" w:sz="4" w:space="0" w:color="auto"/>
            </w:tcBorders>
            <w:noWrap/>
            <w:hideMark/>
          </w:tcPr>
          <w:p w14:paraId="2EBB5B41" w14:textId="77777777" w:rsidR="00670BA2" w:rsidRDefault="00670BA2">
            <w:pPr>
              <w:rPr>
                <w:rFonts w:ascii="Arial" w:hAnsi="Arial" w:cs="Arial"/>
                <w:b/>
                <w:bCs/>
                <w:sz w:val="18"/>
                <w:szCs w:val="18"/>
              </w:rPr>
            </w:pPr>
            <w:r>
              <w:rPr>
                <w:rFonts w:ascii="Arial" w:hAnsi="Arial" w:cs="Arial"/>
                <w:b/>
                <w:bCs/>
                <w:sz w:val="18"/>
                <w:szCs w:val="18"/>
              </w:rPr>
              <w:t>18.497,00</w:t>
            </w:r>
          </w:p>
        </w:tc>
        <w:tc>
          <w:tcPr>
            <w:tcW w:w="1382" w:type="dxa"/>
            <w:tcBorders>
              <w:top w:val="single" w:sz="4" w:space="0" w:color="auto"/>
              <w:left w:val="single" w:sz="4" w:space="0" w:color="auto"/>
              <w:bottom w:val="single" w:sz="4" w:space="0" w:color="auto"/>
              <w:right w:val="single" w:sz="4" w:space="0" w:color="auto"/>
            </w:tcBorders>
            <w:noWrap/>
            <w:hideMark/>
          </w:tcPr>
          <w:p w14:paraId="64A89631" w14:textId="77777777" w:rsidR="00670BA2" w:rsidRDefault="00670BA2">
            <w:pPr>
              <w:rPr>
                <w:rFonts w:ascii="Arial" w:hAnsi="Arial" w:cs="Arial"/>
                <w:b/>
                <w:bCs/>
                <w:sz w:val="18"/>
                <w:szCs w:val="18"/>
              </w:rPr>
            </w:pPr>
            <w:r>
              <w:rPr>
                <w:rFonts w:ascii="Arial" w:hAnsi="Arial" w:cs="Arial"/>
                <w:b/>
                <w:bCs/>
                <w:sz w:val="18"/>
                <w:szCs w:val="18"/>
              </w:rPr>
              <w:t>3,24</w:t>
            </w:r>
          </w:p>
        </w:tc>
        <w:tc>
          <w:tcPr>
            <w:tcW w:w="1326" w:type="dxa"/>
            <w:tcBorders>
              <w:top w:val="single" w:sz="4" w:space="0" w:color="auto"/>
              <w:left w:val="single" w:sz="4" w:space="0" w:color="auto"/>
              <w:bottom w:val="single" w:sz="4" w:space="0" w:color="auto"/>
              <w:right w:val="single" w:sz="4" w:space="0" w:color="auto"/>
            </w:tcBorders>
            <w:noWrap/>
            <w:hideMark/>
          </w:tcPr>
          <w:p w14:paraId="3296BDE1" w14:textId="77777777" w:rsidR="00670BA2" w:rsidRDefault="00670BA2">
            <w:pPr>
              <w:rPr>
                <w:rFonts w:ascii="Arial" w:hAnsi="Arial" w:cs="Arial"/>
                <w:b/>
                <w:bCs/>
                <w:sz w:val="18"/>
                <w:szCs w:val="18"/>
              </w:rPr>
            </w:pPr>
            <w:r>
              <w:rPr>
                <w:rFonts w:ascii="Arial" w:hAnsi="Arial" w:cs="Arial"/>
                <w:b/>
                <w:bCs/>
                <w:sz w:val="18"/>
                <w:szCs w:val="18"/>
              </w:rPr>
              <w:t>590.137,00</w:t>
            </w:r>
          </w:p>
        </w:tc>
      </w:tr>
      <w:tr w:rsidR="00670BA2" w14:paraId="48CA1173"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73265053" w14:textId="77777777" w:rsidR="00670BA2" w:rsidRDefault="00670BA2">
            <w:pPr>
              <w:rPr>
                <w:rFonts w:ascii="Arial" w:hAnsi="Arial" w:cs="Arial"/>
                <w:b/>
                <w:bCs/>
                <w:sz w:val="18"/>
                <w:szCs w:val="18"/>
                <w:lang w:eastAsia="en-US"/>
              </w:rPr>
            </w:pPr>
            <w:r>
              <w:rPr>
                <w:rFonts w:ascii="Arial" w:hAnsi="Arial" w:cs="Arial"/>
                <w:b/>
                <w:bCs/>
                <w:sz w:val="18"/>
                <w:szCs w:val="18"/>
              </w:rPr>
              <w:t>Izvor  6. DONACIJE</w:t>
            </w:r>
          </w:p>
        </w:tc>
        <w:tc>
          <w:tcPr>
            <w:tcW w:w="1335" w:type="dxa"/>
            <w:tcBorders>
              <w:top w:val="single" w:sz="4" w:space="0" w:color="auto"/>
              <w:left w:val="single" w:sz="4" w:space="0" w:color="auto"/>
              <w:bottom w:val="single" w:sz="4" w:space="0" w:color="auto"/>
              <w:right w:val="single" w:sz="4" w:space="0" w:color="auto"/>
            </w:tcBorders>
            <w:noWrap/>
            <w:hideMark/>
          </w:tcPr>
          <w:p w14:paraId="1FE487B3" w14:textId="77777777" w:rsidR="00670BA2" w:rsidRDefault="00670BA2">
            <w:pPr>
              <w:rPr>
                <w:rFonts w:ascii="Arial" w:hAnsi="Arial" w:cs="Arial"/>
                <w:b/>
                <w:bCs/>
                <w:sz w:val="18"/>
                <w:szCs w:val="18"/>
              </w:rPr>
            </w:pPr>
            <w:r>
              <w:rPr>
                <w:rFonts w:ascii="Arial" w:hAnsi="Arial" w:cs="Arial"/>
                <w:b/>
                <w:bCs/>
                <w:sz w:val="18"/>
                <w:szCs w:val="18"/>
              </w:rPr>
              <w:t>2.200,00</w:t>
            </w:r>
          </w:p>
        </w:tc>
        <w:tc>
          <w:tcPr>
            <w:tcW w:w="1505" w:type="dxa"/>
            <w:tcBorders>
              <w:top w:val="single" w:sz="4" w:space="0" w:color="auto"/>
              <w:left w:val="single" w:sz="4" w:space="0" w:color="auto"/>
              <w:bottom w:val="single" w:sz="4" w:space="0" w:color="auto"/>
              <w:right w:val="single" w:sz="4" w:space="0" w:color="auto"/>
            </w:tcBorders>
            <w:noWrap/>
            <w:hideMark/>
          </w:tcPr>
          <w:p w14:paraId="1D36A822" w14:textId="77777777" w:rsidR="00670BA2" w:rsidRDefault="00670BA2">
            <w:pPr>
              <w:rPr>
                <w:rFonts w:ascii="Arial" w:hAnsi="Arial" w:cs="Arial"/>
                <w:b/>
                <w:bCs/>
                <w:sz w:val="18"/>
                <w:szCs w:val="18"/>
              </w:rPr>
            </w:pPr>
            <w:r>
              <w:rPr>
                <w:rFonts w:ascii="Arial" w:hAnsi="Arial" w:cs="Arial"/>
                <w:b/>
                <w:bCs/>
                <w:sz w:val="18"/>
                <w:szCs w:val="18"/>
              </w:rPr>
              <w:t>0,00</w:t>
            </w:r>
          </w:p>
        </w:tc>
        <w:tc>
          <w:tcPr>
            <w:tcW w:w="1382" w:type="dxa"/>
            <w:tcBorders>
              <w:top w:val="single" w:sz="4" w:space="0" w:color="auto"/>
              <w:left w:val="single" w:sz="4" w:space="0" w:color="auto"/>
              <w:bottom w:val="single" w:sz="4" w:space="0" w:color="auto"/>
              <w:right w:val="single" w:sz="4" w:space="0" w:color="auto"/>
            </w:tcBorders>
            <w:noWrap/>
            <w:hideMark/>
          </w:tcPr>
          <w:p w14:paraId="54DCEC7A" w14:textId="77777777" w:rsidR="00670BA2" w:rsidRDefault="00670BA2">
            <w:pPr>
              <w:rPr>
                <w:rFonts w:ascii="Arial" w:hAnsi="Arial" w:cs="Arial"/>
                <w:b/>
                <w:bCs/>
                <w:sz w:val="18"/>
                <w:szCs w:val="18"/>
              </w:rPr>
            </w:pPr>
            <w:r>
              <w:rPr>
                <w:rFonts w:ascii="Arial" w:hAnsi="Arial" w:cs="Arial"/>
                <w:b/>
                <w:bCs/>
                <w:sz w:val="18"/>
                <w:szCs w:val="18"/>
              </w:rPr>
              <w:t>0,00</w:t>
            </w:r>
          </w:p>
        </w:tc>
        <w:tc>
          <w:tcPr>
            <w:tcW w:w="1326" w:type="dxa"/>
            <w:tcBorders>
              <w:top w:val="single" w:sz="4" w:space="0" w:color="auto"/>
              <w:left w:val="single" w:sz="4" w:space="0" w:color="auto"/>
              <w:bottom w:val="single" w:sz="4" w:space="0" w:color="auto"/>
              <w:right w:val="single" w:sz="4" w:space="0" w:color="auto"/>
            </w:tcBorders>
            <w:noWrap/>
            <w:hideMark/>
          </w:tcPr>
          <w:p w14:paraId="3A68F324" w14:textId="77777777" w:rsidR="00670BA2" w:rsidRDefault="00670BA2">
            <w:pPr>
              <w:rPr>
                <w:rFonts w:ascii="Arial" w:hAnsi="Arial" w:cs="Arial"/>
                <w:b/>
                <w:bCs/>
                <w:sz w:val="18"/>
                <w:szCs w:val="18"/>
              </w:rPr>
            </w:pPr>
            <w:r>
              <w:rPr>
                <w:rFonts w:ascii="Arial" w:hAnsi="Arial" w:cs="Arial"/>
                <w:b/>
                <w:bCs/>
                <w:sz w:val="18"/>
                <w:szCs w:val="18"/>
              </w:rPr>
              <w:t>2.200,00</w:t>
            </w:r>
          </w:p>
        </w:tc>
      </w:tr>
      <w:tr w:rsidR="00670BA2" w14:paraId="01BE6C38"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0B0C532E" w14:textId="77777777" w:rsidR="00670BA2" w:rsidRDefault="00670BA2">
            <w:pPr>
              <w:rPr>
                <w:rFonts w:ascii="Arial" w:hAnsi="Arial" w:cs="Arial"/>
                <w:b/>
                <w:bCs/>
                <w:sz w:val="18"/>
                <w:szCs w:val="18"/>
                <w:lang w:eastAsia="en-US"/>
              </w:rPr>
            </w:pPr>
            <w:r>
              <w:rPr>
                <w:rFonts w:ascii="Arial" w:hAnsi="Arial" w:cs="Arial"/>
                <w:b/>
                <w:bCs/>
                <w:sz w:val="18"/>
                <w:szCs w:val="18"/>
              </w:rPr>
              <w:t>Izvor  6.9. DONACIJE</w:t>
            </w:r>
          </w:p>
        </w:tc>
        <w:tc>
          <w:tcPr>
            <w:tcW w:w="1335" w:type="dxa"/>
            <w:tcBorders>
              <w:top w:val="single" w:sz="4" w:space="0" w:color="auto"/>
              <w:left w:val="single" w:sz="4" w:space="0" w:color="auto"/>
              <w:bottom w:val="single" w:sz="4" w:space="0" w:color="auto"/>
              <w:right w:val="single" w:sz="4" w:space="0" w:color="auto"/>
            </w:tcBorders>
            <w:noWrap/>
            <w:hideMark/>
          </w:tcPr>
          <w:p w14:paraId="72DFBC7D" w14:textId="77777777" w:rsidR="00670BA2" w:rsidRDefault="00670BA2">
            <w:pPr>
              <w:rPr>
                <w:rFonts w:ascii="Arial" w:hAnsi="Arial" w:cs="Arial"/>
                <w:b/>
                <w:bCs/>
                <w:sz w:val="18"/>
                <w:szCs w:val="18"/>
              </w:rPr>
            </w:pPr>
            <w:r>
              <w:rPr>
                <w:rFonts w:ascii="Arial" w:hAnsi="Arial" w:cs="Arial"/>
                <w:b/>
                <w:bCs/>
                <w:sz w:val="18"/>
                <w:szCs w:val="18"/>
              </w:rPr>
              <w:t>2.200,00</w:t>
            </w:r>
          </w:p>
        </w:tc>
        <w:tc>
          <w:tcPr>
            <w:tcW w:w="1505" w:type="dxa"/>
            <w:tcBorders>
              <w:top w:val="single" w:sz="4" w:space="0" w:color="auto"/>
              <w:left w:val="single" w:sz="4" w:space="0" w:color="auto"/>
              <w:bottom w:val="single" w:sz="4" w:space="0" w:color="auto"/>
              <w:right w:val="single" w:sz="4" w:space="0" w:color="auto"/>
            </w:tcBorders>
            <w:noWrap/>
            <w:hideMark/>
          </w:tcPr>
          <w:p w14:paraId="0C4EEAC5" w14:textId="77777777" w:rsidR="00670BA2" w:rsidRDefault="00670BA2">
            <w:pPr>
              <w:rPr>
                <w:rFonts w:ascii="Arial" w:hAnsi="Arial" w:cs="Arial"/>
                <w:b/>
                <w:bCs/>
                <w:sz w:val="18"/>
                <w:szCs w:val="18"/>
              </w:rPr>
            </w:pPr>
            <w:r>
              <w:rPr>
                <w:rFonts w:ascii="Arial" w:hAnsi="Arial" w:cs="Arial"/>
                <w:b/>
                <w:bCs/>
                <w:sz w:val="18"/>
                <w:szCs w:val="18"/>
              </w:rPr>
              <w:t>0,00</w:t>
            </w:r>
          </w:p>
        </w:tc>
        <w:tc>
          <w:tcPr>
            <w:tcW w:w="1382" w:type="dxa"/>
            <w:tcBorders>
              <w:top w:val="single" w:sz="4" w:space="0" w:color="auto"/>
              <w:left w:val="single" w:sz="4" w:space="0" w:color="auto"/>
              <w:bottom w:val="single" w:sz="4" w:space="0" w:color="auto"/>
              <w:right w:val="single" w:sz="4" w:space="0" w:color="auto"/>
            </w:tcBorders>
            <w:noWrap/>
            <w:hideMark/>
          </w:tcPr>
          <w:p w14:paraId="4A9135A6" w14:textId="77777777" w:rsidR="00670BA2" w:rsidRDefault="00670BA2">
            <w:pPr>
              <w:rPr>
                <w:rFonts w:ascii="Arial" w:hAnsi="Arial" w:cs="Arial"/>
                <w:b/>
                <w:bCs/>
                <w:sz w:val="18"/>
                <w:szCs w:val="18"/>
              </w:rPr>
            </w:pPr>
            <w:r>
              <w:rPr>
                <w:rFonts w:ascii="Arial" w:hAnsi="Arial" w:cs="Arial"/>
                <w:b/>
                <w:bCs/>
                <w:sz w:val="18"/>
                <w:szCs w:val="18"/>
              </w:rPr>
              <w:t>0,00</w:t>
            </w:r>
          </w:p>
        </w:tc>
        <w:tc>
          <w:tcPr>
            <w:tcW w:w="1326" w:type="dxa"/>
            <w:tcBorders>
              <w:top w:val="single" w:sz="4" w:space="0" w:color="auto"/>
              <w:left w:val="single" w:sz="4" w:space="0" w:color="auto"/>
              <w:bottom w:val="single" w:sz="4" w:space="0" w:color="auto"/>
              <w:right w:val="single" w:sz="4" w:space="0" w:color="auto"/>
            </w:tcBorders>
            <w:noWrap/>
            <w:hideMark/>
          </w:tcPr>
          <w:p w14:paraId="3FC3EFFB" w14:textId="77777777" w:rsidR="00670BA2" w:rsidRDefault="00670BA2">
            <w:pPr>
              <w:rPr>
                <w:rFonts w:ascii="Arial" w:hAnsi="Arial" w:cs="Arial"/>
                <w:b/>
                <w:bCs/>
                <w:sz w:val="18"/>
                <w:szCs w:val="18"/>
              </w:rPr>
            </w:pPr>
            <w:r>
              <w:rPr>
                <w:rFonts w:ascii="Arial" w:hAnsi="Arial" w:cs="Arial"/>
                <w:b/>
                <w:bCs/>
                <w:sz w:val="18"/>
                <w:szCs w:val="18"/>
              </w:rPr>
              <w:t>2.200,00</w:t>
            </w:r>
          </w:p>
        </w:tc>
      </w:tr>
      <w:tr w:rsidR="00670BA2" w:rsidRPr="00F131FC" w14:paraId="4ACB889E"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014A5D1D" w14:textId="77777777" w:rsidR="00670BA2" w:rsidRPr="00F131FC" w:rsidRDefault="00670BA2">
            <w:pPr>
              <w:rPr>
                <w:rFonts w:ascii="Arial" w:hAnsi="Arial" w:cs="Arial"/>
                <w:bCs/>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1FC">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SVEUKUPNO RASHODI / IZDACI</w:t>
            </w:r>
          </w:p>
        </w:tc>
        <w:tc>
          <w:tcPr>
            <w:tcW w:w="1335" w:type="dxa"/>
            <w:tcBorders>
              <w:top w:val="single" w:sz="4" w:space="0" w:color="auto"/>
              <w:left w:val="single" w:sz="4" w:space="0" w:color="auto"/>
              <w:bottom w:val="single" w:sz="4" w:space="0" w:color="auto"/>
              <w:right w:val="single" w:sz="4" w:space="0" w:color="auto"/>
            </w:tcBorders>
            <w:noWrap/>
            <w:hideMark/>
          </w:tcPr>
          <w:p w14:paraId="1CE2E0EE" w14:textId="77777777" w:rsidR="00670BA2" w:rsidRPr="00F131FC" w:rsidRDefault="00670BA2">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1FC">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664.020,00</w:t>
            </w:r>
          </w:p>
        </w:tc>
        <w:tc>
          <w:tcPr>
            <w:tcW w:w="1505" w:type="dxa"/>
            <w:tcBorders>
              <w:top w:val="single" w:sz="4" w:space="0" w:color="auto"/>
              <w:left w:val="single" w:sz="4" w:space="0" w:color="auto"/>
              <w:bottom w:val="single" w:sz="4" w:space="0" w:color="auto"/>
              <w:right w:val="single" w:sz="4" w:space="0" w:color="auto"/>
            </w:tcBorders>
            <w:noWrap/>
            <w:hideMark/>
          </w:tcPr>
          <w:p w14:paraId="46DBC832" w14:textId="77777777" w:rsidR="00670BA2" w:rsidRPr="00F131FC" w:rsidRDefault="00670BA2">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1FC">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36.854,00</w:t>
            </w:r>
          </w:p>
        </w:tc>
        <w:tc>
          <w:tcPr>
            <w:tcW w:w="1382" w:type="dxa"/>
            <w:tcBorders>
              <w:top w:val="single" w:sz="4" w:space="0" w:color="auto"/>
              <w:left w:val="single" w:sz="4" w:space="0" w:color="auto"/>
              <w:bottom w:val="single" w:sz="4" w:space="0" w:color="auto"/>
              <w:right w:val="single" w:sz="4" w:space="0" w:color="auto"/>
            </w:tcBorders>
            <w:noWrap/>
            <w:hideMark/>
          </w:tcPr>
          <w:p w14:paraId="789C06A2" w14:textId="77777777" w:rsidR="00670BA2" w:rsidRPr="00F131FC" w:rsidRDefault="00670BA2">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1FC">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5,55</w:t>
            </w:r>
          </w:p>
        </w:tc>
        <w:tc>
          <w:tcPr>
            <w:tcW w:w="1326" w:type="dxa"/>
            <w:tcBorders>
              <w:top w:val="single" w:sz="4" w:space="0" w:color="auto"/>
              <w:left w:val="single" w:sz="4" w:space="0" w:color="auto"/>
              <w:bottom w:val="single" w:sz="4" w:space="0" w:color="auto"/>
              <w:right w:val="single" w:sz="4" w:space="0" w:color="auto"/>
            </w:tcBorders>
            <w:noWrap/>
            <w:hideMark/>
          </w:tcPr>
          <w:p w14:paraId="14B75C8E" w14:textId="77777777" w:rsidR="00670BA2" w:rsidRPr="00F131FC" w:rsidRDefault="00670BA2">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1FC">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700.874,00</w:t>
            </w:r>
          </w:p>
        </w:tc>
      </w:tr>
      <w:tr w:rsidR="00670BA2" w14:paraId="5B8AA88D"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7D450291" w14:textId="77777777" w:rsidR="00670BA2" w:rsidRDefault="00670BA2">
            <w:pPr>
              <w:rPr>
                <w:rFonts w:ascii="Arial" w:hAnsi="Arial" w:cs="Arial"/>
                <w:b/>
                <w:bCs/>
                <w:sz w:val="18"/>
                <w:szCs w:val="18"/>
                <w:lang w:eastAsia="en-US"/>
              </w:rPr>
            </w:pPr>
            <w:r>
              <w:rPr>
                <w:rFonts w:ascii="Arial" w:hAnsi="Arial" w:cs="Arial"/>
                <w:b/>
                <w:bCs/>
                <w:sz w:val="18"/>
                <w:szCs w:val="18"/>
              </w:rPr>
              <w:t>Izvor  1. OPĆI PRIHODI I PRIMICI</w:t>
            </w:r>
          </w:p>
        </w:tc>
        <w:tc>
          <w:tcPr>
            <w:tcW w:w="1335" w:type="dxa"/>
            <w:tcBorders>
              <w:top w:val="single" w:sz="4" w:space="0" w:color="auto"/>
              <w:left w:val="single" w:sz="4" w:space="0" w:color="auto"/>
              <w:bottom w:val="single" w:sz="4" w:space="0" w:color="auto"/>
              <w:right w:val="single" w:sz="4" w:space="0" w:color="auto"/>
            </w:tcBorders>
            <w:noWrap/>
            <w:hideMark/>
          </w:tcPr>
          <w:p w14:paraId="5B806777" w14:textId="77777777" w:rsidR="00670BA2" w:rsidRDefault="00670BA2">
            <w:pPr>
              <w:rPr>
                <w:rFonts w:ascii="Arial" w:hAnsi="Arial" w:cs="Arial"/>
                <w:b/>
                <w:bCs/>
                <w:sz w:val="18"/>
                <w:szCs w:val="18"/>
              </w:rPr>
            </w:pPr>
            <w:r>
              <w:rPr>
                <w:rFonts w:ascii="Arial" w:hAnsi="Arial" w:cs="Arial"/>
                <w:b/>
                <w:bCs/>
                <w:sz w:val="18"/>
                <w:szCs w:val="18"/>
              </w:rPr>
              <w:t>51.040,00</w:t>
            </w:r>
          </w:p>
        </w:tc>
        <w:tc>
          <w:tcPr>
            <w:tcW w:w="1505" w:type="dxa"/>
            <w:tcBorders>
              <w:top w:val="single" w:sz="4" w:space="0" w:color="auto"/>
              <w:left w:val="single" w:sz="4" w:space="0" w:color="auto"/>
              <w:bottom w:val="single" w:sz="4" w:space="0" w:color="auto"/>
              <w:right w:val="single" w:sz="4" w:space="0" w:color="auto"/>
            </w:tcBorders>
            <w:noWrap/>
            <w:hideMark/>
          </w:tcPr>
          <w:p w14:paraId="680E248F" w14:textId="77777777" w:rsidR="00670BA2" w:rsidRDefault="00670BA2">
            <w:pPr>
              <w:rPr>
                <w:rFonts w:ascii="Arial" w:hAnsi="Arial" w:cs="Arial"/>
                <w:b/>
                <w:bCs/>
                <w:sz w:val="18"/>
                <w:szCs w:val="18"/>
              </w:rPr>
            </w:pPr>
            <w:r>
              <w:rPr>
                <w:rFonts w:ascii="Arial" w:hAnsi="Arial" w:cs="Arial"/>
                <w:b/>
                <w:bCs/>
                <w:sz w:val="18"/>
                <w:szCs w:val="18"/>
              </w:rPr>
              <w:t>2.500,00</w:t>
            </w:r>
          </w:p>
        </w:tc>
        <w:tc>
          <w:tcPr>
            <w:tcW w:w="1382" w:type="dxa"/>
            <w:tcBorders>
              <w:top w:val="single" w:sz="4" w:space="0" w:color="auto"/>
              <w:left w:val="single" w:sz="4" w:space="0" w:color="auto"/>
              <w:bottom w:val="single" w:sz="4" w:space="0" w:color="auto"/>
              <w:right w:val="single" w:sz="4" w:space="0" w:color="auto"/>
            </w:tcBorders>
            <w:noWrap/>
            <w:hideMark/>
          </w:tcPr>
          <w:p w14:paraId="019D641C" w14:textId="77777777" w:rsidR="00670BA2" w:rsidRDefault="00670BA2">
            <w:pPr>
              <w:rPr>
                <w:rFonts w:ascii="Arial" w:hAnsi="Arial" w:cs="Arial"/>
                <w:b/>
                <w:bCs/>
                <w:sz w:val="18"/>
                <w:szCs w:val="18"/>
              </w:rPr>
            </w:pPr>
            <w:r>
              <w:rPr>
                <w:rFonts w:ascii="Arial" w:hAnsi="Arial" w:cs="Arial"/>
                <w:b/>
                <w:bCs/>
                <w:sz w:val="18"/>
                <w:szCs w:val="18"/>
              </w:rPr>
              <w:t>4,90</w:t>
            </w:r>
          </w:p>
        </w:tc>
        <w:tc>
          <w:tcPr>
            <w:tcW w:w="1326" w:type="dxa"/>
            <w:tcBorders>
              <w:top w:val="single" w:sz="4" w:space="0" w:color="auto"/>
              <w:left w:val="single" w:sz="4" w:space="0" w:color="auto"/>
              <w:bottom w:val="single" w:sz="4" w:space="0" w:color="auto"/>
              <w:right w:val="single" w:sz="4" w:space="0" w:color="auto"/>
            </w:tcBorders>
            <w:noWrap/>
            <w:hideMark/>
          </w:tcPr>
          <w:p w14:paraId="0E1637B4" w14:textId="77777777" w:rsidR="00670BA2" w:rsidRDefault="00670BA2">
            <w:pPr>
              <w:rPr>
                <w:rFonts w:ascii="Arial" w:hAnsi="Arial" w:cs="Arial"/>
                <w:b/>
                <w:bCs/>
                <w:sz w:val="18"/>
                <w:szCs w:val="18"/>
              </w:rPr>
            </w:pPr>
            <w:r>
              <w:rPr>
                <w:rFonts w:ascii="Arial" w:hAnsi="Arial" w:cs="Arial"/>
                <w:b/>
                <w:bCs/>
                <w:sz w:val="18"/>
                <w:szCs w:val="18"/>
              </w:rPr>
              <w:t>53.540,00</w:t>
            </w:r>
          </w:p>
        </w:tc>
      </w:tr>
      <w:tr w:rsidR="00670BA2" w14:paraId="5103D722"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717122B7" w14:textId="77777777" w:rsidR="00670BA2" w:rsidRDefault="00670BA2">
            <w:pPr>
              <w:rPr>
                <w:rFonts w:ascii="Arial" w:hAnsi="Arial" w:cs="Arial"/>
                <w:b/>
                <w:bCs/>
                <w:sz w:val="18"/>
                <w:szCs w:val="18"/>
                <w:lang w:eastAsia="en-US"/>
              </w:rPr>
            </w:pPr>
            <w:r>
              <w:rPr>
                <w:rFonts w:ascii="Arial" w:hAnsi="Arial" w:cs="Arial"/>
                <w:b/>
                <w:bCs/>
                <w:sz w:val="18"/>
                <w:szCs w:val="18"/>
              </w:rPr>
              <w:t>Izvor  1.1. PRIHODI IZ NADLEŽNOG PRORAČUNA</w:t>
            </w:r>
          </w:p>
        </w:tc>
        <w:tc>
          <w:tcPr>
            <w:tcW w:w="1335" w:type="dxa"/>
            <w:tcBorders>
              <w:top w:val="single" w:sz="4" w:space="0" w:color="auto"/>
              <w:left w:val="single" w:sz="4" w:space="0" w:color="auto"/>
              <w:bottom w:val="single" w:sz="4" w:space="0" w:color="auto"/>
              <w:right w:val="single" w:sz="4" w:space="0" w:color="auto"/>
            </w:tcBorders>
            <w:noWrap/>
            <w:hideMark/>
          </w:tcPr>
          <w:p w14:paraId="1C4DC7CF" w14:textId="77777777" w:rsidR="00670BA2" w:rsidRDefault="00670BA2">
            <w:pPr>
              <w:rPr>
                <w:rFonts w:ascii="Arial" w:hAnsi="Arial" w:cs="Arial"/>
                <w:b/>
                <w:bCs/>
                <w:sz w:val="18"/>
                <w:szCs w:val="18"/>
              </w:rPr>
            </w:pPr>
            <w:r>
              <w:rPr>
                <w:rFonts w:ascii="Arial" w:hAnsi="Arial" w:cs="Arial"/>
                <w:b/>
                <w:bCs/>
                <w:sz w:val="18"/>
                <w:szCs w:val="18"/>
              </w:rPr>
              <w:t>51.040,00</w:t>
            </w:r>
          </w:p>
        </w:tc>
        <w:tc>
          <w:tcPr>
            <w:tcW w:w="1505" w:type="dxa"/>
            <w:tcBorders>
              <w:top w:val="single" w:sz="4" w:space="0" w:color="auto"/>
              <w:left w:val="single" w:sz="4" w:space="0" w:color="auto"/>
              <w:bottom w:val="single" w:sz="4" w:space="0" w:color="auto"/>
              <w:right w:val="single" w:sz="4" w:space="0" w:color="auto"/>
            </w:tcBorders>
            <w:noWrap/>
            <w:hideMark/>
          </w:tcPr>
          <w:p w14:paraId="6EF71774" w14:textId="77777777" w:rsidR="00670BA2" w:rsidRDefault="00670BA2">
            <w:pPr>
              <w:rPr>
                <w:rFonts w:ascii="Arial" w:hAnsi="Arial" w:cs="Arial"/>
                <w:b/>
                <w:bCs/>
                <w:sz w:val="18"/>
                <w:szCs w:val="18"/>
              </w:rPr>
            </w:pPr>
            <w:r>
              <w:rPr>
                <w:rFonts w:ascii="Arial" w:hAnsi="Arial" w:cs="Arial"/>
                <w:b/>
                <w:bCs/>
                <w:sz w:val="18"/>
                <w:szCs w:val="18"/>
              </w:rPr>
              <w:t>2.500,00</w:t>
            </w:r>
          </w:p>
        </w:tc>
        <w:tc>
          <w:tcPr>
            <w:tcW w:w="1382" w:type="dxa"/>
            <w:tcBorders>
              <w:top w:val="single" w:sz="4" w:space="0" w:color="auto"/>
              <w:left w:val="single" w:sz="4" w:space="0" w:color="auto"/>
              <w:bottom w:val="single" w:sz="4" w:space="0" w:color="auto"/>
              <w:right w:val="single" w:sz="4" w:space="0" w:color="auto"/>
            </w:tcBorders>
            <w:noWrap/>
            <w:hideMark/>
          </w:tcPr>
          <w:p w14:paraId="184BB361" w14:textId="77777777" w:rsidR="00670BA2" w:rsidRDefault="00670BA2">
            <w:pPr>
              <w:rPr>
                <w:rFonts w:ascii="Arial" w:hAnsi="Arial" w:cs="Arial"/>
                <w:b/>
                <w:bCs/>
                <w:sz w:val="18"/>
                <w:szCs w:val="18"/>
              </w:rPr>
            </w:pPr>
            <w:r>
              <w:rPr>
                <w:rFonts w:ascii="Arial" w:hAnsi="Arial" w:cs="Arial"/>
                <w:b/>
                <w:bCs/>
                <w:sz w:val="18"/>
                <w:szCs w:val="18"/>
              </w:rPr>
              <w:t>4,90</w:t>
            </w:r>
          </w:p>
        </w:tc>
        <w:tc>
          <w:tcPr>
            <w:tcW w:w="1326" w:type="dxa"/>
            <w:tcBorders>
              <w:top w:val="single" w:sz="4" w:space="0" w:color="auto"/>
              <w:left w:val="single" w:sz="4" w:space="0" w:color="auto"/>
              <w:bottom w:val="single" w:sz="4" w:space="0" w:color="auto"/>
              <w:right w:val="single" w:sz="4" w:space="0" w:color="auto"/>
            </w:tcBorders>
            <w:noWrap/>
            <w:hideMark/>
          </w:tcPr>
          <w:p w14:paraId="2B2D5BFE" w14:textId="77777777" w:rsidR="00670BA2" w:rsidRDefault="00670BA2">
            <w:pPr>
              <w:rPr>
                <w:rFonts w:ascii="Arial" w:hAnsi="Arial" w:cs="Arial"/>
                <w:b/>
                <w:bCs/>
                <w:sz w:val="18"/>
                <w:szCs w:val="18"/>
              </w:rPr>
            </w:pPr>
            <w:r>
              <w:rPr>
                <w:rFonts w:ascii="Arial" w:hAnsi="Arial" w:cs="Arial"/>
                <w:b/>
                <w:bCs/>
                <w:sz w:val="18"/>
                <w:szCs w:val="18"/>
              </w:rPr>
              <w:t>53.540,00</w:t>
            </w:r>
          </w:p>
        </w:tc>
      </w:tr>
      <w:tr w:rsidR="00670BA2" w14:paraId="7D573735"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1B6107E0" w14:textId="77777777" w:rsidR="00670BA2" w:rsidRDefault="00670BA2">
            <w:pPr>
              <w:rPr>
                <w:rFonts w:ascii="Arial" w:hAnsi="Arial" w:cs="Arial"/>
                <w:b/>
                <w:bCs/>
                <w:sz w:val="18"/>
                <w:szCs w:val="18"/>
                <w:lang w:eastAsia="en-US"/>
              </w:rPr>
            </w:pPr>
            <w:r>
              <w:rPr>
                <w:rFonts w:ascii="Arial" w:hAnsi="Arial" w:cs="Arial"/>
                <w:b/>
                <w:bCs/>
                <w:sz w:val="18"/>
                <w:szCs w:val="18"/>
              </w:rPr>
              <w:t>Izvor  3. VLASTITI PRIHODI</w:t>
            </w:r>
          </w:p>
        </w:tc>
        <w:tc>
          <w:tcPr>
            <w:tcW w:w="1335" w:type="dxa"/>
            <w:tcBorders>
              <w:top w:val="single" w:sz="4" w:space="0" w:color="auto"/>
              <w:left w:val="single" w:sz="4" w:space="0" w:color="auto"/>
              <w:bottom w:val="single" w:sz="4" w:space="0" w:color="auto"/>
              <w:right w:val="single" w:sz="4" w:space="0" w:color="auto"/>
            </w:tcBorders>
            <w:noWrap/>
            <w:hideMark/>
          </w:tcPr>
          <w:p w14:paraId="7477CBA7" w14:textId="77777777" w:rsidR="00670BA2" w:rsidRDefault="00670BA2">
            <w:pPr>
              <w:rPr>
                <w:rFonts w:ascii="Arial" w:hAnsi="Arial" w:cs="Arial"/>
                <w:b/>
                <w:bCs/>
                <w:sz w:val="18"/>
                <w:szCs w:val="18"/>
              </w:rPr>
            </w:pPr>
            <w:r>
              <w:rPr>
                <w:rFonts w:ascii="Arial" w:hAnsi="Arial" w:cs="Arial"/>
                <w:b/>
                <w:bCs/>
                <w:sz w:val="18"/>
                <w:szCs w:val="18"/>
              </w:rPr>
              <w:t>5.100,00</w:t>
            </w:r>
          </w:p>
        </w:tc>
        <w:tc>
          <w:tcPr>
            <w:tcW w:w="1505" w:type="dxa"/>
            <w:tcBorders>
              <w:top w:val="single" w:sz="4" w:space="0" w:color="auto"/>
              <w:left w:val="single" w:sz="4" w:space="0" w:color="auto"/>
              <w:bottom w:val="single" w:sz="4" w:space="0" w:color="auto"/>
              <w:right w:val="single" w:sz="4" w:space="0" w:color="auto"/>
            </w:tcBorders>
            <w:noWrap/>
            <w:hideMark/>
          </w:tcPr>
          <w:p w14:paraId="32CCB71C" w14:textId="77777777" w:rsidR="00670BA2" w:rsidRDefault="00670BA2">
            <w:pPr>
              <w:rPr>
                <w:rFonts w:ascii="Arial" w:hAnsi="Arial" w:cs="Arial"/>
                <w:b/>
                <w:bCs/>
                <w:sz w:val="18"/>
                <w:szCs w:val="18"/>
              </w:rPr>
            </w:pPr>
            <w:r>
              <w:rPr>
                <w:rFonts w:ascii="Arial" w:hAnsi="Arial" w:cs="Arial"/>
                <w:b/>
                <w:bCs/>
                <w:sz w:val="18"/>
                <w:szCs w:val="18"/>
              </w:rPr>
              <w:t>1.765,00</w:t>
            </w:r>
          </w:p>
        </w:tc>
        <w:tc>
          <w:tcPr>
            <w:tcW w:w="1382" w:type="dxa"/>
            <w:tcBorders>
              <w:top w:val="single" w:sz="4" w:space="0" w:color="auto"/>
              <w:left w:val="single" w:sz="4" w:space="0" w:color="auto"/>
              <w:bottom w:val="single" w:sz="4" w:space="0" w:color="auto"/>
              <w:right w:val="single" w:sz="4" w:space="0" w:color="auto"/>
            </w:tcBorders>
            <w:noWrap/>
            <w:hideMark/>
          </w:tcPr>
          <w:p w14:paraId="7299874F" w14:textId="77777777" w:rsidR="00670BA2" w:rsidRDefault="00670BA2">
            <w:pPr>
              <w:rPr>
                <w:rFonts w:ascii="Arial" w:hAnsi="Arial" w:cs="Arial"/>
                <w:b/>
                <w:bCs/>
                <w:sz w:val="18"/>
                <w:szCs w:val="18"/>
              </w:rPr>
            </w:pPr>
            <w:r>
              <w:rPr>
                <w:rFonts w:ascii="Arial" w:hAnsi="Arial" w:cs="Arial"/>
                <w:b/>
                <w:bCs/>
                <w:sz w:val="18"/>
                <w:szCs w:val="18"/>
              </w:rPr>
              <w:t>34,61</w:t>
            </w:r>
          </w:p>
        </w:tc>
        <w:tc>
          <w:tcPr>
            <w:tcW w:w="1326" w:type="dxa"/>
            <w:tcBorders>
              <w:top w:val="single" w:sz="4" w:space="0" w:color="auto"/>
              <w:left w:val="single" w:sz="4" w:space="0" w:color="auto"/>
              <w:bottom w:val="single" w:sz="4" w:space="0" w:color="auto"/>
              <w:right w:val="single" w:sz="4" w:space="0" w:color="auto"/>
            </w:tcBorders>
            <w:noWrap/>
            <w:hideMark/>
          </w:tcPr>
          <w:p w14:paraId="06E8CF40" w14:textId="77777777" w:rsidR="00670BA2" w:rsidRDefault="00670BA2">
            <w:pPr>
              <w:rPr>
                <w:rFonts w:ascii="Arial" w:hAnsi="Arial" w:cs="Arial"/>
                <w:b/>
                <w:bCs/>
                <w:sz w:val="18"/>
                <w:szCs w:val="18"/>
              </w:rPr>
            </w:pPr>
            <w:r>
              <w:rPr>
                <w:rFonts w:ascii="Arial" w:hAnsi="Arial" w:cs="Arial"/>
                <w:b/>
                <w:bCs/>
                <w:sz w:val="18"/>
                <w:szCs w:val="18"/>
              </w:rPr>
              <w:t>6.865,00</w:t>
            </w:r>
          </w:p>
        </w:tc>
      </w:tr>
      <w:tr w:rsidR="00670BA2" w14:paraId="7D78F697"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15EDEE68" w14:textId="77777777" w:rsidR="00670BA2" w:rsidRDefault="00670BA2">
            <w:pPr>
              <w:rPr>
                <w:rFonts w:ascii="Arial" w:hAnsi="Arial" w:cs="Arial"/>
                <w:b/>
                <w:bCs/>
                <w:sz w:val="18"/>
                <w:szCs w:val="18"/>
                <w:lang w:eastAsia="en-US"/>
              </w:rPr>
            </w:pPr>
            <w:r>
              <w:rPr>
                <w:rFonts w:ascii="Arial" w:hAnsi="Arial" w:cs="Arial"/>
                <w:b/>
                <w:bCs/>
                <w:sz w:val="18"/>
                <w:szCs w:val="18"/>
              </w:rPr>
              <w:t>Izvor  3.9. VLASTITI PRIHODI</w:t>
            </w:r>
          </w:p>
        </w:tc>
        <w:tc>
          <w:tcPr>
            <w:tcW w:w="1335" w:type="dxa"/>
            <w:tcBorders>
              <w:top w:val="single" w:sz="4" w:space="0" w:color="auto"/>
              <w:left w:val="single" w:sz="4" w:space="0" w:color="auto"/>
              <w:bottom w:val="single" w:sz="4" w:space="0" w:color="auto"/>
              <w:right w:val="single" w:sz="4" w:space="0" w:color="auto"/>
            </w:tcBorders>
            <w:noWrap/>
            <w:hideMark/>
          </w:tcPr>
          <w:p w14:paraId="63DFD2E3" w14:textId="77777777" w:rsidR="00670BA2" w:rsidRDefault="00670BA2">
            <w:pPr>
              <w:rPr>
                <w:rFonts w:ascii="Arial" w:hAnsi="Arial" w:cs="Arial"/>
                <w:b/>
                <w:bCs/>
                <w:sz w:val="18"/>
                <w:szCs w:val="18"/>
              </w:rPr>
            </w:pPr>
            <w:r>
              <w:rPr>
                <w:rFonts w:ascii="Arial" w:hAnsi="Arial" w:cs="Arial"/>
                <w:b/>
                <w:bCs/>
                <w:sz w:val="18"/>
                <w:szCs w:val="18"/>
              </w:rPr>
              <w:t>5.100,00</w:t>
            </w:r>
          </w:p>
        </w:tc>
        <w:tc>
          <w:tcPr>
            <w:tcW w:w="1505" w:type="dxa"/>
            <w:tcBorders>
              <w:top w:val="single" w:sz="4" w:space="0" w:color="auto"/>
              <w:left w:val="single" w:sz="4" w:space="0" w:color="auto"/>
              <w:bottom w:val="single" w:sz="4" w:space="0" w:color="auto"/>
              <w:right w:val="single" w:sz="4" w:space="0" w:color="auto"/>
            </w:tcBorders>
            <w:noWrap/>
            <w:hideMark/>
          </w:tcPr>
          <w:p w14:paraId="1CAA36C4" w14:textId="77777777" w:rsidR="00670BA2" w:rsidRDefault="00670BA2">
            <w:pPr>
              <w:rPr>
                <w:rFonts w:ascii="Arial" w:hAnsi="Arial" w:cs="Arial"/>
                <w:b/>
                <w:bCs/>
                <w:sz w:val="18"/>
                <w:szCs w:val="18"/>
              </w:rPr>
            </w:pPr>
            <w:r>
              <w:rPr>
                <w:rFonts w:ascii="Arial" w:hAnsi="Arial" w:cs="Arial"/>
                <w:b/>
                <w:bCs/>
                <w:sz w:val="18"/>
                <w:szCs w:val="18"/>
              </w:rPr>
              <w:t>1.765,00</w:t>
            </w:r>
          </w:p>
        </w:tc>
        <w:tc>
          <w:tcPr>
            <w:tcW w:w="1382" w:type="dxa"/>
            <w:tcBorders>
              <w:top w:val="single" w:sz="4" w:space="0" w:color="auto"/>
              <w:left w:val="single" w:sz="4" w:space="0" w:color="auto"/>
              <w:bottom w:val="single" w:sz="4" w:space="0" w:color="auto"/>
              <w:right w:val="single" w:sz="4" w:space="0" w:color="auto"/>
            </w:tcBorders>
            <w:noWrap/>
            <w:hideMark/>
          </w:tcPr>
          <w:p w14:paraId="4903D10C" w14:textId="77777777" w:rsidR="00670BA2" w:rsidRDefault="00670BA2">
            <w:pPr>
              <w:rPr>
                <w:rFonts w:ascii="Arial" w:hAnsi="Arial" w:cs="Arial"/>
                <w:b/>
                <w:bCs/>
                <w:sz w:val="18"/>
                <w:szCs w:val="18"/>
              </w:rPr>
            </w:pPr>
            <w:r>
              <w:rPr>
                <w:rFonts w:ascii="Arial" w:hAnsi="Arial" w:cs="Arial"/>
                <w:b/>
                <w:bCs/>
                <w:sz w:val="18"/>
                <w:szCs w:val="18"/>
              </w:rPr>
              <w:t>34,61</w:t>
            </w:r>
          </w:p>
        </w:tc>
        <w:tc>
          <w:tcPr>
            <w:tcW w:w="1326" w:type="dxa"/>
            <w:tcBorders>
              <w:top w:val="single" w:sz="4" w:space="0" w:color="auto"/>
              <w:left w:val="single" w:sz="4" w:space="0" w:color="auto"/>
              <w:bottom w:val="single" w:sz="4" w:space="0" w:color="auto"/>
              <w:right w:val="single" w:sz="4" w:space="0" w:color="auto"/>
            </w:tcBorders>
            <w:noWrap/>
            <w:hideMark/>
          </w:tcPr>
          <w:p w14:paraId="32779D04" w14:textId="77777777" w:rsidR="00670BA2" w:rsidRDefault="00670BA2">
            <w:pPr>
              <w:rPr>
                <w:rFonts w:ascii="Arial" w:hAnsi="Arial" w:cs="Arial"/>
                <w:b/>
                <w:bCs/>
                <w:sz w:val="18"/>
                <w:szCs w:val="18"/>
              </w:rPr>
            </w:pPr>
            <w:r>
              <w:rPr>
                <w:rFonts w:ascii="Arial" w:hAnsi="Arial" w:cs="Arial"/>
                <w:b/>
                <w:bCs/>
                <w:sz w:val="18"/>
                <w:szCs w:val="18"/>
              </w:rPr>
              <w:t>6.865,00</w:t>
            </w:r>
          </w:p>
        </w:tc>
      </w:tr>
      <w:tr w:rsidR="00670BA2" w14:paraId="767ECBA7"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2498FE29" w14:textId="77777777" w:rsidR="00670BA2" w:rsidRDefault="00670BA2">
            <w:pPr>
              <w:rPr>
                <w:rFonts w:ascii="Arial" w:hAnsi="Arial" w:cs="Arial"/>
                <w:b/>
                <w:bCs/>
                <w:sz w:val="18"/>
                <w:szCs w:val="18"/>
                <w:lang w:eastAsia="en-US"/>
              </w:rPr>
            </w:pPr>
            <w:r>
              <w:rPr>
                <w:rFonts w:ascii="Arial" w:hAnsi="Arial" w:cs="Arial"/>
                <w:b/>
                <w:bCs/>
                <w:sz w:val="18"/>
                <w:szCs w:val="18"/>
              </w:rPr>
              <w:t>Izvor  4. PRIHODI ZA POSEBNE NAMJENE</w:t>
            </w:r>
          </w:p>
        </w:tc>
        <w:tc>
          <w:tcPr>
            <w:tcW w:w="1335" w:type="dxa"/>
            <w:tcBorders>
              <w:top w:val="single" w:sz="4" w:space="0" w:color="auto"/>
              <w:left w:val="single" w:sz="4" w:space="0" w:color="auto"/>
              <w:bottom w:val="single" w:sz="4" w:space="0" w:color="auto"/>
              <w:right w:val="single" w:sz="4" w:space="0" w:color="auto"/>
            </w:tcBorders>
            <w:noWrap/>
            <w:hideMark/>
          </w:tcPr>
          <w:p w14:paraId="1C5B35C0" w14:textId="77777777" w:rsidR="00670BA2" w:rsidRDefault="00670BA2">
            <w:pPr>
              <w:rPr>
                <w:rFonts w:ascii="Arial" w:hAnsi="Arial" w:cs="Arial"/>
                <w:b/>
                <w:bCs/>
                <w:sz w:val="18"/>
                <w:szCs w:val="18"/>
              </w:rPr>
            </w:pPr>
            <w:r>
              <w:rPr>
                <w:rFonts w:ascii="Arial" w:hAnsi="Arial" w:cs="Arial"/>
                <w:b/>
                <w:bCs/>
                <w:sz w:val="18"/>
                <w:szCs w:val="18"/>
              </w:rPr>
              <w:t>2.540,00</w:t>
            </w:r>
          </w:p>
        </w:tc>
        <w:tc>
          <w:tcPr>
            <w:tcW w:w="1505" w:type="dxa"/>
            <w:tcBorders>
              <w:top w:val="single" w:sz="4" w:space="0" w:color="auto"/>
              <w:left w:val="single" w:sz="4" w:space="0" w:color="auto"/>
              <w:bottom w:val="single" w:sz="4" w:space="0" w:color="auto"/>
              <w:right w:val="single" w:sz="4" w:space="0" w:color="auto"/>
            </w:tcBorders>
            <w:noWrap/>
            <w:hideMark/>
          </w:tcPr>
          <w:p w14:paraId="7229CBD5" w14:textId="77777777" w:rsidR="00670BA2" w:rsidRDefault="00670BA2">
            <w:pPr>
              <w:rPr>
                <w:rFonts w:ascii="Arial" w:hAnsi="Arial" w:cs="Arial"/>
                <w:b/>
                <w:bCs/>
                <w:sz w:val="18"/>
                <w:szCs w:val="18"/>
              </w:rPr>
            </w:pPr>
            <w:r>
              <w:rPr>
                <w:rFonts w:ascii="Arial" w:hAnsi="Arial" w:cs="Arial"/>
                <w:b/>
                <w:bCs/>
                <w:sz w:val="18"/>
                <w:szCs w:val="18"/>
              </w:rPr>
              <w:t>0,00</w:t>
            </w:r>
          </w:p>
        </w:tc>
        <w:tc>
          <w:tcPr>
            <w:tcW w:w="1382" w:type="dxa"/>
            <w:tcBorders>
              <w:top w:val="single" w:sz="4" w:space="0" w:color="auto"/>
              <w:left w:val="single" w:sz="4" w:space="0" w:color="auto"/>
              <w:bottom w:val="single" w:sz="4" w:space="0" w:color="auto"/>
              <w:right w:val="single" w:sz="4" w:space="0" w:color="auto"/>
            </w:tcBorders>
            <w:noWrap/>
            <w:hideMark/>
          </w:tcPr>
          <w:p w14:paraId="487D965A" w14:textId="77777777" w:rsidR="00670BA2" w:rsidRDefault="00670BA2">
            <w:pPr>
              <w:rPr>
                <w:rFonts w:ascii="Arial" w:hAnsi="Arial" w:cs="Arial"/>
                <w:b/>
                <w:bCs/>
                <w:sz w:val="18"/>
                <w:szCs w:val="18"/>
              </w:rPr>
            </w:pPr>
            <w:r>
              <w:rPr>
                <w:rFonts w:ascii="Arial" w:hAnsi="Arial" w:cs="Arial"/>
                <w:b/>
                <w:bCs/>
                <w:sz w:val="18"/>
                <w:szCs w:val="18"/>
              </w:rPr>
              <w:t>0,00</w:t>
            </w:r>
          </w:p>
        </w:tc>
        <w:tc>
          <w:tcPr>
            <w:tcW w:w="1326" w:type="dxa"/>
            <w:tcBorders>
              <w:top w:val="single" w:sz="4" w:space="0" w:color="auto"/>
              <w:left w:val="single" w:sz="4" w:space="0" w:color="auto"/>
              <w:bottom w:val="single" w:sz="4" w:space="0" w:color="auto"/>
              <w:right w:val="single" w:sz="4" w:space="0" w:color="auto"/>
            </w:tcBorders>
            <w:noWrap/>
            <w:hideMark/>
          </w:tcPr>
          <w:p w14:paraId="14FDCACC" w14:textId="77777777" w:rsidR="00670BA2" w:rsidRDefault="00670BA2">
            <w:pPr>
              <w:rPr>
                <w:rFonts w:ascii="Arial" w:hAnsi="Arial" w:cs="Arial"/>
                <w:b/>
                <w:bCs/>
                <w:sz w:val="18"/>
                <w:szCs w:val="18"/>
              </w:rPr>
            </w:pPr>
            <w:r>
              <w:rPr>
                <w:rFonts w:ascii="Arial" w:hAnsi="Arial" w:cs="Arial"/>
                <w:b/>
                <w:bCs/>
                <w:sz w:val="18"/>
                <w:szCs w:val="18"/>
              </w:rPr>
              <w:t>2.540,00</w:t>
            </w:r>
          </w:p>
        </w:tc>
      </w:tr>
      <w:tr w:rsidR="00670BA2" w14:paraId="0FB2FAF4"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7957AFEA" w14:textId="77777777" w:rsidR="00670BA2" w:rsidRDefault="00670BA2">
            <w:pPr>
              <w:rPr>
                <w:rFonts w:ascii="Arial" w:hAnsi="Arial" w:cs="Arial"/>
                <w:b/>
                <w:bCs/>
                <w:sz w:val="18"/>
                <w:szCs w:val="18"/>
                <w:lang w:eastAsia="en-US"/>
              </w:rPr>
            </w:pPr>
            <w:r>
              <w:rPr>
                <w:rFonts w:ascii="Arial" w:hAnsi="Arial" w:cs="Arial"/>
                <w:b/>
                <w:bCs/>
                <w:sz w:val="18"/>
                <w:szCs w:val="18"/>
              </w:rPr>
              <w:t>Izvor  4.9. PRIHODI ZA POSEBNE NAMJENE</w:t>
            </w:r>
          </w:p>
        </w:tc>
        <w:tc>
          <w:tcPr>
            <w:tcW w:w="1335" w:type="dxa"/>
            <w:tcBorders>
              <w:top w:val="single" w:sz="4" w:space="0" w:color="auto"/>
              <w:left w:val="single" w:sz="4" w:space="0" w:color="auto"/>
              <w:bottom w:val="single" w:sz="4" w:space="0" w:color="auto"/>
              <w:right w:val="single" w:sz="4" w:space="0" w:color="auto"/>
            </w:tcBorders>
            <w:noWrap/>
            <w:hideMark/>
          </w:tcPr>
          <w:p w14:paraId="340493BA" w14:textId="77777777" w:rsidR="00670BA2" w:rsidRDefault="00670BA2">
            <w:pPr>
              <w:rPr>
                <w:rFonts w:ascii="Arial" w:hAnsi="Arial" w:cs="Arial"/>
                <w:b/>
                <w:bCs/>
                <w:sz w:val="18"/>
                <w:szCs w:val="18"/>
              </w:rPr>
            </w:pPr>
            <w:r>
              <w:rPr>
                <w:rFonts w:ascii="Arial" w:hAnsi="Arial" w:cs="Arial"/>
                <w:b/>
                <w:bCs/>
                <w:sz w:val="18"/>
                <w:szCs w:val="18"/>
              </w:rPr>
              <w:t>2.540,00</w:t>
            </w:r>
          </w:p>
        </w:tc>
        <w:tc>
          <w:tcPr>
            <w:tcW w:w="1505" w:type="dxa"/>
            <w:tcBorders>
              <w:top w:val="single" w:sz="4" w:space="0" w:color="auto"/>
              <w:left w:val="single" w:sz="4" w:space="0" w:color="auto"/>
              <w:bottom w:val="single" w:sz="4" w:space="0" w:color="auto"/>
              <w:right w:val="single" w:sz="4" w:space="0" w:color="auto"/>
            </w:tcBorders>
            <w:noWrap/>
            <w:hideMark/>
          </w:tcPr>
          <w:p w14:paraId="2EA419D1" w14:textId="77777777" w:rsidR="00670BA2" w:rsidRDefault="00670BA2">
            <w:pPr>
              <w:rPr>
                <w:rFonts w:ascii="Arial" w:hAnsi="Arial" w:cs="Arial"/>
                <w:b/>
                <w:bCs/>
                <w:sz w:val="18"/>
                <w:szCs w:val="18"/>
              </w:rPr>
            </w:pPr>
            <w:r>
              <w:rPr>
                <w:rFonts w:ascii="Arial" w:hAnsi="Arial" w:cs="Arial"/>
                <w:b/>
                <w:bCs/>
                <w:sz w:val="18"/>
                <w:szCs w:val="18"/>
              </w:rPr>
              <w:t>0,00</w:t>
            </w:r>
          </w:p>
        </w:tc>
        <w:tc>
          <w:tcPr>
            <w:tcW w:w="1382" w:type="dxa"/>
            <w:tcBorders>
              <w:top w:val="single" w:sz="4" w:space="0" w:color="auto"/>
              <w:left w:val="single" w:sz="4" w:space="0" w:color="auto"/>
              <w:bottom w:val="single" w:sz="4" w:space="0" w:color="auto"/>
              <w:right w:val="single" w:sz="4" w:space="0" w:color="auto"/>
            </w:tcBorders>
            <w:noWrap/>
            <w:hideMark/>
          </w:tcPr>
          <w:p w14:paraId="687F3932" w14:textId="77777777" w:rsidR="00670BA2" w:rsidRDefault="00670BA2">
            <w:pPr>
              <w:rPr>
                <w:rFonts w:ascii="Arial" w:hAnsi="Arial" w:cs="Arial"/>
                <w:b/>
                <w:bCs/>
                <w:sz w:val="18"/>
                <w:szCs w:val="18"/>
              </w:rPr>
            </w:pPr>
            <w:r>
              <w:rPr>
                <w:rFonts w:ascii="Arial" w:hAnsi="Arial" w:cs="Arial"/>
                <w:b/>
                <w:bCs/>
                <w:sz w:val="18"/>
                <w:szCs w:val="18"/>
              </w:rPr>
              <w:t>0,00</w:t>
            </w:r>
          </w:p>
        </w:tc>
        <w:tc>
          <w:tcPr>
            <w:tcW w:w="1326" w:type="dxa"/>
            <w:tcBorders>
              <w:top w:val="single" w:sz="4" w:space="0" w:color="auto"/>
              <w:left w:val="single" w:sz="4" w:space="0" w:color="auto"/>
              <w:bottom w:val="single" w:sz="4" w:space="0" w:color="auto"/>
              <w:right w:val="single" w:sz="4" w:space="0" w:color="auto"/>
            </w:tcBorders>
            <w:noWrap/>
            <w:hideMark/>
          </w:tcPr>
          <w:p w14:paraId="73C21DEF" w14:textId="77777777" w:rsidR="00670BA2" w:rsidRDefault="00670BA2">
            <w:pPr>
              <w:rPr>
                <w:rFonts w:ascii="Arial" w:hAnsi="Arial" w:cs="Arial"/>
                <w:b/>
                <w:bCs/>
                <w:sz w:val="18"/>
                <w:szCs w:val="18"/>
              </w:rPr>
            </w:pPr>
            <w:r>
              <w:rPr>
                <w:rFonts w:ascii="Arial" w:hAnsi="Arial" w:cs="Arial"/>
                <w:b/>
                <w:bCs/>
                <w:sz w:val="18"/>
                <w:szCs w:val="18"/>
              </w:rPr>
              <w:t>2.540,00</w:t>
            </w:r>
          </w:p>
        </w:tc>
      </w:tr>
      <w:tr w:rsidR="00670BA2" w14:paraId="178189C4"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60521285" w14:textId="77777777" w:rsidR="00670BA2" w:rsidRDefault="00670BA2">
            <w:pPr>
              <w:rPr>
                <w:rFonts w:ascii="Arial" w:hAnsi="Arial" w:cs="Arial"/>
                <w:b/>
                <w:bCs/>
                <w:sz w:val="18"/>
                <w:szCs w:val="18"/>
                <w:lang w:eastAsia="en-US"/>
              </w:rPr>
            </w:pPr>
            <w:r>
              <w:rPr>
                <w:rFonts w:ascii="Arial" w:hAnsi="Arial" w:cs="Arial"/>
                <w:b/>
                <w:bCs/>
                <w:sz w:val="18"/>
                <w:szCs w:val="18"/>
              </w:rPr>
              <w:t>Izvor  5. POMOĆI</w:t>
            </w:r>
          </w:p>
        </w:tc>
        <w:tc>
          <w:tcPr>
            <w:tcW w:w="1335" w:type="dxa"/>
            <w:tcBorders>
              <w:top w:val="single" w:sz="4" w:space="0" w:color="auto"/>
              <w:left w:val="single" w:sz="4" w:space="0" w:color="auto"/>
              <w:bottom w:val="single" w:sz="4" w:space="0" w:color="auto"/>
              <w:right w:val="single" w:sz="4" w:space="0" w:color="auto"/>
            </w:tcBorders>
            <w:noWrap/>
            <w:hideMark/>
          </w:tcPr>
          <w:p w14:paraId="479D54C7" w14:textId="77777777" w:rsidR="00670BA2" w:rsidRDefault="00670BA2">
            <w:pPr>
              <w:rPr>
                <w:rFonts w:ascii="Arial" w:hAnsi="Arial" w:cs="Arial"/>
                <w:b/>
                <w:bCs/>
                <w:sz w:val="18"/>
                <w:szCs w:val="18"/>
              </w:rPr>
            </w:pPr>
            <w:r>
              <w:rPr>
                <w:rFonts w:ascii="Arial" w:hAnsi="Arial" w:cs="Arial"/>
                <w:b/>
                <w:bCs/>
                <w:sz w:val="18"/>
                <w:szCs w:val="18"/>
              </w:rPr>
              <w:t>602.640,00</w:t>
            </w:r>
          </w:p>
        </w:tc>
        <w:tc>
          <w:tcPr>
            <w:tcW w:w="1505" w:type="dxa"/>
            <w:tcBorders>
              <w:top w:val="single" w:sz="4" w:space="0" w:color="auto"/>
              <w:left w:val="single" w:sz="4" w:space="0" w:color="auto"/>
              <w:bottom w:val="single" w:sz="4" w:space="0" w:color="auto"/>
              <w:right w:val="single" w:sz="4" w:space="0" w:color="auto"/>
            </w:tcBorders>
            <w:noWrap/>
            <w:hideMark/>
          </w:tcPr>
          <w:p w14:paraId="79CA35AC" w14:textId="77777777" w:rsidR="00670BA2" w:rsidRDefault="00670BA2">
            <w:pPr>
              <w:rPr>
                <w:rFonts w:ascii="Arial" w:hAnsi="Arial" w:cs="Arial"/>
                <w:b/>
                <w:bCs/>
                <w:sz w:val="18"/>
                <w:szCs w:val="18"/>
              </w:rPr>
            </w:pPr>
            <w:r>
              <w:rPr>
                <w:rFonts w:ascii="Arial" w:hAnsi="Arial" w:cs="Arial"/>
                <w:b/>
                <w:bCs/>
                <w:sz w:val="18"/>
                <w:szCs w:val="18"/>
              </w:rPr>
              <w:t>32.567,00</w:t>
            </w:r>
          </w:p>
        </w:tc>
        <w:tc>
          <w:tcPr>
            <w:tcW w:w="1382" w:type="dxa"/>
            <w:tcBorders>
              <w:top w:val="single" w:sz="4" w:space="0" w:color="auto"/>
              <w:left w:val="single" w:sz="4" w:space="0" w:color="auto"/>
              <w:bottom w:val="single" w:sz="4" w:space="0" w:color="auto"/>
              <w:right w:val="single" w:sz="4" w:space="0" w:color="auto"/>
            </w:tcBorders>
            <w:noWrap/>
            <w:hideMark/>
          </w:tcPr>
          <w:p w14:paraId="5D7A1074" w14:textId="77777777" w:rsidR="00670BA2" w:rsidRDefault="00670BA2">
            <w:pPr>
              <w:rPr>
                <w:rFonts w:ascii="Arial" w:hAnsi="Arial" w:cs="Arial"/>
                <w:b/>
                <w:bCs/>
                <w:sz w:val="18"/>
                <w:szCs w:val="18"/>
              </w:rPr>
            </w:pPr>
            <w:r>
              <w:rPr>
                <w:rFonts w:ascii="Arial" w:hAnsi="Arial" w:cs="Arial"/>
                <w:b/>
                <w:bCs/>
                <w:sz w:val="18"/>
                <w:szCs w:val="18"/>
              </w:rPr>
              <w:t>5,40</w:t>
            </w:r>
          </w:p>
        </w:tc>
        <w:tc>
          <w:tcPr>
            <w:tcW w:w="1326" w:type="dxa"/>
            <w:tcBorders>
              <w:top w:val="single" w:sz="4" w:space="0" w:color="auto"/>
              <w:left w:val="single" w:sz="4" w:space="0" w:color="auto"/>
              <w:bottom w:val="single" w:sz="4" w:space="0" w:color="auto"/>
              <w:right w:val="single" w:sz="4" w:space="0" w:color="auto"/>
            </w:tcBorders>
            <w:noWrap/>
            <w:hideMark/>
          </w:tcPr>
          <w:p w14:paraId="2ED60D7B" w14:textId="77777777" w:rsidR="00670BA2" w:rsidRDefault="00670BA2">
            <w:pPr>
              <w:rPr>
                <w:rFonts w:ascii="Arial" w:hAnsi="Arial" w:cs="Arial"/>
                <w:b/>
                <w:bCs/>
                <w:sz w:val="18"/>
                <w:szCs w:val="18"/>
              </w:rPr>
            </w:pPr>
            <w:r>
              <w:rPr>
                <w:rFonts w:ascii="Arial" w:hAnsi="Arial" w:cs="Arial"/>
                <w:b/>
                <w:bCs/>
                <w:sz w:val="18"/>
                <w:szCs w:val="18"/>
              </w:rPr>
              <w:t>635.207,00</w:t>
            </w:r>
          </w:p>
        </w:tc>
      </w:tr>
      <w:tr w:rsidR="00670BA2" w14:paraId="423A99A2"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5F8ED38E" w14:textId="77777777" w:rsidR="00670BA2" w:rsidRDefault="00670BA2">
            <w:pPr>
              <w:rPr>
                <w:rFonts w:ascii="Arial" w:hAnsi="Arial" w:cs="Arial"/>
                <w:b/>
                <w:bCs/>
                <w:sz w:val="18"/>
                <w:szCs w:val="18"/>
                <w:lang w:eastAsia="en-US"/>
              </w:rPr>
            </w:pPr>
            <w:r>
              <w:rPr>
                <w:rFonts w:ascii="Arial" w:hAnsi="Arial" w:cs="Arial"/>
                <w:b/>
                <w:bCs/>
                <w:sz w:val="18"/>
                <w:szCs w:val="18"/>
              </w:rPr>
              <w:t>Izvor  5.1. POMOĆI</w:t>
            </w:r>
          </w:p>
        </w:tc>
        <w:tc>
          <w:tcPr>
            <w:tcW w:w="1335" w:type="dxa"/>
            <w:tcBorders>
              <w:top w:val="single" w:sz="4" w:space="0" w:color="auto"/>
              <w:left w:val="single" w:sz="4" w:space="0" w:color="auto"/>
              <w:bottom w:val="single" w:sz="4" w:space="0" w:color="auto"/>
              <w:right w:val="single" w:sz="4" w:space="0" w:color="auto"/>
            </w:tcBorders>
            <w:noWrap/>
            <w:hideMark/>
          </w:tcPr>
          <w:p w14:paraId="0556E700" w14:textId="77777777" w:rsidR="00670BA2" w:rsidRDefault="00670BA2">
            <w:pPr>
              <w:rPr>
                <w:rFonts w:ascii="Arial" w:hAnsi="Arial" w:cs="Arial"/>
                <w:b/>
                <w:bCs/>
                <w:sz w:val="18"/>
                <w:szCs w:val="18"/>
              </w:rPr>
            </w:pPr>
            <w:r>
              <w:rPr>
                <w:rFonts w:ascii="Arial" w:hAnsi="Arial" w:cs="Arial"/>
                <w:b/>
                <w:bCs/>
                <w:sz w:val="18"/>
                <w:szCs w:val="18"/>
              </w:rPr>
              <w:t>31.000,00</w:t>
            </w:r>
          </w:p>
        </w:tc>
        <w:tc>
          <w:tcPr>
            <w:tcW w:w="1505" w:type="dxa"/>
            <w:tcBorders>
              <w:top w:val="single" w:sz="4" w:space="0" w:color="auto"/>
              <w:left w:val="single" w:sz="4" w:space="0" w:color="auto"/>
              <w:bottom w:val="single" w:sz="4" w:space="0" w:color="auto"/>
              <w:right w:val="single" w:sz="4" w:space="0" w:color="auto"/>
            </w:tcBorders>
            <w:noWrap/>
            <w:hideMark/>
          </w:tcPr>
          <w:p w14:paraId="71E89A80" w14:textId="77777777" w:rsidR="00670BA2" w:rsidRDefault="00670BA2">
            <w:pPr>
              <w:rPr>
                <w:rFonts w:ascii="Arial" w:hAnsi="Arial" w:cs="Arial"/>
                <w:b/>
                <w:bCs/>
                <w:sz w:val="18"/>
                <w:szCs w:val="18"/>
              </w:rPr>
            </w:pPr>
            <w:r>
              <w:rPr>
                <w:rFonts w:ascii="Arial" w:hAnsi="Arial" w:cs="Arial"/>
                <w:b/>
                <w:bCs/>
                <w:sz w:val="18"/>
                <w:szCs w:val="18"/>
              </w:rPr>
              <w:t>9.000,00</w:t>
            </w:r>
          </w:p>
        </w:tc>
        <w:tc>
          <w:tcPr>
            <w:tcW w:w="1382" w:type="dxa"/>
            <w:tcBorders>
              <w:top w:val="single" w:sz="4" w:space="0" w:color="auto"/>
              <w:left w:val="single" w:sz="4" w:space="0" w:color="auto"/>
              <w:bottom w:val="single" w:sz="4" w:space="0" w:color="auto"/>
              <w:right w:val="single" w:sz="4" w:space="0" w:color="auto"/>
            </w:tcBorders>
            <w:noWrap/>
            <w:hideMark/>
          </w:tcPr>
          <w:p w14:paraId="037C26DA" w14:textId="77777777" w:rsidR="00670BA2" w:rsidRDefault="00670BA2">
            <w:pPr>
              <w:rPr>
                <w:rFonts w:ascii="Arial" w:hAnsi="Arial" w:cs="Arial"/>
                <w:b/>
                <w:bCs/>
                <w:sz w:val="18"/>
                <w:szCs w:val="18"/>
              </w:rPr>
            </w:pPr>
            <w:r>
              <w:rPr>
                <w:rFonts w:ascii="Arial" w:hAnsi="Arial" w:cs="Arial"/>
                <w:b/>
                <w:bCs/>
                <w:sz w:val="18"/>
                <w:szCs w:val="18"/>
              </w:rPr>
              <w:t>29,03</w:t>
            </w:r>
          </w:p>
        </w:tc>
        <w:tc>
          <w:tcPr>
            <w:tcW w:w="1326" w:type="dxa"/>
            <w:tcBorders>
              <w:top w:val="single" w:sz="4" w:space="0" w:color="auto"/>
              <w:left w:val="single" w:sz="4" w:space="0" w:color="auto"/>
              <w:bottom w:val="single" w:sz="4" w:space="0" w:color="auto"/>
              <w:right w:val="single" w:sz="4" w:space="0" w:color="auto"/>
            </w:tcBorders>
            <w:noWrap/>
            <w:hideMark/>
          </w:tcPr>
          <w:p w14:paraId="4CEB2088" w14:textId="77777777" w:rsidR="00670BA2" w:rsidRDefault="00670BA2">
            <w:pPr>
              <w:rPr>
                <w:rFonts w:ascii="Arial" w:hAnsi="Arial" w:cs="Arial"/>
                <w:b/>
                <w:bCs/>
                <w:sz w:val="18"/>
                <w:szCs w:val="18"/>
              </w:rPr>
            </w:pPr>
            <w:r>
              <w:rPr>
                <w:rFonts w:ascii="Arial" w:hAnsi="Arial" w:cs="Arial"/>
                <w:b/>
                <w:bCs/>
                <w:sz w:val="18"/>
                <w:szCs w:val="18"/>
              </w:rPr>
              <w:t>40.000,00</w:t>
            </w:r>
          </w:p>
        </w:tc>
      </w:tr>
      <w:tr w:rsidR="00670BA2" w14:paraId="61DA9FCC"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5D24BA2F" w14:textId="77777777" w:rsidR="00670BA2" w:rsidRDefault="00670BA2">
            <w:pPr>
              <w:rPr>
                <w:rFonts w:ascii="Arial" w:hAnsi="Arial" w:cs="Arial"/>
                <w:b/>
                <w:bCs/>
                <w:sz w:val="18"/>
                <w:szCs w:val="18"/>
                <w:lang w:eastAsia="en-US"/>
              </w:rPr>
            </w:pPr>
            <w:r>
              <w:rPr>
                <w:rFonts w:ascii="Arial" w:hAnsi="Arial" w:cs="Arial"/>
                <w:b/>
                <w:bCs/>
                <w:sz w:val="18"/>
                <w:szCs w:val="18"/>
              </w:rPr>
              <w:t>Izvor  5.9. POMOĆI</w:t>
            </w:r>
          </w:p>
        </w:tc>
        <w:tc>
          <w:tcPr>
            <w:tcW w:w="1335" w:type="dxa"/>
            <w:tcBorders>
              <w:top w:val="single" w:sz="4" w:space="0" w:color="auto"/>
              <w:left w:val="single" w:sz="4" w:space="0" w:color="auto"/>
              <w:bottom w:val="single" w:sz="4" w:space="0" w:color="auto"/>
              <w:right w:val="single" w:sz="4" w:space="0" w:color="auto"/>
            </w:tcBorders>
            <w:noWrap/>
            <w:hideMark/>
          </w:tcPr>
          <w:p w14:paraId="65079136" w14:textId="77777777" w:rsidR="00670BA2" w:rsidRDefault="00670BA2">
            <w:pPr>
              <w:rPr>
                <w:rFonts w:ascii="Arial" w:hAnsi="Arial" w:cs="Arial"/>
                <w:b/>
                <w:bCs/>
                <w:sz w:val="18"/>
                <w:szCs w:val="18"/>
              </w:rPr>
            </w:pPr>
            <w:r>
              <w:rPr>
                <w:rFonts w:ascii="Arial" w:hAnsi="Arial" w:cs="Arial"/>
                <w:b/>
                <w:bCs/>
                <w:sz w:val="18"/>
                <w:szCs w:val="18"/>
              </w:rPr>
              <w:t>571.640,00</w:t>
            </w:r>
          </w:p>
        </w:tc>
        <w:tc>
          <w:tcPr>
            <w:tcW w:w="1505" w:type="dxa"/>
            <w:tcBorders>
              <w:top w:val="single" w:sz="4" w:space="0" w:color="auto"/>
              <w:left w:val="single" w:sz="4" w:space="0" w:color="auto"/>
              <w:bottom w:val="single" w:sz="4" w:space="0" w:color="auto"/>
              <w:right w:val="single" w:sz="4" w:space="0" w:color="auto"/>
            </w:tcBorders>
            <w:noWrap/>
            <w:hideMark/>
          </w:tcPr>
          <w:p w14:paraId="6E5AB349" w14:textId="77777777" w:rsidR="00670BA2" w:rsidRDefault="00670BA2">
            <w:pPr>
              <w:rPr>
                <w:rFonts w:ascii="Arial" w:hAnsi="Arial" w:cs="Arial"/>
                <w:b/>
                <w:bCs/>
                <w:sz w:val="18"/>
                <w:szCs w:val="18"/>
              </w:rPr>
            </w:pPr>
            <w:r>
              <w:rPr>
                <w:rFonts w:ascii="Arial" w:hAnsi="Arial" w:cs="Arial"/>
                <w:b/>
                <w:bCs/>
                <w:sz w:val="18"/>
                <w:szCs w:val="18"/>
              </w:rPr>
              <w:t>23.567,00</w:t>
            </w:r>
          </w:p>
        </w:tc>
        <w:tc>
          <w:tcPr>
            <w:tcW w:w="1382" w:type="dxa"/>
            <w:tcBorders>
              <w:top w:val="single" w:sz="4" w:space="0" w:color="auto"/>
              <w:left w:val="single" w:sz="4" w:space="0" w:color="auto"/>
              <w:bottom w:val="single" w:sz="4" w:space="0" w:color="auto"/>
              <w:right w:val="single" w:sz="4" w:space="0" w:color="auto"/>
            </w:tcBorders>
            <w:noWrap/>
            <w:hideMark/>
          </w:tcPr>
          <w:p w14:paraId="289CDC3A" w14:textId="77777777" w:rsidR="00670BA2" w:rsidRDefault="00670BA2">
            <w:pPr>
              <w:rPr>
                <w:rFonts w:ascii="Arial" w:hAnsi="Arial" w:cs="Arial"/>
                <w:b/>
                <w:bCs/>
                <w:sz w:val="18"/>
                <w:szCs w:val="18"/>
              </w:rPr>
            </w:pPr>
            <w:r>
              <w:rPr>
                <w:rFonts w:ascii="Arial" w:hAnsi="Arial" w:cs="Arial"/>
                <w:b/>
                <w:bCs/>
                <w:sz w:val="18"/>
                <w:szCs w:val="18"/>
              </w:rPr>
              <w:t>4,12</w:t>
            </w:r>
          </w:p>
        </w:tc>
        <w:tc>
          <w:tcPr>
            <w:tcW w:w="1326" w:type="dxa"/>
            <w:tcBorders>
              <w:top w:val="single" w:sz="4" w:space="0" w:color="auto"/>
              <w:left w:val="single" w:sz="4" w:space="0" w:color="auto"/>
              <w:bottom w:val="single" w:sz="4" w:space="0" w:color="auto"/>
              <w:right w:val="single" w:sz="4" w:space="0" w:color="auto"/>
            </w:tcBorders>
            <w:noWrap/>
            <w:hideMark/>
          </w:tcPr>
          <w:p w14:paraId="24B95558" w14:textId="77777777" w:rsidR="00670BA2" w:rsidRDefault="00670BA2">
            <w:pPr>
              <w:rPr>
                <w:rFonts w:ascii="Arial" w:hAnsi="Arial" w:cs="Arial"/>
                <w:b/>
                <w:bCs/>
                <w:sz w:val="18"/>
                <w:szCs w:val="18"/>
              </w:rPr>
            </w:pPr>
            <w:r>
              <w:rPr>
                <w:rFonts w:ascii="Arial" w:hAnsi="Arial" w:cs="Arial"/>
                <w:b/>
                <w:bCs/>
                <w:sz w:val="18"/>
                <w:szCs w:val="18"/>
              </w:rPr>
              <w:t>595.207,00</w:t>
            </w:r>
          </w:p>
        </w:tc>
      </w:tr>
      <w:tr w:rsidR="00670BA2" w14:paraId="2179A79E"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1B313B64" w14:textId="77777777" w:rsidR="00670BA2" w:rsidRDefault="00670BA2">
            <w:pPr>
              <w:rPr>
                <w:rFonts w:ascii="Arial" w:hAnsi="Arial" w:cs="Arial"/>
                <w:b/>
                <w:bCs/>
                <w:sz w:val="18"/>
                <w:szCs w:val="18"/>
                <w:lang w:eastAsia="en-US"/>
              </w:rPr>
            </w:pPr>
            <w:r>
              <w:rPr>
                <w:rFonts w:ascii="Arial" w:hAnsi="Arial" w:cs="Arial"/>
                <w:b/>
                <w:bCs/>
                <w:sz w:val="18"/>
                <w:szCs w:val="18"/>
              </w:rPr>
              <w:t>Izvor  6. DONACIJE</w:t>
            </w:r>
          </w:p>
        </w:tc>
        <w:tc>
          <w:tcPr>
            <w:tcW w:w="1335" w:type="dxa"/>
            <w:tcBorders>
              <w:top w:val="single" w:sz="4" w:space="0" w:color="auto"/>
              <w:left w:val="single" w:sz="4" w:space="0" w:color="auto"/>
              <w:bottom w:val="single" w:sz="4" w:space="0" w:color="auto"/>
              <w:right w:val="single" w:sz="4" w:space="0" w:color="auto"/>
            </w:tcBorders>
            <w:noWrap/>
            <w:hideMark/>
          </w:tcPr>
          <w:p w14:paraId="4AC01C7B" w14:textId="77777777" w:rsidR="00670BA2" w:rsidRDefault="00670BA2">
            <w:pPr>
              <w:rPr>
                <w:rFonts w:ascii="Arial" w:hAnsi="Arial" w:cs="Arial"/>
                <w:b/>
                <w:bCs/>
                <w:sz w:val="18"/>
                <w:szCs w:val="18"/>
              </w:rPr>
            </w:pPr>
            <w:r>
              <w:rPr>
                <w:rFonts w:ascii="Arial" w:hAnsi="Arial" w:cs="Arial"/>
                <w:b/>
                <w:bCs/>
                <w:sz w:val="18"/>
                <w:szCs w:val="18"/>
              </w:rPr>
              <w:t>2.700,00</w:t>
            </w:r>
          </w:p>
        </w:tc>
        <w:tc>
          <w:tcPr>
            <w:tcW w:w="1505" w:type="dxa"/>
            <w:tcBorders>
              <w:top w:val="single" w:sz="4" w:space="0" w:color="auto"/>
              <w:left w:val="single" w:sz="4" w:space="0" w:color="auto"/>
              <w:bottom w:val="single" w:sz="4" w:space="0" w:color="auto"/>
              <w:right w:val="single" w:sz="4" w:space="0" w:color="auto"/>
            </w:tcBorders>
            <w:noWrap/>
            <w:hideMark/>
          </w:tcPr>
          <w:p w14:paraId="47117A84" w14:textId="77777777" w:rsidR="00670BA2" w:rsidRDefault="00670BA2">
            <w:pPr>
              <w:rPr>
                <w:rFonts w:ascii="Arial" w:hAnsi="Arial" w:cs="Arial"/>
                <w:b/>
                <w:bCs/>
                <w:sz w:val="18"/>
                <w:szCs w:val="18"/>
              </w:rPr>
            </w:pPr>
            <w:r>
              <w:rPr>
                <w:rFonts w:ascii="Arial" w:hAnsi="Arial" w:cs="Arial"/>
                <w:b/>
                <w:bCs/>
                <w:sz w:val="18"/>
                <w:szCs w:val="18"/>
              </w:rPr>
              <w:t>22,00</w:t>
            </w:r>
          </w:p>
        </w:tc>
        <w:tc>
          <w:tcPr>
            <w:tcW w:w="1382" w:type="dxa"/>
            <w:tcBorders>
              <w:top w:val="single" w:sz="4" w:space="0" w:color="auto"/>
              <w:left w:val="single" w:sz="4" w:space="0" w:color="auto"/>
              <w:bottom w:val="single" w:sz="4" w:space="0" w:color="auto"/>
              <w:right w:val="single" w:sz="4" w:space="0" w:color="auto"/>
            </w:tcBorders>
            <w:noWrap/>
            <w:hideMark/>
          </w:tcPr>
          <w:p w14:paraId="04960002" w14:textId="77777777" w:rsidR="00670BA2" w:rsidRDefault="00670BA2">
            <w:pPr>
              <w:rPr>
                <w:rFonts w:ascii="Arial" w:hAnsi="Arial" w:cs="Arial"/>
                <w:b/>
                <w:bCs/>
                <w:sz w:val="18"/>
                <w:szCs w:val="18"/>
              </w:rPr>
            </w:pPr>
            <w:r>
              <w:rPr>
                <w:rFonts w:ascii="Arial" w:hAnsi="Arial" w:cs="Arial"/>
                <w:b/>
                <w:bCs/>
                <w:sz w:val="18"/>
                <w:szCs w:val="18"/>
              </w:rPr>
              <w:t>0,81</w:t>
            </w:r>
          </w:p>
        </w:tc>
        <w:tc>
          <w:tcPr>
            <w:tcW w:w="1326" w:type="dxa"/>
            <w:tcBorders>
              <w:top w:val="single" w:sz="4" w:space="0" w:color="auto"/>
              <w:left w:val="single" w:sz="4" w:space="0" w:color="auto"/>
              <w:bottom w:val="single" w:sz="4" w:space="0" w:color="auto"/>
              <w:right w:val="single" w:sz="4" w:space="0" w:color="auto"/>
            </w:tcBorders>
            <w:noWrap/>
            <w:hideMark/>
          </w:tcPr>
          <w:p w14:paraId="098B0F57" w14:textId="77777777" w:rsidR="00670BA2" w:rsidRDefault="00670BA2">
            <w:pPr>
              <w:rPr>
                <w:rFonts w:ascii="Arial" w:hAnsi="Arial" w:cs="Arial"/>
                <w:b/>
                <w:bCs/>
                <w:sz w:val="18"/>
                <w:szCs w:val="18"/>
              </w:rPr>
            </w:pPr>
            <w:r>
              <w:rPr>
                <w:rFonts w:ascii="Arial" w:hAnsi="Arial" w:cs="Arial"/>
                <w:b/>
                <w:bCs/>
                <w:sz w:val="18"/>
                <w:szCs w:val="18"/>
              </w:rPr>
              <w:t>2.722,00</w:t>
            </w:r>
          </w:p>
        </w:tc>
      </w:tr>
      <w:tr w:rsidR="00670BA2" w14:paraId="67C7A619" w14:textId="77777777" w:rsidTr="00670BA2">
        <w:trPr>
          <w:trHeight w:val="255"/>
        </w:trPr>
        <w:tc>
          <w:tcPr>
            <w:tcW w:w="3429" w:type="dxa"/>
            <w:gridSpan w:val="2"/>
            <w:tcBorders>
              <w:top w:val="single" w:sz="4" w:space="0" w:color="auto"/>
              <w:left w:val="single" w:sz="4" w:space="0" w:color="auto"/>
              <w:bottom w:val="single" w:sz="4" w:space="0" w:color="auto"/>
              <w:right w:val="single" w:sz="4" w:space="0" w:color="auto"/>
            </w:tcBorders>
            <w:noWrap/>
            <w:hideMark/>
          </w:tcPr>
          <w:p w14:paraId="53202593" w14:textId="77777777" w:rsidR="00670BA2" w:rsidRDefault="00670BA2">
            <w:pPr>
              <w:rPr>
                <w:rFonts w:ascii="Arial" w:hAnsi="Arial" w:cs="Arial"/>
                <w:b/>
                <w:bCs/>
                <w:sz w:val="18"/>
                <w:szCs w:val="18"/>
                <w:lang w:eastAsia="en-US"/>
              </w:rPr>
            </w:pPr>
            <w:r>
              <w:rPr>
                <w:rFonts w:ascii="Arial" w:hAnsi="Arial" w:cs="Arial"/>
                <w:b/>
                <w:bCs/>
                <w:sz w:val="18"/>
                <w:szCs w:val="18"/>
              </w:rPr>
              <w:t>Izvor  6.9. DONACIJE</w:t>
            </w:r>
          </w:p>
        </w:tc>
        <w:tc>
          <w:tcPr>
            <w:tcW w:w="1335" w:type="dxa"/>
            <w:tcBorders>
              <w:top w:val="single" w:sz="4" w:space="0" w:color="auto"/>
              <w:left w:val="single" w:sz="4" w:space="0" w:color="auto"/>
              <w:bottom w:val="single" w:sz="4" w:space="0" w:color="auto"/>
              <w:right w:val="single" w:sz="4" w:space="0" w:color="auto"/>
            </w:tcBorders>
            <w:noWrap/>
            <w:hideMark/>
          </w:tcPr>
          <w:p w14:paraId="134E55B1" w14:textId="77777777" w:rsidR="00670BA2" w:rsidRDefault="00670BA2">
            <w:pPr>
              <w:rPr>
                <w:rFonts w:ascii="Arial" w:hAnsi="Arial" w:cs="Arial"/>
                <w:b/>
                <w:bCs/>
                <w:sz w:val="18"/>
                <w:szCs w:val="18"/>
              </w:rPr>
            </w:pPr>
            <w:r>
              <w:rPr>
                <w:rFonts w:ascii="Arial" w:hAnsi="Arial" w:cs="Arial"/>
                <w:b/>
                <w:bCs/>
                <w:sz w:val="18"/>
                <w:szCs w:val="18"/>
              </w:rPr>
              <w:t>2.700,00</w:t>
            </w:r>
          </w:p>
        </w:tc>
        <w:tc>
          <w:tcPr>
            <w:tcW w:w="1505" w:type="dxa"/>
            <w:tcBorders>
              <w:top w:val="single" w:sz="4" w:space="0" w:color="auto"/>
              <w:left w:val="single" w:sz="4" w:space="0" w:color="auto"/>
              <w:bottom w:val="single" w:sz="4" w:space="0" w:color="auto"/>
              <w:right w:val="single" w:sz="4" w:space="0" w:color="auto"/>
            </w:tcBorders>
            <w:noWrap/>
            <w:hideMark/>
          </w:tcPr>
          <w:p w14:paraId="3F3A203F" w14:textId="77777777" w:rsidR="00670BA2" w:rsidRDefault="00670BA2">
            <w:pPr>
              <w:rPr>
                <w:rFonts w:ascii="Arial" w:hAnsi="Arial" w:cs="Arial"/>
                <w:b/>
                <w:bCs/>
                <w:sz w:val="18"/>
                <w:szCs w:val="18"/>
              </w:rPr>
            </w:pPr>
            <w:r>
              <w:rPr>
                <w:rFonts w:ascii="Arial" w:hAnsi="Arial" w:cs="Arial"/>
                <w:b/>
                <w:bCs/>
                <w:sz w:val="18"/>
                <w:szCs w:val="18"/>
              </w:rPr>
              <w:t>22,00</w:t>
            </w:r>
          </w:p>
        </w:tc>
        <w:tc>
          <w:tcPr>
            <w:tcW w:w="1382" w:type="dxa"/>
            <w:tcBorders>
              <w:top w:val="single" w:sz="4" w:space="0" w:color="auto"/>
              <w:left w:val="single" w:sz="4" w:space="0" w:color="auto"/>
              <w:bottom w:val="single" w:sz="4" w:space="0" w:color="auto"/>
              <w:right w:val="single" w:sz="4" w:space="0" w:color="auto"/>
            </w:tcBorders>
            <w:noWrap/>
            <w:hideMark/>
          </w:tcPr>
          <w:p w14:paraId="33F3EC86" w14:textId="77777777" w:rsidR="00670BA2" w:rsidRDefault="00670BA2">
            <w:pPr>
              <w:rPr>
                <w:rFonts w:ascii="Arial" w:hAnsi="Arial" w:cs="Arial"/>
                <w:b/>
                <w:bCs/>
                <w:sz w:val="18"/>
                <w:szCs w:val="18"/>
              </w:rPr>
            </w:pPr>
            <w:r>
              <w:rPr>
                <w:rFonts w:ascii="Arial" w:hAnsi="Arial" w:cs="Arial"/>
                <w:b/>
                <w:bCs/>
                <w:sz w:val="18"/>
                <w:szCs w:val="18"/>
              </w:rPr>
              <w:t>0,81</w:t>
            </w:r>
          </w:p>
        </w:tc>
        <w:tc>
          <w:tcPr>
            <w:tcW w:w="1326" w:type="dxa"/>
            <w:tcBorders>
              <w:top w:val="single" w:sz="4" w:space="0" w:color="auto"/>
              <w:left w:val="single" w:sz="4" w:space="0" w:color="auto"/>
              <w:bottom w:val="single" w:sz="4" w:space="0" w:color="auto"/>
              <w:right w:val="single" w:sz="4" w:space="0" w:color="auto"/>
            </w:tcBorders>
            <w:noWrap/>
            <w:hideMark/>
          </w:tcPr>
          <w:p w14:paraId="2FC5B024" w14:textId="77777777" w:rsidR="00670BA2" w:rsidRDefault="00670BA2">
            <w:pPr>
              <w:rPr>
                <w:rFonts w:ascii="Arial" w:hAnsi="Arial" w:cs="Arial"/>
                <w:b/>
                <w:bCs/>
                <w:sz w:val="18"/>
                <w:szCs w:val="18"/>
              </w:rPr>
            </w:pPr>
            <w:r>
              <w:rPr>
                <w:rFonts w:ascii="Arial" w:hAnsi="Arial" w:cs="Arial"/>
                <w:b/>
                <w:bCs/>
                <w:sz w:val="18"/>
                <w:szCs w:val="18"/>
              </w:rPr>
              <w:t>2.722,00</w:t>
            </w:r>
          </w:p>
        </w:tc>
      </w:tr>
    </w:tbl>
    <w:p w14:paraId="659626EB" w14:textId="77777777" w:rsidR="00FF767D" w:rsidRDefault="00FF767D" w:rsidP="00FF767D">
      <w:pPr>
        <w:rPr>
          <w:rFonts w:ascii="Arial" w:hAnsi="Arial" w:cs="Arial"/>
          <w:b/>
          <w:sz w:val="22"/>
          <w:szCs w:val="22"/>
          <w:lang w:eastAsia="en-US"/>
        </w:rPr>
      </w:pPr>
    </w:p>
    <w:p w14:paraId="4C5FE1AF" w14:textId="77777777" w:rsidR="00FF767D" w:rsidRPr="00F131FC" w:rsidRDefault="00FF767D" w:rsidP="00F131FC">
      <w:pPr>
        <w:spacing w:line="259" w:lineRule="auto"/>
        <w:rPr>
          <w:rFonts w:ascii="Arial" w:hAnsi="Arial" w:cs="Arial"/>
          <w:b/>
          <w:sz w:val="22"/>
          <w:szCs w:val="22"/>
        </w:rPr>
      </w:pPr>
      <w:r w:rsidRPr="00F131FC">
        <w:rPr>
          <w:rFonts w:ascii="Arial" w:hAnsi="Arial" w:cs="Arial"/>
          <w:b/>
          <w:sz w:val="22"/>
          <w:szCs w:val="22"/>
        </w:rPr>
        <w:t>U tabelu nije uvršten izvor 9-viškovi, manjkovi iz prethodne godine.</w:t>
      </w:r>
    </w:p>
    <w:p w14:paraId="1561C806" w14:textId="77777777" w:rsidR="00FF767D" w:rsidRPr="00F131FC" w:rsidRDefault="00FF767D" w:rsidP="00F131FC">
      <w:pPr>
        <w:spacing w:line="259" w:lineRule="auto"/>
        <w:rPr>
          <w:rFonts w:ascii="Arial" w:hAnsi="Arial" w:cs="Arial"/>
          <w:b/>
          <w:sz w:val="22"/>
          <w:szCs w:val="22"/>
          <w:u w:val="single"/>
        </w:rPr>
      </w:pPr>
    </w:p>
    <w:p w14:paraId="634352AA" w14:textId="55B1784E" w:rsidR="00FF767D" w:rsidRDefault="00FF767D" w:rsidP="00F131FC">
      <w:pPr>
        <w:spacing w:line="259" w:lineRule="auto"/>
        <w:jc w:val="both"/>
        <w:rPr>
          <w:rFonts w:ascii="Arial" w:hAnsi="Arial" w:cs="Arial"/>
          <w:sz w:val="22"/>
          <w:szCs w:val="22"/>
        </w:rPr>
      </w:pPr>
      <w:r w:rsidRPr="00F131FC">
        <w:rPr>
          <w:rFonts w:ascii="Arial" w:hAnsi="Arial" w:cs="Arial"/>
          <w:b/>
          <w:sz w:val="22"/>
          <w:szCs w:val="22"/>
          <w:u w:val="single"/>
        </w:rPr>
        <w:t>Opći prihodi i primici 1.1</w:t>
      </w:r>
      <w:r w:rsidRPr="00F131FC">
        <w:rPr>
          <w:rFonts w:ascii="Arial" w:hAnsi="Arial" w:cs="Arial"/>
          <w:sz w:val="22"/>
          <w:szCs w:val="22"/>
        </w:rPr>
        <w:t xml:space="preserve"> iz gradskog proračuna planirani su  u iznosu od 51.040,00 </w:t>
      </w:r>
      <w:r w:rsidR="00BE5AFD" w:rsidRPr="00F131FC">
        <w:rPr>
          <w:rFonts w:ascii="Arial" w:hAnsi="Arial" w:cs="Arial"/>
          <w:sz w:val="22"/>
          <w:szCs w:val="22"/>
        </w:rPr>
        <w:t>EUR</w:t>
      </w:r>
      <w:r w:rsidRPr="00F131FC">
        <w:rPr>
          <w:rFonts w:ascii="Arial" w:hAnsi="Arial" w:cs="Arial"/>
          <w:sz w:val="22"/>
          <w:szCs w:val="22"/>
        </w:rPr>
        <w:t xml:space="preserve">. Prvim izmjenama i dopunama financijskog plana 2025.godine prihodi su povećani radi poskupljenja računalnih usluga te sad iznose 53.666,00 </w:t>
      </w:r>
      <w:r w:rsidR="00BE5AFD" w:rsidRPr="00F131FC">
        <w:rPr>
          <w:rFonts w:ascii="Arial" w:hAnsi="Arial" w:cs="Arial"/>
          <w:sz w:val="22"/>
          <w:szCs w:val="22"/>
        </w:rPr>
        <w:t>EUR</w:t>
      </w:r>
      <w:r w:rsidRPr="00F131FC">
        <w:rPr>
          <w:rFonts w:ascii="Arial" w:hAnsi="Arial" w:cs="Arial"/>
          <w:sz w:val="22"/>
          <w:szCs w:val="22"/>
        </w:rPr>
        <w:t>.</w:t>
      </w:r>
    </w:p>
    <w:p w14:paraId="0303D273" w14:textId="77777777" w:rsidR="00F131FC" w:rsidRPr="00F131FC" w:rsidRDefault="00F131FC" w:rsidP="00F131FC">
      <w:pPr>
        <w:spacing w:line="259" w:lineRule="auto"/>
        <w:jc w:val="both"/>
        <w:rPr>
          <w:rFonts w:ascii="Arial" w:hAnsi="Arial" w:cs="Arial"/>
          <w:sz w:val="22"/>
          <w:szCs w:val="22"/>
        </w:rPr>
      </w:pPr>
    </w:p>
    <w:p w14:paraId="28C71E59" w14:textId="6F76F25A" w:rsidR="00FF767D" w:rsidRPr="00F131FC" w:rsidRDefault="00FF767D" w:rsidP="00F131FC">
      <w:pPr>
        <w:spacing w:line="259" w:lineRule="auto"/>
        <w:jc w:val="both"/>
        <w:rPr>
          <w:rFonts w:ascii="Arial" w:hAnsi="Arial" w:cs="Arial"/>
          <w:sz w:val="22"/>
          <w:szCs w:val="22"/>
        </w:rPr>
      </w:pPr>
      <w:r w:rsidRPr="00F131FC">
        <w:rPr>
          <w:rFonts w:ascii="Arial" w:hAnsi="Arial" w:cs="Arial"/>
          <w:b/>
          <w:sz w:val="22"/>
          <w:szCs w:val="22"/>
          <w:u w:val="single"/>
        </w:rPr>
        <w:t>Vlastiti prihodi  3.9.</w:t>
      </w:r>
      <w:r w:rsidRPr="00F131FC">
        <w:rPr>
          <w:rFonts w:ascii="Arial" w:hAnsi="Arial" w:cs="Arial"/>
          <w:sz w:val="22"/>
          <w:szCs w:val="22"/>
        </w:rPr>
        <w:t xml:space="preserve">odnose se na prihode pruženih usluga prijevoza učenika vlastitim prijevozom Centra „Liče </w:t>
      </w:r>
      <w:proofErr w:type="spellStart"/>
      <w:r w:rsidRPr="00F131FC">
        <w:rPr>
          <w:rFonts w:ascii="Arial" w:hAnsi="Arial" w:cs="Arial"/>
          <w:sz w:val="22"/>
          <w:szCs w:val="22"/>
        </w:rPr>
        <w:t>Faraguna</w:t>
      </w:r>
      <w:proofErr w:type="spellEnd"/>
      <w:r w:rsidRPr="00F131FC">
        <w:rPr>
          <w:rFonts w:ascii="Arial" w:hAnsi="Arial" w:cs="Arial"/>
          <w:sz w:val="22"/>
          <w:szCs w:val="22"/>
        </w:rPr>
        <w:t xml:space="preserve">“ (kombijem) koje plaćaju nadležne Općine prema prebivalištu učenika  te </w:t>
      </w:r>
      <w:r w:rsidRPr="00F131FC">
        <w:rPr>
          <w:rFonts w:ascii="Arial" w:eastAsia="Calibri" w:hAnsi="Arial" w:cs="Arial"/>
          <w:sz w:val="22"/>
          <w:szCs w:val="22"/>
        </w:rPr>
        <w:t>iznajmljivanje</w:t>
      </w:r>
      <w:r w:rsidRPr="00F131FC">
        <w:rPr>
          <w:rFonts w:ascii="Arial" w:hAnsi="Arial" w:cs="Arial"/>
          <w:sz w:val="22"/>
          <w:szCs w:val="22"/>
        </w:rPr>
        <w:t xml:space="preserve"> kombija u iznosu od 4.100,00 </w:t>
      </w:r>
      <w:r w:rsidR="00BE5AFD" w:rsidRPr="00F131FC">
        <w:rPr>
          <w:rFonts w:ascii="Arial" w:hAnsi="Arial" w:cs="Arial"/>
          <w:sz w:val="22"/>
          <w:szCs w:val="22"/>
        </w:rPr>
        <w:t>EUR</w:t>
      </w:r>
      <w:r w:rsidRPr="00F131FC">
        <w:rPr>
          <w:rFonts w:ascii="Arial" w:hAnsi="Arial" w:cs="Arial"/>
          <w:sz w:val="22"/>
          <w:szCs w:val="22"/>
        </w:rPr>
        <w:t xml:space="preserve"> .Ostaju nepromijenjeni prvim izmjenama i dopunama financijskog plana 2025.godine.</w:t>
      </w:r>
    </w:p>
    <w:p w14:paraId="79E406F5" w14:textId="7911788A" w:rsidR="00FF767D" w:rsidRDefault="00FF767D" w:rsidP="00F131FC">
      <w:pPr>
        <w:spacing w:line="259" w:lineRule="auto"/>
        <w:jc w:val="both"/>
        <w:rPr>
          <w:rFonts w:ascii="Arial" w:hAnsi="Arial" w:cs="Arial"/>
          <w:sz w:val="22"/>
          <w:szCs w:val="22"/>
        </w:rPr>
      </w:pPr>
      <w:r w:rsidRPr="00F131FC">
        <w:rPr>
          <w:rFonts w:ascii="Arial" w:hAnsi="Arial" w:cs="Arial"/>
          <w:sz w:val="22"/>
          <w:szCs w:val="22"/>
        </w:rPr>
        <w:t xml:space="preserve">Planiran je rezultat u  iznosu od 1.000,00 </w:t>
      </w:r>
      <w:r w:rsidR="00BE5AFD" w:rsidRPr="00F131FC">
        <w:rPr>
          <w:rFonts w:ascii="Arial" w:hAnsi="Arial" w:cs="Arial"/>
          <w:sz w:val="22"/>
          <w:szCs w:val="22"/>
        </w:rPr>
        <w:t>EUR</w:t>
      </w:r>
      <w:r w:rsidRPr="00F131FC">
        <w:rPr>
          <w:rFonts w:ascii="Arial" w:hAnsi="Arial" w:cs="Arial"/>
          <w:sz w:val="22"/>
          <w:szCs w:val="22"/>
        </w:rPr>
        <w:t xml:space="preserve"> , ostvaren je u iznosu od 2.765,00 </w:t>
      </w:r>
      <w:r w:rsidR="00BE5AFD" w:rsidRPr="00F131FC">
        <w:rPr>
          <w:rFonts w:ascii="Arial" w:hAnsi="Arial" w:cs="Arial"/>
          <w:sz w:val="22"/>
          <w:szCs w:val="22"/>
        </w:rPr>
        <w:t>EUR</w:t>
      </w:r>
      <w:r w:rsidRPr="00F131FC">
        <w:rPr>
          <w:rFonts w:ascii="Arial" w:hAnsi="Arial" w:cs="Arial"/>
          <w:sz w:val="22"/>
          <w:szCs w:val="22"/>
        </w:rPr>
        <w:t xml:space="preserve"> te će isti Odlukom o raspodjeli rezultata biti usmjeren za materijalne rashode.</w:t>
      </w:r>
    </w:p>
    <w:p w14:paraId="43C80C4E" w14:textId="77777777" w:rsidR="00F131FC" w:rsidRPr="00F131FC" w:rsidRDefault="00F131FC" w:rsidP="00F131FC">
      <w:pPr>
        <w:spacing w:line="259" w:lineRule="auto"/>
        <w:jc w:val="both"/>
        <w:rPr>
          <w:rFonts w:ascii="Arial" w:hAnsi="Arial" w:cs="Arial"/>
          <w:sz w:val="22"/>
          <w:szCs w:val="22"/>
        </w:rPr>
      </w:pPr>
    </w:p>
    <w:p w14:paraId="3BEBE1E9" w14:textId="77777777" w:rsidR="00FF767D" w:rsidRPr="00F131FC" w:rsidRDefault="00FF767D" w:rsidP="00F131FC">
      <w:pPr>
        <w:autoSpaceDE w:val="0"/>
        <w:autoSpaceDN w:val="0"/>
        <w:adjustRightInd w:val="0"/>
        <w:spacing w:line="259" w:lineRule="auto"/>
        <w:jc w:val="both"/>
        <w:rPr>
          <w:rFonts w:ascii="Arial" w:hAnsi="Arial" w:cs="Arial"/>
          <w:sz w:val="22"/>
          <w:szCs w:val="22"/>
        </w:rPr>
      </w:pPr>
      <w:r w:rsidRPr="00F131FC">
        <w:rPr>
          <w:rFonts w:ascii="Arial" w:hAnsi="Arial" w:cs="Arial"/>
          <w:b/>
          <w:sz w:val="22"/>
          <w:szCs w:val="22"/>
          <w:u w:val="single"/>
        </w:rPr>
        <w:t>Prihodi i rashodi za decentralizirane funkcije osnovnog obrazovanja 5.1</w:t>
      </w:r>
      <w:r w:rsidRPr="00F131FC">
        <w:rPr>
          <w:rFonts w:ascii="Arial" w:hAnsi="Arial" w:cs="Arial"/>
          <w:sz w:val="22"/>
          <w:szCs w:val="22"/>
          <w:u w:val="single"/>
        </w:rPr>
        <w:t>.</w:t>
      </w:r>
      <w:r w:rsidRPr="00F131FC">
        <w:rPr>
          <w:rFonts w:ascii="Arial" w:hAnsi="Arial" w:cs="Arial"/>
          <w:sz w:val="22"/>
          <w:szCs w:val="22"/>
        </w:rPr>
        <w:t xml:space="preserve"> U proračunu Grada Labina za 2025 godinu, a na temelju Odluke o kriterijima, mjerilima i načinu financiranja decentraliziranih funkcija osnovnog školstva za 2025. godinu, od 18.veljače 2025. godine osigurana su sredstva za provođenje  redovne djelatnosti osnovnoškolskog obrazovanja u iznosu od  40.000,00 eura</w:t>
      </w:r>
    </w:p>
    <w:p w14:paraId="634679B0" w14:textId="7606AFB5" w:rsidR="00FF767D" w:rsidRPr="00F131FC" w:rsidRDefault="00FF767D" w:rsidP="00F131FC">
      <w:pPr>
        <w:autoSpaceDE w:val="0"/>
        <w:autoSpaceDN w:val="0"/>
        <w:adjustRightInd w:val="0"/>
        <w:spacing w:line="259" w:lineRule="auto"/>
        <w:jc w:val="both"/>
        <w:rPr>
          <w:rFonts w:ascii="Arial" w:hAnsi="Arial" w:cs="Arial"/>
          <w:sz w:val="22"/>
          <w:szCs w:val="22"/>
        </w:rPr>
      </w:pPr>
      <w:r w:rsidRPr="00F131FC">
        <w:rPr>
          <w:rFonts w:ascii="Arial" w:hAnsi="Arial" w:cs="Arial"/>
          <w:sz w:val="22"/>
          <w:szCs w:val="22"/>
        </w:rPr>
        <w:t xml:space="preserve">Ta su sredstva planirana za pokriće tekućih  izdataka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u zgradu Škole. U prvim izmjenama došlo je do povećanja u odnosu na plan za investicijsko održavanje (3.000,00 </w:t>
      </w:r>
      <w:r w:rsidR="00BE5AFD" w:rsidRPr="00F131FC">
        <w:rPr>
          <w:rFonts w:ascii="Arial" w:hAnsi="Arial" w:cs="Arial"/>
          <w:sz w:val="22"/>
          <w:szCs w:val="22"/>
        </w:rPr>
        <w:t>EUR</w:t>
      </w:r>
      <w:r w:rsidRPr="00F131FC">
        <w:rPr>
          <w:rFonts w:ascii="Arial" w:hAnsi="Arial" w:cs="Arial"/>
          <w:sz w:val="22"/>
          <w:szCs w:val="22"/>
        </w:rPr>
        <w:t xml:space="preserve"> ) i kapitalnih ulaganja (6.000,00 </w:t>
      </w:r>
      <w:r w:rsidR="00BE5AFD" w:rsidRPr="00F131FC">
        <w:rPr>
          <w:rFonts w:ascii="Arial" w:hAnsi="Arial" w:cs="Arial"/>
          <w:sz w:val="22"/>
          <w:szCs w:val="22"/>
        </w:rPr>
        <w:t>EUR</w:t>
      </w:r>
      <w:r w:rsidRPr="00F131FC">
        <w:rPr>
          <w:rFonts w:ascii="Arial" w:hAnsi="Arial" w:cs="Arial"/>
          <w:sz w:val="22"/>
          <w:szCs w:val="22"/>
        </w:rPr>
        <w:t xml:space="preserve">).Zbog povećanih računa komunalnih naknada povećali smo sredstva za iste u iznosu od 900,00 </w:t>
      </w:r>
      <w:r w:rsidR="00BE5AFD" w:rsidRPr="00F131FC">
        <w:rPr>
          <w:rFonts w:ascii="Arial" w:hAnsi="Arial" w:cs="Arial"/>
          <w:sz w:val="22"/>
          <w:szCs w:val="22"/>
        </w:rPr>
        <w:t>EUR</w:t>
      </w:r>
      <w:r w:rsidRPr="00F131FC">
        <w:rPr>
          <w:rFonts w:ascii="Arial" w:hAnsi="Arial" w:cs="Arial"/>
          <w:sz w:val="22"/>
          <w:szCs w:val="22"/>
        </w:rPr>
        <w:t xml:space="preserve"> i za 100,00 </w:t>
      </w:r>
      <w:r w:rsidR="00BE5AFD" w:rsidRPr="00F131FC">
        <w:rPr>
          <w:rFonts w:ascii="Arial" w:hAnsi="Arial" w:cs="Arial"/>
          <w:sz w:val="22"/>
          <w:szCs w:val="22"/>
        </w:rPr>
        <w:t>EUR</w:t>
      </w:r>
      <w:r w:rsidRPr="00F131FC">
        <w:rPr>
          <w:rFonts w:ascii="Arial" w:hAnsi="Arial" w:cs="Arial"/>
          <w:sz w:val="22"/>
          <w:szCs w:val="22"/>
        </w:rPr>
        <w:t xml:space="preserve"> povećali smo pristojbe i naknade, dok smo smanjili sredstva za stručno usavršavanje i službeno putovanje te uredski materijal u ukupnom iznosu od 1.000,00 e.</w:t>
      </w:r>
    </w:p>
    <w:p w14:paraId="21B7512C" w14:textId="77777777" w:rsidR="00FF767D" w:rsidRPr="00F131FC" w:rsidRDefault="00FF767D" w:rsidP="00F131FC">
      <w:pPr>
        <w:autoSpaceDE w:val="0"/>
        <w:autoSpaceDN w:val="0"/>
        <w:adjustRightInd w:val="0"/>
        <w:spacing w:line="259" w:lineRule="auto"/>
        <w:jc w:val="both"/>
        <w:rPr>
          <w:rFonts w:ascii="Arial" w:hAnsi="Arial" w:cs="Arial"/>
          <w:sz w:val="22"/>
          <w:szCs w:val="22"/>
        </w:rPr>
      </w:pPr>
    </w:p>
    <w:p w14:paraId="10B1BE9C" w14:textId="3D1CE9A0" w:rsidR="00FF767D" w:rsidRPr="00F131FC" w:rsidRDefault="00FF767D" w:rsidP="00F131FC">
      <w:pPr>
        <w:spacing w:line="259" w:lineRule="auto"/>
        <w:jc w:val="both"/>
        <w:rPr>
          <w:rFonts w:ascii="Arial" w:eastAsiaTheme="minorHAnsi" w:hAnsi="Arial" w:cs="Arial"/>
          <w:color w:val="FF0000"/>
          <w:sz w:val="22"/>
          <w:szCs w:val="22"/>
          <w:lang w:eastAsia="en-US"/>
        </w:rPr>
      </w:pPr>
      <w:r w:rsidRPr="00F131FC">
        <w:rPr>
          <w:rFonts w:ascii="Arial" w:hAnsi="Arial" w:cs="Arial"/>
          <w:b/>
          <w:sz w:val="22"/>
          <w:szCs w:val="22"/>
          <w:u w:val="single"/>
        </w:rPr>
        <w:t>Pomoći korisnika  5.9.</w:t>
      </w:r>
      <w:r w:rsidRPr="00F131FC">
        <w:rPr>
          <w:rFonts w:ascii="Arial" w:hAnsi="Arial" w:cs="Arial"/>
          <w:sz w:val="22"/>
          <w:szCs w:val="22"/>
        </w:rPr>
        <w:t xml:space="preserve"> Odnose se na pomoći iz proračuna koji im nije nadležan, pomoći iz proračuna EU fondova za plaće i materijalne naknade pomoćnika u nastavi i tekuća pomoć iz državnog proračuna za sufinanciranje prehrane učenika, didaktičkog materijala i prijevoza učenika te troškove stacionara u iznosu od 59.840,00 </w:t>
      </w:r>
      <w:proofErr w:type="spellStart"/>
      <w:r w:rsidR="00BE5AFD" w:rsidRPr="00F131FC">
        <w:rPr>
          <w:rFonts w:ascii="Arial" w:hAnsi="Arial" w:cs="Arial"/>
          <w:sz w:val="22"/>
          <w:szCs w:val="22"/>
        </w:rPr>
        <w:t>EUR</w:t>
      </w:r>
      <w:r w:rsidRPr="00F131FC">
        <w:rPr>
          <w:rFonts w:ascii="Arial" w:hAnsi="Arial" w:cs="Arial"/>
          <w:sz w:val="22"/>
          <w:szCs w:val="22"/>
        </w:rPr>
        <w:t>.Prvim</w:t>
      </w:r>
      <w:proofErr w:type="spellEnd"/>
      <w:r w:rsidRPr="00F131FC">
        <w:rPr>
          <w:rFonts w:ascii="Arial" w:hAnsi="Arial" w:cs="Arial"/>
          <w:sz w:val="22"/>
          <w:szCs w:val="22"/>
        </w:rPr>
        <w:t xml:space="preserve"> izmjenama i dopunama financijskog plana 2025.godine prihodi su povećani za 1.217,00 </w:t>
      </w:r>
      <w:r w:rsidR="00BE5AFD" w:rsidRPr="00F131FC">
        <w:rPr>
          <w:rFonts w:ascii="Arial" w:hAnsi="Arial" w:cs="Arial"/>
          <w:sz w:val="22"/>
          <w:szCs w:val="22"/>
        </w:rPr>
        <w:t>EUR</w:t>
      </w:r>
      <w:r w:rsidRPr="00F131FC">
        <w:rPr>
          <w:rFonts w:ascii="Arial" w:hAnsi="Arial" w:cs="Arial"/>
          <w:sz w:val="22"/>
          <w:szCs w:val="22"/>
        </w:rPr>
        <w:t xml:space="preserve"> te sad iznose 61.057,00 </w:t>
      </w:r>
      <w:r w:rsidR="00BE5AFD" w:rsidRPr="00F131FC">
        <w:rPr>
          <w:rFonts w:ascii="Arial" w:hAnsi="Arial" w:cs="Arial"/>
          <w:sz w:val="22"/>
          <w:szCs w:val="22"/>
        </w:rPr>
        <w:t>EUR</w:t>
      </w:r>
      <w:r w:rsidRPr="00F131FC">
        <w:rPr>
          <w:rFonts w:ascii="Arial" w:hAnsi="Arial" w:cs="Arial"/>
          <w:sz w:val="22"/>
          <w:szCs w:val="22"/>
        </w:rPr>
        <w:t>.</w:t>
      </w:r>
      <w:r w:rsidRPr="00F131FC">
        <w:rPr>
          <w:rFonts w:ascii="Arial" w:hAnsi="Arial" w:cs="Arial"/>
          <w:color w:val="FF0000"/>
          <w:sz w:val="22"/>
          <w:szCs w:val="22"/>
        </w:rPr>
        <w:t xml:space="preserve"> </w:t>
      </w:r>
    </w:p>
    <w:p w14:paraId="0DEA0DF0" w14:textId="1996ADAA" w:rsidR="00FF767D" w:rsidRPr="00F131FC" w:rsidRDefault="00FF767D" w:rsidP="00F131FC">
      <w:pPr>
        <w:spacing w:line="259" w:lineRule="auto"/>
        <w:jc w:val="both"/>
        <w:rPr>
          <w:rFonts w:ascii="Arial" w:hAnsi="Arial" w:cs="Arial"/>
          <w:sz w:val="22"/>
          <w:szCs w:val="22"/>
        </w:rPr>
      </w:pPr>
      <w:r w:rsidRPr="00F131FC">
        <w:rPr>
          <w:rFonts w:ascii="Arial" w:hAnsi="Arial" w:cs="Arial"/>
          <w:sz w:val="22"/>
          <w:szCs w:val="22"/>
        </w:rPr>
        <w:lastRenderedPageBreak/>
        <w:t xml:space="preserve">Ostvareni rezultat iznosi 5.070,00 </w:t>
      </w:r>
      <w:r w:rsidR="00BE5AFD" w:rsidRPr="00F131FC">
        <w:rPr>
          <w:rFonts w:ascii="Arial" w:hAnsi="Arial" w:cs="Arial"/>
          <w:sz w:val="22"/>
          <w:szCs w:val="22"/>
        </w:rPr>
        <w:t>EUR</w:t>
      </w:r>
      <w:r w:rsidRPr="00F131FC">
        <w:rPr>
          <w:rFonts w:ascii="Arial" w:hAnsi="Arial" w:cs="Arial"/>
          <w:sz w:val="22"/>
          <w:szCs w:val="22"/>
        </w:rPr>
        <w:t xml:space="preserve"> i Odlukom o raspodjeli rezultata biti će usmjeren na materijal i sirovine, namirnice za školsku kuhinju, za nabavku dijagnostičkih instrumenata za psihologa, za nabavku uredskog i didaktičkog materijala za potrebe učenika.</w:t>
      </w:r>
    </w:p>
    <w:p w14:paraId="67256A8E" w14:textId="3A85F8D2" w:rsidR="00FF767D" w:rsidRPr="00F131FC" w:rsidRDefault="00FF767D">
      <w:pPr>
        <w:pStyle w:val="Odlomakpopisa"/>
        <w:numPr>
          <w:ilvl w:val="0"/>
          <w:numId w:val="28"/>
        </w:numPr>
        <w:spacing w:after="0" w:line="259" w:lineRule="auto"/>
        <w:jc w:val="both"/>
        <w:rPr>
          <w:rFonts w:ascii="Arial" w:hAnsi="Arial" w:cs="Arial"/>
          <w:color w:val="FF0000"/>
          <w:szCs w:val="22"/>
        </w:rPr>
      </w:pPr>
      <w:r w:rsidRPr="00F131FC">
        <w:rPr>
          <w:rFonts w:ascii="Arial" w:hAnsi="Arial" w:cs="Arial"/>
          <w:szCs w:val="22"/>
          <w:u w:val="single"/>
        </w:rPr>
        <w:t xml:space="preserve">Tekuće pomoći –iz  Državne riznice  </w:t>
      </w:r>
      <w:r w:rsidRPr="00F131FC">
        <w:rPr>
          <w:rFonts w:ascii="Arial" w:hAnsi="Arial" w:cs="Arial"/>
          <w:szCs w:val="22"/>
        </w:rPr>
        <w:t xml:space="preserve">za financiranje plaća i materijalnih prava zaposlenika u iznosu od 511.800,00 </w:t>
      </w:r>
      <w:r w:rsidR="00BE5AFD" w:rsidRPr="00F131FC">
        <w:rPr>
          <w:rFonts w:ascii="Arial" w:hAnsi="Arial" w:cs="Arial"/>
          <w:szCs w:val="22"/>
        </w:rPr>
        <w:t>EUR</w:t>
      </w:r>
      <w:r w:rsidRPr="00F131FC">
        <w:rPr>
          <w:rFonts w:ascii="Arial" w:hAnsi="Arial" w:cs="Arial"/>
          <w:szCs w:val="22"/>
        </w:rPr>
        <w:t xml:space="preserve">, u I. izmjenama i dopunama došlo je do povećanja za 17.280,00 </w:t>
      </w:r>
      <w:r w:rsidR="00BE5AFD" w:rsidRPr="00F131FC">
        <w:rPr>
          <w:rFonts w:ascii="Arial" w:hAnsi="Arial" w:cs="Arial"/>
          <w:szCs w:val="22"/>
        </w:rPr>
        <w:t>EUR</w:t>
      </w:r>
      <w:r w:rsidRPr="00F131FC">
        <w:rPr>
          <w:rFonts w:ascii="Arial" w:hAnsi="Arial" w:cs="Arial"/>
          <w:szCs w:val="22"/>
        </w:rPr>
        <w:t xml:space="preserve"> i sada iznosi 529.080,00 </w:t>
      </w:r>
      <w:r w:rsidR="00BE5AFD" w:rsidRPr="00F131FC">
        <w:rPr>
          <w:rFonts w:ascii="Arial" w:hAnsi="Arial" w:cs="Arial"/>
          <w:szCs w:val="22"/>
        </w:rPr>
        <w:t>EUR</w:t>
      </w:r>
      <w:r w:rsidRPr="00F131FC">
        <w:rPr>
          <w:rFonts w:ascii="Arial" w:hAnsi="Arial" w:cs="Arial"/>
          <w:szCs w:val="22"/>
        </w:rPr>
        <w:t>.</w:t>
      </w:r>
      <w:r w:rsidRPr="00F131FC">
        <w:rPr>
          <w:szCs w:val="22"/>
        </w:rPr>
        <w:t xml:space="preserve"> </w:t>
      </w:r>
      <w:r w:rsidRPr="00F131FC">
        <w:rPr>
          <w:rFonts w:ascii="Arial" w:hAnsi="Arial" w:cs="Arial"/>
          <w:color w:val="000000" w:themeColor="text1"/>
          <w:szCs w:val="22"/>
        </w:rPr>
        <w:t xml:space="preserve"> Povećanje se odnosi na veći broj bolovanja i neplaniranih zamjena te naknada za prijevoz i ostali rashodi.</w:t>
      </w:r>
    </w:p>
    <w:p w14:paraId="2175B689" w14:textId="77777777" w:rsidR="00FF767D" w:rsidRPr="00F131FC" w:rsidRDefault="00FF767D" w:rsidP="00F131FC">
      <w:pPr>
        <w:spacing w:line="259" w:lineRule="auto"/>
        <w:jc w:val="both"/>
        <w:rPr>
          <w:rFonts w:ascii="Arial" w:hAnsi="Arial" w:cs="Arial"/>
          <w:sz w:val="22"/>
          <w:szCs w:val="22"/>
        </w:rPr>
      </w:pPr>
    </w:p>
    <w:p w14:paraId="3BE85D4B" w14:textId="73207454" w:rsidR="00FF767D" w:rsidRPr="00F131FC" w:rsidRDefault="00FF767D" w:rsidP="00F131FC">
      <w:pPr>
        <w:spacing w:line="259" w:lineRule="auto"/>
        <w:jc w:val="both"/>
        <w:rPr>
          <w:rFonts w:ascii="Arial" w:hAnsi="Arial" w:cs="Arial"/>
          <w:bCs/>
          <w:sz w:val="22"/>
          <w:szCs w:val="22"/>
        </w:rPr>
      </w:pPr>
      <w:r w:rsidRPr="00F131FC">
        <w:rPr>
          <w:rFonts w:ascii="Arial" w:hAnsi="Arial" w:cs="Arial"/>
          <w:b/>
          <w:bCs/>
          <w:sz w:val="22"/>
          <w:szCs w:val="22"/>
          <w:u w:val="single"/>
        </w:rPr>
        <w:t>Donacije-6.9</w:t>
      </w:r>
      <w:r w:rsidRPr="00F131FC">
        <w:rPr>
          <w:rFonts w:ascii="Arial" w:hAnsi="Arial" w:cs="Arial"/>
          <w:bCs/>
          <w:sz w:val="22"/>
          <w:szCs w:val="22"/>
        </w:rPr>
        <w:t xml:space="preserve">  dobivena namjenska sredstva od pravnih i fizičkih osoba u iznosu od 2.200,00 </w:t>
      </w:r>
      <w:r w:rsidR="00BE5AFD" w:rsidRPr="00F131FC">
        <w:rPr>
          <w:rFonts w:ascii="Arial" w:hAnsi="Arial" w:cs="Arial"/>
          <w:bCs/>
          <w:sz w:val="22"/>
          <w:szCs w:val="22"/>
        </w:rPr>
        <w:t>EUR</w:t>
      </w:r>
      <w:r w:rsidRPr="00F131FC">
        <w:rPr>
          <w:rFonts w:ascii="Arial" w:hAnsi="Arial" w:cs="Arial"/>
          <w:bCs/>
          <w:sz w:val="22"/>
          <w:szCs w:val="22"/>
        </w:rPr>
        <w:t xml:space="preserve"> ostaju nepromijenjeni.</w:t>
      </w:r>
    </w:p>
    <w:p w14:paraId="5C4FD093" w14:textId="0184E0EA" w:rsidR="00FF767D" w:rsidRPr="00F131FC" w:rsidRDefault="00FF767D" w:rsidP="00F131FC">
      <w:pPr>
        <w:spacing w:line="259" w:lineRule="auto"/>
        <w:jc w:val="both"/>
        <w:rPr>
          <w:rFonts w:ascii="Arial" w:hAnsi="Arial" w:cs="Arial"/>
          <w:bCs/>
          <w:sz w:val="22"/>
          <w:szCs w:val="22"/>
        </w:rPr>
      </w:pPr>
      <w:r w:rsidRPr="00F131FC">
        <w:rPr>
          <w:rFonts w:ascii="Arial" w:hAnsi="Arial" w:cs="Arial"/>
          <w:bCs/>
          <w:sz w:val="22"/>
          <w:szCs w:val="22"/>
        </w:rPr>
        <w:t xml:space="preserve">Kod donacija se  planirao i rezultat u iznosu od 500,00 </w:t>
      </w:r>
      <w:r w:rsidR="00BE5AFD" w:rsidRPr="00F131FC">
        <w:rPr>
          <w:rFonts w:ascii="Arial" w:hAnsi="Arial" w:cs="Arial"/>
          <w:bCs/>
          <w:sz w:val="22"/>
          <w:szCs w:val="22"/>
        </w:rPr>
        <w:t>EUR</w:t>
      </w:r>
      <w:r w:rsidRPr="00F131FC">
        <w:rPr>
          <w:rFonts w:ascii="Arial" w:hAnsi="Arial" w:cs="Arial"/>
          <w:bCs/>
          <w:sz w:val="22"/>
          <w:szCs w:val="22"/>
        </w:rPr>
        <w:t xml:space="preserve">. Ostvaren je višak prihoda od 522,00 </w:t>
      </w:r>
      <w:r w:rsidR="00BE5AFD" w:rsidRPr="00F131FC">
        <w:rPr>
          <w:rFonts w:ascii="Arial" w:hAnsi="Arial" w:cs="Arial"/>
          <w:bCs/>
          <w:sz w:val="22"/>
          <w:szCs w:val="22"/>
        </w:rPr>
        <w:t>EUR</w:t>
      </w:r>
      <w:r w:rsidRPr="00F131FC">
        <w:rPr>
          <w:rFonts w:ascii="Arial" w:hAnsi="Arial" w:cs="Arial"/>
          <w:bCs/>
          <w:sz w:val="22"/>
          <w:szCs w:val="22"/>
        </w:rPr>
        <w:t xml:space="preserve"> koji će se   Odlukom o raspodjeli rezultata </w:t>
      </w:r>
      <w:proofErr w:type="spellStart"/>
      <w:r w:rsidRPr="00F131FC">
        <w:rPr>
          <w:rFonts w:ascii="Arial" w:hAnsi="Arial" w:cs="Arial"/>
          <w:bCs/>
          <w:sz w:val="22"/>
          <w:szCs w:val="22"/>
        </w:rPr>
        <w:t>usmjereti</w:t>
      </w:r>
      <w:proofErr w:type="spellEnd"/>
      <w:r w:rsidRPr="00F131FC">
        <w:rPr>
          <w:rFonts w:ascii="Arial" w:hAnsi="Arial" w:cs="Arial"/>
          <w:bCs/>
          <w:sz w:val="22"/>
          <w:szCs w:val="22"/>
        </w:rPr>
        <w:t xml:space="preserve"> na hitne intervencije.</w:t>
      </w:r>
    </w:p>
    <w:p w14:paraId="75D42D98" w14:textId="77777777" w:rsidR="00F131FC" w:rsidRDefault="00F131FC" w:rsidP="00F131FC">
      <w:pPr>
        <w:spacing w:line="259" w:lineRule="auto"/>
        <w:jc w:val="both"/>
        <w:rPr>
          <w:rFonts w:ascii="Arial" w:hAnsi="Arial" w:cs="Arial"/>
          <w:b/>
          <w:sz w:val="22"/>
          <w:szCs w:val="22"/>
        </w:rPr>
      </w:pPr>
    </w:p>
    <w:p w14:paraId="7EB68C2C" w14:textId="77777777" w:rsidR="00F131FC" w:rsidRDefault="00F131FC" w:rsidP="00F131FC">
      <w:pPr>
        <w:spacing w:line="259" w:lineRule="auto"/>
        <w:jc w:val="both"/>
        <w:rPr>
          <w:rFonts w:ascii="Arial" w:hAnsi="Arial" w:cs="Arial"/>
          <w:b/>
          <w:sz w:val="22"/>
          <w:szCs w:val="22"/>
        </w:rPr>
      </w:pPr>
    </w:p>
    <w:p w14:paraId="7D01786E" w14:textId="67E60765" w:rsidR="00FF767D" w:rsidRPr="00F131FC" w:rsidRDefault="00FF767D" w:rsidP="00F131FC">
      <w:pPr>
        <w:spacing w:line="259" w:lineRule="auto"/>
        <w:jc w:val="both"/>
        <w:rPr>
          <w:rFonts w:ascii="Arial" w:hAnsi="Arial" w:cs="Arial"/>
          <w:b/>
          <w:sz w:val="22"/>
          <w:szCs w:val="22"/>
        </w:rPr>
      </w:pPr>
      <w:r w:rsidRPr="00F131FC">
        <w:rPr>
          <w:rFonts w:ascii="Arial" w:hAnsi="Arial" w:cs="Arial"/>
          <w:b/>
          <w:sz w:val="22"/>
          <w:szCs w:val="22"/>
        </w:rPr>
        <w:t>OBRAZLOŽENJE POSEBNOG DIJELA PRORAČUNA</w:t>
      </w:r>
    </w:p>
    <w:p w14:paraId="3C761CC8" w14:textId="77777777" w:rsidR="00FF767D" w:rsidRPr="00F131FC" w:rsidRDefault="00FF767D" w:rsidP="00F131FC">
      <w:pPr>
        <w:spacing w:line="259" w:lineRule="auto"/>
        <w:jc w:val="both"/>
        <w:rPr>
          <w:rFonts w:ascii="Arial" w:hAnsi="Arial" w:cs="Arial"/>
          <w:b/>
          <w:sz w:val="22"/>
          <w:szCs w:val="22"/>
        </w:rPr>
      </w:pPr>
    </w:p>
    <w:p w14:paraId="1A3AF236" w14:textId="77777777" w:rsidR="00FF767D" w:rsidRPr="00F131FC" w:rsidRDefault="00FF767D" w:rsidP="00F131FC">
      <w:pPr>
        <w:spacing w:line="259" w:lineRule="auto"/>
        <w:jc w:val="both"/>
        <w:rPr>
          <w:rFonts w:ascii="Arial" w:hAnsi="Arial" w:cs="Arial"/>
          <w:sz w:val="22"/>
          <w:szCs w:val="22"/>
        </w:rPr>
      </w:pPr>
      <w:r w:rsidRPr="00F131FC">
        <w:rPr>
          <w:rFonts w:ascii="Arial" w:hAnsi="Arial" w:cs="Arial"/>
          <w:b/>
          <w:sz w:val="22"/>
          <w:szCs w:val="22"/>
        </w:rPr>
        <w:t>1.Sažetak djelokruga rada proračunskog korisnika</w:t>
      </w:r>
    </w:p>
    <w:p w14:paraId="626AB504" w14:textId="77777777" w:rsidR="00FF767D" w:rsidRPr="00F131FC" w:rsidRDefault="00FF767D" w:rsidP="00F131FC">
      <w:pPr>
        <w:spacing w:line="259" w:lineRule="auto"/>
        <w:jc w:val="both"/>
        <w:rPr>
          <w:rFonts w:ascii="Arial" w:hAnsi="Arial" w:cs="Arial"/>
          <w:sz w:val="22"/>
          <w:szCs w:val="22"/>
        </w:rPr>
      </w:pPr>
      <w:r w:rsidRPr="00F131FC">
        <w:rPr>
          <w:rFonts w:ascii="Arial" w:hAnsi="Arial" w:cs="Arial"/>
          <w:sz w:val="22"/>
          <w:szCs w:val="22"/>
        </w:rPr>
        <w:t>Djelatnost Centra je odgoj i osnovno obrazovanje učenika s lakim, umjerenim i  težim intelektualnim teškoćama, većim teškoćama u razvoju te učenika s poremećajima iz spektra autizma  koje se vrši po posebnom nastavnom planu i programu.</w:t>
      </w:r>
    </w:p>
    <w:p w14:paraId="32AF4B85" w14:textId="77777777" w:rsidR="00FF767D" w:rsidRPr="00F131FC" w:rsidRDefault="00FF767D" w:rsidP="00F131FC">
      <w:pPr>
        <w:spacing w:line="259" w:lineRule="auto"/>
        <w:jc w:val="both"/>
        <w:rPr>
          <w:rFonts w:ascii="Arial" w:hAnsi="Arial" w:cs="Arial"/>
          <w:sz w:val="22"/>
          <w:szCs w:val="22"/>
        </w:rPr>
      </w:pPr>
      <w:r w:rsidRPr="00F131FC">
        <w:rPr>
          <w:rFonts w:ascii="Arial" w:hAnsi="Arial" w:cs="Arial"/>
          <w:sz w:val="22"/>
          <w:szCs w:val="22"/>
        </w:rPr>
        <w:t>Sporedna djelatnost Centra je domski smještaj učenika - korisnika s lakim, umjerenim i težim intelektualnim  teškoćama te učenika s poremećajima iz spektra autizma.</w:t>
      </w:r>
    </w:p>
    <w:p w14:paraId="09F10AD5" w14:textId="77777777" w:rsidR="00FF767D" w:rsidRPr="00F131FC" w:rsidRDefault="00FF767D" w:rsidP="00F131FC">
      <w:pPr>
        <w:spacing w:line="259" w:lineRule="auto"/>
        <w:jc w:val="both"/>
        <w:rPr>
          <w:rFonts w:ascii="Arial" w:hAnsi="Arial" w:cs="Arial"/>
          <w:color w:val="FF0000"/>
          <w:sz w:val="22"/>
          <w:szCs w:val="22"/>
        </w:rPr>
      </w:pPr>
      <w:r w:rsidRPr="00F131FC">
        <w:rPr>
          <w:rFonts w:ascii="Arial" w:hAnsi="Arial" w:cs="Arial"/>
          <w:sz w:val="22"/>
          <w:szCs w:val="22"/>
        </w:rPr>
        <w:t>Odgoj i obrazovanje  ostvaruje se u Centru prema nastavnim planovima i programima, koje je donijelo Ministarstvo znanosti i obrazovanja, Godišnjem  planu i programu rada Centra te Školskom kurikulumu  za školsku godinu 2024/2025</w:t>
      </w:r>
      <w:r w:rsidRPr="00F131FC">
        <w:rPr>
          <w:rFonts w:ascii="Arial" w:hAnsi="Arial" w:cs="Arial"/>
          <w:color w:val="FF0000"/>
          <w:sz w:val="22"/>
          <w:szCs w:val="22"/>
        </w:rPr>
        <w:t>.</w:t>
      </w:r>
    </w:p>
    <w:p w14:paraId="7F3934DD" w14:textId="77777777" w:rsidR="00FF767D" w:rsidRPr="00F131FC" w:rsidRDefault="00FF767D" w:rsidP="00F131FC">
      <w:pPr>
        <w:spacing w:line="259" w:lineRule="auto"/>
        <w:jc w:val="both"/>
        <w:rPr>
          <w:rFonts w:ascii="Arial" w:hAnsi="Arial" w:cs="Arial"/>
          <w:sz w:val="22"/>
          <w:szCs w:val="22"/>
        </w:rPr>
      </w:pPr>
      <w:r w:rsidRPr="00F131FC">
        <w:rPr>
          <w:rFonts w:ascii="Arial" w:hAnsi="Arial" w:cs="Arial"/>
          <w:sz w:val="22"/>
          <w:szCs w:val="22"/>
        </w:rPr>
        <w:t xml:space="preserve">U školskoj godini 2024./2025. školu polazi 12 učenika  u 5 odgojno-obrazovnih skupina od kojih je 2 učenika smješteno u dom, raspoređeni su u jednu odgojno-obrazovnu skupinu u poslijepodnevnim satima. Domski  smještaj radi 24 sata na dan od ponedjeljka do petka. Polaznici domskog smještaja su djeca s područja Grada Poreča i Općine </w:t>
      </w:r>
      <w:proofErr w:type="spellStart"/>
      <w:r w:rsidRPr="00F131FC">
        <w:rPr>
          <w:rFonts w:ascii="Arial" w:hAnsi="Arial" w:cs="Arial"/>
          <w:sz w:val="22"/>
          <w:szCs w:val="22"/>
        </w:rPr>
        <w:t>Gračišće</w:t>
      </w:r>
      <w:proofErr w:type="spellEnd"/>
      <w:r w:rsidRPr="00F131FC">
        <w:rPr>
          <w:rFonts w:ascii="Arial" w:hAnsi="Arial" w:cs="Arial"/>
          <w:sz w:val="22"/>
          <w:szCs w:val="22"/>
        </w:rPr>
        <w:t>.</w:t>
      </w:r>
    </w:p>
    <w:p w14:paraId="50ADF7EC" w14:textId="77777777" w:rsidR="00FF767D" w:rsidRPr="00F131FC" w:rsidRDefault="00FF767D" w:rsidP="00F131FC">
      <w:pPr>
        <w:spacing w:line="259" w:lineRule="auto"/>
        <w:jc w:val="both"/>
        <w:rPr>
          <w:rFonts w:ascii="Arial" w:hAnsi="Arial" w:cs="Arial"/>
          <w:b/>
          <w:sz w:val="22"/>
          <w:szCs w:val="22"/>
        </w:rPr>
      </w:pPr>
    </w:p>
    <w:p w14:paraId="3D0CF978" w14:textId="77777777" w:rsidR="00FF767D" w:rsidRPr="00F131FC" w:rsidRDefault="00FF767D" w:rsidP="00F131FC">
      <w:pPr>
        <w:spacing w:line="259" w:lineRule="auto"/>
        <w:jc w:val="both"/>
        <w:rPr>
          <w:rFonts w:ascii="Arial" w:hAnsi="Arial" w:cs="Arial"/>
          <w:sz w:val="22"/>
          <w:szCs w:val="22"/>
        </w:rPr>
      </w:pPr>
      <w:r w:rsidRPr="00F131FC">
        <w:rPr>
          <w:rFonts w:ascii="Arial" w:hAnsi="Arial" w:cs="Arial"/>
          <w:b/>
          <w:sz w:val="22"/>
          <w:szCs w:val="22"/>
        </w:rPr>
        <w:t>2. Obrazloženje programa rada Centra</w:t>
      </w:r>
      <w:r w:rsidRPr="00F131FC">
        <w:rPr>
          <w:rFonts w:ascii="Arial" w:hAnsi="Arial" w:cs="Arial"/>
          <w:sz w:val="22"/>
          <w:szCs w:val="22"/>
        </w:rPr>
        <w:t xml:space="preserve">     </w:t>
      </w:r>
    </w:p>
    <w:p w14:paraId="35CB372D" w14:textId="77777777" w:rsidR="00FF767D" w:rsidRPr="00F131FC" w:rsidRDefault="00FF767D" w:rsidP="00F131FC">
      <w:pPr>
        <w:spacing w:line="259" w:lineRule="auto"/>
        <w:jc w:val="both"/>
        <w:rPr>
          <w:rFonts w:ascii="Arial" w:hAnsi="Arial" w:cs="Arial"/>
          <w:sz w:val="22"/>
          <w:szCs w:val="22"/>
        </w:rPr>
      </w:pPr>
      <w:r w:rsidRPr="00F131FC">
        <w:rPr>
          <w:rFonts w:ascii="Arial" w:hAnsi="Arial" w:cs="Arial"/>
          <w:sz w:val="22"/>
          <w:szCs w:val="22"/>
        </w:rPr>
        <w:t xml:space="preserve">    Prioritet Centra je kvalitetno obrazovanje i odgoj učenika što ostvarujemo:</w:t>
      </w:r>
    </w:p>
    <w:p w14:paraId="5010973B" w14:textId="77777777" w:rsidR="00FF767D" w:rsidRPr="00F131FC" w:rsidRDefault="00FF767D" w:rsidP="00F131FC">
      <w:pPr>
        <w:spacing w:line="259" w:lineRule="auto"/>
        <w:ind w:left="255"/>
        <w:jc w:val="both"/>
        <w:rPr>
          <w:rFonts w:ascii="Arial" w:hAnsi="Arial" w:cs="Arial"/>
          <w:sz w:val="22"/>
          <w:szCs w:val="22"/>
        </w:rPr>
      </w:pPr>
      <w:r w:rsidRPr="00F131FC">
        <w:rPr>
          <w:rFonts w:ascii="Arial" w:hAnsi="Arial" w:cs="Arial"/>
          <w:sz w:val="22"/>
          <w:szCs w:val="22"/>
        </w:rPr>
        <w:t>-     stalnim usavršavanjem pedagoškog osoblja (seminari, stručni skupovi, aktivi) i podizanjem nastavnog standarda</w:t>
      </w:r>
    </w:p>
    <w:p w14:paraId="2786A321" w14:textId="77777777" w:rsidR="00FF767D" w:rsidRPr="00F131FC" w:rsidRDefault="00FF767D">
      <w:pPr>
        <w:pStyle w:val="Odlomakpopisa"/>
        <w:numPr>
          <w:ilvl w:val="0"/>
          <w:numId w:val="29"/>
        </w:numPr>
        <w:spacing w:after="0" w:line="259" w:lineRule="auto"/>
        <w:jc w:val="both"/>
        <w:rPr>
          <w:rFonts w:ascii="Arial" w:hAnsi="Arial" w:cs="Arial"/>
          <w:szCs w:val="22"/>
        </w:rPr>
      </w:pPr>
      <w:r w:rsidRPr="00F131FC">
        <w:rPr>
          <w:rFonts w:ascii="Arial" w:hAnsi="Arial" w:cs="Arial"/>
          <w:szCs w:val="22"/>
        </w:rPr>
        <w:t xml:space="preserve">organiziranjem zajedničkih aktivnosti učenika i nastavnika tijekom vannastavnih aktivnosti i druženja </w:t>
      </w:r>
    </w:p>
    <w:p w14:paraId="732CE3A8" w14:textId="77777777" w:rsidR="00FF767D" w:rsidRPr="00F131FC" w:rsidRDefault="00FF767D" w:rsidP="00F131FC">
      <w:pPr>
        <w:spacing w:line="259" w:lineRule="auto"/>
        <w:jc w:val="both"/>
        <w:rPr>
          <w:rFonts w:ascii="Arial" w:hAnsi="Arial" w:cs="Arial"/>
          <w:bCs/>
          <w:sz w:val="22"/>
          <w:szCs w:val="22"/>
        </w:rPr>
      </w:pPr>
    </w:p>
    <w:p w14:paraId="0D0236F7" w14:textId="77777777" w:rsidR="00FF767D" w:rsidRPr="00F131FC" w:rsidRDefault="00FF767D" w:rsidP="00F131FC">
      <w:pPr>
        <w:spacing w:line="259" w:lineRule="auto"/>
        <w:jc w:val="both"/>
        <w:rPr>
          <w:rFonts w:ascii="Arial" w:hAnsi="Arial" w:cs="Arial"/>
          <w:bCs/>
          <w:color w:val="FF0000"/>
          <w:sz w:val="22"/>
          <w:szCs w:val="22"/>
        </w:rPr>
      </w:pPr>
    </w:p>
    <w:p w14:paraId="29035522" w14:textId="77777777" w:rsidR="00FF767D" w:rsidRPr="00F131FC" w:rsidRDefault="00FF767D" w:rsidP="00F131FC">
      <w:pPr>
        <w:spacing w:line="259" w:lineRule="auto"/>
        <w:jc w:val="both"/>
        <w:rPr>
          <w:rFonts w:ascii="Arial" w:eastAsia="Calibri" w:hAnsi="Arial" w:cs="Arial"/>
          <w:b/>
          <w:sz w:val="22"/>
          <w:szCs w:val="22"/>
        </w:rPr>
      </w:pPr>
      <w:r w:rsidRPr="00F131FC">
        <w:rPr>
          <w:rFonts w:ascii="Arial" w:eastAsia="Calibri" w:hAnsi="Arial" w:cs="Arial"/>
          <w:b/>
          <w:sz w:val="22"/>
          <w:szCs w:val="22"/>
        </w:rPr>
        <w:t xml:space="preserve">PROGRAM: OBRAZOVANJA- FINANCIRANJE DJELATNOSTI OSNOVNOG ŠKOLSTVA </w:t>
      </w:r>
    </w:p>
    <w:p w14:paraId="7FE5C40D" w14:textId="77777777" w:rsidR="00FF767D" w:rsidRPr="00F131FC" w:rsidRDefault="00FF767D" w:rsidP="00F131FC">
      <w:pPr>
        <w:spacing w:line="259" w:lineRule="auto"/>
        <w:jc w:val="both"/>
        <w:rPr>
          <w:rFonts w:ascii="Arial" w:eastAsia="Calibri" w:hAnsi="Arial" w:cs="Arial"/>
          <w:b/>
          <w:color w:val="FF0000"/>
          <w:sz w:val="22"/>
          <w:szCs w:val="22"/>
        </w:rPr>
      </w:pPr>
    </w:p>
    <w:p w14:paraId="2C9F2A99" w14:textId="77777777" w:rsidR="00FF767D" w:rsidRPr="00F131FC" w:rsidRDefault="00FF767D" w:rsidP="00F131FC">
      <w:pPr>
        <w:spacing w:line="259" w:lineRule="auto"/>
        <w:jc w:val="both"/>
        <w:rPr>
          <w:rFonts w:ascii="Arial" w:eastAsia="Calibri" w:hAnsi="Arial" w:cs="Arial"/>
          <w:sz w:val="22"/>
          <w:szCs w:val="22"/>
          <w:u w:val="single"/>
        </w:rPr>
      </w:pPr>
      <w:r w:rsidRPr="00F131FC">
        <w:rPr>
          <w:rFonts w:ascii="Arial" w:eastAsia="Calibri" w:hAnsi="Arial" w:cs="Arial"/>
          <w:sz w:val="22"/>
          <w:szCs w:val="22"/>
          <w:u w:val="single"/>
        </w:rPr>
        <w:t xml:space="preserve">Zakonska osnova: </w:t>
      </w:r>
    </w:p>
    <w:p w14:paraId="7131FD6E" w14:textId="3842DC30" w:rsidR="00FF767D" w:rsidRPr="00F131FC" w:rsidRDefault="00FF767D" w:rsidP="00F131FC">
      <w:pPr>
        <w:spacing w:line="259" w:lineRule="auto"/>
        <w:jc w:val="both"/>
        <w:rPr>
          <w:rFonts w:ascii="Arial" w:eastAsia="Calibri" w:hAnsi="Arial" w:cs="Arial"/>
          <w:sz w:val="22"/>
          <w:szCs w:val="22"/>
        </w:rPr>
      </w:pPr>
      <w:r w:rsidRPr="00C526AC">
        <w:rPr>
          <w:rFonts w:ascii="Arial" w:eastAsia="Calibri" w:hAnsi="Arial" w:cs="Arial"/>
          <w:sz w:val="22"/>
          <w:szCs w:val="22"/>
        </w:rPr>
        <w:t>-</w:t>
      </w:r>
      <w:r w:rsidR="00C526AC" w:rsidRPr="00C526AC">
        <w:rPr>
          <w:rFonts w:ascii="Arial" w:eastAsia="Calibri" w:hAnsi="Arial" w:cs="Arial"/>
          <w:sz w:val="22"/>
          <w:szCs w:val="22"/>
        </w:rPr>
        <w:t xml:space="preserve"> </w:t>
      </w:r>
      <w:r w:rsidRPr="00F131FC">
        <w:rPr>
          <w:rFonts w:ascii="Arial" w:eastAsia="Calibri" w:hAnsi="Arial" w:cs="Arial"/>
          <w:sz w:val="22"/>
          <w:szCs w:val="22"/>
        </w:rPr>
        <w:t>Zakon o odgoju i obrazovanju u osnovnoj i srednjoj školi („Narodne novine“, broj: 87/08, 86/09, 92/10, 105/10, 90/11, 5/12, 16/12, 86/12, 126/12, 94/13, 152/14, 07/17, 68/18, 98/19, 64/20, 151/22, 155/23, 156/23),</w:t>
      </w:r>
    </w:p>
    <w:p w14:paraId="25D45A9A" w14:textId="77777777" w:rsidR="00FF767D" w:rsidRPr="00F131FC" w:rsidRDefault="00FF767D" w:rsidP="00F131FC">
      <w:pPr>
        <w:spacing w:line="259" w:lineRule="auto"/>
        <w:jc w:val="both"/>
        <w:rPr>
          <w:rFonts w:ascii="Arial" w:eastAsia="Calibri" w:hAnsi="Arial" w:cs="Arial"/>
          <w:sz w:val="22"/>
          <w:szCs w:val="22"/>
        </w:rPr>
      </w:pPr>
      <w:r w:rsidRPr="00F131FC">
        <w:rPr>
          <w:rFonts w:ascii="Arial" w:eastAsia="Calibri" w:hAnsi="Arial" w:cs="Arial"/>
          <w:sz w:val="22"/>
          <w:szCs w:val="22"/>
        </w:rPr>
        <w:t xml:space="preserve">- Zakon o ustanovama (,,Narodne novine“, br. 76/93, 29/97, 47/99, 35/08, 127/19, 151/22)   </w:t>
      </w:r>
    </w:p>
    <w:p w14:paraId="5EA48050" w14:textId="129CB753" w:rsidR="00FF767D" w:rsidRPr="00F131FC" w:rsidRDefault="00FF767D" w:rsidP="00F131FC">
      <w:pPr>
        <w:spacing w:line="259" w:lineRule="auto"/>
        <w:jc w:val="both"/>
        <w:rPr>
          <w:rFonts w:ascii="Arial" w:eastAsia="Calibri" w:hAnsi="Arial" w:cs="Arial"/>
          <w:sz w:val="22"/>
          <w:szCs w:val="22"/>
        </w:rPr>
      </w:pPr>
      <w:r w:rsidRPr="00F131FC">
        <w:rPr>
          <w:rFonts w:ascii="Arial" w:eastAsia="Calibri" w:hAnsi="Arial" w:cs="Arial"/>
          <w:sz w:val="22"/>
          <w:szCs w:val="22"/>
        </w:rPr>
        <w:t>-</w:t>
      </w:r>
      <w:r w:rsidR="00C526AC">
        <w:rPr>
          <w:rFonts w:ascii="Arial" w:eastAsia="Calibri" w:hAnsi="Arial" w:cs="Arial"/>
          <w:sz w:val="22"/>
          <w:szCs w:val="22"/>
        </w:rPr>
        <w:t xml:space="preserve"> </w:t>
      </w:r>
      <w:r w:rsidRPr="00F131FC">
        <w:rPr>
          <w:rFonts w:ascii="Arial" w:eastAsia="Calibri" w:hAnsi="Arial" w:cs="Arial"/>
          <w:sz w:val="22"/>
          <w:szCs w:val="22"/>
        </w:rPr>
        <w:t xml:space="preserve">Zakon o proračunu (,,Narodne novine“, br.144/21), </w:t>
      </w:r>
    </w:p>
    <w:p w14:paraId="67DB6A02" w14:textId="07885933" w:rsidR="00FF767D" w:rsidRPr="00F131FC" w:rsidRDefault="00FF767D" w:rsidP="00F131FC">
      <w:pPr>
        <w:spacing w:line="259" w:lineRule="auto"/>
        <w:jc w:val="both"/>
        <w:rPr>
          <w:rFonts w:ascii="Arial" w:eastAsia="Calibri" w:hAnsi="Arial" w:cs="Arial"/>
          <w:sz w:val="22"/>
          <w:szCs w:val="22"/>
        </w:rPr>
      </w:pPr>
      <w:r w:rsidRPr="00F131FC">
        <w:rPr>
          <w:rFonts w:ascii="Arial" w:eastAsia="Calibri" w:hAnsi="Arial" w:cs="Arial"/>
          <w:sz w:val="22"/>
          <w:szCs w:val="22"/>
        </w:rPr>
        <w:t>-</w:t>
      </w:r>
      <w:r w:rsidR="00C526AC">
        <w:rPr>
          <w:rFonts w:ascii="Arial" w:eastAsia="Calibri" w:hAnsi="Arial" w:cs="Arial"/>
          <w:sz w:val="22"/>
          <w:szCs w:val="22"/>
        </w:rPr>
        <w:t xml:space="preserve"> </w:t>
      </w:r>
      <w:r w:rsidRPr="00F131FC">
        <w:rPr>
          <w:rFonts w:ascii="Arial" w:eastAsia="Calibri" w:hAnsi="Arial" w:cs="Arial"/>
          <w:sz w:val="22"/>
          <w:szCs w:val="22"/>
        </w:rPr>
        <w:t>Pravilnik o proračunskim klasifikacijama (,,Narodne novine“, br. 26/10, 120/13, 01/20, 4/24)   -</w:t>
      </w:r>
      <w:r w:rsidR="00C526AC">
        <w:rPr>
          <w:rFonts w:ascii="Arial" w:eastAsia="Calibri" w:hAnsi="Arial" w:cs="Arial"/>
          <w:sz w:val="22"/>
          <w:szCs w:val="22"/>
        </w:rPr>
        <w:t xml:space="preserve"> </w:t>
      </w:r>
      <w:r w:rsidRPr="00F131FC">
        <w:rPr>
          <w:rFonts w:ascii="Arial" w:eastAsia="Calibri" w:hAnsi="Arial" w:cs="Arial"/>
          <w:sz w:val="22"/>
          <w:szCs w:val="22"/>
        </w:rPr>
        <w:t xml:space="preserve">Pravilnik o proračunskom računovodstvu i računskom planu ( ,,Narodne novine“, br. 124/14, 115/15, 87/16, 3/18, 126/19, 108/20, 158/23, 154/24), </w:t>
      </w:r>
    </w:p>
    <w:p w14:paraId="677EAC9C" w14:textId="70639B1F" w:rsidR="00FF767D" w:rsidRPr="00F131FC" w:rsidRDefault="00FF767D" w:rsidP="00F131FC">
      <w:pPr>
        <w:spacing w:line="259" w:lineRule="auto"/>
        <w:jc w:val="both"/>
        <w:rPr>
          <w:rFonts w:ascii="Arial" w:eastAsia="Calibri" w:hAnsi="Arial" w:cs="Arial"/>
          <w:sz w:val="22"/>
          <w:szCs w:val="22"/>
        </w:rPr>
      </w:pPr>
      <w:r w:rsidRPr="00F131FC">
        <w:rPr>
          <w:rFonts w:ascii="Arial" w:eastAsia="Calibri" w:hAnsi="Arial" w:cs="Arial"/>
          <w:sz w:val="22"/>
          <w:szCs w:val="22"/>
        </w:rPr>
        <w:t>-</w:t>
      </w:r>
      <w:r w:rsidR="00C526AC">
        <w:rPr>
          <w:rFonts w:ascii="Arial" w:eastAsia="Calibri" w:hAnsi="Arial" w:cs="Arial"/>
          <w:sz w:val="22"/>
          <w:szCs w:val="22"/>
        </w:rPr>
        <w:t xml:space="preserve"> </w:t>
      </w:r>
      <w:r w:rsidRPr="00F131FC">
        <w:rPr>
          <w:rFonts w:ascii="Arial" w:eastAsia="Calibri" w:hAnsi="Arial" w:cs="Arial"/>
          <w:sz w:val="22"/>
          <w:szCs w:val="22"/>
        </w:rPr>
        <w:t>Pravilnik o načinu vođenja registra proračunskih i izvanproračunskih korisnika (NN 150/24). -</w:t>
      </w:r>
      <w:r w:rsidR="00C526AC">
        <w:rPr>
          <w:rFonts w:ascii="Arial" w:eastAsia="Calibri" w:hAnsi="Arial" w:cs="Arial"/>
          <w:sz w:val="22"/>
          <w:szCs w:val="22"/>
        </w:rPr>
        <w:t xml:space="preserve"> </w:t>
      </w:r>
      <w:r w:rsidRPr="00F131FC">
        <w:rPr>
          <w:rFonts w:ascii="Arial" w:eastAsia="Calibri" w:hAnsi="Arial" w:cs="Arial"/>
          <w:sz w:val="22"/>
          <w:szCs w:val="22"/>
        </w:rPr>
        <w:t xml:space="preserve">Zakon o fiskalnoj odgovornosti (NN 111/18, 83/23), </w:t>
      </w:r>
    </w:p>
    <w:p w14:paraId="01B0CD5E" w14:textId="7805F4E0" w:rsidR="00FF767D" w:rsidRPr="00F131FC" w:rsidRDefault="00FF767D" w:rsidP="00F131FC">
      <w:pPr>
        <w:spacing w:line="259" w:lineRule="auto"/>
        <w:jc w:val="both"/>
        <w:rPr>
          <w:rFonts w:ascii="Arial" w:eastAsia="Calibri" w:hAnsi="Arial" w:cs="Arial"/>
          <w:sz w:val="22"/>
          <w:szCs w:val="22"/>
        </w:rPr>
      </w:pPr>
      <w:r w:rsidRPr="00F131FC">
        <w:rPr>
          <w:rFonts w:ascii="Arial" w:eastAsia="Calibri" w:hAnsi="Arial" w:cs="Arial"/>
          <w:sz w:val="22"/>
          <w:szCs w:val="22"/>
        </w:rPr>
        <w:lastRenderedPageBreak/>
        <w:t>-</w:t>
      </w:r>
      <w:r w:rsidR="00C526AC">
        <w:rPr>
          <w:rFonts w:ascii="Arial" w:eastAsia="Calibri" w:hAnsi="Arial" w:cs="Arial"/>
          <w:sz w:val="22"/>
          <w:szCs w:val="22"/>
        </w:rPr>
        <w:t xml:space="preserve"> </w:t>
      </w:r>
      <w:r w:rsidRPr="00F131FC">
        <w:rPr>
          <w:rFonts w:ascii="Arial" w:eastAsia="Calibri" w:hAnsi="Arial" w:cs="Arial"/>
          <w:sz w:val="22"/>
          <w:szCs w:val="22"/>
        </w:rPr>
        <w:t xml:space="preserve">Uredba o sastavljanju i predaji izjave o fiskalnoj odgovornosti i izvještaja o primjeni fiskalnih pravila ( NN, 78/11,  106/12, 130/13, 19/15, 119/15, 95/19). </w:t>
      </w:r>
    </w:p>
    <w:p w14:paraId="76C349D0" w14:textId="77777777" w:rsidR="00FF767D" w:rsidRPr="00F131FC" w:rsidRDefault="00FF767D" w:rsidP="00F131FC">
      <w:pPr>
        <w:spacing w:line="259" w:lineRule="auto"/>
        <w:jc w:val="both"/>
        <w:rPr>
          <w:rFonts w:ascii="Arial" w:eastAsia="Calibri" w:hAnsi="Arial" w:cs="Arial"/>
          <w:sz w:val="22"/>
          <w:szCs w:val="22"/>
        </w:rPr>
      </w:pPr>
      <w:r w:rsidRPr="00F131FC">
        <w:rPr>
          <w:rFonts w:ascii="Arial" w:eastAsia="Calibri" w:hAnsi="Arial" w:cs="Arial"/>
          <w:sz w:val="22"/>
          <w:szCs w:val="22"/>
        </w:rPr>
        <w:t>Državni pedagoški standard osnovnoškolskog sustava odgoja(„Narodne novine“, broj: 63/08, 90/10), Nacionalni okvirni kurikulum za predškolski odgoj i obvezno osnovno i srednjoškolsko obrazovanje.</w:t>
      </w:r>
    </w:p>
    <w:p w14:paraId="3CF3B962" w14:textId="77777777" w:rsidR="00FF767D" w:rsidRPr="00F131FC" w:rsidRDefault="00FF767D" w:rsidP="00F131FC">
      <w:pPr>
        <w:spacing w:line="259" w:lineRule="auto"/>
        <w:jc w:val="both"/>
        <w:rPr>
          <w:rFonts w:ascii="Arial" w:eastAsia="Calibri" w:hAnsi="Arial" w:cs="Arial"/>
          <w:color w:val="FF0000"/>
          <w:sz w:val="22"/>
          <w:szCs w:val="22"/>
          <w:u w:val="single"/>
        </w:rPr>
      </w:pPr>
    </w:p>
    <w:p w14:paraId="6D1BC914" w14:textId="77777777" w:rsidR="00FF767D" w:rsidRPr="00F131FC" w:rsidRDefault="00FF767D" w:rsidP="00F131FC">
      <w:pPr>
        <w:spacing w:line="259" w:lineRule="auto"/>
        <w:jc w:val="both"/>
        <w:rPr>
          <w:rFonts w:ascii="Arial" w:eastAsia="Calibri" w:hAnsi="Arial" w:cs="Arial"/>
          <w:sz w:val="22"/>
          <w:szCs w:val="22"/>
          <w:u w:val="single"/>
        </w:rPr>
      </w:pPr>
      <w:r w:rsidRPr="00F131FC">
        <w:rPr>
          <w:rFonts w:ascii="Arial" w:eastAsia="Calibri" w:hAnsi="Arial" w:cs="Arial"/>
          <w:sz w:val="22"/>
          <w:szCs w:val="22"/>
          <w:u w:val="single"/>
        </w:rPr>
        <w:t>Opis i cilj programa:</w:t>
      </w:r>
    </w:p>
    <w:p w14:paraId="5DFDF45B" w14:textId="77777777" w:rsidR="00FF767D" w:rsidRPr="00F131FC" w:rsidRDefault="00FF767D" w:rsidP="00F131FC">
      <w:pPr>
        <w:spacing w:line="259" w:lineRule="auto"/>
        <w:jc w:val="both"/>
        <w:rPr>
          <w:rFonts w:ascii="Arial" w:eastAsia="Calibri" w:hAnsi="Arial" w:cs="Arial"/>
          <w:color w:val="FF0000"/>
          <w:sz w:val="22"/>
          <w:szCs w:val="22"/>
        </w:rPr>
      </w:pPr>
      <w:r w:rsidRPr="00F131FC">
        <w:rPr>
          <w:rFonts w:ascii="Arial" w:eastAsia="Calibri" w:hAnsi="Arial" w:cs="Arial"/>
          <w:sz w:val="22"/>
          <w:szCs w:val="22"/>
        </w:rPr>
        <w:t>Program obuhvaća aktivnosti kojima se osiguravaju  sredstva za financiranje  materijalnih rashoda poslovanja Centra. Cilj programa je provedba aktivnosti uspostave sustava osiguranja kvalitete obveznog odgoja i obrazovanja uz što učinkovitiju i ekonomičniju mrežu osnovnoškolskih ustanova</w:t>
      </w:r>
      <w:r w:rsidRPr="00F131FC">
        <w:rPr>
          <w:rFonts w:ascii="Arial" w:eastAsia="Calibri" w:hAnsi="Arial" w:cs="Arial"/>
          <w:color w:val="FF0000"/>
          <w:sz w:val="22"/>
          <w:szCs w:val="22"/>
        </w:rPr>
        <w:t>.</w:t>
      </w:r>
    </w:p>
    <w:p w14:paraId="72943D11" w14:textId="77777777" w:rsidR="00FF767D" w:rsidRPr="00F131FC" w:rsidRDefault="00FF767D" w:rsidP="00F131FC">
      <w:pPr>
        <w:spacing w:line="259" w:lineRule="auto"/>
        <w:jc w:val="both"/>
        <w:rPr>
          <w:rFonts w:ascii="Arial" w:eastAsia="Calibri" w:hAnsi="Arial" w:cs="Arial"/>
          <w:color w:val="FF0000"/>
          <w:sz w:val="22"/>
          <w:szCs w:val="22"/>
          <w:u w:val="single"/>
        </w:rPr>
      </w:pPr>
    </w:p>
    <w:p w14:paraId="3BF7B89A" w14:textId="77777777" w:rsidR="00FF767D" w:rsidRPr="00F131FC" w:rsidRDefault="00FF767D" w:rsidP="00F131FC">
      <w:pPr>
        <w:spacing w:line="259" w:lineRule="auto"/>
        <w:jc w:val="both"/>
        <w:rPr>
          <w:rFonts w:ascii="Arial" w:eastAsia="Calibri" w:hAnsi="Arial" w:cs="Arial"/>
          <w:sz w:val="22"/>
          <w:szCs w:val="22"/>
          <w:u w:val="single"/>
        </w:rPr>
      </w:pPr>
      <w:r w:rsidRPr="00F131FC">
        <w:rPr>
          <w:rFonts w:ascii="Arial" w:eastAsia="Calibri" w:hAnsi="Arial" w:cs="Arial"/>
          <w:sz w:val="22"/>
          <w:szCs w:val="22"/>
          <w:u w:val="single"/>
        </w:rPr>
        <w:t>Planirana sredstva:</w:t>
      </w:r>
    </w:p>
    <w:p w14:paraId="2971B680" w14:textId="7BC16C2D" w:rsidR="00FF767D" w:rsidRPr="00F131FC" w:rsidRDefault="00FF767D" w:rsidP="00F131FC">
      <w:pPr>
        <w:spacing w:line="259" w:lineRule="auto"/>
        <w:jc w:val="both"/>
        <w:rPr>
          <w:rFonts w:ascii="Arial" w:eastAsia="Calibri" w:hAnsi="Arial" w:cs="Arial"/>
          <w:sz w:val="22"/>
          <w:szCs w:val="22"/>
        </w:rPr>
      </w:pPr>
      <w:r w:rsidRPr="00F131FC">
        <w:rPr>
          <w:rFonts w:ascii="Arial" w:eastAsia="Calibri" w:hAnsi="Arial" w:cs="Arial"/>
          <w:sz w:val="22"/>
          <w:szCs w:val="22"/>
        </w:rPr>
        <w:t xml:space="preserve">Za izvedbu ovog programa planirano je utrošiti 31.000,00 </w:t>
      </w:r>
      <w:r w:rsidR="00BE5AFD" w:rsidRPr="00F131FC">
        <w:rPr>
          <w:rFonts w:ascii="Arial" w:eastAsia="Calibri" w:hAnsi="Arial" w:cs="Arial"/>
          <w:sz w:val="22"/>
          <w:szCs w:val="22"/>
        </w:rPr>
        <w:t>EUR</w:t>
      </w:r>
      <w:r w:rsidRPr="00F131FC">
        <w:rPr>
          <w:rFonts w:ascii="Arial" w:eastAsia="Calibri" w:hAnsi="Arial" w:cs="Arial"/>
          <w:sz w:val="22"/>
          <w:szCs w:val="22"/>
        </w:rPr>
        <w:t xml:space="preserve">. Prvim izmjenama i dopunama financijskog plana povećavaju se za 10.441,00 </w:t>
      </w:r>
      <w:proofErr w:type="spellStart"/>
      <w:r w:rsidRPr="00F131FC">
        <w:rPr>
          <w:rFonts w:ascii="Arial" w:eastAsia="Calibri" w:hAnsi="Arial" w:cs="Arial"/>
          <w:sz w:val="22"/>
          <w:szCs w:val="22"/>
        </w:rPr>
        <w:t>eur</w:t>
      </w:r>
      <w:proofErr w:type="spellEnd"/>
      <w:r w:rsidRPr="00F131FC">
        <w:rPr>
          <w:rFonts w:ascii="Arial" w:eastAsia="Calibri" w:hAnsi="Arial" w:cs="Arial"/>
          <w:sz w:val="22"/>
          <w:szCs w:val="22"/>
        </w:rPr>
        <w:t xml:space="preserve"> i sad iznose 41.441,00 </w:t>
      </w:r>
      <w:proofErr w:type="spellStart"/>
      <w:r w:rsidRPr="00F131FC">
        <w:rPr>
          <w:rFonts w:ascii="Arial" w:eastAsia="Calibri" w:hAnsi="Arial" w:cs="Arial"/>
          <w:sz w:val="22"/>
          <w:szCs w:val="22"/>
        </w:rPr>
        <w:t>eur</w:t>
      </w:r>
      <w:proofErr w:type="spellEnd"/>
      <w:r w:rsidRPr="00F131FC">
        <w:rPr>
          <w:rFonts w:ascii="Arial" w:eastAsia="Calibri" w:hAnsi="Arial" w:cs="Arial"/>
          <w:sz w:val="22"/>
          <w:szCs w:val="22"/>
        </w:rPr>
        <w:t>.</w:t>
      </w:r>
    </w:p>
    <w:p w14:paraId="0A731C14" w14:textId="77777777" w:rsidR="00FF767D" w:rsidRPr="00F131FC" w:rsidRDefault="00FF767D" w:rsidP="00F131FC">
      <w:pPr>
        <w:spacing w:line="259" w:lineRule="auto"/>
        <w:jc w:val="both"/>
        <w:rPr>
          <w:rFonts w:ascii="Arial" w:eastAsia="Calibri" w:hAnsi="Arial" w:cs="Arial"/>
          <w:sz w:val="22"/>
          <w:szCs w:val="22"/>
          <w:u w:val="single"/>
        </w:rPr>
      </w:pPr>
    </w:p>
    <w:p w14:paraId="7D08DAFE" w14:textId="77777777" w:rsidR="00FF767D" w:rsidRPr="00F131FC" w:rsidRDefault="00FF767D" w:rsidP="00F131FC">
      <w:pPr>
        <w:spacing w:line="259" w:lineRule="auto"/>
        <w:jc w:val="both"/>
        <w:rPr>
          <w:rFonts w:ascii="Arial" w:eastAsia="Calibri" w:hAnsi="Arial" w:cs="Arial"/>
          <w:color w:val="000000" w:themeColor="text1"/>
          <w:sz w:val="22"/>
          <w:szCs w:val="22"/>
          <w:u w:val="single"/>
        </w:rPr>
      </w:pPr>
      <w:r w:rsidRPr="00F131FC">
        <w:rPr>
          <w:rFonts w:ascii="Arial" w:eastAsia="Calibri" w:hAnsi="Arial" w:cs="Arial"/>
          <w:color w:val="000000" w:themeColor="text1"/>
          <w:sz w:val="22"/>
          <w:szCs w:val="22"/>
          <w:u w:val="single"/>
        </w:rPr>
        <w:t xml:space="preserve">Dolazi do promjena  unutar pozicija: </w:t>
      </w:r>
    </w:p>
    <w:p w14:paraId="57C63729" w14:textId="77777777" w:rsidR="00FF767D" w:rsidRPr="00F131FC" w:rsidRDefault="00FF767D" w:rsidP="00F131FC">
      <w:pPr>
        <w:spacing w:line="259" w:lineRule="auto"/>
        <w:jc w:val="both"/>
        <w:rPr>
          <w:rFonts w:ascii="Arial" w:eastAsia="Calibri" w:hAnsi="Arial" w:cs="Arial"/>
          <w:color w:val="000000" w:themeColor="text1"/>
          <w:sz w:val="22"/>
          <w:szCs w:val="22"/>
        </w:rPr>
      </w:pPr>
    </w:p>
    <w:p w14:paraId="6A3F0785" w14:textId="5A16DC58" w:rsidR="00FF767D" w:rsidRPr="00F131FC" w:rsidRDefault="00FF767D" w:rsidP="00F131FC">
      <w:pPr>
        <w:spacing w:line="259" w:lineRule="auto"/>
        <w:jc w:val="both"/>
        <w:rPr>
          <w:rFonts w:ascii="Arial" w:eastAsia="Calibri" w:hAnsi="Arial" w:cs="Arial"/>
          <w:color w:val="000000" w:themeColor="text1"/>
          <w:sz w:val="22"/>
          <w:szCs w:val="22"/>
        </w:rPr>
      </w:pPr>
      <w:r w:rsidRPr="00F131FC">
        <w:rPr>
          <w:rFonts w:ascii="Arial" w:eastAsia="Calibri" w:hAnsi="Arial" w:cs="Arial"/>
          <w:color w:val="000000" w:themeColor="text1"/>
          <w:sz w:val="22"/>
          <w:szCs w:val="22"/>
        </w:rPr>
        <w:t xml:space="preserve">Povećane su pozicije: Usluge tekućeg i investicijskog održavanja (3.000,00 </w:t>
      </w:r>
      <w:r w:rsidR="00BE5AFD" w:rsidRPr="00F131FC">
        <w:rPr>
          <w:rFonts w:ascii="Arial" w:eastAsia="Calibri" w:hAnsi="Arial" w:cs="Arial"/>
          <w:color w:val="000000" w:themeColor="text1"/>
          <w:sz w:val="22"/>
          <w:szCs w:val="22"/>
        </w:rPr>
        <w:t>EUR</w:t>
      </w:r>
      <w:r w:rsidRPr="00F131FC">
        <w:rPr>
          <w:rFonts w:ascii="Arial" w:eastAsia="Calibri" w:hAnsi="Arial" w:cs="Arial"/>
          <w:color w:val="000000" w:themeColor="text1"/>
          <w:sz w:val="22"/>
          <w:szCs w:val="22"/>
        </w:rPr>
        <w:t xml:space="preserve">), Komunalne usluge (900,00 </w:t>
      </w:r>
      <w:r w:rsidR="00BE5AFD" w:rsidRPr="00F131FC">
        <w:rPr>
          <w:rFonts w:ascii="Arial" w:eastAsia="Calibri" w:hAnsi="Arial" w:cs="Arial"/>
          <w:color w:val="000000" w:themeColor="text1"/>
          <w:sz w:val="22"/>
          <w:szCs w:val="22"/>
        </w:rPr>
        <w:t>EUR</w:t>
      </w:r>
      <w:r w:rsidRPr="00F131FC">
        <w:rPr>
          <w:rFonts w:ascii="Arial" w:eastAsia="Calibri" w:hAnsi="Arial" w:cs="Arial"/>
          <w:color w:val="000000" w:themeColor="text1"/>
          <w:sz w:val="22"/>
          <w:szCs w:val="22"/>
        </w:rPr>
        <w:t xml:space="preserve">), Pristojbe i naknade (100,00 </w:t>
      </w:r>
      <w:proofErr w:type="spellStart"/>
      <w:r w:rsidRPr="00F131FC">
        <w:rPr>
          <w:rFonts w:ascii="Arial" w:eastAsia="Calibri" w:hAnsi="Arial" w:cs="Arial"/>
          <w:color w:val="000000" w:themeColor="text1"/>
          <w:sz w:val="22"/>
          <w:szCs w:val="22"/>
        </w:rPr>
        <w:t>eur</w:t>
      </w:r>
      <w:proofErr w:type="spellEnd"/>
      <w:r w:rsidRPr="00F131FC">
        <w:rPr>
          <w:rFonts w:ascii="Arial" w:eastAsia="Calibri" w:hAnsi="Arial" w:cs="Arial"/>
          <w:color w:val="000000" w:themeColor="text1"/>
          <w:sz w:val="22"/>
          <w:szCs w:val="22"/>
        </w:rPr>
        <w:t>).</w:t>
      </w:r>
    </w:p>
    <w:p w14:paraId="0F105B2D" w14:textId="77777777" w:rsidR="00FF767D" w:rsidRPr="00F131FC" w:rsidRDefault="00FF767D" w:rsidP="00F131FC">
      <w:pPr>
        <w:spacing w:line="259" w:lineRule="auto"/>
        <w:jc w:val="both"/>
        <w:rPr>
          <w:rFonts w:ascii="Arial" w:eastAsia="Calibri" w:hAnsi="Arial" w:cs="Arial"/>
          <w:color w:val="000000" w:themeColor="text1"/>
          <w:sz w:val="22"/>
          <w:szCs w:val="22"/>
        </w:rPr>
      </w:pPr>
    </w:p>
    <w:p w14:paraId="0186895F" w14:textId="1790349B" w:rsidR="00FF767D" w:rsidRPr="00F131FC" w:rsidRDefault="00FF767D" w:rsidP="00F131FC">
      <w:pPr>
        <w:spacing w:line="259" w:lineRule="auto"/>
        <w:jc w:val="both"/>
        <w:rPr>
          <w:rFonts w:ascii="Arial" w:eastAsia="Calibri" w:hAnsi="Arial" w:cs="Arial"/>
          <w:color w:val="000000" w:themeColor="text1"/>
          <w:sz w:val="22"/>
          <w:szCs w:val="22"/>
        </w:rPr>
      </w:pPr>
      <w:r w:rsidRPr="00F131FC">
        <w:rPr>
          <w:rFonts w:ascii="Arial" w:eastAsia="Calibri" w:hAnsi="Arial" w:cs="Arial"/>
          <w:color w:val="000000" w:themeColor="text1"/>
          <w:sz w:val="22"/>
          <w:szCs w:val="22"/>
        </w:rPr>
        <w:t xml:space="preserve">Smanjene su pozicije: Službena putovanja (400,00 </w:t>
      </w:r>
      <w:r w:rsidR="00BE5AFD" w:rsidRPr="00F131FC">
        <w:rPr>
          <w:rFonts w:ascii="Arial" w:eastAsia="Calibri" w:hAnsi="Arial" w:cs="Arial"/>
          <w:color w:val="000000" w:themeColor="text1"/>
          <w:sz w:val="22"/>
          <w:szCs w:val="22"/>
        </w:rPr>
        <w:t>EUR</w:t>
      </w:r>
      <w:r w:rsidRPr="00F131FC">
        <w:rPr>
          <w:rFonts w:ascii="Arial" w:eastAsia="Calibri" w:hAnsi="Arial" w:cs="Arial"/>
          <w:color w:val="000000" w:themeColor="text1"/>
          <w:sz w:val="22"/>
          <w:szCs w:val="22"/>
        </w:rPr>
        <w:t xml:space="preserve">), Stručno usavršavanje zaposlenika (100,00 </w:t>
      </w:r>
      <w:proofErr w:type="spellStart"/>
      <w:r w:rsidRPr="00F131FC">
        <w:rPr>
          <w:rFonts w:ascii="Arial" w:eastAsia="Calibri" w:hAnsi="Arial" w:cs="Arial"/>
          <w:color w:val="000000" w:themeColor="text1"/>
          <w:sz w:val="22"/>
          <w:szCs w:val="22"/>
        </w:rPr>
        <w:t>eur</w:t>
      </w:r>
      <w:proofErr w:type="spellEnd"/>
      <w:r w:rsidRPr="00F131FC">
        <w:rPr>
          <w:rFonts w:ascii="Arial" w:eastAsia="Calibri" w:hAnsi="Arial" w:cs="Arial"/>
          <w:color w:val="000000" w:themeColor="text1"/>
          <w:sz w:val="22"/>
          <w:szCs w:val="22"/>
        </w:rPr>
        <w:t xml:space="preserve">), Uredski materijal i ostali materijalni rashodi (500,00 </w:t>
      </w:r>
      <w:proofErr w:type="spellStart"/>
      <w:r w:rsidRPr="00F131FC">
        <w:rPr>
          <w:rFonts w:ascii="Arial" w:eastAsia="Calibri" w:hAnsi="Arial" w:cs="Arial"/>
          <w:color w:val="000000" w:themeColor="text1"/>
          <w:sz w:val="22"/>
          <w:szCs w:val="22"/>
        </w:rPr>
        <w:t>eur</w:t>
      </w:r>
      <w:proofErr w:type="spellEnd"/>
      <w:r w:rsidRPr="00F131FC">
        <w:rPr>
          <w:rFonts w:ascii="Arial" w:eastAsia="Calibri" w:hAnsi="Arial" w:cs="Arial"/>
          <w:color w:val="000000" w:themeColor="text1"/>
          <w:sz w:val="22"/>
          <w:szCs w:val="22"/>
        </w:rPr>
        <w:t>).</w:t>
      </w:r>
    </w:p>
    <w:p w14:paraId="2150A195" w14:textId="77777777" w:rsidR="00FF767D" w:rsidRPr="00F131FC" w:rsidRDefault="00FF767D" w:rsidP="00F131FC">
      <w:pPr>
        <w:spacing w:line="259" w:lineRule="auto"/>
        <w:jc w:val="both"/>
        <w:rPr>
          <w:rFonts w:ascii="Arial" w:eastAsia="Calibri" w:hAnsi="Arial" w:cs="Arial"/>
          <w:color w:val="000000" w:themeColor="text1"/>
          <w:sz w:val="22"/>
          <w:szCs w:val="22"/>
          <w:u w:val="single"/>
        </w:rPr>
      </w:pPr>
    </w:p>
    <w:p w14:paraId="2D53A114" w14:textId="77777777" w:rsidR="00FF767D" w:rsidRPr="00F131FC" w:rsidRDefault="00FF767D" w:rsidP="00F131FC">
      <w:pPr>
        <w:spacing w:line="259" w:lineRule="auto"/>
        <w:jc w:val="both"/>
        <w:rPr>
          <w:rFonts w:ascii="Arial" w:eastAsia="Calibri" w:hAnsi="Arial" w:cs="Arial"/>
          <w:color w:val="000000" w:themeColor="text1"/>
          <w:sz w:val="22"/>
          <w:szCs w:val="22"/>
        </w:rPr>
      </w:pPr>
      <w:r w:rsidRPr="00F131FC">
        <w:rPr>
          <w:rFonts w:ascii="Arial" w:eastAsia="Calibri" w:hAnsi="Arial" w:cs="Arial"/>
          <w:color w:val="000000" w:themeColor="text1"/>
          <w:sz w:val="22"/>
          <w:szCs w:val="22"/>
        </w:rPr>
        <w:t>Iz navedenog programa planirane su slijedeće aktivnosti:</w:t>
      </w:r>
    </w:p>
    <w:tbl>
      <w:tblPr>
        <w:tblStyle w:val="Reetkatablice"/>
        <w:tblW w:w="9351" w:type="dxa"/>
        <w:tblLook w:val="04A0" w:firstRow="1" w:lastRow="0" w:firstColumn="1" w:lastColumn="0" w:noHBand="0" w:noVBand="1"/>
      </w:tblPr>
      <w:tblGrid>
        <w:gridCol w:w="785"/>
        <w:gridCol w:w="3974"/>
        <w:gridCol w:w="1168"/>
        <w:gridCol w:w="1404"/>
        <w:gridCol w:w="1123"/>
        <w:gridCol w:w="1240"/>
      </w:tblGrid>
      <w:tr w:rsidR="00FF767D" w14:paraId="3A5D0CAA"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7C575A56" w14:textId="77777777" w:rsidR="00FF767D" w:rsidRDefault="00FF767D">
            <w:pPr>
              <w:rPr>
                <w:rFonts w:ascii="Arial" w:eastAsia="Calibri" w:hAnsi="Arial" w:cs="Arial"/>
                <w:color w:val="000000" w:themeColor="text1"/>
              </w:rPr>
            </w:pPr>
          </w:p>
        </w:tc>
        <w:tc>
          <w:tcPr>
            <w:tcW w:w="3974" w:type="dxa"/>
            <w:tcBorders>
              <w:top w:val="single" w:sz="4" w:space="0" w:color="auto"/>
              <w:left w:val="single" w:sz="4" w:space="0" w:color="auto"/>
              <w:bottom w:val="single" w:sz="4" w:space="0" w:color="auto"/>
              <w:right w:val="single" w:sz="4" w:space="0" w:color="auto"/>
            </w:tcBorders>
            <w:noWrap/>
            <w:hideMark/>
          </w:tcPr>
          <w:p w14:paraId="3E31842D" w14:textId="77777777" w:rsidR="00FF767D" w:rsidRDefault="00FF767D">
            <w:pPr>
              <w:rPr>
                <w:sz w:val="20"/>
                <w:szCs w:val="20"/>
              </w:rPr>
            </w:pPr>
          </w:p>
        </w:tc>
        <w:tc>
          <w:tcPr>
            <w:tcW w:w="978" w:type="dxa"/>
            <w:tcBorders>
              <w:top w:val="single" w:sz="4" w:space="0" w:color="auto"/>
              <w:left w:val="single" w:sz="4" w:space="0" w:color="auto"/>
              <w:bottom w:val="single" w:sz="4" w:space="0" w:color="auto"/>
              <w:right w:val="single" w:sz="4" w:space="0" w:color="auto"/>
            </w:tcBorders>
            <w:noWrap/>
            <w:hideMark/>
          </w:tcPr>
          <w:p w14:paraId="0CA87603" w14:textId="77777777" w:rsidR="00FF767D" w:rsidRDefault="00FF767D">
            <w:pPr>
              <w:rPr>
                <w:sz w:val="20"/>
                <w:szCs w:val="20"/>
              </w:rPr>
            </w:pPr>
          </w:p>
        </w:tc>
        <w:tc>
          <w:tcPr>
            <w:tcW w:w="1404" w:type="dxa"/>
            <w:tcBorders>
              <w:top w:val="single" w:sz="4" w:space="0" w:color="auto"/>
              <w:left w:val="single" w:sz="4" w:space="0" w:color="auto"/>
              <w:bottom w:val="single" w:sz="4" w:space="0" w:color="auto"/>
              <w:right w:val="single" w:sz="4" w:space="0" w:color="auto"/>
            </w:tcBorders>
            <w:noWrap/>
            <w:hideMark/>
          </w:tcPr>
          <w:p w14:paraId="35C40564" w14:textId="77777777" w:rsidR="00FF767D" w:rsidRDefault="00FF767D">
            <w:pPr>
              <w:rPr>
                <w:sz w:val="20"/>
                <w:szCs w:val="20"/>
              </w:rPr>
            </w:pPr>
          </w:p>
        </w:tc>
        <w:tc>
          <w:tcPr>
            <w:tcW w:w="978" w:type="dxa"/>
            <w:tcBorders>
              <w:top w:val="single" w:sz="4" w:space="0" w:color="auto"/>
              <w:left w:val="single" w:sz="4" w:space="0" w:color="auto"/>
              <w:bottom w:val="single" w:sz="4" w:space="0" w:color="auto"/>
              <w:right w:val="single" w:sz="4" w:space="0" w:color="auto"/>
            </w:tcBorders>
            <w:noWrap/>
            <w:hideMark/>
          </w:tcPr>
          <w:p w14:paraId="3C0F9EED" w14:textId="77777777" w:rsidR="00FF767D" w:rsidRDefault="00FF767D">
            <w:pPr>
              <w:rPr>
                <w:sz w:val="20"/>
                <w:szCs w:val="20"/>
              </w:rPr>
            </w:pPr>
          </w:p>
        </w:tc>
        <w:tc>
          <w:tcPr>
            <w:tcW w:w="1240" w:type="dxa"/>
            <w:tcBorders>
              <w:top w:val="single" w:sz="4" w:space="0" w:color="auto"/>
              <w:left w:val="single" w:sz="4" w:space="0" w:color="auto"/>
              <w:bottom w:val="single" w:sz="4" w:space="0" w:color="auto"/>
              <w:right w:val="single" w:sz="4" w:space="0" w:color="auto"/>
            </w:tcBorders>
            <w:noWrap/>
            <w:hideMark/>
          </w:tcPr>
          <w:p w14:paraId="3E50BC85" w14:textId="77777777" w:rsidR="00FF767D" w:rsidRDefault="00FF767D">
            <w:pPr>
              <w:rPr>
                <w:sz w:val="20"/>
                <w:szCs w:val="20"/>
              </w:rPr>
            </w:pPr>
          </w:p>
        </w:tc>
      </w:tr>
      <w:tr w:rsidR="00FF767D" w14:paraId="06B1601F" w14:textId="77777777" w:rsidTr="00FF767D">
        <w:trPr>
          <w:trHeight w:val="510"/>
        </w:trPr>
        <w:tc>
          <w:tcPr>
            <w:tcW w:w="777" w:type="dxa"/>
            <w:tcBorders>
              <w:top w:val="single" w:sz="4" w:space="0" w:color="auto"/>
              <w:left w:val="single" w:sz="4" w:space="0" w:color="auto"/>
              <w:bottom w:val="single" w:sz="4" w:space="0" w:color="auto"/>
              <w:right w:val="single" w:sz="4" w:space="0" w:color="auto"/>
            </w:tcBorders>
            <w:hideMark/>
          </w:tcPr>
          <w:p w14:paraId="1EBBA123" w14:textId="77777777" w:rsidR="00FF767D" w:rsidRDefault="00FF767D">
            <w:pPr>
              <w:jc w:val="both"/>
              <w:rPr>
                <w:rFonts w:ascii="Arial" w:eastAsia="Calibri" w:hAnsi="Arial" w:cs="Arial"/>
                <w:b/>
                <w:bCs/>
                <w:color w:val="000000" w:themeColor="text1"/>
                <w:sz w:val="16"/>
                <w:szCs w:val="16"/>
                <w:lang w:eastAsia="en-US"/>
              </w:rPr>
            </w:pPr>
            <w:r>
              <w:rPr>
                <w:rFonts w:ascii="Arial" w:eastAsia="Calibri" w:hAnsi="Arial" w:cs="Arial"/>
                <w:b/>
                <w:bCs/>
                <w:color w:val="000000" w:themeColor="text1"/>
                <w:sz w:val="16"/>
                <w:szCs w:val="16"/>
              </w:rPr>
              <w:t xml:space="preserve">BROJ </w:t>
            </w:r>
            <w:r>
              <w:rPr>
                <w:rFonts w:ascii="Arial" w:eastAsia="Calibri" w:hAnsi="Arial" w:cs="Arial"/>
                <w:b/>
                <w:bCs/>
                <w:color w:val="000000" w:themeColor="text1"/>
                <w:sz w:val="16"/>
                <w:szCs w:val="16"/>
              </w:rPr>
              <w:br/>
              <w:t>KONTA</w:t>
            </w:r>
          </w:p>
        </w:tc>
        <w:tc>
          <w:tcPr>
            <w:tcW w:w="3974" w:type="dxa"/>
            <w:tcBorders>
              <w:top w:val="single" w:sz="4" w:space="0" w:color="auto"/>
              <w:left w:val="single" w:sz="4" w:space="0" w:color="auto"/>
              <w:bottom w:val="single" w:sz="4" w:space="0" w:color="auto"/>
              <w:right w:val="single" w:sz="4" w:space="0" w:color="auto"/>
            </w:tcBorders>
            <w:noWrap/>
            <w:hideMark/>
          </w:tcPr>
          <w:p w14:paraId="1F218B37"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VRSTA RASHODA / IZDATAKA</w:t>
            </w:r>
          </w:p>
        </w:tc>
        <w:tc>
          <w:tcPr>
            <w:tcW w:w="978" w:type="dxa"/>
            <w:tcBorders>
              <w:top w:val="single" w:sz="4" w:space="0" w:color="auto"/>
              <w:left w:val="single" w:sz="4" w:space="0" w:color="auto"/>
              <w:bottom w:val="single" w:sz="4" w:space="0" w:color="auto"/>
              <w:right w:val="single" w:sz="4" w:space="0" w:color="auto"/>
            </w:tcBorders>
            <w:noWrap/>
            <w:hideMark/>
          </w:tcPr>
          <w:p w14:paraId="64E68C1A"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PLANIRANO</w:t>
            </w:r>
          </w:p>
        </w:tc>
        <w:tc>
          <w:tcPr>
            <w:tcW w:w="1404" w:type="dxa"/>
            <w:tcBorders>
              <w:top w:val="single" w:sz="4" w:space="0" w:color="auto"/>
              <w:left w:val="single" w:sz="4" w:space="0" w:color="auto"/>
              <w:bottom w:val="single" w:sz="4" w:space="0" w:color="auto"/>
              <w:right w:val="single" w:sz="4" w:space="0" w:color="auto"/>
            </w:tcBorders>
            <w:noWrap/>
            <w:hideMark/>
          </w:tcPr>
          <w:p w14:paraId="7B99BA74"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PROMJENA IZNOS</w:t>
            </w:r>
          </w:p>
        </w:tc>
        <w:tc>
          <w:tcPr>
            <w:tcW w:w="978" w:type="dxa"/>
            <w:tcBorders>
              <w:top w:val="single" w:sz="4" w:space="0" w:color="auto"/>
              <w:left w:val="single" w:sz="4" w:space="0" w:color="auto"/>
              <w:bottom w:val="single" w:sz="4" w:space="0" w:color="auto"/>
              <w:right w:val="single" w:sz="4" w:space="0" w:color="auto"/>
            </w:tcBorders>
            <w:hideMark/>
          </w:tcPr>
          <w:p w14:paraId="5392DB64"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 xml:space="preserve">PROMJENA </w:t>
            </w:r>
            <w:r>
              <w:rPr>
                <w:rFonts w:ascii="Arial" w:eastAsia="Calibri" w:hAnsi="Arial" w:cs="Arial"/>
                <w:b/>
                <w:bCs/>
                <w:color w:val="000000" w:themeColor="text1"/>
                <w:sz w:val="16"/>
                <w:szCs w:val="16"/>
              </w:rPr>
              <w:br/>
              <w:t>POSTOTAK</w:t>
            </w:r>
          </w:p>
        </w:tc>
        <w:tc>
          <w:tcPr>
            <w:tcW w:w="1240" w:type="dxa"/>
            <w:tcBorders>
              <w:top w:val="single" w:sz="4" w:space="0" w:color="auto"/>
              <w:left w:val="single" w:sz="4" w:space="0" w:color="auto"/>
              <w:bottom w:val="single" w:sz="4" w:space="0" w:color="auto"/>
              <w:right w:val="single" w:sz="4" w:space="0" w:color="auto"/>
            </w:tcBorders>
            <w:noWrap/>
            <w:hideMark/>
          </w:tcPr>
          <w:p w14:paraId="43F770DB"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NOVI IZNOS</w:t>
            </w:r>
          </w:p>
        </w:tc>
      </w:tr>
      <w:tr w:rsidR="00FF767D" w14:paraId="7B86DEAD"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5DC14194"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 xml:space="preserve">  SVEUKUPNO RASHODI / IZDACI</w:t>
            </w:r>
          </w:p>
        </w:tc>
        <w:tc>
          <w:tcPr>
            <w:tcW w:w="978" w:type="dxa"/>
            <w:tcBorders>
              <w:top w:val="single" w:sz="4" w:space="0" w:color="auto"/>
              <w:left w:val="single" w:sz="4" w:space="0" w:color="auto"/>
              <w:bottom w:val="single" w:sz="4" w:space="0" w:color="auto"/>
              <w:right w:val="single" w:sz="4" w:space="0" w:color="auto"/>
            </w:tcBorders>
            <w:noWrap/>
            <w:hideMark/>
          </w:tcPr>
          <w:p w14:paraId="59FDAD12"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664.020,00</w:t>
            </w:r>
          </w:p>
        </w:tc>
        <w:tc>
          <w:tcPr>
            <w:tcW w:w="1404" w:type="dxa"/>
            <w:tcBorders>
              <w:top w:val="single" w:sz="4" w:space="0" w:color="auto"/>
              <w:left w:val="single" w:sz="4" w:space="0" w:color="auto"/>
              <w:bottom w:val="single" w:sz="4" w:space="0" w:color="auto"/>
              <w:right w:val="single" w:sz="4" w:space="0" w:color="auto"/>
            </w:tcBorders>
            <w:noWrap/>
            <w:hideMark/>
          </w:tcPr>
          <w:p w14:paraId="73E5715D"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36.854,00</w:t>
            </w:r>
          </w:p>
        </w:tc>
        <w:tc>
          <w:tcPr>
            <w:tcW w:w="978" w:type="dxa"/>
            <w:tcBorders>
              <w:top w:val="single" w:sz="4" w:space="0" w:color="auto"/>
              <w:left w:val="single" w:sz="4" w:space="0" w:color="auto"/>
              <w:bottom w:val="single" w:sz="4" w:space="0" w:color="auto"/>
              <w:right w:val="single" w:sz="4" w:space="0" w:color="auto"/>
            </w:tcBorders>
            <w:noWrap/>
            <w:hideMark/>
          </w:tcPr>
          <w:p w14:paraId="443AF738"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5,55</w:t>
            </w:r>
          </w:p>
        </w:tc>
        <w:tc>
          <w:tcPr>
            <w:tcW w:w="1240" w:type="dxa"/>
            <w:tcBorders>
              <w:top w:val="single" w:sz="4" w:space="0" w:color="auto"/>
              <w:left w:val="single" w:sz="4" w:space="0" w:color="auto"/>
              <w:bottom w:val="single" w:sz="4" w:space="0" w:color="auto"/>
              <w:right w:val="single" w:sz="4" w:space="0" w:color="auto"/>
            </w:tcBorders>
            <w:noWrap/>
            <w:hideMark/>
          </w:tcPr>
          <w:p w14:paraId="252AF1B1"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700.874,00</w:t>
            </w:r>
          </w:p>
        </w:tc>
      </w:tr>
      <w:tr w:rsidR="00FF767D" w14:paraId="3EF98634"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001988B7"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Izvor  1. OPĆI PRIHODI I PRIMICI</w:t>
            </w:r>
          </w:p>
        </w:tc>
        <w:tc>
          <w:tcPr>
            <w:tcW w:w="978" w:type="dxa"/>
            <w:tcBorders>
              <w:top w:val="single" w:sz="4" w:space="0" w:color="auto"/>
              <w:left w:val="single" w:sz="4" w:space="0" w:color="auto"/>
              <w:bottom w:val="single" w:sz="4" w:space="0" w:color="auto"/>
              <w:right w:val="single" w:sz="4" w:space="0" w:color="auto"/>
            </w:tcBorders>
            <w:noWrap/>
            <w:hideMark/>
          </w:tcPr>
          <w:p w14:paraId="6E9E7D50"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51.040,00</w:t>
            </w:r>
          </w:p>
        </w:tc>
        <w:tc>
          <w:tcPr>
            <w:tcW w:w="1404" w:type="dxa"/>
            <w:tcBorders>
              <w:top w:val="single" w:sz="4" w:space="0" w:color="auto"/>
              <w:left w:val="single" w:sz="4" w:space="0" w:color="auto"/>
              <w:bottom w:val="single" w:sz="4" w:space="0" w:color="auto"/>
              <w:right w:val="single" w:sz="4" w:space="0" w:color="auto"/>
            </w:tcBorders>
            <w:noWrap/>
            <w:hideMark/>
          </w:tcPr>
          <w:p w14:paraId="513A660A"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2.500,00</w:t>
            </w:r>
          </w:p>
        </w:tc>
        <w:tc>
          <w:tcPr>
            <w:tcW w:w="978" w:type="dxa"/>
            <w:tcBorders>
              <w:top w:val="single" w:sz="4" w:space="0" w:color="auto"/>
              <w:left w:val="single" w:sz="4" w:space="0" w:color="auto"/>
              <w:bottom w:val="single" w:sz="4" w:space="0" w:color="auto"/>
              <w:right w:val="single" w:sz="4" w:space="0" w:color="auto"/>
            </w:tcBorders>
            <w:noWrap/>
            <w:hideMark/>
          </w:tcPr>
          <w:p w14:paraId="48697E8D"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4,90</w:t>
            </w:r>
          </w:p>
        </w:tc>
        <w:tc>
          <w:tcPr>
            <w:tcW w:w="1240" w:type="dxa"/>
            <w:tcBorders>
              <w:top w:val="single" w:sz="4" w:space="0" w:color="auto"/>
              <w:left w:val="single" w:sz="4" w:space="0" w:color="auto"/>
              <w:bottom w:val="single" w:sz="4" w:space="0" w:color="auto"/>
              <w:right w:val="single" w:sz="4" w:space="0" w:color="auto"/>
            </w:tcBorders>
            <w:noWrap/>
            <w:hideMark/>
          </w:tcPr>
          <w:p w14:paraId="1228B6CD"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53.540,00</w:t>
            </w:r>
          </w:p>
        </w:tc>
      </w:tr>
      <w:tr w:rsidR="00FF767D" w14:paraId="577B491F"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059E476B"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Izvor  1.1. PRIHODI IZ NADLEŽNOG PRORAČUNA</w:t>
            </w:r>
          </w:p>
        </w:tc>
        <w:tc>
          <w:tcPr>
            <w:tcW w:w="978" w:type="dxa"/>
            <w:tcBorders>
              <w:top w:val="single" w:sz="4" w:space="0" w:color="auto"/>
              <w:left w:val="single" w:sz="4" w:space="0" w:color="auto"/>
              <w:bottom w:val="single" w:sz="4" w:space="0" w:color="auto"/>
              <w:right w:val="single" w:sz="4" w:space="0" w:color="auto"/>
            </w:tcBorders>
            <w:noWrap/>
            <w:hideMark/>
          </w:tcPr>
          <w:p w14:paraId="24269523"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51.040,00</w:t>
            </w:r>
          </w:p>
        </w:tc>
        <w:tc>
          <w:tcPr>
            <w:tcW w:w="1404" w:type="dxa"/>
            <w:tcBorders>
              <w:top w:val="single" w:sz="4" w:space="0" w:color="auto"/>
              <w:left w:val="single" w:sz="4" w:space="0" w:color="auto"/>
              <w:bottom w:val="single" w:sz="4" w:space="0" w:color="auto"/>
              <w:right w:val="single" w:sz="4" w:space="0" w:color="auto"/>
            </w:tcBorders>
            <w:noWrap/>
            <w:hideMark/>
          </w:tcPr>
          <w:p w14:paraId="77341B34"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2.500,00</w:t>
            </w:r>
          </w:p>
        </w:tc>
        <w:tc>
          <w:tcPr>
            <w:tcW w:w="978" w:type="dxa"/>
            <w:tcBorders>
              <w:top w:val="single" w:sz="4" w:space="0" w:color="auto"/>
              <w:left w:val="single" w:sz="4" w:space="0" w:color="auto"/>
              <w:bottom w:val="single" w:sz="4" w:space="0" w:color="auto"/>
              <w:right w:val="single" w:sz="4" w:space="0" w:color="auto"/>
            </w:tcBorders>
            <w:noWrap/>
            <w:hideMark/>
          </w:tcPr>
          <w:p w14:paraId="2504A2A3"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4,90</w:t>
            </w:r>
          </w:p>
        </w:tc>
        <w:tc>
          <w:tcPr>
            <w:tcW w:w="1240" w:type="dxa"/>
            <w:tcBorders>
              <w:top w:val="single" w:sz="4" w:space="0" w:color="auto"/>
              <w:left w:val="single" w:sz="4" w:space="0" w:color="auto"/>
              <w:bottom w:val="single" w:sz="4" w:space="0" w:color="auto"/>
              <w:right w:val="single" w:sz="4" w:space="0" w:color="auto"/>
            </w:tcBorders>
            <w:noWrap/>
            <w:hideMark/>
          </w:tcPr>
          <w:p w14:paraId="3DE00DB9"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53.540,00</w:t>
            </w:r>
          </w:p>
        </w:tc>
      </w:tr>
      <w:tr w:rsidR="00FF767D" w14:paraId="36B9EF65"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2FB11F14"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Razdjel 500 UPRAVNI ODJEL ZA DRUŠTVENE DJELATNOSTI</w:t>
            </w:r>
          </w:p>
        </w:tc>
        <w:tc>
          <w:tcPr>
            <w:tcW w:w="978" w:type="dxa"/>
            <w:tcBorders>
              <w:top w:val="single" w:sz="4" w:space="0" w:color="auto"/>
              <w:left w:val="single" w:sz="4" w:space="0" w:color="auto"/>
              <w:bottom w:val="single" w:sz="4" w:space="0" w:color="auto"/>
              <w:right w:val="single" w:sz="4" w:space="0" w:color="auto"/>
            </w:tcBorders>
            <w:noWrap/>
            <w:hideMark/>
          </w:tcPr>
          <w:p w14:paraId="3901FC90"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51.040,00</w:t>
            </w:r>
          </w:p>
        </w:tc>
        <w:tc>
          <w:tcPr>
            <w:tcW w:w="1404" w:type="dxa"/>
            <w:tcBorders>
              <w:top w:val="single" w:sz="4" w:space="0" w:color="auto"/>
              <w:left w:val="single" w:sz="4" w:space="0" w:color="auto"/>
              <w:bottom w:val="single" w:sz="4" w:space="0" w:color="auto"/>
              <w:right w:val="single" w:sz="4" w:space="0" w:color="auto"/>
            </w:tcBorders>
            <w:noWrap/>
            <w:hideMark/>
          </w:tcPr>
          <w:p w14:paraId="1C42DFEE"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2.500,00</w:t>
            </w:r>
          </w:p>
        </w:tc>
        <w:tc>
          <w:tcPr>
            <w:tcW w:w="978" w:type="dxa"/>
            <w:tcBorders>
              <w:top w:val="single" w:sz="4" w:space="0" w:color="auto"/>
              <w:left w:val="single" w:sz="4" w:space="0" w:color="auto"/>
              <w:bottom w:val="single" w:sz="4" w:space="0" w:color="auto"/>
              <w:right w:val="single" w:sz="4" w:space="0" w:color="auto"/>
            </w:tcBorders>
            <w:noWrap/>
            <w:hideMark/>
          </w:tcPr>
          <w:p w14:paraId="4C95691A"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4,90</w:t>
            </w:r>
          </w:p>
        </w:tc>
        <w:tc>
          <w:tcPr>
            <w:tcW w:w="1240" w:type="dxa"/>
            <w:tcBorders>
              <w:top w:val="single" w:sz="4" w:space="0" w:color="auto"/>
              <w:left w:val="single" w:sz="4" w:space="0" w:color="auto"/>
              <w:bottom w:val="single" w:sz="4" w:space="0" w:color="auto"/>
              <w:right w:val="single" w:sz="4" w:space="0" w:color="auto"/>
            </w:tcBorders>
            <w:noWrap/>
            <w:hideMark/>
          </w:tcPr>
          <w:p w14:paraId="1AEDFAC4"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53.540,00</w:t>
            </w:r>
          </w:p>
        </w:tc>
      </w:tr>
      <w:tr w:rsidR="00FF767D" w14:paraId="44C51353"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1621C664"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Glava 50003 USTANOVE ŠKOLSTVA</w:t>
            </w:r>
          </w:p>
        </w:tc>
        <w:tc>
          <w:tcPr>
            <w:tcW w:w="978" w:type="dxa"/>
            <w:tcBorders>
              <w:top w:val="single" w:sz="4" w:space="0" w:color="auto"/>
              <w:left w:val="single" w:sz="4" w:space="0" w:color="auto"/>
              <w:bottom w:val="single" w:sz="4" w:space="0" w:color="auto"/>
              <w:right w:val="single" w:sz="4" w:space="0" w:color="auto"/>
            </w:tcBorders>
            <w:noWrap/>
            <w:hideMark/>
          </w:tcPr>
          <w:p w14:paraId="28C4B5DC"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51.040,00</w:t>
            </w:r>
          </w:p>
        </w:tc>
        <w:tc>
          <w:tcPr>
            <w:tcW w:w="1404" w:type="dxa"/>
            <w:tcBorders>
              <w:top w:val="single" w:sz="4" w:space="0" w:color="auto"/>
              <w:left w:val="single" w:sz="4" w:space="0" w:color="auto"/>
              <w:bottom w:val="single" w:sz="4" w:space="0" w:color="auto"/>
              <w:right w:val="single" w:sz="4" w:space="0" w:color="auto"/>
            </w:tcBorders>
            <w:noWrap/>
            <w:hideMark/>
          </w:tcPr>
          <w:p w14:paraId="1D816FFF"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2.500,00</w:t>
            </w:r>
          </w:p>
        </w:tc>
        <w:tc>
          <w:tcPr>
            <w:tcW w:w="978" w:type="dxa"/>
            <w:tcBorders>
              <w:top w:val="single" w:sz="4" w:space="0" w:color="auto"/>
              <w:left w:val="single" w:sz="4" w:space="0" w:color="auto"/>
              <w:bottom w:val="single" w:sz="4" w:space="0" w:color="auto"/>
              <w:right w:val="single" w:sz="4" w:space="0" w:color="auto"/>
            </w:tcBorders>
            <w:noWrap/>
            <w:hideMark/>
          </w:tcPr>
          <w:p w14:paraId="09B25086"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4,90</w:t>
            </w:r>
          </w:p>
        </w:tc>
        <w:tc>
          <w:tcPr>
            <w:tcW w:w="1240" w:type="dxa"/>
            <w:tcBorders>
              <w:top w:val="single" w:sz="4" w:space="0" w:color="auto"/>
              <w:left w:val="single" w:sz="4" w:space="0" w:color="auto"/>
              <w:bottom w:val="single" w:sz="4" w:space="0" w:color="auto"/>
              <w:right w:val="single" w:sz="4" w:space="0" w:color="auto"/>
            </w:tcBorders>
            <w:noWrap/>
            <w:hideMark/>
          </w:tcPr>
          <w:p w14:paraId="18C7D1B7" w14:textId="77777777" w:rsidR="00FF767D" w:rsidRDefault="00FF767D">
            <w:pPr>
              <w:jc w:val="both"/>
              <w:rPr>
                <w:rFonts w:ascii="Arial" w:eastAsia="Calibri" w:hAnsi="Arial" w:cs="Arial"/>
                <w:b/>
                <w:bCs/>
                <w:color w:val="000000" w:themeColor="text1"/>
                <w:sz w:val="16"/>
                <w:szCs w:val="16"/>
              </w:rPr>
            </w:pPr>
            <w:r>
              <w:rPr>
                <w:rFonts w:ascii="Arial" w:eastAsia="Calibri" w:hAnsi="Arial" w:cs="Arial"/>
                <w:b/>
                <w:bCs/>
                <w:color w:val="000000" w:themeColor="text1"/>
                <w:sz w:val="16"/>
                <w:szCs w:val="16"/>
              </w:rPr>
              <w:t>53.540,00</w:t>
            </w:r>
          </w:p>
        </w:tc>
      </w:tr>
      <w:tr w:rsidR="00FF767D" w14:paraId="52C5294D"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578339AF"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Proračunski korisnik 10645 CENTAR LIČE FARAGUNA LABIN</w:t>
            </w:r>
          </w:p>
        </w:tc>
        <w:tc>
          <w:tcPr>
            <w:tcW w:w="978" w:type="dxa"/>
            <w:tcBorders>
              <w:top w:val="single" w:sz="4" w:space="0" w:color="auto"/>
              <w:left w:val="single" w:sz="4" w:space="0" w:color="auto"/>
              <w:bottom w:val="single" w:sz="4" w:space="0" w:color="auto"/>
              <w:right w:val="single" w:sz="4" w:space="0" w:color="auto"/>
            </w:tcBorders>
            <w:noWrap/>
            <w:hideMark/>
          </w:tcPr>
          <w:p w14:paraId="6048C2F1"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51.040,00</w:t>
            </w:r>
          </w:p>
        </w:tc>
        <w:tc>
          <w:tcPr>
            <w:tcW w:w="1404" w:type="dxa"/>
            <w:tcBorders>
              <w:top w:val="single" w:sz="4" w:space="0" w:color="auto"/>
              <w:left w:val="single" w:sz="4" w:space="0" w:color="auto"/>
              <w:bottom w:val="single" w:sz="4" w:space="0" w:color="auto"/>
              <w:right w:val="single" w:sz="4" w:space="0" w:color="auto"/>
            </w:tcBorders>
            <w:noWrap/>
            <w:hideMark/>
          </w:tcPr>
          <w:p w14:paraId="626B859E"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2.500,00</w:t>
            </w:r>
          </w:p>
        </w:tc>
        <w:tc>
          <w:tcPr>
            <w:tcW w:w="978" w:type="dxa"/>
            <w:tcBorders>
              <w:top w:val="single" w:sz="4" w:space="0" w:color="auto"/>
              <w:left w:val="single" w:sz="4" w:space="0" w:color="auto"/>
              <w:bottom w:val="single" w:sz="4" w:space="0" w:color="auto"/>
              <w:right w:val="single" w:sz="4" w:space="0" w:color="auto"/>
            </w:tcBorders>
            <w:noWrap/>
            <w:hideMark/>
          </w:tcPr>
          <w:p w14:paraId="51F1F815"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4,90</w:t>
            </w:r>
          </w:p>
        </w:tc>
        <w:tc>
          <w:tcPr>
            <w:tcW w:w="1240" w:type="dxa"/>
            <w:tcBorders>
              <w:top w:val="single" w:sz="4" w:space="0" w:color="auto"/>
              <w:left w:val="single" w:sz="4" w:space="0" w:color="auto"/>
              <w:bottom w:val="single" w:sz="4" w:space="0" w:color="auto"/>
              <w:right w:val="single" w:sz="4" w:space="0" w:color="auto"/>
            </w:tcBorders>
            <w:noWrap/>
            <w:hideMark/>
          </w:tcPr>
          <w:p w14:paraId="4AC716DE"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53.540,00</w:t>
            </w:r>
          </w:p>
        </w:tc>
      </w:tr>
      <w:tr w:rsidR="00FF767D" w14:paraId="080B7AAF"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70CE42F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Glavni program L01 JEDINSTVENI GLAVNI PROGRAM</w:t>
            </w:r>
          </w:p>
        </w:tc>
        <w:tc>
          <w:tcPr>
            <w:tcW w:w="978" w:type="dxa"/>
            <w:tcBorders>
              <w:top w:val="single" w:sz="4" w:space="0" w:color="auto"/>
              <w:left w:val="single" w:sz="4" w:space="0" w:color="auto"/>
              <w:bottom w:val="single" w:sz="4" w:space="0" w:color="auto"/>
              <w:right w:val="single" w:sz="4" w:space="0" w:color="auto"/>
            </w:tcBorders>
            <w:noWrap/>
            <w:hideMark/>
          </w:tcPr>
          <w:p w14:paraId="33EBEF53"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51.040,00</w:t>
            </w:r>
          </w:p>
        </w:tc>
        <w:tc>
          <w:tcPr>
            <w:tcW w:w="1404" w:type="dxa"/>
            <w:tcBorders>
              <w:top w:val="single" w:sz="4" w:space="0" w:color="auto"/>
              <w:left w:val="single" w:sz="4" w:space="0" w:color="auto"/>
              <w:bottom w:val="single" w:sz="4" w:space="0" w:color="auto"/>
              <w:right w:val="single" w:sz="4" w:space="0" w:color="auto"/>
            </w:tcBorders>
            <w:noWrap/>
            <w:hideMark/>
          </w:tcPr>
          <w:p w14:paraId="7D4904B6"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2.500,00</w:t>
            </w:r>
          </w:p>
        </w:tc>
        <w:tc>
          <w:tcPr>
            <w:tcW w:w="978" w:type="dxa"/>
            <w:tcBorders>
              <w:top w:val="single" w:sz="4" w:space="0" w:color="auto"/>
              <w:left w:val="single" w:sz="4" w:space="0" w:color="auto"/>
              <w:bottom w:val="single" w:sz="4" w:space="0" w:color="auto"/>
              <w:right w:val="single" w:sz="4" w:space="0" w:color="auto"/>
            </w:tcBorders>
            <w:noWrap/>
            <w:hideMark/>
          </w:tcPr>
          <w:p w14:paraId="7546B7D8"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4,90</w:t>
            </w:r>
          </w:p>
        </w:tc>
        <w:tc>
          <w:tcPr>
            <w:tcW w:w="1240" w:type="dxa"/>
            <w:tcBorders>
              <w:top w:val="single" w:sz="4" w:space="0" w:color="auto"/>
              <w:left w:val="single" w:sz="4" w:space="0" w:color="auto"/>
              <w:bottom w:val="single" w:sz="4" w:space="0" w:color="auto"/>
              <w:right w:val="single" w:sz="4" w:space="0" w:color="auto"/>
            </w:tcBorders>
            <w:noWrap/>
            <w:hideMark/>
          </w:tcPr>
          <w:p w14:paraId="3507D1E1"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53.540,00</w:t>
            </w:r>
          </w:p>
        </w:tc>
      </w:tr>
      <w:tr w:rsidR="00FF767D" w14:paraId="7E779CD0"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3B6E4C2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Program 5002 Obrazovanje</w:t>
            </w:r>
          </w:p>
        </w:tc>
        <w:tc>
          <w:tcPr>
            <w:tcW w:w="978" w:type="dxa"/>
            <w:tcBorders>
              <w:top w:val="single" w:sz="4" w:space="0" w:color="auto"/>
              <w:left w:val="single" w:sz="4" w:space="0" w:color="auto"/>
              <w:bottom w:val="single" w:sz="4" w:space="0" w:color="auto"/>
              <w:right w:val="single" w:sz="4" w:space="0" w:color="auto"/>
            </w:tcBorders>
            <w:noWrap/>
            <w:hideMark/>
          </w:tcPr>
          <w:p w14:paraId="116CB0C4"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51.040,00</w:t>
            </w:r>
          </w:p>
        </w:tc>
        <w:tc>
          <w:tcPr>
            <w:tcW w:w="1404" w:type="dxa"/>
            <w:tcBorders>
              <w:top w:val="single" w:sz="4" w:space="0" w:color="auto"/>
              <w:left w:val="single" w:sz="4" w:space="0" w:color="auto"/>
              <w:bottom w:val="single" w:sz="4" w:space="0" w:color="auto"/>
              <w:right w:val="single" w:sz="4" w:space="0" w:color="auto"/>
            </w:tcBorders>
            <w:noWrap/>
            <w:hideMark/>
          </w:tcPr>
          <w:p w14:paraId="11C609F3"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2.500,00</w:t>
            </w:r>
          </w:p>
        </w:tc>
        <w:tc>
          <w:tcPr>
            <w:tcW w:w="978" w:type="dxa"/>
            <w:tcBorders>
              <w:top w:val="single" w:sz="4" w:space="0" w:color="auto"/>
              <w:left w:val="single" w:sz="4" w:space="0" w:color="auto"/>
              <w:bottom w:val="single" w:sz="4" w:space="0" w:color="auto"/>
              <w:right w:val="single" w:sz="4" w:space="0" w:color="auto"/>
            </w:tcBorders>
            <w:noWrap/>
            <w:hideMark/>
          </w:tcPr>
          <w:p w14:paraId="75787256"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4,90</w:t>
            </w:r>
          </w:p>
        </w:tc>
        <w:tc>
          <w:tcPr>
            <w:tcW w:w="1240" w:type="dxa"/>
            <w:tcBorders>
              <w:top w:val="single" w:sz="4" w:space="0" w:color="auto"/>
              <w:left w:val="single" w:sz="4" w:space="0" w:color="auto"/>
              <w:bottom w:val="single" w:sz="4" w:space="0" w:color="auto"/>
              <w:right w:val="single" w:sz="4" w:space="0" w:color="auto"/>
            </w:tcBorders>
            <w:noWrap/>
            <w:hideMark/>
          </w:tcPr>
          <w:p w14:paraId="28C73CE3"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53.540,00</w:t>
            </w:r>
          </w:p>
        </w:tc>
      </w:tr>
      <w:tr w:rsidR="00E16B60" w:rsidRPr="00E16B60" w14:paraId="6512AB2F" w14:textId="77777777" w:rsidTr="00E16B60">
        <w:trPr>
          <w:trHeight w:val="255"/>
        </w:trPr>
        <w:tc>
          <w:tcPr>
            <w:tcW w:w="475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DC7DB49"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Aktivnost A500003 Financiranje djelatnosti osnovnog školstva</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73465F3"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2.200,00</w:t>
            </w:r>
          </w:p>
        </w:tc>
        <w:tc>
          <w:tcPr>
            <w:tcW w:w="1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037DA5F"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2.500,00</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79C11FBD"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113,64</w:t>
            </w:r>
          </w:p>
        </w:tc>
        <w:tc>
          <w:tcPr>
            <w:tcW w:w="1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0EB7C78"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4.700,00</w:t>
            </w:r>
          </w:p>
        </w:tc>
      </w:tr>
      <w:tr w:rsidR="00FF767D" w14:paraId="7356DD04"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183E0EA2"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w:t>
            </w:r>
          </w:p>
        </w:tc>
        <w:tc>
          <w:tcPr>
            <w:tcW w:w="3974" w:type="dxa"/>
            <w:tcBorders>
              <w:top w:val="single" w:sz="4" w:space="0" w:color="auto"/>
              <w:left w:val="single" w:sz="4" w:space="0" w:color="auto"/>
              <w:bottom w:val="single" w:sz="4" w:space="0" w:color="auto"/>
              <w:right w:val="single" w:sz="4" w:space="0" w:color="auto"/>
            </w:tcBorders>
            <w:noWrap/>
            <w:hideMark/>
          </w:tcPr>
          <w:p w14:paraId="1FC412A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Rashodi poslovanja</w:t>
            </w:r>
          </w:p>
        </w:tc>
        <w:tc>
          <w:tcPr>
            <w:tcW w:w="978" w:type="dxa"/>
            <w:tcBorders>
              <w:top w:val="single" w:sz="4" w:space="0" w:color="auto"/>
              <w:left w:val="single" w:sz="4" w:space="0" w:color="auto"/>
              <w:bottom w:val="single" w:sz="4" w:space="0" w:color="auto"/>
              <w:right w:val="single" w:sz="4" w:space="0" w:color="auto"/>
            </w:tcBorders>
            <w:noWrap/>
            <w:hideMark/>
          </w:tcPr>
          <w:p w14:paraId="400C542E"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2.200,00</w:t>
            </w:r>
          </w:p>
        </w:tc>
        <w:tc>
          <w:tcPr>
            <w:tcW w:w="1404" w:type="dxa"/>
            <w:tcBorders>
              <w:top w:val="single" w:sz="4" w:space="0" w:color="auto"/>
              <w:left w:val="single" w:sz="4" w:space="0" w:color="auto"/>
              <w:bottom w:val="single" w:sz="4" w:space="0" w:color="auto"/>
              <w:right w:val="single" w:sz="4" w:space="0" w:color="auto"/>
            </w:tcBorders>
            <w:noWrap/>
            <w:hideMark/>
          </w:tcPr>
          <w:p w14:paraId="34063570"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2.500,00</w:t>
            </w:r>
          </w:p>
        </w:tc>
        <w:tc>
          <w:tcPr>
            <w:tcW w:w="978" w:type="dxa"/>
            <w:tcBorders>
              <w:top w:val="single" w:sz="4" w:space="0" w:color="auto"/>
              <w:left w:val="single" w:sz="4" w:space="0" w:color="auto"/>
              <w:bottom w:val="single" w:sz="4" w:space="0" w:color="auto"/>
              <w:right w:val="single" w:sz="4" w:space="0" w:color="auto"/>
            </w:tcBorders>
            <w:noWrap/>
            <w:hideMark/>
          </w:tcPr>
          <w:p w14:paraId="6D3CE386"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113,64</w:t>
            </w:r>
          </w:p>
        </w:tc>
        <w:tc>
          <w:tcPr>
            <w:tcW w:w="1240" w:type="dxa"/>
            <w:tcBorders>
              <w:top w:val="single" w:sz="4" w:space="0" w:color="auto"/>
              <w:left w:val="single" w:sz="4" w:space="0" w:color="auto"/>
              <w:bottom w:val="single" w:sz="4" w:space="0" w:color="auto"/>
              <w:right w:val="single" w:sz="4" w:space="0" w:color="auto"/>
            </w:tcBorders>
            <w:noWrap/>
            <w:hideMark/>
          </w:tcPr>
          <w:p w14:paraId="53F183B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4.700,00</w:t>
            </w:r>
          </w:p>
        </w:tc>
      </w:tr>
      <w:tr w:rsidR="00FF767D" w14:paraId="4DEA8C41"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6669E4FA"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32</w:t>
            </w:r>
          </w:p>
        </w:tc>
        <w:tc>
          <w:tcPr>
            <w:tcW w:w="3974" w:type="dxa"/>
            <w:tcBorders>
              <w:top w:val="single" w:sz="4" w:space="0" w:color="auto"/>
              <w:left w:val="single" w:sz="4" w:space="0" w:color="auto"/>
              <w:bottom w:val="single" w:sz="4" w:space="0" w:color="auto"/>
              <w:right w:val="single" w:sz="4" w:space="0" w:color="auto"/>
            </w:tcBorders>
            <w:noWrap/>
            <w:hideMark/>
          </w:tcPr>
          <w:p w14:paraId="078234D9"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Materijalni rashodi</w:t>
            </w:r>
          </w:p>
        </w:tc>
        <w:tc>
          <w:tcPr>
            <w:tcW w:w="978" w:type="dxa"/>
            <w:tcBorders>
              <w:top w:val="single" w:sz="4" w:space="0" w:color="auto"/>
              <w:left w:val="single" w:sz="4" w:space="0" w:color="auto"/>
              <w:bottom w:val="single" w:sz="4" w:space="0" w:color="auto"/>
              <w:right w:val="single" w:sz="4" w:space="0" w:color="auto"/>
            </w:tcBorders>
            <w:noWrap/>
            <w:hideMark/>
          </w:tcPr>
          <w:p w14:paraId="29321D22"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2.200,00</w:t>
            </w:r>
          </w:p>
        </w:tc>
        <w:tc>
          <w:tcPr>
            <w:tcW w:w="1404" w:type="dxa"/>
            <w:tcBorders>
              <w:top w:val="single" w:sz="4" w:space="0" w:color="auto"/>
              <w:left w:val="single" w:sz="4" w:space="0" w:color="auto"/>
              <w:bottom w:val="single" w:sz="4" w:space="0" w:color="auto"/>
              <w:right w:val="single" w:sz="4" w:space="0" w:color="auto"/>
            </w:tcBorders>
            <w:noWrap/>
            <w:hideMark/>
          </w:tcPr>
          <w:p w14:paraId="029472F4"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2.500,00</w:t>
            </w:r>
          </w:p>
        </w:tc>
        <w:tc>
          <w:tcPr>
            <w:tcW w:w="978" w:type="dxa"/>
            <w:tcBorders>
              <w:top w:val="single" w:sz="4" w:space="0" w:color="auto"/>
              <w:left w:val="single" w:sz="4" w:space="0" w:color="auto"/>
              <w:bottom w:val="single" w:sz="4" w:space="0" w:color="auto"/>
              <w:right w:val="single" w:sz="4" w:space="0" w:color="auto"/>
            </w:tcBorders>
            <w:noWrap/>
            <w:hideMark/>
          </w:tcPr>
          <w:p w14:paraId="140AA6B4"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113,64</w:t>
            </w:r>
          </w:p>
        </w:tc>
        <w:tc>
          <w:tcPr>
            <w:tcW w:w="1240" w:type="dxa"/>
            <w:tcBorders>
              <w:top w:val="single" w:sz="4" w:space="0" w:color="auto"/>
              <w:left w:val="single" w:sz="4" w:space="0" w:color="auto"/>
              <w:bottom w:val="single" w:sz="4" w:space="0" w:color="auto"/>
              <w:right w:val="single" w:sz="4" w:space="0" w:color="auto"/>
            </w:tcBorders>
            <w:noWrap/>
            <w:hideMark/>
          </w:tcPr>
          <w:p w14:paraId="77A9F35F"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4.700,00</w:t>
            </w:r>
          </w:p>
        </w:tc>
      </w:tr>
      <w:tr w:rsidR="00E16B60" w:rsidRPr="00E16B60" w14:paraId="2C7569A2" w14:textId="77777777" w:rsidTr="00E16B60">
        <w:trPr>
          <w:trHeight w:val="255"/>
        </w:trPr>
        <w:tc>
          <w:tcPr>
            <w:tcW w:w="475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A13867C"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Aktivnost A500006 Osiguranje pomoćnika učenicima s teškoćama</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A1B19F7"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31.400,00</w:t>
            </w:r>
          </w:p>
        </w:tc>
        <w:tc>
          <w:tcPr>
            <w:tcW w:w="1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CBFE72F"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0,00</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914B05F"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0,00</w:t>
            </w:r>
          </w:p>
        </w:tc>
        <w:tc>
          <w:tcPr>
            <w:tcW w:w="1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79BEEC1F"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31.400,00</w:t>
            </w:r>
          </w:p>
        </w:tc>
      </w:tr>
      <w:tr w:rsidR="00FF767D" w14:paraId="78D185C9"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2F6235CF"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w:t>
            </w:r>
          </w:p>
        </w:tc>
        <w:tc>
          <w:tcPr>
            <w:tcW w:w="3974" w:type="dxa"/>
            <w:tcBorders>
              <w:top w:val="single" w:sz="4" w:space="0" w:color="auto"/>
              <w:left w:val="single" w:sz="4" w:space="0" w:color="auto"/>
              <w:bottom w:val="single" w:sz="4" w:space="0" w:color="auto"/>
              <w:right w:val="single" w:sz="4" w:space="0" w:color="auto"/>
            </w:tcBorders>
            <w:noWrap/>
            <w:hideMark/>
          </w:tcPr>
          <w:p w14:paraId="65B70463"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Rashodi poslovanja</w:t>
            </w:r>
          </w:p>
        </w:tc>
        <w:tc>
          <w:tcPr>
            <w:tcW w:w="978" w:type="dxa"/>
            <w:tcBorders>
              <w:top w:val="single" w:sz="4" w:space="0" w:color="auto"/>
              <w:left w:val="single" w:sz="4" w:space="0" w:color="auto"/>
              <w:bottom w:val="single" w:sz="4" w:space="0" w:color="auto"/>
              <w:right w:val="single" w:sz="4" w:space="0" w:color="auto"/>
            </w:tcBorders>
            <w:noWrap/>
            <w:hideMark/>
          </w:tcPr>
          <w:p w14:paraId="3930410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31.400,00</w:t>
            </w:r>
          </w:p>
        </w:tc>
        <w:tc>
          <w:tcPr>
            <w:tcW w:w="1404" w:type="dxa"/>
            <w:tcBorders>
              <w:top w:val="single" w:sz="4" w:space="0" w:color="auto"/>
              <w:left w:val="single" w:sz="4" w:space="0" w:color="auto"/>
              <w:bottom w:val="single" w:sz="4" w:space="0" w:color="auto"/>
              <w:right w:val="single" w:sz="4" w:space="0" w:color="auto"/>
            </w:tcBorders>
            <w:noWrap/>
            <w:hideMark/>
          </w:tcPr>
          <w:p w14:paraId="0B3B7513"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030710FB"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41230DB4"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31.400,00</w:t>
            </w:r>
          </w:p>
        </w:tc>
      </w:tr>
      <w:tr w:rsidR="00FF767D" w14:paraId="28EB7E2F"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1906673C"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31</w:t>
            </w:r>
          </w:p>
        </w:tc>
        <w:tc>
          <w:tcPr>
            <w:tcW w:w="3974" w:type="dxa"/>
            <w:tcBorders>
              <w:top w:val="single" w:sz="4" w:space="0" w:color="auto"/>
              <w:left w:val="single" w:sz="4" w:space="0" w:color="auto"/>
              <w:bottom w:val="single" w:sz="4" w:space="0" w:color="auto"/>
              <w:right w:val="single" w:sz="4" w:space="0" w:color="auto"/>
            </w:tcBorders>
            <w:noWrap/>
            <w:hideMark/>
          </w:tcPr>
          <w:p w14:paraId="25B31BFA"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Rashodi za zaposlene</w:t>
            </w:r>
          </w:p>
        </w:tc>
        <w:tc>
          <w:tcPr>
            <w:tcW w:w="978" w:type="dxa"/>
            <w:tcBorders>
              <w:top w:val="single" w:sz="4" w:space="0" w:color="auto"/>
              <w:left w:val="single" w:sz="4" w:space="0" w:color="auto"/>
              <w:bottom w:val="single" w:sz="4" w:space="0" w:color="auto"/>
              <w:right w:val="single" w:sz="4" w:space="0" w:color="auto"/>
            </w:tcBorders>
            <w:noWrap/>
            <w:hideMark/>
          </w:tcPr>
          <w:p w14:paraId="6344FB9E"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31.400,00</w:t>
            </w:r>
          </w:p>
        </w:tc>
        <w:tc>
          <w:tcPr>
            <w:tcW w:w="1404" w:type="dxa"/>
            <w:tcBorders>
              <w:top w:val="single" w:sz="4" w:space="0" w:color="auto"/>
              <w:left w:val="single" w:sz="4" w:space="0" w:color="auto"/>
              <w:bottom w:val="single" w:sz="4" w:space="0" w:color="auto"/>
              <w:right w:val="single" w:sz="4" w:space="0" w:color="auto"/>
            </w:tcBorders>
            <w:noWrap/>
            <w:hideMark/>
          </w:tcPr>
          <w:p w14:paraId="6875C645"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09443829"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192B305F"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31.400,00</w:t>
            </w:r>
          </w:p>
        </w:tc>
      </w:tr>
      <w:tr w:rsidR="00E16B60" w:rsidRPr="00E16B60" w14:paraId="24E87633" w14:textId="77777777" w:rsidTr="00E16B60">
        <w:trPr>
          <w:trHeight w:val="255"/>
        </w:trPr>
        <w:tc>
          <w:tcPr>
            <w:tcW w:w="475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6D54AA76"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Aktivnost A500013 Financiranje aktivnosti predškolske djece</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641C6574"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17.440,00</w:t>
            </w:r>
          </w:p>
        </w:tc>
        <w:tc>
          <w:tcPr>
            <w:tcW w:w="1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06D0542"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0,00</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616F80F4"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0,00</w:t>
            </w:r>
          </w:p>
        </w:tc>
        <w:tc>
          <w:tcPr>
            <w:tcW w:w="1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DB2F187"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17.440,00</w:t>
            </w:r>
          </w:p>
        </w:tc>
      </w:tr>
      <w:tr w:rsidR="00FF767D" w14:paraId="5D4764C6"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050B582D"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w:t>
            </w:r>
          </w:p>
        </w:tc>
        <w:tc>
          <w:tcPr>
            <w:tcW w:w="3974" w:type="dxa"/>
            <w:tcBorders>
              <w:top w:val="single" w:sz="4" w:space="0" w:color="auto"/>
              <w:left w:val="single" w:sz="4" w:space="0" w:color="auto"/>
              <w:bottom w:val="single" w:sz="4" w:space="0" w:color="auto"/>
              <w:right w:val="single" w:sz="4" w:space="0" w:color="auto"/>
            </w:tcBorders>
            <w:noWrap/>
            <w:hideMark/>
          </w:tcPr>
          <w:p w14:paraId="1F425B11"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Rashodi poslovanja</w:t>
            </w:r>
          </w:p>
        </w:tc>
        <w:tc>
          <w:tcPr>
            <w:tcW w:w="978" w:type="dxa"/>
            <w:tcBorders>
              <w:top w:val="single" w:sz="4" w:space="0" w:color="auto"/>
              <w:left w:val="single" w:sz="4" w:space="0" w:color="auto"/>
              <w:bottom w:val="single" w:sz="4" w:space="0" w:color="auto"/>
              <w:right w:val="single" w:sz="4" w:space="0" w:color="auto"/>
            </w:tcBorders>
            <w:noWrap/>
            <w:hideMark/>
          </w:tcPr>
          <w:p w14:paraId="4FAC4ECD"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17.440,00</w:t>
            </w:r>
          </w:p>
        </w:tc>
        <w:tc>
          <w:tcPr>
            <w:tcW w:w="1404" w:type="dxa"/>
            <w:tcBorders>
              <w:top w:val="single" w:sz="4" w:space="0" w:color="auto"/>
              <w:left w:val="single" w:sz="4" w:space="0" w:color="auto"/>
              <w:bottom w:val="single" w:sz="4" w:space="0" w:color="auto"/>
              <w:right w:val="single" w:sz="4" w:space="0" w:color="auto"/>
            </w:tcBorders>
            <w:noWrap/>
            <w:hideMark/>
          </w:tcPr>
          <w:p w14:paraId="2057EE15"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68556CC6"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303ADD45"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17.440,00</w:t>
            </w:r>
          </w:p>
        </w:tc>
      </w:tr>
      <w:tr w:rsidR="00FF767D" w14:paraId="7C27491E"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16F1EF6D"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31</w:t>
            </w:r>
          </w:p>
        </w:tc>
        <w:tc>
          <w:tcPr>
            <w:tcW w:w="3974" w:type="dxa"/>
            <w:tcBorders>
              <w:top w:val="single" w:sz="4" w:space="0" w:color="auto"/>
              <w:left w:val="single" w:sz="4" w:space="0" w:color="auto"/>
              <w:bottom w:val="single" w:sz="4" w:space="0" w:color="auto"/>
              <w:right w:val="single" w:sz="4" w:space="0" w:color="auto"/>
            </w:tcBorders>
            <w:noWrap/>
            <w:hideMark/>
          </w:tcPr>
          <w:p w14:paraId="5A7AE6DD"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Rashodi za zaposlene</w:t>
            </w:r>
          </w:p>
        </w:tc>
        <w:tc>
          <w:tcPr>
            <w:tcW w:w="978" w:type="dxa"/>
            <w:tcBorders>
              <w:top w:val="single" w:sz="4" w:space="0" w:color="auto"/>
              <w:left w:val="single" w:sz="4" w:space="0" w:color="auto"/>
              <w:bottom w:val="single" w:sz="4" w:space="0" w:color="auto"/>
              <w:right w:val="single" w:sz="4" w:space="0" w:color="auto"/>
            </w:tcBorders>
            <w:noWrap/>
            <w:hideMark/>
          </w:tcPr>
          <w:p w14:paraId="37F783F4"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16.600,00</w:t>
            </w:r>
          </w:p>
        </w:tc>
        <w:tc>
          <w:tcPr>
            <w:tcW w:w="1404" w:type="dxa"/>
            <w:tcBorders>
              <w:top w:val="single" w:sz="4" w:space="0" w:color="auto"/>
              <w:left w:val="single" w:sz="4" w:space="0" w:color="auto"/>
              <w:bottom w:val="single" w:sz="4" w:space="0" w:color="auto"/>
              <w:right w:val="single" w:sz="4" w:space="0" w:color="auto"/>
            </w:tcBorders>
            <w:noWrap/>
            <w:hideMark/>
          </w:tcPr>
          <w:p w14:paraId="2D8DEF0C"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39187D2C"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7B86C457"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16.600,00</w:t>
            </w:r>
          </w:p>
        </w:tc>
      </w:tr>
      <w:tr w:rsidR="00FF767D" w14:paraId="3F228379"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0A2D0C7F"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32</w:t>
            </w:r>
          </w:p>
        </w:tc>
        <w:tc>
          <w:tcPr>
            <w:tcW w:w="3974" w:type="dxa"/>
            <w:tcBorders>
              <w:top w:val="single" w:sz="4" w:space="0" w:color="auto"/>
              <w:left w:val="single" w:sz="4" w:space="0" w:color="auto"/>
              <w:bottom w:val="single" w:sz="4" w:space="0" w:color="auto"/>
              <w:right w:val="single" w:sz="4" w:space="0" w:color="auto"/>
            </w:tcBorders>
            <w:noWrap/>
            <w:hideMark/>
          </w:tcPr>
          <w:p w14:paraId="7D451CB4"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Materijalni rashodi</w:t>
            </w:r>
          </w:p>
        </w:tc>
        <w:tc>
          <w:tcPr>
            <w:tcW w:w="978" w:type="dxa"/>
            <w:tcBorders>
              <w:top w:val="single" w:sz="4" w:space="0" w:color="auto"/>
              <w:left w:val="single" w:sz="4" w:space="0" w:color="auto"/>
              <w:bottom w:val="single" w:sz="4" w:space="0" w:color="auto"/>
              <w:right w:val="single" w:sz="4" w:space="0" w:color="auto"/>
            </w:tcBorders>
            <w:noWrap/>
            <w:hideMark/>
          </w:tcPr>
          <w:p w14:paraId="5F6B2AE9"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840,00</w:t>
            </w:r>
          </w:p>
        </w:tc>
        <w:tc>
          <w:tcPr>
            <w:tcW w:w="1404" w:type="dxa"/>
            <w:tcBorders>
              <w:top w:val="single" w:sz="4" w:space="0" w:color="auto"/>
              <w:left w:val="single" w:sz="4" w:space="0" w:color="auto"/>
              <w:bottom w:val="single" w:sz="4" w:space="0" w:color="auto"/>
              <w:right w:val="single" w:sz="4" w:space="0" w:color="auto"/>
            </w:tcBorders>
            <w:noWrap/>
            <w:hideMark/>
          </w:tcPr>
          <w:p w14:paraId="2D5A20DC"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75AB6731"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4BA2C9BF"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840,00</w:t>
            </w:r>
          </w:p>
        </w:tc>
      </w:tr>
      <w:tr w:rsidR="00FF767D" w14:paraId="508F06B9"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2A1A7FB1"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Izvor  3. VLASTITI PRIHODI</w:t>
            </w:r>
          </w:p>
        </w:tc>
        <w:tc>
          <w:tcPr>
            <w:tcW w:w="978" w:type="dxa"/>
            <w:tcBorders>
              <w:top w:val="single" w:sz="4" w:space="0" w:color="auto"/>
              <w:left w:val="single" w:sz="4" w:space="0" w:color="auto"/>
              <w:bottom w:val="single" w:sz="4" w:space="0" w:color="auto"/>
              <w:right w:val="single" w:sz="4" w:space="0" w:color="auto"/>
            </w:tcBorders>
            <w:noWrap/>
            <w:hideMark/>
          </w:tcPr>
          <w:p w14:paraId="55A16EC2"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5.100,00</w:t>
            </w:r>
          </w:p>
        </w:tc>
        <w:tc>
          <w:tcPr>
            <w:tcW w:w="1404" w:type="dxa"/>
            <w:tcBorders>
              <w:top w:val="single" w:sz="4" w:space="0" w:color="auto"/>
              <w:left w:val="single" w:sz="4" w:space="0" w:color="auto"/>
              <w:bottom w:val="single" w:sz="4" w:space="0" w:color="auto"/>
              <w:right w:val="single" w:sz="4" w:space="0" w:color="auto"/>
            </w:tcBorders>
            <w:noWrap/>
            <w:hideMark/>
          </w:tcPr>
          <w:p w14:paraId="2D22F0EE"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1.765,00</w:t>
            </w:r>
          </w:p>
        </w:tc>
        <w:tc>
          <w:tcPr>
            <w:tcW w:w="978" w:type="dxa"/>
            <w:tcBorders>
              <w:top w:val="single" w:sz="4" w:space="0" w:color="auto"/>
              <w:left w:val="single" w:sz="4" w:space="0" w:color="auto"/>
              <w:bottom w:val="single" w:sz="4" w:space="0" w:color="auto"/>
              <w:right w:val="single" w:sz="4" w:space="0" w:color="auto"/>
            </w:tcBorders>
            <w:noWrap/>
            <w:hideMark/>
          </w:tcPr>
          <w:p w14:paraId="308195E1"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34,61</w:t>
            </w:r>
          </w:p>
        </w:tc>
        <w:tc>
          <w:tcPr>
            <w:tcW w:w="1240" w:type="dxa"/>
            <w:tcBorders>
              <w:top w:val="single" w:sz="4" w:space="0" w:color="auto"/>
              <w:left w:val="single" w:sz="4" w:space="0" w:color="auto"/>
              <w:bottom w:val="single" w:sz="4" w:space="0" w:color="auto"/>
              <w:right w:val="single" w:sz="4" w:space="0" w:color="auto"/>
            </w:tcBorders>
            <w:noWrap/>
            <w:hideMark/>
          </w:tcPr>
          <w:p w14:paraId="765FB426"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6.865,00</w:t>
            </w:r>
          </w:p>
        </w:tc>
      </w:tr>
      <w:tr w:rsidR="00FF767D" w14:paraId="0694F1D8"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1A01B6DC"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Izvor  3.9. VLASTITI PRIHODI</w:t>
            </w:r>
          </w:p>
        </w:tc>
        <w:tc>
          <w:tcPr>
            <w:tcW w:w="978" w:type="dxa"/>
            <w:tcBorders>
              <w:top w:val="single" w:sz="4" w:space="0" w:color="auto"/>
              <w:left w:val="single" w:sz="4" w:space="0" w:color="auto"/>
              <w:bottom w:val="single" w:sz="4" w:space="0" w:color="auto"/>
              <w:right w:val="single" w:sz="4" w:space="0" w:color="auto"/>
            </w:tcBorders>
            <w:noWrap/>
            <w:hideMark/>
          </w:tcPr>
          <w:p w14:paraId="4ED0CC9E"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5.100,00</w:t>
            </w:r>
          </w:p>
        </w:tc>
        <w:tc>
          <w:tcPr>
            <w:tcW w:w="1404" w:type="dxa"/>
            <w:tcBorders>
              <w:top w:val="single" w:sz="4" w:space="0" w:color="auto"/>
              <w:left w:val="single" w:sz="4" w:space="0" w:color="auto"/>
              <w:bottom w:val="single" w:sz="4" w:space="0" w:color="auto"/>
              <w:right w:val="single" w:sz="4" w:space="0" w:color="auto"/>
            </w:tcBorders>
            <w:noWrap/>
            <w:hideMark/>
          </w:tcPr>
          <w:p w14:paraId="3B46BA2B"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1.765,00</w:t>
            </w:r>
          </w:p>
        </w:tc>
        <w:tc>
          <w:tcPr>
            <w:tcW w:w="978" w:type="dxa"/>
            <w:tcBorders>
              <w:top w:val="single" w:sz="4" w:space="0" w:color="auto"/>
              <w:left w:val="single" w:sz="4" w:space="0" w:color="auto"/>
              <w:bottom w:val="single" w:sz="4" w:space="0" w:color="auto"/>
              <w:right w:val="single" w:sz="4" w:space="0" w:color="auto"/>
            </w:tcBorders>
            <w:noWrap/>
            <w:hideMark/>
          </w:tcPr>
          <w:p w14:paraId="2360C543"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34,61</w:t>
            </w:r>
          </w:p>
        </w:tc>
        <w:tc>
          <w:tcPr>
            <w:tcW w:w="1240" w:type="dxa"/>
            <w:tcBorders>
              <w:top w:val="single" w:sz="4" w:space="0" w:color="auto"/>
              <w:left w:val="single" w:sz="4" w:space="0" w:color="auto"/>
              <w:bottom w:val="single" w:sz="4" w:space="0" w:color="auto"/>
              <w:right w:val="single" w:sz="4" w:space="0" w:color="auto"/>
            </w:tcBorders>
            <w:noWrap/>
            <w:hideMark/>
          </w:tcPr>
          <w:p w14:paraId="527C534F"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6.865,00</w:t>
            </w:r>
          </w:p>
        </w:tc>
      </w:tr>
      <w:tr w:rsidR="00FF767D" w14:paraId="73A1AAEF"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1B0E8D6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lastRenderedPageBreak/>
              <w:t>Razdjel 500 UPRAVNI ODJEL ZA DRUŠTVENE DJELATNOSTI</w:t>
            </w:r>
          </w:p>
        </w:tc>
        <w:tc>
          <w:tcPr>
            <w:tcW w:w="978" w:type="dxa"/>
            <w:tcBorders>
              <w:top w:val="single" w:sz="4" w:space="0" w:color="auto"/>
              <w:left w:val="single" w:sz="4" w:space="0" w:color="auto"/>
              <w:bottom w:val="single" w:sz="4" w:space="0" w:color="auto"/>
              <w:right w:val="single" w:sz="4" w:space="0" w:color="auto"/>
            </w:tcBorders>
            <w:noWrap/>
            <w:hideMark/>
          </w:tcPr>
          <w:p w14:paraId="1853D9D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5.100,00</w:t>
            </w:r>
          </w:p>
        </w:tc>
        <w:tc>
          <w:tcPr>
            <w:tcW w:w="1404" w:type="dxa"/>
            <w:tcBorders>
              <w:top w:val="single" w:sz="4" w:space="0" w:color="auto"/>
              <w:left w:val="single" w:sz="4" w:space="0" w:color="auto"/>
              <w:bottom w:val="single" w:sz="4" w:space="0" w:color="auto"/>
              <w:right w:val="single" w:sz="4" w:space="0" w:color="auto"/>
            </w:tcBorders>
            <w:noWrap/>
            <w:hideMark/>
          </w:tcPr>
          <w:p w14:paraId="63D9387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1.765,00</w:t>
            </w:r>
          </w:p>
        </w:tc>
        <w:tc>
          <w:tcPr>
            <w:tcW w:w="978" w:type="dxa"/>
            <w:tcBorders>
              <w:top w:val="single" w:sz="4" w:space="0" w:color="auto"/>
              <w:left w:val="single" w:sz="4" w:space="0" w:color="auto"/>
              <w:bottom w:val="single" w:sz="4" w:space="0" w:color="auto"/>
              <w:right w:val="single" w:sz="4" w:space="0" w:color="auto"/>
            </w:tcBorders>
            <w:noWrap/>
            <w:hideMark/>
          </w:tcPr>
          <w:p w14:paraId="1F5816E2"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34,61</w:t>
            </w:r>
          </w:p>
        </w:tc>
        <w:tc>
          <w:tcPr>
            <w:tcW w:w="1240" w:type="dxa"/>
            <w:tcBorders>
              <w:top w:val="single" w:sz="4" w:space="0" w:color="auto"/>
              <w:left w:val="single" w:sz="4" w:space="0" w:color="auto"/>
              <w:bottom w:val="single" w:sz="4" w:space="0" w:color="auto"/>
              <w:right w:val="single" w:sz="4" w:space="0" w:color="auto"/>
            </w:tcBorders>
            <w:noWrap/>
            <w:hideMark/>
          </w:tcPr>
          <w:p w14:paraId="117293ED"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6.865,00</w:t>
            </w:r>
          </w:p>
        </w:tc>
      </w:tr>
      <w:tr w:rsidR="00FF767D" w14:paraId="28D2A575"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1C2789BD"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Glava 50003 USTANOVE ŠKOLSTVA</w:t>
            </w:r>
          </w:p>
        </w:tc>
        <w:tc>
          <w:tcPr>
            <w:tcW w:w="978" w:type="dxa"/>
            <w:tcBorders>
              <w:top w:val="single" w:sz="4" w:space="0" w:color="auto"/>
              <w:left w:val="single" w:sz="4" w:space="0" w:color="auto"/>
              <w:bottom w:val="single" w:sz="4" w:space="0" w:color="auto"/>
              <w:right w:val="single" w:sz="4" w:space="0" w:color="auto"/>
            </w:tcBorders>
            <w:noWrap/>
            <w:hideMark/>
          </w:tcPr>
          <w:p w14:paraId="33DBD554"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5.100,00</w:t>
            </w:r>
          </w:p>
        </w:tc>
        <w:tc>
          <w:tcPr>
            <w:tcW w:w="1404" w:type="dxa"/>
            <w:tcBorders>
              <w:top w:val="single" w:sz="4" w:space="0" w:color="auto"/>
              <w:left w:val="single" w:sz="4" w:space="0" w:color="auto"/>
              <w:bottom w:val="single" w:sz="4" w:space="0" w:color="auto"/>
              <w:right w:val="single" w:sz="4" w:space="0" w:color="auto"/>
            </w:tcBorders>
            <w:noWrap/>
            <w:hideMark/>
          </w:tcPr>
          <w:p w14:paraId="1393BDCD"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1.765,00</w:t>
            </w:r>
          </w:p>
        </w:tc>
        <w:tc>
          <w:tcPr>
            <w:tcW w:w="978" w:type="dxa"/>
            <w:tcBorders>
              <w:top w:val="single" w:sz="4" w:space="0" w:color="auto"/>
              <w:left w:val="single" w:sz="4" w:space="0" w:color="auto"/>
              <w:bottom w:val="single" w:sz="4" w:space="0" w:color="auto"/>
              <w:right w:val="single" w:sz="4" w:space="0" w:color="auto"/>
            </w:tcBorders>
            <w:noWrap/>
            <w:hideMark/>
          </w:tcPr>
          <w:p w14:paraId="25E5237D"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34,61</w:t>
            </w:r>
          </w:p>
        </w:tc>
        <w:tc>
          <w:tcPr>
            <w:tcW w:w="1240" w:type="dxa"/>
            <w:tcBorders>
              <w:top w:val="single" w:sz="4" w:space="0" w:color="auto"/>
              <w:left w:val="single" w:sz="4" w:space="0" w:color="auto"/>
              <w:bottom w:val="single" w:sz="4" w:space="0" w:color="auto"/>
              <w:right w:val="single" w:sz="4" w:space="0" w:color="auto"/>
            </w:tcBorders>
            <w:noWrap/>
            <w:hideMark/>
          </w:tcPr>
          <w:p w14:paraId="628F26DC"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6.865,00</w:t>
            </w:r>
          </w:p>
        </w:tc>
      </w:tr>
      <w:tr w:rsidR="00FF767D" w14:paraId="38ADFDE6"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342243AF"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Proračunski korisnik 10645 CENTAR LIČE FARAGUNA LABIN</w:t>
            </w:r>
          </w:p>
        </w:tc>
        <w:tc>
          <w:tcPr>
            <w:tcW w:w="978" w:type="dxa"/>
            <w:tcBorders>
              <w:top w:val="single" w:sz="4" w:space="0" w:color="auto"/>
              <w:left w:val="single" w:sz="4" w:space="0" w:color="auto"/>
              <w:bottom w:val="single" w:sz="4" w:space="0" w:color="auto"/>
              <w:right w:val="single" w:sz="4" w:space="0" w:color="auto"/>
            </w:tcBorders>
            <w:noWrap/>
            <w:hideMark/>
          </w:tcPr>
          <w:p w14:paraId="218B63AC"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5.100,00</w:t>
            </w:r>
          </w:p>
        </w:tc>
        <w:tc>
          <w:tcPr>
            <w:tcW w:w="1404" w:type="dxa"/>
            <w:tcBorders>
              <w:top w:val="single" w:sz="4" w:space="0" w:color="auto"/>
              <w:left w:val="single" w:sz="4" w:space="0" w:color="auto"/>
              <w:bottom w:val="single" w:sz="4" w:space="0" w:color="auto"/>
              <w:right w:val="single" w:sz="4" w:space="0" w:color="auto"/>
            </w:tcBorders>
            <w:noWrap/>
            <w:hideMark/>
          </w:tcPr>
          <w:p w14:paraId="7B7B81D1"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1.765,00</w:t>
            </w:r>
          </w:p>
        </w:tc>
        <w:tc>
          <w:tcPr>
            <w:tcW w:w="978" w:type="dxa"/>
            <w:tcBorders>
              <w:top w:val="single" w:sz="4" w:space="0" w:color="auto"/>
              <w:left w:val="single" w:sz="4" w:space="0" w:color="auto"/>
              <w:bottom w:val="single" w:sz="4" w:space="0" w:color="auto"/>
              <w:right w:val="single" w:sz="4" w:space="0" w:color="auto"/>
            </w:tcBorders>
            <w:noWrap/>
            <w:hideMark/>
          </w:tcPr>
          <w:p w14:paraId="4C3021F1"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34,61</w:t>
            </w:r>
          </w:p>
        </w:tc>
        <w:tc>
          <w:tcPr>
            <w:tcW w:w="1240" w:type="dxa"/>
            <w:tcBorders>
              <w:top w:val="single" w:sz="4" w:space="0" w:color="auto"/>
              <w:left w:val="single" w:sz="4" w:space="0" w:color="auto"/>
              <w:bottom w:val="single" w:sz="4" w:space="0" w:color="auto"/>
              <w:right w:val="single" w:sz="4" w:space="0" w:color="auto"/>
            </w:tcBorders>
            <w:noWrap/>
            <w:hideMark/>
          </w:tcPr>
          <w:p w14:paraId="6D92ED7E"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6.865,00</w:t>
            </w:r>
          </w:p>
        </w:tc>
      </w:tr>
      <w:tr w:rsidR="00FF767D" w14:paraId="7D93767E"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05F2359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Glavni program L01 JEDINSTVENI GLAVNI PROGRAM</w:t>
            </w:r>
          </w:p>
        </w:tc>
        <w:tc>
          <w:tcPr>
            <w:tcW w:w="978" w:type="dxa"/>
            <w:tcBorders>
              <w:top w:val="single" w:sz="4" w:space="0" w:color="auto"/>
              <w:left w:val="single" w:sz="4" w:space="0" w:color="auto"/>
              <w:bottom w:val="single" w:sz="4" w:space="0" w:color="auto"/>
              <w:right w:val="single" w:sz="4" w:space="0" w:color="auto"/>
            </w:tcBorders>
            <w:noWrap/>
            <w:hideMark/>
          </w:tcPr>
          <w:p w14:paraId="37FF0EA4"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5.100,00</w:t>
            </w:r>
          </w:p>
        </w:tc>
        <w:tc>
          <w:tcPr>
            <w:tcW w:w="1404" w:type="dxa"/>
            <w:tcBorders>
              <w:top w:val="single" w:sz="4" w:space="0" w:color="auto"/>
              <w:left w:val="single" w:sz="4" w:space="0" w:color="auto"/>
              <w:bottom w:val="single" w:sz="4" w:space="0" w:color="auto"/>
              <w:right w:val="single" w:sz="4" w:space="0" w:color="auto"/>
            </w:tcBorders>
            <w:noWrap/>
            <w:hideMark/>
          </w:tcPr>
          <w:p w14:paraId="4EE17E2C"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1.765,00</w:t>
            </w:r>
          </w:p>
        </w:tc>
        <w:tc>
          <w:tcPr>
            <w:tcW w:w="978" w:type="dxa"/>
            <w:tcBorders>
              <w:top w:val="single" w:sz="4" w:space="0" w:color="auto"/>
              <w:left w:val="single" w:sz="4" w:space="0" w:color="auto"/>
              <w:bottom w:val="single" w:sz="4" w:space="0" w:color="auto"/>
              <w:right w:val="single" w:sz="4" w:space="0" w:color="auto"/>
            </w:tcBorders>
            <w:noWrap/>
            <w:hideMark/>
          </w:tcPr>
          <w:p w14:paraId="3BB23A99"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34,61</w:t>
            </w:r>
          </w:p>
        </w:tc>
        <w:tc>
          <w:tcPr>
            <w:tcW w:w="1240" w:type="dxa"/>
            <w:tcBorders>
              <w:top w:val="single" w:sz="4" w:space="0" w:color="auto"/>
              <w:left w:val="single" w:sz="4" w:space="0" w:color="auto"/>
              <w:bottom w:val="single" w:sz="4" w:space="0" w:color="auto"/>
              <w:right w:val="single" w:sz="4" w:space="0" w:color="auto"/>
            </w:tcBorders>
            <w:noWrap/>
            <w:hideMark/>
          </w:tcPr>
          <w:p w14:paraId="3F7EC68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6.865,00</w:t>
            </w:r>
          </w:p>
        </w:tc>
      </w:tr>
      <w:tr w:rsidR="00FF767D" w14:paraId="59A5D5E2"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1D35C23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Program 5002 Obrazovanje</w:t>
            </w:r>
          </w:p>
        </w:tc>
        <w:tc>
          <w:tcPr>
            <w:tcW w:w="978" w:type="dxa"/>
            <w:tcBorders>
              <w:top w:val="single" w:sz="4" w:space="0" w:color="auto"/>
              <w:left w:val="single" w:sz="4" w:space="0" w:color="auto"/>
              <w:bottom w:val="single" w:sz="4" w:space="0" w:color="auto"/>
              <w:right w:val="single" w:sz="4" w:space="0" w:color="auto"/>
            </w:tcBorders>
            <w:noWrap/>
            <w:hideMark/>
          </w:tcPr>
          <w:p w14:paraId="3268E7B0"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5.100,00</w:t>
            </w:r>
          </w:p>
        </w:tc>
        <w:tc>
          <w:tcPr>
            <w:tcW w:w="1404" w:type="dxa"/>
            <w:tcBorders>
              <w:top w:val="single" w:sz="4" w:space="0" w:color="auto"/>
              <w:left w:val="single" w:sz="4" w:space="0" w:color="auto"/>
              <w:bottom w:val="single" w:sz="4" w:space="0" w:color="auto"/>
              <w:right w:val="single" w:sz="4" w:space="0" w:color="auto"/>
            </w:tcBorders>
            <w:noWrap/>
            <w:hideMark/>
          </w:tcPr>
          <w:p w14:paraId="7D8D22C0"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1.765,00</w:t>
            </w:r>
          </w:p>
        </w:tc>
        <w:tc>
          <w:tcPr>
            <w:tcW w:w="978" w:type="dxa"/>
            <w:tcBorders>
              <w:top w:val="single" w:sz="4" w:space="0" w:color="auto"/>
              <w:left w:val="single" w:sz="4" w:space="0" w:color="auto"/>
              <w:bottom w:val="single" w:sz="4" w:space="0" w:color="auto"/>
              <w:right w:val="single" w:sz="4" w:space="0" w:color="auto"/>
            </w:tcBorders>
            <w:noWrap/>
            <w:hideMark/>
          </w:tcPr>
          <w:p w14:paraId="2A7B1B75"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34,61</w:t>
            </w:r>
          </w:p>
        </w:tc>
        <w:tc>
          <w:tcPr>
            <w:tcW w:w="1240" w:type="dxa"/>
            <w:tcBorders>
              <w:top w:val="single" w:sz="4" w:space="0" w:color="auto"/>
              <w:left w:val="single" w:sz="4" w:space="0" w:color="auto"/>
              <w:bottom w:val="single" w:sz="4" w:space="0" w:color="auto"/>
              <w:right w:val="single" w:sz="4" w:space="0" w:color="auto"/>
            </w:tcBorders>
            <w:noWrap/>
            <w:hideMark/>
          </w:tcPr>
          <w:p w14:paraId="4FD92D25"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6.865,00</w:t>
            </w:r>
          </w:p>
        </w:tc>
      </w:tr>
      <w:tr w:rsidR="00E16B60" w:rsidRPr="00E16B60" w14:paraId="458D8DEE" w14:textId="77777777" w:rsidTr="00E16B60">
        <w:trPr>
          <w:trHeight w:val="255"/>
        </w:trPr>
        <w:tc>
          <w:tcPr>
            <w:tcW w:w="475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A0B1917"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Aktivnost A500003 Financiranje djelatnosti osnovnog školstva</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6CE66F7"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5.100,00</w:t>
            </w:r>
          </w:p>
        </w:tc>
        <w:tc>
          <w:tcPr>
            <w:tcW w:w="1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750E2E0"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1.765,00</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51CA0B6"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34,61</w:t>
            </w:r>
          </w:p>
        </w:tc>
        <w:tc>
          <w:tcPr>
            <w:tcW w:w="1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64E5131"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6.865,00</w:t>
            </w:r>
          </w:p>
        </w:tc>
      </w:tr>
      <w:tr w:rsidR="00FF767D" w14:paraId="5DF07447"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628AC816"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w:t>
            </w:r>
          </w:p>
        </w:tc>
        <w:tc>
          <w:tcPr>
            <w:tcW w:w="3974" w:type="dxa"/>
            <w:tcBorders>
              <w:top w:val="single" w:sz="4" w:space="0" w:color="auto"/>
              <w:left w:val="single" w:sz="4" w:space="0" w:color="auto"/>
              <w:bottom w:val="single" w:sz="4" w:space="0" w:color="auto"/>
              <w:right w:val="single" w:sz="4" w:space="0" w:color="auto"/>
            </w:tcBorders>
            <w:noWrap/>
            <w:hideMark/>
          </w:tcPr>
          <w:p w14:paraId="012AF20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Rashodi poslovanja</w:t>
            </w:r>
          </w:p>
        </w:tc>
        <w:tc>
          <w:tcPr>
            <w:tcW w:w="978" w:type="dxa"/>
            <w:tcBorders>
              <w:top w:val="single" w:sz="4" w:space="0" w:color="auto"/>
              <w:left w:val="single" w:sz="4" w:space="0" w:color="auto"/>
              <w:bottom w:val="single" w:sz="4" w:space="0" w:color="auto"/>
              <w:right w:val="single" w:sz="4" w:space="0" w:color="auto"/>
            </w:tcBorders>
            <w:noWrap/>
            <w:hideMark/>
          </w:tcPr>
          <w:p w14:paraId="67939796"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5.100,00</w:t>
            </w:r>
          </w:p>
        </w:tc>
        <w:tc>
          <w:tcPr>
            <w:tcW w:w="1404" w:type="dxa"/>
            <w:tcBorders>
              <w:top w:val="single" w:sz="4" w:space="0" w:color="auto"/>
              <w:left w:val="single" w:sz="4" w:space="0" w:color="auto"/>
              <w:bottom w:val="single" w:sz="4" w:space="0" w:color="auto"/>
              <w:right w:val="single" w:sz="4" w:space="0" w:color="auto"/>
            </w:tcBorders>
            <w:noWrap/>
            <w:hideMark/>
          </w:tcPr>
          <w:p w14:paraId="242B334E"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1.765,00</w:t>
            </w:r>
          </w:p>
        </w:tc>
        <w:tc>
          <w:tcPr>
            <w:tcW w:w="978" w:type="dxa"/>
            <w:tcBorders>
              <w:top w:val="single" w:sz="4" w:space="0" w:color="auto"/>
              <w:left w:val="single" w:sz="4" w:space="0" w:color="auto"/>
              <w:bottom w:val="single" w:sz="4" w:space="0" w:color="auto"/>
              <w:right w:val="single" w:sz="4" w:space="0" w:color="auto"/>
            </w:tcBorders>
            <w:noWrap/>
            <w:hideMark/>
          </w:tcPr>
          <w:p w14:paraId="285C062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34,61</w:t>
            </w:r>
          </w:p>
        </w:tc>
        <w:tc>
          <w:tcPr>
            <w:tcW w:w="1240" w:type="dxa"/>
            <w:tcBorders>
              <w:top w:val="single" w:sz="4" w:space="0" w:color="auto"/>
              <w:left w:val="single" w:sz="4" w:space="0" w:color="auto"/>
              <w:bottom w:val="single" w:sz="4" w:space="0" w:color="auto"/>
              <w:right w:val="single" w:sz="4" w:space="0" w:color="auto"/>
            </w:tcBorders>
            <w:noWrap/>
            <w:hideMark/>
          </w:tcPr>
          <w:p w14:paraId="6D65300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6.865,00</w:t>
            </w:r>
          </w:p>
        </w:tc>
      </w:tr>
      <w:tr w:rsidR="00FF767D" w14:paraId="1D2934D0"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6CA9ABD2"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32</w:t>
            </w:r>
          </w:p>
        </w:tc>
        <w:tc>
          <w:tcPr>
            <w:tcW w:w="3974" w:type="dxa"/>
            <w:tcBorders>
              <w:top w:val="single" w:sz="4" w:space="0" w:color="auto"/>
              <w:left w:val="single" w:sz="4" w:space="0" w:color="auto"/>
              <w:bottom w:val="single" w:sz="4" w:space="0" w:color="auto"/>
              <w:right w:val="single" w:sz="4" w:space="0" w:color="auto"/>
            </w:tcBorders>
            <w:noWrap/>
            <w:hideMark/>
          </w:tcPr>
          <w:p w14:paraId="443183EF"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Materijalni rashodi</w:t>
            </w:r>
          </w:p>
        </w:tc>
        <w:tc>
          <w:tcPr>
            <w:tcW w:w="978" w:type="dxa"/>
            <w:tcBorders>
              <w:top w:val="single" w:sz="4" w:space="0" w:color="auto"/>
              <w:left w:val="single" w:sz="4" w:space="0" w:color="auto"/>
              <w:bottom w:val="single" w:sz="4" w:space="0" w:color="auto"/>
              <w:right w:val="single" w:sz="4" w:space="0" w:color="auto"/>
            </w:tcBorders>
            <w:noWrap/>
            <w:hideMark/>
          </w:tcPr>
          <w:p w14:paraId="3A9F505A"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5.100,00</w:t>
            </w:r>
          </w:p>
        </w:tc>
        <w:tc>
          <w:tcPr>
            <w:tcW w:w="1404" w:type="dxa"/>
            <w:tcBorders>
              <w:top w:val="single" w:sz="4" w:space="0" w:color="auto"/>
              <w:left w:val="single" w:sz="4" w:space="0" w:color="auto"/>
              <w:bottom w:val="single" w:sz="4" w:space="0" w:color="auto"/>
              <w:right w:val="single" w:sz="4" w:space="0" w:color="auto"/>
            </w:tcBorders>
            <w:noWrap/>
            <w:hideMark/>
          </w:tcPr>
          <w:p w14:paraId="0CDA4F16"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1.765,00</w:t>
            </w:r>
          </w:p>
        </w:tc>
        <w:tc>
          <w:tcPr>
            <w:tcW w:w="978" w:type="dxa"/>
            <w:tcBorders>
              <w:top w:val="single" w:sz="4" w:space="0" w:color="auto"/>
              <w:left w:val="single" w:sz="4" w:space="0" w:color="auto"/>
              <w:bottom w:val="single" w:sz="4" w:space="0" w:color="auto"/>
              <w:right w:val="single" w:sz="4" w:space="0" w:color="auto"/>
            </w:tcBorders>
            <w:noWrap/>
            <w:hideMark/>
          </w:tcPr>
          <w:p w14:paraId="2E18AFEC"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34,61</w:t>
            </w:r>
          </w:p>
        </w:tc>
        <w:tc>
          <w:tcPr>
            <w:tcW w:w="1240" w:type="dxa"/>
            <w:tcBorders>
              <w:top w:val="single" w:sz="4" w:space="0" w:color="auto"/>
              <w:left w:val="single" w:sz="4" w:space="0" w:color="auto"/>
              <w:bottom w:val="single" w:sz="4" w:space="0" w:color="auto"/>
              <w:right w:val="single" w:sz="4" w:space="0" w:color="auto"/>
            </w:tcBorders>
            <w:noWrap/>
            <w:hideMark/>
          </w:tcPr>
          <w:p w14:paraId="0421BBAB"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6.865,00</w:t>
            </w:r>
          </w:p>
        </w:tc>
      </w:tr>
      <w:tr w:rsidR="00FF767D" w14:paraId="1989BCC5"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50DBD10D"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Izvor  4. PRIHODI ZA POSEBNE NAMJENE</w:t>
            </w:r>
          </w:p>
        </w:tc>
        <w:tc>
          <w:tcPr>
            <w:tcW w:w="978" w:type="dxa"/>
            <w:tcBorders>
              <w:top w:val="single" w:sz="4" w:space="0" w:color="auto"/>
              <w:left w:val="single" w:sz="4" w:space="0" w:color="auto"/>
              <w:bottom w:val="single" w:sz="4" w:space="0" w:color="auto"/>
              <w:right w:val="single" w:sz="4" w:space="0" w:color="auto"/>
            </w:tcBorders>
            <w:noWrap/>
            <w:hideMark/>
          </w:tcPr>
          <w:p w14:paraId="1BEFB020"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2.540,00</w:t>
            </w:r>
          </w:p>
        </w:tc>
        <w:tc>
          <w:tcPr>
            <w:tcW w:w="1404" w:type="dxa"/>
            <w:tcBorders>
              <w:top w:val="single" w:sz="4" w:space="0" w:color="auto"/>
              <w:left w:val="single" w:sz="4" w:space="0" w:color="auto"/>
              <w:bottom w:val="single" w:sz="4" w:space="0" w:color="auto"/>
              <w:right w:val="single" w:sz="4" w:space="0" w:color="auto"/>
            </w:tcBorders>
            <w:noWrap/>
            <w:hideMark/>
          </w:tcPr>
          <w:p w14:paraId="55446B4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3CD470B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3CF4E1DD"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2.540,00</w:t>
            </w:r>
          </w:p>
        </w:tc>
      </w:tr>
      <w:tr w:rsidR="00FF767D" w14:paraId="31544820"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541B911B"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Izvor  4.9. PRIHODI ZA POSEBNE NAMJENE</w:t>
            </w:r>
          </w:p>
        </w:tc>
        <w:tc>
          <w:tcPr>
            <w:tcW w:w="978" w:type="dxa"/>
            <w:tcBorders>
              <w:top w:val="single" w:sz="4" w:space="0" w:color="auto"/>
              <w:left w:val="single" w:sz="4" w:space="0" w:color="auto"/>
              <w:bottom w:val="single" w:sz="4" w:space="0" w:color="auto"/>
              <w:right w:val="single" w:sz="4" w:space="0" w:color="auto"/>
            </w:tcBorders>
            <w:noWrap/>
            <w:hideMark/>
          </w:tcPr>
          <w:p w14:paraId="409A93D9"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2.540,00</w:t>
            </w:r>
          </w:p>
        </w:tc>
        <w:tc>
          <w:tcPr>
            <w:tcW w:w="1404" w:type="dxa"/>
            <w:tcBorders>
              <w:top w:val="single" w:sz="4" w:space="0" w:color="auto"/>
              <w:left w:val="single" w:sz="4" w:space="0" w:color="auto"/>
              <w:bottom w:val="single" w:sz="4" w:space="0" w:color="auto"/>
              <w:right w:val="single" w:sz="4" w:space="0" w:color="auto"/>
            </w:tcBorders>
            <w:noWrap/>
            <w:hideMark/>
          </w:tcPr>
          <w:p w14:paraId="0526B9E9"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39B6DD76"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375ACC16"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2.540,00</w:t>
            </w:r>
          </w:p>
        </w:tc>
      </w:tr>
      <w:tr w:rsidR="00FF767D" w14:paraId="450572E4"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095FCF31"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Razdjel 500 UPRAVNI ODJEL ZA DRUŠTVENE DJELATNOSTI</w:t>
            </w:r>
          </w:p>
        </w:tc>
        <w:tc>
          <w:tcPr>
            <w:tcW w:w="978" w:type="dxa"/>
            <w:tcBorders>
              <w:top w:val="single" w:sz="4" w:space="0" w:color="auto"/>
              <w:left w:val="single" w:sz="4" w:space="0" w:color="auto"/>
              <w:bottom w:val="single" w:sz="4" w:space="0" w:color="auto"/>
              <w:right w:val="single" w:sz="4" w:space="0" w:color="auto"/>
            </w:tcBorders>
            <w:noWrap/>
            <w:hideMark/>
          </w:tcPr>
          <w:p w14:paraId="3B9C3CEE"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2.540,00</w:t>
            </w:r>
          </w:p>
        </w:tc>
        <w:tc>
          <w:tcPr>
            <w:tcW w:w="1404" w:type="dxa"/>
            <w:tcBorders>
              <w:top w:val="single" w:sz="4" w:space="0" w:color="auto"/>
              <w:left w:val="single" w:sz="4" w:space="0" w:color="auto"/>
              <w:bottom w:val="single" w:sz="4" w:space="0" w:color="auto"/>
              <w:right w:val="single" w:sz="4" w:space="0" w:color="auto"/>
            </w:tcBorders>
            <w:noWrap/>
            <w:hideMark/>
          </w:tcPr>
          <w:p w14:paraId="73DA3DC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16816B9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7E094769"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2.540,00</w:t>
            </w:r>
          </w:p>
        </w:tc>
      </w:tr>
      <w:tr w:rsidR="00FF767D" w14:paraId="7AD6CBFC"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7D157675"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Glava 50003 USTANOVE ŠKOLSTVA</w:t>
            </w:r>
          </w:p>
        </w:tc>
        <w:tc>
          <w:tcPr>
            <w:tcW w:w="978" w:type="dxa"/>
            <w:tcBorders>
              <w:top w:val="single" w:sz="4" w:space="0" w:color="auto"/>
              <w:left w:val="single" w:sz="4" w:space="0" w:color="auto"/>
              <w:bottom w:val="single" w:sz="4" w:space="0" w:color="auto"/>
              <w:right w:val="single" w:sz="4" w:space="0" w:color="auto"/>
            </w:tcBorders>
            <w:noWrap/>
            <w:hideMark/>
          </w:tcPr>
          <w:p w14:paraId="3B6E5A58"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2.540,00</w:t>
            </w:r>
          </w:p>
        </w:tc>
        <w:tc>
          <w:tcPr>
            <w:tcW w:w="1404" w:type="dxa"/>
            <w:tcBorders>
              <w:top w:val="single" w:sz="4" w:space="0" w:color="auto"/>
              <w:left w:val="single" w:sz="4" w:space="0" w:color="auto"/>
              <w:bottom w:val="single" w:sz="4" w:space="0" w:color="auto"/>
              <w:right w:val="single" w:sz="4" w:space="0" w:color="auto"/>
            </w:tcBorders>
            <w:noWrap/>
            <w:hideMark/>
          </w:tcPr>
          <w:p w14:paraId="138CB4EB"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180551C6"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1F1EC776"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2.540,00</w:t>
            </w:r>
          </w:p>
        </w:tc>
      </w:tr>
      <w:tr w:rsidR="00FF767D" w14:paraId="72D91897"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1D5C85C0"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Proračunski korisnik 10645 CENTAR LIČE FARAGUNA LABIN</w:t>
            </w:r>
          </w:p>
        </w:tc>
        <w:tc>
          <w:tcPr>
            <w:tcW w:w="978" w:type="dxa"/>
            <w:tcBorders>
              <w:top w:val="single" w:sz="4" w:space="0" w:color="auto"/>
              <w:left w:val="single" w:sz="4" w:space="0" w:color="auto"/>
              <w:bottom w:val="single" w:sz="4" w:space="0" w:color="auto"/>
              <w:right w:val="single" w:sz="4" w:space="0" w:color="auto"/>
            </w:tcBorders>
            <w:noWrap/>
            <w:hideMark/>
          </w:tcPr>
          <w:p w14:paraId="0183CC54"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2.540,00</w:t>
            </w:r>
          </w:p>
        </w:tc>
        <w:tc>
          <w:tcPr>
            <w:tcW w:w="1404" w:type="dxa"/>
            <w:tcBorders>
              <w:top w:val="single" w:sz="4" w:space="0" w:color="auto"/>
              <w:left w:val="single" w:sz="4" w:space="0" w:color="auto"/>
              <w:bottom w:val="single" w:sz="4" w:space="0" w:color="auto"/>
              <w:right w:val="single" w:sz="4" w:space="0" w:color="auto"/>
            </w:tcBorders>
            <w:noWrap/>
            <w:hideMark/>
          </w:tcPr>
          <w:p w14:paraId="3842611F"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6594BB5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15E44FE1"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2.540,00</w:t>
            </w:r>
          </w:p>
        </w:tc>
      </w:tr>
      <w:tr w:rsidR="00FF767D" w14:paraId="49B33767"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0D915F5B"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Glavni program L01 JEDINSTVENI GLAVNI PROGRAM</w:t>
            </w:r>
          </w:p>
        </w:tc>
        <w:tc>
          <w:tcPr>
            <w:tcW w:w="978" w:type="dxa"/>
            <w:tcBorders>
              <w:top w:val="single" w:sz="4" w:space="0" w:color="auto"/>
              <w:left w:val="single" w:sz="4" w:space="0" w:color="auto"/>
              <w:bottom w:val="single" w:sz="4" w:space="0" w:color="auto"/>
              <w:right w:val="single" w:sz="4" w:space="0" w:color="auto"/>
            </w:tcBorders>
            <w:noWrap/>
            <w:hideMark/>
          </w:tcPr>
          <w:p w14:paraId="1D03DB56"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2.540,00</w:t>
            </w:r>
          </w:p>
        </w:tc>
        <w:tc>
          <w:tcPr>
            <w:tcW w:w="1404" w:type="dxa"/>
            <w:tcBorders>
              <w:top w:val="single" w:sz="4" w:space="0" w:color="auto"/>
              <w:left w:val="single" w:sz="4" w:space="0" w:color="auto"/>
              <w:bottom w:val="single" w:sz="4" w:space="0" w:color="auto"/>
              <w:right w:val="single" w:sz="4" w:space="0" w:color="auto"/>
            </w:tcBorders>
            <w:noWrap/>
            <w:hideMark/>
          </w:tcPr>
          <w:p w14:paraId="38022B5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46456BD1"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70460824"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2.540,00</w:t>
            </w:r>
          </w:p>
        </w:tc>
      </w:tr>
      <w:tr w:rsidR="00FF767D" w14:paraId="7EDBCA8F"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7B613AA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Program 5002 Obrazovanje</w:t>
            </w:r>
          </w:p>
        </w:tc>
        <w:tc>
          <w:tcPr>
            <w:tcW w:w="978" w:type="dxa"/>
            <w:tcBorders>
              <w:top w:val="single" w:sz="4" w:space="0" w:color="auto"/>
              <w:left w:val="single" w:sz="4" w:space="0" w:color="auto"/>
              <w:bottom w:val="single" w:sz="4" w:space="0" w:color="auto"/>
              <w:right w:val="single" w:sz="4" w:space="0" w:color="auto"/>
            </w:tcBorders>
            <w:noWrap/>
            <w:hideMark/>
          </w:tcPr>
          <w:p w14:paraId="5C147A33"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2.540,00</w:t>
            </w:r>
          </w:p>
        </w:tc>
        <w:tc>
          <w:tcPr>
            <w:tcW w:w="1404" w:type="dxa"/>
            <w:tcBorders>
              <w:top w:val="single" w:sz="4" w:space="0" w:color="auto"/>
              <w:left w:val="single" w:sz="4" w:space="0" w:color="auto"/>
              <w:bottom w:val="single" w:sz="4" w:space="0" w:color="auto"/>
              <w:right w:val="single" w:sz="4" w:space="0" w:color="auto"/>
            </w:tcBorders>
            <w:noWrap/>
            <w:hideMark/>
          </w:tcPr>
          <w:p w14:paraId="18A0ECD8"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70AAC6AC"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6294BB21"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2.540,00</w:t>
            </w:r>
          </w:p>
        </w:tc>
      </w:tr>
      <w:tr w:rsidR="00E16B60" w:rsidRPr="00E16B60" w14:paraId="0E3E2763" w14:textId="77777777" w:rsidTr="00E16B60">
        <w:trPr>
          <w:trHeight w:val="255"/>
        </w:trPr>
        <w:tc>
          <w:tcPr>
            <w:tcW w:w="475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0F6CD87"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Aktivnost A500003 Financiranje djelatnosti osnovnog školstva</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7379E5E"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2.100,00</w:t>
            </w:r>
          </w:p>
        </w:tc>
        <w:tc>
          <w:tcPr>
            <w:tcW w:w="1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BC34C53"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0,00</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E53CD44"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0,00</w:t>
            </w:r>
          </w:p>
        </w:tc>
        <w:tc>
          <w:tcPr>
            <w:tcW w:w="1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FF67D9F"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2.100,00</w:t>
            </w:r>
          </w:p>
        </w:tc>
      </w:tr>
      <w:tr w:rsidR="00FF767D" w14:paraId="4B54CBFD"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0179C6A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w:t>
            </w:r>
          </w:p>
        </w:tc>
        <w:tc>
          <w:tcPr>
            <w:tcW w:w="3974" w:type="dxa"/>
            <w:tcBorders>
              <w:top w:val="single" w:sz="4" w:space="0" w:color="auto"/>
              <w:left w:val="single" w:sz="4" w:space="0" w:color="auto"/>
              <w:bottom w:val="single" w:sz="4" w:space="0" w:color="auto"/>
              <w:right w:val="single" w:sz="4" w:space="0" w:color="auto"/>
            </w:tcBorders>
            <w:noWrap/>
            <w:hideMark/>
          </w:tcPr>
          <w:p w14:paraId="37C6A54C"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Rashodi poslovanja</w:t>
            </w:r>
          </w:p>
        </w:tc>
        <w:tc>
          <w:tcPr>
            <w:tcW w:w="978" w:type="dxa"/>
            <w:tcBorders>
              <w:top w:val="single" w:sz="4" w:space="0" w:color="auto"/>
              <w:left w:val="single" w:sz="4" w:space="0" w:color="auto"/>
              <w:bottom w:val="single" w:sz="4" w:space="0" w:color="auto"/>
              <w:right w:val="single" w:sz="4" w:space="0" w:color="auto"/>
            </w:tcBorders>
            <w:noWrap/>
            <w:hideMark/>
          </w:tcPr>
          <w:p w14:paraId="5AC02A0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2.100,00</w:t>
            </w:r>
          </w:p>
        </w:tc>
        <w:tc>
          <w:tcPr>
            <w:tcW w:w="1404" w:type="dxa"/>
            <w:tcBorders>
              <w:top w:val="single" w:sz="4" w:space="0" w:color="auto"/>
              <w:left w:val="single" w:sz="4" w:space="0" w:color="auto"/>
              <w:bottom w:val="single" w:sz="4" w:space="0" w:color="auto"/>
              <w:right w:val="single" w:sz="4" w:space="0" w:color="auto"/>
            </w:tcBorders>
            <w:noWrap/>
            <w:hideMark/>
          </w:tcPr>
          <w:p w14:paraId="1919368C"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774E50D4"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127FC928"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2.100,00</w:t>
            </w:r>
          </w:p>
        </w:tc>
      </w:tr>
      <w:tr w:rsidR="00FF767D" w14:paraId="1881F10B"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0F227531"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32</w:t>
            </w:r>
          </w:p>
        </w:tc>
        <w:tc>
          <w:tcPr>
            <w:tcW w:w="3974" w:type="dxa"/>
            <w:tcBorders>
              <w:top w:val="single" w:sz="4" w:space="0" w:color="auto"/>
              <w:left w:val="single" w:sz="4" w:space="0" w:color="auto"/>
              <w:bottom w:val="single" w:sz="4" w:space="0" w:color="auto"/>
              <w:right w:val="single" w:sz="4" w:space="0" w:color="auto"/>
            </w:tcBorders>
            <w:noWrap/>
            <w:hideMark/>
          </w:tcPr>
          <w:p w14:paraId="37F688D5"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Materijalni rashodi</w:t>
            </w:r>
          </w:p>
        </w:tc>
        <w:tc>
          <w:tcPr>
            <w:tcW w:w="978" w:type="dxa"/>
            <w:tcBorders>
              <w:top w:val="single" w:sz="4" w:space="0" w:color="auto"/>
              <w:left w:val="single" w:sz="4" w:space="0" w:color="auto"/>
              <w:bottom w:val="single" w:sz="4" w:space="0" w:color="auto"/>
              <w:right w:val="single" w:sz="4" w:space="0" w:color="auto"/>
            </w:tcBorders>
            <w:noWrap/>
            <w:hideMark/>
          </w:tcPr>
          <w:p w14:paraId="07EC176B"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2.100,00</w:t>
            </w:r>
          </w:p>
        </w:tc>
        <w:tc>
          <w:tcPr>
            <w:tcW w:w="1404" w:type="dxa"/>
            <w:tcBorders>
              <w:top w:val="single" w:sz="4" w:space="0" w:color="auto"/>
              <w:left w:val="single" w:sz="4" w:space="0" w:color="auto"/>
              <w:bottom w:val="single" w:sz="4" w:space="0" w:color="auto"/>
              <w:right w:val="single" w:sz="4" w:space="0" w:color="auto"/>
            </w:tcBorders>
            <w:noWrap/>
            <w:hideMark/>
          </w:tcPr>
          <w:p w14:paraId="074B14A7"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666407A8"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2686B2B1"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2.100,00</w:t>
            </w:r>
          </w:p>
        </w:tc>
      </w:tr>
      <w:tr w:rsidR="00E16B60" w:rsidRPr="00E16B60" w14:paraId="1D4FD218" w14:textId="77777777" w:rsidTr="00E16B60">
        <w:trPr>
          <w:trHeight w:val="255"/>
        </w:trPr>
        <w:tc>
          <w:tcPr>
            <w:tcW w:w="475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C08E413" w14:textId="77777777" w:rsidR="00FF767D" w:rsidRPr="00E16B60" w:rsidRDefault="00FF767D">
            <w:pPr>
              <w:jc w:val="both"/>
              <w:rPr>
                <w:rFonts w:ascii="Arial" w:eastAsia="Calibri" w:hAnsi="Arial" w:cs="Arial"/>
                <w:b/>
                <w:bCs/>
                <w:sz w:val="18"/>
                <w:szCs w:val="18"/>
              </w:rPr>
            </w:pPr>
            <w:bookmarkStart w:id="45" w:name="_Hlk202813668"/>
            <w:r w:rsidRPr="00E16B60">
              <w:rPr>
                <w:rFonts w:ascii="Arial" w:eastAsia="Calibri" w:hAnsi="Arial" w:cs="Arial"/>
                <w:b/>
                <w:bCs/>
                <w:sz w:val="18"/>
                <w:szCs w:val="18"/>
              </w:rPr>
              <w:t>Aktivnost A500013 Financiranje aktivnosti predškolske djece</w:t>
            </w:r>
            <w:bookmarkEnd w:id="45"/>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C2285C5"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440,00</w:t>
            </w:r>
          </w:p>
        </w:tc>
        <w:tc>
          <w:tcPr>
            <w:tcW w:w="1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3729A61"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0,00</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7E993D79"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0,00</w:t>
            </w:r>
          </w:p>
        </w:tc>
        <w:tc>
          <w:tcPr>
            <w:tcW w:w="1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7D83AAD"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440,00</w:t>
            </w:r>
          </w:p>
        </w:tc>
      </w:tr>
      <w:tr w:rsidR="00FF767D" w14:paraId="21AF9ED3"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1A3BB4FE"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w:t>
            </w:r>
          </w:p>
        </w:tc>
        <w:tc>
          <w:tcPr>
            <w:tcW w:w="3974" w:type="dxa"/>
            <w:tcBorders>
              <w:top w:val="single" w:sz="4" w:space="0" w:color="auto"/>
              <w:left w:val="single" w:sz="4" w:space="0" w:color="auto"/>
              <w:bottom w:val="single" w:sz="4" w:space="0" w:color="auto"/>
              <w:right w:val="single" w:sz="4" w:space="0" w:color="auto"/>
            </w:tcBorders>
            <w:noWrap/>
            <w:hideMark/>
          </w:tcPr>
          <w:p w14:paraId="7F9B38AE"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Rashodi poslovanja</w:t>
            </w:r>
          </w:p>
        </w:tc>
        <w:tc>
          <w:tcPr>
            <w:tcW w:w="978" w:type="dxa"/>
            <w:tcBorders>
              <w:top w:val="single" w:sz="4" w:space="0" w:color="auto"/>
              <w:left w:val="single" w:sz="4" w:space="0" w:color="auto"/>
              <w:bottom w:val="single" w:sz="4" w:space="0" w:color="auto"/>
              <w:right w:val="single" w:sz="4" w:space="0" w:color="auto"/>
            </w:tcBorders>
            <w:noWrap/>
            <w:hideMark/>
          </w:tcPr>
          <w:p w14:paraId="00DA6533"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440,00</w:t>
            </w:r>
          </w:p>
        </w:tc>
        <w:tc>
          <w:tcPr>
            <w:tcW w:w="1404" w:type="dxa"/>
            <w:tcBorders>
              <w:top w:val="single" w:sz="4" w:space="0" w:color="auto"/>
              <w:left w:val="single" w:sz="4" w:space="0" w:color="auto"/>
              <w:bottom w:val="single" w:sz="4" w:space="0" w:color="auto"/>
              <w:right w:val="single" w:sz="4" w:space="0" w:color="auto"/>
            </w:tcBorders>
            <w:noWrap/>
            <w:hideMark/>
          </w:tcPr>
          <w:p w14:paraId="5568FDE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37E1D02D"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6CFC2F4D"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440,00</w:t>
            </w:r>
          </w:p>
        </w:tc>
      </w:tr>
      <w:tr w:rsidR="00FF767D" w14:paraId="08C69190"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696CD63F"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32</w:t>
            </w:r>
          </w:p>
        </w:tc>
        <w:tc>
          <w:tcPr>
            <w:tcW w:w="3974" w:type="dxa"/>
            <w:tcBorders>
              <w:top w:val="single" w:sz="4" w:space="0" w:color="auto"/>
              <w:left w:val="single" w:sz="4" w:space="0" w:color="auto"/>
              <w:bottom w:val="single" w:sz="4" w:space="0" w:color="auto"/>
              <w:right w:val="single" w:sz="4" w:space="0" w:color="auto"/>
            </w:tcBorders>
            <w:noWrap/>
            <w:hideMark/>
          </w:tcPr>
          <w:p w14:paraId="0F6427AD"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Materijalni rashodi</w:t>
            </w:r>
          </w:p>
        </w:tc>
        <w:tc>
          <w:tcPr>
            <w:tcW w:w="978" w:type="dxa"/>
            <w:tcBorders>
              <w:top w:val="single" w:sz="4" w:space="0" w:color="auto"/>
              <w:left w:val="single" w:sz="4" w:space="0" w:color="auto"/>
              <w:bottom w:val="single" w:sz="4" w:space="0" w:color="auto"/>
              <w:right w:val="single" w:sz="4" w:space="0" w:color="auto"/>
            </w:tcBorders>
            <w:noWrap/>
            <w:hideMark/>
          </w:tcPr>
          <w:p w14:paraId="1052C3D5"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440,00</w:t>
            </w:r>
          </w:p>
        </w:tc>
        <w:tc>
          <w:tcPr>
            <w:tcW w:w="1404" w:type="dxa"/>
            <w:tcBorders>
              <w:top w:val="single" w:sz="4" w:space="0" w:color="auto"/>
              <w:left w:val="single" w:sz="4" w:space="0" w:color="auto"/>
              <w:bottom w:val="single" w:sz="4" w:space="0" w:color="auto"/>
              <w:right w:val="single" w:sz="4" w:space="0" w:color="auto"/>
            </w:tcBorders>
            <w:noWrap/>
            <w:hideMark/>
          </w:tcPr>
          <w:p w14:paraId="522F8DC2"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055E1AFB"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063DB7F3"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440,00</w:t>
            </w:r>
          </w:p>
        </w:tc>
      </w:tr>
      <w:tr w:rsidR="00FF767D" w14:paraId="63D1B443"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44CB0233"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Izvor  5. POMOĆI</w:t>
            </w:r>
          </w:p>
        </w:tc>
        <w:tc>
          <w:tcPr>
            <w:tcW w:w="978" w:type="dxa"/>
            <w:tcBorders>
              <w:top w:val="single" w:sz="4" w:space="0" w:color="auto"/>
              <w:left w:val="single" w:sz="4" w:space="0" w:color="auto"/>
              <w:bottom w:val="single" w:sz="4" w:space="0" w:color="auto"/>
              <w:right w:val="single" w:sz="4" w:space="0" w:color="auto"/>
            </w:tcBorders>
            <w:noWrap/>
            <w:hideMark/>
          </w:tcPr>
          <w:p w14:paraId="3B2043E8"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602.640,00</w:t>
            </w:r>
          </w:p>
        </w:tc>
        <w:tc>
          <w:tcPr>
            <w:tcW w:w="1404" w:type="dxa"/>
            <w:tcBorders>
              <w:top w:val="single" w:sz="4" w:space="0" w:color="auto"/>
              <w:left w:val="single" w:sz="4" w:space="0" w:color="auto"/>
              <w:bottom w:val="single" w:sz="4" w:space="0" w:color="auto"/>
              <w:right w:val="single" w:sz="4" w:space="0" w:color="auto"/>
            </w:tcBorders>
            <w:noWrap/>
            <w:hideMark/>
          </w:tcPr>
          <w:p w14:paraId="5FD9EBE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32.567,00</w:t>
            </w:r>
          </w:p>
        </w:tc>
        <w:tc>
          <w:tcPr>
            <w:tcW w:w="978" w:type="dxa"/>
            <w:tcBorders>
              <w:top w:val="single" w:sz="4" w:space="0" w:color="auto"/>
              <w:left w:val="single" w:sz="4" w:space="0" w:color="auto"/>
              <w:bottom w:val="single" w:sz="4" w:space="0" w:color="auto"/>
              <w:right w:val="single" w:sz="4" w:space="0" w:color="auto"/>
            </w:tcBorders>
            <w:noWrap/>
            <w:hideMark/>
          </w:tcPr>
          <w:p w14:paraId="463BE7D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5,40</w:t>
            </w:r>
          </w:p>
        </w:tc>
        <w:tc>
          <w:tcPr>
            <w:tcW w:w="1240" w:type="dxa"/>
            <w:tcBorders>
              <w:top w:val="single" w:sz="4" w:space="0" w:color="auto"/>
              <w:left w:val="single" w:sz="4" w:space="0" w:color="auto"/>
              <w:bottom w:val="single" w:sz="4" w:space="0" w:color="auto"/>
              <w:right w:val="single" w:sz="4" w:space="0" w:color="auto"/>
            </w:tcBorders>
            <w:noWrap/>
            <w:hideMark/>
          </w:tcPr>
          <w:p w14:paraId="033A04AB"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635.207,00</w:t>
            </w:r>
          </w:p>
        </w:tc>
      </w:tr>
      <w:tr w:rsidR="00FF767D" w14:paraId="6A8A1506"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7EFD6B9E"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Izvor  5.1. POMOĆI</w:t>
            </w:r>
          </w:p>
        </w:tc>
        <w:tc>
          <w:tcPr>
            <w:tcW w:w="978" w:type="dxa"/>
            <w:tcBorders>
              <w:top w:val="single" w:sz="4" w:space="0" w:color="auto"/>
              <w:left w:val="single" w:sz="4" w:space="0" w:color="auto"/>
              <w:bottom w:val="single" w:sz="4" w:space="0" w:color="auto"/>
              <w:right w:val="single" w:sz="4" w:space="0" w:color="auto"/>
            </w:tcBorders>
            <w:noWrap/>
            <w:hideMark/>
          </w:tcPr>
          <w:p w14:paraId="5B16983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31.000,00</w:t>
            </w:r>
          </w:p>
        </w:tc>
        <w:tc>
          <w:tcPr>
            <w:tcW w:w="1404" w:type="dxa"/>
            <w:tcBorders>
              <w:top w:val="single" w:sz="4" w:space="0" w:color="auto"/>
              <w:left w:val="single" w:sz="4" w:space="0" w:color="auto"/>
              <w:bottom w:val="single" w:sz="4" w:space="0" w:color="auto"/>
              <w:right w:val="single" w:sz="4" w:space="0" w:color="auto"/>
            </w:tcBorders>
            <w:noWrap/>
            <w:hideMark/>
          </w:tcPr>
          <w:p w14:paraId="0CDA4DB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9.000,00</w:t>
            </w:r>
          </w:p>
        </w:tc>
        <w:tc>
          <w:tcPr>
            <w:tcW w:w="978" w:type="dxa"/>
            <w:tcBorders>
              <w:top w:val="single" w:sz="4" w:space="0" w:color="auto"/>
              <w:left w:val="single" w:sz="4" w:space="0" w:color="auto"/>
              <w:bottom w:val="single" w:sz="4" w:space="0" w:color="auto"/>
              <w:right w:val="single" w:sz="4" w:space="0" w:color="auto"/>
            </w:tcBorders>
            <w:noWrap/>
            <w:hideMark/>
          </w:tcPr>
          <w:p w14:paraId="2DE48095"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29,03</w:t>
            </w:r>
          </w:p>
        </w:tc>
        <w:tc>
          <w:tcPr>
            <w:tcW w:w="1240" w:type="dxa"/>
            <w:tcBorders>
              <w:top w:val="single" w:sz="4" w:space="0" w:color="auto"/>
              <w:left w:val="single" w:sz="4" w:space="0" w:color="auto"/>
              <w:bottom w:val="single" w:sz="4" w:space="0" w:color="auto"/>
              <w:right w:val="single" w:sz="4" w:space="0" w:color="auto"/>
            </w:tcBorders>
            <w:noWrap/>
            <w:hideMark/>
          </w:tcPr>
          <w:p w14:paraId="3225ADD2"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40.000,00</w:t>
            </w:r>
          </w:p>
        </w:tc>
      </w:tr>
      <w:tr w:rsidR="00FF767D" w14:paraId="3597A0E8"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4E5568D0"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Razdjel 500 UPRAVNI ODJEL ZA DRUŠTVENE DJELATNOSTI</w:t>
            </w:r>
          </w:p>
        </w:tc>
        <w:tc>
          <w:tcPr>
            <w:tcW w:w="978" w:type="dxa"/>
            <w:tcBorders>
              <w:top w:val="single" w:sz="4" w:space="0" w:color="auto"/>
              <w:left w:val="single" w:sz="4" w:space="0" w:color="auto"/>
              <w:bottom w:val="single" w:sz="4" w:space="0" w:color="auto"/>
              <w:right w:val="single" w:sz="4" w:space="0" w:color="auto"/>
            </w:tcBorders>
            <w:noWrap/>
            <w:hideMark/>
          </w:tcPr>
          <w:p w14:paraId="3DA2C10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31.000,00</w:t>
            </w:r>
          </w:p>
        </w:tc>
        <w:tc>
          <w:tcPr>
            <w:tcW w:w="1404" w:type="dxa"/>
            <w:tcBorders>
              <w:top w:val="single" w:sz="4" w:space="0" w:color="auto"/>
              <w:left w:val="single" w:sz="4" w:space="0" w:color="auto"/>
              <w:bottom w:val="single" w:sz="4" w:space="0" w:color="auto"/>
              <w:right w:val="single" w:sz="4" w:space="0" w:color="auto"/>
            </w:tcBorders>
            <w:noWrap/>
            <w:hideMark/>
          </w:tcPr>
          <w:p w14:paraId="27D46F6E"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9.000,00</w:t>
            </w:r>
          </w:p>
        </w:tc>
        <w:tc>
          <w:tcPr>
            <w:tcW w:w="978" w:type="dxa"/>
            <w:tcBorders>
              <w:top w:val="single" w:sz="4" w:space="0" w:color="auto"/>
              <w:left w:val="single" w:sz="4" w:space="0" w:color="auto"/>
              <w:bottom w:val="single" w:sz="4" w:space="0" w:color="auto"/>
              <w:right w:val="single" w:sz="4" w:space="0" w:color="auto"/>
            </w:tcBorders>
            <w:noWrap/>
            <w:hideMark/>
          </w:tcPr>
          <w:p w14:paraId="1BC39DC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29,03</w:t>
            </w:r>
          </w:p>
        </w:tc>
        <w:tc>
          <w:tcPr>
            <w:tcW w:w="1240" w:type="dxa"/>
            <w:tcBorders>
              <w:top w:val="single" w:sz="4" w:space="0" w:color="auto"/>
              <w:left w:val="single" w:sz="4" w:space="0" w:color="auto"/>
              <w:bottom w:val="single" w:sz="4" w:space="0" w:color="auto"/>
              <w:right w:val="single" w:sz="4" w:space="0" w:color="auto"/>
            </w:tcBorders>
            <w:noWrap/>
            <w:hideMark/>
          </w:tcPr>
          <w:p w14:paraId="3A890528"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40.000,00</w:t>
            </w:r>
          </w:p>
        </w:tc>
      </w:tr>
      <w:tr w:rsidR="00FF767D" w14:paraId="6DBB3AD4"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1504A1CD"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Glava 50003 USTANOVE ŠKOLSTVA</w:t>
            </w:r>
          </w:p>
        </w:tc>
        <w:tc>
          <w:tcPr>
            <w:tcW w:w="978" w:type="dxa"/>
            <w:tcBorders>
              <w:top w:val="single" w:sz="4" w:space="0" w:color="auto"/>
              <w:left w:val="single" w:sz="4" w:space="0" w:color="auto"/>
              <w:bottom w:val="single" w:sz="4" w:space="0" w:color="auto"/>
              <w:right w:val="single" w:sz="4" w:space="0" w:color="auto"/>
            </w:tcBorders>
            <w:noWrap/>
            <w:hideMark/>
          </w:tcPr>
          <w:p w14:paraId="6DBFEDD1"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31.000,00</w:t>
            </w:r>
          </w:p>
        </w:tc>
        <w:tc>
          <w:tcPr>
            <w:tcW w:w="1404" w:type="dxa"/>
            <w:tcBorders>
              <w:top w:val="single" w:sz="4" w:space="0" w:color="auto"/>
              <w:left w:val="single" w:sz="4" w:space="0" w:color="auto"/>
              <w:bottom w:val="single" w:sz="4" w:space="0" w:color="auto"/>
              <w:right w:val="single" w:sz="4" w:space="0" w:color="auto"/>
            </w:tcBorders>
            <w:noWrap/>
            <w:hideMark/>
          </w:tcPr>
          <w:p w14:paraId="77135B8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9.000,00</w:t>
            </w:r>
          </w:p>
        </w:tc>
        <w:tc>
          <w:tcPr>
            <w:tcW w:w="978" w:type="dxa"/>
            <w:tcBorders>
              <w:top w:val="single" w:sz="4" w:space="0" w:color="auto"/>
              <w:left w:val="single" w:sz="4" w:space="0" w:color="auto"/>
              <w:bottom w:val="single" w:sz="4" w:space="0" w:color="auto"/>
              <w:right w:val="single" w:sz="4" w:space="0" w:color="auto"/>
            </w:tcBorders>
            <w:noWrap/>
            <w:hideMark/>
          </w:tcPr>
          <w:p w14:paraId="3CABBDA3"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29,03</w:t>
            </w:r>
          </w:p>
        </w:tc>
        <w:tc>
          <w:tcPr>
            <w:tcW w:w="1240" w:type="dxa"/>
            <w:tcBorders>
              <w:top w:val="single" w:sz="4" w:space="0" w:color="auto"/>
              <w:left w:val="single" w:sz="4" w:space="0" w:color="auto"/>
              <w:bottom w:val="single" w:sz="4" w:space="0" w:color="auto"/>
              <w:right w:val="single" w:sz="4" w:space="0" w:color="auto"/>
            </w:tcBorders>
            <w:noWrap/>
            <w:hideMark/>
          </w:tcPr>
          <w:p w14:paraId="2396DD79"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40.000,00</w:t>
            </w:r>
          </w:p>
        </w:tc>
      </w:tr>
      <w:tr w:rsidR="00FF767D" w14:paraId="6DD782FE"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42CCC8FB"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Proračunski korisnik 10645 CENTAR LIČE FARAGUNA LABIN</w:t>
            </w:r>
          </w:p>
        </w:tc>
        <w:tc>
          <w:tcPr>
            <w:tcW w:w="978" w:type="dxa"/>
            <w:tcBorders>
              <w:top w:val="single" w:sz="4" w:space="0" w:color="auto"/>
              <w:left w:val="single" w:sz="4" w:space="0" w:color="auto"/>
              <w:bottom w:val="single" w:sz="4" w:space="0" w:color="auto"/>
              <w:right w:val="single" w:sz="4" w:space="0" w:color="auto"/>
            </w:tcBorders>
            <w:noWrap/>
            <w:hideMark/>
          </w:tcPr>
          <w:p w14:paraId="454729A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31.000,00</w:t>
            </w:r>
          </w:p>
        </w:tc>
        <w:tc>
          <w:tcPr>
            <w:tcW w:w="1404" w:type="dxa"/>
            <w:tcBorders>
              <w:top w:val="single" w:sz="4" w:space="0" w:color="auto"/>
              <w:left w:val="single" w:sz="4" w:space="0" w:color="auto"/>
              <w:bottom w:val="single" w:sz="4" w:space="0" w:color="auto"/>
              <w:right w:val="single" w:sz="4" w:space="0" w:color="auto"/>
            </w:tcBorders>
            <w:noWrap/>
            <w:hideMark/>
          </w:tcPr>
          <w:p w14:paraId="5616287C"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9.000,00</w:t>
            </w:r>
          </w:p>
        </w:tc>
        <w:tc>
          <w:tcPr>
            <w:tcW w:w="978" w:type="dxa"/>
            <w:tcBorders>
              <w:top w:val="single" w:sz="4" w:space="0" w:color="auto"/>
              <w:left w:val="single" w:sz="4" w:space="0" w:color="auto"/>
              <w:bottom w:val="single" w:sz="4" w:space="0" w:color="auto"/>
              <w:right w:val="single" w:sz="4" w:space="0" w:color="auto"/>
            </w:tcBorders>
            <w:noWrap/>
            <w:hideMark/>
          </w:tcPr>
          <w:p w14:paraId="2B1C130F"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29,03</w:t>
            </w:r>
          </w:p>
        </w:tc>
        <w:tc>
          <w:tcPr>
            <w:tcW w:w="1240" w:type="dxa"/>
            <w:tcBorders>
              <w:top w:val="single" w:sz="4" w:space="0" w:color="auto"/>
              <w:left w:val="single" w:sz="4" w:space="0" w:color="auto"/>
              <w:bottom w:val="single" w:sz="4" w:space="0" w:color="auto"/>
              <w:right w:val="single" w:sz="4" w:space="0" w:color="auto"/>
            </w:tcBorders>
            <w:noWrap/>
            <w:hideMark/>
          </w:tcPr>
          <w:p w14:paraId="6F140382"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40.000,00</w:t>
            </w:r>
          </w:p>
        </w:tc>
      </w:tr>
      <w:tr w:rsidR="00FF767D" w14:paraId="0FA07FBA"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7FC93258"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Glavni program L01 JEDINSTVENI GLAVNI PROGRAM</w:t>
            </w:r>
          </w:p>
        </w:tc>
        <w:tc>
          <w:tcPr>
            <w:tcW w:w="978" w:type="dxa"/>
            <w:tcBorders>
              <w:top w:val="single" w:sz="4" w:space="0" w:color="auto"/>
              <w:left w:val="single" w:sz="4" w:space="0" w:color="auto"/>
              <w:bottom w:val="single" w:sz="4" w:space="0" w:color="auto"/>
              <w:right w:val="single" w:sz="4" w:space="0" w:color="auto"/>
            </w:tcBorders>
            <w:noWrap/>
            <w:hideMark/>
          </w:tcPr>
          <w:p w14:paraId="649D65B5"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31.000,00</w:t>
            </w:r>
          </w:p>
        </w:tc>
        <w:tc>
          <w:tcPr>
            <w:tcW w:w="1404" w:type="dxa"/>
            <w:tcBorders>
              <w:top w:val="single" w:sz="4" w:space="0" w:color="auto"/>
              <w:left w:val="single" w:sz="4" w:space="0" w:color="auto"/>
              <w:bottom w:val="single" w:sz="4" w:space="0" w:color="auto"/>
              <w:right w:val="single" w:sz="4" w:space="0" w:color="auto"/>
            </w:tcBorders>
            <w:noWrap/>
            <w:hideMark/>
          </w:tcPr>
          <w:p w14:paraId="0553C7D2"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9.000,00</w:t>
            </w:r>
          </w:p>
        </w:tc>
        <w:tc>
          <w:tcPr>
            <w:tcW w:w="978" w:type="dxa"/>
            <w:tcBorders>
              <w:top w:val="single" w:sz="4" w:space="0" w:color="auto"/>
              <w:left w:val="single" w:sz="4" w:space="0" w:color="auto"/>
              <w:bottom w:val="single" w:sz="4" w:space="0" w:color="auto"/>
              <w:right w:val="single" w:sz="4" w:space="0" w:color="auto"/>
            </w:tcBorders>
            <w:noWrap/>
            <w:hideMark/>
          </w:tcPr>
          <w:p w14:paraId="7A256873"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29,03</w:t>
            </w:r>
          </w:p>
        </w:tc>
        <w:tc>
          <w:tcPr>
            <w:tcW w:w="1240" w:type="dxa"/>
            <w:tcBorders>
              <w:top w:val="single" w:sz="4" w:space="0" w:color="auto"/>
              <w:left w:val="single" w:sz="4" w:space="0" w:color="auto"/>
              <w:bottom w:val="single" w:sz="4" w:space="0" w:color="auto"/>
              <w:right w:val="single" w:sz="4" w:space="0" w:color="auto"/>
            </w:tcBorders>
            <w:noWrap/>
            <w:hideMark/>
          </w:tcPr>
          <w:p w14:paraId="08250794"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40.000,00</w:t>
            </w:r>
          </w:p>
        </w:tc>
      </w:tr>
      <w:tr w:rsidR="00FF767D" w14:paraId="332B9AC2"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1B50B693"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Program 5002 Obrazovanje</w:t>
            </w:r>
          </w:p>
        </w:tc>
        <w:tc>
          <w:tcPr>
            <w:tcW w:w="978" w:type="dxa"/>
            <w:tcBorders>
              <w:top w:val="single" w:sz="4" w:space="0" w:color="auto"/>
              <w:left w:val="single" w:sz="4" w:space="0" w:color="auto"/>
              <w:bottom w:val="single" w:sz="4" w:space="0" w:color="auto"/>
              <w:right w:val="single" w:sz="4" w:space="0" w:color="auto"/>
            </w:tcBorders>
            <w:noWrap/>
            <w:hideMark/>
          </w:tcPr>
          <w:p w14:paraId="0278DB21"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31.000,00</w:t>
            </w:r>
          </w:p>
        </w:tc>
        <w:tc>
          <w:tcPr>
            <w:tcW w:w="1404" w:type="dxa"/>
            <w:tcBorders>
              <w:top w:val="single" w:sz="4" w:space="0" w:color="auto"/>
              <w:left w:val="single" w:sz="4" w:space="0" w:color="auto"/>
              <w:bottom w:val="single" w:sz="4" w:space="0" w:color="auto"/>
              <w:right w:val="single" w:sz="4" w:space="0" w:color="auto"/>
            </w:tcBorders>
            <w:noWrap/>
            <w:hideMark/>
          </w:tcPr>
          <w:p w14:paraId="717B3D8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9.000,00</w:t>
            </w:r>
          </w:p>
        </w:tc>
        <w:tc>
          <w:tcPr>
            <w:tcW w:w="978" w:type="dxa"/>
            <w:tcBorders>
              <w:top w:val="single" w:sz="4" w:space="0" w:color="auto"/>
              <w:left w:val="single" w:sz="4" w:space="0" w:color="auto"/>
              <w:bottom w:val="single" w:sz="4" w:space="0" w:color="auto"/>
              <w:right w:val="single" w:sz="4" w:space="0" w:color="auto"/>
            </w:tcBorders>
            <w:noWrap/>
            <w:hideMark/>
          </w:tcPr>
          <w:p w14:paraId="1FF45B42"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29,03</w:t>
            </w:r>
          </w:p>
        </w:tc>
        <w:tc>
          <w:tcPr>
            <w:tcW w:w="1240" w:type="dxa"/>
            <w:tcBorders>
              <w:top w:val="single" w:sz="4" w:space="0" w:color="auto"/>
              <w:left w:val="single" w:sz="4" w:space="0" w:color="auto"/>
              <w:bottom w:val="single" w:sz="4" w:space="0" w:color="auto"/>
              <w:right w:val="single" w:sz="4" w:space="0" w:color="auto"/>
            </w:tcBorders>
            <w:noWrap/>
            <w:hideMark/>
          </w:tcPr>
          <w:p w14:paraId="7C5DBD14"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40.000,00</w:t>
            </w:r>
          </w:p>
        </w:tc>
      </w:tr>
      <w:tr w:rsidR="00E16B60" w:rsidRPr="00E16B60" w14:paraId="3CC10997" w14:textId="77777777" w:rsidTr="00E16B60">
        <w:trPr>
          <w:trHeight w:val="255"/>
        </w:trPr>
        <w:tc>
          <w:tcPr>
            <w:tcW w:w="475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ADCCCEF"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Aktivnost A500003 Financiranje djelatnosti osnovnog školstva</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73AEB919"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30.000,00</w:t>
            </w:r>
          </w:p>
        </w:tc>
        <w:tc>
          <w:tcPr>
            <w:tcW w:w="1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0FFF0D7"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3.000,00</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5C72C37"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10,00</w:t>
            </w:r>
          </w:p>
        </w:tc>
        <w:tc>
          <w:tcPr>
            <w:tcW w:w="1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4F81818"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33.000,00</w:t>
            </w:r>
          </w:p>
        </w:tc>
      </w:tr>
      <w:tr w:rsidR="00FF767D" w14:paraId="1D7995F9"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5499BA86"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w:t>
            </w:r>
          </w:p>
        </w:tc>
        <w:tc>
          <w:tcPr>
            <w:tcW w:w="3974" w:type="dxa"/>
            <w:tcBorders>
              <w:top w:val="single" w:sz="4" w:space="0" w:color="auto"/>
              <w:left w:val="single" w:sz="4" w:space="0" w:color="auto"/>
              <w:bottom w:val="single" w:sz="4" w:space="0" w:color="auto"/>
              <w:right w:val="single" w:sz="4" w:space="0" w:color="auto"/>
            </w:tcBorders>
            <w:noWrap/>
            <w:hideMark/>
          </w:tcPr>
          <w:p w14:paraId="28958A43"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Rashodi poslovanja</w:t>
            </w:r>
          </w:p>
        </w:tc>
        <w:tc>
          <w:tcPr>
            <w:tcW w:w="978" w:type="dxa"/>
            <w:tcBorders>
              <w:top w:val="single" w:sz="4" w:space="0" w:color="auto"/>
              <w:left w:val="single" w:sz="4" w:space="0" w:color="auto"/>
              <w:bottom w:val="single" w:sz="4" w:space="0" w:color="auto"/>
              <w:right w:val="single" w:sz="4" w:space="0" w:color="auto"/>
            </w:tcBorders>
            <w:noWrap/>
            <w:hideMark/>
          </w:tcPr>
          <w:p w14:paraId="0BE5EF2E"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30.000,00</w:t>
            </w:r>
          </w:p>
        </w:tc>
        <w:tc>
          <w:tcPr>
            <w:tcW w:w="1404" w:type="dxa"/>
            <w:tcBorders>
              <w:top w:val="single" w:sz="4" w:space="0" w:color="auto"/>
              <w:left w:val="single" w:sz="4" w:space="0" w:color="auto"/>
              <w:bottom w:val="single" w:sz="4" w:space="0" w:color="auto"/>
              <w:right w:val="single" w:sz="4" w:space="0" w:color="auto"/>
            </w:tcBorders>
            <w:noWrap/>
            <w:hideMark/>
          </w:tcPr>
          <w:p w14:paraId="0F156C1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3.000,00</w:t>
            </w:r>
          </w:p>
        </w:tc>
        <w:tc>
          <w:tcPr>
            <w:tcW w:w="978" w:type="dxa"/>
            <w:tcBorders>
              <w:top w:val="single" w:sz="4" w:space="0" w:color="auto"/>
              <w:left w:val="single" w:sz="4" w:space="0" w:color="auto"/>
              <w:bottom w:val="single" w:sz="4" w:space="0" w:color="auto"/>
              <w:right w:val="single" w:sz="4" w:space="0" w:color="auto"/>
            </w:tcBorders>
            <w:noWrap/>
            <w:hideMark/>
          </w:tcPr>
          <w:p w14:paraId="43E0608F"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10,00</w:t>
            </w:r>
          </w:p>
        </w:tc>
        <w:tc>
          <w:tcPr>
            <w:tcW w:w="1240" w:type="dxa"/>
            <w:tcBorders>
              <w:top w:val="single" w:sz="4" w:space="0" w:color="auto"/>
              <w:left w:val="single" w:sz="4" w:space="0" w:color="auto"/>
              <w:bottom w:val="single" w:sz="4" w:space="0" w:color="auto"/>
              <w:right w:val="single" w:sz="4" w:space="0" w:color="auto"/>
            </w:tcBorders>
            <w:noWrap/>
            <w:hideMark/>
          </w:tcPr>
          <w:p w14:paraId="11E51C41"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33.000,00</w:t>
            </w:r>
          </w:p>
        </w:tc>
      </w:tr>
      <w:tr w:rsidR="00FF767D" w14:paraId="2F5F4DCD"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5C7B3950"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32</w:t>
            </w:r>
          </w:p>
        </w:tc>
        <w:tc>
          <w:tcPr>
            <w:tcW w:w="3974" w:type="dxa"/>
            <w:tcBorders>
              <w:top w:val="single" w:sz="4" w:space="0" w:color="auto"/>
              <w:left w:val="single" w:sz="4" w:space="0" w:color="auto"/>
              <w:bottom w:val="single" w:sz="4" w:space="0" w:color="auto"/>
              <w:right w:val="single" w:sz="4" w:space="0" w:color="auto"/>
            </w:tcBorders>
            <w:noWrap/>
            <w:hideMark/>
          </w:tcPr>
          <w:p w14:paraId="7E529351"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Materijalni rashodi</w:t>
            </w:r>
          </w:p>
        </w:tc>
        <w:tc>
          <w:tcPr>
            <w:tcW w:w="978" w:type="dxa"/>
            <w:tcBorders>
              <w:top w:val="single" w:sz="4" w:space="0" w:color="auto"/>
              <w:left w:val="single" w:sz="4" w:space="0" w:color="auto"/>
              <w:bottom w:val="single" w:sz="4" w:space="0" w:color="auto"/>
              <w:right w:val="single" w:sz="4" w:space="0" w:color="auto"/>
            </w:tcBorders>
            <w:noWrap/>
            <w:hideMark/>
          </w:tcPr>
          <w:p w14:paraId="40EA81C9"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30.000,00</w:t>
            </w:r>
          </w:p>
        </w:tc>
        <w:tc>
          <w:tcPr>
            <w:tcW w:w="1404" w:type="dxa"/>
            <w:tcBorders>
              <w:top w:val="single" w:sz="4" w:space="0" w:color="auto"/>
              <w:left w:val="single" w:sz="4" w:space="0" w:color="auto"/>
              <w:bottom w:val="single" w:sz="4" w:space="0" w:color="auto"/>
              <w:right w:val="single" w:sz="4" w:space="0" w:color="auto"/>
            </w:tcBorders>
            <w:noWrap/>
            <w:hideMark/>
          </w:tcPr>
          <w:p w14:paraId="7F81E37E"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3.000,00</w:t>
            </w:r>
          </w:p>
        </w:tc>
        <w:tc>
          <w:tcPr>
            <w:tcW w:w="978" w:type="dxa"/>
            <w:tcBorders>
              <w:top w:val="single" w:sz="4" w:space="0" w:color="auto"/>
              <w:left w:val="single" w:sz="4" w:space="0" w:color="auto"/>
              <w:bottom w:val="single" w:sz="4" w:space="0" w:color="auto"/>
              <w:right w:val="single" w:sz="4" w:space="0" w:color="auto"/>
            </w:tcBorders>
            <w:noWrap/>
            <w:hideMark/>
          </w:tcPr>
          <w:p w14:paraId="3501530F"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10,00</w:t>
            </w:r>
          </w:p>
        </w:tc>
        <w:tc>
          <w:tcPr>
            <w:tcW w:w="1240" w:type="dxa"/>
            <w:tcBorders>
              <w:top w:val="single" w:sz="4" w:space="0" w:color="auto"/>
              <w:left w:val="single" w:sz="4" w:space="0" w:color="auto"/>
              <w:bottom w:val="single" w:sz="4" w:space="0" w:color="auto"/>
              <w:right w:val="single" w:sz="4" w:space="0" w:color="auto"/>
            </w:tcBorders>
            <w:noWrap/>
            <w:hideMark/>
          </w:tcPr>
          <w:p w14:paraId="0EDC2AB6"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33.000,00</w:t>
            </w:r>
          </w:p>
        </w:tc>
      </w:tr>
      <w:tr w:rsidR="00FF767D" w14:paraId="057C2984"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76388876" w14:textId="77777777" w:rsidR="00FF767D" w:rsidRDefault="00FF767D">
            <w:pPr>
              <w:jc w:val="both"/>
              <w:rPr>
                <w:rFonts w:ascii="Arial" w:eastAsia="Calibri" w:hAnsi="Arial" w:cs="Arial"/>
                <w:b/>
                <w:bCs/>
                <w:color w:val="000000" w:themeColor="text1"/>
                <w:sz w:val="18"/>
                <w:szCs w:val="18"/>
              </w:rPr>
            </w:pPr>
            <w:bookmarkStart w:id="46" w:name="_Hlk202812960"/>
            <w:r>
              <w:rPr>
                <w:rFonts w:ascii="Arial" w:eastAsia="Calibri" w:hAnsi="Arial" w:cs="Arial"/>
                <w:b/>
                <w:bCs/>
                <w:color w:val="000000" w:themeColor="text1"/>
                <w:sz w:val="18"/>
                <w:szCs w:val="18"/>
              </w:rPr>
              <w:t>Kapitalni projekt K500001 Kapitalna ulaganja osnovnog školstva</w:t>
            </w:r>
          </w:p>
        </w:tc>
        <w:tc>
          <w:tcPr>
            <w:tcW w:w="978" w:type="dxa"/>
            <w:tcBorders>
              <w:top w:val="single" w:sz="4" w:space="0" w:color="auto"/>
              <w:left w:val="single" w:sz="4" w:space="0" w:color="auto"/>
              <w:bottom w:val="single" w:sz="4" w:space="0" w:color="auto"/>
              <w:right w:val="single" w:sz="4" w:space="0" w:color="auto"/>
            </w:tcBorders>
            <w:noWrap/>
            <w:hideMark/>
          </w:tcPr>
          <w:p w14:paraId="71D812A5"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1.000,00</w:t>
            </w:r>
          </w:p>
        </w:tc>
        <w:tc>
          <w:tcPr>
            <w:tcW w:w="1404" w:type="dxa"/>
            <w:tcBorders>
              <w:top w:val="single" w:sz="4" w:space="0" w:color="auto"/>
              <w:left w:val="single" w:sz="4" w:space="0" w:color="auto"/>
              <w:bottom w:val="single" w:sz="4" w:space="0" w:color="auto"/>
              <w:right w:val="single" w:sz="4" w:space="0" w:color="auto"/>
            </w:tcBorders>
            <w:noWrap/>
            <w:hideMark/>
          </w:tcPr>
          <w:p w14:paraId="095046D8"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6.000,00</w:t>
            </w:r>
          </w:p>
        </w:tc>
        <w:tc>
          <w:tcPr>
            <w:tcW w:w="978" w:type="dxa"/>
            <w:tcBorders>
              <w:top w:val="single" w:sz="4" w:space="0" w:color="auto"/>
              <w:left w:val="single" w:sz="4" w:space="0" w:color="auto"/>
              <w:bottom w:val="single" w:sz="4" w:space="0" w:color="auto"/>
              <w:right w:val="single" w:sz="4" w:space="0" w:color="auto"/>
            </w:tcBorders>
            <w:noWrap/>
            <w:hideMark/>
          </w:tcPr>
          <w:p w14:paraId="67BA8C88"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600,00</w:t>
            </w:r>
          </w:p>
        </w:tc>
        <w:tc>
          <w:tcPr>
            <w:tcW w:w="1240" w:type="dxa"/>
            <w:tcBorders>
              <w:top w:val="single" w:sz="4" w:space="0" w:color="auto"/>
              <w:left w:val="single" w:sz="4" w:space="0" w:color="auto"/>
              <w:bottom w:val="single" w:sz="4" w:space="0" w:color="auto"/>
              <w:right w:val="single" w:sz="4" w:space="0" w:color="auto"/>
            </w:tcBorders>
            <w:noWrap/>
            <w:hideMark/>
          </w:tcPr>
          <w:p w14:paraId="7AAE22DB"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7.000,00</w:t>
            </w:r>
          </w:p>
        </w:tc>
        <w:bookmarkEnd w:id="46"/>
      </w:tr>
      <w:tr w:rsidR="00FF767D" w14:paraId="6A624DCE"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07516D78"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w:t>
            </w:r>
          </w:p>
        </w:tc>
        <w:tc>
          <w:tcPr>
            <w:tcW w:w="3974" w:type="dxa"/>
            <w:tcBorders>
              <w:top w:val="single" w:sz="4" w:space="0" w:color="auto"/>
              <w:left w:val="single" w:sz="4" w:space="0" w:color="auto"/>
              <w:bottom w:val="single" w:sz="4" w:space="0" w:color="auto"/>
              <w:right w:val="single" w:sz="4" w:space="0" w:color="auto"/>
            </w:tcBorders>
            <w:noWrap/>
            <w:hideMark/>
          </w:tcPr>
          <w:p w14:paraId="59E15721"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Rashodi za nabavu nefinancijske imovine</w:t>
            </w:r>
          </w:p>
        </w:tc>
        <w:tc>
          <w:tcPr>
            <w:tcW w:w="978" w:type="dxa"/>
            <w:tcBorders>
              <w:top w:val="single" w:sz="4" w:space="0" w:color="auto"/>
              <w:left w:val="single" w:sz="4" w:space="0" w:color="auto"/>
              <w:bottom w:val="single" w:sz="4" w:space="0" w:color="auto"/>
              <w:right w:val="single" w:sz="4" w:space="0" w:color="auto"/>
            </w:tcBorders>
            <w:noWrap/>
            <w:hideMark/>
          </w:tcPr>
          <w:p w14:paraId="34D87238"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1.000,00</w:t>
            </w:r>
          </w:p>
        </w:tc>
        <w:tc>
          <w:tcPr>
            <w:tcW w:w="1404" w:type="dxa"/>
            <w:tcBorders>
              <w:top w:val="single" w:sz="4" w:space="0" w:color="auto"/>
              <w:left w:val="single" w:sz="4" w:space="0" w:color="auto"/>
              <w:bottom w:val="single" w:sz="4" w:space="0" w:color="auto"/>
              <w:right w:val="single" w:sz="4" w:space="0" w:color="auto"/>
            </w:tcBorders>
            <w:noWrap/>
            <w:hideMark/>
          </w:tcPr>
          <w:p w14:paraId="6EA2910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6.000,00</w:t>
            </w:r>
          </w:p>
        </w:tc>
        <w:tc>
          <w:tcPr>
            <w:tcW w:w="978" w:type="dxa"/>
            <w:tcBorders>
              <w:top w:val="single" w:sz="4" w:space="0" w:color="auto"/>
              <w:left w:val="single" w:sz="4" w:space="0" w:color="auto"/>
              <w:bottom w:val="single" w:sz="4" w:space="0" w:color="auto"/>
              <w:right w:val="single" w:sz="4" w:space="0" w:color="auto"/>
            </w:tcBorders>
            <w:noWrap/>
            <w:hideMark/>
          </w:tcPr>
          <w:p w14:paraId="6DA2ACB5"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600,00</w:t>
            </w:r>
          </w:p>
        </w:tc>
        <w:tc>
          <w:tcPr>
            <w:tcW w:w="1240" w:type="dxa"/>
            <w:tcBorders>
              <w:top w:val="single" w:sz="4" w:space="0" w:color="auto"/>
              <w:left w:val="single" w:sz="4" w:space="0" w:color="auto"/>
              <w:bottom w:val="single" w:sz="4" w:space="0" w:color="auto"/>
              <w:right w:val="single" w:sz="4" w:space="0" w:color="auto"/>
            </w:tcBorders>
            <w:noWrap/>
            <w:hideMark/>
          </w:tcPr>
          <w:p w14:paraId="14C87CA4"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7.000,00</w:t>
            </w:r>
          </w:p>
        </w:tc>
      </w:tr>
      <w:tr w:rsidR="00FF767D" w14:paraId="18A250B3"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584FDACF"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42</w:t>
            </w:r>
          </w:p>
        </w:tc>
        <w:tc>
          <w:tcPr>
            <w:tcW w:w="3974" w:type="dxa"/>
            <w:tcBorders>
              <w:top w:val="single" w:sz="4" w:space="0" w:color="auto"/>
              <w:left w:val="single" w:sz="4" w:space="0" w:color="auto"/>
              <w:bottom w:val="single" w:sz="4" w:space="0" w:color="auto"/>
              <w:right w:val="single" w:sz="4" w:space="0" w:color="auto"/>
            </w:tcBorders>
            <w:noWrap/>
            <w:hideMark/>
          </w:tcPr>
          <w:p w14:paraId="0A8A2486"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Rashodi za nabavu proizvedene dugotrajne imovine</w:t>
            </w:r>
          </w:p>
        </w:tc>
        <w:tc>
          <w:tcPr>
            <w:tcW w:w="978" w:type="dxa"/>
            <w:tcBorders>
              <w:top w:val="single" w:sz="4" w:space="0" w:color="auto"/>
              <w:left w:val="single" w:sz="4" w:space="0" w:color="auto"/>
              <w:bottom w:val="single" w:sz="4" w:space="0" w:color="auto"/>
              <w:right w:val="single" w:sz="4" w:space="0" w:color="auto"/>
            </w:tcBorders>
            <w:noWrap/>
            <w:hideMark/>
          </w:tcPr>
          <w:p w14:paraId="70A7DCAD"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1.000,00</w:t>
            </w:r>
          </w:p>
        </w:tc>
        <w:tc>
          <w:tcPr>
            <w:tcW w:w="1404" w:type="dxa"/>
            <w:tcBorders>
              <w:top w:val="single" w:sz="4" w:space="0" w:color="auto"/>
              <w:left w:val="single" w:sz="4" w:space="0" w:color="auto"/>
              <w:bottom w:val="single" w:sz="4" w:space="0" w:color="auto"/>
              <w:right w:val="single" w:sz="4" w:space="0" w:color="auto"/>
            </w:tcBorders>
            <w:noWrap/>
            <w:hideMark/>
          </w:tcPr>
          <w:p w14:paraId="72C9DB4C"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6.000,00</w:t>
            </w:r>
          </w:p>
        </w:tc>
        <w:tc>
          <w:tcPr>
            <w:tcW w:w="978" w:type="dxa"/>
            <w:tcBorders>
              <w:top w:val="single" w:sz="4" w:space="0" w:color="auto"/>
              <w:left w:val="single" w:sz="4" w:space="0" w:color="auto"/>
              <w:bottom w:val="single" w:sz="4" w:space="0" w:color="auto"/>
              <w:right w:val="single" w:sz="4" w:space="0" w:color="auto"/>
            </w:tcBorders>
            <w:noWrap/>
            <w:hideMark/>
          </w:tcPr>
          <w:p w14:paraId="44EED597"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600,00</w:t>
            </w:r>
          </w:p>
        </w:tc>
        <w:tc>
          <w:tcPr>
            <w:tcW w:w="1240" w:type="dxa"/>
            <w:tcBorders>
              <w:top w:val="single" w:sz="4" w:space="0" w:color="auto"/>
              <w:left w:val="single" w:sz="4" w:space="0" w:color="auto"/>
              <w:bottom w:val="single" w:sz="4" w:space="0" w:color="auto"/>
              <w:right w:val="single" w:sz="4" w:space="0" w:color="auto"/>
            </w:tcBorders>
            <w:noWrap/>
            <w:hideMark/>
          </w:tcPr>
          <w:p w14:paraId="1984D9C0"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7.000,00</w:t>
            </w:r>
          </w:p>
        </w:tc>
      </w:tr>
      <w:tr w:rsidR="00FF767D" w14:paraId="2D0A9102"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25FEB47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Izvor  5.9. POMOĆI</w:t>
            </w:r>
          </w:p>
        </w:tc>
        <w:tc>
          <w:tcPr>
            <w:tcW w:w="978" w:type="dxa"/>
            <w:tcBorders>
              <w:top w:val="single" w:sz="4" w:space="0" w:color="auto"/>
              <w:left w:val="single" w:sz="4" w:space="0" w:color="auto"/>
              <w:bottom w:val="single" w:sz="4" w:space="0" w:color="auto"/>
              <w:right w:val="single" w:sz="4" w:space="0" w:color="auto"/>
            </w:tcBorders>
            <w:noWrap/>
            <w:hideMark/>
          </w:tcPr>
          <w:p w14:paraId="375E70CE"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571.640,00</w:t>
            </w:r>
          </w:p>
        </w:tc>
        <w:tc>
          <w:tcPr>
            <w:tcW w:w="1404" w:type="dxa"/>
            <w:tcBorders>
              <w:top w:val="single" w:sz="4" w:space="0" w:color="auto"/>
              <w:left w:val="single" w:sz="4" w:space="0" w:color="auto"/>
              <w:bottom w:val="single" w:sz="4" w:space="0" w:color="auto"/>
              <w:right w:val="single" w:sz="4" w:space="0" w:color="auto"/>
            </w:tcBorders>
            <w:noWrap/>
            <w:hideMark/>
          </w:tcPr>
          <w:p w14:paraId="3D1A696D"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23.567,00</w:t>
            </w:r>
          </w:p>
        </w:tc>
        <w:tc>
          <w:tcPr>
            <w:tcW w:w="978" w:type="dxa"/>
            <w:tcBorders>
              <w:top w:val="single" w:sz="4" w:space="0" w:color="auto"/>
              <w:left w:val="single" w:sz="4" w:space="0" w:color="auto"/>
              <w:bottom w:val="single" w:sz="4" w:space="0" w:color="auto"/>
              <w:right w:val="single" w:sz="4" w:space="0" w:color="auto"/>
            </w:tcBorders>
            <w:noWrap/>
            <w:hideMark/>
          </w:tcPr>
          <w:p w14:paraId="394B453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4,12</w:t>
            </w:r>
          </w:p>
        </w:tc>
        <w:tc>
          <w:tcPr>
            <w:tcW w:w="1240" w:type="dxa"/>
            <w:tcBorders>
              <w:top w:val="single" w:sz="4" w:space="0" w:color="auto"/>
              <w:left w:val="single" w:sz="4" w:space="0" w:color="auto"/>
              <w:bottom w:val="single" w:sz="4" w:space="0" w:color="auto"/>
              <w:right w:val="single" w:sz="4" w:space="0" w:color="auto"/>
            </w:tcBorders>
            <w:noWrap/>
            <w:hideMark/>
          </w:tcPr>
          <w:p w14:paraId="17AB989E"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595.207,00</w:t>
            </w:r>
          </w:p>
        </w:tc>
      </w:tr>
      <w:tr w:rsidR="00FF767D" w14:paraId="1EEF25FB"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0969C8A1"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Razdjel 500 UPRAVNI ODJEL ZA DRUŠTVENE DJELATNOSTI</w:t>
            </w:r>
          </w:p>
        </w:tc>
        <w:tc>
          <w:tcPr>
            <w:tcW w:w="978" w:type="dxa"/>
            <w:tcBorders>
              <w:top w:val="single" w:sz="4" w:space="0" w:color="auto"/>
              <w:left w:val="single" w:sz="4" w:space="0" w:color="auto"/>
              <w:bottom w:val="single" w:sz="4" w:space="0" w:color="auto"/>
              <w:right w:val="single" w:sz="4" w:space="0" w:color="auto"/>
            </w:tcBorders>
            <w:noWrap/>
            <w:hideMark/>
          </w:tcPr>
          <w:p w14:paraId="3A42863B"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571.640,00</w:t>
            </w:r>
          </w:p>
        </w:tc>
        <w:tc>
          <w:tcPr>
            <w:tcW w:w="1404" w:type="dxa"/>
            <w:tcBorders>
              <w:top w:val="single" w:sz="4" w:space="0" w:color="auto"/>
              <w:left w:val="single" w:sz="4" w:space="0" w:color="auto"/>
              <w:bottom w:val="single" w:sz="4" w:space="0" w:color="auto"/>
              <w:right w:val="single" w:sz="4" w:space="0" w:color="auto"/>
            </w:tcBorders>
            <w:noWrap/>
            <w:hideMark/>
          </w:tcPr>
          <w:p w14:paraId="252452B0"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23.567,00</w:t>
            </w:r>
          </w:p>
        </w:tc>
        <w:tc>
          <w:tcPr>
            <w:tcW w:w="978" w:type="dxa"/>
            <w:tcBorders>
              <w:top w:val="single" w:sz="4" w:space="0" w:color="auto"/>
              <w:left w:val="single" w:sz="4" w:space="0" w:color="auto"/>
              <w:bottom w:val="single" w:sz="4" w:space="0" w:color="auto"/>
              <w:right w:val="single" w:sz="4" w:space="0" w:color="auto"/>
            </w:tcBorders>
            <w:noWrap/>
            <w:hideMark/>
          </w:tcPr>
          <w:p w14:paraId="7D84E7D3"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4,12</w:t>
            </w:r>
          </w:p>
        </w:tc>
        <w:tc>
          <w:tcPr>
            <w:tcW w:w="1240" w:type="dxa"/>
            <w:tcBorders>
              <w:top w:val="single" w:sz="4" w:space="0" w:color="auto"/>
              <w:left w:val="single" w:sz="4" w:space="0" w:color="auto"/>
              <w:bottom w:val="single" w:sz="4" w:space="0" w:color="auto"/>
              <w:right w:val="single" w:sz="4" w:space="0" w:color="auto"/>
            </w:tcBorders>
            <w:noWrap/>
            <w:hideMark/>
          </w:tcPr>
          <w:p w14:paraId="6EBE8B33"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595.207,00</w:t>
            </w:r>
          </w:p>
        </w:tc>
      </w:tr>
      <w:tr w:rsidR="00FF767D" w14:paraId="47313D0C"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5790CACD"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Glava 50003 USTANOVE ŠKOLSTVA</w:t>
            </w:r>
          </w:p>
        </w:tc>
        <w:tc>
          <w:tcPr>
            <w:tcW w:w="978" w:type="dxa"/>
            <w:tcBorders>
              <w:top w:val="single" w:sz="4" w:space="0" w:color="auto"/>
              <w:left w:val="single" w:sz="4" w:space="0" w:color="auto"/>
              <w:bottom w:val="single" w:sz="4" w:space="0" w:color="auto"/>
              <w:right w:val="single" w:sz="4" w:space="0" w:color="auto"/>
            </w:tcBorders>
            <w:noWrap/>
            <w:hideMark/>
          </w:tcPr>
          <w:p w14:paraId="68C0F249"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571.640,00</w:t>
            </w:r>
          </w:p>
        </w:tc>
        <w:tc>
          <w:tcPr>
            <w:tcW w:w="1404" w:type="dxa"/>
            <w:tcBorders>
              <w:top w:val="single" w:sz="4" w:space="0" w:color="auto"/>
              <w:left w:val="single" w:sz="4" w:space="0" w:color="auto"/>
              <w:bottom w:val="single" w:sz="4" w:space="0" w:color="auto"/>
              <w:right w:val="single" w:sz="4" w:space="0" w:color="auto"/>
            </w:tcBorders>
            <w:noWrap/>
            <w:hideMark/>
          </w:tcPr>
          <w:p w14:paraId="4D1BD63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23.567,00</w:t>
            </w:r>
          </w:p>
        </w:tc>
        <w:tc>
          <w:tcPr>
            <w:tcW w:w="978" w:type="dxa"/>
            <w:tcBorders>
              <w:top w:val="single" w:sz="4" w:space="0" w:color="auto"/>
              <w:left w:val="single" w:sz="4" w:space="0" w:color="auto"/>
              <w:bottom w:val="single" w:sz="4" w:space="0" w:color="auto"/>
              <w:right w:val="single" w:sz="4" w:space="0" w:color="auto"/>
            </w:tcBorders>
            <w:noWrap/>
            <w:hideMark/>
          </w:tcPr>
          <w:p w14:paraId="3FF644A4"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4,12</w:t>
            </w:r>
          </w:p>
        </w:tc>
        <w:tc>
          <w:tcPr>
            <w:tcW w:w="1240" w:type="dxa"/>
            <w:tcBorders>
              <w:top w:val="single" w:sz="4" w:space="0" w:color="auto"/>
              <w:left w:val="single" w:sz="4" w:space="0" w:color="auto"/>
              <w:bottom w:val="single" w:sz="4" w:space="0" w:color="auto"/>
              <w:right w:val="single" w:sz="4" w:space="0" w:color="auto"/>
            </w:tcBorders>
            <w:noWrap/>
            <w:hideMark/>
          </w:tcPr>
          <w:p w14:paraId="65B40BB0"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595.207,00</w:t>
            </w:r>
          </w:p>
        </w:tc>
      </w:tr>
      <w:tr w:rsidR="00FF767D" w14:paraId="18C50C7C"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46FFD498"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Proračunski korisnik 10645 CENTAR LIČE FARAGUNA LABIN</w:t>
            </w:r>
          </w:p>
        </w:tc>
        <w:tc>
          <w:tcPr>
            <w:tcW w:w="978" w:type="dxa"/>
            <w:tcBorders>
              <w:top w:val="single" w:sz="4" w:space="0" w:color="auto"/>
              <w:left w:val="single" w:sz="4" w:space="0" w:color="auto"/>
              <w:bottom w:val="single" w:sz="4" w:space="0" w:color="auto"/>
              <w:right w:val="single" w:sz="4" w:space="0" w:color="auto"/>
            </w:tcBorders>
            <w:noWrap/>
            <w:hideMark/>
          </w:tcPr>
          <w:p w14:paraId="5F8B9FE3"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571.640,00</w:t>
            </w:r>
          </w:p>
        </w:tc>
        <w:tc>
          <w:tcPr>
            <w:tcW w:w="1404" w:type="dxa"/>
            <w:tcBorders>
              <w:top w:val="single" w:sz="4" w:space="0" w:color="auto"/>
              <w:left w:val="single" w:sz="4" w:space="0" w:color="auto"/>
              <w:bottom w:val="single" w:sz="4" w:space="0" w:color="auto"/>
              <w:right w:val="single" w:sz="4" w:space="0" w:color="auto"/>
            </w:tcBorders>
            <w:noWrap/>
            <w:hideMark/>
          </w:tcPr>
          <w:p w14:paraId="0A81AB0C"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23.567,00</w:t>
            </w:r>
          </w:p>
        </w:tc>
        <w:tc>
          <w:tcPr>
            <w:tcW w:w="978" w:type="dxa"/>
            <w:tcBorders>
              <w:top w:val="single" w:sz="4" w:space="0" w:color="auto"/>
              <w:left w:val="single" w:sz="4" w:space="0" w:color="auto"/>
              <w:bottom w:val="single" w:sz="4" w:space="0" w:color="auto"/>
              <w:right w:val="single" w:sz="4" w:space="0" w:color="auto"/>
            </w:tcBorders>
            <w:noWrap/>
            <w:hideMark/>
          </w:tcPr>
          <w:p w14:paraId="2B8BAE32"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4,12</w:t>
            </w:r>
          </w:p>
        </w:tc>
        <w:tc>
          <w:tcPr>
            <w:tcW w:w="1240" w:type="dxa"/>
            <w:tcBorders>
              <w:top w:val="single" w:sz="4" w:space="0" w:color="auto"/>
              <w:left w:val="single" w:sz="4" w:space="0" w:color="auto"/>
              <w:bottom w:val="single" w:sz="4" w:space="0" w:color="auto"/>
              <w:right w:val="single" w:sz="4" w:space="0" w:color="auto"/>
            </w:tcBorders>
            <w:noWrap/>
            <w:hideMark/>
          </w:tcPr>
          <w:p w14:paraId="28A68EE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595.207,00</w:t>
            </w:r>
          </w:p>
        </w:tc>
      </w:tr>
      <w:tr w:rsidR="00FF767D" w14:paraId="31F18767"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5A7CBF58"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Glavni program L01 JEDINSTVENI GLAVNI PROGRAM</w:t>
            </w:r>
          </w:p>
        </w:tc>
        <w:tc>
          <w:tcPr>
            <w:tcW w:w="978" w:type="dxa"/>
            <w:tcBorders>
              <w:top w:val="single" w:sz="4" w:space="0" w:color="auto"/>
              <w:left w:val="single" w:sz="4" w:space="0" w:color="auto"/>
              <w:bottom w:val="single" w:sz="4" w:space="0" w:color="auto"/>
              <w:right w:val="single" w:sz="4" w:space="0" w:color="auto"/>
            </w:tcBorders>
            <w:noWrap/>
            <w:hideMark/>
          </w:tcPr>
          <w:p w14:paraId="7EC58C0D"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571.640,00</w:t>
            </w:r>
          </w:p>
        </w:tc>
        <w:tc>
          <w:tcPr>
            <w:tcW w:w="1404" w:type="dxa"/>
            <w:tcBorders>
              <w:top w:val="single" w:sz="4" w:space="0" w:color="auto"/>
              <w:left w:val="single" w:sz="4" w:space="0" w:color="auto"/>
              <w:bottom w:val="single" w:sz="4" w:space="0" w:color="auto"/>
              <w:right w:val="single" w:sz="4" w:space="0" w:color="auto"/>
            </w:tcBorders>
            <w:noWrap/>
            <w:hideMark/>
          </w:tcPr>
          <w:p w14:paraId="7B9ABCF0"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23.567,00</w:t>
            </w:r>
          </w:p>
        </w:tc>
        <w:tc>
          <w:tcPr>
            <w:tcW w:w="978" w:type="dxa"/>
            <w:tcBorders>
              <w:top w:val="single" w:sz="4" w:space="0" w:color="auto"/>
              <w:left w:val="single" w:sz="4" w:space="0" w:color="auto"/>
              <w:bottom w:val="single" w:sz="4" w:space="0" w:color="auto"/>
              <w:right w:val="single" w:sz="4" w:space="0" w:color="auto"/>
            </w:tcBorders>
            <w:noWrap/>
            <w:hideMark/>
          </w:tcPr>
          <w:p w14:paraId="7A4F4AE1"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4,12</w:t>
            </w:r>
          </w:p>
        </w:tc>
        <w:tc>
          <w:tcPr>
            <w:tcW w:w="1240" w:type="dxa"/>
            <w:tcBorders>
              <w:top w:val="single" w:sz="4" w:space="0" w:color="auto"/>
              <w:left w:val="single" w:sz="4" w:space="0" w:color="auto"/>
              <w:bottom w:val="single" w:sz="4" w:space="0" w:color="auto"/>
              <w:right w:val="single" w:sz="4" w:space="0" w:color="auto"/>
            </w:tcBorders>
            <w:noWrap/>
            <w:hideMark/>
          </w:tcPr>
          <w:p w14:paraId="4EF89824"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595.207,00</w:t>
            </w:r>
          </w:p>
        </w:tc>
      </w:tr>
      <w:tr w:rsidR="00FF767D" w14:paraId="0EF2B72E"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19E44A98"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Program 5002 Obrazovanje</w:t>
            </w:r>
          </w:p>
        </w:tc>
        <w:tc>
          <w:tcPr>
            <w:tcW w:w="978" w:type="dxa"/>
            <w:tcBorders>
              <w:top w:val="single" w:sz="4" w:space="0" w:color="auto"/>
              <w:left w:val="single" w:sz="4" w:space="0" w:color="auto"/>
              <w:bottom w:val="single" w:sz="4" w:space="0" w:color="auto"/>
              <w:right w:val="single" w:sz="4" w:space="0" w:color="auto"/>
            </w:tcBorders>
            <w:noWrap/>
            <w:hideMark/>
          </w:tcPr>
          <w:p w14:paraId="660E6A54"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571.640,00</w:t>
            </w:r>
          </w:p>
        </w:tc>
        <w:tc>
          <w:tcPr>
            <w:tcW w:w="1404" w:type="dxa"/>
            <w:tcBorders>
              <w:top w:val="single" w:sz="4" w:space="0" w:color="auto"/>
              <w:left w:val="single" w:sz="4" w:space="0" w:color="auto"/>
              <w:bottom w:val="single" w:sz="4" w:space="0" w:color="auto"/>
              <w:right w:val="single" w:sz="4" w:space="0" w:color="auto"/>
            </w:tcBorders>
            <w:noWrap/>
            <w:hideMark/>
          </w:tcPr>
          <w:p w14:paraId="521212CC"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23.567,00</w:t>
            </w:r>
          </w:p>
        </w:tc>
        <w:tc>
          <w:tcPr>
            <w:tcW w:w="978" w:type="dxa"/>
            <w:tcBorders>
              <w:top w:val="single" w:sz="4" w:space="0" w:color="auto"/>
              <w:left w:val="single" w:sz="4" w:space="0" w:color="auto"/>
              <w:bottom w:val="single" w:sz="4" w:space="0" w:color="auto"/>
              <w:right w:val="single" w:sz="4" w:space="0" w:color="auto"/>
            </w:tcBorders>
            <w:noWrap/>
            <w:hideMark/>
          </w:tcPr>
          <w:p w14:paraId="1A6806BC"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4,12</w:t>
            </w:r>
          </w:p>
        </w:tc>
        <w:tc>
          <w:tcPr>
            <w:tcW w:w="1240" w:type="dxa"/>
            <w:tcBorders>
              <w:top w:val="single" w:sz="4" w:space="0" w:color="auto"/>
              <w:left w:val="single" w:sz="4" w:space="0" w:color="auto"/>
              <w:bottom w:val="single" w:sz="4" w:space="0" w:color="auto"/>
              <w:right w:val="single" w:sz="4" w:space="0" w:color="auto"/>
            </w:tcBorders>
            <w:noWrap/>
            <w:hideMark/>
          </w:tcPr>
          <w:p w14:paraId="23D71FFB"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595.207,00</w:t>
            </w:r>
          </w:p>
        </w:tc>
      </w:tr>
      <w:tr w:rsidR="00E16B60" w:rsidRPr="00E16B60" w14:paraId="00B58CF7" w14:textId="77777777" w:rsidTr="00E16B60">
        <w:trPr>
          <w:trHeight w:val="255"/>
        </w:trPr>
        <w:tc>
          <w:tcPr>
            <w:tcW w:w="475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06A0EC5"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Aktivnost A500003 Financiranje djelatnosti osnovnog školstva</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FC551BD"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515.240,00</w:t>
            </w:r>
          </w:p>
        </w:tc>
        <w:tc>
          <w:tcPr>
            <w:tcW w:w="1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FDDA603"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18.497,00</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5369F93"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3,59</w:t>
            </w:r>
          </w:p>
        </w:tc>
        <w:tc>
          <w:tcPr>
            <w:tcW w:w="1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B94A61E"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533.737,00</w:t>
            </w:r>
          </w:p>
        </w:tc>
      </w:tr>
      <w:tr w:rsidR="00FF767D" w14:paraId="33DB87D2"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4FED9ED2"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lastRenderedPageBreak/>
              <w:t>3</w:t>
            </w:r>
          </w:p>
        </w:tc>
        <w:tc>
          <w:tcPr>
            <w:tcW w:w="3974" w:type="dxa"/>
            <w:tcBorders>
              <w:top w:val="single" w:sz="4" w:space="0" w:color="auto"/>
              <w:left w:val="single" w:sz="4" w:space="0" w:color="auto"/>
              <w:bottom w:val="single" w:sz="4" w:space="0" w:color="auto"/>
              <w:right w:val="single" w:sz="4" w:space="0" w:color="auto"/>
            </w:tcBorders>
            <w:noWrap/>
            <w:hideMark/>
          </w:tcPr>
          <w:p w14:paraId="69F2B5E1"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Rashodi poslovanja</w:t>
            </w:r>
          </w:p>
        </w:tc>
        <w:tc>
          <w:tcPr>
            <w:tcW w:w="978" w:type="dxa"/>
            <w:tcBorders>
              <w:top w:val="single" w:sz="4" w:space="0" w:color="auto"/>
              <w:left w:val="single" w:sz="4" w:space="0" w:color="auto"/>
              <w:bottom w:val="single" w:sz="4" w:space="0" w:color="auto"/>
              <w:right w:val="single" w:sz="4" w:space="0" w:color="auto"/>
            </w:tcBorders>
            <w:noWrap/>
            <w:hideMark/>
          </w:tcPr>
          <w:p w14:paraId="1F386B02"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515.240,00</w:t>
            </w:r>
          </w:p>
        </w:tc>
        <w:tc>
          <w:tcPr>
            <w:tcW w:w="1404" w:type="dxa"/>
            <w:tcBorders>
              <w:top w:val="single" w:sz="4" w:space="0" w:color="auto"/>
              <w:left w:val="single" w:sz="4" w:space="0" w:color="auto"/>
              <w:bottom w:val="single" w:sz="4" w:space="0" w:color="auto"/>
              <w:right w:val="single" w:sz="4" w:space="0" w:color="auto"/>
            </w:tcBorders>
            <w:noWrap/>
            <w:hideMark/>
          </w:tcPr>
          <w:p w14:paraId="526DDF4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18.497,00</w:t>
            </w:r>
          </w:p>
        </w:tc>
        <w:tc>
          <w:tcPr>
            <w:tcW w:w="978" w:type="dxa"/>
            <w:tcBorders>
              <w:top w:val="single" w:sz="4" w:space="0" w:color="auto"/>
              <w:left w:val="single" w:sz="4" w:space="0" w:color="auto"/>
              <w:bottom w:val="single" w:sz="4" w:space="0" w:color="auto"/>
              <w:right w:val="single" w:sz="4" w:space="0" w:color="auto"/>
            </w:tcBorders>
            <w:noWrap/>
            <w:hideMark/>
          </w:tcPr>
          <w:p w14:paraId="5C1B7F6F"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3,59</w:t>
            </w:r>
          </w:p>
        </w:tc>
        <w:tc>
          <w:tcPr>
            <w:tcW w:w="1240" w:type="dxa"/>
            <w:tcBorders>
              <w:top w:val="single" w:sz="4" w:space="0" w:color="auto"/>
              <w:left w:val="single" w:sz="4" w:space="0" w:color="auto"/>
              <w:bottom w:val="single" w:sz="4" w:space="0" w:color="auto"/>
              <w:right w:val="single" w:sz="4" w:space="0" w:color="auto"/>
            </w:tcBorders>
            <w:noWrap/>
            <w:hideMark/>
          </w:tcPr>
          <w:p w14:paraId="25F49A98"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533.737,00</w:t>
            </w:r>
          </w:p>
        </w:tc>
      </w:tr>
      <w:tr w:rsidR="00FF767D" w14:paraId="50A58C3F"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07F64B86"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31</w:t>
            </w:r>
          </w:p>
        </w:tc>
        <w:tc>
          <w:tcPr>
            <w:tcW w:w="3974" w:type="dxa"/>
            <w:tcBorders>
              <w:top w:val="single" w:sz="4" w:space="0" w:color="auto"/>
              <w:left w:val="single" w:sz="4" w:space="0" w:color="auto"/>
              <w:bottom w:val="single" w:sz="4" w:space="0" w:color="auto"/>
              <w:right w:val="single" w:sz="4" w:space="0" w:color="auto"/>
            </w:tcBorders>
            <w:noWrap/>
            <w:hideMark/>
          </w:tcPr>
          <w:p w14:paraId="0EBC0B0E"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Rashodi za zaposlene</w:t>
            </w:r>
          </w:p>
        </w:tc>
        <w:tc>
          <w:tcPr>
            <w:tcW w:w="978" w:type="dxa"/>
            <w:tcBorders>
              <w:top w:val="single" w:sz="4" w:space="0" w:color="auto"/>
              <w:left w:val="single" w:sz="4" w:space="0" w:color="auto"/>
              <w:bottom w:val="single" w:sz="4" w:space="0" w:color="auto"/>
              <w:right w:val="single" w:sz="4" w:space="0" w:color="auto"/>
            </w:tcBorders>
            <w:noWrap/>
            <w:hideMark/>
          </w:tcPr>
          <w:p w14:paraId="5F00D47A"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498.700,00</w:t>
            </w:r>
          </w:p>
        </w:tc>
        <w:tc>
          <w:tcPr>
            <w:tcW w:w="1404" w:type="dxa"/>
            <w:tcBorders>
              <w:top w:val="single" w:sz="4" w:space="0" w:color="auto"/>
              <w:left w:val="single" w:sz="4" w:space="0" w:color="auto"/>
              <w:bottom w:val="single" w:sz="4" w:space="0" w:color="auto"/>
              <w:right w:val="single" w:sz="4" w:space="0" w:color="auto"/>
            </w:tcBorders>
            <w:noWrap/>
            <w:hideMark/>
          </w:tcPr>
          <w:p w14:paraId="3DE43598"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15.980,00</w:t>
            </w:r>
          </w:p>
        </w:tc>
        <w:tc>
          <w:tcPr>
            <w:tcW w:w="978" w:type="dxa"/>
            <w:tcBorders>
              <w:top w:val="single" w:sz="4" w:space="0" w:color="auto"/>
              <w:left w:val="single" w:sz="4" w:space="0" w:color="auto"/>
              <w:bottom w:val="single" w:sz="4" w:space="0" w:color="auto"/>
              <w:right w:val="single" w:sz="4" w:space="0" w:color="auto"/>
            </w:tcBorders>
            <w:noWrap/>
            <w:hideMark/>
          </w:tcPr>
          <w:p w14:paraId="76E8E9EC"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3,20</w:t>
            </w:r>
          </w:p>
        </w:tc>
        <w:tc>
          <w:tcPr>
            <w:tcW w:w="1240" w:type="dxa"/>
            <w:tcBorders>
              <w:top w:val="single" w:sz="4" w:space="0" w:color="auto"/>
              <w:left w:val="single" w:sz="4" w:space="0" w:color="auto"/>
              <w:bottom w:val="single" w:sz="4" w:space="0" w:color="auto"/>
              <w:right w:val="single" w:sz="4" w:space="0" w:color="auto"/>
            </w:tcBorders>
            <w:noWrap/>
            <w:hideMark/>
          </w:tcPr>
          <w:p w14:paraId="6062FD8A"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514.680,00</w:t>
            </w:r>
          </w:p>
        </w:tc>
      </w:tr>
      <w:tr w:rsidR="00FF767D" w14:paraId="23CA0036"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7A02230D"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32</w:t>
            </w:r>
          </w:p>
        </w:tc>
        <w:tc>
          <w:tcPr>
            <w:tcW w:w="3974" w:type="dxa"/>
            <w:tcBorders>
              <w:top w:val="single" w:sz="4" w:space="0" w:color="auto"/>
              <w:left w:val="single" w:sz="4" w:space="0" w:color="auto"/>
              <w:bottom w:val="single" w:sz="4" w:space="0" w:color="auto"/>
              <w:right w:val="single" w:sz="4" w:space="0" w:color="auto"/>
            </w:tcBorders>
            <w:noWrap/>
            <w:hideMark/>
          </w:tcPr>
          <w:p w14:paraId="3F07A594"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Materijalni rashodi</w:t>
            </w:r>
          </w:p>
        </w:tc>
        <w:tc>
          <w:tcPr>
            <w:tcW w:w="978" w:type="dxa"/>
            <w:tcBorders>
              <w:top w:val="single" w:sz="4" w:space="0" w:color="auto"/>
              <w:left w:val="single" w:sz="4" w:space="0" w:color="auto"/>
              <w:bottom w:val="single" w:sz="4" w:space="0" w:color="auto"/>
              <w:right w:val="single" w:sz="4" w:space="0" w:color="auto"/>
            </w:tcBorders>
            <w:noWrap/>
            <w:hideMark/>
          </w:tcPr>
          <w:p w14:paraId="23680259"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16.500,00</w:t>
            </w:r>
          </w:p>
        </w:tc>
        <w:tc>
          <w:tcPr>
            <w:tcW w:w="1404" w:type="dxa"/>
            <w:tcBorders>
              <w:top w:val="single" w:sz="4" w:space="0" w:color="auto"/>
              <w:left w:val="single" w:sz="4" w:space="0" w:color="auto"/>
              <w:bottom w:val="single" w:sz="4" w:space="0" w:color="auto"/>
              <w:right w:val="single" w:sz="4" w:space="0" w:color="auto"/>
            </w:tcBorders>
            <w:noWrap/>
            <w:hideMark/>
          </w:tcPr>
          <w:p w14:paraId="682ED32A"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2.517,00</w:t>
            </w:r>
          </w:p>
        </w:tc>
        <w:tc>
          <w:tcPr>
            <w:tcW w:w="978" w:type="dxa"/>
            <w:tcBorders>
              <w:top w:val="single" w:sz="4" w:space="0" w:color="auto"/>
              <w:left w:val="single" w:sz="4" w:space="0" w:color="auto"/>
              <w:bottom w:val="single" w:sz="4" w:space="0" w:color="auto"/>
              <w:right w:val="single" w:sz="4" w:space="0" w:color="auto"/>
            </w:tcBorders>
            <w:noWrap/>
            <w:hideMark/>
          </w:tcPr>
          <w:p w14:paraId="6767F35B"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15,25</w:t>
            </w:r>
          </w:p>
        </w:tc>
        <w:tc>
          <w:tcPr>
            <w:tcW w:w="1240" w:type="dxa"/>
            <w:tcBorders>
              <w:top w:val="single" w:sz="4" w:space="0" w:color="auto"/>
              <w:left w:val="single" w:sz="4" w:space="0" w:color="auto"/>
              <w:bottom w:val="single" w:sz="4" w:space="0" w:color="auto"/>
              <w:right w:val="single" w:sz="4" w:space="0" w:color="auto"/>
            </w:tcBorders>
            <w:noWrap/>
            <w:hideMark/>
          </w:tcPr>
          <w:p w14:paraId="19EFE8FD"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19.017,00</w:t>
            </w:r>
          </w:p>
        </w:tc>
      </w:tr>
      <w:tr w:rsidR="00FF767D" w14:paraId="1BB55E00"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1776EA57"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38</w:t>
            </w:r>
          </w:p>
        </w:tc>
        <w:tc>
          <w:tcPr>
            <w:tcW w:w="3974" w:type="dxa"/>
            <w:tcBorders>
              <w:top w:val="single" w:sz="4" w:space="0" w:color="auto"/>
              <w:left w:val="single" w:sz="4" w:space="0" w:color="auto"/>
              <w:bottom w:val="single" w:sz="4" w:space="0" w:color="auto"/>
              <w:right w:val="single" w:sz="4" w:space="0" w:color="auto"/>
            </w:tcBorders>
            <w:noWrap/>
            <w:hideMark/>
          </w:tcPr>
          <w:p w14:paraId="4808D376"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Rashodi za donacije, kazne, naknade šteta i kapitalne pomoći</w:t>
            </w:r>
          </w:p>
        </w:tc>
        <w:tc>
          <w:tcPr>
            <w:tcW w:w="978" w:type="dxa"/>
            <w:tcBorders>
              <w:top w:val="single" w:sz="4" w:space="0" w:color="auto"/>
              <w:left w:val="single" w:sz="4" w:space="0" w:color="auto"/>
              <w:bottom w:val="single" w:sz="4" w:space="0" w:color="auto"/>
              <w:right w:val="single" w:sz="4" w:space="0" w:color="auto"/>
            </w:tcBorders>
            <w:noWrap/>
            <w:hideMark/>
          </w:tcPr>
          <w:p w14:paraId="15A53721"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40,00</w:t>
            </w:r>
          </w:p>
        </w:tc>
        <w:tc>
          <w:tcPr>
            <w:tcW w:w="1404" w:type="dxa"/>
            <w:tcBorders>
              <w:top w:val="single" w:sz="4" w:space="0" w:color="auto"/>
              <w:left w:val="single" w:sz="4" w:space="0" w:color="auto"/>
              <w:bottom w:val="single" w:sz="4" w:space="0" w:color="auto"/>
              <w:right w:val="single" w:sz="4" w:space="0" w:color="auto"/>
            </w:tcBorders>
            <w:noWrap/>
            <w:hideMark/>
          </w:tcPr>
          <w:p w14:paraId="7E40979E"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0F05962B"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645E9635"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40,00</w:t>
            </w:r>
          </w:p>
        </w:tc>
      </w:tr>
      <w:tr w:rsidR="00E16B60" w:rsidRPr="00E16B60" w14:paraId="6905D66C" w14:textId="77777777" w:rsidTr="00E16B60">
        <w:trPr>
          <w:trHeight w:val="255"/>
        </w:trPr>
        <w:tc>
          <w:tcPr>
            <w:tcW w:w="475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7E3EB50"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Aktivnost A500006 Osiguranje pomoćnika učenicima s teškoćama</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DC71037"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42.600,00</w:t>
            </w:r>
          </w:p>
        </w:tc>
        <w:tc>
          <w:tcPr>
            <w:tcW w:w="1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78C5D1A3"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0,00</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8085B3D"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0,00</w:t>
            </w:r>
          </w:p>
        </w:tc>
        <w:tc>
          <w:tcPr>
            <w:tcW w:w="1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3A12B45"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42.600,00</w:t>
            </w:r>
          </w:p>
        </w:tc>
      </w:tr>
      <w:tr w:rsidR="00FF767D" w14:paraId="60E697BF"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1FFFDDB4"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w:t>
            </w:r>
          </w:p>
        </w:tc>
        <w:tc>
          <w:tcPr>
            <w:tcW w:w="3974" w:type="dxa"/>
            <w:tcBorders>
              <w:top w:val="single" w:sz="4" w:space="0" w:color="auto"/>
              <w:left w:val="single" w:sz="4" w:space="0" w:color="auto"/>
              <w:bottom w:val="single" w:sz="4" w:space="0" w:color="auto"/>
              <w:right w:val="single" w:sz="4" w:space="0" w:color="auto"/>
            </w:tcBorders>
            <w:noWrap/>
            <w:hideMark/>
          </w:tcPr>
          <w:p w14:paraId="35E90E85"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Rashodi poslovanja</w:t>
            </w:r>
          </w:p>
        </w:tc>
        <w:tc>
          <w:tcPr>
            <w:tcW w:w="978" w:type="dxa"/>
            <w:tcBorders>
              <w:top w:val="single" w:sz="4" w:space="0" w:color="auto"/>
              <w:left w:val="single" w:sz="4" w:space="0" w:color="auto"/>
              <w:bottom w:val="single" w:sz="4" w:space="0" w:color="auto"/>
              <w:right w:val="single" w:sz="4" w:space="0" w:color="auto"/>
            </w:tcBorders>
            <w:noWrap/>
            <w:hideMark/>
          </w:tcPr>
          <w:p w14:paraId="48DECCC6"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42.600,00</w:t>
            </w:r>
          </w:p>
        </w:tc>
        <w:tc>
          <w:tcPr>
            <w:tcW w:w="1404" w:type="dxa"/>
            <w:tcBorders>
              <w:top w:val="single" w:sz="4" w:space="0" w:color="auto"/>
              <w:left w:val="single" w:sz="4" w:space="0" w:color="auto"/>
              <w:bottom w:val="single" w:sz="4" w:space="0" w:color="auto"/>
              <w:right w:val="single" w:sz="4" w:space="0" w:color="auto"/>
            </w:tcBorders>
            <w:noWrap/>
            <w:hideMark/>
          </w:tcPr>
          <w:p w14:paraId="26629435"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2EDC8BA6"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5DE6235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42.600,00</w:t>
            </w:r>
          </w:p>
        </w:tc>
      </w:tr>
      <w:tr w:rsidR="00FF767D" w14:paraId="634FB586"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09585DBF"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31</w:t>
            </w:r>
          </w:p>
        </w:tc>
        <w:tc>
          <w:tcPr>
            <w:tcW w:w="3974" w:type="dxa"/>
            <w:tcBorders>
              <w:top w:val="single" w:sz="4" w:space="0" w:color="auto"/>
              <w:left w:val="single" w:sz="4" w:space="0" w:color="auto"/>
              <w:bottom w:val="single" w:sz="4" w:space="0" w:color="auto"/>
              <w:right w:val="single" w:sz="4" w:space="0" w:color="auto"/>
            </w:tcBorders>
            <w:noWrap/>
            <w:hideMark/>
          </w:tcPr>
          <w:p w14:paraId="1E111652"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Rashodi za zaposlene</w:t>
            </w:r>
          </w:p>
        </w:tc>
        <w:tc>
          <w:tcPr>
            <w:tcW w:w="978" w:type="dxa"/>
            <w:tcBorders>
              <w:top w:val="single" w:sz="4" w:space="0" w:color="auto"/>
              <w:left w:val="single" w:sz="4" w:space="0" w:color="auto"/>
              <w:bottom w:val="single" w:sz="4" w:space="0" w:color="auto"/>
              <w:right w:val="single" w:sz="4" w:space="0" w:color="auto"/>
            </w:tcBorders>
            <w:noWrap/>
            <w:hideMark/>
          </w:tcPr>
          <w:p w14:paraId="10920888"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41.900,00</w:t>
            </w:r>
          </w:p>
        </w:tc>
        <w:tc>
          <w:tcPr>
            <w:tcW w:w="1404" w:type="dxa"/>
            <w:tcBorders>
              <w:top w:val="single" w:sz="4" w:space="0" w:color="auto"/>
              <w:left w:val="single" w:sz="4" w:space="0" w:color="auto"/>
              <w:bottom w:val="single" w:sz="4" w:space="0" w:color="auto"/>
              <w:right w:val="single" w:sz="4" w:space="0" w:color="auto"/>
            </w:tcBorders>
            <w:noWrap/>
            <w:hideMark/>
          </w:tcPr>
          <w:p w14:paraId="4D5DFA7C"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295F3FEA"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4623B7D1"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41.900,00</w:t>
            </w:r>
          </w:p>
        </w:tc>
      </w:tr>
      <w:tr w:rsidR="00FF767D" w14:paraId="1D024935"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03F3C567"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32</w:t>
            </w:r>
          </w:p>
        </w:tc>
        <w:tc>
          <w:tcPr>
            <w:tcW w:w="3974" w:type="dxa"/>
            <w:tcBorders>
              <w:top w:val="single" w:sz="4" w:space="0" w:color="auto"/>
              <w:left w:val="single" w:sz="4" w:space="0" w:color="auto"/>
              <w:bottom w:val="single" w:sz="4" w:space="0" w:color="auto"/>
              <w:right w:val="single" w:sz="4" w:space="0" w:color="auto"/>
            </w:tcBorders>
            <w:noWrap/>
            <w:hideMark/>
          </w:tcPr>
          <w:p w14:paraId="39E8AD3A"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Materijalni rashodi</w:t>
            </w:r>
          </w:p>
        </w:tc>
        <w:tc>
          <w:tcPr>
            <w:tcW w:w="978" w:type="dxa"/>
            <w:tcBorders>
              <w:top w:val="single" w:sz="4" w:space="0" w:color="auto"/>
              <w:left w:val="single" w:sz="4" w:space="0" w:color="auto"/>
              <w:bottom w:val="single" w:sz="4" w:space="0" w:color="auto"/>
              <w:right w:val="single" w:sz="4" w:space="0" w:color="auto"/>
            </w:tcBorders>
            <w:noWrap/>
            <w:hideMark/>
          </w:tcPr>
          <w:p w14:paraId="2E4A5560"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700,00</w:t>
            </w:r>
          </w:p>
        </w:tc>
        <w:tc>
          <w:tcPr>
            <w:tcW w:w="1404" w:type="dxa"/>
            <w:tcBorders>
              <w:top w:val="single" w:sz="4" w:space="0" w:color="auto"/>
              <w:left w:val="single" w:sz="4" w:space="0" w:color="auto"/>
              <w:bottom w:val="single" w:sz="4" w:space="0" w:color="auto"/>
              <w:right w:val="single" w:sz="4" w:space="0" w:color="auto"/>
            </w:tcBorders>
            <w:noWrap/>
            <w:hideMark/>
          </w:tcPr>
          <w:p w14:paraId="74BA0C67"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207AC507"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20E56FE4"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700,00</w:t>
            </w:r>
          </w:p>
        </w:tc>
      </w:tr>
      <w:tr w:rsidR="00E16B60" w:rsidRPr="00E16B60" w14:paraId="5BC11406" w14:textId="77777777" w:rsidTr="00E16B60">
        <w:trPr>
          <w:trHeight w:val="255"/>
        </w:trPr>
        <w:tc>
          <w:tcPr>
            <w:tcW w:w="475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7BBF45C0"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Aktivnost A500007 Financiranje izvannastavnih projekata i drugo</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73E3CC3C"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1.300,00</w:t>
            </w:r>
          </w:p>
        </w:tc>
        <w:tc>
          <w:tcPr>
            <w:tcW w:w="1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51F12CF"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0,00</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421502A"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0,00</w:t>
            </w:r>
          </w:p>
        </w:tc>
        <w:tc>
          <w:tcPr>
            <w:tcW w:w="1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D0D213D"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1.300,00</w:t>
            </w:r>
          </w:p>
        </w:tc>
      </w:tr>
      <w:tr w:rsidR="00FF767D" w14:paraId="63460120"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192A157B"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w:t>
            </w:r>
          </w:p>
        </w:tc>
        <w:tc>
          <w:tcPr>
            <w:tcW w:w="3974" w:type="dxa"/>
            <w:tcBorders>
              <w:top w:val="single" w:sz="4" w:space="0" w:color="auto"/>
              <w:left w:val="single" w:sz="4" w:space="0" w:color="auto"/>
              <w:bottom w:val="single" w:sz="4" w:space="0" w:color="auto"/>
              <w:right w:val="single" w:sz="4" w:space="0" w:color="auto"/>
            </w:tcBorders>
            <w:noWrap/>
            <w:hideMark/>
          </w:tcPr>
          <w:p w14:paraId="7E86C75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Rashodi poslovanja</w:t>
            </w:r>
          </w:p>
        </w:tc>
        <w:tc>
          <w:tcPr>
            <w:tcW w:w="978" w:type="dxa"/>
            <w:tcBorders>
              <w:top w:val="single" w:sz="4" w:space="0" w:color="auto"/>
              <w:left w:val="single" w:sz="4" w:space="0" w:color="auto"/>
              <w:bottom w:val="single" w:sz="4" w:space="0" w:color="auto"/>
              <w:right w:val="single" w:sz="4" w:space="0" w:color="auto"/>
            </w:tcBorders>
            <w:noWrap/>
            <w:hideMark/>
          </w:tcPr>
          <w:p w14:paraId="139AC654"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1.300,00</w:t>
            </w:r>
          </w:p>
        </w:tc>
        <w:tc>
          <w:tcPr>
            <w:tcW w:w="1404" w:type="dxa"/>
            <w:tcBorders>
              <w:top w:val="single" w:sz="4" w:space="0" w:color="auto"/>
              <w:left w:val="single" w:sz="4" w:space="0" w:color="auto"/>
              <w:bottom w:val="single" w:sz="4" w:space="0" w:color="auto"/>
              <w:right w:val="single" w:sz="4" w:space="0" w:color="auto"/>
            </w:tcBorders>
            <w:noWrap/>
            <w:hideMark/>
          </w:tcPr>
          <w:p w14:paraId="33B73718"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16C95E80"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463B129E"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1.300,00</w:t>
            </w:r>
          </w:p>
        </w:tc>
      </w:tr>
      <w:tr w:rsidR="00FF767D" w14:paraId="7AA38024"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0FA61EA4"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32</w:t>
            </w:r>
          </w:p>
        </w:tc>
        <w:tc>
          <w:tcPr>
            <w:tcW w:w="3974" w:type="dxa"/>
            <w:tcBorders>
              <w:top w:val="single" w:sz="4" w:space="0" w:color="auto"/>
              <w:left w:val="single" w:sz="4" w:space="0" w:color="auto"/>
              <w:bottom w:val="single" w:sz="4" w:space="0" w:color="auto"/>
              <w:right w:val="single" w:sz="4" w:space="0" w:color="auto"/>
            </w:tcBorders>
            <w:noWrap/>
            <w:hideMark/>
          </w:tcPr>
          <w:p w14:paraId="72F23046"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Materijalni rashodi</w:t>
            </w:r>
          </w:p>
        </w:tc>
        <w:tc>
          <w:tcPr>
            <w:tcW w:w="978" w:type="dxa"/>
            <w:tcBorders>
              <w:top w:val="single" w:sz="4" w:space="0" w:color="auto"/>
              <w:left w:val="single" w:sz="4" w:space="0" w:color="auto"/>
              <w:bottom w:val="single" w:sz="4" w:space="0" w:color="auto"/>
              <w:right w:val="single" w:sz="4" w:space="0" w:color="auto"/>
            </w:tcBorders>
            <w:noWrap/>
            <w:hideMark/>
          </w:tcPr>
          <w:p w14:paraId="5032DE32"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1.300,00</w:t>
            </w:r>
          </w:p>
        </w:tc>
        <w:tc>
          <w:tcPr>
            <w:tcW w:w="1404" w:type="dxa"/>
            <w:tcBorders>
              <w:top w:val="single" w:sz="4" w:space="0" w:color="auto"/>
              <w:left w:val="single" w:sz="4" w:space="0" w:color="auto"/>
              <w:bottom w:val="single" w:sz="4" w:space="0" w:color="auto"/>
              <w:right w:val="single" w:sz="4" w:space="0" w:color="auto"/>
            </w:tcBorders>
            <w:noWrap/>
            <w:hideMark/>
          </w:tcPr>
          <w:p w14:paraId="4A830C3D"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20796577"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6C364FE2"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1.300,00</w:t>
            </w:r>
          </w:p>
        </w:tc>
      </w:tr>
      <w:tr w:rsidR="00E16B60" w:rsidRPr="00E16B60" w14:paraId="328B62E1" w14:textId="77777777" w:rsidTr="00E16B60">
        <w:trPr>
          <w:trHeight w:val="255"/>
        </w:trPr>
        <w:tc>
          <w:tcPr>
            <w:tcW w:w="475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6D77ECC5"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Aktivnost A500008 Sufinanciranje boravka djece</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CC33FF9"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12.500,00</w:t>
            </w:r>
          </w:p>
        </w:tc>
        <w:tc>
          <w:tcPr>
            <w:tcW w:w="1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979F76A"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5.070,00</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715940C"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40,56</w:t>
            </w:r>
          </w:p>
        </w:tc>
        <w:tc>
          <w:tcPr>
            <w:tcW w:w="1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1DD5179"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17.570,00</w:t>
            </w:r>
          </w:p>
        </w:tc>
      </w:tr>
      <w:tr w:rsidR="00FF767D" w14:paraId="6CE05D36"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285D1600"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w:t>
            </w:r>
          </w:p>
        </w:tc>
        <w:tc>
          <w:tcPr>
            <w:tcW w:w="3974" w:type="dxa"/>
            <w:tcBorders>
              <w:top w:val="single" w:sz="4" w:space="0" w:color="auto"/>
              <w:left w:val="single" w:sz="4" w:space="0" w:color="auto"/>
              <w:bottom w:val="single" w:sz="4" w:space="0" w:color="auto"/>
              <w:right w:val="single" w:sz="4" w:space="0" w:color="auto"/>
            </w:tcBorders>
            <w:noWrap/>
            <w:hideMark/>
          </w:tcPr>
          <w:p w14:paraId="1621C3B0"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Rashodi poslovanja</w:t>
            </w:r>
          </w:p>
        </w:tc>
        <w:tc>
          <w:tcPr>
            <w:tcW w:w="978" w:type="dxa"/>
            <w:tcBorders>
              <w:top w:val="single" w:sz="4" w:space="0" w:color="auto"/>
              <w:left w:val="single" w:sz="4" w:space="0" w:color="auto"/>
              <w:bottom w:val="single" w:sz="4" w:space="0" w:color="auto"/>
              <w:right w:val="single" w:sz="4" w:space="0" w:color="auto"/>
            </w:tcBorders>
            <w:noWrap/>
            <w:hideMark/>
          </w:tcPr>
          <w:p w14:paraId="285CE791"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12.500,00</w:t>
            </w:r>
          </w:p>
        </w:tc>
        <w:tc>
          <w:tcPr>
            <w:tcW w:w="1404" w:type="dxa"/>
            <w:tcBorders>
              <w:top w:val="single" w:sz="4" w:space="0" w:color="auto"/>
              <w:left w:val="single" w:sz="4" w:space="0" w:color="auto"/>
              <w:bottom w:val="single" w:sz="4" w:space="0" w:color="auto"/>
              <w:right w:val="single" w:sz="4" w:space="0" w:color="auto"/>
            </w:tcBorders>
            <w:noWrap/>
            <w:hideMark/>
          </w:tcPr>
          <w:p w14:paraId="0F2C7B19"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5.070,00</w:t>
            </w:r>
          </w:p>
        </w:tc>
        <w:tc>
          <w:tcPr>
            <w:tcW w:w="978" w:type="dxa"/>
            <w:tcBorders>
              <w:top w:val="single" w:sz="4" w:space="0" w:color="auto"/>
              <w:left w:val="single" w:sz="4" w:space="0" w:color="auto"/>
              <w:bottom w:val="single" w:sz="4" w:space="0" w:color="auto"/>
              <w:right w:val="single" w:sz="4" w:space="0" w:color="auto"/>
            </w:tcBorders>
            <w:noWrap/>
            <w:hideMark/>
          </w:tcPr>
          <w:p w14:paraId="387B2442"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40,56</w:t>
            </w:r>
          </w:p>
        </w:tc>
        <w:tc>
          <w:tcPr>
            <w:tcW w:w="1240" w:type="dxa"/>
            <w:tcBorders>
              <w:top w:val="single" w:sz="4" w:space="0" w:color="auto"/>
              <w:left w:val="single" w:sz="4" w:space="0" w:color="auto"/>
              <w:bottom w:val="single" w:sz="4" w:space="0" w:color="auto"/>
              <w:right w:val="single" w:sz="4" w:space="0" w:color="auto"/>
            </w:tcBorders>
            <w:noWrap/>
            <w:hideMark/>
          </w:tcPr>
          <w:p w14:paraId="672AB7F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17.570,00</w:t>
            </w:r>
          </w:p>
        </w:tc>
      </w:tr>
      <w:tr w:rsidR="00FF767D" w14:paraId="631C17DA"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7664E2B1"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32</w:t>
            </w:r>
          </w:p>
        </w:tc>
        <w:tc>
          <w:tcPr>
            <w:tcW w:w="3974" w:type="dxa"/>
            <w:tcBorders>
              <w:top w:val="single" w:sz="4" w:space="0" w:color="auto"/>
              <w:left w:val="single" w:sz="4" w:space="0" w:color="auto"/>
              <w:bottom w:val="single" w:sz="4" w:space="0" w:color="auto"/>
              <w:right w:val="single" w:sz="4" w:space="0" w:color="auto"/>
            </w:tcBorders>
            <w:noWrap/>
            <w:hideMark/>
          </w:tcPr>
          <w:p w14:paraId="175986BB"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Materijalni rashodi</w:t>
            </w:r>
          </w:p>
        </w:tc>
        <w:tc>
          <w:tcPr>
            <w:tcW w:w="978" w:type="dxa"/>
            <w:tcBorders>
              <w:top w:val="single" w:sz="4" w:space="0" w:color="auto"/>
              <w:left w:val="single" w:sz="4" w:space="0" w:color="auto"/>
              <w:bottom w:val="single" w:sz="4" w:space="0" w:color="auto"/>
              <w:right w:val="single" w:sz="4" w:space="0" w:color="auto"/>
            </w:tcBorders>
            <w:noWrap/>
            <w:hideMark/>
          </w:tcPr>
          <w:p w14:paraId="60927319"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12.500,00</w:t>
            </w:r>
          </w:p>
        </w:tc>
        <w:tc>
          <w:tcPr>
            <w:tcW w:w="1404" w:type="dxa"/>
            <w:tcBorders>
              <w:top w:val="single" w:sz="4" w:space="0" w:color="auto"/>
              <w:left w:val="single" w:sz="4" w:space="0" w:color="auto"/>
              <w:bottom w:val="single" w:sz="4" w:space="0" w:color="auto"/>
              <w:right w:val="single" w:sz="4" w:space="0" w:color="auto"/>
            </w:tcBorders>
            <w:noWrap/>
            <w:hideMark/>
          </w:tcPr>
          <w:p w14:paraId="6D5664A4"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5.070,00</w:t>
            </w:r>
          </w:p>
        </w:tc>
        <w:tc>
          <w:tcPr>
            <w:tcW w:w="978" w:type="dxa"/>
            <w:tcBorders>
              <w:top w:val="single" w:sz="4" w:space="0" w:color="auto"/>
              <w:left w:val="single" w:sz="4" w:space="0" w:color="auto"/>
              <w:bottom w:val="single" w:sz="4" w:space="0" w:color="auto"/>
              <w:right w:val="single" w:sz="4" w:space="0" w:color="auto"/>
            </w:tcBorders>
            <w:noWrap/>
            <w:hideMark/>
          </w:tcPr>
          <w:p w14:paraId="265FCA43"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40,56</w:t>
            </w:r>
          </w:p>
        </w:tc>
        <w:tc>
          <w:tcPr>
            <w:tcW w:w="1240" w:type="dxa"/>
            <w:tcBorders>
              <w:top w:val="single" w:sz="4" w:space="0" w:color="auto"/>
              <w:left w:val="single" w:sz="4" w:space="0" w:color="auto"/>
              <w:bottom w:val="single" w:sz="4" w:space="0" w:color="auto"/>
              <w:right w:val="single" w:sz="4" w:space="0" w:color="auto"/>
            </w:tcBorders>
            <w:noWrap/>
            <w:hideMark/>
          </w:tcPr>
          <w:p w14:paraId="43DF285C"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17.570,00</w:t>
            </w:r>
          </w:p>
        </w:tc>
      </w:tr>
      <w:tr w:rsidR="00FF767D" w14:paraId="02D0B3AE"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47CBFC82"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Izvor  6. DONACIJE</w:t>
            </w:r>
          </w:p>
        </w:tc>
        <w:tc>
          <w:tcPr>
            <w:tcW w:w="978" w:type="dxa"/>
            <w:tcBorders>
              <w:top w:val="single" w:sz="4" w:space="0" w:color="auto"/>
              <w:left w:val="single" w:sz="4" w:space="0" w:color="auto"/>
              <w:bottom w:val="single" w:sz="4" w:space="0" w:color="auto"/>
              <w:right w:val="single" w:sz="4" w:space="0" w:color="auto"/>
            </w:tcBorders>
            <w:noWrap/>
            <w:hideMark/>
          </w:tcPr>
          <w:p w14:paraId="77A2D9CB"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2.700,00</w:t>
            </w:r>
          </w:p>
        </w:tc>
        <w:tc>
          <w:tcPr>
            <w:tcW w:w="1404" w:type="dxa"/>
            <w:tcBorders>
              <w:top w:val="single" w:sz="4" w:space="0" w:color="auto"/>
              <w:left w:val="single" w:sz="4" w:space="0" w:color="auto"/>
              <w:bottom w:val="single" w:sz="4" w:space="0" w:color="auto"/>
              <w:right w:val="single" w:sz="4" w:space="0" w:color="auto"/>
            </w:tcBorders>
            <w:noWrap/>
            <w:hideMark/>
          </w:tcPr>
          <w:p w14:paraId="3D8A4765"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22,00</w:t>
            </w:r>
          </w:p>
        </w:tc>
        <w:tc>
          <w:tcPr>
            <w:tcW w:w="978" w:type="dxa"/>
            <w:tcBorders>
              <w:top w:val="single" w:sz="4" w:space="0" w:color="auto"/>
              <w:left w:val="single" w:sz="4" w:space="0" w:color="auto"/>
              <w:bottom w:val="single" w:sz="4" w:space="0" w:color="auto"/>
              <w:right w:val="single" w:sz="4" w:space="0" w:color="auto"/>
            </w:tcBorders>
            <w:noWrap/>
            <w:hideMark/>
          </w:tcPr>
          <w:p w14:paraId="7CE1B0E6"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0,81</w:t>
            </w:r>
          </w:p>
        </w:tc>
        <w:tc>
          <w:tcPr>
            <w:tcW w:w="1240" w:type="dxa"/>
            <w:tcBorders>
              <w:top w:val="single" w:sz="4" w:space="0" w:color="auto"/>
              <w:left w:val="single" w:sz="4" w:space="0" w:color="auto"/>
              <w:bottom w:val="single" w:sz="4" w:space="0" w:color="auto"/>
              <w:right w:val="single" w:sz="4" w:space="0" w:color="auto"/>
            </w:tcBorders>
            <w:noWrap/>
            <w:hideMark/>
          </w:tcPr>
          <w:p w14:paraId="794C6522"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2.722,00</w:t>
            </w:r>
          </w:p>
        </w:tc>
      </w:tr>
      <w:tr w:rsidR="00FF767D" w14:paraId="4E023B0A"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1B89C419"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Izvor  6.9. DONACIJE</w:t>
            </w:r>
          </w:p>
        </w:tc>
        <w:tc>
          <w:tcPr>
            <w:tcW w:w="978" w:type="dxa"/>
            <w:tcBorders>
              <w:top w:val="single" w:sz="4" w:space="0" w:color="auto"/>
              <w:left w:val="single" w:sz="4" w:space="0" w:color="auto"/>
              <w:bottom w:val="single" w:sz="4" w:space="0" w:color="auto"/>
              <w:right w:val="single" w:sz="4" w:space="0" w:color="auto"/>
            </w:tcBorders>
            <w:noWrap/>
            <w:hideMark/>
          </w:tcPr>
          <w:p w14:paraId="0F34BB2B"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2.700,00</w:t>
            </w:r>
          </w:p>
        </w:tc>
        <w:tc>
          <w:tcPr>
            <w:tcW w:w="1404" w:type="dxa"/>
            <w:tcBorders>
              <w:top w:val="single" w:sz="4" w:space="0" w:color="auto"/>
              <w:left w:val="single" w:sz="4" w:space="0" w:color="auto"/>
              <w:bottom w:val="single" w:sz="4" w:space="0" w:color="auto"/>
              <w:right w:val="single" w:sz="4" w:space="0" w:color="auto"/>
            </w:tcBorders>
            <w:noWrap/>
            <w:hideMark/>
          </w:tcPr>
          <w:p w14:paraId="74FD210E"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22,00</w:t>
            </w:r>
          </w:p>
        </w:tc>
        <w:tc>
          <w:tcPr>
            <w:tcW w:w="978" w:type="dxa"/>
            <w:tcBorders>
              <w:top w:val="single" w:sz="4" w:space="0" w:color="auto"/>
              <w:left w:val="single" w:sz="4" w:space="0" w:color="auto"/>
              <w:bottom w:val="single" w:sz="4" w:space="0" w:color="auto"/>
              <w:right w:val="single" w:sz="4" w:space="0" w:color="auto"/>
            </w:tcBorders>
            <w:noWrap/>
            <w:hideMark/>
          </w:tcPr>
          <w:p w14:paraId="2DEA1E62"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0,81</w:t>
            </w:r>
          </w:p>
        </w:tc>
        <w:tc>
          <w:tcPr>
            <w:tcW w:w="1240" w:type="dxa"/>
            <w:tcBorders>
              <w:top w:val="single" w:sz="4" w:space="0" w:color="auto"/>
              <w:left w:val="single" w:sz="4" w:space="0" w:color="auto"/>
              <w:bottom w:val="single" w:sz="4" w:space="0" w:color="auto"/>
              <w:right w:val="single" w:sz="4" w:space="0" w:color="auto"/>
            </w:tcBorders>
            <w:noWrap/>
            <w:hideMark/>
          </w:tcPr>
          <w:p w14:paraId="099C58AB"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2.722,00</w:t>
            </w:r>
          </w:p>
        </w:tc>
      </w:tr>
      <w:tr w:rsidR="00FF767D" w14:paraId="075241F2"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469FBAD6"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Razdjel 500 UPRAVNI ODJEL ZA DRUŠTVENE DJELATNOSTI</w:t>
            </w:r>
          </w:p>
        </w:tc>
        <w:tc>
          <w:tcPr>
            <w:tcW w:w="978" w:type="dxa"/>
            <w:tcBorders>
              <w:top w:val="single" w:sz="4" w:space="0" w:color="auto"/>
              <w:left w:val="single" w:sz="4" w:space="0" w:color="auto"/>
              <w:bottom w:val="single" w:sz="4" w:space="0" w:color="auto"/>
              <w:right w:val="single" w:sz="4" w:space="0" w:color="auto"/>
            </w:tcBorders>
            <w:noWrap/>
            <w:hideMark/>
          </w:tcPr>
          <w:p w14:paraId="78CF732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2.700,00</w:t>
            </w:r>
          </w:p>
        </w:tc>
        <w:tc>
          <w:tcPr>
            <w:tcW w:w="1404" w:type="dxa"/>
            <w:tcBorders>
              <w:top w:val="single" w:sz="4" w:space="0" w:color="auto"/>
              <w:left w:val="single" w:sz="4" w:space="0" w:color="auto"/>
              <w:bottom w:val="single" w:sz="4" w:space="0" w:color="auto"/>
              <w:right w:val="single" w:sz="4" w:space="0" w:color="auto"/>
            </w:tcBorders>
            <w:noWrap/>
            <w:hideMark/>
          </w:tcPr>
          <w:p w14:paraId="498200C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22,00</w:t>
            </w:r>
          </w:p>
        </w:tc>
        <w:tc>
          <w:tcPr>
            <w:tcW w:w="978" w:type="dxa"/>
            <w:tcBorders>
              <w:top w:val="single" w:sz="4" w:space="0" w:color="auto"/>
              <w:left w:val="single" w:sz="4" w:space="0" w:color="auto"/>
              <w:bottom w:val="single" w:sz="4" w:space="0" w:color="auto"/>
              <w:right w:val="single" w:sz="4" w:space="0" w:color="auto"/>
            </w:tcBorders>
            <w:noWrap/>
            <w:hideMark/>
          </w:tcPr>
          <w:p w14:paraId="1B64A923"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0,81</w:t>
            </w:r>
          </w:p>
        </w:tc>
        <w:tc>
          <w:tcPr>
            <w:tcW w:w="1240" w:type="dxa"/>
            <w:tcBorders>
              <w:top w:val="single" w:sz="4" w:space="0" w:color="auto"/>
              <w:left w:val="single" w:sz="4" w:space="0" w:color="auto"/>
              <w:bottom w:val="single" w:sz="4" w:space="0" w:color="auto"/>
              <w:right w:val="single" w:sz="4" w:space="0" w:color="auto"/>
            </w:tcBorders>
            <w:noWrap/>
            <w:hideMark/>
          </w:tcPr>
          <w:p w14:paraId="7FB96B31"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2.722,00</w:t>
            </w:r>
          </w:p>
        </w:tc>
      </w:tr>
      <w:tr w:rsidR="00FF767D" w14:paraId="094C10E1"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79B8A03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Glava 50003 USTANOVE ŠKOLSTVA</w:t>
            </w:r>
          </w:p>
        </w:tc>
        <w:tc>
          <w:tcPr>
            <w:tcW w:w="978" w:type="dxa"/>
            <w:tcBorders>
              <w:top w:val="single" w:sz="4" w:space="0" w:color="auto"/>
              <w:left w:val="single" w:sz="4" w:space="0" w:color="auto"/>
              <w:bottom w:val="single" w:sz="4" w:space="0" w:color="auto"/>
              <w:right w:val="single" w:sz="4" w:space="0" w:color="auto"/>
            </w:tcBorders>
            <w:noWrap/>
            <w:hideMark/>
          </w:tcPr>
          <w:p w14:paraId="3AE7BD91"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2.700,00</w:t>
            </w:r>
          </w:p>
        </w:tc>
        <w:tc>
          <w:tcPr>
            <w:tcW w:w="1404" w:type="dxa"/>
            <w:tcBorders>
              <w:top w:val="single" w:sz="4" w:space="0" w:color="auto"/>
              <w:left w:val="single" w:sz="4" w:space="0" w:color="auto"/>
              <w:bottom w:val="single" w:sz="4" w:space="0" w:color="auto"/>
              <w:right w:val="single" w:sz="4" w:space="0" w:color="auto"/>
            </w:tcBorders>
            <w:noWrap/>
            <w:hideMark/>
          </w:tcPr>
          <w:p w14:paraId="67603E1D"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22,00</w:t>
            </w:r>
          </w:p>
        </w:tc>
        <w:tc>
          <w:tcPr>
            <w:tcW w:w="978" w:type="dxa"/>
            <w:tcBorders>
              <w:top w:val="single" w:sz="4" w:space="0" w:color="auto"/>
              <w:left w:val="single" w:sz="4" w:space="0" w:color="auto"/>
              <w:bottom w:val="single" w:sz="4" w:space="0" w:color="auto"/>
              <w:right w:val="single" w:sz="4" w:space="0" w:color="auto"/>
            </w:tcBorders>
            <w:noWrap/>
            <w:hideMark/>
          </w:tcPr>
          <w:p w14:paraId="723BC196"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0,81</w:t>
            </w:r>
          </w:p>
        </w:tc>
        <w:tc>
          <w:tcPr>
            <w:tcW w:w="1240" w:type="dxa"/>
            <w:tcBorders>
              <w:top w:val="single" w:sz="4" w:space="0" w:color="auto"/>
              <w:left w:val="single" w:sz="4" w:space="0" w:color="auto"/>
              <w:bottom w:val="single" w:sz="4" w:space="0" w:color="auto"/>
              <w:right w:val="single" w:sz="4" w:space="0" w:color="auto"/>
            </w:tcBorders>
            <w:noWrap/>
            <w:hideMark/>
          </w:tcPr>
          <w:p w14:paraId="797E9CA3"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2.722,00</w:t>
            </w:r>
          </w:p>
        </w:tc>
      </w:tr>
      <w:tr w:rsidR="00FF767D" w14:paraId="5AA824FE"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46303E5C"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Proračunski korisnik 10645 CENTAR LIČE FARAGUNA LABIN</w:t>
            </w:r>
          </w:p>
        </w:tc>
        <w:tc>
          <w:tcPr>
            <w:tcW w:w="978" w:type="dxa"/>
            <w:tcBorders>
              <w:top w:val="single" w:sz="4" w:space="0" w:color="auto"/>
              <w:left w:val="single" w:sz="4" w:space="0" w:color="auto"/>
              <w:bottom w:val="single" w:sz="4" w:space="0" w:color="auto"/>
              <w:right w:val="single" w:sz="4" w:space="0" w:color="auto"/>
            </w:tcBorders>
            <w:noWrap/>
            <w:hideMark/>
          </w:tcPr>
          <w:p w14:paraId="43D53939"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2.700,00</w:t>
            </w:r>
          </w:p>
        </w:tc>
        <w:tc>
          <w:tcPr>
            <w:tcW w:w="1404" w:type="dxa"/>
            <w:tcBorders>
              <w:top w:val="single" w:sz="4" w:space="0" w:color="auto"/>
              <w:left w:val="single" w:sz="4" w:space="0" w:color="auto"/>
              <w:bottom w:val="single" w:sz="4" w:space="0" w:color="auto"/>
              <w:right w:val="single" w:sz="4" w:space="0" w:color="auto"/>
            </w:tcBorders>
            <w:noWrap/>
            <w:hideMark/>
          </w:tcPr>
          <w:p w14:paraId="6601057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22,00</w:t>
            </w:r>
          </w:p>
        </w:tc>
        <w:tc>
          <w:tcPr>
            <w:tcW w:w="978" w:type="dxa"/>
            <w:tcBorders>
              <w:top w:val="single" w:sz="4" w:space="0" w:color="auto"/>
              <w:left w:val="single" w:sz="4" w:space="0" w:color="auto"/>
              <w:bottom w:val="single" w:sz="4" w:space="0" w:color="auto"/>
              <w:right w:val="single" w:sz="4" w:space="0" w:color="auto"/>
            </w:tcBorders>
            <w:noWrap/>
            <w:hideMark/>
          </w:tcPr>
          <w:p w14:paraId="503B8431"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0,81</w:t>
            </w:r>
          </w:p>
        </w:tc>
        <w:tc>
          <w:tcPr>
            <w:tcW w:w="1240" w:type="dxa"/>
            <w:tcBorders>
              <w:top w:val="single" w:sz="4" w:space="0" w:color="auto"/>
              <w:left w:val="single" w:sz="4" w:space="0" w:color="auto"/>
              <w:bottom w:val="single" w:sz="4" w:space="0" w:color="auto"/>
              <w:right w:val="single" w:sz="4" w:space="0" w:color="auto"/>
            </w:tcBorders>
            <w:noWrap/>
            <w:hideMark/>
          </w:tcPr>
          <w:p w14:paraId="164B1D1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2.722,00</w:t>
            </w:r>
          </w:p>
        </w:tc>
      </w:tr>
      <w:tr w:rsidR="00FF767D" w14:paraId="0E559609"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7FA0071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Glavni program L01 JEDINSTVENI GLAVNI PROGRAM</w:t>
            </w:r>
          </w:p>
        </w:tc>
        <w:tc>
          <w:tcPr>
            <w:tcW w:w="978" w:type="dxa"/>
            <w:tcBorders>
              <w:top w:val="single" w:sz="4" w:space="0" w:color="auto"/>
              <w:left w:val="single" w:sz="4" w:space="0" w:color="auto"/>
              <w:bottom w:val="single" w:sz="4" w:space="0" w:color="auto"/>
              <w:right w:val="single" w:sz="4" w:space="0" w:color="auto"/>
            </w:tcBorders>
            <w:noWrap/>
            <w:hideMark/>
          </w:tcPr>
          <w:p w14:paraId="393D60B0"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2.700,00</w:t>
            </w:r>
          </w:p>
        </w:tc>
        <w:tc>
          <w:tcPr>
            <w:tcW w:w="1404" w:type="dxa"/>
            <w:tcBorders>
              <w:top w:val="single" w:sz="4" w:space="0" w:color="auto"/>
              <w:left w:val="single" w:sz="4" w:space="0" w:color="auto"/>
              <w:bottom w:val="single" w:sz="4" w:space="0" w:color="auto"/>
              <w:right w:val="single" w:sz="4" w:space="0" w:color="auto"/>
            </w:tcBorders>
            <w:noWrap/>
            <w:hideMark/>
          </w:tcPr>
          <w:p w14:paraId="02B31DAD"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22,00</w:t>
            </w:r>
          </w:p>
        </w:tc>
        <w:tc>
          <w:tcPr>
            <w:tcW w:w="978" w:type="dxa"/>
            <w:tcBorders>
              <w:top w:val="single" w:sz="4" w:space="0" w:color="auto"/>
              <w:left w:val="single" w:sz="4" w:space="0" w:color="auto"/>
              <w:bottom w:val="single" w:sz="4" w:space="0" w:color="auto"/>
              <w:right w:val="single" w:sz="4" w:space="0" w:color="auto"/>
            </w:tcBorders>
            <w:noWrap/>
            <w:hideMark/>
          </w:tcPr>
          <w:p w14:paraId="2C86323E"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0,81</w:t>
            </w:r>
          </w:p>
        </w:tc>
        <w:tc>
          <w:tcPr>
            <w:tcW w:w="1240" w:type="dxa"/>
            <w:tcBorders>
              <w:top w:val="single" w:sz="4" w:space="0" w:color="auto"/>
              <w:left w:val="single" w:sz="4" w:space="0" w:color="auto"/>
              <w:bottom w:val="single" w:sz="4" w:space="0" w:color="auto"/>
              <w:right w:val="single" w:sz="4" w:space="0" w:color="auto"/>
            </w:tcBorders>
            <w:noWrap/>
            <w:hideMark/>
          </w:tcPr>
          <w:p w14:paraId="33423770"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2.722,00</w:t>
            </w:r>
          </w:p>
        </w:tc>
      </w:tr>
      <w:tr w:rsidR="00FF767D" w14:paraId="79350AFB" w14:textId="77777777" w:rsidTr="00FF767D">
        <w:trPr>
          <w:trHeight w:val="255"/>
        </w:trPr>
        <w:tc>
          <w:tcPr>
            <w:tcW w:w="4751" w:type="dxa"/>
            <w:gridSpan w:val="2"/>
            <w:tcBorders>
              <w:top w:val="single" w:sz="4" w:space="0" w:color="auto"/>
              <w:left w:val="single" w:sz="4" w:space="0" w:color="auto"/>
              <w:bottom w:val="single" w:sz="4" w:space="0" w:color="auto"/>
              <w:right w:val="single" w:sz="4" w:space="0" w:color="auto"/>
            </w:tcBorders>
            <w:noWrap/>
            <w:hideMark/>
          </w:tcPr>
          <w:p w14:paraId="0469A2A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Program 5002 Obrazovanje</w:t>
            </w:r>
          </w:p>
        </w:tc>
        <w:tc>
          <w:tcPr>
            <w:tcW w:w="978" w:type="dxa"/>
            <w:tcBorders>
              <w:top w:val="single" w:sz="4" w:space="0" w:color="auto"/>
              <w:left w:val="single" w:sz="4" w:space="0" w:color="auto"/>
              <w:bottom w:val="single" w:sz="4" w:space="0" w:color="auto"/>
              <w:right w:val="single" w:sz="4" w:space="0" w:color="auto"/>
            </w:tcBorders>
            <w:noWrap/>
            <w:hideMark/>
          </w:tcPr>
          <w:p w14:paraId="639189CD"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2.700,00</w:t>
            </w:r>
          </w:p>
        </w:tc>
        <w:tc>
          <w:tcPr>
            <w:tcW w:w="1404" w:type="dxa"/>
            <w:tcBorders>
              <w:top w:val="single" w:sz="4" w:space="0" w:color="auto"/>
              <w:left w:val="single" w:sz="4" w:space="0" w:color="auto"/>
              <w:bottom w:val="single" w:sz="4" w:space="0" w:color="auto"/>
              <w:right w:val="single" w:sz="4" w:space="0" w:color="auto"/>
            </w:tcBorders>
            <w:noWrap/>
            <w:hideMark/>
          </w:tcPr>
          <w:p w14:paraId="616072F5"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22,00</w:t>
            </w:r>
          </w:p>
        </w:tc>
        <w:tc>
          <w:tcPr>
            <w:tcW w:w="978" w:type="dxa"/>
            <w:tcBorders>
              <w:top w:val="single" w:sz="4" w:space="0" w:color="auto"/>
              <w:left w:val="single" w:sz="4" w:space="0" w:color="auto"/>
              <w:bottom w:val="single" w:sz="4" w:space="0" w:color="auto"/>
              <w:right w:val="single" w:sz="4" w:space="0" w:color="auto"/>
            </w:tcBorders>
            <w:noWrap/>
            <w:hideMark/>
          </w:tcPr>
          <w:p w14:paraId="4C271A03"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0,81</w:t>
            </w:r>
          </w:p>
        </w:tc>
        <w:tc>
          <w:tcPr>
            <w:tcW w:w="1240" w:type="dxa"/>
            <w:tcBorders>
              <w:top w:val="single" w:sz="4" w:space="0" w:color="auto"/>
              <w:left w:val="single" w:sz="4" w:space="0" w:color="auto"/>
              <w:bottom w:val="single" w:sz="4" w:space="0" w:color="auto"/>
              <w:right w:val="single" w:sz="4" w:space="0" w:color="auto"/>
            </w:tcBorders>
            <w:noWrap/>
            <w:hideMark/>
          </w:tcPr>
          <w:p w14:paraId="131DCC58"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2.722,00</w:t>
            </w:r>
          </w:p>
        </w:tc>
      </w:tr>
      <w:tr w:rsidR="00E16B60" w:rsidRPr="00E16B60" w14:paraId="68B32E99" w14:textId="77777777" w:rsidTr="00E16B60">
        <w:trPr>
          <w:trHeight w:val="255"/>
        </w:trPr>
        <w:tc>
          <w:tcPr>
            <w:tcW w:w="475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2F3362C"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Aktivnost A500003 Financiranje djelatnosti osnovnog školstva</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771FA8B"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2.700,00</w:t>
            </w:r>
          </w:p>
        </w:tc>
        <w:tc>
          <w:tcPr>
            <w:tcW w:w="14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7AA5880D"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22,00</w:t>
            </w:r>
          </w:p>
        </w:tc>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B615E99"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0,81</w:t>
            </w:r>
          </w:p>
        </w:tc>
        <w:tc>
          <w:tcPr>
            <w:tcW w:w="1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176E16F" w14:textId="77777777" w:rsidR="00FF767D" w:rsidRPr="00E16B60" w:rsidRDefault="00FF767D">
            <w:pPr>
              <w:jc w:val="both"/>
              <w:rPr>
                <w:rFonts w:ascii="Arial" w:eastAsia="Calibri" w:hAnsi="Arial" w:cs="Arial"/>
                <w:b/>
                <w:bCs/>
                <w:sz w:val="18"/>
                <w:szCs w:val="18"/>
              </w:rPr>
            </w:pPr>
            <w:r w:rsidRPr="00E16B60">
              <w:rPr>
                <w:rFonts w:ascii="Arial" w:eastAsia="Calibri" w:hAnsi="Arial" w:cs="Arial"/>
                <w:b/>
                <w:bCs/>
                <w:sz w:val="18"/>
                <w:szCs w:val="18"/>
              </w:rPr>
              <w:t>2.722,00</w:t>
            </w:r>
          </w:p>
        </w:tc>
      </w:tr>
      <w:tr w:rsidR="00FF767D" w14:paraId="36A595B2"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3D0F842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w:t>
            </w:r>
          </w:p>
        </w:tc>
        <w:tc>
          <w:tcPr>
            <w:tcW w:w="3974" w:type="dxa"/>
            <w:tcBorders>
              <w:top w:val="single" w:sz="4" w:space="0" w:color="auto"/>
              <w:left w:val="single" w:sz="4" w:space="0" w:color="auto"/>
              <w:bottom w:val="single" w:sz="4" w:space="0" w:color="auto"/>
              <w:right w:val="single" w:sz="4" w:space="0" w:color="auto"/>
            </w:tcBorders>
            <w:noWrap/>
            <w:hideMark/>
          </w:tcPr>
          <w:p w14:paraId="174E1E45"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Rashodi poslovanja</w:t>
            </w:r>
          </w:p>
        </w:tc>
        <w:tc>
          <w:tcPr>
            <w:tcW w:w="978" w:type="dxa"/>
            <w:tcBorders>
              <w:top w:val="single" w:sz="4" w:space="0" w:color="auto"/>
              <w:left w:val="single" w:sz="4" w:space="0" w:color="auto"/>
              <w:bottom w:val="single" w:sz="4" w:space="0" w:color="auto"/>
              <w:right w:val="single" w:sz="4" w:space="0" w:color="auto"/>
            </w:tcBorders>
            <w:noWrap/>
            <w:hideMark/>
          </w:tcPr>
          <w:p w14:paraId="2AEBFCD5"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1.700,00</w:t>
            </w:r>
          </w:p>
        </w:tc>
        <w:tc>
          <w:tcPr>
            <w:tcW w:w="1404" w:type="dxa"/>
            <w:tcBorders>
              <w:top w:val="single" w:sz="4" w:space="0" w:color="auto"/>
              <w:left w:val="single" w:sz="4" w:space="0" w:color="auto"/>
              <w:bottom w:val="single" w:sz="4" w:space="0" w:color="auto"/>
              <w:right w:val="single" w:sz="4" w:space="0" w:color="auto"/>
            </w:tcBorders>
            <w:noWrap/>
            <w:hideMark/>
          </w:tcPr>
          <w:p w14:paraId="3A4F40F6"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22,00</w:t>
            </w:r>
          </w:p>
        </w:tc>
        <w:tc>
          <w:tcPr>
            <w:tcW w:w="978" w:type="dxa"/>
            <w:tcBorders>
              <w:top w:val="single" w:sz="4" w:space="0" w:color="auto"/>
              <w:left w:val="single" w:sz="4" w:space="0" w:color="auto"/>
              <w:bottom w:val="single" w:sz="4" w:space="0" w:color="auto"/>
              <w:right w:val="single" w:sz="4" w:space="0" w:color="auto"/>
            </w:tcBorders>
            <w:noWrap/>
            <w:hideMark/>
          </w:tcPr>
          <w:p w14:paraId="0D7BDF15"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1,29</w:t>
            </w:r>
          </w:p>
        </w:tc>
        <w:tc>
          <w:tcPr>
            <w:tcW w:w="1240" w:type="dxa"/>
            <w:tcBorders>
              <w:top w:val="single" w:sz="4" w:space="0" w:color="auto"/>
              <w:left w:val="single" w:sz="4" w:space="0" w:color="auto"/>
              <w:bottom w:val="single" w:sz="4" w:space="0" w:color="auto"/>
              <w:right w:val="single" w:sz="4" w:space="0" w:color="auto"/>
            </w:tcBorders>
            <w:noWrap/>
            <w:hideMark/>
          </w:tcPr>
          <w:p w14:paraId="6429E791"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1.722,00</w:t>
            </w:r>
          </w:p>
        </w:tc>
      </w:tr>
      <w:tr w:rsidR="00FF767D" w14:paraId="17FD507A"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096C9659"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32</w:t>
            </w:r>
          </w:p>
        </w:tc>
        <w:tc>
          <w:tcPr>
            <w:tcW w:w="3974" w:type="dxa"/>
            <w:tcBorders>
              <w:top w:val="single" w:sz="4" w:space="0" w:color="auto"/>
              <w:left w:val="single" w:sz="4" w:space="0" w:color="auto"/>
              <w:bottom w:val="single" w:sz="4" w:space="0" w:color="auto"/>
              <w:right w:val="single" w:sz="4" w:space="0" w:color="auto"/>
            </w:tcBorders>
            <w:noWrap/>
            <w:hideMark/>
          </w:tcPr>
          <w:p w14:paraId="25D08F27"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Materijalni rashodi</w:t>
            </w:r>
          </w:p>
        </w:tc>
        <w:tc>
          <w:tcPr>
            <w:tcW w:w="978" w:type="dxa"/>
            <w:tcBorders>
              <w:top w:val="single" w:sz="4" w:space="0" w:color="auto"/>
              <w:left w:val="single" w:sz="4" w:space="0" w:color="auto"/>
              <w:bottom w:val="single" w:sz="4" w:space="0" w:color="auto"/>
              <w:right w:val="single" w:sz="4" w:space="0" w:color="auto"/>
            </w:tcBorders>
            <w:noWrap/>
            <w:hideMark/>
          </w:tcPr>
          <w:p w14:paraId="4D109532"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1.700,00</w:t>
            </w:r>
          </w:p>
        </w:tc>
        <w:tc>
          <w:tcPr>
            <w:tcW w:w="1404" w:type="dxa"/>
            <w:tcBorders>
              <w:top w:val="single" w:sz="4" w:space="0" w:color="auto"/>
              <w:left w:val="single" w:sz="4" w:space="0" w:color="auto"/>
              <w:bottom w:val="single" w:sz="4" w:space="0" w:color="auto"/>
              <w:right w:val="single" w:sz="4" w:space="0" w:color="auto"/>
            </w:tcBorders>
            <w:noWrap/>
            <w:hideMark/>
          </w:tcPr>
          <w:p w14:paraId="10388AB0"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22,00</w:t>
            </w:r>
          </w:p>
        </w:tc>
        <w:tc>
          <w:tcPr>
            <w:tcW w:w="978" w:type="dxa"/>
            <w:tcBorders>
              <w:top w:val="single" w:sz="4" w:space="0" w:color="auto"/>
              <w:left w:val="single" w:sz="4" w:space="0" w:color="auto"/>
              <w:bottom w:val="single" w:sz="4" w:space="0" w:color="auto"/>
              <w:right w:val="single" w:sz="4" w:space="0" w:color="auto"/>
            </w:tcBorders>
            <w:noWrap/>
            <w:hideMark/>
          </w:tcPr>
          <w:p w14:paraId="642D4E83"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1,29</w:t>
            </w:r>
          </w:p>
        </w:tc>
        <w:tc>
          <w:tcPr>
            <w:tcW w:w="1240" w:type="dxa"/>
            <w:tcBorders>
              <w:top w:val="single" w:sz="4" w:space="0" w:color="auto"/>
              <w:left w:val="single" w:sz="4" w:space="0" w:color="auto"/>
              <w:bottom w:val="single" w:sz="4" w:space="0" w:color="auto"/>
              <w:right w:val="single" w:sz="4" w:space="0" w:color="auto"/>
            </w:tcBorders>
            <w:noWrap/>
            <w:hideMark/>
          </w:tcPr>
          <w:p w14:paraId="3929E9DB"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1.722,00</w:t>
            </w:r>
          </w:p>
        </w:tc>
      </w:tr>
      <w:tr w:rsidR="00FF767D" w14:paraId="5EDB7B4E"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6C050A98"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w:t>
            </w:r>
          </w:p>
        </w:tc>
        <w:tc>
          <w:tcPr>
            <w:tcW w:w="3974" w:type="dxa"/>
            <w:tcBorders>
              <w:top w:val="single" w:sz="4" w:space="0" w:color="auto"/>
              <w:left w:val="single" w:sz="4" w:space="0" w:color="auto"/>
              <w:bottom w:val="single" w:sz="4" w:space="0" w:color="auto"/>
              <w:right w:val="single" w:sz="4" w:space="0" w:color="auto"/>
            </w:tcBorders>
            <w:noWrap/>
            <w:hideMark/>
          </w:tcPr>
          <w:p w14:paraId="187464DA"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Rashodi za nabavu nefinancijske imovine</w:t>
            </w:r>
          </w:p>
        </w:tc>
        <w:tc>
          <w:tcPr>
            <w:tcW w:w="978" w:type="dxa"/>
            <w:tcBorders>
              <w:top w:val="single" w:sz="4" w:space="0" w:color="auto"/>
              <w:left w:val="single" w:sz="4" w:space="0" w:color="auto"/>
              <w:bottom w:val="single" w:sz="4" w:space="0" w:color="auto"/>
              <w:right w:val="single" w:sz="4" w:space="0" w:color="auto"/>
            </w:tcBorders>
            <w:noWrap/>
            <w:hideMark/>
          </w:tcPr>
          <w:p w14:paraId="444DCDF2"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1.000,00</w:t>
            </w:r>
          </w:p>
        </w:tc>
        <w:tc>
          <w:tcPr>
            <w:tcW w:w="1404" w:type="dxa"/>
            <w:tcBorders>
              <w:top w:val="single" w:sz="4" w:space="0" w:color="auto"/>
              <w:left w:val="single" w:sz="4" w:space="0" w:color="auto"/>
              <w:bottom w:val="single" w:sz="4" w:space="0" w:color="auto"/>
              <w:right w:val="single" w:sz="4" w:space="0" w:color="auto"/>
            </w:tcBorders>
            <w:noWrap/>
            <w:hideMark/>
          </w:tcPr>
          <w:p w14:paraId="77E29314"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4A31621F"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638E22D7" w14:textId="77777777" w:rsidR="00FF767D" w:rsidRDefault="00FF767D">
            <w:pPr>
              <w:jc w:val="both"/>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1.000,00</w:t>
            </w:r>
          </w:p>
        </w:tc>
      </w:tr>
      <w:tr w:rsidR="00FF767D" w14:paraId="2ECD2F7F" w14:textId="77777777" w:rsidTr="00FF767D">
        <w:trPr>
          <w:trHeight w:val="255"/>
        </w:trPr>
        <w:tc>
          <w:tcPr>
            <w:tcW w:w="777" w:type="dxa"/>
            <w:tcBorders>
              <w:top w:val="single" w:sz="4" w:space="0" w:color="auto"/>
              <w:left w:val="single" w:sz="4" w:space="0" w:color="auto"/>
              <w:bottom w:val="single" w:sz="4" w:space="0" w:color="auto"/>
              <w:right w:val="single" w:sz="4" w:space="0" w:color="auto"/>
            </w:tcBorders>
            <w:noWrap/>
            <w:hideMark/>
          </w:tcPr>
          <w:p w14:paraId="25163A13"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42</w:t>
            </w:r>
          </w:p>
        </w:tc>
        <w:tc>
          <w:tcPr>
            <w:tcW w:w="3974" w:type="dxa"/>
            <w:tcBorders>
              <w:top w:val="single" w:sz="4" w:space="0" w:color="auto"/>
              <w:left w:val="single" w:sz="4" w:space="0" w:color="auto"/>
              <w:bottom w:val="single" w:sz="4" w:space="0" w:color="auto"/>
              <w:right w:val="single" w:sz="4" w:space="0" w:color="auto"/>
            </w:tcBorders>
            <w:noWrap/>
            <w:hideMark/>
          </w:tcPr>
          <w:p w14:paraId="60BEC377"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Rashodi za nabavu proizvedene dugotrajne imovine</w:t>
            </w:r>
          </w:p>
        </w:tc>
        <w:tc>
          <w:tcPr>
            <w:tcW w:w="978" w:type="dxa"/>
            <w:tcBorders>
              <w:top w:val="single" w:sz="4" w:space="0" w:color="auto"/>
              <w:left w:val="single" w:sz="4" w:space="0" w:color="auto"/>
              <w:bottom w:val="single" w:sz="4" w:space="0" w:color="auto"/>
              <w:right w:val="single" w:sz="4" w:space="0" w:color="auto"/>
            </w:tcBorders>
            <w:noWrap/>
            <w:hideMark/>
          </w:tcPr>
          <w:p w14:paraId="115DA0E6"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1.000,00</w:t>
            </w:r>
          </w:p>
        </w:tc>
        <w:tc>
          <w:tcPr>
            <w:tcW w:w="1404" w:type="dxa"/>
            <w:tcBorders>
              <w:top w:val="single" w:sz="4" w:space="0" w:color="auto"/>
              <w:left w:val="single" w:sz="4" w:space="0" w:color="auto"/>
              <w:bottom w:val="single" w:sz="4" w:space="0" w:color="auto"/>
              <w:right w:val="single" w:sz="4" w:space="0" w:color="auto"/>
            </w:tcBorders>
            <w:noWrap/>
            <w:hideMark/>
          </w:tcPr>
          <w:p w14:paraId="4FF243E9"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0,00</w:t>
            </w:r>
          </w:p>
        </w:tc>
        <w:tc>
          <w:tcPr>
            <w:tcW w:w="978" w:type="dxa"/>
            <w:tcBorders>
              <w:top w:val="single" w:sz="4" w:space="0" w:color="auto"/>
              <w:left w:val="single" w:sz="4" w:space="0" w:color="auto"/>
              <w:bottom w:val="single" w:sz="4" w:space="0" w:color="auto"/>
              <w:right w:val="single" w:sz="4" w:space="0" w:color="auto"/>
            </w:tcBorders>
            <w:noWrap/>
            <w:hideMark/>
          </w:tcPr>
          <w:p w14:paraId="1C242FDE"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0,00</w:t>
            </w:r>
          </w:p>
        </w:tc>
        <w:tc>
          <w:tcPr>
            <w:tcW w:w="1240" w:type="dxa"/>
            <w:tcBorders>
              <w:top w:val="single" w:sz="4" w:space="0" w:color="auto"/>
              <w:left w:val="single" w:sz="4" w:space="0" w:color="auto"/>
              <w:bottom w:val="single" w:sz="4" w:space="0" w:color="auto"/>
              <w:right w:val="single" w:sz="4" w:space="0" w:color="auto"/>
            </w:tcBorders>
            <w:noWrap/>
            <w:hideMark/>
          </w:tcPr>
          <w:p w14:paraId="334D128B" w14:textId="77777777" w:rsidR="00FF767D" w:rsidRDefault="00FF767D">
            <w:pPr>
              <w:jc w:val="both"/>
              <w:rPr>
                <w:rFonts w:ascii="Arial" w:eastAsia="Calibri" w:hAnsi="Arial" w:cs="Arial"/>
                <w:color w:val="000000" w:themeColor="text1"/>
                <w:sz w:val="18"/>
                <w:szCs w:val="18"/>
              </w:rPr>
            </w:pPr>
            <w:r>
              <w:rPr>
                <w:rFonts w:ascii="Arial" w:eastAsia="Calibri" w:hAnsi="Arial" w:cs="Arial"/>
                <w:color w:val="000000" w:themeColor="text1"/>
                <w:sz w:val="18"/>
                <w:szCs w:val="18"/>
              </w:rPr>
              <w:t>1.000,00</w:t>
            </w:r>
          </w:p>
        </w:tc>
      </w:tr>
    </w:tbl>
    <w:p w14:paraId="10A3DC2D" w14:textId="77777777" w:rsidR="00FF767D" w:rsidRDefault="00FF767D" w:rsidP="00FF767D">
      <w:pPr>
        <w:jc w:val="both"/>
        <w:rPr>
          <w:rFonts w:ascii="Arial" w:eastAsia="Calibri" w:hAnsi="Arial" w:cs="Arial"/>
          <w:color w:val="000000" w:themeColor="text1"/>
          <w:sz w:val="22"/>
          <w:szCs w:val="22"/>
          <w:lang w:eastAsia="en-US"/>
        </w:rPr>
      </w:pPr>
    </w:p>
    <w:p w14:paraId="05E78D5B" w14:textId="77777777" w:rsidR="00FF767D" w:rsidRPr="00E16B60" w:rsidRDefault="00FF767D" w:rsidP="00E16B60">
      <w:pPr>
        <w:spacing w:line="259" w:lineRule="auto"/>
        <w:jc w:val="both"/>
        <w:rPr>
          <w:rFonts w:ascii="Arial" w:eastAsia="Calibri" w:hAnsi="Arial" w:cs="Arial"/>
          <w:b/>
          <w:color w:val="000000" w:themeColor="text1"/>
          <w:sz w:val="22"/>
          <w:szCs w:val="22"/>
          <w:u w:val="single"/>
        </w:rPr>
      </w:pPr>
    </w:p>
    <w:p w14:paraId="1F26A185" w14:textId="77777777" w:rsidR="00FF767D" w:rsidRPr="00E16B60" w:rsidRDefault="00FF767D" w:rsidP="00E16B60">
      <w:pPr>
        <w:spacing w:line="259" w:lineRule="auto"/>
        <w:jc w:val="both"/>
        <w:rPr>
          <w:rFonts w:ascii="Arial" w:eastAsia="Calibri" w:hAnsi="Arial" w:cs="Arial"/>
          <w:b/>
          <w:color w:val="000000" w:themeColor="text1"/>
          <w:sz w:val="22"/>
          <w:szCs w:val="22"/>
          <w:u w:val="single"/>
        </w:rPr>
      </w:pPr>
      <w:r w:rsidRPr="00E16B60">
        <w:rPr>
          <w:rFonts w:ascii="Arial" w:eastAsia="Calibri" w:hAnsi="Arial" w:cs="Arial"/>
          <w:b/>
          <w:color w:val="000000" w:themeColor="text1"/>
          <w:sz w:val="22"/>
          <w:szCs w:val="22"/>
          <w:u w:val="single"/>
        </w:rPr>
        <w:t>Aktivnost 500003</w:t>
      </w:r>
      <w:r w:rsidRPr="00E16B60">
        <w:rPr>
          <w:rFonts w:ascii="Arial" w:eastAsia="Calibri" w:hAnsi="Arial" w:cs="Arial"/>
          <w:color w:val="000000" w:themeColor="text1"/>
          <w:sz w:val="22"/>
          <w:szCs w:val="22"/>
          <w:u w:val="single"/>
        </w:rPr>
        <w:t xml:space="preserve">– </w:t>
      </w:r>
      <w:r w:rsidRPr="00E16B60">
        <w:rPr>
          <w:rFonts w:ascii="Arial" w:eastAsia="Calibri" w:hAnsi="Arial" w:cs="Arial"/>
          <w:b/>
          <w:color w:val="000000" w:themeColor="text1"/>
          <w:sz w:val="22"/>
          <w:szCs w:val="22"/>
          <w:u w:val="single"/>
        </w:rPr>
        <w:t>Financiranje djelatnosti osnovnog obrazovanja</w:t>
      </w:r>
    </w:p>
    <w:p w14:paraId="69E135A1" w14:textId="77777777" w:rsidR="00E16B60" w:rsidRDefault="00E16B60" w:rsidP="00E16B60">
      <w:pPr>
        <w:spacing w:line="259" w:lineRule="auto"/>
        <w:jc w:val="both"/>
        <w:rPr>
          <w:rFonts w:ascii="Arial" w:eastAsia="Calibri" w:hAnsi="Arial" w:cs="Arial"/>
          <w:b/>
          <w:bCs/>
          <w:color w:val="000000" w:themeColor="text1"/>
          <w:sz w:val="22"/>
          <w:szCs w:val="22"/>
        </w:rPr>
      </w:pPr>
    </w:p>
    <w:p w14:paraId="280F2D68" w14:textId="511691B9" w:rsidR="00FF767D" w:rsidRPr="00E16B60" w:rsidRDefault="00FF767D" w:rsidP="00E16B60">
      <w:pPr>
        <w:spacing w:line="259" w:lineRule="auto"/>
        <w:jc w:val="both"/>
        <w:rPr>
          <w:rFonts w:ascii="Arial" w:eastAsia="Calibri" w:hAnsi="Arial" w:cs="Arial"/>
          <w:b/>
          <w:bCs/>
          <w:color w:val="000000" w:themeColor="text1"/>
          <w:sz w:val="22"/>
          <w:szCs w:val="22"/>
        </w:rPr>
      </w:pPr>
      <w:r w:rsidRPr="00E16B60">
        <w:rPr>
          <w:rFonts w:ascii="Arial" w:eastAsia="Calibri" w:hAnsi="Arial" w:cs="Arial"/>
          <w:b/>
          <w:bCs/>
          <w:color w:val="000000" w:themeColor="text1"/>
          <w:sz w:val="22"/>
          <w:szCs w:val="22"/>
        </w:rPr>
        <w:t>Kapitalni projekt K500001 Kapitalna ulaganja osnovnog školstva</w:t>
      </w:r>
    </w:p>
    <w:p w14:paraId="694DAA32" w14:textId="77777777" w:rsidR="00FF767D" w:rsidRPr="00E16B60" w:rsidRDefault="00FF767D" w:rsidP="00E16B60">
      <w:pPr>
        <w:spacing w:line="259" w:lineRule="auto"/>
        <w:jc w:val="both"/>
        <w:rPr>
          <w:rFonts w:ascii="Arial" w:eastAsia="Calibri" w:hAnsi="Arial" w:cs="Arial"/>
          <w:b/>
          <w:color w:val="000000" w:themeColor="text1"/>
          <w:sz w:val="22"/>
          <w:szCs w:val="22"/>
          <w:u w:val="single"/>
        </w:rPr>
      </w:pPr>
    </w:p>
    <w:p w14:paraId="638741F0" w14:textId="77777777" w:rsidR="00FF767D" w:rsidRPr="00E16B60" w:rsidRDefault="00FF767D" w:rsidP="00E16B60">
      <w:pPr>
        <w:spacing w:line="259" w:lineRule="auto"/>
        <w:jc w:val="both"/>
        <w:rPr>
          <w:rFonts w:ascii="Arial" w:eastAsia="Calibri" w:hAnsi="Arial" w:cs="Arial"/>
          <w:sz w:val="22"/>
          <w:szCs w:val="22"/>
        </w:rPr>
      </w:pPr>
      <w:r w:rsidRPr="00E16B60">
        <w:rPr>
          <w:rFonts w:ascii="Arial" w:eastAsia="Calibri" w:hAnsi="Arial" w:cs="Arial"/>
          <w:sz w:val="22"/>
          <w:szCs w:val="22"/>
        </w:rPr>
        <w:t>Ova se aktivnost ostvaruje iz decentraliziranih funkcija financiranja, općih prihoda i primitaka iznad standarda, vlastitih prihoda, prihoda za posebne namjene  , pomoćima Državnog proračuna , donacijama poslovnih subjekata te prihoda od naknada šteta.</w:t>
      </w:r>
    </w:p>
    <w:p w14:paraId="56F9851A" w14:textId="77777777" w:rsidR="00FF767D" w:rsidRPr="00E16B60" w:rsidRDefault="00FF767D" w:rsidP="00E16B60">
      <w:pPr>
        <w:spacing w:line="259" w:lineRule="auto"/>
        <w:jc w:val="both"/>
        <w:rPr>
          <w:rFonts w:ascii="Arial" w:eastAsia="Calibri" w:hAnsi="Arial" w:cs="Arial"/>
          <w:sz w:val="22"/>
          <w:szCs w:val="22"/>
        </w:rPr>
      </w:pPr>
      <w:r w:rsidRPr="00E16B60">
        <w:rPr>
          <w:rFonts w:ascii="Arial" w:eastAsia="Calibri" w:hAnsi="Arial" w:cs="Arial"/>
          <w:sz w:val="22"/>
          <w:szCs w:val="22"/>
        </w:rPr>
        <w:t>Financiranje nabavke  namirnica  shema školskog  voća i mlijeka.</w:t>
      </w:r>
    </w:p>
    <w:p w14:paraId="3D742C62" w14:textId="77777777" w:rsidR="00FF767D" w:rsidRPr="00E16B60" w:rsidRDefault="00FF767D" w:rsidP="00E16B60">
      <w:pPr>
        <w:spacing w:line="259" w:lineRule="auto"/>
        <w:jc w:val="both"/>
        <w:rPr>
          <w:rFonts w:ascii="Arial" w:eastAsia="Calibri" w:hAnsi="Arial" w:cs="Arial"/>
          <w:sz w:val="22"/>
          <w:szCs w:val="22"/>
        </w:rPr>
      </w:pPr>
      <w:r w:rsidRPr="00E16B60">
        <w:rPr>
          <w:rFonts w:ascii="Arial" w:eastAsia="Calibri" w:hAnsi="Arial" w:cs="Arial"/>
          <w:sz w:val="22"/>
          <w:szCs w:val="22"/>
        </w:rPr>
        <w:t>Financiranje materijalnih rashoda odnosi se na troškove vezane za, odlazak učitelja na stručna usavršavanja, nabavku uredskog materijala, materijala za čišćenje i održavanje, poštanske i telefonske troškove, prijevoza, troškove energije i lož ulja, komunalne, računalne i ostale usluge, premije osiguranja,  nabavku   opreme te troškove tekućeg i investicijskog održavanja.</w:t>
      </w:r>
    </w:p>
    <w:p w14:paraId="2CD781B2" w14:textId="6A190A6E" w:rsidR="00FF767D" w:rsidRPr="00E16B60" w:rsidRDefault="00FF767D" w:rsidP="00E16B60">
      <w:pPr>
        <w:spacing w:line="259" w:lineRule="auto"/>
        <w:jc w:val="both"/>
        <w:rPr>
          <w:rFonts w:ascii="Arial" w:eastAsia="Calibri" w:hAnsi="Arial" w:cs="Arial"/>
          <w:sz w:val="22"/>
          <w:szCs w:val="22"/>
        </w:rPr>
      </w:pPr>
      <w:r w:rsidRPr="00E16B60">
        <w:rPr>
          <w:rFonts w:ascii="Arial" w:eastAsia="Calibri" w:hAnsi="Arial" w:cs="Arial"/>
          <w:sz w:val="22"/>
          <w:szCs w:val="22"/>
        </w:rPr>
        <w:t xml:space="preserve">U školi je organizirana školska marenda po cijeni od 1,33 </w:t>
      </w:r>
      <w:r w:rsidR="00BE5AFD" w:rsidRPr="00E16B60">
        <w:rPr>
          <w:rFonts w:ascii="Arial" w:eastAsia="Calibri" w:hAnsi="Arial" w:cs="Arial"/>
          <w:sz w:val="22"/>
          <w:szCs w:val="22"/>
        </w:rPr>
        <w:t>EUR</w:t>
      </w:r>
      <w:r w:rsidRPr="00E16B60">
        <w:rPr>
          <w:rFonts w:ascii="Arial" w:eastAsia="Calibri" w:hAnsi="Arial" w:cs="Arial"/>
          <w:sz w:val="22"/>
          <w:szCs w:val="22"/>
        </w:rPr>
        <w:t xml:space="preserve"> koju u potpunosti financira MZO. Ove godine uključeno  je ukupno 12 učenika.</w:t>
      </w:r>
    </w:p>
    <w:p w14:paraId="62975830" w14:textId="290DBB79" w:rsidR="00FF767D" w:rsidRPr="00E16B60" w:rsidRDefault="00FF767D" w:rsidP="00E16B60">
      <w:pPr>
        <w:spacing w:line="259" w:lineRule="auto"/>
        <w:jc w:val="both"/>
        <w:rPr>
          <w:rFonts w:ascii="Arial" w:eastAsia="Calibri" w:hAnsi="Arial" w:cs="Arial"/>
          <w:sz w:val="22"/>
          <w:szCs w:val="22"/>
        </w:rPr>
      </w:pPr>
      <w:r w:rsidRPr="00E16B60">
        <w:rPr>
          <w:rFonts w:ascii="Arial" w:eastAsia="Calibri" w:hAnsi="Arial" w:cs="Arial"/>
          <w:sz w:val="22"/>
          <w:szCs w:val="22"/>
        </w:rPr>
        <w:t>Za tu aktivnost planirana su sredstva u iznosu od 557.340,00</w:t>
      </w:r>
      <w:r w:rsidR="00BE5AFD" w:rsidRPr="00E16B60">
        <w:rPr>
          <w:rFonts w:ascii="Arial" w:eastAsia="Calibri" w:hAnsi="Arial" w:cs="Arial"/>
          <w:sz w:val="22"/>
          <w:szCs w:val="22"/>
        </w:rPr>
        <w:t>EUR</w:t>
      </w:r>
      <w:r w:rsidRPr="00E16B60">
        <w:rPr>
          <w:rFonts w:ascii="Arial" w:eastAsia="Calibri" w:hAnsi="Arial" w:cs="Arial"/>
          <w:sz w:val="22"/>
          <w:szCs w:val="22"/>
        </w:rPr>
        <w:t xml:space="preserve">, prvim izmjenama plana uvećana su za 4,63 % te sad iznose 583.124,00 </w:t>
      </w:r>
      <w:proofErr w:type="spellStart"/>
      <w:r w:rsidR="00BE5AFD" w:rsidRPr="00E16B60">
        <w:rPr>
          <w:rFonts w:ascii="Arial" w:eastAsia="Calibri" w:hAnsi="Arial" w:cs="Arial"/>
          <w:sz w:val="22"/>
          <w:szCs w:val="22"/>
        </w:rPr>
        <w:t>EUR</w:t>
      </w:r>
      <w:r w:rsidRPr="00E16B60">
        <w:rPr>
          <w:rFonts w:ascii="Arial" w:eastAsia="Calibri" w:hAnsi="Arial" w:cs="Arial"/>
          <w:sz w:val="22"/>
          <w:szCs w:val="22"/>
        </w:rPr>
        <w:t>,financiraju</w:t>
      </w:r>
      <w:proofErr w:type="spellEnd"/>
      <w:r w:rsidRPr="00E16B60">
        <w:rPr>
          <w:rFonts w:ascii="Arial" w:eastAsia="Calibri" w:hAnsi="Arial" w:cs="Arial"/>
          <w:sz w:val="22"/>
          <w:szCs w:val="22"/>
        </w:rPr>
        <w:t xml:space="preserve"> se iz izvora općih </w:t>
      </w:r>
      <w:proofErr w:type="spellStart"/>
      <w:r w:rsidRPr="00E16B60">
        <w:rPr>
          <w:rFonts w:ascii="Arial" w:eastAsia="Calibri" w:hAnsi="Arial" w:cs="Arial"/>
          <w:sz w:val="22"/>
          <w:szCs w:val="22"/>
        </w:rPr>
        <w:t>prihoda,vlastitih</w:t>
      </w:r>
      <w:proofErr w:type="spellEnd"/>
      <w:r w:rsidRPr="00E16B60">
        <w:rPr>
          <w:rFonts w:ascii="Arial" w:eastAsia="Calibri" w:hAnsi="Arial" w:cs="Arial"/>
          <w:sz w:val="22"/>
          <w:szCs w:val="22"/>
        </w:rPr>
        <w:t xml:space="preserve"> prihoda, DEC-a, tekućih  pomoći iz proračuna i donacija.</w:t>
      </w:r>
    </w:p>
    <w:p w14:paraId="631F1110" w14:textId="364D3725" w:rsidR="00FF767D" w:rsidRPr="00E16B60" w:rsidRDefault="00FF767D" w:rsidP="00E16B60">
      <w:pPr>
        <w:spacing w:line="259" w:lineRule="auto"/>
        <w:jc w:val="both"/>
        <w:rPr>
          <w:rFonts w:ascii="Arial" w:eastAsia="Calibri" w:hAnsi="Arial" w:cs="Arial"/>
          <w:sz w:val="22"/>
          <w:szCs w:val="22"/>
        </w:rPr>
      </w:pPr>
      <w:r w:rsidRPr="00E16B60">
        <w:rPr>
          <w:rFonts w:ascii="Arial" w:eastAsia="Calibri" w:hAnsi="Arial" w:cs="Arial"/>
          <w:sz w:val="22"/>
          <w:szCs w:val="22"/>
        </w:rPr>
        <w:t xml:space="preserve">Kapitalna ulaganja Centra u 2025. godini planirana su u iznosu od 1.000,00 </w:t>
      </w:r>
      <w:r w:rsidR="00BE5AFD" w:rsidRPr="00E16B60">
        <w:rPr>
          <w:rFonts w:ascii="Arial" w:eastAsia="Calibri" w:hAnsi="Arial" w:cs="Arial"/>
          <w:sz w:val="22"/>
          <w:szCs w:val="22"/>
        </w:rPr>
        <w:t>EUR</w:t>
      </w:r>
      <w:r w:rsidRPr="00E16B60">
        <w:rPr>
          <w:rFonts w:ascii="Arial" w:eastAsia="Calibri" w:hAnsi="Arial" w:cs="Arial"/>
          <w:sz w:val="22"/>
          <w:szCs w:val="22"/>
        </w:rPr>
        <w:t xml:space="preserve">. Kod I. Izmjena došlo je do povećanja za 6.000,00 </w:t>
      </w:r>
      <w:r w:rsidR="00BE5AFD" w:rsidRPr="00E16B60">
        <w:rPr>
          <w:rFonts w:ascii="Arial" w:eastAsia="Calibri" w:hAnsi="Arial" w:cs="Arial"/>
          <w:sz w:val="22"/>
          <w:szCs w:val="22"/>
        </w:rPr>
        <w:t>EUR</w:t>
      </w:r>
      <w:r w:rsidRPr="00E16B60">
        <w:rPr>
          <w:rFonts w:ascii="Arial" w:eastAsia="Calibri" w:hAnsi="Arial" w:cs="Arial"/>
          <w:sz w:val="22"/>
          <w:szCs w:val="22"/>
        </w:rPr>
        <w:t xml:space="preserve"> te sad iznose 7.000,00 </w:t>
      </w:r>
      <w:r w:rsidR="00BE5AFD" w:rsidRPr="00E16B60">
        <w:rPr>
          <w:rFonts w:ascii="Arial" w:eastAsia="Calibri" w:hAnsi="Arial" w:cs="Arial"/>
          <w:sz w:val="22"/>
          <w:szCs w:val="22"/>
        </w:rPr>
        <w:t>EUR</w:t>
      </w:r>
      <w:r w:rsidRPr="00E16B60">
        <w:rPr>
          <w:rFonts w:ascii="Arial" w:eastAsia="Calibri" w:hAnsi="Arial" w:cs="Arial"/>
          <w:sz w:val="22"/>
          <w:szCs w:val="22"/>
        </w:rPr>
        <w:t>.</w:t>
      </w:r>
    </w:p>
    <w:p w14:paraId="7EF2588E" w14:textId="77777777" w:rsidR="00FF767D" w:rsidRPr="00E16B60" w:rsidRDefault="00FF767D" w:rsidP="00E16B60">
      <w:pPr>
        <w:spacing w:line="259" w:lineRule="auto"/>
        <w:jc w:val="both"/>
        <w:rPr>
          <w:rFonts w:ascii="Arial" w:eastAsia="Calibri" w:hAnsi="Arial" w:cs="Arial"/>
          <w:color w:val="000000" w:themeColor="text1"/>
          <w:sz w:val="22"/>
          <w:szCs w:val="22"/>
          <w:u w:val="single"/>
        </w:rPr>
      </w:pPr>
      <w:r w:rsidRPr="00E16B60">
        <w:rPr>
          <w:rFonts w:ascii="Arial" w:eastAsia="Calibri" w:hAnsi="Arial" w:cs="Arial"/>
          <w:b/>
          <w:color w:val="000000" w:themeColor="text1"/>
          <w:sz w:val="22"/>
          <w:szCs w:val="22"/>
          <w:u w:val="single"/>
        </w:rPr>
        <w:lastRenderedPageBreak/>
        <w:t xml:space="preserve">Aktivnost 500006 </w:t>
      </w:r>
      <w:r w:rsidRPr="00E16B60">
        <w:rPr>
          <w:rFonts w:ascii="Arial" w:eastAsia="Calibri" w:hAnsi="Arial" w:cs="Arial"/>
          <w:color w:val="000000" w:themeColor="text1"/>
          <w:sz w:val="22"/>
          <w:szCs w:val="22"/>
          <w:u w:val="single"/>
        </w:rPr>
        <w:t xml:space="preserve">: </w:t>
      </w:r>
      <w:r w:rsidRPr="00E16B60">
        <w:rPr>
          <w:rFonts w:ascii="Arial" w:eastAsia="Calibri" w:hAnsi="Arial" w:cs="Arial"/>
          <w:b/>
          <w:color w:val="000000" w:themeColor="text1"/>
          <w:sz w:val="22"/>
          <w:szCs w:val="22"/>
          <w:u w:val="single"/>
        </w:rPr>
        <w:t>Osiguranje pomoćnika učenicima s teškoćama</w:t>
      </w:r>
    </w:p>
    <w:p w14:paraId="323C3885" w14:textId="58EE3C9A" w:rsidR="00FF767D" w:rsidRPr="00E16B60" w:rsidRDefault="00FF767D" w:rsidP="00E16B60">
      <w:pPr>
        <w:spacing w:line="259" w:lineRule="auto"/>
        <w:jc w:val="both"/>
        <w:rPr>
          <w:rFonts w:ascii="Arial" w:eastAsia="Calibri" w:hAnsi="Arial" w:cs="Arial"/>
          <w:color w:val="000000" w:themeColor="text1"/>
          <w:sz w:val="22"/>
          <w:szCs w:val="22"/>
        </w:rPr>
      </w:pPr>
      <w:r w:rsidRPr="00E16B60">
        <w:rPr>
          <w:rFonts w:ascii="Arial" w:eastAsia="Calibri" w:hAnsi="Arial" w:cs="Arial"/>
          <w:color w:val="000000" w:themeColor="text1"/>
          <w:sz w:val="22"/>
          <w:szCs w:val="22"/>
        </w:rPr>
        <w:t xml:space="preserve">Za navedenu aktivnost planirano je 74.000,00 </w:t>
      </w:r>
      <w:r w:rsidR="00BE5AFD" w:rsidRPr="00E16B60">
        <w:rPr>
          <w:rFonts w:ascii="Arial" w:eastAsia="Calibri" w:hAnsi="Arial" w:cs="Arial"/>
          <w:color w:val="000000" w:themeColor="text1"/>
          <w:sz w:val="22"/>
          <w:szCs w:val="22"/>
        </w:rPr>
        <w:t>EUR</w:t>
      </w:r>
      <w:r w:rsidRPr="00E16B60">
        <w:rPr>
          <w:rFonts w:ascii="Arial" w:eastAsia="Calibri" w:hAnsi="Arial" w:cs="Arial"/>
          <w:color w:val="000000" w:themeColor="text1"/>
          <w:sz w:val="22"/>
          <w:szCs w:val="22"/>
        </w:rPr>
        <w:t>, a odnose se na plaće i ostala materijalna prava pomoćnika u nastavi. Prvim izmjenama i dopunama financijskog plana 2025.godine ostali su nepromijenjeni. Sredstva za tu aktivnost osigurana su iz općih prihoda i primitaka i</w:t>
      </w:r>
    </w:p>
    <w:p w14:paraId="4B5126C0" w14:textId="77777777" w:rsidR="00FF767D" w:rsidRPr="00E16B60" w:rsidRDefault="00FF767D" w:rsidP="00E16B60">
      <w:pPr>
        <w:spacing w:line="259" w:lineRule="auto"/>
        <w:jc w:val="both"/>
        <w:rPr>
          <w:rFonts w:ascii="Arial" w:eastAsia="Calibri" w:hAnsi="Arial" w:cs="Arial"/>
          <w:color w:val="000000" w:themeColor="text1"/>
          <w:sz w:val="22"/>
          <w:szCs w:val="22"/>
        </w:rPr>
      </w:pPr>
      <w:r w:rsidRPr="00E16B60">
        <w:rPr>
          <w:rFonts w:ascii="Arial" w:eastAsia="Calibri" w:hAnsi="Arial" w:cs="Arial"/>
          <w:color w:val="000000" w:themeColor="text1"/>
          <w:sz w:val="22"/>
          <w:szCs w:val="22"/>
        </w:rPr>
        <w:t>tekućih pomoći  proračuna fondova EU odnosno iz projekta  Ravnomjerna socijalna i obrazovna inkluzija učenika s teškoćama u razvoju (RAST).</w:t>
      </w:r>
    </w:p>
    <w:p w14:paraId="034864D4" w14:textId="77777777" w:rsidR="00FF767D" w:rsidRPr="00E16B60" w:rsidRDefault="00FF767D" w:rsidP="00E16B60">
      <w:pPr>
        <w:spacing w:line="259" w:lineRule="auto"/>
        <w:jc w:val="both"/>
        <w:rPr>
          <w:rFonts w:ascii="Arial" w:eastAsia="Calibri" w:hAnsi="Arial" w:cs="Arial"/>
          <w:color w:val="FF0000"/>
          <w:sz w:val="22"/>
          <w:szCs w:val="22"/>
        </w:rPr>
      </w:pPr>
      <w:r w:rsidRPr="00E16B60">
        <w:rPr>
          <w:rFonts w:ascii="Arial" w:eastAsia="Calibri" w:hAnsi="Arial" w:cs="Arial"/>
          <w:color w:val="000000" w:themeColor="text1"/>
          <w:sz w:val="22"/>
          <w:szCs w:val="22"/>
        </w:rPr>
        <w:t>U Centru je zaposleno 5 pomoćnika u nastavi</w:t>
      </w:r>
    </w:p>
    <w:p w14:paraId="0B50BAA9" w14:textId="77777777" w:rsidR="00FF767D" w:rsidRPr="00E16B60" w:rsidRDefault="00FF767D" w:rsidP="00E16B60">
      <w:pPr>
        <w:spacing w:line="259" w:lineRule="auto"/>
        <w:jc w:val="both"/>
        <w:rPr>
          <w:rFonts w:ascii="Arial" w:eastAsia="Calibri" w:hAnsi="Arial" w:cs="Arial"/>
          <w:b/>
          <w:bCs/>
          <w:sz w:val="22"/>
          <w:szCs w:val="22"/>
          <w:u w:val="single"/>
        </w:rPr>
      </w:pPr>
    </w:p>
    <w:p w14:paraId="14DD3621" w14:textId="77777777" w:rsidR="00FF767D" w:rsidRPr="00E16B60" w:rsidRDefault="00FF767D" w:rsidP="00E16B60">
      <w:pPr>
        <w:spacing w:line="259" w:lineRule="auto"/>
        <w:jc w:val="both"/>
        <w:rPr>
          <w:rFonts w:ascii="Arial" w:eastAsia="Calibri" w:hAnsi="Arial" w:cs="Arial"/>
          <w:sz w:val="22"/>
          <w:szCs w:val="22"/>
        </w:rPr>
      </w:pPr>
      <w:r w:rsidRPr="00E16B60">
        <w:rPr>
          <w:rFonts w:ascii="Arial" w:eastAsia="Calibri" w:hAnsi="Arial" w:cs="Arial"/>
          <w:b/>
          <w:bCs/>
          <w:sz w:val="22"/>
          <w:szCs w:val="22"/>
          <w:u w:val="single"/>
        </w:rPr>
        <w:t>Aktivnost 500007:  Financiranje izvannastavnih projekata i drugo</w:t>
      </w:r>
      <w:r w:rsidRPr="00E16B60">
        <w:rPr>
          <w:rFonts w:ascii="Arial" w:eastAsia="Calibri" w:hAnsi="Arial" w:cs="Arial"/>
          <w:sz w:val="22"/>
          <w:szCs w:val="22"/>
        </w:rPr>
        <w:t xml:space="preserve">- </w:t>
      </w:r>
    </w:p>
    <w:p w14:paraId="057244E4" w14:textId="77777777" w:rsidR="00FF767D" w:rsidRPr="00E16B60" w:rsidRDefault="00FF767D" w:rsidP="00E16B60">
      <w:pPr>
        <w:spacing w:line="259" w:lineRule="auto"/>
        <w:jc w:val="both"/>
        <w:rPr>
          <w:rFonts w:ascii="Arial" w:eastAsia="Calibri" w:hAnsi="Arial" w:cs="Arial"/>
          <w:sz w:val="22"/>
          <w:szCs w:val="22"/>
        </w:rPr>
      </w:pPr>
      <w:r w:rsidRPr="00E16B60">
        <w:rPr>
          <w:rFonts w:ascii="Arial" w:eastAsia="Calibri" w:hAnsi="Arial" w:cs="Arial"/>
          <w:sz w:val="22"/>
          <w:szCs w:val="22"/>
        </w:rPr>
        <w:t>Sredstva po ovoj aktivnosti planirana su za provođenje školskih projekata kojima se potiče i poboljšava obrazovanje naših učenika, ove godine Centar se prvi put uključio u projekt Zavičajne nastave te se kroz brojne nastavne i izvannastavne aktivnosti učenicima pokušava približiti njihov zavičaj i običaji.</w:t>
      </w:r>
    </w:p>
    <w:p w14:paraId="0BC99B73" w14:textId="77777777" w:rsidR="00FF767D" w:rsidRPr="00E16B60" w:rsidRDefault="00FF767D" w:rsidP="00E16B60">
      <w:pPr>
        <w:spacing w:line="259" w:lineRule="auto"/>
        <w:jc w:val="both"/>
        <w:rPr>
          <w:rFonts w:ascii="Arial" w:eastAsia="Calibri" w:hAnsi="Arial" w:cs="Arial"/>
          <w:sz w:val="22"/>
          <w:szCs w:val="22"/>
        </w:rPr>
      </w:pPr>
      <w:r w:rsidRPr="00E16B60">
        <w:rPr>
          <w:rFonts w:ascii="Arial" w:eastAsia="Calibri" w:hAnsi="Arial" w:cs="Arial"/>
          <w:sz w:val="22"/>
          <w:szCs w:val="22"/>
        </w:rPr>
        <w:t>Za zavičajnu nastavu planirana su sredstva u iznosu od 1.300,00 eura, financirana od Istarske županije-  sva sredstva su utrošena.</w:t>
      </w:r>
    </w:p>
    <w:p w14:paraId="505D3C3B" w14:textId="77777777" w:rsidR="00FF767D" w:rsidRPr="00E16B60" w:rsidRDefault="00FF767D" w:rsidP="00E16B60">
      <w:pPr>
        <w:spacing w:line="259" w:lineRule="auto"/>
        <w:jc w:val="both"/>
        <w:rPr>
          <w:rFonts w:ascii="Arial" w:eastAsiaTheme="minorHAnsi" w:hAnsi="Arial" w:cs="Arial"/>
          <w:b/>
          <w:color w:val="FF0000"/>
          <w:sz w:val="22"/>
          <w:szCs w:val="22"/>
        </w:rPr>
      </w:pPr>
    </w:p>
    <w:p w14:paraId="4328C565" w14:textId="77777777" w:rsidR="00FF767D" w:rsidRPr="00E16B60" w:rsidRDefault="00FF767D" w:rsidP="00E16B60">
      <w:pPr>
        <w:spacing w:line="259" w:lineRule="auto"/>
        <w:jc w:val="both"/>
        <w:rPr>
          <w:rFonts w:ascii="Arial" w:eastAsia="Calibri" w:hAnsi="Arial" w:cs="Arial"/>
          <w:color w:val="000000" w:themeColor="text1"/>
          <w:sz w:val="22"/>
          <w:szCs w:val="22"/>
          <w:u w:val="single"/>
        </w:rPr>
      </w:pPr>
      <w:r w:rsidRPr="00E16B60">
        <w:rPr>
          <w:rFonts w:ascii="Arial" w:eastAsia="Calibri" w:hAnsi="Arial" w:cs="Arial"/>
          <w:b/>
          <w:color w:val="000000" w:themeColor="text1"/>
          <w:sz w:val="22"/>
          <w:szCs w:val="22"/>
          <w:u w:val="single"/>
        </w:rPr>
        <w:t>Aktivnost:500008</w:t>
      </w:r>
      <w:r w:rsidRPr="00E16B60">
        <w:rPr>
          <w:rFonts w:ascii="Arial" w:eastAsia="Calibri" w:hAnsi="Arial" w:cs="Arial"/>
          <w:color w:val="000000" w:themeColor="text1"/>
          <w:sz w:val="22"/>
          <w:szCs w:val="22"/>
          <w:u w:val="single"/>
        </w:rPr>
        <w:t>-</w:t>
      </w:r>
      <w:r w:rsidRPr="00E16B60">
        <w:rPr>
          <w:rFonts w:ascii="Arial" w:eastAsia="Calibri" w:hAnsi="Arial" w:cs="Arial"/>
          <w:b/>
          <w:color w:val="000000" w:themeColor="text1"/>
          <w:sz w:val="22"/>
          <w:szCs w:val="22"/>
          <w:u w:val="single"/>
        </w:rPr>
        <w:t>Sufinanciranje boravka djece</w:t>
      </w:r>
    </w:p>
    <w:p w14:paraId="0E2991CE" w14:textId="49627BCA" w:rsidR="00FF767D" w:rsidRPr="00E16B60" w:rsidRDefault="00FF767D" w:rsidP="00E16B60">
      <w:pPr>
        <w:spacing w:line="259" w:lineRule="auto"/>
        <w:jc w:val="both"/>
        <w:rPr>
          <w:rFonts w:ascii="Arial" w:eastAsia="Calibri" w:hAnsi="Arial" w:cs="Arial"/>
          <w:sz w:val="22"/>
          <w:szCs w:val="22"/>
        </w:rPr>
      </w:pPr>
      <w:r w:rsidRPr="00E16B60">
        <w:rPr>
          <w:rFonts w:ascii="Arial" w:eastAsia="Calibri" w:hAnsi="Arial" w:cs="Arial"/>
          <w:sz w:val="22"/>
          <w:szCs w:val="22"/>
        </w:rPr>
        <w:t xml:space="preserve">Sredstva su planirana u iznosu od 12.500,00 </w:t>
      </w:r>
      <w:r w:rsidR="00BE5AFD" w:rsidRPr="00E16B60">
        <w:rPr>
          <w:rFonts w:ascii="Arial" w:eastAsia="Calibri" w:hAnsi="Arial" w:cs="Arial"/>
          <w:sz w:val="22"/>
          <w:szCs w:val="22"/>
        </w:rPr>
        <w:t>EUR</w:t>
      </w:r>
      <w:r w:rsidRPr="00E16B60">
        <w:rPr>
          <w:rFonts w:ascii="Arial" w:eastAsia="Calibri" w:hAnsi="Arial" w:cs="Arial"/>
          <w:sz w:val="22"/>
          <w:szCs w:val="22"/>
        </w:rPr>
        <w:t>. Navedena aktivnost odnosi se na troškove učenika korisnika domskog smještaja financirana iz tekućih pomoći Državnog proračuna (prehrana učenika, didaktički materijal, prijevoz i ostali troškovi vezani uz stacionar i smještaj za 2 korisnika).</w:t>
      </w:r>
    </w:p>
    <w:p w14:paraId="7017A86C" w14:textId="154D3DDA" w:rsidR="00FF767D" w:rsidRPr="00E16B60" w:rsidRDefault="00FF767D" w:rsidP="00E16B60">
      <w:pPr>
        <w:spacing w:line="259" w:lineRule="auto"/>
        <w:jc w:val="both"/>
        <w:rPr>
          <w:rFonts w:ascii="Arial" w:eastAsia="Calibri" w:hAnsi="Arial" w:cs="Arial"/>
          <w:color w:val="000000" w:themeColor="text1"/>
          <w:sz w:val="22"/>
          <w:szCs w:val="22"/>
        </w:rPr>
      </w:pPr>
      <w:r w:rsidRPr="00E16B60">
        <w:rPr>
          <w:rFonts w:ascii="Arial" w:eastAsia="Calibri" w:hAnsi="Arial" w:cs="Arial"/>
          <w:color w:val="000000" w:themeColor="text1"/>
          <w:sz w:val="22"/>
          <w:szCs w:val="22"/>
        </w:rPr>
        <w:t xml:space="preserve">U navedenoj aktivnosti ostvaren je višak prihoda poslovanja u iznosu 5.070,00 </w:t>
      </w:r>
      <w:r w:rsidR="00BE5AFD" w:rsidRPr="00E16B60">
        <w:rPr>
          <w:rFonts w:ascii="Arial" w:eastAsia="Calibri" w:hAnsi="Arial" w:cs="Arial"/>
          <w:color w:val="000000" w:themeColor="text1"/>
          <w:sz w:val="22"/>
          <w:szCs w:val="22"/>
        </w:rPr>
        <w:t>EUR</w:t>
      </w:r>
      <w:r w:rsidRPr="00E16B60">
        <w:rPr>
          <w:rFonts w:ascii="Arial" w:eastAsia="Calibri" w:hAnsi="Arial" w:cs="Arial"/>
          <w:color w:val="000000" w:themeColor="text1"/>
          <w:sz w:val="22"/>
          <w:szCs w:val="22"/>
        </w:rPr>
        <w:t xml:space="preserve">  te će isti biti usmjeren Odlukom o raspodjeli rezultata na materijal, sirovine i prijevoz učenika, te sad iznose 17.570,00 </w:t>
      </w:r>
      <w:r w:rsidR="00BE5AFD" w:rsidRPr="00E16B60">
        <w:rPr>
          <w:rFonts w:ascii="Arial" w:eastAsia="Calibri" w:hAnsi="Arial" w:cs="Arial"/>
          <w:color w:val="000000" w:themeColor="text1"/>
          <w:sz w:val="22"/>
          <w:szCs w:val="22"/>
        </w:rPr>
        <w:t>EUR</w:t>
      </w:r>
      <w:r w:rsidRPr="00E16B60">
        <w:rPr>
          <w:rFonts w:ascii="Arial" w:eastAsia="Calibri" w:hAnsi="Arial" w:cs="Arial"/>
          <w:color w:val="000000" w:themeColor="text1"/>
          <w:sz w:val="22"/>
          <w:szCs w:val="22"/>
        </w:rPr>
        <w:t xml:space="preserve">. </w:t>
      </w:r>
    </w:p>
    <w:p w14:paraId="3388753B" w14:textId="77777777" w:rsidR="00FF767D" w:rsidRPr="00E16B60" w:rsidRDefault="00FF767D" w:rsidP="00E16B60">
      <w:pPr>
        <w:spacing w:line="259" w:lineRule="auto"/>
        <w:jc w:val="both"/>
        <w:rPr>
          <w:rFonts w:ascii="Arial" w:eastAsia="Calibri" w:hAnsi="Arial" w:cs="Arial"/>
          <w:b/>
          <w:bCs/>
          <w:sz w:val="22"/>
          <w:szCs w:val="22"/>
          <w:u w:val="single"/>
        </w:rPr>
      </w:pPr>
    </w:p>
    <w:p w14:paraId="15062DA1" w14:textId="77777777" w:rsidR="00FF767D" w:rsidRPr="00E16B60" w:rsidRDefault="00FF767D" w:rsidP="00E16B60">
      <w:pPr>
        <w:spacing w:line="259" w:lineRule="auto"/>
        <w:jc w:val="both"/>
        <w:rPr>
          <w:rFonts w:ascii="Arial" w:eastAsia="Calibri" w:hAnsi="Arial" w:cs="Arial"/>
          <w:b/>
          <w:bCs/>
          <w:sz w:val="22"/>
          <w:szCs w:val="22"/>
          <w:u w:val="single"/>
        </w:rPr>
      </w:pPr>
      <w:r w:rsidRPr="00E16B60">
        <w:rPr>
          <w:rFonts w:ascii="Arial" w:eastAsia="Calibri" w:hAnsi="Arial" w:cs="Arial"/>
          <w:b/>
          <w:bCs/>
          <w:sz w:val="22"/>
          <w:szCs w:val="22"/>
          <w:u w:val="single"/>
        </w:rPr>
        <w:t>Aktivnost A500013 Financiranje aktivnosti predškolske djece</w:t>
      </w:r>
    </w:p>
    <w:p w14:paraId="2911411F" w14:textId="7A54B6DE" w:rsidR="00FF767D" w:rsidRPr="00E16B60" w:rsidRDefault="00FF767D" w:rsidP="00E16B60">
      <w:pPr>
        <w:spacing w:line="259" w:lineRule="auto"/>
        <w:jc w:val="both"/>
        <w:rPr>
          <w:rFonts w:ascii="Arial" w:eastAsia="Calibri" w:hAnsi="Arial" w:cs="Arial"/>
          <w:sz w:val="22"/>
          <w:szCs w:val="22"/>
        </w:rPr>
      </w:pPr>
      <w:r w:rsidRPr="00E16B60">
        <w:rPr>
          <w:rFonts w:ascii="Arial" w:eastAsia="Calibri" w:hAnsi="Arial" w:cs="Arial"/>
          <w:sz w:val="22"/>
          <w:szCs w:val="22"/>
        </w:rPr>
        <w:t xml:space="preserve">Ove godine Centar prvi put organizira boravak za 2 ili 3 korisnika predškolskog odgoja, od rujna 2025. godine  te je za tu aktivnost planirano 17.880,00 </w:t>
      </w:r>
      <w:r w:rsidR="00BE5AFD" w:rsidRPr="00E16B60">
        <w:rPr>
          <w:rFonts w:ascii="Arial" w:eastAsia="Calibri" w:hAnsi="Arial" w:cs="Arial"/>
          <w:sz w:val="22"/>
          <w:szCs w:val="22"/>
        </w:rPr>
        <w:t>EUR</w:t>
      </w:r>
      <w:r w:rsidRPr="00E16B60">
        <w:rPr>
          <w:rFonts w:ascii="Arial" w:eastAsia="Calibri" w:hAnsi="Arial" w:cs="Arial"/>
          <w:sz w:val="22"/>
          <w:szCs w:val="22"/>
        </w:rPr>
        <w:t xml:space="preserve"> koji će se financirati iz općih prihoda Grada Labina za izdatke 3 djelatnika i prehrana korisnika financirana od strane roditelja.</w:t>
      </w:r>
    </w:p>
    <w:p w14:paraId="15FC0E9E" w14:textId="77777777" w:rsidR="00FF767D" w:rsidRPr="00E16B60" w:rsidRDefault="00FF767D" w:rsidP="00E16B60">
      <w:pPr>
        <w:spacing w:line="259" w:lineRule="auto"/>
        <w:jc w:val="both"/>
        <w:rPr>
          <w:rFonts w:ascii="Arial" w:eastAsiaTheme="minorHAnsi" w:hAnsi="Arial" w:cs="Arial"/>
          <w:color w:val="FF0000"/>
          <w:sz w:val="22"/>
          <w:szCs w:val="22"/>
        </w:rPr>
      </w:pPr>
      <w:r w:rsidRPr="00E16B60">
        <w:rPr>
          <w:rFonts w:ascii="Arial" w:hAnsi="Arial" w:cs="Arial"/>
          <w:color w:val="FF0000"/>
          <w:sz w:val="22"/>
          <w:szCs w:val="22"/>
        </w:rPr>
        <w:t xml:space="preserve">                                                                                         </w:t>
      </w:r>
    </w:p>
    <w:p w14:paraId="01C97A66" w14:textId="77777777" w:rsidR="00FF767D" w:rsidRPr="00E16B60" w:rsidRDefault="00FF767D" w:rsidP="00E16B60">
      <w:pPr>
        <w:spacing w:line="259" w:lineRule="auto"/>
        <w:jc w:val="both"/>
        <w:rPr>
          <w:rFonts w:ascii="Arial" w:hAnsi="Arial" w:cs="Arial"/>
          <w:color w:val="FF0000"/>
          <w:sz w:val="22"/>
          <w:szCs w:val="22"/>
        </w:rPr>
      </w:pPr>
      <w:r w:rsidRPr="00E16B60">
        <w:rPr>
          <w:rFonts w:ascii="Arial" w:hAnsi="Arial" w:cs="Arial"/>
          <w:color w:val="FF0000"/>
          <w:sz w:val="22"/>
          <w:szCs w:val="22"/>
        </w:rPr>
        <w:t xml:space="preserve">         </w:t>
      </w:r>
    </w:p>
    <w:p w14:paraId="35E91373" w14:textId="77777777" w:rsidR="00FF767D" w:rsidRPr="00E16B60" w:rsidRDefault="00FF767D" w:rsidP="00E16B60">
      <w:pPr>
        <w:spacing w:line="259" w:lineRule="auto"/>
        <w:jc w:val="both"/>
        <w:rPr>
          <w:rFonts w:ascii="Arial" w:hAnsi="Arial" w:cs="Arial"/>
          <w:b/>
          <w:color w:val="FF0000"/>
          <w:sz w:val="22"/>
          <w:szCs w:val="22"/>
        </w:rPr>
      </w:pPr>
    </w:p>
    <w:p w14:paraId="499BF413" w14:textId="77777777" w:rsidR="00FF767D" w:rsidRPr="00E16B60" w:rsidRDefault="00FF767D" w:rsidP="00E16B60">
      <w:pPr>
        <w:spacing w:line="259" w:lineRule="auto"/>
        <w:jc w:val="both"/>
        <w:rPr>
          <w:rFonts w:ascii="Arial" w:hAnsi="Arial" w:cs="Arial"/>
          <w:b/>
          <w:color w:val="FF0000"/>
          <w:sz w:val="22"/>
          <w:szCs w:val="22"/>
        </w:rPr>
      </w:pPr>
    </w:p>
    <w:p w14:paraId="7EEF59CF" w14:textId="77777777" w:rsidR="00FF767D" w:rsidRPr="00E16B60" w:rsidRDefault="00FF767D" w:rsidP="00E16B60">
      <w:pPr>
        <w:spacing w:line="259" w:lineRule="auto"/>
        <w:jc w:val="both"/>
        <w:rPr>
          <w:rFonts w:ascii="Arial" w:hAnsi="Arial" w:cs="Arial"/>
          <w:b/>
          <w:color w:val="FF0000"/>
          <w:sz w:val="22"/>
          <w:szCs w:val="22"/>
        </w:rPr>
      </w:pPr>
    </w:p>
    <w:p w14:paraId="3F556365" w14:textId="77777777" w:rsidR="00FF767D" w:rsidRPr="00E16B60" w:rsidRDefault="00FF767D" w:rsidP="00E16B60">
      <w:pPr>
        <w:spacing w:line="259" w:lineRule="auto"/>
        <w:jc w:val="both"/>
        <w:rPr>
          <w:rFonts w:ascii="Arial" w:hAnsi="Arial" w:cs="Arial"/>
          <w:b/>
          <w:color w:val="FF0000"/>
          <w:sz w:val="22"/>
          <w:szCs w:val="22"/>
        </w:rPr>
      </w:pPr>
    </w:p>
    <w:p w14:paraId="49D2E3A5" w14:textId="77777777" w:rsidR="00FF767D" w:rsidRPr="00E16B60" w:rsidRDefault="00FF767D" w:rsidP="00E16B60">
      <w:pPr>
        <w:spacing w:line="259" w:lineRule="auto"/>
        <w:jc w:val="both"/>
        <w:rPr>
          <w:rFonts w:ascii="Arial" w:hAnsi="Arial" w:cs="Arial"/>
          <w:b/>
          <w:color w:val="FF0000"/>
          <w:sz w:val="22"/>
          <w:szCs w:val="22"/>
        </w:rPr>
      </w:pPr>
    </w:p>
    <w:p w14:paraId="3A74157F" w14:textId="77777777" w:rsidR="00FF767D" w:rsidRDefault="00FF767D" w:rsidP="00FF767D">
      <w:pPr>
        <w:rPr>
          <w:rFonts w:ascii="Arial" w:hAnsi="Arial" w:cs="Arial"/>
          <w:b/>
          <w:color w:val="FF0000"/>
        </w:rPr>
      </w:pPr>
    </w:p>
    <w:p w14:paraId="126979D6" w14:textId="77777777" w:rsidR="00FF767D" w:rsidRDefault="00FF767D" w:rsidP="00FF767D">
      <w:pPr>
        <w:rPr>
          <w:rFonts w:ascii="Arial" w:hAnsi="Arial" w:cs="Arial"/>
          <w:b/>
          <w:color w:val="FF0000"/>
        </w:rPr>
      </w:pPr>
    </w:p>
    <w:p w14:paraId="7373D244" w14:textId="77777777" w:rsidR="00FF767D" w:rsidRDefault="00FF767D" w:rsidP="00FF767D">
      <w:pPr>
        <w:rPr>
          <w:rFonts w:ascii="Arial" w:hAnsi="Arial" w:cs="Arial"/>
          <w:b/>
          <w:color w:val="FF0000"/>
        </w:rPr>
      </w:pPr>
    </w:p>
    <w:p w14:paraId="3D567E81" w14:textId="77777777" w:rsidR="00FF767D" w:rsidRDefault="00FF767D" w:rsidP="00FF767D">
      <w:pPr>
        <w:rPr>
          <w:rFonts w:ascii="Arial" w:hAnsi="Arial" w:cs="Arial"/>
          <w:b/>
          <w:color w:val="FF0000"/>
        </w:rPr>
      </w:pPr>
    </w:p>
    <w:p w14:paraId="3A3FE1D2" w14:textId="77777777" w:rsidR="00FF767D" w:rsidRDefault="00FF767D" w:rsidP="00FF767D">
      <w:pPr>
        <w:rPr>
          <w:rFonts w:ascii="Arial" w:hAnsi="Arial" w:cs="Arial"/>
          <w:b/>
          <w:color w:val="FF0000"/>
        </w:rPr>
      </w:pPr>
    </w:p>
    <w:p w14:paraId="3FC70FA7" w14:textId="77777777" w:rsidR="00FF767D" w:rsidRDefault="00FF767D" w:rsidP="00FF767D">
      <w:pPr>
        <w:rPr>
          <w:rFonts w:ascii="Arial" w:hAnsi="Arial" w:cs="Arial"/>
          <w:b/>
          <w:color w:val="FF0000"/>
        </w:rPr>
      </w:pPr>
    </w:p>
    <w:p w14:paraId="52B055C1" w14:textId="77777777" w:rsidR="00FF767D" w:rsidRDefault="00FF767D" w:rsidP="00FF767D">
      <w:pPr>
        <w:rPr>
          <w:rFonts w:ascii="Arial" w:hAnsi="Arial" w:cs="Arial"/>
          <w:b/>
          <w:color w:val="FF0000"/>
        </w:rPr>
      </w:pPr>
    </w:p>
    <w:p w14:paraId="51D6B005" w14:textId="77777777" w:rsidR="00FF767D" w:rsidRDefault="00FF767D" w:rsidP="00FF767D">
      <w:pPr>
        <w:rPr>
          <w:rFonts w:ascii="Arial" w:hAnsi="Arial" w:cs="Arial"/>
          <w:b/>
          <w:color w:val="FF0000"/>
        </w:rPr>
      </w:pPr>
    </w:p>
    <w:p w14:paraId="342B80AA" w14:textId="77777777" w:rsidR="00FF767D" w:rsidRDefault="00FF767D" w:rsidP="00FF767D">
      <w:pPr>
        <w:rPr>
          <w:rFonts w:ascii="Arial" w:hAnsi="Arial" w:cs="Arial"/>
          <w:b/>
          <w:color w:val="FF0000"/>
        </w:rPr>
      </w:pPr>
    </w:p>
    <w:p w14:paraId="03F3D33A" w14:textId="77777777" w:rsidR="00FF767D" w:rsidRDefault="00FF767D" w:rsidP="00FF767D">
      <w:pPr>
        <w:rPr>
          <w:rFonts w:ascii="Arial" w:hAnsi="Arial" w:cs="Arial"/>
          <w:b/>
          <w:color w:val="FF0000"/>
        </w:rPr>
      </w:pPr>
    </w:p>
    <w:p w14:paraId="3BFB06E7" w14:textId="77777777" w:rsidR="00FF767D" w:rsidRDefault="00FF767D" w:rsidP="00FF767D">
      <w:pPr>
        <w:rPr>
          <w:rFonts w:ascii="Arial" w:hAnsi="Arial" w:cs="Arial"/>
          <w:b/>
          <w:color w:val="FF0000"/>
        </w:rPr>
      </w:pPr>
    </w:p>
    <w:p w14:paraId="2844938D" w14:textId="77777777" w:rsidR="00FF767D" w:rsidRDefault="00FF767D" w:rsidP="00FF767D">
      <w:pPr>
        <w:rPr>
          <w:rFonts w:ascii="Arial" w:hAnsi="Arial" w:cs="Arial"/>
          <w:b/>
          <w:color w:val="FF0000"/>
        </w:rPr>
      </w:pPr>
    </w:p>
    <w:p w14:paraId="69DD5493" w14:textId="77777777" w:rsidR="00FF767D" w:rsidRDefault="00FF767D" w:rsidP="00FF767D">
      <w:pPr>
        <w:rPr>
          <w:rFonts w:ascii="Arial" w:hAnsi="Arial" w:cs="Arial"/>
          <w:b/>
          <w:color w:val="FF0000"/>
        </w:rPr>
      </w:pPr>
    </w:p>
    <w:p w14:paraId="380BA941" w14:textId="77777777" w:rsidR="004E07DB" w:rsidRDefault="004E07DB" w:rsidP="006132A6">
      <w:pPr>
        <w:rPr>
          <w:color w:val="000000" w:themeColor="text1"/>
        </w:rPr>
      </w:pPr>
    </w:p>
    <w:p w14:paraId="46DFB057" w14:textId="77777777" w:rsidR="00CC0725" w:rsidRPr="0009650F" w:rsidRDefault="00CC0725" w:rsidP="00411CBA">
      <w:pPr>
        <w:spacing w:line="276" w:lineRule="auto"/>
        <w:jc w:val="center"/>
        <w:rPr>
          <w:rFonts w:ascii="Arial" w:hAnsi="Arial" w:cs="Arial"/>
          <w:b/>
          <w:bCs/>
          <w:color w:val="000000"/>
        </w:rPr>
      </w:pPr>
      <w:r w:rsidRPr="0009650F">
        <w:rPr>
          <w:rFonts w:ascii="Arial" w:hAnsi="Arial" w:cs="Arial"/>
          <w:b/>
          <w:bCs/>
          <w:color w:val="000000"/>
        </w:rPr>
        <w:lastRenderedPageBreak/>
        <w:t>PRORAČUNSKI KORISNIK 48478: UMJETNIČKA ŠKOLA MATKA BRAJŠE RAŠANA, LABIN</w:t>
      </w:r>
    </w:p>
    <w:p w14:paraId="28D8BB25" w14:textId="77777777" w:rsidR="00CC0725" w:rsidRPr="00C526AC" w:rsidRDefault="00CC0725" w:rsidP="006132A6">
      <w:pPr>
        <w:rPr>
          <w:rFonts w:ascii="Arial" w:hAnsi="Arial" w:cs="Arial"/>
          <w:color w:val="000000" w:themeColor="text1"/>
          <w:sz w:val="22"/>
          <w:szCs w:val="22"/>
        </w:rPr>
      </w:pPr>
    </w:p>
    <w:p w14:paraId="6CB527BE" w14:textId="42D4171B" w:rsidR="00441994" w:rsidRPr="00C526AC" w:rsidRDefault="00441994" w:rsidP="00C526AC">
      <w:pPr>
        <w:jc w:val="both"/>
        <w:rPr>
          <w:rFonts w:ascii="Arial" w:hAnsi="Arial" w:cs="Arial"/>
          <w:b/>
          <w:bCs/>
          <w:color w:val="000000"/>
          <w:sz w:val="22"/>
          <w:szCs w:val="22"/>
        </w:rPr>
      </w:pPr>
      <w:bookmarkStart w:id="47" w:name="_Hlk166833345"/>
      <w:r w:rsidRPr="00C526AC">
        <w:rPr>
          <w:rFonts w:ascii="Arial" w:hAnsi="Arial" w:cs="Arial"/>
          <w:b/>
          <w:bCs/>
          <w:color w:val="000000"/>
          <w:sz w:val="22"/>
          <w:szCs w:val="22"/>
        </w:rPr>
        <w:t xml:space="preserve">OBRAZLOŽENJE PRIJEDLOGA PRVIH IZMJENA I DOPUNA FINANCIJSKOG PLANA PRIHODA I PRIMITAKA, RASHODA I IZDATAKA </w:t>
      </w:r>
      <w:bookmarkEnd w:id="47"/>
      <w:r w:rsidRPr="00C526AC">
        <w:rPr>
          <w:rFonts w:ascii="Arial" w:hAnsi="Arial" w:cs="Arial"/>
          <w:b/>
          <w:bCs/>
          <w:color w:val="000000"/>
          <w:sz w:val="22"/>
          <w:szCs w:val="22"/>
        </w:rPr>
        <w:t>PREMA EKONOMSKOJ KLASIFIKACIJI</w:t>
      </w:r>
    </w:p>
    <w:p w14:paraId="1DB84C96" w14:textId="77777777" w:rsidR="00441994" w:rsidRDefault="00441994" w:rsidP="00C526AC">
      <w:pPr>
        <w:spacing w:line="259" w:lineRule="auto"/>
        <w:jc w:val="both"/>
        <w:rPr>
          <w:rFonts w:ascii="Arial" w:hAnsi="Arial" w:cs="Arial"/>
          <w:sz w:val="22"/>
          <w:szCs w:val="22"/>
        </w:rPr>
      </w:pPr>
      <w:r w:rsidRPr="00441994">
        <w:rPr>
          <w:rFonts w:ascii="Arial" w:hAnsi="Arial" w:cs="Arial"/>
        </w:rPr>
        <w:tab/>
      </w:r>
      <w:r w:rsidRPr="00441994">
        <w:rPr>
          <w:rFonts w:ascii="Arial" w:hAnsi="Arial" w:cs="Arial"/>
          <w:sz w:val="22"/>
          <w:szCs w:val="22"/>
        </w:rPr>
        <w:tab/>
      </w:r>
      <w:r w:rsidRPr="00441994">
        <w:rPr>
          <w:rFonts w:ascii="Arial" w:hAnsi="Arial" w:cs="Arial"/>
          <w:sz w:val="22"/>
          <w:szCs w:val="22"/>
        </w:rPr>
        <w:tab/>
      </w:r>
      <w:r w:rsidRPr="00441994">
        <w:rPr>
          <w:rFonts w:ascii="Arial" w:hAnsi="Arial" w:cs="Arial"/>
          <w:sz w:val="22"/>
          <w:szCs w:val="22"/>
        </w:rPr>
        <w:tab/>
      </w:r>
      <w:r w:rsidRPr="00441994">
        <w:rPr>
          <w:rFonts w:ascii="Arial" w:hAnsi="Arial" w:cs="Arial"/>
          <w:sz w:val="22"/>
          <w:szCs w:val="22"/>
        </w:rPr>
        <w:tab/>
      </w:r>
      <w:r w:rsidRPr="00441994">
        <w:rPr>
          <w:rFonts w:ascii="Arial" w:hAnsi="Arial" w:cs="Arial"/>
          <w:sz w:val="22"/>
          <w:szCs w:val="22"/>
        </w:rPr>
        <w:tab/>
      </w:r>
      <w:r w:rsidRPr="00441994">
        <w:rPr>
          <w:rFonts w:ascii="Arial" w:hAnsi="Arial" w:cs="Arial"/>
          <w:sz w:val="22"/>
          <w:szCs w:val="22"/>
        </w:rPr>
        <w:tab/>
      </w:r>
      <w:r w:rsidRPr="00441994">
        <w:rPr>
          <w:rFonts w:ascii="Arial" w:hAnsi="Arial" w:cs="Arial"/>
          <w:sz w:val="22"/>
          <w:szCs w:val="22"/>
        </w:rPr>
        <w:tab/>
      </w:r>
      <w:r w:rsidRPr="00441994">
        <w:rPr>
          <w:rFonts w:ascii="Arial" w:hAnsi="Arial" w:cs="Arial"/>
          <w:sz w:val="22"/>
          <w:szCs w:val="22"/>
        </w:rPr>
        <w:tab/>
      </w:r>
      <w:r w:rsidRPr="00441994">
        <w:rPr>
          <w:rFonts w:ascii="Arial" w:hAnsi="Arial" w:cs="Arial"/>
          <w:sz w:val="22"/>
          <w:szCs w:val="22"/>
        </w:rPr>
        <w:tab/>
      </w:r>
      <w:r w:rsidRPr="00441994">
        <w:rPr>
          <w:rFonts w:ascii="Arial" w:hAnsi="Arial" w:cs="Arial"/>
          <w:sz w:val="22"/>
          <w:szCs w:val="22"/>
        </w:rPr>
        <w:tab/>
        <w:t xml:space="preserve">                                                              </w:t>
      </w:r>
    </w:p>
    <w:p w14:paraId="4AE096CA" w14:textId="2A5BC599" w:rsidR="00441994" w:rsidRPr="00441994" w:rsidRDefault="00441994" w:rsidP="00441994">
      <w:pPr>
        <w:spacing w:line="259" w:lineRule="auto"/>
        <w:rPr>
          <w:rFonts w:ascii="Arial" w:hAnsi="Arial" w:cs="Arial"/>
          <w:b/>
          <w:sz w:val="22"/>
          <w:szCs w:val="22"/>
        </w:rPr>
      </w:pPr>
      <w:r w:rsidRPr="00441994">
        <w:rPr>
          <w:rFonts w:ascii="Arial" w:hAnsi="Arial" w:cs="Arial"/>
          <w:bCs/>
          <w:sz w:val="22"/>
          <w:szCs w:val="22"/>
        </w:rPr>
        <w:t>Prihodi i primici poslovanja</w:t>
      </w:r>
      <w:r w:rsidRPr="00441994">
        <w:rPr>
          <w:rFonts w:ascii="Arial" w:hAnsi="Arial" w:cs="Arial"/>
          <w:b/>
          <w:sz w:val="22"/>
          <w:szCs w:val="22"/>
        </w:rPr>
        <w:t xml:space="preserve"> </w:t>
      </w:r>
      <w:r w:rsidRPr="00441994">
        <w:rPr>
          <w:rFonts w:ascii="Arial" w:hAnsi="Arial" w:cs="Arial"/>
          <w:bCs/>
          <w:sz w:val="22"/>
          <w:szCs w:val="22"/>
        </w:rPr>
        <w:t>povećani su Prvim izmjenama i dopunama financijskog plana za 51.638,00 eura i iznose 1.403.708,00 eura,</w:t>
      </w:r>
      <w:r w:rsidRPr="00441994">
        <w:rPr>
          <w:rFonts w:ascii="Arial" w:hAnsi="Arial" w:cs="Arial"/>
          <w:sz w:val="22"/>
          <w:szCs w:val="22"/>
        </w:rPr>
        <w:t xml:space="preserve"> odnosno 3,82% više od Financijskog plana 2025. godine. </w:t>
      </w:r>
    </w:p>
    <w:p w14:paraId="2505AFBB" w14:textId="77777777" w:rsidR="00441994" w:rsidRPr="00441994" w:rsidRDefault="00441994" w:rsidP="00441994">
      <w:pPr>
        <w:spacing w:line="259" w:lineRule="auto"/>
        <w:rPr>
          <w:rFonts w:ascii="Arial" w:hAnsi="Arial" w:cs="Arial"/>
          <w:sz w:val="22"/>
          <w:szCs w:val="22"/>
        </w:rPr>
      </w:pPr>
    </w:p>
    <w:p w14:paraId="6633656F" w14:textId="77777777" w:rsidR="00441994" w:rsidRPr="00441994" w:rsidRDefault="00441994" w:rsidP="00441994">
      <w:pPr>
        <w:spacing w:line="259" w:lineRule="auto"/>
        <w:rPr>
          <w:rFonts w:ascii="Arial" w:hAnsi="Arial" w:cs="Arial"/>
          <w:sz w:val="22"/>
          <w:szCs w:val="22"/>
        </w:rPr>
      </w:pPr>
      <w:r w:rsidRPr="00441994">
        <w:rPr>
          <w:rFonts w:ascii="Arial" w:hAnsi="Arial" w:cs="Arial"/>
          <w:b/>
          <w:sz w:val="22"/>
          <w:szCs w:val="22"/>
        </w:rPr>
        <w:t>63 Pomoći iz inozemstva i od subjekata unutar općeg proračuna iznose 1.249.350,00 eura.</w:t>
      </w:r>
    </w:p>
    <w:p w14:paraId="5CC73E9F" w14:textId="77777777" w:rsidR="00441994" w:rsidRPr="00441994" w:rsidRDefault="00441994" w:rsidP="00441994">
      <w:pPr>
        <w:spacing w:line="259" w:lineRule="auto"/>
        <w:ind w:firstLine="708"/>
        <w:rPr>
          <w:rFonts w:ascii="Arial" w:hAnsi="Arial" w:cs="Arial"/>
          <w:sz w:val="22"/>
          <w:szCs w:val="22"/>
        </w:rPr>
      </w:pPr>
      <w:r w:rsidRPr="00441994">
        <w:rPr>
          <w:rFonts w:ascii="Arial" w:hAnsi="Arial" w:cs="Arial"/>
          <w:sz w:val="22"/>
          <w:szCs w:val="22"/>
        </w:rPr>
        <w:t>Prihodi su planirani u iznosu 1.249.350,00 eura te su 5,01% veći u odnosu na Financijski plan 2025. godine, a odnose se na prihode Ministarstva znanosti, obrazovanja i mladih za financiranje plaće zaposlenih, pomoći državnog proračuna za organizaciju manifestacija, pomoći županije za nabavu higijenskih potrepština, općinsko sufinanciranje najma prostora za rad Umjetničke škole Područnog odjela Lovran i Plesnog odjela Područnog odjela Buzet. Povećanje u iznosu 48.500,00 eura odnosi se na povećanje plaće sukladno Odluci Vlade o visini osnovice za obračun plaće u javnim službama za 2025. godinu (NN 125/2024) te povećanje prihoda za financiranje plaće zaposlenih u iznosu 11.100,00 eura kroz projekt dobiven od Ministarstva demografije i useljeništva za provedbu edukativnih, kulturnih i sportskih aktivnosti djece predškolske dobi i djece od I. do IV. razreda osnovne škole, a čiji je nositelj Grad Labin (račun 6393).</w:t>
      </w:r>
    </w:p>
    <w:p w14:paraId="62BA37CC" w14:textId="77777777" w:rsidR="00441994" w:rsidRPr="00441994" w:rsidRDefault="00441994" w:rsidP="00441994">
      <w:pPr>
        <w:spacing w:line="259" w:lineRule="auto"/>
        <w:rPr>
          <w:rFonts w:ascii="Arial" w:hAnsi="Arial" w:cs="Arial"/>
          <w:sz w:val="22"/>
          <w:szCs w:val="22"/>
        </w:rPr>
      </w:pPr>
    </w:p>
    <w:p w14:paraId="1CFB6561" w14:textId="77777777" w:rsidR="00441994" w:rsidRPr="00441994" w:rsidRDefault="00441994" w:rsidP="00441994">
      <w:pPr>
        <w:spacing w:line="259" w:lineRule="auto"/>
        <w:rPr>
          <w:rFonts w:ascii="Arial" w:hAnsi="Arial" w:cs="Arial"/>
          <w:sz w:val="22"/>
          <w:szCs w:val="22"/>
        </w:rPr>
      </w:pPr>
      <w:r w:rsidRPr="00441994">
        <w:rPr>
          <w:rFonts w:ascii="Arial" w:hAnsi="Arial" w:cs="Arial"/>
          <w:b/>
          <w:sz w:val="22"/>
          <w:szCs w:val="22"/>
        </w:rPr>
        <w:t xml:space="preserve">65 Prihodi od upravnih i administrativnih pristojbi po posebnim propisima i naknadama </w:t>
      </w:r>
    </w:p>
    <w:p w14:paraId="736CECAA" w14:textId="77777777" w:rsidR="00441994" w:rsidRPr="00441994" w:rsidRDefault="00441994" w:rsidP="00441994">
      <w:pPr>
        <w:spacing w:line="259" w:lineRule="auto"/>
        <w:ind w:firstLine="708"/>
        <w:rPr>
          <w:rFonts w:ascii="Arial" w:hAnsi="Arial" w:cs="Arial"/>
          <w:sz w:val="22"/>
          <w:szCs w:val="22"/>
        </w:rPr>
      </w:pPr>
      <w:r w:rsidRPr="00441994">
        <w:rPr>
          <w:rFonts w:ascii="Arial" w:hAnsi="Arial" w:cs="Arial"/>
          <w:sz w:val="22"/>
          <w:szCs w:val="22"/>
        </w:rPr>
        <w:t>Prihodi po posebnim propisima</w:t>
      </w:r>
      <w:r w:rsidRPr="00441994">
        <w:rPr>
          <w:rFonts w:ascii="Arial" w:hAnsi="Arial" w:cs="Arial"/>
          <w:b/>
          <w:bCs/>
          <w:sz w:val="22"/>
          <w:szCs w:val="22"/>
        </w:rPr>
        <w:t xml:space="preserve"> </w:t>
      </w:r>
      <w:r w:rsidRPr="00441994">
        <w:rPr>
          <w:rFonts w:ascii="Arial" w:hAnsi="Arial" w:cs="Arial"/>
          <w:sz w:val="22"/>
          <w:szCs w:val="22"/>
        </w:rPr>
        <w:t>su planirani u iznosu 98.100,00 eura te su ostali nepromijenjeni u odnosu na Financijski plan 2025. godine.</w:t>
      </w:r>
    </w:p>
    <w:p w14:paraId="34C018F7" w14:textId="77777777" w:rsidR="00441994" w:rsidRPr="00441994" w:rsidRDefault="00441994" w:rsidP="00441994">
      <w:pPr>
        <w:spacing w:line="259" w:lineRule="auto"/>
        <w:ind w:firstLine="708"/>
        <w:rPr>
          <w:rFonts w:ascii="Arial" w:hAnsi="Arial" w:cs="Arial"/>
          <w:sz w:val="22"/>
          <w:szCs w:val="22"/>
        </w:rPr>
      </w:pPr>
    </w:p>
    <w:p w14:paraId="488A8217" w14:textId="77777777" w:rsidR="00441994" w:rsidRPr="00441994" w:rsidRDefault="00441994" w:rsidP="00441994">
      <w:pPr>
        <w:spacing w:line="259" w:lineRule="auto"/>
        <w:rPr>
          <w:rFonts w:ascii="Arial" w:hAnsi="Arial" w:cs="Arial"/>
          <w:sz w:val="22"/>
          <w:szCs w:val="22"/>
        </w:rPr>
      </w:pPr>
      <w:r w:rsidRPr="00441994">
        <w:rPr>
          <w:rFonts w:ascii="Arial" w:hAnsi="Arial" w:cs="Arial"/>
          <w:b/>
          <w:sz w:val="22"/>
          <w:szCs w:val="22"/>
        </w:rPr>
        <w:t xml:space="preserve">66 Prihodi od prodaje proizvoda i robe te pruženih usluga i prihodi od donacija </w:t>
      </w:r>
    </w:p>
    <w:p w14:paraId="04AD7557" w14:textId="77777777" w:rsidR="00441994" w:rsidRPr="00441994" w:rsidRDefault="00441994" w:rsidP="00441994">
      <w:pPr>
        <w:spacing w:line="259" w:lineRule="auto"/>
        <w:ind w:firstLine="708"/>
        <w:rPr>
          <w:rFonts w:ascii="Arial" w:hAnsi="Arial" w:cs="Arial"/>
          <w:b/>
          <w:bCs/>
          <w:sz w:val="22"/>
          <w:szCs w:val="22"/>
        </w:rPr>
      </w:pPr>
      <w:r w:rsidRPr="00441994">
        <w:rPr>
          <w:rFonts w:ascii="Arial" w:hAnsi="Arial" w:cs="Arial"/>
          <w:sz w:val="22"/>
          <w:szCs w:val="22"/>
        </w:rPr>
        <w:t>Prihodi od prodaje proizvoda i robe planirani su u iznosu 120,00 eura i ostaju nepromijenjeni.</w:t>
      </w:r>
    </w:p>
    <w:p w14:paraId="0D7B3AF0" w14:textId="77777777" w:rsidR="00441994" w:rsidRPr="00441994" w:rsidRDefault="00441994" w:rsidP="00441994">
      <w:pPr>
        <w:spacing w:line="259" w:lineRule="auto"/>
        <w:rPr>
          <w:rFonts w:ascii="Arial" w:hAnsi="Arial" w:cs="Arial"/>
          <w:sz w:val="22"/>
          <w:szCs w:val="22"/>
        </w:rPr>
      </w:pPr>
      <w:r w:rsidRPr="00441994">
        <w:rPr>
          <w:rFonts w:ascii="Arial" w:hAnsi="Arial" w:cs="Arial"/>
          <w:sz w:val="22"/>
          <w:szCs w:val="22"/>
        </w:rPr>
        <w:t>Donacije od pravnih i fizičkih osoba izvan općeg proračuna – Prihodi su planirani u iznosu 500,00 eura i ostaju nepromijenjeni.</w:t>
      </w:r>
    </w:p>
    <w:p w14:paraId="4B90C2BB" w14:textId="77777777" w:rsidR="00441994" w:rsidRPr="00441994" w:rsidRDefault="00441994" w:rsidP="00441994">
      <w:pPr>
        <w:spacing w:line="259" w:lineRule="auto"/>
        <w:rPr>
          <w:rFonts w:ascii="Arial" w:hAnsi="Arial" w:cs="Arial"/>
          <w:sz w:val="22"/>
          <w:szCs w:val="22"/>
        </w:rPr>
      </w:pPr>
    </w:p>
    <w:p w14:paraId="0B8B6CF5" w14:textId="77777777" w:rsidR="00441994" w:rsidRPr="00441994" w:rsidRDefault="00441994" w:rsidP="00441994">
      <w:pPr>
        <w:spacing w:line="259" w:lineRule="auto"/>
        <w:rPr>
          <w:rFonts w:ascii="Arial" w:hAnsi="Arial" w:cs="Arial"/>
          <w:b/>
          <w:sz w:val="22"/>
          <w:szCs w:val="22"/>
        </w:rPr>
      </w:pPr>
      <w:r w:rsidRPr="00441994">
        <w:rPr>
          <w:rFonts w:ascii="Arial" w:hAnsi="Arial" w:cs="Arial"/>
          <w:b/>
          <w:sz w:val="22"/>
          <w:szCs w:val="22"/>
        </w:rPr>
        <w:t>67 Prihodi iz nadležnog proračuna i od HZZO-a temeljem ugovornih obveza</w:t>
      </w:r>
    </w:p>
    <w:p w14:paraId="7EDFB17E" w14:textId="77777777" w:rsidR="00441994" w:rsidRPr="00441994" w:rsidRDefault="00441994" w:rsidP="00441994">
      <w:pPr>
        <w:spacing w:line="259" w:lineRule="auto"/>
        <w:ind w:firstLine="708"/>
        <w:rPr>
          <w:rFonts w:ascii="Arial" w:hAnsi="Arial" w:cs="Arial"/>
          <w:sz w:val="22"/>
          <w:szCs w:val="22"/>
        </w:rPr>
      </w:pPr>
      <w:r w:rsidRPr="00441994">
        <w:rPr>
          <w:rFonts w:ascii="Arial" w:hAnsi="Arial" w:cs="Arial"/>
          <w:sz w:val="22"/>
          <w:szCs w:val="22"/>
        </w:rPr>
        <w:t>Prihodi decentraliziranih funkcija osnovnog školstva za 2025. godinu Grada Labina ostaju nepromijenjeni Prvim izmjenama i dopunama financijskog plana.</w:t>
      </w:r>
    </w:p>
    <w:p w14:paraId="66A91B58" w14:textId="77777777" w:rsidR="00441994" w:rsidRPr="00441994" w:rsidRDefault="00441994" w:rsidP="00441994">
      <w:pPr>
        <w:spacing w:line="259" w:lineRule="auto"/>
        <w:ind w:firstLine="708"/>
        <w:rPr>
          <w:rFonts w:ascii="Arial" w:hAnsi="Arial" w:cs="Arial"/>
          <w:sz w:val="22"/>
          <w:szCs w:val="22"/>
        </w:rPr>
      </w:pPr>
      <w:r w:rsidRPr="00441994">
        <w:rPr>
          <w:rFonts w:ascii="Arial" w:hAnsi="Arial" w:cs="Arial"/>
          <w:sz w:val="22"/>
          <w:szCs w:val="22"/>
        </w:rPr>
        <w:t>Opći prihodi i primici se Prvim izmjenama i dopunama financijskog plana 2025. godine smanjuju iz razloga što se prihodi projekta za financiranje plaća djelatnika Pripremnog programa financiraju iz Pomoći te se isti knjiže na račun 6391 Tekući prijenosi između proračunskih korisnika istog proračuna. Prihod se odnosi na financiranje plaća zaposlenih kroz projekt dobiven od Ministarstva demografije i useljeništva za provedbu edukativnih, kulturnih i sportskih aktivnosti djece predškolske dobi i djece od I. do IV. razreda osnovne škole, a čiji je nositelj Grad Labin.</w:t>
      </w:r>
    </w:p>
    <w:p w14:paraId="008AE074" w14:textId="77777777" w:rsidR="00441994" w:rsidRDefault="00441994" w:rsidP="00441994">
      <w:pPr>
        <w:spacing w:line="259" w:lineRule="auto"/>
        <w:rPr>
          <w:rFonts w:ascii="Arial" w:hAnsi="Arial" w:cs="Arial"/>
          <w:sz w:val="22"/>
          <w:szCs w:val="22"/>
        </w:rPr>
      </w:pPr>
    </w:p>
    <w:p w14:paraId="59042B37" w14:textId="77777777" w:rsidR="00C526AC" w:rsidRPr="00441994" w:rsidRDefault="00C526AC" w:rsidP="00441994">
      <w:pPr>
        <w:spacing w:line="259" w:lineRule="auto"/>
        <w:rPr>
          <w:rFonts w:ascii="Arial" w:hAnsi="Arial" w:cs="Arial"/>
          <w:sz w:val="22"/>
          <w:szCs w:val="22"/>
        </w:rPr>
      </w:pPr>
    </w:p>
    <w:p w14:paraId="6AD181AD" w14:textId="77777777" w:rsidR="00441994" w:rsidRPr="00441994" w:rsidRDefault="00441994" w:rsidP="00441994">
      <w:pPr>
        <w:spacing w:line="259" w:lineRule="auto"/>
        <w:rPr>
          <w:rFonts w:ascii="Arial" w:hAnsi="Arial" w:cs="Arial"/>
          <w:bCs/>
          <w:sz w:val="22"/>
          <w:szCs w:val="22"/>
        </w:rPr>
      </w:pPr>
      <w:r w:rsidRPr="00441994">
        <w:rPr>
          <w:rFonts w:ascii="Arial" w:hAnsi="Arial" w:cs="Arial"/>
          <w:bCs/>
          <w:sz w:val="22"/>
          <w:szCs w:val="22"/>
        </w:rPr>
        <w:t>Rashodi i izdaci poslovanja</w:t>
      </w:r>
      <w:r w:rsidRPr="00441994">
        <w:rPr>
          <w:rFonts w:ascii="Arial" w:hAnsi="Arial" w:cs="Arial"/>
          <w:b/>
          <w:sz w:val="22"/>
          <w:szCs w:val="22"/>
        </w:rPr>
        <w:t xml:space="preserve"> </w:t>
      </w:r>
      <w:r w:rsidRPr="00441994">
        <w:rPr>
          <w:rFonts w:ascii="Arial" w:hAnsi="Arial" w:cs="Arial"/>
          <w:sz w:val="22"/>
          <w:szCs w:val="22"/>
        </w:rPr>
        <w:t xml:space="preserve">planirani su u iznosu </w:t>
      </w:r>
      <w:r w:rsidRPr="00441994">
        <w:rPr>
          <w:rFonts w:ascii="Arial" w:hAnsi="Arial" w:cs="Arial"/>
          <w:bCs/>
          <w:sz w:val="22"/>
          <w:szCs w:val="22"/>
        </w:rPr>
        <w:t>1.406.540,00 eura što je 53.870,00 eura više od Financijskog plana 2025. godine.</w:t>
      </w:r>
    </w:p>
    <w:p w14:paraId="0268CB41" w14:textId="77777777" w:rsidR="00441994" w:rsidRDefault="00441994" w:rsidP="00441994">
      <w:pPr>
        <w:spacing w:line="259" w:lineRule="auto"/>
        <w:rPr>
          <w:rFonts w:ascii="Arial" w:hAnsi="Arial" w:cs="Arial"/>
          <w:sz w:val="22"/>
          <w:szCs w:val="22"/>
        </w:rPr>
      </w:pPr>
    </w:p>
    <w:p w14:paraId="117B413E" w14:textId="77777777" w:rsidR="00C526AC" w:rsidRPr="00441994" w:rsidRDefault="00C526AC" w:rsidP="00441994">
      <w:pPr>
        <w:spacing w:line="259" w:lineRule="auto"/>
        <w:rPr>
          <w:rFonts w:ascii="Arial" w:hAnsi="Arial" w:cs="Arial"/>
          <w:sz w:val="22"/>
          <w:szCs w:val="22"/>
        </w:rPr>
      </w:pPr>
    </w:p>
    <w:p w14:paraId="094A2FF1" w14:textId="77777777" w:rsidR="00441994" w:rsidRPr="00441994" w:rsidRDefault="00441994" w:rsidP="00441994">
      <w:pPr>
        <w:spacing w:line="259" w:lineRule="auto"/>
        <w:rPr>
          <w:rFonts w:ascii="Arial" w:hAnsi="Arial" w:cs="Arial"/>
          <w:b/>
          <w:sz w:val="22"/>
          <w:szCs w:val="22"/>
        </w:rPr>
      </w:pPr>
      <w:r w:rsidRPr="00441994">
        <w:rPr>
          <w:rFonts w:ascii="Arial" w:hAnsi="Arial" w:cs="Arial"/>
          <w:b/>
          <w:sz w:val="22"/>
          <w:szCs w:val="22"/>
        </w:rPr>
        <w:lastRenderedPageBreak/>
        <w:t xml:space="preserve">3 Rashodi poslovanja </w:t>
      </w:r>
    </w:p>
    <w:p w14:paraId="7E1DF449" w14:textId="77777777" w:rsidR="00441994" w:rsidRPr="00441994" w:rsidRDefault="00441994" w:rsidP="00441994">
      <w:pPr>
        <w:spacing w:line="259" w:lineRule="auto"/>
        <w:ind w:firstLine="708"/>
        <w:rPr>
          <w:rFonts w:ascii="Arial" w:hAnsi="Arial" w:cs="Arial"/>
          <w:bCs/>
          <w:sz w:val="22"/>
          <w:szCs w:val="22"/>
        </w:rPr>
      </w:pPr>
      <w:r w:rsidRPr="00441994">
        <w:rPr>
          <w:rFonts w:ascii="Arial" w:hAnsi="Arial" w:cs="Arial"/>
          <w:bCs/>
          <w:sz w:val="22"/>
          <w:szCs w:val="22"/>
        </w:rPr>
        <w:t xml:space="preserve">Rashodi poslovanja za </w:t>
      </w:r>
      <w:r w:rsidRPr="00441994">
        <w:rPr>
          <w:rFonts w:ascii="Arial" w:hAnsi="Arial" w:cs="Arial"/>
          <w:sz w:val="22"/>
          <w:szCs w:val="22"/>
        </w:rPr>
        <w:t>2025. godinu planirani su u iznosu 1.334.370,00 eura te se isti Prvim izmjenama i dopunama financijskog plana 2025. godine povećavaju  za 3,87% i sada iznose 1.386.040,00 eura.</w:t>
      </w:r>
    </w:p>
    <w:p w14:paraId="5E318D25" w14:textId="77777777" w:rsidR="00441994" w:rsidRPr="00441994" w:rsidRDefault="00441994" w:rsidP="00441994">
      <w:pPr>
        <w:spacing w:line="259" w:lineRule="auto"/>
        <w:rPr>
          <w:rFonts w:ascii="Arial" w:hAnsi="Arial" w:cs="Arial"/>
          <w:b/>
          <w:sz w:val="22"/>
          <w:szCs w:val="22"/>
        </w:rPr>
      </w:pPr>
    </w:p>
    <w:p w14:paraId="2E00A015" w14:textId="77777777" w:rsidR="00441994" w:rsidRPr="00441994" w:rsidRDefault="00441994" w:rsidP="00441994">
      <w:pPr>
        <w:spacing w:line="259" w:lineRule="auto"/>
        <w:rPr>
          <w:rFonts w:ascii="Arial" w:hAnsi="Arial" w:cs="Arial"/>
          <w:b/>
          <w:sz w:val="22"/>
          <w:szCs w:val="22"/>
        </w:rPr>
      </w:pPr>
      <w:r w:rsidRPr="00441994">
        <w:rPr>
          <w:rFonts w:ascii="Arial" w:hAnsi="Arial" w:cs="Arial"/>
          <w:b/>
          <w:sz w:val="22"/>
          <w:szCs w:val="22"/>
        </w:rPr>
        <w:t>31 Rashodi za zaposlene</w:t>
      </w:r>
    </w:p>
    <w:p w14:paraId="6909FEB9" w14:textId="77777777" w:rsidR="00441994" w:rsidRPr="00441994" w:rsidRDefault="00441994" w:rsidP="00441994">
      <w:pPr>
        <w:spacing w:line="259" w:lineRule="auto"/>
        <w:ind w:firstLine="708"/>
        <w:rPr>
          <w:rFonts w:ascii="Arial" w:hAnsi="Arial" w:cs="Arial"/>
          <w:sz w:val="22"/>
          <w:szCs w:val="22"/>
        </w:rPr>
      </w:pPr>
      <w:r w:rsidRPr="00441994">
        <w:rPr>
          <w:rFonts w:ascii="Arial" w:hAnsi="Arial" w:cs="Arial"/>
          <w:bCs/>
          <w:sz w:val="22"/>
          <w:szCs w:val="22"/>
        </w:rPr>
        <w:t>Rashodi za zaposlene</w:t>
      </w:r>
      <w:r w:rsidRPr="00441994">
        <w:rPr>
          <w:rFonts w:ascii="Arial" w:hAnsi="Arial" w:cs="Arial"/>
          <w:sz w:val="22"/>
          <w:szCs w:val="22"/>
        </w:rPr>
        <w:t xml:space="preserve"> su povećani za 4,75% te iznose 1.092.000,00 eura. Obračun plaće se vrši za 42 djelatnika na teret Ministarstva znanosti, obrazovanja i mladih te 6 djelatnika u Pripremnom glazbenom i plesnom programu. Povećanje od 4,75% odnosi se na povećanje sukladno Odluci Vlade o visini osnovice za obračun plaće u javnim službama za 2025. godinu (NN 125/2024). </w:t>
      </w:r>
    </w:p>
    <w:p w14:paraId="0EB1A36B" w14:textId="77777777" w:rsidR="00441994" w:rsidRPr="00441994" w:rsidRDefault="00441994" w:rsidP="00441994">
      <w:pPr>
        <w:spacing w:line="259" w:lineRule="auto"/>
        <w:ind w:firstLine="708"/>
        <w:rPr>
          <w:rFonts w:ascii="Arial" w:hAnsi="Arial" w:cs="Arial"/>
          <w:sz w:val="22"/>
          <w:szCs w:val="22"/>
        </w:rPr>
      </w:pPr>
    </w:p>
    <w:p w14:paraId="4FD700FC" w14:textId="77777777" w:rsidR="00441994" w:rsidRPr="00441994" w:rsidRDefault="00441994" w:rsidP="00441994">
      <w:pPr>
        <w:spacing w:line="259" w:lineRule="auto"/>
        <w:rPr>
          <w:rFonts w:ascii="Arial" w:hAnsi="Arial" w:cs="Arial"/>
          <w:sz w:val="22"/>
          <w:szCs w:val="22"/>
        </w:rPr>
      </w:pPr>
      <w:r w:rsidRPr="00441994">
        <w:rPr>
          <w:rFonts w:ascii="Arial" w:hAnsi="Arial" w:cs="Arial"/>
          <w:b/>
          <w:sz w:val="22"/>
          <w:szCs w:val="22"/>
        </w:rPr>
        <w:t>32 Materijalni rashodi</w:t>
      </w:r>
      <w:r w:rsidRPr="00441994">
        <w:rPr>
          <w:rFonts w:ascii="Arial" w:hAnsi="Arial" w:cs="Arial"/>
          <w:sz w:val="22"/>
          <w:szCs w:val="22"/>
        </w:rPr>
        <w:t xml:space="preserve"> </w:t>
      </w:r>
    </w:p>
    <w:p w14:paraId="064D9778" w14:textId="77777777" w:rsidR="00441994" w:rsidRPr="00441994" w:rsidRDefault="00441994" w:rsidP="00441994">
      <w:pPr>
        <w:spacing w:line="259" w:lineRule="auto"/>
        <w:ind w:firstLine="708"/>
        <w:rPr>
          <w:rFonts w:ascii="Arial" w:hAnsi="Arial" w:cs="Arial"/>
          <w:sz w:val="22"/>
          <w:szCs w:val="22"/>
        </w:rPr>
      </w:pPr>
      <w:r w:rsidRPr="00441994">
        <w:rPr>
          <w:rFonts w:ascii="Arial" w:hAnsi="Arial" w:cs="Arial"/>
          <w:sz w:val="22"/>
          <w:szCs w:val="22"/>
        </w:rPr>
        <w:t>Materijalni rashodi se povećavaju za 0,74% te Prvim izmjenama i dopunama financijskog plana 2025. godine iznose 293.590,00 eura. Povećanje se odnosi na usluge tekućeg i investicijskog održavanja odnosno za radove na vanjskoj učionici, pristojbe i naknade za invalide te intelektualne usluge u projektu Kulturno blago.</w:t>
      </w:r>
    </w:p>
    <w:p w14:paraId="69B89ADA" w14:textId="77777777" w:rsidR="00441994" w:rsidRPr="00441994" w:rsidRDefault="00441994" w:rsidP="00441994">
      <w:pPr>
        <w:spacing w:line="259" w:lineRule="auto"/>
        <w:ind w:firstLine="708"/>
        <w:rPr>
          <w:rFonts w:ascii="Arial" w:hAnsi="Arial" w:cs="Arial"/>
          <w:b/>
          <w:sz w:val="22"/>
          <w:szCs w:val="22"/>
        </w:rPr>
      </w:pPr>
    </w:p>
    <w:p w14:paraId="6A19893D" w14:textId="77777777" w:rsidR="00441994" w:rsidRPr="00441994" w:rsidRDefault="00441994" w:rsidP="00441994">
      <w:pPr>
        <w:spacing w:line="259" w:lineRule="auto"/>
        <w:rPr>
          <w:rFonts w:ascii="Arial" w:hAnsi="Arial" w:cs="Arial"/>
          <w:b/>
          <w:sz w:val="22"/>
          <w:szCs w:val="22"/>
        </w:rPr>
      </w:pPr>
      <w:r w:rsidRPr="00441994">
        <w:rPr>
          <w:rFonts w:ascii="Arial" w:hAnsi="Arial" w:cs="Arial"/>
          <w:b/>
          <w:sz w:val="22"/>
          <w:szCs w:val="22"/>
        </w:rPr>
        <w:t xml:space="preserve">34 Financijski rashodi </w:t>
      </w:r>
    </w:p>
    <w:p w14:paraId="70B2E683" w14:textId="77777777" w:rsidR="00441994" w:rsidRPr="00441994" w:rsidRDefault="00441994" w:rsidP="00441994">
      <w:pPr>
        <w:spacing w:line="259" w:lineRule="auto"/>
        <w:ind w:firstLine="708"/>
        <w:rPr>
          <w:rFonts w:ascii="Arial" w:hAnsi="Arial" w:cs="Arial"/>
          <w:sz w:val="22"/>
          <w:szCs w:val="22"/>
        </w:rPr>
      </w:pPr>
      <w:r w:rsidRPr="00441994">
        <w:rPr>
          <w:rFonts w:ascii="Arial" w:hAnsi="Arial" w:cs="Arial"/>
          <w:bCs/>
          <w:sz w:val="22"/>
          <w:szCs w:val="22"/>
        </w:rPr>
        <w:t>Financijski rashodi</w:t>
      </w:r>
      <w:r w:rsidRPr="00441994">
        <w:rPr>
          <w:rFonts w:ascii="Arial" w:hAnsi="Arial" w:cs="Arial"/>
          <w:b/>
          <w:sz w:val="22"/>
          <w:szCs w:val="22"/>
        </w:rPr>
        <w:t xml:space="preserve"> </w:t>
      </w:r>
      <w:r w:rsidRPr="00441994">
        <w:rPr>
          <w:rFonts w:ascii="Arial" w:hAnsi="Arial" w:cs="Arial"/>
          <w:sz w:val="22"/>
          <w:szCs w:val="22"/>
        </w:rPr>
        <w:t>su planirani u iznosu 50,00 eura i odnose se na bankarske usluge i usluge platnog prometa te zatezne kamate. Prvim izmjenama i dopunama financijskog plana 2025. godine ostaju nepromijenjeni.</w:t>
      </w:r>
    </w:p>
    <w:p w14:paraId="1A422B60" w14:textId="77777777" w:rsidR="00441994" w:rsidRPr="00441994" w:rsidRDefault="00441994" w:rsidP="00441994">
      <w:pPr>
        <w:spacing w:line="259" w:lineRule="auto"/>
        <w:rPr>
          <w:rFonts w:ascii="Arial" w:hAnsi="Arial" w:cs="Arial"/>
          <w:b/>
          <w:bCs/>
          <w:sz w:val="22"/>
          <w:szCs w:val="22"/>
        </w:rPr>
      </w:pPr>
    </w:p>
    <w:p w14:paraId="7786B80C" w14:textId="77777777" w:rsidR="00441994" w:rsidRPr="00441994" w:rsidRDefault="00441994" w:rsidP="00441994">
      <w:pPr>
        <w:spacing w:line="259" w:lineRule="auto"/>
        <w:rPr>
          <w:rFonts w:ascii="Arial" w:hAnsi="Arial" w:cs="Arial"/>
          <w:b/>
          <w:bCs/>
          <w:sz w:val="22"/>
          <w:szCs w:val="22"/>
        </w:rPr>
      </w:pPr>
      <w:r w:rsidRPr="00441994">
        <w:rPr>
          <w:rFonts w:ascii="Arial" w:hAnsi="Arial" w:cs="Arial"/>
          <w:b/>
          <w:bCs/>
          <w:sz w:val="22"/>
          <w:szCs w:val="22"/>
        </w:rPr>
        <w:t>38 Ostali rashodi</w:t>
      </w:r>
    </w:p>
    <w:p w14:paraId="064F8AB7" w14:textId="77777777" w:rsidR="00441994" w:rsidRPr="00441994" w:rsidRDefault="00441994" w:rsidP="00441994">
      <w:pPr>
        <w:spacing w:line="259" w:lineRule="auto"/>
        <w:rPr>
          <w:rFonts w:ascii="Arial" w:hAnsi="Arial" w:cs="Arial"/>
          <w:sz w:val="22"/>
          <w:szCs w:val="22"/>
        </w:rPr>
      </w:pPr>
      <w:r w:rsidRPr="00441994">
        <w:rPr>
          <w:rFonts w:ascii="Arial" w:hAnsi="Arial" w:cs="Arial"/>
          <w:b/>
          <w:bCs/>
          <w:sz w:val="22"/>
          <w:szCs w:val="22"/>
        </w:rPr>
        <w:tab/>
      </w:r>
      <w:r w:rsidRPr="00441994">
        <w:rPr>
          <w:rFonts w:ascii="Arial" w:hAnsi="Arial" w:cs="Arial"/>
          <w:sz w:val="22"/>
          <w:szCs w:val="22"/>
        </w:rPr>
        <w:t>Ostali rashodi Prvim izmjenama i dopunama financijskog plana ostaju nepromijenjeni i odnose se za nabavu higijenskih menstrualnih potrepština od strane Istarske županije.</w:t>
      </w:r>
    </w:p>
    <w:p w14:paraId="348946C1" w14:textId="77777777" w:rsidR="00441994" w:rsidRPr="00441994" w:rsidRDefault="00441994" w:rsidP="00441994">
      <w:pPr>
        <w:spacing w:line="259" w:lineRule="auto"/>
        <w:rPr>
          <w:rFonts w:ascii="Arial" w:hAnsi="Arial" w:cs="Arial"/>
          <w:b/>
          <w:sz w:val="22"/>
          <w:szCs w:val="22"/>
        </w:rPr>
      </w:pPr>
    </w:p>
    <w:p w14:paraId="116C1D67" w14:textId="77777777" w:rsidR="00441994" w:rsidRPr="00441994" w:rsidRDefault="00441994" w:rsidP="00441994">
      <w:pPr>
        <w:spacing w:line="259" w:lineRule="auto"/>
        <w:rPr>
          <w:rFonts w:ascii="Arial" w:hAnsi="Arial" w:cs="Arial"/>
          <w:b/>
          <w:sz w:val="22"/>
          <w:szCs w:val="22"/>
        </w:rPr>
      </w:pPr>
      <w:r w:rsidRPr="00441994">
        <w:rPr>
          <w:rFonts w:ascii="Arial" w:hAnsi="Arial" w:cs="Arial"/>
          <w:b/>
          <w:sz w:val="22"/>
          <w:szCs w:val="22"/>
        </w:rPr>
        <w:t>4 Rashodi za nabavu nefinancijske imovine</w:t>
      </w:r>
    </w:p>
    <w:p w14:paraId="7BB0B03C" w14:textId="77777777" w:rsidR="00441994" w:rsidRPr="00441994" w:rsidRDefault="00441994" w:rsidP="00441994">
      <w:pPr>
        <w:spacing w:line="259" w:lineRule="auto"/>
        <w:ind w:firstLine="708"/>
        <w:rPr>
          <w:rFonts w:ascii="Arial" w:hAnsi="Arial" w:cs="Arial"/>
          <w:sz w:val="22"/>
          <w:szCs w:val="22"/>
        </w:rPr>
      </w:pPr>
      <w:r w:rsidRPr="00441994">
        <w:rPr>
          <w:rFonts w:ascii="Arial" w:hAnsi="Arial" w:cs="Arial"/>
          <w:bCs/>
          <w:sz w:val="22"/>
          <w:szCs w:val="22"/>
        </w:rPr>
        <w:t>Rashodi za nabavu financijske imovine</w:t>
      </w:r>
      <w:r w:rsidRPr="00441994">
        <w:rPr>
          <w:rFonts w:ascii="Arial" w:hAnsi="Arial" w:cs="Arial"/>
          <w:b/>
          <w:sz w:val="22"/>
          <w:szCs w:val="22"/>
        </w:rPr>
        <w:t xml:space="preserve"> </w:t>
      </w:r>
      <w:r w:rsidRPr="00441994">
        <w:rPr>
          <w:rFonts w:ascii="Arial" w:hAnsi="Arial" w:cs="Arial"/>
          <w:sz w:val="22"/>
          <w:szCs w:val="22"/>
        </w:rPr>
        <w:t>povećani su Prvim izmjenama i dopunama financijskog plana 2025. godine i iznose 20.500,00 eura. Povećanje se odnosi na nabavu nefinancijske imovine odnosno za izradu vanjske učionice (klupe) u iznosu od 2.200,00 eura za projekt Kulturno blago za koje je Škola dobila financijska sredstva krajem 2024. godine.</w:t>
      </w:r>
    </w:p>
    <w:p w14:paraId="49F85AF2" w14:textId="77777777" w:rsidR="00441994" w:rsidRDefault="00441994" w:rsidP="00441994">
      <w:pPr>
        <w:spacing w:line="276" w:lineRule="auto"/>
      </w:pPr>
    </w:p>
    <w:p w14:paraId="222D11FA" w14:textId="77777777" w:rsidR="00C526AC" w:rsidRDefault="00C526AC" w:rsidP="00C526AC">
      <w:pPr>
        <w:spacing w:line="276" w:lineRule="auto"/>
        <w:jc w:val="both"/>
        <w:rPr>
          <w:rFonts w:ascii="Arial" w:eastAsia="Calibri" w:hAnsi="Arial" w:cs="Arial"/>
          <w:b/>
          <w:bCs/>
          <w:color w:val="000000"/>
          <w:sz w:val="22"/>
          <w:szCs w:val="22"/>
        </w:rPr>
      </w:pPr>
    </w:p>
    <w:p w14:paraId="4F2577FF" w14:textId="0FFAC390" w:rsidR="00441994" w:rsidRPr="00C526AC" w:rsidRDefault="00441994" w:rsidP="00C526AC">
      <w:pPr>
        <w:spacing w:line="276" w:lineRule="auto"/>
        <w:jc w:val="both"/>
        <w:rPr>
          <w:rFonts w:ascii="Arial" w:eastAsia="Calibri" w:hAnsi="Arial" w:cs="Arial"/>
          <w:b/>
          <w:bCs/>
          <w:color w:val="000000"/>
          <w:sz w:val="22"/>
          <w:szCs w:val="22"/>
        </w:rPr>
      </w:pPr>
      <w:r w:rsidRPr="00C526AC">
        <w:rPr>
          <w:rFonts w:ascii="Arial" w:eastAsia="Calibri" w:hAnsi="Arial" w:cs="Arial"/>
          <w:b/>
          <w:bCs/>
          <w:color w:val="000000"/>
          <w:sz w:val="22"/>
          <w:szCs w:val="22"/>
        </w:rPr>
        <w:t>OBRAZLOŽENJE PRIJEDLOGA PRVIH IZMJENA I DOPUNA FINANCIJSKOG PLANA PRIHODA I PRIMITAKA, RASHODA I IZDATAKAPREMA IZVORIMA FINANCIRANJA</w:t>
      </w:r>
    </w:p>
    <w:p w14:paraId="6B79464E" w14:textId="77777777" w:rsidR="00441994" w:rsidRPr="00441994" w:rsidRDefault="00441994" w:rsidP="00441994">
      <w:pPr>
        <w:spacing w:line="259" w:lineRule="auto"/>
        <w:jc w:val="center"/>
        <w:rPr>
          <w:rFonts w:ascii="Arial" w:eastAsia="Calibri" w:hAnsi="Arial" w:cs="Arial"/>
          <w:b/>
          <w:bCs/>
          <w:color w:val="000000"/>
          <w:sz w:val="22"/>
          <w:szCs w:val="22"/>
        </w:rPr>
      </w:pPr>
    </w:p>
    <w:p w14:paraId="268B01EB" w14:textId="77777777" w:rsidR="00441994" w:rsidRPr="00441994" w:rsidRDefault="00441994" w:rsidP="00441994">
      <w:pPr>
        <w:spacing w:line="259" w:lineRule="auto"/>
        <w:ind w:firstLine="708"/>
        <w:contextualSpacing/>
        <w:rPr>
          <w:rFonts w:ascii="Arial" w:eastAsia="Calibri" w:hAnsi="Arial" w:cs="Arial"/>
          <w:sz w:val="22"/>
          <w:szCs w:val="22"/>
        </w:rPr>
      </w:pPr>
      <w:r w:rsidRPr="00441994">
        <w:rPr>
          <w:rFonts w:ascii="Arial" w:eastAsia="Calibri" w:hAnsi="Arial" w:cs="Arial"/>
          <w:sz w:val="22"/>
          <w:szCs w:val="22"/>
        </w:rPr>
        <w:t>Tabelarni pregled realiziranih prihoda i primitaka, rashoda i izdataka, te rezultata poslovanja prema izvorima financiranja u izvještajnom razdoblju s prenesenim viškovima/manjkovima 2024. godine</w:t>
      </w:r>
    </w:p>
    <w:p w14:paraId="5CD09D58" w14:textId="77777777" w:rsidR="00C526AC" w:rsidRPr="00441994" w:rsidRDefault="00C526AC" w:rsidP="00441994">
      <w:pPr>
        <w:spacing w:line="259" w:lineRule="auto"/>
        <w:rPr>
          <w:rFonts w:ascii="Arial" w:eastAsiaTheme="minorHAnsi" w:hAnsi="Arial" w:cs="Arial"/>
          <w:sz w:val="22"/>
          <w:szCs w:val="22"/>
        </w:rPr>
      </w:pPr>
    </w:p>
    <w:p w14:paraId="6FCA2C60" w14:textId="3F864574" w:rsidR="00441994" w:rsidRDefault="00441994" w:rsidP="00441994">
      <w:pPr>
        <w:keepNext/>
        <w:keepLines/>
        <w:spacing w:line="259" w:lineRule="auto"/>
        <w:jc w:val="both"/>
        <w:outlineLvl w:val="1"/>
        <w:rPr>
          <w:rFonts w:ascii="Arial" w:hAnsi="Arial" w:cs="Arial"/>
          <w:sz w:val="22"/>
          <w:szCs w:val="22"/>
        </w:rPr>
      </w:pPr>
      <w:r w:rsidRPr="00441994">
        <w:rPr>
          <w:rFonts w:ascii="Arial" w:hAnsi="Arial" w:cs="Arial"/>
          <w:sz w:val="22"/>
          <w:szCs w:val="22"/>
        </w:rPr>
        <w:t xml:space="preserve">TABLICA </w:t>
      </w:r>
    </w:p>
    <w:p w14:paraId="3C8246DD" w14:textId="6F225B6A" w:rsidR="00441994" w:rsidRPr="00441994" w:rsidRDefault="00441994" w:rsidP="00441994">
      <w:pPr>
        <w:keepNext/>
        <w:keepLines/>
        <w:spacing w:line="259" w:lineRule="auto"/>
        <w:jc w:val="both"/>
        <w:outlineLvl w:val="1"/>
        <w:rPr>
          <w:rFonts w:ascii="Arial" w:hAnsi="Arial" w:cs="Arial"/>
          <w:sz w:val="22"/>
          <w:szCs w:val="22"/>
        </w:rPr>
      </w:pPr>
      <w:r w:rsidRPr="00441994">
        <w:rPr>
          <w:rFonts w:ascii="Arial" w:hAnsi="Arial" w:cs="Arial"/>
          <w:sz w:val="22"/>
          <w:szCs w:val="22"/>
        </w:rPr>
        <w:t xml:space="preserve">                                                                                              </w:t>
      </w:r>
      <w:r>
        <w:rPr>
          <w:rFonts w:ascii="Arial" w:hAnsi="Arial" w:cs="Arial"/>
          <w:sz w:val="22"/>
          <w:szCs w:val="22"/>
        </w:rPr>
        <w:t xml:space="preserve">                                       </w:t>
      </w:r>
      <w:r w:rsidRPr="00441994">
        <w:rPr>
          <w:rFonts w:ascii="Arial" w:hAnsi="Arial" w:cs="Arial"/>
          <w:sz w:val="22"/>
          <w:szCs w:val="22"/>
        </w:rPr>
        <w:t xml:space="preserve">     EUR                </w:t>
      </w:r>
    </w:p>
    <w:tbl>
      <w:tblPr>
        <w:tblStyle w:val="Reetkatablice"/>
        <w:tblW w:w="10766" w:type="dxa"/>
        <w:tblInd w:w="-572" w:type="dxa"/>
        <w:tblLook w:val="04A0" w:firstRow="1" w:lastRow="0" w:firstColumn="1" w:lastColumn="0" w:noHBand="0" w:noVBand="1"/>
      </w:tblPr>
      <w:tblGrid>
        <w:gridCol w:w="1375"/>
        <w:gridCol w:w="941"/>
        <w:gridCol w:w="1171"/>
        <w:gridCol w:w="1319"/>
        <w:gridCol w:w="1586"/>
        <w:gridCol w:w="1581"/>
        <w:gridCol w:w="1172"/>
        <w:gridCol w:w="1621"/>
      </w:tblGrid>
      <w:tr w:rsidR="00441994" w:rsidRPr="00441994" w14:paraId="23236DC4" w14:textId="77777777" w:rsidTr="00C526AC">
        <w:trPr>
          <w:trHeight w:val="1000"/>
        </w:trPr>
        <w:tc>
          <w:tcPr>
            <w:tcW w:w="1391" w:type="dxa"/>
            <w:tcBorders>
              <w:top w:val="single" w:sz="4" w:space="0" w:color="auto"/>
              <w:left w:val="single" w:sz="4" w:space="0" w:color="auto"/>
              <w:bottom w:val="single" w:sz="4" w:space="0" w:color="auto"/>
              <w:right w:val="single" w:sz="4" w:space="0" w:color="auto"/>
            </w:tcBorders>
            <w:hideMark/>
          </w:tcPr>
          <w:p w14:paraId="6CE560BA" w14:textId="77777777" w:rsidR="00441994" w:rsidRPr="00441994" w:rsidRDefault="00441994">
            <w:pPr>
              <w:jc w:val="center"/>
              <w:rPr>
                <w:rFonts w:ascii="Arial" w:hAnsi="Arial" w:cs="Arial"/>
                <w:b/>
                <w:sz w:val="16"/>
                <w:szCs w:val="16"/>
              </w:rPr>
            </w:pPr>
            <w:r w:rsidRPr="00441994">
              <w:rPr>
                <w:rFonts w:ascii="Arial" w:hAnsi="Arial" w:cs="Arial"/>
                <w:b/>
                <w:sz w:val="16"/>
                <w:szCs w:val="16"/>
              </w:rPr>
              <w:t>NAZIV IZVORA PRIHODA</w:t>
            </w:r>
          </w:p>
        </w:tc>
        <w:tc>
          <w:tcPr>
            <w:tcW w:w="948" w:type="dxa"/>
            <w:tcBorders>
              <w:top w:val="single" w:sz="4" w:space="0" w:color="auto"/>
              <w:left w:val="single" w:sz="4" w:space="0" w:color="auto"/>
              <w:bottom w:val="single" w:sz="4" w:space="0" w:color="auto"/>
              <w:right w:val="single" w:sz="4" w:space="0" w:color="auto"/>
            </w:tcBorders>
            <w:hideMark/>
          </w:tcPr>
          <w:p w14:paraId="36BCB49C" w14:textId="77777777" w:rsidR="00441994" w:rsidRPr="00441994" w:rsidRDefault="00441994">
            <w:pPr>
              <w:jc w:val="center"/>
              <w:rPr>
                <w:rFonts w:ascii="Arial" w:hAnsi="Arial" w:cs="Arial"/>
                <w:b/>
                <w:sz w:val="16"/>
                <w:szCs w:val="16"/>
              </w:rPr>
            </w:pPr>
            <w:r w:rsidRPr="00441994">
              <w:rPr>
                <w:rFonts w:ascii="Arial" w:hAnsi="Arial" w:cs="Arial"/>
                <w:b/>
                <w:sz w:val="16"/>
                <w:szCs w:val="16"/>
              </w:rPr>
              <w:t>IZVOR</w:t>
            </w:r>
          </w:p>
        </w:tc>
        <w:tc>
          <w:tcPr>
            <w:tcW w:w="1183" w:type="dxa"/>
            <w:tcBorders>
              <w:top w:val="single" w:sz="4" w:space="0" w:color="auto"/>
              <w:left w:val="single" w:sz="4" w:space="0" w:color="auto"/>
              <w:bottom w:val="single" w:sz="4" w:space="0" w:color="auto"/>
              <w:right w:val="single" w:sz="4" w:space="0" w:color="auto"/>
            </w:tcBorders>
            <w:hideMark/>
          </w:tcPr>
          <w:p w14:paraId="00699406" w14:textId="77777777" w:rsidR="00441994" w:rsidRPr="00441994" w:rsidRDefault="00441994">
            <w:pPr>
              <w:jc w:val="center"/>
              <w:rPr>
                <w:rFonts w:ascii="Arial" w:hAnsi="Arial" w:cs="Arial"/>
                <w:b/>
                <w:sz w:val="16"/>
                <w:szCs w:val="16"/>
              </w:rPr>
            </w:pPr>
            <w:r w:rsidRPr="00441994">
              <w:rPr>
                <w:rFonts w:ascii="Arial" w:hAnsi="Arial" w:cs="Arial"/>
                <w:b/>
                <w:sz w:val="16"/>
                <w:szCs w:val="16"/>
              </w:rPr>
              <w:t>PLANIRANI PRIHODI 2025.</w:t>
            </w:r>
          </w:p>
        </w:tc>
        <w:tc>
          <w:tcPr>
            <w:tcW w:w="1319" w:type="dxa"/>
            <w:tcBorders>
              <w:top w:val="single" w:sz="4" w:space="0" w:color="auto"/>
              <w:left w:val="single" w:sz="4" w:space="0" w:color="auto"/>
              <w:bottom w:val="single" w:sz="4" w:space="0" w:color="auto"/>
              <w:right w:val="single" w:sz="4" w:space="0" w:color="auto"/>
            </w:tcBorders>
          </w:tcPr>
          <w:p w14:paraId="6D606B5D" w14:textId="77777777" w:rsidR="00441994" w:rsidRPr="00441994" w:rsidRDefault="00441994">
            <w:pPr>
              <w:jc w:val="center"/>
              <w:rPr>
                <w:rFonts w:ascii="Arial" w:hAnsi="Arial" w:cs="Arial"/>
                <w:b/>
                <w:sz w:val="16"/>
                <w:szCs w:val="16"/>
              </w:rPr>
            </w:pPr>
            <w:r w:rsidRPr="00441994">
              <w:rPr>
                <w:rFonts w:ascii="Arial" w:hAnsi="Arial" w:cs="Arial"/>
                <w:b/>
                <w:sz w:val="16"/>
                <w:szCs w:val="16"/>
              </w:rPr>
              <w:t>REZULTAT POSLOVANJA</w:t>
            </w:r>
          </w:p>
          <w:p w14:paraId="2703D00A" w14:textId="77777777" w:rsidR="00441994" w:rsidRPr="00441994" w:rsidRDefault="00441994">
            <w:pPr>
              <w:jc w:val="center"/>
              <w:rPr>
                <w:rFonts w:ascii="Arial" w:hAnsi="Arial" w:cs="Arial"/>
                <w:b/>
                <w:sz w:val="16"/>
                <w:szCs w:val="16"/>
              </w:rPr>
            </w:pPr>
          </w:p>
          <w:p w14:paraId="5850DE3B" w14:textId="77777777" w:rsidR="00441994" w:rsidRPr="00441994" w:rsidRDefault="00441994">
            <w:pPr>
              <w:jc w:val="center"/>
              <w:rPr>
                <w:rFonts w:ascii="Arial" w:hAnsi="Arial" w:cs="Arial"/>
                <w:b/>
                <w:sz w:val="16"/>
                <w:szCs w:val="16"/>
              </w:rPr>
            </w:pPr>
            <w:r w:rsidRPr="00441994">
              <w:rPr>
                <w:rFonts w:ascii="Arial" w:hAnsi="Arial" w:cs="Arial"/>
                <w:b/>
                <w:sz w:val="16"/>
                <w:szCs w:val="16"/>
              </w:rPr>
              <w:t>2024.</w:t>
            </w:r>
          </w:p>
        </w:tc>
        <w:tc>
          <w:tcPr>
            <w:tcW w:w="1680" w:type="dxa"/>
            <w:tcBorders>
              <w:top w:val="single" w:sz="4" w:space="0" w:color="auto"/>
              <w:left w:val="single" w:sz="4" w:space="0" w:color="auto"/>
              <w:bottom w:val="single" w:sz="4" w:space="0" w:color="auto"/>
              <w:right w:val="single" w:sz="4" w:space="0" w:color="auto"/>
            </w:tcBorders>
            <w:hideMark/>
          </w:tcPr>
          <w:p w14:paraId="316A6C07" w14:textId="77777777" w:rsidR="00441994" w:rsidRPr="00441994" w:rsidRDefault="00441994">
            <w:pPr>
              <w:jc w:val="center"/>
              <w:rPr>
                <w:rFonts w:ascii="Arial" w:hAnsi="Arial" w:cs="Arial"/>
                <w:b/>
                <w:sz w:val="16"/>
                <w:szCs w:val="16"/>
              </w:rPr>
            </w:pPr>
            <w:r w:rsidRPr="00441994">
              <w:rPr>
                <w:rFonts w:ascii="Arial" w:hAnsi="Arial" w:cs="Arial"/>
                <w:b/>
                <w:sz w:val="16"/>
                <w:szCs w:val="16"/>
              </w:rPr>
              <w:t>PRVE IZMJENE I DOPUNE FINANCIJSKOG PLANA 2025.GODINE- PRIHODI-NOVI PLAN</w:t>
            </w:r>
          </w:p>
        </w:tc>
        <w:tc>
          <w:tcPr>
            <w:tcW w:w="1326" w:type="dxa"/>
            <w:tcBorders>
              <w:top w:val="single" w:sz="4" w:space="0" w:color="auto"/>
              <w:left w:val="single" w:sz="4" w:space="0" w:color="auto"/>
              <w:bottom w:val="single" w:sz="4" w:space="0" w:color="auto"/>
              <w:right w:val="single" w:sz="4" w:space="0" w:color="auto"/>
            </w:tcBorders>
            <w:hideMark/>
          </w:tcPr>
          <w:p w14:paraId="5ABF2647" w14:textId="77777777" w:rsidR="00441994" w:rsidRPr="00441994" w:rsidRDefault="00441994">
            <w:pPr>
              <w:jc w:val="center"/>
              <w:rPr>
                <w:rFonts w:ascii="Arial" w:hAnsi="Arial" w:cs="Arial"/>
                <w:b/>
                <w:sz w:val="16"/>
                <w:szCs w:val="16"/>
              </w:rPr>
            </w:pPr>
            <w:r w:rsidRPr="00441994">
              <w:rPr>
                <w:rFonts w:ascii="Arial" w:hAnsi="Arial" w:cs="Arial"/>
                <w:b/>
                <w:sz w:val="16"/>
                <w:szCs w:val="16"/>
              </w:rPr>
              <w:t>REZULTAT 2024.+PLANIRANI PRIHODI 2025.</w:t>
            </w:r>
          </w:p>
          <w:p w14:paraId="722C548C" w14:textId="77777777" w:rsidR="00441994" w:rsidRPr="00441994" w:rsidRDefault="00441994">
            <w:pPr>
              <w:jc w:val="center"/>
              <w:rPr>
                <w:rFonts w:ascii="Arial" w:hAnsi="Arial" w:cs="Arial"/>
                <w:b/>
                <w:sz w:val="16"/>
                <w:szCs w:val="16"/>
              </w:rPr>
            </w:pPr>
            <w:r w:rsidRPr="00441994">
              <w:rPr>
                <w:rFonts w:ascii="Arial" w:hAnsi="Arial" w:cs="Arial"/>
                <w:b/>
                <w:sz w:val="16"/>
                <w:szCs w:val="16"/>
              </w:rPr>
              <w:t>(kolona 4+5)</w:t>
            </w:r>
          </w:p>
        </w:tc>
        <w:tc>
          <w:tcPr>
            <w:tcW w:w="1184" w:type="dxa"/>
            <w:tcBorders>
              <w:top w:val="single" w:sz="4" w:space="0" w:color="auto"/>
              <w:left w:val="single" w:sz="4" w:space="0" w:color="auto"/>
              <w:bottom w:val="single" w:sz="4" w:space="0" w:color="auto"/>
              <w:right w:val="single" w:sz="4" w:space="0" w:color="auto"/>
            </w:tcBorders>
            <w:hideMark/>
          </w:tcPr>
          <w:p w14:paraId="29B46823" w14:textId="77777777" w:rsidR="00441994" w:rsidRPr="00441994" w:rsidRDefault="00441994">
            <w:pPr>
              <w:jc w:val="center"/>
              <w:rPr>
                <w:rFonts w:ascii="Arial" w:hAnsi="Arial" w:cs="Arial"/>
                <w:b/>
                <w:sz w:val="16"/>
                <w:szCs w:val="16"/>
              </w:rPr>
            </w:pPr>
            <w:r w:rsidRPr="00441994">
              <w:rPr>
                <w:rFonts w:ascii="Arial" w:hAnsi="Arial" w:cs="Arial"/>
                <w:b/>
                <w:sz w:val="16"/>
                <w:szCs w:val="16"/>
              </w:rPr>
              <w:t>PLANIRANI RASHODI 2025.</w:t>
            </w:r>
          </w:p>
        </w:tc>
        <w:tc>
          <w:tcPr>
            <w:tcW w:w="1735" w:type="dxa"/>
            <w:tcBorders>
              <w:top w:val="single" w:sz="4" w:space="0" w:color="auto"/>
              <w:left w:val="single" w:sz="4" w:space="0" w:color="auto"/>
              <w:bottom w:val="single" w:sz="4" w:space="0" w:color="auto"/>
              <w:right w:val="single" w:sz="4" w:space="0" w:color="auto"/>
            </w:tcBorders>
            <w:hideMark/>
          </w:tcPr>
          <w:p w14:paraId="090BC223" w14:textId="77777777" w:rsidR="00441994" w:rsidRPr="00441994" w:rsidRDefault="00441994">
            <w:pPr>
              <w:jc w:val="center"/>
              <w:rPr>
                <w:rFonts w:ascii="Arial" w:hAnsi="Arial" w:cs="Arial"/>
                <w:b/>
                <w:sz w:val="16"/>
                <w:szCs w:val="16"/>
              </w:rPr>
            </w:pPr>
            <w:r w:rsidRPr="00441994">
              <w:rPr>
                <w:rFonts w:ascii="Arial" w:hAnsi="Arial" w:cs="Arial"/>
                <w:b/>
                <w:sz w:val="16"/>
                <w:szCs w:val="16"/>
              </w:rPr>
              <w:t>PRVE IZMJENE I DOPUNE FINANCIJSKOG PLANA 2025.-RASHODI-NOVI PLAN</w:t>
            </w:r>
          </w:p>
        </w:tc>
      </w:tr>
      <w:tr w:rsidR="00441994" w:rsidRPr="00441994" w14:paraId="038A0697" w14:textId="77777777" w:rsidTr="00C526AC">
        <w:trPr>
          <w:trHeight w:val="300"/>
        </w:trPr>
        <w:tc>
          <w:tcPr>
            <w:tcW w:w="1391" w:type="dxa"/>
            <w:tcBorders>
              <w:top w:val="single" w:sz="4" w:space="0" w:color="auto"/>
              <w:left w:val="single" w:sz="4" w:space="0" w:color="auto"/>
              <w:bottom w:val="single" w:sz="4" w:space="0" w:color="auto"/>
              <w:right w:val="single" w:sz="4" w:space="0" w:color="auto"/>
            </w:tcBorders>
            <w:hideMark/>
          </w:tcPr>
          <w:p w14:paraId="2136C2C2" w14:textId="77777777" w:rsidR="00441994" w:rsidRPr="00441994" w:rsidRDefault="00441994">
            <w:pPr>
              <w:jc w:val="center"/>
              <w:rPr>
                <w:rFonts w:ascii="Arial" w:hAnsi="Arial" w:cs="Arial"/>
                <w:b/>
                <w:sz w:val="16"/>
                <w:szCs w:val="16"/>
              </w:rPr>
            </w:pPr>
            <w:r w:rsidRPr="00441994">
              <w:rPr>
                <w:rFonts w:ascii="Arial" w:hAnsi="Arial" w:cs="Arial"/>
                <w:b/>
                <w:sz w:val="16"/>
                <w:szCs w:val="16"/>
              </w:rPr>
              <w:t>1</w:t>
            </w:r>
          </w:p>
        </w:tc>
        <w:tc>
          <w:tcPr>
            <w:tcW w:w="948" w:type="dxa"/>
            <w:tcBorders>
              <w:top w:val="single" w:sz="4" w:space="0" w:color="auto"/>
              <w:left w:val="single" w:sz="4" w:space="0" w:color="auto"/>
              <w:bottom w:val="single" w:sz="4" w:space="0" w:color="auto"/>
              <w:right w:val="single" w:sz="4" w:space="0" w:color="auto"/>
            </w:tcBorders>
            <w:hideMark/>
          </w:tcPr>
          <w:p w14:paraId="4CDA5C0D" w14:textId="77777777" w:rsidR="00441994" w:rsidRPr="00441994" w:rsidRDefault="00441994">
            <w:pPr>
              <w:jc w:val="center"/>
              <w:rPr>
                <w:rFonts w:ascii="Arial" w:hAnsi="Arial" w:cs="Arial"/>
                <w:b/>
                <w:sz w:val="16"/>
                <w:szCs w:val="16"/>
              </w:rPr>
            </w:pPr>
            <w:r w:rsidRPr="00441994">
              <w:rPr>
                <w:rFonts w:ascii="Arial" w:hAnsi="Arial" w:cs="Arial"/>
                <w:b/>
                <w:sz w:val="16"/>
                <w:szCs w:val="16"/>
              </w:rPr>
              <w:t>2</w:t>
            </w:r>
          </w:p>
        </w:tc>
        <w:tc>
          <w:tcPr>
            <w:tcW w:w="1183" w:type="dxa"/>
            <w:tcBorders>
              <w:top w:val="single" w:sz="4" w:space="0" w:color="auto"/>
              <w:left w:val="single" w:sz="4" w:space="0" w:color="auto"/>
              <w:bottom w:val="single" w:sz="4" w:space="0" w:color="auto"/>
              <w:right w:val="single" w:sz="4" w:space="0" w:color="auto"/>
            </w:tcBorders>
            <w:hideMark/>
          </w:tcPr>
          <w:p w14:paraId="700A34D0" w14:textId="77777777" w:rsidR="00441994" w:rsidRPr="00441994" w:rsidRDefault="00441994">
            <w:pPr>
              <w:jc w:val="center"/>
              <w:rPr>
                <w:rFonts w:ascii="Arial" w:hAnsi="Arial" w:cs="Arial"/>
                <w:b/>
                <w:sz w:val="16"/>
                <w:szCs w:val="16"/>
              </w:rPr>
            </w:pPr>
            <w:r w:rsidRPr="00441994">
              <w:rPr>
                <w:rFonts w:ascii="Arial" w:hAnsi="Arial" w:cs="Arial"/>
                <w:b/>
                <w:sz w:val="16"/>
                <w:szCs w:val="16"/>
              </w:rPr>
              <w:t>3</w:t>
            </w:r>
          </w:p>
        </w:tc>
        <w:tc>
          <w:tcPr>
            <w:tcW w:w="1319" w:type="dxa"/>
            <w:tcBorders>
              <w:top w:val="single" w:sz="4" w:space="0" w:color="auto"/>
              <w:left w:val="single" w:sz="4" w:space="0" w:color="auto"/>
              <w:bottom w:val="single" w:sz="4" w:space="0" w:color="auto"/>
              <w:right w:val="single" w:sz="4" w:space="0" w:color="auto"/>
            </w:tcBorders>
            <w:hideMark/>
          </w:tcPr>
          <w:p w14:paraId="52990473" w14:textId="77777777" w:rsidR="00441994" w:rsidRPr="00441994" w:rsidRDefault="00441994">
            <w:pPr>
              <w:jc w:val="center"/>
              <w:rPr>
                <w:rFonts w:ascii="Arial" w:hAnsi="Arial" w:cs="Arial"/>
                <w:b/>
                <w:sz w:val="16"/>
                <w:szCs w:val="16"/>
              </w:rPr>
            </w:pPr>
            <w:r w:rsidRPr="00441994">
              <w:rPr>
                <w:rFonts w:ascii="Arial" w:hAnsi="Arial" w:cs="Arial"/>
                <w:b/>
                <w:sz w:val="16"/>
                <w:szCs w:val="16"/>
              </w:rPr>
              <w:t>4</w:t>
            </w:r>
          </w:p>
        </w:tc>
        <w:tc>
          <w:tcPr>
            <w:tcW w:w="1680" w:type="dxa"/>
            <w:tcBorders>
              <w:top w:val="single" w:sz="4" w:space="0" w:color="auto"/>
              <w:left w:val="single" w:sz="4" w:space="0" w:color="auto"/>
              <w:bottom w:val="single" w:sz="4" w:space="0" w:color="auto"/>
              <w:right w:val="single" w:sz="4" w:space="0" w:color="auto"/>
            </w:tcBorders>
            <w:hideMark/>
          </w:tcPr>
          <w:p w14:paraId="534C9767" w14:textId="77777777" w:rsidR="00441994" w:rsidRPr="00441994" w:rsidRDefault="00441994">
            <w:pPr>
              <w:jc w:val="center"/>
              <w:rPr>
                <w:rFonts w:ascii="Arial" w:hAnsi="Arial" w:cs="Arial"/>
                <w:b/>
                <w:sz w:val="16"/>
                <w:szCs w:val="16"/>
              </w:rPr>
            </w:pPr>
            <w:r w:rsidRPr="00441994">
              <w:rPr>
                <w:rFonts w:ascii="Arial" w:hAnsi="Arial" w:cs="Arial"/>
                <w:b/>
                <w:sz w:val="16"/>
                <w:szCs w:val="16"/>
              </w:rPr>
              <w:t>5</w:t>
            </w:r>
          </w:p>
        </w:tc>
        <w:tc>
          <w:tcPr>
            <w:tcW w:w="1326" w:type="dxa"/>
            <w:tcBorders>
              <w:top w:val="single" w:sz="4" w:space="0" w:color="auto"/>
              <w:left w:val="single" w:sz="4" w:space="0" w:color="auto"/>
              <w:bottom w:val="single" w:sz="4" w:space="0" w:color="auto"/>
              <w:right w:val="single" w:sz="4" w:space="0" w:color="auto"/>
            </w:tcBorders>
            <w:hideMark/>
          </w:tcPr>
          <w:p w14:paraId="3C592C46" w14:textId="77777777" w:rsidR="00441994" w:rsidRPr="00441994" w:rsidRDefault="00441994">
            <w:pPr>
              <w:jc w:val="center"/>
              <w:rPr>
                <w:rFonts w:ascii="Arial" w:hAnsi="Arial" w:cs="Arial"/>
                <w:b/>
                <w:sz w:val="16"/>
                <w:szCs w:val="16"/>
              </w:rPr>
            </w:pPr>
            <w:r w:rsidRPr="00441994">
              <w:rPr>
                <w:rFonts w:ascii="Arial" w:hAnsi="Arial" w:cs="Arial"/>
                <w:b/>
                <w:sz w:val="16"/>
                <w:szCs w:val="16"/>
              </w:rPr>
              <w:t>6</w:t>
            </w:r>
          </w:p>
        </w:tc>
        <w:tc>
          <w:tcPr>
            <w:tcW w:w="1184" w:type="dxa"/>
            <w:tcBorders>
              <w:top w:val="single" w:sz="4" w:space="0" w:color="auto"/>
              <w:left w:val="single" w:sz="4" w:space="0" w:color="auto"/>
              <w:bottom w:val="single" w:sz="4" w:space="0" w:color="auto"/>
              <w:right w:val="single" w:sz="4" w:space="0" w:color="auto"/>
            </w:tcBorders>
            <w:hideMark/>
          </w:tcPr>
          <w:p w14:paraId="44045BD0" w14:textId="77777777" w:rsidR="00441994" w:rsidRPr="00441994" w:rsidRDefault="00441994">
            <w:pPr>
              <w:jc w:val="center"/>
              <w:rPr>
                <w:rFonts w:ascii="Arial" w:hAnsi="Arial" w:cs="Arial"/>
                <w:b/>
                <w:sz w:val="16"/>
                <w:szCs w:val="16"/>
              </w:rPr>
            </w:pPr>
            <w:r w:rsidRPr="00441994">
              <w:rPr>
                <w:rFonts w:ascii="Arial" w:hAnsi="Arial" w:cs="Arial"/>
                <w:b/>
                <w:sz w:val="16"/>
                <w:szCs w:val="16"/>
              </w:rPr>
              <w:t>7</w:t>
            </w:r>
          </w:p>
        </w:tc>
        <w:tc>
          <w:tcPr>
            <w:tcW w:w="1735" w:type="dxa"/>
            <w:tcBorders>
              <w:top w:val="single" w:sz="4" w:space="0" w:color="auto"/>
              <w:left w:val="single" w:sz="4" w:space="0" w:color="auto"/>
              <w:bottom w:val="single" w:sz="4" w:space="0" w:color="auto"/>
              <w:right w:val="single" w:sz="4" w:space="0" w:color="auto"/>
            </w:tcBorders>
            <w:hideMark/>
          </w:tcPr>
          <w:p w14:paraId="764300FE" w14:textId="77777777" w:rsidR="00441994" w:rsidRPr="00441994" w:rsidRDefault="00441994">
            <w:pPr>
              <w:jc w:val="center"/>
              <w:rPr>
                <w:rFonts w:ascii="Arial" w:hAnsi="Arial" w:cs="Arial"/>
                <w:b/>
                <w:sz w:val="16"/>
                <w:szCs w:val="16"/>
              </w:rPr>
            </w:pPr>
            <w:r w:rsidRPr="00441994">
              <w:rPr>
                <w:rFonts w:ascii="Arial" w:hAnsi="Arial" w:cs="Arial"/>
                <w:b/>
                <w:sz w:val="16"/>
                <w:szCs w:val="16"/>
              </w:rPr>
              <w:t>8</w:t>
            </w:r>
          </w:p>
        </w:tc>
      </w:tr>
      <w:tr w:rsidR="00441994" w:rsidRPr="00441994" w14:paraId="3816474A" w14:textId="77777777" w:rsidTr="00C526AC">
        <w:trPr>
          <w:trHeight w:val="512"/>
        </w:trPr>
        <w:tc>
          <w:tcPr>
            <w:tcW w:w="1391" w:type="dxa"/>
            <w:tcBorders>
              <w:top w:val="single" w:sz="4" w:space="0" w:color="auto"/>
              <w:left w:val="single" w:sz="4" w:space="0" w:color="auto"/>
              <w:bottom w:val="single" w:sz="4" w:space="0" w:color="auto"/>
              <w:right w:val="single" w:sz="4" w:space="0" w:color="auto"/>
            </w:tcBorders>
            <w:hideMark/>
          </w:tcPr>
          <w:p w14:paraId="612B7B23" w14:textId="77777777" w:rsidR="00441994" w:rsidRPr="00441994" w:rsidRDefault="00441994">
            <w:pPr>
              <w:rPr>
                <w:rFonts w:ascii="Arial" w:hAnsi="Arial" w:cs="Arial"/>
                <w:sz w:val="16"/>
                <w:szCs w:val="16"/>
              </w:rPr>
            </w:pPr>
            <w:r w:rsidRPr="00441994">
              <w:rPr>
                <w:rFonts w:ascii="Arial" w:hAnsi="Arial" w:cs="Arial"/>
                <w:sz w:val="16"/>
                <w:szCs w:val="16"/>
              </w:rPr>
              <w:t>Opći prihodi i primici</w:t>
            </w:r>
          </w:p>
        </w:tc>
        <w:tc>
          <w:tcPr>
            <w:tcW w:w="948" w:type="dxa"/>
            <w:tcBorders>
              <w:top w:val="single" w:sz="4" w:space="0" w:color="auto"/>
              <w:left w:val="single" w:sz="4" w:space="0" w:color="auto"/>
              <w:bottom w:val="single" w:sz="4" w:space="0" w:color="auto"/>
              <w:right w:val="single" w:sz="4" w:space="0" w:color="auto"/>
            </w:tcBorders>
            <w:hideMark/>
          </w:tcPr>
          <w:p w14:paraId="5C1FD4F7" w14:textId="77777777" w:rsidR="00441994" w:rsidRPr="00441994" w:rsidRDefault="00441994">
            <w:pPr>
              <w:jc w:val="right"/>
              <w:rPr>
                <w:rFonts w:ascii="Arial" w:hAnsi="Arial" w:cs="Arial"/>
                <w:sz w:val="16"/>
                <w:szCs w:val="16"/>
              </w:rPr>
            </w:pPr>
            <w:r w:rsidRPr="00441994">
              <w:rPr>
                <w:rFonts w:ascii="Arial" w:hAnsi="Arial" w:cs="Arial"/>
                <w:sz w:val="16"/>
                <w:szCs w:val="16"/>
              </w:rPr>
              <w:t>1.1.001</w:t>
            </w:r>
          </w:p>
        </w:tc>
        <w:tc>
          <w:tcPr>
            <w:tcW w:w="1183" w:type="dxa"/>
            <w:tcBorders>
              <w:top w:val="single" w:sz="4" w:space="0" w:color="auto"/>
              <w:left w:val="single" w:sz="4" w:space="0" w:color="auto"/>
              <w:bottom w:val="single" w:sz="4" w:space="0" w:color="auto"/>
              <w:right w:val="single" w:sz="4" w:space="0" w:color="auto"/>
            </w:tcBorders>
            <w:hideMark/>
          </w:tcPr>
          <w:p w14:paraId="4C39ED1C" w14:textId="77777777" w:rsidR="00441994" w:rsidRPr="00441994" w:rsidRDefault="00441994">
            <w:pPr>
              <w:jc w:val="right"/>
              <w:rPr>
                <w:rFonts w:ascii="Arial" w:hAnsi="Arial" w:cs="Arial"/>
                <w:sz w:val="16"/>
                <w:szCs w:val="16"/>
              </w:rPr>
            </w:pPr>
            <w:r w:rsidRPr="00441994">
              <w:rPr>
                <w:rFonts w:ascii="Arial" w:hAnsi="Arial" w:cs="Arial"/>
                <w:sz w:val="16"/>
                <w:szCs w:val="16"/>
              </w:rPr>
              <w:t>16.600,00</w:t>
            </w:r>
          </w:p>
        </w:tc>
        <w:tc>
          <w:tcPr>
            <w:tcW w:w="1319" w:type="dxa"/>
            <w:tcBorders>
              <w:top w:val="single" w:sz="4" w:space="0" w:color="auto"/>
              <w:left w:val="single" w:sz="4" w:space="0" w:color="auto"/>
              <w:bottom w:val="single" w:sz="4" w:space="0" w:color="auto"/>
              <w:right w:val="single" w:sz="4" w:space="0" w:color="auto"/>
            </w:tcBorders>
            <w:hideMark/>
          </w:tcPr>
          <w:p w14:paraId="654A1BCB" w14:textId="77777777" w:rsidR="00441994" w:rsidRPr="00441994" w:rsidRDefault="00441994">
            <w:pPr>
              <w:jc w:val="right"/>
              <w:rPr>
                <w:rFonts w:ascii="Arial" w:hAnsi="Arial" w:cs="Arial"/>
                <w:sz w:val="16"/>
                <w:szCs w:val="16"/>
              </w:rPr>
            </w:pPr>
            <w:r w:rsidRPr="00441994">
              <w:rPr>
                <w:rFonts w:ascii="Arial" w:hAnsi="Arial" w:cs="Arial"/>
                <w:sz w:val="16"/>
                <w:szCs w:val="16"/>
              </w:rPr>
              <w:t>-1.498,00</w:t>
            </w:r>
          </w:p>
        </w:tc>
        <w:tc>
          <w:tcPr>
            <w:tcW w:w="1680" w:type="dxa"/>
            <w:tcBorders>
              <w:top w:val="single" w:sz="4" w:space="0" w:color="auto"/>
              <w:left w:val="single" w:sz="4" w:space="0" w:color="auto"/>
              <w:bottom w:val="single" w:sz="4" w:space="0" w:color="auto"/>
              <w:right w:val="single" w:sz="4" w:space="0" w:color="auto"/>
            </w:tcBorders>
            <w:hideMark/>
          </w:tcPr>
          <w:p w14:paraId="671925AB" w14:textId="77777777" w:rsidR="00441994" w:rsidRPr="00441994" w:rsidRDefault="00441994">
            <w:pPr>
              <w:jc w:val="right"/>
              <w:rPr>
                <w:rFonts w:ascii="Arial" w:hAnsi="Arial" w:cs="Arial"/>
                <w:sz w:val="16"/>
                <w:szCs w:val="16"/>
              </w:rPr>
            </w:pPr>
            <w:r w:rsidRPr="00441994">
              <w:rPr>
                <w:rFonts w:ascii="Arial" w:hAnsi="Arial" w:cs="Arial"/>
                <w:sz w:val="16"/>
                <w:szCs w:val="16"/>
              </w:rPr>
              <w:t>17.500,00</w:t>
            </w:r>
          </w:p>
        </w:tc>
        <w:tc>
          <w:tcPr>
            <w:tcW w:w="1326" w:type="dxa"/>
            <w:tcBorders>
              <w:top w:val="single" w:sz="4" w:space="0" w:color="auto"/>
              <w:left w:val="single" w:sz="4" w:space="0" w:color="auto"/>
              <w:bottom w:val="single" w:sz="4" w:space="0" w:color="auto"/>
              <w:right w:val="single" w:sz="4" w:space="0" w:color="auto"/>
            </w:tcBorders>
            <w:hideMark/>
          </w:tcPr>
          <w:p w14:paraId="4AC6F2AD" w14:textId="77777777" w:rsidR="00441994" w:rsidRPr="00441994" w:rsidRDefault="00441994">
            <w:pPr>
              <w:jc w:val="right"/>
              <w:rPr>
                <w:rFonts w:ascii="Arial" w:hAnsi="Arial" w:cs="Arial"/>
                <w:sz w:val="16"/>
                <w:szCs w:val="16"/>
              </w:rPr>
            </w:pPr>
            <w:r w:rsidRPr="00441994">
              <w:rPr>
                <w:rFonts w:ascii="Arial" w:hAnsi="Arial" w:cs="Arial"/>
                <w:sz w:val="16"/>
                <w:szCs w:val="16"/>
              </w:rPr>
              <w:t>18.998,00</w:t>
            </w:r>
          </w:p>
        </w:tc>
        <w:tc>
          <w:tcPr>
            <w:tcW w:w="1184" w:type="dxa"/>
            <w:tcBorders>
              <w:top w:val="single" w:sz="4" w:space="0" w:color="auto"/>
              <w:left w:val="single" w:sz="4" w:space="0" w:color="auto"/>
              <w:bottom w:val="single" w:sz="4" w:space="0" w:color="auto"/>
              <w:right w:val="single" w:sz="4" w:space="0" w:color="auto"/>
            </w:tcBorders>
            <w:hideMark/>
          </w:tcPr>
          <w:p w14:paraId="4D58C3B8" w14:textId="77777777" w:rsidR="00441994" w:rsidRPr="00441994" w:rsidRDefault="00441994">
            <w:pPr>
              <w:jc w:val="right"/>
              <w:rPr>
                <w:rFonts w:ascii="Arial" w:hAnsi="Arial" w:cs="Arial"/>
                <w:sz w:val="16"/>
                <w:szCs w:val="16"/>
              </w:rPr>
            </w:pPr>
            <w:r w:rsidRPr="00441994">
              <w:rPr>
                <w:rFonts w:ascii="Arial" w:hAnsi="Arial" w:cs="Arial"/>
                <w:sz w:val="16"/>
                <w:szCs w:val="16"/>
              </w:rPr>
              <w:t>16.600,00</w:t>
            </w:r>
          </w:p>
        </w:tc>
        <w:tc>
          <w:tcPr>
            <w:tcW w:w="1735" w:type="dxa"/>
            <w:tcBorders>
              <w:top w:val="single" w:sz="4" w:space="0" w:color="auto"/>
              <w:left w:val="single" w:sz="4" w:space="0" w:color="auto"/>
              <w:bottom w:val="single" w:sz="4" w:space="0" w:color="auto"/>
              <w:right w:val="single" w:sz="4" w:space="0" w:color="auto"/>
            </w:tcBorders>
            <w:hideMark/>
          </w:tcPr>
          <w:p w14:paraId="615940C2" w14:textId="77777777" w:rsidR="00441994" w:rsidRPr="00441994" w:rsidRDefault="00441994">
            <w:pPr>
              <w:jc w:val="right"/>
              <w:rPr>
                <w:rFonts w:ascii="Arial" w:hAnsi="Arial" w:cs="Arial"/>
                <w:sz w:val="16"/>
                <w:szCs w:val="16"/>
              </w:rPr>
            </w:pPr>
            <w:r w:rsidRPr="00441994">
              <w:rPr>
                <w:rFonts w:ascii="Arial" w:hAnsi="Arial" w:cs="Arial"/>
                <w:sz w:val="16"/>
                <w:szCs w:val="16"/>
              </w:rPr>
              <w:t>17.500,00</w:t>
            </w:r>
          </w:p>
        </w:tc>
      </w:tr>
      <w:tr w:rsidR="00441994" w:rsidRPr="00441994" w14:paraId="5C2D3BDA" w14:textId="77777777" w:rsidTr="00C526AC">
        <w:trPr>
          <w:trHeight w:val="526"/>
        </w:trPr>
        <w:tc>
          <w:tcPr>
            <w:tcW w:w="1391" w:type="dxa"/>
            <w:tcBorders>
              <w:top w:val="single" w:sz="4" w:space="0" w:color="auto"/>
              <w:left w:val="single" w:sz="4" w:space="0" w:color="auto"/>
              <w:bottom w:val="single" w:sz="4" w:space="0" w:color="auto"/>
              <w:right w:val="single" w:sz="4" w:space="0" w:color="auto"/>
            </w:tcBorders>
            <w:hideMark/>
          </w:tcPr>
          <w:p w14:paraId="49B9C28A" w14:textId="77777777" w:rsidR="00441994" w:rsidRPr="00441994" w:rsidRDefault="00441994">
            <w:pPr>
              <w:rPr>
                <w:rFonts w:ascii="Arial" w:hAnsi="Arial" w:cs="Arial"/>
                <w:sz w:val="16"/>
                <w:szCs w:val="16"/>
              </w:rPr>
            </w:pPr>
            <w:r w:rsidRPr="00441994">
              <w:rPr>
                <w:rFonts w:ascii="Arial" w:hAnsi="Arial" w:cs="Arial"/>
                <w:sz w:val="16"/>
                <w:szCs w:val="16"/>
              </w:rPr>
              <w:lastRenderedPageBreak/>
              <w:t>Vlastiti prihodi</w:t>
            </w:r>
          </w:p>
        </w:tc>
        <w:tc>
          <w:tcPr>
            <w:tcW w:w="948" w:type="dxa"/>
            <w:tcBorders>
              <w:top w:val="single" w:sz="4" w:space="0" w:color="auto"/>
              <w:left w:val="single" w:sz="4" w:space="0" w:color="auto"/>
              <w:bottom w:val="single" w:sz="4" w:space="0" w:color="auto"/>
              <w:right w:val="single" w:sz="4" w:space="0" w:color="auto"/>
            </w:tcBorders>
            <w:hideMark/>
          </w:tcPr>
          <w:p w14:paraId="76690E1B" w14:textId="77777777" w:rsidR="00441994" w:rsidRPr="00441994" w:rsidRDefault="00441994">
            <w:pPr>
              <w:jc w:val="right"/>
              <w:rPr>
                <w:rFonts w:ascii="Arial" w:hAnsi="Arial" w:cs="Arial"/>
                <w:sz w:val="16"/>
                <w:szCs w:val="16"/>
              </w:rPr>
            </w:pPr>
            <w:r w:rsidRPr="00441994">
              <w:rPr>
                <w:rFonts w:ascii="Arial" w:hAnsi="Arial" w:cs="Arial"/>
                <w:sz w:val="16"/>
                <w:szCs w:val="16"/>
              </w:rPr>
              <w:t>3.9.00001</w:t>
            </w:r>
          </w:p>
        </w:tc>
        <w:tc>
          <w:tcPr>
            <w:tcW w:w="1183" w:type="dxa"/>
            <w:tcBorders>
              <w:top w:val="single" w:sz="4" w:space="0" w:color="auto"/>
              <w:left w:val="single" w:sz="4" w:space="0" w:color="auto"/>
              <w:bottom w:val="single" w:sz="4" w:space="0" w:color="auto"/>
              <w:right w:val="single" w:sz="4" w:space="0" w:color="auto"/>
            </w:tcBorders>
            <w:hideMark/>
          </w:tcPr>
          <w:p w14:paraId="374F2A2E" w14:textId="77777777" w:rsidR="00441994" w:rsidRPr="00441994" w:rsidRDefault="00441994">
            <w:pPr>
              <w:jc w:val="right"/>
              <w:rPr>
                <w:rFonts w:ascii="Arial" w:hAnsi="Arial" w:cs="Arial"/>
                <w:sz w:val="16"/>
                <w:szCs w:val="16"/>
              </w:rPr>
            </w:pPr>
            <w:r w:rsidRPr="00441994">
              <w:rPr>
                <w:rFonts w:ascii="Arial" w:hAnsi="Arial" w:cs="Arial"/>
                <w:sz w:val="16"/>
                <w:szCs w:val="16"/>
              </w:rPr>
              <w:t>120,00</w:t>
            </w:r>
          </w:p>
        </w:tc>
        <w:tc>
          <w:tcPr>
            <w:tcW w:w="1319" w:type="dxa"/>
            <w:tcBorders>
              <w:top w:val="single" w:sz="4" w:space="0" w:color="auto"/>
              <w:left w:val="single" w:sz="4" w:space="0" w:color="auto"/>
              <w:bottom w:val="single" w:sz="4" w:space="0" w:color="auto"/>
              <w:right w:val="single" w:sz="4" w:space="0" w:color="auto"/>
            </w:tcBorders>
            <w:hideMark/>
          </w:tcPr>
          <w:p w14:paraId="7311F0AA" w14:textId="77777777" w:rsidR="00441994" w:rsidRPr="00441994" w:rsidRDefault="00441994">
            <w:pPr>
              <w:jc w:val="right"/>
              <w:rPr>
                <w:rFonts w:ascii="Arial" w:hAnsi="Arial" w:cs="Arial"/>
                <w:sz w:val="16"/>
                <w:szCs w:val="16"/>
              </w:rPr>
            </w:pPr>
            <w:r w:rsidRPr="00441994">
              <w:rPr>
                <w:rFonts w:ascii="Arial" w:hAnsi="Arial" w:cs="Arial"/>
                <w:sz w:val="16"/>
                <w:szCs w:val="16"/>
              </w:rPr>
              <w:t>0,00</w:t>
            </w:r>
          </w:p>
        </w:tc>
        <w:tc>
          <w:tcPr>
            <w:tcW w:w="1680" w:type="dxa"/>
            <w:tcBorders>
              <w:top w:val="single" w:sz="4" w:space="0" w:color="auto"/>
              <w:left w:val="single" w:sz="4" w:space="0" w:color="auto"/>
              <w:bottom w:val="single" w:sz="4" w:space="0" w:color="auto"/>
              <w:right w:val="single" w:sz="4" w:space="0" w:color="auto"/>
            </w:tcBorders>
            <w:hideMark/>
          </w:tcPr>
          <w:p w14:paraId="124A8E51" w14:textId="77777777" w:rsidR="00441994" w:rsidRPr="00441994" w:rsidRDefault="00441994">
            <w:pPr>
              <w:jc w:val="right"/>
              <w:rPr>
                <w:rFonts w:ascii="Arial" w:hAnsi="Arial" w:cs="Arial"/>
                <w:sz w:val="16"/>
                <w:szCs w:val="16"/>
              </w:rPr>
            </w:pPr>
            <w:r w:rsidRPr="00441994">
              <w:rPr>
                <w:rFonts w:ascii="Arial" w:hAnsi="Arial" w:cs="Arial"/>
                <w:sz w:val="16"/>
                <w:szCs w:val="16"/>
              </w:rPr>
              <w:t>120,00</w:t>
            </w:r>
          </w:p>
        </w:tc>
        <w:tc>
          <w:tcPr>
            <w:tcW w:w="1326" w:type="dxa"/>
            <w:tcBorders>
              <w:top w:val="single" w:sz="4" w:space="0" w:color="auto"/>
              <w:left w:val="single" w:sz="4" w:space="0" w:color="auto"/>
              <w:bottom w:val="single" w:sz="4" w:space="0" w:color="auto"/>
              <w:right w:val="single" w:sz="4" w:space="0" w:color="auto"/>
            </w:tcBorders>
            <w:hideMark/>
          </w:tcPr>
          <w:p w14:paraId="514263E9" w14:textId="77777777" w:rsidR="00441994" w:rsidRPr="00441994" w:rsidRDefault="00441994">
            <w:pPr>
              <w:jc w:val="right"/>
              <w:rPr>
                <w:rFonts w:ascii="Arial" w:hAnsi="Arial" w:cs="Arial"/>
                <w:sz w:val="16"/>
                <w:szCs w:val="16"/>
              </w:rPr>
            </w:pPr>
            <w:r w:rsidRPr="00441994">
              <w:rPr>
                <w:rFonts w:ascii="Arial" w:hAnsi="Arial" w:cs="Arial"/>
                <w:sz w:val="16"/>
                <w:szCs w:val="16"/>
              </w:rPr>
              <w:t>120,00</w:t>
            </w:r>
          </w:p>
        </w:tc>
        <w:tc>
          <w:tcPr>
            <w:tcW w:w="1184" w:type="dxa"/>
            <w:tcBorders>
              <w:top w:val="single" w:sz="4" w:space="0" w:color="auto"/>
              <w:left w:val="single" w:sz="4" w:space="0" w:color="auto"/>
              <w:bottom w:val="single" w:sz="4" w:space="0" w:color="auto"/>
              <w:right w:val="single" w:sz="4" w:space="0" w:color="auto"/>
            </w:tcBorders>
            <w:hideMark/>
          </w:tcPr>
          <w:p w14:paraId="7AFFBB1B" w14:textId="77777777" w:rsidR="00441994" w:rsidRPr="00441994" w:rsidRDefault="00441994">
            <w:pPr>
              <w:jc w:val="right"/>
              <w:rPr>
                <w:rFonts w:ascii="Arial" w:hAnsi="Arial" w:cs="Arial"/>
                <w:sz w:val="16"/>
                <w:szCs w:val="16"/>
              </w:rPr>
            </w:pPr>
            <w:r w:rsidRPr="00441994">
              <w:rPr>
                <w:rFonts w:ascii="Arial" w:hAnsi="Arial" w:cs="Arial"/>
                <w:sz w:val="16"/>
                <w:szCs w:val="16"/>
              </w:rPr>
              <w:t>120,00</w:t>
            </w:r>
          </w:p>
        </w:tc>
        <w:tc>
          <w:tcPr>
            <w:tcW w:w="1735" w:type="dxa"/>
            <w:tcBorders>
              <w:top w:val="single" w:sz="4" w:space="0" w:color="auto"/>
              <w:left w:val="single" w:sz="4" w:space="0" w:color="auto"/>
              <w:bottom w:val="single" w:sz="4" w:space="0" w:color="auto"/>
              <w:right w:val="single" w:sz="4" w:space="0" w:color="auto"/>
            </w:tcBorders>
            <w:hideMark/>
          </w:tcPr>
          <w:p w14:paraId="3FB9F65E" w14:textId="77777777" w:rsidR="00441994" w:rsidRPr="00441994" w:rsidRDefault="00441994">
            <w:pPr>
              <w:jc w:val="right"/>
              <w:rPr>
                <w:rFonts w:ascii="Arial" w:hAnsi="Arial" w:cs="Arial"/>
                <w:sz w:val="16"/>
                <w:szCs w:val="16"/>
              </w:rPr>
            </w:pPr>
            <w:r w:rsidRPr="00441994">
              <w:rPr>
                <w:rFonts w:ascii="Arial" w:hAnsi="Arial" w:cs="Arial"/>
                <w:sz w:val="16"/>
                <w:szCs w:val="16"/>
              </w:rPr>
              <w:t>120,00</w:t>
            </w:r>
          </w:p>
        </w:tc>
      </w:tr>
      <w:tr w:rsidR="00441994" w:rsidRPr="00441994" w14:paraId="0B262D3F" w14:textId="77777777" w:rsidTr="00C526AC">
        <w:trPr>
          <w:trHeight w:val="807"/>
        </w:trPr>
        <w:tc>
          <w:tcPr>
            <w:tcW w:w="1391" w:type="dxa"/>
            <w:tcBorders>
              <w:top w:val="single" w:sz="4" w:space="0" w:color="auto"/>
              <w:left w:val="single" w:sz="4" w:space="0" w:color="auto"/>
              <w:bottom w:val="single" w:sz="4" w:space="0" w:color="auto"/>
              <w:right w:val="single" w:sz="4" w:space="0" w:color="auto"/>
            </w:tcBorders>
            <w:hideMark/>
          </w:tcPr>
          <w:p w14:paraId="4E5E13E1" w14:textId="77777777" w:rsidR="00441994" w:rsidRPr="00441994" w:rsidRDefault="00441994">
            <w:pPr>
              <w:rPr>
                <w:rFonts w:ascii="Arial" w:hAnsi="Arial" w:cs="Arial"/>
                <w:sz w:val="16"/>
                <w:szCs w:val="16"/>
              </w:rPr>
            </w:pPr>
            <w:r w:rsidRPr="00441994">
              <w:rPr>
                <w:rFonts w:ascii="Arial" w:hAnsi="Arial" w:cs="Arial"/>
                <w:sz w:val="16"/>
                <w:szCs w:val="16"/>
              </w:rPr>
              <w:t>Prihodi za posebne namjene</w:t>
            </w:r>
          </w:p>
        </w:tc>
        <w:tc>
          <w:tcPr>
            <w:tcW w:w="948" w:type="dxa"/>
            <w:tcBorders>
              <w:top w:val="single" w:sz="4" w:space="0" w:color="auto"/>
              <w:left w:val="single" w:sz="4" w:space="0" w:color="auto"/>
              <w:bottom w:val="single" w:sz="4" w:space="0" w:color="auto"/>
              <w:right w:val="single" w:sz="4" w:space="0" w:color="auto"/>
            </w:tcBorders>
            <w:hideMark/>
          </w:tcPr>
          <w:p w14:paraId="0A2D77FB" w14:textId="77777777" w:rsidR="00441994" w:rsidRPr="00441994" w:rsidRDefault="00441994">
            <w:pPr>
              <w:jc w:val="right"/>
              <w:rPr>
                <w:rFonts w:ascii="Arial" w:hAnsi="Arial" w:cs="Arial"/>
                <w:sz w:val="16"/>
                <w:szCs w:val="16"/>
              </w:rPr>
            </w:pPr>
            <w:r w:rsidRPr="00441994">
              <w:rPr>
                <w:rFonts w:ascii="Arial" w:hAnsi="Arial" w:cs="Arial"/>
                <w:sz w:val="16"/>
                <w:szCs w:val="16"/>
              </w:rPr>
              <w:t>4.9.00001    4.9.00002</w:t>
            </w:r>
          </w:p>
        </w:tc>
        <w:tc>
          <w:tcPr>
            <w:tcW w:w="1183" w:type="dxa"/>
            <w:tcBorders>
              <w:top w:val="single" w:sz="4" w:space="0" w:color="auto"/>
              <w:left w:val="single" w:sz="4" w:space="0" w:color="auto"/>
              <w:bottom w:val="single" w:sz="4" w:space="0" w:color="auto"/>
              <w:right w:val="single" w:sz="4" w:space="0" w:color="auto"/>
            </w:tcBorders>
          </w:tcPr>
          <w:p w14:paraId="0D60987A" w14:textId="77777777" w:rsidR="00441994" w:rsidRPr="00441994" w:rsidRDefault="00441994">
            <w:pPr>
              <w:jc w:val="right"/>
              <w:rPr>
                <w:rFonts w:ascii="Arial" w:hAnsi="Arial" w:cs="Arial"/>
                <w:sz w:val="16"/>
                <w:szCs w:val="16"/>
              </w:rPr>
            </w:pPr>
          </w:p>
          <w:p w14:paraId="4DC62DF3" w14:textId="77777777" w:rsidR="00441994" w:rsidRPr="00441994" w:rsidRDefault="00441994">
            <w:pPr>
              <w:jc w:val="right"/>
              <w:rPr>
                <w:rFonts w:ascii="Arial" w:hAnsi="Arial" w:cs="Arial"/>
                <w:sz w:val="16"/>
                <w:szCs w:val="16"/>
              </w:rPr>
            </w:pPr>
            <w:r w:rsidRPr="00441994">
              <w:rPr>
                <w:rFonts w:ascii="Arial" w:hAnsi="Arial" w:cs="Arial"/>
                <w:sz w:val="16"/>
                <w:szCs w:val="16"/>
              </w:rPr>
              <w:t>98.100,00</w:t>
            </w:r>
          </w:p>
        </w:tc>
        <w:tc>
          <w:tcPr>
            <w:tcW w:w="1319" w:type="dxa"/>
            <w:tcBorders>
              <w:top w:val="single" w:sz="4" w:space="0" w:color="auto"/>
              <w:left w:val="single" w:sz="4" w:space="0" w:color="auto"/>
              <w:bottom w:val="single" w:sz="4" w:space="0" w:color="auto"/>
              <w:right w:val="single" w:sz="4" w:space="0" w:color="auto"/>
            </w:tcBorders>
          </w:tcPr>
          <w:p w14:paraId="46DDB4DE" w14:textId="77777777" w:rsidR="00441994" w:rsidRPr="00441994" w:rsidRDefault="00441994">
            <w:pPr>
              <w:jc w:val="right"/>
              <w:rPr>
                <w:rFonts w:ascii="Arial" w:hAnsi="Arial" w:cs="Arial"/>
                <w:sz w:val="16"/>
                <w:szCs w:val="16"/>
              </w:rPr>
            </w:pPr>
          </w:p>
          <w:p w14:paraId="42709093" w14:textId="77777777" w:rsidR="00441994" w:rsidRPr="00441994" w:rsidRDefault="00441994">
            <w:pPr>
              <w:jc w:val="right"/>
              <w:rPr>
                <w:rFonts w:ascii="Arial" w:hAnsi="Arial" w:cs="Arial"/>
                <w:sz w:val="16"/>
                <w:szCs w:val="16"/>
              </w:rPr>
            </w:pPr>
            <w:r w:rsidRPr="00441994">
              <w:rPr>
                <w:rFonts w:ascii="Arial" w:hAnsi="Arial" w:cs="Arial"/>
                <w:sz w:val="16"/>
                <w:szCs w:val="16"/>
              </w:rPr>
              <w:t>2.350,00</w:t>
            </w:r>
          </w:p>
        </w:tc>
        <w:tc>
          <w:tcPr>
            <w:tcW w:w="1680" w:type="dxa"/>
            <w:tcBorders>
              <w:top w:val="single" w:sz="4" w:space="0" w:color="auto"/>
              <w:left w:val="single" w:sz="4" w:space="0" w:color="auto"/>
              <w:bottom w:val="single" w:sz="4" w:space="0" w:color="auto"/>
              <w:right w:val="single" w:sz="4" w:space="0" w:color="auto"/>
            </w:tcBorders>
          </w:tcPr>
          <w:p w14:paraId="73672EC4" w14:textId="77777777" w:rsidR="00441994" w:rsidRPr="00441994" w:rsidRDefault="00441994">
            <w:pPr>
              <w:jc w:val="right"/>
              <w:rPr>
                <w:rFonts w:ascii="Arial" w:hAnsi="Arial" w:cs="Arial"/>
                <w:sz w:val="16"/>
                <w:szCs w:val="16"/>
              </w:rPr>
            </w:pPr>
          </w:p>
          <w:p w14:paraId="587A0D76" w14:textId="77777777" w:rsidR="00441994" w:rsidRPr="00441994" w:rsidRDefault="00441994">
            <w:pPr>
              <w:jc w:val="right"/>
              <w:rPr>
                <w:rFonts w:ascii="Arial" w:hAnsi="Arial" w:cs="Arial"/>
                <w:sz w:val="16"/>
                <w:szCs w:val="16"/>
              </w:rPr>
            </w:pPr>
            <w:r w:rsidRPr="00441994">
              <w:rPr>
                <w:rFonts w:ascii="Arial" w:hAnsi="Arial" w:cs="Arial"/>
                <w:sz w:val="16"/>
                <w:szCs w:val="16"/>
              </w:rPr>
              <w:t>98.100,00</w:t>
            </w:r>
          </w:p>
        </w:tc>
        <w:tc>
          <w:tcPr>
            <w:tcW w:w="1326" w:type="dxa"/>
            <w:tcBorders>
              <w:top w:val="single" w:sz="4" w:space="0" w:color="auto"/>
              <w:left w:val="single" w:sz="4" w:space="0" w:color="auto"/>
              <w:bottom w:val="single" w:sz="4" w:space="0" w:color="auto"/>
              <w:right w:val="single" w:sz="4" w:space="0" w:color="auto"/>
            </w:tcBorders>
          </w:tcPr>
          <w:p w14:paraId="5D63563C" w14:textId="77777777" w:rsidR="00441994" w:rsidRPr="00441994" w:rsidRDefault="00441994">
            <w:pPr>
              <w:jc w:val="right"/>
              <w:rPr>
                <w:rFonts w:ascii="Arial" w:hAnsi="Arial" w:cs="Arial"/>
                <w:sz w:val="16"/>
                <w:szCs w:val="16"/>
              </w:rPr>
            </w:pPr>
          </w:p>
          <w:p w14:paraId="46F02AFE" w14:textId="77777777" w:rsidR="00441994" w:rsidRPr="00441994" w:rsidRDefault="00441994">
            <w:pPr>
              <w:jc w:val="right"/>
              <w:rPr>
                <w:rFonts w:ascii="Arial" w:hAnsi="Arial" w:cs="Arial"/>
                <w:sz w:val="16"/>
                <w:szCs w:val="16"/>
              </w:rPr>
            </w:pPr>
            <w:r w:rsidRPr="00441994">
              <w:rPr>
                <w:rFonts w:ascii="Arial" w:hAnsi="Arial" w:cs="Arial"/>
                <w:sz w:val="16"/>
                <w:szCs w:val="16"/>
              </w:rPr>
              <w:t>100.450,00</w:t>
            </w:r>
          </w:p>
        </w:tc>
        <w:tc>
          <w:tcPr>
            <w:tcW w:w="1184" w:type="dxa"/>
            <w:tcBorders>
              <w:top w:val="single" w:sz="4" w:space="0" w:color="auto"/>
              <w:left w:val="single" w:sz="4" w:space="0" w:color="auto"/>
              <w:bottom w:val="single" w:sz="4" w:space="0" w:color="auto"/>
              <w:right w:val="single" w:sz="4" w:space="0" w:color="auto"/>
            </w:tcBorders>
          </w:tcPr>
          <w:p w14:paraId="06AE1B08" w14:textId="77777777" w:rsidR="00441994" w:rsidRPr="00441994" w:rsidRDefault="00441994">
            <w:pPr>
              <w:jc w:val="right"/>
              <w:rPr>
                <w:rFonts w:ascii="Arial" w:hAnsi="Arial" w:cs="Arial"/>
                <w:sz w:val="16"/>
                <w:szCs w:val="16"/>
              </w:rPr>
            </w:pPr>
          </w:p>
          <w:p w14:paraId="604FC3B1" w14:textId="77777777" w:rsidR="00441994" w:rsidRPr="00441994" w:rsidRDefault="00441994">
            <w:pPr>
              <w:jc w:val="right"/>
              <w:rPr>
                <w:rFonts w:ascii="Arial" w:hAnsi="Arial" w:cs="Arial"/>
                <w:sz w:val="16"/>
                <w:szCs w:val="16"/>
              </w:rPr>
            </w:pPr>
            <w:r w:rsidRPr="00441994">
              <w:rPr>
                <w:rFonts w:ascii="Arial" w:hAnsi="Arial" w:cs="Arial"/>
                <w:sz w:val="16"/>
                <w:szCs w:val="16"/>
              </w:rPr>
              <w:t>98.100,00</w:t>
            </w:r>
          </w:p>
        </w:tc>
        <w:tc>
          <w:tcPr>
            <w:tcW w:w="1735" w:type="dxa"/>
            <w:tcBorders>
              <w:top w:val="single" w:sz="4" w:space="0" w:color="auto"/>
              <w:left w:val="single" w:sz="4" w:space="0" w:color="auto"/>
              <w:bottom w:val="single" w:sz="4" w:space="0" w:color="auto"/>
              <w:right w:val="single" w:sz="4" w:space="0" w:color="auto"/>
            </w:tcBorders>
          </w:tcPr>
          <w:p w14:paraId="6F134992" w14:textId="77777777" w:rsidR="00441994" w:rsidRPr="00441994" w:rsidRDefault="00441994">
            <w:pPr>
              <w:jc w:val="right"/>
              <w:rPr>
                <w:rFonts w:ascii="Arial" w:hAnsi="Arial" w:cs="Arial"/>
                <w:sz w:val="16"/>
                <w:szCs w:val="16"/>
              </w:rPr>
            </w:pPr>
          </w:p>
          <w:p w14:paraId="51FA51EF" w14:textId="77777777" w:rsidR="00441994" w:rsidRPr="00441994" w:rsidRDefault="00441994">
            <w:pPr>
              <w:jc w:val="right"/>
              <w:rPr>
                <w:rFonts w:ascii="Arial" w:hAnsi="Arial" w:cs="Arial"/>
                <w:sz w:val="16"/>
                <w:szCs w:val="16"/>
              </w:rPr>
            </w:pPr>
            <w:r w:rsidRPr="00441994">
              <w:rPr>
                <w:rFonts w:ascii="Arial" w:hAnsi="Arial" w:cs="Arial"/>
                <w:sz w:val="16"/>
                <w:szCs w:val="16"/>
              </w:rPr>
              <w:t>100.450,00</w:t>
            </w:r>
          </w:p>
        </w:tc>
      </w:tr>
      <w:tr w:rsidR="00441994" w:rsidRPr="00441994" w14:paraId="2462328B" w14:textId="77777777" w:rsidTr="00C526AC">
        <w:trPr>
          <w:trHeight w:val="571"/>
        </w:trPr>
        <w:tc>
          <w:tcPr>
            <w:tcW w:w="1391" w:type="dxa"/>
            <w:tcBorders>
              <w:top w:val="single" w:sz="4" w:space="0" w:color="auto"/>
              <w:left w:val="single" w:sz="4" w:space="0" w:color="auto"/>
              <w:bottom w:val="single" w:sz="4" w:space="0" w:color="auto"/>
              <w:right w:val="single" w:sz="4" w:space="0" w:color="auto"/>
            </w:tcBorders>
            <w:hideMark/>
          </w:tcPr>
          <w:p w14:paraId="52A2812F" w14:textId="77777777" w:rsidR="00441994" w:rsidRPr="00441994" w:rsidRDefault="00441994">
            <w:pPr>
              <w:rPr>
                <w:rFonts w:ascii="Arial" w:hAnsi="Arial" w:cs="Arial"/>
                <w:sz w:val="16"/>
                <w:szCs w:val="16"/>
              </w:rPr>
            </w:pPr>
            <w:r w:rsidRPr="00441994">
              <w:rPr>
                <w:rFonts w:ascii="Arial" w:hAnsi="Arial" w:cs="Arial"/>
                <w:sz w:val="16"/>
                <w:szCs w:val="16"/>
              </w:rPr>
              <w:t>Prihodi za decentralizirane funkcije osnovnog obrazovanja</w:t>
            </w:r>
          </w:p>
        </w:tc>
        <w:tc>
          <w:tcPr>
            <w:tcW w:w="948" w:type="dxa"/>
            <w:tcBorders>
              <w:top w:val="single" w:sz="4" w:space="0" w:color="auto"/>
              <w:left w:val="single" w:sz="4" w:space="0" w:color="auto"/>
              <w:bottom w:val="single" w:sz="4" w:space="0" w:color="auto"/>
              <w:right w:val="single" w:sz="4" w:space="0" w:color="auto"/>
            </w:tcBorders>
            <w:hideMark/>
          </w:tcPr>
          <w:p w14:paraId="3F42C3DD" w14:textId="77777777" w:rsidR="00441994" w:rsidRPr="00441994" w:rsidRDefault="00441994">
            <w:pPr>
              <w:jc w:val="right"/>
              <w:rPr>
                <w:rFonts w:ascii="Arial" w:hAnsi="Arial" w:cs="Arial"/>
                <w:sz w:val="16"/>
                <w:szCs w:val="16"/>
              </w:rPr>
            </w:pPr>
            <w:r w:rsidRPr="00441994">
              <w:rPr>
                <w:rFonts w:ascii="Arial" w:hAnsi="Arial" w:cs="Arial"/>
                <w:sz w:val="16"/>
                <w:szCs w:val="16"/>
              </w:rPr>
              <w:t>5.1.001</w:t>
            </w:r>
          </w:p>
          <w:p w14:paraId="7F60BC50" w14:textId="77777777" w:rsidR="00441994" w:rsidRPr="00441994" w:rsidRDefault="00441994">
            <w:pPr>
              <w:jc w:val="right"/>
              <w:rPr>
                <w:rFonts w:ascii="Arial" w:hAnsi="Arial" w:cs="Arial"/>
                <w:sz w:val="16"/>
                <w:szCs w:val="16"/>
              </w:rPr>
            </w:pPr>
            <w:r w:rsidRPr="00441994">
              <w:rPr>
                <w:rFonts w:ascii="Arial" w:hAnsi="Arial" w:cs="Arial"/>
                <w:sz w:val="16"/>
                <w:szCs w:val="16"/>
              </w:rPr>
              <w:t>5.1.003</w:t>
            </w:r>
          </w:p>
        </w:tc>
        <w:tc>
          <w:tcPr>
            <w:tcW w:w="1183" w:type="dxa"/>
            <w:tcBorders>
              <w:top w:val="single" w:sz="4" w:space="0" w:color="auto"/>
              <w:left w:val="single" w:sz="4" w:space="0" w:color="auto"/>
              <w:bottom w:val="single" w:sz="4" w:space="0" w:color="auto"/>
              <w:right w:val="single" w:sz="4" w:space="0" w:color="auto"/>
            </w:tcBorders>
            <w:hideMark/>
          </w:tcPr>
          <w:p w14:paraId="3D2550C2" w14:textId="77777777" w:rsidR="00441994" w:rsidRPr="00441994" w:rsidRDefault="00441994">
            <w:pPr>
              <w:jc w:val="right"/>
              <w:rPr>
                <w:rFonts w:ascii="Arial" w:hAnsi="Arial" w:cs="Arial"/>
                <w:sz w:val="16"/>
                <w:szCs w:val="16"/>
              </w:rPr>
            </w:pPr>
            <w:r w:rsidRPr="00441994">
              <w:rPr>
                <w:rFonts w:ascii="Arial" w:hAnsi="Arial" w:cs="Arial"/>
                <w:sz w:val="16"/>
                <w:szCs w:val="16"/>
              </w:rPr>
              <w:t>47.000,00</w:t>
            </w:r>
          </w:p>
        </w:tc>
        <w:tc>
          <w:tcPr>
            <w:tcW w:w="1319" w:type="dxa"/>
            <w:tcBorders>
              <w:top w:val="single" w:sz="4" w:space="0" w:color="auto"/>
              <w:left w:val="single" w:sz="4" w:space="0" w:color="auto"/>
              <w:bottom w:val="single" w:sz="4" w:space="0" w:color="auto"/>
              <w:right w:val="single" w:sz="4" w:space="0" w:color="auto"/>
            </w:tcBorders>
            <w:hideMark/>
          </w:tcPr>
          <w:p w14:paraId="5B97FA84" w14:textId="77777777" w:rsidR="00441994" w:rsidRPr="00441994" w:rsidRDefault="00441994">
            <w:pPr>
              <w:jc w:val="right"/>
              <w:rPr>
                <w:rFonts w:ascii="Arial" w:hAnsi="Arial" w:cs="Arial"/>
                <w:sz w:val="16"/>
                <w:szCs w:val="16"/>
              </w:rPr>
            </w:pPr>
            <w:r w:rsidRPr="00441994">
              <w:rPr>
                <w:rFonts w:ascii="Arial" w:hAnsi="Arial" w:cs="Arial"/>
                <w:sz w:val="16"/>
                <w:szCs w:val="16"/>
              </w:rPr>
              <w:t>-740,00</w:t>
            </w:r>
          </w:p>
        </w:tc>
        <w:tc>
          <w:tcPr>
            <w:tcW w:w="1680" w:type="dxa"/>
            <w:tcBorders>
              <w:top w:val="single" w:sz="4" w:space="0" w:color="auto"/>
              <w:left w:val="single" w:sz="4" w:space="0" w:color="auto"/>
              <w:bottom w:val="single" w:sz="4" w:space="0" w:color="auto"/>
              <w:right w:val="single" w:sz="4" w:space="0" w:color="auto"/>
            </w:tcBorders>
            <w:hideMark/>
          </w:tcPr>
          <w:p w14:paraId="70728433" w14:textId="77777777" w:rsidR="00441994" w:rsidRPr="00441994" w:rsidRDefault="00441994">
            <w:pPr>
              <w:jc w:val="right"/>
              <w:rPr>
                <w:rFonts w:ascii="Arial" w:hAnsi="Arial" w:cs="Arial"/>
                <w:sz w:val="16"/>
                <w:szCs w:val="16"/>
              </w:rPr>
            </w:pPr>
            <w:r w:rsidRPr="00441994">
              <w:rPr>
                <w:rFonts w:ascii="Arial" w:hAnsi="Arial" w:cs="Arial"/>
                <w:sz w:val="16"/>
                <w:szCs w:val="16"/>
              </w:rPr>
              <w:t>47.000,00</w:t>
            </w:r>
          </w:p>
        </w:tc>
        <w:tc>
          <w:tcPr>
            <w:tcW w:w="1326" w:type="dxa"/>
            <w:tcBorders>
              <w:top w:val="single" w:sz="4" w:space="0" w:color="auto"/>
              <w:left w:val="single" w:sz="4" w:space="0" w:color="auto"/>
              <w:bottom w:val="single" w:sz="4" w:space="0" w:color="auto"/>
              <w:right w:val="single" w:sz="4" w:space="0" w:color="auto"/>
            </w:tcBorders>
            <w:hideMark/>
          </w:tcPr>
          <w:p w14:paraId="74468818" w14:textId="77777777" w:rsidR="00441994" w:rsidRPr="00441994" w:rsidRDefault="00441994">
            <w:pPr>
              <w:jc w:val="right"/>
              <w:rPr>
                <w:rFonts w:ascii="Arial" w:hAnsi="Arial" w:cs="Arial"/>
                <w:sz w:val="16"/>
                <w:szCs w:val="16"/>
              </w:rPr>
            </w:pPr>
            <w:r w:rsidRPr="00441994">
              <w:rPr>
                <w:rFonts w:ascii="Arial" w:hAnsi="Arial" w:cs="Arial"/>
                <w:sz w:val="16"/>
                <w:szCs w:val="16"/>
              </w:rPr>
              <w:t>47.740,00</w:t>
            </w:r>
          </w:p>
        </w:tc>
        <w:tc>
          <w:tcPr>
            <w:tcW w:w="1184" w:type="dxa"/>
            <w:tcBorders>
              <w:top w:val="single" w:sz="4" w:space="0" w:color="auto"/>
              <w:left w:val="single" w:sz="4" w:space="0" w:color="auto"/>
              <w:bottom w:val="single" w:sz="4" w:space="0" w:color="auto"/>
              <w:right w:val="single" w:sz="4" w:space="0" w:color="auto"/>
            </w:tcBorders>
          </w:tcPr>
          <w:p w14:paraId="50DFEC64" w14:textId="77777777" w:rsidR="00441994" w:rsidRPr="00441994" w:rsidRDefault="00441994">
            <w:pPr>
              <w:jc w:val="right"/>
              <w:rPr>
                <w:rFonts w:ascii="Arial" w:hAnsi="Arial" w:cs="Arial"/>
                <w:sz w:val="16"/>
                <w:szCs w:val="16"/>
              </w:rPr>
            </w:pPr>
            <w:r w:rsidRPr="00441994">
              <w:rPr>
                <w:rFonts w:ascii="Arial" w:hAnsi="Arial" w:cs="Arial"/>
                <w:sz w:val="16"/>
                <w:szCs w:val="16"/>
              </w:rPr>
              <w:t>47.000,00</w:t>
            </w:r>
          </w:p>
          <w:p w14:paraId="397C92EB" w14:textId="77777777" w:rsidR="00441994" w:rsidRPr="00441994" w:rsidRDefault="00441994">
            <w:pPr>
              <w:jc w:val="right"/>
              <w:rPr>
                <w:rFonts w:ascii="Arial" w:hAnsi="Arial" w:cs="Arial"/>
                <w:sz w:val="16"/>
                <w:szCs w:val="16"/>
              </w:rPr>
            </w:pPr>
          </w:p>
        </w:tc>
        <w:tc>
          <w:tcPr>
            <w:tcW w:w="1735" w:type="dxa"/>
            <w:tcBorders>
              <w:top w:val="single" w:sz="4" w:space="0" w:color="auto"/>
              <w:left w:val="single" w:sz="4" w:space="0" w:color="auto"/>
              <w:bottom w:val="single" w:sz="4" w:space="0" w:color="auto"/>
              <w:right w:val="single" w:sz="4" w:space="0" w:color="auto"/>
            </w:tcBorders>
            <w:hideMark/>
          </w:tcPr>
          <w:p w14:paraId="7B1D0BFF" w14:textId="77777777" w:rsidR="00441994" w:rsidRPr="00441994" w:rsidRDefault="00441994">
            <w:pPr>
              <w:jc w:val="right"/>
              <w:rPr>
                <w:rFonts w:ascii="Arial" w:hAnsi="Arial" w:cs="Arial"/>
                <w:sz w:val="16"/>
                <w:szCs w:val="16"/>
              </w:rPr>
            </w:pPr>
            <w:r w:rsidRPr="00441994">
              <w:rPr>
                <w:rFonts w:ascii="Arial" w:hAnsi="Arial" w:cs="Arial"/>
                <w:sz w:val="16"/>
                <w:szCs w:val="16"/>
              </w:rPr>
              <w:t>47.000,00</w:t>
            </w:r>
          </w:p>
        </w:tc>
      </w:tr>
      <w:tr w:rsidR="00441994" w:rsidRPr="00441994" w14:paraId="1DACBB31" w14:textId="77777777" w:rsidTr="00C526AC">
        <w:trPr>
          <w:trHeight w:val="526"/>
        </w:trPr>
        <w:tc>
          <w:tcPr>
            <w:tcW w:w="1391" w:type="dxa"/>
            <w:tcBorders>
              <w:top w:val="single" w:sz="4" w:space="0" w:color="auto"/>
              <w:left w:val="single" w:sz="4" w:space="0" w:color="auto"/>
              <w:bottom w:val="single" w:sz="4" w:space="0" w:color="auto"/>
              <w:right w:val="single" w:sz="4" w:space="0" w:color="auto"/>
            </w:tcBorders>
            <w:hideMark/>
          </w:tcPr>
          <w:p w14:paraId="6639D08A" w14:textId="77777777" w:rsidR="00441994" w:rsidRPr="00441994" w:rsidRDefault="00441994">
            <w:pPr>
              <w:rPr>
                <w:rFonts w:ascii="Arial" w:hAnsi="Arial" w:cs="Arial"/>
                <w:sz w:val="16"/>
                <w:szCs w:val="16"/>
              </w:rPr>
            </w:pPr>
            <w:r w:rsidRPr="00441994">
              <w:rPr>
                <w:rFonts w:ascii="Arial" w:hAnsi="Arial" w:cs="Arial"/>
                <w:sz w:val="16"/>
                <w:szCs w:val="16"/>
              </w:rPr>
              <w:t>Pomoći korisnika</w:t>
            </w:r>
          </w:p>
        </w:tc>
        <w:tc>
          <w:tcPr>
            <w:tcW w:w="948" w:type="dxa"/>
            <w:tcBorders>
              <w:top w:val="single" w:sz="4" w:space="0" w:color="auto"/>
              <w:left w:val="single" w:sz="4" w:space="0" w:color="auto"/>
              <w:bottom w:val="single" w:sz="4" w:space="0" w:color="auto"/>
              <w:right w:val="single" w:sz="4" w:space="0" w:color="auto"/>
            </w:tcBorders>
            <w:hideMark/>
          </w:tcPr>
          <w:p w14:paraId="53023A5D" w14:textId="77777777" w:rsidR="00441994" w:rsidRPr="00441994" w:rsidRDefault="00441994">
            <w:pPr>
              <w:jc w:val="right"/>
              <w:rPr>
                <w:rFonts w:ascii="Arial" w:hAnsi="Arial" w:cs="Arial"/>
                <w:sz w:val="16"/>
                <w:szCs w:val="16"/>
              </w:rPr>
            </w:pPr>
            <w:r w:rsidRPr="00441994">
              <w:rPr>
                <w:rFonts w:ascii="Arial" w:hAnsi="Arial" w:cs="Arial"/>
                <w:sz w:val="16"/>
                <w:szCs w:val="16"/>
              </w:rPr>
              <w:t>5.9.00001</w:t>
            </w:r>
          </w:p>
        </w:tc>
        <w:tc>
          <w:tcPr>
            <w:tcW w:w="1183" w:type="dxa"/>
            <w:tcBorders>
              <w:top w:val="single" w:sz="4" w:space="0" w:color="auto"/>
              <w:left w:val="single" w:sz="4" w:space="0" w:color="auto"/>
              <w:bottom w:val="single" w:sz="4" w:space="0" w:color="auto"/>
              <w:right w:val="single" w:sz="4" w:space="0" w:color="auto"/>
            </w:tcBorders>
            <w:hideMark/>
          </w:tcPr>
          <w:p w14:paraId="1785E1C5" w14:textId="77777777" w:rsidR="00441994" w:rsidRPr="00441994" w:rsidRDefault="00441994">
            <w:pPr>
              <w:jc w:val="right"/>
              <w:rPr>
                <w:rFonts w:ascii="Arial" w:hAnsi="Arial" w:cs="Arial"/>
                <w:sz w:val="16"/>
                <w:szCs w:val="16"/>
              </w:rPr>
            </w:pPr>
            <w:r w:rsidRPr="00441994">
              <w:rPr>
                <w:rFonts w:ascii="Arial" w:hAnsi="Arial" w:cs="Arial"/>
                <w:sz w:val="16"/>
                <w:szCs w:val="16"/>
              </w:rPr>
              <w:t>19.550,00</w:t>
            </w:r>
          </w:p>
        </w:tc>
        <w:tc>
          <w:tcPr>
            <w:tcW w:w="1319" w:type="dxa"/>
            <w:tcBorders>
              <w:top w:val="single" w:sz="4" w:space="0" w:color="auto"/>
              <w:left w:val="single" w:sz="4" w:space="0" w:color="auto"/>
              <w:bottom w:val="single" w:sz="4" w:space="0" w:color="auto"/>
              <w:right w:val="single" w:sz="4" w:space="0" w:color="auto"/>
            </w:tcBorders>
            <w:hideMark/>
          </w:tcPr>
          <w:p w14:paraId="06331032" w14:textId="77777777" w:rsidR="00441994" w:rsidRPr="00441994" w:rsidRDefault="00441994">
            <w:pPr>
              <w:jc w:val="right"/>
              <w:rPr>
                <w:rFonts w:ascii="Arial" w:hAnsi="Arial" w:cs="Arial"/>
                <w:sz w:val="16"/>
                <w:szCs w:val="16"/>
              </w:rPr>
            </w:pPr>
            <w:r w:rsidRPr="00441994">
              <w:rPr>
                <w:rFonts w:ascii="Arial" w:hAnsi="Arial" w:cs="Arial"/>
                <w:sz w:val="16"/>
                <w:szCs w:val="16"/>
              </w:rPr>
              <w:t>2.720,00</w:t>
            </w:r>
          </w:p>
        </w:tc>
        <w:tc>
          <w:tcPr>
            <w:tcW w:w="1680" w:type="dxa"/>
            <w:tcBorders>
              <w:top w:val="single" w:sz="4" w:space="0" w:color="auto"/>
              <w:left w:val="single" w:sz="4" w:space="0" w:color="auto"/>
              <w:bottom w:val="single" w:sz="4" w:space="0" w:color="auto"/>
              <w:right w:val="single" w:sz="4" w:space="0" w:color="auto"/>
            </w:tcBorders>
            <w:hideMark/>
          </w:tcPr>
          <w:p w14:paraId="70010888" w14:textId="77777777" w:rsidR="00441994" w:rsidRPr="00441994" w:rsidRDefault="00441994">
            <w:pPr>
              <w:jc w:val="right"/>
              <w:rPr>
                <w:rFonts w:ascii="Arial" w:hAnsi="Arial" w:cs="Arial"/>
                <w:sz w:val="16"/>
                <w:szCs w:val="16"/>
              </w:rPr>
            </w:pPr>
            <w:r w:rsidRPr="00441994">
              <w:rPr>
                <w:rFonts w:ascii="Arial" w:hAnsi="Arial" w:cs="Arial"/>
                <w:sz w:val="16"/>
                <w:szCs w:val="16"/>
              </w:rPr>
              <w:t>19.550,00</w:t>
            </w:r>
          </w:p>
        </w:tc>
        <w:tc>
          <w:tcPr>
            <w:tcW w:w="1326" w:type="dxa"/>
            <w:tcBorders>
              <w:top w:val="single" w:sz="4" w:space="0" w:color="auto"/>
              <w:left w:val="single" w:sz="4" w:space="0" w:color="auto"/>
              <w:bottom w:val="single" w:sz="4" w:space="0" w:color="auto"/>
              <w:right w:val="single" w:sz="4" w:space="0" w:color="auto"/>
            </w:tcBorders>
            <w:hideMark/>
          </w:tcPr>
          <w:p w14:paraId="72B13659" w14:textId="77777777" w:rsidR="00441994" w:rsidRPr="00441994" w:rsidRDefault="00441994">
            <w:pPr>
              <w:jc w:val="right"/>
              <w:rPr>
                <w:rFonts w:ascii="Arial" w:hAnsi="Arial" w:cs="Arial"/>
                <w:sz w:val="16"/>
                <w:szCs w:val="16"/>
              </w:rPr>
            </w:pPr>
            <w:r w:rsidRPr="00441994">
              <w:rPr>
                <w:rFonts w:ascii="Arial" w:hAnsi="Arial" w:cs="Arial"/>
                <w:sz w:val="16"/>
                <w:szCs w:val="16"/>
              </w:rPr>
              <w:t>22.270,00</w:t>
            </w:r>
          </w:p>
        </w:tc>
        <w:tc>
          <w:tcPr>
            <w:tcW w:w="1184" w:type="dxa"/>
            <w:tcBorders>
              <w:top w:val="single" w:sz="4" w:space="0" w:color="auto"/>
              <w:left w:val="single" w:sz="4" w:space="0" w:color="auto"/>
              <w:bottom w:val="single" w:sz="4" w:space="0" w:color="auto"/>
              <w:right w:val="single" w:sz="4" w:space="0" w:color="auto"/>
            </w:tcBorders>
            <w:hideMark/>
          </w:tcPr>
          <w:p w14:paraId="137EF8BC" w14:textId="77777777" w:rsidR="00441994" w:rsidRPr="00441994" w:rsidRDefault="00441994">
            <w:pPr>
              <w:jc w:val="right"/>
              <w:rPr>
                <w:rFonts w:ascii="Arial" w:hAnsi="Arial" w:cs="Arial"/>
                <w:sz w:val="16"/>
                <w:szCs w:val="16"/>
              </w:rPr>
            </w:pPr>
            <w:r w:rsidRPr="00441994">
              <w:rPr>
                <w:rFonts w:ascii="Arial" w:hAnsi="Arial" w:cs="Arial"/>
                <w:sz w:val="16"/>
                <w:szCs w:val="16"/>
              </w:rPr>
              <w:t>19.550,00</w:t>
            </w:r>
          </w:p>
        </w:tc>
        <w:tc>
          <w:tcPr>
            <w:tcW w:w="1735" w:type="dxa"/>
            <w:tcBorders>
              <w:top w:val="single" w:sz="4" w:space="0" w:color="auto"/>
              <w:left w:val="single" w:sz="4" w:space="0" w:color="auto"/>
              <w:bottom w:val="single" w:sz="4" w:space="0" w:color="auto"/>
              <w:right w:val="single" w:sz="4" w:space="0" w:color="auto"/>
            </w:tcBorders>
            <w:hideMark/>
          </w:tcPr>
          <w:p w14:paraId="0918F647" w14:textId="77777777" w:rsidR="00441994" w:rsidRPr="00441994" w:rsidRDefault="00441994">
            <w:pPr>
              <w:jc w:val="right"/>
              <w:rPr>
                <w:rFonts w:ascii="Arial" w:hAnsi="Arial" w:cs="Arial"/>
                <w:sz w:val="16"/>
                <w:szCs w:val="16"/>
              </w:rPr>
            </w:pPr>
            <w:r w:rsidRPr="00441994">
              <w:rPr>
                <w:rFonts w:ascii="Arial" w:hAnsi="Arial" w:cs="Arial"/>
                <w:sz w:val="16"/>
                <w:szCs w:val="16"/>
              </w:rPr>
              <w:t>22.270,00</w:t>
            </w:r>
          </w:p>
        </w:tc>
      </w:tr>
      <w:tr w:rsidR="00441994" w:rsidRPr="00441994" w14:paraId="65BDCB2D" w14:textId="77777777" w:rsidTr="00C526AC">
        <w:trPr>
          <w:trHeight w:val="526"/>
        </w:trPr>
        <w:tc>
          <w:tcPr>
            <w:tcW w:w="1391" w:type="dxa"/>
            <w:tcBorders>
              <w:top w:val="single" w:sz="4" w:space="0" w:color="auto"/>
              <w:left w:val="single" w:sz="4" w:space="0" w:color="auto"/>
              <w:bottom w:val="single" w:sz="4" w:space="0" w:color="auto"/>
              <w:right w:val="single" w:sz="4" w:space="0" w:color="auto"/>
            </w:tcBorders>
            <w:hideMark/>
          </w:tcPr>
          <w:p w14:paraId="0695FF86" w14:textId="77777777" w:rsidR="00441994" w:rsidRPr="00441994" w:rsidRDefault="00441994">
            <w:pPr>
              <w:rPr>
                <w:rFonts w:ascii="Arial" w:hAnsi="Arial" w:cs="Arial"/>
                <w:sz w:val="16"/>
                <w:szCs w:val="16"/>
              </w:rPr>
            </w:pPr>
            <w:r w:rsidRPr="00441994">
              <w:rPr>
                <w:rFonts w:ascii="Arial" w:hAnsi="Arial" w:cs="Arial"/>
                <w:sz w:val="16"/>
                <w:szCs w:val="16"/>
              </w:rPr>
              <w:t>Pomoći-državna riznica</w:t>
            </w:r>
          </w:p>
        </w:tc>
        <w:tc>
          <w:tcPr>
            <w:tcW w:w="948" w:type="dxa"/>
            <w:tcBorders>
              <w:top w:val="single" w:sz="4" w:space="0" w:color="auto"/>
              <w:left w:val="single" w:sz="4" w:space="0" w:color="auto"/>
              <w:bottom w:val="single" w:sz="4" w:space="0" w:color="auto"/>
              <w:right w:val="single" w:sz="4" w:space="0" w:color="auto"/>
            </w:tcBorders>
            <w:hideMark/>
          </w:tcPr>
          <w:p w14:paraId="43787E6A" w14:textId="77777777" w:rsidR="00441994" w:rsidRPr="00441994" w:rsidRDefault="00441994">
            <w:pPr>
              <w:jc w:val="right"/>
              <w:rPr>
                <w:rFonts w:ascii="Arial" w:hAnsi="Arial" w:cs="Arial"/>
                <w:sz w:val="16"/>
                <w:szCs w:val="16"/>
              </w:rPr>
            </w:pPr>
            <w:r w:rsidRPr="00441994">
              <w:rPr>
                <w:rFonts w:ascii="Arial" w:hAnsi="Arial" w:cs="Arial"/>
                <w:sz w:val="16"/>
                <w:szCs w:val="16"/>
              </w:rPr>
              <w:t>5.9.00003</w:t>
            </w:r>
          </w:p>
        </w:tc>
        <w:tc>
          <w:tcPr>
            <w:tcW w:w="1183" w:type="dxa"/>
            <w:tcBorders>
              <w:top w:val="single" w:sz="4" w:space="0" w:color="auto"/>
              <w:left w:val="single" w:sz="4" w:space="0" w:color="auto"/>
              <w:bottom w:val="single" w:sz="4" w:space="0" w:color="auto"/>
              <w:right w:val="single" w:sz="4" w:space="0" w:color="auto"/>
            </w:tcBorders>
            <w:hideMark/>
          </w:tcPr>
          <w:p w14:paraId="00966DF8" w14:textId="77777777" w:rsidR="00441994" w:rsidRPr="00441994" w:rsidRDefault="00441994">
            <w:pPr>
              <w:jc w:val="right"/>
              <w:rPr>
                <w:rFonts w:ascii="Arial" w:hAnsi="Arial" w:cs="Arial"/>
                <w:sz w:val="16"/>
                <w:szCs w:val="16"/>
              </w:rPr>
            </w:pPr>
            <w:r w:rsidRPr="00441994">
              <w:rPr>
                <w:rFonts w:ascii="Arial" w:hAnsi="Arial" w:cs="Arial"/>
                <w:sz w:val="16"/>
                <w:szCs w:val="16"/>
              </w:rPr>
              <w:t>1.170.200,00</w:t>
            </w:r>
          </w:p>
        </w:tc>
        <w:tc>
          <w:tcPr>
            <w:tcW w:w="1319" w:type="dxa"/>
            <w:tcBorders>
              <w:top w:val="single" w:sz="4" w:space="0" w:color="auto"/>
              <w:left w:val="single" w:sz="4" w:space="0" w:color="auto"/>
              <w:bottom w:val="single" w:sz="4" w:space="0" w:color="auto"/>
              <w:right w:val="single" w:sz="4" w:space="0" w:color="auto"/>
            </w:tcBorders>
            <w:hideMark/>
          </w:tcPr>
          <w:p w14:paraId="2605852F" w14:textId="77777777" w:rsidR="00441994" w:rsidRPr="00441994" w:rsidRDefault="00441994">
            <w:pPr>
              <w:jc w:val="right"/>
              <w:rPr>
                <w:rFonts w:ascii="Arial" w:hAnsi="Arial" w:cs="Arial"/>
                <w:sz w:val="16"/>
                <w:szCs w:val="16"/>
              </w:rPr>
            </w:pPr>
            <w:r w:rsidRPr="00441994">
              <w:rPr>
                <w:rFonts w:ascii="Arial" w:hAnsi="Arial" w:cs="Arial"/>
                <w:sz w:val="16"/>
                <w:szCs w:val="16"/>
              </w:rPr>
              <w:t>0,00</w:t>
            </w:r>
          </w:p>
        </w:tc>
        <w:tc>
          <w:tcPr>
            <w:tcW w:w="1680" w:type="dxa"/>
            <w:tcBorders>
              <w:top w:val="single" w:sz="4" w:space="0" w:color="auto"/>
              <w:left w:val="single" w:sz="4" w:space="0" w:color="auto"/>
              <w:bottom w:val="single" w:sz="4" w:space="0" w:color="auto"/>
              <w:right w:val="single" w:sz="4" w:space="0" w:color="auto"/>
            </w:tcBorders>
            <w:hideMark/>
          </w:tcPr>
          <w:p w14:paraId="3CD3177E" w14:textId="77777777" w:rsidR="00441994" w:rsidRPr="00441994" w:rsidRDefault="00441994">
            <w:pPr>
              <w:jc w:val="right"/>
              <w:rPr>
                <w:rFonts w:ascii="Arial" w:hAnsi="Arial" w:cs="Arial"/>
                <w:sz w:val="16"/>
                <w:szCs w:val="16"/>
              </w:rPr>
            </w:pPr>
            <w:r w:rsidRPr="00441994">
              <w:rPr>
                <w:rFonts w:ascii="Arial" w:hAnsi="Arial" w:cs="Arial"/>
                <w:sz w:val="16"/>
                <w:szCs w:val="16"/>
              </w:rPr>
              <w:t>1.218.700,00</w:t>
            </w:r>
          </w:p>
        </w:tc>
        <w:tc>
          <w:tcPr>
            <w:tcW w:w="1326" w:type="dxa"/>
            <w:tcBorders>
              <w:top w:val="single" w:sz="4" w:space="0" w:color="auto"/>
              <w:left w:val="single" w:sz="4" w:space="0" w:color="auto"/>
              <w:bottom w:val="single" w:sz="4" w:space="0" w:color="auto"/>
              <w:right w:val="single" w:sz="4" w:space="0" w:color="auto"/>
            </w:tcBorders>
            <w:hideMark/>
          </w:tcPr>
          <w:p w14:paraId="093923B1" w14:textId="77777777" w:rsidR="00441994" w:rsidRPr="00441994" w:rsidRDefault="00441994">
            <w:pPr>
              <w:jc w:val="right"/>
              <w:rPr>
                <w:rFonts w:ascii="Arial" w:hAnsi="Arial" w:cs="Arial"/>
                <w:sz w:val="16"/>
                <w:szCs w:val="16"/>
              </w:rPr>
            </w:pPr>
            <w:r w:rsidRPr="00441994">
              <w:rPr>
                <w:rFonts w:ascii="Arial" w:hAnsi="Arial" w:cs="Arial"/>
                <w:sz w:val="16"/>
                <w:szCs w:val="16"/>
              </w:rPr>
              <w:t>1.218.700,00</w:t>
            </w:r>
          </w:p>
        </w:tc>
        <w:tc>
          <w:tcPr>
            <w:tcW w:w="1184" w:type="dxa"/>
            <w:tcBorders>
              <w:top w:val="single" w:sz="4" w:space="0" w:color="auto"/>
              <w:left w:val="single" w:sz="4" w:space="0" w:color="auto"/>
              <w:bottom w:val="single" w:sz="4" w:space="0" w:color="auto"/>
              <w:right w:val="single" w:sz="4" w:space="0" w:color="auto"/>
            </w:tcBorders>
            <w:hideMark/>
          </w:tcPr>
          <w:p w14:paraId="701AF019" w14:textId="77777777" w:rsidR="00441994" w:rsidRPr="00441994" w:rsidRDefault="00441994">
            <w:pPr>
              <w:jc w:val="right"/>
              <w:rPr>
                <w:rFonts w:ascii="Arial" w:hAnsi="Arial" w:cs="Arial"/>
                <w:sz w:val="16"/>
                <w:szCs w:val="16"/>
              </w:rPr>
            </w:pPr>
            <w:r w:rsidRPr="00441994">
              <w:rPr>
                <w:rFonts w:ascii="Arial" w:hAnsi="Arial" w:cs="Arial"/>
                <w:sz w:val="16"/>
                <w:szCs w:val="16"/>
              </w:rPr>
              <w:t>1.170.200,00</w:t>
            </w:r>
          </w:p>
        </w:tc>
        <w:tc>
          <w:tcPr>
            <w:tcW w:w="1735" w:type="dxa"/>
            <w:tcBorders>
              <w:top w:val="single" w:sz="4" w:space="0" w:color="auto"/>
              <w:left w:val="single" w:sz="4" w:space="0" w:color="auto"/>
              <w:bottom w:val="single" w:sz="4" w:space="0" w:color="auto"/>
              <w:right w:val="single" w:sz="4" w:space="0" w:color="auto"/>
            </w:tcBorders>
            <w:hideMark/>
          </w:tcPr>
          <w:p w14:paraId="5479F521" w14:textId="77777777" w:rsidR="00441994" w:rsidRPr="00441994" w:rsidRDefault="00441994">
            <w:pPr>
              <w:jc w:val="right"/>
              <w:rPr>
                <w:rFonts w:ascii="Arial" w:hAnsi="Arial" w:cs="Arial"/>
                <w:sz w:val="16"/>
                <w:szCs w:val="16"/>
              </w:rPr>
            </w:pPr>
            <w:r w:rsidRPr="00441994">
              <w:rPr>
                <w:rFonts w:ascii="Arial" w:hAnsi="Arial" w:cs="Arial"/>
                <w:sz w:val="16"/>
                <w:szCs w:val="16"/>
              </w:rPr>
              <w:t>1.218.700,00</w:t>
            </w:r>
          </w:p>
        </w:tc>
      </w:tr>
      <w:tr w:rsidR="00441994" w:rsidRPr="00441994" w14:paraId="18A1A5BC" w14:textId="77777777" w:rsidTr="00C526AC">
        <w:trPr>
          <w:trHeight w:val="261"/>
        </w:trPr>
        <w:tc>
          <w:tcPr>
            <w:tcW w:w="1391" w:type="dxa"/>
            <w:tcBorders>
              <w:top w:val="single" w:sz="4" w:space="0" w:color="auto"/>
              <w:left w:val="single" w:sz="4" w:space="0" w:color="auto"/>
              <w:bottom w:val="single" w:sz="4" w:space="0" w:color="auto"/>
              <w:right w:val="single" w:sz="4" w:space="0" w:color="auto"/>
            </w:tcBorders>
            <w:hideMark/>
          </w:tcPr>
          <w:p w14:paraId="3D287588" w14:textId="77777777" w:rsidR="00441994" w:rsidRPr="00441994" w:rsidRDefault="00441994">
            <w:pPr>
              <w:rPr>
                <w:rFonts w:ascii="Arial" w:hAnsi="Arial" w:cs="Arial"/>
                <w:sz w:val="16"/>
                <w:szCs w:val="16"/>
              </w:rPr>
            </w:pPr>
            <w:r w:rsidRPr="00441994">
              <w:rPr>
                <w:rFonts w:ascii="Arial" w:hAnsi="Arial" w:cs="Arial"/>
                <w:sz w:val="16"/>
                <w:szCs w:val="16"/>
              </w:rPr>
              <w:t>Donacije</w:t>
            </w:r>
          </w:p>
        </w:tc>
        <w:tc>
          <w:tcPr>
            <w:tcW w:w="948" w:type="dxa"/>
            <w:tcBorders>
              <w:top w:val="single" w:sz="4" w:space="0" w:color="auto"/>
              <w:left w:val="single" w:sz="4" w:space="0" w:color="auto"/>
              <w:bottom w:val="single" w:sz="4" w:space="0" w:color="auto"/>
              <w:right w:val="single" w:sz="4" w:space="0" w:color="auto"/>
            </w:tcBorders>
            <w:hideMark/>
          </w:tcPr>
          <w:p w14:paraId="5431C9BB" w14:textId="77777777" w:rsidR="00441994" w:rsidRPr="00441994" w:rsidRDefault="00441994">
            <w:pPr>
              <w:jc w:val="right"/>
              <w:rPr>
                <w:rFonts w:ascii="Arial" w:hAnsi="Arial" w:cs="Arial"/>
                <w:sz w:val="16"/>
                <w:szCs w:val="16"/>
              </w:rPr>
            </w:pPr>
            <w:r w:rsidRPr="00441994">
              <w:rPr>
                <w:rFonts w:ascii="Arial" w:hAnsi="Arial" w:cs="Arial"/>
                <w:sz w:val="16"/>
                <w:szCs w:val="16"/>
              </w:rPr>
              <w:t>6.9.00001</w:t>
            </w:r>
          </w:p>
        </w:tc>
        <w:tc>
          <w:tcPr>
            <w:tcW w:w="1183" w:type="dxa"/>
            <w:tcBorders>
              <w:top w:val="single" w:sz="4" w:space="0" w:color="auto"/>
              <w:left w:val="single" w:sz="4" w:space="0" w:color="auto"/>
              <w:bottom w:val="single" w:sz="4" w:space="0" w:color="auto"/>
              <w:right w:val="single" w:sz="4" w:space="0" w:color="auto"/>
            </w:tcBorders>
            <w:hideMark/>
          </w:tcPr>
          <w:p w14:paraId="1514F748" w14:textId="77777777" w:rsidR="00441994" w:rsidRPr="00441994" w:rsidRDefault="00441994">
            <w:pPr>
              <w:jc w:val="right"/>
              <w:rPr>
                <w:rFonts w:ascii="Arial" w:hAnsi="Arial" w:cs="Arial"/>
                <w:sz w:val="16"/>
                <w:szCs w:val="16"/>
              </w:rPr>
            </w:pPr>
            <w:r w:rsidRPr="00441994">
              <w:rPr>
                <w:rFonts w:ascii="Arial" w:hAnsi="Arial" w:cs="Arial"/>
                <w:sz w:val="16"/>
                <w:szCs w:val="16"/>
              </w:rPr>
              <w:t>500,00</w:t>
            </w:r>
          </w:p>
        </w:tc>
        <w:tc>
          <w:tcPr>
            <w:tcW w:w="1319" w:type="dxa"/>
            <w:tcBorders>
              <w:top w:val="single" w:sz="4" w:space="0" w:color="auto"/>
              <w:left w:val="single" w:sz="4" w:space="0" w:color="auto"/>
              <w:bottom w:val="single" w:sz="4" w:space="0" w:color="auto"/>
              <w:right w:val="single" w:sz="4" w:space="0" w:color="auto"/>
            </w:tcBorders>
            <w:hideMark/>
          </w:tcPr>
          <w:p w14:paraId="605F51A8" w14:textId="77777777" w:rsidR="00441994" w:rsidRPr="00441994" w:rsidRDefault="00441994">
            <w:pPr>
              <w:jc w:val="right"/>
              <w:rPr>
                <w:rFonts w:ascii="Arial" w:hAnsi="Arial" w:cs="Arial"/>
                <w:sz w:val="16"/>
                <w:szCs w:val="16"/>
              </w:rPr>
            </w:pPr>
            <w:r w:rsidRPr="00441994">
              <w:rPr>
                <w:rFonts w:ascii="Arial" w:hAnsi="Arial" w:cs="Arial"/>
                <w:sz w:val="16"/>
                <w:szCs w:val="16"/>
              </w:rPr>
              <w:t>0,00</w:t>
            </w:r>
          </w:p>
        </w:tc>
        <w:tc>
          <w:tcPr>
            <w:tcW w:w="1680" w:type="dxa"/>
            <w:tcBorders>
              <w:top w:val="single" w:sz="4" w:space="0" w:color="auto"/>
              <w:left w:val="single" w:sz="4" w:space="0" w:color="auto"/>
              <w:bottom w:val="single" w:sz="4" w:space="0" w:color="auto"/>
              <w:right w:val="single" w:sz="4" w:space="0" w:color="auto"/>
            </w:tcBorders>
            <w:hideMark/>
          </w:tcPr>
          <w:p w14:paraId="43CC8554" w14:textId="77777777" w:rsidR="00441994" w:rsidRPr="00441994" w:rsidRDefault="00441994">
            <w:pPr>
              <w:jc w:val="right"/>
              <w:rPr>
                <w:rFonts w:ascii="Arial" w:hAnsi="Arial" w:cs="Arial"/>
                <w:sz w:val="16"/>
                <w:szCs w:val="16"/>
              </w:rPr>
            </w:pPr>
            <w:r w:rsidRPr="00441994">
              <w:rPr>
                <w:rFonts w:ascii="Arial" w:hAnsi="Arial" w:cs="Arial"/>
                <w:sz w:val="16"/>
                <w:szCs w:val="16"/>
              </w:rPr>
              <w:t>500,00</w:t>
            </w:r>
          </w:p>
        </w:tc>
        <w:tc>
          <w:tcPr>
            <w:tcW w:w="1326" w:type="dxa"/>
            <w:tcBorders>
              <w:top w:val="single" w:sz="4" w:space="0" w:color="auto"/>
              <w:left w:val="single" w:sz="4" w:space="0" w:color="auto"/>
              <w:bottom w:val="single" w:sz="4" w:space="0" w:color="auto"/>
              <w:right w:val="single" w:sz="4" w:space="0" w:color="auto"/>
            </w:tcBorders>
            <w:hideMark/>
          </w:tcPr>
          <w:p w14:paraId="1823C58E" w14:textId="77777777" w:rsidR="00441994" w:rsidRPr="00441994" w:rsidRDefault="00441994">
            <w:pPr>
              <w:jc w:val="right"/>
              <w:rPr>
                <w:rFonts w:ascii="Arial" w:hAnsi="Arial" w:cs="Arial"/>
                <w:sz w:val="16"/>
                <w:szCs w:val="16"/>
              </w:rPr>
            </w:pPr>
            <w:r w:rsidRPr="00441994">
              <w:rPr>
                <w:rFonts w:ascii="Arial" w:hAnsi="Arial" w:cs="Arial"/>
                <w:sz w:val="16"/>
                <w:szCs w:val="16"/>
              </w:rPr>
              <w:t>500,00</w:t>
            </w:r>
          </w:p>
        </w:tc>
        <w:tc>
          <w:tcPr>
            <w:tcW w:w="1184" w:type="dxa"/>
            <w:tcBorders>
              <w:top w:val="single" w:sz="4" w:space="0" w:color="auto"/>
              <w:left w:val="single" w:sz="4" w:space="0" w:color="auto"/>
              <w:bottom w:val="single" w:sz="4" w:space="0" w:color="auto"/>
              <w:right w:val="single" w:sz="4" w:space="0" w:color="auto"/>
            </w:tcBorders>
            <w:hideMark/>
          </w:tcPr>
          <w:p w14:paraId="2F5E8A7D" w14:textId="77777777" w:rsidR="00441994" w:rsidRPr="00441994" w:rsidRDefault="00441994">
            <w:pPr>
              <w:jc w:val="right"/>
              <w:rPr>
                <w:rFonts w:ascii="Arial" w:hAnsi="Arial" w:cs="Arial"/>
                <w:sz w:val="16"/>
                <w:szCs w:val="16"/>
              </w:rPr>
            </w:pPr>
            <w:r w:rsidRPr="00441994">
              <w:rPr>
                <w:rFonts w:ascii="Arial" w:hAnsi="Arial" w:cs="Arial"/>
                <w:sz w:val="16"/>
                <w:szCs w:val="16"/>
              </w:rPr>
              <w:t>500,00</w:t>
            </w:r>
          </w:p>
        </w:tc>
        <w:tc>
          <w:tcPr>
            <w:tcW w:w="1735" w:type="dxa"/>
            <w:tcBorders>
              <w:top w:val="single" w:sz="4" w:space="0" w:color="auto"/>
              <w:left w:val="single" w:sz="4" w:space="0" w:color="auto"/>
              <w:bottom w:val="single" w:sz="4" w:space="0" w:color="auto"/>
              <w:right w:val="single" w:sz="4" w:space="0" w:color="auto"/>
            </w:tcBorders>
            <w:hideMark/>
          </w:tcPr>
          <w:p w14:paraId="58F3B633" w14:textId="77777777" w:rsidR="00441994" w:rsidRPr="00441994" w:rsidRDefault="00441994">
            <w:pPr>
              <w:jc w:val="right"/>
              <w:rPr>
                <w:rFonts w:ascii="Arial" w:hAnsi="Arial" w:cs="Arial"/>
                <w:sz w:val="16"/>
                <w:szCs w:val="16"/>
              </w:rPr>
            </w:pPr>
            <w:r w:rsidRPr="00441994">
              <w:rPr>
                <w:rFonts w:ascii="Arial" w:hAnsi="Arial" w:cs="Arial"/>
                <w:sz w:val="16"/>
                <w:szCs w:val="16"/>
              </w:rPr>
              <w:t>500,00</w:t>
            </w:r>
          </w:p>
        </w:tc>
      </w:tr>
      <w:tr w:rsidR="00441994" w:rsidRPr="00441994" w14:paraId="18BC5601" w14:textId="77777777" w:rsidTr="00C526AC">
        <w:trPr>
          <w:trHeight w:val="234"/>
        </w:trPr>
        <w:tc>
          <w:tcPr>
            <w:tcW w:w="1391" w:type="dxa"/>
            <w:tcBorders>
              <w:top w:val="single" w:sz="4" w:space="0" w:color="auto"/>
              <w:left w:val="single" w:sz="4" w:space="0" w:color="auto"/>
              <w:bottom w:val="single" w:sz="4" w:space="0" w:color="auto"/>
              <w:right w:val="single" w:sz="4" w:space="0" w:color="auto"/>
            </w:tcBorders>
            <w:hideMark/>
          </w:tcPr>
          <w:p w14:paraId="0C5FE3A8" w14:textId="77777777" w:rsidR="00441994" w:rsidRPr="00441994" w:rsidRDefault="00441994">
            <w:pPr>
              <w:rPr>
                <w:rFonts w:ascii="Arial" w:hAnsi="Arial" w:cs="Arial"/>
                <w:b/>
                <w:sz w:val="16"/>
                <w:szCs w:val="16"/>
              </w:rPr>
            </w:pPr>
            <w:r w:rsidRPr="00441994">
              <w:rPr>
                <w:rFonts w:ascii="Arial" w:hAnsi="Arial" w:cs="Arial"/>
                <w:b/>
                <w:sz w:val="16"/>
                <w:szCs w:val="16"/>
              </w:rPr>
              <w:t>UKUPNO</w:t>
            </w:r>
          </w:p>
        </w:tc>
        <w:tc>
          <w:tcPr>
            <w:tcW w:w="948" w:type="dxa"/>
            <w:tcBorders>
              <w:top w:val="single" w:sz="4" w:space="0" w:color="auto"/>
              <w:left w:val="single" w:sz="4" w:space="0" w:color="auto"/>
              <w:bottom w:val="single" w:sz="4" w:space="0" w:color="auto"/>
              <w:right w:val="single" w:sz="4" w:space="0" w:color="auto"/>
            </w:tcBorders>
          </w:tcPr>
          <w:p w14:paraId="55AD6D03" w14:textId="77777777" w:rsidR="00441994" w:rsidRPr="00441994" w:rsidRDefault="00441994">
            <w:pPr>
              <w:jc w:val="right"/>
              <w:rPr>
                <w:rFonts w:ascii="Arial" w:hAnsi="Arial" w:cs="Arial"/>
                <w:b/>
                <w:sz w:val="16"/>
                <w:szCs w:val="16"/>
              </w:rPr>
            </w:pPr>
          </w:p>
        </w:tc>
        <w:tc>
          <w:tcPr>
            <w:tcW w:w="1183" w:type="dxa"/>
            <w:tcBorders>
              <w:top w:val="single" w:sz="4" w:space="0" w:color="auto"/>
              <w:left w:val="single" w:sz="4" w:space="0" w:color="auto"/>
              <w:bottom w:val="single" w:sz="4" w:space="0" w:color="auto"/>
              <w:right w:val="single" w:sz="4" w:space="0" w:color="auto"/>
            </w:tcBorders>
            <w:hideMark/>
          </w:tcPr>
          <w:p w14:paraId="793BE2C7" w14:textId="77777777" w:rsidR="00441994" w:rsidRPr="00441994" w:rsidRDefault="00441994">
            <w:pPr>
              <w:jc w:val="right"/>
              <w:rPr>
                <w:rFonts w:ascii="Arial" w:hAnsi="Arial" w:cs="Arial"/>
                <w:b/>
                <w:sz w:val="16"/>
                <w:szCs w:val="16"/>
              </w:rPr>
            </w:pPr>
            <w:r w:rsidRPr="00441994">
              <w:rPr>
                <w:rFonts w:ascii="Arial" w:hAnsi="Arial" w:cs="Arial"/>
                <w:b/>
                <w:sz w:val="16"/>
                <w:szCs w:val="16"/>
              </w:rPr>
              <w:t>1.352.070,00</w:t>
            </w:r>
          </w:p>
        </w:tc>
        <w:tc>
          <w:tcPr>
            <w:tcW w:w="1319" w:type="dxa"/>
            <w:tcBorders>
              <w:top w:val="single" w:sz="4" w:space="0" w:color="auto"/>
              <w:left w:val="single" w:sz="4" w:space="0" w:color="auto"/>
              <w:bottom w:val="single" w:sz="4" w:space="0" w:color="auto"/>
              <w:right w:val="single" w:sz="4" w:space="0" w:color="auto"/>
            </w:tcBorders>
            <w:hideMark/>
          </w:tcPr>
          <w:p w14:paraId="0977F291" w14:textId="77777777" w:rsidR="00441994" w:rsidRPr="00441994" w:rsidRDefault="00441994">
            <w:pPr>
              <w:jc w:val="right"/>
              <w:rPr>
                <w:rFonts w:ascii="Arial" w:hAnsi="Arial" w:cs="Arial"/>
                <w:b/>
                <w:sz w:val="16"/>
                <w:szCs w:val="16"/>
              </w:rPr>
            </w:pPr>
            <w:r w:rsidRPr="00441994">
              <w:rPr>
                <w:rFonts w:ascii="Arial" w:hAnsi="Arial" w:cs="Arial"/>
                <w:b/>
                <w:sz w:val="16"/>
                <w:szCs w:val="16"/>
              </w:rPr>
              <w:t>2.832,00</w:t>
            </w:r>
          </w:p>
        </w:tc>
        <w:tc>
          <w:tcPr>
            <w:tcW w:w="1680" w:type="dxa"/>
            <w:tcBorders>
              <w:top w:val="single" w:sz="4" w:space="0" w:color="auto"/>
              <w:left w:val="single" w:sz="4" w:space="0" w:color="auto"/>
              <w:bottom w:val="single" w:sz="4" w:space="0" w:color="auto"/>
              <w:right w:val="single" w:sz="4" w:space="0" w:color="auto"/>
            </w:tcBorders>
            <w:hideMark/>
          </w:tcPr>
          <w:p w14:paraId="59A16B55" w14:textId="77777777" w:rsidR="00441994" w:rsidRPr="00441994" w:rsidRDefault="00441994">
            <w:pPr>
              <w:jc w:val="right"/>
              <w:rPr>
                <w:rFonts w:ascii="Arial" w:hAnsi="Arial" w:cs="Arial"/>
                <w:b/>
                <w:sz w:val="16"/>
                <w:szCs w:val="16"/>
              </w:rPr>
            </w:pPr>
            <w:r w:rsidRPr="00441994">
              <w:rPr>
                <w:rFonts w:ascii="Arial" w:hAnsi="Arial" w:cs="Arial"/>
                <w:b/>
                <w:sz w:val="16"/>
                <w:szCs w:val="16"/>
              </w:rPr>
              <w:t>1.401.470,00</w:t>
            </w:r>
          </w:p>
        </w:tc>
        <w:tc>
          <w:tcPr>
            <w:tcW w:w="1326" w:type="dxa"/>
            <w:tcBorders>
              <w:top w:val="single" w:sz="4" w:space="0" w:color="auto"/>
              <w:left w:val="single" w:sz="4" w:space="0" w:color="auto"/>
              <w:bottom w:val="single" w:sz="4" w:space="0" w:color="auto"/>
              <w:right w:val="single" w:sz="4" w:space="0" w:color="auto"/>
            </w:tcBorders>
            <w:hideMark/>
          </w:tcPr>
          <w:p w14:paraId="209F80BC" w14:textId="77777777" w:rsidR="00441994" w:rsidRPr="00441994" w:rsidRDefault="00441994">
            <w:pPr>
              <w:jc w:val="right"/>
              <w:rPr>
                <w:rFonts w:ascii="Arial" w:hAnsi="Arial" w:cs="Arial"/>
                <w:b/>
                <w:sz w:val="16"/>
                <w:szCs w:val="16"/>
              </w:rPr>
            </w:pPr>
            <w:r w:rsidRPr="00441994">
              <w:rPr>
                <w:rFonts w:ascii="Arial" w:hAnsi="Arial" w:cs="Arial"/>
                <w:b/>
                <w:sz w:val="16"/>
                <w:szCs w:val="16"/>
              </w:rPr>
              <w:t>1.408.778,00</w:t>
            </w:r>
          </w:p>
        </w:tc>
        <w:tc>
          <w:tcPr>
            <w:tcW w:w="1184" w:type="dxa"/>
            <w:tcBorders>
              <w:top w:val="single" w:sz="4" w:space="0" w:color="auto"/>
              <w:left w:val="single" w:sz="4" w:space="0" w:color="auto"/>
              <w:bottom w:val="single" w:sz="4" w:space="0" w:color="auto"/>
              <w:right w:val="single" w:sz="4" w:space="0" w:color="auto"/>
            </w:tcBorders>
            <w:hideMark/>
          </w:tcPr>
          <w:p w14:paraId="221A7282" w14:textId="77777777" w:rsidR="00441994" w:rsidRPr="00441994" w:rsidRDefault="00441994">
            <w:pPr>
              <w:jc w:val="right"/>
              <w:rPr>
                <w:rFonts w:ascii="Arial" w:hAnsi="Arial" w:cs="Arial"/>
                <w:b/>
                <w:sz w:val="16"/>
                <w:szCs w:val="16"/>
              </w:rPr>
            </w:pPr>
            <w:r w:rsidRPr="00441994">
              <w:rPr>
                <w:rFonts w:ascii="Arial" w:hAnsi="Arial" w:cs="Arial"/>
                <w:b/>
                <w:sz w:val="16"/>
                <w:szCs w:val="16"/>
              </w:rPr>
              <w:t>1.352.070,00</w:t>
            </w:r>
          </w:p>
        </w:tc>
        <w:tc>
          <w:tcPr>
            <w:tcW w:w="1735" w:type="dxa"/>
            <w:tcBorders>
              <w:top w:val="single" w:sz="4" w:space="0" w:color="auto"/>
              <w:left w:val="single" w:sz="4" w:space="0" w:color="auto"/>
              <w:bottom w:val="single" w:sz="4" w:space="0" w:color="auto"/>
              <w:right w:val="single" w:sz="4" w:space="0" w:color="auto"/>
            </w:tcBorders>
            <w:hideMark/>
          </w:tcPr>
          <w:p w14:paraId="6BA7A045" w14:textId="77777777" w:rsidR="00441994" w:rsidRPr="00441994" w:rsidRDefault="00441994">
            <w:pPr>
              <w:jc w:val="right"/>
              <w:rPr>
                <w:rFonts w:ascii="Arial" w:hAnsi="Arial" w:cs="Arial"/>
                <w:b/>
                <w:sz w:val="16"/>
                <w:szCs w:val="16"/>
              </w:rPr>
            </w:pPr>
            <w:r w:rsidRPr="00441994">
              <w:rPr>
                <w:rFonts w:ascii="Arial" w:hAnsi="Arial" w:cs="Arial"/>
                <w:b/>
                <w:sz w:val="16"/>
                <w:szCs w:val="16"/>
              </w:rPr>
              <w:t>1.406.540,00</w:t>
            </w:r>
          </w:p>
        </w:tc>
      </w:tr>
    </w:tbl>
    <w:p w14:paraId="0C3C1D3D" w14:textId="77777777" w:rsidR="00441994" w:rsidRPr="00441994" w:rsidRDefault="00441994" w:rsidP="00441994">
      <w:pPr>
        <w:spacing w:line="259" w:lineRule="auto"/>
        <w:rPr>
          <w:rFonts w:ascii="Arial" w:hAnsi="Arial" w:cs="Arial"/>
          <w:b/>
          <w:sz w:val="22"/>
          <w:szCs w:val="22"/>
          <w:lang w:eastAsia="en-US"/>
        </w:rPr>
      </w:pPr>
    </w:p>
    <w:p w14:paraId="793A5B76" w14:textId="77777777" w:rsidR="00441994" w:rsidRPr="00441994" w:rsidRDefault="00441994" w:rsidP="00441994">
      <w:pPr>
        <w:spacing w:line="259" w:lineRule="auto"/>
        <w:rPr>
          <w:rFonts w:ascii="Arial" w:hAnsi="Arial" w:cs="Arial"/>
          <w:b/>
          <w:sz w:val="22"/>
          <w:szCs w:val="22"/>
        </w:rPr>
      </w:pPr>
    </w:p>
    <w:p w14:paraId="4ED3C7CF" w14:textId="77777777" w:rsidR="00441994" w:rsidRPr="00441994" w:rsidRDefault="00441994" w:rsidP="00441994">
      <w:pPr>
        <w:spacing w:line="259" w:lineRule="auto"/>
        <w:rPr>
          <w:rFonts w:ascii="Arial" w:hAnsi="Arial" w:cs="Arial"/>
          <w:b/>
          <w:sz w:val="22"/>
          <w:szCs w:val="22"/>
        </w:rPr>
      </w:pPr>
      <w:r w:rsidRPr="00441994">
        <w:rPr>
          <w:rFonts w:ascii="Arial" w:hAnsi="Arial" w:cs="Arial"/>
          <w:b/>
          <w:sz w:val="22"/>
          <w:szCs w:val="22"/>
        </w:rPr>
        <w:t>Izvor 1.1.001 Opći prihodi i primitci</w:t>
      </w:r>
    </w:p>
    <w:p w14:paraId="2DA5397A" w14:textId="77777777" w:rsidR="00441994" w:rsidRPr="00441994" w:rsidRDefault="00441994" w:rsidP="00441994">
      <w:pPr>
        <w:spacing w:line="259" w:lineRule="auto"/>
        <w:ind w:firstLine="708"/>
        <w:rPr>
          <w:rFonts w:ascii="Arial" w:hAnsi="Arial" w:cs="Arial"/>
          <w:sz w:val="22"/>
          <w:szCs w:val="22"/>
        </w:rPr>
      </w:pPr>
      <w:r w:rsidRPr="00441994">
        <w:rPr>
          <w:rFonts w:ascii="Arial" w:hAnsi="Arial" w:cs="Arial"/>
          <w:sz w:val="22"/>
          <w:szCs w:val="22"/>
        </w:rPr>
        <w:t>Opći prihodi i primici su Prvim izmjenama i dopunama financijskog plana 2025. godine povećani za 900,00 eura. Povećanje se odnosi na usluge tekućeg i investicijskog održavanja za radove na vanjskoj učionici.</w:t>
      </w:r>
    </w:p>
    <w:p w14:paraId="369AB8AA" w14:textId="77777777" w:rsidR="00441994" w:rsidRPr="00441994" w:rsidRDefault="00441994" w:rsidP="00441994">
      <w:pPr>
        <w:spacing w:line="259" w:lineRule="auto"/>
        <w:ind w:firstLine="708"/>
        <w:rPr>
          <w:rFonts w:ascii="Arial" w:hAnsi="Arial" w:cs="Arial"/>
          <w:color w:val="FF0000"/>
          <w:sz w:val="22"/>
          <w:szCs w:val="22"/>
        </w:rPr>
      </w:pPr>
      <w:bookmarkStart w:id="48" w:name="_Hlk202443684"/>
      <w:r w:rsidRPr="00441994">
        <w:rPr>
          <w:rFonts w:ascii="Arial" w:hAnsi="Arial" w:cs="Arial"/>
          <w:sz w:val="22"/>
          <w:szCs w:val="22"/>
        </w:rPr>
        <w:t>U općim prihodima i primicima je ostvaren metodološki manjak krajem 2024. godine u iznosu 1.498,00 eura te je isti uvršten u Prve izmjene i dopune financijskog plana 2025. godine.</w:t>
      </w:r>
    </w:p>
    <w:bookmarkEnd w:id="48"/>
    <w:p w14:paraId="68AB2633" w14:textId="77777777" w:rsidR="00441994" w:rsidRPr="00441994" w:rsidRDefault="00441994" w:rsidP="00441994">
      <w:pPr>
        <w:spacing w:line="259" w:lineRule="auto"/>
        <w:rPr>
          <w:rFonts w:ascii="Arial" w:hAnsi="Arial" w:cs="Arial"/>
          <w:sz w:val="22"/>
          <w:szCs w:val="22"/>
        </w:rPr>
      </w:pPr>
    </w:p>
    <w:p w14:paraId="08E56792" w14:textId="77777777" w:rsidR="00441994" w:rsidRPr="00441994" w:rsidRDefault="00441994" w:rsidP="00441994">
      <w:pPr>
        <w:spacing w:line="259" w:lineRule="auto"/>
        <w:rPr>
          <w:rFonts w:ascii="Arial" w:hAnsi="Arial" w:cs="Arial"/>
          <w:b/>
          <w:sz w:val="22"/>
          <w:szCs w:val="22"/>
        </w:rPr>
      </w:pPr>
      <w:r w:rsidRPr="00441994">
        <w:rPr>
          <w:rFonts w:ascii="Arial" w:hAnsi="Arial" w:cs="Arial"/>
          <w:b/>
          <w:sz w:val="22"/>
          <w:szCs w:val="22"/>
        </w:rPr>
        <w:t>Izvor 3.9.000001 Vlastiti prihodi</w:t>
      </w:r>
    </w:p>
    <w:p w14:paraId="63C2F4E0" w14:textId="77777777" w:rsidR="00441994" w:rsidRPr="00441994" w:rsidRDefault="00441994" w:rsidP="00441994">
      <w:pPr>
        <w:spacing w:line="259" w:lineRule="auto"/>
        <w:ind w:firstLine="708"/>
        <w:rPr>
          <w:rFonts w:ascii="Arial" w:hAnsi="Arial" w:cs="Arial"/>
          <w:sz w:val="22"/>
          <w:szCs w:val="22"/>
        </w:rPr>
      </w:pPr>
      <w:r w:rsidRPr="00441994">
        <w:rPr>
          <w:rFonts w:ascii="Arial" w:hAnsi="Arial" w:cs="Arial"/>
          <w:sz w:val="22"/>
          <w:szCs w:val="22"/>
        </w:rPr>
        <w:t>Vlastiti prihodi su planirani u iznosu 120,00 eura i ostaju nepromijenjeni Prvim izmjenama i dopunama financijskog plana 2025. godine.</w:t>
      </w:r>
    </w:p>
    <w:p w14:paraId="49390EFD" w14:textId="77777777" w:rsidR="00441994" w:rsidRPr="00441994" w:rsidRDefault="00441994" w:rsidP="00441994">
      <w:pPr>
        <w:spacing w:line="259" w:lineRule="auto"/>
        <w:rPr>
          <w:rFonts w:ascii="Arial" w:hAnsi="Arial" w:cs="Arial"/>
          <w:sz w:val="22"/>
          <w:szCs w:val="22"/>
        </w:rPr>
      </w:pPr>
    </w:p>
    <w:p w14:paraId="2D00E30B" w14:textId="77777777" w:rsidR="00441994" w:rsidRPr="00441994" w:rsidRDefault="00441994" w:rsidP="00441994">
      <w:pPr>
        <w:spacing w:line="259" w:lineRule="auto"/>
        <w:rPr>
          <w:rFonts w:ascii="Arial" w:hAnsi="Arial" w:cs="Arial"/>
          <w:b/>
          <w:sz w:val="22"/>
          <w:szCs w:val="22"/>
        </w:rPr>
      </w:pPr>
      <w:r w:rsidRPr="00441994">
        <w:rPr>
          <w:rFonts w:ascii="Arial" w:hAnsi="Arial" w:cs="Arial"/>
          <w:b/>
          <w:sz w:val="22"/>
          <w:szCs w:val="22"/>
        </w:rPr>
        <w:t>Izvor 4.9.000001 Prihodi za posebne namjene</w:t>
      </w:r>
    </w:p>
    <w:p w14:paraId="1612DC63" w14:textId="77777777" w:rsidR="00441994" w:rsidRPr="00441994" w:rsidRDefault="00441994" w:rsidP="00441994">
      <w:pPr>
        <w:spacing w:line="259" w:lineRule="auto"/>
        <w:ind w:firstLine="708"/>
        <w:rPr>
          <w:rFonts w:ascii="Arial" w:hAnsi="Arial" w:cs="Arial"/>
          <w:sz w:val="22"/>
          <w:szCs w:val="22"/>
        </w:rPr>
      </w:pPr>
      <w:r w:rsidRPr="00441994">
        <w:rPr>
          <w:rFonts w:ascii="Arial" w:hAnsi="Arial" w:cs="Arial"/>
          <w:sz w:val="22"/>
          <w:szCs w:val="22"/>
        </w:rPr>
        <w:t>Prihodi po posebnim namjenama ostaju nepromijenjeni u odnosu na Financijski plan 2025. godine. Prvim izmjenama i dopunama smanjena je stavka Intelektualne i osobne usluge za 1.700,00 eura dok je za isti iznos povećana stavka Plaće učiteljice koja predaje drugi program učenici, a sredstva se isplaćuju iz Prihoda za posebne propise (participacija).</w:t>
      </w:r>
    </w:p>
    <w:p w14:paraId="6C9D8F10" w14:textId="77777777" w:rsidR="00441994" w:rsidRPr="00441994" w:rsidRDefault="00441994" w:rsidP="00441994">
      <w:pPr>
        <w:spacing w:line="259" w:lineRule="auto"/>
        <w:ind w:firstLine="708"/>
        <w:rPr>
          <w:rFonts w:ascii="Arial" w:hAnsi="Arial" w:cs="Arial"/>
          <w:sz w:val="22"/>
          <w:szCs w:val="22"/>
        </w:rPr>
      </w:pPr>
      <w:r w:rsidRPr="00441994">
        <w:rPr>
          <w:rFonts w:ascii="Arial" w:hAnsi="Arial" w:cs="Arial"/>
          <w:sz w:val="22"/>
          <w:szCs w:val="22"/>
        </w:rPr>
        <w:t xml:space="preserve"> U izvoru 4.9.00001 je u 2024. godini ostvaren višak prihoda poslovanja 2.350,00 eura koji je Odlukom o raspodjeli rezultata usmjeren na naknadu troškova za djecu.</w:t>
      </w:r>
    </w:p>
    <w:p w14:paraId="7386557E" w14:textId="77777777" w:rsidR="00441994" w:rsidRPr="00441994" w:rsidRDefault="00441994" w:rsidP="00441994">
      <w:pPr>
        <w:spacing w:line="259" w:lineRule="auto"/>
        <w:rPr>
          <w:rFonts w:ascii="Arial" w:hAnsi="Arial" w:cs="Arial"/>
          <w:sz w:val="22"/>
          <w:szCs w:val="22"/>
        </w:rPr>
      </w:pPr>
    </w:p>
    <w:p w14:paraId="038AA635" w14:textId="77777777" w:rsidR="00441994" w:rsidRPr="00441994" w:rsidRDefault="00441994" w:rsidP="00441994">
      <w:pPr>
        <w:spacing w:line="259" w:lineRule="auto"/>
        <w:rPr>
          <w:rFonts w:ascii="Arial" w:hAnsi="Arial" w:cs="Arial"/>
          <w:b/>
          <w:sz w:val="22"/>
          <w:szCs w:val="22"/>
        </w:rPr>
      </w:pPr>
      <w:r w:rsidRPr="00441994">
        <w:rPr>
          <w:rFonts w:ascii="Arial" w:hAnsi="Arial" w:cs="Arial"/>
          <w:b/>
          <w:bCs/>
          <w:sz w:val="22"/>
          <w:szCs w:val="22"/>
        </w:rPr>
        <w:t>5.1.001 Prihodi za decentralizirane funkcije osnovnog obrazovanja</w:t>
      </w:r>
    </w:p>
    <w:p w14:paraId="7916F43A" w14:textId="77777777" w:rsidR="00441994" w:rsidRPr="00441994" w:rsidRDefault="00441994" w:rsidP="00441994">
      <w:pPr>
        <w:spacing w:line="259" w:lineRule="auto"/>
        <w:ind w:firstLine="708"/>
        <w:rPr>
          <w:rFonts w:ascii="Arial" w:hAnsi="Arial" w:cs="Arial"/>
          <w:sz w:val="22"/>
          <w:szCs w:val="22"/>
        </w:rPr>
      </w:pPr>
      <w:r w:rsidRPr="00441994">
        <w:rPr>
          <w:rFonts w:ascii="Arial" w:hAnsi="Arial" w:cs="Arial"/>
          <w:sz w:val="22"/>
          <w:szCs w:val="22"/>
        </w:rPr>
        <w:t>Sredstva su ostala nepromijenjena Prvim izmjenama i dopunama financijskog plana 2025. godine.</w:t>
      </w:r>
    </w:p>
    <w:p w14:paraId="00A43F06" w14:textId="77777777" w:rsidR="00441994" w:rsidRPr="00441994" w:rsidRDefault="00441994" w:rsidP="00441994">
      <w:pPr>
        <w:spacing w:line="259" w:lineRule="auto"/>
        <w:ind w:firstLine="708"/>
        <w:rPr>
          <w:rFonts w:ascii="Arial" w:hAnsi="Arial" w:cs="Arial"/>
          <w:sz w:val="22"/>
          <w:szCs w:val="22"/>
        </w:rPr>
      </w:pPr>
      <w:r w:rsidRPr="00441994">
        <w:rPr>
          <w:rFonts w:ascii="Arial" w:hAnsi="Arial" w:cs="Arial"/>
          <w:sz w:val="22"/>
          <w:szCs w:val="22"/>
        </w:rPr>
        <w:t>U decentraliziranim funkcije osnovnog obrazovanja je ostvaren metodološki manjak krajem 2024. godine u iznosu 740,00 eura te je isti uvršten u Prve izmjene i dopune financijskog plana 2025. godine.</w:t>
      </w:r>
    </w:p>
    <w:p w14:paraId="375F150D" w14:textId="77777777" w:rsidR="00441994" w:rsidRPr="00441994" w:rsidRDefault="00441994" w:rsidP="00441994">
      <w:pPr>
        <w:spacing w:line="259" w:lineRule="auto"/>
        <w:rPr>
          <w:rFonts w:ascii="Arial" w:hAnsi="Arial" w:cs="Arial"/>
          <w:sz w:val="22"/>
          <w:szCs w:val="22"/>
        </w:rPr>
      </w:pPr>
    </w:p>
    <w:p w14:paraId="55B768FD" w14:textId="77777777" w:rsidR="00441994" w:rsidRPr="00441994" w:rsidRDefault="00441994" w:rsidP="00441994">
      <w:pPr>
        <w:spacing w:line="259" w:lineRule="auto"/>
        <w:rPr>
          <w:rFonts w:ascii="Arial" w:hAnsi="Arial" w:cs="Arial"/>
          <w:b/>
          <w:sz w:val="22"/>
          <w:szCs w:val="22"/>
        </w:rPr>
      </w:pPr>
      <w:r w:rsidRPr="00441994">
        <w:rPr>
          <w:rFonts w:ascii="Arial" w:hAnsi="Arial" w:cs="Arial"/>
          <w:b/>
          <w:sz w:val="22"/>
          <w:szCs w:val="22"/>
        </w:rPr>
        <w:t>5.9.000001 Pomoći korisnika</w:t>
      </w:r>
    </w:p>
    <w:p w14:paraId="7843A6DF" w14:textId="77777777" w:rsidR="00441994" w:rsidRPr="00441994" w:rsidRDefault="00441994" w:rsidP="00441994">
      <w:pPr>
        <w:spacing w:line="259" w:lineRule="auto"/>
        <w:ind w:firstLine="708"/>
        <w:rPr>
          <w:rFonts w:ascii="Arial" w:hAnsi="Arial" w:cs="Arial"/>
          <w:sz w:val="22"/>
          <w:szCs w:val="22"/>
        </w:rPr>
      </w:pPr>
      <w:r w:rsidRPr="00441994">
        <w:rPr>
          <w:rFonts w:ascii="Arial" w:hAnsi="Arial" w:cs="Arial"/>
          <w:sz w:val="22"/>
          <w:szCs w:val="22"/>
        </w:rPr>
        <w:t>Iz sredstava pomoći planiraju se sredstva iz proračuna Općine Lovran, Grada Opatije i Općine Mošćenička Draga (sredstva za zakup prostora PO Lovran) i Grada Buzeta (sredstva za zakup prostora Plesnog odjela PO Buzet), pomoći Ministarstva znanosti i obrazovanja za organizaciju tradicionalne manifestacije Klavirski maraton i pomoći Istarske županije za nabavu higijenskih potrepština.</w:t>
      </w:r>
    </w:p>
    <w:p w14:paraId="5665A79B" w14:textId="77777777" w:rsidR="00441994" w:rsidRPr="00441994" w:rsidRDefault="00441994" w:rsidP="00441994">
      <w:pPr>
        <w:spacing w:line="259" w:lineRule="auto"/>
        <w:ind w:firstLine="708"/>
        <w:rPr>
          <w:rFonts w:ascii="Arial" w:hAnsi="Arial" w:cs="Arial"/>
          <w:sz w:val="22"/>
          <w:szCs w:val="22"/>
        </w:rPr>
      </w:pPr>
      <w:r w:rsidRPr="00441994">
        <w:rPr>
          <w:rFonts w:ascii="Arial" w:hAnsi="Arial" w:cs="Arial"/>
          <w:sz w:val="22"/>
          <w:szCs w:val="22"/>
        </w:rPr>
        <w:lastRenderedPageBreak/>
        <w:t>U izvoru 5.9.00004 je u 2024. godini ostvaren višak prihoda poslovanja 2.720,00 eura  za projekt Kulturno blago koji je Odlukom o raspodjeli rezultata usmjeren na Intelektualne i osobne usluge (520,00 eura) te 2.200,00 eura za izradu vanjske učionice, klupe.</w:t>
      </w:r>
    </w:p>
    <w:p w14:paraId="14DBC30C" w14:textId="77777777" w:rsidR="00441994" w:rsidRPr="00441994" w:rsidRDefault="00441994" w:rsidP="00441994">
      <w:pPr>
        <w:spacing w:line="259" w:lineRule="auto"/>
        <w:rPr>
          <w:rFonts w:ascii="Arial" w:hAnsi="Arial" w:cs="Arial"/>
          <w:b/>
          <w:sz w:val="22"/>
          <w:szCs w:val="22"/>
        </w:rPr>
      </w:pPr>
    </w:p>
    <w:p w14:paraId="4DD65FC0" w14:textId="77777777" w:rsidR="00441994" w:rsidRPr="00441994" w:rsidRDefault="00441994" w:rsidP="00441994">
      <w:pPr>
        <w:spacing w:line="259" w:lineRule="auto"/>
        <w:rPr>
          <w:rFonts w:ascii="Arial" w:hAnsi="Arial" w:cs="Arial"/>
          <w:b/>
          <w:sz w:val="22"/>
          <w:szCs w:val="22"/>
        </w:rPr>
      </w:pPr>
      <w:r w:rsidRPr="00441994">
        <w:rPr>
          <w:rFonts w:ascii="Arial" w:hAnsi="Arial" w:cs="Arial"/>
          <w:b/>
          <w:sz w:val="22"/>
          <w:szCs w:val="22"/>
        </w:rPr>
        <w:t>5.9.000003 Pomoći Državna riznica</w:t>
      </w:r>
    </w:p>
    <w:p w14:paraId="34243206" w14:textId="77777777" w:rsidR="00441994" w:rsidRPr="00441994" w:rsidRDefault="00441994" w:rsidP="00441994">
      <w:pPr>
        <w:spacing w:line="259" w:lineRule="auto"/>
        <w:ind w:firstLine="708"/>
        <w:rPr>
          <w:rFonts w:ascii="Arial" w:hAnsi="Arial" w:cs="Arial"/>
          <w:sz w:val="22"/>
          <w:szCs w:val="22"/>
        </w:rPr>
      </w:pPr>
      <w:r w:rsidRPr="00441994">
        <w:rPr>
          <w:rFonts w:ascii="Arial" w:hAnsi="Arial" w:cs="Arial"/>
          <w:sz w:val="22"/>
          <w:szCs w:val="22"/>
        </w:rPr>
        <w:t>Iz sredstava Pomoći, sredstva iz Državnog proračuna su povećana za 4,7% i odnosi se na povećanje plaće sukladno Odluci Vlade o visini osnovice za obračun plaće u javnim službama za 2025.godinu (NN 125/2024).</w:t>
      </w:r>
    </w:p>
    <w:p w14:paraId="6B9FF1E2" w14:textId="77777777" w:rsidR="00441994" w:rsidRPr="00441994" w:rsidRDefault="00441994" w:rsidP="00441994">
      <w:pPr>
        <w:spacing w:line="259" w:lineRule="auto"/>
        <w:rPr>
          <w:rFonts w:ascii="Arial" w:hAnsi="Arial" w:cs="Arial"/>
          <w:b/>
          <w:sz w:val="22"/>
          <w:szCs w:val="22"/>
        </w:rPr>
      </w:pPr>
    </w:p>
    <w:p w14:paraId="720F65E8" w14:textId="77777777" w:rsidR="00441994" w:rsidRPr="00441994" w:rsidRDefault="00441994" w:rsidP="00441994">
      <w:pPr>
        <w:spacing w:line="259" w:lineRule="auto"/>
        <w:rPr>
          <w:rFonts w:ascii="Arial" w:hAnsi="Arial" w:cs="Arial"/>
          <w:b/>
          <w:sz w:val="22"/>
          <w:szCs w:val="22"/>
        </w:rPr>
      </w:pPr>
      <w:r w:rsidRPr="00441994">
        <w:rPr>
          <w:rFonts w:ascii="Arial" w:hAnsi="Arial" w:cs="Arial"/>
          <w:b/>
          <w:sz w:val="22"/>
          <w:szCs w:val="22"/>
        </w:rPr>
        <w:t>Izvor 6.9.000001 Donacije</w:t>
      </w:r>
    </w:p>
    <w:p w14:paraId="53C56A65" w14:textId="77777777" w:rsidR="00441994" w:rsidRPr="00441994" w:rsidRDefault="00441994" w:rsidP="00441994">
      <w:pPr>
        <w:spacing w:line="259" w:lineRule="auto"/>
        <w:ind w:firstLine="708"/>
        <w:rPr>
          <w:rFonts w:ascii="Arial" w:eastAsiaTheme="minorHAnsi" w:hAnsi="Arial" w:cs="Arial"/>
          <w:sz w:val="22"/>
          <w:szCs w:val="22"/>
          <w:lang w:eastAsia="en-US"/>
        </w:rPr>
      </w:pPr>
      <w:r w:rsidRPr="00441994">
        <w:rPr>
          <w:rFonts w:ascii="Arial" w:hAnsi="Arial" w:cs="Arial"/>
          <w:sz w:val="22"/>
          <w:szCs w:val="22"/>
        </w:rPr>
        <w:t>Iz prihoda donacija u iznosu 500,00 eura drugih fizičkih osoba i poduzeća pokrivat će se troškovi vezani za stručna putovanja i suradnju među školama, usluge tekućeg i investicijskog održavanja (popravak glazbala), i dr. Prvim izmjenama i dopunama Financijskog plana 2025. godine isti ostaju nepromijenjeni.</w:t>
      </w:r>
      <w:r w:rsidRPr="00441994">
        <w:rPr>
          <w:rFonts w:ascii="Arial" w:hAnsi="Arial" w:cs="Arial"/>
          <w:sz w:val="22"/>
          <w:szCs w:val="22"/>
        </w:rPr>
        <w:tab/>
      </w:r>
    </w:p>
    <w:p w14:paraId="578F7AEF" w14:textId="77777777" w:rsidR="00441994" w:rsidRPr="00441994" w:rsidRDefault="00441994" w:rsidP="00441994">
      <w:pPr>
        <w:spacing w:line="259" w:lineRule="auto"/>
        <w:rPr>
          <w:rFonts w:ascii="Arial" w:hAnsi="Arial" w:cs="Arial"/>
          <w:b/>
          <w:sz w:val="22"/>
          <w:szCs w:val="22"/>
        </w:rPr>
      </w:pPr>
    </w:p>
    <w:p w14:paraId="366BFF49" w14:textId="77777777" w:rsidR="00441994" w:rsidRPr="00441994" w:rsidRDefault="00441994" w:rsidP="00441994">
      <w:pPr>
        <w:spacing w:line="259" w:lineRule="auto"/>
        <w:jc w:val="center"/>
        <w:rPr>
          <w:rFonts w:ascii="Arial" w:hAnsi="Arial" w:cs="Arial"/>
          <w:b/>
          <w:sz w:val="22"/>
          <w:szCs w:val="22"/>
        </w:rPr>
      </w:pPr>
    </w:p>
    <w:p w14:paraId="682D72E7" w14:textId="63E47F50" w:rsidR="00441994" w:rsidRPr="00441994" w:rsidRDefault="00441994" w:rsidP="00441994">
      <w:pPr>
        <w:spacing w:line="259" w:lineRule="auto"/>
        <w:jc w:val="center"/>
        <w:rPr>
          <w:rFonts w:ascii="Arial" w:hAnsi="Arial" w:cs="Arial"/>
          <w:b/>
          <w:sz w:val="22"/>
          <w:szCs w:val="22"/>
        </w:rPr>
      </w:pPr>
      <w:r w:rsidRPr="00441994">
        <w:rPr>
          <w:rFonts w:ascii="Arial" w:hAnsi="Arial" w:cs="Arial"/>
          <w:b/>
          <w:sz w:val="22"/>
          <w:szCs w:val="22"/>
        </w:rPr>
        <w:t xml:space="preserve">OBRAZLOŽENJE POSEBNOG DIJELA PRIJEDLOGA PRVIH IZMJENA I DOPUNA FINANCIJSKOG PLANA </w:t>
      </w:r>
    </w:p>
    <w:p w14:paraId="329DEA86" w14:textId="77777777" w:rsidR="00441994" w:rsidRPr="00441994" w:rsidRDefault="00441994" w:rsidP="00441994">
      <w:pPr>
        <w:spacing w:line="259" w:lineRule="auto"/>
        <w:rPr>
          <w:rFonts w:ascii="Arial" w:eastAsia="Calibri" w:hAnsi="Arial" w:cs="Arial"/>
          <w:b/>
          <w:sz w:val="22"/>
          <w:szCs w:val="22"/>
          <w:u w:val="single"/>
        </w:rPr>
      </w:pPr>
    </w:p>
    <w:p w14:paraId="6F3AF204" w14:textId="77777777" w:rsidR="00441994" w:rsidRPr="00441994" w:rsidRDefault="00441994" w:rsidP="00441994">
      <w:pPr>
        <w:spacing w:line="259" w:lineRule="auto"/>
        <w:rPr>
          <w:rFonts w:ascii="Arial" w:eastAsia="Calibri" w:hAnsi="Arial" w:cs="Arial"/>
          <w:b/>
          <w:sz w:val="22"/>
          <w:szCs w:val="22"/>
          <w:u w:val="single"/>
        </w:rPr>
      </w:pPr>
      <w:r w:rsidRPr="00441994">
        <w:rPr>
          <w:rFonts w:ascii="Arial" w:eastAsia="Calibri" w:hAnsi="Arial" w:cs="Arial"/>
          <w:b/>
          <w:sz w:val="22"/>
          <w:szCs w:val="22"/>
          <w:u w:val="single"/>
        </w:rPr>
        <w:t>Zakonska osnova</w:t>
      </w:r>
    </w:p>
    <w:p w14:paraId="5868DC43" w14:textId="77777777" w:rsidR="00441994" w:rsidRPr="00441994" w:rsidRDefault="00441994" w:rsidP="00441994">
      <w:pPr>
        <w:spacing w:line="259" w:lineRule="auto"/>
        <w:ind w:left="705" w:hanging="705"/>
        <w:jc w:val="both"/>
        <w:rPr>
          <w:rFonts w:ascii="Arial" w:eastAsia="Calibri" w:hAnsi="Arial" w:cs="Arial"/>
          <w:sz w:val="22"/>
          <w:szCs w:val="22"/>
        </w:rPr>
      </w:pPr>
      <w:r w:rsidRPr="00441994">
        <w:rPr>
          <w:rFonts w:ascii="Arial" w:eastAsia="Calibri" w:hAnsi="Arial" w:cs="Arial"/>
          <w:sz w:val="22"/>
          <w:szCs w:val="22"/>
        </w:rPr>
        <w:t xml:space="preserve">- </w:t>
      </w:r>
      <w:r w:rsidRPr="00441994">
        <w:rPr>
          <w:rFonts w:ascii="Arial" w:eastAsia="Calibri" w:hAnsi="Arial" w:cs="Arial"/>
          <w:sz w:val="22"/>
          <w:szCs w:val="22"/>
        </w:rPr>
        <w:tab/>
        <w:t>Zakon o odgoju i obrazovanju u osnovnoj i srednjoj školi (NN 87/08, 86/09, 92/10, 105/10, 90/11, 5/12, 16/12, 86/12, 126/12, 94/13, 152/14, 07/17, 68/18, 98/19, 64/20, 151/22,</w:t>
      </w:r>
      <w:r w:rsidRPr="00441994">
        <w:rPr>
          <w:rFonts w:ascii="Arial" w:hAnsi="Arial" w:cs="Arial"/>
          <w:sz w:val="22"/>
          <w:szCs w:val="22"/>
        </w:rPr>
        <w:t xml:space="preserve"> </w:t>
      </w:r>
      <w:r w:rsidRPr="00441994">
        <w:rPr>
          <w:rFonts w:ascii="Arial" w:eastAsia="Calibri" w:hAnsi="Arial" w:cs="Arial"/>
          <w:sz w:val="22"/>
          <w:szCs w:val="22"/>
        </w:rPr>
        <w:t>155/23 i 156/23)</w:t>
      </w:r>
    </w:p>
    <w:p w14:paraId="49D6D9FF" w14:textId="77777777" w:rsidR="00441994" w:rsidRPr="00441994" w:rsidRDefault="00441994" w:rsidP="00441994">
      <w:pPr>
        <w:spacing w:line="259" w:lineRule="auto"/>
        <w:jc w:val="both"/>
        <w:rPr>
          <w:rFonts w:ascii="Arial" w:eastAsia="Calibri" w:hAnsi="Arial" w:cs="Arial"/>
          <w:sz w:val="22"/>
          <w:szCs w:val="22"/>
        </w:rPr>
      </w:pPr>
      <w:r w:rsidRPr="00441994">
        <w:rPr>
          <w:rFonts w:ascii="Arial" w:eastAsia="Calibri" w:hAnsi="Arial" w:cs="Arial"/>
          <w:sz w:val="22"/>
          <w:szCs w:val="22"/>
        </w:rPr>
        <w:t>-</w:t>
      </w:r>
      <w:r w:rsidRPr="00441994">
        <w:rPr>
          <w:rFonts w:ascii="Arial" w:eastAsia="Calibri" w:hAnsi="Arial" w:cs="Arial"/>
          <w:sz w:val="22"/>
          <w:szCs w:val="22"/>
        </w:rPr>
        <w:tab/>
        <w:t>Zakon o umjetničkom obrazovanju (NN 130/11)</w:t>
      </w:r>
    </w:p>
    <w:p w14:paraId="5275D571" w14:textId="77777777" w:rsidR="00441994" w:rsidRPr="00441994" w:rsidRDefault="00441994" w:rsidP="00441994">
      <w:pPr>
        <w:spacing w:line="259" w:lineRule="auto"/>
        <w:jc w:val="both"/>
        <w:rPr>
          <w:rFonts w:ascii="Arial" w:eastAsia="Calibri" w:hAnsi="Arial" w:cs="Arial"/>
          <w:sz w:val="22"/>
          <w:szCs w:val="22"/>
        </w:rPr>
      </w:pPr>
      <w:r w:rsidRPr="00441994">
        <w:rPr>
          <w:rFonts w:ascii="Arial" w:eastAsia="Calibri" w:hAnsi="Arial" w:cs="Arial"/>
          <w:sz w:val="22"/>
          <w:szCs w:val="22"/>
        </w:rPr>
        <w:t>-</w:t>
      </w:r>
      <w:r w:rsidRPr="00441994">
        <w:rPr>
          <w:rFonts w:ascii="Arial" w:eastAsia="Calibri" w:hAnsi="Arial" w:cs="Arial"/>
          <w:sz w:val="22"/>
          <w:szCs w:val="22"/>
        </w:rPr>
        <w:tab/>
        <w:t>Zakon o proračunu (NN 144/21)</w:t>
      </w:r>
    </w:p>
    <w:p w14:paraId="0D8A26AC" w14:textId="77777777" w:rsidR="00441994" w:rsidRPr="00441994" w:rsidRDefault="00441994" w:rsidP="00441994">
      <w:pPr>
        <w:spacing w:line="259" w:lineRule="auto"/>
        <w:ind w:left="705" w:hanging="705"/>
        <w:jc w:val="both"/>
        <w:rPr>
          <w:rFonts w:ascii="Arial" w:eastAsia="Calibri" w:hAnsi="Arial" w:cs="Arial"/>
          <w:sz w:val="22"/>
          <w:szCs w:val="22"/>
        </w:rPr>
      </w:pPr>
      <w:r w:rsidRPr="00441994">
        <w:rPr>
          <w:rFonts w:ascii="Arial" w:eastAsia="Calibri" w:hAnsi="Arial" w:cs="Arial"/>
          <w:sz w:val="22"/>
          <w:szCs w:val="22"/>
        </w:rPr>
        <w:t>-</w:t>
      </w:r>
      <w:r w:rsidRPr="00441994">
        <w:rPr>
          <w:rFonts w:ascii="Arial" w:eastAsia="Calibri" w:hAnsi="Arial" w:cs="Arial"/>
          <w:sz w:val="22"/>
          <w:szCs w:val="22"/>
        </w:rPr>
        <w:tab/>
        <w:t>Godišnji plan i program rada Umjetničke škole Matka Brajše Rašana za šk. god. 2024./2025.</w:t>
      </w:r>
    </w:p>
    <w:p w14:paraId="07FA4711" w14:textId="77777777" w:rsidR="00441994" w:rsidRPr="00441994" w:rsidRDefault="00441994" w:rsidP="00441994">
      <w:pPr>
        <w:spacing w:line="259" w:lineRule="auto"/>
        <w:jc w:val="both"/>
        <w:rPr>
          <w:rFonts w:ascii="Arial" w:eastAsia="Calibri" w:hAnsi="Arial" w:cs="Arial"/>
          <w:sz w:val="22"/>
          <w:szCs w:val="22"/>
        </w:rPr>
      </w:pPr>
      <w:r w:rsidRPr="00441994">
        <w:rPr>
          <w:rFonts w:ascii="Arial" w:eastAsia="Calibri" w:hAnsi="Arial" w:cs="Arial"/>
          <w:sz w:val="22"/>
          <w:szCs w:val="22"/>
        </w:rPr>
        <w:t>-</w:t>
      </w:r>
      <w:r w:rsidRPr="00441994">
        <w:rPr>
          <w:rFonts w:ascii="Arial" w:eastAsia="Calibri" w:hAnsi="Arial" w:cs="Arial"/>
          <w:sz w:val="22"/>
          <w:szCs w:val="22"/>
        </w:rPr>
        <w:tab/>
        <w:t>Školski kurikulum Umjetničke škole Matka Brajše Rašana za šk. god. 2024./2025.</w:t>
      </w:r>
    </w:p>
    <w:p w14:paraId="2784FB98" w14:textId="77777777" w:rsidR="00441994" w:rsidRPr="00441994" w:rsidRDefault="00441994" w:rsidP="00441994">
      <w:pPr>
        <w:spacing w:line="259" w:lineRule="auto"/>
        <w:contextualSpacing/>
        <w:rPr>
          <w:rFonts w:ascii="Arial" w:eastAsia="Calibri" w:hAnsi="Arial" w:cs="Arial"/>
          <w:sz w:val="22"/>
          <w:szCs w:val="22"/>
        </w:rPr>
      </w:pPr>
    </w:p>
    <w:p w14:paraId="33B4B456" w14:textId="77777777" w:rsidR="00441994" w:rsidRPr="00441994" w:rsidRDefault="00441994" w:rsidP="00441994">
      <w:pPr>
        <w:spacing w:line="259" w:lineRule="auto"/>
        <w:contextualSpacing/>
        <w:rPr>
          <w:rFonts w:ascii="Arial" w:eastAsia="Calibri" w:hAnsi="Arial" w:cs="Arial"/>
          <w:sz w:val="22"/>
          <w:szCs w:val="22"/>
        </w:rPr>
      </w:pPr>
    </w:p>
    <w:p w14:paraId="367710F9" w14:textId="77777777" w:rsidR="00441994" w:rsidRPr="00441994" w:rsidRDefault="00441994" w:rsidP="00441994">
      <w:pPr>
        <w:spacing w:line="259" w:lineRule="auto"/>
        <w:jc w:val="both"/>
        <w:rPr>
          <w:rFonts w:ascii="Arial" w:eastAsiaTheme="minorHAnsi" w:hAnsi="Arial" w:cs="Arial"/>
          <w:b/>
          <w:bCs/>
          <w:sz w:val="22"/>
          <w:szCs w:val="22"/>
        </w:rPr>
      </w:pPr>
      <w:r w:rsidRPr="00441994">
        <w:rPr>
          <w:rFonts w:ascii="Arial" w:hAnsi="Arial" w:cs="Arial"/>
          <w:b/>
          <w:bCs/>
          <w:sz w:val="22"/>
          <w:szCs w:val="22"/>
        </w:rPr>
        <w:t>Naziv programa: OBRAZOVANJE</w:t>
      </w:r>
    </w:p>
    <w:p w14:paraId="10D2F01C" w14:textId="77777777" w:rsidR="00441994" w:rsidRPr="00441994" w:rsidRDefault="00441994" w:rsidP="00441994">
      <w:pPr>
        <w:spacing w:line="259" w:lineRule="auto"/>
        <w:jc w:val="both"/>
        <w:rPr>
          <w:rFonts w:ascii="Arial" w:hAnsi="Arial" w:cs="Arial"/>
          <w:sz w:val="22"/>
          <w:szCs w:val="22"/>
        </w:rPr>
      </w:pPr>
    </w:p>
    <w:p w14:paraId="075218E0" w14:textId="77777777" w:rsidR="00441994" w:rsidRPr="00441994" w:rsidRDefault="00441994" w:rsidP="00441994">
      <w:pPr>
        <w:spacing w:line="259" w:lineRule="auto"/>
        <w:jc w:val="both"/>
        <w:rPr>
          <w:rFonts w:ascii="Arial" w:hAnsi="Arial" w:cs="Arial"/>
          <w:b/>
          <w:bCs/>
          <w:sz w:val="22"/>
          <w:szCs w:val="22"/>
        </w:rPr>
      </w:pPr>
      <w:r w:rsidRPr="00441994">
        <w:rPr>
          <w:rFonts w:ascii="Arial" w:hAnsi="Arial" w:cs="Arial"/>
          <w:b/>
          <w:bCs/>
          <w:sz w:val="22"/>
          <w:szCs w:val="22"/>
        </w:rPr>
        <w:t>Opis i cilj programa:</w:t>
      </w:r>
    </w:p>
    <w:p w14:paraId="7390ED6A" w14:textId="77777777" w:rsidR="00441994" w:rsidRPr="00441994" w:rsidRDefault="00441994" w:rsidP="00441994">
      <w:pPr>
        <w:spacing w:line="259" w:lineRule="auto"/>
        <w:ind w:firstLine="708"/>
        <w:jc w:val="both"/>
        <w:rPr>
          <w:rFonts w:ascii="Arial" w:hAnsi="Arial" w:cs="Arial"/>
          <w:sz w:val="22"/>
          <w:szCs w:val="22"/>
        </w:rPr>
      </w:pPr>
      <w:r w:rsidRPr="00441994">
        <w:rPr>
          <w:rFonts w:ascii="Arial" w:hAnsi="Arial" w:cs="Arial"/>
          <w:sz w:val="22"/>
          <w:szCs w:val="22"/>
        </w:rPr>
        <w:t xml:space="preserve">Umjetnička škola Matka Brajše Rašana vrši osnovnoškolsko i predškolsko glazbeno i plesno obrazovanje djece i mladeži s područja Grada Labina i okolice te Grada Buzeta, Grada Opatije i općina Kršan, </w:t>
      </w:r>
      <w:proofErr w:type="spellStart"/>
      <w:r w:rsidRPr="00441994">
        <w:rPr>
          <w:rFonts w:ascii="Arial" w:hAnsi="Arial" w:cs="Arial"/>
          <w:sz w:val="22"/>
          <w:szCs w:val="22"/>
        </w:rPr>
        <w:t>Pićan</w:t>
      </w:r>
      <w:proofErr w:type="spellEnd"/>
      <w:r w:rsidRPr="00441994">
        <w:rPr>
          <w:rFonts w:ascii="Arial" w:hAnsi="Arial" w:cs="Arial"/>
          <w:sz w:val="22"/>
          <w:szCs w:val="22"/>
        </w:rPr>
        <w:t>, Lovran i Mošćenička Draga. Osnovnoškolski glazbeni i plesni programi uključuju sljedeće odjele: klavir, harmonika, gitara, flauta, klarinet, saksofon, violina i udaraljke te odjel suvremenog plesa. Predškolski programi uključuju kraće glazbeno i plesno obrazovanje za djecu predškolske dobi.</w:t>
      </w:r>
    </w:p>
    <w:p w14:paraId="19F0E383" w14:textId="77777777" w:rsidR="00441994" w:rsidRPr="00441994" w:rsidRDefault="00441994" w:rsidP="00441994">
      <w:pPr>
        <w:spacing w:line="259" w:lineRule="auto"/>
        <w:ind w:firstLine="708"/>
        <w:jc w:val="both"/>
        <w:rPr>
          <w:rFonts w:ascii="Arial" w:hAnsi="Arial" w:cs="Arial"/>
          <w:sz w:val="22"/>
          <w:szCs w:val="22"/>
        </w:rPr>
      </w:pPr>
      <w:r w:rsidRPr="00441994">
        <w:rPr>
          <w:rFonts w:ascii="Arial" w:hAnsi="Arial" w:cs="Arial"/>
          <w:sz w:val="22"/>
          <w:szCs w:val="22"/>
        </w:rPr>
        <w:t xml:space="preserve">U školsku godinu 2024./2025. upisano je ukupno 414 polaznika. Zaposleno je 48 djelatnika. Nastava se odvija u Matičnoj školi u Labinu te područnim odjelima </w:t>
      </w:r>
      <w:proofErr w:type="spellStart"/>
      <w:r w:rsidRPr="00441994">
        <w:rPr>
          <w:rFonts w:ascii="Arial" w:hAnsi="Arial" w:cs="Arial"/>
          <w:sz w:val="22"/>
          <w:szCs w:val="22"/>
        </w:rPr>
        <w:t>Potpićan</w:t>
      </w:r>
      <w:proofErr w:type="spellEnd"/>
      <w:r w:rsidRPr="00441994">
        <w:rPr>
          <w:rFonts w:ascii="Arial" w:hAnsi="Arial" w:cs="Arial"/>
          <w:sz w:val="22"/>
          <w:szCs w:val="22"/>
        </w:rPr>
        <w:t xml:space="preserve">, Buzet i Lovran u poslijepodnevnim satima te u među smjeni, ovisno o individualnom rasporedu. </w:t>
      </w:r>
    </w:p>
    <w:p w14:paraId="4954D090" w14:textId="77777777" w:rsidR="00441994" w:rsidRPr="00441994" w:rsidRDefault="00441994" w:rsidP="00441994">
      <w:pPr>
        <w:spacing w:line="259" w:lineRule="auto"/>
        <w:ind w:firstLine="708"/>
        <w:jc w:val="both"/>
        <w:rPr>
          <w:rFonts w:ascii="Arial" w:hAnsi="Arial" w:cs="Arial"/>
          <w:sz w:val="22"/>
          <w:szCs w:val="22"/>
        </w:rPr>
      </w:pPr>
      <w:r w:rsidRPr="00441994">
        <w:rPr>
          <w:rFonts w:ascii="Arial" w:hAnsi="Arial" w:cs="Arial"/>
          <w:sz w:val="22"/>
          <w:szCs w:val="22"/>
        </w:rPr>
        <w:t>Cilj programa je osposobiti učenike za postizanje što boljih i kvalitetnijih rezultata tijekom glazbenog i plesnog obrazovanja, usmjeriti ih da streme ka znanju, uspjehu i konkurentnosti, pružiti im mogućnost daljnjeg nastavka školovanja, odnosno usaditi im ljubav prema glazbi i plesu te prema umjetnosti općenito, a što će ostati u njima kao trajna vrijednost. Cilj je i omogućiti učenicima i polaznicima sudjelovanje na regionalnim, državnim i međunarodnim solističkim, komornim te ostalim skupnim natjecanjima, nastupe na velikom broju prigodnih koncerata, predstava i manifestacija u organizaciji Škole, projektima Grada Labina i gradova i općina u kojima djeluju područni odjeli, kao i razvijanje suradnje s drugim glazbenim i plesnim školama unutar Republike Hrvatske te diljem Europe.</w:t>
      </w:r>
    </w:p>
    <w:p w14:paraId="55D1F216" w14:textId="77777777" w:rsidR="00441994" w:rsidRPr="00441994" w:rsidRDefault="00441994" w:rsidP="00441994">
      <w:pPr>
        <w:spacing w:line="259" w:lineRule="auto"/>
        <w:jc w:val="both"/>
        <w:rPr>
          <w:rFonts w:ascii="Arial" w:hAnsi="Arial" w:cs="Arial"/>
          <w:sz w:val="22"/>
          <w:szCs w:val="22"/>
        </w:rPr>
      </w:pPr>
    </w:p>
    <w:p w14:paraId="48284C19" w14:textId="77777777" w:rsidR="00441994" w:rsidRPr="00441994" w:rsidRDefault="00441994" w:rsidP="00441994">
      <w:pPr>
        <w:spacing w:line="259" w:lineRule="auto"/>
        <w:jc w:val="both"/>
        <w:rPr>
          <w:rFonts w:ascii="Arial" w:hAnsi="Arial" w:cs="Arial"/>
          <w:sz w:val="22"/>
          <w:szCs w:val="22"/>
        </w:rPr>
      </w:pPr>
      <w:r w:rsidRPr="00441994">
        <w:rPr>
          <w:rFonts w:ascii="Arial" w:hAnsi="Arial" w:cs="Arial"/>
          <w:sz w:val="22"/>
          <w:szCs w:val="22"/>
        </w:rPr>
        <w:t>Škola se financira iz različitih izvora:</w:t>
      </w:r>
    </w:p>
    <w:p w14:paraId="4CFC39B7" w14:textId="77777777" w:rsidR="00441994" w:rsidRPr="00441994" w:rsidRDefault="00441994">
      <w:pPr>
        <w:pStyle w:val="Odlomakpopisa"/>
        <w:numPr>
          <w:ilvl w:val="0"/>
          <w:numId w:val="30"/>
        </w:numPr>
        <w:spacing w:after="0" w:line="259" w:lineRule="auto"/>
        <w:jc w:val="both"/>
        <w:rPr>
          <w:rFonts w:ascii="Arial" w:hAnsi="Arial" w:cs="Arial"/>
          <w:szCs w:val="22"/>
        </w:rPr>
      </w:pPr>
      <w:r w:rsidRPr="00441994">
        <w:rPr>
          <w:rFonts w:ascii="Arial" w:hAnsi="Arial" w:cs="Arial"/>
          <w:szCs w:val="22"/>
        </w:rPr>
        <w:t xml:space="preserve">prihodi iz državnog proračuna za plaće i naknade zaposlenika </w:t>
      </w:r>
    </w:p>
    <w:p w14:paraId="033F0B22" w14:textId="77777777" w:rsidR="00441994" w:rsidRPr="00441994" w:rsidRDefault="00441994">
      <w:pPr>
        <w:pStyle w:val="Odlomakpopisa"/>
        <w:numPr>
          <w:ilvl w:val="0"/>
          <w:numId w:val="30"/>
        </w:numPr>
        <w:spacing w:after="0" w:line="259" w:lineRule="auto"/>
        <w:jc w:val="both"/>
        <w:rPr>
          <w:rFonts w:ascii="Arial" w:hAnsi="Arial" w:cs="Arial"/>
          <w:szCs w:val="22"/>
        </w:rPr>
      </w:pPr>
      <w:r w:rsidRPr="00441994">
        <w:rPr>
          <w:rFonts w:ascii="Arial" w:hAnsi="Arial" w:cs="Arial"/>
          <w:szCs w:val="22"/>
        </w:rPr>
        <w:t>participacija roditelja za osnovnoškolske programe u iznosu od 30,00 eura mjesečno i za predškolske programe u iznosu od 30,00 eura mjesečno</w:t>
      </w:r>
    </w:p>
    <w:p w14:paraId="249ACF2D" w14:textId="77777777" w:rsidR="00441994" w:rsidRPr="00441994" w:rsidRDefault="00441994">
      <w:pPr>
        <w:pStyle w:val="Odlomakpopisa"/>
        <w:numPr>
          <w:ilvl w:val="0"/>
          <w:numId w:val="30"/>
        </w:numPr>
        <w:spacing w:after="0" w:line="259" w:lineRule="auto"/>
        <w:jc w:val="both"/>
        <w:rPr>
          <w:rFonts w:ascii="Arial" w:hAnsi="Arial" w:cs="Arial"/>
          <w:szCs w:val="22"/>
        </w:rPr>
      </w:pPr>
      <w:r w:rsidRPr="00441994">
        <w:rPr>
          <w:rFonts w:ascii="Arial" w:hAnsi="Arial" w:cs="Arial"/>
          <w:szCs w:val="22"/>
        </w:rPr>
        <w:t>decentralizirana sredstva za osnovno obrazovanje (Odluka o kriterijima, mjerilima i načinu financiranja decentraliziranih funkcija osnovnog školstva za 2025. godinu Grada Labina)</w:t>
      </w:r>
    </w:p>
    <w:p w14:paraId="620AB130" w14:textId="77777777" w:rsidR="00441994" w:rsidRPr="00441994" w:rsidRDefault="00441994">
      <w:pPr>
        <w:pStyle w:val="Odlomakpopisa"/>
        <w:numPr>
          <w:ilvl w:val="0"/>
          <w:numId w:val="30"/>
        </w:numPr>
        <w:spacing w:after="0" w:line="259" w:lineRule="auto"/>
        <w:jc w:val="both"/>
        <w:rPr>
          <w:rFonts w:ascii="Arial" w:hAnsi="Arial" w:cs="Arial"/>
          <w:szCs w:val="22"/>
        </w:rPr>
      </w:pPr>
      <w:r w:rsidRPr="00441994">
        <w:rPr>
          <w:rFonts w:ascii="Arial" w:hAnsi="Arial" w:cs="Arial"/>
          <w:szCs w:val="22"/>
        </w:rPr>
        <w:t>prihodi iz gradskog proračuna</w:t>
      </w:r>
    </w:p>
    <w:p w14:paraId="4F3C65FD" w14:textId="77777777" w:rsidR="00441994" w:rsidRPr="00441994" w:rsidRDefault="00441994">
      <w:pPr>
        <w:pStyle w:val="Odlomakpopisa"/>
        <w:numPr>
          <w:ilvl w:val="0"/>
          <w:numId w:val="30"/>
        </w:numPr>
        <w:spacing w:after="0" w:line="259" w:lineRule="auto"/>
        <w:jc w:val="both"/>
        <w:rPr>
          <w:rFonts w:ascii="Arial" w:hAnsi="Arial" w:cs="Arial"/>
          <w:szCs w:val="22"/>
        </w:rPr>
      </w:pPr>
      <w:r w:rsidRPr="00441994">
        <w:rPr>
          <w:rFonts w:ascii="Arial" w:hAnsi="Arial" w:cs="Arial"/>
          <w:szCs w:val="22"/>
        </w:rPr>
        <w:t>tekuće pomoći iz državnog proračuna</w:t>
      </w:r>
    </w:p>
    <w:p w14:paraId="5B2175CC" w14:textId="77777777" w:rsidR="00441994" w:rsidRPr="00441994" w:rsidRDefault="00441994">
      <w:pPr>
        <w:pStyle w:val="Odlomakpopisa"/>
        <w:numPr>
          <w:ilvl w:val="0"/>
          <w:numId w:val="30"/>
        </w:numPr>
        <w:spacing w:after="0" w:line="259" w:lineRule="auto"/>
        <w:jc w:val="both"/>
        <w:rPr>
          <w:rFonts w:ascii="Arial" w:hAnsi="Arial" w:cs="Arial"/>
          <w:szCs w:val="22"/>
        </w:rPr>
      </w:pPr>
      <w:r w:rsidRPr="00441994">
        <w:rPr>
          <w:rFonts w:ascii="Arial" w:hAnsi="Arial" w:cs="Arial"/>
          <w:szCs w:val="22"/>
        </w:rPr>
        <w:t>tekuće pomoći općinskih/gradskih proračuna Općine Lovran, Općine Mošćenička Draga, Grada Buzeta i Grada Opatije</w:t>
      </w:r>
    </w:p>
    <w:p w14:paraId="2DB0F99D" w14:textId="77777777" w:rsidR="00441994" w:rsidRPr="00441994" w:rsidRDefault="00441994">
      <w:pPr>
        <w:pStyle w:val="Odlomakpopisa"/>
        <w:numPr>
          <w:ilvl w:val="0"/>
          <w:numId w:val="30"/>
        </w:numPr>
        <w:spacing w:after="0" w:line="259" w:lineRule="auto"/>
        <w:jc w:val="both"/>
        <w:rPr>
          <w:rFonts w:ascii="Arial" w:hAnsi="Arial" w:cs="Arial"/>
          <w:szCs w:val="22"/>
        </w:rPr>
      </w:pPr>
      <w:r w:rsidRPr="00441994">
        <w:rPr>
          <w:rFonts w:ascii="Arial" w:hAnsi="Arial" w:cs="Arial"/>
          <w:szCs w:val="22"/>
        </w:rPr>
        <w:t xml:space="preserve">prihodi tekućih donacija </w:t>
      </w:r>
    </w:p>
    <w:p w14:paraId="7964C217" w14:textId="77777777" w:rsidR="00441994" w:rsidRPr="00441994" w:rsidRDefault="00441994">
      <w:pPr>
        <w:pStyle w:val="Odlomakpopisa"/>
        <w:numPr>
          <w:ilvl w:val="0"/>
          <w:numId w:val="30"/>
        </w:numPr>
        <w:spacing w:after="0" w:line="259" w:lineRule="auto"/>
        <w:jc w:val="both"/>
        <w:rPr>
          <w:rFonts w:ascii="Arial" w:hAnsi="Arial" w:cs="Arial"/>
          <w:szCs w:val="22"/>
        </w:rPr>
      </w:pPr>
      <w:r w:rsidRPr="00441994">
        <w:rPr>
          <w:rFonts w:ascii="Arial" w:hAnsi="Arial" w:cs="Arial"/>
          <w:szCs w:val="22"/>
        </w:rPr>
        <w:t xml:space="preserve">vlastiti prihodi </w:t>
      </w:r>
    </w:p>
    <w:p w14:paraId="2976E631" w14:textId="77777777" w:rsidR="00441994" w:rsidRPr="00441994" w:rsidRDefault="00441994" w:rsidP="00441994">
      <w:pPr>
        <w:spacing w:line="259" w:lineRule="auto"/>
        <w:jc w:val="both"/>
        <w:rPr>
          <w:rFonts w:ascii="Arial" w:hAnsi="Arial" w:cs="Arial"/>
          <w:sz w:val="22"/>
          <w:szCs w:val="22"/>
        </w:rPr>
      </w:pPr>
    </w:p>
    <w:p w14:paraId="5169A6C3" w14:textId="77777777" w:rsidR="00441994" w:rsidRPr="00441994" w:rsidRDefault="00441994" w:rsidP="00441994">
      <w:pPr>
        <w:spacing w:line="259" w:lineRule="auto"/>
        <w:ind w:firstLine="708"/>
        <w:jc w:val="both"/>
        <w:rPr>
          <w:rFonts w:ascii="Arial" w:hAnsi="Arial" w:cs="Arial"/>
          <w:sz w:val="22"/>
          <w:szCs w:val="22"/>
        </w:rPr>
      </w:pPr>
      <w:r w:rsidRPr="00441994">
        <w:rPr>
          <w:rFonts w:ascii="Arial" w:hAnsi="Arial" w:cs="Arial"/>
          <w:sz w:val="22"/>
          <w:szCs w:val="22"/>
        </w:rPr>
        <w:t xml:space="preserve">Umjetnička škola Matka Brajše Rašana svake godine ostvaruje pozitivan rezultat poslovanja. Sredstva roditeljske participacije, sukladno Zakonu o umjetničkom obrazovanju, troše se isključivo namjenski -  za kupovinu glazbenih instrumenata i ostale glazbene i plesne opreme, odlaske na natjecanja, susrete, i sl. </w:t>
      </w:r>
    </w:p>
    <w:p w14:paraId="5D2F732F" w14:textId="77777777" w:rsidR="00441994" w:rsidRPr="00441994" w:rsidRDefault="00441994" w:rsidP="00441994">
      <w:pPr>
        <w:spacing w:line="259" w:lineRule="auto"/>
        <w:jc w:val="both"/>
        <w:rPr>
          <w:rFonts w:ascii="Arial" w:hAnsi="Arial" w:cs="Arial"/>
          <w:sz w:val="22"/>
          <w:szCs w:val="22"/>
        </w:rPr>
      </w:pPr>
    </w:p>
    <w:p w14:paraId="0062C4F2" w14:textId="77777777" w:rsidR="00441994" w:rsidRPr="00441994" w:rsidRDefault="00441994" w:rsidP="00441994">
      <w:pPr>
        <w:spacing w:line="259" w:lineRule="auto"/>
        <w:jc w:val="both"/>
        <w:rPr>
          <w:rFonts w:ascii="Arial" w:hAnsi="Arial" w:cs="Arial"/>
          <w:b/>
          <w:bCs/>
          <w:sz w:val="22"/>
          <w:szCs w:val="22"/>
        </w:rPr>
      </w:pPr>
      <w:r w:rsidRPr="00441994">
        <w:rPr>
          <w:rFonts w:ascii="Arial" w:hAnsi="Arial" w:cs="Arial"/>
          <w:b/>
          <w:bCs/>
          <w:sz w:val="22"/>
          <w:szCs w:val="22"/>
        </w:rPr>
        <w:t>Planirana sredstva:</w:t>
      </w:r>
    </w:p>
    <w:p w14:paraId="682A167C" w14:textId="77777777" w:rsidR="00441994" w:rsidRPr="00441994" w:rsidRDefault="00441994" w:rsidP="00441994">
      <w:pPr>
        <w:spacing w:line="259" w:lineRule="auto"/>
        <w:ind w:firstLine="708"/>
        <w:jc w:val="both"/>
        <w:rPr>
          <w:rFonts w:ascii="Arial" w:hAnsi="Arial" w:cs="Arial"/>
          <w:sz w:val="22"/>
          <w:szCs w:val="22"/>
        </w:rPr>
      </w:pPr>
      <w:r w:rsidRPr="00441994">
        <w:rPr>
          <w:rFonts w:ascii="Arial" w:hAnsi="Arial" w:cs="Arial"/>
          <w:sz w:val="22"/>
          <w:szCs w:val="22"/>
        </w:rPr>
        <w:t>Za potrebe izvršenja aktivnosti ovog programa za 2025. godinu planirano je ukupno 1.352.670,00 eura. Sredstva su Prvim izmjenama i dopunama financijskog plana povećana te sada iznose 1.406.540,00 eura.</w:t>
      </w:r>
    </w:p>
    <w:p w14:paraId="31AD7116" w14:textId="77777777" w:rsidR="00441994" w:rsidRPr="00441994" w:rsidRDefault="00441994" w:rsidP="00441994">
      <w:pPr>
        <w:spacing w:line="259" w:lineRule="auto"/>
        <w:jc w:val="both"/>
        <w:rPr>
          <w:rFonts w:ascii="Arial" w:hAnsi="Arial" w:cs="Arial"/>
          <w:sz w:val="22"/>
          <w:szCs w:val="22"/>
        </w:rPr>
      </w:pPr>
    </w:p>
    <w:p w14:paraId="2E4EB327" w14:textId="77777777" w:rsidR="00441994" w:rsidRPr="00441994" w:rsidRDefault="00441994" w:rsidP="00441994">
      <w:pPr>
        <w:spacing w:line="259" w:lineRule="auto"/>
        <w:jc w:val="both"/>
        <w:rPr>
          <w:rFonts w:ascii="Arial" w:hAnsi="Arial" w:cs="Arial"/>
          <w:b/>
          <w:bCs/>
          <w:sz w:val="22"/>
          <w:szCs w:val="22"/>
        </w:rPr>
      </w:pPr>
      <w:r w:rsidRPr="00441994">
        <w:rPr>
          <w:rFonts w:ascii="Arial" w:hAnsi="Arial" w:cs="Arial"/>
          <w:b/>
          <w:bCs/>
          <w:sz w:val="22"/>
          <w:szCs w:val="22"/>
        </w:rPr>
        <w:t>Aktivnost: Financiranje djelatnosti osnovnog školstva</w:t>
      </w:r>
    </w:p>
    <w:p w14:paraId="1C3BAA66" w14:textId="77777777" w:rsidR="00441994" w:rsidRPr="00441994" w:rsidRDefault="00441994" w:rsidP="00441994">
      <w:pPr>
        <w:spacing w:line="259" w:lineRule="auto"/>
        <w:ind w:firstLine="708"/>
        <w:jc w:val="both"/>
        <w:rPr>
          <w:rFonts w:ascii="Arial" w:hAnsi="Arial" w:cs="Arial"/>
          <w:sz w:val="22"/>
          <w:szCs w:val="22"/>
        </w:rPr>
      </w:pPr>
      <w:r w:rsidRPr="00441994">
        <w:rPr>
          <w:rFonts w:ascii="Arial" w:hAnsi="Arial" w:cs="Arial"/>
          <w:sz w:val="22"/>
          <w:szCs w:val="22"/>
        </w:rPr>
        <w:t>Ova se aktivnost ostvaruje iz decentraliziranih funkcija financiranja, prihoda po posebnim namjenama, pomoćima državnog proračuna te donacijama poslovnih subjekata.</w:t>
      </w:r>
    </w:p>
    <w:p w14:paraId="3804CC9E" w14:textId="77777777" w:rsidR="00441994" w:rsidRPr="00441994" w:rsidRDefault="00441994" w:rsidP="00441994">
      <w:pPr>
        <w:spacing w:line="259" w:lineRule="auto"/>
        <w:ind w:firstLine="708"/>
        <w:jc w:val="both"/>
        <w:rPr>
          <w:rFonts w:ascii="Arial" w:hAnsi="Arial" w:cs="Arial"/>
          <w:sz w:val="22"/>
          <w:szCs w:val="22"/>
        </w:rPr>
      </w:pPr>
      <w:r w:rsidRPr="00441994">
        <w:rPr>
          <w:rFonts w:ascii="Arial" w:hAnsi="Arial" w:cs="Arial"/>
          <w:sz w:val="22"/>
          <w:szCs w:val="22"/>
        </w:rPr>
        <w:t>Financiranje materijalnih rashoda odnosit će se na troškove vezane za putovanja učenika i učitelja na međužupanijska, državna i međunarodna natjecanja, odlazak učitelja na stručna usavršavanja, troškove kotizacija za natjecanja učenika i seminare za učitelje, troškove organizacije koncerata, seminara, festivala i ostalih aktivnosti škole u 2025. godini, nabavku uredskog materijala, materijala za čišćenje i održavanje, poštanske i telefonske troškove, nabavku sitnog inventara, troškove energije i lož ulja, komunalne, računalne i ostale usluge, troškove reprezentacije, premije osiguranja i bankarske usluge, usluge promidžbe i informiranja, intelektualne usluge, nabavku glazbene i plesne opreme, troškove najma prostora i opreme te troškove tekućeg i investicijskog održavanja.</w:t>
      </w:r>
    </w:p>
    <w:p w14:paraId="2B2AA0C4" w14:textId="77777777" w:rsidR="00441994" w:rsidRPr="00441994" w:rsidRDefault="00441994" w:rsidP="00441994">
      <w:pPr>
        <w:spacing w:line="259" w:lineRule="auto"/>
        <w:ind w:firstLine="708"/>
        <w:jc w:val="both"/>
        <w:rPr>
          <w:rFonts w:ascii="Arial" w:hAnsi="Arial" w:cs="Arial"/>
          <w:sz w:val="22"/>
          <w:szCs w:val="22"/>
        </w:rPr>
      </w:pPr>
      <w:r w:rsidRPr="00441994">
        <w:rPr>
          <w:rFonts w:ascii="Arial" w:hAnsi="Arial" w:cs="Arial"/>
          <w:sz w:val="22"/>
          <w:szCs w:val="22"/>
        </w:rPr>
        <w:t xml:space="preserve">Sredstva su planirana u iznosu 1.324.970,00 eura. Prvim izmjenama i dopunama financijskog plana sredstva su povećana i iznose 1.376.120,00 eura. </w:t>
      </w:r>
    </w:p>
    <w:p w14:paraId="1D66511A" w14:textId="77777777" w:rsidR="00441994" w:rsidRPr="00441994" w:rsidRDefault="00441994" w:rsidP="00441994">
      <w:pPr>
        <w:spacing w:line="259" w:lineRule="auto"/>
        <w:ind w:firstLine="708"/>
        <w:jc w:val="both"/>
        <w:rPr>
          <w:rFonts w:ascii="Arial" w:hAnsi="Arial" w:cs="Arial"/>
          <w:sz w:val="22"/>
          <w:szCs w:val="22"/>
        </w:rPr>
      </w:pPr>
    </w:p>
    <w:p w14:paraId="79421A60" w14:textId="77777777" w:rsidR="00441994" w:rsidRPr="00441994" w:rsidRDefault="00441994" w:rsidP="00441994">
      <w:pPr>
        <w:spacing w:line="259" w:lineRule="auto"/>
        <w:jc w:val="both"/>
        <w:rPr>
          <w:rFonts w:ascii="Arial" w:hAnsi="Arial" w:cs="Arial"/>
          <w:b/>
          <w:bCs/>
          <w:sz w:val="22"/>
          <w:szCs w:val="22"/>
        </w:rPr>
      </w:pPr>
      <w:r w:rsidRPr="00441994">
        <w:rPr>
          <w:rFonts w:ascii="Arial" w:hAnsi="Arial" w:cs="Arial"/>
          <w:b/>
          <w:bCs/>
          <w:sz w:val="22"/>
          <w:szCs w:val="22"/>
        </w:rPr>
        <w:t>Aktivnost: Pripremni glazbeni i plesni program</w:t>
      </w:r>
    </w:p>
    <w:p w14:paraId="77FABD19" w14:textId="77777777" w:rsidR="00441994" w:rsidRPr="00441994" w:rsidRDefault="00441994" w:rsidP="00441994">
      <w:pPr>
        <w:spacing w:line="259" w:lineRule="auto"/>
        <w:ind w:firstLine="708"/>
        <w:jc w:val="both"/>
        <w:rPr>
          <w:rFonts w:ascii="Arial" w:hAnsi="Arial" w:cs="Arial"/>
          <w:sz w:val="22"/>
          <w:szCs w:val="22"/>
        </w:rPr>
      </w:pPr>
      <w:r w:rsidRPr="00441994">
        <w:rPr>
          <w:rFonts w:ascii="Arial" w:hAnsi="Arial" w:cs="Arial"/>
          <w:sz w:val="22"/>
          <w:szCs w:val="22"/>
        </w:rPr>
        <w:t xml:space="preserve">Pripremni glazbeni i plesni programi obuhvaćaju najmlađe polaznike Škole, a cilj im je upoznati polaznike predškolske dobi s glazbenom i plesnom umjetnošću, osnovama </w:t>
      </w:r>
      <w:proofErr w:type="spellStart"/>
      <w:r w:rsidRPr="00441994">
        <w:rPr>
          <w:rFonts w:ascii="Arial" w:hAnsi="Arial" w:cs="Arial"/>
          <w:sz w:val="22"/>
          <w:szCs w:val="22"/>
        </w:rPr>
        <w:t>solfeggia</w:t>
      </w:r>
      <w:proofErr w:type="spellEnd"/>
      <w:r w:rsidRPr="00441994">
        <w:rPr>
          <w:rFonts w:ascii="Arial" w:hAnsi="Arial" w:cs="Arial"/>
          <w:sz w:val="22"/>
          <w:szCs w:val="22"/>
        </w:rPr>
        <w:t xml:space="preserve"> i sviranja na glazbenim instrumentima, pjevanjem i slušanjem glazbe, kao i razviti ljubav za pokret i kreativno plesno izražavanje kroz igru i zabavu. </w:t>
      </w:r>
    </w:p>
    <w:p w14:paraId="69355B65" w14:textId="77777777" w:rsidR="00441994" w:rsidRPr="00441994" w:rsidRDefault="00441994" w:rsidP="00441994">
      <w:pPr>
        <w:spacing w:line="259" w:lineRule="auto"/>
        <w:ind w:firstLine="708"/>
        <w:jc w:val="both"/>
        <w:rPr>
          <w:rFonts w:ascii="Arial" w:hAnsi="Arial" w:cs="Arial"/>
          <w:sz w:val="22"/>
          <w:szCs w:val="22"/>
        </w:rPr>
      </w:pPr>
    </w:p>
    <w:p w14:paraId="3F002083" w14:textId="77777777" w:rsidR="00441994" w:rsidRPr="00441994" w:rsidRDefault="00441994" w:rsidP="00441994">
      <w:pPr>
        <w:spacing w:line="259" w:lineRule="auto"/>
        <w:ind w:firstLine="708"/>
        <w:jc w:val="both"/>
        <w:rPr>
          <w:rFonts w:ascii="Arial" w:hAnsi="Arial" w:cs="Arial"/>
          <w:sz w:val="22"/>
          <w:szCs w:val="22"/>
        </w:rPr>
      </w:pPr>
      <w:r w:rsidRPr="00441994">
        <w:rPr>
          <w:rFonts w:ascii="Arial" w:hAnsi="Arial" w:cs="Arial"/>
          <w:sz w:val="22"/>
          <w:szCs w:val="22"/>
        </w:rPr>
        <w:t xml:space="preserve">Sredstva su planirana u iznosu od 22.200,00 eura i Prvim izmjenama i dopunama financijskog plana ostaju nepromijenjena. Rashodi su planirani za isplatu plaća učitelja koji rade u pripremnom glazbenom i plesnom programu te na isplatu troškova prijevoza na posao iz Općih prihoda i primitaka kroz sredstva dobivena od Ministarstva demografije i useljeništva </w:t>
      </w:r>
      <w:r w:rsidRPr="00441994">
        <w:rPr>
          <w:rFonts w:ascii="Arial" w:hAnsi="Arial" w:cs="Arial"/>
          <w:sz w:val="22"/>
          <w:szCs w:val="22"/>
        </w:rPr>
        <w:lastRenderedPageBreak/>
        <w:t>za provedbu edukativnih, kulturnih i sportskih aktivnosti djece predškolske dobi i djece od I. do IV. razreda osnovne škole te sredstava prihoda po posebnim propisima.</w:t>
      </w:r>
    </w:p>
    <w:p w14:paraId="02EC0DDF" w14:textId="77777777" w:rsidR="00441994" w:rsidRPr="00441994" w:rsidRDefault="00441994" w:rsidP="00441994">
      <w:pPr>
        <w:spacing w:line="259" w:lineRule="auto"/>
        <w:ind w:firstLine="708"/>
        <w:jc w:val="both"/>
        <w:rPr>
          <w:rFonts w:ascii="Arial" w:hAnsi="Arial" w:cs="Arial"/>
          <w:sz w:val="22"/>
          <w:szCs w:val="22"/>
        </w:rPr>
      </w:pPr>
    </w:p>
    <w:p w14:paraId="34DCD40B" w14:textId="77777777" w:rsidR="00441994" w:rsidRPr="00441994" w:rsidRDefault="00441994" w:rsidP="00441994">
      <w:pPr>
        <w:spacing w:line="259" w:lineRule="auto"/>
        <w:jc w:val="both"/>
        <w:rPr>
          <w:rFonts w:ascii="Arial" w:hAnsi="Arial" w:cs="Arial"/>
          <w:b/>
          <w:bCs/>
          <w:sz w:val="22"/>
          <w:szCs w:val="22"/>
        </w:rPr>
      </w:pPr>
      <w:r w:rsidRPr="00441994">
        <w:rPr>
          <w:rFonts w:ascii="Arial" w:hAnsi="Arial" w:cs="Arial"/>
          <w:b/>
          <w:bCs/>
          <w:sz w:val="22"/>
          <w:szCs w:val="22"/>
        </w:rPr>
        <w:t xml:space="preserve">Aktivnost: Kapitalni projekti – Kapitalna ulaganja osnovnog školstva </w:t>
      </w:r>
    </w:p>
    <w:p w14:paraId="16BF6E09" w14:textId="77777777" w:rsidR="00441994" w:rsidRPr="00441994" w:rsidRDefault="00441994" w:rsidP="00441994">
      <w:pPr>
        <w:spacing w:line="259" w:lineRule="auto"/>
        <w:jc w:val="both"/>
        <w:rPr>
          <w:rFonts w:ascii="Arial" w:hAnsi="Arial" w:cs="Arial"/>
          <w:sz w:val="22"/>
          <w:szCs w:val="22"/>
        </w:rPr>
      </w:pPr>
      <w:r w:rsidRPr="00441994">
        <w:rPr>
          <w:rFonts w:ascii="Arial" w:hAnsi="Arial" w:cs="Arial"/>
          <w:sz w:val="22"/>
          <w:szCs w:val="22"/>
        </w:rPr>
        <w:tab/>
        <w:t>Sredstva su planirana u iznosu 5.500,00 eura iz izvora Decentraliziranih funkcija osnovnog obrazovanja i ostaju nepromijenjena Prvim izmjenama i dopunama financijskog plana 2025. godine.</w:t>
      </w:r>
    </w:p>
    <w:p w14:paraId="48ED170D" w14:textId="77777777" w:rsidR="00441994" w:rsidRPr="00441994" w:rsidRDefault="00441994" w:rsidP="00441994">
      <w:pPr>
        <w:spacing w:line="259" w:lineRule="auto"/>
        <w:jc w:val="both"/>
        <w:rPr>
          <w:rFonts w:ascii="Arial" w:hAnsi="Arial" w:cs="Arial"/>
          <w:sz w:val="22"/>
          <w:szCs w:val="22"/>
        </w:rPr>
      </w:pPr>
    </w:p>
    <w:p w14:paraId="4A9A2803" w14:textId="77777777" w:rsidR="00441994" w:rsidRPr="00441994" w:rsidRDefault="00441994" w:rsidP="00441994">
      <w:pPr>
        <w:spacing w:line="259" w:lineRule="auto"/>
        <w:jc w:val="both"/>
        <w:rPr>
          <w:rFonts w:ascii="Arial" w:hAnsi="Arial" w:cs="Arial"/>
          <w:b/>
          <w:bCs/>
          <w:sz w:val="22"/>
          <w:szCs w:val="22"/>
        </w:rPr>
      </w:pPr>
      <w:r w:rsidRPr="00441994">
        <w:rPr>
          <w:rFonts w:ascii="Arial" w:hAnsi="Arial" w:cs="Arial"/>
          <w:b/>
          <w:bCs/>
          <w:sz w:val="22"/>
          <w:szCs w:val="22"/>
        </w:rPr>
        <w:t>Aktivnost: Tekući projekt – Kulturno blago</w:t>
      </w:r>
    </w:p>
    <w:p w14:paraId="16FDD036" w14:textId="77777777" w:rsidR="00441994" w:rsidRPr="00441994" w:rsidRDefault="00441994" w:rsidP="00441994">
      <w:pPr>
        <w:spacing w:line="259" w:lineRule="auto"/>
        <w:ind w:firstLine="708"/>
        <w:jc w:val="both"/>
        <w:rPr>
          <w:rFonts w:ascii="Arial" w:hAnsi="Arial" w:cs="Arial"/>
          <w:sz w:val="22"/>
          <w:szCs w:val="22"/>
        </w:rPr>
      </w:pPr>
      <w:r w:rsidRPr="00441994">
        <w:rPr>
          <w:rFonts w:ascii="Arial" w:hAnsi="Arial" w:cs="Arial"/>
          <w:sz w:val="22"/>
          <w:szCs w:val="22"/>
        </w:rPr>
        <w:t>Sredstva u iznosu 2.720,00 eura su primljena krajem 2024. godine za projekt Kulturno blago te su Odlukom o raspodjeli usmjereni na Intelektualne i osobne usluge (520,00 eura) te 2.200,00 eura za nabavu nefinancijske imovine odnosno za izradu vanjske učionice, klupe.</w:t>
      </w:r>
    </w:p>
    <w:p w14:paraId="22296848" w14:textId="77777777" w:rsidR="00441994" w:rsidRPr="00441994" w:rsidRDefault="00441994" w:rsidP="00441994">
      <w:pPr>
        <w:spacing w:line="259" w:lineRule="auto"/>
        <w:ind w:firstLine="708"/>
        <w:jc w:val="both"/>
        <w:rPr>
          <w:rFonts w:ascii="Arial" w:hAnsi="Arial" w:cs="Arial"/>
          <w:sz w:val="22"/>
          <w:szCs w:val="22"/>
        </w:rPr>
      </w:pPr>
    </w:p>
    <w:p w14:paraId="299262A2" w14:textId="77777777" w:rsidR="00441994" w:rsidRPr="00441994" w:rsidRDefault="00441994" w:rsidP="00441994">
      <w:pPr>
        <w:spacing w:line="259" w:lineRule="auto"/>
        <w:jc w:val="both"/>
        <w:rPr>
          <w:rFonts w:ascii="Arial" w:hAnsi="Arial" w:cs="Arial"/>
          <w:color w:val="FF0000"/>
          <w:sz w:val="22"/>
          <w:szCs w:val="22"/>
        </w:rPr>
      </w:pPr>
    </w:p>
    <w:p w14:paraId="7F2312FE" w14:textId="4FF4FA33" w:rsidR="004E07DB" w:rsidRDefault="00441994" w:rsidP="00441994">
      <w:pPr>
        <w:spacing w:line="259" w:lineRule="auto"/>
        <w:jc w:val="both"/>
        <w:rPr>
          <w:color w:val="000000" w:themeColor="text1"/>
        </w:rPr>
      </w:pPr>
      <w:r w:rsidRPr="00441994">
        <w:rPr>
          <w:rFonts w:ascii="Arial" w:hAnsi="Arial" w:cs="Arial"/>
          <w:sz w:val="22"/>
          <w:szCs w:val="22"/>
        </w:rPr>
        <w:tab/>
      </w:r>
      <w:r w:rsidRPr="00441994">
        <w:rPr>
          <w:rFonts w:ascii="Arial" w:hAnsi="Arial" w:cs="Arial"/>
          <w:sz w:val="22"/>
          <w:szCs w:val="22"/>
        </w:rPr>
        <w:tab/>
      </w:r>
      <w:r w:rsidRPr="00441994">
        <w:rPr>
          <w:rFonts w:ascii="Arial" w:hAnsi="Arial" w:cs="Arial"/>
          <w:sz w:val="22"/>
          <w:szCs w:val="22"/>
        </w:rPr>
        <w:tab/>
      </w:r>
    </w:p>
    <w:p w14:paraId="334E39A8" w14:textId="77777777" w:rsidR="004E07DB" w:rsidRDefault="004E07DB" w:rsidP="006132A6">
      <w:pPr>
        <w:rPr>
          <w:color w:val="000000" w:themeColor="text1"/>
        </w:rPr>
      </w:pPr>
    </w:p>
    <w:p w14:paraId="2B48785C" w14:textId="77777777" w:rsidR="004E07DB" w:rsidRDefault="004E07DB" w:rsidP="006132A6">
      <w:pPr>
        <w:rPr>
          <w:color w:val="000000" w:themeColor="text1"/>
        </w:rPr>
      </w:pPr>
    </w:p>
    <w:p w14:paraId="291EF5CF" w14:textId="77777777" w:rsidR="00441994" w:rsidRDefault="00441994" w:rsidP="006132A6">
      <w:pPr>
        <w:rPr>
          <w:color w:val="000000" w:themeColor="text1"/>
        </w:rPr>
      </w:pPr>
    </w:p>
    <w:p w14:paraId="6AC3A2C3" w14:textId="77777777" w:rsidR="00441994" w:rsidRDefault="00441994" w:rsidP="006132A6">
      <w:pPr>
        <w:rPr>
          <w:color w:val="000000" w:themeColor="text1"/>
        </w:rPr>
      </w:pPr>
    </w:p>
    <w:p w14:paraId="5B21206C" w14:textId="77777777" w:rsidR="00441994" w:rsidRDefault="00441994" w:rsidP="006132A6">
      <w:pPr>
        <w:rPr>
          <w:color w:val="000000" w:themeColor="text1"/>
        </w:rPr>
      </w:pPr>
    </w:p>
    <w:p w14:paraId="25BC4DC4" w14:textId="77777777" w:rsidR="00441994" w:rsidRDefault="00441994" w:rsidP="006132A6">
      <w:pPr>
        <w:rPr>
          <w:color w:val="000000" w:themeColor="text1"/>
        </w:rPr>
      </w:pPr>
    </w:p>
    <w:p w14:paraId="5395C3CF" w14:textId="77777777" w:rsidR="00441994" w:rsidRDefault="00441994" w:rsidP="006132A6">
      <w:pPr>
        <w:rPr>
          <w:color w:val="000000" w:themeColor="text1"/>
        </w:rPr>
      </w:pPr>
    </w:p>
    <w:p w14:paraId="2DA51849" w14:textId="77777777" w:rsidR="00441994" w:rsidRDefault="00441994" w:rsidP="006132A6">
      <w:pPr>
        <w:rPr>
          <w:color w:val="000000" w:themeColor="text1"/>
        </w:rPr>
      </w:pPr>
    </w:p>
    <w:p w14:paraId="1B4F5DE4" w14:textId="77777777" w:rsidR="00441994" w:rsidRDefault="00441994" w:rsidP="006132A6">
      <w:pPr>
        <w:rPr>
          <w:color w:val="000000" w:themeColor="text1"/>
        </w:rPr>
      </w:pPr>
    </w:p>
    <w:p w14:paraId="5DBB599B" w14:textId="77777777" w:rsidR="00441994" w:rsidRDefault="00441994" w:rsidP="006132A6">
      <w:pPr>
        <w:rPr>
          <w:color w:val="000000" w:themeColor="text1"/>
        </w:rPr>
      </w:pPr>
    </w:p>
    <w:p w14:paraId="26FB6E8A" w14:textId="77777777" w:rsidR="00441994" w:rsidRDefault="00441994" w:rsidP="006132A6">
      <w:pPr>
        <w:rPr>
          <w:color w:val="000000" w:themeColor="text1"/>
        </w:rPr>
      </w:pPr>
    </w:p>
    <w:p w14:paraId="3D4613EC" w14:textId="77777777" w:rsidR="00441994" w:rsidRDefault="00441994" w:rsidP="006132A6">
      <w:pPr>
        <w:rPr>
          <w:color w:val="000000" w:themeColor="text1"/>
        </w:rPr>
      </w:pPr>
    </w:p>
    <w:p w14:paraId="2A8BEBAD" w14:textId="77777777" w:rsidR="00441994" w:rsidRDefault="00441994" w:rsidP="006132A6">
      <w:pPr>
        <w:rPr>
          <w:color w:val="000000" w:themeColor="text1"/>
        </w:rPr>
      </w:pPr>
    </w:p>
    <w:p w14:paraId="4243AAE3" w14:textId="77777777" w:rsidR="00441994" w:rsidRDefault="00441994" w:rsidP="006132A6">
      <w:pPr>
        <w:rPr>
          <w:color w:val="000000" w:themeColor="text1"/>
        </w:rPr>
      </w:pPr>
    </w:p>
    <w:p w14:paraId="40EC6B10" w14:textId="77777777" w:rsidR="00441994" w:rsidRDefault="00441994" w:rsidP="006132A6">
      <w:pPr>
        <w:rPr>
          <w:color w:val="000000" w:themeColor="text1"/>
        </w:rPr>
      </w:pPr>
    </w:p>
    <w:p w14:paraId="09D45EEF" w14:textId="77777777" w:rsidR="00441994" w:rsidRDefault="00441994" w:rsidP="006132A6">
      <w:pPr>
        <w:rPr>
          <w:color w:val="000000" w:themeColor="text1"/>
        </w:rPr>
      </w:pPr>
    </w:p>
    <w:p w14:paraId="52CA59C4" w14:textId="77777777" w:rsidR="00441994" w:rsidRDefault="00441994" w:rsidP="006132A6">
      <w:pPr>
        <w:rPr>
          <w:color w:val="000000" w:themeColor="text1"/>
        </w:rPr>
      </w:pPr>
    </w:p>
    <w:p w14:paraId="08171D31" w14:textId="77777777" w:rsidR="00441994" w:rsidRDefault="00441994" w:rsidP="006132A6">
      <w:pPr>
        <w:rPr>
          <w:color w:val="000000" w:themeColor="text1"/>
        </w:rPr>
      </w:pPr>
    </w:p>
    <w:p w14:paraId="77DE017B" w14:textId="77777777" w:rsidR="00441994" w:rsidRDefault="00441994" w:rsidP="006132A6">
      <w:pPr>
        <w:rPr>
          <w:color w:val="000000" w:themeColor="text1"/>
        </w:rPr>
      </w:pPr>
    </w:p>
    <w:p w14:paraId="60F42C7D" w14:textId="77777777" w:rsidR="00441994" w:rsidRDefault="00441994" w:rsidP="006132A6">
      <w:pPr>
        <w:rPr>
          <w:color w:val="000000" w:themeColor="text1"/>
        </w:rPr>
      </w:pPr>
    </w:p>
    <w:p w14:paraId="60C8946D" w14:textId="77777777" w:rsidR="00441994" w:rsidRDefault="00441994" w:rsidP="006132A6">
      <w:pPr>
        <w:rPr>
          <w:color w:val="000000" w:themeColor="text1"/>
        </w:rPr>
      </w:pPr>
    </w:p>
    <w:p w14:paraId="4966365E" w14:textId="77777777" w:rsidR="00441994" w:rsidRDefault="00441994" w:rsidP="006132A6">
      <w:pPr>
        <w:rPr>
          <w:color w:val="000000" w:themeColor="text1"/>
        </w:rPr>
      </w:pPr>
    </w:p>
    <w:p w14:paraId="69AB6B15" w14:textId="77777777" w:rsidR="004E07DB" w:rsidRDefault="004E07DB" w:rsidP="006132A6">
      <w:pPr>
        <w:rPr>
          <w:color w:val="000000" w:themeColor="text1"/>
        </w:rPr>
      </w:pPr>
    </w:p>
    <w:p w14:paraId="2DFC09A0" w14:textId="77777777" w:rsidR="004E07DB" w:rsidRDefault="004E07DB" w:rsidP="006132A6">
      <w:pPr>
        <w:rPr>
          <w:color w:val="000000" w:themeColor="text1"/>
        </w:rPr>
      </w:pPr>
    </w:p>
    <w:p w14:paraId="4FF7353C" w14:textId="77777777" w:rsidR="004E07DB" w:rsidRDefault="004E07DB" w:rsidP="006132A6">
      <w:pPr>
        <w:rPr>
          <w:color w:val="000000" w:themeColor="text1"/>
        </w:rPr>
      </w:pPr>
    </w:p>
    <w:p w14:paraId="06A531FA" w14:textId="77777777" w:rsidR="004E07DB" w:rsidRDefault="004E07DB" w:rsidP="006132A6">
      <w:pPr>
        <w:rPr>
          <w:color w:val="000000" w:themeColor="text1"/>
        </w:rPr>
      </w:pPr>
    </w:p>
    <w:p w14:paraId="29E3F67E" w14:textId="77777777" w:rsidR="004E07DB" w:rsidRDefault="004E07DB" w:rsidP="006132A6">
      <w:pPr>
        <w:rPr>
          <w:color w:val="000000" w:themeColor="text1"/>
        </w:rPr>
      </w:pPr>
    </w:p>
    <w:p w14:paraId="0F73DCD3" w14:textId="77777777" w:rsidR="009C3C46" w:rsidRDefault="009C3C46" w:rsidP="006132A6">
      <w:pPr>
        <w:rPr>
          <w:color w:val="000000" w:themeColor="text1"/>
        </w:rPr>
      </w:pPr>
    </w:p>
    <w:p w14:paraId="708CD313" w14:textId="77777777" w:rsidR="009769E2" w:rsidRDefault="009769E2" w:rsidP="006132A6">
      <w:pPr>
        <w:rPr>
          <w:color w:val="000000" w:themeColor="text1"/>
        </w:rPr>
      </w:pPr>
    </w:p>
    <w:p w14:paraId="09F4A514" w14:textId="77777777" w:rsidR="009769E2" w:rsidRDefault="009769E2" w:rsidP="006132A6">
      <w:pPr>
        <w:rPr>
          <w:color w:val="000000" w:themeColor="text1"/>
        </w:rPr>
      </w:pPr>
    </w:p>
    <w:p w14:paraId="611C665A" w14:textId="77777777" w:rsidR="004E07DB" w:rsidRDefault="004E07DB" w:rsidP="006132A6">
      <w:pPr>
        <w:rPr>
          <w:color w:val="000000" w:themeColor="text1"/>
        </w:rPr>
      </w:pPr>
    </w:p>
    <w:p w14:paraId="2D4A2ADB" w14:textId="77777777" w:rsidR="004E07DB" w:rsidRDefault="004E07DB" w:rsidP="006132A6">
      <w:pPr>
        <w:rPr>
          <w:color w:val="000000" w:themeColor="text1"/>
        </w:rPr>
      </w:pPr>
    </w:p>
    <w:p w14:paraId="67667E54" w14:textId="77777777" w:rsidR="004E07DB" w:rsidRDefault="004E07DB" w:rsidP="006132A6">
      <w:pPr>
        <w:rPr>
          <w:color w:val="000000" w:themeColor="text1"/>
        </w:rPr>
      </w:pPr>
    </w:p>
    <w:p w14:paraId="1B0BDDF8" w14:textId="77777777" w:rsidR="004E07DB" w:rsidRDefault="004E07DB" w:rsidP="006132A6">
      <w:pPr>
        <w:rPr>
          <w:color w:val="000000" w:themeColor="text1"/>
        </w:rPr>
      </w:pPr>
    </w:p>
    <w:p w14:paraId="4573361B" w14:textId="77777777" w:rsidR="004E07DB" w:rsidRDefault="004E07DB" w:rsidP="006132A6">
      <w:pPr>
        <w:rPr>
          <w:color w:val="000000" w:themeColor="text1"/>
        </w:rPr>
      </w:pPr>
    </w:p>
    <w:p w14:paraId="1D409463" w14:textId="77777777" w:rsidR="00CC0725" w:rsidRDefault="00CC0725" w:rsidP="00CC0725">
      <w:pPr>
        <w:jc w:val="center"/>
        <w:rPr>
          <w:rFonts w:ascii="Arial" w:hAnsi="Arial" w:cs="Arial"/>
          <w:b/>
        </w:rPr>
      </w:pPr>
      <w:r w:rsidRPr="00D32786">
        <w:rPr>
          <w:rFonts w:ascii="Arial" w:hAnsi="Arial" w:cs="Arial"/>
          <w:b/>
        </w:rPr>
        <w:lastRenderedPageBreak/>
        <w:t>USTANOVE U KULTURI</w:t>
      </w:r>
    </w:p>
    <w:p w14:paraId="1CBC8118" w14:textId="77777777" w:rsidR="00630976" w:rsidRPr="00D32786" w:rsidRDefault="00630976" w:rsidP="00CC0725">
      <w:pPr>
        <w:jc w:val="center"/>
        <w:rPr>
          <w:rFonts w:ascii="Arial" w:hAnsi="Arial" w:cs="Arial"/>
          <w:b/>
        </w:rPr>
      </w:pPr>
    </w:p>
    <w:p w14:paraId="7223F063" w14:textId="08A264D2" w:rsidR="00CA0D2A" w:rsidRDefault="00CC0725" w:rsidP="004C56C1">
      <w:pPr>
        <w:jc w:val="center"/>
        <w:rPr>
          <w:rFonts w:ascii="Arial" w:hAnsi="Arial" w:cs="Arial"/>
          <w:b/>
          <w:bCs/>
          <w:color w:val="000000"/>
        </w:rPr>
      </w:pPr>
      <w:r w:rsidRPr="00890D84">
        <w:rPr>
          <w:rFonts w:ascii="Arial" w:hAnsi="Arial" w:cs="Arial"/>
          <w:b/>
          <w:bCs/>
          <w:color w:val="000000"/>
        </w:rPr>
        <w:t>PRORAČUNSKI KORISNIK 15577: PUČKO OTVORENO UČILIŠTE</w:t>
      </w:r>
    </w:p>
    <w:p w14:paraId="50DB5BDF" w14:textId="77777777" w:rsidR="00C526AC" w:rsidRDefault="00C526AC" w:rsidP="00CA0D2A">
      <w:pPr>
        <w:jc w:val="center"/>
        <w:rPr>
          <w:rFonts w:ascii="Arial" w:hAnsi="Arial" w:cs="Arial"/>
          <w:b/>
          <w:bCs/>
          <w:color w:val="000000"/>
        </w:rPr>
      </w:pPr>
    </w:p>
    <w:p w14:paraId="2C35C71A" w14:textId="77777777" w:rsidR="00C526AC" w:rsidRDefault="00C526AC" w:rsidP="00CA0D2A">
      <w:pPr>
        <w:jc w:val="center"/>
        <w:rPr>
          <w:rFonts w:ascii="Arial" w:hAnsi="Arial" w:cs="Arial"/>
          <w:b/>
          <w:bCs/>
          <w:color w:val="000000"/>
        </w:rPr>
      </w:pPr>
    </w:p>
    <w:p w14:paraId="44B96562" w14:textId="77777777" w:rsidR="00C6561B" w:rsidRPr="00D77970" w:rsidRDefault="00C6561B" w:rsidP="00FD4828">
      <w:pPr>
        <w:rPr>
          <w:rFonts w:ascii="Arial" w:eastAsia="Arial" w:hAnsi="Arial" w:cs="Arial"/>
          <w:b/>
        </w:rPr>
      </w:pPr>
      <w:r w:rsidRPr="00D77970">
        <w:rPr>
          <w:rFonts w:ascii="Arial" w:eastAsia="Arial" w:hAnsi="Arial" w:cs="Arial"/>
          <w:b/>
        </w:rPr>
        <w:t>OBRAZLOŽENJE OPĆEG DIJELA FINANCIJSKOG PLANA</w:t>
      </w:r>
    </w:p>
    <w:p w14:paraId="177328D6" w14:textId="77777777" w:rsidR="00C6561B" w:rsidRDefault="00C6561B" w:rsidP="00D77970">
      <w:pPr>
        <w:contextualSpacing/>
        <w:jc w:val="both"/>
        <w:rPr>
          <w:rFonts w:ascii="Arial" w:eastAsia="Arial" w:hAnsi="Arial" w:cs="Arial"/>
          <w:b/>
          <w:sz w:val="22"/>
          <w:szCs w:val="22"/>
        </w:rPr>
      </w:pPr>
    </w:p>
    <w:p w14:paraId="37F2511D" w14:textId="77777777" w:rsidR="00C6561B" w:rsidRDefault="00C6561B" w:rsidP="00D77970">
      <w:pPr>
        <w:ind w:firstLine="708"/>
        <w:contextualSpacing/>
        <w:jc w:val="both"/>
        <w:rPr>
          <w:rFonts w:ascii="Arial" w:eastAsiaTheme="minorHAnsi" w:hAnsi="Arial" w:cs="Arial"/>
        </w:rPr>
      </w:pPr>
      <w:r>
        <w:rPr>
          <w:rFonts w:ascii="Arial" w:eastAsia="Arial" w:hAnsi="Arial" w:cs="Arial"/>
          <w:b/>
          <w:bCs/>
          <w:sz w:val="22"/>
        </w:rPr>
        <w:t>Prihodi i primici</w:t>
      </w:r>
      <w:r>
        <w:rPr>
          <w:rFonts w:ascii="Arial" w:eastAsia="Arial" w:hAnsi="Arial" w:cs="Arial"/>
          <w:sz w:val="22"/>
        </w:rPr>
        <w:t xml:space="preserve"> </w:t>
      </w:r>
      <w:r>
        <w:rPr>
          <w:rFonts w:ascii="Arial" w:eastAsia="Arial" w:hAnsi="Arial" w:cs="Arial"/>
          <w:bCs/>
          <w:sz w:val="22"/>
        </w:rPr>
        <w:t>Pučkog otvorenog učilišta Labin</w:t>
      </w:r>
      <w:r>
        <w:rPr>
          <w:rFonts w:ascii="Arial" w:eastAsia="Arial" w:hAnsi="Arial" w:cs="Arial"/>
          <w:b/>
          <w:sz w:val="22"/>
        </w:rPr>
        <w:t xml:space="preserve"> </w:t>
      </w:r>
      <w:r>
        <w:rPr>
          <w:rFonts w:ascii="Arial" w:eastAsia="Arial" w:hAnsi="Arial" w:cs="Arial"/>
          <w:sz w:val="22"/>
        </w:rPr>
        <w:t xml:space="preserve">za 2025. godinu planirani su  u iznosu od </w:t>
      </w:r>
      <w:r>
        <w:rPr>
          <w:rFonts w:ascii="Arial" w:eastAsia="Arial" w:hAnsi="Arial" w:cs="Arial"/>
          <w:b/>
          <w:bCs/>
          <w:sz w:val="22"/>
        </w:rPr>
        <w:t xml:space="preserve">633.540,00 EUR </w:t>
      </w:r>
      <w:r>
        <w:rPr>
          <w:rFonts w:ascii="Arial" w:eastAsia="Arial" w:hAnsi="Arial" w:cs="Arial"/>
          <w:sz w:val="22"/>
        </w:rPr>
        <w:t>a sastoje se od:</w:t>
      </w:r>
    </w:p>
    <w:p w14:paraId="412B0828" w14:textId="77777777" w:rsidR="00C6561B" w:rsidRDefault="00C6561B">
      <w:pPr>
        <w:pStyle w:val="Odlomakpopisa"/>
        <w:numPr>
          <w:ilvl w:val="0"/>
          <w:numId w:val="34"/>
        </w:numPr>
        <w:spacing w:after="0" w:line="256" w:lineRule="auto"/>
        <w:jc w:val="both"/>
        <w:rPr>
          <w:rFonts w:ascii="Arial" w:eastAsiaTheme="minorHAnsi" w:hAnsi="Arial" w:cs="Arial"/>
          <w:b/>
          <w:bCs/>
          <w:sz w:val="24"/>
        </w:rPr>
      </w:pPr>
      <w:r>
        <w:rPr>
          <w:rFonts w:ascii="Arial" w:eastAsia="Arial" w:hAnsi="Arial" w:cs="Arial"/>
        </w:rPr>
        <w:t xml:space="preserve">prihoda poslovanja – </w:t>
      </w:r>
      <w:bookmarkStart w:id="49" w:name="_Hlk203125260"/>
      <w:r>
        <w:rPr>
          <w:rFonts w:ascii="Arial" w:eastAsia="Arial" w:hAnsi="Arial" w:cs="Arial"/>
          <w:b/>
          <w:bCs/>
        </w:rPr>
        <w:t xml:space="preserve">633.540,00 </w:t>
      </w:r>
      <w:bookmarkEnd w:id="49"/>
      <w:r>
        <w:rPr>
          <w:rFonts w:ascii="Arial" w:eastAsia="Arial" w:hAnsi="Arial" w:cs="Arial"/>
          <w:b/>
          <w:bCs/>
        </w:rPr>
        <w:t>EUR</w:t>
      </w:r>
    </w:p>
    <w:p w14:paraId="2AE4C83D" w14:textId="77777777" w:rsidR="00C6561B" w:rsidRDefault="00C6561B" w:rsidP="00D77970">
      <w:pPr>
        <w:contextualSpacing/>
        <w:jc w:val="both"/>
        <w:rPr>
          <w:rFonts w:ascii="Arial" w:hAnsi="Arial" w:cs="Arial"/>
          <w:sz w:val="22"/>
        </w:rPr>
      </w:pPr>
    </w:p>
    <w:p w14:paraId="25E2A09B" w14:textId="77777777" w:rsidR="00C6561B" w:rsidRDefault="00C6561B" w:rsidP="00D77970">
      <w:pPr>
        <w:ind w:firstLine="708"/>
        <w:contextualSpacing/>
        <w:jc w:val="both"/>
        <w:rPr>
          <w:rFonts w:ascii="Arial" w:eastAsiaTheme="minorHAnsi" w:hAnsi="Arial" w:cs="Arial"/>
        </w:rPr>
      </w:pPr>
      <w:r>
        <w:rPr>
          <w:rFonts w:ascii="Arial" w:eastAsia="Arial" w:hAnsi="Arial" w:cs="Arial"/>
          <w:b/>
          <w:bCs/>
          <w:sz w:val="22"/>
        </w:rPr>
        <w:t>Rashodi i izdaci</w:t>
      </w:r>
      <w:r>
        <w:rPr>
          <w:rFonts w:ascii="Arial" w:eastAsia="Arial" w:hAnsi="Arial" w:cs="Arial"/>
          <w:sz w:val="22"/>
        </w:rPr>
        <w:t xml:space="preserve"> </w:t>
      </w:r>
      <w:r>
        <w:rPr>
          <w:rFonts w:ascii="Arial" w:eastAsia="Arial" w:hAnsi="Arial" w:cs="Arial"/>
          <w:bCs/>
          <w:sz w:val="22"/>
        </w:rPr>
        <w:t>Pučkog otvorenog učilišta Labin</w:t>
      </w:r>
      <w:r>
        <w:rPr>
          <w:rFonts w:ascii="Arial" w:eastAsia="Arial" w:hAnsi="Arial" w:cs="Arial"/>
          <w:b/>
          <w:sz w:val="22"/>
        </w:rPr>
        <w:t xml:space="preserve"> </w:t>
      </w:r>
      <w:r>
        <w:rPr>
          <w:rFonts w:ascii="Arial" w:eastAsia="Arial" w:hAnsi="Arial" w:cs="Arial"/>
          <w:sz w:val="22"/>
        </w:rPr>
        <w:t xml:space="preserve">za 2025. godinu planirani su u iznosu od </w:t>
      </w:r>
      <w:r>
        <w:rPr>
          <w:rFonts w:ascii="Arial" w:eastAsia="Arial" w:hAnsi="Arial" w:cs="Arial"/>
          <w:b/>
          <w:bCs/>
          <w:sz w:val="22"/>
        </w:rPr>
        <w:t>601.382,00 EUR</w:t>
      </w:r>
      <w:r>
        <w:rPr>
          <w:rFonts w:ascii="Arial" w:eastAsia="Arial" w:hAnsi="Arial" w:cs="Arial"/>
          <w:sz w:val="22"/>
        </w:rPr>
        <w:t>, a raspoređeni su na:</w:t>
      </w:r>
    </w:p>
    <w:p w14:paraId="3F891ABF" w14:textId="77777777" w:rsidR="00C6561B" w:rsidRDefault="00C6561B">
      <w:pPr>
        <w:pStyle w:val="Odlomakpopisa"/>
        <w:numPr>
          <w:ilvl w:val="0"/>
          <w:numId w:val="35"/>
        </w:numPr>
        <w:spacing w:after="0" w:line="256" w:lineRule="auto"/>
        <w:jc w:val="both"/>
        <w:rPr>
          <w:rFonts w:ascii="Arial" w:eastAsia="Arial" w:hAnsi="Arial" w:cs="Arial"/>
          <w:b/>
          <w:bCs/>
        </w:rPr>
      </w:pPr>
      <w:r>
        <w:rPr>
          <w:rFonts w:ascii="Arial" w:eastAsia="Arial" w:hAnsi="Arial" w:cs="Arial"/>
        </w:rPr>
        <w:t xml:space="preserve">rashode poslovanja - </w:t>
      </w:r>
      <w:r>
        <w:rPr>
          <w:rFonts w:ascii="Arial" w:eastAsia="Arial" w:hAnsi="Arial" w:cs="Arial"/>
          <w:b/>
          <w:bCs/>
        </w:rPr>
        <w:t>564.209,00 EUR</w:t>
      </w:r>
    </w:p>
    <w:p w14:paraId="09D3EB02" w14:textId="77777777" w:rsidR="00C6561B" w:rsidRDefault="00C6561B">
      <w:pPr>
        <w:pStyle w:val="Odlomakpopisa"/>
        <w:numPr>
          <w:ilvl w:val="0"/>
          <w:numId w:val="35"/>
        </w:numPr>
        <w:spacing w:after="0" w:line="256" w:lineRule="auto"/>
        <w:jc w:val="both"/>
        <w:rPr>
          <w:rFonts w:ascii="Arial" w:eastAsia="Arial" w:hAnsi="Arial" w:cs="Arial"/>
          <w:b/>
          <w:bCs/>
        </w:rPr>
      </w:pPr>
      <w:r>
        <w:rPr>
          <w:rFonts w:ascii="Arial" w:eastAsia="Arial" w:hAnsi="Arial" w:cs="Arial"/>
        </w:rPr>
        <w:t xml:space="preserve">rashode za nabavu nefinancijske imovine - </w:t>
      </w:r>
      <w:r>
        <w:rPr>
          <w:rFonts w:ascii="Arial" w:eastAsia="Arial" w:hAnsi="Arial" w:cs="Arial"/>
          <w:b/>
          <w:bCs/>
        </w:rPr>
        <w:t>37.173,00 EUR</w:t>
      </w:r>
    </w:p>
    <w:p w14:paraId="21EB5923" w14:textId="77777777" w:rsidR="00C6561B" w:rsidRDefault="00C6561B" w:rsidP="00D77970">
      <w:pPr>
        <w:jc w:val="both"/>
        <w:rPr>
          <w:rFonts w:ascii="Arial" w:eastAsia="Arial" w:hAnsi="Arial" w:cs="Arial"/>
          <w:sz w:val="22"/>
        </w:rPr>
      </w:pPr>
    </w:p>
    <w:p w14:paraId="5CC74A09" w14:textId="77777777" w:rsidR="00C6561B" w:rsidRDefault="00C6561B" w:rsidP="00D77970">
      <w:pPr>
        <w:contextualSpacing/>
        <w:jc w:val="both"/>
        <w:rPr>
          <w:rFonts w:ascii="Arial" w:eastAsia="Arial" w:hAnsi="Arial" w:cs="Arial"/>
          <w:sz w:val="22"/>
        </w:rPr>
      </w:pPr>
      <w:r>
        <w:rPr>
          <w:rFonts w:ascii="Arial" w:eastAsia="Arial" w:hAnsi="Arial" w:cs="Arial"/>
          <w:b/>
          <w:bCs/>
          <w:sz w:val="22"/>
        </w:rPr>
        <w:t>Rezultat poslovanja</w:t>
      </w:r>
      <w:r>
        <w:rPr>
          <w:rFonts w:ascii="Arial" w:eastAsia="Arial" w:hAnsi="Arial" w:cs="Arial"/>
          <w:sz w:val="22"/>
        </w:rPr>
        <w:t xml:space="preserve">  - manjak prihoda poslovanja -  </w:t>
      </w:r>
      <w:r>
        <w:rPr>
          <w:rFonts w:ascii="Arial" w:eastAsia="Arial" w:hAnsi="Arial" w:cs="Arial"/>
          <w:b/>
          <w:bCs/>
          <w:sz w:val="22"/>
        </w:rPr>
        <w:t>32.158,00 EUR</w:t>
      </w:r>
    </w:p>
    <w:p w14:paraId="64702F8E" w14:textId="77777777" w:rsidR="00C6561B" w:rsidRDefault="00C6561B" w:rsidP="00D77970">
      <w:pPr>
        <w:contextualSpacing/>
        <w:jc w:val="both"/>
        <w:rPr>
          <w:rFonts w:ascii="Arial" w:eastAsia="Arial" w:hAnsi="Arial" w:cs="Arial"/>
          <w:sz w:val="22"/>
        </w:rPr>
      </w:pPr>
    </w:p>
    <w:p w14:paraId="3EDD5731" w14:textId="77777777" w:rsidR="00C6561B" w:rsidRDefault="00C6561B" w:rsidP="00D77970">
      <w:pPr>
        <w:ind w:firstLine="708"/>
        <w:contextualSpacing/>
        <w:jc w:val="both"/>
        <w:rPr>
          <w:rFonts w:ascii="Arial" w:eastAsia="Arial" w:hAnsi="Arial" w:cs="Arial"/>
          <w:sz w:val="22"/>
        </w:rPr>
      </w:pPr>
      <w:r>
        <w:rPr>
          <w:rFonts w:ascii="Arial" w:eastAsia="Arial" w:hAnsi="Arial" w:cs="Arial"/>
          <w:sz w:val="22"/>
        </w:rPr>
        <w:t>U nastavku obrazloženja slijedi tabelarni prikaz plana prihoda i primitaka te rashoda i izdataka po skupinama i podskupinama za 2025. godinu usporedno sa prvim izmjenama i dopunama plana proračuna za 2025. godinu.</w:t>
      </w:r>
    </w:p>
    <w:p w14:paraId="4C66CF43" w14:textId="77777777" w:rsidR="00C6561B" w:rsidRDefault="00C6561B" w:rsidP="00C6561B">
      <w:pPr>
        <w:ind w:firstLine="708"/>
        <w:contextualSpacing/>
        <w:jc w:val="center"/>
        <w:rPr>
          <w:rFonts w:ascii="Arial" w:eastAsiaTheme="minorHAnsi" w:hAnsi="Arial" w:cs="Arial"/>
        </w:rPr>
      </w:pPr>
    </w:p>
    <w:p w14:paraId="1F2A1CBA" w14:textId="77777777" w:rsidR="00C6561B" w:rsidRDefault="00C6561B" w:rsidP="00C6561B">
      <w:pPr>
        <w:rPr>
          <w:rFonts w:ascii="Arial" w:eastAsia="Arial" w:hAnsi="Arial" w:cs="Arial"/>
          <w:sz w:val="22"/>
        </w:rPr>
      </w:pPr>
      <w:r>
        <w:rPr>
          <w:rFonts w:ascii="Arial" w:eastAsia="Arial" w:hAnsi="Arial" w:cs="Arial"/>
          <w:sz w:val="20"/>
          <w:szCs w:val="20"/>
        </w:rPr>
        <w:t xml:space="preserve">Tablica 1. </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 xml:space="preserve">       - EUR</w:t>
      </w:r>
    </w:p>
    <w:tbl>
      <w:tblPr>
        <w:tblW w:w="8760" w:type="dxa"/>
        <w:tblInd w:w="19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1010"/>
        <w:gridCol w:w="3220"/>
        <w:gridCol w:w="1800"/>
        <w:gridCol w:w="1620"/>
        <w:gridCol w:w="1110"/>
      </w:tblGrid>
      <w:tr w:rsidR="00C6561B" w:rsidRPr="00D77970" w14:paraId="13ABE2F9" w14:textId="77777777" w:rsidTr="00C6561B">
        <w:trPr>
          <w:trHeight w:val="1"/>
        </w:trPr>
        <w:tc>
          <w:tcPr>
            <w:tcW w:w="1010" w:type="dxa"/>
            <w:tcBorders>
              <w:top w:val="single" w:sz="4" w:space="0" w:color="000001"/>
              <w:left w:val="single" w:sz="4" w:space="0" w:color="000001"/>
              <w:bottom w:val="single" w:sz="4" w:space="0" w:color="000001"/>
              <w:right w:val="single" w:sz="4" w:space="0" w:color="000001"/>
            </w:tcBorders>
            <w:hideMark/>
          </w:tcPr>
          <w:p w14:paraId="2D9CC7D0" w14:textId="77777777" w:rsidR="00C6561B" w:rsidRPr="00D77970" w:rsidRDefault="00C6561B">
            <w:pPr>
              <w:jc w:val="center"/>
              <w:rPr>
                <w:rFonts w:ascii="Arial" w:eastAsia="Calibri" w:hAnsi="Arial" w:cs="Arial"/>
                <w:sz w:val="20"/>
                <w:szCs w:val="20"/>
              </w:rPr>
            </w:pPr>
            <w:r w:rsidRPr="00D77970">
              <w:rPr>
                <w:rFonts w:ascii="Arial" w:eastAsia="Arial" w:hAnsi="Arial" w:cs="Arial"/>
                <w:b/>
                <w:sz w:val="20"/>
                <w:szCs w:val="20"/>
              </w:rPr>
              <w:t>KONTO</w:t>
            </w:r>
          </w:p>
        </w:tc>
        <w:tc>
          <w:tcPr>
            <w:tcW w:w="3220" w:type="dxa"/>
            <w:tcBorders>
              <w:top w:val="single" w:sz="4" w:space="0" w:color="000001"/>
              <w:left w:val="single" w:sz="4" w:space="0" w:color="000001"/>
              <w:bottom w:val="single" w:sz="4" w:space="0" w:color="000001"/>
              <w:right w:val="single" w:sz="4" w:space="0" w:color="000001"/>
            </w:tcBorders>
            <w:hideMark/>
          </w:tcPr>
          <w:p w14:paraId="72AA51E6" w14:textId="77777777" w:rsidR="00C6561B" w:rsidRPr="00D77970" w:rsidRDefault="00C6561B">
            <w:pPr>
              <w:jc w:val="center"/>
              <w:rPr>
                <w:rFonts w:ascii="Arial" w:eastAsia="Calibri" w:hAnsi="Arial" w:cs="Arial"/>
                <w:sz w:val="20"/>
                <w:szCs w:val="20"/>
              </w:rPr>
            </w:pPr>
            <w:r w:rsidRPr="00D77970">
              <w:rPr>
                <w:rFonts w:ascii="Arial" w:eastAsia="Arial" w:hAnsi="Arial" w:cs="Arial"/>
                <w:b/>
                <w:sz w:val="20"/>
                <w:szCs w:val="20"/>
              </w:rPr>
              <w:t>VRSTA PRIHODA I PRIMITAKA</w:t>
            </w:r>
          </w:p>
        </w:tc>
        <w:tc>
          <w:tcPr>
            <w:tcW w:w="1800" w:type="dxa"/>
            <w:tcBorders>
              <w:top w:val="single" w:sz="4" w:space="0" w:color="000001"/>
              <w:left w:val="single" w:sz="4" w:space="0" w:color="000001"/>
              <w:bottom w:val="single" w:sz="4" w:space="0" w:color="000001"/>
              <w:right w:val="single" w:sz="4" w:space="0" w:color="000001"/>
            </w:tcBorders>
            <w:hideMark/>
          </w:tcPr>
          <w:p w14:paraId="0B14CE82" w14:textId="77777777" w:rsidR="00C6561B" w:rsidRPr="00D77970" w:rsidRDefault="00C6561B">
            <w:pPr>
              <w:jc w:val="center"/>
              <w:rPr>
                <w:rFonts w:ascii="Arial" w:eastAsiaTheme="minorHAnsi" w:hAnsi="Arial" w:cs="Arial"/>
                <w:b/>
                <w:bCs/>
                <w:sz w:val="20"/>
                <w:szCs w:val="20"/>
              </w:rPr>
            </w:pPr>
            <w:r w:rsidRPr="00D77970">
              <w:rPr>
                <w:rFonts w:ascii="Arial" w:hAnsi="Arial" w:cs="Arial"/>
                <w:b/>
                <w:bCs/>
                <w:sz w:val="20"/>
                <w:szCs w:val="20"/>
              </w:rPr>
              <w:t>PLAN 2025</w:t>
            </w:r>
          </w:p>
        </w:tc>
        <w:tc>
          <w:tcPr>
            <w:tcW w:w="1620" w:type="dxa"/>
            <w:tcBorders>
              <w:top w:val="single" w:sz="4" w:space="0" w:color="000001"/>
              <w:left w:val="single" w:sz="4" w:space="0" w:color="000001"/>
              <w:bottom w:val="single" w:sz="4" w:space="0" w:color="000001"/>
              <w:right w:val="single" w:sz="4" w:space="0" w:color="000001"/>
            </w:tcBorders>
            <w:hideMark/>
          </w:tcPr>
          <w:p w14:paraId="3842FEB5" w14:textId="77777777" w:rsidR="00C6561B" w:rsidRPr="00D77970" w:rsidRDefault="00C6561B">
            <w:pPr>
              <w:jc w:val="center"/>
              <w:rPr>
                <w:rFonts w:ascii="Arial" w:eastAsia="Calibri" w:hAnsi="Arial" w:cs="Arial"/>
                <w:b/>
                <w:bCs/>
                <w:sz w:val="20"/>
                <w:szCs w:val="20"/>
              </w:rPr>
            </w:pPr>
            <w:r w:rsidRPr="00D77970">
              <w:rPr>
                <w:rFonts w:ascii="Arial" w:eastAsia="Calibri" w:hAnsi="Arial" w:cs="Arial"/>
                <w:b/>
                <w:bCs/>
                <w:sz w:val="20"/>
                <w:szCs w:val="20"/>
              </w:rPr>
              <w:t>I. REBALANS</w:t>
            </w:r>
          </w:p>
        </w:tc>
        <w:tc>
          <w:tcPr>
            <w:tcW w:w="111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0" w:type="dxa"/>
            </w:tcMar>
            <w:hideMark/>
          </w:tcPr>
          <w:p w14:paraId="7D324968" w14:textId="77777777" w:rsidR="00C6561B" w:rsidRPr="00D77970" w:rsidRDefault="00C6561B">
            <w:pPr>
              <w:jc w:val="center"/>
              <w:rPr>
                <w:rFonts w:ascii="Arial" w:eastAsia="Arial" w:hAnsi="Arial" w:cs="Arial"/>
                <w:b/>
                <w:sz w:val="20"/>
                <w:szCs w:val="20"/>
              </w:rPr>
            </w:pPr>
            <w:r w:rsidRPr="00D77970">
              <w:rPr>
                <w:rFonts w:ascii="Arial" w:eastAsia="Arial" w:hAnsi="Arial" w:cs="Arial"/>
                <w:b/>
                <w:sz w:val="20"/>
                <w:szCs w:val="20"/>
              </w:rPr>
              <w:t>INDEKS</w:t>
            </w:r>
          </w:p>
          <w:p w14:paraId="0D370AF4" w14:textId="77777777" w:rsidR="00C6561B" w:rsidRPr="00D77970" w:rsidRDefault="00C6561B">
            <w:pPr>
              <w:jc w:val="center"/>
              <w:rPr>
                <w:rFonts w:ascii="Arial" w:eastAsia="Arial" w:hAnsi="Arial" w:cs="Arial"/>
                <w:b/>
                <w:sz w:val="20"/>
                <w:szCs w:val="20"/>
              </w:rPr>
            </w:pPr>
            <w:r w:rsidRPr="00D77970">
              <w:rPr>
                <w:rFonts w:ascii="Arial" w:eastAsia="Arial" w:hAnsi="Arial" w:cs="Arial"/>
                <w:b/>
                <w:sz w:val="20"/>
                <w:szCs w:val="20"/>
              </w:rPr>
              <w:t>4/3</w:t>
            </w:r>
          </w:p>
        </w:tc>
      </w:tr>
      <w:tr w:rsidR="00C6561B" w:rsidRPr="00D77970" w14:paraId="06C35AB1" w14:textId="77777777" w:rsidTr="00C6561B">
        <w:trPr>
          <w:trHeight w:val="1"/>
        </w:trPr>
        <w:tc>
          <w:tcPr>
            <w:tcW w:w="1010" w:type="dxa"/>
            <w:tcBorders>
              <w:top w:val="single" w:sz="4" w:space="0" w:color="000001"/>
              <w:left w:val="single" w:sz="4" w:space="0" w:color="000001"/>
              <w:bottom w:val="single" w:sz="4" w:space="0" w:color="000001"/>
              <w:right w:val="single" w:sz="4" w:space="0" w:color="000001"/>
            </w:tcBorders>
            <w:hideMark/>
          </w:tcPr>
          <w:p w14:paraId="442F2401" w14:textId="77777777" w:rsidR="00C6561B" w:rsidRPr="00D77970" w:rsidRDefault="00C6561B">
            <w:pPr>
              <w:jc w:val="center"/>
              <w:rPr>
                <w:rFonts w:ascii="Arial" w:eastAsia="Calibri" w:hAnsi="Arial" w:cs="Arial"/>
                <w:sz w:val="20"/>
                <w:szCs w:val="20"/>
              </w:rPr>
            </w:pPr>
            <w:r w:rsidRPr="00D77970">
              <w:rPr>
                <w:rFonts w:ascii="Arial" w:eastAsia="Arial" w:hAnsi="Arial" w:cs="Arial"/>
                <w:b/>
                <w:sz w:val="20"/>
                <w:szCs w:val="20"/>
              </w:rPr>
              <w:t>1</w:t>
            </w:r>
          </w:p>
        </w:tc>
        <w:tc>
          <w:tcPr>
            <w:tcW w:w="3220" w:type="dxa"/>
            <w:tcBorders>
              <w:top w:val="single" w:sz="4" w:space="0" w:color="000001"/>
              <w:left w:val="single" w:sz="4" w:space="0" w:color="000001"/>
              <w:bottom w:val="single" w:sz="4" w:space="0" w:color="000001"/>
              <w:right w:val="single" w:sz="4" w:space="0" w:color="000001"/>
            </w:tcBorders>
            <w:hideMark/>
          </w:tcPr>
          <w:p w14:paraId="5F850105" w14:textId="77777777" w:rsidR="00C6561B" w:rsidRPr="00D77970" w:rsidRDefault="00C6561B">
            <w:pPr>
              <w:jc w:val="center"/>
              <w:rPr>
                <w:rFonts w:ascii="Arial" w:eastAsia="Calibri" w:hAnsi="Arial" w:cs="Arial"/>
                <w:sz w:val="20"/>
                <w:szCs w:val="20"/>
              </w:rPr>
            </w:pPr>
            <w:r w:rsidRPr="00D77970">
              <w:rPr>
                <w:rFonts w:ascii="Arial" w:eastAsia="Arial" w:hAnsi="Arial" w:cs="Arial"/>
                <w:b/>
                <w:sz w:val="20"/>
                <w:szCs w:val="20"/>
              </w:rPr>
              <w:t>2</w:t>
            </w:r>
          </w:p>
        </w:tc>
        <w:tc>
          <w:tcPr>
            <w:tcW w:w="1800" w:type="dxa"/>
            <w:tcBorders>
              <w:top w:val="single" w:sz="4" w:space="0" w:color="000001"/>
              <w:left w:val="single" w:sz="4" w:space="0" w:color="000001"/>
              <w:bottom w:val="single" w:sz="4" w:space="0" w:color="000001"/>
              <w:right w:val="single" w:sz="4" w:space="0" w:color="000001"/>
            </w:tcBorders>
            <w:hideMark/>
          </w:tcPr>
          <w:p w14:paraId="0C8501AC" w14:textId="77777777" w:rsidR="00C6561B" w:rsidRPr="00D77970" w:rsidRDefault="00C6561B">
            <w:pPr>
              <w:jc w:val="center"/>
              <w:rPr>
                <w:rFonts w:ascii="Arial" w:eastAsia="Calibri" w:hAnsi="Arial" w:cs="Arial"/>
                <w:b/>
                <w:bCs/>
                <w:sz w:val="20"/>
                <w:szCs w:val="20"/>
              </w:rPr>
            </w:pPr>
            <w:r w:rsidRPr="00D77970">
              <w:rPr>
                <w:rFonts w:ascii="Arial" w:eastAsia="Calibri" w:hAnsi="Arial" w:cs="Arial"/>
                <w:b/>
                <w:bCs/>
                <w:sz w:val="20"/>
                <w:szCs w:val="20"/>
              </w:rPr>
              <w:t>3</w:t>
            </w:r>
          </w:p>
        </w:tc>
        <w:tc>
          <w:tcPr>
            <w:tcW w:w="1620" w:type="dxa"/>
            <w:tcBorders>
              <w:top w:val="single" w:sz="4" w:space="0" w:color="000001"/>
              <w:left w:val="single" w:sz="4" w:space="0" w:color="000001"/>
              <w:bottom w:val="single" w:sz="4" w:space="0" w:color="000001"/>
              <w:right w:val="single" w:sz="4" w:space="0" w:color="000001"/>
            </w:tcBorders>
            <w:hideMark/>
          </w:tcPr>
          <w:p w14:paraId="659DE9B1" w14:textId="77777777" w:rsidR="00C6561B" w:rsidRPr="00D77970" w:rsidRDefault="00C6561B">
            <w:pPr>
              <w:jc w:val="center"/>
              <w:rPr>
                <w:rFonts w:ascii="Arial" w:eastAsia="Calibri" w:hAnsi="Arial" w:cs="Arial"/>
                <w:b/>
                <w:bCs/>
                <w:sz w:val="20"/>
                <w:szCs w:val="20"/>
              </w:rPr>
            </w:pPr>
            <w:r w:rsidRPr="00D77970">
              <w:rPr>
                <w:rFonts w:ascii="Arial" w:eastAsia="Calibri" w:hAnsi="Arial" w:cs="Arial"/>
                <w:b/>
                <w:bCs/>
                <w:sz w:val="20"/>
                <w:szCs w:val="20"/>
              </w:rPr>
              <w:t>4</w:t>
            </w:r>
          </w:p>
        </w:tc>
        <w:tc>
          <w:tcPr>
            <w:tcW w:w="111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0" w:type="dxa"/>
            </w:tcMar>
            <w:hideMark/>
          </w:tcPr>
          <w:p w14:paraId="761B0CB4" w14:textId="77777777" w:rsidR="00C6561B" w:rsidRPr="00D77970" w:rsidRDefault="00C6561B">
            <w:pPr>
              <w:jc w:val="center"/>
              <w:rPr>
                <w:rFonts w:ascii="Arial" w:eastAsia="Arial" w:hAnsi="Arial" w:cs="Arial"/>
                <w:b/>
                <w:bCs/>
                <w:sz w:val="20"/>
                <w:szCs w:val="20"/>
              </w:rPr>
            </w:pPr>
            <w:r w:rsidRPr="00D77970">
              <w:rPr>
                <w:rFonts w:ascii="Arial" w:eastAsia="Arial" w:hAnsi="Arial" w:cs="Arial"/>
                <w:b/>
                <w:bCs/>
                <w:sz w:val="20"/>
                <w:szCs w:val="20"/>
              </w:rPr>
              <w:t>5</w:t>
            </w:r>
          </w:p>
        </w:tc>
      </w:tr>
      <w:tr w:rsidR="00C6561B" w:rsidRPr="00D77970" w14:paraId="0A999B65" w14:textId="77777777" w:rsidTr="00C6561B">
        <w:trPr>
          <w:trHeight w:val="1"/>
        </w:trPr>
        <w:tc>
          <w:tcPr>
            <w:tcW w:w="1010" w:type="dxa"/>
            <w:tcBorders>
              <w:top w:val="single" w:sz="4" w:space="0" w:color="000001"/>
              <w:left w:val="single" w:sz="4" w:space="0" w:color="000001"/>
              <w:bottom w:val="single" w:sz="4" w:space="0" w:color="000001"/>
              <w:right w:val="single" w:sz="4" w:space="0" w:color="000001"/>
            </w:tcBorders>
            <w:hideMark/>
          </w:tcPr>
          <w:p w14:paraId="0F7AF12D" w14:textId="77777777" w:rsidR="00C6561B" w:rsidRPr="00D77970" w:rsidRDefault="00C6561B">
            <w:pPr>
              <w:rPr>
                <w:rFonts w:ascii="Arial" w:eastAsia="Calibri" w:hAnsi="Arial" w:cs="Arial"/>
                <w:sz w:val="20"/>
                <w:szCs w:val="20"/>
              </w:rPr>
            </w:pPr>
            <w:r w:rsidRPr="00D77970">
              <w:rPr>
                <w:rFonts w:ascii="Arial" w:eastAsia="Arial" w:hAnsi="Arial" w:cs="Arial"/>
                <w:b/>
                <w:sz w:val="20"/>
                <w:szCs w:val="20"/>
              </w:rPr>
              <w:t>6</w:t>
            </w:r>
          </w:p>
        </w:tc>
        <w:tc>
          <w:tcPr>
            <w:tcW w:w="3220" w:type="dxa"/>
            <w:tcBorders>
              <w:top w:val="single" w:sz="4" w:space="0" w:color="000001"/>
              <w:left w:val="single" w:sz="4" w:space="0" w:color="000001"/>
              <w:bottom w:val="single" w:sz="4" w:space="0" w:color="000001"/>
              <w:right w:val="single" w:sz="4" w:space="0" w:color="000001"/>
            </w:tcBorders>
            <w:hideMark/>
          </w:tcPr>
          <w:p w14:paraId="7A82F9A6" w14:textId="77777777" w:rsidR="00C6561B" w:rsidRPr="00D77970" w:rsidRDefault="00C6561B">
            <w:pPr>
              <w:rPr>
                <w:rFonts w:ascii="Arial" w:eastAsia="Calibri" w:hAnsi="Arial" w:cs="Arial"/>
                <w:sz w:val="20"/>
                <w:szCs w:val="20"/>
              </w:rPr>
            </w:pPr>
            <w:r w:rsidRPr="00D77970">
              <w:rPr>
                <w:rFonts w:ascii="Arial" w:eastAsia="Arial" w:hAnsi="Arial" w:cs="Arial"/>
                <w:b/>
                <w:sz w:val="20"/>
                <w:szCs w:val="20"/>
              </w:rPr>
              <w:t>PRIHODI POSLOVANJA</w:t>
            </w:r>
          </w:p>
        </w:tc>
        <w:tc>
          <w:tcPr>
            <w:tcW w:w="1800" w:type="dxa"/>
            <w:tcBorders>
              <w:top w:val="single" w:sz="4" w:space="0" w:color="000001"/>
              <w:left w:val="single" w:sz="4" w:space="0" w:color="000001"/>
              <w:bottom w:val="single" w:sz="4" w:space="0" w:color="000001"/>
              <w:right w:val="single" w:sz="4" w:space="0" w:color="000001"/>
            </w:tcBorders>
            <w:hideMark/>
          </w:tcPr>
          <w:p w14:paraId="0DB05F40" w14:textId="77777777" w:rsidR="00C6561B" w:rsidRPr="00D77970" w:rsidRDefault="00C6561B">
            <w:pPr>
              <w:jc w:val="center"/>
              <w:rPr>
                <w:rFonts w:ascii="Arial" w:eastAsiaTheme="minorHAnsi" w:hAnsi="Arial" w:cs="Arial"/>
                <w:sz w:val="20"/>
                <w:szCs w:val="20"/>
              </w:rPr>
            </w:pPr>
            <w:r w:rsidRPr="00D77970">
              <w:rPr>
                <w:rFonts w:ascii="Arial" w:eastAsia="Calibri" w:hAnsi="Arial" w:cs="Arial"/>
                <w:b/>
                <w:bCs/>
                <w:sz w:val="20"/>
                <w:szCs w:val="20"/>
              </w:rPr>
              <w:t>524.394,00</w:t>
            </w:r>
          </w:p>
        </w:tc>
        <w:tc>
          <w:tcPr>
            <w:tcW w:w="1620" w:type="dxa"/>
            <w:tcBorders>
              <w:top w:val="single" w:sz="4" w:space="0" w:color="000001"/>
              <w:left w:val="single" w:sz="4" w:space="0" w:color="000001"/>
              <w:bottom w:val="single" w:sz="4" w:space="0" w:color="000001"/>
              <w:right w:val="single" w:sz="4" w:space="0" w:color="000001"/>
            </w:tcBorders>
            <w:hideMark/>
          </w:tcPr>
          <w:p w14:paraId="4242DD29" w14:textId="77777777" w:rsidR="00C6561B" w:rsidRPr="00D77970" w:rsidRDefault="00C6561B">
            <w:pPr>
              <w:jc w:val="center"/>
              <w:rPr>
                <w:rFonts w:ascii="Arial" w:eastAsia="Calibri" w:hAnsi="Arial" w:cs="Arial"/>
                <w:b/>
                <w:bCs/>
                <w:sz w:val="20"/>
                <w:szCs w:val="20"/>
              </w:rPr>
            </w:pPr>
            <w:r w:rsidRPr="00D77970">
              <w:rPr>
                <w:rFonts w:ascii="Arial" w:eastAsia="Calibri" w:hAnsi="Arial" w:cs="Arial"/>
                <w:b/>
                <w:bCs/>
                <w:sz w:val="20"/>
                <w:szCs w:val="20"/>
              </w:rPr>
              <w:t>633.540,00</w:t>
            </w:r>
          </w:p>
        </w:tc>
        <w:tc>
          <w:tcPr>
            <w:tcW w:w="111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0" w:type="dxa"/>
            </w:tcMar>
            <w:hideMark/>
          </w:tcPr>
          <w:p w14:paraId="1A2B4F9B" w14:textId="77777777" w:rsidR="00C6561B" w:rsidRPr="00D77970" w:rsidRDefault="00C6561B">
            <w:pPr>
              <w:jc w:val="center"/>
              <w:rPr>
                <w:rFonts w:ascii="Arial" w:eastAsia="Calibri" w:hAnsi="Arial" w:cs="Arial"/>
                <w:b/>
                <w:bCs/>
                <w:sz w:val="20"/>
                <w:szCs w:val="20"/>
              </w:rPr>
            </w:pPr>
            <w:r w:rsidRPr="00D77970">
              <w:rPr>
                <w:rFonts w:ascii="Arial" w:eastAsia="Calibri" w:hAnsi="Arial" w:cs="Arial"/>
                <w:b/>
                <w:bCs/>
                <w:sz w:val="20"/>
                <w:szCs w:val="20"/>
              </w:rPr>
              <w:t>120,81</w:t>
            </w:r>
          </w:p>
        </w:tc>
      </w:tr>
      <w:tr w:rsidR="00C6561B" w:rsidRPr="00D77970" w14:paraId="2B71167C" w14:textId="77777777" w:rsidTr="00C6561B">
        <w:trPr>
          <w:trHeight w:val="1"/>
        </w:trPr>
        <w:tc>
          <w:tcPr>
            <w:tcW w:w="1010" w:type="dxa"/>
            <w:tcBorders>
              <w:top w:val="single" w:sz="4" w:space="0" w:color="000001"/>
              <w:left w:val="single" w:sz="4" w:space="0" w:color="000001"/>
              <w:bottom w:val="single" w:sz="4" w:space="0" w:color="000001"/>
              <w:right w:val="single" w:sz="4" w:space="0" w:color="000001"/>
            </w:tcBorders>
            <w:hideMark/>
          </w:tcPr>
          <w:p w14:paraId="41EB1A01" w14:textId="77777777" w:rsidR="00C6561B" w:rsidRPr="00D77970" w:rsidRDefault="00C6561B">
            <w:pPr>
              <w:rPr>
                <w:rFonts w:ascii="Arial" w:eastAsia="Calibri" w:hAnsi="Arial" w:cs="Arial"/>
                <w:bCs/>
                <w:sz w:val="20"/>
                <w:szCs w:val="20"/>
              </w:rPr>
            </w:pPr>
            <w:r w:rsidRPr="00D77970">
              <w:rPr>
                <w:rFonts w:ascii="Arial" w:eastAsia="Arial" w:hAnsi="Arial" w:cs="Arial"/>
                <w:bCs/>
                <w:sz w:val="20"/>
                <w:szCs w:val="20"/>
              </w:rPr>
              <w:t>63</w:t>
            </w:r>
          </w:p>
        </w:tc>
        <w:tc>
          <w:tcPr>
            <w:tcW w:w="3220" w:type="dxa"/>
            <w:tcBorders>
              <w:top w:val="single" w:sz="4" w:space="0" w:color="000001"/>
              <w:left w:val="single" w:sz="4" w:space="0" w:color="000001"/>
              <w:bottom w:val="single" w:sz="4" w:space="0" w:color="000001"/>
              <w:right w:val="single" w:sz="4" w:space="0" w:color="000001"/>
            </w:tcBorders>
            <w:hideMark/>
          </w:tcPr>
          <w:p w14:paraId="7351678F" w14:textId="77777777" w:rsidR="00C6561B" w:rsidRPr="00D77970" w:rsidRDefault="00C6561B">
            <w:pPr>
              <w:rPr>
                <w:rFonts w:ascii="Arial" w:eastAsia="Calibri" w:hAnsi="Arial" w:cs="Arial"/>
                <w:bCs/>
                <w:sz w:val="20"/>
                <w:szCs w:val="20"/>
              </w:rPr>
            </w:pPr>
            <w:r w:rsidRPr="00D77970">
              <w:rPr>
                <w:rFonts w:ascii="Arial" w:eastAsia="Arial" w:hAnsi="Arial" w:cs="Arial"/>
                <w:bCs/>
                <w:sz w:val="20"/>
                <w:szCs w:val="20"/>
              </w:rPr>
              <w:t>POMOĆI IZ INOZ. I OD SUBJEKATA UNUTAR OPĆEG PRORAČUNA</w:t>
            </w:r>
          </w:p>
        </w:tc>
        <w:tc>
          <w:tcPr>
            <w:tcW w:w="1800" w:type="dxa"/>
            <w:tcBorders>
              <w:top w:val="single" w:sz="4" w:space="0" w:color="000001"/>
              <w:left w:val="single" w:sz="4" w:space="0" w:color="000001"/>
              <w:bottom w:val="single" w:sz="4" w:space="0" w:color="000001"/>
              <w:right w:val="single" w:sz="4" w:space="0" w:color="000001"/>
            </w:tcBorders>
          </w:tcPr>
          <w:p w14:paraId="14FED8EE" w14:textId="77777777" w:rsidR="00C6561B" w:rsidRPr="00D77970" w:rsidRDefault="00C6561B">
            <w:pPr>
              <w:jc w:val="center"/>
              <w:rPr>
                <w:rFonts w:ascii="Arial" w:eastAsia="Calibri" w:hAnsi="Arial" w:cs="Arial"/>
                <w:sz w:val="20"/>
                <w:szCs w:val="20"/>
              </w:rPr>
            </w:pPr>
          </w:p>
          <w:p w14:paraId="0FD4DF3B" w14:textId="77777777" w:rsidR="00C6561B" w:rsidRPr="00D77970" w:rsidRDefault="00C6561B">
            <w:pPr>
              <w:jc w:val="center"/>
              <w:rPr>
                <w:rFonts w:ascii="Arial" w:eastAsiaTheme="minorHAnsi" w:hAnsi="Arial" w:cs="Arial"/>
                <w:sz w:val="20"/>
                <w:szCs w:val="20"/>
              </w:rPr>
            </w:pPr>
            <w:r w:rsidRPr="00D77970">
              <w:rPr>
                <w:rFonts w:ascii="Arial" w:eastAsia="Calibri" w:hAnsi="Arial" w:cs="Arial"/>
                <w:sz w:val="20"/>
                <w:szCs w:val="20"/>
              </w:rPr>
              <w:t>18.800,00</w:t>
            </w:r>
          </w:p>
        </w:tc>
        <w:tc>
          <w:tcPr>
            <w:tcW w:w="1620" w:type="dxa"/>
            <w:tcBorders>
              <w:top w:val="single" w:sz="4" w:space="0" w:color="000001"/>
              <w:left w:val="single" w:sz="4" w:space="0" w:color="000001"/>
              <w:bottom w:val="single" w:sz="4" w:space="0" w:color="000001"/>
              <w:right w:val="single" w:sz="4" w:space="0" w:color="000001"/>
            </w:tcBorders>
          </w:tcPr>
          <w:p w14:paraId="748499D2" w14:textId="77777777" w:rsidR="00C6561B" w:rsidRPr="00D77970" w:rsidRDefault="00C6561B">
            <w:pPr>
              <w:jc w:val="center"/>
              <w:rPr>
                <w:rFonts w:ascii="Arial" w:eastAsia="Calibri" w:hAnsi="Arial" w:cs="Arial"/>
                <w:sz w:val="20"/>
                <w:szCs w:val="20"/>
              </w:rPr>
            </w:pPr>
          </w:p>
          <w:p w14:paraId="1E0E00C2" w14:textId="77777777" w:rsidR="00C6561B" w:rsidRPr="00D77970" w:rsidRDefault="00C6561B">
            <w:pPr>
              <w:jc w:val="center"/>
              <w:rPr>
                <w:rFonts w:ascii="Arial" w:eastAsia="Calibri" w:hAnsi="Arial" w:cs="Arial"/>
                <w:sz w:val="20"/>
                <w:szCs w:val="20"/>
              </w:rPr>
            </w:pPr>
            <w:r w:rsidRPr="00D77970">
              <w:rPr>
                <w:rFonts w:ascii="Arial" w:eastAsia="Calibri" w:hAnsi="Arial" w:cs="Arial"/>
                <w:sz w:val="20"/>
                <w:szCs w:val="20"/>
              </w:rPr>
              <w:t>68.617,00</w:t>
            </w:r>
          </w:p>
        </w:tc>
        <w:tc>
          <w:tcPr>
            <w:tcW w:w="111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0" w:type="dxa"/>
            </w:tcMar>
          </w:tcPr>
          <w:p w14:paraId="1A3FC282" w14:textId="77777777" w:rsidR="00C6561B" w:rsidRPr="00D77970" w:rsidRDefault="00C6561B">
            <w:pPr>
              <w:jc w:val="center"/>
              <w:rPr>
                <w:rFonts w:ascii="Arial" w:eastAsia="Calibri" w:hAnsi="Arial" w:cs="Arial"/>
                <w:sz w:val="20"/>
                <w:szCs w:val="20"/>
              </w:rPr>
            </w:pPr>
          </w:p>
          <w:p w14:paraId="1B15B944" w14:textId="77777777" w:rsidR="00C6561B" w:rsidRPr="00D77970" w:rsidRDefault="00C6561B">
            <w:pPr>
              <w:jc w:val="center"/>
              <w:rPr>
                <w:rFonts w:ascii="Arial" w:eastAsia="Calibri" w:hAnsi="Arial" w:cs="Arial"/>
                <w:sz w:val="20"/>
                <w:szCs w:val="20"/>
              </w:rPr>
            </w:pPr>
            <w:r w:rsidRPr="00D77970">
              <w:rPr>
                <w:rFonts w:ascii="Arial" w:eastAsia="Calibri" w:hAnsi="Arial" w:cs="Arial"/>
                <w:sz w:val="20"/>
                <w:szCs w:val="20"/>
              </w:rPr>
              <w:t>364,98</w:t>
            </w:r>
          </w:p>
        </w:tc>
      </w:tr>
      <w:tr w:rsidR="00C6561B" w:rsidRPr="00D77970" w14:paraId="3C7D0664" w14:textId="77777777" w:rsidTr="00C6561B">
        <w:trPr>
          <w:trHeight w:val="1"/>
        </w:trPr>
        <w:tc>
          <w:tcPr>
            <w:tcW w:w="1010" w:type="dxa"/>
            <w:tcBorders>
              <w:top w:val="single" w:sz="4" w:space="0" w:color="000001"/>
              <w:left w:val="single" w:sz="4" w:space="0" w:color="000001"/>
              <w:bottom w:val="single" w:sz="4" w:space="0" w:color="000001"/>
              <w:right w:val="single" w:sz="4" w:space="0" w:color="000001"/>
            </w:tcBorders>
            <w:hideMark/>
          </w:tcPr>
          <w:p w14:paraId="2C78500A" w14:textId="77777777" w:rsidR="00C6561B" w:rsidRPr="00D77970" w:rsidRDefault="00C6561B">
            <w:pPr>
              <w:rPr>
                <w:rFonts w:ascii="Arial" w:eastAsia="Calibri" w:hAnsi="Arial" w:cs="Arial"/>
                <w:bCs/>
                <w:sz w:val="20"/>
                <w:szCs w:val="20"/>
              </w:rPr>
            </w:pPr>
            <w:r w:rsidRPr="00D77970">
              <w:rPr>
                <w:rFonts w:ascii="Arial" w:eastAsia="Arial" w:hAnsi="Arial" w:cs="Arial"/>
                <w:bCs/>
                <w:sz w:val="20"/>
                <w:szCs w:val="20"/>
              </w:rPr>
              <w:t>65</w:t>
            </w:r>
          </w:p>
        </w:tc>
        <w:tc>
          <w:tcPr>
            <w:tcW w:w="3220" w:type="dxa"/>
            <w:tcBorders>
              <w:top w:val="single" w:sz="4" w:space="0" w:color="000001"/>
              <w:left w:val="single" w:sz="4" w:space="0" w:color="000001"/>
              <w:bottom w:val="single" w:sz="4" w:space="0" w:color="000001"/>
              <w:right w:val="single" w:sz="4" w:space="0" w:color="000001"/>
            </w:tcBorders>
            <w:hideMark/>
          </w:tcPr>
          <w:p w14:paraId="1EA363EE" w14:textId="77777777" w:rsidR="00C6561B" w:rsidRPr="00D77970" w:rsidRDefault="00C6561B">
            <w:pPr>
              <w:rPr>
                <w:rFonts w:ascii="Arial" w:eastAsia="Calibri" w:hAnsi="Arial" w:cs="Arial"/>
                <w:bCs/>
                <w:sz w:val="20"/>
                <w:szCs w:val="20"/>
              </w:rPr>
            </w:pPr>
            <w:r w:rsidRPr="00D77970">
              <w:rPr>
                <w:rFonts w:ascii="Arial" w:eastAsia="Arial" w:hAnsi="Arial" w:cs="Arial"/>
                <w:bCs/>
                <w:sz w:val="20"/>
                <w:szCs w:val="20"/>
              </w:rPr>
              <w:t>PRIHODI OD UPRAVNIH I ADMIN.PRIST. PO POSEBNIM PROPISIMA I NAKNADA</w:t>
            </w:r>
          </w:p>
        </w:tc>
        <w:tc>
          <w:tcPr>
            <w:tcW w:w="1800" w:type="dxa"/>
            <w:tcBorders>
              <w:top w:val="single" w:sz="4" w:space="0" w:color="000001"/>
              <w:left w:val="single" w:sz="4" w:space="0" w:color="000001"/>
              <w:bottom w:val="single" w:sz="4" w:space="0" w:color="000001"/>
              <w:right w:val="single" w:sz="4" w:space="0" w:color="000001"/>
            </w:tcBorders>
          </w:tcPr>
          <w:p w14:paraId="7D3D6232" w14:textId="77777777" w:rsidR="00C6561B" w:rsidRPr="00D77970" w:rsidRDefault="00C6561B">
            <w:pPr>
              <w:jc w:val="center"/>
              <w:rPr>
                <w:rFonts w:ascii="Arial" w:eastAsia="Calibri" w:hAnsi="Arial" w:cs="Arial"/>
                <w:sz w:val="20"/>
                <w:szCs w:val="20"/>
              </w:rPr>
            </w:pPr>
          </w:p>
          <w:p w14:paraId="36ED15F8" w14:textId="77777777" w:rsidR="00C6561B" w:rsidRPr="00D77970" w:rsidRDefault="00C6561B">
            <w:pPr>
              <w:jc w:val="center"/>
              <w:rPr>
                <w:rFonts w:ascii="Arial" w:eastAsiaTheme="minorHAnsi" w:hAnsi="Arial" w:cs="Arial"/>
                <w:sz w:val="20"/>
                <w:szCs w:val="20"/>
              </w:rPr>
            </w:pPr>
            <w:r w:rsidRPr="00D77970">
              <w:rPr>
                <w:rFonts w:ascii="Arial" w:eastAsia="Calibri" w:hAnsi="Arial" w:cs="Arial"/>
                <w:sz w:val="20"/>
                <w:szCs w:val="20"/>
              </w:rPr>
              <w:t>30.494,00</w:t>
            </w:r>
          </w:p>
        </w:tc>
        <w:tc>
          <w:tcPr>
            <w:tcW w:w="1620" w:type="dxa"/>
            <w:tcBorders>
              <w:top w:val="single" w:sz="4" w:space="0" w:color="000001"/>
              <w:left w:val="single" w:sz="4" w:space="0" w:color="000001"/>
              <w:bottom w:val="single" w:sz="4" w:space="0" w:color="000001"/>
              <w:right w:val="single" w:sz="4" w:space="0" w:color="000001"/>
            </w:tcBorders>
          </w:tcPr>
          <w:p w14:paraId="4070A409" w14:textId="77777777" w:rsidR="00C6561B" w:rsidRPr="00D77970" w:rsidRDefault="00C6561B">
            <w:pPr>
              <w:jc w:val="center"/>
              <w:rPr>
                <w:rFonts w:ascii="Arial" w:eastAsia="Calibri" w:hAnsi="Arial" w:cs="Arial"/>
                <w:sz w:val="20"/>
                <w:szCs w:val="20"/>
              </w:rPr>
            </w:pPr>
          </w:p>
          <w:p w14:paraId="3C51B80C" w14:textId="77777777" w:rsidR="00C6561B" w:rsidRPr="00D77970" w:rsidRDefault="00C6561B">
            <w:pPr>
              <w:jc w:val="center"/>
              <w:rPr>
                <w:rFonts w:ascii="Arial" w:eastAsia="Calibri" w:hAnsi="Arial" w:cs="Arial"/>
                <w:sz w:val="20"/>
                <w:szCs w:val="20"/>
              </w:rPr>
            </w:pPr>
            <w:r w:rsidRPr="00D77970">
              <w:rPr>
                <w:rFonts w:ascii="Arial" w:eastAsia="Calibri" w:hAnsi="Arial" w:cs="Arial"/>
                <w:sz w:val="20"/>
                <w:szCs w:val="20"/>
              </w:rPr>
              <w:t>33.494,00</w:t>
            </w:r>
          </w:p>
        </w:tc>
        <w:tc>
          <w:tcPr>
            <w:tcW w:w="111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0" w:type="dxa"/>
            </w:tcMar>
          </w:tcPr>
          <w:p w14:paraId="260E88D7" w14:textId="77777777" w:rsidR="00C6561B" w:rsidRPr="00D77970" w:rsidRDefault="00C6561B">
            <w:pPr>
              <w:jc w:val="center"/>
              <w:rPr>
                <w:rFonts w:ascii="Arial" w:eastAsia="Calibri" w:hAnsi="Arial" w:cs="Arial"/>
                <w:sz w:val="20"/>
                <w:szCs w:val="20"/>
              </w:rPr>
            </w:pPr>
          </w:p>
          <w:p w14:paraId="16A469D6" w14:textId="77777777" w:rsidR="00C6561B" w:rsidRPr="00D77970" w:rsidRDefault="00C6561B">
            <w:pPr>
              <w:jc w:val="center"/>
              <w:rPr>
                <w:rFonts w:ascii="Arial" w:eastAsia="Calibri" w:hAnsi="Arial" w:cs="Arial"/>
                <w:sz w:val="20"/>
                <w:szCs w:val="20"/>
              </w:rPr>
            </w:pPr>
            <w:r w:rsidRPr="00D77970">
              <w:rPr>
                <w:rFonts w:ascii="Arial" w:eastAsia="Calibri" w:hAnsi="Arial" w:cs="Arial"/>
                <w:sz w:val="20"/>
                <w:szCs w:val="20"/>
              </w:rPr>
              <w:t>109,84</w:t>
            </w:r>
          </w:p>
        </w:tc>
      </w:tr>
      <w:tr w:rsidR="00C6561B" w:rsidRPr="00D77970" w14:paraId="3F6A44C6" w14:textId="77777777" w:rsidTr="00C6561B">
        <w:trPr>
          <w:trHeight w:val="1"/>
        </w:trPr>
        <w:tc>
          <w:tcPr>
            <w:tcW w:w="1010" w:type="dxa"/>
            <w:tcBorders>
              <w:top w:val="single" w:sz="4" w:space="0" w:color="000001"/>
              <w:left w:val="single" w:sz="4" w:space="0" w:color="000001"/>
              <w:bottom w:val="single" w:sz="4" w:space="0" w:color="000001"/>
              <w:right w:val="single" w:sz="4" w:space="0" w:color="000001"/>
            </w:tcBorders>
            <w:hideMark/>
          </w:tcPr>
          <w:p w14:paraId="236B0764" w14:textId="77777777" w:rsidR="00C6561B" w:rsidRPr="00D77970" w:rsidRDefault="00C6561B">
            <w:pPr>
              <w:rPr>
                <w:rFonts w:ascii="Arial" w:eastAsia="Calibri" w:hAnsi="Arial" w:cs="Arial"/>
                <w:bCs/>
                <w:sz w:val="20"/>
                <w:szCs w:val="20"/>
              </w:rPr>
            </w:pPr>
            <w:r w:rsidRPr="00D77970">
              <w:rPr>
                <w:rFonts w:ascii="Arial" w:eastAsia="Arial" w:hAnsi="Arial" w:cs="Arial"/>
                <w:bCs/>
                <w:sz w:val="20"/>
                <w:szCs w:val="20"/>
              </w:rPr>
              <w:t>66</w:t>
            </w:r>
          </w:p>
        </w:tc>
        <w:tc>
          <w:tcPr>
            <w:tcW w:w="3220" w:type="dxa"/>
            <w:tcBorders>
              <w:top w:val="single" w:sz="4" w:space="0" w:color="000001"/>
              <w:left w:val="single" w:sz="4" w:space="0" w:color="000001"/>
              <w:bottom w:val="single" w:sz="4" w:space="0" w:color="000001"/>
              <w:right w:val="single" w:sz="4" w:space="0" w:color="000001"/>
            </w:tcBorders>
            <w:hideMark/>
          </w:tcPr>
          <w:p w14:paraId="5C0751BB" w14:textId="77777777" w:rsidR="00C6561B" w:rsidRPr="00D77970" w:rsidRDefault="00C6561B">
            <w:pPr>
              <w:rPr>
                <w:rFonts w:ascii="Arial" w:eastAsia="Calibri" w:hAnsi="Arial" w:cs="Arial"/>
                <w:bCs/>
                <w:sz w:val="20"/>
                <w:szCs w:val="20"/>
              </w:rPr>
            </w:pPr>
            <w:r w:rsidRPr="00D77970">
              <w:rPr>
                <w:rFonts w:ascii="Arial" w:eastAsia="Arial" w:hAnsi="Arial" w:cs="Arial"/>
                <w:bCs/>
                <w:sz w:val="20"/>
                <w:szCs w:val="20"/>
              </w:rPr>
              <w:t>PRIHODI OD PRODAJE PROIZVODA I ROBE TE PRUŽENIH USLUGA I PRIHODA OD DONACIJA</w:t>
            </w:r>
          </w:p>
        </w:tc>
        <w:tc>
          <w:tcPr>
            <w:tcW w:w="1800" w:type="dxa"/>
            <w:tcBorders>
              <w:top w:val="single" w:sz="4" w:space="0" w:color="000001"/>
              <w:left w:val="single" w:sz="4" w:space="0" w:color="000001"/>
              <w:bottom w:val="single" w:sz="4" w:space="0" w:color="000001"/>
              <w:right w:val="single" w:sz="4" w:space="0" w:color="000001"/>
            </w:tcBorders>
          </w:tcPr>
          <w:p w14:paraId="1FD75AF0" w14:textId="77777777" w:rsidR="00C6561B" w:rsidRPr="00D77970" w:rsidRDefault="00C6561B">
            <w:pPr>
              <w:jc w:val="center"/>
              <w:rPr>
                <w:rFonts w:ascii="Arial" w:eastAsia="Arial" w:hAnsi="Arial" w:cs="Arial"/>
                <w:sz w:val="20"/>
                <w:szCs w:val="20"/>
              </w:rPr>
            </w:pPr>
          </w:p>
          <w:p w14:paraId="23C86129" w14:textId="77777777" w:rsidR="00C6561B" w:rsidRPr="00D77970" w:rsidRDefault="00C6561B">
            <w:pPr>
              <w:jc w:val="center"/>
              <w:rPr>
                <w:rFonts w:ascii="Arial" w:eastAsiaTheme="minorHAnsi" w:hAnsi="Arial" w:cs="Arial"/>
                <w:sz w:val="20"/>
                <w:szCs w:val="20"/>
              </w:rPr>
            </w:pPr>
            <w:r w:rsidRPr="00D77970">
              <w:rPr>
                <w:rFonts w:ascii="Arial" w:eastAsia="Arial" w:hAnsi="Arial" w:cs="Arial"/>
                <w:sz w:val="20"/>
                <w:szCs w:val="20"/>
              </w:rPr>
              <w:t>93.679,00</w:t>
            </w:r>
          </w:p>
        </w:tc>
        <w:tc>
          <w:tcPr>
            <w:tcW w:w="1620" w:type="dxa"/>
            <w:tcBorders>
              <w:top w:val="single" w:sz="4" w:space="0" w:color="000001"/>
              <w:left w:val="single" w:sz="4" w:space="0" w:color="000001"/>
              <w:bottom w:val="single" w:sz="4" w:space="0" w:color="000001"/>
              <w:right w:val="single" w:sz="4" w:space="0" w:color="000001"/>
            </w:tcBorders>
          </w:tcPr>
          <w:p w14:paraId="59442FAB" w14:textId="77777777" w:rsidR="00C6561B" w:rsidRPr="00D77970" w:rsidRDefault="00C6561B">
            <w:pPr>
              <w:jc w:val="center"/>
              <w:rPr>
                <w:rFonts w:ascii="Arial" w:eastAsia="Arial" w:hAnsi="Arial" w:cs="Arial"/>
                <w:sz w:val="20"/>
                <w:szCs w:val="20"/>
              </w:rPr>
            </w:pPr>
            <w:bookmarkStart w:id="50" w:name="_Hlk150854314"/>
            <w:bookmarkEnd w:id="50"/>
          </w:p>
          <w:p w14:paraId="27E5A1CB" w14:textId="77777777" w:rsidR="00C6561B" w:rsidRPr="00D77970" w:rsidRDefault="00C6561B">
            <w:pPr>
              <w:jc w:val="center"/>
              <w:rPr>
                <w:rFonts w:ascii="Arial" w:eastAsia="Arial" w:hAnsi="Arial" w:cs="Arial"/>
                <w:sz w:val="20"/>
                <w:szCs w:val="20"/>
              </w:rPr>
            </w:pPr>
            <w:r w:rsidRPr="00D77970">
              <w:rPr>
                <w:rFonts w:ascii="Arial" w:eastAsia="Arial" w:hAnsi="Arial" w:cs="Arial"/>
                <w:sz w:val="20"/>
                <w:szCs w:val="20"/>
              </w:rPr>
              <w:t>118.569,00</w:t>
            </w:r>
          </w:p>
        </w:tc>
        <w:tc>
          <w:tcPr>
            <w:tcW w:w="111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0" w:type="dxa"/>
            </w:tcMar>
          </w:tcPr>
          <w:p w14:paraId="2F7CA716" w14:textId="77777777" w:rsidR="00C6561B" w:rsidRPr="00D77970" w:rsidRDefault="00C6561B">
            <w:pPr>
              <w:jc w:val="center"/>
              <w:rPr>
                <w:rFonts w:ascii="Arial" w:eastAsia="Calibri" w:hAnsi="Arial" w:cs="Arial"/>
                <w:sz w:val="20"/>
                <w:szCs w:val="20"/>
              </w:rPr>
            </w:pPr>
          </w:p>
          <w:p w14:paraId="5C22D5A0" w14:textId="77777777" w:rsidR="00C6561B" w:rsidRPr="00D77970" w:rsidRDefault="00C6561B">
            <w:pPr>
              <w:jc w:val="center"/>
              <w:rPr>
                <w:rFonts w:ascii="Arial" w:eastAsia="Calibri" w:hAnsi="Arial" w:cs="Arial"/>
                <w:sz w:val="20"/>
                <w:szCs w:val="20"/>
              </w:rPr>
            </w:pPr>
            <w:r w:rsidRPr="00D77970">
              <w:rPr>
                <w:rFonts w:ascii="Arial" w:eastAsia="Calibri" w:hAnsi="Arial" w:cs="Arial"/>
                <w:sz w:val="20"/>
                <w:szCs w:val="20"/>
              </w:rPr>
              <w:t>126,57</w:t>
            </w:r>
          </w:p>
        </w:tc>
      </w:tr>
      <w:tr w:rsidR="00C6561B" w:rsidRPr="00D77970" w14:paraId="72A85357" w14:textId="77777777" w:rsidTr="00C6561B">
        <w:trPr>
          <w:trHeight w:val="1"/>
        </w:trPr>
        <w:tc>
          <w:tcPr>
            <w:tcW w:w="1010" w:type="dxa"/>
            <w:tcBorders>
              <w:top w:val="single" w:sz="4" w:space="0" w:color="000001"/>
              <w:left w:val="single" w:sz="4" w:space="0" w:color="000001"/>
              <w:bottom w:val="single" w:sz="4" w:space="0" w:color="000001"/>
              <w:right w:val="single" w:sz="4" w:space="0" w:color="000001"/>
            </w:tcBorders>
            <w:hideMark/>
          </w:tcPr>
          <w:p w14:paraId="6ADD3E1D" w14:textId="77777777" w:rsidR="00C6561B" w:rsidRPr="00D77970" w:rsidRDefault="00C6561B">
            <w:pPr>
              <w:rPr>
                <w:rFonts w:ascii="Arial" w:eastAsia="Calibri" w:hAnsi="Arial" w:cs="Arial"/>
                <w:bCs/>
                <w:sz w:val="20"/>
                <w:szCs w:val="20"/>
              </w:rPr>
            </w:pPr>
            <w:r w:rsidRPr="00D77970">
              <w:rPr>
                <w:rFonts w:ascii="Arial" w:eastAsia="Arial" w:hAnsi="Arial" w:cs="Arial"/>
                <w:bCs/>
                <w:sz w:val="20"/>
                <w:szCs w:val="20"/>
              </w:rPr>
              <w:t>67</w:t>
            </w:r>
          </w:p>
        </w:tc>
        <w:tc>
          <w:tcPr>
            <w:tcW w:w="3220" w:type="dxa"/>
            <w:tcBorders>
              <w:top w:val="single" w:sz="4" w:space="0" w:color="000001"/>
              <w:left w:val="single" w:sz="4" w:space="0" w:color="000001"/>
              <w:bottom w:val="single" w:sz="4" w:space="0" w:color="000001"/>
              <w:right w:val="single" w:sz="4" w:space="0" w:color="000001"/>
            </w:tcBorders>
            <w:hideMark/>
          </w:tcPr>
          <w:p w14:paraId="44A4C4BD" w14:textId="77777777" w:rsidR="00C6561B" w:rsidRPr="00D77970" w:rsidRDefault="00C6561B">
            <w:pPr>
              <w:rPr>
                <w:rFonts w:ascii="Arial" w:eastAsia="Calibri" w:hAnsi="Arial" w:cs="Arial"/>
                <w:bCs/>
                <w:sz w:val="20"/>
                <w:szCs w:val="20"/>
              </w:rPr>
            </w:pPr>
            <w:r w:rsidRPr="00D77970">
              <w:rPr>
                <w:rFonts w:ascii="Arial" w:eastAsia="Arial" w:hAnsi="Arial" w:cs="Arial"/>
                <w:bCs/>
                <w:sz w:val="20"/>
                <w:szCs w:val="20"/>
              </w:rPr>
              <w:t xml:space="preserve">PRIHODI IZ NADLEŽNOG PRORAČUNA </w:t>
            </w:r>
          </w:p>
        </w:tc>
        <w:tc>
          <w:tcPr>
            <w:tcW w:w="1800" w:type="dxa"/>
            <w:tcBorders>
              <w:top w:val="single" w:sz="4" w:space="0" w:color="000001"/>
              <w:left w:val="single" w:sz="4" w:space="0" w:color="000001"/>
              <w:bottom w:val="single" w:sz="4" w:space="0" w:color="000001"/>
              <w:right w:val="single" w:sz="4" w:space="0" w:color="000001"/>
            </w:tcBorders>
            <w:hideMark/>
          </w:tcPr>
          <w:p w14:paraId="001C5736" w14:textId="77777777" w:rsidR="00C6561B" w:rsidRPr="00D77970" w:rsidRDefault="00C6561B">
            <w:pPr>
              <w:jc w:val="center"/>
              <w:rPr>
                <w:rFonts w:ascii="Arial" w:eastAsiaTheme="minorHAnsi" w:hAnsi="Arial" w:cs="Arial"/>
                <w:sz w:val="20"/>
                <w:szCs w:val="20"/>
              </w:rPr>
            </w:pPr>
            <w:r w:rsidRPr="00D77970">
              <w:rPr>
                <w:rFonts w:ascii="Arial" w:eastAsia="Arial" w:hAnsi="Arial" w:cs="Arial"/>
                <w:bCs/>
                <w:sz w:val="20"/>
                <w:szCs w:val="20"/>
              </w:rPr>
              <w:t>381.421,00</w:t>
            </w:r>
          </w:p>
        </w:tc>
        <w:tc>
          <w:tcPr>
            <w:tcW w:w="1620" w:type="dxa"/>
            <w:tcBorders>
              <w:top w:val="single" w:sz="4" w:space="0" w:color="000001"/>
              <w:left w:val="single" w:sz="4" w:space="0" w:color="000001"/>
              <w:bottom w:val="single" w:sz="4" w:space="0" w:color="000001"/>
              <w:right w:val="single" w:sz="4" w:space="0" w:color="000001"/>
            </w:tcBorders>
            <w:hideMark/>
          </w:tcPr>
          <w:p w14:paraId="5A4A7035" w14:textId="77777777" w:rsidR="00C6561B" w:rsidRPr="00D77970" w:rsidRDefault="00C6561B">
            <w:pPr>
              <w:jc w:val="center"/>
              <w:rPr>
                <w:rFonts w:ascii="Arial" w:eastAsia="Arial" w:hAnsi="Arial" w:cs="Arial"/>
                <w:bCs/>
                <w:sz w:val="20"/>
                <w:szCs w:val="20"/>
                <w:highlight w:val="yellow"/>
              </w:rPr>
            </w:pPr>
            <w:bookmarkStart w:id="51" w:name="__DdeLink__804_722211437"/>
            <w:bookmarkEnd w:id="51"/>
            <w:r w:rsidRPr="00D77970">
              <w:rPr>
                <w:rFonts w:ascii="Arial" w:eastAsia="Arial" w:hAnsi="Arial" w:cs="Arial"/>
                <w:bCs/>
                <w:sz w:val="20"/>
                <w:szCs w:val="20"/>
              </w:rPr>
              <w:t>412.860,00</w:t>
            </w:r>
          </w:p>
        </w:tc>
        <w:tc>
          <w:tcPr>
            <w:tcW w:w="111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0" w:type="dxa"/>
            </w:tcMar>
            <w:hideMark/>
          </w:tcPr>
          <w:p w14:paraId="74BF86EE" w14:textId="77777777" w:rsidR="00C6561B" w:rsidRPr="00D77970" w:rsidRDefault="00C6561B">
            <w:pPr>
              <w:jc w:val="center"/>
              <w:rPr>
                <w:rFonts w:ascii="Arial" w:eastAsia="Calibri" w:hAnsi="Arial" w:cs="Arial"/>
                <w:sz w:val="20"/>
                <w:szCs w:val="20"/>
              </w:rPr>
            </w:pPr>
            <w:r w:rsidRPr="00D77970">
              <w:rPr>
                <w:rFonts w:ascii="Arial" w:eastAsia="Calibri" w:hAnsi="Arial" w:cs="Arial"/>
                <w:sz w:val="20"/>
                <w:szCs w:val="20"/>
              </w:rPr>
              <w:t>108,24</w:t>
            </w:r>
          </w:p>
        </w:tc>
      </w:tr>
      <w:tr w:rsidR="00C6561B" w:rsidRPr="00D77970" w14:paraId="127F5D41" w14:textId="77777777" w:rsidTr="00C6561B">
        <w:trPr>
          <w:trHeight w:val="1"/>
        </w:trPr>
        <w:tc>
          <w:tcPr>
            <w:tcW w:w="1010" w:type="dxa"/>
            <w:tcBorders>
              <w:top w:val="single" w:sz="4" w:space="0" w:color="000001"/>
              <w:left w:val="single" w:sz="4" w:space="0" w:color="000001"/>
              <w:bottom w:val="single" w:sz="4" w:space="0" w:color="000001"/>
              <w:right w:val="single" w:sz="4" w:space="0" w:color="000001"/>
            </w:tcBorders>
            <w:hideMark/>
          </w:tcPr>
          <w:p w14:paraId="3E922C9D" w14:textId="77777777" w:rsidR="00C6561B" w:rsidRPr="00D77970" w:rsidRDefault="00C6561B">
            <w:pPr>
              <w:rPr>
                <w:rFonts w:ascii="Arial" w:eastAsia="Arial" w:hAnsi="Arial" w:cs="Arial"/>
                <w:b/>
                <w:bCs/>
                <w:sz w:val="20"/>
                <w:szCs w:val="20"/>
              </w:rPr>
            </w:pPr>
            <w:r w:rsidRPr="00D77970">
              <w:rPr>
                <w:rFonts w:ascii="Arial" w:eastAsia="Arial" w:hAnsi="Arial" w:cs="Arial"/>
                <w:b/>
                <w:bCs/>
                <w:sz w:val="20"/>
                <w:szCs w:val="20"/>
              </w:rPr>
              <w:t>7</w:t>
            </w:r>
          </w:p>
        </w:tc>
        <w:tc>
          <w:tcPr>
            <w:tcW w:w="3220" w:type="dxa"/>
            <w:tcBorders>
              <w:top w:val="single" w:sz="4" w:space="0" w:color="000001"/>
              <w:left w:val="single" w:sz="4" w:space="0" w:color="000001"/>
              <w:bottom w:val="single" w:sz="4" w:space="0" w:color="000001"/>
              <w:right w:val="single" w:sz="4" w:space="0" w:color="000001"/>
            </w:tcBorders>
            <w:hideMark/>
          </w:tcPr>
          <w:p w14:paraId="08C64E31" w14:textId="77777777" w:rsidR="00C6561B" w:rsidRPr="00D77970" w:rsidRDefault="00C6561B">
            <w:pPr>
              <w:rPr>
                <w:rFonts w:ascii="Arial" w:eastAsia="Arial" w:hAnsi="Arial" w:cs="Arial"/>
                <w:bCs/>
                <w:sz w:val="20"/>
                <w:szCs w:val="20"/>
              </w:rPr>
            </w:pPr>
            <w:r w:rsidRPr="00D77970">
              <w:rPr>
                <w:rFonts w:ascii="Arial" w:eastAsia="Arial" w:hAnsi="Arial" w:cs="Arial"/>
                <w:bCs/>
                <w:sz w:val="20"/>
                <w:szCs w:val="20"/>
              </w:rPr>
              <w:t>PRIHODI OD NEFINANCIJSKE IMOVINE</w:t>
            </w:r>
          </w:p>
        </w:tc>
        <w:tc>
          <w:tcPr>
            <w:tcW w:w="1800" w:type="dxa"/>
            <w:tcBorders>
              <w:top w:val="single" w:sz="4" w:space="0" w:color="000001"/>
              <w:left w:val="single" w:sz="4" w:space="0" w:color="000001"/>
              <w:bottom w:val="single" w:sz="4" w:space="0" w:color="000001"/>
              <w:right w:val="single" w:sz="4" w:space="0" w:color="000001"/>
            </w:tcBorders>
            <w:hideMark/>
          </w:tcPr>
          <w:p w14:paraId="3AB26865" w14:textId="77777777" w:rsidR="00C6561B" w:rsidRPr="00D77970" w:rsidRDefault="00C6561B">
            <w:pPr>
              <w:jc w:val="center"/>
              <w:rPr>
                <w:rFonts w:ascii="Arial" w:eastAsiaTheme="minorHAnsi" w:hAnsi="Arial" w:cs="Arial"/>
                <w:b/>
                <w:bCs/>
                <w:sz w:val="20"/>
                <w:szCs w:val="20"/>
              </w:rPr>
            </w:pPr>
            <w:r w:rsidRPr="00D77970">
              <w:rPr>
                <w:rFonts w:ascii="Arial" w:eastAsia="Calibri" w:hAnsi="Arial" w:cs="Arial"/>
                <w:b/>
                <w:bCs/>
                <w:sz w:val="20"/>
                <w:szCs w:val="20"/>
              </w:rPr>
              <w:t>0,00</w:t>
            </w:r>
          </w:p>
        </w:tc>
        <w:tc>
          <w:tcPr>
            <w:tcW w:w="1620" w:type="dxa"/>
            <w:tcBorders>
              <w:top w:val="single" w:sz="4" w:space="0" w:color="000001"/>
              <w:left w:val="single" w:sz="4" w:space="0" w:color="000001"/>
              <w:bottom w:val="single" w:sz="4" w:space="0" w:color="000001"/>
              <w:right w:val="single" w:sz="4" w:space="0" w:color="000001"/>
            </w:tcBorders>
            <w:hideMark/>
          </w:tcPr>
          <w:p w14:paraId="695BC62D" w14:textId="77777777" w:rsidR="00C6561B" w:rsidRPr="00D77970" w:rsidRDefault="00C6561B">
            <w:pPr>
              <w:jc w:val="center"/>
              <w:rPr>
                <w:rFonts w:ascii="Arial" w:eastAsia="Calibri" w:hAnsi="Arial" w:cs="Arial"/>
                <w:b/>
                <w:bCs/>
                <w:sz w:val="20"/>
                <w:szCs w:val="20"/>
              </w:rPr>
            </w:pPr>
            <w:r w:rsidRPr="00D77970">
              <w:rPr>
                <w:rFonts w:ascii="Arial" w:eastAsia="Calibri" w:hAnsi="Arial" w:cs="Arial"/>
                <w:b/>
                <w:bCs/>
                <w:sz w:val="20"/>
                <w:szCs w:val="20"/>
              </w:rPr>
              <w:t>0,00</w:t>
            </w:r>
          </w:p>
        </w:tc>
        <w:tc>
          <w:tcPr>
            <w:tcW w:w="111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0" w:type="dxa"/>
            </w:tcMar>
            <w:hideMark/>
          </w:tcPr>
          <w:p w14:paraId="00CEA43D" w14:textId="77777777" w:rsidR="00C6561B" w:rsidRPr="00D77970" w:rsidRDefault="00C6561B">
            <w:pPr>
              <w:jc w:val="center"/>
              <w:rPr>
                <w:rFonts w:ascii="Arial" w:eastAsia="Calibri" w:hAnsi="Arial" w:cs="Arial"/>
                <w:b/>
                <w:bCs/>
                <w:sz w:val="20"/>
                <w:szCs w:val="20"/>
              </w:rPr>
            </w:pPr>
            <w:r w:rsidRPr="00D77970">
              <w:rPr>
                <w:rFonts w:ascii="Arial" w:eastAsia="Calibri" w:hAnsi="Arial" w:cs="Arial"/>
                <w:b/>
                <w:bCs/>
                <w:sz w:val="20"/>
                <w:szCs w:val="20"/>
              </w:rPr>
              <w:t>0</w:t>
            </w:r>
          </w:p>
        </w:tc>
      </w:tr>
      <w:tr w:rsidR="00C6561B" w:rsidRPr="00D77970" w14:paraId="3CEF28C0" w14:textId="77777777" w:rsidTr="00C6561B">
        <w:trPr>
          <w:trHeight w:val="1"/>
        </w:trPr>
        <w:tc>
          <w:tcPr>
            <w:tcW w:w="1010" w:type="dxa"/>
            <w:tcBorders>
              <w:top w:val="single" w:sz="4" w:space="0" w:color="000001"/>
              <w:left w:val="single" w:sz="4" w:space="0" w:color="000001"/>
              <w:bottom w:val="single" w:sz="4" w:space="0" w:color="000001"/>
              <w:right w:val="single" w:sz="4" w:space="0" w:color="000001"/>
            </w:tcBorders>
            <w:hideMark/>
          </w:tcPr>
          <w:p w14:paraId="3B2936B8" w14:textId="77777777" w:rsidR="00C6561B" w:rsidRPr="00D77970" w:rsidRDefault="00C6561B">
            <w:pPr>
              <w:rPr>
                <w:rFonts w:ascii="Arial" w:eastAsia="Arial" w:hAnsi="Arial" w:cs="Arial"/>
                <w:sz w:val="20"/>
                <w:szCs w:val="20"/>
              </w:rPr>
            </w:pPr>
            <w:r w:rsidRPr="00D77970">
              <w:rPr>
                <w:rFonts w:ascii="Arial" w:eastAsia="Arial" w:hAnsi="Arial" w:cs="Arial"/>
                <w:sz w:val="20"/>
                <w:szCs w:val="20"/>
              </w:rPr>
              <w:t>72</w:t>
            </w:r>
          </w:p>
        </w:tc>
        <w:tc>
          <w:tcPr>
            <w:tcW w:w="3220" w:type="dxa"/>
            <w:tcBorders>
              <w:top w:val="single" w:sz="4" w:space="0" w:color="000001"/>
              <w:left w:val="single" w:sz="4" w:space="0" w:color="000001"/>
              <w:bottom w:val="single" w:sz="4" w:space="0" w:color="000001"/>
              <w:right w:val="single" w:sz="4" w:space="0" w:color="000001"/>
            </w:tcBorders>
            <w:hideMark/>
          </w:tcPr>
          <w:p w14:paraId="37250759" w14:textId="77777777" w:rsidR="00C6561B" w:rsidRPr="00D77970" w:rsidRDefault="00C6561B">
            <w:pPr>
              <w:rPr>
                <w:rFonts w:ascii="Arial" w:eastAsia="Arial" w:hAnsi="Arial" w:cs="Arial"/>
                <w:sz w:val="20"/>
                <w:szCs w:val="20"/>
              </w:rPr>
            </w:pPr>
            <w:r w:rsidRPr="00D77970">
              <w:rPr>
                <w:rFonts w:ascii="Arial" w:eastAsia="Arial" w:hAnsi="Arial" w:cs="Arial"/>
                <w:bCs/>
                <w:sz w:val="20"/>
                <w:szCs w:val="20"/>
              </w:rPr>
              <w:t>PRIHODI OD NEFINANCIJSKE IMOVINE</w:t>
            </w:r>
          </w:p>
        </w:tc>
        <w:tc>
          <w:tcPr>
            <w:tcW w:w="1800" w:type="dxa"/>
            <w:tcBorders>
              <w:top w:val="single" w:sz="4" w:space="0" w:color="000001"/>
              <w:left w:val="single" w:sz="4" w:space="0" w:color="000001"/>
              <w:bottom w:val="single" w:sz="4" w:space="0" w:color="000001"/>
              <w:right w:val="single" w:sz="4" w:space="0" w:color="000001"/>
            </w:tcBorders>
            <w:hideMark/>
          </w:tcPr>
          <w:p w14:paraId="2297C30A" w14:textId="77777777" w:rsidR="00C6561B" w:rsidRPr="00D77970" w:rsidRDefault="00C6561B">
            <w:pPr>
              <w:jc w:val="center"/>
              <w:rPr>
                <w:rFonts w:ascii="Arial" w:eastAsiaTheme="minorHAnsi" w:hAnsi="Arial" w:cs="Arial"/>
                <w:sz w:val="20"/>
                <w:szCs w:val="20"/>
              </w:rPr>
            </w:pPr>
            <w:r w:rsidRPr="00D77970">
              <w:rPr>
                <w:rFonts w:ascii="Arial" w:eastAsia="Calibri" w:hAnsi="Arial" w:cs="Arial"/>
                <w:sz w:val="20"/>
                <w:szCs w:val="20"/>
              </w:rPr>
              <w:t>0,00</w:t>
            </w:r>
          </w:p>
        </w:tc>
        <w:tc>
          <w:tcPr>
            <w:tcW w:w="1620" w:type="dxa"/>
            <w:tcBorders>
              <w:top w:val="single" w:sz="4" w:space="0" w:color="000001"/>
              <w:left w:val="single" w:sz="4" w:space="0" w:color="000001"/>
              <w:bottom w:val="single" w:sz="4" w:space="0" w:color="000001"/>
              <w:right w:val="single" w:sz="4" w:space="0" w:color="000001"/>
            </w:tcBorders>
            <w:hideMark/>
          </w:tcPr>
          <w:p w14:paraId="33222B14" w14:textId="77777777" w:rsidR="00C6561B" w:rsidRPr="00D77970" w:rsidRDefault="00C6561B">
            <w:pPr>
              <w:jc w:val="center"/>
              <w:rPr>
                <w:rFonts w:ascii="Arial" w:eastAsia="Calibri" w:hAnsi="Arial" w:cs="Arial"/>
                <w:sz w:val="20"/>
                <w:szCs w:val="20"/>
              </w:rPr>
            </w:pPr>
            <w:r w:rsidRPr="00D77970">
              <w:rPr>
                <w:rFonts w:ascii="Arial" w:eastAsia="Calibri" w:hAnsi="Arial" w:cs="Arial"/>
                <w:sz w:val="20"/>
                <w:szCs w:val="20"/>
              </w:rPr>
              <w:t>0,00</w:t>
            </w:r>
          </w:p>
        </w:tc>
        <w:tc>
          <w:tcPr>
            <w:tcW w:w="111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0" w:type="dxa"/>
            </w:tcMar>
            <w:hideMark/>
          </w:tcPr>
          <w:p w14:paraId="40DB6CF1" w14:textId="77777777" w:rsidR="00C6561B" w:rsidRPr="00D77970" w:rsidRDefault="00C6561B">
            <w:pPr>
              <w:jc w:val="center"/>
              <w:rPr>
                <w:rFonts w:ascii="Arial" w:eastAsia="Calibri" w:hAnsi="Arial" w:cs="Arial"/>
                <w:sz w:val="20"/>
                <w:szCs w:val="20"/>
              </w:rPr>
            </w:pPr>
            <w:r w:rsidRPr="00D77970">
              <w:rPr>
                <w:rFonts w:ascii="Arial" w:eastAsia="Calibri" w:hAnsi="Arial" w:cs="Arial"/>
                <w:sz w:val="20"/>
                <w:szCs w:val="20"/>
              </w:rPr>
              <w:t>0,00</w:t>
            </w:r>
          </w:p>
        </w:tc>
      </w:tr>
      <w:tr w:rsidR="00C6561B" w:rsidRPr="00D77970" w14:paraId="1661B715" w14:textId="77777777" w:rsidTr="00C6561B">
        <w:trPr>
          <w:trHeight w:val="1"/>
        </w:trPr>
        <w:tc>
          <w:tcPr>
            <w:tcW w:w="1010" w:type="dxa"/>
            <w:tcBorders>
              <w:top w:val="single" w:sz="4" w:space="0" w:color="000001"/>
              <w:left w:val="single" w:sz="4" w:space="0" w:color="000001"/>
              <w:bottom w:val="single" w:sz="4" w:space="0" w:color="000001"/>
              <w:right w:val="single" w:sz="4" w:space="0" w:color="000001"/>
            </w:tcBorders>
          </w:tcPr>
          <w:p w14:paraId="3DFB275D" w14:textId="77777777" w:rsidR="00C6561B" w:rsidRPr="00D77970" w:rsidRDefault="00C6561B">
            <w:pPr>
              <w:rPr>
                <w:rFonts w:ascii="Arial" w:eastAsia="Arial" w:hAnsi="Arial" w:cs="Arial"/>
                <w:sz w:val="20"/>
                <w:szCs w:val="20"/>
              </w:rPr>
            </w:pPr>
          </w:p>
        </w:tc>
        <w:tc>
          <w:tcPr>
            <w:tcW w:w="3220" w:type="dxa"/>
            <w:tcBorders>
              <w:top w:val="single" w:sz="4" w:space="0" w:color="000001"/>
              <w:left w:val="single" w:sz="4" w:space="0" w:color="000001"/>
              <w:bottom w:val="single" w:sz="4" w:space="0" w:color="000001"/>
              <w:right w:val="single" w:sz="4" w:space="0" w:color="000001"/>
            </w:tcBorders>
            <w:hideMark/>
          </w:tcPr>
          <w:p w14:paraId="6721FDEA" w14:textId="77777777" w:rsidR="00C6561B" w:rsidRPr="00D77970" w:rsidRDefault="00C6561B">
            <w:pPr>
              <w:rPr>
                <w:rFonts w:ascii="Arial" w:eastAsia="Arial" w:hAnsi="Arial" w:cs="Arial"/>
                <w:b/>
                <w:sz w:val="20"/>
                <w:szCs w:val="20"/>
              </w:rPr>
            </w:pPr>
            <w:r w:rsidRPr="00D77970">
              <w:rPr>
                <w:rFonts w:ascii="Arial" w:eastAsia="Arial" w:hAnsi="Arial" w:cs="Arial"/>
                <w:b/>
                <w:sz w:val="20"/>
                <w:szCs w:val="20"/>
              </w:rPr>
              <w:t>SVEUKUPNI PRIHODI</w:t>
            </w:r>
          </w:p>
        </w:tc>
        <w:tc>
          <w:tcPr>
            <w:tcW w:w="1800" w:type="dxa"/>
            <w:tcBorders>
              <w:top w:val="single" w:sz="4" w:space="0" w:color="000001"/>
              <w:left w:val="single" w:sz="4" w:space="0" w:color="000001"/>
              <w:bottom w:val="single" w:sz="4" w:space="0" w:color="000001"/>
              <w:right w:val="single" w:sz="4" w:space="0" w:color="000001"/>
            </w:tcBorders>
            <w:hideMark/>
          </w:tcPr>
          <w:p w14:paraId="1E16DFC3" w14:textId="77777777" w:rsidR="00C6561B" w:rsidRPr="00D77970" w:rsidRDefault="00C6561B">
            <w:pPr>
              <w:jc w:val="center"/>
              <w:rPr>
                <w:rFonts w:ascii="Arial" w:eastAsia="Calibri" w:hAnsi="Arial" w:cs="Arial"/>
                <w:b/>
                <w:bCs/>
                <w:sz w:val="20"/>
                <w:szCs w:val="20"/>
              </w:rPr>
            </w:pPr>
            <w:r w:rsidRPr="00D77970">
              <w:rPr>
                <w:rFonts w:ascii="Arial" w:eastAsia="Calibri" w:hAnsi="Arial" w:cs="Arial"/>
                <w:b/>
                <w:bCs/>
                <w:sz w:val="20"/>
                <w:szCs w:val="20"/>
              </w:rPr>
              <w:t>524.394,00</w:t>
            </w:r>
          </w:p>
        </w:tc>
        <w:tc>
          <w:tcPr>
            <w:tcW w:w="1620" w:type="dxa"/>
            <w:tcBorders>
              <w:top w:val="single" w:sz="4" w:space="0" w:color="000001"/>
              <w:left w:val="single" w:sz="4" w:space="0" w:color="000001"/>
              <w:bottom w:val="single" w:sz="4" w:space="0" w:color="000001"/>
              <w:right w:val="single" w:sz="4" w:space="0" w:color="000001"/>
            </w:tcBorders>
            <w:hideMark/>
          </w:tcPr>
          <w:p w14:paraId="6E9308F0" w14:textId="77777777" w:rsidR="00C6561B" w:rsidRPr="00D77970" w:rsidRDefault="00C6561B">
            <w:pPr>
              <w:jc w:val="center"/>
              <w:rPr>
                <w:rFonts w:ascii="Arial" w:eastAsia="Calibri" w:hAnsi="Arial" w:cs="Arial"/>
                <w:b/>
                <w:bCs/>
                <w:sz w:val="20"/>
                <w:szCs w:val="20"/>
              </w:rPr>
            </w:pPr>
            <w:r w:rsidRPr="00D77970">
              <w:rPr>
                <w:rFonts w:ascii="Arial" w:eastAsia="Calibri" w:hAnsi="Arial" w:cs="Arial"/>
                <w:b/>
                <w:bCs/>
                <w:sz w:val="20"/>
                <w:szCs w:val="20"/>
              </w:rPr>
              <w:t>633.540,00</w:t>
            </w:r>
          </w:p>
        </w:tc>
        <w:tc>
          <w:tcPr>
            <w:tcW w:w="111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0" w:type="dxa"/>
            </w:tcMar>
            <w:hideMark/>
          </w:tcPr>
          <w:p w14:paraId="19CADBDF" w14:textId="77777777" w:rsidR="00C6561B" w:rsidRPr="00D77970" w:rsidRDefault="00C6561B">
            <w:pPr>
              <w:jc w:val="center"/>
              <w:rPr>
                <w:rFonts w:ascii="Arial" w:eastAsia="Calibri" w:hAnsi="Arial" w:cs="Arial"/>
                <w:b/>
                <w:bCs/>
                <w:sz w:val="20"/>
                <w:szCs w:val="20"/>
              </w:rPr>
            </w:pPr>
            <w:r w:rsidRPr="00D77970">
              <w:rPr>
                <w:rFonts w:ascii="Arial" w:eastAsia="Calibri" w:hAnsi="Arial" w:cs="Arial"/>
                <w:b/>
                <w:bCs/>
                <w:sz w:val="20"/>
                <w:szCs w:val="20"/>
              </w:rPr>
              <w:t>116,80</w:t>
            </w:r>
          </w:p>
        </w:tc>
      </w:tr>
      <w:tr w:rsidR="00C6561B" w:rsidRPr="00D77970" w14:paraId="00A39D3A" w14:textId="77777777" w:rsidTr="00C6561B">
        <w:trPr>
          <w:trHeight w:val="1"/>
        </w:trPr>
        <w:tc>
          <w:tcPr>
            <w:tcW w:w="1010" w:type="dxa"/>
            <w:tcBorders>
              <w:top w:val="single" w:sz="4" w:space="0" w:color="000001"/>
              <w:left w:val="single" w:sz="4" w:space="0" w:color="000001"/>
              <w:bottom w:val="single" w:sz="4" w:space="0" w:color="000001"/>
              <w:right w:val="single" w:sz="4" w:space="0" w:color="000001"/>
            </w:tcBorders>
            <w:hideMark/>
          </w:tcPr>
          <w:p w14:paraId="3DB95587" w14:textId="77777777" w:rsidR="00C6561B" w:rsidRPr="00D77970" w:rsidRDefault="00C6561B">
            <w:pPr>
              <w:rPr>
                <w:rFonts w:ascii="Arial" w:eastAsia="Calibri" w:hAnsi="Arial" w:cs="Arial"/>
                <w:b/>
                <w:bCs/>
                <w:sz w:val="20"/>
                <w:szCs w:val="20"/>
              </w:rPr>
            </w:pPr>
            <w:r w:rsidRPr="00D77970">
              <w:rPr>
                <w:rFonts w:ascii="Arial" w:eastAsia="Arial" w:hAnsi="Arial" w:cs="Arial"/>
                <w:b/>
                <w:bCs/>
                <w:sz w:val="20"/>
                <w:szCs w:val="20"/>
              </w:rPr>
              <w:t>9</w:t>
            </w:r>
          </w:p>
        </w:tc>
        <w:tc>
          <w:tcPr>
            <w:tcW w:w="3220" w:type="dxa"/>
            <w:tcBorders>
              <w:top w:val="single" w:sz="4" w:space="0" w:color="000001"/>
              <w:left w:val="single" w:sz="4" w:space="0" w:color="000001"/>
              <w:bottom w:val="single" w:sz="4" w:space="0" w:color="000001"/>
              <w:right w:val="single" w:sz="4" w:space="0" w:color="000001"/>
            </w:tcBorders>
            <w:hideMark/>
          </w:tcPr>
          <w:p w14:paraId="0A12FF07" w14:textId="77777777" w:rsidR="00C6561B" w:rsidRPr="00D77970" w:rsidRDefault="00C6561B">
            <w:pPr>
              <w:rPr>
                <w:rFonts w:ascii="Arial" w:eastAsia="Calibri" w:hAnsi="Arial" w:cs="Arial"/>
                <w:b/>
                <w:bCs/>
                <w:sz w:val="20"/>
                <w:szCs w:val="20"/>
              </w:rPr>
            </w:pPr>
            <w:r w:rsidRPr="00D77970">
              <w:rPr>
                <w:rFonts w:ascii="Arial" w:eastAsia="Calibri" w:hAnsi="Arial" w:cs="Arial"/>
                <w:b/>
                <w:bCs/>
                <w:sz w:val="20"/>
                <w:szCs w:val="20"/>
              </w:rPr>
              <w:t>REZULTATI POSLOVANJA</w:t>
            </w:r>
          </w:p>
        </w:tc>
        <w:tc>
          <w:tcPr>
            <w:tcW w:w="1800" w:type="dxa"/>
            <w:tcBorders>
              <w:top w:val="single" w:sz="4" w:space="0" w:color="000001"/>
              <w:left w:val="single" w:sz="4" w:space="0" w:color="000001"/>
              <w:bottom w:val="single" w:sz="4" w:space="0" w:color="000001"/>
              <w:right w:val="single" w:sz="4" w:space="0" w:color="000001"/>
            </w:tcBorders>
            <w:hideMark/>
          </w:tcPr>
          <w:p w14:paraId="15CE6100" w14:textId="77777777" w:rsidR="00C6561B" w:rsidRPr="00D77970" w:rsidRDefault="00C6561B">
            <w:pPr>
              <w:jc w:val="center"/>
              <w:rPr>
                <w:rFonts w:ascii="Arial" w:eastAsiaTheme="minorHAnsi" w:hAnsi="Arial" w:cs="Arial"/>
                <w:b/>
                <w:bCs/>
                <w:sz w:val="20"/>
                <w:szCs w:val="20"/>
              </w:rPr>
            </w:pPr>
            <w:r w:rsidRPr="00D77970">
              <w:rPr>
                <w:rFonts w:ascii="Arial" w:eastAsia="Calibri" w:hAnsi="Arial" w:cs="Arial"/>
                <w:b/>
                <w:bCs/>
                <w:sz w:val="20"/>
                <w:szCs w:val="20"/>
              </w:rPr>
              <w:t>0</w:t>
            </w:r>
          </w:p>
        </w:tc>
        <w:tc>
          <w:tcPr>
            <w:tcW w:w="1620" w:type="dxa"/>
            <w:tcBorders>
              <w:top w:val="single" w:sz="4" w:space="0" w:color="000001"/>
              <w:left w:val="single" w:sz="4" w:space="0" w:color="000001"/>
              <w:bottom w:val="single" w:sz="4" w:space="0" w:color="000001"/>
              <w:right w:val="single" w:sz="4" w:space="0" w:color="000001"/>
            </w:tcBorders>
            <w:hideMark/>
          </w:tcPr>
          <w:p w14:paraId="296BEBFB" w14:textId="77777777" w:rsidR="00C6561B" w:rsidRPr="00D77970" w:rsidRDefault="00C6561B">
            <w:pPr>
              <w:jc w:val="center"/>
              <w:rPr>
                <w:rFonts w:ascii="Arial" w:eastAsia="Calibri" w:hAnsi="Arial" w:cs="Arial"/>
                <w:b/>
                <w:bCs/>
                <w:sz w:val="20"/>
                <w:szCs w:val="20"/>
              </w:rPr>
            </w:pPr>
            <w:r w:rsidRPr="00D77970">
              <w:rPr>
                <w:rFonts w:ascii="Arial" w:eastAsia="Calibri" w:hAnsi="Arial" w:cs="Arial"/>
                <w:b/>
                <w:bCs/>
                <w:sz w:val="20"/>
                <w:szCs w:val="20"/>
              </w:rPr>
              <w:t>0</w:t>
            </w:r>
          </w:p>
        </w:tc>
        <w:tc>
          <w:tcPr>
            <w:tcW w:w="111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0" w:type="dxa"/>
            </w:tcMar>
            <w:hideMark/>
          </w:tcPr>
          <w:p w14:paraId="2C48D1C1" w14:textId="77777777" w:rsidR="00C6561B" w:rsidRPr="00D77970" w:rsidRDefault="00C6561B">
            <w:pPr>
              <w:jc w:val="center"/>
              <w:rPr>
                <w:rFonts w:ascii="Arial" w:eastAsia="Calibri" w:hAnsi="Arial" w:cs="Arial"/>
                <w:b/>
                <w:bCs/>
                <w:sz w:val="20"/>
                <w:szCs w:val="20"/>
              </w:rPr>
            </w:pPr>
            <w:r w:rsidRPr="00D77970">
              <w:rPr>
                <w:rFonts w:ascii="Arial" w:eastAsia="Calibri" w:hAnsi="Arial" w:cs="Arial"/>
                <w:b/>
                <w:bCs/>
                <w:sz w:val="20"/>
                <w:szCs w:val="20"/>
              </w:rPr>
              <w:t>0,00</w:t>
            </w:r>
          </w:p>
        </w:tc>
      </w:tr>
      <w:tr w:rsidR="00C6561B" w:rsidRPr="00D77970" w14:paraId="72BE7C36" w14:textId="77777777" w:rsidTr="00C6561B">
        <w:trPr>
          <w:trHeight w:val="321"/>
        </w:trPr>
        <w:tc>
          <w:tcPr>
            <w:tcW w:w="1010" w:type="dxa"/>
            <w:tcBorders>
              <w:top w:val="single" w:sz="4" w:space="0" w:color="000001"/>
              <w:left w:val="single" w:sz="4" w:space="0" w:color="000001"/>
              <w:bottom w:val="single" w:sz="4" w:space="0" w:color="000001"/>
              <w:right w:val="single" w:sz="4" w:space="0" w:color="000001"/>
            </w:tcBorders>
            <w:hideMark/>
          </w:tcPr>
          <w:p w14:paraId="1FD371D2" w14:textId="77777777" w:rsidR="00C6561B" w:rsidRPr="00D77970" w:rsidRDefault="00C6561B">
            <w:pPr>
              <w:rPr>
                <w:rFonts w:ascii="Arial" w:eastAsia="Calibri" w:hAnsi="Arial" w:cs="Arial"/>
                <w:sz w:val="20"/>
                <w:szCs w:val="20"/>
              </w:rPr>
            </w:pPr>
            <w:r w:rsidRPr="00D77970">
              <w:rPr>
                <w:rFonts w:ascii="Arial" w:eastAsia="Arial" w:hAnsi="Arial" w:cs="Arial"/>
                <w:sz w:val="20"/>
                <w:szCs w:val="20"/>
              </w:rPr>
              <w:t>92</w:t>
            </w:r>
          </w:p>
        </w:tc>
        <w:tc>
          <w:tcPr>
            <w:tcW w:w="3220" w:type="dxa"/>
            <w:tcBorders>
              <w:top w:val="single" w:sz="4" w:space="0" w:color="000001"/>
              <w:left w:val="single" w:sz="4" w:space="0" w:color="000001"/>
              <w:bottom w:val="single" w:sz="4" w:space="0" w:color="000001"/>
              <w:right w:val="single" w:sz="4" w:space="0" w:color="000001"/>
            </w:tcBorders>
            <w:hideMark/>
          </w:tcPr>
          <w:p w14:paraId="0DC23E2A" w14:textId="77777777" w:rsidR="00C6561B" w:rsidRPr="00D77970" w:rsidRDefault="00C6561B">
            <w:pPr>
              <w:rPr>
                <w:rFonts w:ascii="Arial" w:eastAsia="Calibri" w:hAnsi="Arial" w:cs="Arial"/>
                <w:sz w:val="20"/>
                <w:szCs w:val="20"/>
              </w:rPr>
            </w:pPr>
            <w:r w:rsidRPr="00D77970">
              <w:rPr>
                <w:rFonts w:ascii="Arial" w:eastAsia="Arial" w:hAnsi="Arial" w:cs="Arial"/>
                <w:sz w:val="20"/>
                <w:szCs w:val="20"/>
              </w:rPr>
              <w:t>REZULTAT POSLOVANJA-</w:t>
            </w:r>
            <w:r w:rsidRPr="00D77970">
              <w:rPr>
                <w:rFonts w:ascii="Arial" w:eastAsia="Arial" w:hAnsi="Arial" w:cs="Arial"/>
                <w:sz w:val="20"/>
                <w:szCs w:val="20"/>
              </w:rPr>
              <w:br/>
            </w:r>
            <w:r w:rsidRPr="00D77970">
              <w:rPr>
                <w:rFonts w:ascii="Arial" w:eastAsia="Calibri" w:hAnsi="Arial" w:cs="Arial"/>
                <w:sz w:val="20"/>
                <w:szCs w:val="20"/>
              </w:rPr>
              <w:t>VIŠAK PRIHODA</w:t>
            </w:r>
          </w:p>
        </w:tc>
        <w:tc>
          <w:tcPr>
            <w:tcW w:w="1800" w:type="dxa"/>
            <w:tcBorders>
              <w:top w:val="single" w:sz="4" w:space="0" w:color="000001"/>
              <w:left w:val="single" w:sz="4" w:space="0" w:color="000001"/>
              <w:bottom w:val="single" w:sz="4" w:space="0" w:color="000001"/>
              <w:right w:val="single" w:sz="4" w:space="0" w:color="000001"/>
            </w:tcBorders>
            <w:hideMark/>
          </w:tcPr>
          <w:p w14:paraId="6FD78B10" w14:textId="77777777" w:rsidR="00C6561B" w:rsidRPr="00D77970" w:rsidRDefault="00C6561B">
            <w:pPr>
              <w:tabs>
                <w:tab w:val="left" w:pos="603"/>
              </w:tabs>
              <w:jc w:val="center"/>
              <w:rPr>
                <w:rFonts w:ascii="Arial" w:eastAsiaTheme="minorHAnsi" w:hAnsi="Arial" w:cs="Arial"/>
                <w:sz w:val="20"/>
                <w:szCs w:val="20"/>
              </w:rPr>
            </w:pPr>
            <w:r w:rsidRPr="00D77970">
              <w:rPr>
                <w:rFonts w:ascii="Arial" w:hAnsi="Arial" w:cs="Arial"/>
                <w:sz w:val="20"/>
                <w:szCs w:val="20"/>
              </w:rPr>
              <w:t>0</w:t>
            </w:r>
          </w:p>
        </w:tc>
        <w:tc>
          <w:tcPr>
            <w:tcW w:w="1620" w:type="dxa"/>
            <w:tcBorders>
              <w:top w:val="single" w:sz="4" w:space="0" w:color="000001"/>
              <w:left w:val="single" w:sz="4" w:space="0" w:color="000001"/>
              <w:bottom w:val="single" w:sz="4" w:space="0" w:color="000001"/>
              <w:right w:val="single" w:sz="4" w:space="0" w:color="000001"/>
            </w:tcBorders>
            <w:hideMark/>
          </w:tcPr>
          <w:p w14:paraId="3AFED70B" w14:textId="77777777" w:rsidR="00C6561B" w:rsidRPr="00D77970" w:rsidRDefault="00C6561B">
            <w:pPr>
              <w:jc w:val="center"/>
              <w:rPr>
                <w:rFonts w:ascii="Arial" w:eastAsia="Calibri" w:hAnsi="Arial" w:cs="Arial"/>
                <w:sz w:val="20"/>
                <w:szCs w:val="20"/>
              </w:rPr>
            </w:pPr>
            <w:r w:rsidRPr="00D77970">
              <w:rPr>
                <w:rFonts w:ascii="Arial" w:eastAsia="Calibri" w:hAnsi="Arial" w:cs="Arial"/>
                <w:sz w:val="20"/>
                <w:szCs w:val="20"/>
              </w:rPr>
              <w:t>0</w:t>
            </w:r>
          </w:p>
        </w:tc>
        <w:tc>
          <w:tcPr>
            <w:tcW w:w="111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0" w:type="dxa"/>
            </w:tcMar>
            <w:hideMark/>
          </w:tcPr>
          <w:p w14:paraId="5D8C845B" w14:textId="77777777" w:rsidR="00C6561B" w:rsidRPr="00D77970" w:rsidRDefault="00C6561B">
            <w:pPr>
              <w:jc w:val="center"/>
              <w:rPr>
                <w:rFonts w:ascii="Arial" w:eastAsia="Calibri" w:hAnsi="Arial" w:cs="Arial"/>
                <w:sz w:val="20"/>
                <w:szCs w:val="20"/>
              </w:rPr>
            </w:pPr>
            <w:r w:rsidRPr="00D77970">
              <w:rPr>
                <w:rFonts w:ascii="Arial" w:eastAsia="Calibri" w:hAnsi="Arial" w:cs="Arial"/>
                <w:sz w:val="20"/>
                <w:szCs w:val="20"/>
              </w:rPr>
              <w:t>0,00</w:t>
            </w:r>
          </w:p>
        </w:tc>
      </w:tr>
    </w:tbl>
    <w:p w14:paraId="10B005B4" w14:textId="77777777" w:rsidR="00C6561B" w:rsidRDefault="00C6561B" w:rsidP="00C6561B">
      <w:pPr>
        <w:rPr>
          <w:rFonts w:eastAsiaTheme="minorHAnsi" w:cstheme="minorBidi"/>
          <w:szCs w:val="22"/>
          <w:lang w:eastAsia="en-US"/>
        </w:rPr>
      </w:pPr>
    </w:p>
    <w:tbl>
      <w:tblPr>
        <w:tblW w:w="8760" w:type="dxa"/>
        <w:tblInd w:w="19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1010"/>
        <w:gridCol w:w="3220"/>
        <w:gridCol w:w="1800"/>
        <w:gridCol w:w="1620"/>
        <w:gridCol w:w="1110"/>
      </w:tblGrid>
      <w:tr w:rsidR="00C6561B" w:rsidRPr="00D77970" w14:paraId="600BAC91" w14:textId="77777777" w:rsidTr="00C6561B">
        <w:tc>
          <w:tcPr>
            <w:tcW w:w="1010" w:type="dxa"/>
            <w:tcBorders>
              <w:top w:val="single" w:sz="4" w:space="0" w:color="000001"/>
              <w:left w:val="single" w:sz="4" w:space="0" w:color="000001"/>
              <w:bottom w:val="single" w:sz="4" w:space="0" w:color="000001"/>
              <w:right w:val="single" w:sz="4" w:space="0" w:color="000001"/>
            </w:tcBorders>
            <w:hideMark/>
          </w:tcPr>
          <w:p w14:paraId="4BD77506" w14:textId="77777777" w:rsidR="00C6561B" w:rsidRPr="00D77970" w:rsidRDefault="00C6561B">
            <w:pPr>
              <w:rPr>
                <w:rFonts w:ascii="Arial" w:eastAsia="Calibri" w:hAnsi="Arial" w:cs="Arial"/>
                <w:sz w:val="20"/>
                <w:szCs w:val="20"/>
              </w:rPr>
            </w:pPr>
            <w:r w:rsidRPr="00D77970">
              <w:rPr>
                <w:rFonts w:ascii="Arial" w:eastAsia="Arial" w:hAnsi="Arial" w:cs="Arial"/>
                <w:b/>
                <w:sz w:val="20"/>
                <w:szCs w:val="20"/>
              </w:rPr>
              <w:t>3</w:t>
            </w:r>
          </w:p>
        </w:tc>
        <w:tc>
          <w:tcPr>
            <w:tcW w:w="3220" w:type="dxa"/>
            <w:tcBorders>
              <w:top w:val="single" w:sz="4" w:space="0" w:color="000001"/>
              <w:left w:val="single" w:sz="4" w:space="0" w:color="000001"/>
              <w:bottom w:val="single" w:sz="4" w:space="0" w:color="000001"/>
              <w:right w:val="single" w:sz="4" w:space="0" w:color="000001"/>
            </w:tcBorders>
            <w:hideMark/>
          </w:tcPr>
          <w:p w14:paraId="23B14E95" w14:textId="77777777" w:rsidR="00C6561B" w:rsidRPr="00D77970" w:rsidRDefault="00C6561B">
            <w:pPr>
              <w:rPr>
                <w:rFonts w:ascii="Arial" w:eastAsia="Calibri" w:hAnsi="Arial" w:cs="Arial"/>
                <w:sz w:val="20"/>
                <w:szCs w:val="20"/>
              </w:rPr>
            </w:pPr>
            <w:r w:rsidRPr="00D77970">
              <w:rPr>
                <w:rFonts w:ascii="Arial" w:eastAsia="Arial" w:hAnsi="Arial" w:cs="Arial"/>
                <w:b/>
                <w:sz w:val="20"/>
                <w:szCs w:val="20"/>
              </w:rPr>
              <w:t>RASHODI POSLOVANJA</w:t>
            </w:r>
          </w:p>
        </w:tc>
        <w:tc>
          <w:tcPr>
            <w:tcW w:w="1800" w:type="dxa"/>
            <w:tcBorders>
              <w:top w:val="single" w:sz="4" w:space="0" w:color="000001"/>
              <w:left w:val="single" w:sz="4" w:space="0" w:color="000001"/>
              <w:bottom w:val="single" w:sz="4" w:space="0" w:color="000001"/>
              <w:right w:val="single" w:sz="4" w:space="0" w:color="000001"/>
            </w:tcBorders>
            <w:hideMark/>
          </w:tcPr>
          <w:p w14:paraId="64207714" w14:textId="77777777" w:rsidR="00C6561B" w:rsidRPr="00D77970" w:rsidRDefault="00C6561B">
            <w:pPr>
              <w:jc w:val="center"/>
              <w:rPr>
                <w:rFonts w:ascii="Arial" w:eastAsiaTheme="minorHAnsi" w:hAnsi="Arial" w:cs="Arial"/>
                <w:b/>
                <w:bCs/>
                <w:sz w:val="20"/>
                <w:szCs w:val="20"/>
              </w:rPr>
            </w:pPr>
            <w:r w:rsidRPr="00D77970">
              <w:rPr>
                <w:rFonts w:ascii="Arial" w:hAnsi="Arial" w:cs="Arial"/>
                <w:b/>
                <w:bCs/>
                <w:sz w:val="20"/>
                <w:szCs w:val="20"/>
              </w:rPr>
              <w:t>512.864,00</w:t>
            </w:r>
          </w:p>
        </w:tc>
        <w:tc>
          <w:tcPr>
            <w:tcW w:w="1620" w:type="dxa"/>
            <w:tcBorders>
              <w:top w:val="single" w:sz="4" w:space="0" w:color="000001"/>
              <w:left w:val="single" w:sz="4" w:space="0" w:color="000001"/>
              <w:bottom w:val="single" w:sz="4" w:space="0" w:color="000001"/>
              <w:right w:val="single" w:sz="4" w:space="0" w:color="000001"/>
            </w:tcBorders>
            <w:hideMark/>
          </w:tcPr>
          <w:p w14:paraId="4C852902" w14:textId="77777777" w:rsidR="00C6561B" w:rsidRPr="00D77970" w:rsidRDefault="00C6561B">
            <w:pPr>
              <w:jc w:val="center"/>
              <w:rPr>
                <w:rFonts w:ascii="Arial" w:eastAsia="Calibri" w:hAnsi="Arial" w:cs="Arial"/>
                <w:b/>
                <w:bCs/>
                <w:sz w:val="20"/>
                <w:szCs w:val="20"/>
              </w:rPr>
            </w:pPr>
            <w:r w:rsidRPr="00D77970">
              <w:rPr>
                <w:rFonts w:ascii="Arial" w:eastAsia="Calibri" w:hAnsi="Arial" w:cs="Arial"/>
                <w:b/>
                <w:bCs/>
                <w:sz w:val="20"/>
                <w:szCs w:val="20"/>
              </w:rPr>
              <w:t>564.209,00</w:t>
            </w:r>
          </w:p>
        </w:tc>
        <w:tc>
          <w:tcPr>
            <w:tcW w:w="111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0" w:type="dxa"/>
            </w:tcMar>
            <w:hideMark/>
          </w:tcPr>
          <w:p w14:paraId="2B831D66" w14:textId="77777777" w:rsidR="00C6561B" w:rsidRPr="00D77970" w:rsidRDefault="00C6561B">
            <w:pPr>
              <w:jc w:val="center"/>
              <w:rPr>
                <w:rFonts w:ascii="Arial" w:eastAsiaTheme="minorHAnsi" w:hAnsi="Arial" w:cs="Arial"/>
                <w:b/>
                <w:bCs/>
                <w:sz w:val="20"/>
                <w:szCs w:val="20"/>
              </w:rPr>
            </w:pPr>
            <w:r w:rsidRPr="00D77970">
              <w:rPr>
                <w:rFonts w:ascii="Arial" w:hAnsi="Arial" w:cs="Arial"/>
                <w:b/>
                <w:bCs/>
                <w:sz w:val="20"/>
                <w:szCs w:val="20"/>
              </w:rPr>
              <w:t>110,01</w:t>
            </w:r>
          </w:p>
        </w:tc>
      </w:tr>
      <w:tr w:rsidR="00C6561B" w:rsidRPr="00D77970" w14:paraId="149B0CE5" w14:textId="77777777" w:rsidTr="00C6561B">
        <w:trPr>
          <w:trHeight w:val="336"/>
        </w:trPr>
        <w:tc>
          <w:tcPr>
            <w:tcW w:w="1010" w:type="dxa"/>
            <w:tcBorders>
              <w:top w:val="single" w:sz="4" w:space="0" w:color="000001"/>
              <w:left w:val="single" w:sz="4" w:space="0" w:color="000001"/>
              <w:bottom w:val="single" w:sz="4" w:space="0" w:color="000001"/>
              <w:right w:val="single" w:sz="4" w:space="0" w:color="000001"/>
            </w:tcBorders>
            <w:hideMark/>
          </w:tcPr>
          <w:p w14:paraId="3AE820B3" w14:textId="77777777" w:rsidR="00C6561B" w:rsidRPr="00D77970" w:rsidRDefault="00C6561B">
            <w:pPr>
              <w:rPr>
                <w:rFonts w:ascii="Arial" w:eastAsia="Calibri" w:hAnsi="Arial" w:cs="Arial"/>
                <w:bCs/>
                <w:sz w:val="20"/>
                <w:szCs w:val="20"/>
              </w:rPr>
            </w:pPr>
            <w:r w:rsidRPr="00D77970">
              <w:rPr>
                <w:rFonts w:ascii="Arial" w:eastAsia="Arial" w:hAnsi="Arial" w:cs="Arial"/>
                <w:bCs/>
                <w:sz w:val="20"/>
                <w:szCs w:val="20"/>
              </w:rPr>
              <w:t>31</w:t>
            </w:r>
          </w:p>
        </w:tc>
        <w:tc>
          <w:tcPr>
            <w:tcW w:w="3220" w:type="dxa"/>
            <w:tcBorders>
              <w:top w:val="single" w:sz="4" w:space="0" w:color="000001"/>
              <w:left w:val="single" w:sz="4" w:space="0" w:color="000001"/>
              <w:bottom w:val="single" w:sz="4" w:space="0" w:color="000001"/>
              <w:right w:val="single" w:sz="4" w:space="0" w:color="000001"/>
            </w:tcBorders>
            <w:hideMark/>
          </w:tcPr>
          <w:p w14:paraId="763B4DB0" w14:textId="77777777" w:rsidR="00C6561B" w:rsidRPr="00D77970" w:rsidRDefault="00C6561B">
            <w:pPr>
              <w:rPr>
                <w:rFonts w:ascii="Arial" w:eastAsia="Calibri" w:hAnsi="Arial" w:cs="Arial"/>
                <w:bCs/>
                <w:sz w:val="20"/>
                <w:szCs w:val="20"/>
              </w:rPr>
            </w:pPr>
            <w:r w:rsidRPr="00D77970">
              <w:rPr>
                <w:rFonts w:ascii="Arial" w:eastAsia="Arial" w:hAnsi="Arial" w:cs="Arial"/>
                <w:bCs/>
                <w:sz w:val="20"/>
                <w:szCs w:val="20"/>
              </w:rPr>
              <w:t>RASHODI ZA ZAPOSLENE</w:t>
            </w:r>
          </w:p>
        </w:tc>
        <w:tc>
          <w:tcPr>
            <w:tcW w:w="1800" w:type="dxa"/>
            <w:tcBorders>
              <w:top w:val="single" w:sz="4" w:space="0" w:color="000001"/>
              <w:left w:val="single" w:sz="4" w:space="0" w:color="000001"/>
              <w:bottom w:val="single" w:sz="4" w:space="0" w:color="000001"/>
              <w:right w:val="single" w:sz="4" w:space="0" w:color="000001"/>
            </w:tcBorders>
            <w:hideMark/>
          </w:tcPr>
          <w:p w14:paraId="5C2050E5" w14:textId="77777777" w:rsidR="00C6561B" w:rsidRPr="00D77970" w:rsidRDefault="00C6561B">
            <w:pPr>
              <w:jc w:val="center"/>
              <w:rPr>
                <w:rFonts w:ascii="Arial" w:eastAsiaTheme="minorHAnsi" w:hAnsi="Arial" w:cs="Arial"/>
                <w:sz w:val="20"/>
                <w:szCs w:val="20"/>
              </w:rPr>
            </w:pPr>
            <w:r w:rsidRPr="00D77970">
              <w:rPr>
                <w:rFonts w:ascii="Arial" w:hAnsi="Arial" w:cs="Arial"/>
                <w:sz w:val="20"/>
                <w:szCs w:val="20"/>
              </w:rPr>
              <w:t>309.475,00</w:t>
            </w:r>
          </w:p>
        </w:tc>
        <w:tc>
          <w:tcPr>
            <w:tcW w:w="1620" w:type="dxa"/>
            <w:tcBorders>
              <w:top w:val="single" w:sz="4" w:space="0" w:color="000001"/>
              <w:left w:val="single" w:sz="4" w:space="0" w:color="000001"/>
              <w:bottom w:val="single" w:sz="4" w:space="0" w:color="000001"/>
              <w:right w:val="single" w:sz="4" w:space="0" w:color="000001"/>
            </w:tcBorders>
            <w:hideMark/>
          </w:tcPr>
          <w:p w14:paraId="5ECC5A0D" w14:textId="77777777" w:rsidR="00C6561B" w:rsidRPr="00D77970" w:rsidRDefault="00C6561B">
            <w:pPr>
              <w:jc w:val="center"/>
              <w:rPr>
                <w:rFonts w:ascii="Arial" w:eastAsia="Arial" w:hAnsi="Arial" w:cs="Arial"/>
                <w:bCs/>
                <w:sz w:val="20"/>
                <w:szCs w:val="20"/>
              </w:rPr>
            </w:pPr>
            <w:bookmarkStart w:id="52" w:name="_Hlk203128337"/>
            <w:r w:rsidRPr="00D77970">
              <w:rPr>
                <w:rFonts w:ascii="Arial" w:eastAsia="Arial" w:hAnsi="Arial" w:cs="Arial"/>
                <w:bCs/>
                <w:sz w:val="20"/>
                <w:szCs w:val="20"/>
              </w:rPr>
              <w:t>302.525,00</w:t>
            </w:r>
            <w:bookmarkEnd w:id="52"/>
          </w:p>
        </w:tc>
        <w:tc>
          <w:tcPr>
            <w:tcW w:w="111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0" w:type="dxa"/>
            </w:tcMar>
            <w:hideMark/>
          </w:tcPr>
          <w:p w14:paraId="60A77E09" w14:textId="77777777" w:rsidR="00C6561B" w:rsidRPr="00D77970" w:rsidRDefault="00C6561B">
            <w:pPr>
              <w:jc w:val="center"/>
              <w:rPr>
                <w:rFonts w:ascii="Arial" w:eastAsiaTheme="minorHAnsi" w:hAnsi="Arial" w:cs="Arial"/>
                <w:sz w:val="20"/>
                <w:szCs w:val="20"/>
              </w:rPr>
            </w:pPr>
            <w:r w:rsidRPr="00D77970">
              <w:rPr>
                <w:rFonts w:ascii="Arial" w:hAnsi="Arial" w:cs="Arial"/>
                <w:sz w:val="20"/>
                <w:szCs w:val="20"/>
              </w:rPr>
              <w:t>97,75</w:t>
            </w:r>
          </w:p>
        </w:tc>
      </w:tr>
      <w:tr w:rsidR="00C6561B" w:rsidRPr="00D77970" w14:paraId="424E44E8" w14:textId="77777777" w:rsidTr="00C6561B">
        <w:trPr>
          <w:trHeight w:val="1"/>
        </w:trPr>
        <w:tc>
          <w:tcPr>
            <w:tcW w:w="1010" w:type="dxa"/>
            <w:tcBorders>
              <w:top w:val="single" w:sz="4" w:space="0" w:color="000001"/>
              <w:left w:val="single" w:sz="4" w:space="0" w:color="000001"/>
              <w:bottom w:val="single" w:sz="4" w:space="0" w:color="000001"/>
              <w:right w:val="single" w:sz="4" w:space="0" w:color="000001"/>
            </w:tcBorders>
            <w:hideMark/>
          </w:tcPr>
          <w:p w14:paraId="1B4A56B4" w14:textId="77777777" w:rsidR="00C6561B" w:rsidRPr="00D77970" w:rsidRDefault="00C6561B">
            <w:pPr>
              <w:rPr>
                <w:rFonts w:ascii="Arial" w:eastAsia="Calibri" w:hAnsi="Arial" w:cs="Arial"/>
                <w:bCs/>
                <w:sz w:val="20"/>
                <w:szCs w:val="20"/>
              </w:rPr>
            </w:pPr>
            <w:r w:rsidRPr="00D77970">
              <w:rPr>
                <w:rFonts w:ascii="Arial" w:eastAsia="Arial" w:hAnsi="Arial" w:cs="Arial"/>
                <w:bCs/>
                <w:sz w:val="20"/>
                <w:szCs w:val="20"/>
              </w:rPr>
              <w:t>32</w:t>
            </w:r>
          </w:p>
        </w:tc>
        <w:tc>
          <w:tcPr>
            <w:tcW w:w="3220" w:type="dxa"/>
            <w:tcBorders>
              <w:top w:val="single" w:sz="4" w:space="0" w:color="000001"/>
              <w:left w:val="single" w:sz="4" w:space="0" w:color="000001"/>
              <w:bottom w:val="single" w:sz="4" w:space="0" w:color="000001"/>
              <w:right w:val="single" w:sz="4" w:space="0" w:color="000001"/>
            </w:tcBorders>
            <w:hideMark/>
          </w:tcPr>
          <w:p w14:paraId="0DED02FF" w14:textId="77777777" w:rsidR="00C6561B" w:rsidRPr="00D77970" w:rsidRDefault="00C6561B">
            <w:pPr>
              <w:rPr>
                <w:rFonts w:ascii="Arial" w:eastAsia="Calibri" w:hAnsi="Arial" w:cs="Arial"/>
                <w:bCs/>
                <w:sz w:val="20"/>
                <w:szCs w:val="20"/>
              </w:rPr>
            </w:pPr>
            <w:r w:rsidRPr="00D77970">
              <w:rPr>
                <w:rFonts w:ascii="Arial" w:eastAsia="Arial" w:hAnsi="Arial" w:cs="Arial"/>
                <w:bCs/>
                <w:sz w:val="20"/>
                <w:szCs w:val="20"/>
              </w:rPr>
              <w:t>MATERIJALNI RASHODI</w:t>
            </w:r>
          </w:p>
        </w:tc>
        <w:tc>
          <w:tcPr>
            <w:tcW w:w="1800" w:type="dxa"/>
            <w:tcBorders>
              <w:top w:val="single" w:sz="4" w:space="0" w:color="000001"/>
              <w:left w:val="single" w:sz="4" w:space="0" w:color="000001"/>
              <w:bottom w:val="single" w:sz="4" w:space="0" w:color="000001"/>
              <w:right w:val="single" w:sz="4" w:space="0" w:color="000001"/>
            </w:tcBorders>
            <w:hideMark/>
          </w:tcPr>
          <w:p w14:paraId="5898AEAD" w14:textId="77777777" w:rsidR="00C6561B" w:rsidRPr="00D77970" w:rsidRDefault="00C6561B">
            <w:pPr>
              <w:jc w:val="center"/>
              <w:rPr>
                <w:rFonts w:ascii="Arial" w:eastAsiaTheme="minorHAnsi" w:hAnsi="Arial" w:cs="Arial"/>
                <w:sz w:val="20"/>
                <w:szCs w:val="20"/>
              </w:rPr>
            </w:pPr>
            <w:r w:rsidRPr="00D77970">
              <w:rPr>
                <w:rFonts w:ascii="Arial" w:hAnsi="Arial" w:cs="Arial"/>
                <w:sz w:val="20"/>
                <w:szCs w:val="20"/>
              </w:rPr>
              <w:t>202.919,00</w:t>
            </w:r>
          </w:p>
        </w:tc>
        <w:tc>
          <w:tcPr>
            <w:tcW w:w="1620" w:type="dxa"/>
            <w:tcBorders>
              <w:top w:val="single" w:sz="4" w:space="0" w:color="000001"/>
              <w:left w:val="single" w:sz="4" w:space="0" w:color="000001"/>
              <w:bottom w:val="single" w:sz="4" w:space="0" w:color="000001"/>
              <w:right w:val="single" w:sz="4" w:space="0" w:color="000001"/>
            </w:tcBorders>
            <w:hideMark/>
          </w:tcPr>
          <w:p w14:paraId="74720BF8" w14:textId="77777777" w:rsidR="00C6561B" w:rsidRPr="00D77970" w:rsidRDefault="00C6561B">
            <w:pPr>
              <w:jc w:val="center"/>
              <w:rPr>
                <w:rFonts w:ascii="Arial" w:eastAsia="Arial" w:hAnsi="Arial" w:cs="Arial"/>
                <w:bCs/>
                <w:sz w:val="20"/>
                <w:szCs w:val="20"/>
                <w:highlight w:val="yellow"/>
              </w:rPr>
            </w:pPr>
            <w:r w:rsidRPr="00D77970">
              <w:rPr>
                <w:rFonts w:ascii="Arial" w:eastAsia="Arial" w:hAnsi="Arial" w:cs="Arial"/>
                <w:bCs/>
                <w:sz w:val="20"/>
                <w:szCs w:val="20"/>
              </w:rPr>
              <w:t>261.134,00</w:t>
            </w:r>
          </w:p>
        </w:tc>
        <w:tc>
          <w:tcPr>
            <w:tcW w:w="111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0" w:type="dxa"/>
            </w:tcMar>
            <w:hideMark/>
          </w:tcPr>
          <w:p w14:paraId="5642233A" w14:textId="77777777" w:rsidR="00C6561B" w:rsidRPr="00D77970" w:rsidRDefault="00C6561B">
            <w:pPr>
              <w:jc w:val="center"/>
              <w:rPr>
                <w:rFonts w:ascii="Arial" w:eastAsiaTheme="minorHAnsi" w:hAnsi="Arial" w:cs="Arial"/>
                <w:sz w:val="20"/>
                <w:szCs w:val="20"/>
                <w:highlight w:val="yellow"/>
              </w:rPr>
            </w:pPr>
            <w:r w:rsidRPr="00D77970">
              <w:rPr>
                <w:rFonts w:ascii="Arial" w:hAnsi="Arial" w:cs="Arial"/>
                <w:sz w:val="20"/>
                <w:szCs w:val="20"/>
              </w:rPr>
              <w:t>128,69</w:t>
            </w:r>
          </w:p>
        </w:tc>
      </w:tr>
      <w:tr w:rsidR="00C6561B" w:rsidRPr="00D77970" w14:paraId="604FCE2D" w14:textId="77777777" w:rsidTr="00C6561B">
        <w:trPr>
          <w:trHeight w:val="1"/>
        </w:trPr>
        <w:tc>
          <w:tcPr>
            <w:tcW w:w="1010" w:type="dxa"/>
            <w:tcBorders>
              <w:top w:val="single" w:sz="4" w:space="0" w:color="000001"/>
              <w:left w:val="single" w:sz="4" w:space="0" w:color="000001"/>
              <w:bottom w:val="single" w:sz="4" w:space="0" w:color="000001"/>
              <w:right w:val="single" w:sz="4" w:space="0" w:color="000001"/>
            </w:tcBorders>
            <w:hideMark/>
          </w:tcPr>
          <w:p w14:paraId="4FB65425" w14:textId="77777777" w:rsidR="00C6561B" w:rsidRPr="00D77970" w:rsidRDefault="00C6561B">
            <w:pPr>
              <w:rPr>
                <w:rFonts w:ascii="Arial" w:eastAsia="Calibri" w:hAnsi="Arial" w:cs="Arial"/>
                <w:bCs/>
                <w:sz w:val="20"/>
                <w:szCs w:val="20"/>
              </w:rPr>
            </w:pPr>
            <w:r w:rsidRPr="00D77970">
              <w:rPr>
                <w:rFonts w:ascii="Arial" w:eastAsia="Arial" w:hAnsi="Arial" w:cs="Arial"/>
                <w:bCs/>
                <w:sz w:val="20"/>
                <w:szCs w:val="20"/>
              </w:rPr>
              <w:t>34</w:t>
            </w:r>
          </w:p>
        </w:tc>
        <w:tc>
          <w:tcPr>
            <w:tcW w:w="3220" w:type="dxa"/>
            <w:tcBorders>
              <w:top w:val="single" w:sz="4" w:space="0" w:color="000001"/>
              <w:left w:val="single" w:sz="4" w:space="0" w:color="000001"/>
              <w:bottom w:val="single" w:sz="4" w:space="0" w:color="000001"/>
              <w:right w:val="single" w:sz="4" w:space="0" w:color="000001"/>
            </w:tcBorders>
            <w:hideMark/>
          </w:tcPr>
          <w:p w14:paraId="20C6DD72" w14:textId="77777777" w:rsidR="00C6561B" w:rsidRPr="00D77970" w:rsidRDefault="00C6561B">
            <w:pPr>
              <w:rPr>
                <w:rFonts w:ascii="Arial" w:eastAsia="Calibri" w:hAnsi="Arial" w:cs="Arial"/>
                <w:bCs/>
                <w:sz w:val="20"/>
                <w:szCs w:val="20"/>
              </w:rPr>
            </w:pPr>
            <w:r w:rsidRPr="00D77970">
              <w:rPr>
                <w:rFonts w:ascii="Arial" w:eastAsia="Arial" w:hAnsi="Arial" w:cs="Arial"/>
                <w:bCs/>
                <w:sz w:val="20"/>
                <w:szCs w:val="20"/>
              </w:rPr>
              <w:t>FINANCIJSKI RASHODI</w:t>
            </w:r>
          </w:p>
        </w:tc>
        <w:tc>
          <w:tcPr>
            <w:tcW w:w="1800" w:type="dxa"/>
            <w:tcBorders>
              <w:top w:val="single" w:sz="4" w:space="0" w:color="000001"/>
              <w:left w:val="single" w:sz="4" w:space="0" w:color="000001"/>
              <w:bottom w:val="single" w:sz="4" w:space="0" w:color="000001"/>
              <w:right w:val="single" w:sz="4" w:space="0" w:color="000001"/>
            </w:tcBorders>
            <w:hideMark/>
          </w:tcPr>
          <w:p w14:paraId="082A1544" w14:textId="77777777" w:rsidR="00C6561B" w:rsidRPr="00D77970" w:rsidRDefault="00C6561B">
            <w:pPr>
              <w:jc w:val="center"/>
              <w:rPr>
                <w:rFonts w:ascii="Arial" w:eastAsiaTheme="minorHAnsi" w:hAnsi="Arial" w:cs="Arial"/>
                <w:sz w:val="20"/>
                <w:szCs w:val="20"/>
              </w:rPr>
            </w:pPr>
            <w:r w:rsidRPr="00D77970">
              <w:rPr>
                <w:rFonts w:ascii="Arial" w:hAnsi="Arial" w:cs="Arial"/>
                <w:sz w:val="20"/>
                <w:szCs w:val="20"/>
              </w:rPr>
              <w:t>470,00</w:t>
            </w:r>
          </w:p>
        </w:tc>
        <w:tc>
          <w:tcPr>
            <w:tcW w:w="1620" w:type="dxa"/>
            <w:tcBorders>
              <w:top w:val="single" w:sz="4" w:space="0" w:color="000001"/>
              <w:left w:val="single" w:sz="4" w:space="0" w:color="000001"/>
              <w:bottom w:val="single" w:sz="4" w:space="0" w:color="000001"/>
              <w:right w:val="single" w:sz="4" w:space="0" w:color="000001"/>
            </w:tcBorders>
            <w:hideMark/>
          </w:tcPr>
          <w:p w14:paraId="517E83AE" w14:textId="77777777" w:rsidR="00C6561B" w:rsidRPr="00D77970" w:rsidRDefault="00C6561B">
            <w:pPr>
              <w:jc w:val="center"/>
              <w:rPr>
                <w:rFonts w:ascii="Arial" w:eastAsia="Calibri" w:hAnsi="Arial" w:cs="Arial"/>
                <w:sz w:val="20"/>
                <w:szCs w:val="20"/>
              </w:rPr>
            </w:pPr>
            <w:r w:rsidRPr="00D77970">
              <w:rPr>
                <w:rFonts w:ascii="Arial" w:eastAsia="Calibri" w:hAnsi="Arial" w:cs="Arial"/>
                <w:sz w:val="20"/>
                <w:szCs w:val="20"/>
              </w:rPr>
              <w:t>470,00</w:t>
            </w:r>
          </w:p>
        </w:tc>
        <w:tc>
          <w:tcPr>
            <w:tcW w:w="111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0" w:type="dxa"/>
            </w:tcMar>
            <w:hideMark/>
          </w:tcPr>
          <w:p w14:paraId="7D8E89F7" w14:textId="77777777" w:rsidR="00C6561B" w:rsidRPr="00D77970" w:rsidRDefault="00C6561B">
            <w:pPr>
              <w:jc w:val="center"/>
              <w:rPr>
                <w:rFonts w:ascii="Arial" w:eastAsia="Calibri" w:hAnsi="Arial" w:cs="Arial"/>
                <w:sz w:val="20"/>
                <w:szCs w:val="20"/>
              </w:rPr>
            </w:pPr>
            <w:r w:rsidRPr="00D77970">
              <w:rPr>
                <w:rFonts w:ascii="Arial" w:eastAsia="Calibri" w:hAnsi="Arial" w:cs="Arial"/>
                <w:sz w:val="20"/>
                <w:szCs w:val="20"/>
              </w:rPr>
              <w:t>100,00</w:t>
            </w:r>
          </w:p>
        </w:tc>
      </w:tr>
      <w:tr w:rsidR="00C6561B" w:rsidRPr="00D77970" w14:paraId="2F1DA54E" w14:textId="77777777" w:rsidTr="00C6561B">
        <w:trPr>
          <w:trHeight w:val="1"/>
        </w:trPr>
        <w:tc>
          <w:tcPr>
            <w:tcW w:w="1010" w:type="dxa"/>
            <w:tcBorders>
              <w:top w:val="single" w:sz="4" w:space="0" w:color="000001"/>
              <w:left w:val="single" w:sz="4" w:space="0" w:color="000001"/>
              <w:bottom w:val="single" w:sz="4" w:space="0" w:color="000001"/>
              <w:right w:val="single" w:sz="4" w:space="0" w:color="000001"/>
            </w:tcBorders>
            <w:hideMark/>
          </w:tcPr>
          <w:p w14:paraId="70A58184" w14:textId="77777777" w:rsidR="00C6561B" w:rsidRPr="00D77970" w:rsidRDefault="00C6561B">
            <w:pPr>
              <w:rPr>
                <w:rFonts w:ascii="Arial" w:eastAsia="Calibri" w:hAnsi="Arial" w:cs="Arial"/>
                <w:bCs/>
                <w:sz w:val="20"/>
                <w:szCs w:val="20"/>
              </w:rPr>
            </w:pPr>
            <w:r w:rsidRPr="00D77970">
              <w:rPr>
                <w:rFonts w:ascii="Arial" w:eastAsia="Arial" w:hAnsi="Arial" w:cs="Arial"/>
                <w:bCs/>
                <w:sz w:val="20"/>
                <w:szCs w:val="20"/>
              </w:rPr>
              <w:t>38</w:t>
            </w:r>
          </w:p>
        </w:tc>
        <w:tc>
          <w:tcPr>
            <w:tcW w:w="3220" w:type="dxa"/>
            <w:tcBorders>
              <w:top w:val="single" w:sz="4" w:space="0" w:color="000001"/>
              <w:left w:val="single" w:sz="4" w:space="0" w:color="000001"/>
              <w:bottom w:val="single" w:sz="4" w:space="0" w:color="000001"/>
              <w:right w:val="single" w:sz="4" w:space="0" w:color="000001"/>
            </w:tcBorders>
            <w:hideMark/>
          </w:tcPr>
          <w:p w14:paraId="186697BF" w14:textId="77777777" w:rsidR="00C6561B" w:rsidRPr="00D77970" w:rsidRDefault="00C6561B">
            <w:pPr>
              <w:rPr>
                <w:rFonts w:ascii="Arial" w:eastAsia="Calibri" w:hAnsi="Arial" w:cs="Arial"/>
                <w:bCs/>
                <w:sz w:val="20"/>
                <w:szCs w:val="20"/>
              </w:rPr>
            </w:pPr>
            <w:r w:rsidRPr="00D77970">
              <w:rPr>
                <w:rFonts w:ascii="Arial" w:eastAsia="Arial" w:hAnsi="Arial" w:cs="Arial"/>
                <w:bCs/>
                <w:sz w:val="20"/>
                <w:szCs w:val="20"/>
              </w:rPr>
              <w:t>OSTALI RASHODI</w:t>
            </w:r>
          </w:p>
        </w:tc>
        <w:tc>
          <w:tcPr>
            <w:tcW w:w="1800" w:type="dxa"/>
            <w:tcBorders>
              <w:top w:val="single" w:sz="4" w:space="0" w:color="000001"/>
              <w:left w:val="single" w:sz="4" w:space="0" w:color="000001"/>
              <w:bottom w:val="single" w:sz="4" w:space="0" w:color="000001"/>
              <w:right w:val="single" w:sz="4" w:space="0" w:color="000001"/>
            </w:tcBorders>
            <w:hideMark/>
          </w:tcPr>
          <w:p w14:paraId="32D8385B" w14:textId="77777777" w:rsidR="00C6561B" w:rsidRPr="00D77970" w:rsidRDefault="00C6561B">
            <w:pPr>
              <w:jc w:val="center"/>
              <w:rPr>
                <w:rFonts w:ascii="Arial" w:eastAsiaTheme="minorHAnsi" w:hAnsi="Arial" w:cs="Arial"/>
                <w:sz w:val="20"/>
                <w:szCs w:val="20"/>
              </w:rPr>
            </w:pPr>
            <w:r w:rsidRPr="00D77970">
              <w:rPr>
                <w:rFonts w:ascii="Arial" w:hAnsi="Arial" w:cs="Arial"/>
                <w:sz w:val="20"/>
                <w:szCs w:val="20"/>
              </w:rPr>
              <w:t>0,00</w:t>
            </w:r>
          </w:p>
        </w:tc>
        <w:tc>
          <w:tcPr>
            <w:tcW w:w="1620" w:type="dxa"/>
            <w:tcBorders>
              <w:top w:val="single" w:sz="4" w:space="0" w:color="000001"/>
              <w:left w:val="single" w:sz="4" w:space="0" w:color="000001"/>
              <w:bottom w:val="single" w:sz="4" w:space="0" w:color="000001"/>
              <w:right w:val="single" w:sz="4" w:space="0" w:color="000001"/>
            </w:tcBorders>
            <w:hideMark/>
          </w:tcPr>
          <w:p w14:paraId="2BF6B6DA" w14:textId="77777777" w:rsidR="00C6561B" w:rsidRPr="00D77970" w:rsidRDefault="00C6561B">
            <w:pPr>
              <w:jc w:val="center"/>
              <w:rPr>
                <w:rFonts w:ascii="Arial" w:eastAsia="Calibri" w:hAnsi="Arial" w:cs="Arial"/>
                <w:sz w:val="20"/>
                <w:szCs w:val="20"/>
              </w:rPr>
            </w:pPr>
            <w:r w:rsidRPr="00D77970">
              <w:rPr>
                <w:rFonts w:ascii="Arial" w:eastAsia="Calibri" w:hAnsi="Arial" w:cs="Arial"/>
                <w:sz w:val="20"/>
                <w:szCs w:val="20"/>
              </w:rPr>
              <w:t>80,00</w:t>
            </w:r>
          </w:p>
        </w:tc>
        <w:tc>
          <w:tcPr>
            <w:tcW w:w="111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0" w:type="dxa"/>
            </w:tcMar>
            <w:hideMark/>
          </w:tcPr>
          <w:p w14:paraId="32D1A116" w14:textId="77777777" w:rsidR="00C6561B" w:rsidRPr="00D77970" w:rsidRDefault="00C6561B">
            <w:pPr>
              <w:jc w:val="center"/>
              <w:rPr>
                <w:rFonts w:ascii="Arial" w:eastAsia="Calibri" w:hAnsi="Arial" w:cs="Arial"/>
                <w:sz w:val="20"/>
                <w:szCs w:val="20"/>
              </w:rPr>
            </w:pPr>
            <w:r w:rsidRPr="00D77970">
              <w:rPr>
                <w:rFonts w:ascii="Arial" w:eastAsia="Calibri" w:hAnsi="Arial" w:cs="Arial"/>
                <w:sz w:val="20"/>
                <w:szCs w:val="20"/>
              </w:rPr>
              <w:t>-</w:t>
            </w:r>
          </w:p>
        </w:tc>
      </w:tr>
      <w:tr w:rsidR="00C6561B" w:rsidRPr="00D77970" w14:paraId="0C5AC426" w14:textId="77777777" w:rsidTr="00C6561B">
        <w:trPr>
          <w:trHeight w:val="1"/>
        </w:trPr>
        <w:tc>
          <w:tcPr>
            <w:tcW w:w="1010" w:type="dxa"/>
            <w:tcBorders>
              <w:top w:val="single" w:sz="4" w:space="0" w:color="000001"/>
              <w:left w:val="single" w:sz="4" w:space="0" w:color="000001"/>
              <w:bottom w:val="single" w:sz="4" w:space="0" w:color="000001"/>
              <w:right w:val="single" w:sz="4" w:space="0" w:color="000001"/>
            </w:tcBorders>
            <w:hideMark/>
          </w:tcPr>
          <w:p w14:paraId="1F5B72C9" w14:textId="77777777" w:rsidR="00C6561B" w:rsidRPr="00D77970" w:rsidRDefault="00C6561B">
            <w:pPr>
              <w:rPr>
                <w:rFonts w:ascii="Arial" w:eastAsia="Calibri" w:hAnsi="Arial" w:cs="Arial"/>
                <w:sz w:val="20"/>
                <w:szCs w:val="20"/>
              </w:rPr>
            </w:pPr>
            <w:r w:rsidRPr="00D77970">
              <w:rPr>
                <w:rFonts w:ascii="Arial" w:eastAsia="Arial" w:hAnsi="Arial" w:cs="Arial"/>
                <w:b/>
                <w:sz w:val="20"/>
                <w:szCs w:val="20"/>
              </w:rPr>
              <w:t>4</w:t>
            </w:r>
          </w:p>
        </w:tc>
        <w:tc>
          <w:tcPr>
            <w:tcW w:w="3220" w:type="dxa"/>
            <w:tcBorders>
              <w:top w:val="single" w:sz="4" w:space="0" w:color="000001"/>
              <w:left w:val="single" w:sz="4" w:space="0" w:color="000001"/>
              <w:bottom w:val="single" w:sz="4" w:space="0" w:color="000001"/>
              <w:right w:val="single" w:sz="4" w:space="0" w:color="000001"/>
            </w:tcBorders>
            <w:hideMark/>
          </w:tcPr>
          <w:p w14:paraId="124F4D82" w14:textId="77777777" w:rsidR="00C6561B" w:rsidRPr="00D77970" w:rsidRDefault="00C6561B">
            <w:pPr>
              <w:rPr>
                <w:rFonts w:ascii="Arial" w:eastAsia="Calibri" w:hAnsi="Arial" w:cs="Arial"/>
                <w:sz w:val="20"/>
                <w:szCs w:val="20"/>
              </w:rPr>
            </w:pPr>
            <w:r w:rsidRPr="00D77970">
              <w:rPr>
                <w:rFonts w:ascii="Arial" w:eastAsia="Arial" w:hAnsi="Arial" w:cs="Arial"/>
                <w:b/>
                <w:sz w:val="20"/>
                <w:szCs w:val="20"/>
              </w:rPr>
              <w:t>RASHODI ZA NABAVU NEFINANCIJSKE IMOVINE</w:t>
            </w:r>
          </w:p>
        </w:tc>
        <w:tc>
          <w:tcPr>
            <w:tcW w:w="1800" w:type="dxa"/>
            <w:tcBorders>
              <w:top w:val="single" w:sz="4" w:space="0" w:color="000001"/>
              <w:left w:val="single" w:sz="4" w:space="0" w:color="000001"/>
              <w:bottom w:val="single" w:sz="4" w:space="0" w:color="000001"/>
              <w:right w:val="single" w:sz="4" w:space="0" w:color="000001"/>
            </w:tcBorders>
            <w:hideMark/>
          </w:tcPr>
          <w:p w14:paraId="075D2875" w14:textId="77777777" w:rsidR="00C6561B" w:rsidRPr="00D77970" w:rsidRDefault="00C6561B">
            <w:pPr>
              <w:jc w:val="center"/>
              <w:rPr>
                <w:rFonts w:ascii="Arial" w:eastAsiaTheme="minorHAnsi" w:hAnsi="Arial" w:cs="Arial"/>
                <w:b/>
                <w:bCs/>
                <w:sz w:val="20"/>
                <w:szCs w:val="20"/>
              </w:rPr>
            </w:pPr>
            <w:r w:rsidRPr="00D77970">
              <w:rPr>
                <w:rFonts w:ascii="Arial" w:hAnsi="Arial" w:cs="Arial"/>
                <w:b/>
                <w:bCs/>
                <w:sz w:val="20"/>
                <w:szCs w:val="20"/>
              </w:rPr>
              <w:t>11.530,00</w:t>
            </w:r>
          </w:p>
        </w:tc>
        <w:tc>
          <w:tcPr>
            <w:tcW w:w="1620" w:type="dxa"/>
            <w:tcBorders>
              <w:top w:val="single" w:sz="4" w:space="0" w:color="000001"/>
              <w:left w:val="single" w:sz="4" w:space="0" w:color="000001"/>
              <w:bottom w:val="single" w:sz="4" w:space="0" w:color="000001"/>
              <w:right w:val="single" w:sz="4" w:space="0" w:color="000001"/>
            </w:tcBorders>
            <w:hideMark/>
          </w:tcPr>
          <w:p w14:paraId="1BE5B4C6" w14:textId="77777777" w:rsidR="00C6561B" w:rsidRPr="00D77970" w:rsidRDefault="00C6561B">
            <w:pPr>
              <w:jc w:val="center"/>
              <w:rPr>
                <w:rFonts w:ascii="Arial" w:eastAsia="Calibri" w:hAnsi="Arial" w:cs="Arial"/>
                <w:b/>
                <w:bCs/>
                <w:sz w:val="20"/>
                <w:szCs w:val="20"/>
              </w:rPr>
            </w:pPr>
            <w:bookmarkStart w:id="53" w:name="_Hlk150858978"/>
            <w:bookmarkEnd w:id="53"/>
            <w:r w:rsidRPr="00D77970">
              <w:rPr>
                <w:rFonts w:ascii="Arial" w:eastAsia="Calibri" w:hAnsi="Arial" w:cs="Arial"/>
                <w:b/>
                <w:bCs/>
                <w:sz w:val="20"/>
                <w:szCs w:val="20"/>
              </w:rPr>
              <w:t>37.173,00</w:t>
            </w:r>
          </w:p>
        </w:tc>
        <w:tc>
          <w:tcPr>
            <w:tcW w:w="111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0" w:type="dxa"/>
            </w:tcMar>
            <w:hideMark/>
          </w:tcPr>
          <w:p w14:paraId="5654C01C" w14:textId="77777777" w:rsidR="00C6561B" w:rsidRPr="00D77970" w:rsidRDefault="00C6561B">
            <w:pPr>
              <w:jc w:val="center"/>
              <w:rPr>
                <w:rFonts w:ascii="Arial" w:eastAsiaTheme="minorHAnsi" w:hAnsi="Arial" w:cs="Arial"/>
                <w:b/>
                <w:bCs/>
                <w:sz w:val="20"/>
                <w:szCs w:val="20"/>
              </w:rPr>
            </w:pPr>
            <w:r w:rsidRPr="00D77970">
              <w:rPr>
                <w:rFonts w:ascii="Arial" w:hAnsi="Arial" w:cs="Arial"/>
                <w:b/>
                <w:bCs/>
                <w:sz w:val="20"/>
                <w:szCs w:val="20"/>
              </w:rPr>
              <w:t>322,40</w:t>
            </w:r>
          </w:p>
        </w:tc>
      </w:tr>
      <w:tr w:rsidR="00C6561B" w:rsidRPr="00D77970" w14:paraId="0C855411" w14:textId="77777777" w:rsidTr="00C6561B">
        <w:trPr>
          <w:trHeight w:val="1"/>
        </w:trPr>
        <w:tc>
          <w:tcPr>
            <w:tcW w:w="1010" w:type="dxa"/>
            <w:tcBorders>
              <w:top w:val="single" w:sz="4" w:space="0" w:color="000001"/>
              <w:left w:val="single" w:sz="4" w:space="0" w:color="000001"/>
              <w:bottom w:val="single" w:sz="4" w:space="0" w:color="000001"/>
              <w:right w:val="single" w:sz="4" w:space="0" w:color="000001"/>
            </w:tcBorders>
            <w:hideMark/>
          </w:tcPr>
          <w:p w14:paraId="11238E58" w14:textId="77777777" w:rsidR="00C6561B" w:rsidRPr="00D77970" w:rsidRDefault="00C6561B">
            <w:pPr>
              <w:rPr>
                <w:rFonts w:ascii="Arial" w:eastAsia="Calibri" w:hAnsi="Arial" w:cs="Arial"/>
                <w:bCs/>
                <w:sz w:val="20"/>
                <w:szCs w:val="20"/>
              </w:rPr>
            </w:pPr>
            <w:r w:rsidRPr="00D77970">
              <w:rPr>
                <w:rFonts w:ascii="Arial" w:eastAsia="Arial" w:hAnsi="Arial" w:cs="Arial"/>
                <w:bCs/>
                <w:sz w:val="20"/>
                <w:szCs w:val="20"/>
              </w:rPr>
              <w:lastRenderedPageBreak/>
              <w:t>42</w:t>
            </w:r>
          </w:p>
        </w:tc>
        <w:tc>
          <w:tcPr>
            <w:tcW w:w="3220" w:type="dxa"/>
            <w:tcBorders>
              <w:top w:val="single" w:sz="4" w:space="0" w:color="000001"/>
              <w:left w:val="single" w:sz="4" w:space="0" w:color="000001"/>
              <w:bottom w:val="single" w:sz="4" w:space="0" w:color="000001"/>
              <w:right w:val="single" w:sz="4" w:space="0" w:color="000001"/>
            </w:tcBorders>
            <w:hideMark/>
          </w:tcPr>
          <w:p w14:paraId="1C1883B6" w14:textId="77777777" w:rsidR="00C6561B" w:rsidRPr="00D77970" w:rsidRDefault="00C6561B">
            <w:pPr>
              <w:rPr>
                <w:rFonts w:ascii="Arial" w:eastAsia="Calibri" w:hAnsi="Arial" w:cs="Arial"/>
                <w:bCs/>
                <w:sz w:val="20"/>
                <w:szCs w:val="20"/>
              </w:rPr>
            </w:pPr>
            <w:r w:rsidRPr="00D77970">
              <w:rPr>
                <w:rFonts w:ascii="Arial" w:eastAsia="Arial" w:hAnsi="Arial" w:cs="Arial"/>
                <w:bCs/>
                <w:sz w:val="20"/>
                <w:szCs w:val="20"/>
              </w:rPr>
              <w:t>RASHODI ZA NABAVU PROIZVEDENE DUGOTRAJNE IMOVINE</w:t>
            </w:r>
          </w:p>
        </w:tc>
        <w:tc>
          <w:tcPr>
            <w:tcW w:w="1800" w:type="dxa"/>
            <w:tcBorders>
              <w:top w:val="single" w:sz="4" w:space="0" w:color="000001"/>
              <w:left w:val="single" w:sz="4" w:space="0" w:color="000001"/>
              <w:bottom w:val="single" w:sz="4" w:space="0" w:color="000001"/>
              <w:right w:val="single" w:sz="4" w:space="0" w:color="000001"/>
            </w:tcBorders>
            <w:hideMark/>
          </w:tcPr>
          <w:p w14:paraId="7381AA5E" w14:textId="77777777" w:rsidR="00C6561B" w:rsidRPr="00D77970" w:rsidRDefault="00C6561B">
            <w:pPr>
              <w:jc w:val="center"/>
              <w:rPr>
                <w:rFonts w:ascii="Arial" w:eastAsiaTheme="minorHAnsi" w:hAnsi="Arial" w:cs="Arial"/>
                <w:sz w:val="20"/>
                <w:szCs w:val="20"/>
              </w:rPr>
            </w:pPr>
            <w:r w:rsidRPr="00D77970">
              <w:rPr>
                <w:rFonts w:ascii="Arial" w:hAnsi="Arial" w:cs="Arial"/>
                <w:sz w:val="20"/>
                <w:szCs w:val="20"/>
              </w:rPr>
              <w:t>10.030,00</w:t>
            </w:r>
          </w:p>
        </w:tc>
        <w:tc>
          <w:tcPr>
            <w:tcW w:w="1620" w:type="dxa"/>
            <w:tcBorders>
              <w:top w:val="single" w:sz="4" w:space="0" w:color="000001"/>
              <w:left w:val="single" w:sz="4" w:space="0" w:color="000001"/>
              <w:bottom w:val="single" w:sz="4" w:space="0" w:color="000001"/>
              <w:right w:val="single" w:sz="4" w:space="0" w:color="000001"/>
            </w:tcBorders>
            <w:hideMark/>
          </w:tcPr>
          <w:p w14:paraId="5071BC67" w14:textId="77777777" w:rsidR="00C6561B" w:rsidRPr="00D77970" w:rsidRDefault="00C6561B">
            <w:pPr>
              <w:jc w:val="center"/>
              <w:rPr>
                <w:rFonts w:ascii="Arial" w:eastAsia="Calibri" w:hAnsi="Arial" w:cs="Arial"/>
                <w:sz w:val="20"/>
                <w:szCs w:val="20"/>
              </w:rPr>
            </w:pPr>
            <w:r w:rsidRPr="00D77970">
              <w:rPr>
                <w:rFonts w:ascii="Arial" w:eastAsia="Calibri" w:hAnsi="Arial" w:cs="Arial"/>
                <w:sz w:val="20"/>
                <w:szCs w:val="20"/>
              </w:rPr>
              <w:t>35.673,00</w:t>
            </w:r>
          </w:p>
        </w:tc>
        <w:tc>
          <w:tcPr>
            <w:tcW w:w="111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0" w:type="dxa"/>
            </w:tcMar>
            <w:hideMark/>
          </w:tcPr>
          <w:p w14:paraId="365596C2" w14:textId="77777777" w:rsidR="00C6561B" w:rsidRPr="00D77970" w:rsidRDefault="00C6561B">
            <w:pPr>
              <w:jc w:val="center"/>
              <w:rPr>
                <w:rFonts w:ascii="Arial" w:eastAsiaTheme="minorHAnsi" w:hAnsi="Arial" w:cs="Arial"/>
                <w:sz w:val="20"/>
                <w:szCs w:val="20"/>
              </w:rPr>
            </w:pPr>
            <w:r w:rsidRPr="00D77970">
              <w:rPr>
                <w:rFonts w:ascii="Arial" w:hAnsi="Arial" w:cs="Arial"/>
                <w:sz w:val="20"/>
                <w:szCs w:val="20"/>
              </w:rPr>
              <w:t>322,40</w:t>
            </w:r>
          </w:p>
        </w:tc>
      </w:tr>
      <w:tr w:rsidR="00C6561B" w:rsidRPr="00D77970" w14:paraId="483E4C48" w14:textId="77777777" w:rsidTr="00C6561B">
        <w:trPr>
          <w:trHeight w:val="1"/>
        </w:trPr>
        <w:tc>
          <w:tcPr>
            <w:tcW w:w="1010" w:type="dxa"/>
            <w:tcBorders>
              <w:top w:val="single" w:sz="4" w:space="0" w:color="000001"/>
              <w:left w:val="single" w:sz="4" w:space="0" w:color="000001"/>
              <w:bottom w:val="single" w:sz="4" w:space="0" w:color="000001"/>
              <w:right w:val="single" w:sz="4" w:space="0" w:color="000001"/>
            </w:tcBorders>
            <w:hideMark/>
          </w:tcPr>
          <w:p w14:paraId="71F6BD81" w14:textId="77777777" w:rsidR="00C6561B" w:rsidRPr="00D77970" w:rsidRDefault="00C6561B">
            <w:pPr>
              <w:rPr>
                <w:rFonts w:ascii="Arial" w:eastAsia="Calibri" w:hAnsi="Arial" w:cs="Arial"/>
                <w:bCs/>
                <w:sz w:val="20"/>
                <w:szCs w:val="20"/>
              </w:rPr>
            </w:pPr>
            <w:r w:rsidRPr="00D77970">
              <w:rPr>
                <w:rFonts w:ascii="Arial" w:eastAsia="Arial" w:hAnsi="Arial" w:cs="Arial"/>
                <w:bCs/>
                <w:sz w:val="20"/>
                <w:szCs w:val="20"/>
              </w:rPr>
              <w:t>45</w:t>
            </w:r>
          </w:p>
        </w:tc>
        <w:tc>
          <w:tcPr>
            <w:tcW w:w="3220" w:type="dxa"/>
            <w:tcBorders>
              <w:top w:val="single" w:sz="4" w:space="0" w:color="000001"/>
              <w:left w:val="single" w:sz="4" w:space="0" w:color="000001"/>
              <w:bottom w:val="single" w:sz="4" w:space="0" w:color="000001"/>
              <w:right w:val="single" w:sz="4" w:space="0" w:color="000001"/>
            </w:tcBorders>
            <w:hideMark/>
          </w:tcPr>
          <w:p w14:paraId="21D0F9F2" w14:textId="77777777" w:rsidR="00C6561B" w:rsidRPr="00D77970" w:rsidRDefault="00C6561B">
            <w:pPr>
              <w:rPr>
                <w:rFonts w:ascii="Arial" w:eastAsia="Calibri" w:hAnsi="Arial" w:cs="Arial"/>
                <w:bCs/>
                <w:sz w:val="20"/>
                <w:szCs w:val="20"/>
              </w:rPr>
            </w:pPr>
            <w:r w:rsidRPr="00D77970">
              <w:rPr>
                <w:rFonts w:ascii="Arial" w:eastAsia="Arial" w:hAnsi="Arial" w:cs="Arial"/>
                <w:bCs/>
                <w:sz w:val="20"/>
                <w:szCs w:val="20"/>
              </w:rPr>
              <w:t>RASHODI ZA DODATNA ULAGANJA NA NEFINANCIJSKOJ IMOVINI</w:t>
            </w:r>
          </w:p>
        </w:tc>
        <w:tc>
          <w:tcPr>
            <w:tcW w:w="1800" w:type="dxa"/>
            <w:tcBorders>
              <w:top w:val="single" w:sz="4" w:space="0" w:color="000001"/>
              <w:left w:val="single" w:sz="4" w:space="0" w:color="000001"/>
              <w:bottom w:val="single" w:sz="4" w:space="0" w:color="000001"/>
              <w:right w:val="single" w:sz="4" w:space="0" w:color="000001"/>
            </w:tcBorders>
            <w:hideMark/>
          </w:tcPr>
          <w:p w14:paraId="69118AF5" w14:textId="77777777" w:rsidR="00C6561B" w:rsidRPr="00D77970" w:rsidRDefault="00C6561B">
            <w:pPr>
              <w:jc w:val="center"/>
              <w:rPr>
                <w:rFonts w:ascii="Arial" w:eastAsiaTheme="minorHAnsi" w:hAnsi="Arial" w:cs="Arial"/>
                <w:sz w:val="20"/>
                <w:szCs w:val="20"/>
              </w:rPr>
            </w:pPr>
            <w:r w:rsidRPr="00D77970">
              <w:rPr>
                <w:rFonts w:ascii="Arial" w:hAnsi="Arial" w:cs="Arial"/>
                <w:sz w:val="20"/>
                <w:szCs w:val="20"/>
              </w:rPr>
              <w:t>1.500,00</w:t>
            </w:r>
          </w:p>
        </w:tc>
        <w:tc>
          <w:tcPr>
            <w:tcW w:w="1620" w:type="dxa"/>
            <w:tcBorders>
              <w:top w:val="single" w:sz="4" w:space="0" w:color="000001"/>
              <w:left w:val="single" w:sz="4" w:space="0" w:color="000001"/>
              <w:bottom w:val="single" w:sz="4" w:space="0" w:color="000001"/>
              <w:right w:val="single" w:sz="4" w:space="0" w:color="000001"/>
            </w:tcBorders>
            <w:hideMark/>
          </w:tcPr>
          <w:p w14:paraId="610CD53C" w14:textId="77777777" w:rsidR="00C6561B" w:rsidRPr="00D77970" w:rsidRDefault="00C6561B">
            <w:pPr>
              <w:jc w:val="center"/>
              <w:rPr>
                <w:rFonts w:ascii="Arial" w:eastAsia="Calibri" w:hAnsi="Arial" w:cs="Arial"/>
                <w:sz w:val="20"/>
                <w:szCs w:val="20"/>
              </w:rPr>
            </w:pPr>
            <w:r w:rsidRPr="00D77970">
              <w:rPr>
                <w:rFonts w:ascii="Arial" w:eastAsia="Calibri" w:hAnsi="Arial" w:cs="Arial"/>
                <w:sz w:val="20"/>
                <w:szCs w:val="20"/>
              </w:rPr>
              <w:t>1.500,00</w:t>
            </w:r>
          </w:p>
        </w:tc>
        <w:tc>
          <w:tcPr>
            <w:tcW w:w="111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0" w:type="dxa"/>
            </w:tcMar>
            <w:hideMark/>
          </w:tcPr>
          <w:p w14:paraId="445D3EC8" w14:textId="77777777" w:rsidR="00C6561B" w:rsidRPr="00D77970" w:rsidRDefault="00C6561B">
            <w:pPr>
              <w:jc w:val="center"/>
              <w:rPr>
                <w:rFonts w:ascii="Arial" w:eastAsia="Calibri" w:hAnsi="Arial" w:cs="Arial"/>
                <w:sz w:val="20"/>
                <w:szCs w:val="20"/>
              </w:rPr>
            </w:pPr>
            <w:r w:rsidRPr="00D77970">
              <w:rPr>
                <w:rFonts w:ascii="Arial" w:eastAsia="Calibri" w:hAnsi="Arial" w:cs="Arial"/>
                <w:sz w:val="20"/>
                <w:szCs w:val="20"/>
              </w:rPr>
              <w:t>100,00</w:t>
            </w:r>
          </w:p>
        </w:tc>
      </w:tr>
      <w:tr w:rsidR="00C6561B" w:rsidRPr="00D77970" w14:paraId="31958379" w14:textId="77777777" w:rsidTr="00C6561B">
        <w:trPr>
          <w:trHeight w:val="1"/>
        </w:trPr>
        <w:tc>
          <w:tcPr>
            <w:tcW w:w="1010" w:type="dxa"/>
            <w:tcBorders>
              <w:top w:val="single" w:sz="4" w:space="0" w:color="000001"/>
              <w:left w:val="single" w:sz="4" w:space="0" w:color="000001"/>
              <w:bottom w:val="single" w:sz="4" w:space="0" w:color="000001"/>
              <w:right w:val="single" w:sz="4" w:space="0" w:color="000001"/>
            </w:tcBorders>
          </w:tcPr>
          <w:p w14:paraId="190146E4" w14:textId="77777777" w:rsidR="00C6561B" w:rsidRPr="00D77970" w:rsidRDefault="00C6561B">
            <w:pPr>
              <w:rPr>
                <w:rFonts w:ascii="Arial" w:eastAsia="Arial" w:hAnsi="Arial" w:cs="Arial"/>
                <w:bCs/>
                <w:sz w:val="20"/>
                <w:szCs w:val="20"/>
              </w:rPr>
            </w:pPr>
          </w:p>
        </w:tc>
        <w:tc>
          <w:tcPr>
            <w:tcW w:w="3220" w:type="dxa"/>
            <w:tcBorders>
              <w:top w:val="single" w:sz="4" w:space="0" w:color="000001"/>
              <w:left w:val="single" w:sz="4" w:space="0" w:color="000001"/>
              <w:bottom w:val="single" w:sz="4" w:space="0" w:color="000001"/>
              <w:right w:val="single" w:sz="4" w:space="0" w:color="000001"/>
            </w:tcBorders>
            <w:hideMark/>
          </w:tcPr>
          <w:p w14:paraId="61095F69" w14:textId="77777777" w:rsidR="00C6561B" w:rsidRPr="00D77970" w:rsidRDefault="00C6561B">
            <w:pPr>
              <w:rPr>
                <w:rFonts w:ascii="Arial" w:eastAsia="Arial" w:hAnsi="Arial" w:cs="Arial"/>
                <w:b/>
                <w:sz w:val="20"/>
                <w:szCs w:val="20"/>
              </w:rPr>
            </w:pPr>
            <w:r w:rsidRPr="00D77970">
              <w:rPr>
                <w:rFonts w:ascii="Arial" w:eastAsia="Arial" w:hAnsi="Arial" w:cs="Arial"/>
                <w:b/>
                <w:sz w:val="20"/>
                <w:szCs w:val="20"/>
              </w:rPr>
              <w:t>SVEUKUPNI RASHODI</w:t>
            </w:r>
          </w:p>
        </w:tc>
        <w:tc>
          <w:tcPr>
            <w:tcW w:w="1800" w:type="dxa"/>
            <w:tcBorders>
              <w:top w:val="single" w:sz="4" w:space="0" w:color="000001"/>
              <w:left w:val="single" w:sz="4" w:space="0" w:color="000001"/>
              <w:bottom w:val="single" w:sz="4" w:space="0" w:color="000001"/>
              <w:right w:val="single" w:sz="4" w:space="0" w:color="000001"/>
            </w:tcBorders>
            <w:hideMark/>
          </w:tcPr>
          <w:p w14:paraId="3F9E1D08" w14:textId="77777777" w:rsidR="00C6561B" w:rsidRPr="00D77970" w:rsidRDefault="00C6561B">
            <w:pPr>
              <w:jc w:val="center"/>
              <w:rPr>
                <w:rFonts w:ascii="Arial" w:eastAsiaTheme="minorHAnsi" w:hAnsi="Arial" w:cs="Arial"/>
                <w:b/>
                <w:sz w:val="20"/>
                <w:szCs w:val="20"/>
              </w:rPr>
            </w:pPr>
            <w:r w:rsidRPr="00D77970">
              <w:rPr>
                <w:rFonts w:ascii="Arial" w:hAnsi="Arial" w:cs="Arial"/>
                <w:b/>
                <w:sz w:val="20"/>
                <w:szCs w:val="20"/>
              </w:rPr>
              <w:t>524.394,00</w:t>
            </w:r>
          </w:p>
        </w:tc>
        <w:tc>
          <w:tcPr>
            <w:tcW w:w="1620" w:type="dxa"/>
            <w:tcBorders>
              <w:top w:val="single" w:sz="4" w:space="0" w:color="000001"/>
              <w:left w:val="single" w:sz="4" w:space="0" w:color="000001"/>
              <w:bottom w:val="single" w:sz="4" w:space="0" w:color="000001"/>
              <w:right w:val="single" w:sz="4" w:space="0" w:color="000001"/>
            </w:tcBorders>
            <w:hideMark/>
          </w:tcPr>
          <w:p w14:paraId="2FCC863D" w14:textId="77777777" w:rsidR="00C6561B" w:rsidRPr="00D77970" w:rsidRDefault="00C6561B">
            <w:pPr>
              <w:jc w:val="center"/>
              <w:rPr>
                <w:rFonts w:ascii="Arial" w:eastAsia="Calibri" w:hAnsi="Arial" w:cs="Arial"/>
                <w:b/>
                <w:sz w:val="20"/>
                <w:szCs w:val="20"/>
              </w:rPr>
            </w:pPr>
            <w:r w:rsidRPr="00D77970">
              <w:rPr>
                <w:rFonts w:ascii="Arial" w:eastAsia="Calibri" w:hAnsi="Arial" w:cs="Arial"/>
                <w:b/>
                <w:sz w:val="20"/>
                <w:szCs w:val="20"/>
              </w:rPr>
              <w:t>601.382,00</w:t>
            </w:r>
          </w:p>
        </w:tc>
        <w:tc>
          <w:tcPr>
            <w:tcW w:w="111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0" w:type="dxa"/>
            </w:tcMar>
            <w:hideMark/>
          </w:tcPr>
          <w:p w14:paraId="54468CD4" w14:textId="77777777" w:rsidR="00C6561B" w:rsidRPr="00D77970" w:rsidRDefault="00C6561B">
            <w:pPr>
              <w:jc w:val="center"/>
              <w:rPr>
                <w:rFonts w:ascii="Arial" w:eastAsia="Calibri" w:hAnsi="Arial" w:cs="Arial"/>
                <w:b/>
                <w:sz w:val="20"/>
                <w:szCs w:val="20"/>
              </w:rPr>
            </w:pPr>
            <w:r w:rsidRPr="00D77970">
              <w:rPr>
                <w:rFonts w:ascii="Arial" w:eastAsia="Calibri" w:hAnsi="Arial" w:cs="Arial"/>
                <w:b/>
                <w:sz w:val="20"/>
                <w:szCs w:val="20"/>
              </w:rPr>
              <w:t>114,68</w:t>
            </w:r>
          </w:p>
        </w:tc>
      </w:tr>
      <w:tr w:rsidR="00C6561B" w:rsidRPr="00D77970" w14:paraId="19574966" w14:textId="77777777" w:rsidTr="00C6561B">
        <w:trPr>
          <w:trHeight w:val="1"/>
        </w:trPr>
        <w:tc>
          <w:tcPr>
            <w:tcW w:w="1010" w:type="dxa"/>
            <w:tcBorders>
              <w:top w:val="single" w:sz="4" w:space="0" w:color="000001"/>
              <w:left w:val="single" w:sz="4" w:space="0" w:color="000001"/>
              <w:bottom w:val="single" w:sz="4" w:space="0" w:color="000001"/>
              <w:right w:val="single" w:sz="4" w:space="0" w:color="000001"/>
            </w:tcBorders>
            <w:hideMark/>
          </w:tcPr>
          <w:p w14:paraId="4FE1865B" w14:textId="77777777" w:rsidR="00C6561B" w:rsidRPr="00D77970" w:rsidRDefault="00C6561B">
            <w:pPr>
              <w:rPr>
                <w:rFonts w:ascii="Arial" w:eastAsia="Arial" w:hAnsi="Arial" w:cs="Arial"/>
                <w:b/>
                <w:bCs/>
                <w:sz w:val="20"/>
                <w:szCs w:val="20"/>
              </w:rPr>
            </w:pPr>
            <w:r w:rsidRPr="00D77970">
              <w:rPr>
                <w:rFonts w:ascii="Arial" w:eastAsia="Calibri" w:hAnsi="Arial" w:cs="Arial"/>
                <w:b/>
                <w:bCs/>
                <w:sz w:val="20"/>
                <w:szCs w:val="20"/>
              </w:rPr>
              <w:t>9</w:t>
            </w:r>
          </w:p>
        </w:tc>
        <w:tc>
          <w:tcPr>
            <w:tcW w:w="3220" w:type="dxa"/>
            <w:tcBorders>
              <w:top w:val="single" w:sz="4" w:space="0" w:color="000001"/>
              <w:left w:val="single" w:sz="4" w:space="0" w:color="000001"/>
              <w:bottom w:val="single" w:sz="4" w:space="0" w:color="000001"/>
              <w:right w:val="single" w:sz="4" w:space="0" w:color="000001"/>
            </w:tcBorders>
            <w:hideMark/>
          </w:tcPr>
          <w:p w14:paraId="19EC4341" w14:textId="77777777" w:rsidR="00C6561B" w:rsidRPr="00D77970" w:rsidRDefault="00C6561B">
            <w:pPr>
              <w:rPr>
                <w:rFonts w:ascii="Arial" w:eastAsia="Arial" w:hAnsi="Arial" w:cs="Arial"/>
                <w:b/>
                <w:bCs/>
                <w:sz w:val="20"/>
                <w:szCs w:val="20"/>
              </w:rPr>
            </w:pPr>
            <w:r w:rsidRPr="00D77970">
              <w:rPr>
                <w:rFonts w:ascii="Arial" w:eastAsia="Arial" w:hAnsi="Arial" w:cs="Arial"/>
                <w:b/>
                <w:bCs/>
                <w:sz w:val="20"/>
                <w:szCs w:val="20"/>
              </w:rPr>
              <w:t>REZULTAT POSLOVANJA:</w:t>
            </w:r>
          </w:p>
        </w:tc>
        <w:tc>
          <w:tcPr>
            <w:tcW w:w="1800" w:type="dxa"/>
            <w:tcBorders>
              <w:top w:val="single" w:sz="4" w:space="0" w:color="000001"/>
              <w:left w:val="single" w:sz="4" w:space="0" w:color="000001"/>
              <w:bottom w:val="single" w:sz="4" w:space="0" w:color="000001"/>
              <w:right w:val="single" w:sz="4" w:space="0" w:color="000001"/>
            </w:tcBorders>
            <w:hideMark/>
          </w:tcPr>
          <w:p w14:paraId="17DCC133" w14:textId="77777777" w:rsidR="00C6561B" w:rsidRPr="00D77970" w:rsidRDefault="00C6561B">
            <w:pPr>
              <w:jc w:val="center"/>
              <w:rPr>
                <w:rFonts w:ascii="Arial" w:eastAsia="Calibri" w:hAnsi="Arial" w:cs="Arial"/>
                <w:b/>
                <w:bCs/>
                <w:sz w:val="20"/>
                <w:szCs w:val="20"/>
              </w:rPr>
            </w:pPr>
            <w:r w:rsidRPr="00D77970">
              <w:rPr>
                <w:rFonts w:ascii="Arial" w:eastAsia="Calibri" w:hAnsi="Arial" w:cs="Arial"/>
                <w:b/>
                <w:bCs/>
                <w:sz w:val="20"/>
                <w:szCs w:val="20"/>
              </w:rPr>
              <w:t>32.158,00</w:t>
            </w:r>
          </w:p>
        </w:tc>
        <w:tc>
          <w:tcPr>
            <w:tcW w:w="1620" w:type="dxa"/>
            <w:tcBorders>
              <w:top w:val="single" w:sz="4" w:space="0" w:color="000001"/>
              <w:left w:val="single" w:sz="4" w:space="0" w:color="000001"/>
              <w:bottom w:val="single" w:sz="4" w:space="0" w:color="000001"/>
              <w:right w:val="single" w:sz="4" w:space="0" w:color="000001"/>
            </w:tcBorders>
            <w:hideMark/>
          </w:tcPr>
          <w:p w14:paraId="0AEC77EE" w14:textId="77777777" w:rsidR="00C6561B" w:rsidRPr="00D77970" w:rsidRDefault="00C6561B">
            <w:pPr>
              <w:jc w:val="center"/>
              <w:rPr>
                <w:rFonts w:ascii="Arial" w:eastAsia="Calibri" w:hAnsi="Arial" w:cs="Arial"/>
                <w:b/>
                <w:bCs/>
                <w:sz w:val="20"/>
                <w:szCs w:val="20"/>
              </w:rPr>
            </w:pPr>
            <w:r w:rsidRPr="00D77970">
              <w:rPr>
                <w:rFonts w:ascii="Arial" w:eastAsia="Calibri" w:hAnsi="Arial" w:cs="Arial"/>
                <w:b/>
                <w:bCs/>
                <w:sz w:val="20"/>
                <w:szCs w:val="20"/>
              </w:rPr>
              <w:t>32.158,00</w:t>
            </w:r>
          </w:p>
        </w:tc>
        <w:tc>
          <w:tcPr>
            <w:tcW w:w="111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0" w:type="dxa"/>
            </w:tcMar>
            <w:hideMark/>
          </w:tcPr>
          <w:p w14:paraId="2CC193FE" w14:textId="77777777" w:rsidR="00C6561B" w:rsidRPr="00D77970" w:rsidRDefault="00C6561B">
            <w:pPr>
              <w:jc w:val="center"/>
              <w:rPr>
                <w:rFonts w:ascii="Arial" w:eastAsia="Calibri" w:hAnsi="Arial" w:cs="Arial"/>
                <w:b/>
                <w:bCs/>
                <w:sz w:val="20"/>
                <w:szCs w:val="20"/>
              </w:rPr>
            </w:pPr>
            <w:r w:rsidRPr="00D77970">
              <w:rPr>
                <w:rFonts w:ascii="Arial" w:eastAsia="Calibri" w:hAnsi="Arial" w:cs="Arial"/>
                <w:b/>
                <w:bCs/>
                <w:sz w:val="20"/>
                <w:szCs w:val="20"/>
              </w:rPr>
              <w:t>100,00</w:t>
            </w:r>
          </w:p>
        </w:tc>
      </w:tr>
      <w:tr w:rsidR="00C6561B" w:rsidRPr="00D77970" w14:paraId="3F79E2DE" w14:textId="77777777" w:rsidTr="00C6561B">
        <w:trPr>
          <w:trHeight w:val="1"/>
        </w:trPr>
        <w:tc>
          <w:tcPr>
            <w:tcW w:w="1010" w:type="dxa"/>
            <w:tcBorders>
              <w:top w:val="single" w:sz="4" w:space="0" w:color="000001"/>
              <w:left w:val="single" w:sz="4" w:space="0" w:color="000001"/>
              <w:bottom w:val="single" w:sz="4" w:space="0" w:color="000001"/>
              <w:right w:val="single" w:sz="4" w:space="0" w:color="000001"/>
            </w:tcBorders>
            <w:hideMark/>
          </w:tcPr>
          <w:p w14:paraId="44A78487" w14:textId="77777777" w:rsidR="00C6561B" w:rsidRPr="00D77970" w:rsidRDefault="00C6561B">
            <w:pPr>
              <w:rPr>
                <w:rFonts w:ascii="Arial" w:eastAsia="Arial" w:hAnsi="Arial" w:cs="Arial"/>
                <w:bCs/>
                <w:sz w:val="20"/>
                <w:szCs w:val="20"/>
              </w:rPr>
            </w:pPr>
            <w:r w:rsidRPr="00D77970">
              <w:rPr>
                <w:rFonts w:ascii="Arial" w:eastAsia="Arial" w:hAnsi="Arial" w:cs="Arial"/>
                <w:bCs/>
                <w:sz w:val="20"/>
                <w:szCs w:val="20"/>
              </w:rPr>
              <w:t>92</w:t>
            </w:r>
          </w:p>
        </w:tc>
        <w:tc>
          <w:tcPr>
            <w:tcW w:w="3220" w:type="dxa"/>
            <w:tcBorders>
              <w:top w:val="single" w:sz="4" w:space="0" w:color="000001"/>
              <w:left w:val="single" w:sz="4" w:space="0" w:color="000001"/>
              <w:bottom w:val="single" w:sz="4" w:space="0" w:color="000001"/>
              <w:right w:val="single" w:sz="4" w:space="0" w:color="000001"/>
            </w:tcBorders>
            <w:hideMark/>
          </w:tcPr>
          <w:p w14:paraId="69940AE7" w14:textId="77777777" w:rsidR="00C6561B" w:rsidRPr="00D77970" w:rsidRDefault="00C6561B">
            <w:pPr>
              <w:rPr>
                <w:rFonts w:ascii="Arial" w:eastAsia="Arial" w:hAnsi="Arial" w:cs="Arial"/>
                <w:bCs/>
                <w:sz w:val="20"/>
                <w:szCs w:val="20"/>
              </w:rPr>
            </w:pPr>
            <w:r w:rsidRPr="00D77970">
              <w:rPr>
                <w:rFonts w:ascii="Arial" w:eastAsia="Arial" w:hAnsi="Arial" w:cs="Arial"/>
                <w:bCs/>
                <w:sz w:val="20"/>
                <w:szCs w:val="20"/>
              </w:rPr>
              <w:t>REZULTAT POSLOVANJA- MANJAK PRIHODA</w:t>
            </w:r>
          </w:p>
        </w:tc>
        <w:tc>
          <w:tcPr>
            <w:tcW w:w="1800" w:type="dxa"/>
            <w:tcBorders>
              <w:top w:val="single" w:sz="4" w:space="0" w:color="000001"/>
              <w:left w:val="single" w:sz="4" w:space="0" w:color="000001"/>
              <w:bottom w:val="single" w:sz="4" w:space="0" w:color="000001"/>
              <w:right w:val="single" w:sz="4" w:space="0" w:color="000001"/>
            </w:tcBorders>
          </w:tcPr>
          <w:p w14:paraId="6F733447" w14:textId="77777777" w:rsidR="00C6561B" w:rsidRPr="00D77970" w:rsidRDefault="00C6561B">
            <w:pPr>
              <w:jc w:val="center"/>
              <w:rPr>
                <w:rFonts w:ascii="Arial" w:eastAsia="Calibri" w:hAnsi="Arial" w:cs="Arial"/>
                <w:sz w:val="20"/>
                <w:szCs w:val="20"/>
              </w:rPr>
            </w:pPr>
          </w:p>
          <w:p w14:paraId="31A98B5E" w14:textId="77777777" w:rsidR="00C6561B" w:rsidRPr="00D77970" w:rsidRDefault="00C6561B">
            <w:pPr>
              <w:jc w:val="center"/>
              <w:rPr>
                <w:rFonts w:ascii="Arial" w:eastAsia="Calibri" w:hAnsi="Arial" w:cs="Arial"/>
                <w:sz w:val="20"/>
                <w:szCs w:val="20"/>
              </w:rPr>
            </w:pPr>
            <w:r w:rsidRPr="00D77970">
              <w:rPr>
                <w:rFonts w:ascii="Arial" w:eastAsia="Calibri" w:hAnsi="Arial" w:cs="Arial"/>
                <w:sz w:val="20"/>
                <w:szCs w:val="20"/>
              </w:rPr>
              <w:t>32.158,00</w:t>
            </w:r>
          </w:p>
        </w:tc>
        <w:tc>
          <w:tcPr>
            <w:tcW w:w="1620" w:type="dxa"/>
            <w:tcBorders>
              <w:top w:val="single" w:sz="4" w:space="0" w:color="000001"/>
              <w:left w:val="single" w:sz="4" w:space="0" w:color="000001"/>
              <w:bottom w:val="single" w:sz="4" w:space="0" w:color="000001"/>
              <w:right w:val="single" w:sz="4" w:space="0" w:color="000001"/>
            </w:tcBorders>
          </w:tcPr>
          <w:p w14:paraId="50546D7D" w14:textId="77777777" w:rsidR="00C6561B" w:rsidRPr="00D77970" w:rsidRDefault="00C6561B">
            <w:pPr>
              <w:jc w:val="center"/>
              <w:rPr>
                <w:rFonts w:ascii="Arial" w:eastAsia="Calibri" w:hAnsi="Arial" w:cs="Arial"/>
                <w:sz w:val="20"/>
                <w:szCs w:val="20"/>
              </w:rPr>
            </w:pPr>
          </w:p>
          <w:p w14:paraId="51F9342B" w14:textId="77777777" w:rsidR="00C6561B" w:rsidRPr="00D77970" w:rsidRDefault="00C6561B">
            <w:pPr>
              <w:jc w:val="center"/>
              <w:rPr>
                <w:rFonts w:ascii="Arial" w:eastAsia="Calibri" w:hAnsi="Arial" w:cs="Arial"/>
                <w:sz w:val="20"/>
                <w:szCs w:val="20"/>
              </w:rPr>
            </w:pPr>
            <w:r w:rsidRPr="00D77970">
              <w:rPr>
                <w:rFonts w:ascii="Arial" w:eastAsia="Calibri" w:hAnsi="Arial" w:cs="Arial"/>
                <w:sz w:val="20"/>
                <w:szCs w:val="20"/>
              </w:rPr>
              <w:t>32.158,00</w:t>
            </w:r>
          </w:p>
        </w:tc>
        <w:tc>
          <w:tcPr>
            <w:tcW w:w="111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0" w:type="dxa"/>
            </w:tcMar>
          </w:tcPr>
          <w:p w14:paraId="605334B4" w14:textId="77777777" w:rsidR="00C6561B" w:rsidRPr="00D77970" w:rsidRDefault="00C6561B">
            <w:pPr>
              <w:jc w:val="center"/>
              <w:rPr>
                <w:rFonts w:ascii="Arial" w:eastAsia="Calibri" w:hAnsi="Arial" w:cs="Arial"/>
                <w:sz w:val="20"/>
                <w:szCs w:val="20"/>
              </w:rPr>
            </w:pPr>
          </w:p>
          <w:p w14:paraId="7319CA7C" w14:textId="77777777" w:rsidR="00C6561B" w:rsidRPr="00D77970" w:rsidRDefault="00C6561B">
            <w:pPr>
              <w:jc w:val="center"/>
              <w:rPr>
                <w:rFonts w:ascii="Arial" w:eastAsia="Calibri" w:hAnsi="Arial" w:cs="Arial"/>
                <w:sz w:val="20"/>
                <w:szCs w:val="20"/>
              </w:rPr>
            </w:pPr>
            <w:r w:rsidRPr="00D77970">
              <w:rPr>
                <w:rFonts w:ascii="Arial" w:eastAsia="Calibri" w:hAnsi="Arial" w:cs="Arial"/>
                <w:sz w:val="20"/>
                <w:szCs w:val="20"/>
              </w:rPr>
              <w:t>100,00</w:t>
            </w:r>
          </w:p>
        </w:tc>
      </w:tr>
    </w:tbl>
    <w:p w14:paraId="4201472C" w14:textId="77777777" w:rsidR="00C6561B" w:rsidRDefault="00C6561B" w:rsidP="00C6561B">
      <w:pPr>
        <w:contextualSpacing/>
        <w:rPr>
          <w:rFonts w:ascii="Arial" w:eastAsia="Arial" w:hAnsi="Arial" w:cs="Arial"/>
          <w:b/>
          <w:sz w:val="28"/>
          <w:szCs w:val="28"/>
          <w:u w:val="single"/>
          <w:lang w:eastAsia="en-US"/>
        </w:rPr>
      </w:pPr>
    </w:p>
    <w:p w14:paraId="4DCB59CA" w14:textId="77777777" w:rsidR="00C526AC" w:rsidRDefault="00C526AC" w:rsidP="00D77970">
      <w:pPr>
        <w:spacing w:line="259" w:lineRule="auto"/>
        <w:contextualSpacing/>
        <w:jc w:val="both"/>
        <w:rPr>
          <w:rFonts w:ascii="Arial" w:eastAsia="Arial" w:hAnsi="Arial" w:cs="Arial"/>
          <w:b/>
          <w:sz w:val="22"/>
          <w:szCs w:val="22"/>
        </w:rPr>
      </w:pPr>
    </w:p>
    <w:p w14:paraId="13AA4297" w14:textId="2623FDC6" w:rsidR="00C6561B" w:rsidRPr="00D77970" w:rsidRDefault="00C6561B" w:rsidP="00D77970">
      <w:pPr>
        <w:spacing w:line="259" w:lineRule="auto"/>
        <w:contextualSpacing/>
        <w:jc w:val="both"/>
        <w:rPr>
          <w:rFonts w:ascii="Arial" w:eastAsia="Arial" w:hAnsi="Arial" w:cs="Arial"/>
          <w:b/>
          <w:sz w:val="22"/>
          <w:szCs w:val="22"/>
        </w:rPr>
      </w:pPr>
      <w:r w:rsidRPr="00D77970">
        <w:rPr>
          <w:rFonts w:ascii="Arial" w:eastAsia="Arial" w:hAnsi="Arial" w:cs="Arial"/>
          <w:b/>
          <w:sz w:val="22"/>
          <w:szCs w:val="22"/>
        </w:rPr>
        <w:t>OBRAZLOŽENJE PRIHODA I PRIMITAKA</w:t>
      </w:r>
    </w:p>
    <w:p w14:paraId="05C965CA" w14:textId="77777777" w:rsidR="00C6561B" w:rsidRPr="00D77970" w:rsidRDefault="00C6561B" w:rsidP="00D77970">
      <w:pPr>
        <w:spacing w:line="259" w:lineRule="auto"/>
        <w:contextualSpacing/>
        <w:jc w:val="both"/>
        <w:rPr>
          <w:rFonts w:ascii="Arial" w:eastAsia="Arial" w:hAnsi="Arial" w:cs="Arial"/>
          <w:b/>
          <w:bCs/>
          <w:sz w:val="22"/>
          <w:szCs w:val="22"/>
        </w:rPr>
      </w:pPr>
    </w:p>
    <w:p w14:paraId="1A529C13" w14:textId="77777777" w:rsidR="00C6561B" w:rsidRPr="00D77970" w:rsidRDefault="00C6561B" w:rsidP="00D77970">
      <w:pPr>
        <w:spacing w:line="259" w:lineRule="auto"/>
        <w:contextualSpacing/>
        <w:jc w:val="both"/>
        <w:rPr>
          <w:rFonts w:ascii="Arial" w:eastAsiaTheme="minorHAnsi" w:hAnsi="Arial" w:cs="Arial"/>
          <w:sz w:val="22"/>
          <w:szCs w:val="22"/>
        </w:rPr>
      </w:pPr>
      <w:r w:rsidRPr="00D77970">
        <w:rPr>
          <w:rFonts w:ascii="Arial" w:eastAsia="Arial" w:hAnsi="Arial" w:cs="Arial"/>
          <w:b/>
          <w:bCs/>
          <w:sz w:val="22"/>
          <w:szCs w:val="22"/>
        </w:rPr>
        <w:t>Prihodi  i primici</w:t>
      </w:r>
      <w:r w:rsidRPr="00D77970">
        <w:rPr>
          <w:rFonts w:ascii="Arial" w:eastAsia="Arial" w:hAnsi="Arial" w:cs="Arial"/>
          <w:sz w:val="22"/>
          <w:szCs w:val="22"/>
        </w:rPr>
        <w:t xml:space="preserve"> planirani su u visini od </w:t>
      </w:r>
      <w:r w:rsidRPr="00D77970">
        <w:rPr>
          <w:rFonts w:ascii="Arial" w:eastAsia="Arial" w:hAnsi="Arial" w:cs="Arial"/>
          <w:b/>
          <w:bCs/>
          <w:sz w:val="22"/>
          <w:szCs w:val="22"/>
        </w:rPr>
        <w:t xml:space="preserve">633.540,00 EUR </w:t>
      </w:r>
      <w:r w:rsidRPr="00D77970">
        <w:rPr>
          <w:rFonts w:ascii="Arial" w:eastAsia="Arial" w:hAnsi="Arial" w:cs="Arial"/>
          <w:sz w:val="22"/>
          <w:szCs w:val="22"/>
        </w:rPr>
        <w:t xml:space="preserve">te su u odnosu na plan proračuna 2025. godine veći za </w:t>
      </w:r>
      <w:r w:rsidRPr="00D77970">
        <w:rPr>
          <w:rFonts w:ascii="Arial" w:eastAsia="Arial" w:hAnsi="Arial" w:cs="Arial"/>
          <w:b/>
          <w:bCs/>
          <w:sz w:val="22"/>
          <w:szCs w:val="22"/>
        </w:rPr>
        <w:t>20,81 posto</w:t>
      </w:r>
      <w:r w:rsidRPr="00D77970">
        <w:rPr>
          <w:rFonts w:ascii="Arial" w:eastAsia="Arial" w:hAnsi="Arial" w:cs="Arial"/>
          <w:sz w:val="22"/>
          <w:szCs w:val="22"/>
        </w:rPr>
        <w:t>, a odnose se na:</w:t>
      </w:r>
    </w:p>
    <w:p w14:paraId="6E3A4663" w14:textId="77777777" w:rsidR="00C6561B" w:rsidRPr="00D77970" w:rsidRDefault="00C6561B">
      <w:pPr>
        <w:pStyle w:val="Odlomakpopisa"/>
        <w:numPr>
          <w:ilvl w:val="0"/>
          <w:numId w:val="36"/>
        </w:numPr>
        <w:spacing w:after="0" w:line="259" w:lineRule="auto"/>
        <w:jc w:val="both"/>
        <w:rPr>
          <w:rFonts w:ascii="Arial" w:hAnsi="Arial" w:cs="Arial"/>
          <w:szCs w:val="22"/>
        </w:rPr>
      </w:pPr>
      <w:r w:rsidRPr="00D77970">
        <w:rPr>
          <w:rFonts w:ascii="Arial" w:eastAsia="Arial" w:hAnsi="Arial" w:cs="Arial"/>
          <w:b/>
          <w:szCs w:val="22"/>
        </w:rPr>
        <w:t>Pomoći iz inozemstva i od subjekata unutar općeg proračuna iznose 68.617,00 EUR.</w:t>
      </w:r>
    </w:p>
    <w:p w14:paraId="4CAB3ABA" w14:textId="77777777" w:rsidR="00C6561B" w:rsidRPr="00D77970" w:rsidRDefault="00C6561B" w:rsidP="00D77970">
      <w:pPr>
        <w:spacing w:line="259" w:lineRule="auto"/>
        <w:ind w:left="60"/>
        <w:contextualSpacing/>
        <w:jc w:val="both"/>
        <w:rPr>
          <w:rFonts w:ascii="Arial" w:hAnsi="Arial" w:cs="Arial"/>
          <w:sz w:val="22"/>
          <w:szCs w:val="22"/>
        </w:rPr>
      </w:pPr>
      <w:r w:rsidRPr="00D77970">
        <w:rPr>
          <w:rFonts w:ascii="Arial" w:eastAsia="Arial" w:hAnsi="Arial" w:cs="Arial"/>
          <w:bCs/>
          <w:sz w:val="22"/>
          <w:szCs w:val="22"/>
        </w:rPr>
        <w:t xml:space="preserve">U odnosu na plan proračuna 2025. godine veći su za su za </w:t>
      </w:r>
      <w:r w:rsidRPr="00D77970">
        <w:rPr>
          <w:rFonts w:ascii="Arial" w:eastAsia="Arial" w:hAnsi="Arial" w:cs="Arial"/>
          <w:b/>
          <w:sz w:val="22"/>
          <w:szCs w:val="22"/>
        </w:rPr>
        <w:t>264,98 posto</w:t>
      </w:r>
      <w:r w:rsidRPr="00D77970">
        <w:rPr>
          <w:rFonts w:ascii="Arial" w:eastAsia="Arial" w:hAnsi="Arial" w:cs="Arial"/>
          <w:bCs/>
          <w:sz w:val="22"/>
          <w:szCs w:val="22"/>
        </w:rPr>
        <w:t>, a odnose se na:</w:t>
      </w:r>
    </w:p>
    <w:p w14:paraId="5FF8C7A9" w14:textId="77777777" w:rsidR="00C6561B" w:rsidRPr="00D77970" w:rsidRDefault="00C6561B">
      <w:pPr>
        <w:pStyle w:val="Odlomakpopisa"/>
        <w:numPr>
          <w:ilvl w:val="0"/>
          <w:numId w:val="37"/>
        </w:numPr>
        <w:spacing w:after="0" w:line="259" w:lineRule="auto"/>
        <w:ind w:left="714" w:hanging="357"/>
        <w:jc w:val="both"/>
        <w:rPr>
          <w:rFonts w:ascii="Arial" w:eastAsia="Arial" w:hAnsi="Arial" w:cs="Arial"/>
          <w:szCs w:val="22"/>
        </w:rPr>
      </w:pPr>
      <w:bookmarkStart w:id="54" w:name="_Hlk181010199"/>
      <w:r w:rsidRPr="00D77970">
        <w:rPr>
          <w:rFonts w:ascii="Arial" w:eastAsia="Arial" w:hAnsi="Arial" w:cs="Arial"/>
          <w:szCs w:val="22"/>
        </w:rPr>
        <w:t xml:space="preserve">tekuće pomoći iz Državnog proračuna – </w:t>
      </w:r>
      <w:r w:rsidRPr="00D77970">
        <w:rPr>
          <w:rFonts w:ascii="Arial" w:eastAsia="Arial" w:hAnsi="Arial" w:cs="Arial"/>
          <w:b/>
          <w:bCs/>
          <w:szCs w:val="22"/>
        </w:rPr>
        <w:t>54.467,00 EUR</w:t>
      </w:r>
    </w:p>
    <w:p w14:paraId="66109348" w14:textId="77777777" w:rsidR="00C6561B" w:rsidRPr="00D77970" w:rsidRDefault="00C6561B">
      <w:pPr>
        <w:pStyle w:val="Odlomakpopisa"/>
        <w:numPr>
          <w:ilvl w:val="0"/>
          <w:numId w:val="37"/>
        </w:numPr>
        <w:spacing w:after="0" w:line="259" w:lineRule="auto"/>
        <w:ind w:left="714" w:hanging="357"/>
        <w:jc w:val="both"/>
        <w:rPr>
          <w:rFonts w:ascii="Arial" w:eastAsia="Arial" w:hAnsi="Arial" w:cs="Arial"/>
          <w:b/>
          <w:bCs/>
          <w:szCs w:val="22"/>
        </w:rPr>
      </w:pPr>
      <w:r w:rsidRPr="00D77970">
        <w:rPr>
          <w:rFonts w:ascii="Arial" w:eastAsia="Arial" w:hAnsi="Arial" w:cs="Arial"/>
          <w:szCs w:val="22"/>
        </w:rPr>
        <w:t xml:space="preserve">tekuće pomoći iz Županijskog proračuna – </w:t>
      </w:r>
      <w:r w:rsidRPr="00D77970">
        <w:rPr>
          <w:rFonts w:ascii="Arial" w:eastAsia="Arial" w:hAnsi="Arial" w:cs="Arial"/>
          <w:b/>
          <w:bCs/>
          <w:szCs w:val="22"/>
        </w:rPr>
        <w:t>14.000,00 EUR</w:t>
      </w:r>
    </w:p>
    <w:p w14:paraId="24EF18C9" w14:textId="77777777" w:rsidR="00C6561B" w:rsidRPr="00D77970" w:rsidRDefault="00C6561B">
      <w:pPr>
        <w:pStyle w:val="Odlomakpopisa"/>
        <w:numPr>
          <w:ilvl w:val="0"/>
          <w:numId w:val="37"/>
        </w:numPr>
        <w:spacing w:after="0" w:line="259" w:lineRule="auto"/>
        <w:ind w:left="714" w:hanging="357"/>
        <w:jc w:val="both"/>
        <w:rPr>
          <w:rFonts w:ascii="Arial" w:eastAsia="Arial" w:hAnsi="Arial" w:cs="Arial"/>
          <w:szCs w:val="22"/>
        </w:rPr>
      </w:pPr>
      <w:r w:rsidRPr="00D77970">
        <w:rPr>
          <w:rFonts w:ascii="Arial" w:eastAsia="Arial" w:hAnsi="Arial" w:cs="Arial"/>
          <w:szCs w:val="22"/>
        </w:rPr>
        <w:t xml:space="preserve">tekuće pomoći iz Gradskih proračuna – </w:t>
      </w:r>
      <w:r w:rsidRPr="00D77970">
        <w:rPr>
          <w:rFonts w:ascii="Arial" w:eastAsia="Arial" w:hAnsi="Arial" w:cs="Arial"/>
          <w:b/>
          <w:bCs/>
          <w:szCs w:val="22"/>
        </w:rPr>
        <w:t>150,00 EUR</w:t>
      </w:r>
    </w:p>
    <w:p w14:paraId="630B836A" w14:textId="77777777" w:rsidR="00D77970" w:rsidRPr="00D77970" w:rsidRDefault="00D77970" w:rsidP="00D77970">
      <w:pPr>
        <w:pStyle w:val="Odlomakpopisa"/>
        <w:spacing w:after="0" w:line="259" w:lineRule="auto"/>
        <w:ind w:left="714"/>
        <w:jc w:val="both"/>
        <w:rPr>
          <w:rFonts w:ascii="Arial" w:eastAsia="Arial" w:hAnsi="Arial" w:cs="Arial"/>
          <w:szCs w:val="22"/>
        </w:rPr>
      </w:pPr>
    </w:p>
    <w:bookmarkEnd w:id="54"/>
    <w:p w14:paraId="0B8C833E" w14:textId="77777777" w:rsidR="00D77970" w:rsidRDefault="00C6561B" w:rsidP="00D77970">
      <w:pPr>
        <w:spacing w:line="259" w:lineRule="auto"/>
        <w:jc w:val="both"/>
        <w:rPr>
          <w:rFonts w:ascii="Arial" w:eastAsia="Arial" w:hAnsi="Arial" w:cs="Arial"/>
          <w:b/>
          <w:sz w:val="22"/>
          <w:szCs w:val="22"/>
        </w:rPr>
      </w:pPr>
      <w:r w:rsidRPr="00D77970">
        <w:rPr>
          <w:rFonts w:ascii="Arial" w:eastAsia="Arial" w:hAnsi="Arial" w:cs="Arial"/>
          <w:b/>
          <w:sz w:val="22"/>
          <w:szCs w:val="22"/>
        </w:rPr>
        <w:t xml:space="preserve">2. Prihodi od upravnih i administrativnih pristojbi, pristojbi po posebnim propisima i naknada </w:t>
      </w:r>
      <w:r w:rsidRPr="00D77970">
        <w:rPr>
          <w:rFonts w:ascii="Arial" w:eastAsia="Arial" w:hAnsi="Arial" w:cs="Arial"/>
          <w:bCs/>
          <w:sz w:val="22"/>
          <w:szCs w:val="22"/>
        </w:rPr>
        <w:t xml:space="preserve">iznose </w:t>
      </w:r>
      <w:r w:rsidRPr="00D77970">
        <w:rPr>
          <w:rFonts w:ascii="Arial" w:eastAsia="Arial" w:hAnsi="Arial" w:cs="Arial"/>
          <w:b/>
          <w:sz w:val="22"/>
          <w:szCs w:val="22"/>
        </w:rPr>
        <w:t>33.494,00 EUR.</w:t>
      </w:r>
    </w:p>
    <w:p w14:paraId="427F8DF9" w14:textId="77777777" w:rsidR="00C6561B" w:rsidRPr="00D77970" w:rsidRDefault="00C6561B" w:rsidP="00D77970">
      <w:pPr>
        <w:spacing w:line="259" w:lineRule="auto"/>
        <w:contextualSpacing/>
        <w:jc w:val="both"/>
        <w:rPr>
          <w:rFonts w:ascii="Arial" w:eastAsia="Arial" w:hAnsi="Arial" w:cs="Arial"/>
          <w:bCs/>
          <w:sz w:val="22"/>
          <w:szCs w:val="22"/>
        </w:rPr>
      </w:pPr>
      <w:r w:rsidRPr="00D77970">
        <w:rPr>
          <w:rFonts w:ascii="Arial" w:eastAsia="Arial" w:hAnsi="Arial" w:cs="Arial"/>
          <w:bCs/>
          <w:sz w:val="22"/>
          <w:szCs w:val="22"/>
        </w:rPr>
        <w:t xml:space="preserve">U odnosu na plan proračuna 2025. godine veći su za </w:t>
      </w:r>
      <w:r w:rsidRPr="00D77970">
        <w:rPr>
          <w:rFonts w:ascii="Arial" w:eastAsia="Arial" w:hAnsi="Arial" w:cs="Arial"/>
          <w:b/>
          <w:sz w:val="22"/>
          <w:szCs w:val="22"/>
        </w:rPr>
        <w:t>9,84 posto</w:t>
      </w:r>
      <w:r w:rsidRPr="00D77970">
        <w:rPr>
          <w:rFonts w:ascii="Arial" w:eastAsia="Arial" w:hAnsi="Arial" w:cs="Arial"/>
          <w:bCs/>
          <w:sz w:val="22"/>
          <w:szCs w:val="22"/>
        </w:rPr>
        <w:t>, a odnose se na:</w:t>
      </w:r>
    </w:p>
    <w:p w14:paraId="32764FE4" w14:textId="77777777" w:rsidR="00C6561B" w:rsidRPr="00D77970" w:rsidRDefault="00C6561B">
      <w:pPr>
        <w:pStyle w:val="Odlomakpopisa"/>
        <w:numPr>
          <w:ilvl w:val="0"/>
          <w:numId w:val="38"/>
        </w:numPr>
        <w:spacing w:after="0" w:line="259" w:lineRule="auto"/>
        <w:ind w:left="714" w:hanging="357"/>
        <w:jc w:val="both"/>
        <w:rPr>
          <w:rFonts w:ascii="Arial" w:eastAsia="Arial" w:hAnsi="Arial" w:cs="Arial"/>
          <w:bCs/>
          <w:szCs w:val="22"/>
        </w:rPr>
      </w:pPr>
      <w:r w:rsidRPr="00D77970">
        <w:rPr>
          <w:rFonts w:ascii="Arial" w:eastAsia="Arial" w:hAnsi="Arial" w:cs="Arial"/>
          <w:bCs/>
          <w:szCs w:val="22"/>
        </w:rPr>
        <w:t xml:space="preserve">prihode ostvarene od prodaje ulaznica za posjet Narodnom muzeju Labin i zbirci Matija Vlačić u iznosu od </w:t>
      </w:r>
      <w:r w:rsidRPr="00D77970">
        <w:rPr>
          <w:rFonts w:ascii="Arial" w:eastAsia="Arial" w:hAnsi="Arial" w:cs="Arial"/>
          <w:b/>
          <w:szCs w:val="22"/>
        </w:rPr>
        <w:t>26.994,00 EUR</w:t>
      </w:r>
    </w:p>
    <w:p w14:paraId="7FE3ADC6" w14:textId="77777777" w:rsidR="00C6561B" w:rsidRDefault="00C6561B">
      <w:pPr>
        <w:pStyle w:val="Odlomakpopisa"/>
        <w:numPr>
          <w:ilvl w:val="0"/>
          <w:numId w:val="38"/>
        </w:numPr>
        <w:spacing w:after="0" w:line="259" w:lineRule="auto"/>
        <w:ind w:left="714" w:hanging="357"/>
        <w:jc w:val="both"/>
        <w:rPr>
          <w:rFonts w:ascii="Arial" w:eastAsia="Arial" w:hAnsi="Arial" w:cs="Arial"/>
          <w:b/>
          <w:szCs w:val="22"/>
        </w:rPr>
      </w:pPr>
      <w:r w:rsidRPr="00D77970">
        <w:rPr>
          <w:rFonts w:ascii="Arial" w:eastAsia="Arial" w:hAnsi="Arial" w:cs="Arial"/>
          <w:bCs/>
          <w:szCs w:val="22"/>
        </w:rPr>
        <w:t xml:space="preserve">prihod od prodaje ulaznica na događanja u sklopu Glazbeno scenske djelatnosti u iznosu od </w:t>
      </w:r>
      <w:r w:rsidRPr="00D77970">
        <w:rPr>
          <w:rFonts w:ascii="Arial" w:eastAsia="Arial" w:hAnsi="Arial" w:cs="Arial"/>
          <w:b/>
          <w:szCs w:val="22"/>
        </w:rPr>
        <w:t>7.000,00 EUR</w:t>
      </w:r>
    </w:p>
    <w:p w14:paraId="05450D4E" w14:textId="77777777" w:rsidR="00D77970" w:rsidRPr="00D77970" w:rsidRDefault="00D77970" w:rsidP="00D77970">
      <w:pPr>
        <w:pStyle w:val="Odlomakpopisa"/>
        <w:spacing w:after="0" w:line="259" w:lineRule="auto"/>
        <w:ind w:left="714"/>
        <w:jc w:val="both"/>
        <w:rPr>
          <w:rFonts w:ascii="Arial" w:eastAsia="Arial" w:hAnsi="Arial" w:cs="Arial"/>
          <w:b/>
          <w:szCs w:val="22"/>
        </w:rPr>
      </w:pPr>
    </w:p>
    <w:p w14:paraId="5C8E7DDD" w14:textId="77777777" w:rsidR="00C6561B" w:rsidRPr="00D77970" w:rsidRDefault="00C6561B" w:rsidP="00D77970">
      <w:pPr>
        <w:spacing w:line="259" w:lineRule="auto"/>
        <w:jc w:val="both"/>
        <w:rPr>
          <w:rFonts w:ascii="Arial" w:eastAsia="Arial" w:hAnsi="Arial" w:cs="Arial"/>
          <w:b/>
          <w:bCs/>
          <w:sz w:val="22"/>
          <w:szCs w:val="22"/>
        </w:rPr>
      </w:pPr>
      <w:r w:rsidRPr="00D77970">
        <w:rPr>
          <w:rFonts w:ascii="Arial" w:eastAsia="Arial" w:hAnsi="Arial" w:cs="Arial"/>
          <w:b/>
          <w:sz w:val="22"/>
          <w:szCs w:val="22"/>
        </w:rPr>
        <w:t xml:space="preserve">3. Prihodi od prodaje proizvoda i roba te pruženih usluga i prihod donacija </w:t>
      </w:r>
      <w:r w:rsidRPr="00D77970">
        <w:rPr>
          <w:rFonts w:ascii="Arial" w:eastAsia="Arial" w:hAnsi="Arial" w:cs="Arial"/>
          <w:sz w:val="22"/>
          <w:szCs w:val="22"/>
        </w:rPr>
        <w:t xml:space="preserve">iznose </w:t>
      </w:r>
      <w:r w:rsidRPr="00D77970">
        <w:rPr>
          <w:rFonts w:ascii="Arial" w:eastAsia="Arial" w:hAnsi="Arial" w:cs="Arial"/>
          <w:b/>
          <w:bCs/>
          <w:sz w:val="22"/>
          <w:szCs w:val="22"/>
        </w:rPr>
        <w:t>118.569,00 EUR</w:t>
      </w:r>
    </w:p>
    <w:p w14:paraId="6FBACEEA"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 xml:space="preserve">U odnosu na plan proračuna 2025. godine manji su za </w:t>
      </w:r>
      <w:r w:rsidRPr="00D77970">
        <w:rPr>
          <w:rFonts w:ascii="Arial" w:eastAsia="Arial" w:hAnsi="Arial" w:cs="Arial"/>
          <w:b/>
          <w:bCs/>
          <w:sz w:val="22"/>
          <w:szCs w:val="22"/>
        </w:rPr>
        <w:t>26,57 posto</w:t>
      </w:r>
      <w:r w:rsidRPr="00D77970">
        <w:rPr>
          <w:rFonts w:ascii="Arial" w:eastAsia="Arial" w:hAnsi="Arial" w:cs="Arial"/>
          <w:sz w:val="22"/>
          <w:szCs w:val="22"/>
        </w:rPr>
        <w:t>, a odnose se na:</w:t>
      </w:r>
    </w:p>
    <w:p w14:paraId="6CA0D560" w14:textId="77777777" w:rsidR="00C6561B" w:rsidRPr="00D77970" w:rsidRDefault="00C6561B">
      <w:pPr>
        <w:pStyle w:val="Odlomakpopisa"/>
        <w:numPr>
          <w:ilvl w:val="0"/>
          <w:numId w:val="39"/>
        </w:numPr>
        <w:spacing w:after="0" w:line="259" w:lineRule="auto"/>
        <w:ind w:left="714" w:hanging="357"/>
        <w:jc w:val="both"/>
        <w:rPr>
          <w:rFonts w:ascii="Arial" w:eastAsia="Arial" w:hAnsi="Arial" w:cs="Arial"/>
          <w:szCs w:val="22"/>
        </w:rPr>
      </w:pPr>
      <w:r w:rsidRPr="00D77970">
        <w:rPr>
          <w:rFonts w:ascii="Arial" w:eastAsia="Arial" w:hAnsi="Arial" w:cs="Arial"/>
          <w:szCs w:val="22"/>
        </w:rPr>
        <w:t>prihode Kina Labin</w:t>
      </w:r>
    </w:p>
    <w:p w14:paraId="7126B324" w14:textId="77777777" w:rsidR="00C6561B" w:rsidRPr="00D77970" w:rsidRDefault="00C6561B">
      <w:pPr>
        <w:pStyle w:val="Odlomakpopisa"/>
        <w:numPr>
          <w:ilvl w:val="0"/>
          <w:numId w:val="39"/>
        </w:numPr>
        <w:spacing w:after="0" w:line="259" w:lineRule="auto"/>
        <w:ind w:left="714" w:hanging="357"/>
        <w:jc w:val="both"/>
        <w:rPr>
          <w:rFonts w:ascii="Arial" w:eastAsia="Arial" w:hAnsi="Arial" w:cs="Arial"/>
          <w:szCs w:val="22"/>
        </w:rPr>
      </w:pPr>
      <w:r w:rsidRPr="00D77970">
        <w:rPr>
          <w:rFonts w:ascii="Arial" w:eastAsia="Arial" w:hAnsi="Arial" w:cs="Arial"/>
          <w:szCs w:val="22"/>
        </w:rPr>
        <w:t>prihode obrazovne djelatnosti</w:t>
      </w:r>
    </w:p>
    <w:p w14:paraId="74B3623D" w14:textId="77777777" w:rsidR="00C6561B" w:rsidRPr="00D77970" w:rsidRDefault="00C6561B">
      <w:pPr>
        <w:pStyle w:val="Odlomakpopisa"/>
        <w:numPr>
          <w:ilvl w:val="0"/>
          <w:numId w:val="39"/>
        </w:numPr>
        <w:spacing w:after="0" w:line="259" w:lineRule="auto"/>
        <w:ind w:left="714" w:hanging="357"/>
        <w:jc w:val="both"/>
        <w:rPr>
          <w:rFonts w:ascii="Arial" w:eastAsia="Arial" w:hAnsi="Arial" w:cs="Arial"/>
          <w:szCs w:val="22"/>
        </w:rPr>
      </w:pPr>
      <w:r w:rsidRPr="00D77970">
        <w:rPr>
          <w:rFonts w:ascii="Arial" w:eastAsia="Arial" w:hAnsi="Arial" w:cs="Arial"/>
          <w:szCs w:val="22"/>
        </w:rPr>
        <w:t xml:space="preserve">prihode Gradske galerije kroz prodaju suvenira </w:t>
      </w:r>
    </w:p>
    <w:p w14:paraId="20CCA93C" w14:textId="77777777" w:rsidR="00C6561B" w:rsidRPr="00D77970" w:rsidRDefault="00C6561B">
      <w:pPr>
        <w:pStyle w:val="Odlomakpopisa"/>
        <w:numPr>
          <w:ilvl w:val="0"/>
          <w:numId w:val="39"/>
        </w:numPr>
        <w:spacing w:after="0" w:line="259" w:lineRule="auto"/>
        <w:ind w:left="714" w:hanging="357"/>
        <w:jc w:val="both"/>
        <w:rPr>
          <w:rFonts w:ascii="Arial" w:eastAsia="Arial" w:hAnsi="Arial" w:cs="Arial"/>
          <w:szCs w:val="22"/>
        </w:rPr>
      </w:pPr>
      <w:r w:rsidRPr="00D77970">
        <w:rPr>
          <w:rFonts w:ascii="Arial" w:eastAsia="Arial" w:hAnsi="Arial" w:cs="Arial"/>
          <w:szCs w:val="22"/>
        </w:rPr>
        <w:t>prihode Narodnog muzeja Labin putem najma prostora</w:t>
      </w:r>
    </w:p>
    <w:p w14:paraId="66852C00" w14:textId="77777777" w:rsidR="00C6561B" w:rsidRPr="00D77970" w:rsidRDefault="00C6561B" w:rsidP="00D77970">
      <w:pPr>
        <w:spacing w:line="259" w:lineRule="auto"/>
        <w:jc w:val="both"/>
        <w:rPr>
          <w:rFonts w:ascii="Arial" w:eastAsia="Arial" w:hAnsi="Arial" w:cs="Arial"/>
          <w:b/>
          <w:sz w:val="22"/>
          <w:szCs w:val="22"/>
        </w:rPr>
      </w:pPr>
    </w:p>
    <w:p w14:paraId="7DC2AC20" w14:textId="1CE5245C" w:rsidR="00C6561B" w:rsidRPr="00D77970" w:rsidRDefault="00C6561B" w:rsidP="00D77970">
      <w:pPr>
        <w:spacing w:line="259" w:lineRule="auto"/>
        <w:contextualSpacing/>
        <w:jc w:val="both"/>
        <w:rPr>
          <w:rFonts w:ascii="Arial" w:eastAsia="Arial" w:hAnsi="Arial" w:cs="Arial"/>
          <w:b/>
          <w:sz w:val="22"/>
          <w:szCs w:val="22"/>
        </w:rPr>
      </w:pPr>
      <w:r w:rsidRPr="00D77970">
        <w:rPr>
          <w:rFonts w:ascii="Arial" w:eastAsia="Arial" w:hAnsi="Arial" w:cs="Arial"/>
          <w:b/>
          <w:sz w:val="22"/>
          <w:szCs w:val="22"/>
        </w:rPr>
        <w:t>4. Prihodi iz nadležnog proračuna  i od HZZO-a temeljem ugovornih obveza iznose 412.860,00 EUR.</w:t>
      </w:r>
    </w:p>
    <w:p w14:paraId="305235C5" w14:textId="77777777" w:rsidR="00C6561B" w:rsidRPr="00D77970" w:rsidRDefault="00C6561B" w:rsidP="00D77970">
      <w:pPr>
        <w:spacing w:line="259" w:lineRule="auto"/>
        <w:contextualSpacing/>
        <w:jc w:val="both"/>
        <w:rPr>
          <w:rFonts w:ascii="Arial" w:eastAsiaTheme="minorHAnsi" w:hAnsi="Arial" w:cs="Arial"/>
          <w:bCs/>
          <w:sz w:val="22"/>
          <w:szCs w:val="22"/>
        </w:rPr>
      </w:pPr>
      <w:r w:rsidRPr="00D77970">
        <w:rPr>
          <w:rFonts w:ascii="Arial" w:eastAsia="Arial" w:hAnsi="Arial" w:cs="Arial"/>
          <w:bCs/>
          <w:sz w:val="22"/>
          <w:szCs w:val="22"/>
        </w:rPr>
        <w:t xml:space="preserve">U odnosu na plana proračuna 2025. godine veći su za </w:t>
      </w:r>
      <w:r w:rsidRPr="00D77970">
        <w:rPr>
          <w:rFonts w:ascii="Arial" w:eastAsia="Arial" w:hAnsi="Arial" w:cs="Arial"/>
          <w:b/>
          <w:sz w:val="22"/>
          <w:szCs w:val="22"/>
        </w:rPr>
        <w:t>8,24 posto</w:t>
      </w:r>
      <w:r w:rsidRPr="00D77970">
        <w:rPr>
          <w:rFonts w:ascii="Arial" w:eastAsia="Arial" w:hAnsi="Arial" w:cs="Arial"/>
          <w:bCs/>
          <w:sz w:val="22"/>
          <w:szCs w:val="22"/>
        </w:rPr>
        <w:t>, a odnose se na:</w:t>
      </w:r>
    </w:p>
    <w:p w14:paraId="5CE5A101" w14:textId="77777777" w:rsidR="00C6561B" w:rsidRPr="00D77970" w:rsidRDefault="00C6561B">
      <w:pPr>
        <w:pStyle w:val="Odlomakpopisa"/>
        <w:numPr>
          <w:ilvl w:val="0"/>
          <w:numId w:val="40"/>
        </w:numPr>
        <w:spacing w:after="0" w:line="259" w:lineRule="auto"/>
        <w:ind w:left="714" w:hanging="357"/>
        <w:jc w:val="both"/>
        <w:rPr>
          <w:rFonts w:ascii="Arial" w:hAnsi="Arial" w:cs="Arial"/>
          <w:szCs w:val="22"/>
        </w:rPr>
      </w:pPr>
      <w:r w:rsidRPr="00D77970">
        <w:rPr>
          <w:rFonts w:ascii="Arial" w:eastAsia="Arial" w:hAnsi="Arial" w:cs="Arial"/>
          <w:bCs/>
          <w:szCs w:val="22"/>
        </w:rPr>
        <w:t>prihode iz nadležnog proračuna za financiranje redovne djelatnosti proračunskih korisnika</w:t>
      </w:r>
      <w:r w:rsidRPr="00D77970">
        <w:rPr>
          <w:rFonts w:ascii="Arial" w:eastAsia="Arial" w:hAnsi="Arial" w:cs="Arial"/>
          <w:b/>
          <w:szCs w:val="22"/>
        </w:rPr>
        <w:t xml:space="preserve"> </w:t>
      </w:r>
      <w:r w:rsidRPr="00D77970">
        <w:rPr>
          <w:rFonts w:ascii="Arial" w:eastAsia="Arial" w:hAnsi="Arial" w:cs="Arial"/>
          <w:bCs/>
          <w:szCs w:val="22"/>
        </w:rPr>
        <w:t>u</w:t>
      </w:r>
      <w:r w:rsidRPr="00D77970">
        <w:rPr>
          <w:rFonts w:ascii="Arial" w:eastAsia="Arial" w:hAnsi="Arial" w:cs="Arial"/>
          <w:b/>
          <w:szCs w:val="22"/>
        </w:rPr>
        <w:t xml:space="preserve"> </w:t>
      </w:r>
      <w:r w:rsidRPr="00D77970">
        <w:rPr>
          <w:rFonts w:ascii="Arial" w:eastAsia="Arial" w:hAnsi="Arial" w:cs="Arial"/>
          <w:bCs/>
          <w:szCs w:val="22"/>
        </w:rPr>
        <w:t xml:space="preserve">iznosu od </w:t>
      </w:r>
      <w:r w:rsidRPr="00D77970">
        <w:rPr>
          <w:rFonts w:ascii="Arial" w:eastAsia="Arial" w:hAnsi="Arial" w:cs="Arial"/>
          <w:szCs w:val="22"/>
        </w:rPr>
        <w:t xml:space="preserve">iznosu od </w:t>
      </w:r>
      <w:r w:rsidRPr="00D77970">
        <w:rPr>
          <w:rFonts w:ascii="Arial" w:eastAsia="Arial" w:hAnsi="Arial" w:cs="Arial"/>
          <w:b/>
          <w:bCs/>
          <w:szCs w:val="22"/>
        </w:rPr>
        <w:t>410.860,00 EUR</w:t>
      </w:r>
    </w:p>
    <w:p w14:paraId="705E866A" w14:textId="77777777" w:rsidR="00C6561B" w:rsidRPr="00D77970" w:rsidRDefault="00C6561B">
      <w:pPr>
        <w:pStyle w:val="Odlomakpopisa"/>
        <w:numPr>
          <w:ilvl w:val="0"/>
          <w:numId w:val="40"/>
        </w:numPr>
        <w:spacing w:after="0" w:line="259" w:lineRule="auto"/>
        <w:ind w:left="714" w:hanging="357"/>
        <w:jc w:val="both"/>
        <w:rPr>
          <w:rFonts w:ascii="Arial" w:hAnsi="Arial" w:cs="Arial"/>
          <w:szCs w:val="22"/>
        </w:rPr>
      </w:pPr>
      <w:r w:rsidRPr="00D77970">
        <w:rPr>
          <w:rFonts w:ascii="Arial" w:eastAsia="Arial" w:hAnsi="Arial" w:cs="Arial"/>
          <w:szCs w:val="22"/>
        </w:rPr>
        <w:t xml:space="preserve">prihode za nabavu nefinancijske imovine u iznosu od </w:t>
      </w:r>
      <w:r w:rsidRPr="00D77970">
        <w:rPr>
          <w:rFonts w:ascii="Arial" w:eastAsia="Arial" w:hAnsi="Arial" w:cs="Arial"/>
          <w:b/>
          <w:bCs/>
          <w:szCs w:val="22"/>
        </w:rPr>
        <w:t>2.000,00 EUR.</w:t>
      </w:r>
    </w:p>
    <w:p w14:paraId="755795A7" w14:textId="77777777" w:rsidR="00C6561B" w:rsidRPr="00D77970" w:rsidRDefault="00C6561B" w:rsidP="00D77970">
      <w:pPr>
        <w:spacing w:line="259" w:lineRule="auto"/>
        <w:jc w:val="both"/>
        <w:rPr>
          <w:rFonts w:ascii="Arial" w:eastAsia="Arial" w:hAnsi="Arial" w:cs="Arial"/>
          <w:b/>
          <w:sz w:val="22"/>
          <w:szCs w:val="22"/>
        </w:rPr>
      </w:pPr>
    </w:p>
    <w:p w14:paraId="3C151F54" w14:textId="77777777" w:rsidR="00C6561B" w:rsidRPr="00D77970" w:rsidRDefault="00C6561B" w:rsidP="00D77970">
      <w:pPr>
        <w:spacing w:line="259" w:lineRule="auto"/>
        <w:contextualSpacing/>
        <w:jc w:val="both"/>
        <w:rPr>
          <w:rFonts w:ascii="Arial" w:eastAsia="Arial" w:hAnsi="Arial" w:cs="Arial"/>
          <w:b/>
          <w:sz w:val="22"/>
          <w:szCs w:val="22"/>
        </w:rPr>
      </w:pPr>
    </w:p>
    <w:p w14:paraId="115FB681" w14:textId="77777777" w:rsidR="00C6561B" w:rsidRPr="00D77970" w:rsidRDefault="00C6561B" w:rsidP="00D77970">
      <w:pPr>
        <w:spacing w:line="259" w:lineRule="auto"/>
        <w:contextualSpacing/>
        <w:jc w:val="both"/>
        <w:rPr>
          <w:rFonts w:ascii="Arial" w:eastAsia="Arial" w:hAnsi="Arial" w:cs="Arial"/>
          <w:b/>
          <w:sz w:val="22"/>
          <w:szCs w:val="22"/>
        </w:rPr>
      </w:pPr>
      <w:r w:rsidRPr="00D77970">
        <w:rPr>
          <w:rFonts w:ascii="Arial" w:eastAsia="Arial" w:hAnsi="Arial" w:cs="Arial"/>
          <w:b/>
          <w:sz w:val="22"/>
          <w:szCs w:val="22"/>
        </w:rPr>
        <w:t>OBRAZLOŽENJE RASHODA I IZDATAKA</w:t>
      </w:r>
    </w:p>
    <w:p w14:paraId="1FE9364D" w14:textId="77777777" w:rsidR="00C6561B" w:rsidRPr="00D77970" w:rsidRDefault="00C6561B" w:rsidP="00D77970">
      <w:pPr>
        <w:spacing w:line="259" w:lineRule="auto"/>
        <w:contextualSpacing/>
        <w:jc w:val="both"/>
        <w:rPr>
          <w:rFonts w:ascii="Arial" w:eastAsia="Arial" w:hAnsi="Arial" w:cs="Arial"/>
          <w:b/>
          <w:sz w:val="22"/>
          <w:szCs w:val="22"/>
        </w:rPr>
      </w:pPr>
    </w:p>
    <w:p w14:paraId="1BE42003" w14:textId="0D407174" w:rsidR="00D77970" w:rsidRPr="00C526AC" w:rsidRDefault="00C6561B" w:rsidP="00D77970">
      <w:pPr>
        <w:spacing w:line="259" w:lineRule="auto"/>
        <w:contextualSpacing/>
        <w:jc w:val="both"/>
        <w:rPr>
          <w:rFonts w:ascii="Arial" w:eastAsia="Arial" w:hAnsi="Arial" w:cs="Arial"/>
          <w:b/>
          <w:sz w:val="22"/>
          <w:szCs w:val="22"/>
        </w:rPr>
      </w:pPr>
      <w:r w:rsidRPr="00D77970">
        <w:rPr>
          <w:rFonts w:ascii="Arial" w:eastAsia="Arial" w:hAnsi="Arial" w:cs="Arial"/>
          <w:b/>
          <w:sz w:val="22"/>
          <w:szCs w:val="22"/>
        </w:rPr>
        <w:t>Rashodi i izdaci poslovanja</w:t>
      </w:r>
      <w:r w:rsidRPr="00D77970">
        <w:rPr>
          <w:rFonts w:ascii="Arial" w:eastAsia="Arial" w:hAnsi="Arial" w:cs="Arial"/>
          <w:bCs/>
          <w:sz w:val="22"/>
          <w:szCs w:val="22"/>
        </w:rPr>
        <w:t xml:space="preserve"> planirani su visini od </w:t>
      </w:r>
      <w:r w:rsidRPr="00D77970">
        <w:rPr>
          <w:rFonts w:ascii="Arial" w:eastAsia="Arial" w:hAnsi="Arial" w:cs="Arial"/>
          <w:b/>
          <w:sz w:val="22"/>
          <w:szCs w:val="22"/>
        </w:rPr>
        <w:t>564.209,00 EUR.</w:t>
      </w:r>
    </w:p>
    <w:p w14:paraId="07E2AE7E" w14:textId="1DB09F83" w:rsidR="00C6561B" w:rsidRPr="00D77970" w:rsidRDefault="00C6561B" w:rsidP="00D77970">
      <w:pPr>
        <w:spacing w:line="259" w:lineRule="auto"/>
        <w:contextualSpacing/>
        <w:jc w:val="both"/>
        <w:rPr>
          <w:rFonts w:ascii="Arial" w:eastAsia="Arial" w:hAnsi="Arial" w:cs="Arial"/>
          <w:bCs/>
          <w:sz w:val="22"/>
          <w:szCs w:val="22"/>
        </w:rPr>
      </w:pPr>
      <w:r w:rsidRPr="00D77970">
        <w:rPr>
          <w:rFonts w:ascii="Arial" w:eastAsia="Arial" w:hAnsi="Arial" w:cs="Arial"/>
          <w:bCs/>
          <w:sz w:val="22"/>
          <w:szCs w:val="22"/>
        </w:rPr>
        <w:t xml:space="preserve">U odnosu na plan proračuna 2025. godine viši su za </w:t>
      </w:r>
      <w:r w:rsidRPr="00D77970">
        <w:rPr>
          <w:rFonts w:ascii="Arial" w:eastAsia="Arial" w:hAnsi="Arial" w:cs="Arial"/>
          <w:b/>
          <w:sz w:val="22"/>
          <w:szCs w:val="22"/>
        </w:rPr>
        <w:t>6,42 posto</w:t>
      </w:r>
      <w:r w:rsidRPr="00D77970">
        <w:rPr>
          <w:rFonts w:ascii="Arial" w:eastAsia="Arial" w:hAnsi="Arial" w:cs="Arial"/>
          <w:bCs/>
          <w:sz w:val="22"/>
          <w:szCs w:val="22"/>
        </w:rPr>
        <w:t>, a odnose se na:</w:t>
      </w:r>
    </w:p>
    <w:p w14:paraId="1E4CCE53" w14:textId="77777777" w:rsidR="00C6561B" w:rsidRPr="00D77970" w:rsidRDefault="00C6561B" w:rsidP="00D77970">
      <w:pPr>
        <w:spacing w:line="259" w:lineRule="auto"/>
        <w:contextualSpacing/>
        <w:jc w:val="both"/>
        <w:rPr>
          <w:rFonts w:ascii="Arial" w:eastAsiaTheme="minorHAnsi" w:hAnsi="Arial" w:cs="Arial"/>
          <w:sz w:val="22"/>
          <w:szCs w:val="22"/>
        </w:rPr>
      </w:pPr>
    </w:p>
    <w:p w14:paraId="603557A4" w14:textId="7C4D2529" w:rsidR="00C6561B" w:rsidRPr="00C526AC" w:rsidRDefault="00C6561B" w:rsidP="00D77970">
      <w:pPr>
        <w:spacing w:line="259" w:lineRule="auto"/>
        <w:contextualSpacing/>
        <w:jc w:val="both"/>
        <w:rPr>
          <w:rFonts w:ascii="Arial" w:eastAsia="Arial" w:hAnsi="Arial" w:cs="Arial"/>
          <w:b/>
          <w:sz w:val="22"/>
          <w:szCs w:val="22"/>
        </w:rPr>
      </w:pPr>
      <w:r w:rsidRPr="00D77970">
        <w:rPr>
          <w:rFonts w:ascii="Arial" w:eastAsia="Arial" w:hAnsi="Arial" w:cs="Arial"/>
          <w:b/>
          <w:sz w:val="22"/>
          <w:szCs w:val="22"/>
        </w:rPr>
        <w:lastRenderedPageBreak/>
        <w:t>1. Rashode za zaposlene u iznosu od 250.921,00 EUR.</w:t>
      </w:r>
    </w:p>
    <w:p w14:paraId="79700C29" w14:textId="77777777" w:rsidR="00C6561B" w:rsidRPr="00D77970" w:rsidRDefault="00C6561B" w:rsidP="00D77970">
      <w:pPr>
        <w:spacing w:line="259" w:lineRule="auto"/>
        <w:contextualSpacing/>
        <w:jc w:val="both"/>
        <w:rPr>
          <w:rFonts w:ascii="Arial" w:eastAsiaTheme="minorHAnsi" w:hAnsi="Arial" w:cs="Arial"/>
          <w:sz w:val="22"/>
          <w:szCs w:val="22"/>
        </w:rPr>
      </w:pPr>
      <w:r w:rsidRPr="00D77970">
        <w:rPr>
          <w:rFonts w:ascii="Arial" w:eastAsia="Arial" w:hAnsi="Arial" w:cs="Arial"/>
          <w:bCs/>
          <w:sz w:val="22"/>
          <w:szCs w:val="22"/>
        </w:rPr>
        <w:t xml:space="preserve">U odnosu na plan proračuna 2025. godine manji su za </w:t>
      </w:r>
      <w:r w:rsidRPr="00D77970">
        <w:rPr>
          <w:rFonts w:ascii="Arial" w:eastAsia="Arial" w:hAnsi="Arial" w:cs="Arial"/>
          <w:b/>
          <w:sz w:val="22"/>
          <w:szCs w:val="22"/>
        </w:rPr>
        <w:t>2,25 posto.</w:t>
      </w:r>
    </w:p>
    <w:p w14:paraId="5A8F7C13" w14:textId="77777777" w:rsidR="00C6561B"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Rashodi za zaposlene se planiraju za 10 djelatnika Pučkog otvorenog učilišta na puno radno vrijeme (plus dva djelatnika odsutna na duže vrijeme – bolovanje na teret HZZO-a te porodiljni dopust)</w:t>
      </w:r>
    </w:p>
    <w:p w14:paraId="1486D7A2" w14:textId="77777777" w:rsidR="00D77970" w:rsidRPr="00D77970" w:rsidRDefault="00D77970" w:rsidP="00D77970">
      <w:pPr>
        <w:spacing w:line="259" w:lineRule="auto"/>
        <w:contextualSpacing/>
        <w:jc w:val="both"/>
        <w:rPr>
          <w:rFonts w:ascii="Arial" w:eastAsia="Arial" w:hAnsi="Arial" w:cs="Arial"/>
          <w:sz w:val="22"/>
          <w:szCs w:val="22"/>
        </w:rPr>
      </w:pPr>
    </w:p>
    <w:p w14:paraId="5509A7D4" w14:textId="00C6A73D" w:rsidR="00C6561B" w:rsidRPr="00C526AC" w:rsidRDefault="00C6561B">
      <w:pPr>
        <w:pStyle w:val="Odlomakpopisa"/>
        <w:numPr>
          <w:ilvl w:val="0"/>
          <w:numId w:val="36"/>
        </w:numPr>
        <w:spacing w:after="0" w:line="259" w:lineRule="auto"/>
        <w:jc w:val="both"/>
        <w:rPr>
          <w:rFonts w:ascii="Arial" w:eastAsia="Arial" w:hAnsi="Arial" w:cs="Arial"/>
          <w:b/>
          <w:szCs w:val="22"/>
        </w:rPr>
      </w:pPr>
      <w:r w:rsidRPr="00D77970">
        <w:rPr>
          <w:rFonts w:ascii="Arial" w:eastAsia="Arial" w:hAnsi="Arial" w:cs="Arial"/>
          <w:b/>
          <w:szCs w:val="22"/>
        </w:rPr>
        <w:t xml:space="preserve">Materijalne rashode </w:t>
      </w:r>
      <w:r w:rsidRPr="00D77970">
        <w:rPr>
          <w:rFonts w:ascii="Arial" w:eastAsia="Arial" w:hAnsi="Arial" w:cs="Arial"/>
          <w:szCs w:val="22"/>
        </w:rPr>
        <w:t>u iznosu</w:t>
      </w:r>
      <w:r w:rsidRPr="00D77970">
        <w:rPr>
          <w:rFonts w:ascii="Arial" w:eastAsia="Arial" w:hAnsi="Arial" w:cs="Arial"/>
          <w:b/>
          <w:szCs w:val="22"/>
        </w:rPr>
        <w:t xml:space="preserve"> </w:t>
      </w:r>
      <w:r w:rsidRPr="00D77970">
        <w:rPr>
          <w:rFonts w:ascii="Arial" w:eastAsia="Arial" w:hAnsi="Arial" w:cs="Arial"/>
          <w:bCs/>
          <w:szCs w:val="22"/>
        </w:rPr>
        <w:t>od</w:t>
      </w:r>
      <w:r w:rsidRPr="00D77970">
        <w:rPr>
          <w:rFonts w:ascii="Arial" w:eastAsia="Arial" w:hAnsi="Arial" w:cs="Arial"/>
          <w:b/>
          <w:szCs w:val="22"/>
        </w:rPr>
        <w:t xml:space="preserve"> 261.134,00 EUR.</w:t>
      </w:r>
    </w:p>
    <w:p w14:paraId="6E784B80" w14:textId="77777777" w:rsidR="00C6561B" w:rsidRPr="00D77970" w:rsidRDefault="00C6561B" w:rsidP="00C526AC">
      <w:pPr>
        <w:pStyle w:val="Odlomakpopisa"/>
        <w:spacing w:after="0" w:line="259" w:lineRule="auto"/>
        <w:ind w:left="60"/>
        <w:jc w:val="both"/>
        <w:rPr>
          <w:rFonts w:ascii="Arial" w:eastAsia="Arial" w:hAnsi="Arial" w:cs="Arial"/>
          <w:b/>
          <w:szCs w:val="22"/>
        </w:rPr>
      </w:pPr>
      <w:r w:rsidRPr="00D77970">
        <w:rPr>
          <w:rFonts w:ascii="Arial" w:eastAsia="Arial" w:hAnsi="Arial" w:cs="Arial"/>
          <w:bCs/>
          <w:szCs w:val="22"/>
        </w:rPr>
        <w:t xml:space="preserve">U odnosu na plan proračuna 2025. godine viši su za </w:t>
      </w:r>
      <w:r w:rsidRPr="00D77970">
        <w:rPr>
          <w:rFonts w:ascii="Arial" w:eastAsia="Arial" w:hAnsi="Arial" w:cs="Arial"/>
          <w:b/>
          <w:szCs w:val="22"/>
        </w:rPr>
        <w:t>28,69 posto.</w:t>
      </w:r>
    </w:p>
    <w:p w14:paraId="17F56563" w14:textId="77777777" w:rsidR="00C6561B" w:rsidRDefault="00C6561B" w:rsidP="00C526AC">
      <w:pPr>
        <w:pStyle w:val="Odlomakpopisa"/>
        <w:spacing w:after="0" w:line="259" w:lineRule="auto"/>
        <w:ind w:left="60"/>
        <w:jc w:val="both"/>
        <w:rPr>
          <w:rFonts w:ascii="Arial" w:eastAsia="Arial" w:hAnsi="Arial" w:cs="Arial"/>
          <w:szCs w:val="22"/>
        </w:rPr>
      </w:pPr>
      <w:r w:rsidRPr="00D77970">
        <w:rPr>
          <w:rFonts w:ascii="Arial" w:eastAsia="Arial" w:hAnsi="Arial" w:cs="Arial"/>
          <w:bCs/>
          <w:szCs w:val="22"/>
        </w:rPr>
        <w:t>Obuhvaćaju n</w:t>
      </w:r>
      <w:r w:rsidRPr="00D77970">
        <w:rPr>
          <w:rFonts w:ascii="Arial" w:eastAsia="Arial" w:hAnsi="Arial" w:cs="Arial"/>
          <w:szCs w:val="22"/>
        </w:rPr>
        <w:t>aknade troškova zaposlenima, rashode za materijal i energiju, rashode za usluge, naknade troškova osobama izvan radnog odnosa te ostali nespomenuti rashodi poslovanja.</w:t>
      </w:r>
    </w:p>
    <w:p w14:paraId="0C73F8B2" w14:textId="77777777" w:rsidR="00D77970" w:rsidRPr="00D77970" w:rsidRDefault="00D77970" w:rsidP="00D77970">
      <w:pPr>
        <w:pStyle w:val="Odlomakpopisa"/>
        <w:spacing w:after="0" w:line="259" w:lineRule="auto"/>
        <w:ind w:left="420"/>
        <w:jc w:val="both"/>
        <w:rPr>
          <w:rFonts w:ascii="Arial" w:eastAsia="Arial" w:hAnsi="Arial" w:cs="Arial"/>
          <w:bCs/>
          <w:szCs w:val="22"/>
        </w:rPr>
      </w:pPr>
    </w:p>
    <w:p w14:paraId="3C3F526B" w14:textId="77777777" w:rsidR="00C6561B" w:rsidRPr="00D77970" w:rsidRDefault="00C6561B" w:rsidP="00D77970">
      <w:pPr>
        <w:spacing w:line="259" w:lineRule="auto"/>
        <w:jc w:val="both"/>
        <w:rPr>
          <w:rFonts w:ascii="Arial" w:eastAsia="Arial" w:hAnsi="Arial" w:cs="Arial"/>
          <w:bCs/>
          <w:sz w:val="22"/>
          <w:szCs w:val="22"/>
        </w:rPr>
      </w:pPr>
      <w:r w:rsidRPr="00D77970">
        <w:rPr>
          <w:rFonts w:ascii="Arial" w:eastAsia="Arial" w:hAnsi="Arial" w:cs="Arial"/>
          <w:b/>
          <w:sz w:val="22"/>
          <w:szCs w:val="22"/>
        </w:rPr>
        <w:t xml:space="preserve">3. Financijski rashodi </w:t>
      </w:r>
      <w:r w:rsidRPr="00D77970">
        <w:rPr>
          <w:rFonts w:ascii="Arial" w:eastAsia="Arial" w:hAnsi="Arial" w:cs="Arial"/>
          <w:bCs/>
          <w:sz w:val="22"/>
          <w:szCs w:val="22"/>
        </w:rPr>
        <w:t xml:space="preserve">planiraju se u iznosu od </w:t>
      </w:r>
      <w:r w:rsidRPr="00D77970">
        <w:rPr>
          <w:rFonts w:ascii="Arial" w:eastAsia="Arial" w:hAnsi="Arial" w:cs="Arial"/>
          <w:b/>
          <w:sz w:val="22"/>
          <w:szCs w:val="22"/>
        </w:rPr>
        <w:t>470,00 EUR.</w:t>
      </w:r>
    </w:p>
    <w:p w14:paraId="6449A956" w14:textId="77777777" w:rsidR="00C6561B" w:rsidRPr="00D77970" w:rsidRDefault="00C6561B" w:rsidP="00D77970">
      <w:pPr>
        <w:spacing w:line="259" w:lineRule="auto"/>
        <w:contextualSpacing/>
        <w:jc w:val="both"/>
        <w:rPr>
          <w:rFonts w:ascii="Arial" w:eastAsia="Arial" w:hAnsi="Arial" w:cs="Arial"/>
          <w:bCs/>
          <w:sz w:val="22"/>
          <w:szCs w:val="22"/>
        </w:rPr>
      </w:pPr>
      <w:r w:rsidRPr="00D77970">
        <w:rPr>
          <w:rFonts w:ascii="Arial" w:eastAsia="Arial" w:hAnsi="Arial" w:cs="Arial"/>
          <w:bCs/>
          <w:sz w:val="22"/>
          <w:szCs w:val="22"/>
        </w:rPr>
        <w:t>Jednaki su odnosu na plan proračuna 2025. godine.</w:t>
      </w:r>
    </w:p>
    <w:p w14:paraId="78F2399B" w14:textId="77777777" w:rsidR="00C6561B" w:rsidRPr="00D77970" w:rsidRDefault="00C6561B" w:rsidP="00D77970">
      <w:pPr>
        <w:spacing w:line="259" w:lineRule="auto"/>
        <w:contextualSpacing/>
        <w:jc w:val="both"/>
        <w:rPr>
          <w:rFonts w:ascii="Arial" w:eastAsiaTheme="minorHAnsi" w:hAnsi="Arial" w:cs="Arial"/>
          <w:sz w:val="22"/>
          <w:szCs w:val="22"/>
        </w:rPr>
      </w:pPr>
    </w:p>
    <w:p w14:paraId="7F98E8B0" w14:textId="77777777" w:rsidR="00C6561B" w:rsidRPr="00D77970" w:rsidRDefault="00C6561B" w:rsidP="00D77970">
      <w:pPr>
        <w:spacing w:line="259" w:lineRule="auto"/>
        <w:contextualSpacing/>
        <w:jc w:val="both"/>
        <w:rPr>
          <w:rFonts w:ascii="Arial" w:eastAsia="Arial" w:hAnsi="Arial" w:cs="Arial"/>
          <w:bCs/>
          <w:sz w:val="22"/>
          <w:szCs w:val="22"/>
        </w:rPr>
      </w:pPr>
      <w:r w:rsidRPr="00D77970">
        <w:rPr>
          <w:rFonts w:ascii="Arial" w:eastAsia="Arial" w:hAnsi="Arial" w:cs="Arial"/>
          <w:b/>
          <w:sz w:val="22"/>
          <w:szCs w:val="22"/>
        </w:rPr>
        <w:t xml:space="preserve">4. Ostali rashodi </w:t>
      </w:r>
      <w:r w:rsidRPr="00D77970">
        <w:rPr>
          <w:rFonts w:ascii="Arial" w:eastAsia="Arial" w:hAnsi="Arial" w:cs="Arial"/>
          <w:bCs/>
          <w:sz w:val="22"/>
          <w:szCs w:val="22"/>
        </w:rPr>
        <w:t xml:space="preserve">planirani su u prvim izmjenama i dopunama financijskog plana 2025. godine u iznosu od </w:t>
      </w:r>
      <w:r w:rsidRPr="00D77970">
        <w:rPr>
          <w:rFonts w:ascii="Arial" w:eastAsia="Arial" w:hAnsi="Arial" w:cs="Arial"/>
          <w:b/>
          <w:sz w:val="22"/>
          <w:szCs w:val="22"/>
        </w:rPr>
        <w:t>80,00 EUR.</w:t>
      </w:r>
    </w:p>
    <w:p w14:paraId="7C71ADC0" w14:textId="77777777" w:rsidR="00C6561B" w:rsidRPr="00D77970" w:rsidRDefault="00C6561B" w:rsidP="00D77970">
      <w:pPr>
        <w:spacing w:line="259" w:lineRule="auto"/>
        <w:contextualSpacing/>
        <w:jc w:val="both"/>
        <w:rPr>
          <w:rFonts w:ascii="Arial" w:eastAsia="Arial" w:hAnsi="Arial" w:cs="Arial"/>
          <w:b/>
          <w:sz w:val="22"/>
          <w:szCs w:val="22"/>
        </w:rPr>
      </w:pPr>
    </w:p>
    <w:p w14:paraId="30239E94" w14:textId="77777777" w:rsidR="00C6561B" w:rsidRPr="00D77970" w:rsidRDefault="00C6561B" w:rsidP="00D77970">
      <w:pPr>
        <w:spacing w:line="259" w:lineRule="auto"/>
        <w:contextualSpacing/>
        <w:jc w:val="both"/>
        <w:rPr>
          <w:rFonts w:ascii="Arial" w:eastAsia="Arial" w:hAnsi="Arial" w:cs="Arial"/>
          <w:bCs/>
          <w:sz w:val="22"/>
          <w:szCs w:val="22"/>
        </w:rPr>
      </w:pPr>
      <w:r w:rsidRPr="00D77970">
        <w:rPr>
          <w:rFonts w:ascii="Arial" w:eastAsia="Arial" w:hAnsi="Arial" w:cs="Arial"/>
          <w:b/>
          <w:sz w:val="22"/>
          <w:szCs w:val="22"/>
        </w:rPr>
        <w:t xml:space="preserve">5. Rashodi za nabavu nefinancijske imovine </w:t>
      </w:r>
      <w:r w:rsidRPr="00D77970">
        <w:rPr>
          <w:rFonts w:ascii="Arial" w:eastAsia="Arial" w:hAnsi="Arial" w:cs="Arial"/>
          <w:bCs/>
          <w:sz w:val="22"/>
          <w:szCs w:val="22"/>
        </w:rPr>
        <w:t xml:space="preserve">iznose </w:t>
      </w:r>
      <w:r w:rsidRPr="00D77970">
        <w:rPr>
          <w:rFonts w:ascii="Arial" w:eastAsia="Arial" w:hAnsi="Arial" w:cs="Arial"/>
          <w:b/>
          <w:sz w:val="22"/>
          <w:szCs w:val="22"/>
        </w:rPr>
        <w:t xml:space="preserve">37.173,00 EUR </w:t>
      </w:r>
      <w:r w:rsidRPr="00D77970">
        <w:rPr>
          <w:rFonts w:ascii="Arial" w:eastAsia="Arial" w:hAnsi="Arial" w:cs="Arial"/>
          <w:bCs/>
          <w:sz w:val="22"/>
          <w:szCs w:val="22"/>
        </w:rPr>
        <w:t xml:space="preserve">što je u odnosu na financijski plan 2025. godine veće za </w:t>
      </w:r>
      <w:r w:rsidRPr="00D77970">
        <w:rPr>
          <w:rFonts w:ascii="Arial" w:eastAsia="Arial" w:hAnsi="Arial" w:cs="Arial"/>
          <w:b/>
          <w:sz w:val="22"/>
          <w:szCs w:val="22"/>
        </w:rPr>
        <w:t xml:space="preserve">222,40 posto, </w:t>
      </w:r>
      <w:r w:rsidRPr="00D77970">
        <w:rPr>
          <w:rFonts w:ascii="Arial" w:eastAsia="Arial" w:hAnsi="Arial" w:cs="Arial"/>
          <w:bCs/>
          <w:sz w:val="22"/>
          <w:szCs w:val="22"/>
        </w:rPr>
        <w:t>a odnose se na:</w:t>
      </w:r>
    </w:p>
    <w:p w14:paraId="22D82CBE" w14:textId="77777777" w:rsidR="00C6561B" w:rsidRPr="00D77970" w:rsidRDefault="00C6561B">
      <w:pPr>
        <w:pStyle w:val="Odlomakpopisa"/>
        <w:numPr>
          <w:ilvl w:val="0"/>
          <w:numId w:val="41"/>
        </w:numPr>
        <w:spacing w:after="0" w:line="259" w:lineRule="auto"/>
        <w:jc w:val="both"/>
        <w:rPr>
          <w:rFonts w:ascii="Arial" w:hAnsi="Arial" w:cs="Arial"/>
          <w:szCs w:val="22"/>
        </w:rPr>
      </w:pPr>
      <w:r w:rsidRPr="00D77970">
        <w:rPr>
          <w:rFonts w:ascii="Arial" w:eastAsia="Arial" w:hAnsi="Arial" w:cs="Arial"/>
          <w:b/>
          <w:szCs w:val="22"/>
        </w:rPr>
        <w:t xml:space="preserve">Rashode za nabavu proizvedene dugotrajne imovine </w:t>
      </w:r>
      <w:r w:rsidRPr="00D77970">
        <w:rPr>
          <w:rFonts w:ascii="Arial" w:eastAsia="Arial" w:hAnsi="Arial" w:cs="Arial"/>
          <w:szCs w:val="22"/>
        </w:rPr>
        <w:t>u iznosu od</w:t>
      </w:r>
      <w:r w:rsidRPr="00D77970">
        <w:rPr>
          <w:rFonts w:ascii="Arial" w:eastAsia="Arial" w:hAnsi="Arial" w:cs="Arial"/>
          <w:b/>
          <w:bCs/>
          <w:szCs w:val="22"/>
        </w:rPr>
        <w:t xml:space="preserve"> 35.673,00 EUR</w:t>
      </w:r>
      <w:r w:rsidRPr="00D77970">
        <w:rPr>
          <w:rFonts w:ascii="Arial" w:eastAsia="Arial" w:hAnsi="Arial" w:cs="Arial"/>
          <w:szCs w:val="22"/>
        </w:rPr>
        <w:t xml:space="preserve"> te su viši za 222,40 posto u odnosu na financijski plana 2025. godine.</w:t>
      </w:r>
    </w:p>
    <w:p w14:paraId="5A393922" w14:textId="77777777" w:rsidR="00C6561B" w:rsidRPr="00D77970" w:rsidRDefault="00C6561B">
      <w:pPr>
        <w:pStyle w:val="Odlomakpopisa"/>
        <w:numPr>
          <w:ilvl w:val="0"/>
          <w:numId w:val="41"/>
        </w:numPr>
        <w:spacing w:after="0" w:line="259" w:lineRule="auto"/>
        <w:jc w:val="both"/>
        <w:rPr>
          <w:rFonts w:ascii="Arial" w:eastAsia="Arial" w:hAnsi="Arial" w:cs="Arial"/>
          <w:bCs/>
          <w:szCs w:val="22"/>
        </w:rPr>
      </w:pPr>
      <w:r w:rsidRPr="00D77970">
        <w:rPr>
          <w:rFonts w:ascii="Arial" w:eastAsia="Arial" w:hAnsi="Arial" w:cs="Arial"/>
          <w:b/>
          <w:szCs w:val="22"/>
        </w:rPr>
        <w:t xml:space="preserve">Rashode za dodatna ulaganja u nefinancijsku imovinu </w:t>
      </w:r>
      <w:r w:rsidRPr="00D77970">
        <w:rPr>
          <w:rFonts w:ascii="Arial" w:eastAsia="Arial" w:hAnsi="Arial" w:cs="Arial"/>
          <w:bCs/>
          <w:szCs w:val="22"/>
        </w:rPr>
        <w:t>u iznosu od</w:t>
      </w:r>
      <w:r w:rsidRPr="00D77970">
        <w:rPr>
          <w:rFonts w:ascii="Arial" w:eastAsia="Arial" w:hAnsi="Arial" w:cs="Arial"/>
          <w:b/>
          <w:szCs w:val="22"/>
        </w:rPr>
        <w:t xml:space="preserve"> 1.500,00 EUR </w:t>
      </w:r>
      <w:r w:rsidRPr="00D77970">
        <w:rPr>
          <w:rFonts w:ascii="Arial" w:eastAsia="Arial" w:hAnsi="Arial" w:cs="Arial"/>
          <w:bCs/>
          <w:szCs w:val="22"/>
        </w:rPr>
        <w:t>te su jednaki u odnosu na financijski plan 2025. godine.</w:t>
      </w:r>
    </w:p>
    <w:p w14:paraId="382BAD1A" w14:textId="77777777" w:rsidR="00C6561B" w:rsidRPr="00D77970" w:rsidRDefault="00C6561B" w:rsidP="00D77970">
      <w:pPr>
        <w:spacing w:line="259" w:lineRule="auto"/>
        <w:contextualSpacing/>
        <w:jc w:val="both"/>
        <w:rPr>
          <w:rFonts w:ascii="Arial" w:eastAsia="Arial" w:hAnsi="Arial" w:cs="Arial"/>
          <w:b/>
          <w:sz w:val="22"/>
          <w:szCs w:val="22"/>
        </w:rPr>
      </w:pPr>
    </w:p>
    <w:p w14:paraId="7E9C931C" w14:textId="77777777" w:rsidR="00C6561B" w:rsidRPr="00D77970" w:rsidRDefault="00C6561B" w:rsidP="00D77970">
      <w:pPr>
        <w:spacing w:line="259" w:lineRule="auto"/>
        <w:contextualSpacing/>
        <w:jc w:val="both"/>
        <w:rPr>
          <w:rFonts w:ascii="Arial" w:eastAsia="Arial" w:hAnsi="Arial" w:cs="Arial"/>
          <w:b/>
          <w:sz w:val="22"/>
          <w:szCs w:val="22"/>
        </w:rPr>
      </w:pPr>
    </w:p>
    <w:p w14:paraId="57C4A31D"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b/>
          <w:sz w:val="22"/>
          <w:szCs w:val="22"/>
        </w:rPr>
        <w:t>PREGLED PLANIRAHIH PRIHODA I PRIMITAKA, RASHODA I IZDATAKA TE PLANIRANOG REZULTATA POSLOVANJA PREMA IZVORIMA FINANCIRANJA</w:t>
      </w:r>
    </w:p>
    <w:p w14:paraId="2DB278D0" w14:textId="77777777" w:rsidR="00C6561B" w:rsidRPr="00D77970" w:rsidRDefault="00C6561B" w:rsidP="00D77970">
      <w:pPr>
        <w:spacing w:line="259" w:lineRule="auto"/>
        <w:contextualSpacing/>
        <w:jc w:val="both"/>
        <w:rPr>
          <w:rFonts w:ascii="Arial" w:eastAsia="Arial" w:hAnsi="Arial" w:cs="Arial"/>
          <w:b/>
          <w:sz w:val="22"/>
          <w:szCs w:val="22"/>
        </w:rPr>
      </w:pPr>
    </w:p>
    <w:p w14:paraId="29FE5EBA" w14:textId="77777777" w:rsidR="00C6561B" w:rsidRPr="00D77970" w:rsidRDefault="00C6561B" w:rsidP="00D77970">
      <w:pPr>
        <w:spacing w:line="259" w:lineRule="auto"/>
        <w:contextualSpacing/>
        <w:jc w:val="both"/>
        <w:rPr>
          <w:rFonts w:ascii="Arial" w:hAnsi="Arial" w:cs="Arial"/>
          <w:sz w:val="22"/>
          <w:szCs w:val="22"/>
        </w:rPr>
      </w:pPr>
      <w:r w:rsidRPr="00D77970">
        <w:rPr>
          <w:rFonts w:ascii="Arial" w:eastAsia="Arial" w:hAnsi="Arial" w:cs="Arial"/>
          <w:b/>
          <w:sz w:val="22"/>
          <w:szCs w:val="22"/>
        </w:rPr>
        <w:t>Izvor 1.1.001 Opći prihodi i primici</w:t>
      </w:r>
    </w:p>
    <w:p w14:paraId="68CF4415" w14:textId="77777777" w:rsidR="00C6561B" w:rsidRPr="00D77970" w:rsidRDefault="00C6561B" w:rsidP="00D77970">
      <w:pPr>
        <w:spacing w:line="259" w:lineRule="auto"/>
        <w:contextualSpacing/>
        <w:jc w:val="both"/>
        <w:rPr>
          <w:rFonts w:ascii="Arial" w:eastAsiaTheme="minorHAnsi" w:hAnsi="Arial" w:cs="Arial"/>
          <w:sz w:val="22"/>
          <w:szCs w:val="22"/>
        </w:rPr>
      </w:pPr>
      <w:r w:rsidRPr="00D77970">
        <w:rPr>
          <w:rFonts w:ascii="Arial" w:eastAsia="Arial" w:hAnsi="Arial" w:cs="Arial"/>
          <w:sz w:val="22"/>
          <w:szCs w:val="22"/>
        </w:rPr>
        <w:t xml:space="preserve">Opći prihodi i primici planirani su u </w:t>
      </w:r>
      <w:r w:rsidRPr="00D77970">
        <w:rPr>
          <w:rFonts w:ascii="Arial" w:eastAsia="Calibri" w:hAnsi="Arial" w:cs="Arial"/>
          <w:sz w:val="22"/>
          <w:szCs w:val="22"/>
        </w:rPr>
        <w:t xml:space="preserve">iznosu od </w:t>
      </w:r>
      <w:r w:rsidRPr="00D77970">
        <w:rPr>
          <w:rFonts w:ascii="Arial" w:eastAsia="Calibri" w:hAnsi="Arial" w:cs="Arial"/>
          <w:b/>
          <w:bCs/>
          <w:sz w:val="22"/>
          <w:szCs w:val="22"/>
        </w:rPr>
        <w:t xml:space="preserve">412.860,00 EUR </w:t>
      </w:r>
      <w:r w:rsidRPr="00D77970">
        <w:rPr>
          <w:rFonts w:ascii="Arial" w:eastAsia="Calibri" w:hAnsi="Arial" w:cs="Arial"/>
          <w:sz w:val="22"/>
          <w:szCs w:val="22"/>
        </w:rPr>
        <w:t>odnose se na sredstva dobivena od nadležnog proračuna.</w:t>
      </w:r>
    </w:p>
    <w:p w14:paraId="7273D99B" w14:textId="77777777" w:rsidR="00C6561B" w:rsidRPr="00D77970" w:rsidRDefault="00C6561B" w:rsidP="00D77970">
      <w:pPr>
        <w:spacing w:line="259" w:lineRule="auto"/>
        <w:contextualSpacing/>
        <w:jc w:val="both"/>
        <w:rPr>
          <w:rFonts w:ascii="Arial" w:hAnsi="Arial" w:cs="Arial"/>
          <w:sz w:val="22"/>
          <w:szCs w:val="22"/>
        </w:rPr>
      </w:pPr>
      <w:r w:rsidRPr="00D77970">
        <w:rPr>
          <w:rFonts w:ascii="Arial" w:eastAsia="Arial" w:hAnsi="Arial" w:cs="Arial"/>
          <w:sz w:val="22"/>
          <w:szCs w:val="22"/>
        </w:rPr>
        <w:t>Iz tih sredstava pokrivati će se slijedeći rashodi:</w:t>
      </w:r>
    </w:p>
    <w:p w14:paraId="616FF270" w14:textId="77777777" w:rsidR="00C6561B" w:rsidRPr="00D77970" w:rsidRDefault="00C6561B">
      <w:pPr>
        <w:pStyle w:val="Odlomakpopisa"/>
        <w:numPr>
          <w:ilvl w:val="0"/>
          <w:numId w:val="42"/>
        </w:numPr>
        <w:spacing w:after="0" w:line="259" w:lineRule="auto"/>
        <w:jc w:val="both"/>
        <w:rPr>
          <w:rFonts w:ascii="Arial" w:eastAsiaTheme="minorHAnsi" w:hAnsi="Arial" w:cs="Arial"/>
          <w:szCs w:val="22"/>
        </w:rPr>
      </w:pPr>
      <w:r w:rsidRPr="00D77970">
        <w:rPr>
          <w:rFonts w:ascii="Arial" w:eastAsia="Arial" w:hAnsi="Arial" w:cs="Arial"/>
          <w:szCs w:val="22"/>
        </w:rPr>
        <w:t xml:space="preserve">rashodi za zaposlene – odnose se na bruto plaće zaposlenika muzeja, gradske galerije te administrativno i tehničko osoblje, ostale rashode zaposlenika (regres za godišnji odmor, dar djetetu i poklon bon) u iznosu od </w:t>
      </w:r>
      <w:r w:rsidRPr="00D77970">
        <w:rPr>
          <w:rFonts w:ascii="Arial" w:eastAsia="Arial" w:hAnsi="Arial" w:cs="Arial"/>
          <w:b/>
          <w:bCs/>
          <w:szCs w:val="22"/>
        </w:rPr>
        <w:t>290.808,00 EUR</w:t>
      </w:r>
    </w:p>
    <w:p w14:paraId="1EB49884" w14:textId="77777777" w:rsidR="00C6561B" w:rsidRPr="00D77970" w:rsidRDefault="00C6561B">
      <w:pPr>
        <w:pStyle w:val="Odlomakpopisa"/>
        <w:numPr>
          <w:ilvl w:val="0"/>
          <w:numId w:val="42"/>
        </w:numPr>
        <w:spacing w:after="0" w:line="259" w:lineRule="auto"/>
        <w:jc w:val="both"/>
        <w:rPr>
          <w:rFonts w:ascii="Arial" w:hAnsi="Arial" w:cs="Arial"/>
          <w:szCs w:val="22"/>
        </w:rPr>
      </w:pPr>
      <w:r w:rsidRPr="00D77970">
        <w:rPr>
          <w:rFonts w:ascii="Arial" w:eastAsia="Arial" w:hAnsi="Arial" w:cs="Arial"/>
          <w:szCs w:val="22"/>
        </w:rPr>
        <w:t xml:space="preserve">materijalni rashodi - odnose se na naknade troškova zaposlenicima (naknade za prijevoz s posla i na posao), rashode za materijal i energiju (trošak električne energije, materijal za tekuće i investicijsko održavanje i rashode za usluge (usluge tekućeg i investicijskog održavanja, komunalne usluge, intelektualne i osobne usluge, računalne usluge te ostale usluge (usluga tiska i sl.) i ostali nespomenuti rashodi poslovanja (trošak reprezentacije) u iznosu od </w:t>
      </w:r>
      <w:r w:rsidRPr="00D77970">
        <w:rPr>
          <w:rFonts w:ascii="Arial" w:eastAsia="Arial" w:hAnsi="Arial" w:cs="Arial"/>
          <w:b/>
          <w:bCs/>
          <w:szCs w:val="22"/>
        </w:rPr>
        <w:t>100.433,00 EUR</w:t>
      </w:r>
    </w:p>
    <w:p w14:paraId="114BD407" w14:textId="77777777" w:rsidR="00C6561B" w:rsidRPr="00D77970" w:rsidRDefault="00C6561B">
      <w:pPr>
        <w:pStyle w:val="Odlomakpopisa"/>
        <w:numPr>
          <w:ilvl w:val="0"/>
          <w:numId w:val="42"/>
        </w:numPr>
        <w:spacing w:after="0" w:line="259" w:lineRule="auto"/>
        <w:jc w:val="both"/>
        <w:rPr>
          <w:rFonts w:ascii="Arial" w:hAnsi="Arial" w:cs="Arial"/>
          <w:szCs w:val="22"/>
        </w:rPr>
      </w:pPr>
      <w:r w:rsidRPr="00D77970">
        <w:rPr>
          <w:rFonts w:ascii="Arial" w:eastAsia="Arial" w:hAnsi="Arial" w:cs="Arial"/>
          <w:szCs w:val="22"/>
        </w:rPr>
        <w:t xml:space="preserve">financijski rashodi za bankarske usluge planirani su u iznosu od </w:t>
      </w:r>
      <w:r w:rsidRPr="00D77970">
        <w:rPr>
          <w:rFonts w:ascii="Arial" w:eastAsia="Arial" w:hAnsi="Arial" w:cs="Arial"/>
          <w:b/>
          <w:bCs/>
          <w:szCs w:val="22"/>
        </w:rPr>
        <w:t>70,00 EUR</w:t>
      </w:r>
    </w:p>
    <w:p w14:paraId="2511BC61" w14:textId="77777777" w:rsidR="00C6561B" w:rsidRPr="00D77970" w:rsidRDefault="00C6561B">
      <w:pPr>
        <w:pStyle w:val="Odlomakpopisa"/>
        <w:numPr>
          <w:ilvl w:val="0"/>
          <w:numId w:val="42"/>
        </w:numPr>
        <w:spacing w:after="0" w:line="259" w:lineRule="auto"/>
        <w:jc w:val="both"/>
        <w:rPr>
          <w:rFonts w:ascii="Arial" w:hAnsi="Arial" w:cs="Arial"/>
          <w:szCs w:val="22"/>
        </w:rPr>
      </w:pPr>
      <w:r w:rsidRPr="00D77970">
        <w:rPr>
          <w:rFonts w:ascii="Arial" w:eastAsia="Arial" w:hAnsi="Arial" w:cs="Arial"/>
          <w:szCs w:val="22"/>
        </w:rPr>
        <w:t xml:space="preserve">rashodi za nabavu dugotrajne nefinancijske imovine u iznosu od </w:t>
      </w:r>
      <w:r w:rsidRPr="00D77970">
        <w:rPr>
          <w:rFonts w:ascii="Arial" w:eastAsia="Arial" w:hAnsi="Arial" w:cs="Arial"/>
          <w:b/>
          <w:bCs/>
          <w:szCs w:val="22"/>
        </w:rPr>
        <w:t>500,00 EUR</w:t>
      </w:r>
    </w:p>
    <w:p w14:paraId="347492AE" w14:textId="77777777" w:rsidR="00C6561B" w:rsidRPr="00D77970" w:rsidRDefault="00C6561B">
      <w:pPr>
        <w:pStyle w:val="Odlomakpopisa"/>
        <w:numPr>
          <w:ilvl w:val="0"/>
          <w:numId w:val="42"/>
        </w:numPr>
        <w:spacing w:after="0" w:line="259" w:lineRule="auto"/>
        <w:jc w:val="both"/>
        <w:rPr>
          <w:rFonts w:ascii="Arial" w:hAnsi="Arial" w:cs="Arial"/>
          <w:szCs w:val="22"/>
        </w:rPr>
      </w:pPr>
      <w:r w:rsidRPr="00D77970">
        <w:rPr>
          <w:rFonts w:ascii="Arial" w:eastAsia="Arial" w:hAnsi="Arial" w:cs="Arial"/>
          <w:szCs w:val="22"/>
        </w:rPr>
        <w:t xml:space="preserve">metodički manjak prihoda poslovanja u iznosu od </w:t>
      </w:r>
      <w:r w:rsidRPr="00D77970">
        <w:rPr>
          <w:rFonts w:ascii="Arial" w:eastAsia="Arial" w:hAnsi="Arial" w:cs="Arial"/>
          <w:b/>
          <w:bCs/>
          <w:szCs w:val="22"/>
        </w:rPr>
        <w:t>21.049,00 EUR</w:t>
      </w:r>
    </w:p>
    <w:p w14:paraId="772BF4F3" w14:textId="77777777" w:rsidR="00C6561B" w:rsidRPr="00D77970" w:rsidRDefault="00C6561B" w:rsidP="00D77970">
      <w:pPr>
        <w:spacing w:line="259" w:lineRule="auto"/>
        <w:jc w:val="both"/>
        <w:rPr>
          <w:rFonts w:ascii="Arial" w:eastAsia="Arial" w:hAnsi="Arial" w:cs="Arial"/>
          <w:b/>
          <w:sz w:val="22"/>
          <w:szCs w:val="22"/>
        </w:rPr>
      </w:pPr>
    </w:p>
    <w:p w14:paraId="60BD8A4A" w14:textId="77777777" w:rsidR="00C6561B" w:rsidRPr="00D77970" w:rsidRDefault="00C6561B" w:rsidP="00D77970">
      <w:pPr>
        <w:spacing w:line="259" w:lineRule="auto"/>
        <w:contextualSpacing/>
        <w:jc w:val="both"/>
        <w:rPr>
          <w:rFonts w:ascii="Arial" w:eastAsiaTheme="minorHAnsi" w:hAnsi="Arial" w:cs="Arial"/>
          <w:sz w:val="22"/>
          <w:szCs w:val="22"/>
        </w:rPr>
      </w:pPr>
      <w:r w:rsidRPr="00D77970">
        <w:rPr>
          <w:rFonts w:ascii="Arial" w:eastAsia="Arial" w:hAnsi="Arial" w:cs="Arial"/>
          <w:b/>
          <w:sz w:val="22"/>
          <w:szCs w:val="22"/>
        </w:rPr>
        <w:t>Izvor 3.9.000001 Vlastiti prihodi</w:t>
      </w:r>
    </w:p>
    <w:p w14:paraId="5EB760A1" w14:textId="77777777" w:rsidR="00C6561B" w:rsidRPr="00D77970" w:rsidRDefault="00C6561B" w:rsidP="00D77970">
      <w:pPr>
        <w:spacing w:line="259" w:lineRule="auto"/>
        <w:contextualSpacing/>
        <w:jc w:val="both"/>
        <w:rPr>
          <w:rFonts w:ascii="Arial" w:eastAsiaTheme="minorHAnsi" w:hAnsi="Arial" w:cs="Arial"/>
          <w:b/>
          <w:bCs/>
          <w:sz w:val="22"/>
          <w:szCs w:val="22"/>
        </w:rPr>
      </w:pPr>
      <w:r w:rsidRPr="00D77970">
        <w:rPr>
          <w:rFonts w:ascii="Arial" w:eastAsia="Arial" w:hAnsi="Arial" w:cs="Arial"/>
          <w:sz w:val="22"/>
          <w:szCs w:val="22"/>
        </w:rPr>
        <w:t xml:space="preserve">Vlastiti prihodi planirani su u iznosu </w:t>
      </w:r>
      <w:r w:rsidRPr="00D77970">
        <w:rPr>
          <w:rFonts w:ascii="Arial" w:eastAsia="Arial" w:hAnsi="Arial" w:cs="Arial"/>
          <w:b/>
          <w:bCs/>
          <w:sz w:val="22"/>
          <w:szCs w:val="22"/>
        </w:rPr>
        <w:t>117.269,00 EUR</w:t>
      </w:r>
      <w:r w:rsidRPr="00D77970">
        <w:rPr>
          <w:rFonts w:ascii="Arial" w:eastAsia="Arial" w:hAnsi="Arial" w:cs="Arial"/>
          <w:sz w:val="22"/>
          <w:szCs w:val="22"/>
        </w:rPr>
        <w:t xml:space="preserve">, a ostvaruju se od prodaje karata u kinu, održavanja tečaja obrazovanja (verificiranih i neverificiranih programa u skladu s Godišnjem </w:t>
      </w:r>
      <w:r w:rsidRPr="00D77970">
        <w:rPr>
          <w:rFonts w:ascii="Arial" w:eastAsia="Arial" w:hAnsi="Arial" w:cs="Arial"/>
          <w:sz w:val="22"/>
          <w:szCs w:val="22"/>
        </w:rPr>
        <w:lastRenderedPageBreak/>
        <w:t>planom i programom obrazovanja odraslih), prodaje suvenira u Gradskoj galeriji, najma prostora Muzeja i Gradske galerije, Kino sale i opreme u vlasništvu POU.</w:t>
      </w:r>
    </w:p>
    <w:p w14:paraId="57E2B321" w14:textId="77777777" w:rsidR="00C6561B" w:rsidRPr="00D77970" w:rsidRDefault="00C6561B" w:rsidP="00D77970">
      <w:pPr>
        <w:spacing w:line="259" w:lineRule="auto"/>
        <w:contextualSpacing/>
        <w:jc w:val="both"/>
        <w:rPr>
          <w:rFonts w:ascii="Arial" w:hAnsi="Arial" w:cs="Arial"/>
          <w:sz w:val="22"/>
          <w:szCs w:val="22"/>
        </w:rPr>
      </w:pPr>
      <w:r w:rsidRPr="00D77970">
        <w:rPr>
          <w:rFonts w:ascii="Arial" w:eastAsia="Arial" w:hAnsi="Arial" w:cs="Arial"/>
          <w:sz w:val="22"/>
          <w:szCs w:val="22"/>
        </w:rPr>
        <w:br/>
        <w:t>Iz tih sredstava pokrivati će se slijedeći rashodi:</w:t>
      </w:r>
    </w:p>
    <w:p w14:paraId="2EFEE7CF" w14:textId="77777777" w:rsidR="00C6561B" w:rsidRPr="00D77970" w:rsidRDefault="00C6561B">
      <w:pPr>
        <w:pStyle w:val="Odlomakpopisa"/>
        <w:numPr>
          <w:ilvl w:val="0"/>
          <w:numId w:val="43"/>
        </w:numPr>
        <w:spacing w:after="0" w:line="259" w:lineRule="auto"/>
        <w:jc w:val="both"/>
        <w:rPr>
          <w:rFonts w:ascii="Arial" w:eastAsia="Arial" w:hAnsi="Arial" w:cs="Arial"/>
          <w:szCs w:val="22"/>
        </w:rPr>
      </w:pPr>
      <w:r w:rsidRPr="00D77970">
        <w:rPr>
          <w:rFonts w:ascii="Arial" w:eastAsia="Arial" w:hAnsi="Arial" w:cs="Arial"/>
          <w:szCs w:val="22"/>
        </w:rPr>
        <w:t xml:space="preserve">rashodi za zaposlene u iznosu od </w:t>
      </w:r>
      <w:r w:rsidRPr="00D77970">
        <w:rPr>
          <w:rFonts w:ascii="Arial" w:eastAsia="Arial" w:hAnsi="Arial" w:cs="Arial"/>
          <w:b/>
          <w:bCs/>
          <w:szCs w:val="22"/>
        </w:rPr>
        <w:t>11.717,00 EUR</w:t>
      </w:r>
    </w:p>
    <w:p w14:paraId="040FBC7B" w14:textId="77777777" w:rsidR="00C6561B" w:rsidRPr="00D77970" w:rsidRDefault="00C6561B">
      <w:pPr>
        <w:pStyle w:val="Odlomakpopisa"/>
        <w:numPr>
          <w:ilvl w:val="0"/>
          <w:numId w:val="43"/>
        </w:numPr>
        <w:spacing w:after="0" w:line="259" w:lineRule="auto"/>
        <w:jc w:val="both"/>
        <w:rPr>
          <w:rFonts w:ascii="Arial" w:eastAsia="Arial" w:hAnsi="Arial" w:cs="Arial"/>
          <w:szCs w:val="22"/>
        </w:rPr>
      </w:pPr>
      <w:r w:rsidRPr="00D77970">
        <w:rPr>
          <w:rFonts w:ascii="Arial" w:eastAsia="Arial" w:hAnsi="Arial" w:cs="Arial"/>
          <w:szCs w:val="22"/>
        </w:rPr>
        <w:t xml:space="preserve">materijalni rashodi – odnose se na službena putovanja zaposlenika, rashode za materijal i energiju (trošak električne energije, materijal za tekuće i investicijsko održavanje i rashode za usluge( usluge telefona, pošte, usluge tekućeg i investicijskog održavanja, komunalne usluge, intelektualne i osobne usluge, računalne usluge te ostale usluge (usluga tiska i sl.) i ostali nespomenuti rashodi poslovanja (trošak reprezentacije) u iznosu od </w:t>
      </w:r>
      <w:r w:rsidRPr="00D77970">
        <w:rPr>
          <w:rFonts w:ascii="Arial" w:eastAsia="Arial" w:hAnsi="Arial" w:cs="Arial"/>
          <w:b/>
          <w:bCs/>
          <w:szCs w:val="22"/>
        </w:rPr>
        <w:t>98.242,00 EUR</w:t>
      </w:r>
    </w:p>
    <w:p w14:paraId="6ABE6AB6" w14:textId="77777777" w:rsidR="00C6561B" w:rsidRPr="00D77970" w:rsidRDefault="00C6561B">
      <w:pPr>
        <w:pStyle w:val="Odlomakpopisa"/>
        <w:numPr>
          <w:ilvl w:val="0"/>
          <w:numId w:val="43"/>
        </w:numPr>
        <w:spacing w:after="0" w:line="259" w:lineRule="auto"/>
        <w:jc w:val="both"/>
        <w:rPr>
          <w:rFonts w:ascii="Arial" w:eastAsia="Arial" w:hAnsi="Arial" w:cs="Arial"/>
          <w:szCs w:val="22"/>
        </w:rPr>
      </w:pPr>
      <w:r w:rsidRPr="00D77970">
        <w:rPr>
          <w:rFonts w:ascii="Arial" w:eastAsia="Arial" w:hAnsi="Arial" w:cs="Arial"/>
          <w:szCs w:val="22"/>
        </w:rPr>
        <w:t xml:space="preserve">financijski rashodi za bankarske usluge planirani su u iznosu od </w:t>
      </w:r>
      <w:r w:rsidRPr="00D77970">
        <w:rPr>
          <w:rFonts w:ascii="Arial" w:eastAsia="Arial" w:hAnsi="Arial" w:cs="Arial"/>
          <w:b/>
          <w:bCs/>
          <w:szCs w:val="22"/>
        </w:rPr>
        <w:t>200,00 EUR</w:t>
      </w:r>
    </w:p>
    <w:p w14:paraId="2610B284" w14:textId="77777777" w:rsidR="00C6561B" w:rsidRPr="00D77970" w:rsidRDefault="00C6561B">
      <w:pPr>
        <w:pStyle w:val="Odlomakpopisa"/>
        <w:numPr>
          <w:ilvl w:val="0"/>
          <w:numId w:val="43"/>
        </w:numPr>
        <w:spacing w:after="0" w:line="259" w:lineRule="auto"/>
        <w:jc w:val="both"/>
        <w:rPr>
          <w:rFonts w:ascii="Arial" w:eastAsia="Arial" w:hAnsi="Arial" w:cs="Arial"/>
          <w:szCs w:val="22"/>
        </w:rPr>
      </w:pPr>
      <w:r w:rsidRPr="00D77970">
        <w:rPr>
          <w:rFonts w:ascii="Arial" w:eastAsia="Arial" w:hAnsi="Arial" w:cs="Arial"/>
          <w:szCs w:val="22"/>
        </w:rPr>
        <w:t xml:space="preserve">ostalih rashoda – tekuće donacije u iznosu od </w:t>
      </w:r>
      <w:r w:rsidRPr="00D77970">
        <w:rPr>
          <w:rFonts w:ascii="Arial" w:eastAsia="Arial" w:hAnsi="Arial" w:cs="Arial"/>
          <w:b/>
          <w:bCs/>
          <w:szCs w:val="22"/>
        </w:rPr>
        <w:t>80,00 EUR</w:t>
      </w:r>
    </w:p>
    <w:p w14:paraId="699D4918" w14:textId="77777777" w:rsidR="00C6561B" w:rsidRPr="00D77970" w:rsidRDefault="00C6561B">
      <w:pPr>
        <w:pStyle w:val="Odlomakpopisa"/>
        <w:numPr>
          <w:ilvl w:val="0"/>
          <w:numId w:val="43"/>
        </w:numPr>
        <w:spacing w:after="0" w:line="259" w:lineRule="auto"/>
        <w:jc w:val="both"/>
        <w:rPr>
          <w:rFonts w:ascii="Arial" w:eastAsia="Arial" w:hAnsi="Arial" w:cs="Arial"/>
          <w:szCs w:val="22"/>
        </w:rPr>
      </w:pPr>
      <w:r w:rsidRPr="00D77970">
        <w:rPr>
          <w:rFonts w:ascii="Arial" w:eastAsia="Arial" w:hAnsi="Arial" w:cs="Arial"/>
          <w:szCs w:val="22"/>
        </w:rPr>
        <w:t xml:space="preserve">rashodi za nabavu proizvedene dugotrajne nefinancijske imovine u iznosu od </w:t>
      </w:r>
      <w:r w:rsidRPr="00D77970">
        <w:rPr>
          <w:rFonts w:ascii="Arial" w:eastAsia="Arial" w:hAnsi="Arial" w:cs="Arial"/>
          <w:b/>
          <w:bCs/>
          <w:szCs w:val="22"/>
        </w:rPr>
        <w:t>7.030,00 EUR</w:t>
      </w:r>
      <w:r w:rsidRPr="00D77970">
        <w:rPr>
          <w:rFonts w:ascii="Arial" w:eastAsia="Arial" w:hAnsi="Arial" w:cs="Arial"/>
          <w:szCs w:val="22"/>
        </w:rPr>
        <w:br/>
      </w:r>
    </w:p>
    <w:p w14:paraId="64D80A32" w14:textId="77777777" w:rsidR="00C6561B" w:rsidRPr="00D77970" w:rsidRDefault="00C6561B" w:rsidP="00D77970">
      <w:pPr>
        <w:spacing w:line="259" w:lineRule="auto"/>
        <w:jc w:val="both"/>
        <w:rPr>
          <w:rFonts w:ascii="Arial" w:hAnsi="Arial" w:cs="Arial"/>
          <w:b/>
          <w:bCs/>
          <w:sz w:val="22"/>
          <w:szCs w:val="22"/>
        </w:rPr>
      </w:pPr>
      <w:r w:rsidRPr="00D77970">
        <w:rPr>
          <w:rFonts w:ascii="Arial" w:eastAsia="Arial" w:hAnsi="Arial" w:cs="Arial"/>
          <w:b/>
          <w:bCs/>
          <w:sz w:val="22"/>
          <w:szCs w:val="22"/>
        </w:rPr>
        <w:t>Izvor 4.9.000001 Prihodi za posebne namjene</w:t>
      </w:r>
    </w:p>
    <w:p w14:paraId="1B7F9326" w14:textId="77777777" w:rsidR="00C6561B" w:rsidRPr="00D77970" w:rsidRDefault="00C6561B" w:rsidP="00D77970">
      <w:pPr>
        <w:spacing w:line="259" w:lineRule="auto"/>
        <w:contextualSpacing/>
        <w:jc w:val="both"/>
        <w:rPr>
          <w:rFonts w:ascii="Arial" w:eastAsiaTheme="minorHAnsi" w:hAnsi="Arial" w:cs="Arial"/>
          <w:sz w:val="22"/>
          <w:szCs w:val="22"/>
        </w:rPr>
      </w:pPr>
      <w:r w:rsidRPr="00D77970">
        <w:rPr>
          <w:rFonts w:ascii="Arial" w:eastAsia="Arial" w:hAnsi="Arial" w:cs="Arial"/>
          <w:sz w:val="22"/>
          <w:szCs w:val="22"/>
        </w:rPr>
        <w:t xml:space="preserve">Prihodi za posebne namjene su planirani u iznosu od </w:t>
      </w:r>
      <w:r w:rsidRPr="00D77970">
        <w:rPr>
          <w:rFonts w:ascii="Arial" w:eastAsia="Arial" w:hAnsi="Arial" w:cs="Arial"/>
          <w:b/>
          <w:bCs/>
          <w:sz w:val="22"/>
          <w:szCs w:val="22"/>
        </w:rPr>
        <w:t>33.494,00 EUR</w:t>
      </w:r>
      <w:r w:rsidRPr="00D77970">
        <w:rPr>
          <w:rFonts w:ascii="Arial" w:eastAsia="Arial" w:hAnsi="Arial" w:cs="Arial"/>
          <w:sz w:val="22"/>
          <w:szCs w:val="22"/>
        </w:rPr>
        <w:t xml:space="preserve"> i ostvaruju se prodajom ulaznica za Narodni muzej Labin, prodajom karata na manifestacijama organiziranih u sklopu glazbeno -scenske djelatnosti.</w:t>
      </w:r>
    </w:p>
    <w:p w14:paraId="083CCB4F" w14:textId="77777777" w:rsidR="00C6561B" w:rsidRPr="00D77970" w:rsidRDefault="00C6561B" w:rsidP="00D77970">
      <w:pPr>
        <w:spacing w:line="259" w:lineRule="auto"/>
        <w:contextualSpacing/>
        <w:jc w:val="both"/>
        <w:rPr>
          <w:rFonts w:ascii="Arial" w:eastAsia="Arial" w:hAnsi="Arial" w:cs="Arial"/>
          <w:sz w:val="22"/>
          <w:szCs w:val="22"/>
        </w:rPr>
      </w:pPr>
    </w:p>
    <w:p w14:paraId="1F505983" w14:textId="77777777" w:rsidR="00C6561B" w:rsidRPr="00D77970" w:rsidRDefault="00C6561B" w:rsidP="00D77970">
      <w:pPr>
        <w:spacing w:line="259" w:lineRule="auto"/>
        <w:contextualSpacing/>
        <w:jc w:val="both"/>
        <w:rPr>
          <w:rFonts w:ascii="Arial" w:hAnsi="Arial" w:cs="Arial"/>
          <w:sz w:val="22"/>
          <w:szCs w:val="22"/>
        </w:rPr>
      </w:pPr>
      <w:r w:rsidRPr="00D77970">
        <w:rPr>
          <w:rFonts w:ascii="Arial" w:eastAsia="Arial" w:hAnsi="Arial" w:cs="Arial"/>
          <w:sz w:val="22"/>
          <w:szCs w:val="22"/>
        </w:rPr>
        <w:t>Iz tih sredstava pokrivati će se slijedeći rashodi:</w:t>
      </w:r>
    </w:p>
    <w:p w14:paraId="136D6660" w14:textId="77777777" w:rsidR="00C6561B" w:rsidRPr="00D77970" w:rsidRDefault="00C6561B">
      <w:pPr>
        <w:pStyle w:val="Odlomakpopisa"/>
        <w:numPr>
          <w:ilvl w:val="0"/>
          <w:numId w:val="43"/>
        </w:numPr>
        <w:spacing w:after="0" w:line="259" w:lineRule="auto"/>
        <w:jc w:val="both"/>
        <w:rPr>
          <w:rFonts w:ascii="Arial" w:eastAsia="Arial" w:hAnsi="Arial" w:cs="Arial"/>
          <w:szCs w:val="22"/>
        </w:rPr>
      </w:pPr>
      <w:r w:rsidRPr="00D77970">
        <w:rPr>
          <w:rFonts w:ascii="Arial" w:eastAsia="Arial" w:hAnsi="Arial" w:cs="Arial"/>
          <w:szCs w:val="22"/>
        </w:rPr>
        <w:t xml:space="preserve">materijalni rashodi – odnose se na službena putovanja zaposlenika, rashode za materijal i energiju (trošak električne energije, materijal za tekuće i investicijsko održavanje i rashode za usluge (usluge telefona, pošte, usluge tekućeg i investicijskog održavanja, komunalne usluge, intelektualne i osobne usluge, računalne usluge te ostale usluge (usluga tiska i sl.) i ostali nespomenuti rashodi poslovanja (trošak reprezentacije) u iznosu od </w:t>
      </w:r>
      <w:r w:rsidRPr="00D77970">
        <w:rPr>
          <w:rFonts w:ascii="Arial" w:eastAsia="Arial" w:hAnsi="Arial" w:cs="Arial"/>
          <w:b/>
          <w:bCs/>
          <w:szCs w:val="22"/>
        </w:rPr>
        <w:t>29.394,00 EUR</w:t>
      </w:r>
    </w:p>
    <w:p w14:paraId="66FD1DAE" w14:textId="77777777" w:rsidR="00C6561B" w:rsidRPr="00D77970" w:rsidRDefault="00C6561B">
      <w:pPr>
        <w:pStyle w:val="Odlomakpopisa"/>
        <w:numPr>
          <w:ilvl w:val="0"/>
          <w:numId w:val="43"/>
        </w:numPr>
        <w:spacing w:after="0" w:line="259" w:lineRule="auto"/>
        <w:jc w:val="both"/>
        <w:rPr>
          <w:rFonts w:ascii="Arial" w:eastAsia="Arial" w:hAnsi="Arial" w:cs="Arial"/>
          <w:szCs w:val="22"/>
        </w:rPr>
      </w:pPr>
      <w:r w:rsidRPr="00D77970">
        <w:rPr>
          <w:rFonts w:ascii="Arial" w:eastAsia="Times New Roman" w:hAnsi="Arial" w:cs="Arial"/>
          <w:szCs w:val="22"/>
        </w:rPr>
        <w:t xml:space="preserve">financijski rashodi za bankarske usluge planirani su u iznosu od </w:t>
      </w:r>
      <w:r w:rsidRPr="00D77970">
        <w:rPr>
          <w:rFonts w:ascii="Arial" w:eastAsia="Times New Roman" w:hAnsi="Arial" w:cs="Arial"/>
          <w:b/>
          <w:bCs/>
          <w:szCs w:val="22"/>
        </w:rPr>
        <w:t>200,00 EUR</w:t>
      </w:r>
    </w:p>
    <w:p w14:paraId="2117B945" w14:textId="1FC8D901" w:rsidR="00C6561B" w:rsidRPr="00D77970" w:rsidRDefault="00C6561B">
      <w:pPr>
        <w:pStyle w:val="Odlomakpopisa"/>
        <w:numPr>
          <w:ilvl w:val="0"/>
          <w:numId w:val="43"/>
        </w:numPr>
        <w:spacing w:after="0" w:line="259" w:lineRule="auto"/>
        <w:jc w:val="both"/>
        <w:rPr>
          <w:rFonts w:ascii="Arial" w:eastAsia="Arial" w:hAnsi="Arial" w:cs="Arial"/>
          <w:szCs w:val="22"/>
        </w:rPr>
      </w:pPr>
      <w:r w:rsidRPr="00D77970">
        <w:rPr>
          <w:rFonts w:ascii="Arial" w:eastAsia="Times New Roman" w:hAnsi="Arial" w:cs="Arial"/>
          <w:szCs w:val="22"/>
        </w:rPr>
        <w:t xml:space="preserve">rashode za nabavu proizvedene dugotrajne nefinancijske imovine </w:t>
      </w:r>
      <w:r w:rsidRPr="00D77970">
        <w:rPr>
          <w:rFonts w:ascii="Arial" w:hAnsi="Arial" w:cs="Arial"/>
          <w:szCs w:val="22"/>
        </w:rPr>
        <w:t xml:space="preserve">u iznosu od </w:t>
      </w:r>
      <w:r w:rsidRPr="00D77970">
        <w:rPr>
          <w:rFonts w:ascii="Arial" w:hAnsi="Arial" w:cs="Arial"/>
          <w:b/>
          <w:bCs/>
          <w:szCs w:val="22"/>
        </w:rPr>
        <w:t>3.400,00 EUR</w:t>
      </w:r>
    </w:p>
    <w:p w14:paraId="262B5F50" w14:textId="77777777" w:rsidR="00C6561B" w:rsidRPr="00D77970" w:rsidRDefault="00C6561B">
      <w:pPr>
        <w:pStyle w:val="Odlomakpopisa"/>
        <w:numPr>
          <w:ilvl w:val="0"/>
          <w:numId w:val="43"/>
        </w:numPr>
        <w:spacing w:after="0" w:line="259" w:lineRule="auto"/>
        <w:jc w:val="both"/>
        <w:rPr>
          <w:rFonts w:ascii="Arial" w:eastAsia="Arial" w:hAnsi="Arial" w:cs="Arial"/>
          <w:szCs w:val="22"/>
        </w:rPr>
      </w:pPr>
      <w:r w:rsidRPr="00D77970">
        <w:rPr>
          <w:rFonts w:ascii="Arial" w:eastAsia="Times New Roman" w:hAnsi="Arial" w:cs="Arial"/>
          <w:szCs w:val="22"/>
        </w:rPr>
        <w:t>rashode za dodatna ulaganja u nefinancijsku imovinu u iznosu od</w:t>
      </w:r>
      <w:r w:rsidRPr="00D77970">
        <w:rPr>
          <w:rFonts w:ascii="Arial" w:eastAsia="Times New Roman" w:hAnsi="Arial" w:cs="Arial"/>
          <w:b/>
          <w:bCs/>
          <w:szCs w:val="22"/>
        </w:rPr>
        <w:t xml:space="preserve"> 500,00 EUR.</w:t>
      </w:r>
    </w:p>
    <w:p w14:paraId="68F45255" w14:textId="77777777" w:rsidR="00C6561B" w:rsidRPr="00D77970" w:rsidRDefault="00C6561B" w:rsidP="00D77970">
      <w:pPr>
        <w:spacing w:line="259" w:lineRule="auto"/>
        <w:jc w:val="both"/>
        <w:rPr>
          <w:rFonts w:ascii="Arial" w:eastAsia="Arial" w:hAnsi="Arial" w:cs="Arial"/>
          <w:b/>
          <w:sz w:val="22"/>
          <w:szCs w:val="22"/>
        </w:rPr>
      </w:pPr>
    </w:p>
    <w:p w14:paraId="000771A8" w14:textId="77777777" w:rsidR="00C6561B" w:rsidRPr="00D77970" w:rsidRDefault="00C6561B" w:rsidP="00D77970">
      <w:pPr>
        <w:spacing w:line="259" w:lineRule="auto"/>
        <w:contextualSpacing/>
        <w:jc w:val="both"/>
        <w:rPr>
          <w:rFonts w:ascii="Arial" w:eastAsia="Calibri" w:hAnsi="Arial" w:cs="Arial"/>
          <w:b/>
          <w:bCs/>
          <w:sz w:val="22"/>
          <w:szCs w:val="22"/>
        </w:rPr>
      </w:pPr>
      <w:r w:rsidRPr="00D77970">
        <w:rPr>
          <w:rFonts w:ascii="Arial" w:eastAsia="Arial" w:hAnsi="Arial" w:cs="Arial"/>
          <w:b/>
          <w:sz w:val="22"/>
          <w:szCs w:val="22"/>
        </w:rPr>
        <w:t xml:space="preserve">Izvor 5.9.000001 Pomoći - prihodi </w:t>
      </w:r>
      <w:r w:rsidRPr="00D77970">
        <w:rPr>
          <w:rFonts w:ascii="Arial" w:eastAsia="Calibri" w:hAnsi="Arial" w:cs="Arial"/>
          <w:b/>
          <w:bCs/>
          <w:sz w:val="22"/>
          <w:szCs w:val="22"/>
        </w:rPr>
        <w:t>korisnika</w:t>
      </w:r>
    </w:p>
    <w:p w14:paraId="5AE8BAA8" w14:textId="7739ADF0"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bCs/>
          <w:sz w:val="22"/>
          <w:szCs w:val="22"/>
        </w:rPr>
        <w:t xml:space="preserve">Pomoći proračunskim korisnicima iz proračuna koji im nije nadležan iznose </w:t>
      </w:r>
      <w:r w:rsidRPr="00D77970">
        <w:rPr>
          <w:rFonts w:ascii="Arial" w:eastAsia="Calibri" w:hAnsi="Arial" w:cs="Arial"/>
          <w:b/>
          <w:sz w:val="22"/>
          <w:szCs w:val="22"/>
        </w:rPr>
        <w:t>68.617,00 EUR</w:t>
      </w:r>
      <w:r w:rsidRPr="00D77970">
        <w:rPr>
          <w:rFonts w:ascii="Arial" w:eastAsia="Arial" w:hAnsi="Arial" w:cs="Arial"/>
          <w:sz w:val="22"/>
          <w:szCs w:val="22"/>
        </w:rPr>
        <w:br/>
      </w:r>
    </w:p>
    <w:p w14:paraId="2D4D96C6"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Prihodi od pomoći biti će utrošene na:</w:t>
      </w:r>
    </w:p>
    <w:p w14:paraId="0B4BA207" w14:textId="77777777" w:rsidR="00C6561B" w:rsidRPr="00D77970" w:rsidRDefault="00C6561B">
      <w:pPr>
        <w:pStyle w:val="Odlomakpopisa"/>
        <w:numPr>
          <w:ilvl w:val="0"/>
          <w:numId w:val="44"/>
        </w:numPr>
        <w:spacing w:after="0" w:line="259" w:lineRule="auto"/>
        <w:jc w:val="both"/>
        <w:rPr>
          <w:rFonts w:ascii="Arial" w:eastAsia="Arial" w:hAnsi="Arial" w:cs="Arial"/>
          <w:szCs w:val="22"/>
        </w:rPr>
      </w:pPr>
      <w:r w:rsidRPr="00D77970">
        <w:rPr>
          <w:rFonts w:ascii="Arial" w:eastAsia="Arial" w:hAnsi="Arial" w:cs="Arial"/>
          <w:szCs w:val="22"/>
        </w:rPr>
        <w:t xml:space="preserve">materijalne rashode – odnose se na službena putovanja zaposlenika, rashode za materijal i energiju (trošak električne energije, materijal za tekuće i investicijsko održavanje i rashode za usluge (usluge telefona, pošte, usluge tekućeg i investicijskog održavanja, komunalne usluge, intelektualne i osobne usluge, računalne usluge te ostale usluge (usluga tiska i sl.) i ostali nespomenuti rashodi poslovanja (trošak reprezentacije) u iznosu od </w:t>
      </w:r>
      <w:r w:rsidRPr="00D77970">
        <w:rPr>
          <w:rFonts w:ascii="Arial" w:eastAsia="Arial" w:hAnsi="Arial" w:cs="Arial"/>
          <w:b/>
          <w:bCs/>
          <w:szCs w:val="22"/>
        </w:rPr>
        <w:t>31.765,00 EUR.</w:t>
      </w:r>
    </w:p>
    <w:p w14:paraId="6F93AA47" w14:textId="77777777" w:rsidR="00C6561B" w:rsidRPr="00D77970" w:rsidRDefault="00C6561B">
      <w:pPr>
        <w:pStyle w:val="Odlomakpopisa"/>
        <w:numPr>
          <w:ilvl w:val="0"/>
          <w:numId w:val="44"/>
        </w:numPr>
        <w:spacing w:after="0" w:line="259" w:lineRule="auto"/>
        <w:jc w:val="both"/>
        <w:rPr>
          <w:rFonts w:ascii="Arial" w:eastAsia="Arial" w:hAnsi="Arial" w:cs="Arial"/>
          <w:szCs w:val="22"/>
        </w:rPr>
      </w:pPr>
      <w:r w:rsidRPr="00D77970">
        <w:rPr>
          <w:rFonts w:ascii="Arial" w:eastAsia="Arial" w:hAnsi="Arial" w:cs="Arial"/>
          <w:szCs w:val="22"/>
        </w:rPr>
        <w:t xml:space="preserve">rashode za nabavu proizvedene dugotrajne imovine u iznosu od </w:t>
      </w:r>
      <w:r w:rsidRPr="00D77970">
        <w:rPr>
          <w:rFonts w:ascii="Arial" w:eastAsia="Arial" w:hAnsi="Arial" w:cs="Arial"/>
          <w:b/>
          <w:bCs/>
          <w:szCs w:val="22"/>
        </w:rPr>
        <w:t>24.743,00 EUR.</w:t>
      </w:r>
    </w:p>
    <w:p w14:paraId="0EF8476E" w14:textId="77777777" w:rsidR="00C6561B" w:rsidRPr="00D77970" w:rsidRDefault="00C6561B">
      <w:pPr>
        <w:pStyle w:val="Odlomakpopisa"/>
        <w:numPr>
          <w:ilvl w:val="0"/>
          <w:numId w:val="44"/>
        </w:numPr>
        <w:spacing w:after="0" w:line="259" w:lineRule="auto"/>
        <w:jc w:val="both"/>
        <w:rPr>
          <w:rFonts w:ascii="Arial" w:eastAsia="Arial" w:hAnsi="Arial" w:cs="Arial"/>
          <w:szCs w:val="22"/>
        </w:rPr>
      </w:pPr>
      <w:r w:rsidRPr="00D77970">
        <w:rPr>
          <w:rFonts w:ascii="Arial" w:eastAsia="Arial" w:hAnsi="Arial" w:cs="Arial"/>
          <w:szCs w:val="22"/>
        </w:rPr>
        <w:t xml:space="preserve">rashode za dodatna ulaganja na nefinancijskoj imovini u iznosu od </w:t>
      </w:r>
      <w:r w:rsidRPr="00D77970">
        <w:rPr>
          <w:rFonts w:ascii="Arial" w:eastAsia="Arial" w:hAnsi="Arial" w:cs="Arial"/>
          <w:b/>
          <w:bCs/>
          <w:szCs w:val="22"/>
        </w:rPr>
        <w:t>1.000,00 EUR.</w:t>
      </w:r>
    </w:p>
    <w:p w14:paraId="65D8EE25" w14:textId="77777777" w:rsidR="00C6561B" w:rsidRPr="00D77970" w:rsidRDefault="00C6561B" w:rsidP="00D77970">
      <w:pPr>
        <w:spacing w:line="259" w:lineRule="auto"/>
        <w:jc w:val="both"/>
        <w:rPr>
          <w:rFonts w:ascii="Arial" w:eastAsia="Arial" w:hAnsi="Arial" w:cs="Arial"/>
          <w:b/>
          <w:bCs/>
          <w:sz w:val="22"/>
          <w:szCs w:val="22"/>
        </w:rPr>
      </w:pPr>
    </w:p>
    <w:p w14:paraId="4E350191"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b/>
          <w:bCs/>
          <w:sz w:val="22"/>
          <w:szCs w:val="22"/>
        </w:rPr>
        <w:t>Manjak prihoda od 11.109,00</w:t>
      </w:r>
      <w:r w:rsidRPr="00D77970">
        <w:rPr>
          <w:rFonts w:ascii="Arial" w:eastAsia="Arial" w:hAnsi="Arial" w:cs="Arial"/>
          <w:sz w:val="22"/>
          <w:szCs w:val="22"/>
        </w:rPr>
        <w:t xml:space="preserve"> </w:t>
      </w:r>
      <w:r w:rsidRPr="00D77970">
        <w:rPr>
          <w:rFonts w:ascii="Arial" w:eastAsia="Arial" w:hAnsi="Arial" w:cs="Arial"/>
          <w:b/>
          <w:bCs/>
          <w:sz w:val="22"/>
          <w:szCs w:val="22"/>
        </w:rPr>
        <w:t>EUR</w:t>
      </w:r>
      <w:r w:rsidRPr="00D77970">
        <w:rPr>
          <w:rFonts w:ascii="Arial" w:eastAsia="Arial" w:hAnsi="Arial" w:cs="Arial"/>
          <w:sz w:val="22"/>
          <w:szCs w:val="22"/>
        </w:rPr>
        <w:t xml:space="preserve"> dijelom će se pokriti viškom prihoda iz vlastitih sredstava.</w:t>
      </w:r>
    </w:p>
    <w:p w14:paraId="628A08BE" w14:textId="77777777" w:rsidR="00C6561B" w:rsidRPr="00D77970" w:rsidRDefault="00C6561B" w:rsidP="00D77970">
      <w:pPr>
        <w:spacing w:line="259" w:lineRule="auto"/>
        <w:contextualSpacing/>
        <w:jc w:val="both"/>
        <w:rPr>
          <w:rFonts w:ascii="Arial" w:eastAsia="Arial" w:hAnsi="Arial" w:cs="Arial"/>
          <w:b/>
          <w:sz w:val="22"/>
          <w:szCs w:val="22"/>
        </w:rPr>
      </w:pPr>
    </w:p>
    <w:p w14:paraId="647E3E88" w14:textId="77777777" w:rsidR="00C6561B" w:rsidRPr="00D77970" w:rsidRDefault="00C6561B" w:rsidP="00D77970">
      <w:pPr>
        <w:spacing w:line="259" w:lineRule="auto"/>
        <w:contextualSpacing/>
        <w:jc w:val="both"/>
        <w:rPr>
          <w:rFonts w:ascii="Arial" w:eastAsia="Arial" w:hAnsi="Arial" w:cs="Arial"/>
          <w:b/>
          <w:sz w:val="22"/>
          <w:szCs w:val="22"/>
        </w:rPr>
      </w:pPr>
      <w:r w:rsidRPr="00D77970">
        <w:rPr>
          <w:rFonts w:ascii="Arial" w:eastAsia="Arial" w:hAnsi="Arial" w:cs="Arial"/>
          <w:b/>
          <w:sz w:val="22"/>
          <w:szCs w:val="22"/>
        </w:rPr>
        <w:t>Izvor 6.9.000001 Donacije – prihodi korisnika</w:t>
      </w:r>
    </w:p>
    <w:p w14:paraId="45C33209" w14:textId="77777777" w:rsidR="00C6561B" w:rsidRPr="00D77970" w:rsidRDefault="00C6561B" w:rsidP="00D77970">
      <w:pPr>
        <w:spacing w:line="259" w:lineRule="auto"/>
        <w:contextualSpacing/>
        <w:jc w:val="both"/>
        <w:rPr>
          <w:rFonts w:ascii="Arial" w:eastAsia="Arial" w:hAnsi="Arial" w:cs="Arial"/>
          <w:bCs/>
          <w:sz w:val="22"/>
          <w:szCs w:val="22"/>
        </w:rPr>
      </w:pPr>
      <w:r w:rsidRPr="00D77970">
        <w:rPr>
          <w:rFonts w:ascii="Arial" w:eastAsia="Arial" w:hAnsi="Arial" w:cs="Arial"/>
          <w:bCs/>
          <w:sz w:val="22"/>
          <w:szCs w:val="22"/>
        </w:rPr>
        <w:t xml:space="preserve">Donacije ukupno iznose </w:t>
      </w:r>
      <w:r w:rsidRPr="00D77970">
        <w:rPr>
          <w:rFonts w:ascii="Arial" w:eastAsia="Arial" w:hAnsi="Arial" w:cs="Arial"/>
          <w:b/>
          <w:sz w:val="22"/>
          <w:szCs w:val="22"/>
        </w:rPr>
        <w:t>1.300,00 EUR, a odnose se na:</w:t>
      </w:r>
    </w:p>
    <w:p w14:paraId="6C6363DA" w14:textId="77777777" w:rsidR="00C6561B" w:rsidRPr="00D77970" w:rsidRDefault="00C6561B">
      <w:pPr>
        <w:pStyle w:val="Odlomakpopisa"/>
        <w:numPr>
          <w:ilvl w:val="0"/>
          <w:numId w:val="45"/>
        </w:numPr>
        <w:spacing w:after="0" w:line="259" w:lineRule="auto"/>
        <w:jc w:val="both"/>
        <w:rPr>
          <w:rFonts w:ascii="Arial" w:eastAsia="Arial" w:hAnsi="Arial" w:cs="Arial"/>
          <w:bCs/>
          <w:szCs w:val="22"/>
        </w:rPr>
      </w:pPr>
      <w:r w:rsidRPr="00D77970">
        <w:rPr>
          <w:rFonts w:ascii="Arial" w:eastAsia="Arial" w:hAnsi="Arial" w:cs="Arial"/>
          <w:bCs/>
          <w:szCs w:val="22"/>
        </w:rPr>
        <w:lastRenderedPageBreak/>
        <w:t xml:space="preserve">donacije u iznosu od </w:t>
      </w:r>
      <w:r w:rsidRPr="00D77970">
        <w:rPr>
          <w:rFonts w:ascii="Arial" w:eastAsia="Arial" w:hAnsi="Arial" w:cs="Arial"/>
          <w:b/>
          <w:szCs w:val="22"/>
        </w:rPr>
        <w:t>1.300,00 EUR</w:t>
      </w:r>
      <w:r w:rsidRPr="00D77970">
        <w:rPr>
          <w:rFonts w:ascii="Arial" w:eastAsia="Arial" w:hAnsi="Arial" w:cs="Arial"/>
          <w:bCs/>
          <w:szCs w:val="22"/>
        </w:rPr>
        <w:t xml:space="preserve"> koje će biti utrošena na materijalne rashode odnosno za intelektualne usluge i naknade troškova osobama izvan radnog odnosa</w:t>
      </w:r>
    </w:p>
    <w:p w14:paraId="3BFA8134" w14:textId="77777777" w:rsidR="00C6561B" w:rsidRPr="00D77970" w:rsidRDefault="00C6561B" w:rsidP="00D77970">
      <w:pPr>
        <w:spacing w:line="259" w:lineRule="auto"/>
        <w:jc w:val="both"/>
        <w:rPr>
          <w:rFonts w:ascii="Arial" w:eastAsia="Arial" w:hAnsi="Arial" w:cs="Arial"/>
          <w:b/>
          <w:sz w:val="22"/>
          <w:szCs w:val="22"/>
        </w:rPr>
      </w:pPr>
    </w:p>
    <w:p w14:paraId="143B8E05" w14:textId="77777777" w:rsidR="00C6561B" w:rsidRPr="00D77970" w:rsidRDefault="00C6561B" w:rsidP="00D77970">
      <w:pPr>
        <w:spacing w:line="259" w:lineRule="auto"/>
        <w:contextualSpacing/>
        <w:jc w:val="both"/>
        <w:rPr>
          <w:rFonts w:ascii="Arial" w:eastAsia="Arial" w:hAnsi="Arial" w:cs="Arial"/>
          <w:b/>
          <w:sz w:val="22"/>
          <w:szCs w:val="22"/>
        </w:rPr>
      </w:pPr>
      <w:r w:rsidRPr="00D77970">
        <w:rPr>
          <w:rFonts w:ascii="Arial" w:eastAsia="Arial" w:hAnsi="Arial" w:cs="Arial"/>
          <w:b/>
          <w:sz w:val="22"/>
          <w:szCs w:val="22"/>
        </w:rPr>
        <w:t>Izvor 7.9.000001 Prihodi od nefinancijske imovine – prihodi korisnika</w:t>
      </w:r>
    </w:p>
    <w:p w14:paraId="3DF54DC4" w14:textId="77777777" w:rsidR="00C6561B" w:rsidRDefault="00C6561B" w:rsidP="00D77970">
      <w:pPr>
        <w:spacing w:line="259" w:lineRule="auto"/>
        <w:contextualSpacing/>
        <w:jc w:val="both"/>
        <w:rPr>
          <w:rFonts w:ascii="Arial" w:eastAsia="Arial" w:hAnsi="Arial" w:cs="Arial"/>
          <w:bCs/>
          <w:sz w:val="22"/>
          <w:szCs w:val="22"/>
        </w:rPr>
      </w:pPr>
      <w:r w:rsidRPr="00D77970">
        <w:rPr>
          <w:rFonts w:ascii="Arial" w:eastAsia="Arial" w:hAnsi="Arial" w:cs="Arial"/>
          <w:bCs/>
          <w:sz w:val="22"/>
          <w:szCs w:val="22"/>
        </w:rPr>
        <w:t>U prvoj izmjeni i dopuni financijskog plana za 2025. godinu nije planiran prihod od prodaje nefinancijske imovine.</w:t>
      </w:r>
    </w:p>
    <w:p w14:paraId="7E5E263B" w14:textId="77777777" w:rsidR="003D1A41" w:rsidRDefault="003D1A41" w:rsidP="00D77970">
      <w:pPr>
        <w:spacing w:line="259" w:lineRule="auto"/>
        <w:contextualSpacing/>
        <w:jc w:val="both"/>
        <w:rPr>
          <w:rFonts w:ascii="Arial" w:eastAsia="Arial" w:hAnsi="Arial" w:cs="Arial"/>
          <w:bCs/>
          <w:sz w:val="22"/>
          <w:szCs w:val="22"/>
        </w:rPr>
      </w:pPr>
    </w:p>
    <w:p w14:paraId="42EFBBDC" w14:textId="77777777" w:rsidR="003D1A41" w:rsidRPr="00D77970" w:rsidRDefault="003D1A41" w:rsidP="00D77970">
      <w:pPr>
        <w:spacing w:line="259" w:lineRule="auto"/>
        <w:contextualSpacing/>
        <w:jc w:val="both"/>
        <w:rPr>
          <w:rFonts w:ascii="Arial" w:eastAsia="Arial" w:hAnsi="Arial" w:cs="Arial"/>
          <w:bCs/>
          <w:sz w:val="22"/>
          <w:szCs w:val="22"/>
        </w:rPr>
      </w:pPr>
    </w:p>
    <w:p w14:paraId="72056DE1" w14:textId="0206C2DD" w:rsidR="00C6561B" w:rsidRPr="003D1A41" w:rsidRDefault="00C6561B" w:rsidP="00D77970">
      <w:pPr>
        <w:spacing w:line="259" w:lineRule="auto"/>
        <w:contextualSpacing/>
        <w:jc w:val="both"/>
        <w:rPr>
          <w:rFonts w:ascii="Arial" w:eastAsia="Arial" w:hAnsi="Arial" w:cs="Arial"/>
          <w:b/>
          <w:sz w:val="22"/>
          <w:szCs w:val="22"/>
        </w:rPr>
      </w:pPr>
      <w:r w:rsidRPr="003D1A41">
        <w:rPr>
          <w:rFonts w:ascii="Arial" w:eastAsia="Arial" w:hAnsi="Arial" w:cs="Arial"/>
          <w:b/>
          <w:sz w:val="22"/>
          <w:szCs w:val="22"/>
        </w:rPr>
        <w:t>OBRAZLOŽENJE POSEBNOG DIJELA PRORAČUNA</w:t>
      </w:r>
    </w:p>
    <w:p w14:paraId="55553FC8" w14:textId="77777777" w:rsidR="00C6561B" w:rsidRPr="00D77970" w:rsidRDefault="00C6561B" w:rsidP="00D77970">
      <w:pPr>
        <w:spacing w:line="259" w:lineRule="auto"/>
        <w:contextualSpacing/>
        <w:jc w:val="both"/>
        <w:rPr>
          <w:rFonts w:ascii="Arial" w:eastAsia="Arial" w:hAnsi="Arial" w:cs="Arial"/>
          <w:b/>
          <w:color w:val="000000"/>
          <w:sz w:val="22"/>
          <w:szCs w:val="22"/>
        </w:rPr>
      </w:pPr>
    </w:p>
    <w:p w14:paraId="466B0DE0" w14:textId="77777777" w:rsidR="00C6561B" w:rsidRPr="00D77970" w:rsidRDefault="00C6561B" w:rsidP="00D77970">
      <w:pPr>
        <w:spacing w:line="259" w:lineRule="auto"/>
        <w:contextualSpacing/>
        <w:jc w:val="both"/>
        <w:rPr>
          <w:rFonts w:ascii="Arial" w:eastAsia="Arial" w:hAnsi="Arial" w:cs="Arial"/>
          <w:b/>
          <w:color w:val="000000"/>
          <w:sz w:val="22"/>
          <w:szCs w:val="22"/>
        </w:rPr>
      </w:pPr>
      <w:r w:rsidRPr="00D77970">
        <w:rPr>
          <w:rFonts w:ascii="Arial" w:eastAsia="Arial" w:hAnsi="Arial" w:cs="Arial"/>
          <w:b/>
          <w:color w:val="000000"/>
          <w:sz w:val="22"/>
          <w:szCs w:val="22"/>
        </w:rPr>
        <w:t>AKTIVNOST A500007 GLAZBENO SCENSKA DJELATNOST</w:t>
      </w:r>
    </w:p>
    <w:p w14:paraId="14002DA8" w14:textId="77777777" w:rsidR="00C6561B" w:rsidRPr="00D77970" w:rsidRDefault="00C6561B" w:rsidP="00D77970">
      <w:pPr>
        <w:spacing w:line="259" w:lineRule="auto"/>
        <w:contextualSpacing/>
        <w:jc w:val="both"/>
        <w:rPr>
          <w:rFonts w:ascii="Arial" w:eastAsia="Arial" w:hAnsi="Arial" w:cs="Arial"/>
          <w:sz w:val="22"/>
          <w:szCs w:val="22"/>
          <w:u w:val="single"/>
        </w:rPr>
      </w:pPr>
    </w:p>
    <w:p w14:paraId="035EB549" w14:textId="586E46E4" w:rsidR="00C6561B" w:rsidRPr="003D1A41" w:rsidRDefault="00C6561B" w:rsidP="00D77970">
      <w:pPr>
        <w:spacing w:line="259" w:lineRule="auto"/>
        <w:contextualSpacing/>
        <w:jc w:val="both"/>
        <w:rPr>
          <w:rFonts w:ascii="Arial" w:eastAsia="Arial" w:hAnsi="Arial" w:cs="Arial"/>
          <w:b/>
          <w:bCs/>
          <w:sz w:val="22"/>
          <w:szCs w:val="22"/>
        </w:rPr>
      </w:pPr>
      <w:r w:rsidRPr="003D1A41">
        <w:rPr>
          <w:rFonts w:ascii="Arial" w:eastAsia="Arial" w:hAnsi="Arial" w:cs="Arial"/>
          <w:b/>
          <w:bCs/>
          <w:sz w:val="22"/>
          <w:szCs w:val="22"/>
        </w:rPr>
        <w:t>Opis programa sa općim i posebnim ciljem:</w:t>
      </w:r>
    </w:p>
    <w:p w14:paraId="635D6239"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Program obuhvaća prikazivanje kazališnih predstava i održavanje koncerata klasične glazbe u novom programskom smjeru naziva SIPPING SESSIONS koji obuhvaća cjelogodišnje održavanje koncerata u ili kraj objekata sakralne baštine te na važnim kulturno-baštinskim lokacijama.</w:t>
      </w:r>
    </w:p>
    <w:p w14:paraId="108E0119"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Tijekom 2025. u planu je održati u vlastitoj produkciji min 1 predstavu za djecu te min 1 predstavu za odrasle, a ugostiti predstave u organizaciji drugih pravnih osoba kroz modalitet najma kino sale.</w:t>
      </w:r>
    </w:p>
    <w:p w14:paraId="32CCCE23"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Kroz program SIPPING SESSIONS plan je provesti minimalno 6 koncerata eminentnih glazbenika iz Hrvatske, a potencijalno i više sve ovisno o ukupnom ostvarenju programskih sredstava.</w:t>
      </w:r>
    </w:p>
    <w:p w14:paraId="65573B3A" w14:textId="7E502986"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Cilj programa  je stjecanje i unapređivanje glazbene i scenske kulture kod građana i posjetitelja te podizanje kvalitete života građana kroz stjecanje navike posjećivanja kazališnih i glazbeno-scenskih predstava.</w:t>
      </w:r>
    </w:p>
    <w:p w14:paraId="5E880DB0" w14:textId="77777777" w:rsidR="00C6561B" w:rsidRPr="00D77970" w:rsidRDefault="00C6561B" w:rsidP="00D77970">
      <w:pPr>
        <w:spacing w:line="259" w:lineRule="auto"/>
        <w:contextualSpacing/>
        <w:jc w:val="both"/>
        <w:rPr>
          <w:rFonts w:ascii="Arial" w:eastAsia="Arial" w:hAnsi="Arial" w:cs="Arial"/>
          <w:sz w:val="22"/>
          <w:szCs w:val="22"/>
          <w:u w:val="single"/>
        </w:rPr>
      </w:pPr>
    </w:p>
    <w:p w14:paraId="2C8CFCF4" w14:textId="19A271EC" w:rsidR="00C6561B" w:rsidRPr="003D1A41" w:rsidRDefault="00C6561B" w:rsidP="00D77970">
      <w:pPr>
        <w:spacing w:line="259" w:lineRule="auto"/>
        <w:contextualSpacing/>
        <w:jc w:val="both"/>
        <w:rPr>
          <w:rFonts w:ascii="Arial" w:eastAsia="Arial" w:hAnsi="Arial" w:cs="Arial"/>
          <w:b/>
          <w:bCs/>
          <w:sz w:val="22"/>
          <w:szCs w:val="22"/>
        </w:rPr>
      </w:pPr>
      <w:r w:rsidRPr="00D77970">
        <w:rPr>
          <w:rFonts w:ascii="Arial" w:eastAsia="Arial" w:hAnsi="Arial" w:cs="Arial"/>
          <w:b/>
          <w:bCs/>
          <w:sz w:val="22"/>
          <w:szCs w:val="22"/>
        </w:rPr>
        <w:t>Pokazatelj uspješnosti i mogući rizici:</w:t>
      </w:r>
    </w:p>
    <w:p w14:paraId="37D0DAAF"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Prisutnost na aktualnoj kulturnoj sceni uz dobro medijsko praćenje programa i sadržaja. Zadovoljstvo krajnjih korisnika i porast broja posjetitelja.</w:t>
      </w:r>
    </w:p>
    <w:p w14:paraId="62622E55"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Mogući rizici su vezani za koncept programa koji se oslanja na klasičnu glazbu gdje je brojnost publike niža stoga je moguće ostvarivanje i nižih prihoda.</w:t>
      </w:r>
    </w:p>
    <w:p w14:paraId="6B986D02" w14:textId="77777777" w:rsidR="00C6561B" w:rsidRPr="00D77970" w:rsidRDefault="00C6561B" w:rsidP="00D77970">
      <w:pPr>
        <w:spacing w:line="259" w:lineRule="auto"/>
        <w:contextualSpacing/>
        <w:jc w:val="both"/>
        <w:rPr>
          <w:rFonts w:ascii="Arial" w:eastAsia="Arial" w:hAnsi="Arial" w:cs="Arial"/>
          <w:sz w:val="22"/>
          <w:szCs w:val="22"/>
          <w:highlight w:val="yellow"/>
        </w:rPr>
      </w:pPr>
    </w:p>
    <w:p w14:paraId="519AE8C7"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Očekivani broj posjetitelja na kulturnoj manifestaciji SIPPING SESSIONS: 300</w:t>
      </w:r>
    </w:p>
    <w:p w14:paraId="3EE0E84B"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Očekivani broj posjetitelja na kazališnim predstavama: 500</w:t>
      </w:r>
    </w:p>
    <w:p w14:paraId="553C6275" w14:textId="77777777" w:rsidR="00C6561B" w:rsidRPr="00D77970" w:rsidRDefault="00C6561B" w:rsidP="00D77970">
      <w:pPr>
        <w:spacing w:line="259" w:lineRule="auto"/>
        <w:contextualSpacing/>
        <w:jc w:val="both"/>
        <w:rPr>
          <w:rFonts w:ascii="Arial" w:eastAsia="Arial" w:hAnsi="Arial" w:cs="Arial"/>
          <w:b/>
          <w:color w:val="000000"/>
          <w:sz w:val="22"/>
          <w:szCs w:val="22"/>
        </w:rPr>
      </w:pPr>
    </w:p>
    <w:p w14:paraId="0899FAD9" w14:textId="77777777" w:rsidR="00C6561B" w:rsidRPr="00D77970" w:rsidRDefault="00C6561B" w:rsidP="00D77970">
      <w:pPr>
        <w:spacing w:line="259" w:lineRule="auto"/>
        <w:contextualSpacing/>
        <w:jc w:val="both"/>
        <w:rPr>
          <w:rFonts w:ascii="Arial" w:eastAsiaTheme="minorHAnsi" w:hAnsi="Arial" w:cs="Arial"/>
          <w:sz w:val="22"/>
          <w:szCs w:val="22"/>
        </w:rPr>
      </w:pPr>
      <w:r w:rsidRPr="00D77970">
        <w:rPr>
          <w:rFonts w:ascii="Arial" w:eastAsia="Arial" w:hAnsi="Arial" w:cs="Arial"/>
          <w:b/>
          <w:color w:val="000000"/>
          <w:sz w:val="22"/>
          <w:szCs w:val="22"/>
        </w:rPr>
        <w:t>U prvoj izmjeni i dopuni plana u 2025. godini za financiranje aktivnosti planirano je 12.000,00 EUR.</w:t>
      </w:r>
    </w:p>
    <w:p w14:paraId="1639103B" w14:textId="77777777" w:rsidR="00C6561B" w:rsidRPr="00D77970" w:rsidRDefault="00C6561B" w:rsidP="00D77970">
      <w:pPr>
        <w:spacing w:line="259" w:lineRule="auto"/>
        <w:contextualSpacing/>
        <w:jc w:val="both"/>
        <w:rPr>
          <w:rFonts w:ascii="Arial" w:eastAsia="Arial" w:hAnsi="Arial" w:cs="Arial"/>
          <w:b/>
          <w:color w:val="000000"/>
          <w:sz w:val="22"/>
          <w:szCs w:val="22"/>
        </w:rPr>
      </w:pPr>
    </w:p>
    <w:p w14:paraId="1D0DF859" w14:textId="77777777" w:rsidR="00C6561B" w:rsidRPr="00D77970" w:rsidRDefault="00C6561B" w:rsidP="00D77970">
      <w:pPr>
        <w:spacing w:line="259" w:lineRule="auto"/>
        <w:contextualSpacing/>
        <w:jc w:val="both"/>
        <w:rPr>
          <w:rFonts w:ascii="Arial" w:eastAsia="Arial" w:hAnsi="Arial" w:cs="Arial"/>
          <w:b/>
          <w:color w:val="000000"/>
          <w:sz w:val="22"/>
          <w:szCs w:val="22"/>
        </w:rPr>
      </w:pPr>
    </w:p>
    <w:p w14:paraId="7F07294B" w14:textId="77777777" w:rsidR="00C6561B" w:rsidRPr="00D77970" w:rsidRDefault="00C6561B" w:rsidP="00D77970">
      <w:pPr>
        <w:spacing w:line="259" w:lineRule="auto"/>
        <w:contextualSpacing/>
        <w:jc w:val="both"/>
        <w:rPr>
          <w:rFonts w:ascii="Arial" w:eastAsia="Arial" w:hAnsi="Arial" w:cs="Arial"/>
          <w:b/>
          <w:color w:val="000000"/>
          <w:sz w:val="22"/>
          <w:szCs w:val="22"/>
        </w:rPr>
      </w:pPr>
      <w:r w:rsidRPr="00D77970">
        <w:rPr>
          <w:rFonts w:ascii="Arial" w:eastAsia="Arial" w:hAnsi="Arial" w:cs="Arial"/>
          <w:b/>
          <w:color w:val="000000"/>
          <w:sz w:val="22"/>
          <w:szCs w:val="22"/>
        </w:rPr>
        <w:t>AKTIVNOST A500009 GRADSKA GALERIJA</w:t>
      </w:r>
    </w:p>
    <w:p w14:paraId="50C82D63" w14:textId="77777777" w:rsidR="00C6561B" w:rsidRPr="00D77970" w:rsidRDefault="00C6561B" w:rsidP="00D77970">
      <w:pPr>
        <w:spacing w:line="259" w:lineRule="auto"/>
        <w:contextualSpacing/>
        <w:jc w:val="both"/>
        <w:rPr>
          <w:rFonts w:ascii="Arial" w:eastAsia="Arial" w:hAnsi="Arial" w:cs="Arial"/>
          <w:sz w:val="22"/>
          <w:szCs w:val="22"/>
          <w:u w:val="single"/>
        </w:rPr>
      </w:pPr>
    </w:p>
    <w:p w14:paraId="2A8214A5" w14:textId="77777777" w:rsidR="00C6561B" w:rsidRPr="003D1A41" w:rsidRDefault="00C6561B" w:rsidP="00D77970">
      <w:pPr>
        <w:spacing w:line="259" w:lineRule="auto"/>
        <w:contextualSpacing/>
        <w:jc w:val="both"/>
        <w:rPr>
          <w:rFonts w:ascii="Arial" w:eastAsia="Arial" w:hAnsi="Arial" w:cs="Arial"/>
          <w:b/>
          <w:bCs/>
          <w:sz w:val="22"/>
          <w:szCs w:val="22"/>
        </w:rPr>
      </w:pPr>
      <w:r w:rsidRPr="003D1A41">
        <w:rPr>
          <w:rFonts w:ascii="Arial" w:eastAsia="Arial" w:hAnsi="Arial" w:cs="Arial"/>
          <w:b/>
          <w:bCs/>
          <w:sz w:val="22"/>
          <w:szCs w:val="22"/>
        </w:rPr>
        <w:t>Opis programa sa općim i posebnim ciljem:</w:t>
      </w:r>
    </w:p>
    <w:p w14:paraId="5D94E757" w14:textId="77777777" w:rsidR="00C6561B" w:rsidRPr="00D77970" w:rsidRDefault="00C6561B" w:rsidP="00D77970">
      <w:pPr>
        <w:spacing w:line="259" w:lineRule="auto"/>
        <w:contextualSpacing/>
        <w:jc w:val="both"/>
        <w:rPr>
          <w:rFonts w:ascii="Arial" w:hAnsi="Arial" w:cs="Arial"/>
          <w:sz w:val="22"/>
          <w:szCs w:val="22"/>
        </w:rPr>
      </w:pPr>
      <w:r w:rsidRPr="00D77970">
        <w:rPr>
          <w:rFonts w:ascii="Arial" w:hAnsi="Arial" w:cs="Arial"/>
          <w:sz w:val="22"/>
          <w:szCs w:val="22"/>
        </w:rPr>
        <w:t>Gradska galerija Labin u 2025. godini nastavlja s predstavljanjem autora suvremene umjetničke scene, kao i autora koji su svojim stvaralaštvom doprinijeli prepoznatljivosti suvremene umjetnosti u Hrvatskoj i inozemstvu.</w:t>
      </w:r>
    </w:p>
    <w:p w14:paraId="347BD7A9" w14:textId="77777777" w:rsidR="00C6561B" w:rsidRPr="00D77970" w:rsidRDefault="00C6561B" w:rsidP="00D77970">
      <w:pPr>
        <w:spacing w:line="259" w:lineRule="auto"/>
        <w:contextualSpacing/>
        <w:jc w:val="both"/>
        <w:rPr>
          <w:rFonts w:ascii="Arial" w:hAnsi="Arial" w:cs="Arial"/>
          <w:sz w:val="22"/>
          <w:szCs w:val="22"/>
        </w:rPr>
      </w:pPr>
    </w:p>
    <w:p w14:paraId="0E0D4D2F" w14:textId="7EBB1D02" w:rsidR="00C6561B" w:rsidRPr="00D77970" w:rsidRDefault="00C6561B" w:rsidP="00D77970">
      <w:pPr>
        <w:spacing w:line="259" w:lineRule="auto"/>
        <w:contextualSpacing/>
        <w:jc w:val="both"/>
        <w:rPr>
          <w:rFonts w:ascii="Arial" w:eastAsia="Calibri" w:hAnsi="Arial" w:cs="Arial"/>
          <w:sz w:val="22"/>
          <w:szCs w:val="22"/>
        </w:rPr>
      </w:pPr>
      <w:r w:rsidRPr="00D77970">
        <w:rPr>
          <w:rFonts w:ascii="Arial" w:eastAsia="Calibri" w:hAnsi="Arial" w:cs="Arial"/>
          <w:sz w:val="22"/>
          <w:szCs w:val="22"/>
        </w:rPr>
        <w:t>Za izložbenu sezonu 2025. u planu je realizacija sljedećih programa:</w:t>
      </w:r>
    </w:p>
    <w:p w14:paraId="2F56AEEF" w14:textId="77777777" w:rsidR="00C6561B" w:rsidRPr="00D77970" w:rsidRDefault="00C6561B" w:rsidP="00D77970">
      <w:pPr>
        <w:spacing w:line="259" w:lineRule="auto"/>
        <w:contextualSpacing/>
        <w:jc w:val="both"/>
        <w:rPr>
          <w:rFonts w:ascii="Arial" w:eastAsia="Calibri" w:hAnsi="Arial" w:cs="Arial"/>
          <w:b/>
          <w:bCs/>
          <w:sz w:val="22"/>
          <w:szCs w:val="22"/>
          <w:u w:val="single"/>
        </w:rPr>
      </w:pPr>
    </w:p>
    <w:p w14:paraId="2B81DCC5" w14:textId="77777777" w:rsidR="00C6561B" w:rsidRPr="00D77970" w:rsidRDefault="00C6561B" w:rsidP="00D77970">
      <w:pPr>
        <w:shd w:val="clear" w:color="auto" w:fill="FFFFFF"/>
        <w:spacing w:line="259" w:lineRule="auto"/>
        <w:jc w:val="both"/>
        <w:rPr>
          <w:rFonts w:ascii="Arial" w:hAnsi="Arial" w:cs="Arial"/>
          <w:b/>
          <w:bCs/>
          <w:sz w:val="22"/>
          <w:szCs w:val="22"/>
        </w:rPr>
      </w:pPr>
      <w:r w:rsidRPr="00D77970">
        <w:rPr>
          <w:rFonts w:ascii="Arial" w:hAnsi="Arial" w:cs="Arial"/>
          <w:b/>
          <w:bCs/>
          <w:sz w:val="22"/>
          <w:szCs w:val="22"/>
          <w:u w:val="single"/>
        </w:rPr>
        <w:t>Izložbeni program u Gradskoj galeriji Labin</w:t>
      </w:r>
    </w:p>
    <w:p w14:paraId="1FD92461" w14:textId="77777777" w:rsidR="00C6561B" w:rsidRPr="00D77970" w:rsidRDefault="00C6561B">
      <w:pPr>
        <w:pStyle w:val="Odlomakpopisa"/>
        <w:numPr>
          <w:ilvl w:val="0"/>
          <w:numId w:val="45"/>
        </w:numPr>
        <w:spacing w:after="0" w:line="259" w:lineRule="auto"/>
        <w:jc w:val="both"/>
        <w:rPr>
          <w:rFonts w:ascii="Arial" w:eastAsia="Times New Roman" w:hAnsi="Arial" w:cs="Arial"/>
          <w:szCs w:val="22"/>
          <w:lang w:eastAsia="en-US"/>
        </w:rPr>
      </w:pPr>
      <w:r w:rsidRPr="00D77970">
        <w:rPr>
          <w:rFonts w:ascii="Arial" w:eastAsia="Times New Roman" w:hAnsi="Arial" w:cs="Arial"/>
          <w:szCs w:val="22"/>
        </w:rPr>
        <w:t xml:space="preserve">Svjetlan </w:t>
      </w:r>
      <w:proofErr w:type="spellStart"/>
      <w:r w:rsidRPr="00D77970">
        <w:rPr>
          <w:rFonts w:ascii="Arial" w:eastAsia="Times New Roman" w:hAnsi="Arial" w:cs="Arial"/>
          <w:szCs w:val="22"/>
        </w:rPr>
        <w:t>Junaković</w:t>
      </w:r>
      <w:proofErr w:type="spellEnd"/>
      <w:r w:rsidRPr="00D77970">
        <w:rPr>
          <w:rFonts w:ascii="Arial" w:eastAsia="Times New Roman" w:hAnsi="Arial" w:cs="Arial"/>
          <w:szCs w:val="22"/>
        </w:rPr>
        <w:t xml:space="preserve"> (galerija, razmjena Galerija Forum, kustos F. Gavrilović),</w:t>
      </w:r>
    </w:p>
    <w:p w14:paraId="6855604C" w14:textId="77777777" w:rsidR="00C6561B" w:rsidRPr="00D77970" w:rsidRDefault="00C6561B">
      <w:pPr>
        <w:pStyle w:val="Odlomakpopisa"/>
        <w:numPr>
          <w:ilvl w:val="0"/>
          <w:numId w:val="45"/>
        </w:numPr>
        <w:shd w:val="clear" w:color="auto" w:fill="FFFFFF"/>
        <w:spacing w:after="0" w:line="259" w:lineRule="auto"/>
        <w:jc w:val="both"/>
        <w:rPr>
          <w:rFonts w:ascii="Arial" w:eastAsia="Times New Roman" w:hAnsi="Arial" w:cs="Arial"/>
          <w:szCs w:val="22"/>
        </w:rPr>
      </w:pPr>
      <w:r w:rsidRPr="00D77970">
        <w:rPr>
          <w:rFonts w:ascii="Arial" w:eastAsia="Times New Roman" w:hAnsi="Arial" w:cs="Arial"/>
          <w:szCs w:val="22"/>
        </w:rPr>
        <w:lastRenderedPageBreak/>
        <w:t xml:space="preserve">Siniša </w:t>
      </w:r>
      <w:proofErr w:type="spellStart"/>
      <w:r w:rsidRPr="00D77970">
        <w:rPr>
          <w:rFonts w:ascii="Arial" w:eastAsia="Times New Roman" w:hAnsi="Arial" w:cs="Arial"/>
          <w:szCs w:val="22"/>
        </w:rPr>
        <w:t>Majkus</w:t>
      </w:r>
      <w:proofErr w:type="spellEnd"/>
      <w:r w:rsidRPr="00D77970">
        <w:rPr>
          <w:rFonts w:ascii="Arial" w:eastAsia="Times New Roman" w:hAnsi="Arial" w:cs="Arial"/>
          <w:szCs w:val="22"/>
        </w:rPr>
        <w:t xml:space="preserve"> (urbani prostor i kapela sv. Stjepana, kustos M. Lučić),</w:t>
      </w:r>
    </w:p>
    <w:p w14:paraId="2E5C3341" w14:textId="77777777" w:rsidR="00C6561B" w:rsidRPr="00D77970" w:rsidRDefault="00C6561B">
      <w:pPr>
        <w:pStyle w:val="Odlomakpopisa"/>
        <w:numPr>
          <w:ilvl w:val="0"/>
          <w:numId w:val="45"/>
        </w:numPr>
        <w:shd w:val="clear" w:color="auto" w:fill="FFFFFF"/>
        <w:spacing w:after="0" w:line="259" w:lineRule="auto"/>
        <w:jc w:val="both"/>
        <w:rPr>
          <w:rFonts w:ascii="Arial" w:eastAsia="Times New Roman" w:hAnsi="Arial" w:cs="Arial"/>
          <w:szCs w:val="22"/>
        </w:rPr>
      </w:pPr>
      <w:r w:rsidRPr="00D77970">
        <w:rPr>
          <w:rFonts w:ascii="Arial" w:eastAsia="Times New Roman" w:hAnsi="Arial" w:cs="Arial"/>
          <w:szCs w:val="22"/>
        </w:rPr>
        <w:t xml:space="preserve">Igor </w:t>
      </w:r>
      <w:proofErr w:type="spellStart"/>
      <w:r w:rsidRPr="00D77970">
        <w:rPr>
          <w:rFonts w:ascii="Arial" w:eastAsia="Times New Roman" w:hAnsi="Arial" w:cs="Arial"/>
          <w:szCs w:val="22"/>
        </w:rPr>
        <w:t>Eškinja</w:t>
      </w:r>
      <w:proofErr w:type="spellEnd"/>
      <w:r w:rsidRPr="00D77970">
        <w:rPr>
          <w:rFonts w:ascii="Arial" w:eastAsia="Times New Roman" w:hAnsi="Arial" w:cs="Arial"/>
          <w:szCs w:val="22"/>
        </w:rPr>
        <w:t xml:space="preserve"> (galerija, kustosica s. </w:t>
      </w:r>
      <w:proofErr w:type="spellStart"/>
      <w:r w:rsidRPr="00D77970">
        <w:rPr>
          <w:rFonts w:ascii="Arial" w:eastAsia="Times New Roman" w:hAnsi="Arial" w:cs="Arial"/>
          <w:szCs w:val="22"/>
        </w:rPr>
        <w:t>Peršić</w:t>
      </w:r>
      <w:proofErr w:type="spellEnd"/>
      <w:r w:rsidRPr="00D77970">
        <w:rPr>
          <w:rFonts w:ascii="Arial" w:eastAsia="Times New Roman" w:hAnsi="Arial" w:cs="Arial"/>
          <w:szCs w:val="22"/>
        </w:rPr>
        <w:t>),</w:t>
      </w:r>
    </w:p>
    <w:p w14:paraId="222710D1" w14:textId="77777777" w:rsidR="00C6561B" w:rsidRPr="00D77970" w:rsidRDefault="00C6561B">
      <w:pPr>
        <w:pStyle w:val="Odlomakpopisa"/>
        <w:numPr>
          <w:ilvl w:val="0"/>
          <w:numId w:val="45"/>
        </w:numPr>
        <w:shd w:val="clear" w:color="auto" w:fill="FFFFFF"/>
        <w:spacing w:after="0" w:line="259" w:lineRule="auto"/>
        <w:jc w:val="both"/>
        <w:rPr>
          <w:rFonts w:ascii="Arial" w:eastAsia="Times New Roman" w:hAnsi="Arial" w:cs="Arial"/>
          <w:szCs w:val="22"/>
        </w:rPr>
      </w:pPr>
      <w:r w:rsidRPr="00D77970">
        <w:rPr>
          <w:rFonts w:ascii="Arial" w:eastAsia="Times New Roman" w:hAnsi="Arial" w:cs="Arial"/>
          <w:szCs w:val="22"/>
        </w:rPr>
        <w:t xml:space="preserve">Izvor i Marijana </w:t>
      </w:r>
      <w:proofErr w:type="spellStart"/>
      <w:r w:rsidRPr="00D77970">
        <w:rPr>
          <w:rFonts w:ascii="Arial" w:eastAsia="Times New Roman" w:hAnsi="Arial" w:cs="Arial"/>
          <w:szCs w:val="22"/>
        </w:rPr>
        <w:t>Pende</w:t>
      </w:r>
      <w:proofErr w:type="spellEnd"/>
      <w:r w:rsidRPr="00D77970">
        <w:rPr>
          <w:rFonts w:ascii="Arial" w:eastAsia="Times New Roman" w:hAnsi="Arial" w:cs="Arial"/>
          <w:szCs w:val="22"/>
        </w:rPr>
        <w:t xml:space="preserve"> (galerija, kustos B. </w:t>
      </w:r>
      <w:proofErr w:type="spellStart"/>
      <w:r w:rsidRPr="00D77970">
        <w:rPr>
          <w:rFonts w:ascii="Arial" w:eastAsia="Times New Roman" w:hAnsi="Arial" w:cs="Arial"/>
          <w:szCs w:val="22"/>
        </w:rPr>
        <w:t>Franceschi</w:t>
      </w:r>
      <w:proofErr w:type="spellEnd"/>
      <w:r w:rsidRPr="00D77970">
        <w:rPr>
          <w:rFonts w:ascii="Arial" w:eastAsia="Times New Roman" w:hAnsi="Arial" w:cs="Arial"/>
          <w:szCs w:val="22"/>
        </w:rPr>
        <w:t>),</w:t>
      </w:r>
    </w:p>
    <w:p w14:paraId="4FBCF159" w14:textId="77777777" w:rsidR="00C6561B" w:rsidRPr="00D77970" w:rsidRDefault="00C6561B">
      <w:pPr>
        <w:pStyle w:val="Odlomakpopisa"/>
        <w:numPr>
          <w:ilvl w:val="0"/>
          <w:numId w:val="45"/>
        </w:numPr>
        <w:shd w:val="clear" w:color="auto" w:fill="FFFFFF"/>
        <w:spacing w:after="0" w:line="259" w:lineRule="auto"/>
        <w:jc w:val="both"/>
        <w:rPr>
          <w:rFonts w:ascii="Arial" w:eastAsia="Times New Roman" w:hAnsi="Arial" w:cs="Arial"/>
          <w:szCs w:val="22"/>
        </w:rPr>
      </w:pPr>
      <w:r w:rsidRPr="00D77970">
        <w:rPr>
          <w:rFonts w:ascii="Arial" w:eastAsia="Times New Roman" w:hAnsi="Arial" w:cs="Arial"/>
          <w:szCs w:val="22"/>
        </w:rPr>
        <w:t xml:space="preserve">Kata Mijatović (kapela sv. Stjepana, kustos B. </w:t>
      </w:r>
      <w:proofErr w:type="spellStart"/>
      <w:r w:rsidRPr="00D77970">
        <w:rPr>
          <w:rFonts w:ascii="Arial" w:eastAsia="Times New Roman" w:hAnsi="Arial" w:cs="Arial"/>
          <w:szCs w:val="22"/>
        </w:rPr>
        <w:t>Franceschi</w:t>
      </w:r>
      <w:proofErr w:type="spellEnd"/>
      <w:r w:rsidRPr="00D77970">
        <w:rPr>
          <w:rFonts w:ascii="Arial" w:eastAsia="Times New Roman" w:hAnsi="Arial" w:cs="Arial"/>
          <w:szCs w:val="22"/>
        </w:rPr>
        <w:t>),</w:t>
      </w:r>
    </w:p>
    <w:p w14:paraId="1E83D1DB" w14:textId="77777777" w:rsidR="00C6561B" w:rsidRPr="00D77970" w:rsidRDefault="00C6561B">
      <w:pPr>
        <w:pStyle w:val="Odlomakpopisa"/>
        <w:numPr>
          <w:ilvl w:val="0"/>
          <w:numId w:val="45"/>
        </w:numPr>
        <w:shd w:val="clear" w:color="auto" w:fill="FFFFFF"/>
        <w:spacing w:after="0" w:line="259" w:lineRule="auto"/>
        <w:jc w:val="both"/>
        <w:rPr>
          <w:rFonts w:ascii="Arial" w:eastAsia="Times New Roman" w:hAnsi="Arial" w:cs="Arial"/>
          <w:szCs w:val="22"/>
        </w:rPr>
      </w:pPr>
      <w:r w:rsidRPr="00D77970">
        <w:rPr>
          <w:rFonts w:ascii="Arial" w:eastAsia="Times New Roman" w:hAnsi="Arial" w:cs="Arial"/>
          <w:szCs w:val="22"/>
        </w:rPr>
        <w:t xml:space="preserve">Jasna </w:t>
      </w:r>
      <w:proofErr w:type="spellStart"/>
      <w:r w:rsidRPr="00D77970">
        <w:rPr>
          <w:rFonts w:ascii="Arial" w:eastAsia="Times New Roman" w:hAnsi="Arial" w:cs="Arial"/>
          <w:szCs w:val="22"/>
        </w:rPr>
        <w:t>Šikanja</w:t>
      </w:r>
      <w:proofErr w:type="spellEnd"/>
      <w:r w:rsidRPr="00D77970">
        <w:rPr>
          <w:rFonts w:ascii="Arial" w:eastAsia="Times New Roman" w:hAnsi="Arial" w:cs="Arial"/>
          <w:szCs w:val="22"/>
        </w:rPr>
        <w:t xml:space="preserve"> (bivša ribarnica, kustos M. Lučić),</w:t>
      </w:r>
    </w:p>
    <w:p w14:paraId="42166EF6" w14:textId="77777777" w:rsidR="00C6561B" w:rsidRPr="00D77970" w:rsidRDefault="00C6561B">
      <w:pPr>
        <w:pStyle w:val="Odlomakpopisa"/>
        <w:numPr>
          <w:ilvl w:val="0"/>
          <w:numId w:val="45"/>
        </w:numPr>
        <w:shd w:val="clear" w:color="auto" w:fill="FFFFFF"/>
        <w:spacing w:after="0" w:line="259" w:lineRule="auto"/>
        <w:jc w:val="both"/>
        <w:rPr>
          <w:rFonts w:ascii="Arial" w:eastAsia="Times New Roman" w:hAnsi="Arial" w:cs="Arial"/>
          <w:szCs w:val="22"/>
        </w:rPr>
      </w:pPr>
      <w:r w:rsidRPr="00D77970">
        <w:rPr>
          <w:rFonts w:ascii="Arial" w:eastAsia="Times New Roman" w:hAnsi="Arial" w:cs="Arial"/>
          <w:szCs w:val="22"/>
        </w:rPr>
        <w:t xml:space="preserve">Manuela Pauk (galerija, kustosica s. </w:t>
      </w:r>
      <w:proofErr w:type="spellStart"/>
      <w:r w:rsidRPr="00D77970">
        <w:rPr>
          <w:rFonts w:ascii="Arial" w:eastAsia="Times New Roman" w:hAnsi="Arial" w:cs="Arial"/>
          <w:szCs w:val="22"/>
        </w:rPr>
        <w:t>Peršić</w:t>
      </w:r>
      <w:proofErr w:type="spellEnd"/>
      <w:r w:rsidRPr="00D77970">
        <w:rPr>
          <w:rFonts w:ascii="Arial" w:eastAsia="Times New Roman" w:hAnsi="Arial" w:cs="Arial"/>
          <w:szCs w:val="22"/>
        </w:rPr>
        <w:t>).</w:t>
      </w:r>
    </w:p>
    <w:p w14:paraId="6414C56C" w14:textId="77777777" w:rsidR="00C6561B" w:rsidRPr="00D77970" w:rsidRDefault="00C6561B">
      <w:pPr>
        <w:pStyle w:val="Odlomakpopisa"/>
        <w:numPr>
          <w:ilvl w:val="0"/>
          <w:numId w:val="45"/>
        </w:numPr>
        <w:shd w:val="clear" w:color="auto" w:fill="FFFFFF"/>
        <w:spacing w:after="0" w:line="259" w:lineRule="auto"/>
        <w:jc w:val="both"/>
        <w:rPr>
          <w:rFonts w:ascii="Arial" w:eastAsia="Times New Roman" w:hAnsi="Arial" w:cs="Arial"/>
          <w:szCs w:val="22"/>
        </w:rPr>
      </w:pPr>
      <w:r w:rsidRPr="00D77970">
        <w:rPr>
          <w:rFonts w:ascii="Arial" w:eastAsia="Times New Roman" w:hAnsi="Arial" w:cs="Arial"/>
          <w:szCs w:val="22"/>
        </w:rPr>
        <w:t>Gostovanje izložbe „</w:t>
      </w:r>
      <w:proofErr w:type="spellStart"/>
      <w:r w:rsidRPr="00D77970">
        <w:rPr>
          <w:rFonts w:ascii="Arial" w:eastAsia="Times New Roman" w:hAnsi="Arial" w:cs="Arial"/>
          <w:szCs w:val="22"/>
        </w:rPr>
        <w:t>Intertwined</w:t>
      </w:r>
      <w:proofErr w:type="spellEnd"/>
      <w:r w:rsidRPr="00D77970">
        <w:rPr>
          <w:rFonts w:ascii="Arial" w:eastAsia="Times New Roman" w:hAnsi="Arial" w:cs="Arial"/>
          <w:szCs w:val="22"/>
        </w:rPr>
        <w:t xml:space="preserve">“ u galeriji </w:t>
      </w:r>
      <w:proofErr w:type="spellStart"/>
      <w:r w:rsidRPr="00D77970">
        <w:rPr>
          <w:rFonts w:ascii="Arial" w:eastAsia="Times New Roman" w:hAnsi="Arial" w:cs="Arial"/>
          <w:szCs w:val="22"/>
        </w:rPr>
        <w:t>Monfort</w:t>
      </w:r>
      <w:proofErr w:type="spellEnd"/>
      <w:r w:rsidRPr="00D77970">
        <w:rPr>
          <w:rFonts w:ascii="Arial" w:eastAsia="Times New Roman" w:hAnsi="Arial" w:cs="Arial"/>
          <w:szCs w:val="22"/>
        </w:rPr>
        <w:t xml:space="preserve"> u Portorožu</w:t>
      </w:r>
    </w:p>
    <w:p w14:paraId="0BE6A577" w14:textId="77777777" w:rsidR="00C6561B" w:rsidRPr="00D77970" w:rsidRDefault="00C6561B" w:rsidP="00D77970">
      <w:pPr>
        <w:shd w:val="clear" w:color="auto" w:fill="FFFFFF"/>
        <w:spacing w:line="259" w:lineRule="auto"/>
        <w:jc w:val="both"/>
        <w:rPr>
          <w:rFonts w:ascii="Arial" w:hAnsi="Arial" w:cs="Arial"/>
          <w:sz w:val="22"/>
          <w:szCs w:val="22"/>
        </w:rPr>
      </w:pPr>
    </w:p>
    <w:p w14:paraId="2A6688EB" w14:textId="77777777" w:rsidR="00C6561B" w:rsidRPr="00D77970" w:rsidRDefault="00C6561B" w:rsidP="00D77970">
      <w:pPr>
        <w:shd w:val="clear" w:color="auto" w:fill="FFFFFF"/>
        <w:spacing w:line="259" w:lineRule="auto"/>
        <w:jc w:val="both"/>
        <w:rPr>
          <w:rFonts w:ascii="Arial" w:hAnsi="Arial" w:cs="Arial"/>
          <w:b/>
          <w:bCs/>
          <w:sz w:val="22"/>
          <w:szCs w:val="22"/>
          <w:u w:val="single"/>
        </w:rPr>
      </w:pPr>
      <w:r w:rsidRPr="00D77970">
        <w:rPr>
          <w:rFonts w:ascii="Arial" w:hAnsi="Arial" w:cs="Arial"/>
          <w:b/>
          <w:bCs/>
          <w:sz w:val="22"/>
          <w:szCs w:val="22"/>
          <w:u w:val="single"/>
        </w:rPr>
        <w:t>Edukativni program Galerije - vanjske suradnje</w:t>
      </w:r>
    </w:p>
    <w:p w14:paraId="1105B4CB" w14:textId="77777777" w:rsidR="00C6561B" w:rsidRPr="00D77970" w:rsidRDefault="00C6561B" w:rsidP="00D77970">
      <w:pPr>
        <w:shd w:val="clear" w:color="auto" w:fill="FFFFFF"/>
        <w:spacing w:line="259" w:lineRule="auto"/>
        <w:jc w:val="both"/>
        <w:rPr>
          <w:rFonts w:ascii="Arial" w:hAnsi="Arial" w:cs="Arial"/>
          <w:sz w:val="22"/>
          <w:szCs w:val="22"/>
        </w:rPr>
      </w:pPr>
      <w:r w:rsidRPr="00D77970">
        <w:rPr>
          <w:rFonts w:ascii="Arial" w:hAnsi="Arial" w:cs="Arial"/>
          <w:sz w:val="22"/>
          <w:szCs w:val="22"/>
        </w:rPr>
        <w:t xml:space="preserve">Oleg </w:t>
      </w:r>
      <w:proofErr w:type="spellStart"/>
      <w:r w:rsidRPr="00D77970">
        <w:rPr>
          <w:rFonts w:ascii="Arial" w:hAnsi="Arial" w:cs="Arial"/>
          <w:sz w:val="22"/>
          <w:szCs w:val="22"/>
        </w:rPr>
        <w:t>Morović</w:t>
      </w:r>
      <w:proofErr w:type="spellEnd"/>
      <w:r w:rsidRPr="00D77970">
        <w:rPr>
          <w:rFonts w:ascii="Arial" w:hAnsi="Arial" w:cs="Arial"/>
          <w:sz w:val="22"/>
          <w:szCs w:val="22"/>
        </w:rPr>
        <w:t xml:space="preserve">, radionica lego </w:t>
      </w:r>
      <w:proofErr w:type="spellStart"/>
      <w:r w:rsidRPr="00D77970">
        <w:rPr>
          <w:rFonts w:ascii="Arial" w:hAnsi="Arial" w:cs="Arial"/>
          <w:sz w:val="22"/>
          <w:szCs w:val="22"/>
        </w:rPr>
        <w:t>printeva</w:t>
      </w:r>
      <w:proofErr w:type="spellEnd"/>
      <w:r w:rsidRPr="00D77970">
        <w:rPr>
          <w:rFonts w:ascii="Arial" w:hAnsi="Arial" w:cs="Arial"/>
          <w:sz w:val="22"/>
          <w:szCs w:val="22"/>
        </w:rPr>
        <w:t>, razne dobne skupine</w:t>
      </w:r>
    </w:p>
    <w:p w14:paraId="22F59D4D" w14:textId="77777777" w:rsidR="00C6561B" w:rsidRPr="00D77970" w:rsidRDefault="00C6561B" w:rsidP="00D77970">
      <w:pPr>
        <w:shd w:val="clear" w:color="auto" w:fill="FFFFFF"/>
        <w:spacing w:line="259" w:lineRule="auto"/>
        <w:jc w:val="both"/>
        <w:rPr>
          <w:rFonts w:ascii="Arial" w:hAnsi="Arial" w:cs="Arial"/>
          <w:sz w:val="22"/>
          <w:szCs w:val="22"/>
        </w:rPr>
      </w:pPr>
    </w:p>
    <w:p w14:paraId="43A04660" w14:textId="77777777" w:rsidR="00C6561B" w:rsidRPr="00D77970" w:rsidRDefault="00C6561B" w:rsidP="00D77970">
      <w:pPr>
        <w:shd w:val="clear" w:color="auto" w:fill="FFFFFF"/>
        <w:spacing w:line="259" w:lineRule="auto"/>
        <w:jc w:val="both"/>
        <w:rPr>
          <w:rFonts w:ascii="Arial" w:hAnsi="Arial" w:cs="Arial"/>
          <w:b/>
          <w:bCs/>
          <w:sz w:val="22"/>
          <w:szCs w:val="22"/>
        </w:rPr>
      </w:pPr>
      <w:r w:rsidRPr="00D77970">
        <w:rPr>
          <w:rFonts w:ascii="Arial" w:hAnsi="Arial" w:cs="Arial"/>
          <w:b/>
          <w:bCs/>
          <w:sz w:val="22"/>
          <w:szCs w:val="22"/>
          <w:u w:val="single"/>
        </w:rPr>
        <w:t>Izdavačka djelatnost</w:t>
      </w:r>
    </w:p>
    <w:p w14:paraId="23355A47" w14:textId="77777777" w:rsidR="00C6561B" w:rsidRPr="00D77970" w:rsidRDefault="00C6561B">
      <w:pPr>
        <w:pStyle w:val="Odlomakpopisa"/>
        <w:numPr>
          <w:ilvl w:val="0"/>
          <w:numId w:val="46"/>
        </w:numPr>
        <w:shd w:val="clear" w:color="auto" w:fill="FFFFFF"/>
        <w:spacing w:after="0" w:line="259" w:lineRule="auto"/>
        <w:jc w:val="both"/>
        <w:rPr>
          <w:rFonts w:ascii="Arial" w:eastAsia="Times New Roman" w:hAnsi="Arial" w:cs="Arial"/>
          <w:szCs w:val="22"/>
        </w:rPr>
      </w:pPr>
      <w:r w:rsidRPr="00D77970">
        <w:rPr>
          <w:rFonts w:ascii="Arial" w:eastAsia="Times New Roman" w:hAnsi="Arial" w:cs="Arial"/>
          <w:szCs w:val="22"/>
        </w:rPr>
        <w:t>Suvremena likovna umjetnost Istre, monografija</w:t>
      </w:r>
    </w:p>
    <w:p w14:paraId="50D523A5" w14:textId="77777777" w:rsidR="00C6561B" w:rsidRPr="00D77970" w:rsidRDefault="00C6561B">
      <w:pPr>
        <w:pStyle w:val="Odlomakpopisa"/>
        <w:numPr>
          <w:ilvl w:val="0"/>
          <w:numId w:val="46"/>
        </w:numPr>
        <w:shd w:val="clear" w:color="auto" w:fill="FFFFFF"/>
        <w:spacing w:after="0" w:line="259" w:lineRule="auto"/>
        <w:jc w:val="both"/>
        <w:rPr>
          <w:rFonts w:ascii="Arial" w:eastAsia="Times New Roman" w:hAnsi="Arial" w:cs="Arial"/>
          <w:szCs w:val="22"/>
        </w:rPr>
      </w:pPr>
      <w:r w:rsidRPr="00D77970">
        <w:rPr>
          <w:rFonts w:ascii="Arial" w:eastAsia="Times New Roman" w:hAnsi="Arial" w:cs="Arial"/>
          <w:szCs w:val="22"/>
        </w:rPr>
        <w:t xml:space="preserve">Orlando </w:t>
      </w:r>
      <w:proofErr w:type="spellStart"/>
      <w:r w:rsidRPr="00D77970">
        <w:rPr>
          <w:rFonts w:ascii="Arial" w:eastAsia="Times New Roman" w:hAnsi="Arial" w:cs="Arial"/>
          <w:szCs w:val="22"/>
        </w:rPr>
        <w:t>Mohorović</w:t>
      </w:r>
      <w:proofErr w:type="spellEnd"/>
      <w:r w:rsidRPr="00D77970">
        <w:rPr>
          <w:rFonts w:ascii="Arial" w:eastAsia="Times New Roman" w:hAnsi="Arial" w:cs="Arial"/>
          <w:szCs w:val="22"/>
        </w:rPr>
        <w:t>, monografija</w:t>
      </w:r>
    </w:p>
    <w:p w14:paraId="793D5E8F" w14:textId="77777777" w:rsidR="00C6561B" w:rsidRPr="00D77970" w:rsidRDefault="00C6561B" w:rsidP="00D77970">
      <w:pPr>
        <w:spacing w:line="259" w:lineRule="auto"/>
        <w:contextualSpacing/>
        <w:jc w:val="both"/>
        <w:rPr>
          <w:rFonts w:ascii="Arial" w:hAnsi="Arial" w:cs="Arial"/>
          <w:sz w:val="22"/>
          <w:szCs w:val="22"/>
        </w:rPr>
      </w:pPr>
    </w:p>
    <w:p w14:paraId="42619952" w14:textId="77777777" w:rsidR="00C6561B" w:rsidRPr="00D77970" w:rsidRDefault="00C6561B" w:rsidP="00D77970">
      <w:pPr>
        <w:spacing w:line="259" w:lineRule="auto"/>
        <w:contextualSpacing/>
        <w:jc w:val="both"/>
        <w:rPr>
          <w:rFonts w:ascii="Arial" w:hAnsi="Arial" w:cs="Arial"/>
          <w:sz w:val="22"/>
          <w:szCs w:val="22"/>
        </w:rPr>
      </w:pPr>
      <w:r w:rsidRPr="00D77970">
        <w:rPr>
          <w:rFonts w:ascii="Arial" w:hAnsi="Arial" w:cs="Arial"/>
          <w:sz w:val="22"/>
          <w:szCs w:val="22"/>
        </w:rPr>
        <w:t>Gradska galerija Labin osim izložbenih, nastavit će s organiziranjem edukativnih programa kroz tematske likovne i informativne radionice s raznim temama iz područja umjetnosti, a kojima je za cilj približavanje stručnih dijaloga, uloga umjetnosti i baštine u javnom gradskom prostoru, no i raznih zanimanja iz područja umjetnosti, kako bi se pružila orijentacijska odrednica za daljnje obrazovanje mladih u tim područjima, snažnije povezala lokalna zajednica s postojećim umjetničkim tokovima i aktualnim projektima grada.</w:t>
      </w:r>
    </w:p>
    <w:p w14:paraId="3543C4EB" w14:textId="77777777" w:rsidR="00C6561B" w:rsidRPr="00D77970" w:rsidRDefault="00C6561B" w:rsidP="00D77970">
      <w:pPr>
        <w:spacing w:line="259" w:lineRule="auto"/>
        <w:contextualSpacing/>
        <w:jc w:val="both"/>
        <w:rPr>
          <w:rFonts w:ascii="Arial" w:hAnsi="Arial" w:cs="Arial"/>
          <w:sz w:val="22"/>
          <w:szCs w:val="22"/>
        </w:rPr>
      </w:pPr>
      <w:r w:rsidRPr="00D77970">
        <w:rPr>
          <w:rFonts w:ascii="Arial" w:hAnsi="Arial" w:cs="Arial"/>
          <w:sz w:val="22"/>
          <w:szCs w:val="22"/>
        </w:rPr>
        <w:t>Također, planirana su organizirana vodstva za građanstvo i najavljene grupe kroz izložbe na hrvatskom i, po potrebi, određenim stranim jezicima.</w:t>
      </w:r>
    </w:p>
    <w:p w14:paraId="03E634F4" w14:textId="77777777" w:rsidR="00C6561B" w:rsidRPr="00D77970" w:rsidRDefault="00C6561B" w:rsidP="00D77970">
      <w:pPr>
        <w:spacing w:line="259" w:lineRule="auto"/>
        <w:contextualSpacing/>
        <w:jc w:val="both"/>
        <w:rPr>
          <w:rFonts w:ascii="Arial" w:hAnsi="Arial" w:cs="Arial"/>
          <w:sz w:val="22"/>
          <w:szCs w:val="22"/>
        </w:rPr>
      </w:pPr>
      <w:r w:rsidRPr="00D77970">
        <w:rPr>
          <w:rFonts w:ascii="Arial" w:hAnsi="Arial" w:cs="Arial"/>
          <w:sz w:val="22"/>
          <w:szCs w:val="22"/>
        </w:rPr>
        <w:t>Obično se za vrijeme trajanja izložbi u proljetnom i jesenskom dijelu programa  odrade radionice za oko tristotinjak djece osnovnoškolskog i srednjoškolskog uzrasta.</w:t>
      </w:r>
    </w:p>
    <w:p w14:paraId="318A365B" w14:textId="77777777" w:rsidR="00C6561B" w:rsidRPr="00D77970" w:rsidRDefault="00C6561B" w:rsidP="00D77970">
      <w:pPr>
        <w:spacing w:line="259" w:lineRule="auto"/>
        <w:contextualSpacing/>
        <w:jc w:val="both"/>
        <w:rPr>
          <w:rFonts w:ascii="Arial" w:eastAsia="Arial" w:hAnsi="Arial" w:cs="Arial"/>
          <w:sz w:val="22"/>
          <w:szCs w:val="22"/>
          <w:u w:val="single"/>
        </w:rPr>
      </w:pPr>
    </w:p>
    <w:p w14:paraId="1E540000" w14:textId="77777777" w:rsidR="00C6561B" w:rsidRPr="00D77970" w:rsidRDefault="00C6561B" w:rsidP="00D77970">
      <w:pPr>
        <w:spacing w:line="259" w:lineRule="auto"/>
        <w:contextualSpacing/>
        <w:jc w:val="both"/>
        <w:rPr>
          <w:rFonts w:ascii="Arial" w:eastAsia="Arial" w:hAnsi="Arial" w:cs="Arial"/>
          <w:sz w:val="22"/>
          <w:szCs w:val="22"/>
          <w:u w:val="single"/>
        </w:rPr>
      </w:pPr>
      <w:r w:rsidRPr="00D77970">
        <w:rPr>
          <w:rFonts w:ascii="Arial" w:eastAsia="Arial" w:hAnsi="Arial" w:cs="Arial"/>
          <w:sz w:val="22"/>
          <w:szCs w:val="22"/>
          <w:u w:val="single"/>
        </w:rPr>
        <w:t>Pokazatelji uspješnosti:</w:t>
      </w:r>
    </w:p>
    <w:p w14:paraId="2894FAB7"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Porast broja posjetitelja, odaziv velikog broja djece na specijalizirane programe, prisutnost na aktualnoj kulturnoj sceni uz dobru medijsku pratnju programa i sadržaja te valorizacija sadržaja</w:t>
      </w:r>
    </w:p>
    <w:p w14:paraId="5BE5F085" w14:textId="77777777" w:rsidR="00C6561B" w:rsidRPr="00D77970" w:rsidRDefault="00C6561B" w:rsidP="00D77970">
      <w:pPr>
        <w:spacing w:line="259" w:lineRule="auto"/>
        <w:contextualSpacing/>
        <w:jc w:val="both"/>
        <w:rPr>
          <w:rFonts w:ascii="Arial" w:eastAsia="Arial" w:hAnsi="Arial" w:cs="Arial"/>
          <w:sz w:val="22"/>
          <w:szCs w:val="22"/>
          <w:u w:val="single"/>
        </w:rPr>
      </w:pPr>
    </w:p>
    <w:p w14:paraId="1F491142" w14:textId="77777777" w:rsidR="00C6561B" w:rsidRPr="00D77970" w:rsidRDefault="00C6561B" w:rsidP="00D77970">
      <w:pPr>
        <w:spacing w:line="259" w:lineRule="auto"/>
        <w:contextualSpacing/>
        <w:jc w:val="both"/>
        <w:rPr>
          <w:rFonts w:ascii="Arial" w:eastAsia="Arial" w:hAnsi="Arial" w:cs="Arial"/>
          <w:sz w:val="22"/>
          <w:szCs w:val="22"/>
          <w:u w:val="single"/>
        </w:rPr>
      </w:pPr>
      <w:r w:rsidRPr="00D77970">
        <w:rPr>
          <w:rFonts w:ascii="Arial" w:eastAsia="Arial" w:hAnsi="Arial" w:cs="Arial"/>
          <w:sz w:val="22"/>
          <w:szCs w:val="22"/>
          <w:u w:val="single"/>
        </w:rPr>
        <w:t>Mogući rizici su:</w:t>
      </w:r>
    </w:p>
    <w:p w14:paraId="01517DA8" w14:textId="77777777" w:rsidR="00C6561B" w:rsidRPr="00D77970" w:rsidRDefault="00C6561B" w:rsidP="00D77970">
      <w:pPr>
        <w:suppressAutoHyphens/>
        <w:spacing w:line="259" w:lineRule="auto"/>
        <w:contextualSpacing/>
        <w:jc w:val="both"/>
        <w:rPr>
          <w:rFonts w:ascii="Arial" w:eastAsia="Arial" w:hAnsi="Arial" w:cs="Arial"/>
          <w:sz w:val="22"/>
          <w:szCs w:val="22"/>
        </w:rPr>
      </w:pPr>
      <w:r w:rsidRPr="00D77970">
        <w:rPr>
          <w:rFonts w:ascii="Arial" w:eastAsia="Arial" w:hAnsi="Arial" w:cs="Arial"/>
          <w:sz w:val="22"/>
          <w:szCs w:val="22"/>
        </w:rPr>
        <w:t>Porast broja posjetitelja, odaziv velikog broja djece na specijalizirane programe, prisutnost na aktualnoj kulturnoj sceni uz dobru medijsku praćenost programa, razvoj publike, povećanje prihoda kroz suvenirnicu.</w:t>
      </w:r>
    </w:p>
    <w:p w14:paraId="2E4E484F" w14:textId="77777777" w:rsidR="00C6561B" w:rsidRPr="00D77970" w:rsidRDefault="00C6561B" w:rsidP="00D77970">
      <w:pPr>
        <w:suppressAutoHyphens/>
        <w:spacing w:line="259" w:lineRule="auto"/>
        <w:contextualSpacing/>
        <w:jc w:val="both"/>
        <w:rPr>
          <w:rFonts w:ascii="Arial" w:eastAsia="Arial" w:hAnsi="Arial" w:cs="Arial"/>
          <w:sz w:val="22"/>
          <w:szCs w:val="22"/>
        </w:rPr>
      </w:pPr>
      <w:r w:rsidRPr="00D77970">
        <w:rPr>
          <w:rFonts w:ascii="Arial" w:eastAsia="Arial" w:hAnsi="Arial" w:cs="Arial"/>
          <w:sz w:val="22"/>
          <w:szCs w:val="22"/>
        </w:rPr>
        <w:t>Nedostatak stručnog kadra za realizaciju svih planiranih aktivnosti, kraće trajanje turističke sezone, loši vremenski uvjeti te općenito opadanje interesa publike za kulturne sadržaje .</w:t>
      </w:r>
    </w:p>
    <w:p w14:paraId="5F163A66" w14:textId="77777777" w:rsidR="003D1A41" w:rsidRDefault="00C6561B" w:rsidP="003D1A41">
      <w:pPr>
        <w:suppressAutoHyphens/>
        <w:spacing w:line="259" w:lineRule="auto"/>
        <w:contextualSpacing/>
        <w:jc w:val="both"/>
        <w:rPr>
          <w:rFonts w:ascii="Arial" w:eastAsia="Arial" w:hAnsi="Arial" w:cs="Arial"/>
          <w:sz w:val="22"/>
          <w:szCs w:val="22"/>
        </w:rPr>
      </w:pPr>
      <w:r w:rsidRPr="00D77970">
        <w:rPr>
          <w:rFonts w:ascii="Arial" w:eastAsia="Arial" w:hAnsi="Arial" w:cs="Arial"/>
          <w:sz w:val="22"/>
          <w:szCs w:val="22"/>
        </w:rPr>
        <w:t>Očekivani broj posjetitelja: 5000</w:t>
      </w:r>
    </w:p>
    <w:p w14:paraId="7CB858D2" w14:textId="77777777" w:rsidR="003D1A41" w:rsidRDefault="003D1A41" w:rsidP="003D1A41">
      <w:pPr>
        <w:suppressAutoHyphens/>
        <w:spacing w:line="259" w:lineRule="auto"/>
        <w:contextualSpacing/>
        <w:jc w:val="both"/>
        <w:rPr>
          <w:rFonts w:ascii="Arial" w:eastAsia="Arial" w:hAnsi="Arial" w:cs="Arial"/>
          <w:sz w:val="22"/>
          <w:szCs w:val="22"/>
        </w:rPr>
      </w:pPr>
    </w:p>
    <w:p w14:paraId="623C740B" w14:textId="72CB4F91" w:rsidR="00C6561B" w:rsidRPr="003D1A41" w:rsidRDefault="00C6561B" w:rsidP="003D1A41">
      <w:pPr>
        <w:suppressAutoHyphens/>
        <w:spacing w:line="259" w:lineRule="auto"/>
        <w:contextualSpacing/>
        <w:jc w:val="both"/>
        <w:rPr>
          <w:rFonts w:ascii="Arial" w:eastAsia="Arial" w:hAnsi="Arial" w:cs="Arial"/>
          <w:sz w:val="22"/>
          <w:szCs w:val="22"/>
        </w:rPr>
      </w:pPr>
      <w:r w:rsidRPr="00D77970">
        <w:rPr>
          <w:rFonts w:ascii="Arial" w:eastAsia="Arial" w:hAnsi="Arial" w:cs="Arial"/>
          <w:b/>
          <w:color w:val="000000"/>
          <w:sz w:val="22"/>
          <w:szCs w:val="22"/>
        </w:rPr>
        <w:t>U prvoj izmjeni i dopuni plana u 2025. godini za financiranje aktivnosti planirano je 34.305,00</w:t>
      </w:r>
      <w:r w:rsidRPr="00D77970">
        <w:rPr>
          <w:rFonts w:ascii="Arial" w:eastAsia="Calibri" w:hAnsi="Arial" w:cs="Arial"/>
          <w:b/>
          <w:sz w:val="22"/>
          <w:szCs w:val="22"/>
        </w:rPr>
        <w:t xml:space="preserve"> </w:t>
      </w:r>
      <w:r w:rsidRPr="00D77970">
        <w:rPr>
          <w:rFonts w:ascii="Arial" w:eastAsia="Arial" w:hAnsi="Arial" w:cs="Arial"/>
          <w:b/>
          <w:color w:val="000000"/>
          <w:sz w:val="22"/>
          <w:szCs w:val="22"/>
        </w:rPr>
        <w:t>EUR.</w:t>
      </w:r>
    </w:p>
    <w:p w14:paraId="443CA82E" w14:textId="77777777" w:rsidR="00C6561B" w:rsidRPr="00D77970" w:rsidRDefault="00C6561B" w:rsidP="00D77970">
      <w:pPr>
        <w:suppressAutoHyphens/>
        <w:spacing w:line="259" w:lineRule="auto"/>
        <w:contextualSpacing/>
        <w:jc w:val="both"/>
        <w:rPr>
          <w:rFonts w:ascii="Arial" w:eastAsia="Arial" w:hAnsi="Arial" w:cs="Arial"/>
          <w:sz w:val="22"/>
          <w:szCs w:val="22"/>
        </w:rPr>
      </w:pPr>
    </w:p>
    <w:p w14:paraId="5C07CA8A" w14:textId="77777777" w:rsidR="00C6561B" w:rsidRPr="00D77970" w:rsidRDefault="00C6561B" w:rsidP="00D77970">
      <w:pPr>
        <w:spacing w:line="259" w:lineRule="auto"/>
        <w:contextualSpacing/>
        <w:jc w:val="both"/>
        <w:rPr>
          <w:rFonts w:ascii="Arial" w:eastAsia="Arial" w:hAnsi="Arial" w:cs="Arial"/>
          <w:b/>
          <w:color w:val="000000"/>
          <w:sz w:val="22"/>
          <w:szCs w:val="22"/>
        </w:rPr>
      </w:pPr>
    </w:p>
    <w:p w14:paraId="31F1F5D0" w14:textId="77777777" w:rsidR="00C6561B" w:rsidRPr="00D77970" w:rsidRDefault="00C6561B" w:rsidP="00D77970">
      <w:pPr>
        <w:spacing w:line="259" w:lineRule="auto"/>
        <w:contextualSpacing/>
        <w:jc w:val="both"/>
        <w:rPr>
          <w:rFonts w:ascii="Arial" w:eastAsia="Arial" w:hAnsi="Arial" w:cs="Arial"/>
          <w:b/>
          <w:color w:val="000000"/>
          <w:sz w:val="22"/>
          <w:szCs w:val="22"/>
        </w:rPr>
      </w:pPr>
      <w:r w:rsidRPr="00D77970">
        <w:rPr>
          <w:rFonts w:ascii="Arial" w:eastAsia="Arial" w:hAnsi="Arial" w:cs="Arial"/>
          <w:b/>
          <w:color w:val="000000"/>
          <w:sz w:val="22"/>
          <w:szCs w:val="22"/>
        </w:rPr>
        <w:t>AKTIVNOST A5000010 FINANCIRANJE REDOVNE DJELATNOSTI KINA</w:t>
      </w:r>
    </w:p>
    <w:p w14:paraId="2A6FF2B2" w14:textId="77777777" w:rsidR="00C6561B" w:rsidRPr="00D77970" w:rsidRDefault="00C6561B" w:rsidP="00D77970">
      <w:pPr>
        <w:spacing w:line="259" w:lineRule="auto"/>
        <w:contextualSpacing/>
        <w:jc w:val="both"/>
        <w:rPr>
          <w:rFonts w:ascii="Arial" w:eastAsia="Arial" w:hAnsi="Arial" w:cs="Arial"/>
          <w:b/>
          <w:color w:val="000000"/>
          <w:sz w:val="22"/>
          <w:szCs w:val="22"/>
        </w:rPr>
      </w:pPr>
    </w:p>
    <w:p w14:paraId="23BE711B" w14:textId="77777777" w:rsidR="00C6561B" w:rsidRPr="003D1A41" w:rsidRDefault="00C6561B" w:rsidP="00D77970">
      <w:pPr>
        <w:spacing w:line="259" w:lineRule="auto"/>
        <w:contextualSpacing/>
        <w:jc w:val="both"/>
        <w:rPr>
          <w:rFonts w:ascii="Arial" w:eastAsia="Arial" w:hAnsi="Arial" w:cs="Arial"/>
          <w:b/>
          <w:bCs/>
          <w:sz w:val="22"/>
          <w:szCs w:val="22"/>
        </w:rPr>
      </w:pPr>
      <w:r w:rsidRPr="003D1A41">
        <w:rPr>
          <w:rFonts w:ascii="Arial" w:eastAsia="Arial" w:hAnsi="Arial" w:cs="Arial"/>
          <w:b/>
          <w:bCs/>
          <w:sz w:val="22"/>
          <w:szCs w:val="22"/>
        </w:rPr>
        <w:t>Opis programa sa općim i posebnim ciljem:</w:t>
      </w:r>
    </w:p>
    <w:p w14:paraId="66DC6E48" w14:textId="77777777" w:rsidR="00C6561B" w:rsidRPr="00D77970" w:rsidRDefault="00C6561B" w:rsidP="00D77970">
      <w:pPr>
        <w:spacing w:line="259" w:lineRule="auto"/>
        <w:contextualSpacing/>
        <w:jc w:val="both"/>
        <w:rPr>
          <w:rFonts w:ascii="Arial" w:eastAsia="Arial" w:hAnsi="Arial" w:cs="Arial"/>
          <w:color w:val="00000A"/>
          <w:sz w:val="22"/>
          <w:szCs w:val="22"/>
        </w:rPr>
      </w:pPr>
      <w:r w:rsidRPr="00D77970">
        <w:rPr>
          <w:rFonts w:ascii="Arial" w:eastAsia="Arial" w:hAnsi="Arial" w:cs="Arial"/>
          <w:color w:val="00000A"/>
          <w:sz w:val="22"/>
          <w:szCs w:val="22"/>
        </w:rPr>
        <w:t>Prikazivanje širokog spektra filmova koji mogu zadovoljiti ukus građana bilo koje dobi i uzrasta. Prikazivati će se najnoviji filmski hitovi koje će publika  moći gledati istovremeno s premijerama u velikim multipleksima. Kino Labin je postalo članom Kino mreže i kao član Kino mreže ima široke mogućnosti prikazivanja art filmova, inkluzivnih filmova, europske produkcije kao i poticati hrvatski film.</w:t>
      </w:r>
    </w:p>
    <w:p w14:paraId="317FB7BE" w14:textId="77777777" w:rsidR="00C6561B" w:rsidRPr="00D77970" w:rsidRDefault="00C6561B" w:rsidP="00D77970">
      <w:pPr>
        <w:spacing w:line="259" w:lineRule="auto"/>
        <w:contextualSpacing/>
        <w:jc w:val="both"/>
        <w:rPr>
          <w:rFonts w:ascii="Arial" w:eastAsia="Arial" w:hAnsi="Arial" w:cs="Arial"/>
          <w:color w:val="00000A"/>
          <w:sz w:val="22"/>
          <w:szCs w:val="22"/>
        </w:rPr>
      </w:pPr>
      <w:r w:rsidRPr="00D77970">
        <w:rPr>
          <w:rFonts w:ascii="Arial" w:eastAsia="Arial" w:hAnsi="Arial" w:cs="Arial"/>
          <w:color w:val="00000A"/>
          <w:sz w:val="22"/>
          <w:szCs w:val="22"/>
        </w:rPr>
        <w:lastRenderedPageBreak/>
        <w:t xml:space="preserve">Kino Labin namjerava sudjelovati u svim predloženim programima Kino mreže, HAVC-a te se priključiti mreži Europe </w:t>
      </w:r>
      <w:proofErr w:type="spellStart"/>
      <w:r w:rsidRPr="00D77970">
        <w:rPr>
          <w:rFonts w:ascii="Arial" w:eastAsia="Arial" w:hAnsi="Arial" w:cs="Arial"/>
          <w:color w:val="00000A"/>
          <w:sz w:val="22"/>
          <w:szCs w:val="22"/>
        </w:rPr>
        <w:t>Cinemas</w:t>
      </w:r>
      <w:proofErr w:type="spellEnd"/>
      <w:r w:rsidRPr="00D77970">
        <w:rPr>
          <w:rFonts w:ascii="Arial" w:eastAsia="Arial" w:hAnsi="Arial" w:cs="Arial"/>
          <w:color w:val="00000A"/>
          <w:sz w:val="22"/>
          <w:szCs w:val="22"/>
        </w:rPr>
        <w:t xml:space="preserve">. Osim navedenog nastaviti će partnerski odnos s Pula film festivalom kao i Kinom </w:t>
      </w:r>
      <w:proofErr w:type="spellStart"/>
      <w:r w:rsidRPr="00D77970">
        <w:rPr>
          <w:rFonts w:ascii="Arial" w:eastAsia="Arial" w:hAnsi="Arial" w:cs="Arial"/>
          <w:color w:val="00000A"/>
          <w:sz w:val="22"/>
          <w:szCs w:val="22"/>
        </w:rPr>
        <w:t>Valli</w:t>
      </w:r>
      <w:proofErr w:type="spellEnd"/>
      <w:r w:rsidRPr="00D77970">
        <w:rPr>
          <w:rFonts w:ascii="Arial" w:eastAsia="Arial" w:hAnsi="Arial" w:cs="Arial"/>
          <w:color w:val="00000A"/>
          <w:sz w:val="22"/>
          <w:szCs w:val="22"/>
        </w:rPr>
        <w:t xml:space="preserve"> u provedbi programa Film u školi (FUŠ).</w:t>
      </w:r>
    </w:p>
    <w:p w14:paraId="4B28EFAE" w14:textId="77777777" w:rsidR="00C6561B" w:rsidRPr="00D77970" w:rsidRDefault="00C6561B" w:rsidP="00D77970">
      <w:pPr>
        <w:spacing w:line="259" w:lineRule="auto"/>
        <w:contextualSpacing/>
        <w:jc w:val="both"/>
        <w:rPr>
          <w:rFonts w:ascii="Arial" w:eastAsia="Arial" w:hAnsi="Arial" w:cs="Arial"/>
          <w:color w:val="00000A"/>
          <w:sz w:val="22"/>
          <w:szCs w:val="22"/>
        </w:rPr>
      </w:pPr>
      <w:r w:rsidRPr="00D77970">
        <w:rPr>
          <w:rFonts w:ascii="Arial" w:eastAsia="Arial" w:hAnsi="Arial" w:cs="Arial"/>
          <w:color w:val="00000A"/>
          <w:sz w:val="22"/>
          <w:szCs w:val="22"/>
        </w:rPr>
        <w:t>Kino program temelji se na prikazivanju filmova od srijede do nedjelje te u jutarnje terminu za škole, od pon do petka ili prema dogovoru.</w:t>
      </w:r>
    </w:p>
    <w:p w14:paraId="4F449E5F" w14:textId="77777777" w:rsidR="00C6561B" w:rsidRPr="00D77970" w:rsidRDefault="00C6561B" w:rsidP="00D77970">
      <w:pPr>
        <w:spacing w:line="259" w:lineRule="auto"/>
        <w:contextualSpacing/>
        <w:jc w:val="both"/>
        <w:rPr>
          <w:rFonts w:ascii="Arial" w:eastAsia="Arial" w:hAnsi="Arial" w:cs="Arial"/>
          <w:color w:val="00000A"/>
          <w:sz w:val="22"/>
          <w:szCs w:val="22"/>
        </w:rPr>
      </w:pPr>
      <w:r w:rsidRPr="00D77970">
        <w:rPr>
          <w:rFonts w:ascii="Arial" w:eastAsia="Arial" w:hAnsi="Arial" w:cs="Arial"/>
          <w:color w:val="00000A"/>
          <w:sz w:val="22"/>
          <w:szCs w:val="22"/>
        </w:rPr>
        <w:t>Planira se ulaganje putem rekonstrukcije pozornice kina te digitalizacije i opremanje kino sale.</w:t>
      </w:r>
    </w:p>
    <w:p w14:paraId="167C8BF0" w14:textId="77777777" w:rsidR="00C6561B" w:rsidRPr="00D77970" w:rsidRDefault="00C6561B" w:rsidP="00D77970">
      <w:pPr>
        <w:spacing w:line="259" w:lineRule="auto"/>
        <w:contextualSpacing/>
        <w:jc w:val="both"/>
        <w:rPr>
          <w:rFonts w:ascii="Arial" w:eastAsia="Arial" w:hAnsi="Arial" w:cs="Arial"/>
          <w:sz w:val="22"/>
          <w:szCs w:val="22"/>
          <w:u w:val="single"/>
        </w:rPr>
      </w:pPr>
    </w:p>
    <w:p w14:paraId="43113F78" w14:textId="77777777" w:rsidR="00C6561B" w:rsidRPr="00D77970" w:rsidRDefault="00C6561B" w:rsidP="00D77970">
      <w:pPr>
        <w:spacing w:line="259" w:lineRule="auto"/>
        <w:contextualSpacing/>
        <w:jc w:val="both"/>
        <w:rPr>
          <w:rFonts w:ascii="Arial" w:eastAsia="Arial" w:hAnsi="Arial" w:cs="Arial"/>
          <w:sz w:val="22"/>
          <w:szCs w:val="22"/>
          <w:u w:val="single"/>
        </w:rPr>
      </w:pPr>
      <w:r w:rsidRPr="00D77970">
        <w:rPr>
          <w:rFonts w:ascii="Arial" w:eastAsia="Arial" w:hAnsi="Arial" w:cs="Arial"/>
          <w:sz w:val="22"/>
          <w:szCs w:val="22"/>
          <w:u w:val="single"/>
        </w:rPr>
        <w:t>Pokazatelj uspješnosti i mogući rizici:</w:t>
      </w:r>
    </w:p>
    <w:p w14:paraId="6BF12388"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Povećana zainteresiranost i posjete građana. Broj prodanih kino ulaznica i polaznika filmskih radionica. Mogući rizik je sve veća dostupnost filmskih sadržaja na web prostoru i blizina suvremeno opremljenih kino dvorana. Nedostatak razvoja publike.</w:t>
      </w:r>
    </w:p>
    <w:p w14:paraId="1CED06EE" w14:textId="77777777" w:rsidR="00C6561B" w:rsidRPr="00D77970" w:rsidRDefault="00C6561B" w:rsidP="00D77970">
      <w:pPr>
        <w:spacing w:line="259" w:lineRule="auto"/>
        <w:contextualSpacing/>
        <w:jc w:val="both"/>
        <w:rPr>
          <w:rFonts w:ascii="Arial" w:eastAsia="Arial" w:hAnsi="Arial" w:cs="Arial"/>
          <w:sz w:val="22"/>
          <w:szCs w:val="22"/>
        </w:rPr>
      </w:pPr>
    </w:p>
    <w:p w14:paraId="4C2F88F0"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Očekivani broj posjetitelja: 9000</w:t>
      </w:r>
    </w:p>
    <w:p w14:paraId="56A54D08" w14:textId="77777777" w:rsidR="00C6561B" w:rsidRPr="00D77970" w:rsidRDefault="00C6561B" w:rsidP="00D77970">
      <w:pPr>
        <w:spacing w:line="259" w:lineRule="auto"/>
        <w:contextualSpacing/>
        <w:jc w:val="both"/>
        <w:rPr>
          <w:rFonts w:ascii="Arial" w:eastAsia="Arial" w:hAnsi="Arial" w:cs="Arial"/>
          <w:b/>
          <w:color w:val="000000"/>
          <w:sz w:val="22"/>
          <w:szCs w:val="22"/>
        </w:rPr>
      </w:pPr>
    </w:p>
    <w:p w14:paraId="1E8910B0" w14:textId="77777777" w:rsidR="00C6561B" w:rsidRPr="00D77970" w:rsidRDefault="00C6561B" w:rsidP="00D77970">
      <w:pPr>
        <w:spacing w:line="259" w:lineRule="auto"/>
        <w:contextualSpacing/>
        <w:jc w:val="both"/>
        <w:rPr>
          <w:rFonts w:ascii="Arial" w:eastAsia="Arial" w:hAnsi="Arial" w:cs="Arial"/>
          <w:b/>
          <w:color w:val="000000"/>
          <w:sz w:val="22"/>
          <w:szCs w:val="22"/>
        </w:rPr>
      </w:pPr>
      <w:r w:rsidRPr="00D77970">
        <w:rPr>
          <w:rFonts w:ascii="Arial" w:eastAsia="Arial" w:hAnsi="Arial" w:cs="Arial"/>
          <w:b/>
          <w:color w:val="000000"/>
          <w:sz w:val="22"/>
          <w:szCs w:val="22"/>
        </w:rPr>
        <w:t>Za financiranje aktivnosti u drugoj izmjeni i dopuni plana za 2024. godinu planirano je 68.828,00 EUR.</w:t>
      </w:r>
    </w:p>
    <w:p w14:paraId="0B51EF2E" w14:textId="77777777" w:rsidR="00C6561B" w:rsidRPr="00D77970" w:rsidRDefault="00C6561B" w:rsidP="00D77970">
      <w:pPr>
        <w:spacing w:line="259" w:lineRule="auto"/>
        <w:contextualSpacing/>
        <w:jc w:val="both"/>
        <w:rPr>
          <w:rFonts w:ascii="Arial" w:eastAsiaTheme="minorHAnsi" w:hAnsi="Arial" w:cs="Arial"/>
          <w:sz w:val="22"/>
          <w:szCs w:val="22"/>
        </w:rPr>
      </w:pPr>
    </w:p>
    <w:p w14:paraId="615176E0" w14:textId="77777777" w:rsidR="00C6561B" w:rsidRPr="00D77970" w:rsidRDefault="00C6561B" w:rsidP="00D77970">
      <w:pPr>
        <w:spacing w:line="259" w:lineRule="auto"/>
        <w:contextualSpacing/>
        <w:jc w:val="both"/>
        <w:rPr>
          <w:rFonts w:ascii="Arial" w:hAnsi="Arial" w:cs="Arial"/>
          <w:sz w:val="22"/>
          <w:szCs w:val="22"/>
        </w:rPr>
      </w:pPr>
    </w:p>
    <w:p w14:paraId="696435EB" w14:textId="77777777" w:rsidR="00C6561B" w:rsidRPr="00D77970" w:rsidRDefault="00C6561B" w:rsidP="00D77970">
      <w:pPr>
        <w:spacing w:line="259" w:lineRule="auto"/>
        <w:contextualSpacing/>
        <w:jc w:val="both"/>
        <w:rPr>
          <w:rFonts w:ascii="Arial" w:eastAsia="Arial" w:hAnsi="Arial" w:cs="Arial"/>
          <w:b/>
          <w:color w:val="000000"/>
          <w:sz w:val="22"/>
          <w:szCs w:val="22"/>
        </w:rPr>
      </w:pPr>
      <w:r w:rsidRPr="00D77970">
        <w:rPr>
          <w:rFonts w:ascii="Arial" w:eastAsia="Arial" w:hAnsi="Arial" w:cs="Arial"/>
          <w:b/>
          <w:color w:val="000000"/>
          <w:sz w:val="22"/>
          <w:szCs w:val="22"/>
        </w:rPr>
        <w:t>AKTIVNOST A5000011 FINANCIRANJE REDOVNE DJELATNOSTI OBRAZOVANJA ODRASLIH</w:t>
      </w:r>
    </w:p>
    <w:p w14:paraId="447577E6" w14:textId="77777777" w:rsidR="00C6561B" w:rsidRPr="00D77970" w:rsidRDefault="00C6561B" w:rsidP="00D77970">
      <w:pPr>
        <w:spacing w:line="259" w:lineRule="auto"/>
        <w:contextualSpacing/>
        <w:jc w:val="both"/>
        <w:rPr>
          <w:rFonts w:ascii="Arial" w:eastAsia="Arial" w:hAnsi="Arial" w:cs="Arial"/>
          <w:sz w:val="22"/>
          <w:szCs w:val="22"/>
          <w:u w:val="single"/>
        </w:rPr>
      </w:pPr>
    </w:p>
    <w:p w14:paraId="6985923C" w14:textId="77777777" w:rsidR="00C6561B" w:rsidRPr="003D1A41" w:rsidRDefault="00C6561B" w:rsidP="00D77970">
      <w:pPr>
        <w:spacing w:line="259" w:lineRule="auto"/>
        <w:contextualSpacing/>
        <w:jc w:val="both"/>
        <w:rPr>
          <w:rFonts w:ascii="Arial" w:hAnsi="Arial" w:cs="Arial"/>
          <w:b/>
          <w:bCs/>
          <w:sz w:val="22"/>
          <w:szCs w:val="22"/>
        </w:rPr>
      </w:pPr>
      <w:r w:rsidRPr="003D1A41">
        <w:rPr>
          <w:rFonts w:ascii="Arial" w:eastAsia="Arial" w:hAnsi="Arial" w:cs="Arial"/>
          <w:b/>
          <w:bCs/>
          <w:sz w:val="22"/>
          <w:szCs w:val="22"/>
        </w:rPr>
        <w:t>Opis programa sa općim i posebnim ciljem:</w:t>
      </w:r>
    </w:p>
    <w:p w14:paraId="1A259CA6"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Nastavlja se realizacija verificiranih i neverificiranih programa za obavljanje poslova samostalnog knjigovođe, njegovatelja/</w:t>
      </w:r>
      <w:proofErr w:type="spellStart"/>
      <w:r w:rsidRPr="00D77970">
        <w:rPr>
          <w:rFonts w:ascii="Arial" w:eastAsia="Arial" w:hAnsi="Arial" w:cs="Arial"/>
          <w:sz w:val="22"/>
          <w:szCs w:val="22"/>
        </w:rPr>
        <w:t>ice</w:t>
      </w:r>
      <w:proofErr w:type="spellEnd"/>
      <w:r w:rsidRPr="00D77970">
        <w:rPr>
          <w:rFonts w:ascii="Arial" w:eastAsia="Arial" w:hAnsi="Arial" w:cs="Arial"/>
          <w:sz w:val="22"/>
          <w:szCs w:val="22"/>
        </w:rPr>
        <w:t xml:space="preserve"> starijih i nemoćnih osoba, za poslove  dadilja, ekoloških pčelara, te programa srednje i niže stručne spreme za poslove komercijalista, pomoćnog kuhara i kuhara te učenje stranih jezika sukladno referentnom EU okviru. Program će se provoditi prema Godišnjem planu i programu obrazovanja odraslih.</w:t>
      </w:r>
    </w:p>
    <w:p w14:paraId="2FF75164" w14:textId="77777777" w:rsidR="00C6561B" w:rsidRPr="00D77970" w:rsidRDefault="00C6561B" w:rsidP="00D77970">
      <w:pPr>
        <w:spacing w:line="259" w:lineRule="auto"/>
        <w:contextualSpacing/>
        <w:jc w:val="both"/>
        <w:rPr>
          <w:rFonts w:ascii="Arial" w:eastAsia="Arial" w:hAnsi="Arial" w:cs="Arial"/>
          <w:sz w:val="22"/>
          <w:szCs w:val="22"/>
        </w:rPr>
      </w:pPr>
    </w:p>
    <w:p w14:paraId="3DFA2EF0"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 xml:space="preserve">Učilište će tijekom čitave proračunske godine intenzivno raditi na području promocije cjeloživotnog učenja, podizanja svijesti o važnosti stjecanja novih vještina i kompetencija. </w:t>
      </w:r>
    </w:p>
    <w:p w14:paraId="41E77D36" w14:textId="77777777" w:rsidR="00C6561B" w:rsidRPr="00D77970" w:rsidRDefault="00C6561B" w:rsidP="00D77970">
      <w:pPr>
        <w:spacing w:line="259" w:lineRule="auto"/>
        <w:contextualSpacing/>
        <w:jc w:val="both"/>
        <w:rPr>
          <w:rFonts w:ascii="Arial" w:eastAsia="Arial" w:hAnsi="Arial" w:cs="Arial"/>
          <w:sz w:val="22"/>
          <w:szCs w:val="22"/>
        </w:rPr>
      </w:pPr>
    </w:p>
    <w:p w14:paraId="68BB5A28"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Ciljana skupina: populacija s navršenih 15 do 18 godina života pa do treće životne dobi, a sukladno širenju djelatnosti određeni dio aktivnosti bit će usmjeren i na djecu.</w:t>
      </w:r>
    </w:p>
    <w:p w14:paraId="767E8CB1" w14:textId="77777777" w:rsidR="00C6561B" w:rsidRPr="00D77970" w:rsidRDefault="00C6561B" w:rsidP="00D77970">
      <w:pPr>
        <w:spacing w:line="259" w:lineRule="auto"/>
        <w:contextualSpacing/>
        <w:jc w:val="both"/>
        <w:rPr>
          <w:rFonts w:ascii="Arial" w:eastAsia="Arial" w:hAnsi="Arial" w:cs="Arial"/>
          <w:sz w:val="22"/>
          <w:szCs w:val="22"/>
        </w:rPr>
      </w:pPr>
    </w:p>
    <w:p w14:paraId="6FE84C2C"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 xml:space="preserve">U programe cjeloživotnog učenja planira se tijekom 2025. godine uključiti oko 150 polaznika. </w:t>
      </w:r>
    </w:p>
    <w:p w14:paraId="3DBF2726" w14:textId="77777777" w:rsidR="00C6561B" w:rsidRPr="00D77970" w:rsidRDefault="00C6561B" w:rsidP="00D77970">
      <w:pPr>
        <w:spacing w:line="259" w:lineRule="auto"/>
        <w:contextualSpacing/>
        <w:jc w:val="both"/>
        <w:rPr>
          <w:rFonts w:ascii="Arial" w:eastAsia="Arial" w:hAnsi="Arial" w:cs="Arial"/>
          <w:sz w:val="22"/>
          <w:szCs w:val="22"/>
        </w:rPr>
      </w:pPr>
    </w:p>
    <w:p w14:paraId="694DBDAF" w14:textId="77777777" w:rsidR="00C6561B" w:rsidRPr="00D77970" w:rsidRDefault="00C6561B" w:rsidP="00D77970">
      <w:pPr>
        <w:spacing w:line="259" w:lineRule="auto"/>
        <w:contextualSpacing/>
        <w:jc w:val="both"/>
        <w:rPr>
          <w:rFonts w:ascii="Arial" w:eastAsia="Arial" w:hAnsi="Arial" w:cs="Arial"/>
          <w:sz w:val="22"/>
          <w:szCs w:val="22"/>
        </w:rPr>
      </w:pPr>
    </w:p>
    <w:p w14:paraId="6672DD74"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Cilj programa je provedba aktivnosti izrade i realizacije programa obrazovanja odraslih za doškolovanje, stjecanje nove kvalifikacije i prekvalifikacije. Pružanje građanima mogućnosti   socijalnog uključivanja, stjecanje nove stručne spreme i konkurentnosti na tržištu rada.</w:t>
      </w:r>
    </w:p>
    <w:p w14:paraId="5FA6A725" w14:textId="77777777" w:rsidR="00C6561B" w:rsidRPr="00D77970" w:rsidRDefault="00C6561B" w:rsidP="00D77970">
      <w:pPr>
        <w:spacing w:line="259" w:lineRule="auto"/>
        <w:contextualSpacing/>
        <w:jc w:val="both"/>
        <w:rPr>
          <w:rFonts w:ascii="Arial" w:eastAsia="Arial" w:hAnsi="Arial" w:cs="Arial"/>
          <w:b/>
          <w:bCs/>
          <w:i/>
          <w:iCs/>
          <w:sz w:val="22"/>
          <w:szCs w:val="22"/>
        </w:rPr>
      </w:pPr>
    </w:p>
    <w:p w14:paraId="176727E3" w14:textId="77777777" w:rsidR="00C6561B" w:rsidRPr="00D77970" w:rsidRDefault="00C6561B" w:rsidP="00D77970">
      <w:pPr>
        <w:spacing w:line="259" w:lineRule="auto"/>
        <w:contextualSpacing/>
        <w:jc w:val="both"/>
        <w:rPr>
          <w:rFonts w:ascii="Arial" w:eastAsia="Arial" w:hAnsi="Arial" w:cs="Arial"/>
          <w:b/>
          <w:bCs/>
          <w:sz w:val="22"/>
          <w:szCs w:val="22"/>
          <w:u w:val="single"/>
        </w:rPr>
      </w:pPr>
      <w:r w:rsidRPr="00D77970">
        <w:rPr>
          <w:rFonts w:ascii="Arial" w:eastAsia="Arial" w:hAnsi="Arial" w:cs="Arial"/>
          <w:b/>
          <w:bCs/>
          <w:sz w:val="22"/>
          <w:szCs w:val="22"/>
          <w:u w:val="single"/>
        </w:rPr>
        <w:t>Fond za pravednu tranziciju</w:t>
      </w:r>
    </w:p>
    <w:p w14:paraId="6B71E317"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Tijekom 2025. u planu je koristiti sredstva Fonda za pravednu tranziciju što potencijalno može povećati prihode/rashode na aktivnosti kao i ponudu programa za obrazovanje odraslih te povećati zapošljavanje na djelatnosti.</w:t>
      </w:r>
    </w:p>
    <w:p w14:paraId="0B21C8F8" w14:textId="77777777" w:rsidR="00C6561B" w:rsidRPr="00D77970" w:rsidRDefault="00C6561B" w:rsidP="00D77970">
      <w:pPr>
        <w:spacing w:line="259" w:lineRule="auto"/>
        <w:contextualSpacing/>
        <w:jc w:val="both"/>
        <w:rPr>
          <w:rFonts w:ascii="Arial" w:eastAsia="Arial" w:hAnsi="Arial" w:cs="Arial"/>
          <w:sz w:val="22"/>
          <w:szCs w:val="22"/>
        </w:rPr>
      </w:pPr>
    </w:p>
    <w:p w14:paraId="47EE92B6" w14:textId="77777777" w:rsidR="00C6561B" w:rsidRPr="003D1A41" w:rsidRDefault="00C6561B" w:rsidP="00D77970">
      <w:pPr>
        <w:spacing w:line="259" w:lineRule="auto"/>
        <w:contextualSpacing/>
        <w:jc w:val="both"/>
        <w:rPr>
          <w:rFonts w:ascii="Arial" w:eastAsia="Arial" w:hAnsi="Arial" w:cs="Arial"/>
          <w:b/>
          <w:bCs/>
          <w:sz w:val="22"/>
          <w:szCs w:val="22"/>
        </w:rPr>
      </w:pPr>
      <w:r w:rsidRPr="003D1A41">
        <w:rPr>
          <w:rFonts w:ascii="Arial" w:eastAsia="Arial" w:hAnsi="Arial" w:cs="Arial"/>
          <w:b/>
          <w:bCs/>
          <w:sz w:val="22"/>
          <w:szCs w:val="22"/>
        </w:rPr>
        <w:t>Pokazatelj uspješnosti i mogući rizici:</w:t>
      </w:r>
    </w:p>
    <w:p w14:paraId="7A0E8FED"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Povećan interes za programe obrazovanja odraslih u svrhu prekvalifikacije, radionica za djecu kao i povećan interes tečaja za strane radnike.</w:t>
      </w:r>
    </w:p>
    <w:p w14:paraId="1BB48218" w14:textId="77777777" w:rsidR="00C6561B" w:rsidRPr="00D77970" w:rsidRDefault="00C6561B" w:rsidP="00D77970">
      <w:pPr>
        <w:spacing w:line="259" w:lineRule="auto"/>
        <w:contextualSpacing/>
        <w:jc w:val="both"/>
        <w:rPr>
          <w:rFonts w:ascii="Arial" w:eastAsia="Arial" w:hAnsi="Arial" w:cs="Arial"/>
          <w:sz w:val="22"/>
          <w:szCs w:val="22"/>
        </w:rPr>
      </w:pPr>
    </w:p>
    <w:p w14:paraId="76EF8418"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lastRenderedPageBreak/>
        <w:t>Mogući rizici su slaba platežna moć građana, nedovoljan interes institucija i poslovnih subjekata za financiranje ili sufinanciranje troškova edukacije za svoje djelatnike, štićenike i sl., nedovoljan broj nezaposlenih osoba prijavljenih u Zavodu za zapošljavanje kao potencijalnih korisnika obrazovnih programa financiranih od strane Zavoda i EU fondova.</w:t>
      </w:r>
    </w:p>
    <w:p w14:paraId="5DAB8175" w14:textId="77777777" w:rsidR="00C6561B" w:rsidRPr="00D77970" w:rsidRDefault="00C6561B" w:rsidP="00D77970">
      <w:pPr>
        <w:spacing w:line="259" w:lineRule="auto"/>
        <w:contextualSpacing/>
        <w:jc w:val="both"/>
        <w:rPr>
          <w:rFonts w:ascii="Arial" w:eastAsia="Arial" w:hAnsi="Arial" w:cs="Arial"/>
          <w:bCs/>
          <w:color w:val="000000"/>
          <w:sz w:val="22"/>
          <w:szCs w:val="22"/>
        </w:rPr>
      </w:pPr>
    </w:p>
    <w:p w14:paraId="17923F59" w14:textId="77777777" w:rsidR="00C6561B" w:rsidRPr="00D77970" w:rsidRDefault="00C6561B" w:rsidP="00D77970">
      <w:pPr>
        <w:spacing w:line="259" w:lineRule="auto"/>
        <w:contextualSpacing/>
        <w:jc w:val="both"/>
        <w:rPr>
          <w:rFonts w:ascii="Arial" w:eastAsiaTheme="minorHAnsi" w:hAnsi="Arial" w:cs="Arial"/>
          <w:b/>
          <w:sz w:val="22"/>
          <w:szCs w:val="22"/>
        </w:rPr>
      </w:pPr>
      <w:r w:rsidRPr="00D77970">
        <w:rPr>
          <w:rFonts w:ascii="Arial" w:eastAsia="Arial" w:hAnsi="Arial" w:cs="Arial"/>
          <w:b/>
          <w:color w:val="000000"/>
          <w:sz w:val="22"/>
          <w:szCs w:val="22"/>
        </w:rPr>
        <w:t>Za financiranje aktivnosti u drugoj izmjeni i dopuni plana za 2024. godinu planirano je 72.944,00 EUR.</w:t>
      </w:r>
    </w:p>
    <w:p w14:paraId="6094E4A4" w14:textId="77777777" w:rsidR="00C6561B" w:rsidRPr="00D77970" w:rsidRDefault="00C6561B" w:rsidP="00D77970">
      <w:pPr>
        <w:spacing w:line="259" w:lineRule="auto"/>
        <w:contextualSpacing/>
        <w:jc w:val="both"/>
        <w:rPr>
          <w:rFonts w:ascii="Arial" w:eastAsia="Arial" w:hAnsi="Arial" w:cs="Arial"/>
          <w:b/>
          <w:color w:val="000000"/>
          <w:sz w:val="22"/>
          <w:szCs w:val="22"/>
        </w:rPr>
      </w:pPr>
    </w:p>
    <w:p w14:paraId="630D3851" w14:textId="77777777" w:rsidR="00C6561B" w:rsidRPr="00D77970" w:rsidRDefault="00C6561B" w:rsidP="00D77970">
      <w:pPr>
        <w:spacing w:line="259" w:lineRule="auto"/>
        <w:contextualSpacing/>
        <w:jc w:val="both"/>
        <w:rPr>
          <w:rFonts w:ascii="Arial" w:eastAsia="Arial" w:hAnsi="Arial" w:cs="Arial"/>
          <w:b/>
          <w:color w:val="000000"/>
          <w:sz w:val="22"/>
          <w:szCs w:val="22"/>
        </w:rPr>
      </w:pPr>
    </w:p>
    <w:p w14:paraId="0D366D8C" w14:textId="77777777" w:rsidR="00C6561B" w:rsidRPr="00D77970" w:rsidRDefault="00C6561B" w:rsidP="00D77970">
      <w:pPr>
        <w:spacing w:line="259" w:lineRule="auto"/>
        <w:contextualSpacing/>
        <w:jc w:val="both"/>
        <w:rPr>
          <w:rFonts w:ascii="Arial" w:eastAsia="Arial" w:hAnsi="Arial" w:cs="Arial"/>
          <w:b/>
          <w:color w:val="000000"/>
          <w:sz w:val="22"/>
          <w:szCs w:val="22"/>
        </w:rPr>
      </w:pPr>
      <w:r w:rsidRPr="00D77970">
        <w:rPr>
          <w:rFonts w:ascii="Arial" w:eastAsia="Arial" w:hAnsi="Arial" w:cs="Arial"/>
          <w:b/>
          <w:color w:val="000000"/>
          <w:sz w:val="22"/>
          <w:szCs w:val="22"/>
        </w:rPr>
        <w:t>AKTIVNOST A5000020 FINANCIRANJE ZAJEDNIČKIH SLUŽBI</w:t>
      </w:r>
    </w:p>
    <w:p w14:paraId="7C153978" w14:textId="77777777" w:rsidR="00C6561B" w:rsidRPr="00D77970" w:rsidRDefault="00C6561B" w:rsidP="00D77970">
      <w:pPr>
        <w:spacing w:line="259" w:lineRule="auto"/>
        <w:contextualSpacing/>
        <w:jc w:val="both"/>
        <w:rPr>
          <w:rFonts w:ascii="Arial" w:eastAsia="Arial" w:hAnsi="Arial" w:cs="Arial"/>
          <w:b/>
          <w:color w:val="000000"/>
          <w:sz w:val="22"/>
          <w:szCs w:val="22"/>
        </w:rPr>
      </w:pPr>
    </w:p>
    <w:p w14:paraId="554AB7D7" w14:textId="77777777" w:rsidR="00C6561B" w:rsidRPr="00D77970" w:rsidRDefault="00C6561B" w:rsidP="00D77970">
      <w:pPr>
        <w:spacing w:line="259" w:lineRule="auto"/>
        <w:contextualSpacing/>
        <w:jc w:val="both"/>
        <w:rPr>
          <w:rFonts w:ascii="Arial" w:eastAsiaTheme="minorHAnsi" w:hAnsi="Arial" w:cs="Arial"/>
          <w:sz w:val="22"/>
          <w:szCs w:val="22"/>
        </w:rPr>
      </w:pPr>
      <w:r w:rsidRPr="00D77970">
        <w:rPr>
          <w:rFonts w:ascii="Arial" w:eastAsia="Arial" w:hAnsi="Arial" w:cs="Arial"/>
          <w:b/>
          <w:color w:val="000000"/>
          <w:sz w:val="22"/>
          <w:szCs w:val="22"/>
        </w:rPr>
        <w:t>Za financiranje aktivnosti planirano je</w:t>
      </w:r>
      <w:r w:rsidRPr="00D77970">
        <w:rPr>
          <w:rFonts w:ascii="Arial" w:hAnsi="Arial" w:cs="Arial"/>
          <w:b/>
          <w:sz w:val="22"/>
          <w:szCs w:val="22"/>
        </w:rPr>
        <w:t xml:space="preserve"> </w:t>
      </w:r>
      <w:r w:rsidRPr="00D77970">
        <w:rPr>
          <w:rFonts w:ascii="Arial" w:eastAsia="Arial" w:hAnsi="Arial" w:cs="Arial"/>
          <w:b/>
          <w:color w:val="000000"/>
          <w:sz w:val="22"/>
          <w:szCs w:val="22"/>
        </w:rPr>
        <w:t>377.000,00 EUR,</w:t>
      </w:r>
      <w:r w:rsidRPr="00D77970">
        <w:rPr>
          <w:rFonts w:ascii="Arial" w:eastAsia="Arial" w:hAnsi="Arial" w:cs="Arial"/>
          <w:bCs/>
          <w:color w:val="000000"/>
          <w:sz w:val="22"/>
          <w:szCs w:val="22"/>
        </w:rPr>
        <w:t xml:space="preserve"> a odnosi se rashode za zaposlene, materijalne rashode, financijske rashode, rashode za nabavu nefinancijske dugotrajne imovine te na zatvaranje metodičkog manjka prihoda.</w:t>
      </w:r>
    </w:p>
    <w:p w14:paraId="2E7B87B3" w14:textId="77777777" w:rsidR="00C6561B" w:rsidRPr="00D77970" w:rsidRDefault="00C6561B" w:rsidP="00D77970">
      <w:pPr>
        <w:spacing w:line="259" w:lineRule="auto"/>
        <w:contextualSpacing/>
        <w:jc w:val="both"/>
        <w:rPr>
          <w:rFonts w:ascii="Arial" w:eastAsia="Arial" w:hAnsi="Arial" w:cs="Arial"/>
          <w:b/>
          <w:color w:val="000000"/>
          <w:sz w:val="22"/>
          <w:szCs w:val="22"/>
        </w:rPr>
      </w:pPr>
    </w:p>
    <w:p w14:paraId="5411BAA3" w14:textId="77777777" w:rsidR="00C6561B" w:rsidRPr="00D77970" w:rsidRDefault="00C6561B" w:rsidP="00D77970">
      <w:pPr>
        <w:spacing w:line="259" w:lineRule="auto"/>
        <w:contextualSpacing/>
        <w:jc w:val="both"/>
        <w:rPr>
          <w:rFonts w:ascii="Arial" w:eastAsia="Arial" w:hAnsi="Arial" w:cs="Arial"/>
          <w:b/>
          <w:color w:val="000000"/>
          <w:sz w:val="22"/>
          <w:szCs w:val="22"/>
        </w:rPr>
      </w:pPr>
      <w:r w:rsidRPr="00D77970">
        <w:rPr>
          <w:rFonts w:ascii="Arial" w:eastAsia="Arial" w:hAnsi="Arial" w:cs="Arial"/>
          <w:b/>
          <w:color w:val="000000"/>
          <w:sz w:val="22"/>
          <w:szCs w:val="22"/>
        </w:rPr>
        <w:t>AKTIVNOST A5000021 FINANCIRANJE MUZEJSKE DJELATNOSTI</w:t>
      </w:r>
    </w:p>
    <w:p w14:paraId="4731EC89" w14:textId="77777777" w:rsidR="00C6561B" w:rsidRPr="00D77970" w:rsidRDefault="00C6561B" w:rsidP="00D77970">
      <w:pPr>
        <w:spacing w:line="259" w:lineRule="auto"/>
        <w:contextualSpacing/>
        <w:jc w:val="both"/>
        <w:rPr>
          <w:rFonts w:ascii="Arial" w:eastAsia="Arial" w:hAnsi="Arial" w:cs="Arial"/>
          <w:sz w:val="22"/>
          <w:szCs w:val="22"/>
          <w:u w:val="single"/>
        </w:rPr>
      </w:pPr>
    </w:p>
    <w:p w14:paraId="614C1E22" w14:textId="77777777" w:rsidR="00C6561B" w:rsidRPr="00D77970" w:rsidRDefault="00C6561B" w:rsidP="00D77970">
      <w:pPr>
        <w:spacing w:line="259" w:lineRule="auto"/>
        <w:contextualSpacing/>
        <w:jc w:val="both"/>
        <w:rPr>
          <w:rFonts w:ascii="Arial" w:eastAsia="Arial" w:hAnsi="Arial" w:cs="Arial"/>
          <w:sz w:val="22"/>
          <w:szCs w:val="22"/>
          <w:u w:val="single"/>
        </w:rPr>
      </w:pPr>
      <w:r w:rsidRPr="00D77970">
        <w:rPr>
          <w:rFonts w:ascii="Arial" w:eastAsia="Arial" w:hAnsi="Arial" w:cs="Arial"/>
          <w:sz w:val="22"/>
          <w:szCs w:val="22"/>
          <w:u w:val="single"/>
        </w:rPr>
        <w:t>Opis programa sa općim i posebnim ciljem:</w:t>
      </w:r>
    </w:p>
    <w:p w14:paraId="13C4DD99" w14:textId="77777777" w:rsidR="00C6561B" w:rsidRPr="00D77970" w:rsidRDefault="00C6561B" w:rsidP="00D77970">
      <w:pPr>
        <w:spacing w:line="259" w:lineRule="auto"/>
        <w:contextualSpacing/>
        <w:jc w:val="both"/>
        <w:rPr>
          <w:rFonts w:ascii="Arial" w:eastAsia="Calibri" w:hAnsi="Arial" w:cs="Arial"/>
          <w:sz w:val="22"/>
          <w:szCs w:val="22"/>
        </w:rPr>
      </w:pPr>
      <w:r w:rsidRPr="00D77970">
        <w:rPr>
          <w:rFonts w:ascii="Arial" w:eastAsia="Calibri" w:hAnsi="Arial" w:cs="Arial"/>
          <w:sz w:val="22"/>
          <w:szCs w:val="22"/>
        </w:rPr>
        <w:t>Cilj programa je očuvanje i predstavljanje baštine grada i okolice Labina. Misija se provodi putem prikupljanja, zaštite, istraživanja i dokumentiranja predmeta, baštine i suvremene umjetnosti predstavljajući ih na izložbama, edukativnim programima i drugim aktivnostima. Dosljednost i stručan muzejski rad pridonosi stvaranju kvalitetnijeg društvenog i kulturnog ozračja u gradu Labinu te snažno obilježava identitet grada i okolice.</w:t>
      </w:r>
    </w:p>
    <w:p w14:paraId="0275E112" w14:textId="77777777" w:rsidR="00C6561B" w:rsidRPr="00D77970" w:rsidRDefault="00C6561B" w:rsidP="00D77970">
      <w:pPr>
        <w:spacing w:line="259" w:lineRule="auto"/>
        <w:contextualSpacing/>
        <w:jc w:val="both"/>
        <w:rPr>
          <w:rFonts w:ascii="Arial" w:eastAsia="Calibri" w:hAnsi="Arial" w:cs="Arial"/>
          <w:sz w:val="22"/>
          <w:szCs w:val="22"/>
        </w:rPr>
      </w:pPr>
    </w:p>
    <w:p w14:paraId="7F4822A3" w14:textId="77777777" w:rsidR="00C6561B" w:rsidRPr="00D77970" w:rsidRDefault="00C6561B" w:rsidP="00D77970">
      <w:pPr>
        <w:spacing w:line="259" w:lineRule="auto"/>
        <w:contextualSpacing/>
        <w:jc w:val="both"/>
        <w:rPr>
          <w:rFonts w:ascii="Arial" w:eastAsia="Calibri" w:hAnsi="Arial" w:cs="Arial"/>
          <w:sz w:val="22"/>
          <w:szCs w:val="22"/>
        </w:rPr>
      </w:pPr>
      <w:r w:rsidRPr="00D77970">
        <w:rPr>
          <w:rFonts w:ascii="Arial" w:eastAsia="Calibri" w:hAnsi="Arial" w:cs="Arial"/>
          <w:sz w:val="22"/>
          <w:szCs w:val="22"/>
        </w:rPr>
        <w:t xml:space="preserve">Aktivnosti se provode putem prikupljanja, zaštite, istraživanja, dokumentiranja predmeta, baštine i suvremene umjetnosti te predstavljanje istih na izložbama, edukativnim programima i drugim aktivnostima. </w:t>
      </w:r>
    </w:p>
    <w:p w14:paraId="0D65C2C7" w14:textId="77777777" w:rsidR="00C6561B" w:rsidRPr="00D77970" w:rsidRDefault="00C6561B" w:rsidP="00D77970">
      <w:pPr>
        <w:spacing w:line="259" w:lineRule="auto"/>
        <w:contextualSpacing/>
        <w:jc w:val="both"/>
        <w:rPr>
          <w:rFonts w:ascii="Arial" w:eastAsia="Calibri" w:hAnsi="Arial" w:cs="Arial"/>
          <w:sz w:val="22"/>
          <w:szCs w:val="22"/>
        </w:rPr>
      </w:pPr>
    </w:p>
    <w:p w14:paraId="13EE0491" w14:textId="77777777" w:rsidR="00C6561B" w:rsidRPr="00D77970" w:rsidRDefault="00C6561B" w:rsidP="00D77970">
      <w:pPr>
        <w:spacing w:line="259" w:lineRule="auto"/>
        <w:contextualSpacing/>
        <w:jc w:val="both"/>
        <w:rPr>
          <w:rFonts w:ascii="Arial" w:eastAsia="Calibri" w:hAnsi="Arial" w:cs="Arial"/>
          <w:sz w:val="22"/>
          <w:szCs w:val="22"/>
        </w:rPr>
      </w:pPr>
      <w:r w:rsidRPr="00D77970">
        <w:rPr>
          <w:rFonts w:ascii="Arial" w:eastAsia="Calibri" w:hAnsi="Arial" w:cs="Arial"/>
          <w:sz w:val="22"/>
          <w:szCs w:val="22"/>
        </w:rPr>
        <w:t>Tijekom  2025. godine planira se realiziranje sljedeće dokumentacije i arhivistike :</w:t>
      </w:r>
    </w:p>
    <w:p w14:paraId="701C488D" w14:textId="77777777" w:rsidR="00C6561B" w:rsidRPr="00D77970" w:rsidRDefault="00C6561B">
      <w:pPr>
        <w:numPr>
          <w:ilvl w:val="0"/>
          <w:numId w:val="47"/>
        </w:numPr>
        <w:tabs>
          <w:tab w:val="left" w:pos="720"/>
        </w:tabs>
        <w:spacing w:line="259" w:lineRule="auto"/>
        <w:contextualSpacing/>
        <w:jc w:val="both"/>
        <w:rPr>
          <w:rFonts w:ascii="Arial" w:eastAsia="Calibri" w:hAnsi="Arial" w:cs="Arial"/>
          <w:sz w:val="22"/>
          <w:szCs w:val="22"/>
        </w:rPr>
      </w:pPr>
      <w:r w:rsidRPr="00D77970">
        <w:rPr>
          <w:rFonts w:ascii="Arial" w:eastAsia="Calibri" w:hAnsi="Arial" w:cs="Arial"/>
          <w:sz w:val="22"/>
          <w:szCs w:val="22"/>
        </w:rPr>
        <w:t>prema Zakonu o muzejima planira se nastavak  revizije muzejske građe</w:t>
      </w:r>
    </w:p>
    <w:p w14:paraId="08182F6E" w14:textId="77777777" w:rsidR="00C6561B" w:rsidRPr="00D77970" w:rsidRDefault="00C6561B">
      <w:pPr>
        <w:numPr>
          <w:ilvl w:val="0"/>
          <w:numId w:val="47"/>
        </w:numPr>
        <w:tabs>
          <w:tab w:val="left" w:pos="720"/>
        </w:tabs>
        <w:spacing w:line="259" w:lineRule="auto"/>
        <w:contextualSpacing/>
        <w:jc w:val="both"/>
        <w:rPr>
          <w:rFonts w:ascii="Arial" w:eastAsia="Calibri" w:hAnsi="Arial" w:cs="Arial"/>
          <w:sz w:val="22"/>
          <w:szCs w:val="22"/>
        </w:rPr>
      </w:pPr>
      <w:r w:rsidRPr="00D77970">
        <w:rPr>
          <w:rFonts w:ascii="Arial" w:eastAsia="Calibri" w:hAnsi="Arial" w:cs="Arial"/>
          <w:sz w:val="22"/>
          <w:szCs w:val="22"/>
        </w:rPr>
        <w:t xml:space="preserve">sređivanje popisa najstarijeg arhivskog gradiva u trezoru u novo nabavljene  arhivske kutije </w:t>
      </w:r>
    </w:p>
    <w:p w14:paraId="22E03926" w14:textId="77777777" w:rsidR="00C6561B" w:rsidRPr="00D77970" w:rsidRDefault="00C6561B">
      <w:pPr>
        <w:numPr>
          <w:ilvl w:val="0"/>
          <w:numId w:val="47"/>
        </w:numPr>
        <w:tabs>
          <w:tab w:val="left" w:pos="720"/>
        </w:tabs>
        <w:spacing w:line="259" w:lineRule="auto"/>
        <w:contextualSpacing/>
        <w:jc w:val="both"/>
        <w:rPr>
          <w:rFonts w:ascii="Arial" w:eastAsia="Calibri" w:hAnsi="Arial" w:cs="Arial"/>
          <w:sz w:val="22"/>
          <w:szCs w:val="22"/>
        </w:rPr>
      </w:pPr>
      <w:r w:rsidRPr="00D77970">
        <w:rPr>
          <w:rFonts w:ascii="Arial" w:eastAsia="Calibri" w:hAnsi="Arial" w:cs="Arial"/>
          <w:sz w:val="22"/>
          <w:szCs w:val="22"/>
        </w:rPr>
        <w:t>sređivanje arhivskog gradiva po ormarima u depou u novo nabavljenim  arhivskim kutijama</w:t>
      </w:r>
    </w:p>
    <w:p w14:paraId="0EFD2466" w14:textId="77777777" w:rsidR="00C6561B" w:rsidRPr="00D77970" w:rsidRDefault="00C6561B">
      <w:pPr>
        <w:numPr>
          <w:ilvl w:val="0"/>
          <w:numId w:val="47"/>
        </w:numPr>
        <w:tabs>
          <w:tab w:val="left" w:pos="720"/>
        </w:tabs>
        <w:spacing w:line="259" w:lineRule="auto"/>
        <w:contextualSpacing/>
        <w:jc w:val="both"/>
        <w:rPr>
          <w:rFonts w:ascii="Arial" w:eastAsia="Calibri" w:hAnsi="Arial" w:cs="Arial"/>
          <w:sz w:val="22"/>
          <w:szCs w:val="22"/>
        </w:rPr>
      </w:pPr>
      <w:r w:rsidRPr="00D77970">
        <w:rPr>
          <w:rFonts w:ascii="Arial" w:eastAsia="Calibri" w:hAnsi="Arial" w:cs="Arial"/>
          <w:sz w:val="22"/>
          <w:szCs w:val="22"/>
        </w:rPr>
        <w:t xml:space="preserve">S++ -  upisivanja evidencija Izložbi i </w:t>
      </w:r>
      <w:proofErr w:type="spellStart"/>
      <w:r w:rsidRPr="00D77970">
        <w:rPr>
          <w:rFonts w:ascii="Arial" w:eastAsia="Calibri" w:hAnsi="Arial" w:cs="Arial"/>
          <w:sz w:val="22"/>
          <w:szCs w:val="22"/>
        </w:rPr>
        <w:t>Hemeroteke</w:t>
      </w:r>
      <w:proofErr w:type="spellEnd"/>
    </w:p>
    <w:p w14:paraId="206A1C5F" w14:textId="77777777" w:rsidR="00C6561B" w:rsidRPr="00D77970" w:rsidRDefault="00C6561B">
      <w:pPr>
        <w:numPr>
          <w:ilvl w:val="0"/>
          <w:numId w:val="47"/>
        </w:numPr>
        <w:tabs>
          <w:tab w:val="left" w:pos="720"/>
        </w:tabs>
        <w:spacing w:line="259" w:lineRule="auto"/>
        <w:contextualSpacing/>
        <w:jc w:val="both"/>
        <w:rPr>
          <w:rFonts w:ascii="Arial" w:eastAsia="Calibri" w:hAnsi="Arial" w:cs="Arial"/>
          <w:sz w:val="22"/>
          <w:szCs w:val="22"/>
        </w:rPr>
      </w:pPr>
      <w:r w:rsidRPr="00D77970">
        <w:rPr>
          <w:rFonts w:ascii="Arial" w:eastAsia="Calibri" w:hAnsi="Arial" w:cs="Arial"/>
          <w:sz w:val="22"/>
          <w:szCs w:val="22"/>
        </w:rPr>
        <w:t>S++ - upisivanja evidencije Izdavačke djelatnosti (pozivnice i čestitke u izdanju  Narodnog muzeja Labin koje su već sređene i spremljene u kutije)</w:t>
      </w:r>
    </w:p>
    <w:p w14:paraId="21CF2EA6" w14:textId="77777777" w:rsidR="00C6561B" w:rsidRPr="00D77970" w:rsidRDefault="00C6561B">
      <w:pPr>
        <w:numPr>
          <w:ilvl w:val="0"/>
          <w:numId w:val="47"/>
        </w:numPr>
        <w:tabs>
          <w:tab w:val="left" w:pos="720"/>
        </w:tabs>
        <w:spacing w:line="259" w:lineRule="auto"/>
        <w:contextualSpacing/>
        <w:jc w:val="both"/>
        <w:rPr>
          <w:rFonts w:ascii="Arial" w:eastAsia="Calibri" w:hAnsi="Arial" w:cs="Arial"/>
          <w:sz w:val="22"/>
          <w:szCs w:val="22"/>
        </w:rPr>
      </w:pPr>
      <w:r w:rsidRPr="00D77970">
        <w:rPr>
          <w:rFonts w:ascii="Arial" w:eastAsia="Calibri" w:hAnsi="Arial" w:cs="Arial"/>
          <w:sz w:val="22"/>
          <w:szCs w:val="22"/>
        </w:rPr>
        <w:t>S++ - upisivanje evidencije Izdavačke djelatnosti (uvrstiti kataloge u izdanju Narodnog muzeja Labin)</w:t>
      </w:r>
    </w:p>
    <w:p w14:paraId="243D4A62" w14:textId="77777777" w:rsidR="00C6561B" w:rsidRPr="00D77970" w:rsidRDefault="00C6561B">
      <w:pPr>
        <w:numPr>
          <w:ilvl w:val="0"/>
          <w:numId w:val="47"/>
        </w:numPr>
        <w:tabs>
          <w:tab w:val="left" w:pos="720"/>
        </w:tabs>
        <w:spacing w:line="259" w:lineRule="auto"/>
        <w:contextualSpacing/>
        <w:jc w:val="both"/>
        <w:rPr>
          <w:rFonts w:ascii="Arial" w:eastAsia="Calibri" w:hAnsi="Arial" w:cs="Arial"/>
          <w:sz w:val="22"/>
          <w:szCs w:val="22"/>
        </w:rPr>
      </w:pPr>
      <w:r w:rsidRPr="00D77970">
        <w:rPr>
          <w:rFonts w:ascii="Arial" w:eastAsia="Calibri" w:hAnsi="Arial" w:cs="Arial"/>
          <w:sz w:val="22"/>
          <w:szCs w:val="22"/>
        </w:rPr>
        <w:t>M++ - upisivanje nove donirane povijesne građe</w:t>
      </w:r>
    </w:p>
    <w:p w14:paraId="5E5B4E4B" w14:textId="77777777" w:rsidR="00C6561B" w:rsidRPr="00D77970" w:rsidRDefault="00C6561B">
      <w:pPr>
        <w:numPr>
          <w:ilvl w:val="0"/>
          <w:numId w:val="47"/>
        </w:numPr>
        <w:tabs>
          <w:tab w:val="left" w:pos="720"/>
        </w:tabs>
        <w:spacing w:line="259" w:lineRule="auto"/>
        <w:contextualSpacing/>
        <w:jc w:val="both"/>
        <w:rPr>
          <w:rFonts w:ascii="Arial" w:eastAsia="Calibri" w:hAnsi="Arial" w:cs="Arial"/>
          <w:sz w:val="22"/>
          <w:szCs w:val="22"/>
        </w:rPr>
      </w:pPr>
      <w:r w:rsidRPr="00D77970">
        <w:rPr>
          <w:rFonts w:ascii="Arial" w:eastAsia="Calibri" w:hAnsi="Arial" w:cs="Arial"/>
          <w:sz w:val="22"/>
          <w:szCs w:val="22"/>
        </w:rPr>
        <w:t xml:space="preserve">nastavak digitalizacije arhivske građe vezano uz G. </w:t>
      </w:r>
      <w:proofErr w:type="spellStart"/>
      <w:r w:rsidRPr="00D77970">
        <w:rPr>
          <w:rFonts w:ascii="Arial" w:eastAsia="Calibri" w:hAnsi="Arial" w:cs="Arial"/>
          <w:sz w:val="22"/>
          <w:szCs w:val="22"/>
        </w:rPr>
        <w:t>Martinuzzi</w:t>
      </w:r>
      <w:proofErr w:type="spellEnd"/>
      <w:r w:rsidRPr="00D77970">
        <w:rPr>
          <w:rFonts w:ascii="Arial" w:eastAsia="Calibri" w:hAnsi="Arial" w:cs="Arial"/>
          <w:sz w:val="22"/>
          <w:szCs w:val="22"/>
        </w:rPr>
        <w:t xml:space="preserve"> i rudarske baštinu.</w:t>
      </w:r>
    </w:p>
    <w:p w14:paraId="6FD77207" w14:textId="77777777" w:rsidR="00C6561B" w:rsidRPr="00D77970" w:rsidRDefault="00C6561B" w:rsidP="00D77970">
      <w:pPr>
        <w:spacing w:line="259" w:lineRule="auto"/>
        <w:contextualSpacing/>
        <w:jc w:val="both"/>
        <w:rPr>
          <w:rFonts w:ascii="Arial" w:eastAsia="Calibri" w:hAnsi="Arial" w:cs="Arial"/>
          <w:sz w:val="22"/>
          <w:szCs w:val="22"/>
        </w:rPr>
      </w:pPr>
    </w:p>
    <w:p w14:paraId="373E6E21" w14:textId="77777777" w:rsidR="00C6561B" w:rsidRPr="00D77970" w:rsidRDefault="00C6561B" w:rsidP="00D77970">
      <w:pPr>
        <w:spacing w:line="259" w:lineRule="auto"/>
        <w:contextualSpacing/>
        <w:jc w:val="both"/>
        <w:rPr>
          <w:rFonts w:ascii="Arial" w:eastAsia="Calibri" w:hAnsi="Arial" w:cs="Arial"/>
          <w:sz w:val="22"/>
          <w:szCs w:val="22"/>
        </w:rPr>
      </w:pPr>
      <w:r w:rsidRPr="00D77970">
        <w:rPr>
          <w:rFonts w:ascii="Arial" w:eastAsia="Calibri" w:hAnsi="Arial" w:cs="Arial"/>
          <w:sz w:val="22"/>
          <w:szCs w:val="22"/>
        </w:rPr>
        <w:t>Program obuhvaća organizaciju i realizaciju tematskih izložbi iz fundusa i gostujućih izložbi.</w:t>
      </w:r>
    </w:p>
    <w:p w14:paraId="1D6A3A6A" w14:textId="77777777" w:rsidR="00C6561B" w:rsidRPr="00D77970" w:rsidRDefault="00C6561B" w:rsidP="00D77970">
      <w:pPr>
        <w:spacing w:line="259" w:lineRule="auto"/>
        <w:contextualSpacing/>
        <w:jc w:val="both"/>
        <w:rPr>
          <w:rFonts w:ascii="Arial" w:eastAsia="Calibri" w:hAnsi="Arial" w:cs="Arial"/>
          <w:sz w:val="22"/>
          <w:szCs w:val="22"/>
        </w:rPr>
      </w:pPr>
    </w:p>
    <w:p w14:paraId="0F4FBE2A" w14:textId="77777777" w:rsidR="00C6561B" w:rsidRPr="00D77970" w:rsidRDefault="00C6561B" w:rsidP="00D77970">
      <w:pPr>
        <w:spacing w:line="259" w:lineRule="auto"/>
        <w:contextualSpacing/>
        <w:jc w:val="both"/>
        <w:rPr>
          <w:rFonts w:ascii="Arial" w:eastAsia="Calibri" w:hAnsi="Arial" w:cs="Arial"/>
          <w:b/>
          <w:bCs/>
          <w:sz w:val="22"/>
          <w:szCs w:val="22"/>
        </w:rPr>
      </w:pPr>
      <w:r w:rsidRPr="00D77970">
        <w:rPr>
          <w:rFonts w:ascii="Arial" w:eastAsia="Calibri" w:hAnsi="Arial" w:cs="Arial"/>
          <w:sz w:val="22"/>
          <w:szCs w:val="22"/>
        </w:rPr>
        <w:t xml:space="preserve">Tijekom 2025. godine planiramo realizirati  slijedeće </w:t>
      </w:r>
      <w:r w:rsidRPr="00D77970">
        <w:rPr>
          <w:rFonts w:ascii="Arial" w:eastAsia="Calibri" w:hAnsi="Arial" w:cs="Arial"/>
          <w:b/>
          <w:bCs/>
          <w:sz w:val="22"/>
          <w:szCs w:val="22"/>
        </w:rPr>
        <w:t>izložbe:</w:t>
      </w:r>
    </w:p>
    <w:p w14:paraId="6CD2ED5E" w14:textId="77777777" w:rsidR="00C6561B" w:rsidRPr="00D77970" w:rsidRDefault="00C6561B">
      <w:pPr>
        <w:numPr>
          <w:ilvl w:val="0"/>
          <w:numId w:val="48"/>
        </w:numPr>
        <w:spacing w:line="259" w:lineRule="auto"/>
        <w:contextualSpacing/>
        <w:jc w:val="both"/>
        <w:rPr>
          <w:rFonts w:ascii="Arial" w:eastAsia="Calibri" w:hAnsi="Arial" w:cs="Arial"/>
          <w:sz w:val="22"/>
          <w:szCs w:val="22"/>
        </w:rPr>
      </w:pPr>
      <w:r w:rsidRPr="00D77970">
        <w:rPr>
          <w:rFonts w:ascii="Arial" w:eastAsia="Calibri" w:hAnsi="Arial" w:cs="Arial"/>
          <w:sz w:val="22"/>
          <w:szCs w:val="22"/>
        </w:rPr>
        <w:t>tematska izložba povodom Noći muzeja (tema se naknadno određuje službenim pozivom)</w:t>
      </w:r>
    </w:p>
    <w:p w14:paraId="72E91F8A" w14:textId="77777777" w:rsidR="00C6561B" w:rsidRPr="00D77970" w:rsidRDefault="00C6561B">
      <w:pPr>
        <w:numPr>
          <w:ilvl w:val="0"/>
          <w:numId w:val="48"/>
        </w:numPr>
        <w:spacing w:line="259" w:lineRule="auto"/>
        <w:contextualSpacing/>
        <w:jc w:val="both"/>
        <w:rPr>
          <w:rFonts w:ascii="Arial" w:eastAsia="Calibri" w:hAnsi="Arial" w:cs="Arial"/>
          <w:sz w:val="22"/>
          <w:szCs w:val="22"/>
        </w:rPr>
      </w:pPr>
      <w:r w:rsidRPr="00D77970">
        <w:rPr>
          <w:rFonts w:ascii="Arial" w:eastAsia="Calibri" w:hAnsi="Arial" w:cs="Arial"/>
          <w:sz w:val="22"/>
          <w:szCs w:val="22"/>
        </w:rPr>
        <w:t>izložba o povijesti galerijske djelatnosti u Narodnom muzeju s naglaskom na Gradsku galeriju Labin povodom 25 obljetnice djelovanja (nastavak)</w:t>
      </w:r>
    </w:p>
    <w:p w14:paraId="1F5FF0AF" w14:textId="77777777" w:rsidR="00C6561B" w:rsidRPr="00D77970" w:rsidRDefault="00C6561B">
      <w:pPr>
        <w:numPr>
          <w:ilvl w:val="0"/>
          <w:numId w:val="48"/>
        </w:numPr>
        <w:spacing w:line="259" w:lineRule="auto"/>
        <w:contextualSpacing/>
        <w:jc w:val="both"/>
        <w:rPr>
          <w:rFonts w:ascii="Arial" w:eastAsia="Calibri" w:hAnsi="Arial" w:cs="Arial"/>
          <w:sz w:val="22"/>
          <w:szCs w:val="22"/>
        </w:rPr>
      </w:pPr>
      <w:r w:rsidRPr="00D77970">
        <w:rPr>
          <w:rFonts w:ascii="Arial" w:eastAsia="Calibri" w:hAnsi="Arial" w:cs="Arial"/>
          <w:sz w:val="22"/>
          <w:szCs w:val="22"/>
        </w:rPr>
        <w:t>gostujuće izložbe u partnerstvu s Pomorskim i povijesnim muzeje Istre</w:t>
      </w:r>
    </w:p>
    <w:p w14:paraId="3EA1334E" w14:textId="77777777" w:rsidR="00C6561B" w:rsidRPr="00D77970" w:rsidRDefault="00C6561B">
      <w:pPr>
        <w:numPr>
          <w:ilvl w:val="0"/>
          <w:numId w:val="48"/>
        </w:numPr>
        <w:spacing w:line="259" w:lineRule="auto"/>
        <w:contextualSpacing/>
        <w:jc w:val="both"/>
        <w:rPr>
          <w:rFonts w:ascii="Arial" w:eastAsia="Calibri" w:hAnsi="Arial" w:cs="Arial"/>
          <w:sz w:val="22"/>
          <w:szCs w:val="22"/>
        </w:rPr>
      </w:pPr>
      <w:r w:rsidRPr="00D77970">
        <w:rPr>
          <w:rFonts w:ascii="Arial" w:eastAsia="Calibri" w:hAnsi="Arial" w:cs="Arial"/>
          <w:sz w:val="22"/>
          <w:szCs w:val="22"/>
        </w:rPr>
        <w:lastRenderedPageBreak/>
        <w:t xml:space="preserve">5. Biennale industrijske umjetnosti </w:t>
      </w:r>
      <w:proofErr w:type="spellStart"/>
      <w:r w:rsidRPr="00D77970">
        <w:rPr>
          <w:rFonts w:ascii="Arial" w:eastAsia="Calibri" w:hAnsi="Arial" w:cs="Arial"/>
          <w:sz w:val="22"/>
          <w:szCs w:val="22"/>
        </w:rPr>
        <w:t>tbc</w:t>
      </w:r>
      <w:proofErr w:type="spellEnd"/>
      <w:r w:rsidRPr="00D77970">
        <w:rPr>
          <w:rFonts w:ascii="Arial" w:eastAsia="Calibri" w:hAnsi="Arial" w:cs="Arial"/>
          <w:sz w:val="22"/>
          <w:szCs w:val="22"/>
        </w:rPr>
        <w:t xml:space="preserve"> gostovanje drugog organizatora.</w:t>
      </w:r>
    </w:p>
    <w:p w14:paraId="493A06FC" w14:textId="77777777" w:rsidR="00C6561B" w:rsidRPr="00D77970" w:rsidRDefault="00C6561B" w:rsidP="00D77970">
      <w:pPr>
        <w:spacing w:line="259" w:lineRule="auto"/>
        <w:contextualSpacing/>
        <w:jc w:val="both"/>
        <w:rPr>
          <w:rFonts w:ascii="Arial" w:eastAsia="Calibri" w:hAnsi="Arial" w:cs="Arial"/>
          <w:sz w:val="22"/>
          <w:szCs w:val="22"/>
        </w:rPr>
      </w:pPr>
    </w:p>
    <w:p w14:paraId="522ACE9B" w14:textId="77777777" w:rsidR="00C6561B" w:rsidRPr="00D77970" w:rsidRDefault="00C6561B" w:rsidP="00D77970">
      <w:pPr>
        <w:spacing w:line="259" w:lineRule="auto"/>
        <w:contextualSpacing/>
        <w:jc w:val="both"/>
        <w:rPr>
          <w:rFonts w:ascii="Arial" w:eastAsia="Calibri" w:hAnsi="Arial" w:cs="Arial"/>
          <w:sz w:val="22"/>
          <w:szCs w:val="22"/>
        </w:rPr>
      </w:pPr>
      <w:r w:rsidRPr="00D77970">
        <w:rPr>
          <w:rFonts w:ascii="Arial" w:eastAsia="Calibri" w:hAnsi="Arial" w:cs="Arial"/>
          <w:sz w:val="22"/>
          <w:szCs w:val="22"/>
        </w:rPr>
        <w:t xml:space="preserve">Tijekom 2025. Narodni muzej Labin planira ostvariti izložbu iz fundusa i gostujuću izložbu, obje povodom obilježavanja 80. obljetnice kraja II. svjetskog rata. Muzej će u svoj program događanja uvrstiti gostovanje izložbe „SLOBODA NARODU! Antifašizam u Istri - LIBERTÀ AL POPOLO! </w:t>
      </w:r>
      <w:proofErr w:type="spellStart"/>
      <w:r w:rsidRPr="00D77970">
        <w:rPr>
          <w:rFonts w:ascii="Arial" w:eastAsia="Calibri" w:hAnsi="Arial" w:cs="Arial"/>
          <w:sz w:val="22"/>
          <w:szCs w:val="22"/>
        </w:rPr>
        <w:t>L'antifascismo</w:t>
      </w:r>
      <w:proofErr w:type="spellEnd"/>
      <w:r w:rsidRPr="00D77970">
        <w:rPr>
          <w:rFonts w:ascii="Arial" w:eastAsia="Calibri" w:hAnsi="Arial" w:cs="Arial"/>
          <w:sz w:val="22"/>
          <w:szCs w:val="22"/>
        </w:rPr>
        <w:t xml:space="preserve"> </w:t>
      </w:r>
      <w:proofErr w:type="spellStart"/>
      <w:r w:rsidRPr="00D77970">
        <w:rPr>
          <w:rFonts w:ascii="Arial" w:eastAsia="Calibri" w:hAnsi="Arial" w:cs="Arial"/>
          <w:sz w:val="22"/>
          <w:szCs w:val="22"/>
        </w:rPr>
        <w:t>in</w:t>
      </w:r>
      <w:proofErr w:type="spellEnd"/>
      <w:r w:rsidRPr="00D77970">
        <w:rPr>
          <w:rFonts w:ascii="Arial" w:eastAsia="Calibri" w:hAnsi="Arial" w:cs="Arial"/>
          <w:sz w:val="22"/>
          <w:szCs w:val="22"/>
        </w:rPr>
        <w:t xml:space="preserve"> </w:t>
      </w:r>
      <w:proofErr w:type="spellStart"/>
      <w:r w:rsidRPr="00D77970">
        <w:rPr>
          <w:rFonts w:ascii="Arial" w:eastAsia="Calibri" w:hAnsi="Arial" w:cs="Arial"/>
          <w:sz w:val="22"/>
          <w:szCs w:val="22"/>
        </w:rPr>
        <w:t>Istria</w:t>
      </w:r>
      <w:proofErr w:type="spellEnd"/>
      <w:r w:rsidRPr="00D77970">
        <w:rPr>
          <w:rFonts w:ascii="Arial" w:eastAsia="Calibri" w:hAnsi="Arial" w:cs="Arial"/>
          <w:sz w:val="22"/>
          <w:szCs w:val="22"/>
        </w:rPr>
        <w:t xml:space="preserve">“ Povijesnog i pomorskog muzeja Istre - </w:t>
      </w:r>
      <w:proofErr w:type="spellStart"/>
      <w:r w:rsidRPr="00D77970">
        <w:rPr>
          <w:rFonts w:ascii="Arial" w:eastAsia="Calibri" w:hAnsi="Arial" w:cs="Arial"/>
          <w:sz w:val="22"/>
          <w:szCs w:val="22"/>
        </w:rPr>
        <w:t>Museo</w:t>
      </w:r>
      <w:proofErr w:type="spellEnd"/>
      <w:r w:rsidRPr="00D77970">
        <w:rPr>
          <w:rFonts w:ascii="Arial" w:eastAsia="Calibri" w:hAnsi="Arial" w:cs="Arial"/>
          <w:sz w:val="22"/>
          <w:szCs w:val="22"/>
        </w:rPr>
        <w:t xml:space="preserve"> </w:t>
      </w:r>
      <w:proofErr w:type="spellStart"/>
      <w:r w:rsidRPr="00D77970">
        <w:rPr>
          <w:rFonts w:ascii="Arial" w:eastAsia="Calibri" w:hAnsi="Arial" w:cs="Arial"/>
          <w:sz w:val="22"/>
          <w:szCs w:val="22"/>
        </w:rPr>
        <w:t>storico</w:t>
      </w:r>
      <w:proofErr w:type="spellEnd"/>
      <w:r w:rsidRPr="00D77970">
        <w:rPr>
          <w:rFonts w:ascii="Arial" w:eastAsia="Calibri" w:hAnsi="Arial" w:cs="Arial"/>
          <w:sz w:val="22"/>
          <w:szCs w:val="22"/>
        </w:rPr>
        <w:t xml:space="preserve"> e navale </w:t>
      </w:r>
      <w:proofErr w:type="spellStart"/>
      <w:r w:rsidRPr="00D77970">
        <w:rPr>
          <w:rFonts w:ascii="Arial" w:eastAsia="Calibri" w:hAnsi="Arial" w:cs="Arial"/>
          <w:sz w:val="22"/>
          <w:szCs w:val="22"/>
        </w:rPr>
        <w:t>dell'Istria</w:t>
      </w:r>
      <w:proofErr w:type="spellEnd"/>
      <w:r w:rsidRPr="00D77970">
        <w:rPr>
          <w:rFonts w:ascii="Arial" w:eastAsia="Calibri" w:hAnsi="Arial" w:cs="Arial"/>
          <w:sz w:val="22"/>
          <w:szCs w:val="22"/>
        </w:rPr>
        <w:t xml:space="preserve">, autora Lane </w:t>
      </w:r>
      <w:proofErr w:type="spellStart"/>
      <w:r w:rsidRPr="00D77970">
        <w:rPr>
          <w:rFonts w:ascii="Arial" w:eastAsia="Calibri" w:hAnsi="Arial" w:cs="Arial"/>
          <w:sz w:val="22"/>
          <w:szCs w:val="22"/>
        </w:rPr>
        <w:t>Skuljan</w:t>
      </w:r>
      <w:proofErr w:type="spellEnd"/>
      <w:r w:rsidRPr="00D77970">
        <w:rPr>
          <w:rFonts w:ascii="Arial" w:eastAsia="Calibri" w:hAnsi="Arial" w:cs="Arial"/>
          <w:sz w:val="22"/>
          <w:szCs w:val="22"/>
        </w:rPr>
        <w:t xml:space="preserve"> Bilić i </w:t>
      </w:r>
      <w:proofErr w:type="spellStart"/>
      <w:r w:rsidRPr="00D77970">
        <w:rPr>
          <w:rFonts w:ascii="Arial" w:eastAsia="Calibri" w:hAnsi="Arial" w:cs="Arial"/>
          <w:sz w:val="22"/>
          <w:szCs w:val="22"/>
        </w:rPr>
        <w:t>Gracijana</w:t>
      </w:r>
      <w:proofErr w:type="spellEnd"/>
      <w:r w:rsidRPr="00D77970">
        <w:rPr>
          <w:rFonts w:ascii="Arial" w:eastAsia="Calibri" w:hAnsi="Arial" w:cs="Arial"/>
          <w:sz w:val="22"/>
          <w:szCs w:val="22"/>
        </w:rPr>
        <w:t xml:space="preserve"> </w:t>
      </w:r>
      <w:proofErr w:type="spellStart"/>
      <w:r w:rsidRPr="00D77970">
        <w:rPr>
          <w:rFonts w:ascii="Arial" w:eastAsia="Calibri" w:hAnsi="Arial" w:cs="Arial"/>
          <w:sz w:val="22"/>
          <w:szCs w:val="22"/>
        </w:rPr>
        <w:t>Kešca</w:t>
      </w:r>
      <w:proofErr w:type="spellEnd"/>
      <w:r w:rsidRPr="00D77970">
        <w:rPr>
          <w:rFonts w:ascii="Arial" w:eastAsia="Calibri" w:hAnsi="Arial" w:cs="Arial"/>
          <w:sz w:val="22"/>
          <w:szCs w:val="22"/>
        </w:rPr>
        <w:t>, u reduciranom obliku prilagođenom veličini prostorija. Izložba prati politička zbivanja u Istri od kraja 1918. do 1947., kao i razvojni put istarskog antifašističkog pokreta – od suprotstavljanja fašističkom teroru 1920-ih i 1930-ih godina, preko narodnooslobodilačkog pokreta, NOB i oslobođenja zemlje od okupacijskih sila, osnivanja prvih oblika narodne vlasti, do konačnoga sjedinjenja Istre s Hrvatskom.</w:t>
      </w:r>
    </w:p>
    <w:p w14:paraId="4F450113" w14:textId="77777777" w:rsidR="00C6561B" w:rsidRPr="00D77970" w:rsidRDefault="00C6561B" w:rsidP="00D77970">
      <w:pPr>
        <w:spacing w:line="259" w:lineRule="auto"/>
        <w:contextualSpacing/>
        <w:jc w:val="both"/>
        <w:rPr>
          <w:rFonts w:ascii="Arial" w:eastAsia="Calibri" w:hAnsi="Arial" w:cs="Arial"/>
          <w:sz w:val="22"/>
          <w:szCs w:val="22"/>
        </w:rPr>
      </w:pPr>
      <w:r w:rsidRPr="00D77970">
        <w:rPr>
          <w:rFonts w:ascii="Arial" w:eastAsia="Calibri" w:hAnsi="Arial" w:cs="Arial"/>
          <w:sz w:val="22"/>
          <w:szCs w:val="22"/>
        </w:rPr>
        <w:t xml:space="preserve">Izložba iz fundusa postavit će se kao zasebni, ali i pripadajući dio izložbe, a detaljnije će prikazati Labin i </w:t>
      </w:r>
      <w:proofErr w:type="spellStart"/>
      <w:r w:rsidRPr="00D77970">
        <w:rPr>
          <w:rFonts w:ascii="Arial" w:eastAsia="Calibri" w:hAnsi="Arial" w:cs="Arial"/>
          <w:sz w:val="22"/>
          <w:szCs w:val="22"/>
        </w:rPr>
        <w:t>Labinštinu</w:t>
      </w:r>
      <w:proofErr w:type="spellEnd"/>
      <w:r w:rsidRPr="00D77970">
        <w:rPr>
          <w:rFonts w:ascii="Arial" w:eastAsia="Calibri" w:hAnsi="Arial" w:cs="Arial"/>
          <w:sz w:val="22"/>
          <w:szCs w:val="22"/>
        </w:rPr>
        <w:t xml:space="preserve"> za vrijeme II. svjetskog rata i oslobođenja.</w:t>
      </w:r>
    </w:p>
    <w:p w14:paraId="25471DE8" w14:textId="77777777" w:rsidR="00C6561B" w:rsidRPr="00D77970" w:rsidRDefault="00C6561B" w:rsidP="00D77970">
      <w:pPr>
        <w:spacing w:line="259" w:lineRule="auto"/>
        <w:contextualSpacing/>
        <w:jc w:val="both"/>
        <w:rPr>
          <w:rFonts w:ascii="Arial" w:eastAsia="Calibri" w:hAnsi="Arial" w:cs="Arial"/>
          <w:sz w:val="22"/>
          <w:szCs w:val="22"/>
        </w:rPr>
      </w:pPr>
    </w:p>
    <w:p w14:paraId="34530541" w14:textId="77777777" w:rsidR="00C6561B" w:rsidRPr="00D77970" w:rsidRDefault="00C6561B" w:rsidP="00D77970">
      <w:pPr>
        <w:spacing w:line="259" w:lineRule="auto"/>
        <w:contextualSpacing/>
        <w:jc w:val="both"/>
        <w:rPr>
          <w:rFonts w:ascii="Arial" w:eastAsia="Calibri" w:hAnsi="Arial" w:cs="Arial"/>
          <w:sz w:val="22"/>
          <w:szCs w:val="22"/>
        </w:rPr>
      </w:pPr>
      <w:r w:rsidRPr="00D77970">
        <w:rPr>
          <w:rFonts w:ascii="Arial" w:eastAsia="Calibri" w:hAnsi="Arial" w:cs="Arial"/>
          <w:b/>
          <w:bCs/>
          <w:i/>
          <w:iCs/>
          <w:sz w:val="22"/>
          <w:szCs w:val="22"/>
        </w:rPr>
        <w:t>Preventivna zaštita arhivske i knjižne građe</w:t>
      </w:r>
      <w:r w:rsidRPr="00D77970">
        <w:rPr>
          <w:rFonts w:ascii="Arial" w:eastAsia="Calibri" w:hAnsi="Arial" w:cs="Arial"/>
          <w:sz w:val="22"/>
          <w:szCs w:val="22"/>
        </w:rPr>
        <w:t xml:space="preserve"> obuhvaća nabavu arhivskih kutija te kutija za tekstilnu građu koju posjeduje Narodni muzej kao nastavak na započeti projekt 2024.</w:t>
      </w:r>
    </w:p>
    <w:p w14:paraId="6FFD5C63" w14:textId="77777777" w:rsidR="00C6561B" w:rsidRPr="00D77970" w:rsidRDefault="00C6561B" w:rsidP="00D77970">
      <w:pPr>
        <w:spacing w:line="259" w:lineRule="auto"/>
        <w:contextualSpacing/>
        <w:jc w:val="both"/>
        <w:rPr>
          <w:rFonts w:ascii="Arial" w:eastAsia="Calibri" w:hAnsi="Arial" w:cs="Arial"/>
          <w:sz w:val="22"/>
          <w:szCs w:val="22"/>
        </w:rPr>
      </w:pPr>
      <w:r w:rsidRPr="00D77970">
        <w:rPr>
          <w:rFonts w:ascii="Arial" w:eastAsia="Calibri" w:hAnsi="Arial" w:cs="Arial"/>
          <w:sz w:val="22"/>
          <w:szCs w:val="22"/>
        </w:rPr>
        <w:t xml:space="preserve">U Etnografskoj zbirci Narodnog muzeja Labin pohranjen je velik broj predmeta od tekstila. Tijekom 2024. u zaštitne kutije smješten je dio tekstilnih predmeta, a 2025. namjera je nabaviti zaštitne kutije za pohranu predmeta od vune (tradicionalni prekrivači i deke) te za radnu rudarsku odjeću. Predmeti su trenutno pohranjeni u neadekvatnim uvjetima, djelomično zapakirani u prozirne vakuum vreće i položeni na police u ormarima. Zbog zaštite tekstilnih predmeta od prašine, nametnika i sunčeve svjetlosti potrebno ih je pospremiti u arhivske kutije od </w:t>
      </w:r>
      <w:proofErr w:type="spellStart"/>
      <w:r w:rsidRPr="00D77970">
        <w:rPr>
          <w:rFonts w:ascii="Arial" w:eastAsia="Calibri" w:hAnsi="Arial" w:cs="Arial"/>
          <w:sz w:val="22"/>
          <w:szCs w:val="22"/>
        </w:rPr>
        <w:t>beskiselinskog</w:t>
      </w:r>
      <w:proofErr w:type="spellEnd"/>
      <w:r w:rsidRPr="00D77970">
        <w:rPr>
          <w:rFonts w:ascii="Arial" w:eastAsia="Calibri" w:hAnsi="Arial" w:cs="Arial"/>
          <w:sz w:val="22"/>
          <w:szCs w:val="22"/>
        </w:rPr>
        <w:t xml:space="preserve"> kartona odgovarajućih dimenzija te omotati zaštitnim papirom ili smjestiti u zaštitne navlake.</w:t>
      </w:r>
    </w:p>
    <w:p w14:paraId="65CE30A2" w14:textId="77777777" w:rsidR="00C6561B" w:rsidRPr="00D77970" w:rsidRDefault="00C6561B" w:rsidP="00D77970">
      <w:pPr>
        <w:spacing w:line="259" w:lineRule="auto"/>
        <w:contextualSpacing/>
        <w:jc w:val="both"/>
        <w:rPr>
          <w:rFonts w:ascii="Arial" w:eastAsia="Calibri" w:hAnsi="Arial" w:cs="Arial"/>
          <w:sz w:val="22"/>
          <w:szCs w:val="22"/>
        </w:rPr>
      </w:pPr>
      <w:r w:rsidRPr="00D77970">
        <w:rPr>
          <w:rFonts w:ascii="Arial" w:eastAsia="Calibri" w:hAnsi="Arial" w:cs="Arial"/>
          <w:sz w:val="22"/>
          <w:szCs w:val="22"/>
        </w:rPr>
        <w:t xml:space="preserve">Zaštitne arhivske kutije potrebne su za predmete Zbirke </w:t>
      </w:r>
      <w:proofErr w:type="spellStart"/>
      <w:r w:rsidRPr="00D77970">
        <w:rPr>
          <w:rFonts w:ascii="Arial" w:eastAsia="Calibri" w:hAnsi="Arial" w:cs="Arial"/>
          <w:sz w:val="22"/>
          <w:szCs w:val="22"/>
        </w:rPr>
        <w:t>Flacius</w:t>
      </w:r>
      <w:proofErr w:type="spellEnd"/>
      <w:r w:rsidRPr="00D77970">
        <w:rPr>
          <w:rFonts w:ascii="Arial" w:eastAsia="Calibri" w:hAnsi="Arial" w:cs="Arial"/>
          <w:sz w:val="22"/>
          <w:szCs w:val="22"/>
        </w:rPr>
        <w:t xml:space="preserve"> Narodnog muzeja Labin koju čine originalna djela Matije Vlačića Ilirika, datirane u 16. stoljeće. Tijekom 2025. planirano je pisanje i tiskanje kataloga Zbirke </w:t>
      </w:r>
      <w:proofErr w:type="spellStart"/>
      <w:r w:rsidRPr="00D77970">
        <w:rPr>
          <w:rFonts w:ascii="Arial" w:eastAsia="Calibri" w:hAnsi="Arial" w:cs="Arial"/>
          <w:sz w:val="22"/>
          <w:szCs w:val="22"/>
        </w:rPr>
        <w:t>Flacius</w:t>
      </w:r>
      <w:proofErr w:type="spellEnd"/>
      <w:r w:rsidRPr="00D77970">
        <w:rPr>
          <w:rFonts w:ascii="Arial" w:eastAsia="Calibri" w:hAnsi="Arial" w:cs="Arial"/>
          <w:sz w:val="22"/>
          <w:szCs w:val="22"/>
        </w:rPr>
        <w:t xml:space="preserve"> te bi se nabavom kutija od </w:t>
      </w:r>
      <w:proofErr w:type="spellStart"/>
      <w:r w:rsidRPr="00D77970">
        <w:rPr>
          <w:rFonts w:ascii="Arial" w:eastAsia="Calibri" w:hAnsi="Arial" w:cs="Arial"/>
          <w:sz w:val="22"/>
          <w:szCs w:val="22"/>
        </w:rPr>
        <w:t>beskiselinskog</w:t>
      </w:r>
      <w:proofErr w:type="spellEnd"/>
      <w:r w:rsidRPr="00D77970">
        <w:rPr>
          <w:rFonts w:ascii="Arial" w:eastAsia="Calibri" w:hAnsi="Arial" w:cs="Arial"/>
          <w:sz w:val="22"/>
          <w:szCs w:val="22"/>
        </w:rPr>
        <w:t xml:space="preserve"> kartona knjigama omogućila odgovarajuća zaštita i pohrana.</w:t>
      </w:r>
    </w:p>
    <w:p w14:paraId="322C9BA2" w14:textId="77777777" w:rsidR="00C6561B" w:rsidRPr="00D77970" w:rsidRDefault="00C6561B" w:rsidP="00D77970">
      <w:pPr>
        <w:spacing w:line="259" w:lineRule="auto"/>
        <w:contextualSpacing/>
        <w:jc w:val="both"/>
        <w:rPr>
          <w:rFonts w:ascii="Arial" w:eastAsia="Calibri" w:hAnsi="Arial" w:cs="Arial"/>
          <w:b/>
          <w:bCs/>
          <w:sz w:val="22"/>
          <w:szCs w:val="22"/>
        </w:rPr>
      </w:pPr>
    </w:p>
    <w:p w14:paraId="745B5517" w14:textId="77777777" w:rsidR="00C6561B" w:rsidRPr="00D77970" w:rsidRDefault="00C6561B" w:rsidP="00D77970">
      <w:pPr>
        <w:spacing w:line="259" w:lineRule="auto"/>
        <w:contextualSpacing/>
        <w:jc w:val="both"/>
        <w:rPr>
          <w:rFonts w:ascii="Arial" w:eastAsia="Calibri" w:hAnsi="Arial" w:cs="Arial"/>
          <w:sz w:val="22"/>
          <w:szCs w:val="22"/>
        </w:rPr>
      </w:pPr>
      <w:r w:rsidRPr="00D77970">
        <w:rPr>
          <w:rFonts w:ascii="Arial" w:eastAsia="Calibri" w:hAnsi="Arial" w:cs="Arial"/>
          <w:b/>
          <w:bCs/>
          <w:i/>
          <w:iCs/>
          <w:sz w:val="22"/>
          <w:szCs w:val="22"/>
        </w:rPr>
        <w:t>Nakladnička djelatnost</w:t>
      </w:r>
      <w:r w:rsidRPr="00D77970">
        <w:rPr>
          <w:rFonts w:ascii="Arial" w:eastAsia="Calibri" w:hAnsi="Arial" w:cs="Arial"/>
          <w:sz w:val="22"/>
          <w:szCs w:val="22"/>
        </w:rPr>
        <w:t xml:space="preserve"> obuhvaća izradu i tisak kataloga zbirke Matije Vlačića Ilirika povodom obljetnice otvaranja zbirke.</w:t>
      </w:r>
    </w:p>
    <w:p w14:paraId="6EDC38E1" w14:textId="77777777" w:rsidR="00C6561B" w:rsidRPr="00D77970" w:rsidRDefault="00C6561B" w:rsidP="00D77970">
      <w:pPr>
        <w:spacing w:line="259" w:lineRule="auto"/>
        <w:contextualSpacing/>
        <w:jc w:val="both"/>
        <w:rPr>
          <w:rFonts w:ascii="Arial" w:eastAsia="Calibri" w:hAnsi="Arial" w:cs="Arial"/>
          <w:sz w:val="22"/>
          <w:szCs w:val="22"/>
        </w:rPr>
      </w:pPr>
    </w:p>
    <w:p w14:paraId="117F14BD" w14:textId="77777777" w:rsidR="00C6561B" w:rsidRPr="00D77970" w:rsidRDefault="00C6561B" w:rsidP="00D77970">
      <w:pPr>
        <w:spacing w:line="259" w:lineRule="auto"/>
        <w:contextualSpacing/>
        <w:jc w:val="both"/>
        <w:rPr>
          <w:rFonts w:ascii="Arial" w:eastAsia="Calibri" w:hAnsi="Arial" w:cs="Arial"/>
          <w:b/>
          <w:bCs/>
          <w:i/>
          <w:iCs/>
          <w:sz w:val="22"/>
          <w:szCs w:val="22"/>
        </w:rPr>
      </w:pPr>
      <w:r w:rsidRPr="00D77970">
        <w:rPr>
          <w:rFonts w:ascii="Arial" w:eastAsia="Calibri" w:hAnsi="Arial" w:cs="Arial"/>
          <w:b/>
          <w:bCs/>
          <w:i/>
          <w:iCs/>
          <w:sz w:val="22"/>
          <w:szCs w:val="22"/>
        </w:rPr>
        <w:t xml:space="preserve">Katalog Zbirke </w:t>
      </w:r>
      <w:proofErr w:type="spellStart"/>
      <w:r w:rsidRPr="00D77970">
        <w:rPr>
          <w:rFonts w:ascii="Arial" w:eastAsia="Calibri" w:hAnsi="Arial" w:cs="Arial"/>
          <w:b/>
          <w:bCs/>
          <w:i/>
          <w:iCs/>
          <w:sz w:val="22"/>
          <w:szCs w:val="22"/>
        </w:rPr>
        <w:t>Flacius</w:t>
      </w:r>
      <w:proofErr w:type="spellEnd"/>
    </w:p>
    <w:p w14:paraId="534B5A05" w14:textId="77777777" w:rsidR="00C6561B" w:rsidRPr="00D77970" w:rsidRDefault="00C6561B" w:rsidP="00D77970">
      <w:pPr>
        <w:spacing w:line="259" w:lineRule="auto"/>
        <w:contextualSpacing/>
        <w:jc w:val="both"/>
        <w:rPr>
          <w:rFonts w:ascii="Arial" w:eastAsia="Calibri" w:hAnsi="Arial" w:cs="Arial"/>
          <w:sz w:val="22"/>
          <w:szCs w:val="22"/>
        </w:rPr>
      </w:pPr>
      <w:r w:rsidRPr="00D77970">
        <w:rPr>
          <w:rFonts w:ascii="Arial" w:eastAsia="Calibri" w:hAnsi="Arial" w:cs="Arial"/>
          <w:sz w:val="22"/>
          <w:szCs w:val="22"/>
        </w:rPr>
        <w:t xml:space="preserve">Nakon tiskanog vodiča po stalnom postavu, Narodni muzej Labin namjerava objaviti kataloge muzejskih zbirki, počevši s opsegom najmanjom Zbirkom </w:t>
      </w:r>
      <w:proofErr w:type="spellStart"/>
      <w:r w:rsidRPr="00D77970">
        <w:rPr>
          <w:rFonts w:ascii="Arial" w:eastAsia="Calibri" w:hAnsi="Arial" w:cs="Arial"/>
          <w:sz w:val="22"/>
          <w:szCs w:val="22"/>
        </w:rPr>
        <w:t>Flacius</w:t>
      </w:r>
      <w:proofErr w:type="spellEnd"/>
      <w:r w:rsidRPr="00D77970">
        <w:rPr>
          <w:rFonts w:ascii="Arial" w:eastAsia="Calibri" w:hAnsi="Arial" w:cs="Arial"/>
          <w:sz w:val="22"/>
          <w:szCs w:val="22"/>
        </w:rPr>
        <w:t xml:space="preserve"> te time obilježiti 450. obljetnicu smrti Matije Vlačića Ilirika i 50. obljetnicu otvorenja Memorijalne zbirke Matije Vlačića Ilirika. Zbirka </w:t>
      </w:r>
      <w:proofErr w:type="spellStart"/>
      <w:r w:rsidRPr="00D77970">
        <w:rPr>
          <w:rFonts w:ascii="Arial" w:eastAsia="Calibri" w:hAnsi="Arial" w:cs="Arial"/>
          <w:sz w:val="22"/>
          <w:szCs w:val="22"/>
        </w:rPr>
        <w:t>Flacius</w:t>
      </w:r>
      <w:proofErr w:type="spellEnd"/>
      <w:r w:rsidRPr="00D77970">
        <w:rPr>
          <w:rFonts w:ascii="Arial" w:eastAsia="Calibri" w:hAnsi="Arial" w:cs="Arial"/>
          <w:sz w:val="22"/>
          <w:szCs w:val="22"/>
        </w:rPr>
        <w:t xml:space="preserve"> sadrži originalna djela Matije Vlačića Ilirika (Labin, 1570. – Frankfurt na Majni, 1575., protestantski teolog, crkveni povjesničar, filozof i filolog) iznimne vrijednosti, kao što su </w:t>
      </w:r>
      <w:proofErr w:type="spellStart"/>
      <w:r w:rsidRPr="00D77970">
        <w:rPr>
          <w:rFonts w:ascii="Arial" w:eastAsia="Calibri" w:hAnsi="Arial" w:cs="Arial"/>
          <w:sz w:val="22"/>
          <w:szCs w:val="22"/>
        </w:rPr>
        <w:t>Magdeburške</w:t>
      </w:r>
      <w:proofErr w:type="spellEnd"/>
      <w:r w:rsidRPr="00D77970">
        <w:rPr>
          <w:rFonts w:ascii="Arial" w:eastAsia="Calibri" w:hAnsi="Arial" w:cs="Arial"/>
          <w:sz w:val="22"/>
          <w:szCs w:val="22"/>
        </w:rPr>
        <w:t xml:space="preserve"> centurije, Ključ Svetoga pisma i Katalog svjedoka istine, koja je tijekom godina Narodni muzej Labin otkupio ili su mu donirana.    </w:t>
      </w:r>
    </w:p>
    <w:p w14:paraId="0CC956F9" w14:textId="77777777" w:rsidR="00C6561B" w:rsidRPr="00D77970" w:rsidRDefault="00C6561B" w:rsidP="00D77970">
      <w:pPr>
        <w:spacing w:line="259" w:lineRule="auto"/>
        <w:contextualSpacing/>
        <w:jc w:val="both"/>
        <w:rPr>
          <w:rFonts w:ascii="Arial" w:eastAsia="Calibri" w:hAnsi="Arial" w:cs="Arial"/>
          <w:sz w:val="22"/>
          <w:szCs w:val="22"/>
        </w:rPr>
      </w:pPr>
      <w:r w:rsidRPr="00D77970">
        <w:rPr>
          <w:rFonts w:ascii="Arial" w:eastAsia="Calibri" w:hAnsi="Arial" w:cs="Arial"/>
          <w:sz w:val="22"/>
          <w:szCs w:val="22"/>
        </w:rPr>
        <w:t xml:space="preserve">Katalozi muzejskih zbirki spadaju u najvažnije muzejske publikacije te njima upoznajemo javnost s baštinom koja se čuva u labinskom muzeju, a nije dostupna za razgled. Predmeti iz </w:t>
      </w:r>
    </w:p>
    <w:p w14:paraId="231A4A2D" w14:textId="77777777" w:rsidR="00C6561B" w:rsidRDefault="00C6561B" w:rsidP="00D77970">
      <w:pPr>
        <w:spacing w:line="259" w:lineRule="auto"/>
        <w:contextualSpacing/>
        <w:jc w:val="both"/>
        <w:rPr>
          <w:rFonts w:ascii="Arial" w:eastAsia="Calibri" w:hAnsi="Arial" w:cs="Arial"/>
          <w:sz w:val="22"/>
          <w:szCs w:val="22"/>
        </w:rPr>
      </w:pPr>
      <w:r w:rsidRPr="00D77970">
        <w:rPr>
          <w:rFonts w:ascii="Arial" w:eastAsia="Calibri" w:hAnsi="Arial" w:cs="Arial"/>
          <w:sz w:val="22"/>
          <w:szCs w:val="22"/>
        </w:rPr>
        <w:t xml:space="preserve">Zbirke </w:t>
      </w:r>
      <w:proofErr w:type="spellStart"/>
      <w:r w:rsidRPr="00D77970">
        <w:rPr>
          <w:rFonts w:ascii="Arial" w:eastAsia="Calibri" w:hAnsi="Arial" w:cs="Arial"/>
          <w:sz w:val="22"/>
          <w:szCs w:val="22"/>
        </w:rPr>
        <w:t>Flacius</w:t>
      </w:r>
      <w:proofErr w:type="spellEnd"/>
      <w:r w:rsidRPr="00D77970">
        <w:rPr>
          <w:rFonts w:ascii="Arial" w:eastAsia="Calibri" w:hAnsi="Arial" w:cs="Arial"/>
          <w:sz w:val="22"/>
          <w:szCs w:val="22"/>
        </w:rPr>
        <w:t xml:space="preserve"> nisu prikazani u stalnom muzejskom postavu te bi se tiskanjem kataloga zbirke ovaj dio muzejskog fundusa približio i učinio dostupnijim javnosti.</w:t>
      </w:r>
    </w:p>
    <w:p w14:paraId="405C7413" w14:textId="77777777" w:rsidR="003D1A41" w:rsidRPr="00D77970" w:rsidRDefault="003D1A41" w:rsidP="00D77970">
      <w:pPr>
        <w:spacing w:line="259" w:lineRule="auto"/>
        <w:contextualSpacing/>
        <w:jc w:val="both"/>
        <w:rPr>
          <w:rFonts w:ascii="Arial" w:eastAsia="Calibri" w:hAnsi="Arial" w:cs="Arial"/>
          <w:sz w:val="22"/>
          <w:szCs w:val="22"/>
        </w:rPr>
      </w:pPr>
    </w:p>
    <w:p w14:paraId="429C7145" w14:textId="77777777" w:rsidR="00C6561B" w:rsidRPr="00D77970" w:rsidRDefault="00C6561B" w:rsidP="00D77970">
      <w:pPr>
        <w:spacing w:line="259" w:lineRule="auto"/>
        <w:contextualSpacing/>
        <w:jc w:val="both"/>
        <w:rPr>
          <w:rFonts w:ascii="Arial" w:eastAsia="Calibri" w:hAnsi="Arial" w:cs="Arial"/>
          <w:sz w:val="22"/>
          <w:szCs w:val="22"/>
        </w:rPr>
      </w:pPr>
      <w:r w:rsidRPr="00D77970">
        <w:rPr>
          <w:rFonts w:ascii="Arial" w:eastAsia="Calibri" w:hAnsi="Arial" w:cs="Arial"/>
          <w:b/>
          <w:bCs/>
          <w:i/>
          <w:iCs/>
          <w:sz w:val="22"/>
          <w:szCs w:val="22"/>
        </w:rPr>
        <w:t>Osuvremenjivanje stalnog postava Muzeja</w:t>
      </w:r>
      <w:r w:rsidRPr="00D77970">
        <w:rPr>
          <w:rFonts w:ascii="Arial" w:eastAsia="Calibri" w:hAnsi="Arial" w:cs="Arial"/>
          <w:sz w:val="22"/>
          <w:szCs w:val="22"/>
        </w:rPr>
        <w:t xml:space="preserve"> u vidu nabave novih muzejskih vitrina i pomagala za prezentaciju građe G. </w:t>
      </w:r>
      <w:proofErr w:type="spellStart"/>
      <w:r w:rsidRPr="00D77970">
        <w:rPr>
          <w:rFonts w:ascii="Arial" w:eastAsia="Calibri" w:hAnsi="Arial" w:cs="Arial"/>
          <w:sz w:val="22"/>
          <w:szCs w:val="22"/>
        </w:rPr>
        <w:t>Martinuzzi</w:t>
      </w:r>
      <w:proofErr w:type="spellEnd"/>
      <w:r w:rsidRPr="00D77970">
        <w:rPr>
          <w:rFonts w:ascii="Arial" w:eastAsia="Calibri" w:hAnsi="Arial" w:cs="Arial"/>
          <w:sz w:val="22"/>
          <w:szCs w:val="22"/>
        </w:rPr>
        <w:t xml:space="preserve"> .</w:t>
      </w:r>
    </w:p>
    <w:p w14:paraId="7FFAB392" w14:textId="77777777" w:rsidR="00C6561B" w:rsidRPr="00D77970" w:rsidRDefault="00C6561B" w:rsidP="00D77970">
      <w:pPr>
        <w:spacing w:line="259" w:lineRule="auto"/>
        <w:contextualSpacing/>
        <w:jc w:val="both"/>
        <w:rPr>
          <w:rFonts w:ascii="Arial" w:eastAsia="Calibri" w:hAnsi="Arial" w:cs="Arial"/>
          <w:sz w:val="22"/>
          <w:szCs w:val="22"/>
        </w:rPr>
      </w:pPr>
      <w:proofErr w:type="spellStart"/>
      <w:r w:rsidRPr="00D77970">
        <w:rPr>
          <w:rFonts w:ascii="Arial" w:eastAsia="Calibri" w:hAnsi="Arial" w:cs="Arial"/>
          <w:sz w:val="22"/>
          <w:szCs w:val="22"/>
        </w:rPr>
        <w:t>Giuseppina</w:t>
      </w:r>
      <w:proofErr w:type="spellEnd"/>
      <w:r w:rsidRPr="00D77970">
        <w:rPr>
          <w:rFonts w:ascii="Arial" w:eastAsia="Calibri" w:hAnsi="Arial" w:cs="Arial"/>
          <w:sz w:val="22"/>
          <w:szCs w:val="22"/>
        </w:rPr>
        <w:t xml:space="preserve"> </w:t>
      </w:r>
      <w:proofErr w:type="spellStart"/>
      <w:r w:rsidRPr="00D77970">
        <w:rPr>
          <w:rFonts w:ascii="Arial" w:eastAsia="Calibri" w:hAnsi="Arial" w:cs="Arial"/>
          <w:sz w:val="22"/>
          <w:szCs w:val="22"/>
        </w:rPr>
        <w:t>Martinuzzi</w:t>
      </w:r>
      <w:proofErr w:type="spellEnd"/>
      <w:r w:rsidRPr="00D77970">
        <w:rPr>
          <w:rFonts w:ascii="Arial" w:eastAsia="Calibri" w:hAnsi="Arial" w:cs="Arial"/>
          <w:sz w:val="22"/>
          <w:szCs w:val="22"/>
        </w:rPr>
        <w:t xml:space="preserve"> (Labin, 1844. – Labin, 1925.), pedagoginja, učiteljica, pjesnikinja, društvena i politička djelatnica, jedna je od istaknutijih osoba istarske povijesti. U stalnom </w:t>
      </w:r>
      <w:r w:rsidRPr="00D77970">
        <w:rPr>
          <w:rFonts w:ascii="Arial" w:eastAsia="Calibri" w:hAnsi="Arial" w:cs="Arial"/>
          <w:sz w:val="22"/>
          <w:szCs w:val="22"/>
        </w:rPr>
        <w:lastRenderedPageBreak/>
        <w:t>postavu Narodnog muzeja Labin posvećen joj je manji dio prostorije te je izloženo nekoliko predmeta iz njezine ostavštine uz dva popratna panoa s informacijama za posjetitelje.</w:t>
      </w:r>
    </w:p>
    <w:p w14:paraId="4FC7D668" w14:textId="77777777" w:rsidR="00C6561B" w:rsidRPr="00D77970" w:rsidRDefault="00C6561B" w:rsidP="00D77970">
      <w:pPr>
        <w:spacing w:line="259" w:lineRule="auto"/>
        <w:contextualSpacing/>
        <w:jc w:val="both"/>
        <w:rPr>
          <w:rFonts w:ascii="Arial" w:eastAsia="Calibri" w:hAnsi="Arial" w:cs="Arial"/>
          <w:sz w:val="22"/>
          <w:szCs w:val="22"/>
        </w:rPr>
      </w:pPr>
      <w:r w:rsidRPr="00D77970">
        <w:rPr>
          <w:rFonts w:ascii="Arial" w:eastAsia="Calibri" w:hAnsi="Arial" w:cs="Arial"/>
          <w:sz w:val="22"/>
          <w:szCs w:val="22"/>
        </w:rPr>
        <w:t xml:space="preserve">Zbog svoje povijesne važnosti, interesa koji izaziva kod posjetitelja, učenika koji ciljano posjećuju labinski muzej zbog G. </w:t>
      </w:r>
      <w:proofErr w:type="spellStart"/>
      <w:r w:rsidRPr="00D77970">
        <w:rPr>
          <w:rFonts w:ascii="Arial" w:eastAsia="Calibri" w:hAnsi="Arial" w:cs="Arial"/>
          <w:sz w:val="22"/>
          <w:szCs w:val="22"/>
        </w:rPr>
        <w:t>Martinuzzi</w:t>
      </w:r>
      <w:proofErr w:type="spellEnd"/>
      <w:r w:rsidRPr="00D77970">
        <w:rPr>
          <w:rFonts w:ascii="Arial" w:eastAsia="Calibri" w:hAnsi="Arial" w:cs="Arial"/>
          <w:sz w:val="22"/>
          <w:szCs w:val="22"/>
        </w:rPr>
        <w:t>, namjera Narodnog muzeja Labin je da tijekom  2025. obogati i osuvremeni ovaj dio postava. Dosadašnji postav ne zadovoljava potrebe informiranja posjetitelja, „siromašan“ je izloženom građom i informacijama te je želja proširiti postav prostorno, izložiti više rukopisne građe iz ostavštine i modernizirati ovaj dio postava. Povod za osuvremenjivanje ovog dijela postava su i dvije važne obljetnice, ovogodišnja 180. obljetnica rođenja (1844.–2024.) i 100. obljetnica smrti koja će se obilježiti 2025.</w:t>
      </w:r>
    </w:p>
    <w:p w14:paraId="1A0E2E00" w14:textId="77777777" w:rsidR="003D1A41" w:rsidRDefault="003D1A41" w:rsidP="00D77970">
      <w:pPr>
        <w:spacing w:line="259" w:lineRule="auto"/>
        <w:contextualSpacing/>
        <w:jc w:val="both"/>
        <w:rPr>
          <w:rFonts w:ascii="Arial" w:eastAsia="Calibri" w:hAnsi="Arial" w:cs="Arial"/>
          <w:b/>
          <w:bCs/>
          <w:i/>
          <w:iCs/>
          <w:sz w:val="22"/>
          <w:szCs w:val="22"/>
        </w:rPr>
      </w:pPr>
    </w:p>
    <w:p w14:paraId="4079430D" w14:textId="35DDD3AC" w:rsidR="00C6561B" w:rsidRPr="00D77970" w:rsidRDefault="00C6561B" w:rsidP="00D77970">
      <w:pPr>
        <w:spacing w:line="259" w:lineRule="auto"/>
        <w:contextualSpacing/>
        <w:jc w:val="both"/>
        <w:rPr>
          <w:rFonts w:ascii="Arial" w:eastAsia="Calibri" w:hAnsi="Arial" w:cs="Arial"/>
          <w:b/>
          <w:bCs/>
          <w:i/>
          <w:iCs/>
          <w:sz w:val="22"/>
          <w:szCs w:val="22"/>
        </w:rPr>
      </w:pPr>
      <w:r w:rsidRPr="00D77970">
        <w:rPr>
          <w:rFonts w:ascii="Arial" w:eastAsia="Calibri" w:hAnsi="Arial" w:cs="Arial"/>
          <w:b/>
          <w:bCs/>
          <w:i/>
          <w:iCs/>
          <w:sz w:val="22"/>
          <w:szCs w:val="22"/>
        </w:rPr>
        <w:t>Edukativni program</w:t>
      </w:r>
    </w:p>
    <w:p w14:paraId="070E1973" w14:textId="77777777" w:rsidR="00C6561B" w:rsidRPr="00D77970" w:rsidRDefault="00C6561B" w:rsidP="00D77970">
      <w:pPr>
        <w:spacing w:line="259" w:lineRule="auto"/>
        <w:contextualSpacing/>
        <w:jc w:val="both"/>
        <w:rPr>
          <w:rFonts w:ascii="Arial" w:eastAsia="Calibri" w:hAnsi="Arial" w:cs="Arial"/>
          <w:sz w:val="22"/>
          <w:szCs w:val="22"/>
        </w:rPr>
      </w:pPr>
      <w:r w:rsidRPr="00D77970">
        <w:rPr>
          <w:rFonts w:ascii="Arial" w:eastAsia="Calibri" w:hAnsi="Arial" w:cs="Arial"/>
          <w:sz w:val="22"/>
          <w:szCs w:val="22"/>
        </w:rPr>
        <w:t xml:space="preserve">Tijekom 2025. godine Narodni muzej Labin namjerava intenzivirati svoj edukativni program koji će pratiti ostale sadržaje i događanja organizirana u Muzeju. Uz uobičajena stručna vodstva stalnim postavom, namjera je edukativnim programom staviti naglasak na nekoliko važnih obljetnica. U suradnji s Gradskom knjižnicom Labin organizirati će se edukativni kviz s temom </w:t>
      </w:r>
      <w:proofErr w:type="spellStart"/>
      <w:r w:rsidRPr="00D77970">
        <w:rPr>
          <w:rFonts w:ascii="Arial" w:eastAsia="Calibri" w:hAnsi="Arial" w:cs="Arial"/>
          <w:sz w:val="22"/>
          <w:szCs w:val="22"/>
        </w:rPr>
        <w:t>Giuseppine</w:t>
      </w:r>
      <w:proofErr w:type="spellEnd"/>
      <w:r w:rsidRPr="00D77970">
        <w:rPr>
          <w:rFonts w:ascii="Arial" w:eastAsia="Calibri" w:hAnsi="Arial" w:cs="Arial"/>
          <w:sz w:val="22"/>
          <w:szCs w:val="22"/>
        </w:rPr>
        <w:t xml:space="preserve"> </w:t>
      </w:r>
      <w:proofErr w:type="spellStart"/>
      <w:r w:rsidRPr="00D77970">
        <w:rPr>
          <w:rFonts w:ascii="Arial" w:eastAsia="Calibri" w:hAnsi="Arial" w:cs="Arial"/>
          <w:sz w:val="22"/>
          <w:szCs w:val="22"/>
        </w:rPr>
        <w:t>Martinuzzi</w:t>
      </w:r>
      <w:proofErr w:type="spellEnd"/>
      <w:r w:rsidRPr="00D77970">
        <w:rPr>
          <w:rFonts w:ascii="Arial" w:eastAsia="Calibri" w:hAnsi="Arial" w:cs="Arial"/>
          <w:sz w:val="22"/>
          <w:szCs w:val="22"/>
        </w:rPr>
        <w:t xml:space="preserve"> čiju 180. obljetnicu rođenja i 100. obljetnicu smrti obilježavamo 2024. i 2025. godine. Druga tema edukativnog programa je obilježavanje 80. obljetnice završetka II. svjetskog rata te se kao popratni sadržaj izložbe s ovom temom namjeravaju organizirati tematska stručna vodstva za učenike osnovnih i srednjih škola, ali i širu javnost. Prateći ovu temu, u Kinu Labin (dio POU Labin) organizirat će se kraći filmski festival s dokumentarnim filmovima na temu NOB-e, uključujući labinsku premijeru filma „Zemlja ognja“, nastalog u produkciji labinske firme </w:t>
      </w:r>
      <w:proofErr w:type="spellStart"/>
      <w:r w:rsidRPr="00D77970">
        <w:rPr>
          <w:rFonts w:ascii="Arial" w:eastAsia="Calibri" w:hAnsi="Arial" w:cs="Arial"/>
          <w:sz w:val="22"/>
          <w:szCs w:val="22"/>
        </w:rPr>
        <w:t>Level</w:t>
      </w:r>
      <w:proofErr w:type="spellEnd"/>
      <w:r w:rsidRPr="00D77970">
        <w:rPr>
          <w:rFonts w:ascii="Arial" w:eastAsia="Calibri" w:hAnsi="Arial" w:cs="Arial"/>
          <w:sz w:val="22"/>
          <w:szCs w:val="22"/>
        </w:rPr>
        <w:t xml:space="preserve"> 52.</w:t>
      </w:r>
    </w:p>
    <w:p w14:paraId="42F30E72" w14:textId="77777777" w:rsidR="00C6561B" w:rsidRPr="00D77970" w:rsidRDefault="00C6561B" w:rsidP="00D77970">
      <w:pPr>
        <w:spacing w:line="259" w:lineRule="auto"/>
        <w:contextualSpacing/>
        <w:jc w:val="both"/>
        <w:rPr>
          <w:rFonts w:ascii="Arial" w:eastAsia="Calibri" w:hAnsi="Arial" w:cs="Arial"/>
          <w:sz w:val="22"/>
          <w:szCs w:val="22"/>
        </w:rPr>
      </w:pPr>
    </w:p>
    <w:p w14:paraId="57AE220A" w14:textId="77777777" w:rsidR="00C6561B" w:rsidRPr="00D77970" w:rsidRDefault="00C6561B" w:rsidP="00D77970">
      <w:pPr>
        <w:spacing w:line="259" w:lineRule="auto"/>
        <w:contextualSpacing/>
        <w:jc w:val="both"/>
        <w:rPr>
          <w:rFonts w:ascii="Arial" w:eastAsia="Calibri" w:hAnsi="Arial" w:cs="Arial"/>
          <w:b/>
          <w:bCs/>
          <w:i/>
          <w:iCs/>
          <w:sz w:val="22"/>
          <w:szCs w:val="22"/>
        </w:rPr>
      </w:pPr>
      <w:r w:rsidRPr="00D77970">
        <w:rPr>
          <w:rFonts w:ascii="Arial" w:eastAsia="Calibri" w:hAnsi="Arial" w:cs="Arial"/>
          <w:b/>
          <w:bCs/>
          <w:i/>
          <w:iCs/>
          <w:sz w:val="22"/>
          <w:szCs w:val="22"/>
        </w:rPr>
        <w:t>Digitalizacija zbirki</w:t>
      </w:r>
    </w:p>
    <w:p w14:paraId="4E5CB472" w14:textId="77777777" w:rsidR="00C6561B" w:rsidRPr="00D77970" w:rsidRDefault="00C6561B" w:rsidP="00D77970">
      <w:pPr>
        <w:spacing w:line="259" w:lineRule="auto"/>
        <w:contextualSpacing/>
        <w:jc w:val="both"/>
        <w:rPr>
          <w:rFonts w:ascii="Arial" w:eastAsia="Calibri" w:hAnsi="Arial" w:cs="Arial"/>
          <w:sz w:val="22"/>
          <w:szCs w:val="22"/>
        </w:rPr>
      </w:pPr>
      <w:r w:rsidRPr="00D77970">
        <w:rPr>
          <w:rFonts w:ascii="Arial" w:eastAsia="Calibri" w:hAnsi="Arial" w:cs="Arial"/>
          <w:sz w:val="22"/>
          <w:szCs w:val="22"/>
        </w:rPr>
        <w:t xml:space="preserve">Tijekom 2025. Narodni muzej Labin namjerava digitalizirati rukopisnu ostavštinu G. </w:t>
      </w:r>
      <w:proofErr w:type="spellStart"/>
      <w:r w:rsidRPr="00D77970">
        <w:rPr>
          <w:rFonts w:ascii="Arial" w:eastAsia="Calibri" w:hAnsi="Arial" w:cs="Arial"/>
          <w:sz w:val="22"/>
          <w:szCs w:val="22"/>
        </w:rPr>
        <w:t>Martinuzzi</w:t>
      </w:r>
      <w:proofErr w:type="spellEnd"/>
      <w:r w:rsidRPr="00D77970">
        <w:rPr>
          <w:rFonts w:ascii="Arial" w:eastAsia="Calibri" w:hAnsi="Arial" w:cs="Arial"/>
          <w:sz w:val="22"/>
          <w:szCs w:val="22"/>
        </w:rPr>
        <w:t xml:space="preserve"> (mape, bilježnice, Manuale </w:t>
      </w:r>
      <w:proofErr w:type="spellStart"/>
      <w:r w:rsidRPr="00D77970">
        <w:rPr>
          <w:rFonts w:ascii="Arial" w:eastAsia="Calibri" w:hAnsi="Arial" w:cs="Arial"/>
          <w:sz w:val="22"/>
          <w:szCs w:val="22"/>
        </w:rPr>
        <w:t>Mnemonico</w:t>
      </w:r>
      <w:proofErr w:type="spellEnd"/>
      <w:r w:rsidRPr="00D77970">
        <w:rPr>
          <w:rFonts w:ascii="Arial" w:eastAsia="Calibri" w:hAnsi="Arial" w:cs="Arial"/>
          <w:sz w:val="22"/>
          <w:szCs w:val="22"/>
        </w:rPr>
        <w:t xml:space="preserve">). Digitalizaciji građe pristupa se zbog važnosti za Labin i Istru te čestih upita istraživača za proučavanje ostavštine. Objavom digitalizirane građe na portalu e-Kultura ili zasebnoj web stranici omogućila bi se veća dostupnost sadržaja, ali i zaštitilo građu od čestog korištenja. Zbog nedostatka kvalitetne opreme u Muzeju, za digitaliziranje građe koristila bi se pomoć vanjskih suradnika. Završetak projekta predviđen je u studenom 2025. čime bi se obilježile 180. obljetnica rođenja (2024.) i 100. obljetnica smrti (2025.) </w:t>
      </w:r>
      <w:proofErr w:type="spellStart"/>
      <w:r w:rsidRPr="00D77970">
        <w:rPr>
          <w:rFonts w:ascii="Arial" w:eastAsia="Calibri" w:hAnsi="Arial" w:cs="Arial"/>
          <w:sz w:val="22"/>
          <w:szCs w:val="22"/>
        </w:rPr>
        <w:t>Giuseppine</w:t>
      </w:r>
      <w:proofErr w:type="spellEnd"/>
      <w:r w:rsidRPr="00D77970">
        <w:rPr>
          <w:rFonts w:ascii="Arial" w:eastAsia="Calibri" w:hAnsi="Arial" w:cs="Arial"/>
          <w:sz w:val="22"/>
          <w:szCs w:val="22"/>
        </w:rPr>
        <w:t xml:space="preserve"> </w:t>
      </w:r>
      <w:proofErr w:type="spellStart"/>
      <w:r w:rsidRPr="00D77970">
        <w:rPr>
          <w:rFonts w:ascii="Arial" w:eastAsia="Calibri" w:hAnsi="Arial" w:cs="Arial"/>
          <w:sz w:val="22"/>
          <w:szCs w:val="22"/>
        </w:rPr>
        <w:t>Martinuzzi</w:t>
      </w:r>
      <w:proofErr w:type="spellEnd"/>
      <w:r w:rsidRPr="00D77970">
        <w:rPr>
          <w:rFonts w:ascii="Arial" w:eastAsia="Calibri" w:hAnsi="Arial" w:cs="Arial"/>
          <w:sz w:val="22"/>
          <w:szCs w:val="22"/>
        </w:rPr>
        <w:t>.</w:t>
      </w:r>
    </w:p>
    <w:p w14:paraId="55836469" w14:textId="77777777" w:rsidR="00C6561B" w:rsidRPr="00D77970" w:rsidRDefault="00C6561B" w:rsidP="00D77970">
      <w:pPr>
        <w:spacing w:line="259" w:lineRule="auto"/>
        <w:contextualSpacing/>
        <w:jc w:val="both"/>
        <w:rPr>
          <w:rFonts w:ascii="Arial" w:eastAsia="Calibri" w:hAnsi="Arial" w:cs="Arial"/>
          <w:sz w:val="22"/>
          <w:szCs w:val="22"/>
        </w:rPr>
      </w:pPr>
    </w:p>
    <w:p w14:paraId="75E3A0DE" w14:textId="77777777" w:rsidR="00C6561B" w:rsidRPr="00D77970" w:rsidRDefault="00C6561B" w:rsidP="00D77970">
      <w:pPr>
        <w:spacing w:line="259" w:lineRule="auto"/>
        <w:contextualSpacing/>
        <w:jc w:val="both"/>
        <w:rPr>
          <w:rFonts w:ascii="Arial" w:eastAsia="Calibri" w:hAnsi="Arial" w:cs="Arial"/>
          <w:b/>
          <w:bCs/>
          <w:i/>
          <w:iCs/>
          <w:sz w:val="22"/>
          <w:szCs w:val="22"/>
        </w:rPr>
      </w:pPr>
      <w:r w:rsidRPr="00D77970">
        <w:rPr>
          <w:rFonts w:ascii="Arial" w:eastAsia="Calibri" w:hAnsi="Arial" w:cs="Arial"/>
          <w:b/>
          <w:bCs/>
          <w:i/>
          <w:iCs/>
          <w:sz w:val="22"/>
          <w:szCs w:val="22"/>
        </w:rPr>
        <w:t>Nabava tehničke opreme</w:t>
      </w:r>
    </w:p>
    <w:p w14:paraId="389F624E" w14:textId="77777777" w:rsidR="00C6561B" w:rsidRPr="00D77970" w:rsidRDefault="00C6561B" w:rsidP="00D77970">
      <w:pPr>
        <w:spacing w:line="259" w:lineRule="auto"/>
        <w:contextualSpacing/>
        <w:jc w:val="both"/>
        <w:rPr>
          <w:rFonts w:ascii="Arial" w:eastAsia="Calibri" w:hAnsi="Arial" w:cs="Arial"/>
          <w:sz w:val="22"/>
          <w:szCs w:val="22"/>
        </w:rPr>
      </w:pPr>
      <w:r w:rsidRPr="00D77970">
        <w:rPr>
          <w:rFonts w:ascii="Arial" w:eastAsia="Calibri" w:hAnsi="Arial" w:cs="Arial"/>
          <w:sz w:val="22"/>
          <w:szCs w:val="22"/>
        </w:rPr>
        <w:t xml:space="preserve">Tijekom 2025. u Narodnom muzeju Labin nužno je zamijeniti tri postojeća </w:t>
      </w:r>
      <w:proofErr w:type="spellStart"/>
      <w:r w:rsidRPr="00D77970">
        <w:rPr>
          <w:rFonts w:ascii="Arial" w:eastAsia="Calibri" w:hAnsi="Arial" w:cs="Arial"/>
          <w:sz w:val="22"/>
          <w:szCs w:val="22"/>
        </w:rPr>
        <w:t>infokioska</w:t>
      </w:r>
      <w:proofErr w:type="spellEnd"/>
      <w:r w:rsidRPr="00D77970">
        <w:rPr>
          <w:rFonts w:ascii="Arial" w:eastAsia="Calibri" w:hAnsi="Arial" w:cs="Arial"/>
          <w:sz w:val="22"/>
          <w:szCs w:val="22"/>
        </w:rPr>
        <w:t xml:space="preserve"> novim i modernijim audiovizualnim pomagalima (tablet/ekran na dodir) na kojima će se kvalitetnije prikazivati postojeći sadržaji, a posjetiteljima će se omogućiti jednostavnije korištenje tehničke opreme. Na postojećim </w:t>
      </w:r>
      <w:proofErr w:type="spellStart"/>
      <w:r w:rsidRPr="00D77970">
        <w:rPr>
          <w:rFonts w:ascii="Arial" w:eastAsia="Calibri" w:hAnsi="Arial" w:cs="Arial"/>
          <w:sz w:val="22"/>
          <w:szCs w:val="22"/>
        </w:rPr>
        <w:t>infokioscima</w:t>
      </w:r>
      <w:proofErr w:type="spellEnd"/>
      <w:r w:rsidRPr="00D77970">
        <w:rPr>
          <w:rFonts w:ascii="Arial" w:eastAsia="Calibri" w:hAnsi="Arial" w:cs="Arial"/>
          <w:sz w:val="22"/>
          <w:szCs w:val="22"/>
        </w:rPr>
        <w:t xml:space="preserve"> iz 2005. prikazuju se dodatne informacije o gradu Labinu, </w:t>
      </w:r>
      <w:proofErr w:type="spellStart"/>
      <w:r w:rsidRPr="00D77970">
        <w:rPr>
          <w:rFonts w:ascii="Arial" w:eastAsia="Calibri" w:hAnsi="Arial" w:cs="Arial"/>
          <w:sz w:val="22"/>
          <w:szCs w:val="22"/>
        </w:rPr>
        <w:t>Labinštini</w:t>
      </w:r>
      <w:proofErr w:type="spellEnd"/>
      <w:r w:rsidRPr="00D77970">
        <w:rPr>
          <w:rFonts w:ascii="Arial" w:eastAsia="Calibri" w:hAnsi="Arial" w:cs="Arial"/>
          <w:sz w:val="22"/>
          <w:szCs w:val="22"/>
        </w:rPr>
        <w:t xml:space="preserve"> i Istri te informacije o Matiji Vlačiću Iliriku i reformaciji u Istri i Hrvatskoj. </w:t>
      </w:r>
    </w:p>
    <w:p w14:paraId="558B1557" w14:textId="77777777" w:rsidR="00C6561B" w:rsidRPr="00D77970" w:rsidRDefault="00C6561B" w:rsidP="00D77970">
      <w:pPr>
        <w:spacing w:line="259" w:lineRule="auto"/>
        <w:contextualSpacing/>
        <w:jc w:val="both"/>
        <w:rPr>
          <w:rFonts w:ascii="Arial" w:eastAsia="Calibri" w:hAnsi="Arial" w:cs="Arial"/>
          <w:sz w:val="22"/>
          <w:szCs w:val="22"/>
        </w:rPr>
      </w:pPr>
      <w:r w:rsidRPr="00D77970">
        <w:rPr>
          <w:rFonts w:ascii="Arial" w:eastAsia="Calibri" w:hAnsi="Arial" w:cs="Arial"/>
          <w:sz w:val="22"/>
          <w:szCs w:val="22"/>
        </w:rPr>
        <w:t>U stalnom postavu Narodnog muzeja Labin izložene su dva kompleta ženskih i jedan komplet muške narodne nošnje te jedan komplet svečane rudarske uniforme. Nošnje, izložene u vitrini, ovješene su na vješalicama što nije odgovarajući način izlaganja tekstilnih predmeta zbog mogućih oštećenja muzejske građe. Rudarska uniforma je izložena na neodgovarajućem torzu čime se također pridonosi oštećenju i uništavanju predmeta. Iz ovih razloga želja je narodnu nošnju i rudarsku uniformu izložiti na odgovarajućim muzejskim lutkama.</w:t>
      </w:r>
    </w:p>
    <w:p w14:paraId="53BE7DA0" w14:textId="77777777" w:rsidR="00C6561B" w:rsidRPr="00D77970" w:rsidRDefault="00C6561B" w:rsidP="00D77970">
      <w:pPr>
        <w:spacing w:line="259" w:lineRule="auto"/>
        <w:contextualSpacing/>
        <w:jc w:val="both"/>
        <w:rPr>
          <w:rFonts w:ascii="Arial" w:eastAsia="Calibri" w:hAnsi="Arial" w:cs="Arial"/>
          <w:sz w:val="22"/>
          <w:szCs w:val="22"/>
        </w:rPr>
      </w:pPr>
    </w:p>
    <w:p w14:paraId="16391056" w14:textId="77777777" w:rsidR="00C6561B" w:rsidRPr="00D77970" w:rsidRDefault="00C6561B" w:rsidP="00D77970">
      <w:pPr>
        <w:spacing w:line="259" w:lineRule="auto"/>
        <w:contextualSpacing/>
        <w:jc w:val="both"/>
        <w:rPr>
          <w:rFonts w:ascii="Arial" w:eastAsia="Calibri" w:hAnsi="Arial" w:cs="Arial"/>
          <w:b/>
          <w:bCs/>
          <w:i/>
          <w:iCs/>
          <w:sz w:val="22"/>
          <w:szCs w:val="22"/>
        </w:rPr>
      </w:pPr>
      <w:r w:rsidRPr="00D77970">
        <w:rPr>
          <w:rFonts w:ascii="Arial" w:eastAsia="Calibri" w:hAnsi="Arial" w:cs="Arial"/>
          <w:b/>
          <w:bCs/>
          <w:i/>
          <w:iCs/>
          <w:sz w:val="22"/>
          <w:szCs w:val="22"/>
        </w:rPr>
        <w:t xml:space="preserve">Snimak postojećeg stanja palače </w:t>
      </w:r>
      <w:proofErr w:type="spellStart"/>
      <w:r w:rsidRPr="00D77970">
        <w:rPr>
          <w:rFonts w:ascii="Arial" w:eastAsia="Calibri" w:hAnsi="Arial" w:cs="Arial"/>
          <w:b/>
          <w:bCs/>
          <w:i/>
          <w:iCs/>
          <w:sz w:val="22"/>
          <w:szCs w:val="22"/>
        </w:rPr>
        <w:t>Battiala</w:t>
      </w:r>
      <w:proofErr w:type="spellEnd"/>
      <w:r w:rsidRPr="00D77970">
        <w:rPr>
          <w:rFonts w:ascii="Arial" w:eastAsia="Calibri" w:hAnsi="Arial" w:cs="Arial"/>
          <w:b/>
          <w:bCs/>
          <w:i/>
          <w:iCs/>
          <w:sz w:val="22"/>
          <w:szCs w:val="22"/>
        </w:rPr>
        <w:t xml:space="preserve"> </w:t>
      </w:r>
      <w:proofErr w:type="spellStart"/>
      <w:r w:rsidRPr="00D77970">
        <w:rPr>
          <w:rFonts w:ascii="Arial" w:eastAsia="Calibri" w:hAnsi="Arial" w:cs="Arial"/>
          <w:b/>
          <w:bCs/>
          <w:i/>
          <w:iCs/>
          <w:sz w:val="22"/>
          <w:szCs w:val="22"/>
        </w:rPr>
        <w:t>Lazzarini</w:t>
      </w:r>
      <w:proofErr w:type="spellEnd"/>
    </w:p>
    <w:p w14:paraId="26345F60" w14:textId="77777777" w:rsidR="00C6561B" w:rsidRPr="00D77970" w:rsidRDefault="00C6561B" w:rsidP="00D77970">
      <w:pPr>
        <w:spacing w:line="259" w:lineRule="auto"/>
        <w:contextualSpacing/>
        <w:jc w:val="both"/>
        <w:rPr>
          <w:rFonts w:ascii="Arial" w:eastAsia="Calibri" w:hAnsi="Arial" w:cs="Arial"/>
          <w:sz w:val="22"/>
          <w:szCs w:val="22"/>
        </w:rPr>
      </w:pPr>
      <w:r w:rsidRPr="00D77970">
        <w:rPr>
          <w:rFonts w:ascii="Arial" w:eastAsia="Calibri" w:hAnsi="Arial" w:cs="Arial"/>
          <w:sz w:val="22"/>
          <w:szCs w:val="22"/>
        </w:rPr>
        <w:t xml:space="preserve">U koordinaciji s nadležnim konzervatorskim odjelom iz Pule pristupilo se traženju sredstava za izradu snimka postojećeg stanja palače kao prve faze u izradi konzervatorske podloge za muzej. Projekt se prijavljuje na natječaj MKIM te iznosi 16.000 </w:t>
      </w:r>
      <w:proofErr w:type="spellStart"/>
      <w:r w:rsidRPr="00D77970">
        <w:rPr>
          <w:rFonts w:ascii="Arial" w:eastAsia="Calibri" w:hAnsi="Arial" w:cs="Arial"/>
          <w:sz w:val="22"/>
          <w:szCs w:val="22"/>
        </w:rPr>
        <w:t>eur</w:t>
      </w:r>
      <w:proofErr w:type="spellEnd"/>
      <w:r w:rsidRPr="00D77970">
        <w:rPr>
          <w:rFonts w:ascii="Arial" w:eastAsia="Calibri" w:hAnsi="Arial" w:cs="Arial"/>
          <w:sz w:val="22"/>
          <w:szCs w:val="22"/>
        </w:rPr>
        <w:t xml:space="preserve">. Obzirom da nije odobren </w:t>
      </w:r>
      <w:proofErr w:type="spellStart"/>
      <w:r w:rsidRPr="00D77970">
        <w:rPr>
          <w:rFonts w:ascii="Arial" w:eastAsia="Calibri" w:hAnsi="Arial" w:cs="Arial"/>
          <w:sz w:val="22"/>
          <w:szCs w:val="22"/>
        </w:rPr>
        <w:t>tj</w:t>
      </w:r>
      <w:proofErr w:type="spellEnd"/>
      <w:r w:rsidRPr="00D77970">
        <w:rPr>
          <w:rFonts w:ascii="Arial" w:eastAsia="Calibri" w:hAnsi="Arial" w:cs="Arial"/>
          <w:sz w:val="22"/>
          <w:szCs w:val="22"/>
        </w:rPr>
        <w:t xml:space="preserve"> </w:t>
      </w:r>
      <w:r w:rsidRPr="00D77970">
        <w:rPr>
          <w:rFonts w:ascii="Arial" w:eastAsia="Calibri" w:hAnsi="Arial" w:cs="Arial"/>
          <w:sz w:val="22"/>
          <w:szCs w:val="22"/>
        </w:rPr>
        <w:lastRenderedPageBreak/>
        <w:t>u fazi je administrativne provjere nije naveden u planu proračuna već se obrazlaže kao informacija.</w:t>
      </w:r>
    </w:p>
    <w:p w14:paraId="423BBF31" w14:textId="77777777" w:rsidR="00C6561B" w:rsidRPr="00D77970" w:rsidRDefault="00C6561B" w:rsidP="00D77970">
      <w:pPr>
        <w:spacing w:line="259" w:lineRule="auto"/>
        <w:contextualSpacing/>
        <w:jc w:val="both"/>
        <w:rPr>
          <w:rFonts w:ascii="Arial" w:eastAsia="Calibri" w:hAnsi="Arial" w:cs="Arial"/>
          <w:sz w:val="22"/>
          <w:szCs w:val="22"/>
        </w:rPr>
      </w:pPr>
    </w:p>
    <w:p w14:paraId="09228210" w14:textId="77777777" w:rsidR="00C6561B" w:rsidRPr="00D77970" w:rsidRDefault="00C6561B" w:rsidP="00D77970">
      <w:pPr>
        <w:spacing w:line="259" w:lineRule="auto"/>
        <w:contextualSpacing/>
        <w:jc w:val="both"/>
        <w:rPr>
          <w:rFonts w:ascii="Arial" w:eastAsia="Calibri" w:hAnsi="Arial" w:cs="Arial"/>
          <w:b/>
          <w:bCs/>
          <w:i/>
          <w:iCs/>
          <w:sz w:val="22"/>
          <w:szCs w:val="22"/>
        </w:rPr>
      </w:pPr>
      <w:r w:rsidRPr="00D77970">
        <w:rPr>
          <w:rFonts w:ascii="Arial" w:eastAsia="Calibri" w:hAnsi="Arial" w:cs="Arial"/>
          <w:b/>
          <w:bCs/>
          <w:i/>
          <w:iCs/>
          <w:sz w:val="22"/>
          <w:szCs w:val="22"/>
        </w:rPr>
        <w:t>Suradnja sa Župom Rođenja Blažene Djevice Marije</w:t>
      </w:r>
    </w:p>
    <w:p w14:paraId="0BE44954" w14:textId="77777777" w:rsidR="00C6561B" w:rsidRPr="00D77970" w:rsidRDefault="00C6561B" w:rsidP="00D77970">
      <w:pPr>
        <w:spacing w:line="259" w:lineRule="auto"/>
        <w:contextualSpacing/>
        <w:jc w:val="both"/>
        <w:rPr>
          <w:rFonts w:ascii="Arial" w:eastAsia="Calibri" w:hAnsi="Arial" w:cs="Arial"/>
          <w:sz w:val="22"/>
          <w:szCs w:val="22"/>
        </w:rPr>
      </w:pPr>
      <w:r w:rsidRPr="00D77970">
        <w:rPr>
          <w:rFonts w:ascii="Arial" w:eastAsia="Calibri" w:hAnsi="Arial" w:cs="Arial"/>
          <w:sz w:val="22"/>
          <w:szCs w:val="22"/>
        </w:rPr>
        <w:t>U 2025. nastavljamo suradnju sa Župom na zaštiti kaptolske građe kroz nabavu odgovarajuće opreme za čuvanje građe.</w:t>
      </w:r>
    </w:p>
    <w:p w14:paraId="4FDDC0C1" w14:textId="77777777" w:rsidR="00C6561B" w:rsidRPr="00D77970" w:rsidRDefault="00C6561B" w:rsidP="00D77970">
      <w:pPr>
        <w:spacing w:line="259" w:lineRule="auto"/>
        <w:contextualSpacing/>
        <w:jc w:val="both"/>
        <w:rPr>
          <w:rFonts w:ascii="Arial" w:eastAsia="Arial" w:hAnsi="Arial" w:cs="Arial"/>
          <w:sz w:val="22"/>
          <w:szCs w:val="22"/>
          <w:u w:val="single"/>
        </w:rPr>
      </w:pPr>
    </w:p>
    <w:p w14:paraId="09389085" w14:textId="77777777" w:rsidR="00C6561B" w:rsidRPr="00D77970" w:rsidRDefault="00C6561B" w:rsidP="00D77970">
      <w:pPr>
        <w:spacing w:line="259" w:lineRule="auto"/>
        <w:contextualSpacing/>
        <w:jc w:val="both"/>
        <w:rPr>
          <w:rFonts w:ascii="Arial" w:eastAsia="Calibri" w:hAnsi="Arial" w:cs="Arial"/>
          <w:sz w:val="22"/>
          <w:szCs w:val="22"/>
        </w:rPr>
      </w:pPr>
      <w:r w:rsidRPr="00D77970">
        <w:rPr>
          <w:rFonts w:ascii="Arial" w:eastAsia="Arial" w:hAnsi="Arial" w:cs="Arial"/>
          <w:sz w:val="22"/>
          <w:szCs w:val="22"/>
          <w:u w:val="single"/>
        </w:rPr>
        <w:t>Pokazatelj uspješnosti i mogući rizici:</w:t>
      </w:r>
    </w:p>
    <w:p w14:paraId="3FEF3009"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Broj posjetitelja u Narodnom muzeju  i njihova reakcija, primjenljivost kod domaćeg stanovništva, medijska pozornost i diseminacija.</w:t>
      </w:r>
    </w:p>
    <w:p w14:paraId="5612A5F4"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Mogući rizici su zastarjeli način prezentacije baštine kao i slaba platežna moć građana te nedovoljna uključenost i zainteresiranost posjetitelja za kulturnu baštinu. Također otvaranje Rudarskog okna u Raši može odvući posjetitelje Narodnog muzeja Labin.</w:t>
      </w:r>
    </w:p>
    <w:p w14:paraId="247575EE" w14:textId="77777777" w:rsidR="00C6561B" w:rsidRPr="00D77970" w:rsidRDefault="00C6561B" w:rsidP="00D77970">
      <w:pPr>
        <w:spacing w:line="259" w:lineRule="auto"/>
        <w:contextualSpacing/>
        <w:jc w:val="both"/>
        <w:rPr>
          <w:rFonts w:ascii="Arial" w:eastAsia="Arial" w:hAnsi="Arial" w:cs="Arial"/>
          <w:sz w:val="22"/>
          <w:szCs w:val="22"/>
        </w:rPr>
      </w:pPr>
    </w:p>
    <w:p w14:paraId="493A01B4" w14:textId="77777777" w:rsidR="00C6561B" w:rsidRPr="00D77970" w:rsidRDefault="00C6561B" w:rsidP="00D77970">
      <w:pPr>
        <w:spacing w:line="259" w:lineRule="auto"/>
        <w:contextualSpacing/>
        <w:jc w:val="both"/>
        <w:rPr>
          <w:rFonts w:ascii="Arial" w:eastAsia="Arial" w:hAnsi="Arial" w:cs="Arial"/>
          <w:sz w:val="22"/>
          <w:szCs w:val="22"/>
        </w:rPr>
      </w:pPr>
      <w:r w:rsidRPr="00D77970">
        <w:rPr>
          <w:rFonts w:ascii="Arial" w:eastAsia="Arial" w:hAnsi="Arial" w:cs="Arial"/>
          <w:sz w:val="22"/>
          <w:szCs w:val="22"/>
        </w:rPr>
        <w:t>Očekivani broj posjetitelja: 8000</w:t>
      </w:r>
    </w:p>
    <w:p w14:paraId="516032DA" w14:textId="77777777" w:rsidR="00C6561B" w:rsidRPr="00D77970" w:rsidRDefault="00C6561B" w:rsidP="00D77970">
      <w:pPr>
        <w:spacing w:line="259" w:lineRule="auto"/>
        <w:contextualSpacing/>
        <w:jc w:val="both"/>
        <w:rPr>
          <w:rFonts w:ascii="Arial" w:eastAsia="Arial" w:hAnsi="Arial" w:cs="Arial"/>
          <w:bCs/>
          <w:color w:val="000000"/>
          <w:sz w:val="22"/>
          <w:szCs w:val="22"/>
        </w:rPr>
      </w:pPr>
    </w:p>
    <w:p w14:paraId="728BB494" w14:textId="77777777" w:rsidR="00C6561B" w:rsidRPr="00D77970" w:rsidRDefault="00C6561B" w:rsidP="00D77970">
      <w:pPr>
        <w:spacing w:line="259" w:lineRule="auto"/>
        <w:contextualSpacing/>
        <w:jc w:val="both"/>
        <w:rPr>
          <w:rFonts w:ascii="Arial" w:eastAsia="Arial" w:hAnsi="Arial" w:cs="Arial"/>
          <w:bCs/>
          <w:color w:val="000000"/>
          <w:sz w:val="22"/>
          <w:szCs w:val="22"/>
        </w:rPr>
      </w:pPr>
      <w:r w:rsidRPr="00D77970">
        <w:rPr>
          <w:rFonts w:ascii="Arial" w:eastAsia="Arial" w:hAnsi="Arial" w:cs="Arial"/>
          <w:b/>
          <w:color w:val="000000"/>
          <w:sz w:val="22"/>
          <w:szCs w:val="22"/>
        </w:rPr>
        <w:t>Za financiranje aktivnosti planirano je</w:t>
      </w:r>
      <w:r w:rsidRPr="00D77970">
        <w:rPr>
          <w:rFonts w:ascii="Arial" w:eastAsia="Arial" w:hAnsi="Arial" w:cs="Arial"/>
          <w:bCs/>
          <w:color w:val="000000"/>
          <w:sz w:val="22"/>
          <w:szCs w:val="22"/>
        </w:rPr>
        <w:t xml:space="preserve">  </w:t>
      </w:r>
      <w:r w:rsidRPr="00D77970">
        <w:rPr>
          <w:rFonts w:ascii="Arial" w:eastAsia="Arial" w:hAnsi="Arial" w:cs="Arial"/>
          <w:b/>
          <w:color w:val="000000"/>
          <w:sz w:val="22"/>
          <w:szCs w:val="22"/>
        </w:rPr>
        <w:t>57.354,00 EUR.</w:t>
      </w:r>
    </w:p>
    <w:p w14:paraId="0FFB3252" w14:textId="77777777" w:rsidR="009769E2" w:rsidRPr="00D77970" w:rsidRDefault="009769E2" w:rsidP="00D77970">
      <w:pPr>
        <w:spacing w:line="259" w:lineRule="auto"/>
        <w:jc w:val="both"/>
        <w:rPr>
          <w:rFonts w:ascii="Arial" w:hAnsi="Arial" w:cs="Arial"/>
          <w:color w:val="000000" w:themeColor="text1"/>
          <w:sz w:val="22"/>
          <w:szCs w:val="22"/>
        </w:rPr>
      </w:pPr>
    </w:p>
    <w:p w14:paraId="7997ADF2" w14:textId="77777777" w:rsidR="009769E2" w:rsidRPr="00D77970" w:rsidRDefault="009769E2" w:rsidP="00D77970">
      <w:pPr>
        <w:spacing w:line="259" w:lineRule="auto"/>
        <w:jc w:val="both"/>
        <w:rPr>
          <w:rFonts w:ascii="Arial" w:hAnsi="Arial" w:cs="Arial"/>
          <w:color w:val="000000" w:themeColor="text1"/>
          <w:sz w:val="22"/>
          <w:szCs w:val="22"/>
        </w:rPr>
      </w:pPr>
    </w:p>
    <w:p w14:paraId="51354133" w14:textId="77777777" w:rsidR="009769E2" w:rsidRPr="00D77970" w:rsidRDefault="009769E2" w:rsidP="00D77970">
      <w:pPr>
        <w:spacing w:line="259" w:lineRule="auto"/>
        <w:jc w:val="both"/>
        <w:rPr>
          <w:rFonts w:ascii="Arial" w:hAnsi="Arial" w:cs="Arial"/>
          <w:color w:val="000000" w:themeColor="text1"/>
          <w:sz w:val="22"/>
          <w:szCs w:val="22"/>
        </w:rPr>
      </w:pPr>
    </w:p>
    <w:p w14:paraId="2BC70EBF" w14:textId="77777777" w:rsidR="00CC0725" w:rsidRPr="00D77970" w:rsidRDefault="00CC0725" w:rsidP="00D77970">
      <w:pPr>
        <w:spacing w:line="259" w:lineRule="auto"/>
        <w:jc w:val="both"/>
        <w:rPr>
          <w:rFonts w:ascii="Arial" w:hAnsi="Arial" w:cs="Arial"/>
          <w:color w:val="000000" w:themeColor="text1"/>
          <w:sz w:val="22"/>
          <w:szCs w:val="22"/>
        </w:rPr>
      </w:pPr>
    </w:p>
    <w:p w14:paraId="6712DD5F" w14:textId="77777777" w:rsidR="00CC0725" w:rsidRPr="00D77970" w:rsidRDefault="00CC0725" w:rsidP="00D77970">
      <w:pPr>
        <w:spacing w:line="259" w:lineRule="auto"/>
        <w:jc w:val="both"/>
        <w:rPr>
          <w:rFonts w:ascii="Arial" w:hAnsi="Arial" w:cs="Arial"/>
          <w:color w:val="000000" w:themeColor="text1"/>
          <w:sz w:val="22"/>
          <w:szCs w:val="22"/>
        </w:rPr>
      </w:pPr>
    </w:p>
    <w:p w14:paraId="390DDBC5" w14:textId="77777777" w:rsidR="00CC0725" w:rsidRPr="00D77970" w:rsidRDefault="00CC0725" w:rsidP="00D77970">
      <w:pPr>
        <w:spacing w:line="259" w:lineRule="auto"/>
        <w:jc w:val="both"/>
        <w:rPr>
          <w:rFonts w:ascii="Arial" w:hAnsi="Arial" w:cs="Arial"/>
          <w:color w:val="000000" w:themeColor="text1"/>
          <w:sz w:val="22"/>
          <w:szCs w:val="22"/>
        </w:rPr>
      </w:pPr>
    </w:p>
    <w:p w14:paraId="2F72BA39" w14:textId="77777777" w:rsidR="00CC0725" w:rsidRDefault="00CC0725" w:rsidP="006132A6">
      <w:pPr>
        <w:rPr>
          <w:color w:val="000000" w:themeColor="text1"/>
        </w:rPr>
      </w:pPr>
    </w:p>
    <w:p w14:paraId="74DBB7B1" w14:textId="77777777" w:rsidR="004E07DB" w:rsidRDefault="004E07DB" w:rsidP="006132A6">
      <w:pPr>
        <w:rPr>
          <w:color w:val="000000" w:themeColor="text1"/>
        </w:rPr>
      </w:pPr>
    </w:p>
    <w:p w14:paraId="55C40632" w14:textId="77777777" w:rsidR="004E07DB" w:rsidRDefault="004E07DB" w:rsidP="006132A6">
      <w:pPr>
        <w:rPr>
          <w:color w:val="000000" w:themeColor="text1"/>
        </w:rPr>
      </w:pPr>
    </w:p>
    <w:p w14:paraId="01AC30F6" w14:textId="77777777" w:rsidR="004E07DB" w:rsidRDefault="004E07DB" w:rsidP="006132A6">
      <w:pPr>
        <w:rPr>
          <w:color w:val="000000" w:themeColor="text1"/>
        </w:rPr>
      </w:pPr>
    </w:p>
    <w:p w14:paraId="1430B2AD" w14:textId="77777777" w:rsidR="004E07DB" w:rsidRDefault="004E07DB" w:rsidP="006132A6">
      <w:pPr>
        <w:rPr>
          <w:color w:val="000000" w:themeColor="text1"/>
        </w:rPr>
      </w:pPr>
    </w:p>
    <w:p w14:paraId="5113D1FA" w14:textId="77777777" w:rsidR="004E07DB" w:rsidRDefault="004E07DB" w:rsidP="006132A6">
      <w:pPr>
        <w:rPr>
          <w:color w:val="000000" w:themeColor="text1"/>
        </w:rPr>
      </w:pPr>
    </w:p>
    <w:p w14:paraId="2E1AC334" w14:textId="77777777" w:rsidR="004E07DB" w:rsidRDefault="004E07DB" w:rsidP="006132A6">
      <w:pPr>
        <w:rPr>
          <w:color w:val="000000" w:themeColor="text1"/>
        </w:rPr>
      </w:pPr>
    </w:p>
    <w:p w14:paraId="73C6D46F" w14:textId="77777777" w:rsidR="004E07DB" w:rsidRDefault="004E07DB" w:rsidP="006132A6">
      <w:pPr>
        <w:rPr>
          <w:color w:val="000000" w:themeColor="text1"/>
        </w:rPr>
      </w:pPr>
    </w:p>
    <w:p w14:paraId="348F2909" w14:textId="77777777" w:rsidR="004E07DB" w:rsidRDefault="004E07DB" w:rsidP="006132A6">
      <w:pPr>
        <w:rPr>
          <w:color w:val="000000" w:themeColor="text1"/>
        </w:rPr>
      </w:pPr>
    </w:p>
    <w:p w14:paraId="15BFEFA2" w14:textId="77777777" w:rsidR="004E07DB" w:rsidRDefault="004E07DB" w:rsidP="006132A6">
      <w:pPr>
        <w:rPr>
          <w:color w:val="000000" w:themeColor="text1"/>
        </w:rPr>
      </w:pPr>
    </w:p>
    <w:p w14:paraId="0F3C84FF" w14:textId="77777777" w:rsidR="004E07DB" w:rsidRDefault="004E07DB" w:rsidP="006132A6">
      <w:pPr>
        <w:rPr>
          <w:color w:val="000000" w:themeColor="text1"/>
        </w:rPr>
      </w:pPr>
    </w:p>
    <w:p w14:paraId="2CD748B5" w14:textId="77777777" w:rsidR="00CC0725" w:rsidRDefault="00CC0725" w:rsidP="006132A6">
      <w:pPr>
        <w:rPr>
          <w:color w:val="000000" w:themeColor="text1"/>
        </w:rPr>
      </w:pPr>
    </w:p>
    <w:p w14:paraId="4569CEE8" w14:textId="77777777" w:rsidR="00CC0725" w:rsidRDefault="00CC0725" w:rsidP="006132A6">
      <w:pPr>
        <w:rPr>
          <w:color w:val="000000" w:themeColor="text1"/>
        </w:rPr>
      </w:pPr>
    </w:p>
    <w:p w14:paraId="10EDC13A" w14:textId="77777777" w:rsidR="009769E2" w:rsidRDefault="009769E2" w:rsidP="006132A6">
      <w:pPr>
        <w:rPr>
          <w:color w:val="000000" w:themeColor="text1"/>
        </w:rPr>
      </w:pPr>
    </w:p>
    <w:p w14:paraId="0F4DCCDD" w14:textId="77777777" w:rsidR="00C526AC" w:rsidRDefault="00C526AC" w:rsidP="006132A6">
      <w:pPr>
        <w:rPr>
          <w:color w:val="000000" w:themeColor="text1"/>
        </w:rPr>
      </w:pPr>
    </w:p>
    <w:p w14:paraId="713B0FDA" w14:textId="77777777" w:rsidR="00C526AC" w:rsidRDefault="00C526AC" w:rsidP="006132A6">
      <w:pPr>
        <w:rPr>
          <w:color w:val="000000" w:themeColor="text1"/>
        </w:rPr>
      </w:pPr>
    </w:p>
    <w:p w14:paraId="7292D74D" w14:textId="77777777" w:rsidR="00C526AC" w:rsidRDefault="00C526AC" w:rsidP="006132A6">
      <w:pPr>
        <w:rPr>
          <w:color w:val="000000" w:themeColor="text1"/>
        </w:rPr>
      </w:pPr>
    </w:p>
    <w:p w14:paraId="5DB38147" w14:textId="77777777" w:rsidR="00C526AC" w:rsidRDefault="00C526AC" w:rsidP="006132A6">
      <w:pPr>
        <w:rPr>
          <w:color w:val="000000" w:themeColor="text1"/>
        </w:rPr>
      </w:pPr>
    </w:p>
    <w:p w14:paraId="49A1C568" w14:textId="77777777" w:rsidR="00C526AC" w:rsidRDefault="00C526AC" w:rsidP="006132A6">
      <w:pPr>
        <w:rPr>
          <w:color w:val="000000" w:themeColor="text1"/>
        </w:rPr>
      </w:pPr>
    </w:p>
    <w:p w14:paraId="67507AF5" w14:textId="77777777" w:rsidR="00C526AC" w:rsidRDefault="00C526AC" w:rsidP="006132A6">
      <w:pPr>
        <w:rPr>
          <w:color w:val="000000" w:themeColor="text1"/>
        </w:rPr>
      </w:pPr>
    </w:p>
    <w:p w14:paraId="6776D721" w14:textId="77777777" w:rsidR="00C526AC" w:rsidRDefault="00C526AC" w:rsidP="006132A6">
      <w:pPr>
        <w:rPr>
          <w:color w:val="000000" w:themeColor="text1"/>
        </w:rPr>
      </w:pPr>
    </w:p>
    <w:p w14:paraId="77F1779F" w14:textId="77777777" w:rsidR="00C526AC" w:rsidRDefault="00C526AC" w:rsidP="006132A6">
      <w:pPr>
        <w:rPr>
          <w:color w:val="000000" w:themeColor="text1"/>
        </w:rPr>
      </w:pPr>
    </w:p>
    <w:p w14:paraId="2A22025F" w14:textId="77777777" w:rsidR="00C526AC" w:rsidRDefault="00C526AC" w:rsidP="006132A6">
      <w:pPr>
        <w:rPr>
          <w:color w:val="000000" w:themeColor="text1"/>
        </w:rPr>
      </w:pPr>
    </w:p>
    <w:p w14:paraId="25CD909B" w14:textId="77777777" w:rsidR="00C526AC" w:rsidRDefault="00C526AC" w:rsidP="006132A6">
      <w:pPr>
        <w:rPr>
          <w:color w:val="000000" w:themeColor="text1"/>
        </w:rPr>
      </w:pPr>
    </w:p>
    <w:p w14:paraId="2EE550A4" w14:textId="77777777" w:rsidR="00C526AC" w:rsidRDefault="00C526AC" w:rsidP="006132A6">
      <w:pPr>
        <w:rPr>
          <w:color w:val="000000" w:themeColor="text1"/>
        </w:rPr>
      </w:pPr>
    </w:p>
    <w:p w14:paraId="70309D4C" w14:textId="77777777" w:rsidR="009769E2" w:rsidRDefault="009769E2" w:rsidP="006132A6">
      <w:pPr>
        <w:rPr>
          <w:color w:val="000000" w:themeColor="text1"/>
        </w:rPr>
      </w:pPr>
    </w:p>
    <w:p w14:paraId="537CCC30" w14:textId="77777777" w:rsidR="002A689D" w:rsidRDefault="002A689D" w:rsidP="006132A6">
      <w:pPr>
        <w:rPr>
          <w:color w:val="000000" w:themeColor="text1"/>
        </w:rPr>
      </w:pPr>
    </w:p>
    <w:p w14:paraId="72807BCA" w14:textId="77777777" w:rsidR="00CC0725" w:rsidRDefault="00CC0725" w:rsidP="00CC0725">
      <w:pPr>
        <w:jc w:val="center"/>
        <w:rPr>
          <w:rFonts w:ascii="Arial" w:hAnsi="Arial" w:cs="Arial"/>
          <w:b/>
          <w:bCs/>
          <w:color w:val="000000"/>
        </w:rPr>
      </w:pPr>
      <w:r w:rsidRPr="00AF321D">
        <w:rPr>
          <w:rFonts w:ascii="Arial" w:hAnsi="Arial" w:cs="Arial"/>
          <w:b/>
          <w:bCs/>
          <w:color w:val="000000"/>
        </w:rPr>
        <w:lastRenderedPageBreak/>
        <w:t>PRORAČUNSKI KORISNIK</w:t>
      </w:r>
      <w:r>
        <w:rPr>
          <w:rFonts w:ascii="Arial" w:hAnsi="Arial" w:cs="Arial"/>
          <w:b/>
          <w:bCs/>
          <w:color w:val="000000"/>
        </w:rPr>
        <w:t xml:space="preserve"> 42266</w:t>
      </w:r>
      <w:r w:rsidRPr="00AF321D">
        <w:rPr>
          <w:rFonts w:ascii="Arial" w:hAnsi="Arial" w:cs="Arial"/>
          <w:b/>
          <w:bCs/>
          <w:color w:val="000000"/>
        </w:rPr>
        <w:t xml:space="preserve">: </w:t>
      </w:r>
      <w:r>
        <w:rPr>
          <w:rFonts w:ascii="Arial" w:hAnsi="Arial" w:cs="Arial"/>
          <w:b/>
          <w:bCs/>
          <w:color w:val="000000"/>
        </w:rPr>
        <w:t>GRADSKA KNJIŽNICA LABIN</w:t>
      </w:r>
    </w:p>
    <w:p w14:paraId="373E33BD" w14:textId="77777777" w:rsidR="005F7F98" w:rsidRDefault="005F7F98" w:rsidP="005F7F98">
      <w:pPr>
        <w:contextualSpacing/>
        <w:rPr>
          <w:rFonts w:ascii="Arial" w:hAnsi="Arial" w:cs="Arial"/>
        </w:rPr>
      </w:pPr>
    </w:p>
    <w:p w14:paraId="1D595D1A" w14:textId="6D589050" w:rsidR="00C6561B" w:rsidRPr="00C526AC" w:rsidRDefault="00C6561B" w:rsidP="00FD4828">
      <w:pPr>
        <w:rPr>
          <w:rFonts w:ascii="Arial" w:hAnsi="Arial" w:cs="Arial"/>
          <w:b/>
          <w:bCs/>
          <w:sz w:val="22"/>
          <w:szCs w:val="22"/>
        </w:rPr>
      </w:pPr>
      <w:r w:rsidRPr="00C526AC">
        <w:rPr>
          <w:rFonts w:ascii="Arial" w:hAnsi="Arial" w:cs="Arial"/>
          <w:b/>
          <w:bCs/>
          <w:sz w:val="22"/>
          <w:szCs w:val="22"/>
        </w:rPr>
        <w:t>OBRAZLOŽENJE PRIJEDLOGA I. IZMJENA I DOPUNA FINANCIJSKOG PLANA</w:t>
      </w:r>
    </w:p>
    <w:p w14:paraId="08557C26" w14:textId="77777777" w:rsidR="00C6561B" w:rsidRPr="00C526AC" w:rsidRDefault="00C6561B" w:rsidP="00FD4828">
      <w:pPr>
        <w:rPr>
          <w:rFonts w:ascii="Arial" w:hAnsi="Arial" w:cs="Arial"/>
          <w:b/>
          <w:bCs/>
          <w:sz w:val="22"/>
          <w:szCs w:val="22"/>
        </w:rPr>
      </w:pPr>
      <w:r w:rsidRPr="00C526AC">
        <w:rPr>
          <w:rFonts w:ascii="Arial" w:hAnsi="Arial" w:cs="Arial"/>
          <w:b/>
          <w:bCs/>
          <w:sz w:val="22"/>
          <w:szCs w:val="22"/>
        </w:rPr>
        <w:t>GRADSKE KNJIŽNICE LABIN ZA 2025. GODINU</w:t>
      </w:r>
    </w:p>
    <w:p w14:paraId="7C322C2D" w14:textId="77777777" w:rsidR="00C6561B" w:rsidRPr="00C526AC" w:rsidRDefault="00C6561B" w:rsidP="00C6561B">
      <w:pPr>
        <w:suppressAutoHyphens/>
        <w:jc w:val="both"/>
        <w:rPr>
          <w:rFonts w:ascii="Arial" w:hAnsi="Arial" w:cs="Arial"/>
          <w:sz w:val="22"/>
          <w:szCs w:val="22"/>
        </w:rPr>
      </w:pPr>
    </w:p>
    <w:p w14:paraId="2BD5A785" w14:textId="77777777" w:rsidR="00C6561B" w:rsidRPr="00FD4828" w:rsidRDefault="00C6561B" w:rsidP="00FD4828">
      <w:pPr>
        <w:spacing w:line="259" w:lineRule="auto"/>
        <w:jc w:val="both"/>
        <w:rPr>
          <w:rFonts w:ascii="Arial" w:hAnsi="Arial" w:cs="Arial"/>
          <w:sz w:val="22"/>
          <w:szCs w:val="22"/>
        </w:rPr>
      </w:pPr>
      <w:r w:rsidRPr="00FD4828">
        <w:rPr>
          <w:rFonts w:ascii="Arial" w:hAnsi="Arial" w:cs="Arial"/>
          <w:sz w:val="22"/>
          <w:szCs w:val="22"/>
        </w:rPr>
        <w:t>Sukladno promjenama okolnosti poslovanja i uputama dobivenima od Upravnog odjela za financije Grada Labina, Gradska knjižnica Labin izradila je Prijedlog I. izmjena i dopuna Financijskog plana za 2025. godinu.</w:t>
      </w:r>
    </w:p>
    <w:p w14:paraId="3E8865D2" w14:textId="77777777" w:rsidR="00C6561B" w:rsidRPr="00FD4828" w:rsidRDefault="00C6561B" w:rsidP="00FD4828">
      <w:pPr>
        <w:spacing w:line="259" w:lineRule="auto"/>
        <w:jc w:val="both"/>
        <w:rPr>
          <w:rFonts w:ascii="Arial" w:hAnsi="Arial" w:cs="Arial"/>
          <w:sz w:val="22"/>
          <w:szCs w:val="22"/>
        </w:rPr>
      </w:pPr>
      <w:r w:rsidRPr="00FD4828">
        <w:rPr>
          <w:rFonts w:ascii="Arial" w:hAnsi="Arial" w:cs="Arial"/>
          <w:sz w:val="22"/>
          <w:szCs w:val="22"/>
        </w:rPr>
        <w:t>Prijedlog I. Izmjena i dopuna Financijskog plana za 2025. godinu utvrđen je u visini od 271.226,00 eura te ukupno povećanje planiranog iznosa sredstava za 2025. godinu iznosi 22.991,00 eura (9,26 %).</w:t>
      </w:r>
    </w:p>
    <w:p w14:paraId="11B6EE3A" w14:textId="77777777" w:rsidR="00C6561B" w:rsidRPr="00FD4828" w:rsidRDefault="00C6561B" w:rsidP="00FD4828">
      <w:pPr>
        <w:spacing w:line="259" w:lineRule="auto"/>
        <w:jc w:val="both"/>
        <w:rPr>
          <w:rFonts w:ascii="Arial" w:hAnsi="Arial" w:cs="Arial"/>
          <w:b/>
          <w:sz w:val="22"/>
          <w:szCs w:val="22"/>
        </w:rPr>
      </w:pPr>
    </w:p>
    <w:p w14:paraId="51422D1C" w14:textId="77777777" w:rsidR="00FD4828" w:rsidRPr="00FD4828" w:rsidRDefault="00FD4828" w:rsidP="00FD4828">
      <w:pPr>
        <w:spacing w:line="259" w:lineRule="auto"/>
        <w:jc w:val="both"/>
        <w:rPr>
          <w:rFonts w:ascii="Arial" w:hAnsi="Arial" w:cs="Arial"/>
          <w:b/>
          <w:sz w:val="22"/>
          <w:szCs w:val="22"/>
        </w:rPr>
      </w:pPr>
    </w:p>
    <w:p w14:paraId="31DDDEBE" w14:textId="77777777" w:rsidR="00C6561B" w:rsidRPr="00FD4828" w:rsidRDefault="00C6561B" w:rsidP="00FD4828">
      <w:pPr>
        <w:spacing w:line="259" w:lineRule="auto"/>
        <w:jc w:val="both"/>
        <w:rPr>
          <w:rFonts w:ascii="Arial" w:hAnsi="Arial" w:cs="Arial"/>
          <w:b/>
          <w:sz w:val="22"/>
          <w:szCs w:val="22"/>
        </w:rPr>
      </w:pPr>
      <w:r w:rsidRPr="00FD4828">
        <w:rPr>
          <w:rFonts w:ascii="Arial" w:hAnsi="Arial" w:cs="Arial"/>
          <w:b/>
          <w:sz w:val="22"/>
          <w:szCs w:val="22"/>
        </w:rPr>
        <w:t xml:space="preserve">OBRAZLOŽENJE OPĆEG DIJELA </w:t>
      </w:r>
    </w:p>
    <w:p w14:paraId="35A1D9D4" w14:textId="77777777" w:rsidR="00FD4828" w:rsidRPr="00FD4828" w:rsidRDefault="00FD4828" w:rsidP="00FD4828">
      <w:pPr>
        <w:spacing w:line="259" w:lineRule="auto"/>
        <w:jc w:val="both"/>
        <w:rPr>
          <w:rFonts w:ascii="Arial" w:hAnsi="Arial" w:cs="Arial"/>
          <w:b/>
          <w:sz w:val="22"/>
          <w:szCs w:val="22"/>
        </w:rPr>
      </w:pPr>
    </w:p>
    <w:p w14:paraId="27B6F74A" w14:textId="77777777" w:rsidR="00C6561B" w:rsidRPr="00FD4828" w:rsidRDefault="00C6561B">
      <w:pPr>
        <w:pStyle w:val="Odlomakpopisa"/>
        <w:numPr>
          <w:ilvl w:val="0"/>
          <w:numId w:val="31"/>
        </w:numPr>
        <w:suppressAutoHyphens/>
        <w:spacing w:after="0" w:line="259" w:lineRule="auto"/>
        <w:jc w:val="both"/>
        <w:rPr>
          <w:rFonts w:ascii="Arial" w:hAnsi="Arial" w:cs="Arial"/>
          <w:b/>
          <w:szCs w:val="22"/>
          <w:u w:val="single"/>
        </w:rPr>
      </w:pPr>
      <w:r w:rsidRPr="00FD4828">
        <w:rPr>
          <w:rFonts w:ascii="Arial" w:hAnsi="Arial" w:cs="Arial"/>
          <w:b/>
          <w:szCs w:val="22"/>
          <w:u w:val="single"/>
        </w:rPr>
        <w:t>PREMA EKONOMSKOJ KLASIFIKACIJI</w:t>
      </w:r>
    </w:p>
    <w:p w14:paraId="3139AAAD" w14:textId="77777777" w:rsidR="00C6561B" w:rsidRPr="00FD4828" w:rsidRDefault="00C6561B" w:rsidP="00FD4828">
      <w:pPr>
        <w:pStyle w:val="Odlomakpopisa"/>
        <w:spacing w:after="0" w:line="259" w:lineRule="auto"/>
        <w:jc w:val="both"/>
        <w:rPr>
          <w:rFonts w:ascii="Arial" w:hAnsi="Arial" w:cs="Arial"/>
          <w:b/>
          <w:szCs w:val="22"/>
        </w:rPr>
      </w:pPr>
    </w:p>
    <w:p w14:paraId="0C556BB1" w14:textId="77777777" w:rsidR="00C6561B" w:rsidRPr="00FD4828" w:rsidRDefault="00C6561B" w:rsidP="00FD4828">
      <w:pPr>
        <w:spacing w:line="259" w:lineRule="auto"/>
        <w:jc w:val="both"/>
        <w:rPr>
          <w:rFonts w:ascii="Arial" w:hAnsi="Arial" w:cs="Arial"/>
          <w:sz w:val="22"/>
          <w:szCs w:val="22"/>
          <w:u w:val="single"/>
        </w:rPr>
      </w:pPr>
      <w:r w:rsidRPr="00FD4828">
        <w:rPr>
          <w:rFonts w:ascii="Arial" w:hAnsi="Arial" w:cs="Arial"/>
          <w:sz w:val="22"/>
          <w:szCs w:val="22"/>
          <w:u w:val="single"/>
        </w:rPr>
        <w:t>Obrazloženje prihoda i primitaka</w:t>
      </w:r>
    </w:p>
    <w:p w14:paraId="44112BA9" w14:textId="77777777" w:rsidR="00C6561B" w:rsidRPr="00FD4828" w:rsidRDefault="00C6561B" w:rsidP="00FD4828">
      <w:pPr>
        <w:spacing w:line="259" w:lineRule="auto"/>
        <w:jc w:val="both"/>
        <w:rPr>
          <w:rFonts w:ascii="Arial" w:hAnsi="Arial" w:cs="Arial"/>
          <w:sz w:val="22"/>
          <w:szCs w:val="22"/>
        </w:rPr>
      </w:pPr>
      <w:r w:rsidRPr="00FD4828">
        <w:rPr>
          <w:rFonts w:ascii="Arial" w:hAnsi="Arial" w:cs="Arial"/>
          <w:sz w:val="22"/>
          <w:szCs w:val="22"/>
        </w:rPr>
        <w:t>Prihodi i primci poslovanja planirani su u iznosu od 271.226,00 eura što je za 9,26% više u odnosu na usvojen Financijski plan za 2025. godinu.</w:t>
      </w:r>
    </w:p>
    <w:p w14:paraId="18E8F833" w14:textId="77777777" w:rsidR="00FD4828" w:rsidRPr="00FD4828" w:rsidRDefault="00FD4828" w:rsidP="00FD4828">
      <w:pPr>
        <w:spacing w:line="259" w:lineRule="auto"/>
        <w:jc w:val="both"/>
        <w:rPr>
          <w:rFonts w:ascii="Arial" w:hAnsi="Arial" w:cs="Arial"/>
          <w:sz w:val="22"/>
          <w:szCs w:val="22"/>
        </w:rPr>
      </w:pPr>
    </w:p>
    <w:p w14:paraId="61C4BB5F" w14:textId="77777777" w:rsidR="00C6561B" w:rsidRPr="00FD4828" w:rsidRDefault="00C6561B" w:rsidP="00FD4828">
      <w:pPr>
        <w:spacing w:line="259" w:lineRule="auto"/>
        <w:jc w:val="both"/>
        <w:rPr>
          <w:rFonts w:ascii="Arial" w:hAnsi="Arial" w:cs="Arial"/>
          <w:sz w:val="22"/>
          <w:szCs w:val="22"/>
        </w:rPr>
      </w:pPr>
      <w:r w:rsidRPr="00FD4828">
        <w:rPr>
          <w:rFonts w:ascii="Arial" w:hAnsi="Arial" w:cs="Arial"/>
          <w:b/>
          <w:sz w:val="22"/>
          <w:szCs w:val="22"/>
        </w:rPr>
        <w:t>Prihodi iz nadležnog proračuna (67)</w:t>
      </w:r>
      <w:r w:rsidRPr="00FD4828">
        <w:rPr>
          <w:rFonts w:ascii="Arial" w:hAnsi="Arial" w:cs="Arial"/>
          <w:sz w:val="22"/>
          <w:szCs w:val="22"/>
        </w:rPr>
        <w:t xml:space="preserve"> planirani su u iznosu od 208.374,00 eura, te se bilježi povećanje za iznos od 9.719,00 eura, odnosno, za 4,89%, a odnose se na prihode iz nadležnog proračuna za financiranje redovne djelatnosti. Povećanje se odnosi na naplatu prihoda za plaćene obveze, čime će se pokriti manjak prihoda poslovanja iz 2024. godine, te na financiranje plaća i ostalih rashoda za pet djelatnika. Planirano je zapošljavanje jednog stručnog djelatnika knjižničara na upražnjeno radno mjesto.</w:t>
      </w:r>
    </w:p>
    <w:p w14:paraId="0FE7C0FB" w14:textId="77777777" w:rsidR="00FD4828" w:rsidRPr="00FD4828" w:rsidRDefault="00FD4828" w:rsidP="00FD4828">
      <w:pPr>
        <w:spacing w:line="259" w:lineRule="auto"/>
        <w:jc w:val="both"/>
        <w:rPr>
          <w:rFonts w:ascii="Arial" w:hAnsi="Arial" w:cs="Arial"/>
          <w:sz w:val="22"/>
          <w:szCs w:val="22"/>
        </w:rPr>
      </w:pPr>
    </w:p>
    <w:p w14:paraId="53552891" w14:textId="77777777" w:rsidR="00C6561B" w:rsidRPr="00FD4828" w:rsidRDefault="00C6561B" w:rsidP="00FD4828">
      <w:pPr>
        <w:spacing w:line="259" w:lineRule="auto"/>
        <w:jc w:val="both"/>
        <w:rPr>
          <w:rFonts w:ascii="Arial" w:hAnsi="Arial" w:cs="Arial"/>
          <w:sz w:val="22"/>
          <w:szCs w:val="22"/>
        </w:rPr>
      </w:pPr>
      <w:r w:rsidRPr="00FD4828">
        <w:rPr>
          <w:rFonts w:ascii="Arial" w:hAnsi="Arial" w:cs="Arial"/>
          <w:b/>
          <w:sz w:val="22"/>
          <w:szCs w:val="22"/>
        </w:rPr>
        <w:t>Prihodi iz inozemstva i od subjekta unutar općeg proračuna (63)</w:t>
      </w:r>
      <w:r w:rsidRPr="00FD4828">
        <w:rPr>
          <w:rFonts w:ascii="Arial" w:hAnsi="Arial" w:cs="Arial"/>
          <w:sz w:val="22"/>
          <w:szCs w:val="22"/>
        </w:rPr>
        <w:t xml:space="preserve"> planirani su u iznosu od 29.200,00 eura što je za 2,34% manje u odnosu na Financijski plan za 2025. godinu, a odnose se na </w:t>
      </w:r>
      <w:bookmarkStart w:id="55" w:name="_Hlk168051994"/>
      <w:r w:rsidRPr="00FD4828">
        <w:rPr>
          <w:rFonts w:ascii="Arial" w:hAnsi="Arial" w:cs="Arial"/>
          <w:sz w:val="22"/>
          <w:szCs w:val="22"/>
        </w:rPr>
        <w:t>financiranje programa knjižnične djelatnosti odobrenih putem Javnog poziva Ministarstva kulture i medija Republike Hrvatske, kao i za financiranje nabave knjižnične građe.</w:t>
      </w:r>
      <w:bookmarkEnd w:id="55"/>
      <w:r w:rsidRPr="00FD4828">
        <w:rPr>
          <w:rFonts w:ascii="Arial" w:hAnsi="Arial" w:cs="Arial"/>
          <w:sz w:val="22"/>
          <w:szCs w:val="22"/>
        </w:rPr>
        <w:t xml:space="preserve"> Sukladno rezultatima Poziva, izvršene su potrebne korekcije. Prihodi se dijelom odnose i na financiranje </w:t>
      </w:r>
      <w:bookmarkStart w:id="56" w:name="_Hlk168312359"/>
      <w:r w:rsidRPr="00FD4828">
        <w:rPr>
          <w:rFonts w:ascii="Arial" w:hAnsi="Arial" w:cs="Arial"/>
          <w:sz w:val="22"/>
          <w:szCs w:val="22"/>
        </w:rPr>
        <w:t>Inicijative za besplatno učlanjenje djece do 15 godina starosti u Knjižnicu</w:t>
      </w:r>
      <w:bookmarkEnd w:id="56"/>
      <w:r w:rsidRPr="00FD4828">
        <w:rPr>
          <w:rFonts w:ascii="Arial" w:hAnsi="Arial" w:cs="Arial"/>
          <w:sz w:val="22"/>
          <w:szCs w:val="22"/>
        </w:rPr>
        <w:t xml:space="preserve">, a koju su dosad podržale općine Raša, Sveta </w:t>
      </w:r>
      <w:proofErr w:type="spellStart"/>
      <w:r w:rsidRPr="00FD4828">
        <w:rPr>
          <w:rFonts w:ascii="Arial" w:hAnsi="Arial" w:cs="Arial"/>
          <w:sz w:val="22"/>
          <w:szCs w:val="22"/>
        </w:rPr>
        <w:t>Nedelja</w:t>
      </w:r>
      <w:proofErr w:type="spellEnd"/>
      <w:r w:rsidRPr="00FD4828">
        <w:rPr>
          <w:rFonts w:ascii="Arial" w:hAnsi="Arial" w:cs="Arial"/>
          <w:sz w:val="22"/>
          <w:szCs w:val="22"/>
        </w:rPr>
        <w:t xml:space="preserve"> i </w:t>
      </w:r>
      <w:proofErr w:type="spellStart"/>
      <w:r w:rsidRPr="00FD4828">
        <w:rPr>
          <w:rFonts w:ascii="Arial" w:hAnsi="Arial" w:cs="Arial"/>
          <w:sz w:val="22"/>
          <w:szCs w:val="22"/>
        </w:rPr>
        <w:t>Pićan</w:t>
      </w:r>
      <w:proofErr w:type="spellEnd"/>
      <w:r w:rsidRPr="00FD4828">
        <w:rPr>
          <w:rFonts w:ascii="Arial" w:hAnsi="Arial" w:cs="Arial"/>
          <w:sz w:val="22"/>
          <w:szCs w:val="22"/>
        </w:rPr>
        <w:t xml:space="preserve"> te u tu svrhu osigurale financijska sredstva u ukupnom iznosu od 1.400,00 eura.</w:t>
      </w:r>
    </w:p>
    <w:p w14:paraId="4D27D0DB" w14:textId="77777777" w:rsidR="00FD4828" w:rsidRPr="00FD4828" w:rsidRDefault="00FD4828" w:rsidP="00FD4828">
      <w:pPr>
        <w:spacing w:line="259" w:lineRule="auto"/>
        <w:jc w:val="both"/>
        <w:rPr>
          <w:rFonts w:ascii="Arial" w:hAnsi="Arial" w:cs="Arial"/>
          <w:sz w:val="22"/>
          <w:szCs w:val="22"/>
        </w:rPr>
      </w:pPr>
    </w:p>
    <w:p w14:paraId="05022297" w14:textId="77777777" w:rsidR="00C6561B" w:rsidRPr="00FD4828" w:rsidRDefault="00C6561B" w:rsidP="00FD4828">
      <w:pPr>
        <w:spacing w:line="259" w:lineRule="auto"/>
        <w:jc w:val="both"/>
        <w:rPr>
          <w:rFonts w:ascii="Arial" w:hAnsi="Arial" w:cs="Arial"/>
          <w:color w:val="000000" w:themeColor="text1"/>
          <w:sz w:val="22"/>
          <w:szCs w:val="22"/>
        </w:rPr>
      </w:pPr>
      <w:r w:rsidRPr="00FD4828">
        <w:rPr>
          <w:rFonts w:ascii="Arial" w:hAnsi="Arial" w:cs="Arial"/>
          <w:b/>
          <w:bCs/>
          <w:color w:val="000000" w:themeColor="text1"/>
          <w:sz w:val="22"/>
          <w:szCs w:val="22"/>
        </w:rPr>
        <w:t xml:space="preserve">Prihodi od upravnih i administrativnih pristojbi, pristojbi po posebnim propisima (65) povećani </w:t>
      </w:r>
      <w:r w:rsidRPr="00FD4828">
        <w:rPr>
          <w:rFonts w:ascii="Arial" w:hAnsi="Arial" w:cs="Arial"/>
          <w:color w:val="000000" w:themeColor="text1"/>
          <w:sz w:val="22"/>
          <w:szCs w:val="22"/>
        </w:rPr>
        <w:t>su u iznosu od 1.000,00 eura i odnose se na sufinanciranje cijene usluga i participacije.</w:t>
      </w:r>
    </w:p>
    <w:p w14:paraId="6A634FAC" w14:textId="77777777" w:rsidR="00FD4828" w:rsidRPr="00FD4828" w:rsidRDefault="00FD4828" w:rsidP="00FD4828">
      <w:pPr>
        <w:spacing w:line="259" w:lineRule="auto"/>
        <w:jc w:val="both"/>
        <w:rPr>
          <w:rFonts w:ascii="Arial" w:hAnsi="Arial" w:cs="Arial"/>
          <w:color w:val="000000" w:themeColor="text1"/>
          <w:sz w:val="22"/>
          <w:szCs w:val="22"/>
        </w:rPr>
      </w:pPr>
    </w:p>
    <w:p w14:paraId="3DF59B26" w14:textId="77777777" w:rsidR="00C6561B" w:rsidRPr="00FD4828" w:rsidRDefault="00C6561B" w:rsidP="00FD4828">
      <w:pPr>
        <w:spacing w:line="259" w:lineRule="auto"/>
        <w:jc w:val="both"/>
        <w:rPr>
          <w:rFonts w:ascii="Arial" w:hAnsi="Arial" w:cs="Arial"/>
          <w:sz w:val="22"/>
          <w:szCs w:val="22"/>
        </w:rPr>
      </w:pPr>
      <w:r w:rsidRPr="00FD4828">
        <w:rPr>
          <w:rFonts w:ascii="Arial" w:hAnsi="Arial" w:cs="Arial"/>
          <w:b/>
          <w:sz w:val="22"/>
          <w:szCs w:val="22"/>
        </w:rPr>
        <w:t xml:space="preserve">Rezultat poslovanja – višak prihoda (92) </w:t>
      </w:r>
      <w:r w:rsidRPr="00FD4828">
        <w:rPr>
          <w:rFonts w:ascii="Arial" w:hAnsi="Arial" w:cs="Arial"/>
          <w:sz w:val="22"/>
          <w:szCs w:val="22"/>
        </w:rPr>
        <w:t>iz 2024. godine iznosi 3.603,44 eura.</w:t>
      </w:r>
    </w:p>
    <w:p w14:paraId="124DE5A9" w14:textId="77777777" w:rsidR="00C6561B" w:rsidRPr="00FD4828" w:rsidRDefault="00C6561B" w:rsidP="00FD4828">
      <w:pPr>
        <w:spacing w:line="259" w:lineRule="auto"/>
        <w:jc w:val="both"/>
        <w:rPr>
          <w:rFonts w:ascii="Arial" w:hAnsi="Arial" w:cs="Arial"/>
          <w:sz w:val="22"/>
          <w:szCs w:val="22"/>
          <w:u w:val="single"/>
        </w:rPr>
      </w:pPr>
    </w:p>
    <w:p w14:paraId="51704A9A" w14:textId="77777777" w:rsidR="00C6561B" w:rsidRPr="00FD4828" w:rsidRDefault="00C6561B" w:rsidP="00FD4828">
      <w:pPr>
        <w:spacing w:line="259" w:lineRule="auto"/>
        <w:jc w:val="both"/>
        <w:rPr>
          <w:rFonts w:ascii="Arial" w:hAnsi="Arial" w:cs="Arial"/>
          <w:sz w:val="22"/>
          <w:szCs w:val="22"/>
        </w:rPr>
      </w:pPr>
      <w:r w:rsidRPr="00FD4828">
        <w:rPr>
          <w:rFonts w:ascii="Arial" w:hAnsi="Arial" w:cs="Arial"/>
          <w:sz w:val="22"/>
          <w:szCs w:val="22"/>
          <w:u w:val="single"/>
        </w:rPr>
        <w:t>Obrazloženje rashoda i izdataka</w:t>
      </w:r>
    </w:p>
    <w:p w14:paraId="5BEAD75A" w14:textId="77777777" w:rsidR="00C6561B" w:rsidRPr="00FD4828" w:rsidRDefault="00C6561B" w:rsidP="00FD4828">
      <w:pPr>
        <w:spacing w:line="259" w:lineRule="auto"/>
        <w:jc w:val="both"/>
        <w:rPr>
          <w:rFonts w:ascii="Arial" w:hAnsi="Arial" w:cs="Arial"/>
          <w:sz w:val="22"/>
          <w:szCs w:val="22"/>
        </w:rPr>
      </w:pPr>
      <w:r w:rsidRPr="00FD4828">
        <w:rPr>
          <w:rFonts w:ascii="Arial" w:hAnsi="Arial" w:cs="Arial"/>
          <w:sz w:val="22"/>
          <w:szCs w:val="22"/>
        </w:rPr>
        <w:t>Rashodi i izdaci poslovanja planirani su u iznosu od 271.226,00 eura što je za 9,26% više u odnosu na Financijski plan za 2025. godinu.</w:t>
      </w:r>
    </w:p>
    <w:p w14:paraId="5B5476A1" w14:textId="77777777" w:rsidR="00C6561B" w:rsidRPr="00FD4828" w:rsidRDefault="00C6561B" w:rsidP="00FD4828">
      <w:pPr>
        <w:spacing w:line="259" w:lineRule="auto"/>
        <w:jc w:val="both"/>
        <w:rPr>
          <w:rFonts w:ascii="Arial" w:hAnsi="Arial" w:cs="Arial"/>
          <w:sz w:val="22"/>
          <w:szCs w:val="22"/>
        </w:rPr>
      </w:pPr>
      <w:r w:rsidRPr="00FD4828">
        <w:rPr>
          <w:rFonts w:ascii="Arial" w:hAnsi="Arial" w:cs="Arial"/>
          <w:b/>
          <w:sz w:val="22"/>
          <w:szCs w:val="22"/>
        </w:rPr>
        <w:t xml:space="preserve">Rashodi za zaposlene (31) - </w:t>
      </w:r>
      <w:r w:rsidRPr="00FD4828">
        <w:rPr>
          <w:rFonts w:ascii="Arial" w:hAnsi="Arial" w:cs="Arial"/>
          <w:sz w:val="22"/>
          <w:szCs w:val="22"/>
        </w:rPr>
        <w:t>planirani su u iznosu od 140.775,00 eura što je za 0,50% više od plana za 2025. godinu. Rashodi su povećani radi planiranja zapošljavanja jednog stručnog djelatnika knjižničara na upražnjeno radno mjesto.</w:t>
      </w:r>
    </w:p>
    <w:p w14:paraId="5257DDA5" w14:textId="77777777" w:rsidR="00C6561B" w:rsidRPr="00FD4828" w:rsidRDefault="00C6561B" w:rsidP="00FD4828">
      <w:pPr>
        <w:spacing w:line="259" w:lineRule="auto"/>
        <w:jc w:val="both"/>
        <w:rPr>
          <w:rFonts w:ascii="Arial" w:hAnsi="Arial" w:cs="Arial"/>
          <w:sz w:val="22"/>
          <w:szCs w:val="22"/>
        </w:rPr>
      </w:pPr>
      <w:r w:rsidRPr="00FD4828">
        <w:rPr>
          <w:rFonts w:ascii="Arial" w:hAnsi="Arial" w:cs="Arial"/>
          <w:b/>
          <w:sz w:val="22"/>
          <w:szCs w:val="22"/>
        </w:rPr>
        <w:t xml:space="preserve">Materijalni rashodi (32) - </w:t>
      </w:r>
      <w:r w:rsidRPr="00FD4828">
        <w:rPr>
          <w:rFonts w:ascii="Arial" w:hAnsi="Arial" w:cs="Arial"/>
          <w:sz w:val="22"/>
          <w:szCs w:val="22"/>
        </w:rPr>
        <w:t xml:space="preserve">planirani su u iznosu od 80.261,00 eura što je za 10,16 % više od plana za 2024. godinu. Planira se povećanje službenih putovanja, stručna usavršavanja </w:t>
      </w:r>
      <w:r w:rsidRPr="00FD4828">
        <w:rPr>
          <w:rFonts w:ascii="Arial" w:hAnsi="Arial" w:cs="Arial"/>
          <w:sz w:val="22"/>
          <w:szCs w:val="22"/>
        </w:rPr>
        <w:lastRenderedPageBreak/>
        <w:t>zaposlenika, materijala i dijelova za tekuće i investicijsko održavanje, sitnog inventara, zdravstvenih usluga, intelektualnih usluga, računalnih usluga, reprezentacije i ostalih nespomenutih rashoda poslovanja.</w:t>
      </w:r>
    </w:p>
    <w:p w14:paraId="0FDEF702" w14:textId="77777777" w:rsidR="00C6561B" w:rsidRPr="00FD4828" w:rsidRDefault="00C6561B" w:rsidP="00FD4828">
      <w:pPr>
        <w:spacing w:line="259" w:lineRule="auto"/>
        <w:jc w:val="both"/>
        <w:rPr>
          <w:rFonts w:ascii="Arial" w:hAnsi="Arial" w:cs="Arial"/>
          <w:sz w:val="22"/>
          <w:szCs w:val="22"/>
        </w:rPr>
      </w:pPr>
      <w:r w:rsidRPr="00FD4828">
        <w:rPr>
          <w:rFonts w:ascii="Arial" w:hAnsi="Arial" w:cs="Arial"/>
          <w:b/>
          <w:sz w:val="22"/>
          <w:szCs w:val="22"/>
        </w:rPr>
        <w:t xml:space="preserve">Financijski rashodi (34) </w:t>
      </w:r>
      <w:r w:rsidRPr="00FD4828">
        <w:rPr>
          <w:rFonts w:ascii="Arial" w:hAnsi="Arial" w:cs="Arial"/>
          <w:sz w:val="22"/>
          <w:szCs w:val="22"/>
        </w:rPr>
        <w:t>– planirani su u iznosu od 70,00 eura.</w:t>
      </w:r>
    </w:p>
    <w:p w14:paraId="77B6C910" w14:textId="77777777" w:rsidR="00C6561B" w:rsidRPr="00FD4828" w:rsidRDefault="00C6561B" w:rsidP="00FD4828">
      <w:pPr>
        <w:widowControl w:val="0"/>
        <w:suppressAutoHyphens/>
        <w:autoSpaceDE w:val="0"/>
        <w:autoSpaceDN w:val="0"/>
        <w:spacing w:line="259" w:lineRule="auto"/>
        <w:jc w:val="both"/>
        <w:rPr>
          <w:rFonts w:ascii="Arial" w:eastAsia="SimSun" w:hAnsi="Arial" w:cs="Arial"/>
          <w:kern w:val="3"/>
          <w:sz w:val="22"/>
          <w:szCs w:val="22"/>
          <w:lang w:eastAsia="zh-CN" w:bidi="hi-IN"/>
        </w:rPr>
      </w:pPr>
      <w:r w:rsidRPr="00FD4828">
        <w:rPr>
          <w:rFonts w:ascii="Arial" w:hAnsi="Arial" w:cs="Arial"/>
          <w:b/>
          <w:sz w:val="22"/>
          <w:szCs w:val="22"/>
        </w:rPr>
        <w:t xml:space="preserve">Rashodi za nabavu proizvedene dugotrajne imovine (42) </w:t>
      </w:r>
      <w:r w:rsidRPr="00FD4828">
        <w:rPr>
          <w:rFonts w:ascii="Arial" w:hAnsi="Arial" w:cs="Arial"/>
          <w:sz w:val="22"/>
          <w:szCs w:val="22"/>
        </w:rPr>
        <w:t xml:space="preserve">– planirana su u iznosu od 41.101,00 eura što je za 16,66% posto više u odnosu na plan za 2025. godinu. U planu je </w:t>
      </w:r>
      <w:r w:rsidRPr="00FD4828">
        <w:rPr>
          <w:rFonts w:ascii="Arial" w:eastAsia="SimSun" w:hAnsi="Arial" w:cs="Arial"/>
          <w:kern w:val="3"/>
          <w:sz w:val="22"/>
          <w:szCs w:val="22"/>
          <w:lang w:eastAsia="zh-CN" w:bidi="hi-IN"/>
        </w:rPr>
        <w:t>revitalizacija tehnološki zastarjelog sustava videonadzora Knjižnice, što onemogućava optimalno korištenje istog.</w:t>
      </w:r>
    </w:p>
    <w:p w14:paraId="3A4C53A3" w14:textId="77777777" w:rsidR="00C6561B" w:rsidRPr="00FD4828" w:rsidRDefault="00C6561B" w:rsidP="00FD4828">
      <w:pPr>
        <w:spacing w:line="259" w:lineRule="auto"/>
        <w:jc w:val="both"/>
        <w:rPr>
          <w:rFonts w:ascii="Arial" w:eastAsiaTheme="minorHAnsi" w:hAnsi="Arial" w:cs="Arial"/>
          <w:kern w:val="2"/>
          <w:sz w:val="22"/>
          <w:szCs w:val="22"/>
          <w:lang w:eastAsia="en-US"/>
          <w14:ligatures w14:val="standardContextual"/>
        </w:rPr>
      </w:pPr>
      <w:r w:rsidRPr="00FD4828">
        <w:rPr>
          <w:rFonts w:ascii="Arial" w:hAnsi="Arial" w:cs="Arial"/>
          <w:b/>
          <w:sz w:val="22"/>
          <w:szCs w:val="22"/>
        </w:rPr>
        <w:t>Rezultat poslovanja - manjak prihoda</w:t>
      </w:r>
      <w:r w:rsidRPr="00FD4828">
        <w:rPr>
          <w:rFonts w:ascii="Arial" w:hAnsi="Arial" w:cs="Arial"/>
          <w:sz w:val="22"/>
          <w:szCs w:val="22"/>
        </w:rPr>
        <w:t xml:space="preserve"> ostvaren u 2024. godini iznosi 9.019,00 eura, a odnosi se na plaću i na neplaćene račune do 31.12. 2024. iz nadležnog proračuna.</w:t>
      </w:r>
    </w:p>
    <w:p w14:paraId="1D31728D" w14:textId="77777777" w:rsidR="00C6561B" w:rsidRPr="00FD4828" w:rsidRDefault="00C6561B" w:rsidP="00FD4828">
      <w:pPr>
        <w:spacing w:line="259" w:lineRule="auto"/>
        <w:jc w:val="both"/>
        <w:rPr>
          <w:rFonts w:ascii="Arial" w:hAnsi="Arial" w:cs="Arial"/>
          <w:sz w:val="22"/>
          <w:szCs w:val="22"/>
        </w:rPr>
      </w:pPr>
    </w:p>
    <w:p w14:paraId="0D045900" w14:textId="77777777" w:rsidR="00C6561B" w:rsidRPr="00FD4828" w:rsidRDefault="00C6561B">
      <w:pPr>
        <w:pStyle w:val="Odlomakpopisa"/>
        <w:numPr>
          <w:ilvl w:val="0"/>
          <w:numId w:val="31"/>
        </w:numPr>
        <w:suppressAutoHyphens/>
        <w:spacing w:after="0" w:line="259" w:lineRule="auto"/>
        <w:jc w:val="both"/>
        <w:rPr>
          <w:rFonts w:ascii="Arial" w:hAnsi="Arial" w:cs="Arial"/>
          <w:b/>
          <w:szCs w:val="22"/>
          <w:u w:val="single"/>
        </w:rPr>
      </w:pPr>
      <w:r w:rsidRPr="00FD4828">
        <w:rPr>
          <w:rFonts w:ascii="Arial" w:hAnsi="Arial" w:cs="Arial"/>
          <w:b/>
          <w:szCs w:val="22"/>
          <w:u w:val="single"/>
        </w:rPr>
        <w:t>PREMA IZVORIMA FINANCIRANJA</w:t>
      </w:r>
    </w:p>
    <w:p w14:paraId="7AD71D4D" w14:textId="77777777" w:rsidR="00C6561B" w:rsidRPr="00FD4828" w:rsidRDefault="00C6561B" w:rsidP="00FD4828">
      <w:pPr>
        <w:pStyle w:val="Odlomakpopisa"/>
        <w:spacing w:after="0" w:line="259" w:lineRule="auto"/>
        <w:jc w:val="both"/>
        <w:rPr>
          <w:rFonts w:ascii="Arial" w:hAnsi="Arial" w:cs="Arial"/>
          <w:b/>
          <w:color w:val="FF0000"/>
          <w:szCs w:val="22"/>
        </w:rPr>
      </w:pPr>
    </w:p>
    <w:p w14:paraId="298C1E0B" w14:textId="6554E214" w:rsidR="00C6561B" w:rsidRPr="00FD4828" w:rsidRDefault="00C6561B" w:rsidP="00FD4828">
      <w:pPr>
        <w:spacing w:line="259" w:lineRule="auto"/>
        <w:jc w:val="both"/>
        <w:rPr>
          <w:rFonts w:ascii="Arial" w:hAnsi="Arial" w:cs="Arial"/>
          <w:sz w:val="22"/>
          <w:szCs w:val="22"/>
        </w:rPr>
      </w:pPr>
      <w:r w:rsidRPr="00FD4828">
        <w:rPr>
          <w:rFonts w:ascii="Arial" w:hAnsi="Arial" w:cs="Arial"/>
          <w:sz w:val="22"/>
          <w:szCs w:val="22"/>
        </w:rPr>
        <w:t>Povećanje ukupnog iznosa planiranih sredstava za 2025. godinu nastalo je zbog povećanja vlastitih prihoda u iznosu od 5.734,00 eura (191,13%), prihoda za posebne namjene u iznosu od 7.261,00 eura (46,40%), općih prihoda i primitaka u iznosu od 9.719,00 eura (4,89%), prihoda od nefinancijske imovine u iznosu od 338,00 eura (112,67%) te smanjenja pomoći u iznosu od 61,00 eura (-0,20%) prema sljedećim izvorima financiranja:</w:t>
      </w:r>
    </w:p>
    <w:p w14:paraId="7F694444" w14:textId="77777777" w:rsidR="00C6561B" w:rsidRPr="00FD4828" w:rsidRDefault="00C6561B">
      <w:pPr>
        <w:pStyle w:val="Odlomakpopisa"/>
        <w:numPr>
          <w:ilvl w:val="0"/>
          <w:numId w:val="32"/>
        </w:numPr>
        <w:suppressAutoHyphens/>
        <w:spacing w:after="0" w:line="259" w:lineRule="auto"/>
        <w:ind w:left="360"/>
        <w:jc w:val="both"/>
        <w:rPr>
          <w:rFonts w:ascii="Arial" w:hAnsi="Arial" w:cs="Arial"/>
          <w:szCs w:val="22"/>
        </w:rPr>
      </w:pPr>
      <w:r w:rsidRPr="00FD4828">
        <w:rPr>
          <w:rFonts w:ascii="Arial" w:hAnsi="Arial" w:cs="Arial"/>
          <w:b/>
          <w:bCs/>
          <w:szCs w:val="22"/>
        </w:rPr>
        <w:t xml:space="preserve">Izvor 1.1.001 </w:t>
      </w:r>
      <w:r w:rsidRPr="00FD4828">
        <w:rPr>
          <w:rFonts w:ascii="Arial" w:hAnsi="Arial" w:cs="Arial"/>
          <w:szCs w:val="22"/>
        </w:rPr>
        <w:t>– iz općih prihoda i primitaka predlaže se uvećanje u iznosu od 9.719,00 eura (4,89%).</w:t>
      </w:r>
    </w:p>
    <w:p w14:paraId="046CCE5B" w14:textId="77777777" w:rsidR="00C6561B" w:rsidRPr="00FD4828" w:rsidRDefault="00C6561B" w:rsidP="00FD4828">
      <w:pPr>
        <w:pStyle w:val="Odlomakpopisa"/>
        <w:spacing w:after="0" w:line="259" w:lineRule="auto"/>
        <w:ind w:left="360"/>
        <w:jc w:val="both"/>
        <w:rPr>
          <w:rFonts w:ascii="Arial" w:hAnsi="Arial" w:cs="Arial"/>
          <w:szCs w:val="22"/>
        </w:rPr>
      </w:pPr>
      <w:bookmarkStart w:id="57" w:name="_Hlk135039873"/>
      <w:r w:rsidRPr="00FD4828">
        <w:rPr>
          <w:rFonts w:ascii="Arial" w:hAnsi="Arial" w:cs="Arial"/>
          <w:szCs w:val="22"/>
        </w:rPr>
        <w:t xml:space="preserve">Povećanje se odnosi na naplatu prihoda za plaćene obveze, čime će se pokriti manjak prihoda poslovanja na kontu 922210 na izvoru 1.1.001.te na uvećanje prihoda za rashode za zaposlene </w:t>
      </w:r>
      <w:bookmarkEnd w:id="57"/>
      <w:r w:rsidRPr="00FD4828">
        <w:rPr>
          <w:rFonts w:ascii="Arial" w:hAnsi="Arial" w:cs="Arial"/>
          <w:szCs w:val="22"/>
        </w:rPr>
        <w:t>zbog planiranja zapošljavanja jednog stručnog djelatnika knjižničara na upražnjeno radno mjesto.</w:t>
      </w:r>
    </w:p>
    <w:p w14:paraId="5CA6CDAE" w14:textId="77777777" w:rsidR="00C6561B" w:rsidRPr="00FD4828" w:rsidRDefault="00C6561B">
      <w:pPr>
        <w:pStyle w:val="Odlomakpopisa"/>
        <w:numPr>
          <w:ilvl w:val="0"/>
          <w:numId w:val="32"/>
        </w:numPr>
        <w:suppressAutoHyphens/>
        <w:spacing w:after="0" w:line="259" w:lineRule="auto"/>
        <w:ind w:left="360"/>
        <w:jc w:val="both"/>
        <w:rPr>
          <w:rFonts w:ascii="Arial" w:hAnsi="Arial" w:cs="Arial"/>
          <w:b/>
          <w:bCs/>
          <w:szCs w:val="22"/>
        </w:rPr>
      </w:pPr>
      <w:r w:rsidRPr="00FD4828">
        <w:rPr>
          <w:rFonts w:ascii="Arial" w:hAnsi="Arial" w:cs="Arial"/>
          <w:b/>
          <w:bCs/>
          <w:szCs w:val="22"/>
        </w:rPr>
        <w:t xml:space="preserve">Izvor 3.9.000001 </w:t>
      </w:r>
      <w:r w:rsidRPr="00FD4828">
        <w:rPr>
          <w:rFonts w:ascii="Arial" w:hAnsi="Arial" w:cs="Arial"/>
          <w:szCs w:val="22"/>
        </w:rPr>
        <w:t xml:space="preserve">– povećanje u iznosu od 3.000,00 eura odnosi se na povećanje prihoda za najam polivalentne dvorane te povećanje u iznosu od 2.734,00 eura (70,60%) </w:t>
      </w:r>
      <w:bookmarkStart w:id="58" w:name="_Hlk134790938"/>
      <w:r w:rsidRPr="00FD4828">
        <w:rPr>
          <w:rFonts w:ascii="Arial" w:hAnsi="Arial" w:cs="Arial"/>
          <w:szCs w:val="22"/>
        </w:rPr>
        <w:t>odnosi se na višak vlastitih sredstva koji je  prema Odluci o raspodjeli rezultata za 2024.g. raspoređen na razne programe Knjižnice, za nabavu opreme za potrebe polivalentne dvorane, te za potrebe redovne knjižnične djelatnosti.</w:t>
      </w:r>
    </w:p>
    <w:bookmarkEnd w:id="58"/>
    <w:p w14:paraId="19CFEE72" w14:textId="77777777" w:rsidR="00C6561B" w:rsidRPr="00FD4828" w:rsidRDefault="00C6561B">
      <w:pPr>
        <w:pStyle w:val="Odlomakpopisa"/>
        <w:numPr>
          <w:ilvl w:val="0"/>
          <w:numId w:val="32"/>
        </w:numPr>
        <w:suppressAutoHyphens/>
        <w:spacing w:after="0" w:line="259" w:lineRule="auto"/>
        <w:ind w:left="360"/>
        <w:jc w:val="both"/>
        <w:rPr>
          <w:rFonts w:ascii="Arial" w:hAnsi="Arial" w:cs="Arial"/>
          <w:szCs w:val="22"/>
        </w:rPr>
      </w:pPr>
      <w:r w:rsidRPr="00FD4828">
        <w:rPr>
          <w:rFonts w:ascii="Arial" w:hAnsi="Arial" w:cs="Arial"/>
          <w:b/>
          <w:bCs/>
          <w:szCs w:val="22"/>
        </w:rPr>
        <w:t xml:space="preserve">Izvor 4.9.000001 </w:t>
      </w:r>
      <w:r w:rsidRPr="00FD4828">
        <w:rPr>
          <w:rFonts w:ascii="Arial" w:hAnsi="Arial" w:cs="Arial"/>
          <w:szCs w:val="22"/>
        </w:rPr>
        <w:t>–</w:t>
      </w:r>
      <w:r w:rsidRPr="00FD4828">
        <w:rPr>
          <w:rFonts w:ascii="Arial" w:hAnsi="Arial" w:cs="Arial"/>
          <w:b/>
          <w:bCs/>
          <w:szCs w:val="22"/>
        </w:rPr>
        <w:t xml:space="preserve"> </w:t>
      </w:r>
      <w:r w:rsidRPr="00FD4828">
        <w:rPr>
          <w:rFonts w:ascii="Arial" w:hAnsi="Arial" w:cs="Arial"/>
          <w:szCs w:val="22"/>
        </w:rPr>
        <w:t xml:space="preserve">povećanje u iznosu od 1.000,00 eura (7,69%) </w:t>
      </w:r>
      <w:bookmarkStart w:id="59" w:name="_Hlk134792702"/>
      <w:r w:rsidRPr="00FD4828">
        <w:rPr>
          <w:rFonts w:ascii="Arial" w:hAnsi="Arial" w:cs="Arial"/>
          <w:szCs w:val="22"/>
        </w:rPr>
        <w:t xml:space="preserve">odnosi se na  povećanje prihoda od naplaćenih članarina i ostalih administrativnih pristojbi te na višak namjenskih sredstva u iznosu od 8.911,00 eura koji je prema Odluci o raspodjeli rezultata za 2024.g. </w:t>
      </w:r>
      <w:bookmarkEnd w:id="59"/>
      <w:r w:rsidRPr="00FD4828">
        <w:rPr>
          <w:rFonts w:ascii="Arial" w:hAnsi="Arial" w:cs="Arial"/>
          <w:szCs w:val="22"/>
        </w:rPr>
        <w:t>raspoređen na razne redovne programe i kulturne manifestacije Knjižnice, te za podmirenje planiranih troškova u okviru redovne knjižnične djelatnosti.</w:t>
      </w:r>
    </w:p>
    <w:p w14:paraId="3A607A39" w14:textId="77777777" w:rsidR="00C6561B" w:rsidRPr="00FD4828" w:rsidRDefault="00C6561B">
      <w:pPr>
        <w:pStyle w:val="Odlomakpopisa"/>
        <w:numPr>
          <w:ilvl w:val="0"/>
          <w:numId w:val="32"/>
        </w:numPr>
        <w:suppressAutoHyphens/>
        <w:spacing w:after="0" w:line="259" w:lineRule="auto"/>
        <w:ind w:left="360"/>
        <w:jc w:val="both"/>
        <w:rPr>
          <w:rFonts w:ascii="Arial" w:hAnsi="Arial" w:cs="Arial"/>
          <w:b/>
          <w:bCs/>
          <w:szCs w:val="22"/>
        </w:rPr>
      </w:pPr>
      <w:r w:rsidRPr="00FD4828">
        <w:rPr>
          <w:rFonts w:ascii="Arial" w:hAnsi="Arial" w:cs="Arial"/>
          <w:b/>
          <w:bCs/>
          <w:szCs w:val="22"/>
        </w:rPr>
        <w:t>Izvor 5.9.000001</w:t>
      </w:r>
      <w:r w:rsidRPr="00FD4828">
        <w:rPr>
          <w:rFonts w:ascii="Arial" w:hAnsi="Arial" w:cs="Arial"/>
          <w:szCs w:val="22"/>
        </w:rPr>
        <w:t xml:space="preserve"> - smanjenje u iznosu od 700,00 eura (-2,34%) odnosi se na financiranje programa knjižnične djelatnosti odobrenih putem Javnog poziva Ministarstva kulture i medija Republike Hrvatske, odnosno na financiranje redovne nabave knjižnične građe te akcije i manifestacije u knjižnici. </w:t>
      </w:r>
    </w:p>
    <w:p w14:paraId="3537A308" w14:textId="77777777" w:rsidR="00C6561B" w:rsidRPr="00FD4828" w:rsidRDefault="00C6561B">
      <w:pPr>
        <w:pStyle w:val="Odlomakpopisa"/>
        <w:numPr>
          <w:ilvl w:val="0"/>
          <w:numId w:val="32"/>
        </w:numPr>
        <w:suppressAutoHyphens/>
        <w:spacing w:after="0" w:line="259" w:lineRule="auto"/>
        <w:ind w:left="360"/>
        <w:jc w:val="both"/>
        <w:rPr>
          <w:rFonts w:ascii="Arial" w:hAnsi="Arial" w:cs="Arial"/>
          <w:b/>
          <w:bCs/>
          <w:szCs w:val="22"/>
        </w:rPr>
      </w:pPr>
      <w:r w:rsidRPr="00FD4828">
        <w:rPr>
          <w:rFonts w:ascii="Arial" w:hAnsi="Arial" w:cs="Arial"/>
          <w:b/>
          <w:bCs/>
          <w:szCs w:val="22"/>
        </w:rPr>
        <w:t xml:space="preserve">Izvor 7.9.000002 </w:t>
      </w:r>
      <w:r w:rsidRPr="00FD4828">
        <w:rPr>
          <w:rFonts w:ascii="Arial" w:hAnsi="Arial" w:cs="Arial"/>
          <w:szCs w:val="22"/>
        </w:rPr>
        <w:t xml:space="preserve">– povećanje u iznosu od 338,00 eura (12,67%) </w:t>
      </w:r>
      <w:bookmarkStart w:id="60" w:name="_Hlk203040478"/>
      <w:r w:rsidRPr="00FD4828">
        <w:rPr>
          <w:rFonts w:ascii="Arial" w:hAnsi="Arial" w:cs="Arial"/>
          <w:szCs w:val="22"/>
        </w:rPr>
        <w:t xml:space="preserve">odnosi se na višak prihoda od nefinancijske imovine </w:t>
      </w:r>
      <w:bookmarkStart w:id="61" w:name="_Hlk135044994"/>
      <w:r w:rsidRPr="00FD4828">
        <w:rPr>
          <w:rFonts w:ascii="Arial" w:hAnsi="Arial" w:cs="Arial"/>
          <w:szCs w:val="22"/>
        </w:rPr>
        <w:t xml:space="preserve">koji je </w:t>
      </w:r>
      <w:bookmarkStart w:id="62" w:name="_Hlk203040382"/>
      <w:bookmarkEnd w:id="60"/>
      <w:r w:rsidRPr="00FD4828">
        <w:rPr>
          <w:rFonts w:ascii="Arial" w:hAnsi="Arial" w:cs="Arial"/>
          <w:szCs w:val="22"/>
        </w:rPr>
        <w:t xml:space="preserve">prema Odluci o raspodjeli rezultata za 2024.g. raspoređen za </w:t>
      </w:r>
      <w:bookmarkEnd w:id="61"/>
      <w:r w:rsidRPr="00FD4828">
        <w:rPr>
          <w:rFonts w:ascii="Arial" w:hAnsi="Arial" w:cs="Arial"/>
          <w:szCs w:val="22"/>
        </w:rPr>
        <w:t>nabavu knjižnične građe.</w:t>
      </w:r>
      <w:bookmarkEnd w:id="62"/>
    </w:p>
    <w:p w14:paraId="32763A75" w14:textId="77777777" w:rsidR="00C6561B" w:rsidRPr="00FD4828" w:rsidRDefault="00C6561B" w:rsidP="00FD4828">
      <w:pPr>
        <w:pStyle w:val="Odlomakpopisa"/>
        <w:spacing w:after="0" w:line="259" w:lineRule="auto"/>
        <w:ind w:left="294"/>
        <w:rPr>
          <w:rFonts w:ascii="Arial" w:hAnsi="Arial" w:cs="Arial"/>
          <w:b/>
          <w:bCs/>
          <w:szCs w:val="22"/>
        </w:rPr>
      </w:pPr>
    </w:p>
    <w:p w14:paraId="7CAD5817" w14:textId="05C10855" w:rsidR="00C6561B" w:rsidRPr="00FD4828" w:rsidRDefault="00C6561B" w:rsidP="00FD4828">
      <w:pPr>
        <w:pStyle w:val="Opisslike"/>
        <w:keepNext/>
        <w:spacing w:before="0" w:after="0" w:line="259" w:lineRule="auto"/>
        <w:rPr>
          <w:rFonts w:ascii="Arial" w:hAnsi="Arial"/>
          <w:b/>
          <w:bCs/>
          <w:sz w:val="22"/>
          <w:szCs w:val="22"/>
        </w:rPr>
      </w:pPr>
      <w:r w:rsidRPr="00FD4828">
        <w:rPr>
          <w:rFonts w:ascii="Arial" w:hAnsi="Arial"/>
          <w:sz w:val="22"/>
          <w:szCs w:val="22"/>
        </w:rPr>
        <w:t xml:space="preserve">Tablica </w:t>
      </w:r>
      <w:r w:rsidRPr="00FD4828">
        <w:rPr>
          <w:rFonts w:ascii="Arial" w:hAnsi="Arial"/>
          <w:sz w:val="22"/>
          <w:szCs w:val="22"/>
        </w:rPr>
        <w:fldChar w:fldCharType="begin"/>
      </w:r>
      <w:r w:rsidRPr="00FD4828">
        <w:rPr>
          <w:rFonts w:ascii="Arial" w:hAnsi="Arial"/>
          <w:sz w:val="22"/>
          <w:szCs w:val="22"/>
        </w:rPr>
        <w:instrText xml:space="preserve"> SEQ Tablica \* ARABIC </w:instrText>
      </w:r>
      <w:r w:rsidRPr="00FD4828">
        <w:rPr>
          <w:rFonts w:ascii="Arial" w:hAnsi="Arial"/>
          <w:sz w:val="22"/>
          <w:szCs w:val="22"/>
        </w:rPr>
        <w:fldChar w:fldCharType="separate"/>
      </w:r>
      <w:r w:rsidR="001145A7">
        <w:rPr>
          <w:rFonts w:ascii="Arial" w:hAnsi="Arial"/>
          <w:noProof/>
          <w:sz w:val="22"/>
          <w:szCs w:val="22"/>
        </w:rPr>
        <w:t>1</w:t>
      </w:r>
      <w:r w:rsidRPr="00FD4828">
        <w:rPr>
          <w:rFonts w:ascii="Arial" w:hAnsi="Arial"/>
          <w:sz w:val="22"/>
          <w:szCs w:val="22"/>
        </w:rPr>
        <w:fldChar w:fldCharType="end"/>
      </w:r>
      <w:r w:rsidRPr="00FD4828">
        <w:rPr>
          <w:rFonts w:ascii="Arial" w:hAnsi="Arial"/>
          <w:sz w:val="22"/>
          <w:szCs w:val="22"/>
        </w:rPr>
        <w:t xml:space="preserve">.  </w:t>
      </w:r>
      <w:r w:rsidRPr="00FD4828">
        <w:rPr>
          <w:rFonts w:ascii="Arial" w:hAnsi="Arial"/>
          <w:b/>
          <w:bCs/>
          <w:sz w:val="22"/>
          <w:szCs w:val="22"/>
        </w:rPr>
        <w:t>Rekapitulacija prema izvorima financiranja – 2025. godina</w:t>
      </w:r>
    </w:p>
    <w:p w14:paraId="21197666" w14:textId="77777777" w:rsidR="00C6561B" w:rsidRPr="00FD4828" w:rsidRDefault="00C6561B" w:rsidP="00FD4828">
      <w:pPr>
        <w:pStyle w:val="Opisslike"/>
        <w:keepNext/>
        <w:spacing w:before="0" w:after="0" w:line="259" w:lineRule="auto"/>
        <w:rPr>
          <w:rFonts w:ascii="Arial" w:hAnsi="Arial"/>
          <w:b/>
          <w:bCs/>
          <w:sz w:val="22"/>
          <w:szCs w:val="22"/>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721"/>
        <w:gridCol w:w="1550"/>
        <w:gridCol w:w="1721"/>
        <w:gridCol w:w="1415"/>
      </w:tblGrid>
      <w:tr w:rsidR="00C6561B" w:rsidRPr="00FD4828" w14:paraId="0BA8E591" w14:textId="77777777" w:rsidTr="00FD4828">
        <w:trPr>
          <w:trHeight w:val="391"/>
          <w:jc w:val="center"/>
        </w:trPr>
        <w:tc>
          <w:tcPr>
            <w:tcW w:w="2797" w:type="dxa"/>
            <w:tcBorders>
              <w:top w:val="single" w:sz="4" w:space="0" w:color="auto"/>
              <w:left w:val="single" w:sz="4" w:space="0" w:color="auto"/>
              <w:bottom w:val="single" w:sz="4" w:space="0" w:color="auto"/>
              <w:right w:val="single" w:sz="4" w:space="0" w:color="auto"/>
            </w:tcBorders>
            <w:vAlign w:val="center"/>
            <w:hideMark/>
          </w:tcPr>
          <w:p w14:paraId="68DFED43" w14:textId="77777777" w:rsidR="00C6561B" w:rsidRPr="00FD4828" w:rsidRDefault="00C6561B">
            <w:pPr>
              <w:spacing w:line="254" w:lineRule="auto"/>
              <w:ind w:firstLineChars="100" w:firstLine="200"/>
              <w:jc w:val="center"/>
              <w:rPr>
                <w:rFonts w:ascii="Arial" w:hAnsi="Arial" w:cs="Arial"/>
                <w:color w:val="000000"/>
                <w:sz w:val="20"/>
                <w:szCs w:val="20"/>
              </w:rPr>
            </w:pPr>
            <w:r w:rsidRPr="00FD4828">
              <w:rPr>
                <w:rFonts w:ascii="Arial" w:hAnsi="Arial" w:cs="Arial"/>
                <w:color w:val="000000"/>
                <w:sz w:val="20"/>
                <w:szCs w:val="20"/>
              </w:rPr>
              <w:t>Izvori financiranja</w:t>
            </w:r>
          </w:p>
        </w:tc>
        <w:tc>
          <w:tcPr>
            <w:tcW w:w="1721" w:type="dxa"/>
            <w:tcBorders>
              <w:top w:val="single" w:sz="4" w:space="0" w:color="auto"/>
              <w:left w:val="single" w:sz="4" w:space="0" w:color="auto"/>
              <w:bottom w:val="single" w:sz="4" w:space="0" w:color="auto"/>
              <w:right w:val="single" w:sz="4" w:space="0" w:color="auto"/>
            </w:tcBorders>
            <w:vAlign w:val="center"/>
            <w:hideMark/>
          </w:tcPr>
          <w:p w14:paraId="719E04BE" w14:textId="77777777" w:rsidR="00C6561B" w:rsidRPr="00FD4828" w:rsidRDefault="00C6561B">
            <w:pPr>
              <w:spacing w:line="254" w:lineRule="auto"/>
              <w:ind w:firstLineChars="100" w:firstLine="200"/>
              <w:jc w:val="center"/>
              <w:rPr>
                <w:rFonts w:ascii="Arial" w:hAnsi="Arial" w:cs="Arial"/>
                <w:color w:val="000000"/>
                <w:sz w:val="20"/>
                <w:szCs w:val="20"/>
                <w:lang w:eastAsia="zh-CN"/>
              </w:rPr>
            </w:pPr>
            <w:r w:rsidRPr="00FD4828">
              <w:rPr>
                <w:rFonts w:ascii="Arial" w:hAnsi="Arial" w:cs="Arial"/>
                <w:color w:val="000000"/>
                <w:sz w:val="20"/>
                <w:szCs w:val="20"/>
              </w:rPr>
              <w:t xml:space="preserve">Plan </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628F252" w14:textId="77777777" w:rsidR="00C6561B" w:rsidRPr="00FD4828" w:rsidRDefault="00C6561B">
            <w:pPr>
              <w:spacing w:line="254" w:lineRule="auto"/>
              <w:ind w:firstLineChars="100" w:firstLine="200"/>
              <w:jc w:val="center"/>
              <w:rPr>
                <w:rFonts w:ascii="Arial" w:hAnsi="Arial" w:cs="Arial"/>
                <w:color w:val="000000"/>
                <w:sz w:val="20"/>
                <w:szCs w:val="20"/>
                <w:lang w:eastAsia="en-US"/>
              </w:rPr>
            </w:pPr>
            <w:r w:rsidRPr="00FD4828">
              <w:rPr>
                <w:rFonts w:ascii="Arial" w:hAnsi="Arial" w:cs="Arial"/>
                <w:color w:val="000000"/>
                <w:sz w:val="20"/>
                <w:szCs w:val="20"/>
              </w:rPr>
              <w:t>Razlika</w:t>
            </w:r>
          </w:p>
        </w:tc>
        <w:tc>
          <w:tcPr>
            <w:tcW w:w="1721" w:type="dxa"/>
            <w:tcBorders>
              <w:top w:val="single" w:sz="4" w:space="0" w:color="auto"/>
              <w:left w:val="single" w:sz="4" w:space="0" w:color="auto"/>
              <w:bottom w:val="single" w:sz="4" w:space="0" w:color="auto"/>
              <w:right w:val="single" w:sz="4" w:space="0" w:color="auto"/>
            </w:tcBorders>
            <w:vAlign w:val="center"/>
            <w:hideMark/>
          </w:tcPr>
          <w:p w14:paraId="7BE51305" w14:textId="77777777" w:rsidR="00C6561B" w:rsidRPr="00FD4828" w:rsidRDefault="00C6561B">
            <w:pPr>
              <w:spacing w:line="254" w:lineRule="auto"/>
              <w:ind w:firstLineChars="100" w:firstLine="200"/>
              <w:jc w:val="center"/>
              <w:rPr>
                <w:rFonts w:ascii="Arial" w:hAnsi="Arial" w:cs="Arial"/>
                <w:color w:val="000000"/>
                <w:sz w:val="20"/>
                <w:szCs w:val="20"/>
              </w:rPr>
            </w:pPr>
            <w:r w:rsidRPr="00FD4828">
              <w:rPr>
                <w:rFonts w:ascii="Arial" w:hAnsi="Arial" w:cs="Arial"/>
                <w:color w:val="000000"/>
                <w:sz w:val="20"/>
                <w:szCs w:val="20"/>
              </w:rPr>
              <w:t xml:space="preserve">Novi plan </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E17A1DA" w14:textId="77777777" w:rsidR="00C6561B" w:rsidRPr="00FD4828" w:rsidRDefault="00C6561B">
            <w:pPr>
              <w:spacing w:line="254" w:lineRule="auto"/>
              <w:ind w:firstLineChars="100" w:firstLine="200"/>
              <w:jc w:val="center"/>
              <w:rPr>
                <w:rFonts w:ascii="Arial" w:hAnsi="Arial" w:cs="Arial"/>
                <w:color w:val="000000"/>
                <w:sz w:val="20"/>
                <w:szCs w:val="20"/>
              </w:rPr>
            </w:pPr>
            <w:r w:rsidRPr="00FD4828">
              <w:rPr>
                <w:rFonts w:ascii="Arial" w:hAnsi="Arial" w:cs="Arial"/>
                <w:color w:val="000000"/>
                <w:sz w:val="20"/>
                <w:szCs w:val="20"/>
              </w:rPr>
              <w:t xml:space="preserve">Indeks </w:t>
            </w:r>
          </w:p>
        </w:tc>
      </w:tr>
      <w:tr w:rsidR="00C6561B" w:rsidRPr="00FD4828" w14:paraId="28DB5095" w14:textId="77777777" w:rsidTr="00C6561B">
        <w:trPr>
          <w:trHeight w:val="255"/>
          <w:jc w:val="center"/>
        </w:trPr>
        <w:tc>
          <w:tcPr>
            <w:tcW w:w="27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97B9615" w14:textId="77777777" w:rsidR="00C6561B" w:rsidRPr="00FD4828" w:rsidRDefault="00C6561B">
            <w:pPr>
              <w:spacing w:line="254" w:lineRule="auto"/>
              <w:rPr>
                <w:rFonts w:ascii="Arial" w:hAnsi="Arial" w:cs="Arial"/>
                <w:color w:val="000000"/>
                <w:sz w:val="20"/>
                <w:szCs w:val="20"/>
              </w:rPr>
            </w:pPr>
            <w:r w:rsidRPr="00FD4828">
              <w:rPr>
                <w:rFonts w:ascii="Arial" w:hAnsi="Arial" w:cs="Arial"/>
                <w:color w:val="000000"/>
                <w:sz w:val="20"/>
                <w:szCs w:val="20"/>
              </w:rPr>
              <w:t>1.1.001 OPĆI PRIHODI I PRIMICI</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5399C7D" w14:textId="77777777" w:rsidR="00C6561B" w:rsidRPr="00FD4828" w:rsidRDefault="00C6561B" w:rsidP="00FD4828">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198.655,00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E3540B9" w14:textId="77777777" w:rsidR="00C6561B" w:rsidRPr="00FD4828" w:rsidRDefault="00C6561B" w:rsidP="00FD4828">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9.719,00</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C00E6D3" w14:textId="77777777" w:rsidR="00C6561B" w:rsidRPr="00FD4828" w:rsidRDefault="00C6561B" w:rsidP="00FD4828">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208.374,00</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9A422E3" w14:textId="77777777" w:rsidR="00C6561B" w:rsidRPr="00FD4828" w:rsidRDefault="00C6561B" w:rsidP="00FD4828">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104,89</w:t>
            </w:r>
          </w:p>
        </w:tc>
      </w:tr>
      <w:tr w:rsidR="00C6561B" w:rsidRPr="00FD4828" w14:paraId="263FA616" w14:textId="77777777" w:rsidTr="00C6561B">
        <w:trPr>
          <w:trHeight w:val="255"/>
          <w:jc w:val="center"/>
        </w:trPr>
        <w:tc>
          <w:tcPr>
            <w:tcW w:w="27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0AF302F" w14:textId="77777777" w:rsidR="00C6561B" w:rsidRPr="00FD4828" w:rsidRDefault="00C6561B">
            <w:pPr>
              <w:spacing w:line="254" w:lineRule="auto"/>
              <w:rPr>
                <w:rFonts w:ascii="Arial" w:hAnsi="Arial" w:cs="Arial"/>
                <w:color w:val="000000"/>
                <w:sz w:val="20"/>
                <w:szCs w:val="20"/>
              </w:rPr>
            </w:pPr>
            <w:r w:rsidRPr="00FD4828">
              <w:rPr>
                <w:rFonts w:ascii="Arial" w:hAnsi="Arial" w:cs="Arial"/>
                <w:color w:val="000000"/>
                <w:sz w:val="20"/>
                <w:szCs w:val="20"/>
              </w:rPr>
              <w:t>3.9.000001 VLASTITI PRIHODI</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BD83C8F" w14:textId="77777777" w:rsidR="00C6561B" w:rsidRPr="00FD4828" w:rsidRDefault="00C6561B" w:rsidP="00FD4828">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3.000,00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19830B7" w14:textId="77777777" w:rsidR="00C6561B" w:rsidRPr="00FD4828" w:rsidRDefault="00C6561B" w:rsidP="00FD4828">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5.734,00</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691979A" w14:textId="77777777" w:rsidR="00C6561B" w:rsidRPr="00FD4828" w:rsidRDefault="00C6561B" w:rsidP="00FD4828">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8,734,00</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A71AE7B" w14:textId="77777777" w:rsidR="00C6561B" w:rsidRPr="00FD4828" w:rsidRDefault="00C6561B" w:rsidP="00FD4828">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291,13</w:t>
            </w:r>
          </w:p>
        </w:tc>
      </w:tr>
      <w:tr w:rsidR="00C6561B" w:rsidRPr="00FD4828" w14:paraId="6089E516" w14:textId="77777777" w:rsidTr="00C6561B">
        <w:trPr>
          <w:trHeight w:val="255"/>
          <w:jc w:val="center"/>
        </w:trPr>
        <w:tc>
          <w:tcPr>
            <w:tcW w:w="27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2D36811" w14:textId="77777777" w:rsidR="00C6561B" w:rsidRPr="00FD4828" w:rsidRDefault="00C6561B">
            <w:pPr>
              <w:spacing w:line="254" w:lineRule="auto"/>
              <w:rPr>
                <w:rFonts w:ascii="Arial" w:hAnsi="Arial" w:cs="Arial"/>
                <w:color w:val="000000"/>
                <w:sz w:val="20"/>
                <w:szCs w:val="20"/>
              </w:rPr>
            </w:pPr>
            <w:r w:rsidRPr="00FD4828">
              <w:rPr>
                <w:rFonts w:ascii="Arial" w:hAnsi="Arial" w:cs="Arial"/>
                <w:color w:val="000000"/>
                <w:sz w:val="20"/>
                <w:szCs w:val="20"/>
              </w:rPr>
              <w:t>4.9.000001 PRIHODI ZA POSEBNE NAMJENE</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34C385B" w14:textId="77777777" w:rsidR="00C6561B" w:rsidRPr="00FD4828" w:rsidRDefault="00C6561B" w:rsidP="00FD4828">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15.650,00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E1ACF5B" w14:textId="77777777" w:rsidR="00C6561B" w:rsidRPr="00FD4828" w:rsidRDefault="00C6561B" w:rsidP="00FD4828">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7.261,00</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59196CC" w14:textId="77777777" w:rsidR="00C6561B" w:rsidRPr="00FD4828" w:rsidRDefault="00C6561B" w:rsidP="00FD4828">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22.911,00</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D52E78D" w14:textId="77777777" w:rsidR="00C6561B" w:rsidRPr="00FD4828" w:rsidRDefault="00C6561B" w:rsidP="00FD4828">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146,40</w:t>
            </w:r>
          </w:p>
        </w:tc>
      </w:tr>
      <w:tr w:rsidR="00C6561B" w:rsidRPr="00FD4828" w14:paraId="2A79BDCD" w14:textId="77777777" w:rsidTr="00C6561B">
        <w:trPr>
          <w:trHeight w:val="255"/>
          <w:jc w:val="center"/>
        </w:trPr>
        <w:tc>
          <w:tcPr>
            <w:tcW w:w="27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526672B" w14:textId="77777777" w:rsidR="00C6561B" w:rsidRPr="00FD4828" w:rsidRDefault="00C6561B">
            <w:pPr>
              <w:spacing w:line="254" w:lineRule="auto"/>
              <w:rPr>
                <w:rFonts w:ascii="Arial" w:hAnsi="Arial" w:cs="Arial"/>
                <w:color w:val="000000"/>
                <w:sz w:val="20"/>
                <w:szCs w:val="20"/>
              </w:rPr>
            </w:pPr>
            <w:r w:rsidRPr="00FD4828">
              <w:rPr>
                <w:rFonts w:ascii="Arial" w:hAnsi="Arial" w:cs="Arial"/>
                <w:color w:val="000000"/>
                <w:sz w:val="20"/>
                <w:szCs w:val="20"/>
              </w:rPr>
              <w:lastRenderedPageBreak/>
              <w:t>5.9.000001 POMOĆI – PRIHODI KORISNIKA</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D509EDB" w14:textId="77777777" w:rsidR="00C6561B" w:rsidRPr="00FD4828" w:rsidRDefault="00C6561B" w:rsidP="00FD4828">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29.900,00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8EB2747" w14:textId="77777777" w:rsidR="00C6561B" w:rsidRPr="00FD4828" w:rsidRDefault="00C6561B" w:rsidP="00FD4828">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-61,00</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04EA1F6" w14:textId="77777777" w:rsidR="00C6561B" w:rsidRPr="00FD4828" w:rsidRDefault="00C6561B" w:rsidP="00FD4828">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29.839,00</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3A84C09" w14:textId="77777777" w:rsidR="00C6561B" w:rsidRPr="00FD4828" w:rsidRDefault="00C6561B" w:rsidP="00FD4828">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99,80</w:t>
            </w:r>
          </w:p>
        </w:tc>
      </w:tr>
      <w:tr w:rsidR="00C6561B" w:rsidRPr="00FD4828" w14:paraId="23D19E4D" w14:textId="77777777" w:rsidTr="00C6561B">
        <w:trPr>
          <w:trHeight w:val="255"/>
          <w:jc w:val="center"/>
        </w:trPr>
        <w:tc>
          <w:tcPr>
            <w:tcW w:w="27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B7334B8" w14:textId="77777777" w:rsidR="00C6561B" w:rsidRPr="00FD4828" w:rsidRDefault="00C6561B">
            <w:pPr>
              <w:spacing w:line="254" w:lineRule="auto"/>
              <w:rPr>
                <w:rFonts w:ascii="Arial" w:hAnsi="Arial" w:cs="Arial"/>
                <w:color w:val="FF0000"/>
                <w:sz w:val="20"/>
                <w:szCs w:val="20"/>
              </w:rPr>
            </w:pPr>
            <w:r w:rsidRPr="00FD4828">
              <w:rPr>
                <w:rFonts w:ascii="Arial" w:hAnsi="Arial" w:cs="Arial"/>
                <w:sz w:val="20"/>
                <w:szCs w:val="20"/>
              </w:rPr>
              <w:t>6.9.000001 DONACIJE – PRIHODI KORISNIKA</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DBA491E" w14:textId="77777777" w:rsidR="00C6561B" w:rsidRPr="00FD4828" w:rsidRDefault="00C6561B" w:rsidP="00FD4828">
            <w:pPr>
              <w:spacing w:line="254" w:lineRule="auto"/>
              <w:ind w:firstLineChars="100" w:firstLine="200"/>
              <w:jc w:val="right"/>
              <w:rPr>
                <w:rFonts w:ascii="Arial" w:hAnsi="Arial" w:cs="Arial"/>
                <w:sz w:val="20"/>
                <w:szCs w:val="20"/>
              </w:rPr>
            </w:pPr>
            <w:r w:rsidRPr="00FD4828">
              <w:rPr>
                <w:rFonts w:ascii="Arial" w:hAnsi="Arial" w:cs="Arial"/>
                <w:sz w:val="20"/>
                <w:szCs w:val="20"/>
              </w:rPr>
              <w:t>730,00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E93C84E" w14:textId="77777777" w:rsidR="00C6561B" w:rsidRPr="00FD4828" w:rsidRDefault="00C6561B" w:rsidP="00FD4828">
            <w:pPr>
              <w:spacing w:line="254" w:lineRule="auto"/>
              <w:ind w:firstLineChars="100" w:firstLine="200"/>
              <w:jc w:val="right"/>
              <w:rPr>
                <w:rFonts w:ascii="Arial" w:hAnsi="Arial" w:cs="Arial"/>
                <w:sz w:val="20"/>
                <w:szCs w:val="20"/>
              </w:rPr>
            </w:pPr>
            <w:r w:rsidRPr="00FD4828">
              <w:rPr>
                <w:rFonts w:ascii="Arial" w:hAnsi="Arial" w:cs="Arial"/>
                <w:sz w:val="20"/>
                <w:szCs w:val="20"/>
              </w:rPr>
              <w:t>0,00</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6785251" w14:textId="77777777" w:rsidR="00C6561B" w:rsidRPr="00FD4828" w:rsidRDefault="00C6561B" w:rsidP="00FD4828">
            <w:pPr>
              <w:spacing w:line="254" w:lineRule="auto"/>
              <w:ind w:firstLineChars="100" w:firstLine="200"/>
              <w:jc w:val="right"/>
              <w:rPr>
                <w:rFonts w:ascii="Arial" w:hAnsi="Arial" w:cs="Arial"/>
                <w:sz w:val="20"/>
                <w:szCs w:val="20"/>
              </w:rPr>
            </w:pPr>
            <w:r w:rsidRPr="00FD4828">
              <w:rPr>
                <w:rFonts w:ascii="Arial" w:hAnsi="Arial" w:cs="Arial"/>
                <w:sz w:val="20"/>
                <w:szCs w:val="20"/>
              </w:rPr>
              <w:t>730,00</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0FAE28A" w14:textId="77777777" w:rsidR="00C6561B" w:rsidRPr="00FD4828" w:rsidRDefault="00C6561B" w:rsidP="00FD4828">
            <w:pPr>
              <w:spacing w:line="254" w:lineRule="auto"/>
              <w:ind w:firstLineChars="100" w:firstLine="200"/>
              <w:jc w:val="right"/>
              <w:rPr>
                <w:rFonts w:ascii="Arial" w:hAnsi="Arial" w:cs="Arial"/>
                <w:color w:val="FF0000"/>
                <w:sz w:val="20"/>
                <w:szCs w:val="20"/>
              </w:rPr>
            </w:pPr>
            <w:r w:rsidRPr="00FD4828">
              <w:rPr>
                <w:rFonts w:ascii="Arial" w:hAnsi="Arial" w:cs="Arial"/>
                <w:sz w:val="20"/>
                <w:szCs w:val="20"/>
              </w:rPr>
              <w:t>100,00</w:t>
            </w:r>
          </w:p>
        </w:tc>
      </w:tr>
      <w:tr w:rsidR="00C6561B" w:rsidRPr="00FD4828" w14:paraId="024A61FF" w14:textId="77777777" w:rsidTr="00C6561B">
        <w:trPr>
          <w:trHeight w:val="255"/>
          <w:jc w:val="center"/>
        </w:trPr>
        <w:tc>
          <w:tcPr>
            <w:tcW w:w="27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BB2C577" w14:textId="77777777" w:rsidR="00C6561B" w:rsidRPr="00FD4828" w:rsidRDefault="00C6561B">
            <w:pPr>
              <w:spacing w:line="254" w:lineRule="auto"/>
              <w:rPr>
                <w:rFonts w:ascii="Arial" w:hAnsi="Arial" w:cs="Arial"/>
                <w:color w:val="000000"/>
                <w:sz w:val="20"/>
                <w:szCs w:val="20"/>
              </w:rPr>
            </w:pPr>
            <w:r w:rsidRPr="00FD4828">
              <w:rPr>
                <w:rFonts w:ascii="Arial" w:hAnsi="Arial" w:cs="Arial"/>
                <w:color w:val="000000"/>
                <w:sz w:val="20"/>
                <w:szCs w:val="20"/>
              </w:rPr>
              <w:t>7.9.000002 PRIHODI OD NEFINANCIJSKE IMOVINE</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44E49BC" w14:textId="77777777" w:rsidR="00C6561B" w:rsidRPr="00FD4828" w:rsidRDefault="00C6561B" w:rsidP="00FD4828">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300,00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A6F9387" w14:textId="77777777" w:rsidR="00C6561B" w:rsidRPr="00FD4828" w:rsidRDefault="00C6561B" w:rsidP="00FD4828">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338,00</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57B80E8" w14:textId="77777777" w:rsidR="00C6561B" w:rsidRPr="00FD4828" w:rsidRDefault="00C6561B" w:rsidP="00FD4828">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638,00</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E0CF61B" w14:textId="77777777" w:rsidR="00C6561B" w:rsidRPr="00FD4828" w:rsidRDefault="00C6561B" w:rsidP="00FD4828">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212,67</w:t>
            </w:r>
          </w:p>
        </w:tc>
      </w:tr>
      <w:tr w:rsidR="00C6561B" w:rsidRPr="00FD4828" w14:paraId="58ED0076" w14:textId="77777777" w:rsidTr="00C6561B">
        <w:trPr>
          <w:trHeight w:val="240"/>
          <w:jc w:val="center"/>
        </w:trPr>
        <w:tc>
          <w:tcPr>
            <w:tcW w:w="2797" w:type="dxa"/>
            <w:tcBorders>
              <w:top w:val="single" w:sz="4" w:space="0" w:color="auto"/>
              <w:left w:val="single" w:sz="4" w:space="0" w:color="auto"/>
              <w:bottom w:val="single" w:sz="4" w:space="0" w:color="auto"/>
              <w:right w:val="single" w:sz="4" w:space="0" w:color="auto"/>
            </w:tcBorders>
            <w:hideMark/>
          </w:tcPr>
          <w:p w14:paraId="7A9E3499" w14:textId="77777777" w:rsidR="00C6561B" w:rsidRPr="00FD4828" w:rsidRDefault="00C6561B">
            <w:pPr>
              <w:spacing w:line="254" w:lineRule="auto"/>
              <w:ind w:firstLineChars="100" w:firstLine="201"/>
              <w:rPr>
                <w:rFonts w:ascii="Arial" w:hAnsi="Arial" w:cs="Arial"/>
                <w:b/>
                <w:bCs/>
                <w:sz w:val="20"/>
                <w:szCs w:val="20"/>
              </w:rPr>
            </w:pPr>
            <w:r w:rsidRPr="00FD4828">
              <w:rPr>
                <w:rFonts w:ascii="Arial" w:hAnsi="Arial" w:cs="Arial"/>
                <w:b/>
                <w:bCs/>
                <w:sz w:val="20"/>
                <w:szCs w:val="20"/>
              </w:rPr>
              <w:t>SVEUKUPNO</w:t>
            </w:r>
          </w:p>
        </w:tc>
        <w:tc>
          <w:tcPr>
            <w:tcW w:w="1721" w:type="dxa"/>
            <w:tcBorders>
              <w:top w:val="single" w:sz="4" w:space="0" w:color="auto"/>
              <w:left w:val="single" w:sz="4" w:space="0" w:color="auto"/>
              <w:bottom w:val="single" w:sz="4" w:space="0" w:color="auto"/>
              <w:right w:val="single" w:sz="4" w:space="0" w:color="auto"/>
            </w:tcBorders>
            <w:vAlign w:val="center"/>
            <w:hideMark/>
          </w:tcPr>
          <w:p w14:paraId="2254BDEF" w14:textId="77777777" w:rsidR="00C6561B" w:rsidRPr="00FD4828" w:rsidRDefault="00C6561B" w:rsidP="00FD4828">
            <w:pPr>
              <w:spacing w:line="254" w:lineRule="auto"/>
              <w:ind w:firstLineChars="100" w:firstLine="201"/>
              <w:jc w:val="right"/>
              <w:rPr>
                <w:rFonts w:ascii="Arial" w:hAnsi="Arial" w:cs="Arial"/>
                <w:b/>
                <w:bCs/>
                <w:sz w:val="20"/>
                <w:szCs w:val="20"/>
              </w:rPr>
            </w:pPr>
            <w:r w:rsidRPr="00FD4828">
              <w:rPr>
                <w:rFonts w:ascii="Arial" w:hAnsi="Arial" w:cs="Arial"/>
                <w:b/>
                <w:bCs/>
                <w:sz w:val="20"/>
                <w:szCs w:val="20"/>
              </w:rPr>
              <w:t>248.235,00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2807370B" w14:textId="77777777" w:rsidR="00C6561B" w:rsidRPr="00FD4828" w:rsidRDefault="00C6561B" w:rsidP="00FD4828">
            <w:pPr>
              <w:spacing w:line="254" w:lineRule="auto"/>
              <w:ind w:firstLineChars="100" w:firstLine="201"/>
              <w:jc w:val="right"/>
              <w:rPr>
                <w:rFonts w:ascii="Arial" w:hAnsi="Arial" w:cs="Arial"/>
                <w:b/>
                <w:bCs/>
                <w:sz w:val="20"/>
                <w:szCs w:val="20"/>
              </w:rPr>
            </w:pPr>
            <w:r w:rsidRPr="00FD4828">
              <w:rPr>
                <w:rFonts w:ascii="Arial" w:hAnsi="Arial" w:cs="Arial"/>
                <w:b/>
                <w:bCs/>
                <w:sz w:val="20"/>
                <w:szCs w:val="20"/>
              </w:rPr>
              <w:t>22.991,00</w:t>
            </w:r>
          </w:p>
        </w:tc>
        <w:tc>
          <w:tcPr>
            <w:tcW w:w="1721" w:type="dxa"/>
            <w:tcBorders>
              <w:top w:val="single" w:sz="4" w:space="0" w:color="auto"/>
              <w:left w:val="single" w:sz="4" w:space="0" w:color="auto"/>
              <w:bottom w:val="single" w:sz="4" w:space="0" w:color="auto"/>
              <w:right w:val="single" w:sz="4" w:space="0" w:color="auto"/>
            </w:tcBorders>
            <w:vAlign w:val="center"/>
            <w:hideMark/>
          </w:tcPr>
          <w:p w14:paraId="37D763D5" w14:textId="77777777" w:rsidR="00C6561B" w:rsidRPr="00FD4828" w:rsidRDefault="00C6561B" w:rsidP="00FD4828">
            <w:pPr>
              <w:spacing w:line="254" w:lineRule="auto"/>
              <w:ind w:firstLineChars="100" w:firstLine="201"/>
              <w:jc w:val="right"/>
              <w:rPr>
                <w:rFonts w:ascii="Arial" w:hAnsi="Arial" w:cs="Arial"/>
                <w:b/>
                <w:bCs/>
                <w:sz w:val="20"/>
                <w:szCs w:val="20"/>
              </w:rPr>
            </w:pPr>
            <w:r w:rsidRPr="00FD4828">
              <w:rPr>
                <w:rFonts w:ascii="Arial" w:hAnsi="Arial" w:cs="Arial"/>
                <w:b/>
                <w:bCs/>
                <w:sz w:val="20"/>
                <w:szCs w:val="20"/>
              </w:rPr>
              <w:t>271.226,00</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D1DBD1E" w14:textId="77777777" w:rsidR="00C6561B" w:rsidRPr="00FD4828" w:rsidRDefault="00C6561B" w:rsidP="00FD4828">
            <w:pPr>
              <w:spacing w:line="254" w:lineRule="auto"/>
              <w:ind w:firstLineChars="100" w:firstLine="201"/>
              <w:jc w:val="right"/>
              <w:rPr>
                <w:rFonts w:ascii="Arial" w:hAnsi="Arial" w:cs="Arial"/>
                <w:b/>
                <w:bCs/>
                <w:sz w:val="20"/>
                <w:szCs w:val="20"/>
              </w:rPr>
            </w:pPr>
            <w:r w:rsidRPr="00FD4828">
              <w:rPr>
                <w:rFonts w:ascii="Arial" w:hAnsi="Arial" w:cs="Arial"/>
                <w:b/>
                <w:bCs/>
                <w:sz w:val="20"/>
                <w:szCs w:val="20"/>
              </w:rPr>
              <w:t>109,26</w:t>
            </w:r>
          </w:p>
        </w:tc>
      </w:tr>
    </w:tbl>
    <w:p w14:paraId="1737A389" w14:textId="77777777" w:rsidR="00C6561B" w:rsidRDefault="00C6561B" w:rsidP="00C6561B">
      <w:pPr>
        <w:ind w:right="-1"/>
        <w:jc w:val="both"/>
        <w:rPr>
          <w:rFonts w:ascii="Arial" w:hAnsi="Arial" w:cs="Arial"/>
          <w:b/>
          <w:bCs/>
          <w:kern w:val="2"/>
          <w:lang w:eastAsia="en-US"/>
          <w14:ligatures w14:val="standardContextual"/>
        </w:rPr>
      </w:pPr>
    </w:p>
    <w:p w14:paraId="4C896B20" w14:textId="77777777" w:rsidR="00C6561B" w:rsidRDefault="00C6561B" w:rsidP="00C6561B">
      <w:pPr>
        <w:ind w:right="-1"/>
        <w:jc w:val="both"/>
        <w:rPr>
          <w:rFonts w:ascii="Arial" w:hAnsi="Arial" w:cs="Arial"/>
          <w:b/>
          <w:bCs/>
        </w:rPr>
      </w:pPr>
    </w:p>
    <w:p w14:paraId="4EDF98D8" w14:textId="77777777" w:rsidR="00C6561B" w:rsidRPr="00FD4828" w:rsidRDefault="00C6561B" w:rsidP="00FD4828">
      <w:pPr>
        <w:spacing w:line="259" w:lineRule="auto"/>
        <w:ind w:right="-1"/>
        <w:jc w:val="both"/>
        <w:rPr>
          <w:rFonts w:ascii="Arial" w:hAnsi="Arial" w:cs="Arial"/>
          <w:b/>
          <w:bCs/>
          <w:sz w:val="22"/>
          <w:szCs w:val="22"/>
        </w:rPr>
      </w:pPr>
      <w:r w:rsidRPr="00FD4828">
        <w:rPr>
          <w:rFonts w:ascii="Arial" w:hAnsi="Arial" w:cs="Arial"/>
          <w:b/>
          <w:bCs/>
          <w:sz w:val="22"/>
          <w:szCs w:val="22"/>
        </w:rPr>
        <w:t>OBRAZLOŽENJE POSEBNOG DIJELA</w:t>
      </w:r>
    </w:p>
    <w:p w14:paraId="72F777B9" w14:textId="77777777" w:rsidR="00C6561B" w:rsidRPr="00FD4828" w:rsidRDefault="00C6561B" w:rsidP="00FD4828">
      <w:pPr>
        <w:pStyle w:val="Bezproreda"/>
        <w:spacing w:line="259" w:lineRule="auto"/>
        <w:jc w:val="both"/>
        <w:rPr>
          <w:rFonts w:ascii="Arial" w:hAnsi="Arial" w:cs="Arial"/>
          <w:b/>
          <w:bCs/>
        </w:rPr>
      </w:pPr>
    </w:p>
    <w:p w14:paraId="1AB8EB92" w14:textId="77777777" w:rsidR="00C6561B" w:rsidRPr="00FD4828" w:rsidRDefault="00C6561B" w:rsidP="00FD4828">
      <w:pPr>
        <w:pStyle w:val="Bezproreda"/>
        <w:spacing w:line="259" w:lineRule="auto"/>
        <w:jc w:val="both"/>
        <w:rPr>
          <w:rFonts w:ascii="Arial" w:hAnsi="Arial" w:cs="Arial"/>
          <w:b/>
          <w:bCs/>
        </w:rPr>
      </w:pPr>
      <w:r w:rsidRPr="00FD4828">
        <w:rPr>
          <w:rFonts w:ascii="Arial" w:hAnsi="Arial" w:cs="Arial"/>
          <w:b/>
          <w:bCs/>
        </w:rPr>
        <w:t>OBRAZLOŽENJE PROGRAMA I AKTIVNOSTI</w:t>
      </w:r>
    </w:p>
    <w:p w14:paraId="43320127" w14:textId="77777777" w:rsidR="00C6561B" w:rsidRPr="00FD4828" w:rsidRDefault="00C6561B" w:rsidP="00FD4828">
      <w:pPr>
        <w:pStyle w:val="Bezproreda"/>
        <w:spacing w:line="259" w:lineRule="auto"/>
        <w:jc w:val="both"/>
        <w:rPr>
          <w:rFonts w:ascii="Arial" w:hAnsi="Arial" w:cs="Arial"/>
          <w:b/>
          <w:bCs/>
        </w:rPr>
      </w:pPr>
    </w:p>
    <w:p w14:paraId="70630916" w14:textId="77777777" w:rsidR="00C6561B" w:rsidRPr="00FD4828" w:rsidRDefault="00C6561B" w:rsidP="00FD4828">
      <w:pPr>
        <w:pStyle w:val="Bezproreda"/>
        <w:spacing w:line="259" w:lineRule="auto"/>
        <w:jc w:val="both"/>
        <w:rPr>
          <w:rFonts w:ascii="Arial" w:hAnsi="Arial" w:cs="Arial"/>
          <w:b/>
          <w:bCs/>
        </w:rPr>
      </w:pPr>
      <w:r w:rsidRPr="00FD4828">
        <w:rPr>
          <w:rFonts w:ascii="Arial" w:hAnsi="Arial" w:cs="Arial"/>
          <w:b/>
          <w:bCs/>
        </w:rPr>
        <w:t>Zakonske i druge pravne osnove</w:t>
      </w:r>
    </w:p>
    <w:p w14:paraId="22607B9E" w14:textId="77777777" w:rsidR="00C6561B" w:rsidRPr="00FD4828" w:rsidRDefault="00C6561B" w:rsidP="00FD4828">
      <w:pPr>
        <w:pStyle w:val="Bezproreda"/>
        <w:spacing w:line="259" w:lineRule="auto"/>
        <w:jc w:val="both"/>
        <w:rPr>
          <w:rFonts w:ascii="Arial" w:hAnsi="Arial" w:cs="Arial"/>
          <w:b/>
          <w:bCs/>
        </w:rPr>
      </w:pPr>
    </w:p>
    <w:p w14:paraId="6A732228" w14:textId="77777777" w:rsidR="00C6561B" w:rsidRPr="00FD4828" w:rsidRDefault="00C6561B" w:rsidP="00FD4828">
      <w:pPr>
        <w:pStyle w:val="Bezproreda"/>
        <w:spacing w:line="259" w:lineRule="auto"/>
        <w:jc w:val="both"/>
        <w:rPr>
          <w:rFonts w:ascii="Arial" w:hAnsi="Arial" w:cs="Arial"/>
        </w:rPr>
      </w:pPr>
      <w:r w:rsidRPr="00FD4828">
        <w:rPr>
          <w:rFonts w:ascii="Arial" w:hAnsi="Arial" w:cs="Arial"/>
        </w:rPr>
        <w:t xml:space="preserve">Zakon o knjižnicama (NN 17/19, 98/19, 114/22 i 36/24), Pravilnik o upisniku knjižnica (NN 78/20.), Standard za narodne knjižnice u Republici Hrvatskoj (NN 103/21), Pravilnik o uvjetima i načinu stjecanja stručnih zvanja u knjižničarskoj struci (NN107/21), Pravilnik o matičnoj djelatnosti i sustavu matičnih knjižnica Republici Hrvatskoj (NN 81/21), Zakon o kulturnim vijećima i financiranju javnih potreba u kulturi (83/22), Pravilnik o zaštiti, reviziji i otpisu knjižnične građe (NN 27/23), Zakon o ustanovama (NN 76/93, NN 35/08), </w:t>
      </w:r>
      <w:bookmarkStart w:id="63" w:name="_Hlk146715942"/>
      <w:r w:rsidRPr="00FD4828">
        <w:rPr>
          <w:rFonts w:ascii="Arial" w:hAnsi="Arial" w:cs="Arial"/>
        </w:rPr>
        <w:t xml:space="preserve">NN127/19 i </w:t>
      </w:r>
      <w:bookmarkEnd w:id="63"/>
      <w:r w:rsidRPr="00FD4828">
        <w:rPr>
          <w:rFonts w:ascii="Arial" w:hAnsi="Arial" w:cs="Arial"/>
        </w:rPr>
        <w:t>NN151/22), Statut Gradske knjižnice Labin.</w:t>
      </w:r>
    </w:p>
    <w:p w14:paraId="5DF2367D" w14:textId="77777777" w:rsidR="00C6561B" w:rsidRPr="00FD4828" w:rsidRDefault="00C6561B" w:rsidP="00FD4828">
      <w:pPr>
        <w:pStyle w:val="Bezproreda"/>
        <w:spacing w:line="259" w:lineRule="auto"/>
        <w:jc w:val="both"/>
        <w:rPr>
          <w:rFonts w:ascii="Arial" w:hAnsi="Arial" w:cs="Arial"/>
        </w:rPr>
      </w:pPr>
    </w:p>
    <w:p w14:paraId="30215112" w14:textId="77777777" w:rsidR="00C6561B" w:rsidRPr="00FD4828" w:rsidRDefault="00C6561B" w:rsidP="00FD4828">
      <w:pPr>
        <w:pStyle w:val="Bezproreda"/>
        <w:spacing w:line="259" w:lineRule="auto"/>
        <w:jc w:val="both"/>
        <w:rPr>
          <w:rFonts w:ascii="Arial" w:eastAsia="Times New Roman" w:hAnsi="Arial" w:cs="Arial"/>
        </w:rPr>
      </w:pPr>
      <w:r w:rsidRPr="00FD4828">
        <w:rPr>
          <w:rFonts w:ascii="Arial" w:hAnsi="Arial" w:cs="Arial"/>
        </w:rPr>
        <w:t xml:space="preserve">Poslovanje Gradske knjižnice Labin, u korelaciji s Financijskim planom, organizirano je kroz osnovni program Promicanje kulture, s aktivnostima. </w:t>
      </w:r>
      <w:r w:rsidRPr="00FD4828">
        <w:rPr>
          <w:rFonts w:ascii="Arial" w:eastAsia="Times New Roman" w:hAnsi="Arial" w:cs="Arial"/>
        </w:rPr>
        <w:t>Prijedlog I. izmjena i dopuna Financijskog plana proračunskog korisnika Gradske knjižnice Labin 2025 godine iznosi 271.226,00 eura, a izrađen je uravnoteženjem prihoda i rashoda, u skladu s osnovnim programom Promicanja kulture i aktivnostima.</w:t>
      </w:r>
    </w:p>
    <w:p w14:paraId="092FFC74" w14:textId="77777777" w:rsidR="00C6561B" w:rsidRPr="00FD4828" w:rsidRDefault="00C6561B" w:rsidP="00FD4828">
      <w:pPr>
        <w:spacing w:line="259" w:lineRule="auto"/>
        <w:ind w:right="-1"/>
        <w:jc w:val="both"/>
        <w:rPr>
          <w:rFonts w:ascii="Arial" w:eastAsiaTheme="minorHAnsi" w:hAnsi="Arial" w:cs="Arial"/>
          <w:sz w:val="22"/>
          <w:szCs w:val="22"/>
        </w:rPr>
      </w:pPr>
    </w:p>
    <w:p w14:paraId="10F4AA9C" w14:textId="77777777" w:rsidR="00C6561B" w:rsidRPr="00FD4828" w:rsidRDefault="00C6561B" w:rsidP="00FD4828">
      <w:pPr>
        <w:spacing w:line="259" w:lineRule="auto"/>
        <w:ind w:right="-1"/>
        <w:jc w:val="both"/>
        <w:rPr>
          <w:rFonts w:ascii="Arial" w:hAnsi="Arial" w:cs="Arial"/>
          <w:sz w:val="22"/>
          <w:szCs w:val="22"/>
        </w:rPr>
      </w:pPr>
      <w:r w:rsidRPr="00FD4828">
        <w:rPr>
          <w:rFonts w:ascii="Arial" w:hAnsi="Arial" w:cs="Arial"/>
          <w:sz w:val="22"/>
          <w:szCs w:val="22"/>
        </w:rPr>
        <w:t xml:space="preserve">U strukturi rashoda programske djelatnosti Knjižnice, a u skladu s povećanjem prihoda predlažu se sljedeće izmjene u programskoj aktivnosti Knjižnice:  </w:t>
      </w:r>
    </w:p>
    <w:p w14:paraId="1541EC8E" w14:textId="77777777" w:rsidR="00C6561B" w:rsidRPr="00FD4828" w:rsidRDefault="00C6561B">
      <w:pPr>
        <w:pStyle w:val="Odlomakpopisa"/>
        <w:numPr>
          <w:ilvl w:val="0"/>
          <w:numId w:val="33"/>
        </w:numPr>
        <w:suppressAutoHyphens/>
        <w:spacing w:after="0" w:line="259" w:lineRule="auto"/>
        <w:ind w:left="360" w:right="-1"/>
        <w:jc w:val="both"/>
        <w:rPr>
          <w:rFonts w:ascii="Arial" w:hAnsi="Arial" w:cs="Arial"/>
          <w:szCs w:val="22"/>
        </w:rPr>
      </w:pPr>
      <w:r w:rsidRPr="00FD4828">
        <w:rPr>
          <w:rFonts w:ascii="Arial" w:hAnsi="Arial" w:cs="Arial"/>
          <w:b/>
          <w:bCs/>
          <w:szCs w:val="22"/>
        </w:rPr>
        <w:t xml:space="preserve">Aktivnost: Financiranje redovne djelatnosti knjižnice - </w:t>
      </w:r>
      <w:r w:rsidRPr="00FD4828">
        <w:rPr>
          <w:rFonts w:ascii="Arial" w:hAnsi="Arial" w:cs="Arial"/>
          <w:szCs w:val="22"/>
        </w:rPr>
        <w:t xml:space="preserve">Predlaže se uvećanje u iznosu od 18.913,00 eura (9,31%). Povećanja za rashode redovne djelatnosti odnose se na uvećanje rashoda za zaposlene i na uvećanje rashoda za </w:t>
      </w:r>
      <w:bookmarkStart w:id="64" w:name="_Hlk135040515"/>
      <w:r w:rsidRPr="00FD4828">
        <w:rPr>
          <w:rFonts w:ascii="Arial" w:hAnsi="Arial" w:cs="Arial"/>
          <w:szCs w:val="22"/>
        </w:rPr>
        <w:t>intelektualne i osobne usluge, uredsku opremu i namještaj, bankarske usluge i usluge platnog prometa, stručno usavršavanje zaposlenika te za materijal i dijelove za tekuće i investicijsko održavanje.</w:t>
      </w:r>
    </w:p>
    <w:p w14:paraId="1D1CBAD0" w14:textId="77777777" w:rsidR="00C6561B" w:rsidRPr="00FD4828" w:rsidRDefault="00C6561B" w:rsidP="00FD4828">
      <w:pPr>
        <w:pStyle w:val="Odlomakpopisa"/>
        <w:spacing w:after="0" w:line="259" w:lineRule="auto"/>
        <w:ind w:left="360" w:right="-1"/>
        <w:jc w:val="both"/>
        <w:rPr>
          <w:rFonts w:ascii="Arial" w:hAnsi="Arial" w:cs="Arial"/>
          <w:szCs w:val="22"/>
        </w:rPr>
      </w:pPr>
    </w:p>
    <w:p w14:paraId="72376C04" w14:textId="77777777" w:rsidR="00C6561B" w:rsidRPr="00FD4828" w:rsidRDefault="00C6561B">
      <w:pPr>
        <w:pStyle w:val="Odlomakpopisa"/>
        <w:numPr>
          <w:ilvl w:val="0"/>
          <w:numId w:val="33"/>
        </w:numPr>
        <w:suppressAutoHyphens/>
        <w:spacing w:after="0" w:line="259" w:lineRule="auto"/>
        <w:ind w:left="360" w:right="-1"/>
        <w:jc w:val="both"/>
        <w:rPr>
          <w:rFonts w:ascii="Arial" w:hAnsi="Arial" w:cs="Arial"/>
          <w:b/>
          <w:bCs/>
          <w:szCs w:val="22"/>
        </w:rPr>
      </w:pPr>
      <w:r w:rsidRPr="00FD4828">
        <w:rPr>
          <w:rFonts w:ascii="Arial" w:hAnsi="Arial" w:cs="Arial"/>
          <w:b/>
          <w:bCs/>
          <w:szCs w:val="22"/>
        </w:rPr>
        <w:t xml:space="preserve">Aktivnost: Književni susreti i radionice </w:t>
      </w:r>
      <w:r w:rsidRPr="00FD4828">
        <w:rPr>
          <w:rFonts w:ascii="Arial" w:hAnsi="Arial" w:cs="Arial"/>
          <w:szCs w:val="22"/>
        </w:rPr>
        <w:t>- Predlaže se uvećanje u iznosu od 3.740,00 eura (35,96%) na izvoru 3.9.000002 i Izvoru 4.9.000002 i odnosi se na viškove vlastitih i namjenskih sredstava iz različitih izvora prema Odluci o rasporedu rezultata za  2024.g.</w:t>
      </w:r>
    </w:p>
    <w:p w14:paraId="5337C6F8" w14:textId="77777777" w:rsidR="00C6561B" w:rsidRPr="00FD4828" w:rsidRDefault="00C6561B" w:rsidP="00FD4828">
      <w:pPr>
        <w:pStyle w:val="Odlomakpopisa"/>
        <w:spacing w:after="0" w:line="259" w:lineRule="auto"/>
        <w:ind w:left="578"/>
        <w:rPr>
          <w:rFonts w:ascii="Arial" w:hAnsi="Arial" w:cs="Arial"/>
          <w:b/>
          <w:bCs/>
          <w:szCs w:val="22"/>
        </w:rPr>
      </w:pPr>
    </w:p>
    <w:p w14:paraId="1DD8F921" w14:textId="77777777" w:rsidR="00C6561B" w:rsidRPr="00FD4828" w:rsidRDefault="00C6561B">
      <w:pPr>
        <w:pStyle w:val="Odlomakpopisa"/>
        <w:numPr>
          <w:ilvl w:val="0"/>
          <w:numId w:val="33"/>
        </w:numPr>
        <w:suppressAutoHyphens/>
        <w:spacing w:after="0" w:line="259" w:lineRule="auto"/>
        <w:ind w:left="425" w:right="-1" w:hanging="425"/>
        <w:jc w:val="both"/>
        <w:rPr>
          <w:rFonts w:ascii="Arial" w:hAnsi="Arial" w:cs="Arial"/>
          <w:b/>
          <w:bCs/>
          <w:szCs w:val="22"/>
        </w:rPr>
      </w:pPr>
      <w:r w:rsidRPr="00FD4828">
        <w:rPr>
          <w:rFonts w:ascii="Arial" w:hAnsi="Arial" w:cs="Arial"/>
          <w:b/>
          <w:bCs/>
          <w:szCs w:val="22"/>
        </w:rPr>
        <w:t xml:space="preserve">Aktivnost: Kapitalna ulaganja - </w:t>
      </w:r>
      <w:r w:rsidRPr="00FD4828">
        <w:rPr>
          <w:rFonts w:ascii="Arial" w:hAnsi="Arial" w:cs="Arial"/>
          <w:szCs w:val="22"/>
        </w:rPr>
        <w:t>predlaže se uvećanje u iznosu od 338,00 eura (0,99%) odnosi se na višak prihoda od nefinancijske imovine koji je prema Odluci o raspodjeli rezultata za 2024.g. raspoređen za nabavu knjižnične građe.</w:t>
      </w:r>
    </w:p>
    <w:p w14:paraId="27DA2315" w14:textId="77777777" w:rsidR="00C6561B" w:rsidRDefault="00C6561B" w:rsidP="00FD4828">
      <w:pPr>
        <w:pStyle w:val="Odlomakpopisa"/>
        <w:spacing w:after="0" w:line="259" w:lineRule="auto"/>
        <w:ind w:left="0" w:right="-1"/>
        <w:jc w:val="both"/>
        <w:rPr>
          <w:rFonts w:ascii="Arial" w:hAnsi="Arial" w:cs="Arial"/>
          <w:b/>
          <w:bCs/>
          <w:szCs w:val="22"/>
        </w:rPr>
      </w:pPr>
    </w:p>
    <w:p w14:paraId="1C5408DE" w14:textId="77777777" w:rsidR="00C526AC" w:rsidRDefault="00C526AC" w:rsidP="00FD4828">
      <w:pPr>
        <w:pStyle w:val="Odlomakpopisa"/>
        <w:spacing w:after="0" w:line="259" w:lineRule="auto"/>
        <w:ind w:left="0" w:right="-1"/>
        <w:jc w:val="both"/>
        <w:rPr>
          <w:rFonts w:ascii="Arial" w:hAnsi="Arial" w:cs="Arial"/>
          <w:b/>
          <w:bCs/>
          <w:szCs w:val="22"/>
        </w:rPr>
      </w:pPr>
    </w:p>
    <w:p w14:paraId="37DDA7B1" w14:textId="77777777" w:rsidR="00C526AC" w:rsidRDefault="00C526AC" w:rsidP="00FD4828">
      <w:pPr>
        <w:pStyle w:val="Odlomakpopisa"/>
        <w:spacing w:after="0" w:line="259" w:lineRule="auto"/>
        <w:ind w:left="0" w:right="-1"/>
        <w:jc w:val="both"/>
        <w:rPr>
          <w:rFonts w:ascii="Arial" w:hAnsi="Arial" w:cs="Arial"/>
          <w:b/>
          <w:bCs/>
          <w:szCs w:val="22"/>
        </w:rPr>
      </w:pPr>
    </w:p>
    <w:p w14:paraId="79D23962" w14:textId="77777777" w:rsidR="00C526AC" w:rsidRPr="00FD4828" w:rsidRDefault="00C526AC" w:rsidP="00FD4828">
      <w:pPr>
        <w:pStyle w:val="Odlomakpopisa"/>
        <w:spacing w:after="0" w:line="259" w:lineRule="auto"/>
        <w:ind w:left="0" w:right="-1"/>
        <w:jc w:val="both"/>
        <w:rPr>
          <w:rFonts w:ascii="Arial" w:hAnsi="Arial" w:cs="Arial"/>
          <w:b/>
          <w:bCs/>
          <w:szCs w:val="22"/>
        </w:rPr>
      </w:pPr>
    </w:p>
    <w:bookmarkEnd w:id="64"/>
    <w:p w14:paraId="7680AA07" w14:textId="0A369DA4" w:rsidR="00C6561B" w:rsidRPr="00FD4828" w:rsidRDefault="00C6561B" w:rsidP="00FD4828">
      <w:pPr>
        <w:pStyle w:val="Opisslike"/>
        <w:keepNext/>
        <w:spacing w:before="0" w:after="0" w:line="259" w:lineRule="auto"/>
        <w:rPr>
          <w:rFonts w:ascii="Arial" w:hAnsi="Arial"/>
          <w:b/>
          <w:bCs/>
          <w:sz w:val="22"/>
          <w:szCs w:val="22"/>
        </w:rPr>
      </w:pPr>
      <w:r w:rsidRPr="00FD4828">
        <w:rPr>
          <w:rFonts w:ascii="Arial" w:hAnsi="Arial"/>
          <w:sz w:val="22"/>
          <w:szCs w:val="22"/>
        </w:rPr>
        <w:lastRenderedPageBreak/>
        <w:t xml:space="preserve">Tablica </w:t>
      </w:r>
      <w:r w:rsidRPr="00FD4828">
        <w:rPr>
          <w:rFonts w:ascii="Arial" w:hAnsi="Arial"/>
          <w:sz w:val="22"/>
          <w:szCs w:val="22"/>
        </w:rPr>
        <w:fldChar w:fldCharType="begin"/>
      </w:r>
      <w:r w:rsidRPr="00FD4828">
        <w:rPr>
          <w:rFonts w:ascii="Arial" w:hAnsi="Arial"/>
          <w:sz w:val="22"/>
          <w:szCs w:val="22"/>
        </w:rPr>
        <w:instrText xml:space="preserve"> SEQ Tablica \* ARABIC </w:instrText>
      </w:r>
      <w:r w:rsidRPr="00FD4828">
        <w:rPr>
          <w:rFonts w:ascii="Arial" w:hAnsi="Arial"/>
          <w:sz w:val="22"/>
          <w:szCs w:val="22"/>
        </w:rPr>
        <w:fldChar w:fldCharType="separate"/>
      </w:r>
      <w:r w:rsidR="001145A7">
        <w:rPr>
          <w:rFonts w:ascii="Arial" w:hAnsi="Arial"/>
          <w:noProof/>
          <w:sz w:val="22"/>
          <w:szCs w:val="22"/>
        </w:rPr>
        <w:t>2</w:t>
      </w:r>
      <w:r w:rsidRPr="00FD4828">
        <w:rPr>
          <w:rFonts w:ascii="Arial" w:hAnsi="Arial"/>
          <w:sz w:val="22"/>
          <w:szCs w:val="22"/>
        </w:rPr>
        <w:fldChar w:fldCharType="end"/>
      </w:r>
      <w:r w:rsidRPr="00FD4828">
        <w:rPr>
          <w:rFonts w:ascii="Arial" w:hAnsi="Arial"/>
          <w:sz w:val="22"/>
          <w:szCs w:val="22"/>
        </w:rPr>
        <w:t xml:space="preserve">.    </w:t>
      </w:r>
      <w:bookmarkStart w:id="65" w:name="_Hlk100922761"/>
      <w:r w:rsidRPr="00FD4828">
        <w:rPr>
          <w:rFonts w:ascii="Arial" w:hAnsi="Arial"/>
          <w:b/>
          <w:bCs/>
          <w:sz w:val="22"/>
          <w:szCs w:val="22"/>
        </w:rPr>
        <w:t>Rekapitulacija po aktivnostima - 2025.</w:t>
      </w:r>
      <w:bookmarkEnd w:id="65"/>
    </w:p>
    <w:p w14:paraId="4107C0BC" w14:textId="77777777" w:rsidR="00C6561B" w:rsidRPr="00FD4828" w:rsidRDefault="00C6561B" w:rsidP="00FD4828">
      <w:pPr>
        <w:pStyle w:val="Opisslike"/>
        <w:keepNext/>
        <w:spacing w:before="0" w:after="0" w:line="259" w:lineRule="auto"/>
        <w:rPr>
          <w:rFonts w:ascii="Arial" w:hAnsi="Arial"/>
          <w:b/>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1971"/>
        <w:gridCol w:w="1721"/>
        <w:gridCol w:w="1843"/>
        <w:gridCol w:w="1367"/>
      </w:tblGrid>
      <w:tr w:rsidR="00C6561B" w:rsidRPr="00FD4828" w14:paraId="12A40C04" w14:textId="77777777" w:rsidTr="00C6561B">
        <w:trPr>
          <w:trHeight w:val="600"/>
          <w:jc w:val="center"/>
        </w:trPr>
        <w:tc>
          <w:tcPr>
            <w:tcW w:w="3305" w:type="dxa"/>
            <w:tcBorders>
              <w:top w:val="single" w:sz="4" w:space="0" w:color="auto"/>
              <w:left w:val="single" w:sz="4" w:space="0" w:color="auto"/>
              <w:bottom w:val="single" w:sz="4" w:space="0" w:color="auto"/>
              <w:right w:val="single" w:sz="4" w:space="0" w:color="auto"/>
            </w:tcBorders>
            <w:vAlign w:val="center"/>
            <w:hideMark/>
          </w:tcPr>
          <w:p w14:paraId="6179BF3E" w14:textId="77777777" w:rsidR="00C6561B" w:rsidRPr="00FD4828" w:rsidRDefault="00C6561B">
            <w:pPr>
              <w:spacing w:line="254" w:lineRule="auto"/>
              <w:ind w:firstLineChars="100" w:firstLine="201"/>
              <w:jc w:val="center"/>
              <w:rPr>
                <w:rFonts w:ascii="Arial" w:hAnsi="Arial" w:cs="Arial"/>
                <w:b/>
                <w:bCs/>
                <w:color w:val="000000"/>
                <w:sz w:val="20"/>
                <w:szCs w:val="20"/>
              </w:rPr>
            </w:pPr>
            <w:r w:rsidRPr="00FD4828">
              <w:rPr>
                <w:rFonts w:ascii="Arial" w:hAnsi="Arial" w:cs="Arial"/>
                <w:b/>
                <w:bCs/>
                <w:color w:val="000000"/>
                <w:sz w:val="20"/>
                <w:szCs w:val="20"/>
              </w:rPr>
              <w:t>Aktivnosti</w:t>
            </w:r>
          </w:p>
        </w:tc>
        <w:tc>
          <w:tcPr>
            <w:tcW w:w="1971" w:type="dxa"/>
            <w:tcBorders>
              <w:top w:val="single" w:sz="4" w:space="0" w:color="auto"/>
              <w:left w:val="single" w:sz="4" w:space="0" w:color="auto"/>
              <w:bottom w:val="single" w:sz="4" w:space="0" w:color="auto"/>
              <w:right w:val="single" w:sz="4" w:space="0" w:color="auto"/>
            </w:tcBorders>
            <w:vAlign w:val="center"/>
            <w:hideMark/>
          </w:tcPr>
          <w:p w14:paraId="16AA8A4A" w14:textId="77777777" w:rsidR="00C6561B" w:rsidRPr="00FD4828" w:rsidRDefault="00C6561B">
            <w:pPr>
              <w:spacing w:line="254" w:lineRule="auto"/>
              <w:ind w:firstLineChars="100" w:firstLine="201"/>
              <w:jc w:val="center"/>
              <w:rPr>
                <w:rFonts w:ascii="Arial" w:hAnsi="Arial" w:cs="Arial"/>
                <w:b/>
                <w:bCs/>
                <w:color w:val="000000"/>
                <w:sz w:val="20"/>
                <w:szCs w:val="20"/>
              </w:rPr>
            </w:pPr>
            <w:r w:rsidRPr="00FD4828">
              <w:rPr>
                <w:rFonts w:ascii="Arial" w:hAnsi="Arial" w:cs="Arial"/>
                <w:b/>
                <w:bCs/>
                <w:color w:val="000000"/>
                <w:sz w:val="20"/>
                <w:szCs w:val="20"/>
              </w:rPr>
              <w:t xml:space="preserve">Plan </w:t>
            </w:r>
          </w:p>
        </w:tc>
        <w:tc>
          <w:tcPr>
            <w:tcW w:w="1721" w:type="dxa"/>
            <w:tcBorders>
              <w:top w:val="single" w:sz="4" w:space="0" w:color="auto"/>
              <w:left w:val="single" w:sz="4" w:space="0" w:color="auto"/>
              <w:bottom w:val="single" w:sz="4" w:space="0" w:color="auto"/>
              <w:right w:val="single" w:sz="4" w:space="0" w:color="auto"/>
            </w:tcBorders>
            <w:vAlign w:val="center"/>
            <w:hideMark/>
          </w:tcPr>
          <w:p w14:paraId="2787E76A" w14:textId="77777777" w:rsidR="00C6561B" w:rsidRPr="00FD4828" w:rsidRDefault="00C6561B">
            <w:pPr>
              <w:spacing w:line="254" w:lineRule="auto"/>
              <w:ind w:firstLineChars="100" w:firstLine="201"/>
              <w:jc w:val="center"/>
              <w:rPr>
                <w:rFonts w:ascii="Arial" w:hAnsi="Arial" w:cs="Arial"/>
                <w:b/>
                <w:bCs/>
                <w:color w:val="000000"/>
                <w:sz w:val="20"/>
                <w:szCs w:val="20"/>
              </w:rPr>
            </w:pPr>
            <w:r w:rsidRPr="00FD4828">
              <w:rPr>
                <w:rFonts w:ascii="Arial" w:hAnsi="Arial" w:cs="Arial"/>
                <w:b/>
                <w:bCs/>
                <w:color w:val="000000"/>
                <w:sz w:val="20"/>
                <w:szCs w:val="20"/>
              </w:rPr>
              <w:t>Razlika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C59FA2" w14:textId="77777777" w:rsidR="00C6561B" w:rsidRPr="00FD4828" w:rsidRDefault="00C6561B">
            <w:pPr>
              <w:spacing w:line="254" w:lineRule="auto"/>
              <w:ind w:firstLineChars="100" w:firstLine="201"/>
              <w:jc w:val="center"/>
              <w:rPr>
                <w:rFonts w:ascii="Arial" w:hAnsi="Arial" w:cs="Arial"/>
                <w:b/>
                <w:bCs/>
                <w:color w:val="000000"/>
                <w:sz w:val="20"/>
                <w:szCs w:val="20"/>
              </w:rPr>
            </w:pPr>
            <w:r w:rsidRPr="00FD4828">
              <w:rPr>
                <w:rFonts w:ascii="Arial" w:hAnsi="Arial" w:cs="Arial"/>
                <w:b/>
                <w:bCs/>
                <w:color w:val="000000"/>
                <w:sz w:val="20"/>
                <w:szCs w:val="20"/>
              </w:rPr>
              <w:t>Novi plan</w:t>
            </w:r>
          </w:p>
        </w:tc>
        <w:tc>
          <w:tcPr>
            <w:tcW w:w="1367" w:type="dxa"/>
            <w:tcBorders>
              <w:top w:val="single" w:sz="4" w:space="0" w:color="auto"/>
              <w:left w:val="single" w:sz="4" w:space="0" w:color="auto"/>
              <w:bottom w:val="single" w:sz="4" w:space="0" w:color="auto"/>
              <w:right w:val="single" w:sz="4" w:space="0" w:color="auto"/>
            </w:tcBorders>
            <w:vAlign w:val="center"/>
            <w:hideMark/>
          </w:tcPr>
          <w:p w14:paraId="6F89C052" w14:textId="77777777" w:rsidR="00C6561B" w:rsidRPr="00FD4828" w:rsidRDefault="00C6561B">
            <w:pPr>
              <w:spacing w:line="254" w:lineRule="auto"/>
              <w:ind w:firstLineChars="100" w:firstLine="201"/>
              <w:jc w:val="center"/>
              <w:rPr>
                <w:rFonts w:ascii="Arial" w:hAnsi="Arial" w:cs="Arial"/>
                <w:b/>
                <w:bCs/>
                <w:color w:val="000000"/>
                <w:sz w:val="20"/>
                <w:szCs w:val="20"/>
              </w:rPr>
            </w:pPr>
            <w:r w:rsidRPr="00FD4828">
              <w:rPr>
                <w:rFonts w:ascii="Arial" w:hAnsi="Arial" w:cs="Arial"/>
                <w:b/>
                <w:bCs/>
                <w:color w:val="000000"/>
                <w:sz w:val="20"/>
                <w:szCs w:val="20"/>
              </w:rPr>
              <w:t>Indeks</w:t>
            </w:r>
          </w:p>
        </w:tc>
      </w:tr>
      <w:tr w:rsidR="00C6561B" w:rsidRPr="00FD4828" w14:paraId="6AE92C08" w14:textId="77777777" w:rsidTr="00C6561B">
        <w:trPr>
          <w:trHeight w:val="240"/>
          <w:jc w:val="center"/>
        </w:trPr>
        <w:tc>
          <w:tcPr>
            <w:tcW w:w="3305" w:type="dxa"/>
            <w:tcBorders>
              <w:top w:val="single" w:sz="4" w:space="0" w:color="auto"/>
              <w:left w:val="single" w:sz="4" w:space="0" w:color="auto"/>
              <w:bottom w:val="single" w:sz="4" w:space="0" w:color="auto"/>
              <w:right w:val="single" w:sz="4" w:space="0" w:color="auto"/>
            </w:tcBorders>
            <w:vAlign w:val="bottom"/>
            <w:hideMark/>
          </w:tcPr>
          <w:p w14:paraId="3A6DC39B" w14:textId="77777777" w:rsidR="00C6561B" w:rsidRPr="00FD4828" w:rsidRDefault="00C6561B">
            <w:pPr>
              <w:spacing w:line="254" w:lineRule="auto"/>
              <w:rPr>
                <w:rFonts w:ascii="Arial" w:hAnsi="Arial" w:cs="Arial"/>
                <w:color w:val="000000"/>
                <w:sz w:val="20"/>
                <w:szCs w:val="20"/>
              </w:rPr>
            </w:pPr>
            <w:r w:rsidRPr="00FD4828">
              <w:rPr>
                <w:rFonts w:ascii="Arial" w:hAnsi="Arial" w:cs="Arial"/>
                <w:color w:val="000000"/>
                <w:sz w:val="20"/>
                <w:szCs w:val="20"/>
              </w:rPr>
              <w:t>A500013 FINANCIRANJE REDOVNE DJELATNOSTI KNJIŽNICE</w:t>
            </w:r>
          </w:p>
        </w:tc>
        <w:tc>
          <w:tcPr>
            <w:tcW w:w="1971" w:type="dxa"/>
            <w:tcBorders>
              <w:top w:val="single" w:sz="4" w:space="0" w:color="auto"/>
              <w:left w:val="single" w:sz="4" w:space="0" w:color="auto"/>
              <w:bottom w:val="single" w:sz="4" w:space="0" w:color="auto"/>
              <w:right w:val="single" w:sz="4" w:space="0" w:color="auto"/>
            </w:tcBorders>
            <w:vAlign w:val="bottom"/>
            <w:hideMark/>
          </w:tcPr>
          <w:p w14:paraId="1FF5D618" w14:textId="77777777" w:rsidR="00C6561B" w:rsidRPr="00FD4828" w:rsidRDefault="00C6561B">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203.635,00</w:t>
            </w:r>
          </w:p>
        </w:tc>
        <w:tc>
          <w:tcPr>
            <w:tcW w:w="1721" w:type="dxa"/>
            <w:tcBorders>
              <w:top w:val="single" w:sz="4" w:space="0" w:color="auto"/>
              <w:left w:val="single" w:sz="4" w:space="0" w:color="auto"/>
              <w:bottom w:val="single" w:sz="4" w:space="0" w:color="auto"/>
              <w:right w:val="single" w:sz="4" w:space="0" w:color="auto"/>
            </w:tcBorders>
            <w:vAlign w:val="bottom"/>
            <w:hideMark/>
          </w:tcPr>
          <w:p w14:paraId="352326D1" w14:textId="77777777" w:rsidR="00C6561B" w:rsidRPr="00FD4828" w:rsidRDefault="00C6561B">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18.913,00</w:t>
            </w:r>
          </w:p>
        </w:tc>
        <w:tc>
          <w:tcPr>
            <w:tcW w:w="1843" w:type="dxa"/>
            <w:tcBorders>
              <w:top w:val="single" w:sz="4" w:space="0" w:color="auto"/>
              <w:left w:val="single" w:sz="4" w:space="0" w:color="auto"/>
              <w:bottom w:val="single" w:sz="4" w:space="0" w:color="auto"/>
              <w:right w:val="single" w:sz="4" w:space="0" w:color="auto"/>
            </w:tcBorders>
            <w:vAlign w:val="bottom"/>
            <w:hideMark/>
          </w:tcPr>
          <w:p w14:paraId="20950070" w14:textId="77777777" w:rsidR="00C6561B" w:rsidRPr="00FD4828" w:rsidRDefault="00C6561B">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222.548,00</w:t>
            </w:r>
          </w:p>
        </w:tc>
        <w:tc>
          <w:tcPr>
            <w:tcW w:w="1367" w:type="dxa"/>
            <w:tcBorders>
              <w:top w:val="single" w:sz="4" w:space="0" w:color="auto"/>
              <w:left w:val="single" w:sz="4" w:space="0" w:color="auto"/>
              <w:bottom w:val="single" w:sz="4" w:space="0" w:color="auto"/>
              <w:right w:val="single" w:sz="4" w:space="0" w:color="auto"/>
            </w:tcBorders>
            <w:vAlign w:val="bottom"/>
            <w:hideMark/>
          </w:tcPr>
          <w:p w14:paraId="0F3E7A5E" w14:textId="77777777" w:rsidR="00C6561B" w:rsidRPr="00FD4828" w:rsidRDefault="00C6561B">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109,29</w:t>
            </w:r>
          </w:p>
        </w:tc>
      </w:tr>
      <w:tr w:rsidR="00C6561B" w:rsidRPr="00FD4828" w14:paraId="2E89F411" w14:textId="77777777" w:rsidTr="00C6561B">
        <w:trPr>
          <w:trHeight w:val="240"/>
          <w:jc w:val="center"/>
        </w:trPr>
        <w:tc>
          <w:tcPr>
            <w:tcW w:w="3305" w:type="dxa"/>
            <w:tcBorders>
              <w:top w:val="single" w:sz="4" w:space="0" w:color="auto"/>
              <w:left w:val="single" w:sz="4" w:space="0" w:color="auto"/>
              <w:bottom w:val="single" w:sz="4" w:space="0" w:color="auto"/>
              <w:right w:val="single" w:sz="4" w:space="0" w:color="auto"/>
            </w:tcBorders>
            <w:vAlign w:val="bottom"/>
            <w:hideMark/>
          </w:tcPr>
          <w:p w14:paraId="0E4B1E7A" w14:textId="77777777" w:rsidR="00C6561B" w:rsidRPr="00FD4828" w:rsidRDefault="00C6561B">
            <w:pPr>
              <w:spacing w:line="254" w:lineRule="auto"/>
              <w:rPr>
                <w:rFonts w:ascii="Arial" w:hAnsi="Arial" w:cs="Arial"/>
                <w:color w:val="000000"/>
                <w:sz w:val="20"/>
                <w:szCs w:val="20"/>
              </w:rPr>
            </w:pPr>
            <w:r w:rsidRPr="00FD4828">
              <w:rPr>
                <w:rFonts w:ascii="Arial" w:hAnsi="Arial" w:cs="Arial"/>
                <w:color w:val="000000"/>
                <w:sz w:val="20"/>
                <w:szCs w:val="20"/>
              </w:rPr>
              <w:t>A500014 KNJIŽEVNI SUSRETI I RADIONICE</w:t>
            </w:r>
          </w:p>
        </w:tc>
        <w:tc>
          <w:tcPr>
            <w:tcW w:w="1971" w:type="dxa"/>
            <w:tcBorders>
              <w:top w:val="single" w:sz="4" w:space="0" w:color="auto"/>
              <w:left w:val="single" w:sz="4" w:space="0" w:color="auto"/>
              <w:bottom w:val="single" w:sz="4" w:space="0" w:color="auto"/>
              <w:right w:val="single" w:sz="4" w:space="0" w:color="auto"/>
            </w:tcBorders>
            <w:vAlign w:val="bottom"/>
            <w:hideMark/>
          </w:tcPr>
          <w:p w14:paraId="72DCF3A0" w14:textId="77777777" w:rsidR="00C6561B" w:rsidRPr="00FD4828" w:rsidRDefault="00C6561B">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10.400,00</w:t>
            </w:r>
          </w:p>
        </w:tc>
        <w:tc>
          <w:tcPr>
            <w:tcW w:w="1721" w:type="dxa"/>
            <w:tcBorders>
              <w:top w:val="single" w:sz="4" w:space="0" w:color="auto"/>
              <w:left w:val="single" w:sz="4" w:space="0" w:color="auto"/>
              <w:bottom w:val="single" w:sz="4" w:space="0" w:color="auto"/>
              <w:right w:val="single" w:sz="4" w:space="0" w:color="auto"/>
            </w:tcBorders>
            <w:vAlign w:val="bottom"/>
            <w:hideMark/>
          </w:tcPr>
          <w:p w14:paraId="217B4201" w14:textId="77777777" w:rsidR="00C6561B" w:rsidRPr="00FD4828" w:rsidRDefault="00C6561B">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3.740,00</w:t>
            </w:r>
          </w:p>
        </w:tc>
        <w:tc>
          <w:tcPr>
            <w:tcW w:w="1843" w:type="dxa"/>
            <w:tcBorders>
              <w:top w:val="single" w:sz="4" w:space="0" w:color="auto"/>
              <w:left w:val="single" w:sz="4" w:space="0" w:color="auto"/>
              <w:bottom w:val="single" w:sz="4" w:space="0" w:color="auto"/>
              <w:right w:val="single" w:sz="4" w:space="0" w:color="auto"/>
            </w:tcBorders>
            <w:vAlign w:val="bottom"/>
            <w:hideMark/>
          </w:tcPr>
          <w:p w14:paraId="109FE407" w14:textId="77777777" w:rsidR="00C6561B" w:rsidRPr="00FD4828" w:rsidRDefault="00C6561B">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14.140,00</w:t>
            </w:r>
          </w:p>
        </w:tc>
        <w:tc>
          <w:tcPr>
            <w:tcW w:w="1367" w:type="dxa"/>
            <w:tcBorders>
              <w:top w:val="single" w:sz="4" w:space="0" w:color="auto"/>
              <w:left w:val="single" w:sz="4" w:space="0" w:color="auto"/>
              <w:bottom w:val="single" w:sz="4" w:space="0" w:color="auto"/>
              <w:right w:val="single" w:sz="4" w:space="0" w:color="auto"/>
            </w:tcBorders>
            <w:vAlign w:val="bottom"/>
            <w:hideMark/>
          </w:tcPr>
          <w:p w14:paraId="60FB94D7" w14:textId="77777777" w:rsidR="00C6561B" w:rsidRPr="00FD4828" w:rsidRDefault="00C6561B">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135,96</w:t>
            </w:r>
          </w:p>
        </w:tc>
      </w:tr>
      <w:tr w:rsidR="00C6561B" w:rsidRPr="00FD4828" w14:paraId="7DB99B2B" w14:textId="77777777" w:rsidTr="00C6561B">
        <w:trPr>
          <w:trHeight w:val="240"/>
          <w:jc w:val="center"/>
        </w:trPr>
        <w:tc>
          <w:tcPr>
            <w:tcW w:w="330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D650298" w14:textId="77777777" w:rsidR="00C6561B" w:rsidRPr="00FD4828" w:rsidRDefault="00C6561B">
            <w:pPr>
              <w:spacing w:line="254" w:lineRule="auto"/>
              <w:rPr>
                <w:rFonts w:ascii="Arial" w:hAnsi="Arial" w:cs="Arial"/>
                <w:color w:val="000000"/>
                <w:sz w:val="20"/>
                <w:szCs w:val="20"/>
              </w:rPr>
            </w:pPr>
            <w:r w:rsidRPr="00FD4828">
              <w:rPr>
                <w:rFonts w:ascii="Arial" w:hAnsi="Arial" w:cs="Arial"/>
                <w:color w:val="000000"/>
                <w:sz w:val="20"/>
                <w:szCs w:val="20"/>
              </w:rPr>
              <w:t>K500001 KAPITALNA ULAGANJA</w:t>
            </w:r>
          </w:p>
        </w:tc>
        <w:tc>
          <w:tcPr>
            <w:tcW w:w="197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72179EE" w14:textId="77777777" w:rsidR="00C6561B" w:rsidRPr="00FD4828" w:rsidRDefault="00C6561B">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34.200,00</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A4F6AEA" w14:textId="77777777" w:rsidR="00C6561B" w:rsidRPr="00FD4828" w:rsidRDefault="00C6561B">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338,00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3C56979" w14:textId="77777777" w:rsidR="00C6561B" w:rsidRPr="00FD4828" w:rsidRDefault="00C6561B">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34.538,00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76C3853" w14:textId="77777777" w:rsidR="00C6561B" w:rsidRPr="00FD4828" w:rsidRDefault="00C6561B">
            <w:pPr>
              <w:spacing w:line="254" w:lineRule="auto"/>
              <w:ind w:firstLineChars="100" w:firstLine="200"/>
              <w:jc w:val="right"/>
              <w:rPr>
                <w:rFonts w:ascii="Arial" w:hAnsi="Arial" w:cs="Arial"/>
                <w:color w:val="000000"/>
                <w:sz w:val="20"/>
                <w:szCs w:val="20"/>
              </w:rPr>
            </w:pPr>
            <w:r w:rsidRPr="00FD4828">
              <w:rPr>
                <w:rFonts w:ascii="Arial" w:hAnsi="Arial" w:cs="Arial"/>
                <w:color w:val="000000"/>
                <w:sz w:val="20"/>
                <w:szCs w:val="20"/>
              </w:rPr>
              <w:t>100,99</w:t>
            </w:r>
          </w:p>
        </w:tc>
      </w:tr>
      <w:tr w:rsidR="00C6561B" w:rsidRPr="00FD4828" w14:paraId="1DC8C35E" w14:textId="77777777" w:rsidTr="00C6561B">
        <w:trPr>
          <w:trHeight w:val="240"/>
          <w:jc w:val="center"/>
        </w:trPr>
        <w:tc>
          <w:tcPr>
            <w:tcW w:w="3305" w:type="dxa"/>
            <w:tcBorders>
              <w:top w:val="single" w:sz="4" w:space="0" w:color="auto"/>
              <w:left w:val="single" w:sz="4" w:space="0" w:color="auto"/>
              <w:bottom w:val="single" w:sz="4" w:space="0" w:color="auto"/>
              <w:right w:val="single" w:sz="4" w:space="0" w:color="auto"/>
            </w:tcBorders>
            <w:shd w:val="clear" w:color="auto" w:fill="FFFFFF"/>
            <w:hideMark/>
          </w:tcPr>
          <w:p w14:paraId="5482CAB7" w14:textId="77777777" w:rsidR="00C6561B" w:rsidRPr="00FD4828" w:rsidRDefault="00C6561B">
            <w:pPr>
              <w:spacing w:line="254" w:lineRule="auto"/>
              <w:rPr>
                <w:rFonts w:ascii="Arial" w:hAnsi="Arial" w:cs="Arial"/>
                <w:b/>
                <w:bCs/>
                <w:sz w:val="20"/>
                <w:szCs w:val="20"/>
                <w:lang w:eastAsia="en-US"/>
              </w:rPr>
            </w:pPr>
            <w:r w:rsidRPr="00FD4828">
              <w:rPr>
                <w:rFonts w:ascii="Arial" w:hAnsi="Arial" w:cs="Arial"/>
                <w:b/>
                <w:bCs/>
                <w:sz w:val="20"/>
                <w:szCs w:val="20"/>
              </w:rPr>
              <w:t>SVEUKUPNO</w:t>
            </w:r>
          </w:p>
        </w:tc>
        <w:tc>
          <w:tcPr>
            <w:tcW w:w="1971" w:type="dxa"/>
            <w:tcBorders>
              <w:top w:val="single" w:sz="4" w:space="0" w:color="auto"/>
              <w:left w:val="single" w:sz="4" w:space="0" w:color="auto"/>
              <w:bottom w:val="single" w:sz="4" w:space="0" w:color="auto"/>
              <w:right w:val="single" w:sz="4" w:space="0" w:color="auto"/>
            </w:tcBorders>
            <w:shd w:val="clear" w:color="auto" w:fill="FFFFFF"/>
            <w:hideMark/>
          </w:tcPr>
          <w:p w14:paraId="38A79F54" w14:textId="77777777" w:rsidR="00C6561B" w:rsidRPr="00FD4828" w:rsidRDefault="00C6561B">
            <w:pPr>
              <w:spacing w:line="254" w:lineRule="auto"/>
              <w:jc w:val="right"/>
              <w:rPr>
                <w:rFonts w:ascii="Arial" w:hAnsi="Arial" w:cs="Arial"/>
                <w:b/>
                <w:bCs/>
                <w:sz w:val="20"/>
                <w:szCs w:val="20"/>
              </w:rPr>
            </w:pPr>
            <w:r w:rsidRPr="00FD4828">
              <w:rPr>
                <w:rFonts w:ascii="Arial" w:hAnsi="Arial" w:cs="Arial"/>
                <w:b/>
                <w:bCs/>
                <w:sz w:val="20"/>
                <w:szCs w:val="20"/>
              </w:rPr>
              <w:t>248.235,00</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119832FC" w14:textId="77777777" w:rsidR="00C6561B" w:rsidRPr="00FD4828" w:rsidRDefault="00C6561B">
            <w:pPr>
              <w:spacing w:line="254" w:lineRule="auto"/>
              <w:jc w:val="right"/>
              <w:rPr>
                <w:rFonts w:ascii="Arial" w:hAnsi="Arial" w:cs="Arial"/>
                <w:b/>
                <w:bCs/>
                <w:sz w:val="20"/>
                <w:szCs w:val="20"/>
              </w:rPr>
            </w:pPr>
            <w:r w:rsidRPr="00FD4828">
              <w:rPr>
                <w:rFonts w:ascii="Arial" w:hAnsi="Arial" w:cs="Arial"/>
                <w:b/>
                <w:bCs/>
                <w:sz w:val="20"/>
                <w:szCs w:val="20"/>
              </w:rPr>
              <w:t>22.991,00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6E89C61" w14:textId="77777777" w:rsidR="00C6561B" w:rsidRPr="00FD4828" w:rsidRDefault="00C6561B">
            <w:pPr>
              <w:spacing w:line="254" w:lineRule="auto"/>
              <w:jc w:val="right"/>
              <w:rPr>
                <w:rFonts w:ascii="Arial" w:hAnsi="Arial" w:cs="Arial"/>
                <w:b/>
                <w:bCs/>
                <w:sz w:val="20"/>
                <w:szCs w:val="20"/>
              </w:rPr>
            </w:pPr>
            <w:r w:rsidRPr="00FD4828">
              <w:rPr>
                <w:rFonts w:ascii="Arial" w:hAnsi="Arial" w:cs="Arial"/>
                <w:b/>
                <w:bCs/>
                <w:sz w:val="20"/>
                <w:szCs w:val="20"/>
              </w:rPr>
              <w:t>271.226,00</w:t>
            </w:r>
          </w:p>
        </w:tc>
        <w:tc>
          <w:tcPr>
            <w:tcW w:w="1367" w:type="dxa"/>
            <w:tcBorders>
              <w:top w:val="single" w:sz="4" w:space="0" w:color="auto"/>
              <w:left w:val="single" w:sz="4" w:space="0" w:color="auto"/>
              <w:bottom w:val="single" w:sz="4" w:space="0" w:color="auto"/>
              <w:right w:val="single" w:sz="4" w:space="0" w:color="auto"/>
            </w:tcBorders>
            <w:shd w:val="clear" w:color="auto" w:fill="FFFFFF"/>
            <w:hideMark/>
          </w:tcPr>
          <w:p w14:paraId="74C3FCDE" w14:textId="77777777" w:rsidR="00C6561B" w:rsidRPr="00FD4828" w:rsidRDefault="00C6561B">
            <w:pPr>
              <w:spacing w:line="254" w:lineRule="auto"/>
              <w:jc w:val="right"/>
              <w:rPr>
                <w:rFonts w:ascii="Arial" w:hAnsi="Arial" w:cs="Arial"/>
                <w:b/>
                <w:bCs/>
                <w:sz w:val="20"/>
                <w:szCs w:val="20"/>
              </w:rPr>
            </w:pPr>
            <w:r w:rsidRPr="00FD4828">
              <w:rPr>
                <w:rFonts w:ascii="Arial" w:hAnsi="Arial" w:cs="Arial"/>
                <w:b/>
                <w:bCs/>
                <w:sz w:val="20"/>
                <w:szCs w:val="20"/>
              </w:rPr>
              <w:t>109,26</w:t>
            </w:r>
          </w:p>
        </w:tc>
      </w:tr>
    </w:tbl>
    <w:p w14:paraId="39FBA439" w14:textId="77777777" w:rsidR="00C6561B" w:rsidRDefault="00C6561B" w:rsidP="00C6561B">
      <w:pPr>
        <w:suppressAutoHyphens/>
        <w:jc w:val="both"/>
        <w:rPr>
          <w:rFonts w:ascii="Arial" w:hAnsi="Arial" w:cs="Arial"/>
          <w:kern w:val="2"/>
          <w:lang w:eastAsia="en-US"/>
          <w14:ligatures w14:val="standardContextual"/>
        </w:rPr>
      </w:pPr>
    </w:p>
    <w:p w14:paraId="05D7E598" w14:textId="77777777" w:rsidR="00C6561B" w:rsidRDefault="00C6561B" w:rsidP="00C6561B">
      <w:pPr>
        <w:suppressAutoHyphens/>
        <w:jc w:val="both"/>
        <w:rPr>
          <w:rFonts w:ascii="Arial" w:hAnsi="Arial" w:cs="Arial"/>
        </w:rPr>
      </w:pPr>
    </w:p>
    <w:p w14:paraId="468FA540" w14:textId="77777777" w:rsidR="00C6561B" w:rsidRDefault="00C6561B" w:rsidP="00C6561B">
      <w:pPr>
        <w:suppressAutoHyphens/>
        <w:jc w:val="both"/>
        <w:rPr>
          <w:rFonts w:ascii="Arial" w:hAnsi="Arial" w:cs="Arial"/>
        </w:rPr>
      </w:pPr>
    </w:p>
    <w:p w14:paraId="0FC36876" w14:textId="77777777" w:rsidR="00C6561B" w:rsidRDefault="00C6561B" w:rsidP="00C6561B">
      <w:pPr>
        <w:suppressAutoHyphens/>
        <w:jc w:val="both"/>
        <w:rPr>
          <w:rFonts w:ascii="Arial" w:hAnsi="Arial" w:cs="Arial"/>
        </w:rPr>
      </w:pPr>
    </w:p>
    <w:p w14:paraId="3531B4A4" w14:textId="1C6B197C" w:rsidR="00C6561B" w:rsidRDefault="00C6561B" w:rsidP="00C6561B">
      <w:pPr>
        <w:suppressAutoHyphens/>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EEBBF49" w14:textId="77777777" w:rsidR="00C6561B" w:rsidRDefault="00C6561B" w:rsidP="00C6561B">
      <w:pPr>
        <w:suppressAutoHyphens/>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51626D7" w14:textId="77777777" w:rsidR="00C6561B" w:rsidRDefault="00C6561B" w:rsidP="00C6561B">
      <w:pPr>
        <w:suppressAutoHyphens/>
        <w:jc w:val="right"/>
        <w:rPr>
          <w:rFonts w:ascii="Arial" w:hAnsi="Arial" w:cs="Arial"/>
        </w:rPr>
      </w:pPr>
    </w:p>
    <w:p w14:paraId="7DDCDF57" w14:textId="77777777" w:rsidR="00C6561B" w:rsidRDefault="00C6561B" w:rsidP="00C6561B">
      <w:pPr>
        <w:rPr>
          <w:rFonts w:ascii="Arial" w:hAnsi="Arial" w:cs="Arial"/>
        </w:rPr>
      </w:pPr>
    </w:p>
    <w:p w14:paraId="1D71199F" w14:textId="77777777" w:rsidR="00C6561B" w:rsidRDefault="00C6561B" w:rsidP="00C6561B">
      <w:pPr>
        <w:rPr>
          <w:rFonts w:ascii="Arial" w:hAnsi="Arial" w:cs="Arial"/>
          <w:b/>
          <w:bCs/>
        </w:rPr>
      </w:pPr>
    </w:p>
    <w:p w14:paraId="74AC2978" w14:textId="77777777" w:rsidR="004E07DB" w:rsidRDefault="004E07DB" w:rsidP="005F7F98">
      <w:pPr>
        <w:contextualSpacing/>
        <w:rPr>
          <w:rFonts w:ascii="Arial" w:hAnsi="Arial" w:cs="Arial"/>
        </w:rPr>
      </w:pPr>
    </w:p>
    <w:p w14:paraId="56FDF372" w14:textId="77777777" w:rsidR="004E07DB" w:rsidRDefault="004E07DB" w:rsidP="005F7F98">
      <w:pPr>
        <w:contextualSpacing/>
        <w:rPr>
          <w:rFonts w:ascii="Arial" w:hAnsi="Arial" w:cs="Arial"/>
        </w:rPr>
      </w:pPr>
    </w:p>
    <w:p w14:paraId="01431EDC" w14:textId="77777777" w:rsidR="004E07DB" w:rsidRDefault="004E07DB" w:rsidP="005F7F98">
      <w:pPr>
        <w:contextualSpacing/>
        <w:rPr>
          <w:rFonts w:ascii="Arial" w:hAnsi="Arial" w:cs="Arial"/>
        </w:rPr>
      </w:pPr>
    </w:p>
    <w:p w14:paraId="315D8BAA" w14:textId="77777777" w:rsidR="004E07DB" w:rsidRDefault="004E07DB" w:rsidP="005F7F98">
      <w:pPr>
        <w:contextualSpacing/>
        <w:rPr>
          <w:rFonts w:ascii="Arial" w:hAnsi="Arial" w:cs="Arial"/>
        </w:rPr>
      </w:pPr>
    </w:p>
    <w:p w14:paraId="2F51FABE" w14:textId="77777777" w:rsidR="004E07DB" w:rsidRDefault="004E07DB" w:rsidP="005F7F98">
      <w:pPr>
        <w:contextualSpacing/>
        <w:rPr>
          <w:rFonts w:ascii="Arial" w:hAnsi="Arial" w:cs="Arial"/>
        </w:rPr>
      </w:pPr>
    </w:p>
    <w:p w14:paraId="4CB99610" w14:textId="77777777" w:rsidR="004E07DB" w:rsidRDefault="004E07DB" w:rsidP="005F7F98">
      <w:pPr>
        <w:contextualSpacing/>
        <w:rPr>
          <w:rFonts w:ascii="Arial" w:hAnsi="Arial" w:cs="Arial"/>
        </w:rPr>
      </w:pPr>
    </w:p>
    <w:p w14:paraId="5EAC7F45" w14:textId="77777777" w:rsidR="004E07DB" w:rsidRDefault="004E07DB" w:rsidP="005F7F98">
      <w:pPr>
        <w:contextualSpacing/>
        <w:rPr>
          <w:rFonts w:ascii="Arial" w:hAnsi="Arial" w:cs="Arial"/>
        </w:rPr>
      </w:pPr>
    </w:p>
    <w:p w14:paraId="557B6B1B" w14:textId="77777777" w:rsidR="004E07DB" w:rsidRDefault="004E07DB" w:rsidP="005F7F98">
      <w:pPr>
        <w:contextualSpacing/>
        <w:rPr>
          <w:rFonts w:ascii="Arial" w:hAnsi="Arial" w:cs="Arial"/>
        </w:rPr>
      </w:pPr>
    </w:p>
    <w:p w14:paraId="041E5B1E" w14:textId="77777777" w:rsidR="004E07DB" w:rsidRDefault="004E07DB" w:rsidP="005F7F98">
      <w:pPr>
        <w:contextualSpacing/>
        <w:rPr>
          <w:rFonts w:ascii="Arial" w:hAnsi="Arial" w:cs="Arial"/>
        </w:rPr>
      </w:pPr>
    </w:p>
    <w:p w14:paraId="079CD39F" w14:textId="77777777" w:rsidR="004E07DB" w:rsidRDefault="004E07DB" w:rsidP="005F7F98">
      <w:pPr>
        <w:contextualSpacing/>
        <w:rPr>
          <w:rFonts w:ascii="Arial" w:hAnsi="Arial" w:cs="Arial"/>
        </w:rPr>
      </w:pPr>
    </w:p>
    <w:p w14:paraId="109E7F3C" w14:textId="77777777" w:rsidR="004E07DB" w:rsidRDefault="004E07DB" w:rsidP="005F7F98">
      <w:pPr>
        <w:contextualSpacing/>
        <w:rPr>
          <w:rFonts w:ascii="Arial" w:hAnsi="Arial" w:cs="Arial"/>
        </w:rPr>
      </w:pPr>
    </w:p>
    <w:p w14:paraId="7C08CC60" w14:textId="77777777" w:rsidR="004E07DB" w:rsidRDefault="004E07DB" w:rsidP="005F7F98">
      <w:pPr>
        <w:contextualSpacing/>
        <w:rPr>
          <w:rFonts w:ascii="Arial" w:hAnsi="Arial" w:cs="Arial"/>
        </w:rPr>
      </w:pPr>
    </w:p>
    <w:p w14:paraId="16C95B97" w14:textId="77777777" w:rsidR="004E07DB" w:rsidRDefault="004E07DB" w:rsidP="005F7F98">
      <w:pPr>
        <w:contextualSpacing/>
        <w:rPr>
          <w:rFonts w:ascii="Arial" w:hAnsi="Arial" w:cs="Arial"/>
        </w:rPr>
      </w:pPr>
    </w:p>
    <w:p w14:paraId="26EDC2B5" w14:textId="77777777" w:rsidR="004E07DB" w:rsidRDefault="004E07DB" w:rsidP="005F7F98">
      <w:pPr>
        <w:contextualSpacing/>
        <w:rPr>
          <w:rFonts w:ascii="Arial" w:hAnsi="Arial" w:cs="Arial"/>
        </w:rPr>
      </w:pPr>
    </w:p>
    <w:p w14:paraId="3C5E78B9" w14:textId="77777777" w:rsidR="004E07DB" w:rsidRDefault="004E07DB" w:rsidP="005F7F98">
      <w:pPr>
        <w:contextualSpacing/>
        <w:rPr>
          <w:rFonts w:ascii="Arial" w:hAnsi="Arial" w:cs="Arial"/>
        </w:rPr>
      </w:pPr>
    </w:p>
    <w:p w14:paraId="292916A4" w14:textId="77777777" w:rsidR="004E07DB" w:rsidRDefault="004E07DB" w:rsidP="005F7F98">
      <w:pPr>
        <w:contextualSpacing/>
        <w:rPr>
          <w:rFonts w:ascii="Arial" w:hAnsi="Arial" w:cs="Arial"/>
        </w:rPr>
      </w:pPr>
    </w:p>
    <w:p w14:paraId="121F6AB1" w14:textId="77777777" w:rsidR="004E07DB" w:rsidRDefault="004E07DB" w:rsidP="005F7F98">
      <w:pPr>
        <w:contextualSpacing/>
        <w:rPr>
          <w:rFonts w:ascii="Arial" w:hAnsi="Arial" w:cs="Arial"/>
        </w:rPr>
      </w:pPr>
    </w:p>
    <w:p w14:paraId="4BB2DFA3" w14:textId="77777777" w:rsidR="004E07DB" w:rsidRDefault="004E07DB" w:rsidP="005F7F98">
      <w:pPr>
        <w:contextualSpacing/>
        <w:rPr>
          <w:rFonts w:ascii="Arial" w:hAnsi="Arial" w:cs="Arial"/>
        </w:rPr>
      </w:pPr>
    </w:p>
    <w:p w14:paraId="622EAA9D" w14:textId="77777777" w:rsidR="004E07DB" w:rsidRDefault="004E07DB" w:rsidP="005F7F98">
      <w:pPr>
        <w:contextualSpacing/>
        <w:rPr>
          <w:rFonts w:ascii="Arial" w:hAnsi="Arial" w:cs="Arial"/>
        </w:rPr>
      </w:pPr>
    </w:p>
    <w:p w14:paraId="41685367" w14:textId="77777777" w:rsidR="004E07DB" w:rsidRDefault="004E07DB" w:rsidP="005F7F98">
      <w:pPr>
        <w:contextualSpacing/>
        <w:rPr>
          <w:rFonts w:ascii="Arial" w:hAnsi="Arial" w:cs="Arial"/>
        </w:rPr>
      </w:pPr>
    </w:p>
    <w:p w14:paraId="76ADCB43" w14:textId="77777777" w:rsidR="004E07DB" w:rsidRDefault="004E07DB" w:rsidP="005F7F98">
      <w:pPr>
        <w:contextualSpacing/>
        <w:rPr>
          <w:rFonts w:ascii="Arial" w:hAnsi="Arial" w:cs="Arial"/>
        </w:rPr>
      </w:pPr>
    </w:p>
    <w:p w14:paraId="50BCE654" w14:textId="77777777" w:rsidR="004E07DB" w:rsidRDefault="004E07DB" w:rsidP="005F7F98">
      <w:pPr>
        <w:contextualSpacing/>
        <w:rPr>
          <w:rFonts w:ascii="Arial" w:hAnsi="Arial" w:cs="Arial"/>
        </w:rPr>
      </w:pPr>
    </w:p>
    <w:p w14:paraId="2E9814EA" w14:textId="77777777" w:rsidR="004E07DB" w:rsidRDefault="004E07DB" w:rsidP="005F7F98">
      <w:pPr>
        <w:contextualSpacing/>
        <w:rPr>
          <w:rFonts w:ascii="Arial" w:hAnsi="Arial" w:cs="Arial"/>
        </w:rPr>
      </w:pPr>
    </w:p>
    <w:p w14:paraId="5BA3445F" w14:textId="77777777" w:rsidR="004E07DB" w:rsidRDefault="004E07DB" w:rsidP="005F7F98">
      <w:pPr>
        <w:contextualSpacing/>
        <w:rPr>
          <w:rFonts w:ascii="Arial" w:hAnsi="Arial" w:cs="Arial"/>
        </w:rPr>
      </w:pPr>
    </w:p>
    <w:p w14:paraId="33DE563F" w14:textId="77777777" w:rsidR="004E07DB" w:rsidRDefault="004E07DB" w:rsidP="005F7F98">
      <w:pPr>
        <w:contextualSpacing/>
        <w:rPr>
          <w:rFonts w:ascii="Arial" w:hAnsi="Arial" w:cs="Arial"/>
        </w:rPr>
      </w:pPr>
    </w:p>
    <w:p w14:paraId="4636C851" w14:textId="77777777" w:rsidR="004E07DB" w:rsidRDefault="004E07DB" w:rsidP="005F7F98">
      <w:pPr>
        <w:contextualSpacing/>
        <w:rPr>
          <w:rFonts w:ascii="Arial" w:hAnsi="Arial" w:cs="Arial"/>
        </w:rPr>
      </w:pPr>
    </w:p>
    <w:p w14:paraId="73EDED2A" w14:textId="77777777" w:rsidR="004E07DB" w:rsidRDefault="004E07DB" w:rsidP="005F7F98">
      <w:pPr>
        <w:contextualSpacing/>
        <w:rPr>
          <w:rFonts w:ascii="Arial" w:hAnsi="Arial" w:cs="Arial"/>
        </w:rPr>
      </w:pPr>
    </w:p>
    <w:p w14:paraId="4E139FBC" w14:textId="77777777" w:rsidR="004E07DB" w:rsidRDefault="004E07DB" w:rsidP="005F7F98">
      <w:pPr>
        <w:contextualSpacing/>
        <w:rPr>
          <w:rFonts w:ascii="Arial" w:hAnsi="Arial" w:cs="Arial"/>
        </w:rPr>
      </w:pPr>
    </w:p>
    <w:p w14:paraId="7D00DA5B" w14:textId="77777777" w:rsidR="004E07DB" w:rsidRDefault="004E07DB" w:rsidP="005F7F98">
      <w:pPr>
        <w:contextualSpacing/>
        <w:rPr>
          <w:rFonts w:ascii="Arial" w:hAnsi="Arial" w:cs="Arial"/>
        </w:rPr>
      </w:pPr>
    </w:p>
    <w:p w14:paraId="51E9FBD0" w14:textId="77777777" w:rsidR="004E07DB" w:rsidRDefault="004E07DB" w:rsidP="005F7F98">
      <w:pPr>
        <w:contextualSpacing/>
        <w:rPr>
          <w:rFonts w:ascii="Arial" w:hAnsi="Arial" w:cs="Arial"/>
        </w:rPr>
      </w:pPr>
    </w:p>
    <w:p w14:paraId="55C651A2" w14:textId="77777777" w:rsidR="004E07DB" w:rsidRDefault="004E07DB" w:rsidP="005F7F98">
      <w:pPr>
        <w:contextualSpacing/>
        <w:rPr>
          <w:rFonts w:ascii="Arial" w:hAnsi="Arial" w:cs="Arial"/>
        </w:rPr>
      </w:pPr>
    </w:p>
    <w:p w14:paraId="523A8C4A" w14:textId="092F595A" w:rsidR="004B164D" w:rsidRDefault="004B164D" w:rsidP="004B164D">
      <w:pPr>
        <w:jc w:val="center"/>
        <w:rPr>
          <w:rFonts w:ascii="Arial" w:hAnsi="Arial" w:cs="Arial"/>
          <w:b/>
        </w:rPr>
      </w:pPr>
      <w:r w:rsidRPr="00D32786">
        <w:rPr>
          <w:rFonts w:ascii="Arial" w:hAnsi="Arial" w:cs="Arial"/>
          <w:b/>
        </w:rPr>
        <w:lastRenderedPageBreak/>
        <w:t xml:space="preserve">USTANOVE U </w:t>
      </w:r>
      <w:r>
        <w:rPr>
          <w:rFonts w:ascii="Arial" w:hAnsi="Arial" w:cs="Arial"/>
          <w:b/>
        </w:rPr>
        <w:t>SOCIJALNOJ SKRBI</w:t>
      </w:r>
    </w:p>
    <w:p w14:paraId="0E5BAF6E" w14:textId="3B12EA7C" w:rsidR="00F03BEC" w:rsidRDefault="004B164D" w:rsidP="00F03BEC">
      <w:pPr>
        <w:jc w:val="center"/>
      </w:pPr>
      <w:r w:rsidRPr="00F70DCD">
        <w:rPr>
          <w:rFonts w:ascii="Arial" w:hAnsi="Arial" w:cs="Arial"/>
          <w:b/>
          <w:bCs/>
          <w:color w:val="FFFFFF"/>
          <w:sz w:val="20"/>
          <w:szCs w:val="20"/>
        </w:rPr>
        <w:t xml:space="preserve">USTANOVE U </w:t>
      </w:r>
    </w:p>
    <w:p w14:paraId="6E65B672" w14:textId="26A603F5" w:rsidR="00F03BEC" w:rsidRDefault="00F03BEC" w:rsidP="00F03BEC">
      <w:pPr>
        <w:jc w:val="center"/>
        <w:rPr>
          <w:rFonts w:ascii="Arial" w:hAnsi="Arial" w:cs="Arial"/>
          <w:b/>
          <w:bCs/>
          <w:color w:val="000000"/>
        </w:rPr>
      </w:pPr>
      <w:r w:rsidRPr="00890D84">
        <w:rPr>
          <w:rFonts w:ascii="Arial" w:hAnsi="Arial" w:cs="Arial"/>
          <w:b/>
          <w:bCs/>
          <w:color w:val="000000"/>
        </w:rPr>
        <w:t xml:space="preserve">PRORAČUNSKI KORISNIK </w:t>
      </w:r>
      <w:r w:rsidR="00FD4828" w:rsidRPr="00FD4828">
        <w:rPr>
          <w:rFonts w:ascii="Arial" w:hAnsi="Arial" w:cs="Arial"/>
          <w:b/>
          <w:bCs/>
          <w:color w:val="000000"/>
        </w:rPr>
        <w:t>53994</w:t>
      </w:r>
      <w:r w:rsidR="004B164D">
        <w:rPr>
          <w:rFonts w:ascii="Arial" w:hAnsi="Arial" w:cs="Arial"/>
          <w:b/>
          <w:bCs/>
          <w:color w:val="000000"/>
        </w:rPr>
        <w:t>: DOM ZA STARIJE OSOBE LABIN</w:t>
      </w:r>
    </w:p>
    <w:p w14:paraId="03713512" w14:textId="77777777" w:rsidR="002B38A3" w:rsidRDefault="002B38A3" w:rsidP="00F03BEC">
      <w:pPr>
        <w:jc w:val="center"/>
        <w:rPr>
          <w:rFonts w:ascii="Arial" w:hAnsi="Arial" w:cs="Arial"/>
          <w:b/>
          <w:bCs/>
          <w:color w:val="000000"/>
        </w:rPr>
      </w:pPr>
    </w:p>
    <w:p w14:paraId="5C6099C7" w14:textId="77777777" w:rsidR="002B38A3" w:rsidRPr="00910E56" w:rsidRDefault="002B38A3" w:rsidP="002B38A3">
      <w:pPr>
        <w:jc w:val="center"/>
        <w:rPr>
          <w:b/>
          <w:bCs/>
          <w:u w:val="single"/>
        </w:rPr>
      </w:pPr>
      <w:r w:rsidRPr="00910E56">
        <w:rPr>
          <w:b/>
          <w:bCs/>
          <w:u w:val="single"/>
        </w:rPr>
        <w:t xml:space="preserve">OBRAZLOŽENJE </w:t>
      </w:r>
      <w:r>
        <w:rPr>
          <w:b/>
          <w:bCs/>
          <w:u w:val="single"/>
        </w:rPr>
        <w:t>PRIJEDLOGA I</w:t>
      </w:r>
      <w:r w:rsidRPr="00910E56">
        <w:rPr>
          <w:b/>
          <w:bCs/>
          <w:u w:val="single"/>
        </w:rPr>
        <w:t xml:space="preserve">. IZMJENA I DOPUNA FINANCIJSKOG PLANA </w:t>
      </w:r>
    </w:p>
    <w:p w14:paraId="00F850DF" w14:textId="77777777" w:rsidR="002B38A3" w:rsidRPr="00910E56" w:rsidRDefault="002B38A3" w:rsidP="002B38A3">
      <w:pPr>
        <w:jc w:val="center"/>
        <w:rPr>
          <w:b/>
          <w:bCs/>
          <w:u w:val="single"/>
        </w:rPr>
      </w:pPr>
      <w:r w:rsidRPr="00910E56">
        <w:rPr>
          <w:b/>
          <w:bCs/>
          <w:u w:val="single"/>
        </w:rPr>
        <w:t>DOMA ZA STARIJE OSOBE LABIN ZA 202</w:t>
      </w:r>
      <w:r>
        <w:rPr>
          <w:b/>
          <w:bCs/>
          <w:u w:val="single"/>
        </w:rPr>
        <w:t>5</w:t>
      </w:r>
      <w:r w:rsidRPr="00910E56">
        <w:rPr>
          <w:b/>
          <w:bCs/>
          <w:u w:val="single"/>
        </w:rPr>
        <w:t>. GODINU</w:t>
      </w:r>
    </w:p>
    <w:p w14:paraId="51432BDD" w14:textId="77777777" w:rsidR="002B38A3" w:rsidRPr="00910E56" w:rsidRDefault="002B38A3" w:rsidP="002B38A3">
      <w:pPr>
        <w:jc w:val="center"/>
        <w:rPr>
          <w:b/>
          <w:bCs/>
          <w:u w:val="single"/>
        </w:rPr>
      </w:pPr>
    </w:p>
    <w:p w14:paraId="18F6A79D" w14:textId="77777777" w:rsidR="002B38A3" w:rsidRPr="00780985" w:rsidRDefault="002B38A3" w:rsidP="00780985">
      <w:pPr>
        <w:spacing w:line="259" w:lineRule="auto"/>
        <w:jc w:val="both"/>
        <w:rPr>
          <w:rFonts w:ascii="Arial" w:hAnsi="Arial" w:cs="Arial"/>
          <w:b/>
          <w:bCs/>
          <w:sz w:val="22"/>
          <w:szCs w:val="22"/>
        </w:rPr>
      </w:pPr>
    </w:p>
    <w:p w14:paraId="4619651B"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sz w:val="22"/>
          <w:szCs w:val="22"/>
        </w:rPr>
        <w:t>Sukladno promjenama okolnosti poslovanja Dom za starije osobe Labin u 2025. godini predlaže I. Izmjene i dopune usvojenog Financijskog plana za 2025. godinu.</w:t>
      </w:r>
    </w:p>
    <w:p w14:paraId="57489406"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sz w:val="22"/>
          <w:szCs w:val="22"/>
        </w:rPr>
        <w:t xml:space="preserve">Ukupno povećanje planiranog iznosa sredstava za 2025. godinu iznosi 35.631,00 </w:t>
      </w:r>
      <w:proofErr w:type="spellStart"/>
      <w:r w:rsidRPr="00780985">
        <w:rPr>
          <w:rFonts w:ascii="Arial" w:hAnsi="Arial" w:cs="Arial"/>
          <w:sz w:val="22"/>
          <w:szCs w:val="22"/>
        </w:rPr>
        <w:t>eur</w:t>
      </w:r>
      <w:proofErr w:type="spellEnd"/>
      <w:r w:rsidRPr="00780985">
        <w:rPr>
          <w:rFonts w:ascii="Arial" w:hAnsi="Arial" w:cs="Arial"/>
          <w:sz w:val="22"/>
          <w:szCs w:val="22"/>
        </w:rPr>
        <w:t xml:space="preserve"> (2,05%).</w:t>
      </w:r>
    </w:p>
    <w:p w14:paraId="16639481"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sz w:val="22"/>
          <w:szCs w:val="22"/>
        </w:rPr>
        <w:t xml:space="preserve">       </w:t>
      </w:r>
    </w:p>
    <w:p w14:paraId="0544E90A" w14:textId="77777777" w:rsidR="002B38A3" w:rsidRDefault="002B38A3" w:rsidP="002B38A3">
      <w:pPr>
        <w:rPr>
          <w:b/>
          <w:bCs/>
        </w:rPr>
      </w:pPr>
    </w:p>
    <w:tbl>
      <w:tblPr>
        <w:tblStyle w:val="Reetkatablice1"/>
        <w:tblW w:w="0" w:type="auto"/>
        <w:tblInd w:w="-113" w:type="dxa"/>
        <w:tblLook w:val="04A0" w:firstRow="1" w:lastRow="0" w:firstColumn="1" w:lastColumn="0" w:noHBand="0" w:noVBand="1"/>
      </w:tblPr>
      <w:tblGrid>
        <w:gridCol w:w="1272"/>
        <w:gridCol w:w="2310"/>
        <w:gridCol w:w="1695"/>
        <w:gridCol w:w="2063"/>
        <w:gridCol w:w="1835"/>
      </w:tblGrid>
      <w:tr w:rsidR="00780985" w:rsidRPr="00780985" w14:paraId="36D027E6" w14:textId="77777777" w:rsidTr="00780985">
        <w:trPr>
          <w:trHeight w:val="340"/>
        </w:trPr>
        <w:tc>
          <w:tcPr>
            <w:tcW w:w="1289" w:type="dxa"/>
            <w:tcBorders>
              <w:bottom w:val="single" w:sz="4" w:space="0" w:color="auto"/>
            </w:tcBorders>
            <w:shd w:val="clear" w:color="auto" w:fill="AEAAAA" w:themeFill="background2" w:themeFillShade="BF"/>
            <w:noWrap/>
            <w:hideMark/>
          </w:tcPr>
          <w:p w14:paraId="3FACE5BF" w14:textId="102F55EC" w:rsidR="002B38A3" w:rsidRPr="00780985" w:rsidRDefault="002B38A3" w:rsidP="00780985">
            <w:pPr>
              <w:rPr>
                <w:rFonts w:ascii="Arial" w:hAnsi="Arial" w:cs="Arial"/>
                <w:b/>
                <w:bCs/>
                <w:sz w:val="20"/>
                <w:szCs w:val="20"/>
              </w:rPr>
            </w:pPr>
            <w:r w:rsidRPr="00780985">
              <w:rPr>
                <w:rFonts w:ascii="Arial" w:hAnsi="Arial" w:cs="Arial"/>
                <w:b/>
                <w:bCs/>
                <w:sz w:val="20"/>
                <w:szCs w:val="20"/>
              </w:rPr>
              <w:t>RAZRED/</w:t>
            </w:r>
            <w:r w:rsidR="00780985">
              <w:rPr>
                <w:rFonts w:ascii="Arial" w:hAnsi="Arial" w:cs="Arial"/>
                <w:b/>
                <w:bCs/>
                <w:sz w:val="20"/>
                <w:szCs w:val="20"/>
              </w:rPr>
              <w:t xml:space="preserve"> </w:t>
            </w:r>
            <w:r w:rsidRPr="00780985">
              <w:rPr>
                <w:rFonts w:ascii="Arial" w:hAnsi="Arial" w:cs="Arial"/>
                <w:b/>
                <w:bCs/>
                <w:sz w:val="20"/>
                <w:szCs w:val="20"/>
              </w:rPr>
              <w:t>SKUPINA</w:t>
            </w:r>
          </w:p>
        </w:tc>
        <w:tc>
          <w:tcPr>
            <w:tcW w:w="2345" w:type="dxa"/>
            <w:tcBorders>
              <w:bottom w:val="single" w:sz="4" w:space="0" w:color="auto"/>
            </w:tcBorders>
            <w:shd w:val="clear" w:color="auto" w:fill="AEAAAA" w:themeFill="background2" w:themeFillShade="BF"/>
            <w:noWrap/>
            <w:hideMark/>
          </w:tcPr>
          <w:p w14:paraId="66F6A44E" w14:textId="77777777" w:rsidR="002B38A3" w:rsidRPr="00780985" w:rsidRDefault="002B38A3" w:rsidP="00780985">
            <w:pPr>
              <w:rPr>
                <w:rFonts w:ascii="Arial" w:hAnsi="Arial" w:cs="Arial"/>
                <w:b/>
                <w:bCs/>
                <w:sz w:val="20"/>
                <w:szCs w:val="20"/>
              </w:rPr>
            </w:pPr>
            <w:r w:rsidRPr="00780985">
              <w:rPr>
                <w:rFonts w:ascii="Arial" w:hAnsi="Arial" w:cs="Arial"/>
                <w:b/>
                <w:bCs/>
                <w:sz w:val="20"/>
                <w:szCs w:val="20"/>
              </w:rPr>
              <w:t>VRSTA PRIHODA / PRIMITAKA</w:t>
            </w:r>
          </w:p>
        </w:tc>
        <w:tc>
          <w:tcPr>
            <w:tcW w:w="1719" w:type="dxa"/>
            <w:tcBorders>
              <w:bottom w:val="single" w:sz="4" w:space="0" w:color="auto"/>
            </w:tcBorders>
            <w:shd w:val="clear" w:color="auto" w:fill="AEAAAA" w:themeFill="background2" w:themeFillShade="BF"/>
            <w:noWrap/>
            <w:hideMark/>
          </w:tcPr>
          <w:p w14:paraId="1F0A2EF6" w14:textId="77777777" w:rsidR="002B38A3" w:rsidRPr="00780985" w:rsidRDefault="002B38A3" w:rsidP="00780985">
            <w:pPr>
              <w:jc w:val="center"/>
              <w:rPr>
                <w:rFonts w:ascii="Arial" w:hAnsi="Arial" w:cs="Arial"/>
                <w:b/>
                <w:bCs/>
                <w:sz w:val="20"/>
                <w:szCs w:val="20"/>
              </w:rPr>
            </w:pPr>
            <w:r w:rsidRPr="00780985">
              <w:rPr>
                <w:rFonts w:ascii="Arial" w:hAnsi="Arial" w:cs="Arial"/>
                <w:b/>
                <w:bCs/>
                <w:sz w:val="20"/>
                <w:szCs w:val="20"/>
              </w:rPr>
              <w:t>PLAN 2025.</w:t>
            </w:r>
          </w:p>
        </w:tc>
        <w:tc>
          <w:tcPr>
            <w:tcW w:w="2094" w:type="dxa"/>
            <w:tcBorders>
              <w:bottom w:val="single" w:sz="4" w:space="0" w:color="auto"/>
            </w:tcBorders>
            <w:shd w:val="clear" w:color="auto" w:fill="AEAAAA" w:themeFill="background2" w:themeFillShade="BF"/>
            <w:noWrap/>
            <w:hideMark/>
          </w:tcPr>
          <w:p w14:paraId="64B8590C" w14:textId="4D94C016" w:rsidR="002B38A3" w:rsidRPr="00780985" w:rsidRDefault="002B38A3" w:rsidP="00780985">
            <w:pPr>
              <w:jc w:val="center"/>
              <w:rPr>
                <w:rFonts w:ascii="Arial" w:hAnsi="Arial" w:cs="Arial"/>
                <w:b/>
                <w:bCs/>
                <w:sz w:val="20"/>
                <w:szCs w:val="20"/>
              </w:rPr>
            </w:pPr>
            <w:r w:rsidRPr="00780985">
              <w:rPr>
                <w:rFonts w:ascii="Arial" w:hAnsi="Arial" w:cs="Arial"/>
                <w:b/>
                <w:bCs/>
                <w:sz w:val="20"/>
                <w:szCs w:val="20"/>
              </w:rPr>
              <w:t>POVEĆANJE/</w:t>
            </w:r>
            <w:r w:rsidR="00780985">
              <w:rPr>
                <w:rFonts w:ascii="Arial" w:hAnsi="Arial" w:cs="Arial"/>
                <w:b/>
                <w:bCs/>
                <w:sz w:val="20"/>
                <w:szCs w:val="20"/>
              </w:rPr>
              <w:t xml:space="preserve"> </w:t>
            </w:r>
            <w:r w:rsidRPr="00780985">
              <w:rPr>
                <w:rFonts w:ascii="Arial" w:hAnsi="Arial" w:cs="Arial"/>
                <w:b/>
                <w:bCs/>
                <w:sz w:val="20"/>
                <w:szCs w:val="20"/>
              </w:rPr>
              <w:t>SMANJENJE</w:t>
            </w:r>
          </w:p>
        </w:tc>
        <w:tc>
          <w:tcPr>
            <w:tcW w:w="0" w:type="auto"/>
            <w:tcBorders>
              <w:bottom w:val="single" w:sz="4" w:space="0" w:color="auto"/>
            </w:tcBorders>
            <w:shd w:val="clear" w:color="auto" w:fill="AEAAAA" w:themeFill="background2" w:themeFillShade="BF"/>
            <w:noWrap/>
            <w:hideMark/>
          </w:tcPr>
          <w:p w14:paraId="0F3D1EB8" w14:textId="77777777" w:rsidR="002B38A3" w:rsidRPr="00780985" w:rsidRDefault="002B38A3" w:rsidP="00780985">
            <w:pPr>
              <w:jc w:val="center"/>
              <w:rPr>
                <w:rFonts w:ascii="Arial" w:hAnsi="Arial" w:cs="Arial"/>
                <w:b/>
                <w:bCs/>
                <w:sz w:val="20"/>
                <w:szCs w:val="20"/>
              </w:rPr>
            </w:pPr>
            <w:r w:rsidRPr="00780985">
              <w:rPr>
                <w:rFonts w:ascii="Arial" w:hAnsi="Arial" w:cs="Arial"/>
                <w:b/>
                <w:bCs/>
                <w:sz w:val="20"/>
                <w:szCs w:val="20"/>
              </w:rPr>
              <w:t>NOVI PLAN 2025.</w:t>
            </w:r>
          </w:p>
        </w:tc>
      </w:tr>
      <w:tr w:rsidR="00780985" w:rsidRPr="00780985" w14:paraId="3ECBC970" w14:textId="77777777" w:rsidTr="00780985">
        <w:trPr>
          <w:trHeight w:val="340"/>
        </w:trPr>
        <w:tc>
          <w:tcPr>
            <w:tcW w:w="3634" w:type="dxa"/>
            <w:gridSpan w:val="2"/>
            <w:shd w:val="clear" w:color="auto" w:fill="AEAAAA" w:themeFill="background2" w:themeFillShade="BF"/>
            <w:noWrap/>
            <w:hideMark/>
          </w:tcPr>
          <w:p w14:paraId="6A977F17" w14:textId="77777777" w:rsidR="002B38A3" w:rsidRPr="00780985" w:rsidRDefault="002B38A3" w:rsidP="00780985">
            <w:pPr>
              <w:rPr>
                <w:rFonts w:ascii="Arial" w:hAnsi="Arial" w:cs="Arial"/>
                <w:b/>
                <w:bCs/>
                <w:sz w:val="20"/>
                <w:szCs w:val="20"/>
              </w:rPr>
            </w:pPr>
            <w:r w:rsidRPr="00780985">
              <w:rPr>
                <w:rFonts w:ascii="Arial" w:hAnsi="Arial" w:cs="Arial"/>
                <w:b/>
                <w:bCs/>
                <w:sz w:val="20"/>
                <w:szCs w:val="20"/>
              </w:rPr>
              <w:t xml:space="preserve">UKUPNO PRIHODI / PRIMICI </w:t>
            </w:r>
          </w:p>
        </w:tc>
        <w:tc>
          <w:tcPr>
            <w:tcW w:w="1719" w:type="dxa"/>
            <w:shd w:val="clear" w:color="auto" w:fill="AEAAAA" w:themeFill="background2" w:themeFillShade="BF"/>
            <w:noWrap/>
          </w:tcPr>
          <w:p w14:paraId="50F37BB5" w14:textId="77777777" w:rsidR="002B38A3" w:rsidRPr="00780985" w:rsidRDefault="002B38A3" w:rsidP="00780985">
            <w:pPr>
              <w:jc w:val="right"/>
              <w:rPr>
                <w:rFonts w:ascii="Arial" w:hAnsi="Arial" w:cs="Arial"/>
                <w:b/>
                <w:bCs/>
                <w:sz w:val="20"/>
                <w:szCs w:val="20"/>
              </w:rPr>
            </w:pPr>
            <w:r w:rsidRPr="00780985">
              <w:rPr>
                <w:rFonts w:ascii="Arial" w:hAnsi="Arial" w:cs="Arial"/>
                <w:b/>
                <w:bCs/>
                <w:sz w:val="20"/>
                <w:szCs w:val="20"/>
              </w:rPr>
              <w:t>1.737.130,00</w:t>
            </w:r>
          </w:p>
        </w:tc>
        <w:tc>
          <w:tcPr>
            <w:tcW w:w="2094" w:type="dxa"/>
            <w:shd w:val="clear" w:color="auto" w:fill="AEAAAA" w:themeFill="background2" w:themeFillShade="BF"/>
            <w:noWrap/>
          </w:tcPr>
          <w:p w14:paraId="27DDAD3E" w14:textId="77777777" w:rsidR="002B38A3" w:rsidRPr="00780985" w:rsidRDefault="002B38A3" w:rsidP="00780985">
            <w:pPr>
              <w:jc w:val="right"/>
              <w:rPr>
                <w:rFonts w:ascii="Arial" w:hAnsi="Arial" w:cs="Arial"/>
                <w:b/>
                <w:bCs/>
                <w:sz w:val="20"/>
                <w:szCs w:val="20"/>
              </w:rPr>
            </w:pPr>
            <w:r w:rsidRPr="00780985">
              <w:rPr>
                <w:rFonts w:ascii="Arial" w:hAnsi="Arial" w:cs="Arial"/>
                <w:b/>
                <w:bCs/>
                <w:sz w:val="20"/>
                <w:szCs w:val="20"/>
              </w:rPr>
              <w:t>35.631,00</w:t>
            </w:r>
          </w:p>
        </w:tc>
        <w:tc>
          <w:tcPr>
            <w:tcW w:w="0" w:type="auto"/>
            <w:shd w:val="clear" w:color="auto" w:fill="AEAAAA" w:themeFill="background2" w:themeFillShade="BF"/>
            <w:noWrap/>
          </w:tcPr>
          <w:p w14:paraId="7E4BD8DE" w14:textId="77777777" w:rsidR="002B38A3" w:rsidRPr="00780985" w:rsidRDefault="002B38A3" w:rsidP="00780985">
            <w:pPr>
              <w:jc w:val="right"/>
              <w:rPr>
                <w:rFonts w:ascii="Arial" w:hAnsi="Arial" w:cs="Arial"/>
                <w:b/>
                <w:bCs/>
                <w:sz w:val="20"/>
                <w:szCs w:val="20"/>
              </w:rPr>
            </w:pPr>
            <w:r w:rsidRPr="00780985">
              <w:rPr>
                <w:rFonts w:ascii="Arial" w:hAnsi="Arial" w:cs="Arial"/>
                <w:b/>
                <w:bCs/>
                <w:sz w:val="20"/>
                <w:szCs w:val="20"/>
              </w:rPr>
              <w:t>1.772.761,00</w:t>
            </w:r>
          </w:p>
        </w:tc>
      </w:tr>
      <w:tr w:rsidR="00780985" w:rsidRPr="00780985" w14:paraId="3A6FF664" w14:textId="77777777" w:rsidTr="00780985">
        <w:trPr>
          <w:trHeight w:val="340"/>
        </w:trPr>
        <w:tc>
          <w:tcPr>
            <w:tcW w:w="1289" w:type="dxa"/>
            <w:noWrap/>
            <w:hideMark/>
          </w:tcPr>
          <w:p w14:paraId="2AFBB338"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6</w:t>
            </w:r>
          </w:p>
        </w:tc>
        <w:tc>
          <w:tcPr>
            <w:tcW w:w="2345" w:type="dxa"/>
            <w:noWrap/>
            <w:hideMark/>
          </w:tcPr>
          <w:p w14:paraId="1517238B"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Prihodi poslovanja</w:t>
            </w:r>
          </w:p>
        </w:tc>
        <w:tc>
          <w:tcPr>
            <w:tcW w:w="1719" w:type="dxa"/>
            <w:noWrap/>
          </w:tcPr>
          <w:p w14:paraId="33BB47D0"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1.737.130,00</w:t>
            </w:r>
          </w:p>
        </w:tc>
        <w:tc>
          <w:tcPr>
            <w:tcW w:w="2094" w:type="dxa"/>
            <w:noWrap/>
          </w:tcPr>
          <w:p w14:paraId="32BED8DF"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17.086,00</w:t>
            </w:r>
          </w:p>
        </w:tc>
        <w:tc>
          <w:tcPr>
            <w:tcW w:w="0" w:type="auto"/>
            <w:noWrap/>
          </w:tcPr>
          <w:p w14:paraId="5E92A279"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1.754.216,00</w:t>
            </w:r>
          </w:p>
        </w:tc>
      </w:tr>
      <w:tr w:rsidR="00780985" w:rsidRPr="00780985" w14:paraId="05B32C5C" w14:textId="77777777" w:rsidTr="00780985">
        <w:trPr>
          <w:trHeight w:val="340"/>
        </w:trPr>
        <w:tc>
          <w:tcPr>
            <w:tcW w:w="1289" w:type="dxa"/>
            <w:tcBorders>
              <w:bottom w:val="single" w:sz="4" w:space="0" w:color="auto"/>
            </w:tcBorders>
            <w:noWrap/>
            <w:hideMark/>
          </w:tcPr>
          <w:p w14:paraId="744C2C86"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9</w:t>
            </w:r>
          </w:p>
        </w:tc>
        <w:tc>
          <w:tcPr>
            <w:tcW w:w="2345" w:type="dxa"/>
            <w:tcBorders>
              <w:bottom w:val="single" w:sz="4" w:space="0" w:color="auto"/>
            </w:tcBorders>
            <w:noWrap/>
            <w:hideMark/>
          </w:tcPr>
          <w:p w14:paraId="2954F47C"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Vlastiti izvori</w:t>
            </w:r>
          </w:p>
        </w:tc>
        <w:tc>
          <w:tcPr>
            <w:tcW w:w="1719" w:type="dxa"/>
            <w:tcBorders>
              <w:bottom w:val="single" w:sz="4" w:space="0" w:color="auto"/>
            </w:tcBorders>
            <w:noWrap/>
            <w:hideMark/>
          </w:tcPr>
          <w:p w14:paraId="3B3410CA"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0,00</w:t>
            </w:r>
          </w:p>
        </w:tc>
        <w:tc>
          <w:tcPr>
            <w:tcW w:w="2094" w:type="dxa"/>
            <w:tcBorders>
              <w:bottom w:val="single" w:sz="4" w:space="0" w:color="auto"/>
            </w:tcBorders>
            <w:noWrap/>
            <w:hideMark/>
          </w:tcPr>
          <w:p w14:paraId="5774E3C2"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18.545,00</w:t>
            </w:r>
          </w:p>
        </w:tc>
        <w:tc>
          <w:tcPr>
            <w:tcW w:w="0" w:type="auto"/>
            <w:tcBorders>
              <w:bottom w:val="single" w:sz="4" w:space="0" w:color="auto"/>
            </w:tcBorders>
            <w:noWrap/>
            <w:hideMark/>
          </w:tcPr>
          <w:p w14:paraId="3A52632B"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18.545,00</w:t>
            </w:r>
          </w:p>
        </w:tc>
      </w:tr>
      <w:tr w:rsidR="00780985" w:rsidRPr="00780985" w14:paraId="7D7EEAB7" w14:textId="77777777" w:rsidTr="00780985">
        <w:trPr>
          <w:trHeight w:val="340"/>
        </w:trPr>
        <w:tc>
          <w:tcPr>
            <w:tcW w:w="3634" w:type="dxa"/>
            <w:gridSpan w:val="2"/>
            <w:shd w:val="clear" w:color="auto" w:fill="AEAAAA" w:themeFill="background2" w:themeFillShade="BF"/>
            <w:noWrap/>
            <w:hideMark/>
          </w:tcPr>
          <w:p w14:paraId="45B980B1" w14:textId="77777777" w:rsidR="002B38A3" w:rsidRPr="00780985" w:rsidRDefault="002B38A3" w:rsidP="00780985">
            <w:pPr>
              <w:rPr>
                <w:rFonts w:ascii="Arial" w:hAnsi="Arial" w:cs="Arial"/>
                <w:b/>
                <w:bCs/>
                <w:sz w:val="20"/>
                <w:szCs w:val="20"/>
              </w:rPr>
            </w:pPr>
            <w:r w:rsidRPr="00780985">
              <w:rPr>
                <w:rFonts w:ascii="Arial" w:hAnsi="Arial" w:cs="Arial"/>
                <w:b/>
                <w:bCs/>
                <w:sz w:val="20"/>
                <w:szCs w:val="20"/>
              </w:rPr>
              <w:t xml:space="preserve">UKUPNO RASHODI / IZDACI </w:t>
            </w:r>
          </w:p>
        </w:tc>
        <w:tc>
          <w:tcPr>
            <w:tcW w:w="1719" w:type="dxa"/>
            <w:shd w:val="clear" w:color="auto" w:fill="AEAAAA" w:themeFill="background2" w:themeFillShade="BF"/>
            <w:noWrap/>
            <w:hideMark/>
          </w:tcPr>
          <w:p w14:paraId="788AD3C6" w14:textId="77777777" w:rsidR="002B38A3" w:rsidRPr="00780985" w:rsidRDefault="002B38A3" w:rsidP="00780985">
            <w:pPr>
              <w:jc w:val="right"/>
              <w:rPr>
                <w:rFonts w:ascii="Arial" w:hAnsi="Arial" w:cs="Arial"/>
                <w:b/>
                <w:bCs/>
                <w:sz w:val="20"/>
                <w:szCs w:val="20"/>
              </w:rPr>
            </w:pPr>
            <w:r w:rsidRPr="00780985">
              <w:rPr>
                <w:rFonts w:ascii="Arial" w:hAnsi="Arial" w:cs="Arial"/>
                <w:b/>
                <w:bCs/>
                <w:sz w:val="20"/>
                <w:szCs w:val="20"/>
              </w:rPr>
              <w:t>1.737.130,00</w:t>
            </w:r>
          </w:p>
        </w:tc>
        <w:tc>
          <w:tcPr>
            <w:tcW w:w="2094" w:type="dxa"/>
            <w:shd w:val="clear" w:color="auto" w:fill="AEAAAA" w:themeFill="background2" w:themeFillShade="BF"/>
            <w:noWrap/>
            <w:hideMark/>
          </w:tcPr>
          <w:p w14:paraId="00EB4C18" w14:textId="77777777" w:rsidR="002B38A3" w:rsidRPr="00780985" w:rsidRDefault="002B38A3" w:rsidP="00780985">
            <w:pPr>
              <w:jc w:val="right"/>
              <w:rPr>
                <w:rFonts w:ascii="Arial" w:hAnsi="Arial" w:cs="Arial"/>
                <w:b/>
                <w:bCs/>
                <w:sz w:val="20"/>
                <w:szCs w:val="20"/>
              </w:rPr>
            </w:pPr>
            <w:r w:rsidRPr="00780985">
              <w:rPr>
                <w:rFonts w:ascii="Arial" w:hAnsi="Arial" w:cs="Arial"/>
                <w:b/>
                <w:bCs/>
                <w:sz w:val="20"/>
                <w:szCs w:val="20"/>
              </w:rPr>
              <w:t>35.631,00</w:t>
            </w:r>
          </w:p>
        </w:tc>
        <w:tc>
          <w:tcPr>
            <w:tcW w:w="0" w:type="auto"/>
            <w:shd w:val="clear" w:color="auto" w:fill="AEAAAA" w:themeFill="background2" w:themeFillShade="BF"/>
            <w:noWrap/>
            <w:hideMark/>
          </w:tcPr>
          <w:p w14:paraId="5DD2DD41" w14:textId="77777777" w:rsidR="002B38A3" w:rsidRPr="00780985" w:rsidRDefault="002B38A3" w:rsidP="00780985">
            <w:pPr>
              <w:jc w:val="right"/>
              <w:rPr>
                <w:rFonts w:ascii="Arial" w:hAnsi="Arial" w:cs="Arial"/>
                <w:b/>
                <w:bCs/>
                <w:sz w:val="20"/>
                <w:szCs w:val="20"/>
              </w:rPr>
            </w:pPr>
            <w:r w:rsidRPr="00780985">
              <w:rPr>
                <w:rFonts w:ascii="Arial" w:hAnsi="Arial" w:cs="Arial"/>
                <w:b/>
                <w:bCs/>
                <w:sz w:val="20"/>
                <w:szCs w:val="20"/>
              </w:rPr>
              <w:t>1.772.761,00</w:t>
            </w:r>
          </w:p>
        </w:tc>
      </w:tr>
      <w:tr w:rsidR="00780985" w:rsidRPr="00780985" w14:paraId="3312056C" w14:textId="77777777" w:rsidTr="00780985">
        <w:trPr>
          <w:trHeight w:val="340"/>
        </w:trPr>
        <w:tc>
          <w:tcPr>
            <w:tcW w:w="1289" w:type="dxa"/>
            <w:noWrap/>
            <w:hideMark/>
          </w:tcPr>
          <w:p w14:paraId="08FF6D90"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3</w:t>
            </w:r>
          </w:p>
        </w:tc>
        <w:tc>
          <w:tcPr>
            <w:tcW w:w="2345" w:type="dxa"/>
            <w:noWrap/>
            <w:hideMark/>
          </w:tcPr>
          <w:p w14:paraId="4A1AE330"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Rashodi poslovanja</w:t>
            </w:r>
          </w:p>
        </w:tc>
        <w:tc>
          <w:tcPr>
            <w:tcW w:w="1719" w:type="dxa"/>
            <w:noWrap/>
            <w:hideMark/>
          </w:tcPr>
          <w:p w14:paraId="048A72EC"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1.674.430,00</w:t>
            </w:r>
          </w:p>
        </w:tc>
        <w:tc>
          <w:tcPr>
            <w:tcW w:w="2094" w:type="dxa"/>
            <w:noWrap/>
            <w:hideMark/>
          </w:tcPr>
          <w:p w14:paraId="4E6769FA"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81.913,00</w:t>
            </w:r>
          </w:p>
        </w:tc>
        <w:tc>
          <w:tcPr>
            <w:tcW w:w="0" w:type="auto"/>
            <w:noWrap/>
            <w:hideMark/>
          </w:tcPr>
          <w:p w14:paraId="70597608"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1.756.343,00</w:t>
            </w:r>
          </w:p>
        </w:tc>
      </w:tr>
      <w:tr w:rsidR="00780985" w:rsidRPr="00780985" w14:paraId="51CA9ECA" w14:textId="77777777" w:rsidTr="00780985">
        <w:trPr>
          <w:trHeight w:val="340"/>
        </w:trPr>
        <w:tc>
          <w:tcPr>
            <w:tcW w:w="1289" w:type="dxa"/>
            <w:noWrap/>
            <w:hideMark/>
          </w:tcPr>
          <w:p w14:paraId="5566C518"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4</w:t>
            </w:r>
          </w:p>
        </w:tc>
        <w:tc>
          <w:tcPr>
            <w:tcW w:w="2345" w:type="dxa"/>
            <w:noWrap/>
            <w:hideMark/>
          </w:tcPr>
          <w:p w14:paraId="62A400C9"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Rashodi za nabavu nefinancijske imovine</w:t>
            </w:r>
          </w:p>
        </w:tc>
        <w:tc>
          <w:tcPr>
            <w:tcW w:w="1719" w:type="dxa"/>
            <w:noWrap/>
            <w:hideMark/>
          </w:tcPr>
          <w:p w14:paraId="48BEFB68"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62.700,00</w:t>
            </w:r>
          </w:p>
        </w:tc>
        <w:tc>
          <w:tcPr>
            <w:tcW w:w="2094" w:type="dxa"/>
            <w:noWrap/>
            <w:hideMark/>
          </w:tcPr>
          <w:p w14:paraId="61BF9D32"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-49.000,00</w:t>
            </w:r>
          </w:p>
        </w:tc>
        <w:tc>
          <w:tcPr>
            <w:tcW w:w="0" w:type="auto"/>
            <w:noWrap/>
            <w:hideMark/>
          </w:tcPr>
          <w:p w14:paraId="0EFE6DE5"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13.700,00</w:t>
            </w:r>
          </w:p>
        </w:tc>
      </w:tr>
      <w:tr w:rsidR="00780985" w:rsidRPr="00780985" w14:paraId="2CC5A043" w14:textId="77777777" w:rsidTr="00780985">
        <w:trPr>
          <w:trHeight w:val="340"/>
        </w:trPr>
        <w:tc>
          <w:tcPr>
            <w:tcW w:w="1289" w:type="dxa"/>
            <w:noWrap/>
            <w:hideMark/>
          </w:tcPr>
          <w:p w14:paraId="653A98DA"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9</w:t>
            </w:r>
          </w:p>
        </w:tc>
        <w:tc>
          <w:tcPr>
            <w:tcW w:w="2345" w:type="dxa"/>
            <w:noWrap/>
            <w:hideMark/>
          </w:tcPr>
          <w:p w14:paraId="1406CB80"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Vlastiti izvori</w:t>
            </w:r>
          </w:p>
        </w:tc>
        <w:tc>
          <w:tcPr>
            <w:tcW w:w="1719" w:type="dxa"/>
            <w:noWrap/>
            <w:hideMark/>
          </w:tcPr>
          <w:p w14:paraId="63B99AFB"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0,00</w:t>
            </w:r>
          </w:p>
        </w:tc>
        <w:tc>
          <w:tcPr>
            <w:tcW w:w="2094" w:type="dxa"/>
            <w:noWrap/>
            <w:hideMark/>
          </w:tcPr>
          <w:p w14:paraId="627B72D6"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2.718,00</w:t>
            </w:r>
          </w:p>
        </w:tc>
        <w:tc>
          <w:tcPr>
            <w:tcW w:w="0" w:type="auto"/>
            <w:noWrap/>
            <w:hideMark/>
          </w:tcPr>
          <w:p w14:paraId="34F16BE9"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2.718,00</w:t>
            </w:r>
          </w:p>
        </w:tc>
      </w:tr>
    </w:tbl>
    <w:p w14:paraId="34A20348" w14:textId="77777777" w:rsidR="002B38A3" w:rsidRDefault="002B38A3" w:rsidP="002B38A3"/>
    <w:p w14:paraId="4664ABEF" w14:textId="77777777" w:rsidR="002B38A3" w:rsidRDefault="002B38A3" w:rsidP="00780985">
      <w:pPr>
        <w:spacing w:line="259" w:lineRule="auto"/>
        <w:jc w:val="both"/>
      </w:pPr>
    </w:p>
    <w:p w14:paraId="1F24D44E" w14:textId="77777777" w:rsidR="002B38A3" w:rsidRPr="00780985" w:rsidRDefault="002B38A3" w:rsidP="00780985">
      <w:pPr>
        <w:spacing w:line="259" w:lineRule="auto"/>
        <w:jc w:val="both"/>
        <w:rPr>
          <w:rFonts w:ascii="Arial" w:hAnsi="Arial" w:cs="Arial"/>
          <w:b/>
          <w:bCs/>
          <w:sz w:val="22"/>
          <w:szCs w:val="22"/>
        </w:rPr>
      </w:pPr>
      <w:r w:rsidRPr="00780985">
        <w:rPr>
          <w:rFonts w:ascii="Arial" w:hAnsi="Arial" w:cs="Arial"/>
          <w:b/>
          <w:bCs/>
          <w:sz w:val="22"/>
          <w:szCs w:val="22"/>
        </w:rPr>
        <w:t>OBRAZLOŽENJE OPĆEG DIJELA:</w:t>
      </w:r>
    </w:p>
    <w:p w14:paraId="62F17E10" w14:textId="77777777" w:rsidR="002B38A3" w:rsidRPr="00780985" w:rsidRDefault="002B38A3">
      <w:pPr>
        <w:pStyle w:val="Odlomakpopisa"/>
        <w:numPr>
          <w:ilvl w:val="0"/>
          <w:numId w:val="9"/>
        </w:numPr>
        <w:spacing w:after="0" w:line="259" w:lineRule="auto"/>
        <w:jc w:val="both"/>
        <w:rPr>
          <w:rFonts w:ascii="Arial" w:hAnsi="Arial" w:cs="Arial"/>
          <w:b/>
          <w:bCs/>
          <w:szCs w:val="22"/>
        </w:rPr>
      </w:pPr>
      <w:r w:rsidRPr="00780985">
        <w:rPr>
          <w:rFonts w:ascii="Arial" w:hAnsi="Arial" w:cs="Arial"/>
          <w:b/>
          <w:bCs/>
          <w:szCs w:val="22"/>
        </w:rPr>
        <w:t xml:space="preserve"> prema ekonomskoj klasifikaciji</w:t>
      </w:r>
    </w:p>
    <w:p w14:paraId="657E21D3" w14:textId="77777777" w:rsidR="002B38A3" w:rsidRPr="00780985" w:rsidRDefault="002B38A3" w:rsidP="00780985">
      <w:pPr>
        <w:spacing w:line="259" w:lineRule="auto"/>
        <w:jc w:val="both"/>
        <w:rPr>
          <w:rFonts w:ascii="Arial" w:hAnsi="Arial" w:cs="Arial"/>
          <w:b/>
          <w:bCs/>
          <w:sz w:val="22"/>
          <w:szCs w:val="22"/>
        </w:rPr>
      </w:pPr>
    </w:p>
    <w:p w14:paraId="32E478B7" w14:textId="77777777" w:rsidR="002B38A3" w:rsidRPr="00780985" w:rsidRDefault="002B38A3" w:rsidP="00780985">
      <w:pPr>
        <w:spacing w:line="259" w:lineRule="auto"/>
        <w:jc w:val="both"/>
        <w:rPr>
          <w:rFonts w:ascii="Arial" w:hAnsi="Arial" w:cs="Arial"/>
          <w:b/>
          <w:bCs/>
          <w:i/>
          <w:iCs/>
          <w:sz w:val="22"/>
          <w:szCs w:val="22"/>
          <w:u w:val="single"/>
        </w:rPr>
      </w:pPr>
      <w:r w:rsidRPr="00780985">
        <w:rPr>
          <w:rFonts w:ascii="Arial" w:hAnsi="Arial" w:cs="Arial"/>
          <w:b/>
          <w:bCs/>
          <w:i/>
          <w:iCs/>
          <w:sz w:val="22"/>
          <w:szCs w:val="22"/>
          <w:u w:val="single"/>
        </w:rPr>
        <w:t>Obrazloženje prihoda i primitaka</w:t>
      </w:r>
    </w:p>
    <w:p w14:paraId="01F7CEE3"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sz w:val="22"/>
          <w:szCs w:val="22"/>
        </w:rPr>
        <w:t xml:space="preserve">Prihodi i primici poslovanja planirani su u iznosu od 1.772.761,00 </w:t>
      </w:r>
      <w:proofErr w:type="spellStart"/>
      <w:r w:rsidRPr="00780985">
        <w:rPr>
          <w:rFonts w:ascii="Arial" w:hAnsi="Arial" w:cs="Arial"/>
          <w:sz w:val="22"/>
          <w:szCs w:val="22"/>
        </w:rPr>
        <w:t>eur</w:t>
      </w:r>
      <w:proofErr w:type="spellEnd"/>
      <w:r w:rsidRPr="00780985">
        <w:rPr>
          <w:rFonts w:ascii="Arial" w:hAnsi="Arial" w:cs="Arial"/>
          <w:sz w:val="22"/>
          <w:szCs w:val="22"/>
        </w:rPr>
        <w:t xml:space="preserve"> što je za 2,05 % više u odnosu na Financijski plan za 2025. godinu.</w:t>
      </w:r>
    </w:p>
    <w:p w14:paraId="1AC89C1B" w14:textId="77777777" w:rsidR="002B38A3" w:rsidRPr="00780985" w:rsidRDefault="002B38A3" w:rsidP="00780985">
      <w:pPr>
        <w:spacing w:line="259" w:lineRule="auto"/>
        <w:jc w:val="both"/>
        <w:rPr>
          <w:rFonts w:ascii="Arial" w:hAnsi="Arial" w:cs="Arial"/>
          <w:sz w:val="22"/>
          <w:szCs w:val="22"/>
        </w:rPr>
      </w:pPr>
    </w:p>
    <w:p w14:paraId="1D196FC9"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b/>
          <w:bCs/>
          <w:sz w:val="22"/>
          <w:szCs w:val="22"/>
        </w:rPr>
        <w:t xml:space="preserve">Prihodi od imovine (64) </w:t>
      </w:r>
      <w:r w:rsidRPr="00780985">
        <w:rPr>
          <w:rFonts w:ascii="Arial" w:hAnsi="Arial" w:cs="Arial"/>
          <w:sz w:val="22"/>
          <w:szCs w:val="22"/>
        </w:rPr>
        <w:t>nema planiranog iznosa iz razloga što Dom neće ostvarivati prihode od zakupa i iznajmljivanja imovine.</w:t>
      </w:r>
    </w:p>
    <w:p w14:paraId="73E2306F" w14:textId="77777777" w:rsidR="002B38A3" w:rsidRPr="00780985" w:rsidRDefault="002B38A3" w:rsidP="00780985">
      <w:pPr>
        <w:spacing w:line="259" w:lineRule="auto"/>
        <w:jc w:val="both"/>
        <w:rPr>
          <w:rFonts w:ascii="Arial" w:hAnsi="Arial" w:cs="Arial"/>
          <w:sz w:val="22"/>
          <w:szCs w:val="22"/>
        </w:rPr>
      </w:pPr>
    </w:p>
    <w:p w14:paraId="4768F7ED"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b/>
          <w:bCs/>
          <w:sz w:val="22"/>
          <w:szCs w:val="22"/>
        </w:rPr>
        <w:t xml:space="preserve">Prihodi od upravnih i administrativnih pristojbi, pristojbi po posebnim propisima i naknadama (65) </w:t>
      </w:r>
      <w:r w:rsidRPr="00780985">
        <w:rPr>
          <w:rFonts w:ascii="Arial" w:hAnsi="Arial" w:cs="Arial"/>
          <w:sz w:val="22"/>
          <w:szCs w:val="22"/>
        </w:rPr>
        <w:t>planirani su u iznosu od 606.400,00 eura što je za 9,83% manje. S obzirom da je s 01.04.2025. godine stupila na snagu Odluka o izmjenama i dopunama odluke o sufinanciranju troškova usluge smještaja korisnika u Domu za starije osobe Labin kojom su podignuti pragovi sufinanciranja došlo je do promjena okolnosti u poslovanju, te se neće ostvariti prethodno planirani prihodi. Uz prethodno navedeno može se konstatirati da nema interesa za uslugu dnevnog boravka, te je samim time planirani prihod kod nje smanjen za 50%.</w:t>
      </w:r>
    </w:p>
    <w:p w14:paraId="20FC24A1" w14:textId="77777777" w:rsidR="002B38A3" w:rsidRPr="00780985" w:rsidRDefault="002B38A3" w:rsidP="00780985">
      <w:pPr>
        <w:spacing w:line="259" w:lineRule="auto"/>
        <w:jc w:val="both"/>
        <w:rPr>
          <w:rFonts w:ascii="Arial" w:hAnsi="Arial" w:cs="Arial"/>
          <w:sz w:val="22"/>
          <w:szCs w:val="22"/>
        </w:rPr>
      </w:pPr>
    </w:p>
    <w:p w14:paraId="0415ECB0"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b/>
          <w:bCs/>
          <w:sz w:val="22"/>
          <w:szCs w:val="22"/>
        </w:rPr>
        <w:t xml:space="preserve">Prihodi od prodaje proizvoda i roba, te pruženih usluga i prihodi od donacija (66) </w:t>
      </w:r>
      <w:r w:rsidRPr="00780985">
        <w:rPr>
          <w:rFonts w:ascii="Arial" w:hAnsi="Arial" w:cs="Arial"/>
          <w:sz w:val="22"/>
          <w:szCs w:val="22"/>
        </w:rPr>
        <w:t>planirani su u iznosu od 5.000,00 eura, a odnose se na donacije od pravnih i fizičkih osoba izvan općeg proračuna.</w:t>
      </w:r>
    </w:p>
    <w:p w14:paraId="5825D841" w14:textId="77777777" w:rsidR="002B38A3" w:rsidRPr="00780985" w:rsidRDefault="002B38A3" w:rsidP="00780985">
      <w:pPr>
        <w:spacing w:line="259" w:lineRule="auto"/>
        <w:jc w:val="both"/>
        <w:rPr>
          <w:rFonts w:ascii="Arial" w:hAnsi="Arial" w:cs="Arial"/>
          <w:sz w:val="22"/>
          <w:szCs w:val="22"/>
        </w:rPr>
      </w:pPr>
    </w:p>
    <w:p w14:paraId="3EE617EB"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b/>
          <w:bCs/>
          <w:sz w:val="22"/>
          <w:szCs w:val="22"/>
        </w:rPr>
        <w:t xml:space="preserve">Prihodi iz nadležnog proračuna i od HZZO-a temeljem ugovornih obveza (67) </w:t>
      </w:r>
      <w:r w:rsidRPr="00780985">
        <w:rPr>
          <w:rFonts w:ascii="Arial" w:hAnsi="Arial" w:cs="Arial"/>
          <w:sz w:val="22"/>
          <w:szCs w:val="22"/>
        </w:rPr>
        <w:t xml:space="preserve">planirani su u iznosu od 1.142.816,00 eura što je za 7,85% više u odnosu na Financijski plan 2025. </w:t>
      </w:r>
      <w:r w:rsidRPr="00780985">
        <w:rPr>
          <w:rFonts w:ascii="Arial" w:hAnsi="Arial" w:cs="Arial"/>
          <w:sz w:val="22"/>
          <w:szCs w:val="22"/>
        </w:rPr>
        <w:lastRenderedPageBreak/>
        <w:t xml:space="preserve">godine. </w:t>
      </w:r>
      <w:bookmarkStart w:id="66" w:name="_Hlk168321604"/>
      <w:r w:rsidRPr="00780985">
        <w:rPr>
          <w:rFonts w:ascii="Arial" w:hAnsi="Arial" w:cs="Arial"/>
          <w:sz w:val="22"/>
          <w:szCs w:val="22"/>
        </w:rPr>
        <w:t xml:space="preserve">Prihodi se odnose na prihode iz nadležnog proračuna za financiranje redovne djelatnosti i financiranje nabave dugotrajne imovine. Kako planirani prihodi od upravnih i administrativnih pristojbi, pristojbi po posebnim </w:t>
      </w:r>
      <w:proofErr w:type="spellStart"/>
      <w:r w:rsidRPr="00780985">
        <w:rPr>
          <w:rFonts w:ascii="Arial" w:hAnsi="Arial" w:cs="Arial"/>
          <w:sz w:val="22"/>
          <w:szCs w:val="22"/>
        </w:rPr>
        <w:t>pripisima</w:t>
      </w:r>
      <w:proofErr w:type="spellEnd"/>
      <w:r w:rsidRPr="00780985">
        <w:rPr>
          <w:rFonts w:ascii="Arial" w:hAnsi="Arial" w:cs="Arial"/>
          <w:sz w:val="22"/>
          <w:szCs w:val="22"/>
        </w:rPr>
        <w:t xml:space="preserve"> i naknadama (65), neće biti ostvareni prema prvotnome planu bilo je nužno povećati ove prihode za potrebe redovnog poslovanja. </w:t>
      </w:r>
    </w:p>
    <w:p w14:paraId="1C307833" w14:textId="77777777" w:rsidR="002B38A3" w:rsidRPr="00780985" w:rsidRDefault="002B38A3" w:rsidP="00780985">
      <w:pPr>
        <w:spacing w:line="259" w:lineRule="auto"/>
        <w:jc w:val="both"/>
        <w:rPr>
          <w:rFonts w:ascii="Arial" w:hAnsi="Arial" w:cs="Arial"/>
          <w:sz w:val="22"/>
          <w:szCs w:val="22"/>
        </w:rPr>
      </w:pPr>
    </w:p>
    <w:p w14:paraId="0A80109A"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b/>
          <w:sz w:val="22"/>
          <w:szCs w:val="22"/>
        </w:rPr>
        <w:t xml:space="preserve">Rezultat poslovanja – višak prihoda (92) </w:t>
      </w:r>
      <w:r w:rsidRPr="00780985">
        <w:rPr>
          <w:rFonts w:ascii="Arial" w:hAnsi="Arial" w:cs="Arial"/>
          <w:sz w:val="22"/>
          <w:szCs w:val="22"/>
        </w:rPr>
        <w:t xml:space="preserve">iz 2024. godine iznosi 18.545,00 </w:t>
      </w:r>
      <w:bookmarkEnd w:id="66"/>
      <w:r w:rsidRPr="00780985">
        <w:rPr>
          <w:rFonts w:ascii="Arial" w:hAnsi="Arial" w:cs="Arial"/>
          <w:sz w:val="22"/>
          <w:szCs w:val="22"/>
        </w:rPr>
        <w:t>eura.</w:t>
      </w:r>
    </w:p>
    <w:p w14:paraId="6E098FC7" w14:textId="77777777" w:rsidR="002B38A3" w:rsidRPr="00780985" w:rsidRDefault="002B38A3" w:rsidP="00780985">
      <w:pPr>
        <w:spacing w:line="259" w:lineRule="auto"/>
        <w:jc w:val="both"/>
        <w:rPr>
          <w:rFonts w:ascii="Arial" w:hAnsi="Arial" w:cs="Arial"/>
          <w:b/>
          <w:bCs/>
          <w:i/>
          <w:iCs/>
          <w:sz w:val="22"/>
          <w:szCs w:val="22"/>
          <w:u w:val="single"/>
        </w:rPr>
      </w:pPr>
      <w:r w:rsidRPr="00780985">
        <w:rPr>
          <w:rFonts w:ascii="Arial" w:hAnsi="Arial" w:cs="Arial"/>
          <w:b/>
          <w:bCs/>
          <w:i/>
          <w:iCs/>
          <w:sz w:val="22"/>
          <w:szCs w:val="22"/>
          <w:u w:val="single"/>
        </w:rPr>
        <w:t>Obrazloženje rashoda i izdataka</w:t>
      </w:r>
    </w:p>
    <w:p w14:paraId="7FDDA918"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sz w:val="22"/>
          <w:szCs w:val="22"/>
        </w:rPr>
        <w:t>Rashodi i izdaci poslovanja planirani su u iznosu od 1.772.761,00 euro što je za 2,05% više u odnosu na Financijski plan za 2025. godinu.</w:t>
      </w:r>
    </w:p>
    <w:p w14:paraId="75ACFBD2" w14:textId="77777777" w:rsidR="002B38A3" w:rsidRPr="00780985" w:rsidRDefault="002B38A3" w:rsidP="00780985">
      <w:pPr>
        <w:spacing w:line="259" w:lineRule="auto"/>
        <w:jc w:val="both"/>
        <w:rPr>
          <w:rFonts w:ascii="Arial" w:hAnsi="Arial" w:cs="Arial"/>
          <w:sz w:val="22"/>
          <w:szCs w:val="22"/>
        </w:rPr>
      </w:pPr>
    </w:p>
    <w:p w14:paraId="08459C1B"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b/>
          <w:bCs/>
          <w:sz w:val="22"/>
          <w:szCs w:val="22"/>
        </w:rPr>
        <w:t xml:space="preserve">Rashodi za zaposlene (31) </w:t>
      </w:r>
      <w:r w:rsidRPr="00780985">
        <w:rPr>
          <w:rFonts w:ascii="Arial" w:hAnsi="Arial" w:cs="Arial"/>
          <w:sz w:val="22"/>
          <w:szCs w:val="22"/>
        </w:rPr>
        <w:t>planirani su u iznosu od 1.290.463,00 eura što je za 6,65% više od Financijskog plana za 2025. godinu. Do povećanja rashoda došlo je zbog promjena koje su nastupile sa datumom 01.01.2025. kada je na snagu stupio Kolektivni ugovor Doma za starije osobe Labin.</w:t>
      </w:r>
    </w:p>
    <w:p w14:paraId="7182722D" w14:textId="77777777" w:rsidR="002B38A3" w:rsidRPr="00780985" w:rsidRDefault="002B38A3" w:rsidP="00780985">
      <w:pPr>
        <w:spacing w:line="259" w:lineRule="auto"/>
        <w:jc w:val="both"/>
        <w:rPr>
          <w:rFonts w:ascii="Arial" w:hAnsi="Arial" w:cs="Arial"/>
          <w:sz w:val="22"/>
          <w:szCs w:val="22"/>
        </w:rPr>
      </w:pPr>
    </w:p>
    <w:p w14:paraId="3463154B"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b/>
          <w:bCs/>
          <w:sz w:val="22"/>
          <w:szCs w:val="22"/>
        </w:rPr>
        <w:t xml:space="preserve">Materijalni rashodi (32) </w:t>
      </w:r>
      <w:r w:rsidRPr="00780985">
        <w:rPr>
          <w:rFonts w:ascii="Arial" w:hAnsi="Arial" w:cs="Arial"/>
          <w:sz w:val="22"/>
          <w:szCs w:val="22"/>
        </w:rPr>
        <w:t>planirani su u iznosu od</w:t>
      </w:r>
      <w:r w:rsidRPr="00780985">
        <w:rPr>
          <w:rFonts w:ascii="Arial" w:hAnsi="Arial" w:cs="Arial"/>
          <w:b/>
          <w:bCs/>
          <w:sz w:val="22"/>
          <w:szCs w:val="22"/>
        </w:rPr>
        <w:t xml:space="preserve"> </w:t>
      </w:r>
      <w:r w:rsidRPr="00780985">
        <w:rPr>
          <w:rFonts w:ascii="Arial" w:hAnsi="Arial" w:cs="Arial"/>
          <w:sz w:val="22"/>
          <w:szCs w:val="22"/>
        </w:rPr>
        <w:t>465.680,00 eura što je za 0,27% više od prethodnog plana. Sukladno Odluci o izmjenama i dopunama odluke o sufinanciranju troškova usluge smještaja korisnika u Domu za starije osobe Labin došlo je do smanjenja rashoda na izvoru 4.9.000001, te povećanja na izvoru 1.1.001. što je rezultiralo povećanjem ukupnih rashoda.</w:t>
      </w:r>
    </w:p>
    <w:p w14:paraId="5834BC48" w14:textId="77777777" w:rsidR="002B38A3" w:rsidRPr="00780985" w:rsidRDefault="002B38A3" w:rsidP="00780985">
      <w:pPr>
        <w:spacing w:line="259" w:lineRule="auto"/>
        <w:jc w:val="both"/>
        <w:rPr>
          <w:rFonts w:ascii="Arial" w:hAnsi="Arial" w:cs="Arial"/>
          <w:sz w:val="22"/>
          <w:szCs w:val="22"/>
        </w:rPr>
      </w:pPr>
    </w:p>
    <w:p w14:paraId="7A27EE6B" w14:textId="77777777" w:rsidR="002B38A3" w:rsidRPr="00780985" w:rsidRDefault="002B38A3" w:rsidP="00780985">
      <w:pPr>
        <w:spacing w:line="259" w:lineRule="auto"/>
        <w:jc w:val="both"/>
        <w:rPr>
          <w:rFonts w:ascii="Arial" w:hAnsi="Arial" w:cs="Arial"/>
          <w:b/>
          <w:bCs/>
          <w:sz w:val="22"/>
          <w:szCs w:val="22"/>
        </w:rPr>
      </w:pPr>
      <w:r w:rsidRPr="00780985">
        <w:rPr>
          <w:rFonts w:ascii="Arial" w:hAnsi="Arial" w:cs="Arial"/>
          <w:b/>
          <w:bCs/>
          <w:sz w:val="22"/>
          <w:szCs w:val="22"/>
        </w:rPr>
        <w:t xml:space="preserve">Financijski rashodi (34) </w:t>
      </w:r>
      <w:r w:rsidRPr="00780985">
        <w:rPr>
          <w:rFonts w:ascii="Arial" w:hAnsi="Arial" w:cs="Arial"/>
          <w:sz w:val="22"/>
          <w:szCs w:val="22"/>
        </w:rPr>
        <w:t>planirani su u iznosu od 200,00 eura, što je za 100% više od prethodnog plana. Odnose se na rashode za  zatezne kamate.</w:t>
      </w:r>
    </w:p>
    <w:p w14:paraId="68F27E06" w14:textId="77777777" w:rsidR="002B38A3" w:rsidRPr="00780985" w:rsidRDefault="002B38A3" w:rsidP="00780985">
      <w:pPr>
        <w:spacing w:line="259" w:lineRule="auto"/>
        <w:jc w:val="both"/>
        <w:rPr>
          <w:rFonts w:ascii="Arial" w:hAnsi="Arial" w:cs="Arial"/>
          <w:sz w:val="22"/>
          <w:szCs w:val="22"/>
        </w:rPr>
      </w:pPr>
    </w:p>
    <w:p w14:paraId="39D98F76"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b/>
          <w:bCs/>
          <w:sz w:val="22"/>
          <w:szCs w:val="22"/>
        </w:rPr>
        <w:t xml:space="preserve">Rashodi za nabavu proizvedene dugotrajne imovine (42) </w:t>
      </w:r>
      <w:r w:rsidRPr="00780985">
        <w:rPr>
          <w:rFonts w:ascii="Arial" w:hAnsi="Arial" w:cs="Arial"/>
          <w:sz w:val="22"/>
          <w:szCs w:val="22"/>
        </w:rPr>
        <w:t xml:space="preserve">planirani su u iznosu od 13.700,00 eura što je za 78,14% manje od prvotnog plana. Razlog smanjenja je postupanje po naputku nadležnog </w:t>
      </w:r>
      <w:proofErr w:type="spellStart"/>
      <w:r w:rsidRPr="00780985">
        <w:rPr>
          <w:rFonts w:ascii="Arial" w:hAnsi="Arial" w:cs="Arial"/>
          <w:sz w:val="22"/>
          <w:szCs w:val="22"/>
        </w:rPr>
        <w:t>propračuna</w:t>
      </w:r>
      <w:proofErr w:type="spellEnd"/>
      <w:r w:rsidRPr="00780985">
        <w:rPr>
          <w:rFonts w:ascii="Arial" w:hAnsi="Arial" w:cs="Arial"/>
          <w:sz w:val="22"/>
          <w:szCs w:val="22"/>
        </w:rPr>
        <w:t xml:space="preserve"> kojim su sredstva za 2025.godinu ograničena.</w:t>
      </w:r>
    </w:p>
    <w:p w14:paraId="6A616F31" w14:textId="77777777" w:rsidR="002B38A3" w:rsidRPr="00780985" w:rsidRDefault="002B38A3" w:rsidP="00780985">
      <w:pPr>
        <w:spacing w:line="259" w:lineRule="auto"/>
        <w:jc w:val="both"/>
        <w:rPr>
          <w:rFonts w:ascii="Arial" w:hAnsi="Arial" w:cs="Arial"/>
          <w:sz w:val="22"/>
          <w:szCs w:val="22"/>
        </w:rPr>
      </w:pPr>
    </w:p>
    <w:p w14:paraId="3FC4C232" w14:textId="4BA04FD8" w:rsidR="002B38A3" w:rsidRPr="00780985" w:rsidRDefault="002B38A3" w:rsidP="00780985">
      <w:pPr>
        <w:spacing w:line="259" w:lineRule="auto"/>
        <w:jc w:val="both"/>
        <w:rPr>
          <w:rFonts w:ascii="Arial" w:hAnsi="Arial" w:cs="Arial"/>
          <w:sz w:val="22"/>
          <w:szCs w:val="22"/>
        </w:rPr>
      </w:pPr>
      <w:r w:rsidRPr="00780985">
        <w:rPr>
          <w:rFonts w:ascii="Arial" w:hAnsi="Arial" w:cs="Arial"/>
          <w:b/>
          <w:sz w:val="22"/>
          <w:szCs w:val="22"/>
        </w:rPr>
        <w:t>Rezultat poslovanja  - manjak prihoda</w:t>
      </w:r>
      <w:r w:rsidRPr="00780985">
        <w:rPr>
          <w:rFonts w:ascii="Arial" w:hAnsi="Arial" w:cs="Arial"/>
          <w:sz w:val="22"/>
          <w:szCs w:val="22"/>
        </w:rPr>
        <w:t xml:space="preserve"> prenesen iz  2024. godine iznosi 2.718,00 eura, a odnosi se na ostale rashode za zaposlene. koji su podmireni iz općih prihoda i primitaka u </w:t>
      </w:r>
      <w:proofErr w:type="spellStart"/>
      <w:r w:rsidRPr="00780985">
        <w:rPr>
          <w:rFonts w:ascii="Arial" w:hAnsi="Arial" w:cs="Arial"/>
          <w:sz w:val="22"/>
          <w:szCs w:val="22"/>
        </w:rPr>
        <w:t>siječnu</w:t>
      </w:r>
      <w:proofErr w:type="spellEnd"/>
      <w:r w:rsidRPr="00780985">
        <w:rPr>
          <w:rFonts w:ascii="Arial" w:hAnsi="Arial" w:cs="Arial"/>
          <w:sz w:val="22"/>
          <w:szCs w:val="22"/>
        </w:rPr>
        <w:t xml:space="preserve"> 2025.g.</w:t>
      </w:r>
    </w:p>
    <w:p w14:paraId="7A5AD320" w14:textId="77777777" w:rsidR="002B38A3" w:rsidRDefault="002B38A3" w:rsidP="00780985">
      <w:pPr>
        <w:spacing w:line="259" w:lineRule="auto"/>
        <w:rPr>
          <w:rFonts w:ascii="Arial" w:hAnsi="Arial" w:cs="Arial"/>
          <w:sz w:val="22"/>
          <w:szCs w:val="22"/>
        </w:rPr>
      </w:pPr>
    </w:p>
    <w:p w14:paraId="1A95267C" w14:textId="77777777" w:rsidR="00625450" w:rsidRPr="00780985" w:rsidRDefault="00625450" w:rsidP="00780985">
      <w:pPr>
        <w:spacing w:line="259" w:lineRule="auto"/>
        <w:rPr>
          <w:rFonts w:ascii="Arial" w:hAnsi="Arial" w:cs="Arial"/>
          <w:sz w:val="22"/>
          <w:szCs w:val="22"/>
        </w:rPr>
      </w:pPr>
    </w:p>
    <w:p w14:paraId="09626019" w14:textId="77777777" w:rsidR="002B38A3" w:rsidRPr="00780985" w:rsidRDefault="002B38A3" w:rsidP="00780985">
      <w:pPr>
        <w:spacing w:line="259" w:lineRule="auto"/>
        <w:rPr>
          <w:rFonts w:ascii="Arial" w:hAnsi="Arial" w:cs="Arial"/>
          <w:b/>
          <w:bCs/>
          <w:sz w:val="22"/>
          <w:szCs w:val="22"/>
        </w:rPr>
      </w:pPr>
      <w:r w:rsidRPr="00780985">
        <w:rPr>
          <w:rFonts w:ascii="Arial" w:hAnsi="Arial" w:cs="Arial"/>
          <w:sz w:val="22"/>
          <w:szCs w:val="22"/>
        </w:rPr>
        <w:t>Tablica 1. Prihodi i rashodi prema ekonomskoj klasifikaciji</w:t>
      </w:r>
    </w:p>
    <w:p w14:paraId="1E0D6119" w14:textId="77777777" w:rsidR="002B38A3" w:rsidRPr="00780985" w:rsidRDefault="002B38A3" w:rsidP="00780985">
      <w:pPr>
        <w:pStyle w:val="Odlomakpopisa"/>
        <w:spacing w:after="0" w:line="259" w:lineRule="auto"/>
        <w:ind w:left="1800"/>
        <w:rPr>
          <w:rFonts w:ascii="Arial" w:hAnsi="Arial" w:cs="Arial"/>
        </w:rPr>
      </w:pPr>
    </w:p>
    <w:tbl>
      <w:tblPr>
        <w:tblStyle w:val="Reetkatablice1"/>
        <w:tblW w:w="10349" w:type="dxa"/>
        <w:tblInd w:w="-431" w:type="dxa"/>
        <w:tblLayout w:type="fixed"/>
        <w:tblLook w:val="04A0" w:firstRow="1" w:lastRow="0" w:firstColumn="1" w:lastColumn="0" w:noHBand="0" w:noVBand="1"/>
      </w:tblPr>
      <w:tblGrid>
        <w:gridCol w:w="1135"/>
        <w:gridCol w:w="3544"/>
        <w:gridCol w:w="1417"/>
        <w:gridCol w:w="1560"/>
        <w:gridCol w:w="1559"/>
        <w:gridCol w:w="1134"/>
      </w:tblGrid>
      <w:tr w:rsidR="00780985" w:rsidRPr="00780985" w14:paraId="113CBD03" w14:textId="77777777" w:rsidTr="00780985">
        <w:trPr>
          <w:trHeight w:val="283"/>
        </w:trPr>
        <w:tc>
          <w:tcPr>
            <w:tcW w:w="1135" w:type="dxa"/>
            <w:tcBorders>
              <w:bottom w:val="single" w:sz="4" w:space="0" w:color="auto"/>
            </w:tcBorders>
            <w:shd w:val="clear" w:color="auto" w:fill="AEAAAA" w:themeFill="background2" w:themeFillShade="BF"/>
            <w:noWrap/>
            <w:hideMark/>
          </w:tcPr>
          <w:p w14:paraId="0252B089" w14:textId="77777777" w:rsidR="002B38A3" w:rsidRPr="00780985" w:rsidRDefault="002B38A3" w:rsidP="00780985">
            <w:pPr>
              <w:rPr>
                <w:rFonts w:ascii="Arial" w:hAnsi="Arial" w:cs="Arial"/>
                <w:b/>
                <w:bCs/>
                <w:sz w:val="20"/>
                <w:szCs w:val="20"/>
              </w:rPr>
            </w:pPr>
            <w:bookmarkStart w:id="67" w:name="_Hlk180047872"/>
            <w:r w:rsidRPr="00780985">
              <w:rPr>
                <w:rFonts w:ascii="Arial" w:hAnsi="Arial" w:cs="Arial"/>
                <w:b/>
                <w:bCs/>
                <w:sz w:val="20"/>
                <w:szCs w:val="20"/>
              </w:rPr>
              <w:t>RAZRED/</w:t>
            </w:r>
          </w:p>
          <w:p w14:paraId="394B30F1" w14:textId="77777777" w:rsidR="002B38A3" w:rsidRPr="00780985" w:rsidRDefault="002B38A3" w:rsidP="00780985">
            <w:pPr>
              <w:rPr>
                <w:rFonts w:ascii="Arial" w:hAnsi="Arial" w:cs="Arial"/>
                <w:b/>
                <w:bCs/>
                <w:sz w:val="20"/>
                <w:szCs w:val="20"/>
              </w:rPr>
            </w:pPr>
            <w:r w:rsidRPr="00780985">
              <w:rPr>
                <w:rFonts w:ascii="Arial" w:hAnsi="Arial" w:cs="Arial"/>
                <w:b/>
                <w:bCs/>
                <w:sz w:val="20"/>
                <w:szCs w:val="20"/>
              </w:rPr>
              <w:t>SKUPINA</w:t>
            </w:r>
          </w:p>
        </w:tc>
        <w:tc>
          <w:tcPr>
            <w:tcW w:w="3544" w:type="dxa"/>
            <w:tcBorders>
              <w:bottom w:val="single" w:sz="4" w:space="0" w:color="auto"/>
            </w:tcBorders>
            <w:shd w:val="clear" w:color="auto" w:fill="AEAAAA" w:themeFill="background2" w:themeFillShade="BF"/>
            <w:noWrap/>
            <w:hideMark/>
          </w:tcPr>
          <w:p w14:paraId="14A157BC" w14:textId="77777777" w:rsidR="002B38A3" w:rsidRPr="00780985" w:rsidRDefault="002B38A3" w:rsidP="00780985">
            <w:pPr>
              <w:rPr>
                <w:rFonts w:ascii="Arial" w:hAnsi="Arial" w:cs="Arial"/>
                <w:b/>
                <w:bCs/>
                <w:sz w:val="20"/>
                <w:szCs w:val="20"/>
              </w:rPr>
            </w:pPr>
            <w:r w:rsidRPr="00780985">
              <w:rPr>
                <w:rFonts w:ascii="Arial" w:hAnsi="Arial" w:cs="Arial"/>
                <w:b/>
                <w:bCs/>
                <w:sz w:val="20"/>
                <w:szCs w:val="20"/>
              </w:rPr>
              <w:t>VRSTA PRIHODA / PRIMITAKA</w:t>
            </w:r>
          </w:p>
        </w:tc>
        <w:tc>
          <w:tcPr>
            <w:tcW w:w="1417" w:type="dxa"/>
            <w:tcBorders>
              <w:bottom w:val="single" w:sz="4" w:space="0" w:color="auto"/>
            </w:tcBorders>
            <w:shd w:val="clear" w:color="auto" w:fill="AEAAAA" w:themeFill="background2" w:themeFillShade="BF"/>
            <w:noWrap/>
            <w:hideMark/>
          </w:tcPr>
          <w:p w14:paraId="0CAF8B09" w14:textId="77777777" w:rsidR="002B38A3" w:rsidRPr="00780985" w:rsidRDefault="002B38A3" w:rsidP="00780985">
            <w:pPr>
              <w:jc w:val="center"/>
              <w:rPr>
                <w:rFonts w:ascii="Arial" w:hAnsi="Arial" w:cs="Arial"/>
                <w:b/>
                <w:bCs/>
                <w:sz w:val="20"/>
                <w:szCs w:val="20"/>
              </w:rPr>
            </w:pPr>
            <w:r w:rsidRPr="00780985">
              <w:rPr>
                <w:rFonts w:ascii="Arial" w:hAnsi="Arial" w:cs="Arial"/>
                <w:b/>
                <w:bCs/>
                <w:sz w:val="20"/>
                <w:szCs w:val="20"/>
              </w:rPr>
              <w:t>PLAN 2025.</w:t>
            </w:r>
          </w:p>
        </w:tc>
        <w:tc>
          <w:tcPr>
            <w:tcW w:w="1560" w:type="dxa"/>
            <w:tcBorders>
              <w:bottom w:val="single" w:sz="4" w:space="0" w:color="auto"/>
            </w:tcBorders>
            <w:shd w:val="clear" w:color="auto" w:fill="AEAAAA" w:themeFill="background2" w:themeFillShade="BF"/>
            <w:noWrap/>
            <w:hideMark/>
          </w:tcPr>
          <w:p w14:paraId="4575938A" w14:textId="77777777" w:rsidR="002B38A3" w:rsidRPr="00780985" w:rsidRDefault="002B38A3" w:rsidP="00780985">
            <w:pPr>
              <w:jc w:val="center"/>
              <w:rPr>
                <w:rFonts w:ascii="Arial" w:hAnsi="Arial" w:cs="Arial"/>
                <w:b/>
                <w:bCs/>
                <w:sz w:val="20"/>
                <w:szCs w:val="20"/>
              </w:rPr>
            </w:pPr>
            <w:r w:rsidRPr="00780985">
              <w:rPr>
                <w:rFonts w:ascii="Arial" w:hAnsi="Arial" w:cs="Arial"/>
                <w:b/>
                <w:bCs/>
                <w:sz w:val="20"/>
                <w:szCs w:val="20"/>
              </w:rPr>
              <w:t>POVEĆANJE/SMANJENJE</w:t>
            </w:r>
          </w:p>
        </w:tc>
        <w:tc>
          <w:tcPr>
            <w:tcW w:w="1559" w:type="dxa"/>
            <w:tcBorders>
              <w:bottom w:val="single" w:sz="4" w:space="0" w:color="auto"/>
            </w:tcBorders>
            <w:shd w:val="clear" w:color="auto" w:fill="AEAAAA" w:themeFill="background2" w:themeFillShade="BF"/>
            <w:noWrap/>
            <w:hideMark/>
          </w:tcPr>
          <w:p w14:paraId="4AA9E29C" w14:textId="77777777" w:rsidR="002B38A3" w:rsidRPr="00780985" w:rsidRDefault="002B38A3" w:rsidP="00780985">
            <w:pPr>
              <w:jc w:val="center"/>
              <w:rPr>
                <w:rFonts w:ascii="Arial" w:hAnsi="Arial" w:cs="Arial"/>
                <w:b/>
                <w:bCs/>
                <w:sz w:val="20"/>
                <w:szCs w:val="20"/>
              </w:rPr>
            </w:pPr>
            <w:r w:rsidRPr="00780985">
              <w:rPr>
                <w:rFonts w:ascii="Arial" w:hAnsi="Arial" w:cs="Arial"/>
                <w:b/>
                <w:bCs/>
                <w:sz w:val="20"/>
                <w:szCs w:val="20"/>
              </w:rPr>
              <w:t>NOVI PLAN 2025.</w:t>
            </w:r>
          </w:p>
        </w:tc>
        <w:tc>
          <w:tcPr>
            <w:tcW w:w="1134" w:type="dxa"/>
            <w:tcBorders>
              <w:bottom w:val="single" w:sz="4" w:space="0" w:color="auto"/>
            </w:tcBorders>
            <w:shd w:val="clear" w:color="auto" w:fill="AEAAAA" w:themeFill="background2" w:themeFillShade="BF"/>
            <w:noWrap/>
            <w:hideMark/>
          </w:tcPr>
          <w:p w14:paraId="72674D77" w14:textId="77777777" w:rsidR="002B38A3" w:rsidRPr="00780985" w:rsidRDefault="002B38A3" w:rsidP="00780985">
            <w:pPr>
              <w:jc w:val="center"/>
              <w:rPr>
                <w:rFonts w:ascii="Arial" w:hAnsi="Arial" w:cs="Arial"/>
                <w:b/>
                <w:bCs/>
                <w:sz w:val="20"/>
                <w:szCs w:val="20"/>
              </w:rPr>
            </w:pPr>
            <w:r w:rsidRPr="00780985">
              <w:rPr>
                <w:rFonts w:ascii="Arial" w:hAnsi="Arial" w:cs="Arial"/>
                <w:b/>
                <w:bCs/>
                <w:sz w:val="20"/>
                <w:szCs w:val="20"/>
              </w:rPr>
              <w:t xml:space="preserve">INDEKS </w:t>
            </w:r>
          </w:p>
          <w:p w14:paraId="0013C36C" w14:textId="77777777" w:rsidR="002B38A3" w:rsidRPr="00780985" w:rsidRDefault="002B38A3" w:rsidP="00780985">
            <w:pPr>
              <w:jc w:val="center"/>
              <w:rPr>
                <w:rFonts w:ascii="Arial" w:hAnsi="Arial" w:cs="Arial"/>
                <w:b/>
                <w:bCs/>
                <w:sz w:val="20"/>
                <w:szCs w:val="20"/>
              </w:rPr>
            </w:pPr>
            <w:r w:rsidRPr="00780985">
              <w:rPr>
                <w:rFonts w:ascii="Arial" w:hAnsi="Arial" w:cs="Arial"/>
                <w:b/>
                <w:bCs/>
                <w:sz w:val="20"/>
                <w:szCs w:val="20"/>
              </w:rPr>
              <w:t>4/3</w:t>
            </w:r>
          </w:p>
        </w:tc>
      </w:tr>
      <w:tr w:rsidR="00780985" w:rsidRPr="00780985" w14:paraId="721137CE" w14:textId="77777777" w:rsidTr="00780985">
        <w:trPr>
          <w:trHeight w:val="283"/>
        </w:trPr>
        <w:tc>
          <w:tcPr>
            <w:tcW w:w="1135" w:type="dxa"/>
            <w:shd w:val="clear" w:color="auto" w:fill="AEAAAA" w:themeFill="background2" w:themeFillShade="BF"/>
            <w:noWrap/>
          </w:tcPr>
          <w:p w14:paraId="622BC719" w14:textId="77777777" w:rsidR="002B38A3" w:rsidRPr="00780985" w:rsidRDefault="002B38A3" w:rsidP="00780985">
            <w:pPr>
              <w:jc w:val="center"/>
              <w:rPr>
                <w:rFonts w:ascii="Arial" w:hAnsi="Arial" w:cs="Arial"/>
                <w:b/>
                <w:bCs/>
                <w:sz w:val="20"/>
                <w:szCs w:val="20"/>
              </w:rPr>
            </w:pPr>
            <w:r w:rsidRPr="00780985">
              <w:rPr>
                <w:rFonts w:ascii="Arial" w:hAnsi="Arial" w:cs="Arial"/>
                <w:b/>
                <w:bCs/>
                <w:sz w:val="20"/>
                <w:szCs w:val="20"/>
              </w:rPr>
              <w:t>1</w:t>
            </w:r>
          </w:p>
        </w:tc>
        <w:tc>
          <w:tcPr>
            <w:tcW w:w="3544" w:type="dxa"/>
            <w:shd w:val="clear" w:color="auto" w:fill="AEAAAA" w:themeFill="background2" w:themeFillShade="BF"/>
          </w:tcPr>
          <w:p w14:paraId="4481FB9E" w14:textId="77777777" w:rsidR="002B38A3" w:rsidRPr="00780985" w:rsidRDefault="002B38A3" w:rsidP="00780985">
            <w:pPr>
              <w:jc w:val="center"/>
              <w:rPr>
                <w:rFonts w:ascii="Arial" w:hAnsi="Arial" w:cs="Arial"/>
                <w:b/>
                <w:bCs/>
                <w:sz w:val="20"/>
                <w:szCs w:val="20"/>
              </w:rPr>
            </w:pPr>
            <w:r w:rsidRPr="00780985">
              <w:rPr>
                <w:rFonts w:ascii="Arial" w:hAnsi="Arial" w:cs="Arial"/>
                <w:b/>
                <w:bCs/>
                <w:sz w:val="20"/>
                <w:szCs w:val="20"/>
              </w:rPr>
              <w:t>2</w:t>
            </w:r>
          </w:p>
        </w:tc>
        <w:tc>
          <w:tcPr>
            <w:tcW w:w="1417" w:type="dxa"/>
            <w:shd w:val="clear" w:color="auto" w:fill="AEAAAA" w:themeFill="background2" w:themeFillShade="BF"/>
            <w:noWrap/>
          </w:tcPr>
          <w:p w14:paraId="499EB57D" w14:textId="77777777" w:rsidR="002B38A3" w:rsidRPr="00780985" w:rsidRDefault="002B38A3" w:rsidP="00780985">
            <w:pPr>
              <w:jc w:val="center"/>
              <w:rPr>
                <w:rFonts w:ascii="Arial" w:hAnsi="Arial" w:cs="Arial"/>
                <w:b/>
                <w:bCs/>
                <w:sz w:val="20"/>
                <w:szCs w:val="20"/>
              </w:rPr>
            </w:pPr>
            <w:r w:rsidRPr="00780985">
              <w:rPr>
                <w:rFonts w:ascii="Arial" w:hAnsi="Arial" w:cs="Arial"/>
                <w:b/>
                <w:bCs/>
                <w:sz w:val="20"/>
                <w:szCs w:val="20"/>
              </w:rPr>
              <w:t>3</w:t>
            </w:r>
          </w:p>
        </w:tc>
        <w:tc>
          <w:tcPr>
            <w:tcW w:w="1560" w:type="dxa"/>
            <w:shd w:val="clear" w:color="auto" w:fill="AEAAAA" w:themeFill="background2" w:themeFillShade="BF"/>
            <w:noWrap/>
          </w:tcPr>
          <w:p w14:paraId="68A55520" w14:textId="77777777" w:rsidR="002B38A3" w:rsidRPr="00780985" w:rsidRDefault="002B38A3" w:rsidP="00780985">
            <w:pPr>
              <w:jc w:val="center"/>
              <w:rPr>
                <w:rFonts w:ascii="Arial" w:hAnsi="Arial" w:cs="Arial"/>
                <w:b/>
                <w:bCs/>
                <w:sz w:val="20"/>
                <w:szCs w:val="20"/>
              </w:rPr>
            </w:pPr>
            <w:r w:rsidRPr="00780985">
              <w:rPr>
                <w:rFonts w:ascii="Arial" w:hAnsi="Arial" w:cs="Arial"/>
                <w:b/>
                <w:bCs/>
                <w:sz w:val="20"/>
                <w:szCs w:val="20"/>
              </w:rPr>
              <w:t>4</w:t>
            </w:r>
          </w:p>
        </w:tc>
        <w:tc>
          <w:tcPr>
            <w:tcW w:w="1559" w:type="dxa"/>
            <w:shd w:val="clear" w:color="auto" w:fill="AEAAAA" w:themeFill="background2" w:themeFillShade="BF"/>
            <w:noWrap/>
          </w:tcPr>
          <w:p w14:paraId="29BF88DD" w14:textId="77777777" w:rsidR="002B38A3" w:rsidRPr="00780985" w:rsidRDefault="002B38A3" w:rsidP="00780985">
            <w:pPr>
              <w:jc w:val="center"/>
              <w:rPr>
                <w:rFonts w:ascii="Arial" w:hAnsi="Arial" w:cs="Arial"/>
                <w:b/>
                <w:bCs/>
                <w:sz w:val="20"/>
                <w:szCs w:val="20"/>
              </w:rPr>
            </w:pPr>
            <w:r w:rsidRPr="00780985">
              <w:rPr>
                <w:rFonts w:ascii="Arial" w:hAnsi="Arial" w:cs="Arial"/>
                <w:b/>
                <w:bCs/>
                <w:sz w:val="20"/>
                <w:szCs w:val="20"/>
              </w:rPr>
              <w:t>5</w:t>
            </w:r>
          </w:p>
        </w:tc>
        <w:tc>
          <w:tcPr>
            <w:tcW w:w="1134" w:type="dxa"/>
            <w:shd w:val="clear" w:color="auto" w:fill="AEAAAA" w:themeFill="background2" w:themeFillShade="BF"/>
            <w:noWrap/>
          </w:tcPr>
          <w:p w14:paraId="33F250C4" w14:textId="77777777" w:rsidR="002B38A3" w:rsidRPr="00780985" w:rsidRDefault="002B38A3" w:rsidP="00780985">
            <w:pPr>
              <w:jc w:val="center"/>
              <w:rPr>
                <w:rFonts w:ascii="Arial" w:hAnsi="Arial" w:cs="Arial"/>
                <w:b/>
                <w:bCs/>
                <w:sz w:val="20"/>
                <w:szCs w:val="20"/>
              </w:rPr>
            </w:pPr>
            <w:r w:rsidRPr="00780985">
              <w:rPr>
                <w:rFonts w:ascii="Arial" w:hAnsi="Arial" w:cs="Arial"/>
                <w:b/>
                <w:bCs/>
                <w:sz w:val="20"/>
                <w:szCs w:val="20"/>
              </w:rPr>
              <w:t>6</w:t>
            </w:r>
          </w:p>
        </w:tc>
      </w:tr>
      <w:tr w:rsidR="00780985" w:rsidRPr="00780985" w14:paraId="7CEE76CB" w14:textId="77777777" w:rsidTr="00780985">
        <w:trPr>
          <w:trHeight w:val="283"/>
        </w:trPr>
        <w:tc>
          <w:tcPr>
            <w:tcW w:w="4679" w:type="dxa"/>
            <w:gridSpan w:val="2"/>
            <w:shd w:val="clear" w:color="auto" w:fill="AEAAAA" w:themeFill="background2" w:themeFillShade="BF"/>
            <w:noWrap/>
            <w:hideMark/>
          </w:tcPr>
          <w:p w14:paraId="1996DA6A" w14:textId="77777777" w:rsidR="002B38A3" w:rsidRPr="00780985" w:rsidRDefault="002B38A3" w:rsidP="00780985">
            <w:pPr>
              <w:rPr>
                <w:rFonts w:ascii="Arial" w:hAnsi="Arial" w:cs="Arial"/>
                <w:b/>
                <w:bCs/>
                <w:sz w:val="20"/>
                <w:szCs w:val="20"/>
              </w:rPr>
            </w:pPr>
            <w:r w:rsidRPr="00780985">
              <w:rPr>
                <w:rFonts w:ascii="Arial" w:hAnsi="Arial" w:cs="Arial"/>
                <w:b/>
                <w:bCs/>
                <w:sz w:val="20"/>
                <w:szCs w:val="20"/>
              </w:rPr>
              <w:t xml:space="preserve">UKUPNO PRIHODI / PRIMICI </w:t>
            </w:r>
          </w:p>
        </w:tc>
        <w:tc>
          <w:tcPr>
            <w:tcW w:w="1417" w:type="dxa"/>
            <w:shd w:val="clear" w:color="auto" w:fill="AEAAAA" w:themeFill="background2" w:themeFillShade="BF"/>
            <w:noWrap/>
          </w:tcPr>
          <w:p w14:paraId="4B45E2A8" w14:textId="77777777" w:rsidR="002B38A3" w:rsidRPr="00780985" w:rsidRDefault="002B38A3" w:rsidP="00780985">
            <w:pPr>
              <w:jc w:val="right"/>
              <w:rPr>
                <w:rFonts w:ascii="Arial" w:hAnsi="Arial" w:cs="Arial"/>
                <w:b/>
                <w:bCs/>
                <w:sz w:val="20"/>
                <w:szCs w:val="20"/>
              </w:rPr>
            </w:pPr>
            <w:r w:rsidRPr="00780985">
              <w:rPr>
                <w:rFonts w:ascii="Arial" w:hAnsi="Arial" w:cs="Arial"/>
                <w:b/>
                <w:bCs/>
                <w:sz w:val="20"/>
                <w:szCs w:val="20"/>
              </w:rPr>
              <w:t>1.737.130,00</w:t>
            </w:r>
          </w:p>
        </w:tc>
        <w:tc>
          <w:tcPr>
            <w:tcW w:w="1560" w:type="dxa"/>
            <w:shd w:val="clear" w:color="auto" w:fill="AEAAAA" w:themeFill="background2" w:themeFillShade="BF"/>
            <w:noWrap/>
          </w:tcPr>
          <w:p w14:paraId="5315322E" w14:textId="77777777" w:rsidR="002B38A3" w:rsidRPr="00780985" w:rsidRDefault="002B38A3" w:rsidP="00780985">
            <w:pPr>
              <w:jc w:val="right"/>
              <w:rPr>
                <w:rFonts w:ascii="Arial" w:hAnsi="Arial" w:cs="Arial"/>
                <w:b/>
                <w:bCs/>
                <w:sz w:val="20"/>
                <w:szCs w:val="20"/>
              </w:rPr>
            </w:pPr>
            <w:r w:rsidRPr="00780985">
              <w:rPr>
                <w:rFonts w:ascii="Arial" w:hAnsi="Arial" w:cs="Arial"/>
                <w:b/>
                <w:bCs/>
                <w:sz w:val="20"/>
                <w:szCs w:val="20"/>
              </w:rPr>
              <w:t>35.631,00</w:t>
            </w:r>
          </w:p>
        </w:tc>
        <w:tc>
          <w:tcPr>
            <w:tcW w:w="1559" w:type="dxa"/>
            <w:shd w:val="clear" w:color="auto" w:fill="AEAAAA" w:themeFill="background2" w:themeFillShade="BF"/>
            <w:noWrap/>
          </w:tcPr>
          <w:p w14:paraId="6F32DECF" w14:textId="77777777" w:rsidR="002B38A3" w:rsidRPr="00780985" w:rsidRDefault="002B38A3" w:rsidP="00780985">
            <w:pPr>
              <w:jc w:val="right"/>
              <w:rPr>
                <w:rFonts w:ascii="Arial" w:hAnsi="Arial" w:cs="Arial"/>
                <w:b/>
                <w:bCs/>
                <w:sz w:val="20"/>
                <w:szCs w:val="20"/>
              </w:rPr>
            </w:pPr>
            <w:r w:rsidRPr="00780985">
              <w:rPr>
                <w:rFonts w:ascii="Arial" w:hAnsi="Arial" w:cs="Arial"/>
                <w:b/>
                <w:bCs/>
                <w:sz w:val="20"/>
                <w:szCs w:val="20"/>
              </w:rPr>
              <w:t>1.772.761,00</w:t>
            </w:r>
          </w:p>
        </w:tc>
        <w:tc>
          <w:tcPr>
            <w:tcW w:w="1134" w:type="dxa"/>
            <w:shd w:val="clear" w:color="auto" w:fill="AEAAAA" w:themeFill="background2" w:themeFillShade="BF"/>
            <w:noWrap/>
          </w:tcPr>
          <w:p w14:paraId="0D9A8BB6" w14:textId="77777777" w:rsidR="002B38A3" w:rsidRPr="00780985" w:rsidRDefault="002B38A3" w:rsidP="00780985">
            <w:pPr>
              <w:jc w:val="right"/>
              <w:rPr>
                <w:rFonts w:ascii="Arial" w:hAnsi="Arial" w:cs="Arial"/>
                <w:b/>
                <w:bCs/>
                <w:sz w:val="20"/>
                <w:szCs w:val="20"/>
              </w:rPr>
            </w:pPr>
            <w:r w:rsidRPr="00780985">
              <w:rPr>
                <w:rFonts w:ascii="Arial" w:hAnsi="Arial" w:cs="Arial"/>
                <w:b/>
                <w:bCs/>
                <w:sz w:val="20"/>
                <w:szCs w:val="20"/>
              </w:rPr>
              <w:t>2,05</w:t>
            </w:r>
          </w:p>
        </w:tc>
      </w:tr>
      <w:tr w:rsidR="00780985" w:rsidRPr="00780985" w14:paraId="5C0B499B" w14:textId="77777777" w:rsidTr="00780985">
        <w:trPr>
          <w:trHeight w:val="283"/>
        </w:trPr>
        <w:tc>
          <w:tcPr>
            <w:tcW w:w="1135" w:type="dxa"/>
            <w:shd w:val="clear" w:color="auto" w:fill="D0CECE" w:themeFill="background2" w:themeFillShade="E6"/>
            <w:noWrap/>
            <w:hideMark/>
          </w:tcPr>
          <w:p w14:paraId="635033FE"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6</w:t>
            </w:r>
          </w:p>
        </w:tc>
        <w:tc>
          <w:tcPr>
            <w:tcW w:w="3544" w:type="dxa"/>
            <w:shd w:val="clear" w:color="auto" w:fill="D0CECE" w:themeFill="background2" w:themeFillShade="E6"/>
            <w:noWrap/>
            <w:hideMark/>
          </w:tcPr>
          <w:p w14:paraId="16E786FF"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Prihodi poslovanja</w:t>
            </w:r>
          </w:p>
        </w:tc>
        <w:tc>
          <w:tcPr>
            <w:tcW w:w="1417" w:type="dxa"/>
            <w:shd w:val="clear" w:color="auto" w:fill="D0CECE" w:themeFill="background2" w:themeFillShade="E6"/>
            <w:noWrap/>
          </w:tcPr>
          <w:p w14:paraId="4B329172"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1.737.130,00</w:t>
            </w:r>
          </w:p>
        </w:tc>
        <w:tc>
          <w:tcPr>
            <w:tcW w:w="1560" w:type="dxa"/>
            <w:shd w:val="clear" w:color="auto" w:fill="D0CECE" w:themeFill="background2" w:themeFillShade="E6"/>
            <w:noWrap/>
          </w:tcPr>
          <w:p w14:paraId="6E028DB7"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17.086,00</w:t>
            </w:r>
          </w:p>
        </w:tc>
        <w:tc>
          <w:tcPr>
            <w:tcW w:w="1559" w:type="dxa"/>
            <w:shd w:val="clear" w:color="auto" w:fill="D0CECE" w:themeFill="background2" w:themeFillShade="E6"/>
            <w:noWrap/>
          </w:tcPr>
          <w:p w14:paraId="7303945F"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1.754.216,00</w:t>
            </w:r>
          </w:p>
        </w:tc>
        <w:tc>
          <w:tcPr>
            <w:tcW w:w="1134" w:type="dxa"/>
            <w:shd w:val="clear" w:color="auto" w:fill="D0CECE" w:themeFill="background2" w:themeFillShade="E6"/>
            <w:noWrap/>
          </w:tcPr>
          <w:p w14:paraId="6B5FFA1E"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0,98</w:t>
            </w:r>
          </w:p>
        </w:tc>
      </w:tr>
      <w:tr w:rsidR="00780985" w:rsidRPr="00780985" w14:paraId="44DA0E62" w14:textId="77777777" w:rsidTr="00780985">
        <w:trPr>
          <w:trHeight w:val="283"/>
        </w:trPr>
        <w:tc>
          <w:tcPr>
            <w:tcW w:w="1135" w:type="dxa"/>
            <w:tcBorders>
              <w:bottom w:val="single" w:sz="4" w:space="0" w:color="auto"/>
            </w:tcBorders>
            <w:noWrap/>
          </w:tcPr>
          <w:p w14:paraId="3813B120"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64</w:t>
            </w:r>
          </w:p>
        </w:tc>
        <w:tc>
          <w:tcPr>
            <w:tcW w:w="3544" w:type="dxa"/>
            <w:tcBorders>
              <w:bottom w:val="single" w:sz="4" w:space="0" w:color="auto"/>
            </w:tcBorders>
            <w:noWrap/>
          </w:tcPr>
          <w:p w14:paraId="667EEF17"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Prihodi od imovine</w:t>
            </w:r>
          </w:p>
        </w:tc>
        <w:tc>
          <w:tcPr>
            <w:tcW w:w="1417" w:type="dxa"/>
            <w:tcBorders>
              <w:bottom w:val="single" w:sz="4" w:space="0" w:color="auto"/>
            </w:tcBorders>
            <w:noWrap/>
          </w:tcPr>
          <w:p w14:paraId="2EA736B9"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c>
          <w:tcPr>
            <w:tcW w:w="1560" w:type="dxa"/>
            <w:tcBorders>
              <w:bottom w:val="single" w:sz="4" w:space="0" w:color="auto"/>
            </w:tcBorders>
            <w:noWrap/>
          </w:tcPr>
          <w:p w14:paraId="5FEB2A3A"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0,00</w:t>
            </w:r>
          </w:p>
        </w:tc>
        <w:tc>
          <w:tcPr>
            <w:tcW w:w="1559" w:type="dxa"/>
            <w:tcBorders>
              <w:bottom w:val="single" w:sz="4" w:space="0" w:color="auto"/>
            </w:tcBorders>
            <w:noWrap/>
          </w:tcPr>
          <w:p w14:paraId="5BBFD6CC"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c>
          <w:tcPr>
            <w:tcW w:w="1134" w:type="dxa"/>
            <w:tcBorders>
              <w:bottom w:val="single" w:sz="4" w:space="0" w:color="auto"/>
            </w:tcBorders>
            <w:noWrap/>
          </w:tcPr>
          <w:p w14:paraId="69A0473E"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r>
      <w:tr w:rsidR="00780985" w:rsidRPr="00780985" w14:paraId="1AB5D481" w14:textId="77777777" w:rsidTr="00780985">
        <w:trPr>
          <w:trHeight w:val="283"/>
        </w:trPr>
        <w:tc>
          <w:tcPr>
            <w:tcW w:w="1135" w:type="dxa"/>
            <w:tcBorders>
              <w:bottom w:val="single" w:sz="4" w:space="0" w:color="auto"/>
            </w:tcBorders>
            <w:noWrap/>
          </w:tcPr>
          <w:p w14:paraId="7C669EEA"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65</w:t>
            </w:r>
          </w:p>
        </w:tc>
        <w:tc>
          <w:tcPr>
            <w:tcW w:w="3544" w:type="dxa"/>
            <w:tcBorders>
              <w:bottom w:val="single" w:sz="4" w:space="0" w:color="auto"/>
            </w:tcBorders>
            <w:noWrap/>
          </w:tcPr>
          <w:p w14:paraId="07EB64A2"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Prihodi od upravnih i administrativnih pristojbi, pristojbi po posebnim propisima i naknada</w:t>
            </w:r>
          </w:p>
        </w:tc>
        <w:tc>
          <w:tcPr>
            <w:tcW w:w="1417" w:type="dxa"/>
            <w:tcBorders>
              <w:bottom w:val="single" w:sz="4" w:space="0" w:color="auto"/>
            </w:tcBorders>
            <w:noWrap/>
          </w:tcPr>
          <w:p w14:paraId="6C80446F"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672.500,00</w:t>
            </w:r>
          </w:p>
        </w:tc>
        <w:tc>
          <w:tcPr>
            <w:tcW w:w="1560" w:type="dxa"/>
            <w:tcBorders>
              <w:bottom w:val="single" w:sz="4" w:space="0" w:color="auto"/>
            </w:tcBorders>
            <w:noWrap/>
          </w:tcPr>
          <w:p w14:paraId="0FCE4F43"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-66.100,00</w:t>
            </w:r>
          </w:p>
        </w:tc>
        <w:tc>
          <w:tcPr>
            <w:tcW w:w="1559" w:type="dxa"/>
            <w:tcBorders>
              <w:bottom w:val="single" w:sz="4" w:space="0" w:color="auto"/>
            </w:tcBorders>
            <w:noWrap/>
          </w:tcPr>
          <w:p w14:paraId="78C37768"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606.400,00</w:t>
            </w:r>
          </w:p>
        </w:tc>
        <w:tc>
          <w:tcPr>
            <w:tcW w:w="1134" w:type="dxa"/>
            <w:tcBorders>
              <w:bottom w:val="single" w:sz="4" w:space="0" w:color="auto"/>
            </w:tcBorders>
            <w:noWrap/>
          </w:tcPr>
          <w:p w14:paraId="7DC8C837"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-9,83</w:t>
            </w:r>
          </w:p>
        </w:tc>
      </w:tr>
      <w:tr w:rsidR="00780985" w:rsidRPr="00780985" w14:paraId="1405E691" w14:textId="77777777" w:rsidTr="00780985">
        <w:trPr>
          <w:trHeight w:val="283"/>
        </w:trPr>
        <w:tc>
          <w:tcPr>
            <w:tcW w:w="1135" w:type="dxa"/>
            <w:tcBorders>
              <w:bottom w:val="single" w:sz="4" w:space="0" w:color="auto"/>
            </w:tcBorders>
            <w:noWrap/>
          </w:tcPr>
          <w:p w14:paraId="4CA60957" w14:textId="77777777" w:rsidR="002B38A3" w:rsidRPr="00780985" w:rsidRDefault="002B38A3" w:rsidP="00780985">
            <w:pPr>
              <w:rPr>
                <w:rFonts w:ascii="Arial" w:hAnsi="Arial" w:cs="Arial"/>
                <w:bCs/>
                <w:sz w:val="20"/>
                <w:szCs w:val="20"/>
              </w:rPr>
            </w:pPr>
            <w:bookmarkStart w:id="68" w:name="_Hlk203030040"/>
            <w:r w:rsidRPr="00780985">
              <w:rPr>
                <w:rFonts w:ascii="Arial" w:hAnsi="Arial" w:cs="Arial"/>
                <w:bCs/>
                <w:sz w:val="20"/>
                <w:szCs w:val="20"/>
              </w:rPr>
              <w:t>66</w:t>
            </w:r>
          </w:p>
        </w:tc>
        <w:tc>
          <w:tcPr>
            <w:tcW w:w="3544" w:type="dxa"/>
            <w:tcBorders>
              <w:bottom w:val="single" w:sz="4" w:space="0" w:color="auto"/>
            </w:tcBorders>
            <w:noWrap/>
          </w:tcPr>
          <w:p w14:paraId="18C13C74"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Prihodi od prodaje proizvoda i robe te pruženih usluga i prihodi od donacija</w:t>
            </w:r>
          </w:p>
        </w:tc>
        <w:tc>
          <w:tcPr>
            <w:tcW w:w="1417" w:type="dxa"/>
            <w:tcBorders>
              <w:bottom w:val="single" w:sz="4" w:space="0" w:color="auto"/>
            </w:tcBorders>
            <w:noWrap/>
          </w:tcPr>
          <w:p w14:paraId="4838EC8E"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5.000,00</w:t>
            </w:r>
          </w:p>
        </w:tc>
        <w:tc>
          <w:tcPr>
            <w:tcW w:w="1560" w:type="dxa"/>
            <w:tcBorders>
              <w:bottom w:val="single" w:sz="4" w:space="0" w:color="auto"/>
            </w:tcBorders>
            <w:noWrap/>
          </w:tcPr>
          <w:p w14:paraId="4AD7E930"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0,00</w:t>
            </w:r>
          </w:p>
        </w:tc>
        <w:tc>
          <w:tcPr>
            <w:tcW w:w="1559" w:type="dxa"/>
            <w:tcBorders>
              <w:bottom w:val="single" w:sz="4" w:space="0" w:color="auto"/>
            </w:tcBorders>
            <w:noWrap/>
          </w:tcPr>
          <w:p w14:paraId="5819BBF7"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5.000,00</w:t>
            </w:r>
          </w:p>
        </w:tc>
        <w:tc>
          <w:tcPr>
            <w:tcW w:w="1134" w:type="dxa"/>
            <w:tcBorders>
              <w:bottom w:val="single" w:sz="4" w:space="0" w:color="auto"/>
            </w:tcBorders>
            <w:noWrap/>
          </w:tcPr>
          <w:p w14:paraId="6E4CD14A"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0,00</w:t>
            </w:r>
          </w:p>
        </w:tc>
      </w:tr>
      <w:bookmarkEnd w:id="68"/>
      <w:tr w:rsidR="00780985" w:rsidRPr="00780985" w14:paraId="5FA5E9A9" w14:textId="77777777" w:rsidTr="00780985">
        <w:trPr>
          <w:trHeight w:val="283"/>
        </w:trPr>
        <w:tc>
          <w:tcPr>
            <w:tcW w:w="1135" w:type="dxa"/>
            <w:tcBorders>
              <w:bottom w:val="single" w:sz="4" w:space="0" w:color="auto"/>
            </w:tcBorders>
            <w:noWrap/>
          </w:tcPr>
          <w:p w14:paraId="416B04B2"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67</w:t>
            </w:r>
          </w:p>
        </w:tc>
        <w:tc>
          <w:tcPr>
            <w:tcW w:w="3544" w:type="dxa"/>
            <w:tcBorders>
              <w:bottom w:val="single" w:sz="4" w:space="0" w:color="auto"/>
            </w:tcBorders>
            <w:noWrap/>
          </w:tcPr>
          <w:p w14:paraId="419FE719"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Prihodi iz nadležnog proračuna i od HZZO-a temeljem ugovornih obveza</w:t>
            </w:r>
          </w:p>
        </w:tc>
        <w:tc>
          <w:tcPr>
            <w:tcW w:w="1417" w:type="dxa"/>
            <w:tcBorders>
              <w:bottom w:val="single" w:sz="4" w:space="0" w:color="auto"/>
            </w:tcBorders>
            <w:noWrap/>
          </w:tcPr>
          <w:p w14:paraId="2E717A08"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1.059.630,00</w:t>
            </w:r>
          </w:p>
        </w:tc>
        <w:tc>
          <w:tcPr>
            <w:tcW w:w="1560" w:type="dxa"/>
            <w:tcBorders>
              <w:bottom w:val="single" w:sz="4" w:space="0" w:color="auto"/>
            </w:tcBorders>
            <w:noWrap/>
          </w:tcPr>
          <w:p w14:paraId="5263577A"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83.186,00</w:t>
            </w:r>
          </w:p>
        </w:tc>
        <w:tc>
          <w:tcPr>
            <w:tcW w:w="1559" w:type="dxa"/>
            <w:tcBorders>
              <w:bottom w:val="single" w:sz="4" w:space="0" w:color="auto"/>
            </w:tcBorders>
            <w:noWrap/>
          </w:tcPr>
          <w:p w14:paraId="481FC39A"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1.142.816,00</w:t>
            </w:r>
          </w:p>
        </w:tc>
        <w:tc>
          <w:tcPr>
            <w:tcW w:w="1134" w:type="dxa"/>
            <w:tcBorders>
              <w:bottom w:val="single" w:sz="4" w:space="0" w:color="auto"/>
            </w:tcBorders>
            <w:noWrap/>
          </w:tcPr>
          <w:p w14:paraId="059FD473"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7,85</w:t>
            </w:r>
          </w:p>
        </w:tc>
      </w:tr>
      <w:tr w:rsidR="00780985" w:rsidRPr="00780985" w14:paraId="70E891F2" w14:textId="77777777" w:rsidTr="00780985">
        <w:trPr>
          <w:trHeight w:val="283"/>
        </w:trPr>
        <w:tc>
          <w:tcPr>
            <w:tcW w:w="1135" w:type="dxa"/>
            <w:tcBorders>
              <w:bottom w:val="single" w:sz="4" w:space="0" w:color="auto"/>
            </w:tcBorders>
            <w:shd w:val="clear" w:color="auto" w:fill="D0CECE" w:themeFill="background2" w:themeFillShade="E6"/>
            <w:noWrap/>
            <w:hideMark/>
          </w:tcPr>
          <w:p w14:paraId="7B01E6D6"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9</w:t>
            </w:r>
          </w:p>
        </w:tc>
        <w:tc>
          <w:tcPr>
            <w:tcW w:w="3544" w:type="dxa"/>
            <w:tcBorders>
              <w:bottom w:val="single" w:sz="4" w:space="0" w:color="auto"/>
            </w:tcBorders>
            <w:shd w:val="clear" w:color="auto" w:fill="D0CECE" w:themeFill="background2" w:themeFillShade="E6"/>
            <w:noWrap/>
            <w:hideMark/>
          </w:tcPr>
          <w:p w14:paraId="130195E8"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Vlastiti izvori</w:t>
            </w:r>
          </w:p>
        </w:tc>
        <w:tc>
          <w:tcPr>
            <w:tcW w:w="1417" w:type="dxa"/>
            <w:tcBorders>
              <w:bottom w:val="single" w:sz="4" w:space="0" w:color="auto"/>
            </w:tcBorders>
            <w:shd w:val="clear" w:color="auto" w:fill="D0CECE" w:themeFill="background2" w:themeFillShade="E6"/>
            <w:noWrap/>
            <w:hideMark/>
          </w:tcPr>
          <w:p w14:paraId="3EE0A9FE"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0,00</w:t>
            </w:r>
          </w:p>
        </w:tc>
        <w:tc>
          <w:tcPr>
            <w:tcW w:w="1560" w:type="dxa"/>
            <w:tcBorders>
              <w:bottom w:val="single" w:sz="4" w:space="0" w:color="auto"/>
            </w:tcBorders>
            <w:shd w:val="clear" w:color="auto" w:fill="D0CECE" w:themeFill="background2" w:themeFillShade="E6"/>
            <w:noWrap/>
            <w:hideMark/>
          </w:tcPr>
          <w:p w14:paraId="4BE63E67"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18.545,00</w:t>
            </w:r>
          </w:p>
        </w:tc>
        <w:tc>
          <w:tcPr>
            <w:tcW w:w="1559" w:type="dxa"/>
            <w:tcBorders>
              <w:bottom w:val="single" w:sz="4" w:space="0" w:color="auto"/>
            </w:tcBorders>
            <w:shd w:val="clear" w:color="auto" w:fill="D0CECE" w:themeFill="background2" w:themeFillShade="E6"/>
            <w:noWrap/>
            <w:hideMark/>
          </w:tcPr>
          <w:p w14:paraId="5AF4DA0C"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18.545,00</w:t>
            </w:r>
          </w:p>
        </w:tc>
        <w:tc>
          <w:tcPr>
            <w:tcW w:w="1134" w:type="dxa"/>
            <w:tcBorders>
              <w:bottom w:val="single" w:sz="4" w:space="0" w:color="auto"/>
            </w:tcBorders>
            <w:shd w:val="clear" w:color="auto" w:fill="D0CECE" w:themeFill="background2" w:themeFillShade="E6"/>
            <w:noWrap/>
            <w:hideMark/>
          </w:tcPr>
          <w:p w14:paraId="7E5DD606"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0,00</w:t>
            </w:r>
          </w:p>
        </w:tc>
      </w:tr>
      <w:tr w:rsidR="00780985" w:rsidRPr="00780985" w14:paraId="6D2ABF6C" w14:textId="77777777" w:rsidTr="00780985">
        <w:trPr>
          <w:trHeight w:val="283"/>
        </w:trPr>
        <w:tc>
          <w:tcPr>
            <w:tcW w:w="1135" w:type="dxa"/>
            <w:tcBorders>
              <w:bottom w:val="single" w:sz="4" w:space="0" w:color="auto"/>
            </w:tcBorders>
            <w:noWrap/>
          </w:tcPr>
          <w:p w14:paraId="2533F52A"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92</w:t>
            </w:r>
          </w:p>
        </w:tc>
        <w:tc>
          <w:tcPr>
            <w:tcW w:w="3544" w:type="dxa"/>
            <w:tcBorders>
              <w:bottom w:val="single" w:sz="4" w:space="0" w:color="auto"/>
            </w:tcBorders>
            <w:noWrap/>
          </w:tcPr>
          <w:p w14:paraId="555116A9"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Rezultat poslovanja</w:t>
            </w:r>
          </w:p>
        </w:tc>
        <w:tc>
          <w:tcPr>
            <w:tcW w:w="1417" w:type="dxa"/>
            <w:tcBorders>
              <w:bottom w:val="single" w:sz="4" w:space="0" w:color="auto"/>
            </w:tcBorders>
            <w:noWrap/>
          </w:tcPr>
          <w:p w14:paraId="22DF3966"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0,00</w:t>
            </w:r>
          </w:p>
        </w:tc>
        <w:tc>
          <w:tcPr>
            <w:tcW w:w="1560" w:type="dxa"/>
            <w:tcBorders>
              <w:bottom w:val="single" w:sz="4" w:space="0" w:color="auto"/>
            </w:tcBorders>
            <w:noWrap/>
          </w:tcPr>
          <w:p w14:paraId="68A9B606"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18.545,00</w:t>
            </w:r>
          </w:p>
        </w:tc>
        <w:tc>
          <w:tcPr>
            <w:tcW w:w="1559" w:type="dxa"/>
            <w:tcBorders>
              <w:bottom w:val="single" w:sz="4" w:space="0" w:color="auto"/>
            </w:tcBorders>
            <w:noWrap/>
          </w:tcPr>
          <w:p w14:paraId="51B8F851"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18.545,00</w:t>
            </w:r>
          </w:p>
        </w:tc>
        <w:tc>
          <w:tcPr>
            <w:tcW w:w="1134" w:type="dxa"/>
            <w:tcBorders>
              <w:bottom w:val="single" w:sz="4" w:space="0" w:color="auto"/>
            </w:tcBorders>
            <w:noWrap/>
          </w:tcPr>
          <w:p w14:paraId="401B2A18"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0,00</w:t>
            </w:r>
          </w:p>
        </w:tc>
      </w:tr>
      <w:tr w:rsidR="00780985" w:rsidRPr="00780985" w14:paraId="075F87FB" w14:textId="77777777" w:rsidTr="00780985">
        <w:trPr>
          <w:trHeight w:val="283"/>
        </w:trPr>
        <w:tc>
          <w:tcPr>
            <w:tcW w:w="4679" w:type="dxa"/>
            <w:gridSpan w:val="2"/>
            <w:shd w:val="clear" w:color="auto" w:fill="AEAAAA" w:themeFill="background2" w:themeFillShade="BF"/>
            <w:noWrap/>
            <w:hideMark/>
          </w:tcPr>
          <w:p w14:paraId="1BFE70DF" w14:textId="77777777" w:rsidR="002B38A3" w:rsidRPr="00780985" w:rsidRDefault="002B38A3" w:rsidP="00780985">
            <w:pPr>
              <w:rPr>
                <w:rFonts w:ascii="Arial" w:hAnsi="Arial" w:cs="Arial"/>
                <w:b/>
                <w:bCs/>
                <w:sz w:val="20"/>
                <w:szCs w:val="20"/>
              </w:rPr>
            </w:pPr>
            <w:r w:rsidRPr="00780985">
              <w:rPr>
                <w:rFonts w:ascii="Arial" w:hAnsi="Arial" w:cs="Arial"/>
                <w:b/>
                <w:bCs/>
                <w:sz w:val="20"/>
                <w:szCs w:val="20"/>
              </w:rPr>
              <w:t xml:space="preserve">UKUPNO RASHODI / IZDACI </w:t>
            </w:r>
          </w:p>
        </w:tc>
        <w:tc>
          <w:tcPr>
            <w:tcW w:w="1417" w:type="dxa"/>
            <w:shd w:val="clear" w:color="auto" w:fill="AEAAAA" w:themeFill="background2" w:themeFillShade="BF"/>
            <w:noWrap/>
            <w:hideMark/>
          </w:tcPr>
          <w:p w14:paraId="0B3CDE60" w14:textId="77777777" w:rsidR="002B38A3" w:rsidRPr="00780985" w:rsidRDefault="002B38A3" w:rsidP="00780985">
            <w:pPr>
              <w:jc w:val="right"/>
              <w:rPr>
                <w:rFonts w:ascii="Arial" w:hAnsi="Arial" w:cs="Arial"/>
                <w:b/>
                <w:bCs/>
                <w:sz w:val="20"/>
                <w:szCs w:val="20"/>
              </w:rPr>
            </w:pPr>
            <w:r w:rsidRPr="00780985">
              <w:rPr>
                <w:rFonts w:ascii="Arial" w:hAnsi="Arial" w:cs="Arial"/>
                <w:b/>
                <w:bCs/>
                <w:sz w:val="20"/>
                <w:szCs w:val="20"/>
              </w:rPr>
              <w:t>1.737.130,00</w:t>
            </w:r>
          </w:p>
        </w:tc>
        <w:tc>
          <w:tcPr>
            <w:tcW w:w="1560" w:type="dxa"/>
            <w:shd w:val="clear" w:color="auto" w:fill="AEAAAA" w:themeFill="background2" w:themeFillShade="BF"/>
            <w:noWrap/>
            <w:hideMark/>
          </w:tcPr>
          <w:p w14:paraId="392BC7AA" w14:textId="77777777" w:rsidR="002B38A3" w:rsidRPr="00780985" w:rsidRDefault="002B38A3" w:rsidP="00780985">
            <w:pPr>
              <w:jc w:val="right"/>
              <w:rPr>
                <w:rFonts w:ascii="Arial" w:hAnsi="Arial" w:cs="Arial"/>
                <w:b/>
                <w:bCs/>
                <w:sz w:val="20"/>
                <w:szCs w:val="20"/>
              </w:rPr>
            </w:pPr>
            <w:r w:rsidRPr="00780985">
              <w:rPr>
                <w:rFonts w:ascii="Arial" w:hAnsi="Arial" w:cs="Arial"/>
                <w:b/>
                <w:bCs/>
                <w:sz w:val="20"/>
                <w:szCs w:val="20"/>
              </w:rPr>
              <w:t>35.631,00</w:t>
            </w:r>
          </w:p>
        </w:tc>
        <w:tc>
          <w:tcPr>
            <w:tcW w:w="1559" w:type="dxa"/>
            <w:shd w:val="clear" w:color="auto" w:fill="AEAAAA" w:themeFill="background2" w:themeFillShade="BF"/>
            <w:noWrap/>
            <w:hideMark/>
          </w:tcPr>
          <w:p w14:paraId="5F97A6D6" w14:textId="77777777" w:rsidR="002B38A3" w:rsidRPr="00780985" w:rsidRDefault="002B38A3" w:rsidP="00780985">
            <w:pPr>
              <w:jc w:val="right"/>
              <w:rPr>
                <w:rFonts w:ascii="Arial" w:hAnsi="Arial" w:cs="Arial"/>
                <w:b/>
                <w:bCs/>
                <w:sz w:val="20"/>
                <w:szCs w:val="20"/>
              </w:rPr>
            </w:pPr>
            <w:r w:rsidRPr="00780985">
              <w:rPr>
                <w:rFonts w:ascii="Arial" w:hAnsi="Arial" w:cs="Arial"/>
                <w:b/>
                <w:bCs/>
                <w:sz w:val="20"/>
                <w:szCs w:val="20"/>
              </w:rPr>
              <w:t>1.772.761,00</w:t>
            </w:r>
          </w:p>
        </w:tc>
        <w:tc>
          <w:tcPr>
            <w:tcW w:w="1134" w:type="dxa"/>
            <w:shd w:val="clear" w:color="auto" w:fill="AEAAAA" w:themeFill="background2" w:themeFillShade="BF"/>
            <w:noWrap/>
            <w:hideMark/>
          </w:tcPr>
          <w:p w14:paraId="57E85707" w14:textId="77777777" w:rsidR="002B38A3" w:rsidRPr="00780985" w:rsidRDefault="002B38A3" w:rsidP="00780985">
            <w:pPr>
              <w:jc w:val="right"/>
              <w:rPr>
                <w:rFonts w:ascii="Arial" w:hAnsi="Arial" w:cs="Arial"/>
                <w:b/>
                <w:bCs/>
                <w:sz w:val="20"/>
                <w:szCs w:val="20"/>
              </w:rPr>
            </w:pPr>
            <w:r w:rsidRPr="00780985">
              <w:rPr>
                <w:rFonts w:ascii="Arial" w:hAnsi="Arial" w:cs="Arial"/>
                <w:b/>
                <w:bCs/>
                <w:sz w:val="20"/>
                <w:szCs w:val="20"/>
              </w:rPr>
              <w:t>2,05</w:t>
            </w:r>
          </w:p>
        </w:tc>
      </w:tr>
      <w:tr w:rsidR="00780985" w:rsidRPr="00780985" w14:paraId="164A0B25" w14:textId="77777777" w:rsidTr="00780985">
        <w:trPr>
          <w:trHeight w:val="283"/>
        </w:trPr>
        <w:tc>
          <w:tcPr>
            <w:tcW w:w="1135" w:type="dxa"/>
            <w:shd w:val="clear" w:color="auto" w:fill="D0CECE" w:themeFill="background2" w:themeFillShade="E6"/>
            <w:noWrap/>
            <w:hideMark/>
          </w:tcPr>
          <w:p w14:paraId="76F052E4" w14:textId="77777777" w:rsidR="002B38A3" w:rsidRPr="00780985" w:rsidRDefault="002B38A3" w:rsidP="00780985">
            <w:pPr>
              <w:rPr>
                <w:rFonts w:ascii="Arial" w:hAnsi="Arial" w:cs="Arial"/>
                <w:bCs/>
                <w:sz w:val="20"/>
                <w:szCs w:val="20"/>
              </w:rPr>
            </w:pPr>
            <w:r w:rsidRPr="00780985">
              <w:rPr>
                <w:rFonts w:ascii="Arial" w:hAnsi="Arial" w:cs="Arial"/>
                <w:bCs/>
                <w:sz w:val="20"/>
                <w:szCs w:val="20"/>
              </w:rPr>
              <w:lastRenderedPageBreak/>
              <w:t>3</w:t>
            </w:r>
          </w:p>
        </w:tc>
        <w:tc>
          <w:tcPr>
            <w:tcW w:w="3544" w:type="dxa"/>
            <w:shd w:val="clear" w:color="auto" w:fill="D0CECE" w:themeFill="background2" w:themeFillShade="E6"/>
            <w:noWrap/>
            <w:hideMark/>
          </w:tcPr>
          <w:p w14:paraId="7CA8E332"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Rashodi poslovanja</w:t>
            </w:r>
          </w:p>
        </w:tc>
        <w:tc>
          <w:tcPr>
            <w:tcW w:w="1417" w:type="dxa"/>
            <w:shd w:val="clear" w:color="auto" w:fill="D0CECE" w:themeFill="background2" w:themeFillShade="E6"/>
            <w:noWrap/>
            <w:hideMark/>
          </w:tcPr>
          <w:p w14:paraId="7620E46E"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1.674.430,00</w:t>
            </w:r>
          </w:p>
        </w:tc>
        <w:tc>
          <w:tcPr>
            <w:tcW w:w="1560" w:type="dxa"/>
            <w:shd w:val="clear" w:color="auto" w:fill="D0CECE" w:themeFill="background2" w:themeFillShade="E6"/>
            <w:noWrap/>
            <w:hideMark/>
          </w:tcPr>
          <w:p w14:paraId="66E8461F"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81.913,00</w:t>
            </w:r>
          </w:p>
        </w:tc>
        <w:tc>
          <w:tcPr>
            <w:tcW w:w="1559" w:type="dxa"/>
            <w:shd w:val="clear" w:color="auto" w:fill="D0CECE" w:themeFill="background2" w:themeFillShade="E6"/>
            <w:noWrap/>
            <w:hideMark/>
          </w:tcPr>
          <w:p w14:paraId="77D6FE55"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1.756.343,00</w:t>
            </w:r>
          </w:p>
        </w:tc>
        <w:tc>
          <w:tcPr>
            <w:tcW w:w="1134" w:type="dxa"/>
            <w:shd w:val="clear" w:color="auto" w:fill="D0CECE" w:themeFill="background2" w:themeFillShade="E6"/>
            <w:noWrap/>
            <w:hideMark/>
          </w:tcPr>
          <w:p w14:paraId="0DE7F260"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4,89</w:t>
            </w:r>
          </w:p>
        </w:tc>
      </w:tr>
      <w:tr w:rsidR="00780985" w:rsidRPr="00780985" w14:paraId="4238897A" w14:textId="77777777" w:rsidTr="00780985">
        <w:trPr>
          <w:trHeight w:val="283"/>
        </w:trPr>
        <w:tc>
          <w:tcPr>
            <w:tcW w:w="1135" w:type="dxa"/>
            <w:noWrap/>
          </w:tcPr>
          <w:p w14:paraId="319A3BBF"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31</w:t>
            </w:r>
          </w:p>
        </w:tc>
        <w:tc>
          <w:tcPr>
            <w:tcW w:w="3544" w:type="dxa"/>
            <w:noWrap/>
          </w:tcPr>
          <w:p w14:paraId="04F2D5CC"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Rashodi za zaposlene</w:t>
            </w:r>
          </w:p>
        </w:tc>
        <w:tc>
          <w:tcPr>
            <w:tcW w:w="1417" w:type="dxa"/>
            <w:noWrap/>
          </w:tcPr>
          <w:p w14:paraId="7300AA8E"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1.210.000,00</w:t>
            </w:r>
          </w:p>
        </w:tc>
        <w:tc>
          <w:tcPr>
            <w:tcW w:w="1560" w:type="dxa"/>
            <w:noWrap/>
          </w:tcPr>
          <w:p w14:paraId="7B9BF34E"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80.463,00</w:t>
            </w:r>
          </w:p>
        </w:tc>
        <w:tc>
          <w:tcPr>
            <w:tcW w:w="1559" w:type="dxa"/>
            <w:noWrap/>
          </w:tcPr>
          <w:p w14:paraId="28D202EE"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1.290.463,00</w:t>
            </w:r>
          </w:p>
        </w:tc>
        <w:tc>
          <w:tcPr>
            <w:tcW w:w="1134" w:type="dxa"/>
            <w:noWrap/>
          </w:tcPr>
          <w:p w14:paraId="1BC72739"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6,65</w:t>
            </w:r>
          </w:p>
        </w:tc>
      </w:tr>
      <w:tr w:rsidR="00780985" w:rsidRPr="00780985" w14:paraId="2EEA711F" w14:textId="77777777" w:rsidTr="00780985">
        <w:trPr>
          <w:trHeight w:val="283"/>
        </w:trPr>
        <w:tc>
          <w:tcPr>
            <w:tcW w:w="1135" w:type="dxa"/>
            <w:noWrap/>
          </w:tcPr>
          <w:p w14:paraId="0DFEEA03" w14:textId="77777777" w:rsidR="002B38A3" w:rsidRPr="00780985" w:rsidRDefault="002B38A3" w:rsidP="00780985">
            <w:pPr>
              <w:rPr>
                <w:rFonts w:ascii="Arial" w:hAnsi="Arial" w:cs="Arial"/>
                <w:bCs/>
                <w:sz w:val="20"/>
                <w:szCs w:val="20"/>
              </w:rPr>
            </w:pPr>
            <w:bookmarkStart w:id="69" w:name="_Hlk203032543"/>
            <w:r w:rsidRPr="00780985">
              <w:rPr>
                <w:rFonts w:ascii="Arial" w:hAnsi="Arial" w:cs="Arial"/>
                <w:bCs/>
                <w:sz w:val="20"/>
                <w:szCs w:val="20"/>
              </w:rPr>
              <w:t>32</w:t>
            </w:r>
          </w:p>
        </w:tc>
        <w:tc>
          <w:tcPr>
            <w:tcW w:w="3544" w:type="dxa"/>
            <w:noWrap/>
          </w:tcPr>
          <w:p w14:paraId="07641CA8"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Materijalni rashodi</w:t>
            </w:r>
          </w:p>
        </w:tc>
        <w:tc>
          <w:tcPr>
            <w:tcW w:w="1417" w:type="dxa"/>
            <w:noWrap/>
          </w:tcPr>
          <w:p w14:paraId="26AC08EA"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464.430,00</w:t>
            </w:r>
          </w:p>
        </w:tc>
        <w:tc>
          <w:tcPr>
            <w:tcW w:w="1560" w:type="dxa"/>
            <w:noWrap/>
          </w:tcPr>
          <w:p w14:paraId="30DEAF1B"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1.250,00</w:t>
            </w:r>
          </w:p>
        </w:tc>
        <w:tc>
          <w:tcPr>
            <w:tcW w:w="1559" w:type="dxa"/>
            <w:noWrap/>
          </w:tcPr>
          <w:p w14:paraId="69F07E31"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465.680,00</w:t>
            </w:r>
          </w:p>
        </w:tc>
        <w:tc>
          <w:tcPr>
            <w:tcW w:w="1134" w:type="dxa"/>
            <w:noWrap/>
          </w:tcPr>
          <w:p w14:paraId="4A260068"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0,27</w:t>
            </w:r>
          </w:p>
        </w:tc>
      </w:tr>
      <w:bookmarkEnd w:id="69"/>
      <w:tr w:rsidR="00780985" w:rsidRPr="00780985" w14:paraId="35FAA027" w14:textId="77777777" w:rsidTr="00780985">
        <w:trPr>
          <w:trHeight w:val="283"/>
        </w:trPr>
        <w:tc>
          <w:tcPr>
            <w:tcW w:w="1135" w:type="dxa"/>
            <w:noWrap/>
          </w:tcPr>
          <w:p w14:paraId="730275D8"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34</w:t>
            </w:r>
          </w:p>
        </w:tc>
        <w:tc>
          <w:tcPr>
            <w:tcW w:w="3544" w:type="dxa"/>
            <w:noWrap/>
          </w:tcPr>
          <w:p w14:paraId="406FD987"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Financijski rashodi</w:t>
            </w:r>
          </w:p>
        </w:tc>
        <w:tc>
          <w:tcPr>
            <w:tcW w:w="1417" w:type="dxa"/>
            <w:noWrap/>
          </w:tcPr>
          <w:p w14:paraId="1DF8E5D7"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0,00</w:t>
            </w:r>
          </w:p>
        </w:tc>
        <w:tc>
          <w:tcPr>
            <w:tcW w:w="1560" w:type="dxa"/>
            <w:noWrap/>
          </w:tcPr>
          <w:p w14:paraId="70961BC1"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200,00</w:t>
            </w:r>
          </w:p>
        </w:tc>
        <w:tc>
          <w:tcPr>
            <w:tcW w:w="1559" w:type="dxa"/>
            <w:noWrap/>
          </w:tcPr>
          <w:p w14:paraId="49B3B339"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200,00</w:t>
            </w:r>
          </w:p>
        </w:tc>
        <w:tc>
          <w:tcPr>
            <w:tcW w:w="1134" w:type="dxa"/>
            <w:noWrap/>
          </w:tcPr>
          <w:p w14:paraId="0DEF7225"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r>
      <w:tr w:rsidR="00780985" w:rsidRPr="00780985" w14:paraId="5D893FC6" w14:textId="77777777" w:rsidTr="00780985">
        <w:trPr>
          <w:trHeight w:val="283"/>
        </w:trPr>
        <w:tc>
          <w:tcPr>
            <w:tcW w:w="1135" w:type="dxa"/>
            <w:shd w:val="clear" w:color="auto" w:fill="D0CECE" w:themeFill="background2" w:themeFillShade="E6"/>
            <w:noWrap/>
            <w:hideMark/>
          </w:tcPr>
          <w:p w14:paraId="6ADEC02C"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4</w:t>
            </w:r>
          </w:p>
        </w:tc>
        <w:tc>
          <w:tcPr>
            <w:tcW w:w="3544" w:type="dxa"/>
            <w:shd w:val="clear" w:color="auto" w:fill="D0CECE" w:themeFill="background2" w:themeFillShade="E6"/>
            <w:noWrap/>
            <w:hideMark/>
          </w:tcPr>
          <w:p w14:paraId="7E7F472D"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Rashodi za nabavu nefinancijske imovine</w:t>
            </w:r>
          </w:p>
        </w:tc>
        <w:tc>
          <w:tcPr>
            <w:tcW w:w="1417" w:type="dxa"/>
            <w:shd w:val="clear" w:color="auto" w:fill="D0CECE" w:themeFill="background2" w:themeFillShade="E6"/>
            <w:noWrap/>
            <w:hideMark/>
          </w:tcPr>
          <w:p w14:paraId="73DA7877"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62.700,00</w:t>
            </w:r>
          </w:p>
        </w:tc>
        <w:tc>
          <w:tcPr>
            <w:tcW w:w="1560" w:type="dxa"/>
            <w:shd w:val="clear" w:color="auto" w:fill="D0CECE" w:themeFill="background2" w:themeFillShade="E6"/>
            <w:noWrap/>
            <w:hideMark/>
          </w:tcPr>
          <w:p w14:paraId="1F4C5575"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-49.000,00</w:t>
            </w:r>
          </w:p>
        </w:tc>
        <w:tc>
          <w:tcPr>
            <w:tcW w:w="1559" w:type="dxa"/>
            <w:shd w:val="clear" w:color="auto" w:fill="D0CECE" w:themeFill="background2" w:themeFillShade="E6"/>
            <w:noWrap/>
            <w:hideMark/>
          </w:tcPr>
          <w:p w14:paraId="4E773674"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13.700,00</w:t>
            </w:r>
          </w:p>
        </w:tc>
        <w:tc>
          <w:tcPr>
            <w:tcW w:w="1134" w:type="dxa"/>
            <w:shd w:val="clear" w:color="auto" w:fill="D0CECE" w:themeFill="background2" w:themeFillShade="E6"/>
            <w:noWrap/>
            <w:hideMark/>
          </w:tcPr>
          <w:p w14:paraId="4E70EEE2"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-78,14</w:t>
            </w:r>
          </w:p>
        </w:tc>
      </w:tr>
      <w:tr w:rsidR="00780985" w:rsidRPr="00780985" w14:paraId="3C11EC3E" w14:textId="77777777" w:rsidTr="00780985">
        <w:trPr>
          <w:trHeight w:val="283"/>
        </w:trPr>
        <w:tc>
          <w:tcPr>
            <w:tcW w:w="1135" w:type="dxa"/>
            <w:noWrap/>
          </w:tcPr>
          <w:p w14:paraId="75606971"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42</w:t>
            </w:r>
          </w:p>
        </w:tc>
        <w:tc>
          <w:tcPr>
            <w:tcW w:w="3544" w:type="dxa"/>
            <w:noWrap/>
          </w:tcPr>
          <w:p w14:paraId="0EB9FE14"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Rashodi za nabavu proizvedene dugotrajne imovine</w:t>
            </w:r>
          </w:p>
        </w:tc>
        <w:tc>
          <w:tcPr>
            <w:tcW w:w="1417" w:type="dxa"/>
            <w:noWrap/>
          </w:tcPr>
          <w:p w14:paraId="1054F9A5"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62.700,00</w:t>
            </w:r>
          </w:p>
        </w:tc>
        <w:tc>
          <w:tcPr>
            <w:tcW w:w="1560" w:type="dxa"/>
            <w:noWrap/>
          </w:tcPr>
          <w:p w14:paraId="26F9E125"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-49.000,00</w:t>
            </w:r>
          </w:p>
        </w:tc>
        <w:tc>
          <w:tcPr>
            <w:tcW w:w="1559" w:type="dxa"/>
            <w:noWrap/>
          </w:tcPr>
          <w:p w14:paraId="5B3F16BD"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13.700,00</w:t>
            </w:r>
          </w:p>
        </w:tc>
        <w:tc>
          <w:tcPr>
            <w:tcW w:w="1134" w:type="dxa"/>
            <w:noWrap/>
          </w:tcPr>
          <w:p w14:paraId="1E5849BF"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-78,14</w:t>
            </w:r>
          </w:p>
        </w:tc>
      </w:tr>
      <w:tr w:rsidR="00780985" w:rsidRPr="00780985" w14:paraId="5D2BD09E" w14:textId="77777777" w:rsidTr="00780985">
        <w:trPr>
          <w:trHeight w:val="283"/>
        </w:trPr>
        <w:tc>
          <w:tcPr>
            <w:tcW w:w="1135" w:type="dxa"/>
            <w:shd w:val="clear" w:color="auto" w:fill="D0CECE" w:themeFill="background2" w:themeFillShade="E6"/>
            <w:noWrap/>
            <w:hideMark/>
          </w:tcPr>
          <w:p w14:paraId="16A0E7C9"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9</w:t>
            </w:r>
          </w:p>
        </w:tc>
        <w:tc>
          <w:tcPr>
            <w:tcW w:w="3544" w:type="dxa"/>
            <w:shd w:val="clear" w:color="auto" w:fill="D0CECE" w:themeFill="background2" w:themeFillShade="E6"/>
            <w:noWrap/>
            <w:hideMark/>
          </w:tcPr>
          <w:p w14:paraId="35E8B4A8"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Vlastiti izvori</w:t>
            </w:r>
          </w:p>
        </w:tc>
        <w:tc>
          <w:tcPr>
            <w:tcW w:w="1417" w:type="dxa"/>
            <w:shd w:val="clear" w:color="auto" w:fill="D0CECE" w:themeFill="background2" w:themeFillShade="E6"/>
            <w:noWrap/>
            <w:hideMark/>
          </w:tcPr>
          <w:p w14:paraId="3B675212"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0,00</w:t>
            </w:r>
          </w:p>
        </w:tc>
        <w:tc>
          <w:tcPr>
            <w:tcW w:w="1560" w:type="dxa"/>
            <w:shd w:val="clear" w:color="auto" w:fill="D0CECE" w:themeFill="background2" w:themeFillShade="E6"/>
            <w:noWrap/>
            <w:hideMark/>
          </w:tcPr>
          <w:p w14:paraId="05C4497F"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2.718,00</w:t>
            </w:r>
          </w:p>
        </w:tc>
        <w:tc>
          <w:tcPr>
            <w:tcW w:w="1559" w:type="dxa"/>
            <w:shd w:val="clear" w:color="auto" w:fill="D0CECE" w:themeFill="background2" w:themeFillShade="E6"/>
            <w:noWrap/>
            <w:hideMark/>
          </w:tcPr>
          <w:p w14:paraId="56442F27"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2.718,00</w:t>
            </w:r>
          </w:p>
        </w:tc>
        <w:tc>
          <w:tcPr>
            <w:tcW w:w="1134" w:type="dxa"/>
            <w:shd w:val="clear" w:color="auto" w:fill="D0CECE" w:themeFill="background2" w:themeFillShade="E6"/>
            <w:noWrap/>
            <w:hideMark/>
          </w:tcPr>
          <w:p w14:paraId="10D1D6D8"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0,00</w:t>
            </w:r>
          </w:p>
        </w:tc>
      </w:tr>
      <w:tr w:rsidR="00780985" w:rsidRPr="00780985" w14:paraId="6F82AD4D" w14:textId="77777777" w:rsidTr="00780985">
        <w:trPr>
          <w:trHeight w:val="283"/>
        </w:trPr>
        <w:tc>
          <w:tcPr>
            <w:tcW w:w="1135" w:type="dxa"/>
            <w:noWrap/>
          </w:tcPr>
          <w:p w14:paraId="74EF276B"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92</w:t>
            </w:r>
          </w:p>
        </w:tc>
        <w:tc>
          <w:tcPr>
            <w:tcW w:w="3544" w:type="dxa"/>
            <w:noWrap/>
          </w:tcPr>
          <w:p w14:paraId="15C834E7" w14:textId="77777777" w:rsidR="002B38A3" w:rsidRPr="00780985" w:rsidRDefault="002B38A3" w:rsidP="00780985">
            <w:pPr>
              <w:rPr>
                <w:rFonts w:ascii="Arial" w:hAnsi="Arial" w:cs="Arial"/>
                <w:bCs/>
                <w:sz w:val="20"/>
                <w:szCs w:val="20"/>
              </w:rPr>
            </w:pPr>
            <w:r w:rsidRPr="00780985">
              <w:rPr>
                <w:rFonts w:ascii="Arial" w:hAnsi="Arial" w:cs="Arial"/>
                <w:bCs/>
                <w:sz w:val="20"/>
                <w:szCs w:val="20"/>
              </w:rPr>
              <w:t>Rezultat poslovanja</w:t>
            </w:r>
          </w:p>
        </w:tc>
        <w:tc>
          <w:tcPr>
            <w:tcW w:w="1417" w:type="dxa"/>
            <w:noWrap/>
          </w:tcPr>
          <w:p w14:paraId="3CA22D4D"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0,00</w:t>
            </w:r>
          </w:p>
        </w:tc>
        <w:tc>
          <w:tcPr>
            <w:tcW w:w="1560" w:type="dxa"/>
            <w:noWrap/>
          </w:tcPr>
          <w:p w14:paraId="34B0C355"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2.718,00</w:t>
            </w:r>
          </w:p>
        </w:tc>
        <w:tc>
          <w:tcPr>
            <w:tcW w:w="1559" w:type="dxa"/>
            <w:noWrap/>
          </w:tcPr>
          <w:p w14:paraId="7C425DFB"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2.718,00</w:t>
            </w:r>
          </w:p>
        </w:tc>
        <w:tc>
          <w:tcPr>
            <w:tcW w:w="1134" w:type="dxa"/>
            <w:noWrap/>
          </w:tcPr>
          <w:p w14:paraId="191C58AD"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0,00</w:t>
            </w:r>
          </w:p>
        </w:tc>
      </w:tr>
      <w:bookmarkEnd w:id="67"/>
    </w:tbl>
    <w:p w14:paraId="033F559E" w14:textId="77777777" w:rsidR="002B38A3" w:rsidRPr="00711C75" w:rsidRDefault="002B38A3" w:rsidP="002B38A3">
      <w:pPr>
        <w:rPr>
          <w:b/>
          <w:bCs/>
          <w:sz w:val="20"/>
          <w:szCs w:val="20"/>
        </w:rPr>
      </w:pPr>
    </w:p>
    <w:p w14:paraId="2FC43E94" w14:textId="77777777" w:rsidR="002B38A3" w:rsidRPr="00780985" w:rsidRDefault="002B38A3" w:rsidP="00780985">
      <w:pPr>
        <w:spacing w:line="259" w:lineRule="auto"/>
        <w:rPr>
          <w:rFonts w:ascii="Arial" w:hAnsi="Arial" w:cs="Arial"/>
          <w:b/>
          <w:bCs/>
          <w:sz w:val="22"/>
          <w:szCs w:val="22"/>
        </w:rPr>
      </w:pPr>
    </w:p>
    <w:p w14:paraId="16A185BE" w14:textId="77777777" w:rsidR="002B38A3" w:rsidRPr="00780985" w:rsidRDefault="002B38A3">
      <w:pPr>
        <w:pStyle w:val="Odlomakpopisa"/>
        <w:numPr>
          <w:ilvl w:val="0"/>
          <w:numId w:val="9"/>
        </w:numPr>
        <w:spacing w:after="0" w:line="259" w:lineRule="auto"/>
        <w:rPr>
          <w:rFonts w:ascii="Arial" w:hAnsi="Arial" w:cs="Arial"/>
          <w:b/>
          <w:bCs/>
          <w:szCs w:val="22"/>
        </w:rPr>
      </w:pPr>
      <w:r w:rsidRPr="00780985">
        <w:rPr>
          <w:rFonts w:ascii="Arial" w:hAnsi="Arial" w:cs="Arial"/>
          <w:b/>
          <w:bCs/>
          <w:szCs w:val="22"/>
        </w:rPr>
        <w:t>prema izvorima financiranja</w:t>
      </w:r>
    </w:p>
    <w:p w14:paraId="4D948990" w14:textId="77777777" w:rsidR="002B38A3" w:rsidRPr="00780985" w:rsidRDefault="002B38A3" w:rsidP="00780985">
      <w:pPr>
        <w:spacing w:line="259" w:lineRule="auto"/>
        <w:rPr>
          <w:rFonts w:ascii="Arial" w:hAnsi="Arial" w:cs="Arial"/>
          <w:b/>
          <w:bCs/>
          <w:sz w:val="22"/>
          <w:szCs w:val="22"/>
        </w:rPr>
      </w:pPr>
    </w:p>
    <w:p w14:paraId="566E3459"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sz w:val="22"/>
          <w:szCs w:val="22"/>
        </w:rPr>
        <w:t xml:space="preserve">Povećanje ukupnog iznosa planiranih sredstava za 2025. godinu nastalo je zbog povećanja općih prihoda i primitaka u iznosu od 76.468,00 eura (7,21%) i pomoći iz županijskog proračuna za sufinanciranje programa Usluga pomoći u kući za područje Grada Labina i općina Raša, Sv. </w:t>
      </w:r>
      <w:proofErr w:type="spellStart"/>
      <w:r w:rsidRPr="00780985">
        <w:rPr>
          <w:rFonts w:ascii="Arial" w:hAnsi="Arial" w:cs="Arial"/>
          <w:sz w:val="22"/>
          <w:szCs w:val="22"/>
        </w:rPr>
        <w:t>Nedelja</w:t>
      </w:r>
      <w:proofErr w:type="spellEnd"/>
      <w:r w:rsidRPr="00780985">
        <w:rPr>
          <w:rFonts w:ascii="Arial" w:hAnsi="Arial" w:cs="Arial"/>
          <w:sz w:val="22"/>
          <w:szCs w:val="22"/>
        </w:rPr>
        <w:t xml:space="preserve">, Kršan i </w:t>
      </w:r>
      <w:proofErr w:type="spellStart"/>
      <w:r w:rsidRPr="00780985">
        <w:rPr>
          <w:rFonts w:ascii="Arial" w:hAnsi="Arial" w:cs="Arial"/>
          <w:sz w:val="22"/>
          <w:szCs w:val="22"/>
        </w:rPr>
        <w:t>Pićan</w:t>
      </w:r>
      <w:proofErr w:type="spellEnd"/>
      <w:r w:rsidRPr="00780985">
        <w:rPr>
          <w:rFonts w:ascii="Arial" w:hAnsi="Arial" w:cs="Arial"/>
          <w:sz w:val="22"/>
          <w:szCs w:val="22"/>
        </w:rPr>
        <w:t xml:space="preserve"> u 2025. godini u iznosu od 4.000,00 eura, te smanjenja prihoda za posebne namjene – prihoda korisnika u iznosu od 44.837,00 eura (6,67%), a prema slijedećim izvorima financiranja:</w:t>
      </w:r>
    </w:p>
    <w:p w14:paraId="5CDB2EC5" w14:textId="77777777" w:rsidR="002B38A3" w:rsidRPr="00780985" w:rsidRDefault="002B38A3" w:rsidP="00780985">
      <w:pPr>
        <w:spacing w:line="259" w:lineRule="auto"/>
        <w:jc w:val="both"/>
        <w:rPr>
          <w:rFonts w:ascii="Arial" w:hAnsi="Arial" w:cs="Arial"/>
          <w:sz w:val="22"/>
          <w:szCs w:val="22"/>
        </w:rPr>
      </w:pPr>
    </w:p>
    <w:p w14:paraId="5F9E1FBE"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b/>
          <w:bCs/>
          <w:sz w:val="22"/>
          <w:szCs w:val="22"/>
        </w:rPr>
        <w:t xml:space="preserve">Izvor 1.1.001 1. Opći prihodi i primici </w:t>
      </w:r>
      <w:r w:rsidRPr="00780985">
        <w:rPr>
          <w:rFonts w:ascii="Arial" w:hAnsi="Arial" w:cs="Arial"/>
          <w:sz w:val="22"/>
          <w:szCs w:val="22"/>
        </w:rPr>
        <w:t xml:space="preserve">– iz općih prihoda i primitaka predlaže se uvećanje u iznosu od 73.750,00 eura (6,96%). Kako planirani prihodi od upravnih i administrativnih pristojbi, pristojbi po posebnim </w:t>
      </w:r>
      <w:proofErr w:type="spellStart"/>
      <w:r w:rsidRPr="00780985">
        <w:rPr>
          <w:rFonts w:ascii="Arial" w:hAnsi="Arial" w:cs="Arial"/>
          <w:sz w:val="22"/>
          <w:szCs w:val="22"/>
        </w:rPr>
        <w:t>pripisima</w:t>
      </w:r>
      <w:proofErr w:type="spellEnd"/>
      <w:r w:rsidRPr="00780985">
        <w:rPr>
          <w:rFonts w:ascii="Arial" w:hAnsi="Arial" w:cs="Arial"/>
          <w:sz w:val="22"/>
          <w:szCs w:val="22"/>
        </w:rPr>
        <w:t xml:space="preserve"> i naknadama (65), neće biti ostvareni sukladno Odluci o izmjenama i dopunama odluke o sufinanciranju troškova usluge smještaja korisnika u Domu za starije osobe Labin bilo je nužno povećati ove prihode za potrebe redovnog poslovanja.</w:t>
      </w:r>
    </w:p>
    <w:p w14:paraId="5034B69B" w14:textId="77777777" w:rsidR="002B38A3" w:rsidRPr="00780985" w:rsidRDefault="002B38A3" w:rsidP="00780985">
      <w:pPr>
        <w:spacing w:line="259" w:lineRule="auto"/>
        <w:jc w:val="both"/>
        <w:rPr>
          <w:rFonts w:ascii="Arial" w:hAnsi="Arial" w:cs="Arial"/>
          <w:b/>
          <w:bCs/>
          <w:sz w:val="22"/>
          <w:szCs w:val="22"/>
        </w:rPr>
      </w:pPr>
    </w:p>
    <w:p w14:paraId="114E3872"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b/>
          <w:bCs/>
          <w:sz w:val="22"/>
          <w:szCs w:val="22"/>
        </w:rPr>
        <w:t xml:space="preserve">Izvor 1.1.003. 1. Opći prihodi i primici – rezultat </w:t>
      </w:r>
      <w:r w:rsidRPr="00780985">
        <w:rPr>
          <w:rFonts w:ascii="Arial" w:hAnsi="Arial" w:cs="Arial"/>
          <w:sz w:val="22"/>
          <w:szCs w:val="22"/>
        </w:rPr>
        <w:t xml:space="preserve">– uvećani su za 2.718,00 eura, a odnose se na ostale obveze za zaposlene iz 12/24 koje su podmirene iz općih prihoda i primitaka u </w:t>
      </w:r>
      <w:proofErr w:type="spellStart"/>
      <w:r w:rsidRPr="00780985">
        <w:rPr>
          <w:rFonts w:ascii="Arial" w:hAnsi="Arial" w:cs="Arial"/>
          <w:sz w:val="22"/>
          <w:szCs w:val="22"/>
        </w:rPr>
        <w:t>siječnu</w:t>
      </w:r>
      <w:proofErr w:type="spellEnd"/>
      <w:r w:rsidRPr="00780985">
        <w:rPr>
          <w:rFonts w:ascii="Arial" w:hAnsi="Arial" w:cs="Arial"/>
          <w:sz w:val="22"/>
          <w:szCs w:val="22"/>
        </w:rPr>
        <w:t xml:space="preserve"> 2025.g.</w:t>
      </w:r>
    </w:p>
    <w:p w14:paraId="00D8229E" w14:textId="77777777" w:rsidR="002B38A3" w:rsidRPr="00780985" w:rsidRDefault="002B38A3" w:rsidP="00780985">
      <w:pPr>
        <w:spacing w:line="259" w:lineRule="auto"/>
        <w:jc w:val="both"/>
        <w:rPr>
          <w:rFonts w:ascii="Arial" w:hAnsi="Arial" w:cs="Arial"/>
          <w:sz w:val="22"/>
          <w:szCs w:val="22"/>
        </w:rPr>
      </w:pPr>
    </w:p>
    <w:p w14:paraId="7EB4B986"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b/>
          <w:bCs/>
          <w:sz w:val="22"/>
          <w:szCs w:val="22"/>
        </w:rPr>
        <w:t>Izvor 3.9.000001 3. Vlastiti prihodi – prihodi korisnika</w:t>
      </w:r>
      <w:r w:rsidRPr="00780985">
        <w:rPr>
          <w:rFonts w:ascii="Arial" w:hAnsi="Arial" w:cs="Arial"/>
          <w:sz w:val="22"/>
          <w:szCs w:val="22"/>
        </w:rPr>
        <w:t xml:space="preserve"> – nema promjene u odnosu na prethodni plan iz razloga što Dom neće ostvarivati prihode od zakupa i iznajmljivanja imovine</w:t>
      </w:r>
    </w:p>
    <w:p w14:paraId="763E375F" w14:textId="77777777" w:rsidR="002B38A3" w:rsidRPr="00780985" w:rsidRDefault="002B38A3" w:rsidP="00780985">
      <w:pPr>
        <w:spacing w:line="259" w:lineRule="auto"/>
        <w:jc w:val="both"/>
        <w:rPr>
          <w:rFonts w:ascii="Arial" w:hAnsi="Arial" w:cs="Arial"/>
          <w:sz w:val="22"/>
          <w:szCs w:val="22"/>
        </w:rPr>
      </w:pPr>
    </w:p>
    <w:p w14:paraId="4BDF4041"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b/>
          <w:bCs/>
          <w:sz w:val="22"/>
          <w:szCs w:val="22"/>
        </w:rPr>
        <w:t>Izvor 4.9.000001 4. Prihodi za posebne namjene</w:t>
      </w:r>
      <w:r w:rsidRPr="00780985">
        <w:rPr>
          <w:rFonts w:ascii="Arial" w:hAnsi="Arial" w:cs="Arial"/>
          <w:sz w:val="22"/>
          <w:szCs w:val="22"/>
        </w:rPr>
        <w:t xml:space="preserve"> – prihodi korisnika – smanjenje u iznosu od 66.100,00 eura (9,83%) do kojeg je došlo zbog promjena okolnosti poslovanja nastalih sukladno Odluci o izmjenama i dopunama odluke o sufinanciranju troškova usluge smještaja korisnika u Domu za starije osobe Labin, te nepopunjenosti kapaciteta dnevnog boravka.</w:t>
      </w:r>
    </w:p>
    <w:p w14:paraId="4EB0EA7C" w14:textId="77777777" w:rsidR="002B38A3" w:rsidRPr="00780985" w:rsidRDefault="002B38A3" w:rsidP="00780985">
      <w:pPr>
        <w:spacing w:line="259" w:lineRule="auto"/>
        <w:jc w:val="both"/>
        <w:rPr>
          <w:rFonts w:ascii="Arial" w:hAnsi="Arial" w:cs="Arial"/>
          <w:b/>
          <w:bCs/>
          <w:sz w:val="22"/>
          <w:szCs w:val="22"/>
        </w:rPr>
      </w:pPr>
    </w:p>
    <w:p w14:paraId="74206DF6"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b/>
          <w:bCs/>
          <w:sz w:val="22"/>
          <w:szCs w:val="22"/>
        </w:rPr>
        <w:t>Izvor 4.9.000001 4. Prihodi za posebne namjene</w:t>
      </w:r>
      <w:r w:rsidRPr="00780985">
        <w:rPr>
          <w:rFonts w:ascii="Arial" w:hAnsi="Arial" w:cs="Arial"/>
          <w:sz w:val="22"/>
          <w:szCs w:val="22"/>
        </w:rPr>
        <w:t xml:space="preserve"> – rezultat – povećanje od 21.263,00 eura koje se odnosi na višak prihoda poslovanja iz 2024. godine.</w:t>
      </w:r>
    </w:p>
    <w:p w14:paraId="1B276B2F" w14:textId="77777777" w:rsidR="002B38A3" w:rsidRPr="00780985" w:rsidRDefault="002B38A3" w:rsidP="00780985">
      <w:pPr>
        <w:spacing w:line="259" w:lineRule="auto"/>
        <w:jc w:val="both"/>
        <w:rPr>
          <w:rFonts w:ascii="Arial" w:hAnsi="Arial" w:cs="Arial"/>
          <w:b/>
          <w:bCs/>
          <w:sz w:val="22"/>
          <w:szCs w:val="22"/>
        </w:rPr>
      </w:pPr>
    </w:p>
    <w:p w14:paraId="5247A471"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b/>
          <w:bCs/>
          <w:sz w:val="22"/>
          <w:szCs w:val="22"/>
        </w:rPr>
        <w:t xml:space="preserve">Izvor 5.5.001 5. Pomoći iz županijskog proračuna </w:t>
      </w:r>
      <w:r w:rsidRPr="00780985">
        <w:rPr>
          <w:rFonts w:ascii="Arial" w:hAnsi="Arial" w:cs="Arial"/>
          <w:sz w:val="22"/>
          <w:szCs w:val="22"/>
        </w:rPr>
        <w:t xml:space="preserve">– povećanje od 4.000,00 eura koje smo dobili po Ugovoru o sufinanciranju programa Usluga pomoći u kući za područje Grada Labina i općina Raša, Sv. </w:t>
      </w:r>
      <w:proofErr w:type="spellStart"/>
      <w:r w:rsidRPr="00780985">
        <w:rPr>
          <w:rFonts w:ascii="Arial" w:hAnsi="Arial" w:cs="Arial"/>
          <w:sz w:val="22"/>
          <w:szCs w:val="22"/>
        </w:rPr>
        <w:t>Nedelja</w:t>
      </w:r>
      <w:proofErr w:type="spellEnd"/>
      <w:r w:rsidRPr="00780985">
        <w:rPr>
          <w:rFonts w:ascii="Arial" w:hAnsi="Arial" w:cs="Arial"/>
          <w:sz w:val="22"/>
          <w:szCs w:val="22"/>
        </w:rPr>
        <w:t xml:space="preserve">, Kršan i </w:t>
      </w:r>
      <w:proofErr w:type="spellStart"/>
      <w:r w:rsidRPr="00780985">
        <w:rPr>
          <w:rFonts w:ascii="Arial" w:hAnsi="Arial" w:cs="Arial"/>
          <w:sz w:val="22"/>
          <w:szCs w:val="22"/>
        </w:rPr>
        <w:t>Pićan</w:t>
      </w:r>
      <w:proofErr w:type="spellEnd"/>
      <w:r w:rsidRPr="00780985">
        <w:rPr>
          <w:rFonts w:ascii="Arial" w:hAnsi="Arial" w:cs="Arial"/>
          <w:sz w:val="22"/>
          <w:szCs w:val="22"/>
        </w:rPr>
        <w:t xml:space="preserve"> u 2025. Godini</w:t>
      </w:r>
    </w:p>
    <w:p w14:paraId="217C7000" w14:textId="77777777" w:rsidR="002B38A3" w:rsidRPr="00780985" w:rsidRDefault="002B38A3" w:rsidP="00780985">
      <w:pPr>
        <w:spacing w:line="259" w:lineRule="auto"/>
        <w:jc w:val="both"/>
        <w:rPr>
          <w:rFonts w:ascii="Arial" w:hAnsi="Arial" w:cs="Arial"/>
          <w:sz w:val="22"/>
          <w:szCs w:val="22"/>
        </w:rPr>
      </w:pPr>
    </w:p>
    <w:p w14:paraId="3DE16786"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b/>
          <w:bCs/>
          <w:sz w:val="22"/>
          <w:szCs w:val="22"/>
        </w:rPr>
        <w:t>Izvor 6.9.000001 6. Donacije – prihodi korisnika</w:t>
      </w:r>
      <w:r w:rsidRPr="00780985">
        <w:rPr>
          <w:rFonts w:ascii="Arial" w:hAnsi="Arial" w:cs="Arial"/>
          <w:sz w:val="22"/>
          <w:szCs w:val="22"/>
        </w:rPr>
        <w:t xml:space="preserve"> – nema promjena u odnosu na prvotni plan.</w:t>
      </w:r>
    </w:p>
    <w:p w14:paraId="0B4D4A03" w14:textId="77777777" w:rsidR="002B38A3" w:rsidRDefault="002B38A3" w:rsidP="00780985">
      <w:pPr>
        <w:spacing w:line="259" w:lineRule="auto"/>
        <w:rPr>
          <w:rFonts w:ascii="Arial" w:hAnsi="Arial" w:cs="Arial"/>
          <w:sz w:val="22"/>
          <w:szCs w:val="22"/>
        </w:rPr>
      </w:pPr>
    </w:p>
    <w:p w14:paraId="3A344D74" w14:textId="77777777" w:rsidR="00625450" w:rsidRDefault="00625450" w:rsidP="00780985">
      <w:pPr>
        <w:spacing w:line="259" w:lineRule="auto"/>
        <w:rPr>
          <w:rFonts w:ascii="Arial" w:hAnsi="Arial" w:cs="Arial"/>
          <w:sz w:val="22"/>
          <w:szCs w:val="22"/>
        </w:rPr>
      </w:pPr>
    </w:p>
    <w:p w14:paraId="6FE17CF1" w14:textId="77777777" w:rsidR="00625450" w:rsidRPr="00780985" w:rsidRDefault="00625450" w:rsidP="00780985">
      <w:pPr>
        <w:spacing w:line="259" w:lineRule="auto"/>
        <w:rPr>
          <w:rFonts w:ascii="Arial" w:hAnsi="Arial" w:cs="Arial"/>
          <w:sz w:val="22"/>
          <w:szCs w:val="22"/>
        </w:rPr>
      </w:pPr>
    </w:p>
    <w:p w14:paraId="2F1D0FC3" w14:textId="77777777" w:rsidR="002B38A3" w:rsidRPr="00780985" w:rsidRDefault="002B38A3" w:rsidP="00780985">
      <w:pPr>
        <w:spacing w:line="259" w:lineRule="auto"/>
        <w:rPr>
          <w:rFonts w:ascii="Arial" w:hAnsi="Arial" w:cs="Arial"/>
          <w:sz w:val="22"/>
          <w:szCs w:val="22"/>
        </w:rPr>
      </w:pPr>
    </w:p>
    <w:p w14:paraId="08F267F0" w14:textId="77777777" w:rsidR="002B38A3" w:rsidRPr="00780985" w:rsidRDefault="002B38A3" w:rsidP="00780985">
      <w:pPr>
        <w:spacing w:line="259" w:lineRule="auto"/>
        <w:rPr>
          <w:rFonts w:ascii="Arial" w:hAnsi="Arial" w:cs="Arial"/>
          <w:sz w:val="22"/>
          <w:szCs w:val="22"/>
        </w:rPr>
      </w:pPr>
      <w:r w:rsidRPr="00780985">
        <w:rPr>
          <w:rFonts w:ascii="Arial" w:hAnsi="Arial" w:cs="Arial"/>
          <w:sz w:val="22"/>
          <w:szCs w:val="22"/>
        </w:rPr>
        <w:lastRenderedPageBreak/>
        <w:t>Tablica 2. Prihodi i rashodi prema izvorima financiranja</w:t>
      </w:r>
    </w:p>
    <w:p w14:paraId="568A0939" w14:textId="77777777" w:rsidR="002B38A3" w:rsidRDefault="002B38A3" w:rsidP="002B38A3">
      <w:pPr>
        <w:rPr>
          <w:b/>
          <w:bCs/>
        </w:rPr>
      </w:pPr>
      <w:r w:rsidRPr="00CE67D3">
        <w:rPr>
          <w:b/>
          <w:bCs/>
        </w:rPr>
        <w:t xml:space="preserve"> </w:t>
      </w:r>
    </w:p>
    <w:tbl>
      <w:tblPr>
        <w:tblStyle w:val="Reetkatablice1"/>
        <w:tblW w:w="0" w:type="auto"/>
        <w:tblInd w:w="-113" w:type="dxa"/>
        <w:tblLook w:val="04A0" w:firstRow="1" w:lastRow="0" w:firstColumn="1" w:lastColumn="0" w:noHBand="0" w:noVBand="1"/>
      </w:tblPr>
      <w:tblGrid>
        <w:gridCol w:w="4148"/>
        <w:gridCol w:w="1671"/>
        <w:gridCol w:w="1525"/>
        <w:gridCol w:w="1831"/>
      </w:tblGrid>
      <w:tr w:rsidR="00780985" w:rsidRPr="00780985" w14:paraId="545778EB" w14:textId="77777777" w:rsidTr="00625450">
        <w:trPr>
          <w:trHeight w:val="255"/>
        </w:trPr>
        <w:tc>
          <w:tcPr>
            <w:tcW w:w="4222" w:type="dxa"/>
            <w:tcBorders>
              <w:bottom w:val="single" w:sz="4" w:space="0" w:color="auto"/>
            </w:tcBorders>
            <w:shd w:val="clear" w:color="auto" w:fill="AEAAAA" w:themeFill="background2" w:themeFillShade="BF"/>
            <w:noWrap/>
            <w:hideMark/>
          </w:tcPr>
          <w:p w14:paraId="0890C1E7" w14:textId="77777777" w:rsidR="002B38A3" w:rsidRPr="00780985" w:rsidRDefault="002B38A3" w:rsidP="00780985">
            <w:pPr>
              <w:rPr>
                <w:rFonts w:ascii="Arial" w:hAnsi="Arial" w:cs="Arial"/>
                <w:b/>
                <w:bCs/>
                <w:sz w:val="20"/>
                <w:szCs w:val="20"/>
              </w:rPr>
            </w:pPr>
            <w:bookmarkStart w:id="70" w:name="_Hlk180053919"/>
            <w:r w:rsidRPr="00780985">
              <w:rPr>
                <w:rFonts w:ascii="Arial" w:hAnsi="Arial" w:cs="Arial"/>
                <w:b/>
                <w:bCs/>
                <w:sz w:val="20"/>
                <w:szCs w:val="20"/>
              </w:rPr>
              <w:t>VRSTA PRIHODA / PRIMITAKA</w:t>
            </w:r>
          </w:p>
        </w:tc>
        <w:tc>
          <w:tcPr>
            <w:tcW w:w="1698" w:type="dxa"/>
            <w:tcBorders>
              <w:bottom w:val="single" w:sz="4" w:space="0" w:color="auto"/>
            </w:tcBorders>
            <w:shd w:val="clear" w:color="auto" w:fill="AEAAAA" w:themeFill="background2" w:themeFillShade="BF"/>
            <w:noWrap/>
            <w:hideMark/>
          </w:tcPr>
          <w:p w14:paraId="346B6780" w14:textId="77777777" w:rsidR="002B38A3" w:rsidRPr="00780985" w:rsidRDefault="002B38A3" w:rsidP="00780985">
            <w:pPr>
              <w:jc w:val="center"/>
              <w:rPr>
                <w:rFonts w:ascii="Arial" w:hAnsi="Arial" w:cs="Arial"/>
                <w:b/>
                <w:bCs/>
                <w:sz w:val="20"/>
                <w:szCs w:val="20"/>
              </w:rPr>
            </w:pPr>
            <w:r w:rsidRPr="00780985">
              <w:rPr>
                <w:rFonts w:ascii="Arial" w:hAnsi="Arial" w:cs="Arial"/>
                <w:b/>
                <w:bCs/>
                <w:sz w:val="20"/>
                <w:szCs w:val="20"/>
              </w:rPr>
              <w:t>PLAN 2025.</w:t>
            </w:r>
          </w:p>
        </w:tc>
        <w:tc>
          <w:tcPr>
            <w:tcW w:w="1550" w:type="dxa"/>
            <w:tcBorders>
              <w:bottom w:val="single" w:sz="4" w:space="0" w:color="auto"/>
            </w:tcBorders>
            <w:shd w:val="clear" w:color="auto" w:fill="AEAAAA" w:themeFill="background2" w:themeFillShade="BF"/>
            <w:noWrap/>
            <w:hideMark/>
          </w:tcPr>
          <w:p w14:paraId="176E7644" w14:textId="6A3DF64E" w:rsidR="002B38A3" w:rsidRPr="00780985" w:rsidRDefault="002B38A3" w:rsidP="00780985">
            <w:pPr>
              <w:jc w:val="center"/>
              <w:rPr>
                <w:rFonts w:ascii="Arial" w:hAnsi="Arial" w:cs="Arial"/>
                <w:b/>
                <w:bCs/>
                <w:sz w:val="20"/>
                <w:szCs w:val="20"/>
              </w:rPr>
            </w:pPr>
            <w:r w:rsidRPr="00780985">
              <w:rPr>
                <w:rFonts w:ascii="Arial" w:hAnsi="Arial" w:cs="Arial"/>
                <w:b/>
                <w:bCs/>
                <w:sz w:val="20"/>
                <w:szCs w:val="20"/>
              </w:rPr>
              <w:t>POVEĆANJE</w:t>
            </w:r>
            <w:r w:rsidR="00780985">
              <w:rPr>
                <w:rFonts w:ascii="Arial" w:hAnsi="Arial" w:cs="Arial"/>
                <w:b/>
                <w:bCs/>
                <w:sz w:val="20"/>
                <w:szCs w:val="20"/>
              </w:rPr>
              <w:t xml:space="preserve"> </w:t>
            </w:r>
            <w:r w:rsidRPr="00780985">
              <w:rPr>
                <w:rFonts w:ascii="Arial" w:hAnsi="Arial" w:cs="Arial"/>
                <w:b/>
                <w:bCs/>
                <w:sz w:val="20"/>
                <w:szCs w:val="20"/>
              </w:rPr>
              <w:t>/SMANJENJE</w:t>
            </w:r>
          </w:p>
        </w:tc>
        <w:tc>
          <w:tcPr>
            <w:tcW w:w="0" w:type="auto"/>
            <w:tcBorders>
              <w:bottom w:val="single" w:sz="4" w:space="0" w:color="auto"/>
            </w:tcBorders>
            <w:shd w:val="clear" w:color="auto" w:fill="AEAAAA" w:themeFill="background2" w:themeFillShade="BF"/>
            <w:noWrap/>
            <w:hideMark/>
          </w:tcPr>
          <w:p w14:paraId="03BBBD3D" w14:textId="77777777" w:rsidR="002B38A3" w:rsidRPr="00780985" w:rsidRDefault="002B38A3" w:rsidP="00780985">
            <w:pPr>
              <w:jc w:val="center"/>
              <w:rPr>
                <w:rFonts w:ascii="Arial" w:hAnsi="Arial" w:cs="Arial"/>
                <w:b/>
                <w:bCs/>
                <w:sz w:val="20"/>
                <w:szCs w:val="20"/>
              </w:rPr>
            </w:pPr>
            <w:r w:rsidRPr="00780985">
              <w:rPr>
                <w:rFonts w:ascii="Arial" w:hAnsi="Arial" w:cs="Arial"/>
                <w:b/>
                <w:bCs/>
                <w:sz w:val="20"/>
                <w:szCs w:val="20"/>
              </w:rPr>
              <w:t>NOVI PLAN 2025.</w:t>
            </w:r>
          </w:p>
        </w:tc>
      </w:tr>
      <w:tr w:rsidR="00780985" w:rsidRPr="00780985" w14:paraId="657DB46A" w14:textId="77777777" w:rsidTr="00625450">
        <w:trPr>
          <w:trHeight w:val="255"/>
        </w:trPr>
        <w:tc>
          <w:tcPr>
            <w:tcW w:w="4222" w:type="dxa"/>
            <w:shd w:val="clear" w:color="auto" w:fill="AEAAAA" w:themeFill="background2" w:themeFillShade="BF"/>
            <w:noWrap/>
            <w:hideMark/>
          </w:tcPr>
          <w:p w14:paraId="3AC6AC35" w14:textId="77777777" w:rsidR="002B38A3" w:rsidRPr="00780985" w:rsidRDefault="002B38A3" w:rsidP="00780985">
            <w:pPr>
              <w:rPr>
                <w:rFonts w:ascii="Arial" w:hAnsi="Arial" w:cs="Arial"/>
                <w:b/>
                <w:bCs/>
                <w:sz w:val="20"/>
                <w:szCs w:val="20"/>
              </w:rPr>
            </w:pPr>
            <w:r w:rsidRPr="00780985">
              <w:rPr>
                <w:rFonts w:ascii="Arial" w:hAnsi="Arial" w:cs="Arial"/>
                <w:b/>
                <w:bCs/>
                <w:sz w:val="20"/>
                <w:szCs w:val="20"/>
              </w:rPr>
              <w:t xml:space="preserve">UKUPNO PRIHODI / PRIMICI </w:t>
            </w:r>
          </w:p>
        </w:tc>
        <w:tc>
          <w:tcPr>
            <w:tcW w:w="1698" w:type="dxa"/>
            <w:shd w:val="clear" w:color="auto" w:fill="AEAAAA" w:themeFill="background2" w:themeFillShade="BF"/>
            <w:noWrap/>
          </w:tcPr>
          <w:p w14:paraId="72C9491D" w14:textId="77777777" w:rsidR="002B38A3" w:rsidRPr="00780985" w:rsidRDefault="002B38A3" w:rsidP="00780985">
            <w:pPr>
              <w:jc w:val="right"/>
              <w:rPr>
                <w:rFonts w:ascii="Arial" w:hAnsi="Arial" w:cs="Arial"/>
                <w:b/>
                <w:bCs/>
                <w:sz w:val="20"/>
                <w:szCs w:val="20"/>
              </w:rPr>
            </w:pPr>
            <w:r w:rsidRPr="00780985">
              <w:rPr>
                <w:rFonts w:ascii="Arial" w:hAnsi="Arial" w:cs="Arial"/>
                <w:b/>
                <w:bCs/>
                <w:sz w:val="20"/>
                <w:szCs w:val="20"/>
              </w:rPr>
              <w:t>1.737.130,00</w:t>
            </w:r>
          </w:p>
        </w:tc>
        <w:tc>
          <w:tcPr>
            <w:tcW w:w="1550" w:type="dxa"/>
            <w:shd w:val="clear" w:color="auto" w:fill="AEAAAA" w:themeFill="background2" w:themeFillShade="BF"/>
            <w:noWrap/>
          </w:tcPr>
          <w:p w14:paraId="2F06D1E6" w14:textId="77777777" w:rsidR="002B38A3" w:rsidRPr="00780985" w:rsidRDefault="002B38A3" w:rsidP="00780985">
            <w:pPr>
              <w:jc w:val="right"/>
              <w:rPr>
                <w:rFonts w:ascii="Arial" w:hAnsi="Arial" w:cs="Arial"/>
                <w:b/>
                <w:bCs/>
                <w:sz w:val="20"/>
                <w:szCs w:val="20"/>
              </w:rPr>
            </w:pPr>
            <w:r w:rsidRPr="00780985">
              <w:rPr>
                <w:rFonts w:ascii="Arial" w:hAnsi="Arial" w:cs="Arial"/>
                <w:b/>
                <w:bCs/>
                <w:sz w:val="20"/>
                <w:szCs w:val="20"/>
              </w:rPr>
              <w:t>35.631,00</w:t>
            </w:r>
          </w:p>
        </w:tc>
        <w:tc>
          <w:tcPr>
            <w:tcW w:w="0" w:type="auto"/>
            <w:shd w:val="clear" w:color="auto" w:fill="AEAAAA" w:themeFill="background2" w:themeFillShade="BF"/>
            <w:noWrap/>
          </w:tcPr>
          <w:p w14:paraId="33AF41D7" w14:textId="77777777" w:rsidR="002B38A3" w:rsidRPr="00780985" w:rsidRDefault="002B38A3" w:rsidP="00780985">
            <w:pPr>
              <w:jc w:val="right"/>
              <w:rPr>
                <w:rFonts w:ascii="Arial" w:hAnsi="Arial" w:cs="Arial"/>
                <w:b/>
                <w:bCs/>
                <w:sz w:val="20"/>
                <w:szCs w:val="20"/>
              </w:rPr>
            </w:pPr>
            <w:r w:rsidRPr="00780985">
              <w:rPr>
                <w:rFonts w:ascii="Arial" w:hAnsi="Arial" w:cs="Arial"/>
                <w:b/>
                <w:bCs/>
                <w:sz w:val="20"/>
                <w:szCs w:val="20"/>
              </w:rPr>
              <w:t>1.772.761,00</w:t>
            </w:r>
          </w:p>
        </w:tc>
      </w:tr>
      <w:tr w:rsidR="00780985" w:rsidRPr="00780985" w14:paraId="1ED5CE4B" w14:textId="77777777" w:rsidTr="00625450">
        <w:trPr>
          <w:trHeight w:val="255"/>
        </w:trPr>
        <w:tc>
          <w:tcPr>
            <w:tcW w:w="4222" w:type="dxa"/>
            <w:shd w:val="clear" w:color="auto" w:fill="D0CECE" w:themeFill="background2" w:themeFillShade="E6"/>
            <w:noWrap/>
          </w:tcPr>
          <w:p w14:paraId="227F2226" w14:textId="77777777" w:rsidR="002B38A3" w:rsidRPr="00780985" w:rsidRDefault="002B38A3" w:rsidP="00780985">
            <w:pPr>
              <w:rPr>
                <w:rFonts w:ascii="Arial" w:hAnsi="Arial" w:cs="Arial"/>
                <w:bCs/>
                <w:sz w:val="20"/>
                <w:szCs w:val="20"/>
              </w:rPr>
            </w:pPr>
            <w:bookmarkStart w:id="71" w:name="_Hlk203047971"/>
            <w:r w:rsidRPr="00780985">
              <w:rPr>
                <w:rFonts w:ascii="Arial" w:hAnsi="Arial" w:cs="Arial"/>
                <w:sz w:val="20"/>
                <w:szCs w:val="20"/>
              </w:rPr>
              <w:t>Izvor 1. OPĆI PRIHODI I PRIMICI</w:t>
            </w:r>
          </w:p>
        </w:tc>
        <w:tc>
          <w:tcPr>
            <w:tcW w:w="1698" w:type="dxa"/>
            <w:shd w:val="clear" w:color="auto" w:fill="D0CECE" w:themeFill="background2" w:themeFillShade="E6"/>
            <w:noWrap/>
          </w:tcPr>
          <w:p w14:paraId="024DC4E7"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1.059.630,00</w:t>
            </w:r>
          </w:p>
        </w:tc>
        <w:tc>
          <w:tcPr>
            <w:tcW w:w="1550" w:type="dxa"/>
            <w:shd w:val="clear" w:color="auto" w:fill="D0CECE" w:themeFill="background2" w:themeFillShade="E6"/>
            <w:noWrap/>
          </w:tcPr>
          <w:p w14:paraId="7C879520"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76.468,00</w:t>
            </w:r>
          </w:p>
        </w:tc>
        <w:tc>
          <w:tcPr>
            <w:tcW w:w="0" w:type="auto"/>
            <w:shd w:val="clear" w:color="auto" w:fill="D0CECE" w:themeFill="background2" w:themeFillShade="E6"/>
            <w:noWrap/>
          </w:tcPr>
          <w:p w14:paraId="7870EA34"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1.136.098,00</w:t>
            </w:r>
          </w:p>
        </w:tc>
      </w:tr>
      <w:bookmarkEnd w:id="70"/>
      <w:bookmarkEnd w:id="71"/>
      <w:tr w:rsidR="00780985" w:rsidRPr="00780985" w14:paraId="773D7A18" w14:textId="77777777" w:rsidTr="00625450">
        <w:trPr>
          <w:trHeight w:val="255"/>
        </w:trPr>
        <w:tc>
          <w:tcPr>
            <w:tcW w:w="4222" w:type="dxa"/>
            <w:tcBorders>
              <w:bottom w:val="single" w:sz="4" w:space="0" w:color="auto"/>
            </w:tcBorders>
            <w:shd w:val="clear" w:color="auto" w:fill="E7E6E6" w:themeFill="background2"/>
            <w:noWrap/>
          </w:tcPr>
          <w:p w14:paraId="0B57E166" w14:textId="77777777" w:rsidR="002B38A3" w:rsidRPr="00780985" w:rsidRDefault="002B38A3" w:rsidP="00780985">
            <w:pPr>
              <w:rPr>
                <w:rFonts w:ascii="Arial" w:hAnsi="Arial" w:cs="Arial"/>
                <w:sz w:val="20"/>
                <w:szCs w:val="20"/>
              </w:rPr>
            </w:pPr>
            <w:r w:rsidRPr="00780985">
              <w:rPr>
                <w:rFonts w:ascii="Arial" w:hAnsi="Arial" w:cs="Arial"/>
                <w:sz w:val="20"/>
                <w:szCs w:val="20"/>
              </w:rPr>
              <w:t>Izvor 1.1. OPĆI PRIHODI I PRIMICI</w:t>
            </w:r>
          </w:p>
        </w:tc>
        <w:tc>
          <w:tcPr>
            <w:tcW w:w="1698" w:type="dxa"/>
            <w:tcBorders>
              <w:bottom w:val="single" w:sz="4" w:space="0" w:color="auto"/>
            </w:tcBorders>
            <w:shd w:val="clear" w:color="auto" w:fill="E7E6E6" w:themeFill="background2"/>
            <w:noWrap/>
          </w:tcPr>
          <w:p w14:paraId="456ECAD7"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1.059.630,00</w:t>
            </w:r>
          </w:p>
        </w:tc>
        <w:tc>
          <w:tcPr>
            <w:tcW w:w="1550" w:type="dxa"/>
            <w:tcBorders>
              <w:bottom w:val="single" w:sz="4" w:space="0" w:color="auto"/>
            </w:tcBorders>
            <w:shd w:val="clear" w:color="auto" w:fill="E7E6E6" w:themeFill="background2"/>
            <w:noWrap/>
          </w:tcPr>
          <w:p w14:paraId="46686A34"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76.468,00</w:t>
            </w:r>
          </w:p>
        </w:tc>
        <w:tc>
          <w:tcPr>
            <w:tcW w:w="0" w:type="auto"/>
            <w:tcBorders>
              <w:bottom w:val="single" w:sz="4" w:space="0" w:color="auto"/>
            </w:tcBorders>
            <w:shd w:val="clear" w:color="auto" w:fill="E7E6E6" w:themeFill="background2"/>
            <w:noWrap/>
          </w:tcPr>
          <w:p w14:paraId="2EBF2D66"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1.136.098,00</w:t>
            </w:r>
          </w:p>
        </w:tc>
      </w:tr>
      <w:tr w:rsidR="00780985" w:rsidRPr="00780985" w14:paraId="7FF1EE66" w14:textId="77777777" w:rsidTr="00625450">
        <w:trPr>
          <w:trHeight w:val="255"/>
        </w:trPr>
        <w:tc>
          <w:tcPr>
            <w:tcW w:w="4222" w:type="dxa"/>
            <w:tcBorders>
              <w:bottom w:val="single" w:sz="4" w:space="0" w:color="auto"/>
            </w:tcBorders>
            <w:noWrap/>
          </w:tcPr>
          <w:p w14:paraId="0C81D4F8" w14:textId="77777777" w:rsidR="002B38A3" w:rsidRPr="00780985" w:rsidRDefault="002B38A3" w:rsidP="00780985">
            <w:pPr>
              <w:rPr>
                <w:rFonts w:ascii="Arial" w:hAnsi="Arial" w:cs="Arial"/>
                <w:bCs/>
                <w:sz w:val="20"/>
                <w:szCs w:val="20"/>
              </w:rPr>
            </w:pPr>
            <w:r w:rsidRPr="00780985">
              <w:rPr>
                <w:rFonts w:ascii="Arial" w:hAnsi="Arial" w:cs="Arial"/>
                <w:sz w:val="20"/>
                <w:szCs w:val="20"/>
              </w:rPr>
              <w:t>Izvor 1.1.001 OPĆI PRIHODI I PRIMICI</w:t>
            </w:r>
          </w:p>
        </w:tc>
        <w:tc>
          <w:tcPr>
            <w:tcW w:w="1698" w:type="dxa"/>
            <w:tcBorders>
              <w:bottom w:val="single" w:sz="4" w:space="0" w:color="auto"/>
            </w:tcBorders>
            <w:noWrap/>
          </w:tcPr>
          <w:p w14:paraId="6BD3F772"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1.059.630,00</w:t>
            </w:r>
          </w:p>
        </w:tc>
        <w:tc>
          <w:tcPr>
            <w:tcW w:w="1550" w:type="dxa"/>
            <w:tcBorders>
              <w:bottom w:val="single" w:sz="4" w:space="0" w:color="auto"/>
            </w:tcBorders>
            <w:noWrap/>
          </w:tcPr>
          <w:p w14:paraId="3DC8C9F3"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73.750,00</w:t>
            </w:r>
          </w:p>
        </w:tc>
        <w:tc>
          <w:tcPr>
            <w:tcW w:w="0" w:type="auto"/>
            <w:tcBorders>
              <w:bottom w:val="single" w:sz="4" w:space="0" w:color="auto"/>
            </w:tcBorders>
            <w:noWrap/>
          </w:tcPr>
          <w:p w14:paraId="5AF83ABB"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1.133.380,00</w:t>
            </w:r>
          </w:p>
        </w:tc>
      </w:tr>
      <w:tr w:rsidR="00780985" w:rsidRPr="00780985" w14:paraId="5013289D" w14:textId="77777777" w:rsidTr="00625450">
        <w:trPr>
          <w:trHeight w:val="255"/>
        </w:trPr>
        <w:tc>
          <w:tcPr>
            <w:tcW w:w="4222" w:type="dxa"/>
            <w:tcBorders>
              <w:bottom w:val="single" w:sz="4" w:space="0" w:color="auto"/>
            </w:tcBorders>
            <w:noWrap/>
          </w:tcPr>
          <w:p w14:paraId="7F53B06B" w14:textId="77777777" w:rsidR="002B38A3" w:rsidRPr="00780985" w:rsidRDefault="002B38A3" w:rsidP="00780985">
            <w:pPr>
              <w:rPr>
                <w:rFonts w:ascii="Arial" w:hAnsi="Arial" w:cs="Arial"/>
                <w:sz w:val="20"/>
                <w:szCs w:val="20"/>
              </w:rPr>
            </w:pPr>
            <w:r w:rsidRPr="00780985">
              <w:rPr>
                <w:rFonts w:ascii="Arial" w:hAnsi="Arial" w:cs="Arial"/>
                <w:sz w:val="20"/>
                <w:szCs w:val="20"/>
              </w:rPr>
              <w:t>Izvor 1.1.003 OPĆI PRIHODI I PRIMICI - REZULTAT</w:t>
            </w:r>
          </w:p>
        </w:tc>
        <w:tc>
          <w:tcPr>
            <w:tcW w:w="1698" w:type="dxa"/>
            <w:tcBorders>
              <w:bottom w:val="single" w:sz="4" w:space="0" w:color="auto"/>
            </w:tcBorders>
            <w:noWrap/>
          </w:tcPr>
          <w:p w14:paraId="48A3F254"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0,00</w:t>
            </w:r>
          </w:p>
        </w:tc>
        <w:tc>
          <w:tcPr>
            <w:tcW w:w="1550" w:type="dxa"/>
            <w:tcBorders>
              <w:bottom w:val="single" w:sz="4" w:space="0" w:color="auto"/>
            </w:tcBorders>
            <w:noWrap/>
          </w:tcPr>
          <w:p w14:paraId="54946B4A"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2.718,00</w:t>
            </w:r>
          </w:p>
        </w:tc>
        <w:tc>
          <w:tcPr>
            <w:tcW w:w="0" w:type="auto"/>
            <w:tcBorders>
              <w:bottom w:val="single" w:sz="4" w:space="0" w:color="auto"/>
            </w:tcBorders>
            <w:noWrap/>
          </w:tcPr>
          <w:p w14:paraId="5CE4C980"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2.718,00</w:t>
            </w:r>
          </w:p>
        </w:tc>
      </w:tr>
      <w:tr w:rsidR="00780985" w:rsidRPr="00780985" w14:paraId="1654547F" w14:textId="77777777" w:rsidTr="00625450">
        <w:trPr>
          <w:trHeight w:val="255"/>
        </w:trPr>
        <w:tc>
          <w:tcPr>
            <w:tcW w:w="4222" w:type="dxa"/>
            <w:shd w:val="clear" w:color="auto" w:fill="D0CECE" w:themeFill="background2" w:themeFillShade="E6"/>
            <w:noWrap/>
          </w:tcPr>
          <w:p w14:paraId="0A09E535" w14:textId="77777777" w:rsidR="002B38A3" w:rsidRPr="00780985" w:rsidRDefault="002B38A3" w:rsidP="00780985">
            <w:pPr>
              <w:rPr>
                <w:rFonts w:ascii="Arial" w:hAnsi="Arial" w:cs="Arial"/>
                <w:sz w:val="20"/>
                <w:szCs w:val="20"/>
              </w:rPr>
            </w:pPr>
            <w:bookmarkStart w:id="72" w:name="_Hlk203118194"/>
            <w:r w:rsidRPr="00780985">
              <w:rPr>
                <w:rFonts w:ascii="Arial" w:hAnsi="Arial" w:cs="Arial"/>
                <w:sz w:val="20"/>
                <w:szCs w:val="20"/>
              </w:rPr>
              <w:t>Izvor 3. VLASTITI PRIHODI</w:t>
            </w:r>
          </w:p>
        </w:tc>
        <w:tc>
          <w:tcPr>
            <w:tcW w:w="1698" w:type="dxa"/>
            <w:tcBorders>
              <w:bottom w:val="single" w:sz="4" w:space="0" w:color="auto"/>
            </w:tcBorders>
            <w:shd w:val="clear" w:color="auto" w:fill="D0CECE" w:themeFill="background2" w:themeFillShade="E6"/>
            <w:noWrap/>
          </w:tcPr>
          <w:p w14:paraId="38AAD162"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c>
          <w:tcPr>
            <w:tcW w:w="1550" w:type="dxa"/>
            <w:tcBorders>
              <w:bottom w:val="single" w:sz="4" w:space="0" w:color="auto"/>
            </w:tcBorders>
            <w:shd w:val="clear" w:color="auto" w:fill="D0CECE" w:themeFill="background2" w:themeFillShade="E6"/>
            <w:noWrap/>
          </w:tcPr>
          <w:p w14:paraId="0C2F801C"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0,00</w:t>
            </w:r>
          </w:p>
        </w:tc>
        <w:tc>
          <w:tcPr>
            <w:tcW w:w="0" w:type="auto"/>
            <w:tcBorders>
              <w:bottom w:val="single" w:sz="4" w:space="0" w:color="auto"/>
            </w:tcBorders>
            <w:shd w:val="clear" w:color="auto" w:fill="D0CECE" w:themeFill="background2" w:themeFillShade="E6"/>
            <w:noWrap/>
          </w:tcPr>
          <w:p w14:paraId="15526E0B"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r>
      <w:bookmarkEnd w:id="72"/>
      <w:tr w:rsidR="00780985" w:rsidRPr="00780985" w14:paraId="23C7E6C2" w14:textId="77777777" w:rsidTr="00625450">
        <w:trPr>
          <w:trHeight w:val="255"/>
        </w:trPr>
        <w:tc>
          <w:tcPr>
            <w:tcW w:w="4222" w:type="dxa"/>
            <w:tcBorders>
              <w:bottom w:val="single" w:sz="4" w:space="0" w:color="auto"/>
            </w:tcBorders>
            <w:shd w:val="clear" w:color="auto" w:fill="E7E6E6" w:themeFill="background2"/>
            <w:noWrap/>
          </w:tcPr>
          <w:p w14:paraId="3C3A3DF7" w14:textId="77777777" w:rsidR="002B38A3" w:rsidRPr="00780985" w:rsidRDefault="002B38A3" w:rsidP="00780985">
            <w:pPr>
              <w:rPr>
                <w:rFonts w:ascii="Arial" w:hAnsi="Arial" w:cs="Arial"/>
                <w:sz w:val="20"/>
                <w:szCs w:val="20"/>
              </w:rPr>
            </w:pPr>
            <w:r w:rsidRPr="00780985">
              <w:rPr>
                <w:rFonts w:ascii="Arial" w:hAnsi="Arial" w:cs="Arial"/>
                <w:sz w:val="20"/>
                <w:szCs w:val="20"/>
              </w:rPr>
              <w:t>Izvor 3.9. VLASTITI PRIHODI</w:t>
            </w:r>
          </w:p>
        </w:tc>
        <w:tc>
          <w:tcPr>
            <w:tcW w:w="1698" w:type="dxa"/>
            <w:tcBorders>
              <w:bottom w:val="single" w:sz="4" w:space="0" w:color="auto"/>
            </w:tcBorders>
            <w:shd w:val="clear" w:color="auto" w:fill="E7E6E6" w:themeFill="background2"/>
            <w:noWrap/>
          </w:tcPr>
          <w:p w14:paraId="2167FE8E"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c>
          <w:tcPr>
            <w:tcW w:w="1550" w:type="dxa"/>
            <w:tcBorders>
              <w:bottom w:val="single" w:sz="4" w:space="0" w:color="auto"/>
            </w:tcBorders>
            <w:shd w:val="clear" w:color="auto" w:fill="E7E6E6" w:themeFill="background2"/>
            <w:noWrap/>
          </w:tcPr>
          <w:p w14:paraId="2D9D4E8D"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0,00</w:t>
            </w:r>
          </w:p>
        </w:tc>
        <w:tc>
          <w:tcPr>
            <w:tcW w:w="0" w:type="auto"/>
            <w:tcBorders>
              <w:bottom w:val="single" w:sz="4" w:space="0" w:color="auto"/>
            </w:tcBorders>
            <w:shd w:val="clear" w:color="auto" w:fill="E7E6E6" w:themeFill="background2"/>
            <w:noWrap/>
          </w:tcPr>
          <w:p w14:paraId="06DB3D36"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r>
      <w:tr w:rsidR="00780985" w:rsidRPr="00780985" w14:paraId="7DF5C99D" w14:textId="77777777" w:rsidTr="00625450">
        <w:trPr>
          <w:trHeight w:val="255"/>
        </w:trPr>
        <w:tc>
          <w:tcPr>
            <w:tcW w:w="4222" w:type="dxa"/>
            <w:tcBorders>
              <w:bottom w:val="single" w:sz="4" w:space="0" w:color="auto"/>
            </w:tcBorders>
            <w:noWrap/>
          </w:tcPr>
          <w:p w14:paraId="46EC6569" w14:textId="77777777" w:rsidR="002B38A3" w:rsidRPr="00780985" w:rsidRDefault="002B38A3" w:rsidP="00780985">
            <w:pPr>
              <w:rPr>
                <w:rFonts w:ascii="Arial" w:hAnsi="Arial" w:cs="Arial"/>
                <w:sz w:val="20"/>
                <w:szCs w:val="20"/>
              </w:rPr>
            </w:pPr>
            <w:r w:rsidRPr="00780985">
              <w:rPr>
                <w:rFonts w:ascii="Arial" w:hAnsi="Arial" w:cs="Arial"/>
                <w:sz w:val="20"/>
                <w:szCs w:val="20"/>
              </w:rPr>
              <w:t>Izvor 3.9.000001 3. VLASTITI PRIHODI – PRIHODI KORISNIKA</w:t>
            </w:r>
          </w:p>
        </w:tc>
        <w:tc>
          <w:tcPr>
            <w:tcW w:w="1698" w:type="dxa"/>
            <w:tcBorders>
              <w:bottom w:val="single" w:sz="4" w:space="0" w:color="auto"/>
            </w:tcBorders>
            <w:shd w:val="clear" w:color="auto" w:fill="auto"/>
            <w:noWrap/>
          </w:tcPr>
          <w:p w14:paraId="75FB4B2D"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c>
          <w:tcPr>
            <w:tcW w:w="1550" w:type="dxa"/>
            <w:tcBorders>
              <w:bottom w:val="single" w:sz="4" w:space="0" w:color="auto"/>
            </w:tcBorders>
            <w:shd w:val="clear" w:color="auto" w:fill="auto"/>
            <w:noWrap/>
          </w:tcPr>
          <w:p w14:paraId="447FFBFA"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0,00</w:t>
            </w:r>
          </w:p>
        </w:tc>
        <w:tc>
          <w:tcPr>
            <w:tcW w:w="0" w:type="auto"/>
            <w:tcBorders>
              <w:bottom w:val="single" w:sz="4" w:space="0" w:color="auto"/>
            </w:tcBorders>
            <w:shd w:val="clear" w:color="auto" w:fill="auto"/>
            <w:noWrap/>
          </w:tcPr>
          <w:p w14:paraId="7CF27EC2"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r>
      <w:tr w:rsidR="00780985" w:rsidRPr="00780985" w14:paraId="319CCCD7" w14:textId="77777777" w:rsidTr="00625450">
        <w:trPr>
          <w:trHeight w:val="255"/>
        </w:trPr>
        <w:tc>
          <w:tcPr>
            <w:tcW w:w="4222" w:type="dxa"/>
            <w:tcBorders>
              <w:bottom w:val="single" w:sz="4" w:space="0" w:color="auto"/>
            </w:tcBorders>
            <w:shd w:val="clear" w:color="auto" w:fill="D0CECE" w:themeFill="background2" w:themeFillShade="E6"/>
            <w:noWrap/>
          </w:tcPr>
          <w:p w14:paraId="59449707" w14:textId="77777777" w:rsidR="002B38A3" w:rsidRPr="00780985" w:rsidRDefault="002B38A3" w:rsidP="00780985">
            <w:pPr>
              <w:rPr>
                <w:rFonts w:ascii="Arial" w:hAnsi="Arial" w:cs="Arial"/>
                <w:bCs/>
                <w:sz w:val="20"/>
                <w:szCs w:val="20"/>
              </w:rPr>
            </w:pPr>
            <w:bookmarkStart w:id="73" w:name="_Hlk203118261"/>
            <w:r w:rsidRPr="00780985">
              <w:rPr>
                <w:rFonts w:ascii="Arial" w:hAnsi="Arial" w:cs="Arial"/>
                <w:sz w:val="20"/>
                <w:szCs w:val="20"/>
              </w:rPr>
              <w:t>Izvor 4. PRIHODI ZA POSEBNE NAMJENE</w:t>
            </w:r>
          </w:p>
        </w:tc>
        <w:tc>
          <w:tcPr>
            <w:tcW w:w="1698" w:type="dxa"/>
            <w:tcBorders>
              <w:bottom w:val="single" w:sz="4" w:space="0" w:color="auto"/>
            </w:tcBorders>
            <w:shd w:val="clear" w:color="auto" w:fill="D0CECE" w:themeFill="background2" w:themeFillShade="E6"/>
            <w:noWrap/>
          </w:tcPr>
          <w:p w14:paraId="3762BF49"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672.500,00</w:t>
            </w:r>
          </w:p>
        </w:tc>
        <w:tc>
          <w:tcPr>
            <w:tcW w:w="1550" w:type="dxa"/>
            <w:tcBorders>
              <w:bottom w:val="single" w:sz="4" w:space="0" w:color="auto"/>
            </w:tcBorders>
            <w:shd w:val="clear" w:color="auto" w:fill="D0CECE" w:themeFill="background2" w:themeFillShade="E6"/>
            <w:noWrap/>
          </w:tcPr>
          <w:p w14:paraId="625121E5"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-44.837,00</w:t>
            </w:r>
          </w:p>
        </w:tc>
        <w:tc>
          <w:tcPr>
            <w:tcW w:w="0" w:type="auto"/>
            <w:tcBorders>
              <w:bottom w:val="single" w:sz="4" w:space="0" w:color="auto"/>
            </w:tcBorders>
            <w:shd w:val="clear" w:color="auto" w:fill="D0CECE" w:themeFill="background2" w:themeFillShade="E6"/>
            <w:noWrap/>
          </w:tcPr>
          <w:p w14:paraId="5D8E27E1"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627.663,00</w:t>
            </w:r>
          </w:p>
        </w:tc>
      </w:tr>
      <w:bookmarkEnd w:id="73"/>
      <w:tr w:rsidR="00780985" w:rsidRPr="00780985" w14:paraId="0539F0B9" w14:textId="77777777" w:rsidTr="00625450">
        <w:trPr>
          <w:trHeight w:val="255"/>
        </w:trPr>
        <w:tc>
          <w:tcPr>
            <w:tcW w:w="4222" w:type="dxa"/>
            <w:tcBorders>
              <w:bottom w:val="single" w:sz="4" w:space="0" w:color="auto"/>
            </w:tcBorders>
            <w:shd w:val="clear" w:color="auto" w:fill="E7E6E6" w:themeFill="background2"/>
            <w:noWrap/>
          </w:tcPr>
          <w:p w14:paraId="676B0F5F" w14:textId="77777777" w:rsidR="002B38A3" w:rsidRPr="00780985" w:rsidRDefault="002B38A3" w:rsidP="00780985">
            <w:pPr>
              <w:rPr>
                <w:rFonts w:ascii="Arial" w:hAnsi="Arial" w:cs="Arial"/>
                <w:sz w:val="20"/>
                <w:szCs w:val="20"/>
              </w:rPr>
            </w:pPr>
            <w:r w:rsidRPr="00780985">
              <w:rPr>
                <w:rFonts w:ascii="Arial" w:hAnsi="Arial" w:cs="Arial"/>
                <w:sz w:val="20"/>
                <w:szCs w:val="20"/>
              </w:rPr>
              <w:t>Izvor 4.9. PRIHODI ZA POSEBNE NAMJENE</w:t>
            </w:r>
          </w:p>
        </w:tc>
        <w:tc>
          <w:tcPr>
            <w:tcW w:w="1698" w:type="dxa"/>
            <w:tcBorders>
              <w:bottom w:val="single" w:sz="4" w:space="0" w:color="auto"/>
            </w:tcBorders>
            <w:shd w:val="clear" w:color="auto" w:fill="E7E6E6" w:themeFill="background2"/>
            <w:noWrap/>
          </w:tcPr>
          <w:p w14:paraId="1139A35B"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672.500,00</w:t>
            </w:r>
          </w:p>
        </w:tc>
        <w:tc>
          <w:tcPr>
            <w:tcW w:w="1550" w:type="dxa"/>
            <w:tcBorders>
              <w:bottom w:val="single" w:sz="4" w:space="0" w:color="auto"/>
            </w:tcBorders>
            <w:shd w:val="clear" w:color="auto" w:fill="E7E6E6" w:themeFill="background2"/>
            <w:noWrap/>
          </w:tcPr>
          <w:p w14:paraId="6B3C867D"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-44.837,00</w:t>
            </w:r>
          </w:p>
        </w:tc>
        <w:tc>
          <w:tcPr>
            <w:tcW w:w="0" w:type="auto"/>
            <w:tcBorders>
              <w:bottom w:val="single" w:sz="4" w:space="0" w:color="auto"/>
            </w:tcBorders>
            <w:shd w:val="clear" w:color="auto" w:fill="E7E6E6" w:themeFill="background2"/>
            <w:noWrap/>
          </w:tcPr>
          <w:p w14:paraId="0C005E9A"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627.663,00</w:t>
            </w:r>
          </w:p>
        </w:tc>
      </w:tr>
      <w:tr w:rsidR="00780985" w:rsidRPr="00780985" w14:paraId="7B5391DF" w14:textId="77777777" w:rsidTr="00625450">
        <w:trPr>
          <w:trHeight w:val="255"/>
        </w:trPr>
        <w:tc>
          <w:tcPr>
            <w:tcW w:w="4222" w:type="dxa"/>
            <w:tcBorders>
              <w:bottom w:val="single" w:sz="4" w:space="0" w:color="auto"/>
            </w:tcBorders>
            <w:noWrap/>
          </w:tcPr>
          <w:p w14:paraId="1AD49438" w14:textId="77777777" w:rsidR="002B38A3" w:rsidRPr="00780985" w:rsidRDefault="002B38A3" w:rsidP="00780985">
            <w:pPr>
              <w:rPr>
                <w:rFonts w:ascii="Arial" w:hAnsi="Arial" w:cs="Arial"/>
                <w:bCs/>
                <w:sz w:val="20"/>
                <w:szCs w:val="20"/>
              </w:rPr>
            </w:pPr>
            <w:r w:rsidRPr="00780985">
              <w:rPr>
                <w:rFonts w:ascii="Arial" w:hAnsi="Arial" w:cs="Arial"/>
                <w:sz w:val="20"/>
                <w:szCs w:val="20"/>
              </w:rPr>
              <w:t>Izvor 4.9.000001 4.PRIHODI ZA POSEBNE NAMJENE - PRIHODI KORISNIKA</w:t>
            </w:r>
          </w:p>
        </w:tc>
        <w:tc>
          <w:tcPr>
            <w:tcW w:w="1698" w:type="dxa"/>
            <w:tcBorders>
              <w:bottom w:val="single" w:sz="4" w:space="0" w:color="auto"/>
            </w:tcBorders>
            <w:noWrap/>
          </w:tcPr>
          <w:p w14:paraId="6846E5DC"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672.500,00</w:t>
            </w:r>
          </w:p>
        </w:tc>
        <w:tc>
          <w:tcPr>
            <w:tcW w:w="1550" w:type="dxa"/>
            <w:tcBorders>
              <w:bottom w:val="single" w:sz="4" w:space="0" w:color="auto"/>
            </w:tcBorders>
            <w:noWrap/>
          </w:tcPr>
          <w:p w14:paraId="02ED07A3"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-66.100,00</w:t>
            </w:r>
          </w:p>
        </w:tc>
        <w:tc>
          <w:tcPr>
            <w:tcW w:w="0" w:type="auto"/>
            <w:tcBorders>
              <w:bottom w:val="single" w:sz="4" w:space="0" w:color="auto"/>
            </w:tcBorders>
            <w:noWrap/>
          </w:tcPr>
          <w:p w14:paraId="5A4A9C1B"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606.400,00</w:t>
            </w:r>
          </w:p>
        </w:tc>
      </w:tr>
      <w:tr w:rsidR="00780985" w:rsidRPr="00780985" w14:paraId="5998C2AF" w14:textId="77777777" w:rsidTr="00625450">
        <w:trPr>
          <w:trHeight w:val="255"/>
        </w:trPr>
        <w:tc>
          <w:tcPr>
            <w:tcW w:w="4222" w:type="dxa"/>
            <w:tcBorders>
              <w:bottom w:val="single" w:sz="4" w:space="0" w:color="auto"/>
            </w:tcBorders>
            <w:noWrap/>
          </w:tcPr>
          <w:p w14:paraId="50101597" w14:textId="77777777" w:rsidR="002B38A3" w:rsidRPr="00780985" w:rsidRDefault="002B38A3" w:rsidP="00780985">
            <w:pPr>
              <w:rPr>
                <w:rFonts w:ascii="Arial" w:hAnsi="Arial" w:cs="Arial"/>
                <w:sz w:val="20"/>
                <w:szCs w:val="20"/>
              </w:rPr>
            </w:pPr>
            <w:r w:rsidRPr="00780985">
              <w:rPr>
                <w:rFonts w:ascii="Arial" w:hAnsi="Arial" w:cs="Arial"/>
                <w:sz w:val="20"/>
                <w:szCs w:val="20"/>
              </w:rPr>
              <w:t>Izvor 4.9.000002 4.PRIHODI ZA POSEBNE NAMJENE - REZULTAT</w:t>
            </w:r>
          </w:p>
        </w:tc>
        <w:tc>
          <w:tcPr>
            <w:tcW w:w="1698" w:type="dxa"/>
            <w:tcBorders>
              <w:bottom w:val="single" w:sz="4" w:space="0" w:color="auto"/>
            </w:tcBorders>
            <w:noWrap/>
          </w:tcPr>
          <w:p w14:paraId="14192C2F"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c>
          <w:tcPr>
            <w:tcW w:w="1550" w:type="dxa"/>
            <w:tcBorders>
              <w:bottom w:val="single" w:sz="4" w:space="0" w:color="auto"/>
            </w:tcBorders>
            <w:noWrap/>
          </w:tcPr>
          <w:p w14:paraId="24C0B0E3"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21.263,00</w:t>
            </w:r>
          </w:p>
        </w:tc>
        <w:tc>
          <w:tcPr>
            <w:tcW w:w="0" w:type="auto"/>
            <w:tcBorders>
              <w:bottom w:val="single" w:sz="4" w:space="0" w:color="auto"/>
            </w:tcBorders>
            <w:noWrap/>
          </w:tcPr>
          <w:p w14:paraId="0F4EB595"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21.263,00</w:t>
            </w:r>
          </w:p>
        </w:tc>
      </w:tr>
      <w:tr w:rsidR="00780985" w:rsidRPr="00780985" w14:paraId="5FEADAE4" w14:textId="77777777" w:rsidTr="00625450">
        <w:trPr>
          <w:trHeight w:val="255"/>
        </w:trPr>
        <w:tc>
          <w:tcPr>
            <w:tcW w:w="4222" w:type="dxa"/>
            <w:tcBorders>
              <w:bottom w:val="single" w:sz="4" w:space="0" w:color="auto"/>
            </w:tcBorders>
            <w:shd w:val="clear" w:color="auto" w:fill="D0CECE" w:themeFill="background2" w:themeFillShade="E6"/>
            <w:noWrap/>
          </w:tcPr>
          <w:p w14:paraId="54719E32" w14:textId="77777777" w:rsidR="002B38A3" w:rsidRPr="00780985" w:rsidRDefault="002B38A3" w:rsidP="00780985">
            <w:pPr>
              <w:rPr>
                <w:rFonts w:ascii="Arial" w:hAnsi="Arial" w:cs="Arial"/>
                <w:sz w:val="20"/>
                <w:szCs w:val="20"/>
              </w:rPr>
            </w:pPr>
            <w:r w:rsidRPr="00780985">
              <w:rPr>
                <w:rFonts w:ascii="Arial" w:hAnsi="Arial" w:cs="Arial"/>
                <w:sz w:val="20"/>
                <w:szCs w:val="20"/>
              </w:rPr>
              <w:t>Izvor 5. POMOĆI</w:t>
            </w:r>
          </w:p>
        </w:tc>
        <w:tc>
          <w:tcPr>
            <w:tcW w:w="1698" w:type="dxa"/>
            <w:tcBorders>
              <w:bottom w:val="single" w:sz="4" w:space="0" w:color="auto"/>
            </w:tcBorders>
            <w:shd w:val="clear" w:color="auto" w:fill="D0CECE" w:themeFill="background2" w:themeFillShade="E6"/>
            <w:noWrap/>
          </w:tcPr>
          <w:p w14:paraId="25CED036"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c>
          <w:tcPr>
            <w:tcW w:w="1550" w:type="dxa"/>
            <w:tcBorders>
              <w:bottom w:val="single" w:sz="4" w:space="0" w:color="auto"/>
            </w:tcBorders>
            <w:shd w:val="clear" w:color="auto" w:fill="D0CECE" w:themeFill="background2" w:themeFillShade="E6"/>
            <w:noWrap/>
          </w:tcPr>
          <w:p w14:paraId="0A167E9D"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4.000,00</w:t>
            </w:r>
          </w:p>
        </w:tc>
        <w:tc>
          <w:tcPr>
            <w:tcW w:w="0" w:type="auto"/>
            <w:tcBorders>
              <w:bottom w:val="single" w:sz="4" w:space="0" w:color="auto"/>
            </w:tcBorders>
            <w:shd w:val="clear" w:color="auto" w:fill="D0CECE" w:themeFill="background2" w:themeFillShade="E6"/>
            <w:noWrap/>
          </w:tcPr>
          <w:p w14:paraId="1C03FC18"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4.000,00</w:t>
            </w:r>
          </w:p>
        </w:tc>
      </w:tr>
      <w:tr w:rsidR="00780985" w:rsidRPr="00780985" w14:paraId="72E83BEC" w14:textId="77777777" w:rsidTr="00625450">
        <w:trPr>
          <w:trHeight w:val="255"/>
        </w:trPr>
        <w:tc>
          <w:tcPr>
            <w:tcW w:w="4222" w:type="dxa"/>
            <w:tcBorders>
              <w:bottom w:val="single" w:sz="4" w:space="0" w:color="auto"/>
            </w:tcBorders>
            <w:shd w:val="clear" w:color="auto" w:fill="E7E6E6" w:themeFill="background2"/>
            <w:noWrap/>
          </w:tcPr>
          <w:p w14:paraId="4FDC432E" w14:textId="77777777" w:rsidR="002B38A3" w:rsidRPr="00780985" w:rsidRDefault="002B38A3" w:rsidP="00780985">
            <w:pPr>
              <w:rPr>
                <w:rFonts w:ascii="Arial" w:hAnsi="Arial" w:cs="Arial"/>
                <w:sz w:val="20"/>
                <w:szCs w:val="20"/>
              </w:rPr>
            </w:pPr>
            <w:r w:rsidRPr="00780985">
              <w:rPr>
                <w:rFonts w:ascii="Arial" w:hAnsi="Arial" w:cs="Arial"/>
                <w:sz w:val="20"/>
                <w:szCs w:val="20"/>
              </w:rPr>
              <w:t>Izvor 5.5. POMOĆI</w:t>
            </w:r>
          </w:p>
        </w:tc>
        <w:tc>
          <w:tcPr>
            <w:tcW w:w="1698" w:type="dxa"/>
            <w:tcBorders>
              <w:bottom w:val="single" w:sz="4" w:space="0" w:color="auto"/>
            </w:tcBorders>
            <w:shd w:val="clear" w:color="auto" w:fill="E7E6E6" w:themeFill="background2"/>
            <w:noWrap/>
          </w:tcPr>
          <w:p w14:paraId="500A1A32"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c>
          <w:tcPr>
            <w:tcW w:w="1550" w:type="dxa"/>
            <w:tcBorders>
              <w:bottom w:val="single" w:sz="4" w:space="0" w:color="auto"/>
            </w:tcBorders>
            <w:shd w:val="clear" w:color="auto" w:fill="E7E6E6" w:themeFill="background2"/>
            <w:noWrap/>
          </w:tcPr>
          <w:p w14:paraId="2E9BCBE1"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4.000,00</w:t>
            </w:r>
          </w:p>
        </w:tc>
        <w:tc>
          <w:tcPr>
            <w:tcW w:w="0" w:type="auto"/>
            <w:tcBorders>
              <w:bottom w:val="single" w:sz="4" w:space="0" w:color="auto"/>
            </w:tcBorders>
            <w:shd w:val="clear" w:color="auto" w:fill="E7E6E6" w:themeFill="background2"/>
            <w:noWrap/>
          </w:tcPr>
          <w:p w14:paraId="29E936CE"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4.000,00</w:t>
            </w:r>
          </w:p>
        </w:tc>
      </w:tr>
      <w:tr w:rsidR="00780985" w:rsidRPr="00780985" w14:paraId="416241C5" w14:textId="77777777" w:rsidTr="00625450">
        <w:trPr>
          <w:trHeight w:val="255"/>
        </w:trPr>
        <w:tc>
          <w:tcPr>
            <w:tcW w:w="4222" w:type="dxa"/>
            <w:tcBorders>
              <w:bottom w:val="single" w:sz="4" w:space="0" w:color="auto"/>
            </w:tcBorders>
            <w:noWrap/>
          </w:tcPr>
          <w:p w14:paraId="524FCAB0" w14:textId="77777777" w:rsidR="002B38A3" w:rsidRPr="00780985" w:rsidRDefault="002B38A3" w:rsidP="00780985">
            <w:pPr>
              <w:rPr>
                <w:rFonts w:ascii="Arial" w:hAnsi="Arial" w:cs="Arial"/>
                <w:sz w:val="20"/>
                <w:szCs w:val="20"/>
              </w:rPr>
            </w:pPr>
            <w:r w:rsidRPr="00780985">
              <w:rPr>
                <w:rFonts w:ascii="Arial" w:hAnsi="Arial" w:cs="Arial"/>
                <w:sz w:val="20"/>
                <w:szCs w:val="20"/>
              </w:rPr>
              <w:t>Izvor 5.5.001 5.POMOĆI IZ ŽUPANIJSKOG PRORAČUNA</w:t>
            </w:r>
          </w:p>
        </w:tc>
        <w:tc>
          <w:tcPr>
            <w:tcW w:w="1698" w:type="dxa"/>
            <w:tcBorders>
              <w:bottom w:val="single" w:sz="4" w:space="0" w:color="auto"/>
            </w:tcBorders>
            <w:shd w:val="clear" w:color="auto" w:fill="auto"/>
            <w:noWrap/>
          </w:tcPr>
          <w:p w14:paraId="5A1FA8D0"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c>
          <w:tcPr>
            <w:tcW w:w="1550" w:type="dxa"/>
            <w:tcBorders>
              <w:bottom w:val="single" w:sz="4" w:space="0" w:color="auto"/>
            </w:tcBorders>
            <w:shd w:val="clear" w:color="auto" w:fill="auto"/>
            <w:noWrap/>
          </w:tcPr>
          <w:p w14:paraId="0B9C1C77"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4.000,00</w:t>
            </w:r>
          </w:p>
        </w:tc>
        <w:tc>
          <w:tcPr>
            <w:tcW w:w="0" w:type="auto"/>
            <w:tcBorders>
              <w:bottom w:val="single" w:sz="4" w:space="0" w:color="auto"/>
            </w:tcBorders>
            <w:shd w:val="clear" w:color="auto" w:fill="auto"/>
            <w:noWrap/>
          </w:tcPr>
          <w:p w14:paraId="7EFCC017"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4.000,00</w:t>
            </w:r>
          </w:p>
        </w:tc>
      </w:tr>
      <w:tr w:rsidR="00780985" w:rsidRPr="00780985" w14:paraId="017D57EC" w14:textId="77777777" w:rsidTr="00625450">
        <w:trPr>
          <w:trHeight w:val="255"/>
        </w:trPr>
        <w:tc>
          <w:tcPr>
            <w:tcW w:w="4222" w:type="dxa"/>
            <w:tcBorders>
              <w:bottom w:val="single" w:sz="4" w:space="0" w:color="auto"/>
            </w:tcBorders>
            <w:shd w:val="clear" w:color="auto" w:fill="D0CECE" w:themeFill="background2" w:themeFillShade="E6"/>
            <w:noWrap/>
          </w:tcPr>
          <w:p w14:paraId="7181EF84" w14:textId="77777777" w:rsidR="002B38A3" w:rsidRPr="00780985" w:rsidRDefault="002B38A3" w:rsidP="00780985">
            <w:pPr>
              <w:rPr>
                <w:rFonts w:ascii="Arial" w:hAnsi="Arial" w:cs="Arial"/>
                <w:bCs/>
                <w:sz w:val="20"/>
                <w:szCs w:val="20"/>
              </w:rPr>
            </w:pPr>
            <w:r w:rsidRPr="00780985">
              <w:rPr>
                <w:rFonts w:ascii="Arial" w:hAnsi="Arial" w:cs="Arial"/>
                <w:sz w:val="20"/>
                <w:szCs w:val="20"/>
              </w:rPr>
              <w:t>Izvor 6. DONACIJE</w:t>
            </w:r>
          </w:p>
        </w:tc>
        <w:tc>
          <w:tcPr>
            <w:tcW w:w="1698" w:type="dxa"/>
            <w:tcBorders>
              <w:bottom w:val="single" w:sz="4" w:space="0" w:color="auto"/>
            </w:tcBorders>
            <w:shd w:val="clear" w:color="auto" w:fill="D0CECE" w:themeFill="background2" w:themeFillShade="E6"/>
            <w:noWrap/>
          </w:tcPr>
          <w:p w14:paraId="20CE89B3"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5.000,00</w:t>
            </w:r>
          </w:p>
        </w:tc>
        <w:tc>
          <w:tcPr>
            <w:tcW w:w="1550" w:type="dxa"/>
            <w:tcBorders>
              <w:bottom w:val="single" w:sz="4" w:space="0" w:color="auto"/>
            </w:tcBorders>
            <w:shd w:val="clear" w:color="auto" w:fill="D0CECE" w:themeFill="background2" w:themeFillShade="E6"/>
            <w:noWrap/>
          </w:tcPr>
          <w:p w14:paraId="2E855D7D"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c>
          <w:tcPr>
            <w:tcW w:w="0" w:type="auto"/>
            <w:tcBorders>
              <w:bottom w:val="single" w:sz="4" w:space="0" w:color="auto"/>
            </w:tcBorders>
            <w:shd w:val="clear" w:color="auto" w:fill="D0CECE" w:themeFill="background2" w:themeFillShade="E6"/>
            <w:noWrap/>
          </w:tcPr>
          <w:p w14:paraId="4D60467F"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5.000,00</w:t>
            </w:r>
          </w:p>
        </w:tc>
      </w:tr>
      <w:tr w:rsidR="00780985" w:rsidRPr="00780985" w14:paraId="7D7394CD" w14:textId="77777777" w:rsidTr="00625450">
        <w:trPr>
          <w:trHeight w:val="255"/>
        </w:trPr>
        <w:tc>
          <w:tcPr>
            <w:tcW w:w="4222" w:type="dxa"/>
            <w:tcBorders>
              <w:bottom w:val="single" w:sz="4" w:space="0" w:color="auto"/>
            </w:tcBorders>
            <w:shd w:val="clear" w:color="auto" w:fill="E7E6E6" w:themeFill="background2"/>
            <w:noWrap/>
          </w:tcPr>
          <w:p w14:paraId="40A2ADC9" w14:textId="77777777" w:rsidR="002B38A3" w:rsidRPr="00780985" w:rsidRDefault="002B38A3" w:rsidP="00780985">
            <w:pPr>
              <w:rPr>
                <w:rFonts w:ascii="Arial" w:hAnsi="Arial" w:cs="Arial"/>
                <w:sz w:val="20"/>
                <w:szCs w:val="20"/>
              </w:rPr>
            </w:pPr>
            <w:r w:rsidRPr="00780985">
              <w:rPr>
                <w:rFonts w:ascii="Arial" w:hAnsi="Arial" w:cs="Arial"/>
                <w:sz w:val="20"/>
                <w:szCs w:val="20"/>
              </w:rPr>
              <w:t>Izvor 6.9. DONACIJE</w:t>
            </w:r>
          </w:p>
        </w:tc>
        <w:tc>
          <w:tcPr>
            <w:tcW w:w="1698" w:type="dxa"/>
            <w:tcBorders>
              <w:bottom w:val="single" w:sz="4" w:space="0" w:color="auto"/>
            </w:tcBorders>
            <w:shd w:val="clear" w:color="auto" w:fill="E7E6E6" w:themeFill="background2"/>
            <w:noWrap/>
          </w:tcPr>
          <w:p w14:paraId="3BF1C293"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5.000,00</w:t>
            </w:r>
          </w:p>
        </w:tc>
        <w:tc>
          <w:tcPr>
            <w:tcW w:w="1550" w:type="dxa"/>
            <w:tcBorders>
              <w:bottom w:val="single" w:sz="4" w:space="0" w:color="auto"/>
            </w:tcBorders>
            <w:shd w:val="clear" w:color="auto" w:fill="E7E6E6" w:themeFill="background2"/>
            <w:noWrap/>
          </w:tcPr>
          <w:p w14:paraId="44C25C71"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c>
          <w:tcPr>
            <w:tcW w:w="0" w:type="auto"/>
            <w:tcBorders>
              <w:bottom w:val="single" w:sz="4" w:space="0" w:color="auto"/>
            </w:tcBorders>
            <w:shd w:val="clear" w:color="auto" w:fill="E7E6E6" w:themeFill="background2"/>
            <w:noWrap/>
          </w:tcPr>
          <w:p w14:paraId="6F612920"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5.000,00</w:t>
            </w:r>
          </w:p>
        </w:tc>
      </w:tr>
      <w:tr w:rsidR="00780985" w:rsidRPr="00780985" w14:paraId="3FF1C1E9" w14:textId="77777777" w:rsidTr="00625450">
        <w:trPr>
          <w:trHeight w:val="255"/>
        </w:trPr>
        <w:tc>
          <w:tcPr>
            <w:tcW w:w="4222" w:type="dxa"/>
            <w:tcBorders>
              <w:bottom w:val="single" w:sz="4" w:space="0" w:color="auto"/>
            </w:tcBorders>
            <w:noWrap/>
          </w:tcPr>
          <w:p w14:paraId="56207721" w14:textId="77777777" w:rsidR="002B38A3" w:rsidRPr="00780985" w:rsidRDefault="002B38A3" w:rsidP="00780985">
            <w:pPr>
              <w:rPr>
                <w:rFonts w:ascii="Arial" w:hAnsi="Arial" w:cs="Arial"/>
                <w:bCs/>
                <w:sz w:val="20"/>
                <w:szCs w:val="20"/>
              </w:rPr>
            </w:pPr>
            <w:bookmarkStart w:id="74" w:name="_Hlk203042755"/>
            <w:r w:rsidRPr="00780985">
              <w:rPr>
                <w:rFonts w:ascii="Arial" w:hAnsi="Arial" w:cs="Arial"/>
                <w:sz w:val="20"/>
                <w:szCs w:val="20"/>
              </w:rPr>
              <w:t>Izvor 6.9.000001 6.DONACIJE - PRIHODI KORISNIKA</w:t>
            </w:r>
          </w:p>
        </w:tc>
        <w:tc>
          <w:tcPr>
            <w:tcW w:w="1698" w:type="dxa"/>
            <w:tcBorders>
              <w:bottom w:val="single" w:sz="4" w:space="0" w:color="auto"/>
            </w:tcBorders>
            <w:noWrap/>
          </w:tcPr>
          <w:p w14:paraId="3687142A"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5.000,00</w:t>
            </w:r>
          </w:p>
        </w:tc>
        <w:tc>
          <w:tcPr>
            <w:tcW w:w="1550" w:type="dxa"/>
            <w:tcBorders>
              <w:bottom w:val="single" w:sz="4" w:space="0" w:color="auto"/>
            </w:tcBorders>
            <w:noWrap/>
          </w:tcPr>
          <w:p w14:paraId="771D6DAA"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0,00</w:t>
            </w:r>
          </w:p>
        </w:tc>
        <w:tc>
          <w:tcPr>
            <w:tcW w:w="0" w:type="auto"/>
            <w:tcBorders>
              <w:bottom w:val="single" w:sz="4" w:space="0" w:color="auto"/>
            </w:tcBorders>
            <w:noWrap/>
          </w:tcPr>
          <w:p w14:paraId="3F050DDE"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5.000,00</w:t>
            </w:r>
          </w:p>
        </w:tc>
      </w:tr>
      <w:bookmarkEnd w:id="74"/>
      <w:tr w:rsidR="00780985" w:rsidRPr="00780985" w14:paraId="6B6AFAAC" w14:textId="77777777" w:rsidTr="00625450">
        <w:trPr>
          <w:trHeight w:val="255"/>
        </w:trPr>
        <w:tc>
          <w:tcPr>
            <w:tcW w:w="4222" w:type="dxa"/>
            <w:tcBorders>
              <w:bottom w:val="single" w:sz="4" w:space="0" w:color="auto"/>
            </w:tcBorders>
            <w:shd w:val="clear" w:color="auto" w:fill="AEAAAA" w:themeFill="background2" w:themeFillShade="BF"/>
            <w:noWrap/>
          </w:tcPr>
          <w:p w14:paraId="38A8CD54" w14:textId="77777777" w:rsidR="002B38A3" w:rsidRPr="00780985" w:rsidRDefault="002B38A3" w:rsidP="00780985">
            <w:pPr>
              <w:rPr>
                <w:rFonts w:ascii="Arial" w:hAnsi="Arial" w:cs="Arial"/>
                <w:b/>
                <w:bCs/>
                <w:sz w:val="20"/>
                <w:szCs w:val="20"/>
              </w:rPr>
            </w:pPr>
            <w:r w:rsidRPr="00780985">
              <w:rPr>
                <w:rFonts w:ascii="Arial" w:hAnsi="Arial" w:cs="Arial"/>
                <w:b/>
                <w:bCs/>
                <w:sz w:val="20"/>
                <w:szCs w:val="20"/>
              </w:rPr>
              <w:t>UKUPNO RASHODI / IZDACI</w:t>
            </w:r>
          </w:p>
        </w:tc>
        <w:tc>
          <w:tcPr>
            <w:tcW w:w="1698" w:type="dxa"/>
            <w:tcBorders>
              <w:bottom w:val="single" w:sz="4" w:space="0" w:color="auto"/>
            </w:tcBorders>
            <w:shd w:val="clear" w:color="auto" w:fill="AEAAAA" w:themeFill="background2" w:themeFillShade="BF"/>
            <w:noWrap/>
          </w:tcPr>
          <w:p w14:paraId="3ED9E682" w14:textId="77777777" w:rsidR="002B38A3" w:rsidRPr="00780985" w:rsidRDefault="002B38A3" w:rsidP="00780985">
            <w:pPr>
              <w:jc w:val="right"/>
              <w:rPr>
                <w:rFonts w:ascii="Arial" w:hAnsi="Arial" w:cs="Arial"/>
                <w:b/>
                <w:bCs/>
                <w:sz w:val="20"/>
                <w:szCs w:val="20"/>
              </w:rPr>
            </w:pPr>
            <w:r w:rsidRPr="00780985">
              <w:rPr>
                <w:rFonts w:ascii="Arial" w:hAnsi="Arial" w:cs="Arial"/>
                <w:b/>
                <w:bCs/>
                <w:sz w:val="20"/>
                <w:szCs w:val="20"/>
              </w:rPr>
              <w:t>1.737.130,00</w:t>
            </w:r>
          </w:p>
        </w:tc>
        <w:tc>
          <w:tcPr>
            <w:tcW w:w="1550" w:type="dxa"/>
            <w:tcBorders>
              <w:bottom w:val="single" w:sz="4" w:space="0" w:color="auto"/>
            </w:tcBorders>
            <w:shd w:val="clear" w:color="auto" w:fill="AEAAAA" w:themeFill="background2" w:themeFillShade="BF"/>
            <w:noWrap/>
          </w:tcPr>
          <w:p w14:paraId="486CDEA5" w14:textId="77777777" w:rsidR="002B38A3" w:rsidRPr="00780985" w:rsidRDefault="002B38A3" w:rsidP="00780985">
            <w:pPr>
              <w:jc w:val="right"/>
              <w:rPr>
                <w:rFonts w:ascii="Arial" w:hAnsi="Arial" w:cs="Arial"/>
                <w:b/>
                <w:bCs/>
                <w:sz w:val="20"/>
                <w:szCs w:val="20"/>
              </w:rPr>
            </w:pPr>
            <w:r w:rsidRPr="00780985">
              <w:rPr>
                <w:rFonts w:ascii="Arial" w:hAnsi="Arial" w:cs="Arial"/>
                <w:b/>
                <w:bCs/>
                <w:sz w:val="20"/>
                <w:szCs w:val="20"/>
              </w:rPr>
              <w:t>35.631,00</w:t>
            </w:r>
          </w:p>
        </w:tc>
        <w:tc>
          <w:tcPr>
            <w:tcW w:w="0" w:type="auto"/>
            <w:tcBorders>
              <w:bottom w:val="single" w:sz="4" w:space="0" w:color="auto"/>
            </w:tcBorders>
            <w:shd w:val="clear" w:color="auto" w:fill="AEAAAA" w:themeFill="background2" w:themeFillShade="BF"/>
            <w:noWrap/>
          </w:tcPr>
          <w:p w14:paraId="13A63C7B" w14:textId="77777777" w:rsidR="002B38A3" w:rsidRPr="00780985" w:rsidRDefault="002B38A3" w:rsidP="00780985">
            <w:pPr>
              <w:jc w:val="right"/>
              <w:rPr>
                <w:rFonts w:ascii="Arial" w:hAnsi="Arial" w:cs="Arial"/>
                <w:b/>
                <w:bCs/>
                <w:sz w:val="20"/>
                <w:szCs w:val="20"/>
              </w:rPr>
            </w:pPr>
            <w:r w:rsidRPr="00780985">
              <w:rPr>
                <w:rFonts w:ascii="Arial" w:hAnsi="Arial" w:cs="Arial"/>
                <w:b/>
                <w:bCs/>
                <w:sz w:val="20"/>
                <w:szCs w:val="20"/>
              </w:rPr>
              <w:t>1.772.761,00</w:t>
            </w:r>
          </w:p>
        </w:tc>
      </w:tr>
      <w:tr w:rsidR="00780985" w:rsidRPr="00780985" w14:paraId="60929ED3" w14:textId="77777777" w:rsidTr="00625450">
        <w:trPr>
          <w:trHeight w:val="255"/>
        </w:trPr>
        <w:tc>
          <w:tcPr>
            <w:tcW w:w="4222" w:type="dxa"/>
            <w:tcBorders>
              <w:bottom w:val="single" w:sz="4" w:space="0" w:color="auto"/>
            </w:tcBorders>
            <w:shd w:val="clear" w:color="auto" w:fill="D0CECE" w:themeFill="background2" w:themeFillShade="E6"/>
            <w:noWrap/>
            <w:hideMark/>
          </w:tcPr>
          <w:p w14:paraId="021F76F9" w14:textId="77777777" w:rsidR="002B38A3" w:rsidRPr="00780985" w:rsidRDefault="002B38A3" w:rsidP="00780985">
            <w:pPr>
              <w:rPr>
                <w:rFonts w:ascii="Arial" w:hAnsi="Arial" w:cs="Arial"/>
                <w:bCs/>
                <w:sz w:val="20"/>
                <w:szCs w:val="20"/>
              </w:rPr>
            </w:pPr>
            <w:r w:rsidRPr="00780985">
              <w:rPr>
                <w:rFonts w:ascii="Arial" w:hAnsi="Arial" w:cs="Arial"/>
                <w:sz w:val="20"/>
                <w:szCs w:val="20"/>
              </w:rPr>
              <w:t>Izvor 1. OPĆI PRIHODI I PRIMICI</w:t>
            </w:r>
          </w:p>
        </w:tc>
        <w:tc>
          <w:tcPr>
            <w:tcW w:w="1698" w:type="dxa"/>
            <w:tcBorders>
              <w:bottom w:val="single" w:sz="4" w:space="0" w:color="auto"/>
            </w:tcBorders>
            <w:shd w:val="clear" w:color="auto" w:fill="D0CECE" w:themeFill="background2" w:themeFillShade="E6"/>
            <w:noWrap/>
            <w:hideMark/>
          </w:tcPr>
          <w:p w14:paraId="0C23E3E2"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1.059.630,00</w:t>
            </w:r>
          </w:p>
        </w:tc>
        <w:tc>
          <w:tcPr>
            <w:tcW w:w="1550" w:type="dxa"/>
            <w:tcBorders>
              <w:bottom w:val="single" w:sz="4" w:space="0" w:color="auto"/>
            </w:tcBorders>
            <w:shd w:val="clear" w:color="auto" w:fill="D0CECE" w:themeFill="background2" w:themeFillShade="E6"/>
            <w:noWrap/>
            <w:hideMark/>
          </w:tcPr>
          <w:p w14:paraId="57EA1C23"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76.468,00</w:t>
            </w:r>
          </w:p>
        </w:tc>
        <w:tc>
          <w:tcPr>
            <w:tcW w:w="0" w:type="auto"/>
            <w:tcBorders>
              <w:bottom w:val="single" w:sz="4" w:space="0" w:color="auto"/>
            </w:tcBorders>
            <w:shd w:val="clear" w:color="auto" w:fill="D0CECE" w:themeFill="background2" w:themeFillShade="E6"/>
            <w:noWrap/>
            <w:hideMark/>
          </w:tcPr>
          <w:p w14:paraId="4B463CAD"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1.136.098,00</w:t>
            </w:r>
          </w:p>
        </w:tc>
      </w:tr>
      <w:tr w:rsidR="00780985" w:rsidRPr="00780985" w14:paraId="0B63C2D4" w14:textId="77777777" w:rsidTr="00625450">
        <w:trPr>
          <w:trHeight w:val="255"/>
        </w:trPr>
        <w:tc>
          <w:tcPr>
            <w:tcW w:w="4222" w:type="dxa"/>
            <w:tcBorders>
              <w:bottom w:val="single" w:sz="4" w:space="0" w:color="auto"/>
            </w:tcBorders>
            <w:shd w:val="clear" w:color="auto" w:fill="E7E6E6" w:themeFill="background2"/>
            <w:noWrap/>
          </w:tcPr>
          <w:p w14:paraId="73E3E6A8" w14:textId="77777777" w:rsidR="002B38A3" w:rsidRPr="00780985" w:rsidRDefault="002B38A3" w:rsidP="00780985">
            <w:pPr>
              <w:rPr>
                <w:rFonts w:ascii="Arial" w:hAnsi="Arial" w:cs="Arial"/>
                <w:sz w:val="20"/>
                <w:szCs w:val="20"/>
              </w:rPr>
            </w:pPr>
            <w:r w:rsidRPr="00780985">
              <w:rPr>
                <w:rFonts w:ascii="Arial" w:hAnsi="Arial" w:cs="Arial"/>
                <w:sz w:val="20"/>
                <w:szCs w:val="20"/>
              </w:rPr>
              <w:t>Izvor 1.1. OPĆI PRIHODI I PRIMICI</w:t>
            </w:r>
          </w:p>
        </w:tc>
        <w:tc>
          <w:tcPr>
            <w:tcW w:w="1698" w:type="dxa"/>
            <w:tcBorders>
              <w:bottom w:val="single" w:sz="4" w:space="0" w:color="auto"/>
            </w:tcBorders>
            <w:shd w:val="clear" w:color="auto" w:fill="E7E6E6" w:themeFill="background2"/>
            <w:noWrap/>
          </w:tcPr>
          <w:p w14:paraId="0914AB5A"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1.059.630,00</w:t>
            </w:r>
          </w:p>
        </w:tc>
        <w:tc>
          <w:tcPr>
            <w:tcW w:w="1550" w:type="dxa"/>
            <w:tcBorders>
              <w:bottom w:val="single" w:sz="4" w:space="0" w:color="auto"/>
            </w:tcBorders>
            <w:shd w:val="clear" w:color="auto" w:fill="E7E6E6" w:themeFill="background2"/>
            <w:noWrap/>
          </w:tcPr>
          <w:p w14:paraId="78FE59F5"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76.468,00</w:t>
            </w:r>
          </w:p>
        </w:tc>
        <w:tc>
          <w:tcPr>
            <w:tcW w:w="0" w:type="auto"/>
            <w:tcBorders>
              <w:bottom w:val="single" w:sz="4" w:space="0" w:color="auto"/>
            </w:tcBorders>
            <w:shd w:val="clear" w:color="auto" w:fill="E7E6E6" w:themeFill="background2"/>
            <w:noWrap/>
          </w:tcPr>
          <w:p w14:paraId="50CE0A08"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1.136.098,00</w:t>
            </w:r>
          </w:p>
        </w:tc>
      </w:tr>
      <w:tr w:rsidR="00780985" w:rsidRPr="00780985" w14:paraId="2CD90AC2" w14:textId="77777777" w:rsidTr="00625450">
        <w:trPr>
          <w:trHeight w:val="255"/>
        </w:trPr>
        <w:tc>
          <w:tcPr>
            <w:tcW w:w="4222" w:type="dxa"/>
            <w:tcBorders>
              <w:bottom w:val="single" w:sz="4" w:space="0" w:color="auto"/>
            </w:tcBorders>
            <w:shd w:val="clear" w:color="auto" w:fill="FFFFFF" w:themeFill="background1"/>
            <w:noWrap/>
          </w:tcPr>
          <w:p w14:paraId="0D360467" w14:textId="77777777" w:rsidR="002B38A3" w:rsidRPr="00780985" w:rsidRDefault="002B38A3" w:rsidP="00780985">
            <w:pPr>
              <w:rPr>
                <w:rFonts w:ascii="Arial" w:hAnsi="Arial" w:cs="Arial"/>
                <w:bCs/>
                <w:sz w:val="20"/>
                <w:szCs w:val="20"/>
              </w:rPr>
            </w:pPr>
            <w:bookmarkStart w:id="75" w:name="_Hlk203043396"/>
            <w:r w:rsidRPr="00780985">
              <w:rPr>
                <w:rFonts w:ascii="Arial" w:hAnsi="Arial" w:cs="Arial"/>
                <w:sz w:val="20"/>
                <w:szCs w:val="20"/>
              </w:rPr>
              <w:t>Izvor 1.1.001 OPĆI PRIHODI I PRIMICI</w:t>
            </w:r>
          </w:p>
        </w:tc>
        <w:tc>
          <w:tcPr>
            <w:tcW w:w="1698" w:type="dxa"/>
            <w:tcBorders>
              <w:bottom w:val="single" w:sz="4" w:space="0" w:color="auto"/>
            </w:tcBorders>
            <w:shd w:val="clear" w:color="auto" w:fill="FFFFFF" w:themeFill="background1"/>
            <w:noWrap/>
          </w:tcPr>
          <w:p w14:paraId="6C539E89"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1.059.630,00</w:t>
            </w:r>
          </w:p>
        </w:tc>
        <w:tc>
          <w:tcPr>
            <w:tcW w:w="1550" w:type="dxa"/>
            <w:tcBorders>
              <w:bottom w:val="single" w:sz="4" w:space="0" w:color="auto"/>
            </w:tcBorders>
            <w:shd w:val="clear" w:color="auto" w:fill="FFFFFF" w:themeFill="background1"/>
            <w:noWrap/>
          </w:tcPr>
          <w:p w14:paraId="5EF5D3AC"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73.750,00</w:t>
            </w:r>
          </w:p>
        </w:tc>
        <w:tc>
          <w:tcPr>
            <w:tcW w:w="0" w:type="auto"/>
            <w:tcBorders>
              <w:bottom w:val="single" w:sz="4" w:space="0" w:color="auto"/>
            </w:tcBorders>
            <w:shd w:val="clear" w:color="auto" w:fill="FFFFFF" w:themeFill="background1"/>
            <w:noWrap/>
          </w:tcPr>
          <w:p w14:paraId="17C64886"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1.133.380,00</w:t>
            </w:r>
          </w:p>
        </w:tc>
      </w:tr>
      <w:bookmarkEnd w:id="75"/>
      <w:tr w:rsidR="00780985" w:rsidRPr="00780985" w14:paraId="7B8E71D2" w14:textId="77777777" w:rsidTr="00625450">
        <w:trPr>
          <w:trHeight w:val="255"/>
        </w:trPr>
        <w:tc>
          <w:tcPr>
            <w:tcW w:w="4222" w:type="dxa"/>
            <w:tcBorders>
              <w:bottom w:val="single" w:sz="4" w:space="0" w:color="auto"/>
            </w:tcBorders>
            <w:shd w:val="clear" w:color="auto" w:fill="FFFFFF" w:themeFill="background1"/>
            <w:noWrap/>
          </w:tcPr>
          <w:p w14:paraId="1D7E724B" w14:textId="77777777" w:rsidR="002B38A3" w:rsidRPr="00780985" w:rsidRDefault="002B38A3" w:rsidP="00780985">
            <w:pPr>
              <w:rPr>
                <w:rFonts w:ascii="Arial" w:hAnsi="Arial" w:cs="Arial"/>
                <w:sz w:val="20"/>
                <w:szCs w:val="20"/>
              </w:rPr>
            </w:pPr>
            <w:r w:rsidRPr="00780985">
              <w:rPr>
                <w:rFonts w:ascii="Arial" w:hAnsi="Arial" w:cs="Arial"/>
                <w:sz w:val="20"/>
                <w:szCs w:val="20"/>
              </w:rPr>
              <w:t>Izvor 1.1.003 OPĆI PRIHODI I PRIMICI - REZULTAT</w:t>
            </w:r>
          </w:p>
        </w:tc>
        <w:tc>
          <w:tcPr>
            <w:tcW w:w="1698" w:type="dxa"/>
            <w:tcBorders>
              <w:bottom w:val="single" w:sz="4" w:space="0" w:color="auto"/>
            </w:tcBorders>
            <w:shd w:val="clear" w:color="auto" w:fill="FFFFFF" w:themeFill="background1"/>
            <w:noWrap/>
          </w:tcPr>
          <w:p w14:paraId="16F37B78"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0,00</w:t>
            </w:r>
          </w:p>
        </w:tc>
        <w:tc>
          <w:tcPr>
            <w:tcW w:w="1550" w:type="dxa"/>
            <w:tcBorders>
              <w:bottom w:val="single" w:sz="4" w:space="0" w:color="auto"/>
            </w:tcBorders>
            <w:shd w:val="clear" w:color="auto" w:fill="FFFFFF" w:themeFill="background1"/>
            <w:noWrap/>
          </w:tcPr>
          <w:p w14:paraId="15D4645E"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2.718,00</w:t>
            </w:r>
          </w:p>
        </w:tc>
        <w:tc>
          <w:tcPr>
            <w:tcW w:w="0" w:type="auto"/>
            <w:tcBorders>
              <w:bottom w:val="single" w:sz="4" w:space="0" w:color="auto"/>
            </w:tcBorders>
            <w:shd w:val="clear" w:color="auto" w:fill="FFFFFF" w:themeFill="background1"/>
            <w:noWrap/>
          </w:tcPr>
          <w:p w14:paraId="101B1F5A"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2.718,00</w:t>
            </w:r>
          </w:p>
        </w:tc>
      </w:tr>
      <w:tr w:rsidR="00780985" w:rsidRPr="00780985" w14:paraId="3988306C" w14:textId="77777777" w:rsidTr="00625450">
        <w:trPr>
          <w:trHeight w:val="255"/>
        </w:trPr>
        <w:tc>
          <w:tcPr>
            <w:tcW w:w="4222" w:type="dxa"/>
            <w:shd w:val="clear" w:color="auto" w:fill="D0CECE" w:themeFill="background2" w:themeFillShade="E6"/>
            <w:noWrap/>
          </w:tcPr>
          <w:p w14:paraId="22B172FC" w14:textId="77777777" w:rsidR="002B38A3" w:rsidRPr="00780985" w:rsidRDefault="002B38A3" w:rsidP="00780985">
            <w:pPr>
              <w:rPr>
                <w:rFonts w:ascii="Arial" w:hAnsi="Arial" w:cs="Arial"/>
                <w:sz w:val="20"/>
                <w:szCs w:val="20"/>
              </w:rPr>
            </w:pPr>
            <w:r w:rsidRPr="00780985">
              <w:rPr>
                <w:rFonts w:ascii="Arial" w:hAnsi="Arial" w:cs="Arial"/>
                <w:sz w:val="20"/>
                <w:szCs w:val="20"/>
              </w:rPr>
              <w:t>Izvor 3. VLASTITI PRIHODI</w:t>
            </w:r>
          </w:p>
        </w:tc>
        <w:tc>
          <w:tcPr>
            <w:tcW w:w="1698" w:type="dxa"/>
            <w:tcBorders>
              <w:bottom w:val="single" w:sz="4" w:space="0" w:color="auto"/>
            </w:tcBorders>
            <w:shd w:val="clear" w:color="auto" w:fill="D0CECE" w:themeFill="background2" w:themeFillShade="E6"/>
            <w:noWrap/>
          </w:tcPr>
          <w:p w14:paraId="0C950464"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c>
          <w:tcPr>
            <w:tcW w:w="1550" w:type="dxa"/>
            <w:tcBorders>
              <w:bottom w:val="single" w:sz="4" w:space="0" w:color="auto"/>
            </w:tcBorders>
            <w:shd w:val="clear" w:color="auto" w:fill="D0CECE" w:themeFill="background2" w:themeFillShade="E6"/>
            <w:noWrap/>
          </w:tcPr>
          <w:p w14:paraId="4BD637CF" w14:textId="77777777" w:rsidR="002B38A3" w:rsidRPr="00780985" w:rsidRDefault="002B38A3" w:rsidP="00780985">
            <w:pPr>
              <w:jc w:val="right"/>
              <w:rPr>
                <w:rFonts w:ascii="Arial" w:hAnsi="Arial" w:cs="Arial"/>
                <w:sz w:val="20"/>
                <w:szCs w:val="20"/>
              </w:rPr>
            </w:pPr>
            <w:r w:rsidRPr="00780985">
              <w:rPr>
                <w:rFonts w:ascii="Arial" w:hAnsi="Arial" w:cs="Arial"/>
                <w:bCs/>
                <w:sz w:val="20"/>
                <w:szCs w:val="20"/>
              </w:rPr>
              <w:t>0,00</w:t>
            </w:r>
          </w:p>
        </w:tc>
        <w:tc>
          <w:tcPr>
            <w:tcW w:w="0" w:type="auto"/>
            <w:tcBorders>
              <w:bottom w:val="single" w:sz="4" w:space="0" w:color="auto"/>
            </w:tcBorders>
            <w:shd w:val="clear" w:color="auto" w:fill="D0CECE" w:themeFill="background2" w:themeFillShade="E6"/>
            <w:noWrap/>
          </w:tcPr>
          <w:p w14:paraId="7427E4FA"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r>
      <w:tr w:rsidR="00780985" w:rsidRPr="00780985" w14:paraId="55E709C6" w14:textId="77777777" w:rsidTr="00625450">
        <w:trPr>
          <w:trHeight w:val="255"/>
        </w:trPr>
        <w:tc>
          <w:tcPr>
            <w:tcW w:w="4222" w:type="dxa"/>
            <w:shd w:val="clear" w:color="auto" w:fill="E7E6E6" w:themeFill="background2"/>
            <w:noWrap/>
          </w:tcPr>
          <w:p w14:paraId="38B684C3" w14:textId="77777777" w:rsidR="002B38A3" w:rsidRPr="00780985" w:rsidRDefault="002B38A3" w:rsidP="00780985">
            <w:pPr>
              <w:rPr>
                <w:rFonts w:ascii="Arial" w:hAnsi="Arial" w:cs="Arial"/>
                <w:sz w:val="20"/>
                <w:szCs w:val="20"/>
              </w:rPr>
            </w:pPr>
            <w:r w:rsidRPr="00780985">
              <w:rPr>
                <w:rFonts w:ascii="Arial" w:hAnsi="Arial" w:cs="Arial"/>
                <w:sz w:val="20"/>
                <w:szCs w:val="20"/>
              </w:rPr>
              <w:t>Izvor 3.9. VLASTITI PRIHODI</w:t>
            </w:r>
          </w:p>
        </w:tc>
        <w:tc>
          <w:tcPr>
            <w:tcW w:w="1698" w:type="dxa"/>
            <w:tcBorders>
              <w:bottom w:val="single" w:sz="4" w:space="0" w:color="auto"/>
            </w:tcBorders>
            <w:shd w:val="clear" w:color="auto" w:fill="E7E6E6" w:themeFill="background2"/>
            <w:noWrap/>
          </w:tcPr>
          <w:p w14:paraId="4D100B66"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c>
          <w:tcPr>
            <w:tcW w:w="1550" w:type="dxa"/>
            <w:tcBorders>
              <w:bottom w:val="single" w:sz="4" w:space="0" w:color="auto"/>
            </w:tcBorders>
            <w:shd w:val="clear" w:color="auto" w:fill="E7E6E6" w:themeFill="background2"/>
            <w:noWrap/>
          </w:tcPr>
          <w:p w14:paraId="7B922ABB"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0,00</w:t>
            </w:r>
          </w:p>
        </w:tc>
        <w:tc>
          <w:tcPr>
            <w:tcW w:w="0" w:type="auto"/>
            <w:tcBorders>
              <w:bottom w:val="single" w:sz="4" w:space="0" w:color="auto"/>
            </w:tcBorders>
            <w:shd w:val="clear" w:color="auto" w:fill="E7E6E6" w:themeFill="background2"/>
            <w:noWrap/>
          </w:tcPr>
          <w:p w14:paraId="317E509B"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r>
      <w:tr w:rsidR="00780985" w:rsidRPr="00780985" w14:paraId="4E1C551E" w14:textId="77777777" w:rsidTr="00625450">
        <w:trPr>
          <w:trHeight w:val="255"/>
        </w:trPr>
        <w:tc>
          <w:tcPr>
            <w:tcW w:w="4222" w:type="dxa"/>
            <w:tcBorders>
              <w:bottom w:val="single" w:sz="4" w:space="0" w:color="auto"/>
            </w:tcBorders>
            <w:noWrap/>
          </w:tcPr>
          <w:p w14:paraId="1B6EC500" w14:textId="77777777" w:rsidR="002B38A3" w:rsidRPr="00780985" w:rsidRDefault="002B38A3" w:rsidP="00780985">
            <w:pPr>
              <w:rPr>
                <w:rFonts w:ascii="Arial" w:hAnsi="Arial" w:cs="Arial"/>
                <w:sz w:val="20"/>
                <w:szCs w:val="20"/>
              </w:rPr>
            </w:pPr>
            <w:r w:rsidRPr="00780985">
              <w:rPr>
                <w:rFonts w:ascii="Arial" w:hAnsi="Arial" w:cs="Arial"/>
                <w:sz w:val="20"/>
                <w:szCs w:val="20"/>
              </w:rPr>
              <w:t>Izvor 3.9.000001 3. VLASTITI PRIHODI – PRIHODI KORISNIKA</w:t>
            </w:r>
          </w:p>
        </w:tc>
        <w:tc>
          <w:tcPr>
            <w:tcW w:w="1698" w:type="dxa"/>
            <w:tcBorders>
              <w:bottom w:val="single" w:sz="4" w:space="0" w:color="auto"/>
            </w:tcBorders>
            <w:shd w:val="clear" w:color="auto" w:fill="auto"/>
            <w:noWrap/>
          </w:tcPr>
          <w:p w14:paraId="03886333"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c>
          <w:tcPr>
            <w:tcW w:w="1550" w:type="dxa"/>
            <w:tcBorders>
              <w:bottom w:val="single" w:sz="4" w:space="0" w:color="auto"/>
            </w:tcBorders>
            <w:shd w:val="clear" w:color="auto" w:fill="auto"/>
            <w:noWrap/>
          </w:tcPr>
          <w:p w14:paraId="225258F8" w14:textId="77777777" w:rsidR="002B38A3" w:rsidRPr="00780985" w:rsidRDefault="002B38A3" w:rsidP="00780985">
            <w:pPr>
              <w:jc w:val="right"/>
              <w:rPr>
                <w:rFonts w:ascii="Arial" w:hAnsi="Arial" w:cs="Arial"/>
                <w:sz w:val="20"/>
                <w:szCs w:val="20"/>
              </w:rPr>
            </w:pPr>
            <w:r w:rsidRPr="00780985">
              <w:rPr>
                <w:rFonts w:ascii="Arial" w:hAnsi="Arial" w:cs="Arial"/>
                <w:bCs/>
                <w:sz w:val="20"/>
                <w:szCs w:val="20"/>
              </w:rPr>
              <w:t>0,00</w:t>
            </w:r>
          </w:p>
        </w:tc>
        <w:tc>
          <w:tcPr>
            <w:tcW w:w="0" w:type="auto"/>
            <w:tcBorders>
              <w:bottom w:val="single" w:sz="4" w:space="0" w:color="auto"/>
            </w:tcBorders>
            <w:shd w:val="clear" w:color="auto" w:fill="auto"/>
            <w:noWrap/>
          </w:tcPr>
          <w:p w14:paraId="4C2BF9D6"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r>
      <w:tr w:rsidR="00780985" w:rsidRPr="00780985" w14:paraId="39B6CE43" w14:textId="77777777" w:rsidTr="00625450">
        <w:trPr>
          <w:trHeight w:val="255"/>
        </w:trPr>
        <w:tc>
          <w:tcPr>
            <w:tcW w:w="4222" w:type="dxa"/>
            <w:tcBorders>
              <w:bottom w:val="single" w:sz="4" w:space="0" w:color="auto"/>
            </w:tcBorders>
            <w:shd w:val="clear" w:color="auto" w:fill="D0CECE" w:themeFill="background2" w:themeFillShade="E6"/>
            <w:noWrap/>
          </w:tcPr>
          <w:p w14:paraId="2FFA3997" w14:textId="77777777" w:rsidR="002B38A3" w:rsidRPr="00780985" w:rsidRDefault="002B38A3" w:rsidP="00780985">
            <w:pPr>
              <w:rPr>
                <w:rFonts w:ascii="Arial" w:hAnsi="Arial" w:cs="Arial"/>
                <w:bCs/>
                <w:sz w:val="20"/>
                <w:szCs w:val="20"/>
              </w:rPr>
            </w:pPr>
            <w:r w:rsidRPr="00780985">
              <w:rPr>
                <w:rFonts w:ascii="Arial" w:hAnsi="Arial" w:cs="Arial"/>
                <w:sz w:val="20"/>
                <w:szCs w:val="20"/>
              </w:rPr>
              <w:t>Izvor 4. PRIHODI ZA POSEBNE NAMJENE</w:t>
            </w:r>
          </w:p>
        </w:tc>
        <w:tc>
          <w:tcPr>
            <w:tcW w:w="1698" w:type="dxa"/>
            <w:tcBorders>
              <w:bottom w:val="single" w:sz="4" w:space="0" w:color="auto"/>
            </w:tcBorders>
            <w:shd w:val="clear" w:color="auto" w:fill="D0CECE" w:themeFill="background2" w:themeFillShade="E6"/>
            <w:noWrap/>
          </w:tcPr>
          <w:p w14:paraId="2D801998"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672.500,00</w:t>
            </w:r>
          </w:p>
        </w:tc>
        <w:tc>
          <w:tcPr>
            <w:tcW w:w="1550" w:type="dxa"/>
            <w:tcBorders>
              <w:bottom w:val="single" w:sz="4" w:space="0" w:color="auto"/>
            </w:tcBorders>
            <w:shd w:val="clear" w:color="auto" w:fill="D0CECE" w:themeFill="background2" w:themeFillShade="E6"/>
            <w:noWrap/>
          </w:tcPr>
          <w:p w14:paraId="2662977D"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-44.837,00</w:t>
            </w:r>
          </w:p>
        </w:tc>
        <w:tc>
          <w:tcPr>
            <w:tcW w:w="0" w:type="auto"/>
            <w:tcBorders>
              <w:bottom w:val="single" w:sz="4" w:space="0" w:color="auto"/>
            </w:tcBorders>
            <w:shd w:val="clear" w:color="auto" w:fill="D0CECE" w:themeFill="background2" w:themeFillShade="E6"/>
            <w:noWrap/>
          </w:tcPr>
          <w:p w14:paraId="2F5A63E3"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627.663,00</w:t>
            </w:r>
          </w:p>
        </w:tc>
      </w:tr>
      <w:tr w:rsidR="00780985" w:rsidRPr="00780985" w14:paraId="43BC2503" w14:textId="77777777" w:rsidTr="00625450">
        <w:trPr>
          <w:trHeight w:val="255"/>
        </w:trPr>
        <w:tc>
          <w:tcPr>
            <w:tcW w:w="4222" w:type="dxa"/>
            <w:tcBorders>
              <w:bottom w:val="single" w:sz="4" w:space="0" w:color="auto"/>
            </w:tcBorders>
            <w:shd w:val="clear" w:color="auto" w:fill="E7E6E6" w:themeFill="background2"/>
            <w:noWrap/>
          </w:tcPr>
          <w:p w14:paraId="3513AF2A" w14:textId="77777777" w:rsidR="002B38A3" w:rsidRPr="00780985" w:rsidRDefault="002B38A3" w:rsidP="00780985">
            <w:pPr>
              <w:rPr>
                <w:rFonts w:ascii="Arial" w:hAnsi="Arial" w:cs="Arial"/>
                <w:sz w:val="20"/>
                <w:szCs w:val="20"/>
              </w:rPr>
            </w:pPr>
            <w:r w:rsidRPr="00780985">
              <w:rPr>
                <w:rFonts w:ascii="Arial" w:hAnsi="Arial" w:cs="Arial"/>
                <w:sz w:val="20"/>
                <w:szCs w:val="20"/>
              </w:rPr>
              <w:t>Izvor 4.9. PRIHODI ZA POSEBNE NAMJENE</w:t>
            </w:r>
          </w:p>
        </w:tc>
        <w:tc>
          <w:tcPr>
            <w:tcW w:w="1698" w:type="dxa"/>
            <w:tcBorders>
              <w:bottom w:val="single" w:sz="4" w:space="0" w:color="auto"/>
            </w:tcBorders>
            <w:shd w:val="clear" w:color="auto" w:fill="E7E6E6" w:themeFill="background2"/>
            <w:noWrap/>
          </w:tcPr>
          <w:p w14:paraId="4F33BB65"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672.500,00</w:t>
            </w:r>
          </w:p>
        </w:tc>
        <w:tc>
          <w:tcPr>
            <w:tcW w:w="1550" w:type="dxa"/>
            <w:tcBorders>
              <w:bottom w:val="single" w:sz="4" w:space="0" w:color="auto"/>
            </w:tcBorders>
            <w:shd w:val="clear" w:color="auto" w:fill="E7E6E6" w:themeFill="background2"/>
            <w:noWrap/>
          </w:tcPr>
          <w:p w14:paraId="0EA8E311"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-44.837,00</w:t>
            </w:r>
          </w:p>
        </w:tc>
        <w:tc>
          <w:tcPr>
            <w:tcW w:w="0" w:type="auto"/>
            <w:tcBorders>
              <w:bottom w:val="single" w:sz="4" w:space="0" w:color="auto"/>
            </w:tcBorders>
            <w:shd w:val="clear" w:color="auto" w:fill="E7E6E6" w:themeFill="background2"/>
            <w:noWrap/>
          </w:tcPr>
          <w:p w14:paraId="001BC0B2"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627.663,00</w:t>
            </w:r>
          </w:p>
        </w:tc>
      </w:tr>
      <w:tr w:rsidR="00780985" w:rsidRPr="00780985" w14:paraId="11CB4A30" w14:textId="77777777" w:rsidTr="00625450">
        <w:trPr>
          <w:trHeight w:val="255"/>
        </w:trPr>
        <w:tc>
          <w:tcPr>
            <w:tcW w:w="4222" w:type="dxa"/>
            <w:tcBorders>
              <w:bottom w:val="single" w:sz="4" w:space="0" w:color="auto"/>
            </w:tcBorders>
            <w:shd w:val="clear" w:color="auto" w:fill="FFFFFF" w:themeFill="background1"/>
            <w:noWrap/>
          </w:tcPr>
          <w:p w14:paraId="23E4AE59" w14:textId="77777777" w:rsidR="002B38A3" w:rsidRPr="00780985" w:rsidRDefault="002B38A3" w:rsidP="00780985">
            <w:pPr>
              <w:rPr>
                <w:rFonts w:ascii="Arial" w:hAnsi="Arial" w:cs="Arial"/>
                <w:bCs/>
                <w:sz w:val="20"/>
                <w:szCs w:val="20"/>
              </w:rPr>
            </w:pPr>
            <w:r w:rsidRPr="00780985">
              <w:rPr>
                <w:rFonts w:ascii="Arial" w:hAnsi="Arial" w:cs="Arial"/>
                <w:sz w:val="20"/>
                <w:szCs w:val="20"/>
              </w:rPr>
              <w:t>Izvor 4.9.000001 4.PRIHODI ZA POSEBNE NAMJENE - PRIHODI KORISNIKA</w:t>
            </w:r>
          </w:p>
        </w:tc>
        <w:tc>
          <w:tcPr>
            <w:tcW w:w="1698" w:type="dxa"/>
            <w:tcBorders>
              <w:bottom w:val="single" w:sz="4" w:space="0" w:color="auto"/>
            </w:tcBorders>
            <w:shd w:val="clear" w:color="auto" w:fill="FFFFFF" w:themeFill="background1"/>
            <w:noWrap/>
          </w:tcPr>
          <w:p w14:paraId="17014E6C"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672.500,00</w:t>
            </w:r>
          </w:p>
        </w:tc>
        <w:tc>
          <w:tcPr>
            <w:tcW w:w="1550" w:type="dxa"/>
            <w:tcBorders>
              <w:bottom w:val="single" w:sz="4" w:space="0" w:color="auto"/>
            </w:tcBorders>
            <w:shd w:val="clear" w:color="auto" w:fill="FFFFFF" w:themeFill="background1"/>
            <w:noWrap/>
          </w:tcPr>
          <w:p w14:paraId="282A40A7"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-66.100,00</w:t>
            </w:r>
          </w:p>
        </w:tc>
        <w:tc>
          <w:tcPr>
            <w:tcW w:w="0" w:type="auto"/>
            <w:tcBorders>
              <w:bottom w:val="single" w:sz="4" w:space="0" w:color="auto"/>
            </w:tcBorders>
            <w:shd w:val="clear" w:color="auto" w:fill="FFFFFF" w:themeFill="background1"/>
            <w:noWrap/>
          </w:tcPr>
          <w:p w14:paraId="77FF2214"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606.400,00</w:t>
            </w:r>
          </w:p>
        </w:tc>
      </w:tr>
      <w:tr w:rsidR="00780985" w:rsidRPr="00780985" w14:paraId="49056F8E" w14:textId="77777777" w:rsidTr="00625450">
        <w:trPr>
          <w:trHeight w:val="255"/>
        </w:trPr>
        <w:tc>
          <w:tcPr>
            <w:tcW w:w="4222" w:type="dxa"/>
            <w:tcBorders>
              <w:bottom w:val="single" w:sz="4" w:space="0" w:color="auto"/>
            </w:tcBorders>
            <w:shd w:val="clear" w:color="auto" w:fill="FFFFFF" w:themeFill="background1"/>
            <w:noWrap/>
          </w:tcPr>
          <w:p w14:paraId="3EE9BCB9" w14:textId="77777777" w:rsidR="002B38A3" w:rsidRPr="00780985" w:rsidRDefault="002B38A3" w:rsidP="00780985">
            <w:pPr>
              <w:rPr>
                <w:rFonts w:ascii="Arial" w:hAnsi="Arial" w:cs="Arial"/>
                <w:sz w:val="20"/>
                <w:szCs w:val="20"/>
              </w:rPr>
            </w:pPr>
            <w:r w:rsidRPr="00780985">
              <w:rPr>
                <w:rFonts w:ascii="Arial" w:hAnsi="Arial" w:cs="Arial"/>
                <w:sz w:val="20"/>
                <w:szCs w:val="20"/>
              </w:rPr>
              <w:t>Izvor 4.9.000002 4.PRIHODI ZA POSEBNE NAMJENE - REZULTAT</w:t>
            </w:r>
          </w:p>
        </w:tc>
        <w:tc>
          <w:tcPr>
            <w:tcW w:w="1698" w:type="dxa"/>
            <w:tcBorders>
              <w:bottom w:val="single" w:sz="4" w:space="0" w:color="auto"/>
            </w:tcBorders>
            <w:shd w:val="clear" w:color="auto" w:fill="FFFFFF" w:themeFill="background1"/>
            <w:noWrap/>
          </w:tcPr>
          <w:p w14:paraId="27F9E245"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c>
          <w:tcPr>
            <w:tcW w:w="1550" w:type="dxa"/>
            <w:tcBorders>
              <w:bottom w:val="single" w:sz="4" w:space="0" w:color="auto"/>
            </w:tcBorders>
            <w:shd w:val="clear" w:color="auto" w:fill="FFFFFF" w:themeFill="background1"/>
            <w:noWrap/>
          </w:tcPr>
          <w:p w14:paraId="386A3B79"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21.263,00</w:t>
            </w:r>
          </w:p>
        </w:tc>
        <w:tc>
          <w:tcPr>
            <w:tcW w:w="0" w:type="auto"/>
            <w:tcBorders>
              <w:bottom w:val="single" w:sz="4" w:space="0" w:color="auto"/>
            </w:tcBorders>
            <w:shd w:val="clear" w:color="auto" w:fill="FFFFFF" w:themeFill="background1"/>
            <w:noWrap/>
          </w:tcPr>
          <w:p w14:paraId="5E785298"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21.263,00</w:t>
            </w:r>
          </w:p>
        </w:tc>
      </w:tr>
      <w:tr w:rsidR="00780985" w:rsidRPr="00780985" w14:paraId="6B6F2E2B" w14:textId="77777777" w:rsidTr="00625450">
        <w:trPr>
          <w:trHeight w:val="255"/>
        </w:trPr>
        <w:tc>
          <w:tcPr>
            <w:tcW w:w="4222" w:type="dxa"/>
            <w:tcBorders>
              <w:bottom w:val="single" w:sz="4" w:space="0" w:color="auto"/>
            </w:tcBorders>
            <w:shd w:val="clear" w:color="auto" w:fill="D0CECE" w:themeFill="background2" w:themeFillShade="E6"/>
            <w:noWrap/>
          </w:tcPr>
          <w:p w14:paraId="7095685C" w14:textId="77777777" w:rsidR="002B38A3" w:rsidRPr="00780985" w:rsidRDefault="002B38A3" w:rsidP="00780985">
            <w:pPr>
              <w:rPr>
                <w:rFonts w:ascii="Arial" w:hAnsi="Arial" w:cs="Arial"/>
                <w:sz w:val="20"/>
                <w:szCs w:val="20"/>
              </w:rPr>
            </w:pPr>
            <w:r w:rsidRPr="00780985">
              <w:rPr>
                <w:rFonts w:ascii="Arial" w:hAnsi="Arial" w:cs="Arial"/>
                <w:sz w:val="20"/>
                <w:szCs w:val="20"/>
              </w:rPr>
              <w:t>Izvor 5. POMOĆI</w:t>
            </w:r>
          </w:p>
        </w:tc>
        <w:tc>
          <w:tcPr>
            <w:tcW w:w="1698" w:type="dxa"/>
            <w:tcBorders>
              <w:bottom w:val="single" w:sz="4" w:space="0" w:color="auto"/>
            </w:tcBorders>
            <w:shd w:val="clear" w:color="auto" w:fill="D0CECE" w:themeFill="background2" w:themeFillShade="E6"/>
            <w:noWrap/>
          </w:tcPr>
          <w:p w14:paraId="2ED18018"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c>
          <w:tcPr>
            <w:tcW w:w="1550" w:type="dxa"/>
            <w:tcBorders>
              <w:bottom w:val="single" w:sz="4" w:space="0" w:color="auto"/>
            </w:tcBorders>
            <w:shd w:val="clear" w:color="auto" w:fill="D0CECE" w:themeFill="background2" w:themeFillShade="E6"/>
            <w:noWrap/>
          </w:tcPr>
          <w:p w14:paraId="362BD723"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4.000,00</w:t>
            </w:r>
          </w:p>
        </w:tc>
        <w:tc>
          <w:tcPr>
            <w:tcW w:w="0" w:type="auto"/>
            <w:tcBorders>
              <w:bottom w:val="single" w:sz="4" w:space="0" w:color="auto"/>
            </w:tcBorders>
            <w:shd w:val="clear" w:color="auto" w:fill="D0CECE" w:themeFill="background2" w:themeFillShade="E6"/>
            <w:noWrap/>
          </w:tcPr>
          <w:p w14:paraId="4AE918F4"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4.000,00</w:t>
            </w:r>
          </w:p>
        </w:tc>
      </w:tr>
      <w:tr w:rsidR="00780985" w:rsidRPr="00780985" w14:paraId="40149AC3" w14:textId="77777777" w:rsidTr="00625450">
        <w:trPr>
          <w:trHeight w:val="255"/>
        </w:trPr>
        <w:tc>
          <w:tcPr>
            <w:tcW w:w="4222" w:type="dxa"/>
            <w:tcBorders>
              <w:bottom w:val="single" w:sz="4" w:space="0" w:color="auto"/>
            </w:tcBorders>
            <w:shd w:val="clear" w:color="auto" w:fill="E7E6E6" w:themeFill="background2"/>
            <w:noWrap/>
          </w:tcPr>
          <w:p w14:paraId="234B062F" w14:textId="77777777" w:rsidR="002B38A3" w:rsidRPr="00780985" w:rsidRDefault="002B38A3" w:rsidP="00780985">
            <w:pPr>
              <w:rPr>
                <w:rFonts w:ascii="Arial" w:hAnsi="Arial" w:cs="Arial"/>
                <w:sz w:val="20"/>
                <w:szCs w:val="20"/>
              </w:rPr>
            </w:pPr>
            <w:r w:rsidRPr="00780985">
              <w:rPr>
                <w:rFonts w:ascii="Arial" w:hAnsi="Arial" w:cs="Arial"/>
                <w:sz w:val="20"/>
                <w:szCs w:val="20"/>
              </w:rPr>
              <w:t>Izvor 5.5. POMOĆI</w:t>
            </w:r>
          </w:p>
        </w:tc>
        <w:tc>
          <w:tcPr>
            <w:tcW w:w="1698" w:type="dxa"/>
            <w:tcBorders>
              <w:bottom w:val="single" w:sz="4" w:space="0" w:color="auto"/>
            </w:tcBorders>
            <w:shd w:val="clear" w:color="auto" w:fill="E7E6E6" w:themeFill="background2"/>
            <w:noWrap/>
          </w:tcPr>
          <w:p w14:paraId="1038F58B"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c>
          <w:tcPr>
            <w:tcW w:w="1550" w:type="dxa"/>
            <w:tcBorders>
              <w:bottom w:val="single" w:sz="4" w:space="0" w:color="auto"/>
            </w:tcBorders>
            <w:shd w:val="clear" w:color="auto" w:fill="E7E6E6" w:themeFill="background2"/>
            <w:noWrap/>
          </w:tcPr>
          <w:p w14:paraId="74309F5F"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4.000,00</w:t>
            </w:r>
          </w:p>
        </w:tc>
        <w:tc>
          <w:tcPr>
            <w:tcW w:w="0" w:type="auto"/>
            <w:tcBorders>
              <w:bottom w:val="single" w:sz="4" w:space="0" w:color="auto"/>
            </w:tcBorders>
            <w:shd w:val="clear" w:color="auto" w:fill="E7E6E6" w:themeFill="background2"/>
            <w:noWrap/>
          </w:tcPr>
          <w:p w14:paraId="085F0377"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4.000,00</w:t>
            </w:r>
          </w:p>
        </w:tc>
      </w:tr>
      <w:tr w:rsidR="00780985" w:rsidRPr="00780985" w14:paraId="1BABE5CA" w14:textId="77777777" w:rsidTr="00625450">
        <w:trPr>
          <w:trHeight w:val="255"/>
        </w:trPr>
        <w:tc>
          <w:tcPr>
            <w:tcW w:w="4222" w:type="dxa"/>
            <w:tcBorders>
              <w:bottom w:val="single" w:sz="4" w:space="0" w:color="auto"/>
            </w:tcBorders>
            <w:shd w:val="clear" w:color="auto" w:fill="auto"/>
            <w:noWrap/>
          </w:tcPr>
          <w:p w14:paraId="7181FCF5" w14:textId="77777777" w:rsidR="002B38A3" w:rsidRPr="00780985" w:rsidRDefault="002B38A3" w:rsidP="00780985">
            <w:pPr>
              <w:rPr>
                <w:rFonts w:ascii="Arial" w:hAnsi="Arial" w:cs="Arial"/>
                <w:sz w:val="20"/>
                <w:szCs w:val="20"/>
              </w:rPr>
            </w:pPr>
            <w:r w:rsidRPr="00780985">
              <w:rPr>
                <w:rFonts w:ascii="Arial" w:hAnsi="Arial" w:cs="Arial"/>
                <w:sz w:val="20"/>
                <w:szCs w:val="20"/>
              </w:rPr>
              <w:t>Izvor 5.5.001 5.POMOĆI IZ ŽUPANIJSKOG PRORAČUNA</w:t>
            </w:r>
          </w:p>
        </w:tc>
        <w:tc>
          <w:tcPr>
            <w:tcW w:w="1698" w:type="dxa"/>
            <w:tcBorders>
              <w:bottom w:val="single" w:sz="4" w:space="0" w:color="auto"/>
            </w:tcBorders>
            <w:shd w:val="clear" w:color="auto" w:fill="auto"/>
            <w:noWrap/>
          </w:tcPr>
          <w:p w14:paraId="22D24635"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0,00</w:t>
            </w:r>
          </w:p>
        </w:tc>
        <w:tc>
          <w:tcPr>
            <w:tcW w:w="1550" w:type="dxa"/>
            <w:tcBorders>
              <w:bottom w:val="single" w:sz="4" w:space="0" w:color="auto"/>
            </w:tcBorders>
            <w:shd w:val="clear" w:color="auto" w:fill="auto"/>
            <w:noWrap/>
          </w:tcPr>
          <w:p w14:paraId="77DC14D3"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4.000,00</w:t>
            </w:r>
          </w:p>
        </w:tc>
        <w:tc>
          <w:tcPr>
            <w:tcW w:w="0" w:type="auto"/>
            <w:tcBorders>
              <w:bottom w:val="single" w:sz="4" w:space="0" w:color="auto"/>
            </w:tcBorders>
            <w:shd w:val="clear" w:color="auto" w:fill="auto"/>
            <w:noWrap/>
          </w:tcPr>
          <w:p w14:paraId="5117DDFC"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4.000,00</w:t>
            </w:r>
          </w:p>
        </w:tc>
      </w:tr>
      <w:tr w:rsidR="00780985" w:rsidRPr="00780985" w14:paraId="2FC8DB68" w14:textId="77777777" w:rsidTr="00625450">
        <w:trPr>
          <w:trHeight w:val="255"/>
        </w:trPr>
        <w:tc>
          <w:tcPr>
            <w:tcW w:w="4222" w:type="dxa"/>
            <w:tcBorders>
              <w:bottom w:val="single" w:sz="4" w:space="0" w:color="auto"/>
            </w:tcBorders>
            <w:shd w:val="clear" w:color="auto" w:fill="D0CECE" w:themeFill="background2" w:themeFillShade="E6"/>
            <w:noWrap/>
          </w:tcPr>
          <w:p w14:paraId="2C9B36AC" w14:textId="77777777" w:rsidR="002B38A3" w:rsidRPr="00780985" w:rsidRDefault="002B38A3" w:rsidP="00780985">
            <w:pPr>
              <w:rPr>
                <w:rFonts w:ascii="Arial" w:hAnsi="Arial" w:cs="Arial"/>
                <w:bCs/>
                <w:sz w:val="20"/>
                <w:szCs w:val="20"/>
              </w:rPr>
            </w:pPr>
            <w:r w:rsidRPr="00780985">
              <w:rPr>
                <w:rFonts w:ascii="Arial" w:hAnsi="Arial" w:cs="Arial"/>
                <w:sz w:val="20"/>
                <w:szCs w:val="20"/>
              </w:rPr>
              <w:t>Izvor 6. DONACIJE</w:t>
            </w:r>
          </w:p>
        </w:tc>
        <w:tc>
          <w:tcPr>
            <w:tcW w:w="1698" w:type="dxa"/>
            <w:tcBorders>
              <w:bottom w:val="single" w:sz="4" w:space="0" w:color="auto"/>
            </w:tcBorders>
            <w:shd w:val="clear" w:color="auto" w:fill="D0CECE" w:themeFill="background2" w:themeFillShade="E6"/>
            <w:noWrap/>
          </w:tcPr>
          <w:p w14:paraId="598D387A"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5.000,00</w:t>
            </w:r>
          </w:p>
        </w:tc>
        <w:tc>
          <w:tcPr>
            <w:tcW w:w="1550" w:type="dxa"/>
            <w:tcBorders>
              <w:bottom w:val="single" w:sz="4" w:space="0" w:color="auto"/>
            </w:tcBorders>
            <w:shd w:val="clear" w:color="auto" w:fill="D0CECE" w:themeFill="background2" w:themeFillShade="E6"/>
            <w:noWrap/>
          </w:tcPr>
          <w:p w14:paraId="19BC91EA"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0,00</w:t>
            </w:r>
          </w:p>
        </w:tc>
        <w:tc>
          <w:tcPr>
            <w:tcW w:w="0" w:type="auto"/>
            <w:tcBorders>
              <w:bottom w:val="single" w:sz="4" w:space="0" w:color="auto"/>
            </w:tcBorders>
            <w:shd w:val="clear" w:color="auto" w:fill="D0CECE" w:themeFill="background2" w:themeFillShade="E6"/>
            <w:noWrap/>
          </w:tcPr>
          <w:p w14:paraId="72367F91"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5.000,00</w:t>
            </w:r>
          </w:p>
        </w:tc>
      </w:tr>
      <w:tr w:rsidR="00780985" w:rsidRPr="00780985" w14:paraId="4543A922" w14:textId="77777777" w:rsidTr="00625450">
        <w:trPr>
          <w:trHeight w:val="255"/>
        </w:trPr>
        <w:tc>
          <w:tcPr>
            <w:tcW w:w="4222" w:type="dxa"/>
            <w:tcBorders>
              <w:bottom w:val="single" w:sz="4" w:space="0" w:color="auto"/>
            </w:tcBorders>
            <w:shd w:val="clear" w:color="auto" w:fill="E7E6E6" w:themeFill="background2"/>
            <w:noWrap/>
          </w:tcPr>
          <w:p w14:paraId="4795F6D4" w14:textId="77777777" w:rsidR="002B38A3" w:rsidRPr="00780985" w:rsidRDefault="002B38A3" w:rsidP="00780985">
            <w:pPr>
              <w:rPr>
                <w:rFonts w:ascii="Arial" w:hAnsi="Arial" w:cs="Arial"/>
                <w:sz w:val="20"/>
                <w:szCs w:val="20"/>
              </w:rPr>
            </w:pPr>
            <w:r w:rsidRPr="00780985">
              <w:rPr>
                <w:rFonts w:ascii="Arial" w:hAnsi="Arial" w:cs="Arial"/>
                <w:sz w:val="20"/>
                <w:szCs w:val="20"/>
              </w:rPr>
              <w:t>Izvor 6.9. DONACIJE</w:t>
            </w:r>
          </w:p>
        </w:tc>
        <w:tc>
          <w:tcPr>
            <w:tcW w:w="1698" w:type="dxa"/>
            <w:tcBorders>
              <w:bottom w:val="single" w:sz="4" w:space="0" w:color="auto"/>
            </w:tcBorders>
            <w:shd w:val="clear" w:color="auto" w:fill="E7E6E6" w:themeFill="background2"/>
            <w:noWrap/>
          </w:tcPr>
          <w:p w14:paraId="5F2AF8E2"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5.000,00</w:t>
            </w:r>
          </w:p>
        </w:tc>
        <w:tc>
          <w:tcPr>
            <w:tcW w:w="1550" w:type="dxa"/>
            <w:tcBorders>
              <w:bottom w:val="single" w:sz="4" w:space="0" w:color="auto"/>
            </w:tcBorders>
            <w:shd w:val="clear" w:color="auto" w:fill="E7E6E6" w:themeFill="background2"/>
            <w:noWrap/>
          </w:tcPr>
          <w:p w14:paraId="0E9AD617" w14:textId="77777777" w:rsidR="002B38A3" w:rsidRPr="00780985" w:rsidRDefault="002B38A3" w:rsidP="00780985">
            <w:pPr>
              <w:jc w:val="right"/>
              <w:rPr>
                <w:rFonts w:ascii="Arial" w:hAnsi="Arial" w:cs="Arial"/>
                <w:bCs/>
                <w:sz w:val="20"/>
                <w:szCs w:val="20"/>
              </w:rPr>
            </w:pPr>
            <w:r w:rsidRPr="00780985">
              <w:rPr>
                <w:rFonts w:ascii="Arial" w:hAnsi="Arial" w:cs="Arial"/>
                <w:bCs/>
                <w:sz w:val="20"/>
                <w:szCs w:val="20"/>
              </w:rPr>
              <w:t>0,00</w:t>
            </w:r>
          </w:p>
        </w:tc>
        <w:tc>
          <w:tcPr>
            <w:tcW w:w="0" w:type="auto"/>
            <w:tcBorders>
              <w:bottom w:val="single" w:sz="4" w:space="0" w:color="auto"/>
            </w:tcBorders>
            <w:shd w:val="clear" w:color="auto" w:fill="E7E6E6" w:themeFill="background2"/>
            <w:noWrap/>
          </w:tcPr>
          <w:p w14:paraId="6513D79E" w14:textId="77777777" w:rsidR="002B38A3" w:rsidRPr="00780985" w:rsidRDefault="002B38A3" w:rsidP="00780985">
            <w:pPr>
              <w:jc w:val="right"/>
              <w:rPr>
                <w:rFonts w:ascii="Arial" w:hAnsi="Arial" w:cs="Arial"/>
                <w:sz w:val="20"/>
                <w:szCs w:val="20"/>
              </w:rPr>
            </w:pPr>
            <w:r w:rsidRPr="00780985">
              <w:rPr>
                <w:rFonts w:ascii="Arial" w:hAnsi="Arial" w:cs="Arial"/>
                <w:sz w:val="20"/>
                <w:szCs w:val="20"/>
              </w:rPr>
              <w:t>5.000,00</w:t>
            </w:r>
          </w:p>
        </w:tc>
      </w:tr>
      <w:tr w:rsidR="00780985" w:rsidRPr="00780985" w14:paraId="6F53FEDE" w14:textId="77777777" w:rsidTr="00625450">
        <w:trPr>
          <w:trHeight w:val="255"/>
        </w:trPr>
        <w:tc>
          <w:tcPr>
            <w:tcW w:w="4222" w:type="dxa"/>
            <w:tcBorders>
              <w:bottom w:val="single" w:sz="4" w:space="0" w:color="auto"/>
            </w:tcBorders>
            <w:shd w:val="clear" w:color="auto" w:fill="FFFFFF" w:themeFill="background1"/>
            <w:noWrap/>
          </w:tcPr>
          <w:p w14:paraId="4FBC43EF" w14:textId="77777777" w:rsidR="002B38A3" w:rsidRPr="00780985" w:rsidRDefault="002B38A3" w:rsidP="00780985">
            <w:pPr>
              <w:rPr>
                <w:rFonts w:ascii="Arial" w:hAnsi="Arial" w:cs="Arial"/>
                <w:bCs/>
                <w:sz w:val="20"/>
                <w:szCs w:val="20"/>
              </w:rPr>
            </w:pPr>
            <w:r w:rsidRPr="00780985">
              <w:rPr>
                <w:rFonts w:ascii="Arial" w:hAnsi="Arial" w:cs="Arial"/>
                <w:sz w:val="20"/>
                <w:szCs w:val="20"/>
              </w:rPr>
              <w:t>Izvor 6.9.000001 6.DONACIJE - PRIHODI KORISNIKA</w:t>
            </w:r>
          </w:p>
        </w:tc>
        <w:tc>
          <w:tcPr>
            <w:tcW w:w="1698" w:type="dxa"/>
            <w:tcBorders>
              <w:bottom w:val="single" w:sz="4" w:space="0" w:color="auto"/>
            </w:tcBorders>
            <w:shd w:val="clear" w:color="auto" w:fill="FFFFFF" w:themeFill="background1"/>
            <w:noWrap/>
          </w:tcPr>
          <w:p w14:paraId="048705B7"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5.000,00</w:t>
            </w:r>
          </w:p>
        </w:tc>
        <w:tc>
          <w:tcPr>
            <w:tcW w:w="1550" w:type="dxa"/>
            <w:tcBorders>
              <w:bottom w:val="single" w:sz="4" w:space="0" w:color="auto"/>
            </w:tcBorders>
            <w:shd w:val="clear" w:color="auto" w:fill="FFFFFF" w:themeFill="background1"/>
            <w:noWrap/>
          </w:tcPr>
          <w:p w14:paraId="4AF2E172"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0,00</w:t>
            </w:r>
          </w:p>
        </w:tc>
        <w:tc>
          <w:tcPr>
            <w:tcW w:w="0" w:type="auto"/>
            <w:tcBorders>
              <w:bottom w:val="single" w:sz="4" w:space="0" w:color="auto"/>
            </w:tcBorders>
            <w:shd w:val="clear" w:color="auto" w:fill="FFFFFF" w:themeFill="background1"/>
            <w:noWrap/>
          </w:tcPr>
          <w:p w14:paraId="62BFB372" w14:textId="77777777" w:rsidR="002B38A3" w:rsidRPr="00780985" w:rsidRDefault="002B38A3" w:rsidP="00780985">
            <w:pPr>
              <w:jc w:val="right"/>
              <w:rPr>
                <w:rFonts w:ascii="Arial" w:hAnsi="Arial" w:cs="Arial"/>
                <w:bCs/>
                <w:sz w:val="20"/>
                <w:szCs w:val="20"/>
              </w:rPr>
            </w:pPr>
            <w:r w:rsidRPr="00780985">
              <w:rPr>
                <w:rFonts w:ascii="Arial" w:hAnsi="Arial" w:cs="Arial"/>
                <w:sz w:val="20"/>
                <w:szCs w:val="20"/>
              </w:rPr>
              <w:t>5.000,00</w:t>
            </w:r>
          </w:p>
        </w:tc>
      </w:tr>
    </w:tbl>
    <w:p w14:paraId="04657E6B" w14:textId="77777777" w:rsidR="002B38A3" w:rsidRDefault="002B38A3" w:rsidP="002B38A3">
      <w:pPr>
        <w:rPr>
          <w:b/>
          <w:bCs/>
        </w:rPr>
      </w:pPr>
      <w:r w:rsidRPr="00CE67D3">
        <w:rPr>
          <w:b/>
          <w:bCs/>
        </w:rPr>
        <w:t xml:space="preserve"> </w:t>
      </w:r>
    </w:p>
    <w:p w14:paraId="715C7895" w14:textId="77777777" w:rsidR="00625450" w:rsidRPr="00E2096B" w:rsidRDefault="00625450" w:rsidP="002B38A3">
      <w:pPr>
        <w:rPr>
          <w:b/>
          <w:bCs/>
        </w:rPr>
      </w:pPr>
    </w:p>
    <w:p w14:paraId="44AF7469" w14:textId="77777777" w:rsidR="002B38A3" w:rsidRPr="00780985" w:rsidRDefault="002B38A3" w:rsidP="00780985">
      <w:pPr>
        <w:spacing w:line="259" w:lineRule="auto"/>
        <w:jc w:val="both"/>
        <w:rPr>
          <w:rFonts w:ascii="Arial" w:hAnsi="Arial" w:cs="Arial"/>
          <w:b/>
          <w:bCs/>
          <w:sz w:val="22"/>
          <w:szCs w:val="22"/>
        </w:rPr>
      </w:pPr>
      <w:r w:rsidRPr="00780985">
        <w:rPr>
          <w:rFonts w:ascii="Arial" w:hAnsi="Arial" w:cs="Arial"/>
          <w:b/>
          <w:bCs/>
          <w:sz w:val="22"/>
          <w:szCs w:val="22"/>
        </w:rPr>
        <w:lastRenderedPageBreak/>
        <w:t>OBRAZLOŽENJE POSEBNOG DIJELA:</w:t>
      </w:r>
    </w:p>
    <w:p w14:paraId="1A11BA10" w14:textId="77777777" w:rsidR="002B38A3" w:rsidRPr="00780985" w:rsidRDefault="002B38A3" w:rsidP="00780985">
      <w:pPr>
        <w:pStyle w:val="Bezproreda"/>
        <w:spacing w:line="259" w:lineRule="auto"/>
        <w:jc w:val="both"/>
        <w:rPr>
          <w:rFonts w:ascii="Arial" w:hAnsi="Arial" w:cs="Arial"/>
          <w:b/>
          <w:bCs/>
        </w:rPr>
      </w:pPr>
    </w:p>
    <w:p w14:paraId="351BAA17" w14:textId="77777777" w:rsidR="002B38A3" w:rsidRPr="00780985" w:rsidRDefault="002B38A3" w:rsidP="00780985">
      <w:pPr>
        <w:pStyle w:val="Bezproreda"/>
        <w:spacing w:line="259" w:lineRule="auto"/>
        <w:jc w:val="both"/>
        <w:rPr>
          <w:rFonts w:ascii="Arial" w:hAnsi="Arial" w:cs="Arial"/>
          <w:b/>
          <w:bCs/>
        </w:rPr>
      </w:pPr>
      <w:r w:rsidRPr="00780985">
        <w:rPr>
          <w:rFonts w:ascii="Arial" w:hAnsi="Arial" w:cs="Arial"/>
          <w:b/>
          <w:bCs/>
        </w:rPr>
        <w:t>OBRAZLOŽENJE PROGRAMA I AKTIVNOSTI</w:t>
      </w:r>
    </w:p>
    <w:p w14:paraId="015909A1" w14:textId="77777777" w:rsidR="002B38A3" w:rsidRPr="00780985" w:rsidRDefault="002B38A3" w:rsidP="00780985">
      <w:pPr>
        <w:spacing w:line="259" w:lineRule="auto"/>
        <w:jc w:val="both"/>
        <w:rPr>
          <w:rFonts w:ascii="Arial" w:hAnsi="Arial" w:cs="Arial"/>
          <w:b/>
          <w:bCs/>
          <w:sz w:val="22"/>
          <w:szCs w:val="22"/>
        </w:rPr>
      </w:pPr>
    </w:p>
    <w:p w14:paraId="4FD30DB9" w14:textId="77777777" w:rsidR="002B38A3" w:rsidRPr="00780985" w:rsidRDefault="002B38A3" w:rsidP="00780985">
      <w:pPr>
        <w:spacing w:line="259" w:lineRule="auto"/>
        <w:jc w:val="both"/>
        <w:rPr>
          <w:rFonts w:ascii="Arial" w:hAnsi="Arial" w:cs="Arial"/>
          <w:b/>
          <w:bCs/>
          <w:sz w:val="22"/>
          <w:szCs w:val="22"/>
        </w:rPr>
      </w:pPr>
      <w:r w:rsidRPr="00780985">
        <w:rPr>
          <w:rFonts w:ascii="Arial" w:hAnsi="Arial" w:cs="Arial"/>
          <w:b/>
          <w:bCs/>
          <w:sz w:val="22"/>
          <w:szCs w:val="22"/>
        </w:rPr>
        <w:t>Zakonske i druge pravne osnove</w:t>
      </w:r>
    </w:p>
    <w:p w14:paraId="6EC260CD" w14:textId="77777777" w:rsidR="002B38A3" w:rsidRPr="00780985" w:rsidRDefault="002B38A3" w:rsidP="00780985">
      <w:pPr>
        <w:spacing w:line="259" w:lineRule="auto"/>
        <w:jc w:val="both"/>
        <w:rPr>
          <w:rFonts w:ascii="Arial" w:hAnsi="Arial" w:cs="Arial"/>
          <w:b/>
          <w:bCs/>
          <w:sz w:val="22"/>
          <w:szCs w:val="22"/>
        </w:rPr>
      </w:pPr>
    </w:p>
    <w:p w14:paraId="320881AC" w14:textId="66E67EAB" w:rsidR="002B38A3" w:rsidRPr="00780985" w:rsidRDefault="002B38A3">
      <w:pPr>
        <w:pStyle w:val="Odlomakpopisa"/>
        <w:numPr>
          <w:ilvl w:val="0"/>
          <w:numId w:val="31"/>
        </w:numPr>
        <w:spacing w:line="259" w:lineRule="auto"/>
        <w:rPr>
          <w:rFonts w:ascii="Arial" w:hAnsi="Arial" w:cs="Arial"/>
          <w:szCs w:val="22"/>
        </w:rPr>
      </w:pPr>
      <w:r w:rsidRPr="00780985">
        <w:rPr>
          <w:rFonts w:ascii="Arial" w:hAnsi="Arial" w:cs="Arial"/>
          <w:szCs w:val="22"/>
        </w:rPr>
        <w:t>Zakon o socijalnoj skrbi (NN 18/22, 46/22, 119/22, 71/23, 156/23, 61/25)</w:t>
      </w:r>
    </w:p>
    <w:p w14:paraId="0B637E3A" w14:textId="7E287FD3" w:rsidR="002B38A3" w:rsidRPr="00780985" w:rsidRDefault="002B38A3">
      <w:pPr>
        <w:pStyle w:val="Odlomakpopisa"/>
        <w:numPr>
          <w:ilvl w:val="0"/>
          <w:numId w:val="31"/>
        </w:numPr>
        <w:spacing w:line="259" w:lineRule="auto"/>
        <w:rPr>
          <w:rFonts w:ascii="Arial" w:hAnsi="Arial" w:cs="Arial"/>
          <w:szCs w:val="22"/>
        </w:rPr>
      </w:pPr>
      <w:r w:rsidRPr="00780985">
        <w:rPr>
          <w:rFonts w:ascii="Arial" w:hAnsi="Arial" w:cs="Arial"/>
          <w:szCs w:val="22"/>
        </w:rPr>
        <w:t>Pravilnik o mjerilima za pružanje socijalnih usluga (NN 110/22, 58/24)</w:t>
      </w:r>
    </w:p>
    <w:p w14:paraId="02EE2947" w14:textId="6EB4F7A3" w:rsidR="002B38A3" w:rsidRPr="00780985" w:rsidRDefault="002B38A3">
      <w:pPr>
        <w:pStyle w:val="Odlomakpopisa"/>
        <w:numPr>
          <w:ilvl w:val="0"/>
          <w:numId w:val="31"/>
        </w:numPr>
        <w:spacing w:line="259" w:lineRule="auto"/>
        <w:rPr>
          <w:rFonts w:ascii="Arial" w:hAnsi="Arial" w:cs="Arial"/>
          <w:szCs w:val="22"/>
        </w:rPr>
      </w:pPr>
      <w:r w:rsidRPr="00780985">
        <w:rPr>
          <w:rFonts w:ascii="Arial" w:hAnsi="Arial" w:cs="Arial"/>
          <w:szCs w:val="22"/>
        </w:rPr>
        <w:t xml:space="preserve">Pravilnik o minimalnim uvjetima za pružanje socijalnih usluga (NN 40/14, 66/15, 56/20, 28/21, 144/21),  </w:t>
      </w:r>
    </w:p>
    <w:p w14:paraId="05B230BC" w14:textId="3330A98F" w:rsidR="002B38A3" w:rsidRPr="00780985" w:rsidRDefault="002B38A3">
      <w:pPr>
        <w:pStyle w:val="Odlomakpopisa"/>
        <w:numPr>
          <w:ilvl w:val="0"/>
          <w:numId w:val="31"/>
        </w:numPr>
        <w:spacing w:line="259" w:lineRule="auto"/>
        <w:rPr>
          <w:rFonts w:ascii="Arial" w:hAnsi="Arial" w:cs="Arial"/>
          <w:szCs w:val="22"/>
        </w:rPr>
      </w:pPr>
      <w:r w:rsidRPr="00780985">
        <w:rPr>
          <w:rFonts w:ascii="Arial" w:hAnsi="Arial" w:cs="Arial"/>
          <w:szCs w:val="22"/>
        </w:rPr>
        <w:t>Pravilnik o standardima kvalitete socijalnih usluga (NN 31/23)</w:t>
      </w:r>
    </w:p>
    <w:p w14:paraId="200448A9" w14:textId="52173D2C" w:rsidR="002B38A3" w:rsidRPr="00780985" w:rsidRDefault="002B38A3">
      <w:pPr>
        <w:pStyle w:val="Odlomakpopisa"/>
        <w:numPr>
          <w:ilvl w:val="0"/>
          <w:numId w:val="31"/>
        </w:numPr>
        <w:spacing w:line="259" w:lineRule="auto"/>
        <w:rPr>
          <w:rFonts w:ascii="Arial" w:hAnsi="Arial" w:cs="Arial"/>
          <w:szCs w:val="22"/>
        </w:rPr>
      </w:pPr>
      <w:r w:rsidRPr="00780985">
        <w:rPr>
          <w:rFonts w:ascii="Arial" w:hAnsi="Arial" w:cs="Arial"/>
          <w:szCs w:val="22"/>
        </w:rPr>
        <w:t xml:space="preserve">Zakonu o ustanovama (NN 76/93, 29/97, 47/99, 35/08, 127/19, 151/22) </w:t>
      </w:r>
    </w:p>
    <w:p w14:paraId="5F6433E1" w14:textId="2F2EE442" w:rsidR="002B38A3" w:rsidRPr="00780985" w:rsidRDefault="002B38A3">
      <w:pPr>
        <w:pStyle w:val="Odlomakpopisa"/>
        <w:numPr>
          <w:ilvl w:val="0"/>
          <w:numId w:val="31"/>
        </w:numPr>
        <w:spacing w:line="259" w:lineRule="auto"/>
        <w:rPr>
          <w:rFonts w:ascii="Arial" w:hAnsi="Arial" w:cs="Arial"/>
          <w:szCs w:val="22"/>
        </w:rPr>
      </w:pPr>
      <w:r w:rsidRPr="00780985">
        <w:rPr>
          <w:rFonts w:ascii="Arial" w:hAnsi="Arial" w:cs="Arial"/>
          <w:szCs w:val="22"/>
        </w:rPr>
        <w:t>Zakonu o javnoj nabavi (NN 120/16, 114/22)</w:t>
      </w:r>
    </w:p>
    <w:p w14:paraId="22272E0C" w14:textId="7D92204E" w:rsidR="002B38A3" w:rsidRPr="00780985" w:rsidRDefault="002B38A3">
      <w:pPr>
        <w:pStyle w:val="Odlomakpopisa"/>
        <w:numPr>
          <w:ilvl w:val="0"/>
          <w:numId w:val="31"/>
        </w:numPr>
        <w:spacing w:line="259" w:lineRule="auto"/>
        <w:rPr>
          <w:rFonts w:ascii="Arial" w:hAnsi="Arial" w:cs="Arial"/>
          <w:szCs w:val="22"/>
        </w:rPr>
      </w:pPr>
      <w:r w:rsidRPr="00780985">
        <w:rPr>
          <w:rFonts w:ascii="Arial" w:hAnsi="Arial" w:cs="Arial"/>
          <w:szCs w:val="22"/>
        </w:rPr>
        <w:t>Statut Doma za starije osobe Labin</w:t>
      </w:r>
    </w:p>
    <w:p w14:paraId="541E4259" w14:textId="77777777" w:rsidR="002B38A3" w:rsidRPr="00780985" w:rsidRDefault="002B38A3" w:rsidP="00780985">
      <w:pPr>
        <w:spacing w:line="259" w:lineRule="auto"/>
        <w:jc w:val="both"/>
        <w:rPr>
          <w:rFonts w:ascii="Arial" w:hAnsi="Arial" w:cs="Arial"/>
          <w:sz w:val="22"/>
          <w:szCs w:val="22"/>
        </w:rPr>
      </w:pPr>
    </w:p>
    <w:p w14:paraId="27E42ED2" w14:textId="77777777" w:rsidR="002B38A3" w:rsidRPr="00780985" w:rsidRDefault="002B38A3" w:rsidP="00780985">
      <w:pPr>
        <w:spacing w:line="259" w:lineRule="auto"/>
        <w:jc w:val="both"/>
        <w:rPr>
          <w:rFonts w:ascii="Arial" w:hAnsi="Arial" w:cs="Arial"/>
          <w:b/>
          <w:bCs/>
          <w:sz w:val="22"/>
          <w:szCs w:val="22"/>
        </w:rPr>
      </w:pPr>
      <w:r w:rsidRPr="00780985">
        <w:rPr>
          <w:rFonts w:ascii="Arial" w:hAnsi="Arial" w:cs="Arial"/>
          <w:b/>
          <w:bCs/>
          <w:sz w:val="22"/>
          <w:szCs w:val="22"/>
        </w:rPr>
        <w:t>Program: Socijalna skrb sa smještajem</w:t>
      </w:r>
    </w:p>
    <w:p w14:paraId="77E4E3A3" w14:textId="77777777" w:rsidR="002B38A3" w:rsidRPr="00780985" w:rsidRDefault="002B38A3" w:rsidP="00780985">
      <w:pPr>
        <w:spacing w:line="259" w:lineRule="auto"/>
        <w:jc w:val="both"/>
        <w:rPr>
          <w:rFonts w:ascii="Arial" w:hAnsi="Arial" w:cs="Arial"/>
          <w:b/>
          <w:bCs/>
          <w:sz w:val="22"/>
          <w:szCs w:val="22"/>
          <w:u w:val="single"/>
        </w:rPr>
      </w:pPr>
      <w:r w:rsidRPr="00780985">
        <w:rPr>
          <w:rFonts w:ascii="Arial" w:hAnsi="Arial" w:cs="Arial"/>
          <w:b/>
          <w:bCs/>
          <w:sz w:val="22"/>
          <w:szCs w:val="22"/>
          <w:u w:val="single"/>
        </w:rPr>
        <w:t>Opis i cilj programa:</w:t>
      </w:r>
    </w:p>
    <w:p w14:paraId="22FDCAA5" w14:textId="77777777" w:rsidR="002B38A3" w:rsidRPr="00780985" w:rsidRDefault="002B38A3" w:rsidP="00780985">
      <w:pPr>
        <w:spacing w:line="259" w:lineRule="auto"/>
        <w:jc w:val="both"/>
        <w:rPr>
          <w:rFonts w:ascii="Arial" w:hAnsi="Arial" w:cs="Arial"/>
          <w:sz w:val="22"/>
          <w:szCs w:val="22"/>
        </w:rPr>
      </w:pPr>
    </w:p>
    <w:p w14:paraId="7D53DB1A"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sz w:val="22"/>
          <w:szCs w:val="22"/>
        </w:rPr>
        <w:t>Program obuhvaća aktivnosti kojima se osiguravaju sredstva za obavljanje redovne djelatnosti Doma.</w:t>
      </w:r>
    </w:p>
    <w:p w14:paraId="1509795F"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sz w:val="22"/>
          <w:szCs w:val="22"/>
        </w:rPr>
        <w:t xml:space="preserve">Djelatnost Doma je pružanje socijalnih usluga starijim osobama ovisno o utvrđenim potrebama i njihovom izboru. </w:t>
      </w:r>
    </w:p>
    <w:p w14:paraId="2781EDFB"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sz w:val="22"/>
          <w:szCs w:val="22"/>
        </w:rPr>
        <w:t xml:space="preserve">Socijalne usluge su: </w:t>
      </w:r>
    </w:p>
    <w:p w14:paraId="3E938010" w14:textId="18C626A4" w:rsidR="002B38A3" w:rsidRPr="00780985" w:rsidRDefault="002B38A3" w:rsidP="00780985">
      <w:pPr>
        <w:spacing w:line="259" w:lineRule="auto"/>
        <w:jc w:val="both"/>
        <w:rPr>
          <w:rFonts w:ascii="Arial" w:hAnsi="Arial" w:cs="Arial"/>
          <w:sz w:val="22"/>
          <w:szCs w:val="22"/>
        </w:rPr>
      </w:pPr>
      <w:r w:rsidRPr="00780985">
        <w:rPr>
          <w:rFonts w:ascii="Arial" w:hAnsi="Arial" w:cs="Arial"/>
          <w:sz w:val="22"/>
          <w:szCs w:val="22"/>
        </w:rPr>
        <w:t>1.</w:t>
      </w:r>
      <w:r w:rsidR="00C66512">
        <w:rPr>
          <w:rFonts w:ascii="Arial" w:hAnsi="Arial" w:cs="Arial"/>
          <w:sz w:val="22"/>
          <w:szCs w:val="22"/>
        </w:rPr>
        <w:t xml:space="preserve"> </w:t>
      </w:r>
      <w:r w:rsidRPr="00780985">
        <w:rPr>
          <w:rFonts w:ascii="Arial" w:hAnsi="Arial" w:cs="Arial"/>
          <w:sz w:val="22"/>
          <w:szCs w:val="22"/>
        </w:rPr>
        <w:t>Socijalna usluga smještaja – aktivnost A500001 Socijalna zaštita starijih i nemoćnih osoba</w:t>
      </w:r>
    </w:p>
    <w:p w14:paraId="3BA4C366" w14:textId="196EF89F" w:rsidR="002B38A3" w:rsidRPr="00780985" w:rsidRDefault="002B38A3" w:rsidP="00780985">
      <w:pPr>
        <w:spacing w:line="259" w:lineRule="auto"/>
        <w:jc w:val="both"/>
        <w:rPr>
          <w:rFonts w:ascii="Arial" w:hAnsi="Arial" w:cs="Arial"/>
          <w:sz w:val="22"/>
          <w:szCs w:val="22"/>
        </w:rPr>
      </w:pPr>
      <w:r w:rsidRPr="00780985">
        <w:rPr>
          <w:rFonts w:ascii="Arial" w:hAnsi="Arial" w:cs="Arial"/>
          <w:sz w:val="22"/>
          <w:szCs w:val="22"/>
        </w:rPr>
        <w:t>2.</w:t>
      </w:r>
      <w:r w:rsidR="00C66512">
        <w:rPr>
          <w:rFonts w:ascii="Arial" w:hAnsi="Arial" w:cs="Arial"/>
          <w:sz w:val="22"/>
          <w:szCs w:val="22"/>
        </w:rPr>
        <w:t xml:space="preserve"> </w:t>
      </w:r>
      <w:r w:rsidRPr="00780985">
        <w:rPr>
          <w:rFonts w:ascii="Arial" w:hAnsi="Arial" w:cs="Arial"/>
          <w:sz w:val="22"/>
          <w:szCs w:val="22"/>
        </w:rPr>
        <w:t xml:space="preserve">Socijalna usluga boravka – aktivnost </w:t>
      </w:r>
      <w:bookmarkStart w:id="76" w:name="_Hlk180068469"/>
      <w:r w:rsidRPr="00780985">
        <w:rPr>
          <w:rFonts w:ascii="Arial" w:hAnsi="Arial" w:cs="Arial"/>
          <w:sz w:val="22"/>
          <w:szCs w:val="22"/>
        </w:rPr>
        <w:t>A500002 Sufinanciranje programa dnevnog boravka</w:t>
      </w:r>
      <w:bookmarkEnd w:id="76"/>
    </w:p>
    <w:p w14:paraId="3AE8F4E0" w14:textId="5121F2E2" w:rsidR="002B38A3" w:rsidRPr="00780985" w:rsidRDefault="002B38A3" w:rsidP="00780985">
      <w:pPr>
        <w:spacing w:line="259" w:lineRule="auto"/>
        <w:jc w:val="both"/>
        <w:rPr>
          <w:rFonts w:ascii="Arial" w:hAnsi="Arial" w:cs="Arial"/>
          <w:sz w:val="22"/>
          <w:szCs w:val="22"/>
        </w:rPr>
      </w:pPr>
      <w:r w:rsidRPr="00780985">
        <w:rPr>
          <w:rFonts w:ascii="Arial" w:hAnsi="Arial" w:cs="Arial"/>
          <w:sz w:val="22"/>
          <w:szCs w:val="22"/>
        </w:rPr>
        <w:t>3.</w:t>
      </w:r>
      <w:r w:rsidR="00C66512">
        <w:rPr>
          <w:rFonts w:ascii="Arial" w:hAnsi="Arial" w:cs="Arial"/>
          <w:sz w:val="22"/>
          <w:szCs w:val="22"/>
        </w:rPr>
        <w:t xml:space="preserve"> </w:t>
      </w:r>
      <w:r w:rsidRPr="00780985">
        <w:rPr>
          <w:rFonts w:ascii="Arial" w:hAnsi="Arial" w:cs="Arial"/>
          <w:sz w:val="22"/>
          <w:szCs w:val="22"/>
        </w:rPr>
        <w:t>Socijalna usluga pomoći u kući – aktivnost A500003 Sufinanciranje programa pomoći u kući i organiziranje prijevoza.</w:t>
      </w:r>
    </w:p>
    <w:p w14:paraId="16070088" w14:textId="77777777" w:rsidR="002B38A3" w:rsidRPr="00780985" w:rsidRDefault="002B38A3" w:rsidP="00780985">
      <w:pPr>
        <w:spacing w:line="259" w:lineRule="auto"/>
        <w:jc w:val="both"/>
        <w:rPr>
          <w:rFonts w:ascii="Arial" w:hAnsi="Arial" w:cs="Arial"/>
          <w:sz w:val="22"/>
          <w:szCs w:val="22"/>
        </w:rPr>
      </w:pPr>
    </w:p>
    <w:p w14:paraId="25AC1C01"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sz w:val="22"/>
          <w:szCs w:val="22"/>
        </w:rPr>
        <w:t>U okviru aktivnosti A500001_Socijalna zaštita starijih i nemoćnih osoba, korisnicima je osigurano stanovanje i prehrana, njega i briga o zdravlju, socijalni rad i organizirano provođenje slobodnog vremena u skladu s njihovim zdravstvenim i drugim potrebama u cilju održavanja tjelesnog, psihičkog i socijalnog zdravlja korisnika praćenjem individualnih promjena korisnika kroz individualni pristup i grupni rad s korisnicima.</w:t>
      </w:r>
    </w:p>
    <w:p w14:paraId="56BB077D" w14:textId="77777777" w:rsidR="002B38A3" w:rsidRPr="00780985" w:rsidRDefault="002B38A3" w:rsidP="00780985">
      <w:pPr>
        <w:spacing w:line="259" w:lineRule="auto"/>
        <w:jc w:val="both"/>
        <w:rPr>
          <w:rFonts w:ascii="Arial" w:hAnsi="Arial" w:cs="Arial"/>
          <w:sz w:val="22"/>
          <w:szCs w:val="22"/>
        </w:rPr>
      </w:pPr>
    </w:p>
    <w:p w14:paraId="601B17EE"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sz w:val="22"/>
          <w:szCs w:val="22"/>
        </w:rPr>
        <w:t xml:space="preserve">Aktivnost A500002_Sufinanciranje programa dnevnog boravka obuhvaća organizirane aktivnosti  tijekom dana i drugu pomoć i podršku radi zadovoljavanja osnovnih i dodatnih životnih potreba korisnika koje ne mogu biti zadovoljene u obitelji.  </w:t>
      </w:r>
    </w:p>
    <w:p w14:paraId="0A71F748" w14:textId="77777777" w:rsidR="002B38A3" w:rsidRPr="00780985" w:rsidRDefault="002B38A3" w:rsidP="00780985">
      <w:pPr>
        <w:autoSpaceDE w:val="0"/>
        <w:autoSpaceDN w:val="0"/>
        <w:adjustRightInd w:val="0"/>
        <w:spacing w:line="259" w:lineRule="auto"/>
        <w:jc w:val="both"/>
        <w:rPr>
          <w:rFonts w:ascii="Arial" w:hAnsi="Arial" w:cs="Arial"/>
          <w:sz w:val="22"/>
          <w:szCs w:val="22"/>
        </w:rPr>
      </w:pPr>
    </w:p>
    <w:p w14:paraId="51283542" w14:textId="77777777" w:rsidR="002B38A3" w:rsidRPr="00780985" w:rsidRDefault="002B38A3" w:rsidP="00780985">
      <w:pPr>
        <w:autoSpaceDE w:val="0"/>
        <w:autoSpaceDN w:val="0"/>
        <w:adjustRightInd w:val="0"/>
        <w:spacing w:line="259" w:lineRule="auto"/>
        <w:jc w:val="both"/>
        <w:rPr>
          <w:rFonts w:ascii="Arial" w:hAnsi="Arial" w:cs="Arial"/>
          <w:sz w:val="22"/>
          <w:szCs w:val="22"/>
        </w:rPr>
      </w:pPr>
      <w:r w:rsidRPr="00780985">
        <w:rPr>
          <w:rFonts w:ascii="Arial" w:hAnsi="Arial" w:cs="Arial"/>
          <w:sz w:val="22"/>
          <w:szCs w:val="22"/>
        </w:rPr>
        <w:t>Aktivnost A500003_Sufinanciranje programa pomoć u kući i organiziranje prijevoza obuhvaća:</w:t>
      </w:r>
    </w:p>
    <w:p w14:paraId="0E901659" w14:textId="77777777" w:rsidR="002B38A3" w:rsidRPr="00780985" w:rsidRDefault="002B38A3" w:rsidP="00780985">
      <w:pPr>
        <w:autoSpaceDE w:val="0"/>
        <w:autoSpaceDN w:val="0"/>
        <w:adjustRightInd w:val="0"/>
        <w:spacing w:line="259" w:lineRule="auto"/>
        <w:jc w:val="both"/>
        <w:rPr>
          <w:rFonts w:ascii="Arial" w:hAnsi="Arial" w:cs="Arial"/>
          <w:sz w:val="22"/>
          <w:szCs w:val="22"/>
        </w:rPr>
      </w:pPr>
      <w:r w:rsidRPr="00780985">
        <w:rPr>
          <w:rFonts w:ascii="Arial" w:hAnsi="Arial" w:cs="Arial"/>
          <w:sz w:val="22"/>
          <w:szCs w:val="22"/>
        </w:rPr>
        <w:t xml:space="preserve">1. Organiziranje prehrane u kući korisnika - nabavu živežnih namirnica, pomoć u pripremanju obroka, nabavu i dostavu gotovih obroka u kuću. Usluge provode </w:t>
      </w:r>
      <w:proofErr w:type="spellStart"/>
      <w:r w:rsidRPr="00780985">
        <w:rPr>
          <w:rFonts w:ascii="Arial" w:hAnsi="Arial" w:cs="Arial"/>
          <w:sz w:val="22"/>
          <w:szCs w:val="22"/>
        </w:rPr>
        <w:t>gerontodomaćica</w:t>
      </w:r>
      <w:proofErr w:type="spellEnd"/>
      <w:r w:rsidRPr="00780985">
        <w:rPr>
          <w:rFonts w:ascii="Arial" w:hAnsi="Arial" w:cs="Arial"/>
          <w:sz w:val="22"/>
          <w:szCs w:val="22"/>
        </w:rPr>
        <w:t xml:space="preserve"> i pomoćni radnik - dostavljač obroka.</w:t>
      </w:r>
    </w:p>
    <w:p w14:paraId="48B600FD" w14:textId="77777777" w:rsidR="002B38A3" w:rsidRPr="00780985" w:rsidRDefault="002B38A3" w:rsidP="00780985">
      <w:pPr>
        <w:autoSpaceDE w:val="0"/>
        <w:autoSpaceDN w:val="0"/>
        <w:adjustRightInd w:val="0"/>
        <w:spacing w:line="259" w:lineRule="auto"/>
        <w:jc w:val="both"/>
        <w:rPr>
          <w:rFonts w:ascii="Arial" w:hAnsi="Arial" w:cs="Arial"/>
          <w:sz w:val="22"/>
          <w:szCs w:val="22"/>
        </w:rPr>
      </w:pPr>
      <w:r w:rsidRPr="00780985">
        <w:rPr>
          <w:rFonts w:ascii="Arial" w:hAnsi="Arial" w:cs="Arial"/>
          <w:sz w:val="22"/>
          <w:szCs w:val="22"/>
        </w:rPr>
        <w:t xml:space="preserve">2. Obavljanje kućanskih poslova u kući korisnika - pranje posuđa, pospremanje stana, donošenje vode, ogrjeva i slično, organiziranje pranja i glačanja rublja, nabava lijekova i drugih potrepština. Obavljanje kućnih poslova u kući korisnika provodi </w:t>
      </w:r>
      <w:proofErr w:type="spellStart"/>
      <w:r w:rsidRPr="00780985">
        <w:rPr>
          <w:rFonts w:ascii="Arial" w:hAnsi="Arial" w:cs="Arial"/>
          <w:sz w:val="22"/>
          <w:szCs w:val="22"/>
        </w:rPr>
        <w:t>gerontodomaćica</w:t>
      </w:r>
      <w:proofErr w:type="spellEnd"/>
      <w:r w:rsidRPr="00780985">
        <w:rPr>
          <w:rFonts w:ascii="Arial" w:hAnsi="Arial" w:cs="Arial"/>
          <w:sz w:val="22"/>
          <w:szCs w:val="22"/>
        </w:rPr>
        <w:t>.</w:t>
      </w:r>
    </w:p>
    <w:p w14:paraId="0950CDA5" w14:textId="77777777" w:rsidR="002B38A3" w:rsidRPr="00780985" w:rsidRDefault="002B38A3" w:rsidP="00780985">
      <w:pPr>
        <w:autoSpaceDE w:val="0"/>
        <w:autoSpaceDN w:val="0"/>
        <w:adjustRightInd w:val="0"/>
        <w:spacing w:line="259" w:lineRule="auto"/>
        <w:jc w:val="both"/>
        <w:rPr>
          <w:rFonts w:ascii="Arial" w:hAnsi="Arial" w:cs="Arial"/>
          <w:sz w:val="22"/>
          <w:szCs w:val="22"/>
        </w:rPr>
      </w:pPr>
      <w:r w:rsidRPr="00780985">
        <w:rPr>
          <w:rFonts w:ascii="Arial" w:hAnsi="Arial" w:cs="Arial"/>
          <w:sz w:val="22"/>
          <w:szCs w:val="22"/>
        </w:rPr>
        <w:t xml:space="preserve">3. Održavanje osobne higijene u kući korisnika - pomoć u oblačenju i svlačenju, u kupanju i obavljanju drugih higijenskih potreba, zadovoljavanje drugih svakodnevnih potreba. Održavanje osobne higijene u kući korisnika provodi </w:t>
      </w:r>
      <w:proofErr w:type="spellStart"/>
      <w:r w:rsidRPr="00780985">
        <w:rPr>
          <w:rFonts w:ascii="Arial" w:hAnsi="Arial" w:cs="Arial"/>
          <w:sz w:val="22"/>
          <w:szCs w:val="22"/>
        </w:rPr>
        <w:t>gerontodomaćica</w:t>
      </w:r>
      <w:proofErr w:type="spellEnd"/>
      <w:r w:rsidRPr="00780985">
        <w:rPr>
          <w:rFonts w:ascii="Arial" w:hAnsi="Arial" w:cs="Arial"/>
          <w:sz w:val="22"/>
          <w:szCs w:val="22"/>
        </w:rPr>
        <w:t>.</w:t>
      </w:r>
    </w:p>
    <w:p w14:paraId="7BEDDD59" w14:textId="77777777" w:rsidR="002B38A3" w:rsidRPr="00780985" w:rsidRDefault="002B38A3" w:rsidP="00780985">
      <w:pPr>
        <w:spacing w:line="259" w:lineRule="auto"/>
        <w:jc w:val="both"/>
        <w:rPr>
          <w:rFonts w:ascii="Arial" w:hAnsi="Arial" w:cs="Arial"/>
          <w:sz w:val="22"/>
          <w:szCs w:val="22"/>
        </w:rPr>
      </w:pPr>
    </w:p>
    <w:p w14:paraId="6F519830"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sz w:val="22"/>
          <w:szCs w:val="22"/>
        </w:rPr>
        <w:lastRenderedPageBreak/>
        <w:t>Intenzitet pružene usluge ovisi o vrsti usluge, potrebama korisnika odnosno funkcionalnoj sposobnosti i zdravstvenom stanju korisnika</w:t>
      </w:r>
    </w:p>
    <w:p w14:paraId="28486931" w14:textId="77777777" w:rsidR="002B38A3" w:rsidRPr="00780985" w:rsidRDefault="002B38A3" w:rsidP="00780985">
      <w:pPr>
        <w:spacing w:line="259" w:lineRule="auto"/>
        <w:jc w:val="both"/>
        <w:rPr>
          <w:rFonts w:ascii="Arial" w:hAnsi="Arial" w:cs="Arial"/>
          <w:sz w:val="22"/>
          <w:szCs w:val="22"/>
        </w:rPr>
      </w:pPr>
    </w:p>
    <w:p w14:paraId="7CF84B19" w14:textId="77777777" w:rsidR="002B38A3" w:rsidRPr="00780985" w:rsidRDefault="002B38A3" w:rsidP="00780985">
      <w:pPr>
        <w:spacing w:line="259" w:lineRule="auto"/>
        <w:jc w:val="both"/>
        <w:rPr>
          <w:rFonts w:ascii="Arial" w:hAnsi="Arial" w:cs="Arial"/>
          <w:sz w:val="22"/>
          <w:szCs w:val="22"/>
        </w:rPr>
      </w:pPr>
      <w:r w:rsidRPr="00780985">
        <w:rPr>
          <w:rFonts w:ascii="Arial" w:hAnsi="Arial" w:cs="Arial"/>
          <w:sz w:val="22"/>
          <w:szCs w:val="22"/>
        </w:rPr>
        <w:t>Cilj programa je provedba aktivnosti, odnosno pružanje socijalnih usluga korisnicima.</w:t>
      </w:r>
    </w:p>
    <w:p w14:paraId="5C65F72A" w14:textId="77777777" w:rsidR="002B38A3" w:rsidRPr="00780985" w:rsidRDefault="002B38A3" w:rsidP="00780985">
      <w:pPr>
        <w:spacing w:line="259" w:lineRule="auto"/>
        <w:jc w:val="both"/>
        <w:rPr>
          <w:rFonts w:ascii="Arial" w:hAnsi="Arial" w:cs="Arial"/>
          <w:sz w:val="22"/>
          <w:szCs w:val="22"/>
        </w:rPr>
      </w:pPr>
    </w:p>
    <w:p w14:paraId="4EC7F47A" w14:textId="77777777" w:rsidR="002B38A3" w:rsidRPr="00780985" w:rsidRDefault="002B38A3" w:rsidP="00780985">
      <w:pPr>
        <w:spacing w:line="259" w:lineRule="auto"/>
        <w:jc w:val="both"/>
        <w:rPr>
          <w:rFonts w:ascii="Arial" w:hAnsi="Arial" w:cs="Arial"/>
          <w:sz w:val="22"/>
          <w:szCs w:val="22"/>
          <w:lang w:eastAsia="en-US"/>
        </w:rPr>
      </w:pPr>
      <w:r w:rsidRPr="00780985">
        <w:rPr>
          <w:rFonts w:ascii="Arial" w:hAnsi="Arial" w:cs="Arial"/>
          <w:sz w:val="22"/>
          <w:szCs w:val="22"/>
          <w:lang w:eastAsia="en-US"/>
        </w:rPr>
        <w:t>Prijedlog I. izmjena i dopuna Financijskog plana proračunskog korisnika Doma za starije osobe Labin 2025. godine iznosi 1.772.761,00 eura, a izrađen je uravnoteženjem prihoda i rashoda, u skladu s osnovnim programom Socijalna skrb sa smještajem.</w:t>
      </w:r>
    </w:p>
    <w:p w14:paraId="67FACD93" w14:textId="77777777" w:rsidR="002B38A3" w:rsidRPr="00780985" w:rsidRDefault="002B38A3" w:rsidP="00780985">
      <w:pPr>
        <w:spacing w:line="259" w:lineRule="auto"/>
        <w:ind w:right="-1"/>
        <w:jc w:val="both"/>
        <w:rPr>
          <w:rFonts w:ascii="Arial" w:eastAsia="Calibri" w:hAnsi="Arial" w:cs="Arial"/>
          <w:sz w:val="22"/>
          <w:szCs w:val="22"/>
          <w:lang w:eastAsia="en-US"/>
        </w:rPr>
      </w:pPr>
    </w:p>
    <w:p w14:paraId="1BAD77C4" w14:textId="77777777" w:rsidR="002B38A3" w:rsidRPr="00780985" w:rsidRDefault="002B38A3" w:rsidP="00780985">
      <w:pPr>
        <w:spacing w:line="259" w:lineRule="auto"/>
        <w:ind w:right="-1"/>
        <w:jc w:val="both"/>
        <w:rPr>
          <w:rFonts w:ascii="Arial" w:eastAsia="Calibri" w:hAnsi="Arial" w:cs="Arial"/>
          <w:sz w:val="22"/>
          <w:szCs w:val="22"/>
          <w:lang w:eastAsia="en-US"/>
        </w:rPr>
      </w:pPr>
      <w:r w:rsidRPr="00780985">
        <w:rPr>
          <w:rFonts w:ascii="Arial" w:eastAsia="Calibri" w:hAnsi="Arial" w:cs="Arial"/>
          <w:sz w:val="22"/>
          <w:szCs w:val="22"/>
          <w:lang w:eastAsia="en-US"/>
        </w:rPr>
        <w:t>U strukturi rashoda programske djelatnosti Doma, a u skladu s povećanjem prihoda predlažu se sljedeće izmjene u programskoj aktivnosti Doma za starije osobe Labin:</w:t>
      </w:r>
    </w:p>
    <w:p w14:paraId="68D85B3D" w14:textId="77777777" w:rsidR="002B38A3" w:rsidRPr="00780985" w:rsidRDefault="002B38A3" w:rsidP="00780985">
      <w:pPr>
        <w:suppressAutoHyphens/>
        <w:spacing w:line="259" w:lineRule="auto"/>
        <w:ind w:right="-1"/>
        <w:jc w:val="both"/>
        <w:rPr>
          <w:rFonts w:ascii="Arial" w:hAnsi="Arial" w:cs="Arial"/>
          <w:sz w:val="22"/>
          <w:szCs w:val="22"/>
        </w:rPr>
      </w:pPr>
      <w:r w:rsidRPr="00780985">
        <w:rPr>
          <w:rFonts w:ascii="Arial" w:hAnsi="Arial" w:cs="Arial"/>
          <w:b/>
          <w:bCs/>
          <w:sz w:val="22"/>
          <w:szCs w:val="22"/>
        </w:rPr>
        <w:t xml:space="preserve">Aktivnost A500001: Socijalna zaštita starijih i nemoćnih osoba </w:t>
      </w:r>
      <w:r w:rsidRPr="00780985">
        <w:rPr>
          <w:rFonts w:ascii="Arial" w:hAnsi="Arial" w:cs="Arial"/>
          <w:sz w:val="22"/>
          <w:szCs w:val="22"/>
        </w:rPr>
        <w:t xml:space="preserve">– predlaže se povećanje u iznosu od 36.131,00 eura. Navedeno povećanje za rashode redovne djelatnosti dovodi do novog iznosa od 1.724.761,00 eura, a odnosi se na povećanje rashoda za zaposlene, naknade troškova zaposlenima, rashoda za materijal i energiju, rashoda za usluge, te ostalih nespomenutih rashoda poslovanja. Također odnosi se i na smanjenje rashoda za nabavu nefinancijske imovine. </w:t>
      </w:r>
    </w:p>
    <w:p w14:paraId="4F312679" w14:textId="77777777" w:rsidR="002B38A3" w:rsidRPr="00780985" w:rsidRDefault="002B38A3" w:rsidP="00780985">
      <w:pPr>
        <w:suppressAutoHyphens/>
        <w:spacing w:line="259" w:lineRule="auto"/>
        <w:ind w:right="-1"/>
        <w:jc w:val="both"/>
        <w:rPr>
          <w:rFonts w:ascii="Arial" w:hAnsi="Arial" w:cs="Arial"/>
          <w:sz w:val="22"/>
          <w:szCs w:val="22"/>
        </w:rPr>
      </w:pPr>
    </w:p>
    <w:p w14:paraId="2B9DDEB4" w14:textId="77777777" w:rsidR="002B38A3" w:rsidRPr="00780985" w:rsidRDefault="002B38A3" w:rsidP="00780985">
      <w:pPr>
        <w:suppressAutoHyphens/>
        <w:spacing w:line="259" w:lineRule="auto"/>
        <w:ind w:right="-1"/>
        <w:jc w:val="both"/>
        <w:rPr>
          <w:rFonts w:ascii="Arial" w:hAnsi="Arial" w:cs="Arial"/>
          <w:sz w:val="22"/>
          <w:szCs w:val="22"/>
        </w:rPr>
      </w:pPr>
      <w:r w:rsidRPr="00780985">
        <w:rPr>
          <w:rFonts w:ascii="Arial" w:hAnsi="Arial" w:cs="Arial"/>
          <w:b/>
          <w:bCs/>
          <w:sz w:val="22"/>
          <w:szCs w:val="22"/>
        </w:rPr>
        <w:t xml:space="preserve">Aktivnost A500002: Sufinanciranje programa dnevnog boravka </w:t>
      </w:r>
      <w:r w:rsidRPr="00780985">
        <w:rPr>
          <w:rFonts w:ascii="Arial" w:hAnsi="Arial" w:cs="Arial"/>
          <w:sz w:val="22"/>
          <w:szCs w:val="22"/>
        </w:rPr>
        <w:t>– predlaže se smanjenje u iznosu od 15.000,00 eura (50,00%) koje je rezultat neostvarenja punog kapaciteta. Od planiranih sredstava financirati će se materijalni rashodi I rashodi za nabavu nefinancijske imovine.</w:t>
      </w:r>
    </w:p>
    <w:p w14:paraId="627564B3" w14:textId="77777777" w:rsidR="002B38A3" w:rsidRPr="00780985" w:rsidRDefault="002B38A3" w:rsidP="00780985">
      <w:pPr>
        <w:suppressAutoHyphens/>
        <w:spacing w:line="259" w:lineRule="auto"/>
        <w:ind w:right="-1"/>
        <w:jc w:val="both"/>
        <w:rPr>
          <w:rFonts w:ascii="Arial" w:hAnsi="Arial" w:cs="Arial"/>
          <w:sz w:val="22"/>
          <w:szCs w:val="22"/>
        </w:rPr>
      </w:pPr>
    </w:p>
    <w:p w14:paraId="4CA5018A" w14:textId="77777777" w:rsidR="002B38A3" w:rsidRPr="00780985" w:rsidRDefault="002B38A3" w:rsidP="00780985">
      <w:pPr>
        <w:suppressAutoHyphens/>
        <w:spacing w:line="259" w:lineRule="auto"/>
        <w:ind w:right="-1"/>
        <w:jc w:val="both"/>
        <w:rPr>
          <w:rFonts w:ascii="Arial" w:hAnsi="Arial" w:cs="Arial"/>
          <w:sz w:val="22"/>
          <w:szCs w:val="22"/>
        </w:rPr>
      </w:pPr>
      <w:r w:rsidRPr="00780985">
        <w:rPr>
          <w:rFonts w:ascii="Arial" w:hAnsi="Arial" w:cs="Arial"/>
          <w:b/>
          <w:bCs/>
          <w:sz w:val="22"/>
          <w:szCs w:val="22"/>
        </w:rPr>
        <w:t xml:space="preserve">Aktivnost A500003 Sufinanciranje programa pomoć u kući i organiziranje prijevoza </w:t>
      </w:r>
      <w:r w:rsidRPr="00780985">
        <w:rPr>
          <w:rFonts w:ascii="Arial" w:hAnsi="Arial" w:cs="Arial"/>
          <w:sz w:val="22"/>
          <w:szCs w:val="22"/>
        </w:rPr>
        <w:t xml:space="preserve">– predlaže se povećanje u iznosu od 14.500,00 </w:t>
      </w:r>
      <w:proofErr w:type="spellStart"/>
      <w:r w:rsidRPr="00780985">
        <w:rPr>
          <w:rFonts w:ascii="Arial" w:hAnsi="Arial" w:cs="Arial"/>
          <w:sz w:val="22"/>
          <w:szCs w:val="22"/>
        </w:rPr>
        <w:t>eur</w:t>
      </w:r>
      <w:proofErr w:type="spellEnd"/>
      <w:r w:rsidRPr="00780985">
        <w:rPr>
          <w:rFonts w:ascii="Arial" w:hAnsi="Arial" w:cs="Arial"/>
          <w:sz w:val="22"/>
          <w:szCs w:val="22"/>
        </w:rPr>
        <w:t xml:space="preserve"> (78,38%) sukladno povećanju broja korisnika  novim zahtjevima za pružanjem usluga. Od planiranih sredstava financirati će se materijalni rashodi i rashodi za nabavu nefinancijske imovine.</w:t>
      </w:r>
    </w:p>
    <w:p w14:paraId="7138F527" w14:textId="77777777" w:rsidR="002B38A3" w:rsidRPr="00780985" w:rsidRDefault="002B38A3" w:rsidP="00C66512">
      <w:pPr>
        <w:suppressAutoHyphens/>
        <w:spacing w:line="259" w:lineRule="auto"/>
        <w:ind w:right="-1"/>
        <w:jc w:val="both"/>
        <w:rPr>
          <w:rFonts w:ascii="Arial" w:hAnsi="Arial" w:cs="Arial"/>
          <w:sz w:val="22"/>
          <w:szCs w:val="22"/>
        </w:rPr>
      </w:pPr>
    </w:p>
    <w:p w14:paraId="3121DA32" w14:textId="77777777" w:rsidR="002B38A3" w:rsidRPr="00780985" w:rsidRDefault="002B38A3" w:rsidP="00C66512">
      <w:pPr>
        <w:spacing w:line="259" w:lineRule="auto"/>
        <w:jc w:val="both"/>
        <w:rPr>
          <w:rFonts w:ascii="Arial" w:hAnsi="Arial" w:cs="Arial"/>
          <w:sz w:val="22"/>
          <w:szCs w:val="22"/>
        </w:rPr>
      </w:pPr>
    </w:p>
    <w:p w14:paraId="7ABC81E8" w14:textId="77777777" w:rsidR="002B38A3" w:rsidRPr="00780985" w:rsidRDefault="002B38A3" w:rsidP="00C66512">
      <w:pPr>
        <w:spacing w:line="259" w:lineRule="auto"/>
        <w:jc w:val="both"/>
        <w:rPr>
          <w:rFonts w:ascii="Arial" w:hAnsi="Arial" w:cs="Arial"/>
          <w:sz w:val="22"/>
          <w:szCs w:val="22"/>
        </w:rPr>
      </w:pPr>
      <w:r w:rsidRPr="00780985">
        <w:rPr>
          <w:rFonts w:ascii="Arial" w:hAnsi="Arial" w:cs="Arial"/>
          <w:sz w:val="22"/>
          <w:szCs w:val="22"/>
        </w:rPr>
        <w:t>Tablica 3. Prihodi i rashodi po aktivnostima</w:t>
      </w:r>
    </w:p>
    <w:p w14:paraId="2CD0A801" w14:textId="77777777" w:rsidR="002B38A3" w:rsidRDefault="002B38A3" w:rsidP="00C66512">
      <w:pPr>
        <w:spacing w:line="259" w:lineRule="auto"/>
        <w:jc w:val="both"/>
      </w:pPr>
    </w:p>
    <w:tbl>
      <w:tblPr>
        <w:tblStyle w:val="Reetkatablice"/>
        <w:tblW w:w="0" w:type="auto"/>
        <w:tblLayout w:type="fixed"/>
        <w:tblLook w:val="04A0" w:firstRow="1" w:lastRow="0" w:firstColumn="1" w:lastColumn="0" w:noHBand="0" w:noVBand="1"/>
      </w:tblPr>
      <w:tblGrid>
        <w:gridCol w:w="2747"/>
        <w:gridCol w:w="1685"/>
        <w:gridCol w:w="1800"/>
        <w:gridCol w:w="1497"/>
        <w:gridCol w:w="1333"/>
      </w:tblGrid>
      <w:tr w:rsidR="00C66512" w:rsidRPr="00C66512" w14:paraId="17F3CA80" w14:textId="77777777" w:rsidTr="00C66512">
        <w:trPr>
          <w:trHeight w:val="156"/>
        </w:trPr>
        <w:tc>
          <w:tcPr>
            <w:tcW w:w="2747" w:type="dxa"/>
            <w:shd w:val="clear" w:color="auto" w:fill="AEAAAA" w:themeFill="background2" w:themeFillShade="BF"/>
            <w:noWrap/>
            <w:hideMark/>
          </w:tcPr>
          <w:p w14:paraId="5BC9F89E" w14:textId="77777777" w:rsidR="002B38A3" w:rsidRPr="00C66512" w:rsidRDefault="002B38A3" w:rsidP="002815DB">
            <w:pPr>
              <w:rPr>
                <w:rFonts w:ascii="Arial" w:hAnsi="Arial" w:cs="Arial"/>
                <w:b/>
                <w:bCs/>
                <w:sz w:val="20"/>
                <w:szCs w:val="20"/>
              </w:rPr>
            </w:pPr>
            <w:r w:rsidRPr="00C66512">
              <w:rPr>
                <w:rFonts w:ascii="Arial" w:hAnsi="Arial" w:cs="Arial"/>
                <w:b/>
                <w:bCs/>
                <w:sz w:val="20"/>
                <w:szCs w:val="20"/>
              </w:rPr>
              <w:t>AKTIVNOSTI</w:t>
            </w:r>
          </w:p>
        </w:tc>
        <w:tc>
          <w:tcPr>
            <w:tcW w:w="1685" w:type="dxa"/>
            <w:shd w:val="clear" w:color="auto" w:fill="AEAAAA" w:themeFill="background2" w:themeFillShade="BF"/>
            <w:noWrap/>
            <w:hideMark/>
          </w:tcPr>
          <w:p w14:paraId="6E539F76" w14:textId="77777777" w:rsidR="002B38A3" w:rsidRPr="00C66512" w:rsidRDefault="002B38A3" w:rsidP="002815DB">
            <w:pPr>
              <w:jc w:val="center"/>
              <w:rPr>
                <w:rFonts w:ascii="Arial" w:hAnsi="Arial" w:cs="Arial"/>
                <w:b/>
                <w:bCs/>
                <w:sz w:val="20"/>
                <w:szCs w:val="20"/>
              </w:rPr>
            </w:pPr>
            <w:r w:rsidRPr="00C66512">
              <w:rPr>
                <w:rFonts w:ascii="Arial" w:hAnsi="Arial" w:cs="Arial"/>
                <w:b/>
                <w:bCs/>
                <w:sz w:val="20"/>
                <w:szCs w:val="20"/>
              </w:rPr>
              <w:t>PLAN 2025.</w:t>
            </w:r>
          </w:p>
        </w:tc>
        <w:tc>
          <w:tcPr>
            <w:tcW w:w="1800" w:type="dxa"/>
            <w:shd w:val="clear" w:color="auto" w:fill="AEAAAA" w:themeFill="background2" w:themeFillShade="BF"/>
            <w:noWrap/>
            <w:hideMark/>
          </w:tcPr>
          <w:p w14:paraId="19195872" w14:textId="44F1C1F8" w:rsidR="002B38A3" w:rsidRPr="00C66512" w:rsidRDefault="002B38A3" w:rsidP="002815DB">
            <w:pPr>
              <w:jc w:val="center"/>
              <w:rPr>
                <w:rFonts w:ascii="Arial" w:hAnsi="Arial" w:cs="Arial"/>
                <w:b/>
                <w:bCs/>
                <w:sz w:val="20"/>
                <w:szCs w:val="20"/>
              </w:rPr>
            </w:pPr>
            <w:r w:rsidRPr="00C66512">
              <w:rPr>
                <w:rFonts w:ascii="Arial" w:hAnsi="Arial" w:cs="Arial"/>
                <w:b/>
                <w:bCs/>
                <w:sz w:val="20"/>
                <w:szCs w:val="20"/>
              </w:rPr>
              <w:t>POVEĆANJE/</w:t>
            </w:r>
            <w:r w:rsidR="00C66512">
              <w:rPr>
                <w:rFonts w:ascii="Arial" w:hAnsi="Arial" w:cs="Arial"/>
                <w:b/>
                <w:bCs/>
                <w:sz w:val="20"/>
                <w:szCs w:val="20"/>
              </w:rPr>
              <w:t xml:space="preserve"> </w:t>
            </w:r>
            <w:r w:rsidRPr="00C66512">
              <w:rPr>
                <w:rFonts w:ascii="Arial" w:hAnsi="Arial" w:cs="Arial"/>
                <w:b/>
                <w:bCs/>
                <w:sz w:val="20"/>
                <w:szCs w:val="20"/>
              </w:rPr>
              <w:t>SMANJENJE</w:t>
            </w:r>
          </w:p>
        </w:tc>
        <w:tc>
          <w:tcPr>
            <w:tcW w:w="1497" w:type="dxa"/>
            <w:shd w:val="clear" w:color="auto" w:fill="AEAAAA" w:themeFill="background2" w:themeFillShade="BF"/>
            <w:noWrap/>
            <w:hideMark/>
          </w:tcPr>
          <w:p w14:paraId="7C62DA83" w14:textId="77777777" w:rsidR="002B38A3" w:rsidRPr="00C66512" w:rsidRDefault="002B38A3" w:rsidP="002815DB">
            <w:pPr>
              <w:jc w:val="center"/>
              <w:rPr>
                <w:rFonts w:ascii="Arial" w:hAnsi="Arial" w:cs="Arial"/>
                <w:b/>
                <w:bCs/>
                <w:sz w:val="20"/>
                <w:szCs w:val="20"/>
              </w:rPr>
            </w:pPr>
            <w:r w:rsidRPr="00C66512">
              <w:rPr>
                <w:rFonts w:ascii="Arial" w:hAnsi="Arial" w:cs="Arial"/>
                <w:b/>
                <w:bCs/>
                <w:sz w:val="20"/>
                <w:szCs w:val="20"/>
              </w:rPr>
              <w:t>NOVI PLAN 2025.</w:t>
            </w:r>
          </w:p>
        </w:tc>
        <w:tc>
          <w:tcPr>
            <w:tcW w:w="1333" w:type="dxa"/>
            <w:shd w:val="clear" w:color="auto" w:fill="AEAAAA" w:themeFill="background2" w:themeFillShade="BF"/>
            <w:noWrap/>
            <w:hideMark/>
          </w:tcPr>
          <w:p w14:paraId="7765D044" w14:textId="77777777" w:rsidR="002B38A3" w:rsidRPr="00C66512" w:rsidRDefault="002B38A3" w:rsidP="002815DB">
            <w:pPr>
              <w:jc w:val="center"/>
              <w:rPr>
                <w:rFonts w:ascii="Arial" w:hAnsi="Arial" w:cs="Arial"/>
                <w:b/>
                <w:bCs/>
                <w:sz w:val="20"/>
                <w:szCs w:val="20"/>
              </w:rPr>
            </w:pPr>
            <w:r w:rsidRPr="00C66512">
              <w:rPr>
                <w:rFonts w:ascii="Arial" w:hAnsi="Arial" w:cs="Arial"/>
                <w:b/>
                <w:bCs/>
                <w:sz w:val="20"/>
                <w:szCs w:val="20"/>
              </w:rPr>
              <w:t>INDEKS  3/2</w:t>
            </w:r>
          </w:p>
        </w:tc>
      </w:tr>
      <w:tr w:rsidR="00C66512" w:rsidRPr="00C66512" w14:paraId="014455FD" w14:textId="77777777" w:rsidTr="00C66512">
        <w:trPr>
          <w:trHeight w:val="156"/>
        </w:trPr>
        <w:tc>
          <w:tcPr>
            <w:tcW w:w="2747" w:type="dxa"/>
            <w:shd w:val="clear" w:color="auto" w:fill="D0CECE" w:themeFill="background2" w:themeFillShade="E6"/>
            <w:noWrap/>
            <w:hideMark/>
          </w:tcPr>
          <w:p w14:paraId="7EAC4579" w14:textId="77777777" w:rsidR="002B38A3" w:rsidRPr="00C66512" w:rsidRDefault="002B38A3" w:rsidP="002815DB">
            <w:pPr>
              <w:jc w:val="center"/>
              <w:rPr>
                <w:rFonts w:ascii="Arial" w:hAnsi="Arial" w:cs="Arial"/>
                <w:b/>
                <w:bCs/>
                <w:sz w:val="20"/>
                <w:szCs w:val="20"/>
              </w:rPr>
            </w:pPr>
            <w:r w:rsidRPr="00C66512">
              <w:rPr>
                <w:rFonts w:ascii="Arial" w:hAnsi="Arial" w:cs="Arial"/>
                <w:b/>
                <w:bCs/>
                <w:sz w:val="20"/>
                <w:szCs w:val="20"/>
              </w:rPr>
              <w:t>1</w:t>
            </w:r>
          </w:p>
        </w:tc>
        <w:tc>
          <w:tcPr>
            <w:tcW w:w="1685" w:type="dxa"/>
            <w:shd w:val="clear" w:color="auto" w:fill="D0CECE" w:themeFill="background2" w:themeFillShade="E6"/>
            <w:noWrap/>
            <w:hideMark/>
          </w:tcPr>
          <w:p w14:paraId="31F21CE8" w14:textId="77777777" w:rsidR="002B38A3" w:rsidRPr="00C66512" w:rsidRDefault="002B38A3" w:rsidP="002815DB">
            <w:pPr>
              <w:jc w:val="center"/>
              <w:rPr>
                <w:rFonts w:ascii="Arial" w:hAnsi="Arial" w:cs="Arial"/>
                <w:b/>
                <w:bCs/>
                <w:sz w:val="20"/>
                <w:szCs w:val="20"/>
              </w:rPr>
            </w:pPr>
            <w:r w:rsidRPr="00C66512">
              <w:rPr>
                <w:rFonts w:ascii="Arial" w:hAnsi="Arial" w:cs="Arial"/>
                <w:b/>
                <w:bCs/>
                <w:sz w:val="20"/>
                <w:szCs w:val="20"/>
              </w:rPr>
              <w:t>2</w:t>
            </w:r>
          </w:p>
        </w:tc>
        <w:tc>
          <w:tcPr>
            <w:tcW w:w="1800" w:type="dxa"/>
            <w:shd w:val="clear" w:color="auto" w:fill="D0CECE" w:themeFill="background2" w:themeFillShade="E6"/>
            <w:noWrap/>
            <w:hideMark/>
          </w:tcPr>
          <w:p w14:paraId="304BC421" w14:textId="77777777" w:rsidR="002B38A3" w:rsidRPr="00C66512" w:rsidRDefault="002B38A3" w:rsidP="002815DB">
            <w:pPr>
              <w:jc w:val="center"/>
              <w:rPr>
                <w:rFonts w:ascii="Arial" w:hAnsi="Arial" w:cs="Arial"/>
                <w:b/>
                <w:bCs/>
                <w:sz w:val="20"/>
                <w:szCs w:val="20"/>
              </w:rPr>
            </w:pPr>
            <w:r w:rsidRPr="00C66512">
              <w:rPr>
                <w:rFonts w:ascii="Arial" w:hAnsi="Arial" w:cs="Arial"/>
                <w:b/>
                <w:bCs/>
                <w:sz w:val="20"/>
                <w:szCs w:val="20"/>
              </w:rPr>
              <w:t>3</w:t>
            </w:r>
          </w:p>
        </w:tc>
        <w:tc>
          <w:tcPr>
            <w:tcW w:w="1497" w:type="dxa"/>
            <w:shd w:val="clear" w:color="auto" w:fill="D0CECE" w:themeFill="background2" w:themeFillShade="E6"/>
            <w:noWrap/>
            <w:hideMark/>
          </w:tcPr>
          <w:p w14:paraId="65AFE347" w14:textId="77777777" w:rsidR="002B38A3" w:rsidRPr="00C66512" w:rsidRDefault="002B38A3" w:rsidP="002815DB">
            <w:pPr>
              <w:jc w:val="center"/>
              <w:rPr>
                <w:rFonts w:ascii="Arial" w:hAnsi="Arial" w:cs="Arial"/>
                <w:b/>
                <w:bCs/>
                <w:sz w:val="20"/>
                <w:szCs w:val="20"/>
              </w:rPr>
            </w:pPr>
            <w:r w:rsidRPr="00C66512">
              <w:rPr>
                <w:rFonts w:ascii="Arial" w:hAnsi="Arial" w:cs="Arial"/>
                <w:b/>
                <w:bCs/>
                <w:sz w:val="20"/>
                <w:szCs w:val="20"/>
              </w:rPr>
              <w:t>4</w:t>
            </w:r>
          </w:p>
        </w:tc>
        <w:tc>
          <w:tcPr>
            <w:tcW w:w="1333" w:type="dxa"/>
            <w:shd w:val="clear" w:color="auto" w:fill="D0CECE" w:themeFill="background2" w:themeFillShade="E6"/>
            <w:noWrap/>
            <w:hideMark/>
          </w:tcPr>
          <w:p w14:paraId="27AF0AF6" w14:textId="77777777" w:rsidR="002B38A3" w:rsidRPr="00C66512" w:rsidRDefault="002B38A3" w:rsidP="002815DB">
            <w:pPr>
              <w:jc w:val="center"/>
              <w:rPr>
                <w:rFonts w:ascii="Arial" w:hAnsi="Arial" w:cs="Arial"/>
                <w:b/>
                <w:bCs/>
                <w:sz w:val="20"/>
                <w:szCs w:val="20"/>
              </w:rPr>
            </w:pPr>
            <w:r w:rsidRPr="00C66512">
              <w:rPr>
                <w:rFonts w:ascii="Arial" w:hAnsi="Arial" w:cs="Arial"/>
                <w:b/>
                <w:bCs/>
                <w:sz w:val="20"/>
                <w:szCs w:val="20"/>
              </w:rPr>
              <w:t>5</w:t>
            </w:r>
          </w:p>
        </w:tc>
      </w:tr>
      <w:tr w:rsidR="00C66512" w:rsidRPr="00C66512" w14:paraId="34A376CE" w14:textId="77777777" w:rsidTr="00C66512">
        <w:trPr>
          <w:trHeight w:val="156"/>
        </w:trPr>
        <w:tc>
          <w:tcPr>
            <w:tcW w:w="2747" w:type="dxa"/>
            <w:shd w:val="clear" w:color="auto" w:fill="D0CECE" w:themeFill="background2" w:themeFillShade="E6"/>
            <w:noWrap/>
          </w:tcPr>
          <w:p w14:paraId="35A37D7D" w14:textId="77777777" w:rsidR="002B38A3" w:rsidRPr="00C66512" w:rsidRDefault="002B38A3" w:rsidP="002815DB">
            <w:pPr>
              <w:rPr>
                <w:rFonts w:ascii="Arial" w:hAnsi="Arial" w:cs="Arial"/>
                <w:b/>
                <w:bCs/>
                <w:sz w:val="20"/>
                <w:szCs w:val="20"/>
              </w:rPr>
            </w:pPr>
            <w:r w:rsidRPr="00C66512">
              <w:rPr>
                <w:rFonts w:ascii="Arial" w:hAnsi="Arial" w:cs="Arial"/>
                <w:b/>
                <w:bCs/>
                <w:sz w:val="20"/>
                <w:szCs w:val="20"/>
              </w:rPr>
              <w:t>UKUPNO</w:t>
            </w:r>
          </w:p>
        </w:tc>
        <w:tc>
          <w:tcPr>
            <w:tcW w:w="1685" w:type="dxa"/>
            <w:shd w:val="clear" w:color="auto" w:fill="D0CECE" w:themeFill="background2" w:themeFillShade="E6"/>
            <w:noWrap/>
          </w:tcPr>
          <w:p w14:paraId="5C11EF30" w14:textId="77777777" w:rsidR="002B38A3" w:rsidRPr="00C66512" w:rsidRDefault="002B38A3" w:rsidP="002815DB">
            <w:pPr>
              <w:jc w:val="right"/>
              <w:rPr>
                <w:rFonts w:ascii="Arial" w:hAnsi="Arial" w:cs="Arial"/>
                <w:b/>
                <w:bCs/>
                <w:sz w:val="20"/>
                <w:szCs w:val="20"/>
              </w:rPr>
            </w:pPr>
            <w:r w:rsidRPr="00C66512">
              <w:rPr>
                <w:rFonts w:ascii="Arial" w:hAnsi="Arial" w:cs="Arial"/>
                <w:b/>
                <w:bCs/>
                <w:sz w:val="20"/>
                <w:szCs w:val="20"/>
              </w:rPr>
              <w:t>1.737.130,00</w:t>
            </w:r>
          </w:p>
        </w:tc>
        <w:tc>
          <w:tcPr>
            <w:tcW w:w="1800" w:type="dxa"/>
            <w:shd w:val="clear" w:color="auto" w:fill="D0CECE" w:themeFill="background2" w:themeFillShade="E6"/>
            <w:noWrap/>
          </w:tcPr>
          <w:p w14:paraId="3711F462" w14:textId="77777777" w:rsidR="002B38A3" w:rsidRPr="00C66512" w:rsidRDefault="002B38A3" w:rsidP="002815DB">
            <w:pPr>
              <w:jc w:val="right"/>
              <w:rPr>
                <w:rFonts w:ascii="Arial" w:hAnsi="Arial" w:cs="Arial"/>
                <w:b/>
                <w:bCs/>
                <w:sz w:val="20"/>
                <w:szCs w:val="20"/>
              </w:rPr>
            </w:pPr>
            <w:r w:rsidRPr="00C66512">
              <w:rPr>
                <w:rFonts w:ascii="Arial" w:hAnsi="Arial" w:cs="Arial"/>
                <w:b/>
                <w:bCs/>
                <w:sz w:val="20"/>
                <w:szCs w:val="20"/>
              </w:rPr>
              <w:t xml:space="preserve">         35.631,00</w:t>
            </w:r>
          </w:p>
        </w:tc>
        <w:tc>
          <w:tcPr>
            <w:tcW w:w="1497" w:type="dxa"/>
            <w:shd w:val="clear" w:color="auto" w:fill="D0CECE" w:themeFill="background2" w:themeFillShade="E6"/>
            <w:noWrap/>
          </w:tcPr>
          <w:p w14:paraId="46D91550" w14:textId="77777777" w:rsidR="002B38A3" w:rsidRPr="00C66512" w:rsidRDefault="002B38A3" w:rsidP="002815DB">
            <w:pPr>
              <w:jc w:val="right"/>
              <w:rPr>
                <w:rFonts w:ascii="Arial" w:hAnsi="Arial" w:cs="Arial"/>
                <w:b/>
                <w:bCs/>
                <w:sz w:val="20"/>
                <w:szCs w:val="20"/>
              </w:rPr>
            </w:pPr>
            <w:r w:rsidRPr="00C66512">
              <w:rPr>
                <w:rFonts w:ascii="Arial" w:hAnsi="Arial" w:cs="Arial"/>
                <w:b/>
                <w:bCs/>
                <w:sz w:val="20"/>
                <w:szCs w:val="20"/>
              </w:rPr>
              <w:t xml:space="preserve"> 1.772.761,00</w:t>
            </w:r>
          </w:p>
        </w:tc>
        <w:tc>
          <w:tcPr>
            <w:tcW w:w="1333" w:type="dxa"/>
            <w:shd w:val="clear" w:color="auto" w:fill="D0CECE" w:themeFill="background2" w:themeFillShade="E6"/>
            <w:noWrap/>
          </w:tcPr>
          <w:p w14:paraId="1113835E" w14:textId="77777777" w:rsidR="002B38A3" w:rsidRPr="00C66512" w:rsidRDefault="002B38A3" w:rsidP="002815DB">
            <w:pPr>
              <w:jc w:val="right"/>
              <w:rPr>
                <w:rFonts w:ascii="Arial" w:hAnsi="Arial" w:cs="Arial"/>
                <w:b/>
                <w:bCs/>
                <w:sz w:val="20"/>
                <w:szCs w:val="20"/>
              </w:rPr>
            </w:pPr>
            <w:r w:rsidRPr="00C66512">
              <w:rPr>
                <w:rFonts w:ascii="Arial" w:hAnsi="Arial" w:cs="Arial"/>
                <w:b/>
                <w:bCs/>
                <w:sz w:val="20"/>
                <w:szCs w:val="20"/>
              </w:rPr>
              <w:t>2,05</w:t>
            </w:r>
          </w:p>
        </w:tc>
      </w:tr>
      <w:tr w:rsidR="00C66512" w:rsidRPr="00C66512" w14:paraId="166EA1E1" w14:textId="77777777" w:rsidTr="00C66512">
        <w:trPr>
          <w:trHeight w:val="156"/>
        </w:trPr>
        <w:tc>
          <w:tcPr>
            <w:tcW w:w="2747" w:type="dxa"/>
            <w:shd w:val="clear" w:color="auto" w:fill="FFFFFF" w:themeFill="background1"/>
            <w:noWrap/>
            <w:hideMark/>
          </w:tcPr>
          <w:p w14:paraId="7E118583" w14:textId="77777777" w:rsidR="002B38A3" w:rsidRPr="00C66512" w:rsidRDefault="002B38A3" w:rsidP="002815DB">
            <w:pPr>
              <w:rPr>
                <w:rFonts w:ascii="Arial" w:hAnsi="Arial" w:cs="Arial"/>
                <w:b/>
                <w:bCs/>
                <w:sz w:val="20"/>
                <w:szCs w:val="20"/>
              </w:rPr>
            </w:pPr>
            <w:r w:rsidRPr="00C66512">
              <w:rPr>
                <w:rFonts w:ascii="Arial" w:hAnsi="Arial" w:cs="Arial"/>
                <w:b/>
                <w:bCs/>
                <w:sz w:val="20"/>
                <w:szCs w:val="20"/>
              </w:rPr>
              <w:t>AKTIVNOST A500001 Socijalna zaštita starijih i nemoćnih osoba</w:t>
            </w:r>
          </w:p>
        </w:tc>
        <w:tc>
          <w:tcPr>
            <w:tcW w:w="1685" w:type="dxa"/>
            <w:shd w:val="clear" w:color="auto" w:fill="auto"/>
            <w:noWrap/>
            <w:hideMark/>
          </w:tcPr>
          <w:p w14:paraId="013BFA24" w14:textId="77777777" w:rsidR="002B38A3" w:rsidRPr="00C66512" w:rsidRDefault="002B38A3" w:rsidP="002815DB">
            <w:pPr>
              <w:jc w:val="right"/>
              <w:rPr>
                <w:rFonts w:ascii="Arial" w:hAnsi="Arial" w:cs="Arial"/>
                <w:b/>
                <w:bCs/>
                <w:sz w:val="20"/>
                <w:szCs w:val="20"/>
              </w:rPr>
            </w:pPr>
            <w:r w:rsidRPr="00C66512">
              <w:rPr>
                <w:rFonts w:ascii="Arial" w:hAnsi="Arial" w:cs="Arial"/>
                <w:b/>
                <w:bCs/>
                <w:sz w:val="20"/>
                <w:szCs w:val="20"/>
              </w:rPr>
              <w:t>1.688.630,00</w:t>
            </w:r>
          </w:p>
        </w:tc>
        <w:tc>
          <w:tcPr>
            <w:tcW w:w="1800" w:type="dxa"/>
            <w:shd w:val="clear" w:color="auto" w:fill="auto"/>
            <w:noWrap/>
          </w:tcPr>
          <w:p w14:paraId="74F7DAD1" w14:textId="77777777" w:rsidR="002B38A3" w:rsidRPr="00C66512" w:rsidRDefault="002B38A3" w:rsidP="002815DB">
            <w:pPr>
              <w:jc w:val="right"/>
              <w:rPr>
                <w:rFonts w:ascii="Arial" w:hAnsi="Arial" w:cs="Arial"/>
                <w:b/>
                <w:bCs/>
                <w:sz w:val="20"/>
                <w:szCs w:val="20"/>
              </w:rPr>
            </w:pPr>
            <w:r w:rsidRPr="00C66512">
              <w:rPr>
                <w:rFonts w:ascii="Arial" w:hAnsi="Arial" w:cs="Arial"/>
                <w:b/>
                <w:bCs/>
                <w:sz w:val="20"/>
                <w:szCs w:val="20"/>
              </w:rPr>
              <w:t xml:space="preserve">         36.131,00</w:t>
            </w:r>
          </w:p>
        </w:tc>
        <w:tc>
          <w:tcPr>
            <w:tcW w:w="1497" w:type="dxa"/>
            <w:shd w:val="clear" w:color="auto" w:fill="auto"/>
            <w:noWrap/>
          </w:tcPr>
          <w:p w14:paraId="6392766A" w14:textId="77777777" w:rsidR="002B38A3" w:rsidRPr="00C66512" w:rsidRDefault="002B38A3" w:rsidP="002815DB">
            <w:pPr>
              <w:jc w:val="right"/>
              <w:rPr>
                <w:rFonts w:ascii="Arial" w:hAnsi="Arial" w:cs="Arial"/>
                <w:b/>
                <w:bCs/>
                <w:sz w:val="20"/>
                <w:szCs w:val="20"/>
              </w:rPr>
            </w:pPr>
            <w:r w:rsidRPr="00C66512">
              <w:rPr>
                <w:rFonts w:ascii="Arial" w:hAnsi="Arial" w:cs="Arial"/>
                <w:b/>
                <w:bCs/>
                <w:sz w:val="20"/>
                <w:szCs w:val="20"/>
              </w:rPr>
              <w:t xml:space="preserve"> 1.724.761,00</w:t>
            </w:r>
          </w:p>
        </w:tc>
        <w:tc>
          <w:tcPr>
            <w:tcW w:w="1333" w:type="dxa"/>
            <w:shd w:val="clear" w:color="auto" w:fill="auto"/>
            <w:noWrap/>
            <w:hideMark/>
          </w:tcPr>
          <w:p w14:paraId="04D5BADF" w14:textId="77777777" w:rsidR="002B38A3" w:rsidRPr="00C66512" w:rsidRDefault="002B38A3" w:rsidP="002815DB">
            <w:pPr>
              <w:jc w:val="right"/>
              <w:rPr>
                <w:rFonts w:ascii="Arial" w:hAnsi="Arial" w:cs="Arial"/>
                <w:b/>
                <w:bCs/>
                <w:sz w:val="20"/>
                <w:szCs w:val="20"/>
              </w:rPr>
            </w:pPr>
            <w:r w:rsidRPr="00C66512">
              <w:rPr>
                <w:rFonts w:ascii="Arial" w:hAnsi="Arial" w:cs="Arial"/>
                <w:b/>
                <w:bCs/>
                <w:sz w:val="20"/>
                <w:szCs w:val="20"/>
              </w:rPr>
              <w:t>2,14</w:t>
            </w:r>
          </w:p>
        </w:tc>
      </w:tr>
      <w:tr w:rsidR="00C66512" w:rsidRPr="00C66512" w14:paraId="582A7668" w14:textId="77777777" w:rsidTr="00C66512">
        <w:trPr>
          <w:trHeight w:val="156"/>
        </w:trPr>
        <w:tc>
          <w:tcPr>
            <w:tcW w:w="2747" w:type="dxa"/>
            <w:shd w:val="clear" w:color="auto" w:fill="FFFFFF" w:themeFill="background1"/>
            <w:noWrap/>
            <w:hideMark/>
          </w:tcPr>
          <w:p w14:paraId="2D44F64D" w14:textId="77777777" w:rsidR="002B38A3" w:rsidRPr="00C66512" w:rsidRDefault="002B38A3" w:rsidP="002815DB">
            <w:pPr>
              <w:rPr>
                <w:rFonts w:ascii="Arial" w:hAnsi="Arial" w:cs="Arial"/>
                <w:b/>
                <w:bCs/>
                <w:sz w:val="20"/>
                <w:szCs w:val="20"/>
              </w:rPr>
            </w:pPr>
            <w:r w:rsidRPr="00C66512">
              <w:rPr>
                <w:rFonts w:ascii="Arial" w:hAnsi="Arial" w:cs="Arial"/>
                <w:b/>
                <w:bCs/>
                <w:sz w:val="20"/>
                <w:szCs w:val="20"/>
              </w:rPr>
              <w:t>AKTIVNOST A500002 Sufinanciranje programa dnevnog boravka</w:t>
            </w:r>
          </w:p>
        </w:tc>
        <w:tc>
          <w:tcPr>
            <w:tcW w:w="1685" w:type="dxa"/>
            <w:shd w:val="clear" w:color="auto" w:fill="FFFFFF" w:themeFill="background1"/>
            <w:noWrap/>
            <w:hideMark/>
          </w:tcPr>
          <w:p w14:paraId="49A9BF57" w14:textId="77777777" w:rsidR="002B38A3" w:rsidRPr="00C66512" w:rsidRDefault="002B38A3" w:rsidP="002815DB">
            <w:pPr>
              <w:jc w:val="right"/>
              <w:rPr>
                <w:rFonts w:ascii="Arial" w:hAnsi="Arial" w:cs="Arial"/>
                <w:b/>
                <w:bCs/>
                <w:sz w:val="20"/>
                <w:szCs w:val="20"/>
              </w:rPr>
            </w:pPr>
            <w:r w:rsidRPr="00C66512">
              <w:rPr>
                <w:rFonts w:ascii="Arial" w:hAnsi="Arial" w:cs="Arial"/>
                <w:b/>
                <w:bCs/>
                <w:sz w:val="20"/>
                <w:szCs w:val="20"/>
              </w:rPr>
              <w:t>  30.000,00</w:t>
            </w:r>
          </w:p>
        </w:tc>
        <w:tc>
          <w:tcPr>
            <w:tcW w:w="1800" w:type="dxa"/>
            <w:shd w:val="clear" w:color="auto" w:fill="FFFFFF" w:themeFill="background1"/>
            <w:noWrap/>
            <w:hideMark/>
          </w:tcPr>
          <w:p w14:paraId="101E3E81" w14:textId="77777777" w:rsidR="002B38A3" w:rsidRPr="00C66512" w:rsidRDefault="002B38A3" w:rsidP="002815DB">
            <w:pPr>
              <w:jc w:val="right"/>
              <w:rPr>
                <w:rFonts w:ascii="Arial" w:hAnsi="Arial" w:cs="Arial"/>
                <w:b/>
                <w:bCs/>
                <w:sz w:val="20"/>
                <w:szCs w:val="20"/>
              </w:rPr>
            </w:pPr>
            <w:r w:rsidRPr="00C66512">
              <w:rPr>
                <w:rFonts w:ascii="Arial" w:hAnsi="Arial" w:cs="Arial"/>
                <w:b/>
                <w:bCs/>
                <w:sz w:val="20"/>
                <w:szCs w:val="20"/>
              </w:rPr>
              <w:t xml:space="preserve">          -15.000,00</w:t>
            </w:r>
          </w:p>
        </w:tc>
        <w:tc>
          <w:tcPr>
            <w:tcW w:w="1497" w:type="dxa"/>
            <w:shd w:val="clear" w:color="auto" w:fill="FFFFFF" w:themeFill="background1"/>
            <w:noWrap/>
            <w:hideMark/>
          </w:tcPr>
          <w:p w14:paraId="7350A2CB" w14:textId="77777777" w:rsidR="002B38A3" w:rsidRPr="00C66512" w:rsidRDefault="002B38A3" w:rsidP="002815DB">
            <w:pPr>
              <w:jc w:val="right"/>
              <w:rPr>
                <w:rFonts w:ascii="Arial" w:hAnsi="Arial" w:cs="Arial"/>
                <w:b/>
                <w:bCs/>
                <w:sz w:val="20"/>
                <w:szCs w:val="20"/>
              </w:rPr>
            </w:pPr>
            <w:r w:rsidRPr="00C66512">
              <w:rPr>
                <w:rFonts w:ascii="Arial" w:hAnsi="Arial" w:cs="Arial"/>
                <w:b/>
                <w:bCs/>
                <w:sz w:val="20"/>
                <w:szCs w:val="20"/>
              </w:rPr>
              <w:t xml:space="preserve">       15.000,00</w:t>
            </w:r>
          </w:p>
        </w:tc>
        <w:tc>
          <w:tcPr>
            <w:tcW w:w="1333" w:type="dxa"/>
            <w:shd w:val="clear" w:color="auto" w:fill="FFFFFF" w:themeFill="background1"/>
            <w:noWrap/>
            <w:hideMark/>
          </w:tcPr>
          <w:p w14:paraId="77822DF8" w14:textId="77777777" w:rsidR="002B38A3" w:rsidRPr="00C66512" w:rsidRDefault="002B38A3" w:rsidP="002815DB">
            <w:pPr>
              <w:jc w:val="right"/>
              <w:rPr>
                <w:rFonts w:ascii="Arial" w:hAnsi="Arial" w:cs="Arial"/>
                <w:b/>
                <w:bCs/>
                <w:sz w:val="20"/>
                <w:szCs w:val="20"/>
              </w:rPr>
            </w:pPr>
            <w:r w:rsidRPr="00C66512">
              <w:rPr>
                <w:rFonts w:ascii="Arial" w:hAnsi="Arial" w:cs="Arial"/>
                <w:b/>
                <w:bCs/>
                <w:sz w:val="20"/>
                <w:szCs w:val="20"/>
              </w:rPr>
              <w:t xml:space="preserve">  50,00</w:t>
            </w:r>
          </w:p>
        </w:tc>
      </w:tr>
      <w:tr w:rsidR="00C66512" w:rsidRPr="00C66512" w14:paraId="3631637D" w14:textId="77777777" w:rsidTr="00C66512">
        <w:trPr>
          <w:trHeight w:val="156"/>
        </w:trPr>
        <w:tc>
          <w:tcPr>
            <w:tcW w:w="2747" w:type="dxa"/>
            <w:shd w:val="clear" w:color="auto" w:fill="FFFFFF" w:themeFill="background1"/>
            <w:noWrap/>
            <w:hideMark/>
          </w:tcPr>
          <w:p w14:paraId="700D6299" w14:textId="77777777" w:rsidR="002B38A3" w:rsidRPr="00C66512" w:rsidRDefault="002B38A3" w:rsidP="002815DB">
            <w:pPr>
              <w:rPr>
                <w:rFonts w:ascii="Arial" w:hAnsi="Arial" w:cs="Arial"/>
                <w:b/>
                <w:bCs/>
                <w:sz w:val="20"/>
                <w:szCs w:val="20"/>
              </w:rPr>
            </w:pPr>
            <w:r w:rsidRPr="00C66512">
              <w:rPr>
                <w:rFonts w:ascii="Arial" w:hAnsi="Arial" w:cs="Arial"/>
                <w:b/>
                <w:bCs/>
                <w:sz w:val="20"/>
                <w:szCs w:val="20"/>
              </w:rPr>
              <w:t>AKTIVNOST A500003 Sufinanciranje programa pomoć u kući i organiziranje prijevoza</w:t>
            </w:r>
          </w:p>
        </w:tc>
        <w:tc>
          <w:tcPr>
            <w:tcW w:w="1685" w:type="dxa"/>
            <w:shd w:val="clear" w:color="auto" w:fill="FFFFFF" w:themeFill="background1"/>
            <w:noWrap/>
            <w:hideMark/>
          </w:tcPr>
          <w:p w14:paraId="4C8C7A39" w14:textId="77777777" w:rsidR="002B38A3" w:rsidRPr="00C66512" w:rsidRDefault="002B38A3" w:rsidP="002815DB">
            <w:pPr>
              <w:jc w:val="right"/>
              <w:rPr>
                <w:rFonts w:ascii="Arial" w:hAnsi="Arial" w:cs="Arial"/>
                <w:b/>
                <w:bCs/>
                <w:sz w:val="20"/>
                <w:szCs w:val="20"/>
              </w:rPr>
            </w:pPr>
            <w:r w:rsidRPr="00C66512">
              <w:rPr>
                <w:rFonts w:ascii="Arial" w:hAnsi="Arial" w:cs="Arial"/>
                <w:b/>
                <w:bCs/>
                <w:sz w:val="20"/>
                <w:szCs w:val="20"/>
              </w:rPr>
              <w:t xml:space="preserve">  18.500,00</w:t>
            </w:r>
          </w:p>
        </w:tc>
        <w:tc>
          <w:tcPr>
            <w:tcW w:w="1800" w:type="dxa"/>
            <w:shd w:val="clear" w:color="auto" w:fill="FFFFFF" w:themeFill="background1"/>
            <w:noWrap/>
            <w:hideMark/>
          </w:tcPr>
          <w:p w14:paraId="4439B340" w14:textId="77777777" w:rsidR="002B38A3" w:rsidRPr="00C66512" w:rsidRDefault="002B38A3" w:rsidP="002815DB">
            <w:pPr>
              <w:jc w:val="right"/>
              <w:rPr>
                <w:rFonts w:ascii="Arial" w:hAnsi="Arial" w:cs="Arial"/>
                <w:b/>
                <w:bCs/>
                <w:sz w:val="20"/>
                <w:szCs w:val="20"/>
              </w:rPr>
            </w:pPr>
            <w:r w:rsidRPr="00C66512">
              <w:rPr>
                <w:rFonts w:ascii="Arial" w:hAnsi="Arial" w:cs="Arial"/>
                <w:b/>
                <w:bCs/>
                <w:sz w:val="20"/>
                <w:szCs w:val="20"/>
              </w:rPr>
              <w:t xml:space="preserve">           14.500,00</w:t>
            </w:r>
          </w:p>
        </w:tc>
        <w:tc>
          <w:tcPr>
            <w:tcW w:w="1497" w:type="dxa"/>
            <w:shd w:val="clear" w:color="auto" w:fill="FFFFFF" w:themeFill="background1"/>
            <w:noWrap/>
            <w:hideMark/>
          </w:tcPr>
          <w:p w14:paraId="749E7038" w14:textId="77777777" w:rsidR="002B38A3" w:rsidRPr="00C66512" w:rsidRDefault="002B38A3" w:rsidP="002815DB">
            <w:pPr>
              <w:jc w:val="right"/>
              <w:rPr>
                <w:rFonts w:ascii="Arial" w:hAnsi="Arial" w:cs="Arial"/>
                <w:b/>
                <w:bCs/>
                <w:sz w:val="20"/>
                <w:szCs w:val="20"/>
              </w:rPr>
            </w:pPr>
            <w:r w:rsidRPr="00C66512">
              <w:rPr>
                <w:rFonts w:ascii="Arial" w:hAnsi="Arial" w:cs="Arial"/>
                <w:b/>
                <w:bCs/>
                <w:sz w:val="20"/>
                <w:szCs w:val="20"/>
              </w:rPr>
              <w:t xml:space="preserve">       33.000,00</w:t>
            </w:r>
          </w:p>
        </w:tc>
        <w:tc>
          <w:tcPr>
            <w:tcW w:w="1333" w:type="dxa"/>
            <w:shd w:val="clear" w:color="auto" w:fill="FFFFFF" w:themeFill="background1"/>
            <w:noWrap/>
            <w:hideMark/>
          </w:tcPr>
          <w:p w14:paraId="7D44099A" w14:textId="77777777" w:rsidR="002B38A3" w:rsidRPr="00C66512" w:rsidRDefault="002B38A3" w:rsidP="002815DB">
            <w:pPr>
              <w:jc w:val="right"/>
              <w:rPr>
                <w:rFonts w:ascii="Arial" w:hAnsi="Arial" w:cs="Arial"/>
                <w:b/>
                <w:bCs/>
                <w:sz w:val="20"/>
                <w:szCs w:val="20"/>
              </w:rPr>
            </w:pPr>
            <w:r w:rsidRPr="00C66512">
              <w:rPr>
                <w:rFonts w:ascii="Arial" w:hAnsi="Arial" w:cs="Arial"/>
                <w:b/>
                <w:bCs/>
                <w:sz w:val="20"/>
                <w:szCs w:val="20"/>
              </w:rPr>
              <w:t xml:space="preserve"> 78,38</w:t>
            </w:r>
          </w:p>
        </w:tc>
      </w:tr>
    </w:tbl>
    <w:p w14:paraId="00206DD8" w14:textId="77777777" w:rsidR="002B38A3" w:rsidRDefault="002B38A3" w:rsidP="00F03BEC">
      <w:pPr>
        <w:jc w:val="center"/>
        <w:rPr>
          <w:rFonts w:ascii="Arial" w:hAnsi="Arial" w:cs="Arial"/>
          <w:b/>
          <w:bCs/>
          <w:color w:val="000000"/>
        </w:rPr>
      </w:pPr>
    </w:p>
    <w:p w14:paraId="09F90117" w14:textId="77777777" w:rsidR="002B38A3" w:rsidRDefault="002B38A3" w:rsidP="00F03BEC">
      <w:pPr>
        <w:jc w:val="center"/>
        <w:rPr>
          <w:rFonts w:ascii="Arial" w:hAnsi="Arial" w:cs="Arial"/>
          <w:b/>
          <w:bCs/>
          <w:color w:val="000000"/>
        </w:rPr>
      </w:pPr>
    </w:p>
    <w:p w14:paraId="3CE40CC7" w14:textId="77777777" w:rsidR="002B38A3" w:rsidRDefault="002B38A3" w:rsidP="00F03BEC">
      <w:pPr>
        <w:jc w:val="center"/>
        <w:rPr>
          <w:rFonts w:ascii="Arial" w:hAnsi="Arial" w:cs="Arial"/>
          <w:b/>
          <w:bCs/>
          <w:color w:val="000000"/>
        </w:rPr>
      </w:pPr>
    </w:p>
    <w:p w14:paraId="6F378FB1" w14:textId="77777777" w:rsidR="002B38A3" w:rsidRDefault="002B38A3" w:rsidP="00F03BEC">
      <w:pPr>
        <w:jc w:val="center"/>
        <w:rPr>
          <w:rFonts w:ascii="Arial" w:hAnsi="Arial" w:cs="Arial"/>
          <w:b/>
          <w:bCs/>
          <w:color w:val="000000"/>
        </w:rPr>
      </w:pPr>
    </w:p>
    <w:p w14:paraId="5EE297FD" w14:textId="77777777" w:rsidR="002B38A3" w:rsidRDefault="002B38A3" w:rsidP="00F03BEC">
      <w:pPr>
        <w:jc w:val="center"/>
        <w:rPr>
          <w:rFonts w:ascii="Arial" w:hAnsi="Arial" w:cs="Arial"/>
          <w:b/>
          <w:bCs/>
          <w:color w:val="000000"/>
        </w:rPr>
      </w:pPr>
    </w:p>
    <w:p w14:paraId="66D194E6" w14:textId="77777777" w:rsidR="00A94874" w:rsidRPr="00FD4828" w:rsidRDefault="00A94874" w:rsidP="00AD6EA7">
      <w:pPr>
        <w:ind w:firstLine="708"/>
        <w:rPr>
          <w:rFonts w:ascii="Arial" w:hAnsi="Arial" w:cs="Arial"/>
          <w:color w:val="000000"/>
        </w:rPr>
      </w:pPr>
    </w:p>
    <w:p w14:paraId="0C8CCD1D" w14:textId="363566EC" w:rsidR="00CC0725" w:rsidRDefault="00A06700" w:rsidP="00CC0725">
      <w:pPr>
        <w:pStyle w:val="Naslov3"/>
        <w:jc w:val="center"/>
        <w:rPr>
          <w:rFonts w:ascii="Arial" w:hAnsi="Arial" w:cs="Arial"/>
          <w:b/>
          <w:color w:val="auto"/>
        </w:rPr>
      </w:pPr>
      <w:bookmarkStart w:id="77" w:name="_Toc116629424"/>
      <w:r>
        <w:rPr>
          <w:rFonts w:ascii="Arial" w:hAnsi="Arial" w:cs="Arial"/>
          <w:b/>
          <w:color w:val="auto"/>
        </w:rPr>
        <w:lastRenderedPageBreak/>
        <w:t>3</w:t>
      </w:r>
      <w:r w:rsidR="00FE2B3D">
        <w:rPr>
          <w:rFonts w:ascii="Arial" w:hAnsi="Arial" w:cs="Arial"/>
          <w:b/>
          <w:color w:val="auto"/>
        </w:rPr>
        <w:t>.2.</w:t>
      </w:r>
      <w:r w:rsidR="00CC0725" w:rsidRPr="006E3E85">
        <w:rPr>
          <w:rFonts w:ascii="Arial" w:hAnsi="Arial" w:cs="Arial"/>
          <w:b/>
          <w:color w:val="auto"/>
        </w:rPr>
        <w:t>6. Upravni odjel za gospodarstvo i EU projekte</w:t>
      </w:r>
      <w:bookmarkEnd w:id="77"/>
      <w:r w:rsidR="00CC0725">
        <w:rPr>
          <w:rFonts w:ascii="Arial" w:hAnsi="Arial" w:cs="Arial"/>
          <w:b/>
          <w:color w:val="auto"/>
        </w:rPr>
        <w:t xml:space="preserve"> </w:t>
      </w:r>
    </w:p>
    <w:p w14:paraId="2B32ED45" w14:textId="77777777" w:rsidR="00C05295" w:rsidRDefault="00C05295" w:rsidP="00C05295"/>
    <w:p w14:paraId="2E2F5ED6" w14:textId="77777777" w:rsidR="00680E61" w:rsidRPr="00C23F84" w:rsidRDefault="00680E61" w:rsidP="00680E61">
      <w:pPr>
        <w:spacing w:line="276" w:lineRule="auto"/>
        <w:ind w:firstLine="708"/>
        <w:rPr>
          <w:rFonts w:ascii="Arial" w:hAnsi="Arial" w:cs="Arial"/>
          <w:sz w:val="22"/>
          <w:lang w:val="en-GB"/>
        </w:rPr>
      </w:pPr>
      <w:proofErr w:type="spellStart"/>
      <w:r>
        <w:rPr>
          <w:rFonts w:ascii="Arial" w:hAnsi="Arial" w:cs="Arial"/>
          <w:sz w:val="22"/>
          <w:lang w:val="en-GB"/>
        </w:rPr>
        <w:t>Prvim</w:t>
      </w:r>
      <w:proofErr w:type="spellEnd"/>
      <w:r w:rsidRPr="00C23F84">
        <w:rPr>
          <w:rFonts w:ascii="Arial" w:hAnsi="Arial" w:cs="Arial"/>
          <w:sz w:val="22"/>
          <w:lang w:val="en-GB"/>
        </w:rPr>
        <w:t xml:space="preserve"> </w:t>
      </w:r>
      <w:proofErr w:type="spellStart"/>
      <w:r w:rsidRPr="00C23F84">
        <w:rPr>
          <w:rFonts w:ascii="Arial" w:hAnsi="Arial" w:cs="Arial"/>
          <w:sz w:val="22"/>
          <w:lang w:val="en-GB"/>
        </w:rPr>
        <w:t>izmjenama</w:t>
      </w:r>
      <w:proofErr w:type="spellEnd"/>
      <w:r w:rsidRPr="00C23F84">
        <w:rPr>
          <w:rFonts w:ascii="Arial" w:hAnsi="Arial" w:cs="Arial"/>
          <w:sz w:val="22"/>
          <w:lang w:val="en-GB"/>
        </w:rPr>
        <w:t xml:space="preserve"> </w:t>
      </w:r>
      <w:proofErr w:type="spellStart"/>
      <w:r w:rsidRPr="00C23F84">
        <w:rPr>
          <w:rFonts w:ascii="Arial" w:hAnsi="Arial" w:cs="Arial"/>
          <w:sz w:val="22"/>
          <w:lang w:val="en-GB"/>
        </w:rPr>
        <w:t>i</w:t>
      </w:r>
      <w:proofErr w:type="spellEnd"/>
      <w:r w:rsidRPr="00C23F84">
        <w:rPr>
          <w:rFonts w:ascii="Arial" w:hAnsi="Arial" w:cs="Arial"/>
          <w:sz w:val="22"/>
          <w:lang w:val="en-GB"/>
        </w:rPr>
        <w:t xml:space="preserve"> </w:t>
      </w:r>
      <w:proofErr w:type="spellStart"/>
      <w:r w:rsidRPr="00C23F84">
        <w:rPr>
          <w:rFonts w:ascii="Arial" w:hAnsi="Arial" w:cs="Arial"/>
          <w:sz w:val="22"/>
          <w:lang w:val="en-GB"/>
        </w:rPr>
        <w:t>dopunama</w:t>
      </w:r>
      <w:proofErr w:type="spellEnd"/>
      <w:r w:rsidRPr="00C23F84">
        <w:rPr>
          <w:rFonts w:ascii="Arial" w:hAnsi="Arial" w:cs="Arial"/>
          <w:sz w:val="22"/>
          <w:lang w:val="en-GB"/>
        </w:rPr>
        <w:t xml:space="preserve"> </w:t>
      </w:r>
      <w:r w:rsidRPr="00C23F84">
        <w:rPr>
          <w:rFonts w:ascii="Arial" w:hAnsi="Arial" w:cs="Arial"/>
          <w:bCs/>
          <w:sz w:val="22"/>
        </w:rPr>
        <w:t>Proračun UO za gospodarstvo i EU projekte za 202</w:t>
      </w:r>
      <w:r>
        <w:rPr>
          <w:rFonts w:ascii="Arial" w:hAnsi="Arial" w:cs="Arial"/>
          <w:bCs/>
          <w:sz w:val="22"/>
        </w:rPr>
        <w:t>5</w:t>
      </w:r>
      <w:r w:rsidRPr="00C23F84">
        <w:rPr>
          <w:rFonts w:ascii="Arial" w:hAnsi="Arial" w:cs="Arial"/>
          <w:bCs/>
          <w:sz w:val="22"/>
        </w:rPr>
        <w:t>. godinu sa projekcijom za 202</w:t>
      </w:r>
      <w:r>
        <w:rPr>
          <w:rFonts w:ascii="Arial" w:hAnsi="Arial" w:cs="Arial"/>
          <w:bCs/>
          <w:sz w:val="22"/>
        </w:rPr>
        <w:t>6</w:t>
      </w:r>
      <w:r w:rsidRPr="00C23F84">
        <w:rPr>
          <w:rFonts w:ascii="Arial" w:hAnsi="Arial" w:cs="Arial"/>
          <w:bCs/>
          <w:sz w:val="22"/>
        </w:rPr>
        <w:t>. i 202</w:t>
      </w:r>
      <w:r>
        <w:rPr>
          <w:rFonts w:ascii="Arial" w:hAnsi="Arial" w:cs="Arial"/>
          <w:bCs/>
          <w:sz w:val="22"/>
        </w:rPr>
        <w:t>7</w:t>
      </w:r>
      <w:r w:rsidRPr="00C23F84">
        <w:rPr>
          <w:rFonts w:ascii="Arial" w:hAnsi="Arial" w:cs="Arial"/>
          <w:bCs/>
          <w:sz w:val="22"/>
        </w:rPr>
        <w:t>. godinu ( u daljnjem tekstu: Proračun)</w:t>
      </w:r>
      <w:r w:rsidRPr="00C23F84">
        <w:rPr>
          <w:rFonts w:ascii="Arial" w:hAnsi="Arial" w:cs="Arial"/>
          <w:sz w:val="22"/>
          <w:lang w:val="en-GB"/>
        </w:rPr>
        <w:t xml:space="preserve"> </w:t>
      </w:r>
      <w:proofErr w:type="spellStart"/>
      <w:r w:rsidRPr="00C23F84">
        <w:rPr>
          <w:rFonts w:ascii="Arial" w:hAnsi="Arial" w:cs="Arial"/>
          <w:sz w:val="22"/>
          <w:lang w:val="en-GB"/>
        </w:rPr>
        <w:t>povećao</w:t>
      </w:r>
      <w:proofErr w:type="spellEnd"/>
      <w:r w:rsidRPr="00C23F84">
        <w:rPr>
          <w:rFonts w:ascii="Arial" w:hAnsi="Arial" w:cs="Arial"/>
          <w:sz w:val="22"/>
          <w:lang w:val="en-GB"/>
        </w:rPr>
        <w:t xml:space="preserve"> se za </w:t>
      </w:r>
      <w:r>
        <w:rPr>
          <w:rFonts w:ascii="Arial" w:hAnsi="Arial" w:cs="Arial"/>
          <w:sz w:val="22"/>
          <w:lang w:val="en-GB"/>
        </w:rPr>
        <w:t xml:space="preserve">145.645,00 </w:t>
      </w:r>
      <w:r w:rsidRPr="00C23F84">
        <w:rPr>
          <w:rFonts w:ascii="Arial" w:hAnsi="Arial" w:cs="Arial"/>
          <w:sz w:val="22"/>
          <w:lang w:val="en-GB"/>
        </w:rPr>
        <w:t xml:space="preserve">EUR </w:t>
      </w:r>
      <w:proofErr w:type="spellStart"/>
      <w:r w:rsidRPr="00C23F84">
        <w:rPr>
          <w:rFonts w:ascii="Arial" w:hAnsi="Arial" w:cs="Arial"/>
          <w:sz w:val="22"/>
          <w:lang w:val="en-GB"/>
        </w:rPr>
        <w:t>ili</w:t>
      </w:r>
      <w:proofErr w:type="spellEnd"/>
      <w:r>
        <w:rPr>
          <w:rFonts w:ascii="Arial" w:hAnsi="Arial" w:cs="Arial"/>
          <w:sz w:val="22"/>
          <w:lang w:val="en-GB"/>
        </w:rPr>
        <w:t xml:space="preserve"> 48,59%</w:t>
      </w:r>
      <w:r w:rsidRPr="00C23F84">
        <w:rPr>
          <w:rFonts w:ascii="Arial" w:hAnsi="Arial" w:cs="Arial"/>
          <w:sz w:val="22"/>
          <w:lang w:val="en-GB"/>
        </w:rPr>
        <w:t xml:space="preserve"> </w:t>
      </w:r>
      <w:proofErr w:type="spellStart"/>
      <w:r w:rsidRPr="00C23F84">
        <w:rPr>
          <w:rFonts w:ascii="Arial" w:hAnsi="Arial" w:cs="Arial"/>
          <w:sz w:val="22"/>
          <w:lang w:val="en-GB"/>
        </w:rPr>
        <w:t>od</w:t>
      </w:r>
      <w:proofErr w:type="spellEnd"/>
      <w:r w:rsidRPr="00C23F84">
        <w:rPr>
          <w:rFonts w:ascii="Arial" w:hAnsi="Arial" w:cs="Arial"/>
          <w:sz w:val="22"/>
          <w:lang w:val="en-GB"/>
        </w:rPr>
        <w:t xml:space="preserve"> </w:t>
      </w:r>
      <w:proofErr w:type="spellStart"/>
      <w:r w:rsidRPr="00C23F84">
        <w:rPr>
          <w:rFonts w:ascii="Arial" w:hAnsi="Arial" w:cs="Arial"/>
          <w:sz w:val="22"/>
          <w:lang w:val="en-GB"/>
        </w:rPr>
        <w:t>planiranog</w:t>
      </w:r>
      <w:proofErr w:type="spellEnd"/>
      <w:r w:rsidRPr="00C23F84">
        <w:rPr>
          <w:rFonts w:ascii="Arial" w:hAnsi="Arial" w:cs="Arial"/>
          <w:sz w:val="22"/>
          <w:lang w:val="en-GB"/>
        </w:rPr>
        <w:t xml:space="preserve"> </w:t>
      </w:r>
      <w:proofErr w:type="spellStart"/>
      <w:r w:rsidRPr="00C23F84">
        <w:rPr>
          <w:rFonts w:ascii="Arial" w:hAnsi="Arial" w:cs="Arial"/>
          <w:sz w:val="22"/>
          <w:lang w:val="en-GB"/>
        </w:rPr>
        <w:t>iznosa</w:t>
      </w:r>
      <w:proofErr w:type="spellEnd"/>
      <w:r w:rsidRPr="00C23F84">
        <w:rPr>
          <w:rFonts w:ascii="Arial" w:hAnsi="Arial" w:cs="Arial"/>
          <w:sz w:val="22"/>
          <w:lang w:val="en-GB"/>
        </w:rPr>
        <w:t xml:space="preserve"> </w:t>
      </w:r>
      <w:proofErr w:type="spellStart"/>
      <w:r w:rsidRPr="00C23F84">
        <w:rPr>
          <w:rFonts w:ascii="Arial" w:hAnsi="Arial" w:cs="Arial"/>
          <w:sz w:val="22"/>
          <w:lang w:val="en-GB"/>
        </w:rPr>
        <w:t>i</w:t>
      </w:r>
      <w:proofErr w:type="spellEnd"/>
      <w:r w:rsidRPr="00C23F84">
        <w:rPr>
          <w:rFonts w:ascii="Arial" w:hAnsi="Arial" w:cs="Arial"/>
          <w:sz w:val="22"/>
          <w:lang w:val="en-GB"/>
        </w:rPr>
        <w:t xml:space="preserve"> </w:t>
      </w:r>
      <w:proofErr w:type="spellStart"/>
      <w:r w:rsidRPr="00C23F84">
        <w:rPr>
          <w:rFonts w:ascii="Arial" w:hAnsi="Arial" w:cs="Arial"/>
          <w:sz w:val="22"/>
          <w:lang w:val="en-GB"/>
        </w:rPr>
        <w:t>sada</w:t>
      </w:r>
      <w:proofErr w:type="spellEnd"/>
      <w:r w:rsidRPr="00C23F84">
        <w:rPr>
          <w:rFonts w:ascii="Arial" w:hAnsi="Arial" w:cs="Arial"/>
          <w:sz w:val="22"/>
          <w:lang w:val="en-GB"/>
        </w:rPr>
        <w:t xml:space="preserve"> </w:t>
      </w:r>
      <w:proofErr w:type="spellStart"/>
      <w:r w:rsidRPr="00C23F84">
        <w:rPr>
          <w:rFonts w:ascii="Arial" w:hAnsi="Arial" w:cs="Arial"/>
          <w:sz w:val="22"/>
          <w:lang w:val="en-GB"/>
        </w:rPr>
        <w:t>iznosi</w:t>
      </w:r>
      <w:proofErr w:type="spellEnd"/>
      <w:r w:rsidRPr="00C23F84">
        <w:rPr>
          <w:rFonts w:ascii="Arial" w:hAnsi="Arial" w:cs="Arial"/>
          <w:sz w:val="22"/>
          <w:lang w:val="en-GB"/>
        </w:rPr>
        <w:t xml:space="preserve"> </w:t>
      </w:r>
      <w:r>
        <w:rPr>
          <w:rFonts w:ascii="Arial" w:hAnsi="Arial" w:cs="Arial"/>
          <w:sz w:val="22"/>
          <w:lang w:val="en-GB"/>
        </w:rPr>
        <w:t xml:space="preserve">445.363,00 </w:t>
      </w:r>
      <w:r w:rsidRPr="00C23F84">
        <w:rPr>
          <w:rFonts w:ascii="Arial" w:hAnsi="Arial" w:cs="Arial"/>
          <w:sz w:val="22"/>
          <w:lang w:val="en-GB"/>
        </w:rPr>
        <w:t>EUR.</w:t>
      </w:r>
    </w:p>
    <w:p w14:paraId="6A5603CB" w14:textId="77777777" w:rsidR="00680E61" w:rsidRDefault="00680E61" w:rsidP="00680E61"/>
    <w:tbl>
      <w:tblPr>
        <w:tblW w:w="8926" w:type="dxa"/>
        <w:tblLook w:val="04A0" w:firstRow="1" w:lastRow="0" w:firstColumn="1" w:lastColumn="0" w:noHBand="0" w:noVBand="1"/>
      </w:tblPr>
      <w:tblGrid>
        <w:gridCol w:w="4168"/>
        <w:gridCol w:w="1781"/>
        <w:gridCol w:w="1559"/>
        <w:gridCol w:w="1418"/>
      </w:tblGrid>
      <w:tr w:rsidR="00680E61" w:rsidRPr="00AB3469" w14:paraId="4472CD59" w14:textId="77777777" w:rsidTr="00DB54DB">
        <w:trPr>
          <w:trHeight w:val="510"/>
        </w:trPr>
        <w:tc>
          <w:tcPr>
            <w:tcW w:w="41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DC6A9A" w14:textId="77777777" w:rsidR="00680E61" w:rsidRPr="00AB3469" w:rsidRDefault="00680E61" w:rsidP="00DB54DB">
            <w:pPr>
              <w:rPr>
                <w:rFonts w:ascii="Arial" w:hAnsi="Arial" w:cs="Arial"/>
                <w:b/>
                <w:bCs/>
                <w:sz w:val="20"/>
                <w:szCs w:val="20"/>
              </w:rPr>
            </w:pPr>
          </w:p>
        </w:tc>
        <w:tc>
          <w:tcPr>
            <w:tcW w:w="1781" w:type="dxa"/>
            <w:tcBorders>
              <w:top w:val="single" w:sz="4" w:space="0" w:color="auto"/>
              <w:left w:val="nil"/>
              <w:bottom w:val="single" w:sz="4" w:space="0" w:color="auto"/>
              <w:right w:val="single" w:sz="4" w:space="0" w:color="auto"/>
            </w:tcBorders>
            <w:shd w:val="clear" w:color="000000" w:fill="FFFFFF"/>
            <w:noWrap/>
            <w:vAlign w:val="bottom"/>
            <w:hideMark/>
          </w:tcPr>
          <w:p w14:paraId="22F23FFB" w14:textId="77777777" w:rsidR="00680E61" w:rsidRPr="00AB3469" w:rsidRDefault="00680E61" w:rsidP="00DB54DB">
            <w:pPr>
              <w:rPr>
                <w:rFonts w:ascii="Arial" w:hAnsi="Arial" w:cs="Arial"/>
                <w:b/>
                <w:bCs/>
                <w:sz w:val="20"/>
                <w:szCs w:val="20"/>
              </w:rPr>
            </w:pPr>
            <w:r w:rsidRPr="00AB3469">
              <w:rPr>
                <w:rFonts w:ascii="Arial" w:hAnsi="Arial" w:cs="Arial"/>
                <w:b/>
                <w:bCs/>
                <w:sz w:val="20"/>
                <w:szCs w:val="20"/>
              </w:rPr>
              <w:t>PLANIRANO</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428D5634" w14:textId="77777777" w:rsidR="00680E61" w:rsidRPr="00AB3469" w:rsidRDefault="00680E61" w:rsidP="00DB54DB">
            <w:pPr>
              <w:rPr>
                <w:rFonts w:ascii="Arial" w:hAnsi="Arial" w:cs="Arial"/>
                <w:b/>
                <w:bCs/>
                <w:sz w:val="20"/>
                <w:szCs w:val="20"/>
              </w:rPr>
            </w:pPr>
            <w:r w:rsidRPr="00AB3469">
              <w:rPr>
                <w:rFonts w:ascii="Arial" w:hAnsi="Arial" w:cs="Arial"/>
                <w:b/>
                <w:bCs/>
                <w:sz w:val="20"/>
                <w:szCs w:val="20"/>
              </w:rPr>
              <w:t>PROMJENA IZNOS</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14:paraId="4330DBF3" w14:textId="77777777" w:rsidR="00680E61" w:rsidRPr="00AB3469" w:rsidRDefault="00680E61" w:rsidP="00DB54DB">
            <w:pPr>
              <w:rPr>
                <w:rFonts w:ascii="Arial" w:hAnsi="Arial" w:cs="Arial"/>
                <w:b/>
                <w:bCs/>
                <w:sz w:val="20"/>
                <w:szCs w:val="20"/>
              </w:rPr>
            </w:pPr>
            <w:r w:rsidRPr="00AB3469">
              <w:rPr>
                <w:rFonts w:ascii="Arial" w:hAnsi="Arial" w:cs="Arial"/>
                <w:b/>
                <w:bCs/>
                <w:sz w:val="20"/>
                <w:szCs w:val="20"/>
              </w:rPr>
              <w:t>NOVI IZNOS</w:t>
            </w:r>
          </w:p>
        </w:tc>
      </w:tr>
      <w:tr w:rsidR="00680E61" w:rsidRPr="00AB3469" w14:paraId="67C7C847" w14:textId="77777777" w:rsidTr="00DB54DB">
        <w:trPr>
          <w:trHeight w:val="255"/>
        </w:trPr>
        <w:tc>
          <w:tcPr>
            <w:tcW w:w="4168" w:type="dxa"/>
            <w:tcBorders>
              <w:top w:val="nil"/>
              <w:left w:val="single" w:sz="4" w:space="0" w:color="auto"/>
              <w:bottom w:val="single" w:sz="4" w:space="0" w:color="auto"/>
              <w:right w:val="single" w:sz="4" w:space="0" w:color="auto"/>
            </w:tcBorders>
            <w:shd w:val="clear" w:color="000000" w:fill="FFFFFF"/>
            <w:noWrap/>
            <w:vAlign w:val="bottom"/>
            <w:hideMark/>
          </w:tcPr>
          <w:p w14:paraId="033CA188" w14:textId="77777777" w:rsidR="00680E61" w:rsidRPr="00AB3469" w:rsidRDefault="00680E61" w:rsidP="00DB54DB">
            <w:pPr>
              <w:rPr>
                <w:rFonts w:ascii="Arial" w:hAnsi="Arial" w:cs="Arial"/>
                <w:b/>
                <w:bCs/>
                <w:sz w:val="20"/>
                <w:szCs w:val="20"/>
              </w:rPr>
            </w:pPr>
            <w:r w:rsidRPr="00AB3469">
              <w:rPr>
                <w:rFonts w:ascii="Arial" w:hAnsi="Arial" w:cs="Arial"/>
                <w:b/>
                <w:bCs/>
                <w:sz w:val="20"/>
                <w:szCs w:val="20"/>
              </w:rPr>
              <w:t xml:space="preserve">  SVEUKUPNO RASHODI / IZDACI</w:t>
            </w:r>
          </w:p>
        </w:tc>
        <w:tc>
          <w:tcPr>
            <w:tcW w:w="1781" w:type="dxa"/>
            <w:tcBorders>
              <w:top w:val="nil"/>
              <w:left w:val="nil"/>
              <w:bottom w:val="single" w:sz="4" w:space="0" w:color="auto"/>
              <w:right w:val="single" w:sz="4" w:space="0" w:color="auto"/>
            </w:tcBorders>
            <w:shd w:val="clear" w:color="000000" w:fill="FFFFFF"/>
            <w:noWrap/>
            <w:vAlign w:val="bottom"/>
            <w:hideMark/>
          </w:tcPr>
          <w:p w14:paraId="480D9BD9" w14:textId="77777777" w:rsidR="00680E61" w:rsidRPr="00AB3469" w:rsidRDefault="00680E61" w:rsidP="00DB54DB">
            <w:pPr>
              <w:jc w:val="right"/>
              <w:rPr>
                <w:rFonts w:ascii="Arial" w:hAnsi="Arial" w:cs="Arial"/>
                <w:b/>
                <w:bCs/>
                <w:sz w:val="20"/>
                <w:szCs w:val="20"/>
              </w:rPr>
            </w:pPr>
            <w:r w:rsidRPr="00AB3469">
              <w:rPr>
                <w:rFonts w:ascii="Arial" w:hAnsi="Arial" w:cs="Arial"/>
                <w:b/>
                <w:bCs/>
                <w:sz w:val="20"/>
                <w:szCs w:val="20"/>
              </w:rPr>
              <w:t>299.718,00</w:t>
            </w:r>
          </w:p>
        </w:tc>
        <w:tc>
          <w:tcPr>
            <w:tcW w:w="1559" w:type="dxa"/>
            <w:tcBorders>
              <w:top w:val="nil"/>
              <w:left w:val="nil"/>
              <w:bottom w:val="single" w:sz="4" w:space="0" w:color="auto"/>
              <w:right w:val="single" w:sz="4" w:space="0" w:color="auto"/>
            </w:tcBorders>
            <w:shd w:val="clear" w:color="000000" w:fill="FFFFFF"/>
            <w:noWrap/>
            <w:vAlign w:val="bottom"/>
            <w:hideMark/>
          </w:tcPr>
          <w:p w14:paraId="4D20AB93" w14:textId="77777777" w:rsidR="00680E61" w:rsidRPr="00AB3469" w:rsidRDefault="00680E61" w:rsidP="00DB54DB">
            <w:pPr>
              <w:jc w:val="right"/>
              <w:rPr>
                <w:rFonts w:ascii="Arial" w:hAnsi="Arial" w:cs="Arial"/>
                <w:b/>
                <w:bCs/>
                <w:sz w:val="20"/>
                <w:szCs w:val="20"/>
              </w:rPr>
            </w:pPr>
            <w:r w:rsidRPr="00AB3469">
              <w:rPr>
                <w:rFonts w:ascii="Arial" w:hAnsi="Arial" w:cs="Arial"/>
                <w:b/>
                <w:bCs/>
                <w:sz w:val="20"/>
                <w:szCs w:val="20"/>
              </w:rPr>
              <w:t>145.645,00</w:t>
            </w:r>
          </w:p>
        </w:tc>
        <w:tc>
          <w:tcPr>
            <w:tcW w:w="1418" w:type="dxa"/>
            <w:tcBorders>
              <w:top w:val="nil"/>
              <w:left w:val="nil"/>
              <w:bottom w:val="single" w:sz="4" w:space="0" w:color="auto"/>
              <w:right w:val="single" w:sz="4" w:space="0" w:color="auto"/>
            </w:tcBorders>
            <w:shd w:val="clear" w:color="000000" w:fill="FFFFFF"/>
            <w:noWrap/>
            <w:vAlign w:val="bottom"/>
            <w:hideMark/>
          </w:tcPr>
          <w:p w14:paraId="79630BC7" w14:textId="77777777" w:rsidR="00680E61" w:rsidRPr="00AB3469" w:rsidRDefault="00680E61" w:rsidP="00DB54DB">
            <w:pPr>
              <w:jc w:val="right"/>
              <w:rPr>
                <w:rFonts w:ascii="Arial" w:hAnsi="Arial" w:cs="Arial"/>
                <w:b/>
                <w:bCs/>
                <w:sz w:val="20"/>
                <w:szCs w:val="20"/>
              </w:rPr>
            </w:pPr>
            <w:r w:rsidRPr="00AB3469">
              <w:rPr>
                <w:rFonts w:ascii="Arial" w:hAnsi="Arial" w:cs="Arial"/>
                <w:b/>
                <w:bCs/>
                <w:sz w:val="20"/>
                <w:szCs w:val="20"/>
              </w:rPr>
              <w:t>445.363,00</w:t>
            </w:r>
          </w:p>
        </w:tc>
      </w:tr>
      <w:tr w:rsidR="00680E61" w:rsidRPr="00AB3469" w14:paraId="65EED9DE" w14:textId="77777777" w:rsidTr="00DB54DB">
        <w:trPr>
          <w:trHeight w:val="255"/>
        </w:trPr>
        <w:tc>
          <w:tcPr>
            <w:tcW w:w="4168" w:type="dxa"/>
            <w:tcBorders>
              <w:top w:val="nil"/>
              <w:left w:val="single" w:sz="4" w:space="0" w:color="auto"/>
              <w:bottom w:val="single" w:sz="4" w:space="0" w:color="auto"/>
              <w:right w:val="single" w:sz="4" w:space="0" w:color="auto"/>
            </w:tcBorders>
            <w:shd w:val="clear" w:color="000000" w:fill="FFFFFF"/>
            <w:noWrap/>
            <w:vAlign w:val="bottom"/>
            <w:hideMark/>
          </w:tcPr>
          <w:p w14:paraId="765B36B6" w14:textId="77777777" w:rsidR="00680E61" w:rsidRPr="00AB3469" w:rsidRDefault="00680E61" w:rsidP="00DB54DB">
            <w:pPr>
              <w:rPr>
                <w:rFonts w:ascii="Arial" w:hAnsi="Arial" w:cs="Arial"/>
                <w:b/>
                <w:bCs/>
                <w:sz w:val="20"/>
                <w:szCs w:val="20"/>
              </w:rPr>
            </w:pPr>
            <w:r w:rsidRPr="00AB3469">
              <w:rPr>
                <w:rFonts w:ascii="Arial" w:hAnsi="Arial" w:cs="Arial"/>
                <w:b/>
                <w:bCs/>
                <w:sz w:val="20"/>
                <w:szCs w:val="20"/>
              </w:rPr>
              <w:t>Razdjel 600 UPRAVNI ODJEL ZA GOSPODARSTVO I EU PROJEKTE</w:t>
            </w:r>
          </w:p>
        </w:tc>
        <w:tc>
          <w:tcPr>
            <w:tcW w:w="1781" w:type="dxa"/>
            <w:tcBorders>
              <w:top w:val="nil"/>
              <w:left w:val="nil"/>
              <w:bottom w:val="single" w:sz="4" w:space="0" w:color="auto"/>
              <w:right w:val="single" w:sz="4" w:space="0" w:color="auto"/>
            </w:tcBorders>
            <w:shd w:val="clear" w:color="000000" w:fill="FFFFFF"/>
            <w:noWrap/>
            <w:vAlign w:val="bottom"/>
            <w:hideMark/>
          </w:tcPr>
          <w:p w14:paraId="244EEC0A" w14:textId="77777777" w:rsidR="00680E61" w:rsidRPr="00AB3469" w:rsidRDefault="00680E61" w:rsidP="00DB54DB">
            <w:pPr>
              <w:jc w:val="right"/>
              <w:rPr>
                <w:rFonts w:ascii="Arial" w:hAnsi="Arial" w:cs="Arial"/>
                <w:b/>
                <w:bCs/>
                <w:sz w:val="20"/>
                <w:szCs w:val="20"/>
              </w:rPr>
            </w:pPr>
            <w:r w:rsidRPr="00AB3469">
              <w:rPr>
                <w:rFonts w:ascii="Arial" w:hAnsi="Arial" w:cs="Arial"/>
                <w:b/>
                <w:bCs/>
                <w:sz w:val="20"/>
                <w:szCs w:val="20"/>
              </w:rPr>
              <w:t>299.718,00</w:t>
            </w:r>
          </w:p>
        </w:tc>
        <w:tc>
          <w:tcPr>
            <w:tcW w:w="1559" w:type="dxa"/>
            <w:tcBorders>
              <w:top w:val="nil"/>
              <w:left w:val="nil"/>
              <w:bottom w:val="single" w:sz="4" w:space="0" w:color="auto"/>
              <w:right w:val="single" w:sz="4" w:space="0" w:color="auto"/>
            </w:tcBorders>
            <w:shd w:val="clear" w:color="000000" w:fill="FFFFFF"/>
            <w:noWrap/>
            <w:vAlign w:val="bottom"/>
            <w:hideMark/>
          </w:tcPr>
          <w:p w14:paraId="02C2024B" w14:textId="77777777" w:rsidR="00680E61" w:rsidRPr="00AB3469" w:rsidRDefault="00680E61" w:rsidP="00DB54DB">
            <w:pPr>
              <w:jc w:val="right"/>
              <w:rPr>
                <w:rFonts w:ascii="Arial" w:hAnsi="Arial" w:cs="Arial"/>
                <w:b/>
                <w:bCs/>
                <w:sz w:val="20"/>
                <w:szCs w:val="20"/>
              </w:rPr>
            </w:pPr>
            <w:r w:rsidRPr="00AB3469">
              <w:rPr>
                <w:rFonts w:ascii="Arial" w:hAnsi="Arial" w:cs="Arial"/>
                <w:b/>
                <w:bCs/>
                <w:sz w:val="20"/>
                <w:szCs w:val="20"/>
              </w:rPr>
              <w:t>145.645,00</w:t>
            </w:r>
          </w:p>
        </w:tc>
        <w:tc>
          <w:tcPr>
            <w:tcW w:w="1418" w:type="dxa"/>
            <w:tcBorders>
              <w:top w:val="nil"/>
              <w:left w:val="nil"/>
              <w:bottom w:val="single" w:sz="4" w:space="0" w:color="auto"/>
              <w:right w:val="single" w:sz="4" w:space="0" w:color="auto"/>
            </w:tcBorders>
            <w:shd w:val="clear" w:color="000000" w:fill="FFFFFF"/>
            <w:noWrap/>
            <w:vAlign w:val="bottom"/>
            <w:hideMark/>
          </w:tcPr>
          <w:p w14:paraId="67DEB5BC" w14:textId="77777777" w:rsidR="00680E61" w:rsidRPr="00AB3469" w:rsidRDefault="00680E61" w:rsidP="00DB54DB">
            <w:pPr>
              <w:jc w:val="right"/>
              <w:rPr>
                <w:rFonts w:ascii="Arial" w:hAnsi="Arial" w:cs="Arial"/>
                <w:b/>
                <w:bCs/>
                <w:sz w:val="20"/>
                <w:szCs w:val="20"/>
              </w:rPr>
            </w:pPr>
            <w:r w:rsidRPr="00AB3469">
              <w:rPr>
                <w:rFonts w:ascii="Arial" w:hAnsi="Arial" w:cs="Arial"/>
                <w:b/>
                <w:bCs/>
                <w:sz w:val="20"/>
                <w:szCs w:val="20"/>
              </w:rPr>
              <w:t>445.363,00</w:t>
            </w:r>
          </w:p>
        </w:tc>
      </w:tr>
      <w:tr w:rsidR="00680E61" w:rsidRPr="00AB3469" w14:paraId="7931A14C" w14:textId="77777777" w:rsidTr="00DB54DB">
        <w:trPr>
          <w:trHeight w:val="255"/>
        </w:trPr>
        <w:tc>
          <w:tcPr>
            <w:tcW w:w="4168" w:type="dxa"/>
            <w:tcBorders>
              <w:top w:val="nil"/>
              <w:left w:val="single" w:sz="4" w:space="0" w:color="auto"/>
              <w:bottom w:val="single" w:sz="4" w:space="0" w:color="auto"/>
              <w:right w:val="single" w:sz="4" w:space="0" w:color="auto"/>
            </w:tcBorders>
            <w:shd w:val="clear" w:color="000000" w:fill="FFFFFF"/>
            <w:noWrap/>
            <w:vAlign w:val="bottom"/>
            <w:hideMark/>
          </w:tcPr>
          <w:p w14:paraId="17291210" w14:textId="77777777" w:rsidR="00680E61" w:rsidRPr="00AB3469" w:rsidRDefault="00680E61" w:rsidP="00DB54DB">
            <w:pPr>
              <w:rPr>
                <w:rFonts w:ascii="Arial" w:hAnsi="Arial" w:cs="Arial"/>
                <w:b/>
                <w:bCs/>
                <w:sz w:val="20"/>
                <w:szCs w:val="20"/>
              </w:rPr>
            </w:pPr>
            <w:r w:rsidRPr="00AB3469">
              <w:rPr>
                <w:rFonts w:ascii="Arial" w:hAnsi="Arial" w:cs="Arial"/>
                <w:b/>
                <w:bCs/>
                <w:sz w:val="20"/>
                <w:szCs w:val="20"/>
              </w:rPr>
              <w:t>Glava 60001 UPRAVNI ODJEL ZA GOSPODARSTVO I EU PROJEKTE</w:t>
            </w:r>
          </w:p>
        </w:tc>
        <w:tc>
          <w:tcPr>
            <w:tcW w:w="1781" w:type="dxa"/>
            <w:tcBorders>
              <w:top w:val="nil"/>
              <w:left w:val="nil"/>
              <w:bottom w:val="single" w:sz="4" w:space="0" w:color="auto"/>
              <w:right w:val="single" w:sz="4" w:space="0" w:color="auto"/>
            </w:tcBorders>
            <w:shd w:val="clear" w:color="000000" w:fill="FFFFFF"/>
            <w:noWrap/>
            <w:vAlign w:val="bottom"/>
            <w:hideMark/>
          </w:tcPr>
          <w:p w14:paraId="1DA69F52" w14:textId="77777777" w:rsidR="00680E61" w:rsidRPr="00AB3469" w:rsidRDefault="00680E61" w:rsidP="00DB54DB">
            <w:pPr>
              <w:jc w:val="right"/>
              <w:rPr>
                <w:rFonts w:ascii="Arial" w:hAnsi="Arial" w:cs="Arial"/>
                <w:b/>
                <w:bCs/>
                <w:sz w:val="20"/>
                <w:szCs w:val="20"/>
              </w:rPr>
            </w:pPr>
            <w:r w:rsidRPr="00AB3469">
              <w:rPr>
                <w:rFonts w:ascii="Arial" w:hAnsi="Arial" w:cs="Arial"/>
                <w:b/>
                <w:bCs/>
                <w:sz w:val="20"/>
                <w:szCs w:val="20"/>
              </w:rPr>
              <w:t>299.718,00</w:t>
            </w:r>
          </w:p>
        </w:tc>
        <w:tc>
          <w:tcPr>
            <w:tcW w:w="1559" w:type="dxa"/>
            <w:tcBorders>
              <w:top w:val="nil"/>
              <w:left w:val="nil"/>
              <w:bottom w:val="single" w:sz="4" w:space="0" w:color="auto"/>
              <w:right w:val="single" w:sz="4" w:space="0" w:color="auto"/>
            </w:tcBorders>
            <w:shd w:val="clear" w:color="000000" w:fill="FFFFFF"/>
            <w:noWrap/>
            <w:vAlign w:val="bottom"/>
            <w:hideMark/>
          </w:tcPr>
          <w:p w14:paraId="1C3AC669" w14:textId="77777777" w:rsidR="00680E61" w:rsidRPr="00AB3469" w:rsidRDefault="00680E61" w:rsidP="00DB54DB">
            <w:pPr>
              <w:jc w:val="right"/>
              <w:rPr>
                <w:rFonts w:ascii="Arial" w:hAnsi="Arial" w:cs="Arial"/>
                <w:b/>
                <w:bCs/>
                <w:sz w:val="20"/>
                <w:szCs w:val="20"/>
              </w:rPr>
            </w:pPr>
            <w:r w:rsidRPr="00AB3469">
              <w:rPr>
                <w:rFonts w:ascii="Arial" w:hAnsi="Arial" w:cs="Arial"/>
                <w:b/>
                <w:bCs/>
                <w:sz w:val="20"/>
                <w:szCs w:val="20"/>
              </w:rPr>
              <w:t>145.645,00</w:t>
            </w:r>
          </w:p>
        </w:tc>
        <w:tc>
          <w:tcPr>
            <w:tcW w:w="1418" w:type="dxa"/>
            <w:tcBorders>
              <w:top w:val="nil"/>
              <w:left w:val="nil"/>
              <w:bottom w:val="single" w:sz="4" w:space="0" w:color="auto"/>
              <w:right w:val="single" w:sz="4" w:space="0" w:color="auto"/>
            </w:tcBorders>
            <w:shd w:val="clear" w:color="000000" w:fill="FFFFFF"/>
            <w:noWrap/>
            <w:vAlign w:val="bottom"/>
            <w:hideMark/>
          </w:tcPr>
          <w:p w14:paraId="15DA77C6" w14:textId="77777777" w:rsidR="00680E61" w:rsidRPr="00AB3469" w:rsidRDefault="00680E61" w:rsidP="00DB54DB">
            <w:pPr>
              <w:jc w:val="right"/>
              <w:rPr>
                <w:rFonts w:ascii="Arial" w:hAnsi="Arial" w:cs="Arial"/>
                <w:b/>
                <w:bCs/>
                <w:sz w:val="20"/>
                <w:szCs w:val="20"/>
              </w:rPr>
            </w:pPr>
            <w:r w:rsidRPr="00AB3469">
              <w:rPr>
                <w:rFonts w:ascii="Arial" w:hAnsi="Arial" w:cs="Arial"/>
                <w:b/>
                <w:bCs/>
                <w:sz w:val="20"/>
                <w:szCs w:val="20"/>
              </w:rPr>
              <w:t>445.363,00</w:t>
            </w:r>
          </w:p>
        </w:tc>
      </w:tr>
      <w:tr w:rsidR="00680E61" w:rsidRPr="00AB3469" w14:paraId="65CB9B07" w14:textId="77777777" w:rsidTr="00DB54DB">
        <w:trPr>
          <w:trHeight w:val="255"/>
        </w:trPr>
        <w:tc>
          <w:tcPr>
            <w:tcW w:w="4168" w:type="dxa"/>
            <w:tcBorders>
              <w:top w:val="nil"/>
              <w:left w:val="single" w:sz="4" w:space="0" w:color="auto"/>
              <w:bottom w:val="single" w:sz="4" w:space="0" w:color="auto"/>
              <w:right w:val="single" w:sz="4" w:space="0" w:color="auto"/>
            </w:tcBorders>
            <w:shd w:val="clear" w:color="000000" w:fill="FFFFFF"/>
            <w:noWrap/>
            <w:vAlign w:val="bottom"/>
            <w:hideMark/>
          </w:tcPr>
          <w:p w14:paraId="0005CD8F" w14:textId="77777777" w:rsidR="00680E61" w:rsidRPr="00AB3469" w:rsidRDefault="00680E61" w:rsidP="00DB54DB">
            <w:pPr>
              <w:rPr>
                <w:rFonts w:ascii="Arial" w:hAnsi="Arial" w:cs="Arial"/>
                <w:b/>
                <w:bCs/>
                <w:sz w:val="20"/>
                <w:szCs w:val="20"/>
              </w:rPr>
            </w:pPr>
            <w:r w:rsidRPr="00AB3469">
              <w:rPr>
                <w:rFonts w:ascii="Arial" w:hAnsi="Arial" w:cs="Arial"/>
                <w:b/>
                <w:bCs/>
                <w:sz w:val="20"/>
                <w:szCs w:val="20"/>
              </w:rPr>
              <w:t>Program 6001 Jačanje gospodarstva</w:t>
            </w:r>
          </w:p>
        </w:tc>
        <w:tc>
          <w:tcPr>
            <w:tcW w:w="1781" w:type="dxa"/>
            <w:tcBorders>
              <w:top w:val="nil"/>
              <w:left w:val="nil"/>
              <w:bottom w:val="single" w:sz="4" w:space="0" w:color="auto"/>
              <w:right w:val="single" w:sz="4" w:space="0" w:color="auto"/>
            </w:tcBorders>
            <w:shd w:val="clear" w:color="000000" w:fill="FFFFFF"/>
            <w:noWrap/>
            <w:vAlign w:val="bottom"/>
            <w:hideMark/>
          </w:tcPr>
          <w:p w14:paraId="79AB9E9E" w14:textId="77777777" w:rsidR="00680E61" w:rsidRPr="00AB3469" w:rsidRDefault="00680E61" w:rsidP="00DB54DB">
            <w:pPr>
              <w:jc w:val="right"/>
              <w:rPr>
                <w:rFonts w:ascii="Arial" w:hAnsi="Arial" w:cs="Arial"/>
                <w:b/>
                <w:bCs/>
                <w:sz w:val="20"/>
                <w:szCs w:val="20"/>
              </w:rPr>
            </w:pPr>
            <w:r w:rsidRPr="00AB3469">
              <w:rPr>
                <w:rFonts w:ascii="Arial" w:hAnsi="Arial" w:cs="Arial"/>
                <w:b/>
                <w:bCs/>
                <w:sz w:val="20"/>
                <w:szCs w:val="20"/>
              </w:rPr>
              <w:t>144.618,00</w:t>
            </w:r>
          </w:p>
        </w:tc>
        <w:tc>
          <w:tcPr>
            <w:tcW w:w="1559" w:type="dxa"/>
            <w:tcBorders>
              <w:top w:val="nil"/>
              <w:left w:val="nil"/>
              <w:bottom w:val="single" w:sz="4" w:space="0" w:color="auto"/>
              <w:right w:val="single" w:sz="4" w:space="0" w:color="auto"/>
            </w:tcBorders>
            <w:shd w:val="clear" w:color="000000" w:fill="FFFFFF"/>
            <w:noWrap/>
            <w:vAlign w:val="bottom"/>
            <w:hideMark/>
          </w:tcPr>
          <w:p w14:paraId="47F11207" w14:textId="77777777" w:rsidR="00680E61" w:rsidRPr="00AB3469" w:rsidRDefault="00680E61" w:rsidP="00DB54DB">
            <w:pPr>
              <w:jc w:val="right"/>
              <w:rPr>
                <w:rFonts w:ascii="Arial" w:hAnsi="Arial" w:cs="Arial"/>
                <w:b/>
                <w:bCs/>
                <w:sz w:val="20"/>
                <w:szCs w:val="20"/>
              </w:rPr>
            </w:pPr>
            <w:r w:rsidRPr="00AB3469">
              <w:rPr>
                <w:rFonts w:ascii="Arial" w:hAnsi="Arial" w:cs="Arial"/>
                <w:b/>
                <w:bCs/>
                <w:sz w:val="20"/>
                <w:szCs w:val="20"/>
              </w:rPr>
              <w:t>-11.325,00</w:t>
            </w:r>
          </w:p>
        </w:tc>
        <w:tc>
          <w:tcPr>
            <w:tcW w:w="1418" w:type="dxa"/>
            <w:tcBorders>
              <w:top w:val="nil"/>
              <w:left w:val="nil"/>
              <w:bottom w:val="single" w:sz="4" w:space="0" w:color="auto"/>
              <w:right w:val="single" w:sz="4" w:space="0" w:color="auto"/>
            </w:tcBorders>
            <w:shd w:val="clear" w:color="000000" w:fill="FFFFFF"/>
            <w:noWrap/>
            <w:vAlign w:val="bottom"/>
            <w:hideMark/>
          </w:tcPr>
          <w:p w14:paraId="064D7D46" w14:textId="77777777" w:rsidR="00680E61" w:rsidRPr="00AB3469" w:rsidRDefault="00680E61" w:rsidP="00DB54DB">
            <w:pPr>
              <w:jc w:val="right"/>
              <w:rPr>
                <w:rFonts w:ascii="Arial" w:hAnsi="Arial" w:cs="Arial"/>
                <w:b/>
                <w:bCs/>
                <w:sz w:val="20"/>
                <w:szCs w:val="20"/>
              </w:rPr>
            </w:pPr>
            <w:r w:rsidRPr="00AB3469">
              <w:rPr>
                <w:rFonts w:ascii="Arial" w:hAnsi="Arial" w:cs="Arial"/>
                <w:b/>
                <w:bCs/>
                <w:sz w:val="20"/>
                <w:szCs w:val="20"/>
              </w:rPr>
              <w:t>133.293,00</w:t>
            </w:r>
          </w:p>
        </w:tc>
      </w:tr>
      <w:tr w:rsidR="00680E61" w:rsidRPr="00AB3469" w14:paraId="618DBC61" w14:textId="77777777" w:rsidTr="00DB54DB">
        <w:trPr>
          <w:trHeight w:val="255"/>
        </w:trPr>
        <w:tc>
          <w:tcPr>
            <w:tcW w:w="4168" w:type="dxa"/>
            <w:tcBorders>
              <w:top w:val="nil"/>
              <w:left w:val="single" w:sz="4" w:space="0" w:color="auto"/>
              <w:bottom w:val="single" w:sz="4" w:space="0" w:color="auto"/>
              <w:right w:val="single" w:sz="4" w:space="0" w:color="auto"/>
            </w:tcBorders>
            <w:shd w:val="clear" w:color="000000" w:fill="FFFFFF"/>
            <w:noWrap/>
            <w:vAlign w:val="bottom"/>
            <w:hideMark/>
          </w:tcPr>
          <w:p w14:paraId="4F074903" w14:textId="77777777" w:rsidR="00680E61" w:rsidRPr="00AB3469" w:rsidRDefault="00680E61" w:rsidP="00DB54DB">
            <w:pPr>
              <w:rPr>
                <w:rFonts w:ascii="Arial" w:hAnsi="Arial" w:cs="Arial"/>
                <w:sz w:val="20"/>
                <w:szCs w:val="20"/>
              </w:rPr>
            </w:pPr>
            <w:r w:rsidRPr="00AB3469">
              <w:rPr>
                <w:rFonts w:ascii="Arial" w:hAnsi="Arial" w:cs="Arial"/>
                <w:sz w:val="20"/>
                <w:szCs w:val="20"/>
              </w:rPr>
              <w:t>Aktivnost A600001 Učešće u Fondu za razvoj poljoprivrede i agroturizma Istre</w:t>
            </w:r>
          </w:p>
        </w:tc>
        <w:tc>
          <w:tcPr>
            <w:tcW w:w="1781" w:type="dxa"/>
            <w:tcBorders>
              <w:top w:val="nil"/>
              <w:left w:val="nil"/>
              <w:bottom w:val="single" w:sz="4" w:space="0" w:color="auto"/>
              <w:right w:val="single" w:sz="4" w:space="0" w:color="auto"/>
            </w:tcBorders>
            <w:shd w:val="clear" w:color="000000" w:fill="FFFFFF"/>
            <w:noWrap/>
            <w:vAlign w:val="bottom"/>
            <w:hideMark/>
          </w:tcPr>
          <w:p w14:paraId="6588E063"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2.654,00</w:t>
            </w:r>
          </w:p>
        </w:tc>
        <w:tc>
          <w:tcPr>
            <w:tcW w:w="1559" w:type="dxa"/>
            <w:tcBorders>
              <w:top w:val="nil"/>
              <w:left w:val="nil"/>
              <w:bottom w:val="single" w:sz="4" w:space="0" w:color="auto"/>
              <w:right w:val="single" w:sz="4" w:space="0" w:color="auto"/>
            </w:tcBorders>
            <w:shd w:val="clear" w:color="000000" w:fill="FFFFFF"/>
            <w:noWrap/>
            <w:vAlign w:val="bottom"/>
            <w:hideMark/>
          </w:tcPr>
          <w:p w14:paraId="4F15302C"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7AE5EBA3"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2.654,00</w:t>
            </w:r>
          </w:p>
        </w:tc>
      </w:tr>
      <w:tr w:rsidR="00680E61" w:rsidRPr="00AB3469" w14:paraId="6C9FB174" w14:textId="77777777" w:rsidTr="00DB54DB">
        <w:trPr>
          <w:trHeight w:val="255"/>
        </w:trPr>
        <w:tc>
          <w:tcPr>
            <w:tcW w:w="4168" w:type="dxa"/>
            <w:tcBorders>
              <w:top w:val="nil"/>
              <w:left w:val="single" w:sz="4" w:space="0" w:color="auto"/>
              <w:bottom w:val="single" w:sz="4" w:space="0" w:color="auto"/>
              <w:right w:val="single" w:sz="4" w:space="0" w:color="auto"/>
            </w:tcBorders>
            <w:shd w:val="clear" w:color="000000" w:fill="FFFFFF"/>
            <w:noWrap/>
            <w:vAlign w:val="bottom"/>
            <w:hideMark/>
          </w:tcPr>
          <w:p w14:paraId="1580D24C" w14:textId="77777777" w:rsidR="00680E61" w:rsidRPr="00AB3469" w:rsidRDefault="00680E61" w:rsidP="00DB54DB">
            <w:pPr>
              <w:rPr>
                <w:rFonts w:ascii="Arial" w:hAnsi="Arial" w:cs="Arial"/>
                <w:sz w:val="20"/>
                <w:szCs w:val="20"/>
              </w:rPr>
            </w:pPr>
            <w:r w:rsidRPr="00AB3469">
              <w:rPr>
                <w:rFonts w:ascii="Arial" w:hAnsi="Arial" w:cs="Arial"/>
                <w:sz w:val="20"/>
                <w:szCs w:val="20"/>
              </w:rPr>
              <w:t>Aktivnost A600002 Promocija tradicionalnih obrta i proizvoda</w:t>
            </w:r>
          </w:p>
        </w:tc>
        <w:tc>
          <w:tcPr>
            <w:tcW w:w="1781" w:type="dxa"/>
            <w:tcBorders>
              <w:top w:val="nil"/>
              <w:left w:val="nil"/>
              <w:bottom w:val="single" w:sz="4" w:space="0" w:color="auto"/>
              <w:right w:val="single" w:sz="4" w:space="0" w:color="auto"/>
            </w:tcBorders>
            <w:shd w:val="clear" w:color="000000" w:fill="FFFFFF"/>
            <w:noWrap/>
            <w:vAlign w:val="bottom"/>
            <w:hideMark/>
          </w:tcPr>
          <w:p w14:paraId="0A106728"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4.000,00</w:t>
            </w:r>
          </w:p>
        </w:tc>
        <w:tc>
          <w:tcPr>
            <w:tcW w:w="1559" w:type="dxa"/>
            <w:tcBorders>
              <w:top w:val="nil"/>
              <w:left w:val="nil"/>
              <w:bottom w:val="single" w:sz="4" w:space="0" w:color="auto"/>
              <w:right w:val="single" w:sz="4" w:space="0" w:color="auto"/>
            </w:tcBorders>
            <w:shd w:val="clear" w:color="000000" w:fill="FFFFFF"/>
            <w:noWrap/>
            <w:vAlign w:val="bottom"/>
            <w:hideMark/>
          </w:tcPr>
          <w:p w14:paraId="32523031"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-1.000,00</w:t>
            </w:r>
          </w:p>
        </w:tc>
        <w:tc>
          <w:tcPr>
            <w:tcW w:w="1418" w:type="dxa"/>
            <w:tcBorders>
              <w:top w:val="nil"/>
              <w:left w:val="nil"/>
              <w:bottom w:val="single" w:sz="4" w:space="0" w:color="auto"/>
              <w:right w:val="single" w:sz="4" w:space="0" w:color="auto"/>
            </w:tcBorders>
            <w:shd w:val="clear" w:color="000000" w:fill="FFFFFF"/>
            <w:noWrap/>
            <w:vAlign w:val="bottom"/>
            <w:hideMark/>
          </w:tcPr>
          <w:p w14:paraId="160F864B"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3.000,00</w:t>
            </w:r>
          </w:p>
        </w:tc>
      </w:tr>
      <w:tr w:rsidR="00680E61" w:rsidRPr="00AB3469" w14:paraId="344D18E3" w14:textId="77777777" w:rsidTr="00DB54DB">
        <w:trPr>
          <w:trHeight w:val="255"/>
        </w:trPr>
        <w:tc>
          <w:tcPr>
            <w:tcW w:w="4168" w:type="dxa"/>
            <w:tcBorders>
              <w:top w:val="nil"/>
              <w:left w:val="single" w:sz="4" w:space="0" w:color="auto"/>
              <w:bottom w:val="single" w:sz="4" w:space="0" w:color="auto"/>
              <w:right w:val="single" w:sz="4" w:space="0" w:color="auto"/>
            </w:tcBorders>
            <w:shd w:val="clear" w:color="000000" w:fill="FFFFFF"/>
            <w:noWrap/>
            <w:vAlign w:val="bottom"/>
            <w:hideMark/>
          </w:tcPr>
          <w:p w14:paraId="4567908C" w14:textId="77777777" w:rsidR="00680E61" w:rsidRPr="00AB3469" w:rsidRDefault="00680E61" w:rsidP="00DB54DB">
            <w:pPr>
              <w:rPr>
                <w:rFonts w:ascii="Arial" w:hAnsi="Arial" w:cs="Arial"/>
                <w:sz w:val="20"/>
                <w:szCs w:val="20"/>
              </w:rPr>
            </w:pPr>
            <w:r w:rsidRPr="00AB3469">
              <w:rPr>
                <w:rFonts w:ascii="Arial" w:hAnsi="Arial" w:cs="Arial"/>
                <w:sz w:val="20"/>
                <w:szCs w:val="20"/>
              </w:rPr>
              <w:t>Aktivnost A600003 Lokalna akcijska grupa Istočna Istra</w:t>
            </w:r>
          </w:p>
        </w:tc>
        <w:tc>
          <w:tcPr>
            <w:tcW w:w="1781" w:type="dxa"/>
            <w:tcBorders>
              <w:top w:val="nil"/>
              <w:left w:val="nil"/>
              <w:bottom w:val="single" w:sz="4" w:space="0" w:color="auto"/>
              <w:right w:val="single" w:sz="4" w:space="0" w:color="auto"/>
            </w:tcBorders>
            <w:shd w:val="clear" w:color="000000" w:fill="FFFFFF"/>
            <w:noWrap/>
            <w:vAlign w:val="bottom"/>
            <w:hideMark/>
          </w:tcPr>
          <w:p w14:paraId="312129CB"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3.982,00</w:t>
            </w:r>
          </w:p>
        </w:tc>
        <w:tc>
          <w:tcPr>
            <w:tcW w:w="1559" w:type="dxa"/>
            <w:tcBorders>
              <w:top w:val="nil"/>
              <w:left w:val="nil"/>
              <w:bottom w:val="single" w:sz="4" w:space="0" w:color="auto"/>
              <w:right w:val="single" w:sz="4" w:space="0" w:color="auto"/>
            </w:tcBorders>
            <w:shd w:val="clear" w:color="000000" w:fill="FFFFFF"/>
            <w:noWrap/>
            <w:vAlign w:val="bottom"/>
            <w:hideMark/>
          </w:tcPr>
          <w:p w14:paraId="604D2FE7"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0C33A4FC"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3.982,00</w:t>
            </w:r>
          </w:p>
        </w:tc>
      </w:tr>
      <w:tr w:rsidR="00680E61" w:rsidRPr="00AB3469" w14:paraId="32C1EB41" w14:textId="77777777" w:rsidTr="00DB54DB">
        <w:trPr>
          <w:trHeight w:val="255"/>
        </w:trPr>
        <w:tc>
          <w:tcPr>
            <w:tcW w:w="4168" w:type="dxa"/>
            <w:tcBorders>
              <w:top w:val="nil"/>
              <w:left w:val="single" w:sz="4" w:space="0" w:color="auto"/>
              <w:bottom w:val="single" w:sz="4" w:space="0" w:color="auto"/>
              <w:right w:val="single" w:sz="4" w:space="0" w:color="auto"/>
            </w:tcBorders>
            <w:shd w:val="clear" w:color="000000" w:fill="FFFFFF"/>
            <w:noWrap/>
            <w:vAlign w:val="bottom"/>
            <w:hideMark/>
          </w:tcPr>
          <w:p w14:paraId="0CC07EEE" w14:textId="77777777" w:rsidR="00680E61" w:rsidRPr="00AB3469" w:rsidRDefault="00680E61" w:rsidP="00DB54DB">
            <w:pPr>
              <w:rPr>
                <w:rFonts w:ascii="Arial" w:hAnsi="Arial" w:cs="Arial"/>
                <w:sz w:val="20"/>
                <w:szCs w:val="20"/>
              </w:rPr>
            </w:pPr>
            <w:r w:rsidRPr="00AB3469">
              <w:rPr>
                <w:rFonts w:ascii="Arial" w:hAnsi="Arial" w:cs="Arial"/>
                <w:sz w:val="20"/>
                <w:szCs w:val="20"/>
              </w:rPr>
              <w:t>Aktivnost A600004 Lokalna akcijska grupa u ribarstvu Istočna Istra</w:t>
            </w:r>
          </w:p>
        </w:tc>
        <w:tc>
          <w:tcPr>
            <w:tcW w:w="1781" w:type="dxa"/>
            <w:tcBorders>
              <w:top w:val="nil"/>
              <w:left w:val="nil"/>
              <w:bottom w:val="single" w:sz="4" w:space="0" w:color="auto"/>
              <w:right w:val="single" w:sz="4" w:space="0" w:color="auto"/>
            </w:tcBorders>
            <w:shd w:val="clear" w:color="000000" w:fill="FFFFFF"/>
            <w:noWrap/>
            <w:vAlign w:val="bottom"/>
            <w:hideMark/>
          </w:tcPr>
          <w:p w14:paraId="4FD2285B"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3.982,00</w:t>
            </w:r>
          </w:p>
        </w:tc>
        <w:tc>
          <w:tcPr>
            <w:tcW w:w="1559" w:type="dxa"/>
            <w:tcBorders>
              <w:top w:val="nil"/>
              <w:left w:val="nil"/>
              <w:bottom w:val="single" w:sz="4" w:space="0" w:color="auto"/>
              <w:right w:val="single" w:sz="4" w:space="0" w:color="auto"/>
            </w:tcBorders>
            <w:shd w:val="clear" w:color="000000" w:fill="FFFFFF"/>
            <w:noWrap/>
            <w:vAlign w:val="bottom"/>
            <w:hideMark/>
          </w:tcPr>
          <w:p w14:paraId="4C63183B"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10A55BDD"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3.982,00</w:t>
            </w:r>
          </w:p>
        </w:tc>
      </w:tr>
      <w:tr w:rsidR="00680E61" w:rsidRPr="00AB3469" w14:paraId="1B5ED483" w14:textId="77777777" w:rsidTr="00DB54DB">
        <w:trPr>
          <w:trHeight w:val="255"/>
        </w:trPr>
        <w:tc>
          <w:tcPr>
            <w:tcW w:w="4168" w:type="dxa"/>
            <w:tcBorders>
              <w:top w:val="nil"/>
              <w:left w:val="single" w:sz="4" w:space="0" w:color="auto"/>
              <w:bottom w:val="single" w:sz="4" w:space="0" w:color="auto"/>
              <w:right w:val="single" w:sz="4" w:space="0" w:color="auto"/>
            </w:tcBorders>
            <w:shd w:val="clear" w:color="000000" w:fill="FFFFFF"/>
            <w:noWrap/>
            <w:vAlign w:val="bottom"/>
            <w:hideMark/>
          </w:tcPr>
          <w:p w14:paraId="546AD868" w14:textId="77777777" w:rsidR="00680E61" w:rsidRPr="00AB3469" w:rsidRDefault="00680E61" w:rsidP="00DB54DB">
            <w:pPr>
              <w:rPr>
                <w:rFonts w:ascii="Arial" w:hAnsi="Arial" w:cs="Arial"/>
                <w:sz w:val="20"/>
                <w:szCs w:val="20"/>
              </w:rPr>
            </w:pPr>
            <w:r w:rsidRPr="00AB3469">
              <w:rPr>
                <w:rFonts w:ascii="Arial" w:hAnsi="Arial" w:cs="Arial"/>
                <w:sz w:val="20"/>
                <w:szCs w:val="20"/>
              </w:rPr>
              <w:t>Aktivnost A600005 Bespovratne potpore i subvencije</w:t>
            </w:r>
          </w:p>
        </w:tc>
        <w:tc>
          <w:tcPr>
            <w:tcW w:w="1781" w:type="dxa"/>
            <w:tcBorders>
              <w:top w:val="nil"/>
              <w:left w:val="nil"/>
              <w:bottom w:val="single" w:sz="4" w:space="0" w:color="auto"/>
              <w:right w:val="single" w:sz="4" w:space="0" w:color="auto"/>
            </w:tcBorders>
            <w:shd w:val="clear" w:color="000000" w:fill="FFFFFF"/>
            <w:noWrap/>
            <w:vAlign w:val="bottom"/>
            <w:hideMark/>
          </w:tcPr>
          <w:p w14:paraId="21FCE5AD"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94.000,00</w:t>
            </w:r>
          </w:p>
        </w:tc>
        <w:tc>
          <w:tcPr>
            <w:tcW w:w="1559" w:type="dxa"/>
            <w:tcBorders>
              <w:top w:val="nil"/>
              <w:left w:val="nil"/>
              <w:bottom w:val="single" w:sz="4" w:space="0" w:color="auto"/>
              <w:right w:val="single" w:sz="4" w:space="0" w:color="auto"/>
            </w:tcBorders>
            <w:shd w:val="clear" w:color="000000" w:fill="FFFFFF"/>
            <w:noWrap/>
            <w:vAlign w:val="bottom"/>
            <w:hideMark/>
          </w:tcPr>
          <w:p w14:paraId="7E03D3CB"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-3.000,00</w:t>
            </w:r>
          </w:p>
        </w:tc>
        <w:tc>
          <w:tcPr>
            <w:tcW w:w="1418" w:type="dxa"/>
            <w:tcBorders>
              <w:top w:val="nil"/>
              <w:left w:val="nil"/>
              <w:bottom w:val="single" w:sz="4" w:space="0" w:color="auto"/>
              <w:right w:val="single" w:sz="4" w:space="0" w:color="auto"/>
            </w:tcBorders>
            <w:shd w:val="clear" w:color="000000" w:fill="FFFFFF"/>
            <w:noWrap/>
            <w:vAlign w:val="bottom"/>
            <w:hideMark/>
          </w:tcPr>
          <w:p w14:paraId="73E10A8E"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91.000,00</w:t>
            </w:r>
          </w:p>
        </w:tc>
      </w:tr>
      <w:tr w:rsidR="00680E61" w:rsidRPr="00AB3469" w14:paraId="4E683AE6" w14:textId="77777777" w:rsidTr="00DB54DB">
        <w:trPr>
          <w:trHeight w:val="255"/>
        </w:trPr>
        <w:tc>
          <w:tcPr>
            <w:tcW w:w="4168" w:type="dxa"/>
            <w:tcBorders>
              <w:top w:val="nil"/>
              <w:left w:val="single" w:sz="4" w:space="0" w:color="auto"/>
              <w:bottom w:val="single" w:sz="4" w:space="0" w:color="auto"/>
              <w:right w:val="single" w:sz="4" w:space="0" w:color="auto"/>
            </w:tcBorders>
            <w:shd w:val="clear" w:color="000000" w:fill="FFFFFF"/>
            <w:noWrap/>
            <w:vAlign w:val="bottom"/>
            <w:hideMark/>
          </w:tcPr>
          <w:p w14:paraId="200B60DC" w14:textId="77777777" w:rsidR="00680E61" w:rsidRPr="00AB3469" w:rsidRDefault="00680E61" w:rsidP="00DB54DB">
            <w:pPr>
              <w:rPr>
                <w:rFonts w:ascii="Arial" w:hAnsi="Arial" w:cs="Arial"/>
                <w:sz w:val="20"/>
                <w:szCs w:val="20"/>
              </w:rPr>
            </w:pPr>
            <w:r w:rsidRPr="00AB3469">
              <w:rPr>
                <w:rFonts w:ascii="Arial" w:hAnsi="Arial" w:cs="Arial"/>
                <w:sz w:val="20"/>
                <w:szCs w:val="20"/>
              </w:rPr>
              <w:t>Aktivnost A600006 Informativna i edukativna potpora</w:t>
            </w:r>
          </w:p>
        </w:tc>
        <w:tc>
          <w:tcPr>
            <w:tcW w:w="1781" w:type="dxa"/>
            <w:tcBorders>
              <w:top w:val="nil"/>
              <w:left w:val="nil"/>
              <w:bottom w:val="single" w:sz="4" w:space="0" w:color="auto"/>
              <w:right w:val="single" w:sz="4" w:space="0" w:color="auto"/>
            </w:tcBorders>
            <w:shd w:val="clear" w:color="000000" w:fill="FFFFFF"/>
            <w:noWrap/>
            <w:vAlign w:val="bottom"/>
            <w:hideMark/>
          </w:tcPr>
          <w:p w14:paraId="6F8FA565"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19.000,00</w:t>
            </w:r>
          </w:p>
        </w:tc>
        <w:tc>
          <w:tcPr>
            <w:tcW w:w="1559" w:type="dxa"/>
            <w:tcBorders>
              <w:top w:val="nil"/>
              <w:left w:val="nil"/>
              <w:bottom w:val="single" w:sz="4" w:space="0" w:color="auto"/>
              <w:right w:val="single" w:sz="4" w:space="0" w:color="auto"/>
            </w:tcBorders>
            <w:shd w:val="clear" w:color="000000" w:fill="FFFFFF"/>
            <w:noWrap/>
            <w:vAlign w:val="bottom"/>
            <w:hideMark/>
          </w:tcPr>
          <w:p w14:paraId="74C90CD9"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-3.325,00</w:t>
            </w:r>
          </w:p>
        </w:tc>
        <w:tc>
          <w:tcPr>
            <w:tcW w:w="1418" w:type="dxa"/>
            <w:tcBorders>
              <w:top w:val="nil"/>
              <w:left w:val="nil"/>
              <w:bottom w:val="single" w:sz="4" w:space="0" w:color="auto"/>
              <w:right w:val="single" w:sz="4" w:space="0" w:color="auto"/>
            </w:tcBorders>
            <w:shd w:val="clear" w:color="000000" w:fill="FFFFFF"/>
            <w:noWrap/>
            <w:vAlign w:val="bottom"/>
            <w:hideMark/>
          </w:tcPr>
          <w:p w14:paraId="5FFED618"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15.675,00</w:t>
            </w:r>
          </w:p>
        </w:tc>
      </w:tr>
      <w:tr w:rsidR="00680E61" w:rsidRPr="00AB3469" w14:paraId="4ECBFE7B" w14:textId="77777777" w:rsidTr="00DB54DB">
        <w:trPr>
          <w:trHeight w:val="255"/>
        </w:trPr>
        <w:tc>
          <w:tcPr>
            <w:tcW w:w="4168" w:type="dxa"/>
            <w:tcBorders>
              <w:top w:val="nil"/>
              <w:left w:val="single" w:sz="4" w:space="0" w:color="auto"/>
              <w:bottom w:val="single" w:sz="4" w:space="0" w:color="auto"/>
              <w:right w:val="single" w:sz="4" w:space="0" w:color="auto"/>
            </w:tcBorders>
            <w:shd w:val="clear" w:color="000000" w:fill="FFFFFF"/>
            <w:noWrap/>
            <w:vAlign w:val="bottom"/>
            <w:hideMark/>
          </w:tcPr>
          <w:p w14:paraId="0FA85DC7" w14:textId="77777777" w:rsidR="00680E61" w:rsidRPr="00AB3469" w:rsidRDefault="00680E61" w:rsidP="00DB54DB">
            <w:pPr>
              <w:rPr>
                <w:rFonts w:ascii="Arial" w:hAnsi="Arial" w:cs="Arial"/>
                <w:sz w:val="20"/>
                <w:szCs w:val="20"/>
              </w:rPr>
            </w:pPr>
            <w:r w:rsidRPr="00AB3469">
              <w:rPr>
                <w:rFonts w:ascii="Arial" w:hAnsi="Arial" w:cs="Arial"/>
                <w:sz w:val="20"/>
                <w:szCs w:val="20"/>
              </w:rPr>
              <w:t xml:space="preserve">Tekući projekt T600001 </w:t>
            </w:r>
            <w:proofErr w:type="spellStart"/>
            <w:r w:rsidRPr="00AB3469">
              <w:rPr>
                <w:rFonts w:ascii="Arial" w:hAnsi="Arial" w:cs="Arial"/>
                <w:sz w:val="20"/>
                <w:szCs w:val="20"/>
              </w:rPr>
              <w:t>Coworking</w:t>
            </w:r>
            <w:proofErr w:type="spellEnd"/>
          </w:p>
        </w:tc>
        <w:tc>
          <w:tcPr>
            <w:tcW w:w="1781" w:type="dxa"/>
            <w:tcBorders>
              <w:top w:val="nil"/>
              <w:left w:val="nil"/>
              <w:bottom w:val="single" w:sz="4" w:space="0" w:color="auto"/>
              <w:right w:val="single" w:sz="4" w:space="0" w:color="auto"/>
            </w:tcBorders>
            <w:shd w:val="clear" w:color="000000" w:fill="FFFFFF"/>
            <w:noWrap/>
            <w:vAlign w:val="bottom"/>
            <w:hideMark/>
          </w:tcPr>
          <w:p w14:paraId="49225510"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15.000,00</w:t>
            </w:r>
          </w:p>
        </w:tc>
        <w:tc>
          <w:tcPr>
            <w:tcW w:w="1559" w:type="dxa"/>
            <w:tcBorders>
              <w:top w:val="nil"/>
              <w:left w:val="nil"/>
              <w:bottom w:val="single" w:sz="4" w:space="0" w:color="auto"/>
              <w:right w:val="single" w:sz="4" w:space="0" w:color="auto"/>
            </w:tcBorders>
            <w:shd w:val="clear" w:color="000000" w:fill="FFFFFF"/>
            <w:noWrap/>
            <w:vAlign w:val="bottom"/>
            <w:hideMark/>
          </w:tcPr>
          <w:p w14:paraId="45262260"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-4.000,00</w:t>
            </w:r>
          </w:p>
        </w:tc>
        <w:tc>
          <w:tcPr>
            <w:tcW w:w="1418" w:type="dxa"/>
            <w:tcBorders>
              <w:top w:val="nil"/>
              <w:left w:val="nil"/>
              <w:bottom w:val="single" w:sz="4" w:space="0" w:color="auto"/>
              <w:right w:val="single" w:sz="4" w:space="0" w:color="auto"/>
            </w:tcBorders>
            <w:shd w:val="clear" w:color="000000" w:fill="FFFFFF"/>
            <w:noWrap/>
            <w:vAlign w:val="bottom"/>
            <w:hideMark/>
          </w:tcPr>
          <w:p w14:paraId="6301955D"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11.000,00</w:t>
            </w:r>
          </w:p>
        </w:tc>
      </w:tr>
      <w:tr w:rsidR="00680E61" w:rsidRPr="00AB3469" w14:paraId="1E7F65B6" w14:textId="77777777" w:rsidTr="00DB54DB">
        <w:trPr>
          <w:trHeight w:val="255"/>
        </w:trPr>
        <w:tc>
          <w:tcPr>
            <w:tcW w:w="4168" w:type="dxa"/>
            <w:tcBorders>
              <w:top w:val="nil"/>
              <w:left w:val="single" w:sz="4" w:space="0" w:color="auto"/>
              <w:bottom w:val="single" w:sz="4" w:space="0" w:color="auto"/>
              <w:right w:val="single" w:sz="4" w:space="0" w:color="auto"/>
            </w:tcBorders>
            <w:shd w:val="clear" w:color="000000" w:fill="FFFFFF"/>
            <w:noWrap/>
            <w:vAlign w:val="bottom"/>
            <w:hideMark/>
          </w:tcPr>
          <w:p w14:paraId="02EE8B88" w14:textId="77777777" w:rsidR="00680E61" w:rsidRPr="00AB3469" w:rsidRDefault="00680E61" w:rsidP="00DB54DB">
            <w:pPr>
              <w:rPr>
                <w:rFonts w:ascii="Arial" w:hAnsi="Arial" w:cs="Arial"/>
                <w:sz w:val="20"/>
                <w:szCs w:val="20"/>
              </w:rPr>
            </w:pPr>
            <w:r w:rsidRPr="00AB3469">
              <w:rPr>
                <w:rFonts w:ascii="Arial" w:hAnsi="Arial" w:cs="Arial"/>
                <w:sz w:val="20"/>
                <w:szCs w:val="20"/>
              </w:rPr>
              <w:t>Tekući projekt T600002 On line baza podataka</w:t>
            </w:r>
          </w:p>
        </w:tc>
        <w:tc>
          <w:tcPr>
            <w:tcW w:w="1781" w:type="dxa"/>
            <w:tcBorders>
              <w:top w:val="nil"/>
              <w:left w:val="nil"/>
              <w:bottom w:val="single" w:sz="4" w:space="0" w:color="auto"/>
              <w:right w:val="single" w:sz="4" w:space="0" w:color="auto"/>
            </w:tcBorders>
            <w:shd w:val="clear" w:color="000000" w:fill="FFFFFF"/>
            <w:noWrap/>
            <w:vAlign w:val="bottom"/>
            <w:hideMark/>
          </w:tcPr>
          <w:p w14:paraId="146B8187"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2.000,00</w:t>
            </w:r>
          </w:p>
        </w:tc>
        <w:tc>
          <w:tcPr>
            <w:tcW w:w="1559" w:type="dxa"/>
            <w:tcBorders>
              <w:top w:val="nil"/>
              <w:left w:val="nil"/>
              <w:bottom w:val="single" w:sz="4" w:space="0" w:color="auto"/>
              <w:right w:val="single" w:sz="4" w:space="0" w:color="auto"/>
            </w:tcBorders>
            <w:shd w:val="clear" w:color="000000" w:fill="FFFFFF"/>
            <w:noWrap/>
            <w:vAlign w:val="bottom"/>
            <w:hideMark/>
          </w:tcPr>
          <w:p w14:paraId="7B54D675"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00B4431D"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2.000,00</w:t>
            </w:r>
          </w:p>
        </w:tc>
      </w:tr>
      <w:tr w:rsidR="00680E61" w:rsidRPr="00AB3469" w14:paraId="1DACE29B" w14:textId="77777777" w:rsidTr="00DB54DB">
        <w:trPr>
          <w:trHeight w:val="255"/>
        </w:trPr>
        <w:tc>
          <w:tcPr>
            <w:tcW w:w="4168" w:type="dxa"/>
            <w:tcBorders>
              <w:top w:val="nil"/>
              <w:left w:val="single" w:sz="4" w:space="0" w:color="auto"/>
              <w:bottom w:val="single" w:sz="4" w:space="0" w:color="auto"/>
              <w:right w:val="single" w:sz="4" w:space="0" w:color="auto"/>
            </w:tcBorders>
            <w:shd w:val="clear" w:color="000000" w:fill="FFFFFF"/>
            <w:noWrap/>
            <w:vAlign w:val="bottom"/>
            <w:hideMark/>
          </w:tcPr>
          <w:p w14:paraId="186DB71C" w14:textId="77777777" w:rsidR="00680E61" w:rsidRPr="00AB3469" w:rsidRDefault="00680E61" w:rsidP="00DB54DB">
            <w:pPr>
              <w:rPr>
                <w:rFonts w:ascii="Arial" w:hAnsi="Arial" w:cs="Arial"/>
                <w:b/>
                <w:bCs/>
                <w:sz w:val="20"/>
                <w:szCs w:val="20"/>
              </w:rPr>
            </w:pPr>
            <w:r w:rsidRPr="00AB3469">
              <w:rPr>
                <w:rFonts w:ascii="Arial" w:hAnsi="Arial" w:cs="Arial"/>
                <w:b/>
                <w:bCs/>
                <w:sz w:val="20"/>
                <w:szCs w:val="20"/>
              </w:rPr>
              <w:t>Program 6002 Upravljanje EU projektima</w:t>
            </w:r>
          </w:p>
        </w:tc>
        <w:tc>
          <w:tcPr>
            <w:tcW w:w="1781" w:type="dxa"/>
            <w:tcBorders>
              <w:top w:val="nil"/>
              <w:left w:val="nil"/>
              <w:bottom w:val="single" w:sz="4" w:space="0" w:color="auto"/>
              <w:right w:val="single" w:sz="4" w:space="0" w:color="auto"/>
            </w:tcBorders>
            <w:shd w:val="clear" w:color="000000" w:fill="FFFFFF"/>
            <w:noWrap/>
            <w:vAlign w:val="bottom"/>
            <w:hideMark/>
          </w:tcPr>
          <w:p w14:paraId="441670CB" w14:textId="77777777" w:rsidR="00680E61" w:rsidRPr="00AB3469" w:rsidRDefault="00680E61" w:rsidP="00DB54DB">
            <w:pPr>
              <w:jc w:val="right"/>
              <w:rPr>
                <w:rFonts w:ascii="Arial" w:hAnsi="Arial" w:cs="Arial"/>
                <w:b/>
                <w:bCs/>
                <w:sz w:val="20"/>
                <w:szCs w:val="20"/>
              </w:rPr>
            </w:pPr>
            <w:r w:rsidRPr="00AB3469">
              <w:rPr>
                <w:rFonts w:ascii="Arial" w:hAnsi="Arial" w:cs="Arial"/>
                <w:b/>
                <w:bCs/>
                <w:sz w:val="20"/>
                <w:szCs w:val="20"/>
              </w:rPr>
              <w:t>114.100,00</w:t>
            </w:r>
          </w:p>
        </w:tc>
        <w:tc>
          <w:tcPr>
            <w:tcW w:w="1559" w:type="dxa"/>
            <w:tcBorders>
              <w:top w:val="nil"/>
              <w:left w:val="nil"/>
              <w:bottom w:val="single" w:sz="4" w:space="0" w:color="auto"/>
              <w:right w:val="single" w:sz="4" w:space="0" w:color="auto"/>
            </w:tcBorders>
            <w:shd w:val="clear" w:color="000000" w:fill="FFFFFF"/>
            <w:noWrap/>
            <w:vAlign w:val="bottom"/>
            <w:hideMark/>
          </w:tcPr>
          <w:p w14:paraId="2BF2061C" w14:textId="77777777" w:rsidR="00680E61" w:rsidRPr="00AB3469" w:rsidRDefault="00680E61" w:rsidP="00DB54DB">
            <w:pPr>
              <w:jc w:val="right"/>
              <w:rPr>
                <w:rFonts w:ascii="Arial" w:hAnsi="Arial" w:cs="Arial"/>
                <w:b/>
                <w:bCs/>
                <w:sz w:val="20"/>
                <w:szCs w:val="20"/>
              </w:rPr>
            </w:pPr>
            <w:r w:rsidRPr="00AB3469">
              <w:rPr>
                <w:rFonts w:ascii="Arial" w:hAnsi="Arial" w:cs="Arial"/>
                <w:b/>
                <w:bCs/>
                <w:sz w:val="20"/>
                <w:szCs w:val="20"/>
              </w:rPr>
              <w:t>157.359,00</w:t>
            </w:r>
          </w:p>
        </w:tc>
        <w:tc>
          <w:tcPr>
            <w:tcW w:w="1418" w:type="dxa"/>
            <w:tcBorders>
              <w:top w:val="nil"/>
              <w:left w:val="nil"/>
              <w:bottom w:val="single" w:sz="4" w:space="0" w:color="auto"/>
              <w:right w:val="single" w:sz="4" w:space="0" w:color="auto"/>
            </w:tcBorders>
            <w:shd w:val="clear" w:color="000000" w:fill="FFFFFF"/>
            <w:noWrap/>
            <w:vAlign w:val="bottom"/>
            <w:hideMark/>
          </w:tcPr>
          <w:p w14:paraId="7EE1209B" w14:textId="77777777" w:rsidR="00680E61" w:rsidRPr="00AB3469" w:rsidRDefault="00680E61" w:rsidP="00DB54DB">
            <w:pPr>
              <w:jc w:val="right"/>
              <w:rPr>
                <w:rFonts w:ascii="Arial" w:hAnsi="Arial" w:cs="Arial"/>
                <w:b/>
                <w:bCs/>
                <w:sz w:val="20"/>
                <w:szCs w:val="20"/>
              </w:rPr>
            </w:pPr>
            <w:r w:rsidRPr="00AB3469">
              <w:rPr>
                <w:rFonts w:ascii="Arial" w:hAnsi="Arial" w:cs="Arial"/>
                <w:b/>
                <w:bCs/>
                <w:sz w:val="20"/>
                <w:szCs w:val="20"/>
              </w:rPr>
              <w:t>271.459,00</w:t>
            </w:r>
          </w:p>
        </w:tc>
      </w:tr>
      <w:tr w:rsidR="00680E61" w:rsidRPr="00AB3469" w14:paraId="20A9858C" w14:textId="77777777" w:rsidTr="00DB54DB">
        <w:trPr>
          <w:trHeight w:val="255"/>
        </w:trPr>
        <w:tc>
          <w:tcPr>
            <w:tcW w:w="4168" w:type="dxa"/>
            <w:tcBorders>
              <w:top w:val="nil"/>
              <w:left w:val="single" w:sz="4" w:space="0" w:color="auto"/>
              <w:bottom w:val="single" w:sz="4" w:space="0" w:color="auto"/>
              <w:right w:val="single" w:sz="4" w:space="0" w:color="auto"/>
            </w:tcBorders>
            <w:shd w:val="clear" w:color="000000" w:fill="FFFFFF"/>
            <w:noWrap/>
            <w:vAlign w:val="bottom"/>
            <w:hideMark/>
          </w:tcPr>
          <w:p w14:paraId="0C7E175F" w14:textId="77777777" w:rsidR="00680E61" w:rsidRPr="00AB3469" w:rsidRDefault="00680E61" w:rsidP="00DB54DB">
            <w:pPr>
              <w:rPr>
                <w:rFonts w:ascii="Arial" w:hAnsi="Arial" w:cs="Arial"/>
                <w:sz w:val="20"/>
                <w:szCs w:val="20"/>
              </w:rPr>
            </w:pPr>
            <w:r w:rsidRPr="00AB3469">
              <w:rPr>
                <w:rFonts w:ascii="Arial" w:hAnsi="Arial" w:cs="Arial"/>
                <w:sz w:val="20"/>
                <w:szCs w:val="20"/>
              </w:rPr>
              <w:t>Aktivnost A600001 Priprema projekata iz EU fondova</w:t>
            </w:r>
          </w:p>
        </w:tc>
        <w:tc>
          <w:tcPr>
            <w:tcW w:w="1781" w:type="dxa"/>
            <w:tcBorders>
              <w:top w:val="nil"/>
              <w:left w:val="nil"/>
              <w:bottom w:val="single" w:sz="4" w:space="0" w:color="auto"/>
              <w:right w:val="single" w:sz="4" w:space="0" w:color="auto"/>
            </w:tcBorders>
            <w:shd w:val="clear" w:color="000000" w:fill="FFFFFF"/>
            <w:noWrap/>
            <w:vAlign w:val="bottom"/>
            <w:hideMark/>
          </w:tcPr>
          <w:p w14:paraId="5C5360CA"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64.800,00</w:t>
            </w:r>
          </w:p>
        </w:tc>
        <w:tc>
          <w:tcPr>
            <w:tcW w:w="1559" w:type="dxa"/>
            <w:tcBorders>
              <w:top w:val="nil"/>
              <w:left w:val="nil"/>
              <w:bottom w:val="single" w:sz="4" w:space="0" w:color="auto"/>
              <w:right w:val="single" w:sz="4" w:space="0" w:color="auto"/>
            </w:tcBorders>
            <w:shd w:val="clear" w:color="000000" w:fill="FFFFFF"/>
            <w:noWrap/>
            <w:vAlign w:val="bottom"/>
            <w:hideMark/>
          </w:tcPr>
          <w:p w14:paraId="05B517F4"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37.000,00</w:t>
            </w:r>
          </w:p>
        </w:tc>
        <w:tc>
          <w:tcPr>
            <w:tcW w:w="1418" w:type="dxa"/>
            <w:tcBorders>
              <w:top w:val="nil"/>
              <w:left w:val="nil"/>
              <w:bottom w:val="single" w:sz="4" w:space="0" w:color="auto"/>
              <w:right w:val="single" w:sz="4" w:space="0" w:color="auto"/>
            </w:tcBorders>
            <w:shd w:val="clear" w:color="000000" w:fill="FFFFFF"/>
            <w:noWrap/>
            <w:vAlign w:val="bottom"/>
            <w:hideMark/>
          </w:tcPr>
          <w:p w14:paraId="0F6494B4"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101.800,00</w:t>
            </w:r>
          </w:p>
        </w:tc>
      </w:tr>
      <w:tr w:rsidR="00680E61" w:rsidRPr="00AB3469" w14:paraId="2C40B3B6" w14:textId="77777777" w:rsidTr="00DB54DB">
        <w:trPr>
          <w:trHeight w:val="255"/>
        </w:trPr>
        <w:tc>
          <w:tcPr>
            <w:tcW w:w="4168" w:type="dxa"/>
            <w:tcBorders>
              <w:top w:val="nil"/>
              <w:left w:val="single" w:sz="4" w:space="0" w:color="auto"/>
              <w:bottom w:val="single" w:sz="4" w:space="0" w:color="auto"/>
              <w:right w:val="single" w:sz="4" w:space="0" w:color="auto"/>
            </w:tcBorders>
            <w:shd w:val="clear" w:color="000000" w:fill="FFFFFF"/>
            <w:noWrap/>
            <w:vAlign w:val="bottom"/>
            <w:hideMark/>
          </w:tcPr>
          <w:p w14:paraId="227522A1" w14:textId="77777777" w:rsidR="00680E61" w:rsidRPr="00AB3469" w:rsidRDefault="00680E61" w:rsidP="00DB54DB">
            <w:pPr>
              <w:rPr>
                <w:rFonts w:ascii="Arial" w:hAnsi="Arial" w:cs="Arial"/>
                <w:sz w:val="20"/>
                <w:szCs w:val="20"/>
              </w:rPr>
            </w:pPr>
            <w:r w:rsidRPr="00AB3469">
              <w:rPr>
                <w:rFonts w:ascii="Arial" w:hAnsi="Arial" w:cs="Arial"/>
                <w:sz w:val="20"/>
                <w:szCs w:val="20"/>
              </w:rPr>
              <w:t>Tekući projekt T600009 Projekt WI4EU</w:t>
            </w:r>
          </w:p>
        </w:tc>
        <w:tc>
          <w:tcPr>
            <w:tcW w:w="1781" w:type="dxa"/>
            <w:tcBorders>
              <w:top w:val="nil"/>
              <w:left w:val="nil"/>
              <w:bottom w:val="single" w:sz="4" w:space="0" w:color="auto"/>
              <w:right w:val="single" w:sz="4" w:space="0" w:color="auto"/>
            </w:tcBorders>
            <w:shd w:val="clear" w:color="000000" w:fill="FFFFFF"/>
            <w:noWrap/>
            <w:vAlign w:val="bottom"/>
            <w:hideMark/>
          </w:tcPr>
          <w:p w14:paraId="02BE3B01"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1.300,00</w:t>
            </w:r>
          </w:p>
        </w:tc>
        <w:tc>
          <w:tcPr>
            <w:tcW w:w="1559" w:type="dxa"/>
            <w:tcBorders>
              <w:top w:val="nil"/>
              <w:left w:val="nil"/>
              <w:bottom w:val="single" w:sz="4" w:space="0" w:color="auto"/>
              <w:right w:val="single" w:sz="4" w:space="0" w:color="auto"/>
            </w:tcBorders>
            <w:shd w:val="clear" w:color="000000" w:fill="FFFFFF"/>
            <w:noWrap/>
            <w:vAlign w:val="bottom"/>
            <w:hideMark/>
          </w:tcPr>
          <w:p w14:paraId="56EA57E6"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773AF7C8"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1.300,00</w:t>
            </w:r>
          </w:p>
        </w:tc>
      </w:tr>
      <w:tr w:rsidR="00680E61" w:rsidRPr="00AB3469" w14:paraId="6AB7391A" w14:textId="77777777" w:rsidTr="00DB54DB">
        <w:trPr>
          <w:trHeight w:val="255"/>
        </w:trPr>
        <w:tc>
          <w:tcPr>
            <w:tcW w:w="4168" w:type="dxa"/>
            <w:tcBorders>
              <w:top w:val="nil"/>
              <w:left w:val="single" w:sz="4" w:space="0" w:color="auto"/>
              <w:bottom w:val="single" w:sz="4" w:space="0" w:color="auto"/>
              <w:right w:val="single" w:sz="4" w:space="0" w:color="auto"/>
            </w:tcBorders>
            <w:shd w:val="clear" w:color="000000" w:fill="FFFFFF"/>
            <w:noWrap/>
            <w:vAlign w:val="bottom"/>
            <w:hideMark/>
          </w:tcPr>
          <w:p w14:paraId="493B10ED" w14:textId="77777777" w:rsidR="00680E61" w:rsidRPr="00AB3469" w:rsidRDefault="00680E61" w:rsidP="00DB54DB">
            <w:pPr>
              <w:rPr>
                <w:rFonts w:ascii="Arial" w:hAnsi="Arial" w:cs="Arial"/>
                <w:sz w:val="20"/>
                <w:szCs w:val="20"/>
              </w:rPr>
            </w:pPr>
            <w:r w:rsidRPr="00AB3469">
              <w:rPr>
                <w:rFonts w:ascii="Arial" w:hAnsi="Arial" w:cs="Arial"/>
                <w:sz w:val="20"/>
                <w:szCs w:val="20"/>
              </w:rPr>
              <w:t>Tekući projekt T600011 PROJEKT CICERO</w:t>
            </w:r>
          </w:p>
        </w:tc>
        <w:tc>
          <w:tcPr>
            <w:tcW w:w="1781" w:type="dxa"/>
            <w:tcBorders>
              <w:top w:val="nil"/>
              <w:left w:val="nil"/>
              <w:bottom w:val="single" w:sz="4" w:space="0" w:color="auto"/>
              <w:right w:val="single" w:sz="4" w:space="0" w:color="auto"/>
            </w:tcBorders>
            <w:shd w:val="clear" w:color="000000" w:fill="FFFFFF"/>
            <w:noWrap/>
            <w:vAlign w:val="bottom"/>
            <w:hideMark/>
          </w:tcPr>
          <w:p w14:paraId="7A053CB2"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35F66862"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24.764,00</w:t>
            </w:r>
          </w:p>
        </w:tc>
        <w:tc>
          <w:tcPr>
            <w:tcW w:w="1418" w:type="dxa"/>
            <w:tcBorders>
              <w:top w:val="nil"/>
              <w:left w:val="nil"/>
              <w:bottom w:val="single" w:sz="4" w:space="0" w:color="auto"/>
              <w:right w:val="single" w:sz="4" w:space="0" w:color="auto"/>
            </w:tcBorders>
            <w:shd w:val="clear" w:color="000000" w:fill="FFFFFF"/>
            <w:noWrap/>
            <w:vAlign w:val="bottom"/>
            <w:hideMark/>
          </w:tcPr>
          <w:p w14:paraId="490F4AD9"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24.764,00</w:t>
            </w:r>
          </w:p>
        </w:tc>
      </w:tr>
      <w:tr w:rsidR="00680E61" w:rsidRPr="00AB3469" w14:paraId="4D10BEB0" w14:textId="77777777" w:rsidTr="00DB54DB">
        <w:trPr>
          <w:trHeight w:val="255"/>
        </w:trPr>
        <w:tc>
          <w:tcPr>
            <w:tcW w:w="4168" w:type="dxa"/>
            <w:tcBorders>
              <w:top w:val="nil"/>
              <w:left w:val="single" w:sz="4" w:space="0" w:color="auto"/>
              <w:bottom w:val="single" w:sz="4" w:space="0" w:color="auto"/>
              <w:right w:val="single" w:sz="4" w:space="0" w:color="auto"/>
            </w:tcBorders>
            <w:shd w:val="clear" w:color="000000" w:fill="FFFFFF"/>
            <w:noWrap/>
            <w:vAlign w:val="bottom"/>
            <w:hideMark/>
          </w:tcPr>
          <w:p w14:paraId="12168539" w14:textId="77777777" w:rsidR="00680E61" w:rsidRPr="00AB3469" w:rsidRDefault="00680E61" w:rsidP="00DB54DB">
            <w:pPr>
              <w:rPr>
                <w:rFonts w:ascii="Arial" w:hAnsi="Arial" w:cs="Arial"/>
                <w:sz w:val="20"/>
                <w:szCs w:val="20"/>
              </w:rPr>
            </w:pPr>
            <w:r w:rsidRPr="00AB3469">
              <w:rPr>
                <w:rFonts w:ascii="Arial" w:hAnsi="Arial" w:cs="Arial"/>
                <w:sz w:val="20"/>
                <w:szCs w:val="20"/>
              </w:rPr>
              <w:t>Tekući projekt T600012 PROJEKT CO-MAY</w:t>
            </w:r>
          </w:p>
        </w:tc>
        <w:tc>
          <w:tcPr>
            <w:tcW w:w="1781" w:type="dxa"/>
            <w:tcBorders>
              <w:top w:val="nil"/>
              <w:left w:val="nil"/>
              <w:bottom w:val="single" w:sz="4" w:space="0" w:color="auto"/>
              <w:right w:val="single" w:sz="4" w:space="0" w:color="auto"/>
            </w:tcBorders>
            <w:shd w:val="clear" w:color="000000" w:fill="FFFFFF"/>
            <w:noWrap/>
            <w:vAlign w:val="bottom"/>
            <w:hideMark/>
          </w:tcPr>
          <w:p w14:paraId="050188F8"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26F03A7B"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62.604,00</w:t>
            </w:r>
          </w:p>
        </w:tc>
        <w:tc>
          <w:tcPr>
            <w:tcW w:w="1418" w:type="dxa"/>
            <w:tcBorders>
              <w:top w:val="nil"/>
              <w:left w:val="nil"/>
              <w:bottom w:val="single" w:sz="4" w:space="0" w:color="auto"/>
              <w:right w:val="single" w:sz="4" w:space="0" w:color="auto"/>
            </w:tcBorders>
            <w:shd w:val="clear" w:color="000000" w:fill="FFFFFF"/>
            <w:noWrap/>
            <w:vAlign w:val="bottom"/>
            <w:hideMark/>
          </w:tcPr>
          <w:p w14:paraId="690056D9"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62.604,00</w:t>
            </w:r>
          </w:p>
        </w:tc>
      </w:tr>
      <w:tr w:rsidR="00680E61" w:rsidRPr="00AB3469" w14:paraId="7713B780" w14:textId="77777777" w:rsidTr="00DB54DB">
        <w:trPr>
          <w:trHeight w:val="255"/>
        </w:trPr>
        <w:tc>
          <w:tcPr>
            <w:tcW w:w="4168" w:type="dxa"/>
            <w:tcBorders>
              <w:top w:val="nil"/>
              <w:left w:val="single" w:sz="4" w:space="0" w:color="auto"/>
              <w:bottom w:val="single" w:sz="4" w:space="0" w:color="auto"/>
              <w:right w:val="single" w:sz="4" w:space="0" w:color="auto"/>
            </w:tcBorders>
            <w:shd w:val="clear" w:color="000000" w:fill="FFFFFF"/>
            <w:noWrap/>
            <w:vAlign w:val="bottom"/>
            <w:hideMark/>
          </w:tcPr>
          <w:p w14:paraId="16704972" w14:textId="77777777" w:rsidR="00680E61" w:rsidRPr="00AB3469" w:rsidRDefault="00680E61" w:rsidP="00DB54DB">
            <w:pPr>
              <w:rPr>
                <w:rFonts w:ascii="Arial" w:hAnsi="Arial" w:cs="Arial"/>
                <w:sz w:val="20"/>
                <w:szCs w:val="20"/>
              </w:rPr>
            </w:pPr>
            <w:r w:rsidRPr="00AB3469">
              <w:rPr>
                <w:rFonts w:ascii="Arial" w:hAnsi="Arial" w:cs="Arial"/>
                <w:sz w:val="20"/>
                <w:szCs w:val="20"/>
              </w:rPr>
              <w:t>Tekući projekt T600013 PROJEKT Strategija zelene urbane obnove Grada Labina</w:t>
            </w:r>
          </w:p>
        </w:tc>
        <w:tc>
          <w:tcPr>
            <w:tcW w:w="1781" w:type="dxa"/>
            <w:tcBorders>
              <w:top w:val="nil"/>
              <w:left w:val="nil"/>
              <w:bottom w:val="single" w:sz="4" w:space="0" w:color="auto"/>
              <w:right w:val="single" w:sz="4" w:space="0" w:color="auto"/>
            </w:tcBorders>
            <w:shd w:val="clear" w:color="000000" w:fill="FFFFFF"/>
            <w:noWrap/>
            <w:vAlign w:val="bottom"/>
            <w:hideMark/>
          </w:tcPr>
          <w:p w14:paraId="6CBE5648"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5D00E704"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32.991,00</w:t>
            </w:r>
          </w:p>
        </w:tc>
        <w:tc>
          <w:tcPr>
            <w:tcW w:w="1418" w:type="dxa"/>
            <w:tcBorders>
              <w:top w:val="nil"/>
              <w:left w:val="nil"/>
              <w:bottom w:val="single" w:sz="4" w:space="0" w:color="auto"/>
              <w:right w:val="single" w:sz="4" w:space="0" w:color="auto"/>
            </w:tcBorders>
            <w:shd w:val="clear" w:color="000000" w:fill="FFFFFF"/>
            <w:noWrap/>
            <w:vAlign w:val="bottom"/>
            <w:hideMark/>
          </w:tcPr>
          <w:p w14:paraId="06AB5CCC"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32.991,00</w:t>
            </w:r>
          </w:p>
        </w:tc>
      </w:tr>
      <w:tr w:rsidR="00680E61" w:rsidRPr="00AB3469" w14:paraId="35D07AC2" w14:textId="77777777" w:rsidTr="00DB54DB">
        <w:trPr>
          <w:trHeight w:val="255"/>
        </w:trPr>
        <w:tc>
          <w:tcPr>
            <w:tcW w:w="4168" w:type="dxa"/>
            <w:tcBorders>
              <w:top w:val="nil"/>
              <w:left w:val="single" w:sz="4" w:space="0" w:color="auto"/>
              <w:bottom w:val="single" w:sz="4" w:space="0" w:color="auto"/>
              <w:right w:val="single" w:sz="4" w:space="0" w:color="auto"/>
            </w:tcBorders>
            <w:shd w:val="clear" w:color="000000" w:fill="FFFFFF"/>
            <w:noWrap/>
            <w:vAlign w:val="bottom"/>
            <w:hideMark/>
          </w:tcPr>
          <w:p w14:paraId="4A73AEF2" w14:textId="77777777" w:rsidR="00680E61" w:rsidRPr="00AB3469" w:rsidRDefault="00680E61" w:rsidP="00DB54DB">
            <w:pPr>
              <w:rPr>
                <w:rFonts w:ascii="Arial" w:hAnsi="Arial" w:cs="Arial"/>
                <w:sz w:val="20"/>
                <w:szCs w:val="20"/>
              </w:rPr>
            </w:pPr>
            <w:r w:rsidRPr="00AB3469">
              <w:rPr>
                <w:rFonts w:ascii="Arial" w:hAnsi="Arial" w:cs="Arial"/>
                <w:sz w:val="20"/>
                <w:szCs w:val="20"/>
              </w:rPr>
              <w:t>Tekući projekt T600014 PROJEKT Road2Resilience</w:t>
            </w:r>
          </w:p>
        </w:tc>
        <w:tc>
          <w:tcPr>
            <w:tcW w:w="1781" w:type="dxa"/>
            <w:tcBorders>
              <w:top w:val="nil"/>
              <w:left w:val="nil"/>
              <w:bottom w:val="single" w:sz="4" w:space="0" w:color="auto"/>
              <w:right w:val="single" w:sz="4" w:space="0" w:color="auto"/>
            </w:tcBorders>
            <w:shd w:val="clear" w:color="000000" w:fill="FFFFFF"/>
            <w:noWrap/>
            <w:vAlign w:val="bottom"/>
            <w:hideMark/>
          </w:tcPr>
          <w:p w14:paraId="530B6715"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48.000,00</w:t>
            </w:r>
          </w:p>
        </w:tc>
        <w:tc>
          <w:tcPr>
            <w:tcW w:w="1559" w:type="dxa"/>
            <w:tcBorders>
              <w:top w:val="nil"/>
              <w:left w:val="nil"/>
              <w:bottom w:val="single" w:sz="4" w:space="0" w:color="auto"/>
              <w:right w:val="single" w:sz="4" w:space="0" w:color="auto"/>
            </w:tcBorders>
            <w:shd w:val="clear" w:color="000000" w:fill="FFFFFF"/>
            <w:noWrap/>
            <w:vAlign w:val="bottom"/>
            <w:hideMark/>
          </w:tcPr>
          <w:p w14:paraId="777E836A"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4B848433"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48.000,00</w:t>
            </w:r>
          </w:p>
        </w:tc>
      </w:tr>
      <w:tr w:rsidR="00680E61" w:rsidRPr="00AB3469" w14:paraId="09F4238E" w14:textId="77777777" w:rsidTr="00DB54DB">
        <w:trPr>
          <w:trHeight w:val="255"/>
        </w:trPr>
        <w:tc>
          <w:tcPr>
            <w:tcW w:w="4168" w:type="dxa"/>
            <w:tcBorders>
              <w:top w:val="nil"/>
              <w:left w:val="single" w:sz="4" w:space="0" w:color="auto"/>
              <w:bottom w:val="single" w:sz="4" w:space="0" w:color="auto"/>
              <w:right w:val="single" w:sz="4" w:space="0" w:color="auto"/>
            </w:tcBorders>
            <w:shd w:val="clear" w:color="000000" w:fill="FFFFFF"/>
            <w:noWrap/>
            <w:vAlign w:val="bottom"/>
            <w:hideMark/>
          </w:tcPr>
          <w:p w14:paraId="1A024357" w14:textId="77777777" w:rsidR="00680E61" w:rsidRPr="00AB3469" w:rsidRDefault="00680E61" w:rsidP="00DB54DB">
            <w:pPr>
              <w:rPr>
                <w:rFonts w:ascii="Arial" w:hAnsi="Arial" w:cs="Arial"/>
                <w:b/>
                <w:bCs/>
                <w:sz w:val="20"/>
                <w:szCs w:val="20"/>
              </w:rPr>
            </w:pPr>
            <w:r w:rsidRPr="00AB3469">
              <w:rPr>
                <w:rFonts w:ascii="Arial" w:hAnsi="Arial" w:cs="Arial"/>
                <w:b/>
                <w:bCs/>
                <w:sz w:val="20"/>
                <w:szCs w:val="20"/>
              </w:rPr>
              <w:t>Program 6003 Poticanje korištenja obnovljivih izvora energije</w:t>
            </w:r>
          </w:p>
        </w:tc>
        <w:tc>
          <w:tcPr>
            <w:tcW w:w="1781" w:type="dxa"/>
            <w:tcBorders>
              <w:top w:val="nil"/>
              <w:left w:val="nil"/>
              <w:bottom w:val="single" w:sz="4" w:space="0" w:color="auto"/>
              <w:right w:val="single" w:sz="4" w:space="0" w:color="auto"/>
            </w:tcBorders>
            <w:shd w:val="clear" w:color="000000" w:fill="FFFFFF"/>
            <w:noWrap/>
            <w:vAlign w:val="bottom"/>
            <w:hideMark/>
          </w:tcPr>
          <w:p w14:paraId="63DE126E" w14:textId="77777777" w:rsidR="00680E61" w:rsidRPr="00AB3469" w:rsidRDefault="00680E61" w:rsidP="00DB54DB">
            <w:pPr>
              <w:jc w:val="right"/>
              <w:rPr>
                <w:rFonts w:ascii="Arial" w:hAnsi="Arial" w:cs="Arial"/>
                <w:b/>
                <w:bCs/>
                <w:sz w:val="20"/>
                <w:szCs w:val="20"/>
              </w:rPr>
            </w:pPr>
            <w:r w:rsidRPr="00AB3469">
              <w:rPr>
                <w:rFonts w:ascii="Arial" w:hAnsi="Arial" w:cs="Arial"/>
                <w:b/>
                <w:bCs/>
                <w:sz w:val="20"/>
                <w:szCs w:val="20"/>
              </w:rPr>
              <w:t>29.000,00</w:t>
            </w:r>
          </w:p>
        </w:tc>
        <w:tc>
          <w:tcPr>
            <w:tcW w:w="1559" w:type="dxa"/>
            <w:tcBorders>
              <w:top w:val="nil"/>
              <w:left w:val="nil"/>
              <w:bottom w:val="single" w:sz="4" w:space="0" w:color="auto"/>
              <w:right w:val="single" w:sz="4" w:space="0" w:color="auto"/>
            </w:tcBorders>
            <w:shd w:val="clear" w:color="000000" w:fill="FFFFFF"/>
            <w:noWrap/>
            <w:vAlign w:val="bottom"/>
            <w:hideMark/>
          </w:tcPr>
          <w:p w14:paraId="5975FE25" w14:textId="77777777" w:rsidR="00680E61" w:rsidRPr="00AB3469" w:rsidRDefault="00680E61" w:rsidP="00DB54DB">
            <w:pPr>
              <w:jc w:val="right"/>
              <w:rPr>
                <w:rFonts w:ascii="Arial" w:hAnsi="Arial" w:cs="Arial"/>
                <w:b/>
                <w:bCs/>
                <w:sz w:val="20"/>
                <w:szCs w:val="20"/>
              </w:rPr>
            </w:pPr>
            <w:r w:rsidRPr="00AB3469">
              <w:rPr>
                <w:rFonts w:ascii="Arial" w:hAnsi="Arial" w:cs="Arial"/>
                <w:b/>
                <w:bCs/>
                <w:sz w:val="20"/>
                <w:szCs w:val="20"/>
              </w:rPr>
              <w:t>-2.000,00</w:t>
            </w:r>
          </w:p>
        </w:tc>
        <w:tc>
          <w:tcPr>
            <w:tcW w:w="1418" w:type="dxa"/>
            <w:tcBorders>
              <w:top w:val="nil"/>
              <w:left w:val="nil"/>
              <w:bottom w:val="single" w:sz="4" w:space="0" w:color="auto"/>
              <w:right w:val="single" w:sz="4" w:space="0" w:color="auto"/>
            </w:tcBorders>
            <w:shd w:val="clear" w:color="000000" w:fill="FFFFFF"/>
            <w:noWrap/>
            <w:vAlign w:val="bottom"/>
            <w:hideMark/>
          </w:tcPr>
          <w:p w14:paraId="1EA3B8C5" w14:textId="77777777" w:rsidR="00680E61" w:rsidRPr="00AB3469" w:rsidRDefault="00680E61" w:rsidP="00DB54DB">
            <w:pPr>
              <w:jc w:val="right"/>
              <w:rPr>
                <w:rFonts w:ascii="Arial" w:hAnsi="Arial" w:cs="Arial"/>
                <w:b/>
                <w:bCs/>
                <w:sz w:val="20"/>
                <w:szCs w:val="20"/>
              </w:rPr>
            </w:pPr>
            <w:r w:rsidRPr="00AB3469">
              <w:rPr>
                <w:rFonts w:ascii="Arial" w:hAnsi="Arial" w:cs="Arial"/>
                <w:b/>
                <w:bCs/>
                <w:sz w:val="20"/>
                <w:szCs w:val="20"/>
              </w:rPr>
              <w:t>27.000,00</w:t>
            </w:r>
          </w:p>
        </w:tc>
      </w:tr>
      <w:tr w:rsidR="00680E61" w:rsidRPr="00AB3469" w14:paraId="0BF85E3C" w14:textId="77777777" w:rsidTr="00DB54DB">
        <w:trPr>
          <w:trHeight w:val="255"/>
        </w:trPr>
        <w:tc>
          <w:tcPr>
            <w:tcW w:w="4168" w:type="dxa"/>
            <w:tcBorders>
              <w:top w:val="nil"/>
              <w:left w:val="single" w:sz="4" w:space="0" w:color="auto"/>
              <w:bottom w:val="single" w:sz="4" w:space="0" w:color="auto"/>
              <w:right w:val="single" w:sz="4" w:space="0" w:color="auto"/>
            </w:tcBorders>
            <w:shd w:val="clear" w:color="000000" w:fill="FFFFFF"/>
            <w:noWrap/>
            <w:vAlign w:val="bottom"/>
            <w:hideMark/>
          </w:tcPr>
          <w:p w14:paraId="7604A4B9" w14:textId="77777777" w:rsidR="00680E61" w:rsidRPr="00AB3469" w:rsidRDefault="00680E61" w:rsidP="00DB54DB">
            <w:pPr>
              <w:rPr>
                <w:rFonts w:ascii="Arial" w:hAnsi="Arial" w:cs="Arial"/>
                <w:sz w:val="20"/>
                <w:szCs w:val="20"/>
              </w:rPr>
            </w:pPr>
            <w:r w:rsidRPr="00AB3469">
              <w:rPr>
                <w:rFonts w:ascii="Arial" w:hAnsi="Arial" w:cs="Arial"/>
                <w:sz w:val="20"/>
                <w:szCs w:val="20"/>
              </w:rPr>
              <w:t>Aktivnost A600001 Poticaj za korištenje obnovljivih izvora energije</w:t>
            </w:r>
          </w:p>
        </w:tc>
        <w:tc>
          <w:tcPr>
            <w:tcW w:w="1781" w:type="dxa"/>
            <w:tcBorders>
              <w:top w:val="nil"/>
              <w:left w:val="nil"/>
              <w:bottom w:val="single" w:sz="4" w:space="0" w:color="auto"/>
              <w:right w:val="single" w:sz="4" w:space="0" w:color="auto"/>
            </w:tcBorders>
            <w:shd w:val="clear" w:color="000000" w:fill="FFFFFF"/>
            <w:noWrap/>
            <w:vAlign w:val="bottom"/>
            <w:hideMark/>
          </w:tcPr>
          <w:p w14:paraId="2B303882"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29.000,00</w:t>
            </w:r>
          </w:p>
        </w:tc>
        <w:tc>
          <w:tcPr>
            <w:tcW w:w="1559" w:type="dxa"/>
            <w:tcBorders>
              <w:top w:val="nil"/>
              <w:left w:val="nil"/>
              <w:bottom w:val="single" w:sz="4" w:space="0" w:color="auto"/>
              <w:right w:val="single" w:sz="4" w:space="0" w:color="auto"/>
            </w:tcBorders>
            <w:shd w:val="clear" w:color="000000" w:fill="FFFFFF"/>
            <w:noWrap/>
            <w:vAlign w:val="bottom"/>
            <w:hideMark/>
          </w:tcPr>
          <w:p w14:paraId="73F48AE5"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-2.000,00</w:t>
            </w:r>
          </w:p>
        </w:tc>
        <w:tc>
          <w:tcPr>
            <w:tcW w:w="1418" w:type="dxa"/>
            <w:tcBorders>
              <w:top w:val="nil"/>
              <w:left w:val="nil"/>
              <w:bottom w:val="single" w:sz="4" w:space="0" w:color="auto"/>
              <w:right w:val="single" w:sz="4" w:space="0" w:color="auto"/>
            </w:tcBorders>
            <w:shd w:val="clear" w:color="000000" w:fill="FFFFFF"/>
            <w:noWrap/>
            <w:vAlign w:val="bottom"/>
            <w:hideMark/>
          </w:tcPr>
          <w:p w14:paraId="078171D3"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27.000,00</w:t>
            </w:r>
          </w:p>
        </w:tc>
      </w:tr>
      <w:tr w:rsidR="00680E61" w:rsidRPr="00AB3469" w14:paraId="7CCB1FAD" w14:textId="77777777" w:rsidTr="00DB54DB">
        <w:trPr>
          <w:trHeight w:val="255"/>
        </w:trPr>
        <w:tc>
          <w:tcPr>
            <w:tcW w:w="4168" w:type="dxa"/>
            <w:tcBorders>
              <w:top w:val="nil"/>
              <w:left w:val="single" w:sz="4" w:space="0" w:color="auto"/>
              <w:bottom w:val="single" w:sz="4" w:space="0" w:color="auto"/>
              <w:right w:val="single" w:sz="4" w:space="0" w:color="auto"/>
            </w:tcBorders>
            <w:shd w:val="clear" w:color="000000" w:fill="FFFFFF"/>
            <w:noWrap/>
            <w:vAlign w:val="bottom"/>
            <w:hideMark/>
          </w:tcPr>
          <w:p w14:paraId="5243C836" w14:textId="77777777" w:rsidR="00680E61" w:rsidRPr="00AB3469" w:rsidRDefault="00680E61" w:rsidP="00DB54DB">
            <w:pPr>
              <w:rPr>
                <w:rFonts w:ascii="Arial" w:hAnsi="Arial" w:cs="Arial"/>
                <w:b/>
                <w:bCs/>
                <w:sz w:val="20"/>
                <w:szCs w:val="20"/>
              </w:rPr>
            </w:pPr>
            <w:r w:rsidRPr="00AB3469">
              <w:rPr>
                <w:rFonts w:ascii="Arial" w:hAnsi="Arial" w:cs="Arial"/>
                <w:b/>
                <w:bCs/>
                <w:sz w:val="20"/>
                <w:szCs w:val="20"/>
              </w:rPr>
              <w:t>Program 6004 Upravljanje projektima financiranim iz nacionalnih sredstava</w:t>
            </w:r>
          </w:p>
        </w:tc>
        <w:tc>
          <w:tcPr>
            <w:tcW w:w="1781" w:type="dxa"/>
            <w:tcBorders>
              <w:top w:val="nil"/>
              <w:left w:val="nil"/>
              <w:bottom w:val="single" w:sz="4" w:space="0" w:color="auto"/>
              <w:right w:val="single" w:sz="4" w:space="0" w:color="auto"/>
            </w:tcBorders>
            <w:shd w:val="clear" w:color="000000" w:fill="FFFFFF"/>
            <w:noWrap/>
            <w:vAlign w:val="bottom"/>
            <w:hideMark/>
          </w:tcPr>
          <w:p w14:paraId="0D64A419" w14:textId="77777777" w:rsidR="00680E61" w:rsidRPr="00AB3469" w:rsidRDefault="00680E61" w:rsidP="00DB54DB">
            <w:pPr>
              <w:jc w:val="right"/>
              <w:rPr>
                <w:rFonts w:ascii="Arial" w:hAnsi="Arial" w:cs="Arial"/>
                <w:b/>
                <w:bCs/>
                <w:sz w:val="20"/>
                <w:szCs w:val="20"/>
              </w:rPr>
            </w:pPr>
            <w:r w:rsidRPr="00AB3469">
              <w:rPr>
                <w:rFonts w:ascii="Arial" w:hAnsi="Arial" w:cs="Arial"/>
                <w:b/>
                <w:bCs/>
                <w:sz w:val="20"/>
                <w:szCs w:val="20"/>
              </w:rPr>
              <w:t>12.000,00</w:t>
            </w:r>
          </w:p>
        </w:tc>
        <w:tc>
          <w:tcPr>
            <w:tcW w:w="1559" w:type="dxa"/>
            <w:tcBorders>
              <w:top w:val="nil"/>
              <w:left w:val="nil"/>
              <w:bottom w:val="single" w:sz="4" w:space="0" w:color="auto"/>
              <w:right w:val="single" w:sz="4" w:space="0" w:color="auto"/>
            </w:tcBorders>
            <w:shd w:val="clear" w:color="000000" w:fill="FFFFFF"/>
            <w:noWrap/>
            <w:vAlign w:val="bottom"/>
            <w:hideMark/>
          </w:tcPr>
          <w:p w14:paraId="68F81CCF" w14:textId="77777777" w:rsidR="00680E61" w:rsidRPr="00AB3469" w:rsidRDefault="00680E61" w:rsidP="00DB54DB">
            <w:pPr>
              <w:jc w:val="right"/>
              <w:rPr>
                <w:rFonts w:ascii="Arial" w:hAnsi="Arial" w:cs="Arial"/>
                <w:b/>
                <w:bCs/>
                <w:sz w:val="20"/>
                <w:szCs w:val="20"/>
              </w:rPr>
            </w:pPr>
            <w:r w:rsidRPr="00AB3469">
              <w:rPr>
                <w:rFonts w:ascii="Arial" w:hAnsi="Arial" w:cs="Arial"/>
                <w:b/>
                <w:bCs/>
                <w:sz w:val="20"/>
                <w:szCs w:val="20"/>
              </w:rPr>
              <w:t>1.611,00</w:t>
            </w:r>
          </w:p>
        </w:tc>
        <w:tc>
          <w:tcPr>
            <w:tcW w:w="1418" w:type="dxa"/>
            <w:tcBorders>
              <w:top w:val="nil"/>
              <w:left w:val="nil"/>
              <w:bottom w:val="single" w:sz="4" w:space="0" w:color="auto"/>
              <w:right w:val="single" w:sz="4" w:space="0" w:color="auto"/>
            </w:tcBorders>
            <w:shd w:val="clear" w:color="000000" w:fill="FFFFFF"/>
            <w:noWrap/>
            <w:vAlign w:val="bottom"/>
            <w:hideMark/>
          </w:tcPr>
          <w:p w14:paraId="11762737" w14:textId="77777777" w:rsidR="00680E61" w:rsidRPr="00AB3469" w:rsidRDefault="00680E61" w:rsidP="00DB54DB">
            <w:pPr>
              <w:jc w:val="right"/>
              <w:rPr>
                <w:rFonts w:ascii="Arial" w:hAnsi="Arial" w:cs="Arial"/>
                <w:b/>
                <w:bCs/>
                <w:sz w:val="20"/>
                <w:szCs w:val="20"/>
              </w:rPr>
            </w:pPr>
            <w:r w:rsidRPr="00AB3469">
              <w:rPr>
                <w:rFonts w:ascii="Arial" w:hAnsi="Arial" w:cs="Arial"/>
                <w:b/>
                <w:bCs/>
                <w:sz w:val="20"/>
                <w:szCs w:val="20"/>
              </w:rPr>
              <w:t>13.611,00</w:t>
            </w:r>
          </w:p>
        </w:tc>
      </w:tr>
      <w:tr w:rsidR="00680E61" w:rsidRPr="00AB3469" w14:paraId="474AC693" w14:textId="77777777" w:rsidTr="00DB54DB">
        <w:trPr>
          <w:trHeight w:val="255"/>
        </w:trPr>
        <w:tc>
          <w:tcPr>
            <w:tcW w:w="4168" w:type="dxa"/>
            <w:tcBorders>
              <w:top w:val="nil"/>
              <w:left w:val="single" w:sz="4" w:space="0" w:color="auto"/>
              <w:bottom w:val="single" w:sz="4" w:space="0" w:color="auto"/>
              <w:right w:val="single" w:sz="4" w:space="0" w:color="auto"/>
            </w:tcBorders>
            <w:shd w:val="clear" w:color="000000" w:fill="FFFFFF"/>
            <w:noWrap/>
            <w:vAlign w:val="bottom"/>
            <w:hideMark/>
          </w:tcPr>
          <w:p w14:paraId="178B209E" w14:textId="77777777" w:rsidR="00680E61" w:rsidRPr="00AB3469" w:rsidRDefault="00680E61" w:rsidP="00DB54DB">
            <w:pPr>
              <w:rPr>
                <w:rFonts w:ascii="Arial" w:hAnsi="Arial" w:cs="Arial"/>
                <w:sz w:val="20"/>
                <w:szCs w:val="20"/>
              </w:rPr>
            </w:pPr>
            <w:r w:rsidRPr="00AB3469">
              <w:rPr>
                <w:rFonts w:ascii="Arial" w:hAnsi="Arial" w:cs="Arial"/>
                <w:sz w:val="20"/>
                <w:szCs w:val="20"/>
              </w:rPr>
              <w:t xml:space="preserve">Tekući projekt T600001 Pilot projekt provedbe </w:t>
            </w:r>
            <w:proofErr w:type="spellStart"/>
            <w:r w:rsidRPr="00AB3469">
              <w:rPr>
                <w:rFonts w:ascii="Arial" w:hAnsi="Arial" w:cs="Arial"/>
                <w:sz w:val="20"/>
                <w:szCs w:val="20"/>
              </w:rPr>
              <w:t>edukativnih,kulturnih</w:t>
            </w:r>
            <w:proofErr w:type="spellEnd"/>
            <w:r w:rsidRPr="00AB3469">
              <w:rPr>
                <w:rFonts w:ascii="Arial" w:hAnsi="Arial" w:cs="Arial"/>
                <w:sz w:val="20"/>
                <w:szCs w:val="20"/>
              </w:rPr>
              <w:t xml:space="preserve"> i sportskih aktiv. djece </w:t>
            </w:r>
            <w:proofErr w:type="spellStart"/>
            <w:r w:rsidRPr="00AB3469">
              <w:rPr>
                <w:rFonts w:ascii="Arial" w:hAnsi="Arial" w:cs="Arial"/>
                <w:sz w:val="20"/>
                <w:szCs w:val="20"/>
              </w:rPr>
              <w:t>predšk.dobi</w:t>
            </w:r>
            <w:proofErr w:type="spellEnd"/>
            <w:r w:rsidRPr="00AB3469">
              <w:rPr>
                <w:rFonts w:ascii="Arial" w:hAnsi="Arial" w:cs="Arial"/>
                <w:sz w:val="20"/>
                <w:szCs w:val="20"/>
              </w:rPr>
              <w:t xml:space="preserve"> i djece do IV </w:t>
            </w:r>
            <w:proofErr w:type="spellStart"/>
            <w:r w:rsidRPr="00AB3469">
              <w:rPr>
                <w:rFonts w:ascii="Arial" w:hAnsi="Arial" w:cs="Arial"/>
                <w:sz w:val="20"/>
                <w:szCs w:val="20"/>
              </w:rPr>
              <w:t>raz</w:t>
            </w:r>
            <w:proofErr w:type="spellEnd"/>
            <w:r w:rsidRPr="00AB3469">
              <w:rPr>
                <w:rFonts w:ascii="Arial" w:hAnsi="Arial" w:cs="Arial"/>
                <w:sz w:val="20"/>
                <w:szCs w:val="20"/>
              </w:rPr>
              <w:t>.</w:t>
            </w:r>
          </w:p>
        </w:tc>
        <w:tc>
          <w:tcPr>
            <w:tcW w:w="1781" w:type="dxa"/>
            <w:tcBorders>
              <w:top w:val="nil"/>
              <w:left w:val="nil"/>
              <w:bottom w:val="single" w:sz="4" w:space="0" w:color="auto"/>
              <w:right w:val="single" w:sz="4" w:space="0" w:color="auto"/>
            </w:tcBorders>
            <w:shd w:val="clear" w:color="000000" w:fill="FFFFFF"/>
            <w:noWrap/>
            <w:vAlign w:val="bottom"/>
            <w:hideMark/>
          </w:tcPr>
          <w:p w14:paraId="4F6F0F1C"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12.000,00</w:t>
            </w:r>
          </w:p>
        </w:tc>
        <w:tc>
          <w:tcPr>
            <w:tcW w:w="1559" w:type="dxa"/>
            <w:tcBorders>
              <w:top w:val="nil"/>
              <w:left w:val="nil"/>
              <w:bottom w:val="single" w:sz="4" w:space="0" w:color="auto"/>
              <w:right w:val="single" w:sz="4" w:space="0" w:color="auto"/>
            </w:tcBorders>
            <w:shd w:val="clear" w:color="000000" w:fill="FFFFFF"/>
            <w:noWrap/>
            <w:vAlign w:val="bottom"/>
            <w:hideMark/>
          </w:tcPr>
          <w:p w14:paraId="72A38A79"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1.611,00</w:t>
            </w:r>
          </w:p>
        </w:tc>
        <w:tc>
          <w:tcPr>
            <w:tcW w:w="1418" w:type="dxa"/>
            <w:tcBorders>
              <w:top w:val="nil"/>
              <w:left w:val="nil"/>
              <w:bottom w:val="single" w:sz="4" w:space="0" w:color="auto"/>
              <w:right w:val="single" w:sz="4" w:space="0" w:color="auto"/>
            </w:tcBorders>
            <w:shd w:val="clear" w:color="000000" w:fill="FFFFFF"/>
            <w:noWrap/>
            <w:vAlign w:val="bottom"/>
            <w:hideMark/>
          </w:tcPr>
          <w:p w14:paraId="070433FB" w14:textId="77777777" w:rsidR="00680E61" w:rsidRPr="00AB3469" w:rsidRDefault="00680E61" w:rsidP="00DB54DB">
            <w:pPr>
              <w:jc w:val="right"/>
              <w:rPr>
                <w:rFonts w:ascii="Arial" w:hAnsi="Arial" w:cs="Arial"/>
                <w:sz w:val="20"/>
                <w:szCs w:val="20"/>
              </w:rPr>
            </w:pPr>
            <w:r w:rsidRPr="00AB3469">
              <w:rPr>
                <w:rFonts w:ascii="Arial" w:hAnsi="Arial" w:cs="Arial"/>
                <w:sz w:val="20"/>
                <w:szCs w:val="20"/>
              </w:rPr>
              <w:t>13.611,00</w:t>
            </w:r>
          </w:p>
        </w:tc>
      </w:tr>
    </w:tbl>
    <w:p w14:paraId="1AB0DD8E" w14:textId="77777777" w:rsidR="00680E61" w:rsidRPr="00AB3469" w:rsidRDefault="00680E61" w:rsidP="00680E61"/>
    <w:p w14:paraId="0E30567F" w14:textId="77777777" w:rsidR="00680E61" w:rsidRPr="00AB3469" w:rsidRDefault="00680E61" w:rsidP="00680E61"/>
    <w:p w14:paraId="6F730BAB" w14:textId="77777777" w:rsidR="00680E61" w:rsidRPr="00597AB7" w:rsidRDefault="00680E61" w:rsidP="00680E61">
      <w:pPr>
        <w:autoSpaceDE w:val="0"/>
        <w:autoSpaceDN w:val="0"/>
        <w:adjustRightInd w:val="0"/>
        <w:ind w:firstLine="708"/>
        <w:jc w:val="both"/>
        <w:rPr>
          <w:rFonts w:ascii="Arial" w:hAnsi="Arial" w:cs="Arial"/>
          <w:sz w:val="22"/>
          <w:lang w:val="en-GB"/>
        </w:rPr>
      </w:pPr>
      <w:proofErr w:type="spellStart"/>
      <w:r w:rsidRPr="00597AB7">
        <w:rPr>
          <w:rFonts w:ascii="Arial" w:hAnsi="Arial" w:cs="Arial"/>
          <w:sz w:val="22"/>
          <w:lang w:val="en-GB"/>
        </w:rPr>
        <w:t>Prvim</w:t>
      </w:r>
      <w:proofErr w:type="spellEnd"/>
      <w:r w:rsidRPr="00597AB7">
        <w:rPr>
          <w:rFonts w:ascii="Arial" w:hAnsi="Arial" w:cs="Arial"/>
          <w:sz w:val="22"/>
          <w:lang w:val="en-GB"/>
        </w:rPr>
        <w:t xml:space="preserve"> </w:t>
      </w:r>
      <w:proofErr w:type="spellStart"/>
      <w:r w:rsidRPr="00597AB7">
        <w:rPr>
          <w:rFonts w:ascii="Arial" w:hAnsi="Arial" w:cs="Arial"/>
          <w:sz w:val="22"/>
          <w:lang w:val="en-GB"/>
        </w:rPr>
        <w:t>izmjenama</w:t>
      </w:r>
      <w:proofErr w:type="spellEnd"/>
      <w:r w:rsidRPr="00597AB7">
        <w:rPr>
          <w:rFonts w:ascii="Arial" w:hAnsi="Arial" w:cs="Arial"/>
          <w:sz w:val="22"/>
          <w:lang w:val="en-GB"/>
        </w:rPr>
        <w:t xml:space="preserve"> </w:t>
      </w:r>
      <w:proofErr w:type="spellStart"/>
      <w:r w:rsidRPr="00597AB7">
        <w:rPr>
          <w:rFonts w:ascii="Arial" w:hAnsi="Arial" w:cs="Arial"/>
          <w:sz w:val="22"/>
          <w:lang w:val="en-GB"/>
        </w:rPr>
        <w:t>i</w:t>
      </w:r>
      <w:proofErr w:type="spellEnd"/>
      <w:r w:rsidRPr="00597AB7">
        <w:rPr>
          <w:rFonts w:ascii="Arial" w:hAnsi="Arial" w:cs="Arial"/>
          <w:sz w:val="22"/>
          <w:lang w:val="en-GB"/>
        </w:rPr>
        <w:t xml:space="preserve"> </w:t>
      </w:r>
      <w:proofErr w:type="spellStart"/>
      <w:r w:rsidRPr="00597AB7">
        <w:rPr>
          <w:rFonts w:ascii="Arial" w:hAnsi="Arial" w:cs="Arial"/>
          <w:sz w:val="22"/>
          <w:lang w:val="en-GB"/>
        </w:rPr>
        <w:t>dopunama</w:t>
      </w:r>
      <w:proofErr w:type="spellEnd"/>
      <w:r w:rsidRPr="00597AB7">
        <w:rPr>
          <w:rFonts w:ascii="Arial" w:hAnsi="Arial" w:cs="Arial"/>
          <w:sz w:val="22"/>
          <w:lang w:val="en-GB"/>
        </w:rPr>
        <w:t xml:space="preserve"> Program </w:t>
      </w:r>
      <w:proofErr w:type="spellStart"/>
      <w:r w:rsidRPr="00597AB7">
        <w:rPr>
          <w:rFonts w:ascii="Arial" w:hAnsi="Arial" w:cs="Arial"/>
          <w:sz w:val="22"/>
          <w:lang w:val="en-GB"/>
        </w:rPr>
        <w:t>jačanja</w:t>
      </w:r>
      <w:proofErr w:type="spellEnd"/>
      <w:r w:rsidRPr="00597AB7">
        <w:rPr>
          <w:rFonts w:ascii="Arial" w:hAnsi="Arial" w:cs="Arial"/>
          <w:sz w:val="22"/>
          <w:lang w:val="en-GB"/>
        </w:rPr>
        <w:t xml:space="preserve"> </w:t>
      </w:r>
      <w:proofErr w:type="spellStart"/>
      <w:r w:rsidRPr="00597AB7">
        <w:rPr>
          <w:rFonts w:ascii="Arial" w:hAnsi="Arial" w:cs="Arial"/>
          <w:sz w:val="22"/>
          <w:lang w:val="en-GB"/>
        </w:rPr>
        <w:t>gospodarstva</w:t>
      </w:r>
      <w:proofErr w:type="spellEnd"/>
      <w:r w:rsidRPr="00597AB7">
        <w:rPr>
          <w:rFonts w:ascii="Arial" w:hAnsi="Arial" w:cs="Arial"/>
          <w:sz w:val="22"/>
          <w:lang w:val="en-GB"/>
        </w:rPr>
        <w:t xml:space="preserve"> za 2025. </w:t>
      </w:r>
      <w:proofErr w:type="spellStart"/>
      <w:r w:rsidRPr="00597AB7">
        <w:rPr>
          <w:rFonts w:ascii="Arial" w:hAnsi="Arial" w:cs="Arial"/>
          <w:sz w:val="22"/>
          <w:lang w:val="en-GB"/>
        </w:rPr>
        <w:t>godinu</w:t>
      </w:r>
      <w:proofErr w:type="spellEnd"/>
      <w:r w:rsidRPr="00597AB7">
        <w:rPr>
          <w:rFonts w:ascii="Arial" w:hAnsi="Arial" w:cs="Arial"/>
          <w:sz w:val="22"/>
          <w:lang w:val="en-GB"/>
        </w:rPr>
        <w:t xml:space="preserve"> </w:t>
      </w:r>
      <w:proofErr w:type="spellStart"/>
      <w:r w:rsidRPr="00597AB7">
        <w:rPr>
          <w:rFonts w:ascii="Arial" w:hAnsi="Arial" w:cs="Arial"/>
          <w:sz w:val="22"/>
          <w:lang w:val="en-GB"/>
        </w:rPr>
        <w:t>sa</w:t>
      </w:r>
      <w:proofErr w:type="spellEnd"/>
      <w:r w:rsidRPr="00597AB7">
        <w:rPr>
          <w:rFonts w:ascii="Arial" w:hAnsi="Arial" w:cs="Arial"/>
          <w:sz w:val="22"/>
          <w:lang w:val="en-GB"/>
        </w:rPr>
        <w:t xml:space="preserve"> </w:t>
      </w:r>
      <w:proofErr w:type="spellStart"/>
      <w:r w:rsidRPr="00597AB7">
        <w:rPr>
          <w:rFonts w:ascii="Arial" w:hAnsi="Arial" w:cs="Arial"/>
          <w:sz w:val="22"/>
          <w:lang w:val="en-GB"/>
        </w:rPr>
        <w:t>projekcijom</w:t>
      </w:r>
      <w:proofErr w:type="spellEnd"/>
      <w:r w:rsidRPr="00597AB7">
        <w:rPr>
          <w:rFonts w:ascii="Arial" w:hAnsi="Arial" w:cs="Arial"/>
          <w:sz w:val="22"/>
          <w:lang w:val="en-GB"/>
        </w:rPr>
        <w:t xml:space="preserve"> za 2026. </w:t>
      </w:r>
      <w:proofErr w:type="spellStart"/>
      <w:r w:rsidRPr="00597AB7">
        <w:rPr>
          <w:rFonts w:ascii="Arial" w:hAnsi="Arial" w:cs="Arial"/>
          <w:sz w:val="22"/>
          <w:lang w:val="en-GB"/>
        </w:rPr>
        <w:t>i</w:t>
      </w:r>
      <w:proofErr w:type="spellEnd"/>
      <w:r w:rsidRPr="00597AB7">
        <w:rPr>
          <w:rFonts w:ascii="Arial" w:hAnsi="Arial" w:cs="Arial"/>
          <w:sz w:val="22"/>
          <w:lang w:val="en-GB"/>
        </w:rPr>
        <w:t xml:space="preserve"> 2027. </w:t>
      </w:r>
      <w:proofErr w:type="spellStart"/>
      <w:r w:rsidRPr="00597AB7">
        <w:rPr>
          <w:rFonts w:ascii="Arial" w:hAnsi="Arial" w:cs="Arial"/>
          <w:sz w:val="22"/>
          <w:lang w:val="en-GB"/>
        </w:rPr>
        <w:t>godinu</w:t>
      </w:r>
      <w:proofErr w:type="spellEnd"/>
      <w:r w:rsidRPr="00597AB7">
        <w:rPr>
          <w:rFonts w:ascii="Arial" w:hAnsi="Arial" w:cs="Arial"/>
          <w:sz w:val="22"/>
          <w:lang w:val="en-GB"/>
        </w:rPr>
        <w:t xml:space="preserve"> </w:t>
      </w:r>
      <w:proofErr w:type="spellStart"/>
      <w:r w:rsidRPr="00597AB7">
        <w:rPr>
          <w:rFonts w:ascii="Arial" w:hAnsi="Arial" w:cs="Arial"/>
          <w:sz w:val="22"/>
          <w:lang w:val="en-GB"/>
        </w:rPr>
        <w:t>smanjio</w:t>
      </w:r>
      <w:proofErr w:type="spellEnd"/>
      <w:r w:rsidRPr="00597AB7">
        <w:rPr>
          <w:rFonts w:ascii="Arial" w:hAnsi="Arial" w:cs="Arial"/>
          <w:sz w:val="22"/>
          <w:lang w:val="en-GB"/>
        </w:rPr>
        <w:t xml:space="preserve"> se za 11.325,00 EUR </w:t>
      </w:r>
      <w:proofErr w:type="spellStart"/>
      <w:proofErr w:type="gramStart"/>
      <w:r w:rsidRPr="00597AB7">
        <w:rPr>
          <w:rFonts w:ascii="Arial" w:hAnsi="Arial" w:cs="Arial"/>
          <w:sz w:val="22"/>
          <w:lang w:val="en-GB"/>
        </w:rPr>
        <w:t>ili</w:t>
      </w:r>
      <w:proofErr w:type="spellEnd"/>
      <w:r w:rsidRPr="00597AB7">
        <w:rPr>
          <w:rFonts w:ascii="Arial" w:hAnsi="Arial" w:cs="Arial"/>
          <w:sz w:val="22"/>
          <w:lang w:val="en-GB"/>
        </w:rPr>
        <w:t xml:space="preserve">  7</w:t>
      </w:r>
      <w:proofErr w:type="gramEnd"/>
      <w:r w:rsidRPr="00597AB7">
        <w:rPr>
          <w:rFonts w:ascii="Arial" w:hAnsi="Arial" w:cs="Arial"/>
          <w:sz w:val="22"/>
          <w:lang w:val="en-GB"/>
        </w:rPr>
        <w:t xml:space="preserve">,83% </w:t>
      </w:r>
      <w:proofErr w:type="spellStart"/>
      <w:r w:rsidRPr="00597AB7">
        <w:rPr>
          <w:rFonts w:ascii="Arial" w:hAnsi="Arial" w:cs="Arial"/>
          <w:sz w:val="22"/>
          <w:lang w:val="en-GB"/>
        </w:rPr>
        <w:t>od</w:t>
      </w:r>
      <w:proofErr w:type="spellEnd"/>
      <w:r w:rsidRPr="00597AB7">
        <w:rPr>
          <w:rFonts w:ascii="Arial" w:hAnsi="Arial" w:cs="Arial"/>
          <w:sz w:val="22"/>
          <w:lang w:val="en-GB"/>
        </w:rPr>
        <w:t xml:space="preserve"> </w:t>
      </w:r>
      <w:proofErr w:type="spellStart"/>
      <w:r w:rsidRPr="00597AB7">
        <w:rPr>
          <w:rFonts w:ascii="Arial" w:hAnsi="Arial" w:cs="Arial"/>
          <w:sz w:val="22"/>
          <w:lang w:val="en-GB"/>
        </w:rPr>
        <w:t>planiranog</w:t>
      </w:r>
      <w:proofErr w:type="spellEnd"/>
      <w:r w:rsidRPr="00597AB7">
        <w:rPr>
          <w:rFonts w:ascii="Arial" w:hAnsi="Arial" w:cs="Arial"/>
          <w:sz w:val="22"/>
          <w:lang w:val="en-GB"/>
        </w:rPr>
        <w:t xml:space="preserve"> </w:t>
      </w:r>
      <w:proofErr w:type="spellStart"/>
      <w:r w:rsidRPr="00597AB7">
        <w:rPr>
          <w:rFonts w:ascii="Arial" w:hAnsi="Arial" w:cs="Arial"/>
          <w:sz w:val="22"/>
          <w:lang w:val="en-GB"/>
        </w:rPr>
        <w:t>iznosa</w:t>
      </w:r>
      <w:proofErr w:type="spellEnd"/>
      <w:r w:rsidRPr="00597AB7">
        <w:rPr>
          <w:rFonts w:ascii="Arial" w:hAnsi="Arial" w:cs="Arial"/>
          <w:sz w:val="22"/>
          <w:lang w:val="en-GB"/>
        </w:rPr>
        <w:t xml:space="preserve"> </w:t>
      </w:r>
      <w:proofErr w:type="spellStart"/>
      <w:r w:rsidRPr="00597AB7">
        <w:rPr>
          <w:rFonts w:ascii="Arial" w:hAnsi="Arial" w:cs="Arial"/>
          <w:sz w:val="22"/>
          <w:lang w:val="en-GB"/>
        </w:rPr>
        <w:t>te</w:t>
      </w:r>
      <w:proofErr w:type="spellEnd"/>
      <w:r w:rsidRPr="00597AB7">
        <w:rPr>
          <w:rFonts w:ascii="Arial" w:hAnsi="Arial" w:cs="Arial"/>
          <w:sz w:val="22"/>
          <w:lang w:val="en-GB"/>
        </w:rPr>
        <w:t xml:space="preserve"> </w:t>
      </w:r>
      <w:proofErr w:type="spellStart"/>
      <w:r w:rsidRPr="00597AB7">
        <w:rPr>
          <w:rFonts w:ascii="Arial" w:hAnsi="Arial" w:cs="Arial"/>
          <w:sz w:val="22"/>
          <w:lang w:val="en-GB"/>
        </w:rPr>
        <w:t>iznosi</w:t>
      </w:r>
      <w:proofErr w:type="spellEnd"/>
      <w:r w:rsidRPr="00597AB7">
        <w:rPr>
          <w:rFonts w:ascii="Arial" w:hAnsi="Arial" w:cs="Arial"/>
          <w:sz w:val="22"/>
          <w:lang w:val="en-GB"/>
        </w:rPr>
        <w:t xml:space="preserve"> 133.293,00 EUR. </w:t>
      </w:r>
      <w:proofErr w:type="spellStart"/>
      <w:r w:rsidRPr="00597AB7">
        <w:rPr>
          <w:rFonts w:ascii="Arial" w:hAnsi="Arial" w:cs="Arial"/>
          <w:sz w:val="22"/>
          <w:lang w:val="en-GB"/>
        </w:rPr>
        <w:t>Smanjenje</w:t>
      </w:r>
      <w:proofErr w:type="spellEnd"/>
      <w:r w:rsidRPr="00597AB7">
        <w:rPr>
          <w:rFonts w:ascii="Arial" w:hAnsi="Arial" w:cs="Arial"/>
          <w:sz w:val="22"/>
          <w:lang w:val="en-GB"/>
        </w:rPr>
        <w:t xml:space="preserve"> </w:t>
      </w:r>
      <w:proofErr w:type="spellStart"/>
      <w:r w:rsidRPr="00597AB7">
        <w:rPr>
          <w:rFonts w:ascii="Arial" w:hAnsi="Arial" w:cs="Arial"/>
          <w:sz w:val="22"/>
          <w:lang w:val="en-GB"/>
        </w:rPr>
        <w:t>planiranog</w:t>
      </w:r>
      <w:proofErr w:type="spellEnd"/>
      <w:r w:rsidRPr="00597AB7">
        <w:rPr>
          <w:rFonts w:ascii="Arial" w:hAnsi="Arial" w:cs="Arial"/>
          <w:sz w:val="22"/>
          <w:lang w:val="en-GB"/>
        </w:rPr>
        <w:t xml:space="preserve"> </w:t>
      </w:r>
      <w:proofErr w:type="spellStart"/>
      <w:r w:rsidRPr="00597AB7">
        <w:rPr>
          <w:rFonts w:ascii="Arial" w:hAnsi="Arial" w:cs="Arial"/>
          <w:sz w:val="22"/>
          <w:lang w:val="en-GB"/>
        </w:rPr>
        <w:t>iznosa</w:t>
      </w:r>
      <w:proofErr w:type="spellEnd"/>
      <w:r w:rsidRPr="00597AB7">
        <w:rPr>
          <w:rFonts w:ascii="Arial" w:hAnsi="Arial" w:cs="Arial"/>
          <w:sz w:val="22"/>
          <w:lang w:val="en-GB"/>
        </w:rPr>
        <w:t xml:space="preserve"> </w:t>
      </w:r>
      <w:proofErr w:type="spellStart"/>
      <w:r w:rsidRPr="00597AB7">
        <w:rPr>
          <w:rFonts w:ascii="Arial" w:hAnsi="Arial" w:cs="Arial"/>
          <w:sz w:val="22"/>
          <w:lang w:val="en-GB"/>
        </w:rPr>
        <w:t>izvršeno</w:t>
      </w:r>
      <w:proofErr w:type="spellEnd"/>
      <w:r w:rsidRPr="00597AB7">
        <w:rPr>
          <w:rFonts w:ascii="Arial" w:hAnsi="Arial" w:cs="Arial"/>
          <w:sz w:val="22"/>
          <w:lang w:val="en-GB"/>
        </w:rPr>
        <w:t xml:space="preserve"> je </w:t>
      </w:r>
      <w:proofErr w:type="spellStart"/>
      <w:r w:rsidRPr="00597AB7">
        <w:rPr>
          <w:rFonts w:ascii="Arial" w:hAnsi="Arial" w:cs="Arial"/>
          <w:sz w:val="22"/>
          <w:lang w:val="en-GB"/>
        </w:rPr>
        <w:t>unutar</w:t>
      </w:r>
      <w:proofErr w:type="spellEnd"/>
      <w:r w:rsidRPr="00597AB7">
        <w:rPr>
          <w:rFonts w:ascii="Arial" w:hAnsi="Arial" w:cs="Arial"/>
          <w:sz w:val="22"/>
          <w:lang w:val="en-GB"/>
        </w:rPr>
        <w:t xml:space="preserve"> </w:t>
      </w:r>
      <w:proofErr w:type="spellStart"/>
      <w:r w:rsidRPr="00597AB7">
        <w:rPr>
          <w:rFonts w:ascii="Arial" w:hAnsi="Arial" w:cs="Arial"/>
          <w:sz w:val="22"/>
          <w:lang w:val="en-GB"/>
        </w:rPr>
        <w:t>slijedećih</w:t>
      </w:r>
      <w:proofErr w:type="spellEnd"/>
      <w:r w:rsidRPr="00597AB7">
        <w:rPr>
          <w:rFonts w:ascii="Arial" w:hAnsi="Arial" w:cs="Arial"/>
          <w:sz w:val="22"/>
          <w:lang w:val="en-GB"/>
        </w:rPr>
        <w:t xml:space="preserve"> </w:t>
      </w:r>
      <w:proofErr w:type="spellStart"/>
      <w:r w:rsidRPr="00597AB7">
        <w:rPr>
          <w:rFonts w:ascii="Arial" w:hAnsi="Arial" w:cs="Arial"/>
          <w:sz w:val="22"/>
          <w:lang w:val="en-GB"/>
        </w:rPr>
        <w:t>aktivnosti</w:t>
      </w:r>
      <w:proofErr w:type="spellEnd"/>
      <w:r w:rsidRPr="00597AB7">
        <w:rPr>
          <w:rFonts w:ascii="Arial" w:hAnsi="Arial" w:cs="Arial"/>
          <w:sz w:val="22"/>
          <w:lang w:val="en-GB"/>
        </w:rPr>
        <w:t xml:space="preserve">. </w:t>
      </w:r>
      <w:proofErr w:type="spellStart"/>
      <w:r w:rsidRPr="00597AB7">
        <w:rPr>
          <w:rFonts w:ascii="Arial" w:hAnsi="Arial" w:cs="Arial"/>
          <w:sz w:val="22"/>
          <w:lang w:val="en-GB"/>
        </w:rPr>
        <w:t>Aktivnost</w:t>
      </w:r>
      <w:proofErr w:type="spellEnd"/>
      <w:r w:rsidRPr="00597AB7">
        <w:rPr>
          <w:rFonts w:ascii="Arial" w:hAnsi="Arial" w:cs="Arial"/>
          <w:sz w:val="22"/>
          <w:lang w:val="en-GB"/>
        </w:rPr>
        <w:t xml:space="preserve"> </w:t>
      </w:r>
      <w:proofErr w:type="spellStart"/>
      <w:r w:rsidRPr="00597AB7">
        <w:rPr>
          <w:rFonts w:ascii="Arial" w:hAnsi="Arial" w:cs="Arial"/>
          <w:sz w:val="22"/>
          <w:lang w:val="en-GB"/>
        </w:rPr>
        <w:t>Bespovratne</w:t>
      </w:r>
      <w:proofErr w:type="spellEnd"/>
      <w:r w:rsidRPr="00597AB7">
        <w:rPr>
          <w:rFonts w:ascii="Arial" w:hAnsi="Arial" w:cs="Arial"/>
          <w:sz w:val="22"/>
          <w:lang w:val="en-GB"/>
        </w:rPr>
        <w:t xml:space="preserve"> </w:t>
      </w:r>
      <w:proofErr w:type="spellStart"/>
      <w:r w:rsidRPr="00597AB7">
        <w:rPr>
          <w:rFonts w:ascii="Arial" w:hAnsi="Arial" w:cs="Arial"/>
          <w:sz w:val="22"/>
          <w:lang w:val="en-GB"/>
        </w:rPr>
        <w:t>potpore</w:t>
      </w:r>
      <w:proofErr w:type="spellEnd"/>
      <w:r w:rsidRPr="00597AB7">
        <w:rPr>
          <w:rFonts w:ascii="Arial" w:hAnsi="Arial" w:cs="Arial"/>
          <w:sz w:val="22"/>
          <w:lang w:val="en-GB"/>
        </w:rPr>
        <w:t xml:space="preserve"> </w:t>
      </w:r>
      <w:proofErr w:type="spellStart"/>
      <w:r w:rsidRPr="00597AB7">
        <w:rPr>
          <w:rFonts w:ascii="Arial" w:hAnsi="Arial" w:cs="Arial"/>
          <w:sz w:val="22"/>
          <w:lang w:val="en-GB"/>
        </w:rPr>
        <w:t>i</w:t>
      </w:r>
      <w:proofErr w:type="spellEnd"/>
      <w:r w:rsidRPr="00597AB7">
        <w:rPr>
          <w:rFonts w:ascii="Arial" w:hAnsi="Arial" w:cs="Arial"/>
          <w:sz w:val="22"/>
          <w:lang w:val="en-GB"/>
        </w:rPr>
        <w:t xml:space="preserve"> </w:t>
      </w:r>
      <w:proofErr w:type="spellStart"/>
      <w:r w:rsidRPr="00597AB7">
        <w:rPr>
          <w:rFonts w:ascii="Arial" w:hAnsi="Arial" w:cs="Arial"/>
          <w:sz w:val="22"/>
          <w:lang w:val="en-GB"/>
        </w:rPr>
        <w:t>subvencije</w:t>
      </w:r>
      <w:proofErr w:type="spellEnd"/>
      <w:r w:rsidRPr="00597AB7">
        <w:rPr>
          <w:rFonts w:ascii="Arial" w:hAnsi="Arial" w:cs="Arial"/>
          <w:sz w:val="22"/>
          <w:lang w:val="en-GB"/>
        </w:rPr>
        <w:t xml:space="preserve"> </w:t>
      </w:r>
      <w:proofErr w:type="spellStart"/>
      <w:r w:rsidRPr="00597AB7">
        <w:rPr>
          <w:rFonts w:ascii="Arial" w:hAnsi="Arial" w:cs="Arial"/>
          <w:sz w:val="22"/>
          <w:lang w:val="en-GB"/>
        </w:rPr>
        <w:t>smanjena</w:t>
      </w:r>
      <w:proofErr w:type="spellEnd"/>
      <w:r w:rsidRPr="00597AB7">
        <w:rPr>
          <w:rFonts w:ascii="Arial" w:hAnsi="Arial" w:cs="Arial"/>
          <w:sz w:val="22"/>
          <w:lang w:val="en-GB"/>
        </w:rPr>
        <w:t xml:space="preserve"> je za 3.000,00 EUR od </w:t>
      </w:r>
      <w:proofErr w:type="spellStart"/>
      <w:r w:rsidRPr="00597AB7">
        <w:rPr>
          <w:rFonts w:ascii="Arial" w:hAnsi="Arial" w:cs="Arial"/>
          <w:sz w:val="22"/>
          <w:lang w:val="en-GB"/>
        </w:rPr>
        <w:t>planiranog</w:t>
      </w:r>
      <w:proofErr w:type="spellEnd"/>
      <w:r w:rsidRPr="00597AB7">
        <w:rPr>
          <w:rFonts w:ascii="Arial" w:hAnsi="Arial" w:cs="Arial"/>
          <w:sz w:val="22"/>
          <w:lang w:val="en-GB"/>
        </w:rPr>
        <w:t xml:space="preserve"> </w:t>
      </w:r>
      <w:proofErr w:type="spellStart"/>
      <w:r w:rsidRPr="00597AB7">
        <w:rPr>
          <w:rFonts w:ascii="Arial" w:hAnsi="Arial" w:cs="Arial"/>
          <w:sz w:val="22"/>
          <w:lang w:val="en-GB"/>
        </w:rPr>
        <w:t>iznosa</w:t>
      </w:r>
      <w:proofErr w:type="spellEnd"/>
      <w:r w:rsidRPr="00597AB7">
        <w:rPr>
          <w:rFonts w:ascii="Arial" w:hAnsi="Arial" w:cs="Arial"/>
          <w:sz w:val="22"/>
          <w:lang w:val="en-GB"/>
        </w:rPr>
        <w:t xml:space="preserve">. </w:t>
      </w:r>
      <w:proofErr w:type="spellStart"/>
      <w:r w:rsidRPr="00597AB7">
        <w:rPr>
          <w:rFonts w:ascii="Arial" w:hAnsi="Arial" w:cs="Arial"/>
          <w:sz w:val="22"/>
          <w:lang w:val="en-GB"/>
        </w:rPr>
        <w:t>Unutar</w:t>
      </w:r>
      <w:proofErr w:type="spellEnd"/>
      <w:r w:rsidRPr="00597AB7">
        <w:rPr>
          <w:rFonts w:ascii="Arial" w:hAnsi="Arial" w:cs="Arial"/>
          <w:sz w:val="22"/>
          <w:lang w:val="en-GB"/>
        </w:rPr>
        <w:t xml:space="preserve"> </w:t>
      </w:r>
      <w:proofErr w:type="spellStart"/>
      <w:r w:rsidRPr="00597AB7">
        <w:rPr>
          <w:rFonts w:ascii="Arial" w:hAnsi="Arial" w:cs="Arial"/>
          <w:sz w:val="22"/>
          <w:lang w:val="en-GB"/>
        </w:rPr>
        <w:t>navedene</w:t>
      </w:r>
      <w:proofErr w:type="spellEnd"/>
      <w:r w:rsidRPr="00597AB7">
        <w:rPr>
          <w:rFonts w:ascii="Arial" w:hAnsi="Arial" w:cs="Arial"/>
          <w:sz w:val="22"/>
          <w:lang w:val="en-GB"/>
        </w:rPr>
        <w:t xml:space="preserve"> </w:t>
      </w:r>
      <w:proofErr w:type="spellStart"/>
      <w:r w:rsidRPr="00597AB7">
        <w:rPr>
          <w:rFonts w:ascii="Arial" w:hAnsi="Arial" w:cs="Arial"/>
          <w:sz w:val="22"/>
          <w:lang w:val="en-GB"/>
        </w:rPr>
        <w:t>Aktivnosti</w:t>
      </w:r>
      <w:proofErr w:type="spellEnd"/>
      <w:r w:rsidRPr="00597AB7">
        <w:rPr>
          <w:rFonts w:ascii="Arial" w:hAnsi="Arial" w:cs="Arial"/>
          <w:sz w:val="22"/>
          <w:lang w:val="en-GB"/>
        </w:rPr>
        <w:t xml:space="preserve"> </w:t>
      </w:r>
      <w:proofErr w:type="spellStart"/>
      <w:r w:rsidRPr="00597AB7">
        <w:rPr>
          <w:rFonts w:ascii="Arial" w:hAnsi="Arial" w:cs="Arial"/>
          <w:sz w:val="22"/>
          <w:lang w:val="en-GB"/>
        </w:rPr>
        <w:t>planirana</w:t>
      </w:r>
      <w:proofErr w:type="spellEnd"/>
      <w:r w:rsidRPr="00597AB7">
        <w:rPr>
          <w:rFonts w:ascii="Arial" w:hAnsi="Arial" w:cs="Arial"/>
          <w:sz w:val="22"/>
          <w:lang w:val="en-GB"/>
        </w:rPr>
        <w:t xml:space="preserve"> </w:t>
      </w:r>
      <w:proofErr w:type="spellStart"/>
      <w:r w:rsidRPr="00597AB7">
        <w:rPr>
          <w:rFonts w:ascii="Arial" w:hAnsi="Arial" w:cs="Arial"/>
          <w:sz w:val="22"/>
          <w:lang w:val="en-GB"/>
        </w:rPr>
        <w:t>sredstva</w:t>
      </w:r>
      <w:proofErr w:type="spellEnd"/>
      <w:r w:rsidRPr="00597AB7">
        <w:rPr>
          <w:rFonts w:ascii="Arial" w:hAnsi="Arial" w:cs="Arial"/>
          <w:sz w:val="22"/>
          <w:lang w:val="en-GB"/>
        </w:rPr>
        <w:t xml:space="preserve"> za </w:t>
      </w:r>
      <w:proofErr w:type="spellStart"/>
      <w:proofErr w:type="gramStart"/>
      <w:r w:rsidRPr="00597AB7">
        <w:rPr>
          <w:rFonts w:ascii="Arial" w:hAnsi="Arial" w:cs="Arial"/>
          <w:sz w:val="22"/>
          <w:lang w:val="en-GB"/>
        </w:rPr>
        <w:t>Mjeru</w:t>
      </w:r>
      <w:proofErr w:type="spellEnd"/>
      <w:r w:rsidRPr="00597AB7">
        <w:rPr>
          <w:rFonts w:ascii="Arial" w:hAnsi="Arial" w:cs="Arial"/>
          <w:sz w:val="22"/>
          <w:lang w:val="en-GB"/>
        </w:rPr>
        <w:t xml:space="preserve">  </w:t>
      </w:r>
      <w:r w:rsidRPr="00597AB7">
        <w:rPr>
          <w:rFonts w:ascii="Arial" w:eastAsia="Calibri" w:hAnsi="Arial" w:cs="Arial"/>
          <w:sz w:val="22"/>
        </w:rPr>
        <w:t>Sufinanciranje</w:t>
      </w:r>
      <w:proofErr w:type="gramEnd"/>
      <w:r w:rsidRPr="00597AB7">
        <w:rPr>
          <w:rFonts w:ascii="Arial" w:eastAsia="Calibri" w:hAnsi="Arial" w:cs="Arial"/>
          <w:sz w:val="22"/>
        </w:rPr>
        <w:t xml:space="preserve"> </w:t>
      </w:r>
      <w:r w:rsidRPr="00597AB7">
        <w:rPr>
          <w:rFonts w:ascii="Arial" w:eastAsia="Calibri" w:hAnsi="Arial" w:cs="Arial"/>
          <w:sz w:val="22"/>
        </w:rPr>
        <w:lastRenderedPageBreak/>
        <w:t xml:space="preserve">stipendija učenicima i studentima smanjena su za 4.000,00 EUR, dok su </w:t>
      </w:r>
      <w:proofErr w:type="gramStart"/>
      <w:r w:rsidRPr="00597AB7">
        <w:rPr>
          <w:rFonts w:ascii="Arial" w:eastAsia="Calibri" w:hAnsi="Arial" w:cs="Arial"/>
          <w:sz w:val="22"/>
        </w:rPr>
        <w:t>za  Mjeru</w:t>
      </w:r>
      <w:proofErr w:type="gramEnd"/>
      <w:r w:rsidRPr="00597AB7">
        <w:rPr>
          <w:rFonts w:ascii="Arial" w:eastAsia="Calibri" w:hAnsi="Arial" w:cs="Arial"/>
          <w:sz w:val="22"/>
        </w:rPr>
        <w:t xml:space="preserve"> Sufinanciranje programa/projekta udruga i neprofitnih organizacija u području razvoja malog gospodarstva povećana za 1.000,00 EUR zbog financijskog uravnoteženja planiranih stavki. Aktivnost Promocija tradicijskih obrta i proizvoda smanjena je za 1.000,00 EUR od planiranih vrijednosti, Aktivnost  </w:t>
      </w:r>
      <w:r w:rsidRPr="00597AB7">
        <w:rPr>
          <w:rFonts w:ascii="Arial" w:hAnsi="Arial" w:cs="Arial"/>
          <w:sz w:val="22"/>
          <w:lang w:val="en-GB"/>
        </w:rPr>
        <w:t xml:space="preserve"> </w:t>
      </w:r>
      <w:proofErr w:type="spellStart"/>
      <w:r w:rsidRPr="00597AB7">
        <w:rPr>
          <w:rFonts w:ascii="Arial" w:hAnsi="Arial" w:cs="Arial"/>
          <w:sz w:val="22"/>
          <w:lang w:val="en-GB"/>
        </w:rPr>
        <w:t>Informativna</w:t>
      </w:r>
      <w:proofErr w:type="spellEnd"/>
      <w:r w:rsidRPr="00597AB7">
        <w:rPr>
          <w:rFonts w:ascii="Arial" w:hAnsi="Arial" w:cs="Arial"/>
          <w:sz w:val="22"/>
          <w:lang w:val="en-GB"/>
        </w:rPr>
        <w:t xml:space="preserve"> </w:t>
      </w:r>
      <w:proofErr w:type="spellStart"/>
      <w:r w:rsidRPr="00597AB7">
        <w:rPr>
          <w:rFonts w:ascii="Arial" w:hAnsi="Arial" w:cs="Arial"/>
          <w:sz w:val="22"/>
          <w:lang w:val="en-GB"/>
        </w:rPr>
        <w:t>i</w:t>
      </w:r>
      <w:proofErr w:type="spellEnd"/>
      <w:r w:rsidRPr="00597AB7">
        <w:rPr>
          <w:rFonts w:ascii="Arial" w:hAnsi="Arial" w:cs="Arial"/>
          <w:sz w:val="22"/>
          <w:lang w:val="en-GB"/>
        </w:rPr>
        <w:t xml:space="preserve"> </w:t>
      </w:r>
      <w:proofErr w:type="spellStart"/>
      <w:r w:rsidRPr="00597AB7">
        <w:rPr>
          <w:rFonts w:ascii="Arial" w:hAnsi="Arial" w:cs="Arial"/>
          <w:sz w:val="22"/>
          <w:lang w:val="en-GB"/>
        </w:rPr>
        <w:t>edukativna</w:t>
      </w:r>
      <w:proofErr w:type="spellEnd"/>
      <w:r w:rsidRPr="00597AB7">
        <w:rPr>
          <w:rFonts w:ascii="Arial" w:hAnsi="Arial" w:cs="Arial"/>
          <w:sz w:val="22"/>
          <w:lang w:val="en-GB"/>
        </w:rPr>
        <w:t xml:space="preserve"> </w:t>
      </w:r>
      <w:proofErr w:type="spellStart"/>
      <w:r w:rsidRPr="00597AB7">
        <w:rPr>
          <w:rFonts w:ascii="Arial" w:hAnsi="Arial" w:cs="Arial"/>
          <w:sz w:val="22"/>
          <w:lang w:val="en-GB"/>
        </w:rPr>
        <w:t>potpora</w:t>
      </w:r>
      <w:proofErr w:type="spellEnd"/>
      <w:r w:rsidRPr="00597AB7">
        <w:rPr>
          <w:rFonts w:ascii="Arial" w:hAnsi="Arial" w:cs="Arial"/>
          <w:sz w:val="22"/>
          <w:lang w:val="en-GB"/>
        </w:rPr>
        <w:t xml:space="preserve"> </w:t>
      </w:r>
      <w:proofErr w:type="spellStart"/>
      <w:r w:rsidRPr="00597AB7">
        <w:rPr>
          <w:rFonts w:ascii="Arial" w:hAnsi="Arial" w:cs="Arial"/>
          <w:sz w:val="22"/>
          <w:lang w:val="en-GB"/>
        </w:rPr>
        <w:t>smanjena</w:t>
      </w:r>
      <w:proofErr w:type="spellEnd"/>
      <w:r w:rsidRPr="00597AB7">
        <w:rPr>
          <w:rFonts w:ascii="Arial" w:hAnsi="Arial" w:cs="Arial"/>
          <w:sz w:val="22"/>
          <w:lang w:val="en-GB"/>
        </w:rPr>
        <w:t xml:space="preserve"> je za 3.325,00 EUR, </w:t>
      </w:r>
      <w:proofErr w:type="spellStart"/>
      <w:r w:rsidRPr="00597AB7">
        <w:rPr>
          <w:rFonts w:ascii="Arial" w:hAnsi="Arial" w:cs="Arial"/>
          <w:sz w:val="22"/>
          <w:lang w:val="en-GB"/>
        </w:rPr>
        <w:t>dok</w:t>
      </w:r>
      <w:proofErr w:type="spellEnd"/>
      <w:r w:rsidRPr="00597AB7">
        <w:rPr>
          <w:rFonts w:ascii="Arial" w:hAnsi="Arial" w:cs="Arial"/>
          <w:sz w:val="22"/>
          <w:lang w:val="en-GB"/>
        </w:rPr>
        <w:t xml:space="preserve"> </w:t>
      </w:r>
      <w:proofErr w:type="spellStart"/>
      <w:r w:rsidRPr="00597AB7">
        <w:rPr>
          <w:rFonts w:ascii="Arial" w:hAnsi="Arial" w:cs="Arial"/>
          <w:sz w:val="22"/>
          <w:lang w:val="en-GB"/>
        </w:rPr>
        <w:t>su</w:t>
      </w:r>
      <w:proofErr w:type="spellEnd"/>
      <w:r w:rsidRPr="00597AB7">
        <w:rPr>
          <w:rFonts w:ascii="Arial" w:hAnsi="Arial" w:cs="Arial"/>
          <w:sz w:val="22"/>
          <w:lang w:val="en-GB"/>
        </w:rPr>
        <w:t xml:space="preserve"> </w:t>
      </w:r>
      <w:proofErr w:type="spellStart"/>
      <w:r w:rsidRPr="00597AB7">
        <w:rPr>
          <w:rFonts w:ascii="Arial" w:hAnsi="Arial" w:cs="Arial"/>
          <w:sz w:val="22"/>
          <w:lang w:val="en-GB"/>
        </w:rPr>
        <w:t>planirana</w:t>
      </w:r>
      <w:proofErr w:type="spellEnd"/>
      <w:r w:rsidRPr="00597AB7">
        <w:rPr>
          <w:rFonts w:ascii="Arial" w:hAnsi="Arial" w:cs="Arial"/>
          <w:sz w:val="22"/>
          <w:lang w:val="en-GB"/>
        </w:rPr>
        <w:t xml:space="preserve"> </w:t>
      </w:r>
      <w:proofErr w:type="spellStart"/>
      <w:r w:rsidRPr="00597AB7">
        <w:rPr>
          <w:rFonts w:ascii="Arial" w:hAnsi="Arial" w:cs="Arial"/>
          <w:sz w:val="22"/>
          <w:lang w:val="en-GB"/>
        </w:rPr>
        <w:t>sredstva</w:t>
      </w:r>
      <w:proofErr w:type="spellEnd"/>
      <w:r w:rsidRPr="00597AB7">
        <w:rPr>
          <w:rFonts w:ascii="Arial" w:hAnsi="Arial" w:cs="Arial"/>
          <w:sz w:val="22"/>
          <w:lang w:val="en-GB"/>
        </w:rPr>
        <w:t xml:space="preserve"> za  </w:t>
      </w:r>
      <w:proofErr w:type="spellStart"/>
      <w:r w:rsidRPr="00597AB7">
        <w:rPr>
          <w:rFonts w:ascii="Arial" w:hAnsi="Arial" w:cs="Arial"/>
          <w:sz w:val="22"/>
          <w:lang w:val="en-GB"/>
        </w:rPr>
        <w:t>Tekući</w:t>
      </w:r>
      <w:proofErr w:type="spellEnd"/>
      <w:r w:rsidRPr="00597AB7">
        <w:rPr>
          <w:rFonts w:ascii="Arial" w:hAnsi="Arial" w:cs="Arial"/>
          <w:sz w:val="22"/>
          <w:lang w:val="en-GB"/>
        </w:rPr>
        <w:t xml:space="preserve"> </w:t>
      </w:r>
      <w:proofErr w:type="spellStart"/>
      <w:r w:rsidRPr="00597AB7">
        <w:rPr>
          <w:rFonts w:ascii="Arial" w:hAnsi="Arial" w:cs="Arial"/>
          <w:sz w:val="22"/>
          <w:lang w:val="en-GB"/>
        </w:rPr>
        <w:t>projekt</w:t>
      </w:r>
      <w:proofErr w:type="spellEnd"/>
      <w:r w:rsidRPr="00597AB7">
        <w:rPr>
          <w:rFonts w:ascii="Arial" w:hAnsi="Arial" w:cs="Arial"/>
          <w:sz w:val="22"/>
          <w:lang w:val="en-GB"/>
        </w:rPr>
        <w:t xml:space="preserve"> Coworking </w:t>
      </w:r>
      <w:proofErr w:type="spellStart"/>
      <w:r w:rsidRPr="00597AB7">
        <w:rPr>
          <w:rFonts w:ascii="Arial" w:hAnsi="Arial" w:cs="Arial"/>
          <w:sz w:val="22"/>
          <w:lang w:val="en-GB"/>
        </w:rPr>
        <w:t>smanjena</w:t>
      </w:r>
      <w:proofErr w:type="spellEnd"/>
      <w:r w:rsidRPr="00597AB7">
        <w:rPr>
          <w:rFonts w:ascii="Arial" w:hAnsi="Arial" w:cs="Arial"/>
          <w:sz w:val="22"/>
          <w:lang w:val="en-GB"/>
        </w:rPr>
        <w:t xml:space="preserve">  za  4.000,00 EUR. </w:t>
      </w:r>
    </w:p>
    <w:p w14:paraId="2B938E8B" w14:textId="77777777" w:rsidR="00680E61" w:rsidRPr="00597AB7" w:rsidRDefault="00680E61" w:rsidP="00680E61">
      <w:pPr>
        <w:spacing w:line="276" w:lineRule="auto"/>
        <w:ind w:firstLine="708"/>
        <w:jc w:val="both"/>
        <w:rPr>
          <w:rFonts w:ascii="Arial" w:hAnsi="Arial" w:cs="Arial"/>
          <w:sz w:val="22"/>
          <w:lang w:val="en-GB"/>
        </w:rPr>
      </w:pPr>
      <w:proofErr w:type="spellStart"/>
      <w:r w:rsidRPr="00597AB7">
        <w:rPr>
          <w:rFonts w:ascii="Arial" w:hAnsi="Arial" w:cs="Arial"/>
          <w:sz w:val="22"/>
          <w:lang w:val="en-GB"/>
        </w:rPr>
        <w:t>Iznos</w:t>
      </w:r>
      <w:proofErr w:type="spellEnd"/>
      <w:r w:rsidRPr="00597AB7">
        <w:rPr>
          <w:rFonts w:ascii="Arial" w:hAnsi="Arial" w:cs="Arial"/>
          <w:sz w:val="22"/>
          <w:lang w:val="en-GB"/>
        </w:rPr>
        <w:t xml:space="preserve"> </w:t>
      </w:r>
      <w:proofErr w:type="spellStart"/>
      <w:r w:rsidRPr="00597AB7">
        <w:rPr>
          <w:rFonts w:ascii="Arial" w:hAnsi="Arial" w:cs="Arial"/>
          <w:sz w:val="22"/>
          <w:lang w:val="en-GB"/>
        </w:rPr>
        <w:t>sredstava</w:t>
      </w:r>
      <w:proofErr w:type="spellEnd"/>
      <w:r w:rsidRPr="00597AB7">
        <w:rPr>
          <w:rFonts w:ascii="Arial" w:hAnsi="Arial" w:cs="Arial"/>
          <w:sz w:val="22"/>
          <w:lang w:val="en-GB"/>
        </w:rPr>
        <w:t xml:space="preserve"> </w:t>
      </w:r>
      <w:proofErr w:type="spellStart"/>
      <w:r w:rsidRPr="00597AB7">
        <w:rPr>
          <w:rFonts w:ascii="Arial" w:hAnsi="Arial" w:cs="Arial"/>
          <w:sz w:val="22"/>
          <w:lang w:val="en-GB"/>
        </w:rPr>
        <w:t>Programa</w:t>
      </w:r>
      <w:proofErr w:type="spellEnd"/>
      <w:r w:rsidRPr="00597AB7">
        <w:rPr>
          <w:rFonts w:ascii="Arial" w:hAnsi="Arial" w:cs="Arial"/>
          <w:sz w:val="22"/>
          <w:lang w:val="en-GB"/>
        </w:rPr>
        <w:t xml:space="preserve"> </w:t>
      </w:r>
      <w:proofErr w:type="spellStart"/>
      <w:r w:rsidRPr="00597AB7">
        <w:rPr>
          <w:rFonts w:ascii="Arial" w:hAnsi="Arial" w:cs="Arial"/>
          <w:sz w:val="22"/>
          <w:lang w:val="en-GB"/>
        </w:rPr>
        <w:t>Upravljanje</w:t>
      </w:r>
      <w:proofErr w:type="spellEnd"/>
      <w:r w:rsidRPr="00597AB7">
        <w:rPr>
          <w:rFonts w:ascii="Arial" w:hAnsi="Arial" w:cs="Arial"/>
          <w:sz w:val="22"/>
          <w:lang w:val="en-GB"/>
        </w:rPr>
        <w:t xml:space="preserve"> EU </w:t>
      </w:r>
      <w:proofErr w:type="spellStart"/>
      <w:r w:rsidRPr="00597AB7">
        <w:rPr>
          <w:rFonts w:ascii="Arial" w:hAnsi="Arial" w:cs="Arial"/>
          <w:sz w:val="22"/>
          <w:lang w:val="en-GB"/>
        </w:rPr>
        <w:t>projektima</w:t>
      </w:r>
      <w:proofErr w:type="spellEnd"/>
      <w:r w:rsidRPr="00597AB7">
        <w:rPr>
          <w:rFonts w:ascii="Arial" w:hAnsi="Arial" w:cs="Arial"/>
          <w:sz w:val="22"/>
          <w:lang w:val="en-GB"/>
        </w:rPr>
        <w:t xml:space="preserve"> </w:t>
      </w:r>
      <w:proofErr w:type="spellStart"/>
      <w:r w:rsidRPr="00597AB7">
        <w:rPr>
          <w:rFonts w:ascii="Arial" w:hAnsi="Arial" w:cs="Arial"/>
          <w:sz w:val="22"/>
          <w:lang w:val="en-GB"/>
        </w:rPr>
        <w:t>povećao</w:t>
      </w:r>
      <w:proofErr w:type="spellEnd"/>
      <w:r w:rsidRPr="00597AB7">
        <w:rPr>
          <w:rFonts w:ascii="Arial" w:hAnsi="Arial" w:cs="Arial"/>
          <w:sz w:val="22"/>
          <w:lang w:val="en-GB"/>
        </w:rPr>
        <w:t xml:space="preserve"> se za 157.359,00</w:t>
      </w:r>
      <w:r w:rsidRPr="00597AB7">
        <w:rPr>
          <w:rFonts w:ascii="Arial" w:hAnsi="Arial" w:cs="Arial"/>
          <w:color w:val="000000"/>
          <w:sz w:val="22"/>
        </w:rPr>
        <w:t xml:space="preserve"> </w:t>
      </w:r>
      <w:r w:rsidRPr="00597AB7">
        <w:rPr>
          <w:rFonts w:ascii="Arial" w:hAnsi="Arial" w:cs="Arial"/>
          <w:sz w:val="22"/>
          <w:lang w:val="en-GB"/>
        </w:rPr>
        <w:t xml:space="preserve">EUR </w:t>
      </w:r>
      <w:proofErr w:type="spellStart"/>
      <w:proofErr w:type="gramStart"/>
      <w:r w:rsidRPr="00597AB7">
        <w:rPr>
          <w:rFonts w:ascii="Arial" w:hAnsi="Arial" w:cs="Arial"/>
          <w:sz w:val="22"/>
          <w:lang w:val="en-GB"/>
        </w:rPr>
        <w:t>ili</w:t>
      </w:r>
      <w:proofErr w:type="spellEnd"/>
      <w:r w:rsidRPr="00597AB7">
        <w:rPr>
          <w:rFonts w:ascii="Arial" w:hAnsi="Arial" w:cs="Arial"/>
          <w:sz w:val="22"/>
          <w:lang w:val="en-GB"/>
        </w:rPr>
        <w:t xml:space="preserve">  137</w:t>
      </w:r>
      <w:proofErr w:type="gramEnd"/>
      <w:r w:rsidRPr="00597AB7">
        <w:rPr>
          <w:rFonts w:ascii="Arial" w:hAnsi="Arial" w:cs="Arial"/>
          <w:sz w:val="22"/>
          <w:lang w:val="en-GB"/>
        </w:rPr>
        <w:t xml:space="preserve">,91 % </w:t>
      </w:r>
      <w:proofErr w:type="spellStart"/>
      <w:r w:rsidRPr="00597AB7">
        <w:rPr>
          <w:rFonts w:ascii="Arial" w:hAnsi="Arial" w:cs="Arial"/>
          <w:sz w:val="22"/>
          <w:lang w:val="en-GB"/>
        </w:rPr>
        <w:t>planiranog</w:t>
      </w:r>
      <w:proofErr w:type="spellEnd"/>
      <w:r w:rsidRPr="00597AB7">
        <w:rPr>
          <w:rFonts w:ascii="Arial" w:hAnsi="Arial" w:cs="Arial"/>
          <w:sz w:val="22"/>
          <w:lang w:val="en-GB"/>
        </w:rPr>
        <w:t xml:space="preserve"> </w:t>
      </w:r>
      <w:proofErr w:type="spellStart"/>
      <w:r w:rsidRPr="00597AB7">
        <w:rPr>
          <w:rFonts w:ascii="Arial" w:hAnsi="Arial" w:cs="Arial"/>
          <w:sz w:val="22"/>
          <w:lang w:val="en-GB"/>
        </w:rPr>
        <w:t>iznosa</w:t>
      </w:r>
      <w:proofErr w:type="spellEnd"/>
      <w:r w:rsidRPr="00597AB7">
        <w:rPr>
          <w:rFonts w:ascii="Arial" w:hAnsi="Arial" w:cs="Arial"/>
          <w:sz w:val="22"/>
          <w:lang w:val="en-GB"/>
        </w:rPr>
        <w:t xml:space="preserve">. </w:t>
      </w:r>
    </w:p>
    <w:p w14:paraId="56D021DE" w14:textId="77777777" w:rsidR="00680E61" w:rsidRPr="00597AB7" w:rsidRDefault="00680E61" w:rsidP="00680E61">
      <w:pPr>
        <w:spacing w:line="276" w:lineRule="auto"/>
        <w:ind w:firstLine="708"/>
        <w:jc w:val="both"/>
        <w:rPr>
          <w:rFonts w:ascii="Arial" w:hAnsi="Arial" w:cs="Arial"/>
          <w:sz w:val="22"/>
          <w:lang w:val="en-GB"/>
        </w:rPr>
      </w:pPr>
      <w:proofErr w:type="spellStart"/>
      <w:r w:rsidRPr="00597AB7">
        <w:rPr>
          <w:rFonts w:ascii="Arial" w:hAnsi="Arial" w:cs="Arial"/>
          <w:sz w:val="22"/>
          <w:lang w:val="en-GB"/>
        </w:rPr>
        <w:t>Unutar</w:t>
      </w:r>
      <w:proofErr w:type="spellEnd"/>
      <w:r w:rsidRPr="00597AB7">
        <w:rPr>
          <w:rFonts w:ascii="Arial" w:hAnsi="Arial" w:cs="Arial"/>
          <w:sz w:val="22"/>
          <w:lang w:val="en-GB"/>
        </w:rPr>
        <w:t xml:space="preserve"> </w:t>
      </w:r>
      <w:proofErr w:type="spellStart"/>
      <w:proofErr w:type="gramStart"/>
      <w:r w:rsidRPr="00597AB7">
        <w:rPr>
          <w:rFonts w:ascii="Arial" w:hAnsi="Arial" w:cs="Arial"/>
          <w:sz w:val="22"/>
          <w:lang w:val="en-GB"/>
        </w:rPr>
        <w:t>Programa</w:t>
      </w:r>
      <w:proofErr w:type="spellEnd"/>
      <w:r w:rsidRPr="00597AB7">
        <w:rPr>
          <w:rFonts w:ascii="Arial" w:hAnsi="Arial" w:cs="Arial"/>
          <w:sz w:val="22"/>
          <w:lang w:val="en-GB"/>
        </w:rPr>
        <w:t xml:space="preserve">  </w:t>
      </w:r>
      <w:proofErr w:type="spellStart"/>
      <w:r w:rsidRPr="00597AB7">
        <w:rPr>
          <w:rFonts w:ascii="Arial" w:hAnsi="Arial" w:cs="Arial"/>
          <w:sz w:val="22"/>
          <w:lang w:val="en-GB"/>
        </w:rPr>
        <w:t>Upravljanje</w:t>
      </w:r>
      <w:proofErr w:type="spellEnd"/>
      <w:proofErr w:type="gramEnd"/>
      <w:r w:rsidRPr="00597AB7">
        <w:rPr>
          <w:rFonts w:ascii="Arial" w:hAnsi="Arial" w:cs="Arial"/>
          <w:sz w:val="22"/>
          <w:lang w:val="en-GB"/>
        </w:rPr>
        <w:t xml:space="preserve"> EU </w:t>
      </w:r>
      <w:proofErr w:type="spellStart"/>
      <w:proofErr w:type="gramStart"/>
      <w:r w:rsidRPr="00597AB7">
        <w:rPr>
          <w:rFonts w:ascii="Arial" w:hAnsi="Arial" w:cs="Arial"/>
          <w:sz w:val="22"/>
          <w:lang w:val="en-GB"/>
        </w:rPr>
        <w:t>projektima</w:t>
      </w:r>
      <w:proofErr w:type="spellEnd"/>
      <w:r w:rsidRPr="00597AB7">
        <w:rPr>
          <w:rFonts w:ascii="Arial" w:hAnsi="Arial" w:cs="Arial"/>
          <w:sz w:val="22"/>
          <w:lang w:val="en-GB"/>
        </w:rPr>
        <w:t xml:space="preserve">  </w:t>
      </w:r>
      <w:proofErr w:type="spellStart"/>
      <w:r w:rsidRPr="00597AB7">
        <w:rPr>
          <w:rFonts w:ascii="Arial" w:hAnsi="Arial" w:cs="Arial"/>
          <w:sz w:val="22"/>
          <w:lang w:val="en-GB"/>
        </w:rPr>
        <w:t>iznos</w:t>
      </w:r>
      <w:proofErr w:type="spellEnd"/>
      <w:proofErr w:type="gramEnd"/>
      <w:r w:rsidRPr="00597AB7">
        <w:rPr>
          <w:rFonts w:ascii="Arial" w:hAnsi="Arial" w:cs="Arial"/>
          <w:sz w:val="22"/>
          <w:lang w:val="en-GB"/>
        </w:rPr>
        <w:t xml:space="preserve"> </w:t>
      </w:r>
      <w:proofErr w:type="spellStart"/>
      <w:r w:rsidRPr="00597AB7">
        <w:rPr>
          <w:rFonts w:ascii="Arial" w:hAnsi="Arial" w:cs="Arial"/>
          <w:sz w:val="22"/>
          <w:lang w:val="en-GB"/>
        </w:rPr>
        <w:t>sredstava</w:t>
      </w:r>
      <w:proofErr w:type="spellEnd"/>
      <w:r w:rsidRPr="00597AB7">
        <w:rPr>
          <w:rFonts w:ascii="Arial" w:hAnsi="Arial" w:cs="Arial"/>
          <w:sz w:val="22"/>
          <w:lang w:val="en-GB"/>
        </w:rPr>
        <w:t xml:space="preserve"> </w:t>
      </w:r>
      <w:proofErr w:type="spellStart"/>
      <w:r w:rsidRPr="00597AB7">
        <w:rPr>
          <w:rFonts w:ascii="Arial" w:hAnsi="Arial" w:cs="Arial"/>
          <w:sz w:val="22"/>
          <w:lang w:val="en-GB"/>
        </w:rPr>
        <w:t>Aktivnosti</w:t>
      </w:r>
      <w:proofErr w:type="spellEnd"/>
      <w:r w:rsidRPr="00597AB7">
        <w:rPr>
          <w:rFonts w:ascii="Arial" w:hAnsi="Arial" w:cs="Arial"/>
          <w:sz w:val="22"/>
          <w:lang w:val="en-GB"/>
        </w:rPr>
        <w:t xml:space="preserve"> </w:t>
      </w:r>
      <w:proofErr w:type="spellStart"/>
      <w:r w:rsidRPr="00597AB7">
        <w:rPr>
          <w:rFonts w:ascii="Arial" w:hAnsi="Arial" w:cs="Arial"/>
          <w:sz w:val="22"/>
          <w:lang w:val="en-GB"/>
        </w:rPr>
        <w:t>Priprema</w:t>
      </w:r>
      <w:proofErr w:type="spellEnd"/>
      <w:r w:rsidRPr="00597AB7">
        <w:rPr>
          <w:rFonts w:ascii="Arial" w:hAnsi="Arial" w:cs="Arial"/>
          <w:sz w:val="22"/>
          <w:lang w:val="en-GB"/>
        </w:rPr>
        <w:t xml:space="preserve"> </w:t>
      </w:r>
      <w:proofErr w:type="spellStart"/>
      <w:r w:rsidRPr="00597AB7">
        <w:rPr>
          <w:rFonts w:ascii="Arial" w:hAnsi="Arial" w:cs="Arial"/>
          <w:sz w:val="22"/>
          <w:lang w:val="en-GB"/>
        </w:rPr>
        <w:t>projekata</w:t>
      </w:r>
      <w:proofErr w:type="spellEnd"/>
      <w:r w:rsidRPr="00597AB7">
        <w:rPr>
          <w:rFonts w:ascii="Arial" w:hAnsi="Arial" w:cs="Arial"/>
          <w:sz w:val="22"/>
          <w:lang w:val="en-GB"/>
        </w:rPr>
        <w:t xml:space="preserve"> </w:t>
      </w:r>
      <w:proofErr w:type="spellStart"/>
      <w:r w:rsidRPr="00597AB7">
        <w:rPr>
          <w:rFonts w:ascii="Arial" w:hAnsi="Arial" w:cs="Arial"/>
          <w:sz w:val="22"/>
          <w:lang w:val="en-GB"/>
        </w:rPr>
        <w:t>iz</w:t>
      </w:r>
      <w:proofErr w:type="spellEnd"/>
      <w:r w:rsidRPr="00597AB7">
        <w:rPr>
          <w:rFonts w:ascii="Arial" w:hAnsi="Arial" w:cs="Arial"/>
          <w:sz w:val="22"/>
          <w:lang w:val="en-GB"/>
        </w:rPr>
        <w:t xml:space="preserve"> EU </w:t>
      </w:r>
      <w:proofErr w:type="spellStart"/>
      <w:r w:rsidRPr="00597AB7">
        <w:rPr>
          <w:rFonts w:ascii="Arial" w:hAnsi="Arial" w:cs="Arial"/>
          <w:sz w:val="22"/>
          <w:lang w:val="en-GB"/>
        </w:rPr>
        <w:t>fondova</w:t>
      </w:r>
      <w:proofErr w:type="spellEnd"/>
      <w:r w:rsidRPr="00597AB7">
        <w:rPr>
          <w:rFonts w:ascii="Arial" w:hAnsi="Arial" w:cs="Arial"/>
          <w:sz w:val="22"/>
          <w:lang w:val="en-GB"/>
        </w:rPr>
        <w:t xml:space="preserve"> </w:t>
      </w:r>
      <w:proofErr w:type="spellStart"/>
      <w:r w:rsidRPr="00597AB7">
        <w:rPr>
          <w:rFonts w:ascii="Arial" w:hAnsi="Arial" w:cs="Arial"/>
          <w:sz w:val="22"/>
          <w:lang w:val="en-GB"/>
        </w:rPr>
        <w:t>povećao</w:t>
      </w:r>
      <w:proofErr w:type="spellEnd"/>
      <w:r w:rsidRPr="00597AB7">
        <w:rPr>
          <w:rFonts w:ascii="Arial" w:hAnsi="Arial" w:cs="Arial"/>
          <w:sz w:val="22"/>
          <w:lang w:val="en-GB"/>
        </w:rPr>
        <w:t xml:space="preserve"> se za 37.000,00 EUR </w:t>
      </w:r>
      <w:proofErr w:type="spellStart"/>
      <w:r w:rsidRPr="00597AB7">
        <w:rPr>
          <w:rFonts w:ascii="Arial" w:hAnsi="Arial" w:cs="Arial"/>
          <w:sz w:val="22"/>
          <w:lang w:val="en-GB"/>
        </w:rPr>
        <w:t>ili</w:t>
      </w:r>
      <w:proofErr w:type="spellEnd"/>
      <w:r w:rsidRPr="00597AB7">
        <w:rPr>
          <w:rFonts w:ascii="Arial" w:hAnsi="Arial" w:cs="Arial"/>
          <w:sz w:val="22"/>
          <w:lang w:val="en-GB"/>
        </w:rPr>
        <w:t xml:space="preserve"> 57,10% </w:t>
      </w:r>
      <w:proofErr w:type="spellStart"/>
      <w:r w:rsidRPr="00597AB7">
        <w:rPr>
          <w:rFonts w:ascii="Arial" w:hAnsi="Arial" w:cs="Arial"/>
          <w:sz w:val="22"/>
          <w:lang w:val="en-GB"/>
        </w:rPr>
        <w:t>od</w:t>
      </w:r>
      <w:proofErr w:type="spellEnd"/>
      <w:r w:rsidRPr="00597AB7">
        <w:rPr>
          <w:rFonts w:ascii="Arial" w:hAnsi="Arial" w:cs="Arial"/>
          <w:sz w:val="22"/>
          <w:lang w:val="en-GB"/>
        </w:rPr>
        <w:t xml:space="preserve"> </w:t>
      </w:r>
      <w:proofErr w:type="spellStart"/>
      <w:r w:rsidRPr="00597AB7">
        <w:rPr>
          <w:rFonts w:ascii="Arial" w:hAnsi="Arial" w:cs="Arial"/>
          <w:sz w:val="22"/>
          <w:lang w:val="en-GB"/>
        </w:rPr>
        <w:t>planiranog</w:t>
      </w:r>
      <w:proofErr w:type="spellEnd"/>
      <w:r w:rsidRPr="00597AB7">
        <w:rPr>
          <w:rFonts w:ascii="Arial" w:hAnsi="Arial" w:cs="Arial"/>
          <w:sz w:val="22"/>
          <w:lang w:val="en-GB"/>
        </w:rPr>
        <w:t xml:space="preserve"> </w:t>
      </w:r>
      <w:proofErr w:type="spellStart"/>
      <w:r w:rsidRPr="00597AB7">
        <w:rPr>
          <w:rFonts w:ascii="Arial" w:hAnsi="Arial" w:cs="Arial"/>
          <w:sz w:val="22"/>
          <w:lang w:val="en-GB"/>
        </w:rPr>
        <w:t>iznosa</w:t>
      </w:r>
      <w:proofErr w:type="spellEnd"/>
      <w:r w:rsidRPr="00597AB7">
        <w:rPr>
          <w:rFonts w:ascii="Arial" w:hAnsi="Arial" w:cs="Arial"/>
          <w:sz w:val="22"/>
          <w:lang w:val="en-GB"/>
        </w:rPr>
        <w:t xml:space="preserve">. </w:t>
      </w:r>
      <w:proofErr w:type="spellStart"/>
      <w:r>
        <w:rPr>
          <w:rFonts w:ascii="Arial" w:hAnsi="Arial" w:cs="Arial"/>
          <w:sz w:val="22"/>
          <w:lang w:val="en-GB"/>
        </w:rPr>
        <w:t>Iznos</w:t>
      </w:r>
      <w:proofErr w:type="spellEnd"/>
      <w:r>
        <w:rPr>
          <w:rFonts w:ascii="Arial" w:hAnsi="Arial" w:cs="Arial"/>
          <w:sz w:val="22"/>
          <w:lang w:val="en-GB"/>
        </w:rPr>
        <w:t xml:space="preserve"> </w:t>
      </w:r>
      <w:proofErr w:type="spellStart"/>
      <w:r>
        <w:rPr>
          <w:rFonts w:ascii="Arial" w:hAnsi="Arial" w:cs="Arial"/>
          <w:sz w:val="22"/>
          <w:lang w:val="en-GB"/>
        </w:rPr>
        <w:t>sredstava</w:t>
      </w:r>
      <w:proofErr w:type="spellEnd"/>
      <w:r>
        <w:rPr>
          <w:rFonts w:ascii="Arial" w:hAnsi="Arial" w:cs="Arial"/>
          <w:sz w:val="22"/>
          <w:lang w:val="en-GB"/>
        </w:rPr>
        <w:t xml:space="preserve"> za </w:t>
      </w:r>
      <w:proofErr w:type="spellStart"/>
      <w:r w:rsidRPr="00597AB7">
        <w:rPr>
          <w:rFonts w:ascii="Arial" w:hAnsi="Arial" w:cs="Arial"/>
          <w:sz w:val="22"/>
          <w:lang w:val="en-GB"/>
        </w:rPr>
        <w:t>Tekući</w:t>
      </w:r>
      <w:proofErr w:type="spellEnd"/>
      <w:r w:rsidRPr="00597AB7">
        <w:rPr>
          <w:rFonts w:ascii="Arial" w:hAnsi="Arial" w:cs="Arial"/>
          <w:sz w:val="22"/>
          <w:lang w:val="en-GB"/>
        </w:rPr>
        <w:t xml:space="preserve"> </w:t>
      </w:r>
      <w:proofErr w:type="spellStart"/>
      <w:r w:rsidRPr="00597AB7">
        <w:rPr>
          <w:rFonts w:ascii="Arial" w:hAnsi="Arial" w:cs="Arial"/>
          <w:sz w:val="22"/>
          <w:lang w:val="en-GB"/>
        </w:rPr>
        <w:t>projekt</w:t>
      </w:r>
      <w:proofErr w:type="spellEnd"/>
      <w:r w:rsidRPr="00597AB7">
        <w:rPr>
          <w:rFonts w:ascii="Arial" w:hAnsi="Arial" w:cs="Arial"/>
          <w:sz w:val="22"/>
          <w:lang w:val="en-GB"/>
        </w:rPr>
        <w:t xml:space="preserve"> Cicero </w:t>
      </w:r>
      <w:proofErr w:type="spellStart"/>
      <w:r w:rsidRPr="00597AB7">
        <w:rPr>
          <w:rFonts w:ascii="Arial" w:hAnsi="Arial" w:cs="Arial"/>
          <w:sz w:val="22"/>
          <w:lang w:val="en-GB"/>
        </w:rPr>
        <w:t>povećao</w:t>
      </w:r>
      <w:proofErr w:type="spellEnd"/>
      <w:r w:rsidRPr="00597AB7">
        <w:rPr>
          <w:rFonts w:ascii="Arial" w:hAnsi="Arial" w:cs="Arial"/>
          <w:sz w:val="22"/>
          <w:lang w:val="en-GB"/>
        </w:rPr>
        <w:t xml:space="preserve"> se za 24.764,00 </w:t>
      </w:r>
      <w:proofErr w:type="gramStart"/>
      <w:r w:rsidRPr="00597AB7">
        <w:rPr>
          <w:rFonts w:ascii="Arial" w:hAnsi="Arial" w:cs="Arial"/>
          <w:sz w:val="22"/>
          <w:lang w:val="en-GB"/>
        </w:rPr>
        <w:t xml:space="preserve">EUR, </w:t>
      </w:r>
      <w:r>
        <w:rPr>
          <w:rFonts w:ascii="Arial" w:hAnsi="Arial" w:cs="Arial"/>
          <w:sz w:val="22"/>
          <w:lang w:val="en-GB"/>
        </w:rPr>
        <w:t xml:space="preserve"> za</w:t>
      </w:r>
      <w:proofErr w:type="gramEnd"/>
      <w:r>
        <w:rPr>
          <w:rFonts w:ascii="Arial" w:hAnsi="Arial" w:cs="Arial"/>
          <w:sz w:val="22"/>
          <w:lang w:val="en-GB"/>
        </w:rPr>
        <w:t xml:space="preserve"> </w:t>
      </w:r>
      <w:proofErr w:type="spellStart"/>
      <w:r w:rsidRPr="00597AB7">
        <w:rPr>
          <w:rFonts w:ascii="Arial" w:hAnsi="Arial" w:cs="Arial"/>
          <w:sz w:val="22"/>
          <w:lang w:val="en-GB"/>
        </w:rPr>
        <w:t>Tekući</w:t>
      </w:r>
      <w:proofErr w:type="spellEnd"/>
      <w:r w:rsidRPr="00597AB7">
        <w:rPr>
          <w:rFonts w:ascii="Arial" w:hAnsi="Arial" w:cs="Arial"/>
          <w:sz w:val="22"/>
          <w:lang w:val="en-GB"/>
        </w:rPr>
        <w:t xml:space="preserve"> </w:t>
      </w:r>
      <w:proofErr w:type="spellStart"/>
      <w:r w:rsidRPr="00597AB7">
        <w:rPr>
          <w:rFonts w:ascii="Arial" w:hAnsi="Arial" w:cs="Arial"/>
          <w:sz w:val="22"/>
          <w:lang w:val="en-GB"/>
        </w:rPr>
        <w:t>projekt</w:t>
      </w:r>
      <w:proofErr w:type="spellEnd"/>
      <w:r w:rsidRPr="00597AB7">
        <w:rPr>
          <w:rFonts w:ascii="Arial" w:hAnsi="Arial" w:cs="Arial"/>
          <w:sz w:val="22"/>
          <w:lang w:val="en-GB"/>
        </w:rPr>
        <w:t xml:space="preserve"> CO-MAY </w:t>
      </w:r>
      <w:proofErr w:type="spellStart"/>
      <w:r w:rsidRPr="00597AB7">
        <w:rPr>
          <w:rFonts w:ascii="Arial" w:hAnsi="Arial" w:cs="Arial"/>
          <w:sz w:val="22"/>
          <w:lang w:val="en-GB"/>
        </w:rPr>
        <w:t>poveć</w:t>
      </w:r>
      <w:r>
        <w:rPr>
          <w:rFonts w:ascii="Arial" w:hAnsi="Arial" w:cs="Arial"/>
          <w:sz w:val="22"/>
          <w:lang w:val="en-GB"/>
        </w:rPr>
        <w:t>anje</w:t>
      </w:r>
      <w:proofErr w:type="spellEnd"/>
      <w:r>
        <w:rPr>
          <w:rFonts w:ascii="Arial" w:hAnsi="Arial" w:cs="Arial"/>
          <w:sz w:val="22"/>
          <w:lang w:val="en-GB"/>
        </w:rPr>
        <w:t xml:space="preserve"> je </w:t>
      </w:r>
      <w:proofErr w:type="spellStart"/>
      <w:r>
        <w:rPr>
          <w:rFonts w:ascii="Arial" w:hAnsi="Arial" w:cs="Arial"/>
          <w:sz w:val="22"/>
          <w:lang w:val="en-GB"/>
        </w:rPr>
        <w:t>iznosilo</w:t>
      </w:r>
      <w:proofErr w:type="spellEnd"/>
      <w:r>
        <w:rPr>
          <w:rFonts w:ascii="Arial" w:hAnsi="Arial" w:cs="Arial"/>
          <w:sz w:val="22"/>
          <w:lang w:val="en-GB"/>
        </w:rPr>
        <w:t xml:space="preserve"> </w:t>
      </w:r>
      <w:r w:rsidRPr="00597AB7">
        <w:rPr>
          <w:rFonts w:ascii="Arial" w:hAnsi="Arial" w:cs="Arial"/>
          <w:sz w:val="22"/>
          <w:lang w:val="en-GB"/>
        </w:rPr>
        <w:t xml:space="preserve">62.604,00 </w:t>
      </w:r>
      <w:proofErr w:type="gramStart"/>
      <w:r w:rsidRPr="00597AB7">
        <w:rPr>
          <w:rFonts w:ascii="Arial" w:hAnsi="Arial" w:cs="Arial"/>
          <w:sz w:val="22"/>
          <w:lang w:val="en-GB"/>
        </w:rPr>
        <w:t>EUR ,</w:t>
      </w:r>
      <w:proofErr w:type="gramEnd"/>
      <w:r w:rsidRPr="00597AB7">
        <w:rPr>
          <w:rFonts w:ascii="Arial" w:hAnsi="Arial" w:cs="Arial"/>
          <w:sz w:val="22"/>
          <w:lang w:val="en-GB"/>
        </w:rPr>
        <w:t xml:space="preserve"> a </w:t>
      </w:r>
      <w:r>
        <w:rPr>
          <w:rFonts w:ascii="Arial" w:hAnsi="Arial" w:cs="Arial"/>
          <w:sz w:val="22"/>
          <w:lang w:val="en-GB"/>
        </w:rPr>
        <w:t xml:space="preserve">za </w:t>
      </w:r>
      <w:proofErr w:type="spellStart"/>
      <w:r w:rsidRPr="00597AB7">
        <w:rPr>
          <w:rFonts w:ascii="Arial" w:hAnsi="Arial" w:cs="Arial"/>
          <w:sz w:val="22"/>
          <w:lang w:val="en-GB"/>
        </w:rPr>
        <w:t>Tekući</w:t>
      </w:r>
      <w:proofErr w:type="spellEnd"/>
      <w:r w:rsidRPr="00597AB7">
        <w:rPr>
          <w:rFonts w:ascii="Arial" w:hAnsi="Arial" w:cs="Arial"/>
          <w:sz w:val="22"/>
          <w:lang w:val="en-GB"/>
        </w:rPr>
        <w:t xml:space="preserve"> </w:t>
      </w:r>
      <w:proofErr w:type="spellStart"/>
      <w:r w:rsidRPr="00597AB7">
        <w:rPr>
          <w:rFonts w:ascii="Arial" w:hAnsi="Arial" w:cs="Arial"/>
          <w:sz w:val="22"/>
          <w:lang w:val="en-GB"/>
        </w:rPr>
        <w:t>projekt</w:t>
      </w:r>
      <w:proofErr w:type="spellEnd"/>
      <w:r w:rsidRPr="00597AB7">
        <w:rPr>
          <w:rFonts w:ascii="Arial" w:hAnsi="Arial" w:cs="Arial"/>
          <w:sz w:val="22"/>
          <w:lang w:val="en-GB"/>
        </w:rPr>
        <w:t xml:space="preserve"> </w:t>
      </w:r>
      <w:proofErr w:type="spellStart"/>
      <w:r w:rsidRPr="00597AB7">
        <w:rPr>
          <w:rFonts w:ascii="Arial" w:hAnsi="Arial" w:cs="Arial"/>
          <w:sz w:val="22"/>
          <w:lang w:val="en-GB"/>
        </w:rPr>
        <w:t>Strategija</w:t>
      </w:r>
      <w:proofErr w:type="spellEnd"/>
      <w:r w:rsidRPr="00597AB7">
        <w:rPr>
          <w:rFonts w:ascii="Arial" w:hAnsi="Arial" w:cs="Arial"/>
          <w:sz w:val="22"/>
          <w:lang w:val="en-GB"/>
        </w:rPr>
        <w:t xml:space="preserve"> </w:t>
      </w:r>
      <w:proofErr w:type="spellStart"/>
      <w:r w:rsidRPr="00597AB7">
        <w:rPr>
          <w:rFonts w:ascii="Arial" w:hAnsi="Arial" w:cs="Arial"/>
          <w:sz w:val="22"/>
          <w:lang w:val="en-GB"/>
        </w:rPr>
        <w:t>zelene</w:t>
      </w:r>
      <w:proofErr w:type="spellEnd"/>
      <w:r w:rsidRPr="00597AB7">
        <w:rPr>
          <w:rFonts w:ascii="Arial" w:hAnsi="Arial" w:cs="Arial"/>
          <w:sz w:val="22"/>
          <w:lang w:val="en-GB"/>
        </w:rPr>
        <w:t xml:space="preserve"> urbane </w:t>
      </w:r>
      <w:proofErr w:type="spellStart"/>
      <w:r w:rsidRPr="00597AB7">
        <w:rPr>
          <w:rFonts w:ascii="Arial" w:hAnsi="Arial" w:cs="Arial"/>
          <w:sz w:val="22"/>
          <w:lang w:val="en-GB"/>
        </w:rPr>
        <w:t>obnove</w:t>
      </w:r>
      <w:proofErr w:type="spellEnd"/>
      <w:r w:rsidRPr="00597AB7">
        <w:rPr>
          <w:rFonts w:ascii="Arial" w:hAnsi="Arial" w:cs="Arial"/>
          <w:sz w:val="22"/>
          <w:lang w:val="en-GB"/>
        </w:rPr>
        <w:t xml:space="preserve"> Grada Labina 32.991,00 EUR. </w:t>
      </w:r>
    </w:p>
    <w:p w14:paraId="09B02468" w14:textId="77777777" w:rsidR="00680E61" w:rsidRPr="00597AB7" w:rsidRDefault="00680E61" w:rsidP="00680E61">
      <w:pPr>
        <w:spacing w:line="276" w:lineRule="auto"/>
        <w:ind w:firstLine="708"/>
        <w:jc w:val="both"/>
        <w:rPr>
          <w:rFonts w:ascii="Arial" w:hAnsi="Arial" w:cs="Arial"/>
          <w:sz w:val="22"/>
        </w:rPr>
      </w:pPr>
      <w:r w:rsidRPr="00597AB7">
        <w:rPr>
          <w:rFonts w:ascii="Arial" w:hAnsi="Arial" w:cs="Arial"/>
          <w:sz w:val="22"/>
        </w:rPr>
        <w:t>Iznos sredstava Programa Poticanje korištenja obnovljivih izvora energije smanjio se za 2.000,00 EUR ili 6,90% planiranog iznosa. Unutar navedenog Programa</w:t>
      </w:r>
      <w:r>
        <w:rPr>
          <w:rFonts w:ascii="Arial" w:hAnsi="Arial" w:cs="Arial"/>
          <w:sz w:val="22"/>
        </w:rPr>
        <w:t xml:space="preserve"> iznos sredstava za </w:t>
      </w:r>
      <w:r w:rsidRPr="00597AB7">
        <w:rPr>
          <w:rFonts w:ascii="Arial" w:hAnsi="Arial" w:cs="Arial"/>
          <w:sz w:val="22"/>
        </w:rPr>
        <w:t xml:space="preserve"> Aktivnost Poticaj za korištenje obnovljivih izvora energije smanj</w:t>
      </w:r>
      <w:r>
        <w:rPr>
          <w:rFonts w:ascii="Arial" w:hAnsi="Arial" w:cs="Arial"/>
          <w:sz w:val="22"/>
        </w:rPr>
        <w:t xml:space="preserve">io </w:t>
      </w:r>
      <w:r w:rsidRPr="00597AB7">
        <w:rPr>
          <w:rFonts w:ascii="Arial" w:hAnsi="Arial" w:cs="Arial"/>
          <w:sz w:val="22"/>
        </w:rPr>
        <w:t>se za 2.000,00 EUR ili 6,90 % od planiranog iznosa.</w:t>
      </w:r>
    </w:p>
    <w:p w14:paraId="45716CB1" w14:textId="77777777" w:rsidR="00680E61" w:rsidRPr="00597AB7" w:rsidRDefault="00680E61" w:rsidP="00680E61">
      <w:pPr>
        <w:spacing w:line="276" w:lineRule="auto"/>
        <w:ind w:firstLine="708"/>
        <w:jc w:val="both"/>
        <w:rPr>
          <w:rFonts w:ascii="Arial" w:hAnsi="Arial" w:cs="Arial"/>
          <w:sz w:val="22"/>
          <w:lang w:val="en-GB"/>
        </w:rPr>
      </w:pPr>
      <w:r w:rsidRPr="00597AB7">
        <w:rPr>
          <w:rFonts w:ascii="Arial" w:hAnsi="Arial" w:cs="Arial"/>
          <w:sz w:val="22"/>
        </w:rPr>
        <w:t xml:space="preserve">Iznos sredstava Programa Upravljanje projektima financiranim iz nacionalnih sredstava povećao se za 1.611,00 EUR ili 13,42% planiranog iznosa. Unutar navedenog Programa iznos sredstava Tekućeg projekta  Pilot projekt provedbe edukativnih, kulturnih i sportskih aktivnosti djece predškolske dobi  i djece do IV razreda </w:t>
      </w:r>
      <w:bookmarkStart w:id="78" w:name="_Hlk202871721"/>
      <w:r w:rsidRPr="00597AB7">
        <w:rPr>
          <w:rFonts w:ascii="Arial" w:hAnsi="Arial" w:cs="Arial"/>
          <w:sz w:val="22"/>
        </w:rPr>
        <w:t xml:space="preserve">povećao se za 1.611,00 EUR ili 13,42% planiranog iznosa. </w:t>
      </w:r>
      <w:bookmarkEnd w:id="78"/>
    </w:p>
    <w:p w14:paraId="10A58EFB" w14:textId="141E851C" w:rsidR="00CC0725" w:rsidRPr="00D76161" w:rsidRDefault="00CC0725" w:rsidP="00CC0725">
      <w:pPr>
        <w:pStyle w:val="Naslov3"/>
        <w:rPr>
          <w:rFonts w:ascii="Arial" w:hAnsi="Arial" w:cs="Arial"/>
          <w:b/>
          <w:color w:val="auto"/>
        </w:rPr>
      </w:pPr>
    </w:p>
    <w:p w14:paraId="3DF59288" w14:textId="77777777" w:rsidR="009942A2" w:rsidRPr="005E473B" w:rsidRDefault="009942A2" w:rsidP="009942A2">
      <w:pPr>
        <w:jc w:val="both"/>
        <w:rPr>
          <w:rFonts w:ascii="Arial" w:eastAsia="Arial" w:hAnsi="Arial" w:cs="Arial"/>
          <w:b/>
          <w:color w:val="FF0000"/>
          <w:sz w:val="22"/>
        </w:rPr>
      </w:pPr>
    </w:p>
    <w:p w14:paraId="47DFABD9" w14:textId="6AD072A8" w:rsidR="000526F2" w:rsidRDefault="000526F2" w:rsidP="000526F2">
      <w:pPr>
        <w:jc w:val="both"/>
        <w:rPr>
          <w:rFonts w:ascii="Arial" w:eastAsia="Calibri" w:hAnsi="Arial" w:cs="Arial"/>
          <w:sz w:val="22"/>
        </w:rPr>
      </w:pPr>
    </w:p>
    <w:p w14:paraId="59CB742A" w14:textId="6D346711" w:rsidR="000526F2" w:rsidRDefault="000526F2" w:rsidP="000526F2">
      <w:pPr>
        <w:jc w:val="both"/>
        <w:rPr>
          <w:rFonts w:ascii="Arial" w:eastAsia="Calibri" w:hAnsi="Arial" w:cs="Arial"/>
          <w:sz w:val="22"/>
        </w:rPr>
      </w:pPr>
    </w:p>
    <w:p w14:paraId="0E62E207" w14:textId="0285DAEC" w:rsidR="000526F2" w:rsidRDefault="000526F2" w:rsidP="000526F2">
      <w:pPr>
        <w:jc w:val="both"/>
        <w:rPr>
          <w:rFonts w:ascii="Arial" w:eastAsia="Calibri" w:hAnsi="Arial" w:cs="Arial"/>
          <w:sz w:val="22"/>
        </w:rPr>
      </w:pPr>
    </w:p>
    <w:p w14:paraId="642C41EF" w14:textId="10EA627E" w:rsidR="000526F2" w:rsidRDefault="000526F2" w:rsidP="000526F2">
      <w:pPr>
        <w:jc w:val="both"/>
        <w:rPr>
          <w:rFonts w:ascii="Arial" w:eastAsia="Calibri" w:hAnsi="Arial" w:cs="Arial"/>
          <w:sz w:val="22"/>
        </w:rPr>
      </w:pPr>
    </w:p>
    <w:sectPr w:rsidR="000526F2" w:rsidSect="007F2C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B418A" w14:textId="77777777" w:rsidR="00FA09F3" w:rsidRDefault="00FA09F3" w:rsidP="001B6E8D">
      <w:r>
        <w:separator/>
      </w:r>
    </w:p>
  </w:endnote>
  <w:endnote w:type="continuationSeparator" w:id="0">
    <w:p w14:paraId="7A8EF7E1" w14:textId="77777777" w:rsidR="00FA09F3" w:rsidRDefault="00FA09F3" w:rsidP="001B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056170"/>
      <w:docPartObj>
        <w:docPartGallery w:val="Page Numbers (Bottom of Page)"/>
        <w:docPartUnique/>
      </w:docPartObj>
    </w:sdtPr>
    <w:sdtContent>
      <w:p w14:paraId="0F4B1CE7" w14:textId="77777777" w:rsidR="00A30E11" w:rsidRDefault="00A30E11">
        <w:pPr>
          <w:pStyle w:val="Podnoje"/>
          <w:jc w:val="right"/>
        </w:pPr>
        <w:r>
          <w:fldChar w:fldCharType="begin"/>
        </w:r>
        <w:r>
          <w:instrText>PAGE   \* MERGEFORMAT</w:instrText>
        </w:r>
        <w:r>
          <w:fldChar w:fldCharType="separate"/>
        </w:r>
        <w:r w:rsidR="00CB1F46" w:rsidRPr="00CB1F46">
          <w:rPr>
            <w:noProof/>
            <w:lang w:val="hr-HR"/>
          </w:rPr>
          <w:t>273</w:t>
        </w:r>
        <w:r>
          <w:fldChar w:fldCharType="end"/>
        </w:r>
      </w:p>
    </w:sdtContent>
  </w:sdt>
  <w:p w14:paraId="4FA087BC" w14:textId="77777777" w:rsidR="00A30E11" w:rsidRDefault="00A30E1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90419" w14:textId="77777777" w:rsidR="00FA09F3" w:rsidRDefault="00FA09F3" w:rsidP="001B6E8D">
      <w:r>
        <w:separator/>
      </w:r>
    </w:p>
  </w:footnote>
  <w:footnote w:type="continuationSeparator" w:id="0">
    <w:p w14:paraId="6AB38964" w14:textId="77777777" w:rsidR="00FA09F3" w:rsidRDefault="00FA09F3" w:rsidP="001B6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0FC0"/>
    <w:multiLevelType w:val="hybridMultilevel"/>
    <w:tmpl w:val="B5B2F1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C20D1A"/>
    <w:multiLevelType w:val="hybridMultilevel"/>
    <w:tmpl w:val="B7D4BB10"/>
    <w:lvl w:ilvl="0" w:tplc="799E32B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E36FE6"/>
    <w:multiLevelType w:val="hybridMultilevel"/>
    <w:tmpl w:val="4418D1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E5D2AC8"/>
    <w:multiLevelType w:val="hybridMultilevel"/>
    <w:tmpl w:val="D938F4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B7130A"/>
    <w:multiLevelType w:val="hybridMultilevel"/>
    <w:tmpl w:val="B4D614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EC619F"/>
    <w:multiLevelType w:val="multilevel"/>
    <w:tmpl w:val="42866DE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134352F"/>
    <w:multiLevelType w:val="hybridMultilevel"/>
    <w:tmpl w:val="BBD20ECE"/>
    <w:lvl w:ilvl="0" w:tplc="A8065A2C">
      <w:start w:val="2"/>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25382"/>
    <w:multiLevelType w:val="hybridMultilevel"/>
    <w:tmpl w:val="BABC6EA4"/>
    <w:lvl w:ilvl="0" w:tplc="1922A718">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8" w15:restartNumberingAfterBreak="0">
    <w:nsid w:val="13986AFC"/>
    <w:multiLevelType w:val="hybridMultilevel"/>
    <w:tmpl w:val="4FE8C89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1AA144F8"/>
    <w:multiLevelType w:val="multilevel"/>
    <w:tmpl w:val="3CF87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14678"/>
    <w:multiLevelType w:val="hybridMultilevel"/>
    <w:tmpl w:val="7B782358"/>
    <w:lvl w:ilvl="0" w:tplc="2304C8DE">
      <w:numFmt w:val="bullet"/>
      <w:lvlText w:val="-"/>
      <w:lvlJc w:val="left"/>
      <w:pPr>
        <w:ind w:left="360" w:hanging="360"/>
      </w:pPr>
      <w:rPr>
        <w:rFonts w:ascii="Garamond" w:eastAsia="Calibri" w:hAnsi="Garamond"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2990A52"/>
    <w:multiLevelType w:val="hybridMultilevel"/>
    <w:tmpl w:val="C0D06D6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294274D4"/>
    <w:multiLevelType w:val="hybridMultilevel"/>
    <w:tmpl w:val="2D1AB57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2A861CB7"/>
    <w:multiLevelType w:val="hybridMultilevel"/>
    <w:tmpl w:val="C2EED68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2C4F0C08"/>
    <w:multiLevelType w:val="hybridMultilevel"/>
    <w:tmpl w:val="B27859B0"/>
    <w:lvl w:ilvl="0" w:tplc="8B0CD92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0270571"/>
    <w:multiLevelType w:val="hybridMultilevel"/>
    <w:tmpl w:val="36246B8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7BA2931"/>
    <w:multiLevelType w:val="hybridMultilevel"/>
    <w:tmpl w:val="CAE67E58"/>
    <w:lvl w:ilvl="0" w:tplc="3C90B50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938636D"/>
    <w:multiLevelType w:val="hybridMultilevel"/>
    <w:tmpl w:val="4DDEC2E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3C542C16"/>
    <w:multiLevelType w:val="hybridMultilevel"/>
    <w:tmpl w:val="1B7CEBBA"/>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9" w15:restartNumberingAfterBreak="0">
    <w:nsid w:val="3F487194"/>
    <w:multiLevelType w:val="hybridMultilevel"/>
    <w:tmpl w:val="5A6A28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33171CF"/>
    <w:multiLevelType w:val="multilevel"/>
    <w:tmpl w:val="E38AB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012430"/>
    <w:multiLevelType w:val="hybridMultilevel"/>
    <w:tmpl w:val="EC94743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48A35B1C"/>
    <w:multiLevelType w:val="hybridMultilevel"/>
    <w:tmpl w:val="EFF8C208"/>
    <w:lvl w:ilvl="0" w:tplc="91DAF226">
      <w:start w:val="2"/>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C61F7E"/>
    <w:multiLevelType w:val="hybridMultilevel"/>
    <w:tmpl w:val="B3B0F22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48F81767"/>
    <w:multiLevelType w:val="hybridMultilevel"/>
    <w:tmpl w:val="8C32FA50"/>
    <w:lvl w:ilvl="0" w:tplc="147EAEA6">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BA42AA9"/>
    <w:multiLevelType w:val="hybridMultilevel"/>
    <w:tmpl w:val="A9B03B0E"/>
    <w:lvl w:ilvl="0" w:tplc="1922A718">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6" w15:restartNumberingAfterBreak="0">
    <w:nsid w:val="4EFE370B"/>
    <w:multiLevelType w:val="hybridMultilevel"/>
    <w:tmpl w:val="240090B2"/>
    <w:lvl w:ilvl="0" w:tplc="8638AAF6">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F327F73"/>
    <w:multiLevelType w:val="hybridMultilevel"/>
    <w:tmpl w:val="406CCA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13E7008"/>
    <w:multiLevelType w:val="hybridMultilevel"/>
    <w:tmpl w:val="D84213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1F4460E"/>
    <w:multiLevelType w:val="hybridMultilevel"/>
    <w:tmpl w:val="14C4F8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60D064C"/>
    <w:multiLevelType w:val="hybridMultilevel"/>
    <w:tmpl w:val="822C6A6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597405A4"/>
    <w:multiLevelType w:val="hybridMultilevel"/>
    <w:tmpl w:val="095A32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DF4261E"/>
    <w:multiLevelType w:val="multilevel"/>
    <w:tmpl w:val="FC46A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A44ED8"/>
    <w:multiLevelType w:val="multilevel"/>
    <w:tmpl w:val="DFD44EF4"/>
    <w:lvl w:ilvl="0">
      <w:start w:val="1"/>
      <w:numFmt w:val="decimal"/>
      <w:lvlText w:val="%1."/>
      <w:lvlJc w:val="left"/>
      <w:pPr>
        <w:ind w:left="420" w:hanging="360"/>
      </w:pPr>
      <w:rPr>
        <w:b/>
        <w:bCs/>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4" w15:restartNumberingAfterBreak="0">
    <w:nsid w:val="63E63D69"/>
    <w:multiLevelType w:val="multilevel"/>
    <w:tmpl w:val="B3C8874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15:restartNumberingAfterBreak="0">
    <w:nsid w:val="64A96A8D"/>
    <w:multiLevelType w:val="hybridMultilevel"/>
    <w:tmpl w:val="9BBCF8F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6" w15:restartNumberingAfterBreak="0">
    <w:nsid w:val="64FD7CAD"/>
    <w:multiLevelType w:val="hybridMultilevel"/>
    <w:tmpl w:val="7708FE8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15:restartNumberingAfterBreak="0">
    <w:nsid w:val="65536FD6"/>
    <w:multiLevelType w:val="hybridMultilevel"/>
    <w:tmpl w:val="22C06ED0"/>
    <w:lvl w:ilvl="0" w:tplc="0382F206">
      <w:numFmt w:val="bullet"/>
      <w:lvlText w:val="-"/>
      <w:lvlJc w:val="left"/>
      <w:pPr>
        <w:ind w:left="720" w:hanging="360"/>
      </w:pPr>
      <w:rPr>
        <w:rFonts w:ascii="Arial" w:eastAsiaTheme="minorHAnsi" w:hAnsi="Arial" w:cs="Arial" w:hint="default"/>
      </w:rPr>
    </w:lvl>
    <w:lvl w:ilvl="1" w:tplc="B60EBE74">
      <w:numFmt w:val="bullet"/>
      <w:lvlText w:val="•"/>
      <w:lvlJc w:val="left"/>
      <w:pPr>
        <w:ind w:left="1956" w:hanging="876"/>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15D5AA9"/>
    <w:multiLevelType w:val="hybridMultilevel"/>
    <w:tmpl w:val="5686AB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9" w15:restartNumberingAfterBreak="0">
    <w:nsid w:val="71952C4E"/>
    <w:multiLevelType w:val="hybridMultilevel"/>
    <w:tmpl w:val="B4D614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42A46C4"/>
    <w:multiLevelType w:val="hybridMultilevel"/>
    <w:tmpl w:val="C75CA0F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75FA41CA"/>
    <w:multiLevelType w:val="hybridMultilevel"/>
    <w:tmpl w:val="D140386E"/>
    <w:lvl w:ilvl="0" w:tplc="7D62873E">
      <w:start w:val="79"/>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62828FE"/>
    <w:multiLevelType w:val="hybridMultilevel"/>
    <w:tmpl w:val="A692C9AA"/>
    <w:lvl w:ilvl="0" w:tplc="92347F32">
      <w:start w:val="2"/>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3" w15:restartNumberingAfterBreak="0">
    <w:nsid w:val="76CE1C93"/>
    <w:multiLevelType w:val="hybridMultilevel"/>
    <w:tmpl w:val="9CA60EAA"/>
    <w:lvl w:ilvl="0" w:tplc="A0B6FFF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6F60812"/>
    <w:multiLevelType w:val="hybridMultilevel"/>
    <w:tmpl w:val="3F66C0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9A44F8E"/>
    <w:multiLevelType w:val="multilevel"/>
    <w:tmpl w:val="55C2830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D9C124E"/>
    <w:multiLevelType w:val="hybridMultilevel"/>
    <w:tmpl w:val="0B0058BE"/>
    <w:lvl w:ilvl="0" w:tplc="427AC402">
      <w:numFmt w:val="decimal"/>
      <w:lvlText w:val="-"/>
      <w:lvlJc w:val="left"/>
      <w:pPr>
        <w:tabs>
          <w:tab w:val="num" w:pos="615"/>
        </w:tabs>
        <w:ind w:left="615"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7" w15:restartNumberingAfterBreak="0">
    <w:nsid w:val="7FAD554E"/>
    <w:multiLevelType w:val="hybridMultilevel"/>
    <w:tmpl w:val="BEF408E4"/>
    <w:lvl w:ilvl="0" w:tplc="91DAF226">
      <w:start w:val="2"/>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num w:numId="1" w16cid:durableId="258679503">
    <w:abstractNumId w:val="45"/>
  </w:num>
  <w:num w:numId="2" w16cid:durableId="129641704">
    <w:abstractNumId w:val="14"/>
  </w:num>
  <w:num w:numId="3" w16cid:durableId="2037928776">
    <w:abstractNumId w:val="16"/>
  </w:num>
  <w:num w:numId="4" w16cid:durableId="28377423">
    <w:abstractNumId w:val="29"/>
  </w:num>
  <w:num w:numId="5" w16cid:durableId="480268121">
    <w:abstractNumId w:val="0"/>
  </w:num>
  <w:num w:numId="6" w16cid:durableId="268123466">
    <w:abstractNumId w:val="43"/>
  </w:num>
  <w:num w:numId="7" w16cid:durableId="1492136118">
    <w:abstractNumId w:val="6"/>
  </w:num>
  <w:num w:numId="8" w16cid:durableId="1727142678">
    <w:abstractNumId w:val="26"/>
  </w:num>
  <w:num w:numId="9" w16cid:durableId="1065882112">
    <w:abstractNumId w:val="41"/>
  </w:num>
  <w:num w:numId="10" w16cid:durableId="625694970">
    <w:abstractNumId w:val="1"/>
  </w:num>
  <w:num w:numId="11" w16cid:durableId="767773473">
    <w:abstractNumId w:val="42"/>
  </w:num>
  <w:num w:numId="12" w16cid:durableId="1259489363">
    <w:abstractNumId w:val="3"/>
  </w:num>
  <w:num w:numId="13" w16cid:durableId="12372773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38796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7895020">
    <w:abstractNumId w:val="10"/>
  </w:num>
  <w:num w:numId="16" w16cid:durableId="1469014787">
    <w:abstractNumId w:val="22"/>
  </w:num>
  <w:num w:numId="17" w16cid:durableId="1354959673">
    <w:abstractNumId w:val="47"/>
  </w:num>
  <w:num w:numId="18" w16cid:durableId="1221552931">
    <w:abstractNumId w:val="28"/>
  </w:num>
  <w:num w:numId="19" w16cid:durableId="3359628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0599710">
    <w:abstractNumId w:val="18"/>
  </w:num>
  <w:num w:numId="21" w16cid:durableId="1734889186">
    <w:abstractNumId w:val="43"/>
  </w:num>
  <w:num w:numId="22" w16cid:durableId="1515991957">
    <w:abstractNumId w:val="9"/>
  </w:num>
  <w:num w:numId="23" w16cid:durableId="147526268">
    <w:abstractNumId w:val="32"/>
  </w:num>
  <w:num w:numId="24" w16cid:durableId="1728602050">
    <w:abstractNumId w:val="20"/>
  </w:num>
  <w:num w:numId="25" w16cid:durableId="517700953">
    <w:abstractNumId w:val="44"/>
  </w:num>
  <w:num w:numId="26" w16cid:durableId="15264068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34341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6908589">
    <w:abstractNumId w:val="24"/>
  </w:num>
  <w:num w:numId="29" w16cid:durableId="1042709033">
    <w:abstractNumId w:val="46"/>
  </w:num>
  <w:num w:numId="30" w16cid:durableId="726535565">
    <w:abstractNumId w:val="27"/>
  </w:num>
  <w:num w:numId="31" w16cid:durableId="1234466428">
    <w:abstractNumId w:val="37"/>
  </w:num>
  <w:num w:numId="32" w16cid:durableId="1864979651">
    <w:abstractNumId w:val="25"/>
  </w:num>
  <w:num w:numId="33" w16cid:durableId="1384982909">
    <w:abstractNumId w:val="7"/>
  </w:num>
  <w:num w:numId="34" w16cid:durableId="1683311278">
    <w:abstractNumId w:val="35"/>
  </w:num>
  <w:num w:numId="35" w16cid:durableId="2139831742">
    <w:abstractNumId w:val="8"/>
  </w:num>
  <w:num w:numId="36" w16cid:durableId="387338554">
    <w:abstractNumId w:val="33"/>
  </w:num>
  <w:num w:numId="37" w16cid:durableId="1959946625">
    <w:abstractNumId w:val="15"/>
  </w:num>
  <w:num w:numId="38" w16cid:durableId="1146554784">
    <w:abstractNumId w:val="23"/>
  </w:num>
  <w:num w:numId="39" w16cid:durableId="2072994418">
    <w:abstractNumId w:val="38"/>
  </w:num>
  <w:num w:numId="40" w16cid:durableId="1788892603">
    <w:abstractNumId w:val="17"/>
  </w:num>
  <w:num w:numId="41" w16cid:durableId="884218419">
    <w:abstractNumId w:val="11"/>
  </w:num>
  <w:num w:numId="42" w16cid:durableId="846751555">
    <w:abstractNumId w:val="36"/>
  </w:num>
  <w:num w:numId="43" w16cid:durableId="424111561">
    <w:abstractNumId w:val="2"/>
  </w:num>
  <w:num w:numId="44" w16cid:durableId="778063001">
    <w:abstractNumId w:val="21"/>
  </w:num>
  <w:num w:numId="45" w16cid:durableId="280112563">
    <w:abstractNumId w:val="30"/>
  </w:num>
  <w:num w:numId="46" w16cid:durableId="1690377239">
    <w:abstractNumId w:val="12"/>
  </w:num>
  <w:num w:numId="47" w16cid:durableId="1328292675">
    <w:abstractNumId w:val="5"/>
  </w:num>
  <w:num w:numId="48" w16cid:durableId="189034804">
    <w:abstractNumId w:val="40"/>
  </w:num>
  <w:num w:numId="49" w16cid:durableId="121584905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91"/>
    <w:rsid w:val="0000042A"/>
    <w:rsid w:val="000006BE"/>
    <w:rsid w:val="00000948"/>
    <w:rsid w:val="00000BC1"/>
    <w:rsid w:val="00001350"/>
    <w:rsid w:val="00001E27"/>
    <w:rsid w:val="00003BFA"/>
    <w:rsid w:val="00003C8B"/>
    <w:rsid w:val="00004299"/>
    <w:rsid w:val="00004952"/>
    <w:rsid w:val="00006438"/>
    <w:rsid w:val="0000698D"/>
    <w:rsid w:val="00006F70"/>
    <w:rsid w:val="00007DB0"/>
    <w:rsid w:val="0001058D"/>
    <w:rsid w:val="00011182"/>
    <w:rsid w:val="00011871"/>
    <w:rsid w:val="0001226B"/>
    <w:rsid w:val="000124CB"/>
    <w:rsid w:val="00013065"/>
    <w:rsid w:val="000156BE"/>
    <w:rsid w:val="00020456"/>
    <w:rsid w:val="00022331"/>
    <w:rsid w:val="00022DEE"/>
    <w:rsid w:val="00025F3B"/>
    <w:rsid w:val="00026847"/>
    <w:rsid w:val="0002705E"/>
    <w:rsid w:val="00027BBE"/>
    <w:rsid w:val="0003104E"/>
    <w:rsid w:val="00031DF4"/>
    <w:rsid w:val="00031F52"/>
    <w:rsid w:val="000320EA"/>
    <w:rsid w:val="000329C7"/>
    <w:rsid w:val="0003681B"/>
    <w:rsid w:val="000419DB"/>
    <w:rsid w:val="00042009"/>
    <w:rsid w:val="00042D81"/>
    <w:rsid w:val="00045430"/>
    <w:rsid w:val="0004561D"/>
    <w:rsid w:val="00046B27"/>
    <w:rsid w:val="00046BD1"/>
    <w:rsid w:val="00047AFD"/>
    <w:rsid w:val="00051DB5"/>
    <w:rsid w:val="000526F2"/>
    <w:rsid w:val="00053978"/>
    <w:rsid w:val="00055754"/>
    <w:rsid w:val="000558A0"/>
    <w:rsid w:val="00055ED1"/>
    <w:rsid w:val="00056B9E"/>
    <w:rsid w:val="00056BB1"/>
    <w:rsid w:val="00056F86"/>
    <w:rsid w:val="00061343"/>
    <w:rsid w:val="00061ADB"/>
    <w:rsid w:val="00062774"/>
    <w:rsid w:val="000627FD"/>
    <w:rsid w:val="00063F11"/>
    <w:rsid w:val="00063FC5"/>
    <w:rsid w:val="000645DD"/>
    <w:rsid w:val="00064AF8"/>
    <w:rsid w:val="00065449"/>
    <w:rsid w:val="0006622E"/>
    <w:rsid w:val="000706E0"/>
    <w:rsid w:val="00071CA1"/>
    <w:rsid w:val="000754F6"/>
    <w:rsid w:val="00076878"/>
    <w:rsid w:val="000777C5"/>
    <w:rsid w:val="0008039F"/>
    <w:rsid w:val="000818B0"/>
    <w:rsid w:val="000833F5"/>
    <w:rsid w:val="00084345"/>
    <w:rsid w:val="00084754"/>
    <w:rsid w:val="00084C55"/>
    <w:rsid w:val="00085F89"/>
    <w:rsid w:val="00085FB6"/>
    <w:rsid w:val="00086588"/>
    <w:rsid w:val="00091D19"/>
    <w:rsid w:val="00091FCC"/>
    <w:rsid w:val="0009262D"/>
    <w:rsid w:val="0009323A"/>
    <w:rsid w:val="00093550"/>
    <w:rsid w:val="00093BBE"/>
    <w:rsid w:val="000942A4"/>
    <w:rsid w:val="0009495E"/>
    <w:rsid w:val="000949AF"/>
    <w:rsid w:val="0009650F"/>
    <w:rsid w:val="00097A71"/>
    <w:rsid w:val="000A000D"/>
    <w:rsid w:val="000A046A"/>
    <w:rsid w:val="000A0BF4"/>
    <w:rsid w:val="000A27CA"/>
    <w:rsid w:val="000A2835"/>
    <w:rsid w:val="000A31D5"/>
    <w:rsid w:val="000A4798"/>
    <w:rsid w:val="000A4F43"/>
    <w:rsid w:val="000A7BE0"/>
    <w:rsid w:val="000B008C"/>
    <w:rsid w:val="000B0977"/>
    <w:rsid w:val="000B0E36"/>
    <w:rsid w:val="000B100F"/>
    <w:rsid w:val="000B1253"/>
    <w:rsid w:val="000B2802"/>
    <w:rsid w:val="000B527E"/>
    <w:rsid w:val="000B6B8A"/>
    <w:rsid w:val="000B772B"/>
    <w:rsid w:val="000B7BDB"/>
    <w:rsid w:val="000B7DDC"/>
    <w:rsid w:val="000C1403"/>
    <w:rsid w:val="000C145F"/>
    <w:rsid w:val="000C2CB4"/>
    <w:rsid w:val="000C304D"/>
    <w:rsid w:val="000C3266"/>
    <w:rsid w:val="000C5F4F"/>
    <w:rsid w:val="000C6FF8"/>
    <w:rsid w:val="000D060C"/>
    <w:rsid w:val="000D112D"/>
    <w:rsid w:val="000D22BE"/>
    <w:rsid w:val="000D2909"/>
    <w:rsid w:val="000D3B17"/>
    <w:rsid w:val="000D44A5"/>
    <w:rsid w:val="000D57A1"/>
    <w:rsid w:val="000D59FD"/>
    <w:rsid w:val="000D626C"/>
    <w:rsid w:val="000D6E13"/>
    <w:rsid w:val="000D75AA"/>
    <w:rsid w:val="000D7AE8"/>
    <w:rsid w:val="000E14E5"/>
    <w:rsid w:val="000E1F10"/>
    <w:rsid w:val="000E4488"/>
    <w:rsid w:val="000E4653"/>
    <w:rsid w:val="000E5BC9"/>
    <w:rsid w:val="000E7111"/>
    <w:rsid w:val="000E7B97"/>
    <w:rsid w:val="000E7CBA"/>
    <w:rsid w:val="000E7CFC"/>
    <w:rsid w:val="000F06F6"/>
    <w:rsid w:val="000F0AA2"/>
    <w:rsid w:val="000F0C23"/>
    <w:rsid w:val="000F14EC"/>
    <w:rsid w:val="000F26A7"/>
    <w:rsid w:val="000F2813"/>
    <w:rsid w:val="000F394D"/>
    <w:rsid w:val="000F3AD2"/>
    <w:rsid w:val="000F42C7"/>
    <w:rsid w:val="000F5F01"/>
    <w:rsid w:val="000F6110"/>
    <w:rsid w:val="000F7579"/>
    <w:rsid w:val="000F78A3"/>
    <w:rsid w:val="001003BD"/>
    <w:rsid w:val="0010126A"/>
    <w:rsid w:val="001018E6"/>
    <w:rsid w:val="00104F97"/>
    <w:rsid w:val="00105B80"/>
    <w:rsid w:val="001112DC"/>
    <w:rsid w:val="00111FB6"/>
    <w:rsid w:val="0011228B"/>
    <w:rsid w:val="001128D9"/>
    <w:rsid w:val="00113686"/>
    <w:rsid w:val="001145A7"/>
    <w:rsid w:val="001146BF"/>
    <w:rsid w:val="00114E31"/>
    <w:rsid w:val="00116C04"/>
    <w:rsid w:val="001202A3"/>
    <w:rsid w:val="00120B70"/>
    <w:rsid w:val="00122615"/>
    <w:rsid w:val="00122FF4"/>
    <w:rsid w:val="00124B6D"/>
    <w:rsid w:val="00124C48"/>
    <w:rsid w:val="001250DC"/>
    <w:rsid w:val="0012612E"/>
    <w:rsid w:val="0012736A"/>
    <w:rsid w:val="00127E01"/>
    <w:rsid w:val="00127E07"/>
    <w:rsid w:val="00127EA9"/>
    <w:rsid w:val="0013002C"/>
    <w:rsid w:val="00131220"/>
    <w:rsid w:val="0013154B"/>
    <w:rsid w:val="0013255D"/>
    <w:rsid w:val="00133AAB"/>
    <w:rsid w:val="00134642"/>
    <w:rsid w:val="00135212"/>
    <w:rsid w:val="00136E44"/>
    <w:rsid w:val="00137E31"/>
    <w:rsid w:val="001408D7"/>
    <w:rsid w:val="00142459"/>
    <w:rsid w:val="00142592"/>
    <w:rsid w:val="00143EA4"/>
    <w:rsid w:val="00145533"/>
    <w:rsid w:val="00145FC8"/>
    <w:rsid w:val="00147062"/>
    <w:rsid w:val="00150639"/>
    <w:rsid w:val="001508BE"/>
    <w:rsid w:val="0015162E"/>
    <w:rsid w:val="00151C79"/>
    <w:rsid w:val="0015435E"/>
    <w:rsid w:val="001559AF"/>
    <w:rsid w:val="00155E2E"/>
    <w:rsid w:val="00156DA7"/>
    <w:rsid w:val="00160758"/>
    <w:rsid w:val="00161AC9"/>
    <w:rsid w:val="00163E1B"/>
    <w:rsid w:val="00166C4F"/>
    <w:rsid w:val="00166F1C"/>
    <w:rsid w:val="00170AF0"/>
    <w:rsid w:val="001729A1"/>
    <w:rsid w:val="00173BFF"/>
    <w:rsid w:val="00173CEF"/>
    <w:rsid w:val="001740CF"/>
    <w:rsid w:val="0017431E"/>
    <w:rsid w:val="00174DC5"/>
    <w:rsid w:val="00177CBD"/>
    <w:rsid w:val="001818CA"/>
    <w:rsid w:val="001829C7"/>
    <w:rsid w:val="00184259"/>
    <w:rsid w:val="00184282"/>
    <w:rsid w:val="00184958"/>
    <w:rsid w:val="00185564"/>
    <w:rsid w:val="00185655"/>
    <w:rsid w:val="001907FD"/>
    <w:rsid w:val="001929A7"/>
    <w:rsid w:val="0019322A"/>
    <w:rsid w:val="001934EC"/>
    <w:rsid w:val="00193C00"/>
    <w:rsid w:val="00193EC5"/>
    <w:rsid w:val="00194AFD"/>
    <w:rsid w:val="001955CA"/>
    <w:rsid w:val="00195E37"/>
    <w:rsid w:val="0019660D"/>
    <w:rsid w:val="00196EFB"/>
    <w:rsid w:val="00197046"/>
    <w:rsid w:val="00197190"/>
    <w:rsid w:val="001A2BA5"/>
    <w:rsid w:val="001A2ED0"/>
    <w:rsid w:val="001A4124"/>
    <w:rsid w:val="001A4815"/>
    <w:rsid w:val="001A5185"/>
    <w:rsid w:val="001A6856"/>
    <w:rsid w:val="001B047A"/>
    <w:rsid w:val="001B08BB"/>
    <w:rsid w:val="001B3007"/>
    <w:rsid w:val="001B3282"/>
    <w:rsid w:val="001B3AED"/>
    <w:rsid w:val="001B480C"/>
    <w:rsid w:val="001B595E"/>
    <w:rsid w:val="001B6E8D"/>
    <w:rsid w:val="001B6F81"/>
    <w:rsid w:val="001B7345"/>
    <w:rsid w:val="001B788A"/>
    <w:rsid w:val="001C0782"/>
    <w:rsid w:val="001C1922"/>
    <w:rsid w:val="001C220A"/>
    <w:rsid w:val="001C25CE"/>
    <w:rsid w:val="001C345D"/>
    <w:rsid w:val="001C5106"/>
    <w:rsid w:val="001C625E"/>
    <w:rsid w:val="001C70DE"/>
    <w:rsid w:val="001C718F"/>
    <w:rsid w:val="001D0E84"/>
    <w:rsid w:val="001D1A81"/>
    <w:rsid w:val="001D2EEF"/>
    <w:rsid w:val="001D305C"/>
    <w:rsid w:val="001D31AC"/>
    <w:rsid w:val="001D41B0"/>
    <w:rsid w:val="001D41F3"/>
    <w:rsid w:val="001D5270"/>
    <w:rsid w:val="001D771D"/>
    <w:rsid w:val="001E055A"/>
    <w:rsid w:val="001E160D"/>
    <w:rsid w:val="001E16BB"/>
    <w:rsid w:val="001E1AAC"/>
    <w:rsid w:val="001E31F9"/>
    <w:rsid w:val="001E3C51"/>
    <w:rsid w:val="001E48E0"/>
    <w:rsid w:val="001E4F12"/>
    <w:rsid w:val="001E5F8F"/>
    <w:rsid w:val="001E62AA"/>
    <w:rsid w:val="001E69C1"/>
    <w:rsid w:val="001E715D"/>
    <w:rsid w:val="001F182A"/>
    <w:rsid w:val="001F2793"/>
    <w:rsid w:val="001F3CBF"/>
    <w:rsid w:val="001F4752"/>
    <w:rsid w:val="001F5743"/>
    <w:rsid w:val="001F6B25"/>
    <w:rsid w:val="001F7298"/>
    <w:rsid w:val="001F7CA8"/>
    <w:rsid w:val="00200468"/>
    <w:rsid w:val="00200EC7"/>
    <w:rsid w:val="00201408"/>
    <w:rsid w:val="00201C9F"/>
    <w:rsid w:val="00202C6E"/>
    <w:rsid w:val="002035C7"/>
    <w:rsid w:val="00203D74"/>
    <w:rsid w:val="002040AF"/>
    <w:rsid w:val="002051A3"/>
    <w:rsid w:val="002058E1"/>
    <w:rsid w:val="00207130"/>
    <w:rsid w:val="002103B9"/>
    <w:rsid w:val="00211BCB"/>
    <w:rsid w:val="0021389B"/>
    <w:rsid w:val="0021447C"/>
    <w:rsid w:val="0021481D"/>
    <w:rsid w:val="002156A7"/>
    <w:rsid w:val="002162A0"/>
    <w:rsid w:val="00216304"/>
    <w:rsid w:val="002163BF"/>
    <w:rsid w:val="00216821"/>
    <w:rsid w:val="00217F5A"/>
    <w:rsid w:val="00220667"/>
    <w:rsid w:val="002225D2"/>
    <w:rsid w:val="00223F0A"/>
    <w:rsid w:val="00224064"/>
    <w:rsid w:val="00224397"/>
    <w:rsid w:val="00224E75"/>
    <w:rsid w:val="00225115"/>
    <w:rsid w:val="0022629E"/>
    <w:rsid w:val="00226576"/>
    <w:rsid w:val="00226B99"/>
    <w:rsid w:val="0022775E"/>
    <w:rsid w:val="0023014E"/>
    <w:rsid w:val="00230D21"/>
    <w:rsid w:val="0023121D"/>
    <w:rsid w:val="00231E72"/>
    <w:rsid w:val="00232D93"/>
    <w:rsid w:val="00233337"/>
    <w:rsid w:val="002334DA"/>
    <w:rsid w:val="0023372A"/>
    <w:rsid w:val="00233A78"/>
    <w:rsid w:val="002343C5"/>
    <w:rsid w:val="0023497B"/>
    <w:rsid w:val="002355F3"/>
    <w:rsid w:val="00235EC4"/>
    <w:rsid w:val="00236442"/>
    <w:rsid w:val="00236876"/>
    <w:rsid w:val="00237BBC"/>
    <w:rsid w:val="00240F18"/>
    <w:rsid w:val="00242BF2"/>
    <w:rsid w:val="00244B64"/>
    <w:rsid w:val="0024610F"/>
    <w:rsid w:val="0024631B"/>
    <w:rsid w:val="0024728C"/>
    <w:rsid w:val="00247391"/>
    <w:rsid w:val="00252AA0"/>
    <w:rsid w:val="00253C52"/>
    <w:rsid w:val="002551C0"/>
    <w:rsid w:val="00255E45"/>
    <w:rsid w:val="00257417"/>
    <w:rsid w:val="0025761D"/>
    <w:rsid w:val="00257820"/>
    <w:rsid w:val="00260AA9"/>
    <w:rsid w:val="00260E56"/>
    <w:rsid w:val="002617B5"/>
    <w:rsid w:val="00262724"/>
    <w:rsid w:val="002631D4"/>
    <w:rsid w:val="00263EDC"/>
    <w:rsid w:val="0026419F"/>
    <w:rsid w:val="00264F9F"/>
    <w:rsid w:val="00266183"/>
    <w:rsid w:val="00266D01"/>
    <w:rsid w:val="0026719C"/>
    <w:rsid w:val="00270353"/>
    <w:rsid w:val="00270C87"/>
    <w:rsid w:val="002715F3"/>
    <w:rsid w:val="00272161"/>
    <w:rsid w:val="0027239E"/>
    <w:rsid w:val="00272833"/>
    <w:rsid w:val="00273817"/>
    <w:rsid w:val="00274008"/>
    <w:rsid w:val="00274BE6"/>
    <w:rsid w:val="00275345"/>
    <w:rsid w:val="0027710D"/>
    <w:rsid w:val="00280F15"/>
    <w:rsid w:val="00281CFA"/>
    <w:rsid w:val="00282593"/>
    <w:rsid w:val="002859B9"/>
    <w:rsid w:val="002866BA"/>
    <w:rsid w:val="002877DF"/>
    <w:rsid w:val="00290BF0"/>
    <w:rsid w:val="002911CC"/>
    <w:rsid w:val="0029467F"/>
    <w:rsid w:val="00296932"/>
    <w:rsid w:val="002A0739"/>
    <w:rsid w:val="002A0AD7"/>
    <w:rsid w:val="002A1DA4"/>
    <w:rsid w:val="002A247B"/>
    <w:rsid w:val="002A3232"/>
    <w:rsid w:val="002A469B"/>
    <w:rsid w:val="002A48EE"/>
    <w:rsid w:val="002A5D0B"/>
    <w:rsid w:val="002A689D"/>
    <w:rsid w:val="002A7BBE"/>
    <w:rsid w:val="002B0A15"/>
    <w:rsid w:val="002B0EA7"/>
    <w:rsid w:val="002B1D3C"/>
    <w:rsid w:val="002B1DAB"/>
    <w:rsid w:val="002B1FEB"/>
    <w:rsid w:val="002B38A3"/>
    <w:rsid w:val="002B4068"/>
    <w:rsid w:val="002B4343"/>
    <w:rsid w:val="002B4564"/>
    <w:rsid w:val="002B49AE"/>
    <w:rsid w:val="002B5D0A"/>
    <w:rsid w:val="002B61F8"/>
    <w:rsid w:val="002B6429"/>
    <w:rsid w:val="002B7261"/>
    <w:rsid w:val="002B72D3"/>
    <w:rsid w:val="002B7544"/>
    <w:rsid w:val="002B7D77"/>
    <w:rsid w:val="002C385A"/>
    <w:rsid w:val="002C388D"/>
    <w:rsid w:val="002C38D1"/>
    <w:rsid w:val="002C3C34"/>
    <w:rsid w:val="002C4606"/>
    <w:rsid w:val="002C46A5"/>
    <w:rsid w:val="002C4D87"/>
    <w:rsid w:val="002C7770"/>
    <w:rsid w:val="002C7875"/>
    <w:rsid w:val="002C7971"/>
    <w:rsid w:val="002C7A3E"/>
    <w:rsid w:val="002C7F7A"/>
    <w:rsid w:val="002D00FE"/>
    <w:rsid w:val="002D0EE8"/>
    <w:rsid w:val="002D1277"/>
    <w:rsid w:val="002D1AB2"/>
    <w:rsid w:val="002D24A1"/>
    <w:rsid w:val="002D3F01"/>
    <w:rsid w:val="002D49B4"/>
    <w:rsid w:val="002D5B12"/>
    <w:rsid w:val="002D6972"/>
    <w:rsid w:val="002D7699"/>
    <w:rsid w:val="002D76BA"/>
    <w:rsid w:val="002D7DF4"/>
    <w:rsid w:val="002D7EFA"/>
    <w:rsid w:val="002E0109"/>
    <w:rsid w:val="002E1F48"/>
    <w:rsid w:val="002E27F6"/>
    <w:rsid w:val="002E301E"/>
    <w:rsid w:val="002E3D16"/>
    <w:rsid w:val="002E3D5A"/>
    <w:rsid w:val="002E67BB"/>
    <w:rsid w:val="002E6DDE"/>
    <w:rsid w:val="002E6EDA"/>
    <w:rsid w:val="002E7976"/>
    <w:rsid w:val="002F1107"/>
    <w:rsid w:val="002F1592"/>
    <w:rsid w:val="002F22AE"/>
    <w:rsid w:val="002F4AC2"/>
    <w:rsid w:val="002F759F"/>
    <w:rsid w:val="002F7F5C"/>
    <w:rsid w:val="00300710"/>
    <w:rsid w:val="00300F7C"/>
    <w:rsid w:val="003016F6"/>
    <w:rsid w:val="00301ECC"/>
    <w:rsid w:val="0030259F"/>
    <w:rsid w:val="0030266F"/>
    <w:rsid w:val="00302C84"/>
    <w:rsid w:val="00305513"/>
    <w:rsid w:val="00305DD5"/>
    <w:rsid w:val="00305F4F"/>
    <w:rsid w:val="00310095"/>
    <w:rsid w:val="003109D0"/>
    <w:rsid w:val="00311363"/>
    <w:rsid w:val="0031169A"/>
    <w:rsid w:val="00312286"/>
    <w:rsid w:val="00312A2C"/>
    <w:rsid w:val="00313A74"/>
    <w:rsid w:val="00313AA0"/>
    <w:rsid w:val="00313DD9"/>
    <w:rsid w:val="00313FC3"/>
    <w:rsid w:val="0031477C"/>
    <w:rsid w:val="0031493E"/>
    <w:rsid w:val="00315201"/>
    <w:rsid w:val="00317014"/>
    <w:rsid w:val="00320893"/>
    <w:rsid w:val="00322BC1"/>
    <w:rsid w:val="00322DB0"/>
    <w:rsid w:val="00323B64"/>
    <w:rsid w:val="00324885"/>
    <w:rsid w:val="00324C62"/>
    <w:rsid w:val="00325746"/>
    <w:rsid w:val="00327337"/>
    <w:rsid w:val="00327919"/>
    <w:rsid w:val="003306AC"/>
    <w:rsid w:val="00330C23"/>
    <w:rsid w:val="00330E85"/>
    <w:rsid w:val="00331F44"/>
    <w:rsid w:val="00334412"/>
    <w:rsid w:val="00337DDD"/>
    <w:rsid w:val="00340643"/>
    <w:rsid w:val="00341BBF"/>
    <w:rsid w:val="003421A7"/>
    <w:rsid w:val="003424B3"/>
    <w:rsid w:val="00342A00"/>
    <w:rsid w:val="00342E90"/>
    <w:rsid w:val="003447CD"/>
    <w:rsid w:val="003459BC"/>
    <w:rsid w:val="00345B53"/>
    <w:rsid w:val="0034651B"/>
    <w:rsid w:val="00346E6D"/>
    <w:rsid w:val="0035012E"/>
    <w:rsid w:val="0035248B"/>
    <w:rsid w:val="00352746"/>
    <w:rsid w:val="00352F21"/>
    <w:rsid w:val="00353916"/>
    <w:rsid w:val="0035430C"/>
    <w:rsid w:val="0035433E"/>
    <w:rsid w:val="0035560B"/>
    <w:rsid w:val="00355AD3"/>
    <w:rsid w:val="00356F0C"/>
    <w:rsid w:val="003602BE"/>
    <w:rsid w:val="00360EBC"/>
    <w:rsid w:val="00360F68"/>
    <w:rsid w:val="00362B33"/>
    <w:rsid w:val="00363721"/>
    <w:rsid w:val="00364843"/>
    <w:rsid w:val="00364A54"/>
    <w:rsid w:val="00366F40"/>
    <w:rsid w:val="00367101"/>
    <w:rsid w:val="003676B1"/>
    <w:rsid w:val="00367FF8"/>
    <w:rsid w:val="00370FC8"/>
    <w:rsid w:val="00371214"/>
    <w:rsid w:val="0037200F"/>
    <w:rsid w:val="00372289"/>
    <w:rsid w:val="00372F82"/>
    <w:rsid w:val="0037411E"/>
    <w:rsid w:val="00374CD0"/>
    <w:rsid w:val="0037505D"/>
    <w:rsid w:val="00376307"/>
    <w:rsid w:val="00376BC2"/>
    <w:rsid w:val="00377EB0"/>
    <w:rsid w:val="00381753"/>
    <w:rsid w:val="00384666"/>
    <w:rsid w:val="00385402"/>
    <w:rsid w:val="003855FF"/>
    <w:rsid w:val="0038582F"/>
    <w:rsid w:val="003867B3"/>
    <w:rsid w:val="00386C49"/>
    <w:rsid w:val="00387988"/>
    <w:rsid w:val="00390EA9"/>
    <w:rsid w:val="00391719"/>
    <w:rsid w:val="003917E4"/>
    <w:rsid w:val="0039280F"/>
    <w:rsid w:val="00393226"/>
    <w:rsid w:val="00393A56"/>
    <w:rsid w:val="00394166"/>
    <w:rsid w:val="00394DC5"/>
    <w:rsid w:val="00395543"/>
    <w:rsid w:val="00395D29"/>
    <w:rsid w:val="00396A5D"/>
    <w:rsid w:val="00397433"/>
    <w:rsid w:val="003979EA"/>
    <w:rsid w:val="003A0FAE"/>
    <w:rsid w:val="003A13FC"/>
    <w:rsid w:val="003A1F46"/>
    <w:rsid w:val="003A2613"/>
    <w:rsid w:val="003A470A"/>
    <w:rsid w:val="003A49B6"/>
    <w:rsid w:val="003B1450"/>
    <w:rsid w:val="003B264B"/>
    <w:rsid w:val="003B2DE2"/>
    <w:rsid w:val="003B323F"/>
    <w:rsid w:val="003B3318"/>
    <w:rsid w:val="003B3556"/>
    <w:rsid w:val="003B390C"/>
    <w:rsid w:val="003B4266"/>
    <w:rsid w:val="003B472E"/>
    <w:rsid w:val="003B60F4"/>
    <w:rsid w:val="003C002B"/>
    <w:rsid w:val="003C0EE4"/>
    <w:rsid w:val="003C1356"/>
    <w:rsid w:val="003C19D1"/>
    <w:rsid w:val="003C2D8A"/>
    <w:rsid w:val="003C42B4"/>
    <w:rsid w:val="003C49D0"/>
    <w:rsid w:val="003C552D"/>
    <w:rsid w:val="003C7094"/>
    <w:rsid w:val="003D0C76"/>
    <w:rsid w:val="003D1A41"/>
    <w:rsid w:val="003D2351"/>
    <w:rsid w:val="003D26E1"/>
    <w:rsid w:val="003D2CF3"/>
    <w:rsid w:val="003D3A06"/>
    <w:rsid w:val="003D4390"/>
    <w:rsid w:val="003D4477"/>
    <w:rsid w:val="003D75F8"/>
    <w:rsid w:val="003E08A2"/>
    <w:rsid w:val="003E1452"/>
    <w:rsid w:val="003E1636"/>
    <w:rsid w:val="003E1F85"/>
    <w:rsid w:val="003E30FF"/>
    <w:rsid w:val="003E387A"/>
    <w:rsid w:val="003E42AF"/>
    <w:rsid w:val="003E5662"/>
    <w:rsid w:val="003E7041"/>
    <w:rsid w:val="003F1780"/>
    <w:rsid w:val="003F1E15"/>
    <w:rsid w:val="003F23B3"/>
    <w:rsid w:val="003F2B67"/>
    <w:rsid w:val="003F3693"/>
    <w:rsid w:val="003F3E9E"/>
    <w:rsid w:val="003F4856"/>
    <w:rsid w:val="003F6E55"/>
    <w:rsid w:val="003F7E66"/>
    <w:rsid w:val="004011D5"/>
    <w:rsid w:val="00401AFE"/>
    <w:rsid w:val="00402EA4"/>
    <w:rsid w:val="004035FF"/>
    <w:rsid w:val="004039CA"/>
    <w:rsid w:val="0040406C"/>
    <w:rsid w:val="0040423E"/>
    <w:rsid w:val="004063C8"/>
    <w:rsid w:val="004065DB"/>
    <w:rsid w:val="004069BF"/>
    <w:rsid w:val="0040776B"/>
    <w:rsid w:val="00407F33"/>
    <w:rsid w:val="0041081D"/>
    <w:rsid w:val="00411054"/>
    <w:rsid w:val="0041146D"/>
    <w:rsid w:val="00411CBA"/>
    <w:rsid w:val="004128AC"/>
    <w:rsid w:val="00413C4A"/>
    <w:rsid w:val="00417179"/>
    <w:rsid w:val="004172A3"/>
    <w:rsid w:val="00417E29"/>
    <w:rsid w:val="004208DD"/>
    <w:rsid w:val="00420A9C"/>
    <w:rsid w:val="00420AB7"/>
    <w:rsid w:val="00420CFE"/>
    <w:rsid w:val="00421D79"/>
    <w:rsid w:val="0042269C"/>
    <w:rsid w:val="004232AA"/>
    <w:rsid w:val="00423A9D"/>
    <w:rsid w:val="004245B0"/>
    <w:rsid w:val="00424F33"/>
    <w:rsid w:val="00425178"/>
    <w:rsid w:val="0042573C"/>
    <w:rsid w:val="004259F7"/>
    <w:rsid w:val="0042614F"/>
    <w:rsid w:val="00427532"/>
    <w:rsid w:val="00431065"/>
    <w:rsid w:val="00431718"/>
    <w:rsid w:val="00432E4F"/>
    <w:rsid w:val="0043499D"/>
    <w:rsid w:val="00435278"/>
    <w:rsid w:val="004355EA"/>
    <w:rsid w:val="00435AF7"/>
    <w:rsid w:val="00436A4C"/>
    <w:rsid w:val="00436F68"/>
    <w:rsid w:val="00437091"/>
    <w:rsid w:val="00437F0B"/>
    <w:rsid w:val="00440169"/>
    <w:rsid w:val="00441994"/>
    <w:rsid w:val="004427A3"/>
    <w:rsid w:val="00444457"/>
    <w:rsid w:val="00444A4A"/>
    <w:rsid w:val="00450ECD"/>
    <w:rsid w:val="0045103A"/>
    <w:rsid w:val="004520E9"/>
    <w:rsid w:val="004529E9"/>
    <w:rsid w:val="00453112"/>
    <w:rsid w:val="004544A7"/>
    <w:rsid w:val="0045505A"/>
    <w:rsid w:val="0045789B"/>
    <w:rsid w:val="00457F60"/>
    <w:rsid w:val="0046081C"/>
    <w:rsid w:val="00460CC9"/>
    <w:rsid w:val="00461CEF"/>
    <w:rsid w:val="00463BF1"/>
    <w:rsid w:val="00463E49"/>
    <w:rsid w:val="00465F8E"/>
    <w:rsid w:val="00467D36"/>
    <w:rsid w:val="004709B5"/>
    <w:rsid w:val="004719BD"/>
    <w:rsid w:val="00471C0E"/>
    <w:rsid w:val="00472A83"/>
    <w:rsid w:val="00472F39"/>
    <w:rsid w:val="00473BE3"/>
    <w:rsid w:val="00475127"/>
    <w:rsid w:val="0047548C"/>
    <w:rsid w:val="0047636F"/>
    <w:rsid w:val="00476B64"/>
    <w:rsid w:val="0047747F"/>
    <w:rsid w:val="00477569"/>
    <w:rsid w:val="00477D2C"/>
    <w:rsid w:val="0048097B"/>
    <w:rsid w:val="0048161F"/>
    <w:rsid w:val="0048325E"/>
    <w:rsid w:val="00483A80"/>
    <w:rsid w:val="00487988"/>
    <w:rsid w:val="00490030"/>
    <w:rsid w:val="00490173"/>
    <w:rsid w:val="004901C0"/>
    <w:rsid w:val="0049142A"/>
    <w:rsid w:val="0049200D"/>
    <w:rsid w:val="0049240E"/>
    <w:rsid w:val="00492C7B"/>
    <w:rsid w:val="00492C9F"/>
    <w:rsid w:val="00492CC6"/>
    <w:rsid w:val="00493263"/>
    <w:rsid w:val="004947F5"/>
    <w:rsid w:val="00494BDB"/>
    <w:rsid w:val="004959A7"/>
    <w:rsid w:val="00495D2B"/>
    <w:rsid w:val="00495D71"/>
    <w:rsid w:val="00496467"/>
    <w:rsid w:val="00496A71"/>
    <w:rsid w:val="004970AD"/>
    <w:rsid w:val="004974A2"/>
    <w:rsid w:val="004974C0"/>
    <w:rsid w:val="004A0406"/>
    <w:rsid w:val="004A0E75"/>
    <w:rsid w:val="004A1A85"/>
    <w:rsid w:val="004A1C83"/>
    <w:rsid w:val="004A2788"/>
    <w:rsid w:val="004A2ADF"/>
    <w:rsid w:val="004A35DC"/>
    <w:rsid w:val="004A3808"/>
    <w:rsid w:val="004A456E"/>
    <w:rsid w:val="004A51AF"/>
    <w:rsid w:val="004A55DE"/>
    <w:rsid w:val="004A761C"/>
    <w:rsid w:val="004A7A85"/>
    <w:rsid w:val="004B0920"/>
    <w:rsid w:val="004B111D"/>
    <w:rsid w:val="004B1471"/>
    <w:rsid w:val="004B164D"/>
    <w:rsid w:val="004B4A8A"/>
    <w:rsid w:val="004B5128"/>
    <w:rsid w:val="004B5357"/>
    <w:rsid w:val="004B75D4"/>
    <w:rsid w:val="004B7BC6"/>
    <w:rsid w:val="004B7BCD"/>
    <w:rsid w:val="004B7D2E"/>
    <w:rsid w:val="004B7F86"/>
    <w:rsid w:val="004C0DAF"/>
    <w:rsid w:val="004C23E0"/>
    <w:rsid w:val="004C2EA5"/>
    <w:rsid w:val="004C56C1"/>
    <w:rsid w:val="004C65F5"/>
    <w:rsid w:val="004C70FD"/>
    <w:rsid w:val="004D00A3"/>
    <w:rsid w:val="004D0A63"/>
    <w:rsid w:val="004D284B"/>
    <w:rsid w:val="004D3131"/>
    <w:rsid w:val="004D3646"/>
    <w:rsid w:val="004D394E"/>
    <w:rsid w:val="004D3DCE"/>
    <w:rsid w:val="004E07DB"/>
    <w:rsid w:val="004E1DC2"/>
    <w:rsid w:val="004E28BE"/>
    <w:rsid w:val="004E30EF"/>
    <w:rsid w:val="004E4135"/>
    <w:rsid w:val="004E5150"/>
    <w:rsid w:val="004E5A66"/>
    <w:rsid w:val="004F058A"/>
    <w:rsid w:val="004F066A"/>
    <w:rsid w:val="004F0A93"/>
    <w:rsid w:val="004F0E2C"/>
    <w:rsid w:val="004F2916"/>
    <w:rsid w:val="004F2D1B"/>
    <w:rsid w:val="004F2D6C"/>
    <w:rsid w:val="004F4AAC"/>
    <w:rsid w:val="004F4CE0"/>
    <w:rsid w:val="004F5AC9"/>
    <w:rsid w:val="004F74FE"/>
    <w:rsid w:val="00500191"/>
    <w:rsid w:val="00500916"/>
    <w:rsid w:val="00501A9B"/>
    <w:rsid w:val="00502F09"/>
    <w:rsid w:val="00503613"/>
    <w:rsid w:val="00504C8C"/>
    <w:rsid w:val="00511573"/>
    <w:rsid w:val="00512339"/>
    <w:rsid w:val="0051240D"/>
    <w:rsid w:val="005146B0"/>
    <w:rsid w:val="00514D27"/>
    <w:rsid w:val="00517238"/>
    <w:rsid w:val="00517829"/>
    <w:rsid w:val="00517B9E"/>
    <w:rsid w:val="00520E7A"/>
    <w:rsid w:val="00522AFE"/>
    <w:rsid w:val="005234CB"/>
    <w:rsid w:val="00523965"/>
    <w:rsid w:val="005252F3"/>
    <w:rsid w:val="0052677A"/>
    <w:rsid w:val="00526E93"/>
    <w:rsid w:val="00531119"/>
    <w:rsid w:val="00531240"/>
    <w:rsid w:val="005333C9"/>
    <w:rsid w:val="00534D9C"/>
    <w:rsid w:val="005366EC"/>
    <w:rsid w:val="00536A49"/>
    <w:rsid w:val="00536BF8"/>
    <w:rsid w:val="00536CC1"/>
    <w:rsid w:val="00537C45"/>
    <w:rsid w:val="00537FAC"/>
    <w:rsid w:val="00540638"/>
    <w:rsid w:val="00540F8D"/>
    <w:rsid w:val="00541CF7"/>
    <w:rsid w:val="00541FF2"/>
    <w:rsid w:val="00543524"/>
    <w:rsid w:val="00545030"/>
    <w:rsid w:val="00545B09"/>
    <w:rsid w:val="00547592"/>
    <w:rsid w:val="00552A91"/>
    <w:rsid w:val="00553633"/>
    <w:rsid w:val="00553A9E"/>
    <w:rsid w:val="005541C5"/>
    <w:rsid w:val="0055480B"/>
    <w:rsid w:val="00555806"/>
    <w:rsid w:val="005579B0"/>
    <w:rsid w:val="00557E94"/>
    <w:rsid w:val="00560FBA"/>
    <w:rsid w:val="0056141B"/>
    <w:rsid w:val="00561440"/>
    <w:rsid w:val="005614BC"/>
    <w:rsid w:val="005617B2"/>
    <w:rsid w:val="005617E6"/>
    <w:rsid w:val="005619D4"/>
    <w:rsid w:val="00561D44"/>
    <w:rsid w:val="00561E90"/>
    <w:rsid w:val="0056228D"/>
    <w:rsid w:val="005640B4"/>
    <w:rsid w:val="005647CA"/>
    <w:rsid w:val="00565C98"/>
    <w:rsid w:val="00565FA2"/>
    <w:rsid w:val="0056640D"/>
    <w:rsid w:val="00566B7E"/>
    <w:rsid w:val="0056700C"/>
    <w:rsid w:val="0056777B"/>
    <w:rsid w:val="0057093E"/>
    <w:rsid w:val="00570BD8"/>
    <w:rsid w:val="005710FC"/>
    <w:rsid w:val="005739AF"/>
    <w:rsid w:val="00573F60"/>
    <w:rsid w:val="005766B2"/>
    <w:rsid w:val="00577188"/>
    <w:rsid w:val="00577238"/>
    <w:rsid w:val="00577CBC"/>
    <w:rsid w:val="00577DDE"/>
    <w:rsid w:val="00580764"/>
    <w:rsid w:val="0058433F"/>
    <w:rsid w:val="00584BE1"/>
    <w:rsid w:val="00585BCB"/>
    <w:rsid w:val="00586511"/>
    <w:rsid w:val="005868F5"/>
    <w:rsid w:val="0058734A"/>
    <w:rsid w:val="00587717"/>
    <w:rsid w:val="00587F91"/>
    <w:rsid w:val="0059040B"/>
    <w:rsid w:val="005929B8"/>
    <w:rsid w:val="00592A40"/>
    <w:rsid w:val="005931EC"/>
    <w:rsid w:val="00593C7C"/>
    <w:rsid w:val="005949B2"/>
    <w:rsid w:val="005954B4"/>
    <w:rsid w:val="00595FEB"/>
    <w:rsid w:val="005960B1"/>
    <w:rsid w:val="005966BD"/>
    <w:rsid w:val="005A0738"/>
    <w:rsid w:val="005A310E"/>
    <w:rsid w:val="005A33EE"/>
    <w:rsid w:val="005A3825"/>
    <w:rsid w:val="005A4BA8"/>
    <w:rsid w:val="005A5046"/>
    <w:rsid w:val="005A5978"/>
    <w:rsid w:val="005A5C29"/>
    <w:rsid w:val="005A7455"/>
    <w:rsid w:val="005B1C50"/>
    <w:rsid w:val="005C0907"/>
    <w:rsid w:val="005C12FA"/>
    <w:rsid w:val="005C28FE"/>
    <w:rsid w:val="005C2A36"/>
    <w:rsid w:val="005C311D"/>
    <w:rsid w:val="005C3340"/>
    <w:rsid w:val="005C5999"/>
    <w:rsid w:val="005C6FEA"/>
    <w:rsid w:val="005C7FE7"/>
    <w:rsid w:val="005D14E9"/>
    <w:rsid w:val="005D1905"/>
    <w:rsid w:val="005D28A2"/>
    <w:rsid w:val="005D2FC9"/>
    <w:rsid w:val="005D3398"/>
    <w:rsid w:val="005D3484"/>
    <w:rsid w:val="005D369B"/>
    <w:rsid w:val="005D3BAC"/>
    <w:rsid w:val="005D3DD1"/>
    <w:rsid w:val="005D5493"/>
    <w:rsid w:val="005D687A"/>
    <w:rsid w:val="005D6974"/>
    <w:rsid w:val="005D72B3"/>
    <w:rsid w:val="005E0521"/>
    <w:rsid w:val="005E086A"/>
    <w:rsid w:val="005E0B0C"/>
    <w:rsid w:val="005E0FC2"/>
    <w:rsid w:val="005E1EB5"/>
    <w:rsid w:val="005E3DE9"/>
    <w:rsid w:val="005E3FA9"/>
    <w:rsid w:val="005E43FC"/>
    <w:rsid w:val="005E473B"/>
    <w:rsid w:val="005E4913"/>
    <w:rsid w:val="005E58E1"/>
    <w:rsid w:val="005E6909"/>
    <w:rsid w:val="005E6A9A"/>
    <w:rsid w:val="005E6E0B"/>
    <w:rsid w:val="005E7175"/>
    <w:rsid w:val="005E7DD4"/>
    <w:rsid w:val="005F198D"/>
    <w:rsid w:val="005F2AE5"/>
    <w:rsid w:val="005F6829"/>
    <w:rsid w:val="005F6FFD"/>
    <w:rsid w:val="005F7C63"/>
    <w:rsid w:val="005F7F98"/>
    <w:rsid w:val="00601086"/>
    <w:rsid w:val="00601B87"/>
    <w:rsid w:val="00601CAC"/>
    <w:rsid w:val="006037DA"/>
    <w:rsid w:val="00603E09"/>
    <w:rsid w:val="006048AF"/>
    <w:rsid w:val="00605570"/>
    <w:rsid w:val="0060563A"/>
    <w:rsid w:val="00606281"/>
    <w:rsid w:val="006126B2"/>
    <w:rsid w:val="006130C9"/>
    <w:rsid w:val="006132A6"/>
    <w:rsid w:val="00613FA4"/>
    <w:rsid w:val="00614002"/>
    <w:rsid w:val="00614E71"/>
    <w:rsid w:val="006158F8"/>
    <w:rsid w:val="0062169F"/>
    <w:rsid w:val="006243C6"/>
    <w:rsid w:val="00625180"/>
    <w:rsid w:val="00625267"/>
    <w:rsid w:val="00625450"/>
    <w:rsid w:val="0062687E"/>
    <w:rsid w:val="00626CDB"/>
    <w:rsid w:val="00627971"/>
    <w:rsid w:val="00627D68"/>
    <w:rsid w:val="00627DEB"/>
    <w:rsid w:val="00627E68"/>
    <w:rsid w:val="00630976"/>
    <w:rsid w:val="0063170E"/>
    <w:rsid w:val="00632326"/>
    <w:rsid w:val="006347FC"/>
    <w:rsid w:val="00636030"/>
    <w:rsid w:val="0063650F"/>
    <w:rsid w:val="006371F7"/>
    <w:rsid w:val="00637CD3"/>
    <w:rsid w:val="00637CFD"/>
    <w:rsid w:val="00637F80"/>
    <w:rsid w:val="006408F6"/>
    <w:rsid w:val="006418B4"/>
    <w:rsid w:val="00641F0D"/>
    <w:rsid w:val="006437B9"/>
    <w:rsid w:val="00643842"/>
    <w:rsid w:val="00643C17"/>
    <w:rsid w:val="006455D5"/>
    <w:rsid w:val="00646608"/>
    <w:rsid w:val="00646CF5"/>
    <w:rsid w:val="00647201"/>
    <w:rsid w:val="00647D78"/>
    <w:rsid w:val="0065004A"/>
    <w:rsid w:val="00650250"/>
    <w:rsid w:val="006506F9"/>
    <w:rsid w:val="00650C37"/>
    <w:rsid w:val="0065137F"/>
    <w:rsid w:val="006519C6"/>
    <w:rsid w:val="00654A74"/>
    <w:rsid w:val="006557D3"/>
    <w:rsid w:val="00656013"/>
    <w:rsid w:val="006568FF"/>
    <w:rsid w:val="00657D04"/>
    <w:rsid w:val="00660C24"/>
    <w:rsid w:val="00661DEB"/>
    <w:rsid w:val="00661EF0"/>
    <w:rsid w:val="0066382E"/>
    <w:rsid w:val="0066428E"/>
    <w:rsid w:val="0066451A"/>
    <w:rsid w:val="00665719"/>
    <w:rsid w:val="00666415"/>
    <w:rsid w:val="00670BA2"/>
    <w:rsid w:val="00672712"/>
    <w:rsid w:val="00674972"/>
    <w:rsid w:val="00674DDD"/>
    <w:rsid w:val="00675093"/>
    <w:rsid w:val="00675D71"/>
    <w:rsid w:val="0067613C"/>
    <w:rsid w:val="00676BDD"/>
    <w:rsid w:val="00680E61"/>
    <w:rsid w:val="00680FDA"/>
    <w:rsid w:val="0068205D"/>
    <w:rsid w:val="00682381"/>
    <w:rsid w:val="0068421D"/>
    <w:rsid w:val="00684678"/>
    <w:rsid w:val="00684743"/>
    <w:rsid w:val="00684DBE"/>
    <w:rsid w:val="00687E8C"/>
    <w:rsid w:val="00690088"/>
    <w:rsid w:val="00690352"/>
    <w:rsid w:val="006910CE"/>
    <w:rsid w:val="0069129E"/>
    <w:rsid w:val="0069139C"/>
    <w:rsid w:val="00693BBD"/>
    <w:rsid w:val="0069548A"/>
    <w:rsid w:val="00695526"/>
    <w:rsid w:val="00697A02"/>
    <w:rsid w:val="006A093F"/>
    <w:rsid w:val="006A11EB"/>
    <w:rsid w:val="006A25A5"/>
    <w:rsid w:val="006A354C"/>
    <w:rsid w:val="006A46ED"/>
    <w:rsid w:val="006A4C27"/>
    <w:rsid w:val="006A4D16"/>
    <w:rsid w:val="006A5C60"/>
    <w:rsid w:val="006A63E1"/>
    <w:rsid w:val="006A7D30"/>
    <w:rsid w:val="006B0FF6"/>
    <w:rsid w:val="006B2202"/>
    <w:rsid w:val="006B285F"/>
    <w:rsid w:val="006B3128"/>
    <w:rsid w:val="006B3DCA"/>
    <w:rsid w:val="006B54F3"/>
    <w:rsid w:val="006B6016"/>
    <w:rsid w:val="006B656A"/>
    <w:rsid w:val="006B7D46"/>
    <w:rsid w:val="006B7FA7"/>
    <w:rsid w:val="006C0DF3"/>
    <w:rsid w:val="006C15A9"/>
    <w:rsid w:val="006C19C3"/>
    <w:rsid w:val="006C251D"/>
    <w:rsid w:val="006C28FD"/>
    <w:rsid w:val="006C2F8E"/>
    <w:rsid w:val="006C4850"/>
    <w:rsid w:val="006C4A0E"/>
    <w:rsid w:val="006C6671"/>
    <w:rsid w:val="006D09CB"/>
    <w:rsid w:val="006D1141"/>
    <w:rsid w:val="006D1279"/>
    <w:rsid w:val="006D1799"/>
    <w:rsid w:val="006D2A49"/>
    <w:rsid w:val="006D2C87"/>
    <w:rsid w:val="006D3D1F"/>
    <w:rsid w:val="006D5A3C"/>
    <w:rsid w:val="006D697E"/>
    <w:rsid w:val="006D6A5C"/>
    <w:rsid w:val="006D7CC4"/>
    <w:rsid w:val="006E334B"/>
    <w:rsid w:val="006E384E"/>
    <w:rsid w:val="006E399E"/>
    <w:rsid w:val="006E3E85"/>
    <w:rsid w:val="006E516C"/>
    <w:rsid w:val="006F0CB9"/>
    <w:rsid w:val="006F18C8"/>
    <w:rsid w:val="006F28A2"/>
    <w:rsid w:val="006F5689"/>
    <w:rsid w:val="006F6311"/>
    <w:rsid w:val="006F76F3"/>
    <w:rsid w:val="00701461"/>
    <w:rsid w:val="007037CD"/>
    <w:rsid w:val="00704559"/>
    <w:rsid w:val="0070530B"/>
    <w:rsid w:val="00706ABD"/>
    <w:rsid w:val="00706C74"/>
    <w:rsid w:val="00706E70"/>
    <w:rsid w:val="0071004D"/>
    <w:rsid w:val="00710961"/>
    <w:rsid w:val="00710CF7"/>
    <w:rsid w:val="007137C7"/>
    <w:rsid w:val="00714920"/>
    <w:rsid w:val="00715804"/>
    <w:rsid w:val="0071657C"/>
    <w:rsid w:val="007165A6"/>
    <w:rsid w:val="00716658"/>
    <w:rsid w:val="00716BF6"/>
    <w:rsid w:val="00716C4B"/>
    <w:rsid w:val="007201F1"/>
    <w:rsid w:val="007205CE"/>
    <w:rsid w:val="00721692"/>
    <w:rsid w:val="00721E63"/>
    <w:rsid w:val="00723C2B"/>
    <w:rsid w:val="00724AE6"/>
    <w:rsid w:val="00725D03"/>
    <w:rsid w:val="00726F18"/>
    <w:rsid w:val="00727BD5"/>
    <w:rsid w:val="00730785"/>
    <w:rsid w:val="00731A0E"/>
    <w:rsid w:val="007326CD"/>
    <w:rsid w:val="0073348D"/>
    <w:rsid w:val="00734930"/>
    <w:rsid w:val="00734B5C"/>
    <w:rsid w:val="007365C4"/>
    <w:rsid w:val="0074169B"/>
    <w:rsid w:val="007416AE"/>
    <w:rsid w:val="007428CD"/>
    <w:rsid w:val="00742D4A"/>
    <w:rsid w:val="00743483"/>
    <w:rsid w:val="007449B4"/>
    <w:rsid w:val="00750E33"/>
    <w:rsid w:val="00751174"/>
    <w:rsid w:val="00751917"/>
    <w:rsid w:val="00751ABC"/>
    <w:rsid w:val="007521C5"/>
    <w:rsid w:val="00752205"/>
    <w:rsid w:val="00752A67"/>
    <w:rsid w:val="00752F63"/>
    <w:rsid w:val="00753233"/>
    <w:rsid w:val="00754316"/>
    <w:rsid w:val="00755B06"/>
    <w:rsid w:val="00755C12"/>
    <w:rsid w:val="00756B91"/>
    <w:rsid w:val="007612DF"/>
    <w:rsid w:val="00761DA5"/>
    <w:rsid w:val="007624A0"/>
    <w:rsid w:val="007626CD"/>
    <w:rsid w:val="00762C13"/>
    <w:rsid w:val="0076364E"/>
    <w:rsid w:val="00763B38"/>
    <w:rsid w:val="00765C80"/>
    <w:rsid w:val="0076654F"/>
    <w:rsid w:val="0077031A"/>
    <w:rsid w:val="00770FF5"/>
    <w:rsid w:val="00771082"/>
    <w:rsid w:val="00771368"/>
    <w:rsid w:val="0077182A"/>
    <w:rsid w:val="007729B7"/>
    <w:rsid w:val="007732D7"/>
    <w:rsid w:val="00774AAB"/>
    <w:rsid w:val="00774C08"/>
    <w:rsid w:val="00775441"/>
    <w:rsid w:val="007754B8"/>
    <w:rsid w:val="0077593A"/>
    <w:rsid w:val="00775E85"/>
    <w:rsid w:val="00776C42"/>
    <w:rsid w:val="007777D9"/>
    <w:rsid w:val="00777F0C"/>
    <w:rsid w:val="00780985"/>
    <w:rsid w:val="00782ACD"/>
    <w:rsid w:val="007846A8"/>
    <w:rsid w:val="007855F8"/>
    <w:rsid w:val="007868F7"/>
    <w:rsid w:val="00786996"/>
    <w:rsid w:val="00790654"/>
    <w:rsid w:val="00791455"/>
    <w:rsid w:val="00792BFC"/>
    <w:rsid w:val="0079692E"/>
    <w:rsid w:val="00796B40"/>
    <w:rsid w:val="007A0F80"/>
    <w:rsid w:val="007A2406"/>
    <w:rsid w:val="007A2438"/>
    <w:rsid w:val="007A24AA"/>
    <w:rsid w:val="007A2587"/>
    <w:rsid w:val="007A3187"/>
    <w:rsid w:val="007A3552"/>
    <w:rsid w:val="007A3C1D"/>
    <w:rsid w:val="007A61A4"/>
    <w:rsid w:val="007B1780"/>
    <w:rsid w:val="007B1800"/>
    <w:rsid w:val="007B1DF3"/>
    <w:rsid w:val="007B38F9"/>
    <w:rsid w:val="007B4866"/>
    <w:rsid w:val="007B4AA0"/>
    <w:rsid w:val="007B5057"/>
    <w:rsid w:val="007B67FC"/>
    <w:rsid w:val="007B7808"/>
    <w:rsid w:val="007C05AD"/>
    <w:rsid w:val="007C12D8"/>
    <w:rsid w:val="007C47A3"/>
    <w:rsid w:val="007C499D"/>
    <w:rsid w:val="007C4DA4"/>
    <w:rsid w:val="007C5B57"/>
    <w:rsid w:val="007C6B8A"/>
    <w:rsid w:val="007C7B36"/>
    <w:rsid w:val="007D02FA"/>
    <w:rsid w:val="007D07AE"/>
    <w:rsid w:val="007D07FA"/>
    <w:rsid w:val="007D189B"/>
    <w:rsid w:val="007D27C7"/>
    <w:rsid w:val="007D316E"/>
    <w:rsid w:val="007D3DF7"/>
    <w:rsid w:val="007D505E"/>
    <w:rsid w:val="007D63F4"/>
    <w:rsid w:val="007D662B"/>
    <w:rsid w:val="007D6CAC"/>
    <w:rsid w:val="007D74FE"/>
    <w:rsid w:val="007D7B09"/>
    <w:rsid w:val="007E06C3"/>
    <w:rsid w:val="007E152D"/>
    <w:rsid w:val="007E157D"/>
    <w:rsid w:val="007E1659"/>
    <w:rsid w:val="007E26D6"/>
    <w:rsid w:val="007E3A55"/>
    <w:rsid w:val="007E48F7"/>
    <w:rsid w:val="007E567C"/>
    <w:rsid w:val="007E6402"/>
    <w:rsid w:val="007E6AFD"/>
    <w:rsid w:val="007F0423"/>
    <w:rsid w:val="007F0C20"/>
    <w:rsid w:val="007F10CB"/>
    <w:rsid w:val="007F1ACD"/>
    <w:rsid w:val="007F2095"/>
    <w:rsid w:val="007F2C5B"/>
    <w:rsid w:val="007F2FAE"/>
    <w:rsid w:val="007F416A"/>
    <w:rsid w:val="007F4D04"/>
    <w:rsid w:val="007F4ED9"/>
    <w:rsid w:val="007F51B2"/>
    <w:rsid w:val="007F561C"/>
    <w:rsid w:val="007F5FC0"/>
    <w:rsid w:val="007F6AFE"/>
    <w:rsid w:val="007F6FB0"/>
    <w:rsid w:val="007F7ABF"/>
    <w:rsid w:val="00800F3B"/>
    <w:rsid w:val="00801A46"/>
    <w:rsid w:val="008030E0"/>
    <w:rsid w:val="00804313"/>
    <w:rsid w:val="0080483C"/>
    <w:rsid w:val="008069C6"/>
    <w:rsid w:val="0080718F"/>
    <w:rsid w:val="00807388"/>
    <w:rsid w:val="00812206"/>
    <w:rsid w:val="00814BEF"/>
    <w:rsid w:val="00814E80"/>
    <w:rsid w:val="00816916"/>
    <w:rsid w:val="0081694D"/>
    <w:rsid w:val="008172A1"/>
    <w:rsid w:val="00817408"/>
    <w:rsid w:val="00821359"/>
    <w:rsid w:val="008220AF"/>
    <w:rsid w:val="008226FE"/>
    <w:rsid w:val="00822894"/>
    <w:rsid w:val="00824EC2"/>
    <w:rsid w:val="008251C1"/>
    <w:rsid w:val="0082559C"/>
    <w:rsid w:val="00825CBE"/>
    <w:rsid w:val="00826A01"/>
    <w:rsid w:val="00826A91"/>
    <w:rsid w:val="008311D9"/>
    <w:rsid w:val="008319C3"/>
    <w:rsid w:val="00832CD8"/>
    <w:rsid w:val="008353A2"/>
    <w:rsid w:val="008404E6"/>
    <w:rsid w:val="00840BC2"/>
    <w:rsid w:val="008435DB"/>
    <w:rsid w:val="00843E38"/>
    <w:rsid w:val="00845BEE"/>
    <w:rsid w:val="00846ACC"/>
    <w:rsid w:val="00846EB3"/>
    <w:rsid w:val="0085018D"/>
    <w:rsid w:val="0085059A"/>
    <w:rsid w:val="008521A1"/>
    <w:rsid w:val="0085274B"/>
    <w:rsid w:val="00853276"/>
    <w:rsid w:val="0085363C"/>
    <w:rsid w:val="00854673"/>
    <w:rsid w:val="008546AE"/>
    <w:rsid w:val="008548AA"/>
    <w:rsid w:val="00862EF1"/>
    <w:rsid w:val="0086314A"/>
    <w:rsid w:val="00863D50"/>
    <w:rsid w:val="00863E49"/>
    <w:rsid w:val="00864086"/>
    <w:rsid w:val="00865604"/>
    <w:rsid w:val="00865A50"/>
    <w:rsid w:val="00865E95"/>
    <w:rsid w:val="0086655E"/>
    <w:rsid w:val="008673B6"/>
    <w:rsid w:val="00867AAC"/>
    <w:rsid w:val="00871503"/>
    <w:rsid w:val="00871DFD"/>
    <w:rsid w:val="00871F39"/>
    <w:rsid w:val="00873C08"/>
    <w:rsid w:val="008740B0"/>
    <w:rsid w:val="008758EE"/>
    <w:rsid w:val="00876073"/>
    <w:rsid w:val="00876A5A"/>
    <w:rsid w:val="00880C23"/>
    <w:rsid w:val="0088149C"/>
    <w:rsid w:val="008815EA"/>
    <w:rsid w:val="00881D4D"/>
    <w:rsid w:val="00882ED2"/>
    <w:rsid w:val="00883E09"/>
    <w:rsid w:val="00883FBA"/>
    <w:rsid w:val="00885E98"/>
    <w:rsid w:val="0089092D"/>
    <w:rsid w:val="00890D84"/>
    <w:rsid w:val="0089108C"/>
    <w:rsid w:val="00891FD7"/>
    <w:rsid w:val="0089293F"/>
    <w:rsid w:val="00893062"/>
    <w:rsid w:val="0089492A"/>
    <w:rsid w:val="00894A6F"/>
    <w:rsid w:val="0089539D"/>
    <w:rsid w:val="0089566A"/>
    <w:rsid w:val="008959AA"/>
    <w:rsid w:val="00895D91"/>
    <w:rsid w:val="0089647C"/>
    <w:rsid w:val="00896D27"/>
    <w:rsid w:val="00897D9A"/>
    <w:rsid w:val="00897DB1"/>
    <w:rsid w:val="008A06B4"/>
    <w:rsid w:val="008A0EDA"/>
    <w:rsid w:val="008A2073"/>
    <w:rsid w:val="008A26B0"/>
    <w:rsid w:val="008A3FBB"/>
    <w:rsid w:val="008A6276"/>
    <w:rsid w:val="008B0676"/>
    <w:rsid w:val="008B0A4D"/>
    <w:rsid w:val="008B1738"/>
    <w:rsid w:val="008B1841"/>
    <w:rsid w:val="008B2099"/>
    <w:rsid w:val="008B2537"/>
    <w:rsid w:val="008B2877"/>
    <w:rsid w:val="008B2942"/>
    <w:rsid w:val="008B3EC1"/>
    <w:rsid w:val="008B506C"/>
    <w:rsid w:val="008B5F47"/>
    <w:rsid w:val="008C3298"/>
    <w:rsid w:val="008C374C"/>
    <w:rsid w:val="008C5567"/>
    <w:rsid w:val="008C5C29"/>
    <w:rsid w:val="008C77FE"/>
    <w:rsid w:val="008D13A6"/>
    <w:rsid w:val="008D1A9D"/>
    <w:rsid w:val="008D2321"/>
    <w:rsid w:val="008D42CC"/>
    <w:rsid w:val="008D5732"/>
    <w:rsid w:val="008D5AC3"/>
    <w:rsid w:val="008D6417"/>
    <w:rsid w:val="008D7EAD"/>
    <w:rsid w:val="008E0C97"/>
    <w:rsid w:val="008E0F23"/>
    <w:rsid w:val="008E250C"/>
    <w:rsid w:val="008E25F6"/>
    <w:rsid w:val="008E325A"/>
    <w:rsid w:val="008E356D"/>
    <w:rsid w:val="008E4338"/>
    <w:rsid w:val="008E4A37"/>
    <w:rsid w:val="008E5C48"/>
    <w:rsid w:val="008E5FCB"/>
    <w:rsid w:val="008E77E3"/>
    <w:rsid w:val="008E7EEA"/>
    <w:rsid w:val="008F077F"/>
    <w:rsid w:val="008F1F85"/>
    <w:rsid w:val="008F22EE"/>
    <w:rsid w:val="008F35F4"/>
    <w:rsid w:val="008F3C9A"/>
    <w:rsid w:val="008F4EEC"/>
    <w:rsid w:val="008F6981"/>
    <w:rsid w:val="008F7783"/>
    <w:rsid w:val="008F7C80"/>
    <w:rsid w:val="00900874"/>
    <w:rsid w:val="00900CF9"/>
    <w:rsid w:val="0090134B"/>
    <w:rsid w:val="0090223C"/>
    <w:rsid w:val="009024F9"/>
    <w:rsid w:val="00903A88"/>
    <w:rsid w:val="00904477"/>
    <w:rsid w:val="009049D9"/>
    <w:rsid w:val="00905216"/>
    <w:rsid w:val="009058B3"/>
    <w:rsid w:val="00907C2F"/>
    <w:rsid w:val="00910EA6"/>
    <w:rsid w:val="0091115B"/>
    <w:rsid w:val="00911D3B"/>
    <w:rsid w:val="00913C0C"/>
    <w:rsid w:val="00913C38"/>
    <w:rsid w:val="00914446"/>
    <w:rsid w:val="009145B3"/>
    <w:rsid w:val="00915497"/>
    <w:rsid w:val="00915806"/>
    <w:rsid w:val="00915EC7"/>
    <w:rsid w:val="0091660F"/>
    <w:rsid w:val="00916AB0"/>
    <w:rsid w:val="00916FF4"/>
    <w:rsid w:val="0091767C"/>
    <w:rsid w:val="00920F29"/>
    <w:rsid w:val="00921490"/>
    <w:rsid w:val="009224D2"/>
    <w:rsid w:val="00924426"/>
    <w:rsid w:val="009250B8"/>
    <w:rsid w:val="00925668"/>
    <w:rsid w:val="00925A7E"/>
    <w:rsid w:val="009262D4"/>
    <w:rsid w:val="009269ED"/>
    <w:rsid w:val="00927FB9"/>
    <w:rsid w:val="00931296"/>
    <w:rsid w:val="0093207D"/>
    <w:rsid w:val="00934108"/>
    <w:rsid w:val="00934724"/>
    <w:rsid w:val="0093519E"/>
    <w:rsid w:val="0093752D"/>
    <w:rsid w:val="009432EB"/>
    <w:rsid w:val="00944B14"/>
    <w:rsid w:val="00945094"/>
    <w:rsid w:val="00945982"/>
    <w:rsid w:val="00945C1A"/>
    <w:rsid w:val="00947AA0"/>
    <w:rsid w:val="009501D7"/>
    <w:rsid w:val="00950446"/>
    <w:rsid w:val="009509F3"/>
    <w:rsid w:val="00951013"/>
    <w:rsid w:val="00953A15"/>
    <w:rsid w:val="00955D74"/>
    <w:rsid w:val="00957E6E"/>
    <w:rsid w:val="00960F04"/>
    <w:rsid w:val="009615CE"/>
    <w:rsid w:val="009636A0"/>
    <w:rsid w:val="00963C0E"/>
    <w:rsid w:val="00963F3E"/>
    <w:rsid w:val="0096415C"/>
    <w:rsid w:val="00964C35"/>
    <w:rsid w:val="009657C4"/>
    <w:rsid w:val="00965F2F"/>
    <w:rsid w:val="009668D4"/>
    <w:rsid w:val="009676A4"/>
    <w:rsid w:val="00967F43"/>
    <w:rsid w:val="009718B3"/>
    <w:rsid w:val="00972522"/>
    <w:rsid w:val="00973896"/>
    <w:rsid w:val="00973DB0"/>
    <w:rsid w:val="00974659"/>
    <w:rsid w:val="0097507B"/>
    <w:rsid w:val="009769E2"/>
    <w:rsid w:val="00980400"/>
    <w:rsid w:val="00981F9D"/>
    <w:rsid w:val="00982C8E"/>
    <w:rsid w:val="00983AE0"/>
    <w:rsid w:val="00983FD2"/>
    <w:rsid w:val="00985C74"/>
    <w:rsid w:val="009872EE"/>
    <w:rsid w:val="00991971"/>
    <w:rsid w:val="00991D82"/>
    <w:rsid w:val="009942A2"/>
    <w:rsid w:val="0099489A"/>
    <w:rsid w:val="00994ACC"/>
    <w:rsid w:val="00994EB0"/>
    <w:rsid w:val="00995590"/>
    <w:rsid w:val="00995A7E"/>
    <w:rsid w:val="00995DE1"/>
    <w:rsid w:val="009968FE"/>
    <w:rsid w:val="009A1398"/>
    <w:rsid w:val="009A26E0"/>
    <w:rsid w:val="009A5ECD"/>
    <w:rsid w:val="009A7117"/>
    <w:rsid w:val="009A78A0"/>
    <w:rsid w:val="009B1A70"/>
    <w:rsid w:val="009B2DBE"/>
    <w:rsid w:val="009B4947"/>
    <w:rsid w:val="009C01B9"/>
    <w:rsid w:val="009C0BF9"/>
    <w:rsid w:val="009C0C2B"/>
    <w:rsid w:val="009C30DF"/>
    <w:rsid w:val="009C3597"/>
    <w:rsid w:val="009C3C25"/>
    <w:rsid w:val="009C3C46"/>
    <w:rsid w:val="009C3FCF"/>
    <w:rsid w:val="009C4129"/>
    <w:rsid w:val="009C4252"/>
    <w:rsid w:val="009C4B0B"/>
    <w:rsid w:val="009C50FA"/>
    <w:rsid w:val="009C5D06"/>
    <w:rsid w:val="009C6637"/>
    <w:rsid w:val="009D12C6"/>
    <w:rsid w:val="009D2308"/>
    <w:rsid w:val="009D2339"/>
    <w:rsid w:val="009D34A4"/>
    <w:rsid w:val="009D38FB"/>
    <w:rsid w:val="009D3964"/>
    <w:rsid w:val="009D7D94"/>
    <w:rsid w:val="009E015A"/>
    <w:rsid w:val="009E03AB"/>
    <w:rsid w:val="009E1752"/>
    <w:rsid w:val="009E31A8"/>
    <w:rsid w:val="009E35E9"/>
    <w:rsid w:val="009E3671"/>
    <w:rsid w:val="009E4DF9"/>
    <w:rsid w:val="009E5416"/>
    <w:rsid w:val="009E62AA"/>
    <w:rsid w:val="009E6C99"/>
    <w:rsid w:val="009E6E9B"/>
    <w:rsid w:val="009E7C3A"/>
    <w:rsid w:val="009E7FD6"/>
    <w:rsid w:val="009F07AF"/>
    <w:rsid w:val="009F08C0"/>
    <w:rsid w:val="009F15EE"/>
    <w:rsid w:val="009F1F95"/>
    <w:rsid w:val="009F202D"/>
    <w:rsid w:val="009F20B6"/>
    <w:rsid w:val="009F292F"/>
    <w:rsid w:val="009F3DD9"/>
    <w:rsid w:val="009F4ECB"/>
    <w:rsid w:val="009F60D0"/>
    <w:rsid w:val="009F6F03"/>
    <w:rsid w:val="009F710C"/>
    <w:rsid w:val="00A00A94"/>
    <w:rsid w:val="00A00C95"/>
    <w:rsid w:val="00A011CD"/>
    <w:rsid w:val="00A011E7"/>
    <w:rsid w:val="00A01E3F"/>
    <w:rsid w:val="00A029AB"/>
    <w:rsid w:val="00A02AF1"/>
    <w:rsid w:val="00A02DC9"/>
    <w:rsid w:val="00A047BE"/>
    <w:rsid w:val="00A05C6E"/>
    <w:rsid w:val="00A06700"/>
    <w:rsid w:val="00A10381"/>
    <w:rsid w:val="00A10859"/>
    <w:rsid w:val="00A10F56"/>
    <w:rsid w:val="00A11C50"/>
    <w:rsid w:val="00A1255A"/>
    <w:rsid w:val="00A137EA"/>
    <w:rsid w:val="00A146E8"/>
    <w:rsid w:val="00A14AA5"/>
    <w:rsid w:val="00A14FEB"/>
    <w:rsid w:val="00A17493"/>
    <w:rsid w:val="00A21AB8"/>
    <w:rsid w:val="00A2258C"/>
    <w:rsid w:val="00A22AD5"/>
    <w:rsid w:val="00A23516"/>
    <w:rsid w:val="00A237D7"/>
    <w:rsid w:val="00A23A22"/>
    <w:rsid w:val="00A23E77"/>
    <w:rsid w:val="00A247F8"/>
    <w:rsid w:val="00A25A72"/>
    <w:rsid w:val="00A262A0"/>
    <w:rsid w:val="00A27316"/>
    <w:rsid w:val="00A27E05"/>
    <w:rsid w:val="00A303C3"/>
    <w:rsid w:val="00A30AA9"/>
    <w:rsid w:val="00A30E11"/>
    <w:rsid w:val="00A31EA7"/>
    <w:rsid w:val="00A367D4"/>
    <w:rsid w:val="00A369BB"/>
    <w:rsid w:val="00A36CA5"/>
    <w:rsid w:val="00A376FE"/>
    <w:rsid w:val="00A4012E"/>
    <w:rsid w:val="00A40241"/>
    <w:rsid w:val="00A41438"/>
    <w:rsid w:val="00A42F70"/>
    <w:rsid w:val="00A4320C"/>
    <w:rsid w:val="00A43A41"/>
    <w:rsid w:val="00A43D80"/>
    <w:rsid w:val="00A446FA"/>
    <w:rsid w:val="00A4493B"/>
    <w:rsid w:val="00A46654"/>
    <w:rsid w:val="00A47703"/>
    <w:rsid w:val="00A47BAD"/>
    <w:rsid w:val="00A51BEB"/>
    <w:rsid w:val="00A53559"/>
    <w:rsid w:val="00A54576"/>
    <w:rsid w:val="00A548B0"/>
    <w:rsid w:val="00A55129"/>
    <w:rsid w:val="00A575C4"/>
    <w:rsid w:val="00A60716"/>
    <w:rsid w:val="00A625F0"/>
    <w:rsid w:val="00A629CA"/>
    <w:rsid w:val="00A63052"/>
    <w:rsid w:val="00A63100"/>
    <w:rsid w:val="00A6323E"/>
    <w:rsid w:val="00A63701"/>
    <w:rsid w:val="00A63E65"/>
    <w:rsid w:val="00A64048"/>
    <w:rsid w:val="00A662A0"/>
    <w:rsid w:val="00A662C0"/>
    <w:rsid w:val="00A66712"/>
    <w:rsid w:val="00A674B3"/>
    <w:rsid w:val="00A6774E"/>
    <w:rsid w:val="00A71084"/>
    <w:rsid w:val="00A724AC"/>
    <w:rsid w:val="00A72A36"/>
    <w:rsid w:val="00A73086"/>
    <w:rsid w:val="00A73376"/>
    <w:rsid w:val="00A73649"/>
    <w:rsid w:val="00A74CF3"/>
    <w:rsid w:val="00A74DA3"/>
    <w:rsid w:val="00A751C3"/>
    <w:rsid w:val="00A75326"/>
    <w:rsid w:val="00A76BBC"/>
    <w:rsid w:val="00A77A23"/>
    <w:rsid w:val="00A77E48"/>
    <w:rsid w:val="00A80497"/>
    <w:rsid w:val="00A80CDE"/>
    <w:rsid w:val="00A80D36"/>
    <w:rsid w:val="00A80F12"/>
    <w:rsid w:val="00A8229D"/>
    <w:rsid w:val="00A8252C"/>
    <w:rsid w:val="00A8256B"/>
    <w:rsid w:val="00A832C2"/>
    <w:rsid w:val="00A83C0B"/>
    <w:rsid w:val="00A853CA"/>
    <w:rsid w:val="00A8586C"/>
    <w:rsid w:val="00A85C7B"/>
    <w:rsid w:val="00A87320"/>
    <w:rsid w:val="00A8794E"/>
    <w:rsid w:val="00A87D48"/>
    <w:rsid w:val="00A90650"/>
    <w:rsid w:val="00A907BF"/>
    <w:rsid w:val="00A90FAC"/>
    <w:rsid w:val="00A92919"/>
    <w:rsid w:val="00A92A57"/>
    <w:rsid w:val="00A93B4E"/>
    <w:rsid w:val="00A94035"/>
    <w:rsid w:val="00A94299"/>
    <w:rsid w:val="00A94874"/>
    <w:rsid w:val="00A94DDF"/>
    <w:rsid w:val="00A96E17"/>
    <w:rsid w:val="00AA03CE"/>
    <w:rsid w:val="00AA0D1E"/>
    <w:rsid w:val="00AA11D5"/>
    <w:rsid w:val="00AA2290"/>
    <w:rsid w:val="00AA2DFD"/>
    <w:rsid w:val="00AA4194"/>
    <w:rsid w:val="00AA45CE"/>
    <w:rsid w:val="00AA5479"/>
    <w:rsid w:val="00AA5D52"/>
    <w:rsid w:val="00AA6D17"/>
    <w:rsid w:val="00AB17A9"/>
    <w:rsid w:val="00AB240B"/>
    <w:rsid w:val="00AB2B9F"/>
    <w:rsid w:val="00AB2C1C"/>
    <w:rsid w:val="00AB2CFC"/>
    <w:rsid w:val="00AB3067"/>
    <w:rsid w:val="00AB36BE"/>
    <w:rsid w:val="00AB46BB"/>
    <w:rsid w:val="00AB5CB2"/>
    <w:rsid w:val="00AC036C"/>
    <w:rsid w:val="00AC161A"/>
    <w:rsid w:val="00AC2C1D"/>
    <w:rsid w:val="00AC3007"/>
    <w:rsid w:val="00AC40EC"/>
    <w:rsid w:val="00AC4712"/>
    <w:rsid w:val="00AC5B25"/>
    <w:rsid w:val="00AC5F35"/>
    <w:rsid w:val="00AC61E6"/>
    <w:rsid w:val="00AC7A70"/>
    <w:rsid w:val="00AC7BFA"/>
    <w:rsid w:val="00AD0612"/>
    <w:rsid w:val="00AD2C8A"/>
    <w:rsid w:val="00AD3964"/>
    <w:rsid w:val="00AD4222"/>
    <w:rsid w:val="00AD45D1"/>
    <w:rsid w:val="00AD45EA"/>
    <w:rsid w:val="00AD5FEF"/>
    <w:rsid w:val="00AD6EA7"/>
    <w:rsid w:val="00AD7F21"/>
    <w:rsid w:val="00AE07AE"/>
    <w:rsid w:val="00AE185B"/>
    <w:rsid w:val="00AE23CA"/>
    <w:rsid w:val="00AE367A"/>
    <w:rsid w:val="00AE3B47"/>
    <w:rsid w:val="00AE3CA4"/>
    <w:rsid w:val="00AE3E99"/>
    <w:rsid w:val="00AE4B9E"/>
    <w:rsid w:val="00AE4DF3"/>
    <w:rsid w:val="00AE60B1"/>
    <w:rsid w:val="00AE6913"/>
    <w:rsid w:val="00AE709D"/>
    <w:rsid w:val="00AE761C"/>
    <w:rsid w:val="00AE7B56"/>
    <w:rsid w:val="00AF1C06"/>
    <w:rsid w:val="00AF247C"/>
    <w:rsid w:val="00AF3324"/>
    <w:rsid w:val="00AF3F2E"/>
    <w:rsid w:val="00AF406C"/>
    <w:rsid w:val="00AF4DD0"/>
    <w:rsid w:val="00AF4EFF"/>
    <w:rsid w:val="00AF5D2C"/>
    <w:rsid w:val="00AF5FF6"/>
    <w:rsid w:val="00AF750E"/>
    <w:rsid w:val="00B006E0"/>
    <w:rsid w:val="00B016D9"/>
    <w:rsid w:val="00B04E24"/>
    <w:rsid w:val="00B05020"/>
    <w:rsid w:val="00B0628F"/>
    <w:rsid w:val="00B06332"/>
    <w:rsid w:val="00B07E54"/>
    <w:rsid w:val="00B10D6E"/>
    <w:rsid w:val="00B12850"/>
    <w:rsid w:val="00B158C4"/>
    <w:rsid w:val="00B15F45"/>
    <w:rsid w:val="00B16534"/>
    <w:rsid w:val="00B245E2"/>
    <w:rsid w:val="00B24DC4"/>
    <w:rsid w:val="00B26596"/>
    <w:rsid w:val="00B27C8E"/>
    <w:rsid w:val="00B3192E"/>
    <w:rsid w:val="00B32331"/>
    <w:rsid w:val="00B33D75"/>
    <w:rsid w:val="00B34949"/>
    <w:rsid w:val="00B34E0F"/>
    <w:rsid w:val="00B34FE7"/>
    <w:rsid w:val="00B370C2"/>
    <w:rsid w:val="00B3710A"/>
    <w:rsid w:val="00B37240"/>
    <w:rsid w:val="00B40CC7"/>
    <w:rsid w:val="00B40E14"/>
    <w:rsid w:val="00B4141C"/>
    <w:rsid w:val="00B4599E"/>
    <w:rsid w:val="00B45A4A"/>
    <w:rsid w:val="00B4637B"/>
    <w:rsid w:val="00B46E93"/>
    <w:rsid w:val="00B473CB"/>
    <w:rsid w:val="00B501EA"/>
    <w:rsid w:val="00B50532"/>
    <w:rsid w:val="00B510D2"/>
    <w:rsid w:val="00B521A7"/>
    <w:rsid w:val="00B532FB"/>
    <w:rsid w:val="00B558D7"/>
    <w:rsid w:val="00B55A0E"/>
    <w:rsid w:val="00B56061"/>
    <w:rsid w:val="00B56EBA"/>
    <w:rsid w:val="00B5781E"/>
    <w:rsid w:val="00B62C13"/>
    <w:rsid w:val="00B655AE"/>
    <w:rsid w:val="00B67F0F"/>
    <w:rsid w:val="00B721B2"/>
    <w:rsid w:val="00B735C9"/>
    <w:rsid w:val="00B751F9"/>
    <w:rsid w:val="00B76B00"/>
    <w:rsid w:val="00B776B1"/>
    <w:rsid w:val="00B776BD"/>
    <w:rsid w:val="00B80DD6"/>
    <w:rsid w:val="00B814A5"/>
    <w:rsid w:val="00B83C39"/>
    <w:rsid w:val="00B83CE6"/>
    <w:rsid w:val="00B83F35"/>
    <w:rsid w:val="00B850B2"/>
    <w:rsid w:val="00B851A4"/>
    <w:rsid w:val="00B85602"/>
    <w:rsid w:val="00B85F48"/>
    <w:rsid w:val="00B8683D"/>
    <w:rsid w:val="00B870C8"/>
    <w:rsid w:val="00B8738A"/>
    <w:rsid w:val="00B87A01"/>
    <w:rsid w:val="00B87FBC"/>
    <w:rsid w:val="00B90D36"/>
    <w:rsid w:val="00B9107B"/>
    <w:rsid w:val="00B93A6E"/>
    <w:rsid w:val="00B94332"/>
    <w:rsid w:val="00B951FC"/>
    <w:rsid w:val="00B953ED"/>
    <w:rsid w:val="00B95E60"/>
    <w:rsid w:val="00B963C1"/>
    <w:rsid w:val="00B9738C"/>
    <w:rsid w:val="00B978C5"/>
    <w:rsid w:val="00BA045C"/>
    <w:rsid w:val="00BA094A"/>
    <w:rsid w:val="00BA2724"/>
    <w:rsid w:val="00BA3665"/>
    <w:rsid w:val="00BA3F73"/>
    <w:rsid w:val="00BA50BB"/>
    <w:rsid w:val="00BA5368"/>
    <w:rsid w:val="00BB1809"/>
    <w:rsid w:val="00BB1A81"/>
    <w:rsid w:val="00BB39D6"/>
    <w:rsid w:val="00BB40E2"/>
    <w:rsid w:val="00BB42AA"/>
    <w:rsid w:val="00BB620A"/>
    <w:rsid w:val="00BB6913"/>
    <w:rsid w:val="00BB6B08"/>
    <w:rsid w:val="00BB73FB"/>
    <w:rsid w:val="00BB7603"/>
    <w:rsid w:val="00BC4DA7"/>
    <w:rsid w:val="00BC5707"/>
    <w:rsid w:val="00BC5B9D"/>
    <w:rsid w:val="00BC6913"/>
    <w:rsid w:val="00BC7E60"/>
    <w:rsid w:val="00BD0C61"/>
    <w:rsid w:val="00BD196F"/>
    <w:rsid w:val="00BD3F36"/>
    <w:rsid w:val="00BD4D21"/>
    <w:rsid w:val="00BD54AD"/>
    <w:rsid w:val="00BD56CB"/>
    <w:rsid w:val="00BD5727"/>
    <w:rsid w:val="00BD5790"/>
    <w:rsid w:val="00BD584A"/>
    <w:rsid w:val="00BD5917"/>
    <w:rsid w:val="00BD68CD"/>
    <w:rsid w:val="00BD6D23"/>
    <w:rsid w:val="00BD6EE6"/>
    <w:rsid w:val="00BD7EED"/>
    <w:rsid w:val="00BE0376"/>
    <w:rsid w:val="00BE175E"/>
    <w:rsid w:val="00BE3362"/>
    <w:rsid w:val="00BE562D"/>
    <w:rsid w:val="00BE5AFD"/>
    <w:rsid w:val="00BE782D"/>
    <w:rsid w:val="00BE799E"/>
    <w:rsid w:val="00BF195E"/>
    <w:rsid w:val="00BF25AE"/>
    <w:rsid w:val="00BF272D"/>
    <w:rsid w:val="00BF37CC"/>
    <w:rsid w:val="00BF47F1"/>
    <w:rsid w:val="00BF4A09"/>
    <w:rsid w:val="00BF6BE1"/>
    <w:rsid w:val="00BF6E2F"/>
    <w:rsid w:val="00BF755B"/>
    <w:rsid w:val="00C02826"/>
    <w:rsid w:val="00C032C6"/>
    <w:rsid w:val="00C0354D"/>
    <w:rsid w:val="00C03C19"/>
    <w:rsid w:val="00C03D4E"/>
    <w:rsid w:val="00C04BE6"/>
    <w:rsid w:val="00C05295"/>
    <w:rsid w:val="00C0555D"/>
    <w:rsid w:val="00C057C0"/>
    <w:rsid w:val="00C05A3B"/>
    <w:rsid w:val="00C06E53"/>
    <w:rsid w:val="00C11C85"/>
    <w:rsid w:val="00C121F5"/>
    <w:rsid w:val="00C134F5"/>
    <w:rsid w:val="00C13814"/>
    <w:rsid w:val="00C140D8"/>
    <w:rsid w:val="00C14A70"/>
    <w:rsid w:val="00C14C4A"/>
    <w:rsid w:val="00C14F19"/>
    <w:rsid w:val="00C14FEC"/>
    <w:rsid w:val="00C15CFB"/>
    <w:rsid w:val="00C17D50"/>
    <w:rsid w:val="00C213CD"/>
    <w:rsid w:val="00C21A17"/>
    <w:rsid w:val="00C22495"/>
    <w:rsid w:val="00C22F7A"/>
    <w:rsid w:val="00C2519D"/>
    <w:rsid w:val="00C26551"/>
    <w:rsid w:val="00C26BB8"/>
    <w:rsid w:val="00C273B9"/>
    <w:rsid w:val="00C27D1F"/>
    <w:rsid w:val="00C30137"/>
    <w:rsid w:val="00C3247E"/>
    <w:rsid w:val="00C32A06"/>
    <w:rsid w:val="00C33058"/>
    <w:rsid w:val="00C338BF"/>
    <w:rsid w:val="00C36CD1"/>
    <w:rsid w:val="00C403F1"/>
    <w:rsid w:val="00C411A6"/>
    <w:rsid w:val="00C4180F"/>
    <w:rsid w:val="00C423F7"/>
    <w:rsid w:val="00C436A7"/>
    <w:rsid w:val="00C44969"/>
    <w:rsid w:val="00C44D78"/>
    <w:rsid w:val="00C45A60"/>
    <w:rsid w:val="00C4717D"/>
    <w:rsid w:val="00C509B6"/>
    <w:rsid w:val="00C50ACD"/>
    <w:rsid w:val="00C51262"/>
    <w:rsid w:val="00C5183C"/>
    <w:rsid w:val="00C51BE3"/>
    <w:rsid w:val="00C526AC"/>
    <w:rsid w:val="00C52AB5"/>
    <w:rsid w:val="00C5306E"/>
    <w:rsid w:val="00C5438F"/>
    <w:rsid w:val="00C5441A"/>
    <w:rsid w:val="00C546FA"/>
    <w:rsid w:val="00C611DB"/>
    <w:rsid w:val="00C61572"/>
    <w:rsid w:val="00C622CF"/>
    <w:rsid w:val="00C627F6"/>
    <w:rsid w:val="00C63399"/>
    <w:rsid w:val="00C6345D"/>
    <w:rsid w:val="00C634BC"/>
    <w:rsid w:val="00C635F9"/>
    <w:rsid w:val="00C64040"/>
    <w:rsid w:val="00C6561B"/>
    <w:rsid w:val="00C65AE9"/>
    <w:rsid w:val="00C66512"/>
    <w:rsid w:val="00C677A4"/>
    <w:rsid w:val="00C71AA2"/>
    <w:rsid w:val="00C7729F"/>
    <w:rsid w:val="00C77447"/>
    <w:rsid w:val="00C77724"/>
    <w:rsid w:val="00C777BF"/>
    <w:rsid w:val="00C777FA"/>
    <w:rsid w:val="00C801BD"/>
    <w:rsid w:val="00C8207B"/>
    <w:rsid w:val="00C82A49"/>
    <w:rsid w:val="00C82AC8"/>
    <w:rsid w:val="00C8513B"/>
    <w:rsid w:val="00C85468"/>
    <w:rsid w:val="00C85D9C"/>
    <w:rsid w:val="00C863C5"/>
    <w:rsid w:val="00C876BD"/>
    <w:rsid w:val="00C90C6E"/>
    <w:rsid w:val="00C91263"/>
    <w:rsid w:val="00C9315A"/>
    <w:rsid w:val="00C9423F"/>
    <w:rsid w:val="00C9470A"/>
    <w:rsid w:val="00C95777"/>
    <w:rsid w:val="00C95E0C"/>
    <w:rsid w:val="00C96414"/>
    <w:rsid w:val="00C973EA"/>
    <w:rsid w:val="00C97C75"/>
    <w:rsid w:val="00CA0D2A"/>
    <w:rsid w:val="00CA1685"/>
    <w:rsid w:val="00CA34C5"/>
    <w:rsid w:val="00CA4CB9"/>
    <w:rsid w:val="00CA53A5"/>
    <w:rsid w:val="00CA5B09"/>
    <w:rsid w:val="00CA7186"/>
    <w:rsid w:val="00CA7C82"/>
    <w:rsid w:val="00CA7CDE"/>
    <w:rsid w:val="00CB0BF0"/>
    <w:rsid w:val="00CB135E"/>
    <w:rsid w:val="00CB183F"/>
    <w:rsid w:val="00CB1F46"/>
    <w:rsid w:val="00CB2F5A"/>
    <w:rsid w:val="00CB39B8"/>
    <w:rsid w:val="00CB6600"/>
    <w:rsid w:val="00CB797C"/>
    <w:rsid w:val="00CC01CE"/>
    <w:rsid w:val="00CC0725"/>
    <w:rsid w:val="00CC0F06"/>
    <w:rsid w:val="00CC1119"/>
    <w:rsid w:val="00CC35E0"/>
    <w:rsid w:val="00CC3E0D"/>
    <w:rsid w:val="00CC41EC"/>
    <w:rsid w:val="00CC4931"/>
    <w:rsid w:val="00CC5FF2"/>
    <w:rsid w:val="00CC6731"/>
    <w:rsid w:val="00CC6A5D"/>
    <w:rsid w:val="00CC7869"/>
    <w:rsid w:val="00CD03EA"/>
    <w:rsid w:val="00CD1ED3"/>
    <w:rsid w:val="00CD2359"/>
    <w:rsid w:val="00CD2DBD"/>
    <w:rsid w:val="00CD3511"/>
    <w:rsid w:val="00CD3BD4"/>
    <w:rsid w:val="00CD4147"/>
    <w:rsid w:val="00CD4D18"/>
    <w:rsid w:val="00CD6CB1"/>
    <w:rsid w:val="00CD716D"/>
    <w:rsid w:val="00CE012F"/>
    <w:rsid w:val="00CE02E3"/>
    <w:rsid w:val="00CE0F67"/>
    <w:rsid w:val="00CE24B0"/>
    <w:rsid w:val="00CE24BF"/>
    <w:rsid w:val="00CE7866"/>
    <w:rsid w:val="00CF0ADD"/>
    <w:rsid w:val="00CF1744"/>
    <w:rsid w:val="00CF1766"/>
    <w:rsid w:val="00CF33D9"/>
    <w:rsid w:val="00CF376C"/>
    <w:rsid w:val="00CF41DA"/>
    <w:rsid w:val="00CF541C"/>
    <w:rsid w:val="00CF5F11"/>
    <w:rsid w:val="00CF6831"/>
    <w:rsid w:val="00D00C32"/>
    <w:rsid w:val="00D00ECC"/>
    <w:rsid w:val="00D01BCA"/>
    <w:rsid w:val="00D0293F"/>
    <w:rsid w:val="00D04A25"/>
    <w:rsid w:val="00D04BE7"/>
    <w:rsid w:val="00D06073"/>
    <w:rsid w:val="00D07CD1"/>
    <w:rsid w:val="00D10CF9"/>
    <w:rsid w:val="00D12A3E"/>
    <w:rsid w:val="00D12B51"/>
    <w:rsid w:val="00D1404B"/>
    <w:rsid w:val="00D1455A"/>
    <w:rsid w:val="00D15304"/>
    <w:rsid w:val="00D1535A"/>
    <w:rsid w:val="00D15B40"/>
    <w:rsid w:val="00D169C5"/>
    <w:rsid w:val="00D16A4E"/>
    <w:rsid w:val="00D16BF1"/>
    <w:rsid w:val="00D1746D"/>
    <w:rsid w:val="00D17CC5"/>
    <w:rsid w:val="00D20636"/>
    <w:rsid w:val="00D215A3"/>
    <w:rsid w:val="00D22209"/>
    <w:rsid w:val="00D226D1"/>
    <w:rsid w:val="00D2293F"/>
    <w:rsid w:val="00D23BDF"/>
    <w:rsid w:val="00D25207"/>
    <w:rsid w:val="00D252E0"/>
    <w:rsid w:val="00D264A4"/>
    <w:rsid w:val="00D26B02"/>
    <w:rsid w:val="00D26DA5"/>
    <w:rsid w:val="00D30E5D"/>
    <w:rsid w:val="00D310C9"/>
    <w:rsid w:val="00D316E9"/>
    <w:rsid w:val="00D32418"/>
    <w:rsid w:val="00D32767"/>
    <w:rsid w:val="00D32786"/>
    <w:rsid w:val="00D32C89"/>
    <w:rsid w:val="00D349B4"/>
    <w:rsid w:val="00D34E77"/>
    <w:rsid w:val="00D35018"/>
    <w:rsid w:val="00D357A6"/>
    <w:rsid w:val="00D367C8"/>
    <w:rsid w:val="00D370AC"/>
    <w:rsid w:val="00D372D9"/>
    <w:rsid w:val="00D44EC2"/>
    <w:rsid w:val="00D45EB5"/>
    <w:rsid w:val="00D45EFC"/>
    <w:rsid w:val="00D474FC"/>
    <w:rsid w:val="00D50C54"/>
    <w:rsid w:val="00D513A5"/>
    <w:rsid w:val="00D51BD1"/>
    <w:rsid w:val="00D520DA"/>
    <w:rsid w:val="00D52984"/>
    <w:rsid w:val="00D53623"/>
    <w:rsid w:val="00D553B3"/>
    <w:rsid w:val="00D55690"/>
    <w:rsid w:val="00D55CB0"/>
    <w:rsid w:val="00D55D8F"/>
    <w:rsid w:val="00D56C52"/>
    <w:rsid w:val="00D60EC4"/>
    <w:rsid w:val="00D620CA"/>
    <w:rsid w:val="00D62244"/>
    <w:rsid w:val="00D631B3"/>
    <w:rsid w:val="00D63289"/>
    <w:rsid w:val="00D63C5D"/>
    <w:rsid w:val="00D64A25"/>
    <w:rsid w:val="00D65F16"/>
    <w:rsid w:val="00D672BA"/>
    <w:rsid w:val="00D679A8"/>
    <w:rsid w:val="00D70DC9"/>
    <w:rsid w:val="00D72375"/>
    <w:rsid w:val="00D7362F"/>
    <w:rsid w:val="00D73CAB"/>
    <w:rsid w:val="00D75280"/>
    <w:rsid w:val="00D76161"/>
    <w:rsid w:val="00D76D81"/>
    <w:rsid w:val="00D771E8"/>
    <w:rsid w:val="00D77970"/>
    <w:rsid w:val="00D77E20"/>
    <w:rsid w:val="00D8300A"/>
    <w:rsid w:val="00D847E3"/>
    <w:rsid w:val="00D84CE8"/>
    <w:rsid w:val="00D85718"/>
    <w:rsid w:val="00D86802"/>
    <w:rsid w:val="00D86812"/>
    <w:rsid w:val="00D868F0"/>
    <w:rsid w:val="00D9095C"/>
    <w:rsid w:val="00D90B59"/>
    <w:rsid w:val="00D90D1B"/>
    <w:rsid w:val="00D91FC5"/>
    <w:rsid w:val="00D9267D"/>
    <w:rsid w:val="00D93F0A"/>
    <w:rsid w:val="00D94B34"/>
    <w:rsid w:val="00D9550C"/>
    <w:rsid w:val="00D964F4"/>
    <w:rsid w:val="00D97A1B"/>
    <w:rsid w:val="00D97C54"/>
    <w:rsid w:val="00DA01E7"/>
    <w:rsid w:val="00DA0792"/>
    <w:rsid w:val="00DA1182"/>
    <w:rsid w:val="00DA4B24"/>
    <w:rsid w:val="00DA4B4F"/>
    <w:rsid w:val="00DA5601"/>
    <w:rsid w:val="00DA6985"/>
    <w:rsid w:val="00DA70F0"/>
    <w:rsid w:val="00DB13BE"/>
    <w:rsid w:val="00DB1573"/>
    <w:rsid w:val="00DB3DBB"/>
    <w:rsid w:val="00DB4276"/>
    <w:rsid w:val="00DB46DD"/>
    <w:rsid w:val="00DB4729"/>
    <w:rsid w:val="00DB4AA3"/>
    <w:rsid w:val="00DB4AC8"/>
    <w:rsid w:val="00DB5434"/>
    <w:rsid w:val="00DB55BB"/>
    <w:rsid w:val="00DB5614"/>
    <w:rsid w:val="00DB725C"/>
    <w:rsid w:val="00DC0320"/>
    <w:rsid w:val="00DC3A08"/>
    <w:rsid w:val="00DC4F7B"/>
    <w:rsid w:val="00DC57FB"/>
    <w:rsid w:val="00DC7027"/>
    <w:rsid w:val="00DC7304"/>
    <w:rsid w:val="00DD067B"/>
    <w:rsid w:val="00DD118A"/>
    <w:rsid w:val="00DD2208"/>
    <w:rsid w:val="00DD25AA"/>
    <w:rsid w:val="00DD473F"/>
    <w:rsid w:val="00DD5315"/>
    <w:rsid w:val="00DD7241"/>
    <w:rsid w:val="00DE1353"/>
    <w:rsid w:val="00DE1ACE"/>
    <w:rsid w:val="00DE21B5"/>
    <w:rsid w:val="00DE2B54"/>
    <w:rsid w:val="00DE2E34"/>
    <w:rsid w:val="00DE2EAD"/>
    <w:rsid w:val="00DE3CB8"/>
    <w:rsid w:val="00DE42ED"/>
    <w:rsid w:val="00DE43BA"/>
    <w:rsid w:val="00DE465E"/>
    <w:rsid w:val="00DE47AD"/>
    <w:rsid w:val="00DE48F8"/>
    <w:rsid w:val="00DE5561"/>
    <w:rsid w:val="00DF05E9"/>
    <w:rsid w:val="00DF2738"/>
    <w:rsid w:val="00DF294A"/>
    <w:rsid w:val="00DF2BC8"/>
    <w:rsid w:val="00DF4018"/>
    <w:rsid w:val="00DF6F52"/>
    <w:rsid w:val="00E0124B"/>
    <w:rsid w:val="00E01D8D"/>
    <w:rsid w:val="00E024D6"/>
    <w:rsid w:val="00E0442C"/>
    <w:rsid w:val="00E044EC"/>
    <w:rsid w:val="00E04529"/>
    <w:rsid w:val="00E0731E"/>
    <w:rsid w:val="00E07635"/>
    <w:rsid w:val="00E104F3"/>
    <w:rsid w:val="00E10B49"/>
    <w:rsid w:val="00E11837"/>
    <w:rsid w:val="00E128E2"/>
    <w:rsid w:val="00E12B8B"/>
    <w:rsid w:val="00E12D20"/>
    <w:rsid w:val="00E13148"/>
    <w:rsid w:val="00E14C06"/>
    <w:rsid w:val="00E154DC"/>
    <w:rsid w:val="00E15970"/>
    <w:rsid w:val="00E15C68"/>
    <w:rsid w:val="00E161CF"/>
    <w:rsid w:val="00E16356"/>
    <w:rsid w:val="00E16B60"/>
    <w:rsid w:val="00E16D73"/>
    <w:rsid w:val="00E203E3"/>
    <w:rsid w:val="00E2131B"/>
    <w:rsid w:val="00E2139B"/>
    <w:rsid w:val="00E21935"/>
    <w:rsid w:val="00E248A7"/>
    <w:rsid w:val="00E24DD6"/>
    <w:rsid w:val="00E27C0D"/>
    <w:rsid w:val="00E307AE"/>
    <w:rsid w:val="00E325F0"/>
    <w:rsid w:val="00E32BC8"/>
    <w:rsid w:val="00E34BB2"/>
    <w:rsid w:val="00E35992"/>
    <w:rsid w:val="00E35BA1"/>
    <w:rsid w:val="00E35BA8"/>
    <w:rsid w:val="00E36165"/>
    <w:rsid w:val="00E36736"/>
    <w:rsid w:val="00E373F7"/>
    <w:rsid w:val="00E37B34"/>
    <w:rsid w:val="00E40F95"/>
    <w:rsid w:val="00E4195F"/>
    <w:rsid w:val="00E440FD"/>
    <w:rsid w:val="00E4431B"/>
    <w:rsid w:val="00E45304"/>
    <w:rsid w:val="00E459AA"/>
    <w:rsid w:val="00E46986"/>
    <w:rsid w:val="00E47814"/>
    <w:rsid w:val="00E51815"/>
    <w:rsid w:val="00E532AF"/>
    <w:rsid w:val="00E54963"/>
    <w:rsid w:val="00E54DF5"/>
    <w:rsid w:val="00E563DC"/>
    <w:rsid w:val="00E60C36"/>
    <w:rsid w:val="00E61C38"/>
    <w:rsid w:val="00E62185"/>
    <w:rsid w:val="00E640B7"/>
    <w:rsid w:val="00E64481"/>
    <w:rsid w:val="00E659FF"/>
    <w:rsid w:val="00E65F0D"/>
    <w:rsid w:val="00E65F3F"/>
    <w:rsid w:val="00E703F0"/>
    <w:rsid w:val="00E7053E"/>
    <w:rsid w:val="00E713B5"/>
    <w:rsid w:val="00E7144B"/>
    <w:rsid w:val="00E729D9"/>
    <w:rsid w:val="00E73DEA"/>
    <w:rsid w:val="00E751A0"/>
    <w:rsid w:val="00E755B1"/>
    <w:rsid w:val="00E80801"/>
    <w:rsid w:val="00E80892"/>
    <w:rsid w:val="00E81262"/>
    <w:rsid w:val="00E81369"/>
    <w:rsid w:val="00E83C85"/>
    <w:rsid w:val="00E84FAB"/>
    <w:rsid w:val="00E862E7"/>
    <w:rsid w:val="00E90006"/>
    <w:rsid w:val="00E90478"/>
    <w:rsid w:val="00E904CA"/>
    <w:rsid w:val="00E91212"/>
    <w:rsid w:val="00E91312"/>
    <w:rsid w:val="00E916E1"/>
    <w:rsid w:val="00E91FE7"/>
    <w:rsid w:val="00E91FEE"/>
    <w:rsid w:val="00E92432"/>
    <w:rsid w:val="00E92724"/>
    <w:rsid w:val="00E929BD"/>
    <w:rsid w:val="00E9398F"/>
    <w:rsid w:val="00E94AA5"/>
    <w:rsid w:val="00E955F7"/>
    <w:rsid w:val="00E97B05"/>
    <w:rsid w:val="00E97C4B"/>
    <w:rsid w:val="00EA0249"/>
    <w:rsid w:val="00EA0F17"/>
    <w:rsid w:val="00EA2E47"/>
    <w:rsid w:val="00EA34A2"/>
    <w:rsid w:val="00EA3841"/>
    <w:rsid w:val="00EA3B63"/>
    <w:rsid w:val="00EA47F6"/>
    <w:rsid w:val="00EA519C"/>
    <w:rsid w:val="00EA5ABB"/>
    <w:rsid w:val="00EA5AEE"/>
    <w:rsid w:val="00EA6B99"/>
    <w:rsid w:val="00EA6BB2"/>
    <w:rsid w:val="00EA78B5"/>
    <w:rsid w:val="00EB1E6A"/>
    <w:rsid w:val="00EB6350"/>
    <w:rsid w:val="00EC0169"/>
    <w:rsid w:val="00EC0AD9"/>
    <w:rsid w:val="00EC0BFA"/>
    <w:rsid w:val="00EC0F74"/>
    <w:rsid w:val="00EC2ED3"/>
    <w:rsid w:val="00EC3B2F"/>
    <w:rsid w:val="00EC4E8F"/>
    <w:rsid w:val="00EC6156"/>
    <w:rsid w:val="00EC64F5"/>
    <w:rsid w:val="00EC7E00"/>
    <w:rsid w:val="00EC7FF3"/>
    <w:rsid w:val="00ED0407"/>
    <w:rsid w:val="00ED34CE"/>
    <w:rsid w:val="00ED41F8"/>
    <w:rsid w:val="00ED4DAD"/>
    <w:rsid w:val="00ED5025"/>
    <w:rsid w:val="00ED510A"/>
    <w:rsid w:val="00ED51E8"/>
    <w:rsid w:val="00ED544D"/>
    <w:rsid w:val="00ED5811"/>
    <w:rsid w:val="00ED7744"/>
    <w:rsid w:val="00EE0E89"/>
    <w:rsid w:val="00EE1202"/>
    <w:rsid w:val="00EE15D5"/>
    <w:rsid w:val="00EE183C"/>
    <w:rsid w:val="00EE3F34"/>
    <w:rsid w:val="00EE4848"/>
    <w:rsid w:val="00EE48B1"/>
    <w:rsid w:val="00EE5659"/>
    <w:rsid w:val="00EE5793"/>
    <w:rsid w:val="00EE60D2"/>
    <w:rsid w:val="00EE6CEB"/>
    <w:rsid w:val="00EE6EFB"/>
    <w:rsid w:val="00EF2B69"/>
    <w:rsid w:val="00EF3A1A"/>
    <w:rsid w:val="00EF4480"/>
    <w:rsid w:val="00EF4D25"/>
    <w:rsid w:val="00EF6D7D"/>
    <w:rsid w:val="00EF79B8"/>
    <w:rsid w:val="00EF7C78"/>
    <w:rsid w:val="00F00B2D"/>
    <w:rsid w:val="00F00DE8"/>
    <w:rsid w:val="00F0115F"/>
    <w:rsid w:val="00F0141E"/>
    <w:rsid w:val="00F01CFE"/>
    <w:rsid w:val="00F0297B"/>
    <w:rsid w:val="00F037C9"/>
    <w:rsid w:val="00F03BEC"/>
    <w:rsid w:val="00F05A6C"/>
    <w:rsid w:val="00F061B5"/>
    <w:rsid w:val="00F07ACE"/>
    <w:rsid w:val="00F10B31"/>
    <w:rsid w:val="00F11016"/>
    <w:rsid w:val="00F11E82"/>
    <w:rsid w:val="00F131FC"/>
    <w:rsid w:val="00F13408"/>
    <w:rsid w:val="00F162E2"/>
    <w:rsid w:val="00F204C7"/>
    <w:rsid w:val="00F20931"/>
    <w:rsid w:val="00F214F0"/>
    <w:rsid w:val="00F21F5D"/>
    <w:rsid w:val="00F22D95"/>
    <w:rsid w:val="00F23909"/>
    <w:rsid w:val="00F23D9D"/>
    <w:rsid w:val="00F240A7"/>
    <w:rsid w:val="00F2424D"/>
    <w:rsid w:val="00F24369"/>
    <w:rsid w:val="00F26D60"/>
    <w:rsid w:val="00F26EBA"/>
    <w:rsid w:val="00F273A6"/>
    <w:rsid w:val="00F30C89"/>
    <w:rsid w:val="00F30E2B"/>
    <w:rsid w:val="00F30E8E"/>
    <w:rsid w:val="00F333CB"/>
    <w:rsid w:val="00F347C7"/>
    <w:rsid w:val="00F34C53"/>
    <w:rsid w:val="00F35D25"/>
    <w:rsid w:val="00F366AF"/>
    <w:rsid w:val="00F36F26"/>
    <w:rsid w:val="00F37036"/>
    <w:rsid w:val="00F3755F"/>
    <w:rsid w:val="00F40119"/>
    <w:rsid w:val="00F40951"/>
    <w:rsid w:val="00F4098E"/>
    <w:rsid w:val="00F4114F"/>
    <w:rsid w:val="00F42AE0"/>
    <w:rsid w:val="00F42B1A"/>
    <w:rsid w:val="00F43CF5"/>
    <w:rsid w:val="00F512F0"/>
    <w:rsid w:val="00F51FD2"/>
    <w:rsid w:val="00F5260E"/>
    <w:rsid w:val="00F52865"/>
    <w:rsid w:val="00F5287C"/>
    <w:rsid w:val="00F5493E"/>
    <w:rsid w:val="00F54FDC"/>
    <w:rsid w:val="00F567CE"/>
    <w:rsid w:val="00F601C5"/>
    <w:rsid w:val="00F603AF"/>
    <w:rsid w:val="00F60BF6"/>
    <w:rsid w:val="00F61D51"/>
    <w:rsid w:val="00F61EF6"/>
    <w:rsid w:val="00F65C74"/>
    <w:rsid w:val="00F66236"/>
    <w:rsid w:val="00F70DCD"/>
    <w:rsid w:val="00F70F6F"/>
    <w:rsid w:val="00F7104B"/>
    <w:rsid w:val="00F715AE"/>
    <w:rsid w:val="00F7209F"/>
    <w:rsid w:val="00F7585E"/>
    <w:rsid w:val="00F77951"/>
    <w:rsid w:val="00F803CE"/>
    <w:rsid w:val="00F81E38"/>
    <w:rsid w:val="00F829AE"/>
    <w:rsid w:val="00F84663"/>
    <w:rsid w:val="00F92AE6"/>
    <w:rsid w:val="00F95581"/>
    <w:rsid w:val="00F958E5"/>
    <w:rsid w:val="00F9610D"/>
    <w:rsid w:val="00F96179"/>
    <w:rsid w:val="00F97040"/>
    <w:rsid w:val="00FA0880"/>
    <w:rsid w:val="00FA09F3"/>
    <w:rsid w:val="00FA0E73"/>
    <w:rsid w:val="00FA0E7E"/>
    <w:rsid w:val="00FA40C4"/>
    <w:rsid w:val="00FA4679"/>
    <w:rsid w:val="00FA575B"/>
    <w:rsid w:val="00FA589A"/>
    <w:rsid w:val="00FA75C8"/>
    <w:rsid w:val="00FA7F18"/>
    <w:rsid w:val="00FB10E7"/>
    <w:rsid w:val="00FB140C"/>
    <w:rsid w:val="00FB17C7"/>
    <w:rsid w:val="00FB1E27"/>
    <w:rsid w:val="00FB2342"/>
    <w:rsid w:val="00FB2CCA"/>
    <w:rsid w:val="00FB3D89"/>
    <w:rsid w:val="00FB4CDD"/>
    <w:rsid w:val="00FC083B"/>
    <w:rsid w:val="00FC0CE5"/>
    <w:rsid w:val="00FC1323"/>
    <w:rsid w:val="00FC15C6"/>
    <w:rsid w:val="00FC1AF4"/>
    <w:rsid w:val="00FC2D57"/>
    <w:rsid w:val="00FC4357"/>
    <w:rsid w:val="00FC4C02"/>
    <w:rsid w:val="00FC74E0"/>
    <w:rsid w:val="00FC7508"/>
    <w:rsid w:val="00FC7671"/>
    <w:rsid w:val="00FD119B"/>
    <w:rsid w:val="00FD163D"/>
    <w:rsid w:val="00FD223E"/>
    <w:rsid w:val="00FD2C6F"/>
    <w:rsid w:val="00FD2CA3"/>
    <w:rsid w:val="00FD2D2E"/>
    <w:rsid w:val="00FD347D"/>
    <w:rsid w:val="00FD4828"/>
    <w:rsid w:val="00FD5017"/>
    <w:rsid w:val="00FD5A31"/>
    <w:rsid w:val="00FD5B54"/>
    <w:rsid w:val="00FD7AC8"/>
    <w:rsid w:val="00FE0E30"/>
    <w:rsid w:val="00FE24FB"/>
    <w:rsid w:val="00FE2B3D"/>
    <w:rsid w:val="00FE2C23"/>
    <w:rsid w:val="00FE3E2B"/>
    <w:rsid w:val="00FE4027"/>
    <w:rsid w:val="00FE4F87"/>
    <w:rsid w:val="00FE5814"/>
    <w:rsid w:val="00FE635E"/>
    <w:rsid w:val="00FE72D7"/>
    <w:rsid w:val="00FF1026"/>
    <w:rsid w:val="00FF117F"/>
    <w:rsid w:val="00FF3266"/>
    <w:rsid w:val="00FF4583"/>
    <w:rsid w:val="00FF4791"/>
    <w:rsid w:val="00FF609B"/>
    <w:rsid w:val="00FF6D0B"/>
    <w:rsid w:val="00FF70B1"/>
    <w:rsid w:val="00FF76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6A14"/>
  <w15:docId w15:val="{97E2F3A8-FBF3-4F87-9A50-7F206B50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C0"/>
    <w:pPr>
      <w:spacing w:after="0" w:line="240" w:lineRule="auto"/>
    </w:pPr>
    <w:rPr>
      <w:rFonts w:eastAsia="Times New Roman" w:cs="Times New Roman"/>
      <w:szCs w:val="24"/>
      <w:lang w:eastAsia="hr-HR"/>
    </w:rPr>
  </w:style>
  <w:style w:type="paragraph" w:styleId="Naslov1">
    <w:name w:val="heading 1"/>
    <w:basedOn w:val="Normal"/>
    <w:next w:val="Normal"/>
    <w:link w:val="Naslov1Char"/>
    <w:uiPriority w:val="99"/>
    <w:qFormat/>
    <w:rsid w:val="002473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nhideWhenUsed/>
    <w:qFormat/>
    <w:rsid w:val="002473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247391"/>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9"/>
    <w:qFormat/>
    <w:rsid w:val="00DC3A08"/>
    <w:pPr>
      <w:keepNext/>
      <w:outlineLvl w:val="3"/>
    </w:pPr>
    <w:rPr>
      <w:rFonts w:ascii="Arial" w:hAnsi="Arial" w:cs="Arial"/>
      <w:b/>
      <w:bCs/>
      <w:lang w:val="en-GB"/>
    </w:rPr>
  </w:style>
  <w:style w:type="paragraph" w:styleId="Naslov5">
    <w:name w:val="heading 5"/>
    <w:basedOn w:val="Normal"/>
    <w:next w:val="Normal"/>
    <w:link w:val="Naslov5Char"/>
    <w:unhideWhenUsed/>
    <w:qFormat/>
    <w:rsid w:val="00DC3A08"/>
    <w:pPr>
      <w:keepNext/>
      <w:keepLines/>
      <w:spacing w:before="200"/>
      <w:outlineLvl w:val="4"/>
    </w:pPr>
    <w:rPr>
      <w:rFonts w:ascii="Arial" w:hAnsi="Arial"/>
      <w:color w:val="000000"/>
      <w:sz w:val="22"/>
    </w:rPr>
  </w:style>
  <w:style w:type="paragraph" w:styleId="Naslov6">
    <w:name w:val="heading 6"/>
    <w:basedOn w:val="Normal"/>
    <w:next w:val="Normal"/>
    <w:link w:val="Naslov6Char"/>
    <w:qFormat/>
    <w:rsid w:val="00915EC7"/>
    <w:pPr>
      <w:keepNext/>
      <w:overflowPunct w:val="0"/>
      <w:autoSpaceDE w:val="0"/>
      <w:autoSpaceDN w:val="0"/>
      <w:adjustRightInd w:val="0"/>
      <w:jc w:val="both"/>
      <w:textAlignment w:val="baseline"/>
      <w:outlineLvl w:val="5"/>
    </w:pPr>
    <w:rPr>
      <w:b/>
      <w:bCs/>
      <w:szCs w:val="20"/>
      <w:lang w:val="en-GB"/>
    </w:rPr>
  </w:style>
  <w:style w:type="paragraph" w:styleId="Naslov7">
    <w:name w:val="heading 7"/>
    <w:basedOn w:val="Normal"/>
    <w:next w:val="Normal"/>
    <w:link w:val="Naslov7Char"/>
    <w:uiPriority w:val="99"/>
    <w:qFormat/>
    <w:rsid w:val="00DC3A08"/>
    <w:pPr>
      <w:keepNext/>
      <w:outlineLvl w:val="6"/>
    </w:pPr>
    <w:rPr>
      <w:rFonts w:ascii="Arial" w:hAnsi="Arial" w:cs="Arial"/>
      <w:b/>
      <w:bCs/>
      <w:sz w:val="22"/>
    </w:rPr>
  </w:style>
  <w:style w:type="paragraph" w:styleId="Naslov8">
    <w:name w:val="heading 8"/>
    <w:basedOn w:val="Normal"/>
    <w:next w:val="Normal"/>
    <w:link w:val="Naslov8Char"/>
    <w:uiPriority w:val="9"/>
    <w:semiHidden/>
    <w:unhideWhenUsed/>
    <w:qFormat/>
    <w:rsid w:val="004B5128"/>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9"/>
    <w:qFormat/>
    <w:rsid w:val="00DC3A08"/>
    <w:pPr>
      <w:spacing w:before="240" w:after="60"/>
      <w:outlineLvl w:val="8"/>
    </w:pPr>
    <w:rPr>
      <w:rFonts w:ascii="Arial" w:hAnsi="Arial" w:cs="Arial"/>
      <w:sz w:val="22"/>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99"/>
    <w:rsid w:val="00247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9"/>
    <w:rsid w:val="00247391"/>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rsid w:val="00247391"/>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247391"/>
    <w:rPr>
      <w:rFonts w:asciiTheme="majorHAnsi" w:eastAsiaTheme="majorEastAsia" w:hAnsiTheme="majorHAnsi" w:cstheme="majorBidi"/>
      <w:color w:val="1F4D78" w:themeColor="accent1" w:themeShade="7F"/>
      <w:szCs w:val="24"/>
    </w:rPr>
  </w:style>
  <w:style w:type="paragraph" w:styleId="TOCNaslov">
    <w:name w:val="TOC Heading"/>
    <w:basedOn w:val="Naslov1"/>
    <w:next w:val="Normal"/>
    <w:uiPriority w:val="39"/>
    <w:unhideWhenUsed/>
    <w:qFormat/>
    <w:rsid w:val="00DC3A08"/>
    <w:pPr>
      <w:outlineLvl w:val="9"/>
    </w:pPr>
  </w:style>
  <w:style w:type="paragraph" w:styleId="Sadraj1">
    <w:name w:val="toc 1"/>
    <w:basedOn w:val="Normal"/>
    <w:next w:val="Normal"/>
    <w:autoRedefine/>
    <w:uiPriority w:val="39"/>
    <w:unhideWhenUsed/>
    <w:rsid w:val="00DF05E9"/>
    <w:pPr>
      <w:tabs>
        <w:tab w:val="right" w:leader="dot" w:pos="9004"/>
      </w:tabs>
      <w:spacing w:before="536" w:after="100"/>
    </w:pPr>
    <w:rPr>
      <w:rFonts w:ascii="Arial" w:hAnsi="Arial" w:cs="Arial"/>
      <w:b/>
      <w:bCs/>
      <w:sz w:val="22"/>
    </w:rPr>
  </w:style>
  <w:style w:type="paragraph" w:styleId="Sadraj2">
    <w:name w:val="toc 2"/>
    <w:basedOn w:val="Normal"/>
    <w:next w:val="Normal"/>
    <w:autoRedefine/>
    <w:uiPriority w:val="39"/>
    <w:unhideWhenUsed/>
    <w:rsid w:val="0019660D"/>
    <w:pPr>
      <w:tabs>
        <w:tab w:val="right" w:leader="dot" w:pos="9062"/>
      </w:tabs>
      <w:spacing w:after="100"/>
      <w:ind w:left="240"/>
    </w:pPr>
    <w:rPr>
      <w:rFonts w:ascii="Arial" w:hAnsi="Arial" w:cs="Arial"/>
      <w:sz w:val="22"/>
    </w:rPr>
  </w:style>
  <w:style w:type="paragraph" w:styleId="Sadraj3">
    <w:name w:val="toc 3"/>
    <w:basedOn w:val="Normal"/>
    <w:next w:val="Normal"/>
    <w:autoRedefine/>
    <w:uiPriority w:val="39"/>
    <w:unhideWhenUsed/>
    <w:rsid w:val="00B34949"/>
    <w:pPr>
      <w:tabs>
        <w:tab w:val="right" w:leader="dot" w:pos="9062"/>
      </w:tabs>
      <w:spacing w:after="100"/>
    </w:pPr>
    <w:rPr>
      <w:rFonts w:ascii="Arial" w:eastAsiaTheme="minorEastAsia" w:hAnsi="Arial" w:cs="Arial"/>
      <w:noProof/>
      <w:sz w:val="22"/>
    </w:rPr>
  </w:style>
  <w:style w:type="character" w:styleId="Hiperveza">
    <w:name w:val="Hyperlink"/>
    <w:basedOn w:val="Zadanifontodlomka"/>
    <w:uiPriority w:val="99"/>
    <w:unhideWhenUsed/>
    <w:rsid w:val="00DC3A08"/>
    <w:rPr>
      <w:color w:val="0563C1" w:themeColor="hyperlink"/>
      <w:u w:val="single"/>
    </w:rPr>
  </w:style>
  <w:style w:type="paragraph" w:styleId="Odlomakpopisa">
    <w:name w:val="List Paragraph"/>
    <w:basedOn w:val="Normal"/>
    <w:uiPriority w:val="34"/>
    <w:qFormat/>
    <w:rsid w:val="00DC3A08"/>
    <w:pPr>
      <w:spacing w:after="200" w:line="276" w:lineRule="auto"/>
      <w:ind w:left="720"/>
      <w:contextualSpacing/>
    </w:pPr>
    <w:rPr>
      <w:rFonts w:ascii="Calibri" w:eastAsia="Calibri" w:hAnsi="Calibri"/>
      <w:sz w:val="22"/>
    </w:rPr>
  </w:style>
  <w:style w:type="character" w:customStyle="1" w:styleId="Naslov4Char">
    <w:name w:val="Naslov 4 Char"/>
    <w:basedOn w:val="Zadanifontodlomka"/>
    <w:link w:val="Naslov4"/>
    <w:uiPriority w:val="99"/>
    <w:rsid w:val="00DC3A08"/>
    <w:rPr>
      <w:rFonts w:ascii="Arial" w:eastAsia="Times New Roman" w:hAnsi="Arial" w:cs="Arial"/>
      <w:b/>
      <w:bCs/>
      <w:szCs w:val="24"/>
      <w:lang w:val="en-GB"/>
    </w:rPr>
  </w:style>
  <w:style w:type="character" w:customStyle="1" w:styleId="Naslov5Char">
    <w:name w:val="Naslov 5 Char"/>
    <w:basedOn w:val="Zadanifontodlomka"/>
    <w:link w:val="Naslov5"/>
    <w:rsid w:val="00DC3A08"/>
    <w:rPr>
      <w:rFonts w:ascii="Arial" w:eastAsia="Times New Roman" w:hAnsi="Arial" w:cs="Times New Roman"/>
      <w:color w:val="000000"/>
      <w:sz w:val="22"/>
    </w:rPr>
  </w:style>
  <w:style w:type="character" w:customStyle="1" w:styleId="Naslov7Char">
    <w:name w:val="Naslov 7 Char"/>
    <w:basedOn w:val="Zadanifontodlomka"/>
    <w:link w:val="Naslov7"/>
    <w:uiPriority w:val="99"/>
    <w:rsid w:val="00DC3A08"/>
    <w:rPr>
      <w:rFonts w:ascii="Arial" w:eastAsia="Times New Roman" w:hAnsi="Arial" w:cs="Arial"/>
      <w:b/>
      <w:bCs/>
      <w:sz w:val="22"/>
      <w:szCs w:val="24"/>
    </w:rPr>
  </w:style>
  <w:style w:type="character" w:customStyle="1" w:styleId="Naslov9Char">
    <w:name w:val="Naslov 9 Char"/>
    <w:basedOn w:val="Zadanifontodlomka"/>
    <w:link w:val="Naslov9"/>
    <w:uiPriority w:val="99"/>
    <w:rsid w:val="00DC3A08"/>
    <w:rPr>
      <w:rFonts w:ascii="Arial" w:eastAsia="Times New Roman" w:hAnsi="Arial" w:cs="Arial"/>
      <w:sz w:val="22"/>
      <w:lang w:val="en-GB"/>
    </w:rPr>
  </w:style>
  <w:style w:type="paragraph" w:styleId="Tijeloteksta">
    <w:name w:val="Body Text"/>
    <w:basedOn w:val="Normal"/>
    <w:link w:val="TijelotekstaChar"/>
    <w:rsid w:val="00DC3A08"/>
    <w:pPr>
      <w:jc w:val="both"/>
    </w:pPr>
  </w:style>
  <w:style w:type="character" w:customStyle="1" w:styleId="TijelotekstaChar">
    <w:name w:val="Tijelo teksta Char"/>
    <w:basedOn w:val="Zadanifontodlomka"/>
    <w:link w:val="Tijeloteksta"/>
    <w:rsid w:val="00DC3A08"/>
    <w:rPr>
      <w:rFonts w:eastAsia="Times New Roman" w:cs="Times New Roman"/>
      <w:szCs w:val="24"/>
    </w:rPr>
  </w:style>
  <w:style w:type="paragraph" w:styleId="Uvuenotijeloteksta">
    <w:name w:val="Body Text Indent"/>
    <w:basedOn w:val="Normal"/>
    <w:link w:val="UvuenotijelotekstaChar"/>
    <w:uiPriority w:val="99"/>
    <w:semiHidden/>
    <w:rsid w:val="00DC3A08"/>
    <w:pPr>
      <w:ind w:firstLine="360"/>
      <w:jc w:val="both"/>
    </w:pPr>
  </w:style>
  <w:style w:type="character" w:customStyle="1" w:styleId="UvuenotijelotekstaChar">
    <w:name w:val="Uvučeno tijelo teksta Char"/>
    <w:basedOn w:val="Zadanifontodlomka"/>
    <w:link w:val="Uvuenotijeloteksta"/>
    <w:uiPriority w:val="99"/>
    <w:semiHidden/>
    <w:rsid w:val="00DC3A08"/>
    <w:rPr>
      <w:rFonts w:eastAsia="Times New Roman" w:cs="Times New Roman"/>
      <w:szCs w:val="24"/>
    </w:rPr>
  </w:style>
  <w:style w:type="paragraph" w:styleId="Tekstbalonia">
    <w:name w:val="Balloon Text"/>
    <w:basedOn w:val="Normal"/>
    <w:link w:val="TekstbaloniaChar"/>
    <w:uiPriority w:val="99"/>
    <w:unhideWhenUsed/>
    <w:rsid w:val="00DC3A08"/>
    <w:rPr>
      <w:rFonts w:ascii="Tahoma" w:hAnsi="Tahoma" w:cs="Tahoma"/>
      <w:sz w:val="16"/>
      <w:szCs w:val="16"/>
      <w:lang w:val="en-GB"/>
    </w:rPr>
  </w:style>
  <w:style w:type="character" w:customStyle="1" w:styleId="TekstbaloniaChar">
    <w:name w:val="Tekst balončića Char"/>
    <w:basedOn w:val="Zadanifontodlomka"/>
    <w:link w:val="Tekstbalonia"/>
    <w:uiPriority w:val="99"/>
    <w:rsid w:val="00DC3A08"/>
    <w:rPr>
      <w:rFonts w:ascii="Tahoma" w:eastAsia="Times New Roman" w:hAnsi="Tahoma" w:cs="Tahoma"/>
      <w:sz w:val="16"/>
      <w:szCs w:val="16"/>
      <w:lang w:val="en-GB"/>
    </w:rPr>
  </w:style>
  <w:style w:type="paragraph" w:styleId="Bezproreda">
    <w:name w:val="No Spacing"/>
    <w:link w:val="BezproredaChar"/>
    <w:uiPriority w:val="1"/>
    <w:qFormat/>
    <w:rsid w:val="00DC3A08"/>
    <w:pPr>
      <w:spacing w:after="0" w:line="240" w:lineRule="auto"/>
    </w:pPr>
    <w:rPr>
      <w:rFonts w:ascii="Calibri" w:eastAsia="Calibri" w:hAnsi="Calibri" w:cs="Times New Roman"/>
      <w:sz w:val="22"/>
    </w:rPr>
  </w:style>
  <w:style w:type="character" w:customStyle="1" w:styleId="BezproredaChar">
    <w:name w:val="Bez proreda Char"/>
    <w:link w:val="Bezproreda"/>
    <w:uiPriority w:val="1"/>
    <w:qFormat/>
    <w:locked/>
    <w:rsid w:val="00DC3A08"/>
    <w:rPr>
      <w:rFonts w:ascii="Calibri" w:eastAsia="Calibri" w:hAnsi="Calibri" w:cs="Times New Roman"/>
      <w:sz w:val="22"/>
    </w:rPr>
  </w:style>
  <w:style w:type="paragraph" w:customStyle="1" w:styleId="Default">
    <w:name w:val="Default"/>
    <w:rsid w:val="00DC3A08"/>
    <w:pPr>
      <w:autoSpaceDE w:val="0"/>
      <w:autoSpaceDN w:val="0"/>
      <w:adjustRightInd w:val="0"/>
      <w:spacing w:after="0" w:line="240" w:lineRule="auto"/>
    </w:pPr>
    <w:rPr>
      <w:rFonts w:ascii="Arial" w:hAnsi="Arial" w:cs="Arial"/>
      <w:color w:val="000000"/>
      <w:szCs w:val="24"/>
    </w:rPr>
  </w:style>
  <w:style w:type="paragraph" w:styleId="StandardWeb">
    <w:name w:val="Normal (Web)"/>
    <w:basedOn w:val="Normal"/>
    <w:uiPriority w:val="99"/>
    <w:unhideWhenUsed/>
    <w:qFormat/>
    <w:rsid w:val="00DC3A08"/>
    <w:pPr>
      <w:spacing w:before="100" w:beforeAutospacing="1" w:after="100" w:afterAutospacing="1"/>
    </w:pPr>
    <w:rPr>
      <w:color w:val="000000"/>
    </w:rPr>
  </w:style>
  <w:style w:type="character" w:styleId="Naglaeno">
    <w:name w:val="Strong"/>
    <w:basedOn w:val="Zadanifontodlomka"/>
    <w:uiPriority w:val="22"/>
    <w:qFormat/>
    <w:rsid w:val="00DC3A08"/>
    <w:rPr>
      <w:b/>
      <w:bCs/>
    </w:rPr>
  </w:style>
  <w:style w:type="paragraph" w:customStyle="1" w:styleId="Standard">
    <w:name w:val="Standard"/>
    <w:rsid w:val="00DC3A08"/>
    <w:pPr>
      <w:widowControl w:val="0"/>
      <w:suppressAutoHyphens/>
      <w:autoSpaceDN w:val="0"/>
      <w:spacing w:after="0" w:line="240" w:lineRule="auto"/>
      <w:textAlignment w:val="baseline"/>
    </w:pPr>
    <w:rPr>
      <w:rFonts w:ascii="Liberation Serif" w:eastAsia="SimSun" w:hAnsi="Liberation Serif" w:cs="Mangal"/>
      <w:kern w:val="3"/>
      <w:szCs w:val="24"/>
      <w:lang w:eastAsia="zh-CN" w:bidi="hi-IN"/>
    </w:rPr>
  </w:style>
  <w:style w:type="paragraph" w:customStyle="1" w:styleId="Heading51">
    <w:name w:val="Heading 51"/>
    <w:basedOn w:val="Normal"/>
    <w:next w:val="Normal"/>
    <w:unhideWhenUsed/>
    <w:qFormat/>
    <w:rsid w:val="00DC3A08"/>
    <w:pPr>
      <w:keepNext/>
      <w:keepLines/>
      <w:spacing w:before="200" w:line="276" w:lineRule="auto"/>
      <w:outlineLvl w:val="4"/>
    </w:pPr>
    <w:rPr>
      <w:rFonts w:ascii="Arial" w:hAnsi="Arial"/>
      <w:color w:val="000000"/>
      <w:sz w:val="22"/>
    </w:rPr>
  </w:style>
  <w:style w:type="paragraph" w:styleId="Podnoje">
    <w:name w:val="footer"/>
    <w:basedOn w:val="Normal"/>
    <w:link w:val="PodnojeChar"/>
    <w:uiPriority w:val="99"/>
    <w:rsid w:val="00DC3A08"/>
    <w:pPr>
      <w:tabs>
        <w:tab w:val="center" w:pos="4536"/>
        <w:tab w:val="right" w:pos="9072"/>
      </w:tabs>
    </w:pPr>
    <w:rPr>
      <w:lang w:val="en-GB"/>
    </w:rPr>
  </w:style>
  <w:style w:type="character" w:customStyle="1" w:styleId="PodnojeChar">
    <w:name w:val="Podnožje Char"/>
    <w:basedOn w:val="Zadanifontodlomka"/>
    <w:link w:val="Podnoje"/>
    <w:uiPriority w:val="99"/>
    <w:rsid w:val="00DC3A08"/>
    <w:rPr>
      <w:rFonts w:eastAsia="Times New Roman" w:cs="Times New Roman"/>
      <w:szCs w:val="24"/>
      <w:lang w:val="en-GB"/>
    </w:rPr>
  </w:style>
  <w:style w:type="character" w:styleId="Brojstranice">
    <w:name w:val="page number"/>
    <w:basedOn w:val="Zadanifontodlomka"/>
    <w:rsid w:val="00DC3A08"/>
    <w:rPr>
      <w:rFonts w:cs="Times New Roman"/>
    </w:rPr>
  </w:style>
  <w:style w:type="character" w:customStyle="1" w:styleId="BodyText2Char">
    <w:name w:val="Body Text 2 Char"/>
    <w:uiPriority w:val="99"/>
    <w:semiHidden/>
    <w:locked/>
    <w:rsid w:val="00DC3A08"/>
    <w:rPr>
      <w:rFonts w:ascii="Calibri" w:hAnsi="Calibri"/>
    </w:rPr>
  </w:style>
  <w:style w:type="paragraph" w:styleId="Tijeloteksta2">
    <w:name w:val="Body Text 2"/>
    <w:basedOn w:val="Normal"/>
    <w:link w:val="Tijeloteksta2Char"/>
    <w:uiPriority w:val="99"/>
    <w:rsid w:val="00DC3A08"/>
    <w:pPr>
      <w:spacing w:after="120" w:line="480" w:lineRule="auto"/>
    </w:pPr>
    <w:rPr>
      <w:rFonts w:ascii="Calibri" w:eastAsia="Calibri" w:hAnsi="Calibri"/>
      <w:sz w:val="20"/>
      <w:szCs w:val="20"/>
      <w:lang w:eastAsia="ja-JP"/>
    </w:rPr>
  </w:style>
  <w:style w:type="character" w:customStyle="1" w:styleId="Tijeloteksta2Char">
    <w:name w:val="Tijelo teksta 2 Char"/>
    <w:basedOn w:val="Zadanifontodlomka"/>
    <w:link w:val="Tijeloteksta2"/>
    <w:uiPriority w:val="99"/>
    <w:rsid w:val="00DC3A08"/>
    <w:rPr>
      <w:rFonts w:ascii="Calibri" w:eastAsia="Calibri" w:hAnsi="Calibri" w:cs="Times New Roman"/>
      <w:sz w:val="20"/>
      <w:szCs w:val="20"/>
      <w:lang w:eastAsia="ja-JP"/>
    </w:rPr>
  </w:style>
  <w:style w:type="paragraph" w:styleId="Obinitekst">
    <w:name w:val="Plain Text"/>
    <w:basedOn w:val="Normal"/>
    <w:link w:val="ObinitekstChar"/>
    <w:uiPriority w:val="99"/>
    <w:rsid w:val="00DC3A08"/>
    <w:rPr>
      <w:rFonts w:ascii="Calibri" w:eastAsia="Calibri" w:hAnsi="Calibri" w:cs="Calibri"/>
      <w:sz w:val="22"/>
    </w:rPr>
  </w:style>
  <w:style w:type="character" w:customStyle="1" w:styleId="ObinitekstChar">
    <w:name w:val="Obični tekst Char"/>
    <w:basedOn w:val="Zadanifontodlomka"/>
    <w:link w:val="Obinitekst"/>
    <w:uiPriority w:val="99"/>
    <w:rsid w:val="00DC3A08"/>
    <w:rPr>
      <w:rFonts w:ascii="Calibri" w:eastAsia="Calibri" w:hAnsi="Calibri" w:cs="Calibri"/>
      <w:sz w:val="22"/>
    </w:rPr>
  </w:style>
  <w:style w:type="paragraph" w:customStyle="1" w:styleId="Style">
    <w:name w:val="Style"/>
    <w:uiPriority w:val="99"/>
    <w:rsid w:val="00DC3A08"/>
    <w:pPr>
      <w:spacing w:after="0" w:line="240" w:lineRule="auto"/>
    </w:pPr>
    <w:rPr>
      <w:rFonts w:eastAsia="Times New Roman" w:cs="Times New Roman"/>
      <w:szCs w:val="24"/>
      <w:lang w:eastAsia="hr-HR"/>
    </w:rPr>
  </w:style>
  <w:style w:type="paragraph" w:customStyle="1" w:styleId="NoSpacing1">
    <w:name w:val="No Spacing1"/>
    <w:uiPriority w:val="1"/>
    <w:qFormat/>
    <w:rsid w:val="00DC3A08"/>
    <w:pPr>
      <w:spacing w:after="0" w:line="240" w:lineRule="auto"/>
    </w:pPr>
    <w:rPr>
      <w:rFonts w:ascii="Calibri" w:eastAsia="Calibri" w:hAnsi="Calibri" w:cs="Times New Roman"/>
      <w:sz w:val="22"/>
    </w:rPr>
  </w:style>
  <w:style w:type="character" w:styleId="SlijeenaHiperveza">
    <w:name w:val="FollowedHyperlink"/>
    <w:basedOn w:val="Zadanifontodlomka"/>
    <w:uiPriority w:val="99"/>
    <w:semiHidden/>
    <w:rsid w:val="00DC3A08"/>
    <w:rPr>
      <w:rFonts w:cs="Times New Roman"/>
      <w:color w:val="800080"/>
      <w:u w:val="single"/>
    </w:rPr>
  </w:style>
  <w:style w:type="paragraph" w:customStyle="1" w:styleId="xl65">
    <w:name w:val="xl65"/>
    <w:basedOn w:val="Normal"/>
    <w:rsid w:val="00DC3A08"/>
    <w:pPr>
      <w:spacing w:before="100" w:beforeAutospacing="1" w:after="100" w:afterAutospacing="1"/>
    </w:pPr>
    <w:rPr>
      <w:b/>
      <w:bCs/>
    </w:rPr>
  </w:style>
  <w:style w:type="paragraph" w:customStyle="1" w:styleId="xl66">
    <w:name w:val="xl66"/>
    <w:basedOn w:val="Normal"/>
    <w:rsid w:val="00DC3A08"/>
    <w:pPr>
      <w:spacing w:before="100" w:beforeAutospacing="1" w:after="100" w:afterAutospacing="1"/>
    </w:pPr>
    <w:rPr>
      <w:b/>
      <w:bCs/>
      <w:sz w:val="40"/>
      <w:szCs w:val="40"/>
    </w:rPr>
  </w:style>
  <w:style w:type="paragraph" w:customStyle="1" w:styleId="xl67">
    <w:name w:val="xl67"/>
    <w:basedOn w:val="Normal"/>
    <w:rsid w:val="00DC3A08"/>
    <w:pPr>
      <w:spacing w:before="100" w:beforeAutospacing="1" w:after="100" w:afterAutospacing="1"/>
    </w:pPr>
    <w:rPr>
      <w:b/>
      <w:bCs/>
      <w:sz w:val="32"/>
      <w:szCs w:val="32"/>
    </w:rPr>
  </w:style>
  <w:style w:type="paragraph" w:customStyle="1" w:styleId="xl68">
    <w:name w:val="xl68"/>
    <w:basedOn w:val="Normal"/>
    <w:rsid w:val="00DC3A08"/>
    <w:pPr>
      <w:shd w:val="clear" w:color="000000" w:fill="C0C0C0"/>
      <w:spacing w:before="100" w:beforeAutospacing="1" w:after="100" w:afterAutospacing="1"/>
    </w:pPr>
    <w:rPr>
      <w:b/>
      <w:bCs/>
    </w:rPr>
  </w:style>
  <w:style w:type="paragraph" w:customStyle="1" w:styleId="xl69">
    <w:name w:val="xl69"/>
    <w:basedOn w:val="Normal"/>
    <w:rsid w:val="00DC3A08"/>
    <w:pPr>
      <w:shd w:val="clear" w:color="000000" w:fill="505050"/>
      <w:spacing w:before="100" w:beforeAutospacing="1" w:after="100" w:afterAutospacing="1"/>
    </w:pPr>
    <w:rPr>
      <w:b/>
      <w:bCs/>
      <w:color w:val="FFFFFF"/>
    </w:rPr>
  </w:style>
  <w:style w:type="paragraph" w:customStyle="1" w:styleId="xl70">
    <w:name w:val="xl70"/>
    <w:basedOn w:val="Normal"/>
    <w:rsid w:val="00DC3A08"/>
    <w:pPr>
      <w:shd w:val="clear" w:color="000000" w:fill="505050"/>
      <w:spacing w:before="100" w:beforeAutospacing="1" w:after="100" w:afterAutospacing="1"/>
    </w:pPr>
    <w:rPr>
      <w:b/>
      <w:bCs/>
      <w:color w:val="FFFFFF"/>
    </w:rPr>
  </w:style>
  <w:style w:type="paragraph" w:customStyle="1" w:styleId="xl71">
    <w:name w:val="xl71"/>
    <w:basedOn w:val="Normal"/>
    <w:rsid w:val="00DC3A08"/>
    <w:pPr>
      <w:shd w:val="clear" w:color="000000" w:fill="000080"/>
      <w:spacing w:before="100" w:beforeAutospacing="1" w:after="100" w:afterAutospacing="1"/>
    </w:pPr>
    <w:rPr>
      <w:b/>
      <w:bCs/>
      <w:color w:val="FFFFFF"/>
    </w:rPr>
  </w:style>
  <w:style w:type="paragraph" w:customStyle="1" w:styleId="xl72">
    <w:name w:val="xl72"/>
    <w:basedOn w:val="Normal"/>
    <w:rsid w:val="00DC3A08"/>
    <w:pPr>
      <w:shd w:val="clear" w:color="000000" w:fill="000080"/>
      <w:spacing w:before="100" w:beforeAutospacing="1" w:after="100" w:afterAutospacing="1"/>
    </w:pPr>
    <w:rPr>
      <w:b/>
      <w:bCs/>
      <w:color w:val="FFFFFF"/>
    </w:rPr>
  </w:style>
  <w:style w:type="paragraph" w:customStyle="1" w:styleId="xl73">
    <w:name w:val="xl73"/>
    <w:basedOn w:val="Normal"/>
    <w:rsid w:val="00DC3A08"/>
    <w:pPr>
      <w:shd w:val="clear" w:color="000000" w:fill="14148A"/>
      <w:spacing w:before="100" w:beforeAutospacing="1" w:after="100" w:afterAutospacing="1"/>
    </w:pPr>
    <w:rPr>
      <w:b/>
      <w:bCs/>
      <w:color w:val="FFFFFF"/>
    </w:rPr>
  </w:style>
  <w:style w:type="paragraph" w:customStyle="1" w:styleId="xl74">
    <w:name w:val="xl74"/>
    <w:basedOn w:val="Normal"/>
    <w:rsid w:val="00DC3A08"/>
    <w:pPr>
      <w:shd w:val="clear" w:color="000000" w:fill="14148A"/>
      <w:spacing w:before="100" w:beforeAutospacing="1" w:after="100" w:afterAutospacing="1"/>
    </w:pPr>
    <w:rPr>
      <w:b/>
      <w:bCs/>
      <w:color w:val="FFFFFF"/>
    </w:rPr>
  </w:style>
  <w:style w:type="paragraph" w:customStyle="1" w:styleId="xl75">
    <w:name w:val="xl75"/>
    <w:basedOn w:val="Normal"/>
    <w:rsid w:val="00DC3A08"/>
    <w:pPr>
      <w:spacing w:before="100" w:beforeAutospacing="1" w:after="100" w:afterAutospacing="1"/>
    </w:pPr>
    <w:rPr>
      <w:b/>
      <w:bCs/>
    </w:rPr>
  </w:style>
  <w:style w:type="paragraph" w:customStyle="1" w:styleId="xl76">
    <w:name w:val="xl76"/>
    <w:basedOn w:val="Normal"/>
    <w:rsid w:val="00DC3A08"/>
    <w:pPr>
      <w:spacing w:before="100" w:beforeAutospacing="1" w:after="100" w:afterAutospacing="1"/>
    </w:pPr>
    <w:rPr>
      <w:b/>
      <w:bCs/>
    </w:rPr>
  </w:style>
  <w:style w:type="paragraph" w:customStyle="1" w:styleId="xl77">
    <w:name w:val="xl77"/>
    <w:basedOn w:val="Normal"/>
    <w:rsid w:val="00DC3A08"/>
    <w:pPr>
      <w:spacing w:before="100" w:beforeAutospacing="1" w:after="100" w:afterAutospacing="1"/>
    </w:pPr>
    <w:rPr>
      <w:b/>
      <w:bCs/>
    </w:rPr>
  </w:style>
  <w:style w:type="paragraph" w:customStyle="1" w:styleId="xl78">
    <w:name w:val="xl78"/>
    <w:basedOn w:val="Normal"/>
    <w:rsid w:val="00DC3A08"/>
    <w:pPr>
      <w:spacing w:before="100" w:beforeAutospacing="1" w:after="100" w:afterAutospacing="1"/>
    </w:pPr>
  </w:style>
  <w:style w:type="paragraph" w:customStyle="1" w:styleId="xl79">
    <w:name w:val="xl79"/>
    <w:basedOn w:val="Normal"/>
    <w:rsid w:val="00DC3A08"/>
    <w:pPr>
      <w:spacing w:before="100" w:beforeAutospacing="1" w:after="100" w:afterAutospacing="1"/>
    </w:pPr>
  </w:style>
  <w:style w:type="paragraph" w:customStyle="1" w:styleId="xl80">
    <w:name w:val="xl80"/>
    <w:basedOn w:val="Normal"/>
    <w:rsid w:val="00DC3A08"/>
    <w:pPr>
      <w:spacing w:before="100" w:beforeAutospacing="1" w:after="100" w:afterAutospacing="1"/>
    </w:pPr>
  </w:style>
  <w:style w:type="paragraph" w:customStyle="1" w:styleId="xl81">
    <w:name w:val="xl81"/>
    <w:basedOn w:val="Normal"/>
    <w:rsid w:val="00DC3A08"/>
    <w:pPr>
      <w:spacing w:before="100" w:beforeAutospacing="1" w:after="100" w:afterAutospacing="1"/>
    </w:pPr>
    <w:rPr>
      <w:b/>
      <w:bCs/>
    </w:rPr>
  </w:style>
  <w:style w:type="paragraph" w:customStyle="1" w:styleId="xl82">
    <w:name w:val="xl82"/>
    <w:basedOn w:val="Normal"/>
    <w:rsid w:val="00DC3A08"/>
    <w:pPr>
      <w:spacing w:before="100" w:beforeAutospacing="1" w:after="100" w:afterAutospacing="1"/>
    </w:pPr>
  </w:style>
  <w:style w:type="paragraph" w:styleId="Zaglavlje">
    <w:name w:val="header"/>
    <w:basedOn w:val="Normal"/>
    <w:link w:val="ZaglavljeChar"/>
    <w:uiPriority w:val="99"/>
    <w:rsid w:val="00DC3A08"/>
    <w:pPr>
      <w:tabs>
        <w:tab w:val="center" w:pos="4536"/>
        <w:tab w:val="right" w:pos="9072"/>
      </w:tabs>
      <w:spacing w:after="200" w:line="276" w:lineRule="auto"/>
    </w:pPr>
    <w:rPr>
      <w:rFonts w:ascii="Calibri" w:eastAsia="Calibri" w:hAnsi="Calibri"/>
      <w:sz w:val="22"/>
    </w:rPr>
  </w:style>
  <w:style w:type="character" w:customStyle="1" w:styleId="ZaglavljeChar">
    <w:name w:val="Zaglavlje Char"/>
    <w:basedOn w:val="Zadanifontodlomka"/>
    <w:link w:val="Zaglavlje"/>
    <w:uiPriority w:val="99"/>
    <w:rsid w:val="00DC3A08"/>
    <w:rPr>
      <w:rFonts w:ascii="Calibri" w:eastAsia="Calibri" w:hAnsi="Calibri" w:cs="Times New Roman"/>
      <w:sz w:val="22"/>
    </w:rPr>
  </w:style>
  <w:style w:type="paragraph" w:customStyle="1" w:styleId="xl83">
    <w:name w:val="xl83"/>
    <w:basedOn w:val="Normal"/>
    <w:rsid w:val="00DC3A08"/>
    <w:pPr>
      <w:shd w:val="clear" w:color="000000" w:fill="6464B2"/>
      <w:spacing w:before="100" w:beforeAutospacing="1" w:after="100" w:afterAutospacing="1"/>
    </w:pPr>
    <w:rPr>
      <w:b/>
      <w:bCs/>
      <w:color w:val="FFFFFF"/>
    </w:rPr>
  </w:style>
  <w:style w:type="paragraph" w:customStyle="1" w:styleId="xl84">
    <w:name w:val="xl84"/>
    <w:basedOn w:val="Normal"/>
    <w:rsid w:val="00DC3A08"/>
    <w:pPr>
      <w:shd w:val="clear" w:color="000000" w:fill="6464B2"/>
      <w:spacing w:before="100" w:beforeAutospacing="1" w:after="100" w:afterAutospacing="1"/>
    </w:pPr>
    <w:rPr>
      <w:b/>
      <w:bCs/>
      <w:color w:val="FFFFFF"/>
    </w:rPr>
  </w:style>
  <w:style w:type="paragraph" w:customStyle="1" w:styleId="xl85">
    <w:name w:val="xl85"/>
    <w:basedOn w:val="Normal"/>
    <w:rsid w:val="00DC3A08"/>
    <w:pPr>
      <w:shd w:val="clear" w:color="000000" w:fill="282894"/>
      <w:spacing w:before="100" w:beforeAutospacing="1" w:after="100" w:afterAutospacing="1"/>
    </w:pPr>
    <w:rPr>
      <w:b/>
      <w:bCs/>
      <w:color w:val="FFFFFF"/>
    </w:rPr>
  </w:style>
  <w:style w:type="paragraph" w:customStyle="1" w:styleId="xl86">
    <w:name w:val="xl86"/>
    <w:basedOn w:val="Normal"/>
    <w:rsid w:val="00DC3A08"/>
    <w:pPr>
      <w:shd w:val="clear" w:color="000000" w:fill="282894"/>
      <w:spacing w:before="100" w:beforeAutospacing="1" w:after="100" w:afterAutospacing="1"/>
    </w:pPr>
    <w:rPr>
      <w:b/>
      <w:bCs/>
      <w:color w:val="FFFFFF"/>
    </w:rPr>
  </w:style>
  <w:style w:type="paragraph" w:customStyle="1" w:styleId="xl87">
    <w:name w:val="xl87"/>
    <w:basedOn w:val="Normal"/>
    <w:rsid w:val="00DC3A08"/>
    <w:pPr>
      <w:spacing w:before="100" w:beforeAutospacing="1" w:after="100" w:afterAutospacing="1"/>
    </w:pPr>
    <w:rPr>
      <w:b/>
      <w:bCs/>
    </w:rPr>
  </w:style>
  <w:style w:type="paragraph" w:customStyle="1" w:styleId="Title1">
    <w:name w:val="Title1"/>
    <w:basedOn w:val="Normal"/>
    <w:next w:val="Normal"/>
    <w:qFormat/>
    <w:rsid w:val="00DC3A08"/>
    <w:pPr>
      <w:spacing w:after="300"/>
      <w:contextualSpacing/>
    </w:pPr>
    <w:rPr>
      <w:rFonts w:ascii="Arial" w:hAnsi="Arial"/>
      <w:color w:val="000000"/>
      <w:spacing w:val="5"/>
      <w:kern w:val="28"/>
      <w:sz w:val="22"/>
      <w:szCs w:val="52"/>
    </w:rPr>
  </w:style>
  <w:style w:type="character" w:customStyle="1" w:styleId="NaslovChar">
    <w:name w:val="Naslov Char"/>
    <w:basedOn w:val="Zadanifontodlomka"/>
    <w:link w:val="Naslov"/>
    <w:rsid w:val="00DC3A08"/>
    <w:rPr>
      <w:rFonts w:ascii="Arial" w:eastAsia="Times New Roman" w:hAnsi="Arial" w:cs="Times New Roman"/>
      <w:color w:val="000000"/>
      <w:spacing w:val="5"/>
      <w:kern w:val="28"/>
      <w:szCs w:val="52"/>
    </w:rPr>
  </w:style>
  <w:style w:type="table" w:customStyle="1" w:styleId="LightShading1">
    <w:name w:val="Light Shading1"/>
    <w:basedOn w:val="Obinatablica"/>
    <w:next w:val="LightShading2"/>
    <w:uiPriority w:val="60"/>
    <w:rsid w:val="00DC3A08"/>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Obinatablica"/>
    <w:next w:val="LightShading-Accent12"/>
    <w:uiPriority w:val="60"/>
    <w:rsid w:val="00DC3A08"/>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3">
    <w:name w:val="xl63"/>
    <w:basedOn w:val="Normal"/>
    <w:rsid w:val="00DC3A08"/>
    <w:pPr>
      <w:spacing w:before="100" w:beforeAutospacing="1" w:after="100" w:afterAutospacing="1"/>
    </w:pPr>
    <w:rPr>
      <w:b/>
      <w:bCs/>
    </w:rPr>
  </w:style>
  <w:style w:type="paragraph" w:customStyle="1" w:styleId="xl64">
    <w:name w:val="xl64"/>
    <w:basedOn w:val="Normal"/>
    <w:rsid w:val="00DC3A08"/>
    <w:pPr>
      <w:spacing w:before="100" w:beforeAutospacing="1" w:after="100" w:afterAutospacing="1"/>
    </w:pPr>
    <w:rPr>
      <w:b/>
      <w:bCs/>
      <w:sz w:val="40"/>
      <w:szCs w:val="40"/>
    </w:rPr>
  </w:style>
  <w:style w:type="paragraph" w:styleId="Popis">
    <w:name w:val="List"/>
    <w:basedOn w:val="Tijeloteksta"/>
    <w:rsid w:val="00DC3A08"/>
    <w:pPr>
      <w:suppressAutoHyphens/>
      <w:spacing w:after="120" w:line="276" w:lineRule="auto"/>
      <w:jc w:val="left"/>
    </w:pPr>
    <w:rPr>
      <w:rFonts w:ascii="Calibri" w:eastAsia="Calibri" w:hAnsi="Calibri" w:cs="Tahoma"/>
      <w:kern w:val="1"/>
      <w:sz w:val="22"/>
      <w:szCs w:val="22"/>
      <w:lang w:eastAsia="ar-SA"/>
    </w:rPr>
  </w:style>
  <w:style w:type="paragraph" w:customStyle="1" w:styleId="DefaultStyle">
    <w:name w:val="DefaultStyle"/>
    <w:qFormat/>
    <w:rsid w:val="00DC3A08"/>
    <w:pPr>
      <w:spacing w:after="0" w:line="240" w:lineRule="auto"/>
    </w:pPr>
    <w:rPr>
      <w:rFonts w:ascii="Liberation Sans" w:eastAsia="Liberation Sans" w:hAnsi="Liberation Sans" w:cs="Liberation Sans"/>
      <w:sz w:val="20"/>
      <w:szCs w:val="20"/>
      <w:lang w:eastAsia="hr-HR"/>
    </w:rPr>
  </w:style>
  <w:style w:type="character" w:styleId="Istaknuto">
    <w:name w:val="Emphasis"/>
    <w:basedOn w:val="Zadanifontodlomka"/>
    <w:qFormat/>
    <w:rsid w:val="00DC3A08"/>
    <w:rPr>
      <w:i/>
      <w:iCs/>
    </w:rPr>
  </w:style>
  <w:style w:type="paragraph" w:customStyle="1" w:styleId="xl88">
    <w:name w:val="xl88"/>
    <w:basedOn w:val="Normal"/>
    <w:rsid w:val="00DC3A08"/>
    <w:pPr>
      <w:spacing w:before="100" w:beforeAutospacing="1" w:after="100" w:afterAutospacing="1"/>
    </w:pPr>
  </w:style>
  <w:style w:type="paragraph" w:customStyle="1" w:styleId="xl89">
    <w:name w:val="xl89"/>
    <w:basedOn w:val="Normal"/>
    <w:rsid w:val="00DC3A08"/>
    <w:pPr>
      <w:shd w:val="clear" w:color="000000" w:fill="5050A8"/>
      <w:spacing w:before="100" w:beforeAutospacing="1" w:after="100" w:afterAutospacing="1"/>
    </w:pPr>
    <w:rPr>
      <w:b/>
      <w:bCs/>
      <w:color w:val="FFFFFF"/>
    </w:rPr>
  </w:style>
  <w:style w:type="paragraph" w:customStyle="1" w:styleId="xl90">
    <w:name w:val="xl90"/>
    <w:basedOn w:val="Normal"/>
    <w:rsid w:val="00DC3A08"/>
    <w:pPr>
      <w:shd w:val="clear" w:color="000000" w:fill="5050A8"/>
      <w:spacing w:before="100" w:beforeAutospacing="1" w:after="100" w:afterAutospacing="1"/>
    </w:pPr>
    <w:rPr>
      <w:b/>
      <w:bCs/>
      <w:color w:val="FFFFFF"/>
    </w:rPr>
  </w:style>
  <w:style w:type="paragraph" w:customStyle="1" w:styleId="xl91">
    <w:name w:val="xl91"/>
    <w:basedOn w:val="Normal"/>
    <w:rsid w:val="00DC3A08"/>
    <w:pPr>
      <w:shd w:val="clear" w:color="000000" w:fill="5050A8"/>
      <w:spacing w:before="100" w:beforeAutospacing="1" w:after="100" w:afterAutospacing="1"/>
    </w:pPr>
    <w:rPr>
      <w:b/>
      <w:bCs/>
      <w:color w:val="FFFFFF"/>
    </w:rPr>
  </w:style>
  <w:style w:type="paragraph" w:customStyle="1" w:styleId="xl92">
    <w:name w:val="xl92"/>
    <w:basedOn w:val="Normal"/>
    <w:rsid w:val="00DC3A08"/>
    <w:pPr>
      <w:shd w:val="clear" w:color="000000" w:fill="6464B2"/>
      <w:spacing w:before="100" w:beforeAutospacing="1" w:after="100" w:afterAutospacing="1"/>
    </w:pPr>
    <w:rPr>
      <w:b/>
      <w:bCs/>
      <w:color w:val="FFFFFF"/>
    </w:rPr>
  </w:style>
  <w:style w:type="paragraph" w:customStyle="1" w:styleId="xl93">
    <w:name w:val="xl93"/>
    <w:basedOn w:val="Normal"/>
    <w:rsid w:val="00DC3A08"/>
    <w:pPr>
      <w:shd w:val="clear" w:color="000000" w:fill="6464B2"/>
      <w:spacing w:before="100" w:beforeAutospacing="1" w:after="100" w:afterAutospacing="1"/>
    </w:pPr>
    <w:rPr>
      <w:b/>
      <w:bCs/>
      <w:color w:val="FFFFFF"/>
    </w:rPr>
  </w:style>
  <w:style w:type="paragraph" w:customStyle="1" w:styleId="xl94">
    <w:name w:val="xl94"/>
    <w:basedOn w:val="Normal"/>
    <w:rsid w:val="00DC3A08"/>
    <w:pPr>
      <w:shd w:val="clear" w:color="000000" w:fill="6464B2"/>
      <w:spacing w:before="100" w:beforeAutospacing="1" w:after="100" w:afterAutospacing="1"/>
    </w:pPr>
    <w:rPr>
      <w:b/>
      <w:bCs/>
      <w:color w:val="FFFFFF"/>
    </w:rPr>
  </w:style>
  <w:style w:type="paragraph" w:customStyle="1" w:styleId="xl95">
    <w:name w:val="xl95"/>
    <w:basedOn w:val="Normal"/>
    <w:rsid w:val="00DC3A08"/>
    <w:pPr>
      <w:shd w:val="clear" w:color="000000" w:fill="66B3FF"/>
      <w:spacing w:before="100" w:beforeAutospacing="1" w:after="100" w:afterAutospacing="1"/>
    </w:pPr>
    <w:rPr>
      <w:b/>
      <w:bCs/>
    </w:rPr>
  </w:style>
  <w:style w:type="paragraph" w:customStyle="1" w:styleId="xl96">
    <w:name w:val="xl96"/>
    <w:basedOn w:val="Normal"/>
    <w:rsid w:val="00DC3A08"/>
    <w:pPr>
      <w:shd w:val="clear" w:color="000000" w:fill="66B3FF"/>
      <w:spacing w:before="100" w:beforeAutospacing="1" w:after="100" w:afterAutospacing="1"/>
    </w:pPr>
    <w:rPr>
      <w:b/>
      <w:bCs/>
    </w:rPr>
  </w:style>
  <w:style w:type="paragraph" w:customStyle="1" w:styleId="xl97">
    <w:name w:val="xl97"/>
    <w:basedOn w:val="Normal"/>
    <w:rsid w:val="00DC3A08"/>
    <w:pPr>
      <w:shd w:val="clear" w:color="000000" w:fill="66B3FF"/>
      <w:spacing w:before="100" w:beforeAutospacing="1" w:after="100" w:afterAutospacing="1"/>
    </w:pPr>
    <w:rPr>
      <w:b/>
      <w:bCs/>
    </w:rPr>
  </w:style>
  <w:style w:type="paragraph" w:customStyle="1" w:styleId="xl98">
    <w:name w:val="xl98"/>
    <w:basedOn w:val="Normal"/>
    <w:rsid w:val="00DC3A08"/>
    <w:pPr>
      <w:shd w:val="clear" w:color="000000" w:fill="282894"/>
      <w:spacing w:before="100" w:beforeAutospacing="1" w:after="100" w:afterAutospacing="1"/>
    </w:pPr>
    <w:rPr>
      <w:b/>
      <w:bCs/>
      <w:color w:val="FFFFFF"/>
    </w:rPr>
  </w:style>
  <w:style w:type="paragraph" w:customStyle="1" w:styleId="xl99">
    <w:name w:val="xl99"/>
    <w:basedOn w:val="Normal"/>
    <w:rsid w:val="00DC3A08"/>
    <w:pPr>
      <w:shd w:val="clear" w:color="000000" w:fill="282894"/>
      <w:spacing w:before="100" w:beforeAutospacing="1" w:after="100" w:afterAutospacing="1"/>
    </w:pPr>
    <w:rPr>
      <w:b/>
      <w:bCs/>
      <w:color w:val="FFFFFF"/>
    </w:rPr>
  </w:style>
  <w:style w:type="paragraph" w:customStyle="1" w:styleId="xl100">
    <w:name w:val="xl100"/>
    <w:basedOn w:val="Normal"/>
    <w:rsid w:val="00DC3A08"/>
    <w:pPr>
      <w:shd w:val="clear" w:color="000000" w:fill="282894"/>
      <w:spacing w:before="100" w:beforeAutospacing="1" w:after="100" w:afterAutospacing="1"/>
    </w:pPr>
    <w:rPr>
      <w:b/>
      <w:bCs/>
      <w:color w:val="FFFFFF"/>
    </w:rPr>
  </w:style>
  <w:style w:type="paragraph" w:customStyle="1" w:styleId="xl101">
    <w:name w:val="xl101"/>
    <w:basedOn w:val="Normal"/>
    <w:rsid w:val="00DC3A08"/>
    <w:pPr>
      <w:shd w:val="clear" w:color="000000" w:fill="66B3FF"/>
      <w:spacing w:before="100" w:beforeAutospacing="1" w:after="100" w:afterAutospacing="1"/>
    </w:pPr>
    <w:rPr>
      <w:b/>
      <w:bCs/>
      <w:sz w:val="16"/>
      <w:szCs w:val="16"/>
    </w:rPr>
  </w:style>
  <w:style w:type="paragraph" w:customStyle="1" w:styleId="xl102">
    <w:name w:val="xl102"/>
    <w:basedOn w:val="Normal"/>
    <w:rsid w:val="00DC3A08"/>
    <w:pPr>
      <w:shd w:val="clear" w:color="000000" w:fill="282894"/>
      <w:spacing w:before="100" w:beforeAutospacing="1" w:after="100" w:afterAutospacing="1"/>
    </w:pPr>
    <w:rPr>
      <w:b/>
      <w:bCs/>
      <w:color w:val="FFFFFF"/>
      <w:sz w:val="16"/>
      <w:szCs w:val="16"/>
    </w:rPr>
  </w:style>
  <w:style w:type="paragraph" w:customStyle="1" w:styleId="xl103">
    <w:name w:val="xl103"/>
    <w:basedOn w:val="Normal"/>
    <w:rsid w:val="00DC3A08"/>
    <w:pPr>
      <w:shd w:val="clear" w:color="000000" w:fill="282894"/>
      <w:spacing w:before="100" w:beforeAutospacing="1" w:after="100" w:afterAutospacing="1"/>
    </w:pPr>
    <w:rPr>
      <w:b/>
      <w:bCs/>
      <w:color w:val="FFFFFF"/>
      <w:sz w:val="16"/>
      <w:szCs w:val="16"/>
    </w:rPr>
  </w:style>
  <w:style w:type="paragraph" w:customStyle="1" w:styleId="xl104">
    <w:name w:val="xl104"/>
    <w:basedOn w:val="Normal"/>
    <w:rsid w:val="00DC3A08"/>
    <w:pPr>
      <w:shd w:val="clear" w:color="000000" w:fill="282894"/>
      <w:spacing w:before="100" w:beforeAutospacing="1" w:after="100" w:afterAutospacing="1"/>
    </w:pPr>
    <w:rPr>
      <w:b/>
      <w:bCs/>
      <w:color w:val="FFFFFF"/>
      <w:sz w:val="16"/>
      <w:szCs w:val="16"/>
    </w:rPr>
  </w:style>
  <w:style w:type="character" w:customStyle="1" w:styleId="Heading5Char1">
    <w:name w:val="Heading 5 Char1"/>
    <w:basedOn w:val="Zadanifontodlomka"/>
    <w:uiPriority w:val="9"/>
    <w:semiHidden/>
    <w:rsid w:val="00DC3A08"/>
    <w:rPr>
      <w:rFonts w:asciiTheme="majorHAnsi" w:eastAsiaTheme="majorEastAsia" w:hAnsiTheme="majorHAnsi" w:cstheme="majorBidi"/>
      <w:color w:val="1F4D78" w:themeColor="accent1" w:themeShade="7F"/>
      <w:sz w:val="24"/>
      <w:szCs w:val="24"/>
      <w:lang w:val="en-GB"/>
    </w:rPr>
  </w:style>
  <w:style w:type="paragraph" w:styleId="Naslov">
    <w:name w:val="Title"/>
    <w:basedOn w:val="Normal"/>
    <w:next w:val="Normal"/>
    <w:link w:val="NaslovChar"/>
    <w:qFormat/>
    <w:rsid w:val="00DC3A08"/>
    <w:pPr>
      <w:pBdr>
        <w:bottom w:val="single" w:sz="8" w:space="4" w:color="5B9BD5" w:themeColor="accent1"/>
      </w:pBdr>
      <w:spacing w:after="300"/>
      <w:contextualSpacing/>
    </w:pPr>
    <w:rPr>
      <w:rFonts w:ascii="Arial" w:hAnsi="Arial"/>
      <w:color w:val="000000"/>
      <w:spacing w:val="5"/>
      <w:kern w:val="28"/>
      <w:szCs w:val="52"/>
    </w:rPr>
  </w:style>
  <w:style w:type="character" w:customStyle="1" w:styleId="NaslovChar1">
    <w:name w:val="Naslov Char1"/>
    <w:basedOn w:val="Zadanifontodlomka"/>
    <w:uiPriority w:val="10"/>
    <w:rsid w:val="00DC3A08"/>
    <w:rPr>
      <w:rFonts w:asciiTheme="majorHAnsi" w:eastAsiaTheme="majorEastAsia" w:hAnsiTheme="majorHAnsi" w:cstheme="majorBidi"/>
      <w:spacing w:val="-10"/>
      <w:kern w:val="28"/>
      <w:sz w:val="56"/>
      <w:szCs w:val="56"/>
    </w:rPr>
  </w:style>
  <w:style w:type="character" w:customStyle="1" w:styleId="TitleChar1">
    <w:name w:val="Title Char1"/>
    <w:basedOn w:val="Zadanifontodlomka"/>
    <w:uiPriority w:val="10"/>
    <w:rsid w:val="00DC3A08"/>
    <w:rPr>
      <w:rFonts w:asciiTheme="majorHAnsi" w:eastAsiaTheme="majorEastAsia" w:hAnsiTheme="majorHAnsi" w:cstheme="majorBidi"/>
      <w:color w:val="323E4F" w:themeColor="text2" w:themeShade="BF"/>
      <w:spacing w:val="5"/>
      <w:kern w:val="28"/>
      <w:sz w:val="52"/>
      <w:szCs w:val="52"/>
      <w:lang w:val="en-GB"/>
    </w:rPr>
  </w:style>
  <w:style w:type="table" w:customStyle="1" w:styleId="LightShading2">
    <w:name w:val="Light Shading2"/>
    <w:basedOn w:val="Obinatablica"/>
    <w:uiPriority w:val="60"/>
    <w:rsid w:val="00DC3A08"/>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Obinatablica"/>
    <w:uiPriority w:val="60"/>
    <w:rsid w:val="00DC3A08"/>
    <w:pPr>
      <w:spacing w:after="0" w:line="240" w:lineRule="auto"/>
    </w:pPr>
    <w:rPr>
      <w:rFonts w:asciiTheme="minorHAnsi" w:hAnsiTheme="minorHAnsi"/>
      <w:color w:val="2E74B5" w:themeColor="accent1" w:themeShade="BF"/>
      <w:sz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tb-na16">
    <w:name w:val="tb-na16"/>
    <w:basedOn w:val="Normal"/>
    <w:rsid w:val="00DC3A08"/>
    <w:pPr>
      <w:spacing w:before="100" w:beforeAutospacing="1" w:after="100" w:afterAutospacing="1"/>
    </w:pPr>
  </w:style>
  <w:style w:type="paragraph" w:customStyle="1" w:styleId="Normal1">
    <w:name w:val="Normal1"/>
    <w:rsid w:val="00DC3A08"/>
    <w:pPr>
      <w:widowControl w:val="0"/>
      <w:suppressAutoHyphens/>
      <w:spacing w:after="0" w:line="240" w:lineRule="auto"/>
      <w:textAlignment w:val="baseline"/>
    </w:pPr>
    <w:rPr>
      <w:rFonts w:ascii="Liberation Serif" w:eastAsia="SimSun" w:hAnsi="Liberation Serif" w:cs="Liberation Serif"/>
      <w:sz w:val="22"/>
      <w:lang w:eastAsia="zh-CN"/>
    </w:rPr>
  </w:style>
  <w:style w:type="paragraph" w:customStyle="1" w:styleId="ydpa88657d8msonormal">
    <w:name w:val="ydpa88657d8msonormal"/>
    <w:basedOn w:val="Normal"/>
    <w:rsid w:val="00DC3A08"/>
    <w:pPr>
      <w:spacing w:before="100" w:beforeAutospacing="1" w:after="100" w:afterAutospacing="1"/>
    </w:pPr>
  </w:style>
  <w:style w:type="character" w:customStyle="1" w:styleId="ydpa88657d85yl5">
    <w:name w:val="ydpa88657d85yl5"/>
    <w:rsid w:val="00DC3A08"/>
  </w:style>
  <w:style w:type="table" w:customStyle="1" w:styleId="Svijetlosjenanje1">
    <w:name w:val="Svijetlo sjenčanje1"/>
    <w:basedOn w:val="Obinatablica"/>
    <w:uiPriority w:val="60"/>
    <w:rsid w:val="00DC3A08"/>
    <w:pPr>
      <w:spacing w:after="0" w:line="240" w:lineRule="auto"/>
    </w:pPr>
    <w:rPr>
      <w:rFonts w:ascii="Calibri" w:eastAsia="Calibri" w:hAnsi="Calibri" w:cs="Times New Roman"/>
      <w:color w:val="000000" w:themeColor="text1" w:themeShade="BF"/>
      <w:sz w:val="22"/>
      <w:lang w:eastAsia="hr-H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DC3A08"/>
    <w:pPr>
      <w:spacing w:after="0" w:line="240" w:lineRule="auto"/>
    </w:pPr>
    <w:rPr>
      <w:rFonts w:ascii="Calibri" w:eastAsia="Calibri" w:hAnsi="Calibri" w:cs="Times New Roman"/>
      <w:color w:val="2E74B5" w:themeColor="accent1" w:themeShade="BF"/>
      <w:sz w:val="22"/>
      <w:lang w:eastAsia="hr-H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msonormal0">
    <w:name w:val="msonormal"/>
    <w:basedOn w:val="Normal"/>
    <w:rsid w:val="00DC3A08"/>
    <w:pPr>
      <w:spacing w:before="100" w:beforeAutospacing="1" w:after="100" w:afterAutospacing="1"/>
    </w:pPr>
  </w:style>
  <w:style w:type="paragraph" w:customStyle="1" w:styleId="xl105">
    <w:name w:val="xl105"/>
    <w:basedOn w:val="Normal"/>
    <w:rsid w:val="00DC3A08"/>
    <w:pPr>
      <w:shd w:val="clear" w:color="000000" w:fill="505050"/>
      <w:spacing w:before="100" w:beforeAutospacing="1" w:after="100" w:afterAutospacing="1"/>
      <w:textAlignment w:val="center"/>
    </w:pPr>
    <w:rPr>
      <w:rFonts w:ascii="Arial" w:hAnsi="Arial" w:cs="Arial"/>
      <w:b/>
      <w:bCs/>
      <w:color w:val="FFFFFF"/>
      <w:sz w:val="16"/>
      <w:szCs w:val="16"/>
    </w:rPr>
  </w:style>
  <w:style w:type="paragraph" w:customStyle="1" w:styleId="xl106">
    <w:name w:val="xl106"/>
    <w:basedOn w:val="Normal"/>
    <w:rsid w:val="00DC3A08"/>
    <w:pPr>
      <w:shd w:val="clear" w:color="000000" w:fill="505050"/>
      <w:spacing w:before="100" w:beforeAutospacing="1" w:after="100" w:afterAutospacing="1"/>
      <w:textAlignment w:val="center"/>
    </w:pPr>
    <w:rPr>
      <w:rFonts w:ascii="Arial" w:hAnsi="Arial" w:cs="Arial"/>
      <w:b/>
      <w:bCs/>
      <w:color w:val="FFFFFF"/>
      <w:sz w:val="16"/>
      <w:szCs w:val="16"/>
    </w:rPr>
  </w:style>
  <w:style w:type="paragraph" w:customStyle="1" w:styleId="xl107">
    <w:name w:val="xl107"/>
    <w:basedOn w:val="Normal"/>
    <w:rsid w:val="00DC3A08"/>
    <w:pPr>
      <w:shd w:val="clear" w:color="000000" w:fill="000080"/>
      <w:spacing w:before="100" w:beforeAutospacing="1" w:after="100" w:afterAutospacing="1"/>
      <w:textAlignment w:val="top"/>
    </w:pPr>
    <w:rPr>
      <w:rFonts w:ascii="Arial" w:hAnsi="Arial" w:cs="Arial"/>
      <w:b/>
      <w:bCs/>
      <w:color w:val="FFFFFF"/>
      <w:sz w:val="16"/>
      <w:szCs w:val="16"/>
    </w:rPr>
  </w:style>
  <w:style w:type="paragraph" w:customStyle="1" w:styleId="xl108">
    <w:name w:val="xl108"/>
    <w:basedOn w:val="Normal"/>
    <w:rsid w:val="00DC3A08"/>
    <w:pPr>
      <w:shd w:val="clear" w:color="000000" w:fill="000080"/>
      <w:spacing w:before="100" w:beforeAutospacing="1" w:after="100" w:afterAutospacing="1"/>
      <w:jc w:val="right"/>
      <w:textAlignment w:val="top"/>
    </w:pPr>
    <w:rPr>
      <w:rFonts w:ascii="Arial" w:hAnsi="Arial" w:cs="Arial"/>
      <w:b/>
      <w:bCs/>
      <w:color w:val="FFFFFF"/>
      <w:sz w:val="16"/>
      <w:szCs w:val="16"/>
    </w:rPr>
  </w:style>
  <w:style w:type="paragraph" w:customStyle="1" w:styleId="xl109">
    <w:name w:val="xl109"/>
    <w:basedOn w:val="Normal"/>
    <w:rsid w:val="00DC3A08"/>
    <w:pPr>
      <w:shd w:val="clear" w:color="000000" w:fill="000080"/>
      <w:spacing w:before="100" w:beforeAutospacing="1" w:after="100" w:afterAutospacing="1"/>
      <w:jc w:val="right"/>
      <w:textAlignment w:val="top"/>
    </w:pPr>
    <w:rPr>
      <w:rFonts w:ascii="Arial" w:hAnsi="Arial" w:cs="Arial"/>
      <w:b/>
      <w:bCs/>
      <w:color w:val="FFFFFF"/>
      <w:sz w:val="16"/>
      <w:szCs w:val="16"/>
    </w:rPr>
  </w:style>
  <w:style w:type="paragraph" w:customStyle="1" w:styleId="xl110">
    <w:name w:val="xl110"/>
    <w:basedOn w:val="Normal"/>
    <w:rsid w:val="00DC3A08"/>
    <w:pPr>
      <w:shd w:val="clear" w:color="000000" w:fill="0000CE"/>
      <w:spacing w:before="100" w:beforeAutospacing="1" w:after="100" w:afterAutospacing="1"/>
      <w:jc w:val="right"/>
      <w:textAlignment w:val="center"/>
    </w:pPr>
    <w:rPr>
      <w:rFonts w:ascii="Arial" w:hAnsi="Arial" w:cs="Arial"/>
      <w:color w:val="FFFFFF"/>
      <w:sz w:val="16"/>
      <w:szCs w:val="16"/>
    </w:rPr>
  </w:style>
  <w:style w:type="paragraph" w:customStyle="1" w:styleId="xl111">
    <w:name w:val="xl111"/>
    <w:basedOn w:val="Normal"/>
    <w:rsid w:val="00DC3A08"/>
    <w:pPr>
      <w:shd w:val="clear" w:color="000000" w:fill="FEDE01"/>
      <w:spacing w:before="100" w:beforeAutospacing="1" w:after="100" w:afterAutospacing="1"/>
      <w:textAlignment w:val="center"/>
    </w:pPr>
    <w:rPr>
      <w:rFonts w:ascii="Arial" w:hAnsi="Arial" w:cs="Arial"/>
      <w:color w:val="000000"/>
      <w:sz w:val="16"/>
      <w:szCs w:val="16"/>
    </w:rPr>
  </w:style>
  <w:style w:type="paragraph" w:customStyle="1" w:styleId="xl112">
    <w:name w:val="xl112"/>
    <w:basedOn w:val="Normal"/>
    <w:rsid w:val="00DC3A08"/>
    <w:pPr>
      <w:shd w:val="clear" w:color="000000" w:fill="FEDE01"/>
      <w:spacing w:before="100" w:beforeAutospacing="1" w:after="100" w:afterAutospacing="1"/>
      <w:textAlignment w:val="center"/>
    </w:pPr>
    <w:rPr>
      <w:rFonts w:ascii="Arial" w:hAnsi="Arial" w:cs="Arial"/>
      <w:color w:val="000000"/>
      <w:sz w:val="16"/>
      <w:szCs w:val="16"/>
    </w:rPr>
  </w:style>
  <w:style w:type="paragraph" w:customStyle="1" w:styleId="xl113">
    <w:name w:val="xl113"/>
    <w:basedOn w:val="Normal"/>
    <w:rsid w:val="00DC3A08"/>
    <w:pPr>
      <w:shd w:val="clear" w:color="000000" w:fill="FEDE01"/>
      <w:spacing w:before="100" w:beforeAutospacing="1" w:after="100" w:afterAutospacing="1"/>
      <w:jc w:val="right"/>
      <w:textAlignment w:val="center"/>
    </w:pPr>
    <w:rPr>
      <w:rFonts w:ascii="Arial" w:hAnsi="Arial" w:cs="Arial"/>
      <w:color w:val="000000"/>
      <w:sz w:val="16"/>
      <w:szCs w:val="16"/>
    </w:rPr>
  </w:style>
  <w:style w:type="paragraph" w:customStyle="1" w:styleId="xl114">
    <w:name w:val="xl114"/>
    <w:basedOn w:val="Normal"/>
    <w:rsid w:val="00DC3A08"/>
    <w:pPr>
      <w:shd w:val="clear" w:color="000000" w:fill="FEDE01"/>
      <w:spacing w:before="100" w:beforeAutospacing="1" w:after="100" w:afterAutospacing="1"/>
      <w:jc w:val="right"/>
      <w:textAlignment w:val="center"/>
    </w:pPr>
    <w:rPr>
      <w:rFonts w:ascii="Arial" w:hAnsi="Arial" w:cs="Arial"/>
      <w:color w:val="000000"/>
      <w:sz w:val="16"/>
      <w:szCs w:val="16"/>
    </w:rPr>
  </w:style>
  <w:style w:type="paragraph" w:customStyle="1" w:styleId="xl115">
    <w:name w:val="xl115"/>
    <w:basedOn w:val="Normal"/>
    <w:rsid w:val="00DC3A08"/>
    <w:pPr>
      <w:shd w:val="clear" w:color="000000" w:fill="FFFFFF"/>
      <w:spacing w:before="100" w:beforeAutospacing="1" w:after="100" w:afterAutospacing="1"/>
      <w:jc w:val="right"/>
      <w:textAlignment w:val="top"/>
    </w:pPr>
    <w:rPr>
      <w:rFonts w:ascii="Arial" w:hAnsi="Arial" w:cs="Arial"/>
      <w:b/>
      <w:bCs/>
      <w:color w:val="000000"/>
      <w:sz w:val="16"/>
      <w:szCs w:val="16"/>
    </w:rPr>
  </w:style>
  <w:style w:type="paragraph" w:customStyle="1" w:styleId="xl116">
    <w:name w:val="xl116"/>
    <w:basedOn w:val="Normal"/>
    <w:rsid w:val="00DC3A08"/>
    <w:pPr>
      <w:shd w:val="clear" w:color="000000" w:fill="FFFFFF"/>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Normal"/>
    <w:rsid w:val="00DC3A08"/>
    <w:pPr>
      <w:pBdr>
        <w:top w:val="single" w:sz="8" w:space="0" w:color="000000"/>
      </w:pBdr>
      <w:shd w:val="clear" w:color="000000" w:fill="FFFFFF"/>
      <w:spacing w:before="100" w:beforeAutospacing="1" w:after="100" w:afterAutospacing="1"/>
    </w:pPr>
  </w:style>
  <w:style w:type="paragraph" w:customStyle="1" w:styleId="xl118">
    <w:name w:val="xl118"/>
    <w:basedOn w:val="Normal"/>
    <w:rsid w:val="00DC3A08"/>
    <w:pPr>
      <w:shd w:val="clear" w:color="000000" w:fill="C1C1FF"/>
      <w:spacing w:before="100" w:beforeAutospacing="1" w:after="100" w:afterAutospacing="1"/>
      <w:textAlignment w:val="center"/>
    </w:pPr>
    <w:rPr>
      <w:rFonts w:ascii="Arial" w:hAnsi="Arial" w:cs="Arial"/>
      <w:color w:val="000000"/>
      <w:sz w:val="16"/>
      <w:szCs w:val="16"/>
    </w:rPr>
  </w:style>
  <w:style w:type="paragraph" w:customStyle="1" w:styleId="xl119">
    <w:name w:val="xl119"/>
    <w:basedOn w:val="Normal"/>
    <w:rsid w:val="00DC3A08"/>
    <w:pPr>
      <w:shd w:val="clear" w:color="000000" w:fill="C1C1FF"/>
      <w:spacing w:before="100" w:beforeAutospacing="1" w:after="100" w:afterAutospacing="1"/>
      <w:textAlignment w:val="center"/>
    </w:pPr>
    <w:rPr>
      <w:rFonts w:ascii="Arial" w:hAnsi="Arial" w:cs="Arial"/>
      <w:color w:val="000000"/>
      <w:sz w:val="16"/>
      <w:szCs w:val="16"/>
    </w:rPr>
  </w:style>
  <w:style w:type="paragraph" w:customStyle="1" w:styleId="xl120">
    <w:name w:val="xl120"/>
    <w:basedOn w:val="Normal"/>
    <w:rsid w:val="00DC3A08"/>
    <w:pPr>
      <w:shd w:val="clear" w:color="000000" w:fill="C1C1FF"/>
      <w:spacing w:before="100" w:beforeAutospacing="1" w:after="100" w:afterAutospacing="1"/>
      <w:jc w:val="right"/>
      <w:textAlignment w:val="center"/>
    </w:pPr>
    <w:rPr>
      <w:rFonts w:ascii="Arial" w:hAnsi="Arial" w:cs="Arial"/>
      <w:color w:val="000000"/>
      <w:sz w:val="16"/>
      <w:szCs w:val="16"/>
    </w:rPr>
  </w:style>
  <w:style w:type="paragraph" w:customStyle="1" w:styleId="xl121">
    <w:name w:val="xl121"/>
    <w:basedOn w:val="Normal"/>
    <w:rsid w:val="00DC3A08"/>
    <w:pPr>
      <w:shd w:val="clear" w:color="000000" w:fill="C1C1FF"/>
      <w:spacing w:before="100" w:beforeAutospacing="1" w:after="100" w:afterAutospacing="1"/>
      <w:jc w:val="right"/>
      <w:textAlignment w:val="center"/>
    </w:pPr>
    <w:rPr>
      <w:rFonts w:ascii="Arial" w:hAnsi="Arial" w:cs="Arial"/>
      <w:color w:val="000000"/>
      <w:sz w:val="16"/>
      <w:szCs w:val="16"/>
    </w:rPr>
  </w:style>
  <w:style w:type="paragraph" w:customStyle="1" w:styleId="xl122">
    <w:name w:val="xl122"/>
    <w:basedOn w:val="Normal"/>
    <w:rsid w:val="00DC3A08"/>
    <w:pPr>
      <w:shd w:val="clear" w:color="000000" w:fill="E1E1FF"/>
      <w:spacing w:before="100" w:beforeAutospacing="1" w:after="100" w:afterAutospacing="1"/>
      <w:textAlignment w:val="center"/>
    </w:pPr>
    <w:rPr>
      <w:rFonts w:ascii="Arial" w:hAnsi="Arial" w:cs="Arial"/>
      <w:color w:val="000000"/>
      <w:sz w:val="16"/>
      <w:szCs w:val="16"/>
    </w:rPr>
  </w:style>
  <w:style w:type="paragraph" w:customStyle="1" w:styleId="xl123">
    <w:name w:val="xl123"/>
    <w:basedOn w:val="Normal"/>
    <w:rsid w:val="00DC3A08"/>
    <w:pPr>
      <w:shd w:val="clear" w:color="000000" w:fill="E1E1FF"/>
      <w:spacing w:before="100" w:beforeAutospacing="1" w:after="100" w:afterAutospacing="1"/>
      <w:textAlignment w:val="center"/>
    </w:pPr>
    <w:rPr>
      <w:rFonts w:ascii="Arial" w:hAnsi="Arial" w:cs="Arial"/>
      <w:color w:val="000000"/>
      <w:sz w:val="16"/>
      <w:szCs w:val="16"/>
    </w:rPr>
  </w:style>
  <w:style w:type="paragraph" w:customStyle="1" w:styleId="xl124">
    <w:name w:val="xl124"/>
    <w:basedOn w:val="Normal"/>
    <w:rsid w:val="00DC3A08"/>
    <w:pPr>
      <w:shd w:val="clear" w:color="000000" w:fill="E1E1FF"/>
      <w:spacing w:before="100" w:beforeAutospacing="1" w:after="100" w:afterAutospacing="1"/>
      <w:jc w:val="right"/>
      <w:textAlignment w:val="center"/>
    </w:pPr>
    <w:rPr>
      <w:rFonts w:ascii="Arial" w:hAnsi="Arial" w:cs="Arial"/>
      <w:color w:val="000000"/>
      <w:sz w:val="16"/>
      <w:szCs w:val="16"/>
    </w:rPr>
  </w:style>
  <w:style w:type="paragraph" w:customStyle="1" w:styleId="xl125">
    <w:name w:val="xl125"/>
    <w:basedOn w:val="Normal"/>
    <w:rsid w:val="00DC3A08"/>
    <w:pPr>
      <w:shd w:val="clear" w:color="000000" w:fill="E1E1FF"/>
      <w:spacing w:before="100" w:beforeAutospacing="1" w:after="100" w:afterAutospacing="1"/>
      <w:jc w:val="right"/>
      <w:textAlignment w:val="center"/>
    </w:pPr>
    <w:rPr>
      <w:rFonts w:ascii="Arial" w:hAnsi="Arial" w:cs="Arial"/>
      <w:color w:val="000000"/>
      <w:sz w:val="16"/>
      <w:szCs w:val="16"/>
    </w:rPr>
  </w:style>
  <w:style w:type="paragraph" w:customStyle="1" w:styleId="xl126">
    <w:name w:val="xl126"/>
    <w:basedOn w:val="Normal"/>
    <w:rsid w:val="00DC3A08"/>
    <w:pPr>
      <w:shd w:val="clear" w:color="000000" w:fill="B9E9FF"/>
      <w:spacing w:before="100" w:beforeAutospacing="1" w:after="100" w:afterAutospacing="1"/>
      <w:textAlignment w:val="center"/>
    </w:pPr>
    <w:rPr>
      <w:rFonts w:ascii="Arial" w:hAnsi="Arial" w:cs="Arial"/>
      <w:color w:val="000000"/>
      <w:sz w:val="16"/>
      <w:szCs w:val="16"/>
    </w:rPr>
  </w:style>
  <w:style w:type="paragraph" w:customStyle="1" w:styleId="xl127">
    <w:name w:val="xl127"/>
    <w:basedOn w:val="Normal"/>
    <w:rsid w:val="00DC3A08"/>
    <w:pPr>
      <w:shd w:val="clear" w:color="000000" w:fill="B9E9FF"/>
      <w:spacing w:before="100" w:beforeAutospacing="1" w:after="100" w:afterAutospacing="1"/>
      <w:textAlignment w:val="center"/>
    </w:pPr>
    <w:rPr>
      <w:rFonts w:ascii="Arial" w:hAnsi="Arial" w:cs="Arial"/>
      <w:color w:val="000000"/>
      <w:sz w:val="16"/>
      <w:szCs w:val="16"/>
    </w:rPr>
  </w:style>
  <w:style w:type="paragraph" w:customStyle="1" w:styleId="xl128">
    <w:name w:val="xl128"/>
    <w:basedOn w:val="Normal"/>
    <w:rsid w:val="00DC3A08"/>
    <w:pPr>
      <w:shd w:val="clear" w:color="000000" w:fill="B9E9FF"/>
      <w:spacing w:before="100" w:beforeAutospacing="1" w:after="100" w:afterAutospacing="1"/>
      <w:jc w:val="right"/>
      <w:textAlignment w:val="center"/>
    </w:pPr>
    <w:rPr>
      <w:rFonts w:ascii="Arial" w:hAnsi="Arial" w:cs="Arial"/>
      <w:color w:val="000000"/>
      <w:sz w:val="16"/>
      <w:szCs w:val="16"/>
    </w:rPr>
  </w:style>
  <w:style w:type="paragraph" w:customStyle="1" w:styleId="xl129">
    <w:name w:val="xl129"/>
    <w:basedOn w:val="Normal"/>
    <w:rsid w:val="00DC3A08"/>
    <w:pPr>
      <w:shd w:val="clear" w:color="000000" w:fill="B9E9FF"/>
      <w:spacing w:before="100" w:beforeAutospacing="1" w:after="100" w:afterAutospacing="1"/>
      <w:jc w:val="right"/>
      <w:textAlignment w:val="center"/>
    </w:pPr>
    <w:rPr>
      <w:rFonts w:ascii="Arial" w:hAnsi="Arial" w:cs="Arial"/>
      <w:color w:val="000000"/>
      <w:sz w:val="16"/>
      <w:szCs w:val="16"/>
    </w:rPr>
  </w:style>
  <w:style w:type="paragraph" w:customStyle="1" w:styleId="xl130">
    <w:name w:val="xl130"/>
    <w:basedOn w:val="Normal"/>
    <w:rsid w:val="00DC3A08"/>
    <w:pPr>
      <w:shd w:val="clear" w:color="000000" w:fill="3535FF"/>
      <w:spacing w:before="100" w:beforeAutospacing="1" w:after="100" w:afterAutospacing="1"/>
      <w:textAlignment w:val="center"/>
    </w:pPr>
    <w:rPr>
      <w:rFonts w:ascii="Arial" w:hAnsi="Arial" w:cs="Arial"/>
      <w:color w:val="FFFFFF"/>
      <w:sz w:val="16"/>
      <w:szCs w:val="16"/>
    </w:rPr>
  </w:style>
  <w:style w:type="paragraph" w:customStyle="1" w:styleId="xl131">
    <w:name w:val="xl131"/>
    <w:basedOn w:val="Normal"/>
    <w:rsid w:val="00DC3A08"/>
    <w:pPr>
      <w:shd w:val="clear" w:color="000000" w:fill="3535FF"/>
      <w:spacing w:before="100" w:beforeAutospacing="1" w:after="100" w:afterAutospacing="1"/>
      <w:textAlignment w:val="center"/>
    </w:pPr>
    <w:rPr>
      <w:rFonts w:ascii="Arial" w:hAnsi="Arial" w:cs="Arial"/>
      <w:color w:val="FFFFFF"/>
      <w:sz w:val="16"/>
      <w:szCs w:val="16"/>
    </w:rPr>
  </w:style>
  <w:style w:type="paragraph" w:customStyle="1" w:styleId="xl132">
    <w:name w:val="xl132"/>
    <w:basedOn w:val="Normal"/>
    <w:rsid w:val="00DC3A08"/>
    <w:pPr>
      <w:shd w:val="clear" w:color="000000" w:fill="3535FF"/>
      <w:spacing w:before="100" w:beforeAutospacing="1" w:after="100" w:afterAutospacing="1"/>
      <w:jc w:val="right"/>
      <w:textAlignment w:val="center"/>
    </w:pPr>
    <w:rPr>
      <w:rFonts w:ascii="Arial" w:hAnsi="Arial" w:cs="Arial"/>
      <w:color w:val="FFFFFF"/>
      <w:sz w:val="16"/>
      <w:szCs w:val="16"/>
    </w:rPr>
  </w:style>
  <w:style w:type="paragraph" w:customStyle="1" w:styleId="xl133">
    <w:name w:val="xl133"/>
    <w:basedOn w:val="Normal"/>
    <w:rsid w:val="00DC3A08"/>
    <w:pPr>
      <w:shd w:val="clear" w:color="000000" w:fill="3535FF"/>
      <w:spacing w:before="100" w:beforeAutospacing="1" w:after="100" w:afterAutospacing="1"/>
      <w:jc w:val="right"/>
      <w:textAlignment w:val="center"/>
    </w:pPr>
    <w:rPr>
      <w:rFonts w:ascii="Arial" w:hAnsi="Arial" w:cs="Arial"/>
      <w:color w:val="FFFFFF"/>
      <w:sz w:val="16"/>
      <w:szCs w:val="16"/>
    </w:rPr>
  </w:style>
  <w:style w:type="paragraph" w:customStyle="1" w:styleId="xl134">
    <w:name w:val="xl134"/>
    <w:basedOn w:val="Normal"/>
    <w:rsid w:val="00DC3A08"/>
    <w:pPr>
      <w:shd w:val="clear" w:color="000000" w:fill="505050"/>
      <w:spacing w:before="100" w:beforeAutospacing="1" w:after="100" w:afterAutospacing="1"/>
      <w:jc w:val="right"/>
    </w:pPr>
    <w:rPr>
      <w:rFonts w:ascii="Arial" w:hAnsi="Arial" w:cs="Arial"/>
      <w:b/>
      <w:bCs/>
      <w:color w:val="FFFFFF"/>
      <w:sz w:val="16"/>
      <w:szCs w:val="16"/>
    </w:rPr>
  </w:style>
  <w:style w:type="paragraph" w:customStyle="1" w:styleId="xl135">
    <w:name w:val="xl135"/>
    <w:basedOn w:val="Normal"/>
    <w:rsid w:val="00DC3A08"/>
    <w:pPr>
      <w:shd w:val="clear" w:color="000000" w:fill="505050"/>
      <w:spacing w:before="100" w:beforeAutospacing="1" w:after="100" w:afterAutospacing="1"/>
      <w:jc w:val="right"/>
    </w:pPr>
    <w:rPr>
      <w:rFonts w:ascii="Arial" w:hAnsi="Arial" w:cs="Arial"/>
      <w:b/>
      <w:bCs/>
      <w:color w:val="FFFFFF"/>
      <w:sz w:val="16"/>
      <w:szCs w:val="16"/>
    </w:rPr>
  </w:style>
  <w:style w:type="paragraph" w:customStyle="1" w:styleId="xl136">
    <w:name w:val="xl136"/>
    <w:basedOn w:val="Normal"/>
    <w:rsid w:val="00DC3A08"/>
    <w:pPr>
      <w:shd w:val="clear" w:color="000000" w:fill="505050"/>
      <w:spacing w:before="100" w:beforeAutospacing="1" w:after="100" w:afterAutospacing="1"/>
      <w:jc w:val="right"/>
    </w:pPr>
    <w:rPr>
      <w:rFonts w:ascii="Arial" w:hAnsi="Arial" w:cs="Arial"/>
      <w:b/>
      <w:bCs/>
      <w:color w:val="FFFFFF"/>
      <w:sz w:val="16"/>
      <w:szCs w:val="16"/>
    </w:rPr>
  </w:style>
  <w:style w:type="paragraph" w:customStyle="1" w:styleId="xl137">
    <w:name w:val="xl137"/>
    <w:basedOn w:val="Normal"/>
    <w:rsid w:val="00DC3A08"/>
    <w:pPr>
      <w:shd w:val="clear" w:color="000000" w:fill="505050"/>
      <w:spacing w:before="100" w:beforeAutospacing="1" w:after="100" w:afterAutospacing="1"/>
      <w:jc w:val="right"/>
    </w:pPr>
    <w:rPr>
      <w:rFonts w:ascii="Arial" w:hAnsi="Arial" w:cs="Arial"/>
      <w:b/>
      <w:bCs/>
      <w:color w:val="FFFFFF"/>
      <w:sz w:val="16"/>
      <w:szCs w:val="16"/>
    </w:rPr>
  </w:style>
  <w:style w:type="table" w:customStyle="1" w:styleId="Reetkatablice1">
    <w:name w:val="Rešetka tablice1"/>
    <w:basedOn w:val="Obinatablica"/>
    <w:next w:val="Reetkatablice"/>
    <w:uiPriority w:val="99"/>
    <w:rsid w:val="003C002B"/>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Obinatablica"/>
    <w:next w:val="LightShading2"/>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Obinatablica"/>
    <w:next w:val="LightShading-Accent12"/>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
    <w:name w:val="Light Shading21"/>
    <w:basedOn w:val="Obinatablica"/>
    <w:uiPriority w:val="60"/>
    <w:rsid w:val="003C002B"/>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Obinatablica"/>
    <w:uiPriority w:val="60"/>
    <w:rsid w:val="003C002B"/>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1">
    <w:name w:val="Svijetlo sjenčanje11"/>
    <w:basedOn w:val="Obinatablica"/>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
    <w:name w:val="Svijetlo sjenčanje - Isticanje 111"/>
    <w:basedOn w:val="Obinatablica"/>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2">
    <w:name w:val="Rešetka tablice2"/>
    <w:basedOn w:val="Obinatablica"/>
    <w:next w:val="Reetkatablice"/>
    <w:uiPriority w:val="99"/>
    <w:rsid w:val="003C002B"/>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Obinatablica"/>
    <w:next w:val="LightShading2"/>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Obinatablica"/>
    <w:next w:val="LightShading-Accent12"/>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Obinatablica"/>
    <w:uiPriority w:val="60"/>
    <w:rsid w:val="003C002B"/>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Obinatablica"/>
    <w:uiPriority w:val="60"/>
    <w:rsid w:val="003C002B"/>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2">
    <w:name w:val="Svijetlo sjenčanje12"/>
    <w:basedOn w:val="Obinatablica"/>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
    <w:name w:val="Svijetlo sjenčanje - Isticanje 112"/>
    <w:basedOn w:val="Obinatablica"/>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3">
    <w:name w:val="Rešetka tablice3"/>
    <w:basedOn w:val="Obinatablica"/>
    <w:next w:val="Reetkatablice"/>
    <w:uiPriority w:val="39"/>
    <w:rsid w:val="00F4095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D6CB1"/>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qFormat/>
    <w:rsid w:val="001C220A"/>
    <w:pPr>
      <w:spacing w:after="0" w:line="240" w:lineRule="auto"/>
    </w:pPr>
    <w:rPr>
      <w:rFonts w:eastAsia="Calibri" w:cs="Times New Roman"/>
      <w:sz w:val="22"/>
      <w:szCs w:val="20"/>
      <w:lang w:eastAsia="hr-HR"/>
    </w:rPr>
  </w:style>
  <w:style w:type="paragraph" w:customStyle="1" w:styleId="Textbody">
    <w:name w:val="Text body"/>
    <w:basedOn w:val="Normal"/>
    <w:qFormat/>
    <w:rsid w:val="0009650F"/>
    <w:pPr>
      <w:widowControl w:val="0"/>
      <w:suppressAutoHyphens/>
      <w:autoSpaceDN w:val="0"/>
      <w:spacing w:after="140" w:line="288" w:lineRule="auto"/>
      <w:textAlignment w:val="baseline"/>
    </w:pPr>
    <w:rPr>
      <w:rFonts w:ascii="Liberation Serif" w:eastAsia="SimSun" w:hAnsi="Liberation Serif" w:cs="Mangal"/>
      <w:kern w:val="3"/>
      <w:lang w:eastAsia="zh-CN" w:bidi="hi-IN"/>
    </w:rPr>
  </w:style>
  <w:style w:type="character" w:customStyle="1" w:styleId="ListLabel1">
    <w:name w:val="ListLabel 1"/>
    <w:qFormat/>
    <w:rsid w:val="00676BDD"/>
    <w:rPr>
      <w:rFonts w:eastAsia="Calibri" w:cs="Arial"/>
    </w:rPr>
  </w:style>
  <w:style w:type="character" w:customStyle="1" w:styleId="ListLabel2">
    <w:name w:val="ListLabel 2"/>
    <w:qFormat/>
    <w:rsid w:val="00676BDD"/>
    <w:rPr>
      <w:rFonts w:cs="Courier New"/>
    </w:rPr>
  </w:style>
  <w:style w:type="character" w:customStyle="1" w:styleId="ListLabel3">
    <w:name w:val="ListLabel 3"/>
    <w:qFormat/>
    <w:rsid w:val="00676BDD"/>
    <w:rPr>
      <w:rFonts w:cs="Courier New"/>
    </w:rPr>
  </w:style>
  <w:style w:type="character" w:customStyle="1" w:styleId="ListLabel4">
    <w:name w:val="ListLabel 4"/>
    <w:qFormat/>
    <w:rsid w:val="00676BDD"/>
    <w:rPr>
      <w:rFonts w:cs="Courier New"/>
    </w:rPr>
  </w:style>
  <w:style w:type="character" w:customStyle="1" w:styleId="ListLabel5">
    <w:name w:val="ListLabel 5"/>
    <w:qFormat/>
    <w:rsid w:val="00676BDD"/>
    <w:rPr>
      <w:rFonts w:eastAsia="Calibri" w:cs="Arial"/>
    </w:rPr>
  </w:style>
  <w:style w:type="character" w:customStyle="1" w:styleId="ListLabel6">
    <w:name w:val="ListLabel 6"/>
    <w:qFormat/>
    <w:rsid w:val="00676BDD"/>
    <w:rPr>
      <w:rFonts w:cs="Courier New"/>
    </w:rPr>
  </w:style>
  <w:style w:type="character" w:customStyle="1" w:styleId="ListLabel7">
    <w:name w:val="ListLabel 7"/>
    <w:qFormat/>
    <w:rsid w:val="00676BDD"/>
    <w:rPr>
      <w:rFonts w:cs="Courier New"/>
    </w:rPr>
  </w:style>
  <w:style w:type="character" w:customStyle="1" w:styleId="ListLabel8">
    <w:name w:val="ListLabel 8"/>
    <w:qFormat/>
    <w:rsid w:val="00676BDD"/>
    <w:rPr>
      <w:rFonts w:cs="Courier New"/>
    </w:rPr>
  </w:style>
  <w:style w:type="character" w:customStyle="1" w:styleId="ListLabel9">
    <w:name w:val="ListLabel 9"/>
    <w:qFormat/>
    <w:rsid w:val="00676BDD"/>
    <w:rPr>
      <w:rFonts w:eastAsia="Calibri" w:cs="Arial"/>
    </w:rPr>
  </w:style>
  <w:style w:type="character" w:customStyle="1" w:styleId="ListLabel10">
    <w:name w:val="ListLabel 10"/>
    <w:qFormat/>
    <w:rsid w:val="00676BDD"/>
    <w:rPr>
      <w:rFonts w:cs="Courier New"/>
    </w:rPr>
  </w:style>
  <w:style w:type="character" w:customStyle="1" w:styleId="ListLabel11">
    <w:name w:val="ListLabel 11"/>
    <w:qFormat/>
    <w:rsid w:val="00676BDD"/>
    <w:rPr>
      <w:rFonts w:cs="Courier New"/>
    </w:rPr>
  </w:style>
  <w:style w:type="character" w:customStyle="1" w:styleId="ListLabel12">
    <w:name w:val="ListLabel 12"/>
    <w:qFormat/>
    <w:rsid w:val="00676BDD"/>
    <w:rPr>
      <w:rFonts w:cs="Courier New"/>
    </w:rPr>
  </w:style>
  <w:style w:type="character" w:customStyle="1" w:styleId="ListLabel13">
    <w:name w:val="ListLabel 13"/>
    <w:qFormat/>
    <w:rsid w:val="00676BDD"/>
    <w:rPr>
      <w:rFonts w:eastAsia="Calibri" w:cs="Arial"/>
    </w:rPr>
  </w:style>
  <w:style w:type="character" w:customStyle="1" w:styleId="ListLabel14">
    <w:name w:val="ListLabel 14"/>
    <w:qFormat/>
    <w:rsid w:val="00676BDD"/>
    <w:rPr>
      <w:rFonts w:cs="Courier New"/>
    </w:rPr>
  </w:style>
  <w:style w:type="character" w:customStyle="1" w:styleId="ListLabel15">
    <w:name w:val="ListLabel 15"/>
    <w:qFormat/>
    <w:rsid w:val="00676BDD"/>
    <w:rPr>
      <w:rFonts w:cs="Courier New"/>
    </w:rPr>
  </w:style>
  <w:style w:type="character" w:customStyle="1" w:styleId="ListLabel16">
    <w:name w:val="ListLabel 16"/>
    <w:qFormat/>
    <w:rsid w:val="00676BDD"/>
    <w:rPr>
      <w:rFonts w:cs="Courier New"/>
    </w:rPr>
  </w:style>
  <w:style w:type="character" w:customStyle="1" w:styleId="ListLabel17">
    <w:name w:val="ListLabel 17"/>
    <w:qFormat/>
    <w:rsid w:val="00676BDD"/>
    <w:rPr>
      <w:rFonts w:eastAsia="Calibri" w:cs="Arial"/>
    </w:rPr>
  </w:style>
  <w:style w:type="character" w:customStyle="1" w:styleId="ListLabel18">
    <w:name w:val="ListLabel 18"/>
    <w:qFormat/>
    <w:rsid w:val="00676BDD"/>
    <w:rPr>
      <w:rFonts w:cs="Courier New"/>
    </w:rPr>
  </w:style>
  <w:style w:type="character" w:customStyle="1" w:styleId="ListLabel19">
    <w:name w:val="ListLabel 19"/>
    <w:qFormat/>
    <w:rsid w:val="00676BDD"/>
    <w:rPr>
      <w:rFonts w:cs="Courier New"/>
    </w:rPr>
  </w:style>
  <w:style w:type="character" w:customStyle="1" w:styleId="ListLabel20">
    <w:name w:val="ListLabel 20"/>
    <w:qFormat/>
    <w:rsid w:val="00676BDD"/>
    <w:rPr>
      <w:rFonts w:cs="Courier New"/>
    </w:rPr>
  </w:style>
  <w:style w:type="character" w:customStyle="1" w:styleId="ListLabel21">
    <w:name w:val="ListLabel 21"/>
    <w:qFormat/>
    <w:rsid w:val="00676BDD"/>
    <w:rPr>
      <w:rFonts w:eastAsia="Calibri" w:cs="Arial"/>
    </w:rPr>
  </w:style>
  <w:style w:type="character" w:customStyle="1" w:styleId="ListLabel22">
    <w:name w:val="ListLabel 22"/>
    <w:qFormat/>
    <w:rsid w:val="00676BDD"/>
    <w:rPr>
      <w:rFonts w:cs="Courier New"/>
    </w:rPr>
  </w:style>
  <w:style w:type="character" w:customStyle="1" w:styleId="ListLabel23">
    <w:name w:val="ListLabel 23"/>
    <w:qFormat/>
    <w:rsid w:val="00676BDD"/>
    <w:rPr>
      <w:rFonts w:cs="Courier New"/>
    </w:rPr>
  </w:style>
  <w:style w:type="character" w:customStyle="1" w:styleId="ListLabel24">
    <w:name w:val="ListLabel 24"/>
    <w:qFormat/>
    <w:rsid w:val="00676BDD"/>
    <w:rPr>
      <w:rFonts w:cs="Courier New"/>
    </w:rPr>
  </w:style>
  <w:style w:type="character" w:customStyle="1" w:styleId="ListLabel25">
    <w:name w:val="ListLabel 25"/>
    <w:qFormat/>
    <w:rsid w:val="00676BDD"/>
    <w:rPr>
      <w:rFonts w:eastAsia="Calibri" w:cs="Arial"/>
    </w:rPr>
  </w:style>
  <w:style w:type="character" w:customStyle="1" w:styleId="ListLabel26">
    <w:name w:val="ListLabel 26"/>
    <w:qFormat/>
    <w:rsid w:val="00676BDD"/>
    <w:rPr>
      <w:rFonts w:cs="Courier New"/>
    </w:rPr>
  </w:style>
  <w:style w:type="character" w:customStyle="1" w:styleId="ListLabel27">
    <w:name w:val="ListLabel 27"/>
    <w:qFormat/>
    <w:rsid w:val="00676BDD"/>
    <w:rPr>
      <w:rFonts w:cs="Courier New"/>
    </w:rPr>
  </w:style>
  <w:style w:type="character" w:customStyle="1" w:styleId="ListLabel28">
    <w:name w:val="ListLabel 28"/>
    <w:qFormat/>
    <w:rsid w:val="00676BDD"/>
    <w:rPr>
      <w:rFonts w:cs="Courier New"/>
    </w:rPr>
  </w:style>
  <w:style w:type="character" w:customStyle="1" w:styleId="ListLabel29">
    <w:name w:val="ListLabel 29"/>
    <w:qFormat/>
    <w:rsid w:val="00676BDD"/>
    <w:rPr>
      <w:rFonts w:eastAsia="Calibri" w:cs="Arial"/>
    </w:rPr>
  </w:style>
  <w:style w:type="character" w:customStyle="1" w:styleId="ListLabel30">
    <w:name w:val="ListLabel 30"/>
    <w:qFormat/>
    <w:rsid w:val="00676BDD"/>
    <w:rPr>
      <w:rFonts w:cs="Courier New"/>
    </w:rPr>
  </w:style>
  <w:style w:type="character" w:customStyle="1" w:styleId="ListLabel31">
    <w:name w:val="ListLabel 31"/>
    <w:qFormat/>
    <w:rsid w:val="00676BDD"/>
    <w:rPr>
      <w:rFonts w:cs="Courier New"/>
    </w:rPr>
  </w:style>
  <w:style w:type="character" w:customStyle="1" w:styleId="ListLabel32">
    <w:name w:val="ListLabel 32"/>
    <w:qFormat/>
    <w:rsid w:val="00676BDD"/>
    <w:rPr>
      <w:rFonts w:cs="Courier New"/>
    </w:rPr>
  </w:style>
  <w:style w:type="character" w:customStyle="1" w:styleId="ListLabel33">
    <w:name w:val="ListLabel 33"/>
    <w:qFormat/>
    <w:rsid w:val="00676BDD"/>
    <w:rPr>
      <w:rFonts w:eastAsia="Calibri" w:cs="Arial"/>
    </w:rPr>
  </w:style>
  <w:style w:type="character" w:customStyle="1" w:styleId="ListLabel34">
    <w:name w:val="ListLabel 34"/>
    <w:qFormat/>
    <w:rsid w:val="00676BDD"/>
    <w:rPr>
      <w:rFonts w:cs="Courier New"/>
    </w:rPr>
  </w:style>
  <w:style w:type="character" w:customStyle="1" w:styleId="ListLabel35">
    <w:name w:val="ListLabel 35"/>
    <w:qFormat/>
    <w:rsid w:val="00676BDD"/>
    <w:rPr>
      <w:rFonts w:cs="Courier New"/>
    </w:rPr>
  </w:style>
  <w:style w:type="character" w:customStyle="1" w:styleId="ListLabel36">
    <w:name w:val="ListLabel 36"/>
    <w:qFormat/>
    <w:rsid w:val="00676BDD"/>
    <w:rPr>
      <w:rFonts w:cs="Courier New"/>
    </w:rPr>
  </w:style>
  <w:style w:type="character" w:customStyle="1" w:styleId="ListLabel37">
    <w:name w:val="ListLabel 37"/>
    <w:qFormat/>
    <w:rsid w:val="00676BDD"/>
    <w:rPr>
      <w:rFonts w:eastAsia="Calibri" w:cs="Arial"/>
    </w:rPr>
  </w:style>
  <w:style w:type="character" w:customStyle="1" w:styleId="ListLabel38">
    <w:name w:val="ListLabel 38"/>
    <w:qFormat/>
    <w:rsid w:val="00676BDD"/>
    <w:rPr>
      <w:rFonts w:cs="Courier New"/>
    </w:rPr>
  </w:style>
  <w:style w:type="character" w:customStyle="1" w:styleId="ListLabel39">
    <w:name w:val="ListLabel 39"/>
    <w:qFormat/>
    <w:rsid w:val="00676BDD"/>
    <w:rPr>
      <w:rFonts w:cs="Courier New"/>
    </w:rPr>
  </w:style>
  <w:style w:type="character" w:customStyle="1" w:styleId="ListLabel40">
    <w:name w:val="ListLabel 40"/>
    <w:qFormat/>
    <w:rsid w:val="00676BDD"/>
    <w:rPr>
      <w:rFonts w:cs="Courier New"/>
    </w:rPr>
  </w:style>
  <w:style w:type="character" w:customStyle="1" w:styleId="ListLabel41">
    <w:name w:val="ListLabel 41"/>
    <w:qFormat/>
    <w:rsid w:val="00676BDD"/>
    <w:rPr>
      <w:rFonts w:eastAsia="Calibri" w:cs="Arial"/>
    </w:rPr>
  </w:style>
  <w:style w:type="character" w:customStyle="1" w:styleId="ListLabel42">
    <w:name w:val="ListLabel 42"/>
    <w:qFormat/>
    <w:rsid w:val="00676BDD"/>
    <w:rPr>
      <w:rFonts w:cs="Courier New"/>
    </w:rPr>
  </w:style>
  <w:style w:type="character" w:customStyle="1" w:styleId="ListLabel43">
    <w:name w:val="ListLabel 43"/>
    <w:qFormat/>
    <w:rsid w:val="00676BDD"/>
    <w:rPr>
      <w:rFonts w:cs="Courier New"/>
    </w:rPr>
  </w:style>
  <w:style w:type="character" w:customStyle="1" w:styleId="ListLabel44">
    <w:name w:val="ListLabel 44"/>
    <w:qFormat/>
    <w:rsid w:val="00676BDD"/>
    <w:rPr>
      <w:rFonts w:cs="Courier New"/>
    </w:rPr>
  </w:style>
  <w:style w:type="paragraph" w:customStyle="1" w:styleId="Stilnaslova">
    <w:name w:val="Stil naslova"/>
    <w:basedOn w:val="Normal"/>
    <w:next w:val="Tijeloteksta"/>
    <w:qFormat/>
    <w:rsid w:val="00676BDD"/>
    <w:pPr>
      <w:keepNext/>
      <w:spacing w:before="240" w:after="120" w:line="276" w:lineRule="auto"/>
    </w:pPr>
    <w:rPr>
      <w:rFonts w:ascii="Liberation Sans" w:eastAsia="Microsoft YaHei" w:hAnsi="Liberation Sans" w:cs="Arial"/>
      <w:sz w:val="28"/>
      <w:szCs w:val="28"/>
    </w:rPr>
  </w:style>
  <w:style w:type="paragraph" w:styleId="Opisslike">
    <w:name w:val="caption"/>
    <w:basedOn w:val="Normal"/>
    <w:qFormat/>
    <w:rsid w:val="00676BDD"/>
    <w:pPr>
      <w:suppressLineNumbers/>
      <w:spacing w:before="120" w:after="120" w:line="276" w:lineRule="auto"/>
    </w:pPr>
    <w:rPr>
      <w:rFonts w:asciiTheme="minorHAnsi" w:hAnsiTheme="minorHAnsi" w:cs="Arial"/>
      <w:i/>
      <w:iCs/>
    </w:rPr>
  </w:style>
  <w:style w:type="paragraph" w:customStyle="1" w:styleId="Indeks">
    <w:name w:val="Indeks"/>
    <w:basedOn w:val="Normal"/>
    <w:qFormat/>
    <w:rsid w:val="00676BDD"/>
    <w:pPr>
      <w:suppressLineNumbers/>
      <w:spacing w:after="200" w:line="276" w:lineRule="auto"/>
    </w:pPr>
    <w:rPr>
      <w:rFonts w:asciiTheme="minorHAnsi" w:hAnsiTheme="minorHAnsi" w:cs="Arial"/>
      <w:sz w:val="22"/>
    </w:rPr>
  </w:style>
  <w:style w:type="paragraph" w:styleId="Grafikeoznake">
    <w:name w:val="List Bullet"/>
    <w:basedOn w:val="Normal"/>
    <w:autoRedefine/>
    <w:rsid w:val="00A30E11"/>
    <w:pPr>
      <w:ind w:left="720"/>
    </w:pPr>
    <w:rPr>
      <w:rFonts w:ascii="Arial" w:hAnsi="Arial" w:cs="Arial"/>
      <w:bCs/>
      <w:sz w:val="22"/>
    </w:rPr>
  </w:style>
  <w:style w:type="table" w:customStyle="1" w:styleId="Reetkatablice5">
    <w:name w:val="Rešetka tablice5"/>
    <w:basedOn w:val="Obinatablica"/>
    <w:next w:val="Reetkatablice"/>
    <w:uiPriority w:val="99"/>
    <w:rsid w:val="0008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Obinatablica"/>
    <w:next w:val="LightShading2"/>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Obinatablica"/>
    <w:next w:val="LightShading-Accent12"/>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3">
    <w:name w:val="Light Shading23"/>
    <w:basedOn w:val="Obinatablica"/>
    <w:uiPriority w:val="60"/>
    <w:rsid w:val="000833F5"/>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3">
    <w:name w:val="Light Shading - Accent 123"/>
    <w:basedOn w:val="Obinatablica"/>
    <w:uiPriority w:val="60"/>
    <w:rsid w:val="000833F5"/>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3">
    <w:name w:val="Svijetlo sjenčanje13"/>
    <w:basedOn w:val="Obinatablica"/>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3">
    <w:name w:val="Svijetlo sjenčanje - Isticanje 113"/>
    <w:basedOn w:val="Obinatablica"/>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11">
    <w:name w:val="Rešetka tablice11"/>
    <w:basedOn w:val="Obinatablica"/>
    <w:next w:val="Reetkatablice"/>
    <w:uiPriority w:val="99"/>
    <w:rsid w:val="000833F5"/>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Obinatablica"/>
    <w:next w:val="LightShading2"/>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
    <w:name w:val="Light Shading - Accent 1111"/>
    <w:basedOn w:val="Obinatablica"/>
    <w:next w:val="LightShading-Accent12"/>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1">
    <w:name w:val="Light Shading211"/>
    <w:basedOn w:val="Obinatablica"/>
    <w:uiPriority w:val="60"/>
    <w:rsid w:val="000833F5"/>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1">
    <w:name w:val="Light Shading - Accent 1211"/>
    <w:basedOn w:val="Obinatablica"/>
    <w:uiPriority w:val="60"/>
    <w:rsid w:val="000833F5"/>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11">
    <w:name w:val="Svijetlo sjenčanje111"/>
    <w:basedOn w:val="Obinatablica"/>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1">
    <w:name w:val="Svijetlo sjenčanje - Isticanje 1111"/>
    <w:basedOn w:val="Obinatablica"/>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21">
    <w:name w:val="Rešetka tablice21"/>
    <w:basedOn w:val="Obinatablica"/>
    <w:next w:val="Reetkatablice"/>
    <w:uiPriority w:val="99"/>
    <w:rsid w:val="000833F5"/>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
    <w:name w:val="Light Shading121"/>
    <w:basedOn w:val="Obinatablica"/>
    <w:next w:val="LightShading2"/>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1">
    <w:name w:val="Light Shading - Accent 1121"/>
    <w:basedOn w:val="Obinatablica"/>
    <w:next w:val="LightShading-Accent12"/>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1">
    <w:name w:val="Light Shading221"/>
    <w:basedOn w:val="Obinatablica"/>
    <w:uiPriority w:val="60"/>
    <w:rsid w:val="000833F5"/>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1">
    <w:name w:val="Light Shading - Accent 1221"/>
    <w:basedOn w:val="Obinatablica"/>
    <w:uiPriority w:val="60"/>
    <w:rsid w:val="000833F5"/>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21">
    <w:name w:val="Svijetlo sjenčanje121"/>
    <w:basedOn w:val="Obinatablica"/>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1">
    <w:name w:val="Svijetlo sjenčanje - Isticanje 1121"/>
    <w:basedOn w:val="Obinatablica"/>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31">
    <w:name w:val="Rešetka tablice31"/>
    <w:basedOn w:val="Obinatablica"/>
    <w:next w:val="Reetkatablice"/>
    <w:uiPriority w:val="39"/>
    <w:rsid w:val="000833F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59"/>
    <w:rsid w:val="000833F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603E0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69218">
    <w:name w:val="box_469218"/>
    <w:basedOn w:val="Normal"/>
    <w:rsid w:val="00FB4CDD"/>
    <w:pPr>
      <w:spacing w:before="100" w:beforeAutospacing="1" w:after="100" w:afterAutospacing="1"/>
    </w:pPr>
  </w:style>
  <w:style w:type="table" w:customStyle="1" w:styleId="Reetkatablice7">
    <w:name w:val="Rešetka tablice7"/>
    <w:basedOn w:val="Obinatablica"/>
    <w:next w:val="Reetkatablice"/>
    <w:uiPriority w:val="59"/>
    <w:rsid w:val="003A49B6"/>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508BE"/>
    <w:pPr>
      <w:spacing w:after="0" w:line="240" w:lineRule="auto"/>
    </w:pPr>
    <w:rPr>
      <w:rFonts w:asciiTheme="minorHAnsi" w:eastAsiaTheme="minorEastAsia" w:hAnsiTheme="minorHAnsi"/>
      <w:sz w:val="22"/>
      <w:lang w:eastAsia="hr-HR"/>
    </w:rPr>
    <w:tblPr>
      <w:tblCellMar>
        <w:top w:w="0" w:type="dxa"/>
        <w:left w:w="0" w:type="dxa"/>
        <w:bottom w:w="0" w:type="dxa"/>
        <w:right w:w="0" w:type="dxa"/>
      </w:tblCellMar>
    </w:tblPr>
  </w:style>
  <w:style w:type="character" w:customStyle="1" w:styleId="Naslov6Char">
    <w:name w:val="Naslov 6 Char"/>
    <w:basedOn w:val="Zadanifontodlomka"/>
    <w:link w:val="Naslov6"/>
    <w:rsid w:val="00915EC7"/>
    <w:rPr>
      <w:rFonts w:eastAsia="Times New Roman" w:cs="Times New Roman"/>
      <w:b/>
      <w:bCs/>
      <w:szCs w:val="20"/>
      <w:lang w:val="en-GB"/>
    </w:rPr>
  </w:style>
  <w:style w:type="character" w:customStyle="1" w:styleId="Naslov8Char">
    <w:name w:val="Naslov 8 Char"/>
    <w:basedOn w:val="Zadanifontodlomka"/>
    <w:link w:val="Naslov8"/>
    <w:uiPriority w:val="9"/>
    <w:semiHidden/>
    <w:rsid w:val="004B5128"/>
    <w:rPr>
      <w:rFonts w:eastAsiaTheme="majorEastAsia" w:cstheme="majorBidi"/>
      <w:i/>
      <w:iCs/>
      <w:color w:val="272727" w:themeColor="text1" w:themeTint="D8"/>
    </w:rPr>
  </w:style>
  <w:style w:type="paragraph" w:styleId="Podnaslov">
    <w:name w:val="Subtitle"/>
    <w:basedOn w:val="Normal"/>
    <w:next w:val="Normal"/>
    <w:link w:val="PodnaslovChar"/>
    <w:uiPriority w:val="11"/>
    <w:qFormat/>
    <w:rsid w:val="004B5128"/>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4B512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B5128"/>
    <w:pPr>
      <w:spacing w:before="160"/>
      <w:jc w:val="center"/>
    </w:pPr>
    <w:rPr>
      <w:i/>
      <w:iCs/>
      <w:color w:val="404040" w:themeColor="text1" w:themeTint="BF"/>
    </w:rPr>
  </w:style>
  <w:style w:type="character" w:customStyle="1" w:styleId="CitatChar">
    <w:name w:val="Citat Char"/>
    <w:basedOn w:val="Zadanifontodlomka"/>
    <w:link w:val="Citat"/>
    <w:uiPriority w:val="29"/>
    <w:rsid w:val="004B5128"/>
    <w:rPr>
      <w:i/>
      <w:iCs/>
      <w:color w:val="404040" w:themeColor="text1" w:themeTint="BF"/>
    </w:rPr>
  </w:style>
  <w:style w:type="character" w:styleId="Jakoisticanje">
    <w:name w:val="Intense Emphasis"/>
    <w:basedOn w:val="Zadanifontodlomka"/>
    <w:uiPriority w:val="21"/>
    <w:qFormat/>
    <w:rsid w:val="004B5128"/>
    <w:rPr>
      <w:i/>
      <w:iCs/>
      <w:color w:val="2E74B5" w:themeColor="accent1" w:themeShade="BF"/>
    </w:rPr>
  </w:style>
  <w:style w:type="paragraph" w:styleId="Naglaencitat">
    <w:name w:val="Intense Quote"/>
    <w:basedOn w:val="Normal"/>
    <w:next w:val="Normal"/>
    <w:link w:val="NaglaencitatChar"/>
    <w:uiPriority w:val="30"/>
    <w:qFormat/>
    <w:rsid w:val="004B512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NaglaencitatChar">
    <w:name w:val="Naglašen citat Char"/>
    <w:basedOn w:val="Zadanifontodlomka"/>
    <w:link w:val="Naglaencitat"/>
    <w:uiPriority w:val="30"/>
    <w:rsid w:val="004B5128"/>
    <w:rPr>
      <w:i/>
      <w:iCs/>
      <w:color w:val="2E74B5" w:themeColor="accent1" w:themeShade="BF"/>
    </w:rPr>
  </w:style>
  <w:style w:type="character" w:styleId="Istaknutareferenca">
    <w:name w:val="Intense Reference"/>
    <w:basedOn w:val="Zadanifontodlomka"/>
    <w:uiPriority w:val="32"/>
    <w:qFormat/>
    <w:rsid w:val="004B5128"/>
    <w:rPr>
      <w:b/>
      <w:bCs/>
      <w:smallCaps/>
      <w:color w:val="2E74B5" w:themeColor="accent1" w:themeShade="BF"/>
      <w:spacing w:val="5"/>
    </w:rPr>
  </w:style>
  <w:style w:type="character" w:customStyle="1" w:styleId="uv3um">
    <w:name w:val="uv3um"/>
    <w:basedOn w:val="Zadanifontodlomka"/>
    <w:rsid w:val="007B7808"/>
  </w:style>
  <w:style w:type="paragraph" w:styleId="Revizija">
    <w:name w:val="Revision"/>
    <w:uiPriority w:val="99"/>
    <w:semiHidden/>
    <w:rsid w:val="00FF767D"/>
    <w:pPr>
      <w:spacing w:after="0" w:line="240" w:lineRule="auto"/>
    </w:pPr>
    <w:rPr>
      <w:rFonts w:asciiTheme="minorHAnsi" w:hAnsiTheme="minorHAnsi"/>
      <w:sz w:val="22"/>
    </w:rPr>
  </w:style>
  <w:style w:type="table" w:customStyle="1" w:styleId="TableNormal">
    <w:name w:val="Table Normal"/>
    <w:rsid w:val="002B38A3"/>
    <w:pPr>
      <w:spacing w:after="0" w:line="276" w:lineRule="auto"/>
    </w:pPr>
    <w:rPr>
      <w:rFonts w:ascii="Arial" w:eastAsia="Arial" w:hAnsi="Arial" w:cs="Arial"/>
      <w:sz w:val="22"/>
      <w:lang w:val="en"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8979">
      <w:bodyDiv w:val="1"/>
      <w:marLeft w:val="0"/>
      <w:marRight w:val="0"/>
      <w:marTop w:val="0"/>
      <w:marBottom w:val="0"/>
      <w:divBdr>
        <w:top w:val="none" w:sz="0" w:space="0" w:color="auto"/>
        <w:left w:val="none" w:sz="0" w:space="0" w:color="auto"/>
        <w:bottom w:val="none" w:sz="0" w:space="0" w:color="auto"/>
        <w:right w:val="none" w:sz="0" w:space="0" w:color="auto"/>
      </w:divBdr>
    </w:div>
    <w:div w:id="25298026">
      <w:bodyDiv w:val="1"/>
      <w:marLeft w:val="0"/>
      <w:marRight w:val="0"/>
      <w:marTop w:val="0"/>
      <w:marBottom w:val="0"/>
      <w:divBdr>
        <w:top w:val="none" w:sz="0" w:space="0" w:color="auto"/>
        <w:left w:val="none" w:sz="0" w:space="0" w:color="auto"/>
        <w:bottom w:val="none" w:sz="0" w:space="0" w:color="auto"/>
        <w:right w:val="none" w:sz="0" w:space="0" w:color="auto"/>
      </w:divBdr>
    </w:div>
    <w:div w:id="28260653">
      <w:bodyDiv w:val="1"/>
      <w:marLeft w:val="0"/>
      <w:marRight w:val="0"/>
      <w:marTop w:val="0"/>
      <w:marBottom w:val="0"/>
      <w:divBdr>
        <w:top w:val="none" w:sz="0" w:space="0" w:color="auto"/>
        <w:left w:val="none" w:sz="0" w:space="0" w:color="auto"/>
        <w:bottom w:val="none" w:sz="0" w:space="0" w:color="auto"/>
        <w:right w:val="none" w:sz="0" w:space="0" w:color="auto"/>
      </w:divBdr>
    </w:div>
    <w:div w:id="30427043">
      <w:bodyDiv w:val="1"/>
      <w:marLeft w:val="0"/>
      <w:marRight w:val="0"/>
      <w:marTop w:val="0"/>
      <w:marBottom w:val="0"/>
      <w:divBdr>
        <w:top w:val="none" w:sz="0" w:space="0" w:color="auto"/>
        <w:left w:val="none" w:sz="0" w:space="0" w:color="auto"/>
        <w:bottom w:val="none" w:sz="0" w:space="0" w:color="auto"/>
        <w:right w:val="none" w:sz="0" w:space="0" w:color="auto"/>
      </w:divBdr>
    </w:div>
    <w:div w:id="38019439">
      <w:bodyDiv w:val="1"/>
      <w:marLeft w:val="0"/>
      <w:marRight w:val="0"/>
      <w:marTop w:val="0"/>
      <w:marBottom w:val="0"/>
      <w:divBdr>
        <w:top w:val="none" w:sz="0" w:space="0" w:color="auto"/>
        <w:left w:val="none" w:sz="0" w:space="0" w:color="auto"/>
        <w:bottom w:val="none" w:sz="0" w:space="0" w:color="auto"/>
        <w:right w:val="none" w:sz="0" w:space="0" w:color="auto"/>
      </w:divBdr>
    </w:div>
    <w:div w:id="48916822">
      <w:bodyDiv w:val="1"/>
      <w:marLeft w:val="0"/>
      <w:marRight w:val="0"/>
      <w:marTop w:val="0"/>
      <w:marBottom w:val="0"/>
      <w:divBdr>
        <w:top w:val="none" w:sz="0" w:space="0" w:color="auto"/>
        <w:left w:val="none" w:sz="0" w:space="0" w:color="auto"/>
        <w:bottom w:val="none" w:sz="0" w:space="0" w:color="auto"/>
        <w:right w:val="none" w:sz="0" w:space="0" w:color="auto"/>
      </w:divBdr>
    </w:div>
    <w:div w:id="49309592">
      <w:bodyDiv w:val="1"/>
      <w:marLeft w:val="0"/>
      <w:marRight w:val="0"/>
      <w:marTop w:val="0"/>
      <w:marBottom w:val="0"/>
      <w:divBdr>
        <w:top w:val="none" w:sz="0" w:space="0" w:color="auto"/>
        <w:left w:val="none" w:sz="0" w:space="0" w:color="auto"/>
        <w:bottom w:val="none" w:sz="0" w:space="0" w:color="auto"/>
        <w:right w:val="none" w:sz="0" w:space="0" w:color="auto"/>
      </w:divBdr>
    </w:div>
    <w:div w:id="54396282">
      <w:bodyDiv w:val="1"/>
      <w:marLeft w:val="0"/>
      <w:marRight w:val="0"/>
      <w:marTop w:val="0"/>
      <w:marBottom w:val="0"/>
      <w:divBdr>
        <w:top w:val="none" w:sz="0" w:space="0" w:color="auto"/>
        <w:left w:val="none" w:sz="0" w:space="0" w:color="auto"/>
        <w:bottom w:val="none" w:sz="0" w:space="0" w:color="auto"/>
        <w:right w:val="none" w:sz="0" w:space="0" w:color="auto"/>
      </w:divBdr>
    </w:div>
    <w:div w:id="63647084">
      <w:bodyDiv w:val="1"/>
      <w:marLeft w:val="0"/>
      <w:marRight w:val="0"/>
      <w:marTop w:val="0"/>
      <w:marBottom w:val="0"/>
      <w:divBdr>
        <w:top w:val="none" w:sz="0" w:space="0" w:color="auto"/>
        <w:left w:val="none" w:sz="0" w:space="0" w:color="auto"/>
        <w:bottom w:val="none" w:sz="0" w:space="0" w:color="auto"/>
        <w:right w:val="none" w:sz="0" w:space="0" w:color="auto"/>
      </w:divBdr>
    </w:div>
    <w:div w:id="68430940">
      <w:bodyDiv w:val="1"/>
      <w:marLeft w:val="0"/>
      <w:marRight w:val="0"/>
      <w:marTop w:val="0"/>
      <w:marBottom w:val="0"/>
      <w:divBdr>
        <w:top w:val="none" w:sz="0" w:space="0" w:color="auto"/>
        <w:left w:val="none" w:sz="0" w:space="0" w:color="auto"/>
        <w:bottom w:val="none" w:sz="0" w:space="0" w:color="auto"/>
        <w:right w:val="none" w:sz="0" w:space="0" w:color="auto"/>
      </w:divBdr>
    </w:div>
    <w:div w:id="71319840">
      <w:bodyDiv w:val="1"/>
      <w:marLeft w:val="0"/>
      <w:marRight w:val="0"/>
      <w:marTop w:val="0"/>
      <w:marBottom w:val="0"/>
      <w:divBdr>
        <w:top w:val="none" w:sz="0" w:space="0" w:color="auto"/>
        <w:left w:val="none" w:sz="0" w:space="0" w:color="auto"/>
        <w:bottom w:val="none" w:sz="0" w:space="0" w:color="auto"/>
        <w:right w:val="none" w:sz="0" w:space="0" w:color="auto"/>
      </w:divBdr>
    </w:div>
    <w:div w:id="73166079">
      <w:bodyDiv w:val="1"/>
      <w:marLeft w:val="0"/>
      <w:marRight w:val="0"/>
      <w:marTop w:val="0"/>
      <w:marBottom w:val="0"/>
      <w:divBdr>
        <w:top w:val="none" w:sz="0" w:space="0" w:color="auto"/>
        <w:left w:val="none" w:sz="0" w:space="0" w:color="auto"/>
        <w:bottom w:val="none" w:sz="0" w:space="0" w:color="auto"/>
        <w:right w:val="none" w:sz="0" w:space="0" w:color="auto"/>
      </w:divBdr>
    </w:div>
    <w:div w:id="73820106">
      <w:bodyDiv w:val="1"/>
      <w:marLeft w:val="0"/>
      <w:marRight w:val="0"/>
      <w:marTop w:val="0"/>
      <w:marBottom w:val="0"/>
      <w:divBdr>
        <w:top w:val="none" w:sz="0" w:space="0" w:color="auto"/>
        <w:left w:val="none" w:sz="0" w:space="0" w:color="auto"/>
        <w:bottom w:val="none" w:sz="0" w:space="0" w:color="auto"/>
        <w:right w:val="none" w:sz="0" w:space="0" w:color="auto"/>
      </w:divBdr>
    </w:div>
    <w:div w:id="80609327">
      <w:bodyDiv w:val="1"/>
      <w:marLeft w:val="0"/>
      <w:marRight w:val="0"/>
      <w:marTop w:val="0"/>
      <w:marBottom w:val="0"/>
      <w:divBdr>
        <w:top w:val="none" w:sz="0" w:space="0" w:color="auto"/>
        <w:left w:val="none" w:sz="0" w:space="0" w:color="auto"/>
        <w:bottom w:val="none" w:sz="0" w:space="0" w:color="auto"/>
        <w:right w:val="none" w:sz="0" w:space="0" w:color="auto"/>
      </w:divBdr>
    </w:div>
    <w:div w:id="88353740">
      <w:bodyDiv w:val="1"/>
      <w:marLeft w:val="0"/>
      <w:marRight w:val="0"/>
      <w:marTop w:val="0"/>
      <w:marBottom w:val="0"/>
      <w:divBdr>
        <w:top w:val="none" w:sz="0" w:space="0" w:color="auto"/>
        <w:left w:val="none" w:sz="0" w:space="0" w:color="auto"/>
        <w:bottom w:val="none" w:sz="0" w:space="0" w:color="auto"/>
        <w:right w:val="none" w:sz="0" w:space="0" w:color="auto"/>
      </w:divBdr>
    </w:div>
    <w:div w:id="102843208">
      <w:bodyDiv w:val="1"/>
      <w:marLeft w:val="0"/>
      <w:marRight w:val="0"/>
      <w:marTop w:val="0"/>
      <w:marBottom w:val="0"/>
      <w:divBdr>
        <w:top w:val="none" w:sz="0" w:space="0" w:color="auto"/>
        <w:left w:val="none" w:sz="0" w:space="0" w:color="auto"/>
        <w:bottom w:val="none" w:sz="0" w:space="0" w:color="auto"/>
        <w:right w:val="none" w:sz="0" w:space="0" w:color="auto"/>
      </w:divBdr>
    </w:div>
    <w:div w:id="107283714">
      <w:bodyDiv w:val="1"/>
      <w:marLeft w:val="0"/>
      <w:marRight w:val="0"/>
      <w:marTop w:val="0"/>
      <w:marBottom w:val="0"/>
      <w:divBdr>
        <w:top w:val="none" w:sz="0" w:space="0" w:color="auto"/>
        <w:left w:val="none" w:sz="0" w:space="0" w:color="auto"/>
        <w:bottom w:val="none" w:sz="0" w:space="0" w:color="auto"/>
        <w:right w:val="none" w:sz="0" w:space="0" w:color="auto"/>
      </w:divBdr>
    </w:div>
    <w:div w:id="111360756">
      <w:bodyDiv w:val="1"/>
      <w:marLeft w:val="0"/>
      <w:marRight w:val="0"/>
      <w:marTop w:val="0"/>
      <w:marBottom w:val="0"/>
      <w:divBdr>
        <w:top w:val="none" w:sz="0" w:space="0" w:color="auto"/>
        <w:left w:val="none" w:sz="0" w:space="0" w:color="auto"/>
        <w:bottom w:val="none" w:sz="0" w:space="0" w:color="auto"/>
        <w:right w:val="none" w:sz="0" w:space="0" w:color="auto"/>
      </w:divBdr>
    </w:div>
    <w:div w:id="116873138">
      <w:bodyDiv w:val="1"/>
      <w:marLeft w:val="0"/>
      <w:marRight w:val="0"/>
      <w:marTop w:val="0"/>
      <w:marBottom w:val="0"/>
      <w:divBdr>
        <w:top w:val="none" w:sz="0" w:space="0" w:color="auto"/>
        <w:left w:val="none" w:sz="0" w:space="0" w:color="auto"/>
        <w:bottom w:val="none" w:sz="0" w:space="0" w:color="auto"/>
        <w:right w:val="none" w:sz="0" w:space="0" w:color="auto"/>
      </w:divBdr>
    </w:div>
    <w:div w:id="135992216">
      <w:bodyDiv w:val="1"/>
      <w:marLeft w:val="0"/>
      <w:marRight w:val="0"/>
      <w:marTop w:val="0"/>
      <w:marBottom w:val="0"/>
      <w:divBdr>
        <w:top w:val="none" w:sz="0" w:space="0" w:color="auto"/>
        <w:left w:val="none" w:sz="0" w:space="0" w:color="auto"/>
        <w:bottom w:val="none" w:sz="0" w:space="0" w:color="auto"/>
        <w:right w:val="none" w:sz="0" w:space="0" w:color="auto"/>
      </w:divBdr>
    </w:div>
    <w:div w:id="140463012">
      <w:bodyDiv w:val="1"/>
      <w:marLeft w:val="0"/>
      <w:marRight w:val="0"/>
      <w:marTop w:val="0"/>
      <w:marBottom w:val="0"/>
      <w:divBdr>
        <w:top w:val="none" w:sz="0" w:space="0" w:color="auto"/>
        <w:left w:val="none" w:sz="0" w:space="0" w:color="auto"/>
        <w:bottom w:val="none" w:sz="0" w:space="0" w:color="auto"/>
        <w:right w:val="none" w:sz="0" w:space="0" w:color="auto"/>
      </w:divBdr>
    </w:div>
    <w:div w:id="158497538">
      <w:bodyDiv w:val="1"/>
      <w:marLeft w:val="0"/>
      <w:marRight w:val="0"/>
      <w:marTop w:val="0"/>
      <w:marBottom w:val="0"/>
      <w:divBdr>
        <w:top w:val="none" w:sz="0" w:space="0" w:color="auto"/>
        <w:left w:val="none" w:sz="0" w:space="0" w:color="auto"/>
        <w:bottom w:val="none" w:sz="0" w:space="0" w:color="auto"/>
        <w:right w:val="none" w:sz="0" w:space="0" w:color="auto"/>
      </w:divBdr>
    </w:div>
    <w:div w:id="160051557">
      <w:bodyDiv w:val="1"/>
      <w:marLeft w:val="0"/>
      <w:marRight w:val="0"/>
      <w:marTop w:val="0"/>
      <w:marBottom w:val="0"/>
      <w:divBdr>
        <w:top w:val="none" w:sz="0" w:space="0" w:color="auto"/>
        <w:left w:val="none" w:sz="0" w:space="0" w:color="auto"/>
        <w:bottom w:val="none" w:sz="0" w:space="0" w:color="auto"/>
        <w:right w:val="none" w:sz="0" w:space="0" w:color="auto"/>
      </w:divBdr>
    </w:div>
    <w:div w:id="161511210">
      <w:bodyDiv w:val="1"/>
      <w:marLeft w:val="0"/>
      <w:marRight w:val="0"/>
      <w:marTop w:val="0"/>
      <w:marBottom w:val="0"/>
      <w:divBdr>
        <w:top w:val="none" w:sz="0" w:space="0" w:color="auto"/>
        <w:left w:val="none" w:sz="0" w:space="0" w:color="auto"/>
        <w:bottom w:val="none" w:sz="0" w:space="0" w:color="auto"/>
        <w:right w:val="none" w:sz="0" w:space="0" w:color="auto"/>
      </w:divBdr>
    </w:div>
    <w:div w:id="162553365">
      <w:bodyDiv w:val="1"/>
      <w:marLeft w:val="0"/>
      <w:marRight w:val="0"/>
      <w:marTop w:val="0"/>
      <w:marBottom w:val="0"/>
      <w:divBdr>
        <w:top w:val="none" w:sz="0" w:space="0" w:color="auto"/>
        <w:left w:val="none" w:sz="0" w:space="0" w:color="auto"/>
        <w:bottom w:val="none" w:sz="0" w:space="0" w:color="auto"/>
        <w:right w:val="none" w:sz="0" w:space="0" w:color="auto"/>
      </w:divBdr>
    </w:div>
    <w:div w:id="174654825">
      <w:bodyDiv w:val="1"/>
      <w:marLeft w:val="0"/>
      <w:marRight w:val="0"/>
      <w:marTop w:val="0"/>
      <w:marBottom w:val="0"/>
      <w:divBdr>
        <w:top w:val="none" w:sz="0" w:space="0" w:color="auto"/>
        <w:left w:val="none" w:sz="0" w:space="0" w:color="auto"/>
        <w:bottom w:val="none" w:sz="0" w:space="0" w:color="auto"/>
        <w:right w:val="none" w:sz="0" w:space="0" w:color="auto"/>
      </w:divBdr>
    </w:div>
    <w:div w:id="178665501">
      <w:bodyDiv w:val="1"/>
      <w:marLeft w:val="0"/>
      <w:marRight w:val="0"/>
      <w:marTop w:val="0"/>
      <w:marBottom w:val="0"/>
      <w:divBdr>
        <w:top w:val="none" w:sz="0" w:space="0" w:color="auto"/>
        <w:left w:val="none" w:sz="0" w:space="0" w:color="auto"/>
        <w:bottom w:val="none" w:sz="0" w:space="0" w:color="auto"/>
        <w:right w:val="none" w:sz="0" w:space="0" w:color="auto"/>
      </w:divBdr>
    </w:div>
    <w:div w:id="187645160">
      <w:bodyDiv w:val="1"/>
      <w:marLeft w:val="0"/>
      <w:marRight w:val="0"/>
      <w:marTop w:val="0"/>
      <w:marBottom w:val="0"/>
      <w:divBdr>
        <w:top w:val="none" w:sz="0" w:space="0" w:color="auto"/>
        <w:left w:val="none" w:sz="0" w:space="0" w:color="auto"/>
        <w:bottom w:val="none" w:sz="0" w:space="0" w:color="auto"/>
        <w:right w:val="none" w:sz="0" w:space="0" w:color="auto"/>
      </w:divBdr>
    </w:div>
    <w:div w:id="204874774">
      <w:bodyDiv w:val="1"/>
      <w:marLeft w:val="0"/>
      <w:marRight w:val="0"/>
      <w:marTop w:val="0"/>
      <w:marBottom w:val="0"/>
      <w:divBdr>
        <w:top w:val="none" w:sz="0" w:space="0" w:color="auto"/>
        <w:left w:val="none" w:sz="0" w:space="0" w:color="auto"/>
        <w:bottom w:val="none" w:sz="0" w:space="0" w:color="auto"/>
        <w:right w:val="none" w:sz="0" w:space="0" w:color="auto"/>
      </w:divBdr>
    </w:div>
    <w:div w:id="208806157">
      <w:bodyDiv w:val="1"/>
      <w:marLeft w:val="0"/>
      <w:marRight w:val="0"/>
      <w:marTop w:val="0"/>
      <w:marBottom w:val="0"/>
      <w:divBdr>
        <w:top w:val="none" w:sz="0" w:space="0" w:color="auto"/>
        <w:left w:val="none" w:sz="0" w:space="0" w:color="auto"/>
        <w:bottom w:val="none" w:sz="0" w:space="0" w:color="auto"/>
        <w:right w:val="none" w:sz="0" w:space="0" w:color="auto"/>
      </w:divBdr>
    </w:div>
    <w:div w:id="209466314">
      <w:bodyDiv w:val="1"/>
      <w:marLeft w:val="0"/>
      <w:marRight w:val="0"/>
      <w:marTop w:val="0"/>
      <w:marBottom w:val="0"/>
      <w:divBdr>
        <w:top w:val="none" w:sz="0" w:space="0" w:color="auto"/>
        <w:left w:val="none" w:sz="0" w:space="0" w:color="auto"/>
        <w:bottom w:val="none" w:sz="0" w:space="0" w:color="auto"/>
        <w:right w:val="none" w:sz="0" w:space="0" w:color="auto"/>
      </w:divBdr>
    </w:div>
    <w:div w:id="221332318">
      <w:bodyDiv w:val="1"/>
      <w:marLeft w:val="0"/>
      <w:marRight w:val="0"/>
      <w:marTop w:val="0"/>
      <w:marBottom w:val="0"/>
      <w:divBdr>
        <w:top w:val="none" w:sz="0" w:space="0" w:color="auto"/>
        <w:left w:val="none" w:sz="0" w:space="0" w:color="auto"/>
        <w:bottom w:val="none" w:sz="0" w:space="0" w:color="auto"/>
        <w:right w:val="none" w:sz="0" w:space="0" w:color="auto"/>
      </w:divBdr>
    </w:div>
    <w:div w:id="238902639">
      <w:bodyDiv w:val="1"/>
      <w:marLeft w:val="0"/>
      <w:marRight w:val="0"/>
      <w:marTop w:val="0"/>
      <w:marBottom w:val="0"/>
      <w:divBdr>
        <w:top w:val="none" w:sz="0" w:space="0" w:color="auto"/>
        <w:left w:val="none" w:sz="0" w:space="0" w:color="auto"/>
        <w:bottom w:val="none" w:sz="0" w:space="0" w:color="auto"/>
        <w:right w:val="none" w:sz="0" w:space="0" w:color="auto"/>
      </w:divBdr>
    </w:div>
    <w:div w:id="252978497">
      <w:bodyDiv w:val="1"/>
      <w:marLeft w:val="0"/>
      <w:marRight w:val="0"/>
      <w:marTop w:val="0"/>
      <w:marBottom w:val="0"/>
      <w:divBdr>
        <w:top w:val="none" w:sz="0" w:space="0" w:color="auto"/>
        <w:left w:val="none" w:sz="0" w:space="0" w:color="auto"/>
        <w:bottom w:val="none" w:sz="0" w:space="0" w:color="auto"/>
        <w:right w:val="none" w:sz="0" w:space="0" w:color="auto"/>
      </w:divBdr>
    </w:div>
    <w:div w:id="258950990">
      <w:bodyDiv w:val="1"/>
      <w:marLeft w:val="0"/>
      <w:marRight w:val="0"/>
      <w:marTop w:val="0"/>
      <w:marBottom w:val="0"/>
      <w:divBdr>
        <w:top w:val="none" w:sz="0" w:space="0" w:color="auto"/>
        <w:left w:val="none" w:sz="0" w:space="0" w:color="auto"/>
        <w:bottom w:val="none" w:sz="0" w:space="0" w:color="auto"/>
        <w:right w:val="none" w:sz="0" w:space="0" w:color="auto"/>
      </w:divBdr>
    </w:div>
    <w:div w:id="263266732">
      <w:bodyDiv w:val="1"/>
      <w:marLeft w:val="0"/>
      <w:marRight w:val="0"/>
      <w:marTop w:val="0"/>
      <w:marBottom w:val="0"/>
      <w:divBdr>
        <w:top w:val="none" w:sz="0" w:space="0" w:color="auto"/>
        <w:left w:val="none" w:sz="0" w:space="0" w:color="auto"/>
        <w:bottom w:val="none" w:sz="0" w:space="0" w:color="auto"/>
        <w:right w:val="none" w:sz="0" w:space="0" w:color="auto"/>
      </w:divBdr>
    </w:div>
    <w:div w:id="278610487">
      <w:bodyDiv w:val="1"/>
      <w:marLeft w:val="0"/>
      <w:marRight w:val="0"/>
      <w:marTop w:val="0"/>
      <w:marBottom w:val="0"/>
      <w:divBdr>
        <w:top w:val="none" w:sz="0" w:space="0" w:color="auto"/>
        <w:left w:val="none" w:sz="0" w:space="0" w:color="auto"/>
        <w:bottom w:val="none" w:sz="0" w:space="0" w:color="auto"/>
        <w:right w:val="none" w:sz="0" w:space="0" w:color="auto"/>
      </w:divBdr>
    </w:div>
    <w:div w:id="280187735">
      <w:bodyDiv w:val="1"/>
      <w:marLeft w:val="0"/>
      <w:marRight w:val="0"/>
      <w:marTop w:val="0"/>
      <w:marBottom w:val="0"/>
      <w:divBdr>
        <w:top w:val="none" w:sz="0" w:space="0" w:color="auto"/>
        <w:left w:val="none" w:sz="0" w:space="0" w:color="auto"/>
        <w:bottom w:val="none" w:sz="0" w:space="0" w:color="auto"/>
        <w:right w:val="none" w:sz="0" w:space="0" w:color="auto"/>
      </w:divBdr>
    </w:div>
    <w:div w:id="287669438">
      <w:bodyDiv w:val="1"/>
      <w:marLeft w:val="0"/>
      <w:marRight w:val="0"/>
      <w:marTop w:val="0"/>
      <w:marBottom w:val="0"/>
      <w:divBdr>
        <w:top w:val="none" w:sz="0" w:space="0" w:color="auto"/>
        <w:left w:val="none" w:sz="0" w:space="0" w:color="auto"/>
        <w:bottom w:val="none" w:sz="0" w:space="0" w:color="auto"/>
        <w:right w:val="none" w:sz="0" w:space="0" w:color="auto"/>
      </w:divBdr>
    </w:div>
    <w:div w:id="290212116">
      <w:bodyDiv w:val="1"/>
      <w:marLeft w:val="0"/>
      <w:marRight w:val="0"/>
      <w:marTop w:val="0"/>
      <w:marBottom w:val="0"/>
      <w:divBdr>
        <w:top w:val="none" w:sz="0" w:space="0" w:color="auto"/>
        <w:left w:val="none" w:sz="0" w:space="0" w:color="auto"/>
        <w:bottom w:val="none" w:sz="0" w:space="0" w:color="auto"/>
        <w:right w:val="none" w:sz="0" w:space="0" w:color="auto"/>
      </w:divBdr>
    </w:div>
    <w:div w:id="312948118">
      <w:bodyDiv w:val="1"/>
      <w:marLeft w:val="0"/>
      <w:marRight w:val="0"/>
      <w:marTop w:val="0"/>
      <w:marBottom w:val="0"/>
      <w:divBdr>
        <w:top w:val="none" w:sz="0" w:space="0" w:color="auto"/>
        <w:left w:val="none" w:sz="0" w:space="0" w:color="auto"/>
        <w:bottom w:val="none" w:sz="0" w:space="0" w:color="auto"/>
        <w:right w:val="none" w:sz="0" w:space="0" w:color="auto"/>
      </w:divBdr>
    </w:div>
    <w:div w:id="338049698">
      <w:bodyDiv w:val="1"/>
      <w:marLeft w:val="0"/>
      <w:marRight w:val="0"/>
      <w:marTop w:val="0"/>
      <w:marBottom w:val="0"/>
      <w:divBdr>
        <w:top w:val="none" w:sz="0" w:space="0" w:color="auto"/>
        <w:left w:val="none" w:sz="0" w:space="0" w:color="auto"/>
        <w:bottom w:val="none" w:sz="0" w:space="0" w:color="auto"/>
        <w:right w:val="none" w:sz="0" w:space="0" w:color="auto"/>
      </w:divBdr>
    </w:div>
    <w:div w:id="340818397">
      <w:bodyDiv w:val="1"/>
      <w:marLeft w:val="0"/>
      <w:marRight w:val="0"/>
      <w:marTop w:val="0"/>
      <w:marBottom w:val="0"/>
      <w:divBdr>
        <w:top w:val="none" w:sz="0" w:space="0" w:color="auto"/>
        <w:left w:val="none" w:sz="0" w:space="0" w:color="auto"/>
        <w:bottom w:val="none" w:sz="0" w:space="0" w:color="auto"/>
        <w:right w:val="none" w:sz="0" w:space="0" w:color="auto"/>
      </w:divBdr>
    </w:div>
    <w:div w:id="351104477">
      <w:bodyDiv w:val="1"/>
      <w:marLeft w:val="0"/>
      <w:marRight w:val="0"/>
      <w:marTop w:val="0"/>
      <w:marBottom w:val="0"/>
      <w:divBdr>
        <w:top w:val="none" w:sz="0" w:space="0" w:color="auto"/>
        <w:left w:val="none" w:sz="0" w:space="0" w:color="auto"/>
        <w:bottom w:val="none" w:sz="0" w:space="0" w:color="auto"/>
        <w:right w:val="none" w:sz="0" w:space="0" w:color="auto"/>
      </w:divBdr>
    </w:div>
    <w:div w:id="360401387">
      <w:bodyDiv w:val="1"/>
      <w:marLeft w:val="0"/>
      <w:marRight w:val="0"/>
      <w:marTop w:val="0"/>
      <w:marBottom w:val="0"/>
      <w:divBdr>
        <w:top w:val="none" w:sz="0" w:space="0" w:color="auto"/>
        <w:left w:val="none" w:sz="0" w:space="0" w:color="auto"/>
        <w:bottom w:val="none" w:sz="0" w:space="0" w:color="auto"/>
        <w:right w:val="none" w:sz="0" w:space="0" w:color="auto"/>
      </w:divBdr>
    </w:div>
    <w:div w:id="363408871">
      <w:bodyDiv w:val="1"/>
      <w:marLeft w:val="0"/>
      <w:marRight w:val="0"/>
      <w:marTop w:val="0"/>
      <w:marBottom w:val="0"/>
      <w:divBdr>
        <w:top w:val="none" w:sz="0" w:space="0" w:color="auto"/>
        <w:left w:val="none" w:sz="0" w:space="0" w:color="auto"/>
        <w:bottom w:val="none" w:sz="0" w:space="0" w:color="auto"/>
        <w:right w:val="none" w:sz="0" w:space="0" w:color="auto"/>
      </w:divBdr>
    </w:div>
    <w:div w:id="390273340">
      <w:bodyDiv w:val="1"/>
      <w:marLeft w:val="0"/>
      <w:marRight w:val="0"/>
      <w:marTop w:val="0"/>
      <w:marBottom w:val="0"/>
      <w:divBdr>
        <w:top w:val="none" w:sz="0" w:space="0" w:color="auto"/>
        <w:left w:val="none" w:sz="0" w:space="0" w:color="auto"/>
        <w:bottom w:val="none" w:sz="0" w:space="0" w:color="auto"/>
        <w:right w:val="none" w:sz="0" w:space="0" w:color="auto"/>
      </w:divBdr>
    </w:div>
    <w:div w:id="392702029">
      <w:bodyDiv w:val="1"/>
      <w:marLeft w:val="0"/>
      <w:marRight w:val="0"/>
      <w:marTop w:val="0"/>
      <w:marBottom w:val="0"/>
      <w:divBdr>
        <w:top w:val="none" w:sz="0" w:space="0" w:color="auto"/>
        <w:left w:val="none" w:sz="0" w:space="0" w:color="auto"/>
        <w:bottom w:val="none" w:sz="0" w:space="0" w:color="auto"/>
        <w:right w:val="none" w:sz="0" w:space="0" w:color="auto"/>
      </w:divBdr>
    </w:div>
    <w:div w:id="402030506">
      <w:bodyDiv w:val="1"/>
      <w:marLeft w:val="0"/>
      <w:marRight w:val="0"/>
      <w:marTop w:val="0"/>
      <w:marBottom w:val="0"/>
      <w:divBdr>
        <w:top w:val="none" w:sz="0" w:space="0" w:color="auto"/>
        <w:left w:val="none" w:sz="0" w:space="0" w:color="auto"/>
        <w:bottom w:val="none" w:sz="0" w:space="0" w:color="auto"/>
        <w:right w:val="none" w:sz="0" w:space="0" w:color="auto"/>
      </w:divBdr>
    </w:div>
    <w:div w:id="414785959">
      <w:bodyDiv w:val="1"/>
      <w:marLeft w:val="0"/>
      <w:marRight w:val="0"/>
      <w:marTop w:val="0"/>
      <w:marBottom w:val="0"/>
      <w:divBdr>
        <w:top w:val="none" w:sz="0" w:space="0" w:color="auto"/>
        <w:left w:val="none" w:sz="0" w:space="0" w:color="auto"/>
        <w:bottom w:val="none" w:sz="0" w:space="0" w:color="auto"/>
        <w:right w:val="none" w:sz="0" w:space="0" w:color="auto"/>
      </w:divBdr>
    </w:div>
    <w:div w:id="415056723">
      <w:bodyDiv w:val="1"/>
      <w:marLeft w:val="0"/>
      <w:marRight w:val="0"/>
      <w:marTop w:val="0"/>
      <w:marBottom w:val="0"/>
      <w:divBdr>
        <w:top w:val="none" w:sz="0" w:space="0" w:color="auto"/>
        <w:left w:val="none" w:sz="0" w:space="0" w:color="auto"/>
        <w:bottom w:val="none" w:sz="0" w:space="0" w:color="auto"/>
        <w:right w:val="none" w:sz="0" w:space="0" w:color="auto"/>
      </w:divBdr>
    </w:div>
    <w:div w:id="420415713">
      <w:bodyDiv w:val="1"/>
      <w:marLeft w:val="0"/>
      <w:marRight w:val="0"/>
      <w:marTop w:val="0"/>
      <w:marBottom w:val="0"/>
      <w:divBdr>
        <w:top w:val="none" w:sz="0" w:space="0" w:color="auto"/>
        <w:left w:val="none" w:sz="0" w:space="0" w:color="auto"/>
        <w:bottom w:val="none" w:sz="0" w:space="0" w:color="auto"/>
        <w:right w:val="none" w:sz="0" w:space="0" w:color="auto"/>
      </w:divBdr>
    </w:div>
    <w:div w:id="422069461">
      <w:bodyDiv w:val="1"/>
      <w:marLeft w:val="0"/>
      <w:marRight w:val="0"/>
      <w:marTop w:val="0"/>
      <w:marBottom w:val="0"/>
      <w:divBdr>
        <w:top w:val="none" w:sz="0" w:space="0" w:color="auto"/>
        <w:left w:val="none" w:sz="0" w:space="0" w:color="auto"/>
        <w:bottom w:val="none" w:sz="0" w:space="0" w:color="auto"/>
        <w:right w:val="none" w:sz="0" w:space="0" w:color="auto"/>
      </w:divBdr>
    </w:div>
    <w:div w:id="459153810">
      <w:bodyDiv w:val="1"/>
      <w:marLeft w:val="0"/>
      <w:marRight w:val="0"/>
      <w:marTop w:val="0"/>
      <w:marBottom w:val="0"/>
      <w:divBdr>
        <w:top w:val="none" w:sz="0" w:space="0" w:color="auto"/>
        <w:left w:val="none" w:sz="0" w:space="0" w:color="auto"/>
        <w:bottom w:val="none" w:sz="0" w:space="0" w:color="auto"/>
        <w:right w:val="none" w:sz="0" w:space="0" w:color="auto"/>
      </w:divBdr>
    </w:div>
    <w:div w:id="465659772">
      <w:bodyDiv w:val="1"/>
      <w:marLeft w:val="0"/>
      <w:marRight w:val="0"/>
      <w:marTop w:val="0"/>
      <w:marBottom w:val="0"/>
      <w:divBdr>
        <w:top w:val="none" w:sz="0" w:space="0" w:color="auto"/>
        <w:left w:val="none" w:sz="0" w:space="0" w:color="auto"/>
        <w:bottom w:val="none" w:sz="0" w:space="0" w:color="auto"/>
        <w:right w:val="none" w:sz="0" w:space="0" w:color="auto"/>
      </w:divBdr>
    </w:div>
    <w:div w:id="474102435">
      <w:bodyDiv w:val="1"/>
      <w:marLeft w:val="0"/>
      <w:marRight w:val="0"/>
      <w:marTop w:val="0"/>
      <w:marBottom w:val="0"/>
      <w:divBdr>
        <w:top w:val="none" w:sz="0" w:space="0" w:color="auto"/>
        <w:left w:val="none" w:sz="0" w:space="0" w:color="auto"/>
        <w:bottom w:val="none" w:sz="0" w:space="0" w:color="auto"/>
        <w:right w:val="none" w:sz="0" w:space="0" w:color="auto"/>
      </w:divBdr>
    </w:div>
    <w:div w:id="476922360">
      <w:bodyDiv w:val="1"/>
      <w:marLeft w:val="0"/>
      <w:marRight w:val="0"/>
      <w:marTop w:val="0"/>
      <w:marBottom w:val="0"/>
      <w:divBdr>
        <w:top w:val="none" w:sz="0" w:space="0" w:color="auto"/>
        <w:left w:val="none" w:sz="0" w:space="0" w:color="auto"/>
        <w:bottom w:val="none" w:sz="0" w:space="0" w:color="auto"/>
        <w:right w:val="none" w:sz="0" w:space="0" w:color="auto"/>
      </w:divBdr>
    </w:div>
    <w:div w:id="484664088">
      <w:bodyDiv w:val="1"/>
      <w:marLeft w:val="0"/>
      <w:marRight w:val="0"/>
      <w:marTop w:val="0"/>
      <w:marBottom w:val="0"/>
      <w:divBdr>
        <w:top w:val="none" w:sz="0" w:space="0" w:color="auto"/>
        <w:left w:val="none" w:sz="0" w:space="0" w:color="auto"/>
        <w:bottom w:val="none" w:sz="0" w:space="0" w:color="auto"/>
        <w:right w:val="none" w:sz="0" w:space="0" w:color="auto"/>
      </w:divBdr>
    </w:div>
    <w:div w:id="484665886">
      <w:bodyDiv w:val="1"/>
      <w:marLeft w:val="0"/>
      <w:marRight w:val="0"/>
      <w:marTop w:val="0"/>
      <w:marBottom w:val="0"/>
      <w:divBdr>
        <w:top w:val="none" w:sz="0" w:space="0" w:color="auto"/>
        <w:left w:val="none" w:sz="0" w:space="0" w:color="auto"/>
        <w:bottom w:val="none" w:sz="0" w:space="0" w:color="auto"/>
        <w:right w:val="none" w:sz="0" w:space="0" w:color="auto"/>
      </w:divBdr>
    </w:div>
    <w:div w:id="498471287">
      <w:bodyDiv w:val="1"/>
      <w:marLeft w:val="0"/>
      <w:marRight w:val="0"/>
      <w:marTop w:val="0"/>
      <w:marBottom w:val="0"/>
      <w:divBdr>
        <w:top w:val="none" w:sz="0" w:space="0" w:color="auto"/>
        <w:left w:val="none" w:sz="0" w:space="0" w:color="auto"/>
        <w:bottom w:val="none" w:sz="0" w:space="0" w:color="auto"/>
        <w:right w:val="none" w:sz="0" w:space="0" w:color="auto"/>
      </w:divBdr>
    </w:div>
    <w:div w:id="521091860">
      <w:bodyDiv w:val="1"/>
      <w:marLeft w:val="0"/>
      <w:marRight w:val="0"/>
      <w:marTop w:val="0"/>
      <w:marBottom w:val="0"/>
      <w:divBdr>
        <w:top w:val="none" w:sz="0" w:space="0" w:color="auto"/>
        <w:left w:val="none" w:sz="0" w:space="0" w:color="auto"/>
        <w:bottom w:val="none" w:sz="0" w:space="0" w:color="auto"/>
        <w:right w:val="none" w:sz="0" w:space="0" w:color="auto"/>
      </w:divBdr>
    </w:div>
    <w:div w:id="523979868">
      <w:bodyDiv w:val="1"/>
      <w:marLeft w:val="0"/>
      <w:marRight w:val="0"/>
      <w:marTop w:val="0"/>
      <w:marBottom w:val="0"/>
      <w:divBdr>
        <w:top w:val="none" w:sz="0" w:space="0" w:color="auto"/>
        <w:left w:val="none" w:sz="0" w:space="0" w:color="auto"/>
        <w:bottom w:val="none" w:sz="0" w:space="0" w:color="auto"/>
        <w:right w:val="none" w:sz="0" w:space="0" w:color="auto"/>
      </w:divBdr>
    </w:div>
    <w:div w:id="526137175">
      <w:bodyDiv w:val="1"/>
      <w:marLeft w:val="0"/>
      <w:marRight w:val="0"/>
      <w:marTop w:val="0"/>
      <w:marBottom w:val="0"/>
      <w:divBdr>
        <w:top w:val="none" w:sz="0" w:space="0" w:color="auto"/>
        <w:left w:val="none" w:sz="0" w:space="0" w:color="auto"/>
        <w:bottom w:val="none" w:sz="0" w:space="0" w:color="auto"/>
        <w:right w:val="none" w:sz="0" w:space="0" w:color="auto"/>
      </w:divBdr>
    </w:div>
    <w:div w:id="535235026">
      <w:bodyDiv w:val="1"/>
      <w:marLeft w:val="0"/>
      <w:marRight w:val="0"/>
      <w:marTop w:val="0"/>
      <w:marBottom w:val="0"/>
      <w:divBdr>
        <w:top w:val="none" w:sz="0" w:space="0" w:color="auto"/>
        <w:left w:val="none" w:sz="0" w:space="0" w:color="auto"/>
        <w:bottom w:val="none" w:sz="0" w:space="0" w:color="auto"/>
        <w:right w:val="none" w:sz="0" w:space="0" w:color="auto"/>
      </w:divBdr>
    </w:div>
    <w:div w:id="542448548">
      <w:bodyDiv w:val="1"/>
      <w:marLeft w:val="0"/>
      <w:marRight w:val="0"/>
      <w:marTop w:val="0"/>
      <w:marBottom w:val="0"/>
      <w:divBdr>
        <w:top w:val="none" w:sz="0" w:space="0" w:color="auto"/>
        <w:left w:val="none" w:sz="0" w:space="0" w:color="auto"/>
        <w:bottom w:val="none" w:sz="0" w:space="0" w:color="auto"/>
        <w:right w:val="none" w:sz="0" w:space="0" w:color="auto"/>
      </w:divBdr>
    </w:div>
    <w:div w:id="549658342">
      <w:bodyDiv w:val="1"/>
      <w:marLeft w:val="0"/>
      <w:marRight w:val="0"/>
      <w:marTop w:val="0"/>
      <w:marBottom w:val="0"/>
      <w:divBdr>
        <w:top w:val="none" w:sz="0" w:space="0" w:color="auto"/>
        <w:left w:val="none" w:sz="0" w:space="0" w:color="auto"/>
        <w:bottom w:val="none" w:sz="0" w:space="0" w:color="auto"/>
        <w:right w:val="none" w:sz="0" w:space="0" w:color="auto"/>
      </w:divBdr>
    </w:div>
    <w:div w:id="563294955">
      <w:bodyDiv w:val="1"/>
      <w:marLeft w:val="0"/>
      <w:marRight w:val="0"/>
      <w:marTop w:val="0"/>
      <w:marBottom w:val="0"/>
      <w:divBdr>
        <w:top w:val="none" w:sz="0" w:space="0" w:color="auto"/>
        <w:left w:val="none" w:sz="0" w:space="0" w:color="auto"/>
        <w:bottom w:val="none" w:sz="0" w:space="0" w:color="auto"/>
        <w:right w:val="none" w:sz="0" w:space="0" w:color="auto"/>
      </w:divBdr>
    </w:div>
    <w:div w:id="579797814">
      <w:bodyDiv w:val="1"/>
      <w:marLeft w:val="0"/>
      <w:marRight w:val="0"/>
      <w:marTop w:val="0"/>
      <w:marBottom w:val="0"/>
      <w:divBdr>
        <w:top w:val="none" w:sz="0" w:space="0" w:color="auto"/>
        <w:left w:val="none" w:sz="0" w:space="0" w:color="auto"/>
        <w:bottom w:val="none" w:sz="0" w:space="0" w:color="auto"/>
        <w:right w:val="none" w:sz="0" w:space="0" w:color="auto"/>
      </w:divBdr>
    </w:div>
    <w:div w:id="580604852">
      <w:bodyDiv w:val="1"/>
      <w:marLeft w:val="0"/>
      <w:marRight w:val="0"/>
      <w:marTop w:val="0"/>
      <w:marBottom w:val="0"/>
      <w:divBdr>
        <w:top w:val="none" w:sz="0" w:space="0" w:color="auto"/>
        <w:left w:val="none" w:sz="0" w:space="0" w:color="auto"/>
        <w:bottom w:val="none" w:sz="0" w:space="0" w:color="auto"/>
        <w:right w:val="none" w:sz="0" w:space="0" w:color="auto"/>
      </w:divBdr>
    </w:div>
    <w:div w:id="612785700">
      <w:bodyDiv w:val="1"/>
      <w:marLeft w:val="0"/>
      <w:marRight w:val="0"/>
      <w:marTop w:val="0"/>
      <w:marBottom w:val="0"/>
      <w:divBdr>
        <w:top w:val="none" w:sz="0" w:space="0" w:color="auto"/>
        <w:left w:val="none" w:sz="0" w:space="0" w:color="auto"/>
        <w:bottom w:val="none" w:sz="0" w:space="0" w:color="auto"/>
        <w:right w:val="none" w:sz="0" w:space="0" w:color="auto"/>
      </w:divBdr>
    </w:div>
    <w:div w:id="619995341">
      <w:bodyDiv w:val="1"/>
      <w:marLeft w:val="0"/>
      <w:marRight w:val="0"/>
      <w:marTop w:val="0"/>
      <w:marBottom w:val="0"/>
      <w:divBdr>
        <w:top w:val="none" w:sz="0" w:space="0" w:color="auto"/>
        <w:left w:val="none" w:sz="0" w:space="0" w:color="auto"/>
        <w:bottom w:val="none" w:sz="0" w:space="0" w:color="auto"/>
        <w:right w:val="none" w:sz="0" w:space="0" w:color="auto"/>
      </w:divBdr>
    </w:div>
    <w:div w:id="633675671">
      <w:bodyDiv w:val="1"/>
      <w:marLeft w:val="0"/>
      <w:marRight w:val="0"/>
      <w:marTop w:val="0"/>
      <w:marBottom w:val="0"/>
      <w:divBdr>
        <w:top w:val="none" w:sz="0" w:space="0" w:color="auto"/>
        <w:left w:val="none" w:sz="0" w:space="0" w:color="auto"/>
        <w:bottom w:val="none" w:sz="0" w:space="0" w:color="auto"/>
        <w:right w:val="none" w:sz="0" w:space="0" w:color="auto"/>
      </w:divBdr>
    </w:div>
    <w:div w:id="635453911">
      <w:bodyDiv w:val="1"/>
      <w:marLeft w:val="0"/>
      <w:marRight w:val="0"/>
      <w:marTop w:val="0"/>
      <w:marBottom w:val="0"/>
      <w:divBdr>
        <w:top w:val="none" w:sz="0" w:space="0" w:color="auto"/>
        <w:left w:val="none" w:sz="0" w:space="0" w:color="auto"/>
        <w:bottom w:val="none" w:sz="0" w:space="0" w:color="auto"/>
        <w:right w:val="none" w:sz="0" w:space="0" w:color="auto"/>
      </w:divBdr>
    </w:div>
    <w:div w:id="639696978">
      <w:bodyDiv w:val="1"/>
      <w:marLeft w:val="0"/>
      <w:marRight w:val="0"/>
      <w:marTop w:val="0"/>
      <w:marBottom w:val="0"/>
      <w:divBdr>
        <w:top w:val="none" w:sz="0" w:space="0" w:color="auto"/>
        <w:left w:val="none" w:sz="0" w:space="0" w:color="auto"/>
        <w:bottom w:val="none" w:sz="0" w:space="0" w:color="auto"/>
        <w:right w:val="none" w:sz="0" w:space="0" w:color="auto"/>
      </w:divBdr>
    </w:div>
    <w:div w:id="644511143">
      <w:bodyDiv w:val="1"/>
      <w:marLeft w:val="0"/>
      <w:marRight w:val="0"/>
      <w:marTop w:val="0"/>
      <w:marBottom w:val="0"/>
      <w:divBdr>
        <w:top w:val="none" w:sz="0" w:space="0" w:color="auto"/>
        <w:left w:val="none" w:sz="0" w:space="0" w:color="auto"/>
        <w:bottom w:val="none" w:sz="0" w:space="0" w:color="auto"/>
        <w:right w:val="none" w:sz="0" w:space="0" w:color="auto"/>
      </w:divBdr>
    </w:div>
    <w:div w:id="656688335">
      <w:bodyDiv w:val="1"/>
      <w:marLeft w:val="0"/>
      <w:marRight w:val="0"/>
      <w:marTop w:val="0"/>
      <w:marBottom w:val="0"/>
      <w:divBdr>
        <w:top w:val="none" w:sz="0" w:space="0" w:color="auto"/>
        <w:left w:val="none" w:sz="0" w:space="0" w:color="auto"/>
        <w:bottom w:val="none" w:sz="0" w:space="0" w:color="auto"/>
        <w:right w:val="none" w:sz="0" w:space="0" w:color="auto"/>
      </w:divBdr>
    </w:div>
    <w:div w:id="665479608">
      <w:bodyDiv w:val="1"/>
      <w:marLeft w:val="0"/>
      <w:marRight w:val="0"/>
      <w:marTop w:val="0"/>
      <w:marBottom w:val="0"/>
      <w:divBdr>
        <w:top w:val="none" w:sz="0" w:space="0" w:color="auto"/>
        <w:left w:val="none" w:sz="0" w:space="0" w:color="auto"/>
        <w:bottom w:val="none" w:sz="0" w:space="0" w:color="auto"/>
        <w:right w:val="none" w:sz="0" w:space="0" w:color="auto"/>
      </w:divBdr>
    </w:div>
    <w:div w:id="670643433">
      <w:bodyDiv w:val="1"/>
      <w:marLeft w:val="0"/>
      <w:marRight w:val="0"/>
      <w:marTop w:val="0"/>
      <w:marBottom w:val="0"/>
      <w:divBdr>
        <w:top w:val="none" w:sz="0" w:space="0" w:color="auto"/>
        <w:left w:val="none" w:sz="0" w:space="0" w:color="auto"/>
        <w:bottom w:val="none" w:sz="0" w:space="0" w:color="auto"/>
        <w:right w:val="none" w:sz="0" w:space="0" w:color="auto"/>
      </w:divBdr>
    </w:div>
    <w:div w:id="674262283">
      <w:bodyDiv w:val="1"/>
      <w:marLeft w:val="0"/>
      <w:marRight w:val="0"/>
      <w:marTop w:val="0"/>
      <w:marBottom w:val="0"/>
      <w:divBdr>
        <w:top w:val="none" w:sz="0" w:space="0" w:color="auto"/>
        <w:left w:val="none" w:sz="0" w:space="0" w:color="auto"/>
        <w:bottom w:val="none" w:sz="0" w:space="0" w:color="auto"/>
        <w:right w:val="none" w:sz="0" w:space="0" w:color="auto"/>
      </w:divBdr>
    </w:div>
    <w:div w:id="688027703">
      <w:bodyDiv w:val="1"/>
      <w:marLeft w:val="0"/>
      <w:marRight w:val="0"/>
      <w:marTop w:val="0"/>
      <w:marBottom w:val="0"/>
      <w:divBdr>
        <w:top w:val="none" w:sz="0" w:space="0" w:color="auto"/>
        <w:left w:val="none" w:sz="0" w:space="0" w:color="auto"/>
        <w:bottom w:val="none" w:sz="0" w:space="0" w:color="auto"/>
        <w:right w:val="none" w:sz="0" w:space="0" w:color="auto"/>
      </w:divBdr>
    </w:div>
    <w:div w:id="705570129">
      <w:bodyDiv w:val="1"/>
      <w:marLeft w:val="0"/>
      <w:marRight w:val="0"/>
      <w:marTop w:val="0"/>
      <w:marBottom w:val="0"/>
      <w:divBdr>
        <w:top w:val="none" w:sz="0" w:space="0" w:color="auto"/>
        <w:left w:val="none" w:sz="0" w:space="0" w:color="auto"/>
        <w:bottom w:val="none" w:sz="0" w:space="0" w:color="auto"/>
        <w:right w:val="none" w:sz="0" w:space="0" w:color="auto"/>
      </w:divBdr>
    </w:div>
    <w:div w:id="724258615">
      <w:bodyDiv w:val="1"/>
      <w:marLeft w:val="0"/>
      <w:marRight w:val="0"/>
      <w:marTop w:val="0"/>
      <w:marBottom w:val="0"/>
      <w:divBdr>
        <w:top w:val="none" w:sz="0" w:space="0" w:color="auto"/>
        <w:left w:val="none" w:sz="0" w:space="0" w:color="auto"/>
        <w:bottom w:val="none" w:sz="0" w:space="0" w:color="auto"/>
        <w:right w:val="none" w:sz="0" w:space="0" w:color="auto"/>
      </w:divBdr>
    </w:div>
    <w:div w:id="729619109">
      <w:bodyDiv w:val="1"/>
      <w:marLeft w:val="0"/>
      <w:marRight w:val="0"/>
      <w:marTop w:val="0"/>
      <w:marBottom w:val="0"/>
      <w:divBdr>
        <w:top w:val="none" w:sz="0" w:space="0" w:color="auto"/>
        <w:left w:val="none" w:sz="0" w:space="0" w:color="auto"/>
        <w:bottom w:val="none" w:sz="0" w:space="0" w:color="auto"/>
        <w:right w:val="none" w:sz="0" w:space="0" w:color="auto"/>
      </w:divBdr>
    </w:div>
    <w:div w:id="733894071">
      <w:bodyDiv w:val="1"/>
      <w:marLeft w:val="0"/>
      <w:marRight w:val="0"/>
      <w:marTop w:val="0"/>
      <w:marBottom w:val="0"/>
      <w:divBdr>
        <w:top w:val="none" w:sz="0" w:space="0" w:color="auto"/>
        <w:left w:val="none" w:sz="0" w:space="0" w:color="auto"/>
        <w:bottom w:val="none" w:sz="0" w:space="0" w:color="auto"/>
        <w:right w:val="none" w:sz="0" w:space="0" w:color="auto"/>
      </w:divBdr>
    </w:div>
    <w:div w:id="744497078">
      <w:bodyDiv w:val="1"/>
      <w:marLeft w:val="0"/>
      <w:marRight w:val="0"/>
      <w:marTop w:val="0"/>
      <w:marBottom w:val="0"/>
      <w:divBdr>
        <w:top w:val="none" w:sz="0" w:space="0" w:color="auto"/>
        <w:left w:val="none" w:sz="0" w:space="0" w:color="auto"/>
        <w:bottom w:val="none" w:sz="0" w:space="0" w:color="auto"/>
        <w:right w:val="none" w:sz="0" w:space="0" w:color="auto"/>
      </w:divBdr>
    </w:div>
    <w:div w:id="789861190">
      <w:bodyDiv w:val="1"/>
      <w:marLeft w:val="0"/>
      <w:marRight w:val="0"/>
      <w:marTop w:val="0"/>
      <w:marBottom w:val="0"/>
      <w:divBdr>
        <w:top w:val="none" w:sz="0" w:space="0" w:color="auto"/>
        <w:left w:val="none" w:sz="0" w:space="0" w:color="auto"/>
        <w:bottom w:val="none" w:sz="0" w:space="0" w:color="auto"/>
        <w:right w:val="none" w:sz="0" w:space="0" w:color="auto"/>
      </w:divBdr>
    </w:div>
    <w:div w:id="793015352">
      <w:bodyDiv w:val="1"/>
      <w:marLeft w:val="0"/>
      <w:marRight w:val="0"/>
      <w:marTop w:val="0"/>
      <w:marBottom w:val="0"/>
      <w:divBdr>
        <w:top w:val="none" w:sz="0" w:space="0" w:color="auto"/>
        <w:left w:val="none" w:sz="0" w:space="0" w:color="auto"/>
        <w:bottom w:val="none" w:sz="0" w:space="0" w:color="auto"/>
        <w:right w:val="none" w:sz="0" w:space="0" w:color="auto"/>
      </w:divBdr>
    </w:div>
    <w:div w:id="795635040">
      <w:bodyDiv w:val="1"/>
      <w:marLeft w:val="0"/>
      <w:marRight w:val="0"/>
      <w:marTop w:val="0"/>
      <w:marBottom w:val="0"/>
      <w:divBdr>
        <w:top w:val="none" w:sz="0" w:space="0" w:color="auto"/>
        <w:left w:val="none" w:sz="0" w:space="0" w:color="auto"/>
        <w:bottom w:val="none" w:sz="0" w:space="0" w:color="auto"/>
        <w:right w:val="none" w:sz="0" w:space="0" w:color="auto"/>
      </w:divBdr>
    </w:div>
    <w:div w:id="800920110">
      <w:bodyDiv w:val="1"/>
      <w:marLeft w:val="0"/>
      <w:marRight w:val="0"/>
      <w:marTop w:val="0"/>
      <w:marBottom w:val="0"/>
      <w:divBdr>
        <w:top w:val="none" w:sz="0" w:space="0" w:color="auto"/>
        <w:left w:val="none" w:sz="0" w:space="0" w:color="auto"/>
        <w:bottom w:val="none" w:sz="0" w:space="0" w:color="auto"/>
        <w:right w:val="none" w:sz="0" w:space="0" w:color="auto"/>
      </w:divBdr>
    </w:div>
    <w:div w:id="807359351">
      <w:bodyDiv w:val="1"/>
      <w:marLeft w:val="0"/>
      <w:marRight w:val="0"/>
      <w:marTop w:val="0"/>
      <w:marBottom w:val="0"/>
      <w:divBdr>
        <w:top w:val="none" w:sz="0" w:space="0" w:color="auto"/>
        <w:left w:val="none" w:sz="0" w:space="0" w:color="auto"/>
        <w:bottom w:val="none" w:sz="0" w:space="0" w:color="auto"/>
        <w:right w:val="none" w:sz="0" w:space="0" w:color="auto"/>
      </w:divBdr>
    </w:div>
    <w:div w:id="812451572">
      <w:bodyDiv w:val="1"/>
      <w:marLeft w:val="0"/>
      <w:marRight w:val="0"/>
      <w:marTop w:val="0"/>
      <w:marBottom w:val="0"/>
      <w:divBdr>
        <w:top w:val="none" w:sz="0" w:space="0" w:color="auto"/>
        <w:left w:val="none" w:sz="0" w:space="0" w:color="auto"/>
        <w:bottom w:val="none" w:sz="0" w:space="0" w:color="auto"/>
        <w:right w:val="none" w:sz="0" w:space="0" w:color="auto"/>
      </w:divBdr>
    </w:div>
    <w:div w:id="813913929">
      <w:bodyDiv w:val="1"/>
      <w:marLeft w:val="0"/>
      <w:marRight w:val="0"/>
      <w:marTop w:val="0"/>
      <w:marBottom w:val="0"/>
      <w:divBdr>
        <w:top w:val="none" w:sz="0" w:space="0" w:color="auto"/>
        <w:left w:val="none" w:sz="0" w:space="0" w:color="auto"/>
        <w:bottom w:val="none" w:sz="0" w:space="0" w:color="auto"/>
        <w:right w:val="none" w:sz="0" w:space="0" w:color="auto"/>
      </w:divBdr>
    </w:div>
    <w:div w:id="822503093">
      <w:bodyDiv w:val="1"/>
      <w:marLeft w:val="0"/>
      <w:marRight w:val="0"/>
      <w:marTop w:val="0"/>
      <w:marBottom w:val="0"/>
      <w:divBdr>
        <w:top w:val="none" w:sz="0" w:space="0" w:color="auto"/>
        <w:left w:val="none" w:sz="0" w:space="0" w:color="auto"/>
        <w:bottom w:val="none" w:sz="0" w:space="0" w:color="auto"/>
        <w:right w:val="none" w:sz="0" w:space="0" w:color="auto"/>
      </w:divBdr>
    </w:div>
    <w:div w:id="824781203">
      <w:bodyDiv w:val="1"/>
      <w:marLeft w:val="0"/>
      <w:marRight w:val="0"/>
      <w:marTop w:val="0"/>
      <w:marBottom w:val="0"/>
      <w:divBdr>
        <w:top w:val="none" w:sz="0" w:space="0" w:color="auto"/>
        <w:left w:val="none" w:sz="0" w:space="0" w:color="auto"/>
        <w:bottom w:val="none" w:sz="0" w:space="0" w:color="auto"/>
        <w:right w:val="none" w:sz="0" w:space="0" w:color="auto"/>
      </w:divBdr>
    </w:div>
    <w:div w:id="831603961">
      <w:bodyDiv w:val="1"/>
      <w:marLeft w:val="0"/>
      <w:marRight w:val="0"/>
      <w:marTop w:val="0"/>
      <w:marBottom w:val="0"/>
      <w:divBdr>
        <w:top w:val="none" w:sz="0" w:space="0" w:color="auto"/>
        <w:left w:val="none" w:sz="0" w:space="0" w:color="auto"/>
        <w:bottom w:val="none" w:sz="0" w:space="0" w:color="auto"/>
        <w:right w:val="none" w:sz="0" w:space="0" w:color="auto"/>
      </w:divBdr>
    </w:div>
    <w:div w:id="833030077">
      <w:bodyDiv w:val="1"/>
      <w:marLeft w:val="0"/>
      <w:marRight w:val="0"/>
      <w:marTop w:val="0"/>
      <w:marBottom w:val="0"/>
      <w:divBdr>
        <w:top w:val="none" w:sz="0" w:space="0" w:color="auto"/>
        <w:left w:val="none" w:sz="0" w:space="0" w:color="auto"/>
        <w:bottom w:val="none" w:sz="0" w:space="0" w:color="auto"/>
        <w:right w:val="none" w:sz="0" w:space="0" w:color="auto"/>
      </w:divBdr>
    </w:div>
    <w:div w:id="835607000">
      <w:bodyDiv w:val="1"/>
      <w:marLeft w:val="0"/>
      <w:marRight w:val="0"/>
      <w:marTop w:val="0"/>
      <w:marBottom w:val="0"/>
      <w:divBdr>
        <w:top w:val="none" w:sz="0" w:space="0" w:color="auto"/>
        <w:left w:val="none" w:sz="0" w:space="0" w:color="auto"/>
        <w:bottom w:val="none" w:sz="0" w:space="0" w:color="auto"/>
        <w:right w:val="none" w:sz="0" w:space="0" w:color="auto"/>
      </w:divBdr>
    </w:div>
    <w:div w:id="840464441">
      <w:bodyDiv w:val="1"/>
      <w:marLeft w:val="0"/>
      <w:marRight w:val="0"/>
      <w:marTop w:val="0"/>
      <w:marBottom w:val="0"/>
      <w:divBdr>
        <w:top w:val="none" w:sz="0" w:space="0" w:color="auto"/>
        <w:left w:val="none" w:sz="0" w:space="0" w:color="auto"/>
        <w:bottom w:val="none" w:sz="0" w:space="0" w:color="auto"/>
        <w:right w:val="none" w:sz="0" w:space="0" w:color="auto"/>
      </w:divBdr>
    </w:div>
    <w:div w:id="881594418">
      <w:bodyDiv w:val="1"/>
      <w:marLeft w:val="0"/>
      <w:marRight w:val="0"/>
      <w:marTop w:val="0"/>
      <w:marBottom w:val="0"/>
      <w:divBdr>
        <w:top w:val="none" w:sz="0" w:space="0" w:color="auto"/>
        <w:left w:val="none" w:sz="0" w:space="0" w:color="auto"/>
        <w:bottom w:val="none" w:sz="0" w:space="0" w:color="auto"/>
        <w:right w:val="none" w:sz="0" w:space="0" w:color="auto"/>
      </w:divBdr>
    </w:div>
    <w:div w:id="883952727">
      <w:bodyDiv w:val="1"/>
      <w:marLeft w:val="0"/>
      <w:marRight w:val="0"/>
      <w:marTop w:val="0"/>
      <w:marBottom w:val="0"/>
      <w:divBdr>
        <w:top w:val="none" w:sz="0" w:space="0" w:color="auto"/>
        <w:left w:val="none" w:sz="0" w:space="0" w:color="auto"/>
        <w:bottom w:val="none" w:sz="0" w:space="0" w:color="auto"/>
        <w:right w:val="none" w:sz="0" w:space="0" w:color="auto"/>
      </w:divBdr>
    </w:div>
    <w:div w:id="887957609">
      <w:bodyDiv w:val="1"/>
      <w:marLeft w:val="0"/>
      <w:marRight w:val="0"/>
      <w:marTop w:val="0"/>
      <w:marBottom w:val="0"/>
      <w:divBdr>
        <w:top w:val="none" w:sz="0" w:space="0" w:color="auto"/>
        <w:left w:val="none" w:sz="0" w:space="0" w:color="auto"/>
        <w:bottom w:val="none" w:sz="0" w:space="0" w:color="auto"/>
        <w:right w:val="none" w:sz="0" w:space="0" w:color="auto"/>
      </w:divBdr>
    </w:div>
    <w:div w:id="890656946">
      <w:bodyDiv w:val="1"/>
      <w:marLeft w:val="0"/>
      <w:marRight w:val="0"/>
      <w:marTop w:val="0"/>
      <w:marBottom w:val="0"/>
      <w:divBdr>
        <w:top w:val="none" w:sz="0" w:space="0" w:color="auto"/>
        <w:left w:val="none" w:sz="0" w:space="0" w:color="auto"/>
        <w:bottom w:val="none" w:sz="0" w:space="0" w:color="auto"/>
        <w:right w:val="none" w:sz="0" w:space="0" w:color="auto"/>
      </w:divBdr>
    </w:div>
    <w:div w:id="893930663">
      <w:bodyDiv w:val="1"/>
      <w:marLeft w:val="0"/>
      <w:marRight w:val="0"/>
      <w:marTop w:val="0"/>
      <w:marBottom w:val="0"/>
      <w:divBdr>
        <w:top w:val="none" w:sz="0" w:space="0" w:color="auto"/>
        <w:left w:val="none" w:sz="0" w:space="0" w:color="auto"/>
        <w:bottom w:val="none" w:sz="0" w:space="0" w:color="auto"/>
        <w:right w:val="none" w:sz="0" w:space="0" w:color="auto"/>
      </w:divBdr>
    </w:div>
    <w:div w:id="895432471">
      <w:bodyDiv w:val="1"/>
      <w:marLeft w:val="0"/>
      <w:marRight w:val="0"/>
      <w:marTop w:val="0"/>
      <w:marBottom w:val="0"/>
      <w:divBdr>
        <w:top w:val="none" w:sz="0" w:space="0" w:color="auto"/>
        <w:left w:val="none" w:sz="0" w:space="0" w:color="auto"/>
        <w:bottom w:val="none" w:sz="0" w:space="0" w:color="auto"/>
        <w:right w:val="none" w:sz="0" w:space="0" w:color="auto"/>
      </w:divBdr>
    </w:div>
    <w:div w:id="897203356">
      <w:bodyDiv w:val="1"/>
      <w:marLeft w:val="0"/>
      <w:marRight w:val="0"/>
      <w:marTop w:val="0"/>
      <w:marBottom w:val="0"/>
      <w:divBdr>
        <w:top w:val="none" w:sz="0" w:space="0" w:color="auto"/>
        <w:left w:val="none" w:sz="0" w:space="0" w:color="auto"/>
        <w:bottom w:val="none" w:sz="0" w:space="0" w:color="auto"/>
        <w:right w:val="none" w:sz="0" w:space="0" w:color="auto"/>
      </w:divBdr>
    </w:div>
    <w:div w:id="897743573">
      <w:bodyDiv w:val="1"/>
      <w:marLeft w:val="0"/>
      <w:marRight w:val="0"/>
      <w:marTop w:val="0"/>
      <w:marBottom w:val="0"/>
      <w:divBdr>
        <w:top w:val="none" w:sz="0" w:space="0" w:color="auto"/>
        <w:left w:val="none" w:sz="0" w:space="0" w:color="auto"/>
        <w:bottom w:val="none" w:sz="0" w:space="0" w:color="auto"/>
        <w:right w:val="none" w:sz="0" w:space="0" w:color="auto"/>
      </w:divBdr>
    </w:div>
    <w:div w:id="905725762">
      <w:bodyDiv w:val="1"/>
      <w:marLeft w:val="0"/>
      <w:marRight w:val="0"/>
      <w:marTop w:val="0"/>
      <w:marBottom w:val="0"/>
      <w:divBdr>
        <w:top w:val="none" w:sz="0" w:space="0" w:color="auto"/>
        <w:left w:val="none" w:sz="0" w:space="0" w:color="auto"/>
        <w:bottom w:val="none" w:sz="0" w:space="0" w:color="auto"/>
        <w:right w:val="none" w:sz="0" w:space="0" w:color="auto"/>
      </w:divBdr>
    </w:div>
    <w:div w:id="910384435">
      <w:bodyDiv w:val="1"/>
      <w:marLeft w:val="0"/>
      <w:marRight w:val="0"/>
      <w:marTop w:val="0"/>
      <w:marBottom w:val="0"/>
      <w:divBdr>
        <w:top w:val="none" w:sz="0" w:space="0" w:color="auto"/>
        <w:left w:val="none" w:sz="0" w:space="0" w:color="auto"/>
        <w:bottom w:val="none" w:sz="0" w:space="0" w:color="auto"/>
        <w:right w:val="none" w:sz="0" w:space="0" w:color="auto"/>
      </w:divBdr>
    </w:div>
    <w:div w:id="916552442">
      <w:bodyDiv w:val="1"/>
      <w:marLeft w:val="0"/>
      <w:marRight w:val="0"/>
      <w:marTop w:val="0"/>
      <w:marBottom w:val="0"/>
      <w:divBdr>
        <w:top w:val="none" w:sz="0" w:space="0" w:color="auto"/>
        <w:left w:val="none" w:sz="0" w:space="0" w:color="auto"/>
        <w:bottom w:val="none" w:sz="0" w:space="0" w:color="auto"/>
        <w:right w:val="none" w:sz="0" w:space="0" w:color="auto"/>
      </w:divBdr>
    </w:div>
    <w:div w:id="92681581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54675325">
      <w:bodyDiv w:val="1"/>
      <w:marLeft w:val="0"/>
      <w:marRight w:val="0"/>
      <w:marTop w:val="0"/>
      <w:marBottom w:val="0"/>
      <w:divBdr>
        <w:top w:val="none" w:sz="0" w:space="0" w:color="auto"/>
        <w:left w:val="none" w:sz="0" w:space="0" w:color="auto"/>
        <w:bottom w:val="none" w:sz="0" w:space="0" w:color="auto"/>
        <w:right w:val="none" w:sz="0" w:space="0" w:color="auto"/>
      </w:divBdr>
    </w:div>
    <w:div w:id="957174853">
      <w:bodyDiv w:val="1"/>
      <w:marLeft w:val="0"/>
      <w:marRight w:val="0"/>
      <w:marTop w:val="0"/>
      <w:marBottom w:val="0"/>
      <w:divBdr>
        <w:top w:val="none" w:sz="0" w:space="0" w:color="auto"/>
        <w:left w:val="none" w:sz="0" w:space="0" w:color="auto"/>
        <w:bottom w:val="none" w:sz="0" w:space="0" w:color="auto"/>
        <w:right w:val="none" w:sz="0" w:space="0" w:color="auto"/>
      </w:divBdr>
    </w:div>
    <w:div w:id="959530399">
      <w:bodyDiv w:val="1"/>
      <w:marLeft w:val="0"/>
      <w:marRight w:val="0"/>
      <w:marTop w:val="0"/>
      <w:marBottom w:val="0"/>
      <w:divBdr>
        <w:top w:val="none" w:sz="0" w:space="0" w:color="auto"/>
        <w:left w:val="none" w:sz="0" w:space="0" w:color="auto"/>
        <w:bottom w:val="none" w:sz="0" w:space="0" w:color="auto"/>
        <w:right w:val="none" w:sz="0" w:space="0" w:color="auto"/>
      </w:divBdr>
    </w:div>
    <w:div w:id="971909068">
      <w:bodyDiv w:val="1"/>
      <w:marLeft w:val="0"/>
      <w:marRight w:val="0"/>
      <w:marTop w:val="0"/>
      <w:marBottom w:val="0"/>
      <w:divBdr>
        <w:top w:val="none" w:sz="0" w:space="0" w:color="auto"/>
        <w:left w:val="none" w:sz="0" w:space="0" w:color="auto"/>
        <w:bottom w:val="none" w:sz="0" w:space="0" w:color="auto"/>
        <w:right w:val="none" w:sz="0" w:space="0" w:color="auto"/>
      </w:divBdr>
    </w:div>
    <w:div w:id="979772138">
      <w:bodyDiv w:val="1"/>
      <w:marLeft w:val="0"/>
      <w:marRight w:val="0"/>
      <w:marTop w:val="0"/>
      <w:marBottom w:val="0"/>
      <w:divBdr>
        <w:top w:val="none" w:sz="0" w:space="0" w:color="auto"/>
        <w:left w:val="none" w:sz="0" w:space="0" w:color="auto"/>
        <w:bottom w:val="none" w:sz="0" w:space="0" w:color="auto"/>
        <w:right w:val="none" w:sz="0" w:space="0" w:color="auto"/>
      </w:divBdr>
    </w:div>
    <w:div w:id="983588368">
      <w:bodyDiv w:val="1"/>
      <w:marLeft w:val="0"/>
      <w:marRight w:val="0"/>
      <w:marTop w:val="0"/>
      <w:marBottom w:val="0"/>
      <w:divBdr>
        <w:top w:val="none" w:sz="0" w:space="0" w:color="auto"/>
        <w:left w:val="none" w:sz="0" w:space="0" w:color="auto"/>
        <w:bottom w:val="none" w:sz="0" w:space="0" w:color="auto"/>
        <w:right w:val="none" w:sz="0" w:space="0" w:color="auto"/>
      </w:divBdr>
    </w:div>
    <w:div w:id="989483714">
      <w:bodyDiv w:val="1"/>
      <w:marLeft w:val="0"/>
      <w:marRight w:val="0"/>
      <w:marTop w:val="0"/>
      <w:marBottom w:val="0"/>
      <w:divBdr>
        <w:top w:val="none" w:sz="0" w:space="0" w:color="auto"/>
        <w:left w:val="none" w:sz="0" w:space="0" w:color="auto"/>
        <w:bottom w:val="none" w:sz="0" w:space="0" w:color="auto"/>
        <w:right w:val="none" w:sz="0" w:space="0" w:color="auto"/>
      </w:divBdr>
    </w:div>
    <w:div w:id="1047796527">
      <w:bodyDiv w:val="1"/>
      <w:marLeft w:val="0"/>
      <w:marRight w:val="0"/>
      <w:marTop w:val="0"/>
      <w:marBottom w:val="0"/>
      <w:divBdr>
        <w:top w:val="none" w:sz="0" w:space="0" w:color="auto"/>
        <w:left w:val="none" w:sz="0" w:space="0" w:color="auto"/>
        <w:bottom w:val="none" w:sz="0" w:space="0" w:color="auto"/>
        <w:right w:val="none" w:sz="0" w:space="0" w:color="auto"/>
      </w:divBdr>
    </w:div>
    <w:div w:id="1048803769">
      <w:bodyDiv w:val="1"/>
      <w:marLeft w:val="0"/>
      <w:marRight w:val="0"/>
      <w:marTop w:val="0"/>
      <w:marBottom w:val="0"/>
      <w:divBdr>
        <w:top w:val="none" w:sz="0" w:space="0" w:color="auto"/>
        <w:left w:val="none" w:sz="0" w:space="0" w:color="auto"/>
        <w:bottom w:val="none" w:sz="0" w:space="0" w:color="auto"/>
        <w:right w:val="none" w:sz="0" w:space="0" w:color="auto"/>
      </w:divBdr>
    </w:div>
    <w:div w:id="1050805986">
      <w:bodyDiv w:val="1"/>
      <w:marLeft w:val="0"/>
      <w:marRight w:val="0"/>
      <w:marTop w:val="0"/>
      <w:marBottom w:val="0"/>
      <w:divBdr>
        <w:top w:val="none" w:sz="0" w:space="0" w:color="auto"/>
        <w:left w:val="none" w:sz="0" w:space="0" w:color="auto"/>
        <w:bottom w:val="none" w:sz="0" w:space="0" w:color="auto"/>
        <w:right w:val="none" w:sz="0" w:space="0" w:color="auto"/>
      </w:divBdr>
    </w:div>
    <w:div w:id="1054356998">
      <w:bodyDiv w:val="1"/>
      <w:marLeft w:val="0"/>
      <w:marRight w:val="0"/>
      <w:marTop w:val="0"/>
      <w:marBottom w:val="0"/>
      <w:divBdr>
        <w:top w:val="none" w:sz="0" w:space="0" w:color="auto"/>
        <w:left w:val="none" w:sz="0" w:space="0" w:color="auto"/>
        <w:bottom w:val="none" w:sz="0" w:space="0" w:color="auto"/>
        <w:right w:val="none" w:sz="0" w:space="0" w:color="auto"/>
      </w:divBdr>
    </w:div>
    <w:div w:id="1054693339">
      <w:bodyDiv w:val="1"/>
      <w:marLeft w:val="0"/>
      <w:marRight w:val="0"/>
      <w:marTop w:val="0"/>
      <w:marBottom w:val="0"/>
      <w:divBdr>
        <w:top w:val="none" w:sz="0" w:space="0" w:color="auto"/>
        <w:left w:val="none" w:sz="0" w:space="0" w:color="auto"/>
        <w:bottom w:val="none" w:sz="0" w:space="0" w:color="auto"/>
        <w:right w:val="none" w:sz="0" w:space="0" w:color="auto"/>
      </w:divBdr>
    </w:div>
    <w:div w:id="1063065468">
      <w:bodyDiv w:val="1"/>
      <w:marLeft w:val="0"/>
      <w:marRight w:val="0"/>
      <w:marTop w:val="0"/>
      <w:marBottom w:val="0"/>
      <w:divBdr>
        <w:top w:val="none" w:sz="0" w:space="0" w:color="auto"/>
        <w:left w:val="none" w:sz="0" w:space="0" w:color="auto"/>
        <w:bottom w:val="none" w:sz="0" w:space="0" w:color="auto"/>
        <w:right w:val="none" w:sz="0" w:space="0" w:color="auto"/>
      </w:divBdr>
    </w:div>
    <w:div w:id="1129132184">
      <w:bodyDiv w:val="1"/>
      <w:marLeft w:val="0"/>
      <w:marRight w:val="0"/>
      <w:marTop w:val="0"/>
      <w:marBottom w:val="0"/>
      <w:divBdr>
        <w:top w:val="none" w:sz="0" w:space="0" w:color="auto"/>
        <w:left w:val="none" w:sz="0" w:space="0" w:color="auto"/>
        <w:bottom w:val="none" w:sz="0" w:space="0" w:color="auto"/>
        <w:right w:val="none" w:sz="0" w:space="0" w:color="auto"/>
      </w:divBdr>
    </w:div>
    <w:div w:id="1131552478">
      <w:bodyDiv w:val="1"/>
      <w:marLeft w:val="0"/>
      <w:marRight w:val="0"/>
      <w:marTop w:val="0"/>
      <w:marBottom w:val="0"/>
      <w:divBdr>
        <w:top w:val="none" w:sz="0" w:space="0" w:color="auto"/>
        <w:left w:val="none" w:sz="0" w:space="0" w:color="auto"/>
        <w:bottom w:val="none" w:sz="0" w:space="0" w:color="auto"/>
        <w:right w:val="none" w:sz="0" w:space="0" w:color="auto"/>
      </w:divBdr>
    </w:div>
    <w:div w:id="1136873555">
      <w:bodyDiv w:val="1"/>
      <w:marLeft w:val="0"/>
      <w:marRight w:val="0"/>
      <w:marTop w:val="0"/>
      <w:marBottom w:val="0"/>
      <w:divBdr>
        <w:top w:val="none" w:sz="0" w:space="0" w:color="auto"/>
        <w:left w:val="none" w:sz="0" w:space="0" w:color="auto"/>
        <w:bottom w:val="none" w:sz="0" w:space="0" w:color="auto"/>
        <w:right w:val="none" w:sz="0" w:space="0" w:color="auto"/>
      </w:divBdr>
    </w:div>
    <w:div w:id="1139305280">
      <w:bodyDiv w:val="1"/>
      <w:marLeft w:val="0"/>
      <w:marRight w:val="0"/>
      <w:marTop w:val="0"/>
      <w:marBottom w:val="0"/>
      <w:divBdr>
        <w:top w:val="none" w:sz="0" w:space="0" w:color="auto"/>
        <w:left w:val="none" w:sz="0" w:space="0" w:color="auto"/>
        <w:bottom w:val="none" w:sz="0" w:space="0" w:color="auto"/>
        <w:right w:val="none" w:sz="0" w:space="0" w:color="auto"/>
      </w:divBdr>
    </w:div>
    <w:div w:id="1157501279">
      <w:bodyDiv w:val="1"/>
      <w:marLeft w:val="0"/>
      <w:marRight w:val="0"/>
      <w:marTop w:val="0"/>
      <w:marBottom w:val="0"/>
      <w:divBdr>
        <w:top w:val="none" w:sz="0" w:space="0" w:color="auto"/>
        <w:left w:val="none" w:sz="0" w:space="0" w:color="auto"/>
        <w:bottom w:val="none" w:sz="0" w:space="0" w:color="auto"/>
        <w:right w:val="none" w:sz="0" w:space="0" w:color="auto"/>
      </w:divBdr>
    </w:div>
    <w:div w:id="1159421533">
      <w:bodyDiv w:val="1"/>
      <w:marLeft w:val="0"/>
      <w:marRight w:val="0"/>
      <w:marTop w:val="0"/>
      <w:marBottom w:val="0"/>
      <w:divBdr>
        <w:top w:val="none" w:sz="0" w:space="0" w:color="auto"/>
        <w:left w:val="none" w:sz="0" w:space="0" w:color="auto"/>
        <w:bottom w:val="none" w:sz="0" w:space="0" w:color="auto"/>
        <w:right w:val="none" w:sz="0" w:space="0" w:color="auto"/>
      </w:divBdr>
    </w:div>
    <w:div w:id="1170409520">
      <w:bodyDiv w:val="1"/>
      <w:marLeft w:val="0"/>
      <w:marRight w:val="0"/>
      <w:marTop w:val="0"/>
      <w:marBottom w:val="0"/>
      <w:divBdr>
        <w:top w:val="none" w:sz="0" w:space="0" w:color="auto"/>
        <w:left w:val="none" w:sz="0" w:space="0" w:color="auto"/>
        <w:bottom w:val="none" w:sz="0" w:space="0" w:color="auto"/>
        <w:right w:val="none" w:sz="0" w:space="0" w:color="auto"/>
      </w:divBdr>
    </w:div>
    <w:div w:id="1179543822">
      <w:bodyDiv w:val="1"/>
      <w:marLeft w:val="0"/>
      <w:marRight w:val="0"/>
      <w:marTop w:val="0"/>
      <w:marBottom w:val="0"/>
      <w:divBdr>
        <w:top w:val="none" w:sz="0" w:space="0" w:color="auto"/>
        <w:left w:val="none" w:sz="0" w:space="0" w:color="auto"/>
        <w:bottom w:val="none" w:sz="0" w:space="0" w:color="auto"/>
        <w:right w:val="none" w:sz="0" w:space="0" w:color="auto"/>
      </w:divBdr>
    </w:div>
    <w:div w:id="1186090835">
      <w:bodyDiv w:val="1"/>
      <w:marLeft w:val="0"/>
      <w:marRight w:val="0"/>
      <w:marTop w:val="0"/>
      <w:marBottom w:val="0"/>
      <w:divBdr>
        <w:top w:val="none" w:sz="0" w:space="0" w:color="auto"/>
        <w:left w:val="none" w:sz="0" w:space="0" w:color="auto"/>
        <w:bottom w:val="none" w:sz="0" w:space="0" w:color="auto"/>
        <w:right w:val="none" w:sz="0" w:space="0" w:color="auto"/>
      </w:divBdr>
    </w:div>
    <w:div w:id="1186943364">
      <w:bodyDiv w:val="1"/>
      <w:marLeft w:val="0"/>
      <w:marRight w:val="0"/>
      <w:marTop w:val="0"/>
      <w:marBottom w:val="0"/>
      <w:divBdr>
        <w:top w:val="none" w:sz="0" w:space="0" w:color="auto"/>
        <w:left w:val="none" w:sz="0" w:space="0" w:color="auto"/>
        <w:bottom w:val="none" w:sz="0" w:space="0" w:color="auto"/>
        <w:right w:val="none" w:sz="0" w:space="0" w:color="auto"/>
      </w:divBdr>
    </w:div>
    <w:div w:id="1210384467">
      <w:bodyDiv w:val="1"/>
      <w:marLeft w:val="0"/>
      <w:marRight w:val="0"/>
      <w:marTop w:val="0"/>
      <w:marBottom w:val="0"/>
      <w:divBdr>
        <w:top w:val="none" w:sz="0" w:space="0" w:color="auto"/>
        <w:left w:val="none" w:sz="0" w:space="0" w:color="auto"/>
        <w:bottom w:val="none" w:sz="0" w:space="0" w:color="auto"/>
        <w:right w:val="none" w:sz="0" w:space="0" w:color="auto"/>
      </w:divBdr>
    </w:div>
    <w:div w:id="1210918372">
      <w:bodyDiv w:val="1"/>
      <w:marLeft w:val="0"/>
      <w:marRight w:val="0"/>
      <w:marTop w:val="0"/>
      <w:marBottom w:val="0"/>
      <w:divBdr>
        <w:top w:val="none" w:sz="0" w:space="0" w:color="auto"/>
        <w:left w:val="none" w:sz="0" w:space="0" w:color="auto"/>
        <w:bottom w:val="none" w:sz="0" w:space="0" w:color="auto"/>
        <w:right w:val="none" w:sz="0" w:space="0" w:color="auto"/>
      </w:divBdr>
    </w:div>
    <w:div w:id="1220440800">
      <w:bodyDiv w:val="1"/>
      <w:marLeft w:val="0"/>
      <w:marRight w:val="0"/>
      <w:marTop w:val="0"/>
      <w:marBottom w:val="0"/>
      <w:divBdr>
        <w:top w:val="none" w:sz="0" w:space="0" w:color="auto"/>
        <w:left w:val="none" w:sz="0" w:space="0" w:color="auto"/>
        <w:bottom w:val="none" w:sz="0" w:space="0" w:color="auto"/>
        <w:right w:val="none" w:sz="0" w:space="0" w:color="auto"/>
      </w:divBdr>
    </w:div>
    <w:div w:id="1233810516">
      <w:bodyDiv w:val="1"/>
      <w:marLeft w:val="0"/>
      <w:marRight w:val="0"/>
      <w:marTop w:val="0"/>
      <w:marBottom w:val="0"/>
      <w:divBdr>
        <w:top w:val="none" w:sz="0" w:space="0" w:color="auto"/>
        <w:left w:val="none" w:sz="0" w:space="0" w:color="auto"/>
        <w:bottom w:val="none" w:sz="0" w:space="0" w:color="auto"/>
        <w:right w:val="none" w:sz="0" w:space="0" w:color="auto"/>
      </w:divBdr>
    </w:div>
    <w:div w:id="1238440756">
      <w:bodyDiv w:val="1"/>
      <w:marLeft w:val="0"/>
      <w:marRight w:val="0"/>
      <w:marTop w:val="0"/>
      <w:marBottom w:val="0"/>
      <w:divBdr>
        <w:top w:val="none" w:sz="0" w:space="0" w:color="auto"/>
        <w:left w:val="none" w:sz="0" w:space="0" w:color="auto"/>
        <w:bottom w:val="none" w:sz="0" w:space="0" w:color="auto"/>
        <w:right w:val="none" w:sz="0" w:space="0" w:color="auto"/>
      </w:divBdr>
    </w:div>
    <w:div w:id="1240990694">
      <w:bodyDiv w:val="1"/>
      <w:marLeft w:val="0"/>
      <w:marRight w:val="0"/>
      <w:marTop w:val="0"/>
      <w:marBottom w:val="0"/>
      <w:divBdr>
        <w:top w:val="none" w:sz="0" w:space="0" w:color="auto"/>
        <w:left w:val="none" w:sz="0" w:space="0" w:color="auto"/>
        <w:bottom w:val="none" w:sz="0" w:space="0" w:color="auto"/>
        <w:right w:val="none" w:sz="0" w:space="0" w:color="auto"/>
      </w:divBdr>
    </w:div>
    <w:div w:id="1244409566">
      <w:bodyDiv w:val="1"/>
      <w:marLeft w:val="0"/>
      <w:marRight w:val="0"/>
      <w:marTop w:val="0"/>
      <w:marBottom w:val="0"/>
      <w:divBdr>
        <w:top w:val="none" w:sz="0" w:space="0" w:color="auto"/>
        <w:left w:val="none" w:sz="0" w:space="0" w:color="auto"/>
        <w:bottom w:val="none" w:sz="0" w:space="0" w:color="auto"/>
        <w:right w:val="none" w:sz="0" w:space="0" w:color="auto"/>
      </w:divBdr>
    </w:div>
    <w:div w:id="1262566308">
      <w:bodyDiv w:val="1"/>
      <w:marLeft w:val="0"/>
      <w:marRight w:val="0"/>
      <w:marTop w:val="0"/>
      <w:marBottom w:val="0"/>
      <w:divBdr>
        <w:top w:val="none" w:sz="0" w:space="0" w:color="auto"/>
        <w:left w:val="none" w:sz="0" w:space="0" w:color="auto"/>
        <w:bottom w:val="none" w:sz="0" w:space="0" w:color="auto"/>
        <w:right w:val="none" w:sz="0" w:space="0" w:color="auto"/>
      </w:divBdr>
    </w:div>
    <w:div w:id="1264533419">
      <w:bodyDiv w:val="1"/>
      <w:marLeft w:val="0"/>
      <w:marRight w:val="0"/>
      <w:marTop w:val="0"/>
      <w:marBottom w:val="0"/>
      <w:divBdr>
        <w:top w:val="none" w:sz="0" w:space="0" w:color="auto"/>
        <w:left w:val="none" w:sz="0" w:space="0" w:color="auto"/>
        <w:bottom w:val="none" w:sz="0" w:space="0" w:color="auto"/>
        <w:right w:val="none" w:sz="0" w:space="0" w:color="auto"/>
      </w:divBdr>
    </w:div>
    <w:div w:id="1268079508">
      <w:bodyDiv w:val="1"/>
      <w:marLeft w:val="0"/>
      <w:marRight w:val="0"/>
      <w:marTop w:val="0"/>
      <w:marBottom w:val="0"/>
      <w:divBdr>
        <w:top w:val="none" w:sz="0" w:space="0" w:color="auto"/>
        <w:left w:val="none" w:sz="0" w:space="0" w:color="auto"/>
        <w:bottom w:val="none" w:sz="0" w:space="0" w:color="auto"/>
        <w:right w:val="none" w:sz="0" w:space="0" w:color="auto"/>
      </w:divBdr>
    </w:div>
    <w:div w:id="1270821006">
      <w:bodyDiv w:val="1"/>
      <w:marLeft w:val="0"/>
      <w:marRight w:val="0"/>
      <w:marTop w:val="0"/>
      <w:marBottom w:val="0"/>
      <w:divBdr>
        <w:top w:val="none" w:sz="0" w:space="0" w:color="auto"/>
        <w:left w:val="none" w:sz="0" w:space="0" w:color="auto"/>
        <w:bottom w:val="none" w:sz="0" w:space="0" w:color="auto"/>
        <w:right w:val="none" w:sz="0" w:space="0" w:color="auto"/>
      </w:divBdr>
    </w:div>
    <w:div w:id="1291863056">
      <w:bodyDiv w:val="1"/>
      <w:marLeft w:val="0"/>
      <w:marRight w:val="0"/>
      <w:marTop w:val="0"/>
      <w:marBottom w:val="0"/>
      <w:divBdr>
        <w:top w:val="none" w:sz="0" w:space="0" w:color="auto"/>
        <w:left w:val="none" w:sz="0" w:space="0" w:color="auto"/>
        <w:bottom w:val="none" w:sz="0" w:space="0" w:color="auto"/>
        <w:right w:val="none" w:sz="0" w:space="0" w:color="auto"/>
      </w:divBdr>
    </w:div>
    <w:div w:id="1293516754">
      <w:bodyDiv w:val="1"/>
      <w:marLeft w:val="0"/>
      <w:marRight w:val="0"/>
      <w:marTop w:val="0"/>
      <w:marBottom w:val="0"/>
      <w:divBdr>
        <w:top w:val="none" w:sz="0" w:space="0" w:color="auto"/>
        <w:left w:val="none" w:sz="0" w:space="0" w:color="auto"/>
        <w:bottom w:val="none" w:sz="0" w:space="0" w:color="auto"/>
        <w:right w:val="none" w:sz="0" w:space="0" w:color="auto"/>
      </w:divBdr>
    </w:div>
    <w:div w:id="1294093848">
      <w:bodyDiv w:val="1"/>
      <w:marLeft w:val="0"/>
      <w:marRight w:val="0"/>
      <w:marTop w:val="0"/>
      <w:marBottom w:val="0"/>
      <w:divBdr>
        <w:top w:val="none" w:sz="0" w:space="0" w:color="auto"/>
        <w:left w:val="none" w:sz="0" w:space="0" w:color="auto"/>
        <w:bottom w:val="none" w:sz="0" w:space="0" w:color="auto"/>
        <w:right w:val="none" w:sz="0" w:space="0" w:color="auto"/>
      </w:divBdr>
    </w:div>
    <w:div w:id="1301956388">
      <w:bodyDiv w:val="1"/>
      <w:marLeft w:val="0"/>
      <w:marRight w:val="0"/>
      <w:marTop w:val="0"/>
      <w:marBottom w:val="0"/>
      <w:divBdr>
        <w:top w:val="none" w:sz="0" w:space="0" w:color="auto"/>
        <w:left w:val="none" w:sz="0" w:space="0" w:color="auto"/>
        <w:bottom w:val="none" w:sz="0" w:space="0" w:color="auto"/>
        <w:right w:val="none" w:sz="0" w:space="0" w:color="auto"/>
      </w:divBdr>
    </w:div>
    <w:div w:id="1310591402">
      <w:bodyDiv w:val="1"/>
      <w:marLeft w:val="0"/>
      <w:marRight w:val="0"/>
      <w:marTop w:val="0"/>
      <w:marBottom w:val="0"/>
      <w:divBdr>
        <w:top w:val="none" w:sz="0" w:space="0" w:color="auto"/>
        <w:left w:val="none" w:sz="0" w:space="0" w:color="auto"/>
        <w:bottom w:val="none" w:sz="0" w:space="0" w:color="auto"/>
        <w:right w:val="none" w:sz="0" w:space="0" w:color="auto"/>
      </w:divBdr>
    </w:div>
    <w:div w:id="1323656328">
      <w:bodyDiv w:val="1"/>
      <w:marLeft w:val="0"/>
      <w:marRight w:val="0"/>
      <w:marTop w:val="0"/>
      <w:marBottom w:val="0"/>
      <w:divBdr>
        <w:top w:val="none" w:sz="0" w:space="0" w:color="auto"/>
        <w:left w:val="none" w:sz="0" w:space="0" w:color="auto"/>
        <w:bottom w:val="none" w:sz="0" w:space="0" w:color="auto"/>
        <w:right w:val="none" w:sz="0" w:space="0" w:color="auto"/>
      </w:divBdr>
    </w:div>
    <w:div w:id="1325621702">
      <w:bodyDiv w:val="1"/>
      <w:marLeft w:val="0"/>
      <w:marRight w:val="0"/>
      <w:marTop w:val="0"/>
      <w:marBottom w:val="0"/>
      <w:divBdr>
        <w:top w:val="none" w:sz="0" w:space="0" w:color="auto"/>
        <w:left w:val="none" w:sz="0" w:space="0" w:color="auto"/>
        <w:bottom w:val="none" w:sz="0" w:space="0" w:color="auto"/>
        <w:right w:val="none" w:sz="0" w:space="0" w:color="auto"/>
      </w:divBdr>
    </w:div>
    <w:div w:id="1332686046">
      <w:bodyDiv w:val="1"/>
      <w:marLeft w:val="0"/>
      <w:marRight w:val="0"/>
      <w:marTop w:val="0"/>
      <w:marBottom w:val="0"/>
      <w:divBdr>
        <w:top w:val="none" w:sz="0" w:space="0" w:color="auto"/>
        <w:left w:val="none" w:sz="0" w:space="0" w:color="auto"/>
        <w:bottom w:val="none" w:sz="0" w:space="0" w:color="auto"/>
        <w:right w:val="none" w:sz="0" w:space="0" w:color="auto"/>
      </w:divBdr>
    </w:div>
    <w:div w:id="1342779268">
      <w:bodyDiv w:val="1"/>
      <w:marLeft w:val="0"/>
      <w:marRight w:val="0"/>
      <w:marTop w:val="0"/>
      <w:marBottom w:val="0"/>
      <w:divBdr>
        <w:top w:val="none" w:sz="0" w:space="0" w:color="auto"/>
        <w:left w:val="none" w:sz="0" w:space="0" w:color="auto"/>
        <w:bottom w:val="none" w:sz="0" w:space="0" w:color="auto"/>
        <w:right w:val="none" w:sz="0" w:space="0" w:color="auto"/>
      </w:divBdr>
    </w:div>
    <w:div w:id="1344475202">
      <w:bodyDiv w:val="1"/>
      <w:marLeft w:val="0"/>
      <w:marRight w:val="0"/>
      <w:marTop w:val="0"/>
      <w:marBottom w:val="0"/>
      <w:divBdr>
        <w:top w:val="none" w:sz="0" w:space="0" w:color="auto"/>
        <w:left w:val="none" w:sz="0" w:space="0" w:color="auto"/>
        <w:bottom w:val="none" w:sz="0" w:space="0" w:color="auto"/>
        <w:right w:val="none" w:sz="0" w:space="0" w:color="auto"/>
      </w:divBdr>
    </w:div>
    <w:div w:id="1346859647">
      <w:bodyDiv w:val="1"/>
      <w:marLeft w:val="0"/>
      <w:marRight w:val="0"/>
      <w:marTop w:val="0"/>
      <w:marBottom w:val="0"/>
      <w:divBdr>
        <w:top w:val="none" w:sz="0" w:space="0" w:color="auto"/>
        <w:left w:val="none" w:sz="0" w:space="0" w:color="auto"/>
        <w:bottom w:val="none" w:sz="0" w:space="0" w:color="auto"/>
        <w:right w:val="none" w:sz="0" w:space="0" w:color="auto"/>
      </w:divBdr>
    </w:div>
    <w:div w:id="1362046177">
      <w:bodyDiv w:val="1"/>
      <w:marLeft w:val="0"/>
      <w:marRight w:val="0"/>
      <w:marTop w:val="0"/>
      <w:marBottom w:val="0"/>
      <w:divBdr>
        <w:top w:val="none" w:sz="0" w:space="0" w:color="auto"/>
        <w:left w:val="none" w:sz="0" w:space="0" w:color="auto"/>
        <w:bottom w:val="none" w:sz="0" w:space="0" w:color="auto"/>
        <w:right w:val="none" w:sz="0" w:space="0" w:color="auto"/>
      </w:divBdr>
    </w:div>
    <w:div w:id="1369404578">
      <w:bodyDiv w:val="1"/>
      <w:marLeft w:val="0"/>
      <w:marRight w:val="0"/>
      <w:marTop w:val="0"/>
      <w:marBottom w:val="0"/>
      <w:divBdr>
        <w:top w:val="none" w:sz="0" w:space="0" w:color="auto"/>
        <w:left w:val="none" w:sz="0" w:space="0" w:color="auto"/>
        <w:bottom w:val="none" w:sz="0" w:space="0" w:color="auto"/>
        <w:right w:val="none" w:sz="0" w:space="0" w:color="auto"/>
      </w:divBdr>
    </w:div>
    <w:div w:id="1369522850">
      <w:bodyDiv w:val="1"/>
      <w:marLeft w:val="0"/>
      <w:marRight w:val="0"/>
      <w:marTop w:val="0"/>
      <w:marBottom w:val="0"/>
      <w:divBdr>
        <w:top w:val="none" w:sz="0" w:space="0" w:color="auto"/>
        <w:left w:val="none" w:sz="0" w:space="0" w:color="auto"/>
        <w:bottom w:val="none" w:sz="0" w:space="0" w:color="auto"/>
        <w:right w:val="none" w:sz="0" w:space="0" w:color="auto"/>
      </w:divBdr>
    </w:div>
    <w:div w:id="1383360677">
      <w:bodyDiv w:val="1"/>
      <w:marLeft w:val="0"/>
      <w:marRight w:val="0"/>
      <w:marTop w:val="0"/>
      <w:marBottom w:val="0"/>
      <w:divBdr>
        <w:top w:val="none" w:sz="0" w:space="0" w:color="auto"/>
        <w:left w:val="none" w:sz="0" w:space="0" w:color="auto"/>
        <w:bottom w:val="none" w:sz="0" w:space="0" w:color="auto"/>
        <w:right w:val="none" w:sz="0" w:space="0" w:color="auto"/>
      </w:divBdr>
    </w:div>
    <w:div w:id="1384062696">
      <w:bodyDiv w:val="1"/>
      <w:marLeft w:val="0"/>
      <w:marRight w:val="0"/>
      <w:marTop w:val="0"/>
      <w:marBottom w:val="0"/>
      <w:divBdr>
        <w:top w:val="none" w:sz="0" w:space="0" w:color="auto"/>
        <w:left w:val="none" w:sz="0" w:space="0" w:color="auto"/>
        <w:bottom w:val="none" w:sz="0" w:space="0" w:color="auto"/>
        <w:right w:val="none" w:sz="0" w:space="0" w:color="auto"/>
      </w:divBdr>
    </w:div>
    <w:div w:id="1392459266">
      <w:bodyDiv w:val="1"/>
      <w:marLeft w:val="0"/>
      <w:marRight w:val="0"/>
      <w:marTop w:val="0"/>
      <w:marBottom w:val="0"/>
      <w:divBdr>
        <w:top w:val="none" w:sz="0" w:space="0" w:color="auto"/>
        <w:left w:val="none" w:sz="0" w:space="0" w:color="auto"/>
        <w:bottom w:val="none" w:sz="0" w:space="0" w:color="auto"/>
        <w:right w:val="none" w:sz="0" w:space="0" w:color="auto"/>
      </w:divBdr>
    </w:div>
    <w:div w:id="1393427446">
      <w:bodyDiv w:val="1"/>
      <w:marLeft w:val="0"/>
      <w:marRight w:val="0"/>
      <w:marTop w:val="0"/>
      <w:marBottom w:val="0"/>
      <w:divBdr>
        <w:top w:val="none" w:sz="0" w:space="0" w:color="auto"/>
        <w:left w:val="none" w:sz="0" w:space="0" w:color="auto"/>
        <w:bottom w:val="none" w:sz="0" w:space="0" w:color="auto"/>
        <w:right w:val="none" w:sz="0" w:space="0" w:color="auto"/>
      </w:divBdr>
    </w:div>
    <w:div w:id="1402943987">
      <w:bodyDiv w:val="1"/>
      <w:marLeft w:val="0"/>
      <w:marRight w:val="0"/>
      <w:marTop w:val="0"/>
      <w:marBottom w:val="0"/>
      <w:divBdr>
        <w:top w:val="none" w:sz="0" w:space="0" w:color="auto"/>
        <w:left w:val="none" w:sz="0" w:space="0" w:color="auto"/>
        <w:bottom w:val="none" w:sz="0" w:space="0" w:color="auto"/>
        <w:right w:val="none" w:sz="0" w:space="0" w:color="auto"/>
      </w:divBdr>
    </w:div>
    <w:div w:id="1408110063">
      <w:bodyDiv w:val="1"/>
      <w:marLeft w:val="0"/>
      <w:marRight w:val="0"/>
      <w:marTop w:val="0"/>
      <w:marBottom w:val="0"/>
      <w:divBdr>
        <w:top w:val="none" w:sz="0" w:space="0" w:color="auto"/>
        <w:left w:val="none" w:sz="0" w:space="0" w:color="auto"/>
        <w:bottom w:val="none" w:sz="0" w:space="0" w:color="auto"/>
        <w:right w:val="none" w:sz="0" w:space="0" w:color="auto"/>
      </w:divBdr>
    </w:div>
    <w:div w:id="1410034139">
      <w:bodyDiv w:val="1"/>
      <w:marLeft w:val="0"/>
      <w:marRight w:val="0"/>
      <w:marTop w:val="0"/>
      <w:marBottom w:val="0"/>
      <w:divBdr>
        <w:top w:val="none" w:sz="0" w:space="0" w:color="auto"/>
        <w:left w:val="none" w:sz="0" w:space="0" w:color="auto"/>
        <w:bottom w:val="none" w:sz="0" w:space="0" w:color="auto"/>
        <w:right w:val="none" w:sz="0" w:space="0" w:color="auto"/>
      </w:divBdr>
    </w:div>
    <w:div w:id="1433015453">
      <w:bodyDiv w:val="1"/>
      <w:marLeft w:val="0"/>
      <w:marRight w:val="0"/>
      <w:marTop w:val="0"/>
      <w:marBottom w:val="0"/>
      <w:divBdr>
        <w:top w:val="none" w:sz="0" w:space="0" w:color="auto"/>
        <w:left w:val="none" w:sz="0" w:space="0" w:color="auto"/>
        <w:bottom w:val="none" w:sz="0" w:space="0" w:color="auto"/>
        <w:right w:val="none" w:sz="0" w:space="0" w:color="auto"/>
      </w:divBdr>
    </w:div>
    <w:div w:id="1445614543">
      <w:bodyDiv w:val="1"/>
      <w:marLeft w:val="0"/>
      <w:marRight w:val="0"/>
      <w:marTop w:val="0"/>
      <w:marBottom w:val="0"/>
      <w:divBdr>
        <w:top w:val="none" w:sz="0" w:space="0" w:color="auto"/>
        <w:left w:val="none" w:sz="0" w:space="0" w:color="auto"/>
        <w:bottom w:val="none" w:sz="0" w:space="0" w:color="auto"/>
        <w:right w:val="none" w:sz="0" w:space="0" w:color="auto"/>
      </w:divBdr>
    </w:div>
    <w:div w:id="1457332090">
      <w:bodyDiv w:val="1"/>
      <w:marLeft w:val="0"/>
      <w:marRight w:val="0"/>
      <w:marTop w:val="0"/>
      <w:marBottom w:val="0"/>
      <w:divBdr>
        <w:top w:val="none" w:sz="0" w:space="0" w:color="auto"/>
        <w:left w:val="none" w:sz="0" w:space="0" w:color="auto"/>
        <w:bottom w:val="none" w:sz="0" w:space="0" w:color="auto"/>
        <w:right w:val="none" w:sz="0" w:space="0" w:color="auto"/>
      </w:divBdr>
    </w:div>
    <w:div w:id="1460108376">
      <w:bodyDiv w:val="1"/>
      <w:marLeft w:val="0"/>
      <w:marRight w:val="0"/>
      <w:marTop w:val="0"/>
      <w:marBottom w:val="0"/>
      <w:divBdr>
        <w:top w:val="none" w:sz="0" w:space="0" w:color="auto"/>
        <w:left w:val="none" w:sz="0" w:space="0" w:color="auto"/>
        <w:bottom w:val="none" w:sz="0" w:space="0" w:color="auto"/>
        <w:right w:val="none" w:sz="0" w:space="0" w:color="auto"/>
      </w:divBdr>
    </w:div>
    <w:div w:id="1476530966">
      <w:bodyDiv w:val="1"/>
      <w:marLeft w:val="0"/>
      <w:marRight w:val="0"/>
      <w:marTop w:val="0"/>
      <w:marBottom w:val="0"/>
      <w:divBdr>
        <w:top w:val="none" w:sz="0" w:space="0" w:color="auto"/>
        <w:left w:val="none" w:sz="0" w:space="0" w:color="auto"/>
        <w:bottom w:val="none" w:sz="0" w:space="0" w:color="auto"/>
        <w:right w:val="none" w:sz="0" w:space="0" w:color="auto"/>
      </w:divBdr>
    </w:div>
    <w:div w:id="1477990556">
      <w:bodyDiv w:val="1"/>
      <w:marLeft w:val="0"/>
      <w:marRight w:val="0"/>
      <w:marTop w:val="0"/>
      <w:marBottom w:val="0"/>
      <w:divBdr>
        <w:top w:val="none" w:sz="0" w:space="0" w:color="auto"/>
        <w:left w:val="none" w:sz="0" w:space="0" w:color="auto"/>
        <w:bottom w:val="none" w:sz="0" w:space="0" w:color="auto"/>
        <w:right w:val="none" w:sz="0" w:space="0" w:color="auto"/>
      </w:divBdr>
    </w:div>
    <w:div w:id="1478762579">
      <w:bodyDiv w:val="1"/>
      <w:marLeft w:val="0"/>
      <w:marRight w:val="0"/>
      <w:marTop w:val="0"/>
      <w:marBottom w:val="0"/>
      <w:divBdr>
        <w:top w:val="none" w:sz="0" w:space="0" w:color="auto"/>
        <w:left w:val="none" w:sz="0" w:space="0" w:color="auto"/>
        <w:bottom w:val="none" w:sz="0" w:space="0" w:color="auto"/>
        <w:right w:val="none" w:sz="0" w:space="0" w:color="auto"/>
      </w:divBdr>
    </w:div>
    <w:div w:id="1480926762">
      <w:bodyDiv w:val="1"/>
      <w:marLeft w:val="0"/>
      <w:marRight w:val="0"/>
      <w:marTop w:val="0"/>
      <w:marBottom w:val="0"/>
      <w:divBdr>
        <w:top w:val="none" w:sz="0" w:space="0" w:color="auto"/>
        <w:left w:val="none" w:sz="0" w:space="0" w:color="auto"/>
        <w:bottom w:val="none" w:sz="0" w:space="0" w:color="auto"/>
        <w:right w:val="none" w:sz="0" w:space="0" w:color="auto"/>
      </w:divBdr>
    </w:div>
    <w:div w:id="1488130101">
      <w:bodyDiv w:val="1"/>
      <w:marLeft w:val="0"/>
      <w:marRight w:val="0"/>
      <w:marTop w:val="0"/>
      <w:marBottom w:val="0"/>
      <w:divBdr>
        <w:top w:val="none" w:sz="0" w:space="0" w:color="auto"/>
        <w:left w:val="none" w:sz="0" w:space="0" w:color="auto"/>
        <w:bottom w:val="none" w:sz="0" w:space="0" w:color="auto"/>
        <w:right w:val="none" w:sz="0" w:space="0" w:color="auto"/>
      </w:divBdr>
    </w:div>
    <w:div w:id="1491946126">
      <w:bodyDiv w:val="1"/>
      <w:marLeft w:val="0"/>
      <w:marRight w:val="0"/>
      <w:marTop w:val="0"/>
      <w:marBottom w:val="0"/>
      <w:divBdr>
        <w:top w:val="none" w:sz="0" w:space="0" w:color="auto"/>
        <w:left w:val="none" w:sz="0" w:space="0" w:color="auto"/>
        <w:bottom w:val="none" w:sz="0" w:space="0" w:color="auto"/>
        <w:right w:val="none" w:sz="0" w:space="0" w:color="auto"/>
      </w:divBdr>
    </w:div>
    <w:div w:id="1495073566">
      <w:bodyDiv w:val="1"/>
      <w:marLeft w:val="0"/>
      <w:marRight w:val="0"/>
      <w:marTop w:val="0"/>
      <w:marBottom w:val="0"/>
      <w:divBdr>
        <w:top w:val="none" w:sz="0" w:space="0" w:color="auto"/>
        <w:left w:val="none" w:sz="0" w:space="0" w:color="auto"/>
        <w:bottom w:val="none" w:sz="0" w:space="0" w:color="auto"/>
        <w:right w:val="none" w:sz="0" w:space="0" w:color="auto"/>
      </w:divBdr>
    </w:div>
    <w:div w:id="1544169295">
      <w:bodyDiv w:val="1"/>
      <w:marLeft w:val="0"/>
      <w:marRight w:val="0"/>
      <w:marTop w:val="0"/>
      <w:marBottom w:val="0"/>
      <w:divBdr>
        <w:top w:val="none" w:sz="0" w:space="0" w:color="auto"/>
        <w:left w:val="none" w:sz="0" w:space="0" w:color="auto"/>
        <w:bottom w:val="none" w:sz="0" w:space="0" w:color="auto"/>
        <w:right w:val="none" w:sz="0" w:space="0" w:color="auto"/>
      </w:divBdr>
    </w:div>
    <w:div w:id="1544711647">
      <w:bodyDiv w:val="1"/>
      <w:marLeft w:val="0"/>
      <w:marRight w:val="0"/>
      <w:marTop w:val="0"/>
      <w:marBottom w:val="0"/>
      <w:divBdr>
        <w:top w:val="none" w:sz="0" w:space="0" w:color="auto"/>
        <w:left w:val="none" w:sz="0" w:space="0" w:color="auto"/>
        <w:bottom w:val="none" w:sz="0" w:space="0" w:color="auto"/>
        <w:right w:val="none" w:sz="0" w:space="0" w:color="auto"/>
      </w:divBdr>
    </w:div>
    <w:div w:id="1550876654">
      <w:bodyDiv w:val="1"/>
      <w:marLeft w:val="0"/>
      <w:marRight w:val="0"/>
      <w:marTop w:val="0"/>
      <w:marBottom w:val="0"/>
      <w:divBdr>
        <w:top w:val="none" w:sz="0" w:space="0" w:color="auto"/>
        <w:left w:val="none" w:sz="0" w:space="0" w:color="auto"/>
        <w:bottom w:val="none" w:sz="0" w:space="0" w:color="auto"/>
        <w:right w:val="none" w:sz="0" w:space="0" w:color="auto"/>
      </w:divBdr>
    </w:div>
    <w:div w:id="1558904968">
      <w:bodyDiv w:val="1"/>
      <w:marLeft w:val="0"/>
      <w:marRight w:val="0"/>
      <w:marTop w:val="0"/>
      <w:marBottom w:val="0"/>
      <w:divBdr>
        <w:top w:val="none" w:sz="0" w:space="0" w:color="auto"/>
        <w:left w:val="none" w:sz="0" w:space="0" w:color="auto"/>
        <w:bottom w:val="none" w:sz="0" w:space="0" w:color="auto"/>
        <w:right w:val="none" w:sz="0" w:space="0" w:color="auto"/>
      </w:divBdr>
    </w:div>
    <w:div w:id="1562015420">
      <w:bodyDiv w:val="1"/>
      <w:marLeft w:val="0"/>
      <w:marRight w:val="0"/>
      <w:marTop w:val="0"/>
      <w:marBottom w:val="0"/>
      <w:divBdr>
        <w:top w:val="none" w:sz="0" w:space="0" w:color="auto"/>
        <w:left w:val="none" w:sz="0" w:space="0" w:color="auto"/>
        <w:bottom w:val="none" w:sz="0" w:space="0" w:color="auto"/>
        <w:right w:val="none" w:sz="0" w:space="0" w:color="auto"/>
      </w:divBdr>
    </w:div>
    <w:div w:id="1570726842">
      <w:bodyDiv w:val="1"/>
      <w:marLeft w:val="0"/>
      <w:marRight w:val="0"/>
      <w:marTop w:val="0"/>
      <w:marBottom w:val="0"/>
      <w:divBdr>
        <w:top w:val="none" w:sz="0" w:space="0" w:color="auto"/>
        <w:left w:val="none" w:sz="0" w:space="0" w:color="auto"/>
        <w:bottom w:val="none" w:sz="0" w:space="0" w:color="auto"/>
        <w:right w:val="none" w:sz="0" w:space="0" w:color="auto"/>
      </w:divBdr>
    </w:div>
    <w:div w:id="1590457863">
      <w:bodyDiv w:val="1"/>
      <w:marLeft w:val="0"/>
      <w:marRight w:val="0"/>
      <w:marTop w:val="0"/>
      <w:marBottom w:val="0"/>
      <w:divBdr>
        <w:top w:val="none" w:sz="0" w:space="0" w:color="auto"/>
        <w:left w:val="none" w:sz="0" w:space="0" w:color="auto"/>
        <w:bottom w:val="none" w:sz="0" w:space="0" w:color="auto"/>
        <w:right w:val="none" w:sz="0" w:space="0" w:color="auto"/>
      </w:divBdr>
    </w:div>
    <w:div w:id="1612854822">
      <w:bodyDiv w:val="1"/>
      <w:marLeft w:val="0"/>
      <w:marRight w:val="0"/>
      <w:marTop w:val="0"/>
      <w:marBottom w:val="0"/>
      <w:divBdr>
        <w:top w:val="none" w:sz="0" w:space="0" w:color="auto"/>
        <w:left w:val="none" w:sz="0" w:space="0" w:color="auto"/>
        <w:bottom w:val="none" w:sz="0" w:space="0" w:color="auto"/>
        <w:right w:val="none" w:sz="0" w:space="0" w:color="auto"/>
      </w:divBdr>
    </w:div>
    <w:div w:id="1616131853">
      <w:bodyDiv w:val="1"/>
      <w:marLeft w:val="0"/>
      <w:marRight w:val="0"/>
      <w:marTop w:val="0"/>
      <w:marBottom w:val="0"/>
      <w:divBdr>
        <w:top w:val="none" w:sz="0" w:space="0" w:color="auto"/>
        <w:left w:val="none" w:sz="0" w:space="0" w:color="auto"/>
        <w:bottom w:val="none" w:sz="0" w:space="0" w:color="auto"/>
        <w:right w:val="none" w:sz="0" w:space="0" w:color="auto"/>
      </w:divBdr>
    </w:div>
    <w:div w:id="1621958751">
      <w:bodyDiv w:val="1"/>
      <w:marLeft w:val="0"/>
      <w:marRight w:val="0"/>
      <w:marTop w:val="0"/>
      <w:marBottom w:val="0"/>
      <w:divBdr>
        <w:top w:val="none" w:sz="0" w:space="0" w:color="auto"/>
        <w:left w:val="none" w:sz="0" w:space="0" w:color="auto"/>
        <w:bottom w:val="none" w:sz="0" w:space="0" w:color="auto"/>
        <w:right w:val="none" w:sz="0" w:space="0" w:color="auto"/>
      </w:divBdr>
    </w:div>
    <w:div w:id="1639873419">
      <w:bodyDiv w:val="1"/>
      <w:marLeft w:val="0"/>
      <w:marRight w:val="0"/>
      <w:marTop w:val="0"/>
      <w:marBottom w:val="0"/>
      <w:divBdr>
        <w:top w:val="none" w:sz="0" w:space="0" w:color="auto"/>
        <w:left w:val="none" w:sz="0" w:space="0" w:color="auto"/>
        <w:bottom w:val="none" w:sz="0" w:space="0" w:color="auto"/>
        <w:right w:val="none" w:sz="0" w:space="0" w:color="auto"/>
      </w:divBdr>
    </w:div>
    <w:div w:id="1647737749">
      <w:bodyDiv w:val="1"/>
      <w:marLeft w:val="0"/>
      <w:marRight w:val="0"/>
      <w:marTop w:val="0"/>
      <w:marBottom w:val="0"/>
      <w:divBdr>
        <w:top w:val="none" w:sz="0" w:space="0" w:color="auto"/>
        <w:left w:val="none" w:sz="0" w:space="0" w:color="auto"/>
        <w:bottom w:val="none" w:sz="0" w:space="0" w:color="auto"/>
        <w:right w:val="none" w:sz="0" w:space="0" w:color="auto"/>
      </w:divBdr>
    </w:div>
    <w:div w:id="1654870930">
      <w:bodyDiv w:val="1"/>
      <w:marLeft w:val="0"/>
      <w:marRight w:val="0"/>
      <w:marTop w:val="0"/>
      <w:marBottom w:val="0"/>
      <w:divBdr>
        <w:top w:val="none" w:sz="0" w:space="0" w:color="auto"/>
        <w:left w:val="none" w:sz="0" w:space="0" w:color="auto"/>
        <w:bottom w:val="none" w:sz="0" w:space="0" w:color="auto"/>
        <w:right w:val="none" w:sz="0" w:space="0" w:color="auto"/>
      </w:divBdr>
    </w:div>
    <w:div w:id="1660113039">
      <w:bodyDiv w:val="1"/>
      <w:marLeft w:val="0"/>
      <w:marRight w:val="0"/>
      <w:marTop w:val="0"/>
      <w:marBottom w:val="0"/>
      <w:divBdr>
        <w:top w:val="none" w:sz="0" w:space="0" w:color="auto"/>
        <w:left w:val="none" w:sz="0" w:space="0" w:color="auto"/>
        <w:bottom w:val="none" w:sz="0" w:space="0" w:color="auto"/>
        <w:right w:val="none" w:sz="0" w:space="0" w:color="auto"/>
      </w:divBdr>
    </w:div>
    <w:div w:id="1660768907">
      <w:bodyDiv w:val="1"/>
      <w:marLeft w:val="0"/>
      <w:marRight w:val="0"/>
      <w:marTop w:val="0"/>
      <w:marBottom w:val="0"/>
      <w:divBdr>
        <w:top w:val="none" w:sz="0" w:space="0" w:color="auto"/>
        <w:left w:val="none" w:sz="0" w:space="0" w:color="auto"/>
        <w:bottom w:val="none" w:sz="0" w:space="0" w:color="auto"/>
        <w:right w:val="none" w:sz="0" w:space="0" w:color="auto"/>
      </w:divBdr>
    </w:div>
    <w:div w:id="1673023159">
      <w:bodyDiv w:val="1"/>
      <w:marLeft w:val="0"/>
      <w:marRight w:val="0"/>
      <w:marTop w:val="0"/>
      <w:marBottom w:val="0"/>
      <w:divBdr>
        <w:top w:val="none" w:sz="0" w:space="0" w:color="auto"/>
        <w:left w:val="none" w:sz="0" w:space="0" w:color="auto"/>
        <w:bottom w:val="none" w:sz="0" w:space="0" w:color="auto"/>
        <w:right w:val="none" w:sz="0" w:space="0" w:color="auto"/>
      </w:divBdr>
    </w:div>
    <w:div w:id="1677459686">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678531790">
      <w:bodyDiv w:val="1"/>
      <w:marLeft w:val="0"/>
      <w:marRight w:val="0"/>
      <w:marTop w:val="0"/>
      <w:marBottom w:val="0"/>
      <w:divBdr>
        <w:top w:val="none" w:sz="0" w:space="0" w:color="auto"/>
        <w:left w:val="none" w:sz="0" w:space="0" w:color="auto"/>
        <w:bottom w:val="none" w:sz="0" w:space="0" w:color="auto"/>
        <w:right w:val="none" w:sz="0" w:space="0" w:color="auto"/>
      </w:divBdr>
    </w:div>
    <w:div w:id="1679112790">
      <w:bodyDiv w:val="1"/>
      <w:marLeft w:val="0"/>
      <w:marRight w:val="0"/>
      <w:marTop w:val="0"/>
      <w:marBottom w:val="0"/>
      <w:divBdr>
        <w:top w:val="none" w:sz="0" w:space="0" w:color="auto"/>
        <w:left w:val="none" w:sz="0" w:space="0" w:color="auto"/>
        <w:bottom w:val="none" w:sz="0" w:space="0" w:color="auto"/>
        <w:right w:val="none" w:sz="0" w:space="0" w:color="auto"/>
      </w:divBdr>
    </w:div>
    <w:div w:id="1680693813">
      <w:bodyDiv w:val="1"/>
      <w:marLeft w:val="0"/>
      <w:marRight w:val="0"/>
      <w:marTop w:val="0"/>
      <w:marBottom w:val="0"/>
      <w:divBdr>
        <w:top w:val="none" w:sz="0" w:space="0" w:color="auto"/>
        <w:left w:val="none" w:sz="0" w:space="0" w:color="auto"/>
        <w:bottom w:val="none" w:sz="0" w:space="0" w:color="auto"/>
        <w:right w:val="none" w:sz="0" w:space="0" w:color="auto"/>
      </w:divBdr>
    </w:div>
    <w:div w:id="1688017918">
      <w:bodyDiv w:val="1"/>
      <w:marLeft w:val="0"/>
      <w:marRight w:val="0"/>
      <w:marTop w:val="0"/>
      <w:marBottom w:val="0"/>
      <w:divBdr>
        <w:top w:val="none" w:sz="0" w:space="0" w:color="auto"/>
        <w:left w:val="none" w:sz="0" w:space="0" w:color="auto"/>
        <w:bottom w:val="none" w:sz="0" w:space="0" w:color="auto"/>
        <w:right w:val="none" w:sz="0" w:space="0" w:color="auto"/>
      </w:divBdr>
    </w:div>
    <w:div w:id="1692562370">
      <w:bodyDiv w:val="1"/>
      <w:marLeft w:val="0"/>
      <w:marRight w:val="0"/>
      <w:marTop w:val="0"/>
      <w:marBottom w:val="0"/>
      <w:divBdr>
        <w:top w:val="none" w:sz="0" w:space="0" w:color="auto"/>
        <w:left w:val="none" w:sz="0" w:space="0" w:color="auto"/>
        <w:bottom w:val="none" w:sz="0" w:space="0" w:color="auto"/>
        <w:right w:val="none" w:sz="0" w:space="0" w:color="auto"/>
      </w:divBdr>
    </w:div>
    <w:div w:id="1695614537">
      <w:bodyDiv w:val="1"/>
      <w:marLeft w:val="0"/>
      <w:marRight w:val="0"/>
      <w:marTop w:val="0"/>
      <w:marBottom w:val="0"/>
      <w:divBdr>
        <w:top w:val="none" w:sz="0" w:space="0" w:color="auto"/>
        <w:left w:val="none" w:sz="0" w:space="0" w:color="auto"/>
        <w:bottom w:val="none" w:sz="0" w:space="0" w:color="auto"/>
        <w:right w:val="none" w:sz="0" w:space="0" w:color="auto"/>
      </w:divBdr>
    </w:div>
    <w:div w:id="1699233667">
      <w:bodyDiv w:val="1"/>
      <w:marLeft w:val="0"/>
      <w:marRight w:val="0"/>
      <w:marTop w:val="0"/>
      <w:marBottom w:val="0"/>
      <w:divBdr>
        <w:top w:val="none" w:sz="0" w:space="0" w:color="auto"/>
        <w:left w:val="none" w:sz="0" w:space="0" w:color="auto"/>
        <w:bottom w:val="none" w:sz="0" w:space="0" w:color="auto"/>
        <w:right w:val="none" w:sz="0" w:space="0" w:color="auto"/>
      </w:divBdr>
    </w:div>
    <w:div w:id="1704553610">
      <w:bodyDiv w:val="1"/>
      <w:marLeft w:val="0"/>
      <w:marRight w:val="0"/>
      <w:marTop w:val="0"/>
      <w:marBottom w:val="0"/>
      <w:divBdr>
        <w:top w:val="none" w:sz="0" w:space="0" w:color="auto"/>
        <w:left w:val="none" w:sz="0" w:space="0" w:color="auto"/>
        <w:bottom w:val="none" w:sz="0" w:space="0" w:color="auto"/>
        <w:right w:val="none" w:sz="0" w:space="0" w:color="auto"/>
      </w:divBdr>
    </w:div>
    <w:div w:id="1718896628">
      <w:bodyDiv w:val="1"/>
      <w:marLeft w:val="0"/>
      <w:marRight w:val="0"/>
      <w:marTop w:val="0"/>
      <w:marBottom w:val="0"/>
      <w:divBdr>
        <w:top w:val="none" w:sz="0" w:space="0" w:color="auto"/>
        <w:left w:val="none" w:sz="0" w:space="0" w:color="auto"/>
        <w:bottom w:val="none" w:sz="0" w:space="0" w:color="auto"/>
        <w:right w:val="none" w:sz="0" w:space="0" w:color="auto"/>
      </w:divBdr>
    </w:div>
    <w:div w:id="1719892499">
      <w:bodyDiv w:val="1"/>
      <w:marLeft w:val="0"/>
      <w:marRight w:val="0"/>
      <w:marTop w:val="0"/>
      <w:marBottom w:val="0"/>
      <w:divBdr>
        <w:top w:val="none" w:sz="0" w:space="0" w:color="auto"/>
        <w:left w:val="none" w:sz="0" w:space="0" w:color="auto"/>
        <w:bottom w:val="none" w:sz="0" w:space="0" w:color="auto"/>
        <w:right w:val="none" w:sz="0" w:space="0" w:color="auto"/>
      </w:divBdr>
    </w:div>
    <w:div w:id="1734813613">
      <w:bodyDiv w:val="1"/>
      <w:marLeft w:val="0"/>
      <w:marRight w:val="0"/>
      <w:marTop w:val="0"/>
      <w:marBottom w:val="0"/>
      <w:divBdr>
        <w:top w:val="none" w:sz="0" w:space="0" w:color="auto"/>
        <w:left w:val="none" w:sz="0" w:space="0" w:color="auto"/>
        <w:bottom w:val="none" w:sz="0" w:space="0" w:color="auto"/>
        <w:right w:val="none" w:sz="0" w:space="0" w:color="auto"/>
      </w:divBdr>
    </w:div>
    <w:div w:id="1740710767">
      <w:bodyDiv w:val="1"/>
      <w:marLeft w:val="0"/>
      <w:marRight w:val="0"/>
      <w:marTop w:val="0"/>
      <w:marBottom w:val="0"/>
      <w:divBdr>
        <w:top w:val="none" w:sz="0" w:space="0" w:color="auto"/>
        <w:left w:val="none" w:sz="0" w:space="0" w:color="auto"/>
        <w:bottom w:val="none" w:sz="0" w:space="0" w:color="auto"/>
        <w:right w:val="none" w:sz="0" w:space="0" w:color="auto"/>
      </w:divBdr>
    </w:div>
    <w:div w:id="1752893121">
      <w:bodyDiv w:val="1"/>
      <w:marLeft w:val="0"/>
      <w:marRight w:val="0"/>
      <w:marTop w:val="0"/>
      <w:marBottom w:val="0"/>
      <w:divBdr>
        <w:top w:val="none" w:sz="0" w:space="0" w:color="auto"/>
        <w:left w:val="none" w:sz="0" w:space="0" w:color="auto"/>
        <w:bottom w:val="none" w:sz="0" w:space="0" w:color="auto"/>
        <w:right w:val="none" w:sz="0" w:space="0" w:color="auto"/>
      </w:divBdr>
    </w:div>
    <w:div w:id="1755394679">
      <w:bodyDiv w:val="1"/>
      <w:marLeft w:val="0"/>
      <w:marRight w:val="0"/>
      <w:marTop w:val="0"/>
      <w:marBottom w:val="0"/>
      <w:divBdr>
        <w:top w:val="none" w:sz="0" w:space="0" w:color="auto"/>
        <w:left w:val="none" w:sz="0" w:space="0" w:color="auto"/>
        <w:bottom w:val="none" w:sz="0" w:space="0" w:color="auto"/>
        <w:right w:val="none" w:sz="0" w:space="0" w:color="auto"/>
      </w:divBdr>
    </w:div>
    <w:div w:id="1772780538">
      <w:bodyDiv w:val="1"/>
      <w:marLeft w:val="0"/>
      <w:marRight w:val="0"/>
      <w:marTop w:val="0"/>
      <w:marBottom w:val="0"/>
      <w:divBdr>
        <w:top w:val="none" w:sz="0" w:space="0" w:color="auto"/>
        <w:left w:val="none" w:sz="0" w:space="0" w:color="auto"/>
        <w:bottom w:val="none" w:sz="0" w:space="0" w:color="auto"/>
        <w:right w:val="none" w:sz="0" w:space="0" w:color="auto"/>
      </w:divBdr>
    </w:div>
    <w:div w:id="1773669009">
      <w:bodyDiv w:val="1"/>
      <w:marLeft w:val="0"/>
      <w:marRight w:val="0"/>
      <w:marTop w:val="0"/>
      <w:marBottom w:val="0"/>
      <w:divBdr>
        <w:top w:val="none" w:sz="0" w:space="0" w:color="auto"/>
        <w:left w:val="none" w:sz="0" w:space="0" w:color="auto"/>
        <w:bottom w:val="none" w:sz="0" w:space="0" w:color="auto"/>
        <w:right w:val="none" w:sz="0" w:space="0" w:color="auto"/>
      </w:divBdr>
    </w:div>
    <w:div w:id="1787919523">
      <w:bodyDiv w:val="1"/>
      <w:marLeft w:val="0"/>
      <w:marRight w:val="0"/>
      <w:marTop w:val="0"/>
      <w:marBottom w:val="0"/>
      <w:divBdr>
        <w:top w:val="none" w:sz="0" w:space="0" w:color="auto"/>
        <w:left w:val="none" w:sz="0" w:space="0" w:color="auto"/>
        <w:bottom w:val="none" w:sz="0" w:space="0" w:color="auto"/>
        <w:right w:val="none" w:sz="0" w:space="0" w:color="auto"/>
      </w:divBdr>
    </w:div>
    <w:div w:id="1797865590">
      <w:bodyDiv w:val="1"/>
      <w:marLeft w:val="0"/>
      <w:marRight w:val="0"/>
      <w:marTop w:val="0"/>
      <w:marBottom w:val="0"/>
      <w:divBdr>
        <w:top w:val="none" w:sz="0" w:space="0" w:color="auto"/>
        <w:left w:val="none" w:sz="0" w:space="0" w:color="auto"/>
        <w:bottom w:val="none" w:sz="0" w:space="0" w:color="auto"/>
        <w:right w:val="none" w:sz="0" w:space="0" w:color="auto"/>
      </w:divBdr>
    </w:div>
    <w:div w:id="1798141706">
      <w:bodyDiv w:val="1"/>
      <w:marLeft w:val="0"/>
      <w:marRight w:val="0"/>
      <w:marTop w:val="0"/>
      <w:marBottom w:val="0"/>
      <w:divBdr>
        <w:top w:val="none" w:sz="0" w:space="0" w:color="auto"/>
        <w:left w:val="none" w:sz="0" w:space="0" w:color="auto"/>
        <w:bottom w:val="none" w:sz="0" w:space="0" w:color="auto"/>
        <w:right w:val="none" w:sz="0" w:space="0" w:color="auto"/>
      </w:divBdr>
    </w:div>
    <w:div w:id="1807697467">
      <w:bodyDiv w:val="1"/>
      <w:marLeft w:val="0"/>
      <w:marRight w:val="0"/>
      <w:marTop w:val="0"/>
      <w:marBottom w:val="0"/>
      <w:divBdr>
        <w:top w:val="none" w:sz="0" w:space="0" w:color="auto"/>
        <w:left w:val="none" w:sz="0" w:space="0" w:color="auto"/>
        <w:bottom w:val="none" w:sz="0" w:space="0" w:color="auto"/>
        <w:right w:val="none" w:sz="0" w:space="0" w:color="auto"/>
      </w:divBdr>
    </w:div>
    <w:div w:id="1808274605">
      <w:bodyDiv w:val="1"/>
      <w:marLeft w:val="0"/>
      <w:marRight w:val="0"/>
      <w:marTop w:val="0"/>
      <w:marBottom w:val="0"/>
      <w:divBdr>
        <w:top w:val="none" w:sz="0" w:space="0" w:color="auto"/>
        <w:left w:val="none" w:sz="0" w:space="0" w:color="auto"/>
        <w:bottom w:val="none" w:sz="0" w:space="0" w:color="auto"/>
        <w:right w:val="none" w:sz="0" w:space="0" w:color="auto"/>
      </w:divBdr>
    </w:div>
    <w:div w:id="1834641421">
      <w:bodyDiv w:val="1"/>
      <w:marLeft w:val="0"/>
      <w:marRight w:val="0"/>
      <w:marTop w:val="0"/>
      <w:marBottom w:val="0"/>
      <w:divBdr>
        <w:top w:val="none" w:sz="0" w:space="0" w:color="auto"/>
        <w:left w:val="none" w:sz="0" w:space="0" w:color="auto"/>
        <w:bottom w:val="none" w:sz="0" w:space="0" w:color="auto"/>
        <w:right w:val="none" w:sz="0" w:space="0" w:color="auto"/>
      </w:divBdr>
    </w:div>
    <w:div w:id="1842114796">
      <w:bodyDiv w:val="1"/>
      <w:marLeft w:val="0"/>
      <w:marRight w:val="0"/>
      <w:marTop w:val="0"/>
      <w:marBottom w:val="0"/>
      <w:divBdr>
        <w:top w:val="none" w:sz="0" w:space="0" w:color="auto"/>
        <w:left w:val="none" w:sz="0" w:space="0" w:color="auto"/>
        <w:bottom w:val="none" w:sz="0" w:space="0" w:color="auto"/>
        <w:right w:val="none" w:sz="0" w:space="0" w:color="auto"/>
      </w:divBdr>
    </w:div>
    <w:div w:id="1849515398">
      <w:bodyDiv w:val="1"/>
      <w:marLeft w:val="0"/>
      <w:marRight w:val="0"/>
      <w:marTop w:val="0"/>
      <w:marBottom w:val="0"/>
      <w:divBdr>
        <w:top w:val="none" w:sz="0" w:space="0" w:color="auto"/>
        <w:left w:val="none" w:sz="0" w:space="0" w:color="auto"/>
        <w:bottom w:val="none" w:sz="0" w:space="0" w:color="auto"/>
        <w:right w:val="none" w:sz="0" w:space="0" w:color="auto"/>
      </w:divBdr>
    </w:div>
    <w:div w:id="1865366058">
      <w:bodyDiv w:val="1"/>
      <w:marLeft w:val="0"/>
      <w:marRight w:val="0"/>
      <w:marTop w:val="0"/>
      <w:marBottom w:val="0"/>
      <w:divBdr>
        <w:top w:val="none" w:sz="0" w:space="0" w:color="auto"/>
        <w:left w:val="none" w:sz="0" w:space="0" w:color="auto"/>
        <w:bottom w:val="none" w:sz="0" w:space="0" w:color="auto"/>
        <w:right w:val="none" w:sz="0" w:space="0" w:color="auto"/>
      </w:divBdr>
    </w:div>
    <w:div w:id="1873692866">
      <w:bodyDiv w:val="1"/>
      <w:marLeft w:val="0"/>
      <w:marRight w:val="0"/>
      <w:marTop w:val="0"/>
      <w:marBottom w:val="0"/>
      <w:divBdr>
        <w:top w:val="none" w:sz="0" w:space="0" w:color="auto"/>
        <w:left w:val="none" w:sz="0" w:space="0" w:color="auto"/>
        <w:bottom w:val="none" w:sz="0" w:space="0" w:color="auto"/>
        <w:right w:val="none" w:sz="0" w:space="0" w:color="auto"/>
      </w:divBdr>
    </w:div>
    <w:div w:id="1874615299">
      <w:bodyDiv w:val="1"/>
      <w:marLeft w:val="0"/>
      <w:marRight w:val="0"/>
      <w:marTop w:val="0"/>
      <w:marBottom w:val="0"/>
      <w:divBdr>
        <w:top w:val="none" w:sz="0" w:space="0" w:color="auto"/>
        <w:left w:val="none" w:sz="0" w:space="0" w:color="auto"/>
        <w:bottom w:val="none" w:sz="0" w:space="0" w:color="auto"/>
        <w:right w:val="none" w:sz="0" w:space="0" w:color="auto"/>
      </w:divBdr>
    </w:div>
    <w:div w:id="1890192508">
      <w:bodyDiv w:val="1"/>
      <w:marLeft w:val="0"/>
      <w:marRight w:val="0"/>
      <w:marTop w:val="0"/>
      <w:marBottom w:val="0"/>
      <w:divBdr>
        <w:top w:val="none" w:sz="0" w:space="0" w:color="auto"/>
        <w:left w:val="none" w:sz="0" w:space="0" w:color="auto"/>
        <w:bottom w:val="none" w:sz="0" w:space="0" w:color="auto"/>
        <w:right w:val="none" w:sz="0" w:space="0" w:color="auto"/>
      </w:divBdr>
    </w:div>
    <w:div w:id="1890535654">
      <w:bodyDiv w:val="1"/>
      <w:marLeft w:val="0"/>
      <w:marRight w:val="0"/>
      <w:marTop w:val="0"/>
      <w:marBottom w:val="0"/>
      <w:divBdr>
        <w:top w:val="none" w:sz="0" w:space="0" w:color="auto"/>
        <w:left w:val="none" w:sz="0" w:space="0" w:color="auto"/>
        <w:bottom w:val="none" w:sz="0" w:space="0" w:color="auto"/>
        <w:right w:val="none" w:sz="0" w:space="0" w:color="auto"/>
      </w:divBdr>
    </w:div>
    <w:div w:id="1899050831">
      <w:bodyDiv w:val="1"/>
      <w:marLeft w:val="0"/>
      <w:marRight w:val="0"/>
      <w:marTop w:val="0"/>
      <w:marBottom w:val="0"/>
      <w:divBdr>
        <w:top w:val="none" w:sz="0" w:space="0" w:color="auto"/>
        <w:left w:val="none" w:sz="0" w:space="0" w:color="auto"/>
        <w:bottom w:val="none" w:sz="0" w:space="0" w:color="auto"/>
        <w:right w:val="none" w:sz="0" w:space="0" w:color="auto"/>
      </w:divBdr>
    </w:div>
    <w:div w:id="1904873204">
      <w:bodyDiv w:val="1"/>
      <w:marLeft w:val="0"/>
      <w:marRight w:val="0"/>
      <w:marTop w:val="0"/>
      <w:marBottom w:val="0"/>
      <w:divBdr>
        <w:top w:val="none" w:sz="0" w:space="0" w:color="auto"/>
        <w:left w:val="none" w:sz="0" w:space="0" w:color="auto"/>
        <w:bottom w:val="none" w:sz="0" w:space="0" w:color="auto"/>
        <w:right w:val="none" w:sz="0" w:space="0" w:color="auto"/>
      </w:divBdr>
    </w:div>
    <w:div w:id="1915625338">
      <w:bodyDiv w:val="1"/>
      <w:marLeft w:val="0"/>
      <w:marRight w:val="0"/>
      <w:marTop w:val="0"/>
      <w:marBottom w:val="0"/>
      <w:divBdr>
        <w:top w:val="none" w:sz="0" w:space="0" w:color="auto"/>
        <w:left w:val="none" w:sz="0" w:space="0" w:color="auto"/>
        <w:bottom w:val="none" w:sz="0" w:space="0" w:color="auto"/>
        <w:right w:val="none" w:sz="0" w:space="0" w:color="auto"/>
      </w:divBdr>
    </w:div>
    <w:div w:id="1930504710">
      <w:bodyDiv w:val="1"/>
      <w:marLeft w:val="0"/>
      <w:marRight w:val="0"/>
      <w:marTop w:val="0"/>
      <w:marBottom w:val="0"/>
      <w:divBdr>
        <w:top w:val="none" w:sz="0" w:space="0" w:color="auto"/>
        <w:left w:val="none" w:sz="0" w:space="0" w:color="auto"/>
        <w:bottom w:val="none" w:sz="0" w:space="0" w:color="auto"/>
        <w:right w:val="none" w:sz="0" w:space="0" w:color="auto"/>
      </w:divBdr>
    </w:div>
    <w:div w:id="1945795855">
      <w:bodyDiv w:val="1"/>
      <w:marLeft w:val="0"/>
      <w:marRight w:val="0"/>
      <w:marTop w:val="0"/>
      <w:marBottom w:val="0"/>
      <w:divBdr>
        <w:top w:val="none" w:sz="0" w:space="0" w:color="auto"/>
        <w:left w:val="none" w:sz="0" w:space="0" w:color="auto"/>
        <w:bottom w:val="none" w:sz="0" w:space="0" w:color="auto"/>
        <w:right w:val="none" w:sz="0" w:space="0" w:color="auto"/>
      </w:divBdr>
    </w:div>
    <w:div w:id="1950694174">
      <w:bodyDiv w:val="1"/>
      <w:marLeft w:val="0"/>
      <w:marRight w:val="0"/>
      <w:marTop w:val="0"/>
      <w:marBottom w:val="0"/>
      <w:divBdr>
        <w:top w:val="none" w:sz="0" w:space="0" w:color="auto"/>
        <w:left w:val="none" w:sz="0" w:space="0" w:color="auto"/>
        <w:bottom w:val="none" w:sz="0" w:space="0" w:color="auto"/>
        <w:right w:val="none" w:sz="0" w:space="0" w:color="auto"/>
      </w:divBdr>
    </w:div>
    <w:div w:id="1953200118">
      <w:bodyDiv w:val="1"/>
      <w:marLeft w:val="0"/>
      <w:marRight w:val="0"/>
      <w:marTop w:val="0"/>
      <w:marBottom w:val="0"/>
      <w:divBdr>
        <w:top w:val="none" w:sz="0" w:space="0" w:color="auto"/>
        <w:left w:val="none" w:sz="0" w:space="0" w:color="auto"/>
        <w:bottom w:val="none" w:sz="0" w:space="0" w:color="auto"/>
        <w:right w:val="none" w:sz="0" w:space="0" w:color="auto"/>
      </w:divBdr>
    </w:div>
    <w:div w:id="1953826840">
      <w:bodyDiv w:val="1"/>
      <w:marLeft w:val="0"/>
      <w:marRight w:val="0"/>
      <w:marTop w:val="0"/>
      <w:marBottom w:val="0"/>
      <w:divBdr>
        <w:top w:val="none" w:sz="0" w:space="0" w:color="auto"/>
        <w:left w:val="none" w:sz="0" w:space="0" w:color="auto"/>
        <w:bottom w:val="none" w:sz="0" w:space="0" w:color="auto"/>
        <w:right w:val="none" w:sz="0" w:space="0" w:color="auto"/>
      </w:divBdr>
    </w:div>
    <w:div w:id="1954289513">
      <w:bodyDiv w:val="1"/>
      <w:marLeft w:val="0"/>
      <w:marRight w:val="0"/>
      <w:marTop w:val="0"/>
      <w:marBottom w:val="0"/>
      <w:divBdr>
        <w:top w:val="none" w:sz="0" w:space="0" w:color="auto"/>
        <w:left w:val="none" w:sz="0" w:space="0" w:color="auto"/>
        <w:bottom w:val="none" w:sz="0" w:space="0" w:color="auto"/>
        <w:right w:val="none" w:sz="0" w:space="0" w:color="auto"/>
      </w:divBdr>
    </w:div>
    <w:div w:id="1959332078">
      <w:bodyDiv w:val="1"/>
      <w:marLeft w:val="0"/>
      <w:marRight w:val="0"/>
      <w:marTop w:val="0"/>
      <w:marBottom w:val="0"/>
      <w:divBdr>
        <w:top w:val="none" w:sz="0" w:space="0" w:color="auto"/>
        <w:left w:val="none" w:sz="0" w:space="0" w:color="auto"/>
        <w:bottom w:val="none" w:sz="0" w:space="0" w:color="auto"/>
        <w:right w:val="none" w:sz="0" w:space="0" w:color="auto"/>
      </w:divBdr>
    </w:div>
    <w:div w:id="1965888175">
      <w:bodyDiv w:val="1"/>
      <w:marLeft w:val="0"/>
      <w:marRight w:val="0"/>
      <w:marTop w:val="0"/>
      <w:marBottom w:val="0"/>
      <w:divBdr>
        <w:top w:val="none" w:sz="0" w:space="0" w:color="auto"/>
        <w:left w:val="none" w:sz="0" w:space="0" w:color="auto"/>
        <w:bottom w:val="none" w:sz="0" w:space="0" w:color="auto"/>
        <w:right w:val="none" w:sz="0" w:space="0" w:color="auto"/>
      </w:divBdr>
    </w:div>
    <w:div w:id="1969311347">
      <w:bodyDiv w:val="1"/>
      <w:marLeft w:val="0"/>
      <w:marRight w:val="0"/>
      <w:marTop w:val="0"/>
      <w:marBottom w:val="0"/>
      <w:divBdr>
        <w:top w:val="none" w:sz="0" w:space="0" w:color="auto"/>
        <w:left w:val="none" w:sz="0" w:space="0" w:color="auto"/>
        <w:bottom w:val="none" w:sz="0" w:space="0" w:color="auto"/>
        <w:right w:val="none" w:sz="0" w:space="0" w:color="auto"/>
      </w:divBdr>
    </w:div>
    <w:div w:id="1975862858">
      <w:bodyDiv w:val="1"/>
      <w:marLeft w:val="0"/>
      <w:marRight w:val="0"/>
      <w:marTop w:val="0"/>
      <w:marBottom w:val="0"/>
      <w:divBdr>
        <w:top w:val="none" w:sz="0" w:space="0" w:color="auto"/>
        <w:left w:val="none" w:sz="0" w:space="0" w:color="auto"/>
        <w:bottom w:val="none" w:sz="0" w:space="0" w:color="auto"/>
        <w:right w:val="none" w:sz="0" w:space="0" w:color="auto"/>
      </w:divBdr>
    </w:div>
    <w:div w:id="2010138816">
      <w:bodyDiv w:val="1"/>
      <w:marLeft w:val="0"/>
      <w:marRight w:val="0"/>
      <w:marTop w:val="0"/>
      <w:marBottom w:val="0"/>
      <w:divBdr>
        <w:top w:val="none" w:sz="0" w:space="0" w:color="auto"/>
        <w:left w:val="none" w:sz="0" w:space="0" w:color="auto"/>
        <w:bottom w:val="none" w:sz="0" w:space="0" w:color="auto"/>
        <w:right w:val="none" w:sz="0" w:space="0" w:color="auto"/>
      </w:divBdr>
    </w:div>
    <w:div w:id="2014642208">
      <w:bodyDiv w:val="1"/>
      <w:marLeft w:val="0"/>
      <w:marRight w:val="0"/>
      <w:marTop w:val="0"/>
      <w:marBottom w:val="0"/>
      <w:divBdr>
        <w:top w:val="none" w:sz="0" w:space="0" w:color="auto"/>
        <w:left w:val="none" w:sz="0" w:space="0" w:color="auto"/>
        <w:bottom w:val="none" w:sz="0" w:space="0" w:color="auto"/>
        <w:right w:val="none" w:sz="0" w:space="0" w:color="auto"/>
      </w:divBdr>
    </w:div>
    <w:div w:id="2019116309">
      <w:bodyDiv w:val="1"/>
      <w:marLeft w:val="0"/>
      <w:marRight w:val="0"/>
      <w:marTop w:val="0"/>
      <w:marBottom w:val="0"/>
      <w:divBdr>
        <w:top w:val="none" w:sz="0" w:space="0" w:color="auto"/>
        <w:left w:val="none" w:sz="0" w:space="0" w:color="auto"/>
        <w:bottom w:val="none" w:sz="0" w:space="0" w:color="auto"/>
        <w:right w:val="none" w:sz="0" w:space="0" w:color="auto"/>
      </w:divBdr>
    </w:div>
    <w:div w:id="2027753898">
      <w:bodyDiv w:val="1"/>
      <w:marLeft w:val="0"/>
      <w:marRight w:val="0"/>
      <w:marTop w:val="0"/>
      <w:marBottom w:val="0"/>
      <w:divBdr>
        <w:top w:val="none" w:sz="0" w:space="0" w:color="auto"/>
        <w:left w:val="none" w:sz="0" w:space="0" w:color="auto"/>
        <w:bottom w:val="none" w:sz="0" w:space="0" w:color="auto"/>
        <w:right w:val="none" w:sz="0" w:space="0" w:color="auto"/>
      </w:divBdr>
    </w:div>
    <w:div w:id="2029986744">
      <w:bodyDiv w:val="1"/>
      <w:marLeft w:val="0"/>
      <w:marRight w:val="0"/>
      <w:marTop w:val="0"/>
      <w:marBottom w:val="0"/>
      <w:divBdr>
        <w:top w:val="none" w:sz="0" w:space="0" w:color="auto"/>
        <w:left w:val="none" w:sz="0" w:space="0" w:color="auto"/>
        <w:bottom w:val="none" w:sz="0" w:space="0" w:color="auto"/>
        <w:right w:val="none" w:sz="0" w:space="0" w:color="auto"/>
      </w:divBdr>
    </w:div>
    <w:div w:id="2061322694">
      <w:bodyDiv w:val="1"/>
      <w:marLeft w:val="0"/>
      <w:marRight w:val="0"/>
      <w:marTop w:val="0"/>
      <w:marBottom w:val="0"/>
      <w:divBdr>
        <w:top w:val="none" w:sz="0" w:space="0" w:color="auto"/>
        <w:left w:val="none" w:sz="0" w:space="0" w:color="auto"/>
        <w:bottom w:val="none" w:sz="0" w:space="0" w:color="auto"/>
        <w:right w:val="none" w:sz="0" w:space="0" w:color="auto"/>
      </w:divBdr>
    </w:div>
    <w:div w:id="2066441331">
      <w:bodyDiv w:val="1"/>
      <w:marLeft w:val="0"/>
      <w:marRight w:val="0"/>
      <w:marTop w:val="0"/>
      <w:marBottom w:val="0"/>
      <w:divBdr>
        <w:top w:val="none" w:sz="0" w:space="0" w:color="auto"/>
        <w:left w:val="none" w:sz="0" w:space="0" w:color="auto"/>
        <w:bottom w:val="none" w:sz="0" w:space="0" w:color="auto"/>
        <w:right w:val="none" w:sz="0" w:space="0" w:color="auto"/>
      </w:divBdr>
    </w:div>
    <w:div w:id="2076003117">
      <w:bodyDiv w:val="1"/>
      <w:marLeft w:val="0"/>
      <w:marRight w:val="0"/>
      <w:marTop w:val="0"/>
      <w:marBottom w:val="0"/>
      <w:divBdr>
        <w:top w:val="none" w:sz="0" w:space="0" w:color="auto"/>
        <w:left w:val="none" w:sz="0" w:space="0" w:color="auto"/>
        <w:bottom w:val="none" w:sz="0" w:space="0" w:color="auto"/>
        <w:right w:val="none" w:sz="0" w:space="0" w:color="auto"/>
      </w:divBdr>
    </w:div>
    <w:div w:id="2084139736">
      <w:bodyDiv w:val="1"/>
      <w:marLeft w:val="0"/>
      <w:marRight w:val="0"/>
      <w:marTop w:val="0"/>
      <w:marBottom w:val="0"/>
      <w:divBdr>
        <w:top w:val="none" w:sz="0" w:space="0" w:color="auto"/>
        <w:left w:val="none" w:sz="0" w:space="0" w:color="auto"/>
        <w:bottom w:val="none" w:sz="0" w:space="0" w:color="auto"/>
        <w:right w:val="none" w:sz="0" w:space="0" w:color="auto"/>
      </w:divBdr>
    </w:div>
    <w:div w:id="2105029655">
      <w:bodyDiv w:val="1"/>
      <w:marLeft w:val="0"/>
      <w:marRight w:val="0"/>
      <w:marTop w:val="0"/>
      <w:marBottom w:val="0"/>
      <w:divBdr>
        <w:top w:val="none" w:sz="0" w:space="0" w:color="auto"/>
        <w:left w:val="none" w:sz="0" w:space="0" w:color="auto"/>
        <w:bottom w:val="none" w:sz="0" w:space="0" w:color="auto"/>
        <w:right w:val="none" w:sz="0" w:space="0" w:color="auto"/>
      </w:divBdr>
    </w:div>
    <w:div w:id="2113894751">
      <w:bodyDiv w:val="1"/>
      <w:marLeft w:val="0"/>
      <w:marRight w:val="0"/>
      <w:marTop w:val="0"/>
      <w:marBottom w:val="0"/>
      <w:divBdr>
        <w:top w:val="none" w:sz="0" w:space="0" w:color="auto"/>
        <w:left w:val="none" w:sz="0" w:space="0" w:color="auto"/>
        <w:bottom w:val="none" w:sz="0" w:space="0" w:color="auto"/>
        <w:right w:val="none" w:sz="0" w:space="0" w:color="auto"/>
      </w:divBdr>
    </w:div>
    <w:div w:id="2114664435">
      <w:bodyDiv w:val="1"/>
      <w:marLeft w:val="0"/>
      <w:marRight w:val="0"/>
      <w:marTop w:val="0"/>
      <w:marBottom w:val="0"/>
      <w:divBdr>
        <w:top w:val="none" w:sz="0" w:space="0" w:color="auto"/>
        <w:left w:val="none" w:sz="0" w:space="0" w:color="auto"/>
        <w:bottom w:val="none" w:sz="0" w:space="0" w:color="auto"/>
        <w:right w:val="none" w:sz="0" w:space="0" w:color="auto"/>
      </w:divBdr>
    </w:div>
    <w:div w:id="2116560205">
      <w:bodyDiv w:val="1"/>
      <w:marLeft w:val="0"/>
      <w:marRight w:val="0"/>
      <w:marTop w:val="0"/>
      <w:marBottom w:val="0"/>
      <w:divBdr>
        <w:top w:val="none" w:sz="0" w:space="0" w:color="auto"/>
        <w:left w:val="none" w:sz="0" w:space="0" w:color="auto"/>
        <w:bottom w:val="none" w:sz="0" w:space="0" w:color="auto"/>
        <w:right w:val="none" w:sz="0" w:space="0" w:color="auto"/>
      </w:divBdr>
    </w:div>
    <w:div w:id="2118013534">
      <w:bodyDiv w:val="1"/>
      <w:marLeft w:val="0"/>
      <w:marRight w:val="0"/>
      <w:marTop w:val="0"/>
      <w:marBottom w:val="0"/>
      <w:divBdr>
        <w:top w:val="none" w:sz="0" w:space="0" w:color="auto"/>
        <w:left w:val="none" w:sz="0" w:space="0" w:color="auto"/>
        <w:bottom w:val="none" w:sz="0" w:space="0" w:color="auto"/>
        <w:right w:val="none" w:sz="0" w:space="0" w:color="auto"/>
      </w:divBdr>
    </w:div>
    <w:div w:id="2128113235">
      <w:bodyDiv w:val="1"/>
      <w:marLeft w:val="0"/>
      <w:marRight w:val="0"/>
      <w:marTop w:val="0"/>
      <w:marBottom w:val="0"/>
      <w:divBdr>
        <w:top w:val="none" w:sz="0" w:space="0" w:color="auto"/>
        <w:left w:val="none" w:sz="0" w:space="0" w:color="auto"/>
        <w:bottom w:val="none" w:sz="0" w:space="0" w:color="auto"/>
        <w:right w:val="none" w:sz="0" w:space="0" w:color="auto"/>
      </w:divBdr>
    </w:div>
    <w:div w:id="2129473269">
      <w:bodyDiv w:val="1"/>
      <w:marLeft w:val="0"/>
      <w:marRight w:val="0"/>
      <w:marTop w:val="0"/>
      <w:marBottom w:val="0"/>
      <w:divBdr>
        <w:top w:val="none" w:sz="0" w:space="0" w:color="auto"/>
        <w:left w:val="none" w:sz="0" w:space="0" w:color="auto"/>
        <w:bottom w:val="none" w:sz="0" w:space="0" w:color="auto"/>
        <w:right w:val="none" w:sz="0" w:space="0" w:color="auto"/>
      </w:divBdr>
    </w:div>
    <w:div w:id="2134514741">
      <w:bodyDiv w:val="1"/>
      <w:marLeft w:val="0"/>
      <w:marRight w:val="0"/>
      <w:marTop w:val="0"/>
      <w:marBottom w:val="0"/>
      <w:divBdr>
        <w:top w:val="none" w:sz="0" w:space="0" w:color="auto"/>
        <w:left w:val="none" w:sz="0" w:space="0" w:color="auto"/>
        <w:bottom w:val="none" w:sz="0" w:space="0" w:color="auto"/>
        <w:right w:val="none" w:sz="0" w:space="0" w:color="auto"/>
      </w:divBdr>
    </w:div>
    <w:div w:id="214145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1001C-66AA-45DE-A84F-D793BACE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205</Pages>
  <Words>65636</Words>
  <Characters>374126</Characters>
  <Application>Microsoft Office Word</Application>
  <DocSecurity>0</DocSecurity>
  <Lines>3117</Lines>
  <Paragraphs>877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438885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Jasminka Kos</cp:lastModifiedBy>
  <cp:revision>4</cp:revision>
  <cp:lastPrinted>2025-07-14T11:37:00Z</cp:lastPrinted>
  <dcterms:created xsi:type="dcterms:W3CDTF">2025-07-28T07:18:00Z</dcterms:created>
  <dcterms:modified xsi:type="dcterms:W3CDTF">2025-07-28T07:22:00Z</dcterms:modified>
</cp:coreProperties>
</file>